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581E0" w14:textId="7FC02AE6" w:rsidR="00D9756B" w:rsidRDefault="00593284" w:rsidP="00D9756B">
      <w:r>
        <w:rPr>
          <w:noProof/>
        </w:rPr>
        <w:drawing>
          <wp:anchor distT="0" distB="0" distL="114300" distR="114300" simplePos="0" relativeHeight="251658240" behindDoc="1" locked="0" layoutInCell="1" allowOverlap="1" wp14:anchorId="0A3AA4A1" wp14:editId="4FA576C0">
            <wp:simplePos x="0" y="0"/>
            <wp:positionH relativeFrom="page">
              <wp:align>left</wp:align>
            </wp:positionH>
            <wp:positionV relativeFrom="paragraph">
              <wp:posOffset>-722844</wp:posOffset>
            </wp:positionV>
            <wp:extent cx="7559040" cy="10689336"/>
            <wp:effectExtent l="0" t="0" r="3810" b="0"/>
            <wp:wrapNone/>
            <wp:docPr id="689613848" name="Picture 1" descr="Department Performance Statement front cover, grey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13848" name="Picture 1" descr="Department Performance Statement front cover, grey and 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p w14:paraId="7D742FA2" w14:textId="77777777" w:rsidR="00D9756B" w:rsidRDefault="00D9756B" w:rsidP="00D9756B">
      <w:pPr>
        <w:keepLines w:val="0"/>
      </w:pPr>
    </w:p>
    <w:p w14:paraId="6D546212" w14:textId="77777777" w:rsidR="00D9756B" w:rsidRDefault="00D9756B" w:rsidP="00D9756B">
      <w:pPr>
        <w:pStyle w:val="Acknowledgement"/>
        <w:sectPr w:rsidR="00D9756B" w:rsidSect="00D9756B">
          <w:pgSz w:w="11907" w:h="16840"/>
          <w:pgMar w:top="1138" w:right="1138" w:bottom="1138" w:left="1138" w:header="619" w:footer="562" w:gutter="0"/>
          <w:cols w:space="720"/>
          <w:docGrid w:linePitch="299"/>
        </w:sectPr>
      </w:pPr>
    </w:p>
    <w:p w14:paraId="59432F12" w14:textId="77777777" w:rsidR="00D9756B" w:rsidRDefault="00D9756B" w:rsidP="00D9756B">
      <w:pPr>
        <w:pStyle w:val="Acknowledgement"/>
        <w:spacing w:before="800"/>
        <w:rPr>
          <w:b/>
        </w:rPr>
      </w:pPr>
      <w:r>
        <w:lastRenderedPageBreak/>
        <w:t xml:space="preserve">ACKNOWLEDGEMENT </w:t>
      </w:r>
      <w:r>
        <w:br/>
        <w:t>OF COUNTRY</w:t>
      </w:r>
    </w:p>
    <w:p w14:paraId="017199FD" w14:textId="77777777" w:rsidR="00D9756B" w:rsidRDefault="00D9756B" w:rsidP="00D9756B">
      <w:pPr>
        <w:spacing w:before="0" w:after="120"/>
        <w:rPr>
          <w:rFonts w:ascii="Calibri Light" w:hAnsi="Calibri Light"/>
          <w:sz w:val="19"/>
          <w:szCs w:val="19"/>
        </w:rPr>
        <w:sectPr w:rsidR="00D9756B" w:rsidSect="00D9756B">
          <w:pgSz w:w="11907" w:h="16840"/>
          <w:pgMar w:top="1138" w:right="1138" w:bottom="1138" w:left="1138" w:header="619" w:footer="562" w:gutter="0"/>
          <w:cols w:space="720"/>
          <w:docGrid w:linePitch="299"/>
        </w:sectPr>
      </w:pPr>
    </w:p>
    <w:p w14:paraId="7E2D2738" w14:textId="77777777" w:rsidR="00D9756B" w:rsidRPr="00DC6658" w:rsidRDefault="00D9756B" w:rsidP="00D9756B">
      <w:pPr>
        <w:spacing w:before="0" w:after="120"/>
        <w:rPr>
          <w:rFonts w:ascii="Calibri Light" w:hAnsi="Calibri Light"/>
          <w:sz w:val="20"/>
        </w:rPr>
      </w:pPr>
      <w:r w:rsidRPr="00DC6658">
        <w:rPr>
          <w:rFonts w:ascii="Calibri Light" w:hAnsi="Calibri Light"/>
          <w:sz w:val="20"/>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254684E9" w14:textId="77777777" w:rsidR="00D9756B" w:rsidRPr="00DC6658" w:rsidRDefault="00D9756B" w:rsidP="00D9756B">
      <w:pPr>
        <w:spacing w:after="120"/>
        <w:rPr>
          <w:rFonts w:ascii="Calibri Light" w:hAnsi="Calibri Light"/>
          <w:sz w:val="20"/>
        </w:rPr>
      </w:pPr>
      <w:r w:rsidRPr="00DC6658">
        <w:rPr>
          <w:rFonts w:ascii="Calibri Light" w:hAnsi="Calibri Light"/>
          <w:sz w:val="20"/>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1D659D83" w14:textId="77777777" w:rsidR="00D9756B" w:rsidRDefault="00D9756B" w:rsidP="00D9756B">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220D7000" wp14:editId="03CFB2D7">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5E586D46" w14:textId="77777777" w:rsidR="00D9756B" w:rsidRDefault="00D9756B" w:rsidP="00D9756B">
      <w:pPr>
        <w:spacing w:after="120"/>
        <w:ind w:left="-180" w:right="-98"/>
        <w:jc w:val="center"/>
        <w:rPr>
          <w:rFonts w:ascii="Calibri Light" w:hAnsi="Calibri Light"/>
          <w:i/>
          <w:iCs/>
          <w:sz w:val="18"/>
          <w:szCs w:val="18"/>
        </w:rPr>
      </w:pPr>
      <w:r>
        <w:rPr>
          <w:rFonts w:ascii="Calibri Light" w:hAnsi="Calibri Light"/>
          <w:i/>
          <w:iCs/>
          <w:sz w:val="18"/>
          <w:szCs w:val="18"/>
        </w:rPr>
        <w:t xml:space="preserve">‘lim-ba nindee thana warn-ga-ilee’ </w:t>
      </w:r>
      <w:r>
        <w:rPr>
          <w:rFonts w:ascii="Calibri Light" w:hAnsi="Calibri Light"/>
          <w:i/>
          <w:iCs/>
          <w:sz w:val="18"/>
          <w:szCs w:val="18"/>
        </w:rPr>
        <w:br/>
        <w:t>(Preserve our Dreaming Lore) – Gunnai Language</w:t>
      </w:r>
    </w:p>
    <w:p w14:paraId="01650999" w14:textId="77777777" w:rsidR="00D9756B" w:rsidRDefault="00D9756B" w:rsidP="00D9756B">
      <w:pPr>
        <w:spacing w:after="120"/>
        <w:ind w:left="-180" w:right="-98"/>
        <w:jc w:val="center"/>
        <w:rPr>
          <w:rFonts w:ascii="Calibri Light" w:hAnsi="Calibri Light"/>
          <w:i/>
          <w:iCs/>
          <w:sz w:val="18"/>
          <w:szCs w:val="18"/>
        </w:rPr>
      </w:pPr>
      <w:r>
        <w:rPr>
          <w:rFonts w:ascii="Calibri Light" w:hAnsi="Calibri Light"/>
          <w:i/>
          <w:iCs/>
          <w:sz w:val="18"/>
          <w:szCs w:val="18"/>
        </w:rPr>
        <w:t xml:space="preserve">Bitja (Dixon Patten Jnr) Yorta Yorta, Gunnai, </w:t>
      </w:r>
      <w:r>
        <w:rPr>
          <w:rFonts w:ascii="Calibri Light" w:hAnsi="Calibri Light"/>
          <w:i/>
          <w:iCs/>
          <w:sz w:val="18"/>
          <w:szCs w:val="18"/>
        </w:rPr>
        <w:br/>
        <w:t>Gunditjmara and Dhudhuroa of Bayila Creative</w:t>
      </w:r>
    </w:p>
    <w:p w14:paraId="1C2DED07" w14:textId="77777777" w:rsidR="00D9756B" w:rsidRDefault="00D9756B" w:rsidP="00D9756B">
      <w:pPr>
        <w:spacing w:before="440"/>
        <w:rPr>
          <w:rFonts w:ascii="Calibri Light" w:hAnsi="Calibri Light"/>
          <w:sz w:val="19"/>
          <w:szCs w:val="19"/>
        </w:rPr>
        <w:sectPr w:rsidR="00D9756B" w:rsidSect="00D9756B">
          <w:type w:val="continuous"/>
          <w:pgSz w:w="11907" w:h="16840"/>
          <w:pgMar w:top="1138" w:right="1138" w:bottom="1138" w:left="1138" w:header="619" w:footer="562" w:gutter="0"/>
          <w:cols w:num="2" w:space="706"/>
          <w:docGrid w:linePitch="299"/>
        </w:sectPr>
      </w:pPr>
    </w:p>
    <w:p w14:paraId="28EAF319" w14:textId="77777777" w:rsidR="00D9756B" w:rsidRPr="00DC6658" w:rsidRDefault="00D9756B" w:rsidP="00EB7B97">
      <w:pPr>
        <w:spacing w:before="1600"/>
        <w:rPr>
          <w:rFonts w:ascii="Calibri Light" w:hAnsi="Calibri Light"/>
          <w:sz w:val="20"/>
        </w:rPr>
      </w:pPr>
      <w:r w:rsidRPr="00DC6658">
        <w:rPr>
          <w:rFonts w:ascii="Calibri Light" w:hAnsi="Calibri Light"/>
          <w:sz w:val="20"/>
        </w:rPr>
        <w:t>The Secretary</w:t>
      </w:r>
    </w:p>
    <w:p w14:paraId="587CC4FC"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Department of Treasury and Finance</w:t>
      </w:r>
    </w:p>
    <w:p w14:paraId="459DD0E6"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1 Treasury Place</w:t>
      </w:r>
    </w:p>
    <w:p w14:paraId="5263E584"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Melbourne, Victoria, 3002</w:t>
      </w:r>
    </w:p>
    <w:p w14:paraId="5D68CA40"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Australia</w:t>
      </w:r>
    </w:p>
    <w:p w14:paraId="1823D62A"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Tel: +61 3 9651 5111</w:t>
      </w:r>
    </w:p>
    <w:p w14:paraId="573D3A73" w14:textId="77777777" w:rsidR="00D9756B" w:rsidRPr="00DC6658" w:rsidRDefault="00D9756B" w:rsidP="00D9756B">
      <w:pPr>
        <w:spacing w:before="0" w:after="120"/>
        <w:rPr>
          <w:rFonts w:ascii="Calibri Light" w:hAnsi="Calibri Light"/>
          <w:sz w:val="20"/>
        </w:rPr>
      </w:pPr>
      <w:r w:rsidRPr="00DC6658">
        <w:rPr>
          <w:rFonts w:ascii="Calibri Light" w:hAnsi="Calibri Light"/>
          <w:sz w:val="20"/>
        </w:rPr>
        <w:t>Website: budget.vic.gov.au</w:t>
      </w:r>
    </w:p>
    <w:p w14:paraId="62F82B5C" w14:textId="77777777" w:rsidR="00D9756B" w:rsidRPr="00DC6658" w:rsidRDefault="00D9756B" w:rsidP="00D9756B">
      <w:pPr>
        <w:rPr>
          <w:rFonts w:ascii="Calibri Light" w:hAnsi="Calibri Light"/>
          <w:sz w:val="20"/>
        </w:rPr>
      </w:pPr>
      <w:r w:rsidRPr="00DC6658">
        <w:rPr>
          <w:rFonts w:ascii="Calibri Light" w:hAnsi="Calibri Light"/>
          <w:sz w:val="20"/>
        </w:rPr>
        <w:t>Authorised by the Victorian Government</w:t>
      </w:r>
    </w:p>
    <w:p w14:paraId="65A4639A" w14:textId="77777777" w:rsidR="00D9756B" w:rsidRPr="00DC6658" w:rsidRDefault="00D9756B" w:rsidP="00D9756B">
      <w:pPr>
        <w:spacing w:before="0" w:after="120"/>
        <w:rPr>
          <w:rFonts w:ascii="Calibri Light" w:hAnsi="Calibri Light"/>
          <w:sz w:val="20"/>
        </w:rPr>
      </w:pPr>
      <w:r w:rsidRPr="00DC6658">
        <w:rPr>
          <w:rFonts w:ascii="Calibri Light" w:hAnsi="Calibri Light"/>
          <w:sz w:val="20"/>
        </w:rPr>
        <w:t>1 Treasury Place, Melbourne, 3002</w:t>
      </w:r>
    </w:p>
    <w:p w14:paraId="581B1BD3" w14:textId="3EF554B2" w:rsidR="00D9756B" w:rsidRPr="00DC6658" w:rsidRDefault="00D9756B" w:rsidP="00D9756B">
      <w:pPr>
        <w:spacing w:before="0"/>
        <w:contextualSpacing/>
        <w:rPr>
          <w:rFonts w:ascii="Calibri Light" w:hAnsi="Calibri Light"/>
          <w:sz w:val="20"/>
        </w:rPr>
      </w:pPr>
      <w:r w:rsidRPr="00DC6658">
        <w:rPr>
          <w:rFonts w:ascii="Calibri Light" w:hAnsi="Calibri Light"/>
          <w:sz w:val="20"/>
        </w:rPr>
        <w:t>This publication makes reference to the</w:t>
      </w:r>
      <w:r w:rsidR="00EC40BA">
        <w:rPr>
          <w:rFonts w:ascii="Calibri Light" w:hAnsi="Calibri Light"/>
          <w:sz w:val="20"/>
        </w:rPr>
        <w:t xml:space="preserve"> </w:t>
      </w:r>
      <w:r w:rsidRPr="00DC6658">
        <w:rPr>
          <w:rFonts w:ascii="Calibri Light" w:hAnsi="Calibri Light"/>
          <w:sz w:val="20"/>
        </w:rPr>
        <w:t>202</w:t>
      </w:r>
      <w:r w:rsidR="00EC40BA">
        <w:rPr>
          <w:rFonts w:ascii="Calibri Light" w:hAnsi="Calibri Light"/>
          <w:sz w:val="20"/>
        </w:rPr>
        <w:t>6</w:t>
      </w:r>
      <w:r w:rsidRPr="00DC6658">
        <w:rPr>
          <w:rFonts w:ascii="Calibri Light" w:hAnsi="Calibri Light"/>
          <w:sz w:val="20"/>
        </w:rPr>
        <w:t>/2</w:t>
      </w:r>
      <w:r w:rsidR="00EC40BA">
        <w:rPr>
          <w:rFonts w:ascii="Calibri Light" w:hAnsi="Calibri Light"/>
          <w:sz w:val="20"/>
        </w:rPr>
        <w:t>7 </w:t>
      </w:r>
      <w:r w:rsidRPr="00DC6658">
        <w:rPr>
          <w:rFonts w:ascii="Calibri Light" w:hAnsi="Calibri Light"/>
          <w:sz w:val="20"/>
        </w:rPr>
        <w:t>Budget paper set which includes:</w:t>
      </w:r>
    </w:p>
    <w:p w14:paraId="2307494B"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Budget Paper No. 1 – Treasurer’s Speech</w:t>
      </w:r>
    </w:p>
    <w:p w14:paraId="69937B57"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Budget Paper No. 2 – Strategy and Outlook</w:t>
      </w:r>
    </w:p>
    <w:p w14:paraId="59EFA22E"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Budget Paper No. 3 – Service Delivery</w:t>
      </w:r>
    </w:p>
    <w:p w14:paraId="592D95ED" w14:textId="77777777" w:rsidR="00D9756B" w:rsidRPr="00DC6658" w:rsidRDefault="00D9756B" w:rsidP="00D9756B">
      <w:pPr>
        <w:spacing w:before="0"/>
        <w:contextualSpacing/>
        <w:rPr>
          <w:rFonts w:ascii="Calibri Light" w:hAnsi="Calibri Light"/>
          <w:sz w:val="20"/>
        </w:rPr>
      </w:pPr>
      <w:r w:rsidRPr="00DC6658">
        <w:rPr>
          <w:rFonts w:ascii="Calibri Light" w:hAnsi="Calibri Light"/>
          <w:sz w:val="20"/>
        </w:rPr>
        <w:t>Budget Paper No. 4 – State Capital Program</w:t>
      </w:r>
    </w:p>
    <w:p w14:paraId="44DD8F6C" w14:textId="77777777" w:rsidR="00D9756B" w:rsidRPr="00DC6658" w:rsidRDefault="00D9756B" w:rsidP="00D9756B">
      <w:pPr>
        <w:spacing w:before="0"/>
        <w:rPr>
          <w:rFonts w:ascii="Calibri Light" w:hAnsi="Calibri Light"/>
          <w:sz w:val="20"/>
        </w:rPr>
      </w:pPr>
      <w:r w:rsidRPr="00DC6658">
        <w:rPr>
          <w:rFonts w:ascii="Calibri Light" w:hAnsi="Calibri Light"/>
          <w:sz w:val="20"/>
        </w:rPr>
        <w:t>Budget Paper No. 5 – Statement of Finances</w:t>
      </w:r>
    </w:p>
    <w:p w14:paraId="02D3F269" w14:textId="77777777" w:rsidR="00D9756B" w:rsidRPr="00DC6658" w:rsidRDefault="00D9756B" w:rsidP="00D9756B">
      <w:pPr>
        <w:spacing w:before="0"/>
        <w:rPr>
          <w:rFonts w:ascii="Calibri Light" w:hAnsi="Calibri Light"/>
          <w:sz w:val="20"/>
        </w:rPr>
      </w:pPr>
      <w:r w:rsidRPr="00DC6658">
        <w:rPr>
          <w:rFonts w:ascii="Calibri Light" w:hAnsi="Calibri Light"/>
          <w:sz w:val="20"/>
        </w:rPr>
        <w:t>(incorporating Quarterly Financial Report No. 3)</w:t>
      </w:r>
    </w:p>
    <w:p w14:paraId="18076743" w14:textId="00C5FCD4" w:rsidR="00D9756B" w:rsidRPr="00DC6658" w:rsidRDefault="00D9756B" w:rsidP="00EB7B97">
      <w:pPr>
        <w:spacing w:before="1600"/>
        <w:rPr>
          <w:rFonts w:ascii="Calibri Light" w:hAnsi="Calibri Light"/>
          <w:sz w:val="20"/>
        </w:rPr>
      </w:pPr>
      <w:r>
        <w:rPr>
          <w:rFonts w:ascii="Calibri Light" w:hAnsi="Calibri Light"/>
          <w:sz w:val="19"/>
          <w:szCs w:val="19"/>
        </w:rPr>
        <w:br w:type="column"/>
      </w:r>
      <w:r w:rsidRPr="00DC6658">
        <w:rPr>
          <w:rFonts w:ascii="Calibri Light" w:hAnsi="Calibri Light"/>
          <w:sz w:val="20"/>
        </w:rPr>
        <w:t>© State of Victoria 202</w:t>
      </w:r>
      <w:r w:rsidR="00C03AE3">
        <w:rPr>
          <w:rFonts w:ascii="Calibri Light" w:hAnsi="Calibri Light"/>
          <w:sz w:val="20"/>
        </w:rPr>
        <w:t>6</w:t>
      </w:r>
    </w:p>
    <w:p w14:paraId="6F1122E5" w14:textId="77777777" w:rsidR="00D9756B" w:rsidRPr="00DC6658" w:rsidRDefault="00D9756B" w:rsidP="00D9756B">
      <w:pPr>
        <w:spacing w:before="0" w:after="120"/>
        <w:rPr>
          <w:rFonts w:ascii="Calibri Light" w:hAnsi="Calibri Light"/>
          <w:sz w:val="20"/>
        </w:rPr>
      </w:pPr>
      <w:r w:rsidRPr="00DC6658">
        <w:rPr>
          <w:rFonts w:ascii="Calibri Light" w:hAnsi="Calibri Light"/>
          <w:sz w:val="20"/>
        </w:rPr>
        <w:t>(Department of Treasury and Finance)</w:t>
      </w:r>
    </w:p>
    <w:p w14:paraId="7F74ACD0" w14:textId="59E8C42F" w:rsidR="004E4D8B" w:rsidRDefault="004E4D8B" w:rsidP="004E4D8B">
      <w:pPr>
        <w:pStyle w:val="Acknowledgementtext"/>
        <w:spacing w:before="60"/>
      </w:pPr>
      <w:r>
        <w:rPr>
          <w:noProof/>
        </w:rPr>
        <w:drawing>
          <wp:inline distT="0" distB="0" distL="0" distR="0" wp14:anchorId="71EE77C9" wp14:editId="23D2C440">
            <wp:extent cx="1028700" cy="359918"/>
            <wp:effectExtent l="0" t="0" r="0" b="2540"/>
            <wp:doc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7505" name="Picture 1" descr="Creative Commons 4.0 logo&#10;&#10;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5686" cy="376357"/>
                    </a:xfrm>
                    <a:prstGeom prst="rect">
                      <a:avLst/>
                    </a:prstGeom>
                  </pic:spPr>
                </pic:pic>
              </a:graphicData>
            </a:graphic>
          </wp:inline>
        </w:drawing>
      </w:r>
    </w:p>
    <w:p w14:paraId="3A16B10E" w14:textId="77777777" w:rsidR="00D9756B" w:rsidRPr="00DC6658" w:rsidRDefault="00D9756B" w:rsidP="00D9756B">
      <w:pPr>
        <w:spacing w:after="120"/>
        <w:ind w:right="212"/>
        <w:rPr>
          <w:rFonts w:ascii="Calibri Light" w:hAnsi="Calibri Light"/>
          <w:sz w:val="20"/>
        </w:rPr>
      </w:pPr>
      <w:r w:rsidRPr="00DC6658">
        <w:rPr>
          <w:rFonts w:ascii="Calibri Light" w:hAnsi="Calibri Light"/>
          <w:sz w:val="20"/>
        </w:rPr>
        <w:t>You are free to re-use this work under a Creative Commons Attribution 4.0 licence, provided you credit the State of Victoria (Department of Treasury and Finance) as author, indicate if changes were made and comply with the other licence terms. The licence does not apply to any branding, including Government logos.</w:t>
      </w:r>
    </w:p>
    <w:p w14:paraId="13934BEB" w14:textId="77777777" w:rsidR="00D9756B" w:rsidRPr="00DC6658" w:rsidRDefault="00D9756B" w:rsidP="00D9756B">
      <w:pPr>
        <w:spacing w:after="120"/>
        <w:rPr>
          <w:rFonts w:ascii="Calibri Light" w:hAnsi="Calibri Light"/>
          <w:sz w:val="20"/>
        </w:rPr>
      </w:pPr>
      <w:r w:rsidRPr="00DC6658">
        <w:rPr>
          <w:rFonts w:ascii="Calibri Light" w:hAnsi="Calibri Light"/>
          <w:sz w:val="20"/>
        </w:rPr>
        <w:t xml:space="preserve">Copyright queries may be directed to </w:t>
      </w:r>
      <w:r w:rsidRPr="00DC6658">
        <w:rPr>
          <w:rFonts w:ascii="Calibri Light" w:hAnsi="Calibri Light"/>
          <w:sz w:val="20"/>
        </w:rPr>
        <w:br/>
        <w:t>IPpolicy@dtf.vic.gov.au.</w:t>
      </w:r>
    </w:p>
    <w:p w14:paraId="14D42415" w14:textId="77777777" w:rsidR="00D9756B" w:rsidRPr="00DC6658" w:rsidRDefault="00D9756B" w:rsidP="00D9756B">
      <w:pPr>
        <w:spacing w:after="120"/>
        <w:rPr>
          <w:rFonts w:ascii="Calibri Light" w:hAnsi="Calibri Light"/>
          <w:sz w:val="20"/>
        </w:rPr>
      </w:pPr>
      <w:r w:rsidRPr="00DC6658">
        <w:rPr>
          <w:rFonts w:ascii="Calibri Light" w:hAnsi="Calibri Light"/>
          <w:sz w:val="20"/>
        </w:rPr>
        <w:t>ISSN 2204-9185 (print)</w:t>
      </w:r>
      <w:r w:rsidRPr="00DC6658">
        <w:rPr>
          <w:rFonts w:ascii="Calibri Light" w:hAnsi="Calibri Light"/>
          <w:sz w:val="20"/>
        </w:rPr>
        <w:br/>
        <w:t>ISSN 2204-9177 (online)</w:t>
      </w:r>
    </w:p>
    <w:p w14:paraId="2978E577" w14:textId="5C266382" w:rsidR="00D9756B" w:rsidRPr="00DC6658" w:rsidRDefault="00D9756B" w:rsidP="00D9756B">
      <w:pPr>
        <w:spacing w:after="120"/>
        <w:rPr>
          <w:rFonts w:ascii="Calibri Light" w:hAnsi="Calibri Light"/>
          <w:sz w:val="20"/>
        </w:rPr>
      </w:pPr>
      <w:r w:rsidRPr="00DC6658">
        <w:rPr>
          <w:rFonts w:ascii="Calibri Light" w:hAnsi="Calibri Light"/>
          <w:sz w:val="20"/>
        </w:rPr>
        <w:t>Published May 202</w:t>
      </w:r>
      <w:r w:rsidR="00C03AE3">
        <w:rPr>
          <w:rFonts w:ascii="Calibri Light" w:hAnsi="Calibri Light"/>
          <w:sz w:val="20"/>
        </w:rPr>
        <w:t>6</w:t>
      </w:r>
    </w:p>
    <w:p w14:paraId="1E07C3AD" w14:textId="77777777" w:rsidR="00D9756B" w:rsidRDefault="00D9756B" w:rsidP="00D9756B"/>
    <w:p w14:paraId="2AEA753A" w14:textId="77777777" w:rsidR="00D9756B" w:rsidRDefault="00D9756B" w:rsidP="00D9756B"/>
    <w:p w14:paraId="7FA00071" w14:textId="77777777" w:rsidR="00D9756B" w:rsidRDefault="00D9756B" w:rsidP="00D9756B">
      <w:pPr>
        <w:pBdr>
          <w:bottom w:val="single" w:sz="12" w:space="0" w:color="auto"/>
        </w:pBdr>
        <w:spacing w:before="1560"/>
        <w:jc w:val="center"/>
        <w:rPr>
          <w:rFonts w:ascii="Calibri" w:hAnsi="Calibri"/>
          <w:b/>
          <w:sz w:val="52"/>
          <w:szCs w:val="52"/>
        </w:rPr>
        <w:sectPr w:rsidR="00D9756B" w:rsidSect="00D9756B">
          <w:type w:val="continuous"/>
          <w:pgSz w:w="11907" w:h="16840"/>
          <w:pgMar w:top="1138" w:right="1138" w:bottom="1138" w:left="1138" w:header="619" w:footer="562" w:gutter="0"/>
          <w:cols w:num="2" w:space="720"/>
          <w:docGrid w:linePitch="299"/>
        </w:sectPr>
      </w:pPr>
    </w:p>
    <w:p w14:paraId="2F778920" w14:textId="2C7FCCCF" w:rsidR="005122F0" w:rsidRDefault="005122F0" w:rsidP="005122F0">
      <w:pPr>
        <w:pBdr>
          <w:bottom w:val="single" w:sz="12" w:space="0" w:color="auto"/>
        </w:pBdr>
        <w:spacing w:before="1560"/>
        <w:jc w:val="center"/>
        <w:rPr>
          <w:rFonts w:ascii="Calibri" w:hAnsi="Calibri"/>
          <w:b/>
          <w:sz w:val="52"/>
          <w:szCs w:val="52"/>
        </w:rPr>
      </w:pPr>
      <w:r>
        <w:rPr>
          <w:rFonts w:ascii="Calibri" w:hAnsi="Calibri"/>
          <w:b/>
          <w:sz w:val="52"/>
          <w:szCs w:val="52"/>
        </w:rPr>
        <w:lastRenderedPageBreak/>
        <w:t>2026-27</w:t>
      </w:r>
    </w:p>
    <w:p w14:paraId="17D44FF1" w14:textId="77777777" w:rsidR="005122F0" w:rsidRDefault="005122F0" w:rsidP="005122F0">
      <w:pPr>
        <w:jc w:val="center"/>
        <w:rPr>
          <w:rFonts w:ascii="Calibri" w:hAnsi="Calibri"/>
          <w:b/>
          <w:sz w:val="50"/>
          <w:szCs w:val="52"/>
        </w:rPr>
      </w:pPr>
      <w:r>
        <w:rPr>
          <w:rFonts w:ascii="Calibri" w:hAnsi="Calibri"/>
          <w:b/>
          <w:sz w:val="52"/>
          <w:szCs w:val="52"/>
        </w:rPr>
        <w:t xml:space="preserve">Department </w:t>
      </w:r>
      <w:r>
        <w:rPr>
          <w:rFonts w:ascii="Calibri" w:hAnsi="Calibri"/>
          <w:b/>
          <w:sz w:val="52"/>
          <w:szCs w:val="52"/>
        </w:rPr>
        <w:br/>
        <w:t>Performance Statement</w:t>
      </w:r>
    </w:p>
    <w:p w14:paraId="470B96AF" w14:textId="77777777" w:rsidR="005122F0" w:rsidRDefault="005122F0" w:rsidP="005122F0">
      <w:pPr>
        <w:jc w:val="center"/>
        <w:rPr>
          <w:rFonts w:ascii="Calibri" w:hAnsi="Calibri"/>
          <w:sz w:val="30"/>
          <w:szCs w:val="30"/>
        </w:rPr>
      </w:pPr>
    </w:p>
    <w:p w14:paraId="22A09204" w14:textId="77777777" w:rsidR="005122F0" w:rsidRDefault="005122F0" w:rsidP="005122F0">
      <w:pPr>
        <w:jc w:val="center"/>
        <w:rPr>
          <w:rFonts w:ascii="Calibri" w:hAnsi="Calibri"/>
          <w:sz w:val="30"/>
          <w:szCs w:val="30"/>
        </w:rPr>
      </w:pPr>
    </w:p>
    <w:p w14:paraId="7C7400D4" w14:textId="77777777" w:rsidR="00640A15" w:rsidRDefault="00640A15" w:rsidP="00640A15">
      <w:pPr>
        <w:jc w:val="center"/>
        <w:rPr>
          <w:sz w:val="36"/>
          <w:szCs w:val="36"/>
        </w:rPr>
      </w:pPr>
      <w:r>
        <w:rPr>
          <w:noProof/>
          <w:sz w:val="36"/>
          <w:szCs w:val="36"/>
          <w:lang w:eastAsia="en-AU"/>
        </w:rPr>
        <w:drawing>
          <wp:inline distT="0" distB="0" distL="0" distR="0" wp14:anchorId="0950CD80" wp14:editId="7BE868C2">
            <wp:extent cx="930288" cy="1152144"/>
            <wp:effectExtent l="0" t="0" r="3175" b="0"/>
            <wp:docPr id="1117984859" name="Picture 1117984859" descr="State of Victor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84859" name="Picture 1117984859" descr="State of Victoria Coat of Arm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0288" cy="1152144"/>
                    </a:xfrm>
                    <a:prstGeom prst="rect">
                      <a:avLst/>
                    </a:prstGeom>
                  </pic:spPr>
                </pic:pic>
              </a:graphicData>
            </a:graphic>
          </wp:inline>
        </w:drawing>
      </w:r>
    </w:p>
    <w:p w14:paraId="61AB644A" w14:textId="77777777" w:rsidR="005122F0" w:rsidRDefault="005122F0" w:rsidP="005122F0">
      <w:pPr>
        <w:jc w:val="center"/>
        <w:rPr>
          <w:sz w:val="36"/>
          <w:szCs w:val="36"/>
        </w:rPr>
      </w:pPr>
    </w:p>
    <w:p w14:paraId="07336731" w14:textId="77777777" w:rsidR="005122F0" w:rsidRDefault="005122F0" w:rsidP="005122F0">
      <w:pPr>
        <w:jc w:val="center"/>
        <w:rPr>
          <w:sz w:val="36"/>
          <w:szCs w:val="36"/>
        </w:rPr>
      </w:pPr>
    </w:p>
    <w:p w14:paraId="5A0A8363" w14:textId="77777777" w:rsidR="005122F0" w:rsidRDefault="005122F0" w:rsidP="005122F0">
      <w:pPr>
        <w:jc w:val="center"/>
        <w:rPr>
          <w:rFonts w:ascii="Calibri" w:hAnsi="Calibri"/>
          <w:sz w:val="28"/>
          <w:szCs w:val="28"/>
        </w:rPr>
      </w:pPr>
      <w:r>
        <w:rPr>
          <w:rFonts w:ascii="Calibri" w:hAnsi="Calibri"/>
          <w:sz w:val="28"/>
          <w:szCs w:val="28"/>
        </w:rPr>
        <w:t>Presented by</w:t>
      </w:r>
    </w:p>
    <w:p w14:paraId="605F5CD5" w14:textId="77777777" w:rsidR="005122F0" w:rsidRDefault="005122F0" w:rsidP="005122F0">
      <w:pPr>
        <w:jc w:val="center"/>
        <w:rPr>
          <w:rFonts w:ascii="Calibri" w:hAnsi="Calibri" w:cs="Calibri"/>
          <w:b/>
          <w:sz w:val="36"/>
          <w:szCs w:val="36"/>
        </w:rPr>
      </w:pPr>
      <w:r>
        <w:rPr>
          <w:rFonts w:ascii="Calibri" w:hAnsi="Calibri" w:cs="Calibri"/>
          <w:b/>
          <w:sz w:val="36"/>
          <w:szCs w:val="36"/>
        </w:rPr>
        <w:t>Jaclyn Symes MP</w:t>
      </w:r>
    </w:p>
    <w:p w14:paraId="4579387C" w14:textId="77777777" w:rsidR="005122F0" w:rsidRDefault="005122F0" w:rsidP="005122F0">
      <w:pPr>
        <w:jc w:val="center"/>
        <w:rPr>
          <w:rFonts w:ascii="Calibri" w:hAnsi="Calibri" w:cs="Calibri"/>
          <w:sz w:val="28"/>
          <w:szCs w:val="28"/>
        </w:rPr>
      </w:pPr>
      <w:r>
        <w:rPr>
          <w:rFonts w:ascii="Calibri" w:hAnsi="Calibri" w:cs="Calibri"/>
          <w:sz w:val="28"/>
          <w:szCs w:val="28"/>
        </w:rPr>
        <w:t>Treasurer of the State of Victoria</w:t>
      </w:r>
    </w:p>
    <w:p w14:paraId="5678D678" w14:textId="272D254B" w:rsidR="005122F0" w:rsidRDefault="005122F0" w:rsidP="005122F0">
      <w:pPr>
        <w:jc w:val="center"/>
        <w:rPr>
          <w:rFonts w:ascii="Calibri" w:hAnsi="Calibri"/>
          <w:sz w:val="30"/>
          <w:szCs w:val="30"/>
        </w:rPr>
      </w:pPr>
      <w:r>
        <w:rPr>
          <w:rFonts w:ascii="Calibri" w:hAnsi="Calibri"/>
          <w:sz w:val="30"/>
          <w:szCs w:val="30"/>
        </w:rPr>
        <w:t>for the information of Honourable Members</w:t>
      </w:r>
    </w:p>
    <w:p w14:paraId="74C8A93C" w14:textId="77777777" w:rsidR="005122F0" w:rsidRDefault="005122F0" w:rsidP="005122F0">
      <w:pPr>
        <w:jc w:val="center"/>
        <w:rPr>
          <w:rFonts w:ascii="Calibri" w:hAnsi="Calibri"/>
          <w:sz w:val="36"/>
          <w:szCs w:val="36"/>
        </w:rPr>
      </w:pPr>
    </w:p>
    <w:p w14:paraId="5111555D" w14:textId="77777777" w:rsidR="005122F0" w:rsidRDefault="005122F0" w:rsidP="005122F0"/>
    <w:p w14:paraId="2104A049" w14:textId="77777777" w:rsidR="005122F0" w:rsidRDefault="005122F0" w:rsidP="005122F0">
      <w:pPr>
        <w:keepLines w:val="0"/>
        <w:spacing w:before="0"/>
        <w:sectPr w:rsidR="005122F0" w:rsidSect="005122F0">
          <w:pgSz w:w="11907" w:h="16840"/>
          <w:pgMar w:top="1134" w:right="1134" w:bottom="1134" w:left="1134" w:header="624" w:footer="567" w:gutter="0"/>
          <w:cols w:space="720"/>
        </w:sectPr>
      </w:pPr>
    </w:p>
    <w:p w14:paraId="79D473CD" w14:textId="77777777" w:rsidR="005122F0" w:rsidRDefault="005122F0" w:rsidP="005122F0">
      <w:pPr>
        <w:spacing w:after="120"/>
        <w:rPr>
          <w:rFonts w:ascii="Calibri Light" w:hAnsi="Calibri Light"/>
          <w:sz w:val="19"/>
          <w:szCs w:val="19"/>
        </w:rPr>
      </w:pPr>
    </w:p>
    <w:p w14:paraId="666B7568" w14:textId="77777777" w:rsidR="005122F0" w:rsidRDefault="005122F0" w:rsidP="005122F0">
      <w:pPr>
        <w:keepLines w:val="0"/>
        <w:spacing w:before="0"/>
        <w:rPr>
          <w:rFonts w:ascii="Calibri Light" w:hAnsi="Calibri Light"/>
          <w:i/>
          <w:sz w:val="18"/>
          <w:szCs w:val="18"/>
        </w:rPr>
        <w:sectPr w:rsidR="005122F0" w:rsidSect="005122F0">
          <w:type w:val="continuous"/>
          <w:pgSz w:w="11909" w:h="16834"/>
          <w:pgMar w:top="720" w:right="1138" w:bottom="432" w:left="1138" w:header="619" w:footer="562" w:gutter="0"/>
          <w:cols w:num="2" w:space="259"/>
          <w:vAlign w:val="bottom"/>
        </w:sectPr>
      </w:pPr>
    </w:p>
    <w:p w14:paraId="43841363" w14:textId="77777777" w:rsidR="005122F0" w:rsidRDefault="005122F0" w:rsidP="005122F0">
      <w:pPr>
        <w:pStyle w:val="TOCHeading"/>
        <w:rPr>
          <w:lang w:val="en-US"/>
        </w:rPr>
      </w:pPr>
      <w:r>
        <w:rPr>
          <w:lang w:val="en-US"/>
        </w:rPr>
        <w:lastRenderedPageBreak/>
        <w:t>Table of Contents</w:t>
      </w:r>
    </w:p>
    <w:p w14:paraId="2A0C6C93" w14:textId="50336B66" w:rsidR="00F74459" w:rsidRDefault="005122F0">
      <w:pPr>
        <w:pStyle w:val="TOC1"/>
        <w:rPr>
          <w:rFonts w:asciiTheme="minorHAnsi" w:eastAsiaTheme="minorEastAsia" w:hAnsiTheme="minorHAnsi"/>
          <w:b w:val="0"/>
          <w:noProof/>
          <w:kern w:val="2"/>
          <w:sz w:val="24"/>
          <w:szCs w:val="24"/>
          <w:lang w:eastAsia="en-AU"/>
          <w14:ligatures w14:val="standardContextual"/>
        </w:rPr>
      </w:pPr>
      <w:r>
        <w:rPr>
          <w:bCs/>
          <w:spacing w:val="-2"/>
          <w:szCs w:val="19"/>
          <w:lang w:val="en-US"/>
        </w:rPr>
        <w:fldChar w:fldCharType="begin"/>
      </w:r>
      <w:r>
        <w:rPr>
          <w:bCs/>
          <w:lang w:val="en-US"/>
        </w:rPr>
        <w:instrText xml:space="preserve"> TOC \h \z \t "Heading 1,2,Chapter Heading,1" </w:instrText>
      </w:r>
      <w:r>
        <w:rPr>
          <w:bCs/>
          <w:spacing w:val="-2"/>
          <w:szCs w:val="19"/>
          <w:lang w:val="en-US"/>
        </w:rPr>
        <w:fldChar w:fldCharType="separate"/>
      </w:r>
      <w:hyperlink w:anchor="_Toc228288094" w:history="1">
        <w:r w:rsidR="00F74459" w:rsidRPr="007347C1">
          <w:rPr>
            <w:rStyle w:val="Hyperlink"/>
            <w:noProof/>
          </w:rPr>
          <w:t>2026-27 Department Performance Statement</w:t>
        </w:r>
        <w:r w:rsidR="00F74459">
          <w:rPr>
            <w:noProof/>
            <w:webHidden/>
          </w:rPr>
          <w:tab/>
        </w:r>
        <w:r w:rsidR="00F74459">
          <w:rPr>
            <w:noProof/>
            <w:webHidden/>
          </w:rPr>
          <w:fldChar w:fldCharType="begin"/>
        </w:r>
        <w:r w:rsidR="00F74459">
          <w:rPr>
            <w:noProof/>
            <w:webHidden/>
          </w:rPr>
          <w:instrText xml:space="preserve"> PAGEREF _Toc228288094 \h </w:instrText>
        </w:r>
        <w:r w:rsidR="00F74459">
          <w:rPr>
            <w:noProof/>
            <w:webHidden/>
          </w:rPr>
        </w:r>
        <w:r w:rsidR="00F74459">
          <w:rPr>
            <w:noProof/>
            <w:webHidden/>
          </w:rPr>
          <w:fldChar w:fldCharType="separate"/>
        </w:r>
        <w:r w:rsidR="008A4B9B">
          <w:rPr>
            <w:noProof/>
            <w:webHidden/>
          </w:rPr>
          <w:t>1</w:t>
        </w:r>
        <w:r w:rsidR="00F74459">
          <w:rPr>
            <w:noProof/>
            <w:webHidden/>
          </w:rPr>
          <w:fldChar w:fldCharType="end"/>
        </w:r>
      </w:hyperlink>
    </w:p>
    <w:p w14:paraId="39AE1320" w14:textId="55D459B6"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095" w:history="1">
        <w:r w:rsidRPr="007347C1">
          <w:rPr>
            <w:rStyle w:val="Hyperlink"/>
            <w:noProof/>
          </w:rPr>
          <w:t>Department of Education</w:t>
        </w:r>
        <w:r>
          <w:rPr>
            <w:noProof/>
            <w:webHidden/>
          </w:rPr>
          <w:tab/>
        </w:r>
        <w:r>
          <w:rPr>
            <w:noProof/>
            <w:webHidden/>
          </w:rPr>
          <w:fldChar w:fldCharType="begin"/>
        </w:r>
        <w:r>
          <w:rPr>
            <w:noProof/>
            <w:webHidden/>
          </w:rPr>
          <w:instrText xml:space="preserve"> PAGEREF _Toc228288095 \h </w:instrText>
        </w:r>
        <w:r>
          <w:rPr>
            <w:noProof/>
            <w:webHidden/>
          </w:rPr>
        </w:r>
        <w:r>
          <w:rPr>
            <w:noProof/>
            <w:webHidden/>
          </w:rPr>
          <w:fldChar w:fldCharType="separate"/>
        </w:r>
        <w:r w:rsidR="008A4B9B">
          <w:rPr>
            <w:noProof/>
            <w:webHidden/>
          </w:rPr>
          <w:t>3</w:t>
        </w:r>
        <w:r>
          <w:rPr>
            <w:noProof/>
            <w:webHidden/>
          </w:rPr>
          <w:fldChar w:fldCharType="end"/>
        </w:r>
      </w:hyperlink>
    </w:p>
    <w:p w14:paraId="662096A7" w14:textId="7F297D06"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096" w:history="1">
        <w:r w:rsidRPr="007347C1">
          <w:rPr>
            <w:rStyle w:val="Hyperlink"/>
            <w:rFonts w:eastAsia="Times New Roman"/>
            <w:noProof/>
          </w:rPr>
          <w:t>Department of Energy, Environment and Climate Action</w:t>
        </w:r>
        <w:r>
          <w:rPr>
            <w:noProof/>
            <w:webHidden/>
          </w:rPr>
          <w:tab/>
        </w:r>
        <w:r>
          <w:rPr>
            <w:noProof/>
            <w:webHidden/>
          </w:rPr>
          <w:fldChar w:fldCharType="begin"/>
        </w:r>
        <w:r>
          <w:rPr>
            <w:noProof/>
            <w:webHidden/>
          </w:rPr>
          <w:instrText xml:space="preserve"> PAGEREF _Toc228288096 \h </w:instrText>
        </w:r>
        <w:r>
          <w:rPr>
            <w:noProof/>
            <w:webHidden/>
          </w:rPr>
        </w:r>
        <w:r>
          <w:rPr>
            <w:noProof/>
            <w:webHidden/>
          </w:rPr>
          <w:fldChar w:fldCharType="separate"/>
        </w:r>
        <w:r w:rsidR="008A4B9B">
          <w:rPr>
            <w:noProof/>
            <w:webHidden/>
          </w:rPr>
          <w:t>16</w:t>
        </w:r>
        <w:r>
          <w:rPr>
            <w:noProof/>
            <w:webHidden/>
          </w:rPr>
          <w:fldChar w:fldCharType="end"/>
        </w:r>
      </w:hyperlink>
    </w:p>
    <w:p w14:paraId="0B407151" w14:textId="3B19D512"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097" w:history="1">
        <w:r w:rsidRPr="007347C1">
          <w:rPr>
            <w:rStyle w:val="Hyperlink"/>
            <w:noProof/>
          </w:rPr>
          <w:t>Department of Families, Fairness and Housing</w:t>
        </w:r>
        <w:r>
          <w:rPr>
            <w:noProof/>
            <w:webHidden/>
          </w:rPr>
          <w:tab/>
        </w:r>
        <w:r>
          <w:rPr>
            <w:noProof/>
            <w:webHidden/>
          </w:rPr>
          <w:fldChar w:fldCharType="begin"/>
        </w:r>
        <w:r>
          <w:rPr>
            <w:noProof/>
            <w:webHidden/>
          </w:rPr>
          <w:instrText xml:space="preserve"> PAGEREF _Toc228288097 \h </w:instrText>
        </w:r>
        <w:r>
          <w:rPr>
            <w:noProof/>
            <w:webHidden/>
          </w:rPr>
        </w:r>
        <w:r>
          <w:rPr>
            <w:noProof/>
            <w:webHidden/>
          </w:rPr>
          <w:fldChar w:fldCharType="separate"/>
        </w:r>
        <w:r w:rsidR="008A4B9B">
          <w:rPr>
            <w:noProof/>
            <w:webHidden/>
          </w:rPr>
          <w:t>36</w:t>
        </w:r>
        <w:r>
          <w:rPr>
            <w:noProof/>
            <w:webHidden/>
          </w:rPr>
          <w:fldChar w:fldCharType="end"/>
        </w:r>
      </w:hyperlink>
    </w:p>
    <w:p w14:paraId="4247F270" w14:textId="22717B28"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098" w:history="1">
        <w:r w:rsidRPr="007347C1">
          <w:rPr>
            <w:rStyle w:val="Hyperlink"/>
            <w:noProof/>
          </w:rPr>
          <w:t>Department of Government Services</w:t>
        </w:r>
        <w:r>
          <w:rPr>
            <w:noProof/>
            <w:webHidden/>
          </w:rPr>
          <w:tab/>
        </w:r>
        <w:r>
          <w:rPr>
            <w:noProof/>
            <w:webHidden/>
          </w:rPr>
          <w:fldChar w:fldCharType="begin"/>
        </w:r>
        <w:r>
          <w:rPr>
            <w:noProof/>
            <w:webHidden/>
          </w:rPr>
          <w:instrText xml:space="preserve"> PAGEREF _Toc228288098 \h </w:instrText>
        </w:r>
        <w:r>
          <w:rPr>
            <w:noProof/>
            <w:webHidden/>
          </w:rPr>
        </w:r>
        <w:r>
          <w:rPr>
            <w:noProof/>
            <w:webHidden/>
          </w:rPr>
          <w:fldChar w:fldCharType="separate"/>
        </w:r>
        <w:r w:rsidR="008A4B9B">
          <w:rPr>
            <w:noProof/>
            <w:webHidden/>
          </w:rPr>
          <w:t>52</w:t>
        </w:r>
        <w:r>
          <w:rPr>
            <w:noProof/>
            <w:webHidden/>
          </w:rPr>
          <w:fldChar w:fldCharType="end"/>
        </w:r>
      </w:hyperlink>
    </w:p>
    <w:p w14:paraId="5D2C8D80" w14:textId="4F321B24"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099" w:history="1">
        <w:r w:rsidRPr="007347C1">
          <w:rPr>
            <w:rStyle w:val="Hyperlink"/>
            <w:noProof/>
          </w:rPr>
          <w:t>Department of Health</w:t>
        </w:r>
        <w:r>
          <w:rPr>
            <w:noProof/>
            <w:webHidden/>
          </w:rPr>
          <w:tab/>
        </w:r>
        <w:r>
          <w:rPr>
            <w:noProof/>
            <w:webHidden/>
          </w:rPr>
          <w:fldChar w:fldCharType="begin"/>
        </w:r>
        <w:r>
          <w:rPr>
            <w:noProof/>
            <w:webHidden/>
          </w:rPr>
          <w:instrText xml:space="preserve"> PAGEREF _Toc228288099 \h </w:instrText>
        </w:r>
        <w:r>
          <w:rPr>
            <w:noProof/>
            <w:webHidden/>
          </w:rPr>
        </w:r>
        <w:r>
          <w:rPr>
            <w:noProof/>
            <w:webHidden/>
          </w:rPr>
          <w:fldChar w:fldCharType="separate"/>
        </w:r>
        <w:r w:rsidR="008A4B9B">
          <w:rPr>
            <w:noProof/>
            <w:webHidden/>
          </w:rPr>
          <w:t>61</w:t>
        </w:r>
        <w:r>
          <w:rPr>
            <w:noProof/>
            <w:webHidden/>
          </w:rPr>
          <w:fldChar w:fldCharType="end"/>
        </w:r>
      </w:hyperlink>
    </w:p>
    <w:p w14:paraId="113D4709" w14:textId="75FD510B"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0" w:history="1">
        <w:r w:rsidRPr="007347C1">
          <w:rPr>
            <w:rStyle w:val="Hyperlink"/>
            <w:noProof/>
          </w:rPr>
          <w:t>Department of Jobs, Skills, Industry and Regions</w:t>
        </w:r>
        <w:r>
          <w:rPr>
            <w:noProof/>
            <w:webHidden/>
          </w:rPr>
          <w:tab/>
        </w:r>
        <w:r>
          <w:rPr>
            <w:noProof/>
            <w:webHidden/>
          </w:rPr>
          <w:fldChar w:fldCharType="begin"/>
        </w:r>
        <w:r>
          <w:rPr>
            <w:noProof/>
            <w:webHidden/>
          </w:rPr>
          <w:instrText xml:space="preserve"> PAGEREF _Toc228288100 \h </w:instrText>
        </w:r>
        <w:r>
          <w:rPr>
            <w:noProof/>
            <w:webHidden/>
          </w:rPr>
        </w:r>
        <w:r>
          <w:rPr>
            <w:noProof/>
            <w:webHidden/>
          </w:rPr>
          <w:fldChar w:fldCharType="separate"/>
        </w:r>
        <w:r w:rsidR="008A4B9B">
          <w:rPr>
            <w:noProof/>
            <w:webHidden/>
          </w:rPr>
          <w:t>78</w:t>
        </w:r>
        <w:r>
          <w:rPr>
            <w:noProof/>
            <w:webHidden/>
          </w:rPr>
          <w:fldChar w:fldCharType="end"/>
        </w:r>
      </w:hyperlink>
    </w:p>
    <w:p w14:paraId="76DAEE72" w14:textId="3091C1BF"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1" w:history="1">
        <w:r w:rsidRPr="007347C1">
          <w:rPr>
            <w:rStyle w:val="Hyperlink"/>
            <w:noProof/>
          </w:rPr>
          <w:t>Department of Justice and Community Safety</w:t>
        </w:r>
        <w:r>
          <w:rPr>
            <w:noProof/>
            <w:webHidden/>
          </w:rPr>
          <w:tab/>
        </w:r>
        <w:r>
          <w:rPr>
            <w:noProof/>
            <w:webHidden/>
          </w:rPr>
          <w:fldChar w:fldCharType="begin"/>
        </w:r>
        <w:r>
          <w:rPr>
            <w:noProof/>
            <w:webHidden/>
          </w:rPr>
          <w:instrText xml:space="preserve"> PAGEREF _Toc228288101 \h </w:instrText>
        </w:r>
        <w:r>
          <w:rPr>
            <w:noProof/>
            <w:webHidden/>
          </w:rPr>
        </w:r>
        <w:r>
          <w:rPr>
            <w:noProof/>
            <w:webHidden/>
          </w:rPr>
          <w:fldChar w:fldCharType="separate"/>
        </w:r>
        <w:r w:rsidR="008A4B9B">
          <w:rPr>
            <w:noProof/>
            <w:webHidden/>
          </w:rPr>
          <w:t>96</w:t>
        </w:r>
        <w:r>
          <w:rPr>
            <w:noProof/>
            <w:webHidden/>
          </w:rPr>
          <w:fldChar w:fldCharType="end"/>
        </w:r>
      </w:hyperlink>
    </w:p>
    <w:p w14:paraId="47FA84DF" w14:textId="5AF3844E"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2" w:history="1">
        <w:r w:rsidRPr="007347C1">
          <w:rPr>
            <w:rStyle w:val="Hyperlink"/>
            <w:noProof/>
          </w:rPr>
          <w:t>Department of Premier and Cabinet</w:t>
        </w:r>
        <w:r>
          <w:rPr>
            <w:noProof/>
            <w:webHidden/>
          </w:rPr>
          <w:tab/>
        </w:r>
        <w:r>
          <w:rPr>
            <w:noProof/>
            <w:webHidden/>
          </w:rPr>
          <w:fldChar w:fldCharType="begin"/>
        </w:r>
        <w:r>
          <w:rPr>
            <w:noProof/>
            <w:webHidden/>
          </w:rPr>
          <w:instrText xml:space="preserve"> PAGEREF _Toc228288102 \h </w:instrText>
        </w:r>
        <w:r>
          <w:rPr>
            <w:noProof/>
            <w:webHidden/>
          </w:rPr>
        </w:r>
        <w:r>
          <w:rPr>
            <w:noProof/>
            <w:webHidden/>
          </w:rPr>
          <w:fldChar w:fldCharType="separate"/>
        </w:r>
        <w:r w:rsidR="008A4B9B">
          <w:rPr>
            <w:noProof/>
            <w:webHidden/>
          </w:rPr>
          <w:t>117</w:t>
        </w:r>
        <w:r>
          <w:rPr>
            <w:noProof/>
            <w:webHidden/>
          </w:rPr>
          <w:fldChar w:fldCharType="end"/>
        </w:r>
      </w:hyperlink>
    </w:p>
    <w:p w14:paraId="70C849C8" w14:textId="482B52F9"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3" w:history="1">
        <w:r w:rsidRPr="007347C1">
          <w:rPr>
            <w:rStyle w:val="Hyperlink"/>
            <w:noProof/>
          </w:rPr>
          <w:t>Department of Transport and Planning</w:t>
        </w:r>
        <w:r>
          <w:rPr>
            <w:noProof/>
            <w:webHidden/>
          </w:rPr>
          <w:tab/>
        </w:r>
        <w:r>
          <w:rPr>
            <w:noProof/>
            <w:webHidden/>
          </w:rPr>
          <w:fldChar w:fldCharType="begin"/>
        </w:r>
        <w:r>
          <w:rPr>
            <w:noProof/>
            <w:webHidden/>
          </w:rPr>
          <w:instrText xml:space="preserve"> PAGEREF _Toc228288103 \h </w:instrText>
        </w:r>
        <w:r>
          <w:rPr>
            <w:noProof/>
            <w:webHidden/>
          </w:rPr>
        </w:r>
        <w:r>
          <w:rPr>
            <w:noProof/>
            <w:webHidden/>
          </w:rPr>
          <w:fldChar w:fldCharType="separate"/>
        </w:r>
        <w:r w:rsidR="008A4B9B">
          <w:rPr>
            <w:noProof/>
            <w:webHidden/>
          </w:rPr>
          <w:t>127</w:t>
        </w:r>
        <w:r>
          <w:rPr>
            <w:noProof/>
            <w:webHidden/>
          </w:rPr>
          <w:fldChar w:fldCharType="end"/>
        </w:r>
      </w:hyperlink>
    </w:p>
    <w:p w14:paraId="4EC377A4" w14:textId="4165C16E"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4" w:history="1">
        <w:r w:rsidRPr="007347C1">
          <w:rPr>
            <w:rStyle w:val="Hyperlink"/>
            <w:noProof/>
          </w:rPr>
          <w:t>Department of Treasury and Finance</w:t>
        </w:r>
        <w:r>
          <w:rPr>
            <w:noProof/>
            <w:webHidden/>
          </w:rPr>
          <w:tab/>
        </w:r>
        <w:r>
          <w:rPr>
            <w:noProof/>
            <w:webHidden/>
          </w:rPr>
          <w:fldChar w:fldCharType="begin"/>
        </w:r>
        <w:r>
          <w:rPr>
            <w:noProof/>
            <w:webHidden/>
          </w:rPr>
          <w:instrText xml:space="preserve"> PAGEREF _Toc228288104 \h </w:instrText>
        </w:r>
        <w:r>
          <w:rPr>
            <w:noProof/>
            <w:webHidden/>
          </w:rPr>
        </w:r>
        <w:r>
          <w:rPr>
            <w:noProof/>
            <w:webHidden/>
          </w:rPr>
          <w:fldChar w:fldCharType="separate"/>
        </w:r>
        <w:r w:rsidR="008A4B9B">
          <w:rPr>
            <w:noProof/>
            <w:webHidden/>
          </w:rPr>
          <w:t>146</w:t>
        </w:r>
        <w:r>
          <w:rPr>
            <w:noProof/>
            <w:webHidden/>
          </w:rPr>
          <w:fldChar w:fldCharType="end"/>
        </w:r>
      </w:hyperlink>
    </w:p>
    <w:p w14:paraId="3BD19D54" w14:textId="456BA44F"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5" w:history="1">
        <w:r w:rsidRPr="007347C1">
          <w:rPr>
            <w:rStyle w:val="Hyperlink"/>
            <w:noProof/>
          </w:rPr>
          <w:t xml:space="preserve">Parliament </w:t>
        </w:r>
        <w:r>
          <w:rPr>
            <w:rStyle w:val="Hyperlink"/>
            <w:noProof/>
          </w:rPr>
          <w:br/>
        </w:r>
        <w:r w:rsidRPr="0075271E">
          <w:rPr>
            <w:rStyle w:val="Hyperlink"/>
            <w:noProof/>
            <w:sz w:val="19"/>
            <w:szCs w:val="19"/>
          </w:rPr>
          <w:t>(Including the Victorian Auditor-General’s Office, Parliamentary Budget Office, and the integrity agencies)</w:t>
        </w:r>
        <w:r>
          <w:rPr>
            <w:noProof/>
            <w:webHidden/>
          </w:rPr>
          <w:tab/>
        </w:r>
        <w:r>
          <w:rPr>
            <w:noProof/>
            <w:webHidden/>
          </w:rPr>
          <w:fldChar w:fldCharType="begin"/>
        </w:r>
        <w:r>
          <w:rPr>
            <w:noProof/>
            <w:webHidden/>
          </w:rPr>
          <w:instrText xml:space="preserve"> PAGEREF _Toc228288105 \h </w:instrText>
        </w:r>
        <w:r>
          <w:rPr>
            <w:noProof/>
            <w:webHidden/>
          </w:rPr>
        </w:r>
        <w:r>
          <w:rPr>
            <w:noProof/>
            <w:webHidden/>
          </w:rPr>
          <w:fldChar w:fldCharType="separate"/>
        </w:r>
        <w:r w:rsidR="008A4B9B">
          <w:rPr>
            <w:noProof/>
            <w:webHidden/>
          </w:rPr>
          <w:t>157</w:t>
        </w:r>
        <w:r>
          <w:rPr>
            <w:noProof/>
            <w:webHidden/>
          </w:rPr>
          <w:fldChar w:fldCharType="end"/>
        </w:r>
      </w:hyperlink>
    </w:p>
    <w:p w14:paraId="738D75AE" w14:textId="75385820"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6" w:history="1">
        <w:r w:rsidRPr="007347C1">
          <w:rPr>
            <w:rStyle w:val="Hyperlink"/>
            <w:noProof/>
          </w:rPr>
          <w:t>Court Services Victoria</w:t>
        </w:r>
        <w:r>
          <w:rPr>
            <w:noProof/>
            <w:webHidden/>
          </w:rPr>
          <w:tab/>
        </w:r>
        <w:r>
          <w:rPr>
            <w:noProof/>
            <w:webHidden/>
          </w:rPr>
          <w:fldChar w:fldCharType="begin"/>
        </w:r>
        <w:r>
          <w:rPr>
            <w:noProof/>
            <w:webHidden/>
          </w:rPr>
          <w:instrText xml:space="preserve"> PAGEREF _Toc228288106 \h </w:instrText>
        </w:r>
        <w:r>
          <w:rPr>
            <w:noProof/>
            <w:webHidden/>
          </w:rPr>
        </w:r>
        <w:r>
          <w:rPr>
            <w:noProof/>
            <w:webHidden/>
          </w:rPr>
          <w:fldChar w:fldCharType="separate"/>
        </w:r>
        <w:r w:rsidR="008A4B9B">
          <w:rPr>
            <w:noProof/>
            <w:webHidden/>
          </w:rPr>
          <w:t>172</w:t>
        </w:r>
        <w:r>
          <w:rPr>
            <w:noProof/>
            <w:webHidden/>
          </w:rPr>
          <w:fldChar w:fldCharType="end"/>
        </w:r>
      </w:hyperlink>
    </w:p>
    <w:p w14:paraId="14E89012" w14:textId="5EFA6DC3" w:rsidR="00F74459" w:rsidRDefault="00F74459">
      <w:pPr>
        <w:pStyle w:val="TOC1"/>
        <w:rPr>
          <w:rFonts w:asciiTheme="minorHAnsi" w:eastAsiaTheme="minorEastAsia" w:hAnsiTheme="minorHAnsi"/>
          <w:b w:val="0"/>
          <w:noProof/>
          <w:kern w:val="2"/>
          <w:sz w:val="24"/>
          <w:szCs w:val="24"/>
          <w:lang w:eastAsia="en-AU"/>
          <w14:ligatures w14:val="standardContextual"/>
        </w:rPr>
      </w:pPr>
      <w:hyperlink w:anchor="_Toc228288107" w:history="1">
        <w:r w:rsidRPr="007347C1">
          <w:rPr>
            <w:rStyle w:val="Hyperlink"/>
            <w:noProof/>
          </w:rPr>
          <w:t xml:space="preserve">Appendix A – Output performance measures for review by the Public Accounts and </w:t>
        </w:r>
        <w:r>
          <w:rPr>
            <w:rStyle w:val="Hyperlink"/>
            <w:noProof/>
          </w:rPr>
          <w:br/>
        </w:r>
        <w:r w:rsidRPr="007347C1">
          <w:rPr>
            <w:rStyle w:val="Hyperlink"/>
            <w:noProof/>
          </w:rPr>
          <w:t>Estimates Committee</w:t>
        </w:r>
        <w:r>
          <w:rPr>
            <w:noProof/>
            <w:webHidden/>
          </w:rPr>
          <w:tab/>
        </w:r>
        <w:r>
          <w:rPr>
            <w:noProof/>
            <w:webHidden/>
          </w:rPr>
          <w:fldChar w:fldCharType="begin"/>
        </w:r>
        <w:r>
          <w:rPr>
            <w:noProof/>
            <w:webHidden/>
          </w:rPr>
          <w:instrText xml:space="preserve"> PAGEREF _Toc228288107 \h </w:instrText>
        </w:r>
        <w:r>
          <w:rPr>
            <w:noProof/>
            <w:webHidden/>
          </w:rPr>
        </w:r>
        <w:r>
          <w:rPr>
            <w:noProof/>
            <w:webHidden/>
          </w:rPr>
          <w:fldChar w:fldCharType="separate"/>
        </w:r>
        <w:r w:rsidR="008A4B9B">
          <w:rPr>
            <w:noProof/>
            <w:webHidden/>
          </w:rPr>
          <w:t>177</w:t>
        </w:r>
        <w:r>
          <w:rPr>
            <w:noProof/>
            <w:webHidden/>
          </w:rPr>
          <w:fldChar w:fldCharType="end"/>
        </w:r>
      </w:hyperlink>
    </w:p>
    <w:p w14:paraId="38EBBFC2" w14:textId="012E18A3"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8" w:history="1">
        <w:r w:rsidRPr="007347C1">
          <w:rPr>
            <w:rStyle w:val="Hyperlink"/>
            <w:noProof/>
          </w:rPr>
          <w:t>Department of Education</w:t>
        </w:r>
        <w:r>
          <w:rPr>
            <w:noProof/>
            <w:webHidden/>
          </w:rPr>
          <w:tab/>
        </w:r>
        <w:r>
          <w:rPr>
            <w:noProof/>
            <w:webHidden/>
          </w:rPr>
          <w:fldChar w:fldCharType="begin"/>
        </w:r>
        <w:r>
          <w:rPr>
            <w:noProof/>
            <w:webHidden/>
          </w:rPr>
          <w:instrText xml:space="preserve"> PAGEREF _Toc228288108 \h </w:instrText>
        </w:r>
        <w:r>
          <w:rPr>
            <w:noProof/>
            <w:webHidden/>
          </w:rPr>
        </w:r>
        <w:r>
          <w:rPr>
            <w:noProof/>
            <w:webHidden/>
          </w:rPr>
          <w:fldChar w:fldCharType="separate"/>
        </w:r>
        <w:r w:rsidR="008A4B9B">
          <w:rPr>
            <w:noProof/>
            <w:webHidden/>
          </w:rPr>
          <w:t>177</w:t>
        </w:r>
        <w:r>
          <w:rPr>
            <w:noProof/>
            <w:webHidden/>
          </w:rPr>
          <w:fldChar w:fldCharType="end"/>
        </w:r>
      </w:hyperlink>
    </w:p>
    <w:p w14:paraId="47283850" w14:textId="553EC7A4"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09" w:history="1">
        <w:r w:rsidRPr="007347C1">
          <w:rPr>
            <w:rStyle w:val="Hyperlink"/>
            <w:noProof/>
          </w:rPr>
          <w:t>Department of Energy, Environment and Climate Action</w:t>
        </w:r>
        <w:r>
          <w:rPr>
            <w:noProof/>
            <w:webHidden/>
          </w:rPr>
          <w:tab/>
        </w:r>
        <w:r>
          <w:rPr>
            <w:noProof/>
            <w:webHidden/>
          </w:rPr>
          <w:fldChar w:fldCharType="begin"/>
        </w:r>
        <w:r>
          <w:rPr>
            <w:noProof/>
            <w:webHidden/>
          </w:rPr>
          <w:instrText xml:space="preserve"> PAGEREF _Toc228288109 \h </w:instrText>
        </w:r>
        <w:r>
          <w:rPr>
            <w:noProof/>
            <w:webHidden/>
          </w:rPr>
        </w:r>
        <w:r>
          <w:rPr>
            <w:noProof/>
            <w:webHidden/>
          </w:rPr>
          <w:fldChar w:fldCharType="separate"/>
        </w:r>
        <w:r w:rsidR="008A4B9B">
          <w:rPr>
            <w:noProof/>
            <w:webHidden/>
          </w:rPr>
          <w:t>178</w:t>
        </w:r>
        <w:r>
          <w:rPr>
            <w:noProof/>
            <w:webHidden/>
          </w:rPr>
          <w:fldChar w:fldCharType="end"/>
        </w:r>
      </w:hyperlink>
    </w:p>
    <w:p w14:paraId="6D052FCC" w14:textId="45C8362A"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0" w:history="1">
        <w:r w:rsidRPr="007347C1">
          <w:rPr>
            <w:rStyle w:val="Hyperlink"/>
            <w:noProof/>
          </w:rPr>
          <w:t>Department of Families, Fairness and Housing</w:t>
        </w:r>
        <w:r>
          <w:rPr>
            <w:noProof/>
            <w:webHidden/>
          </w:rPr>
          <w:tab/>
        </w:r>
        <w:r>
          <w:rPr>
            <w:noProof/>
            <w:webHidden/>
          </w:rPr>
          <w:fldChar w:fldCharType="begin"/>
        </w:r>
        <w:r>
          <w:rPr>
            <w:noProof/>
            <w:webHidden/>
          </w:rPr>
          <w:instrText xml:space="preserve"> PAGEREF _Toc228288110 \h </w:instrText>
        </w:r>
        <w:r>
          <w:rPr>
            <w:noProof/>
            <w:webHidden/>
          </w:rPr>
        </w:r>
        <w:r>
          <w:rPr>
            <w:noProof/>
            <w:webHidden/>
          </w:rPr>
          <w:fldChar w:fldCharType="separate"/>
        </w:r>
        <w:r w:rsidR="008A4B9B">
          <w:rPr>
            <w:noProof/>
            <w:webHidden/>
          </w:rPr>
          <w:t>179</w:t>
        </w:r>
        <w:r>
          <w:rPr>
            <w:noProof/>
            <w:webHidden/>
          </w:rPr>
          <w:fldChar w:fldCharType="end"/>
        </w:r>
      </w:hyperlink>
    </w:p>
    <w:p w14:paraId="7B07A409" w14:textId="2C8DA804"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1" w:history="1">
        <w:r w:rsidRPr="007347C1">
          <w:rPr>
            <w:rStyle w:val="Hyperlink"/>
            <w:noProof/>
          </w:rPr>
          <w:t>Department of Government Services</w:t>
        </w:r>
        <w:r>
          <w:rPr>
            <w:noProof/>
            <w:webHidden/>
          </w:rPr>
          <w:tab/>
        </w:r>
        <w:r>
          <w:rPr>
            <w:noProof/>
            <w:webHidden/>
          </w:rPr>
          <w:fldChar w:fldCharType="begin"/>
        </w:r>
        <w:r>
          <w:rPr>
            <w:noProof/>
            <w:webHidden/>
          </w:rPr>
          <w:instrText xml:space="preserve"> PAGEREF _Toc228288111 \h </w:instrText>
        </w:r>
        <w:r>
          <w:rPr>
            <w:noProof/>
            <w:webHidden/>
          </w:rPr>
        </w:r>
        <w:r>
          <w:rPr>
            <w:noProof/>
            <w:webHidden/>
          </w:rPr>
          <w:fldChar w:fldCharType="separate"/>
        </w:r>
        <w:r w:rsidR="008A4B9B">
          <w:rPr>
            <w:noProof/>
            <w:webHidden/>
          </w:rPr>
          <w:t>180</w:t>
        </w:r>
        <w:r>
          <w:rPr>
            <w:noProof/>
            <w:webHidden/>
          </w:rPr>
          <w:fldChar w:fldCharType="end"/>
        </w:r>
      </w:hyperlink>
    </w:p>
    <w:p w14:paraId="6F2CE215" w14:textId="51B8F2AF"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2" w:history="1">
        <w:r w:rsidRPr="007347C1">
          <w:rPr>
            <w:rStyle w:val="Hyperlink"/>
            <w:noProof/>
          </w:rPr>
          <w:t>Department of Health</w:t>
        </w:r>
        <w:r>
          <w:rPr>
            <w:noProof/>
            <w:webHidden/>
          </w:rPr>
          <w:tab/>
        </w:r>
        <w:r>
          <w:rPr>
            <w:noProof/>
            <w:webHidden/>
          </w:rPr>
          <w:fldChar w:fldCharType="begin"/>
        </w:r>
        <w:r>
          <w:rPr>
            <w:noProof/>
            <w:webHidden/>
          </w:rPr>
          <w:instrText xml:space="preserve"> PAGEREF _Toc228288112 \h </w:instrText>
        </w:r>
        <w:r>
          <w:rPr>
            <w:noProof/>
            <w:webHidden/>
          </w:rPr>
        </w:r>
        <w:r>
          <w:rPr>
            <w:noProof/>
            <w:webHidden/>
          </w:rPr>
          <w:fldChar w:fldCharType="separate"/>
        </w:r>
        <w:r w:rsidR="008A4B9B">
          <w:rPr>
            <w:noProof/>
            <w:webHidden/>
          </w:rPr>
          <w:t>181</w:t>
        </w:r>
        <w:r>
          <w:rPr>
            <w:noProof/>
            <w:webHidden/>
          </w:rPr>
          <w:fldChar w:fldCharType="end"/>
        </w:r>
      </w:hyperlink>
    </w:p>
    <w:p w14:paraId="27EA205D" w14:textId="06F26957"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3" w:history="1">
        <w:r w:rsidRPr="007347C1">
          <w:rPr>
            <w:rStyle w:val="Hyperlink"/>
            <w:noProof/>
          </w:rPr>
          <w:t>Department of Jobs, Skills, Industry and Regions</w:t>
        </w:r>
        <w:r>
          <w:rPr>
            <w:noProof/>
            <w:webHidden/>
          </w:rPr>
          <w:tab/>
        </w:r>
        <w:r>
          <w:rPr>
            <w:noProof/>
            <w:webHidden/>
          </w:rPr>
          <w:fldChar w:fldCharType="begin"/>
        </w:r>
        <w:r>
          <w:rPr>
            <w:noProof/>
            <w:webHidden/>
          </w:rPr>
          <w:instrText xml:space="preserve"> PAGEREF _Toc228288113 \h </w:instrText>
        </w:r>
        <w:r>
          <w:rPr>
            <w:noProof/>
            <w:webHidden/>
          </w:rPr>
        </w:r>
        <w:r>
          <w:rPr>
            <w:noProof/>
            <w:webHidden/>
          </w:rPr>
          <w:fldChar w:fldCharType="separate"/>
        </w:r>
        <w:r w:rsidR="008A4B9B">
          <w:rPr>
            <w:noProof/>
            <w:webHidden/>
          </w:rPr>
          <w:t>182</w:t>
        </w:r>
        <w:r>
          <w:rPr>
            <w:noProof/>
            <w:webHidden/>
          </w:rPr>
          <w:fldChar w:fldCharType="end"/>
        </w:r>
      </w:hyperlink>
    </w:p>
    <w:p w14:paraId="5BE85671" w14:textId="08CF8B9D"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4" w:history="1">
        <w:r w:rsidRPr="007347C1">
          <w:rPr>
            <w:rStyle w:val="Hyperlink"/>
            <w:noProof/>
          </w:rPr>
          <w:t>Department of Justice and Community Safety</w:t>
        </w:r>
        <w:r>
          <w:rPr>
            <w:noProof/>
            <w:webHidden/>
          </w:rPr>
          <w:tab/>
        </w:r>
        <w:r>
          <w:rPr>
            <w:noProof/>
            <w:webHidden/>
          </w:rPr>
          <w:fldChar w:fldCharType="begin"/>
        </w:r>
        <w:r>
          <w:rPr>
            <w:noProof/>
            <w:webHidden/>
          </w:rPr>
          <w:instrText xml:space="preserve"> PAGEREF _Toc228288114 \h </w:instrText>
        </w:r>
        <w:r>
          <w:rPr>
            <w:noProof/>
            <w:webHidden/>
          </w:rPr>
        </w:r>
        <w:r>
          <w:rPr>
            <w:noProof/>
            <w:webHidden/>
          </w:rPr>
          <w:fldChar w:fldCharType="separate"/>
        </w:r>
        <w:r w:rsidR="008A4B9B">
          <w:rPr>
            <w:noProof/>
            <w:webHidden/>
          </w:rPr>
          <w:t>183</w:t>
        </w:r>
        <w:r>
          <w:rPr>
            <w:noProof/>
            <w:webHidden/>
          </w:rPr>
          <w:fldChar w:fldCharType="end"/>
        </w:r>
      </w:hyperlink>
    </w:p>
    <w:p w14:paraId="7B4911E7" w14:textId="32F9D6EF"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5" w:history="1">
        <w:r w:rsidRPr="007347C1">
          <w:rPr>
            <w:rStyle w:val="Hyperlink"/>
            <w:noProof/>
          </w:rPr>
          <w:t>Department of Premier and Cabinet</w:t>
        </w:r>
        <w:r>
          <w:rPr>
            <w:noProof/>
            <w:webHidden/>
          </w:rPr>
          <w:tab/>
        </w:r>
        <w:r>
          <w:rPr>
            <w:noProof/>
            <w:webHidden/>
          </w:rPr>
          <w:fldChar w:fldCharType="begin"/>
        </w:r>
        <w:r>
          <w:rPr>
            <w:noProof/>
            <w:webHidden/>
          </w:rPr>
          <w:instrText xml:space="preserve"> PAGEREF _Toc228288115 \h </w:instrText>
        </w:r>
        <w:r>
          <w:rPr>
            <w:noProof/>
            <w:webHidden/>
          </w:rPr>
        </w:r>
        <w:r>
          <w:rPr>
            <w:noProof/>
            <w:webHidden/>
          </w:rPr>
          <w:fldChar w:fldCharType="separate"/>
        </w:r>
        <w:r w:rsidR="008A4B9B">
          <w:rPr>
            <w:noProof/>
            <w:webHidden/>
          </w:rPr>
          <w:t>184</w:t>
        </w:r>
        <w:r>
          <w:rPr>
            <w:noProof/>
            <w:webHidden/>
          </w:rPr>
          <w:fldChar w:fldCharType="end"/>
        </w:r>
      </w:hyperlink>
    </w:p>
    <w:p w14:paraId="3D40B77D" w14:textId="55E12E54"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6" w:history="1">
        <w:r w:rsidRPr="007347C1">
          <w:rPr>
            <w:rStyle w:val="Hyperlink"/>
            <w:noProof/>
          </w:rPr>
          <w:t>Department of Transport and Planning</w:t>
        </w:r>
        <w:r>
          <w:rPr>
            <w:noProof/>
            <w:webHidden/>
          </w:rPr>
          <w:tab/>
        </w:r>
        <w:r>
          <w:rPr>
            <w:noProof/>
            <w:webHidden/>
          </w:rPr>
          <w:fldChar w:fldCharType="begin"/>
        </w:r>
        <w:r>
          <w:rPr>
            <w:noProof/>
            <w:webHidden/>
          </w:rPr>
          <w:instrText xml:space="preserve"> PAGEREF _Toc228288116 \h </w:instrText>
        </w:r>
        <w:r>
          <w:rPr>
            <w:noProof/>
            <w:webHidden/>
          </w:rPr>
        </w:r>
        <w:r>
          <w:rPr>
            <w:noProof/>
            <w:webHidden/>
          </w:rPr>
          <w:fldChar w:fldCharType="separate"/>
        </w:r>
        <w:r w:rsidR="008A4B9B">
          <w:rPr>
            <w:noProof/>
            <w:webHidden/>
          </w:rPr>
          <w:t>185</w:t>
        </w:r>
        <w:r>
          <w:rPr>
            <w:noProof/>
            <w:webHidden/>
          </w:rPr>
          <w:fldChar w:fldCharType="end"/>
        </w:r>
      </w:hyperlink>
    </w:p>
    <w:p w14:paraId="76CC17E4" w14:textId="3AA3ECBF"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7" w:history="1">
        <w:r w:rsidRPr="007347C1">
          <w:rPr>
            <w:rStyle w:val="Hyperlink"/>
            <w:noProof/>
          </w:rPr>
          <w:t>Department of Treasury and Finance</w:t>
        </w:r>
        <w:r>
          <w:rPr>
            <w:noProof/>
            <w:webHidden/>
          </w:rPr>
          <w:tab/>
        </w:r>
        <w:r>
          <w:rPr>
            <w:noProof/>
            <w:webHidden/>
          </w:rPr>
          <w:fldChar w:fldCharType="begin"/>
        </w:r>
        <w:r>
          <w:rPr>
            <w:noProof/>
            <w:webHidden/>
          </w:rPr>
          <w:instrText xml:space="preserve"> PAGEREF _Toc228288117 \h </w:instrText>
        </w:r>
        <w:r>
          <w:rPr>
            <w:noProof/>
            <w:webHidden/>
          </w:rPr>
        </w:r>
        <w:r>
          <w:rPr>
            <w:noProof/>
            <w:webHidden/>
          </w:rPr>
          <w:fldChar w:fldCharType="separate"/>
        </w:r>
        <w:r w:rsidR="008A4B9B">
          <w:rPr>
            <w:noProof/>
            <w:webHidden/>
          </w:rPr>
          <w:t>187</w:t>
        </w:r>
        <w:r>
          <w:rPr>
            <w:noProof/>
            <w:webHidden/>
          </w:rPr>
          <w:fldChar w:fldCharType="end"/>
        </w:r>
      </w:hyperlink>
    </w:p>
    <w:p w14:paraId="0EBD6BBC" w14:textId="437A55D9" w:rsidR="00F74459" w:rsidRDefault="00F74459">
      <w:pPr>
        <w:pStyle w:val="TOC2"/>
        <w:rPr>
          <w:rFonts w:asciiTheme="minorHAnsi" w:eastAsiaTheme="minorEastAsia" w:hAnsiTheme="minorHAnsi"/>
          <w:noProof/>
          <w:kern w:val="2"/>
          <w:sz w:val="24"/>
          <w:szCs w:val="24"/>
          <w:lang w:eastAsia="en-AU"/>
          <w14:ligatures w14:val="standardContextual"/>
        </w:rPr>
      </w:pPr>
      <w:hyperlink w:anchor="_Toc228288118" w:history="1">
        <w:r w:rsidRPr="007347C1">
          <w:rPr>
            <w:rStyle w:val="Hyperlink"/>
            <w:noProof/>
          </w:rPr>
          <w:t>Victorian Ombudsman</w:t>
        </w:r>
        <w:r>
          <w:rPr>
            <w:noProof/>
            <w:webHidden/>
          </w:rPr>
          <w:tab/>
        </w:r>
        <w:r>
          <w:rPr>
            <w:noProof/>
            <w:webHidden/>
          </w:rPr>
          <w:fldChar w:fldCharType="begin"/>
        </w:r>
        <w:r>
          <w:rPr>
            <w:noProof/>
            <w:webHidden/>
          </w:rPr>
          <w:instrText xml:space="preserve"> PAGEREF _Toc228288118 \h </w:instrText>
        </w:r>
        <w:r>
          <w:rPr>
            <w:noProof/>
            <w:webHidden/>
          </w:rPr>
        </w:r>
        <w:r>
          <w:rPr>
            <w:noProof/>
            <w:webHidden/>
          </w:rPr>
          <w:fldChar w:fldCharType="separate"/>
        </w:r>
        <w:r w:rsidR="008A4B9B">
          <w:rPr>
            <w:noProof/>
            <w:webHidden/>
          </w:rPr>
          <w:t>188</w:t>
        </w:r>
        <w:r>
          <w:rPr>
            <w:noProof/>
            <w:webHidden/>
          </w:rPr>
          <w:fldChar w:fldCharType="end"/>
        </w:r>
      </w:hyperlink>
    </w:p>
    <w:p w14:paraId="13DABFF9" w14:textId="6D8BB958" w:rsidR="00F74459" w:rsidRDefault="00F74459">
      <w:pPr>
        <w:pStyle w:val="TOC1"/>
        <w:rPr>
          <w:rFonts w:asciiTheme="minorHAnsi" w:eastAsiaTheme="minorEastAsia" w:hAnsiTheme="minorHAnsi"/>
          <w:b w:val="0"/>
          <w:noProof/>
          <w:kern w:val="2"/>
          <w:sz w:val="24"/>
          <w:szCs w:val="24"/>
          <w:lang w:eastAsia="en-AU"/>
          <w14:ligatures w14:val="standardContextual"/>
        </w:rPr>
      </w:pPr>
      <w:hyperlink w:anchor="_Toc228288119" w:history="1">
        <w:r w:rsidRPr="007347C1">
          <w:rPr>
            <w:rStyle w:val="Hyperlink"/>
            <w:noProof/>
          </w:rPr>
          <w:t>Style conventions</w:t>
        </w:r>
        <w:r>
          <w:rPr>
            <w:noProof/>
            <w:webHidden/>
          </w:rPr>
          <w:tab/>
        </w:r>
        <w:r>
          <w:rPr>
            <w:noProof/>
            <w:webHidden/>
          </w:rPr>
          <w:fldChar w:fldCharType="begin"/>
        </w:r>
        <w:r>
          <w:rPr>
            <w:noProof/>
            <w:webHidden/>
          </w:rPr>
          <w:instrText xml:space="preserve"> PAGEREF _Toc228288119 \h </w:instrText>
        </w:r>
        <w:r>
          <w:rPr>
            <w:noProof/>
            <w:webHidden/>
          </w:rPr>
        </w:r>
        <w:r>
          <w:rPr>
            <w:noProof/>
            <w:webHidden/>
          </w:rPr>
          <w:fldChar w:fldCharType="separate"/>
        </w:r>
        <w:r w:rsidR="008A4B9B">
          <w:rPr>
            <w:noProof/>
            <w:webHidden/>
          </w:rPr>
          <w:t>189</w:t>
        </w:r>
        <w:r>
          <w:rPr>
            <w:noProof/>
            <w:webHidden/>
          </w:rPr>
          <w:fldChar w:fldCharType="end"/>
        </w:r>
      </w:hyperlink>
    </w:p>
    <w:p w14:paraId="79BDEF6C" w14:textId="4A038188" w:rsidR="005122F0" w:rsidRDefault="005122F0" w:rsidP="005122F0">
      <w:r>
        <w:rPr>
          <w:b/>
          <w:bCs/>
          <w:noProof/>
          <w:lang w:val="en-US"/>
        </w:rPr>
        <w:fldChar w:fldCharType="end"/>
      </w:r>
    </w:p>
    <w:p w14:paraId="69A17BE1" w14:textId="77777777" w:rsidR="005122F0" w:rsidRDefault="005122F0" w:rsidP="005122F0"/>
    <w:p w14:paraId="731A52C8" w14:textId="77777777" w:rsidR="005122F0" w:rsidRDefault="005122F0" w:rsidP="005122F0">
      <w:pPr>
        <w:keepLines w:val="0"/>
        <w:spacing w:before="0"/>
        <w:sectPr w:rsidR="005122F0" w:rsidSect="005122F0">
          <w:footerReference w:type="default" r:id="rId16"/>
          <w:type w:val="oddPage"/>
          <w:pgSz w:w="11907" w:h="16840"/>
          <w:pgMar w:top="1134" w:right="1134" w:bottom="1134" w:left="1134" w:header="624" w:footer="567" w:gutter="0"/>
          <w:pgNumType w:fmt="lowerRoman" w:start="1"/>
          <w:cols w:space="720"/>
        </w:sectPr>
      </w:pPr>
    </w:p>
    <w:p w14:paraId="33730955" w14:textId="77777777" w:rsidR="001F14A3" w:rsidRDefault="001F14A3" w:rsidP="001F14A3">
      <w:pPr>
        <w:pStyle w:val="ChapterHeading"/>
      </w:pPr>
      <w:bookmarkStart w:id="0" w:name="_Toc228288094"/>
      <w:r>
        <w:lastRenderedPageBreak/>
        <w:t>2026-27 Department Performance Statement</w:t>
      </w:r>
      <w:bookmarkEnd w:id="0"/>
    </w:p>
    <w:p w14:paraId="5F39DA11" w14:textId="77777777" w:rsidR="001F14A3" w:rsidRDefault="001F14A3" w:rsidP="001F14A3">
      <w:r>
        <w:t xml:space="preserve">The </w:t>
      </w:r>
      <w:r w:rsidRPr="00556C34">
        <w:rPr>
          <w:i/>
          <w:iCs/>
        </w:rPr>
        <w:t>2026-27 Department Performance Statement</w:t>
      </w:r>
      <w:r>
        <w:t xml:space="preserve"> describes the objectives and associated performance indicators departments seek to achieve over the medium term. This publication also describes the outputs (goods and services) that departments are funded to deliver to achieve these objectives.</w:t>
      </w:r>
    </w:p>
    <w:p w14:paraId="496FB65C" w14:textId="77777777" w:rsidR="001F14A3" w:rsidRDefault="001F14A3" w:rsidP="001F14A3">
      <w:r>
        <w:t xml:space="preserve">The performance statements published in the </w:t>
      </w:r>
      <w:r w:rsidRPr="00556C34">
        <w:rPr>
          <w:i/>
          <w:iCs/>
        </w:rPr>
        <w:t>2026-27 Department Performance Statement</w:t>
      </w:r>
      <w:r>
        <w:t xml:space="preserve"> describe the services provided by the Government and, where relevant, have been updated to reflect the new initiatives detailed in Budget Paper No. 3, Chapter 1.</w:t>
      </w:r>
    </w:p>
    <w:p w14:paraId="5DB3CEBF" w14:textId="1B3B2460" w:rsidR="001F14A3" w:rsidRDefault="001F14A3" w:rsidP="001F14A3">
      <w:r>
        <w:t>Performance measures for each output are divided into quantity, quality, timeliness and cost categories. The</w:t>
      </w:r>
      <w:r w:rsidR="00CA4B0C">
        <w:t> </w:t>
      </w:r>
      <w:r>
        <w:t>performance measures collectively describe the goods and services delivered, and how they are measured. The</w:t>
      </w:r>
      <w:r w:rsidR="00CA4B0C">
        <w:t> </w:t>
      </w:r>
      <w:r>
        <w:t>2026-27 targets represent what the Government seeks or expects to achieve in the coming year. For each measure, targets and expected outcomes from 2025-26 and actual outcomes from 2024-25 enable a comparison of departmental performance from previous years.</w:t>
      </w:r>
    </w:p>
    <w:p w14:paraId="560F61BB" w14:textId="77777777" w:rsidR="001F14A3" w:rsidRDefault="001F14A3" w:rsidP="001F14A3">
      <w:r>
        <w:t xml:space="preserve">The </w:t>
      </w:r>
      <w:r w:rsidRPr="00556C34">
        <w:rPr>
          <w:i/>
          <w:iCs/>
        </w:rPr>
        <w:t>2026-27 Department Performance Statement</w:t>
      </w:r>
      <w:r>
        <w:t xml:space="preserve"> also details performance measures proposed to be substantially changed or discontinued in Appendix A, for review by the </w:t>
      </w:r>
      <w:r w:rsidRPr="00556C34">
        <w:rPr>
          <w:i/>
          <w:iCs/>
        </w:rPr>
        <w:t>Public Accounts and Estimates Committee</w:t>
      </w:r>
      <w:r>
        <w:t>.</w:t>
      </w:r>
    </w:p>
    <w:p w14:paraId="272535CD" w14:textId="77777777" w:rsidR="001F14A3" w:rsidRPr="002D6DDA" w:rsidRDefault="001F14A3" w:rsidP="001F14A3">
      <w:r>
        <w:t>The Government is continuing to improve its performance reporting framework to provide more meaningful specification of the outputs delivered by departments, measures of successful delivery of these outputs, and a clear alignment with departmental objectives.</w:t>
      </w:r>
    </w:p>
    <w:p w14:paraId="735866E2" w14:textId="77777777" w:rsidR="00841E66" w:rsidRDefault="00841E66">
      <w:pPr>
        <w:keepLines w:val="0"/>
      </w:pPr>
      <w:r>
        <w:br w:type="page"/>
      </w:r>
    </w:p>
    <w:p w14:paraId="6AF14AA8" w14:textId="77777777" w:rsidR="001F14A3" w:rsidRPr="002D6DDA" w:rsidRDefault="001F14A3" w:rsidP="001F14A3"/>
    <w:p w14:paraId="777AC49B" w14:textId="77777777" w:rsidR="00BF1353" w:rsidRDefault="00BF1353">
      <w:pPr>
        <w:keepLines w:val="0"/>
      </w:pPr>
    </w:p>
    <w:p w14:paraId="5C5F817E" w14:textId="77777777" w:rsidR="00BF1353" w:rsidRDefault="00BF1353">
      <w:pPr>
        <w:keepLines w:val="0"/>
        <w:sectPr w:rsidR="00BF1353" w:rsidSect="00FC6D02">
          <w:footerReference w:type="even" r:id="rId17"/>
          <w:footerReference w:type="default" r:id="rId18"/>
          <w:footerReference w:type="first" r:id="rId19"/>
          <w:type w:val="oddPage"/>
          <w:pgSz w:w="11907" w:h="16840" w:code="9"/>
          <w:pgMar w:top="1140" w:right="1140" w:bottom="1140" w:left="1140" w:header="618" w:footer="561" w:gutter="0"/>
          <w:pgNumType w:start="1"/>
          <w:cols w:space="708"/>
          <w:docGrid w:linePitch="360"/>
        </w:sectPr>
      </w:pPr>
    </w:p>
    <w:p w14:paraId="0E7443EB" w14:textId="1242A10B" w:rsidR="00824558" w:rsidRDefault="00824558" w:rsidP="002E0B49">
      <w:pPr>
        <w:pStyle w:val="Heading1"/>
        <w:pageBreakBefore/>
        <w:spacing w:before="0"/>
      </w:pPr>
      <w:bookmarkStart w:id="1" w:name="_Toc228288095"/>
      <w:r>
        <w:lastRenderedPageBreak/>
        <w:t>Department of Education</w:t>
      </w:r>
      <w:bookmarkEnd w:id="1"/>
    </w:p>
    <w:p w14:paraId="1D5E5122" w14:textId="77777777" w:rsidR="00824558" w:rsidRPr="006965F9" w:rsidRDefault="00824558" w:rsidP="00B5487F">
      <w:pPr>
        <w:pStyle w:val="Heading2"/>
        <w:rPr>
          <w:rFonts w:eastAsia="Times New Roman"/>
          <w:spacing w:val="-2"/>
          <w:sz w:val="26"/>
        </w:rPr>
      </w:pPr>
      <w:bookmarkStart w:id="2" w:name="_Hlk162945649"/>
      <w:r w:rsidRPr="006965F9">
        <w:rPr>
          <w:rFonts w:eastAsia="Times New Roman"/>
        </w:rPr>
        <w:t>Ministerial portfolios</w:t>
      </w:r>
    </w:p>
    <w:p w14:paraId="465B591F" w14:textId="77777777" w:rsidR="00824558" w:rsidRPr="006965F9" w:rsidRDefault="00824558" w:rsidP="00B5487F">
      <w:pPr>
        <w:rPr>
          <w:rFonts w:ascii="Garamond" w:eastAsia="Garamond" w:hAnsi="Garamond"/>
          <w:strike/>
        </w:rPr>
      </w:pPr>
      <w:bookmarkStart w:id="3" w:name="_Hlk133414685"/>
      <w:r w:rsidRPr="006965F9">
        <w:rPr>
          <w:rFonts w:ascii="Garamond" w:eastAsia="Garamond" w:hAnsi="Garamond"/>
        </w:rPr>
        <w:t xml:space="preserve">The Department supports the ministerial portfolios of children and school education. </w:t>
      </w:r>
    </w:p>
    <w:bookmarkEnd w:id="3"/>
    <w:p w14:paraId="3976D6F3" w14:textId="77777777" w:rsidR="00824558" w:rsidRPr="006965F9" w:rsidRDefault="00824558" w:rsidP="00B5487F">
      <w:pPr>
        <w:pStyle w:val="Heading2"/>
        <w:rPr>
          <w:rFonts w:eastAsia="Times New Roman"/>
          <w:spacing w:val="-2"/>
          <w:sz w:val="26"/>
        </w:rPr>
      </w:pPr>
      <w:r w:rsidRPr="006965F9">
        <w:rPr>
          <w:rFonts w:eastAsia="Times New Roman"/>
        </w:rPr>
        <w:t>Departmental mission statement</w:t>
      </w:r>
    </w:p>
    <w:p w14:paraId="1F20F635" w14:textId="77777777" w:rsidR="00824558" w:rsidRPr="006965F9" w:rsidRDefault="00824558" w:rsidP="00B5487F">
      <w:pPr>
        <w:rPr>
          <w:rFonts w:ascii="Garamond" w:eastAsia="Garamond" w:hAnsi="Garamond"/>
        </w:rPr>
      </w:pPr>
      <w:r w:rsidRPr="006965F9">
        <w:rPr>
          <w:rFonts w:ascii="Garamond" w:eastAsia="Garamond" w:hAnsi="Garamond"/>
        </w:rPr>
        <w:t>A great education for every child and young person – so they can thrive now, and in the future, for a fairer, smarter and more prosperous state.</w:t>
      </w:r>
    </w:p>
    <w:p w14:paraId="4E91FF22" w14:textId="77777777" w:rsidR="00824558" w:rsidRPr="006965F9" w:rsidRDefault="00824558" w:rsidP="00B5487F">
      <w:pPr>
        <w:pStyle w:val="Heading2"/>
        <w:rPr>
          <w:rFonts w:eastAsia="Times New Roman"/>
          <w:spacing w:val="-2"/>
          <w:sz w:val="26"/>
        </w:rPr>
      </w:pPr>
      <w:r w:rsidRPr="006965F9">
        <w:rPr>
          <w:rFonts w:eastAsia="Times New Roman"/>
        </w:rPr>
        <w:t>Departmental objectives</w:t>
      </w:r>
    </w:p>
    <w:p w14:paraId="51F597D0" w14:textId="5F0E4DFC" w:rsidR="00824558" w:rsidRPr="006965F9" w:rsidRDefault="00824558" w:rsidP="00B5487F">
      <w:pPr>
        <w:keepNext/>
        <w:numPr>
          <w:ilvl w:val="2"/>
          <w:numId w:val="0"/>
        </w:numPr>
        <w:tabs>
          <w:tab w:val="right" w:pos="9582"/>
        </w:tabs>
        <w:spacing w:before="240"/>
        <w:outlineLvl w:val="2"/>
        <w:rPr>
          <w:rFonts w:ascii="Garamond" w:eastAsia="Times New Roman" w:hAnsi="Garamond"/>
          <w:b/>
          <w:spacing w:val="-2"/>
          <w:sz w:val="23"/>
          <w:szCs w:val="26"/>
        </w:rPr>
      </w:pPr>
      <w:r w:rsidRPr="006965F9">
        <w:rPr>
          <w:rFonts w:ascii="Garamond" w:eastAsia="Times New Roman" w:hAnsi="Garamond"/>
          <w:b/>
          <w:spacing w:val="-2"/>
          <w:sz w:val="23"/>
          <w:szCs w:val="26"/>
        </w:rPr>
        <w:t xml:space="preserve">Objective 1: </w:t>
      </w:r>
      <w:r w:rsidRPr="006965F9">
        <w:rPr>
          <w:rFonts w:ascii="Garamond" w:eastAsia="Times New Roman" w:hAnsi="Garamond"/>
          <w:spacing w:val="-2"/>
          <w:sz w:val="23"/>
          <w:szCs w:val="26"/>
        </w:rPr>
        <w:t>Raise development outcomes of three and four-year-old children prior to attending school</w:t>
      </w:r>
    </w:p>
    <w:p w14:paraId="55CDE5F2" w14:textId="42D2A6DF" w:rsidR="00824558" w:rsidRPr="006965F9" w:rsidRDefault="00824558" w:rsidP="00B5487F">
      <w:pPr>
        <w:keepNext/>
        <w:numPr>
          <w:ilvl w:val="2"/>
          <w:numId w:val="0"/>
        </w:numPr>
        <w:tabs>
          <w:tab w:val="right" w:pos="9582"/>
        </w:tabs>
        <w:spacing w:before="240"/>
        <w:outlineLvl w:val="2"/>
        <w:rPr>
          <w:rFonts w:ascii="Garamond" w:eastAsia="Times New Roman" w:hAnsi="Garamond"/>
          <w:b/>
          <w:spacing w:val="-2"/>
          <w:sz w:val="23"/>
          <w:szCs w:val="26"/>
        </w:rPr>
      </w:pPr>
      <w:r w:rsidRPr="006965F9">
        <w:rPr>
          <w:rFonts w:ascii="Garamond" w:eastAsia="Times New Roman" w:hAnsi="Garamond"/>
          <w:b/>
          <w:spacing w:val="-2"/>
          <w:sz w:val="23"/>
          <w:szCs w:val="26"/>
        </w:rPr>
        <w:t xml:space="preserve">Objective 2: </w:t>
      </w:r>
      <w:r w:rsidRPr="006965F9">
        <w:rPr>
          <w:rFonts w:ascii="Garamond" w:eastAsia="Times New Roman" w:hAnsi="Garamond"/>
          <w:spacing w:val="-2"/>
          <w:sz w:val="23"/>
          <w:szCs w:val="26"/>
        </w:rPr>
        <w:t>Raise learning, development, engagement and wellbeing outcomes for all Victorian students</w:t>
      </w:r>
    </w:p>
    <w:p w14:paraId="56FB5785" w14:textId="77777777" w:rsidR="00824558" w:rsidRPr="006965F9" w:rsidRDefault="00824558" w:rsidP="00B5487F">
      <w:pPr>
        <w:keepNext/>
        <w:numPr>
          <w:ilvl w:val="2"/>
          <w:numId w:val="0"/>
        </w:numPr>
        <w:tabs>
          <w:tab w:val="right" w:pos="9582"/>
        </w:tabs>
        <w:spacing w:before="240"/>
        <w:outlineLvl w:val="2"/>
        <w:rPr>
          <w:rFonts w:ascii="Garamond" w:eastAsia="Times New Roman" w:hAnsi="Garamond"/>
          <w:spacing w:val="-2"/>
          <w:sz w:val="23"/>
          <w:szCs w:val="26"/>
        </w:rPr>
      </w:pPr>
      <w:r w:rsidRPr="006965F9">
        <w:rPr>
          <w:rFonts w:ascii="Garamond" w:eastAsia="Times New Roman" w:hAnsi="Garamond"/>
          <w:b/>
          <w:spacing w:val="-2"/>
          <w:sz w:val="23"/>
          <w:szCs w:val="26"/>
        </w:rPr>
        <w:t xml:space="preserve">Objective 3: </w:t>
      </w:r>
      <w:r w:rsidRPr="006965F9">
        <w:rPr>
          <w:rFonts w:ascii="Garamond" w:eastAsia="Times New Roman" w:hAnsi="Garamond"/>
          <w:spacing w:val="-2"/>
          <w:sz w:val="23"/>
          <w:szCs w:val="26"/>
        </w:rPr>
        <w:t>Provide equitable and inclusive schooling to all Victorian students.</w:t>
      </w:r>
      <w:bookmarkEnd w:id="2"/>
    </w:p>
    <w:p w14:paraId="368C56C6" w14:textId="77777777" w:rsidR="001F34B3" w:rsidRPr="00D06853" w:rsidRDefault="001F34B3" w:rsidP="001F34B3">
      <w:pPr>
        <w:pStyle w:val="Heading2"/>
        <w:rPr>
          <w:rFonts w:eastAsia="Times New Roman"/>
          <w:spacing w:val="-2"/>
          <w:sz w:val="26"/>
        </w:rPr>
      </w:pPr>
      <w:r w:rsidRPr="00D06853">
        <w:rPr>
          <w:rFonts w:eastAsia="Times New Roman"/>
        </w:rPr>
        <w:t>Output summary by departmental objectives</w:t>
      </w:r>
    </w:p>
    <w:p w14:paraId="40E9C890" w14:textId="1BF35326" w:rsidR="001F34B3" w:rsidRDefault="001F34B3" w:rsidP="001F34B3">
      <w:pPr>
        <w:keepNext/>
        <w:rPr>
          <w:rFonts w:ascii="Garamond" w:eastAsia="Garamond" w:hAnsi="Garamond"/>
        </w:rPr>
      </w:pPr>
      <w:r w:rsidRPr="00D06853">
        <w:rPr>
          <w:rFonts w:ascii="Garamond" w:eastAsia="Garamond" w:hAnsi="Garamond"/>
        </w:rPr>
        <w:t xml:space="preserve">The </w:t>
      </w:r>
      <w:r w:rsidR="00D874EE">
        <w:rPr>
          <w:rFonts w:ascii="Garamond" w:eastAsia="Garamond" w:hAnsi="Garamond"/>
        </w:rPr>
        <w:t>D</w:t>
      </w:r>
      <w:r w:rsidRPr="00D06853">
        <w:rPr>
          <w:rFonts w:ascii="Garamond" w:eastAsia="Garamond" w:hAnsi="Garamond"/>
        </w:rPr>
        <w:t>epartment</w:t>
      </w:r>
      <w:r w:rsidR="007942D1">
        <w:rPr>
          <w:rFonts w:ascii="Garamond" w:eastAsia="Garamond" w:hAnsi="Garamond"/>
        </w:rPr>
        <w:t>’</w:t>
      </w:r>
      <w:r w:rsidRPr="00D06853">
        <w:rPr>
          <w:rFonts w:ascii="Garamond" w:eastAsia="Garamond" w:hAnsi="Garamond"/>
        </w:rPr>
        <w:t>s outputs and funding are provided in the table below. Detailed descriptions of objectives and outputs are presented below.</w:t>
      </w:r>
    </w:p>
    <w:p w14:paraId="758B56ED" w14:textId="6E9B80E6" w:rsidR="00095951" w:rsidRPr="00D06853" w:rsidRDefault="00095951" w:rsidP="00095951">
      <w:pPr>
        <w:pStyle w:val="TableHeading"/>
      </w:pPr>
      <w:r w:rsidRPr="00D06853">
        <w:t xml:space="preserve">Table </w:t>
      </w:r>
      <w:r>
        <w:t>1</w:t>
      </w:r>
      <w:r w:rsidRPr="00D06853">
        <w:t>:</w:t>
      </w:r>
      <w:r w:rsidRPr="00D06853">
        <w:tab/>
        <w:t>Output summar</w:t>
      </w:r>
      <w:r w:rsidR="003E2019">
        <w:t>y</w:t>
      </w:r>
      <w:r w:rsidRPr="00D06853">
        <w:tab/>
        <w:t>($ million)</w:t>
      </w:r>
    </w:p>
    <w:tbl>
      <w:tblPr>
        <w:tblStyle w:val="DTFTableNumeric"/>
        <w:tblW w:w="9639" w:type="dxa"/>
        <w:tblLayout w:type="fixed"/>
        <w:tblLook w:val="06E0" w:firstRow="1" w:lastRow="1" w:firstColumn="1" w:lastColumn="0" w:noHBand="1" w:noVBand="1"/>
        <w:tblDescription w:val="Type:DtfTable|Workbook:https://vicgov.sharepoint.com/sites/VG002735/Department%20Performance%20Statement/001.%20Admin/Financial%20tables/Output%20summary/2026-27/2026-27%20Output%20costs.xlsx|Table:DE_Summary|TableGroup:OutputSummary|IsPlaceholder:True"/>
      </w:tblPr>
      <w:tblGrid>
        <w:gridCol w:w="5954"/>
        <w:gridCol w:w="921"/>
        <w:gridCol w:w="921"/>
        <w:gridCol w:w="921"/>
        <w:gridCol w:w="922"/>
      </w:tblGrid>
      <w:tr w:rsidR="00095951" w:rsidRPr="00D06853" w14:paraId="7DE0225C" w14:textId="77777777" w:rsidTr="00095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D92BF39" w14:textId="77777777" w:rsidR="00095951" w:rsidRPr="00D06853" w:rsidRDefault="00095951">
            <w:pPr>
              <w:keepNext/>
            </w:pPr>
          </w:p>
        </w:tc>
        <w:tc>
          <w:tcPr>
            <w:tcW w:w="921" w:type="dxa"/>
          </w:tcPr>
          <w:p w14:paraId="01BEFB1A" w14:textId="77777777" w:rsidR="00095951" w:rsidRPr="00D06853" w:rsidRDefault="00095951">
            <w:pPr>
              <w:keepNext/>
              <w:cnfStyle w:val="100000000000" w:firstRow="1" w:lastRow="0" w:firstColumn="0" w:lastColumn="0" w:oddVBand="0" w:evenVBand="0" w:oddHBand="0" w:evenHBand="0" w:firstRowFirstColumn="0" w:firstRowLastColumn="0" w:lastRowFirstColumn="0" w:lastRowLastColumn="0"/>
            </w:pPr>
            <w:r w:rsidRPr="00B8291C">
              <w:t>2025-26 budget</w:t>
            </w:r>
          </w:p>
        </w:tc>
        <w:tc>
          <w:tcPr>
            <w:tcW w:w="921" w:type="dxa"/>
          </w:tcPr>
          <w:p w14:paraId="16B3BEA2" w14:textId="77777777" w:rsidR="00095951" w:rsidRPr="00D06853" w:rsidRDefault="00095951">
            <w:pPr>
              <w:keepNext/>
              <w:cnfStyle w:val="100000000000" w:firstRow="1" w:lastRow="0" w:firstColumn="0" w:lastColumn="0" w:oddVBand="0" w:evenVBand="0" w:oddHBand="0" w:evenHBand="0" w:firstRowFirstColumn="0" w:firstRowLastColumn="0" w:lastRowFirstColumn="0" w:lastRowLastColumn="0"/>
            </w:pPr>
            <w:r w:rsidRPr="00B8291C">
              <w:t>2025-26 revised</w:t>
            </w:r>
          </w:p>
        </w:tc>
        <w:tc>
          <w:tcPr>
            <w:tcW w:w="921" w:type="dxa"/>
          </w:tcPr>
          <w:p w14:paraId="08A50A73" w14:textId="77777777" w:rsidR="00095951" w:rsidRPr="00D06853" w:rsidRDefault="00095951">
            <w:pPr>
              <w:keepNext/>
              <w:cnfStyle w:val="100000000000" w:firstRow="1" w:lastRow="0" w:firstColumn="0" w:lastColumn="0" w:oddVBand="0" w:evenVBand="0" w:oddHBand="0" w:evenHBand="0" w:firstRowFirstColumn="0" w:firstRowLastColumn="0" w:lastRowFirstColumn="0" w:lastRowLastColumn="0"/>
            </w:pPr>
            <w:r w:rsidRPr="00B8291C">
              <w:t>2026-27 budget</w:t>
            </w:r>
          </w:p>
        </w:tc>
        <w:tc>
          <w:tcPr>
            <w:tcW w:w="922" w:type="dxa"/>
          </w:tcPr>
          <w:p w14:paraId="3E8E8DBB" w14:textId="6FA38FC8" w:rsidR="00095951" w:rsidRPr="00D06853" w:rsidRDefault="00095951">
            <w:pPr>
              <w:keepNext/>
              <w:cnfStyle w:val="100000000000" w:firstRow="1" w:lastRow="0" w:firstColumn="0" w:lastColumn="0" w:oddVBand="0" w:evenVBand="0" w:oddHBand="0" w:evenHBand="0" w:firstRowFirstColumn="0" w:firstRowLastColumn="0" w:lastRowFirstColumn="0" w:lastRowLastColumn="0"/>
            </w:pPr>
            <w:r w:rsidRPr="00B8291C">
              <w:t xml:space="preserve">Variation </w:t>
            </w:r>
            <w:r w:rsidR="00B4402D">
              <w:br/>
            </w:r>
            <w:r w:rsidRPr="00B8291C">
              <w:t xml:space="preserve">% </w:t>
            </w:r>
            <w:r w:rsidRPr="00D608EA">
              <w:rPr>
                <w:vertAlign w:val="superscript"/>
              </w:rPr>
              <w:t>(a)</w:t>
            </w:r>
          </w:p>
        </w:tc>
      </w:tr>
      <w:tr w:rsidR="00095951" w:rsidRPr="008E1CFE" w14:paraId="1A01207E" w14:textId="77777777" w:rsidTr="00095951">
        <w:tc>
          <w:tcPr>
            <w:cnfStyle w:val="001000000000" w:firstRow="0" w:lastRow="0" w:firstColumn="1" w:lastColumn="0" w:oddVBand="0" w:evenVBand="0" w:oddHBand="0" w:evenHBand="0" w:firstRowFirstColumn="0" w:firstRowLastColumn="0" w:lastRowFirstColumn="0" w:lastRowLastColumn="0"/>
            <w:tcW w:w="9639" w:type="dxa"/>
            <w:gridSpan w:val="5"/>
          </w:tcPr>
          <w:p w14:paraId="1A93250D" w14:textId="77777777" w:rsidR="00095951" w:rsidRPr="00613673" w:rsidRDefault="00095951">
            <w:pPr>
              <w:rPr>
                <w:b/>
                <w:bCs/>
              </w:rPr>
            </w:pPr>
            <w:r w:rsidRPr="00613673">
              <w:rPr>
                <w:b/>
                <w:bCs/>
              </w:rPr>
              <w:t>Raise development outcomes of three and four-year old children prior to attending school</w:t>
            </w:r>
          </w:p>
        </w:tc>
      </w:tr>
      <w:tr w:rsidR="00095951" w:rsidRPr="008E1CFE" w14:paraId="6853CF60"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3848412A" w14:textId="77777777" w:rsidR="00095951" w:rsidRPr="008F5D32" w:rsidRDefault="00095951">
            <w:pPr>
              <w:rPr>
                <w:vertAlign w:val="superscript"/>
              </w:rPr>
            </w:pPr>
            <w:r w:rsidRPr="00B8291C">
              <w:t>Kindergarten Delivery</w:t>
            </w:r>
          </w:p>
        </w:tc>
        <w:tc>
          <w:tcPr>
            <w:tcW w:w="921" w:type="dxa"/>
          </w:tcPr>
          <w:p w14:paraId="46F8B55C"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1 259.4</w:t>
            </w:r>
          </w:p>
        </w:tc>
        <w:tc>
          <w:tcPr>
            <w:tcW w:w="921" w:type="dxa"/>
          </w:tcPr>
          <w:p w14:paraId="4E5260BD"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1 319.7</w:t>
            </w:r>
          </w:p>
        </w:tc>
        <w:tc>
          <w:tcPr>
            <w:tcW w:w="921" w:type="dxa"/>
          </w:tcPr>
          <w:p w14:paraId="49561617"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1 319.4</w:t>
            </w:r>
          </w:p>
        </w:tc>
        <w:tc>
          <w:tcPr>
            <w:tcW w:w="922" w:type="dxa"/>
          </w:tcPr>
          <w:p w14:paraId="069A4B9F"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4.8</w:t>
            </w:r>
          </w:p>
        </w:tc>
      </w:tr>
      <w:tr w:rsidR="00095951" w:rsidRPr="008E1CFE" w14:paraId="31F3D740"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7247940D" w14:textId="1B27E8C1" w:rsidR="00095951" w:rsidRPr="008F5D32" w:rsidRDefault="00095951">
            <w:pPr>
              <w:rPr>
                <w:vertAlign w:val="superscript"/>
              </w:rPr>
            </w:pPr>
            <w:r w:rsidRPr="00B8291C">
              <w:t>Early Childhood Sector Supports and Regulation</w:t>
            </w:r>
            <w:r w:rsidR="00AD4833">
              <w:t xml:space="preserve"> </w:t>
            </w:r>
            <w:r w:rsidRPr="00AD4833">
              <w:rPr>
                <w:vertAlign w:val="superscript"/>
              </w:rPr>
              <w:t>(b)</w:t>
            </w:r>
          </w:p>
        </w:tc>
        <w:tc>
          <w:tcPr>
            <w:tcW w:w="921" w:type="dxa"/>
          </w:tcPr>
          <w:p w14:paraId="3F07B26E"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772.8</w:t>
            </w:r>
          </w:p>
        </w:tc>
        <w:tc>
          <w:tcPr>
            <w:tcW w:w="921" w:type="dxa"/>
          </w:tcPr>
          <w:p w14:paraId="2554FB9B"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653.9</w:t>
            </w:r>
          </w:p>
        </w:tc>
        <w:tc>
          <w:tcPr>
            <w:tcW w:w="921" w:type="dxa"/>
          </w:tcPr>
          <w:p w14:paraId="48453463"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994.1</w:t>
            </w:r>
          </w:p>
        </w:tc>
        <w:tc>
          <w:tcPr>
            <w:tcW w:w="922" w:type="dxa"/>
          </w:tcPr>
          <w:p w14:paraId="21F793F5"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28.6</w:t>
            </w:r>
          </w:p>
        </w:tc>
      </w:tr>
      <w:tr w:rsidR="00095951" w:rsidRPr="00613673" w14:paraId="6CDEAF07" w14:textId="77777777" w:rsidTr="00095951">
        <w:tc>
          <w:tcPr>
            <w:cnfStyle w:val="001000000000" w:firstRow="0" w:lastRow="0" w:firstColumn="1" w:lastColumn="0" w:oddVBand="0" w:evenVBand="0" w:oddHBand="0" w:evenHBand="0" w:firstRowFirstColumn="0" w:firstRowLastColumn="0" w:lastRowFirstColumn="0" w:lastRowLastColumn="0"/>
            <w:tcW w:w="9639" w:type="dxa"/>
            <w:gridSpan w:val="5"/>
          </w:tcPr>
          <w:p w14:paraId="72958365" w14:textId="77777777" w:rsidR="00095951" w:rsidRPr="00927E03" w:rsidRDefault="00095951">
            <w:pPr>
              <w:rPr>
                <w:b/>
                <w:bCs/>
              </w:rPr>
            </w:pPr>
            <w:r w:rsidRPr="00927E03">
              <w:rPr>
                <w:b/>
                <w:bCs/>
              </w:rPr>
              <w:t>Raise learning, development, engagement and wellbeing outcomes for all Victorian students</w:t>
            </w:r>
          </w:p>
        </w:tc>
      </w:tr>
      <w:tr w:rsidR="00095951" w:rsidRPr="008E1CFE" w14:paraId="11CF9A54"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35ED8AC4" w14:textId="07094293" w:rsidR="00095951" w:rsidRPr="008F5D32" w:rsidRDefault="00095951">
            <w:pPr>
              <w:rPr>
                <w:vertAlign w:val="superscript"/>
              </w:rPr>
            </w:pPr>
            <w:r w:rsidRPr="00B8291C">
              <w:t xml:space="preserve">School Education </w:t>
            </w:r>
            <w:r w:rsidR="00AD4833">
              <w:t>–</w:t>
            </w:r>
            <w:r w:rsidRPr="00B8291C">
              <w:t xml:space="preserve"> Primary</w:t>
            </w:r>
          </w:p>
        </w:tc>
        <w:tc>
          <w:tcPr>
            <w:tcW w:w="921" w:type="dxa"/>
          </w:tcPr>
          <w:p w14:paraId="74F15858" w14:textId="77777777" w:rsidR="00095951" w:rsidRPr="00927E03" w:rsidRDefault="00095951">
            <w:pPr>
              <w:cnfStyle w:val="000000000000" w:firstRow="0" w:lastRow="0" w:firstColumn="0" w:lastColumn="0" w:oddVBand="0" w:evenVBand="0" w:oddHBand="0" w:evenHBand="0" w:firstRowFirstColumn="0" w:firstRowLastColumn="0" w:lastRowFirstColumn="0" w:lastRowLastColumn="0"/>
            </w:pPr>
            <w:r w:rsidRPr="00927E03">
              <w:t>5 439.6</w:t>
            </w:r>
          </w:p>
        </w:tc>
        <w:tc>
          <w:tcPr>
            <w:tcW w:w="921" w:type="dxa"/>
          </w:tcPr>
          <w:p w14:paraId="69D70B52"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5 425.3</w:t>
            </w:r>
          </w:p>
        </w:tc>
        <w:tc>
          <w:tcPr>
            <w:tcW w:w="921" w:type="dxa"/>
          </w:tcPr>
          <w:p w14:paraId="79DA4398"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5 492.7</w:t>
            </w:r>
          </w:p>
        </w:tc>
        <w:tc>
          <w:tcPr>
            <w:tcW w:w="922" w:type="dxa"/>
          </w:tcPr>
          <w:p w14:paraId="45601342" w14:textId="7DD5F722"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w:t>
            </w:r>
            <w:r w:rsidR="00D1110A">
              <w:t>1.</w:t>
            </w:r>
            <w:r w:rsidRPr="00B8291C">
              <w:t>0</w:t>
            </w:r>
          </w:p>
        </w:tc>
      </w:tr>
      <w:tr w:rsidR="00095951" w:rsidRPr="008E1CFE" w14:paraId="7C3FDB07"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646049B4" w14:textId="396C81A4" w:rsidR="00095951" w:rsidRPr="008F5D32" w:rsidRDefault="00095951">
            <w:pPr>
              <w:rPr>
                <w:vertAlign w:val="superscript"/>
              </w:rPr>
            </w:pPr>
            <w:r w:rsidRPr="00B8291C">
              <w:t xml:space="preserve">School Education </w:t>
            </w:r>
            <w:r w:rsidR="00AD4833">
              <w:t>–</w:t>
            </w:r>
            <w:r w:rsidRPr="00B8291C">
              <w:t xml:space="preserve"> Secondary</w:t>
            </w:r>
          </w:p>
        </w:tc>
        <w:tc>
          <w:tcPr>
            <w:tcW w:w="921" w:type="dxa"/>
          </w:tcPr>
          <w:p w14:paraId="5CF85947" w14:textId="77777777" w:rsidR="00095951" w:rsidRPr="00927E03" w:rsidRDefault="00095951">
            <w:pPr>
              <w:cnfStyle w:val="000000000000" w:firstRow="0" w:lastRow="0" w:firstColumn="0" w:lastColumn="0" w:oddVBand="0" w:evenVBand="0" w:oddHBand="0" w:evenHBand="0" w:firstRowFirstColumn="0" w:firstRowLastColumn="0" w:lastRowFirstColumn="0" w:lastRowLastColumn="0"/>
            </w:pPr>
            <w:r w:rsidRPr="00927E03">
              <w:t>4 703.2</w:t>
            </w:r>
          </w:p>
        </w:tc>
        <w:tc>
          <w:tcPr>
            <w:tcW w:w="921" w:type="dxa"/>
          </w:tcPr>
          <w:p w14:paraId="3E85DF4C"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4 779.6</w:t>
            </w:r>
          </w:p>
        </w:tc>
        <w:tc>
          <w:tcPr>
            <w:tcW w:w="921" w:type="dxa"/>
          </w:tcPr>
          <w:p w14:paraId="30D42CAB"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4 759.0</w:t>
            </w:r>
          </w:p>
        </w:tc>
        <w:tc>
          <w:tcPr>
            <w:tcW w:w="922" w:type="dxa"/>
          </w:tcPr>
          <w:p w14:paraId="56C26F97" w14:textId="1476CDA3"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w:t>
            </w:r>
            <w:r w:rsidR="00D1110A">
              <w:t>1.</w:t>
            </w:r>
            <w:r w:rsidRPr="00B8291C">
              <w:t>2</w:t>
            </w:r>
          </w:p>
        </w:tc>
      </w:tr>
      <w:tr w:rsidR="00095951" w:rsidRPr="008E1CFE" w14:paraId="6F165A1F"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38C2A051" w14:textId="77777777" w:rsidR="00095951" w:rsidRPr="008F5D32" w:rsidRDefault="00095951">
            <w:pPr>
              <w:rPr>
                <w:vertAlign w:val="superscript"/>
              </w:rPr>
            </w:pPr>
            <w:r w:rsidRPr="00B8291C">
              <w:t>Wellbeing Supports for Students</w:t>
            </w:r>
          </w:p>
        </w:tc>
        <w:tc>
          <w:tcPr>
            <w:tcW w:w="921" w:type="dxa"/>
          </w:tcPr>
          <w:p w14:paraId="1D8D182C" w14:textId="77777777" w:rsidR="00095951" w:rsidRPr="00927E03" w:rsidRDefault="00095951">
            <w:pPr>
              <w:cnfStyle w:val="000000000000" w:firstRow="0" w:lastRow="0" w:firstColumn="0" w:lastColumn="0" w:oddVBand="0" w:evenVBand="0" w:oddHBand="0" w:evenHBand="0" w:firstRowFirstColumn="0" w:firstRowLastColumn="0" w:lastRowFirstColumn="0" w:lastRowLastColumn="0"/>
            </w:pPr>
            <w:r w:rsidRPr="00927E03">
              <w:t xml:space="preserve"> 426.4</w:t>
            </w:r>
          </w:p>
        </w:tc>
        <w:tc>
          <w:tcPr>
            <w:tcW w:w="921" w:type="dxa"/>
          </w:tcPr>
          <w:p w14:paraId="48E5142B"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423.5</w:t>
            </w:r>
          </w:p>
        </w:tc>
        <w:tc>
          <w:tcPr>
            <w:tcW w:w="921" w:type="dxa"/>
          </w:tcPr>
          <w:p w14:paraId="17439AB4"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432.7</w:t>
            </w:r>
          </w:p>
        </w:tc>
        <w:tc>
          <w:tcPr>
            <w:tcW w:w="922" w:type="dxa"/>
          </w:tcPr>
          <w:p w14:paraId="1792A025"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1.5</w:t>
            </w:r>
          </w:p>
        </w:tc>
      </w:tr>
      <w:tr w:rsidR="00095951" w:rsidRPr="008E1CFE" w14:paraId="0E49E20D"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478C3752" w14:textId="1EF50674" w:rsidR="00095951" w:rsidRPr="008F5D32" w:rsidRDefault="00095951">
            <w:pPr>
              <w:rPr>
                <w:vertAlign w:val="superscript"/>
              </w:rPr>
            </w:pPr>
            <w:r w:rsidRPr="00B8291C">
              <w:t>Supports for Schools and Staff</w:t>
            </w:r>
            <w:r w:rsidR="00AD4833">
              <w:t xml:space="preserve"> </w:t>
            </w:r>
            <w:r w:rsidRPr="00AD4833">
              <w:rPr>
                <w:vertAlign w:val="superscript"/>
              </w:rPr>
              <w:t>(c)</w:t>
            </w:r>
          </w:p>
        </w:tc>
        <w:tc>
          <w:tcPr>
            <w:tcW w:w="921" w:type="dxa"/>
          </w:tcPr>
          <w:p w14:paraId="69331988"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1 907.9</w:t>
            </w:r>
          </w:p>
        </w:tc>
        <w:tc>
          <w:tcPr>
            <w:tcW w:w="921" w:type="dxa"/>
          </w:tcPr>
          <w:p w14:paraId="686760F4"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2 068.1</w:t>
            </w:r>
          </w:p>
        </w:tc>
        <w:tc>
          <w:tcPr>
            <w:tcW w:w="921" w:type="dxa"/>
          </w:tcPr>
          <w:p w14:paraId="60FF55B8"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2 021.3</w:t>
            </w:r>
          </w:p>
        </w:tc>
        <w:tc>
          <w:tcPr>
            <w:tcW w:w="922" w:type="dxa"/>
          </w:tcPr>
          <w:p w14:paraId="3E884EF5"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5.9</w:t>
            </w:r>
          </w:p>
        </w:tc>
      </w:tr>
      <w:tr w:rsidR="00095951" w:rsidRPr="00613673" w14:paraId="65A4E953"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4371C66B" w14:textId="77777777" w:rsidR="00095951" w:rsidRPr="00613673" w:rsidRDefault="00095951">
            <w:pPr>
              <w:rPr>
                <w:b/>
                <w:bCs/>
              </w:rPr>
            </w:pPr>
            <w:r w:rsidRPr="00613673">
              <w:rPr>
                <w:b/>
                <w:bCs/>
              </w:rPr>
              <w:t>Provide equitable and inclusive schooling to all Victorian students</w:t>
            </w:r>
          </w:p>
        </w:tc>
        <w:tc>
          <w:tcPr>
            <w:tcW w:w="921" w:type="dxa"/>
          </w:tcPr>
          <w:p w14:paraId="7ED5CB76" w14:textId="77777777" w:rsidR="00095951" w:rsidRPr="00613673" w:rsidRDefault="00095951">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6AEB70D7" w14:textId="77777777" w:rsidR="00095951" w:rsidRPr="00613673" w:rsidRDefault="00095951">
            <w:pPr>
              <w:cnfStyle w:val="000000000000" w:firstRow="0" w:lastRow="0" w:firstColumn="0" w:lastColumn="0" w:oddVBand="0" w:evenVBand="0" w:oddHBand="0" w:evenHBand="0" w:firstRowFirstColumn="0" w:firstRowLastColumn="0" w:lastRowFirstColumn="0" w:lastRowLastColumn="0"/>
              <w:rPr>
                <w:b/>
                <w:bCs/>
              </w:rPr>
            </w:pPr>
          </w:p>
        </w:tc>
        <w:tc>
          <w:tcPr>
            <w:tcW w:w="921" w:type="dxa"/>
          </w:tcPr>
          <w:p w14:paraId="6554D56D" w14:textId="77777777" w:rsidR="00095951" w:rsidRPr="00613673" w:rsidRDefault="00095951">
            <w:pPr>
              <w:cnfStyle w:val="000000000000" w:firstRow="0" w:lastRow="0" w:firstColumn="0" w:lastColumn="0" w:oddVBand="0" w:evenVBand="0" w:oddHBand="0" w:evenHBand="0" w:firstRowFirstColumn="0" w:firstRowLastColumn="0" w:lastRowFirstColumn="0" w:lastRowLastColumn="0"/>
              <w:rPr>
                <w:b/>
                <w:bCs/>
              </w:rPr>
            </w:pPr>
          </w:p>
        </w:tc>
        <w:tc>
          <w:tcPr>
            <w:tcW w:w="922" w:type="dxa"/>
          </w:tcPr>
          <w:p w14:paraId="028C910A" w14:textId="77777777" w:rsidR="00095951" w:rsidRPr="00613673" w:rsidRDefault="00095951">
            <w:pPr>
              <w:cnfStyle w:val="000000000000" w:firstRow="0" w:lastRow="0" w:firstColumn="0" w:lastColumn="0" w:oddVBand="0" w:evenVBand="0" w:oddHBand="0" w:evenHBand="0" w:firstRowFirstColumn="0" w:firstRowLastColumn="0" w:lastRowFirstColumn="0" w:lastRowLastColumn="0"/>
              <w:rPr>
                <w:b/>
                <w:bCs/>
              </w:rPr>
            </w:pPr>
          </w:p>
        </w:tc>
      </w:tr>
      <w:tr w:rsidR="00095951" w:rsidRPr="008E1CFE" w14:paraId="21DB40B2" w14:textId="77777777" w:rsidTr="00095951">
        <w:tc>
          <w:tcPr>
            <w:cnfStyle w:val="001000000000" w:firstRow="0" w:lastRow="0" w:firstColumn="1" w:lastColumn="0" w:oddVBand="0" w:evenVBand="0" w:oddHBand="0" w:evenHBand="0" w:firstRowFirstColumn="0" w:firstRowLastColumn="0" w:lastRowFirstColumn="0" w:lastRowLastColumn="0"/>
            <w:tcW w:w="5954" w:type="dxa"/>
          </w:tcPr>
          <w:p w14:paraId="0297F3F1" w14:textId="77777777" w:rsidR="00095951" w:rsidRPr="008F5D32" w:rsidRDefault="00095951">
            <w:pPr>
              <w:rPr>
                <w:vertAlign w:val="superscript"/>
              </w:rPr>
            </w:pPr>
            <w:r w:rsidRPr="00B8291C">
              <w:t>Promoting Equal Access to Education</w:t>
            </w:r>
          </w:p>
        </w:tc>
        <w:tc>
          <w:tcPr>
            <w:tcW w:w="921" w:type="dxa"/>
          </w:tcPr>
          <w:p w14:paraId="1A76266A"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1 157.4</w:t>
            </w:r>
          </w:p>
        </w:tc>
        <w:tc>
          <w:tcPr>
            <w:tcW w:w="921" w:type="dxa"/>
          </w:tcPr>
          <w:p w14:paraId="41AC7D63"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1 160.8</w:t>
            </w:r>
          </w:p>
        </w:tc>
        <w:tc>
          <w:tcPr>
            <w:tcW w:w="921" w:type="dxa"/>
          </w:tcPr>
          <w:p w14:paraId="11531762"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1 120.4</w:t>
            </w:r>
          </w:p>
        </w:tc>
        <w:tc>
          <w:tcPr>
            <w:tcW w:w="922" w:type="dxa"/>
          </w:tcPr>
          <w:p w14:paraId="3BB4CAF7"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(3.2)</w:t>
            </w:r>
          </w:p>
        </w:tc>
      </w:tr>
      <w:tr w:rsidR="00095951" w:rsidRPr="008E1CFE" w14:paraId="32F41FD2" w14:textId="77777777" w:rsidTr="00AD4833">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34DB3C5" w14:textId="39054B56" w:rsidR="00095951" w:rsidRPr="008F5D32" w:rsidRDefault="00095951">
            <w:pPr>
              <w:rPr>
                <w:vertAlign w:val="superscript"/>
              </w:rPr>
            </w:pPr>
            <w:r w:rsidRPr="00B8291C">
              <w:t>Additional Supports for Students with Disabilities</w:t>
            </w:r>
            <w:r w:rsidR="00AD4833">
              <w:t xml:space="preserve"> </w:t>
            </w:r>
            <w:r w:rsidRPr="00AD4833">
              <w:rPr>
                <w:vertAlign w:val="superscript"/>
              </w:rPr>
              <w:t>(d)</w:t>
            </w:r>
          </w:p>
        </w:tc>
        <w:tc>
          <w:tcPr>
            <w:tcW w:w="921" w:type="dxa"/>
            <w:tcBorders>
              <w:bottom w:val="single" w:sz="6" w:space="0" w:color="auto"/>
            </w:tcBorders>
          </w:tcPr>
          <w:p w14:paraId="06F674DF"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2 177.4</w:t>
            </w:r>
          </w:p>
        </w:tc>
        <w:tc>
          <w:tcPr>
            <w:tcW w:w="921" w:type="dxa"/>
            <w:tcBorders>
              <w:bottom w:val="single" w:sz="6" w:space="0" w:color="auto"/>
            </w:tcBorders>
          </w:tcPr>
          <w:p w14:paraId="37EE3C7E"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2 274.8</w:t>
            </w:r>
          </w:p>
        </w:tc>
        <w:tc>
          <w:tcPr>
            <w:tcW w:w="921" w:type="dxa"/>
            <w:tcBorders>
              <w:bottom w:val="single" w:sz="6" w:space="0" w:color="auto"/>
            </w:tcBorders>
          </w:tcPr>
          <w:p w14:paraId="4993916E"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2 507.0</w:t>
            </w:r>
          </w:p>
        </w:tc>
        <w:tc>
          <w:tcPr>
            <w:tcW w:w="922" w:type="dxa"/>
            <w:tcBorders>
              <w:bottom w:val="single" w:sz="6" w:space="0" w:color="auto"/>
            </w:tcBorders>
          </w:tcPr>
          <w:p w14:paraId="3D3EF2C4" w14:textId="77777777" w:rsidR="00095951" w:rsidRPr="000F0A14" w:rsidRDefault="00095951">
            <w:pPr>
              <w:cnfStyle w:val="000000000000" w:firstRow="0" w:lastRow="0" w:firstColumn="0" w:lastColumn="0" w:oddVBand="0" w:evenVBand="0" w:oddHBand="0" w:evenHBand="0" w:firstRowFirstColumn="0" w:firstRowLastColumn="0" w:lastRowFirstColumn="0" w:lastRowLastColumn="0"/>
            </w:pPr>
            <w:r w:rsidRPr="00B8291C">
              <w:t xml:space="preserve"> 15.1</w:t>
            </w:r>
          </w:p>
        </w:tc>
      </w:tr>
      <w:tr w:rsidR="00095951" w:rsidRPr="008E1CFE" w14:paraId="3CA48792" w14:textId="77777777" w:rsidTr="00AD48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A75943A" w14:textId="77777777" w:rsidR="00095951" w:rsidRPr="00047C20" w:rsidRDefault="00095951">
            <w:r w:rsidRPr="00B8291C">
              <w:t>Total</w:t>
            </w:r>
          </w:p>
        </w:tc>
        <w:tc>
          <w:tcPr>
            <w:tcW w:w="921" w:type="dxa"/>
          </w:tcPr>
          <w:p w14:paraId="6BC46636" w14:textId="77777777" w:rsidR="00095951" w:rsidRPr="000F0A14" w:rsidRDefault="00095951">
            <w:pPr>
              <w:cnfStyle w:val="010000000000" w:firstRow="0" w:lastRow="1" w:firstColumn="0" w:lastColumn="0" w:oddVBand="0" w:evenVBand="0" w:oddHBand="0" w:evenHBand="0" w:firstRowFirstColumn="0" w:firstRowLastColumn="0" w:lastRowFirstColumn="0" w:lastRowLastColumn="0"/>
            </w:pPr>
            <w:r w:rsidRPr="00DC56E1">
              <w:t>17 844.1</w:t>
            </w:r>
          </w:p>
        </w:tc>
        <w:tc>
          <w:tcPr>
            <w:tcW w:w="921" w:type="dxa"/>
          </w:tcPr>
          <w:p w14:paraId="68920A18" w14:textId="2CBBAA7A" w:rsidR="00095951" w:rsidRPr="00005E08" w:rsidRDefault="00095951">
            <w:pPr>
              <w:cnfStyle w:val="010000000000" w:firstRow="0" w:lastRow="1" w:firstColumn="0" w:lastColumn="0" w:oddVBand="0" w:evenVBand="0" w:oddHBand="0" w:evenHBand="0" w:firstRowFirstColumn="0" w:firstRowLastColumn="0" w:lastRowFirstColumn="0" w:lastRowLastColumn="0"/>
              <w:rPr>
                <w:highlight w:val="yellow"/>
              </w:rPr>
            </w:pPr>
            <w:r w:rsidRPr="00DC56E1">
              <w:t>18 105.</w:t>
            </w:r>
            <w:r w:rsidR="00C8574D">
              <w:t>6</w:t>
            </w:r>
          </w:p>
        </w:tc>
        <w:tc>
          <w:tcPr>
            <w:tcW w:w="921" w:type="dxa"/>
          </w:tcPr>
          <w:p w14:paraId="459A2AE3" w14:textId="77777777" w:rsidR="00095951" w:rsidRPr="00005E08" w:rsidRDefault="00095951">
            <w:pPr>
              <w:cnfStyle w:val="010000000000" w:firstRow="0" w:lastRow="1" w:firstColumn="0" w:lastColumn="0" w:oddVBand="0" w:evenVBand="0" w:oddHBand="0" w:evenHBand="0" w:firstRowFirstColumn="0" w:firstRowLastColumn="0" w:lastRowFirstColumn="0" w:lastRowLastColumn="0"/>
              <w:rPr>
                <w:highlight w:val="yellow"/>
              </w:rPr>
            </w:pPr>
            <w:r w:rsidRPr="00DC56E1">
              <w:t>18 646.6</w:t>
            </w:r>
          </w:p>
        </w:tc>
        <w:tc>
          <w:tcPr>
            <w:tcW w:w="922" w:type="dxa"/>
          </w:tcPr>
          <w:p w14:paraId="466C1D15" w14:textId="77777777" w:rsidR="00095951" w:rsidRPr="00005E08" w:rsidRDefault="00095951">
            <w:pPr>
              <w:cnfStyle w:val="010000000000" w:firstRow="0" w:lastRow="1" w:firstColumn="0" w:lastColumn="0" w:oddVBand="0" w:evenVBand="0" w:oddHBand="0" w:evenHBand="0" w:firstRowFirstColumn="0" w:firstRowLastColumn="0" w:lastRowFirstColumn="0" w:lastRowLastColumn="0"/>
              <w:rPr>
                <w:highlight w:val="yellow"/>
              </w:rPr>
            </w:pPr>
            <w:r w:rsidRPr="00DC56E1">
              <w:t xml:space="preserve"> 4.5</w:t>
            </w:r>
          </w:p>
        </w:tc>
      </w:tr>
    </w:tbl>
    <w:p w14:paraId="0EF1B6D2" w14:textId="77777777" w:rsidR="00095951" w:rsidRDefault="00095951" w:rsidP="00095951">
      <w:pPr>
        <w:pStyle w:val="Source"/>
        <w:rPr>
          <w:lang w:eastAsia="en-AU"/>
        </w:rPr>
      </w:pPr>
      <w:r>
        <w:rPr>
          <w:lang w:eastAsia="en-AU"/>
        </w:rPr>
        <w:t>Source: Department of Education</w:t>
      </w:r>
    </w:p>
    <w:p w14:paraId="69FF5467" w14:textId="765C4788" w:rsidR="00095951" w:rsidRPr="00B4402D" w:rsidRDefault="00095951" w:rsidP="00095951">
      <w:pPr>
        <w:pStyle w:val="Note"/>
      </w:pPr>
      <w:r w:rsidRPr="00B4402D">
        <w:t>Notes</w:t>
      </w:r>
      <w:r w:rsidR="00B4402D">
        <w:t>:</w:t>
      </w:r>
    </w:p>
    <w:p w14:paraId="0355E384" w14:textId="4D311947" w:rsidR="00095951" w:rsidRDefault="00B4402D" w:rsidP="00B4402D">
      <w:pPr>
        <w:pStyle w:val="Note"/>
      </w:pPr>
      <w:r>
        <w:t>(a)</w:t>
      </w:r>
      <w:r>
        <w:tab/>
      </w:r>
      <w:r w:rsidR="00095951" w:rsidRPr="00532D1B">
        <w:t>Variation between 2025-26 budget and 2026-27 budget.</w:t>
      </w:r>
    </w:p>
    <w:p w14:paraId="1105E83E" w14:textId="1E0B2D95" w:rsidR="00095951" w:rsidRDefault="00B4402D" w:rsidP="00B4402D">
      <w:pPr>
        <w:pStyle w:val="Note"/>
      </w:pPr>
      <w:r>
        <w:t>(b)</w:t>
      </w:r>
      <w:r>
        <w:tab/>
      </w:r>
      <w:r w:rsidR="00095951">
        <w:t xml:space="preserve">The higher 2026-27 target primarily reflects investments in sector supports to enable Best Start, Best Life delivery and increased investment in Early Childhood Regulation. </w:t>
      </w:r>
    </w:p>
    <w:p w14:paraId="2AAB4939" w14:textId="136861AA" w:rsidR="00095951" w:rsidRDefault="00B4402D" w:rsidP="00B4402D">
      <w:pPr>
        <w:pStyle w:val="Note"/>
      </w:pPr>
      <w:r>
        <w:t>(c)</w:t>
      </w:r>
      <w:r>
        <w:tab/>
      </w:r>
      <w:r w:rsidR="00095951">
        <w:t xml:space="preserve">The higher 2026-27 target primarily reflects new funding announced as part of the </w:t>
      </w:r>
      <w:r w:rsidR="00095951" w:rsidRPr="00AD4833">
        <w:rPr>
          <w:i w:val="0"/>
        </w:rPr>
        <w:t>2026-27 Budget</w:t>
      </w:r>
      <w:r w:rsidR="00095951">
        <w:t>.</w:t>
      </w:r>
    </w:p>
    <w:p w14:paraId="0824DA1D" w14:textId="04571B4F" w:rsidR="00095951" w:rsidRPr="00532D1B" w:rsidRDefault="00B4402D" w:rsidP="00B4402D">
      <w:pPr>
        <w:pStyle w:val="Note"/>
      </w:pPr>
      <w:r>
        <w:t>(d)</w:t>
      </w:r>
      <w:r>
        <w:tab/>
      </w:r>
      <w:r w:rsidR="00095951">
        <w:t>The higher 2026-27 target primarily reflects ongoing investment in Disability Inclusion in schools to meet program growth.</w:t>
      </w:r>
    </w:p>
    <w:p w14:paraId="08D04C2D" w14:textId="77777777" w:rsidR="00095951" w:rsidRPr="00AD4833" w:rsidRDefault="00095951" w:rsidP="00AD4833">
      <w:r>
        <w:rPr>
          <w:rFonts w:eastAsia="Times New Roman"/>
        </w:rPr>
        <w:br w:type="page"/>
      </w:r>
    </w:p>
    <w:p w14:paraId="63C025F6" w14:textId="77777777" w:rsidR="001F34B3" w:rsidRPr="00D27E59" w:rsidRDefault="001F34B3" w:rsidP="001F34B3">
      <w:pPr>
        <w:pStyle w:val="Heading2"/>
        <w:rPr>
          <w:rFonts w:ascii="Calibri" w:eastAsia="Times New Roman" w:hAnsi="Calibri" w:cs="Times New Roman"/>
          <w:spacing w:val="-2"/>
          <w:sz w:val="26"/>
        </w:rPr>
      </w:pPr>
      <w:r w:rsidRPr="00D27E59">
        <w:rPr>
          <w:rFonts w:eastAsia="Times New Roman"/>
        </w:rPr>
        <w:lastRenderedPageBreak/>
        <w:t>Amounts available</w:t>
      </w:r>
    </w:p>
    <w:p w14:paraId="5D7D2C8D" w14:textId="32EBCAB2" w:rsidR="001F34B3" w:rsidRPr="00D27E59" w:rsidRDefault="001F34B3" w:rsidP="001F34B3">
      <w:pPr>
        <w:rPr>
          <w:rFonts w:ascii="Garamond" w:eastAsia="Garamond" w:hAnsi="Garamond"/>
        </w:rPr>
      </w:pPr>
      <w:r w:rsidRPr="00D27E59">
        <w:rPr>
          <w:rFonts w:ascii="Garamond" w:eastAsia="Garamond" w:hAnsi="Garamond"/>
        </w:rPr>
        <w:t xml:space="preserve">The following tables detail the amounts available to the </w:t>
      </w:r>
      <w:r w:rsidR="004658BF" w:rsidRPr="00D27E59">
        <w:rPr>
          <w:rFonts w:ascii="Garamond" w:eastAsia="Garamond" w:hAnsi="Garamond"/>
        </w:rPr>
        <w:t>Department</w:t>
      </w:r>
      <w:r w:rsidRPr="00D27E59">
        <w:rPr>
          <w:rFonts w:ascii="Garamond" w:eastAsia="Garamond" w:hAnsi="Garamond"/>
        </w:rPr>
        <w:t xml:space="preserve"> from parliamentary authority and income generated through transactions.</w:t>
      </w:r>
    </w:p>
    <w:p w14:paraId="2623036D" w14:textId="30CC642C" w:rsidR="001F34B3" w:rsidRDefault="001F34B3" w:rsidP="001F34B3">
      <w:pPr>
        <w:rPr>
          <w:rFonts w:ascii="Garamond" w:eastAsia="Garamond" w:hAnsi="Garamond"/>
        </w:rPr>
      </w:pPr>
      <w:r w:rsidRPr="56633658">
        <w:rPr>
          <w:rFonts w:ascii="Garamond" w:eastAsia="Garamond" w:hAnsi="Garamond"/>
        </w:rPr>
        <w:t xml:space="preserve">Table </w:t>
      </w:r>
      <w:r>
        <w:rPr>
          <w:rFonts w:ascii="Garamond" w:eastAsia="Garamond" w:hAnsi="Garamond"/>
        </w:rPr>
        <w:t>2</w:t>
      </w:r>
      <w:r w:rsidRPr="56633658">
        <w:rPr>
          <w:rFonts w:ascii="Garamond" w:eastAsia="Garamond" w:hAnsi="Garamond"/>
        </w:rPr>
        <w:t xml:space="preserve"> outlines the </w:t>
      </w:r>
      <w:r w:rsidR="004658BF" w:rsidRPr="56633658">
        <w:rPr>
          <w:rFonts w:ascii="Garamond" w:eastAsia="Garamond" w:hAnsi="Garamond"/>
        </w:rPr>
        <w:t>Department</w:t>
      </w:r>
      <w:r w:rsidR="004658BF">
        <w:rPr>
          <w:rFonts w:ascii="Garamond" w:eastAsia="Garamond" w:hAnsi="Garamond"/>
        </w:rPr>
        <w:t>’</w:t>
      </w:r>
      <w:r w:rsidR="004658BF" w:rsidRPr="56633658">
        <w:rPr>
          <w:rFonts w:ascii="Garamond" w:eastAsia="Garamond" w:hAnsi="Garamond"/>
        </w:rPr>
        <w:t>s</w:t>
      </w:r>
      <w:r w:rsidRPr="56633658">
        <w:rPr>
          <w:rFonts w:ascii="Garamond" w:eastAsia="Garamond" w:hAnsi="Garamond"/>
        </w:rPr>
        <w:t xml:space="preserve"> income from transactions and Table </w:t>
      </w:r>
      <w:r>
        <w:rPr>
          <w:rFonts w:ascii="Garamond" w:eastAsia="Garamond" w:hAnsi="Garamond"/>
        </w:rPr>
        <w:t>3</w:t>
      </w:r>
      <w:r w:rsidRPr="56633658">
        <w:rPr>
          <w:rFonts w:ascii="Garamond" w:eastAsia="Garamond" w:hAnsi="Garamond"/>
        </w:rPr>
        <w:t xml:space="preserve"> summarises the sources of parliamentary authority available to the </w:t>
      </w:r>
      <w:r w:rsidR="004658BF" w:rsidRPr="56633658">
        <w:rPr>
          <w:rFonts w:ascii="Garamond" w:eastAsia="Garamond" w:hAnsi="Garamond"/>
        </w:rPr>
        <w:t>Department</w:t>
      </w:r>
      <w:r w:rsidRPr="56633658">
        <w:rPr>
          <w:rFonts w:ascii="Garamond" w:eastAsia="Garamond" w:hAnsi="Garamond"/>
        </w:rPr>
        <w:t xml:space="preserve"> to fund the provision of outputs, additions to the net asset base and payments made on behalf of the </w:t>
      </w:r>
      <w:r w:rsidR="006554E3">
        <w:rPr>
          <w:rFonts w:ascii="Garamond" w:eastAsia="Garamond" w:hAnsi="Garamond"/>
        </w:rPr>
        <w:t>S</w:t>
      </w:r>
      <w:r w:rsidRPr="56633658">
        <w:rPr>
          <w:rFonts w:ascii="Garamond" w:eastAsia="Garamond" w:hAnsi="Garamond"/>
        </w:rPr>
        <w:t xml:space="preserve">tate, and other sources expected to become available to the </w:t>
      </w:r>
      <w:r w:rsidR="004658BF" w:rsidRPr="56633658">
        <w:rPr>
          <w:rFonts w:ascii="Garamond" w:eastAsia="Garamond" w:hAnsi="Garamond"/>
        </w:rPr>
        <w:t>Department</w:t>
      </w:r>
      <w:r w:rsidRPr="56633658">
        <w:rPr>
          <w:rFonts w:ascii="Garamond" w:eastAsia="Garamond" w:hAnsi="Garamond"/>
        </w:rPr>
        <w:t>.</w:t>
      </w:r>
    </w:p>
    <w:p w14:paraId="588F32A2" w14:textId="77777777" w:rsidR="00A01E93" w:rsidRDefault="00A01E93" w:rsidP="00A01E93">
      <w:pPr>
        <w:pStyle w:val="TableHeading"/>
      </w:pPr>
      <w:r w:rsidRPr="001B271D">
        <w:t xml:space="preserve">Table </w:t>
      </w:r>
      <w:r>
        <w:t>2</w:t>
      </w:r>
      <w:r w:rsidRPr="001B271D">
        <w:t>:</w:t>
      </w:r>
      <w:r>
        <w:tab/>
      </w:r>
      <w:r w:rsidRPr="001B271D">
        <w:t>Income from transactions</w:t>
      </w:r>
      <w:r w:rsidRPr="001B271D">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F85A42" w:rsidRPr="00C66F4A" w14:paraId="522D71C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0ED65" w14:textId="77777777" w:rsidR="00F85A42" w:rsidRPr="00C66F4A" w:rsidRDefault="00F85A42"/>
        </w:tc>
        <w:tc>
          <w:tcPr>
            <w:tcW w:w="851" w:type="dxa"/>
          </w:tcPr>
          <w:p w14:paraId="313023EB" w14:textId="77777777" w:rsidR="00F85A42" w:rsidRPr="00C66F4A" w:rsidRDefault="00F85A42">
            <w:pPr>
              <w:cnfStyle w:val="100000000000" w:firstRow="1" w:lastRow="0" w:firstColumn="0" w:lastColumn="0" w:oddVBand="0" w:evenVBand="0" w:oddHBand="0" w:evenHBand="0" w:firstRowFirstColumn="0" w:firstRowLastColumn="0" w:lastRowFirstColumn="0" w:lastRowLastColumn="0"/>
            </w:pPr>
            <w:r w:rsidRPr="00C66F4A">
              <w:t xml:space="preserve">2024-25 </w:t>
            </w:r>
            <w:r>
              <w:t>actual</w:t>
            </w:r>
          </w:p>
        </w:tc>
        <w:tc>
          <w:tcPr>
            <w:tcW w:w="851" w:type="dxa"/>
          </w:tcPr>
          <w:p w14:paraId="1EDEBB53" w14:textId="77777777" w:rsidR="00F85A42" w:rsidRPr="00C66F4A" w:rsidRDefault="00F85A42">
            <w:pPr>
              <w:cnfStyle w:val="100000000000" w:firstRow="1" w:lastRow="0" w:firstColumn="0" w:lastColumn="0" w:oddVBand="0" w:evenVBand="0" w:oddHBand="0" w:evenHBand="0" w:firstRowFirstColumn="0" w:firstRowLastColumn="0" w:lastRowFirstColumn="0" w:lastRowLastColumn="0"/>
            </w:pPr>
            <w:r w:rsidRPr="00C66F4A">
              <w:t>2025-26 budget</w:t>
            </w:r>
          </w:p>
        </w:tc>
        <w:tc>
          <w:tcPr>
            <w:tcW w:w="851" w:type="dxa"/>
          </w:tcPr>
          <w:p w14:paraId="61C52788" w14:textId="77777777" w:rsidR="00F85A42" w:rsidRPr="00C66F4A" w:rsidRDefault="00F85A42">
            <w:pPr>
              <w:cnfStyle w:val="100000000000" w:firstRow="1" w:lastRow="0" w:firstColumn="0" w:lastColumn="0" w:oddVBand="0" w:evenVBand="0" w:oddHBand="0" w:evenHBand="0" w:firstRowFirstColumn="0" w:firstRowLastColumn="0" w:lastRowFirstColumn="0" w:lastRowLastColumn="0"/>
            </w:pPr>
            <w:r w:rsidRPr="00C66F4A">
              <w:t>2025-26 revised</w:t>
            </w:r>
          </w:p>
        </w:tc>
        <w:tc>
          <w:tcPr>
            <w:tcW w:w="851" w:type="dxa"/>
          </w:tcPr>
          <w:p w14:paraId="638A7814" w14:textId="77777777" w:rsidR="00F85A42" w:rsidRPr="00C66F4A" w:rsidRDefault="00F85A42">
            <w:pPr>
              <w:cnfStyle w:val="100000000000" w:firstRow="1" w:lastRow="0" w:firstColumn="0" w:lastColumn="0" w:oddVBand="0" w:evenVBand="0" w:oddHBand="0" w:evenHBand="0" w:firstRowFirstColumn="0" w:firstRowLastColumn="0" w:lastRowFirstColumn="0" w:lastRowLastColumn="0"/>
            </w:pPr>
            <w:r w:rsidRPr="00C66F4A">
              <w:t>2026-27 budget</w:t>
            </w:r>
          </w:p>
        </w:tc>
      </w:tr>
      <w:tr w:rsidR="00F85A42" w:rsidRPr="00691FB2" w14:paraId="38EAC55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2C951" w14:textId="77777777" w:rsidR="00F85A42" w:rsidRPr="00691FB2" w:rsidRDefault="00F85A42">
            <w:pPr>
              <w:rPr>
                <w:lang w:eastAsia="en-AU"/>
              </w:rPr>
            </w:pPr>
            <w:r w:rsidRPr="00691FB2">
              <w:rPr>
                <w:lang w:eastAsia="en-AU"/>
              </w:rPr>
              <w:t>Output appropriations</w:t>
            </w:r>
          </w:p>
        </w:tc>
        <w:tc>
          <w:tcPr>
            <w:tcW w:w="851" w:type="dxa"/>
            <w:noWrap/>
            <w:hideMark/>
          </w:tcPr>
          <w:p w14:paraId="32A20317"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16 671.1</w:t>
            </w:r>
          </w:p>
        </w:tc>
        <w:tc>
          <w:tcPr>
            <w:tcW w:w="851" w:type="dxa"/>
            <w:noWrap/>
            <w:hideMark/>
          </w:tcPr>
          <w:p w14:paraId="0C5D5AF5"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17 395.8</w:t>
            </w:r>
          </w:p>
        </w:tc>
        <w:tc>
          <w:tcPr>
            <w:tcW w:w="851" w:type="dxa"/>
            <w:noWrap/>
            <w:hideMark/>
          </w:tcPr>
          <w:p w14:paraId="7477150F"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17 618.8</w:t>
            </w:r>
          </w:p>
        </w:tc>
        <w:tc>
          <w:tcPr>
            <w:tcW w:w="851" w:type="dxa"/>
            <w:noWrap/>
            <w:hideMark/>
          </w:tcPr>
          <w:p w14:paraId="176FD929"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18 236.8</w:t>
            </w:r>
          </w:p>
        </w:tc>
      </w:tr>
      <w:tr w:rsidR="00F85A42" w:rsidRPr="00691FB2" w14:paraId="07E657F4"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1A1BDCD" w14:textId="77777777" w:rsidR="00F85A42" w:rsidRPr="00691FB2" w:rsidRDefault="00F85A42">
            <w:pPr>
              <w:rPr>
                <w:lang w:eastAsia="en-AU"/>
              </w:rPr>
            </w:pPr>
            <w:r w:rsidRPr="00691FB2">
              <w:rPr>
                <w:lang w:eastAsia="en-AU"/>
              </w:rPr>
              <w:t>Special appropriations</w:t>
            </w:r>
          </w:p>
        </w:tc>
        <w:tc>
          <w:tcPr>
            <w:tcW w:w="851" w:type="dxa"/>
            <w:noWrap/>
            <w:hideMark/>
          </w:tcPr>
          <w:p w14:paraId="54FB2C7A"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0.2</w:t>
            </w:r>
          </w:p>
        </w:tc>
        <w:tc>
          <w:tcPr>
            <w:tcW w:w="851" w:type="dxa"/>
            <w:noWrap/>
            <w:hideMark/>
          </w:tcPr>
          <w:p w14:paraId="42E61757"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0.3</w:t>
            </w:r>
          </w:p>
        </w:tc>
        <w:tc>
          <w:tcPr>
            <w:tcW w:w="851" w:type="dxa"/>
            <w:noWrap/>
            <w:hideMark/>
          </w:tcPr>
          <w:p w14:paraId="101A4857"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0.3</w:t>
            </w:r>
          </w:p>
        </w:tc>
        <w:tc>
          <w:tcPr>
            <w:tcW w:w="851" w:type="dxa"/>
            <w:noWrap/>
            <w:hideMark/>
          </w:tcPr>
          <w:p w14:paraId="5B55DC03"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0.3</w:t>
            </w:r>
          </w:p>
        </w:tc>
      </w:tr>
      <w:tr w:rsidR="00F85A42" w:rsidRPr="00691FB2" w14:paraId="23518B37"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AC8DE98" w14:textId="77777777" w:rsidR="00F85A42" w:rsidRPr="00691FB2" w:rsidRDefault="00F85A42">
            <w:pPr>
              <w:rPr>
                <w:lang w:eastAsia="en-AU"/>
              </w:rPr>
            </w:pPr>
            <w:r w:rsidRPr="00691FB2">
              <w:rPr>
                <w:lang w:eastAsia="en-AU"/>
              </w:rPr>
              <w:t>Interest</w:t>
            </w:r>
          </w:p>
        </w:tc>
        <w:tc>
          <w:tcPr>
            <w:tcW w:w="851" w:type="dxa"/>
            <w:noWrap/>
            <w:hideMark/>
          </w:tcPr>
          <w:p w14:paraId="77103479"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85.7</w:t>
            </w:r>
          </w:p>
        </w:tc>
        <w:tc>
          <w:tcPr>
            <w:tcW w:w="851" w:type="dxa"/>
            <w:noWrap/>
            <w:hideMark/>
          </w:tcPr>
          <w:p w14:paraId="43B9FC32"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69.7</w:t>
            </w:r>
          </w:p>
        </w:tc>
        <w:tc>
          <w:tcPr>
            <w:tcW w:w="851" w:type="dxa"/>
            <w:noWrap/>
            <w:hideMark/>
          </w:tcPr>
          <w:p w14:paraId="510CD5EA"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64.5</w:t>
            </w:r>
          </w:p>
        </w:tc>
        <w:tc>
          <w:tcPr>
            <w:tcW w:w="851" w:type="dxa"/>
            <w:noWrap/>
            <w:hideMark/>
          </w:tcPr>
          <w:p w14:paraId="74776458"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64.2</w:t>
            </w:r>
          </w:p>
        </w:tc>
      </w:tr>
      <w:tr w:rsidR="00F85A42" w:rsidRPr="00691FB2" w14:paraId="0F0D820C"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A569194" w14:textId="77777777" w:rsidR="00F85A42" w:rsidRPr="00691FB2" w:rsidRDefault="00F85A42">
            <w:pPr>
              <w:rPr>
                <w:lang w:eastAsia="en-AU"/>
              </w:rPr>
            </w:pPr>
            <w:r w:rsidRPr="00691FB2">
              <w:rPr>
                <w:lang w:eastAsia="en-AU"/>
              </w:rPr>
              <w:t>Sales of goods and services</w:t>
            </w:r>
          </w:p>
        </w:tc>
        <w:tc>
          <w:tcPr>
            <w:tcW w:w="851" w:type="dxa"/>
            <w:noWrap/>
            <w:hideMark/>
          </w:tcPr>
          <w:p w14:paraId="361B9104"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401.9</w:t>
            </w:r>
          </w:p>
        </w:tc>
        <w:tc>
          <w:tcPr>
            <w:tcW w:w="851" w:type="dxa"/>
            <w:noWrap/>
            <w:hideMark/>
          </w:tcPr>
          <w:p w14:paraId="5A970D69"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375.9</w:t>
            </w:r>
          </w:p>
        </w:tc>
        <w:tc>
          <w:tcPr>
            <w:tcW w:w="851" w:type="dxa"/>
            <w:noWrap/>
            <w:hideMark/>
          </w:tcPr>
          <w:p w14:paraId="6FEA4F81"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393.1</w:t>
            </w:r>
          </w:p>
        </w:tc>
        <w:tc>
          <w:tcPr>
            <w:tcW w:w="851" w:type="dxa"/>
            <w:noWrap/>
            <w:hideMark/>
          </w:tcPr>
          <w:p w14:paraId="0AF90A51"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410.3</w:t>
            </w:r>
          </w:p>
        </w:tc>
      </w:tr>
      <w:tr w:rsidR="00F85A42" w:rsidRPr="00691FB2" w14:paraId="224619A6"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442B7D1" w14:textId="77777777" w:rsidR="00F85A42" w:rsidRPr="00691FB2" w:rsidRDefault="00F85A42">
            <w:pPr>
              <w:rPr>
                <w:lang w:eastAsia="en-AU"/>
              </w:rPr>
            </w:pPr>
            <w:r w:rsidRPr="00691FB2">
              <w:rPr>
                <w:lang w:eastAsia="en-AU"/>
              </w:rPr>
              <w:t>Grants</w:t>
            </w:r>
          </w:p>
        </w:tc>
        <w:tc>
          <w:tcPr>
            <w:tcW w:w="851" w:type="dxa"/>
            <w:noWrap/>
            <w:hideMark/>
          </w:tcPr>
          <w:p w14:paraId="5E927BE7"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33.0</w:t>
            </w:r>
          </w:p>
        </w:tc>
        <w:tc>
          <w:tcPr>
            <w:tcW w:w="851" w:type="dxa"/>
            <w:noWrap/>
            <w:hideMark/>
          </w:tcPr>
          <w:p w14:paraId="34A848DA"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14.2</w:t>
            </w:r>
          </w:p>
        </w:tc>
        <w:tc>
          <w:tcPr>
            <w:tcW w:w="851" w:type="dxa"/>
            <w:noWrap/>
            <w:hideMark/>
          </w:tcPr>
          <w:p w14:paraId="36FF974E"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15.2</w:t>
            </w:r>
          </w:p>
        </w:tc>
        <w:tc>
          <w:tcPr>
            <w:tcW w:w="851" w:type="dxa"/>
            <w:noWrap/>
            <w:hideMark/>
          </w:tcPr>
          <w:p w14:paraId="065C6973"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87.3</w:t>
            </w:r>
          </w:p>
        </w:tc>
      </w:tr>
      <w:tr w:rsidR="00F85A42" w:rsidRPr="00691FB2" w14:paraId="68072DFD"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652C9F8" w14:textId="77777777" w:rsidR="00F85A42" w:rsidRPr="00691FB2" w:rsidRDefault="00F85A42">
            <w:pPr>
              <w:rPr>
                <w:lang w:eastAsia="en-AU"/>
              </w:rPr>
            </w:pPr>
            <w:r w:rsidRPr="00691FB2">
              <w:rPr>
                <w:lang w:eastAsia="en-AU"/>
              </w:rPr>
              <w:t>Fair value of assets and services received free of charge or for nominal consideration</w:t>
            </w:r>
          </w:p>
        </w:tc>
        <w:tc>
          <w:tcPr>
            <w:tcW w:w="851" w:type="dxa"/>
            <w:noWrap/>
            <w:hideMark/>
          </w:tcPr>
          <w:p w14:paraId="611B3909"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w:t>
            </w:r>
          </w:p>
        </w:tc>
        <w:tc>
          <w:tcPr>
            <w:tcW w:w="851" w:type="dxa"/>
            <w:noWrap/>
            <w:hideMark/>
          </w:tcPr>
          <w:p w14:paraId="6C67F78B"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0.7</w:t>
            </w:r>
          </w:p>
        </w:tc>
        <w:tc>
          <w:tcPr>
            <w:tcW w:w="851" w:type="dxa"/>
            <w:noWrap/>
            <w:hideMark/>
          </w:tcPr>
          <w:p w14:paraId="6B907133"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1.1</w:t>
            </w:r>
          </w:p>
        </w:tc>
        <w:tc>
          <w:tcPr>
            <w:tcW w:w="851" w:type="dxa"/>
            <w:noWrap/>
            <w:hideMark/>
          </w:tcPr>
          <w:p w14:paraId="1F53AC56"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0.7</w:t>
            </w:r>
          </w:p>
        </w:tc>
      </w:tr>
      <w:tr w:rsidR="00F85A42" w:rsidRPr="00691FB2" w14:paraId="721EE4A3" w14:textId="77777777" w:rsidTr="00AD4833">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767C3F70" w14:textId="77777777" w:rsidR="00F85A42" w:rsidRPr="00691FB2" w:rsidRDefault="00F85A42">
            <w:pPr>
              <w:rPr>
                <w:lang w:eastAsia="en-AU"/>
              </w:rPr>
            </w:pPr>
            <w:r w:rsidRPr="00691FB2">
              <w:rPr>
                <w:lang w:eastAsia="en-AU"/>
              </w:rPr>
              <w:t>Other income</w:t>
            </w:r>
          </w:p>
        </w:tc>
        <w:tc>
          <w:tcPr>
            <w:tcW w:w="851" w:type="dxa"/>
            <w:tcBorders>
              <w:bottom w:val="single" w:sz="6" w:space="0" w:color="auto"/>
            </w:tcBorders>
            <w:noWrap/>
            <w:hideMark/>
          </w:tcPr>
          <w:p w14:paraId="179AA78C"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219.7</w:t>
            </w:r>
          </w:p>
        </w:tc>
        <w:tc>
          <w:tcPr>
            <w:tcW w:w="851" w:type="dxa"/>
            <w:tcBorders>
              <w:bottom w:val="single" w:sz="6" w:space="0" w:color="auto"/>
            </w:tcBorders>
            <w:noWrap/>
            <w:hideMark/>
          </w:tcPr>
          <w:p w14:paraId="231A6314"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365.5</w:t>
            </w:r>
          </w:p>
        </w:tc>
        <w:tc>
          <w:tcPr>
            <w:tcW w:w="851" w:type="dxa"/>
            <w:tcBorders>
              <w:bottom w:val="single" w:sz="6" w:space="0" w:color="auto"/>
            </w:tcBorders>
            <w:noWrap/>
            <w:hideMark/>
          </w:tcPr>
          <w:p w14:paraId="4657B91A"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299.2</w:t>
            </w:r>
          </w:p>
        </w:tc>
        <w:tc>
          <w:tcPr>
            <w:tcW w:w="851" w:type="dxa"/>
            <w:tcBorders>
              <w:bottom w:val="single" w:sz="6" w:space="0" w:color="auto"/>
            </w:tcBorders>
            <w:noWrap/>
            <w:hideMark/>
          </w:tcPr>
          <w:p w14:paraId="2E64F52F" w14:textId="77777777" w:rsidR="00F85A42" w:rsidRPr="00691FB2" w:rsidRDefault="00F85A42">
            <w:pPr>
              <w:cnfStyle w:val="000000000000" w:firstRow="0" w:lastRow="0" w:firstColumn="0" w:lastColumn="0" w:oddVBand="0" w:evenVBand="0" w:oddHBand="0" w:evenHBand="0" w:firstRowFirstColumn="0" w:firstRowLastColumn="0" w:lastRowFirstColumn="0" w:lastRowLastColumn="0"/>
              <w:rPr>
                <w:lang w:eastAsia="en-AU"/>
              </w:rPr>
            </w:pPr>
            <w:r w:rsidRPr="00691FB2">
              <w:rPr>
                <w:lang w:eastAsia="en-AU"/>
              </w:rPr>
              <w:t>306.7</w:t>
            </w:r>
          </w:p>
        </w:tc>
      </w:tr>
      <w:tr w:rsidR="00F85A42" w:rsidRPr="00691FB2" w14:paraId="307A90B6" w14:textId="77777777" w:rsidTr="00AD4833">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63635E1" w14:textId="77777777" w:rsidR="00F85A42" w:rsidRPr="00691FB2" w:rsidRDefault="00F85A42">
            <w:pPr>
              <w:rPr>
                <w:lang w:eastAsia="en-AU"/>
              </w:rPr>
            </w:pPr>
            <w:r w:rsidRPr="00691FB2">
              <w:rPr>
                <w:lang w:eastAsia="en-AU"/>
              </w:rPr>
              <w:t>Total income from transactions</w:t>
            </w:r>
          </w:p>
        </w:tc>
        <w:tc>
          <w:tcPr>
            <w:tcW w:w="851" w:type="dxa"/>
            <w:noWrap/>
            <w:hideMark/>
          </w:tcPr>
          <w:p w14:paraId="08BDCB8A" w14:textId="77777777" w:rsidR="00F85A42" w:rsidRPr="00691FB2" w:rsidRDefault="00F85A42">
            <w:pPr>
              <w:cnfStyle w:val="010000000000" w:firstRow="0" w:lastRow="1" w:firstColumn="0" w:lastColumn="0" w:oddVBand="0" w:evenVBand="0" w:oddHBand="0" w:evenHBand="0" w:firstRowFirstColumn="0" w:firstRowLastColumn="0" w:lastRowFirstColumn="0" w:lastRowLastColumn="0"/>
              <w:rPr>
                <w:lang w:eastAsia="en-AU"/>
              </w:rPr>
            </w:pPr>
            <w:r w:rsidRPr="00691FB2">
              <w:rPr>
                <w:lang w:eastAsia="en-AU"/>
              </w:rPr>
              <w:t>17 411.5</w:t>
            </w:r>
          </w:p>
        </w:tc>
        <w:tc>
          <w:tcPr>
            <w:tcW w:w="851" w:type="dxa"/>
            <w:noWrap/>
            <w:hideMark/>
          </w:tcPr>
          <w:p w14:paraId="74361597" w14:textId="77777777" w:rsidR="00F85A42" w:rsidRPr="00691FB2" w:rsidRDefault="00F85A42">
            <w:pPr>
              <w:cnfStyle w:val="010000000000" w:firstRow="0" w:lastRow="1" w:firstColumn="0" w:lastColumn="0" w:oddVBand="0" w:evenVBand="0" w:oddHBand="0" w:evenHBand="0" w:firstRowFirstColumn="0" w:firstRowLastColumn="0" w:lastRowFirstColumn="0" w:lastRowLastColumn="0"/>
              <w:rPr>
                <w:lang w:eastAsia="en-AU"/>
              </w:rPr>
            </w:pPr>
            <w:r w:rsidRPr="00691FB2">
              <w:rPr>
                <w:lang w:eastAsia="en-AU"/>
              </w:rPr>
              <w:t>18 222.1</w:t>
            </w:r>
          </w:p>
        </w:tc>
        <w:tc>
          <w:tcPr>
            <w:tcW w:w="851" w:type="dxa"/>
            <w:noWrap/>
            <w:hideMark/>
          </w:tcPr>
          <w:p w14:paraId="59E7455A" w14:textId="77777777" w:rsidR="00F85A42" w:rsidRPr="00691FB2" w:rsidRDefault="00F85A42">
            <w:pPr>
              <w:cnfStyle w:val="010000000000" w:firstRow="0" w:lastRow="1" w:firstColumn="0" w:lastColumn="0" w:oddVBand="0" w:evenVBand="0" w:oddHBand="0" w:evenHBand="0" w:firstRowFirstColumn="0" w:firstRowLastColumn="0" w:lastRowFirstColumn="0" w:lastRowLastColumn="0"/>
              <w:rPr>
                <w:lang w:eastAsia="en-AU"/>
              </w:rPr>
            </w:pPr>
            <w:r w:rsidRPr="00691FB2">
              <w:rPr>
                <w:lang w:eastAsia="en-AU"/>
              </w:rPr>
              <w:t>18 392.2</w:t>
            </w:r>
          </w:p>
        </w:tc>
        <w:tc>
          <w:tcPr>
            <w:tcW w:w="851" w:type="dxa"/>
            <w:noWrap/>
            <w:hideMark/>
          </w:tcPr>
          <w:p w14:paraId="185C8582" w14:textId="77777777" w:rsidR="00F85A42" w:rsidRPr="00691FB2" w:rsidRDefault="00F85A42">
            <w:pPr>
              <w:cnfStyle w:val="010000000000" w:firstRow="0" w:lastRow="1" w:firstColumn="0" w:lastColumn="0" w:oddVBand="0" w:evenVBand="0" w:oddHBand="0" w:evenHBand="0" w:firstRowFirstColumn="0" w:firstRowLastColumn="0" w:lastRowFirstColumn="0" w:lastRowLastColumn="0"/>
              <w:rPr>
                <w:lang w:eastAsia="en-AU"/>
              </w:rPr>
            </w:pPr>
            <w:r w:rsidRPr="00691FB2">
              <w:rPr>
                <w:lang w:eastAsia="en-AU"/>
              </w:rPr>
              <w:t>19 106.3</w:t>
            </w:r>
          </w:p>
        </w:tc>
      </w:tr>
    </w:tbl>
    <w:p w14:paraId="690E70B4" w14:textId="77777777" w:rsidR="00F85A42" w:rsidRDefault="00F85A42" w:rsidP="00F85A42">
      <w:pPr>
        <w:pStyle w:val="Source"/>
      </w:pPr>
      <w:r>
        <w:t>Source: Department of Education</w:t>
      </w:r>
    </w:p>
    <w:p w14:paraId="51469098" w14:textId="77777777" w:rsidR="00A01E93" w:rsidRPr="00A01E93" w:rsidRDefault="00A01E93" w:rsidP="00A01E93"/>
    <w:p w14:paraId="08965B07" w14:textId="77777777" w:rsidR="00A01E93" w:rsidRPr="007D3FF9" w:rsidRDefault="00A01E93" w:rsidP="00A01E93">
      <w:pPr>
        <w:pStyle w:val="TableHeading"/>
      </w:pPr>
      <w:r w:rsidRPr="001B271D">
        <w:t xml:space="preserve">Table </w:t>
      </w:r>
      <w:r>
        <w:t>3</w:t>
      </w:r>
      <w:r w:rsidRPr="001B271D">
        <w:t>:</w:t>
      </w:r>
      <w:r>
        <w:tab/>
      </w:r>
      <w:r w:rsidRPr="001B271D">
        <w:t>Parliamentary authority for resources</w:t>
      </w:r>
      <w:r w:rsidRPr="001B271D">
        <w:tab/>
        <w:t>($ million)</w:t>
      </w:r>
    </w:p>
    <w:tbl>
      <w:tblPr>
        <w:tblStyle w:val="DTFTableNumeric"/>
        <w:tblW w:w="5000" w:type="pct"/>
        <w:tblLook w:val="06E0" w:firstRow="1" w:lastRow="1" w:firstColumn="1" w:lastColumn="0" w:noHBand="1" w:noVBand="1"/>
      </w:tblPr>
      <w:tblGrid>
        <w:gridCol w:w="6655"/>
        <w:gridCol w:w="992"/>
        <w:gridCol w:w="992"/>
        <w:gridCol w:w="992"/>
      </w:tblGrid>
      <w:tr w:rsidR="002368DE" w14:paraId="12B8C60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1FDCB" w14:textId="77777777" w:rsidR="002368DE" w:rsidRDefault="002368DE"/>
        </w:tc>
        <w:tc>
          <w:tcPr>
            <w:tcW w:w="992" w:type="dxa"/>
          </w:tcPr>
          <w:p w14:paraId="1B322931" w14:textId="77777777" w:rsidR="002368DE" w:rsidRDefault="002368DE">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6E630B79" w14:textId="77777777" w:rsidR="002368DE" w:rsidRDefault="002368DE">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68BC1684" w14:textId="77777777" w:rsidR="002368DE" w:rsidRDefault="002368DE">
            <w:pPr>
              <w:cnfStyle w:val="100000000000" w:firstRow="1" w:lastRow="0" w:firstColumn="0" w:lastColumn="0" w:oddVBand="0" w:evenVBand="0" w:oddHBand="0" w:evenHBand="0" w:firstRowFirstColumn="0" w:firstRowLastColumn="0" w:lastRowFirstColumn="0" w:lastRowLastColumn="0"/>
            </w:pPr>
            <w:r>
              <w:t>2026-27 budget</w:t>
            </w:r>
          </w:p>
        </w:tc>
      </w:tr>
      <w:tr w:rsidR="002368DE" w:rsidRPr="00D92956" w14:paraId="2A54423A"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5590FE76" w14:textId="77777777" w:rsidR="002368DE" w:rsidRPr="00D92956" w:rsidRDefault="002368DE">
            <w:pPr>
              <w:rPr>
                <w:b/>
                <w:bCs/>
                <w:lang w:eastAsia="en-AU"/>
              </w:rPr>
            </w:pPr>
            <w:r w:rsidRPr="00D92956">
              <w:rPr>
                <w:b/>
                <w:bCs/>
                <w:lang w:eastAsia="en-AU"/>
              </w:rPr>
              <w:t>Annual appropriations</w:t>
            </w:r>
          </w:p>
        </w:tc>
        <w:tc>
          <w:tcPr>
            <w:tcW w:w="992" w:type="dxa"/>
            <w:noWrap/>
            <w:hideMark/>
          </w:tcPr>
          <w:p w14:paraId="367ED680"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18 899.7</w:t>
            </w:r>
          </w:p>
        </w:tc>
        <w:tc>
          <w:tcPr>
            <w:tcW w:w="992" w:type="dxa"/>
            <w:noWrap/>
            <w:hideMark/>
          </w:tcPr>
          <w:p w14:paraId="3AF7B9FA"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18 467.3</w:t>
            </w:r>
          </w:p>
        </w:tc>
        <w:tc>
          <w:tcPr>
            <w:tcW w:w="992" w:type="dxa"/>
            <w:noWrap/>
            <w:hideMark/>
          </w:tcPr>
          <w:p w14:paraId="4CA67E9E"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19 323.9</w:t>
            </w:r>
          </w:p>
        </w:tc>
      </w:tr>
      <w:tr w:rsidR="002368DE" w:rsidRPr="00D92956" w14:paraId="3C6AAB03"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7D61D7" w14:textId="77777777" w:rsidR="002368DE" w:rsidRPr="00D92956" w:rsidRDefault="002368DE">
            <w:pPr>
              <w:rPr>
                <w:lang w:eastAsia="en-AU"/>
              </w:rPr>
            </w:pPr>
            <w:r w:rsidRPr="00D92956">
              <w:rPr>
                <w:lang w:eastAsia="en-AU"/>
              </w:rPr>
              <w:t>Provision of outputs</w:t>
            </w:r>
          </w:p>
        </w:tc>
        <w:tc>
          <w:tcPr>
            <w:tcW w:w="992" w:type="dxa"/>
            <w:noWrap/>
            <w:hideMark/>
          </w:tcPr>
          <w:p w14:paraId="4E1F6CD7"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17 130.7</w:t>
            </w:r>
          </w:p>
        </w:tc>
        <w:tc>
          <w:tcPr>
            <w:tcW w:w="992" w:type="dxa"/>
            <w:noWrap/>
            <w:hideMark/>
          </w:tcPr>
          <w:p w14:paraId="269F5823"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17 230.7</w:t>
            </w:r>
          </w:p>
        </w:tc>
        <w:tc>
          <w:tcPr>
            <w:tcW w:w="992" w:type="dxa"/>
            <w:noWrap/>
            <w:hideMark/>
          </w:tcPr>
          <w:p w14:paraId="4A04FCFF"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17 944.5</w:t>
            </w:r>
          </w:p>
        </w:tc>
      </w:tr>
      <w:tr w:rsidR="002368DE" w:rsidRPr="00D92956" w14:paraId="49631DE0"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632F6CE7" w14:textId="77777777" w:rsidR="002368DE" w:rsidRPr="00D92956" w:rsidRDefault="002368DE">
            <w:pPr>
              <w:rPr>
                <w:lang w:eastAsia="en-AU"/>
              </w:rPr>
            </w:pPr>
            <w:r w:rsidRPr="00D92956">
              <w:rPr>
                <w:lang w:eastAsia="en-AU"/>
              </w:rPr>
              <w:t>Additions to the net asset base</w:t>
            </w:r>
          </w:p>
        </w:tc>
        <w:tc>
          <w:tcPr>
            <w:tcW w:w="992" w:type="dxa"/>
            <w:noWrap/>
            <w:hideMark/>
          </w:tcPr>
          <w:p w14:paraId="2D71B974"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1 769.0</w:t>
            </w:r>
          </w:p>
        </w:tc>
        <w:tc>
          <w:tcPr>
            <w:tcW w:w="992" w:type="dxa"/>
            <w:noWrap/>
            <w:hideMark/>
          </w:tcPr>
          <w:p w14:paraId="7EE46151"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1 236.6</w:t>
            </w:r>
          </w:p>
        </w:tc>
        <w:tc>
          <w:tcPr>
            <w:tcW w:w="992" w:type="dxa"/>
            <w:noWrap/>
            <w:hideMark/>
          </w:tcPr>
          <w:p w14:paraId="1A7659E3"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1 379.5</w:t>
            </w:r>
          </w:p>
        </w:tc>
      </w:tr>
      <w:tr w:rsidR="002368DE" w:rsidRPr="00D92956" w14:paraId="60EB66DD"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7A7DEDFE" w14:textId="77777777" w:rsidR="002368DE" w:rsidRPr="00D92956" w:rsidRDefault="002368DE">
            <w:pPr>
              <w:rPr>
                <w:b/>
                <w:bCs/>
                <w:lang w:eastAsia="en-AU"/>
              </w:rPr>
            </w:pPr>
            <w:r w:rsidRPr="00D92956">
              <w:rPr>
                <w:b/>
                <w:bCs/>
                <w:lang w:eastAsia="en-AU"/>
              </w:rPr>
              <w:t>Receipts credited to appropriations</w:t>
            </w:r>
          </w:p>
        </w:tc>
        <w:tc>
          <w:tcPr>
            <w:tcW w:w="992" w:type="dxa"/>
            <w:noWrap/>
            <w:hideMark/>
          </w:tcPr>
          <w:p w14:paraId="4C201E63"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263.3</w:t>
            </w:r>
          </w:p>
        </w:tc>
        <w:tc>
          <w:tcPr>
            <w:tcW w:w="992" w:type="dxa"/>
            <w:noWrap/>
            <w:hideMark/>
          </w:tcPr>
          <w:p w14:paraId="073A9236"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312.9</w:t>
            </w:r>
          </w:p>
        </w:tc>
        <w:tc>
          <w:tcPr>
            <w:tcW w:w="992" w:type="dxa"/>
            <w:noWrap/>
            <w:hideMark/>
          </w:tcPr>
          <w:p w14:paraId="6D07D7B7"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298.8</w:t>
            </w:r>
          </w:p>
        </w:tc>
      </w:tr>
      <w:tr w:rsidR="002368DE" w:rsidRPr="00D92956" w14:paraId="5EA9745D"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41D60EF7" w14:textId="77777777" w:rsidR="002368DE" w:rsidRPr="00D92956" w:rsidRDefault="002368DE">
            <w:pPr>
              <w:rPr>
                <w:b/>
                <w:bCs/>
                <w:lang w:eastAsia="en-AU"/>
              </w:rPr>
            </w:pPr>
            <w:r w:rsidRPr="00D92956">
              <w:rPr>
                <w:b/>
                <w:bCs/>
                <w:lang w:eastAsia="en-AU"/>
              </w:rPr>
              <w:t>Unapplied previous years appropriation</w:t>
            </w:r>
          </w:p>
        </w:tc>
        <w:tc>
          <w:tcPr>
            <w:tcW w:w="992" w:type="dxa"/>
            <w:noWrap/>
            <w:hideMark/>
          </w:tcPr>
          <w:p w14:paraId="4C08FC09"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58.9</w:t>
            </w:r>
          </w:p>
        </w:tc>
        <w:tc>
          <w:tcPr>
            <w:tcW w:w="992" w:type="dxa"/>
            <w:noWrap/>
            <w:hideMark/>
          </w:tcPr>
          <w:p w14:paraId="0FB9CB1A"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277.5</w:t>
            </w:r>
          </w:p>
        </w:tc>
        <w:tc>
          <w:tcPr>
            <w:tcW w:w="992" w:type="dxa"/>
            <w:noWrap/>
            <w:hideMark/>
          </w:tcPr>
          <w:p w14:paraId="65B15226"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w:t>
            </w:r>
          </w:p>
        </w:tc>
      </w:tr>
      <w:tr w:rsidR="002368DE" w:rsidRPr="00D92956" w14:paraId="69F29266"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25E1F797" w14:textId="77777777" w:rsidR="002368DE" w:rsidRPr="00D92956" w:rsidRDefault="002368DE">
            <w:pPr>
              <w:rPr>
                <w:lang w:eastAsia="en-AU"/>
              </w:rPr>
            </w:pPr>
            <w:r w:rsidRPr="00D92956">
              <w:rPr>
                <w:lang w:eastAsia="en-AU"/>
              </w:rPr>
              <w:t>Provision of outputs</w:t>
            </w:r>
          </w:p>
        </w:tc>
        <w:tc>
          <w:tcPr>
            <w:tcW w:w="992" w:type="dxa"/>
            <w:noWrap/>
            <w:hideMark/>
          </w:tcPr>
          <w:p w14:paraId="68E43398"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8.3</w:t>
            </w:r>
          </w:p>
        </w:tc>
        <w:tc>
          <w:tcPr>
            <w:tcW w:w="992" w:type="dxa"/>
            <w:noWrap/>
            <w:hideMark/>
          </w:tcPr>
          <w:p w14:paraId="159C42F6"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105.8</w:t>
            </w:r>
          </w:p>
        </w:tc>
        <w:tc>
          <w:tcPr>
            <w:tcW w:w="992" w:type="dxa"/>
            <w:noWrap/>
            <w:hideMark/>
          </w:tcPr>
          <w:p w14:paraId="26C18AB2"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w:t>
            </w:r>
          </w:p>
        </w:tc>
      </w:tr>
      <w:tr w:rsidR="002368DE" w:rsidRPr="00D92956" w14:paraId="01979709"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19E734B0" w14:textId="77777777" w:rsidR="002368DE" w:rsidRPr="00D92956" w:rsidRDefault="002368DE">
            <w:pPr>
              <w:rPr>
                <w:lang w:eastAsia="en-AU"/>
              </w:rPr>
            </w:pPr>
            <w:r w:rsidRPr="00D92956">
              <w:rPr>
                <w:lang w:eastAsia="en-AU"/>
              </w:rPr>
              <w:t>Additions to the net asset base</w:t>
            </w:r>
          </w:p>
        </w:tc>
        <w:tc>
          <w:tcPr>
            <w:tcW w:w="992" w:type="dxa"/>
            <w:tcBorders>
              <w:bottom w:val="nil"/>
            </w:tcBorders>
            <w:noWrap/>
            <w:hideMark/>
          </w:tcPr>
          <w:p w14:paraId="55DD116A"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50.6</w:t>
            </w:r>
          </w:p>
        </w:tc>
        <w:tc>
          <w:tcPr>
            <w:tcW w:w="992" w:type="dxa"/>
            <w:tcBorders>
              <w:bottom w:val="nil"/>
            </w:tcBorders>
            <w:noWrap/>
            <w:hideMark/>
          </w:tcPr>
          <w:p w14:paraId="1CF1E24E"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171.7</w:t>
            </w:r>
          </w:p>
        </w:tc>
        <w:tc>
          <w:tcPr>
            <w:tcW w:w="992" w:type="dxa"/>
            <w:tcBorders>
              <w:bottom w:val="nil"/>
            </w:tcBorders>
            <w:noWrap/>
            <w:hideMark/>
          </w:tcPr>
          <w:p w14:paraId="0683992A"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w:t>
            </w:r>
          </w:p>
        </w:tc>
      </w:tr>
      <w:tr w:rsidR="002368DE" w:rsidRPr="00D92956" w14:paraId="5DC0585D"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noWrap/>
            <w:hideMark/>
          </w:tcPr>
          <w:p w14:paraId="2F89DF48" w14:textId="77777777" w:rsidR="002368DE" w:rsidRPr="00D92956" w:rsidRDefault="002368DE">
            <w:pPr>
              <w:rPr>
                <w:b/>
                <w:bCs/>
                <w:lang w:eastAsia="en-AU"/>
              </w:rPr>
            </w:pPr>
            <w:r w:rsidRPr="00D92956">
              <w:rPr>
                <w:b/>
                <w:bCs/>
                <w:lang w:eastAsia="en-AU"/>
              </w:rPr>
              <w:t>Gross annual appropriation</w:t>
            </w:r>
          </w:p>
        </w:tc>
        <w:tc>
          <w:tcPr>
            <w:tcW w:w="992" w:type="dxa"/>
            <w:tcBorders>
              <w:top w:val="single" w:sz="6" w:space="0" w:color="auto"/>
            </w:tcBorders>
            <w:noWrap/>
            <w:hideMark/>
          </w:tcPr>
          <w:p w14:paraId="57478AAC"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19 221.9</w:t>
            </w:r>
          </w:p>
        </w:tc>
        <w:tc>
          <w:tcPr>
            <w:tcW w:w="992" w:type="dxa"/>
            <w:tcBorders>
              <w:top w:val="single" w:sz="6" w:space="0" w:color="auto"/>
            </w:tcBorders>
            <w:noWrap/>
            <w:hideMark/>
          </w:tcPr>
          <w:p w14:paraId="6E9FD2B1"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19 057.6</w:t>
            </w:r>
          </w:p>
        </w:tc>
        <w:tc>
          <w:tcPr>
            <w:tcW w:w="992" w:type="dxa"/>
            <w:tcBorders>
              <w:top w:val="single" w:sz="6" w:space="0" w:color="auto"/>
            </w:tcBorders>
            <w:noWrap/>
            <w:hideMark/>
          </w:tcPr>
          <w:p w14:paraId="0462CF88"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19 622.8</w:t>
            </w:r>
          </w:p>
        </w:tc>
      </w:tr>
      <w:tr w:rsidR="002368DE" w:rsidRPr="00D92956" w14:paraId="52A5F8A6"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370ADE53" w14:textId="77777777" w:rsidR="002368DE" w:rsidRPr="00D92956" w:rsidRDefault="002368DE">
            <w:pPr>
              <w:rPr>
                <w:b/>
                <w:bCs/>
                <w:lang w:eastAsia="en-AU"/>
              </w:rPr>
            </w:pPr>
            <w:r w:rsidRPr="00D92956">
              <w:rPr>
                <w:b/>
                <w:bCs/>
                <w:lang w:eastAsia="en-AU"/>
              </w:rPr>
              <w:t>Special appropriations</w:t>
            </w:r>
          </w:p>
        </w:tc>
        <w:tc>
          <w:tcPr>
            <w:tcW w:w="992" w:type="dxa"/>
            <w:noWrap/>
            <w:hideMark/>
          </w:tcPr>
          <w:p w14:paraId="36FFD744"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58.5</w:t>
            </w:r>
          </w:p>
        </w:tc>
        <w:tc>
          <w:tcPr>
            <w:tcW w:w="992" w:type="dxa"/>
            <w:noWrap/>
            <w:hideMark/>
          </w:tcPr>
          <w:p w14:paraId="0FF21FA0"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73.0</w:t>
            </w:r>
          </w:p>
        </w:tc>
        <w:tc>
          <w:tcPr>
            <w:tcW w:w="992" w:type="dxa"/>
            <w:noWrap/>
            <w:hideMark/>
          </w:tcPr>
          <w:p w14:paraId="56B40162"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8.4</w:t>
            </w:r>
          </w:p>
        </w:tc>
      </w:tr>
      <w:tr w:rsidR="002368DE" w:rsidRPr="00D92956" w14:paraId="410CCA08"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4440CF4C" w14:textId="77777777" w:rsidR="002368DE" w:rsidRPr="00D92956" w:rsidRDefault="002368DE">
            <w:pPr>
              <w:rPr>
                <w:b/>
                <w:bCs/>
                <w:lang w:eastAsia="en-AU"/>
              </w:rPr>
            </w:pPr>
            <w:r w:rsidRPr="00D92956">
              <w:rPr>
                <w:b/>
                <w:bCs/>
                <w:lang w:eastAsia="en-AU"/>
              </w:rPr>
              <w:t>Trust funds</w:t>
            </w:r>
          </w:p>
        </w:tc>
        <w:tc>
          <w:tcPr>
            <w:tcW w:w="992" w:type="dxa"/>
            <w:noWrap/>
            <w:hideMark/>
          </w:tcPr>
          <w:p w14:paraId="055D6C08"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5 595.0</w:t>
            </w:r>
          </w:p>
        </w:tc>
        <w:tc>
          <w:tcPr>
            <w:tcW w:w="992" w:type="dxa"/>
            <w:noWrap/>
            <w:hideMark/>
          </w:tcPr>
          <w:p w14:paraId="6C062514"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5 775.4</w:t>
            </w:r>
          </w:p>
        </w:tc>
        <w:tc>
          <w:tcPr>
            <w:tcW w:w="992" w:type="dxa"/>
            <w:noWrap/>
            <w:hideMark/>
          </w:tcPr>
          <w:p w14:paraId="42C9569E"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b/>
                <w:bCs/>
                <w:lang w:eastAsia="en-AU"/>
              </w:rPr>
            </w:pPr>
            <w:r w:rsidRPr="00D92956">
              <w:rPr>
                <w:b/>
                <w:bCs/>
                <w:lang w:eastAsia="en-AU"/>
              </w:rPr>
              <w:t>6 050.3</w:t>
            </w:r>
          </w:p>
        </w:tc>
      </w:tr>
      <w:tr w:rsidR="002368DE" w:rsidRPr="00D92956" w14:paraId="1D0E147E" w14:textId="77777777">
        <w:trPr>
          <w:trHeight w:val="225"/>
        </w:trPr>
        <w:tc>
          <w:tcPr>
            <w:cnfStyle w:val="001000000000" w:firstRow="0" w:lastRow="0" w:firstColumn="1" w:lastColumn="0" w:oddVBand="0" w:evenVBand="0" w:oddHBand="0" w:evenHBand="0" w:firstRowFirstColumn="0" w:firstRowLastColumn="0" w:lastRowFirstColumn="0" w:lastRowLastColumn="0"/>
            <w:tcW w:w="0" w:type="auto"/>
            <w:noWrap/>
            <w:hideMark/>
          </w:tcPr>
          <w:p w14:paraId="22AF7E8F" w14:textId="77777777" w:rsidR="002368DE" w:rsidRPr="00D92956" w:rsidRDefault="002368DE">
            <w:pPr>
              <w:rPr>
                <w:lang w:eastAsia="en-AU"/>
              </w:rPr>
            </w:pPr>
            <w:r w:rsidRPr="00D92956">
              <w:rPr>
                <w:lang w:eastAsia="en-AU"/>
              </w:rPr>
              <w:t>State Grants (School Funding Reform framework) Non-government programs</w:t>
            </w:r>
            <w:r>
              <w:rPr>
                <w:vertAlign w:val="superscript"/>
                <w:lang w:eastAsia="en-AU"/>
              </w:rPr>
              <w:t xml:space="preserve"> (</w:t>
            </w:r>
            <w:r w:rsidRPr="00F92DC2">
              <w:rPr>
                <w:vertAlign w:val="superscript"/>
                <w:lang w:eastAsia="en-AU"/>
              </w:rPr>
              <w:t>a)</w:t>
            </w:r>
          </w:p>
        </w:tc>
        <w:tc>
          <w:tcPr>
            <w:tcW w:w="992" w:type="dxa"/>
            <w:noWrap/>
            <w:hideMark/>
          </w:tcPr>
          <w:p w14:paraId="4196EBC5"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5 594.6</w:t>
            </w:r>
          </w:p>
        </w:tc>
        <w:tc>
          <w:tcPr>
            <w:tcW w:w="992" w:type="dxa"/>
            <w:noWrap/>
            <w:hideMark/>
          </w:tcPr>
          <w:p w14:paraId="55DFCAC5"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5 773.9</w:t>
            </w:r>
          </w:p>
        </w:tc>
        <w:tc>
          <w:tcPr>
            <w:tcW w:w="992" w:type="dxa"/>
            <w:noWrap/>
            <w:hideMark/>
          </w:tcPr>
          <w:p w14:paraId="0572B81E"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5 976.8</w:t>
            </w:r>
          </w:p>
        </w:tc>
      </w:tr>
      <w:tr w:rsidR="002368DE" w:rsidRPr="00D92956" w14:paraId="2E275840" w14:textId="77777777" w:rsidTr="00AD4833">
        <w:trPr>
          <w:trHeight w:val="225"/>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4034E517" w14:textId="77777777" w:rsidR="002368DE" w:rsidRPr="00D92956" w:rsidRDefault="002368DE">
            <w:pPr>
              <w:rPr>
                <w:lang w:eastAsia="en-AU"/>
              </w:rPr>
            </w:pPr>
            <w:r w:rsidRPr="00D92956">
              <w:rPr>
                <w:lang w:eastAsia="en-AU"/>
              </w:rPr>
              <w:t>Other</w:t>
            </w:r>
            <w:r>
              <w:rPr>
                <w:vertAlign w:val="superscript"/>
                <w:lang w:eastAsia="en-AU"/>
              </w:rPr>
              <w:t xml:space="preserve"> (</w:t>
            </w:r>
            <w:r w:rsidRPr="00F92DC2">
              <w:rPr>
                <w:vertAlign w:val="superscript"/>
                <w:lang w:eastAsia="en-AU"/>
              </w:rPr>
              <w:t>b)</w:t>
            </w:r>
          </w:p>
        </w:tc>
        <w:tc>
          <w:tcPr>
            <w:tcW w:w="992" w:type="dxa"/>
            <w:tcBorders>
              <w:bottom w:val="single" w:sz="6" w:space="0" w:color="auto"/>
            </w:tcBorders>
            <w:noWrap/>
            <w:hideMark/>
          </w:tcPr>
          <w:p w14:paraId="4845697D"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0.4</w:t>
            </w:r>
          </w:p>
        </w:tc>
        <w:tc>
          <w:tcPr>
            <w:tcW w:w="992" w:type="dxa"/>
            <w:tcBorders>
              <w:bottom w:val="single" w:sz="6" w:space="0" w:color="auto"/>
            </w:tcBorders>
            <w:noWrap/>
            <w:hideMark/>
          </w:tcPr>
          <w:p w14:paraId="29ECBADA"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1.4</w:t>
            </w:r>
          </w:p>
        </w:tc>
        <w:tc>
          <w:tcPr>
            <w:tcW w:w="992" w:type="dxa"/>
            <w:tcBorders>
              <w:bottom w:val="single" w:sz="6" w:space="0" w:color="auto"/>
            </w:tcBorders>
            <w:noWrap/>
            <w:hideMark/>
          </w:tcPr>
          <w:p w14:paraId="79C8F9E2" w14:textId="77777777" w:rsidR="002368DE" w:rsidRPr="00D92956" w:rsidRDefault="002368DE">
            <w:pPr>
              <w:cnfStyle w:val="000000000000" w:firstRow="0" w:lastRow="0" w:firstColumn="0" w:lastColumn="0" w:oddVBand="0" w:evenVBand="0" w:oddHBand="0" w:evenHBand="0" w:firstRowFirstColumn="0" w:firstRowLastColumn="0" w:lastRowFirstColumn="0" w:lastRowLastColumn="0"/>
              <w:rPr>
                <w:lang w:eastAsia="en-AU"/>
              </w:rPr>
            </w:pPr>
            <w:r w:rsidRPr="00D92956">
              <w:rPr>
                <w:lang w:eastAsia="en-AU"/>
              </w:rPr>
              <w:t>73.5</w:t>
            </w:r>
          </w:p>
        </w:tc>
      </w:tr>
      <w:tr w:rsidR="002368DE" w:rsidRPr="00D92956" w14:paraId="16F3736A" w14:textId="77777777" w:rsidTr="00AD4833">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71608C" w14:textId="77777777" w:rsidR="002368DE" w:rsidRPr="00D92956" w:rsidRDefault="002368DE">
            <w:pPr>
              <w:rPr>
                <w:lang w:eastAsia="en-AU"/>
              </w:rPr>
            </w:pPr>
            <w:r w:rsidRPr="00D92956">
              <w:rPr>
                <w:lang w:eastAsia="en-AU"/>
              </w:rPr>
              <w:t>Total parliamentary authority</w:t>
            </w:r>
          </w:p>
        </w:tc>
        <w:tc>
          <w:tcPr>
            <w:tcW w:w="992" w:type="dxa"/>
            <w:noWrap/>
            <w:hideMark/>
          </w:tcPr>
          <w:p w14:paraId="3691B7C5" w14:textId="77777777" w:rsidR="002368DE" w:rsidRPr="00D92956" w:rsidRDefault="002368DE">
            <w:pPr>
              <w:cnfStyle w:val="010000000000" w:firstRow="0" w:lastRow="1" w:firstColumn="0" w:lastColumn="0" w:oddVBand="0" w:evenVBand="0" w:oddHBand="0" w:evenHBand="0" w:firstRowFirstColumn="0" w:firstRowLastColumn="0" w:lastRowFirstColumn="0" w:lastRowLastColumn="0"/>
              <w:rPr>
                <w:lang w:eastAsia="en-AU"/>
              </w:rPr>
            </w:pPr>
            <w:r w:rsidRPr="00D92956">
              <w:rPr>
                <w:lang w:eastAsia="en-AU"/>
              </w:rPr>
              <w:t>24 875.4</w:t>
            </w:r>
          </w:p>
        </w:tc>
        <w:tc>
          <w:tcPr>
            <w:tcW w:w="992" w:type="dxa"/>
            <w:noWrap/>
            <w:hideMark/>
          </w:tcPr>
          <w:p w14:paraId="0F43E366" w14:textId="77777777" w:rsidR="002368DE" w:rsidRPr="00D92956" w:rsidRDefault="002368DE">
            <w:pPr>
              <w:cnfStyle w:val="010000000000" w:firstRow="0" w:lastRow="1" w:firstColumn="0" w:lastColumn="0" w:oddVBand="0" w:evenVBand="0" w:oddHBand="0" w:evenHBand="0" w:firstRowFirstColumn="0" w:firstRowLastColumn="0" w:lastRowFirstColumn="0" w:lastRowLastColumn="0"/>
              <w:rPr>
                <w:lang w:eastAsia="en-AU"/>
              </w:rPr>
            </w:pPr>
            <w:r w:rsidRPr="00D92956">
              <w:rPr>
                <w:lang w:eastAsia="en-AU"/>
              </w:rPr>
              <w:t>24 906.0</w:t>
            </w:r>
          </w:p>
        </w:tc>
        <w:tc>
          <w:tcPr>
            <w:tcW w:w="992" w:type="dxa"/>
            <w:noWrap/>
            <w:hideMark/>
          </w:tcPr>
          <w:p w14:paraId="3A7789EF" w14:textId="77777777" w:rsidR="002368DE" w:rsidRPr="00D92956" w:rsidRDefault="002368DE">
            <w:pPr>
              <w:cnfStyle w:val="010000000000" w:firstRow="0" w:lastRow="1" w:firstColumn="0" w:lastColumn="0" w:oddVBand="0" w:evenVBand="0" w:oddHBand="0" w:evenHBand="0" w:firstRowFirstColumn="0" w:firstRowLastColumn="0" w:lastRowFirstColumn="0" w:lastRowLastColumn="0"/>
              <w:rPr>
                <w:lang w:eastAsia="en-AU"/>
              </w:rPr>
            </w:pPr>
            <w:r w:rsidRPr="00D92956">
              <w:rPr>
                <w:lang w:eastAsia="en-AU"/>
              </w:rPr>
              <w:t>25 681.4</w:t>
            </w:r>
          </w:p>
        </w:tc>
      </w:tr>
    </w:tbl>
    <w:p w14:paraId="149F57F7" w14:textId="77777777" w:rsidR="002368DE" w:rsidRDefault="002368DE" w:rsidP="002368DE">
      <w:pPr>
        <w:pStyle w:val="Source"/>
      </w:pPr>
      <w:r>
        <w:t>Source: Department of Education</w:t>
      </w:r>
    </w:p>
    <w:p w14:paraId="3FFE69E2" w14:textId="77777777" w:rsidR="002368DE" w:rsidRDefault="002368DE" w:rsidP="002368DE">
      <w:pPr>
        <w:pStyle w:val="Note"/>
      </w:pPr>
      <w:r>
        <w:t>Notes:</w:t>
      </w:r>
    </w:p>
    <w:p w14:paraId="1E30E410" w14:textId="40B08821" w:rsidR="002368DE" w:rsidRDefault="00A70970" w:rsidP="00A70970">
      <w:pPr>
        <w:pStyle w:val="Note"/>
      </w:pPr>
      <w:r>
        <w:t>(a)</w:t>
      </w:r>
      <w:r>
        <w:tab/>
      </w:r>
      <w:r w:rsidR="002368DE">
        <w:t xml:space="preserve">The purpose of this trust primarily relates to recurrent Commonwealth funding provided to the non-government school sector under the School Funding Reform framework as part of the </w:t>
      </w:r>
      <w:r w:rsidR="002368DE" w:rsidRPr="00FA2CCB">
        <w:rPr>
          <w:i w:val="0"/>
          <w:iCs/>
        </w:rPr>
        <w:t>Australian Education Act 2013</w:t>
      </w:r>
      <w:r w:rsidR="002368DE">
        <w:t>.</w:t>
      </w:r>
    </w:p>
    <w:p w14:paraId="54A9EEF0" w14:textId="035295DC" w:rsidR="002368DE" w:rsidRDefault="00A70970" w:rsidP="00A70970">
      <w:pPr>
        <w:pStyle w:val="Note"/>
      </w:pPr>
      <w:r>
        <w:t>(b)</w:t>
      </w:r>
      <w:r>
        <w:tab/>
      </w:r>
      <w:r w:rsidR="002368DE">
        <w:t>Includes interdepartmental transfers.</w:t>
      </w:r>
    </w:p>
    <w:p w14:paraId="16403EB6" w14:textId="77777777" w:rsidR="002368DE" w:rsidRDefault="002368DE" w:rsidP="002368DE">
      <w:pPr>
        <w:rPr>
          <w:rFonts w:asciiTheme="majorHAnsi" w:eastAsia="Times New Roman" w:hAnsiTheme="majorHAnsi" w:cstheme="majorBidi"/>
          <w:b/>
          <w:sz w:val="27"/>
          <w:szCs w:val="26"/>
        </w:rPr>
      </w:pPr>
      <w:r>
        <w:rPr>
          <w:rFonts w:eastAsia="Times New Roman"/>
        </w:rPr>
        <w:br w:type="page"/>
      </w:r>
    </w:p>
    <w:p w14:paraId="1777449F" w14:textId="435238B1" w:rsidR="00824558" w:rsidRPr="006965F9" w:rsidRDefault="00824558" w:rsidP="00857B98">
      <w:pPr>
        <w:pStyle w:val="Heading2"/>
        <w:rPr>
          <w:rFonts w:eastAsia="Times New Roman"/>
          <w:spacing w:val="-2"/>
          <w:sz w:val="26"/>
        </w:rPr>
      </w:pPr>
      <w:r w:rsidRPr="006965F9">
        <w:rPr>
          <w:rFonts w:eastAsia="Times New Roman"/>
        </w:rPr>
        <w:lastRenderedPageBreak/>
        <w:t>Department objectives and outputs</w:t>
      </w:r>
    </w:p>
    <w:p w14:paraId="55903518" w14:textId="77777777" w:rsidR="00824558" w:rsidRPr="006965F9" w:rsidRDefault="00824558" w:rsidP="00651724">
      <w:pPr>
        <w:pStyle w:val="ShadedBoxHeading"/>
        <w:rPr>
          <w:rFonts w:ascii="Calibri" w:hAnsi="Calibri" w:cs="Times New Roman"/>
          <w:spacing w:val="-2"/>
          <w:szCs w:val="26"/>
        </w:rPr>
      </w:pPr>
      <w:r w:rsidRPr="006965F9">
        <w:t>Objective 1: Raise development outcomes of three and four-year-old children prior to attending school</w:t>
      </w:r>
    </w:p>
    <w:p w14:paraId="1851AF71" w14:textId="77777777" w:rsidR="00824558" w:rsidRPr="006965F9" w:rsidRDefault="00824558" w:rsidP="00651724">
      <w:pPr>
        <w:pStyle w:val="ShadedBoxText"/>
      </w:pPr>
      <w:r w:rsidRPr="006965F9">
        <w:t>The departmental objective indicators are:</w:t>
      </w:r>
    </w:p>
    <w:p w14:paraId="10C42DBD" w14:textId="77777777" w:rsidR="00824558" w:rsidRPr="006965F9" w:rsidRDefault="00824558" w:rsidP="00651724">
      <w:pPr>
        <w:pStyle w:val="ShadedBoxBullet"/>
        <w:contextualSpacing/>
      </w:pPr>
      <w:r w:rsidRPr="006965F9">
        <w:t>education and care services offering a funded kindergarten program assessed as exceeding the National Quality Standard</w:t>
      </w:r>
    </w:p>
    <w:p w14:paraId="511B5B2A" w14:textId="77777777" w:rsidR="00824558" w:rsidRPr="006965F9" w:rsidRDefault="00824558" w:rsidP="00651724">
      <w:pPr>
        <w:pStyle w:val="ShadedBoxBullet"/>
        <w:contextualSpacing/>
      </w:pPr>
      <w:r w:rsidRPr="006965F9">
        <w:t>education and care services offering a funded kindergarten program assessed as meeting or exceeding the National Quality Standard</w:t>
      </w:r>
    </w:p>
    <w:p w14:paraId="21853A3E" w14:textId="77777777" w:rsidR="00824558" w:rsidRPr="006965F9" w:rsidRDefault="00824558" w:rsidP="00651724">
      <w:pPr>
        <w:pStyle w:val="ShadedBoxBullet"/>
        <w:contextualSpacing/>
      </w:pPr>
      <w:r w:rsidRPr="006965F9">
        <w:t>proportion of children developmentally on track on entry to school.</w:t>
      </w:r>
    </w:p>
    <w:p w14:paraId="0F182A27" w14:textId="77777777" w:rsidR="00824558" w:rsidRDefault="00824558">
      <w:pPr>
        <w:pStyle w:val="Heading3"/>
      </w:pPr>
      <w:r>
        <w:t>Outputs</w:t>
      </w:r>
    </w:p>
    <w:p w14:paraId="2D15D48A" w14:textId="3687D001" w:rsidR="00824558" w:rsidRDefault="00824558">
      <w:pPr>
        <w:pStyle w:val="Heading3"/>
      </w:pPr>
      <w:r>
        <w:t>Kindergarten Delivery</w:t>
      </w:r>
      <w:r>
        <w:tab/>
        <w:t>(2026-27: $</w:t>
      </w:r>
      <w:r w:rsidR="00A328A0" w:rsidRPr="00B85815">
        <w:t>1 319.4</w:t>
      </w:r>
      <w:r w:rsidR="00A328A0">
        <w:t xml:space="preserve"> </w:t>
      </w:r>
      <w:r>
        <w:t>million)</w:t>
      </w:r>
    </w:p>
    <w:p w14:paraId="398778B7" w14:textId="77777777" w:rsidR="00824558" w:rsidRPr="00BA6B31" w:rsidRDefault="00824558" w:rsidP="00BA6B31">
      <w:pPr>
        <w:keepNext/>
        <w:spacing w:after="120"/>
        <w:rPr>
          <w:rFonts w:ascii="Garamond" w:eastAsia="Garamond" w:hAnsi="Garamond"/>
        </w:rPr>
      </w:pPr>
      <w:r w:rsidRPr="006965F9">
        <w:rPr>
          <w:rFonts w:ascii="Garamond" w:eastAsia="Garamond" w:hAnsi="Garamond"/>
        </w:rPr>
        <w:t xml:space="preserve">The Kindergarten Delivery output includes kindergarten delivery and related programs and services to support participation for disadvantaged children and children with additional needs. This includes </w:t>
      </w:r>
      <w:r>
        <w:rPr>
          <w:rFonts w:ascii="Garamond" w:eastAsia="Garamond" w:hAnsi="Garamond"/>
        </w:rPr>
        <w:t xml:space="preserve">three and </w:t>
      </w:r>
      <w:r w:rsidRPr="006965F9">
        <w:rPr>
          <w:rFonts w:ascii="Garamond" w:eastAsia="Garamond" w:hAnsi="Garamond"/>
        </w:rPr>
        <w:t>four-year-old kindergarten</w:t>
      </w:r>
      <w:r>
        <w:rPr>
          <w:rFonts w:ascii="Garamond" w:eastAsia="Garamond" w:hAnsi="Garamond"/>
        </w:rPr>
        <w:t xml:space="preserve"> and</w:t>
      </w:r>
      <w:r w:rsidRPr="006965F9">
        <w:rPr>
          <w:rFonts w:ascii="Garamond" w:eastAsia="Garamond" w:hAnsi="Garamond"/>
        </w:rPr>
        <w:t xml:space="preserve"> access and inclusion supports</w:t>
      </w:r>
      <w:r>
        <w:rPr>
          <w:rFonts w:ascii="Garamond" w:eastAsia="Garamond" w:hAnsi="Garamond"/>
        </w:rPr>
        <w: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903E698" w14:textId="77777777" w:rsidTr="004C29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D2EE25E" w14:textId="77777777" w:rsidR="00824558" w:rsidRDefault="00824558">
            <w:r>
              <w:t>Performance measure</w:t>
            </w:r>
          </w:p>
        </w:tc>
        <w:tc>
          <w:tcPr>
            <w:tcW w:w="964" w:type="dxa"/>
          </w:tcPr>
          <w:p w14:paraId="2AAEFA7B"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5CBFB5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D768E2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8383B9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0521BD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30344D77"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Pr>
          <w:p w14:paraId="55B231FB" w14:textId="77777777" w:rsidR="00824558" w:rsidRPr="00DC0EBC" w:rsidRDefault="00824558">
            <w:pPr>
              <w:keepNext/>
              <w:rPr>
                <w:b/>
              </w:rPr>
            </w:pPr>
            <w:r w:rsidRPr="00DC0EBC">
              <w:rPr>
                <w:b/>
              </w:rPr>
              <w:t>Quantity</w:t>
            </w:r>
          </w:p>
        </w:tc>
      </w:tr>
      <w:tr w:rsidR="00824558" w14:paraId="59EEB835" w14:textId="77777777" w:rsidTr="00841E66">
        <w:tc>
          <w:tcPr>
            <w:cnfStyle w:val="001000000000" w:firstRow="0" w:lastRow="0" w:firstColumn="1" w:lastColumn="0" w:oddVBand="0" w:evenVBand="0" w:oddHBand="0" w:evenHBand="0" w:firstRowFirstColumn="0" w:firstRowLastColumn="0" w:lastRowFirstColumn="0" w:lastRowLastColumn="0"/>
            <w:tcW w:w="4819" w:type="dxa"/>
          </w:tcPr>
          <w:p w14:paraId="618C9B8E" w14:textId="77777777" w:rsidR="00824558" w:rsidRDefault="00824558">
            <w:pPr>
              <w:keepNext/>
              <w:ind w:left="170"/>
            </w:pPr>
            <w:r>
              <w:t>Aboriginal children funded to participate in kindergarten in the year before school</w:t>
            </w:r>
          </w:p>
        </w:tc>
        <w:tc>
          <w:tcPr>
            <w:tcW w:w="964" w:type="dxa"/>
          </w:tcPr>
          <w:p w14:paraId="6A3881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14D8B945" w14:textId="371A6FE2"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59484217" w14:textId="77777777" w:rsidR="00824558" w:rsidRDefault="00824558">
            <w:pPr>
              <w:cnfStyle w:val="000000000000" w:firstRow="0" w:lastRow="0" w:firstColumn="0" w:lastColumn="0" w:oddVBand="0" w:evenVBand="0" w:oddHBand="0" w:evenHBand="0" w:firstRowFirstColumn="0" w:firstRowLastColumn="0" w:lastRowFirstColumn="0" w:lastRowLastColumn="0"/>
            </w:pPr>
            <w:r>
              <w:t>2 283</w:t>
            </w:r>
          </w:p>
        </w:tc>
        <w:tc>
          <w:tcPr>
            <w:tcW w:w="964" w:type="dxa"/>
          </w:tcPr>
          <w:p w14:paraId="441C44C5" w14:textId="77777777" w:rsidR="00824558" w:rsidRDefault="00824558">
            <w:pPr>
              <w:cnfStyle w:val="000000000000" w:firstRow="0" w:lastRow="0" w:firstColumn="0" w:lastColumn="0" w:oddVBand="0" w:evenVBand="0" w:oddHBand="0" w:evenHBand="0" w:firstRowFirstColumn="0" w:firstRowLastColumn="0" w:lastRowFirstColumn="0" w:lastRowLastColumn="0"/>
            </w:pPr>
            <w:r>
              <w:t>1 800</w:t>
            </w:r>
          </w:p>
        </w:tc>
        <w:tc>
          <w:tcPr>
            <w:tcW w:w="964" w:type="dxa"/>
          </w:tcPr>
          <w:p w14:paraId="0B87204C" w14:textId="77777777" w:rsidR="00824558" w:rsidRDefault="00824558">
            <w:pPr>
              <w:cnfStyle w:val="000000000000" w:firstRow="0" w:lastRow="0" w:firstColumn="0" w:lastColumn="0" w:oddVBand="0" w:evenVBand="0" w:oddHBand="0" w:evenHBand="0" w:firstRowFirstColumn="0" w:firstRowLastColumn="0" w:lastRowFirstColumn="0" w:lastRowLastColumn="0"/>
            </w:pPr>
            <w:r>
              <w:t>2 024</w:t>
            </w:r>
          </w:p>
        </w:tc>
      </w:tr>
      <w:tr w:rsidR="00824558" w14:paraId="377AB212"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1DB6BA" w14:textId="77777777" w:rsidR="00824558" w:rsidRDefault="00824558">
            <w:pPr>
              <w:ind w:left="170"/>
            </w:pPr>
            <w:r>
              <w:rPr>
                <w:i/>
              </w:rPr>
              <w:t>The 2025-26 expected outcome is higher than the 2025-26 target due to a higher than forecast number of Aboriginal children participating in kindergarten in the year before school in 2025.</w:t>
            </w:r>
          </w:p>
          <w:p w14:paraId="2CF7BF82" w14:textId="77777777" w:rsidR="00824558" w:rsidRDefault="00824558">
            <w:pPr>
              <w:ind w:left="170"/>
            </w:pPr>
            <w:r>
              <w:rPr>
                <w:i/>
              </w:rPr>
              <w:t>This performance measure relates to the calendar year. This performance measure includes first- and second-year Aboriginal kindergarten participants. The higher 2026-27 target reflects expected continuing increases in participation by this cohort.</w:t>
            </w:r>
          </w:p>
        </w:tc>
      </w:tr>
      <w:tr w:rsidR="00824558" w14:paraId="19095353"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790E4031" w14:textId="77777777" w:rsidR="00824558" w:rsidRDefault="00824558">
            <w:pPr>
              <w:keepNext/>
              <w:ind w:left="170"/>
            </w:pPr>
            <w:r>
              <w:t>Average number of hours per week of kindergarten delivery per child in the year two years before school</w:t>
            </w:r>
          </w:p>
        </w:tc>
        <w:tc>
          <w:tcPr>
            <w:tcW w:w="964" w:type="dxa"/>
            <w:tcBorders>
              <w:top w:val="single" w:sz="6" w:space="0" w:color="auto"/>
            </w:tcBorders>
          </w:tcPr>
          <w:p w14:paraId="32C187F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458A0BC9" w14:textId="77777777" w:rsidR="00824558" w:rsidRDefault="00824558">
            <w:pPr>
              <w:cnfStyle w:val="000000000000" w:firstRow="0" w:lastRow="0" w:firstColumn="0" w:lastColumn="0" w:oddVBand="0" w:evenVBand="0" w:oddHBand="0" w:evenHBand="0" w:firstRowFirstColumn="0" w:firstRowLastColumn="0" w:lastRowFirstColumn="0" w:lastRowLastColumn="0"/>
            </w:pPr>
            <w:r>
              <w:t>14.4</w:t>
            </w:r>
          </w:p>
        </w:tc>
        <w:tc>
          <w:tcPr>
            <w:tcW w:w="964" w:type="dxa"/>
            <w:tcBorders>
              <w:top w:val="single" w:sz="6" w:space="0" w:color="auto"/>
            </w:tcBorders>
          </w:tcPr>
          <w:p w14:paraId="5BF2FDED" w14:textId="77777777" w:rsidR="00824558" w:rsidRDefault="00824558">
            <w:pPr>
              <w:cnfStyle w:val="000000000000" w:firstRow="0" w:lastRow="0" w:firstColumn="0" w:lastColumn="0" w:oddVBand="0" w:evenVBand="0" w:oddHBand="0" w:evenHBand="0" w:firstRowFirstColumn="0" w:firstRowLastColumn="0" w:lastRowFirstColumn="0" w:lastRowLastColumn="0"/>
            </w:pPr>
            <w:r>
              <w:t>14.4</w:t>
            </w:r>
          </w:p>
        </w:tc>
        <w:tc>
          <w:tcPr>
            <w:tcW w:w="964" w:type="dxa"/>
            <w:tcBorders>
              <w:top w:val="single" w:sz="6" w:space="0" w:color="auto"/>
            </w:tcBorders>
          </w:tcPr>
          <w:p w14:paraId="14045A1F" w14:textId="77777777" w:rsidR="00824558" w:rsidRDefault="00824558">
            <w:pPr>
              <w:cnfStyle w:val="000000000000" w:firstRow="0" w:lastRow="0" w:firstColumn="0" w:lastColumn="0" w:oddVBand="0" w:evenVBand="0" w:oddHBand="0" w:evenHBand="0" w:firstRowFirstColumn="0" w:firstRowLastColumn="0" w:lastRowFirstColumn="0" w:lastRowLastColumn="0"/>
            </w:pPr>
            <w:r>
              <w:t>13.8</w:t>
            </w:r>
          </w:p>
        </w:tc>
        <w:tc>
          <w:tcPr>
            <w:tcW w:w="964" w:type="dxa"/>
            <w:tcBorders>
              <w:top w:val="single" w:sz="6" w:space="0" w:color="auto"/>
            </w:tcBorders>
          </w:tcPr>
          <w:p w14:paraId="060215C1" w14:textId="77777777" w:rsidR="00824558" w:rsidRDefault="00824558">
            <w:pPr>
              <w:cnfStyle w:val="000000000000" w:firstRow="0" w:lastRow="0" w:firstColumn="0" w:lastColumn="0" w:oddVBand="0" w:evenVBand="0" w:oddHBand="0" w:evenHBand="0" w:firstRowFirstColumn="0" w:firstRowLastColumn="0" w:lastRowFirstColumn="0" w:lastRowLastColumn="0"/>
            </w:pPr>
            <w:r>
              <w:t>13.8</w:t>
            </w:r>
          </w:p>
        </w:tc>
      </w:tr>
      <w:tr w:rsidR="00824558" w14:paraId="2734271A"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CE5233" w14:textId="77777777" w:rsidR="00824558" w:rsidRDefault="00824558">
            <w:pPr>
              <w:ind w:left="170"/>
            </w:pPr>
            <w:r>
              <w:rPr>
                <w:i/>
              </w:rPr>
              <w:t>This performance measure relates to the calendar year. The higher 2026-27 target reflects continuation of higher levels of delivery in 2026.</w:t>
            </w:r>
          </w:p>
        </w:tc>
      </w:tr>
      <w:tr w:rsidR="00824558" w14:paraId="415F3542"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16CCC93E" w14:textId="77777777" w:rsidR="00824558" w:rsidRDefault="00824558">
            <w:pPr>
              <w:keepNext/>
              <w:ind w:left="170"/>
            </w:pPr>
            <w:r>
              <w:t>Children funded to participate in Early Start Kindergarten or Access to Early Learning in the year two years before school</w:t>
            </w:r>
          </w:p>
        </w:tc>
        <w:tc>
          <w:tcPr>
            <w:tcW w:w="964" w:type="dxa"/>
            <w:tcBorders>
              <w:top w:val="single" w:sz="6" w:space="0" w:color="auto"/>
            </w:tcBorders>
          </w:tcPr>
          <w:p w14:paraId="49511D3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47DAFB68" w14:textId="77777777" w:rsidR="00824558" w:rsidRDefault="00824558">
            <w:pPr>
              <w:cnfStyle w:val="000000000000" w:firstRow="0" w:lastRow="0" w:firstColumn="0" w:lastColumn="0" w:oddVBand="0" w:evenVBand="0" w:oddHBand="0" w:evenHBand="0" w:firstRowFirstColumn="0" w:firstRowLastColumn="0" w:lastRowFirstColumn="0" w:lastRowLastColumn="0"/>
            </w:pPr>
            <w:r>
              <w:t>5 000</w:t>
            </w:r>
          </w:p>
        </w:tc>
        <w:tc>
          <w:tcPr>
            <w:tcW w:w="964" w:type="dxa"/>
            <w:tcBorders>
              <w:top w:val="single" w:sz="6" w:space="0" w:color="auto"/>
            </w:tcBorders>
          </w:tcPr>
          <w:p w14:paraId="36EBAD9B" w14:textId="77777777" w:rsidR="00824558" w:rsidRDefault="00824558">
            <w:pPr>
              <w:cnfStyle w:val="000000000000" w:firstRow="0" w:lastRow="0" w:firstColumn="0" w:lastColumn="0" w:oddVBand="0" w:evenVBand="0" w:oddHBand="0" w:evenHBand="0" w:firstRowFirstColumn="0" w:firstRowLastColumn="0" w:lastRowFirstColumn="0" w:lastRowLastColumn="0"/>
            </w:pPr>
            <w:r>
              <w:t>5 713</w:t>
            </w:r>
          </w:p>
        </w:tc>
        <w:tc>
          <w:tcPr>
            <w:tcW w:w="964" w:type="dxa"/>
            <w:tcBorders>
              <w:top w:val="single" w:sz="6" w:space="0" w:color="auto"/>
            </w:tcBorders>
          </w:tcPr>
          <w:p w14:paraId="0A6FF192" w14:textId="77777777" w:rsidR="00824558" w:rsidRDefault="00824558">
            <w:pPr>
              <w:cnfStyle w:val="000000000000" w:firstRow="0" w:lastRow="0" w:firstColumn="0" w:lastColumn="0" w:oddVBand="0" w:evenVBand="0" w:oddHBand="0" w:evenHBand="0" w:firstRowFirstColumn="0" w:firstRowLastColumn="0" w:lastRowFirstColumn="0" w:lastRowLastColumn="0"/>
            </w:pPr>
            <w:r>
              <w:t>4 500</w:t>
            </w:r>
          </w:p>
        </w:tc>
        <w:tc>
          <w:tcPr>
            <w:tcW w:w="964" w:type="dxa"/>
            <w:tcBorders>
              <w:top w:val="single" w:sz="6" w:space="0" w:color="auto"/>
            </w:tcBorders>
          </w:tcPr>
          <w:p w14:paraId="039334DA" w14:textId="77777777" w:rsidR="00824558" w:rsidRDefault="00824558">
            <w:pPr>
              <w:cnfStyle w:val="000000000000" w:firstRow="0" w:lastRow="0" w:firstColumn="0" w:lastColumn="0" w:oddVBand="0" w:evenVBand="0" w:oddHBand="0" w:evenHBand="0" w:firstRowFirstColumn="0" w:firstRowLastColumn="0" w:lastRowFirstColumn="0" w:lastRowLastColumn="0"/>
            </w:pPr>
            <w:r>
              <w:t>4 945</w:t>
            </w:r>
          </w:p>
        </w:tc>
      </w:tr>
      <w:tr w:rsidR="00824558" w14:paraId="3E87D4D1"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C8B094D" w14:textId="77777777" w:rsidR="00824558" w:rsidRDefault="00824558">
            <w:pPr>
              <w:ind w:left="170"/>
            </w:pPr>
            <w:r>
              <w:rPr>
                <w:i/>
              </w:rPr>
              <w:t xml:space="preserve">The 2025-26 expected outcome is higher than the 2025-26 target due to higher Culturally and Linguistically Diverse Children (CALD)/refugee enrolments and continued efforts to enrol children in Early Start Kindergarten (ESK) and Access to Early Learning. </w:t>
            </w:r>
          </w:p>
          <w:p w14:paraId="7CF0D77D" w14:textId="2EA641AD" w:rsidR="00824558" w:rsidRDefault="00824558">
            <w:pPr>
              <w:ind w:left="170"/>
            </w:pPr>
            <w:r>
              <w:rPr>
                <w:i/>
              </w:rPr>
              <w:t>This performance measure relates to the calendar year. ESK is available to children known to child protection, Aboriginal children, and</w:t>
            </w:r>
            <w:r w:rsidR="004574C7">
              <w:rPr>
                <w:i/>
              </w:rPr>
              <w:t> </w:t>
            </w:r>
            <w:r>
              <w:rPr>
                <w:i/>
              </w:rPr>
              <w:t>refugee and asylum seeker children. The higher 2026-27 target reflects expected levels of delivery in 2026.</w:t>
            </w:r>
          </w:p>
        </w:tc>
      </w:tr>
      <w:tr w:rsidR="00824558" w14:paraId="58AD7406"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7BFC19E2" w14:textId="77777777" w:rsidR="00824558" w:rsidRDefault="00824558">
            <w:pPr>
              <w:keepNext/>
              <w:ind w:left="170"/>
            </w:pPr>
            <w:r>
              <w:t>Children funded to participate in kindergarten in the year before school</w:t>
            </w:r>
          </w:p>
        </w:tc>
        <w:tc>
          <w:tcPr>
            <w:tcW w:w="964" w:type="dxa"/>
            <w:tcBorders>
              <w:top w:val="single" w:sz="6" w:space="0" w:color="auto"/>
            </w:tcBorders>
          </w:tcPr>
          <w:p w14:paraId="1179E9A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0D04F9D8" w14:textId="77777777" w:rsidR="00824558" w:rsidRDefault="00824558">
            <w:pPr>
              <w:cnfStyle w:val="000000000000" w:firstRow="0" w:lastRow="0" w:firstColumn="0" w:lastColumn="0" w:oddVBand="0" w:evenVBand="0" w:oddHBand="0" w:evenHBand="0" w:firstRowFirstColumn="0" w:firstRowLastColumn="0" w:lastRowFirstColumn="0" w:lastRowLastColumn="0"/>
            </w:pPr>
            <w:r>
              <w:t>79 000</w:t>
            </w:r>
          </w:p>
        </w:tc>
        <w:tc>
          <w:tcPr>
            <w:tcW w:w="964" w:type="dxa"/>
            <w:tcBorders>
              <w:top w:val="single" w:sz="6" w:space="0" w:color="auto"/>
            </w:tcBorders>
          </w:tcPr>
          <w:p w14:paraId="12F18EF7" w14:textId="77777777" w:rsidR="00824558" w:rsidRDefault="00824558">
            <w:pPr>
              <w:cnfStyle w:val="000000000000" w:firstRow="0" w:lastRow="0" w:firstColumn="0" w:lastColumn="0" w:oddVBand="0" w:evenVBand="0" w:oddHBand="0" w:evenHBand="0" w:firstRowFirstColumn="0" w:firstRowLastColumn="0" w:lastRowFirstColumn="0" w:lastRowLastColumn="0"/>
            </w:pPr>
            <w:r>
              <w:t>79 034</w:t>
            </w:r>
          </w:p>
        </w:tc>
        <w:tc>
          <w:tcPr>
            <w:tcW w:w="964" w:type="dxa"/>
            <w:tcBorders>
              <w:top w:val="single" w:sz="6" w:space="0" w:color="auto"/>
            </w:tcBorders>
          </w:tcPr>
          <w:p w14:paraId="580655BF" w14:textId="77777777" w:rsidR="00824558" w:rsidRDefault="00824558">
            <w:pPr>
              <w:cnfStyle w:val="000000000000" w:firstRow="0" w:lastRow="0" w:firstColumn="0" w:lastColumn="0" w:oddVBand="0" w:evenVBand="0" w:oddHBand="0" w:evenHBand="0" w:firstRowFirstColumn="0" w:firstRowLastColumn="0" w:lastRowFirstColumn="0" w:lastRowLastColumn="0"/>
            </w:pPr>
            <w:r>
              <w:t>79 000</w:t>
            </w:r>
          </w:p>
        </w:tc>
        <w:tc>
          <w:tcPr>
            <w:tcW w:w="964" w:type="dxa"/>
            <w:tcBorders>
              <w:top w:val="single" w:sz="6" w:space="0" w:color="auto"/>
            </w:tcBorders>
          </w:tcPr>
          <w:p w14:paraId="06146D30" w14:textId="77777777" w:rsidR="00824558" w:rsidRDefault="00824558">
            <w:pPr>
              <w:cnfStyle w:val="000000000000" w:firstRow="0" w:lastRow="0" w:firstColumn="0" w:lastColumn="0" w:oddVBand="0" w:evenVBand="0" w:oddHBand="0" w:evenHBand="0" w:firstRowFirstColumn="0" w:firstRowLastColumn="0" w:lastRowFirstColumn="0" w:lastRowLastColumn="0"/>
            </w:pPr>
            <w:r>
              <w:t>78 554</w:t>
            </w:r>
          </w:p>
        </w:tc>
      </w:tr>
      <w:tr w:rsidR="00824558" w14:paraId="33499209"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48DCC1" w14:textId="2192B17B" w:rsidR="00824558" w:rsidRDefault="00824558">
            <w:pPr>
              <w:ind w:left="170"/>
            </w:pPr>
            <w:r>
              <w:rPr>
                <w:i/>
              </w:rPr>
              <w:t>This performance measure relates to the calendar year. This performance measure includes first and second-year kindergarten participants.</w:t>
            </w:r>
          </w:p>
        </w:tc>
      </w:tr>
      <w:tr w:rsidR="00824558" w14:paraId="72D0512D"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8742668" w14:textId="77777777" w:rsidR="00824558" w:rsidRDefault="00824558">
            <w:pPr>
              <w:keepNext/>
              <w:ind w:left="170"/>
            </w:pPr>
            <w:r>
              <w:t>Children funded to participate in kindergarten in the year two years before school</w:t>
            </w:r>
          </w:p>
        </w:tc>
        <w:tc>
          <w:tcPr>
            <w:tcW w:w="964" w:type="dxa"/>
            <w:tcBorders>
              <w:top w:val="single" w:sz="6" w:space="0" w:color="auto"/>
            </w:tcBorders>
          </w:tcPr>
          <w:p w14:paraId="0AF2340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08C2DEFE" w14:textId="77777777" w:rsidR="00824558" w:rsidRDefault="00824558">
            <w:pPr>
              <w:cnfStyle w:val="000000000000" w:firstRow="0" w:lastRow="0" w:firstColumn="0" w:lastColumn="0" w:oddVBand="0" w:evenVBand="0" w:oddHBand="0" w:evenHBand="0" w:firstRowFirstColumn="0" w:firstRowLastColumn="0" w:lastRowFirstColumn="0" w:lastRowLastColumn="0"/>
            </w:pPr>
            <w:r>
              <w:t>72 000</w:t>
            </w:r>
          </w:p>
        </w:tc>
        <w:tc>
          <w:tcPr>
            <w:tcW w:w="964" w:type="dxa"/>
            <w:tcBorders>
              <w:top w:val="single" w:sz="6" w:space="0" w:color="auto"/>
            </w:tcBorders>
          </w:tcPr>
          <w:p w14:paraId="36F15FB6" w14:textId="77777777" w:rsidR="00824558" w:rsidRDefault="00824558">
            <w:pPr>
              <w:cnfStyle w:val="000000000000" w:firstRow="0" w:lastRow="0" w:firstColumn="0" w:lastColumn="0" w:oddVBand="0" w:evenVBand="0" w:oddHBand="0" w:evenHBand="0" w:firstRowFirstColumn="0" w:firstRowLastColumn="0" w:lastRowFirstColumn="0" w:lastRowLastColumn="0"/>
            </w:pPr>
            <w:r>
              <w:t>73 300</w:t>
            </w:r>
          </w:p>
        </w:tc>
        <w:tc>
          <w:tcPr>
            <w:tcW w:w="964" w:type="dxa"/>
            <w:tcBorders>
              <w:top w:val="single" w:sz="6" w:space="0" w:color="auto"/>
            </w:tcBorders>
          </w:tcPr>
          <w:p w14:paraId="64F18DC0" w14:textId="77777777" w:rsidR="00824558" w:rsidRDefault="00824558">
            <w:pPr>
              <w:cnfStyle w:val="000000000000" w:firstRow="0" w:lastRow="0" w:firstColumn="0" w:lastColumn="0" w:oddVBand="0" w:evenVBand="0" w:oddHBand="0" w:evenHBand="0" w:firstRowFirstColumn="0" w:firstRowLastColumn="0" w:lastRowFirstColumn="0" w:lastRowLastColumn="0"/>
            </w:pPr>
            <w:r>
              <w:t>70 000</w:t>
            </w:r>
          </w:p>
        </w:tc>
        <w:tc>
          <w:tcPr>
            <w:tcW w:w="964" w:type="dxa"/>
            <w:tcBorders>
              <w:top w:val="single" w:sz="6" w:space="0" w:color="auto"/>
            </w:tcBorders>
          </w:tcPr>
          <w:p w14:paraId="21D7E747" w14:textId="77777777" w:rsidR="00824558" w:rsidRDefault="00824558">
            <w:pPr>
              <w:cnfStyle w:val="000000000000" w:firstRow="0" w:lastRow="0" w:firstColumn="0" w:lastColumn="0" w:oddVBand="0" w:evenVBand="0" w:oddHBand="0" w:evenHBand="0" w:firstRowFirstColumn="0" w:firstRowLastColumn="0" w:lastRowFirstColumn="0" w:lastRowLastColumn="0"/>
            </w:pPr>
            <w:r>
              <w:t>69 802</w:t>
            </w:r>
          </w:p>
        </w:tc>
      </w:tr>
      <w:tr w:rsidR="00824558" w:rsidRPr="00AE5D79" w14:paraId="3F7CD65E"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CC72901" w14:textId="610C4352" w:rsidR="00824558" w:rsidRPr="00AE5D79" w:rsidRDefault="00824558">
            <w:pPr>
              <w:ind w:left="170"/>
            </w:pPr>
            <w:r w:rsidRPr="00AE5D79">
              <w:rPr>
                <w:i/>
              </w:rPr>
              <w:t xml:space="preserve">This performance measure relates to the calendar year. This performance measure includes children in ESK and the phased rollout of the Three-Year-Old Kindergarten program. The higher 2026-27 target reflects expected levels of delivery in 2026. </w:t>
            </w:r>
          </w:p>
        </w:tc>
      </w:tr>
      <w:tr w:rsidR="00824558" w:rsidRPr="00AE5D79" w14:paraId="6810B1C9"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3338A72C" w14:textId="77777777" w:rsidR="00824558" w:rsidRPr="00AE5D79" w:rsidRDefault="00824558">
            <w:pPr>
              <w:keepNext/>
              <w:ind w:left="170"/>
            </w:pPr>
            <w:r w:rsidRPr="00AE5D79">
              <w:t>Kindergarten participation rate for Aboriginal children in the year before school</w:t>
            </w:r>
          </w:p>
        </w:tc>
        <w:tc>
          <w:tcPr>
            <w:tcW w:w="964" w:type="dxa"/>
            <w:tcBorders>
              <w:top w:val="single" w:sz="6" w:space="0" w:color="auto"/>
            </w:tcBorders>
          </w:tcPr>
          <w:p w14:paraId="1F72005A" w14:textId="77777777" w:rsidR="00824558" w:rsidRPr="00AE5D79" w:rsidRDefault="00824558">
            <w:pPr>
              <w:jc w:val="center"/>
              <w:cnfStyle w:val="000000000000" w:firstRow="0" w:lastRow="0" w:firstColumn="0" w:lastColumn="0" w:oddVBand="0" w:evenVBand="0" w:oddHBand="0" w:evenHBand="0" w:firstRowFirstColumn="0" w:firstRowLastColumn="0" w:lastRowFirstColumn="0" w:lastRowLastColumn="0"/>
            </w:pPr>
            <w:r w:rsidRPr="00AE5D79">
              <w:t>per cent</w:t>
            </w:r>
          </w:p>
        </w:tc>
        <w:tc>
          <w:tcPr>
            <w:tcW w:w="964" w:type="dxa"/>
            <w:tcBorders>
              <w:top w:val="nil"/>
              <w:bottom w:val="nil"/>
            </w:tcBorders>
            <w:shd w:val="clear" w:color="auto" w:fill="F0F0F0"/>
          </w:tcPr>
          <w:p w14:paraId="73844D77" w14:textId="77777777" w:rsidR="00824558" w:rsidRPr="00AE5D79" w:rsidRDefault="00824558">
            <w:pPr>
              <w:cnfStyle w:val="000000000000" w:firstRow="0" w:lastRow="0" w:firstColumn="0" w:lastColumn="0" w:oddVBand="0" w:evenVBand="0" w:oddHBand="0" w:evenHBand="0" w:firstRowFirstColumn="0" w:firstRowLastColumn="0" w:lastRowFirstColumn="0" w:lastRowLastColumn="0"/>
            </w:pPr>
            <w:r w:rsidRPr="00AE5D79">
              <w:t>96</w:t>
            </w:r>
          </w:p>
        </w:tc>
        <w:tc>
          <w:tcPr>
            <w:tcW w:w="964" w:type="dxa"/>
            <w:tcBorders>
              <w:top w:val="single" w:sz="6" w:space="0" w:color="auto"/>
            </w:tcBorders>
          </w:tcPr>
          <w:p w14:paraId="359CC717" w14:textId="77777777" w:rsidR="00824558" w:rsidRPr="00AE5D79" w:rsidRDefault="00824558">
            <w:pPr>
              <w:cnfStyle w:val="000000000000" w:firstRow="0" w:lastRow="0" w:firstColumn="0" w:lastColumn="0" w:oddVBand="0" w:evenVBand="0" w:oddHBand="0" w:evenHBand="0" w:firstRowFirstColumn="0" w:firstRowLastColumn="0" w:lastRowFirstColumn="0" w:lastRowLastColumn="0"/>
            </w:pPr>
            <w:r w:rsidRPr="00AE5D79">
              <w:t>100</w:t>
            </w:r>
          </w:p>
        </w:tc>
        <w:tc>
          <w:tcPr>
            <w:tcW w:w="964" w:type="dxa"/>
            <w:tcBorders>
              <w:top w:val="single" w:sz="6" w:space="0" w:color="auto"/>
            </w:tcBorders>
          </w:tcPr>
          <w:p w14:paraId="5A8E96BE" w14:textId="77777777" w:rsidR="00824558" w:rsidRPr="00AE5D79" w:rsidRDefault="00824558">
            <w:pPr>
              <w:cnfStyle w:val="000000000000" w:firstRow="0" w:lastRow="0" w:firstColumn="0" w:lastColumn="0" w:oddVBand="0" w:evenVBand="0" w:oddHBand="0" w:evenHBand="0" w:firstRowFirstColumn="0" w:firstRowLastColumn="0" w:lastRowFirstColumn="0" w:lastRowLastColumn="0"/>
            </w:pPr>
            <w:r w:rsidRPr="00AE5D79">
              <w:t>96</w:t>
            </w:r>
          </w:p>
        </w:tc>
        <w:tc>
          <w:tcPr>
            <w:tcW w:w="964" w:type="dxa"/>
            <w:tcBorders>
              <w:top w:val="single" w:sz="6" w:space="0" w:color="auto"/>
            </w:tcBorders>
          </w:tcPr>
          <w:p w14:paraId="2B39EB9D" w14:textId="77777777" w:rsidR="00824558" w:rsidRPr="00AE5D79" w:rsidRDefault="00824558">
            <w:pPr>
              <w:cnfStyle w:val="000000000000" w:firstRow="0" w:lastRow="0" w:firstColumn="0" w:lastColumn="0" w:oddVBand="0" w:evenVBand="0" w:oddHBand="0" w:evenHBand="0" w:firstRowFirstColumn="0" w:firstRowLastColumn="0" w:lastRowFirstColumn="0" w:lastRowLastColumn="0"/>
            </w:pPr>
            <w:r w:rsidRPr="00AE5D79">
              <w:t>100</w:t>
            </w:r>
          </w:p>
        </w:tc>
      </w:tr>
      <w:tr w:rsidR="00824558" w14:paraId="750DD04D"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3815E5C" w14:textId="17D849E6" w:rsidR="00824558" w:rsidRDefault="00824558">
            <w:pPr>
              <w:ind w:left="170"/>
            </w:pPr>
            <w:r w:rsidRPr="00AE5D79">
              <w:rPr>
                <w:i/>
              </w:rPr>
              <w:t xml:space="preserve">This performance measure relates to the calendar year. This performance measure excludes children who participate in a second year of the </w:t>
            </w:r>
            <w:r w:rsidR="001578EE">
              <w:rPr>
                <w:i/>
              </w:rPr>
              <w:t>F</w:t>
            </w:r>
            <w:r w:rsidRPr="00AE5D79">
              <w:rPr>
                <w:i/>
              </w:rPr>
              <w:t>our-</w:t>
            </w:r>
            <w:r w:rsidR="003247E3">
              <w:rPr>
                <w:i/>
              </w:rPr>
              <w:t>Y</w:t>
            </w:r>
            <w:r w:rsidRPr="00AE5D79">
              <w:rPr>
                <w:i/>
              </w:rPr>
              <w:t>ear-</w:t>
            </w:r>
            <w:r w:rsidR="003247E3">
              <w:rPr>
                <w:i/>
              </w:rPr>
              <w:t>O</w:t>
            </w:r>
            <w:r w:rsidRPr="00AE5D79">
              <w:rPr>
                <w:i/>
              </w:rPr>
              <w:t xml:space="preserve">ld </w:t>
            </w:r>
            <w:r w:rsidR="003247E3">
              <w:rPr>
                <w:i/>
              </w:rPr>
              <w:t>K</w:t>
            </w:r>
            <w:r w:rsidRPr="00AE5D79">
              <w:rPr>
                <w:i/>
              </w:rPr>
              <w:t>indergarten program.</w:t>
            </w:r>
          </w:p>
        </w:tc>
      </w:tr>
      <w:tr w:rsidR="00824558" w14:paraId="216EDBAD"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DFD14DB" w14:textId="77777777" w:rsidR="00824558" w:rsidRDefault="00824558">
            <w:pPr>
              <w:keepNext/>
              <w:ind w:left="170"/>
            </w:pPr>
            <w:r>
              <w:t>Kindergarten participation rate for Aboriginal children in the year two years before school</w:t>
            </w:r>
          </w:p>
        </w:tc>
        <w:tc>
          <w:tcPr>
            <w:tcW w:w="964" w:type="dxa"/>
            <w:tcBorders>
              <w:top w:val="single" w:sz="6" w:space="0" w:color="auto"/>
            </w:tcBorders>
          </w:tcPr>
          <w:p w14:paraId="6115EB3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20ECF4F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3D7EA81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tcBorders>
          </w:tcPr>
          <w:p w14:paraId="3F030D3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731FAE4E" w14:textId="77777777" w:rsidR="00824558" w:rsidRDefault="00824558">
            <w:pPr>
              <w:cnfStyle w:val="000000000000" w:firstRow="0" w:lastRow="0" w:firstColumn="0" w:lastColumn="0" w:oddVBand="0" w:evenVBand="0" w:oddHBand="0" w:evenHBand="0" w:firstRowFirstColumn="0" w:firstRowLastColumn="0" w:lastRowFirstColumn="0" w:lastRowLastColumn="0"/>
            </w:pPr>
            <w:r>
              <w:t>93.5</w:t>
            </w:r>
          </w:p>
        </w:tc>
      </w:tr>
      <w:tr w:rsidR="00824558" w14:paraId="1B84F2AE"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4EE40B5" w14:textId="77777777" w:rsidR="00824558" w:rsidRDefault="00824558">
            <w:pPr>
              <w:ind w:left="170"/>
            </w:pPr>
            <w:r>
              <w:rPr>
                <w:i/>
              </w:rPr>
              <w:t xml:space="preserve">The 2025-26 expected outcome is higher than the 2025-26 target due to increased program availability and strong support through key targeted initiatives. </w:t>
            </w:r>
          </w:p>
          <w:p w14:paraId="333536D2" w14:textId="77777777" w:rsidR="00824558" w:rsidRDefault="00824558">
            <w:pPr>
              <w:ind w:left="170"/>
            </w:pPr>
            <w:r>
              <w:rPr>
                <w:i/>
              </w:rPr>
              <w:t>This performance measure relates to the calendar year.</w:t>
            </w:r>
          </w:p>
        </w:tc>
      </w:tr>
      <w:tr w:rsidR="00824558" w14:paraId="7387067F"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565EAF43" w14:textId="1CB09A9F" w:rsidR="00824558" w:rsidRDefault="00824558">
            <w:pPr>
              <w:keepNext/>
              <w:ind w:left="170"/>
            </w:pPr>
            <w:r>
              <w:t>Kindergarten participation rate for children in out</w:t>
            </w:r>
            <w:r w:rsidR="00BD719A">
              <w:t>-</w:t>
            </w:r>
            <w:r>
              <w:t>of</w:t>
            </w:r>
            <w:r w:rsidR="00871F37">
              <w:t>-h</w:t>
            </w:r>
            <w:r>
              <w:t>ome care in the year before school</w:t>
            </w:r>
          </w:p>
        </w:tc>
        <w:tc>
          <w:tcPr>
            <w:tcW w:w="964" w:type="dxa"/>
            <w:tcBorders>
              <w:top w:val="single" w:sz="6" w:space="0" w:color="auto"/>
            </w:tcBorders>
          </w:tcPr>
          <w:p w14:paraId="0976841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22B55B2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tcBorders>
          </w:tcPr>
          <w:p w14:paraId="22763B30" w14:textId="77777777" w:rsidR="00824558" w:rsidRDefault="00824558">
            <w:pPr>
              <w:cnfStyle w:val="000000000000" w:firstRow="0" w:lastRow="0" w:firstColumn="0" w:lastColumn="0" w:oddVBand="0" w:evenVBand="0" w:oddHBand="0" w:evenHBand="0" w:firstRowFirstColumn="0" w:firstRowLastColumn="0" w:lastRowFirstColumn="0" w:lastRowLastColumn="0"/>
            </w:pPr>
            <w:r>
              <w:t>87.4</w:t>
            </w:r>
          </w:p>
        </w:tc>
        <w:tc>
          <w:tcPr>
            <w:tcW w:w="964" w:type="dxa"/>
            <w:tcBorders>
              <w:top w:val="single" w:sz="6" w:space="0" w:color="auto"/>
            </w:tcBorders>
          </w:tcPr>
          <w:p w14:paraId="2CC9626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tcBorders>
          </w:tcPr>
          <w:p w14:paraId="44CFD0B8"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r>
      <w:tr w:rsidR="00824558" w14:paraId="3585CD74"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E11264F" w14:textId="62E7AD7F" w:rsidR="00824558" w:rsidRDefault="00824558">
            <w:pPr>
              <w:ind w:left="170"/>
            </w:pPr>
            <w:r>
              <w:rPr>
                <w:i/>
              </w:rPr>
              <w:t>The 2025-26 expected outcome is higher than the 2025-26 target due to continued effort of initiatives to support children in out</w:t>
            </w:r>
            <w:r w:rsidR="00DD7E35">
              <w:rPr>
                <w:i/>
              </w:rPr>
              <w:noBreakHyphen/>
            </w:r>
            <w:r>
              <w:rPr>
                <w:i/>
              </w:rPr>
              <w:t>of</w:t>
            </w:r>
            <w:r w:rsidR="00DD7E35">
              <w:rPr>
                <w:i/>
              </w:rPr>
              <w:noBreakHyphen/>
            </w:r>
            <w:r>
              <w:rPr>
                <w:i/>
              </w:rPr>
              <w:t>home care, such as Early Childhood LOOKOUT.</w:t>
            </w:r>
          </w:p>
          <w:p w14:paraId="12F75508" w14:textId="32211004" w:rsidR="00824558" w:rsidRDefault="00824558">
            <w:pPr>
              <w:ind w:left="170"/>
            </w:pPr>
            <w:r>
              <w:rPr>
                <w:i/>
              </w:rPr>
              <w:t xml:space="preserve">This performance measure relates to the calendar year. This performance measure excludes children who participate in a second year of the </w:t>
            </w:r>
            <w:r w:rsidR="00984BE5">
              <w:rPr>
                <w:i/>
              </w:rPr>
              <w:t>F</w:t>
            </w:r>
            <w:r>
              <w:rPr>
                <w:i/>
              </w:rPr>
              <w:t>our-</w:t>
            </w:r>
            <w:r w:rsidR="00984BE5">
              <w:rPr>
                <w:i/>
              </w:rPr>
              <w:t>Y</w:t>
            </w:r>
            <w:r>
              <w:rPr>
                <w:i/>
              </w:rPr>
              <w:t>ear-</w:t>
            </w:r>
            <w:r w:rsidR="00984BE5">
              <w:rPr>
                <w:i/>
              </w:rPr>
              <w:t>O</w:t>
            </w:r>
            <w:r>
              <w:rPr>
                <w:i/>
              </w:rPr>
              <w:t xml:space="preserve">ld </w:t>
            </w:r>
            <w:r w:rsidR="00984BE5">
              <w:rPr>
                <w:i/>
              </w:rPr>
              <w:t>K</w:t>
            </w:r>
            <w:r>
              <w:rPr>
                <w:i/>
              </w:rPr>
              <w:t xml:space="preserve">indergarten program. </w:t>
            </w:r>
          </w:p>
        </w:tc>
      </w:tr>
      <w:tr w:rsidR="00824558" w14:paraId="29667D5E"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6927A1CC" w14:textId="77777777" w:rsidR="00824558" w:rsidRDefault="00824558">
            <w:pPr>
              <w:keepNext/>
              <w:ind w:left="170"/>
            </w:pPr>
            <w:r>
              <w:lastRenderedPageBreak/>
              <w:t>Kindergarten participation rate for children in out of home care in the year two years before school</w:t>
            </w:r>
          </w:p>
        </w:tc>
        <w:tc>
          <w:tcPr>
            <w:tcW w:w="964" w:type="dxa"/>
            <w:tcBorders>
              <w:top w:val="single" w:sz="6" w:space="0" w:color="auto"/>
            </w:tcBorders>
          </w:tcPr>
          <w:p w14:paraId="3076F3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5E7A10F0"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top w:val="single" w:sz="6" w:space="0" w:color="auto"/>
            </w:tcBorders>
          </w:tcPr>
          <w:p w14:paraId="0BE8A899" w14:textId="77777777" w:rsidR="00824558" w:rsidRDefault="00824558">
            <w:pPr>
              <w:cnfStyle w:val="000000000000" w:firstRow="0" w:lastRow="0" w:firstColumn="0" w:lastColumn="0" w:oddVBand="0" w:evenVBand="0" w:oddHBand="0" w:evenHBand="0" w:firstRowFirstColumn="0" w:firstRowLastColumn="0" w:lastRowFirstColumn="0" w:lastRowLastColumn="0"/>
            </w:pPr>
            <w:r>
              <w:t>78.1</w:t>
            </w:r>
          </w:p>
        </w:tc>
        <w:tc>
          <w:tcPr>
            <w:tcW w:w="964" w:type="dxa"/>
            <w:tcBorders>
              <w:top w:val="single" w:sz="6" w:space="0" w:color="auto"/>
            </w:tcBorders>
          </w:tcPr>
          <w:p w14:paraId="7798AE26"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top w:val="single" w:sz="6" w:space="0" w:color="auto"/>
            </w:tcBorders>
          </w:tcPr>
          <w:p w14:paraId="375DED54" w14:textId="77777777" w:rsidR="00824558" w:rsidRDefault="00824558">
            <w:pPr>
              <w:cnfStyle w:val="000000000000" w:firstRow="0" w:lastRow="0" w:firstColumn="0" w:lastColumn="0" w:oddVBand="0" w:evenVBand="0" w:oddHBand="0" w:evenHBand="0" w:firstRowFirstColumn="0" w:firstRowLastColumn="0" w:lastRowFirstColumn="0" w:lastRowLastColumn="0"/>
            </w:pPr>
            <w:r>
              <w:t>80.7</w:t>
            </w:r>
          </w:p>
        </w:tc>
      </w:tr>
      <w:tr w:rsidR="00824558" w14:paraId="2ACBE1F0"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BE44E6C" w14:textId="2045E347" w:rsidR="00824558" w:rsidRDefault="00824558">
            <w:pPr>
              <w:ind w:left="170"/>
            </w:pPr>
            <w:r>
              <w:rPr>
                <w:i/>
              </w:rPr>
              <w:t>The 2025-26 expected outcome is higher than the 2025-26 target due to continued effort of initiatives to support children in out</w:t>
            </w:r>
            <w:r w:rsidR="00BC260F">
              <w:rPr>
                <w:i/>
              </w:rPr>
              <w:noBreakHyphen/>
            </w:r>
            <w:r>
              <w:rPr>
                <w:i/>
              </w:rPr>
              <w:t>of</w:t>
            </w:r>
            <w:r w:rsidR="00BC260F">
              <w:rPr>
                <w:i/>
              </w:rPr>
              <w:noBreakHyphen/>
            </w:r>
            <w:r>
              <w:rPr>
                <w:i/>
              </w:rPr>
              <w:t>home care, such as Early Childhood LOOKOUT.</w:t>
            </w:r>
          </w:p>
          <w:p w14:paraId="60A165D1" w14:textId="77777777" w:rsidR="00824558" w:rsidRDefault="00824558">
            <w:pPr>
              <w:ind w:left="170"/>
            </w:pPr>
            <w:r>
              <w:rPr>
                <w:i/>
              </w:rPr>
              <w:t xml:space="preserve">This performance measure relates to the calendar year. </w:t>
            </w:r>
          </w:p>
        </w:tc>
      </w:tr>
      <w:tr w:rsidR="00824558" w14:paraId="4703612E"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6AA773F3" w14:textId="77777777" w:rsidR="00824558" w:rsidRDefault="00824558">
            <w:pPr>
              <w:keepNext/>
              <w:ind w:left="170"/>
            </w:pPr>
            <w:r>
              <w:t>Kindergarten participation rate in the year before school</w:t>
            </w:r>
          </w:p>
        </w:tc>
        <w:tc>
          <w:tcPr>
            <w:tcW w:w="964" w:type="dxa"/>
            <w:tcBorders>
              <w:top w:val="single" w:sz="6" w:space="0" w:color="auto"/>
            </w:tcBorders>
          </w:tcPr>
          <w:p w14:paraId="3518213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79BF496A"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top w:val="single" w:sz="6" w:space="0" w:color="auto"/>
            </w:tcBorders>
          </w:tcPr>
          <w:p w14:paraId="3A70732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tcBorders>
          </w:tcPr>
          <w:p w14:paraId="06FF4F02"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top w:val="single" w:sz="6" w:space="0" w:color="auto"/>
            </w:tcBorders>
          </w:tcPr>
          <w:p w14:paraId="0B86A20C"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7C679D2E"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7B3EBBD" w14:textId="13AF71DC" w:rsidR="00824558" w:rsidRDefault="00824558">
            <w:pPr>
              <w:ind w:left="170"/>
            </w:pPr>
            <w:r>
              <w:rPr>
                <w:i/>
              </w:rPr>
              <w:t xml:space="preserve">This performance measure relates to the calendar year and excludes children who participate in a second year of the </w:t>
            </w:r>
            <w:r w:rsidR="00BF1212">
              <w:rPr>
                <w:i/>
              </w:rPr>
              <w:t>F</w:t>
            </w:r>
            <w:r>
              <w:rPr>
                <w:i/>
              </w:rPr>
              <w:t>our</w:t>
            </w:r>
            <w:r>
              <w:rPr>
                <w:rFonts w:ascii="Cambria Math" w:hAnsi="Cambria Math" w:cs="Cambria Math"/>
                <w:i/>
              </w:rPr>
              <w:t>‑</w:t>
            </w:r>
            <w:r w:rsidR="00BF1212">
              <w:rPr>
                <w:i/>
              </w:rPr>
              <w:t>Y</w:t>
            </w:r>
            <w:r>
              <w:rPr>
                <w:i/>
              </w:rPr>
              <w:t>ear</w:t>
            </w:r>
            <w:r>
              <w:rPr>
                <w:rFonts w:ascii="Cambria Math" w:hAnsi="Cambria Math" w:cs="Cambria Math"/>
                <w:i/>
              </w:rPr>
              <w:t>‑</w:t>
            </w:r>
            <w:r w:rsidR="00BF1212">
              <w:rPr>
                <w:i/>
              </w:rPr>
              <w:t>O</w:t>
            </w:r>
            <w:r>
              <w:rPr>
                <w:i/>
              </w:rPr>
              <w:t xml:space="preserve">ld </w:t>
            </w:r>
            <w:r w:rsidR="00BF1212">
              <w:rPr>
                <w:i/>
              </w:rPr>
              <w:t>K</w:t>
            </w:r>
            <w:r>
              <w:rPr>
                <w:i/>
              </w:rPr>
              <w:t>indergarten program.</w:t>
            </w:r>
          </w:p>
        </w:tc>
      </w:tr>
      <w:tr w:rsidR="00824558" w14:paraId="05BB2594"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E05E0A7" w14:textId="77777777" w:rsidR="00824558" w:rsidRDefault="00824558">
            <w:pPr>
              <w:keepNext/>
              <w:ind w:left="170"/>
            </w:pPr>
            <w:r>
              <w:t>Kindergarten participation rate in the year two years before school</w:t>
            </w:r>
          </w:p>
        </w:tc>
        <w:tc>
          <w:tcPr>
            <w:tcW w:w="964" w:type="dxa"/>
            <w:tcBorders>
              <w:top w:val="single" w:sz="6" w:space="0" w:color="auto"/>
            </w:tcBorders>
          </w:tcPr>
          <w:p w14:paraId="328832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2E0EA4B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02D11111" w14:textId="77777777" w:rsidR="00824558" w:rsidRDefault="00824558">
            <w:pPr>
              <w:cnfStyle w:val="000000000000" w:firstRow="0" w:lastRow="0" w:firstColumn="0" w:lastColumn="0" w:oddVBand="0" w:evenVBand="0" w:oddHBand="0" w:evenHBand="0" w:firstRowFirstColumn="0" w:firstRowLastColumn="0" w:lastRowFirstColumn="0" w:lastRowLastColumn="0"/>
            </w:pPr>
            <w:r>
              <w:t>92.2</w:t>
            </w:r>
          </w:p>
        </w:tc>
        <w:tc>
          <w:tcPr>
            <w:tcW w:w="964" w:type="dxa"/>
            <w:tcBorders>
              <w:top w:val="single" w:sz="6" w:space="0" w:color="auto"/>
            </w:tcBorders>
          </w:tcPr>
          <w:p w14:paraId="298868D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712A7AEF" w14:textId="77777777" w:rsidR="00824558" w:rsidRDefault="00824558">
            <w:pPr>
              <w:cnfStyle w:val="000000000000" w:firstRow="0" w:lastRow="0" w:firstColumn="0" w:lastColumn="0" w:oddVBand="0" w:evenVBand="0" w:oddHBand="0" w:evenHBand="0" w:firstRowFirstColumn="0" w:firstRowLastColumn="0" w:lastRowFirstColumn="0" w:lastRowLastColumn="0"/>
            </w:pPr>
            <w:r>
              <w:t>90.1</w:t>
            </w:r>
          </w:p>
        </w:tc>
      </w:tr>
      <w:tr w:rsidR="00824558" w14:paraId="69352885"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79D50E4" w14:textId="4CAFC4E9" w:rsidR="00824558" w:rsidRDefault="00824558">
            <w:pPr>
              <w:ind w:left="170"/>
            </w:pPr>
            <w:r>
              <w:rPr>
                <w:i/>
              </w:rPr>
              <w:t>This performance measure relates to the calendar year.</w:t>
            </w:r>
          </w:p>
        </w:tc>
      </w:tr>
      <w:tr w:rsidR="00824558" w14:paraId="4865A50E"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37607386" w14:textId="77777777" w:rsidR="00824558" w:rsidRDefault="00824558">
            <w:pPr>
              <w:keepNext/>
              <w:ind w:left="170"/>
            </w:pPr>
            <w:r>
              <w:t>Number of kindergarten services supported through the Kindergarten Inclusion Support program for children with a disability or complex medical needs</w:t>
            </w:r>
          </w:p>
        </w:tc>
        <w:tc>
          <w:tcPr>
            <w:tcW w:w="964" w:type="dxa"/>
            <w:tcBorders>
              <w:top w:val="single" w:sz="6" w:space="0" w:color="auto"/>
            </w:tcBorders>
          </w:tcPr>
          <w:p w14:paraId="0A3CA32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534C40AC"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w:t>
            </w:r>
          </w:p>
        </w:tc>
        <w:tc>
          <w:tcPr>
            <w:tcW w:w="964" w:type="dxa"/>
            <w:tcBorders>
              <w:top w:val="single" w:sz="6" w:space="0" w:color="auto"/>
            </w:tcBorders>
          </w:tcPr>
          <w:p w14:paraId="2F59EC17" w14:textId="77777777" w:rsidR="00824558" w:rsidRDefault="00824558">
            <w:pPr>
              <w:cnfStyle w:val="000000000000" w:firstRow="0" w:lastRow="0" w:firstColumn="0" w:lastColumn="0" w:oddVBand="0" w:evenVBand="0" w:oddHBand="0" w:evenHBand="0" w:firstRowFirstColumn="0" w:firstRowLastColumn="0" w:lastRowFirstColumn="0" w:lastRowLastColumn="0"/>
            </w:pPr>
            <w:r>
              <w:t>1 508</w:t>
            </w:r>
          </w:p>
        </w:tc>
        <w:tc>
          <w:tcPr>
            <w:tcW w:w="964" w:type="dxa"/>
            <w:tcBorders>
              <w:top w:val="single" w:sz="6" w:space="0" w:color="auto"/>
            </w:tcBorders>
          </w:tcPr>
          <w:p w14:paraId="27C2ED86"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w:t>
            </w:r>
          </w:p>
        </w:tc>
        <w:tc>
          <w:tcPr>
            <w:tcW w:w="964" w:type="dxa"/>
            <w:tcBorders>
              <w:top w:val="single" w:sz="6" w:space="0" w:color="auto"/>
            </w:tcBorders>
          </w:tcPr>
          <w:p w14:paraId="7C1EE5DF" w14:textId="77777777" w:rsidR="00824558" w:rsidRDefault="00824558">
            <w:pPr>
              <w:cnfStyle w:val="000000000000" w:firstRow="0" w:lastRow="0" w:firstColumn="0" w:lastColumn="0" w:oddVBand="0" w:evenVBand="0" w:oddHBand="0" w:evenHBand="0" w:firstRowFirstColumn="0" w:firstRowLastColumn="0" w:lastRowFirstColumn="0" w:lastRowLastColumn="0"/>
            </w:pPr>
            <w:r>
              <w:t>1 257</w:t>
            </w:r>
          </w:p>
        </w:tc>
      </w:tr>
      <w:tr w:rsidR="00824558" w14:paraId="6AFCA27D"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E79EC77" w14:textId="15072783" w:rsidR="00824558" w:rsidRDefault="00824558">
            <w:pPr>
              <w:ind w:left="170"/>
            </w:pPr>
            <w:r>
              <w:rPr>
                <w:i/>
              </w:rPr>
              <w:t>The 2025-26 expected outcome is higher than the 2025-26 target due to increased demand from kindergarten services requesting to access the Kindergarten Inclusion Support program to support children with disability or complex medical needs.</w:t>
            </w:r>
          </w:p>
          <w:p w14:paraId="26717E07" w14:textId="77777777" w:rsidR="00824558" w:rsidRDefault="00824558">
            <w:pPr>
              <w:ind w:left="170"/>
            </w:pPr>
            <w:r>
              <w:rPr>
                <w:i/>
              </w:rPr>
              <w:t xml:space="preserve">This performance measure relates to the calendar year. </w:t>
            </w:r>
          </w:p>
        </w:tc>
      </w:tr>
      <w:tr w:rsidR="00824558" w:rsidRPr="00DC0EBC" w14:paraId="0C4BA668"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8F28E57" w14:textId="77777777" w:rsidR="00824558" w:rsidRPr="00DC0EBC" w:rsidRDefault="00824558">
            <w:pPr>
              <w:keepNext/>
              <w:rPr>
                <w:b/>
              </w:rPr>
            </w:pPr>
            <w:r w:rsidRPr="00DC0EBC">
              <w:rPr>
                <w:b/>
              </w:rPr>
              <w:t>Quality</w:t>
            </w:r>
          </w:p>
        </w:tc>
      </w:tr>
      <w:tr w:rsidR="00824558" w14:paraId="28A5D9F4" w14:textId="77777777" w:rsidTr="00841E66">
        <w:tc>
          <w:tcPr>
            <w:cnfStyle w:val="001000000000" w:firstRow="0" w:lastRow="0" w:firstColumn="1" w:lastColumn="0" w:oddVBand="0" w:evenVBand="0" w:oddHBand="0" w:evenHBand="0" w:firstRowFirstColumn="0" w:firstRowLastColumn="0" w:lastRowFirstColumn="0" w:lastRowLastColumn="0"/>
            <w:tcW w:w="4819" w:type="dxa"/>
          </w:tcPr>
          <w:p w14:paraId="4D3B8E91" w14:textId="77777777" w:rsidR="00824558" w:rsidRDefault="00824558">
            <w:pPr>
              <w:keepNext/>
              <w:ind w:left="170"/>
            </w:pPr>
            <w:r>
              <w:t>Parent satisfaction with kindergarten services</w:t>
            </w:r>
          </w:p>
        </w:tc>
        <w:tc>
          <w:tcPr>
            <w:tcW w:w="964" w:type="dxa"/>
          </w:tcPr>
          <w:p w14:paraId="00D91FA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4A00E6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B54685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034CE4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4DA601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824558" w14:paraId="144C6295" w14:textId="77777777" w:rsidTr="00E35C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DA73FED" w14:textId="0E21FD22" w:rsidR="00824558" w:rsidRDefault="00824558">
            <w:pPr>
              <w:ind w:left="170"/>
            </w:pPr>
            <w:r>
              <w:rPr>
                <w:i/>
              </w:rPr>
              <w:t>This performance measure relates to the calendar year. It is based on a parent opinion survey that is administered to all funded kindergarten services.</w:t>
            </w:r>
          </w:p>
        </w:tc>
      </w:tr>
      <w:tr w:rsidR="00824558" w:rsidRPr="00DC0EBC" w14:paraId="1E347239"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16EAECB" w14:textId="77777777" w:rsidR="00824558" w:rsidRPr="00DC0EBC" w:rsidRDefault="00824558">
            <w:pPr>
              <w:keepNext/>
              <w:rPr>
                <w:b/>
              </w:rPr>
            </w:pPr>
            <w:r w:rsidRPr="00DC0EBC">
              <w:rPr>
                <w:b/>
              </w:rPr>
              <w:t>Cost</w:t>
            </w:r>
          </w:p>
        </w:tc>
      </w:tr>
      <w:tr w:rsidR="00824558" w14:paraId="30BD0B32" w14:textId="77777777" w:rsidTr="00841E66">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5D0EAB54" w14:textId="77777777" w:rsidR="00824558" w:rsidRDefault="00824558">
            <w:pPr>
              <w:keepNext/>
              <w:ind w:left="170"/>
            </w:pPr>
            <w:r>
              <w:t>Total output cost</w:t>
            </w:r>
          </w:p>
        </w:tc>
        <w:tc>
          <w:tcPr>
            <w:tcW w:w="964" w:type="dxa"/>
            <w:tcBorders>
              <w:bottom w:val="single" w:sz="12" w:space="0" w:color="auto"/>
            </w:tcBorders>
          </w:tcPr>
          <w:p w14:paraId="16CF9F5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361FAC2F" w14:textId="5D99397D" w:rsidR="00824558" w:rsidRPr="00E501BA" w:rsidRDefault="00944E4C">
            <w:pPr>
              <w:cnfStyle w:val="000000000000" w:firstRow="0" w:lastRow="0" w:firstColumn="0" w:lastColumn="0" w:oddVBand="0" w:evenVBand="0" w:oddHBand="0" w:evenHBand="0" w:firstRowFirstColumn="0" w:firstRowLastColumn="0" w:lastRowFirstColumn="0" w:lastRowLastColumn="0"/>
              <w:rPr>
                <w:highlight w:val="yellow"/>
              </w:rPr>
            </w:pPr>
            <w:r w:rsidRPr="00B8291C">
              <w:t>1 319.4</w:t>
            </w:r>
          </w:p>
        </w:tc>
        <w:tc>
          <w:tcPr>
            <w:tcW w:w="964" w:type="dxa"/>
            <w:tcBorders>
              <w:bottom w:val="single" w:sz="12" w:space="0" w:color="auto"/>
            </w:tcBorders>
          </w:tcPr>
          <w:p w14:paraId="781D6508" w14:textId="4711125F" w:rsidR="00824558" w:rsidRPr="00E501BA" w:rsidRDefault="007A2C9B">
            <w:pPr>
              <w:cnfStyle w:val="000000000000" w:firstRow="0" w:lastRow="0" w:firstColumn="0" w:lastColumn="0" w:oddVBand="0" w:evenVBand="0" w:oddHBand="0" w:evenHBand="0" w:firstRowFirstColumn="0" w:firstRowLastColumn="0" w:lastRowFirstColumn="0" w:lastRowLastColumn="0"/>
              <w:rPr>
                <w:highlight w:val="yellow"/>
              </w:rPr>
            </w:pPr>
            <w:r w:rsidRPr="00B8291C">
              <w:t>1 319.7</w:t>
            </w:r>
          </w:p>
        </w:tc>
        <w:tc>
          <w:tcPr>
            <w:tcW w:w="964" w:type="dxa"/>
            <w:tcBorders>
              <w:bottom w:val="single" w:sz="12" w:space="0" w:color="auto"/>
            </w:tcBorders>
          </w:tcPr>
          <w:p w14:paraId="1AB9DB92" w14:textId="0C97346C" w:rsidR="00824558" w:rsidRDefault="00824558">
            <w:pPr>
              <w:cnfStyle w:val="000000000000" w:firstRow="0" w:lastRow="0" w:firstColumn="0" w:lastColumn="0" w:oddVBand="0" w:evenVBand="0" w:oddHBand="0" w:evenHBand="0" w:firstRowFirstColumn="0" w:firstRowLastColumn="0" w:lastRowFirstColumn="0" w:lastRowLastColumn="0"/>
            </w:pPr>
            <w:r>
              <w:t>1</w:t>
            </w:r>
            <w:r w:rsidR="003C5CE2">
              <w:t xml:space="preserve"> </w:t>
            </w:r>
            <w:r>
              <w:t>259.4</w:t>
            </w:r>
          </w:p>
        </w:tc>
        <w:tc>
          <w:tcPr>
            <w:tcW w:w="964" w:type="dxa"/>
            <w:tcBorders>
              <w:bottom w:val="single" w:sz="12" w:space="0" w:color="auto"/>
            </w:tcBorders>
          </w:tcPr>
          <w:p w14:paraId="672926A9" w14:textId="292FE64C" w:rsidR="00824558" w:rsidRDefault="00824558">
            <w:pPr>
              <w:cnfStyle w:val="000000000000" w:firstRow="0" w:lastRow="0" w:firstColumn="0" w:lastColumn="0" w:oddVBand="0" w:evenVBand="0" w:oddHBand="0" w:evenHBand="0" w:firstRowFirstColumn="0" w:firstRowLastColumn="0" w:lastRowFirstColumn="0" w:lastRowLastColumn="0"/>
            </w:pPr>
            <w:r>
              <w:t>1 046</w:t>
            </w:r>
            <w:r w:rsidR="00841E66">
              <w:t>.0</w:t>
            </w:r>
          </w:p>
        </w:tc>
      </w:tr>
    </w:tbl>
    <w:p w14:paraId="1D05C05B" w14:textId="77777777" w:rsidR="00824558" w:rsidRDefault="00824558">
      <w:pPr>
        <w:pStyle w:val="Source"/>
      </w:pPr>
      <w:r>
        <w:t>Source: Department of Education</w:t>
      </w:r>
    </w:p>
    <w:p w14:paraId="00B12680" w14:textId="77777777" w:rsidR="00824558" w:rsidRDefault="00824558">
      <w:pPr>
        <w:pStyle w:val="Source"/>
      </w:pPr>
    </w:p>
    <w:p w14:paraId="271E9BE6" w14:textId="50CBD593" w:rsidR="00824558" w:rsidRDefault="00824558" w:rsidP="008C5594">
      <w:pPr>
        <w:pStyle w:val="Heading3"/>
      </w:pPr>
      <w:r>
        <w:t>Early Childhood Sector Supports and Regulation</w:t>
      </w:r>
      <w:r>
        <w:tab/>
        <w:t>(2026-27: $</w:t>
      </w:r>
      <w:r w:rsidR="00067F59" w:rsidRPr="00B8291C">
        <w:t>994.1</w:t>
      </w:r>
      <w:r>
        <w:t xml:space="preserve"> million)</w:t>
      </w:r>
    </w:p>
    <w:p w14:paraId="5C4F7E27" w14:textId="77777777" w:rsidR="00824558" w:rsidRPr="008C5594" w:rsidRDefault="00824558" w:rsidP="008C5594">
      <w:pPr>
        <w:keepNext/>
        <w:spacing w:after="120"/>
        <w:rPr>
          <w:rFonts w:ascii="Garamond" w:eastAsia="Garamond" w:hAnsi="Garamond"/>
        </w:rPr>
      </w:pPr>
      <w:r w:rsidRPr="006965F9">
        <w:rPr>
          <w:rFonts w:ascii="Garamond" w:eastAsia="Garamond" w:hAnsi="Garamond"/>
        </w:rPr>
        <w:t>The Early Childhood Sector Supports and Regulation output includes services to support workforce and infrastructure development and services to monitor licensed early childhood education and care services.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0A027FF" w14:textId="77777777" w:rsidTr="004C29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0A77AF7" w14:textId="77777777" w:rsidR="00824558" w:rsidRDefault="00824558" w:rsidP="002B00B9">
            <w:r>
              <w:t>Performance measure</w:t>
            </w:r>
          </w:p>
        </w:tc>
        <w:tc>
          <w:tcPr>
            <w:tcW w:w="964" w:type="dxa"/>
          </w:tcPr>
          <w:p w14:paraId="64254153"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448071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A43B898"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30D798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6FB4558"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332E3929"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Pr>
          <w:p w14:paraId="2B2B321C" w14:textId="77777777" w:rsidR="00824558" w:rsidRPr="00DC0EBC" w:rsidRDefault="00824558" w:rsidP="002B00B9">
            <w:pPr>
              <w:keepNext/>
              <w:rPr>
                <w:b/>
              </w:rPr>
            </w:pPr>
            <w:r w:rsidRPr="00DC0EBC">
              <w:rPr>
                <w:b/>
              </w:rPr>
              <w:t>Quantity</w:t>
            </w:r>
          </w:p>
        </w:tc>
      </w:tr>
      <w:tr w:rsidR="00824558" w14:paraId="1C77E76D"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0F539D55" w14:textId="77777777" w:rsidR="00824558" w:rsidRDefault="00824558" w:rsidP="002B00B9">
            <w:pPr>
              <w:keepNext/>
              <w:ind w:left="170"/>
            </w:pPr>
            <w:r>
              <w:t>Number of inspections of early childhood services</w:t>
            </w:r>
          </w:p>
        </w:tc>
        <w:tc>
          <w:tcPr>
            <w:tcW w:w="964" w:type="dxa"/>
          </w:tcPr>
          <w:p w14:paraId="15C78BA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44CA2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4 800</w:t>
            </w:r>
          </w:p>
        </w:tc>
        <w:tc>
          <w:tcPr>
            <w:tcW w:w="964" w:type="dxa"/>
          </w:tcPr>
          <w:p w14:paraId="210CF1A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5 002</w:t>
            </w:r>
          </w:p>
        </w:tc>
        <w:tc>
          <w:tcPr>
            <w:tcW w:w="964" w:type="dxa"/>
          </w:tcPr>
          <w:p w14:paraId="089F23D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5C2F450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4 729</w:t>
            </w:r>
          </w:p>
        </w:tc>
      </w:tr>
      <w:tr w:rsidR="00824558" w14:paraId="5D10E553"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F5F7D2" w14:textId="48F8B6B3" w:rsidR="00824558" w:rsidRDefault="00824558" w:rsidP="002B00B9">
            <w:pPr>
              <w:ind w:left="170"/>
            </w:pPr>
            <w:r>
              <w:rPr>
                <w:i/>
              </w:rPr>
              <w:t>The 2025-26 expected outcome is higher than the 2025-26 target due to the regulatory authority responding to an increased number of notifications and investigations, following the Rapid Child Safety Review. The authority has also increased the number of targeted visits, including Child Safe Standards and family day care assessment and rating visits.</w:t>
            </w:r>
          </w:p>
          <w:p w14:paraId="7D31081B" w14:textId="77777777" w:rsidR="00824558" w:rsidRDefault="00824558" w:rsidP="002B00B9">
            <w:pPr>
              <w:ind w:left="170"/>
            </w:pPr>
            <w:r>
              <w:rPr>
                <w:i/>
              </w:rPr>
              <w:t>This performance measure relates to the calendar year. The higher 2026-27 target reflects expected inspection activity following the Rapid Child Safety Review.</w:t>
            </w:r>
          </w:p>
        </w:tc>
      </w:tr>
      <w:tr w:rsidR="00824558" w14:paraId="4477289E"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6C3A822F" w14:textId="77777777" w:rsidR="00824558" w:rsidRDefault="00824558" w:rsidP="002B00B9">
            <w:pPr>
              <w:keepNext/>
              <w:ind w:left="170"/>
            </w:pPr>
            <w:r>
              <w:t>Percentage of allied health sessions offered through School Readiness Funding accessed by funded kindergarten services</w:t>
            </w:r>
          </w:p>
        </w:tc>
        <w:tc>
          <w:tcPr>
            <w:tcW w:w="964" w:type="dxa"/>
          </w:tcPr>
          <w:p w14:paraId="1BA1278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07659F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765E5C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0B2C814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568119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97.3</w:t>
            </w:r>
          </w:p>
        </w:tc>
      </w:tr>
      <w:tr w:rsidR="00824558" w14:paraId="5DA93A2F"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5E04AD" w14:textId="261F9A7D" w:rsidR="00824558" w:rsidRDefault="00824558" w:rsidP="002B00B9">
            <w:pPr>
              <w:ind w:left="170"/>
            </w:pPr>
            <w:r>
              <w:rPr>
                <w:i/>
              </w:rPr>
              <w:t>The 2025-26 expected outcome is higher than the 2025-26 target due to higher</w:t>
            </w:r>
            <w:r w:rsidR="00847848">
              <w:rPr>
                <w:i/>
              </w:rPr>
              <w:t xml:space="preserve"> </w:t>
            </w:r>
            <w:r>
              <w:rPr>
                <w:i/>
              </w:rPr>
              <w:t>than</w:t>
            </w:r>
            <w:r w:rsidR="00847848">
              <w:rPr>
                <w:i/>
              </w:rPr>
              <w:t xml:space="preserve"> </w:t>
            </w:r>
            <w:r>
              <w:rPr>
                <w:i/>
              </w:rPr>
              <w:t xml:space="preserve">expected delivery from community providers. </w:t>
            </w:r>
          </w:p>
          <w:p w14:paraId="73E61B10" w14:textId="77777777" w:rsidR="00824558" w:rsidRDefault="00824558" w:rsidP="002B00B9">
            <w:pPr>
              <w:ind w:left="170"/>
            </w:pPr>
            <w:r>
              <w:rPr>
                <w:i/>
              </w:rPr>
              <w:t xml:space="preserve">This performance measure relates to the calendar year. </w:t>
            </w:r>
          </w:p>
        </w:tc>
      </w:tr>
      <w:tr w:rsidR="00824558" w14:paraId="216A3E4D"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402A0334" w14:textId="77777777" w:rsidR="00824558" w:rsidRDefault="00824558" w:rsidP="002B00B9">
            <w:pPr>
              <w:keepNext/>
              <w:ind w:left="170"/>
            </w:pPr>
            <w:r>
              <w:t>Percentage of approved eligible services assessed and rated</w:t>
            </w:r>
          </w:p>
        </w:tc>
        <w:tc>
          <w:tcPr>
            <w:tcW w:w="964" w:type="dxa"/>
          </w:tcPr>
          <w:p w14:paraId="26C9AB7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1C402A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77A73F6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30.3</w:t>
            </w:r>
          </w:p>
        </w:tc>
        <w:tc>
          <w:tcPr>
            <w:tcW w:w="964" w:type="dxa"/>
          </w:tcPr>
          <w:p w14:paraId="6639024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3418405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28.6</w:t>
            </w:r>
          </w:p>
        </w:tc>
      </w:tr>
      <w:tr w:rsidR="00824558" w14:paraId="5234AA45"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3E4D5E2" w14:textId="0885D775" w:rsidR="00824558" w:rsidRDefault="00824558" w:rsidP="002B00B9">
            <w:pPr>
              <w:ind w:left="170"/>
            </w:pPr>
            <w:r>
              <w:rPr>
                <w:i/>
              </w:rPr>
              <w:t>The 2025-26 expected outcome is higher than the 2025-26 target due to an increased rate of assessment and increase the frequency of processing and assessing services.</w:t>
            </w:r>
          </w:p>
          <w:p w14:paraId="7CEE04A2" w14:textId="77777777" w:rsidR="00824558" w:rsidRDefault="00824558" w:rsidP="002B00B9">
            <w:pPr>
              <w:ind w:left="170"/>
            </w:pPr>
            <w:r>
              <w:rPr>
                <w:i/>
              </w:rPr>
              <w:t>This performance measure relates to the calendar year.</w:t>
            </w:r>
          </w:p>
        </w:tc>
      </w:tr>
      <w:tr w:rsidR="00824558" w14:paraId="705A48EE"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4974F6CD" w14:textId="77777777" w:rsidR="00824558" w:rsidRDefault="00824558" w:rsidP="002B00B9">
            <w:pPr>
              <w:keepNext/>
              <w:ind w:left="170"/>
            </w:pPr>
            <w:r>
              <w:t>Percentage of services receiving at least one unannounced visit per calendar year</w:t>
            </w:r>
          </w:p>
        </w:tc>
        <w:tc>
          <w:tcPr>
            <w:tcW w:w="964" w:type="dxa"/>
          </w:tcPr>
          <w:p w14:paraId="272CF93B"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620F5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3F384A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035B54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778CCE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4B14D5C3"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ACD283" w14:textId="77777777" w:rsidR="00824558" w:rsidRDefault="00824558" w:rsidP="002B00B9">
            <w:pPr>
              <w:ind w:left="170"/>
            </w:pPr>
            <w:r>
              <w:rPr>
                <w:i/>
              </w:rPr>
              <w:t>This performance measure relates to the calendar year. New performance measure for 2026-27 to reflect post Rapid Child Safety Review public commitment.</w:t>
            </w:r>
          </w:p>
        </w:tc>
      </w:tr>
      <w:tr w:rsidR="00824558" w14:paraId="35D7BA3D"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79598270" w14:textId="77777777" w:rsidR="00824558" w:rsidRDefault="00824558" w:rsidP="002B00B9">
            <w:pPr>
              <w:keepNext/>
              <w:ind w:left="170"/>
            </w:pPr>
            <w:r>
              <w:t>Total number of early childhood teachers delivering a funded kindergarten program</w:t>
            </w:r>
          </w:p>
        </w:tc>
        <w:tc>
          <w:tcPr>
            <w:tcW w:w="964" w:type="dxa"/>
          </w:tcPr>
          <w:p w14:paraId="79EDF267"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879530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8 600</w:t>
            </w:r>
          </w:p>
        </w:tc>
        <w:tc>
          <w:tcPr>
            <w:tcW w:w="964" w:type="dxa"/>
          </w:tcPr>
          <w:p w14:paraId="217305E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8 688</w:t>
            </w:r>
          </w:p>
        </w:tc>
        <w:tc>
          <w:tcPr>
            <w:tcW w:w="964" w:type="dxa"/>
          </w:tcPr>
          <w:p w14:paraId="54B5C73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8 400</w:t>
            </w:r>
          </w:p>
        </w:tc>
        <w:tc>
          <w:tcPr>
            <w:tcW w:w="964" w:type="dxa"/>
          </w:tcPr>
          <w:p w14:paraId="5CA80BC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8 239</w:t>
            </w:r>
          </w:p>
        </w:tc>
      </w:tr>
      <w:tr w:rsidR="00824558" w14:paraId="055D2E17"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01088CF" w14:textId="77777777" w:rsidR="00824558" w:rsidRDefault="00824558" w:rsidP="002B00B9">
            <w:pPr>
              <w:ind w:left="170"/>
            </w:pPr>
            <w:r>
              <w:rPr>
                <w:i/>
              </w:rPr>
              <w:t xml:space="preserve">This performance measure relates to the calendar year. Historical data has been revised to reflect updated methodology and improved data quality. Figures may not match those published in previous editions. This performance measure counts the number of filled early childhood teacher positions delivering a funded kindergarten program. The higher 2026-27 target reflects expectation of sustained program delivery. </w:t>
            </w:r>
          </w:p>
        </w:tc>
      </w:tr>
      <w:tr w:rsidR="00824558" w:rsidRPr="00DC0EBC" w14:paraId="2A61F823"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Pr>
          <w:p w14:paraId="62BDE75E" w14:textId="77777777" w:rsidR="00824558" w:rsidRPr="00DC0EBC" w:rsidRDefault="00824558" w:rsidP="002B00B9">
            <w:pPr>
              <w:keepNext/>
              <w:rPr>
                <w:b/>
              </w:rPr>
            </w:pPr>
            <w:r w:rsidRPr="00DC0EBC">
              <w:rPr>
                <w:b/>
              </w:rPr>
              <w:lastRenderedPageBreak/>
              <w:t>Timeliness</w:t>
            </w:r>
          </w:p>
        </w:tc>
      </w:tr>
      <w:tr w:rsidR="00824558" w14:paraId="18DCFA40" w14:textId="77777777" w:rsidTr="004C29CE">
        <w:tc>
          <w:tcPr>
            <w:cnfStyle w:val="001000000000" w:firstRow="0" w:lastRow="0" w:firstColumn="1" w:lastColumn="0" w:oddVBand="0" w:evenVBand="0" w:oddHBand="0" w:evenHBand="0" w:firstRowFirstColumn="0" w:firstRowLastColumn="0" w:lastRowFirstColumn="0" w:lastRowLastColumn="0"/>
            <w:tcW w:w="4819" w:type="dxa"/>
          </w:tcPr>
          <w:p w14:paraId="0B791B47" w14:textId="77777777" w:rsidR="00824558" w:rsidRDefault="00824558" w:rsidP="002B00B9">
            <w:pPr>
              <w:keepNext/>
              <w:ind w:left="170"/>
            </w:pPr>
            <w:r>
              <w:t>Average days taken to report and issue a notice of a quality rating</w:t>
            </w:r>
          </w:p>
        </w:tc>
        <w:tc>
          <w:tcPr>
            <w:tcW w:w="964" w:type="dxa"/>
          </w:tcPr>
          <w:p w14:paraId="40182DFD"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AA9096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1DB24C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42.8</w:t>
            </w:r>
          </w:p>
        </w:tc>
        <w:tc>
          <w:tcPr>
            <w:tcW w:w="964" w:type="dxa"/>
          </w:tcPr>
          <w:p w14:paraId="0F1F27D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3947F70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54.4</w:t>
            </w:r>
          </w:p>
        </w:tc>
      </w:tr>
      <w:tr w:rsidR="00824558" w14:paraId="13E28313"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07924E4" w14:textId="77777777" w:rsidR="00824558" w:rsidRDefault="00824558" w:rsidP="002B00B9">
            <w:pPr>
              <w:ind w:left="170"/>
            </w:pPr>
            <w:r>
              <w:rPr>
                <w:i/>
              </w:rPr>
              <w:t xml:space="preserve">The 2025-26 expected outcome is better than the 2025-26 target due to a sustained focus to reduce timeframes for issuing reports and ratings. </w:t>
            </w:r>
          </w:p>
          <w:p w14:paraId="72892F25" w14:textId="77777777" w:rsidR="00824558" w:rsidRDefault="00824558" w:rsidP="002B00B9">
            <w:pPr>
              <w:ind w:left="170"/>
            </w:pPr>
            <w:r>
              <w:rPr>
                <w:i/>
              </w:rPr>
              <w:t xml:space="preserve">This performance measure relates to the calendar year. </w:t>
            </w:r>
          </w:p>
        </w:tc>
      </w:tr>
      <w:tr w:rsidR="00824558" w:rsidRPr="00DC0EBC" w14:paraId="52C89588" w14:textId="77777777" w:rsidTr="004C29CE">
        <w:tc>
          <w:tcPr>
            <w:cnfStyle w:val="001000000000" w:firstRow="0" w:lastRow="0" w:firstColumn="1" w:lastColumn="0" w:oddVBand="0" w:evenVBand="0" w:oddHBand="0" w:evenHBand="0" w:firstRowFirstColumn="0" w:firstRowLastColumn="0" w:lastRowFirstColumn="0" w:lastRowLastColumn="0"/>
            <w:tcW w:w="9639" w:type="dxa"/>
            <w:gridSpan w:val="6"/>
          </w:tcPr>
          <w:p w14:paraId="73CB2147" w14:textId="77777777" w:rsidR="00824558" w:rsidRPr="00DC0EBC" w:rsidRDefault="00824558" w:rsidP="002B00B9">
            <w:pPr>
              <w:keepNext/>
              <w:rPr>
                <w:b/>
              </w:rPr>
            </w:pPr>
            <w:r w:rsidRPr="00DC0EBC">
              <w:rPr>
                <w:b/>
              </w:rPr>
              <w:t>Cost</w:t>
            </w:r>
          </w:p>
        </w:tc>
      </w:tr>
      <w:tr w:rsidR="00824558" w14:paraId="0BA0E924" w14:textId="77777777" w:rsidTr="00BE0607">
        <w:tc>
          <w:tcPr>
            <w:cnfStyle w:val="001000000000" w:firstRow="0" w:lastRow="0" w:firstColumn="1" w:lastColumn="0" w:oddVBand="0" w:evenVBand="0" w:oddHBand="0" w:evenHBand="0" w:firstRowFirstColumn="0" w:firstRowLastColumn="0" w:lastRowFirstColumn="0" w:lastRowLastColumn="0"/>
            <w:tcW w:w="4819" w:type="dxa"/>
          </w:tcPr>
          <w:p w14:paraId="741D5C3E" w14:textId="77777777" w:rsidR="00824558" w:rsidRDefault="00824558" w:rsidP="002B00B9">
            <w:pPr>
              <w:keepNext/>
              <w:ind w:left="170"/>
            </w:pPr>
            <w:r>
              <w:t>Total output cost</w:t>
            </w:r>
          </w:p>
        </w:tc>
        <w:tc>
          <w:tcPr>
            <w:tcW w:w="964" w:type="dxa"/>
          </w:tcPr>
          <w:p w14:paraId="2568AE8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BFD7D7D" w14:textId="75193478" w:rsidR="00824558" w:rsidRPr="00E501BA" w:rsidRDefault="00614983"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994.1</w:t>
            </w:r>
          </w:p>
        </w:tc>
        <w:tc>
          <w:tcPr>
            <w:tcW w:w="964" w:type="dxa"/>
          </w:tcPr>
          <w:p w14:paraId="06C40093" w14:textId="10A2957C" w:rsidR="00824558" w:rsidRPr="00E501BA" w:rsidRDefault="00BE0607"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653.9</w:t>
            </w:r>
          </w:p>
        </w:tc>
        <w:tc>
          <w:tcPr>
            <w:tcW w:w="964" w:type="dxa"/>
          </w:tcPr>
          <w:p w14:paraId="2856CAE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772.8</w:t>
            </w:r>
          </w:p>
        </w:tc>
        <w:tc>
          <w:tcPr>
            <w:tcW w:w="964" w:type="dxa"/>
          </w:tcPr>
          <w:p w14:paraId="24B33FB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589.5</w:t>
            </w:r>
          </w:p>
        </w:tc>
      </w:tr>
      <w:tr w:rsidR="00BE0607" w14:paraId="48023231" w14:textId="77777777" w:rsidTr="0053192B">
        <w:tc>
          <w:tcPr>
            <w:cnfStyle w:val="001000000000" w:firstRow="0" w:lastRow="0" w:firstColumn="1" w:lastColumn="0" w:oddVBand="0" w:evenVBand="0" w:oddHBand="0" w:evenHBand="0" w:firstRowFirstColumn="0" w:firstRowLastColumn="0" w:lastRowFirstColumn="0" w:lastRowLastColumn="0"/>
            <w:tcW w:w="9639" w:type="dxa"/>
            <w:gridSpan w:val="6"/>
          </w:tcPr>
          <w:p w14:paraId="77E930CD" w14:textId="7BDC2D8A" w:rsidR="00BE0607" w:rsidRDefault="0053192B" w:rsidP="0053192B">
            <w:pPr>
              <w:ind w:left="170"/>
            </w:pPr>
            <w:r w:rsidRPr="00C547A0">
              <w:rPr>
                <w:i/>
              </w:rPr>
              <w:t>The lower 2025-26 expected outcome primarily reflects rephasing of funding from 2025-26 into 2026-27 to meet project implementation timelines.</w:t>
            </w:r>
          </w:p>
        </w:tc>
      </w:tr>
      <w:tr w:rsidR="0053192B" w14:paraId="3E4ED31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869CF9E" w14:textId="6CA7F63B" w:rsidR="0053192B" w:rsidRPr="00C547A0" w:rsidRDefault="00364B9C" w:rsidP="0053192B">
            <w:pPr>
              <w:ind w:left="170"/>
              <w:rPr>
                <w:i/>
              </w:rPr>
            </w:pPr>
            <w:r w:rsidRPr="00882F2C">
              <w:rPr>
                <w:i/>
              </w:rPr>
              <w:t>The higher 2026-27 target primarily reflects investments in sector supports to enable Best Start, Best Life delivery and increased investment in Early Childhood Regulation.</w:t>
            </w:r>
          </w:p>
        </w:tc>
      </w:tr>
    </w:tbl>
    <w:p w14:paraId="5A5FB945" w14:textId="77777777" w:rsidR="00824558" w:rsidRDefault="00824558" w:rsidP="008C5594">
      <w:pPr>
        <w:pStyle w:val="Source"/>
      </w:pPr>
      <w:r>
        <w:t>Source: Department of Education</w:t>
      </w:r>
    </w:p>
    <w:p w14:paraId="25537E69" w14:textId="77777777" w:rsidR="00824558" w:rsidRDefault="00824558" w:rsidP="004A6D30"/>
    <w:p w14:paraId="0F253CAB" w14:textId="77777777" w:rsidR="00824558" w:rsidRPr="006965F9" w:rsidRDefault="00824558" w:rsidP="00845356">
      <w:pPr>
        <w:pStyle w:val="ShadedBoxHeading"/>
      </w:pPr>
      <w:r w:rsidRPr="006965F9">
        <w:t>Objective 2: Raise learning, development, engagement and wellbeing outcomes for all Victorian students</w:t>
      </w:r>
    </w:p>
    <w:p w14:paraId="22951A47" w14:textId="77777777" w:rsidR="00824558" w:rsidRPr="006965F9" w:rsidRDefault="00824558" w:rsidP="00845356">
      <w:pPr>
        <w:pStyle w:val="ShadedBoxText"/>
      </w:pPr>
      <w:r w:rsidRPr="006965F9">
        <w:t>The departmental objective indicators are:</w:t>
      </w:r>
    </w:p>
    <w:p w14:paraId="4D1DEB6F" w14:textId="77777777" w:rsidR="00824558" w:rsidRPr="006965F9" w:rsidRDefault="00824558" w:rsidP="00845356">
      <w:pPr>
        <w:pStyle w:val="ShadedBoxBullet"/>
        <w:contextualSpacing/>
      </w:pPr>
      <w:r w:rsidRPr="006965F9">
        <w:t>students are improving their literacy and numeracy skills</w:t>
      </w:r>
    </w:p>
    <w:p w14:paraId="0FDDF2C5" w14:textId="77777777" w:rsidR="00824558" w:rsidRPr="006965F9" w:rsidRDefault="00824558" w:rsidP="00845356">
      <w:pPr>
        <w:pStyle w:val="ShadedBoxBullet"/>
        <w:contextualSpacing/>
      </w:pPr>
      <w:r w:rsidRPr="006965F9">
        <w:t>students are connected to schooling</w:t>
      </w:r>
    </w:p>
    <w:p w14:paraId="50B72331" w14:textId="77777777" w:rsidR="00824558" w:rsidRPr="006965F9" w:rsidRDefault="00824558" w:rsidP="00845356">
      <w:pPr>
        <w:pStyle w:val="ShadedBoxBullet"/>
        <w:contextualSpacing/>
      </w:pPr>
      <w:r w:rsidRPr="006965F9">
        <w:t>students progress to employment, training or further education post-school.</w:t>
      </w:r>
    </w:p>
    <w:p w14:paraId="1CCDEE69" w14:textId="77777777" w:rsidR="00824558" w:rsidRDefault="00824558" w:rsidP="004850F8">
      <w:pPr>
        <w:pStyle w:val="Heading3"/>
      </w:pPr>
      <w:r>
        <w:t>Outputs</w:t>
      </w:r>
    </w:p>
    <w:p w14:paraId="2340034B" w14:textId="5AEB61A1" w:rsidR="00824558" w:rsidRDefault="00824558" w:rsidP="004850F8">
      <w:pPr>
        <w:pStyle w:val="Heading3"/>
      </w:pPr>
      <w:r>
        <w:t>School Education</w:t>
      </w:r>
      <w:r w:rsidR="007942D1">
        <w:t xml:space="preserve"> – </w:t>
      </w:r>
      <w:r>
        <w:t>Primary</w:t>
      </w:r>
      <w:r>
        <w:tab/>
        <w:t>(2026-27: $</w:t>
      </w:r>
      <w:r w:rsidR="00E86A64" w:rsidRPr="00B8291C">
        <w:t>5 492.7</w:t>
      </w:r>
      <w:r>
        <w:t xml:space="preserve"> million)</w:t>
      </w:r>
    </w:p>
    <w:p w14:paraId="69CB2338" w14:textId="77777777" w:rsidR="00824558" w:rsidRPr="002627D5" w:rsidRDefault="00824558" w:rsidP="002627D5">
      <w:pPr>
        <w:keepNext/>
        <w:spacing w:after="120"/>
        <w:rPr>
          <w:rFonts w:ascii="Garamond" w:eastAsia="Garamond" w:hAnsi="Garamond"/>
        </w:rPr>
      </w:pPr>
      <w:r w:rsidRPr="006965F9">
        <w:rPr>
          <w:rFonts w:ascii="Garamond" w:eastAsia="Garamond" w:hAnsi="Garamond"/>
        </w:rPr>
        <w:t>The School Education – Primary output provides services to develop essential skills and learning experiences to engage young minds and improve the quality of learning of students in Prep to Year 6 in government and non</w:t>
      </w:r>
      <w:r w:rsidRPr="006965F9">
        <w:rPr>
          <w:rFonts w:ascii="Garamond" w:eastAsia="Garamond" w:hAnsi="Garamond"/>
        </w:rPr>
        <w:noBreakHyphen/>
        <w:t xml:space="preserve">government schools. Primary school education develops student literacy and numeracy competencies, as well as creative and critical thinking, and physical, social, emotional and intellectual development in childhood. It also includes developing student engagement with school and the value of learning. </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7F2CD5C" w14:textId="77777777" w:rsidTr="00C76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113066B" w14:textId="77777777" w:rsidR="00824558" w:rsidRDefault="00824558" w:rsidP="002B00B9">
            <w:r>
              <w:t>Performance measure</w:t>
            </w:r>
          </w:p>
        </w:tc>
        <w:tc>
          <w:tcPr>
            <w:tcW w:w="964" w:type="dxa"/>
          </w:tcPr>
          <w:p w14:paraId="41EA0000"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90EE4A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B65CC27"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B55E1F0"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8C991FF"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464481" w14:paraId="1BA4147C"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48BD2793" w14:textId="77777777" w:rsidR="00824558" w:rsidRPr="00464481" w:rsidRDefault="00824558" w:rsidP="002B00B9">
            <w:pPr>
              <w:keepNext/>
              <w:rPr>
                <w:b/>
                <w:bCs/>
                <w:iCs/>
              </w:rPr>
            </w:pPr>
            <w:r w:rsidRPr="00464481">
              <w:rPr>
                <w:b/>
                <w:bCs/>
                <w:iCs/>
              </w:rPr>
              <w:t>Quantity</w:t>
            </w:r>
          </w:p>
        </w:tc>
      </w:tr>
      <w:tr w:rsidR="00824558" w14:paraId="611177D7" w14:textId="77777777" w:rsidTr="00612D7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B2A9F9" w14:textId="77777777" w:rsidR="00824558" w:rsidRDefault="00824558" w:rsidP="002B00B9">
            <w:pPr>
              <w:keepNext/>
              <w:ind w:left="170"/>
            </w:pPr>
            <w:r>
              <w:t>Investment in non-government schools (primary)</w:t>
            </w:r>
          </w:p>
        </w:tc>
        <w:tc>
          <w:tcPr>
            <w:tcW w:w="964" w:type="dxa"/>
            <w:tcBorders>
              <w:bottom w:val="single" w:sz="6" w:space="0" w:color="auto"/>
            </w:tcBorders>
          </w:tcPr>
          <w:p w14:paraId="612F6F86"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73D65F1D" w14:textId="02AD812E" w:rsidR="00824558" w:rsidRDefault="003D2D03" w:rsidP="002B00B9">
            <w:pPr>
              <w:cnfStyle w:val="000000000000" w:firstRow="0" w:lastRow="0" w:firstColumn="0" w:lastColumn="0" w:oddVBand="0" w:evenVBand="0" w:oddHBand="0" w:evenHBand="0" w:firstRowFirstColumn="0" w:firstRowLastColumn="0" w:lastRowFirstColumn="0" w:lastRowLastColumn="0"/>
            </w:pPr>
            <w:r w:rsidRPr="003D2D03">
              <w:t>550.1</w:t>
            </w:r>
          </w:p>
        </w:tc>
        <w:tc>
          <w:tcPr>
            <w:tcW w:w="964" w:type="dxa"/>
            <w:tcBorders>
              <w:bottom w:val="single" w:sz="6" w:space="0" w:color="auto"/>
            </w:tcBorders>
          </w:tcPr>
          <w:p w14:paraId="020BD55F" w14:textId="7683DAC9" w:rsidR="00824558" w:rsidRDefault="00376E6B" w:rsidP="002B00B9">
            <w:pPr>
              <w:cnfStyle w:val="000000000000" w:firstRow="0" w:lastRow="0" w:firstColumn="0" w:lastColumn="0" w:oddVBand="0" w:evenVBand="0" w:oddHBand="0" w:evenHBand="0" w:firstRowFirstColumn="0" w:firstRowLastColumn="0" w:lastRowFirstColumn="0" w:lastRowLastColumn="0"/>
            </w:pPr>
            <w:r w:rsidRPr="00376E6B">
              <w:t>513.1</w:t>
            </w:r>
          </w:p>
        </w:tc>
        <w:tc>
          <w:tcPr>
            <w:tcW w:w="964" w:type="dxa"/>
            <w:tcBorders>
              <w:bottom w:val="single" w:sz="6" w:space="0" w:color="auto"/>
            </w:tcBorders>
          </w:tcPr>
          <w:p w14:paraId="1B055E7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526.4</w:t>
            </w:r>
          </w:p>
        </w:tc>
        <w:tc>
          <w:tcPr>
            <w:tcW w:w="964" w:type="dxa"/>
            <w:tcBorders>
              <w:bottom w:val="single" w:sz="6" w:space="0" w:color="auto"/>
            </w:tcBorders>
          </w:tcPr>
          <w:p w14:paraId="3806344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562.1</w:t>
            </w:r>
          </w:p>
        </w:tc>
      </w:tr>
      <w:tr w:rsidR="00824558" w14:paraId="242855A3" w14:textId="77777777" w:rsidTr="00612D75">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4E15A2C7" w14:textId="77777777" w:rsidR="00824558" w:rsidRDefault="00824558" w:rsidP="002B00B9">
            <w:pPr>
              <w:keepNext/>
              <w:ind w:left="170"/>
            </w:pPr>
            <w:r>
              <w:t>Number of Year 1 Phonics Checks administered</w:t>
            </w:r>
          </w:p>
        </w:tc>
        <w:tc>
          <w:tcPr>
            <w:tcW w:w="964" w:type="dxa"/>
            <w:tcBorders>
              <w:top w:val="single" w:sz="6" w:space="0" w:color="auto"/>
            </w:tcBorders>
          </w:tcPr>
          <w:p w14:paraId="2F128B87"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757F8EB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43 000</w:t>
            </w:r>
          </w:p>
        </w:tc>
        <w:tc>
          <w:tcPr>
            <w:tcW w:w="964" w:type="dxa"/>
            <w:tcBorders>
              <w:top w:val="single" w:sz="6" w:space="0" w:color="auto"/>
            </w:tcBorders>
          </w:tcPr>
          <w:p w14:paraId="3992BFB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top w:val="single" w:sz="6" w:space="0" w:color="auto"/>
            </w:tcBorders>
          </w:tcPr>
          <w:p w14:paraId="4DD0F8F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top w:val="single" w:sz="6" w:space="0" w:color="auto"/>
            </w:tcBorders>
          </w:tcPr>
          <w:p w14:paraId="64EAF0E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13E32608"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6A1CE4" w14:textId="228E8F77" w:rsidR="00824558" w:rsidRDefault="00824558" w:rsidP="002B00B9">
            <w:pPr>
              <w:ind w:left="170"/>
            </w:pPr>
            <w:r>
              <w:rPr>
                <w:i/>
              </w:rPr>
              <w:t>This performance measure relates to the calendar year. This performance measure refers to government schools only. New</w:t>
            </w:r>
            <w:r w:rsidR="000211EB">
              <w:rPr>
                <w:i/>
              </w:rPr>
              <w:t> </w:t>
            </w:r>
            <w:r>
              <w:rPr>
                <w:i/>
              </w:rPr>
              <w:t>performance measure for 2026-27 to reflect new mandatory Year 1 Phonics Check assessment.</w:t>
            </w:r>
          </w:p>
        </w:tc>
      </w:tr>
      <w:tr w:rsidR="00824558" w:rsidRPr="00464481" w14:paraId="29AA45AA"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0C36B429" w14:textId="77777777" w:rsidR="00824558" w:rsidRPr="00464481" w:rsidRDefault="00824558" w:rsidP="002B00B9">
            <w:pPr>
              <w:keepNext/>
              <w:rPr>
                <w:b/>
                <w:bCs/>
                <w:iCs/>
              </w:rPr>
            </w:pPr>
            <w:r w:rsidRPr="00464481">
              <w:rPr>
                <w:b/>
                <w:bCs/>
                <w:iCs/>
              </w:rPr>
              <w:t>Quality</w:t>
            </w:r>
          </w:p>
        </w:tc>
      </w:tr>
      <w:tr w:rsidR="00824558" w14:paraId="7DE97E6C"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43F4A27" w14:textId="77777777" w:rsidR="00824558" w:rsidRDefault="00824558" w:rsidP="002B00B9">
            <w:pPr>
              <w:keepNext/>
              <w:ind w:left="170"/>
            </w:pPr>
            <w:r>
              <w:t>Attendance rate, all schools, Years 1 to 6</w:t>
            </w:r>
          </w:p>
        </w:tc>
        <w:tc>
          <w:tcPr>
            <w:tcW w:w="964" w:type="dxa"/>
          </w:tcPr>
          <w:p w14:paraId="0B0C60E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4EE7A9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7BE2230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90.2</w:t>
            </w:r>
          </w:p>
        </w:tc>
        <w:tc>
          <w:tcPr>
            <w:tcW w:w="964" w:type="dxa"/>
          </w:tcPr>
          <w:p w14:paraId="2D66056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3DEB109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90.1</w:t>
            </w:r>
          </w:p>
        </w:tc>
      </w:tr>
      <w:tr w:rsidR="00824558" w14:paraId="08CF69AA"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1A3ED33" w14:textId="11A76299" w:rsidR="00824558" w:rsidRDefault="00824558" w:rsidP="002B00B9">
            <w:pPr>
              <w:ind w:left="170"/>
            </w:pPr>
            <w:r>
              <w:rPr>
                <w:i/>
              </w:rPr>
              <w:t>This performance measure relates to the calendar year.</w:t>
            </w:r>
          </w:p>
        </w:tc>
      </w:tr>
      <w:tr w:rsidR="00824558" w14:paraId="6F5DE975"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81551B7" w14:textId="77777777" w:rsidR="00824558" w:rsidRDefault="00824558" w:rsidP="002B00B9">
            <w:pPr>
              <w:keepNext/>
              <w:ind w:left="170"/>
            </w:pPr>
            <w:r>
              <w:t>Percentage of Government primary school teachers in ongoing employment</w:t>
            </w:r>
          </w:p>
        </w:tc>
        <w:tc>
          <w:tcPr>
            <w:tcW w:w="964" w:type="dxa"/>
          </w:tcPr>
          <w:p w14:paraId="04EC85E1"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0D8C0E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66D039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85.5</w:t>
            </w:r>
          </w:p>
        </w:tc>
        <w:tc>
          <w:tcPr>
            <w:tcW w:w="964" w:type="dxa"/>
          </w:tcPr>
          <w:p w14:paraId="6F2EC93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0EA80D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r>
      <w:tr w:rsidR="00824558" w14:paraId="39F35BEC"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D22B9D" w14:textId="096E3EA2" w:rsidR="00824558" w:rsidRDefault="00824558" w:rsidP="002B00B9">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increases in the proportion of teachers hired to ongoing roles and the translation of fixed-term employees to ongoing employment to support attraction and retention of teachers. </w:t>
            </w:r>
          </w:p>
          <w:p w14:paraId="19DFCE20" w14:textId="77777777" w:rsidR="00824558" w:rsidRDefault="00824558" w:rsidP="002B00B9">
            <w:pPr>
              <w:ind w:left="170"/>
            </w:pPr>
            <w:r>
              <w:rPr>
                <w:i/>
              </w:rPr>
              <w:t xml:space="preserve">This performance measure relates to the calendar year. </w:t>
            </w:r>
          </w:p>
        </w:tc>
      </w:tr>
      <w:tr w:rsidR="00824558" w14:paraId="08DFFFB5"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81A37DA" w14:textId="77777777" w:rsidR="00824558" w:rsidRDefault="00824558" w:rsidP="002B00B9">
            <w:pPr>
              <w:keepNext/>
              <w:ind w:left="170"/>
            </w:pPr>
            <w:r>
              <w:t>Percentage of positive responses to school satisfaction by parents of government primary school students</w:t>
            </w:r>
          </w:p>
        </w:tc>
        <w:tc>
          <w:tcPr>
            <w:tcW w:w="964" w:type="dxa"/>
          </w:tcPr>
          <w:p w14:paraId="30DD7087"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A32A5B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40C199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82</w:t>
            </w:r>
          </w:p>
        </w:tc>
        <w:tc>
          <w:tcPr>
            <w:tcW w:w="964" w:type="dxa"/>
          </w:tcPr>
          <w:p w14:paraId="1F3DE9C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53F4FA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81.6</w:t>
            </w:r>
          </w:p>
        </w:tc>
      </w:tr>
      <w:tr w:rsidR="00824558" w14:paraId="7A71A20F"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617928" w14:textId="5D7E38CF" w:rsidR="00824558" w:rsidRDefault="00824558" w:rsidP="002B00B9">
            <w:pPr>
              <w:ind w:left="170"/>
            </w:pPr>
            <w:r>
              <w:rPr>
                <w:i/>
              </w:rPr>
              <w:t>This performance measure relates to the calendar year.</w:t>
            </w:r>
          </w:p>
        </w:tc>
      </w:tr>
      <w:tr w:rsidR="00824558" w14:paraId="7762C103"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746311EE" w14:textId="77777777" w:rsidR="00824558" w:rsidRDefault="00824558" w:rsidP="002B00B9">
            <w:pPr>
              <w:keepNext/>
              <w:ind w:left="170"/>
            </w:pPr>
            <w:r>
              <w:t>Percentage of students strong and exceeding in Year 3 Numeracy (NAPLAN)</w:t>
            </w:r>
          </w:p>
        </w:tc>
        <w:tc>
          <w:tcPr>
            <w:tcW w:w="964" w:type="dxa"/>
          </w:tcPr>
          <w:p w14:paraId="17B3DAA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9D8615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64.7</w:t>
            </w:r>
          </w:p>
        </w:tc>
        <w:tc>
          <w:tcPr>
            <w:tcW w:w="964" w:type="dxa"/>
          </w:tcPr>
          <w:p w14:paraId="2D1ACED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69.8</w:t>
            </w:r>
          </w:p>
        </w:tc>
        <w:tc>
          <w:tcPr>
            <w:tcW w:w="964" w:type="dxa"/>
          </w:tcPr>
          <w:p w14:paraId="787E33E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64.7</w:t>
            </w:r>
          </w:p>
        </w:tc>
        <w:tc>
          <w:tcPr>
            <w:tcW w:w="964" w:type="dxa"/>
          </w:tcPr>
          <w:p w14:paraId="1C9ABD7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67.7</w:t>
            </w:r>
          </w:p>
        </w:tc>
      </w:tr>
      <w:tr w:rsidR="00824558" w14:paraId="3DD02AEB"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29380EF" w14:textId="77777777" w:rsidR="00824558" w:rsidRDefault="00824558" w:rsidP="002B00B9">
            <w:pPr>
              <w:ind w:left="170"/>
            </w:pPr>
            <w:r>
              <w:rPr>
                <w:i/>
              </w:rPr>
              <w:t xml:space="preserve">NAPLAN results, as with any assessment measure, are subject to a small margin of error. This is reflected in an estimated confidence interval of ±0.9 percentage points which is specific to the measure in 2025. </w:t>
            </w:r>
          </w:p>
          <w:p w14:paraId="0FC61995" w14:textId="4E564400" w:rsidR="00824558" w:rsidRDefault="00824558" w:rsidP="002B00B9">
            <w:pPr>
              <w:ind w:left="170"/>
            </w:pPr>
            <w:r>
              <w:rPr>
                <w:i/>
              </w:rPr>
              <w:t>This performance measure relates to the calendar year.</w:t>
            </w:r>
          </w:p>
        </w:tc>
      </w:tr>
      <w:tr w:rsidR="00824558" w14:paraId="22953338"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760B3F47" w14:textId="77777777" w:rsidR="00824558" w:rsidRDefault="00824558" w:rsidP="002B00B9">
            <w:pPr>
              <w:keepNext/>
              <w:ind w:left="170"/>
            </w:pPr>
            <w:r>
              <w:lastRenderedPageBreak/>
              <w:t>Percentage of students strong and exceeding in Year 3 Reading (NAPLAN)</w:t>
            </w:r>
          </w:p>
        </w:tc>
        <w:tc>
          <w:tcPr>
            <w:tcW w:w="964" w:type="dxa"/>
          </w:tcPr>
          <w:p w14:paraId="288772B1"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F47B95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66.8</w:t>
            </w:r>
          </w:p>
        </w:tc>
        <w:tc>
          <w:tcPr>
            <w:tcW w:w="964" w:type="dxa"/>
          </w:tcPr>
          <w:p w14:paraId="2D9EB5B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71.4</w:t>
            </w:r>
          </w:p>
        </w:tc>
        <w:tc>
          <w:tcPr>
            <w:tcW w:w="964" w:type="dxa"/>
          </w:tcPr>
          <w:p w14:paraId="3CAE2FC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66.8</w:t>
            </w:r>
          </w:p>
        </w:tc>
        <w:tc>
          <w:tcPr>
            <w:tcW w:w="964" w:type="dxa"/>
          </w:tcPr>
          <w:p w14:paraId="016BE0A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71.2</w:t>
            </w:r>
          </w:p>
        </w:tc>
      </w:tr>
      <w:tr w:rsidR="00824558" w14:paraId="5D03519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0DA9DB2" w14:textId="77777777" w:rsidR="00824558" w:rsidRDefault="00824558" w:rsidP="002B00B9">
            <w:pPr>
              <w:ind w:left="170"/>
            </w:pPr>
            <w:r>
              <w:rPr>
                <w:i/>
              </w:rPr>
              <w:t xml:space="preserve">NAPLAN results, as with any assessment measure, are subject to a small margin of error. This is reflected in an estimated confidence interval of ±0.9 percentage points which is specific to the measure in 2025. </w:t>
            </w:r>
          </w:p>
          <w:p w14:paraId="6DE09D66" w14:textId="5E7B95EE" w:rsidR="00824558" w:rsidRDefault="00824558" w:rsidP="002B00B9">
            <w:pPr>
              <w:ind w:left="170"/>
            </w:pPr>
            <w:r>
              <w:rPr>
                <w:i/>
              </w:rPr>
              <w:t>This performance measure relates to the calendar year.</w:t>
            </w:r>
          </w:p>
        </w:tc>
      </w:tr>
      <w:tr w:rsidR="00824558" w14:paraId="0734B6D3"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35DA0F6" w14:textId="77777777" w:rsidR="00824558" w:rsidRDefault="00824558" w:rsidP="002B00B9">
            <w:pPr>
              <w:keepNext/>
              <w:ind w:left="170"/>
            </w:pPr>
            <w:r>
              <w:t>Percentage of students strong and exceeding in Year 5 Numeracy (NAPLAN)</w:t>
            </w:r>
          </w:p>
        </w:tc>
        <w:tc>
          <w:tcPr>
            <w:tcW w:w="964" w:type="dxa"/>
          </w:tcPr>
          <w:p w14:paraId="19F4E36C"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C568D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68.9</w:t>
            </w:r>
          </w:p>
        </w:tc>
        <w:tc>
          <w:tcPr>
            <w:tcW w:w="964" w:type="dxa"/>
          </w:tcPr>
          <w:p w14:paraId="4A5412A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73.4</w:t>
            </w:r>
          </w:p>
        </w:tc>
        <w:tc>
          <w:tcPr>
            <w:tcW w:w="964" w:type="dxa"/>
          </w:tcPr>
          <w:p w14:paraId="165CE8B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67.7</w:t>
            </w:r>
          </w:p>
        </w:tc>
        <w:tc>
          <w:tcPr>
            <w:tcW w:w="964" w:type="dxa"/>
          </w:tcPr>
          <w:p w14:paraId="0557751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71.1</w:t>
            </w:r>
          </w:p>
        </w:tc>
      </w:tr>
      <w:tr w:rsidR="00824558" w14:paraId="162E25CE"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C56759A" w14:textId="77777777" w:rsidR="00824558" w:rsidRDefault="00824558" w:rsidP="002B00B9">
            <w:pPr>
              <w:ind w:left="170"/>
            </w:pPr>
            <w:r>
              <w:rPr>
                <w:i/>
              </w:rPr>
              <w:t xml:space="preserve">NAPLAN results, as with any assessment measure, are subject to a small margin of error. This is reflected in an estimated confidence interval of ±0.9 percentage points which is specific to the measure in 2025. </w:t>
            </w:r>
          </w:p>
          <w:p w14:paraId="6BEA4A38" w14:textId="77777777" w:rsidR="00824558" w:rsidRDefault="00824558" w:rsidP="002B00B9">
            <w:pPr>
              <w:ind w:left="170"/>
            </w:pPr>
            <w:r>
              <w:rPr>
                <w:i/>
              </w:rPr>
              <w:t>This performance measure relates to the calendar year. The higher 2026-27 target reflects recent gains in national NAPLAN performance in 2025 to which the target is aligned.</w:t>
            </w:r>
          </w:p>
        </w:tc>
      </w:tr>
      <w:tr w:rsidR="00824558" w14:paraId="79E87BCD"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36D1333" w14:textId="77777777" w:rsidR="00824558" w:rsidRDefault="00824558" w:rsidP="002B00B9">
            <w:pPr>
              <w:keepNext/>
              <w:ind w:left="170"/>
            </w:pPr>
            <w:r>
              <w:t>Percentage of students strong and exceeding in Year 5 Reading (NAPLAN)</w:t>
            </w:r>
          </w:p>
        </w:tc>
        <w:tc>
          <w:tcPr>
            <w:tcW w:w="964" w:type="dxa"/>
          </w:tcPr>
          <w:p w14:paraId="0A864A52"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CDDE78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74.2</w:t>
            </w:r>
          </w:p>
        </w:tc>
        <w:tc>
          <w:tcPr>
            <w:tcW w:w="964" w:type="dxa"/>
          </w:tcPr>
          <w:p w14:paraId="4807372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77.6</w:t>
            </w:r>
          </w:p>
        </w:tc>
        <w:tc>
          <w:tcPr>
            <w:tcW w:w="964" w:type="dxa"/>
          </w:tcPr>
          <w:p w14:paraId="57DB8D3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74.2</w:t>
            </w:r>
          </w:p>
        </w:tc>
        <w:tc>
          <w:tcPr>
            <w:tcW w:w="964" w:type="dxa"/>
          </w:tcPr>
          <w:p w14:paraId="1CC62E3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76.4</w:t>
            </w:r>
          </w:p>
        </w:tc>
      </w:tr>
      <w:tr w:rsidR="00824558" w14:paraId="36C5C787"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E256AA" w14:textId="77777777" w:rsidR="00824558" w:rsidRDefault="00824558" w:rsidP="002B00B9">
            <w:pPr>
              <w:ind w:left="170"/>
            </w:pPr>
            <w:r>
              <w:rPr>
                <w:i/>
              </w:rPr>
              <w:t xml:space="preserve">NAPLAN results, as with any assessment measure, are subject to a small margin of error. This is reflected in an estimated confidence interval of ±0.8 percentage points which is specific to the measure in 2025. </w:t>
            </w:r>
          </w:p>
          <w:p w14:paraId="1423A6E1" w14:textId="4633B4CF" w:rsidR="00824558" w:rsidRDefault="00824558" w:rsidP="002B00B9">
            <w:pPr>
              <w:ind w:left="170"/>
            </w:pPr>
            <w:r>
              <w:rPr>
                <w:i/>
              </w:rPr>
              <w:t>This performance measure relates to the calendar year.</w:t>
            </w:r>
          </w:p>
        </w:tc>
      </w:tr>
      <w:tr w:rsidR="00824558" w:rsidRPr="00DC0EBC" w14:paraId="5A62952C"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5C844BF3" w14:textId="77777777" w:rsidR="00824558" w:rsidRPr="00DC0EBC" w:rsidRDefault="00824558" w:rsidP="002B00B9">
            <w:pPr>
              <w:keepNext/>
              <w:rPr>
                <w:b/>
              </w:rPr>
            </w:pPr>
            <w:r w:rsidRPr="00DC0EBC">
              <w:rPr>
                <w:b/>
              </w:rPr>
              <w:t>Cost</w:t>
            </w:r>
          </w:p>
        </w:tc>
      </w:tr>
      <w:tr w:rsidR="00824558" w14:paraId="313CFB56" w14:textId="77777777" w:rsidTr="00C76367">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1301A868" w14:textId="77777777" w:rsidR="00824558" w:rsidRDefault="00824558" w:rsidP="002B00B9">
            <w:pPr>
              <w:keepNext/>
              <w:ind w:left="170"/>
            </w:pPr>
            <w:r>
              <w:t>Total output cost</w:t>
            </w:r>
          </w:p>
        </w:tc>
        <w:tc>
          <w:tcPr>
            <w:tcW w:w="964" w:type="dxa"/>
            <w:tcBorders>
              <w:bottom w:val="single" w:sz="12" w:space="0" w:color="auto"/>
            </w:tcBorders>
          </w:tcPr>
          <w:p w14:paraId="41A6551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251ABC0E" w14:textId="5F690EF3" w:rsidR="00824558" w:rsidRPr="00E501BA" w:rsidRDefault="00C20F25"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5 492.7</w:t>
            </w:r>
          </w:p>
        </w:tc>
        <w:tc>
          <w:tcPr>
            <w:tcW w:w="964" w:type="dxa"/>
            <w:tcBorders>
              <w:bottom w:val="single" w:sz="12" w:space="0" w:color="auto"/>
            </w:tcBorders>
          </w:tcPr>
          <w:p w14:paraId="0DAD2C1F" w14:textId="204BF463" w:rsidR="00824558" w:rsidRPr="00E501BA" w:rsidRDefault="00AA3A6D" w:rsidP="002B00B9">
            <w:pPr>
              <w:cnfStyle w:val="000000000000" w:firstRow="0" w:lastRow="0" w:firstColumn="0" w:lastColumn="0" w:oddVBand="0" w:evenVBand="0" w:oddHBand="0" w:evenHBand="0" w:firstRowFirstColumn="0" w:firstRowLastColumn="0" w:lastRowFirstColumn="0" w:lastRowLastColumn="0"/>
              <w:rPr>
                <w:highlight w:val="yellow"/>
              </w:rPr>
            </w:pPr>
            <w:r w:rsidRPr="00AA3A6D">
              <w:t>5 425.3</w:t>
            </w:r>
          </w:p>
        </w:tc>
        <w:tc>
          <w:tcPr>
            <w:tcW w:w="964" w:type="dxa"/>
            <w:tcBorders>
              <w:bottom w:val="single" w:sz="12" w:space="0" w:color="auto"/>
            </w:tcBorders>
          </w:tcPr>
          <w:p w14:paraId="47825C3B" w14:textId="6EAD4679" w:rsidR="00824558" w:rsidRDefault="00824558" w:rsidP="002B00B9">
            <w:pPr>
              <w:cnfStyle w:val="000000000000" w:firstRow="0" w:lastRow="0" w:firstColumn="0" w:lastColumn="0" w:oddVBand="0" w:evenVBand="0" w:oddHBand="0" w:evenHBand="0" w:firstRowFirstColumn="0" w:firstRowLastColumn="0" w:lastRowFirstColumn="0" w:lastRowLastColumn="0"/>
            </w:pPr>
            <w:r>
              <w:t>5</w:t>
            </w:r>
            <w:r w:rsidR="00C8574D">
              <w:t xml:space="preserve"> </w:t>
            </w:r>
            <w:r>
              <w:t>439.6</w:t>
            </w:r>
          </w:p>
        </w:tc>
        <w:tc>
          <w:tcPr>
            <w:tcW w:w="964" w:type="dxa"/>
            <w:tcBorders>
              <w:bottom w:val="single" w:sz="12" w:space="0" w:color="auto"/>
            </w:tcBorders>
          </w:tcPr>
          <w:p w14:paraId="6F191B66" w14:textId="2D6AA0EF" w:rsidR="00824558" w:rsidRDefault="00824558" w:rsidP="002B00B9">
            <w:pPr>
              <w:cnfStyle w:val="000000000000" w:firstRow="0" w:lastRow="0" w:firstColumn="0" w:lastColumn="0" w:oddVBand="0" w:evenVBand="0" w:oddHBand="0" w:evenHBand="0" w:firstRowFirstColumn="0" w:firstRowLastColumn="0" w:lastRowFirstColumn="0" w:lastRowLastColumn="0"/>
            </w:pPr>
            <w:r>
              <w:t>5</w:t>
            </w:r>
            <w:r w:rsidR="00C8574D">
              <w:t xml:space="preserve"> </w:t>
            </w:r>
            <w:r>
              <w:t>390.8</w:t>
            </w:r>
          </w:p>
        </w:tc>
      </w:tr>
    </w:tbl>
    <w:p w14:paraId="45FF3E5A" w14:textId="77777777" w:rsidR="00824558" w:rsidRDefault="00824558" w:rsidP="004850F8">
      <w:pPr>
        <w:pStyle w:val="Source"/>
      </w:pPr>
      <w:r>
        <w:t>Source: Department of Education</w:t>
      </w:r>
    </w:p>
    <w:p w14:paraId="6C07D796" w14:textId="29A86EE5" w:rsidR="00824558" w:rsidRDefault="00824558" w:rsidP="004850F8">
      <w:pPr>
        <w:pStyle w:val="Heading3"/>
      </w:pPr>
      <w:r>
        <w:t>School Education</w:t>
      </w:r>
      <w:r w:rsidR="007942D1">
        <w:t xml:space="preserve"> – </w:t>
      </w:r>
      <w:r>
        <w:t>Secondary</w:t>
      </w:r>
      <w:r>
        <w:tab/>
        <w:t>(2026-27: $</w:t>
      </w:r>
      <w:r w:rsidR="00330EBD" w:rsidRPr="00005E08">
        <w:t>4 759.0</w:t>
      </w:r>
      <w:r>
        <w:t xml:space="preserve"> million)</w:t>
      </w:r>
    </w:p>
    <w:p w14:paraId="03E68DFB" w14:textId="77777777" w:rsidR="00824558" w:rsidRPr="009975DD" w:rsidRDefault="00824558" w:rsidP="009975DD">
      <w:pPr>
        <w:keepNext/>
        <w:spacing w:after="120"/>
        <w:rPr>
          <w:rFonts w:ascii="Garamond" w:eastAsia="Garamond" w:hAnsi="Garamond"/>
        </w:rPr>
      </w:pPr>
      <w:r w:rsidRPr="006965F9">
        <w:rPr>
          <w:rFonts w:ascii="Garamond" w:eastAsia="Garamond" w:hAnsi="Garamond"/>
        </w:rPr>
        <w:t>The School Education – Secondary output involves provision of education and support services designed to improve student learning, development and wellbeing in Years 7 to 12 in government and non-government schools. These seek to consolidate literacy and numeracy competencies including creative and critical thinking, as well as physical, social, emotional and intellectual development in adolescence. It also covers the provision of services to improve pathways to further education, training and employment.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D508A05" w14:textId="77777777" w:rsidTr="00C76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EE18CA8" w14:textId="77777777" w:rsidR="00824558" w:rsidRDefault="00824558" w:rsidP="002B00B9">
            <w:r>
              <w:t>Performance measure</w:t>
            </w:r>
          </w:p>
        </w:tc>
        <w:tc>
          <w:tcPr>
            <w:tcW w:w="964" w:type="dxa"/>
          </w:tcPr>
          <w:p w14:paraId="6DDDE4E4"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4A2F330"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A587C17"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F9D376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D62407A"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464481" w14:paraId="3657D1D8"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45CBCBD7" w14:textId="77777777" w:rsidR="00824558" w:rsidRPr="00464481" w:rsidRDefault="00824558" w:rsidP="002B00B9">
            <w:pPr>
              <w:keepNext/>
              <w:rPr>
                <w:b/>
                <w:bCs/>
                <w:iCs/>
              </w:rPr>
            </w:pPr>
            <w:r w:rsidRPr="00464481">
              <w:rPr>
                <w:b/>
                <w:bCs/>
                <w:iCs/>
              </w:rPr>
              <w:t>Quantity</w:t>
            </w:r>
          </w:p>
        </w:tc>
      </w:tr>
      <w:tr w:rsidR="00824558" w14:paraId="285B1A56"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21A2408" w14:textId="77777777" w:rsidR="00824558" w:rsidRDefault="00824558" w:rsidP="002B00B9">
            <w:pPr>
              <w:keepNext/>
              <w:ind w:left="170"/>
            </w:pPr>
            <w:r>
              <w:t>Government schools with active School Based Apprenticeship and Traineeships (SBAT)</w:t>
            </w:r>
          </w:p>
        </w:tc>
        <w:tc>
          <w:tcPr>
            <w:tcW w:w="964" w:type="dxa"/>
          </w:tcPr>
          <w:p w14:paraId="1FE53B92"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82B22C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280</w:t>
            </w:r>
          </w:p>
        </w:tc>
        <w:tc>
          <w:tcPr>
            <w:tcW w:w="964" w:type="dxa"/>
          </w:tcPr>
          <w:p w14:paraId="69E15AB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299</w:t>
            </w:r>
          </w:p>
        </w:tc>
        <w:tc>
          <w:tcPr>
            <w:tcW w:w="964" w:type="dxa"/>
          </w:tcPr>
          <w:p w14:paraId="05613FE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280</w:t>
            </w:r>
          </w:p>
        </w:tc>
        <w:tc>
          <w:tcPr>
            <w:tcW w:w="964" w:type="dxa"/>
          </w:tcPr>
          <w:p w14:paraId="7EDE11B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288</w:t>
            </w:r>
          </w:p>
        </w:tc>
      </w:tr>
      <w:tr w:rsidR="00824558" w14:paraId="6615E02B" w14:textId="77777777" w:rsidTr="00B4471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A0E2231" w14:textId="77777777" w:rsidR="00824558" w:rsidRDefault="00824558" w:rsidP="002B00B9">
            <w:pPr>
              <w:ind w:left="170"/>
            </w:pPr>
            <w:r>
              <w:rPr>
                <w:i/>
              </w:rPr>
              <w:t xml:space="preserve">The 2025-26 expected outcome is higher than the 2025-26 target due to more schools than anticipated having active SBATs. </w:t>
            </w:r>
          </w:p>
          <w:p w14:paraId="1B42A08C" w14:textId="77777777" w:rsidR="00824558" w:rsidRDefault="00824558" w:rsidP="002B00B9">
            <w:pPr>
              <w:ind w:left="170"/>
            </w:pPr>
            <w:r>
              <w:rPr>
                <w:i/>
              </w:rPr>
              <w:t xml:space="preserve">This performance measure relates to the calendar year. </w:t>
            </w:r>
          </w:p>
        </w:tc>
      </w:tr>
      <w:tr w:rsidR="00824558" w14:paraId="349D1F66" w14:textId="77777777" w:rsidTr="00B44715">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7045AC22" w14:textId="77777777" w:rsidR="00824558" w:rsidRDefault="00824558" w:rsidP="002B00B9">
            <w:pPr>
              <w:keepNext/>
              <w:ind w:left="170"/>
            </w:pPr>
            <w:r>
              <w:t>Investment in non-government schools (secondary)</w:t>
            </w:r>
          </w:p>
        </w:tc>
        <w:tc>
          <w:tcPr>
            <w:tcW w:w="964" w:type="dxa"/>
            <w:tcBorders>
              <w:top w:val="single" w:sz="6" w:space="0" w:color="auto"/>
              <w:bottom w:val="nil"/>
            </w:tcBorders>
          </w:tcPr>
          <w:p w14:paraId="3BE97E60"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single" w:sz="6" w:space="0" w:color="auto"/>
              <w:bottom w:val="nil"/>
            </w:tcBorders>
            <w:shd w:val="clear" w:color="auto" w:fill="F0F0F0"/>
          </w:tcPr>
          <w:p w14:paraId="07A2039E" w14:textId="1346C40D" w:rsidR="00824558" w:rsidRPr="00863578" w:rsidRDefault="002D17FB" w:rsidP="002B00B9">
            <w:pPr>
              <w:cnfStyle w:val="000000000000" w:firstRow="0" w:lastRow="0" w:firstColumn="0" w:lastColumn="0" w:oddVBand="0" w:evenVBand="0" w:oddHBand="0" w:evenHBand="0" w:firstRowFirstColumn="0" w:firstRowLastColumn="0" w:lastRowFirstColumn="0" w:lastRowLastColumn="0"/>
            </w:pPr>
            <w:r w:rsidRPr="00863578">
              <w:t>618.0</w:t>
            </w:r>
          </w:p>
        </w:tc>
        <w:tc>
          <w:tcPr>
            <w:tcW w:w="964" w:type="dxa"/>
            <w:tcBorders>
              <w:top w:val="single" w:sz="6" w:space="0" w:color="auto"/>
              <w:bottom w:val="nil"/>
            </w:tcBorders>
          </w:tcPr>
          <w:p w14:paraId="6D717699" w14:textId="7DE1C94D" w:rsidR="00824558" w:rsidRPr="00863578" w:rsidRDefault="002D17FB" w:rsidP="002B00B9">
            <w:pPr>
              <w:cnfStyle w:val="000000000000" w:firstRow="0" w:lastRow="0" w:firstColumn="0" w:lastColumn="0" w:oddVBand="0" w:evenVBand="0" w:oddHBand="0" w:evenHBand="0" w:firstRowFirstColumn="0" w:firstRowLastColumn="0" w:lastRowFirstColumn="0" w:lastRowLastColumn="0"/>
            </w:pPr>
            <w:r w:rsidRPr="00863578">
              <w:t>576.5</w:t>
            </w:r>
          </w:p>
        </w:tc>
        <w:tc>
          <w:tcPr>
            <w:tcW w:w="964" w:type="dxa"/>
            <w:tcBorders>
              <w:top w:val="single" w:sz="6" w:space="0" w:color="auto"/>
              <w:bottom w:val="nil"/>
            </w:tcBorders>
          </w:tcPr>
          <w:p w14:paraId="34DFC03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582.1</w:t>
            </w:r>
          </w:p>
        </w:tc>
        <w:tc>
          <w:tcPr>
            <w:tcW w:w="964" w:type="dxa"/>
            <w:tcBorders>
              <w:top w:val="single" w:sz="6" w:space="0" w:color="auto"/>
              <w:bottom w:val="nil"/>
            </w:tcBorders>
          </w:tcPr>
          <w:p w14:paraId="06DF03B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621.6</w:t>
            </w:r>
          </w:p>
        </w:tc>
      </w:tr>
      <w:tr w:rsidR="00863578" w14:paraId="291547E0" w14:textId="77777777" w:rsidTr="00B44715">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505D5F13" w14:textId="130EC9B9" w:rsidR="00863578" w:rsidRDefault="00863578" w:rsidP="00863578">
            <w:pPr>
              <w:ind w:left="170"/>
            </w:pPr>
            <w:r w:rsidRPr="00863578">
              <w:rPr>
                <w:i/>
              </w:rPr>
              <w:t>The higher 2026-27 target primarily reflects enrolment growth and funding rephased into 2026-27 from 2025-26.</w:t>
            </w:r>
          </w:p>
        </w:tc>
      </w:tr>
      <w:tr w:rsidR="00824558" w14:paraId="197109C8" w14:textId="77777777" w:rsidTr="00612D75">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7498E9FE" w14:textId="77777777" w:rsidR="00824558" w:rsidRDefault="00824558" w:rsidP="002B00B9">
            <w:pPr>
              <w:keepNext/>
              <w:ind w:left="170"/>
            </w:pPr>
            <w:r>
              <w:t xml:space="preserve">Number of government schools providing access to at least 6 </w:t>
            </w:r>
            <w:r w:rsidRPr="00A24FDC">
              <w:t xml:space="preserve">VET Delivered to Secondary Students </w:t>
            </w:r>
            <w:r>
              <w:t>(VDSS) certificates within the priority pathways</w:t>
            </w:r>
          </w:p>
        </w:tc>
        <w:tc>
          <w:tcPr>
            <w:tcW w:w="964" w:type="dxa"/>
            <w:tcBorders>
              <w:top w:val="single" w:sz="6" w:space="0" w:color="auto"/>
            </w:tcBorders>
          </w:tcPr>
          <w:p w14:paraId="2955A5E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55C9F5F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290</w:t>
            </w:r>
          </w:p>
        </w:tc>
        <w:tc>
          <w:tcPr>
            <w:tcW w:w="964" w:type="dxa"/>
            <w:tcBorders>
              <w:top w:val="single" w:sz="6" w:space="0" w:color="auto"/>
            </w:tcBorders>
          </w:tcPr>
          <w:p w14:paraId="3FEDF24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287</w:t>
            </w:r>
          </w:p>
        </w:tc>
        <w:tc>
          <w:tcPr>
            <w:tcW w:w="964" w:type="dxa"/>
            <w:tcBorders>
              <w:top w:val="single" w:sz="6" w:space="0" w:color="auto"/>
            </w:tcBorders>
          </w:tcPr>
          <w:p w14:paraId="267456B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290</w:t>
            </w:r>
          </w:p>
        </w:tc>
        <w:tc>
          <w:tcPr>
            <w:tcW w:w="964" w:type="dxa"/>
            <w:tcBorders>
              <w:top w:val="single" w:sz="6" w:space="0" w:color="auto"/>
            </w:tcBorders>
          </w:tcPr>
          <w:p w14:paraId="582EE0C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297</w:t>
            </w:r>
          </w:p>
        </w:tc>
      </w:tr>
      <w:tr w:rsidR="00824558" w14:paraId="7650F68F"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9103F1" w14:textId="48AC51E0" w:rsidR="00824558" w:rsidRDefault="00824558" w:rsidP="002B00B9">
            <w:pPr>
              <w:ind w:left="170"/>
            </w:pPr>
            <w:r>
              <w:rPr>
                <w:i/>
              </w:rPr>
              <w:t>This performance measure relates to the calendar year.</w:t>
            </w:r>
          </w:p>
        </w:tc>
      </w:tr>
      <w:tr w:rsidR="00824558" w14:paraId="78D7B3D2"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B0FCD21" w14:textId="77777777" w:rsidR="00824558" w:rsidRDefault="00824558" w:rsidP="002B00B9">
            <w:pPr>
              <w:keepNext/>
              <w:ind w:left="170"/>
            </w:pPr>
            <w:r>
              <w:t>Number of government students enrolled in VDSS certificates within priority pathways</w:t>
            </w:r>
          </w:p>
        </w:tc>
        <w:tc>
          <w:tcPr>
            <w:tcW w:w="964" w:type="dxa"/>
          </w:tcPr>
          <w:p w14:paraId="483D242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CA1031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30 000</w:t>
            </w:r>
          </w:p>
        </w:tc>
        <w:tc>
          <w:tcPr>
            <w:tcW w:w="964" w:type="dxa"/>
          </w:tcPr>
          <w:p w14:paraId="77FFC2F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33 220</w:t>
            </w:r>
          </w:p>
        </w:tc>
        <w:tc>
          <w:tcPr>
            <w:tcW w:w="964" w:type="dxa"/>
          </w:tcPr>
          <w:p w14:paraId="29E89B6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29 000</w:t>
            </w:r>
          </w:p>
        </w:tc>
        <w:tc>
          <w:tcPr>
            <w:tcW w:w="964" w:type="dxa"/>
          </w:tcPr>
          <w:p w14:paraId="5B9EDED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29 846</w:t>
            </w:r>
          </w:p>
        </w:tc>
      </w:tr>
      <w:tr w:rsidR="00824558" w14:paraId="792C880B"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61A77B4" w14:textId="74888395" w:rsidR="00824558" w:rsidRDefault="00824558" w:rsidP="002B00B9">
            <w:pPr>
              <w:ind w:left="170"/>
            </w:pPr>
            <w:r>
              <w:rPr>
                <w:i/>
              </w:rPr>
              <w:t xml:space="preserve">The 2025-26 expected outcome is higher than the 2025-26 target due to exceptional growth in VDSS participation over the past </w:t>
            </w:r>
            <w:r w:rsidR="006D058A">
              <w:rPr>
                <w:i/>
              </w:rPr>
              <w:t>two</w:t>
            </w:r>
            <w:r>
              <w:rPr>
                <w:i/>
              </w:rPr>
              <w:t xml:space="preserve"> years. This is likely due to the additional programs and supports provided to schools as part of the ongoing Senior Secondary Pathways Reforms including the VET Transport Fund and establishment of local VET Clusters. </w:t>
            </w:r>
          </w:p>
          <w:p w14:paraId="406EE3F8" w14:textId="77777777" w:rsidR="00824558" w:rsidRDefault="00824558" w:rsidP="002B00B9">
            <w:pPr>
              <w:ind w:left="170"/>
            </w:pPr>
            <w:r>
              <w:rPr>
                <w:i/>
              </w:rPr>
              <w:t>This performance measure relates to the calendar year. The higher 2026-27 target reflects participation in VCE VET experiencing very strong growth, compared with historical data.</w:t>
            </w:r>
          </w:p>
        </w:tc>
      </w:tr>
      <w:tr w:rsidR="00824558" w14:paraId="5B237C89"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C6BFDDD" w14:textId="77777777" w:rsidR="00824558" w:rsidRDefault="00824558" w:rsidP="002B00B9">
            <w:pPr>
              <w:keepNext/>
              <w:ind w:left="170"/>
            </w:pPr>
            <w:r>
              <w:t>Number of students enrolled in a Victorian Senior Secondary Certificate</w:t>
            </w:r>
          </w:p>
        </w:tc>
        <w:tc>
          <w:tcPr>
            <w:tcW w:w="964" w:type="dxa"/>
          </w:tcPr>
          <w:p w14:paraId="15F6E87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410DA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185 000</w:t>
            </w:r>
          </w:p>
        </w:tc>
        <w:tc>
          <w:tcPr>
            <w:tcW w:w="964" w:type="dxa"/>
          </w:tcPr>
          <w:p w14:paraId="26B4784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190 745</w:t>
            </w:r>
          </w:p>
        </w:tc>
        <w:tc>
          <w:tcPr>
            <w:tcW w:w="964" w:type="dxa"/>
          </w:tcPr>
          <w:p w14:paraId="7477551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170 000</w:t>
            </w:r>
          </w:p>
        </w:tc>
        <w:tc>
          <w:tcPr>
            <w:tcW w:w="964" w:type="dxa"/>
          </w:tcPr>
          <w:p w14:paraId="21086BF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184 637</w:t>
            </w:r>
          </w:p>
        </w:tc>
      </w:tr>
      <w:tr w:rsidR="00824558" w14:paraId="073DA20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B6D7360" w14:textId="77777777" w:rsidR="00824558" w:rsidRDefault="00824558" w:rsidP="002B00B9">
            <w:pPr>
              <w:ind w:left="170"/>
            </w:pPr>
            <w:r>
              <w:rPr>
                <w:i/>
              </w:rPr>
              <w:t xml:space="preserve">The 2025-26 expected outcome is higher than the 2025-26 target due to senior secondary reforms having positive effects on enrolments. </w:t>
            </w:r>
          </w:p>
          <w:p w14:paraId="30F02163" w14:textId="77777777" w:rsidR="00824558" w:rsidRDefault="00824558" w:rsidP="002B00B9">
            <w:pPr>
              <w:ind w:left="170"/>
            </w:pPr>
            <w:r>
              <w:rPr>
                <w:i/>
              </w:rPr>
              <w:t>This performance measure relates to the calendar year. The higher 2026-27 target reflects an increase in enrolments.</w:t>
            </w:r>
          </w:p>
        </w:tc>
      </w:tr>
      <w:tr w:rsidR="00824558" w:rsidRPr="00464481" w14:paraId="79EBC05B"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627D3F21" w14:textId="77777777" w:rsidR="00824558" w:rsidRPr="00464481" w:rsidRDefault="00824558" w:rsidP="002F63CF">
            <w:pPr>
              <w:keepNext/>
              <w:pageBreakBefore/>
              <w:rPr>
                <w:b/>
                <w:bCs/>
                <w:iCs/>
              </w:rPr>
            </w:pPr>
            <w:r w:rsidRPr="00464481">
              <w:rPr>
                <w:b/>
                <w:bCs/>
                <w:iCs/>
              </w:rPr>
              <w:lastRenderedPageBreak/>
              <w:t>Quality</w:t>
            </w:r>
          </w:p>
        </w:tc>
      </w:tr>
      <w:tr w:rsidR="00824558" w14:paraId="1625A136"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43F6E6C" w14:textId="62AFE1F1" w:rsidR="00824558" w:rsidRDefault="00824558" w:rsidP="002B00B9">
            <w:pPr>
              <w:keepNext/>
              <w:ind w:left="170"/>
            </w:pPr>
            <w:r>
              <w:t>Apparent retention rate, full-time students, Year</w:t>
            </w:r>
            <w:r w:rsidR="00BD719A">
              <w:t>s</w:t>
            </w:r>
            <w:r>
              <w:t xml:space="preserve"> 7/8 to 12</w:t>
            </w:r>
          </w:p>
        </w:tc>
        <w:tc>
          <w:tcPr>
            <w:tcW w:w="964" w:type="dxa"/>
          </w:tcPr>
          <w:p w14:paraId="707C1FBD"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4DA953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84</w:t>
            </w:r>
          </w:p>
        </w:tc>
        <w:tc>
          <w:tcPr>
            <w:tcW w:w="964" w:type="dxa"/>
          </w:tcPr>
          <w:p w14:paraId="309A324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86.3</w:t>
            </w:r>
          </w:p>
        </w:tc>
        <w:tc>
          <w:tcPr>
            <w:tcW w:w="964" w:type="dxa"/>
          </w:tcPr>
          <w:p w14:paraId="2687671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84</w:t>
            </w:r>
          </w:p>
        </w:tc>
        <w:tc>
          <w:tcPr>
            <w:tcW w:w="964" w:type="dxa"/>
          </w:tcPr>
          <w:p w14:paraId="338BD2E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84.4</w:t>
            </w:r>
          </w:p>
        </w:tc>
      </w:tr>
      <w:tr w:rsidR="00824558" w14:paraId="53D1FF40"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CA6532F" w14:textId="15CDCEB3" w:rsidR="00824558" w:rsidRDefault="00824558" w:rsidP="002B00B9">
            <w:pPr>
              <w:ind w:left="170"/>
            </w:pPr>
            <w:r>
              <w:rPr>
                <w:i/>
              </w:rPr>
              <w:t>This performance measure relates to the calendar year.</w:t>
            </w:r>
          </w:p>
        </w:tc>
      </w:tr>
      <w:tr w:rsidR="00824558" w14:paraId="6D7F3598"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A3A1789" w14:textId="77777777" w:rsidR="00824558" w:rsidRDefault="00824558" w:rsidP="002B00B9">
            <w:pPr>
              <w:keepNext/>
              <w:ind w:left="170"/>
            </w:pPr>
            <w:r>
              <w:t>Attendance rate, all schools, Years 7 to 10</w:t>
            </w:r>
          </w:p>
        </w:tc>
        <w:tc>
          <w:tcPr>
            <w:tcW w:w="964" w:type="dxa"/>
          </w:tcPr>
          <w:p w14:paraId="61A5C21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F1354E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3AD016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86.9</w:t>
            </w:r>
          </w:p>
        </w:tc>
        <w:tc>
          <w:tcPr>
            <w:tcW w:w="964" w:type="dxa"/>
          </w:tcPr>
          <w:p w14:paraId="6F1AA97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CE377F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86.5</w:t>
            </w:r>
          </w:p>
        </w:tc>
      </w:tr>
      <w:tr w:rsidR="00824558" w14:paraId="3337F989"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37FED5" w14:textId="137F7814" w:rsidR="00824558" w:rsidRDefault="00824558" w:rsidP="002B00B9">
            <w:pPr>
              <w:ind w:left="170"/>
            </w:pPr>
            <w:r>
              <w:rPr>
                <w:i/>
              </w:rPr>
              <w:t>This performance measure relates to the calendar year.</w:t>
            </w:r>
          </w:p>
        </w:tc>
      </w:tr>
      <w:tr w:rsidR="00824558" w14:paraId="28D2610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56CD38A" w14:textId="77777777" w:rsidR="00824558" w:rsidRDefault="00824558" w:rsidP="002B00B9">
            <w:pPr>
              <w:keepNext/>
              <w:ind w:left="170"/>
            </w:pPr>
            <w:r>
              <w:t>Percentage of government school students in an SBAT that are retained in a training contract 12 months post commencement</w:t>
            </w:r>
          </w:p>
        </w:tc>
        <w:tc>
          <w:tcPr>
            <w:tcW w:w="964" w:type="dxa"/>
          </w:tcPr>
          <w:p w14:paraId="3AFC15A6"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3D743D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245274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76.4</w:t>
            </w:r>
          </w:p>
        </w:tc>
        <w:tc>
          <w:tcPr>
            <w:tcW w:w="964" w:type="dxa"/>
          </w:tcPr>
          <w:p w14:paraId="0A45CA0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32635C2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78.4</w:t>
            </w:r>
          </w:p>
        </w:tc>
      </w:tr>
      <w:tr w:rsidR="00824558" w14:paraId="4C8D6631"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E18A8F" w14:textId="77777777" w:rsidR="00824558" w:rsidRDefault="00824558" w:rsidP="002B00B9">
            <w:pPr>
              <w:ind w:left="170"/>
            </w:pPr>
            <w:r>
              <w:rPr>
                <w:i/>
              </w:rPr>
              <w:t>This performance measure relates to the calendar year.</w:t>
            </w:r>
          </w:p>
        </w:tc>
      </w:tr>
      <w:tr w:rsidR="00824558" w14:paraId="713EC4A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7964243" w14:textId="77777777" w:rsidR="00824558" w:rsidRDefault="00824558" w:rsidP="002B00B9">
            <w:pPr>
              <w:keepNext/>
              <w:ind w:left="170"/>
            </w:pPr>
            <w:r>
              <w:t>Percentage of government secondary school teachers in ongoing employment</w:t>
            </w:r>
          </w:p>
        </w:tc>
        <w:tc>
          <w:tcPr>
            <w:tcW w:w="964" w:type="dxa"/>
          </w:tcPr>
          <w:p w14:paraId="0A78E3B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AC512D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56F90E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90.9</w:t>
            </w:r>
          </w:p>
        </w:tc>
        <w:tc>
          <w:tcPr>
            <w:tcW w:w="964" w:type="dxa"/>
          </w:tcPr>
          <w:p w14:paraId="3416B18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5A4758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91.1</w:t>
            </w:r>
          </w:p>
        </w:tc>
      </w:tr>
      <w:tr w:rsidR="00824558" w14:paraId="5A609C4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00BA62C" w14:textId="7B7A8F7D" w:rsidR="00824558" w:rsidRDefault="00824558" w:rsidP="002B00B9">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increases in the proportion of teachers hired to ongoing roles and the transition of fixed-term employees to ongoing employment to support attraction and retention of teachers. </w:t>
            </w:r>
          </w:p>
          <w:p w14:paraId="29F29591" w14:textId="77777777" w:rsidR="00824558" w:rsidRDefault="00824558" w:rsidP="002B00B9">
            <w:pPr>
              <w:ind w:left="170"/>
            </w:pPr>
            <w:r>
              <w:rPr>
                <w:i/>
              </w:rPr>
              <w:t xml:space="preserve">This performance measure relates to the calendar year. </w:t>
            </w:r>
          </w:p>
        </w:tc>
      </w:tr>
      <w:tr w:rsidR="00824558" w14:paraId="32430A05"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757A635" w14:textId="77777777" w:rsidR="00824558" w:rsidRDefault="00824558" w:rsidP="002B00B9">
            <w:pPr>
              <w:keepNext/>
              <w:ind w:left="170"/>
            </w:pPr>
            <w:r>
              <w:t>Percentage of positive responses to school satisfaction by parents of government secondary school students</w:t>
            </w:r>
          </w:p>
        </w:tc>
        <w:tc>
          <w:tcPr>
            <w:tcW w:w="964" w:type="dxa"/>
          </w:tcPr>
          <w:p w14:paraId="0890205D"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C3652D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B15181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74.1</w:t>
            </w:r>
          </w:p>
        </w:tc>
        <w:tc>
          <w:tcPr>
            <w:tcW w:w="964" w:type="dxa"/>
          </w:tcPr>
          <w:p w14:paraId="234ADCB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A030E2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71.6</w:t>
            </w:r>
          </w:p>
        </w:tc>
      </w:tr>
      <w:tr w:rsidR="00824558" w14:paraId="4902B647"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0E43476" w14:textId="305DFDC1" w:rsidR="00824558" w:rsidRDefault="00824558" w:rsidP="002B00B9">
            <w:pPr>
              <w:ind w:left="170"/>
            </w:pPr>
            <w:r>
              <w:rPr>
                <w:i/>
              </w:rPr>
              <w:t xml:space="preserve">The 2025-26 expected outcome is lower than the 2025-26 target due to wide range of factors, both local and broader and across areas of student learning and wellbeing. </w:t>
            </w:r>
          </w:p>
          <w:p w14:paraId="5DBD7A1E" w14:textId="77777777" w:rsidR="00824558" w:rsidRDefault="00824558" w:rsidP="002B00B9">
            <w:pPr>
              <w:ind w:left="170"/>
            </w:pPr>
            <w:r>
              <w:rPr>
                <w:i/>
              </w:rPr>
              <w:t xml:space="preserve">This performance measure relates to the calendar year. </w:t>
            </w:r>
          </w:p>
        </w:tc>
      </w:tr>
      <w:tr w:rsidR="00824558" w14:paraId="74C68811"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817926B" w14:textId="77777777" w:rsidR="00824558" w:rsidRDefault="00824558" w:rsidP="002B00B9">
            <w:pPr>
              <w:keepNext/>
              <w:ind w:left="170"/>
            </w:pPr>
            <w:r>
              <w:t>Percentage of students strong and exceeding in Year 7 Numeracy (NAPLAN)</w:t>
            </w:r>
          </w:p>
        </w:tc>
        <w:tc>
          <w:tcPr>
            <w:tcW w:w="964" w:type="dxa"/>
          </w:tcPr>
          <w:p w14:paraId="0B58D76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A4D788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68.5</w:t>
            </w:r>
          </w:p>
        </w:tc>
        <w:tc>
          <w:tcPr>
            <w:tcW w:w="964" w:type="dxa"/>
          </w:tcPr>
          <w:p w14:paraId="39154CD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72.7</w:t>
            </w:r>
          </w:p>
        </w:tc>
        <w:tc>
          <w:tcPr>
            <w:tcW w:w="964" w:type="dxa"/>
          </w:tcPr>
          <w:p w14:paraId="0131119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67.2</w:t>
            </w:r>
          </w:p>
        </w:tc>
        <w:tc>
          <w:tcPr>
            <w:tcW w:w="964" w:type="dxa"/>
          </w:tcPr>
          <w:p w14:paraId="527BDC7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69.7</w:t>
            </w:r>
          </w:p>
        </w:tc>
      </w:tr>
      <w:tr w:rsidR="00824558" w14:paraId="4F034D64"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5EE59D" w14:textId="77777777" w:rsidR="00824558" w:rsidRDefault="00824558" w:rsidP="002B00B9">
            <w:pPr>
              <w:ind w:left="170"/>
            </w:pPr>
            <w:r>
              <w:rPr>
                <w:i/>
              </w:rPr>
              <w:t xml:space="preserve">NAPLAN results, as with any assessment measure, are subject to a small margin of error. This is reflected in an estimated confidence interval of ±1.5 percentage points which is specific to the measure in 2025. </w:t>
            </w:r>
          </w:p>
          <w:p w14:paraId="769BB889"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20740D36"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CBCC547" w14:textId="77777777" w:rsidR="00824558" w:rsidRDefault="00824558" w:rsidP="002B00B9">
            <w:pPr>
              <w:keepNext/>
              <w:ind w:left="170"/>
            </w:pPr>
            <w:r>
              <w:t>Percentage of students strong and exceeding in Year 7 Reading (NAPLAN)</w:t>
            </w:r>
          </w:p>
        </w:tc>
        <w:tc>
          <w:tcPr>
            <w:tcW w:w="964" w:type="dxa"/>
          </w:tcPr>
          <w:p w14:paraId="00E9075E"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6CC5B1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69</w:t>
            </w:r>
          </w:p>
        </w:tc>
        <w:tc>
          <w:tcPr>
            <w:tcW w:w="964" w:type="dxa"/>
          </w:tcPr>
          <w:p w14:paraId="68CE84A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74</w:t>
            </w:r>
          </w:p>
        </w:tc>
        <w:tc>
          <w:tcPr>
            <w:tcW w:w="964" w:type="dxa"/>
          </w:tcPr>
          <w:p w14:paraId="55C4BC9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68.4</w:t>
            </w:r>
          </w:p>
        </w:tc>
        <w:tc>
          <w:tcPr>
            <w:tcW w:w="964" w:type="dxa"/>
          </w:tcPr>
          <w:p w14:paraId="7784105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72</w:t>
            </w:r>
          </w:p>
        </w:tc>
      </w:tr>
      <w:tr w:rsidR="00824558" w14:paraId="78FC89A1"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2B933B" w14:textId="77777777" w:rsidR="00824558" w:rsidRDefault="00824558" w:rsidP="002B00B9">
            <w:pPr>
              <w:ind w:left="170"/>
            </w:pPr>
            <w:r>
              <w:rPr>
                <w:i/>
              </w:rPr>
              <w:t xml:space="preserve">NAPLAN results, as with any assessment measure, are subject to a small margin of error. This is reflected in an estimated confidence interval of ±1.4 percentage points which is specific to the measure in 2025. </w:t>
            </w:r>
          </w:p>
          <w:p w14:paraId="65BC0444"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300FF251"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B38D908" w14:textId="77777777" w:rsidR="00824558" w:rsidRDefault="00824558" w:rsidP="002B00B9">
            <w:pPr>
              <w:keepNext/>
              <w:ind w:left="170"/>
            </w:pPr>
            <w:r>
              <w:t>Percentage of students strong and exceeding in Year 9 Numeracy (NAPLAN)</w:t>
            </w:r>
          </w:p>
        </w:tc>
        <w:tc>
          <w:tcPr>
            <w:tcW w:w="964" w:type="dxa"/>
          </w:tcPr>
          <w:p w14:paraId="1EEABEFB"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EAD6A1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65.6</w:t>
            </w:r>
          </w:p>
        </w:tc>
        <w:tc>
          <w:tcPr>
            <w:tcW w:w="964" w:type="dxa"/>
          </w:tcPr>
          <w:p w14:paraId="4DCAE19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68.9</w:t>
            </w:r>
          </w:p>
        </w:tc>
        <w:tc>
          <w:tcPr>
            <w:tcW w:w="964" w:type="dxa"/>
          </w:tcPr>
          <w:p w14:paraId="7B3C7E3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63.9</w:t>
            </w:r>
          </w:p>
        </w:tc>
        <w:tc>
          <w:tcPr>
            <w:tcW w:w="964" w:type="dxa"/>
          </w:tcPr>
          <w:p w14:paraId="5AC4196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65.4</w:t>
            </w:r>
          </w:p>
        </w:tc>
      </w:tr>
      <w:tr w:rsidR="00824558" w14:paraId="058EB3A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ECFDC19" w14:textId="77777777" w:rsidR="00824558" w:rsidRDefault="00824558" w:rsidP="002B00B9">
            <w:pPr>
              <w:ind w:left="170"/>
            </w:pPr>
            <w:r>
              <w:rPr>
                <w:i/>
              </w:rPr>
              <w:t xml:space="preserve">NAPLAN results, as with any assessment measure, are subject to a small margin of error. This is reflected in an estimated confidence interval of ±1.7 percentage points which is specific to the measure in 2025. </w:t>
            </w:r>
          </w:p>
          <w:p w14:paraId="373BA0A5"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1C46B4DC"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E8E1196" w14:textId="77777777" w:rsidR="00824558" w:rsidRDefault="00824558" w:rsidP="002B00B9">
            <w:pPr>
              <w:keepNext/>
              <w:ind w:left="170"/>
            </w:pPr>
            <w:r>
              <w:t>Percentage of students strong and exceeding in Year 9 Reading (NAPLAN)</w:t>
            </w:r>
          </w:p>
        </w:tc>
        <w:tc>
          <w:tcPr>
            <w:tcW w:w="964" w:type="dxa"/>
          </w:tcPr>
          <w:p w14:paraId="3B458920"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5AA5E1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65.1</w:t>
            </w:r>
          </w:p>
        </w:tc>
        <w:tc>
          <w:tcPr>
            <w:tcW w:w="964" w:type="dxa"/>
          </w:tcPr>
          <w:p w14:paraId="23E8DE3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69.1</w:t>
            </w:r>
          </w:p>
        </w:tc>
        <w:tc>
          <w:tcPr>
            <w:tcW w:w="964" w:type="dxa"/>
          </w:tcPr>
          <w:p w14:paraId="37A2BF6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62.8</w:t>
            </w:r>
          </w:p>
        </w:tc>
        <w:tc>
          <w:tcPr>
            <w:tcW w:w="964" w:type="dxa"/>
          </w:tcPr>
          <w:p w14:paraId="799676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66.5</w:t>
            </w:r>
          </w:p>
        </w:tc>
      </w:tr>
      <w:tr w:rsidR="00824558" w14:paraId="37D7DAA7"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F9519E3" w14:textId="77777777" w:rsidR="00824558" w:rsidRDefault="00824558" w:rsidP="002B00B9">
            <w:pPr>
              <w:ind w:left="170"/>
            </w:pPr>
            <w:r>
              <w:rPr>
                <w:i/>
              </w:rPr>
              <w:t xml:space="preserve">NAPLAN results, as with any assessment measure, are subject to a small margin of error. This is reflected in an estimated confidence interval of ±1.5 percentage points which is specific to the measure in 2025. </w:t>
            </w:r>
          </w:p>
          <w:p w14:paraId="760EFB9E"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61824C65"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EEC150D" w14:textId="77777777" w:rsidR="00824558" w:rsidRDefault="00824558" w:rsidP="002B00B9">
            <w:pPr>
              <w:keepNext/>
              <w:ind w:left="170"/>
            </w:pPr>
            <w:r>
              <w:t>Percentage of Year 9 students in government schools that complete an online assessment using a career diagnostic tool</w:t>
            </w:r>
          </w:p>
        </w:tc>
        <w:tc>
          <w:tcPr>
            <w:tcW w:w="964" w:type="dxa"/>
          </w:tcPr>
          <w:p w14:paraId="71F09280"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5311F3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w:t>
            </w:r>
          </w:p>
        </w:tc>
        <w:tc>
          <w:tcPr>
            <w:tcW w:w="964" w:type="dxa"/>
          </w:tcPr>
          <w:p w14:paraId="3887CF1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D21333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w:t>
            </w:r>
          </w:p>
        </w:tc>
        <w:tc>
          <w:tcPr>
            <w:tcW w:w="964" w:type="dxa"/>
          </w:tcPr>
          <w:p w14:paraId="0DB7DC1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87</w:t>
            </w:r>
          </w:p>
        </w:tc>
      </w:tr>
      <w:tr w:rsidR="00824558" w14:paraId="120EE038"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B99ED3" w14:textId="1C2E62F2" w:rsidR="00824558" w:rsidRDefault="00824558" w:rsidP="002B00B9">
            <w:pPr>
              <w:ind w:left="170"/>
            </w:pPr>
            <w:r>
              <w:rPr>
                <w:i/>
              </w:rPr>
              <w:t>This performance measure relates to the calendar year.</w:t>
            </w:r>
          </w:p>
        </w:tc>
      </w:tr>
      <w:tr w:rsidR="00824558" w14:paraId="1739D8F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5FBC7678" w14:textId="77777777" w:rsidR="00824558" w:rsidRDefault="00824558" w:rsidP="002B00B9">
            <w:pPr>
              <w:keepNext/>
              <w:ind w:left="170"/>
            </w:pPr>
            <w:r>
              <w:t>Victorian Senior Secondary Certificate completion rate</w:t>
            </w:r>
          </w:p>
        </w:tc>
        <w:tc>
          <w:tcPr>
            <w:tcW w:w="964" w:type="dxa"/>
          </w:tcPr>
          <w:p w14:paraId="5C19C74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3FF38B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512FFF0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97.4</w:t>
            </w:r>
          </w:p>
        </w:tc>
        <w:tc>
          <w:tcPr>
            <w:tcW w:w="964" w:type="dxa"/>
          </w:tcPr>
          <w:p w14:paraId="39587A8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1260661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97.5</w:t>
            </w:r>
          </w:p>
        </w:tc>
      </w:tr>
      <w:tr w:rsidR="00824558" w14:paraId="0825272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45A705" w14:textId="3A96A2EC" w:rsidR="00824558" w:rsidRDefault="00824558" w:rsidP="002B00B9">
            <w:pPr>
              <w:ind w:left="170"/>
            </w:pPr>
            <w:r>
              <w:rPr>
                <w:i/>
              </w:rPr>
              <w:t>This performance measure relates to the calendar year.</w:t>
            </w:r>
          </w:p>
        </w:tc>
      </w:tr>
      <w:tr w:rsidR="00824558" w:rsidRPr="00464481" w14:paraId="07C083DD"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145B25A9" w14:textId="77777777" w:rsidR="00824558" w:rsidRPr="00464481" w:rsidRDefault="00824558" w:rsidP="002B00B9">
            <w:pPr>
              <w:keepNext/>
              <w:rPr>
                <w:b/>
                <w:bCs/>
                <w:iCs/>
              </w:rPr>
            </w:pPr>
            <w:r w:rsidRPr="00464481">
              <w:rPr>
                <w:b/>
                <w:bCs/>
                <w:iCs/>
              </w:rPr>
              <w:t>Cost</w:t>
            </w:r>
          </w:p>
        </w:tc>
      </w:tr>
      <w:tr w:rsidR="00824558" w14:paraId="78A4BEC3" w14:textId="77777777" w:rsidTr="00C76367">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7F8F62FD" w14:textId="77777777" w:rsidR="00824558" w:rsidRDefault="00824558" w:rsidP="002B00B9">
            <w:pPr>
              <w:keepNext/>
              <w:ind w:left="170"/>
            </w:pPr>
            <w:r>
              <w:t>Total output cost</w:t>
            </w:r>
          </w:p>
        </w:tc>
        <w:tc>
          <w:tcPr>
            <w:tcW w:w="964" w:type="dxa"/>
            <w:tcBorders>
              <w:bottom w:val="single" w:sz="12" w:space="0" w:color="auto"/>
            </w:tcBorders>
          </w:tcPr>
          <w:p w14:paraId="3AD57C7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2B14EB7A" w14:textId="24C51957" w:rsidR="00824558" w:rsidRPr="009A03E9" w:rsidRDefault="005E14F2"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4 759.0</w:t>
            </w:r>
          </w:p>
        </w:tc>
        <w:tc>
          <w:tcPr>
            <w:tcW w:w="964" w:type="dxa"/>
            <w:tcBorders>
              <w:bottom w:val="single" w:sz="12" w:space="0" w:color="auto"/>
            </w:tcBorders>
          </w:tcPr>
          <w:p w14:paraId="5C9A5FAA" w14:textId="1173F61A" w:rsidR="00824558" w:rsidRPr="009A03E9" w:rsidRDefault="00034FBE"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4 779.6</w:t>
            </w:r>
          </w:p>
        </w:tc>
        <w:tc>
          <w:tcPr>
            <w:tcW w:w="964" w:type="dxa"/>
            <w:tcBorders>
              <w:bottom w:val="single" w:sz="12" w:space="0" w:color="auto"/>
            </w:tcBorders>
          </w:tcPr>
          <w:p w14:paraId="2954ED60" w14:textId="4F2ADA5B" w:rsidR="00824558" w:rsidRDefault="00824558" w:rsidP="002B00B9">
            <w:pPr>
              <w:cnfStyle w:val="000000000000" w:firstRow="0" w:lastRow="0" w:firstColumn="0" w:lastColumn="0" w:oddVBand="0" w:evenVBand="0" w:oddHBand="0" w:evenHBand="0" w:firstRowFirstColumn="0" w:firstRowLastColumn="0" w:lastRowFirstColumn="0" w:lastRowLastColumn="0"/>
            </w:pPr>
            <w:r>
              <w:t>4</w:t>
            </w:r>
            <w:r w:rsidR="009A03E9">
              <w:t xml:space="preserve"> </w:t>
            </w:r>
            <w:r>
              <w:t>703.2</w:t>
            </w:r>
          </w:p>
        </w:tc>
        <w:tc>
          <w:tcPr>
            <w:tcW w:w="964" w:type="dxa"/>
            <w:tcBorders>
              <w:bottom w:val="single" w:sz="12" w:space="0" w:color="auto"/>
            </w:tcBorders>
          </w:tcPr>
          <w:p w14:paraId="3A2355F1" w14:textId="3A07C108" w:rsidR="00824558" w:rsidRDefault="00824558" w:rsidP="002B00B9">
            <w:pPr>
              <w:cnfStyle w:val="000000000000" w:firstRow="0" w:lastRow="0" w:firstColumn="0" w:lastColumn="0" w:oddVBand="0" w:evenVBand="0" w:oddHBand="0" w:evenHBand="0" w:firstRowFirstColumn="0" w:firstRowLastColumn="0" w:lastRowFirstColumn="0" w:lastRowLastColumn="0"/>
            </w:pPr>
            <w:r>
              <w:t>4</w:t>
            </w:r>
            <w:r w:rsidR="009A03E9">
              <w:t xml:space="preserve"> </w:t>
            </w:r>
            <w:r>
              <w:t>644.8</w:t>
            </w:r>
          </w:p>
        </w:tc>
      </w:tr>
    </w:tbl>
    <w:p w14:paraId="35997C25" w14:textId="77777777" w:rsidR="00824558" w:rsidRDefault="00824558" w:rsidP="004850F8">
      <w:pPr>
        <w:pStyle w:val="Source"/>
      </w:pPr>
      <w:r>
        <w:t>Source: Department of Education</w:t>
      </w:r>
    </w:p>
    <w:p w14:paraId="5C3C5794" w14:textId="77777777" w:rsidR="00824558" w:rsidRDefault="00824558" w:rsidP="004850F8">
      <w:pPr>
        <w:pStyle w:val="Source"/>
      </w:pPr>
    </w:p>
    <w:p w14:paraId="4115CDF7" w14:textId="77777777" w:rsidR="00464481" w:rsidRDefault="00464481">
      <w:pPr>
        <w:keepLines w:val="0"/>
        <w:rPr>
          <w:rFonts w:asciiTheme="majorHAnsi" w:eastAsiaTheme="majorEastAsia" w:hAnsiTheme="majorHAnsi" w:cstheme="majorBidi"/>
          <w:b/>
          <w:sz w:val="23"/>
          <w:szCs w:val="24"/>
        </w:rPr>
      </w:pPr>
      <w:r>
        <w:br w:type="page"/>
      </w:r>
    </w:p>
    <w:p w14:paraId="11F8B531" w14:textId="2EA42714" w:rsidR="00824558" w:rsidRDefault="00824558" w:rsidP="009975DD">
      <w:pPr>
        <w:pStyle w:val="Heading3"/>
      </w:pPr>
      <w:r>
        <w:lastRenderedPageBreak/>
        <w:t>Wellbeing Supports for Students</w:t>
      </w:r>
      <w:r>
        <w:tab/>
        <w:t>(2026-27: $</w:t>
      </w:r>
      <w:r w:rsidR="00A15814">
        <w:t>432.7</w:t>
      </w:r>
      <w:r>
        <w:t xml:space="preserve"> million)</w:t>
      </w:r>
    </w:p>
    <w:p w14:paraId="0D4BC5E9" w14:textId="77777777" w:rsidR="00824558" w:rsidRPr="00F832BF" w:rsidRDefault="00824558" w:rsidP="00F832BF">
      <w:pPr>
        <w:keepNext/>
        <w:keepLines w:val="0"/>
        <w:spacing w:after="120"/>
        <w:rPr>
          <w:rFonts w:ascii="Garamond" w:eastAsia="Garamond" w:hAnsi="Garamond"/>
        </w:rPr>
      </w:pPr>
      <w:r w:rsidRPr="006965F9">
        <w:rPr>
          <w:rFonts w:ascii="Garamond" w:eastAsia="Garamond" w:hAnsi="Garamond"/>
        </w:rPr>
        <w:t>The Wellbeing Supports for Students in Government Schools output primarily provides student welfare, health and health service supports to students.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824558" w14:paraId="6B7D6DC4" w14:textId="77777777" w:rsidTr="003A02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2EF43C75" w14:textId="77777777" w:rsidR="00824558" w:rsidRDefault="00824558" w:rsidP="002B00B9">
            <w:r>
              <w:t>Performance measure</w:t>
            </w:r>
          </w:p>
        </w:tc>
        <w:tc>
          <w:tcPr>
            <w:tcW w:w="964" w:type="dxa"/>
          </w:tcPr>
          <w:p w14:paraId="6AC032E9"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A6E0FC0"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B5F234D"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BD9FFB0"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532DE0C"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464481" w14:paraId="10BD5716"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Pr>
          <w:p w14:paraId="45E8D843" w14:textId="77777777" w:rsidR="00824558" w:rsidRPr="00464481" w:rsidRDefault="00824558" w:rsidP="002B00B9">
            <w:pPr>
              <w:keepNext/>
              <w:rPr>
                <w:b/>
                <w:bCs/>
                <w:iCs/>
              </w:rPr>
            </w:pPr>
            <w:r w:rsidRPr="00464481">
              <w:rPr>
                <w:b/>
                <w:bCs/>
                <w:iCs/>
              </w:rPr>
              <w:t>Quantity</w:t>
            </w:r>
          </w:p>
        </w:tc>
      </w:tr>
      <w:tr w:rsidR="00824558" w14:paraId="2DC10069" w14:textId="77777777" w:rsidTr="00612D75">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AC2AB2D" w14:textId="77777777" w:rsidR="00824558" w:rsidRDefault="00824558" w:rsidP="00612D75">
            <w:pPr>
              <w:ind w:left="170"/>
            </w:pPr>
            <w:r>
              <w:t>Investment in student welfare and support</w:t>
            </w:r>
          </w:p>
        </w:tc>
        <w:tc>
          <w:tcPr>
            <w:tcW w:w="964" w:type="dxa"/>
            <w:tcBorders>
              <w:bottom w:val="single" w:sz="6" w:space="0" w:color="auto"/>
            </w:tcBorders>
          </w:tcPr>
          <w:p w14:paraId="292DC26D" w14:textId="77777777" w:rsidR="00824558" w:rsidRDefault="00824558" w:rsidP="00612D7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5B88AAB6" w14:textId="47F8B820" w:rsidR="00824558" w:rsidRPr="002F2675" w:rsidRDefault="00533338" w:rsidP="00612D75">
            <w:pPr>
              <w:cnfStyle w:val="000000000000" w:firstRow="0" w:lastRow="0" w:firstColumn="0" w:lastColumn="0" w:oddVBand="0" w:evenVBand="0" w:oddHBand="0" w:evenHBand="0" w:firstRowFirstColumn="0" w:firstRowLastColumn="0" w:lastRowFirstColumn="0" w:lastRowLastColumn="0"/>
              <w:rPr>
                <w:highlight w:val="yellow"/>
              </w:rPr>
            </w:pPr>
            <w:r w:rsidRPr="00533338">
              <w:t>390.8</w:t>
            </w:r>
          </w:p>
        </w:tc>
        <w:tc>
          <w:tcPr>
            <w:tcW w:w="964" w:type="dxa"/>
            <w:tcBorders>
              <w:bottom w:val="single" w:sz="6" w:space="0" w:color="auto"/>
            </w:tcBorders>
          </w:tcPr>
          <w:p w14:paraId="2509DD2A" w14:textId="3CF287F8" w:rsidR="00824558" w:rsidRPr="002F2675" w:rsidRDefault="00D61C3F" w:rsidP="00612D75">
            <w:pPr>
              <w:cnfStyle w:val="000000000000" w:firstRow="0" w:lastRow="0" w:firstColumn="0" w:lastColumn="0" w:oddVBand="0" w:evenVBand="0" w:oddHBand="0" w:evenHBand="0" w:firstRowFirstColumn="0" w:firstRowLastColumn="0" w:lastRowFirstColumn="0" w:lastRowLastColumn="0"/>
              <w:rPr>
                <w:highlight w:val="yellow"/>
              </w:rPr>
            </w:pPr>
            <w:r w:rsidRPr="00D61C3F">
              <w:t>383.9</w:t>
            </w:r>
          </w:p>
        </w:tc>
        <w:tc>
          <w:tcPr>
            <w:tcW w:w="964" w:type="dxa"/>
            <w:tcBorders>
              <w:bottom w:val="single" w:sz="6" w:space="0" w:color="auto"/>
            </w:tcBorders>
          </w:tcPr>
          <w:p w14:paraId="06764DF5" w14:textId="77777777" w:rsidR="00824558" w:rsidRDefault="00824558" w:rsidP="00612D75">
            <w:pPr>
              <w:cnfStyle w:val="000000000000" w:firstRow="0" w:lastRow="0" w:firstColumn="0" w:lastColumn="0" w:oddVBand="0" w:evenVBand="0" w:oddHBand="0" w:evenHBand="0" w:firstRowFirstColumn="0" w:firstRowLastColumn="0" w:lastRowFirstColumn="0" w:lastRowLastColumn="0"/>
            </w:pPr>
            <w:r>
              <w:t>385.8</w:t>
            </w:r>
          </w:p>
        </w:tc>
        <w:tc>
          <w:tcPr>
            <w:tcW w:w="964" w:type="dxa"/>
            <w:tcBorders>
              <w:bottom w:val="single" w:sz="6" w:space="0" w:color="auto"/>
            </w:tcBorders>
          </w:tcPr>
          <w:p w14:paraId="03995E3D" w14:textId="77777777" w:rsidR="00824558" w:rsidRDefault="00824558" w:rsidP="00612D75">
            <w:pPr>
              <w:cnfStyle w:val="000000000000" w:firstRow="0" w:lastRow="0" w:firstColumn="0" w:lastColumn="0" w:oddVBand="0" w:evenVBand="0" w:oddHBand="0" w:evenHBand="0" w:firstRowFirstColumn="0" w:firstRowLastColumn="0" w:lastRowFirstColumn="0" w:lastRowLastColumn="0"/>
            </w:pPr>
            <w:r>
              <w:t>343.8</w:t>
            </w:r>
          </w:p>
        </w:tc>
      </w:tr>
      <w:tr w:rsidR="00824558" w14:paraId="19C0E8FF" w14:textId="77777777" w:rsidTr="00612D75">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640F166C" w14:textId="02023DC0" w:rsidR="00824558" w:rsidRDefault="00824558" w:rsidP="00612D75">
            <w:pPr>
              <w:ind w:left="170"/>
            </w:pPr>
            <w:r>
              <w:t xml:space="preserve">Investment in travelling allowances and transport support </w:t>
            </w:r>
            <w:r w:rsidR="002F2675">
              <w:br/>
            </w:r>
            <w:r>
              <w:t>(not including special needs students)</w:t>
            </w:r>
          </w:p>
        </w:tc>
        <w:tc>
          <w:tcPr>
            <w:tcW w:w="964" w:type="dxa"/>
            <w:tcBorders>
              <w:top w:val="single" w:sz="6" w:space="0" w:color="auto"/>
              <w:bottom w:val="single" w:sz="6" w:space="0" w:color="auto"/>
            </w:tcBorders>
          </w:tcPr>
          <w:p w14:paraId="31DC2472"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single" w:sz="6" w:space="0" w:color="auto"/>
              <w:bottom w:val="single" w:sz="6" w:space="0" w:color="auto"/>
            </w:tcBorders>
            <w:shd w:val="clear" w:color="auto" w:fill="F0F0F0"/>
          </w:tcPr>
          <w:p w14:paraId="656F02E0" w14:textId="2C1F0DA7" w:rsidR="00824558" w:rsidRPr="002F2675" w:rsidRDefault="00D61C3F" w:rsidP="002B00B9">
            <w:pPr>
              <w:cnfStyle w:val="000000000000" w:firstRow="0" w:lastRow="0" w:firstColumn="0" w:lastColumn="0" w:oddVBand="0" w:evenVBand="0" w:oddHBand="0" w:evenHBand="0" w:firstRowFirstColumn="0" w:firstRowLastColumn="0" w:lastRowFirstColumn="0" w:lastRowLastColumn="0"/>
              <w:rPr>
                <w:highlight w:val="yellow"/>
              </w:rPr>
            </w:pPr>
            <w:r w:rsidRPr="00D61C3F">
              <w:t>41.9</w:t>
            </w:r>
          </w:p>
        </w:tc>
        <w:tc>
          <w:tcPr>
            <w:tcW w:w="964" w:type="dxa"/>
            <w:tcBorders>
              <w:top w:val="single" w:sz="6" w:space="0" w:color="auto"/>
              <w:bottom w:val="single" w:sz="6" w:space="0" w:color="auto"/>
            </w:tcBorders>
          </w:tcPr>
          <w:p w14:paraId="6ECE46EE" w14:textId="6C6A3F3F" w:rsidR="00824558" w:rsidRPr="002F2675" w:rsidRDefault="00D61C3F" w:rsidP="002B00B9">
            <w:pPr>
              <w:cnfStyle w:val="000000000000" w:firstRow="0" w:lastRow="0" w:firstColumn="0" w:lastColumn="0" w:oddVBand="0" w:evenVBand="0" w:oddHBand="0" w:evenHBand="0" w:firstRowFirstColumn="0" w:firstRowLastColumn="0" w:lastRowFirstColumn="0" w:lastRowLastColumn="0"/>
              <w:rPr>
                <w:highlight w:val="yellow"/>
              </w:rPr>
            </w:pPr>
            <w:r w:rsidRPr="00D61C3F">
              <w:t>39.7</w:t>
            </w:r>
          </w:p>
        </w:tc>
        <w:tc>
          <w:tcPr>
            <w:tcW w:w="964" w:type="dxa"/>
            <w:tcBorders>
              <w:top w:val="single" w:sz="6" w:space="0" w:color="auto"/>
              <w:bottom w:val="single" w:sz="6" w:space="0" w:color="auto"/>
            </w:tcBorders>
          </w:tcPr>
          <w:p w14:paraId="7A84067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40.7</w:t>
            </w:r>
          </w:p>
        </w:tc>
        <w:tc>
          <w:tcPr>
            <w:tcW w:w="964" w:type="dxa"/>
            <w:tcBorders>
              <w:top w:val="single" w:sz="6" w:space="0" w:color="auto"/>
              <w:bottom w:val="single" w:sz="6" w:space="0" w:color="auto"/>
            </w:tcBorders>
          </w:tcPr>
          <w:p w14:paraId="35F882D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45.1</w:t>
            </w:r>
          </w:p>
        </w:tc>
      </w:tr>
      <w:tr w:rsidR="00824558" w14:paraId="6880667C" w14:textId="77777777" w:rsidTr="00612D75">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tcBorders>
          </w:tcPr>
          <w:p w14:paraId="710402AE" w14:textId="77777777" w:rsidR="00824558" w:rsidRDefault="00824558" w:rsidP="002B00B9">
            <w:pPr>
              <w:keepNext/>
              <w:ind w:left="170"/>
            </w:pPr>
            <w:r>
              <w:t>Number of Doctors in Secondary School consultations per annum</w:t>
            </w:r>
          </w:p>
        </w:tc>
        <w:tc>
          <w:tcPr>
            <w:tcW w:w="964" w:type="dxa"/>
            <w:tcBorders>
              <w:top w:val="single" w:sz="6" w:space="0" w:color="auto"/>
            </w:tcBorders>
          </w:tcPr>
          <w:p w14:paraId="41E7C7F2"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73EE56C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11 000</w:t>
            </w:r>
          </w:p>
        </w:tc>
        <w:tc>
          <w:tcPr>
            <w:tcW w:w="964" w:type="dxa"/>
            <w:tcBorders>
              <w:top w:val="single" w:sz="6" w:space="0" w:color="auto"/>
            </w:tcBorders>
          </w:tcPr>
          <w:p w14:paraId="1983A4D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15 130</w:t>
            </w:r>
          </w:p>
        </w:tc>
        <w:tc>
          <w:tcPr>
            <w:tcW w:w="964" w:type="dxa"/>
            <w:tcBorders>
              <w:top w:val="single" w:sz="6" w:space="0" w:color="auto"/>
            </w:tcBorders>
          </w:tcPr>
          <w:p w14:paraId="6A5703C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11 000</w:t>
            </w:r>
          </w:p>
        </w:tc>
        <w:tc>
          <w:tcPr>
            <w:tcW w:w="964" w:type="dxa"/>
            <w:tcBorders>
              <w:top w:val="single" w:sz="6" w:space="0" w:color="auto"/>
            </w:tcBorders>
          </w:tcPr>
          <w:p w14:paraId="27399E7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14 523</w:t>
            </w:r>
          </w:p>
        </w:tc>
      </w:tr>
      <w:tr w:rsidR="00824558" w14:paraId="6A6CBC81"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0E8928B" w14:textId="77777777" w:rsidR="00824558" w:rsidRDefault="00824558" w:rsidP="00612D75">
            <w:pPr>
              <w:keepNext/>
              <w:ind w:left="170"/>
            </w:pPr>
            <w:r>
              <w:rPr>
                <w:i/>
              </w:rPr>
              <w:t>The 2025-26 expected outcome is higher than the 2025-26 target due to a very low GP vacancy rate throughout 2025, coupled with the second full year of implementation of the telehealth service which provides GP consultations to students in schools with a current GP vacancy.</w:t>
            </w:r>
          </w:p>
          <w:p w14:paraId="154A9CC4" w14:textId="77777777" w:rsidR="00824558" w:rsidRDefault="00824558" w:rsidP="00612D75">
            <w:pPr>
              <w:keepNext/>
              <w:ind w:left="170"/>
            </w:pPr>
            <w:r>
              <w:rPr>
                <w:i/>
              </w:rPr>
              <w:t xml:space="preserve">This performance measure relates to the calendar year. </w:t>
            </w:r>
          </w:p>
        </w:tc>
      </w:tr>
      <w:tr w:rsidR="00824558" w14:paraId="57ECFB4B"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68888EA2" w14:textId="77777777" w:rsidR="00824558" w:rsidRDefault="00824558" w:rsidP="002B00B9">
            <w:pPr>
              <w:keepNext/>
              <w:ind w:left="170"/>
            </w:pPr>
            <w:r>
              <w:t>Percentage of prep aged students whose parent or caregiver completes a health assessment</w:t>
            </w:r>
          </w:p>
        </w:tc>
        <w:tc>
          <w:tcPr>
            <w:tcW w:w="964" w:type="dxa"/>
          </w:tcPr>
          <w:p w14:paraId="59D4BAA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109CF1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05B970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79</w:t>
            </w:r>
          </w:p>
        </w:tc>
        <w:tc>
          <w:tcPr>
            <w:tcW w:w="964" w:type="dxa"/>
          </w:tcPr>
          <w:p w14:paraId="54BEAFC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26B42C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79</w:t>
            </w:r>
          </w:p>
        </w:tc>
      </w:tr>
      <w:tr w:rsidR="00824558" w14:paraId="5DF7BBF5"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9715EE3" w14:textId="77777777" w:rsidR="00824558" w:rsidRDefault="00824558" w:rsidP="002B00B9">
            <w:pPr>
              <w:ind w:left="170"/>
            </w:pPr>
            <w:r>
              <w:rPr>
                <w:i/>
              </w:rPr>
              <w:t>The 2025-26 expected outcome is higher than the 2025-26 target due to continued close and effective working relationships between the school nursing workforce, schools and parents/carers, aided by new supporting resources to complete the health assessment online.</w:t>
            </w:r>
          </w:p>
          <w:p w14:paraId="4D5200DB" w14:textId="77777777" w:rsidR="00824558" w:rsidRDefault="00824558" w:rsidP="002B00B9">
            <w:pPr>
              <w:ind w:left="170"/>
            </w:pPr>
            <w:r>
              <w:rPr>
                <w:i/>
              </w:rPr>
              <w:t xml:space="preserve">This performance measure relates to the calendar year. </w:t>
            </w:r>
          </w:p>
        </w:tc>
      </w:tr>
      <w:tr w:rsidR="00824558" w14:paraId="52ADFEC7"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03F27D26" w14:textId="77777777" w:rsidR="00824558" w:rsidRDefault="00824558" w:rsidP="002B00B9">
            <w:pPr>
              <w:keepNext/>
              <w:ind w:left="170"/>
            </w:pPr>
            <w:r>
              <w:t>Percentage of students in out-of-home care receiving targeted supports in school</w:t>
            </w:r>
          </w:p>
        </w:tc>
        <w:tc>
          <w:tcPr>
            <w:tcW w:w="964" w:type="dxa"/>
          </w:tcPr>
          <w:p w14:paraId="08B7D7CD"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FDE816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617338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88.4</w:t>
            </w:r>
          </w:p>
        </w:tc>
        <w:tc>
          <w:tcPr>
            <w:tcW w:w="964" w:type="dxa"/>
          </w:tcPr>
          <w:p w14:paraId="23204CC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92D875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w:t>
            </w:r>
          </w:p>
        </w:tc>
      </w:tr>
      <w:tr w:rsidR="00824558" w14:paraId="32731A8C"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81400E4" w14:textId="3FF51CBD" w:rsidR="00824558" w:rsidRDefault="00824558" w:rsidP="002B00B9">
            <w:pPr>
              <w:ind w:left="170"/>
            </w:pPr>
            <w:r>
              <w:rPr>
                <w:i/>
              </w:rPr>
              <w:t>This performance measure relates to the calendar year.</w:t>
            </w:r>
          </w:p>
        </w:tc>
      </w:tr>
      <w:tr w:rsidR="00824558" w:rsidRPr="00464481" w14:paraId="777E1E14"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Pr>
          <w:p w14:paraId="04CE401C" w14:textId="77777777" w:rsidR="00824558" w:rsidRPr="00464481" w:rsidRDefault="00824558" w:rsidP="002B00B9">
            <w:pPr>
              <w:keepNext/>
              <w:rPr>
                <w:b/>
                <w:bCs/>
                <w:iCs/>
              </w:rPr>
            </w:pPr>
            <w:r w:rsidRPr="00464481">
              <w:rPr>
                <w:b/>
                <w:bCs/>
                <w:iCs/>
              </w:rPr>
              <w:t>Quality</w:t>
            </w:r>
          </w:p>
        </w:tc>
      </w:tr>
      <w:tr w:rsidR="00824558" w14:paraId="291E87B3"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3C54D00A" w14:textId="5D9D3D4A" w:rsidR="00824558" w:rsidRDefault="00824558" w:rsidP="002B00B9">
            <w:pPr>
              <w:keepNext/>
              <w:ind w:left="170"/>
            </w:pPr>
            <w:r>
              <w:t>Proportion of eligible government school campuses and non</w:t>
            </w:r>
            <w:r w:rsidR="002F2675">
              <w:noBreakHyphen/>
            </w:r>
            <w:r>
              <w:t>government schools supported by the Mental Health in Primary Schools (MHiPS) initiative</w:t>
            </w:r>
          </w:p>
        </w:tc>
        <w:tc>
          <w:tcPr>
            <w:tcW w:w="964" w:type="dxa"/>
          </w:tcPr>
          <w:p w14:paraId="1CBDE35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BC6E33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580846D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70.3</w:t>
            </w:r>
          </w:p>
        </w:tc>
        <w:tc>
          <w:tcPr>
            <w:tcW w:w="964" w:type="dxa"/>
          </w:tcPr>
          <w:p w14:paraId="5092A2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246A9D3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42C8161A"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3489866" w14:textId="77777777" w:rsidR="00824558" w:rsidRDefault="00824558" w:rsidP="002B00B9">
            <w:pPr>
              <w:ind w:left="170"/>
            </w:pPr>
            <w:r>
              <w:rPr>
                <w:i/>
              </w:rPr>
              <w:t xml:space="preserve">The 2025-26 expected outcome is higher than the 2025-26 target due to a number of schools commencing participation in the program earlier than originally scheduled. </w:t>
            </w:r>
          </w:p>
          <w:p w14:paraId="630B47A3" w14:textId="77777777" w:rsidR="00824558" w:rsidRDefault="00824558" w:rsidP="002B00B9">
            <w:pPr>
              <w:ind w:left="170"/>
            </w:pPr>
            <w:r>
              <w:rPr>
                <w:i/>
              </w:rPr>
              <w:t>This performance measure relates to the calendar year. The higher 2026-27 target reflects the final year of the statewide expansion of the MHiPS initiative.</w:t>
            </w:r>
          </w:p>
        </w:tc>
      </w:tr>
      <w:tr w:rsidR="00824558" w14:paraId="32D314CF"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1104ADC7" w14:textId="77777777" w:rsidR="00824558" w:rsidRDefault="00824558" w:rsidP="002B00B9">
            <w:pPr>
              <w:keepNext/>
              <w:ind w:left="170"/>
            </w:pPr>
            <w:r>
              <w:t>Proportion of Mental Health Fund Menu items with a focus on prevention and early intervention</w:t>
            </w:r>
          </w:p>
        </w:tc>
        <w:tc>
          <w:tcPr>
            <w:tcW w:w="964" w:type="dxa"/>
          </w:tcPr>
          <w:p w14:paraId="7B8B65F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DD370D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39C1C3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6F2D0A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C3B87B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24CB1D00"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6D2170C" w14:textId="189F6D71" w:rsidR="00824558" w:rsidRDefault="00824558" w:rsidP="002B00B9">
            <w:pPr>
              <w:ind w:left="170"/>
            </w:pPr>
            <w:r>
              <w:rPr>
                <w:i/>
              </w:rPr>
              <w:t xml:space="preserve">This performance measure relates to the calendar year. This performance measure is proposed to replace the 2025-26 performance measure </w:t>
            </w:r>
            <w:r w:rsidR="007942D1">
              <w:rPr>
                <w:i/>
              </w:rPr>
              <w:t>‘</w:t>
            </w:r>
            <w:r>
              <w:rPr>
                <w:i/>
              </w:rPr>
              <w:t>Proportion of Mental Health Fund Menu activities planned with a focus on prevention and early intervention</w:t>
            </w:r>
            <w:r w:rsidR="007942D1">
              <w:rPr>
                <w:i/>
              </w:rPr>
              <w:t>’</w:t>
            </w:r>
            <w:r>
              <w:rPr>
                <w:i/>
              </w:rPr>
              <w:t>. It has been replaced due to changes to school level data collections in order to decrease administrative burden.</w:t>
            </w:r>
          </w:p>
        </w:tc>
      </w:tr>
      <w:tr w:rsidR="00824558" w14:paraId="10307DEF"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1F244339" w14:textId="77777777" w:rsidR="00824558" w:rsidRDefault="00824558" w:rsidP="002B00B9">
            <w:pPr>
              <w:keepNext/>
              <w:ind w:left="170"/>
            </w:pPr>
            <w:r>
              <w:t>Proportion of secondary and secondary specialist school campuses that are supported by the Mental Health Practitioners in Secondary Schools initiative</w:t>
            </w:r>
          </w:p>
        </w:tc>
        <w:tc>
          <w:tcPr>
            <w:tcW w:w="964" w:type="dxa"/>
          </w:tcPr>
          <w:p w14:paraId="4D339A5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FB554D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7A83EC3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320A7B8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57310F9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773AD728"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F5BFE63" w14:textId="395C52CE" w:rsidR="00824558" w:rsidRDefault="00824558" w:rsidP="002B00B9">
            <w:pPr>
              <w:ind w:left="170"/>
            </w:pPr>
            <w:r>
              <w:rPr>
                <w:i/>
              </w:rPr>
              <w:t>This performance measure relates to the calendar year.</w:t>
            </w:r>
          </w:p>
        </w:tc>
      </w:tr>
      <w:tr w:rsidR="00824558" w14:paraId="1501A668" w14:textId="77777777" w:rsidTr="003A02B7">
        <w:tc>
          <w:tcPr>
            <w:cnfStyle w:val="001000000000" w:firstRow="0" w:lastRow="0" w:firstColumn="1" w:lastColumn="0" w:oddVBand="0" w:evenVBand="0" w:oddHBand="0" w:evenHBand="0" w:firstRowFirstColumn="0" w:firstRowLastColumn="0" w:lastRowFirstColumn="0" w:lastRowLastColumn="0"/>
            <w:tcW w:w="4820" w:type="dxa"/>
          </w:tcPr>
          <w:p w14:paraId="275D0667" w14:textId="77777777" w:rsidR="00824558" w:rsidRDefault="00824558" w:rsidP="002B00B9">
            <w:pPr>
              <w:keepNext/>
              <w:ind w:left="170"/>
            </w:pPr>
            <w:r>
              <w:t>School satisfaction with student support services</w:t>
            </w:r>
          </w:p>
        </w:tc>
        <w:tc>
          <w:tcPr>
            <w:tcW w:w="964" w:type="dxa"/>
          </w:tcPr>
          <w:p w14:paraId="36CB746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63DB59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86B31D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78.6</w:t>
            </w:r>
          </w:p>
        </w:tc>
        <w:tc>
          <w:tcPr>
            <w:tcW w:w="964" w:type="dxa"/>
          </w:tcPr>
          <w:p w14:paraId="4364382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6CC41B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r>
      <w:tr w:rsidR="00824558" w14:paraId="37B908E4" w14:textId="77777777" w:rsidTr="003A02B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B599BC0" w14:textId="25E18201" w:rsidR="00824558" w:rsidRDefault="00824558" w:rsidP="002B00B9">
            <w:pPr>
              <w:ind w:left="170"/>
            </w:pPr>
            <w:r>
              <w:rPr>
                <w:i/>
              </w:rPr>
              <w:t>This performance measure relates to the calendar year. This performance measure refers to government schools only.</w:t>
            </w:r>
          </w:p>
        </w:tc>
      </w:tr>
      <w:tr w:rsidR="00824558" w:rsidRPr="00464481" w14:paraId="46674BCC" w14:textId="77777777" w:rsidTr="00C76367">
        <w:tc>
          <w:tcPr>
            <w:cnfStyle w:val="001000000000" w:firstRow="0" w:lastRow="0" w:firstColumn="1" w:lastColumn="0" w:oddVBand="0" w:evenVBand="0" w:oddHBand="0" w:evenHBand="0" w:firstRowFirstColumn="0" w:firstRowLastColumn="0" w:lastRowFirstColumn="0" w:lastRowLastColumn="0"/>
            <w:tcW w:w="9640" w:type="dxa"/>
            <w:gridSpan w:val="6"/>
          </w:tcPr>
          <w:p w14:paraId="5096DB48" w14:textId="77777777" w:rsidR="00824558" w:rsidRPr="00464481" w:rsidRDefault="00824558" w:rsidP="002B00B9">
            <w:pPr>
              <w:keepNext/>
              <w:rPr>
                <w:b/>
                <w:bCs/>
                <w:iCs/>
              </w:rPr>
            </w:pPr>
            <w:r w:rsidRPr="00464481">
              <w:rPr>
                <w:b/>
                <w:bCs/>
                <w:iCs/>
              </w:rPr>
              <w:t>Cost</w:t>
            </w:r>
          </w:p>
        </w:tc>
      </w:tr>
      <w:tr w:rsidR="00824558" w14:paraId="5CEB82BE" w14:textId="77777777" w:rsidTr="00C76367">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03D3A781" w14:textId="77777777" w:rsidR="00824558" w:rsidRDefault="00824558" w:rsidP="002B00B9">
            <w:pPr>
              <w:ind w:left="170"/>
            </w:pPr>
            <w:r>
              <w:t>Total output cost</w:t>
            </w:r>
          </w:p>
        </w:tc>
        <w:tc>
          <w:tcPr>
            <w:tcW w:w="964" w:type="dxa"/>
            <w:tcBorders>
              <w:bottom w:val="single" w:sz="12" w:space="0" w:color="auto"/>
            </w:tcBorders>
          </w:tcPr>
          <w:p w14:paraId="69CDC3E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15E125B3" w14:textId="5B1A8302" w:rsidR="00824558" w:rsidRPr="002F2675" w:rsidRDefault="00154641" w:rsidP="002B00B9">
            <w:pPr>
              <w:cnfStyle w:val="000000000000" w:firstRow="0" w:lastRow="0" w:firstColumn="0" w:lastColumn="0" w:oddVBand="0" w:evenVBand="0" w:oddHBand="0" w:evenHBand="0" w:firstRowFirstColumn="0" w:firstRowLastColumn="0" w:lastRowFirstColumn="0" w:lastRowLastColumn="0"/>
              <w:rPr>
                <w:highlight w:val="yellow"/>
              </w:rPr>
            </w:pPr>
            <w:r w:rsidRPr="00154641">
              <w:t>432.7</w:t>
            </w:r>
          </w:p>
        </w:tc>
        <w:tc>
          <w:tcPr>
            <w:tcW w:w="964" w:type="dxa"/>
            <w:tcBorders>
              <w:bottom w:val="single" w:sz="12" w:space="0" w:color="auto"/>
            </w:tcBorders>
          </w:tcPr>
          <w:p w14:paraId="79700104" w14:textId="12FAB592" w:rsidR="00824558" w:rsidRPr="002F2675" w:rsidRDefault="00453E22" w:rsidP="002B00B9">
            <w:pPr>
              <w:cnfStyle w:val="000000000000" w:firstRow="0" w:lastRow="0" w:firstColumn="0" w:lastColumn="0" w:oddVBand="0" w:evenVBand="0" w:oddHBand="0" w:evenHBand="0" w:firstRowFirstColumn="0" w:firstRowLastColumn="0" w:lastRowFirstColumn="0" w:lastRowLastColumn="0"/>
              <w:rPr>
                <w:highlight w:val="yellow"/>
              </w:rPr>
            </w:pPr>
            <w:r w:rsidRPr="00453E22">
              <w:t>423.5</w:t>
            </w:r>
          </w:p>
        </w:tc>
        <w:tc>
          <w:tcPr>
            <w:tcW w:w="964" w:type="dxa"/>
            <w:tcBorders>
              <w:bottom w:val="single" w:sz="12" w:space="0" w:color="auto"/>
            </w:tcBorders>
          </w:tcPr>
          <w:p w14:paraId="58E3F11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426.4</w:t>
            </w:r>
          </w:p>
        </w:tc>
        <w:tc>
          <w:tcPr>
            <w:tcW w:w="964" w:type="dxa"/>
            <w:tcBorders>
              <w:bottom w:val="single" w:sz="12" w:space="0" w:color="auto"/>
            </w:tcBorders>
          </w:tcPr>
          <w:p w14:paraId="3BA5A65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388.9</w:t>
            </w:r>
          </w:p>
        </w:tc>
      </w:tr>
    </w:tbl>
    <w:p w14:paraId="520387C4" w14:textId="77777777" w:rsidR="00824558" w:rsidRDefault="00824558" w:rsidP="009975DD">
      <w:pPr>
        <w:pStyle w:val="Source"/>
      </w:pPr>
      <w:r>
        <w:t>Source: Department of Education</w:t>
      </w:r>
    </w:p>
    <w:p w14:paraId="6C7C54C0" w14:textId="77777777" w:rsidR="00824558" w:rsidRDefault="00824558" w:rsidP="004850F8">
      <w:pPr>
        <w:pStyle w:val="Source"/>
      </w:pPr>
    </w:p>
    <w:p w14:paraId="0F64E3CF" w14:textId="77777777" w:rsidR="001D0FF8" w:rsidRDefault="001D0FF8">
      <w:pPr>
        <w:keepLines w:val="0"/>
        <w:rPr>
          <w:rFonts w:asciiTheme="majorHAnsi" w:eastAsiaTheme="majorEastAsia" w:hAnsiTheme="majorHAnsi" w:cstheme="majorBidi"/>
          <w:b/>
          <w:sz w:val="23"/>
          <w:szCs w:val="24"/>
        </w:rPr>
      </w:pPr>
      <w:r>
        <w:br w:type="page"/>
      </w:r>
    </w:p>
    <w:p w14:paraId="78CC2ED3" w14:textId="4189480D" w:rsidR="00824558" w:rsidRDefault="00824558" w:rsidP="004850F8">
      <w:pPr>
        <w:pStyle w:val="Heading3"/>
      </w:pPr>
      <w:r>
        <w:lastRenderedPageBreak/>
        <w:t>Supports for Schools and Staff</w:t>
      </w:r>
      <w:r>
        <w:tab/>
        <w:t>(2026-27: $</w:t>
      </w:r>
      <w:r w:rsidR="00F77FA7" w:rsidRPr="00B8291C">
        <w:t>2 021.3</w:t>
      </w:r>
      <w:r>
        <w:t xml:space="preserve"> million)</w:t>
      </w:r>
    </w:p>
    <w:p w14:paraId="4C2D5634" w14:textId="77777777" w:rsidR="00824558" w:rsidRPr="00B31B3C" w:rsidRDefault="00824558" w:rsidP="00B31B3C">
      <w:pPr>
        <w:spacing w:after="120"/>
        <w:ind w:right="-94"/>
        <w:rPr>
          <w:rFonts w:ascii="Garamond" w:eastAsia="Garamond" w:hAnsi="Garamond"/>
        </w:rPr>
      </w:pPr>
      <w:r w:rsidRPr="006965F9">
        <w:rPr>
          <w:rFonts w:ascii="Garamond" w:eastAsia="Garamond" w:hAnsi="Garamond"/>
        </w:rPr>
        <w:t>The Supports for Schools and Staff output provides professional development and graduate teacher supports to schools. It also reflects supports including information technology, cleaning and maintenance to government schools as well as audit processes for non-government schools.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824558" w14:paraId="4E0ACF64" w14:textId="77777777" w:rsidTr="00882E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0250E4FB" w14:textId="77777777" w:rsidR="00824558" w:rsidRDefault="00824558" w:rsidP="002B00B9">
            <w:r>
              <w:t>Performance measure</w:t>
            </w:r>
          </w:p>
        </w:tc>
        <w:tc>
          <w:tcPr>
            <w:tcW w:w="964" w:type="dxa"/>
          </w:tcPr>
          <w:p w14:paraId="746D2DB9"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B80096C"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9F63E57"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6C25BBC"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94603C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47BF4E3E"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Pr>
          <w:p w14:paraId="0FC305B9" w14:textId="77777777" w:rsidR="00824558" w:rsidRPr="00DC0EBC" w:rsidRDefault="00824558" w:rsidP="002B00B9">
            <w:pPr>
              <w:keepNext/>
              <w:rPr>
                <w:b/>
              </w:rPr>
            </w:pPr>
            <w:r w:rsidRPr="00DC0EBC">
              <w:rPr>
                <w:b/>
              </w:rPr>
              <w:t>Quantity</w:t>
            </w:r>
          </w:p>
        </w:tc>
      </w:tr>
      <w:tr w:rsidR="00824558" w14:paraId="6EFDD5F8"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112977AB" w14:textId="77777777" w:rsidR="00824558" w:rsidRDefault="00824558" w:rsidP="002B00B9">
            <w:pPr>
              <w:keepNext/>
              <w:ind w:left="170"/>
            </w:pPr>
            <w:r>
              <w:t>Number of assistant principals participating in leadership development programs at the Victorian Academy of Teaching and Leadership (day-length or longer)</w:t>
            </w:r>
          </w:p>
        </w:tc>
        <w:tc>
          <w:tcPr>
            <w:tcW w:w="964" w:type="dxa"/>
            <w:tcBorders>
              <w:bottom w:val="nil"/>
            </w:tcBorders>
          </w:tcPr>
          <w:p w14:paraId="7EE0981C"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093864D5" w14:textId="0C42F6CA" w:rsidR="00824558" w:rsidRDefault="00824558" w:rsidP="002B00B9">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bottom w:val="nil"/>
            </w:tcBorders>
          </w:tcPr>
          <w:p w14:paraId="5381003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1 817</w:t>
            </w:r>
          </w:p>
        </w:tc>
        <w:tc>
          <w:tcPr>
            <w:tcW w:w="964" w:type="dxa"/>
            <w:tcBorders>
              <w:bottom w:val="nil"/>
            </w:tcBorders>
          </w:tcPr>
          <w:p w14:paraId="16F1363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bottom w:val="nil"/>
            </w:tcBorders>
          </w:tcPr>
          <w:p w14:paraId="3EB98A5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1 144</w:t>
            </w:r>
          </w:p>
        </w:tc>
      </w:tr>
      <w:tr w:rsidR="00824558" w14:paraId="5CF42AFF"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B06702D" w14:textId="25766861" w:rsidR="00824558" w:rsidRDefault="00824558" w:rsidP="00DC0EBC">
            <w:pPr>
              <w:keepNext/>
              <w:ind w:left="170"/>
            </w:pPr>
            <w:r>
              <w:rPr>
                <w:i/>
              </w:rPr>
              <w:t>The 2025-26 expected outcome is higher than the 2025-26 target due to strong demand for high</w:t>
            </w:r>
            <w:r w:rsidR="00140510">
              <w:rPr>
                <w:i/>
              </w:rPr>
              <w:t>-</w:t>
            </w:r>
            <w:r>
              <w:rPr>
                <w:i/>
              </w:rPr>
              <w:t xml:space="preserve">quality leadership professional learning programs. </w:t>
            </w:r>
          </w:p>
          <w:p w14:paraId="610A232C" w14:textId="77777777" w:rsidR="00824558" w:rsidRDefault="00824558" w:rsidP="002B00B9">
            <w:pPr>
              <w:ind w:left="170"/>
            </w:pPr>
            <w:r>
              <w:rPr>
                <w:i/>
              </w:rPr>
              <w:t xml:space="preserve">This performance measure relates to the calendar year. </w:t>
            </w:r>
          </w:p>
        </w:tc>
      </w:tr>
      <w:tr w:rsidR="00824558" w14:paraId="07D73A7D"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1E225493" w14:textId="4221CDCA" w:rsidR="00824558" w:rsidRDefault="00824558" w:rsidP="002B00B9">
            <w:pPr>
              <w:keepNext/>
              <w:ind w:left="170"/>
            </w:pPr>
            <w:r>
              <w:t xml:space="preserve">Number of cleaning audits per year </w:t>
            </w:r>
            <w:r w:rsidR="007437B8">
              <w:br/>
            </w:r>
            <w:r>
              <w:t>(for metro cleaning contracts)</w:t>
            </w:r>
          </w:p>
        </w:tc>
        <w:tc>
          <w:tcPr>
            <w:tcW w:w="964" w:type="dxa"/>
            <w:tcBorders>
              <w:top w:val="single" w:sz="6" w:space="0" w:color="auto"/>
              <w:bottom w:val="nil"/>
            </w:tcBorders>
          </w:tcPr>
          <w:p w14:paraId="2613605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5064F59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top w:val="single" w:sz="6" w:space="0" w:color="auto"/>
              <w:bottom w:val="nil"/>
            </w:tcBorders>
          </w:tcPr>
          <w:p w14:paraId="4C2EEDA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1 629</w:t>
            </w:r>
          </w:p>
        </w:tc>
        <w:tc>
          <w:tcPr>
            <w:tcW w:w="964" w:type="dxa"/>
            <w:tcBorders>
              <w:top w:val="single" w:sz="6" w:space="0" w:color="auto"/>
              <w:bottom w:val="nil"/>
            </w:tcBorders>
          </w:tcPr>
          <w:p w14:paraId="3F6048A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top w:val="single" w:sz="6" w:space="0" w:color="auto"/>
              <w:bottom w:val="nil"/>
            </w:tcBorders>
          </w:tcPr>
          <w:p w14:paraId="6BCF395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1 000</w:t>
            </w:r>
          </w:p>
        </w:tc>
      </w:tr>
      <w:tr w:rsidR="00824558" w14:paraId="30E7D173"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6EB8155" w14:textId="56AD7BAC" w:rsidR="00824558" w:rsidRDefault="00824558" w:rsidP="002B00B9">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a one-off increase in on-site quality audits associated with mobilisation of the new Metropolitan School Cleaning Contract, which commenced on 26 December 2024; the ongoing steady-state audit target remains approximately 1 000 audits per year.</w:t>
            </w:r>
          </w:p>
          <w:p w14:paraId="73CD955C" w14:textId="77777777" w:rsidR="00824558" w:rsidRDefault="00824558" w:rsidP="002B00B9">
            <w:pPr>
              <w:ind w:left="170"/>
            </w:pPr>
            <w:r>
              <w:rPr>
                <w:i/>
              </w:rPr>
              <w:t>This performance measure relates to the calendar year.</w:t>
            </w:r>
          </w:p>
        </w:tc>
      </w:tr>
      <w:tr w:rsidR="00824558" w14:paraId="54DF9686"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485AF953" w14:textId="77777777" w:rsidR="00824558" w:rsidRDefault="00824558" w:rsidP="002B00B9">
            <w:pPr>
              <w:keepNext/>
              <w:ind w:left="170"/>
            </w:pPr>
            <w:r>
              <w:t>Number of participants in the Teaching Excellence Program</w:t>
            </w:r>
          </w:p>
        </w:tc>
        <w:tc>
          <w:tcPr>
            <w:tcW w:w="964" w:type="dxa"/>
            <w:tcBorders>
              <w:top w:val="single" w:sz="6" w:space="0" w:color="auto"/>
              <w:bottom w:val="nil"/>
            </w:tcBorders>
          </w:tcPr>
          <w:p w14:paraId="651BC91B"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75FEF67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300</w:t>
            </w:r>
          </w:p>
        </w:tc>
        <w:tc>
          <w:tcPr>
            <w:tcW w:w="964" w:type="dxa"/>
            <w:tcBorders>
              <w:top w:val="single" w:sz="6" w:space="0" w:color="auto"/>
              <w:bottom w:val="nil"/>
            </w:tcBorders>
          </w:tcPr>
          <w:p w14:paraId="5142DF8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499</w:t>
            </w:r>
          </w:p>
        </w:tc>
        <w:tc>
          <w:tcPr>
            <w:tcW w:w="964" w:type="dxa"/>
            <w:tcBorders>
              <w:top w:val="single" w:sz="6" w:space="0" w:color="auto"/>
              <w:bottom w:val="nil"/>
            </w:tcBorders>
          </w:tcPr>
          <w:p w14:paraId="0D86B1F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400</w:t>
            </w:r>
          </w:p>
        </w:tc>
        <w:tc>
          <w:tcPr>
            <w:tcW w:w="964" w:type="dxa"/>
            <w:tcBorders>
              <w:top w:val="single" w:sz="6" w:space="0" w:color="auto"/>
              <w:bottom w:val="nil"/>
            </w:tcBorders>
          </w:tcPr>
          <w:p w14:paraId="036500E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438</w:t>
            </w:r>
          </w:p>
        </w:tc>
      </w:tr>
      <w:tr w:rsidR="00824558" w14:paraId="6EEF60DF"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09E63E7" w14:textId="77777777" w:rsidR="00824558" w:rsidRDefault="00824558" w:rsidP="002B00B9">
            <w:pPr>
              <w:ind w:left="170"/>
            </w:pPr>
            <w:r>
              <w:rPr>
                <w:i/>
              </w:rPr>
              <w:t xml:space="preserve">The 2025-26 expected outcome is higher than the 2025-26 target due to strong demand for the program across all sectors in 2025. </w:t>
            </w:r>
          </w:p>
          <w:p w14:paraId="776B6ADC" w14:textId="77777777" w:rsidR="00824558" w:rsidRDefault="00824558" w:rsidP="002B00B9">
            <w:pPr>
              <w:ind w:left="170"/>
            </w:pPr>
            <w:r>
              <w:rPr>
                <w:i/>
              </w:rPr>
              <w:t>This performance measure relates to the calendar year. The lower 2026-27 target reflects reprioritisation across programs.</w:t>
            </w:r>
          </w:p>
        </w:tc>
      </w:tr>
      <w:tr w:rsidR="00824558" w14:paraId="7FD30987"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70643B07" w14:textId="77777777" w:rsidR="00824558" w:rsidRDefault="00824558" w:rsidP="002B00B9">
            <w:pPr>
              <w:keepNext/>
              <w:ind w:left="170"/>
            </w:pPr>
            <w:r>
              <w:t>Number of principals participating in leadership development programs the Victorian Academy of Teaching and Leadership (day-length or longer)</w:t>
            </w:r>
          </w:p>
        </w:tc>
        <w:tc>
          <w:tcPr>
            <w:tcW w:w="964" w:type="dxa"/>
            <w:tcBorders>
              <w:top w:val="single" w:sz="6" w:space="0" w:color="auto"/>
              <w:bottom w:val="nil"/>
            </w:tcBorders>
          </w:tcPr>
          <w:p w14:paraId="50396AA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45BDBD9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1 100</w:t>
            </w:r>
          </w:p>
        </w:tc>
        <w:tc>
          <w:tcPr>
            <w:tcW w:w="964" w:type="dxa"/>
            <w:tcBorders>
              <w:top w:val="single" w:sz="6" w:space="0" w:color="auto"/>
              <w:bottom w:val="nil"/>
            </w:tcBorders>
          </w:tcPr>
          <w:p w14:paraId="1B2049A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1 758</w:t>
            </w:r>
          </w:p>
        </w:tc>
        <w:tc>
          <w:tcPr>
            <w:tcW w:w="964" w:type="dxa"/>
            <w:tcBorders>
              <w:top w:val="single" w:sz="6" w:space="0" w:color="auto"/>
              <w:bottom w:val="nil"/>
            </w:tcBorders>
          </w:tcPr>
          <w:p w14:paraId="40B5D9F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1 100</w:t>
            </w:r>
          </w:p>
        </w:tc>
        <w:tc>
          <w:tcPr>
            <w:tcW w:w="964" w:type="dxa"/>
            <w:tcBorders>
              <w:top w:val="single" w:sz="6" w:space="0" w:color="auto"/>
              <w:bottom w:val="nil"/>
            </w:tcBorders>
          </w:tcPr>
          <w:p w14:paraId="1B78AEB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1 215</w:t>
            </w:r>
          </w:p>
        </w:tc>
      </w:tr>
      <w:tr w:rsidR="00824558" w14:paraId="215A824F"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E216D96" w14:textId="4A8F2934" w:rsidR="00824558" w:rsidRDefault="00824558" w:rsidP="002B00B9">
            <w:pPr>
              <w:ind w:left="170"/>
            </w:pPr>
            <w:r>
              <w:rPr>
                <w:i/>
              </w:rPr>
              <w:t>The 2025-26 expected outcome is higher than the 2025-26 target due to strong demand for high</w:t>
            </w:r>
            <w:r w:rsidR="00865877">
              <w:rPr>
                <w:i/>
              </w:rPr>
              <w:t>-</w:t>
            </w:r>
            <w:r>
              <w:rPr>
                <w:i/>
              </w:rPr>
              <w:t>quality leadership professional learning programs.</w:t>
            </w:r>
          </w:p>
          <w:p w14:paraId="437602E9" w14:textId="77777777" w:rsidR="00824558" w:rsidRDefault="00824558" w:rsidP="002B00B9">
            <w:pPr>
              <w:ind w:left="170"/>
            </w:pPr>
            <w:r>
              <w:rPr>
                <w:i/>
              </w:rPr>
              <w:t xml:space="preserve">This performance measure relates to the calendar year. </w:t>
            </w:r>
          </w:p>
        </w:tc>
      </w:tr>
      <w:tr w:rsidR="00824558" w14:paraId="118444A9"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2845C620" w14:textId="77777777" w:rsidR="00824558" w:rsidRDefault="00824558" w:rsidP="002B00B9">
            <w:pPr>
              <w:keepNext/>
              <w:ind w:left="170"/>
            </w:pPr>
            <w:r>
              <w:t>Number of Rolling Facilities Evaluation (RFE) audits completed per year</w:t>
            </w:r>
          </w:p>
        </w:tc>
        <w:tc>
          <w:tcPr>
            <w:tcW w:w="964" w:type="dxa"/>
            <w:tcBorders>
              <w:top w:val="single" w:sz="6" w:space="0" w:color="auto"/>
              <w:bottom w:val="nil"/>
            </w:tcBorders>
          </w:tcPr>
          <w:p w14:paraId="17CE80A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682A8E5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300</w:t>
            </w:r>
          </w:p>
        </w:tc>
        <w:tc>
          <w:tcPr>
            <w:tcW w:w="964" w:type="dxa"/>
            <w:tcBorders>
              <w:top w:val="single" w:sz="6" w:space="0" w:color="auto"/>
              <w:bottom w:val="nil"/>
            </w:tcBorders>
          </w:tcPr>
          <w:p w14:paraId="43A45DC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323</w:t>
            </w:r>
          </w:p>
        </w:tc>
        <w:tc>
          <w:tcPr>
            <w:tcW w:w="964" w:type="dxa"/>
            <w:tcBorders>
              <w:top w:val="single" w:sz="6" w:space="0" w:color="auto"/>
              <w:bottom w:val="nil"/>
            </w:tcBorders>
          </w:tcPr>
          <w:p w14:paraId="13AD720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323</w:t>
            </w:r>
          </w:p>
        </w:tc>
        <w:tc>
          <w:tcPr>
            <w:tcW w:w="964" w:type="dxa"/>
            <w:tcBorders>
              <w:top w:val="single" w:sz="6" w:space="0" w:color="auto"/>
              <w:bottom w:val="nil"/>
            </w:tcBorders>
          </w:tcPr>
          <w:p w14:paraId="7FFC6A3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360</w:t>
            </w:r>
          </w:p>
        </w:tc>
      </w:tr>
      <w:tr w:rsidR="00824558" w14:paraId="3F885357"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A4AB82D" w14:textId="574519AF" w:rsidR="00824558" w:rsidRDefault="00824558" w:rsidP="002B00B9">
            <w:pPr>
              <w:ind w:left="170"/>
            </w:pPr>
            <w:r>
              <w:rPr>
                <w:i/>
              </w:rPr>
              <w:t xml:space="preserve">This performance measure relates to the calendar year. The lower target for </w:t>
            </w:r>
            <w:r w:rsidR="002B57CA">
              <w:rPr>
                <w:i/>
              </w:rPr>
              <w:t>2026-27</w:t>
            </w:r>
            <w:r>
              <w:rPr>
                <w:i/>
              </w:rPr>
              <w:t xml:space="preserve"> reflects the structure of the RFE as a five-year program and planned variations in annual delivery.</w:t>
            </w:r>
          </w:p>
        </w:tc>
      </w:tr>
      <w:tr w:rsidR="00824558" w14:paraId="6CB9F5E1"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6BF204E6" w14:textId="77777777" w:rsidR="00824558" w:rsidRDefault="00824558" w:rsidP="002B00B9">
            <w:pPr>
              <w:keepNext/>
              <w:ind w:left="170"/>
            </w:pPr>
            <w:r>
              <w:t>Number of school reviews undertaken</w:t>
            </w:r>
          </w:p>
        </w:tc>
        <w:tc>
          <w:tcPr>
            <w:tcW w:w="964" w:type="dxa"/>
            <w:tcBorders>
              <w:top w:val="single" w:sz="6" w:space="0" w:color="auto"/>
              <w:bottom w:val="nil"/>
            </w:tcBorders>
          </w:tcPr>
          <w:p w14:paraId="3EB2D2A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6D484E7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52</w:t>
            </w:r>
          </w:p>
        </w:tc>
        <w:tc>
          <w:tcPr>
            <w:tcW w:w="964" w:type="dxa"/>
            <w:tcBorders>
              <w:top w:val="single" w:sz="6" w:space="0" w:color="auto"/>
              <w:bottom w:val="nil"/>
            </w:tcBorders>
          </w:tcPr>
          <w:p w14:paraId="09F750D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54</w:t>
            </w:r>
          </w:p>
        </w:tc>
        <w:tc>
          <w:tcPr>
            <w:tcW w:w="964" w:type="dxa"/>
            <w:tcBorders>
              <w:top w:val="single" w:sz="6" w:space="0" w:color="auto"/>
              <w:bottom w:val="nil"/>
            </w:tcBorders>
          </w:tcPr>
          <w:p w14:paraId="6FE4729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42</w:t>
            </w:r>
          </w:p>
        </w:tc>
        <w:tc>
          <w:tcPr>
            <w:tcW w:w="964" w:type="dxa"/>
            <w:tcBorders>
              <w:top w:val="single" w:sz="6" w:space="0" w:color="auto"/>
              <w:bottom w:val="nil"/>
            </w:tcBorders>
          </w:tcPr>
          <w:p w14:paraId="2A0DC13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67</w:t>
            </w:r>
          </w:p>
        </w:tc>
      </w:tr>
      <w:tr w:rsidR="00824558" w14:paraId="7DC8E91E"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51A9A98" w14:textId="77777777" w:rsidR="00824558" w:rsidRDefault="00824558" w:rsidP="002B00B9">
            <w:pPr>
              <w:ind w:left="170"/>
            </w:pPr>
            <w:r>
              <w:rPr>
                <w:i/>
              </w:rPr>
              <w:t>The 2025-26 expected outcome is higher than the 2025-26 target due to a greater number of schools that fell due for review and CRICOS (Commonwealth Register of Institutions and Courses for Overseas Students) reapproval for 2026.</w:t>
            </w:r>
          </w:p>
          <w:p w14:paraId="58A99BC0" w14:textId="77777777" w:rsidR="00824558" w:rsidRDefault="00824558" w:rsidP="002B00B9">
            <w:pPr>
              <w:ind w:left="170"/>
            </w:pPr>
            <w:r>
              <w:rPr>
                <w:i/>
              </w:rPr>
              <w:t>This performance measure relates to the calendar year. The higher 2026-27 target reflects an increase in the number of school or school boarding premises reviews that are due for a five-year cyclical review.</w:t>
            </w:r>
          </w:p>
        </w:tc>
      </w:tr>
      <w:tr w:rsidR="00824558" w14:paraId="08800C0F"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1FA411F8" w14:textId="77777777" w:rsidR="00824558" w:rsidRDefault="00824558" w:rsidP="002B00B9">
            <w:pPr>
              <w:keepNext/>
              <w:ind w:left="170"/>
            </w:pPr>
            <w:r>
              <w:t>Number of secondary teaching scholarships allocated</w:t>
            </w:r>
          </w:p>
        </w:tc>
        <w:tc>
          <w:tcPr>
            <w:tcW w:w="964" w:type="dxa"/>
            <w:tcBorders>
              <w:top w:val="single" w:sz="6" w:space="0" w:color="auto"/>
              <w:bottom w:val="nil"/>
            </w:tcBorders>
          </w:tcPr>
          <w:p w14:paraId="74522A7C"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0F34DD9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200</w:t>
            </w:r>
          </w:p>
        </w:tc>
        <w:tc>
          <w:tcPr>
            <w:tcW w:w="964" w:type="dxa"/>
            <w:tcBorders>
              <w:top w:val="single" w:sz="6" w:space="0" w:color="auto"/>
              <w:bottom w:val="nil"/>
            </w:tcBorders>
          </w:tcPr>
          <w:p w14:paraId="7A26D8E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top w:val="single" w:sz="6" w:space="0" w:color="auto"/>
              <w:bottom w:val="nil"/>
            </w:tcBorders>
          </w:tcPr>
          <w:p w14:paraId="3F5CF6D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top w:val="single" w:sz="6" w:space="0" w:color="auto"/>
              <w:bottom w:val="nil"/>
            </w:tcBorders>
          </w:tcPr>
          <w:p w14:paraId="6C76113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4FA23AC5"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35B463C" w14:textId="2B6BFC19" w:rsidR="00824558" w:rsidRDefault="00824558" w:rsidP="002B00B9">
            <w:pPr>
              <w:ind w:left="170"/>
            </w:pPr>
            <w:r>
              <w:rPr>
                <w:i/>
              </w:rPr>
              <w:t>This performance measure is proposed to replace the 2025-26 pe</w:t>
            </w:r>
            <w:r w:rsidRPr="002B085C">
              <w:rPr>
                <w:i/>
              </w:rPr>
              <w:t xml:space="preserve">rformance measure </w:t>
            </w:r>
            <w:r w:rsidR="007942D1">
              <w:rPr>
                <w:i/>
              </w:rPr>
              <w:t>‘</w:t>
            </w:r>
            <w:r w:rsidRPr="002B085C">
              <w:rPr>
                <w:i/>
              </w:rPr>
              <w:t>Growth in commencements in secondary and dual primary/secondary ITE courses</w:t>
            </w:r>
            <w:r w:rsidR="007942D1">
              <w:rPr>
                <w:i/>
              </w:rPr>
              <w:t>’</w:t>
            </w:r>
            <w:r w:rsidRPr="002B085C">
              <w:rPr>
                <w:i/>
              </w:rPr>
              <w:t>. It has been replaced to better reflect</w:t>
            </w:r>
            <w:r>
              <w:rPr>
                <w:i/>
              </w:rPr>
              <w:t xml:space="preserve"> secondary teacher workforce development. This performance measure relates to the calendar year.</w:t>
            </w:r>
          </w:p>
        </w:tc>
      </w:tr>
      <w:tr w:rsidR="00824558" w14:paraId="5E5F1EDF"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1DB582A4" w14:textId="77777777" w:rsidR="00824558" w:rsidRDefault="00824558" w:rsidP="002B00B9">
            <w:pPr>
              <w:keepNext/>
              <w:ind w:left="170"/>
            </w:pPr>
            <w:r>
              <w:t>Number of students commencing an undergraduate employment-based Initial Teacher Education program</w:t>
            </w:r>
          </w:p>
        </w:tc>
        <w:tc>
          <w:tcPr>
            <w:tcW w:w="964" w:type="dxa"/>
            <w:tcBorders>
              <w:top w:val="single" w:sz="6" w:space="0" w:color="auto"/>
              <w:bottom w:val="nil"/>
            </w:tcBorders>
          </w:tcPr>
          <w:p w14:paraId="576196B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55DF826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nil"/>
            </w:tcBorders>
          </w:tcPr>
          <w:p w14:paraId="7A99C14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78</w:t>
            </w:r>
          </w:p>
        </w:tc>
        <w:tc>
          <w:tcPr>
            <w:tcW w:w="964" w:type="dxa"/>
            <w:tcBorders>
              <w:top w:val="single" w:sz="6" w:space="0" w:color="auto"/>
              <w:bottom w:val="nil"/>
            </w:tcBorders>
          </w:tcPr>
          <w:p w14:paraId="77983B7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w:t>
            </w:r>
          </w:p>
        </w:tc>
        <w:tc>
          <w:tcPr>
            <w:tcW w:w="964" w:type="dxa"/>
            <w:tcBorders>
              <w:top w:val="single" w:sz="6" w:space="0" w:color="auto"/>
              <w:bottom w:val="nil"/>
            </w:tcBorders>
          </w:tcPr>
          <w:p w14:paraId="262E6ED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41EB5160"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02303904" w14:textId="77777777" w:rsidR="00824558" w:rsidRDefault="00824558" w:rsidP="002B00B9">
            <w:pPr>
              <w:ind w:left="170"/>
            </w:pPr>
            <w:r>
              <w:rPr>
                <w:i/>
              </w:rPr>
              <w:t xml:space="preserve">The 2025-26 expected outcome is higher than the 2025-26 target due to increases in the number of offered places in 2025. </w:t>
            </w:r>
          </w:p>
          <w:p w14:paraId="0F08066E" w14:textId="77777777" w:rsidR="00824558" w:rsidRDefault="00824558" w:rsidP="002B00B9">
            <w:pPr>
              <w:ind w:left="170"/>
            </w:pPr>
            <w:r>
              <w:rPr>
                <w:i/>
              </w:rPr>
              <w:t xml:space="preserve">This performance measure relates to the calendar year. The higher 2026-27 target reflects higher than expected demand for the initiative in areas of high workforce need. </w:t>
            </w:r>
          </w:p>
        </w:tc>
      </w:tr>
      <w:tr w:rsidR="00824558" w14:paraId="694EA7DA"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7B9DAF2E" w14:textId="77777777" w:rsidR="00824558" w:rsidRDefault="00824558" w:rsidP="002B00B9">
            <w:pPr>
              <w:ind w:left="170"/>
            </w:pPr>
            <w:r>
              <w:t>Number of teacher targeted financial incentives allocated</w:t>
            </w:r>
          </w:p>
        </w:tc>
        <w:tc>
          <w:tcPr>
            <w:tcW w:w="964" w:type="dxa"/>
            <w:tcBorders>
              <w:top w:val="single" w:sz="6" w:space="0" w:color="auto"/>
              <w:bottom w:val="single" w:sz="6" w:space="0" w:color="auto"/>
            </w:tcBorders>
          </w:tcPr>
          <w:p w14:paraId="6B5679B6"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single" w:sz="6" w:space="0" w:color="auto"/>
            </w:tcBorders>
            <w:shd w:val="clear" w:color="auto" w:fill="F0F0F0"/>
          </w:tcPr>
          <w:p w14:paraId="6F881AA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w:t>
            </w:r>
          </w:p>
        </w:tc>
        <w:tc>
          <w:tcPr>
            <w:tcW w:w="964" w:type="dxa"/>
            <w:tcBorders>
              <w:top w:val="single" w:sz="6" w:space="0" w:color="auto"/>
              <w:bottom w:val="single" w:sz="6" w:space="0" w:color="auto"/>
            </w:tcBorders>
          </w:tcPr>
          <w:p w14:paraId="537342E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w:t>
            </w:r>
          </w:p>
        </w:tc>
        <w:tc>
          <w:tcPr>
            <w:tcW w:w="964" w:type="dxa"/>
            <w:tcBorders>
              <w:top w:val="single" w:sz="6" w:space="0" w:color="auto"/>
              <w:bottom w:val="single" w:sz="6" w:space="0" w:color="auto"/>
            </w:tcBorders>
          </w:tcPr>
          <w:p w14:paraId="07DB31E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w:t>
            </w:r>
          </w:p>
        </w:tc>
        <w:tc>
          <w:tcPr>
            <w:tcW w:w="964" w:type="dxa"/>
            <w:tcBorders>
              <w:top w:val="single" w:sz="6" w:space="0" w:color="auto"/>
              <w:bottom w:val="single" w:sz="6" w:space="0" w:color="auto"/>
            </w:tcBorders>
          </w:tcPr>
          <w:p w14:paraId="7F15258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139</w:t>
            </w:r>
          </w:p>
        </w:tc>
      </w:tr>
      <w:tr w:rsidR="00824558" w14:paraId="3EA9C382"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tcPr>
          <w:p w14:paraId="098A4C5C" w14:textId="77777777" w:rsidR="00824558" w:rsidRDefault="00824558" w:rsidP="002B00B9">
            <w:pPr>
              <w:keepNext/>
              <w:ind w:left="170"/>
            </w:pPr>
            <w:r>
              <w:t>Number of teaching service staff participating in short-form Victorian Academy of Teaching and Leadership professional learning programs</w:t>
            </w:r>
          </w:p>
        </w:tc>
        <w:tc>
          <w:tcPr>
            <w:tcW w:w="964" w:type="dxa"/>
            <w:tcBorders>
              <w:top w:val="nil"/>
              <w:bottom w:val="nil"/>
            </w:tcBorders>
          </w:tcPr>
          <w:p w14:paraId="19A02A0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nil"/>
            </w:tcBorders>
            <w:shd w:val="clear" w:color="auto" w:fill="F0F0F0"/>
          </w:tcPr>
          <w:p w14:paraId="307A439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3 000</w:t>
            </w:r>
          </w:p>
        </w:tc>
        <w:tc>
          <w:tcPr>
            <w:tcW w:w="964" w:type="dxa"/>
            <w:tcBorders>
              <w:top w:val="single" w:sz="6" w:space="0" w:color="auto"/>
              <w:bottom w:val="nil"/>
            </w:tcBorders>
          </w:tcPr>
          <w:p w14:paraId="5D80A06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4 962</w:t>
            </w:r>
          </w:p>
        </w:tc>
        <w:tc>
          <w:tcPr>
            <w:tcW w:w="964" w:type="dxa"/>
            <w:tcBorders>
              <w:top w:val="single" w:sz="6" w:space="0" w:color="auto"/>
              <w:bottom w:val="nil"/>
            </w:tcBorders>
          </w:tcPr>
          <w:p w14:paraId="2A97268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3 000</w:t>
            </w:r>
          </w:p>
        </w:tc>
        <w:tc>
          <w:tcPr>
            <w:tcW w:w="964" w:type="dxa"/>
            <w:tcBorders>
              <w:top w:val="single" w:sz="6" w:space="0" w:color="auto"/>
              <w:bottom w:val="nil"/>
            </w:tcBorders>
          </w:tcPr>
          <w:p w14:paraId="03ADD3F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4 362</w:t>
            </w:r>
          </w:p>
        </w:tc>
      </w:tr>
      <w:tr w:rsidR="00824558" w14:paraId="6DCC0CC6"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1BE3A15" w14:textId="712C932B" w:rsidR="00824558" w:rsidRDefault="00824558" w:rsidP="002B00B9">
            <w:pPr>
              <w:ind w:left="170"/>
            </w:pPr>
            <w:r>
              <w:rPr>
                <w:i/>
              </w:rPr>
              <w:t>The 2025-26 expected outcome is higher than the 2025-26 target due to strong demand for high</w:t>
            </w:r>
            <w:r w:rsidR="003E171F">
              <w:rPr>
                <w:i/>
              </w:rPr>
              <w:t>-</w:t>
            </w:r>
            <w:r>
              <w:rPr>
                <w:i/>
              </w:rPr>
              <w:t>quality professional learning.</w:t>
            </w:r>
          </w:p>
          <w:p w14:paraId="49C6E1AA" w14:textId="77777777" w:rsidR="00824558" w:rsidRDefault="00824558" w:rsidP="002B00B9">
            <w:pPr>
              <w:ind w:left="170"/>
            </w:pPr>
            <w:r>
              <w:rPr>
                <w:i/>
              </w:rPr>
              <w:t xml:space="preserve">This performance measure relates to the calendar year. </w:t>
            </w:r>
          </w:p>
        </w:tc>
      </w:tr>
      <w:tr w:rsidR="00824558" w14:paraId="769390C8" w14:textId="77777777" w:rsidTr="00841E66">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4812F5D9" w14:textId="77777777" w:rsidR="00824558" w:rsidRDefault="00824558" w:rsidP="002B00B9">
            <w:pPr>
              <w:keepNext/>
              <w:ind w:left="170"/>
            </w:pPr>
            <w:r>
              <w:t>Number of teaching service staff who are not principals or assistant principals participating in leadership development programs at the Victorian Academy of Teaching and Leadership (day-length or longer)</w:t>
            </w:r>
          </w:p>
        </w:tc>
        <w:tc>
          <w:tcPr>
            <w:tcW w:w="964" w:type="dxa"/>
            <w:tcBorders>
              <w:top w:val="single" w:sz="6" w:space="0" w:color="auto"/>
              <w:bottom w:val="nil"/>
            </w:tcBorders>
          </w:tcPr>
          <w:p w14:paraId="1A6E71A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1A0AFC1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3 000</w:t>
            </w:r>
          </w:p>
        </w:tc>
        <w:tc>
          <w:tcPr>
            <w:tcW w:w="964" w:type="dxa"/>
            <w:tcBorders>
              <w:top w:val="single" w:sz="6" w:space="0" w:color="auto"/>
              <w:bottom w:val="nil"/>
            </w:tcBorders>
          </w:tcPr>
          <w:p w14:paraId="3276ECA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5 754</w:t>
            </w:r>
          </w:p>
        </w:tc>
        <w:tc>
          <w:tcPr>
            <w:tcW w:w="964" w:type="dxa"/>
            <w:tcBorders>
              <w:top w:val="single" w:sz="6" w:space="0" w:color="auto"/>
              <w:bottom w:val="nil"/>
            </w:tcBorders>
          </w:tcPr>
          <w:p w14:paraId="1762AAA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3 000</w:t>
            </w:r>
          </w:p>
        </w:tc>
        <w:tc>
          <w:tcPr>
            <w:tcW w:w="964" w:type="dxa"/>
            <w:tcBorders>
              <w:top w:val="single" w:sz="6" w:space="0" w:color="auto"/>
              <w:bottom w:val="nil"/>
            </w:tcBorders>
          </w:tcPr>
          <w:p w14:paraId="3F3886A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3 742</w:t>
            </w:r>
          </w:p>
        </w:tc>
      </w:tr>
      <w:tr w:rsidR="00824558" w14:paraId="1C145EF3"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626451D" w14:textId="5616CC4F" w:rsidR="00824558" w:rsidRDefault="00824558" w:rsidP="002B00B9">
            <w:pPr>
              <w:ind w:left="170"/>
            </w:pPr>
            <w:r>
              <w:rPr>
                <w:i/>
              </w:rPr>
              <w:t>The 2025-26 expected outcome is higher than the 2025-26 target due to strong demand for high</w:t>
            </w:r>
            <w:r w:rsidR="003E171F">
              <w:rPr>
                <w:i/>
              </w:rPr>
              <w:t>-</w:t>
            </w:r>
            <w:r>
              <w:rPr>
                <w:i/>
              </w:rPr>
              <w:t xml:space="preserve">quality teaching and leadership professional learning programs. </w:t>
            </w:r>
          </w:p>
          <w:p w14:paraId="55363822" w14:textId="77777777" w:rsidR="00824558" w:rsidRDefault="00824558" w:rsidP="002B00B9">
            <w:pPr>
              <w:ind w:left="170"/>
            </w:pPr>
            <w:r>
              <w:rPr>
                <w:i/>
              </w:rPr>
              <w:t xml:space="preserve">This performance measure relates to the calendar year. This performance measure includes all school staff (teaching and education support). </w:t>
            </w:r>
          </w:p>
        </w:tc>
      </w:tr>
      <w:tr w:rsidR="00824558" w14:paraId="1741CE68" w14:textId="77777777" w:rsidTr="00882E40">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548B47A6" w14:textId="77777777" w:rsidR="00824558" w:rsidRDefault="00824558" w:rsidP="002B00B9">
            <w:pPr>
              <w:keepNext/>
              <w:ind w:left="170"/>
            </w:pPr>
            <w:r>
              <w:lastRenderedPageBreak/>
              <w:t>Percentage of funded places in Innovative Initial Teacher Education (IITE) allocated to students who are enrolled in IITE courses and placed in a Victorian government school.</w:t>
            </w:r>
          </w:p>
        </w:tc>
        <w:tc>
          <w:tcPr>
            <w:tcW w:w="964" w:type="dxa"/>
            <w:tcBorders>
              <w:top w:val="single" w:sz="6" w:space="0" w:color="auto"/>
              <w:bottom w:val="nil"/>
            </w:tcBorders>
          </w:tcPr>
          <w:p w14:paraId="7E488E0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nil"/>
            </w:tcBorders>
            <w:shd w:val="clear" w:color="auto" w:fill="F0F0F0"/>
          </w:tcPr>
          <w:p w14:paraId="407EBEB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60</w:t>
            </w:r>
          </w:p>
        </w:tc>
        <w:tc>
          <w:tcPr>
            <w:tcW w:w="964" w:type="dxa"/>
            <w:tcBorders>
              <w:top w:val="single" w:sz="6" w:space="0" w:color="auto"/>
              <w:bottom w:val="nil"/>
            </w:tcBorders>
          </w:tcPr>
          <w:p w14:paraId="5967A0F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79.9</w:t>
            </w:r>
          </w:p>
        </w:tc>
        <w:tc>
          <w:tcPr>
            <w:tcW w:w="964" w:type="dxa"/>
            <w:tcBorders>
              <w:top w:val="single" w:sz="6" w:space="0" w:color="auto"/>
              <w:bottom w:val="nil"/>
            </w:tcBorders>
          </w:tcPr>
          <w:p w14:paraId="7797E55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60</w:t>
            </w:r>
          </w:p>
        </w:tc>
        <w:tc>
          <w:tcPr>
            <w:tcW w:w="964" w:type="dxa"/>
            <w:tcBorders>
              <w:top w:val="single" w:sz="6" w:space="0" w:color="auto"/>
              <w:bottom w:val="nil"/>
            </w:tcBorders>
          </w:tcPr>
          <w:p w14:paraId="19456BB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69</w:t>
            </w:r>
          </w:p>
        </w:tc>
      </w:tr>
      <w:tr w:rsidR="00824558" w14:paraId="206A9AFF"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298227A" w14:textId="10F726B1" w:rsidR="00824558" w:rsidRDefault="00824558" w:rsidP="002B00B9">
            <w:pPr>
              <w:ind w:left="170"/>
            </w:pPr>
            <w:r>
              <w:rPr>
                <w:i/>
              </w:rPr>
              <w:t>The 2025-26 expected outcome is higher than the 2025-26 target due to increased demand for this initiative in areas of high workforce need.</w:t>
            </w:r>
          </w:p>
          <w:p w14:paraId="316F9317" w14:textId="77777777" w:rsidR="00824558" w:rsidRDefault="00824558" w:rsidP="002B00B9">
            <w:pPr>
              <w:ind w:left="170"/>
            </w:pPr>
            <w:r>
              <w:rPr>
                <w:i/>
              </w:rPr>
              <w:t xml:space="preserve">This performance measure relates to the calendar year. </w:t>
            </w:r>
          </w:p>
        </w:tc>
      </w:tr>
      <w:tr w:rsidR="00824558" w:rsidRPr="00DC0EBC" w14:paraId="195D8E73"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34C8E09C" w14:textId="77777777" w:rsidR="00824558" w:rsidRPr="00DC0EBC" w:rsidRDefault="00824558" w:rsidP="002B00B9">
            <w:pPr>
              <w:keepNext/>
              <w:rPr>
                <w:b/>
              </w:rPr>
            </w:pPr>
            <w:r w:rsidRPr="00DC0EBC">
              <w:rPr>
                <w:b/>
              </w:rPr>
              <w:t>Quality</w:t>
            </w:r>
          </w:p>
        </w:tc>
      </w:tr>
      <w:tr w:rsidR="00824558" w14:paraId="58F08688" w14:textId="77777777" w:rsidTr="00882E40">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352E9A16" w14:textId="77777777" w:rsidR="00824558" w:rsidRDefault="00824558" w:rsidP="002B00B9">
            <w:pPr>
              <w:keepNext/>
              <w:ind w:left="170"/>
            </w:pPr>
            <w:r>
              <w:t>Proportion of government schools which have internet speeds of at least 2Mbps per student</w:t>
            </w:r>
          </w:p>
        </w:tc>
        <w:tc>
          <w:tcPr>
            <w:tcW w:w="964" w:type="dxa"/>
            <w:tcBorders>
              <w:bottom w:val="nil"/>
            </w:tcBorders>
          </w:tcPr>
          <w:p w14:paraId="57D9FC5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60B2278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nil"/>
            </w:tcBorders>
          </w:tcPr>
          <w:p w14:paraId="2DA2B63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5636205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7583B62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4838D5F8"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E65F370" w14:textId="653D1EA4" w:rsidR="00824558" w:rsidRDefault="00824558" w:rsidP="002B00B9">
            <w:pPr>
              <w:ind w:left="170"/>
            </w:pPr>
            <w:r>
              <w:rPr>
                <w:i/>
              </w:rPr>
              <w:t xml:space="preserve">This performance measure is proposed to replace the 2025-26 performance measure </w:t>
            </w:r>
            <w:r w:rsidR="007942D1">
              <w:rPr>
                <w:i/>
              </w:rPr>
              <w:t>‘</w:t>
            </w:r>
            <w:r>
              <w:rPr>
                <w:i/>
              </w:rPr>
              <w:t>Proportion of government schools which have internet speeds of at least 1 Mbps per student</w:t>
            </w:r>
            <w:r w:rsidR="007942D1">
              <w:rPr>
                <w:i/>
              </w:rPr>
              <w:t>’</w:t>
            </w:r>
            <w:r>
              <w:rPr>
                <w:i/>
              </w:rPr>
              <w:t>. It has been replaced to reflect the next stage of implementation of internet speeds in schools. This performance measure relates to the calendar year.</w:t>
            </w:r>
          </w:p>
        </w:tc>
      </w:tr>
      <w:tr w:rsidR="00824558" w14:paraId="357D01C1" w14:textId="77777777" w:rsidTr="00882E40">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47757378" w14:textId="062828FA" w:rsidR="00824558" w:rsidRDefault="00824558" w:rsidP="002B00B9">
            <w:pPr>
              <w:keepNext/>
              <w:ind w:left="170"/>
            </w:pPr>
            <w:r>
              <w:t>Proportion of participants (all programs) who are satisfied with the Victorian Academy of Teaching and Leadership</w:t>
            </w:r>
            <w:r w:rsidR="007942D1">
              <w:t>’</w:t>
            </w:r>
            <w:r>
              <w:t>s professional learning and development training</w:t>
            </w:r>
          </w:p>
        </w:tc>
        <w:tc>
          <w:tcPr>
            <w:tcW w:w="964" w:type="dxa"/>
            <w:tcBorders>
              <w:top w:val="single" w:sz="6" w:space="0" w:color="auto"/>
              <w:bottom w:val="nil"/>
            </w:tcBorders>
          </w:tcPr>
          <w:p w14:paraId="7FDB9D67"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nil"/>
            </w:tcBorders>
            <w:shd w:val="clear" w:color="auto" w:fill="F0F0F0"/>
          </w:tcPr>
          <w:p w14:paraId="27327E5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82</w:t>
            </w:r>
          </w:p>
        </w:tc>
        <w:tc>
          <w:tcPr>
            <w:tcW w:w="964" w:type="dxa"/>
            <w:tcBorders>
              <w:top w:val="single" w:sz="6" w:space="0" w:color="auto"/>
              <w:bottom w:val="nil"/>
            </w:tcBorders>
          </w:tcPr>
          <w:p w14:paraId="5724B3A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89</w:t>
            </w:r>
          </w:p>
        </w:tc>
        <w:tc>
          <w:tcPr>
            <w:tcW w:w="964" w:type="dxa"/>
            <w:tcBorders>
              <w:top w:val="single" w:sz="6" w:space="0" w:color="auto"/>
              <w:bottom w:val="nil"/>
            </w:tcBorders>
          </w:tcPr>
          <w:p w14:paraId="360DF44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82</w:t>
            </w:r>
          </w:p>
        </w:tc>
        <w:tc>
          <w:tcPr>
            <w:tcW w:w="964" w:type="dxa"/>
            <w:tcBorders>
              <w:top w:val="single" w:sz="6" w:space="0" w:color="auto"/>
              <w:bottom w:val="nil"/>
            </w:tcBorders>
          </w:tcPr>
          <w:p w14:paraId="5061080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87</w:t>
            </w:r>
          </w:p>
        </w:tc>
      </w:tr>
      <w:tr w:rsidR="00824558" w14:paraId="2E8939C3"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7B91877" w14:textId="3F2FFB37" w:rsidR="00824558" w:rsidRDefault="00824558" w:rsidP="002B00B9">
            <w:pPr>
              <w:ind w:left="170"/>
            </w:pPr>
            <w:r>
              <w:rPr>
                <w:i/>
              </w:rPr>
              <w:t>The 2025-26 expected outcome is higher than the 2025-26 target reflecting the high</w:t>
            </w:r>
            <w:r w:rsidR="00F914B9">
              <w:rPr>
                <w:i/>
              </w:rPr>
              <w:t>-</w:t>
            </w:r>
            <w:r>
              <w:rPr>
                <w:i/>
              </w:rPr>
              <w:t>quality of the Academy</w:t>
            </w:r>
            <w:r w:rsidR="007942D1">
              <w:rPr>
                <w:i/>
              </w:rPr>
              <w:t>’</w:t>
            </w:r>
            <w:r>
              <w:rPr>
                <w:i/>
              </w:rPr>
              <w:t xml:space="preserve">s professional learning offerings. </w:t>
            </w:r>
          </w:p>
          <w:p w14:paraId="32EC4E6B" w14:textId="77777777" w:rsidR="00824558" w:rsidRDefault="00824558" w:rsidP="002B00B9">
            <w:pPr>
              <w:ind w:left="170"/>
            </w:pPr>
            <w:r>
              <w:rPr>
                <w:i/>
              </w:rPr>
              <w:t xml:space="preserve">This performance measure relates to the calendar year. </w:t>
            </w:r>
          </w:p>
        </w:tc>
      </w:tr>
      <w:tr w:rsidR="00824558" w14:paraId="1F8D7356" w14:textId="77777777" w:rsidTr="00882E40">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6179ADFA" w14:textId="35E25A40" w:rsidR="00824558" w:rsidRDefault="00824558" w:rsidP="002B00B9">
            <w:pPr>
              <w:keepNext/>
              <w:ind w:left="170"/>
            </w:pPr>
            <w:r>
              <w:t>Proportion of participants rating (all programs) the impact of the Victorian Academy of Teaching and Leadership</w:t>
            </w:r>
            <w:r w:rsidR="007942D1">
              <w:t>’</w:t>
            </w:r>
            <w:r>
              <w:t xml:space="preserve">s professional learning on their own development and practice at or above </w:t>
            </w:r>
            <w:r w:rsidR="007942D1">
              <w:t>‘</w:t>
            </w:r>
            <w:r>
              <w:t>significant</w:t>
            </w:r>
            <w:r w:rsidR="007942D1">
              <w:t>’</w:t>
            </w:r>
          </w:p>
        </w:tc>
        <w:tc>
          <w:tcPr>
            <w:tcW w:w="964" w:type="dxa"/>
            <w:tcBorders>
              <w:top w:val="single" w:sz="6" w:space="0" w:color="auto"/>
              <w:bottom w:val="nil"/>
            </w:tcBorders>
          </w:tcPr>
          <w:p w14:paraId="14143C3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nil"/>
            </w:tcBorders>
            <w:shd w:val="clear" w:color="auto" w:fill="F0F0F0"/>
          </w:tcPr>
          <w:p w14:paraId="6757E9F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78</w:t>
            </w:r>
          </w:p>
        </w:tc>
        <w:tc>
          <w:tcPr>
            <w:tcW w:w="964" w:type="dxa"/>
            <w:tcBorders>
              <w:top w:val="single" w:sz="6" w:space="0" w:color="auto"/>
              <w:bottom w:val="nil"/>
            </w:tcBorders>
          </w:tcPr>
          <w:p w14:paraId="32B89C7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87</w:t>
            </w:r>
          </w:p>
        </w:tc>
        <w:tc>
          <w:tcPr>
            <w:tcW w:w="964" w:type="dxa"/>
            <w:tcBorders>
              <w:top w:val="single" w:sz="6" w:space="0" w:color="auto"/>
              <w:bottom w:val="nil"/>
            </w:tcBorders>
          </w:tcPr>
          <w:p w14:paraId="6F56C62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78</w:t>
            </w:r>
          </w:p>
        </w:tc>
        <w:tc>
          <w:tcPr>
            <w:tcW w:w="964" w:type="dxa"/>
            <w:tcBorders>
              <w:top w:val="single" w:sz="6" w:space="0" w:color="auto"/>
              <w:bottom w:val="nil"/>
            </w:tcBorders>
          </w:tcPr>
          <w:p w14:paraId="6EFDF42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86</w:t>
            </w:r>
          </w:p>
        </w:tc>
      </w:tr>
      <w:tr w:rsidR="00824558" w14:paraId="1031E7AB"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08E7001" w14:textId="57F9FD18" w:rsidR="00824558" w:rsidRDefault="00824558" w:rsidP="002B00B9">
            <w:pPr>
              <w:ind w:left="170"/>
            </w:pPr>
            <w:r>
              <w:rPr>
                <w:i/>
              </w:rPr>
              <w:t>The 2025-26 expected outcome is higher than the 2025-26 target reflecting the high</w:t>
            </w:r>
            <w:r w:rsidR="00F914B9">
              <w:rPr>
                <w:i/>
              </w:rPr>
              <w:t>-</w:t>
            </w:r>
            <w:r>
              <w:rPr>
                <w:i/>
              </w:rPr>
              <w:t>quality of the Academy</w:t>
            </w:r>
            <w:r w:rsidR="007942D1">
              <w:rPr>
                <w:i/>
              </w:rPr>
              <w:t>’</w:t>
            </w:r>
            <w:r>
              <w:rPr>
                <w:i/>
              </w:rPr>
              <w:t xml:space="preserve">s professional learning offerings. </w:t>
            </w:r>
          </w:p>
          <w:p w14:paraId="436B8DF6" w14:textId="77777777" w:rsidR="00824558" w:rsidRDefault="00824558" w:rsidP="002B00B9">
            <w:pPr>
              <w:ind w:left="170"/>
            </w:pPr>
            <w:r>
              <w:rPr>
                <w:i/>
              </w:rPr>
              <w:t xml:space="preserve">This performance measure relates to the calendar year. </w:t>
            </w:r>
          </w:p>
        </w:tc>
      </w:tr>
      <w:tr w:rsidR="00824558" w:rsidRPr="00DC0EBC" w14:paraId="10911FF4"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659141AB" w14:textId="77777777" w:rsidR="00824558" w:rsidRPr="00DC0EBC" w:rsidRDefault="00824558" w:rsidP="002B00B9">
            <w:pPr>
              <w:keepNext/>
              <w:rPr>
                <w:b/>
              </w:rPr>
            </w:pPr>
            <w:r w:rsidRPr="00DC0EBC">
              <w:rPr>
                <w:b/>
              </w:rPr>
              <w:t>Cost</w:t>
            </w:r>
          </w:p>
        </w:tc>
      </w:tr>
      <w:tr w:rsidR="00824558" w14:paraId="0C46085D" w14:textId="77777777" w:rsidTr="00882E40">
        <w:tc>
          <w:tcPr>
            <w:cnfStyle w:val="001000000000" w:firstRow="0" w:lastRow="0" w:firstColumn="1" w:lastColumn="0" w:oddVBand="0" w:evenVBand="0" w:oddHBand="0" w:evenHBand="0" w:firstRowFirstColumn="0" w:firstRowLastColumn="0" w:lastRowFirstColumn="0" w:lastRowLastColumn="0"/>
            <w:tcW w:w="4820" w:type="dxa"/>
          </w:tcPr>
          <w:p w14:paraId="2A839D86" w14:textId="77777777" w:rsidR="00824558" w:rsidRDefault="00824558" w:rsidP="002B00B9">
            <w:pPr>
              <w:keepNext/>
              <w:ind w:left="170"/>
            </w:pPr>
            <w:r>
              <w:t>Total output cost</w:t>
            </w:r>
          </w:p>
        </w:tc>
        <w:tc>
          <w:tcPr>
            <w:tcW w:w="964" w:type="dxa"/>
          </w:tcPr>
          <w:p w14:paraId="163ED4E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nil"/>
              <w:bottom w:val="nil"/>
            </w:tcBorders>
            <w:shd w:val="clear" w:color="auto" w:fill="F0F0F0"/>
          </w:tcPr>
          <w:p w14:paraId="037A76BE" w14:textId="6A134663" w:rsidR="00824558" w:rsidRPr="00B748E0" w:rsidRDefault="00823040" w:rsidP="002B00B9">
            <w:pPr>
              <w:cnfStyle w:val="000000000000" w:firstRow="0" w:lastRow="0" w:firstColumn="0" w:lastColumn="0" w:oddVBand="0" w:evenVBand="0" w:oddHBand="0" w:evenHBand="0" w:firstRowFirstColumn="0" w:firstRowLastColumn="0" w:lastRowFirstColumn="0" w:lastRowLastColumn="0"/>
              <w:rPr>
                <w:highlight w:val="yellow"/>
              </w:rPr>
            </w:pPr>
            <w:r w:rsidRPr="00823040">
              <w:t>2 021.3</w:t>
            </w:r>
          </w:p>
        </w:tc>
        <w:tc>
          <w:tcPr>
            <w:tcW w:w="964" w:type="dxa"/>
          </w:tcPr>
          <w:p w14:paraId="0C29FBD1" w14:textId="66BF7C0E" w:rsidR="00824558" w:rsidRPr="00B748E0" w:rsidRDefault="00E218BA" w:rsidP="002B00B9">
            <w:pPr>
              <w:cnfStyle w:val="000000000000" w:firstRow="0" w:lastRow="0" w:firstColumn="0" w:lastColumn="0" w:oddVBand="0" w:evenVBand="0" w:oddHBand="0" w:evenHBand="0" w:firstRowFirstColumn="0" w:firstRowLastColumn="0" w:lastRowFirstColumn="0" w:lastRowLastColumn="0"/>
              <w:rPr>
                <w:highlight w:val="yellow"/>
              </w:rPr>
            </w:pPr>
            <w:r w:rsidRPr="00B8291C">
              <w:t>2 068.1</w:t>
            </w:r>
          </w:p>
        </w:tc>
        <w:tc>
          <w:tcPr>
            <w:tcW w:w="964" w:type="dxa"/>
          </w:tcPr>
          <w:p w14:paraId="41AE3B85" w14:textId="100CF8D0" w:rsidR="00824558" w:rsidRDefault="00824558" w:rsidP="002B00B9">
            <w:pPr>
              <w:cnfStyle w:val="000000000000" w:firstRow="0" w:lastRow="0" w:firstColumn="0" w:lastColumn="0" w:oddVBand="0" w:evenVBand="0" w:oddHBand="0" w:evenHBand="0" w:firstRowFirstColumn="0" w:firstRowLastColumn="0" w:lastRowFirstColumn="0" w:lastRowLastColumn="0"/>
            </w:pPr>
            <w:r>
              <w:t>1</w:t>
            </w:r>
            <w:r w:rsidR="00B748E0">
              <w:t xml:space="preserve"> </w:t>
            </w:r>
            <w:r>
              <w:t>907.9</w:t>
            </w:r>
          </w:p>
        </w:tc>
        <w:tc>
          <w:tcPr>
            <w:tcW w:w="964" w:type="dxa"/>
          </w:tcPr>
          <w:p w14:paraId="542E38CE" w14:textId="5CB1F1A4" w:rsidR="00824558" w:rsidRDefault="00824558" w:rsidP="002B00B9">
            <w:pPr>
              <w:cnfStyle w:val="000000000000" w:firstRow="0" w:lastRow="0" w:firstColumn="0" w:lastColumn="0" w:oddVBand="0" w:evenVBand="0" w:oddHBand="0" w:evenHBand="0" w:firstRowFirstColumn="0" w:firstRowLastColumn="0" w:lastRowFirstColumn="0" w:lastRowLastColumn="0"/>
            </w:pPr>
            <w:r>
              <w:t>1</w:t>
            </w:r>
            <w:r w:rsidR="00B748E0">
              <w:t xml:space="preserve"> </w:t>
            </w:r>
            <w:r>
              <w:t>848.6</w:t>
            </w:r>
          </w:p>
        </w:tc>
      </w:tr>
      <w:tr w:rsidR="00E218BA" w14:paraId="30F3B5DC"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nil"/>
            </w:tcBorders>
          </w:tcPr>
          <w:p w14:paraId="53885A0E" w14:textId="2C60CD85" w:rsidR="00E218BA" w:rsidRPr="003C708B" w:rsidRDefault="003C708B" w:rsidP="003C708B">
            <w:pPr>
              <w:ind w:left="170"/>
              <w:rPr>
                <w:i/>
              </w:rPr>
            </w:pPr>
            <w:r w:rsidRPr="005B6B18">
              <w:rPr>
                <w:i/>
              </w:rPr>
              <w:t xml:space="preserve">The higher 2025-26 expected outcome primarily reflects new funding announced as part of the </w:t>
            </w:r>
            <w:r w:rsidRPr="0040504D">
              <w:t>2026-27 Budget</w:t>
            </w:r>
            <w:r w:rsidRPr="005B6B18">
              <w:rPr>
                <w:i/>
              </w:rPr>
              <w:t>.</w:t>
            </w:r>
          </w:p>
        </w:tc>
      </w:tr>
      <w:tr w:rsidR="003C708B" w14:paraId="6E9166F9"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44CC597A" w14:textId="243CACB1" w:rsidR="003C708B" w:rsidRDefault="00B9149A" w:rsidP="00B9149A">
            <w:pPr>
              <w:ind w:left="170"/>
            </w:pPr>
            <w:r w:rsidRPr="008738F0">
              <w:rPr>
                <w:i/>
              </w:rPr>
              <w:t xml:space="preserve">The higher 2026-27 target primarily reflects new funding announced as part of the </w:t>
            </w:r>
            <w:r w:rsidRPr="0040504D">
              <w:t>2026-27 Budget</w:t>
            </w:r>
            <w:r w:rsidRPr="008738F0">
              <w:rPr>
                <w:i/>
              </w:rPr>
              <w:t>.</w:t>
            </w:r>
          </w:p>
        </w:tc>
      </w:tr>
    </w:tbl>
    <w:p w14:paraId="3D12F09F" w14:textId="77777777" w:rsidR="00824558" w:rsidRDefault="00824558" w:rsidP="004850F8">
      <w:pPr>
        <w:pStyle w:val="Source"/>
      </w:pPr>
      <w:r>
        <w:t>Source: Department of Education</w:t>
      </w:r>
    </w:p>
    <w:p w14:paraId="1AA5E4B9" w14:textId="77777777" w:rsidR="00824558" w:rsidRDefault="00824558" w:rsidP="004A6D30"/>
    <w:p w14:paraId="741CBE20" w14:textId="77777777" w:rsidR="001D34D9" w:rsidRDefault="001D34D9">
      <w:pPr>
        <w:keepLines w:val="0"/>
        <w:rPr>
          <w:rFonts w:asciiTheme="majorHAnsi" w:hAnsiTheme="majorHAnsi" w:cstheme="minorBidi"/>
          <w:b/>
          <w:sz w:val="20"/>
        </w:rPr>
      </w:pPr>
      <w:r>
        <w:br w:type="page"/>
      </w:r>
    </w:p>
    <w:p w14:paraId="69444254" w14:textId="77777777" w:rsidR="00824558" w:rsidRPr="006965F9" w:rsidRDefault="00824558" w:rsidP="001B2C1F">
      <w:pPr>
        <w:pStyle w:val="ShadedBoxHeading"/>
        <w:spacing w:before="240" w:after="60"/>
        <w:outlineLvl w:val="2"/>
      </w:pPr>
      <w:r w:rsidRPr="006965F9">
        <w:lastRenderedPageBreak/>
        <w:t>Objective 3: Provide equitable and inclusive schooling to all Victorian students</w:t>
      </w:r>
    </w:p>
    <w:p w14:paraId="7AB18866" w14:textId="77777777" w:rsidR="00824558" w:rsidRPr="006965F9" w:rsidRDefault="00824558" w:rsidP="001B2C1F">
      <w:pPr>
        <w:pStyle w:val="ShadedBoxText"/>
      </w:pPr>
      <w:r w:rsidRPr="006965F9">
        <w:t>The departmental objective indicators are:</w:t>
      </w:r>
    </w:p>
    <w:p w14:paraId="07CAA2E0" w14:textId="77777777" w:rsidR="00824558" w:rsidRPr="006965F9" w:rsidRDefault="00824558" w:rsidP="001B2C1F">
      <w:pPr>
        <w:pStyle w:val="ShadedBoxBullet"/>
        <w:contextualSpacing/>
      </w:pPr>
      <w:r w:rsidRPr="006965F9">
        <w:t xml:space="preserve">Aboriginal students are improving their literacy and numeracy skills </w:t>
      </w:r>
    </w:p>
    <w:p w14:paraId="03D71B8F" w14:textId="77777777" w:rsidR="00824558" w:rsidRPr="006965F9" w:rsidRDefault="00824558" w:rsidP="001B2C1F">
      <w:pPr>
        <w:pStyle w:val="ShadedBoxBullet"/>
        <w:contextualSpacing/>
      </w:pPr>
      <w:r w:rsidRPr="006965F9">
        <w:t>regional and rural students are improving their literacy and numeracy skills</w:t>
      </w:r>
    </w:p>
    <w:p w14:paraId="6E48E88E" w14:textId="77777777" w:rsidR="00824558" w:rsidRPr="006965F9" w:rsidRDefault="00824558" w:rsidP="001B2C1F">
      <w:pPr>
        <w:pStyle w:val="ShadedBoxBullet"/>
        <w:contextualSpacing/>
      </w:pPr>
      <w:r w:rsidRPr="006965F9">
        <w:t>students receiving an adjustment due to disability are connected to their schooling</w:t>
      </w:r>
    </w:p>
    <w:p w14:paraId="7E0E84D8" w14:textId="77777777" w:rsidR="00824558" w:rsidRPr="006965F9" w:rsidRDefault="00824558" w:rsidP="001B2C1F">
      <w:pPr>
        <w:pStyle w:val="ShadedBoxBullet"/>
        <w:contextualSpacing/>
      </w:pPr>
      <w:r w:rsidRPr="006965F9">
        <w:t>Aboriginal students are connected to their schooling</w:t>
      </w:r>
    </w:p>
    <w:p w14:paraId="0E0B5D04" w14:textId="77777777" w:rsidR="00824558" w:rsidRPr="006965F9" w:rsidRDefault="00824558" w:rsidP="001B2C1F">
      <w:pPr>
        <w:pStyle w:val="ShadedBoxBullet"/>
        <w:contextualSpacing/>
      </w:pPr>
      <w:r w:rsidRPr="006965F9">
        <w:t>regional and rural students are connected to their schooling.</w:t>
      </w:r>
    </w:p>
    <w:p w14:paraId="64FC1062" w14:textId="77777777" w:rsidR="00824558" w:rsidRDefault="00824558">
      <w:pPr>
        <w:pStyle w:val="Heading3"/>
      </w:pPr>
      <w:r>
        <w:t>Outputs</w:t>
      </w:r>
    </w:p>
    <w:p w14:paraId="350D66B4" w14:textId="1B4379E4" w:rsidR="00824558" w:rsidRDefault="00824558" w:rsidP="001B2C1F">
      <w:pPr>
        <w:pStyle w:val="Heading3"/>
      </w:pPr>
      <w:r>
        <w:t>Promoting Equal Access to Education</w:t>
      </w:r>
      <w:r>
        <w:tab/>
        <w:t>(2026-27: $</w:t>
      </w:r>
      <w:r w:rsidR="008E2DCE" w:rsidRPr="00B8291C">
        <w:t>1 120.4</w:t>
      </w:r>
      <w:r>
        <w:t xml:space="preserve"> million)</w:t>
      </w:r>
    </w:p>
    <w:p w14:paraId="5E29DED5" w14:textId="77777777" w:rsidR="00824558" w:rsidRPr="00B255AD" w:rsidRDefault="00824558" w:rsidP="00B255AD">
      <w:pPr>
        <w:keepNext/>
        <w:spacing w:after="120"/>
        <w:rPr>
          <w:rFonts w:ascii="Garamond" w:eastAsia="Garamond" w:hAnsi="Garamond"/>
        </w:rPr>
      </w:pPr>
      <w:r w:rsidRPr="006965F9">
        <w:rPr>
          <w:rFonts w:ascii="Garamond" w:eastAsia="Garamond" w:hAnsi="Garamond"/>
        </w:rPr>
        <w:t>The Promoting Equal Access to Education in Government Schools output includes funding to support cohorts including Aboriginal students, socially disadvantaged students, students for whom English is an additional language and students living in rural and regional areas.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E6B3EB5" w14:textId="77777777" w:rsidTr="00C76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7566A3F" w14:textId="77777777" w:rsidR="00824558" w:rsidRDefault="00824558" w:rsidP="002B00B9">
            <w:r>
              <w:t>Performance measure</w:t>
            </w:r>
          </w:p>
        </w:tc>
        <w:tc>
          <w:tcPr>
            <w:tcW w:w="964" w:type="dxa"/>
          </w:tcPr>
          <w:p w14:paraId="1936B6B3" w14:textId="77777777" w:rsidR="00824558" w:rsidRDefault="00824558" w:rsidP="002B00B9">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30BB343"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2E9010F"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FDA6F9E"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9F8F211" w14:textId="77777777" w:rsidR="00824558" w:rsidRDefault="00824558" w:rsidP="002B00B9">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479BC74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635178FF" w14:textId="77777777" w:rsidR="00824558" w:rsidRPr="00DC0EBC" w:rsidRDefault="00824558" w:rsidP="002B00B9">
            <w:pPr>
              <w:keepNext/>
              <w:rPr>
                <w:b/>
              </w:rPr>
            </w:pPr>
            <w:r w:rsidRPr="00DC0EBC">
              <w:rPr>
                <w:b/>
              </w:rPr>
              <w:t>Quantity</w:t>
            </w:r>
          </w:p>
        </w:tc>
      </w:tr>
      <w:tr w:rsidR="00824558" w14:paraId="0BDD44D0"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E388CD7" w14:textId="77777777" w:rsidR="00824558" w:rsidRDefault="00824558" w:rsidP="002B00B9">
            <w:pPr>
              <w:keepNext/>
              <w:ind w:left="170"/>
            </w:pPr>
            <w:r>
              <w:t>Number of meals delivered through the School Breakfast Club Program</w:t>
            </w:r>
          </w:p>
        </w:tc>
        <w:tc>
          <w:tcPr>
            <w:tcW w:w="964" w:type="dxa"/>
          </w:tcPr>
          <w:p w14:paraId="1A7FE7B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7E9995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12 000 000</w:t>
            </w:r>
          </w:p>
        </w:tc>
        <w:tc>
          <w:tcPr>
            <w:tcW w:w="964" w:type="dxa"/>
          </w:tcPr>
          <w:p w14:paraId="17ABB4F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149F08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C9C1BA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nm</w:t>
            </w:r>
          </w:p>
        </w:tc>
      </w:tr>
      <w:tr w:rsidR="00824558" w14:paraId="65CA2F8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A59822" w14:textId="77777777" w:rsidR="00824558" w:rsidRDefault="00824558" w:rsidP="002B00B9">
            <w:pPr>
              <w:ind w:left="170"/>
            </w:pPr>
            <w:r>
              <w:rPr>
                <w:i/>
              </w:rPr>
              <w:t>This performance measure relates to the calendar year. New performance measure for 2026-27 to reflect supports provided to address the cost of living.</w:t>
            </w:r>
          </w:p>
        </w:tc>
      </w:tr>
      <w:tr w:rsidR="00824558" w14:paraId="5963B7F7"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88D824B" w14:textId="08A826CC" w:rsidR="00824558" w:rsidRDefault="00824558" w:rsidP="002B00B9">
            <w:pPr>
              <w:keepNext/>
              <w:ind w:left="170"/>
            </w:pPr>
            <w:r>
              <w:t xml:space="preserve">Number of students for which government secondary schools are funded to </w:t>
            </w:r>
            <w:r w:rsidR="007942D1">
              <w:t>‘</w:t>
            </w:r>
            <w:r>
              <w:t>catch up</w:t>
            </w:r>
            <w:r w:rsidR="007942D1">
              <w:t>’</w:t>
            </w:r>
          </w:p>
        </w:tc>
        <w:tc>
          <w:tcPr>
            <w:tcW w:w="964" w:type="dxa"/>
          </w:tcPr>
          <w:p w14:paraId="07CC3896"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0A394F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13 000</w:t>
            </w:r>
          </w:p>
        </w:tc>
        <w:tc>
          <w:tcPr>
            <w:tcW w:w="964" w:type="dxa"/>
          </w:tcPr>
          <w:p w14:paraId="5E9632E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13 236</w:t>
            </w:r>
          </w:p>
        </w:tc>
        <w:tc>
          <w:tcPr>
            <w:tcW w:w="964" w:type="dxa"/>
          </w:tcPr>
          <w:p w14:paraId="432B8EB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10 383</w:t>
            </w:r>
          </w:p>
        </w:tc>
        <w:tc>
          <w:tcPr>
            <w:tcW w:w="964" w:type="dxa"/>
          </w:tcPr>
          <w:p w14:paraId="790F41F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10 346</w:t>
            </w:r>
          </w:p>
        </w:tc>
      </w:tr>
      <w:tr w:rsidR="00824558" w14:paraId="6437354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19560F6" w14:textId="77777777" w:rsidR="00824558" w:rsidRDefault="00824558" w:rsidP="002B00B9">
            <w:pPr>
              <w:ind w:left="170"/>
            </w:pPr>
            <w:r>
              <w:rPr>
                <w:i/>
              </w:rPr>
              <w:t xml:space="preserve"> The 2025-26 expected outcome is higher than the 2025-26 target due to a higher number of Year 7 students being eligible due to the change in the NAPLAN scale from 2023.</w:t>
            </w:r>
          </w:p>
          <w:p w14:paraId="3AB59C3A" w14:textId="74941F27" w:rsidR="00824558" w:rsidRDefault="00824558" w:rsidP="002B00B9">
            <w:pPr>
              <w:ind w:left="170"/>
            </w:pPr>
            <w:r>
              <w:rPr>
                <w:i/>
              </w:rPr>
              <w:t>This performance measure relates to the calendar year. The higher 2026-27 target reflects eligibility criteria for Equity Catch Up in 2026 to ensure more students are supported.</w:t>
            </w:r>
          </w:p>
        </w:tc>
      </w:tr>
      <w:tr w:rsidR="00824558" w14:paraId="6E90B949"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5031D2A" w14:textId="77777777" w:rsidR="00824558" w:rsidRDefault="00824558" w:rsidP="002B00B9">
            <w:pPr>
              <w:keepNext/>
              <w:ind w:left="170"/>
            </w:pPr>
            <w:r>
              <w:t>Percentage of government primary school students receiving equity funding</w:t>
            </w:r>
          </w:p>
        </w:tc>
        <w:tc>
          <w:tcPr>
            <w:tcW w:w="964" w:type="dxa"/>
          </w:tcPr>
          <w:p w14:paraId="5382953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3A371B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404D5FC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736126C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7119319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21</w:t>
            </w:r>
          </w:p>
        </w:tc>
      </w:tr>
      <w:tr w:rsidR="00824558" w14:paraId="2AD733D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21055A" w14:textId="717C069D" w:rsidR="00824558" w:rsidRDefault="00824558" w:rsidP="002B00B9">
            <w:pPr>
              <w:ind w:left="170"/>
            </w:pPr>
            <w:r>
              <w:rPr>
                <w:i/>
              </w:rPr>
              <w:t>This performance measure relates to the calendar year.</w:t>
            </w:r>
          </w:p>
        </w:tc>
      </w:tr>
      <w:tr w:rsidR="00824558" w14:paraId="0E5A39C7"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CEBEF3C" w14:textId="77777777" w:rsidR="00824558" w:rsidRDefault="00824558" w:rsidP="002B00B9">
            <w:pPr>
              <w:keepNext/>
              <w:ind w:left="170"/>
            </w:pPr>
            <w:r>
              <w:t>Percentage of government secondary school students receiving equity funding</w:t>
            </w:r>
          </w:p>
        </w:tc>
        <w:tc>
          <w:tcPr>
            <w:tcW w:w="964" w:type="dxa"/>
          </w:tcPr>
          <w:p w14:paraId="22459283"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126A8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778DAD0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1135077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3A6D4E1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26</w:t>
            </w:r>
          </w:p>
        </w:tc>
      </w:tr>
      <w:tr w:rsidR="00824558" w14:paraId="32B098F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674436" w14:textId="3E16A128" w:rsidR="00824558" w:rsidRDefault="00824558" w:rsidP="002B00B9">
            <w:pPr>
              <w:ind w:left="170"/>
            </w:pPr>
            <w:r>
              <w:rPr>
                <w:i/>
              </w:rPr>
              <w:t>This performance measure relates to the calendar year.</w:t>
            </w:r>
          </w:p>
        </w:tc>
      </w:tr>
      <w:tr w:rsidR="00824558" w14:paraId="05C30D00"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BE840C6" w14:textId="77777777" w:rsidR="00824558" w:rsidRDefault="00824558" w:rsidP="002B00B9">
            <w:pPr>
              <w:keepNext/>
              <w:ind w:left="170"/>
            </w:pPr>
            <w:r>
              <w:t>Proportion of students supported through Camps, Sports and Excursions Fund</w:t>
            </w:r>
          </w:p>
        </w:tc>
        <w:tc>
          <w:tcPr>
            <w:tcW w:w="964" w:type="dxa"/>
          </w:tcPr>
          <w:p w14:paraId="5809C2F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98A8D0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2350F79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743768F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0CC1E6E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18.2</w:t>
            </w:r>
          </w:p>
        </w:tc>
      </w:tr>
      <w:tr w:rsidR="00824558" w14:paraId="098E073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D66283" w14:textId="05315992" w:rsidR="00824558" w:rsidRDefault="00824558" w:rsidP="002B00B9">
            <w:pPr>
              <w:ind w:left="170"/>
            </w:pPr>
            <w:r>
              <w:rPr>
                <w:i/>
              </w:rPr>
              <w:t>This performance measure relates to the calendar year.</w:t>
            </w:r>
          </w:p>
        </w:tc>
      </w:tr>
      <w:tr w:rsidR="00824558" w:rsidRPr="00DC0EBC" w14:paraId="0704FF0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28B6C735" w14:textId="77777777" w:rsidR="00824558" w:rsidRPr="00DC0EBC" w:rsidRDefault="00824558" w:rsidP="002B00B9">
            <w:pPr>
              <w:keepNext/>
              <w:rPr>
                <w:b/>
              </w:rPr>
            </w:pPr>
            <w:r w:rsidRPr="00DC0EBC">
              <w:rPr>
                <w:b/>
              </w:rPr>
              <w:t>Quality</w:t>
            </w:r>
          </w:p>
        </w:tc>
      </w:tr>
      <w:tr w:rsidR="00824558" w14:paraId="145618CE"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5B81039" w14:textId="2D96FB0F" w:rsidR="00824558" w:rsidRDefault="00824558" w:rsidP="002B00B9">
            <w:pPr>
              <w:keepNext/>
              <w:ind w:left="170"/>
            </w:pPr>
            <w:r>
              <w:t xml:space="preserve">Aboriginal student attendance rate, all schools, </w:t>
            </w:r>
            <w:r w:rsidR="00A42351">
              <w:t>Y</w:t>
            </w:r>
            <w:r>
              <w:t>ears 1 to 6</w:t>
            </w:r>
          </w:p>
        </w:tc>
        <w:tc>
          <w:tcPr>
            <w:tcW w:w="964" w:type="dxa"/>
          </w:tcPr>
          <w:p w14:paraId="6153376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080EB9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CDBE2A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83.8</w:t>
            </w:r>
          </w:p>
        </w:tc>
        <w:tc>
          <w:tcPr>
            <w:tcW w:w="964" w:type="dxa"/>
          </w:tcPr>
          <w:p w14:paraId="1A928A0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02C6812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83.9</w:t>
            </w:r>
          </w:p>
        </w:tc>
      </w:tr>
      <w:tr w:rsidR="00824558" w14:paraId="5FE71360"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024392" w14:textId="5145E7F1" w:rsidR="00824558" w:rsidRDefault="00824558" w:rsidP="002B00B9">
            <w:pPr>
              <w:ind w:left="170"/>
            </w:pPr>
            <w:r>
              <w:rPr>
                <w:i/>
              </w:rPr>
              <w:t>This performance measure relates to the calendar year.</w:t>
            </w:r>
          </w:p>
        </w:tc>
      </w:tr>
      <w:tr w:rsidR="00824558" w14:paraId="5D229653"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EDF33D3" w14:textId="1B6920EA" w:rsidR="00824558" w:rsidRDefault="00824558" w:rsidP="002B00B9">
            <w:pPr>
              <w:keepNext/>
              <w:ind w:left="170"/>
            </w:pPr>
            <w:r>
              <w:t xml:space="preserve">Aboriginal student attendance rate, all schools, </w:t>
            </w:r>
            <w:r w:rsidR="00A42351">
              <w:t>Y</w:t>
            </w:r>
            <w:r>
              <w:t>ears 7 to 10</w:t>
            </w:r>
          </w:p>
        </w:tc>
        <w:tc>
          <w:tcPr>
            <w:tcW w:w="964" w:type="dxa"/>
          </w:tcPr>
          <w:p w14:paraId="13D3F95A"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611A10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2D5C41C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73.5</w:t>
            </w:r>
          </w:p>
        </w:tc>
        <w:tc>
          <w:tcPr>
            <w:tcW w:w="964" w:type="dxa"/>
          </w:tcPr>
          <w:p w14:paraId="4753F86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7B6E9A4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72.5</w:t>
            </w:r>
          </w:p>
        </w:tc>
      </w:tr>
      <w:tr w:rsidR="00824558" w14:paraId="4826A10C"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2EDCEE3" w14:textId="01DFE158" w:rsidR="00824558" w:rsidRDefault="00824558" w:rsidP="002B00B9">
            <w:pPr>
              <w:ind w:left="170"/>
            </w:pPr>
            <w:r>
              <w:rPr>
                <w:i/>
              </w:rPr>
              <w:t>This performance measure relates to the calendar year.</w:t>
            </w:r>
          </w:p>
        </w:tc>
      </w:tr>
      <w:tr w:rsidR="00824558" w14:paraId="5D942438"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CFD273F" w14:textId="77777777" w:rsidR="00824558" w:rsidRDefault="00824558" w:rsidP="002B00B9">
            <w:pPr>
              <w:keepNext/>
              <w:ind w:left="170"/>
            </w:pPr>
            <w:r>
              <w:t>Inner regional attendance rate, all schools, Years 1 to 6</w:t>
            </w:r>
          </w:p>
        </w:tc>
        <w:tc>
          <w:tcPr>
            <w:tcW w:w="964" w:type="dxa"/>
          </w:tcPr>
          <w:p w14:paraId="66D76637"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0792D0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73C0AE8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89.6</w:t>
            </w:r>
          </w:p>
        </w:tc>
        <w:tc>
          <w:tcPr>
            <w:tcW w:w="964" w:type="dxa"/>
          </w:tcPr>
          <w:p w14:paraId="41F4FE6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6ED0DBF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89.5</w:t>
            </w:r>
          </w:p>
        </w:tc>
      </w:tr>
      <w:tr w:rsidR="00824558" w14:paraId="4CD8274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73E51E3" w14:textId="04D4A9D1" w:rsidR="00824558" w:rsidRDefault="00824558" w:rsidP="002B00B9">
            <w:pPr>
              <w:ind w:left="170"/>
            </w:pPr>
            <w:r>
              <w:rPr>
                <w:i/>
              </w:rPr>
              <w:t>This performance measure relates to the calendar year.</w:t>
            </w:r>
          </w:p>
        </w:tc>
      </w:tr>
      <w:tr w:rsidR="00824558" w14:paraId="037784CC"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B671F37" w14:textId="77777777" w:rsidR="00824558" w:rsidRDefault="00824558" w:rsidP="002B00B9">
            <w:pPr>
              <w:keepNext/>
              <w:ind w:left="170"/>
            </w:pPr>
            <w:r>
              <w:t>Inner regional attendance rate, all schools, Years 7 to 10</w:t>
            </w:r>
          </w:p>
        </w:tc>
        <w:tc>
          <w:tcPr>
            <w:tcW w:w="964" w:type="dxa"/>
          </w:tcPr>
          <w:p w14:paraId="5E254DB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822F29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89</w:t>
            </w:r>
          </w:p>
        </w:tc>
        <w:tc>
          <w:tcPr>
            <w:tcW w:w="964" w:type="dxa"/>
          </w:tcPr>
          <w:p w14:paraId="4FC182E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83.4</w:t>
            </w:r>
          </w:p>
        </w:tc>
        <w:tc>
          <w:tcPr>
            <w:tcW w:w="964" w:type="dxa"/>
          </w:tcPr>
          <w:p w14:paraId="4DC73E3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89</w:t>
            </w:r>
          </w:p>
        </w:tc>
        <w:tc>
          <w:tcPr>
            <w:tcW w:w="964" w:type="dxa"/>
          </w:tcPr>
          <w:p w14:paraId="6FAAB891"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83.2</w:t>
            </w:r>
          </w:p>
        </w:tc>
      </w:tr>
      <w:tr w:rsidR="00824558" w14:paraId="6FF165C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B2E2BCD" w14:textId="6D8356EC" w:rsidR="00824558" w:rsidRDefault="00824558" w:rsidP="002B00B9">
            <w:pPr>
              <w:ind w:left="170"/>
            </w:pPr>
            <w:r>
              <w:rPr>
                <w:i/>
              </w:rPr>
              <w:t>The 2025-26 expected outcome is lower than the 2025-26 target due to higher incidence of illness and parent choice among inner regional secondary school students.</w:t>
            </w:r>
          </w:p>
          <w:p w14:paraId="555318F6" w14:textId="62AA7BB5" w:rsidR="00824558" w:rsidRDefault="00824558" w:rsidP="002B00B9">
            <w:pPr>
              <w:ind w:left="170"/>
            </w:pPr>
            <w:r>
              <w:rPr>
                <w:i/>
              </w:rPr>
              <w:t>This performance measure relates to the calendar year.</w:t>
            </w:r>
          </w:p>
        </w:tc>
      </w:tr>
      <w:tr w:rsidR="00824558" w14:paraId="2FD88B72"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AD9E639" w14:textId="77777777" w:rsidR="00824558" w:rsidRDefault="00824558" w:rsidP="002B00B9">
            <w:pPr>
              <w:keepNext/>
              <w:ind w:left="170"/>
            </w:pPr>
            <w:r>
              <w:t>Outer regional attendance rate, all schools, Years 1 to 6</w:t>
            </w:r>
          </w:p>
        </w:tc>
        <w:tc>
          <w:tcPr>
            <w:tcW w:w="964" w:type="dxa"/>
          </w:tcPr>
          <w:p w14:paraId="3461E044"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9E5561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91</w:t>
            </w:r>
          </w:p>
        </w:tc>
        <w:tc>
          <w:tcPr>
            <w:tcW w:w="964" w:type="dxa"/>
          </w:tcPr>
          <w:p w14:paraId="5E246B7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88.9</w:t>
            </w:r>
          </w:p>
        </w:tc>
        <w:tc>
          <w:tcPr>
            <w:tcW w:w="964" w:type="dxa"/>
          </w:tcPr>
          <w:p w14:paraId="363BE6D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91</w:t>
            </w:r>
          </w:p>
        </w:tc>
        <w:tc>
          <w:tcPr>
            <w:tcW w:w="964" w:type="dxa"/>
          </w:tcPr>
          <w:p w14:paraId="331460F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88.8</w:t>
            </w:r>
          </w:p>
        </w:tc>
      </w:tr>
      <w:tr w:rsidR="00824558" w14:paraId="06E175A8"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6A523B" w14:textId="4158B388" w:rsidR="00824558" w:rsidRDefault="00824558" w:rsidP="002B00B9">
            <w:pPr>
              <w:ind w:left="170"/>
            </w:pPr>
            <w:r>
              <w:rPr>
                <w:i/>
              </w:rPr>
              <w:t>This performance measure relates to the calendar year.</w:t>
            </w:r>
          </w:p>
        </w:tc>
      </w:tr>
      <w:tr w:rsidR="00824558" w14:paraId="5AE23AE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26B67CE" w14:textId="77777777" w:rsidR="00824558" w:rsidRDefault="00824558" w:rsidP="002B00B9">
            <w:pPr>
              <w:keepNext/>
              <w:ind w:left="170"/>
            </w:pPr>
            <w:r>
              <w:t>Outer regional attendance rate, all schools, Years 7 to 10</w:t>
            </w:r>
          </w:p>
        </w:tc>
        <w:tc>
          <w:tcPr>
            <w:tcW w:w="964" w:type="dxa"/>
          </w:tcPr>
          <w:p w14:paraId="3D79FF0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C39D4C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21A4042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84.2</w:t>
            </w:r>
          </w:p>
        </w:tc>
        <w:tc>
          <w:tcPr>
            <w:tcW w:w="964" w:type="dxa"/>
          </w:tcPr>
          <w:p w14:paraId="2C40E2D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504AA67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83.8</w:t>
            </w:r>
          </w:p>
        </w:tc>
      </w:tr>
      <w:tr w:rsidR="00824558" w14:paraId="40862E3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3FB089D" w14:textId="02EC4E03" w:rsidR="00824558" w:rsidRDefault="00824558" w:rsidP="002B00B9">
            <w:pPr>
              <w:ind w:left="170"/>
            </w:pPr>
            <w:r>
              <w:rPr>
                <w:i/>
              </w:rPr>
              <w:t>This performance measure relates to the calendar year.</w:t>
            </w:r>
          </w:p>
        </w:tc>
      </w:tr>
      <w:tr w:rsidR="00824558" w14:paraId="0A45A687"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76A73915" w14:textId="77777777" w:rsidR="00824558" w:rsidRDefault="00824558" w:rsidP="002B00B9">
            <w:pPr>
              <w:keepNext/>
              <w:ind w:left="170"/>
            </w:pPr>
            <w:r>
              <w:lastRenderedPageBreak/>
              <w:t>Percentage of Aboriginal students strong and exceeding in Year 3 Numeracy (NAPLAN)</w:t>
            </w:r>
          </w:p>
        </w:tc>
        <w:tc>
          <w:tcPr>
            <w:tcW w:w="964" w:type="dxa"/>
          </w:tcPr>
          <w:p w14:paraId="0845E3AD"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C3C1FDD"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31</w:t>
            </w:r>
          </w:p>
        </w:tc>
        <w:tc>
          <w:tcPr>
            <w:tcW w:w="964" w:type="dxa"/>
          </w:tcPr>
          <w:p w14:paraId="299F4E1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44.3</w:t>
            </w:r>
          </w:p>
        </w:tc>
        <w:tc>
          <w:tcPr>
            <w:tcW w:w="964" w:type="dxa"/>
          </w:tcPr>
          <w:p w14:paraId="5F834B9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30.9</w:t>
            </w:r>
          </w:p>
        </w:tc>
        <w:tc>
          <w:tcPr>
            <w:tcW w:w="964" w:type="dxa"/>
          </w:tcPr>
          <w:p w14:paraId="4AF73F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42.7</w:t>
            </w:r>
          </w:p>
        </w:tc>
      </w:tr>
      <w:tr w:rsidR="00824558" w14:paraId="778BB57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124C2E" w14:textId="3E798841" w:rsidR="00824558" w:rsidRDefault="00824558" w:rsidP="00882E40">
            <w:pPr>
              <w:keepNext/>
              <w:ind w:left="170"/>
            </w:pPr>
            <w:r>
              <w:rPr>
                <w:i/>
              </w:rPr>
              <w:t>NAPLAN results, as with any assessment measure, are subject to a small margin of error. This is reflected in an estimated confidence interval of ±3.4 percentage points which is specific to the measure in 2025.</w:t>
            </w:r>
          </w:p>
          <w:p w14:paraId="320150F6"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1B8A75C7"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5BCCC93" w14:textId="77777777" w:rsidR="00824558" w:rsidRDefault="00824558" w:rsidP="002B00B9">
            <w:pPr>
              <w:keepNext/>
              <w:ind w:left="170"/>
            </w:pPr>
            <w:r>
              <w:t>Percentage of Aboriginal students strong and exceeding in Year 3 Reading (NAPLAN)</w:t>
            </w:r>
          </w:p>
        </w:tc>
        <w:tc>
          <w:tcPr>
            <w:tcW w:w="964" w:type="dxa"/>
          </w:tcPr>
          <w:p w14:paraId="77010E79"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E95277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35</w:t>
            </w:r>
          </w:p>
        </w:tc>
        <w:tc>
          <w:tcPr>
            <w:tcW w:w="964" w:type="dxa"/>
          </w:tcPr>
          <w:p w14:paraId="3B174B6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47.2</w:t>
            </w:r>
          </w:p>
        </w:tc>
        <w:tc>
          <w:tcPr>
            <w:tcW w:w="964" w:type="dxa"/>
          </w:tcPr>
          <w:p w14:paraId="07B4AC87"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35</w:t>
            </w:r>
          </w:p>
        </w:tc>
        <w:tc>
          <w:tcPr>
            <w:tcW w:w="964" w:type="dxa"/>
          </w:tcPr>
          <w:p w14:paraId="394B5F0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48.7</w:t>
            </w:r>
          </w:p>
        </w:tc>
      </w:tr>
      <w:tr w:rsidR="00824558" w14:paraId="53C110D3"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D51708" w14:textId="77777777" w:rsidR="00824558" w:rsidRDefault="00824558" w:rsidP="002B00B9">
            <w:pPr>
              <w:ind w:left="170"/>
            </w:pPr>
            <w:r>
              <w:rPr>
                <w:i/>
              </w:rPr>
              <w:t xml:space="preserve">NAPLAN results, as with any assessment measure, are subject to a small margin of error. This is reflected in an estimated confidence interval of ±3.3 percentage points which is specific to the measure in 2025. </w:t>
            </w:r>
          </w:p>
          <w:p w14:paraId="6EE1492C" w14:textId="77777777" w:rsidR="00824558" w:rsidRDefault="00824558" w:rsidP="002B00B9">
            <w:pPr>
              <w:ind w:left="170"/>
            </w:pPr>
            <w:r>
              <w:rPr>
                <w:i/>
              </w:rPr>
              <w:t xml:space="preserve">This performance measure relates to the calendar year. </w:t>
            </w:r>
          </w:p>
        </w:tc>
      </w:tr>
      <w:tr w:rsidR="00824558" w14:paraId="2DD86E57"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0AF4199" w14:textId="77777777" w:rsidR="00824558" w:rsidRDefault="00824558" w:rsidP="002B00B9">
            <w:pPr>
              <w:keepNext/>
              <w:ind w:left="170"/>
            </w:pPr>
            <w:r>
              <w:t>Percentage of Aboriginal students strong and exceeding in Year 5 Numeracy (NAPLAN)</w:t>
            </w:r>
          </w:p>
        </w:tc>
        <w:tc>
          <w:tcPr>
            <w:tcW w:w="964" w:type="dxa"/>
          </w:tcPr>
          <w:p w14:paraId="4E74675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AD6FD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34.4</w:t>
            </w:r>
          </w:p>
        </w:tc>
        <w:tc>
          <w:tcPr>
            <w:tcW w:w="964" w:type="dxa"/>
          </w:tcPr>
          <w:p w14:paraId="32A9436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228BC99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32.2</w:t>
            </w:r>
          </w:p>
        </w:tc>
        <w:tc>
          <w:tcPr>
            <w:tcW w:w="964" w:type="dxa"/>
          </w:tcPr>
          <w:p w14:paraId="67C28E42"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41</w:t>
            </w:r>
          </w:p>
        </w:tc>
      </w:tr>
      <w:tr w:rsidR="00824558" w14:paraId="2DAC0E77"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30DDCD0" w14:textId="77777777" w:rsidR="00824558" w:rsidRDefault="00824558" w:rsidP="002B00B9">
            <w:pPr>
              <w:ind w:left="170"/>
            </w:pPr>
            <w:r>
              <w:rPr>
                <w:i/>
              </w:rPr>
              <w:t xml:space="preserve">NAPLAN results, as with any assessment measure, are subject to a small margin of error. This is reflected in an estimated confidence interval of ±3.1 percentage points which is specific to the measure in 2025. </w:t>
            </w:r>
          </w:p>
          <w:p w14:paraId="25DD1645"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620622BB"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CB3A3F4" w14:textId="77777777" w:rsidR="00824558" w:rsidRDefault="00824558" w:rsidP="002B00B9">
            <w:pPr>
              <w:keepNext/>
              <w:ind w:left="170"/>
            </w:pPr>
            <w:r>
              <w:t>Percentage of Aboriginal students strong and exceeding in Year 5 Reading (NAPLAN)</w:t>
            </w:r>
          </w:p>
        </w:tc>
        <w:tc>
          <w:tcPr>
            <w:tcW w:w="964" w:type="dxa"/>
          </w:tcPr>
          <w:p w14:paraId="52A58E5F"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453BE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40.9</w:t>
            </w:r>
          </w:p>
        </w:tc>
        <w:tc>
          <w:tcPr>
            <w:tcW w:w="964" w:type="dxa"/>
          </w:tcPr>
          <w:p w14:paraId="0BB9AB5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55.6</w:t>
            </w:r>
          </w:p>
        </w:tc>
        <w:tc>
          <w:tcPr>
            <w:tcW w:w="964" w:type="dxa"/>
          </w:tcPr>
          <w:p w14:paraId="6CEE974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40.9</w:t>
            </w:r>
          </w:p>
        </w:tc>
        <w:tc>
          <w:tcPr>
            <w:tcW w:w="964" w:type="dxa"/>
          </w:tcPr>
          <w:p w14:paraId="182F1A0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50.6</w:t>
            </w:r>
          </w:p>
        </w:tc>
      </w:tr>
      <w:tr w:rsidR="00824558" w14:paraId="6CAF345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6F55DF" w14:textId="77777777" w:rsidR="00824558" w:rsidRDefault="00824558" w:rsidP="002B00B9">
            <w:pPr>
              <w:ind w:left="170"/>
            </w:pPr>
            <w:r>
              <w:rPr>
                <w:i/>
              </w:rPr>
              <w:t xml:space="preserve">NAPLAN results, as with any assessment measure, are subject to a small margin of error. This is reflected in an estimated confidence interval of ±2.7 percentage points which is specific to the measure in 2025. </w:t>
            </w:r>
          </w:p>
          <w:p w14:paraId="6A3E221A" w14:textId="77777777" w:rsidR="00824558" w:rsidRDefault="00824558" w:rsidP="002B00B9">
            <w:pPr>
              <w:ind w:left="170"/>
            </w:pPr>
            <w:r>
              <w:rPr>
                <w:i/>
              </w:rPr>
              <w:t xml:space="preserve">This performance measure relates to the calendar year. </w:t>
            </w:r>
          </w:p>
        </w:tc>
      </w:tr>
      <w:tr w:rsidR="00824558" w14:paraId="441BE38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18778882" w14:textId="77777777" w:rsidR="00824558" w:rsidRDefault="00824558" w:rsidP="002B00B9">
            <w:pPr>
              <w:keepNext/>
              <w:ind w:left="170"/>
            </w:pPr>
            <w:r>
              <w:t>Percentage of Aboriginal students strong and exceeding in Year 7 Numeracy (NAPLAN)</w:t>
            </w:r>
          </w:p>
        </w:tc>
        <w:tc>
          <w:tcPr>
            <w:tcW w:w="964" w:type="dxa"/>
          </w:tcPr>
          <w:p w14:paraId="3CBC9ECC"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B24BB19"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33.8</w:t>
            </w:r>
          </w:p>
        </w:tc>
        <w:tc>
          <w:tcPr>
            <w:tcW w:w="964" w:type="dxa"/>
          </w:tcPr>
          <w:p w14:paraId="3B2A7065"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40.3</w:t>
            </w:r>
          </w:p>
        </w:tc>
        <w:tc>
          <w:tcPr>
            <w:tcW w:w="964" w:type="dxa"/>
          </w:tcPr>
          <w:p w14:paraId="6626A303"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33.8</w:t>
            </w:r>
          </w:p>
        </w:tc>
        <w:tc>
          <w:tcPr>
            <w:tcW w:w="964" w:type="dxa"/>
          </w:tcPr>
          <w:p w14:paraId="73489F8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37.4</w:t>
            </w:r>
          </w:p>
        </w:tc>
      </w:tr>
      <w:tr w:rsidR="00824558" w14:paraId="141F31BA"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CF510A7" w14:textId="77777777" w:rsidR="00824558" w:rsidRDefault="00824558" w:rsidP="002B00B9">
            <w:pPr>
              <w:ind w:left="170"/>
            </w:pPr>
            <w:r>
              <w:rPr>
                <w:i/>
              </w:rPr>
              <w:t xml:space="preserve">NAPLAN results, as with any assessment measure, are subject to a small margin of error. This is reflected in an estimated confidence interval of ±3.0 percentage points which is specific to the measure in 2025. </w:t>
            </w:r>
          </w:p>
          <w:p w14:paraId="608CC99B" w14:textId="77777777" w:rsidR="00824558" w:rsidRDefault="00824558" w:rsidP="002B00B9">
            <w:pPr>
              <w:ind w:left="170"/>
            </w:pPr>
            <w:r>
              <w:rPr>
                <w:i/>
              </w:rPr>
              <w:t xml:space="preserve">This performance measure relates to the calendar year. </w:t>
            </w:r>
          </w:p>
        </w:tc>
      </w:tr>
      <w:tr w:rsidR="00824558" w14:paraId="6E55864C"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BC36E10" w14:textId="77777777" w:rsidR="00824558" w:rsidRDefault="00824558" w:rsidP="002B00B9">
            <w:pPr>
              <w:keepNext/>
              <w:ind w:left="170"/>
            </w:pPr>
            <w:r>
              <w:t>Percentage of Aboriginal students strong and exceeding in Year 7 Reading (NAPLAN)</w:t>
            </w:r>
          </w:p>
        </w:tc>
        <w:tc>
          <w:tcPr>
            <w:tcW w:w="964" w:type="dxa"/>
          </w:tcPr>
          <w:p w14:paraId="636205D8"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872BDA"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36.1</w:t>
            </w:r>
          </w:p>
        </w:tc>
        <w:tc>
          <w:tcPr>
            <w:tcW w:w="964" w:type="dxa"/>
          </w:tcPr>
          <w:p w14:paraId="56AA11C0"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44.7</w:t>
            </w:r>
          </w:p>
        </w:tc>
        <w:tc>
          <w:tcPr>
            <w:tcW w:w="964" w:type="dxa"/>
          </w:tcPr>
          <w:p w14:paraId="5577DE7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33.8</w:t>
            </w:r>
          </w:p>
        </w:tc>
        <w:tc>
          <w:tcPr>
            <w:tcW w:w="964" w:type="dxa"/>
          </w:tcPr>
          <w:p w14:paraId="729F8F9E"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42.6</w:t>
            </w:r>
          </w:p>
        </w:tc>
      </w:tr>
      <w:tr w:rsidR="00824558" w14:paraId="74A0974E"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20E1302" w14:textId="77777777" w:rsidR="00824558" w:rsidRDefault="00824558" w:rsidP="002B00B9">
            <w:pPr>
              <w:ind w:left="170"/>
            </w:pPr>
            <w:r>
              <w:rPr>
                <w:i/>
              </w:rPr>
              <w:t xml:space="preserve">NAPLAN results, as with any assessment measure, are subject to a small margin of error. This is reflected in an estimated confidence interval of ±3.2 percentage points which is specific to the measure in 2025. </w:t>
            </w:r>
          </w:p>
          <w:p w14:paraId="50FC283D"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6646E170"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FD981CC" w14:textId="77777777" w:rsidR="00824558" w:rsidRDefault="00824558" w:rsidP="002B00B9">
            <w:pPr>
              <w:keepNext/>
              <w:ind w:left="170"/>
            </w:pPr>
            <w:r>
              <w:t>Percentage of Aboriginal students strong and exceeding in Year 9 Numeracy (NAPLAN)</w:t>
            </w:r>
          </w:p>
        </w:tc>
        <w:tc>
          <w:tcPr>
            <w:tcW w:w="964" w:type="dxa"/>
          </w:tcPr>
          <w:p w14:paraId="66554FB1"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1DF184F"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16B474D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36.2</w:t>
            </w:r>
          </w:p>
        </w:tc>
        <w:tc>
          <w:tcPr>
            <w:tcW w:w="964" w:type="dxa"/>
          </w:tcPr>
          <w:p w14:paraId="23F2B2AC"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26.7</w:t>
            </w:r>
          </w:p>
        </w:tc>
        <w:tc>
          <w:tcPr>
            <w:tcW w:w="964" w:type="dxa"/>
          </w:tcPr>
          <w:p w14:paraId="30BD392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33.2</w:t>
            </w:r>
          </w:p>
        </w:tc>
      </w:tr>
      <w:tr w:rsidR="00824558" w14:paraId="61C4B9F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8437614" w14:textId="77777777" w:rsidR="00824558" w:rsidRDefault="00824558" w:rsidP="00DC0EBC">
            <w:pPr>
              <w:keepNext/>
              <w:ind w:left="170"/>
            </w:pPr>
            <w:r>
              <w:rPr>
                <w:i/>
              </w:rPr>
              <w:t xml:space="preserve">NAPLAN results, as with any assessment measure, are subject to a small margin of error. This is reflected in an estimated confidence interval of ±4.0 percentage points which is specific to the measure in 2025. </w:t>
            </w:r>
          </w:p>
          <w:p w14:paraId="5F15C8C9"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14:paraId="70388CB1"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531EDE45" w14:textId="77777777" w:rsidR="00824558" w:rsidRDefault="00824558" w:rsidP="002B00B9">
            <w:pPr>
              <w:keepNext/>
              <w:ind w:left="170"/>
            </w:pPr>
            <w:r>
              <w:t>Percentage of Aboriginal students strong and exceeding in Year 9 Reading (NAPLAN)</w:t>
            </w:r>
          </w:p>
        </w:tc>
        <w:tc>
          <w:tcPr>
            <w:tcW w:w="964" w:type="dxa"/>
          </w:tcPr>
          <w:p w14:paraId="6241D6FB"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2E133D4"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32.3</w:t>
            </w:r>
          </w:p>
        </w:tc>
        <w:tc>
          <w:tcPr>
            <w:tcW w:w="964" w:type="dxa"/>
          </w:tcPr>
          <w:p w14:paraId="648DFAEB"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41.6</w:t>
            </w:r>
          </w:p>
        </w:tc>
        <w:tc>
          <w:tcPr>
            <w:tcW w:w="964" w:type="dxa"/>
          </w:tcPr>
          <w:p w14:paraId="35DFFE56"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28.8</w:t>
            </w:r>
          </w:p>
        </w:tc>
        <w:tc>
          <w:tcPr>
            <w:tcW w:w="964" w:type="dxa"/>
          </w:tcPr>
          <w:p w14:paraId="6D2CF178" w14:textId="77777777" w:rsidR="00824558" w:rsidRDefault="00824558" w:rsidP="002B00B9">
            <w:pPr>
              <w:cnfStyle w:val="000000000000" w:firstRow="0" w:lastRow="0" w:firstColumn="0" w:lastColumn="0" w:oddVBand="0" w:evenVBand="0" w:oddHBand="0" w:evenHBand="0" w:firstRowFirstColumn="0" w:firstRowLastColumn="0" w:lastRowFirstColumn="0" w:lastRowLastColumn="0"/>
            </w:pPr>
            <w:r>
              <w:t>36.7</w:t>
            </w:r>
          </w:p>
        </w:tc>
      </w:tr>
      <w:tr w:rsidR="00824558" w14:paraId="1C14DBE4"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7A4522" w14:textId="77777777" w:rsidR="00824558" w:rsidRDefault="00824558" w:rsidP="00F977F2">
            <w:pPr>
              <w:keepNext/>
              <w:ind w:left="170"/>
            </w:pPr>
            <w:r>
              <w:rPr>
                <w:i/>
              </w:rPr>
              <w:t xml:space="preserve">NAPLAN results, as with any assessment measure, are subject to a small margin of error. This is reflected in an estimated confidence interval of ±3.6 percentage points which is specific to the measure in 2025. </w:t>
            </w:r>
          </w:p>
          <w:p w14:paraId="21BAF34F" w14:textId="77777777" w:rsidR="00824558" w:rsidRDefault="00824558" w:rsidP="002B00B9">
            <w:pPr>
              <w:ind w:left="170"/>
            </w:pPr>
            <w:r>
              <w:rPr>
                <w:i/>
              </w:rPr>
              <w:t>This performance measure relates to the calendar year. The higher 2026-27 reflects recent gains in national NAPLAN performance in 2025 to which the target is aligned.</w:t>
            </w:r>
          </w:p>
        </w:tc>
      </w:tr>
      <w:tr w:rsidR="00824558" w:rsidRPr="00DC0EBC" w14:paraId="4B83289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67448A86" w14:textId="77777777" w:rsidR="00824558" w:rsidRPr="00DC0EBC" w:rsidRDefault="00824558" w:rsidP="002B00B9">
            <w:pPr>
              <w:keepNext/>
              <w:rPr>
                <w:b/>
              </w:rPr>
            </w:pPr>
            <w:r w:rsidRPr="00DC0EBC">
              <w:rPr>
                <w:b/>
              </w:rPr>
              <w:t>Cost</w:t>
            </w:r>
          </w:p>
        </w:tc>
      </w:tr>
      <w:tr w:rsidR="00824558" w14:paraId="207595E2" w14:textId="77777777" w:rsidTr="00C76367">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01B8467B" w14:textId="77777777" w:rsidR="00824558" w:rsidRDefault="00824558" w:rsidP="002B00B9">
            <w:pPr>
              <w:keepNext/>
              <w:ind w:left="170"/>
            </w:pPr>
            <w:r>
              <w:t>Total output cost</w:t>
            </w:r>
          </w:p>
        </w:tc>
        <w:tc>
          <w:tcPr>
            <w:tcW w:w="964" w:type="dxa"/>
            <w:tcBorders>
              <w:bottom w:val="single" w:sz="12" w:space="0" w:color="auto"/>
            </w:tcBorders>
          </w:tcPr>
          <w:p w14:paraId="15747D35" w14:textId="77777777" w:rsidR="00824558" w:rsidRDefault="00824558" w:rsidP="002B00B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30F4074A" w14:textId="7FC833A0" w:rsidR="00824558" w:rsidRPr="004A6D30" w:rsidRDefault="00F23768" w:rsidP="002B00B9">
            <w:pPr>
              <w:cnfStyle w:val="000000000000" w:firstRow="0" w:lastRow="0" w:firstColumn="0" w:lastColumn="0" w:oddVBand="0" w:evenVBand="0" w:oddHBand="0" w:evenHBand="0" w:firstRowFirstColumn="0" w:firstRowLastColumn="0" w:lastRowFirstColumn="0" w:lastRowLastColumn="0"/>
              <w:rPr>
                <w:highlight w:val="yellow"/>
              </w:rPr>
            </w:pPr>
            <w:r w:rsidRPr="00F23768">
              <w:t>1 120.4</w:t>
            </w:r>
          </w:p>
        </w:tc>
        <w:tc>
          <w:tcPr>
            <w:tcW w:w="964" w:type="dxa"/>
            <w:tcBorders>
              <w:bottom w:val="single" w:sz="12" w:space="0" w:color="auto"/>
            </w:tcBorders>
          </w:tcPr>
          <w:p w14:paraId="1CC872BC" w14:textId="7BA5273A" w:rsidR="00824558" w:rsidRPr="004A6D30" w:rsidRDefault="00CD72EC" w:rsidP="002B00B9">
            <w:pPr>
              <w:cnfStyle w:val="000000000000" w:firstRow="0" w:lastRow="0" w:firstColumn="0" w:lastColumn="0" w:oddVBand="0" w:evenVBand="0" w:oddHBand="0" w:evenHBand="0" w:firstRowFirstColumn="0" w:firstRowLastColumn="0" w:lastRowFirstColumn="0" w:lastRowLastColumn="0"/>
              <w:rPr>
                <w:highlight w:val="yellow"/>
              </w:rPr>
            </w:pPr>
            <w:r w:rsidRPr="00CD72EC">
              <w:t>1 160.8</w:t>
            </w:r>
          </w:p>
        </w:tc>
        <w:tc>
          <w:tcPr>
            <w:tcW w:w="964" w:type="dxa"/>
            <w:tcBorders>
              <w:bottom w:val="single" w:sz="12" w:space="0" w:color="auto"/>
            </w:tcBorders>
          </w:tcPr>
          <w:p w14:paraId="50E64966" w14:textId="3190159E" w:rsidR="00824558" w:rsidRDefault="00824558" w:rsidP="002B00B9">
            <w:pPr>
              <w:cnfStyle w:val="000000000000" w:firstRow="0" w:lastRow="0" w:firstColumn="0" w:lastColumn="0" w:oddVBand="0" w:evenVBand="0" w:oddHBand="0" w:evenHBand="0" w:firstRowFirstColumn="0" w:firstRowLastColumn="0" w:lastRowFirstColumn="0" w:lastRowLastColumn="0"/>
            </w:pPr>
            <w:r>
              <w:t>1</w:t>
            </w:r>
            <w:r w:rsidR="00B748E0">
              <w:t xml:space="preserve"> </w:t>
            </w:r>
            <w:r>
              <w:t>157.4</w:t>
            </w:r>
          </w:p>
        </w:tc>
        <w:tc>
          <w:tcPr>
            <w:tcW w:w="964" w:type="dxa"/>
            <w:tcBorders>
              <w:bottom w:val="single" w:sz="12" w:space="0" w:color="auto"/>
            </w:tcBorders>
          </w:tcPr>
          <w:p w14:paraId="2D9AA340" w14:textId="7F9A1D98" w:rsidR="00824558" w:rsidRDefault="00824558" w:rsidP="002B00B9">
            <w:pPr>
              <w:cnfStyle w:val="000000000000" w:firstRow="0" w:lastRow="0" w:firstColumn="0" w:lastColumn="0" w:oddVBand="0" w:evenVBand="0" w:oddHBand="0" w:evenHBand="0" w:firstRowFirstColumn="0" w:firstRowLastColumn="0" w:lastRowFirstColumn="0" w:lastRowLastColumn="0"/>
            </w:pPr>
            <w:r>
              <w:t>1</w:t>
            </w:r>
            <w:r w:rsidR="00B748E0">
              <w:t xml:space="preserve"> </w:t>
            </w:r>
            <w:r>
              <w:t>394.9</w:t>
            </w:r>
          </w:p>
        </w:tc>
      </w:tr>
    </w:tbl>
    <w:p w14:paraId="62B75BCF" w14:textId="77777777" w:rsidR="00824558" w:rsidRDefault="00824558" w:rsidP="001B2C1F">
      <w:pPr>
        <w:pStyle w:val="Source"/>
      </w:pPr>
      <w:r>
        <w:t>Source: Department of Education</w:t>
      </w:r>
    </w:p>
    <w:p w14:paraId="388E4FEB" w14:textId="77777777" w:rsidR="001D34D9" w:rsidRDefault="001D34D9">
      <w:pPr>
        <w:keepLines w:val="0"/>
        <w:rPr>
          <w:rFonts w:asciiTheme="majorHAnsi" w:eastAsiaTheme="majorEastAsia" w:hAnsiTheme="majorHAnsi" w:cstheme="majorBidi"/>
          <w:b/>
          <w:sz w:val="23"/>
          <w:szCs w:val="24"/>
        </w:rPr>
      </w:pPr>
      <w:r>
        <w:br w:type="page"/>
      </w:r>
    </w:p>
    <w:p w14:paraId="4323BCF5" w14:textId="681E9145" w:rsidR="00824558" w:rsidRDefault="00824558">
      <w:pPr>
        <w:pStyle w:val="Heading3"/>
      </w:pPr>
      <w:r>
        <w:lastRenderedPageBreak/>
        <w:t>Additional Supports for Students with Disabilities</w:t>
      </w:r>
      <w:r>
        <w:tab/>
        <w:t>(2026-27: $</w:t>
      </w:r>
      <w:r w:rsidR="007953B9" w:rsidRPr="00B8291C">
        <w:t>2 507.0</w:t>
      </w:r>
      <w:r>
        <w:t xml:space="preserve"> million)</w:t>
      </w:r>
    </w:p>
    <w:p w14:paraId="4D14EBFA" w14:textId="77777777" w:rsidR="00824558" w:rsidRPr="004C7049" w:rsidRDefault="00824558" w:rsidP="004C7049">
      <w:pPr>
        <w:keepNext/>
        <w:spacing w:after="120"/>
        <w:rPr>
          <w:rFonts w:ascii="Garamond" w:eastAsia="Garamond" w:hAnsi="Garamond"/>
        </w:rPr>
      </w:pPr>
      <w:r w:rsidRPr="006965F9">
        <w:rPr>
          <w:rFonts w:ascii="Garamond" w:eastAsia="Garamond" w:hAnsi="Garamond"/>
        </w:rPr>
        <w:t>The Additional Supports for Students with Disabilities output covers programs and funding to support students with disabilities as well as transport, welfare and support services for students with special needs.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B2B6597" w14:textId="77777777" w:rsidTr="00C76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6ADC205" w14:textId="77777777" w:rsidR="00824558" w:rsidRDefault="00824558">
            <w:r>
              <w:t>Performance measure</w:t>
            </w:r>
          </w:p>
        </w:tc>
        <w:tc>
          <w:tcPr>
            <w:tcW w:w="964" w:type="dxa"/>
          </w:tcPr>
          <w:p w14:paraId="42F8F862"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45D94C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521739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F5BD41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0E3B88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3725C22E"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2AE53B6E" w14:textId="77777777" w:rsidR="00824558" w:rsidRPr="00DC0EBC" w:rsidRDefault="00824558">
            <w:pPr>
              <w:keepNext/>
              <w:rPr>
                <w:b/>
              </w:rPr>
            </w:pPr>
            <w:r w:rsidRPr="00DC0EBC">
              <w:rPr>
                <w:b/>
              </w:rPr>
              <w:t>Quantity</w:t>
            </w:r>
          </w:p>
        </w:tc>
      </w:tr>
      <w:tr w:rsidR="00824558" w14:paraId="001FF0EB"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E9722AC" w14:textId="77777777" w:rsidR="00824558" w:rsidRDefault="00824558">
            <w:pPr>
              <w:keepNext/>
              <w:ind w:left="170"/>
            </w:pPr>
            <w:r>
              <w:t xml:space="preserve">Government school students who receive adjustments to support their access and participation in learning because of disability as defined in the </w:t>
            </w:r>
            <w:r w:rsidRPr="008A5D09">
              <w:rPr>
                <w:i/>
              </w:rPr>
              <w:t>Disability Discrimination Act 1992</w:t>
            </w:r>
            <w:r>
              <w:t xml:space="preserve"> (Cth), as a percentage of the total government school student population</w:t>
            </w:r>
          </w:p>
        </w:tc>
        <w:tc>
          <w:tcPr>
            <w:tcW w:w="964" w:type="dxa"/>
          </w:tcPr>
          <w:p w14:paraId="4719F0A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9324482"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287B0326" w14:textId="77777777" w:rsidR="00824558" w:rsidRDefault="00824558">
            <w:pPr>
              <w:cnfStyle w:val="000000000000" w:firstRow="0" w:lastRow="0" w:firstColumn="0" w:lastColumn="0" w:oddVBand="0" w:evenVBand="0" w:oddHBand="0" w:evenHBand="0" w:firstRowFirstColumn="0" w:firstRowLastColumn="0" w:lastRowFirstColumn="0" w:lastRowLastColumn="0"/>
            </w:pPr>
            <w:r>
              <w:t>29.1</w:t>
            </w:r>
          </w:p>
        </w:tc>
        <w:tc>
          <w:tcPr>
            <w:tcW w:w="964" w:type="dxa"/>
          </w:tcPr>
          <w:p w14:paraId="12348D11"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05148ADD" w14:textId="77777777" w:rsidR="00824558" w:rsidRDefault="00824558">
            <w:pPr>
              <w:cnfStyle w:val="000000000000" w:firstRow="0" w:lastRow="0" w:firstColumn="0" w:lastColumn="0" w:oddVBand="0" w:evenVBand="0" w:oddHBand="0" w:evenHBand="0" w:firstRowFirstColumn="0" w:firstRowLastColumn="0" w:lastRowFirstColumn="0" w:lastRowLastColumn="0"/>
            </w:pPr>
            <w:r>
              <w:t>27.6</w:t>
            </w:r>
          </w:p>
        </w:tc>
      </w:tr>
      <w:tr w:rsidR="00824558" w14:paraId="5DA27D17"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46A166D" w14:textId="77777777" w:rsidR="00824558" w:rsidRDefault="00824558">
            <w:pPr>
              <w:ind w:left="170"/>
            </w:pPr>
            <w:r>
              <w:rPr>
                <w:i/>
              </w:rPr>
              <w:t xml:space="preserve">The 2025-26 outcome is higher than the 2025-26 target due to ongoing efforts to enhance school awareness and understanding of inclusive education practice and reasonable adjustments, and continued engagement with schools to enhance understanding of the Nationally Consistent Collection of Data on School Students with Disability (NCCD). </w:t>
            </w:r>
          </w:p>
          <w:p w14:paraId="54EB3022" w14:textId="576D042D" w:rsidR="00824558" w:rsidRDefault="00824558">
            <w:pPr>
              <w:ind w:left="170"/>
            </w:pPr>
            <w:r>
              <w:rPr>
                <w:i/>
              </w:rPr>
              <w:t>This performance measure relates to the calendar year.</w:t>
            </w:r>
          </w:p>
        </w:tc>
      </w:tr>
      <w:tr w:rsidR="00824558" w14:paraId="590AD9D2"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DA5B50C" w14:textId="77777777" w:rsidR="00824558" w:rsidRDefault="00824558">
            <w:pPr>
              <w:keepNext/>
              <w:ind w:left="170"/>
            </w:pPr>
            <w:r>
              <w:t>Number of school staff who complete the Inclusive Classrooms professional learning program</w:t>
            </w:r>
          </w:p>
        </w:tc>
        <w:tc>
          <w:tcPr>
            <w:tcW w:w="964" w:type="dxa"/>
          </w:tcPr>
          <w:p w14:paraId="191F511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176E759" w14:textId="77777777" w:rsidR="00824558" w:rsidRDefault="00824558">
            <w:pPr>
              <w:cnfStyle w:val="000000000000" w:firstRow="0" w:lastRow="0" w:firstColumn="0" w:lastColumn="0" w:oddVBand="0" w:evenVBand="0" w:oddHBand="0" w:evenHBand="0" w:firstRowFirstColumn="0" w:firstRowLastColumn="0" w:lastRowFirstColumn="0" w:lastRowLastColumn="0"/>
            </w:pPr>
            <w:r>
              <w:t>2 100</w:t>
            </w:r>
          </w:p>
        </w:tc>
        <w:tc>
          <w:tcPr>
            <w:tcW w:w="964" w:type="dxa"/>
          </w:tcPr>
          <w:p w14:paraId="2996352C" w14:textId="77777777" w:rsidR="00824558" w:rsidRDefault="00824558">
            <w:pPr>
              <w:cnfStyle w:val="000000000000" w:firstRow="0" w:lastRow="0" w:firstColumn="0" w:lastColumn="0" w:oddVBand="0" w:evenVBand="0" w:oddHBand="0" w:evenHBand="0" w:firstRowFirstColumn="0" w:firstRowLastColumn="0" w:lastRowFirstColumn="0" w:lastRowLastColumn="0"/>
            </w:pPr>
            <w:r>
              <w:t>3 086</w:t>
            </w:r>
          </w:p>
        </w:tc>
        <w:tc>
          <w:tcPr>
            <w:tcW w:w="964" w:type="dxa"/>
          </w:tcPr>
          <w:p w14:paraId="0282ABC9" w14:textId="77777777" w:rsidR="00824558" w:rsidRDefault="00824558">
            <w:pPr>
              <w:cnfStyle w:val="000000000000" w:firstRow="0" w:lastRow="0" w:firstColumn="0" w:lastColumn="0" w:oddVBand="0" w:evenVBand="0" w:oddHBand="0" w:evenHBand="0" w:firstRowFirstColumn="0" w:firstRowLastColumn="0" w:lastRowFirstColumn="0" w:lastRowLastColumn="0"/>
            </w:pPr>
            <w:r>
              <w:t>2 100</w:t>
            </w:r>
          </w:p>
        </w:tc>
        <w:tc>
          <w:tcPr>
            <w:tcW w:w="964" w:type="dxa"/>
          </w:tcPr>
          <w:p w14:paraId="6A04E67B" w14:textId="77777777" w:rsidR="00824558" w:rsidRDefault="00824558">
            <w:pPr>
              <w:cnfStyle w:val="000000000000" w:firstRow="0" w:lastRow="0" w:firstColumn="0" w:lastColumn="0" w:oddVBand="0" w:evenVBand="0" w:oddHBand="0" w:evenHBand="0" w:firstRowFirstColumn="0" w:firstRowLastColumn="0" w:lastRowFirstColumn="0" w:lastRowLastColumn="0"/>
            </w:pPr>
            <w:r>
              <w:t>2 700</w:t>
            </w:r>
          </w:p>
        </w:tc>
      </w:tr>
      <w:tr w:rsidR="00824558" w14:paraId="72FCE192"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05335AB" w14:textId="32831844" w:rsidR="00824558" w:rsidRDefault="00824558">
            <w:pPr>
              <w:ind w:left="170"/>
            </w:pPr>
            <w:r>
              <w:rPr>
                <w:i/>
              </w:rPr>
              <w:t>The 2025-26 expected outcome is higher than the 2025-26 target due to the program</w:t>
            </w:r>
            <w:r w:rsidR="007942D1">
              <w:rPr>
                <w:i/>
              </w:rPr>
              <w:t>’</w:t>
            </w:r>
            <w:r>
              <w:rPr>
                <w:i/>
              </w:rPr>
              <w:t>s expanding reach and the increasing demand for inclusive education professional learning.</w:t>
            </w:r>
          </w:p>
          <w:p w14:paraId="633E9592" w14:textId="77777777" w:rsidR="00824558" w:rsidRDefault="00824558">
            <w:pPr>
              <w:ind w:left="170"/>
            </w:pPr>
            <w:r>
              <w:rPr>
                <w:i/>
              </w:rPr>
              <w:t>This performance measure relates to the calendar year.</w:t>
            </w:r>
          </w:p>
        </w:tc>
      </w:tr>
      <w:tr w:rsidR="00824558" w14:paraId="2A15223D"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6A668E94" w14:textId="77777777" w:rsidR="00824558" w:rsidRDefault="00824558">
            <w:pPr>
              <w:keepNext/>
              <w:ind w:left="170"/>
            </w:pPr>
            <w:r>
              <w:t>Number of special school students supported through High-Intensity Outside of School Hours Care services</w:t>
            </w:r>
          </w:p>
        </w:tc>
        <w:tc>
          <w:tcPr>
            <w:tcW w:w="964" w:type="dxa"/>
          </w:tcPr>
          <w:p w14:paraId="7B78BD5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205DE25"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16281C5E" w14:textId="77777777" w:rsidR="00824558" w:rsidRDefault="00824558">
            <w:pPr>
              <w:cnfStyle w:val="000000000000" w:firstRow="0" w:lastRow="0" w:firstColumn="0" w:lastColumn="0" w:oddVBand="0" w:evenVBand="0" w:oddHBand="0" w:evenHBand="0" w:firstRowFirstColumn="0" w:firstRowLastColumn="0" w:lastRowFirstColumn="0" w:lastRowLastColumn="0"/>
            </w:pPr>
            <w:r>
              <w:t>1 410</w:t>
            </w:r>
          </w:p>
        </w:tc>
        <w:tc>
          <w:tcPr>
            <w:tcW w:w="964" w:type="dxa"/>
          </w:tcPr>
          <w:p w14:paraId="1BD4FD58"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5507DF7A" w14:textId="77777777" w:rsidR="00824558" w:rsidRDefault="00824558">
            <w:pPr>
              <w:cnfStyle w:val="000000000000" w:firstRow="0" w:lastRow="0" w:firstColumn="0" w:lastColumn="0" w:oddVBand="0" w:evenVBand="0" w:oddHBand="0" w:evenHBand="0" w:firstRowFirstColumn="0" w:firstRowLastColumn="0" w:lastRowFirstColumn="0" w:lastRowLastColumn="0"/>
            </w:pPr>
            <w:r>
              <w:t>992</w:t>
            </w:r>
          </w:p>
        </w:tc>
      </w:tr>
      <w:tr w:rsidR="00824558" w14:paraId="39C9C57E"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CF4C9D" w14:textId="77777777" w:rsidR="00824558" w:rsidRDefault="00824558">
            <w:pPr>
              <w:ind w:left="170"/>
            </w:pPr>
            <w:r>
              <w:rPr>
                <w:i/>
              </w:rPr>
              <w:t xml:space="preserve">The 2025-26 expected outcome is higher than the 2025-26 target due to additional financial support given to service providers to accept more students into OSHC services. </w:t>
            </w:r>
          </w:p>
          <w:p w14:paraId="36BADD55" w14:textId="77777777" w:rsidR="00824558" w:rsidRDefault="00824558">
            <w:pPr>
              <w:ind w:left="170"/>
            </w:pPr>
            <w:r>
              <w:rPr>
                <w:i/>
              </w:rPr>
              <w:t xml:space="preserve">This performance measure relates to the calendar year. </w:t>
            </w:r>
          </w:p>
        </w:tc>
      </w:tr>
      <w:tr w:rsidR="00824558" w14:paraId="1EB384D2"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0CAA54C8" w14:textId="77777777" w:rsidR="00824558" w:rsidRDefault="00824558">
            <w:pPr>
              <w:keepNext/>
              <w:ind w:left="170"/>
            </w:pPr>
            <w:r>
              <w:t>Number of teachers and regional staff supported to undertake the Graduate Certificate in Education (Learning Difficulties)</w:t>
            </w:r>
          </w:p>
        </w:tc>
        <w:tc>
          <w:tcPr>
            <w:tcW w:w="964" w:type="dxa"/>
          </w:tcPr>
          <w:p w14:paraId="7D83469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038B33A"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0A4088EC" w14:textId="77777777" w:rsidR="00824558" w:rsidRDefault="00824558">
            <w:pPr>
              <w:cnfStyle w:val="000000000000" w:firstRow="0" w:lastRow="0" w:firstColumn="0" w:lastColumn="0" w:oddVBand="0" w:evenVBand="0" w:oddHBand="0" w:evenHBand="0" w:firstRowFirstColumn="0" w:firstRowLastColumn="0" w:lastRowFirstColumn="0" w:lastRowLastColumn="0"/>
            </w:pPr>
            <w:r>
              <w:t>68</w:t>
            </w:r>
          </w:p>
        </w:tc>
        <w:tc>
          <w:tcPr>
            <w:tcW w:w="964" w:type="dxa"/>
          </w:tcPr>
          <w:p w14:paraId="68D178D5"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7157EF0" w14:textId="77777777" w:rsidR="00824558" w:rsidRDefault="00824558">
            <w:pPr>
              <w:cnfStyle w:val="000000000000" w:firstRow="0" w:lastRow="0" w:firstColumn="0" w:lastColumn="0" w:oddVBand="0" w:evenVBand="0" w:oddHBand="0" w:evenHBand="0" w:firstRowFirstColumn="0" w:firstRowLastColumn="0" w:lastRowFirstColumn="0" w:lastRowLastColumn="0"/>
            </w:pPr>
            <w:r>
              <w:t>49</w:t>
            </w:r>
          </w:p>
        </w:tc>
      </w:tr>
      <w:tr w:rsidR="00824558" w14:paraId="6B018576"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7FB38A4" w14:textId="77777777" w:rsidR="00824558" w:rsidRDefault="00824558">
            <w:pPr>
              <w:ind w:left="170"/>
            </w:pPr>
            <w:r>
              <w:rPr>
                <w:i/>
              </w:rPr>
              <w:t xml:space="preserve">The 2025-26 expected outcome is higher than the 2025-26 target due to a combination of factors including improved engagement strategies and increased interest in the program. </w:t>
            </w:r>
          </w:p>
          <w:p w14:paraId="2BB8C8F1" w14:textId="77777777" w:rsidR="00824558" w:rsidRDefault="00824558">
            <w:pPr>
              <w:ind w:left="170"/>
            </w:pPr>
            <w:r>
              <w:rPr>
                <w:i/>
              </w:rPr>
              <w:t xml:space="preserve">This performance measure relates to the calendar year. This performance measure refers to government schools only. </w:t>
            </w:r>
          </w:p>
        </w:tc>
      </w:tr>
      <w:tr w:rsidR="00824558" w14:paraId="6412654A"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469FDBF" w14:textId="77777777" w:rsidR="00824558" w:rsidRDefault="00824558">
            <w:pPr>
              <w:keepNext/>
              <w:ind w:left="170"/>
            </w:pPr>
            <w:r>
              <w:t>Number of teachers and regional staff supported to undertake the Master of Inclusive Education Program</w:t>
            </w:r>
          </w:p>
        </w:tc>
        <w:tc>
          <w:tcPr>
            <w:tcW w:w="964" w:type="dxa"/>
          </w:tcPr>
          <w:p w14:paraId="6138683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031265"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2CE595AB"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c>
          <w:tcPr>
            <w:tcW w:w="964" w:type="dxa"/>
          </w:tcPr>
          <w:p w14:paraId="7EAB86F3"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15652392"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r>
      <w:tr w:rsidR="00824558" w14:paraId="71DF9AED"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0C4AC23" w14:textId="3596F7B5" w:rsidR="00824558" w:rsidRDefault="00824558">
            <w:pPr>
              <w:ind w:left="170"/>
            </w:pPr>
            <w:r>
              <w:rPr>
                <w:i/>
              </w:rPr>
              <w:t>The 2025-26 expected outcome is higher than the 2025-26 target due to the program</w:t>
            </w:r>
            <w:r w:rsidR="007942D1">
              <w:rPr>
                <w:i/>
              </w:rPr>
              <w:t>’</w:t>
            </w:r>
            <w:r>
              <w:rPr>
                <w:i/>
              </w:rPr>
              <w:t xml:space="preserve">s expanding reach and the increasing demand for scholarship opportunities. </w:t>
            </w:r>
          </w:p>
          <w:p w14:paraId="040C95E8" w14:textId="77777777" w:rsidR="00824558" w:rsidRDefault="00824558">
            <w:pPr>
              <w:ind w:left="170"/>
            </w:pPr>
            <w:r>
              <w:rPr>
                <w:i/>
              </w:rPr>
              <w:t xml:space="preserve">This performance measure relates to the calendar year. This performance measure refers to government schools only. </w:t>
            </w:r>
          </w:p>
        </w:tc>
      </w:tr>
      <w:tr w:rsidR="00824558" w14:paraId="6D986CFE"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2A477866" w14:textId="77777777" w:rsidR="00824558" w:rsidRDefault="00824558">
            <w:pPr>
              <w:keepNext/>
              <w:ind w:left="170"/>
            </w:pPr>
            <w:r>
              <w:t>Percentage of total government schools resourced through the Disability Inclusion funding and support model</w:t>
            </w:r>
          </w:p>
        </w:tc>
        <w:tc>
          <w:tcPr>
            <w:tcW w:w="964" w:type="dxa"/>
          </w:tcPr>
          <w:p w14:paraId="12E2B6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E70BD24"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6614E2AC"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4A48BD18"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638B2F0A"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39CAF230"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9A4EBA" w14:textId="0C4605AC" w:rsidR="00824558" w:rsidRDefault="00824558">
            <w:pPr>
              <w:ind w:left="170"/>
            </w:pPr>
            <w:r>
              <w:rPr>
                <w:i/>
              </w:rPr>
              <w:t>This performance measure relates to the calendar year.</w:t>
            </w:r>
          </w:p>
        </w:tc>
      </w:tr>
      <w:tr w:rsidR="00824558" w:rsidRPr="00DC0EBC" w14:paraId="2DB5D9F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39B9F341" w14:textId="77777777" w:rsidR="00824558" w:rsidRPr="00DC0EBC" w:rsidRDefault="00824558">
            <w:pPr>
              <w:keepNext/>
              <w:rPr>
                <w:b/>
              </w:rPr>
            </w:pPr>
            <w:r w:rsidRPr="00DC0EBC">
              <w:rPr>
                <w:b/>
              </w:rPr>
              <w:t>Quality</w:t>
            </w:r>
          </w:p>
        </w:tc>
      </w:tr>
      <w:tr w:rsidR="00824558" w14:paraId="6FDA7159"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34776193" w14:textId="77777777" w:rsidR="00824558" w:rsidRDefault="00824558">
            <w:pPr>
              <w:keepNext/>
              <w:ind w:left="170"/>
            </w:pPr>
            <w:r>
              <w:t>Percentage of positive responses to school satisfaction by parents of government special school students</w:t>
            </w:r>
          </w:p>
        </w:tc>
        <w:tc>
          <w:tcPr>
            <w:tcW w:w="964" w:type="dxa"/>
          </w:tcPr>
          <w:p w14:paraId="62E7088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43E67B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91D1D4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CF8680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0BAF876" w14:textId="77777777" w:rsidR="00824558" w:rsidRDefault="00824558">
            <w:pPr>
              <w:cnfStyle w:val="000000000000" w:firstRow="0" w:lastRow="0" w:firstColumn="0" w:lastColumn="0" w:oddVBand="0" w:evenVBand="0" w:oddHBand="0" w:evenHBand="0" w:firstRowFirstColumn="0" w:firstRowLastColumn="0" w:lastRowFirstColumn="0" w:lastRowLastColumn="0"/>
            </w:pPr>
            <w:r>
              <w:t>85.5</w:t>
            </w:r>
          </w:p>
        </w:tc>
      </w:tr>
      <w:tr w:rsidR="00824558" w14:paraId="4357F13D"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3B6329" w14:textId="75544A5C" w:rsidR="00824558" w:rsidRDefault="00824558">
            <w:pPr>
              <w:ind w:left="170"/>
            </w:pPr>
            <w:r>
              <w:rPr>
                <w:i/>
              </w:rPr>
              <w:t>This performance measure relates to the calendar year.</w:t>
            </w:r>
          </w:p>
        </w:tc>
      </w:tr>
      <w:tr w:rsidR="00824558" w:rsidRPr="00DC0EBC" w14:paraId="5113780B"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1FCE86BB" w14:textId="77777777" w:rsidR="00824558" w:rsidRPr="00DC0EBC" w:rsidRDefault="00824558">
            <w:pPr>
              <w:keepNext/>
              <w:rPr>
                <w:b/>
              </w:rPr>
            </w:pPr>
            <w:r w:rsidRPr="00DC0EBC">
              <w:rPr>
                <w:b/>
              </w:rPr>
              <w:t>Timeliness</w:t>
            </w:r>
          </w:p>
        </w:tc>
      </w:tr>
      <w:tr w:rsidR="00824558" w14:paraId="2129DC52"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72F11C1A" w14:textId="77777777" w:rsidR="00824558" w:rsidRDefault="00824558">
            <w:pPr>
              <w:keepNext/>
              <w:ind w:left="170"/>
            </w:pPr>
            <w:r>
              <w:t>Disability Inclusion Profile reports completed and issued within specified timeframes</w:t>
            </w:r>
          </w:p>
        </w:tc>
        <w:tc>
          <w:tcPr>
            <w:tcW w:w="964" w:type="dxa"/>
          </w:tcPr>
          <w:p w14:paraId="26D017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10D5B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8E49E35"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55963C5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F9563FD" w14:textId="77777777" w:rsidR="00824558" w:rsidRDefault="00824558">
            <w:pPr>
              <w:cnfStyle w:val="000000000000" w:firstRow="0" w:lastRow="0" w:firstColumn="0" w:lastColumn="0" w:oddVBand="0" w:evenVBand="0" w:oddHBand="0" w:evenHBand="0" w:firstRowFirstColumn="0" w:firstRowLastColumn="0" w:lastRowFirstColumn="0" w:lastRowLastColumn="0"/>
            </w:pPr>
            <w:r>
              <w:t>81.7</w:t>
            </w:r>
          </w:p>
        </w:tc>
      </w:tr>
      <w:tr w:rsidR="00824558" w14:paraId="35F6A615"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DF5EF8F" w14:textId="3DB59213" w:rsidR="00824558" w:rsidRDefault="00824558">
            <w:pPr>
              <w:ind w:left="170"/>
            </w:pPr>
            <w:r>
              <w:rPr>
                <w:i/>
              </w:rPr>
              <w:t>The 2025-26 expected outcome is higher than the 2025-26 target due to schools increased familiarity with the Profile and business process improvements.</w:t>
            </w:r>
          </w:p>
          <w:p w14:paraId="3EF41C83" w14:textId="79B1B70B" w:rsidR="00824558" w:rsidRDefault="00824558">
            <w:pPr>
              <w:ind w:left="170"/>
            </w:pPr>
            <w:r>
              <w:rPr>
                <w:i/>
              </w:rPr>
              <w:t>This performance measure relates to the calendar year.</w:t>
            </w:r>
          </w:p>
        </w:tc>
      </w:tr>
      <w:tr w:rsidR="00824558" w:rsidRPr="00DC0EBC" w14:paraId="1E38C636"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Pr>
          <w:p w14:paraId="524E3AF6" w14:textId="77777777" w:rsidR="00824558" w:rsidRPr="00DC0EBC" w:rsidRDefault="00824558">
            <w:pPr>
              <w:keepNext/>
              <w:rPr>
                <w:b/>
              </w:rPr>
            </w:pPr>
            <w:r w:rsidRPr="00DC0EBC">
              <w:rPr>
                <w:b/>
              </w:rPr>
              <w:t>Cost</w:t>
            </w:r>
          </w:p>
        </w:tc>
      </w:tr>
      <w:tr w:rsidR="00824558" w14:paraId="2C413315" w14:textId="77777777" w:rsidTr="0079396B">
        <w:tc>
          <w:tcPr>
            <w:cnfStyle w:val="001000000000" w:firstRow="0" w:lastRow="0" w:firstColumn="1" w:lastColumn="0" w:oddVBand="0" w:evenVBand="0" w:oddHBand="0" w:evenHBand="0" w:firstRowFirstColumn="0" w:firstRowLastColumn="0" w:lastRowFirstColumn="0" w:lastRowLastColumn="0"/>
            <w:tcW w:w="4819" w:type="dxa"/>
          </w:tcPr>
          <w:p w14:paraId="0318CD1A" w14:textId="77777777" w:rsidR="00824558" w:rsidRDefault="00824558">
            <w:pPr>
              <w:keepNext/>
              <w:ind w:left="170"/>
            </w:pPr>
            <w:r>
              <w:t>Total output cost</w:t>
            </w:r>
          </w:p>
        </w:tc>
        <w:tc>
          <w:tcPr>
            <w:tcW w:w="964" w:type="dxa"/>
          </w:tcPr>
          <w:p w14:paraId="69811CD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93D0988" w14:textId="610FED9A" w:rsidR="00824558" w:rsidRPr="004A6D30" w:rsidRDefault="00054575">
            <w:pPr>
              <w:cnfStyle w:val="000000000000" w:firstRow="0" w:lastRow="0" w:firstColumn="0" w:lastColumn="0" w:oddVBand="0" w:evenVBand="0" w:oddHBand="0" w:evenHBand="0" w:firstRowFirstColumn="0" w:firstRowLastColumn="0" w:lastRowFirstColumn="0" w:lastRowLastColumn="0"/>
              <w:rPr>
                <w:highlight w:val="yellow"/>
              </w:rPr>
            </w:pPr>
            <w:r w:rsidRPr="00054575">
              <w:t>2 507.0</w:t>
            </w:r>
          </w:p>
        </w:tc>
        <w:tc>
          <w:tcPr>
            <w:tcW w:w="964" w:type="dxa"/>
          </w:tcPr>
          <w:p w14:paraId="55A35636" w14:textId="46D3E3E0" w:rsidR="00824558" w:rsidRPr="004A6D30" w:rsidRDefault="0079396B">
            <w:pPr>
              <w:cnfStyle w:val="000000000000" w:firstRow="0" w:lastRow="0" w:firstColumn="0" w:lastColumn="0" w:oddVBand="0" w:evenVBand="0" w:oddHBand="0" w:evenHBand="0" w:firstRowFirstColumn="0" w:firstRowLastColumn="0" w:lastRowFirstColumn="0" w:lastRowLastColumn="0"/>
              <w:rPr>
                <w:highlight w:val="yellow"/>
              </w:rPr>
            </w:pPr>
            <w:r w:rsidRPr="00B8291C">
              <w:t>2 274.8</w:t>
            </w:r>
          </w:p>
        </w:tc>
        <w:tc>
          <w:tcPr>
            <w:tcW w:w="964" w:type="dxa"/>
          </w:tcPr>
          <w:p w14:paraId="762F2B1B" w14:textId="4BEF64AA" w:rsidR="00824558" w:rsidRDefault="00824558">
            <w:pPr>
              <w:cnfStyle w:val="000000000000" w:firstRow="0" w:lastRow="0" w:firstColumn="0" w:lastColumn="0" w:oddVBand="0" w:evenVBand="0" w:oddHBand="0" w:evenHBand="0" w:firstRowFirstColumn="0" w:firstRowLastColumn="0" w:lastRowFirstColumn="0" w:lastRowLastColumn="0"/>
            </w:pPr>
            <w:r>
              <w:t>2</w:t>
            </w:r>
            <w:r w:rsidR="00FF642F">
              <w:t xml:space="preserve"> </w:t>
            </w:r>
            <w:r>
              <w:t>177.4</w:t>
            </w:r>
          </w:p>
        </w:tc>
        <w:tc>
          <w:tcPr>
            <w:tcW w:w="964" w:type="dxa"/>
          </w:tcPr>
          <w:p w14:paraId="0A95B4AE" w14:textId="298AC68A" w:rsidR="00824558" w:rsidRDefault="00824558">
            <w:pPr>
              <w:cnfStyle w:val="000000000000" w:firstRow="0" w:lastRow="0" w:firstColumn="0" w:lastColumn="0" w:oddVBand="0" w:evenVBand="0" w:oddHBand="0" w:evenHBand="0" w:firstRowFirstColumn="0" w:firstRowLastColumn="0" w:lastRowFirstColumn="0" w:lastRowLastColumn="0"/>
            </w:pPr>
            <w:r>
              <w:t>2</w:t>
            </w:r>
            <w:r w:rsidR="00FF642F">
              <w:t xml:space="preserve"> </w:t>
            </w:r>
            <w:r>
              <w:t>085.4</w:t>
            </w:r>
          </w:p>
        </w:tc>
      </w:tr>
      <w:tr w:rsidR="0003237A" w14:paraId="159A185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C37D959" w14:textId="3625636E" w:rsidR="0003237A" w:rsidRDefault="0003237A" w:rsidP="0003237A">
            <w:pPr>
              <w:ind w:left="170"/>
            </w:pPr>
            <w:r>
              <w:rPr>
                <w:i/>
              </w:rPr>
              <w:t xml:space="preserve"> </w:t>
            </w:r>
            <w:r w:rsidRPr="001D6887">
              <w:rPr>
                <w:i/>
              </w:rPr>
              <w:t>The higher 2026-27 target primarily reflects ongoing investment in Disability Inclusion in schools to meet program growth.</w:t>
            </w:r>
          </w:p>
        </w:tc>
      </w:tr>
    </w:tbl>
    <w:p w14:paraId="0E1331B7" w14:textId="77777777" w:rsidR="00824558" w:rsidRDefault="00824558">
      <w:pPr>
        <w:pStyle w:val="Source"/>
      </w:pPr>
      <w:r>
        <w:t>Source: Department of Education</w:t>
      </w:r>
    </w:p>
    <w:p w14:paraId="76073EF9" w14:textId="77777777" w:rsidR="001D0FF8" w:rsidRDefault="001D0FF8">
      <w:pPr>
        <w:pStyle w:val="Source"/>
      </w:pPr>
    </w:p>
    <w:p w14:paraId="30138F1B" w14:textId="77777777" w:rsidR="001D0FF8" w:rsidRDefault="001D0FF8">
      <w:pPr>
        <w:pStyle w:val="Source"/>
        <w:sectPr w:rsidR="001D0FF8" w:rsidSect="001F14A3">
          <w:footerReference w:type="even" r:id="rId20"/>
          <w:footerReference w:type="default" r:id="rId21"/>
          <w:pgSz w:w="11907" w:h="16840" w:code="9"/>
          <w:pgMar w:top="1138" w:right="1138" w:bottom="1138" w:left="1138" w:header="619" w:footer="562" w:gutter="0"/>
          <w:cols w:space="708"/>
          <w:docGrid w:linePitch="360"/>
        </w:sectPr>
      </w:pPr>
    </w:p>
    <w:p w14:paraId="14155A02" w14:textId="04E15A7E" w:rsidR="00824558" w:rsidRPr="00D566D0" w:rsidRDefault="00824558" w:rsidP="004A6D30">
      <w:pPr>
        <w:pStyle w:val="Heading1"/>
        <w:pageBreakBefore/>
        <w:spacing w:before="0"/>
        <w:rPr>
          <w:rFonts w:eastAsia="Times New Roman"/>
          <w:bCs/>
        </w:rPr>
      </w:pPr>
      <w:bookmarkStart w:id="4" w:name="_Toc228288096"/>
      <w:r w:rsidRPr="00D566D0">
        <w:rPr>
          <w:rFonts w:eastAsia="Times New Roman"/>
        </w:rPr>
        <w:lastRenderedPageBreak/>
        <w:t>Department of Energy, Environment and Climate Action</w:t>
      </w:r>
      <w:bookmarkEnd w:id="4"/>
    </w:p>
    <w:p w14:paraId="122AC5B0" w14:textId="77777777" w:rsidR="00824558" w:rsidRPr="00D566D0" w:rsidRDefault="00824558">
      <w:pPr>
        <w:pStyle w:val="Heading2"/>
        <w:rPr>
          <w:rFonts w:eastAsia="Times New Roman"/>
        </w:rPr>
      </w:pPr>
      <w:r w:rsidRPr="00D566D0">
        <w:rPr>
          <w:rFonts w:eastAsia="Times New Roman"/>
        </w:rPr>
        <w:t>Ministerial portfolios</w:t>
      </w:r>
    </w:p>
    <w:p w14:paraId="0DEEA4F1" w14:textId="77777777" w:rsidR="00824558" w:rsidRPr="009E189A" w:rsidRDefault="00824558">
      <w:pPr>
        <w:rPr>
          <w:rFonts w:cstheme="minorHAnsi"/>
        </w:rPr>
      </w:pPr>
      <w:r w:rsidRPr="00D566D0">
        <w:rPr>
          <w:rFonts w:cstheme="minorHAnsi"/>
        </w:rPr>
        <w:t xml:space="preserve">The Department supports the ministerial portfolios of: Climate Action; Energy and Resources; </w:t>
      </w:r>
      <w:r w:rsidRPr="00D566D0">
        <w:rPr>
          <w:rFonts w:cstheme="minorHAnsi"/>
        </w:rPr>
        <w:br/>
        <w:t xml:space="preserve">the </w:t>
      </w:r>
      <w:r w:rsidRPr="009E189A">
        <w:rPr>
          <w:rFonts w:cstheme="minorHAnsi"/>
        </w:rPr>
        <w:t xml:space="preserve">State Electricity Commission; Environment; Water; and Agriculture. </w:t>
      </w:r>
    </w:p>
    <w:p w14:paraId="173A6747" w14:textId="77777777" w:rsidR="00824558" w:rsidRPr="009E189A" w:rsidRDefault="00824558">
      <w:pPr>
        <w:pStyle w:val="Heading2"/>
        <w:rPr>
          <w:rFonts w:eastAsia="Times New Roman"/>
        </w:rPr>
      </w:pPr>
      <w:r w:rsidRPr="009E189A">
        <w:rPr>
          <w:rFonts w:eastAsia="Times New Roman"/>
        </w:rPr>
        <w:t>Departmental mission statement</w:t>
      </w:r>
    </w:p>
    <w:p w14:paraId="3698CB56" w14:textId="35DB9B6A" w:rsidR="00824558" w:rsidRPr="009E189A" w:rsidRDefault="00824558">
      <w:pPr>
        <w:rPr>
          <w:rFonts w:cstheme="minorBidi"/>
        </w:rPr>
      </w:pPr>
      <w:r w:rsidRPr="5A90751E">
        <w:rPr>
          <w:rFonts w:cstheme="minorBidi"/>
        </w:rPr>
        <w:t>The Department of Energy, Environment and Climate Action</w:t>
      </w:r>
      <w:r w:rsidR="007942D1">
        <w:rPr>
          <w:rFonts w:cstheme="minorBidi"/>
        </w:rPr>
        <w:t>’</w:t>
      </w:r>
      <w:r w:rsidRPr="5A90751E">
        <w:rPr>
          <w:rFonts w:cstheme="minorBidi"/>
        </w:rPr>
        <w:t>s mission is to support thriving, productive and sustainable communities, environments and industries across Victoria by:</w:t>
      </w:r>
    </w:p>
    <w:p w14:paraId="1EBD7318" w14:textId="77777777" w:rsidR="00824558" w:rsidRPr="009E189A" w:rsidRDefault="00824558" w:rsidP="0057778B">
      <w:pPr>
        <w:pStyle w:val="ListBullet"/>
        <w:numPr>
          <w:ilvl w:val="0"/>
          <w:numId w:val="15"/>
        </w:numPr>
      </w:pPr>
      <w:r w:rsidRPr="009E189A">
        <w:t>listening, working alongside and partnering with the community in everything we do</w:t>
      </w:r>
    </w:p>
    <w:p w14:paraId="64F512D1" w14:textId="77777777" w:rsidR="00824558" w:rsidRPr="009E189A" w:rsidRDefault="00824558" w:rsidP="0057778B">
      <w:pPr>
        <w:pStyle w:val="ListBullet"/>
        <w:numPr>
          <w:ilvl w:val="0"/>
          <w:numId w:val="15"/>
        </w:numPr>
      </w:pPr>
      <w:r w:rsidRPr="009E189A">
        <w:t>leveraging the connectivity between our portfolios to respond to the impacts of climate change and protecting our natural environment in a productive, collaborative and coordinated way</w:t>
      </w:r>
    </w:p>
    <w:p w14:paraId="28DFD77C" w14:textId="77777777" w:rsidR="00824558" w:rsidRPr="009E189A" w:rsidRDefault="00824558" w:rsidP="0057778B">
      <w:pPr>
        <w:pStyle w:val="ListBullet"/>
        <w:numPr>
          <w:ilvl w:val="0"/>
          <w:numId w:val="15"/>
        </w:numPr>
      </w:pPr>
      <w:r w:rsidRPr="009E189A">
        <w:t>maximising opportunities for attracting investment, creating and maintaining jobs, and developing regional economies by supporting sustainable industries.</w:t>
      </w:r>
    </w:p>
    <w:p w14:paraId="2E5A77AE" w14:textId="44885275" w:rsidR="00824558" w:rsidRPr="009E189A" w:rsidRDefault="00824558">
      <w:pPr>
        <w:rPr>
          <w:rFonts w:cstheme="minorHAnsi"/>
        </w:rPr>
      </w:pPr>
      <w:r w:rsidRPr="009E189A">
        <w:rPr>
          <w:rFonts w:cstheme="minorHAnsi"/>
        </w:rPr>
        <w:t>The Department contributes to the Government</w:t>
      </w:r>
      <w:r w:rsidR="007942D1">
        <w:rPr>
          <w:rFonts w:cstheme="minorHAnsi"/>
        </w:rPr>
        <w:t>’</w:t>
      </w:r>
      <w:r w:rsidRPr="009E189A">
        <w:rPr>
          <w:rFonts w:cstheme="minorHAnsi"/>
        </w:rPr>
        <w:t>s commitment to a stronger, fairer, better Victoria by supporting our natural environment, enabling economic growth, and fostering sustainable communities and industries that are resilient to the impacts of climate change.</w:t>
      </w:r>
    </w:p>
    <w:p w14:paraId="5FAE1A90" w14:textId="77777777" w:rsidR="00824558" w:rsidRPr="009E189A" w:rsidRDefault="00824558">
      <w:pPr>
        <w:pStyle w:val="Heading2"/>
        <w:rPr>
          <w:vertAlign w:val="superscript"/>
        </w:rPr>
      </w:pPr>
      <w:r w:rsidRPr="009E189A">
        <w:rPr>
          <w:rFonts w:eastAsia="Times New Roman"/>
        </w:rPr>
        <w:t>Departmental objectives</w:t>
      </w:r>
    </w:p>
    <w:p w14:paraId="353DE3AD" w14:textId="77777777" w:rsidR="00824558" w:rsidRPr="009E189A" w:rsidRDefault="00824558">
      <w:pPr>
        <w:pStyle w:val="Heading3"/>
        <w:spacing w:line="259" w:lineRule="auto"/>
        <w:rPr>
          <w:rFonts w:cstheme="minorBidi"/>
        </w:rPr>
      </w:pPr>
      <w:r w:rsidRPr="009E189A">
        <w:t>Productive and sustainably used agricultural resources</w:t>
      </w:r>
    </w:p>
    <w:p w14:paraId="225423C3" w14:textId="77777777" w:rsidR="00824558" w:rsidRPr="009E189A" w:rsidRDefault="00824558">
      <w:pPr>
        <w:rPr>
          <w:rFonts w:ascii="Garamond" w:eastAsia="Garamond" w:hAnsi="Garamond"/>
        </w:rPr>
      </w:pPr>
      <w:r w:rsidRPr="009E189A">
        <w:rPr>
          <w:rFonts w:ascii="Garamond" w:eastAsia="Garamond" w:hAnsi="Garamond"/>
        </w:rPr>
        <w:t xml:space="preserve">The Department supports more productive, globally competitive, sustainable and jobs-rich agriculture, food, forestry and fibre sectors. </w:t>
      </w:r>
    </w:p>
    <w:p w14:paraId="10ECC75C" w14:textId="77777777" w:rsidR="00824558" w:rsidRDefault="00824558">
      <w:pPr>
        <w:rPr>
          <w:rFonts w:ascii="Garamond" w:eastAsia="Garamond" w:hAnsi="Garamond"/>
        </w:rPr>
      </w:pPr>
      <w:r w:rsidRPr="009E189A">
        <w:rPr>
          <w:rFonts w:ascii="Garamond" w:eastAsia="Garamond" w:hAnsi="Garamond"/>
        </w:rPr>
        <w:t>The Agriculture output delivers services to the agriculture, food, forestry and fibre sectors to enhance productivity, connect the</w:t>
      </w:r>
      <w:r>
        <w:rPr>
          <w:rFonts w:ascii="Garamond" w:eastAsia="Garamond" w:hAnsi="Garamond"/>
        </w:rPr>
        <w:t>se</w:t>
      </w:r>
      <w:r w:rsidRPr="009E189A">
        <w:rPr>
          <w:rFonts w:ascii="Garamond" w:eastAsia="Garamond" w:hAnsi="Garamond"/>
        </w:rPr>
        <w:t xml:space="preserve"> sector</w:t>
      </w:r>
      <w:r>
        <w:rPr>
          <w:rFonts w:ascii="Garamond" w:eastAsia="Garamond" w:hAnsi="Garamond"/>
        </w:rPr>
        <w:t>s</w:t>
      </w:r>
      <w:r w:rsidRPr="009E189A">
        <w:rPr>
          <w:rFonts w:ascii="Garamond" w:eastAsia="Garamond" w:hAnsi="Garamond"/>
        </w:rPr>
        <w:t xml:space="preserve"> with international markets, create jobs, support growth and maintain effective biosecurity.</w:t>
      </w:r>
    </w:p>
    <w:p w14:paraId="66A8CDE4" w14:textId="77777777" w:rsidR="00824558" w:rsidRPr="009E01C1" w:rsidRDefault="00824558">
      <w:pPr>
        <w:pStyle w:val="Heading3"/>
        <w:rPr>
          <w:rFonts w:ascii="Calibri" w:eastAsia="Times New Roman" w:hAnsi="Calibri" w:cs="Times New Roman"/>
          <w:spacing w:val="-2"/>
        </w:rPr>
      </w:pPr>
      <w:r w:rsidRPr="009E01C1">
        <w:t>Net zero emissions, climate ready economy and community</w:t>
      </w:r>
    </w:p>
    <w:p w14:paraId="74EF89E1" w14:textId="19BAB836" w:rsidR="00824558" w:rsidRPr="009E01C1" w:rsidRDefault="00824558">
      <w:pPr>
        <w:rPr>
          <w:rFonts w:ascii="Garamond" w:hAnsi="Garamond"/>
        </w:rPr>
      </w:pPr>
      <w:r w:rsidRPr="009E01C1">
        <w:rPr>
          <w:rFonts w:ascii="Garamond" w:hAnsi="Garamond"/>
        </w:rPr>
        <w:t>The Department leads the whole of government delivery of Victoria</w:t>
      </w:r>
      <w:r w:rsidR="007942D1">
        <w:rPr>
          <w:rFonts w:ascii="Garamond" w:hAnsi="Garamond"/>
        </w:rPr>
        <w:t>’</w:t>
      </w:r>
      <w:r w:rsidRPr="009E01C1">
        <w:rPr>
          <w:rFonts w:ascii="Garamond" w:hAnsi="Garamond"/>
        </w:rPr>
        <w:t xml:space="preserve">s climate action, including reducing greenhouse gas emissions, adapting to the </w:t>
      </w:r>
      <w:r w:rsidRPr="00CE5E33">
        <w:rPr>
          <w:rFonts w:ascii="Garamond" w:hAnsi="Garamond"/>
        </w:rPr>
        <w:t xml:space="preserve">impacts of a changing climate, and </w:t>
      </w:r>
      <w:r w:rsidRPr="009E01C1">
        <w:rPr>
          <w:rFonts w:ascii="Garamond" w:hAnsi="Garamond"/>
        </w:rPr>
        <w:t>supporting the economic and social transition to a net zero emissions and climate resilient future.</w:t>
      </w:r>
    </w:p>
    <w:p w14:paraId="248965B7" w14:textId="673C9C8B" w:rsidR="00824558" w:rsidRPr="00D566D0" w:rsidRDefault="00824558">
      <w:pPr>
        <w:rPr>
          <w:rFonts w:ascii="Garamond" w:hAnsi="Garamond"/>
        </w:rPr>
      </w:pPr>
      <w:r w:rsidRPr="009E01C1">
        <w:rPr>
          <w:rFonts w:ascii="Garamond" w:hAnsi="Garamond"/>
        </w:rPr>
        <w:t>The Climate Action output contributes to this objective by leading the development and implementation of strategic, whole of government</w:t>
      </w:r>
      <w:r>
        <w:rPr>
          <w:rFonts w:ascii="Garamond" w:hAnsi="Garamond"/>
        </w:rPr>
        <w:t>,</w:t>
      </w:r>
      <w:r w:rsidRPr="009E01C1">
        <w:rPr>
          <w:rFonts w:ascii="Garamond" w:hAnsi="Garamond"/>
        </w:rPr>
        <w:t xml:space="preserve"> climate action policy and programs that contribute to Victoria</w:t>
      </w:r>
      <w:r w:rsidR="007942D1">
        <w:rPr>
          <w:rFonts w:ascii="Garamond" w:hAnsi="Garamond"/>
        </w:rPr>
        <w:t>’</w:t>
      </w:r>
      <w:r w:rsidRPr="009E01C1">
        <w:rPr>
          <w:rFonts w:ascii="Garamond" w:hAnsi="Garamond"/>
        </w:rPr>
        <w:t>s 2045 target of net zero greenhouse gas emissions and build the State</w:t>
      </w:r>
      <w:r w:rsidR="007942D1">
        <w:rPr>
          <w:rFonts w:ascii="Garamond" w:hAnsi="Garamond"/>
        </w:rPr>
        <w:t>’</w:t>
      </w:r>
      <w:r w:rsidRPr="009E01C1">
        <w:rPr>
          <w:rFonts w:ascii="Garamond" w:hAnsi="Garamond"/>
        </w:rPr>
        <w:t>s resilience to climate change.</w:t>
      </w:r>
      <w:r w:rsidRPr="00D566D0">
        <w:rPr>
          <w:rFonts w:ascii="Garamond" w:hAnsi="Garamond"/>
        </w:rPr>
        <w:t xml:space="preserve"> </w:t>
      </w:r>
    </w:p>
    <w:p w14:paraId="460FE363" w14:textId="29455766" w:rsidR="00824558" w:rsidRPr="00D566D0" w:rsidRDefault="00824558">
      <w:pPr>
        <w:pStyle w:val="Heading3"/>
        <w:rPr>
          <w:rFonts w:cstheme="minorHAnsi"/>
        </w:rPr>
      </w:pPr>
      <w:r w:rsidRPr="00D566D0">
        <w:t>Sustainable development of Victoria</w:t>
      </w:r>
      <w:r w:rsidR="007942D1">
        <w:t>’</w:t>
      </w:r>
      <w:r w:rsidRPr="00D566D0">
        <w:t>s earth resource</w:t>
      </w:r>
      <w:r w:rsidRPr="00D566D0">
        <w:rPr>
          <w:rFonts w:cstheme="minorHAnsi"/>
        </w:rPr>
        <w:t>s</w:t>
      </w:r>
    </w:p>
    <w:p w14:paraId="6A9338DC" w14:textId="1DEFC79D" w:rsidR="00824558" w:rsidRPr="00D566D0" w:rsidRDefault="00824558">
      <w:pPr>
        <w:rPr>
          <w:rFonts w:ascii="Garamond" w:hAnsi="Garamond"/>
          <w:color w:val="000000" w:themeColor="text1"/>
        </w:rPr>
      </w:pPr>
      <w:r w:rsidRPr="00D566D0">
        <w:rPr>
          <w:rFonts w:ascii="Garamond" w:hAnsi="Garamond"/>
          <w:color w:val="000000" w:themeColor="text1"/>
        </w:rPr>
        <w:t>The Department delivers policy, programs and regulation to enable investment and generate jobs through the sustainable development of the State</w:t>
      </w:r>
      <w:r w:rsidR="007942D1">
        <w:rPr>
          <w:rFonts w:ascii="Garamond" w:hAnsi="Garamond"/>
          <w:color w:val="000000" w:themeColor="text1"/>
        </w:rPr>
        <w:t>’</w:t>
      </w:r>
      <w:r w:rsidRPr="00D566D0">
        <w:rPr>
          <w:rFonts w:ascii="Garamond" w:hAnsi="Garamond"/>
          <w:color w:val="000000" w:themeColor="text1"/>
        </w:rPr>
        <w:t xml:space="preserve">s earth resources. </w:t>
      </w:r>
    </w:p>
    <w:p w14:paraId="2CF93F57" w14:textId="5BA01B65" w:rsidR="00824558" w:rsidRPr="00093150" w:rsidRDefault="00824558">
      <w:pPr>
        <w:rPr>
          <w:rFonts w:ascii="Garamond" w:hAnsi="Garamond"/>
        </w:rPr>
      </w:pPr>
      <w:r w:rsidRPr="00093150">
        <w:rPr>
          <w:rFonts w:ascii="Garamond" w:hAnsi="Garamond"/>
        </w:rPr>
        <w:t>The Resources output seeks to unlock the full potential of Victoria</w:t>
      </w:r>
      <w:r w:rsidR="007942D1">
        <w:rPr>
          <w:rFonts w:ascii="Garamond" w:hAnsi="Garamond"/>
        </w:rPr>
        <w:t>’</w:t>
      </w:r>
      <w:r w:rsidRPr="00093150">
        <w:rPr>
          <w:rFonts w:ascii="Garamond" w:hAnsi="Garamond"/>
        </w:rPr>
        <w:t>s earth resources, including supporting the transition to net zero emissions through effective policy, programs and regulation.</w:t>
      </w:r>
    </w:p>
    <w:p w14:paraId="70FFCA43" w14:textId="77777777" w:rsidR="00824558" w:rsidRPr="00D566D0" w:rsidRDefault="00824558">
      <w:pPr>
        <w:pStyle w:val="Heading3"/>
        <w:rPr>
          <w:rStyle w:val="Heading5Char"/>
          <w:b/>
          <w:iCs w:val="0"/>
          <w:sz w:val="23"/>
        </w:rPr>
      </w:pPr>
      <w:r w:rsidRPr="00D566D0">
        <w:rPr>
          <w:rStyle w:val="Heading5Char"/>
          <w:b/>
          <w:iCs w:val="0"/>
          <w:sz w:val="23"/>
        </w:rPr>
        <w:t xml:space="preserve">Reduced impact of major bushfires and other emergencies </w:t>
      </w:r>
    </w:p>
    <w:p w14:paraId="1FFF6E7E" w14:textId="77777777" w:rsidR="00824558" w:rsidRPr="00D566D0" w:rsidRDefault="00824558">
      <w:pPr>
        <w:keepNext/>
        <w:rPr>
          <w:rFonts w:cstheme="minorHAnsi"/>
        </w:rPr>
      </w:pPr>
      <w:r w:rsidRPr="00D566D0">
        <w:rPr>
          <w:rFonts w:cstheme="minorHAnsi"/>
        </w:rPr>
        <w:t xml:space="preserve">The Department delivers an integrated approach to reducing the risk of bushfires and other emergencies to protect people, property and the environment. </w:t>
      </w:r>
    </w:p>
    <w:p w14:paraId="253E9EE2" w14:textId="77777777" w:rsidR="00824558" w:rsidRPr="00D566D0" w:rsidRDefault="00824558">
      <w:pPr>
        <w:rPr>
          <w:rFonts w:eastAsia="Garamond" w:cstheme="minorHAnsi"/>
        </w:rPr>
      </w:pPr>
      <w:r w:rsidRPr="00D566D0">
        <w:rPr>
          <w:rFonts w:eastAsia="Garamond" w:cstheme="minorHAnsi"/>
        </w:rPr>
        <w:t xml:space="preserve">The Fire and Emergency Management output contributes to this objective by planning and delivering integrated bushfire management, and the provision of emergency response. </w:t>
      </w:r>
    </w:p>
    <w:p w14:paraId="418E817A" w14:textId="77777777" w:rsidR="00824558" w:rsidRPr="00CE3D10" w:rsidRDefault="00824558">
      <w:pPr>
        <w:pStyle w:val="Heading3"/>
        <w:rPr>
          <w:rFonts w:cstheme="minorHAnsi"/>
        </w:rPr>
      </w:pPr>
      <w:r w:rsidRPr="00CE3D10">
        <w:lastRenderedPageBreak/>
        <w:t>Reliable, sustainable and affordable energy services</w:t>
      </w:r>
    </w:p>
    <w:p w14:paraId="130A090E" w14:textId="77777777" w:rsidR="00824558" w:rsidRPr="00CE3D10" w:rsidRDefault="00824558">
      <w:pPr>
        <w:rPr>
          <w:rFonts w:ascii="Garamond" w:hAnsi="Garamond"/>
        </w:rPr>
      </w:pPr>
      <w:r w:rsidRPr="00CE3D10">
        <w:rPr>
          <w:rFonts w:ascii="Garamond" w:hAnsi="Garamond"/>
        </w:rPr>
        <w:t xml:space="preserve">The Department delivers a comprehensive suite of energy programs that improve energy efficiency, strengthen consumer protections and improve affordability. The Department also provides policy advice to government on how to deliver </w:t>
      </w:r>
      <w:r>
        <w:rPr>
          <w:rFonts w:ascii="Garamond" w:hAnsi="Garamond"/>
        </w:rPr>
        <w:t>renewable</w:t>
      </w:r>
      <w:r w:rsidRPr="00CE3D10">
        <w:rPr>
          <w:rFonts w:ascii="Garamond" w:hAnsi="Garamond"/>
        </w:rPr>
        <w:t xml:space="preserve">, reliable, sustainable and affordable energy services to Victorians. </w:t>
      </w:r>
    </w:p>
    <w:p w14:paraId="030A0880" w14:textId="77777777" w:rsidR="00824558" w:rsidRPr="00CE3D10" w:rsidRDefault="00824558">
      <w:pPr>
        <w:rPr>
          <w:rFonts w:ascii="Garamond" w:hAnsi="Garamond"/>
        </w:rPr>
      </w:pPr>
      <w:r w:rsidRPr="00CE3D10">
        <w:rPr>
          <w:rFonts w:ascii="Garamond" w:hAnsi="Garamond"/>
        </w:rPr>
        <w:t>The Energy output contributes to this objective through state-based energy programs, including renewable energy development, energy efficiency and affordability improvements, and facilitation of new investment.</w:t>
      </w:r>
    </w:p>
    <w:p w14:paraId="32F4C2A2" w14:textId="77777777" w:rsidR="00824558" w:rsidRDefault="00824558">
      <w:pPr>
        <w:rPr>
          <w:rFonts w:ascii="Garamond" w:hAnsi="Garamond"/>
        </w:rPr>
      </w:pPr>
      <w:r w:rsidRPr="00CE3D10">
        <w:rPr>
          <w:rFonts w:ascii="Garamond" w:hAnsi="Garamond"/>
        </w:rPr>
        <w:t>The Solar Victoria output implem</w:t>
      </w:r>
      <w:r w:rsidRPr="00093150">
        <w:rPr>
          <w:rFonts w:ascii="Garamond" w:hAnsi="Garamond"/>
        </w:rPr>
        <w:t xml:space="preserve">ents the Solar Homes programs </w:t>
      </w:r>
      <w:r w:rsidRPr="00CE3D10">
        <w:rPr>
          <w:rFonts w:ascii="Garamond" w:hAnsi="Garamond"/>
        </w:rPr>
        <w:t>to incentivise the uptake of solar panel energy systems and energy efficient hot water systems.</w:t>
      </w:r>
    </w:p>
    <w:p w14:paraId="72DB9A2A" w14:textId="77777777" w:rsidR="00824558" w:rsidRPr="00D566D0" w:rsidRDefault="00824558">
      <w:pPr>
        <w:pStyle w:val="Heading3"/>
      </w:pPr>
      <w:r w:rsidRPr="00D566D0">
        <w:t xml:space="preserve">Healthy, resilient and biodiverse environment </w:t>
      </w:r>
    </w:p>
    <w:p w14:paraId="6DB641E1" w14:textId="77777777" w:rsidR="00824558" w:rsidRPr="00D566D0" w:rsidRDefault="00824558">
      <w:pPr>
        <w:rPr>
          <w:rFonts w:cstheme="minorHAnsi"/>
        </w:rPr>
      </w:pPr>
      <w:r w:rsidRPr="00D566D0">
        <w:rPr>
          <w:rFonts w:cstheme="minorHAnsi"/>
        </w:rPr>
        <w:t>The Department leads the development and implementation of strategic regulation and investment in environmental and natural resource programs across Victoria.</w:t>
      </w:r>
    </w:p>
    <w:p w14:paraId="040A4210" w14:textId="77777777" w:rsidR="00824558" w:rsidRPr="00D566D0" w:rsidRDefault="00824558">
      <w:pPr>
        <w:rPr>
          <w:rFonts w:cstheme="minorHAnsi"/>
        </w:rPr>
      </w:pPr>
      <w:r w:rsidRPr="00D566D0">
        <w:rPr>
          <w:rFonts w:cstheme="minorHAnsi"/>
        </w:rPr>
        <w:t>The Environment and Biodiversity output contributes to this objective by developing and implementing environmental policy and delivering investment, regulatory and research functions.</w:t>
      </w:r>
    </w:p>
    <w:p w14:paraId="189513E4" w14:textId="77777777" w:rsidR="00824558" w:rsidRPr="00D566D0" w:rsidRDefault="00824558">
      <w:pPr>
        <w:rPr>
          <w:rFonts w:cstheme="minorHAnsi"/>
        </w:rPr>
      </w:pPr>
      <w:r w:rsidRPr="00D566D0">
        <w:rPr>
          <w:rFonts w:cstheme="minorHAnsi"/>
        </w:rPr>
        <w:t xml:space="preserve">The Statutory Activities and Environment Protection output protects the environment and people by preventing and reducing harm from pollution and waste through better regulation, conducting research and gathering intelligence to inform compliance and enforcement activities, collaboration and the provision of advice. </w:t>
      </w:r>
    </w:p>
    <w:p w14:paraId="2A28CE86" w14:textId="65972F3B" w:rsidR="00824558" w:rsidRPr="00D566D0" w:rsidRDefault="00824558">
      <w:pPr>
        <w:rPr>
          <w:rFonts w:cstheme="minorHAnsi"/>
        </w:rPr>
      </w:pPr>
      <w:r w:rsidRPr="00D566D0">
        <w:rPr>
          <w:rFonts w:cstheme="minorHAnsi"/>
        </w:rPr>
        <w:t>The Circular Economy output contributes to this objective by developing and implementing strategic, whole of government</w:t>
      </w:r>
      <w:r>
        <w:rPr>
          <w:rFonts w:cstheme="minorHAnsi"/>
        </w:rPr>
        <w:t>,</w:t>
      </w:r>
      <w:r w:rsidRPr="00D566D0">
        <w:rPr>
          <w:rFonts w:cstheme="minorHAnsi"/>
        </w:rPr>
        <w:t xml:space="preserve"> circular economy policy, regulation and programs including leadership and oversight of waste and resource recovery services, and development of partnerships across industry and the community to support Victoria</w:t>
      </w:r>
      <w:r w:rsidR="007942D1">
        <w:rPr>
          <w:rFonts w:cstheme="minorHAnsi"/>
        </w:rPr>
        <w:t>’</w:t>
      </w:r>
      <w:r w:rsidRPr="00D566D0">
        <w:rPr>
          <w:rFonts w:cstheme="minorHAnsi"/>
        </w:rPr>
        <w:t>s transition to a circular economy.</w:t>
      </w:r>
    </w:p>
    <w:p w14:paraId="7A87A319" w14:textId="77777777" w:rsidR="00824558" w:rsidRPr="00D566D0" w:rsidRDefault="00824558">
      <w:pPr>
        <w:pStyle w:val="Heading3"/>
      </w:pPr>
      <w:r w:rsidRPr="00D566D0">
        <w:t>Productive and effective land management</w:t>
      </w:r>
    </w:p>
    <w:p w14:paraId="4088EDAB" w14:textId="203D59B8" w:rsidR="00824558" w:rsidRPr="00D566D0" w:rsidRDefault="00824558">
      <w:pPr>
        <w:keepNext/>
        <w:rPr>
          <w:rFonts w:ascii="Garamond" w:hAnsi="Garamond"/>
        </w:rPr>
      </w:pPr>
      <w:r w:rsidRPr="00D566D0">
        <w:rPr>
          <w:rFonts w:cstheme="minorHAnsi"/>
        </w:rPr>
        <w:t>The Department delivers effective management and governance of Victoria</w:t>
      </w:r>
      <w:r w:rsidR="007942D1">
        <w:rPr>
          <w:rFonts w:cstheme="minorHAnsi"/>
        </w:rPr>
        <w:t>’</w:t>
      </w:r>
      <w:r w:rsidRPr="00D566D0">
        <w:rPr>
          <w:rFonts w:cstheme="minorHAnsi"/>
        </w:rPr>
        <w:t xml:space="preserve">s public land to protect its social, economic and environmental values and maximise its use by all </w:t>
      </w:r>
      <w:r w:rsidRPr="00D566D0">
        <w:rPr>
          <w:rFonts w:ascii="Garamond" w:hAnsi="Garamond"/>
        </w:rPr>
        <w:t xml:space="preserve">Victorians. </w:t>
      </w:r>
    </w:p>
    <w:p w14:paraId="60128F10" w14:textId="788AC197" w:rsidR="00824558" w:rsidRPr="00D566D0" w:rsidRDefault="00824558">
      <w:pPr>
        <w:rPr>
          <w:rFonts w:ascii="Garamond" w:hAnsi="Garamond"/>
        </w:rPr>
      </w:pPr>
      <w:r w:rsidRPr="00D566D0">
        <w:rPr>
          <w:rFonts w:ascii="Garamond" w:hAnsi="Garamond"/>
        </w:rPr>
        <w:t>The Management</w:t>
      </w:r>
      <w:r w:rsidRPr="00D566D0">
        <w:rPr>
          <w:rFonts w:cstheme="minorHAnsi"/>
        </w:rPr>
        <w:t xml:space="preserve"> of Public Land and Forests output contributes to this objective by providing stewardship of Victoria</w:t>
      </w:r>
      <w:r w:rsidR="007942D1">
        <w:rPr>
          <w:rFonts w:cstheme="minorHAnsi"/>
        </w:rPr>
        <w:t>’</w:t>
      </w:r>
      <w:r w:rsidRPr="00D566D0">
        <w:rPr>
          <w:rFonts w:cstheme="minorHAnsi"/>
        </w:rPr>
        <w:t xml:space="preserve">s forests, coasts and Crown land reserves, to ensure that </w:t>
      </w:r>
      <w:r w:rsidRPr="00D566D0">
        <w:rPr>
          <w:rFonts w:ascii="Garamond" w:hAnsi="Garamond"/>
        </w:rPr>
        <w:t>natural, built and historic assets are managed responsibly.</w:t>
      </w:r>
    </w:p>
    <w:p w14:paraId="43073FC4" w14:textId="559A1417" w:rsidR="00824558" w:rsidRDefault="00824558">
      <w:pPr>
        <w:rPr>
          <w:rFonts w:cstheme="minorHAnsi"/>
        </w:rPr>
      </w:pPr>
      <w:r w:rsidRPr="00D566D0">
        <w:rPr>
          <w:rFonts w:ascii="Garamond" w:hAnsi="Garamond"/>
        </w:rPr>
        <w:t>The</w:t>
      </w:r>
      <w:r w:rsidRPr="00D566D0">
        <w:rPr>
          <w:rFonts w:cstheme="minorHAnsi"/>
        </w:rPr>
        <w:t xml:space="preserve"> Parks Victoria output contributes to this objective by managing the development and protection of Victoria</w:t>
      </w:r>
      <w:r w:rsidR="007942D1">
        <w:rPr>
          <w:rFonts w:cstheme="minorHAnsi"/>
        </w:rPr>
        <w:t>’</w:t>
      </w:r>
      <w:r w:rsidRPr="00D566D0">
        <w:rPr>
          <w:rFonts w:cstheme="minorHAnsi"/>
        </w:rPr>
        <w:t xml:space="preserve">s natural, cultural and community assets. </w:t>
      </w:r>
    </w:p>
    <w:p w14:paraId="08260BB6" w14:textId="77777777" w:rsidR="00824558" w:rsidRPr="00D566D0" w:rsidRDefault="00824558">
      <w:pPr>
        <w:pStyle w:val="Heading3"/>
        <w:rPr>
          <w:rFonts w:eastAsia="Times New Roman"/>
          <w:spacing w:val="-2"/>
          <w:szCs w:val="26"/>
        </w:rPr>
      </w:pPr>
      <w:r w:rsidRPr="00D566D0">
        <w:t>Safe, sustainable and productive water resources</w:t>
      </w:r>
    </w:p>
    <w:p w14:paraId="369BFFDD" w14:textId="77777777" w:rsidR="00824558" w:rsidRPr="00D566D0" w:rsidRDefault="00824558">
      <w:pPr>
        <w:rPr>
          <w:rFonts w:ascii="Garamond" w:hAnsi="Garamond"/>
        </w:rPr>
      </w:pPr>
      <w:r w:rsidRPr="00D566D0">
        <w:rPr>
          <w:rFonts w:eastAsia="Garamond"/>
        </w:rPr>
        <w:t xml:space="preserve">The Department increases the efficiency of supply and use of water in cities and towns and maintains or improves environmental conditions of waterways to ensure that Victoria has safe and sustainable water resources to meet future urban, rural and environmental </w:t>
      </w:r>
      <w:r w:rsidRPr="00D566D0">
        <w:rPr>
          <w:rFonts w:ascii="Garamond" w:hAnsi="Garamond"/>
        </w:rPr>
        <w:t xml:space="preserve">needs. </w:t>
      </w:r>
    </w:p>
    <w:p w14:paraId="19B38459" w14:textId="416F7885" w:rsidR="00824558" w:rsidRDefault="00824558">
      <w:pPr>
        <w:rPr>
          <w:rFonts w:ascii="Garamond" w:eastAsia="Garamond" w:hAnsi="Garamond"/>
        </w:rPr>
      </w:pPr>
      <w:r w:rsidRPr="00D566D0">
        <w:rPr>
          <w:rFonts w:ascii="Garamond" w:hAnsi="Garamond"/>
        </w:rPr>
        <w:t xml:space="preserve">The </w:t>
      </w:r>
      <w:r w:rsidRPr="00093150">
        <w:rPr>
          <w:rFonts w:eastAsia="Garamond"/>
        </w:rPr>
        <w:t xml:space="preserve">Water and Catchments </w:t>
      </w:r>
      <w:r w:rsidRPr="00093150">
        <w:rPr>
          <w:rFonts w:eastAsia="Garamond" w:cstheme="minorHAnsi"/>
        </w:rPr>
        <w:t xml:space="preserve">output </w:t>
      </w:r>
      <w:r w:rsidRPr="00D566D0">
        <w:rPr>
          <w:rFonts w:eastAsia="Garamond" w:cstheme="minorHAnsi"/>
        </w:rPr>
        <w:t>contributes to this objective by developing policies, providing strategic advice, and overseeing regulatory systems and institutional arrangements to effectively manage Victoria</w:t>
      </w:r>
      <w:r w:rsidR="007942D1">
        <w:rPr>
          <w:rFonts w:eastAsia="Garamond" w:cstheme="minorHAnsi"/>
        </w:rPr>
        <w:t>’</w:t>
      </w:r>
      <w:r w:rsidRPr="00D566D0">
        <w:rPr>
          <w:rFonts w:eastAsia="Garamond" w:cstheme="minorHAnsi"/>
        </w:rPr>
        <w:t xml:space="preserve">s water resources. </w:t>
      </w:r>
    </w:p>
    <w:p w14:paraId="16E9139D" w14:textId="77777777" w:rsidR="00824558" w:rsidRPr="008032CD" w:rsidRDefault="00824558">
      <w:pPr>
        <w:pStyle w:val="Heading2"/>
      </w:pPr>
      <w:r w:rsidRPr="00D566D0">
        <w:t>Changes to the output structure</w:t>
      </w:r>
    </w:p>
    <w:p w14:paraId="06A23A3E" w14:textId="77777777" w:rsidR="00824558" w:rsidRDefault="00824558">
      <w:pPr>
        <w:spacing w:after="120"/>
      </w:pPr>
      <w:r w:rsidRPr="0086431B">
        <w:t>The Department has made changes to its output structure for 202</w:t>
      </w:r>
      <w:r>
        <w:t>6</w:t>
      </w:r>
      <w:r w:rsidRPr="0086431B">
        <w:t>-2</w:t>
      </w:r>
      <w:r>
        <w:t>7</w:t>
      </w:r>
      <w:r w:rsidRPr="0086431B">
        <w:t xml:space="preserve"> as shown in the table below.</w:t>
      </w:r>
    </w:p>
    <w:tbl>
      <w:tblPr>
        <w:tblStyle w:val="DTFTableText"/>
        <w:tblW w:w="9639" w:type="dxa"/>
        <w:tblLook w:val="0420" w:firstRow="1" w:lastRow="0" w:firstColumn="0" w:lastColumn="0" w:noHBand="0" w:noVBand="1"/>
      </w:tblPr>
      <w:tblGrid>
        <w:gridCol w:w="2246"/>
        <w:gridCol w:w="5151"/>
        <w:gridCol w:w="2242"/>
      </w:tblGrid>
      <w:tr w:rsidR="00824558" w:rsidRPr="007E748A" w14:paraId="0B62FF92" w14:textId="77777777" w:rsidTr="00141FEB">
        <w:trPr>
          <w:cnfStyle w:val="100000000000" w:firstRow="1" w:lastRow="0" w:firstColumn="0" w:lastColumn="0" w:oddVBand="0" w:evenVBand="0" w:oddHBand="0" w:evenHBand="0" w:firstRowFirstColumn="0" w:firstRowLastColumn="0" w:lastRowFirstColumn="0" w:lastRowLastColumn="0"/>
        </w:trPr>
        <w:tc>
          <w:tcPr>
            <w:tcW w:w="2246" w:type="dxa"/>
            <w:hideMark/>
          </w:tcPr>
          <w:p w14:paraId="18A10596" w14:textId="77777777" w:rsidR="00824558" w:rsidRPr="00093150" w:rsidRDefault="00824558">
            <w:r w:rsidRPr="00093150">
              <w:t>2025-26 outputs</w:t>
            </w:r>
          </w:p>
        </w:tc>
        <w:tc>
          <w:tcPr>
            <w:tcW w:w="5151" w:type="dxa"/>
            <w:hideMark/>
          </w:tcPr>
          <w:p w14:paraId="746013A5" w14:textId="77777777" w:rsidR="00824558" w:rsidRPr="00093150" w:rsidRDefault="00824558">
            <w:r w:rsidRPr="00093150">
              <w:t>Reason</w:t>
            </w:r>
          </w:p>
        </w:tc>
        <w:tc>
          <w:tcPr>
            <w:tcW w:w="2242" w:type="dxa"/>
            <w:hideMark/>
          </w:tcPr>
          <w:p w14:paraId="24DE9E13" w14:textId="77777777" w:rsidR="00824558" w:rsidRPr="00093150" w:rsidRDefault="00824558">
            <w:r w:rsidRPr="00093150">
              <w:t>2026-27 outputs</w:t>
            </w:r>
          </w:p>
        </w:tc>
      </w:tr>
      <w:tr w:rsidR="00824558" w:rsidRPr="007E748A" w14:paraId="5ED827B4" w14:textId="77777777" w:rsidTr="00141FEB">
        <w:trPr>
          <w:cnfStyle w:val="000000100000" w:firstRow="0" w:lastRow="0" w:firstColumn="0" w:lastColumn="0" w:oddVBand="0" w:evenVBand="0" w:oddHBand="1" w:evenHBand="0" w:firstRowFirstColumn="0" w:firstRowLastColumn="0" w:lastRowFirstColumn="0" w:lastRowLastColumn="0"/>
          <w:trHeight w:val="438"/>
        </w:trPr>
        <w:tc>
          <w:tcPr>
            <w:tcW w:w="2246" w:type="dxa"/>
          </w:tcPr>
          <w:p w14:paraId="6FF32E25" w14:textId="77777777" w:rsidR="00824558" w:rsidRPr="00093150" w:rsidRDefault="00824558">
            <w:r w:rsidRPr="00093150">
              <w:t>Agriculture sub-output: Sustainably Manage Forest Resources</w:t>
            </w:r>
          </w:p>
        </w:tc>
        <w:tc>
          <w:tcPr>
            <w:tcW w:w="5151" w:type="dxa"/>
          </w:tcPr>
          <w:p w14:paraId="5F3E44CA" w14:textId="77777777" w:rsidR="00824558" w:rsidRPr="00093150" w:rsidRDefault="00824558">
            <w:r w:rsidRPr="00093150">
              <w:t>This sub-output has been renamed to more accurately reflect services delivered.</w:t>
            </w:r>
          </w:p>
        </w:tc>
        <w:tc>
          <w:tcPr>
            <w:tcW w:w="2242" w:type="dxa"/>
          </w:tcPr>
          <w:p w14:paraId="72E1E341" w14:textId="77777777" w:rsidR="00824558" w:rsidRPr="00093150" w:rsidRDefault="00824558">
            <w:r w:rsidRPr="00093150">
              <w:t>Agriculture sub-output: Sustainably Develop Forest and Fibre Resources</w:t>
            </w:r>
          </w:p>
        </w:tc>
      </w:tr>
      <w:tr w:rsidR="00824558" w:rsidRPr="007E748A" w14:paraId="1EC44AC1" w14:textId="77777777" w:rsidTr="00141FEB">
        <w:trPr>
          <w:trHeight w:val="438"/>
        </w:trPr>
        <w:tc>
          <w:tcPr>
            <w:tcW w:w="2246" w:type="dxa"/>
          </w:tcPr>
          <w:p w14:paraId="2577FE3B" w14:textId="77777777" w:rsidR="00824558" w:rsidRPr="00093150" w:rsidRDefault="00824558">
            <w:r w:rsidRPr="00093150">
              <w:rPr>
                <w:rFonts w:eastAsia="Garamond"/>
              </w:rPr>
              <w:t>Effective Water Management and Supply</w:t>
            </w:r>
          </w:p>
        </w:tc>
        <w:tc>
          <w:tcPr>
            <w:tcW w:w="5151" w:type="dxa"/>
          </w:tcPr>
          <w:p w14:paraId="0760EF1C" w14:textId="77777777" w:rsidR="00824558" w:rsidRPr="00093150" w:rsidRDefault="00824558">
            <w:r w:rsidRPr="00093150">
              <w:t>This output has been renamed to better reflect the deliverables of the portfolio.</w:t>
            </w:r>
          </w:p>
        </w:tc>
        <w:tc>
          <w:tcPr>
            <w:tcW w:w="2242" w:type="dxa"/>
          </w:tcPr>
          <w:p w14:paraId="2CC1B833" w14:textId="77777777" w:rsidR="00824558" w:rsidRPr="00093150" w:rsidRDefault="00824558">
            <w:r w:rsidRPr="00093150">
              <w:rPr>
                <w:rFonts w:eastAsia="Garamond"/>
              </w:rPr>
              <w:t>Water and Catchments</w:t>
            </w:r>
          </w:p>
        </w:tc>
      </w:tr>
    </w:tbl>
    <w:p w14:paraId="6B7499DD" w14:textId="77777777" w:rsidR="00824558" w:rsidRDefault="00824558">
      <w:pPr>
        <w:pStyle w:val="Source"/>
        <w:rPr>
          <w:rFonts w:eastAsia="Garamond" w:cstheme="majorHAnsi"/>
          <w:szCs w:val="14"/>
        </w:rPr>
      </w:pPr>
      <w:r w:rsidRPr="00414921">
        <w:t xml:space="preserve">Source: Department of Energy, Environment and Climate </w:t>
      </w:r>
      <w:r w:rsidRPr="00414921">
        <w:rPr>
          <w:rFonts w:eastAsia="Garamond" w:cstheme="majorHAnsi"/>
          <w:szCs w:val="14"/>
        </w:rPr>
        <w:t>Action</w:t>
      </w:r>
    </w:p>
    <w:p w14:paraId="543A980F" w14:textId="77777777" w:rsidR="00E3088D" w:rsidRPr="00D06853" w:rsidRDefault="00E3088D" w:rsidP="00E3088D">
      <w:pPr>
        <w:pStyle w:val="Heading2"/>
        <w:rPr>
          <w:rFonts w:eastAsia="Times New Roman"/>
          <w:spacing w:val="-2"/>
          <w:sz w:val="26"/>
        </w:rPr>
      </w:pPr>
      <w:r w:rsidRPr="00D06853">
        <w:rPr>
          <w:rFonts w:eastAsia="Times New Roman"/>
        </w:rPr>
        <w:lastRenderedPageBreak/>
        <w:t>Output summary by departmental objectives</w:t>
      </w:r>
    </w:p>
    <w:p w14:paraId="66E85735" w14:textId="09B15A39" w:rsidR="00E3088D" w:rsidRDefault="00E3088D" w:rsidP="00E3088D">
      <w:pPr>
        <w:keepNext/>
        <w:rPr>
          <w:rFonts w:ascii="Garamond" w:eastAsia="Garamond" w:hAnsi="Garamond"/>
        </w:rPr>
      </w:pPr>
      <w:r w:rsidRPr="00D06853">
        <w:rPr>
          <w:rFonts w:ascii="Garamond" w:eastAsia="Garamond" w:hAnsi="Garamond"/>
        </w:rPr>
        <w:t xml:space="preserve">The </w:t>
      </w:r>
      <w:r w:rsidR="008F0F91">
        <w:rPr>
          <w:rFonts w:ascii="Garamond" w:eastAsia="Garamond" w:hAnsi="Garamond"/>
        </w:rPr>
        <w:t>D</w:t>
      </w:r>
      <w:r w:rsidR="008F0F91" w:rsidRPr="00D06853">
        <w:rPr>
          <w:rFonts w:ascii="Garamond" w:eastAsia="Garamond" w:hAnsi="Garamond"/>
        </w:rPr>
        <w:t>epartment</w:t>
      </w:r>
      <w:r w:rsidR="008F0F91">
        <w:rPr>
          <w:rFonts w:ascii="Garamond" w:eastAsia="Garamond" w:hAnsi="Garamond"/>
        </w:rPr>
        <w:t>’</w:t>
      </w:r>
      <w:r w:rsidR="008F0F91" w:rsidRPr="00D06853">
        <w:rPr>
          <w:rFonts w:ascii="Garamond" w:eastAsia="Garamond" w:hAnsi="Garamond"/>
        </w:rPr>
        <w:t xml:space="preserve">s </w:t>
      </w:r>
      <w:r w:rsidRPr="00D06853">
        <w:rPr>
          <w:rFonts w:ascii="Garamond" w:eastAsia="Garamond" w:hAnsi="Garamond"/>
        </w:rPr>
        <w:t>outputs and funding are provided in the table below. Detailed descriptions of objectives and outputs are presented below.</w:t>
      </w:r>
    </w:p>
    <w:p w14:paraId="44760A3F" w14:textId="7F6886E6" w:rsidR="0057778B" w:rsidRPr="00D06853" w:rsidRDefault="0057778B" w:rsidP="0057778B">
      <w:pPr>
        <w:pStyle w:val="TableHeading"/>
      </w:pPr>
      <w:r w:rsidRPr="00D06853">
        <w:t xml:space="preserve">Table </w:t>
      </w:r>
      <w:r w:rsidR="00A01E93">
        <w:t>4</w:t>
      </w:r>
      <w:r w:rsidRPr="00D06853">
        <w:t>:</w:t>
      </w:r>
      <w:r w:rsidRPr="00D06853">
        <w:tab/>
        <w:t>Output summary</w:t>
      </w:r>
      <w:r w:rsidRPr="00D06853">
        <w:tab/>
        <w:t>($ million)</w:t>
      </w:r>
    </w:p>
    <w:tbl>
      <w:tblPr>
        <w:tblStyle w:val="DTFTableNumeric"/>
        <w:tblW w:w="9638"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EECA_Summary|TableGroup:OutputSummary"/>
      </w:tblPr>
      <w:tblGrid>
        <w:gridCol w:w="6010"/>
        <w:gridCol w:w="907"/>
        <w:gridCol w:w="907"/>
        <w:gridCol w:w="907"/>
        <w:gridCol w:w="907"/>
      </w:tblGrid>
      <w:tr w:rsidR="00A40E92" w14:paraId="63C9407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4325353" w14:textId="77777777" w:rsidR="00A40E92" w:rsidRDefault="00A40E92">
            <w:pPr>
              <w:keepNext/>
            </w:pPr>
          </w:p>
        </w:tc>
        <w:tc>
          <w:tcPr>
            <w:tcW w:w="907" w:type="dxa"/>
          </w:tcPr>
          <w:p w14:paraId="19B35199" w14:textId="77777777" w:rsidR="00A40E92" w:rsidRDefault="00A40E92">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0F4E2823" w14:textId="77777777" w:rsidR="00A40E92" w:rsidRDefault="00A40E92">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44667A1E" w14:textId="77777777" w:rsidR="00A40E92" w:rsidRDefault="00A40E92">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2A679B9B" w14:textId="469CCE7A" w:rsidR="00A40E92" w:rsidRDefault="00A40E92">
            <w:pPr>
              <w:keepNext/>
              <w:cnfStyle w:val="100000000000" w:firstRow="1" w:lastRow="0" w:firstColumn="0" w:lastColumn="0" w:oddVBand="0" w:evenVBand="0" w:oddHBand="0" w:evenHBand="0" w:firstRowFirstColumn="0" w:firstRowLastColumn="0" w:lastRowFirstColumn="0" w:lastRowLastColumn="0"/>
            </w:pPr>
            <w:r>
              <w:t xml:space="preserve">Variation % </w:t>
            </w:r>
            <w:r>
              <w:rPr>
                <w:vertAlign w:val="superscript"/>
              </w:rPr>
              <w:t xml:space="preserve"> (a)</w:t>
            </w:r>
          </w:p>
        </w:tc>
      </w:tr>
      <w:tr w:rsidR="00A40E92" w14:paraId="3B430F72" w14:textId="77777777">
        <w:tc>
          <w:tcPr>
            <w:cnfStyle w:val="001000000000" w:firstRow="0" w:lastRow="0" w:firstColumn="1" w:lastColumn="0" w:oddVBand="0" w:evenVBand="0" w:oddHBand="0" w:evenHBand="0" w:firstRowFirstColumn="0" w:firstRowLastColumn="0" w:lastRowFirstColumn="0" w:lastRowLastColumn="0"/>
            <w:tcW w:w="6010" w:type="dxa"/>
          </w:tcPr>
          <w:p w14:paraId="3ABA965B" w14:textId="77777777" w:rsidR="00A40E92" w:rsidRDefault="00A40E92">
            <w:r>
              <w:rPr>
                <w:b/>
              </w:rPr>
              <w:t>Productive and sustainably used agricultural resources</w:t>
            </w:r>
          </w:p>
        </w:tc>
        <w:tc>
          <w:tcPr>
            <w:tcW w:w="907" w:type="dxa"/>
          </w:tcPr>
          <w:p w14:paraId="2326F056"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27DECD77"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297D06E1"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3C7DA581"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13107F4F" w14:textId="77777777">
        <w:tc>
          <w:tcPr>
            <w:cnfStyle w:val="001000000000" w:firstRow="0" w:lastRow="0" w:firstColumn="1" w:lastColumn="0" w:oddVBand="0" w:evenVBand="0" w:oddHBand="0" w:evenHBand="0" w:firstRowFirstColumn="0" w:firstRowLastColumn="0" w:lastRowFirstColumn="0" w:lastRowLastColumn="0"/>
            <w:tcW w:w="6010" w:type="dxa"/>
          </w:tcPr>
          <w:p w14:paraId="16B44A21" w14:textId="77777777" w:rsidR="00A40E92" w:rsidRDefault="00A40E92">
            <w:r>
              <w:t>Agriculture</w:t>
            </w:r>
          </w:p>
        </w:tc>
        <w:tc>
          <w:tcPr>
            <w:tcW w:w="907" w:type="dxa"/>
          </w:tcPr>
          <w:p w14:paraId="1D8C92EE" w14:textId="77777777" w:rsidR="00A40E92" w:rsidRDefault="00A40E92">
            <w:pPr>
              <w:cnfStyle w:val="000000000000" w:firstRow="0" w:lastRow="0" w:firstColumn="0" w:lastColumn="0" w:oddVBand="0" w:evenVBand="0" w:oddHBand="0" w:evenHBand="0" w:firstRowFirstColumn="0" w:firstRowLastColumn="0" w:lastRowFirstColumn="0" w:lastRowLastColumn="0"/>
            </w:pPr>
            <w:r>
              <w:t>537.2</w:t>
            </w:r>
          </w:p>
        </w:tc>
        <w:tc>
          <w:tcPr>
            <w:tcW w:w="907" w:type="dxa"/>
          </w:tcPr>
          <w:p w14:paraId="34ED7E1E" w14:textId="77777777" w:rsidR="00A40E92" w:rsidRDefault="00A40E92">
            <w:pPr>
              <w:cnfStyle w:val="000000000000" w:firstRow="0" w:lastRow="0" w:firstColumn="0" w:lastColumn="0" w:oddVBand="0" w:evenVBand="0" w:oddHBand="0" w:evenHBand="0" w:firstRowFirstColumn="0" w:firstRowLastColumn="0" w:lastRowFirstColumn="0" w:lastRowLastColumn="0"/>
            </w:pPr>
            <w:r>
              <w:t>612.4</w:t>
            </w:r>
          </w:p>
        </w:tc>
        <w:tc>
          <w:tcPr>
            <w:tcW w:w="907" w:type="dxa"/>
          </w:tcPr>
          <w:p w14:paraId="160C0D95" w14:textId="77777777" w:rsidR="00A40E92" w:rsidRDefault="00A40E92">
            <w:pPr>
              <w:cnfStyle w:val="000000000000" w:firstRow="0" w:lastRow="0" w:firstColumn="0" w:lastColumn="0" w:oddVBand="0" w:evenVBand="0" w:oddHBand="0" w:evenHBand="0" w:firstRowFirstColumn="0" w:firstRowLastColumn="0" w:lastRowFirstColumn="0" w:lastRowLastColumn="0"/>
            </w:pPr>
            <w:r>
              <w:t>511.7</w:t>
            </w:r>
          </w:p>
        </w:tc>
        <w:tc>
          <w:tcPr>
            <w:tcW w:w="907" w:type="dxa"/>
          </w:tcPr>
          <w:p w14:paraId="6771C7F2" w14:textId="77777777" w:rsidR="00A40E92" w:rsidRDefault="00A40E92">
            <w:pPr>
              <w:cnfStyle w:val="000000000000" w:firstRow="0" w:lastRow="0" w:firstColumn="0" w:lastColumn="0" w:oddVBand="0" w:evenVBand="0" w:oddHBand="0" w:evenHBand="0" w:firstRowFirstColumn="0" w:firstRowLastColumn="0" w:lastRowFirstColumn="0" w:lastRowLastColumn="0"/>
            </w:pPr>
            <w:r>
              <w:t>(4.7)</w:t>
            </w:r>
          </w:p>
        </w:tc>
      </w:tr>
      <w:tr w:rsidR="00A40E92" w14:paraId="55856E34" w14:textId="77777777">
        <w:tc>
          <w:tcPr>
            <w:cnfStyle w:val="001000000000" w:firstRow="0" w:lastRow="0" w:firstColumn="1" w:lastColumn="0" w:oddVBand="0" w:evenVBand="0" w:oddHBand="0" w:evenHBand="0" w:firstRowFirstColumn="0" w:firstRowLastColumn="0" w:lastRowFirstColumn="0" w:lastRowLastColumn="0"/>
            <w:tcW w:w="6010" w:type="dxa"/>
          </w:tcPr>
          <w:p w14:paraId="7AF0BEDB" w14:textId="77777777" w:rsidR="00A40E92" w:rsidRDefault="00A40E92">
            <w:r>
              <w:rPr>
                <w:b/>
              </w:rPr>
              <w:t>Net zero emission, climate-ready economy and community</w:t>
            </w:r>
          </w:p>
        </w:tc>
        <w:tc>
          <w:tcPr>
            <w:tcW w:w="907" w:type="dxa"/>
          </w:tcPr>
          <w:p w14:paraId="00D6CA81"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4B235C8D"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26A27514"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417235C4"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31399B1F" w14:textId="77777777">
        <w:tc>
          <w:tcPr>
            <w:cnfStyle w:val="001000000000" w:firstRow="0" w:lastRow="0" w:firstColumn="1" w:lastColumn="0" w:oddVBand="0" w:evenVBand="0" w:oddHBand="0" w:evenHBand="0" w:firstRowFirstColumn="0" w:firstRowLastColumn="0" w:lastRowFirstColumn="0" w:lastRowLastColumn="0"/>
            <w:tcW w:w="6010" w:type="dxa"/>
          </w:tcPr>
          <w:p w14:paraId="7AE19E19" w14:textId="1BCC1953" w:rsidR="00A40E92" w:rsidRDefault="00A40E92">
            <w:r>
              <w:t>Climate Action</w:t>
            </w:r>
            <w:r w:rsidR="00F9193E">
              <w:t xml:space="preserve"> </w:t>
            </w:r>
            <w:r w:rsidRPr="004626BF">
              <w:rPr>
                <w:vertAlign w:val="superscript"/>
              </w:rPr>
              <w:t>(b)</w:t>
            </w:r>
          </w:p>
        </w:tc>
        <w:tc>
          <w:tcPr>
            <w:tcW w:w="907" w:type="dxa"/>
          </w:tcPr>
          <w:p w14:paraId="3C7B23C9" w14:textId="77777777" w:rsidR="00A40E92" w:rsidRDefault="00A40E92">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5B18B5DA" w14:textId="77777777" w:rsidR="00A40E92" w:rsidRDefault="00A40E92">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5E05523F" w14:textId="77777777" w:rsidR="00A40E92" w:rsidRDefault="00A40E92">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0D3123DD" w14:textId="28ECBB8E" w:rsidR="00A40E92" w:rsidRDefault="00A40E92">
            <w:pPr>
              <w:cnfStyle w:val="000000000000" w:firstRow="0" w:lastRow="0" w:firstColumn="0" w:lastColumn="0" w:oddVBand="0" w:evenVBand="0" w:oddHBand="0" w:evenHBand="0" w:firstRowFirstColumn="0" w:firstRowLastColumn="0" w:lastRowFirstColumn="0" w:lastRowLastColumn="0"/>
            </w:pPr>
            <w:r>
              <w:t>5.</w:t>
            </w:r>
            <w:r w:rsidR="00515CFC">
              <w:t>4</w:t>
            </w:r>
          </w:p>
        </w:tc>
      </w:tr>
      <w:tr w:rsidR="00A40E92" w14:paraId="75BAB921" w14:textId="77777777">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0A00B2D5" w14:textId="491E9EDA" w:rsidR="00A40E92" w:rsidRDefault="00A40E92">
            <w:r>
              <w:rPr>
                <w:b/>
              </w:rPr>
              <w:t>Sustainable development of Victoria’s earth resources</w:t>
            </w:r>
          </w:p>
        </w:tc>
        <w:tc>
          <w:tcPr>
            <w:tcW w:w="907" w:type="dxa"/>
            <w:tcBorders>
              <w:bottom w:val="nil"/>
            </w:tcBorders>
          </w:tcPr>
          <w:p w14:paraId="57D93C31"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43E70116"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1021884E"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bottom w:val="nil"/>
            </w:tcBorders>
          </w:tcPr>
          <w:p w14:paraId="7176CD9B"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2A7C88AD" w14:textId="77777777">
        <w:tc>
          <w:tcPr>
            <w:cnfStyle w:val="001000000000" w:firstRow="0" w:lastRow="0" w:firstColumn="1" w:lastColumn="0" w:oddVBand="0" w:evenVBand="0" w:oddHBand="0" w:evenHBand="0" w:firstRowFirstColumn="0" w:firstRowLastColumn="0" w:lastRowFirstColumn="0" w:lastRowLastColumn="0"/>
            <w:tcW w:w="6010" w:type="dxa"/>
            <w:tcBorders>
              <w:bottom w:val="nil"/>
            </w:tcBorders>
          </w:tcPr>
          <w:p w14:paraId="175D10B7" w14:textId="7FF44B22" w:rsidR="00A40E92" w:rsidRDefault="00A40E92">
            <w:r>
              <w:t>Resources</w:t>
            </w:r>
            <w:r w:rsidR="00F9193E">
              <w:t xml:space="preserve"> </w:t>
            </w:r>
            <w:r w:rsidRPr="004626BF">
              <w:rPr>
                <w:vertAlign w:val="superscript"/>
              </w:rPr>
              <w:t>(</w:t>
            </w:r>
            <w:r>
              <w:rPr>
                <w:vertAlign w:val="superscript"/>
              </w:rPr>
              <w:t>c)</w:t>
            </w:r>
          </w:p>
        </w:tc>
        <w:tc>
          <w:tcPr>
            <w:tcW w:w="907" w:type="dxa"/>
            <w:tcBorders>
              <w:bottom w:val="nil"/>
            </w:tcBorders>
          </w:tcPr>
          <w:p w14:paraId="6856FB58" w14:textId="77777777" w:rsidR="00A40E92" w:rsidRDefault="00A40E92">
            <w:pPr>
              <w:cnfStyle w:val="000000000000" w:firstRow="0" w:lastRow="0" w:firstColumn="0" w:lastColumn="0" w:oddVBand="0" w:evenVBand="0" w:oddHBand="0" w:evenHBand="0" w:firstRowFirstColumn="0" w:firstRowLastColumn="0" w:lastRowFirstColumn="0" w:lastRowLastColumn="0"/>
            </w:pPr>
            <w:r>
              <w:t>53.7</w:t>
            </w:r>
          </w:p>
        </w:tc>
        <w:tc>
          <w:tcPr>
            <w:tcW w:w="907" w:type="dxa"/>
            <w:tcBorders>
              <w:bottom w:val="nil"/>
            </w:tcBorders>
          </w:tcPr>
          <w:p w14:paraId="6BF54804" w14:textId="77777777" w:rsidR="00A40E92" w:rsidRDefault="00A40E92">
            <w:pPr>
              <w:cnfStyle w:val="000000000000" w:firstRow="0" w:lastRow="0" w:firstColumn="0" w:lastColumn="0" w:oddVBand="0" w:evenVBand="0" w:oddHBand="0" w:evenHBand="0" w:firstRowFirstColumn="0" w:firstRowLastColumn="0" w:lastRowFirstColumn="0" w:lastRowLastColumn="0"/>
            </w:pPr>
            <w:r>
              <w:t>57.1</w:t>
            </w:r>
          </w:p>
        </w:tc>
        <w:tc>
          <w:tcPr>
            <w:tcW w:w="907" w:type="dxa"/>
            <w:tcBorders>
              <w:bottom w:val="nil"/>
            </w:tcBorders>
          </w:tcPr>
          <w:p w14:paraId="3BD8B49E" w14:textId="77777777" w:rsidR="00A40E92" w:rsidRDefault="00A40E92">
            <w:pPr>
              <w:cnfStyle w:val="000000000000" w:firstRow="0" w:lastRow="0" w:firstColumn="0" w:lastColumn="0" w:oddVBand="0" w:evenVBand="0" w:oddHBand="0" w:evenHBand="0" w:firstRowFirstColumn="0" w:firstRowLastColumn="0" w:lastRowFirstColumn="0" w:lastRowLastColumn="0"/>
            </w:pPr>
            <w:r>
              <w:t>47.9</w:t>
            </w:r>
          </w:p>
        </w:tc>
        <w:tc>
          <w:tcPr>
            <w:tcW w:w="907" w:type="dxa"/>
            <w:tcBorders>
              <w:bottom w:val="nil"/>
            </w:tcBorders>
          </w:tcPr>
          <w:p w14:paraId="0395F249" w14:textId="1CE3FC6C" w:rsidR="00A40E92" w:rsidRDefault="00A40E92">
            <w:pPr>
              <w:cnfStyle w:val="000000000000" w:firstRow="0" w:lastRow="0" w:firstColumn="0" w:lastColumn="0" w:oddVBand="0" w:evenVBand="0" w:oddHBand="0" w:evenHBand="0" w:firstRowFirstColumn="0" w:firstRowLastColumn="0" w:lastRowFirstColumn="0" w:lastRowLastColumn="0"/>
            </w:pPr>
            <w:r>
              <w:t>(10.</w:t>
            </w:r>
            <w:r w:rsidR="00515CFC">
              <w:t>8</w:t>
            </w:r>
            <w:r>
              <w:t>)</w:t>
            </w:r>
          </w:p>
        </w:tc>
      </w:tr>
      <w:tr w:rsidR="00A40E92" w14:paraId="4A5C3512" w14:textId="77777777">
        <w:tc>
          <w:tcPr>
            <w:cnfStyle w:val="001000000000" w:firstRow="0" w:lastRow="0" w:firstColumn="1" w:lastColumn="0" w:oddVBand="0" w:evenVBand="0" w:oddHBand="0" w:evenHBand="0" w:firstRowFirstColumn="0" w:firstRowLastColumn="0" w:lastRowFirstColumn="0" w:lastRowLastColumn="0"/>
            <w:tcW w:w="6010" w:type="dxa"/>
          </w:tcPr>
          <w:p w14:paraId="06942A7F" w14:textId="77777777" w:rsidR="00A40E92" w:rsidRDefault="00A40E92" w:rsidP="002C55CE">
            <w:pPr>
              <w:ind w:left="170" w:hanging="170"/>
            </w:pPr>
            <w:r>
              <w:rPr>
                <w:b/>
              </w:rPr>
              <w:t>Reduced impact of major bushfires and other emergencies on people, property and the environment</w:t>
            </w:r>
          </w:p>
        </w:tc>
        <w:tc>
          <w:tcPr>
            <w:tcW w:w="907" w:type="dxa"/>
          </w:tcPr>
          <w:p w14:paraId="7D2EEED9"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0C8DFB30"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3DEA19C2"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58EAFF97"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0DB6BED3" w14:textId="77777777">
        <w:tc>
          <w:tcPr>
            <w:cnfStyle w:val="001000000000" w:firstRow="0" w:lastRow="0" w:firstColumn="1" w:lastColumn="0" w:oddVBand="0" w:evenVBand="0" w:oddHBand="0" w:evenHBand="0" w:firstRowFirstColumn="0" w:firstRowLastColumn="0" w:lastRowFirstColumn="0" w:lastRowLastColumn="0"/>
            <w:tcW w:w="6010" w:type="dxa"/>
          </w:tcPr>
          <w:p w14:paraId="4E6CDEFC" w14:textId="59F34A37" w:rsidR="00A40E92" w:rsidRDefault="00A40E92">
            <w:r>
              <w:t>Fire and Emergency Management</w:t>
            </w:r>
            <w:r w:rsidR="00F9193E">
              <w:t xml:space="preserve"> </w:t>
            </w:r>
            <w:r w:rsidRPr="004626BF">
              <w:rPr>
                <w:vertAlign w:val="superscript"/>
              </w:rPr>
              <w:t>(</w:t>
            </w:r>
            <w:r>
              <w:rPr>
                <w:vertAlign w:val="superscript"/>
              </w:rPr>
              <w:t>d)</w:t>
            </w:r>
          </w:p>
        </w:tc>
        <w:tc>
          <w:tcPr>
            <w:tcW w:w="907" w:type="dxa"/>
          </w:tcPr>
          <w:p w14:paraId="41B35585" w14:textId="77777777" w:rsidR="00A40E92" w:rsidRDefault="00A40E92">
            <w:pPr>
              <w:cnfStyle w:val="000000000000" w:firstRow="0" w:lastRow="0" w:firstColumn="0" w:lastColumn="0" w:oddVBand="0" w:evenVBand="0" w:oddHBand="0" w:evenHBand="0" w:firstRowFirstColumn="0" w:firstRowLastColumn="0" w:lastRowFirstColumn="0" w:lastRowLastColumn="0"/>
            </w:pPr>
            <w:r>
              <w:t>400.6</w:t>
            </w:r>
          </w:p>
        </w:tc>
        <w:tc>
          <w:tcPr>
            <w:tcW w:w="907" w:type="dxa"/>
          </w:tcPr>
          <w:p w14:paraId="17E49F58" w14:textId="77777777" w:rsidR="00A40E92" w:rsidRDefault="00A40E92">
            <w:pPr>
              <w:cnfStyle w:val="000000000000" w:firstRow="0" w:lastRow="0" w:firstColumn="0" w:lastColumn="0" w:oddVBand="0" w:evenVBand="0" w:oddHBand="0" w:evenHBand="0" w:firstRowFirstColumn="0" w:firstRowLastColumn="0" w:lastRowFirstColumn="0" w:lastRowLastColumn="0"/>
            </w:pPr>
            <w:r>
              <w:t>531.9</w:t>
            </w:r>
          </w:p>
        </w:tc>
        <w:tc>
          <w:tcPr>
            <w:tcW w:w="907" w:type="dxa"/>
          </w:tcPr>
          <w:p w14:paraId="38C1A625" w14:textId="77777777" w:rsidR="00A40E92" w:rsidRDefault="00A40E92">
            <w:pPr>
              <w:cnfStyle w:val="000000000000" w:firstRow="0" w:lastRow="0" w:firstColumn="0" w:lastColumn="0" w:oddVBand="0" w:evenVBand="0" w:oddHBand="0" w:evenHBand="0" w:firstRowFirstColumn="0" w:firstRowLastColumn="0" w:lastRowFirstColumn="0" w:lastRowLastColumn="0"/>
            </w:pPr>
            <w:r>
              <w:t>445.7</w:t>
            </w:r>
          </w:p>
        </w:tc>
        <w:tc>
          <w:tcPr>
            <w:tcW w:w="907" w:type="dxa"/>
          </w:tcPr>
          <w:p w14:paraId="780FB59A" w14:textId="715779CC" w:rsidR="00A40E92" w:rsidRDefault="00A40E92">
            <w:pPr>
              <w:cnfStyle w:val="000000000000" w:firstRow="0" w:lastRow="0" w:firstColumn="0" w:lastColumn="0" w:oddVBand="0" w:evenVBand="0" w:oddHBand="0" w:evenHBand="0" w:firstRowFirstColumn="0" w:firstRowLastColumn="0" w:lastRowFirstColumn="0" w:lastRowLastColumn="0"/>
            </w:pPr>
            <w:r>
              <w:t>11.</w:t>
            </w:r>
            <w:r w:rsidR="00515CFC">
              <w:t>3</w:t>
            </w:r>
          </w:p>
        </w:tc>
      </w:tr>
      <w:tr w:rsidR="00A40E92" w14:paraId="052297AD" w14:textId="77777777">
        <w:tc>
          <w:tcPr>
            <w:cnfStyle w:val="001000000000" w:firstRow="0" w:lastRow="0" w:firstColumn="1" w:lastColumn="0" w:oddVBand="0" w:evenVBand="0" w:oddHBand="0" w:evenHBand="0" w:firstRowFirstColumn="0" w:firstRowLastColumn="0" w:lastRowFirstColumn="0" w:lastRowLastColumn="0"/>
            <w:tcW w:w="6010" w:type="dxa"/>
          </w:tcPr>
          <w:p w14:paraId="36C34B17" w14:textId="77777777" w:rsidR="00A40E92" w:rsidRDefault="00A40E92">
            <w:r>
              <w:rPr>
                <w:b/>
              </w:rPr>
              <w:t>Reliable, sustainable and affordable energy services</w:t>
            </w:r>
          </w:p>
        </w:tc>
        <w:tc>
          <w:tcPr>
            <w:tcW w:w="907" w:type="dxa"/>
          </w:tcPr>
          <w:p w14:paraId="7D249229"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7F0822CE"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762C3909"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19950662"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609980CA" w14:textId="77777777">
        <w:tc>
          <w:tcPr>
            <w:cnfStyle w:val="001000000000" w:firstRow="0" w:lastRow="0" w:firstColumn="1" w:lastColumn="0" w:oddVBand="0" w:evenVBand="0" w:oddHBand="0" w:evenHBand="0" w:firstRowFirstColumn="0" w:firstRowLastColumn="0" w:lastRowFirstColumn="0" w:lastRowLastColumn="0"/>
            <w:tcW w:w="6010" w:type="dxa"/>
          </w:tcPr>
          <w:p w14:paraId="1B21728F" w14:textId="65730B5A" w:rsidR="00A40E92" w:rsidRDefault="00A40E92">
            <w:r>
              <w:t>Energy</w:t>
            </w:r>
            <w:r w:rsidR="00F9193E">
              <w:t xml:space="preserve"> </w:t>
            </w:r>
            <w:r w:rsidRPr="004626BF">
              <w:rPr>
                <w:vertAlign w:val="superscript"/>
              </w:rPr>
              <w:t>(e)</w:t>
            </w:r>
          </w:p>
        </w:tc>
        <w:tc>
          <w:tcPr>
            <w:tcW w:w="907" w:type="dxa"/>
          </w:tcPr>
          <w:p w14:paraId="6D349FF4" w14:textId="77777777" w:rsidR="00A40E92" w:rsidRDefault="00A40E92">
            <w:pPr>
              <w:cnfStyle w:val="000000000000" w:firstRow="0" w:lastRow="0" w:firstColumn="0" w:lastColumn="0" w:oddVBand="0" w:evenVBand="0" w:oddHBand="0" w:evenHBand="0" w:firstRowFirstColumn="0" w:firstRowLastColumn="0" w:lastRowFirstColumn="0" w:lastRowLastColumn="0"/>
            </w:pPr>
            <w:r>
              <w:t>306.4</w:t>
            </w:r>
          </w:p>
        </w:tc>
        <w:tc>
          <w:tcPr>
            <w:tcW w:w="907" w:type="dxa"/>
          </w:tcPr>
          <w:p w14:paraId="16E942D6" w14:textId="77777777" w:rsidR="00A40E92" w:rsidRDefault="00A40E92">
            <w:pPr>
              <w:cnfStyle w:val="000000000000" w:firstRow="0" w:lastRow="0" w:firstColumn="0" w:lastColumn="0" w:oddVBand="0" w:evenVBand="0" w:oddHBand="0" w:evenHBand="0" w:firstRowFirstColumn="0" w:firstRowLastColumn="0" w:lastRowFirstColumn="0" w:lastRowLastColumn="0"/>
            </w:pPr>
            <w:r>
              <w:t>442.2</w:t>
            </w:r>
          </w:p>
        </w:tc>
        <w:tc>
          <w:tcPr>
            <w:tcW w:w="907" w:type="dxa"/>
          </w:tcPr>
          <w:p w14:paraId="0DB5D480" w14:textId="77777777" w:rsidR="00A40E92" w:rsidRDefault="00A40E92">
            <w:pPr>
              <w:cnfStyle w:val="000000000000" w:firstRow="0" w:lastRow="0" w:firstColumn="0" w:lastColumn="0" w:oddVBand="0" w:evenVBand="0" w:oddHBand="0" w:evenHBand="0" w:firstRowFirstColumn="0" w:firstRowLastColumn="0" w:lastRowFirstColumn="0" w:lastRowLastColumn="0"/>
            </w:pPr>
            <w:r>
              <w:t>257.1</w:t>
            </w:r>
          </w:p>
        </w:tc>
        <w:tc>
          <w:tcPr>
            <w:tcW w:w="907" w:type="dxa"/>
          </w:tcPr>
          <w:p w14:paraId="13A5F44A" w14:textId="77777777" w:rsidR="00A40E92" w:rsidRDefault="00A40E92">
            <w:pPr>
              <w:cnfStyle w:val="000000000000" w:firstRow="0" w:lastRow="0" w:firstColumn="0" w:lastColumn="0" w:oddVBand="0" w:evenVBand="0" w:oddHBand="0" w:evenHBand="0" w:firstRowFirstColumn="0" w:firstRowLastColumn="0" w:lastRowFirstColumn="0" w:lastRowLastColumn="0"/>
            </w:pPr>
            <w:r>
              <w:t>(16.1)</w:t>
            </w:r>
          </w:p>
        </w:tc>
      </w:tr>
      <w:tr w:rsidR="00A40E92" w14:paraId="3382856E" w14:textId="77777777">
        <w:tc>
          <w:tcPr>
            <w:cnfStyle w:val="001000000000" w:firstRow="0" w:lastRow="0" w:firstColumn="1" w:lastColumn="0" w:oddVBand="0" w:evenVBand="0" w:oddHBand="0" w:evenHBand="0" w:firstRowFirstColumn="0" w:firstRowLastColumn="0" w:lastRowFirstColumn="0" w:lastRowLastColumn="0"/>
            <w:tcW w:w="6010" w:type="dxa"/>
          </w:tcPr>
          <w:p w14:paraId="7BEEB147" w14:textId="04789C88" w:rsidR="00A40E92" w:rsidRDefault="00A40E92">
            <w:r>
              <w:t>Solar Victoria</w:t>
            </w:r>
            <w:r w:rsidR="00F9193E">
              <w:t xml:space="preserve"> </w:t>
            </w:r>
            <w:r w:rsidRPr="004626BF">
              <w:rPr>
                <w:vertAlign w:val="superscript"/>
              </w:rPr>
              <w:t>(f)</w:t>
            </w:r>
          </w:p>
        </w:tc>
        <w:tc>
          <w:tcPr>
            <w:tcW w:w="907" w:type="dxa"/>
          </w:tcPr>
          <w:p w14:paraId="0F13E037" w14:textId="77777777" w:rsidR="00A40E92" w:rsidRDefault="00A40E92">
            <w:pPr>
              <w:cnfStyle w:val="000000000000" w:firstRow="0" w:lastRow="0" w:firstColumn="0" w:lastColumn="0" w:oddVBand="0" w:evenVBand="0" w:oddHBand="0" w:evenHBand="0" w:firstRowFirstColumn="0" w:firstRowLastColumn="0" w:lastRowFirstColumn="0" w:lastRowLastColumn="0"/>
            </w:pPr>
            <w:r>
              <w:t>142.3</w:t>
            </w:r>
          </w:p>
        </w:tc>
        <w:tc>
          <w:tcPr>
            <w:tcW w:w="907" w:type="dxa"/>
          </w:tcPr>
          <w:p w14:paraId="088D555B" w14:textId="77777777" w:rsidR="00A40E92" w:rsidRDefault="00A40E92">
            <w:pPr>
              <w:cnfStyle w:val="000000000000" w:firstRow="0" w:lastRow="0" w:firstColumn="0" w:lastColumn="0" w:oddVBand="0" w:evenVBand="0" w:oddHBand="0" w:evenHBand="0" w:firstRowFirstColumn="0" w:firstRowLastColumn="0" w:lastRowFirstColumn="0" w:lastRowLastColumn="0"/>
            </w:pPr>
            <w:r>
              <w:t>150.9</w:t>
            </w:r>
          </w:p>
        </w:tc>
        <w:tc>
          <w:tcPr>
            <w:tcW w:w="907" w:type="dxa"/>
          </w:tcPr>
          <w:p w14:paraId="31104074" w14:textId="77777777" w:rsidR="00A40E92" w:rsidRDefault="00A40E92">
            <w:pPr>
              <w:cnfStyle w:val="000000000000" w:firstRow="0" w:lastRow="0" w:firstColumn="0" w:lastColumn="0" w:oddVBand="0" w:evenVBand="0" w:oddHBand="0" w:evenHBand="0" w:firstRowFirstColumn="0" w:firstRowLastColumn="0" w:lastRowFirstColumn="0" w:lastRowLastColumn="0"/>
            </w:pPr>
            <w:r>
              <w:t>113.0</w:t>
            </w:r>
          </w:p>
        </w:tc>
        <w:tc>
          <w:tcPr>
            <w:tcW w:w="907" w:type="dxa"/>
          </w:tcPr>
          <w:p w14:paraId="5785650D" w14:textId="43E87AA6" w:rsidR="00A40E92" w:rsidRDefault="00A40E92">
            <w:pPr>
              <w:cnfStyle w:val="000000000000" w:firstRow="0" w:lastRow="0" w:firstColumn="0" w:lastColumn="0" w:oddVBand="0" w:evenVBand="0" w:oddHBand="0" w:evenHBand="0" w:firstRowFirstColumn="0" w:firstRowLastColumn="0" w:lastRowFirstColumn="0" w:lastRowLastColumn="0"/>
            </w:pPr>
            <w:r>
              <w:t>(20.</w:t>
            </w:r>
            <w:r w:rsidR="00515CFC">
              <w:t>6</w:t>
            </w:r>
            <w:r>
              <w:t>)</w:t>
            </w:r>
          </w:p>
        </w:tc>
      </w:tr>
      <w:tr w:rsidR="00A40E92" w14:paraId="30E91B87" w14:textId="77777777">
        <w:tc>
          <w:tcPr>
            <w:cnfStyle w:val="001000000000" w:firstRow="0" w:lastRow="0" w:firstColumn="1" w:lastColumn="0" w:oddVBand="0" w:evenVBand="0" w:oddHBand="0" w:evenHBand="0" w:firstRowFirstColumn="0" w:firstRowLastColumn="0" w:lastRowFirstColumn="0" w:lastRowLastColumn="0"/>
            <w:tcW w:w="6010" w:type="dxa"/>
            <w:tcBorders>
              <w:top w:val="nil"/>
              <w:bottom w:val="nil"/>
            </w:tcBorders>
          </w:tcPr>
          <w:p w14:paraId="3145A168" w14:textId="77777777" w:rsidR="00A40E92" w:rsidRDefault="00A40E92">
            <w:r>
              <w:rPr>
                <w:b/>
              </w:rPr>
              <w:t>Healthy, resilient and biodiverse environment</w:t>
            </w:r>
          </w:p>
        </w:tc>
        <w:tc>
          <w:tcPr>
            <w:tcW w:w="907" w:type="dxa"/>
            <w:tcBorders>
              <w:top w:val="nil"/>
              <w:bottom w:val="nil"/>
            </w:tcBorders>
          </w:tcPr>
          <w:p w14:paraId="574DE174"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tcPr>
          <w:p w14:paraId="61CF14B4"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tcPr>
          <w:p w14:paraId="605A1701"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Borders>
              <w:top w:val="nil"/>
              <w:bottom w:val="nil"/>
            </w:tcBorders>
          </w:tcPr>
          <w:p w14:paraId="7B31647D"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1490E7CC" w14:textId="77777777">
        <w:tc>
          <w:tcPr>
            <w:cnfStyle w:val="001000000000" w:firstRow="0" w:lastRow="0" w:firstColumn="1" w:lastColumn="0" w:oddVBand="0" w:evenVBand="0" w:oddHBand="0" w:evenHBand="0" w:firstRowFirstColumn="0" w:firstRowLastColumn="0" w:lastRowFirstColumn="0" w:lastRowLastColumn="0"/>
            <w:tcW w:w="6010" w:type="dxa"/>
            <w:tcBorders>
              <w:top w:val="nil"/>
            </w:tcBorders>
          </w:tcPr>
          <w:p w14:paraId="79D1D74A" w14:textId="2219B1E6" w:rsidR="00A40E92" w:rsidRDefault="00A40E92">
            <w:r>
              <w:t>Environment and Biodiversity</w:t>
            </w:r>
            <w:r w:rsidR="00F9193E">
              <w:t xml:space="preserve"> </w:t>
            </w:r>
            <w:r w:rsidRPr="004626BF">
              <w:rPr>
                <w:vertAlign w:val="superscript"/>
              </w:rPr>
              <w:t>(</w:t>
            </w:r>
            <w:r>
              <w:rPr>
                <w:vertAlign w:val="superscript"/>
              </w:rPr>
              <w:t>g</w:t>
            </w:r>
            <w:r w:rsidRPr="004626BF">
              <w:rPr>
                <w:vertAlign w:val="superscript"/>
              </w:rPr>
              <w:t>)</w:t>
            </w:r>
          </w:p>
        </w:tc>
        <w:tc>
          <w:tcPr>
            <w:tcW w:w="907" w:type="dxa"/>
            <w:tcBorders>
              <w:top w:val="nil"/>
            </w:tcBorders>
          </w:tcPr>
          <w:p w14:paraId="023D3C81" w14:textId="77777777" w:rsidR="00A40E92" w:rsidRDefault="00A40E92">
            <w:pPr>
              <w:cnfStyle w:val="000000000000" w:firstRow="0" w:lastRow="0" w:firstColumn="0" w:lastColumn="0" w:oddVBand="0" w:evenVBand="0" w:oddHBand="0" w:evenHBand="0" w:firstRowFirstColumn="0" w:firstRowLastColumn="0" w:lastRowFirstColumn="0" w:lastRowLastColumn="0"/>
            </w:pPr>
            <w:r>
              <w:t>128.3</w:t>
            </w:r>
          </w:p>
        </w:tc>
        <w:tc>
          <w:tcPr>
            <w:tcW w:w="907" w:type="dxa"/>
            <w:tcBorders>
              <w:top w:val="nil"/>
            </w:tcBorders>
          </w:tcPr>
          <w:p w14:paraId="0246D5D7" w14:textId="77777777" w:rsidR="00A40E92" w:rsidRDefault="00A40E92">
            <w:pPr>
              <w:cnfStyle w:val="000000000000" w:firstRow="0" w:lastRow="0" w:firstColumn="0" w:lastColumn="0" w:oddVBand="0" w:evenVBand="0" w:oddHBand="0" w:evenHBand="0" w:firstRowFirstColumn="0" w:firstRowLastColumn="0" w:lastRowFirstColumn="0" w:lastRowLastColumn="0"/>
            </w:pPr>
            <w:r>
              <w:t>214.8</w:t>
            </w:r>
          </w:p>
        </w:tc>
        <w:tc>
          <w:tcPr>
            <w:tcW w:w="907" w:type="dxa"/>
            <w:tcBorders>
              <w:top w:val="nil"/>
            </w:tcBorders>
          </w:tcPr>
          <w:p w14:paraId="72865CB1" w14:textId="77777777" w:rsidR="00A40E92" w:rsidRDefault="00A40E92">
            <w:pPr>
              <w:cnfStyle w:val="000000000000" w:firstRow="0" w:lastRow="0" w:firstColumn="0" w:lastColumn="0" w:oddVBand="0" w:evenVBand="0" w:oddHBand="0" w:evenHBand="0" w:firstRowFirstColumn="0" w:firstRowLastColumn="0" w:lastRowFirstColumn="0" w:lastRowLastColumn="0"/>
            </w:pPr>
            <w:r>
              <w:t>179.5</w:t>
            </w:r>
          </w:p>
        </w:tc>
        <w:tc>
          <w:tcPr>
            <w:tcW w:w="907" w:type="dxa"/>
            <w:tcBorders>
              <w:top w:val="nil"/>
            </w:tcBorders>
          </w:tcPr>
          <w:p w14:paraId="279EDCFF" w14:textId="48B60FBD" w:rsidR="00A40E92" w:rsidRDefault="00A40E92">
            <w:pPr>
              <w:cnfStyle w:val="000000000000" w:firstRow="0" w:lastRow="0" w:firstColumn="0" w:lastColumn="0" w:oddVBand="0" w:evenVBand="0" w:oddHBand="0" w:evenHBand="0" w:firstRowFirstColumn="0" w:firstRowLastColumn="0" w:lastRowFirstColumn="0" w:lastRowLastColumn="0"/>
            </w:pPr>
            <w:r>
              <w:t>39.</w:t>
            </w:r>
            <w:r w:rsidR="00515CFC">
              <w:t>9</w:t>
            </w:r>
          </w:p>
        </w:tc>
      </w:tr>
      <w:tr w:rsidR="00A40E92" w14:paraId="2C21A588" w14:textId="77777777">
        <w:tc>
          <w:tcPr>
            <w:cnfStyle w:val="001000000000" w:firstRow="0" w:lastRow="0" w:firstColumn="1" w:lastColumn="0" w:oddVBand="0" w:evenVBand="0" w:oddHBand="0" w:evenHBand="0" w:firstRowFirstColumn="0" w:firstRowLastColumn="0" w:lastRowFirstColumn="0" w:lastRowLastColumn="0"/>
            <w:tcW w:w="6010" w:type="dxa"/>
          </w:tcPr>
          <w:p w14:paraId="161949B0" w14:textId="77777777" w:rsidR="00A40E92" w:rsidRDefault="00A40E92">
            <w:r>
              <w:t>Statutory Activities and Environment Protection</w:t>
            </w:r>
          </w:p>
        </w:tc>
        <w:tc>
          <w:tcPr>
            <w:tcW w:w="907" w:type="dxa"/>
          </w:tcPr>
          <w:p w14:paraId="632CB0D7" w14:textId="77777777" w:rsidR="00A40E92" w:rsidRDefault="00A40E92">
            <w:pPr>
              <w:cnfStyle w:val="000000000000" w:firstRow="0" w:lastRow="0" w:firstColumn="0" w:lastColumn="0" w:oddVBand="0" w:evenVBand="0" w:oddHBand="0" w:evenHBand="0" w:firstRowFirstColumn="0" w:firstRowLastColumn="0" w:lastRowFirstColumn="0" w:lastRowLastColumn="0"/>
            </w:pPr>
            <w:r>
              <w:t>158.0</w:t>
            </w:r>
          </w:p>
        </w:tc>
        <w:tc>
          <w:tcPr>
            <w:tcW w:w="907" w:type="dxa"/>
          </w:tcPr>
          <w:p w14:paraId="44890205" w14:textId="77777777" w:rsidR="00A40E92" w:rsidRDefault="00A40E92">
            <w:pPr>
              <w:cnfStyle w:val="000000000000" w:firstRow="0" w:lastRow="0" w:firstColumn="0" w:lastColumn="0" w:oddVBand="0" w:evenVBand="0" w:oddHBand="0" w:evenHBand="0" w:firstRowFirstColumn="0" w:firstRowLastColumn="0" w:lastRowFirstColumn="0" w:lastRowLastColumn="0"/>
            </w:pPr>
            <w:r>
              <w:t>182.0</w:t>
            </w:r>
          </w:p>
        </w:tc>
        <w:tc>
          <w:tcPr>
            <w:tcW w:w="907" w:type="dxa"/>
          </w:tcPr>
          <w:p w14:paraId="571F5275" w14:textId="77777777" w:rsidR="00A40E92" w:rsidRDefault="00A40E92">
            <w:pPr>
              <w:cnfStyle w:val="000000000000" w:firstRow="0" w:lastRow="0" w:firstColumn="0" w:lastColumn="0" w:oddVBand="0" w:evenVBand="0" w:oddHBand="0" w:evenHBand="0" w:firstRowFirstColumn="0" w:firstRowLastColumn="0" w:lastRowFirstColumn="0" w:lastRowLastColumn="0"/>
            </w:pPr>
            <w:r>
              <w:t>162.8</w:t>
            </w:r>
          </w:p>
        </w:tc>
        <w:tc>
          <w:tcPr>
            <w:tcW w:w="907" w:type="dxa"/>
          </w:tcPr>
          <w:p w14:paraId="67AB27C5" w14:textId="77777777" w:rsidR="00A40E92" w:rsidRDefault="00A40E92">
            <w:pPr>
              <w:cnfStyle w:val="000000000000" w:firstRow="0" w:lastRow="0" w:firstColumn="0" w:lastColumn="0" w:oddVBand="0" w:evenVBand="0" w:oddHBand="0" w:evenHBand="0" w:firstRowFirstColumn="0" w:firstRowLastColumn="0" w:lastRowFirstColumn="0" w:lastRowLastColumn="0"/>
            </w:pPr>
            <w:r>
              <w:t>3.0</w:t>
            </w:r>
          </w:p>
        </w:tc>
      </w:tr>
      <w:tr w:rsidR="00A40E92" w14:paraId="6B7A9818" w14:textId="77777777">
        <w:tc>
          <w:tcPr>
            <w:cnfStyle w:val="001000000000" w:firstRow="0" w:lastRow="0" w:firstColumn="1" w:lastColumn="0" w:oddVBand="0" w:evenVBand="0" w:oddHBand="0" w:evenHBand="0" w:firstRowFirstColumn="0" w:firstRowLastColumn="0" w:lastRowFirstColumn="0" w:lastRowLastColumn="0"/>
            <w:tcW w:w="6010" w:type="dxa"/>
          </w:tcPr>
          <w:p w14:paraId="21D81AA4" w14:textId="4ECA89A3" w:rsidR="00A40E92" w:rsidRDefault="00A40E92">
            <w:r>
              <w:t>Circular Economy</w:t>
            </w:r>
            <w:r w:rsidR="00F9193E">
              <w:t xml:space="preserve"> </w:t>
            </w:r>
            <w:r w:rsidRPr="004626BF">
              <w:rPr>
                <w:vertAlign w:val="superscript"/>
              </w:rPr>
              <w:t>(</w:t>
            </w:r>
            <w:r>
              <w:rPr>
                <w:vertAlign w:val="superscript"/>
              </w:rPr>
              <w:t>h</w:t>
            </w:r>
            <w:r w:rsidRPr="004626BF">
              <w:rPr>
                <w:vertAlign w:val="superscript"/>
              </w:rPr>
              <w:t>)</w:t>
            </w:r>
          </w:p>
        </w:tc>
        <w:tc>
          <w:tcPr>
            <w:tcW w:w="907" w:type="dxa"/>
          </w:tcPr>
          <w:p w14:paraId="7A82BCF2" w14:textId="77777777" w:rsidR="00A40E92" w:rsidRDefault="00A40E92">
            <w:pPr>
              <w:cnfStyle w:val="000000000000" w:firstRow="0" w:lastRow="0" w:firstColumn="0" w:lastColumn="0" w:oddVBand="0" w:evenVBand="0" w:oddHBand="0" w:evenHBand="0" w:firstRowFirstColumn="0" w:firstRowLastColumn="0" w:lastRowFirstColumn="0" w:lastRowLastColumn="0"/>
            </w:pPr>
            <w:r>
              <w:t>108.0</w:t>
            </w:r>
          </w:p>
        </w:tc>
        <w:tc>
          <w:tcPr>
            <w:tcW w:w="907" w:type="dxa"/>
          </w:tcPr>
          <w:p w14:paraId="04979909" w14:textId="77777777" w:rsidR="00A40E92" w:rsidRDefault="00A40E92">
            <w:pPr>
              <w:cnfStyle w:val="000000000000" w:firstRow="0" w:lastRow="0" w:firstColumn="0" w:lastColumn="0" w:oddVBand="0" w:evenVBand="0" w:oddHBand="0" w:evenHBand="0" w:firstRowFirstColumn="0" w:firstRowLastColumn="0" w:lastRowFirstColumn="0" w:lastRowLastColumn="0"/>
            </w:pPr>
            <w:r>
              <w:t>160.3</w:t>
            </w:r>
          </w:p>
        </w:tc>
        <w:tc>
          <w:tcPr>
            <w:tcW w:w="907" w:type="dxa"/>
          </w:tcPr>
          <w:p w14:paraId="46D6B155" w14:textId="77777777" w:rsidR="00A40E92" w:rsidRDefault="00A40E92">
            <w:pPr>
              <w:cnfStyle w:val="000000000000" w:firstRow="0" w:lastRow="0" w:firstColumn="0" w:lastColumn="0" w:oddVBand="0" w:evenVBand="0" w:oddHBand="0" w:evenHBand="0" w:firstRowFirstColumn="0" w:firstRowLastColumn="0" w:lastRowFirstColumn="0" w:lastRowLastColumn="0"/>
            </w:pPr>
            <w:r>
              <w:t>146.5</w:t>
            </w:r>
          </w:p>
        </w:tc>
        <w:tc>
          <w:tcPr>
            <w:tcW w:w="907" w:type="dxa"/>
          </w:tcPr>
          <w:p w14:paraId="355DD329" w14:textId="0B86B2E9" w:rsidR="00A40E92" w:rsidRDefault="00A40E92">
            <w:pPr>
              <w:cnfStyle w:val="000000000000" w:firstRow="0" w:lastRow="0" w:firstColumn="0" w:lastColumn="0" w:oddVBand="0" w:evenVBand="0" w:oddHBand="0" w:evenHBand="0" w:firstRowFirstColumn="0" w:firstRowLastColumn="0" w:lastRowFirstColumn="0" w:lastRowLastColumn="0"/>
            </w:pPr>
            <w:r>
              <w:t>35.</w:t>
            </w:r>
            <w:r w:rsidR="00515CFC">
              <w:t>6</w:t>
            </w:r>
          </w:p>
        </w:tc>
      </w:tr>
      <w:tr w:rsidR="00A40E92" w14:paraId="3B615B7F" w14:textId="77777777">
        <w:tc>
          <w:tcPr>
            <w:cnfStyle w:val="001000000000" w:firstRow="0" w:lastRow="0" w:firstColumn="1" w:lastColumn="0" w:oddVBand="0" w:evenVBand="0" w:oddHBand="0" w:evenHBand="0" w:firstRowFirstColumn="0" w:firstRowLastColumn="0" w:lastRowFirstColumn="0" w:lastRowLastColumn="0"/>
            <w:tcW w:w="6010" w:type="dxa"/>
          </w:tcPr>
          <w:p w14:paraId="5929C681" w14:textId="77777777" w:rsidR="00A40E92" w:rsidRDefault="00A40E92">
            <w:r>
              <w:rPr>
                <w:b/>
              </w:rPr>
              <w:t>Productive and effective land management</w:t>
            </w:r>
          </w:p>
        </w:tc>
        <w:tc>
          <w:tcPr>
            <w:tcW w:w="907" w:type="dxa"/>
          </w:tcPr>
          <w:p w14:paraId="32B13162"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52C0535E"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374B2407"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58B1E314"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3FC2E25C" w14:textId="77777777">
        <w:tc>
          <w:tcPr>
            <w:cnfStyle w:val="001000000000" w:firstRow="0" w:lastRow="0" w:firstColumn="1" w:lastColumn="0" w:oddVBand="0" w:evenVBand="0" w:oddHBand="0" w:evenHBand="0" w:firstRowFirstColumn="0" w:firstRowLastColumn="0" w:lastRowFirstColumn="0" w:lastRowLastColumn="0"/>
            <w:tcW w:w="6010" w:type="dxa"/>
          </w:tcPr>
          <w:p w14:paraId="20FFD9D3" w14:textId="4B0F1E30" w:rsidR="00A40E92" w:rsidRDefault="00A40E92">
            <w:r>
              <w:t>Management of Public Land and Forests</w:t>
            </w:r>
            <w:r w:rsidR="00F9193E">
              <w:t xml:space="preserve"> </w:t>
            </w:r>
            <w:r w:rsidRPr="004626BF">
              <w:rPr>
                <w:vertAlign w:val="superscript"/>
              </w:rPr>
              <w:t>(</w:t>
            </w:r>
            <w:r>
              <w:rPr>
                <w:vertAlign w:val="superscript"/>
              </w:rPr>
              <w:t>i</w:t>
            </w:r>
            <w:r w:rsidRPr="004626BF">
              <w:rPr>
                <w:vertAlign w:val="superscript"/>
              </w:rPr>
              <w:t>)</w:t>
            </w:r>
          </w:p>
        </w:tc>
        <w:tc>
          <w:tcPr>
            <w:tcW w:w="907" w:type="dxa"/>
          </w:tcPr>
          <w:p w14:paraId="12544075" w14:textId="77777777" w:rsidR="00A40E92" w:rsidRDefault="00A40E92">
            <w:pPr>
              <w:cnfStyle w:val="000000000000" w:firstRow="0" w:lastRow="0" w:firstColumn="0" w:lastColumn="0" w:oddVBand="0" w:evenVBand="0" w:oddHBand="0" w:evenHBand="0" w:firstRowFirstColumn="0" w:firstRowLastColumn="0" w:lastRowFirstColumn="0" w:lastRowLastColumn="0"/>
            </w:pPr>
            <w:r>
              <w:t>313.8</w:t>
            </w:r>
          </w:p>
        </w:tc>
        <w:tc>
          <w:tcPr>
            <w:tcW w:w="907" w:type="dxa"/>
          </w:tcPr>
          <w:p w14:paraId="453982F3" w14:textId="77777777" w:rsidR="00A40E92" w:rsidRDefault="00A40E92">
            <w:pPr>
              <w:cnfStyle w:val="000000000000" w:firstRow="0" w:lastRow="0" w:firstColumn="0" w:lastColumn="0" w:oddVBand="0" w:evenVBand="0" w:oddHBand="0" w:evenHBand="0" w:firstRowFirstColumn="0" w:firstRowLastColumn="0" w:lastRowFirstColumn="0" w:lastRowLastColumn="0"/>
            </w:pPr>
            <w:r>
              <w:t>441.0</w:t>
            </w:r>
          </w:p>
        </w:tc>
        <w:tc>
          <w:tcPr>
            <w:tcW w:w="907" w:type="dxa"/>
          </w:tcPr>
          <w:p w14:paraId="4A6171D4" w14:textId="77777777" w:rsidR="00A40E92" w:rsidRDefault="00A40E92">
            <w:pPr>
              <w:cnfStyle w:val="000000000000" w:firstRow="0" w:lastRow="0" w:firstColumn="0" w:lastColumn="0" w:oddVBand="0" w:evenVBand="0" w:oddHBand="0" w:evenHBand="0" w:firstRowFirstColumn="0" w:firstRowLastColumn="0" w:lastRowFirstColumn="0" w:lastRowLastColumn="0"/>
            </w:pPr>
            <w:r>
              <w:t>380.9</w:t>
            </w:r>
          </w:p>
        </w:tc>
        <w:tc>
          <w:tcPr>
            <w:tcW w:w="907" w:type="dxa"/>
          </w:tcPr>
          <w:p w14:paraId="1758ABC8" w14:textId="77777777" w:rsidR="00A40E92" w:rsidRDefault="00A40E92">
            <w:pPr>
              <w:cnfStyle w:val="000000000000" w:firstRow="0" w:lastRow="0" w:firstColumn="0" w:lastColumn="0" w:oddVBand="0" w:evenVBand="0" w:oddHBand="0" w:evenHBand="0" w:firstRowFirstColumn="0" w:firstRowLastColumn="0" w:lastRowFirstColumn="0" w:lastRowLastColumn="0"/>
            </w:pPr>
            <w:r>
              <w:t>21.4</w:t>
            </w:r>
          </w:p>
        </w:tc>
      </w:tr>
      <w:tr w:rsidR="00A40E92" w14:paraId="333C023B" w14:textId="77777777">
        <w:tc>
          <w:tcPr>
            <w:cnfStyle w:val="001000000000" w:firstRow="0" w:lastRow="0" w:firstColumn="1" w:lastColumn="0" w:oddVBand="0" w:evenVBand="0" w:oddHBand="0" w:evenHBand="0" w:firstRowFirstColumn="0" w:firstRowLastColumn="0" w:lastRowFirstColumn="0" w:lastRowLastColumn="0"/>
            <w:tcW w:w="6010" w:type="dxa"/>
          </w:tcPr>
          <w:p w14:paraId="3272C0EF" w14:textId="77777777" w:rsidR="00A40E92" w:rsidRDefault="00A40E92">
            <w:r>
              <w:t>Parks Victoria</w:t>
            </w:r>
          </w:p>
        </w:tc>
        <w:tc>
          <w:tcPr>
            <w:tcW w:w="907" w:type="dxa"/>
          </w:tcPr>
          <w:p w14:paraId="77605EAC" w14:textId="77777777" w:rsidR="00A40E92" w:rsidRDefault="00A40E92">
            <w:pPr>
              <w:cnfStyle w:val="000000000000" w:firstRow="0" w:lastRow="0" w:firstColumn="0" w:lastColumn="0" w:oddVBand="0" w:evenVBand="0" w:oddHBand="0" w:evenHBand="0" w:firstRowFirstColumn="0" w:firstRowLastColumn="0" w:lastRowFirstColumn="0" w:lastRowLastColumn="0"/>
            </w:pPr>
            <w:r>
              <w:t>187.3</w:t>
            </w:r>
          </w:p>
        </w:tc>
        <w:tc>
          <w:tcPr>
            <w:tcW w:w="907" w:type="dxa"/>
          </w:tcPr>
          <w:p w14:paraId="471CE21F" w14:textId="77777777" w:rsidR="00A40E92" w:rsidRDefault="00A40E92">
            <w:pPr>
              <w:cnfStyle w:val="000000000000" w:firstRow="0" w:lastRow="0" w:firstColumn="0" w:lastColumn="0" w:oddVBand="0" w:evenVBand="0" w:oddHBand="0" w:evenHBand="0" w:firstRowFirstColumn="0" w:firstRowLastColumn="0" w:lastRowFirstColumn="0" w:lastRowLastColumn="0"/>
            </w:pPr>
            <w:r>
              <w:t>211.7</w:t>
            </w:r>
          </w:p>
        </w:tc>
        <w:tc>
          <w:tcPr>
            <w:tcW w:w="907" w:type="dxa"/>
          </w:tcPr>
          <w:p w14:paraId="3A1B9FFF" w14:textId="77777777" w:rsidR="00A40E92" w:rsidRDefault="00A40E92">
            <w:pPr>
              <w:cnfStyle w:val="000000000000" w:firstRow="0" w:lastRow="0" w:firstColumn="0" w:lastColumn="0" w:oddVBand="0" w:evenVBand="0" w:oddHBand="0" w:evenHBand="0" w:firstRowFirstColumn="0" w:firstRowLastColumn="0" w:lastRowFirstColumn="0" w:lastRowLastColumn="0"/>
            </w:pPr>
            <w:r>
              <w:t>184.0</w:t>
            </w:r>
          </w:p>
        </w:tc>
        <w:tc>
          <w:tcPr>
            <w:tcW w:w="907" w:type="dxa"/>
          </w:tcPr>
          <w:p w14:paraId="50D5C038" w14:textId="77777777" w:rsidR="00A40E92" w:rsidRDefault="00A40E92">
            <w:pPr>
              <w:cnfStyle w:val="000000000000" w:firstRow="0" w:lastRow="0" w:firstColumn="0" w:lastColumn="0" w:oddVBand="0" w:evenVBand="0" w:oddHBand="0" w:evenHBand="0" w:firstRowFirstColumn="0" w:firstRowLastColumn="0" w:lastRowFirstColumn="0" w:lastRowLastColumn="0"/>
            </w:pPr>
            <w:r>
              <w:t>(1.8)</w:t>
            </w:r>
          </w:p>
        </w:tc>
      </w:tr>
      <w:tr w:rsidR="00A40E92" w14:paraId="6400932D" w14:textId="77777777">
        <w:tc>
          <w:tcPr>
            <w:cnfStyle w:val="001000000000" w:firstRow="0" w:lastRow="0" w:firstColumn="1" w:lastColumn="0" w:oddVBand="0" w:evenVBand="0" w:oddHBand="0" w:evenHBand="0" w:firstRowFirstColumn="0" w:firstRowLastColumn="0" w:lastRowFirstColumn="0" w:lastRowLastColumn="0"/>
            <w:tcW w:w="6010" w:type="dxa"/>
          </w:tcPr>
          <w:p w14:paraId="202E5BC4" w14:textId="77777777" w:rsidR="00A40E92" w:rsidRDefault="00A40E92">
            <w:r>
              <w:rPr>
                <w:b/>
              </w:rPr>
              <w:t>Safe and sustainable water resources</w:t>
            </w:r>
          </w:p>
        </w:tc>
        <w:tc>
          <w:tcPr>
            <w:tcW w:w="907" w:type="dxa"/>
          </w:tcPr>
          <w:p w14:paraId="2D8328E0"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1BC3D578"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42E129FF"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c>
          <w:tcPr>
            <w:tcW w:w="907" w:type="dxa"/>
          </w:tcPr>
          <w:p w14:paraId="5314E777" w14:textId="77777777" w:rsidR="00A40E92" w:rsidRDefault="00A40E92">
            <w:pPr>
              <w:cnfStyle w:val="000000000000" w:firstRow="0" w:lastRow="0" w:firstColumn="0" w:lastColumn="0" w:oddVBand="0" w:evenVBand="0" w:oddHBand="0" w:evenHBand="0" w:firstRowFirstColumn="0" w:firstRowLastColumn="0" w:lastRowFirstColumn="0" w:lastRowLastColumn="0"/>
            </w:pPr>
          </w:p>
        </w:tc>
      </w:tr>
      <w:tr w:rsidR="00A40E92" w14:paraId="14F5A5CC" w14:textId="77777777">
        <w:tc>
          <w:tcPr>
            <w:cnfStyle w:val="001000000000" w:firstRow="0" w:lastRow="0" w:firstColumn="1" w:lastColumn="0" w:oddVBand="0" w:evenVBand="0" w:oddHBand="0" w:evenHBand="0" w:firstRowFirstColumn="0" w:firstRowLastColumn="0" w:lastRowFirstColumn="0" w:lastRowLastColumn="0"/>
            <w:tcW w:w="6010" w:type="dxa"/>
          </w:tcPr>
          <w:p w14:paraId="051B021D" w14:textId="1E05E777" w:rsidR="00A40E92" w:rsidRDefault="00A40E92">
            <w:r>
              <w:t>Water and Catchments</w:t>
            </w:r>
            <w:r w:rsidR="00F9193E">
              <w:t xml:space="preserve"> </w:t>
            </w:r>
            <w:r w:rsidRPr="004626BF">
              <w:rPr>
                <w:vertAlign w:val="superscript"/>
              </w:rPr>
              <w:t>(</w:t>
            </w:r>
            <w:r>
              <w:rPr>
                <w:vertAlign w:val="superscript"/>
              </w:rPr>
              <w:t>j)</w:t>
            </w:r>
          </w:p>
        </w:tc>
        <w:tc>
          <w:tcPr>
            <w:tcW w:w="907" w:type="dxa"/>
          </w:tcPr>
          <w:p w14:paraId="782CC110" w14:textId="77777777" w:rsidR="00A40E92" w:rsidRDefault="00A40E92">
            <w:pPr>
              <w:cnfStyle w:val="000000000000" w:firstRow="0" w:lastRow="0" w:firstColumn="0" w:lastColumn="0" w:oddVBand="0" w:evenVBand="0" w:oddHBand="0" w:evenHBand="0" w:firstRowFirstColumn="0" w:firstRowLastColumn="0" w:lastRowFirstColumn="0" w:lastRowLastColumn="0"/>
            </w:pPr>
            <w:r>
              <w:t>296.2</w:t>
            </w:r>
          </w:p>
        </w:tc>
        <w:tc>
          <w:tcPr>
            <w:tcW w:w="907" w:type="dxa"/>
          </w:tcPr>
          <w:p w14:paraId="67F77B4C" w14:textId="77777777" w:rsidR="00A40E92" w:rsidRDefault="00A40E92">
            <w:pPr>
              <w:cnfStyle w:val="000000000000" w:firstRow="0" w:lastRow="0" w:firstColumn="0" w:lastColumn="0" w:oddVBand="0" w:evenVBand="0" w:oddHBand="0" w:evenHBand="0" w:firstRowFirstColumn="0" w:firstRowLastColumn="0" w:lastRowFirstColumn="0" w:lastRowLastColumn="0"/>
            </w:pPr>
            <w:r>
              <w:t>329.7</w:t>
            </w:r>
          </w:p>
        </w:tc>
        <w:tc>
          <w:tcPr>
            <w:tcW w:w="907" w:type="dxa"/>
          </w:tcPr>
          <w:p w14:paraId="1C41EF73" w14:textId="77777777" w:rsidR="00A40E92" w:rsidRDefault="00A40E92">
            <w:pPr>
              <w:cnfStyle w:val="000000000000" w:firstRow="0" w:lastRow="0" w:firstColumn="0" w:lastColumn="0" w:oddVBand="0" w:evenVBand="0" w:oddHBand="0" w:evenHBand="0" w:firstRowFirstColumn="0" w:firstRowLastColumn="0" w:lastRowFirstColumn="0" w:lastRowLastColumn="0"/>
            </w:pPr>
            <w:r>
              <w:t>302.9</w:t>
            </w:r>
          </w:p>
        </w:tc>
        <w:tc>
          <w:tcPr>
            <w:tcW w:w="907" w:type="dxa"/>
          </w:tcPr>
          <w:p w14:paraId="288BC447" w14:textId="77777777" w:rsidR="00A40E92" w:rsidRDefault="00A40E92">
            <w:pPr>
              <w:cnfStyle w:val="000000000000" w:firstRow="0" w:lastRow="0" w:firstColumn="0" w:lastColumn="0" w:oddVBand="0" w:evenVBand="0" w:oddHBand="0" w:evenHBand="0" w:firstRowFirstColumn="0" w:firstRowLastColumn="0" w:lastRowFirstColumn="0" w:lastRowLastColumn="0"/>
            </w:pPr>
            <w:r>
              <w:t>2.3</w:t>
            </w:r>
          </w:p>
        </w:tc>
      </w:tr>
      <w:tr w:rsidR="00A40E92" w14:paraId="428068A9"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EE639F5" w14:textId="77777777" w:rsidR="00A40E92" w:rsidRDefault="00A40E92">
            <w:r>
              <w:rPr>
                <w:b/>
              </w:rPr>
              <w:t>Total</w:t>
            </w:r>
            <w:r>
              <w:rPr>
                <w:b/>
                <w:vertAlign w:val="superscript"/>
              </w:rPr>
              <w:t xml:space="preserve"> </w:t>
            </w:r>
          </w:p>
        </w:tc>
        <w:tc>
          <w:tcPr>
            <w:tcW w:w="907" w:type="dxa"/>
            <w:tcBorders>
              <w:top w:val="single" w:sz="6" w:space="0" w:color="auto"/>
              <w:bottom w:val="single" w:sz="12" w:space="0" w:color="auto"/>
            </w:tcBorders>
          </w:tcPr>
          <w:p w14:paraId="514A4458" w14:textId="77777777" w:rsidR="00A40E92" w:rsidRDefault="00A40E92">
            <w:pPr>
              <w:cnfStyle w:val="000000000000" w:firstRow="0" w:lastRow="0" w:firstColumn="0" w:lastColumn="0" w:oddVBand="0" w:evenVBand="0" w:oddHBand="0" w:evenHBand="0" w:firstRowFirstColumn="0" w:firstRowLastColumn="0" w:lastRowFirstColumn="0" w:lastRowLastColumn="0"/>
            </w:pPr>
            <w:r>
              <w:rPr>
                <w:b/>
              </w:rPr>
              <w:t>2 650.2</w:t>
            </w:r>
          </w:p>
        </w:tc>
        <w:tc>
          <w:tcPr>
            <w:tcW w:w="907" w:type="dxa"/>
            <w:tcBorders>
              <w:top w:val="single" w:sz="6" w:space="0" w:color="auto"/>
              <w:bottom w:val="single" w:sz="12" w:space="0" w:color="auto"/>
            </w:tcBorders>
          </w:tcPr>
          <w:p w14:paraId="292CC3BB" w14:textId="498A41AD" w:rsidR="00A40E92" w:rsidRDefault="00A40E92">
            <w:pPr>
              <w:cnfStyle w:val="000000000000" w:firstRow="0" w:lastRow="0" w:firstColumn="0" w:lastColumn="0" w:oddVBand="0" w:evenVBand="0" w:oddHBand="0" w:evenHBand="0" w:firstRowFirstColumn="0" w:firstRowLastColumn="0" w:lastRowFirstColumn="0" w:lastRowLastColumn="0"/>
            </w:pPr>
            <w:r>
              <w:rPr>
                <w:b/>
              </w:rPr>
              <w:t>3 353.</w:t>
            </w:r>
            <w:r w:rsidR="00E54436">
              <w:rPr>
                <w:b/>
              </w:rPr>
              <w:t>2</w:t>
            </w:r>
          </w:p>
        </w:tc>
        <w:tc>
          <w:tcPr>
            <w:tcW w:w="907" w:type="dxa"/>
            <w:tcBorders>
              <w:top w:val="single" w:sz="6" w:space="0" w:color="auto"/>
              <w:bottom w:val="single" w:sz="12" w:space="0" w:color="auto"/>
            </w:tcBorders>
          </w:tcPr>
          <w:p w14:paraId="355D95A8" w14:textId="58066A0E" w:rsidR="00A40E92" w:rsidRDefault="00A40E92">
            <w:pPr>
              <w:cnfStyle w:val="000000000000" w:firstRow="0" w:lastRow="0" w:firstColumn="0" w:lastColumn="0" w:oddVBand="0" w:evenVBand="0" w:oddHBand="0" w:evenHBand="0" w:firstRowFirstColumn="0" w:firstRowLastColumn="0" w:lastRowFirstColumn="0" w:lastRowLastColumn="0"/>
            </w:pPr>
            <w:r>
              <w:rPr>
                <w:b/>
              </w:rPr>
              <w:t>2 751.</w:t>
            </w:r>
            <w:r w:rsidR="00E54436">
              <w:rPr>
                <w:b/>
              </w:rPr>
              <w:t>4</w:t>
            </w:r>
          </w:p>
        </w:tc>
        <w:tc>
          <w:tcPr>
            <w:tcW w:w="907" w:type="dxa"/>
            <w:tcBorders>
              <w:top w:val="single" w:sz="6" w:space="0" w:color="auto"/>
              <w:bottom w:val="single" w:sz="12" w:space="0" w:color="auto"/>
            </w:tcBorders>
          </w:tcPr>
          <w:p w14:paraId="624314C3" w14:textId="77777777" w:rsidR="00A40E92" w:rsidRDefault="00A40E92">
            <w:pPr>
              <w:cnfStyle w:val="000000000000" w:firstRow="0" w:lastRow="0" w:firstColumn="0" w:lastColumn="0" w:oddVBand="0" w:evenVBand="0" w:oddHBand="0" w:evenHBand="0" w:firstRowFirstColumn="0" w:firstRowLastColumn="0" w:lastRowFirstColumn="0" w:lastRowLastColumn="0"/>
            </w:pPr>
            <w:r>
              <w:rPr>
                <w:b/>
              </w:rPr>
              <w:t>3.8</w:t>
            </w:r>
          </w:p>
        </w:tc>
      </w:tr>
    </w:tbl>
    <w:p w14:paraId="533C03D8" w14:textId="77777777" w:rsidR="00A40E92" w:rsidRDefault="00A40E92" w:rsidP="00A40E92">
      <w:pPr>
        <w:pStyle w:val="Source"/>
        <w:rPr>
          <w:lang w:eastAsia="en-AU"/>
        </w:rPr>
      </w:pPr>
      <w:r>
        <w:rPr>
          <w:lang w:eastAsia="en-AU"/>
        </w:rPr>
        <w:t>Source: Department of Energy, Environment and Climate Action</w:t>
      </w:r>
    </w:p>
    <w:p w14:paraId="406C5740" w14:textId="0F4E8F19" w:rsidR="00A40E92" w:rsidRDefault="00A40E92" w:rsidP="00A40E92">
      <w:pPr>
        <w:pStyle w:val="Note"/>
        <w:rPr>
          <w:lang w:eastAsia="en-AU"/>
        </w:rPr>
      </w:pPr>
      <w:r>
        <w:rPr>
          <w:lang w:eastAsia="en-AU"/>
        </w:rPr>
        <w:t>Notes</w:t>
      </w:r>
      <w:r w:rsidR="00F9193E">
        <w:t>:</w:t>
      </w:r>
    </w:p>
    <w:p w14:paraId="175C0DAA" w14:textId="700231C9" w:rsidR="00A40E92" w:rsidRPr="00532D1B" w:rsidRDefault="00F9193E" w:rsidP="00F9193E">
      <w:pPr>
        <w:pStyle w:val="Note"/>
      </w:pPr>
      <w:r>
        <w:t>(a)</w:t>
      </w:r>
      <w:r>
        <w:tab/>
      </w:r>
      <w:r w:rsidR="00A40E92" w:rsidRPr="00532D1B">
        <w:t xml:space="preserve">Variation between 2025-26 budget and 2026-27 budget. </w:t>
      </w:r>
    </w:p>
    <w:p w14:paraId="4184FD50" w14:textId="47A20149" w:rsidR="00A40E92" w:rsidRPr="00532D1B" w:rsidRDefault="00F9193E" w:rsidP="00F9193E">
      <w:pPr>
        <w:pStyle w:val="Note"/>
      </w:pPr>
      <w:r>
        <w:t>(b)</w:t>
      </w:r>
      <w:r>
        <w:tab/>
      </w:r>
      <w:r w:rsidR="00A40E92" w:rsidRPr="00532D1B">
        <w:t>The higher 2026-27 target predominantly reflects adjustments to existing funding for government policy commitments and indexation.</w:t>
      </w:r>
    </w:p>
    <w:p w14:paraId="25F6B5A3" w14:textId="15038B11" w:rsidR="00A40E92" w:rsidRPr="00C30A68" w:rsidRDefault="00F9193E" w:rsidP="00F9193E">
      <w:pPr>
        <w:pStyle w:val="Note"/>
      </w:pPr>
      <w:r>
        <w:t>(c)</w:t>
      </w:r>
      <w:r>
        <w:tab/>
      </w:r>
      <w:r w:rsidR="00A40E92" w:rsidRPr="00C30A68">
        <w:t>The</w:t>
      </w:r>
      <w:r w:rsidR="00A40E92">
        <w:t xml:space="preserve"> </w:t>
      </w:r>
      <w:r w:rsidR="00A40E92" w:rsidRPr="00EC2F26">
        <w:t xml:space="preserve">lower 2026-27 </w:t>
      </w:r>
      <w:r w:rsidR="00A40E92">
        <w:t>target</w:t>
      </w:r>
      <w:r w:rsidR="00A40E92" w:rsidRPr="00EC2F26">
        <w:t xml:space="preserve"> is mainly due to </w:t>
      </w:r>
      <w:r w:rsidR="00A40E92">
        <w:t>program</w:t>
      </w:r>
      <w:r w:rsidR="00A40E92" w:rsidRPr="00EC2F26">
        <w:t xml:space="preserve"> scheduling changes and the expiration of fixed term initiatives.</w:t>
      </w:r>
      <w:r w:rsidR="00A40E92" w:rsidRPr="00C30A68">
        <w:t xml:space="preserve"> </w:t>
      </w:r>
    </w:p>
    <w:p w14:paraId="04A30450" w14:textId="08875AC7" w:rsidR="00A40E92" w:rsidRPr="00C30A68" w:rsidRDefault="00F9193E" w:rsidP="00F9193E">
      <w:pPr>
        <w:pStyle w:val="Note"/>
      </w:pPr>
      <w:r>
        <w:t>(d)</w:t>
      </w:r>
      <w:r>
        <w:tab/>
      </w:r>
      <w:r w:rsidR="00A40E92" w:rsidRPr="00C30A68">
        <w:t xml:space="preserve">The higher 2026-27 target predominantly reflects funding announced as part of the </w:t>
      </w:r>
      <w:r w:rsidR="00A40E92" w:rsidRPr="00B9687A">
        <w:rPr>
          <w:i w:val="0"/>
        </w:rPr>
        <w:t>2026-27 Budget</w:t>
      </w:r>
      <w:r w:rsidR="00A40E92" w:rsidRPr="00C30A68">
        <w:t xml:space="preserve"> for </w:t>
      </w:r>
      <w:r w:rsidR="00A40E92">
        <w:t>S</w:t>
      </w:r>
      <w:r w:rsidR="00A40E92" w:rsidRPr="00C30A68">
        <w:t xml:space="preserve">ecuring critical aviation fire services and </w:t>
      </w:r>
      <w:r w:rsidR="00A40E92">
        <w:t>M</w:t>
      </w:r>
      <w:r w:rsidR="00A40E92" w:rsidRPr="00C30A68">
        <w:t>aintaining critical assets for emergency and land management.</w:t>
      </w:r>
    </w:p>
    <w:p w14:paraId="7CE91938" w14:textId="11A494A0" w:rsidR="00A40E92" w:rsidRPr="00C30A68" w:rsidRDefault="00F9193E" w:rsidP="00F9193E">
      <w:pPr>
        <w:pStyle w:val="Note"/>
      </w:pPr>
      <w:r>
        <w:t>(e)</w:t>
      </w:r>
      <w:r>
        <w:tab/>
      </w:r>
      <w:r w:rsidR="00A40E92" w:rsidRPr="009B59F0">
        <w:rPr>
          <w:iCs/>
        </w:rPr>
        <w:t xml:space="preserve">The lower 2026-27 target predominantly reflects the funding profile of </w:t>
      </w:r>
      <w:r w:rsidR="00A40E92" w:rsidRPr="00701ED8">
        <w:rPr>
          <w:iCs/>
        </w:rPr>
        <w:t>the Energy Innovation Fund initiative </w:t>
      </w:r>
      <w:r w:rsidR="00A40E92" w:rsidRPr="009B59F0">
        <w:rPr>
          <w:iCs/>
        </w:rPr>
        <w:t xml:space="preserve">and the </w:t>
      </w:r>
      <w:r w:rsidR="00A40E92" w:rsidRPr="003335CE">
        <w:rPr>
          <w:iCs/>
        </w:rPr>
        <w:t>cessation of the Commonwealth Energy Bill Relief Fund</w:t>
      </w:r>
      <w:r w:rsidR="00A40E92">
        <w:rPr>
          <w:iCs/>
        </w:rPr>
        <w:t xml:space="preserve">. </w:t>
      </w:r>
    </w:p>
    <w:p w14:paraId="15798756" w14:textId="6A33A251" w:rsidR="00A40E92" w:rsidRPr="00C30A68" w:rsidRDefault="00F9193E" w:rsidP="00F9193E">
      <w:pPr>
        <w:pStyle w:val="Note"/>
      </w:pPr>
      <w:r>
        <w:t>(f)</w:t>
      </w:r>
      <w:r>
        <w:tab/>
      </w:r>
      <w:r w:rsidR="00A40E92" w:rsidRPr="00C30A68">
        <w:t xml:space="preserve">The lower 2026-27 target predominantly reflects the anticipated demand for rebates and reflects the funding profile of the Solar Homes initiative. </w:t>
      </w:r>
    </w:p>
    <w:p w14:paraId="7249A9CF" w14:textId="00B87B2E" w:rsidR="00A40E92" w:rsidRPr="00532D1B" w:rsidRDefault="00F9193E" w:rsidP="00F9193E">
      <w:pPr>
        <w:pStyle w:val="Note"/>
      </w:pPr>
      <w:r>
        <w:t>(g)</w:t>
      </w:r>
      <w:r>
        <w:tab/>
      </w:r>
      <w:r w:rsidR="00A40E92" w:rsidRPr="00532D1B">
        <w:t>The higher 2026-27 target predominantly reflects additional funding allocations from the Melbourne Strategic Assessment Trust Account.</w:t>
      </w:r>
    </w:p>
    <w:p w14:paraId="0F04538D" w14:textId="2C8778D9" w:rsidR="00A40E92" w:rsidRPr="00532D1B" w:rsidRDefault="00F9193E" w:rsidP="00F9193E">
      <w:pPr>
        <w:pStyle w:val="Note"/>
      </w:pPr>
      <w:r>
        <w:t>(h)</w:t>
      </w:r>
      <w:r>
        <w:tab/>
      </w:r>
      <w:r w:rsidR="00A40E92" w:rsidRPr="00532D1B">
        <w:t xml:space="preserve">The higher 2026-27 target predominantly reflects the higher revenue from the tripartite agreements between the </w:t>
      </w:r>
      <w:r w:rsidR="00A71CF2">
        <w:t>D</w:t>
      </w:r>
      <w:r w:rsidR="00A40E92" w:rsidRPr="00532D1B">
        <w:t>epartment, local councils and waste management</w:t>
      </w:r>
      <w:r w:rsidR="00A40E92">
        <w:t xml:space="preserve"> </w:t>
      </w:r>
      <w:r w:rsidR="00A40E92" w:rsidRPr="00532D1B">
        <w:t>contractors</w:t>
      </w:r>
      <w:r w:rsidR="00A71CF2">
        <w:t>,</w:t>
      </w:r>
      <w:r w:rsidR="00A40E92" w:rsidRPr="00532D1B">
        <w:t xml:space="preserve"> as a result of higher amount</w:t>
      </w:r>
      <w:r w:rsidR="00A40E92">
        <w:t>s</w:t>
      </w:r>
      <w:r w:rsidR="00A40E92" w:rsidRPr="00532D1B">
        <w:t xml:space="preserve"> of organic waste generated across Victoria. The expected outcome is also higher due to additional funding allocated from the Sustainability Fund for the recycling system.</w:t>
      </w:r>
    </w:p>
    <w:p w14:paraId="34060AAF" w14:textId="0E954F47" w:rsidR="00A40E92" w:rsidRPr="00532D1B" w:rsidRDefault="00F9193E" w:rsidP="00F9193E">
      <w:pPr>
        <w:pStyle w:val="Note"/>
      </w:pPr>
      <w:r>
        <w:t>(</w:t>
      </w:r>
      <w:r w:rsidR="00092463">
        <w:t>i</w:t>
      </w:r>
      <w:r>
        <w:t>)</w:t>
      </w:r>
      <w:r>
        <w:tab/>
      </w:r>
      <w:r w:rsidR="00A40E92" w:rsidRPr="00532D1B">
        <w:t xml:space="preserve">The higher 2026-27 target predominantly reflects adjusted funding amounts related to additional funding provided from the Parks and Reserves Trust fund (including to the Suburban Parks initiative), State funding announced as part of the </w:t>
      </w:r>
      <w:r w:rsidR="00A40E92" w:rsidRPr="00F9193E">
        <w:t>2026-27 Budget</w:t>
      </w:r>
      <w:r w:rsidR="00A40E92" w:rsidRPr="00532D1B">
        <w:t xml:space="preserve"> for the </w:t>
      </w:r>
      <w:r w:rsidR="00D16A42">
        <w:t>Zoos Victoria Kids Go Free</w:t>
      </w:r>
      <w:r w:rsidR="00A40E92" w:rsidRPr="00532D1B">
        <w:t xml:space="preserve"> initiative, as well as release from contingency funding for the Forestry Contractor Strategy initiative.</w:t>
      </w:r>
    </w:p>
    <w:p w14:paraId="66D4B9D5" w14:textId="110F03C1" w:rsidR="00A40E92" w:rsidRPr="00C30A68" w:rsidRDefault="00F9193E" w:rsidP="00F9193E">
      <w:pPr>
        <w:pStyle w:val="Note"/>
      </w:pPr>
      <w:r>
        <w:t>(</w:t>
      </w:r>
      <w:r w:rsidR="00092463">
        <w:t>j</w:t>
      </w:r>
      <w:r>
        <w:t>)</w:t>
      </w:r>
      <w:r>
        <w:tab/>
      </w:r>
      <w:r w:rsidR="00A40E92">
        <w:t>This output was formerly named Effective Water Management and Supply.</w:t>
      </w:r>
    </w:p>
    <w:p w14:paraId="310BCB10" w14:textId="77777777" w:rsidR="00E43429" w:rsidRDefault="00E43429">
      <w:pPr>
        <w:keepLines w:val="0"/>
        <w:rPr>
          <w:rFonts w:asciiTheme="majorHAnsi" w:eastAsia="Times New Roman" w:hAnsiTheme="majorHAnsi" w:cstheme="majorBidi"/>
          <w:b/>
          <w:sz w:val="27"/>
          <w:szCs w:val="26"/>
        </w:rPr>
      </w:pPr>
      <w:r>
        <w:rPr>
          <w:rFonts w:eastAsia="Times New Roman"/>
        </w:rPr>
        <w:br w:type="page"/>
      </w:r>
    </w:p>
    <w:p w14:paraId="7A666B56" w14:textId="77777777" w:rsidR="00E3088D" w:rsidRPr="00D27E59" w:rsidRDefault="00E3088D" w:rsidP="00E3088D">
      <w:pPr>
        <w:pStyle w:val="Heading2"/>
        <w:rPr>
          <w:rFonts w:ascii="Calibri" w:eastAsia="Times New Roman" w:hAnsi="Calibri" w:cs="Times New Roman"/>
          <w:spacing w:val="-2"/>
          <w:sz w:val="26"/>
        </w:rPr>
      </w:pPr>
      <w:r w:rsidRPr="00D27E59">
        <w:rPr>
          <w:rFonts w:eastAsia="Times New Roman"/>
        </w:rPr>
        <w:lastRenderedPageBreak/>
        <w:t>Amounts available</w:t>
      </w:r>
    </w:p>
    <w:p w14:paraId="4630AF56" w14:textId="5CA9DFED" w:rsidR="00E3088D" w:rsidRPr="00D27E59" w:rsidRDefault="00E3088D" w:rsidP="00E3088D">
      <w:pPr>
        <w:rPr>
          <w:rFonts w:ascii="Garamond" w:eastAsia="Garamond" w:hAnsi="Garamond"/>
        </w:rPr>
      </w:pPr>
      <w:r w:rsidRPr="00D27E59">
        <w:rPr>
          <w:rFonts w:ascii="Garamond" w:eastAsia="Garamond" w:hAnsi="Garamond"/>
        </w:rPr>
        <w:t xml:space="preserve">The following tables detail the amounts available to the </w:t>
      </w:r>
      <w:r w:rsidR="004658BF" w:rsidRPr="00D27E59">
        <w:rPr>
          <w:rFonts w:ascii="Garamond" w:eastAsia="Garamond" w:hAnsi="Garamond"/>
        </w:rPr>
        <w:t>Department</w:t>
      </w:r>
      <w:r w:rsidRPr="00D27E59">
        <w:rPr>
          <w:rFonts w:ascii="Garamond" w:eastAsia="Garamond" w:hAnsi="Garamond"/>
        </w:rPr>
        <w:t xml:space="preserve"> from parliamentary authority and income generated through transactions.</w:t>
      </w:r>
    </w:p>
    <w:p w14:paraId="54C36210" w14:textId="223387E0" w:rsidR="00E3088D" w:rsidRDefault="00E3088D" w:rsidP="00E3088D">
      <w:pPr>
        <w:rPr>
          <w:rFonts w:ascii="Garamond" w:eastAsia="Garamond" w:hAnsi="Garamond"/>
        </w:rPr>
      </w:pPr>
      <w:r w:rsidRPr="56633658">
        <w:rPr>
          <w:rFonts w:ascii="Garamond" w:eastAsia="Garamond" w:hAnsi="Garamond"/>
        </w:rPr>
        <w:t xml:space="preserve">Table </w:t>
      </w:r>
      <w:r w:rsidR="00590BDF">
        <w:rPr>
          <w:rFonts w:ascii="Garamond" w:eastAsia="Garamond" w:hAnsi="Garamond"/>
        </w:rPr>
        <w:t>5</w:t>
      </w:r>
      <w:r w:rsidRPr="56633658">
        <w:rPr>
          <w:rFonts w:ascii="Garamond" w:eastAsia="Garamond" w:hAnsi="Garamond"/>
        </w:rPr>
        <w:t xml:space="preserve"> outlines the </w:t>
      </w:r>
      <w:r w:rsidR="004658BF" w:rsidRPr="56633658">
        <w:rPr>
          <w:rFonts w:ascii="Garamond" w:eastAsia="Garamond" w:hAnsi="Garamond"/>
        </w:rPr>
        <w:t>Department</w:t>
      </w:r>
      <w:r w:rsidR="004658BF">
        <w:rPr>
          <w:rFonts w:ascii="Garamond" w:eastAsia="Garamond" w:hAnsi="Garamond"/>
        </w:rPr>
        <w:t>’</w:t>
      </w:r>
      <w:r w:rsidR="004658BF" w:rsidRPr="56633658">
        <w:rPr>
          <w:rFonts w:ascii="Garamond" w:eastAsia="Garamond" w:hAnsi="Garamond"/>
        </w:rPr>
        <w:t>s</w:t>
      </w:r>
      <w:r w:rsidRPr="56633658">
        <w:rPr>
          <w:rFonts w:ascii="Garamond" w:eastAsia="Garamond" w:hAnsi="Garamond"/>
        </w:rPr>
        <w:t xml:space="preserve"> income from transactions and Table </w:t>
      </w:r>
      <w:r w:rsidR="00590BDF">
        <w:rPr>
          <w:rFonts w:ascii="Garamond" w:eastAsia="Garamond" w:hAnsi="Garamond"/>
        </w:rPr>
        <w:t>6</w:t>
      </w:r>
      <w:r w:rsidRPr="56633658">
        <w:rPr>
          <w:rFonts w:ascii="Garamond" w:eastAsia="Garamond" w:hAnsi="Garamond"/>
        </w:rPr>
        <w:t xml:space="preserve"> summarises the sources of parliamentary authority available to the </w:t>
      </w:r>
      <w:r w:rsidR="004658BF" w:rsidRPr="56633658">
        <w:rPr>
          <w:rFonts w:ascii="Garamond" w:eastAsia="Garamond" w:hAnsi="Garamond"/>
        </w:rPr>
        <w:t>Department</w:t>
      </w:r>
      <w:r w:rsidRPr="56633658">
        <w:rPr>
          <w:rFonts w:ascii="Garamond" w:eastAsia="Garamond" w:hAnsi="Garamond"/>
        </w:rPr>
        <w:t xml:space="preserve"> to fund the provision of outputs, additions to the net asset base and payments made on behalf of the </w:t>
      </w:r>
      <w:r w:rsidR="00940B90">
        <w:rPr>
          <w:rFonts w:ascii="Garamond" w:eastAsia="Garamond" w:hAnsi="Garamond"/>
        </w:rPr>
        <w:t>S</w:t>
      </w:r>
      <w:r w:rsidRPr="56633658">
        <w:rPr>
          <w:rFonts w:ascii="Garamond" w:eastAsia="Garamond" w:hAnsi="Garamond"/>
        </w:rPr>
        <w:t xml:space="preserve">tate, and other sources expected to become available to the </w:t>
      </w:r>
      <w:r w:rsidR="004658BF" w:rsidRPr="56633658">
        <w:rPr>
          <w:rFonts w:ascii="Garamond" w:eastAsia="Garamond" w:hAnsi="Garamond"/>
        </w:rPr>
        <w:t>Department</w:t>
      </w:r>
      <w:r w:rsidRPr="56633658">
        <w:rPr>
          <w:rFonts w:ascii="Garamond" w:eastAsia="Garamond" w:hAnsi="Garamond"/>
        </w:rPr>
        <w:t>.</w:t>
      </w:r>
    </w:p>
    <w:p w14:paraId="2E6E826D" w14:textId="2535DB13" w:rsidR="0077627C" w:rsidRDefault="0077627C" w:rsidP="0077627C">
      <w:pPr>
        <w:pStyle w:val="TableHeading"/>
      </w:pPr>
      <w:r w:rsidRPr="005A362B">
        <w:t xml:space="preserve">Table </w:t>
      </w:r>
      <w:r>
        <w:t>5</w:t>
      </w:r>
      <w:r w:rsidRPr="005A362B">
        <w:t>:</w:t>
      </w:r>
      <w:r>
        <w:tab/>
      </w:r>
      <w:r w:rsidRPr="005A362B">
        <w:t xml:space="preserve">Income from transactions </w:t>
      </w:r>
      <w:r w:rsidRPr="005A362B">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CB136A" w14:paraId="6030B2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CF02A" w14:textId="77777777" w:rsidR="00CB136A" w:rsidRDefault="00CB136A"/>
        </w:tc>
        <w:tc>
          <w:tcPr>
            <w:tcW w:w="851" w:type="dxa"/>
          </w:tcPr>
          <w:p w14:paraId="7B9657B7" w14:textId="77777777" w:rsidR="00CB136A" w:rsidRDefault="00CB136A">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51B00D3A" w14:textId="77777777" w:rsidR="00CB136A" w:rsidRDefault="00CB136A">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69F84CC0" w14:textId="77777777" w:rsidR="00CB136A" w:rsidRDefault="00CB136A">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75A5440E" w14:textId="77777777" w:rsidR="00CB136A" w:rsidRDefault="00CB136A">
            <w:pPr>
              <w:cnfStyle w:val="100000000000" w:firstRow="1" w:lastRow="0" w:firstColumn="0" w:lastColumn="0" w:oddVBand="0" w:evenVBand="0" w:oddHBand="0" w:evenHBand="0" w:firstRowFirstColumn="0" w:firstRowLastColumn="0" w:lastRowFirstColumn="0" w:lastRowLastColumn="0"/>
            </w:pPr>
            <w:r>
              <w:t>2026-27 budget</w:t>
            </w:r>
          </w:p>
        </w:tc>
      </w:tr>
      <w:tr w:rsidR="00CB136A" w:rsidRPr="00E54D3F" w14:paraId="62B34115"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74C8F27" w14:textId="77777777" w:rsidR="00CB136A" w:rsidRPr="00E54D3F" w:rsidRDefault="00CB136A">
            <w:pPr>
              <w:rPr>
                <w:lang w:eastAsia="en-AU"/>
              </w:rPr>
            </w:pPr>
            <w:r w:rsidRPr="00E54D3F">
              <w:rPr>
                <w:lang w:eastAsia="en-AU"/>
              </w:rPr>
              <w:t>Output appropriations</w:t>
            </w:r>
          </w:p>
        </w:tc>
        <w:tc>
          <w:tcPr>
            <w:tcW w:w="851" w:type="dxa"/>
            <w:noWrap/>
            <w:hideMark/>
          </w:tcPr>
          <w:p w14:paraId="5F1CA455"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2 338.9</w:t>
            </w:r>
          </w:p>
        </w:tc>
        <w:tc>
          <w:tcPr>
            <w:tcW w:w="851" w:type="dxa"/>
            <w:noWrap/>
            <w:hideMark/>
          </w:tcPr>
          <w:p w14:paraId="68D9308F"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1 654.0</w:t>
            </w:r>
          </w:p>
        </w:tc>
        <w:tc>
          <w:tcPr>
            <w:tcW w:w="851" w:type="dxa"/>
            <w:noWrap/>
            <w:hideMark/>
          </w:tcPr>
          <w:p w14:paraId="6F28DC6D"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2 199.0</w:t>
            </w:r>
          </w:p>
        </w:tc>
        <w:tc>
          <w:tcPr>
            <w:tcW w:w="851" w:type="dxa"/>
            <w:noWrap/>
            <w:hideMark/>
          </w:tcPr>
          <w:p w14:paraId="0D9D32D1"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1 670.8</w:t>
            </w:r>
          </w:p>
        </w:tc>
      </w:tr>
      <w:tr w:rsidR="00CB136A" w:rsidRPr="00E54D3F" w14:paraId="117A7DC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1D4B592" w14:textId="77777777" w:rsidR="00CB136A" w:rsidRPr="00E54D3F" w:rsidRDefault="00CB136A">
            <w:pPr>
              <w:rPr>
                <w:lang w:eastAsia="en-AU"/>
              </w:rPr>
            </w:pPr>
            <w:r w:rsidRPr="00E54D3F">
              <w:rPr>
                <w:lang w:eastAsia="en-AU"/>
              </w:rPr>
              <w:t>Special appropriations</w:t>
            </w:r>
          </w:p>
        </w:tc>
        <w:tc>
          <w:tcPr>
            <w:tcW w:w="851" w:type="dxa"/>
            <w:noWrap/>
            <w:hideMark/>
          </w:tcPr>
          <w:p w14:paraId="28466DF1"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4.4</w:t>
            </w:r>
          </w:p>
        </w:tc>
        <w:tc>
          <w:tcPr>
            <w:tcW w:w="851" w:type="dxa"/>
            <w:noWrap/>
            <w:hideMark/>
          </w:tcPr>
          <w:p w14:paraId="30F49077"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noWrap/>
            <w:hideMark/>
          </w:tcPr>
          <w:p w14:paraId="3156FDDF"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5.4</w:t>
            </w:r>
          </w:p>
        </w:tc>
        <w:tc>
          <w:tcPr>
            <w:tcW w:w="851" w:type="dxa"/>
            <w:noWrap/>
            <w:hideMark/>
          </w:tcPr>
          <w:p w14:paraId="71562947"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2.0</w:t>
            </w:r>
          </w:p>
        </w:tc>
      </w:tr>
      <w:tr w:rsidR="00CB136A" w:rsidRPr="00E54D3F" w14:paraId="7AD244E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33743C9" w14:textId="77777777" w:rsidR="00CB136A" w:rsidRPr="00E54D3F" w:rsidRDefault="00CB136A">
            <w:pPr>
              <w:rPr>
                <w:lang w:eastAsia="en-AU"/>
              </w:rPr>
            </w:pPr>
            <w:r w:rsidRPr="00E54D3F">
              <w:rPr>
                <w:lang w:eastAsia="en-AU"/>
              </w:rPr>
              <w:t>Interest</w:t>
            </w:r>
          </w:p>
        </w:tc>
        <w:tc>
          <w:tcPr>
            <w:tcW w:w="851" w:type="dxa"/>
            <w:noWrap/>
            <w:hideMark/>
          </w:tcPr>
          <w:p w14:paraId="1A30345D"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41.3</w:t>
            </w:r>
          </w:p>
        </w:tc>
        <w:tc>
          <w:tcPr>
            <w:tcW w:w="851" w:type="dxa"/>
            <w:noWrap/>
            <w:hideMark/>
          </w:tcPr>
          <w:p w14:paraId="46558C0E"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49.3</w:t>
            </w:r>
          </w:p>
        </w:tc>
        <w:tc>
          <w:tcPr>
            <w:tcW w:w="851" w:type="dxa"/>
            <w:noWrap/>
            <w:hideMark/>
          </w:tcPr>
          <w:p w14:paraId="5AEADEBC"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49.3</w:t>
            </w:r>
          </w:p>
        </w:tc>
        <w:tc>
          <w:tcPr>
            <w:tcW w:w="851" w:type="dxa"/>
            <w:noWrap/>
            <w:hideMark/>
          </w:tcPr>
          <w:p w14:paraId="7F6FB07A"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48.5</w:t>
            </w:r>
          </w:p>
        </w:tc>
      </w:tr>
      <w:tr w:rsidR="00CB136A" w:rsidRPr="00E54D3F" w14:paraId="7C382E2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98903" w14:textId="77777777" w:rsidR="00CB136A" w:rsidRPr="00E54D3F" w:rsidRDefault="00CB136A">
            <w:pPr>
              <w:rPr>
                <w:lang w:eastAsia="en-AU"/>
              </w:rPr>
            </w:pPr>
            <w:r w:rsidRPr="00E54D3F">
              <w:rPr>
                <w:lang w:eastAsia="en-AU"/>
              </w:rPr>
              <w:t>Sales of goods and services</w:t>
            </w:r>
          </w:p>
        </w:tc>
        <w:tc>
          <w:tcPr>
            <w:tcW w:w="851" w:type="dxa"/>
            <w:noWrap/>
            <w:hideMark/>
          </w:tcPr>
          <w:p w14:paraId="55FA1C1E"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157.9</w:t>
            </w:r>
          </w:p>
        </w:tc>
        <w:tc>
          <w:tcPr>
            <w:tcW w:w="851" w:type="dxa"/>
            <w:noWrap/>
            <w:hideMark/>
          </w:tcPr>
          <w:p w14:paraId="7715979E"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130.8</w:t>
            </w:r>
          </w:p>
        </w:tc>
        <w:tc>
          <w:tcPr>
            <w:tcW w:w="851" w:type="dxa"/>
            <w:noWrap/>
            <w:hideMark/>
          </w:tcPr>
          <w:p w14:paraId="126677BF"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206.9</w:t>
            </w:r>
          </w:p>
        </w:tc>
        <w:tc>
          <w:tcPr>
            <w:tcW w:w="851" w:type="dxa"/>
            <w:noWrap/>
            <w:hideMark/>
          </w:tcPr>
          <w:p w14:paraId="000C8ADF"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174.0</w:t>
            </w:r>
          </w:p>
        </w:tc>
      </w:tr>
      <w:tr w:rsidR="00CB136A" w:rsidRPr="00E54D3F" w14:paraId="10C5F324"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24E8CC5" w14:textId="77777777" w:rsidR="00CB136A" w:rsidRPr="00E54D3F" w:rsidRDefault="00CB136A">
            <w:pPr>
              <w:rPr>
                <w:lang w:eastAsia="en-AU"/>
              </w:rPr>
            </w:pPr>
            <w:r w:rsidRPr="00E54D3F">
              <w:rPr>
                <w:lang w:eastAsia="en-AU"/>
              </w:rPr>
              <w:t>Grants</w:t>
            </w:r>
          </w:p>
        </w:tc>
        <w:tc>
          <w:tcPr>
            <w:tcW w:w="851" w:type="dxa"/>
            <w:noWrap/>
            <w:hideMark/>
          </w:tcPr>
          <w:p w14:paraId="6A7B2E84"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37.3</w:t>
            </w:r>
          </w:p>
        </w:tc>
        <w:tc>
          <w:tcPr>
            <w:tcW w:w="851" w:type="dxa"/>
            <w:noWrap/>
            <w:hideMark/>
          </w:tcPr>
          <w:p w14:paraId="12B46CB3"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32.9</w:t>
            </w:r>
          </w:p>
        </w:tc>
        <w:tc>
          <w:tcPr>
            <w:tcW w:w="851" w:type="dxa"/>
            <w:noWrap/>
            <w:hideMark/>
          </w:tcPr>
          <w:p w14:paraId="2EBAD456"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62.1</w:t>
            </w:r>
          </w:p>
        </w:tc>
        <w:tc>
          <w:tcPr>
            <w:tcW w:w="851" w:type="dxa"/>
            <w:noWrap/>
            <w:hideMark/>
          </w:tcPr>
          <w:p w14:paraId="5070C1C1"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32.4</w:t>
            </w:r>
          </w:p>
        </w:tc>
      </w:tr>
      <w:tr w:rsidR="00CB136A" w:rsidRPr="00E54D3F" w14:paraId="49D2937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50D6062" w14:textId="77777777" w:rsidR="00CB136A" w:rsidRPr="00E54D3F" w:rsidRDefault="00CB136A">
            <w:pPr>
              <w:rPr>
                <w:lang w:eastAsia="en-AU"/>
              </w:rPr>
            </w:pPr>
            <w:r w:rsidRPr="00E54D3F">
              <w:rPr>
                <w:lang w:eastAsia="en-AU"/>
              </w:rPr>
              <w:t>Fair value of assets and services received free of charge or for nominal consideration</w:t>
            </w:r>
          </w:p>
        </w:tc>
        <w:tc>
          <w:tcPr>
            <w:tcW w:w="851" w:type="dxa"/>
            <w:noWrap/>
            <w:hideMark/>
          </w:tcPr>
          <w:p w14:paraId="3D373AD6"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4.0</w:t>
            </w:r>
          </w:p>
        </w:tc>
        <w:tc>
          <w:tcPr>
            <w:tcW w:w="851" w:type="dxa"/>
            <w:noWrap/>
            <w:hideMark/>
          </w:tcPr>
          <w:p w14:paraId="0AD8F62B"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20.3</w:t>
            </w:r>
          </w:p>
        </w:tc>
        <w:tc>
          <w:tcPr>
            <w:tcW w:w="851" w:type="dxa"/>
            <w:noWrap/>
            <w:hideMark/>
          </w:tcPr>
          <w:p w14:paraId="40687B9B"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20.3</w:t>
            </w:r>
          </w:p>
        </w:tc>
        <w:tc>
          <w:tcPr>
            <w:tcW w:w="851" w:type="dxa"/>
            <w:noWrap/>
            <w:hideMark/>
          </w:tcPr>
          <w:p w14:paraId="035AB4B1"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20.4</w:t>
            </w:r>
          </w:p>
        </w:tc>
      </w:tr>
      <w:tr w:rsidR="00CB136A" w:rsidRPr="00E54D3F" w14:paraId="11565F26" w14:textId="77777777" w:rsidTr="00E43429">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2E6EFED0" w14:textId="77777777" w:rsidR="00CB136A" w:rsidRPr="00E54D3F" w:rsidRDefault="00CB136A">
            <w:pPr>
              <w:rPr>
                <w:lang w:eastAsia="en-AU"/>
              </w:rPr>
            </w:pPr>
            <w:r w:rsidRPr="00E54D3F">
              <w:rPr>
                <w:lang w:eastAsia="en-AU"/>
              </w:rPr>
              <w:t>Other income</w:t>
            </w:r>
          </w:p>
        </w:tc>
        <w:tc>
          <w:tcPr>
            <w:tcW w:w="851" w:type="dxa"/>
            <w:tcBorders>
              <w:bottom w:val="single" w:sz="6" w:space="0" w:color="auto"/>
            </w:tcBorders>
            <w:noWrap/>
            <w:hideMark/>
          </w:tcPr>
          <w:p w14:paraId="73324435"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672.2</w:t>
            </w:r>
          </w:p>
        </w:tc>
        <w:tc>
          <w:tcPr>
            <w:tcW w:w="851" w:type="dxa"/>
            <w:tcBorders>
              <w:bottom w:val="single" w:sz="6" w:space="0" w:color="auto"/>
            </w:tcBorders>
            <w:noWrap/>
            <w:hideMark/>
          </w:tcPr>
          <w:p w14:paraId="6A6F8C81"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822.4</w:t>
            </w:r>
          </w:p>
        </w:tc>
        <w:tc>
          <w:tcPr>
            <w:tcW w:w="851" w:type="dxa"/>
            <w:tcBorders>
              <w:bottom w:val="single" w:sz="6" w:space="0" w:color="auto"/>
            </w:tcBorders>
            <w:noWrap/>
            <w:hideMark/>
          </w:tcPr>
          <w:p w14:paraId="546E1664"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816.6</w:t>
            </w:r>
          </w:p>
        </w:tc>
        <w:tc>
          <w:tcPr>
            <w:tcW w:w="851" w:type="dxa"/>
            <w:tcBorders>
              <w:bottom w:val="single" w:sz="6" w:space="0" w:color="auto"/>
            </w:tcBorders>
            <w:noWrap/>
            <w:hideMark/>
          </w:tcPr>
          <w:p w14:paraId="1E5DD8E4" w14:textId="77777777" w:rsidR="00CB136A" w:rsidRPr="00E54D3F" w:rsidRDefault="00CB136A">
            <w:pPr>
              <w:cnfStyle w:val="000000000000" w:firstRow="0" w:lastRow="0" w:firstColumn="0" w:lastColumn="0" w:oddVBand="0" w:evenVBand="0" w:oddHBand="0" w:evenHBand="0" w:firstRowFirstColumn="0" w:firstRowLastColumn="0" w:lastRowFirstColumn="0" w:lastRowLastColumn="0"/>
              <w:rPr>
                <w:lang w:eastAsia="en-AU"/>
              </w:rPr>
            </w:pPr>
            <w:r w:rsidRPr="00E54D3F">
              <w:rPr>
                <w:lang w:eastAsia="en-AU"/>
              </w:rPr>
              <w:t>876.5</w:t>
            </w:r>
          </w:p>
        </w:tc>
      </w:tr>
      <w:tr w:rsidR="00CB136A" w:rsidRPr="00E54D3F" w14:paraId="1A071BBE" w14:textId="77777777" w:rsidTr="00E4342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98CF0BF" w14:textId="77777777" w:rsidR="00CB136A" w:rsidRPr="00E54D3F" w:rsidRDefault="00CB136A">
            <w:pPr>
              <w:rPr>
                <w:lang w:eastAsia="en-AU"/>
              </w:rPr>
            </w:pPr>
            <w:r w:rsidRPr="00E54D3F">
              <w:rPr>
                <w:lang w:eastAsia="en-AU"/>
              </w:rPr>
              <w:t>Total income from transactions</w:t>
            </w:r>
          </w:p>
        </w:tc>
        <w:tc>
          <w:tcPr>
            <w:tcW w:w="851" w:type="dxa"/>
            <w:noWrap/>
            <w:hideMark/>
          </w:tcPr>
          <w:p w14:paraId="6EFCB536" w14:textId="080FB5FE" w:rsidR="00CB136A" w:rsidRPr="00E54D3F" w:rsidRDefault="00CB136A">
            <w:pPr>
              <w:cnfStyle w:val="010000000000" w:firstRow="0" w:lastRow="1" w:firstColumn="0" w:lastColumn="0" w:oddVBand="0" w:evenVBand="0" w:oddHBand="0" w:evenHBand="0" w:firstRowFirstColumn="0" w:firstRowLastColumn="0" w:lastRowFirstColumn="0" w:lastRowLastColumn="0"/>
              <w:rPr>
                <w:lang w:eastAsia="en-AU"/>
              </w:rPr>
            </w:pPr>
            <w:r w:rsidRPr="00E54D3F">
              <w:rPr>
                <w:lang w:eastAsia="en-AU"/>
              </w:rPr>
              <w:t>3 256.1</w:t>
            </w:r>
          </w:p>
        </w:tc>
        <w:tc>
          <w:tcPr>
            <w:tcW w:w="851" w:type="dxa"/>
            <w:noWrap/>
            <w:hideMark/>
          </w:tcPr>
          <w:p w14:paraId="6FC0D30C" w14:textId="5DC5918F" w:rsidR="00CB136A" w:rsidRPr="00E54D3F" w:rsidRDefault="00CB136A">
            <w:pPr>
              <w:cnfStyle w:val="010000000000" w:firstRow="0" w:lastRow="1" w:firstColumn="0" w:lastColumn="0" w:oddVBand="0" w:evenVBand="0" w:oddHBand="0" w:evenHBand="0" w:firstRowFirstColumn="0" w:firstRowLastColumn="0" w:lastRowFirstColumn="0" w:lastRowLastColumn="0"/>
              <w:rPr>
                <w:lang w:eastAsia="en-AU"/>
              </w:rPr>
            </w:pPr>
            <w:r w:rsidRPr="00E54D3F">
              <w:rPr>
                <w:lang w:eastAsia="en-AU"/>
              </w:rPr>
              <w:t>2 709.8</w:t>
            </w:r>
          </w:p>
        </w:tc>
        <w:tc>
          <w:tcPr>
            <w:tcW w:w="851" w:type="dxa"/>
            <w:noWrap/>
            <w:hideMark/>
          </w:tcPr>
          <w:p w14:paraId="536D6C11" w14:textId="7F6E154E" w:rsidR="00CB136A" w:rsidRPr="00E54D3F" w:rsidRDefault="00CB136A">
            <w:pPr>
              <w:cnfStyle w:val="010000000000" w:firstRow="0" w:lastRow="1" w:firstColumn="0" w:lastColumn="0" w:oddVBand="0" w:evenVBand="0" w:oddHBand="0" w:evenHBand="0" w:firstRowFirstColumn="0" w:firstRowLastColumn="0" w:lastRowFirstColumn="0" w:lastRowLastColumn="0"/>
              <w:rPr>
                <w:lang w:eastAsia="en-AU"/>
              </w:rPr>
            </w:pPr>
            <w:r w:rsidRPr="00E54D3F">
              <w:rPr>
                <w:lang w:eastAsia="en-AU"/>
              </w:rPr>
              <w:t>3 359.5</w:t>
            </w:r>
          </w:p>
        </w:tc>
        <w:tc>
          <w:tcPr>
            <w:tcW w:w="851" w:type="dxa"/>
            <w:noWrap/>
            <w:hideMark/>
          </w:tcPr>
          <w:p w14:paraId="27D7B9FE" w14:textId="77777777" w:rsidR="00CB136A" w:rsidRPr="00E54D3F" w:rsidRDefault="00CB136A">
            <w:pPr>
              <w:cnfStyle w:val="010000000000" w:firstRow="0" w:lastRow="1" w:firstColumn="0" w:lastColumn="0" w:oddVBand="0" w:evenVBand="0" w:oddHBand="0" w:evenHBand="0" w:firstRowFirstColumn="0" w:firstRowLastColumn="0" w:lastRowFirstColumn="0" w:lastRowLastColumn="0"/>
              <w:rPr>
                <w:lang w:eastAsia="en-AU"/>
              </w:rPr>
            </w:pPr>
            <w:r w:rsidRPr="00E54D3F">
              <w:rPr>
                <w:lang w:eastAsia="en-AU"/>
              </w:rPr>
              <w:t>2 824.6</w:t>
            </w:r>
          </w:p>
        </w:tc>
      </w:tr>
    </w:tbl>
    <w:p w14:paraId="69D6F6EB" w14:textId="24AFF7EA" w:rsidR="0077627C" w:rsidRPr="0077627C" w:rsidRDefault="00CB136A" w:rsidP="00CB136A">
      <w:pPr>
        <w:pStyle w:val="Source"/>
      </w:pPr>
      <w:r>
        <w:t>Source: Department of Energy, Environment and Climate Action</w:t>
      </w:r>
    </w:p>
    <w:p w14:paraId="5C6012CD" w14:textId="77777777" w:rsidR="00F9193E" w:rsidRPr="0077627C" w:rsidRDefault="00F9193E" w:rsidP="00C4773E"/>
    <w:p w14:paraId="608E52F5" w14:textId="1E221E01" w:rsidR="0077627C" w:rsidRPr="00E52A0F" w:rsidRDefault="0077627C" w:rsidP="0077627C">
      <w:pPr>
        <w:pStyle w:val="TableHeading"/>
      </w:pPr>
      <w:r w:rsidRPr="00772055">
        <w:rPr>
          <w:color w:val="000000" w:themeColor="text1"/>
        </w:rPr>
        <w:t xml:space="preserve">Table </w:t>
      </w:r>
      <w:r>
        <w:rPr>
          <w:color w:val="000000" w:themeColor="text1"/>
        </w:rPr>
        <w:t>6</w:t>
      </w:r>
      <w:r w:rsidRPr="00772055">
        <w:t>:</w:t>
      </w:r>
      <w:r>
        <w:rPr>
          <w:bCs/>
        </w:rPr>
        <w:tab/>
      </w:r>
      <w:r w:rsidRPr="00772055">
        <w:t>Parliamentary authority for resources</w:t>
      </w:r>
      <w:r w:rsidRPr="00772055">
        <w:tab/>
        <w:t>($ million)</w:t>
      </w:r>
    </w:p>
    <w:tbl>
      <w:tblPr>
        <w:tblStyle w:val="DTFTableNumeric"/>
        <w:tblW w:w="5000" w:type="pct"/>
        <w:tblLook w:val="06E0" w:firstRow="1" w:lastRow="1" w:firstColumn="1" w:lastColumn="0" w:noHBand="1" w:noVBand="1"/>
      </w:tblPr>
      <w:tblGrid>
        <w:gridCol w:w="6658"/>
        <w:gridCol w:w="991"/>
        <w:gridCol w:w="991"/>
        <w:gridCol w:w="991"/>
      </w:tblGrid>
      <w:tr w:rsidR="00751860" w:rsidRPr="00A245D0" w14:paraId="185BA2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4CDB8D" w14:textId="77777777" w:rsidR="00751860" w:rsidRPr="00A245D0" w:rsidRDefault="00751860"/>
        </w:tc>
        <w:tc>
          <w:tcPr>
            <w:tcW w:w="992" w:type="dxa"/>
          </w:tcPr>
          <w:p w14:paraId="758F85DD" w14:textId="77777777" w:rsidR="00751860" w:rsidRPr="00A245D0" w:rsidRDefault="00751860">
            <w:pPr>
              <w:cnfStyle w:val="100000000000" w:firstRow="1" w:lastRow="0" w:firstColumn="0" w:lastColumn="0" w:oddVBand="0" w:evenVBand="0" w:oddHBand="0" w:evenHBand="0" w:firstRowFirstColumn="0" w:firstRowLastColumn="0" w:lastRowFirstColumn="0" w:lastRowLastColumn="0"/>
            </w:pPr>
            <w:r w:rsidRPr="00A245D0">
              <w:t>2025-26 budget</w:t>
            </w:r>
          </w:p>
        </w:tc>
        <w:tc>
          <w:tcPr>
            <w:tcW w:w="992" w:type="dxa"/>
          </w:tcPr>
          <w:p w14:paraId="1E0F60BB" w14:textId="77777777" w:rsidR="00751860" w:rsidRPr="00A245D0" w:rsidRDefault="00751860">
            <w:pPr>
              <w:cnfStyle w:val="100000000000" w:firstRow="1" w:lastRow="0" w:firstColumn="0" w:lastColumn="0" w:oddVBand="0" w:evenVBand="0" w:oddHBand="0" w:evenHBand="0" w:firstRowFirstColumn="0" w:firstRowLastColumn="0" w:lastRowFirstColumn="0" w:lastRowLastColumn="0"/>
            </w:pPr>
            <w:r w:rsidRPr="00A245D0">
              <w:t>2025-26 revised</w:t>
            </w:r>
          </w:p>
        </w:tc>
        <w:tc>
          <w:tcPr>
            <w:tcW w:w="992" w:type="dxa"/>
          </w:tcPr>
          <w:p w14:paraId="4EFE99B5" w14:textId="77777777" w:rsidR="00751860" w:rsidRPr="00A245D0" w:rsidRDefault="00751860">
            <w:pPr>
              <w:cnfStyle w:val="100000000000" w:firstRow="1" w:lastRow="0" w:firstColumn="0" w:lastColumn="0" w:oddVBand="0" w:evenVBand="0" w:oddHBand="0" w:evenHBand="0" w:firstRowFirstColumn="0" w:firstRowLastColumn="0" w:lastRowFirstColumn="0" w:lastRowLastColumn="0"/>
            </w:pPr>
            <w:r w:rsidRPr="00A245D0">
              <w:t>2026-27 budget</w:t>
            </w:r>
          </w:p>
        </w:tc>
      </w:tr>
      <w:tr w:rsidR="00751860" w:rsidRPr="00A245D0" w14:paraId="0B35541F"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6E2CE2" w14:textId="77777777" w:rsidR="00751860" w:rsidRPr="00A245D0" w:rsidRDefault="00751860">
            <w:pPr>
              <w:rPr>
                <w:b/>
                <w:bCs/>
              </w:rPr>
            </w:pPr>
            <w:r w:rsidRPr="00A245D0">
              <w:rPr>
                <w:b/>
                <w:bCs/>
              </w:rPr>
              <w:t>Annual appropriations</w:t>
            </w:r>
          </w:p>
        </w:tc>
        <w:tc>
          <w:tcPr>
            <w:tcW w:w="992" w:type="dxa"/>
            <w:noWrap/>
            <w:hideMark/>
          </w:tcPr>
          <w:p w14:paraId="33BC8377"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2 408.0</w:t>
            </w:r>
          </w:p>
        </w:tc>
        <w:tc>
          <w:tcPr>
            <w:tcW w:w="992" w:type="dxa"/>
            <w:noWrap/>
            <w:hideMark/>
          </w:tcPr>
          <w:p w14:paraId="620C29E5"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3 324.4</w:t>
            </w:r>
          </w:p>
        </w:tc>
        <w:tc>
          <w:tcPr>
            <w:tcW w:w="992" w:type="dxa"/>
            <w:noWrap/>
            <w:hideMark/>
          </w:tcPr>
          <w:p w14:paraId="07B022D7" w14:textId="6028D3E3"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2 647.8</w:t>
            </w:r>
          </w:p>
        </w:tc>
      </w:tr>
      <w:tr w:rsidR="00751860" w:rsidRPr="00A245D0" w14:paraId="5A8B7FCC"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7E8DDB7" w14:textId="77777777" w:rsidR="00751860" w:rsidRPr="00A245D0" w:rsidRDefault="00751860">
            <w:r w:rsidRPr="00A245D0">
              <w:t>Provision of outputs</w:t>
            </w:r>
          </w:p>
        </w:tc>
        <w:tc>
          <w:tcPr>
            <w:tcW w:w="992" w:type="dxa"/>
            <w:noWrap/>
            <w:hideMark/>
          </w:tcPr>
          <w:p w14:paraId="5B8E6EA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1 499.5</w:t>
            </w:r>
          </w:p>
        </w:tc>
        <w:tc>
          <w:tcPr>
            <w:tcW w:w="992" w:type="dxa"/>
            <w:noWrap/>
            <w:hideMark/>
          </w:tcPr>
          <w:p w14:paraId="0237C6DA"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1 985.0</w:t>
            </w:r>
          </w:p>
        </w:tc>
        <w:tc>
          <w:tcPr>
            <w:tcW w:w="992" w:type="dxa"/>
            <w:noWrap/>
            <w:hideMark/>
          </w:tcPr>
          <w:p w14:paraId="30D445EE"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1 493.1</w:t>
            </w:r>
          </w:p>
        </w:tc>
      </w:tr>
      <w:tr w:rsidR="00751860" w:rsidRPr="00A245D0" w14:paraId="01CCFD6D"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B298C4" w14:textId="77777777" w:rsidR="00751860" w:rsidRPr="00A245D0" w:rsidRDefault="00751860">
            <w:r w:rsidRPr="00A245D0">
              <w:t>Additions to the net asset base</w:t>
            </w:r>
          </w:p>
        </w:tc>
        <w:tc>
          <w:tcPr>
            <w:tcW w:w="992" w:type="dxa"/>
            <w:noWrap/>
            <w:hideMark/>
          </w:tcPr>
          <w:p w14:paraId="429B6102"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169.3</w:t>
            </w:r>
          </w:p>
        </w:tc>
        <w:tc>
          <w:tcPr>
            <w:tcW w:w="992" w:type="dxa"/>
            <w:noWrap/>
            <w:hideMark/>
          </w:tcPr>
          <w:p w14:paraId="5DE56058"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681.2</w:t>
            </w:r>
          </w:p>
        </w:tc>
        <w:tc>
          <w:tcPr>
            <w:tcW w:w="992" w:type="dxa"/>
            <w:noWrap/>
            <w:hideMark/>
          </w:tcPr>
          <w:p w14:paraId="43ADE8E9"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403.5</w:t>
            </w:r>
          </w:p>
        </w:tc>
      </w:tr>
      <w:tr w:rsidR="00751860" w:rsidRPr="00A245D0" w14:paraId="7BCA080A"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022FCB7" w14:textId="77777777" w:rsidR="00751860" w:rsidRPr="00A245D0" w:rsidRDefault="00751860">
            <w:r w:rsidRPr="00A245D0">
              <w:t>Payments made on behalf of the State</w:t>
            </w:r>
          </w:p>
        </w:tc>
        <w:tc>
          <w:tcPr>
            <w:tcW w:w="992" w:type="dxa"/>
            <w:noWrap/>
            <w:hideMark/>
          </w:tcPr>
          <w:p w14:paraId="4945C23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739.2</w:t>
            </w:r>
          </w:p>
        </w:tc>
        <w:tc>
          <w:tcPr>
            <w:tcW w:w="992" w:type="dxa"/>
            <w:noWrap/>
            <w:hideMark/>
          </w:tcPr>
          <w:p w14:paraId="1438784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658.2</w:t>
            </w:r>
          </w:p>
        </w:tc>
        <w:tc>
          <w:tcPr>
            <w:tcW w:w="992" w:type="dxa"/>
            <w:noWrap/>
            <w:hideMark/>
          </w:tcPr>
          <w:p w14:paraId="556AC30F"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751.3</w:t>
            </w:r>
          </w:p>
        </w:tc>
      </w:tr>
      <w:tr w:rsidR="00751860" w:rsidRPr="00A245D0" w14:paraId="09FEEB10"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A34F90" w14:textId="77777777" w:rsidR="00751860" w:rsidRPr="00A245D0" w:rsidRDefault="00751860">
            <w:pPr>
              <w:rPr>
                <w:b/>
                <w:bCs/>
              </w:rPr>
            </w:pPr>
            <w:r w:rsidRPr="00A245D0">
              <w:rPr>
                <w:b/>
                <w:bCs/>
              </w:rPr>
              <w:t>Receipts credited to appropriations</w:t>
            </w:r>
          </w:p>
        </w:tc>
        <w:tc>
          <w:tcPr>
            <w:tcW w:w="992" w:type="dxa"/>
            <w:noWrap/>
            <w:hideMark/>
          </w:tcPr>
          <w:p w14:paraId="642FF863"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206.8</w:t>
            </w:r>
          </w:p>
        </w:tc>
        <w:tc>
          <w:tcPr>
            <w:tcW w:w="992" w:type="dxa"/>
            <w:noWrap/>
            <w:hideMark/>
          </w:tcPr>
          <w:p w14:paraId="1F58ED32"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336.2</w:t>
            </w:r>
          </w:p>
        </w:tc>
        <w:tc>
          <w:tcPr>
            <w:tcW w:w="992" w:type="dxa"/>
            <w:noWrap/>
            <w:hideMark/>
          </w:tcPr>
          <w:p w14:paraId="31905AFA"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228.5</w:t>
            </w:r>
          </w:p>
        </w:tc>
      </w:tr>
      <w:tr w:rsidR="00751860" w:rsidRPr="00A245D0" w14:paraId="066F33F0"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8C67CF" w14:textId="77777777" w:rsidR="00751860" w:rsidRPr="00A245D0" w:rsidRDefault="00751860">
            <w:pPr>
              <w:rPr>
                <w:b/>
                <w:bCs/>
              </w:rPr>
            </w:pPr>
            <w:r w:rsidRPr="00A245D0">
              <w:rPr>
                <w:b/>
                <w:bCs/>
              </w:rPr>
              <w:t>Unapplied previous years appropriation</w:t>
            </w:r>
          </w:p>
        </w:tc>
        <w:tc>
          <w:tcPr>
            <w:tcW w:w="992" w:type="dxa"/>
            <w:noWrap/>
            <w:hideMark/>
          </w:tcPr>
          <w:p w14:paraId="0C771D03"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w:t>
            </w:r>
          </w:p>
        </w:tc>
        <w:tc>
          <w:tcPr>
            <w:tcW w:w="992" w:type="dxa"/>
            <w:noWrap/>
            <w:hideMark/>
          </w:tcPr>
          <w:p w14:paraId="50A0A107" w14:textId="18F8660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91.5</w:t>
            </w:r>
          </w:p>
        </w:tc>
        <w:tc>
          <w:tcPr>
            <w:tcW w:w="992" w:type="dxa"/>
            <w:noWrap/>
            <w:hideMark/>
          </w:tcPr>
          <w:p w14:paraId="3D4E7870"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w:t>
            </w:r>
          </w:p>
        </w:tc>
      </w:tr>
      <w:tr w:rsidR="00751860" w:rsidRPr="00A245D0" w14:paraId="1B31B21D"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73282A18" w14:textId="77777777" w:rsidR="00751860" w:rsidRPr="00A245D0" w:rsidRDefault="00751860">
            <w:r w:rsidRPr="00A245D0">
              <w:t>Provision of outputs</w:t>
            </w:r>
          </w:p>
        </w:tc>
        <w:tc>
          <w:tcPr>
            <w:tcW w:w="992" w:type="dxa"/>
            <w:tcBorders>
              <w:bottom w:val="nil"/>
            </w:tcBorders>
            <w:noWrap/>
            <w:hideMark/>
          </w:tcPr>
          <w:p w14:paraId="66E3C57D"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w:t>
            </w:r>
          </w:p>
        </w:tc>
        <w:tc>
          <w:tcPr>
            <w:tcW w:w="992" w:type="dxa"/>
            <w:tcBorders>
              <w:bottom w:val="nil"/>
            </w:tcBorders>
            <w:noWrap/>
            <w:hideMark/>
          </w:tcPr>
          <w:p w14:paraId="4B1C4678"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57.0</w:t>
            </w:r>
          </w:p>
        </w:tc>
        <w:tc>
          <w:tcPr>
            <w:tcW w:w="992" w:type="dxa"/>
            <w:tcBorders>
              <w:bottom w:val="nil"/>
            </w:tcBorders>
            <w:noWrap/>
            <w:hideMark/>
          </w:tcPr>
          <w:p w14:paraId="16C83F51"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w:t>
            </w:r>
          </w:p>
        </w:tc>
      </w:tr>
      <w:tr w:rsidR="00751860" w:rsidRPr="00A245D0" w14:paraId="276185AB" w14:textId="77777777" w:rsidTr="00F572D5">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5C8AB20A" w14:textId="77777777" w:rsidR="00751860" w:rsidRPr="00A245D0" w:rsidRDefault="00751860">
            <w:r w:rsidRPr="00A245D0">
              <w:t>Additions to the net asset base</w:t>
            </w:r>
          </w:p>
        </w:tc>
        <w:tc>
          <w:tcPr>
            <w:tcW w:w="992" w:type="dxa"/>
            <w:tcBorders>
              <w:bottom w:val="single" w:sz="6" w:space="0" w:color="auto"/>
            </w:tcBorders>
            <w:noWrap/>
            <w:hideMark/>
          </w:tcPr>
          <w:p w14:paraId="4FDD099E"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w:t>
            </w:r>
          </w:p>
        </w:tc>
        <w:tc>
          <w:tcPr>
            <w:tcW w:w="992" w:type="dxa"/>
            <w:tcBorders>
              <w:bottom w:val="single" w:sz="6" w:space="0" w:color="auto"/>
            </w:tcBorders>
            <w:noWrap/>
            <w:hideMark/>
          </w:tcPr>
          <w:p w14:paraId="6DC6C00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34.4</w:t>
            </w:r>
          </w:p>
        </w:tc>
        <w:tc>
          <w:tcPr>
            <w:tcW w:w="992" w:type="dxa"/>
            <w:tcBorders>
              <w:bottom w:val="single" w:sz="6" w:space="0" w:color="auto"/>
            </w:tcBorders>
            <w:noWrap/>
            <w:hideMark/>
          </w:tcPr>
          <w:p w14:paraId="7CC186E9"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w:t>
            </w:r>
          </w:p>
        </w:tc>
      </w:tr>
      <w:tr w:rsidR="00751860" w:rsidRPr="00A245D0" w14:paraId="1BD1C139" w14:textId="77777777" w:rsidTr="00F572D5">
        <w:trPr>
          <w:trHeight w:val="225"/>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6351AFAF" w14:textId="77777777" w:rsidR="00751860" w:rsidRPr="00A245D0" w:rsidRDefault="00751860">
            <w:pPr>
              <w:rPr>
                <w:b/>
                <w:bCs/>
              </w:rPr>
            </w:pPr>
            <w:r w:rsidRPr="00A245D0">
              <w:rPr>
                <w:b/>
                <w:bCs/>
              </w:rPr>
              <w:t>Gross annual appropriation</w:t>
            </w:r>
          </w:p>
        </w:tc>
        <w:tc>
          <w:tcPr>
            <w:tcW w:w="992" w:type="dxa"/>
            <w:tcBorders>
              <w:top w:val="single" w:sz="6" w:space="0" w:color="auto"/>
            </w:tcBorders>
            <w:noWrap/>
            <w:hideMark/>
          </w:tcPr>
          <w:p w14:paraId="4FCDC01D"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2 614.8</w:t>
            </w:r>
          </w:p>
        </w:tc>
        <w:tc>
          <w:tcPr>
            <w:tcW w:w="992" w:type="dxa"/>
            <w:tcBorders>
              <w:top w:val="single" w:sz="6" w:space="0" w:color="auto"/>
            </w:tcBorders>
            <w:noWrap/>
            <w:hideMark/>
          </w:tcPr>
          <w:p w14:paraId="234FF5D3"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3 752.0</w:t>
            </w:r>
          </w:p>
        </w:tc>
        <w:tc>
          <w:tcPr>
            <w:tcW w:w="992" w:type="dxa"/>
            <w:tcBorders>
              <w:top w:val="single" w:sz="6" w:space="0" w:color="auto"/>
            </w:tcBorders>
            <w:noWrap/>
            <w:hideMark/>
          </w:tcPr>
          <w:p w14:paraId="4D965899" w14:textId="0C6ECB8D"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2 876.3</w:t>
            </w:r>
          </w:p>
        </w:tc>
      </w:tr>
      <w:tr w:rsidR="00751860" w:rsidRPr="00A245D0" w14:paraId="781BC1BE"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8EE60CD" w14:textId="77777777" w:rsidR="00751860" w:rsidRPr="00A245D0" w:rsidRDefault="00751860">
            <w:pPr>
              <w:rPr>
                <w:b/>
                <w:bCs/>
              </w:rPr>
            </w:pPr>
            <w:r w:rsidRPr="00A245D0">
              <w:rPr>
                <w:b/>
                <w:bCs/>
              </w:rPr>
              <w:t>Special appropriations</w:t>
            </w:r>
          </w:p>
        </w:tc>
        <w:tc>
          <w:tcPr>
            <w:tcW w:w="992" w:type="dxa"/>
            <w:noWrap/>
            <w:hideMark/>
          </w:tcPr>
          <w:p w14:paraId="4C04820C"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8.8</w:t>
            </w:r>
          </w:p>
        </w:tc>
        <w:tc>
          <w:tcPr>
            <w:tcW w:w="992" w:type="dxa"/>
            <w:noWrap/>
            <w:hideMark/>
          </w:tcPr>
          <w:p w14:paraId="63FDDD93"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14.2</w:t>
            </w:r>
          </w:p>
        </w:tc>
        <w:tc>
          <w:tcPr>
            <w:tcW w:w="992" w:type="dxa"/>
            <w:noWrap/>
            <w:hideMark/>
          </w:tcPr>
          <w:p w14:paraId="1D2A3ABA"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3.5</w:t>
            </w:r>
          </w:p>
        </w:tc>
      </w:tr>
      <w:tr w:rsidR="00751860" w:rsidRPr="00A245D0" w14:paraId="6A9AFA7B"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BE47D7F" w14:textId="77777777" w:rsidR="00751860" w:rsidRPr="00A245D0" w:rsidRDefault="00751860">
            <w:pPr>
              <w:rPr>
                <w:b/>
                <w:bCs/>
              </w:rPr>
            </w:pPr>
            <w:r w:rsidRPr="00A245D0">
              <w:rPr>
                <w:b/>
                <w:bCs/>
              </w:rPr>
              <w:t>Trust funds</w:t>
            </w:r>
          </w:p>
        </w:tc>
        <w:tc>
          <w:tcPr>
            <w:tcW w:w="992" w:type="dxa"/>
            <w:noWrap/>
            <w:hideMark/>
          </w:tcPr>
          <w:p w14:paraId="67AF6B7E"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1 128.2</w:t>
            </w:r>
          </w:p>
        </w:tc>
        <w:tc>
          <w:tcPr>
            <w:tcW w:w="992" w:type="dxa"/>
            <w:noWrap/>
            <w:hideMark/>
          </w:tcPr>
          <w:p w14:paraId="4FBBB25D"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1 232.9</w:t>
            </w:r>
          </w:p>
        </w:tc>
        <w:tc>
          <w:tcPr>
            <w:tcW w:w="992" w:type="dxa"/>
            <w:noWrap/>
            <w:hideMark/>
          </w:tcPr>
          <w:p w14:paraId="6EB681B5"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rPr>
                <w:b/>
                <w:bCs/>
              </w:rPr>
            </w:pPr>
            <w:r w:rsidRPr="00A245D0">
              <w:rPr>
                <w:b/>
                <w:bCs/>
              </w:rPr>
              <w:t>1 180.4</w:t>
            </w:r>
          </w:p>
        </w:tc>
      </w:tr>
      <w:tr w:rsidR="00751860" w:rsidRPr="00A245D0" w14:paraId="3C351EA6"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883918" w14:textId="77777777" w:rsidR="00751860" w:rsidRPr="00A245D0" w:rsidRDefault="00751860">
            <w:r w:rsidRPr="00A245D0">
              <w:t>Municipal and Industrial Landfill Levy Trust</w:t>
            </w:r>
            <w:r>
              <w:rPr>
                <w:vertAlign w:val="superscript"/>
              </w:rPr>
              <w:t xml:space="preserve"> </w:t>
            </w:r>
            <w:r w:rsidRPr="00A245D0">
              <w:rPr>
                <w:vertAlign w:val="superscript"/>
              </w:rPr>
              <w:t>(a)</w:t>
            </w:r>
          </w:p>
        </w:tc>
        <w:tc>
          <w:tcPr>
            <w:tcW w:w="992" w:type="dxa"/>
            <w:noWrap/>
            <w:hideMark/>
          </w:tcPr>
          <w:p w14:paraId="4303239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601.0</w:t>
            </w:r>
          </w:p>
        </w:tc>
        <w:tc>
          <w:tcPr>
            <w:tcW w:w="992" w:type="dxa"/>
            <w:noWrap/>
            <w:hideMark/>
          </w:tcPr>
          <w:p w14:paraId="6A791179"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596.8</w:t>
            </w:r>
          </w:p>
        </w:tc>
        <w:tc>
          <w:tcPr>
            <w:tcW w:w="992" w:type="dxa"/>
            <w:noWrap/>
            <w:hideMark/>
          </w:tcPr>
          <w:p w14:paraId="41A042F2"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622.0</w:t>
            </w:r>
          </w:p>
        </w:tc>
      </w:tr>
      <w:tr w:rsidR="00751860" w:rsidRPr="00A245D0" w14:paraId="42E2BA13"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E58CE3" w14:textId="77777777" w:rsidR="00751860" w:rsidRPr="00A245D0" w:rsidRDefault="00751860">
            <w:r w:rsidRPr="00A245D0">
              <w:t>Parks and Reserves Trust</w:t>
            </w:r>
            <w:r w:rsidRPr="00D93FB0">
              <w:rPr>
                <w:vertAlign w:val="superscript"/>
              </w:rPr>
              <w:t xml:space="preserve"> </w:t>
            </w:r>
            <w:r w:rsidRPr="00A245D0">
              <w:rPr>
                <w:vertAlign w:val="superscript"/>
              </w:rPr>
              <w:t>(b)</w:t>
            </w:r>
          </w:p>
        </w:tc>
        <w:tc>
          <w:tcPr>
            <w:tcW w:w="992" w:type="dxa"/>
            <w:noWrap/>
            <w:hideMark/>
          </w:tcPr>
          <w:p w14:paraId="6D5ABE59"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228.8</w:t>
            </w:r>
          </w:p>
        </w:tc>
        <w:tc>
          <w:tcPr>
            <w:tcW w:w="992" w:type="dxa"/>
            <w:noWrap/>
            <w:hideMark/>
          </w:tcPr>
          <w:p w14:paraId="4D454D06"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235.5</w:t>
            </w:r>
          </w:p>
        </w:tc>
        <w:tc>
          <w:tcPr>
            <w:tcW w:w="992" w:type="dxa"/>
            <w:noWrap/>
            <w:hideMark/>
          </w:tcPr>
          <w:p w14:paraId="76A8C035"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236.3</w:t>
            </w:r>
          </w:p>
        </w:tc>
      </w:tr>
      <w:tr w:rsidR="00751860" w:rsidRPr="00A245D0" w14:paraId="2946C72C" w14:textId="77777777" w:rsidTr="00E43429">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F093875" w14:textId="77777777" w:rsidR="00751860" w:rsidRPr="00A245D0" w:rsidRDefault="00751860">
            <w:r w:rsidRPr="00A245D0">
              <w:t>Other</w:t>
            </w:r>
            <w:r>
              <w:rPr>
                <w:vertAlign w:val="superscript"/>
              </w:rPr>
              <w:t xml:space="preserve"> </w:t>
            </w:r>
            <w:r w:rsidRPr="00A245D0">
              <w:rPr>
                <w:vertAlign w:val="superscript"/>
              </w:rPr>
              <w:t>(c)</w:t>
            </w:r>
          </w:p>
        </w:tc>
        <w:tc>
          <w:tcPr>
            <w:tcW w:w="992" w:type="dxa"/>
            <w:tcBorders>
              <w:bottom w:val="single" w:sz="6" w:space="0" w:color="auto"/>
            </w:tcBorders>
            <w:noWrap/>
            <w:hideMark/>
          </w:tcPr>
          <w:p w14:paraId="6FC793E7"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298.4</w:t>
            </w:r>
          </w:p>
        </w:tc>
        <w:tc>
          <w:tcPr>
            <w:tcW w:w="992" w:type="dxa"/>
            <w:tcBorders>
              <w:bottom w:val="single" w:sz="6" w:space="0" w:color="auto"/>
            </w:tcBorders>
            <w:noWrap/>
            <w:hideMark/>
          </w:tcPr>
          <w:p w14:paraId="5681F5FC"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400.6</w:t>
            </w:r>
          </w:p>
        </w:tc>
        <w:tc>
          <w:tcPr>
            <w:tcW w:w="992" w:type="dxa"/>
            <w:tcBorders>
              <w:bottom w:val="single" w:sz="6" w:space="0" w:color="auto"/>
            </w:tcBorders>
            <w:noWrap/>
            <w:hideMark/>
          </w:tcPr>
          <w:p w14:paraId="52C6A222" w14:textId="77777777" w:rsidR="00751860" w:rsidRPr="00A245D0" w:rsidRDefault="00751860">
            <w:pPr>
              <w:cnfStyle w:val="000000000000" w:firstRow="0" w:lastRow="0" w:firstColumn="0" w:lastColumn="0" w:oddVBand="0" w:evenVBand="0" w:oddHBand="0" w:evenHBand="0" w:firstRowFirstColumn="0" w:firstRowLastColumn="0" w:lastRowFirstColumn="0" w:lastRowLastColumn="0"/>
            </w:pPr>
            <w:r w:rsidRPr="00A245D0">
              <w:t>322.1</w:t>
            </w:r>
          </w:p>
        </w:tc>
      </w:tr>
      <w:tr w:rsidR="00751860" w:rsidRPr="00A245D0" w14:paraId="59685781" w14:textId="77777777" w:rsidTr="00E43429">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B53AE24" w14:textId="77777777" w:rsidR="00751860" w:rsidRPr="00A245D0" w:rsidRDefault="00751860">
            <w:r w:rsidRPr="00A245D0">
              <w:t>Total parliamentary authority</w:t>
            </w:r>
          </w:p>
        </w:tc>
        <w:tc>
          <w:tcPr>
            <w:tcW w:w="992" w:type="dxa"/>
            <w:noWrap/>
            <w:hideMark/>
          </w:tcPr>
          <w:p w14:paraId="744C55AB" w14:textId="11838BC2" w:rsidR="00751860" w:rsidRPr="00A245D0" w:rsidRDefault="00751860">
            <w:pPr>
              <w:cnfStyle w:val="010000000000" w:firstRow="0" w:lastRow="1" w:firstColumn="0" w:lastColumn="0" w:oddVBand="0" w:evenVBand="0" w:oddHBand="0" w:evenHBand="0" w:firstRowFirstColumn="0" w:firstRowLastColumn="0" w:lastRowFirstColumn="0" w:lastRowLastColumn="0"/>
            </w:pPr>
            <w:r w:rsidRPr="00A245D0">
              <w:t>3 751.9</w:t>
            </w:r>
          </w:p>
        </w:tc>
        <w:tc>
          <w:tcPr>
            <w:tcW w:w="992" w:type="dxa"/>
            <w:noWrap/>
            <w:hideMark/>
          </w:tcPr>
          <w:p w14:paraId="2F7F82F9" w14:textId="77777777" w:rsidR="00751860" w:rsidRPr="00A245D0" w:rsidRDefault="00751860">
            <w:pPr>
              <w:cnfStyle w:val="010000000000" w:firstRow="0" w:lastRow="1" w:firstColumn="0" w:lastColumn="0" w:oddVBand="0" w:evenVBand="0" w:oddHBand="0" w:evenHBand="0" w:firstRowFirstColumn="0" w:firstRowLastColumn="0" w:lastRowFirstColumn="0" w:lastRowLastColumn="0"/>
            </w:pPr>
            <w:r w:rsidRPr="00A245D0">
              <w:t>4 999.1</w:t>
            </w:r>
          </w:p>
        </w:tc>
        <w:tc>
          <w:tcPr>
            <w:tcW w:w="992" w:type="dxa"/>
            <w:noWrap/>
            <w:hideMark/>
          </w:tcPr>
          <w:p w14:paraId="49D05C0E" w14:textId="7E955967" w:rsidR="00751860" w:rsidRPr="00A245D0" w:rsidRDefault="00751860">
            <w:pPr>
              <w:cnfStyle w:val="010000000000" w:firstRow="0" w:lastRow="1" w:firstColumn="0" w:lastColumn="0" w:oddVBand="0" w:evenVBand="0" w:oddHBand="0" w:evenHBand="0" w:firstRowFirstColumn="0" w:firstRowLastColumn="0" w:lastRowFirstColumn="0" w:lastRowLastColumn="0"/>
            </w:pPr>
            <w:r w:rsidRPr="00A245D0">
              <w:t>4 060.2</w:t>
            </w:r>
          </w:p>
        </w:tc>
      </w:tr>
    </w:tbl>
    <w:p w14:paraId="12F1E893" w14:textId="414F0B22" w:rsidR="00751860" w:rsidRDefault="00751860" w:rsidP="00751860">
      <w:pPr>
        <w:pStyle w:val="Source"/>
      </w:pPr>
      <w:r>
        <w:t>Source: Department of Energy, Environment and Climate Action</w:t>
      </w:r>
    </w:p>
    <w:p w14:paraId="65741AC7" w14:textId="1EEE5304" w:rsidR="00751860" w:rsidRDefault="00751860" w:rsidP="00751860">
      <w:pPr>
        <w:pStyle w:val="Note"/>
      </w:pPr>
      <w:r>
        <w:t>Notes:</w:t>
      </w:r>
    </w:p>
    <w:p w14:paraId="32343A28" w14:textId="1DA79A3F" w:rsidR="00751860" w:rsidRDefault="00E43429" w:rsidP="00E43429">
      <w:pPr>
        <w:pStyle w:val="Note"/>
      </w:pPr>
      <w:r>
        <w:t>(a)</w:t>
      </w:r>
      <w:r>
        <w:tab/>
      </w:r>
      <w:r w:rsidR="00751860">
        <w:t xml:space="preserve">The purpose of this trust primarily relates to the collection and distribution of the Municipal and Industrial Waste Levy as required under section 448 of the </w:t>
      </w:r>
      <w:r w:rsidR="00751860" w:rsidRPr="00A71CF2">
        <w:rPr>
          <w:i w:val="0"/>
        </w:rPr>
        <w:t>Environment Protection Act 2017</w:t>
      </w:r>
      <w:r w:rsidR="00751860">
        <w:t>.</w:t>
      </w:r>
    </w:p>
    <w:p w14:paraId="18A7DFA9" w14:textId="487A98E9" w:rsidR="00751860" w:rsidRDefault="00E43429" w:rsidP="00E43429">
      <w:pPr>
        <w:pStyle w:val="Note"/>
      </w:pPr>
      <w:r>
        <w:t>(b)</w:t>
      </w:r>
      <w:r>
        <w:tab/>
      </w:r>
      <w:r w:rsidR="00751860">
        <w:t>The purpose of this trust primarily holds the park charge collected to support ongoing core operations of Parks Victoria throughout the metropolitan area, the Royal Botanic Gardens, Zoos Victoria and the Shrine of Remembrance.</w:t>
      </w:r>
    </w:p>
    <w:p w14:paraId="7B3C02AD" w14:textId="3DEFFD27" w:rsidR="00751860" w:rsidRDefault="00E43429" w:rsidP="00E43429">
      <w:pPr>
        <w:pStyle w:val="Note"/>
      </w:pPr>
      <w:r>
        <w:t>(c)</w:t>
      </w:r>
      <w:r>
        <w:tab/>
      </w:r>
      <w:r w:rsidR="00751860">
        <w:t>Includes interdepartmental transfers.</w:t>
      </w:r>
    </w:p>
    <w:p w14:paraId="6C8B1340" w14:textId="77777777" w:rsidR="0077627C" w:rsidRDefault="0077627C">
      <w:pPr>
        <w:keepLines w:val="0"/>
        <w:rPr>
          <w:rFonts w:eastAsia="Times New Roman"/>
        </w:rPr>
      </w:pPr>
    </w:p>
    <w:p w14:paraId="21162342" w14:textId="76CB8383" w:rsidR="00824558" w:rsidRDefault="00824558" w:rsidP="0077627C"/>
    <w:p w14:paraId="6272F097" w14:textId="77777777" w:rsidR="00E43429" w:rsidRDefault="00E43429">
      <w:pPr>
        <w:keepLines w:val="0"/>
        <w:rPr>
          <w:rFonts w:asciiTheme="majorHAnsi" w:eastAsia="Times New Roman" w:hAnsiTheme="majorHAnsi" w:cstheme="majorBidi"/>
          <w:b/>
          <w:sz w:val="27"/>
          <w:szCs w:val="26"/>
        </w:rPr>
      </w:pPr>
      <w:r>
        <w:rPr>
          <w:rFonts w:eastAsia="Times New Roman"/>
        </w:rPr>
        <w:br w:type="page"/>
      </w:r>
    </w:p>
    <w:p w14:paraId="695369A6" w14:textId="77777777" w:rsidR="00824558" w:rsidRDefault="00824558">
      <w:pPr>
        <w:pStyle w:val="Heading2"/>
        <w:rPr>
          <w:rFonts w:eastAsia="Times New Roman"/>
        </w:rPr>
      </w:pPr>
      <w:r w:rsidRPr="00B6298F">
        <w:rPr>
          <w:rFonts w:eastAsia="Times New Roman"/>
        </w:rPr>
        <w:lastRenderedPageBreak/>
        <w:t>Departmental objectives and outputs</w:t>
      </w:r>
    </w:p>
    <w:p w14:paraId="4008FADE" w14:textId="77777777" w:rsidR="00824558" w:rsidRPr="009E189A" w:rsidRDefault="00824558">
      <w:pPr>
        <w:pStyle w:val="ShadedBoxHeading"/>
        <w:rPr>
          <w:rFonts w:ascii="Calibri" w:eastAsia="Garamond" w:hAnsi="Calibri" w:cs="Times New Roman"/>
          <w:b w:val="0"/>
        </w:rPr>
      </w:pPr>
      <w:r w:rsidRPr="009E189A">
        <w:t>Objective 1: Productive and sustainably used agricultural resources</w:t>
      </w:r>
      <w:r w:rsidRPr="009E189A">
        <w:rPr>
          <w:vertAlign w:val="superscript"/>
        </w:rPr>
        <w:t>(a)</w:t>
      </w:r>
    </w:p>
    <w:p w14:paraId="338CF044" w14:textId="77777777" w:rsidR="00824558" w:rsidRPr="009E189A" w:rsidRDefault="00824558">
      <w:pPr>
        <w:pStyle w:val="ShadedBoxText"/>
      </w:pPr>
      <w:r w:rsidRPr="009E189A">
        <w:t>This objective supports more productive, globally competitive, sustainable and jobs-rich agriculture, food, forestry and fibre sectors.</w:t>
      </w:r>
    </w:p>
    <w:p w14:paraId="40EA1D78" w14:textId="77777777" w:rsidR="00824558" w:rsidRPr="009E189A" w:rsidRDefault="00824558">
      <w:pPr>
        <w:pStyle w:val="ShadedBoxText"/>
      </w:pPr>
      <w:r w:rsidRPr="009E189A">
        <w:t xml:space="preserve">The Department delivers the objective in collaboration with partners, local communities and industry to deliver outcomes that provide benefits to all Victorians. </w:t>
      </w:r>
    </w:p>
    <w:p w14:paraId="70796A58" w14:textId="77777777" w:rsidR="00824558" w:rsidRPr="009E189A" w:rsidRDefault="00824558">
      <w:pPr>
        <w:pStyle w:val="ShadedBoxText"/>
      </w:pPr>
      <w:r w:rsidRPr="009E189A">
        <w:t>The departmental objective indicators are:</w:t>
      </w:r>
    </w:p>
    <w:p w14:paraId="7CF1A56E" w14:textId="77777777" w:rsidR="00824558" w:rsidRPr="00093150" w:rsidRDefault="00824558" w:rsidP="001C5991">
      <w:pPr>
        <w:pStyle w:val="ShadedBoxBullet"/>
      </w:pPr>
      <w:r w:rsidRPr="00093150">
        <w:t>value of Victorian agriculture production</w:t>
      </w:r>
    </w:p>
    <w:p w14:paraId="5D6469B7" w14:textId="77777777" w:rsidR="00824558" w:rsidRPr="00093150" w:rsidRDefault="00824558" w:rsidP="001C5991">
      <w:pPr>
        <w:pStyle w:val="ShadedBoxBullet"/>
      </w:pPr>
      <w:r w:rsidRPr="00093150">
        <w:t>value of Victorian food and fibre exports.</w:t>
      </w:r>
    </w:p>
    <w:p w14:paraId="41F81DC0" w14:textId="77777777" w:rsidR="00824558" w:rsidRPr="00385D45" w:rsidRDefault="00824558" w:rsidP="001C5991">
      <w:pPr>
        <w:pStyle w:val="ShadedBoxNote"/>
      </w:pPr>
      <w:r w:rsidRPr="00385D45">
        <w:t>Note:</w:t>
      </w:r>
    </w:p>
    <w:p w14:paraId="669A2DFB" w14:textId="4A1256EA" w:rsidR="00824558" w:rsidRPr="00385D45" w:rsidRDefault="00824558" w:rsidP="001C5991">
      <w:pPr>
        <w:pStyle w:val="ShadedBoxNote"/>
      </w:pPr>
      <w:r w:rsidRPr="00385D45">
        <w:t xml:space="preserve">(a) </w:t>
      </w:r>
      <w:r w:rsidR="001C5991">
        <w:tab/>
      </w:r>
      <w:r w:rsidRPr="00385D45">
        <w:t xml:space="preserve">This objective has been renamed from the 2025-26 objective </w:t>
      </w:r>
      <w:r w:rsidR="007942D1">
        <w:t>‘</w:t>
      </w:r>
      <w:r w:rsidRPr="00385D45">
        <w:t>Productive and sustainably used natural resources</w:t>
      </w:r>
      <w:r w:rsidR="007942D1">
        <w:t>’</w:t>
      </w:r>
      <w:r w:rsidRPr="00385D45">
        <w:t xml:space="preserve"> to more accurately reflect services delivered.</w:t>
      </w:r>
    </w:p>
    <w:p w14:paraId="43E2F137" w14:textId="77777777" w:rsidR="00824558" w:rsidRDefault="00824558">
      <w:pPr>
        <w:pStyle w:val="Heading3"/>
      </w:pPr>
      <w:r>
        <w:t>Outputs</w:t>
      </w:r>
    </w:p>
    <w:p w14:paraId="744CAE8F" w14:textId="2D7E03E4" w:rsidR="00824558" w:rsidRDefault="00824558">
      <w:pPr>
        <w:pStyle w:val="Heading3"/>
      </w:pPr>
      <w:r>
        <w:t>Agriculture</w:t>
      </w:r>
      <w:r>
        <w:tab/>
        <w:t xml:space="preserve">(2026-27: </w:t>
      </w:r>
      <w:r w:rsidRPr="000E173F">
        <w:t>$</w:t>
      </w:r>
      <w:r w:rsidR="000E173F" w:rsidRPr="000E173F">
        <w:t>511</w:t>
      </w:r>
      <w:r w:rsidR="000E173F">
        <w:t>.7</w:t>
      </w:r>
      <w:r>
        <w:t xml:space="preserve"> million)</w:t>
      </w:r>
    </w:p>
    <w:p w14:paraId="3CD18D26" w14:textId="77777777" w:rsidR="00824558" w:rsidRPr="009E189A" w:rsidRDefault="00824558">
      <w:pPr>
        <w:rPr>
          <w:rFonts w:cstheme="minorBidi"/>
          <w:kern w:val="2"/>
          <w:szCs w:val="20"/>
          <w14:ligatures w14:val="standardContextual"/>
        </w:rPr>
      </w:pPr>
      <w:r w:rsidRPr="009E189A">
        <w:rPr>
          <w:rFonts w:cstheme="minorBidi"/>
          <w:kern w:val="2"/>
          <w:szCs w:val="20"/>
          <w14:ligatures w14:val="standardContextual"/>
        </w:rPr>
        <w:t>This output delivers services to the agriculture, food, forestry and fibre sectors to enhance productivity, connect the</w:t>
      </w:r>
      <w:r>
        <w:rPr>
          <w:rFonts w:cstheme="minorBidi"/>
          <w:kern w:val="2"/>
          <w:szCs w:val="20"/>
          <w14:ligatures w14:val="standardContextual"/>
        </w:rPr>
        <w:t>se</w:t>
      </w:r>
      <w:r w:rsidRPr="009E189A">
        <w:rPr>
          <w:rFonts w:cstheme="minorBidi"/>
          <w:kern w:val="2"/>
          <w:szCs w:val="20"/>
          <w14:ligatures w14:val="standardContextual"/>
        </w:rPr>
        <w:t xml:space="preserve"> sector</w:t>
      </w:r>
      <w:r>
        <w:rPr>
          <w:rFonts w:cstheme="minorBidi"/>
          <w:kern w:val="2"/>
          <w:szCs w:val="20"/>
          <w14:ligatures w14:val="standardContextual"/>
        </w:rPr>
        <w:t>s</w:t>
      </w:r>
      <w:r w:rsidRPr="009E189A">
        <w:rPr>
          <w:rFonts w:cstheme="minorBidi"/>
          <w:kern w:val="2"/>
          <w:szCs w:val="20"/>
          <w14:ligatures w14:val="standardContextual"/>
        </w:rPr>
        <w:t xml:space="preserve"> with international markets, create jobs, support growth and maintain effective biosecurity.</w:t>
      </w:r>
    </w:p>
    <w:p w14:paraId="4E20C58B" w14:textId="750C74CD" w:rsidR="00824558" w:rsidRPr="009E189A" w:rsidRDefault="00824558">
      <w:pPr>
        <w:rPr>
          <w:rFonts w:ascii="Garamond" w:eastAsia="Garamond" w:hAnsi="Garamond" w:cstheme="minorBidi"/>
          <w:kern w:val="2"/>
          <w14:ligatures w14:val="standardContextual"/>
        </w:rPr>
      </w:pPr>
      <w:r w:rsidRPr="009E189A">
        <w:rPr>
          <w:rFonts w:cstheme="minorBidi"/>
          <w:kern w:val="2"/>
          <w:szCs w:val="20"/>
          <w14:ligatures w14:val="standardContextual"/>
        </w:rPr>
        <w:t xml:space="preserve">This output delivers effective and efficient regulation, compliance, emergency management, biosecurity research and development, and diagnostic services to protect and enhance market access by addressing trade barriers and managing the risks of pests, diseases and chemical use. The Department undertakes research and development to develop new technologies and practices and provides services to enhance their adoption to increase farm productivity and supply chain efficiencies. It provides policy advice and support to industries and businesses to innovate, manage economic and climatic volatility, natural disasters and biosecurity emergencies, and meet consumer and community expectations for food quality, food safety and animal welfare and environmental standards. </w:t>
      </w:r>
      <w:r w:rsidRPr="009E189A">
        <w:rPr>
          <w:rFonts w:ascii="Garamond" w:eastAsia="Garamond" w:hAnsi="Garamond" w:cstheme="minorBidi"/>
          <w:kern w:val="2"/>
          <w14:ligatures w14:val="standardContextual"/>
        </w:rPr>
        <w:t xml:space="preserve">Additionally, it supports the </w:t>
      </w:r>
      <w:r>
        <w:rPr>
          <w:rFonts w:ascii="Garamond" w:eastAsia="Garamond" w:hAnsi="Garamond" w:cstheme="minorBidi"/>
          <w:kern w:val="2"/>
          <w14:ligatures w14:val="standardContextual"/>
        </w:rPr>
        <w:t>S</w:t>
      </w:r>
      <w:r w:rsidRPr="009E189A">
        <w:rPr>
          <w:rFonts w:ascii="Garamond" w:eastAsia="Garamond" w:hAnsi="Garamond" w:cstheme="minorBidi"/>
          <w:kern w:val="2"/>
          <w14:ligatures w14:val="standardContextual"/>
        </w:rPr>
        <w:t>tate</w:t>
      </w:r>
      <w:r w:rsidR="007942D1">
        <w:rPr>
          <w:rFonts w:ascii="Garamond" w:eastAsia="Garamond" w:hAnsi="Garamond" w:cstheme="minorBidi"/>
          <w:kern w:val="2"/>
          <w14:ligatures w14:val="standardContextual"/>
        </w:rPr>
        <w:t>’</w:t>
      </w:r>
      <w:r w:rsidRPr="009E189A">
        <w:rPr>
          <w:rFonts w:ascii="Garamond" w:eastAsia="Garamond" w:hAnsi="Garamond" w:cstheme="minorBidi"/>
          <w:kern w:val="2"/>
          <w14:ligatures w14:val="standardContextual"/>
        </w:rPr>
        <w:t>s plantation estate and the transition of timber harvesting communities through program delivery and supporting investment expansion.</w:t>
      </w:r>
    </w:p>
    <w:p w14:paraId="5A473E0F" w14:textId="77777777" w:rsidR="00824558" w:rsidRPr="009E189A" w:rsidRDefault="00824558">
      <w:pPr>
        <w:spacing w:after="120" w:line="259" w:lineRule="auto"/>
        <w:rPr>
          <w:rFonts w:cstheme="minorBidi"/>
          <w:kern w:val="2"/>
          <w:szCs w:val="20"/>
          <w14:ligatures w14:val="standardContextual"/>
        </w:rPr>
      </w:pPr>
      <w:r w:rsidRPr="009E189A">
        <w:rPr>
          <w:rFonts w:cstheme="minorBidi"/>
          <w:kern w:val="2"/>
          <w:szCs w:val="20"/>
          <w14:ligatures w14:val="standardContextual"/>
        </w:rPr>
        <w:t>The output also creates the conditions to grow the agricultural resources economy by ensuring resources are sustainably allocated and used for both recreational and commercial purposes.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695BDF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A24BA1C" w14:textId="77777777" w:rsidR="00824558" w:rsidRDefault="00824558">
            <w:r>
              <w:t>Performance measure</w:t>
            </w:r>
          </w:p>
        </w:tc>
        <w:tc>
          <w:tcPr>
            <w:tcW w:w="964" w:type="dxa"/>
          </w:tcPr>
          <w:p w14:paraId="6E04BD41"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6DD54D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40C50B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7812E1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1D1BEE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14:paraId="7AB6BE28" w14:textId="77777777" w:rsidTr="00C7636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A5BE51" w14:textId="7C14ADDC" w:rsidR="00824558" w:rsidRDefault="00DC0EBC">
            <w:pPr>
              <w:keepNext/>
              <w:rPr>
                <w:b/>
                <w:bCs/>
                <w:iCs/>
              </w:rPr>
            </w:pPr>
            <w:r w:rsidRPr="00E50A6C">
              <w:rPr>
                <w:b/>
                <w:bCs/>
                <w:iCs/>
              </w:rPr>
              <w:t>AGRICULTURE</w:t>
            </w:r>
            <w:r w:rsidRPr="00E50A6C">
              <w:rPr>
                <w:b/>
              </w:rPr>
              <w:t xml:space="preserve"> </w:t>
            </w:r>
            <w:r>
              <w:rPr>
                <w:b/>
              </w:rPr>
              <w:t>I</w:t>
            </w:r>
            <w:r w:rsidRPr="00E50A6C">
              <w:rPr>
                <w:b/>
              </w:rPr>
              <w:t xml:space="preserve">NDUSTRY </w:t>
            </w:r>
            <w:r>
              <w:rPr>
                <w:b/>
              </w:rPr>
              <w:t>D</w:t>
            </w:r>
            <w:r w:rsidRPr="00E50A6C">
              <w:rPr>
                <w:b/>
              </w:rPr>
              <w:t xml:space="preserve">EVELOPMENT AND </w:t>
            </w:r>
            <w:r>
              <w:rPr>
                <w:b/>
              </w:rPr>
              <w:t>R</w:t>
            </w:r>
            <w:r w:rsidRPr="00E50A6C">
              <w:rPr>
                <w:b/>
              </w:rPr>
              <w:t>EGULATION</w:t>
            </w:r>
          </w:p>
          <w:p w14:paraId="5683007E" w14:textId="77777777" w:rsidR="00824558" w:rsidRDefault="00824558">
            <w:pPr>
              <w:keepNext/>
            </w:pPr>
            <w:r w:rsidRPr="00E50A6C">
              <w:t>This sub-outpu</w:t>
            </w:r>
            <w:r>
              <w:rPr>
                <w:iCs/>
              </w:rPr>
              <w:t xml:space="preserve">t </w:t>
            </w:r>
            <w:r w:rsidRPr="004319ED">
              <w:rPr>
                <w:iCs/>
              </w:rPr>
              <w:t>supports more productive, competitive, sustainable and jobs-rich food and fibre sector</w:t>
            </w:r>
            <w:r>
              <w:rPr>
                <w:iCs/>
              </w:rPr>
              <w:t>s</w:t>
            </w:r>
            <w:r w:rsidRPr="004319ED">
              <w:rPr>
                <w:iCs/>
              </w:rPr>
              <w:t xml:space="preserve"> by delivering policy advice,</w:t>
            </w:r>
            <w:r>
              <w:rPr>
                <w:iCs/>
              </w:rPr>
              <w:t xml:space="preserve"> </w:t>
            </w:r>
            <w:r w:rsidRPr="004319ED">
              <w:rPr>
                <w:iCs/>
              </w:rPr>
              <w:t>regulation and support to meet consumer and community expectations for agriculture industry development, pets and animal welfare,</w:t>
            </w:r>
            <w:r>
              <w:rPr>
                <w:iCs/>
              </w:rPr>
              <w:t xml:space="preserve"> </w:t>
            </w:r>
            <w:r w:rsidRPr="004319ED">
              <w:rPr>
                <w:iCs/>
              </w:rPr>
              <w:t>regulatory policies and frameworks</w:t>
            </w:r>
            <w:r>
              <w:rPr>
                <w:iCs/>
              </w:rPr>
              <w:t>.</w:t>
            </w:r>
          </w:p>
        </w:tc>
      </w:tr>
      <w:tr w:rsidR="00C76367" w:rsidRPr="00B513BB" w14:paraId="1B09766C" w14:textId="77777777" w:rsidTr="00C76367">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57E1F780" w14:textId="2914F1A4" w:rsidR="00C76367" w:rsidRPr="00B513BB" w:rsidRDefault="00C76367" w:rsidP="00C76367">
            <w:pPr>
              <w:rPr>
                <w:b/>
                <w:bCs/>
              </w:rPr>
            </w:pPr>
            <w:r w:rsidRPr="00B513BB">
              <w:rPr>
                <w:b/>
                <w:bCs/>
              </w:rPr>
              <w:t>Quantity</w:t>
            </w:r>
          </w:p>
        </w:tc>
        <w:tc>
          <w:tcPr>
            <w:tcW w:w="964" w:type="dxa"/>
            <w:tcBorders>
              <w:top w:val="single" w:sz="6" w:space="0" w:color="auto"/>
            </w:tcBorders>
          </w:tcPr>
          <w:p w14:paraId="12E0C1D8" w14:textId="77777777" w:rsidR="00C76367" w:rsidRPr="00B513BB" w:rsidRDefault="00C76367">
            <w:pPr>
              <w:jc w:val="cente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shd w:val="clear" w:color="auto" w:fill="F0F0F0"/>
          </w:tcPr>
          <w:p w14:paraId="537934DD" w14:textId="77777777" w:rsidR="00C76367" w:rsidRPr="00B513BB" w:rsidRDefault="00C76367">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6BEDE15E" w14:textId="77777777" w:rsidR="00C76367" w:rsidRPr="00B513BB" w:rsidRDefault="00C76367">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1FEBC03F" w14:textId="77777777" w:rsidR="00C76367" w:rsidRPr="00B513BB" w:rsidRDefault="00C76367">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323AF659" w14:textId="77777777" w:rsidR="00C76367" w:rsidRPr="00B513BB" w:rsidRDefault="00C76367">
            <w:pPr>
              <w:cnfStyle w:val="000000000000" w:firstRow="0" w:lastRow="0" w:firstColumn="0" w:lastColumn="0" w:oddVBand="0" w:evenVBand="0" w:oddHBand="0" w:evenHBand="0" w:firstRowFirstColumn="0" w:firstRowLastColumn="0" w:lastRowFirstColumn="0" w:lastRowLastColumn="0"/>
              <w:rPr>
                <w:b/>
                <w:bCs/>
              </w:rPr>
            </w:pPr>
          </w:p>
        </w:tc>
      </w:tr>
      <w:tr w:rsidR="00824558" w14:paraId="133DD0AB" w14:textId="77777777" w:rsidTr="00C76367">
        <w:tc>
          <w:tcPr>
            <w:cnfStyle w:val="001000000000" w:firstRow="0" w:lastRow="0" w:firstColumn="1" w:lastColumn="0" w:oddVBand="0" w:evenVBand="0" w:oddHBand="0" w:evenHBand="0" w:firstRowFirstColumn="0" w:firstRowLastColumn="0" w:lastRowFirstColumn="0" w:lastRowLastColumn="0"/>
            <w:tcW w:w="4819" w:type="dxa"/>
          </w:tcPr>
          <w:p w14:paraId="484DD46D" w14:textId="77777777" w:rsidR="00824558" w:rsidRDefault="00824558">
            <w:pPr>
              <w:keepNext/>
              <w:ind w:left="170"/>
            </w:pPr>
            <w:r>
              <w:t>Classroom presentations of the Responsible Pet Ownership program delivered to Victorian kindergartens and primary schools​</w:t>
            </w:r>
          </w:p>
        </w:tc>
        <w:tc>
          <w:tcPr>
            <w:tcW w:w="964" w:type="dxa"/>
          </w:tcPr>
          <w:p w14:paraId="307C3F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D704FB4" w14:textId="77777777" w:rsidR="00824558" w:rsidRDefault="00824558">
            <w:pPr>
              <w:cnfStyle w:val="000000000000" w:firstRow="0" w:lastRow="0" w:firstColumn="0" w:lastColumn="0" w:oddVBand="0" w:evenVBand="0" w:oddHBand="0" w:evenHBand="0" w:firstRowFirstColumn="0" w:firstRowLastColumn="0" w:lastRowFirstColumn="0" w:lastRowLastColumn="0"/>
            </w:pPr>
            <w:r>
              <w:t>3 100</w:t>
            </w:r>
          </w:p>
        </w:tc>
        <w:tc>
          <w:tcPr>
            <w:tcW w:w="964" w:type="dxa"/>
          </w:tcPr>
          <w:p w14:paraId="457B0F7E" w14:textId="77777777" w:rsidR="00824558" w:rsidRDefault="00824558">
            <w:pPr>
              <w:cnfStyle w:val="000000000000" w:firstRow="0" w:lastRow="0" w:firstColumn="0" w:lastColumn="0" w:oddVBand="0" w:evenVBand="0" w:oddHBand="0" w:evenHBand="0" w:firstRowFirstColumn="0" w:firstRowLastColumn="0" w:lastRowFirstColumn="0" w:lastRowLastColumn="0"/>
            </w:pPr>
            <w:r>
              <w:t>2 630</w:t>
            </w:r>
          </w:p>
        </w:tc>
        <w:tc>
          <w:tcPr>
            <w:tcW w:w="964" w:type="dxa"/>
          </w:tcPr>
          <w:p w14:paraId="431C5A59" w14:textId="77777777" w:rsidR="00824558" w:rsidRDefault="00824558">
            <w:pPr>
              <w:cnfStyle w:val="000000000000" w:firstRow="0" w:lastRow="0" w:firstColumn="0" w:lastColumn="0" w:oddVBand="0" w:evenVBand="0" w:oddHBand="0" w:evenHBand="0" w:firstRowFirstColumn="0" w:firstRowLastColumn="0" w:lastRowFirstColumn="0" w:lastRowLastColumn="0"/>
            </w:pPr>
            <w:r>
              <w:t>3 100</w:t>
            </w:r>
          </w:p>
        </w:tc>
        <w:tc>
          <w:tcPr>
            <w:tcW w:w="964" w:type="dxa"/>
          </w:tcPr>
          <w:p w14:paraId="1A719A6C" w14:textId="77777777" w:rsidR="00824558" w:rsidRDefault="00824558">
            <w:pPr>
              <w:cnfStyle w:val="000000000000" w:firstRow="0" w:lastRow="0" w:firstColumn="0" w:lastColumn="0" w:oddVBand="0" w:evenVBand="0" w:oddHBand="0" w:evenHBand="0" w:firstRowFirstColumn="0" w:firstRowLastColumn="0" w:lastRowFirstColumn="0" w:lastRowLastColumn="0"/>
            </w:pPr>
            <w:r>
              <w:t>3 086</w:t>
            </w:r>
          </w:p>
        </w:tc>
      </w:tr>
      <w:tr w:rsidR="00824558" w14:paraId="165A97A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7AE2C6" w14:textId="5185ACAC" w:rsidR="00824558" w:rsidRDefault="00824558">
            <w:pPr>
              <w:ind w:left="170"/>
            </w:pPr>
            <w:r>
              <w:rPr>
                <w:i/>
              </w:rPr>
              <w:t xml:space="preserve">The 2025-26 expected outcome is lower than the 2025-26 target due to program delivery being impacted at the end of 2025 and the first quarter of calendar year 2026 by essential work to upgrade and onboard program participants on the booking </w:t>
            </w:r>
            <w:r w:rsidR="00D84B2C">
              <w:rPr>
                <w:i/>
              </w:rPr>
              <w:t>system</w:t>
            </w:r>
            <w:r>
              <w:rPr>
                <w:i/>
              </w:rPr>
              <w:t xml:space="preserve">, and the retirement of </w:t>
            </w:r>
            <w:r w:rsidR="00360F1C">
              <w:rPr>
                <w:i/>
              </w:rPr>
              <w:t xml:space="preserve">pet educators and </w:t>
            </w:r>
            <w:r>
              <w:rPr>
                <w:i/>
              </w:rPr>
              <w:t>suitable animals from the program.</w:t>
            </w:r>
          </w:p>
        </w:tc>
      </w:tr>
      <w:tr w:rsidR="00824558" w14:paraId="6B901FDE" w14:textId="77777777">
        <w:tc>
          <w:tcPr>
            <w:cnfStyle w:val="001000000000" w:firstRow="0" w:lastRow="0" w:firstColumn="1" w:lastColumn="0" w:oddVBand="0" w:evenVBand="0" w:oddHBand="0" w:evenHBand="0" w:firstRowFirstColumn="0" w:firstRowLastColumn="0" w:lastRowFirstColumn="0" w:lastRowLastColumn="0"/>
            <w:tcW w:w="4819" w:type="dxa"/>
          </w:tcPr>
          <w:p w14:paraId="2C79A835" w14:textId="77777777" w:rsidR="00824558" w:rsidRDefault="00824558">
            <w:pPr>
              <w:keepNext/>
              <w:ind w:left="170"/>
            </w:pPr>
            <w:r w:rsidRPr="00BB3D68">
              <w:t>Farmers and related small business operators supported by the</w:t>
            </w:r>
            <w:r>
              <w:t xml:space="preserve"> Rural Financial Counselling Service to manage financial hardship</w:t>
            </w:r>
          </w:p>
        </w:tc>
        <w:tc>
          <w:tcPr>
            <w:tcW w:w="964" w:type="dxa"/>
          </w:tcPr>
          <w:p w14:paraId="5236C35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9F16C8D"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Pr>
          <w:p w14:paraId="5DDE25AD" w14:textId="77777777" w:rsidR="00824558" w:rsidRDefault="00824558">
            <w:pPr>
              <w:cnfStyle w:val="000000000000" w:firstRow="0" w:lastRow="0" w:firstColumn="0" w:lastColumn="0" w:oddVBand="0" w:evenVBand="0" w:oddHBand="0" w:evenHBand="0" w:firstRowFirstColumn="0" w:firstRowLastColumn="0" w:lastRowFirstColumn="0" w:lastRowLastColumn="0"/>
            </w:pPr>
            <w:r>
              <w:t>2 250</w:t>
            </w:r>
          </w:p>
        </w:tc>
        <w:tc>
          <w:tcPr>
            <w:tcW w:w="964" w:type="dxa"/>
          </w:tcPr>
          <w:p w14:paraId="2E58507D"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Pr>
          <w:p w14:paraId="0D14A1CE" w14:textId="77777777" w:rsidR="00824558" w:rsidRDefault="00824558">
            <w:pPr>
              <w:cnfStyle w:val="000000000000" w:firstRow="0" w:lastRow="0" w:firstColumn="0" w:lastColumn="0" w:oddVBand="0" w:evenVBand="0" w:oddHBand="0" w:evenHBand="0" w:firstRowFirstColumn="0" w:firstRowLastColumn="0" w:lastRowFirstColumn="0" w:lastRowLastColumn="0"/>
            </w:pPr>
            <w:r>
              <w:t>2 118</w:t>
            </w:r>
          </w:p>
        </w:tc>
      </w:tr>
      <w:tr w:rsidR="00824558" w14:paraId="54B80C9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3238528" w14:textId="77777777" w:rsidR="00824558" w:rsidRDefault="00824558">
            <w:pPr>
              <w:ind w:left="170"/>
            </w:pPr>
            <w:r>
              <w:rPr>
                <w:i/>
              </w:rPr>
              <w:t>The 2025-26 expected outcome is higher than the 2025-26 target due to the ongoing financial impacts of drought on farmers and related small business operators, resulting in higher demand for the Rural Financial Counselling Service.</w:t>
            </w:r>
          </w:p>
        </w:tc>
      </w:tr>
      <w:tr w:rsidR="00824558" w14:paraId="5F12EA9E" w14:textId="77777777" w:rsidTr="0091391F">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33C824D9" w14:textId="77777777" w:rsidR="00824558" w:rsidRPr="00BB3D68" w:rsidRDefault="00824558">
            <w:pPr>
              <w:keepNext/>
              <w:ind w:left="170"/>
            </w:pPr>
            <w:r w:rsidRPr="00BB3D68">
              <w:t xml:space="preserve">Young farmer </w:t>
            </w:r>
            <w:r>
              <w:t>s</w:t>
            </w:r>
            <w:r w:rsidRPr="00BB3D68">
              <w:t>cholarships awarded</w:t>
            </w:r>
          </w:p>
        </w:tc>
        <w:tc>
          <w:tcPr>
            <w:tcW w:w="964" w:type="dxa"/>
            <w:tcBorders>
              <w:bottom w:val="nil"/>
            </w:tcBorders>
          </w:tcPr>
          <w:p w14:paraId="203A5574" w14:textId="77777777" w:rsidR="00824558" w:rsidRPr="00BB3D68" w:rsidRDefault="00824558">
            <w:pPr>
              <w:jc w:val="center"/>
              <w:cnfStyle w:val="000000000000" w:firstRow="0" w:lastRow="0" w:firstColumn="0" w:lastColumn="0" w:oddVBand="0" w:evenVBand="0" w:oddHBand="0" w:evenHBand="0" w:firstRowFirstColumn="0" w:firstRowLastColumn="0" w:lastRowFirstColumn="0" w:lastRowLastColumn="0"/>
            </w:pPr>
            <w:r w:rsidRPr="00BB3D68">
              <w:t>number</w:t>
            </w:r>
          </w:p>
        </w:tc>
        <w:tc>
          <w:tcPr>
            <w:tcW w:w="964" w:type="dxa"/>
            <w:tcBorders>
              <w:bottom w:val="nil"/>
            </w:tcBorders>
            <w:shd w:val="clear" w:color="auto" w:fill="F0F0F0"/>
          </w:tcPr>
          <w:p w14:paraId="78ECF497" w14:textId="77777777" w:rsidR="00824558" w:rsidRPr="00BB3D68" w:rsidRDefault="00824558">
            <w:pPr>
              <w:cnfStyle w:val="000000000000" w:firstRow="0" w:lastRow="0" w:firstColumn="0" w:lastColumn="0" w:oddVBand="0" w:evenVBand="0" w:oddHBand="0" w:evenHBand="0" w:firstRowFirstColumn="0" w:firstRowLastColumn="0" w:lastRowFirstColumn="0" w:lastRowLastColumn="0"/>
            </w:pPr>
            <w:r w:rsidRPr="00BB3D68">
              <w:t>12</w:t>
            </w:r>
          </w:p>
        </w:tc>
        <w:tc>
          <w:tcPr>
            <w:tcW w:w="964" w:type="dxa"/>
            <w:tcBorders>
              <w:bottom w:val="nil"/>
            </w:tcBorders>
          </w:tcPr>
          <w:p w14:paraId="35704090" w14:textId="77777777" w:rsidR="00824558" w:rsidRPr="00BB3D68" w:rsidRDefault="00824558">
            <w:pPr>
              <w:cnfStyle w:val="000000000000" w:firstRow="0" w:lastRow="0" w:firstColumn="0" w:lastColumn="0" w:oddVBand="0" w:evenVBand="0" w:oddHBand="0" w:evenHBand="0" w:firstRowFirstColumn="0" w:firstRowLastColumn="0" w:lastRowFirstColumn="0" w:lastRowLastColumn="0"/>
            </w:pPr>
            <w:r w:rsidRPr="00BB3D68">
              <w:t>13</w:t>
            </w:r>
          </w:p>
        </w:tc>
        <w:tc>
          <w:tcPr>
            <w:tcW w:w="964" w:type="dxa"/>
            <w:tcBorders>
              <w:bottom w:val="nil"/>
            </w:tcBorders>
          </w:tcPr>
          <w:p w14:paraId="2E69A9F5" w14:textId="77777777" w:rsidR="00824558" w:rsidRPr="00BB3D68" w:rsidRDefault="00824558">
            <w:pPr>
              <w:cnfStyle w:val="000000000000" w:firstRow="0" w:lastRow="0" w:firstColumn="0" w:lastColumn="0" w:oddVBand="0" w:evenVBand="0" w:oddHBand="0" w:evenHBand="0" w:firstRowFirstColumn="0" w:firstRowLastColumn="0" w:lastRowFirstColumn="0" w:lastRowLastColumn="0"/>
            </w:pPr>
            <w:r w:rsidRPr="00BB3D68">
              <w:t>12</w:t>
            </w:r>
          </w:p>
        </w:tc>
        <w:tc>
          <w:tcPr>
            <w:tcW w:w="964" w:type="dxa"/>
            <w:tcBorders>
              <w:bottom w:val="nil"/>
            </w:tcBorders>
          </w:tcPr>
          <w:p w14:paraId="26A9E715" w14:textId="77777777" w:rsidR="00824558" w:rsidRPr="00BB3D68" w:rsidRDefault="00824558">
            <w:pPr>
              <w:cnfStyle w:val="000000000000" w:firstRow="0" w:lastRow="0" w:firstColumn="0" w:lastColumn="0" w:oddVBand="0" w:evenVBand="0" w:oddHBand="0" w:evenHBand="0" w:firstRowFirstColumn="0" w:firstRowLastColumn="0" w:lastRowFirstColumn="0" w:lastRowLastColumn="0"/>
            </w:pPr>
            <w:r w:rsidRPr="00BB3D68">
              <w:t>16</w:t>
            </w:r>
          </w:p>
        </w:tc>
      </w:tr>
      <w:tr w:rsidR="00FC4DDD" w14:paraId="00E826AA" w14:textId="77777777" w:rsidTr="0091391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F21A4F" w14:textId="54FEB74E" w:rsidR="00FC4DDD" w:rsidRPr="00BB3D68" w:rsidRDefault="00FC4DDD" w:rsidP="00FC4DDD">
            <w:pPr>
              <w:ind w:left="170"/>
            </w:pPr>
            <w:r w:rsidRPr="00FC4DDD">
              <w:rPr>
                <w:i/>
              </w:rPr>
              <w:t>The 2025-26 expected outcome is higher than the 2025-26 target as 13 scholarships were able to be awarded within the allocated annual budget for this program. When applications are received for less than the maximum scholarship allowable, additional scholarships are able to be awarded.</w:t>
            </w:r>
          </w:p>
        </w:tc>
      </w:tr>
      <w:tr w:rsidR="00FC4DDD" w14:paraId="731BA18A" w14:textId="77777777" w:rsidTr="0091391F">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A33DFC0" w14:textId="16516EBA" w:rsidR="00FC4DDD" w:rsidRPr="00A16BEE" w:rsidRDefault="00A16BEE">
            <w:pPr>
              <w:rPr>
                <w:i/>
                <w:iCs/>
              </w:rPr>
            </w:pPr>
            <w:r w:rsidRPr="00A16BEE">
              <w:rPr>
                <w:b/>
                <w:bCs/>
              </w:rPr>
              <w:t>Cost</w:t>
            </w:r>
          </w:p>
        </w:tc>
      </w:tr>
      <w:tr w:rsidR="00D17A56" w14:paraId="03F9D7BC" w14:textId="77777777">
        <w:tc>
          <w:tcPr>
            <w:cnfStyle w:val="001000000000" w:firstRow="0" w:lastRow="0" w:firstColumn="1" w:lastColumn="0" w:oddVBand="0" w:evenVBand="0" w:oddHBand="0" w:evenHBand="0" w:firstRowFirstColumn="0" w:firstRowLastColumn="0" w:lastRowFirstColumn="0" w:lastRowLastColumn="0"/>
            <w:tcW w:w="4819" w:type="dxa"/>
          </w:tcPr>
          <w:p w14:paraId="402C8CCF" w14:textId="74A23E8C" w:rsidR="00D17A56" w:rsidRPr="00BB3D68" w:rsidRDefault="00D9762C">
            <w:pPr>
              <w:keepNext/>
              <w:ind w:left="170"/>
            </w:pPr>
            <w:r>
              <w:t>Total sub-output cost</w:t>
            </w:r>
            <w:r>
              <w:rPr>
                <w:rFonts w:ascii="Times New Roman" w:hAnsi="Times New Roman"/>
              </w:rPr>
              <w:t>​</w:t>
            </w:r>
          </w:p>
        </w:tc>
        <w:tc>
          <w:tcPr>
            <w:tcW w:w="964" w:type="dxa"/>
          </w:tcPr>
          <w:p w14:paraId="0822C77B" w14:textId="47065135" w:rsidR="00D17A56" w:rsidRPr="00BB3D68" w:rsidRDefault="006F1B43">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94B6AD6" w14:textId="373C3042" w:rsidR="00D17A56" w:rsidRPr="00BB3D68" w:rsidRDefault="00EF7B1B">
            <w:pPr>
              <w:cnfStyle w:val="000000000000" w:firstRow="0" w:lastRow="0" w:firstColumn="0" w:lastColumn="0" w:oddVBand="0" w:evenVBand="0" w:oddHBand="0" w:evenHBand="0" w:firstRowFirstColumn="0" w:firstRowLastColumn="0" w:lastRowFirstColumn="0" w:lastRowLastColumn="0"/>
            </w:pPr>
            <w:r>
              <w:t>151.4</w:t>
            </w:r>
          </w:p>
        </w:tc>
        <w:tc>
          <w:tcPr>
            <w:tcW w:w="964" w:type="dxa"/>
          </w:tcPr>
          <w:p w14:paraId="1D4E7394" w14:textId="35ECEDB4" w:rsidR="00D17A56" w:rsidRPr="00BB3D68" w:rsidRDefault="005D5E96">
            <w:pPr>
              <w:cnfStyle w:val="000000000000" w:firstRow="0" w:lastRow="0" w:firstColumn="0" w:lastColumn="0" w:oddVBand="0" w:evenVBand="0" w:oddHBand="0" w:evenHBand="0" w:firstRowFirstColumn="0" w:firstRowLastColumn="0" w:lastRowFirstColumn="0" w:lastRowLastColumn="0"/>
            </w:pPr>
            <w:r>
              <w:t>252.7</w:t>
            </w:r>
          </w:p>
        </w:tc>
        <w:tc>
          <w:tcPr>
            <w:tcW w:w="964" w:type="dxa"/>
          </w:tcPr>
          <w:p w14:paraId="65B4B474" w14:textId="6DB5D42E" w:rsidR="00D17A56" w:rsidRPr="00BB3D68" w:rsidRDefault="006F6F09">
            <w:pPr>
              <w:cnfStyle w:val="000000000000" w:firstRow="0" w:lastRow="0" w:firstColumn="0" w:lastColumn="0" w:oddVBand="0" w:evenVBand="0" w:oddHBand="0" w:evenHBand="0" w:firstRowFirstColumn="0" w:firstRowLastColumn="0" w:lastRowFirstColumn="0" w:lastRowLastColumn="0"/>
            </w:pPr>
            <w:r>
              <w:t>149.5</w:t>
            </w:r>
          </w:p>
        </w:tc>
        <w:tc>
          <w:tcPr>
            <w:tcW w:w="964" w:type="dxa"/>
          </w:tcPr>
          <w:p w14:paraId="607BAF1D" w14:textId="748E252A" w:rsidR="00D17A56" w:rsidRPr="00BB3D68" w:rsidRDefault="00E36633">
            <w:pPr>
              <w:cnfStyle w:val="000000000000" w:firstRow="0" w:lastRow="0" w:firstColumn="0" w:lastColumn="0" w:oddVBand="0" w:evenVBand="0" w:oddHBand="0" w:evenHBand="0" w:firstRowFirstColumn="0" w:firstRowLastColumn="0" w:lastRowFirstColumn="0" w:lastRowLastColumn="0"/>
            </w:pPr>
            <w:r>
              <w:t>129.7</w:t>
            </w:r>
          </w:p>
        </w:tc>
      </w:tr>
      <w:tr w:rsidR="00EF0ABA" w14:paraId="3EB7655C" w14:textId="77777777" w:rsidTr="0091391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B6076B8" w14:textId="2674AD85" w:rsidR="00EF0ABA" w:rsidRPr="00BB3D68" w:rsidRDefault="00EF0ABA" w:rsidP="00EF0ABA">
            <w:pPr>
              <w:ind w:left="170"/>
            </w:pPr>
            <w:r w:rsidRPr="00EF0ABA">
              <w:rPr>
                <w:i/>
              </w:rPr>
              <w:t>The 2025-26 expected outcome is higher than the 2025-26 target predominantly due to the additional government funding for drought</w:t>
            </w:r>
            <w:r w:rsidRPr="00EF0ABA">
              <w:rPr>
                <w:rFonts w:ascii="Cambria Math" w:hAnsi="Cambria Math" w:cs="Cambria Math"/>
                <w:i/>
              </w:rPr>
              <w:t>‑</w:t>
            </w:r>
            <w:r w:rsidRPr="00EF0ABA">
              <w:rPr>
                <w:i/>
              </w:rPr>
              <w:t>related support provided to farmers and communities in 2025-26.</w:t>
            </w:r>
          </w:p>
        </w:tc>
      </w:tr>
      <w:tr w:rsidR="00824558" w14:paraId="1AB215CE" w14:textId="77777777" w:rsidTr="0091391F">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603A306C" w14:textId="5BB8E748" w:rsidR="00824558" w:rsidRPr="00B513BB" w:rsidRDefault="00DC0EBC" w:rsidP="00D21BC8">
            <w:pPr>
              <w:keepNext/>
              <w:spacing w:before="60"/>
              <w:rPr>
                <w:b/>
                <w:bCs/>
                <w:iCs/>
              </w:rPr>
            </w:pPr>
            <w:r w:rsidRPr="00B513BB">
              <w:rPr>
                <w:b/>
                <w:bCs/>
                <w:iCs/>
              </w:rPr>
              <w:lastRenderedPageBreak/>
              <w:t>AGRICULTURE RESEARCH</w:t>
            </w:r>
          </w:p>
          <w:p w14:paraId="33609147" w14:textId="77777777" w:rsidR="00824558" w:rsidRDefault="00824558" w:rsidP="00D21BC8">
            <w:pPr>
              <w:keepNext/>
              <w:spacing w:before="60"/>
            </w:pPr>
            <w:r w:rsidRPr="00E50A6C">
              <w:rPr>
                <w:iCs/>
              </w:rPr>
              <w:t>This sub-outpu</w:t>
            </w:r>
            <w:r>
              <w:rPr>
                <w:iCs/>
              </w:rPr>
              <w:t xml:space="preserve">t </w:t>
            </w:r>
            <w:r w:rsidRPr="00B21C28">
              <w:rPr>
                <w:iCs/>
              </w:rPr>
              <w:t>delivers world-class research and innovation that supports Victorian agriculture to achieve productivity growth, biosecurity, market access, climate adaptation, and sustainable resource use. Research and innovation is delivered in collaboration with industry and other research organisations for the dairy, livestock, grains and horticulture sectors, and emerging areas such as forestry and Traditional Owner self-determination</w:t>
            </w:r>
            <w:r>
              <w:rPr>
                <w:iCs/>
              </w:rPr>
              <w:t>.</w:t>
            </w:r>
          </w:p>
        </w:tc>
      </w:tr>
      <w:tr w:rsidR="00C908AC" w:rsidRPr="00B513BB" w14:paraId="1B0A8486" w14:textId="77777777" w:rsidTr="0091391F">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57A87FA7" w14:textId="1A6D3C4A" w:rsidR="00C908AC" w:rsidRPr="00B513BB" w:rsidRDefault="00C908AC" w:rsidP="00C908AC">
            <w:pPr>
              <w:rPr>
                <w:b/>
                <w:bCs/>
              </w:rPr>
            </w:pPr>
            <w:r w:rsidRPr="00B513BB">
              <w:rPr>
                <w:b/>
                <w:bCs/>
              </w:rPr>
              <w:t>Quantity</w:t>
            </w:r>
          </w:p>
        </w:tc>
        <w:tc>
          <w:tcPr>
            <w:tcW w:w="964" w:type="dxa"/>
            <w:tcBorders>
              <w:top w:val="single" w:sz="6" w:space="0" w:color="auto"/>
            </w:tcBorders>
          </w:tcPr>
          <w:p w14:paraId="76361929" w14:textId="77777777" w:rsidR="00C908AC" w:rsidRPr="00B513BB" w:rsidRDefault="00C908AC">
            <w:pPr>
              <w:jc w:val="cente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shd w:val="clear" w:color="auto" w:fill="F0F0F0"/>
          </w:tcPr>
          <w:p w14:paraId="14701E87"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2C4FD26C"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0D48479D"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28F0055D"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r>
      <w:tr w:rsidR="00824558" w14:paraId="5F87C1EC" w14:textId="77777777" w:rsidTr="00C908A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D98A278" w14:textId="77777777" w:rsidR="00824558" w:rsidRDefault="00824558">
            <w:pPr>
              <w:ind w:left="170"/>
            </w:pPr>
            <w:r w:rsidRPr="00B21C28">
              <w:t>Agreements finalised with industry partners to commercialise intellectual property</w:t>
            </w:r>
          </w:p>
        </w:tc>
        <w:tc>
          <w:tcPr>
            <w:tcW w:w="964" w:type="dxa"/>
            <w:tcBorders>
              <w:bottom w:val="single" w:sz="6" w:space="0" w:color="auto"/>
            </w:tcBorders>
          </w:tcPr>
          <w:p w14:paraId="3D866A6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F7E2721"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0780B884"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7A9BE592"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5BFBA221"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r>
      <w:tr w:rsidR="00824558" w14:paraId="5E3661D4" w14:textId="77777777" w:rsidTr="007D5F4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6277730" w14:textId="77777777" w:rsidR="00824558" w:rsidRDefault="00824558">
            <w:pPr>
              <w:ind w:left="170"/>
            </w:pPr>
            <w:r>
              <w:t>Intellectual property protection disclosures accepted</w:t>
            </w:r>
          </w:p>
        </w:tc>
        <w:tc>
          <w:tcPr>
            <w:tcW w:w="964" w:type="dxa"/>
            <w:tcBorders>
              <w:top w:val="single" w:sz="6" w:space="0" w:color="auto"/>
              <w:bottom w:val="single" w:sz="6" w:space="0" w:color="auto"/>
            </w:tcBorders>
          </w:tcPr>
          <w:p w14:paraId="6314615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1FE694C8"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top w:val="single" w:sz="6" w:space="0" w:color="auto"/>
              <w:bottom w:val="single" w:sz="6" w:space="0" w:color="auto"/>
            </w:tcBorders>
          </w:tcPr>
          <w:p w14:paraId="6BE67826"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top w:val="single" w:sz="6" w:space="0" w:color="auto"/>
              <w:bottom w:val="single" w:sz="6" w:space="0" w:color="auto"/>
            </w:tcBorders>
          </w:tcPr>
          <w:p w14:paraId="039C2C31"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top w:val="single" w:sz="6" w:space="0" w:color="auto"/>
              <w:bottom w:val="single" w:sz="6" w:space="0" w:color="auto"/>
            </w:tcBorders>
          </w:tcPr>
          <w:p w14:paraId="1957F3F3"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r>
      <w:tr w:rsidR="00824558" w14:paraId="379D882F" w14:textId="77777777" w:rsidTr="007D5F4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6753F6D4" w14:textId="77777777" w:rsidR="00824558" w:rsidRDefault="00824558">
            <w:pPr>
              <w:ind w:left="170"/>
            </w:pPr>
            <w:r>
              <w:t>Postgraduate-level/PhD students in training</w:t>
            </w:r>
          </w:p>
        </w:tc>
        <w:tc>
          <w:tcPr>
            <w:tcW w:w="964" w:type="dxa"/>
            <w:tcBorders>
              <w:top w:val="single" w:sz="6" w:space="0" w:color="auto"/>
              <w:bottom w:val="single" w:sz="6" w:space="0" w:color="auto"/>
            </w:tcBorders>
          </w:tcPr>
          <w:p w14:paraId="1B3103A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4266C376"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7B6567DF"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7C4EC653"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751B6924"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r>
      <w:tr w:rsidR="00824558" w14:paraId="78E693C4" w14:textId="77777777">
        <w:tc>
          <w:tcPr>
            <w:cnfStyle w:val="001000000000" w:firstRow="0" w:lastRow="0" w:firstColumn="1" w:lastColumn="0" w:oddVBand="0" w:evenVBand="0" w:oddHBand="0" w:evenHBand="0" w:firstRowFirstColumn="0" w:firstRowLastColumn="0" w:lastRowFirstColumn="0" w:lastRowLastColumn="0"/>
            <w:tcW w:w="4819" w:type="dxa"/>
          </w:tcPr>
          <w:p w14:paraId="317E4186" w14:textId="77777777" w:rsidR="00824558" w:rsidRDefault="00824558">
            <w:pPr>
              <w:keepNext/>
              <w:ind w:left="170"/>
            </w:pPr>
            <w:r>
              <w:t>Ratio of external funds co-invested in agriculture research and development projects</w:t>
            </w:r>
          </w:p>
        </w:tc>
        <w:tc>
          <w:tcPr>
            <w:tcW w:w="964" w:type="dxa"/>
          </w:tcPr>
          <w:p w14:paraId="53A492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B8ED338"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6149ED59"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4" w:type="dxa"/>
          </w:tcPr>
          <w:p w14:paraId="6C235FA6"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41947D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81CF641" w14:textId="77777777" w:rsidTr="0046448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BFC608" w14:textId="1B5F0F0C" w:rsidR="00824558" w:rsidRDefault="00824558">
            <w:pPr>
              <w:ind w:left="170"/>
            </w:pPr>
            <w:r>
              <w:rPr>
                <w:i/>
              </w:rPr>
              <w:t>The 2025-26 expected outcome is higher than the 2025-26 target reflecting the Department</w:t>
            </w:r>
            <w:r w:rsidR="007942D1">
              <w:rPr>
                <w:i/>
              </w:rPr>
              <w:t>’</w:t>
            </w:r>
            <w:r>
              <w:rPr>
                <w:i/>
              </w:rPr>
              <w:t>s successful efforts this financial year in increasing co-investment levels in research and innovation programs.</w:t>
            </w:r>
          </w:p>
        </w:tc>
      </w:tr>
      <w:tr w:rsidR="00C908AC" w:rsidRPr="00B513BB" w14:paraId="5F43B596" w14:textId="77777777" w:rsidTr="0046448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3F1B794E" w14:textId="22C08F93" w:rsidR="00C908AC" w:rsidRPr="00B513BB" w:rsidRDefault="00C908AC" w:rsidP="00C908AC">
            <w:pPr>
              <w:rPr>
                <w:b/>
                <w:bCs/>
              </w:rPr>
            </w:pPr>
            <w:r w:rsidRPr="00B513BB">
              <w:rPr>
                <w:b/>
                <w:bCs/>
              </w:rPr>
              <w:t>Quality</w:t>
            </w:r>
          </w:p>
        </w:tc>
        <w:tc>
          <w:tcPr>
            <w:tcW w:w="964" w:type="dxa"/>
            <w:tcBorders>
              <w:top w:val="single" w:sz="6" w:space="0" w:color="auto"/>
            </w:tcBorders>
          </w:tcPr>
          <w:p w14:paraId="1C096CD2" w14:textId="77777777" w:rsidR="00C908AC" w:rsidRPr="00B513BB" w:rsidRDefault="00C908AC">
            <w:pPr>
              <w:jc w:val="cente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shd w:val="clear" w:color="auto" w:fill="F0F0F0"/>
          </w:tcPr>
          <w:p w14:paraId="30A072B5"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165D48FF"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13C61DCE"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32722009"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r>
      <w:tr w:rsidR="00824558" w14:paraId="04BD6FA6" w14:textId="77777777" w:rsidTr="00C908A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0B49E67" w14:textId="77777777" w:rsidR="00824558" w:rsidRDefault="00824558">
            <w:pPr>
              <w:ind w:left="170"/>
            </w:pPr>
            <w:r>
              <w:t>Satisfaction rating of external co-investors in agriculture research and development</w:t>
            </w:r>
          </w:p>
        </w:tc>
        <w:tc>
          <w:tcPr>
            <w:tcW w:w="964" w:type="dxa"/>
            <w:tcBorders>
              <w:bottom w:val="single" w:sz="6" w:space="0" w:color="auto"/>
            </w:tcBorders>
          </w:tcPr>
          <w:p w14:paraId="0A8D637F" w14:textId="1780D166" w:rsidR="00824558" w:rsidRDefault="00824558">
            <w:pPr>
              <w:jc w:val="center"/>
              <w:cnfStyle w:val="000000000000" w:firstRow="0" w:lastRow="0" w:firstColumn="0" w:lastColumn="0" w:oddVBand="0" w:evenVBand="0" w:oddHBand="0" w:evenHBand="0" w:firstRowFirstColumn="0" w:firstRowLastColumn="0" w:lastRowFirstColumn="0" w:lastRowLastColumn="0"/>
            </w:pPr>
            <w:r>
              <w:t xml:space="preserve">scale </w:t>
            </w:r>
            <w:r w:rsidR="001C5991">
              <w:br/>
            </w:r>
            <w:r>
              <w:t>(1</w:t>
            </w:r>
            <w:r w:rsidR="00B73028">
              <w:t>–</w:t>
            </w:r>
            <w:r>
              <w:t>10)</w:t>
            </w:r>
          </w:p>
        </w:tc>
        <w:tc>
          <w:tcPr>
            <w:tcW w:w="964" w:type="dxa"/>
            <w:tcBorders>
              <w:bottom w:val="single" w:sz="6" w:space="0" w:color="auto"/>
            </w:tcBorders>
            <w:shd w:val="clear" w:color="auto" w:fill="F0F0F0"/>
          </w:tcPr>
          <w:p w14:paraId="32C0ABA2"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2379A28C"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0034E404"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388FEE80"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r>
      <w:tr w:rsidR="00824558" w14:paraId="7C5B6882" w14:textId="77777777" w:rsidTr="00C908A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270DE9C" w14:textId="77777777" w:rsidR="00824558" w:rsidRDefault="00824558">
            <w:pPr>
              <w:ind w:left="170"/>
            </w:pPr>
            <w:r>
              <w:t>Scientific and technical publications accepted for publication following independent peer review</w:t>
            </w:r>
          </w:p>
        </w:tc>
        <w:tc>
          <w:tcPr>
            <w:tcW w:w="964" w:type="dxa"/>
            <w:tcBorders>
              <w:bottom w:val="single" w:sz="6" w:space="0" w:color="auto"/>
            </w:tcBorders>
          </w:tcPr>
          <w:p w14:paraId="6F1906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E1851E6"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760AB759"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1428C686"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7B54B973"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r>
      <w:tr w:rsidR="00C908AC" w:rsidRPr="00B513BB" w14:paraId="4197A5B5" w14:textId="77777777" w:rsidTr="00C908AC">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7B897D0C" w14:textId="67C6DE8B" w:rsidR="00C908AC" w:rsidRPr="00B513BB" w:rsidRDefault="00C908AC" w:rsidP="00C908AC">
            <w:pPr>
              <w:rPr>
                <w:b/>
                <w:bCs/>
              </w:rPr>
            </w:pPr>
            <w:r w:rsidRPr="00B513BB">
              <w:rPr>
                <w:b/>
                <w:bCs/>
              </w:rPr>
              <w:t>Timeliness</w:t>
            </w:r>
          </w:p>
        </w:tc>
        <w:tc>
          <w:tcPr>
            <w:tcW w:w="964" w:type="dxa"/>
            <w:tcBorders>
              <w:top w:val="single" w:sz="6" w:space="0" w:color="auto"/>
            </w:tcBorders>
          </w:tcPr>
          <w:p w14:paraId="648F2FA4" w14:textId="77777777" w:rsidR="00C908AC" w:rsidRPr="00B513BB" w:rsidRDefault="00C908AC">
            <w:pPr>
              <w:jc w:val="cente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shd w:val="clear" w:color="auto" w:fill="F0F0F0"/>
          </w:tcPr>
          <w:p w14:paraId="64239133"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43863D93"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0FF50766"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c>
          <w:tcPr>
            <w:tcW w:w="964" w:type="dxa"/>
            <w:tcBorders>
              <w:top w:val="single" w:sz="6" w:space="0" w:color="auto"/>
            </w:tcBorders>
          </w:tcPr>
          <w:p w14:paraId="4629831C" w14:textId="77777777" w:rsidR="00C908AC" w:rsidRPr="00B513BB" w:rsidRDefault="00C908AC">
            <w:pPr>
              <w:cnfStyle w:val="000000000000" w:firstRow="0" w:lastRow="0" w:firstColumn="0" w:lastColumn="0" w:oddVBand="0" w:evenVBand="0" w:oddHBand="0" w:evenHBand="0" w:firstRowFirstColumn="0" w:firstRowLastColumn="0" w:lastRowFirstColumn="0" w:lastRowLastColumn="0"/>
              <w:rPr>
                <w:b/>
                <w:bCs/>
              </w:rPr>
            </w:pPr>
          </w:p>
        </w:tc>
      </w:tr>
      <w:tr w:rsidR="00824558" w14:paraId="0EED41C9" w14:textId="77777777" w:rsidTr="00C908A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13F9320" w14:textId="77777777" w:rsidR="00824558" w:rsidRDefault="00824558">
            <w:pPr>
              <w:ind w:left="170"/>
            </w:pPr>
            <w:r>
              <w:t>Pest and disease diagnostic test results provided to industry and government within agreed timeframes</w:t>
            </w:r>
          </w:p>
        </w:tc>
        <w:tc>
          <w:tcPr>
            <w:tcW w:w="964" w:type="dxa"/>
            <w:tcBorders>
              <w:bottom w:val="single" w:sz="6" w:space="0" w:color="auto"/>
            </w:tcBorders>
          </w:tcPr>
          <w:p w14:paraId="1E30823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7F61871"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68AD48E"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4BF9A57"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EAA1B7B"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14:paraId="50432E2F" w14:textId="77777777" w:rsidTr="007D5F41">
        <w:trPr>
          <w:trHeight w:val="29"/>
        </w:trPr>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F01787D" w14:textId="77777777" w:rsidR="00824558" w:rsidRDefault="00824558">
            <w:pPr>
              <w:ind w:left="170"/>
            </w:pPr>
            <w:r>
              <w:t>Research project milestones and reports completed on time</w:t>
            </w:r>
          </w:p>
        </w:tc>
        <w:tc>
          <w:tcPr>
            <w:tcW w:w="964" w:type="dxa"/>
            <w:tcBorders>
              <w:bottom w:val="single" w:sz="6" w:space="0" w:color="auto"/>
            </w:tcBorders>
          </w:tcPr>
          <w:p w14:paraId="36781D4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9087D7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5C2396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72162A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6D2CE5A"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0E524D" w14:paraId="03570BEF" w14:textId="77777777" w:rsidTr="007D5F41">
        <w:trPr>
          <w:trHeight w:val="29"/>
        </w:trPr>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nil"/>
            </w:tcBorders>
          </w:tcPr>
          <w:p w14:paraId="01C52632" w14:textId="13BBEF0D" w:rsidR="000E524D" w:rsidRDefault="00406461">
            <w:r w:rsidRPr="001E6E88">
              <w:rPr>
                <w:b/>
                <w:bCs/>
              </w:rPr>
              <w:t>Cost</w:t>
            </w:r>
          </w:p>
        </w:tc>
      </w:tr>
      <w:tr w:rsidR="000E524D" w14:paraId="0D3DD163" w14:textId="77777777" w:rsidTr="007D5F41">
        <w:trPr>
          <w:trHeight w:val="29"/>
        </w:trPr>
        <w:tc>
          <w:tcPr>
            <w:cnfStyle w:val="001000000000" w:firstRow="0" w:lastRow="0" w:firstColumn="1" w:lastColumn="0" w:oddVBand="0" w:evenVBand="0" w:oddHBand="0" w:evenHBand="0" w:firstRowFirstColumn="0" w:firstRowLastColumn="0" w:lastRowFirstColumn="0" w:lastRowLastColumn="0"/>
            <w:tcW w:w="4819" w:type="dxa"/>
            <w:tcBorders>
              <w:top w:val="nil"/>
            </w:tcBorders>
          </w:tcPr>
          <w:p w14:paraId="57431E14" w14:textId="4DB2C0F1" w:rsidR="000E524D" w:rsidRDefault="001E6E88">
            <w:pPr>
              <w:ind w:left="170"/>
            </w:pPr>
            <w:r>
              <w:t>Total sub-output cost</w:t>
            </w:r>
          </w:p>
        </w:tc>
        <w:tc>
          <w:tcPr>
            <w:tcW w:w="964" w:type="dxa"/>
            <w:tcBorders>
              <w:top w:val="nil"/>
            </w:tcBorders>
          </w:tcPr>
          <w:p w14:paraId="44E5CF84" w14:textId="71E752EB" w:rsidR="000E524D" w:rsidRDefault="007D406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nil"/>
            </w:tcBorders>
            <w:shd w:val="clear" w:color="auto" w:fill="F0F0F0"/>
          </w:tcPr>
          <w:p w14:paraId="3F56C429" w14:textId="3C59A8EE" w:rsidR="000E524D" w:rsidRDefault="005153FA">
            <w:pPr>
              <w:cnfStyle w:val="000000000000" w:firstRow="0" w:lastRow="0" w:firstColumn="0" w:lastColumn="0" w:oddVBand="0" w:evenVBand="0" w:oddHBand="0" w:evenHBand="0" w:firstRowFirstColumn="0" w:firstRowLastColumn="0" w:lastRowFirstColumn="0" w:lastRowLastColumn="0"/>
            </w:pPr>
            <w:r>
              <w:t>104.7</w:t>
            </w:r>
          </w:p>
        </w:tc>
        <w:tc>
          <w:tcPr>
            <w:tcW w:w="964" w:type="dxa"/>
            <w:tcBorders>
              <w:top w:val="nil"/>
            </w:tcBorders>
          </w:tcPr>
          <w:p w14:paraId="7EB01E20" w14:textId="7AC6240F" w:rsidR="000E524D" w:rsidRDefault="001D3174">
            <w:pPr>
              <w:cnfStyle w:val="000000000000" w:firstRow="0" w:lastRow="0" w:firstColumn="0" w:lastColumn="0" w:oddVBand="0" w:evenVBand="0" w:oddHBand="0" w:evenHBand="0" w:firstRowFirstColumn="0" w:firstRowLastColumn="0" w:lastRowFirstColumn="0" w:lastRowLastColumn="0"/>
            </w:pPr>
            <w:r>
              <w:t>115.2</w:t>
            </w:r>
          </w:p>
        </w:tc>
        <w:tc>
          <w:tcPr>
            <w:tcW w:w="964" w:type="dxa"/>
            <w:tcBorders>
              <w:top w:val="nil"/>
            </w:tcBorders>
          </w:tcPr>
          <w:p w14:paraId="4580AB89" w14:textId="6A9E0312" w:rsidR="000E524D" w:rsidRDefault="0082469C">
            <w:pPr>
              <w:cnfStyle w:val="000000000000" w:firstRow="0" w:lastRow="0" w:firstColumn="0" w:lastColumn="0" w:oddVBand="0" w:evenVBand="0" w:oddHBand="0" w:evenHBand="0" w:firstRowFirstColumn="0" w:firstRowLastColumn="0" w:lastRowFirstColumn="0" w:lastRowLastColumn="0"/>
            </w:pPr>
            <w:r>
              <w:t>98.0</w:t>
            </w:r>
          </w:p>
        </w:tc>
        <w:tc>
          <w:tcPr>
            <w:tcW w:w="964" w:type="dxa"/>
            <w:tcBorders>
              <w:top w:val="nil"/>
            </w:tcBorders>
          </w:tcPr>
          <w:p w14:paraId="74416E9F" w14:textId="030E6D1E" w:rsidR="000E524D" w:rsidRDefault="0088198F">
            <w:pPr>
              <w:cnfStyle w:val="000000000000" w:firstRow="0" w:lastRow="0" w:firstColumn="0" w:lastColumn="0" w:oddVBand="0" w:evenVBand="0" w:oddHBand="0" w:evenHBand="0" w:firstRowFirstColumn="0" w:firstRowLastColumn="0" w:lastRowFirstColumn="0" w:lastRowLastColumn="0"/>
            </w:pPr>
            <w:r>
              <w:t>115.5</w:t>
            </w:r>
          </w:p>
        </w:tc>
      </w:tr>
      <w:tr w:rsidR="0088198F" w14:paraId="722EF606" w14:textId="77777777" w:rsidTr="003B0AAC">
        <w:trPr>
          <w:trHeight w:val="29"/>
        </w:trPr>
        <w:tc>
          <w:tcPr>
            <w:cnfStyle w:val="001000000000" w:firstRow="0" w:lastRow="0" w:firstColumn="1" w:lastColumn="0" w:oddVBand="0" w:evenVBand="0" w:oddHBand="0" w:evenHBand="0" w:firstRowFirstColumn="0" w:firstRowLastColumn="0" w:lastRowFirstColumn="0" w:lastRowLastColumn="0"/>
            <w:tcW w:w="9639" w:type="dxa"/>
            <w:gridSpan w:val="6"/>
          </w:tcPr>
          <w:p w14:paraId="644CD25C" w14:textId="7DA434E5" w:rsidR="0088198F" w:rsidRDefault="008C69C6" w:rsidP="003B0AAC">
            <w:pPr>
              <w:ind w:left="170"/>
            </w:pPr>
            <w:r w:rsidRPr="00A140DB">
              <w:rPr>
                <w:i/>
                <w:iCs/>
              </w:rPr>
              <w:t xml:space="preserve">The </w:t>
            </w:r>
            <w:r>
              <w:rPr>
                <w:i/>
                <w:iCs/>
              </w:rPr>
              <w:t xml:space="preserve">2025-26 </w:t>
            </w:r>
            <w:r w:rsidRPr="00A140DB">
              <w:rPr>
                <w:i/>
                <w:iCs/>
              </w:rPr>
              <w:t>expected outcome is higher than the</w:t>
            </w:r>
            <w:r>
              <w:rPr>
                <w:i/>
                <w:iCs/>
              </w:rPr>
              <w:t xml:space="preserve"> 2025-26</w:t>
            </w:r>
            <w:r w:rsidRPr="00A140DB">
              <w:rPr>
                <w:i/>
                <w:iCs/>
              </w:rPr>
              <w:t xml:space="preserve"> target predominantly due to the allocation of indirect output cost across three Agriculture sub-outputs (Agriculture Industry and Development Regulation, Agriculture Research</w:t>
            </w:r>
            <w:r>
              <w:rPr>
                <w:i/>
                <w:iCs/>
              </w:rPr>
              <w:t>,</w:t>
            </w:r>
            <w:r w:rsidRPr="00A140DB">
              <w:rPr>
                <w:i/>
                <w:iCs/>
              </w:rPr>
              <w:t xml:space="preserve"> and Biosecurity and Agriculture Services) and additional Research and Development contributions</w:t>
            </w:r>
            <w:r w:rsidR="00C87B98">
              <w:rPr>
                <w:i/>
                <w:iCs/>
              </w:rPr>
              <w:t>,</w:t>
            </w:r>
            <w:r w:rsidRPr="00A140DB">
              <w:rPr>
                <w:i/>
                <w:iCs/>
              </w:rPr>
              <w:t xml:space="preserve"> due to realignment with milestone payments under contracted research programs.</w:t>
            </w:r>
          </w:p>
        </w:tc>
      </w:tr>
      <w:tr w:rsidR="003B0AAC" w14:paraId="0507BC7B" w14:textId="77777777" w:rsidTr="003B0AAC">
        <w:trPr>
          <w:trHeight w:val="29"/>
        </w:trPr>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24325A4" w14:textId="1B4D13AC" w:rsidR="003B0AAC" w:rsidRPr="003B0AAC" w:rsidRDefault="00D442BA" w:rsidP="003B0AAC">
            <w:pPr>
              <w:ind w:left="170"/>
              <w:rPr>
                <w:i/>
              </w:rPr>
            </w:pPr>
            <w:r w:rsidRPr="00E2672E">
              <w:rPr>
                <w:i/>
                <w:iCs/>
              </w:rPr>
              <w:t>The higher 2026-27 target predominantly reflects the allocation of indirect output cost across three Agriculture sub-outputs (Agriculture Industry and Development Regulation, Agriculture Research and Biosecurity and Agriculture Services).</w:t>
            </w:r>
          </w:p>
        </w:tc>
      </w:tr>
      <w:tr w:rsidR="00824558" w14:paraId="4BC206BD" w14:textId="77777777" w:rsidTr="0091391F">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3C4F9299" w14:textId="10092C41" w:rsidR="00824558" w:rsidRDefault="00DC0EBC" w:rsidP="006F31E9">
            <w:pPr>
              <w:keepNext/>
              <w:spacing w:before="60"/>
              <w:rPr>
                <w:b/>
                <w:bCs/>
                <w:iCs/>
              </w:rPr>
            </w:pPr>
            <w:r>
              <w:rPr>
                <w:b/>
                <w:bCs/>
                <w:iCs/>
              </w:rPr>
              <w:t xml:space="preserve">BIOSECURITY AND </w:t>
            </w:r>
            <w:r w:rsidRPr="00E50A6C">
              <w:rPr>
                <w:b/>
                <w:bCs/>
                <w:iCs/>
              </w:rPr>
              <w:t xml:space="preserve">AGRICULTURE </w:t>
            </w:r>
            <w:r>
              <w:rPr>
                <w:b/>
                <w:bCs/>
                <w:iCs/>
              </w:rPr>
              <w:t>SERVICES</w:t>
            </w:r>
          </w:p>
          <w:p w14:paraId="53B7C309" w14:textId="77777777" w:rsidR="00824558" w:rsidRDefault="00824558" w:rsidP="006F31E9">
            <w:pPr>
              <w:keepNext/>
              <w:spacing w:before="60"/>
            </w:pPr>
            <w:r w:rsidRPr="00E50A6C">
              <w:rPr>
                <w:iCs/>
              </w:rPr>
              <w:t>This sub-outpu</w:t>
            </w:r>
            <w:r>
              <w:rPr>
                <w:iCs/>
              </w:rPr>
              <w:t xml:space="preserve">t </w:t>
            </w:r>
            <w:r w:rsidRPr="00B21C28">
              <w:rPr>
                <w:iCs/>
              </w:rPr>
              <w:t xml:space="preserve">delivers </w:t>
            </w:r>
            <w:r w:rsidRPr="004319ED">
              <w:rPr>
                <w:iCs/>
              </w:rPr>
              <w:t>biosecurity, agriculture and emergency management services and regulatory programs which support the food</w:t>
            </w:r>
            <w:r>
              <w:rPr>
                <w:iCs/>
              </w:rPr>
              <w:t xml:space="preserve"> </w:t>
            </w:r>
            <w:r w:rsidRPr="004319ED">
              <w:rPr>
                <w:iCs/>
              </w:rPr>
              <w:t>and fibre sector to achieve sustainable growth while managing risks and minimising adverse impacts to the economy, environment and</w:t>
            </w:r>
            <w:r>
              <w:rPr>
                <w:iCs/>
              </w:rPr>
              <w:t xml:space="preserve"> </w:t>
            </w:r>
            <w:r w:rsidRPr="004319ED">
              <w:rPr>
                <w:iCs/>
              </w:rPr>
              <w:t>public health and safety.</w:t>
            </w:r>
          </w:p>
        </w:tc>
      </w:tr>
      <w:tr w:rsidR="00824558" w14:paraId="57B54264" w14:textId="77777777" w:rsidTr="0091391F">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6D894BA9" w14:textId="77777777" w:rsidR="00824558" w:rsidRPr="00B513BB" w:rsidRDefault="00824558">
            <w:pPr>
              <w:rPr>
                <w:b/>
                <w:bCs/>
              </w:rPr>
            </w:pPr>
            <w:r w:rsidRPr="00B513BB">
              <w:rPr>
                <w:b/>
                <w:bCs/>
              </w:rPr>
              <w:t>Quantity</w:t>
            </w:r>
          </w:p>
          <w:p w14:paraId="47288BC7" w14:textId="77777777" w:rsidR="00824558" w:rsidRDefault="00824558">
            <w:pPr>
              <w:ind w:left="170"/>
            </w:pPr>
            <w:r>
              <w:t>Animal disease, welfare and product integrity control programs maintained to ensure Victorian agricultural produce complies with food safety, animal welfare and biosecurity standards required to access markets</w:t>
            </w:r>
          </w:p>
        </w:tc>
        <w:tc>
          <w:tcPr>
            <w:tcW w:w="964" w:type="dxa"/>
            <w:tcBorders>
              <w:top w:val="single" w:sz="6" w:space="0" w:color="auto"/>
              <w:bottom w:val="single" w:sz="6" w:space="0" w:color="auto"/>
            </w:tcBorders>
          </w:tcPr>
          <w:p w14:paraId="7987350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p>
          <w:p w14:paraId="5309F7F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407A1E49" w14:textId="77777777" w:rsidR="00824558" w:rsidRDefault="00824558">
            <w:pPr>
              <w:cnfStyle w:val="000000000000" w:firstRow="0" w:lastRow="0" w:firstColumn="0" w:lastColumn="0" w:oddVBand="0" w:evenVBand="0" w:oddHBand="0" w:evenHBand="0" w:firstRowFirstColumn="0" w:firstRowLastColumn="0" w:lastRowFirstColumn="0" w:lastRowLastColumn="0"/>
            </w:pPr>
          </w:p>
          <w:p w14:paraId="27E8BDC6"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top w:val="single" w:sz="6" w:space="0" w:color="auto"/>
              <w:bottom w:val="single" w:sz="6" w:space="0" w:color="auto"/>
            </w:tcBorders>
          </w:tcPr>
          <w:p w14:paraId="26C513F2" w14:textId="77777777" w:rsidR="00824558" w:rsidRDefault="00824558">
            <w:pPr>
              <w:cnfStyle w:val="000000000000" w:firstRow="0" w:lastRow="0" w:firstColumn="0" w:lastColumn="0" w:oddVBand="0" w:evenVBand="0" w:oddHBand="0" w:evenHBand="0" w:firstRowFirstColumn="0" w:firstRowLastColumn="0" w:lastRowFirstColumn="0" w:lastRowLastColumn="0"/>
            </w:pPr>
          </w:p>
          <w:p w14:paraId="719AFB89"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top w:val="single" w:sz="6" w:space="0" w:color="auto"/>
              <w:bottom w:val="single" w:sz="6" w:space="0" w:color="auto"/>
            </w:tcBorders>
          </w:tcPr>
          <w:p w14:paraId="61B0A1B1" w14:textId="77777777" w:rsidR="00824558" w:rsidRDefault="00824558">
            <w:pPr>
              <w:cnfStyle w:val="000000000000" w:firstRow="0" w:lastRow="0" w:firstColumn="0" w:lastColumn="0" w:oddVBand="0" w:evenVBand="0" w:oddHBand="0" w:evenHBand="0" w:firstRowFirstColumn="0" w:firstRowLastColumn="0" w:lastRowFirstColumn="0" w:lastRowLastColumn="0"/>
            </w:pPr>
          </w:p>
          <w:p w14:paraId="5037E4EF"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top w:val="single" w:sz="6" w:space="0" w:color="auto"/>
              <w:bottom w:val="single" w:sz="6" w:space="0" w:color="auto"/>
            </w:tcBorders>
          </w:tcPr>
          <w:p w14:paraId="0B56724E" w14:textId="77777777" w:rsidR="00824558" w:rsidRDefault="00824558">
            <w:pPr>
              <w:cnfStyle w:val="000000000000" w:firstRow="0" w:lastRow="0" w:firstColumn="0" w:lastColumn="0" w:oddVBand="0" w:evenVBand="0" w:oddHBand="0" w:evenHBand="0" w:firstRowFirstColumn="0" w:firstRowLastColumn="0" w:lastRowFirstColumn="0" w:lastRowLastColumn="0"/>
            </w:pPr>
          </w:p>
          <w:p w14:paraId="0E6BC6C6"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40B261A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FC0D376" w14:textId="6579EB3E" w:rsidR="00824558" w:rsidRDefault="00824558" w:rsidP="00C908AC">
            <w:pPr>
              <w:ind w:left="170"/>
            </w:pPr>
            <w:r>
              <w:t>Client interactions with land health services</w:t>
            </w:r>
          </w:p>
        </w:tc>
        <w:tc>
          <w:tcPr>
            <w:tcW w:w="964" w:type="dxa"/>
            <w:tcBorders>
              <w:bottom w:val="single" w:sz="6" w:space="0" w:color="auto"/>
            </w:tcBorders>
          </w:tcPr>
          <w:p w14:paraId="037D4D9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916F0D2"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Borders>
              <w:bottom w:val="single" w:sz="6" w:space="0" w:color="auto"/>
            </w:tcBorders>
          </w:tcPr>
          <w:p w14:paraId="0021AD5E"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Borders>
              <w:bottom w:val="single" w:sz="6" w:space="0" w:color="auto"/>
            </w:tcBorders>
          </w:tcPr>
          <w:p w14:paraId="2704930A"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Borders>
              <w:bottom w:val="single" w:sz="6" w:space="0" w:color="auto"/>
            </w:tcBorders>
          </w:tcPr>
          <w:p w14:paraId="7589C0B2" w14:textId="77777777" w:rsidR="00824558" w:rsidRDefault="00824558">
            <w:pPr>
              <w:cnfStyle w:val="000000000000" w:firstRow="0" w:lastRow="0" w:firstColumn="0" w:lastColumn="0" w:oddVBand="0" w:evenVBand="0" w:oddHBand="0" w:evenHBand="0" w:firstRowFirstColumn="0" w:firstRowLastColumn="0" w:lastRowFirstColumn="0" w:lastRowLastColumn="0"/>
            </w:pPr>
            <w:r>
              <w:t>2 186</w:t>
            </w:r>
          </w:p>
        </w:tc>
      </w:tr>
      <w:tr w:rsidR="00824558" w14:paraId="35110B4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65825CC" w14:textId="77777777" w:rsidR="00824558" w:rsidRDefault="00824558">
            <w:pPr>
              <w:ind w:left="170"/>
            </w:pPr>
            <w:r>
              <w:t>Clients engaged with agriculture productivity services</w:t>
            </w:r>
          </w:p>
        </w:tc>
        <w:tc>
          <w:tcPr>
            <w:tcW w:w="964" w:type="dxa"/>
            <w:tcBorders>
              <w:bottom w:val="single" w:sz="6" w:space="0" w:color="auto"/>
            </w:tcBorders>
          </w:tcPr>
          <w:p w14:paraId="4EAEC17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140376A" w14:textId="77777777" w:rsidR="00824558" w:rsidRDefault="00824558">
            <w:pPr>
              <w:cnfStyle w:val="000000000000" w:firstRow="0" w:lastRow="0" w:firstColumn="0" w:lastColumn="0" w:oddVBand="0" w:evenVBand="0" w:oddHBand="0" w:evenHBand="0" w:firstRowFirstColumn="0" w:firstRowLastColumn="0" w:lastRowFirstColumn="0" w:lastRowLastColumn="0"/>
            </w:pPr>
            <w:r>
              <w:t>3 910</w:t>
            </w:r>
          </w:p>
        </w:tc>
        <w:tc>
          <w:tcPr>
            <w:tcW w:w="964" w:type="dxa"/>
            <w:tcBorders>
              <w:bottom w:val="single" w:sz="6" w:space="0" w:color="auto"/>
            </w:tcBorders>
          </w:tcPr>
          <w:p w14:paraId="379AA0CB" w14:textId="77777777" w:rsidR="00824558" w:rsidRDefault="00824558">
            <w:pPr>
              <w:cnfStyle w:val="000000000000" w:firstRow="0" w:lastRow="0" w:firstColumn="0" w:lastColumn="0" w:oddVBand="0" w:evenVBand="0" w:oddHBand="0" w:evenHBand="0" w:firstRowFirstColumn="0" w:firstRowLastColumn="0" w:lastRowFirstColumn="0" w:lastRowLastColumn="0"/>
            </w:pPr>
            <w:r>
              <w:t>3 910</w:t>
            </w:r>
          </w:p>
        </w:tc>
        <w:tc>
          <w:tcPr>
            <w:tcW w:w="964" w:type="dxa"/>
            <w:tcBorders>
              <w:bottom w:val="single" w:sz="6" w:space="0" w:color="auto"/>
            </w:tcBorders>
          </w:tcPr>
          <w:p w14:paraId="421769EE" w14:textId="77777777" w:rsidR="00824558" w:rsidRDefault="00824558">
            <w:pPr>
              <w:cnfStyle w:val="000000000000" w:firstRow="0" w:lastRow="0" w:firstColumn="0" w:lastColumn="0" w:oddVBand="0" w:evenVBand="0" w:oddHBand="0" w:evenHBand="0" w:firstRowFirstColumn="0" w:firstRowLastColumn="0" w:lastRowFirstColumn="0" w:lastRowLastColumn="0"/>
            </w:pPr>
            <w:r>
              <w:t>3 910</w:t>
            </w:r>
          </w:p>
        </w:tc>
        <w:tc>
          <w:tcPr>
            <w:tcW w:w="964" w:type="dxa"/>
            <w:tcBorders>
              <w:bottom w:val="single" w:sz="6" w:space="0" w:color="auto"/>
            </w:tcBorders>
          </w:tcPr>
          <w:p w14:paraId="1747B5AA" w14:textId="77777777" w:rsidR="00824558" w:rsidRDefault="00824558">
            <w:pPr>
              <w:cnfStyle w:val="000000000000" w:firstRow="0" w:lastRow="0" w:firstColumn="0" w:lastColumn="0" w:oddVBand="0" w:evenVBand="0" w:oddHBand="0" w:evenHBand="0" w:firstRowFirstColumn="0" w:firstRowLastColumn="0" w:lastRowFirstColumn="0" w:lastRowLastColumn="0"/>
            </w:pPr>
            <w:r>
              <w:t>4 861</w:t>
            </w:r>
          </w:p>
        </w:tc>
      </w:tr>
      <w:tr w:rsidR="00824558" w14:paraId="6B9A527D" w14:textId="77777777">
        <w:tc>
          <w:tcPr>
            <w:cnfStyle w:val="001000000000" w:firstRow="0" w:lastRow="0" w:firstColumn="1" w:lastColumn="0" w:oddVBand="0" w:evenVBand="0" w:oddHBand="0" w:evenHBand="0" w:firstRowFirstColumn="0" w:firstRowLastColumn="0" w:lastRowFirstColumn="0" w:lastRowLastColumn="0"/>
            <w:tcW w:w="4819" w:type="dxa"/>
          </w:tcPr>
          <w:p w14:paraId="69EB934A" w14:textId="77777777" w:rsidR="00824558" w:rsidRDefault="00824558">
            <w:pPr>
              <w:keepNext/>
              <w:ind w:left="170"/>
            </w:pPr>
            <w:r>
              <w:t>Inspections or audits of scientific establishments undertaken to provide assurance of compliance with relevant industry standards for animal welfare</w:t>
            </w:r>
          </w:p>
        </w:tc>
        <w:tc>
          <w:tcPr>
            <w:tcW w:w="964" w:type="dxa"/>
          </w:tcPr>
          <w:p w14:paraId="0D7E639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4BE5172"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54475CDA"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50C1FA40"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3CAA4809"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r>
      <w:tr w:rsidR="00824558" w14:paraId="438C308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5B81B8" w14:textId="77777777" w:rsidR="00824558" w:rsidRDefault="00824558">
            <w:pPr>
              <w:ind w:left="170"/>
            </w:pPr>
            <w:r>
              <w:rPr>
                <w:i/>
              </w:rPr>
              <w:t xml:space="preserve">This performance measure has been transferred from the Agriculture Industry Development and Regulation sub-output to reflect administrative changes to the program and the associated transfer of output funding. </w:t>
            </w:r>
          </w:p>
        </w:tc>
      </w:tr>
      <w:tr w:rsidR="00824558" w14:paraId="0FBFFAD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42DBBB2" w14:textId="77777777" w:rsidR="00824558" w:rsidRDefault="00824558">
            <w:pPr>
              <w:ind w:left="170"/>
            </w:pPr>
            <w:r>
              <w:t>Known state prohibited weed sites monitored and treated in line with the relevant weed action plan</w:t>
            </w:r>
          </w:p>
        </w:tc>
        <w:tc>
          <w:tcPr>
            <w:tcW w:w="964" w:type="dxa"/>
            <w:tcBorders>
              <w:bottom w:val="single" w:sz="6" w:space="0" w:color="auto"/>
            </w:tcBorders>
          </w:tcPr>
          <w:p w14:paraId="19869F0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C8F1FF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9CA137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859495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45F86B6"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2491CAE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306D45C" w14:textId="77777777" w:rsidR="00824558" w:rsidRDefault="00824558">
            <w:pPr>
              <w:ind w:left="170"/>
            </w:pPr>
            <w:r>
              <w:t>Plant pest, disease and residue control programs maintained to ensure Victorian agricultural produce complies with food safety and biosecurity standards required to access markets</w:t>
            </w:r>
          </w:p>
        </w:tc>
        <w:tc>
          <w:tcPr>
            <w:tcW w:w="964" w:type="dxa"/>
            <w:tcBorders>
              <w:bottom w:val="single" w:sz="6" w:space="0" w:color="auto"/>
            </w:tcBorders>
          </w:tcPr>
          <w:p w14:paraId="480DA77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EDF26A0"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61D99526"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733BC884"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57885781"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14:paraId="3624D3AF" w14:textId="77777777">
        <w:tc>
          <w:tcPr>
            <w:cnfStyle w:val="001000000000" w:firstRow="0" w:lastRow="0" w:firstColumn="1" w:lastColumn="0" w:oddVBand="0" w:evenVBand="0" w:oddHBand="0" w:evenHBand="0" w:firstRowFirstColumn="0" w:firstRowLastColumn="0" w:lastRowFirstColumn="0" w:lastRowLastColumn="0"/>
            <w:tcW w:w="4819" w:type="dxa"/>
          </w:tcPr>
          <w:p w14:paraId="0821CDFF" w14:textId="77777777" w:rsidR="00824558" w:rsidRDefault="00824558">
            <w:pPr>
              <w:keepNext/>
              <w:ind w:left="170"/>
            </w:pPr>
            <w:r>
              <w:t>Properties inspected for invasive plant and animal priority species</w:t>
            </w:r>
          </w:p>
        </w:tc>
        <w:tc>
          <w:tcPr>
            <w:tcW w:w="964" w:type="dxa"/>
          </w:tcPr>
          <w:p w14:paraId="13E86D7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6BBCF5C" w14:textId="77777777" w:rsidR="00824558" w:rsidRDefault="00824558">
            <w:pPr>
              <w:cnfStyle w:val="000000000000" w:firstRow="0" w:lastRow="0" w:firstColumn="0" w:lastColumn="0" w:oddVBand="0" w:evenVBand="0" w:oddHBand="0" w:evenHBand="0" w:firstRowFirstColumn="0" w:firstRowLastColumn="0" w:lastRowFirstColumn="0" w:lastRowLastColumn="0"/>
            </w:pPr>
            <w:r>
              <w:t>1 800</w:t>
            </w:r>
          </w:p>
        </w:tc>
        <w:tc>
          <w:tcPr>
            <w:tcW w:w="964" w:type="dxa"/>
          </w:tcPr>
          <w:p w14:paraId="7E0EDC8D"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1B300F27" w14:textId="77777777" w:rsidR="00824558" w:rsidRDefault="00824558">
            <w:pPr>
              <w:cnfStyle w:val="000000000000" w:firstRow="0" w:lastRow="0" w:firstColumn="0" w:lastColumn="0" w:oddVBand="0" w:evenVBand="0" w:oddHBand="0" w:evenHBand="0" w:firstRowFirstColumn="0" w:firstRowLastColumn="0" w:lastRowFirstColumn="0" w:lastRowLastColumn="0"/>
            </w:pPr>
            <w:r>
              <w:t>1 800</w:t>
            </w:r>
          </w:p>
        </w:tc>
        <w:tc>
          <w:tcPr>
            <w:tcW w:w="964" w:type="dxa"/>
          </w:tcPr>
          <w:p w14:paraId="1DC1FD73" w14:textId="77777777" w:rsidR="00824558" w:rsidRDefault="00824558">
            <w:pPr>
              <w:cnfStyle w:val="000000000000" w:firstRow="0" w:lastRow="0" w:firstColumn="0" w:lastColumn="0" w:oddVBand="0" w:evenVBand="0" w:oddHBand="0" w:evenHBand="0" w:firstRowFirstColumn="0" w:firstRowLastColumn="0" w:lastRowFirstColumn="0" w:lastRowLastColumn="0"/>
            </w:pPr>
            <w:r>
              <w:t>1 838</w:t>
            </w:r>
          </w:p>
        </w:tc>
      </w:tr>
      <w:tr w:rsidR="00824558" w14:paraId="6322199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DD9AF2D" w14:textId="77777777" w:rsidR="00824558" w:rsidRDefault="00824558">
            <w:pPr>
              <w:ind w:left="170"/>
            </w:pPr>
            <w:r>
              <w:rPr>
                <w:i/>
              </w:rPr>
              <w:t xml:space="preserve">The 2025-26 expected outcome is lower than the 2025-26 target due to bushfire impacts to properties planned for inspection and the redirection of staff to higher priority activities including the tomato potato psyllid virus response and bushfire recovery emergency responses. </w:t>
            </w:r>
          </w:p>
        </w:tc>
      </w:tr>
      <w:tr w:rsidR="00824558" w:rsidRPr="00DC0EBC" w14:paraId="53B7B141"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E3C2081" w14:textId="77777777" w:rsidR="00824558" w:rsidRPr="00DC0EBC" w:rsidRDefault="00824558">
            <w:pPr>
              <w:keepNext/>
              <w:rPr>
                <w:b/>
              </w:rPr>
            </w:pPr>
            <w:r w:rsidRPr="00DC0EBC">
              <w:rPr>
                <w:b/>
              </w:rPr>
              <w:lastRenderedPageBreak/>
              <w:t>Quality</w:t>
            </w:r>
          </w:p>
        </w:tc>
      </w:tr>
      <w:tr w:rsidR="00824558" w14:paraId="63BD376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17F3E3" w14:textId="77777777" w:rsidR="00824558" w:rsidRDefault="00824558">
            <w:pPr>
              <w:ind w:left="170"/>
            </w:pPr>
            <w:r>
              <w:t>Client satisfaction rating of agricultural services</w:t>
            </w:r>
          </w:p>
        </w:tc>
        <w:tc>
          <w:tcPr>
            <w:tcW w:w="964" w:type="dxa"/>
            <w:tcBorders>
              <w:bottom w:val="single" w:sz="6" w:space="0" w:color="auto"/>
            </w:tcBorders>
          </w:tcPr>
          <w:p w14:paraId="36F42D2C" w14:textId="1C0D5696" w:rsidR="00824558" w:rsidRDefault="00824558">
            <w:pPr>
              <w:jc w:val="center"/>
              <w:cnfStyle w:val="000000000000" w:firstRow="0" w:lastRow="0" w:firstColumn="0" w:lastColumn="0" w:oddVBand="0" w:evenVBand="0" w:oddHBand="0" w:evenHBand="0" w:firstRowFirstColumn="0" w:firstRowLastColumn="0" w:lastRowFirstColumn="0" w:lastRowLastColumn="0"/>
            </w:pPr>
            <w:r>
              <w:t>scale (1</w:t>
            </w:r>
            <w:r w:rsidR="00B73028">
              <w:t>–</w:t>
            </w:r>
            <w:r>
              <w:t>10)</w:t>
            </w:r>
          </w:p>
        </w:tc>
        <w:tc>
          <w:tcPr>
            <w:tcW w:w="964" w:type="dxa"/>
            <w:tcBorders>
              <w:bottom w:val="single" w:sz="6" w:space="0" w:color="auto"/>
            </w:tcBorders>
            <w:shd w:val="clear" w:color="auto" w:fill="F0F0F0"/>
          </w:tcPr>
          <w:p w14:paraId="5075C56E"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Borders>
              <w:bottom w:val="single" w:sz="6" w:space="0" w:color="auto"/>
            </w:tcBorders>
          </w:tcPr>
          <w:p w14:paraId="5123DBA3"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Borders>
              <w:bottom w:val="single" w:sz="6" w:space="0" w:color="auto"/>
            </w:tcBorders>
          </w:tcPr>
          <w:p w14:paraId="67ADCB69"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Borders>
              <w:bottom w:val="single" w:sz="6" w:space="0" w:color="auto"/>
            </w:tcBorders>
          </w:tcPr>
          <w:p w14:paraId="11617B20"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r>
      <w:tr w:rsidR="00824558" w14:paraId="02E7956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D02DD14" w14:textId="77777777" w:rsidR="00824558" w:rsidRDefault="00824558">
            <w:pPr>
              <w:ind w:left="170"/>
            </w:pPr>
            <w:r>
              <w:t>National biosecurity, agriculture/veterinary chemical use and animal welfare programs implemented in accordance with agreed plans</w:t>
            </w:r>
          </w:p>
        </w:tc>
        <w:tc>
          <w:tcPr>
            <w:tcW w:w="964" w:type="dxa"/>
            <w:tcBorders>
              <w:bottom w:val="single" w:sz="6" w:space="0" w:color="auto"/>
            </w:tcBorders>
          </w:tcPr>
          <w:p w14:paraId="21E83BB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484B53"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217E998D"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10D58D5E"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6B9D0C2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119CB8D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95A44B1" w14:textId="77777777" w:rsidR="00824558" w:rsidRDefault="00824558">
            <w:pPr>
              <w:ind w:left="170"/>
            </w:pPr>
            <w:r>
              <w:t>Preparedness activities implemented, in line with agreed plans, to ensure response readiness for emergency animal and plant pest, disease and natural disaster incidents</w:t>
            </w:r>
          </w:p>
        </w:tc>
        <w:tc>
          <w:tcPr>
            <w:tcW w:w="964" w:type="dxa"/>
            <w:tcBorders>
              <w:bottom w:val="single" w:sz="6" w:space="0" w:color="auto"/>
            </w:tcBorders>
          </w:tcPr>
          <w:p w14:paraId="6709F2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3A32C1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5DE80BD"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63FD901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18E0D31"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r>
      <w:tr w:rsidR="00DC0EBC" w:rsidRPr="00DC0EBC" w14:paraId="6E3DACAD" w14:textId="77777777">
        <w:tc>
          <w:tcPr>
            <w:cnfStyle w:val="001000000000" w:firstRow="0" w:lastRow="0" w:firstColumn="1" w:lastColumn="0" w:oddVBand="0" w:evenVBand="0" w:oddHBand="0" w:evenHBand="0" w:firstRowFirstColumn="0" w:firstRowLastColumn="0" w:lastRowFirstColumn="0" w:lastRowLastColumn="0"/>
            <w:tcW w:w="4819" w:type="dxa"/>
          </w:tcPr>
          <w:p w14:paraId="1B3F8F15" w14:textId="5D35856C" w:rsidR="00DC0EBC" w:rsidRPr="00DC0EBC" w:rsidRDefault="00DC0EBC" w:rsidP="00DC0EBC">
            <w:pPr>
              <w:keepNext/>
              <w:rPr>
                <w:b/>
                <w:bCs/>
                <w:iCs/>
              </w:rPr>
            </w:pPr>
            <w:r w:rsidRPr="00DC0EBC">
              <w:rPr>
                <w:b/>
                <w:bCs/>
                <w:iCs/>
              </w:rPr>
              <w:t>Timeliness</w:t>
            </w:r>
          </w:p>
        </w:tc>
        <w:tc>
          <w:tcPr>
            <w:tcW w:w="964" w:type="dxa"/>
          </w:tcPr>
          <w:p w14:paraId="7060C85B" w14:textId="77777777" w:rsidR="00DC0EBC" w:rsidRPr="00DC0EBC" w:rsidRDefault="00DC0EBC">
            <w:pPr>
              <w:jc w:val="center"/>
              <w:cnfStyle w:val="000000000000" w:firstRow="0" w:lastRow="0" w:firstColumn="0" w:lastColumn="0" w:oddVBand="0" w:evenVBand="0" w:oddHBand="0" w:evenHBand="0" w:firstRowFirstColumn="0" w:firstRowLastColumn="0" w:lastRowFirstColumn="0" w:lastRowLastColumn="0"/>
              <w:rPr>
                <w:b/>
                <w:bCs/>
                <w:iCs/>
              </w:rPr>
            </w:pPr>
          </w:p>
        </w:tc>
        <w:tc>
          <w:tcPr>
            <w:tcW w:w="964" w:type="dxa"/>
            <w:shd w:val="clear" w:color="auto" w:fill="F0F0F0"/>
          </w:tcPr>
          <w:p w14:paraId="4BF33FF2" w14:textId="77777777" w:rsidR="00DC0EBC" w:rsidRPr="00DC0EBC" w:rsidRDefault="00DC0EBC">
            <w:pPr>
              <w:cnfStyle w:val="000000000000" w:firstRow="0" w:lastRow="0" w:firstColumn="0" w:lastColumn="0" w:oddVBand="0" w:evenVBand="0" w:oddHBand="0" w:evenHBand="0" w:firstRowFirstColumn="0" w:firstRowLastColumn="0" w:lastRowFirstColumn="0" w:lastRowLastColumn="0"/>
              <w:rPr>
                <w:b/>
                <w:bCs/>
                <w:iCs/>
              </w:rPr>
            </w:pPr>
          </w:p>
        </w:tc>
        <w:tc>
          <w:tcPr>
            <w:tcW w:w="964" w:type="dxa"/>
          </w:tcPr>
          <w:p w14:paraId="4DE90E8A" w14:textId="77777777" w:rsidR="00DC0EBC" w:rsidRPr="00DC0EBC" w:rsidRDefault="00DC0EBC">
            <w:pPr>
              <w:cnfStyle w:val="000000000000" w:firstRow="0" w:lastRow="0" w:firstColumn="0" w:lastColumn="0" w:oddVBand="0" w:evenVBand="0" w:oddHBand="0" w:evenHBand="0" w:firstRowFirstColumn="0" w:firstRowLastColumn="0" w:lastRowFirstColumn="0" w:lastRowLastColumn="0"/>
              <w:rPr>
                <w:b/>
                <w:bCs/>
                <w:iCs/>
              </w:rPr>
            </w:pPr>
          </w:p>
        </w:tc>
        <w:tc>
          <w:tcPr>
            <w:tcW w:w="964" w:type="dxa"/>
          </w:tcPr>
          <w:p w14:paraId="00DFA5FE" w14:textId="77777777" w:rsidR="00DC0EBC" w:rsidRPr="00DC0EBC" w:rsidRDefault="00DC0EBC">
            <w:pPr>
              <w:cnfStyle w:val="000000000000" w:firstRow="0" w:lastRow="0" w:firstColumn="0" w:lastColumn="0" w:oddVBand="0" w:evenVBand="0" w:oddHBand="0" w:evenHBand="0" w:firstRowFirstColumn="0" w:firstRowLastColumn="0" w:lastRowFirstColumn="0" w:lastRowLastColumn="0"/>
              <w:rPr>
                <w:b/>
                <w:bCs/>
                <w:iCs/>
              </w:rPr>
            </w:pPr>
          </w:p>
        </w:tc>
        <w:tc>
          <w:tcPr>
            <w:tcW w:w="964" w:type="dxa"/>
          </w:tcPr>
          <w:p w14:paraId="1EEFBD4B" w14:textId="77777777" w:rsidR="00DC0EBC" w:rsidRPr="00DC0EBC" w:rsidRDefault="00DC0EBC">
            <w:pPr>
              <w:cnfStyle w:val="000000000000" w:firstRow="0" w:lastRow="0" w:firstColumn="0" w:lastColumn="0" w:oddVBand="0" w:evenVBand="0" w:oddHBand="0" w:evenHBand="0" w:firstRowFirstColumn="0" w:firstRowLastColumn="0" w:lastRowFirstColumn="0" w:lastRowLastColumn="0"/>
              <w:rPr>
                <w:b/>
                <w:bCs/>
                <w:iCs/>
              </w:rPr>
            </w:pPr>
          </w:p>
        </w:tc>
      </w:tr>
      <w:tr w:rsidR="00824558" w14:paraId="7BB10FC4" w14:textId="77777777">
        <w:tc>
          <w:tcPr>
            <w:cnfStyle w:val="001000000000" w:firstRow="0" w:lastRow="0" w:firstColumn="1" w:lastColumn="0" w:oddVBand="0" w:evenVBand="0" w:oddHBand="0" w:evenHBand="0" w:firstRowFirstColumn="0" w:firstRowLastColumn="0" w:lastRowFirstColumn="0" w:lastRowLastColumn="0"/>
            <w:tcW w:w="4819" w:type="dxa"/>
          </w:tcPr>
          <w:p w14:paraId="52B6CA59" w14:textId="77777777" w:rsidR="00824558" w:rsidRDefault="00824558">
            <w:pPr>
              <w:keepNext/>
              <w:ind w:left="170"/>
            </w:pPr>
            <w:r>
              <w:t>Development or update of market access arrangements completed within specified timeframes to facilitate interstate trade for Victorian plants and plant products</w:t>
            </w:r>
          </w:p>
        </w:tc>
        <w:tc>
          <w:tcPr>
            <w:tcW w:w="964" w:type="dxa"/>
          </w:tcPr>
          <w:p w14:paraId="497D99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2886634"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Pr>
          <w:p w14:paraId="75C5D20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1180B9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282B6F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BA426A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B6D8B3" w14:textId="0440B317" w:rsidR="00824558" w:rsidRDefault="00824558">
            <w:pPr>
              <w:ind w:left="170"/>
            </w:pPr>
            <w:r>
              <w:rPr>
                <w:i/>
              </w:rPr>
              <w:t xml:space="preserve">This new performance measure replaces the 2025-26 performance measure </w:t>
            </w:r>
            <w:r w:rsidR="007942D1">
              <w:rPr>
                <w:i/>
              </w:rPr>
              <w:t>‘</w:t>
            </w:r>
            <w:r>
              <w:rPr>
                <w:i/>
              </w:rPr>
              <w:t>Actions commenced within specified timeframes to respond to new or amended assurance or accreditation programs to meet interstate requirements and enable export of Victorian plant and plant products</w:t>
            </w:r>
            <w:r w:rsidR="007942D1">
              <w:rPr>
                <w:i/>
              </w:rPr>
              <w:t>’</w:t>
            </w:r>
            <w:r>
              <w:rPr>
                <w:i/>
              </w:rPr>
              <w:t>. The new measure continues to report on the same assurance and accreditation programs as the previous measure, however the new measure reports on the completion of arrangements rather than preliminary actions. This better reflects activity within the Department</w:t>
            </w:r>
            <w:r w:rsidR="007942D1">
              <w:rPr>
                <w:i/>
              </w:rPr>
              <w:t>’</w:t>
            </w:r>
            <w:r>
              <w:rPr>
                <w:i/>
              </w:rPr>
              <w:t>s control and is more aligned to a service delivery output of the Department.</w:t>
            </w:r>
          </w:p>
        </w:tc>
      </w:tr>
      <w:tr w:rsidR="00824558" w14:paraId="42E0C32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6C2737" w14:textId="77777777" w:rsidR="00824558" w:rsidRDefault="00824558">
            <w:pPr>
              <w:ind w:left="170"/>
            </w:pPr>
            <w:r>
              <w:t>Actions commenced within specified timeframes to respond to reported emergency animal and plant pest, disease and natural disaster incidents complies with national and state agreements and obligations</w:t>
            </w:r>
          </w:p>
        </w:tc>
        <w:tc>
          <w:tcPr>
            <w:tcW w:w="964" w:type="dxa"/>
            <w:tcBorders>
              <w:bottom w:val="single" w:sz="6" w:space="0" w:color="auto"/>
            </w:tcBorders>
          </w:tcPr>
          <w:p w14:paraId="1729528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50E8E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602CAA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425CE2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96355D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B4BD45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3AB1219" w14:textId="77777777" w:rsidR="00824558" w:rsidRDefault="00824558">
            <w:pPr>
              <w:ind w:left="170"/>
            </w:pPr>
            <w:r>
              <w:t>Animal health certificates issued within specified timeframes to support international market access</w:t>
            </w:r>
          </w:p>
        </w:tc>
        <w:tc>
          <w:tcPr>
            <w:tcW w:w="964" w:type="dxa"/>
            <w:tcBorders>
              <w:bottom w:val="single" w:sz="6" w:space="0" w:color="auto"/>
            </w:tcBorders>
          </w:tcPr>
          <w:p w14:paraId="14E210A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FA528F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E2146D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DA7D8B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B327F56"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3899401C" w14:textId="77777777" w:rsidTr="007D5F4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571D0B9B" w14:textId="77777777" w:rsidR="00824558" w:rsidRDefault="00824558">
            <w:pPr>
              <w:ind w:left="170"/>
            </w:pPr>
            <w:r>
              <w:t>Plant health certificates issued within specified timeframes at the Melbourne Wholesale Fruit and Vegetable Market to support domestic market access</w:t>
            </w:r>
          </w:p>
        </w:tc>
        <w:tc>
          <w:tcPr>
            <w:tcW w:w="964" w:type="dxa"/>
            <w:tcBorders>
              <w:top w:val="single" w:sz="6" w:space="0" w:color="auto"/>
              <w:bottom w:val="single" w:sz="6" w:space="0" w:color="auto"/>
            </w:tcBorders>
          </w:tcPr>
          <w:p w14:paraId="10530D9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5D3DB40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233107C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2B051C5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7E1CF96A"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DD2FB6" w14:paraId="25A7D54B" w14:textId="77777777" w:rsidTr="007D5F41">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9329C6C" w14:textId="038CF9F8" w:rsidR="00DD2FB6" w:rsidRDefault="003B6077" w:rsidP="003B6077">
            <w:pPr>
              <w:keepNext/>
            </w:pPr>
            <w:r w:rsidRPr="003B6077">
              <w:rPr>
                <w:b/>
                <w:bCs/>
                <w:iCs/>
              </w:rPr>
              <w:t>Cost</w:t>
            </w:r>
          </w:p>
        </w:tc>
      </w:tr>
      <w:tr w:rsidR="00DD2FB6" w14:paraId="22AFDAF5" w14:textId="77777777" w:rsidTr="009568B5">
        <w:tc>
          <w:tcPr>
            <w:cnfStyle w:val="001000000000" w:firstRow="0" w:lastRow="0" w:firstColumn="1" w:lastColumn="0" w:oddVBand="0" w:evenVBand="0" w:oddHBand="0" w:evenHBand="0" w:firstRowFirstColumn="0" w:firstRowLastColumn="0" w:lastRowFirstColumn="0" w:lastRowLastColumn="0"/>
            <w:tcW w:w="4819" w:type="dxa"/>
          </w:tcPr>
          <w:p w14:paraId="23F9CEF7" w14:textId="41BA5B2D" w:rsidR="00DD2FB6" w:rsidRDefault="00F1071A">
            <w:pPr>
              <w:ind w:left="170"/>
            </w:pPr>
            <w:r>
              <w:t>Total sub-output cost</w:t>
            </w:r>
          </w:p>
        </w:tc>
        <w:tc>
          <w:tcPr>
            <w:tcW w:w="964" w:type="dxa"/>
          </w:tcPr>
          <w:p w14:paraId="41859D8B" w14:textId="79785DED" w:rsidR="00DD2FB6" w:rsidRDefault="00504F5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DF9B6BC" w14:textId="29CBE898" w:rsidR="00DD2FB6" w:rsidRDefault="002F228A">
            <w:pPr>
              <w:cnfStyle w:val="000000000000" w:firstRow="0" w:lastRow="0" w:firstColumn="0" w:lastColumn="0" w:oddVBand="0" w:evenVBand="0" w:oddHBand="0" w:evenHBand="0" w:firstRowFirstColumn="0" w:firstRowLastColumn="0" w:lastRowFirstColumn="0" w:lastRowLastColumn="0"/>
            </w:pPr>
            <w:r>
              <w:t>130.0</w:t>
            </w:r>
          </w:p>
        </w:tc>
        <w:tc>
          <w:tcPr>
            <w:tcW w:w="964" w:type="dxa"/>
          </w:tcPr>
          <w:p w14:paraId="2FE430F3" w14:textId="6E130E22" w:rsidR="00DD2FB6" w:rsidRDefault="00466F8F">
            <w:pPr>
              <w:cnfStyle w:val="000000000000" w:firstRow="0" w:lastRow="0" w:firstColumn="0" w:lastColumn="0" w:oddVBand="0" w:evenVBand="0" w:oddHBand="0" w:evenHBand="0" w:firstRowFirstColumn="0" w:firstRowLastColumn="0" w:lastRowFirstColumn="0" w:lastRowLastColumn="0"/>
            </w:pPr>
            <w:r>
              <w:t>170.9</w:t>
            </w:r>
          </w:p>
        </w:tc>
        <w:tc>
          <w:tcPr>
            <w:tcW w:w="964" w:type="dxa"/>
          </w:tcPr>
          <w:p w14:paraId="6036AE45" w14:textId="4380F98E" w:rsidR="00DD2FB6" w:rsidRDefault="00CF4633">
            <w:pPr>
              <w:cnfStyle w:val="000000000000" w:firstRow="0" w:lastRow="0" w:firstColumn="0" w:lastColumn="0" w:oddVBand="0" w:evenVBand="0" w:oddHBand="0" w:evenHBand="0" w:firstRowFirstColumn="0" w:firstRowLastColumn="0" w:lastRowFirstColumn="0" w:lastRowLastColumn="0"/>
            </w:pPr>
            <w:r>
              <w:t>139.3</w:t>
            </w:r>
          </w:p>
        </w:tc>
        <w:tc>
          <w:tcPr>
            <w:tcW w:w="964" w:type="dxa"/>
          </w:tcPr>
          <w:p w14:paraId="2CC87EA9" w14:textId="4BAD3801" w:rsidR="00DD2FB6" w:rsidRDefault="003E70F1">
            <w:pPr>
              <w:cnfStyle w:val="000000000000" w:firstRow="0" w:lastRow="0" w:firstColumn="0" w:lastColumn="0" w:oddVBand="0" w:evenVBand="0" w:oddHBand="0" w:evenHBand="0" w:firstRowFirstColumn="0" w:firstRowLastColumn="0" w:lastRowFirstColumn="0" w:lastRowLastColumn="0"/>
            </w:pPr>
            <w:r>
              <w:t>254.3</w:t>
            </w:r>
          </w:p>
        </w:tc>
      </w:tr>
      <w:tr w:rsidR="00E008EF" w14:paraId="5CC48A74" w14:textId="77777777" w:rsidTr="009568B5">
        <w:tc>
          <w:tcPr>
            <w:cnfStyle w:val="001000000000" w:firstRow="0" w:lastRow="0" w:firstColumn="1" w:lastColumn="0" w:oddVBand="0" w:evenVBand="0" w:oddHBand="0" w:evenHBand="0" w:firstRowFirstColumn="0" w:firstRowLastColumn="0" w:lastRowFirstColumn="0" w:lastRowLastColumn="0"/>
            <w:tcW w:w="9639" w:type="dxa"/>
            <w:gridSpan w:val="6"/>
          </w:tcPr>
          <w:p w14:paraId="44BB33F1" w14:textId="01CD2A5B" w:rsidR="00E008EF" w:rsidRDefault="00E82C9D" w:rsidP="00D442BA">
            <w:pPr>
              <w:ind w:left="170"/>
            </w:pPr>
            <w:r w:rsidRPr="00D442BA">
              <w:rPr>
                <w:i/>
              </w:rPr>
              <w:t>The 2025-26</w:t>
            </w:r>
            <w:r w:rsidR="00895C50">
              <w:rPr>
                <w:i/>
              </w:rPr>
              <w:t xml:space="preserve"> </w:t>
            </w:r>
            <w:r w:rsidRPr="00D442BA">
              <w:rPr>
                <w:i/>
              </w:rPr>
              <w:t>expected outcome is higher than the 2025-26 target predominantly due to the additional government funding for drought</w:t>
            </w:r>
            <w:r w:rsidRPr="00D442BA">
              <w:rPr>
                <w:rFonts w:ascii="Cambria Math" w:hAnsi="Cambria Math" w:cs="Cambria Math"/>
                <w:i/>
              </w:rPr>
              <w:t>‑</w:t>
            </w:r>
            <w:r w:rsidRPr="00D442BA">
              <w:rPr>
                <w:i/>
              </w:rPr>
              <w:t>related support provided to farmers and communities in 2025-26</w:t>
            </w:r>
            <w:r w:rsidR="0034138E">
              <w:rPr>
                <w:i/>
              </w:rPr>
              <w:t>,</w:t>
            </w:r>
            <w:r w:rsidRPr="00D442BA">
              <w:rPr>
                <w:i/>
              </w:rPr>
              <w:t xml:space="preserve"> and for various relief and recovery initiatives for communities impacted by the 2025-26 Victorian Bushfires. The expected outcome is also higher due to additional Commonwealth funding received in 2025-26.</w:t>
            </w:r>
          </w:p>
        </w:tc>
      </w:tr>
      <w:tr w:rsidR="009568B5" w14:paraId="1FCC9A43" w14:textId="77777777" w:rsidTr="009568B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DB2CF6F" w14:textId="7BDC6544" w:rsidR="009568B5" w:rsidRPr="00D442BA" w:rsidRDefault="00895C50" w:rsidP="00D442BA">
            <w:pPr>
              <w:ind w:left="170"/>
              <w:rPr>
                <w:i/>
              </w:rPr>
            </w:pPr>
            <w:r w:rsidRPr="004040B3">
              <w:rPr>
                <w:i/>
                <w:iCs/>
              </w:rPr>
              <w:t>The lower 2026-27 target predominantly reflects the funding profile of various initiatives.</w:t>
            </w:r>
          </w:p>
        </w:tc>
      </w:tr>
      <w:tr w:rsidR="00824558" w:rsidRPr="008719E6" w14:paraId="41A6230D" w14:textId="77777777" w:rsidTr="00DC0EB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6A3D3B86" w14:textId="7710CFA8" w:rsidR="00824558" w:rsidRPr="00615979" w:rsidRDefault="00DC0EBC" w:rsidP="006F31E9">
            <w:pPr>
              <w:keepNext/>
              <w:spacing w:before="60"/>
              <w:rPr>
                <w:b/>
                <w:color w:val="000000" w:themeColor="text1"/>
              </w:rPr>
            </w:pPr>
            <w:r w:rsidRPr="00615979">
              <w:rPr>
                <w:b/>
                <w:color w:val="000000" w:themeColor="text1"/>
              </w:rPr>
              <w:t xml:space="preserve">SUSTAINABLY DEVELOP FOREST AND FIBRE RESOURCES </w:t>
            </w:r>
          </w:p>
          <w:p w14:paraId="4A217D37" w14:textId="7EE02903" w:rsidR="00824558" w:rsidRPr="00615979" w:rsidRDefault="00824558" w:rsidP="006F31E9">
            <w:pPr>
              <w:keepNext/>
              <w:spacing w:before="60"/>
              <w:rPr>
                <w:rFonts w:cstheme="majorHAnsi"/>
                <w:color w:val="000000" w:themeColor="text1"/>
                <w:szCs w:val="17"/>
              </w:rPr>
            </w:pPr>
            <w:r w:rsidRPr="00615979">
              <w:rPr>
                <w:rFonts w:cstheme="majorHAnsi"/>
                <w:color w:val="000000" w:themeColor="text1"/>
                <w:szCs w:val="17"/>
              </w:rPr>
              <w:t>This sub-output supports a productive, sustainable, and resilient forestry and fibre industry by leading investment to expand Victoria</w:t>
            </w:r>
            <w:r w:rsidR="007942D1">
              <w:rPr>
                <w:rFonts w:cstheme="majorHAnsi"/>
                <w:color w:val="000000" w:themeColor="text1"/>
                <w:szCs w:val="17"/>
              </w:rPr>
              <w:t>’</w:t>
            </w:r>
            <w:r w:rsidRPr="00615979">
              <w:rPr>
                <w:rFonts w:cstheme="majorHAnsi"/>
                <w:color w:val="000000" w:themeColor="text1"/>
                <w:szCs w:val="17"/>
              </w:rPr>
              <w:t>s plantation estate and delivering programs that support forestry businesses, workers, and communities transitioning following the cessation of commercial native timber harvesting.</w:t>
            </w:r>
          </w:p>
          <w:p w14:paraId="01CD724A" w14:textId="0D70945C" w:rsidR="00824558" w:rsidRPr="00615979" w:rsidRDefault="00824558" w:rsidP="006F31E9">
            <w:pPr>
              <w:keepNext/>
              <w:spacing w:before="60"/>
              <w:rPr>
                <w:color w:val="000000" w:themeColor="text1"/>
              </w:rPr>
            </w:pPr>
            <w:r w:rsidRPr="00615979">
              <w:rPr>
                <w:rFonts w:cstheme="majorHAnsi"/>
                <w:color w:val="000000" w:themeColor="text1"/>
                <w:szCs w:val="17"/>
              </w:rPr>
              <w:t xml:space="preserve">This sub-output has been renamed from the 2025-26 </w:t>
            </w:r>
            <w:r>
              <w:rPr>
                <w:rFonts w:cstheme="majorHAnsi"/>
                <w:color w:val="000000" w:themeColor="text1"/>
                <w:szCs w:val="17"/>
              </w:rPr>
              <w:t>sub-</w:t>
            </w:r>
            <w:r w:rsidRPr="00615979">
              <w:rPr>
                <w:rFonts w:cstheme="majorHAnsi"/>
                <w:color w:val="000000" w:themeColor="text1"/>
                <w:szCs w:val="17"/>
              </w:rPr>
              <w:t xml:space="preserve">output </w:t>
            </w:r>
            <w:r w:rsidR="007942D1">
              <w:rPr>
                <w:rFonts w:cstheme="majorHAnsi"/>
                <w:color w:val="000000" w:themeColor="text1"/>
                <w:szCs w:val="17"/>
              </w:rPr>
              <w:t>‘</w:t>
            </w:r>
            <w:r w:rsidRPr="00615979">
              <w:rPr>
                <w:rFonts w:cstheme="majorHAnsi"/>
                <w:color w:val="000000" w:themeColor="text1"/>
                <w:szCs w:val="17"/>
              </w:rPr>
              <w:t>Sustainably Manage Forest Resources</w:t>
            </w:r>
            <w:r w:rsidR="007942D1">
              <w:rPr>
                <w:rFonts w:cstheme="majorHAnsi"/>
                <w:color w:val="000000" w:themeColor="text1"/>
                <w:szCs w:val="17"/>
              </w:rPr>
              <w:t>’</w:t>
            </w:r>
            <w:r w:rsidRPr="00615979">
              <w:rPr>
                <w:rFonts w:cstheme="majorHAnsi"/>
                <w:color w:val="000000" w:themeColor="text1"/>
                <w:szCs w:val="17"/>
              </w:rPr>
              <w:t xml:space="preserve"> to more accurately reflect services delivered</w:t>
            </w:r>
            <w:r w:rsidRPr="00615979">
              <w:rPr>
                <w:rFonts w:asciiTheme="minorHAnsi" w:hAnsiTheme="minorHAnsi"/>
                <w:color w:val="000000" w:themeColor="text1"/>
                <w:sz w:val="22"/>
              </w:rPr>
              <w:t>.</w:t>
            </w:r>
          </w:p>
        </w:tc>
      </w:tr>
      <w:tr w:rsidR="00626F2A" w14:paraId="1FDC92CE" w14:textId="77777777" w:rsidTr="00626F2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380B403F" w14:textId="0ACDEA95" w:rsidR="00626F2A" w:rsidRPr="00DC0EBC" w:rsidRDefault="00626F2A" w:rsidP="00626F2A">
            <w:pPr>
              <w:keepNext/>
              <w:rPr>
                <w:b/>
                <w:bCs/>
                <w:iCs/>
              </w:rPr>
            </w:pPr>
            <w:r w:rsidRPr="00DC0EBC">
              <w:rPr>
                <w:b/>
                <w:bCs/>
                <w:iCs/>
              </w:rPr>
              <w:t>Quantity</w:t>
            </w:r>
          </w:p>
        </w:tc>
        <w:tc>
          <w:tcPr>
            <w:tcW w:w="964" w:type="dxa"/>
            <w:tcBorders>
              <w:top w:val="single" w:sz="6" w:space="0" w:color="auto"/>
            </w:tcBorders>
          </w:tcPr>
          <w:p w14:paraId="22AC8170" w14:textId="77777777" w:rsidR="00626F2A" w:rsidRDefault="00626F2A">
            <w:pPr>
              <w:jc w:val="center"/>
              <w:cnfStyle w:val="000000000000" w:firstRow="0" w:lastRow="0" w:firstColumn="0" w:lastColumn="0" w:oddVBand="0" w:evenVBand="0" w:oddHBand="0" w:evenHBand="0" w:firstRowFirstColumn="0" w:firstRowLastColumn="0" w:lastRowFirstColumn="0" w:lastRowLastColumn="0"/>
            </w:pPr>
          </w:p>
        </w:tc>
        <w:tc>
          <w:tcPr>
            <w:tcW w:w="964" w:type="dxa"/>
            <w:tcBorders>
              <w:top w:val="single" w:sz="6" w:space="0" w:color="auto"/>
            </w:tcBorders>
            <w:shd w:val="clear" w:color="auto" w:fill="F0F0F0"/>
          </w:tcPr>
          <w:p w14:paraId="4EEE6347" w14:textId="77777777" w:rsidR="00626F2A" w:rsidRDefault="00626F2A">
            <w:pPr>
              <w:cnfStyle w:val="000000000000" w:firstRow="0" w:lastRow="0" w:firstColumn="0" w:lastColumn="0" w:oddVBand="0" w:evenVBand="0" w:oddHBand="0" w:evenHBand="0" w:firstRowFirstColumn="0" w:firstRowLastColumn="0" w:lastRowFirstColumn="0" w:lastRowLastColumn="0"/>
            </w:pPr>
          </w:p>
        </w:tc>
        <w:tc>
          <w:tcPr>
            <w:tcW w:w="964" w:type="dxa"/>
            <w:tcBorders>
              <w:top w:val="single" w:sz="6" w:space="0" w:color="auto"/>
            </w:tcBorders>
          </w:tcPr>
          <w:p w14:paraId="2A638079" w14:textId="77777777" w:rsidR="00626F2A" w:rsidRDefault="00626F2A">
            <w:pPr>
              <w:cnfStyle w:val="000000000000" w:firstRow="0" w:lastRow="0" w:firstColumn="0" w:lastColumn="0" w:oddVBand="0" w:evenVBand="0" w:oddHBand="0" w:evenHBand="0" w:firstRowFirstColumn="0" w:firstRowLastColumn="0" w:lastRowFirstColumn="0" w:lastRowLastColumn="0"/>
            </w:pPr>
          </w:p>
        </w:tc>
        <w:tc>
          <w:tcPr>
            <w:tcW w:w="964" w:type="dxa"/>
            <w:tcBorders>
              <w:top w:val="single" w:sz="6" w:space="0" w:color="auto"/>
            </w:tcBorders>
          </w:tcPr>
          <w:p w14:paraId="46446817" w14:textId="77777777" w:rsidR="00626F2A" w:rsidRDefault="00626F2A">
            <w:pPr>
              <w:cnfStyle w:val="000000000000" w:firstRow="0" w:lastRow="0" w:firstColumn="0" w:lastColumn="0" w:oddVBand="0" w:evenVBand="0" w:oddHBand="0" w:evenHBand="0" w:firstRowFirstColumn="0" w:firstRowLastColumn="0" w:lastRowFirstColumn="0" w:lastRowLastColumn="0"/>
            </w:pPr>
          </w:p>
        </w:tc>
        <w:tc>
          <w:tcPr>
            <w:tcW w:w="964" w:type="dxa"/>
            <w:tcBorders>
              <w:top w:val="single" w:sz="6" w:space="0" w:color="auto"/>
            </w:tcBorders>
          </w:tcPr>
          <w:p w14:paraId="495A14CB" w14:textId="77777777" w:rsidR="00626F2A" w:rsidRDefault="00626F2A">
            <w:pPr>
              <w:cnfStyle w:val="000000000000" w:firstRow="0" w:lastRow="0" w:firstColumn="0" w:lastColumn="0" w:oddVBand="0" w:evenVBand="0" w:oddHBand="0" w:evenHBand="0" w:firstRowFirstColumn="0" w:firstRowLastColumn="0" w:lastRowFirstColumn="0" w:lastRowLastColumn="0"/>
            </w:pPr>
          </w:p>
        </w:tc>
      </w:tr>
      <w:tr w:rsidR="00824558" w14:paraId="3DFD1341" w14:textId="77777777" w:rsidTr="00626F2A">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1161F5E" w14:textId="77777777" w:rsidR="00824558" w:rsidRDefault="00824558">
            <w:pPr>
              <w:keepNext/>
              <w:ind w:left="170"/>
            </w:pPr>
            <w:r>
              <w:t>Number of grants awarded through forestry programs</w:t>
            </w:r>
          </w:p>
        </w:tc>
        <w:tc>
          <w:tcPr>
            <w:tcW w:w="964" w:type="dxa"/>
            <w:tcBorders>
              <w:bottom w:val="nil"/>
            </w:tcBorders>
          </w:tcPr>
          <w:p w14:paraId="34E4B80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0690A7B5"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nil"/>
            </w:tcBorders>
          </w:tcPr>
          <w:p w14:paraId="6D16B69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089A9F12"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nil"/>
            </w:tcBorders>
          </w:tcPr>
          <w:p w14:paraId="435F66F1" w14:textId="77777777" w:rsidR="00824558" w:rsidRDefault="00824558">
            <w:pPr>
              <w:cnfStyle w:val="000000000000" w:firstRow="0" w:lastRow="0" w:firstColumn="0" w:lastColumn="0" w:oddVBand="0" w:evenVBand="0" w:oddHBand="0" w:evenHBand="0" w:firstRowFirstColumn="0" w:firstRowLastColumn="0" w:lastRowFirstColumn="0" w:lastRowLastColumn="0"/>
            </w:pPr>
            <w:r>
              <w:t>36</w:t>
            </w:r>
          </w:p>
        </w:tc>
      </w:tr>
      <w:tr w:rsidR="00824558" w14:paraId="3BE66C1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30D86713" w14:textId="77777777" w:rsidR="00824558" w:rsidRDefault="00824558">
            <w:pPr>
              <w:ind w:left="170"/>
            </w:pPr>
            <w:r>
              <w:rPr>
                <w:i/>
              </w:rPr>
              <w:t xml:space="preserve">The 2025-26 expected outcome is higher than the 2025-26 target due to strong demand and interest across the Business Innovation, Transition Fund and Community Development Grant programs. </w:t>
            </w:r>
          </w:p>
          <w:p w14:paraId="78F72229" w14:textId="7AC2BEC3" w:rsidR="00824558" w:rsidRDefault="00824558">
            <w:pPr>
              <w:ind w:left="170"/>
            </w:pPr>
            <w:r>
              <w:rPr>
                <w:i/>
              </w:rPr>
              <w:t xml:space="preserve">This performance measure renames the 2025-26 performance measure </w:t>
            </w:r>
            <w:r w:rsidR="007942D1">
              <w:rPr>
                <w:i/>
              </w:rPr>
              <w:t>‘</w:t>
            </w:r>
            <w:r>
              <w:rPr>
                <w:i/>
              </w:rPr>
              <w:t>Number of business and community grants awarded</w:t>
            </w:r>
            <w:r w:rsidR="007942D1">
              <w:rPr>
                <w:i/>
              </w:rPr>
              <w:t>’</w:t>
            </w:r>
            <w:r>
              <w:rPr>
                <w:i/>
              </w:rPr>
              <w:t>. The renamed measure reports on the same activity as the previous measure but has been amended to better reflect the broadened scope of grants programs being delivered across the Victorian Forestry Program, including business, community and plantations grants programs. The higher 2026-27 target reflects the broadened scope of grant programs being delivered across the Victorian Forestry Program, including inclusion of plantation grant programs.</w:t>
            </w:r>
          </w:p>
        </w:tc>
      </w:tr>
      <w:tr w:rsidR="00824558" w14:paraId="776A8F15" w14:textId="77777777">
        <w:tc>
          <w:tcPr>
            <w:cnfStyle w:val="001000000000" w:firstRow="0" w:lastRow="0" w:firstColumn="1" w:lastColumn="0" w:oddVBand="0" w:evenVBand="0" w:oddHBand="0" w:evenHBand="0" w:firstRowFirstColumn="0" w:firstRowLastColumn="0" w:lastRowFirstColumn="0" w:lastRowLastColumn="0"/>
            <w:tcW w:w="4819" w:type="dxa"/>
          </w:tcPr>
          <w:p w14:paraId="11CC94AE" w14:textId="77777777" w:rsidR="00824558" w:rsidRDefault="00824558">
            <w:pPr>
              <w:keepNext/>
              <w:ind w:left="170"/>
            </w:pPr>
            <w:r>
              <w:t>Number of trees planted under the Gippsland Plantation Investment Program</w:t>
            </w:r>
          </w:p>
        </w:tc>
        <w:tc>
          <w:tcPr>
            <w:tcW w:w="964" w:type="dxa"/>
          </w:tcPr>
          <w:p w14:paraId="70709C2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B23157A"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2 000 000</w:t>
            </w:r>
          </w:p>
        </w:tc>
        <w:tc>
          <w:tcPr>
            <w:tcW w:w="964" w:type="dxa"/>
          </w:tcPr>
          <w:p w14:paraId="7BFBC1A8" w14:textId="77777777" w:rsidR="00824558" w:rsidRDefault="00824558">
            <w:pPr>
              <w:cnfStyle w:val="000000000000" w:firstRow="0" w:lastRow="0" w:firstColumn="0" w:lastColumn="0" w:oddVBand="0" w:evenVBand="0" w:oddHBand="0" w:evenHBand="0" w:firstRowFirstColumn="0" w:firstRowLastColumn="0" w:lastRowFirstColumn="0" w:lastRowLastColumn="0"/>
            </w:pPr>
            <w:r>
              <w:t>2 359 236</w:t>
            </w:r>
          </w:p>
        </w:tc>
        <w:tc>
          <w:tcPr>
            <w:tcW w:w="964" w:type="dxa"/>
          </w:tcPr>
          <w:p w14:paraId="04415028"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2 000 000</w:t>
            </w:r>
          </w:p>
        </w:tc>
        <w:tc>
          <w:tcPr>
            <w:tcW w:w="964" w:type="dxa"/>
          </w:tcPr>
          <w:p w14:paraId="58ACC767" w14:textId="77777777" w:rsidR="00824558" w:rsidRDefault="00824558">
            <w:pPr>
              <w:cnfStyle w:val="000000000000" w:firstRow="0" w:lastRow="0" w:firstColumn="0" w:lastColumn="0" w:oddVBand="0" w:evenVBand="0" w:oddHBand="0" w:evenHBand="0" w:firstRowFirstColumn="0" w:firstRowLastColumn="0" w:lastRowFirstColumn="0" w:lastRowLastColumn="0"/>
            </w:pPr>
            <w:r>
              <w:t>1 134 360</w:t>
            </w:r>
          </w:p>
        </w:tc>
      </w:tr>
      <w:tr w:rsidR="00824558" w14:paraId="763B244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E002292" w14:textId="77777777" w:rsidR="00824558" w:rsidRDefault="00824558">
            <w:pPr>
              <w:ind w:left="170"/>
            </w:pPr>
            <w:r>
              <w:rPr>
                <w:i/>
              </w:rPr>
              <w:t>The 2025-26 expected outcome is higher than the 2025-26 target due to favourable planting conditions and a greater-than-expected availability of plantable land.</w:t>
            </w:r>
          </w:p>
        </w:tc>
      </w:tr>
      <w:tr w:rsidR="00824558" w14:paraId="2EF0196E" w14:textId="77777777">
        <w:tc>
          <w:tcPr>
            <w:cnfStyle w:val="001000000000" w:firstRow="0" w:lastRow="0" w:firstColumn="1" w:lastColumn="0" w:oddVBand="0" w:evenVBand="0" w:oddHBand="0" w:evenHBand="0" w:firstRowFirstColumn="0" w:firstRowLastColumn="0" w:lastRowFirstColumn="0" w:lastRowLastColumn="0"/>
            <w:tcW w:w="4819" w:type="dxa"/>
          </w:tcPr>
          <w:p w14:paraId="55ECF2C5" w14:textId="77777777" w:rsidR="00824558" w:rsidRDefault="00824558">
            <w:pPr>
              <w:keepNext/>
              <w:ind w:left="170"/>
            </w:pPr>
            <w:r>
              <w:t>Number of worker support payments finalised under the Victorian Forestry Transition Program.</w:t>
            </w:r>
          </w:p>
        </w:tc>
        <w:tc>
          <w:tcPr>
            <w:tcW w:w="964" w:type="dxa"/>
          </w:tcPr>
          <w:p w14:paraId="7E2A440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67FF5C4"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66042F8D"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49A11BC6"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4B355D1" w14:textId="77777777" w:rsidR="00824558" w:rsidRDefault="00824558">
            <w:pPr>
              <w:cnfStyle w:val="000000000000" w:firstRow="0" w:lastRow="0" w:firstColumn="0" w:lastColumn="0" w:oddVBand="0" w:evenVBand="0" w:oddHBand="0" w:evenHBand="0" w:firstRowFirstColumn="0" w:firstRowLastColumn="0" w:lastRowFirstColumn="0" w:lastRowLastColumn="0"/>
            </w:pPr>
            <w:r>
              <w:t>164</w:t>
            </w:r>
          </w:p>
        </w:tc>
      </w:tr>
      <w:tr w:rsidR="00824558" w14:paraId="2DC38DB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C0C5705" w14:textId="36769B98" w:rsidR="00824558" w:rsidRDefault="00824558">
            <w:pPr>
              <w:ind w:left="170"/>
              <w:rPr>
                <w:i/>
              </w:rPr>
            </w:pPr>
            <w:r w:rsidRPr="00D45C93">
              <w:rPr>
                <w:i/>
              </w:rPr>
              <w:t>The 2025-26 expected outcome is higher than the 2025-26 target due to workforce decisions made by individual businesses</w:t>
            </w:r>
            <w:r>
              <w:rPr>
                <w:i/>
              </w:rPr>
              <w:t>.</w:t>
            </w:r>
          </w:p>
          <w:p w14:paraId="10732E4A" w14:textId="2A362D17" w:rsidR="00824558" w:rsidRDefault="00824558">
            <w:pPr>
              <w:ind w:left="170"/>
            </w:pPr>
            <w:r w:rsidRPr="00F74496">
              <w:rPr>
                <w:i/>
              </w:rPr>
              <w:t>The lower 2026-27 target reflects the program</w:t>
            </w:r>
            <w:r w:rsidR="007942D1">
              <w:rPr>
                <w:i/>
              </w:rPr>
              <w:t>’</w:t>
            </w:r>
            <w:r w:rsidRPr="00F74496">
              <w:rPr>
                <w:i/>
              </w:rPr>
              <w:t xml:space="preserve">s closure on 30 June 2026, with any payments in </w:t>
            </w:r>
            <w:r w:rsidR="002B57CA">
              <w:rPr>
                <w:i/>
              </w:rPr>
              <w:t>2026-27</w:t>
            </w:r>
            <w:r w:rsidRPr="00F74496">
              <w:rPr>
                <w:i/>
              </w:rPr>
              <w:t xml:space="preserve"> expected to be residual payments unable to be finalised prior to closure</w:t>
            </w:r>
            <w:r>
              <w:rPr>
                <w:i/>
              </w:rPr>
              <w:t>.</w:t>
            </w:r>
          </w:p>
        </w:tc>
      </w:tr>
      <w:tr w:rsidR="00824558" w14:paraId="0A7C5545" w14:textId="77777777" w:rsidTr="009C6734">
        <w:tc>
          <w:tcPr>
            <w:cnfStyle w:val="001000000000" w:firstRow="0" w:lastRow="0" w:firstColumn="1" w:lastColumn="0" w:oddVBand="0" w:evenVBand="0" w:oddHBand="0" w:evenHBand="0" w:firstRowFirstColumn="0" w:firstRowLastColumn="0" w:lastRowFirstColumn="0" w:lastRowLastColumn="0"/>
            <w:tcW w:w="4819" w:type="dxa"/>
          </w:tcPr>
          <w:p w14:paraId="421FC413" w14:textId="3529B73C" w:rsidR="00824558" w:rsidRDefault="00824558">
            <w:pPr>
              <w:keepNext/>
              <w:ind w:left="170"/>
            </w:pPr>
            <w:r>
              <w:lastRenderedPageBreak/>
              <w:t>Value of co-investment from external (non-state) funding sources attracted to the Department</w:t>
            </w:r>
            <w:r w:rsidR="007942D1">
              <w:t>’</w:t>
            </w:r>
            <w:r>
              <w:t>s programs that support the growth of Victoria</w:t>
            </w:r>
            <w:r w:rsidR="007942D1">
              <w:t>’</w:t>
            </w:r>
            <w:r>
              <w:t>s plantation estate</w:t>
            </w:r>
          </w:p>
        </w:tc>
        <w:tc>
          <w:tcPr>
            <w:tcW w:w="964" w:type="dxa"/>
          </w:tcPr>
          <w:p w14:paraId="57B1E1A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E2A617D"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1AEADD7E"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3F3FDF86"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106EECBA"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r>
      <w:tr w:rsidR="00824558" w14:paraId="4E92CE38" w14:textId="77777777" w:rsidTr="005149D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DFE64C" w14:textId="4404FB70" w:rsidR="00824558" w:rsidRDefault="00824558">
            <w:pPr>
              <w:ind w:left="170"/>
            </w:pPr>
            <w:r>
              <w:rPr>
                <w:i/>
              </w:rPr>
              <w:t xml:space="preserve">The </w:t>
            </w:r>
            <w:r w:rsidR="008F7A05">
              <w:rPr>
                <w:i/>
              </w:rPr>
              <w:t>2025-26</w:t>
            </w:r>
            <w:r>
              <w:rPr>
                <w:i/>
              </w:rPr>
              <w:t xml:space="preserve"> expected outcome is lower than the 2025-26 target due to market conditions resulting in reduced land acquisition 2025</w:t>
            </w:r>
            <w:r w:rsidR="009C6734">
              <w:rPr>
                <w:i/>
              </w:rPr>
              <w:noBreakHyphen/>
            </w:r>
            <w:r>
              <w:rPr>
                <w:i/>
              </w:rPr>
              <w:t>26. This is not expected to impact the Government</w:t>
            </w:r>
            <w:r w:rsidR="007942D1">
              <w:rPr>
                <w:i/>
              </w:rPr>
              <w:t>’</w:t>
            </w:r>
            <w:r>
              <w:rPr>
                <w:i/>
              </w:rPr>
              <w:t>s overall delivery of plantation estate growth programs, as they are long</w:t>
            </w:r>
            <w:r w:rsidR="006B6B64">
              <w:rPr>
                <w:i/>
              </w:rPr>
              <w:t>-</w:t>
            </w:r>
            <w:r>
              <w:rPr>
                <w:i/>
              </w:rPr>
              <w:t>term initiatives with expected fluctuations year on year.</w:t>
            </w:r>
          </w:p>
        </w:tc>
      </w:tr>
      <w:tr w:rsidR="005149D5" w:rsidRPr="00DC0EBC" w14:paraId="5081F0B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C36E1D2" w14:textId="77777777" w:rsidR="005149D5" w:rsidRPr="00DC0EBC" w:rsidRDefault="005149D5">
            <w:pPr>
              <w:keepNext/>
              <w:rPr>
                <w:b/>
              </w:rPr>
            </w:pPr>
            <w:r w:rsidRPr="00DC0EBC">
              <w:rPr>
                <w:b/>
              </w:rPr>
              <w:t>Cost</w:t>
            </w:r>
          </w:p>
        </w:tc>
      </w:tr>
      <w:tr w:rsidR="005149D5" w14:paraId="65EA5B55" w14:textId="77777777" w:rsidTr="005E4657">
        <w:tc>
          <w:tcPr>
            <w:cnfStyle w:val="001000000000" w:firstRow="0" w:lastRow="0" w:firstColumn="1" w:lastColumn="0" w:oddVBand="0" w:evenVBand="0" w:oddHBand="0" w:evenHBand="0" w:firstRowFirstColumn="0" w:firstRowLastColumn="0" w:lastRowFirstColumn="0" w:lastRowLastColumn="0"/>
            <w:tcW w:w="4819" w:type="dxa"/>
          </w:tcPr>
          <w:p w14:paraId="23FC2B2B" w14:textId="062CB86F" w:rsidR="005149D5" w:rsidRDefault="005149D5">
            <w:pPr>
              <w:keepNext/>
              <w:ind w:left="170"/>
            </w:pPr>
            <w:r>
              <w:t xml:space="preserve">Total </w:t>
            </w:r>
            <w:r w:rsidR="00895C50">
              <w:t>sub-</w:t>
            </w:r>
            <w:r>
              <w:t>output cost</w:t>
            </w:r>
          </w:p>
        </w:tc>
        <w:tc>
          <w:tcPr>
            <w:tcW w:w="964" w:type="dxa"/>
          </w:tcPr>
          <w:p w14:paraId="1C10DB2D" w14:textId="77777777" w:rsidR="005149D5" w:rsidRDefault="005149D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DB51CEC" w14:textId="684EAF43" w:rsidR="005149D5" w:rsidRPr="004D0078" w:rsidRDefault="00B0389A">
            <w:pPr>
              <w:cnfStyle w:val="000000000000" w:firstRow="0" w:lastRow="0" w:firstColumn="0" w:lastColumn="0" w:oddVBand="0" w:evenVBand="0" w:oddHBand="0" w:evenHBand="0" w:firstRowFirstColumn="0" w:firstRowLastColumn="0" w:lastRowFirstColumn="0" w:lastRowLastColumn="0"/>
              <w:rPr>
                <w:highlight w:val="yellow"/>
              </w:rPr>
            </w:pPr>
            <w:r>
              <w:t>125.6</w:t>
            </w:r>
          </w:p>
        </w:tc>
        <w:tc>
          <w:tcPr>
            <w:tcW w:w="964" w:type="dxa"/>
          </w:tcPr>
          <w:p w14:paraId="38235FD4" w14:textId="010E46CB" w:rsidR="005149D5" w:rsidRPr="004D0078" w:rsidRDefault="003B2D4C">
            <w:pPr>
              <w:cnfStyle w:val="000000000000" w:firstRow="0" w:lastRow="0" w:firstColumn="0" w:lastColumn="0" w:oddVBand="0" w:evenVBand="0" w:oddHBand="0" w:evenHBand="0" w:firstRowFirstColumn="0" w:firstRowLastColumn="0" w:lastRowFirstColumn="0" w:lastRowLastColumn="0"/>
              <w:rPr>
                <w:highlight w:val="yellow"/>
              </w:rPr>
            </w:pPr>
            <w:r w:rsidRPr="003B2D4C">
              <w:t>73.7</w:t>
            </w:r>
          </w:p>
        </w:tc>
        <w:tc>
          <w:tcPr>
            <w:tcW w:w="964" w:type="dxa"/>
          </w:tcPr>
          <w:p w14:paraId="4020168A" w14:textId="1EFDBE93" w:rsidR="005149D5" w:rsidRPr="004D0078" w:rsidRDefault="00347E3A">
            <w:pPr>
              <w:cnfStyle w:val="000000000000" w:firstRow="0" w:lastRow="0" w:firstColumn="0" w:lastColumn="0" w:oddVBand="0" w:evenVBand="0" w:oddHBand="0" w:evenHBand="0" w:firstRowFirstColumn="0" w:firstRowLastColumn="0" w:lastRowFirstColumn="0" w:lastRowLastColumn="0"/>
              <w:rPr>
                <w:highlight w:val="yellow"/>
              </w:rPr>
            </w:pPr>
            <w:r>
              <w:t>150.4</w:t>
            </w:r>
          </w:p>
        </w:tc>
        <w:tc>
          <w:tcPr>
            <w:tcW w:w="964" w:type="dxa"/>
          </w:tcPr>
          <w:p w14:paraId="2A0D93C3" w14:textId="10ED8D9B" w:rsidR="005149D5" w:rsidRPr="004D0078" w:rsidRDefault="001D69D5">
            <w:pPr>
              <w:cnfStyle w:val="000000000000" w:firstRow="0" w:lastRow="0" w:firstColumn="0" w:lastColumn="0" w:oddVBand="0" w:evenVBand="0" w:oddHBand="0" w:evenHBand="0" w:firstRowFirstColumn="0" w:firstRowLastColumn="0" w:lastRowFirstColumn="0" w:lastRowLastColumn="0"/>
              <w:rPr>
                <w:highlight w:val="yellow"/>
              </w:rPr>
            </w:pPr>
            <w:r w:rsidRPr="001D69D5">
              <w:t>91.3</w:t>
            </w:r>
          </w:p>
        </w:tc>
      </w:tr>
      <w:tr w:rsidR="001D69D5" w14:paraId="7276B5DA" w14:textId="77777777" w:rsidTr="001D69D5">
        <w:tc>
          <w:tcPr>
            <w:cnfStyle w:val="001000000000" w:firstRow="0" w:lastRow="0" w:firstColumn="1" w:lastColumn="0" w:oddVBand="0" w:evenVBand="0" w:oddHBand="0" w:evenHBand="0" w:firstRowFirstColumn="0" w:firstRowLastColumn="0" w:lastRowFirstColumn="0" w:lastRowLastColumn="0"/>
            <w:tcW w:w="9639" w:type="dxa"/>
            <w:gridSpan w:val="6"/>
          </w:tcPr>
          <w:p w14:paraId="6B1A7E93" w14:textId="4FDF97D8" w:rsidR="001D69D5" w:rsidRPr="003862AD" w:rsidRDefault="003862AD" w:rsidP="003862AD">
            <w:pPr>
              <w:ind w:left="170"/>
              <w:rPr>
                <w:i/>
                <w:iCs/>
              </w:rPr>
            </w:pPr>
            <w:r w:rsidRPr="00B14EE6">
              <w:rPr>
                <w:i/>
                <w:iCs/>
              </w:rPr>
              <w:t xml:space="preserve">The </w:t>
            </w:r>
            <w:r>
              <w:rPr>
                <w:i/>
                <w:iCs/>
              </w:rPr>
              <w:t xml:space="preserve">2025-26 </w:t>
            </w:r>
            <w:r w:rsidRPr="00B14EE6">
              <w:rPr>
                <w:i/>
                <w:iCs/>
              </w:rPr>
              <w:t>expected outcome is lower than the</w:t>
            </w:r>
            <w:r>
              <w:rPr>
                <w:i/>
                <w:iCs/>
              </w:rPr>
              <w:t xml:space="preserve"> 2025-26</w:t>
            </w:r>
            <w:r w:rsidRPr="00B14EE6">
              <w:rPr>
                <w:i/>
                <w:iCs/>
              </w:rPr>
              <w:t xml:space="preserve"> target</w:t>
            </w:r>
            <w:r w:rsidR="000B6124">
              <w:rPr>
                <w:i/>
                <w:iCs/>
              </w:rPr>
              <w:t>,</w:t>
            </w:r>
            <w:r w:rsidRPr="00B14EE6">
              <w:rPr>
                <w:i/>
                <w:iCs/>
              </w:rPr>
              <w:t xml:space="preserve"> predominantly due to funding being rephased to forward years to match updated timelines for land acquisition and planting forecast for the Timber Plantation Establishment initiative and for the Forestry Transition Program to future years.</w:t>
            </w:r>
          </w:p>
        </w:tc>
      </w:tr>
      <w:tr w:rsidR="001D69D5" w14:paraId="7075B54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5C1375C" w14:textId="29854225" w:rsidR="001D69D5" w:rsidRPr="001D69D5" w:rsidRDefault="004735EE" w:rsidP="004735EE">
            <w:pPr>
              <w:ind w:left="170"/>
            </w:pPr>
            <w:r w:rsidRPr="00B14EE6">
              <w:rPr>
                <w:i/>
                <w:iCs/>
              </w:rPr>
              <w:t>The lower 2026-27 target predominantly reflects the funding profile of the Timber Plantation Establishment and Plantation Development initiative.</w:t>
            </w:r>
          </w:p>
        </w:tc>
      </w:tr>
    </w:tbl>
    <w:p w14:paraId="70FE27A9" w14:textId="77777777" w:rsidR="00824558" w:rsidRDefault="00824558">
      <w:pPr>
        <w:pStyle w:val="Source"/>
      </w:pPr>
      <w:r>
        <w:t>Source: Department of Energy, Environment and Climate Action</w:t>
      </w:r>
    </w:p>
    <w:p w14:paraId="61447F1F" w14:textId="77777777" w:rsidR="00824558" w:rsidRDefault="00824558" w:rsidP="009C6734"/>
    <w:p w14:paraId="1BCDA480" w14:textId="77777777" w:rsidR="00824558" w:rsidRPr="00DF2509" w:rsidRDefault="00824558" w:rsidP="00D21BC8">
      <w:pPr>
        <w:pStyle w:val="ShadedBoxHeading"/>
        <w:keepLines w:val="0"/>
      </w:pPr>
      <w:r w:rsidRPr="00DF2509">
        <w:t>Objective 2: Net zero emissions, climate ready economy and community</w:t>
      </w:r>
    </w:p>
    <w:p w14:paraId="3B2C8CFB" w14:textId="341AC5DF" w:rsidR="00824558" w:rsidRPr="00DF2509" w:rsidRDefault="00824558">
      <w:pPr>
        <w:pStyle w:val="ShadedBoxText"/>
        <w:keepLines w:val="0"/>
      </w:pPr>
      <w:r w:rsidRPr="00DF2509">
        <w:t>This objective involves leading the whole of government delivery of Victoria</w:t>
      </w:r>
      <w:r w:rsidR="007942D1">
        <w:t>’</w:t>
      </w:r>
      <w:r w:rsidRPr="00DF2509">
        <w:t>s climate action, including reducing greenhouse gas emissions, adapting to the impacts of a changing climate, and supporting the economic and social transition to a net zero emissions and climate resilient future.</w:t>
      </w:r>
    </w:p>
    <w:p w14:paraId="372941CA" w14:textId="0108582E" w:rsidR="00824558" w:rsidRPr="00DF2509" w:rsidRDefault="00824558">
      <w:pPr>
        <w:pStyle w:val="ShadedBoxText"/>
        <w:keepLines w:val="0"/>
      </w:pPr>
      <w:r w:rsidRPr="00DF2509">
        <w:t>The Department leads the modernisation of legislative, regulatory and governance arrangements in the climate action portfolio, and uses economic, research and scientific expertise to develop policy responses to harness Victoria</w:t>
      </w:r>
      <w:r w:rsidR="007942D1">
        <w:t>’</w:t>
      </w:r>
      <w:r w:rsidRPr="00DF2509">
        <w:t>s current and emerging climate action opportunities.</w:t>
      </w:r>
    </w:p>
    <w:p w14:paraId="44CDBC99" w14:textId="7BC898C6" w:rsidR="00824558" w:rsidRPr="00DF2509" w:rsidRDefault="00824558">
      <w:pPr>
        <w:pStyle w:val="ShadedBoxText"/>
        <w:keepLines w:val="0"/>
      </w:pPr>
      <w:r w:rsidRPr="00DF2509">
        <w:t>The foundation for the Department</w:t>
      </w:r>
      <w:r w:rsidR="007942D1">
        <w:t>’</w:t>
      </w:r>
      <w:r w:rsidRPr="00DF2509">
        <w:t xml:space="preserve">s work on these issues is the </w:t>
      </w:r>
      <w:r w:rsidRPr="00DF2509">
        <w:rPr>
          <w:i/>
        </w:rPr>
        <w:t>Climate Action Act 2017.</w:t>
      </w:r>
    </w:p>
    <w:p w14:paraId="23C907BC" w14:textId="77777777" w:rsidR="00824558" w:rsidRPr="00DF2509" w:rsidRDefault="00824558">
      <w:pPr>
        <w:pStyle w:val="ShadedBoxText"/>
        <w:keepLines w:val="0"/>
      </w:pPr>
      <w:r w:rsidRPr="00DF2509">
        <w:t>The departmental objective indicators are:</w:t>
      </w:r>
    </w:p>
    <w:p w14:paraId="723A7C14" w14:textId="7F02C768" w:rsidR="00824558" w:rsidRPr="009C6734" w:rsidRDefault="00824558" w:rsidP="009C6734">
      <w:pPr>
        <w:pStyle w:val="ShadedBoxBullet"/>
      </w:pPr>
      <w:r w:rsidRPr="009C6734">
        <w:t>reduction in Victoria</w:t>
      </w:r>
      <w:r w:rsidR="007942D1" w:rsidRPr="009C6734">
        <w:t>’</w:t>
      </w:r>
      <w:r w:rsidRPr="009C6734">
        <w:t>s greenhouse gas emissions relative to 2005</w:t>
      </w:r>
    </w:p>
    <w:p w14:paraId="48B701BA" w14:textId="77777777" w:rsidR="00824558" w:rsidRPr="009C6734" w:rsidRDefault="00824558" w:rsidP="009C6734">
      <w:pPr>
        <w:pStyle w:val="ShadedBoxBullet"/>
      </w:pPr>
      <w:bookmarkStart w:id="5" w:name="_Hlk535483723"/>
      <w:r w:rsidRPr="009C6734">
        <w:t>r</w:t>
      </w:r>
      <w:bookmarkEnd w:id="5"/>
      <w:r w:rsidRPr="009C6734">
        <w:t xml:space="preserve">eduction in greenhouse gas emissions for Victorian schools participating in the ResourceSmart Schools program </w:t>
      </w:r>
    </w:p>
    <w:p w14:paraId="2FCA1D27" w14:textId="77777777" w:rsidR="00824558" w:rsidRPr="009C6734" w:rsidRDefault="00824558" w:rsidP="009C6734">
      <w:pPr>
        <w:pStyle w:val="ShadedBoxBullet"/>
      </w:pPr>
      <w:r w:rsidRPr="009C6734">
        <w:t>strengthen community and government resilience to climate change hazards</w:t>
      </w:r>
    </w:p>
    <w:p w14:paraId="77CD402D" w14:textId="275A03ED" w:rsidR="00824558" w:rsidRPr="009C6734" w:rsidRDefault="00824558" w:rsidP="009C6734">
      <w:pPr>
        <w:pStyle w:val="ShadedBoxBullet"/>
      </w:pPr>
      <w:r w:rsidRPr="009C6734">
        <w:t>reduction in greenhouse gas emissions from Victorian Government operations</w:t>
      </w:r>
      <w:r w:rsidR="009C6734">
        <w:t>.</w:t>
      </w:r>
    </w:p>
    <w:p w14:paraId="1823E47A" w14:textId="77777777" w:rsidR="00824558" w:rsidRDefault="00824558">
      <w:pPr>
        <w:pStyle w:val="Heading3"/>
      </w:pPr>
      <w:r>
        <w:t>Output</w:t>
      </w:r>
    </w:p>
    <w:p w14:paraId="3400E5FA" w14:textId="12389B78" w:rsidR="00824558" w:rsidRDefault="00824558">
      <w:pPr>
        <w:pStyle w:val="Heading3"/>
      </w:pPr>
      <w:r>
        <w:t>Climate Action</w:t>
      </w:r>
      <w:r>
        <w:tab/>
        <w:t>(2026-27</w:t>
      </w:r>
      <w:r w:rsidRPr="0081095A">
        <w:t>: $</w:t>
      </w:r>
      <w:r w:rsidR="0081095A" w:rsidRPr="0081095A">
        <w:t>19</w:t>
      </w:r>
      <w:r w:rsidR="0081095A">
        <w:t>.4</w:t>
      </w:r>
      <w:r>
        <w:t xml:space="preserve"> million)</w:t>
      </w:r>
    </w:p>
    <w:p w14:paraId="21837081" w14:textId="0BE3FA85" w:rsidR="00824558" w:rsidRPr="006B532E" w:rsidRDefault="00824558">
      <w:pPr>
        <w:keepLines w:val="0"/>
        <w:spacing w:after="120"/>
      </w:pPr>
      <w:r w:rsidRPr="00DF2509">
        <w:rPr>
          <w:rFonts w:ascii="Garamond" w:eastAsia="Garamond" w:hAnsi="Garamond"/>
        </w:rPr>
        <w:t>This output leads the development and implementation of strategic, whole of government</w:t>
      </w:r>
      <w:r>
        <w:rPr>
          <w:rFonts w:ascii="Garamond" w:eastAsia="Garamond" w:hAnsi="Garamond"/>
        </w:rPr>
        <w:t>,</w:t>
      </w:r>
      <w:r w:rsidRPr="00DF2509">
        <w:rPr>
          <w:rFonts w:ascii="Garamond" w:eastAsia="Garamond" w:hAnsi="Garamond"/>
        </w:rPr>
        <w:t xml:space="preserve"> climate action policy and programs that contribute to Victoria</w:t>
      </w:r>
      <w:r w:rsidR="007942D1">
        <w:rPr>
          <w:rFonts w:ascii="Garamond" w:eastAsia="Garamond" w:hAnsi="Garamond"/>
        </w:rPr>
        <w:t>’</w:t>
      </w:r>
      <w:r w:rsidRPr="00DF2509">
        <w:rPr>
          <w:rFonts w:ascii="Garamond" w:eastAsia="Garamond" w:hAnsi="Garamond"/>
        </w:rPr>
        <w:t>s 2045 target of net zero greenhouse gas emissions and building the State</w:t>
      </w:r>
      <w:r w:rsidR="007942D1">
        <w:rPr>
          <w:rFonts w:ascii="Garamond" w:eastAsia="Garamond" w:hAnsi="Garamond"/>
        </w:rPr>
        <w:t>’</w:t>
      </w:r>
      <w:r w:rsidRPr="00DF2509">
        <w:rPr>
          <w:rFonts w:ascii="Garamond" w:eastAsia="Garamond" w:hAnsi="Garamond"/>
        </w:rPr>
        <w:t>s resilience to climate change.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F3747E0" w14:textId="77777777" w:rsidTr="004D0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A7FBFAF" w14:textId="77777777" w:rsidR="00824558" w:rsidRDefault="00824558">
            <w:r>
              <w:t>Performance measure</w:t>
            </w:r>
          </w:p>
        </w:tc>
        <w:tc>
          <w:tcPr>
            <w:tcW w:w="964" w:type="dxa"/>
          </w:tcPr>
          <w:p w14:paraId="21E9669B"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2120D7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99B812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DB740E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A411E6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DC0EBC" w14:paraId="7EB6137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36CD5802" w14:textId="77777777" w:rsidR="00824558" w:rsidRPr="00DC0EBC" w:rsidRDefault="00824558">
            <w:pPr>
              <w:keepNext/>
              <w:rPr>
                <w:b/>
              </w:rPr>
            </w:pPr>
            <w:r w:rsidRPr="00DC0EBC">
              <w:rPr>
                <w:b/>
              </w:rPr>
              <w:t>Quantity</w:t>
            </w:r>
          </w:p>
        </w:tc>
      </w:tr>
      <w:tr w:rsidR="00824558" w14:paraId="1F8BFB7F"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A16057D" w14:textId="77777777" w:rsidR="00824558" w:rsidRDefault="00824558">
            <w:pPr>
              <w:ind w:left="170"/>
            </w:pPr>
            <w:r>
              <w:t>Annual energy saved by Victorian schools participating in the ResourceSmart Schools program</w:t>
            </w:r>
          </w:p>
        </w:tc>
        <w:tc>
          <w:tcPr>
            <w:tcW w:w="964" w:type="dxa"/>
            <w:tcBorders>
              <w:bottom w:val="single" w:sz="6" w:space="0" w:color="auto"/>
            </w:tcBorders>
          </w:tcPr>
          <w:p w14:paraId="29DD620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kWh</w:t>
            </w:r>
          </w:p>
        </w:tc>
        <w:tc>
          <w:tcPr>
            <w:tcW w:w="964" w:type="dxa"/>
            <w:tcBorders>
              <w:bottom w:val="single" w:sz="6" w:space="0" w:color="auto"/>
            </w:tcBorders>
            <w:shd w:val="clear" w:color="auto" w:fill="F0F0F0"/>
          </w:tcPr>
          <w:p w14:paraId="2D077E2A" w14:textId="77777777" w:rsidR="00824558" w:rsidRDefault="00824558">
            <w:pPr>
              <w:cnfStyle w:val="000000000000" w:firstRow="0" w:lastRow="0" w:firstColumn="0" w:lastColumn="0" w:oddVBand="0" w:evenVBand="0" w:oddHBand="0" w:evenHBand="0" w:firstRowFirstColumn="0" w:firstRowLastColumn="0" w:lastRowFirstColumn="0" w:lastRowLastColumn="0"/>
            </w:pPr>
            <w:r>
              <w:t>8 500 000</w:t>
            </w:r>
          </w:p>
        </w:tc>
        <w:tc>
          <w:tcPr>
            <w:tcW w:w="964" w:type="dxa"/>
            <w:tcBorders>
              <w:bottom w:val="single" w:sz="6" w:space="0" w:color="auto"/>
            </w:tcBorders>
          </w:tcPr>
          <w:p w14:paraId="137FEB40" w14:textId="77777777" w:rsidR="00824558" w:rsidRDefault="00824558">
            <w:pPr>
              <w:cnfStyle w:val="000000000000" w:firstRow="0" w:lastRow="0" w:firstColumn="0" w:lastColumn="0" w:oddVBand="0" w:evenVBand="0" w:oddHBand="0" w:evenHBand="0" w:firstRowFirstColumn="0" w:firstRowLastColumn="0" w:lastRowFirstColumn="0" w:lastRowLastColumn="0"/>
            </w:pPr>
            <w:r>
              <w:t>8 500 000</w:t>
            </w:r>
          </w:p>
        </w:tc>
        <w:tc>
          <w:tcPr>
            <w:tcW w:w="964" w:type="dxa"/>
            <w:tcBorders>
              <w:bottom w:val="single" w:sz="6" w:space="0" w:color="auto"/>
            </w:tcBorders>
          </w:tcPr>
          <w:p w14:paraId="2D70AF7F" w14:textId="77777777" w:rsidR="00824558" w:rsidRDefault="00824558">
            <w:pPr>
              <w:cnfStyle w:val="000000000000" w:firstRow="0" w:lastRow="0" w:firstColumn="0" w:lastColumn="0" w:oddVBand="0" w:evenVBand="0" w:oddHBand="0" w:evenHBand="0" w:firstRowFirstColumn="0" w:firstRowLastColumn="0" w:lastRowFirstColumn="0" w:lastRowLastColumn="0"/>
            </w:pPr>
            <w:r>
              <w:t>8 500 000</w:t>
            </w:r>
          </w:p>
        </w:tc>
        <w:tc>
          <w:tcPr>
            <w:tcW w:w="964" w:type="dxa"/>
            <w:tcBorders>
              <w:bottom w:val="single" w:sz="6" w:space="0" w:color="auto"/>
            </w:tcBorders>
          </w:tcPr>
          <w:p w14:paraId="57096C48" w14:textId="77777777" w:rsidR="00824558" w:rsidRDefault="00824558">
            <w:pPr>
              <w:cnfStyle w:val="000000000000" w:firstRow="0" w:lastRow="0" w:firstColumn="0" w:lastColumn="0" w:oddVBand="0" w:evenVBand="0" w:oddHBand="0" w:evenHBand="0" w:firstRowFirstColumn="0" w:firstRowLastColumn="0" w:lastRowFirstColumn="0" w:lastRowLastColumn="0"/>
            </w:pPr>
            <w:r>
              <w:t>9 398 306</w:t>
            </w:r>
          </w:p>
        </w:tc>
      </w:tr>
      <w:tr w:rsidR="00824558" w14:paraId="0C82251B"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3BFBD8" w14:textId="77777777" w:rsidR="00824558" w:rsidRDefault="00824558">
            <w:pPr>
              <w:ind w:left="170"/>
            </w:pPr>
            <w:r>
              <w:t>Victorian schools participating in the ResourceSmart Schools program</w:t>
            </w:r>
          </w:p>
        </w:tc>
        <w:tc>
          <w:tcPr>
            <w:tcW w:w="964" w:type="dxa"/>
            <w:tcBorders>
              <w:bottom w:val="single" w:sz="6" w:space="0" w:color="auto"/>
            </w:tcBorders>
          </w:tcPr>
          <w:p w14:paraId="10397C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87BCE00" w14:textId="77777777" w:rsidR="00824558" w:rsidRDefault="00824558">
            <w:pPr>
              <w:cnfStyle w:val="000000000000" w:firstRow="0" w:lastRow="0" w:firstColumn="0" w:lastColumn="0" w:oddVBand="0" w:evenVBand="0" w:oddHBand="0" w:evenHBand="0" w:firstRowFirstColumn="0" w:firstRowLastColumn="0" w:lastRowFirstColumn="0" w:lastRowLastColumn="0"/>
            </w:pPr>
            <w:r>
              <w:t>600</w:t>
            </w:r>
          </w:p>
        </w:tc>
        <w:tc>
          <w:tcPr>
            <w:tcW w:w="964" w:type="dxa"/>
            <w:tcBorders>
              <w:bottom w:val="single" w:sz="6" w:space="0" w:color="auto"/>
            </w:tcBorders>
          </w:tcPr>
          <w:p w14:paraId="109A874E" w14:textId="77777777" w:rsidR="00824558" w:rsidRDefault="00824558">
            <w:pPr>
              <w:cnfStyle w:val="000000000000" w:firstRow="0" w:lastRow="0" w:firstColumn="0" w:lastColumn="0" w:oddVBand="0" w:evenVBand="0" w:oddHBand="0" w:evenHBand="0" w:firstRowFirstColumn="0" w:firstRowLastColumn="0" w:lastRowFirstColumn="0" w:lastRowLastColumn="0"/>
            </w:pPr>
            <w:r>
              <w:t>575</w:t>
            </w:r>
          </w:p>
        </w:tc>
        <w:tc>
          <w:tcPr>
            <w:tcW w:w="964" w:type="dxa"/>
            <w:tcBorders>
              <w:bottom w:val="single" w:sz="6" w:space="0" w:color="auto"/>
            </w:tcBorders>
          </w:tcPr>
          <w:p w14:paraId="134582BF" w14:textId="77777777" w:rsidR="00824558" w:rsidRDefault="00824558">
            <w:pPr>
              <w:cnfStyle w:val="000000000000" w:firstRow="0" w:lastRow="0" w:firstColumn="0" w:lastColumn="0" w:oddVBand="0" w:evenVBand="0" w:oddHBand="0" w:evenHBand="0" w:firstRowFirstColumn="0" w:firstRowLastColumn="0" w:lastRowFirstColumn="0" w:lastRowLastColumn="0"/>
            </w:pPr>
            <w:r>
              <w:t>600</w:t>
            </w:r>
          </w:p>
        </w:tc>
        <w:tc>
          <w:tcPr>
            <w:tcW w:w="964" w:type="dxa"/>
            <w:tcBorders>
              <w:bottom w:val="single" w:sz="6" w:space="0" w:color="auto"/>
            </w:tcBorders>
          </w:tcPr>
          <w:p w14:paraId="6CB590D5" w14:textId="77777777" w:rsidR="00824558" w:rsidRDefault="00824558">
            <w:pPr>
              <w:cnfStyle w:val="000000000000" w:firstRow="0" w:lastRow="0" w:firstColumn="0" w:lastColumn="0" w:oddVBand="0" w:evenVBand="0" w:oddHBand="0" w:evenHBand="0" w:firstRowFirstColumn="0" w:firstRowLastColumn="0" w:lastRowFirstColumn="0" w:lastRowLastColumn="0"/>
            </w:pPr>
            <w:r>
              <w:t>546</w:t>
            </w:r>
          </w:p>
        </w:tc>
      </w:tr>
      <w:tr w:rsidR="00824558" w:rsidRPr="00DC0EBC" w14:paraId="70BC1E88"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77D63BAC" w14:textId="77777777" w:rsidR="00824558" w:rsidRPr="00DC0EBC" w:rsidRDefault="00824558">
            <w:pPr>
              <w:keepNext/>
              <w:rPr>
                <w:b/>
              </w:rPr>
            </w:pPr>
            <w:r w:rsidRPr="00DC0EBC">
              <w:rPr>
                <w:b/>
              </w:rPr>
              <w:t>Timeliness</w:t>
            </w:r>
          </w:p>
        </w:tc>
      </w:tr>
      <w:tr w:rsidR="00824558" w14:paraId="3DC399F8"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BEC3AB8" w14:textId="77777777" w:rsidR="00824558" w:rsidRDefault="00824558">
            <w:pPr>
              <w:ind w:left="170"/>
            </w:pPr>
            <w:r>
              <w:t xml:space="preserve">Delivery of statutory outputs under the </w:t>
            </w:r>
            <w:r w:rsidRPr="006F25B3">
              <w:rPr>
                <w:i/>
                <w:iCs/>
              </w:rPr>
              <w:t>Climate Action Act 2017</w:t>
            </w:r>
            <w:r>
              <w:t xml:space="preserve"> within statutory timeframes</w:t>
            </w:r>
          </w:p>
        </w:tc>
        <w:tc>
          <w:tcPr>
            <w:tcW w:w="964" w:type="dxa"/>
            <w:tcBorders>
              <w:bottom w:val="single" w:sz="6" w:space="0" w:color="auto"/>
            </w:tcBorders>
          </w:tcPr>
          <w:p w14:paraId="309593A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54EAD1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653E88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C0C8FD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8F6C3D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4D0078" w:rsidRPr="00DC0EBC" w14:paraId="201E8684"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DFF2440" w14:textId="77777777" w:rsidR="004D0078" w:rsidRPr="00DC0EBC" w:rsidRDefault="004D0078">
            <w:pPr>
              <w:keepNext/>
              <w:rPr>
                <w:b/>
              </w:rPr>
            </w:pPr>
            <w:r w:rsidRPr="00DC0EBC">
              <w:rPr>
                <w:b/>
              </w:rPr>
              <w:t>Cost</w:t>
            </w:r>
          </w:p>
        </w:tc>
      </w:tr>
      <w:tr w:rsidR="004D0078" w14:paraId="342FE6B4" w14:textId="77777777" w:rsidTr="003723E6">
        <w:tc>
          <w:tcPr>
            <w:cnfStyle w:val="001000000000" w:firstRow="0" w:lastRow="0" w:firstColumn="1" w:lastColumn="0" w:oddVBand="0" w:evenVBand="0" w:oddHBand="0" w:evenHBand="0" w:firstRowFirstColumn="0" w:firstRowLastColumn="0" w:lastRowFirstColumn="0" w:lastRowLastColumn="0"/>
            <w:tcW w:w="4819" w:type="dxa"/>
          </w:tcPr>
          <w:p w14:paraId="4E1B3292" w14:textId="77777777" w:rsidR="004D0078" w:rsidRDefault="004D0078">
            <w:pPr>
              <w:keepNext/>
              <w:ind w:left="170"/>
            </w:pPr>
            <w:r>
              <w:t>Total output cost</w:t>
            </w:r>
          </w:p>
        </w:tc>
        <w:tc>
          <w:tcPr>
            <w:tcW w:w="964" w:type="dxa"/>
          </w:tcPr>
          <w:p w14:paraId="046FE2DC" w14:textId="77777777" w:rsidR="004D0078" w:rsidRDefault="004D007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535EC0E7" w14:textId="58A57892" w:rsidR="004D0078" w:rsidRPr="004D0078" w:rsidRDefault="005E4657">
            <w:pPr>
              <w:cnfStyle w:val="000000000000" w:firstRow="0" w:lastRow="0" w:firstColumn="0" w:lastColumn="0" w:oddVBand="0" w:evenVBand="0" w:oddHBand="0" w:evenHBand="0" w:firstRowFirstColumn="0" w:firstRowLastColumn="0" w:lastRowFirstColumn="0" w:lastRowLastColumn="0"/>
              <w:rPr>
                <w:highlight w:val="yellow"/>
              </w:rPr>
            </w:pPr>
            <w:r>
              <w:t>19.4</w:t>
            </w:r>
          </w:p>
        </w:tc>
        <w:tc>
          <w:tcPr>
            <w:tcW w:w="964" w:type="dxa"/>
          </w:tcPr>
          <w:p w14:paraId="751B337C" w14:textId="049EBA0C" w:rsidR="004D0078" w:rsidRPr="004D0078" w:rsidRDefault="002D7918">
            <w:pPr>
              <w:cnfStyle w:val="000000000000" w:firstRow="0" w:lastRow="0" w:firstColumn="0" w:lastColumn="0" w:oddVBand="0" w:evenVBand="0" w:oddHBand="0" w:evenHBand="0" w:firstRowFirstColumn="0" w:firstRowLastColumn="0" w:lastRowFirstColumn="0" w:lastRowLastColumn="0"/>
              <w:rPr>
                <w:highlight w:val="yellow"/>
              </w:rPr>
            </w:pPr>
            <w:r w:rsidRPr="002D7918">
              <w:t>19.2</w:t>
            </w:r>
          </w:p>
        </w:tc>
        <w:tc>
          <w:tcPr>
            <w:tcW w:w="964" w:type="dxa"/>
          </w:tcPr>
          <w:p w14:paraId="2F930685" w14:textId="23E50838" w:rsidR="004D0078" w:rsidRPr="004D0078" w:rsidRDefault="00491913">
            <w:pPr>
              <w:cnfStyle w:val="000000000000" w:firstRow="0" w:lastRow="0" w:firstColumn="0" w:lastColumn="0" w:oddVBand="0" w:evenVBand="0" w:oddHBand="0" w:evenHBand="0" w:firstRowFirstColumn="0" w:firstRowLastColumn="0" w:lastRowFirstColumn="0" w:lastRowLastColumn="0"/>
              <w:rPr>
                <w:highlight w:val="yellow"/>
              </w:rPr>
            </w:pPr>
            <w:r>
              <w:t>18.4</w:t>
            </w:r>
          </w:p>
        </w:tc>
        <w:tc>
          <w:tcPr>
            <w:tcW w:w="964" w:type="dxa"/>
          </w:tcPr>
          <w:p w14:paraId="366DFA81" w14:textId="7A3F798E" w:rsidR="004D0078" w:rsidRPr="004D0078" w:rsidRDefault="003723E6">
            <w:pPr>
              <w:cnfStyle w:val="000000000000" w:firstRow="0" w:lastRow="0" w:firstColumn="0" w:lastColumn="0" w:oddVBand="0" w:evenVBand="0" w:oddHBand="0" w:evenHBand="0" w:firstRowFirstColumn="0" w:firstRowLastColumn="0" w:lastRowFirstColumn="0" w:lastRowLastColumn="0"/>
              <w:rPr>
                <w:highlight w:val="yellow"/>
              </w:rPr>
            </w:pPr>
            <w:r>
              <w:t>17.2</w:t>
            </w:r>
          </w:p>
        </w:tc>
      </w:tr>
      <w:tr w:rsidR="003723E6" w14:paraId="3E3E904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28FB5CE" w14:textId="71C93031" w:rsidR="003723E6" w:rsidRPr="00C96EEB" w:rsidRDefault="00C96EEB" w:rsidP="00C96EEB">
            <w:pPr>
              <w:ind w:left="170"/>
              <w:rPr>
                <w:i/>
                <w:iCs/>
              </w:rPr>
            </w:pPr>
            <w:r w:rsidRPr="00234F95">
              <w:rPr>
                <w:i/>
                <w:iCs/>
              </w:rPr>
              <w:t>The higher 2026-27 target predominantly reflects adjustments to existing funding for government policy commitments and indexation.</w:t>
            </w:r>
          </w:p>
        </w:tc>
      </w:tr>
    </w:tbl>
    <w:p w14:paraId="13F6A5E6" w14:textId="77777777" w:rsidR="00824558" w:rsidRDefault="00824558">
      <w:pPr>
        <w:pStyle w:val="Source"/>
      </w:pPr>
      <w:r>
        <w:t>Source: Department of Energy, Environment and Climate Action</w:t>
      </w:r>
    </w:p>
    <w:p w14:paraId="5C41A29C" w14:textId="7C710267" w:rsidR="00824558" w:rsidRPr="0006533D" w:rsidRDefault="00824558">
      <w:pPr>
        <w:pStyle w:val="ShadedBoxHeading"/>
        <w:rPr>
          <w:rFonts w:ascii="Calibri" w:eastAsia="Garamond" w:hAnsi="Calibri" w:cs="Times New Roman"/>
          <w:b w:val="0"/>
          <w:color w:val="000000" w:themeColor="text1"/>
        </w:rPr>
      </w:pPr>
      <w:r w:rsidRPr="0006533D">
        <w:rPr>
          <w:color w:val="000000" w:themeColor="text1"/>
          <w:szCs w:val="24"/>
        </w:rPr>
        <w:lastRenderedPageBreak/>
        <w:t>Objective 3: Sustainable development of Victoria</w:t>
      </w:r>
      <w:r w:rsidR="007942D1">
        <w:rPr>
          <w:color w:val="000000" w:themeColor="text1"/>
          <w:szCs w:val="24"/>
        </w:rPr>
        <w:t>’</w:t>
      </w:r>
      <w:r w:rsidRPr="0006533D">
        <w:rPr>
          <w:color w:val="000000" w:themeColor="text1"/>
          <w:szCs w:val="24"/>
        </w:rPr>
        <w:t>s earth resources</w:t>
      </w:r>
    </w:p>
    <w:p w14:paraId="5D08237F" w14:textId="4CA37BE4" w:rsidR="00824558" w:rsidRPr="0006533D" w:rsidRDefault="00824558">
      <w:pPr>
        <w:pStyle w:val="ShadedBoxText"/>
        <w:rPr>
          <w:color w:val="000000" w:themeColor="text1"/>
        </w:rPr>
      </w:pPr>
      <w:r w:rsidRPr="0006533D">
        <w:rPr>
          <w:color w:val="000000" w:themeColor="text1"/>
        </w:rPr>
        <w:t>This objective develops and delivers policy, programs and regulation to enable investment and generate jobs through the sustainable development of the State</w:t>
      </w:r>
      <w:r w:rsidR="007942D1">
        <w:rPr>
          <w:color w:val="000000" w:themeColor="text1"/>
        </w:rPr>
        <w:t>’</w:t>
      </w:r>
      <w:r w:rsidRPr="0006533D">
        <w:rPr>
          <w:color w:val="000000" w:themeColor="text1"/>
        </w:rPr>
        <w:t xml:space="preserve">s earth resources, including extractives, minerals and petroleum. </w:t>
      </w:r>
    </w:p>
    <w:p w14:paraId="1C469D66" w14:textId="77777777" w:rsidR="00824558" w:rsidRPr="0006533D" w:rsidRDefault="00824558">
      <w:pPr>
        <w:pStyle w:val="ShadedBoxText"/>
        <w:rPr>
          <w:color w:val="000000" w:themeColor="text1"/>
        </w:rPr>
      </w:pPr>
      <w:r w:rsidRPr="0006533D">
        <w:rPr>
          <w:color w:val="000000" w:themeColor="text1"/>
        </w:rPr>
        <w:t>The departmental objective indicators are:</w:t>
      </w:r>
    </w:p>
    <w:p w14:paraId="5C1118DC" w14:textId="77777777" w:rsidR="00824558" w:rsidRPr="009C6734" w:rsidRDefault="00824558" w:rsidP="009C6734">
      <w:pPr>
        <w:pStyle w:val="ShadedBoxBullet"/>
      </w:pPr>
      <w:r w:rsidRPr="009C6734">
        <w:t>metres drilled for minerals exploration in Victoria</w:t>
      </w:r>
    </w:p>
    <w:p w14:paraId="16F3A2B7" w14:textId="77777777" w:rsidR="00824558" w:rsidRPr="009C6734" w:rsidRDefault="00824558" w:rsidP="009C6734">
      <w:pPr>
        <w:pStyle w:val="ShadedBoxBullet"/>
      </w:pPr>
      <w:r w:rsidRPr="009C6734">
        <w:t xml:space="preserve">level of production of minerals and extractives. </w:t>
      </w:r>
    </w:p>
    <w:p w14:paraId="1BB60473" w14:textId="77777777" w:rsidR="00824558" w:rsidRDefault="00824558">
      <w:pPr>
        <w:pStyle w:val="Heading3"/>
      </w:pPr>
      <w:r>
        <w:t>Output</w:t>
      </w:r>
    </w:p>
    <w:p w14:paraId="30D56B92" w14:textId="09029B8A" w:rsidR="00824558" w:rsidRDefault="00824558">
      <w:pPr>
        <w:pStyle w:val="Heading3"/>
      </w:pPr>
      <w:r>
        <w:t>Resources</w:t>
      </w:r>
      <w:r>
        <w:tab/>
        <w:t>(2026-27: $</w:t>
      </w:r>
      <w:r w:rsidR="00031C1F">
        <w:t>47.9</w:t>
      </w:r>
      <w:r>
        <w:t xml:space="preserve"> million)</w:t>
      </w:r>
    </w:p>
    <w:p w14:paraId="068C97EF" w14:textId="1BCEF856" w:rsidR="00824558" w:rsidRPr="00CB2398" w:rsidRDefault="00824558">
      <w:pPr>
        <w:keepNext/>
        <w:spacing w:after="120"/>
        <w:rPr>
          <w:rFonts w:ascii="Garamond" w:hAnsi="Garamond"/>
        </w:rPr>
      </w:pPr>
      <w:r w:rsidRPr="00CB2398">
        <w:rPr>
          <w:rFonts w:ascii="Garamond" w:hAnsi="Garamond"/>
        </w:rPr>
        <w:t>The Resources output seeks to unlock the full potential of Victoria</w:t>
      </w:r>
      <w:r w:rsidR="007942D1">
        <w:rPr>
          <w:rFonts w:ascii="Garamond" w:hAnsi="Garamond"/>
        </w:rPr>
        <w:t>’</w:t>
      </w:r>
      <w:r w:rsidRPr="00CB2398">
        <w:rPr>
          <w:rFonts w:ascii="Garamond" w:hAnsi="Garamond"/>
        </w:rPr>
        <w:t xml:space="preserve">s earth resources, including supporting the transition to net zero emissions through effective policy, programs and regulation. </w:t>
      </w:r>
    </w:p>
    <w:p w14:paraId="5AAD61C5" w14:textId="77777777" w:rsidR="00824558" w:rsidRPr="006B532E" w:rsidRDefault="00824558">
      <w:pPr>
        <w:keepNext/>
        <w:spacing w:after="120"/>
        <w:rPr>
          <w:rFonts w:ascii="Garamond" w:hAnsi="Garamond"/>
        </w:rPr>
      </w:pPr>
      <w:r w:rsidRPr="00CB2398">
        <w:rPr>
          <w:rFonts w:ascii="Garamond" w:hAnsi="Garamond"/>
        </w:rPr>
        <w:t>This is achieved by: securing the supply of quarry-based construction material to support residential and infrastructure development across the state; the delivery of high-quality geoscience data and knowledge to inform government decision</w:t>
      </w:r>
      <w:r>
        <w:rPr>
          <w:rFonts w:ascii="Garamond" w:hAnsi="Garamond"/>
        </w:rPr>
        <w:t>-</w:t>
      </w:r>
      <w:r w:rsidRPr="00CB2398">
        <w:rPr>
          <w:rFonts w:ascii="Garamond" w:hAnsi="Garamond"/>
        </w:rPr>
        <w:t>making and attract new investment; and the responsible regulation of quarries and mines from exploration through to rehabilitation.</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3170C2F" w14:textId="77777777" w:rsidTr="004D0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88CBA60" w14:textId="77777777" w:rsidR="00824558" w:rsidRDefault="00824558">
            <w:r>
              <w:t>Performance measure</w:t>
            </w:r>
          </w:p>
        </w:tc>
        <w:tc>
          <w:tcPr>
            <w:tcW w:w="964" w:type="dxa"/>
          </w:tcPr>
          <w:p w14:paraId="59D6DFB9"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35196C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C12DAB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A5E5B3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0DDABD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3BBFF0F6"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563B4B2D" w14:textId="77777777" w:rsidR="00824558" w:rsidRPr="007D3EA5" w:rsidRDefault="00824558">
            <w:pPr>
              <w:keepNext/>
              <w:rPr>
                <w:b/>
              </w:rPr>
            </w:pPr>
            <w:r w:rsidRPr="007D3EA5">
              <w:rPr>
                <w:b/>
              </w:rPr>
              <w:t>Quantity</w:t>
            </w:r>
          </w:p>
        </w:tc>
      </w:tr>
      <w:tr w:rsidR="00824558" w14:paraId="076E4BA8"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8BF19F" w14:textId="77777777" w:rsidR="00824558" w:rsidRDefault="00824558">
            <w:pPr>
              <w:ind w:left="170"/>
            </w:pPr>
            <w:r>
              <w:t>Community and stakeholder engagement information forums</w:t>
            </w:r>
          </w:p>
        </w:tc>
        <w:tc>
          <w:tcPr>
            <w:tcW w:w="964" w:type="dxa"/>
            <w:tcBorders>
              <w:bottom w:val="single" w:sz="6" w:space="0" w:color="auto"/>
            </w:tcBorders>
          </w:tcPr>
          <w:p w14:paraId="0CC13BF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C25B549"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Borders>
              <w:bottom w:val="single" w:sz="6" w:space="0" w:color="auto"/>
            </w:tcBorders>
          </w:tcPr>
          <w:p w14:paraId="7DA8B3D1"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Borders>
              <w:bottom w:val="single" w:sz="6" w:space="0" w:color="auto"/>
            </w:tcBorders>
          </w:tcPr>
          <w:p w14:paraId="4C075455"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Borders>
              <w:bottom w:val="single" w:sz="6" w:space="0" w:color="auto"/>
            </w:tcBorders>
          </w:tcPr>
          <w:p w14:paraId="503B2103"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r>
      <w:tr w:rsidR="00824558" w14:paraId="52353929"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2D591E29" w14:textId="77777777" w:rsidR="00824558" w:rsidRDefault="00824558">
            <w:pPr>
              <w:keepNext/>
              <w:ind w:left="170"/>
            </w:pPr>
            <w:r>
              <w:t>Earth resources regulatory audits completed in line with the agreed compliance work program</w:t>
            </w:r>
          </w:p>
        </w:tc>
        <w:tc>
          <w:tcPr>
            <w:tcW w:w="964" w:type="dxa"/>
          </w:tcPr>
          <w:p w14:paraId="4EE6D23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1BD1EA" w14:textId="77777777" w:rsidR="00824558" w:rsidRDefault="00824558">
            <w:pPr>
              <w:cnfStyle w:val="000000000000" w:firstRow="0" w:lastRow="0" w:firstColumn="0" w:lastColumn="0" w:oddVBand="0" w:evenVBand="0" w:oddHBand="0" w:evenHBand="0" w:firstRowFirstColumn="0" w:firstRowLastColumn="0" w:lastRowFirstColumn="0" w:lastRowLastColumn="0"/>
            </w:pPr>
            <w:r>
              <w:t>277</w:t>
            </w:r>
          </w:p>
        </w:tc>
        <w:tc>
          <w:tcPr>
            <w:tcW w:w="964" w:type="dxa"/>
          </w:tcPr>
          <w:p w14:paraId="2E50C57E" w14:textId="77777777" w:rsidR="00824558" w:rsidRDefault="00824558">
            <w:pPr>
              <w:cnfStyle w:val="000000000000" w:firstRow="0" w:lastRow="0" w:firstColumn="0" w:lastColumn="0" w:oddVBand="0" w:evenVBand="0" w:oddHBand="0" w:evenHBand="0" w:firstRowFirstColumn="0" w:firstRowLastColumn="0" w:lastRowFirstColumn="0" w:lastRowLastColumn="0"/>
            </w:pPr>
            <w:r>
              <w:t>677</w:t>
            </w:r>
          </w:p>
        </w:tc>
        <w:tc>
          <w:tcPr>
            <w:tcW w:w="964" w:type="dxa"/>
          </w:tcPr>
          <w:p w14:paraId="6BB53130" w14:textId="77777777" w:rsidR="00824558" w:rsidRDefault="00824558">
            <w:pPr>
              <w:cnfStyle w:val="000000000000" w:firstRow="0" w:lastRow="0" w:firstColumn="0" w:lastColumn="0" w:oddVBand="0" w:evenVBand="0" w:oddHBand="0" w:evenHBand="0" w:firstRowFirstColumn="0" w:firstRowLastColumn="0" w:lastRowFirstColumn="0" w:lastRowLastColumn="0"/>
            </w:pPr>
            <w:r>
              <w:t>277</w:t>
            </w:r>
          </w:p>
        </w:tc>
        <w:tc>
          <w:tcPr>
            <w:tcW w:w="964" w:type="dxa"/>
          </w:tcPr>
          <w:p w14:paraId="212CE40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1571CD3"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DEB874" w14:textId="77777777" w:rsidR="00824558" w:rsidRDefault="00824558">
            <w:pPr>
              <w:ind w:left="170"/>
            </w:pPr>
            <w:r>
              <w:rPr>
                <w:i/>
              </w:rPr>
              <w:t>The 2025-26 expected outcome is higher than the 2025-26 target reflecting the impact of the short-term Rapid Inspection Program, which aims to inspect and assess the risk, and the state of the site for mineral, prospecting and extractives licences across Victoria.</w:t>
            </w:r>
          </w:p>
        </w:tc>
      </w:tr>
      <w:tr w:rsidR="00824558" w14:paraId="45975B12"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25F98699" w14:textId="77777777" w:rsidR="00824558" w:rsidRDefault="00824558">
            <w:pPr>
              <w:keepNext/>
              <w:ind w:left="170"/>
            </w:pPr>
            <w:r>
              <w:t>Geoscience reports and publications released to promote earth resource opportunities across the State</w:t>
            </w:r>
          </w:p>
        </w:tc>
        <w:tc>
          <w:tcPr>
            <w:tcW w:w="964" w:type="dxa"/>
          </w:tcPr>
          <w:p w14:paraId="70AD5B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58AAF6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7478E14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5C685F13"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2B1451EA"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r>
      <w:tr w:rsidR="00824558" w14:paraId="033E848E"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A8D8BF1" w14:textId="59B857B3" w:rsidR="00824558" w:rsidRDefault="00824558">
            <w:pPr>
              <w:ind w:left="170"/>
            </w:pPr>
            <w:r>
              <w:rPr>
                <w:i/>
              </w:rPr>
              <w:t xml:space="preserve">This performance measure renames the 2025-26 performance measure </w:t>
            </w:r>
            <w:r w:rsidR="007942D1">
              <w:rPr>
                <w:i/>
              </w:rPr>
              <w:t>‘</w:t>
            </w:r>
            <w:r>
              <w:rPr>
                <w:i/>
              </w:rPr>
              <w:t>Geoscience data packages released to promote earth resource opportunities across the State</w:t>
            </w:r>
            <w:r w:rsidR="007942D1">
              <w:rPr>
                <w:i/>
              </w:rPr>
              <w:t>’</w:t>
            </w:r>
            <w:r>
              <w:rPr>
                <w:i/>
              </w:rPr>
              <w:t xml:space="preserve">. This measure reports on the same activity as the previous measure, however it has been renamed to improve clarity on the type of geoscience data released, and to align with the Resources Victoria website for geological publications. </w:t>
            </w:r>
          </w:p>
        </w:tc>
      </w:tr>
      <w:tr w:rsidR="00824558" w:rsidRPr="007D3EA5" w14:paraId="31DF82BA"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106FF390" w14:textId="77777777" w:rsidR="00824558" w:rsidRPr="007D3EA5" w:rsidRDefault="00824558">
            <w:pPr>
              <w:keepNext/>
              <w:rPr>
                <w:b/>
              </w:rPr>
            </w:pPr>
            <w:r w:rsidRPr="007D3EA5">
              <w:rPr>
                <w:b/>
              </w:rPr>
              <w:t>Timeliness</w:t>
            </w:r>
          </w:p>
        </w:tc>
      </w:tr>
      <w:tr w:rsidR="00824558" w14:paraId="125DE8DA"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6A6F8E1" w14:textId="77777777" w:rsidR="00824558" w:rsidRDefault="00824558">
            <w:pPr>
              <w:keepNext/>
              <w:ind w:left="170"/>
            </w:pPr>
            <w:r>
              <w:t>Delivery of agreed milestones for major resources initiatives and priority projects</w:t>
            </w:r>
          </w:p>
        </w:tc>
        <w:tc>
          <w:tcPr>
            <w:tcW w:w="964" w:type="dxa"/>
          </w:tcPr>
          <w:p w14:paraId="2EA6AB6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B09615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1E7E374" w14:textId="77777777" w:rsidR="00824558" w:rsidRDefault="00824558">
            <w:pPr>
              <w:cnfStyle w:val="000000000000" w:firstRow="0" w:lastRow="0" w:firstColumn="0" w:lastColumn="0" w:oddVBand="0" w:evenVBand="0" w:oddHBand="0" w:evenHBand="0" w:firstRowFirstColumn="0" w:firstRowLastColumn="0" w:lastRowFirstColumn="0" w:lastRowLastColumn="0"/>
            </w:pPr>
            <w:r>
              <w:t>94.7</w:t>
            </w:r>
          </w:p>
        </w:tc>
        <w:tc>
          <w:tcPr>
            <w:tcW w:w="964" w:type="dxa"/>
          </w:tcPr>
          <w:p w14:paraId="780DB05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0337D62"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r>
      <w:tr w:rsidR="00824558" w14:paraId="11AF6298"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7BABB47" w14:textId="77777777" w:rsidR="00824558" w:rsidRDefault="00824558">
            <w:pPr>
              <w:ind w:left="170"/>
            </w:pPr>
            <w:r>
              <w:rPr>
                <w:i/>
              </w:rPr>
              <w:t>The 2025-26 expected outcome is lower than the 2025-26 target due to minor delays to the legislative work program due to increased stakeholder engagement.</w:t>
            </w:r>
          </w:p>
        </w:tc>
      </w:tr>
      <w:tr w:rsidR="00824558" w14:paraId="68A590FF"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06625DB" w14:textId="77777777" w:rsidR="00824558" w:rsidRDefault="00824558">
            <w:pPr>
              <w:ind w:left="170"/>
            </w:pPr>
            <w:r>
              <w:t>Extractive Industries Work Authority work plans processed within regulatory timeframes</w:t>
            </w:r>
          </w:p>
        </w:tc>
        <w:tc>
          <w:tcPr>
            <w:tcW w:w="964" w:type="dxa"/>
            <w:tcBorders>
              <w:bottom w:val="single" w:sz="6" w:space="0" w:color="auto"/>
            </w:tcBorders>
          </w:tcPr>
          <w:p w14:paraId="39C704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30CEF9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2507183"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31F798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985AF5F"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377023B6"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2B87D66" w14:textId="77777777" w:rsidR="00824558" w:rsidRDefault="00824558">
            <w:pPr>
              <w:ind w:left="170"/>
            </w:pPr>
            <w:r>
              <w:t>Mineral licence applications processed within regulatory timeframes</w:t>
            </w:r>
          </w:p>
        </w:tc>
        <w:tc>
          <w:tcPr>
            <w:tcW w:w="964" w:type="dxa"/>
            <w:tcBorders>
              <w:bottom w:val="single" w:sz="6" w:space="0" w:color="auto"/>
            </w:tcBorders>
          </w:tcPr>
          <w:p w14:paraId="6AAF881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B04087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4C55C41"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270E4E1"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0097F93"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253C1C5A"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416D9F4" w14:textId="77777777" w:rsidR="00824558" w:rsidRDefault="00824558">
            <w:pPr>
              <w:ind w:left="170"/>
            </w:pPr>
            <w:r>
              <w:t>Mineral work plans processed within regulatory timeframes</w:t>
            </w:r>
          </w:p>
        </w:tc>
        <w:tc>
          <w:tcPr>
            <w:tcW w:w="964" w:type="dxa"/>
          </w:tcPr>
          <w:p w14:paraId="5BB4418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D41BFD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E6A5E7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61B8067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6BDD5614"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54E05043"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186F82" w14:textId="77777777" w:rsidR="00824558" w:rsidRDefault="00824558">
            <w:pPr>
              <w:ind w:left="170"/>
            </w:pPr>
            <w:r>
              <w:t>Site rehabilitation bonds processed within 90 days from issue of bond notice for work plans expanding access to resource</w:t>
            </w:r>
          </w:p>
        </w:tc>
        <w:tc>
          <w:tcPr>
            <w:tcW w:w="964" w:type="dxa"/>
            <w:tcBorders>
              <w:bottom w:val="single" w:sz="6" w:space="0" w:color="auto"/>
            </w:tcBorders>
          </w:tcPr>
          <w:p w14:paraId="5A7A744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6CC1F3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FD63CC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8E64FD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69107AE" w14:textId="77777777" w:rsidR="00824558" w:rsidRDefault="00824558">
            <w:pPr>
              <w:cnfStyle w:val="000000000000" w:firstRow="0" w:lastRow="0" w:firstColumn="0" w:lastColumn="0" w:oddVBand="0" w:evenVBand="0" w:oddHBand="0" w:evenHBand="0" w:firstRowFirstColumn="0" w:firstRowLastColumn="0" w:lastRowFirstColumn="0" w:lastRowLastColumn="0"/>
            </w:pPr>
            <w:r>
              <w:t>78</w:t>
            </w:r>
          </w:p>
        </w:tc>
      </w:tr>
      <w:tr w:rsidR="004D0078" w:rsidRPr="00DC0EBC" w14:paraId="451F3FD0"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5186D1F" w14:textId="77777777" w:rsidR="004D0078" w:rsidRPr="00DC0EBC" w:rsidRDefault="004D0078">
            <w:pPr>
              <w:keepNext/>
              <w:rPr>
                <w:b/>
              </w:rPr>
            </w:pPr>
            <w:r w:rsidRPr="00DC0EBC">
              <w:rPr>
                <w:b/>
              </w:rPr>
              <w:t>Cost</w:t>
            </w:r>
          </w:p>
        </w:tc>
      </w:tr>
      <w:tr w:rsidR="004D0078" w14:paraId="3675EEF0" w14:textId="77777777" w:rsidTr="00110613">
        <w:tc>
          <w:tcPr>
            <w:cnfStyle w:val="001000000000" w:firstRow="0" w:lastRow="0" w:firstColumn="1" w:lastColumn="0" w:oddVBand="0" w:evenVBand="0" w:oddHBand="0" w:evenHBand="0" w:firstRowFirstColumn="0" w:firstRowLastColumn="0" w:lastRowFirstColumn="0" w:lastRowLastColumn="0"/>
            <w:tcW w:w="4819" w:type="dxa"/>
          </w:tcPr>
          <w:p w14:paraId="5ADFEAA6" w14:textId="77777777" w:rsidR="004D0078" w:rsidRDefault="004D0078">
            <w:pPr>
              <w:keepNext/>
              <w:ind w:left="170"/>
            </w:pPr>
            <w:r>
              <w:t>Total output cost</w:t>
            </w:r>
          </w:p>
        </w:tc>
        <w:tc>
          <w:tcPr>
            <w:tcW w:w="964" w:type="dxa"/>
          </w:tcPr>
          <w:p w14:paraId="5B39C535" w14:textId="77777777" w:rsidR="004D0078" w:rsidRDefault="004D007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524F7977" w14:textId="397FD12D" w:rsidR="004D0078" w:rsidRPr="004D0078" w:rsidRDefault="00DA36F1">
            <w:pPr>
              <w:cnfStyle w:val="000000000000" w:firstRow="0" w:lastRow="0" w:firstColumn="0" w:lastColumn="0" w:oddVBand="0" w:evenVBand="0" w:oddHBand="0" w:evenHBand="0" w:firstRowFirstColumn="0" w:firstRowLastColumn="0" w:lastRowFirstColumn="0" w:lastRowLastColumn="0"/>
              <w:rPr>
                <w:highlight w:val="yellow"/>
              </w:rPr>
            </w:pPr>
            <w:r w:rsidRPr="00DA36F1">
              <w:t>47.9</w:t>
            </w:r>
          </w:p>
        </w:tc>
        <w:tc>
          <w:tcPr>
            <w:tcW w:w="964" w:type="dxa"/>
          </w:tcPr>
          <w:p w14:paraId="4DF3A3B2" w14:textId="74F4629A" w:rsidR="004D0078" w:rsidRPr="004D0078" w:rsidRDefault="00C54751">
            <w:pPr>
              <w:cnfStyle w:val="000000000000" w:firstRow="0" w:lastRow="0" w:firstColumn="0" w:lastColumn="0" w:oddVBand="0" w:evenVBand="0" w:oddHBand="0" w:evenHBand="0" w:firstRowFirstColumn="0" w:firstRowLastColumn="0" w:lastRowFirstColumn="0" w:lastRowLastColumn="0"/>
              <w:rPr>
                <w:highlight w:val="yellow"/>
              </w:rPr>
            </w:pPr>
            <w:r w:rsidRPr="00C54751">
              <w:t>57.1</w:t>
            </w:r>
          </w:p>
        </w:tc>
        <w:tc>
          <w:tcPr>
            <w:tcW w:w="964" w:type="dxa"/>
          </w:tcPr>
          <w:p w14:paraId="16DBB8DC" w14:textId="6196CE00" w:rsidR="004D0078" w:rsidRPr="004D0078" w:rsidRDefault="006C6E19">
            <w:pPr>
              <w:cnfStyle w:val="000000000000" w:firstRow="0" w:lastRow="0" w:firstColumn="0" w:lastColumn="0" w:oddVBand="0" w:evenVBand="0" w:oddHBand="0" w:evenHBand="0" w:firstRowFirstColumn="0" w:firstRowLastColumn="0" w:lastRowFirstColumn="0" w:lastRowLastColumn="0"/>
              <w:rPr>
                <w:highlight w:val="yellow"/>
              </w:rPr>
            </w:pPr>
            <w:r>
              <w:t>53.7</w:t>
            </w:r>
          </w:p>
        </w:tc>
        <w:tc>
          <w:tcPr>
            <w:tcW w:w="964" w:type="dxa"/>
          </w:tcPr>
          <w:p w14:paraId="064F978F" w14:textId="1B8515D9" w:rsidR="004D0078" w:rsidRPr="004D0078" w:rsidRDefault="00110613">
            <w:pPr>
              <w:cnfStyle w:val="000000000000" w:firstRow="0" w:lastRow="0" w:firstColumn="0" w:lastColumn="0" w:oddVBand="0" w:evenVBand="0" w:oddHBand="0" w:evenHBand="0" w:firstRowFirstColumn="0" w:firstRowLastColumn="0" w:lastRowFirstColumn="0" w:lastRowLastColumn="0"/>
              <w:rPr>
                <w:highlight w:val="yellow"/>
              </w:rPr>
            </w:pPr>
            <w:r w:rsidRPr="00110613">
              <w:t>50.7</w:t>
            </w:r>
          </w:p>
        </w:tc>
      </w:tr>
      <w:tr w:rsidR="00110613" w14:paraId="1DFAC9C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878D11C" w14:textId="50FF8B56" w:rsidR="00110613" w:rsidRPr="00867067" w:rsidRDefault="00867067" w:rsidP="00867067">
            <w:pPr>
              <w:ind w:left="170"/>
              <w:rPr>
                <w:i/>
                <w:iCs/>
              </w:rPr>
            </w:pPr>
            <w:r w:rsidRPr="00635472">
              <w:rPr>
                <w:i/>
                <w:iCs/>
              </w:rPr>
              <w:t xml:space="preserve">The </w:t>
            </w:r>
            <w:r>
              <w:rPr>
                <w:i/>
                <w:iCs/>
              </w:rPr>
              <w:t xml:space="preserve">2025-26 </w:t>
            </w:r>
            <w:r w:rsidRPr="00635472">
              <w:rPr>
                <w:i/>
                <w:iCs/>
              </w:rPr>
              <w:t xml:space="preserve">expected outcome is higher than the </w:t>
            </w:r>
            <w:r>
              <w:rPr>
                <w:i/>
                <w:iCs/>
              </w:rPr>
              <w:t xml:space="preserve">2025-26 </w:t>
            </w:r>
            <w:r w:rsidRPr="00635472">
              <w:rPr>
                <w:i/>
                <w:iCs/>
              </w:rPr>
              <w:t xml:space="preserve">target due to the rephase of the Resources for Recovery: Securing the resources for Victoria’s economic recovery initiative from 2024-25 to 2025-26 to support the delivery of the </w:t>
            </w:r>
            <w:r>
              <w:rPr>
                <w:i/>
                <w:iCs/>
              </w:rPr>
              <w:t>C</w:t>
            </w:r>
            <w:r w:rsidRPr="00635472">
              <w:rPr>
                <w:i/>
                <w:iCs/>
              </w:rPr>
              <w:t xml:space="preserve">ritical </w:t>
            </w:r>
            <w:r>
              <w:rPr>
                <w:i/>
                <w:iCs/>
              </w:rPr>
              <w:t>M</w:t>
            </w:r>
            <w:r w:rsidRPr="00635472">
              <w:rPr>
                <w:i/>
                <w:iCs/>
              </w:rPr>
              <w:t xml:space="preserve">inerals </w:t>
            </w:r>
            <w:r>
              <w:rPr>
                <w:i/>
                <w:iCs/>
              </w:rPr>
              <w:t>R</w:t>
            </w:r>
            <w:r w:rsidRPr="00635472">
              <w:rPr>
                <w:i/>
                <w:iCs/>
              </w:rPr>
              <w:t>oadmap.</w:t>
            </w:r>
          </w:p>
        </w:tc>
      </w:tr>
      <w:tr w:rsidR="00867067" w14:paraId="4449449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EB797D9" w14:textId="49EACCF9" w:rsidR="00867067" w:rsidRPr="00110613" w:rsidRDefault="00C04D36" w:rsidP="00C04D36">
            <w:pPr>
              <w:ind w:left="170"/>
            </w:pPr>
            <w:r w:rsidRPr="00C04D36">
              <w:rPr>
                <w:i/>
                <w:iCs/>
              </w:rPr>
              <w:t xml:space="preserve">The lower 2026-27 </w:t>
            </w:r>
            <w:r>
              <w:rPr>
                <w:i/>
                <w:iCs/>
              </w:rPr>
              <w:t>target</w:t>
            </w:r>
            <w:r w:rsidRPr="00C04D36">
              <w:rPr>
                <w:i/>
                <w:iCs/>
              </w:rPr>
              <w:t xml:space="preserve"> is mainly due to program scheduling changes and the expiration of fixed term initiatives.</w:t>
            </w:r>
          </w:p>
        </w:tc>
      </w:tr>
    </w:tbl>
    <w:p w14:paraId="3C740111" w14:textId="77777777" w:rsidR="00824558" w:rsidRDefault="00824558">
      <w:pPr>
        <w:pStyle w:val="Source"/>
      </w:pPr>
      <w:r>
        <w:t>Source: Department of Energy, Environment and Climate Action</w:t>
      </w:r>
    </w:p>
    <w:p w14:paraId="4959C423" w14:textId="77777777" w:rsidR="00824558" w:rsidRDefault="00824558">
      <w:pPr>
        <w:pStyle w:val="Source"/>
      </w:pPr>
    </w:p>
    <w:p w14:paraId="7E917369" w14:textId="77777777" w:rsidR="004262EE" w:rsidRDefault="004262EE">
      <w:pPr>
        <w:keepLines w:val="0"/>
        <w:rPr>
          <w:rFonts w:asciiTheme="majorHAnsi" w:hAnsiTheme="majorHAnsi" w:cstheme="minorBidi"/>
          <w:b/>
          <w:sz w:val="20"/>
        </w:rPr>
      </w:pPr>
      <w:r>
        <w:br w:type="page"/>
      </w:r>
    </w:p>
    <w:p w14:paraId="13C66030" w14:textId="77777777" w:rsidR="00824558" w:rsidRPr="005372A6" w:rsidRDefault="00824558">
      <w:pPr>
        <w:pStyle w:val="ShadedBoxHeading"/>
      </w:pPr>
      <w:r w:rsidRPr="005372A6">
        <w:lastRenderedPageBreak/>
        <w:t xml:space="preserve">Objective 4: Reduced impact of major bushfires and other </w:t>
      </w:r>
      <w:r w:rsidRPr="005372A6">
        <w:rPr>
          <w:rFonts w:eastAsia="Garamond"/>
        </w:rPr>
        <w:t xml:space="preserve">emergencies </w:t>
      </w:r>
    </w:p>
    <w:p w14:paraId="3C64D360" w14:textId="77777777" w:rsidR="00824558" w:rsidRPr="005372A6" w:rsidRDefault="00824558">
      <w:pPr>
        <w:pStyle w:val="ShadedBoxText"/>
      </w:pPr>
      <w:r w:rsidRPr="005372A6">
        <w:t xml:space="preserve">This objective delivers an integrated approach to reducing the risk of bushfires and other emergencies to protect people, property and the environment. </w:t>
      </w:r>
    </w:p>
    <w:p w14:paraId="030DDDB9" w14:textId="77777777" w:rsidR="00824558" w:rsidRPr="005372A6" w:rsidRDefault="00824558">
      <w:pPr>
        <w:pStyle w:val="ShadedBoxText"/>
      </w:pPr>
      <w:r w:rsidRPr="005372A6">
        <w:t>The Department works together with land and fire managers and with the community to plan and deliver bushfire management across public and private land, and uses world</w:t>
      </w:r>
      <w:r w:rsidRPr="005372A6">
        <w:noBreakHyphen/>
        <w:t>leading science to manage fire and ecosystems.</w:t>
      </w:r>
    </w:p>
    <w:p w14:paraId="45FFBF80" w14:textId="77777777" w:rsidR="00824558" w:rsidRPr="005372A6" w:rsidRDefault="00824558">
      <w:pPr>
        <w:pStyle w:val="ShadedBoxText"/>
      </w:pPr>
      <w:r w:rsidRPr="005372A6">
        <w:t>The departmental objective indicators are:</w:t>
      </w:r>
    </w:p>
    <w:p w14:paraId="7F625B4E" w14:textId="77777777" w:rsidR="00824558" w:rsidRPr="00711044" w:rsidRDefault="00824558" w:rsidP="009C6734">
      <w:pPr>
        <w:pStyle w:val="ShadedBoxBullet"/>
      </w:pPr>
      <w:r w:rsidRPr="00711044">
        <w:t>percentage of bushfires contained at first attack and/or under five hectares to suppress bushfires promptly, keep bushfires small and minimise loss</w:t>
      </w:r>
    </w:p>
    <w:p w14:paraId="7B55ACF4" w14:textId="77777777" w:rsidR="00824558" w:rsidRPr="00711044" w:rsidRDefault="00824558" w:rsidP="009C6734">
      <w:pPr>
        <w:pStyle w:val="ShadedBoxBullet"/>
      </w:pPr>
      <w:r w:rsidRPr="00711044">
        <w:t>area treated through planned burning and other treatments to maintain the statewide bushfire risk at or below 70 per cent</w:t>
      </w:r>
    </w:p>
    <w:p w14:paraId="20D902F4" w14:textId="77777777" w:rsidR="00824558" w:rsidRPr="00711044" w:rsidRDefault="00824558" w:rsidP="009C6734">
      <w:pPr>
        <w:pStyle w:val="ShadedBoxBullet"/>
      </w:pPr>
      <w:r w:rsidRPr="00711044">
        <w:t>percentage of agreed departmental fire emergency management obligations met on time and to standard.</w:t>
      </w:r>
    </w:p>
    <w:p w14:paraId="40531D49" w14:textId="77777777" w:rsidR="00824558" w:rsidRDefault="00824558">
      <w:pPr>
        <w:pStyle w:val="Heading3"/>
      </w:pPr>
      <w:r>
        <w:t>Outputs</w:t>
      </w:r>
    </w:p>
    <w:p w14:paraId="4F9760C5" w14:textId="624DE92B" w:rsidR="00824558" w:rsidRDefault="00824558">
      <w:pPr>
        <w:pStyle w:val="Heading3"/>
      </w:pPr>
      <w:r>
        <w:t>Fire and Emergency Management</w:t>
      </w:r>
      <w:r>
        <w:tab/>
        <w:t>(2026-27: $</w:t>
      </w:r>
      <w:r w:rsidR="002E2CFD">
        <w:t>445.7</w:t>
      </w:r>
      <w:r>
        <w:t xml:space="preserve"> million)</w:t>
      </w:r>
    </w:p>
    <w:p w14:paraId="7D684AF1" w14:textId="77777777" w:rsidR="00824558" w:rsidRPr="006B532E" w:rsidRDefault="00824558">
      <w:pPr>
        <w:keepNext/>
        <w:spacing w:after="120"/>
      </w:pPr>
      <w:r w:rsidRPr="00FD3DDC">
        <w:t>This output plans and delivers integrated bushfire management. Through this output, the Department works with land and fire managers to plan and deliver bushfire management across public and private land</w:t>
      </w:r>
      <w:r w:rsidRPr="005315A5">
        <w:t xml:space="preserve">; </w:t>
      </w:r>
      <w:r w:rsidRPr="00FD3DDC">
        <w:t>involves local communities in decision-making,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 related activities and provide access for the community</w:t>
      </w:r>
      <w:r>
        <w:t>.</w:t>
      </w:r>
      <w:r w:rsidRPr="00FD3DDC">
        <w:t xml:space="preserve"> </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9151F80" w14:textId="77777777" w:rsidTr="004D0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50FF68A" w14:textId="77777777" w:rsidR="00824558" w:rsidRDefault="00824558">
            <w:r>
              <w:t>Performance measure</w:t>
            </w:r>
          </w:p>
        </w:tc>
        <w:tc>
          <w:tcPr>
            <w:tcW w:w="964" w:type="dxa"/>
          </w:tcPr>
          <w:p w14:paraId="7071D0B1"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95FF7D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1B4799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3A9079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69624F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6228917B"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1A665070" w14:textId="77777777" w:rsidR="00824558" w:rsidRPr="007D3EA5" w:rsidRDefault="00824558">
            <w:pPr>
              <w:keepNext/>
              <w:rPr>
                <w:b/>
              </w:rPr>
            </w:pPr>
            <w:r w:rsidRPr="007D3EA5">
              <w:rPr>
                <w:b/>
              </w:rPr>
              <w:t>Quantity</w:t>
            </w:r>
          </w:p>
        </w:tc>
      </w:tr>
      <w:tr w:rsidR="00824558" w14:paraId="0AE07844"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49620FBF" w14:textId="77777777" w:rsidR="00824558" w:rsidRDefault="00824558">
            <w:pPr>
              <w:keepNext/>
              <w:ind w:left="170"/>
            </w:pPr>
            <w:r>
              <w:t>Personnel with accreditation in a fire and emergency management role</w:t>
            </w:r>
          </w:p>
        </w:tc>
        <w:tc>
          <w:tcPr>
            <w:tcW w:w="964" w:type="dxa"/>
          </w:tcPr>
          <w:p w14:paraId="5202FA1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74106D1" w14:textId="77777777" w:rsidR="00824558" w:rsidRDefault="00824558">
            <w:pPr>
              <w:cnfStyle w:val="000000000000" w:firstRow="0" w:lastRow="0" w:firstColumn="0" w:lastColumn="0" w:oddVBand="0" w:evenVBand="0" w:oddHBand="0" w:evenHBand="0" w:firstRowFirstColumn="0" w:firstRowLastColumn="0" w:lastRowFirstColumn="0" w:lastRowLastColumn="0"/>
            </w:pPr>
            <w:r>
              <w:t>2 450</w:t>
            </w:r>
          </w:p>
        </w:tc>
        <w:tc>
          <w:tcPr>
            <w:tcW w:w="964" w:type="dxa"/>
          </w:tcPr>
          <w:p w14:paraId="74AF5E2F" w14:textId="77777777" w:rsidR="00824558" w:rsidRDefault="00824558">
            <w:pPr>
              <w:cnfStyle w:val="000000000000" w:firstRow="0" w:lastRow="0" w:firstColumn="0" w:lastColumn="0" w:oddVBand="0" w:evenVBand="0" w:oddHBand="0" w:evenHBand="0" w:firstRowFirstColumn="0" w:firstRowLastColumn="0" w:lastRowFirstColumn="0" w:lastRowLastColumn="0"/>
            </w:pPr>
            <w:r>
              <w:t>2 728</w:t>
            </w:r>
          </w:p>
        </w:tc>
        <w:tc>
          <w:tcPr>
            <w:tcW w:w="964" w:type="dxa"/>
          </w:tcPr>
          <w:p w14:paraId="06BD1E40" w14:textId="77777777" w:rsidR="00824558" w:rsidRDefault="00824558">
            <w:pPr>
              <w:cnfStyle w:val="000000000000" w:firstRow="0" w:lastRow="0" w:firstColumn="0" w:lastColumn="0" w:oddVBand="0" w:evenVBand="0" w:oddHBand="0" w:evenHBand="0" w:firstRowFirstColumn="0" w:firstRowLastColumn="0" w:lastRowFirstColumn="0" w:lastRowLastColumn="0"/>
            </w:pPr>
            <w:r>
              <w:t>2 450</w:t>
            </w:r>
          </w:p>
        </w:tc>
        <w:tc>
          <w:tcPr>
            <w:tcW w:w="964" w:type="dxa"/>
          </w:tcPr>
          <w:p w14:paraId="203E2364" w14:textId="77777777" w:rsidR="00824558" w:rsidRDefault="00824558">
            <w:pPr>
              <w:cnfStyle w:val="000000000000" w:firstRow="0" w:lastRow="0" w:firstColumn="0" w:lastColumn="0" w:oddVBand="0" w:evenVBand="0" w:oddHBand="0" w:evenHBand="0" w:firstRowFirstColumn="0" w:firstRowLastColumn="0" w:lastRowFirstColumn="0" w:lastRowLastColumn="0"/>
            </w:pPr>
            <w:r>
              <w:t>2 598</w:t>
            </w:r>
          </w:p>
        </w:tc>
      </w:tr>
      <w:tr w:rsidR="00824558" w14:paraId="23B3BB25"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728060" w14:textId="77777777" w:rsidR="00824558" w:rsidRDefault="00824558">
            <w:pPr>
              <w:ind w:left="170"/>
            </w:pPr>
            <w:r>
              <w:rPr>
                <w:i/>
              </w:rPr>
              <w:t>The 2025-26 expected outcome is higher than the 2025-26 target due to an increase in seasonal workforce to support additional emergency management capability.</w:t>
            </w:r>
          </w:p>
        </w:tc>
      </w:tr>
      <w:tr w:rsidR="00824558" w14:paraId="4121F208"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411F2CDE" w14:textId="77777777" w:rsidR="00824558" w:rsidRDefault="00824558">
            <w:pPr>
              <w:keepNext/>
              <w:ind w:left="170"/>
            </w:pPr>
            <w:r>
              <w:t>Stakeholder and community forums on bushfire management and planned burning held</w:t>
            </w:r>
          </w:p>
        </w:tc>
        <w:tc>
          <w:tcPr>
            <w:tcW w:w="964" w:type="dxa"/>
          </w:tcPr>
          <w:p w14:paraId="640923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DB14EEA"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262D565A" w14:textId="77777777" w:rsidR="00824558" w:rsidRDefault="00824558">
            <w:pPr>
              <w:cnfStyle w:val="000000000000" w:firstRow="0" w:lastRow="0" w:firstColumn="0" w:lastColumn="0" w:oddVBand="0" w:evenVBand="0" w:oddHBand="0" w:evenHBand="0" w:firstRowFirstColumn="0" w:firstRowLastColumn="0" w:lastRowFirstColumn="0" w:lastRowLastColumn="0"/>
            </w:pPr>
            <w:r>
              <w:t>24</w:t>
            </w:r>
          </w:p>
        </w:tc>
        <w:tc>
          <w:tcPr>
            <w:tcW w:w="964" w:type="dxa"/>
          </w:tcPr>
          <w:p w14:paraId="34569163"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781462DF"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323583A8"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E4F01D6" w14:textId="77777777" w:rsidR="00824558" w:rsidRDefault="00824558">
            <w:pPr>
              <w:ind w:left="170"/>
            </w:pPr>
            <w:r>
              <w:rPr>
                <w:i/>
              </w:rPr>
              <w:t xml:space="preserve">The 2025-26 expected outcome is higher than the 2025-26 target due to focused efforts in higher risk areas and continued upcoming planned burning priorities. </w:t>
            </w:r>
          </w:p>
          <w:p w14:paraId="48063BEB" w14:textId="77777777" w:rsidR="00824558" w:rsidRDefault="00824558">
            <w:pPr>
              <w:ind w:left="170"/>
            </w:pPr>
            <w:r>
              <w:rPr>
                <w:i/>
              </w:rPr>
              <w:t>The higher 2026-27 target reflects the expansion of the program to cover more of the state and reflects a change in reporting methodology. The reporting methodology for this measure has been amended to include all statewide forums.</w:t>
            </w:r>
          </w:p>
        </w:tc>
      </w:tr>
      <w:tr w:rsidR="00824558" w14:paraId="38B56E4D"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4A08A357" w14:textId="77777777" w:rsidR="00824558" w:rsidRDefault="00824558">
            <w:pPr>
              <w:keepNext/>
              <w:ind w:left="170"/>
            </w:pPr>
            <w:r>
              <w:t>State forests roads (Category 1) and bridges (on Category 1 roads) with documented inspections and/or maintenance programs to meet regulatory obligations</w:t>
            </w:r>
          </w:p>
        </w:tc>
        <w:tc>
          <w:tcPr>
            <w:tcW w:w="964" w:type="dxa"/>
          </w:tcPr>
          <w:p w14:paraId="486F1C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99B55F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073E67C3"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01F54B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D00F4A0"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r>
      <w:tr w:rsidR="00824558" w14:paraId="1AD6A415"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554F79" w14:textId="77777777" w:rsidR="00824558" w:rsidRDefault="00824558">
            <w:pPr>
              <w:ind w:left="170"/>
            </w:pPr>
            <w:r>
              <w:rPr>
                <w:i/>
              </w:rPr>
              <w:t>The 2025-26 expected outcome is lower than the 2025-26 target due to operational requirements, including emergency response activities.</w:t>
            </w:r>
          </w:p>
        </w:tc>
      </w:tr>
      <w:tr w:rsidR="00824558" w14:paraId="71BBE022"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37618C47" w14:textId="77777777" w:rsidR="00824558" w:rsidRDefault="00824558">
            <w:pPr>
              <w:keepNext/>
              <w:ind w:left="170"/>
            </w:pPr>
            <w:r>
              <w:t>Statewide bushfire risk is maintained at or below the target</w:t>
            </w:r>
          </w:p>
        </w:tc>
        <w:tc>
          <w:tcPr>
            <w:tcW w:w="964" w:type="dxa"/>
          </w:tcPr>
          <w:p w14:paraId="344F40A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F713896"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1594C97B" w14:textId="77777777" w:rsidR="00824558" w:rsidRDefault="00824558">
            <w:pPr>
              <w:cnfStyle w:val="000000000000" w:firstRow="0" w:lastRow="0" w:firstColumn="0" w:lastColumn="0" w:oddVBand="0" w:evenVBand="0" w:oddHBand="0" w:evenHBand="0" w:firstRowFirstColumn="0" w:firstRowLastColumn="0" w:lastRowFirstColumn="0" w:lastRowLastColumn="0"/>
            </w:pPr>
            <w:r>
              <w:t>66</w:t>
            </w:r>
          </w:p>
        </w:tc>
        <w:tc>
          <w:tcPr>
            <w:tcW w:w="964" w:type="dxa"/>
          </w:tcPr>
          <w:p w14:paraId="0802383F"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8348414" w14:textId="77777777" w:rsidR="00824558" w:rsidRDefault="00824558">
            <w:pPr>
              <w:cnfStyle w:val="000000000000" w:firstRow="0" w:lastRow="0" w:firstColumn="0" w:lastColumn="0" w:oddVBand="0" w:evenVBand="0" w:oddHBand="0" w:evenHBand="0" w:firstRowFirstColumn="0" w:firstRowLastColumn="0" w:lastRowFirstColumn="0" w:lastRowLastColumn="0"/>
            </w:pPr>
            <w:r>
              <w:t>64 (estimate)</w:t>
            </w:r>
          </w:p>
        </w:tc>
      </w:tr>
      <w:tr w:rsidR="00824558" w14:paraId="40B7964D"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F9275A2" w14:textId="77777777" w:rsidR="00824558" w:rsidRDefault="00824558">
            <w:pPr>
              <w:ind w:left="170"/>
            </w:pPr>
            <w:r>
              <w:rPr>
                <w:i/>
              </w:rPr>
              <w:t xml:space="preserve">The 2025-26 expected outcome is better than the 2025-26 target with residual risk lower due to targeted bushfire risk reduction activities in areas with the highest residual bushfire risk. </w:t>
            </w:r>
          </w:p>
        </w:tc>
      </w:tr>
      <w:tr w:rsidR="00824558" w14:paraId="741763B0"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5E0DE8A1" w14:textId="77777777" w:rsidR="00824558" w:rsidRDefault="00824558">
            <w:pPr>
              <w:keepNext/>
              <w:ind w:left="170"/>
            </w:pPr>
            <w:r>
              <w:t>Strategic fire access roads maintained and improved</w:t>
            </w:r>
          </w:p>
        </w:tc>
        <w:tc>
          <w:tcPr>
            <w:tcW w:w="964" w:type="dxa"/>
          </w:tcPr>
          <w:p w14:paraId="56A24E7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km</w:t>
            </w:r>
          </w:p>
        </w:tc>
        <w:tc>
          <w:tcPr>
            <w:tcW w:w="964" w:type="dxa"/>
            <w:shd w:val="clear" w:color="auto" w:fill="F0F0F0"/>
          </w:tcPr>
          <w:p w14:paraId="2BA90D3D"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0F6DA71E"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7CB0E816"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29C48B0E" w14:textId="77777777" w:rsidR="00824558" w:rsidRDefault="00824558">
            <w:pPr>
              <w:cnfStyle w:val="000000000000" w:firstRow="0" w:lastRow="0" w:firstColumn="0" w:lastColumn="0" w:oddVBand="0" w:evenVBand="0" w:oddHBand="0" w:evenHBand="0" w:firstRowFirstColumn="0" w:firstRowLastColumn="0" w:lastRowFirstColumn="0" w:lastRowLastColumn="0"/>
            </w:pPr>
            <w:r>
              <w:t>2 237</w:t>
            </w:r>
          </w:p>
        </w:tc>
      </w:tr>
      <w:tr w:rsidR="00824558" w14:paraId="13E961BC"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583B57" w14:textId="518CB35D" w:rsidR="00824558" w:rsidRDefault="00824558">
            <w:pPr>
              <w:ind w:left="170"/>
            </w:pPr>
            <w:r>
              <w:rPr>
                <w:i/>
              </w:rPr>
              <w:t xml:space="preserve">This performance measure renames the 2025-26 performance measure </w:t>
            </w:r>
            <w:r w:rsidR="007942D1">
              <w:rPr>
                <w:i/>
              </w:rPr>
              <w:t>‘</w:t>
            </w:r>
            <w:r>
              <w:rPr>
                <w:i/>
              </w:rPr>
              <w:t>Strategic fire access roads improved</w:t>
            </w:r>
            <w:r w:rsidR="007942D1">
              <w:rPr>
                <w:i/>
              </w:rPr>
              <w:t>’</w:t>
            </w:r>
            <w:r>
              <w:rPr>
                <w:i/>
              </w:rPr>
              <w:t>. The renamed measure reports on the same activity as the previous measure, however it has been amended to improve clarity.</w:t>
            </w:r>
          </w:p>
        </w:tc>
      </w:tr>
      <w:tr w:rsidR="00824558" w14:paraId="4EA3C270"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B5716B3" w14:textId="77777777" w:rsidR="00824558" w:rsidRDefault="00824558">
            <w:pPr>
              <w:ind w:left="170"/>
            </w:pPr>
            <w:r>
              <w:t>Strategic fuel breaks maintained</w:t>
            </w:r>
          </w:p>
        </w:tc>
        <w:tc>
          <w:tcPr>
            <w:tcW w:w="964" w:type="dxa"/>
            <w:tcBorders>
              <w:bottom w:val="single" w:sz="6" w:space="0" w:color="auto"/>
            </w:tcBorders>
          </w:tcPr>
          <w:p w14:paraId="570ED41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km</w:t>
            </w:r>
          </w:p>
        </w:tc>
        <w:tc>
          <w:tcPr>
            <w:tcW w:w="964" w:type="dxa"/>
            <w:tcBorders>
              <w:bottom w:val="single" w:sz="6" w:space="0" w:color="auto"/>
            </w:tcBorders>
            <w:shd w:val="clear" w:color="auto" w:fill="F0F0F0"/>
          </w:tcPr>
          <w:p w14:paraId="6EEAD143"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416AFAEA"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4028BB59"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75A82516" w14:textId="77777777" w:rsidR="00824558" w:rsidRDefault="00824558">
            <w:pPr>
              <w:cnfStyle w:val="000000000000" w:firstRow="0" w:lastRow="0" w:firstColumn="0" w:lastColumn="0" w:oddVBand="0" w:evenVBand="0" w:oddHBand="0" w:evenHBand="0" w:firstRowFirstColumn="0" w:firstRowLastColumn="0" w:lastRowFirstColumn="0" w:lastRowLastColumn="0"/>
            </w:pPr>
            <w:r>
              <w:t>1 072</w:t>
            </w:r>
          </w:p>
        </w:tc>
      </w:tr>
      <w:tr w:rsidR="00824558" w:rsidRPr="007D3EA5" w14:paraId="40A3D75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7B672FDB" w14:textId="77777777" w:rsidR="00824558" w:rsidRPr="007D3EA5" w:rsidRDefault="00824558" w:rsidP="004262EE">
            <w:pPr>
              <w:keepNext/>
              <w:pageBreakBefore/>
              <w:rPr>
                <w:b/>
              </w:rPr>
            </w:pPr>
            <w:r w:rsidRPr="007D3EA5">
              <w:rPr>
                <w:b/>
              </w:rPr>
              <w:lastRenderedPageBreak/>
              <w:t>Quality</w:t>
            </w:r>
          </w:p>
        </w:tc>
      </w:tr>
      <w:tr w:rsidR="00824558" w14:paraId="5ED08571"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88955A9" w14:textId="77777777" w:rsidR="00824558" w:rsidRDefault="00824558">
            <w:pPr>
              <w:keepNext/>
              <w:ind w:left="170"/>
            </w:pPr>
            <w:r>
              <w:t>Fires contained at less than five hectares to suppress fires before they become established, minimising impact</w:t>
            </w:r>
          </w:p>
        </w:tc>
        <w:tc>
          <w:tcPr>
            <w:tcW w:w="964" w:type="dxa"/>
          </w:tcPr>
          <w:p w14:paraId="77A8168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675F71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695EFEB"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c>
          <w:tcPr>
            <w:tcW w:w="964" w:type="dxa"/>
          </w:tcPr>
          <w:p w14:paraId="7122092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1C5DD88"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03968398"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9C347E" w14:textId="77777777" w:rsidR="00824558" w:rsidRDefault="00824558">
            <w:pPr>
              <w:ind w:left="170"/>
            </w:pPr>
            <w:r>
              <w:rPr>
                <w:i/>
              </w:rPr>
              <w:t>The 2025-26 expected outcome is higher than the 2025-26 target due to aggressive first attack suppression actions undertaken by fire crews.</w:t>
            </w:r>
          </w:p>
        </w:tc>
      </w:tr>
      <w:tr w:rsidR="00824558" w14:paraId="7203144D"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40430C14" w14:textId="77777777" w:rsidR="00824558" w:rsidRDefault="00824558">
            <w:pPr>
              <w:keepNext/>
              <w:ind w:left="170"/>
            </w:pPr>
            <w:r>
              <w:t>Personnel accredited to serve in a senior capacity (level 2 or 3) in a fire and emergency management role</w:t>
            </w:r>
          </w:p>
        </w:tc>
        <w:tc>
          <w:tcPr>
            <w:tcW w:w="964" w:type="dxa"/>
          </w:tcPr>
          <w:p w14:paraId="6733208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F73E403" w14:textId="77777777" w:rsidR="00824558" w:rsidRDefault="00824558">
            <w:pPr>
              <w:cnfStyle w:val="000000000000" w:firstRow="0" w:lastRow="0" w:firstColumn="0" w:lastColumn="0" w:oddVBand="0" w:evenVBand="0" w:oddHBand="0" w:evenHBand="0" w:firstRowFirstColumn="0" w:firstRowLastColumn="0" w:lastRowFirstColumn="0" w:lastRowLastColumn="0"/>
            </w:pPr>
            <w:r>
              <w:t>340</w:t>
            </w:r>
          </w:p>
        </w:tc>
        <w:tc>
          <w:tcPr>
            <w:tcW w:w="964" w:type="dxa"/>
          </w:tcPr>
          <w:p w14:paraId="0BFF226E" w14:textId="77777777" w:rsidR="00824558" w:rsidRDefault="00824558">
            <w:pPr>
              <w:cnfStyle w:val="000000000000" w:firstRow="0" w:lastRow="0" w:firstColumn="0" w:lastColumn="0" w:oddVBand="0" w:evenVBand="0" w:oddHBand="0" w:evenHBand="0" w:firstRowFirstColumn="0" w:firstRowLastColumn="0" w:lastRowFirstColumn="0" w:lastRowLastColumn="0"/>
            </w:pPr>
            <w:r>
              <w:t>367</w:t>
            </w:r>
          </w:p>
        </w:tc>
        <w:tc>
          <w:tcPr>
            <w:tcW w:w="964" w:type="dxa"/>
          </w:tcPr>
          <w:p w14:paraId="55D8998C" w14:textId="77777777" w:rsidR="00824558" w:rsidRDefault="00824558">
            <w:pPr>
              <w:cnfStyle w:val="000000000000" w:firstRow="0" w:lastRow="0" w:firstColumn="0" w:lastColumn="0" w:oddVBand="0" w:evenVBand="0" w:oddHBand="0" w:evenHBand="0" w:firstRowFirstColumn="0" w:firstRowLastColumn="0" w:lastRowFirstColumn="0" w:lastRowLastColumn="0"/>
            </w:pPr>
            <w:r>
              <w:t>340</w:t>
            </w:r>
          </w:p>
        </w:tc>
        <w:tc>
          <w:tcPr>
            <w:tcW w:w="964" w:type="dxa"/>
          </w:tcPr>
          <w:p w14:paraId="7187638D" w14:textId="77777777" w:rsidR="00824558" w:rsidRDefault="00824558">
            <w:pPr>
              <w:cnfStyle w:val="000000000000" w:firstRow="0" w:lastRow="0" w:firstColumn="0" w:lastColumn="0" w:oddVBand="0" w:evenVBand="0" w:oddHBand="0" w:evenHBand="0" w:firstRowFirstColumn="0" w:firstRowLastColumn="0" w:lastRowFirstColumn="0" w:lastRowLastColumn="0"/>
            </w:pPr>
            <w:r>
              <w:t>353</w:t>
            </w:r>
          </w:p>
        </w:tc>
      </w:tr>
      <w:tr w:rsidR="00824558" w14:paraId="4C7D738B"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B2EC661" w14:textId="77777777" w:rsidR="00824558" w:rsidRDefault="00824558">
            <w:pPr>
              <w:ind w:left="170"/>
            </w:pPr>
            <w:r>
              <w:rPr>
                <w:i/>
              </w:rPr>
              <w:t>The 2025-26 expected outcome is higher than the 2025-26 target due to ongoing proactive work in providing targeted training to advance personnel through the development pipeline for emergency roles.</w:t>
            </w:r>
          </w:p>
        </w:tc>
      </w:tr>
      <w:tr w:rsidR="00824558" w:rsidRPr="007D3EA5" w14:paraId="718A1F26"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03C68287" w14:textId="77777777" w:rsidR="00824558" w:rsidRPr="007D3EA5" w:rsidRDefault="00824558">
            <w:pPr>
              <w:keepNext/>
              <w:rPr>
                <w:b/>
              </w:rPr>
            </w:pPr>
            <w:r w:rsidRPr="007D3EA5">
              <w:rPr>
                <w:b/>
              </w:rPr>
              <w:t>Timeliness</w:t>
            </w:r>
          </w:p>
        </w:tc>
      </w:tr>
      <w:tr w:rsidR="00824558" w14:paraId="0177D723"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5AD9F827" w14:textId="77777777" w:rsidR="00824558" w:rsidRDefault="00824558">
            <w:pPr>
              <w:keepNext/>
              <w:ind w:left="170"/>
            </w:pPr>
            <w:r>
              <w:t>100 per cent of burns identified in the current year of the Joint Fuel Management Program ready for on-ground delivery</w:t>
            </w:r>
          </w:p>
        </w:tc>
        <w:tc>
          <w:tcPr>
            <w:tcW w:w="964" w:type="dxa"/>
          </w:tcPr>
          <w:p w14:paraId="7711DA0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shd w:val="clear" w:color="auto" w:fill="F0F0F0"/>
          </w:tcPr>
          <w:p w14:paraId="02E6A4BA" w14:textId="6CB0778C"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706B7E">
              <w:t>20</w:t>
            </w:r>
            <w:r>
              <w:t>27</w:t>
            </w:r>
          </w:p>
        </w:tc>
        <w:tc>
          <w:tcPr>
            <w:tcW w:w="964" w:type="dxa"/>
          </w:tcPr>
          <w:p w14:paraId="654A270B" w14:textId="68F516DA"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706B7E">
              <w:t>20</w:t>
            </w:r>
            <w:r>
              <w:t>26</w:t>
            </w:r>
          </w:p>
        </w:tc>
        <w:tc>
          <w:tcPr>
            <w:tcW w:w="964" w:type="dxa"/>
          </w:tcPr>
          <w:p w14:paraId="68C8C908" w14:textId="016911C8"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706B7E">
              <w:t>20</w:t>
            </w:r>
            <w:r>
              <w:t>26</w:t>
            </w:r>
          </w:p>
        </w:tc>
        <w:tc>
          <w:tcPr>
            <w:tcW w:w="964" w:type="dxa"/>
          </w:tcPr>
          <w:p w14:paraId="79D5284C" w14:textId="289EFC20"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706B7E">
              <w:t>20</w:t>
            </w:r>
            <w:r>
              <w:t>25</w:t>
            </w:r>
          </w:p>
        </w:tc>
      </w:tr>
      <w:tr w:rsidR="00824558" w14:paraId="225DF93D"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D850000" w14:textId="77777777" w:rsidR="00824558" w:rsidRDefault="00824558">
            <w:pPr>
              <w:ind w:left="170"/>
            </w:pPr>
            <w:r>
              <w:rPr>
                <w:i/>
              </w:rPr>
              <w:t xml:space="preserve">This performance measure has been reclassified from Quantity to Timeliness to better reflect the unit of measure being used for the target, being date-based. </w:t>
            </w:r>
          </w:p>
        </w:tc>
      </w:tr>
      <w:tr w:rsidR="00824558" w14:paraId="6180039C"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0A2F5422" w14:textId="77777777" w:rsidR="00824558" w:rsidRDefault="00824558">
            <w:pPr>
              <w:keepNext/>
              <w:ind w:left="170"/>
            </w:pPr>
            <w:r>
              <w:t>Assessment of Standard of cover completed to assess resource requirements and availability</w:t>
            </w:r>
          </w:p>
        </w:tc>
        <w:tc>
          <w:tcPr>
            <w:tcW w:w="964" w:type="dxa"/>
          </w:tcPr>
          <w:p w14:paraId="54BB4DF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shd w:val="clear" w:color="auto" w:fill="F0F0F0"/>
          </w:tcPr>
          <w:p w14:paraId="30AA6CEC" w14:textId="54C657DB" w:rsidR="00824558" w:rsidRDefault="00824558">
            <w:pPr>
              <w:cnfStyle w:val="000000000000" w:firstRow="0" w:lastRow="0" w:firstColumn="0" w:lastColumn="0" w:oddVBand="0" w:evenVBand="0" w:oddHBand="0" w:evenHBand="0" w:firstRowFirstColumn="0" w:firstRowLastColumn="0" w:lastRowFirstColumn="0" w:lastRowLastColumn="0"/>
            </w:pPr>
            <w:r>
              <w:t xml:space="preserve">Jun </w:t>
            </w:r>
            <w:r w:rsidR="00706B7E">
              <w:t>20</w:t>
            </w:r>
            <w:r>
              <w:t>27</w:t>
            </w:r>
          </w:p>
        </w:tc>
        <w:tc>
          <w:tcPr>
            <w:tcW w:w="964" w:type="dxa"/>
          </w:tcPr>
          <w:p w14:paraId="15216710" w14:textId="2830128F" w:rsidR="00824558" w:rsidRDefault="00824558">
            <w:pPr>
              <w:cnfStyle w:val="000000000000" w:firstRow="0" w:lastRow="0" w:firstColumn="0" w:lastColumn="0" w:oddVBand="0" w:evenVBand="0" w:oddHBand="0" w:evenHBand="0" w:firstRowFirstColumn="0" w:firstRowLastColumn="0" w:lastRowFirstColumn="0" w:lastRowLastColumn="0"/>
            </w:pPr>
            <w:r>
              <w:t xml:space="preserve">Dec </w:t>
            </w:r>
            <w:r w:rsidR="00706B7E">
              <w:t>20</w:t>
            </w:r>
            <w:r>
              <w:t>25</w:t>
            </w:r>
          </w:p>
        </w:tc>
        <w:tc>
          <w:tcPr>
            <w:tcW w:w="964" w:type="dxa"/>
          </w:tcPr>
          <w:p w14:paraId="3D7B95AC" w14:textId="01517C30" w:rsidR="00824558" w:rsidRDefault="00824558">
            <w:pPr>
              <w:cnfStyle w:val="000000000000" w:firstRow="0" w:lastRow="0" w:firstColumn="0" w:lastColumn="0" w:oddVBand="0" w:evenVBand="0" w:oddHBand="0" w:evenHBand="0" w:firstRowFirstColumn="0" w:firstRowLastColumn="0" w:lastRowFirstColumn="0" w:lastRowLastColumn="0"/>
            </w:pPr>
            <w:r>
              <w:t xml:space="preserve">Dec </w:t>
            </w:r>
            <w:r w:rsidR="00706B7E">
              <w:t>20</w:t>
            </w:r>
            <w:r>
              <w:t>25</w:t>
            </w:r>
          </w:p>
        </w:tc>
        <w:tc>
          <w:tcPr>
            <w:tcW w:w="964" w:type="dxa"/>
          </w:tcPr>
          <w:p w14:paraId="4929BE8D" w14:textId="18892C8C" w:rsidR="00824558" w:rsidRDefault="00824558">
            <w:pPr>
              <w:cnfStyle w:val="000000000000" w:firstRow="0" w:lastRow="0" w:firstColumn="0" w:lastColumn="0" w:oddVBand="0" w:evenVBand="0" w:oddHBand="0" w:evenHBand="0" w:firstRowFirstColumn="0" w:firstRowLastColumn="0" w:lastRowFirstColumn="0" w:lastRowLastColumn="0"/>
            </w:pPr>
            <w:r>
              <w:t xml:space="preserve">Dec </w:t>
            </w:r>
            <w:r w:rsidR="00706B7E">
              <w:t>20</w:t>
            </w:r>
            <w:r>
              <w:t>24</w:t>
            </w:r>
          </w:p>
        </w:tc>
      </w:tr>
      <w:tr w:rsidR="00824558" w14:paraId="246842B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175017" w14:textId="77777777" w:rsidR="00824558" w:rsidRDefault="00824558">
            <w:pPr>
              <w:ind w:left="170"/>
            </w:pPr>
            <w:r>
              <w:rPr>
                <w:i/>
              </w:rPr>
              <w:t>The later 2026-27 target better reflects the annual bushfire planning process as it incorporates insights from post-event reviews from the prior fire season to inform strategies for determining resource capability in preparation for upcoming bushfire seasons.</w:t>
            </w:r>
          </w:p>
        </w:tc>
      </w:tr>
      <w:tr w:rsidR="00824558" w14:paraId="752181A6"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ED467CE" w14:textId="77777777" w:rsidR="00824558" w:rsidRDefault="00824558">
            <w:pPr>
              <w:ind w:left="170"/>
            </w:pPr>
            <w:r>
              <w:t>Fires contained at first attack to suppress fires before they become established, minimising impact</w:t>
            </w:r>
          </w:p>
        </w:tc>
        <w:tc>
          <w:tcPr>
            <w:tcW w:w="964" w:type="dxa"/>
            <w:tcBorders>
              <w:bottom w:val="single" w:sz="6" w:space="0" w:color="auto"/>
            </w:tcBorders>
          </w:tcPr>
          <w:p w14:paraId="459F374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81993A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841A80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9D92B1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B57749D"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4A756B12"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177BC9C" w14:textId="77777777" w:rsidR="00824558" w:rsidRDefault="00824558">
            <w:pPr>
              <w:ind w:left="170"/>
            </w:pPr>
            <w:r>
              <w:t>Readiness and response plans completed prior to the upcoming fire season</w:t>
            </w:r>
          </w:p>
        </w:tc>
        <w:tc>
          <w:tcPr>
            <w:tcW w:w="964" w:type="dxa"/>
            <w:tcBorders>
              <w:top w:val="single" w:sz="6" w:space="0" w:color="auto"/>
              <w:bottom w:val="single" w:sz="6" w:space="0" w:color="auto"/>
            </w:tcBorders>
          </w:tcPr>
          <w:p w14:paraId="098B778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top w:val="single" w:sz="6" w:space="0" w:color="auto"/>
              <w:bottom w:val="single" w:sz="6" w:space="0" w:color="auto"/>
            </w:tcBorders>
            <w:shd w:val="clear" w:color="auto" w:fill="F0F0F0"/>
          </w:tcPr>
          <w:p w14:paraId="46753B20" w14:textId="57CA53C4" w:rsidR="00824558" w:rsidRDefault="00824558">
            <w:pPr>
              <w:cnfStyle w:val="000000000000" w:firstRow="0" w:lastRow="0" w:firstColumn="0" w:lastColumn="0" w:oddVBand="0" w:evenVBand="0" w:oddHBand="0" w:evenHBand="0" w:firstRowFirstColumn="0" w:firstRowLastColumn="0" w:lastRowFirstColumn="0" w:lastRowLastColumn="0"/>
            </w:pPr>
            <w:r>
              <w:t xml:space="preserve">Oct </w:t>
            </w:r>
            <w:r w:rsidR="00706B7E">
              <w:t>20</w:t>
            </w:r>
            <w:r>
              <w:t>26</w:t>
            </w:r>
          </w:p>
        </w:tc>
        <w:tc>
          <w:tcPr>
            <w:tcW w:w="964" w:type="dxa"/>
            <w:tcBorders>
              <w:top w:val="single" w:sz="6" w:space="0" w:color="auto"/>
              <w:bottom w:val="single" w:sz="6" w:space="0" w:color="auto"/>
            </w:tcBorders>
          </w:tcPr>
          <w:p w14:paraId="1A6A2699" w14:textId="78003789" w:rsidR="00824558" w:rsidRDefault="00824558">
            <w:pPr>
              <w:cnfStyle w:val="000000000000" w:firstRow="0" w:lastRow="0" w:firstColumn="0" w:lastColumn="0" w:oddVBand="0" w:evenVBand="0" w:oddHBand="0" w:evenHBand="0" w:firstRowFirstColumn="0" w:firstRowLastColumn="0" w:lastRowFirstColumn="0" w:lastRowLastColumn="0"/>
            </w:pPr>
            <w:r>
              <w:t xml:space="preserve">Oct </w:t>
            </w:r>
            <w:r w:rsidR="00706B7E">
              <w:t>20</w:t>
            </w:r>
            <w:r>
              <w:t>25</w:t>
            </w:r>
          </w:p>
        </w:tc>
        <w:tc>
          <w:tcPr>
            <w:tcW w:w="964" w:type="dxa"/>
            <w:tcBorders>
              <w:top w:val="single" w:sz="6" w:space="0" w:color="auto"/>
              <w:bottom w:val="single" w:sz="6" w:space="0" w:color="auto"/>
            </w:tcBorders>
          </w:tcPr>
          <w:p w14:paraId="75578B9A" w14:textId="5981042B" w:rsidR="00824558" w:rsidRDefault="00824558">
            <w:pPr>
              <w:cnfStyle w:val="000000000000" w:firstRow="0" w:lastRow="0" w:firstColumn="0" w:lastColumn="0" w:oddVBand="0" w:evenVBand="0" w:oddHBand="0" w:evenHBand="0" w:firstRowFirstColumn="0" w:firstRowLastColumn="0" w:lastRowFirstColumn="0" w:lastRowLastColumn="0"/>
            </w:pPr>
            <w:r>
              <w:t xml:space="preserve">Oct </w:t>
            </w:r>
            <w:r w:rsidR="00706B7E">
              <w:t>20</w:t>
            </w:r>
            <w:r>
              <w:t>25</w:t>
            </w:r>
          </w:p>
        </w:tc>
        <w:tc>
          <w:tcPr>
            <w:tcW w:w="964" w:type="dxa"/>
            <w:tcBorders>
              <w:top w:val="single" w:sz="6" w:space="0" w:color="auto"/>
              <w:bottom w:val="single" w:sz="6" w:space="0" w:color="auto"/>
            </w:tcBorders>
          </w:tcPr>
          <w:p w14:paraId="3A9392D9" w14:textId="4FF609E0" w:rsidR="00824558" w:rsidRDefault="00824558">
            <w:pPr>
              <w:cnfStyle w:val="000000000000" w:firstRow="0" w:lastRow="0" w:firstColumn="0" w:lastColumn="0" w:oddVBand="0" w:evenVBand="0" w:oddHBand="0" w:evenHBand="0" w:firstRowFirstColumn="0" w:firstRowLastColumn="0" w:lastRowFirstColumn="0" w:lastRowLastColumn="0"/>
            </w:pPr>
            <w:r>
              <w:t xml:space="preserve">Oct </w:t>
            </w:r>
            <w:r w:rsidR="00706B7E">
              <w:t>20</w:t>
            </w:r>
            <w:r>
              <w:t>24</w:t>
            </w:r>
          </w:p>
        </w:tc>
      </w:tr>
      <w:tr w:rsidR="004D0078" w:rsidRPr="00DC0EBC" w14:paraId="7F0E45BC"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3C31BCC" w14:textId="77777777" w:rsidR="004D0078" w:rsidRPr="00DC0EBC" w:rsidRDefault="004D0078">
            <w:pPr>
              <w:keepNext/>
              <w:rPr>
                <w:b/>
              </w:rPr>
            </w:pPr>
            <w:r w:rsidRPr="00DC0EBC">
              <w:rPr>
                <w:b/>
              </w:rPr>
              <w:t>Cost</w:t>
            </w:r>
          </w:p>
        </w:tc>
      </w:tr>
      <w:tr w:rsidR="004D0078" w14:paraId="5869CB27" w14:textId="77777777" w:rsidTr="00032D57">
        <w:tc>
          <w:tcPr>
            <w:cnfStyle w:val="001000000000" w:firstRow="0" w:lastRow="0" w:firstColumn="1" w:lastColumn="0" w:oddVBand="0" w:evenVBand="0" w:oddHBand="0" w:evenHBand="0" w:firstRowFirstColumn="0" w:firstRowLastColumn="0" w:lastRowFirstColumn="0" w:lastRowLastColumn="0"/>
            <w:tcW w:w="4819" w:type="dxa"/>
          </w:tcPr>
          <w:p w14:paraId="61963B53" w14:textId="77777777" w:rsidR="004D0078" w:rsidRDefault="004D0078">
            <w:pPr>
              <w:keepNext/>
              <w:ind w:left="170"/>
            </w:pPr>
            <w:r>
              <w:t>Total output cost</w:t>
            </w:r>
          </w:p>
        </w:tc>
        <w:tc>
          <w:tcPr>
            <w:tcW w:w="964" w:type="dxa"/>
          </w:tcPr>
          <w:p w14:paraId="5B6ECD12" w14:textId="77777777" w:rsidR="004D0078" w:rsidRDefault="004D007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4BE1749" w14:textId="19DE6E5D" w:rsidR="004D0078" w:rsidRPr="004D0078" w:rsidRDefault="00CA159F">
            <w:pPr>
              <w:cnfStyle w:val="000000000000" w:firstRow="0" w:lastRow="0" w:firstColumn="0" w:lastColumn="0" w:oddVBand="0" w:evenVBand="0" w:oddHBand="0" w:evenHBand="0" w:firstRowFirstColumn="0" w:firstRowLastColumn="0" w:lastRowFirstColumn="0" w:lastRowLastColumn="0"/>
              <w:rPr>
                <w:highlight w:val="yellow"/>
              </w:rPr>
            </w:pPr>
            <w:r w:rsidRPr="00CA159F">
              <w:t>445.7</w:t>
            </w:r>
          </w:p>
        </w:tc>
        <w:tc>
          <w:tcPr>
            <w:tcW w:w="964" w:type="dxa"/>
          </w:tcPr>
          <w:p w14:paraId="4B902D00" w14:textId="4D155B7D" w:rsidR="004D0078" w:rsidRPr="004D0078" w:rsidRDefault="00DF1E19">
            <w:pPr>
              <w:cnfStyle w:val="000000000000" w:firstRow="0" w:lastRow="0" w:firstColumn="0" w:lastColumn="0" w:oddVBand="0" w:evenVBand="0" w:oddHBand="0" w:evenHBand="0" w:firstRowFirstColumn="0" w:firstRowLastColumn="0" w:lastRowFirstColumn="0" w:lastRowLastColumn="0"/>
              <w:rPr>
                <w:highlight w:val="yellow"/>
              </w:rPr>
            </w:pPr>
            <w:r w:rsidRPr="00DF1E19">
              <w:t>531.9</w:t>
            </w:r>
          </w:p>
        </w:tc>
        <w:tc>
          <w:tcPr>
            <w:tcW w:w="964" w:type="dxa"/>
          </w:tcPr>
          <w:p w14:paraId="751B3EE6" w14:textId="4C9197F4" w:rsidR="004D0078" w:rsidRPr="004D0078" w:rsidRDefault="000158F8">
            <w:pPr>
              <w:cnfStyle w:val="000000000000" w:firstRow="0" w:lastRow="0" w:firstColumn="0" w:lastColumn="0" w:oddVBand="0" w:evenVBand="0" w:oddHBand="0" w:evenHBand="0" w:firstRowFirstColumn="0" w:firstRowLastColumn="0" w:lastRowFirstColumn="0" w:lastRowLastColumn="0"/>
              <w:rPr>
                <w:highlight w:val="yellow"/>
              </w:rPr>
            </w:pPr>
            <w:r w:rsidRPr="000158F8">
              <w:t>400.6</w:t>
            </w:r>
          </w:p>
        </w:tc>
        <w:tc>
          <w:tcPr>
            <w:tcW w:w="964" w:type="dxa"/>
          </w:tcPr>
          <w:p w14:paraId="3148FEF5" w14:textId="1840640A" w:rsidR="004D0078" w:rsidRPr="004D0078" w:rsidRDefault="00032D57">
            <w:pPr>
              <w:cnfStyle w:val="000000000000" w:firstRow="0" w:lastRow="0" w:firstColumn="0" w:lastColumn="0" w:oddVBand="0" w:evenVBand="0" w:oddHBand="0" w:evenHBand="0" w:firstRowFirstColumn="0" w:firstRowLastColumn="0" w:lastRowFirstColumn="0" w:lastRowLastColumn="0"/>
              <w:rPr>
                <w:highlight w:val="yellow"/>
              </w:rPr>
            </w:pPr>
            <w:r>
              <w:t>624.1</w:t>
            </w:r>
          </w:p>
        </w:tc>
      </w:tr>
      <w:tr w:rsidR="00693405" w14:paraId="2DCE7B8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DD98BA1" w14:textId="297F6195" w:rsidR="00693405" w:rsidRDefault="008F1328" w:rsidP="008F1328">
            <w:pPr>
              <w:ind w:left="170"/>
            </w:pPr>
            <w:r w:rsidRPr="008F1328">
              <w:rPr>
                <w:i/>
              </w:rPr>
              <w:t>The 2025-26 expected outcome is higher than the 2025-26 target predominantly due to additional funding provided to support bushfire emergency management preparation, response and recovery activities.</w:t>
            </w:r>
          </w:p>
        </w:tc>
      </w:tr>
      <w:tr w:rsidR="00032D57" w14:paraId="6498A5F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E0A1A1C" w14:textId="0BFB6C0D" w:rsidR="00032D57" w:rsidRDefault="00693405" w:rsidP="008F1328">
            <w:pPr>
              <w:ind w:left="170"/>
            </w:pPr>
            <w:r w:rsidRPr="008F1328">
              <w:rPr>
                <w:i/>
              </w:rPr>
              <w:t xml:space="preserve">The higher 2026-27 target predominantly reflects funding announced as part of the </w:t>
            </w:r>
            <w:r w:rsidRPr="003941BB">
              <w:t>2026-27 Budget</w:t>
            </w:r>
            <w:r w:rsidRPr="008F1328">
              <w:rPr>
                <w:i/>
              </w:rPr>
              <w:t xml:space="preserve"> for Securing critical aviation fire services and Maintaining critical assets for emergency and land management</w:t>
            </w:r>
            <w:r w:rsidR="000B41A9">
              <w:rPr>
                <w:i/>
              </w:rPr>
              <w:t xml:space="preserve"> initiatives</w:t>
            </w:r>
            <w:r w:rsidRPr="008F1328">
              <w:rPr>
                <w:i/>
              </w:rPr>
              <w:t>.</w:t>
            </w:r>
          </w:p>
        </w:tc>
      </w:tr>
    </w:tbl>
    <w:p w14:paraId="15995C05" w14:textId="77777777" w:rsidR="00824558" w:rsidRDefault="00824558">
      <w:pPr>
        <w:pStyle w:val="Source"/>
      </w:pPr>
      <w:r>
        <w:t>Source: Department of Energy, Environment and Climate Action</w:t>
      </w:r>
    </w:p>
    <w:p w14:paraId="376BF46C" w14:textId="77777777" w:rsidR="00824558" w:rsidRDefault="00824558">
      <w:pPr>
        <w:pStyle w:val="Source"/>
      </w:pPr>
    </w:p>
    <w:p w14:paraId="438CAD73" w14:textId="77777777" w:rsidR="00824558" w:rsidRDefault="00824558">
      <w:pPr>
        <w:pStyle w:val="Source"/>
      </w:pPr>
    </w:p>
    <w:p w14:paraId="47B21D53" w14:textId="77777777" w:rsidR="004262EE" w:rsidRDefault="004262EE">
      <w:pPr>
        <w:keepLines w:val="0"/>
        <w:rPr>
          <w:rFonts w:asciiTheme="majorHAnsi" w:hAnsiTheme="majorHAnsi" w:cstheme="minorBidi"/>
          <w:b/>
          <w:sz w:val="20"/>
        </w:rPr>
      </w:pPr>
      <w:r>
        <w:br w:type="page"/>
      </w:r>
    </w:p>
    <w:p w14:paraId="06E6E2EE" w14:textId="77777777" w:rsidR="00824558" w:rsidRPr="006B3DA0" w:rsidRDefault="00824558">
      <w:pPr>
        <w:pStyle w:val="ShadedBoxHeading"/>
      </w:pPr>
      <w:r w:rsidRPr="006B3DA0">
        <w:lastRenderedPageBreak/>
        <w:t>Objective 5: Reliable, sustainable and affordable energy services</w:t>
      </w:r>
    </w:p>
    <w:p w14:paraId="629C893E" w14:textId="77777777" w:rsidR="00824558" w:rsidRPr="006B3DA0" w:rsidRDefault="00824558">
      <w:pPr>
        <w:pStyle w:val="ShadedBoxText"/>
      </w:pPr>
      <w:r w:rsidRPr="006B3DA0">
        <w:t>This objective is focused on delivering a comprehensive suite of energy programs that improve energy efficiency, strengthen consumer protections and improve affordability. The Department also provides policy advice to government on how to deliver clean, reliable, sustainable and affordable energy services to Victorians.</w:t>
      </w:r>
    </w:p>
    <w:p w14:paraId="2A4A05FD" w14:textId="63E209F3" w:rsidR="00824558" w:rsidRPr="006B3DA0" w:rsidRDefault="00824558">
      <w:pPr>
        <w:pStyle w:val="ShadedBoxText"/>
      </w:pPr>
      <w:r w:rsidRPr="006B3DA0">
        <w:t>The Department works with a range of stakeholders to provide energy services to consumers, attract investment in renewable energy and low emissions technologies, and support local jobs and communities as Victoria</w:t>
      </w:r>
      <w:r w:rsidR="007942D1">
        <w:t>’</w:t>
      </w:r>
      <w:r w:rsidRPr="006B3DA0">
        <w:t>s energy system transitions.</w:t>
      </w:r>
    </w:p>
    <w:p w14:paraId="74D4750D" w14:textId="77777777" w:rsidR="00824558" w:rsidRPr="006B3DA0" w:rsidRDefault="00824558">
      <w:pPr>
        <w:pStyle w:val="ShadedBoxText"/>
        <w:rPr>
          <w:color w:val="000000" w:themeColor="text1"/>
        </w:rPr>
      </w:pPr>
      <w:r w:rsidRPr="006B3DA0">
        <w:rPr>
          <w:color w:val="000000" w:themeColor="text1"/>
        </w:rPr>
        <w:t>The Department also provides programs for households to install solar and energy efficient technologies.</w:t>
      </w:r>
    </w:p>
    <w:p w14:paraId="159B7221" w14:textId="77777777" w:rsidR="00824558" w:rsidRPr="006B3DA0" w:rsidRDefault="00824558">
      <w:pPr>
        <w:pStyle w:val="ShadedBoxText"/>
        <w:rPr>
          <w:color w:val="000000" w:themeColor="text1"/>
        </w:rPr>
      </w:pPr>
      <w:r w:rsidRPr="006B3DA0">
        <w:rPr>
          <w:color w:val="000000" w:themeColor="text1"/>
        </w:rPr>
        <w:t xml:space="preserve">The departmental objective indicators </w:t>
      </w:r>
      <w:r w:rsidRPr="006B3DA0">
        <w:t>are:</w:t>
      </w:r>
      <w:r w:rsidRPr="00E32949">
        <w:rPr>
          <w:vertAlign w:val="superscript"/>
        </w:rPr>
        <w:t>(a)</w:t>
      </w:r>
    </w:p>
    <w:p w14:paraId="07761FF4" w14:textId="511E8AB5" w:rsidR="00824558" w:rsidRPr="006B3DA0" w:rsidRDefault="00824558" w:rsidP="00824558">
      <w:pPr>
        <w:pStyle w:val="ShadedBoxBullet"/>
        <w:numPr>
          <w:ilvl w:val="0"/>
          <w:numId w:val="9"/>
        </w:numPr>
        <w:contextualSpacing/>
      </w:pPr>
      <w:r w:rsidRPr="006B3DA0">
        <w:t>relative share of Victoria</w:t>
      </w:r>
      <w:r w:rsidR="007942D1">
        <w:t>’</w:t>
      </w:r>
      <w:r w:rsidRPr="006B3DA0">
        <w:t xml:space="preserve">s energy sourced from renewables </w:t>
      </w:r>
    </w:p>
    <w:p w14:paraId="59B47D73" w14:textId="77777777" w:rsidR="00824558" w:rsidRPr="006B3DA0" w:rsidRDefault="00824558" w:rsidP="00824558">
      <w:pPr>
        <w:pStyle w:val="ShadedBoxBullet"/>
        <w:numPr>
          <w:ilvl w:val="0"/>
          <w:numId w:val="9"/>
        </w:numPr>
        <w:contextualSpacing/>
      </w:pPr>
      <w:r w:rsidRPr="006B3DA0">
        <w:t>electricity generating capacity installed under the Solar Homes program</w:t>
      </w:r>
    </w:p>
    <w:p w14:paraId="7C3D8C40" w14:textId="77777777" w:rsidR="00824558" w:rsidRPr="006B3DA0" w:rsidRDefault="00824558" w:rsidP="00824558">
      <w:pPr>
        <w:pStyle w:val="ShadedBoxBullet"/>
        <w:numPr>
          <w:ilvl w:val="0"/>
          <w:numId w:val="9"/>
        </w:numPr>
        <w:contextualSpacing/>
      </w:pPr>
      <w:r w:rsidRPr="006B3DA0">
        <w:t>solar panel systems and energy efficient hot water systems installed under the Solar Homes program.</w:t>
      </w:r>
    </w:p>
    <w:p w14:paraId="603A6D88" w14:textId="77777777" w:rsidR="00824558" w:rsidRPr="006B3DA0" w:rsidRDefault="00824558">
      <w:pPr>
        <w:pStyle w:val="ShadedBoxNote"/>
      </w:pPr>
      <w:r w:rsidRPr="006B3DA0">
        <w:t>Note:</w:t>
      </w:r>
    </w:p>
    <w:p w14:paraId="3C88E508" w14:textId="01B0F24D" w:rsidR="00824558" w:rsidRPr="00C42EA9" w:rsidRDefault="00824558">
      <w:pPr>
        <w:pStyle w:val="ShadedBoxNote"/>
      </w:pPr>
      <w:r w:rsidRPr="00C42EA9">
        <w:t xml:space="preserve">(a) </w:t>
      </w:r>
      <w:r w:rsidRPr="00C42EA9">
        <w:tab/>
        <w:t xml:space="preserve"> The 2025-26 objective indicator </w:t>
      </w:r>
      <w:r w:rsidR="007942D1">
        <w:t>‘</w:t>
      </w:r>
      <w:r w:rsidRPr="00C42EA9">
        <w:t>Percentage of surveyed users of the Victorian Energy Compare website who report that they plan to switch offers after using the website</w:t>
      </w:r>
      <w:r w:rsidR="007942D1">
        <w:t>’</w:t>
      </w:r>
      <w:r w:rsidRPr="00C42EA9">
        <w:t xml:space="preserve"> has been removed, as it does not directly demonstrate energy bill savings through user engagement with the Victorian Energy Compare website, but rather suggests potential energy bill savings through users</w:t>
      </w:r>
      <w:r w:rsidR="007942D1">
        <w:t>’</w:t>
      </w:r>
      <w:r w:rsidRPr="00C42EA9">
        <w:t xml:space="preserve"> intention only.</w:t>
      </w:r>
    </w:p>
    <w:p w14:paraId="6AC72996" w14:textId="77777777" w:rsidR="00824558" w:rsidRDefault="00824558">
      <w:pPr>
        <w:pStyle w:val="Heading3"/>
      </w:pPr>
      <w:r>
        <w:t>Outputs</w:t>
      </w:r>
    </w:p>
    <w:p w14:paraId="75935CD8" w14:textId="2F14EA58" w:rsidR="00824558" w:rsidRDefault="00824558">
      <w:pPr>
        <w:pStyle w:val="Heading3"/>
      </w:pPr>
      <w:r>
        <w:t>Energy</w:t>
      </w:r>
      <w:r>
        <w:tab/>
        <w:t>(2026-27: $</w:t>
      </w:r>
      <w:r w:rsidR="0089630A">
        <w:t>257.1</w:t>
      </w:r>
      <w:r>
        <w:t xml:space="preserve"> million)</w:t>
      </w:r>
    </w:p>
    <w:p w14:paraId="315DC654" w14:textId="77777777" w:rsidR="00824558" w:rsidRPr="004D69DE" w:rsidRDefault="00824558">
      <w:pPr>
        <w:keepNext/>
        <w:spacing w:after="120"/>
        <w:rPr>
          <w:rFonts w:eastAsia="Garamond"/>
        </w:rPr>
      </w:pPr>
      <w:r w:rsidRPr="004D69DE">
        <w:rPr>
          <w:rFonts w:eastAsia="Garamond"/>
        </w:rPr>
        <w:t>This output advocates for the provision of reliable, sustainable and affordable energy services through energy programs, including renewable energy development, energy efficiency and affordability improvements, and facilitation of new investment.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7068426" w14:textId="77777777" w:rsidTr="004D0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58E41BB" w14:textId="77777777" w:rsidR="00824558" w:rsidRDefault="00824558">
            <w:r>
              <w:t>Performance measure</w:t>
            </w:r>
          </w:p>
        </w:tc>
        <w:tc>
          <w:tcPr>
            <w:tcW w:w="964" w:type="dxa"/>
          </w:tcPr>
          <w:p w14:paraId="6D7C8C21"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E18CF1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8CD7DF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E6774E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1FCB70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317A4A17"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10088245" w14:textId="77777777" w:rsidR="00824558" w:rsidRPr="007D3EA5" w:rsidRDefault="00824558">
            <w:pPr>
              <w:keepNext/>
              <w:rPr>
                <w:b/>
              </w:rPr>
            </w:pPr>
            <w:r w:rsidRPr="007D3EA5">
              <w:rPr>
                <w:b/>
              </w:rPr>
              <w:t>Quantity</w:t>
            </w:r>
          </w:p>
        </w:tc>
      </w:tr>
      <w:tr w:rsidR="00824558" w14:paraId="5F26BBC1"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3B791099" w14:textId="0E2DF400" w:rsidR="00824558" w:rsidRDefault="00824558">
            <w:pPr>
              <w:keepNext/>
              <w:ind w:left="170"/>
            </w:pPr>
            <w:r>
              <w:t>Major government-supported events that engage business, industry and international delegations in Victoria</w:t>
            </w:r>
            <w:r w:rsidR="007942D1">
              <w:t>’</w:t>
            </w:r>
            <w:r>
              <w:t>s energy sector</w:t>
            </w:r>
          </w:p>
        </w:tc>
        <w:tc>
          <w:tcPr>
            <w:tcW w:w="964" w:type="dxa"/>
          </w:tcPr>
          <w:p w14:paraId="2E7E98E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9BD5952"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0018727D" w14:textId="77777777" w:rsidR="00824558" w:rsidRDefault="0082455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44ECD4C4"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4CAB3540"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r>
      <w:tr w:rsidR="00824558" w14:paraId="2E053AD2"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FDBD58" w14:textId="77777777" w:rsidR="00824558" w:rsidRDefault="00824558">
            <w:pPr>
              <w:ind w:left="170"/>
            </w:pPr>
            <w:r>
              <w:rPr>
                <w:i/>
              </w:rPr>
              <w:t>The 2025-26 expected outcome is higher than the 2025-26 target due to efficient planning and coordination, which allowed an additional event to be delivered within existing resources.</w:t>
            </w:r>
          </w:p>
          <w:p w14:paraId="0055B7D5" w14:textId="77777777" w:rsidR="00824558" w:rsidRDefault="00824558">
            <w:pPr>
              <w:ind w:left="170"/>
              <w:rPr>
                <w:i/>
              </w:rPr>
            </w:pPr>
            <w:r>
              <w:rPr>
                <w:i/>
              </w:rPr>
              <w:t xml:space="preserve">The higher 2026-27 target reflects the inclusion of events comprising international delegates. </w:t>
            </w:r>
          </w:p>
          <w:p w14:paraId="737A185A" w14:textId="176D71BA" w:rsidR="00824558" w:rsidRDefault="00824558">
            <w:pPr>
              <w:ind w:left="170"/>
            </w:pPr>
            <w:r>
              <w:rPr>
                <w:i/>
              </w:rPr>
              <w:t xml:space="preserve">This performance measure renames the 2025-26 performance measure </w:t>
            </w:r>
            <w:r w:rsidR="007942D1">
              <w:rPr>
                <w:i/>
              </w:rPr>
              <w:t>‘</w:t>
            </w:r>
            <w:r>
              <w:rPr>
                <w:i/>
              </w:rPr>
              <w:t>Government-supported events that engage business and supply chains regarding the energy sector</w:t>
            </w:r>
            <w:r w:rsidR="007942D1">
              <w:rPr>
                <w:i/>
              </w:rPr>
              <w:t>’</w:t>
            </w:r>
            <w:r>
              <w:rPr>
                <w:i/>
              </w:rPr>
              <w:t xml:space="preserve">. The renamed measure reports on the same activity as </w:t>
            </w:r>
            <w:r w:rsidDel="00BE7709">
              <w:rPr>
                <w:i/>
              </w:rPr>
              <w:t>the previous measure</w:t>
            </w:r>
            <w:r>
              <w:rPr>
                <w:i/>
              </w:rPr>
              <w:t xml:space="preserve"> however the reporting methodology has been amended to include events comprising international delegates. </w:t>
            </w:r>
          </w:p>
        </w:tc>
      </w:tr>
      <w:tr w:rsidR="00824558" w14:paraId="7E19D8CC"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19AE5166" w14:textId="77777777" w:rsidR="00824558" w:rsidRDefault="00824558">
            <w:pPr>
              <w:keepNext/>
              <w:ind w:left="170"/>
            </w:pPr>
            <w:r>
              <w:t>Neighbourhood batteries installed, including batteries specifically for Traditional Owners and First Peoples communities</w:t>
            </w:r>
          </w:p>
        </w:tc>
        <w:tc>
          <w:tcPr>
            <w:tcW w:w="964" w:type="dxa"/>
          </w:tcPr>
          <w:p w14:paraId="4F7577F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8891F1E" w14:textId="77777777" w:rsidR="00824558" w:rsidRDefault="00824558">
            <w:pPr>
              <w:cnfStyle w:val="000000000000" w:firstRow="0" w:lastRow="0" w:firstColumn="0" w:lastColumn="0" w:oddVBand="0" w:evenVBand="0" w:oddHBand="0" w:evenHBand="0" w:firstRowFirstColumn="0" w:firstRowLastColumn="0" w:lastRowFirstColumn="0" w:lastRowLastColumn="0"/>
            </w:pPr>
            <w:r>
              <w:t>41</w:t>
            </w:r>
          </w:p>
        </w:tc>
        <w:tc>
          <w:tcPr>
            <w:tcW w:w="964" w:type="dxa"/>
          </w:tcPr>
          <w:p w14:paraId="6F7BA58D"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758B0263"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70E78D04"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r>
      <w:tr w:rsidR="00824558" w14:paraId="76749344"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9EFE2C" w14:textId="77777777" w:rsidR="00824558" w:rsidRDefault="00824558">
            <w:pPr>
              <w:ind w:left="170"/>
            </w:pPr>
            <w:r>
              <w:rPr>
                <w:i/>
              </w:rPr>
              <w:t>The 2025-26 expected outcome is higher than the 2025-26 target due to the installation of batteries from Round 1, and batteries from Round 2 being completed ahead of schedule through delivery of multi-battery projects enabling the installation of numerous batteries at a time.</w:t>
            </w:r>
          </w:p>
          <w:p w14:paraId="2E89C5C3" w14:textId="77777777" w:rsidR="00824558" w:rsidRDefault="00824558">
            <w:pPr>
              <w:ind w:left="170"/>
            </w:pPr>
            <w:r>
              <w:rPr>
                <w:i/>
              </w:rPr>
              <w:t>The higher 2026-27 target reflects the installation of further batteries from Round 1 as well as additional batteries funded through Round 2 of the program.</w:t>
            </w:r>
          </w:p>
        </w:tc>
      </w:tr>
      <w:tr w:rsidR="00824558" w14:paraId="5DA278CB"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71429834" w14:textId="77777777" w:rsidR="00824558" w:rsidRDefault="00824558">
            <w:pPr>
              <w:keepNext/>
              <w:ind w:left="170"/>
            </w:pPr>
            <w:r>
              <w:t>Victorian household appliances converted from gas to electricity through government electrification programs</w:t>
            </w:r>
          </w:p>
        </w:tc>
        <w:tc>
          <w:tcPr>
            <w:tcW w:w="964" w:type="dxa"/>
          </w:tcPr>
          <w:p w14:paraId="22D5F08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478A18B" w14:textId="77777777" w:rsidR="00824558" w:rsidRDefault="00824558">
            <w:pPr>
              <w:cnfStyle w:val="000000000000" w:firstRow="0" w:lastRow="0" w:firstColumn="0" w:lastColumn="0" w:oddVBand="0" w:evenVBand="0" w:oddHBand="0" w:evenHBand="0" w:firstRowFirstColumn="0" w:firstRowLastColumn="0" w:lastRowFirstColumn="0" w:lastRowLastColumn="0"/>
            </w:pPr>
            <w:r>
              <w:t>67 000</w:t>
            </w:r>
          </w:p>
        </w:tc>
        <w:tc>
          <w:tcPr>
            <w:tcW w:w="964" w:type="dxa"/>
          </w:tcPr>
          <w:p w14:paraId="22D9FDB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FE6C2A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2C729F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85AF178"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D00F244" w14:textId="7DB9AC62" w:rsidR="00824558" w:rsidRDefault="00824558">
            <w:pPr>
              <w:ind w:left="170"/>
            </w:pPr>
            <w:r>
              <w:rPr>
                <w:i/>
              </w:rPr>
              <w:t>New performance measure for 2026-27 to report on annual gas heating and hot water appliance conversions through the Victorian Energy Upgrades and Solar Victoria programs, which are a key driver for meeting Victoria</w:t>
            </w:r>
            <w:r w:rsidR="007942D1">
              <w:rPr>
                <w:i/>
              </w:rPr>
              <w:t>’</w:t>
            </w:r>
            <w:r>
              <w:rPr>
                <w:i/>
              </w:rPr>
              <w:t>s emission reduction targets.</w:t>
            </w:r>
          </w:p>
        </w:tc>
      </w:tr>
      <w:tr w:rsidR="00824558" w14:paraId="6F6D2A0D"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03EE6F79" w14:textId="77777777" w:rsidR="00824558" w:rsidRDefault="00824558">
            <w:pPr>
              <w:keepNext/>
              <w:ind w:left="170"/>
            </w:pPr>
            <w:r>
              <w:t>Vulnerable Victorian energy consumers supported to navigate the energy market by the Energy Assistance Program</w:t>
            </w:r>
          </w:p>
        </w:tc>
        <w:tc>
          <w:tcPr>
            <w:tcW w:w="964" w:type="dxa"/>
          </w:tcPr>
          <w:p w14:paraId="6D3737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A58C200"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3A176320"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2E429679"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4B935D3F" w14:textId="77777777" w:rsidR="00824558" w:rsidRDefault="00824558">
            <w:pPr>
              <w:cnfStyle w:val="000000000000" w:firstRow="0" w:lastRow="0" w:firstColumn="0" w:lastColumn="0" w:oddVBand="0" w:evenVBand="0" w:oddHBand="0" w:evenHBand="0" w:firstRowFirstColumn="0" w:firstRowLastColumn="0" w:lastRowFirstColumn="0" w:lastRowLastColumn="0"/>
            </w:pPr>
            <w:r>
              <w:t>3 450</w:t>
            </w:r>
          </w:p>
        </w:tc>
      </w:tr>
      <w:tr w:rsidR="00824558" w14:paraId="0BDB4AA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C69F55" w14:textId="77DAC4F7" w:rsidR="00824558" w:rsidRDefault="00824558" w:rsidP="00424889">
            <w:pPr>
              <w:ind w:left="170"/>
            </w:pPr>
            <w:r>
              <w:rPr>
                <w:i/>
              </w:rPr>
              <w:t xml:space="preserve">The 2025-26 expected outcome is higher than the 2025-26 target due to increased uptake resulting from the new round of the Power Saving Bonus, which opened in August 2025. </w:t>
            </w:r>
          </w:p>
        </w:tc>
      </w:tr>
      <w:tr w:rsidR="00824558" w:rsidRPr="007D3EA5" w14:paraId="0949B253"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76CBF382" w14:textId="77777777" w:rsidR="00824558" w:rsidRPr="007D3EA5" w:rsidRDefault="00824558">
            <w:pPr>
              <w:keepNext/>
              <w:rPr>
                <w:b/>
              </w:rPr>
            </w:pPr>
            <w:r w:rsidRPr="007D3EA5">
              <w:rPr>
                <w:b/>
              </w:rPr>
              <w:t>Quality</w:t>
            </w:r>
          </w:p>
        </w:tc>
      </w:tr>
      <w:tr w:rsidR="00824558" w14:paraId="381486B3"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B4AC36F" w14:textId="77777777" w:rsidR="00824558" w:rsidRDefault="00824558">
            <w:pPr>
              <w:keepNext/>
              <w:ind w:left="170"/>
            </w:pPr>
            <w:r>
              <w:t>Users of the Victorian Energy Compare website who report they are likely to recommend the website to others</w:t>
            </w:r>
          </w:p>
        </w:tc>
        <w:tc>
          <w:tcPr>
            <w:tcW w:w="964" w:type="dxa"/>
          </w:tcPr>
          <w:p w14:paraId="2E387CC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8169C4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26772BE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4DC5FBD"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551A42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65E5A7C"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68062E3" w14:textId="77777777" w:rsidR="00824558" w:rsidRDefault="00824558">
            <w:pPr>
              <w:ind w:left="170"/>
            </w:pPr>
            <w:r>
              <w:rPr>
                <w:i/>
              </w:rPr>
              <w:t>The 2025-26 expected outcome is higher than the 2025-26 target due to ongoing enhancements made to the Victorian Energy Compare website and increased visitation driven by targeted programs such as the Power Saving Bonus.</w:t>
            </w:r>
          </w:p>
        </w:tc>
      </w:tr>
      <w:tr w:rsidR="004D0078" w:rsidRPr="00DC0EBC" w14:paraId="4F2B11E2"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B0D7AC0" w14:textId="77777777" w:rsidR="004D0078" w:rsidRPr="00DC0EBC" w:rsidRDefault="004D0078">
            <w:pPr>
              <w:keepNext/>
              <w:rPr>
                <w:b/>
              </w:rPr>
            </w:pPr>
            <w:r w:rsidRPr="00DC0EBC">
              <w:rPr>
                <w:b/>
              </w:rPr>
              <w:lastRenderedPageBreak/>
              <w:t>Cost</w:t>
            </w:r>
          </w:p>
        </w:tc>
      </w:tr>
      <w:tr w:rsidR="004D0078" w14:paraId="691139F5" w14:textId="77777777" w:rsidTr="00840063">
        <w:tc>
          <w:tcPr>
            <w:cnfStyle w:val="001000000000" w:firstRow="0" w:lastRow="0" w:firstColumn="1" w:lastColumn="0" w:oddVBand="0" w:evenVBand="0" w:oddHBand="0" w:evenHBand="0" w:firstRowFirstColumn="0" w:firstRowLastColumn="0" w:lastRowFirstColumn="0" w:lastRowLastColumn="0"/>
            <w:tcW w:w="4819" w:type="dxa"/>
          </w:tcPr>
          <w:p w14:paraId="4259E7F0" w14:textId="77777777" w:rsidR="004D0078" w:rsidRDefault="004D0078">
            <w:pPr>
              <w:keepNext/>
              <w:ind w:left="170"/>
            </w:pPr>
            <w:r>
              <w:t>Total output cost</w:t>
            </w:r>
          </w:p>
        </w:tc>
        <w:tc>
          <w:tcPr>
            <w:tcW w:w="964" w:type="dxa"/>
          </w:tcPr>
          <w:p w14:paraId="0E23BE0E" w14:textId="77777777" w:rsidR="004D0078" w:rsidRDefault="004D007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0C3EC6BA" w14:textId="44D9C450" w:rsidR="004D0078" w:rsidRPr="004D0078" w:rsidRDefault="00295794">
            <w:pPr>
              <w:cnfStyle w:val="000000000000" w:firstRow="0" w:lastRow="0" w:firstColumn="0" w:lastColumn="0" w:oddVBand="0" w:evenVBand="0" w:oddHBand="0" w:evenHBand="0" w:firstRowFirstColumn="0" w:firstRowLastColumn="0" w:lastRowFirstColumn="0" w:lastRowLastColumn="0"/>
              <w:rPr>
                <w:highlight w:val="yellow"/>
              </w:rPr>
            </w:pPr>
            <w:r w:rsidRPr="00295794">
              <w:t>257.1</w:t>
            </w:r>
          </w:p>
        </w:tc>
        <w:tc>
          <w:tcPr>
            <w:tcW w:w="964" w:type="dxa"/>
          </w:tcPr>
          <w:p w14:paraId="5F5A846B" w14:textId="76D9963C" w:rsidR="004D0078" w:rsidRPr="004D0078" w:rsidRDefault="00A1340C">
            <w:pPr>
              <w:cnfStyle w:val="000000000000" w:firstRow="0" w:lastRow="0" w:firstColumn="0" w:lastColumn="0" w:oddVBand="0" w:evenVBand="0" w:oddHBand="0" w:evenHBand="0" w:firstRowFirstColumn="0" w:firstRowLastColumn="0" w:lastRowFirstColumn="0" w:lastRowLastColumn="0"/>
              <w:rPr>
                <w:highlight w:val="yellow"/>
              </w:rPr>
            </w:pPr>
            <w:r w:rsidRPr="00A1340C">
              <w:t>442.2</w:t>
            </w:r>
          </w:p>
        </w:tc>
        <w:tc>
          <w:tcPr>
            <w:tcW w:w="964" w:type="dxa"/>
          </w:tcPr>
          <w:p w14:paraId="2E96D537" w14:textId="0E319D22" w:rsidR="004D0078" w:rsidRPr="004D0078" w:rsidRDefault="00157025">
            <w:pPr>
              <w:cnfStyle w:val="000000000000" w:firstRow="0" w:lastRow="0" w:firstColumn="0" w:lastColumn="0" w:oddVBand="0" w:evenVBand="0" w:oddHBand="0" w:evenHBand="0" w:firstRowFirstColumn="0" w:firstRowLastColumn="0" w:lastRowFirstColumn="0" w:lastRowLastColumn="0"/>
              <w:rPr>
                <w:highlight w:val="yellow"/>
              </w:rPr>
            </w:pPr>
            <w:r w:rsidRPr="00157025">
              <w:t>306.4</w:t>
            </w:r>
          </w:p>
        </w:tc>
        <w:tc>
          <w:tcPr>
            <w:tcW w:w="964" w:type="dxa"/>
          </w:tcPr>
          <w:p w14:paraId="6B7E5860" w14:textId="7DF6A6AD" w:rsidR="004D0078" w:rsidRPr="004D0078" w:rsidRDefault="00840063">
            <w:pPr>
              <w:cnfStyle w:val="000000000000" w:firstRow="0" w:lastRow="0" w:firstColumn="0" w:lastColumn="0" w:oddVBand="0" w:evenVBand="0" w:oddHBand="0" w:evenHBand="0" w:firstRowFirstColumn="0" w:firstRowLastColumn="0" w:lastRowFirstColumn="0" w:lastRowLastColumn="0"/>
              <w:rPr>
                <w:highlight w:val="yellow"/>
              </w:rPr>
            </w:pPr>
            <w:r w:rsidRPr="00840063">
              <w:t>321.7</w:t>
            </w:r>
          </w:p>
        </w:tc>
      </w:tr>
      <w:tr w:rsidR="00366888" w14:paraId="1BEE4D1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32274F9" w14:textId="5D2E1EC8" w:rsidR="00366888" w:rsidRPr="00840063" w:rsidRDefault="005A7E79" w:rsidP="005A7E79">
            <w:pPr>
              <w:ind w:left="170"/>
            </w:pPr>
            <w:r w:rsidRPr="005A7E79">
              <w:rPr>
                <w:i/>
              </w:rPr>
              <w:t>The 2025-26 expected outcome is higher than the 2025-26 target</w:t>
            </w:r>
            <w:r w:rsidR="003941BB">
              <w:rPr>
                <w:i/>
              </w:rPr>
              <w:t>,</w:t>
            </w:r>
            <w:r w:rsidRPr="005A7E79">
              <w:rPr>
                <w:i/>
              </w:rPr>
              <w:t xml:space="preserve"> predominantly due to additional government funding for VicGrid Operations and Delivery, and Renewable Energy Transition initiatives.</w:t>
            </w:r>
          </w:p>
        </w:tc>
      </w:tr>
      <w:tr w:rsidR="00840063" w14:paraId="472672E1" w14:textId="77777777" w:rsidTr="00B63EB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840C084" w14:textId="5E2567C0" w:rsidR="00840063" w:rsidRPr="00840063" w:rsidRDefault="00366888" w:rsidP="005A7E79">
            <w:pPr>
              <w:ind w:left="170"/>
            </w:pPr>
            <w:r w:rsidRPr="005A7E79">
              <w:rPr>
                <w:i/>
              </w:rPr>
              <w:t>The lower 2026-27 target predominantly reflects the funding profile of the Energy Innovation Fund initiative and the cessation of the Commonwealth Energy Bill Relief Fund.</w:t>
            </w:r>
          </w:p>
        </w:tc>
      </w:tr>
    </w:tbl>
    <w:p w14:paraId="6CC20D7A" w14:textId="77777777" w:rsidR="00824558" w:rsidRDefault="00824558">
      <w:pPr>
        <w:pStyle w:val="Source"/>
      </w:pPr>
      <w:r>
        <w:t>Source: Department of Energy, Environment and Climate Action</w:t>
      </w:r>
    </w:p>
    <w:p w14:paraId="6B8BF7A1" w14:textId="69DD3671" w:rsidR="00824558" w:rsidRDefault="00824558">
      <w:pPr>
        <w:pStyle w:val="Heading3"/>
      </w:pPr>
      <w:r>
        <w:t>Solar Victoria</w:t>
      </w:r>
      <w:r>
        <w:tab/>
        <w:t>(2026-27: $</w:t>
      </w:r>
      <w:r w:rsidR="00791CAD">
        <w:t>113.0</w:t>
      </w:r>
      <w:r>
        <w:t xml:space="preserve"> million)</w:t>
      </w:r>
    </w:p>
    <w:p w14:paraId="73A7D47F" w14:textId="77777777" w:rsidR="00824558" w:rsidRPr="00D40BEA" w:rsidRDefault="00824558">
      <w:pPr>
        <w:spacing w:before="60"/>
        <w:rPr>
          <w:rFonts w:ascii="Garamond" w:hAnsi="Garamond"/>
        </w:rPr>
      </w:pPr>
      <w:r w:rsidRPr="00D40BEA">
        <w:rPr>
          <w:rFonts w:ascii="Garamond" w:hAnsi="Garamond"/>
        </w:rPr>
        <w:t>The Solar Victoria output implements the Solar Homes programs to incentivise the uptake of solar panel energy systems and energy efficient hot water systems as Victoria transitions to a lower emissions future, increasing the use of renewable energy sources, reducing air pollution and reducing dependence on conventional energy sources.</w:t>
      </w:r>
    </w:p>
    <w:p w14:paraId="088FF377" w14:textId="2EC6C148" w:rsidR="00824558" w:rsidRPr="00D40BEA" w:rsidRDefault="00824558">
      <w:pPr>
        <w:spacing w:before="60"/>
        <w:rPr>
          <w:rFonts w:ascii="Garamond" w:hAnsi="Garamond"/>
        </w:rPr>
      </w:pPr>
      <w:r w:rsidRPr="00D40BEA">
        <w:rPr>
          <w:rFonts w:ascii="Garamond" w:hAnsi="Garamond"/>
        </w:rPr>
        <w:t xml:space="preserve">Solar Victoria also has governance oversight of the Victorian Energy Upgrades program, the </w:t>
      </w:r>
      <w:r>
        <w:rPr>
          <w:rFonts w:ascii="Garamond" w:hAnsi="Garamond"/>
        </w:rPr>
        <w:t>nation</w:t>
      </w:r>
      <w:r w:rsidR="007942D1">
        <w:rPr>
          <w:rFonts w:ascii="Garamond" w:hAnsi="Garamond"/>
        </w:rPr>
        <w:t>’</w:t>
      </w:r>
      <w:r w:rsidRPr="00D40BEA">
        <w:rPr>
          <w:rFonts w:ascii="Garamond" w:hAnsi="Garamond"/>
        </w:rPr>
        <w:t>s largest e</w:t>
      </w:r>
      <w:r>
        <w:rPr>
          <w:rFonts w:ascii="Garamond" w:hAnsi="Garamond"/>
        </w:rPr>
        <w:t xml:space="preserve">nergy efficiency </w:t>
      </w:r>
      <w:r w:rsidRPr="00D40BEA">
        <w:rPr>
          <w:rFonts w:ascii="Garamond" w:hAnsi="Garamond"/>
        </w:rPr>
        <w:t>program, supporting Victoria</w:t>
      </w:r>
      <w:r w:rsidR="007942D1">
        <w:rPr>
          <w:rFonts w:ascii="Garamond" w:hAnsi="Garamond"/>
        </w:rPr>
        <w:t>’</w:t>
      </w:r>
      <w:r w:rsidRPr="00D40BEA">
        <w:rPr>
          <w:rFonts w:ascii="Garamond" w:hAnsi="Garamond"/>
        </w:rPr>
        <w:t>s energy transition and emissions reduction goals through improved energy efficiency, demand management, and household and business electrification.</w:t>
      </w:r>
    </w:p>
    <w:p w14:paraId="157BE24B" w14:textId="77777777" w:rsidR="00824558" w:rsidRPr="00D40BEA" w:rsidRDefault="00824558">
      <w:pPr>
        <w:spacing w:after="120"/>
        <w:rPr>
          <w:rFonts w:ascii="Garamond" w:hAnsi="Garamond"/>
        </w:rPr>
      </w:pPr>
      <w:r w:rsidRPr="00D40BEA">
        <w:rPr>
          <w:rFonts w:ascii="Garamond" w:hAnsi="Garamond"/>
        </w:rPr>
        <w:t xml:space="preserve">Through this output, Solar Victoria supports investment in household energy technology innovation and industrial energy efficiency and decarbonisation, finding new and improved ways to optimise future energy demand. </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0E09742" w14:textId="77777777" w:rsidTr="004D00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CA5045A" w14:textId="77777777" w:rsidR="00824558" w:rsidRDefault="00824558">
            <w:r>
              <w:t>Performance measure</w:t>
            </w:r>
          </w:p>
        </w:tc>
        <w:tc>
          <w:tcPr>
            <w:tcW w:w="964" w:type="dxa"/>
          </w:tcPr>
          <w:p w14:paraId="71A4D7DE"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BFA646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FEB57F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29AFC5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ED0873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5BA1B7D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23179AFE" w14:textId="77777777" w:rsidR="00824558" w:rsidRPr="007D3EA5" w:rsidRDefault="00824558">
            <w:pPr>
              <w:keepNext/>
              <w:rPr>
                <w:b/>
              </w:rPr>
            </w:pPr>
            <w:r w:rsidRPr="007D3EA5">
              <w:rPr>
                <w:b/>
              </w:rPr>
              <w:t>Quantity</w:t>
            </w:r>
          </w:p>
        </w:tc>
      </w:tr>
      <w:tr w:rsidR="00824558" w14:paraId="1B014001"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616D4CC" w14:textId="77777777" w:rsidR="00824558" w:rsidRDefault="00824558">
            <w:pPr>
              <w:keepNext/>
              <w:ind w:left="170"/>
            </w:pPr>
            <w:r>
              <w:t>Applications for hot water rebates approved</w:t>
            </w:r>
          </w:p>
        </w:tc>
        <w:tc>
          <w:tcPr>
            <w:tcW w:w="964" w:type="dxa"/>
          </w:tcPr>
          <w:p w14:paraId="14EE959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FEC8E08" w14:textId="77777777" w:rsidR="00824558" w:rsidRDefault="00824558">
            <w:pPr>
              <w:cnfStyle w:val="000000000000" w:firstRow="0" w:lastRow="0" w:firstColumn="0" w:lastColumn="0" w:oddVBand="0" w:evenVBand="0" w:oddHBand="0" w:evenHBand="0" w:firstRowFirstColumn="0" w:firstRowLastColumn="0" w:lastRowFirstColumn="0" w:lastRowLastColumn="0"/>
            </w:pPr>
            <w:r>
              <w:t>27 000</w:t>
            </w:r>
          </w:p>
        </w:tc>
        <w:tc>
          <w:tcPr>
            <w:tcW w:w="964" w:type="dxa"/>
          </w:tcPr>
          <w:p w14:paraId="51117EC7" w14:textId="77777777" w:rsidR="00824558" w:rsidRDefault="00824558">
            <w:pPr>
              <w:cnfStyle w:val="000000000000" w:firstRow="0" w:lastRow="0" w:firstColumn="0" w:lastColumn="0" w:oddVBand="0" w:evenVBand="0" w:oddHBand="0" w:evenHBand="0" w:firstRowFirstColumn="0" w:firstRowLastColumn="0" w:lastRowFirstColumn="0" w:lastRowLastColumn="0"/>
            </w:pPr>
            <w:r>
              <w:t>28 951</w:t>
            </w:r>
          </w:p>
        </w:tc>
        <w:tc>
          <w:tcPr>
            <w:tcW w:w="964" w:type="dxa"/>
          </w:tcPr>
          <w:p w14:paraId="27398923" w14:textId="77777777" w:rsidR="00824558" w:rsidRDefault="00824558">
            <w:pPr>
              <w:cnfStyle w:val="000000000000" w:firstRow="0" w:lastRow="0" w:firstColumn="0" w:lastColumn="0" w:oddVBand="0" w:evenVBand="0" w:oddHBand="0" w:evenHBand="0" w:firstRowFirstColumn="0" w:firstRowLastColumn="0" w:lastRowFirstColumn="0" w:lastRowLastColumn="0"/>
            </w:pPr>
            <w:r>
              <w:t>27 000</w:t>
            </w:r>
          </w:p>
        </w:tc>
        <w:tc>
          <w:tcPr>
            <w:tcW w:w="964" w:type="dxa"/>
          </w:tcPr>
          <w:p w14:paraId="654ECC52" w14:textId="77777777" w:rsidR="00824558" w:rsidRDefault="00824558">
            <w:pPr>
              <w:cnfStyle w:val="000000000000" w:firstRow="0" w:lastRow="0" w:firstColumn="0" w:lastColumn="0" w:oddVBand="0" w:evenVBand="0" w:oddHBand="0" w:evenHBand="0" w:firstRowFirstColumn="0" w:firstRowLastColumn="0" w:lastRowFirstColumn="0" w:lastRowLastColumn="0"/>
            </w:pPr>
            <w:r>
              <w:t>33 198</w:t>
            </w:r>
          </w:p>
        </w:tc>
      </w:tr>
      <w:tr w:rsidR="00824558" w14:paraId="3B4870BD"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013484" w14:textId="77777777" w:rsidR="00824558" w:rsidRDefault="00824558">
            <w:pPr>
              <w:ind w:left="170"/>
            </w:pPr>
            <w:r>
              <w:rPr>
                <w:i/>
              </w:rPr>
              <w:t>The 2025-26 expected outcome is higher than the 2025-26 target due to increased demand for energy efficient hot water systems, as customer awareness of heat pumps as a viable replacement for gas hot water systems and associated bill savings increases.</w:t>
            </w:r>
          </w:p>
        </w:tc>
      </w:tr>
      <w:tr w:rsidR="00824558" w14:paraId="1C77FCAB"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519D2C2" w14:textId="77777777" w:rsidR="00824558" w:rsidRDefault="00824558">
            <w:pPr>
              <w:keepNext/>
              <w:ind w:left="170"/>
            </w:pPr>
            <w:r>
              <w:t>Applications for Solar panel system rebates for households approved</w:t>
            </w:r>
          </w:p>
        </w:tc>
        <w:tc>
          <w:tcPr>
            <w:tcW w:w="964" w:type="dxa"/>
          </w:tcPr>
          <w:p w14:paraId="2AB73CF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2AB6796" w14:textId="3A2E5A3E" w:rsidR="00824558" w:rsidRDefault="003772DA">
            <w:pPr>
              <w:cnfStyle w:val="000000000000" w:firstRow="0" w:lastRow="0" w:firstColumn="0" w:lastColumn="0" w:oddVBand="0" w:evenVBand="0" w:oddHBand="0" w:evenHBand="0" w:firstRowFirstColumn="0" w:firstRowLastColumn="0" w:lastRowFirstColumn="0" w:lastRowLastColumn="0"/>
            </w:pPr>
            <w:r>
              <w:t>28</w:t>
            </w:r>
            <w:r w:rsidR="00882E40">
              <w:t xml:space="preserve"> </w:t>
            </w:r>
            <w:r w:rsidR="008E671B">
              <w:t>854</w:t>
            </w:r>
          </w:p>
        </w:tc>
        <w:tc>
          <w:tcPr>
            <w:tcW w:w="964" w:type="dxa"/>
          </w:tcPr>
          <w:p w14:paraId="14B1CFBE" w14:textId="23B7A496" w:rsidR="00824558" w:rsidRDefault="00824558">
            <w:pPr>
              <w:cnfStyle w:val="000000000000" w:firstRow="0" w:lastRow="0" w:firstColumn="0" w:lastColumn="0" w:oddVBand="0" w:evenVBand="0" w:oddHBand="0" w:evenHBand="0" w:firstRowFirstColumn="0" w:firstRowLastColumn="0" w:lastRowFirstColumn="0" w:lastRowLastColumn="0"/>
            </w:pPr>
            <w:r>
              <w:t>34 494</w:t>
            </w:r>
          </w:p>
        </w:tc>
        <w:tc>
          <w:tcPr>
            <w:tcW w:w="964" w:type="dxa"/>
          </w:tcPr>
          <w:p w14:paraId="047B753B" w14:textId="77777777" w:rsidR="00824558" w:rsidRDefault="00824558">
            <w:pPr>
              <w:cnfStyle w:val="000000000000" w:firstRow="0" w:lastRow="0" w:firstColumn="0" w:lastColumn="0" w:oddVBand="0" w:evenVBand="0" w:oddHBand="0" w:evenHBand="0" w:firstRowFirstColumn="0" w:firstRowLastColumn="0" w:lastRowFirstColumn="0" w:lastRowLastColumn="0"/>
            </w:pPr>
            <w:r>
              <w:t>47 700</w:t>
            </w:r>
          </w:p>
        </w:tc>
        <w:tc>
          <w:tcPr>
            <w:tcW w:w="964" w:type="dxa"/>
          </w:tcPr>
          <w:p w14:paraId="0F4D1DAC" w14:textId="77777777" w:rsidR="00824558" w:rsidRDefault="00824558">
            <w:pPr>
              <w:cnfStyle w:val="000000000000" w:firstRow="0" w:lastRow="0" w:firstColumn="0" w:lastColumn="0" w:oddVBand="0" w:evenVBand="0" w:oddHBand="0" w:evenHBand="0" w:firstRowFirstColumn="0" w:firstRowLastColumn="0" w:lastRowFirstColumn="0" w:lastRowLastColumn="0"/>
            </w:pPr>
            <w:r>
              <w:t>41 581</w:t>
            </w:r>
          </w:p>
        </w:tc>
      </w:tr>
      <w:tr w:rsidR="00824558" w14:paraId="0A8D2960"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24F3E7" w14:textId="77777777" w:rsidR="00824558" w:rsidRDefault="00824558">
            <w:pPr>
              <w:ind w:left="170"/>
            </w:pPr>
            <w:r>
              <w:rPr>
                <w:i/>
              </w:rPr>
              <w:t>The 2025-26 expected outcome is lower than the 2025-26 target due to lower customer demand influenced by factors including changes in Commonwealth Government policies that changed demand patterns for batteries and solar panel systems.</w:t>
            </w:r>
          </w:p>
          <w:p w14:paraId="1EADBF35" w14:textId="77777777" w:rsidR="00824558" w:rsidRDefault="00824558">
            <w:pPr>
              <w:ind w:left="170"/>
            </w:pPr>
            <w:r>
              <w:rPr>
                <w:i/>
              </w:rPr>
              <w:t>The lower 2026-27 target reflects market dynamics and lower demand for rebates available through the program.</w:t>
            </w:r>
          </w:p>
        </w:tc>
      </w:tr>
      <w:tr w:rsidR="00824558" w14:paraId="33E5AF2A" w14:textId="77777777" w:rsidTr="004D007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790889" w14:textId="77777777" w:rsidR="00824558" w:rsidRDefault="00824558">
            <w:pPr>
              <w:ind w:left="170"/>
            </w:pPr>
            <w:r>
              <w:t>Rebated installations audited by the Solar Homes Audit Program within 6 months of installation</w:t>
            </w:r>
          </w:p>
        </w:tc>
        <w:tc>
          <w:tcPr>
            <w:tcW w:w="964" w:type="dxa"/>
            <w:tcBorders>
              <w:bottom w:val="single" w:sz="6" w:space="0" w:color="auto"/>
            </w:tcBorders>
          </w:tcPr>
          <w:p w14:paraId="1249669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4F2254C"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788D980B"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6B0ECA1E"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316CBEEF" w14:textId="77777777" w:rsidR="00824558" w:rsidRDefault="00824558">
            <w:pPr>
              <w:cnfStyle w:val="000000000000" w:firstRow="0" w:lastRow="0" w:firstColumn="0" w:lastColumn="0" w:oddVBand="0" w:evenVBand="0" w:oddHBand="0" w:evenHBand="0" w:firstRowFirstColumn="0" w:firstRowLastColumn="0" w:lastRowFirstColumn="0" w:lastRowLastColumn="0"/>
            </w:pPr>
            <w:r>
              <w:t>4.86</w:t>
            </w:r>
          </w:p>
        </w:tc>
      </w:tr>
      <w:tr w:rsidR="00824558" w14:paraId="2F129EE4"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0D7DBE05" w14:textId="77777777" w:rsidR="00824558" w:rsidRDefault="00824558">
            <w:pPr>
              <w:keepNext/>
              <w:ind w:left="170"/>
            </w:pPr>
            <w:r>
              <w:t>Victorian Energy Efficiency Certificates (each representing one tonne of greenhouse gas emissions avoided) surrendered by energy retailers to meet their liabilities under the Victorian Energy Efficiency Target</w:t>
            </w:r>
          </w:p>
        </w:tc>
        <w:tc>
          <w:tcPr>
            <w:tcW w:w="964" w:type="dxa"/>
          </w:tcPr>
          <w:p w14:paraId="2BEF7E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certificates (million)</w:t>
            </w:r>
          </w:p>
        </w:tc>
        <w:tc>
          <w:tcPr>
            <w:tcW w:w="964" w:type="dxa"/>
            <w:shd w:val="clear" w:color="auto" w:fill="F0F0F0"/>
          </w:tcPr>
          <w:p w14:paraId="1DD63ADE" w14:textId="77777777" w:rsidR="00824558" w:rsidRDefault="00824558">
            <w:pPr>
              <w:cnfStyle w:val="000000000000" w:firstRow="0" w:lastRow="0" w:firstColumn="0" w:lastColumn="0" w:oddVBand="0" w:evenVBand="0" w:oddHBand="0" w:evenHBand="0" w:firstRowFirstColumn="0" w:firstRowLastColumn="0" w:lastRowFirstColumn="0" w:lastRowLastColumn="0"/>
            </w:pPr>
            <w:r>
              <w:t>4.4</w:t>
            </w:r>
          </w:p>
        </w:tc>
        <w:tc>
          <w:tcPr>
            <w:tcW w:w="964" w:type="dxa"/>
          </w:tcPr>
          <w:p w14:paraId="3E9D1C1B"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2C4C2043"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7F7E65C1" w14:textId="77777777" w:rsidR="00824558" w:rsidRDefault="00824558">
            <w:pPr>
              <w:cnfStyle w:val="000000000000" w:firstRow="0" w:lastRow="0" w:firstColumn="0" w:lastColumn="0" w:oddVBand="0" w:evenVBand="0" w:oddHBand="0" w:evenHBand="0" w:firstRowFirstColumn="0" w:firstRowLastColumn="0" w:lastRowFirstColumn="0" w:lastRowLastColumn="0"/>
            </w:pPr>
            <w:r>
              <w:t>7.1 (estimate)</w:t>
            </w:r>
          </w:p>
        </w:tc>
      </w:tr>
      <w:tr w:rsidR="00824558" w14:paraId="09CC8E2E"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665B61" w14:textId="77777777" w:rsidR="00824558" w:rsidRDefault="00824558">
            <w:pPr>
              <w:ind w:left="170"/>
            </w:pPr>
            <w:r>
              <w:rPr>
                <w:i/>
              </w:rPr>
              <w:t xml:space="preserve">The lower 2026-27 target reflects the target for the Victorian Energy Upgrades program for 2026, which under the </w:t>
            </w:r>
            <w:r w:rsidRPr="001E7B3D">
              <w:t>Victorian Energy Efficiency Target Act 2007</w:t>
            </w:r>
            <w:r>
              <w:rPr>
                <w:i/>
              </w:rPr>
              <w:t xml:space="preserve">, must be met by April 2027 unless extended by the scheme administrator, the Essential Services Commission. The target is lower than previous years to reset targets in line with substantial changes in the program towards more complex upgrades. </w:t>
            </w:r>
          </w:p>
        </w:tc>
      </w:tr>
      <w:tr w:rsidR="00824558" w:rsidRPr="007D3EA5" w14:paraId="01A9BF52"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07772A98" w14:textId="77777777" w:rsidR="00824558" w:rsidRPr="007D3EA5" w:rsidRDefault="00824558">
            <w:pPr>
              <w:keepNext/>
              <w:rPr>
                <w:b/>
              </w:rPr>
            </w:pPr>
            <w:r w:rsidRPr="007D3EA5">
              <w:rPr>
                <w:b/>
              </w:rPr>
              <w:t>Quality</w:t>
            </w:r>
          </w:p>
        </w:tc>
      </w:tr>
      <w:tr w:rsidR="00824558" w14:paraId="725CF1C5"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681D65CF" w14:textId="6007B902" w:rsidR="00824558" w:rsidRDefault="00824558">
            <w:pPr>
              <w:keepNext/>
              <w:ind w:left="170"/>
            </w:pPr>
            <w:r>
              <w:t xml:space="preserve">Solar Homes Program customers who rate the overall performance of Solar Victoria as </w:t>
            </w:r>
            <w:r w:rsidR="007942D1">
              <w:t>‘</w:t>
            </w:r>
            <w:r>
              <w:t>Good</w:t>
            </w:r>
            <w:r w:rsidR="007942D1">
              <w:t>’</w:t>
            </w:r>
            <w:r>
              <w:t xml:space="preserve"> or </w:t>
            </w:r>
            <w:r w:rsidR="007942D1">
              <w:t>‘</w:t>
            </w:r>
            <w:r>
              <w:t>Very Good</w:t>
            </w:r>
            <w:r w:rsidR="007942D1">
              <w:t>’</w:t>
            </w:r>
            <w:r>
              <w:t xml:space="preserve"> in post</w:t>
            </w:r>
            <w:r w:rsidR="00D0537F">
              <w:noBreakHyphen/>
            </w:r>
            <w:r>
              <w:t>approval surveys</w:t>
            </w:r>
          </w:p>
        </w:tc>
        <w:tc>
          <w:tcPr>
            <w:tcW w:w="964" w:type="dxa"/>
          </w:tcPr>
          <w:p w14:paraId="4AD798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C0DFDA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FC83825"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F1ECCC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BA34A0E"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29750A3E"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2B407FA" w14:textId="77777777" w:rsidR="00824558" w:rsidRDefault="00824558">
            <w:pPr>
              <w:ind w:left="170"/>
            </w:pPr>
            <w:r>
              <w:rPr>
                <w:i/>
              </w:rPr>
              <w:t>The 2025-26 expected outcome is higher than the 2025-26 target due to improvements to the digital application process.</w:t>
            </w:r>
          </w:p>
          <w:p w14:paraId="7FA2F3EF" w14:textId="77777777" w:rsidR="00824558" w:rsidRDefault="00824558">
            <w:pPr>
              <w:ind w:left="170"/>
            </w:pPr>
            <w:r>
              <w:rPr>
                <w:i/>
              </w:rPr>
              <w:t>The higher 2026-27 target reflects past performance.</w:t>
            </w:r>
          </w:p>
        </w:tc>
      </w:tr>
      <w:tr w:rsidR="00824558" w:rsidRPr="007D3EA5" w14:paraId="2321595C"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Pr>
          <w:p w14:paraId="0A16AE17" w14:textId="77777777" w:rsidR="00824558" w:rsidRPr="007D3EA5" w:rsidRDefault="00824558">
            <w:pPr>
              <w:keepNext/>
              <w:rPr>
                <w:b/>
              </w:rPr>
            </w:pPr>
            <w:r w:rsidRPr="007D3EA5">
              <w:rPr>
                <w:b/>
              </w:rPr>
              <w:t>Timeliness</w:t>
            </w:r>
          </w:p>
        </w:tc>
      </w:tr>
      <w:tr w:rsidR="00824558" w14:paraId="49936FB0"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516DF051" w14:textId="77777777" w:rsidR="00824558" w:rsidRDefault="00824558">
            <w:pPr>
              <w:keepNext/>
              <w:ind w:left="170"/>
            </w:pPr>
            <w:r>
              <w:t>Average number of business days to process completed eligibility applications</w:t>
            </w:r>
          </w:p>
        </w:tc>
        <w:tc>
          <w:tcPr>
            <w:tcW w:w="964" w:type="dxa"/>
          </w:tcPr>
          <w:p w14:paraId="01A941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554B1811"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3CE7376B"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0D45D0C0"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4A661729" w14:textId="77777777" w:rsidR="00824558" w:rsidRDefault="00824558">
            <w:pPr>
              <w:cnfStyle w:val="000000000000" w:firstRow="0" w:lastRow="0" w:firstColumn="0" w:lastColumn="0" w:oddVBand="0" w:evenVBand="0" w:oddHBand="0" w:evenHBand="0" w:firstRowFirstColumn="0" w:firstRowLastColumn="0" w:lastRowFirstColumn="0" w:lastRowLastColumn="0"/>
            </w:pPr>
            <w:r>
              <w:t>4.6</w:t>
            </w:r>
          </w:p>
        </w:tc>
      </w:tr>
      <w:tr w:rsidR="00824558" w14:paraId="39A0FF73"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308D14" w14:textId="77777777" w:rsidR="00824558" w:rsidRDefault="00824558">
            <w:pPr>
              <w:ind w:left="170"/>
            </w:pPr>
            <w:r>
              <w:rPr>
                <w:i/>
              </w:rPr>
              <w:t>The 2025-26 expected outcome is better than the 2025-26 target due to a continued focus on customer service and process improvements, including digital uplift through automation, and improved processing times.</w:t>
            </w:r>
          </w:p>
        </w:tc>
      </w:tr>
      <w:tr w:rsidR="00824558" w14:paraId="26FDCCC5" w14:textId="77777777" w:rsidTr="004D0078">
        <w:tc>
          <w:tcPr>
            <w:cnfStyle w:val="001000000000" w:firstRow="0" w:lastRow="0" w:firstColumn="1" w:lastColumn="0" w:oddVBand="0" w:evenVBand="0" w:oddHBand="0" w:evenHBand="0" w:firstRowFirstColumn="0" w:firstRowLastColumn="0" w:lastRowFirstColumn="0" w:lastRowLastColumn="0"/>
            <w:tcW w:w="4819" w:type="dxa"/>
          </w:tcPr>
          <w:p w14:paraId="7074A7AE" w14:textId="77777777" w:rsidR="00824558" w:rsidRDefault="00824558">
            <w:pPr>
              <w:keepNext/>
              <w:ind w:left="170"/>
            </w:pPr>
            <w:r>
              <w:t>Rebate payments for Solar retailers processed within five business days</w:t>
            </w:r>
          </w:p>
        </w:tc>
        <w:tc>
          <w:tcPr>
            <w:tcW w:w="964" w:type="dxa"/>
          </w:tcPr>
          <w:p w14:paraId="4651B4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77EABA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18B78DC"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3EA8784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01BD66C"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4FF9C675"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1A56BBE" w14:textId="77777777" w:rsidR="00824558" w:rsidRDefault="00824558">
            <w:pPr>
              <w:ind w:left="170"/>
            </w:pPr>
            <w:r>
              <w:rPr>
                <w:i/>
              </w:rPr>
              <w:t>The 2025-26 expected outcome is higher than the 2025-26 target due to process efficiencies, digital uplift through automation, and improved processing times.</w:t>
            </w:r>
          </w:p>
          <w:p w14:paraId="7223517B" w14:textId="77777777" w:rsidR="00824558" w:rsidRDefault="00824558">
            <w:pPr>
              <w:ind w:left="170"/>
            </w:pPr>
            <w:r>
              <w:rPr>
                <w:i/>
              </w:rPr>
              <w:t>The higher 2026-27 target reflects past performance.</w:t>
            </w:r>
          </w:p>
        </w:tc>
      </w:tr>
      <w:tr w:rsidR="004D0078" w:rsidRPr="00DC0EBC" w14:paraId="5E152189" w14:textId="77777777" w:rsidTr="004D007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6B6CE4C" w14:textId="77777777" w:rsidR="004D0078" w:rsidRPr="00DC0EBC" w:rsidRDefault="004D0078">
            <w:pPr>
              <w:keepNext/>
              <w:rPr>
                <w:b/>
              </w:rPr>
            </w:pPr>
            <w:r w:rsidRPr="00DC0EBC">
              <w:rPr>
                <w:b/>
              </w:rPr>
              <w:lastRenderedPageBreak/>
              <w:t>Cost</w:t>
            </w:r>
          </w:p>
        </w:tc>
      </w:tr>
      <w:tr w:rsidR="004D0078" w14:paraId="4719F88C" w14:textId="77777777" w:rsidTr="00DA0E37">
        <w:tc>
          <w:tcPr>
            <w:cnfStyle w:val="001000000000" w:firstRow="0" w:lastRow="0" w:firstColumn="1" w:lastColumn="0" w:oddVBand="0" w:evenVBand="0" w:oddHBand="0" w:evenHBand="0" w:firstRowFirstColumn="0" w:firstRowLastColumn="0" w:lastRowFirstColumn="0" w:lastRowLastColumn="0"/>
            <w:tcW w:w="4819" w:type="dxa"/>
          </w:tcPr>
          <w:p w14:paraId="6BB45C35" w14:textId="77777777" w:rsidR="004D0078" w:rsidRDefault="004D0078">
            <w:pPr>
              <w:keepNext/>
              <w:ind w:left="170"/>
            </w:pPr>
            <w:r>
              <w:t>Total output cost</w:t>
            </w:r>
          </w:p>
        </w:tc>
        <w:tc>
          <w:tcPr>
            <w:tcW w:w="964" w:type="dxa"/>
          </w:tcPr>
          <w:p w14:paraId="01425C7C" w14:textId="77777777" w:rsidR="004D0078" w:rsidRDefault="004D007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69E2C501" w14:textId="332D32EA" w:rsidR="004D0078" w:rsidRPr="004D0078" w:rsidRDefault="00A91A46">
            <w:pPr>
              <w:cnfStyle w:val="000000000000" w:firstRow="0" w:lastRow="0" w:firstColumn="0" w:lastColumn="0" w:oddVBand="0" w:evenVBand="0" w:oddHBand="0" w:evenHBand="0" w:firstRowFirstColumn="0" w:firstRowLastColumn="0" w:lastRowFirstColumn="0" w:lastRowLastColumn="0"/>
              <w:rPr>
                <w:highlight w:val="yellow"/>
              </w:rPr>
            </w:pPr>
            <w:r w:rsidRPr="00A91A46">
              <w:t>113.0</w:t>
            </w:r>
          </w:p>
        </w:tc>
        <w:tc>
          <w:tcPr>
            <w:tcW w:w="964" w:type="dxa"/>
          </w:tcPr>
          <w:p w14:paraId="3BACADE7" w14:textId="76EDA9B2" w:rsidR="004D0078" w:rsidRPr="004D0078" w:rsidRDefault="002A765D">
            <w:pPr>
              <w:cnfStyle w:val="000000000000" w:firstRow="0" w:lastRow="0" w:firstColumn="0" w:lastColumn="0" w:oddVBand="0" w:evenVBand="0" w:oddHBand="0" w:evenHBand="0" w:firstRowFirstColumn="0" w:firstRowLastColumn="0" w:lastRowFirstColumn="0" w:lastRowLastColumn="0"/>
              <w:rPr>
                <w:highlight w:val="yellow"/>
              </w:rPr>
            </w:pPr>
            <w:r w:rsidRPr="002A765D">
              <w:t>150.9</w:t>
            </w:r>
          </w:p>
        </w:tc>
        <w:tc>
          <w:tcPr>
            <w:tcW w:w="964" w:type="dxa"/>
          </w:tcPr>
          <w:p w14:paraId="6A98437E" w14:textId="7196CE23" w:rsidR="004D0078" w:rsidRPr="004D0078" w:rsidRDefault="00446CEF">
            <w:pPr>
              <w:cnfStyle w:val="000000000000" w:firstRow="0" w:lastRow="0" w:firstColumn="0" w:lastColumn="0" w:oddVBand="0" w:evenVBand="0" w:oddHBand="0" w:evenHBand="0" w:firstRowFirstColumn="0" w:firstRowLastColumn="0" w:lastRowFirstColumn="0" w:lastRowLastColumn="0"/>
              <w:rPr>
                <w:highlight w:val="yellow"/>
              </w:rPr>
            </w:pPr>
            <w:r w:rsidRPr="00446CEF">
              <w:t>142.3</w:t>
            </w:r>
          </w:p>
        </w:tc>
        <w:tc>
          <w:tcPr>
            <w:tcW w:w="964" w:type="dxa"/>
          </w:tcPr>
          <w:p w14:paraId="6E622B09" w14:textId="3491DFF7" w:rsidR="004D0078" w:rsidRPr="004D0078" w:rsidRDefault="00DA0E37">
            <w:pPr>
              <w:cnfStyle w:val="000000000000" w:firstRow="0" w:lastRow="0" w:firstColumn="0" w:lastColumn="0" w:oddVBand="0" w:evenVBand="0" w:oddHBand="0" w:evenHBand="0" w:firstRowFirstColumn="0" w:firstRowLastColumn="0" w:lastRowFirstColumn="0" w:lastRowLastColumn="0"/>
              <w:rPr>
                <w:highlight w:val="yellow"/>
              </w:rPr>
            </w:pPr>
            <w:r w:rsidRPr="00DA0E37">
              <w:t>142.5</w:t>
            </w:r>
          </w:p>
        </w:tc>
      </w:tr>
      <w:tr w:rsidR="005D7B8C" w14:paraId="19FE957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BFD2844" w14:textId="3661A48F" w:rsidR="005D7B8C" w:rsidRPr="00DA0E37" w:rsidRDefault="00CE7975" w:rsidP="00CE7975">
            <w:pPr>
              <w:ind w:left="170"/>
            </w:pPr>
            <w:r w:rsidRPr="00CE7975">
              <w:rPr>
                <w:i/>
              </w:rPr>
              <w:t>The 2025-26 expected outcome is higher than the 2025-26 target predominantly due to additional funding provided for various renewable energy initiatives, additional Commonwealth funding for the Solar for Apartments initiative and funding rephased from 2024-25 for the Energy efficient hot water rebates initiative.</w:t>
            </w:r>
          </w:p>
        </w:tc>
      </w:tr>
      <w:tr w:rsidR="00DA0E37" w14:paraId="5A278B9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C7B1D80" w14:textId="2544186A" w:rsidR="00DA0E37" w:rsidRPr="00CE7975" w:rsidRDefault="005D7B8C" w:rsidP="00CE7975">
            <w:pPr>
              <w:ind w:left="170"/>
              <w:rPr>
                <w:i/>
              </w:rPr>
            </w:pPr>
            <w:r w:rsidRPr="00CE7975">
              <w:rPr>
                <w:i/>
              </w:rPr>
              <w:t>The lower 2026-27 target predominantly reflects the funding profile of the Solar Homes initiative.</w:t>
            </w:r>
          </w:p>
        </w:tc>
      </w:tr>
    </w:tbl>
    <w:p w14:paraId="3C3F4A33" w14:textId="77777777" w:rsidR="00824558" w:rsidRDefault="00824558">
      <w:pPr>
        <w:pStyle w:val="Source"/>
      </w:pPr>
      <w:r>
        <w:t>Source: Department of Energy, Environment and Climate Action</w:t>
      </w:r>
    </w:p>
    <w:p w14:paraId="70168F37" w14:textId="77777777" w:rsidR="004D0078" w:rsidRDefault="004D0078" w:rsidP="004D0078"/>
    <w:p w14:paraId="630E5C3E" w14:textId="77777777" w:rsidR="00824558" w:rsidRPr="00BE3BDA" w:rsidRDefault="00824558" w:rsidP="004D0078">
      <w:pPr>
        <w:pStyle w:val="ShadedBoxHeading"/>
      </w:pPr>
      <w:r w:rsidRPr="00BE3BDA">
        <w:t>Objective 6: Healthy, resilient and biodiverse environment</w:t>
      </w:r>
    </w:p>
    <w:p w14:paraId="38F5AEEF" w14:textId="77777777" w:rsidR="00824558" w:rsidRPr="00BE3BDA" w:rsidRDefault="00824558">
      <w:pPr>
        <w:pStyle w:val="ShadedBoxText"/>
      </w:pPr>
      <w:r w:rsidRPr="00BE3BDA">
        <w:t>This objective involves leading the development and implementation of strategic regulation and investment in environmental and natural resource programs across Victoria.</w:t>
      </w:r>
    </w:p>
    <w:p w14:paraId="4444DCB1" w14:textId="77777777" w:rsidR="00824558" w:rsidRPr="00BE3BDA" w:rsidRDefault="00824558">
      <w:pPr>
        <w:pStyle w:val="ShadedBoxText"/>
      </w:pPr>
      <w:r w:rsidRPr="00BE3BDA">
        <w:t>The Department works with portfolio partners, local communities and external stakeholders to develop effective, evidence-based policies, programs and regulatory responses for environment protection, waste resource recovery and recycling, ecosystem resilience, native vegetation management, threatened species, and land management practices.</w:t>
      </w:r>
    </w:p>
    <w:p w14:paraId="20D35249" w14:textId="77777777" w:rsidR="00824558" w:rsidRPr="00BE3BDA" w:rsidRDefault="00824558">
      <w:pPr>
        <w:pStyle w:val="ShadedBoxText"/>
      </w:pPr>
      <w:r w:rsidRPr="00BE3BDA">
        <w:t>The departmental objective indicators are:</w:t>
      </w:r>
    </w:p>
    <w:p w14:paraId="66088825" w14:textId="05352434" w:rsidR="00824558" w:rsidRPr="00711044" w:rsidRDefault="00824558" w:rsidP="00D0537F">
      <w:pPr>
        <w:pStyle w:val="ShadedBoxBullet"/>
      </w:pPr>
      <w:r w:rsidRPr="00711044">
        <w:t>improvement in Victoria</w:t>
      </w:r>
      <w:r w:rsidR="007942D1">
        <w:t>’</w:t>
      </w:r>
      <w:r w:rsidRPr="00711044">
        <w:t>s native species populations and their habitat through targeted management</w:t>
      </w:r>
      <w:r w:rsidRPr="00AD7A99">
        <w:rPr>
          <w:vertAlign w:val="superscript"/>
        </w:rPr>
        <w:t>(a)</w:t>
      </w:r>
    </w:p>
    <w:p w14:paraId="705BD42C" w14:textId="77777777" w:rsidR="00824558" w:rsidRPr="00711044" w:rsidRDefault="00824558" w:rsidP="00D0537F">
      <w:pPr>
        <w:pStyle w:val="ShadedBoxBullet"/>
      </w:pPr>
      <w:r w:rsidRPr="00711044">
        <w:t>reduction in pollutants from priority hotspots</w:t>
      </w:r>
    </w:p>
    <w:p w14:paraId="0DE788EF" w14:textId="77777777" w:rsidR="00824558" w:rsidRPr="00711044" w:rsidRDefault="00824558" w:rsidP="00D0537F">
      <w:pPr>
        <w:pStyle w:val="ShadedBoxBullet"/>
      </w:pPr>
      <w:r w:rsidRPr="00711044">
        <w:t>Environment Protection Authority prosecutions result in a finding of guilt or a clarification of the law</w:t>
      </w:r>
    </w:p>
    <w:p w14:paraId="067CF080" w14:textId="77777777" w:rsidR="00824558" w:rsidRPr="00711044" w:rsidRDefault="00824558" w:rsidP="00D0537F">
      <w:pPr>
        <w:pStyle w:val="ShadedBoxBullet"/>
      </w:pPr>
      <w:r w:rsidRPr="00711044">
        <w:t>reduction in waste generation per person</w:t>
      </w:r>
    </w:p>
    <w:p w14:paraId="02231068" w14:textId="77777777" w:rsidR="00824558" w:rsidRPr="00711044" w:rsidRDefault="00824558" w:rsidP="00D0537F">
      <w:pPr>
        <w:pStyle w:val="ShadedBoxBullet"/>
      </w:pPr>
      <w:r w:rsidRPr="00711044">
        <w:t>increase in diversion of waste from landfill.</w:t>
      </w:r>
    </w:p>
    <w:p w14:paraId="16391836" w14:textId="77777777" w:rsidR="00824558" w:rsidRPr="004D69DE" w:rsidRDefault="00824558" w:rsidP="00D0537F">
      <w:pPr>
        <w:pStyle w:val="ShadedBoxNote"/>
      </w:pPr>
      <w:r w:rsidRPr="004D69DE">
        <w:t>Note:</w:t>
      </w:r>
    </w:p>
    <w:p w14:paraId="27628C77" w14:textId="6A30F742" w:rsidR="00824558" w:rsidRPr="004D69DE" w:rsidRDefault="00824558" w:rsidP="00D0537F">
      <w:pPr>
        <w:pStyle w:val="ShadedBoxNote"/>
      </w:pPr>
      <w:r w:rsidRPr="004D69DE">
        <w:t xml:space="preserve">(a) </w:t>
      </w:r>
      <w:r w:rsidR="00D0537F">
        <w:tab/>
      </w:r>
      <w:r w:rsidRPr="004D69DE">
        <w:t xml:space="preserve">This indicator renames the 2025-26 indicator </w:t>
      </w:r>
      <w:r w:rsidR="007942D1">
        <w:t>‘</w:t>
      </w:r>
      <w:r w:rsidR="0051383F">
        <w:t>I</w:t>
      </w:r>
      <w:r w:rsidRPr="004D69DE">
        <w:t>mprove Victoria</w:t>
      </w:r>
      <w:r w:rsidR="007942D1">
        <w:t>’</w:t>
      </w:r>
      <w:r w:rsidRPr="004D69DE">
        <w:t>s native species populations and their habitat through targeted management</w:t>
      </w:r>
      <w:r w:rsidR="007942D1">
        <w:t>’</w:t>
      </w:r>
      <w:r w:rsidRPr="004D69DE">
        <w:t>. The indicator has been renamed to describe an outcome rather than an action.</w:t>
      </w:r>
    </w:p>
    <w:p w14:paraId="0AB3683B" w14:textId="77777777" w:rsidR="00824558" w:rsidRDefault="00824558">
      <w:pPr>
        <w:pStyle w:val="Heading3"/>
      </w:pPr>
      <w:r>
        <w:t>Outputs</w:t>
      </w:r>
    </w:p>
    <w:p w14:paraId="1FB25F5A" w14:textId="5C6E36F4" w:rsidR="00824558" w:rsidRDefault="00824558">
      <w:pPr>
        <w:pStyle w:val="Heading3"/>
      </w:pPr>
      <w:r>
        <w:t>Environment and Biodiversity</w:t>
      </w:r>
      <w:r>
        <w:tab/>
        <w:t>(2026-27: $</w:t>
      </w:r>
      <w:r w:rsidR="003359F7">
        <w:t>179.5</w:t>
      </w:r>
      <w:r>
        <w:t xml:space="preserve"> million)</w:t>
      </w:r>
    </w:p>
    <w:p w14:paraId="1900B0DA" w14:textId="32E11B94" w:rsidR="00824558" w:rsidRPr="006B532E" w:rsidRDefault="00824558">
      <w:pPr>
        <w:spacing w:after="120"/>
      </w:pPr>
      <w:r w:rsidRPr="00D16618">
        <w:t>This output leads the development and implementation of strategic, whole of government</w:t>
      </w:r>
      <w:r>
        <w:t>,</w:t>
      </w:r>
      <w:r w:rsidRPr="00D16618">
        <w:t xml:space="preserve"> environmental policy and delivers investment, regulatory and research functions that support Victoria</w:t>
      </w:r>
      <w:r w:rsidR="007942D1">
        <w:t>’</w:t>
      </w:r>
      <w:r w:rsidRPr="00D16618">
        <w:t>s diverse and resilient ecosystems.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9638367"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A8D54AA" w14:textId="77777777" w:rsidR="00824558" w:rsidRDefault="00824558">
            <w:r>
              <w:t>Performance measure</w:t>
            </w:r>
          </w:p>
        </w:tc>
        <w:tc>
          <w:tcPr>
            <w:tcW w:w="964" w:type="dxa"/>
          </w:tcPr>
          <w:p w14:paraId="2AF5E3D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631652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003352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61C0AA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CD102C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56210E4B"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69B4BF70" w14:textId="77777777" w:rsidR="00824558" w:rsidRPr="007D3EA5" w:rsidRDefault="00824558">
            <w:pPr>
              <w:keepNext/>
              <w:rPr>
                <w:b/>
              </w:rPr>
            </w:pPr>
            <w:r w:rsidRPr="007D3EA5">
              <w:rPr>
                <w:b/>
              </w:rPr>
              <w:t>Quantity</w:t>
            </w:r>
          </w:p>
        </w:tc>
      </w:tr>
      <w:tr w:rsidR="00824558" w14:paraId="4F50A2C3"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4D2E2E95" w14:textId="77777777" w:rsidR="00824558" w:rsidRDefault="00824558">
            <w:pPr>
              <w:keepNext/>
              <w:ind w:left="170"/>
            </w:pPr>
            <w:r>
              <w:t>Biodiversity and threatened species surveys completed on forest, fire management activities</w:t>
            </w:r>
          </w:p>
        </w:tc>
        <w:tc>
          <w:tcPr>
            <w:tcW w:w="964" w:type="dxa"/>
          </w:tcPr>
          <w:p w14:paraId="7FBDF41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54976F6"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5E659129"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797EAAE8"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0B6F7E65" w14:textId="77777777" w:rsidR="00824558" w:rsidRDefault="00824558">
            <w:pPr>
              <w:cnfStyle w:val="000000000000" w:firstRow="0" w:lastRow="0" w:firstColumn="0" w:lastColumn="0" w:oddVBand="0" w:evenVBand="0" w:oddHBand="0" w:evenHBand="0" w:firstRowFirstColumn="0" w:firstRowLastColumn="0" w:lastRowFirstColumn="0" w:lastRowLastColumn="0"/>
            </w:pPr>
            <w:r>
              <w:t>372</w:t>
            </w:r>
          </w:p>
        </w:tc>
      </w:tr>
      <w:tr w:rsidR="00824558" w14:paraId="3A6E724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380E3E9" w14:textId="6E0E5E19" w:rsidR="00824558" w:rsidRDefault="00824558">
            <w:pPr>
              <w:ind w:left="170"/>
            </w:pPr>
            <w:r>
              <w:rPr>
                <w:i/>
              </w:rPr>
              <w:t>The 2025-26 expected outcome is higher than the 2025-26 target due to high demand for biodiversity surveys, driven by DEECA</w:t>
            </w:r>
            <w:r w:rsidR="007942D1">
              <w:rPr>
                <w:i/>
              </w:rPr>
              <w:t>’</w:t>
            </w:r>
            <w:r>
              <w:rPr>
                <w:i/>
              </w:rPr>
              <w:t>s Fuel Management program.</w:t>
            </w:r>
          </w:p>
          <w:p w14:paraId="62B45003" w14:textId="7F05D65D" w:rsidR="00824558" w:rsidRDefault="00824558">
            <w:pPr>
              <w:ind w:left="170"/>
            </w:pPr>
            <w:r>
              <w:rPr>
                <w:i/>
              </w:rPr>
              <w:t xml:space="preserve">The higher 2026-27 target reflects that the greater demand for ecological surveys informing forest and fuel management operations in 2025-26 is expected to continue. This performance measure renames the 2025-26 performance measure </w:t>
            </w:r>
            <w:r w:rsidR="007942D1">
              <w:rPr>
                <w:i/>
              </w:rPr>
              <w:t>‘</w:t>
            </w:r>
            <w:r>
              <w:rPr>
                <w:i/>
              </w:rPr>
              <w:t>Biodiversity surveys completed on forest, fire management activities</w:t>
            </w:r>
            <w:r w:rsidR="007942D1">
              <w:rPr>
                <w:i/>
              </w:rPr>
              <w:t>’</w:t>
            </w:r>
            <w:r>
              <w:rPr>
                <w:i/>
              </w:rPr>
              <w:t>. This performance measure reports on the same program as the previous measure however has been amended to include threatened species mitigation.</w:t>
            </w:r>
          </w:p>
        </w:tc>
      </w:tr>
      <w:tr w:rsidR="00824558" w14:paraId="5C6B1DB7"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A232347" w14:textId="2819D3E2" w:rsidR="00824558" w:rsidRDefault="00824558">
            <w:pPr>
              <w:ind w:left="170"/>
            </w:pPr>
            <w:r>
              <w:t>Environmental volunteer hours contributing to the health of Victoria</w:t>
            </w:r>
            <w:r w:rsidR="007942D1">
              <w:t>’</w:t>
            </w:r>
            <w:r>
              <w:t>s biodiversity</w:t>
            </w:r>
          </w:p>
        </w:tc>
        <w:tc>
          <w:tcPr>
            <w:tcW w:w="964" w:type="dxa"/>
            <w:tcBorders>
              <w:bottom w:val="single" w:sz="6" w:space="0" w:color="auto"/>
            </w:tcBorders>
          </w:tcPr>
          <w:p w14:paraId="710D1C9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F0E460A" w14:textId="77777777" w:rsidR="00824558" w:rsidRDefault="00824558">
            <w:pPr>
              <w:cnfStyle w:val="000000000000" w:firstRow="0" w:lastRow="0" w:firstColumn="0" w:lastColumn="0" w:oddVBand="0" w:evenVBand="0" w:oddHBand="0" w:evenHBand="0" w:firstRowFirstColumn="0" w:firstRowLastColumn="0" w:lastRowFirstColumn="0" w:lastRowLastColumn="0"/>
            </w:pPr>
            <w:r>
              <w:t>400 000</w:t>
            </w:r>
          </w:p>
        </w:tc>
        <w:tc>
          <w:tcPr>
            <w:tcW w:w="964" w:type="dxa"/>
            <w:tcBorders>
              <w:bottom w:val="single" w:sz="6" w:space="0" w:color="auto"/>
            </w:tcBorders>
          </w:tcPr>
          <w:p w14:paraId="01A1B33F" w14:textId="77777777" w:rsidR="00824558" w:rsidRDefault="00824558">
            <w:pPr>
              <w:cnfStyle w:val="000000000000" w:firstRow="0" w:lastRow="0" w:firstColumn="0" w:lastColumn="0" w:oddVBand="0" w:evenVBand="0" w:oddHBand="0" w:evenHBand="0" w:firstRowFirstColumn="0" w:firstRowLastColumn="0" w:lastRowFirstColumn="0" w:lastRowLastColumn="0"/>
            </w:pPr>
            <w:r>
              <w:t>400 000</w:t>
            </w:r>
          </w:p>
        </w:tc>
        <w:tc>
          <w:tcPr>
            <w:tcW w:w="964" w:type="dxa"/>
            <w:tcBorders>
              <w:bottom w:val="single" w:sz="6" w:space="0" w:color="auto"/>
            </w:tcBorders>
          </w:tcPr>
          <w:p w14:paraId="3366218C" w14:textId="77777777" w:rsidR="00824558" w:rsidRDefault="00824558">
            <w:pPr>
              <w:cnfStyle w:val="000000000000" w:firstRow="0" w:lastRow="0" w:firstColumn="0" w:lastColumn="0" w:oddVBand="0" w:evenVBand="0" w:oddHBand="0" w:evenHBand="0" w:firstRowFirstColumn="0" w:firstRowLastColumn="0" w:lastRowFirstColumn="0" w:lastRowLastColumn="0"/>
            </w:pPr>
            <w:r>
              <w:t>400 000</w:t>
            </w:r>
          </w:p>
        </w:tc>
        <w:tc>
          <w:tcPr>
            <w:tcW w:w="964" w:type="dxa"/>
            <w:tcBorders>
              <w:bottom w:val="single" w:sz="6" w:space="0" w:color="auto"/>
            </w:tcBorders>
          </w:tcPr>
          <w:p w14:paraId="7021D166" w14:textId="77777777" w:rsidR="00824558" w:rsidRDefault="00824558">
            <w:pPr>
              <w:cnfStyle w:val="000000000000" w:firstRow="0" w:lastRow="0" w:firstColumn="0" w:lastColumn="0" w:oddVBand="0" w:evenVBand="0" w:oddHBand="0" w:evenHBand="0" w:firstRowFirstColumn="0" w:firstRowLastColumn="0" w:lastRowFirstColumn="0" w:lastRowLastColumn="0"/>
            </w:pPr>
            <w:r>
              <w:t>443 429</w:t>
            </w:r>
          </w:p>
        </w:tc>
      </w:tr>
      <w:tr w:rsidR="00824558" w14:paraId="0B037A5E"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45FEE0B" w14:textId="77777777" w:rsidR="00824558" w:rsidRDefault="00824558">
            <w:pPr>
              <w:keepNext/>
              <w:ind w:left="170"/>
            </w:pPr>
            <w:r>
              <w:t>Habitat restored and enhanced to benefit biodiversity and store carbon</w:t>
            </w:r>
          </w:p>
        </w:tc>
        <w:tc>
          <w:tcPr>
            <w:tcW w:w="964" w:type="dxa"/>
          </w:tcPr>
          <w:p w14:paraId="3F3BD9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shd w:val="clear" w:color="auto" w:fill="F0F0F0"/>
          </w:tcPr>
          <w:p w14:paraId="7611756D"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16D2CB57" w14:textId="77777777" w:rsidR="00824558" w:rsidRDefault="00824558">
            <w:pPr>
              <w:cnfStyle w:val="000000000000" w:firstRow="0" w:lastRow="0" w:firstColumn="0" w:lastColumn="0" w:oddVBand="0" w:evenVBand="0" w:oddHBand="0" w:evenHBand="0" w:firstRowFirstColumn="0" w:firstRowLastColumn="0" w:lastRowFirstColumn="0" w:lastRowLastColumn="0"/>
            </w:pPr>
            <w:r>
              <w:t>2 479</w:t>
            </w:r>
          </w:p>
        </w:tc>
        <w:tc>
          <w:tcPr>
            <w:tcW w:w="964" w:type="dxa"/>
          </w:tcPr>
          <w:p w14:paraId="2FCF7C15"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45D8034D" w14:textId="77777777" w:rsidR="00824558" w:rsidRDefault="00824558">
            <w:pPr>
              <w:cnfStyle w:val="000000000000" w:firstRow="0" w:lastRow="0" w:firstColumn="0" w:lastColumn="0" w:oddVBand="0" w:evenVBand="0" w:oddHBand="0" w:evenHBand="0" w:firstRowFirstColumn="0" w:firstRowLastColumn="0" w:lastRowFirstColumn="0" w:lastRowLastColumn="0"/>
            </w:pPr>
            <w:r>
              <w:t>1 786</w:t>
            </w:r>
          </w:p>
        </w:tc>
      </w:tr>
      <w:tr w:rsidR="00824558" w14:paraId="28C50ED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7A1003" w14:textId="61A694A6" w:rsidR="00824558" w:rsidRDefault="00824558">
            <w:pPr>
              <w:ind w:left="170"/>
            </w:pPr>
            <w:r>
              <w:rPr>
                <w:i/>
              </w:rPr>
              <w:t>The 2025-26 expected outcome is higher than the 2025-26 target primarily reflecting DEECA</w:t>
            </w:r>
            <w:r w:rsidR="007942D1">
              <w:rPr>
                <w:i/>
              </w:rPr>
              <w:t>’</w:t>
            </w:r>
            <w:r>
              <w:rPr>
                <w:i/>
              </w:rPr>
              <w:t>s private land delivery partner securing additional sites during the 2024 and 2025 calendar years.</w:t>
            </w:r>
          </w:p>
        </w:tc>
      </w:tr>
      <w:tr w:rsidR="00824558" w14:paraId="7B860162"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2AD74073" w14:textId="77777777" w:rsidR="00824558" w:rsidRDefault="00824558">
            <w:pPr>
              <w:keepNext/>
              <w:ind w:left="170"/>
            </w:pPr>
            <w:r>
              <w:t>New permanently protected native vegetation on private land</w:t>
            </w:r>
          </w:p>
        </w:tc>
        <w:tc>
          <w:tcPr>
            <w:tcW w:w="964" w:type="dxa"/>
          </w:tcPr>
          <w:p w14:paraId="1ED036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shd w:val="clear" w:color="auto" w:fill="F0F0F0"/>
          </w:tcPr>
          <w:p w14:paraId="34BFD621"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3E8685A2" w14:textId="77777777" w:rsidR="00824558" w:rsidRDefault="00824558">
            <w:pPr>
              <w:cnfStyle w:val="000000000000" w:firstRow="0" w:lastRow="0" w:firstColumn="0" w:lastColumn="0" w:oddVBand="0" w:evenVBand="0" w:oddHBand="0" w:evenHBand="0" w:firstRowFirstColumn="0" w:firstRowLastColumn="0" w:lastRowFirstColumn="0" w:lastRowLastColumn="0"/>
            </w:pPr>
            <w:r>
              <w:t>2 122</w:t>
            </w:r>
          </w:p>
        </w:tc>
        <w:tc>
          <w:tcPr>
            <w:tcW w:w="964" w:type="dxa"/>
          </w:tcPr>
          <w:p w14:paraId="49C162EE"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1AFD1E74" w14:textId="77777777" w:rsidR="00824558" w:rsidRDefault="00824558">
            <w:pPr>
              <w:cnfStyle w:val="000000000000" w:firstRow="0" w:lastRow="0" w:firstColumn="0" w:lastColumn="0" w:oddVBand="0" w:evenVBand="0" w:oddHBand="0" w:evenHBand="0" w:firstRowFirstColumn="0" w:firstRowLastColumn="0" w:lastRowFirstColumn="0" w:lastRowLastColumn="0"/>
            </w:pPr>
            <w:r>
              <w:t>2 706</w:t>
            </w:r>
          </w:p>
        </w:tc>
      </w:tr>
      <w:tr w:rsidR="00824558" w14:paraId="38DA9B96"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F0041C" w14:textId="77777777" w:rsidR="00824558" w:rsidRDefault="00824558">
            <w:pPr>
              <w:ind w:left="170"/>
            </w:pPr>
            <w:r>
              <w:rPr>
                <w:i/>
              </w:rPr>
              <w:t>The 2025-26 expected outcome is higher than the 2025-26 target reflecting an increase in government incentives for landholders to place conservation covenants on their properties, including through the BushBank program.</w:t>
            </w:r>
          </w:p>
        </w:tc>
      </w:tr>
      <w:tr w:rsidR="00824558" w14:paraId="54662E5A"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58F952C" w14:textId="77777777" w:rsidR="00824558" w:rsidRDefault="00824558">
            <w:pPr>
              <w:ind w:left="170"/>
            </w:pPr>
            <w:r>
              <w:lastRenderedPageBreak/>
              <w:t>On-ground action to support local environmental outcomes</w:t>
            </w:r>
          </w:p>
        </w:tc>
        <w:tc>
          <w:tcPr>
            <w:tcW w:w="964" w:type="dxa"/>
            <w:tcBorders>
              <w:bottom w:val="single" w:sz="6" w:space="0" w:color="auto"/>
            </w:tcBorders>
          </w:tcPr>
          <w:p w14:paraId="605A7DF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tcBorders>
              <w:bottom w:val="single" w:sz="6" w:space="0" w:color="auto"/>
            </w:tcBorders>
            <w:shd w:val="clear" w:color="auto" w:fill="F0F0F0"/>
          </w:tcPr>
          <w:p w14:paraId="0AA05E48" w14:textId="77777777" w:rsidR="00824558" w:rsidRDefault="00824558">
            <w:pPr>
              <w:cnfStyle w:val="000000000000" w:firstRow="0" w:lastRow="0" w:firstColumn="0" w:lastColumn="0" w:oddVBand="0" w:evenVBand="0" w:oddHBand="0" w:evenHBand="0" w:firstRowFirstColumn="0" w:firstRowLastColumn="0" w:lastRowFirstColumn="0" w:lastRowLastColumn="0"/>
            </w:pPr>
            <w:r>
              <w:t>40 000</w:t>
            </w:r>
          </w:p>
        </w:tc>
        <w:tc>
          <w:tcPr>
            <w:tcW w:w="964" w:type="dxa"/>
            <w:tcBorders>
              <w:bottom w:val="single" w:sz="6" w:space="0" w:color="auto"/>
            </w:tcBorders>
          </w:tcPr>
          <w:p w14:paraId="454D9DF0" w14:textId="77777777" w:rsidR="00824558" w:rsidRDefault="00824558">
            <w:pPr>
              <w:cnfStyle w:val="000000000000" w:firstRow="0" w:lastRow="0" w:firstColumn="0" w:lastColumn="0" w:oddVBand="0" w:evenVBand="0" w:oddHBand="0" w:evenHBand="0" w:firstRowFirstColumn="0" w:firstRowLastColumn="0" w:lastRowFirstColumn="0" w:lastRowLastColumn="0"/>
            </w:pPr>
            <w:r>
              <w:t>40 000</w:t>
            </w:r>
          </w:p>
        </w:tc>
        <w:tc>
          <w:tcPr>
            <w:tcW w:w="964" w:type="dxa"/>
            <w:tcBorders>
              <w:bottom w:val="single" w:sz="6" w:space="0" w:color="auto"/>
            </w:tcBorders>
          </w:tcPr>
          <w:p w14:paraId="4DB0D95A" w14:textId="77777777" w:rsidR="00824558" w:rsidRDefault="00824558">
            <w:pPr>
              <w:cnfStyle w:val="000000000000" w:firstRow="0" w:lastRow="0" w:firstColumn="0" w:lastColumn="0" w:oddVBand="0" w:evenVBand="0" w:oddHBand="0" w:evenHBand="0" w:firstRowFirstColumn="0" w:firstRowLastColumn="0" w:lastRowFirstColumn="0" w:lastRowLastColumn="0"/>
            </w:pPr>
            <w:r>
              <w:t>40 000</w:t>
            </w:r>
          </w:p>
        </w:tc>
        <w:tc>
          <w:tcPr>
            <w:tcW w:w="964" w:type="dxa"/>
            <w:tcBorders>
              <w:bottom w:val="single" w:sz="6" w:space="0" w:color="auto"/>
            </w:tcBorders>
          </w:tcPr>
          <w:p w14:paraId="148F3162" w14:textId="77777777" w:rsidR="00824558" w:rsidRDefault="00824558">
            <w:pPr>
              <w:cnfStyle w:val="000000000000" w:firstRow="0" w:lastRow="0" w:firstColumn="0" w:lastColumn="0" w:oddVBand="0" w:evenVBand="0" w:oddHBand="0" w:evenHBand="0" w:firstRowFirstColumn="0" w:firstRowLastColumn="0" w:lastRowFirstColumn="0" w:lastRowLastColumn="0"/>
            </w:pPr>
            <w:r>
              <w:t>40 107</w:t>
            </w:r>
          </w:p>
        </w:tc>
      </w:tr>
      <w:tr w:rsidR="00824558" w14:paraId="5C04506C"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F0D23E9" w14:textId="77777777" w:rsidR="00824558" w:rsidRDefault="00824558">
            <w:pPr>
              <w:keepNext/>
              <w:ind w:left="170"/>
            </w:pPr>
            <w:r>
              <w:t>Pest herbivore control in priority locations</w:t>
            </w:r>
          </w:p>
        </w:tc>
        <w:tc>
          <w:tcPr>
            <w:tcW w:w="964" w:type="dxa"/>
          </w:tcPr>
          <w:p w14:paraId="66278D1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shd w:val="clear" w:color="auto" w:fill="F0F0F0"/>
          </w:tcPr>
          <w:p w14:paraId="165C977B"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1 200 000</w:t>
            </w:r>
          </w:p>
        </w:tc>
        <w:tc>
          <w:tcPr>
            <w:tcW w:w="964" w:type="dxa"/>
          </w:tcPr>
          <w:p w14:paraId="792C0147" w14:textId="77777777" w:rsidR="00824558" w:rsidRDefault="00824558">
            <w:pPr>
              <w:cnfStyle w:val="000000000000" w:firstRow="0" w:lastRow="0" w:firstColumn="0" w:lastColumn="0" w:oddVBand="0" w:evenVBand="0" w:oddHBand="0" w:evenHBand="0" w:firstRowFirstColumn="0" w:firstRowLastColumn="0" w:lastRowFirstColumn="0" w:lastRowLastColumn="0"/>
            </w:pPr>
            <w:r>
              <w:t>900 000</w:t>
            </w:r>
          </w:p>
        </w:tc>
        <w:tc>
          <w:tcPr>
            <w:tcW w:w="964" w:type="dxa"/>
          </w:tcPr>
          <w:p w14:paraId="2839F875"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1 200 000</w:t>
            </w:r>
          </w:p>
        </w:tc>
        <w:tc>
          <w:tcPr>
            <w:tcW w:w="964" w:type="dxa"/>
          </w:tcPr>
          <w:p w14:paraId="52FD5720" w14:textId="77777777" w:rsidR="00824558" w:rsidRDefault="00824558">
            <w:pPr>
              <w:cnfStyle w:val="000000000000" w:firstRow="0" w:lastRow="0" w:firstColumn="0" w:lastColumn="0" w:oddVBand="0" w:evenVBand="0" w:oddHBand="0" w:evenHBand="0" w:firstRowFirstColumn="0" w:firstRowLastColumn="0" w:lastRowFirstColumn="0" w:lastRowLastColumn="0"/>
            </w:pPr>
            <w:r>
              <w:t>1 275 613</w:t>
            </w:r>
          </w:p>
        </w:tc>
      </w:tr>
      <w:tr w:rsidR="00824558" w14:paraId="65222004"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C8E2B5B" w14:textId="77777777" w:rsidR="00824558" w:rsidRDefault="00824558">
            <w:pPr>
              <w:ind w:left="170"/>
            </w:pPr>
            <w:r>
              <w:rPr>
                <w:i/>
              </w:rPr>
              <w:t>The 2025-26 expected outcome is lower than the 2025-26 target due to bushfire impacts, resulting in the deferral of some herbivore control activity to 2026-27.</w:t>
            </w:r>
          </w:p>
        </w:tc>
      </w:tr>
      <w:tr w:rsidR="00824558" w14:paraId="0749524A"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933311D" w14:textId="77777777" w:rsidR="00824558" w:rsidRDefault="00824558">
            <w:pPr>
              <w:keepNext/>
              <w:ind w:left="170"/>
            </w:pPr>
            <w:r>
              <w:t>Pest predator control in priority locations</w:t>
            </w:r>
          </w:p>
        </w:tc>
        <w:tc>
          <w:tcPr>
            <w:tcW w:w="964" w:type="dxa"/>
          </w:tcPr>
          <w:p w14:paraId="6BF0027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shd w:val="clear" w:color="auto" w:fill="F0F0F0"/>
          </w:tcPr>
          <w:p w14:paraId="719AB23E" w14:textId="77777777" w:rsidR="00824558" w:rsidRDefault="00824558">
            <w:pPr>
              <w:cnfStyle w:val="000000000000" w:firstRow="0" w:lastRow="0" w:firstColumn="0" w:lastColumn="0" w:oddVBand="0" w:evenVBand="0" w:oddHBand="0" w:evenHBand="0" w:firstRowFirstColumn="0" w:firstRowLastColumn="0" w:lastRowFirstColumn="0" w:lastRowLastColumn="0"/>
            </w:pPr>
            <w:r>
              <w:t>700 000</w:t>
            </w:r>
          </w:p>
        </w:tc>
        <w:tc>
          <w:tcPr>
            <w:tcW w:w="964" w:type="dxa"/>
          </w:tcPr>
          <w:p w14:paraId="56B4E4D7" w14:textId="77777777" w:rsidR="00824558" w:rsidRDefault="00824558">
            <w:pPr>
              <w:cnfStyle w:val="000000000000" w:firstRow="0" w:lastRow="0" w:firstColumn="0" w:lastColumn="0" w:oddVBand="0" w:evenVBand="0" w:oddHBand="0" w:evenHBand="0" w:firstRowFirstColumn="0" w:firstRowLastColumn="0" w:lastRowFirstColumn="0" w:lastRowLastColumn="0"/>
            </w:pPr>
            <w:r>
              <w:t>600 000</w:t>
            </w:r>
          </w:p>
        </w:tc>
        <w:tc>
          <w:tcPr>
            <w:tcW w:w="964" w:type="dxa"/>
          </w:tcPr>
          <w:p w14:paraId="74BBF0BB" w14:textId="77777777" w:rsidR="00824558" w:rsidRDefault="00824558">
            <w:pPr>
              <w:cnfStyle w:val="000000000000" w:firstRow="0" w:lastRow="0" w:firstColumn="0" w:lastColumn="0" w:oddVBand="0" w:evenVBand="0" w:oddHBand="0" w:evenHBand="0" w:firstRowFirstColumn="0" w:firstRowLastColumn="0" w:lastRowFirstColumn="0" w:lastRowLastColumn="0"/>
            </w:pPr>
            <w:r>
              <w:t>700 000</w:t>
            </w:r>
          </w:p>
        </w:tc>
        <w:tc>
          <w:tcPr>
            <w:tcW w:w="964" w:type="dxa"/>
          </w:tcPr>
          <w:p w14:paraId="690F33F6" w14:textId="77777777" w:rsidR="00824558" w:rsidRDefault="00824558">
            <w:pPr>
              <w:cnfStyle w:val="000000000000" w:firstRow="0" w:lastRow="0" w:firstColumn="0" w:lastColumn="0" w:oddVBand="0" w:evenVBand="0" w:oddHBand="0" w:evenHBand="0" w:firstRowFirstColumn="0" w:firstRowLastColumn="0" w:lastRowFirstColumn="0" w:lastRowLastColumn="0"/>
            </w:pPr>
            <w:r>
              <w:t>636 266</w:t>
            </w:r>
          </w:p>
        </w:tc>
      </w:tr>
      <w:tr w:rsidR="00824558" w14:paraId="05856030"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2E6A645" w14:textId="77777777" w:rsidR="00824558" w:rsidRDefault="00824558">
            <w:pPr>
              <w:ind w:left="170"/>
            </w:pPr>
            <w:r>
              <w:rPr>
                <w:i/>
              </w:rPr>
              <w:t>The 2025-26 expected outcome is lower than the 2025-26 target due to bushfire impacts.</w:t>
            </w:r>
          </w:p>
        </w:tc>
      </w:tr>
      <w:tr w:rsidR="00824558" w14:paraId="5338A5DB"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8C7D0F9" w14:textId="77777777" w:rsidR="00824558" w:rsidRDefault="00824558">
            <w:pPr>
              <w:keepNext/>
              <w:ind w:left="170"/>
            </w:pPr>
            <w:r>
              <w:t>Weed control in priority locations</w:t>
            </w:r>
          </w:p>
        </w:tc>
        <w:tc>
          <w:tcPr>
            <w:tcW w:w="964" w:type="dxa"/>
          </w:tcPr>
          <w:p w14:paraId="54A8E1D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shd w:val="clear" w:color="auto" w:fill="F0F0F0"/>
          </w:tcPr>
          <w:p w14:paraId="6DED82FF" w14:textId="77777777" w:rsidR="00824558" w:rsidRDefault="00824558">
            <w:pPr>
              <w:cnfStyle w:val="000000000000" w:firstRow="0" w:lastRow="0" w:firstColumn="0" w:lastColumn="0" w:oddVBand="0" w:evenVBand="0" w:oddHBand="0" w:evenHBand="0" w:firstRowFirstColumn="0" w:firstRowLastColumn="0" w:lastRowFirstColumn="0" w:lastRowLastColumn="0"/>
            </w:pPr>
            <w:r>
              <w:t>40 000</w:t>
            </w:r>
          </w:p>
        </w:tc>
        <w:tc>
          <w:tcPr>
            <w:tcW w:w="964" w:type="dxa"/>
          </w:tcPr>
          <w:p w14:paraId="4BC754D1" w14:textId="77777777" w:rsidR="00824558" w:rsidRDefault="00824558">
            <w:pPr>
              <w:cnfStyle w:val="000000000000" w:firstRow="0" w:lastRow="0" w:firstColumn="0" w:lastColumn="0" w:oddVBand="0" w:evenVBand="0" w:oddHBand="0" w:evenHBand="0" w:firstRowFirstColumn="0" w:firstRowLastColumn="0" w:lastRowFirstColumn="0" w:lastRowLastColumn="0"/>
            </w:pPr>
            <w:r>
              <w:t>40 000</w:t>
            </w:r>
          </w:p>
        </w:tc>
        <w:tc>
          <w:tcPr>
            <w:tcW w:w="964" w:type="dxa"/>
          </w:tcPr>
          <w:p w14:paraId="390DAA39" w14:textId="77777777" w:rsidR="00824558" w:rsidRDefault="00824558">
            <w:pPr>
              <w:cnfStyle w:val="000000000000" w:firstRow="0" w:lastRow="0" w:firstColumn="0" w:lastColumn="0" w:oddVBand="0" w:evenVBand="0" w:oddHBand="0" w:evenHBand="0" w:firstRowFirstColumn="0" w:firstRowLastColumn="0" w:lastRowFirstColumn="0" w:lastRowLastColumn="0"/>
            </w:pPr>
            <w:r>
              <w:t>50 000</w:t>
            </w:r>
          </w:p>
        </w:tc>
        <w:tc>
          <w:tcPr>
            <w:tcW w:w="964" w:type="dxa"/>
          </w:tcPr>
          <w:p w14:paraId="5C480D72" w14:textId="77777777" w:rsidR="00824558" w:rsidRDefault="00824558">
            <w:pPr>
              <w:cnfStyle w:val="000000000000" w:firstRow="0" w:lastRow="0" w:firstColumn="0" w:lastColumn="0" w:oddVBand="0" w:evenVBand="0" w:oddHBand="0" w:evenHBand="0" w:firstRowFirstColumn="0" w:firstRowLastColumn="0" w:lastRowFirstColumn="0" w:lastRowLastColumn="0"/>
            </w:pPr>
            <w:r>
              <w:t>38 803</w:t>
            </w:r>
          </w:p>
        </w:tc>
      </w:tr>
      <w:tr w:rsidR="00824558" w14:paraId="09C44663"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3F9B6D" w14:textId="77777777" w:rsidR="00824558" w:rsidRDefault="00824558">
            <w:pPr>
              <w:ind w:left="170"/>
            </w:pPr>
            <w:r>
              <w:rPr>
                <w:i/>
              </w:rPr>
              <w:t>The 2025-26 expected outcome is lower than the 2025-26 target due to bushfire impacts and the latest available modelling that resulted in changes to priority locations requiring additional planning.</w:t>
            </w:r>
          </w:p>
          <w:p w14:paraId="063A6869" w14:textId="77777777" w:rsidR="00824558" w:rsidRDefault="00824558">
            <w:pPr>
              <w:ind w:left="170"/>
            </w:pPr>
            <w:r>
              <w:rPr>
                <w:i/>
              </w:rPr>
              <w:t xml:space="preserve">The lower 2026-27 target reflects updated modelling which resulted in changes to priority locations. </w:t>
            </w:r>
          </w:p>
        </w:tc>
      </w:tr>
      <w:tr w:rsidR="00824558" w:rsidRPr="007D3EA5" w14:paraId="54C5182C"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49CCE6F5" w14:textId="77777777" w:rsidR="00824558" w:rsidRPr="007D3EA5" w:rsidRDefault="00824558">
            <w:pPr>
              <w:keepNext/>
              <w:rPr>
                <w:b/>
              </w:rPr>
            </w:pPr>
            <w:r w:rsidRPr="007D3EA5">
              <w:rPr>
                <w:b/>
              </w:rPr>
              <w:t>Quality</w:t>
            </w:r>
          </w:p>
        </w:tc>
      </w:tr>
      <w:tr w:rsidR="00824558" w14:paraId="0E2D3EF9"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83D41A7" w14:textId="24F8540A" w:rsidR="00824558" w:rsidRDefault="00824558">
            <w:pPr>
              <w:ind w:left="170"/>
            </w:pPr>
            <w:r>
              <w:t>Annual Arthur Rylah Institute (ARI) Client Survey respondents rank the level of overall satisfaction with ARI</w:t>
            </w:r>
            <w:r w:rsidR="007942D1">
              <w:t>’</w:t>
            </w:r>
            <w:r>
              <w:t>s research as good, very good or excellent</w:t>
            </w:r>
          </w:p>
        </w:tc>
        <w:tc>
          <w:tcPr>
            <w:tcW w:w="964" w:type="dxa"/>
            <w:tcBorders>
              <w:bottom w:val="single" w:sz="6" w:space="0" w:color="auto"/>
            </w:tcBorders>
          </w:tcPr>
          <w:p w14:paraId="510C6C3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49FB3C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DC08533"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DC2E04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823BD97"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0F4857EA"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8D58655" w14:textId="77777777" w:rsidR="00824558" w:rsidRDefault="00824558">
            <w:pPr>
              <w:ind w:left="170"/>
            </w:pPr>
            <w:r>
              <w:t>Presentations made and scientific publications in peer reviewed journals</w:t>
            </w:r>
          </w:p>
        </w:tc>
        <w:tc>
          <w:tcPr>
            <w:tcW w:w="964" w:type="dxa"/>
            <w:tcBorders>
              <w:bottom w:val="single" w:sz="6" w:space="0" w:color="auto"/>
            </w:tcBorders>
          </w:tcPr>
          <w:p w14:paraId="328F6DB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37071ED"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4BCF5B47"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6CED85E3"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6F364029"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r>
      <w:tr w:rsidR="00824558" w14:paraId="5FE10D4B"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5615897" w14:textId="77777777" w:rsidR="00824558" w:rsidRDefault="00824558">
            <w:pPr>
              <w:ind w:left="170"/>
            </w:pPr>
            <w:r>
              <w:t>Proportion of weed and pest animal control targeted towards priority locations</w:t>
            </w:r>
          </w:p>
        </w:tc>
        <w:tc>
          <w:tcPr>
            <w:tcW w:w="964" w:type="dxa"/>
            <w:tcBorders>
              <w:bottom w:val="single" w:sz="6" w:space="0" w:color="auto"/>
            </w:tcBorders>
          </w:tcPr>
          <w:p w14:paraId="6290759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AFD034A"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3774265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7DF0C0FB"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18285F69" w14:textId="77777777" w:rsidR="00824558" w:rsidRDefault="00824558">
            <w:pPr>
              <w:cnfStyle w:val="000000000000" w:firstRow="0" w:lastRow="0" w:firstColumn="0" w:lastColumn="0" w:oddVBand="0" w:evenVBand="0" w:oddHBand="0" w:evenHBand="0" w:firstRowFirstColumn="0" w:firstRowLastColumn="0" w:lastRowFirstColumn="0" w:lastRowLastColumn="0"/>
            </w:pPr>
            <w:r>
              <w:t>62</w:t>
            </w:r>
          </w:p>
        </w:tc>
      </w:tr>
      <w:tr w:rsidR="00824558" w14:paraId="38D607F7"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7C7E164" w14:textId="77777777" w:rsidR="00824558" w:rsidRDefault="00824558">
            <w:pPr>
              <w:ind w:left="170"/>
            </w:pPr>
            <w:r>
              <w:t>Traditional Owner groups whose Country plans, cultural values and practices are enabled by biodiversity policies and programs</w:t>
            </w:r>
          </w:p>
        </w:tc>
        <w:tc>
          <w:tcPr>
            <w:tcW w:w="964" w:type="dxa"/>
            <w:tcBorders>
              <w:bottom w:val="single" w:sz="6" w:space="0" w:color="auto"/>
            </w:tcBorders>
          </w:tcPr>
          <w:p w14:paraId="2A1EAFC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4AB8E3"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c>
          <w:tcPr>
            <w:tcW w:w="964" w:type="dxa"/>
            <w:tcBorders>
              <w:bottom w:val="single" w:sz="6" w:space="0" w:color="auto"/>
            </w:tcBorders>
          </w:tcPr>
          <w:p w14:paraId="2BA3DADF"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c>
          <w:tcPr>
            <w:tcW w:w="964" w:type="dxa"/>
            <w:tcBorders>
              <w:bottom w:val="single" w:sz="6" w:space="0" w:color="auto"/>
            </w:tcBorders>
          </w:tcPr>
          <w:p w14:paraId="481060F9"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c>
          <w:tcPr>
            <w:tcW w:w="964" w:type="dxa"/>
            <w:tcBorders>
              <w:bottom w:val="single" w:sz="6" w:space="0" w:color="auto"/>
            </w:tcBorders>
          </w:tcPr>
          <w:p w14:paraId="376500A2"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r>
      <w:tr w:rsidR="00824558" w:rsidRPr="007D3EA5" w14:paraId="3E6164EE"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05FC62A7" w14:textId="77777777" w:rsidR="00824558" w:rsidRPr="007D3EA5" w:rsidRDefault="00824558">
            <w:pPr>
              <w:keepNext/>
              <w:rPr>
                <w:b/>
              </w:rPr>
            </w:pPr>
            <w:r w:rsidRPr="007D3EA5">
              <w:rPr>
                <w:b/>
              </w:rPr>
              <w:t>Timeliness</w:t>
            </w:r>
          </w:p>
        </w:tc>
      </w:tr>
      <w:tr w:rsidR="00824558" w14:paraId="2E1ACE38"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969C425" w14:textId="77777777" w:rsidR="00824558" w:rsidRDefault="00824558">
            <w:pPr>
              <w:ind w:left="170"/>
            </w:pPr>
            <w:r>
              <w:t>Native Vegetation Credit Extracts processed within 10 days</w:t>
            </w:r>
          </w:p>
        </w:tc>
        <w:tc>
          <w:tcPr>
            <w:tcW w:w="964" w:type="dxa"/>
            <w:tcBorders>
              <w:bottom w:val="single" w:sz="6" w:space="0" w:color="auto"/>
            </w:tcBorders>
          </w:tcPr>
          <w:p w14:paraId="2996966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115F5BF"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12815690"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06E2924E"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3D13727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7FB9FBB3"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5565FA68" w14:textId="77777777" w:rsidR="00824558" w:rsidRDefault="00824558">
            <w:pPr>
              <w:keepNext/>
              <w:ind w:left="170"/>
            </w:pPr>
            <w:r>
              <w:t>Planning referrals relating to native vegetation processed within statutory timeframes</w:t>
            </w:r>
          </w:p>
        </w:tc>
        <w:tc>
          <w:tcPr>
            <w:tcW w:w="964" w:type="dxa"/>
          </w:tcPr>
          <w:p w14:paraId="44444D3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B53CE64"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292192C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8084B23"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413740B3"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14:paraId="3CC7538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F9F8B7" w14:textId="77777777" w:rsidR="00824558" w:rsidRDefault="00824558">
            <w:pPr>
              <w:ind w:left="170"/>
            </w:pPr>
            <w:r>
              <w:rPr>
                <w:i/>
              </w:rPr>
              <w:t>The 2025-26 expected outcome is higher than the 2025-26 target due to the implementation of efficiency strategies, which enabled a stronger focus on priority projects.</w:t>
            </w:r>
          </w:p>
        </w:tc>
      </w:tr>
      <w:tr w:rsidR="00824558" w14:paraId="72076B80"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45DC5415" w14:textId="77777777" w:rsidR="00824558" w:rsidRDefault="00824558">
            <w:pPr>
              <w:keepNext/>
              <w:ind w:left="170"/>
            </w:pPr>
            <w:r>
              <w:t>Wildlife Licence renewals processed by target dates</w:t>
            </w:r>
          </w:p>
        </w:tc>
        <w:tc>
          <w:tcPr>
            <w:tcW w:w="964" w:type="dxa"/>
          </w:tcPr>
          <w:p w14:paraId="3092950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26B060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ED22882"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c>
          <w:tcPr>
            <w:tcW w:w="964" w:type="dxa"/>
          </w:tcPr>
          <w:p w14:paraId="3F68DC65"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4DBDF04"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115F3CA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B3FF8B" w14:textId="77777777" w:rsidR="00824558" w:rsidRDefault="00824558">
            <w:pPr>
              <w:ind w:left="170"/>
            </w:pPr>
            <w:r>
              <w:rPr>
                <w:i/>
              </w:rPr>
              <w:t>The 2025-26 expected outcome is higher than the 2025-26 target due to the improved detection of process errors, which ensures the timely identification and resolution of issues with third-party contractors.</w:t>
            </w:r>
          </w:p>
        </w:tc>
      </w:tr>
      <w:tr w:rsidR="000C20F8" w:rsidRPr="00DC0EBC" w14:paraId="6862F99F"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DDAA7C5" w14:textId="77777777" w:rsidR="000C20F8" w:rsidRPr="00DC0EBC" w:rsidRDefault="000C20F8">
            <w:pPr>
              <w:keepNext/>
              <w:rPr>
                <w:b/>
              </w:rPr>
            </w:pPr>
            <w:r w:rsidRPr="00DC0EBC">
              <w:rPr>
                <w:b/>
              </w:rPr>
              <w:t>Cost</w:t>
            </w:r>
          </w:p>
        </w:tc>
      </w:tr>
      <w:tr w:rsidR="000C20F8" w14:paraId="288ED12A" w14:textId="77777777" w:rsidTr="003C4CC2">
        <w:tc>
          <w:tcPr>
            <w:cnfStyle w:val="001000000000" w:firstRow="0" w:lastRow="0" w:firstColumn="1" w:lastColumn="0" w:oddVBand="0" w:evenVBand="0" w:oddHBand="0" w:evenHBand="0" w:firstRowFirstColumn="0" w:firstRowLastColumn="0" w:lastRowFirstColumn="0" w:lastRowLastColumn="0"/>
            <w:tcW w:w="4819" w:type="dxa"/>
          </w:tcPr>
          <w:p w14:paraId="380F266C" w14:textId="77777777" w:rsidR="000C20F8" w:rsidRDefault="000C20F8">
            <w:pPr>
              <w:keepNext/>
              <w:ind w:left="170"/>
            </w:pPr>
            <w:r>
              <w:t>Total output cost</w:t>
            </w:r>
          </w:p>
        </w:tc>
        <w:tc>
          <w:tcPr>
            <w:tcW w:w="964" w:type="dxa"/>
          </w:tcPr>
          <w:p w14:paraId="3841D906"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512F8236" w14:textId="00215F0F" w:rsidR="000C20F8" w:rsidRPr="004D0078" w:rsidRDefault="00A51E5C">
            <w:pPr>
              <w:cnfStyle w:val="000000000000" w:firstRow="0" w:lastRow="0" w:firstColumn="0" w:lastColumn="0" w:oddVBand="0" w:evenVBand="0" w:oddHBand="0" w:evenHBand="0" w:firstRowFirstColumn="0" w:firstRowLastColumn="0" w:lastRowFirstColumn="0" w:lastRowLastColumn="0"/>
              <w:rPr>
                <w:highlight w:val="yellow"/>
              </w:rPr>
            </w:pPr>
            <w:r w:rsidRPr="00A51E5C">
              <w:t>179.5</w:t>
            </w:r>
          </w:p>
        </w:tc>
        <w:tc>
          <w:tcPr>
            <w:tcW w:w="964" w:type="dxa"/>
          </w:tcPr>
          <w:p w14:paraId="26A332F3" w14:textId="0B573AAF" w:rsidR="000C20F8" w:rsidRPr="004D0078" w:rsidRDefault="00B72A2E">
            <w:pPr>
              <w:cnfStyle w:val="000000000000" w:firstRow="0" w:lastRow="0" w:firstColumn="0" w:lastColumn="0" w:oddVBand="0" w:evenVBand="0" w:oddHBand="0" w:evenHBand="0" w:firstRowFirstColumn="0" w:firstRowLastColumn="0" w:lastRowFirstColumn="0" w:lastRowLastColumn="0"/>
              <w:rPr>
                <w:highlight w:val="yellow"/>
              </w:rPr>
            </w:pPr>
            <w:r>
              <w:t>214.8</w:t>
            </w:r>
          </w:p>
        </w:tc>
        <w:tc>
          <w:tcPr>
            <w:tcW w:w="964" w:type="dxa"/>
          </w:tcPr>
          <w:p w14:paraId="5DE66C3E" w14:textId="7140F3F9" w:rsidR="000C20F8" w:rsidRPr="004D0078" w:rsidRDefault="00656240">
            <w:pPr>
              <w:cnfStyle w:val="000000000000" w:firstRow="0" w:lastRow="0" w:firstColumn="0" w:lastColumn="0" w:oddVBand="0" w:evenVBand="0" w:oddHBand="0" w:evenHBand="0" w:firstRowFirstColumn="0" w:firstRowLastColumn="0" w:lastRowFirstColumn="0" w:lastRowLastColumn="0"/>
              <w:rPr>
                <w:highlight w:val="yellow"/>
              </w:rPr>
            </w:pPr>
            <w:r>
              <w:t>128.3</w:t>
            </w:r>
          </w:p>
        </w:tc>
        <w:tc>
          <w:tcPr>
            <w:tcW w:w="964" w:type="dxa"/>
          </w:tcPr>
          <w:p w14:paraId="6BD369CD" w14:textId="38D05E35" w:rsidR="000C20F8" w:rsidRPr="004D0078" w:rsidRDefault="003C4CC2">
            <w:pPr>
              <w:cnfStyle w:val="000000000000" w:firstRow="0" w:lastRow="0" w:firstColumn="0" w:lastColumn="0" w:oddVBand="0" w:evenVBand="0" w:oddHBand="0" w:evenHBand="0" w:firstRowFirstColumn="0" w:firstRowLastColumn="0" w:lastRowFirstColumn="0" w:lastRowLastColumn="0"/>
              <w:rPr>
                <w:highlight w:val="yellow"/>
              </w:rPr>
            </w:pPr>
            <w:r>
              <w:t>215.3</w:t>
            </w:r>
          </w:p>
        </w:tc>
      </w:tr>
      <w:tr w:rsidR="00D45296" w14:paraId="0F8975A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4B78582" w14:textId="576B92EE" w:rsidR="00D45296" w:rsidRDefault="00BA14D3" w:rsidP="00BA14D3">
            <w:pPr>
              <w:ind w:left="170"/>
            </w:pPr>
            <w:r w:rsidRPr="00BA14D3">
              <w:rPr>
                <w:i/>
              </w:rPr>
              <w:t>The 2025-26 expected outcome is higher than the 2025-26 target due to additional funding allocated from the Melbourne Strategic Assessment Trust Account for the Western Grassland Reserve and additional funding for initiatives to improve outdoor recreation activities on public land.</w:t>
            </w:r>
          </w:p>
        </w:tc>
      </w:tr>
      <w:tr w:rsidR="003C4CC2" w14:paraId="07D9388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499B59E" w14:textId="251927D9" w:rsidR="003C4CC2" w:rsidRPr="00BA14D3" w:rsidRDefault="00D45296" w:rsidP="00BA14D3">
            <w:pPr>
              <w:ind w:left="170"/>
              <w:rPr>
                <w:i/>
              </w:rPr>
            </w:pPr>
            <w:r w:rsidRPr="00BA14D3">
              <w:rPr>
                <w:i/>
              </w:rPr>
              <w:t>The higher 2026-27 target predominantly reflects additional funding allocations from the Melbourne Strategic Assessment Trust Account.</w:t>
            </w:r>
          </w:p>
        </w:tc>
      </w:tr>
    </w:tbl>
    <w:p w14:paraId="0DA6C59D" w14:textId="77777777" w:rsidR="00824558" w:rsidRDefault="00824558">
      <w:pPr>
        <w:pStyle w:val="Source"/>
      </w:pPr>
      <w:r>
        <w:t>Source: Department of Energy, Environment and Climate Action</w:t>
      </w:r>
    </w:p>
    <w:p w14:paraId="51F7BD93" w14:textId="5AF2C59C" w:rsidR="00824558" w:rsidRDefault="00824558">
      <w:pPr>
        <w:pStyle w:val="Heading3"/>
      </w:pPr>
      <w:r>
        <w:t>Statutory Activities and Environment Protection</w:t>
      </w:r>
      <w:r>
        <w:tab/>
        <w:t>(2026-27: $</w:t>
      </w:r>
      <w:r w:rsidR="008D69F9">
        <w:t xml:space="preserve">162.8 </w:t>
      </w:r>
      <w:r>
        <w:t>million)</w:t>
      </w:r>
    </w:p>
    <w:p w14:paraId="28308A51" w14:textId="77777777" w:rsidR="00824558" w:rsidRPr="006B532E" w:rsidRDefault="00824558">
      <w:pPr>
        <w:keepNext/>
        <w:spacing w:after="120"/>
      </w:pPr>
      <w:r w:rsidRPr="00216EF9">
        <w:t>This output involves protecting the environment and people by preventing and reducing harm from pollution and waste through better regulation, conducting research and gathering intelligence to inform compliance and enforcement activities, collaboration and the provision of advice. These activities support a liveable and prosperous state by leveraging good environmental performance and a shared responsibility among all Victorians to maintain clean air, water and land, and minimal disturbance from noise and odour.</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7154FD9"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9371E10" w14:textId="77777777" w:rsidR="00824558" w:rsidRDefault="00824558">
            <w:r>
              <w:t>Performance measure</w:t>
            </w:r>
          </w:p>
        </w:tc>
        <w:tc>
          <w:tcPr>
            <w:tcW w:w="964" w:type="dxa"/>
          </w:tcPr>
          <w:p w14:paraId="0289477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786AF0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4F4F4B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45BD25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1A020C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23CEB7B5"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47A51977" w14:textId="77777777" w:rsidR="00824558" w:rsidRPr="007D3EA5" w:rsidRDefault="00824558">
            <w:pPr>
              <w:keepNext/>
              <w:rPr>
                <w:b/>
              </w:rPr>
            </w:pPr>
            <w:r w:rsidRPr="007D3EA5">
              <w:rPr>
                <w:b/>
              </w:rPr>
              <w:t>Quantity</w:t>
            </w:r>
          </w:p>
        </w:tc>
      </w:tr>
      <w:tr w:rsidR="00824558" w14:paraId="224D7391"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4C6A6D8D" w14:textId="77777777" w:rsidR="00824558" w:rsidRDefault="00824558">
            <w:pPr>
              <w:keepNext/>
              <w:ind w:left="170"/>
            </w:pPr>
            <w:r>
              <w:t>Environment condition notifications provided to Victorians</w:t>
            </w:r>
          </w:p>
        </w:tc>
        <w:tc>
          <w:tcPr>
            <w:tcW w:w="964" w:type="dxa"/>
          </w:tcPr>
          <w:p w14:paraId="29F9890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50B6E7E" w14:textId="7E67EC33" w:rsidR="00824558" w:rsidRDefault="00824558">
            <w:pPr>
              <w:cnfStyle w:val="000000000000" w:firstRow="0" w:lastRow="0" w:firstColumn="0" w:lastColumn="0" w:oddVBand="0" w:evenVBand="0" w:oddHBand="0" w:evenHBand="0" w:firstRowFirstColumn="0" w:firstRowLastColumn="0" w:lastRowFirstColumn="0" w:lastRowLastColumn="0"/>
            </w:pPr>
            <w:r>
              <w:t>&gt;</w:t>
            </w:r>
            <w:r w:rsidR="00882E40">
              <w:t xml:space="preserve"> </w:t>
            </w:r>
            <w:r>
              <w:t>800</w:t>
            </w:r>
          </w:p>
        </w:tc>
        <w:tc>
          <w:tcPr>
            <w:tcW w:w="964" w:type="dxa"/>
          </w:tcPr>
          <w:p w14:paraId="029ACF83" w14:textId="77777777" w:rsidR="00824558" w:rsidRDefault="00824558">
            <w:pPr>
              <w:cnfStyle w:val="000000000000" w:firstRow="0" w:lastRow="0" w:firstColumn="0" w:lastColumn="0" w:oddVBand="0" w:evenVBand="0" w:oddHBand="0" w:evenHBand="0" w:firstRowFirstColumn="0" w:firstRowLastColumn="0" w:lastRowFirstColumn="0" w:lastRowLastColumn="0"/>
            </w:pPr>
            <w:r>
              <w:t>950</w:t>
            </w:r>
          </w:p>
        </w:tc>
        <w:tc>
          <w:tcPr>
            <w:tcW w:w="964" w:type="dxa"/>
          </w:tcPr>
          <w:p w14:paraId="0817921C" w14:textId="73DD6A3E" w:rsidR="00824558" w:rsidRDefault="00824558">
            <w:pPr>
              <w:cnfStyle w:val="000000000000" w:firstRow="0" w:lastRow="0" w:firstColumn="0" w:lastColumn="0" w:oddVBand="0" w:evenVBand="0" w:oddHBand="0" w:evenHBand="0" w:firstRowFirstColumn="0" w:firstRowLastColumn="0" w:lastRowFirstColumn="0" w:lastRowLastColumn="0"/>
            </w:pPr>
            <w:r>
              <w:t>&gt;</w:t>
            </w:r>
            <w:r w:rsidR="00882E40">
              <w:t xml:space="preserve"> </w:t>
            </w:r>
            <w:r>
              <w:t>800</w:t>
            </w:r>
          </w:p>
        </w:tc>
        <w:tc>
          <w:tcPr>
            <w:tcW w:w="964" w:type="dxa"/>
          </w:tcPr>
          <w:p w14:paraId="0B4CF486" w14:textId="77777777" w:rsidR="00824558" w:rsidRDefault="00824558">
            <w:pPr>
              <w:cnfStyle w:val="000000000000" w:firstRow="0" w:lastRow="0" w:firstColumn="0" w:lastColumn="0" w:oddVBand="0" w:evenVBand="0" w:oddHBand="0" w:evenHBand="0" w:firstRowFirstColumn="0" w:firstRowLastColumn="0" w:lastRowFirstColumn="0" w:lastRowLastColumn="0"/>
            </w:pPr>
            <w:r>
              <w:t>1 083</w:t>
            </w:r>
          </w:p>
        </w:tc>
      </w:tr>
      <w:tr w:rsidR="00824558" w14:paraId="7EC2263A"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057436B" w14:textId="77777777" w:rsidR="00824558" w:rsidRDefault="00824558">
            <w:pPr>
              <w:ind w:left="170"/>
            </w:pPr>
            <w:r>
              <w:rPr>
                <w:i/>
              </w:rPr>
              <w:t>The 2025-26 expected outcome is higher than the 2025-26 target reflecting increased notifications outside of seasonal periods.</w:t>
            </w:r>
          </w:p>
        </w:tc>
      </w:tr>
      <w:tr w:rsidR="00824558" w14:paraId="0C2FD084"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79416E69" w14:textId="77777777" w:rsidR="00824558" w:rsidRDefault="00824558">
            <w:pPr>
              <w:keepNext/>
              <w:ind w:left="170"/>
            </w:pPr>
            <w:r>
              <w:t>Total inspections of business sites or premises conducted to prevent and respond to risks of harm to human health and the environment</w:t>
            </w:r>
          </w:p>
        </w:tc>
        <w:tc>
          <w:tcPr>
            <w:tcW w:w="964" w:type="dxa"/>
          </w:tcPr>
          <w:p w14:paraId="5E35AF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94D740"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05129E00" w14:textId="77777777" w:rsidR="00824558" w:rsidRDefault="00824558">
            <w:pPr>
              <w:cnfStyle w:val="000000000000" w:firstRow="0" w:lastRow="0" w:firstColumn="0" w:lastColumn="0" w:oddVBand="0" w:evenVBand="0" w:oddHBand="0" w:evenHBand="0" w:firstRowFirstColumn="0" w:firstRowLastColumn="0" w:lastRowFirstColumn="0" w:lastRowLastColumn="0"/>
            </w:pPr>
            <w:r>
              <w:t>4 200</w:t>
            </w:r>
          </w:p>
        </w:tc>
        <w:tc>
          <w:tcPr>
            <w:tcW w:w="964" w:type="dxa"/>
          </w:tcPr>
          <w:p w14:paraId="3644211F"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6EB761CC" w14:textId="77777777" w:rsidR="00824558" w:rsidRDefault="00824558">
            <w:pPr>
              <w:cnfStyle w:val="000000000000" w:firstRow="0" w:lastRow="0" w:firstColumn="0" w:lastColumn="0" w:oddVBand="0" w:evenVBand="0" w:oddHBand="0" w:evenHBand="0" w:firstRowFirstColumn="0" w:firstRowLastColumn="0" w:lastRowFirstColumn="0" w:lastRowLastColumn="0"/>
            </w:pPr>
            <w:r>
              <w:t>4 487</w:t>
            </w:r>
          </w:p>
        </w:tc>
      </w:tr>
      <w:tr w:rsidR="00824558" w14:paraId="5485E0CF"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5EFFBE" w14:textId="77777777" w:rsidR="00824558" w:rsidRDefault="00824558">
            <w:pPr>
              <w:ind w:left="170"/>
            </w:pPr>
            <w:r>
              <w:rPr>
                <w:i/>
              </w:rPr>
              <w:t>The 2025-26 expected outcome is higher than the 2025-26 target due to normal operational variation and remains within acceptable planning tolerances.</w:t>
            </w:r>
          </w:p>
        </w:tc>
      </w:tr>
      <w:tr w:rsidR="00824558" w:rsidRPr="007D3EA5" w14:paraId="4F1F851E"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2F0E354D" w14:textId="77777777" w:rsidR="00824558" w:rsidRPr="007D3EA5" w:rsidRDefault="00824558">
            <w:pPr>
              <w:keepNext/>
              <w:rPr>
                <w:b/>
              </w:rPr>
            </w:pPr>
            <w:r w:rsidRPr="007D3EA5">
              <w:rPr>
                <w:b/>
              </w:rPr>
              <w:lastRenderedPageBreak/>
              <w:t>Quality</w:t>
            </w:r>
          </w:p>
        </w:tc>
      </w:tr>
      <w:tr w:rsidR="00824558" w14:paraId="4C7E3F00"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0742A7F1" w14:textId="77777777" w:rsidR="00824558" w:rsidRDefault="00824558">
            <w:pPr>
              <w:keepNext/>
              <w:ind w:left="170"/>
            </w:pPr>
            <w:r>
              <w:t>Victorian community trust in EPA</w:t>
            </w:r>
          </w:p>
        </w:tc>
        <w:tc>
          <w:tcPr>
            <w:tcW w:w="964" w:type="dxa"/>
          </w:tcPr>
          <w:p w14:paraId="23318C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EE56DE5"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2B5AF6E"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0F17BC25"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1C999F3A"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r>
      <w:tr w:rsidR="00824558" w14:paraId="199F6D93"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243AF0E" w14:textId="214F7825" w:rsidR="00824558" w:rsidRDefault="00824558">
            <w:pPr>
              <w:ind w:left="170"/>
            </w:pPr>
            <w:r>
              <w:rPr>
                <w:i/>
              </w:rPr>
              <w:t xml:space="preserve">The 2025-26 expected outcome is lower than the 2025-26 target, consistent with </w:t>
            </w:r>
            <w:r w:rsidR="007942D1">
              <w:rPr>
                <w:i/>
              </w:rPr>
              <w:t>‘</w:t>
            </w:r>
            <w:r>
              <w:rPr>
                <w:i/>
              </w:rPr>
              <w:t>trust</w:t>
            </w:r>
            <w:r w:rsidR="007942D1">
              <w:rPr>
                <w:i/>
              </w:rPr>
              <w:t>’</w:t>
            </w:r>
            <w:r>
              <w:rPr>
                <w:i/>
              </w:rPr>
              <w:t xml:space="preserve"> scores for similar organisations in other jurisdictions. </w:t>
            </w:r>
            <w:r w:rsidR="001213CA">
              <w:rPr>
                <w:i/>
              </w:rPr>
              <w:t xml:space="preserve">The </w:t>
            </w:r>
            <w:r w:rsidR="004B7650">
              <w:rPr>
                <w:i/>
              </w:rPr>
              <w:t>En</w:t>
            </w:r>
            <w:r w:rsidR="000F78A9">
              <w:rPr>
                <w:i/>
              </w:rPr>
              <w:t xml:space="preserve">vironmental Protection Authority </w:t>
            </w:r>
            <w:r>
              <w:rPr>
                <w:i/>
              </w:rPr>
              <w:t xml:space="preserve">Victoria </w:t>
            </w:r>
            <w:r w:rsidR="000F78A9">
              <w:rPr>
                <w:i/>
              </w:rPr>
              <w:t>(EPA)</w:t>
            </w:r>
            <w:r>
              <w:rPr>
                <w:i/>
              </w:rPr>
              <w:t xml:space="preserve"> continues to focus on building community trust through communications, engagement, visible action on major topics and focused management of ongoing issues.</w:t>
            </w:r>
          </w:p>
        </w:tc>
      </w:tr>
      <w:tr w:rsidR="00824558" w:rsidRPr="007D3EA5" w14:paraId="47633E7D"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143B70CE" w14:textId="77777777" w:rsidR="00824558" w:rsidRPr="007D3EA5" w:rsidRDefault="00824558">
            <w:pPr>
              <w:keepNext/>
              <w:rPr>
                <w:b/>
              </w:rPr>
            </w:pPr>
            <w:r w:rsidRPr="007D3EA5">
              <w:rPr>
                <w:b/>
              </w:rPr>
              <w:t>Timeliness</w:t>
            </w:r>
          </w:p>
        </w:tc>
      </w:tr>
      <w:tr w:rsidR="00824558" w14:paraId="5A6EBAC2"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5612F54" w14:textId="77777777" w:rsidR="00824558" w:rsidRDefault="00824558">
            <w:pPr>
              <w:ind w:left="170"/>
            </w:pPr>
            <w:r>
              <w:t>Applications for internal review of remedial notices completed within statutory timeframes</w:t>
            </w:r>
          </w:p>
        </w:tc>
        <w:tc>
          <w:tcPr>
            <w:tcW w:w="964" w:type="dxa"/>
            <w:tcBorders>
              <w:bottom w:val="single" w:sz="6" w:space="0" w:color="auto"/>
            </w:tcBorders>
          </w:tcPr>
          <w:p w14:paraId="3C61954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6A80CD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800BA3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EF3C4D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8D33A4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A9D6977"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4FF9B16" w14:textId="77777777" w:rsidR="00824558" w:rsidRDefault="00824558">
            <w:pPr>
              <w:keepNext/>
              <w:ind w:left="170"/>
            </w:pPr>
            <w:r>
              <w:t>Applications for licences and permits completed within statutory timelines</w:t>
            </w:r>
          </w:p>
        </w:tc>
        <w:tc>
          <w:tcPr>
            <w:tcW w:w="964" w:type="dxa"/>
          </w:tcPr>
          <w:p w14:paraId="3CED89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FBE5D7C"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515490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CA01385"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0419BE12"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r>
      <w:tr w:rsidR="00824558" w14:paraId="49CF3FBB"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3E3EB86" w14:textId="234F4B0F" w:rsidR="00824558" w:rsidRDefault="00824558">
            <w:pPr>
              <w:ind w:left="170"/>
            </w:pPr>
            <w:r>
              <w:rPr>
                <w:i/>
              </w:rPr>
              <w:t>The 2025-26 expected outcome is higher than the 2025-26 target due to a higher ratio of permits (simpler assessment for lower-risk activities) to licences (more complex and higher</w:t>
            </w:r>
            <w:r w:rsidR="001213CA">
              <w:rPr>
                <w:i/>
              </w:rPr>
              <w:t>-</w:t>
            </w:r>
            <w:r>
              <w:rPr>
                <w:i/>
              </w:rPr>
              <w:t>risk activities) and a continued focus on process and system improvement.</w:t>
            </w:r>
          </w:p>
        </w:tc>
      </w:tr>
      <w:tr w:rsidR="00824558" w14:paraId="3B8D26C5"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2ECCD0C9" w14:textId="77777777" w:rsidR="00824558" w:rsidRDefault="00824558">
            <w:pPr>
              <w:keepNext/>
              <w:ind w:left="170"/>
            </w:pPr>
            <w:r>
              <w:t>Environmental audits and preliminary risk screening assessment reports are reviewed to ensure administrative compliance with legislation and guidelines within 14 days of submission</w:t>
            </w:r>
          </w:p>
        </w:tc>
        <w:tc>
          <w:tcPr>
            <w:tcW w:w="964" w:type="dxa"/>
          </w:tcPr>
          <w:p w14:paraId="02727F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D8F01E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2484F6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B1A655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EAF0630"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14:paraId="1408C5A1"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152A69" w14:textId="77777777" w:rsidR="00824558" w:rsidRDefault="00824558">
            <w:pPr>
              <w:ind w:left="170"/>
            </w:pPr>
            <w:r>
              <w:rPr>
                <w:i/>
              </w:rPr>
              <w:t>The 2025-26 expected outcome is higher than the 2025-26 target due to ongoing prioritisation of reviews.</w:t>
            </w:r>
          </w:p>
        </w:tc>
      </w:tr>
      <w:tr w:rsidR="00824558" w14:paraId="3D502AEB"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2F926FE8" w14:textId="77777777" w:rsidR="00824558" w:rsidRDefault="00824558">
            <w:pPr>
              <w:keepNext/>
              <w:ind w:left="170"/>
            </w:pPr>
            <w:r>
              <w:t>EPA advice on planning matters is provided within required timeframes</w:t>
            </w:r>
          </w:p>
        </w:tc>
        <w:tc>
          <w:tcPr>
            <w:tcW w:w="964" w:type="dxa"/>
          </w:tcPr>
          <w:p w14:paraId="1FDBD68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FC191D8"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5004EA07"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792F139"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0B3CFA04"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r>
      <w:tr w:rsidR="00824558" w14:paraId="4626BA3F"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78B4D71" w14:textId="77777777" w:rsidR="00824558" w:rsidRDefault="00824558">
            <w:pPr>
              <w:ind w:left="170"/>
            </w:pPr>
            <w:r>
              <w:rPr>
                <w:i/>
              </w:rPr>
              <w:t>The 2025-26 expected outcome is higher than the 2025-26 target reflecting a continued focus on process and system improvement.</w:t>
            </w:r>
          </w:p>
        </w:tc>
      </w:tr>
      <w:tr w:rsidR="00824558" w14:paraId="1EB48AF4"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56C3E6B1" w14:textId="77777777" w:rsidR="00824558" w:rsidRDefault="00824558">
            <w:pPr>
              <w:keepNext/>
              <w:ind w:left="170"/>
            </w:pPr>
            <w:r>
              <w:t>EPA confirms duty holder compliance with remedial notice requirements, or escalates for further action, within 17 days of the compliance due date</w:t>
            </w:r>
          </w:p>
        </w:tc>
        <w:tc>
          <w:tcPr>
            <w:tcW w:w="964" w:type="dxa"/>
          </w:tcPr>
          <w:p w14:paraId="3475EC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AED305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865863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9DA3CA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454A7C1"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2C62E883"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F438571" w14:textId="77777777" w:rsidR="00824558" w:rsidRDefault="00824558">
            <w:pPr>
              <w:ind w:left="170"/>
            </w:pPr>
            <w:r>
              <w:rPr>
                <w:i/>
              </w:rPr>
              <w:t>The 2025-26 expected outcome is higher than the 2025-26 target due to a continued focus on process and system improvement and efforts applied to following up statutory notice compliance.</w:t>
            </w:r>
          </w:p>
        </w:tc>
      </w:tr>
      <w:tr w:rsidR="00824558" w14:paraId="4FB484C9"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97EC6B9" w14:textId="77777777" w:rsidR="00824558" w:rsidRDefault="00824558">
            <w:pPr>
              <w:keepNext/>
              <w:ind w:left="170"/>
            </w:pPr>
            <w:r>
              <w:t>EPA provides technical advice to lead agencies within required timelines during emergency incidents</w:t>
            </w:r>
          </w:p>
        </w:tc>
        <w:tc>
          <w:tcPr>
            <w:tcW w:w="964" w:type="dxa"/>
          </w:tcPr>
          <w:p w14:paraId="3F9A9EF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9D0676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B1CC5A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9D821B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39329B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2EDDFBB6"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B56E00B" w14:textId="04602040" w:rsidR="00824558" w:rsidRDefault="00824558">
            <w:pPr>
              <w:ind w:left="170"/>
            </w:pPr>
            <w:r>
              <w:rPr>
                <w:i/>
              </w:rPr>
              <w:t>The 2025-26 expected outcome is higher than the 2025-26 target reflecting EPA</w:t>
            </w:r>
            <w:r w:rsidR="007942D1">
              <w:rPr>
                <w:i/>
              </w:rPr>
              <w:t>’</w:t>
            </w:r>
            <w:r>
              <w:rPr>
                <w:i/>
              </w:rPr>
              <w:t>s continued responsiveness to calls from emergency services.</w:t>
            </w:r>
          </w:p>
        </w:tc>
      </w:tr>
      <w:tr w:rsidR="00824558" w14:paraId="6DFDDB5A"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50E364F" w14:textId="77777777" w:rsidR="00824558" w:rsidRDefault="00824558">
            <w:pPr>
              <w:keepNext/>
              <w:ind w:left="170"/>
            </w:pPr>
            <w:r>
              <w:t>EPA responds to priority waste incidents within 15 hours of notification</w:t>
            </w:r>
          </w:p>
        </w:tc>
        <w:tc>
          <w:tcPr>
            <w:tcW w:w="964" w:type="dxa"/>
          </w:tcPr>
          <w:p w14:paraId="5D46293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7A8563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0001BA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F328F5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1B0FD9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D72D11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D506CE" w14:textId="06F80E85" w:rsidR="00824558" w:rsidRDefault="00824558">
            <w:pPr>
              <w:ind w:left="170"/>
            </w:pPr>
            <w:r>
              <w:rPr>
                <w:i/>
              </w:rPr>
              <w:t>The 2025-26 expected outcome is higher than the 2025-26 target reflecting rapid response to one priority waste incident, and this level of performance is expected to remain within EPA</w:t>
            </w:r>
            <w:r w:rsidR="007942D1">
              <w:rPr>
                <w:i/>
              </w:rPr>
              <w:t>’</w:t>
            </w:r>
            <w:r>
              <w:rPr>
                <w:i/>
              </w:rPr>
              <w:t>s capability and capacity for the remainder of 2025-26.</w:t>
            </w:r>
          </w:p>
        </w:tc>
      </w:tr>
      <w:tr w:rsidR="00824558" w14:paraId="0369F2D3"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8CC71C5" w14:textId="77777777" w:rsidR="00824558" w:rsidRDefault="00824558">
            <w:pPr>
              <w:ind w:left="170"/>
            </w:pPr>
            <w:r>
              <w:t>Pollution reporters requesting follow up by EPA receive contact within five working days</w:t>
            </w:r>
          </w:p>
        </w:tc>
        <w:tc>
          <w:tcPr>
            <w:tcW w:w="964" w:type="dxa"/>
            <w:tcBorders>
              <w:top w:val="single" w:sz="6" w:space="0" w:color="auto"/>
              <w:bottom w:val="single" w:sz="6" w:space="0" w:color="auto"/>
            </w:tcBorders>
          </w:tcPr>
          <w:p w14:paraId="263543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645FAA95"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top w:val="single" w:sz="6" w:space="0" w:color="auto"/>
              <w:bottom w:val="single" w:sz="6" w:space="0" w:color="auto"/>
            </w:tcBorders>
          </w:tcPr>
          <w:p w14:paraId="451FF2A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top w:val="single" w:sz="6" w:space="0" w:color="auto"/>
              <w:bottom w:val="single" w:sz="6" w:space="0" w:color="auto"/>
            </w:tcBorders>
          </w:tcPr>
          <w:p w14:paraId="75AD4A1B"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top w:val="single" w:sz="6" w:space="0" w:color="auto"/>
              <w:bottom w:val="single" w:sz="6" w:space="0" w:color="auto"/>
            </w:tcBorders>
          </w:tcPr>
          <w:p w14:paraId="1400F2A9"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0C20F8" w:rsidRPr="00DC0EBC" w14:paraId="0DB8B7F2"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6650D37" w14:textId="77777777" w:rsidR="000C20F8" w:rsidRPr="00DC0EBC" w:rsidRDefault="000C20F8">
            <w:pPr>
              <w:keepNext/>
              <w:rPr>
                <w:b/>
              </w:rPr>
            </w:pPr>
            <w:r w:rsidRPr="00DC0EBC">
              <w:rPr>
                <w:b/>
              </w:rPr>
              <w:t>Cost</w:t>
            </w:r>
          </w:p>
        </w:tc>
      </w:tr>
      <w:tr w:rsidR="000C20F8" w14:paraId="2D06589E" w14:textId="77777777" w:rsidTr="001142E0">
        <w:tc>
          <w:tcPr>
            <w:cnfStyle w:val="001000000000" w:firstRow="0" w:lastRow="0" w:firstColumn="1" w:lastColumn="0" w:oddVBand="0" w:evenVBand="0" w:oddHBand="0" w:evenHBand="0" w:firstRowFirstColumn="0" w:firstRowLastColumn="0" w:lastRowFirstColumn="0" w:lastRowLastColumn="0"/>
            <w:tcW w:w="4819" w:type="dxa"/>
          </w:tcPr>
          <w:p w14:paraId="027584E7" w14:textId="77777777" w:rsidR="000C20F8" w:rsidRDefault="000C20F8">
            <w:pPr>
              <w:keepNext/>
              <w:ind w:left="170"/>
            </w:pPr>
            <w:r>
              <w:t>Total output cost</w:t>
            </w:r>
          </w:p>
        </w:tc>
        <w:tc>
          <w:tcPr>
            <w:tcW w:w="964" w:type="dxa"/>
          </w:tcPr>
          <w:p w14:paraId="7178380E"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2C0B5C63" w14:textId="2BA38FEA" w:rsidR="000C20F8" w:rsidRPr="004D0078" w:rsidRDefault="008A4D75">
            <w:pPr>
              <w:cnfStyle w:val="000000000000" w:firstRow="0" w:lastRow="0" w:firstColumn="0" w:lastColumn="0" w:oddVBand="0" w:evenVBand="0" w:oddHBand="0" w:evenHBand="0" w:firstRowFirstColumn="0" w:firstRowLastColumn="0" w:lastRowFirstColumn="0" w:lastRowLastColumn="0"/>
              <w:rPr>
                <w:highlight w:val="yellow"/>
              </w:rPr>
            </w:pPr>
            <w:r w:rsidRPr="008A4D75">
              <w:t>162.8</w:t>
            </w:r>
          </w:p>
        </w:tc>
        <w:tc>
          <w:tcPr>
            <w:tcW w:w="964" w:type="dxa"/>
          </w:tcPr>
          <w:p w14:paraId="4AE410B7" w14:textId="38C7AC8A" w:rsidR="000C20F8" w:rsidRPr="004D0078" w:rsidRDefault="00801C7F">
            <w:pPr>
              <w:cnfStyle w:val="000000000000" w:firstRow="0" w:lastRow="0" w:firstColumn="0" w:lastColumn="0" w:oddVBand="0" w:evenVBand="0" w:oddHBand="0" w:evenHBand="0" w:firstRowFirstColumn="0" w:firstRowLastColumn="0" w:lastRowFirstColumn="0" w:lastRowLastColumn="0"/>
              <w:rPr>
                <w:highlight w:val="yellow"/>
              </w:rPr>
            </w:pPr>
            <w:r w:rsidRPr="00801C7F">
              <w:t>182.0</w:t>
            </w:r>
          </w:p>
        </w:tc>
        <w:tc>
          <w:tcPr>
            <w:tcW w:w="964" w:type="dxa"/>
          </w:tcPr>
          <w:p w14:paraId="2A6212A6" w14:textId="759731C4" w:rsidR="000C20F8" w:rsidRPr="004D0078" w:rsidRDefault="00965CA3">
            <w:pPr>
              <w:cnfStyle w:val="000000000000" w:firstRow="0" w:lastRow="0" w:firstColumn="0" w:lastColumn="0" w:oddVBand="0" w:evenVBand="0" w:oddHBand="0" w:evenHBand="0" w:firstRowFirstColumn="0" w:firstRowLastColumn="0" w:lastRowFirstColumn="0" w:lastRowLastColumn="0"/>
              <w:rPr>
                <w:highlight w:val="yellow"/>
              </w:rPr>
            </w:pPr>
            <w:r w:rsidRPr="00965CA3">
              <w:t>158.0</w:t>
            </w:r>
          </w:p>
        </w:tc>
        <w:tc>
          <w:tcPr>
            <w:tcW w:w="964" w:type="dxa"/>
          </w:tcPr>
          <w:p w14:paraId="0F723FCD" w14:textId="6052A4CC" w:rsidR="000C20F8" w:rsidRPr="004D0078" w:rsidRDefault="001142E0">
            <w:pPr>
              <w:cnfStyle w:val="000000000000" w:firstRow="0" w:lastRow="0" w:firstColumn="0" w:lastColumn="0" w:oddVBand="0" w:evenVBand="0" w:oddHBand="0" w:evenHBand="0" w:firstRowFirstColumn="0" w:firstRowLastColumn="0" w:lastRowFirstColumn="0" w:lastRowLastColumn="0"/>
              <w:rPr>
                <w:highlight w:val="yellow"/>
              </w:rPr>
            </w:pPr>
            <w:r>
              <w:t>131.7</w:t>
            </w:r>
          </w:p>
        </w:tc>
      </w:tr>
      <w:tr w:rsidR="001142E0" w14:paraId="67E1FF3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9D1FCF4" w14:textId="63533660" w:rsidR="001142E0" w:rsidRDefault="00A52F80" w:rsidP="00A52F80">
            <w:pPr>
              <w:ind w:left="170"/>
            </w:pPr>
            <w:r w:rsidRPr="00A52F80">
              <w:rPr>
                <w:i/>
              </w:rPr>
              <w:t>The 2025-26 expected outcome is higher than the 2025-26 target due to initiatives related to sustainability and environmental protection.</w:t>
            </w:r>
          </w:p>
        </w:tc>
      </w:tr>
    </w:tbl>
    <w:p w14:paraId="12952953" w14:textId="77777777" w:rsidR="00824558" w:rsidRDefault="00824558">
      <w:pPr>
        <w:pStyle w:val="Source"/>
      </w:pPr>
      <w:r>
        <w:t>Source: Department of Energy, Environment and Climate Action</w:t>
      </w:r>
    </w:p>
    <w:p w14:paraId="7F5F101E" w14:textId="47653B0B" w:rsidR="00824558" w:rsidRDefault="00824558">
      <w:pPr>
        <w:pStyle w:val="Heading3"/>
      </w:pPr>
      <w:r>
        <w:t>Circular Economy</w:t>
      </w:r>
      <w:r>
        <w:tab/>
        <w:t>(2026-27: $</w:t>
      </w:r>
      <w:r w:rsidR="00477B65">
        <w:t>146.5</w:t>
      </w:r>
      <w:r>
        <w:t xml:space="preserve"> million)</w:t>
      </w:r>
    </w:p>
    <w:p w14:paraId="7CFA4D39" w14:textId="5C9CE60D" w:rsidR="00824558" w:rsidRPr="006B532E" w:rsidRDefault="00824558">
      <w:pPr>
        <w:keepNext/>
        <w:spacing w:after="120"/>
      </w:pPr>
      <w:r w:rsidRPr="00216EF9">
        <w:t>This output leads the development and implementation of strategic, whole of government</w:t>
      </w:r>
      <w:r>
        <w:t>,</w:t>
      </w:r>
      <w:r w:rsidRPr="00216EF9">
        <w:t xml:space="preserve"> circular economy policy, regulation and programs including leadership and oversight of waste and resource recovery services and development of partnerships across industry and the community to support Victoria</w:t>
      </w:r>
      <w:r w:rsidR="007942D1">
        <w:t>’</w:t>
      </w:r>
      <w:r w:rsidRPr="00216EF9">
        <w:t>s transition to a circular economy. This contributes to sustainable economic development and reduced environmental impacts from more productive use of resources, reduced waste, and a safe and thriving recycling industry.</w:t>
      </w:r>
      <w:r w:rsidRPr="00E12F07">
        <w:t xml:space="preserve"> </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9E990AC"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9718D80" w14:textId="77777777" w:rsidR="00824558" w:rsidRDefault="00824558">
            <w:r>
              <w:t>Performance measure</w:t>
            </w:r>
          </w:p>
        </w:tc>
        <w:tc>
          <w:tcPr>
            <w:tcW w:w="964" w:type="dxa"/>
          </w:tcPr>
          <w:p w14:paraId="044E42D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966F5B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DEC5B0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F6BBE5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3727B1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523EE514"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10601CD6" w14:textId="77777777" w:rsidR="00824558" w:rsidRPr="007D3EA5" w:rsidRDefault="00824558">
            <w:pPr>
              <w:keepNext/>
              <w:rPr>
                <w:b/>
              </w:rPr>
            </w:pPr>
            <w:r w:rsidRPr="007D3EA5">
              <w:rPr>
                <w:b/>
              </w:rPr>
              <w:t>Quantity</w:t>
            </w:r>
          </w:p>
        </w:tc>
      </w:tr>
      <w:tr w:rsidR="00824558" w14:paraId="07E53B5A"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51E717F7" w14:textId="77777777" w:rsidR="00824558" w:rsidRDefault="00824558">
            <w:pPr>
              <w:keepNext/>
              <w:ind w:left="170"/>
            </w:pPr>
            <w:r>
              <w:t>Container Deposit Scheme education visits to beverage retailers</w:t>
            </w:r>
          </w:p>
        </w:tc>
        <w:tc>
          <w:tcPr>
            <w:tcW w:w="964" w:type="dxa"/>
          </w:tcPr>
          <w:p w14:paraId="298F478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8B8F0D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69FC7BA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6200F1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6EF5D9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B04CF5F"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229D9A" w14:textId="51008AF9" w:rsidR="00824558" w:rsidRDefault="00824558">
            <w:pPr>
              <w:ind w:left="170"/>
            </w:pPr>
            <w:r>
              <w:rPr>
                <w:i/>
              </w:rPr>
              <w:t xml:space="preserve">This new performance measure replaces the discontinued measure </w:t>
            </w:r>
            <w:r w:rsidR="007942D1">
              <w:rPr>
                <w:i/>
              </w:rPr>
              <w:t>‘</w:t>
            </w:r>
            <w:r>
              <w:rPr>
                <w:i/>
              </w:rPr>
              <w:t>Container Deposit Scheme refund collection points provided to Victorians</w:t>
            </w:r>
            <w:r w:rsidR="007942D1">
              <w:rPr>
                <w:i/>
              </w:rPr>
              <w:t>’</w:t>
            </w:r>
            <w:r>
              <w:rPr>
                <w:i/>
              </w:rPr>
              <w:t xml:space="preserve">. The new measure better reflects </w:t>
            </w:r>
            <w:r w:rsidR="001843A0">
              <w:rPr>
                <w:i/>
              </w:rPr>
              <w:t>EPA</w:t>
            </w:r>
            <w:r w:rsidR="00AD4833">
              <w:rPr>
                <w:i/>
              </w:rPr>
              <w:t>’</w:t>
            </w:r>
            <w:r w:rsidR="006B2946">
              <w:rPr>
                <w:i/>
              </w:rPr>
              <w:t>s</w:t>
            </w:r>
            <w:r>
              <w:rPr>
                <w:i/>
              </w:rPr>
              <w:t xml:space="preserve"> ongoing actions, governance and oversight of the scheme.</w:t>
            </w:r>
            <w:r w:rsidR="0B18F37F" w:rsidRPr="358BD63F">
              <w:rPr>
                <w:i/>
                <w:iCs/>
              </w:rPr>
              <w:t xml:space="preserve"> </w:t>
            </w:r>
            <w:r>
              <w:rPr>
                <w:i/>
              </w:rPr>
              <w:t xml:space="preserve">The new measure better reflects </w:t>
            </w:r>
            <w:r w:rsidR="00324555">
              <w:rPr>
                <w:i/>
              </w:rPr>
              <w:t>‘</w:t>
            </w:r>
            <w:r w:rsidR="001843A0">
              <w:rPr>
                <w:i/>
              </w:rPr>
              <w:t>EPA</w:t>
            </w:r>
            <w:r w:rsidR="00AD4833">
              <w:rPr>
                <w:i/>
              </w:rPr>
              <w:t>’</w:t>
            </w:r>
            <w:r w:rsidR="006B2946">
              <w:rPr>
                <w:i/>
              </w:rPr>
              <w:t>s</w:t>
            </w:r>
            <w:r>
              <w:rPr>
                <w:i/>
              </w:rPr>
              <w:t xml:space="preserve"> ongoing actions, governance and oversight of the scheme.</w:t>
            </w:r>
          </w:p>
        </w:tc>
      </w:tr>
      <w:tr w:rsidR="00824558" w14:paraId="317D5374"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29452B9" w14:textId="77777777" w:rsidR="00824558" w:rsidRDefault="00824558">
            <w:pPr>
              <w:keepNext/>
              <w:ind w:left="170"/>
            </w:pPr>
            <w:r>
              <w:t>Proportion of Victorian households with access to organic food and garden waste recycling services</w:t>
            </w:r>
          </w:p>
        </w:tc>
        <w:tc>
          <w:tcPr>
            <w:tcW w:w="964" w:type="dxa"/>
          </w:tcPr>
          <w:p w14:paraId="5F36319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D19320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AA18EB7"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c>
          <w:tcPr>
            <w:tcW w:w="964" w:type="dxa"/>
          </w:tcPr>
          <w:p w14:paraId="72ECB73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E3E2779" w14:textId="77777777" w:rsidR="00824558" w:rsidRDefault="00824558">
            <w:pPr>
              <w:cnfStyle w:val="000000000000" w:firstRow="0" w:lastRow="0" w:firstColumn="0" w:lastColumn="0" w:oddVBand="0" w:evenVBand="0" w:oddHBand="0" w:evenHBand="0" w:firstRowFirstColumn="0" w:firstRowLastColumn="0" w:lastRowFirstColumn="0" w:lastRowLastColumn="0"/>
            </w:pPr>
            <w:r>
              <w:t>67</w:t>
            </w:r>
          </w:p>
        </w:tc>
      </w:tr>
      <w:tr w:rsidR="00824558" w14:paraId="40E205C0"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F764C7" w14:textId="77777777" w:rsidR="00824558" w:rsidRDefault="00824558">
            <w:pPr>
              <w:ind w:left="170"/>
            </w:pPr>
            <w:r>
              <w:rPr>
                <w:i/>
              </w:rPr>
              <w:t>The 2025-26 expected outcome is lower than the 2025-26 target due to delays in some local councils implementing services.</w:t>
            </w:r>
          </w:p>
        </w:tc>
      </w:tr>
      <w:tr w:rsidR="00824558" w14:paraId="6B1C576D"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3A038053" w14:textId="77777777" w:rsidR="00824558" w:rsidRDefault="00824558">
            <w:pPr>
              <w:keepNext/>
              <w:ind w:left="170"/>
            </w:pPr>
            <w:r>
              <w:lastRenderedPageBreak/>
              <w:t>Proportion of Victorian households with access to separated glass recycling services</w:t>
            </w:r>
          </w:p>
        </w:tc>
        <w:tc>
          <w:tcPr>
            <w:tcW w:w="964" w:type="dxa"/>
          </w:tcPr>
          <w:p w14:paraId="335EC75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6134B78"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3D433121"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c>
          <w:tcPr>
            <w:tcW w:w="964" w:type="dxa"/>
          </w:tcPr>
          <w:p w14:paraId="55C0A677"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5ABEF726"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r>
      <w:tr w:rsidR="00824558" w14:paraId="3AE77D15"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52DCA5" w14:textId="77777777" w:rsidR="00824558" w:rsidRDefault="00824558">
            <w:pPr>
              <w:ind w:left="170"/>
            </w:pPr>
            <w:r>
              <w:rPr>
                <w:i/>
              </w:rPr>
              <w:t>The 2025-26 expected outcome is lower than the 2025-26 target due to delays in some local councils implementing services.</w:t>
            </w:r>
          </w:p>
        </w:tc>
      </w:tr>
      <w:tr w:rsidR="00824558" w:rsidRPr="007D3EA5" w14:paraId="3B3FA4D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5DB671FB" w14:textId="77777777" w:rsidR="00824558" w:rsidRPr="007D3EA5" w:rsidRDefault="00824558">
            <w:pPr>
              <w:keepNext/>
              <w:rPr>
                <w:b/>
              </w:rPr>
            </w:pPr>
            <w:r w:rsidRPr="007D3EA5">
              <w:rPr>
                <w:b/>
              </w:rPr>
              <w:t>Quality</w:t>
            </w:r>
          </w:p>
        </w:tc>
      </w:tr>
      <w:tr w:rsidR="00824558" w14:paraId="35B5B84B"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3A3B336" w14:textId="197E5FBF" w:rsidR="00824558" w:rsidRDefault="00824558">
            <w:pPr>
              <w:keepNext/>
              <w:ind w:left="170"/>
            </w:pPr>
            <w:r>
              <w:t>Cumulative increase in the capacity of Victoria</w:t>
            </w:r>
            <w:r w:rsidR="007942D1">
              <w:t>’</w:t>
            </w:r>
            <w:r>
              <w:t>s resource recovery infrastructure</w:t>
            </w:r>
          </w:p>
        </w:tc>
        <w:tc>
          <w:tcPr>
            <w:tcW w:w="964" w:type="dxa"/>
          </w:tcPr>
          <w:p w14:paraId="0A1ECFB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tonnes</w:t>
            </w:r>
          </w:p>
        </w:tc>
        <w:tc>
          <w:tcPr>
            <w:tcW w:w="964" w:type="dxa"/>
            <w:shd w:val="clear" w:color="auto" w:fill="F0F0F0"/>
          </w:tcPr>
          <w:p w14:paraId="5B12B887" w14:textId="77777777" w:rsidR="00824558" w:rsidRDefault="00824558">
            <w:pPr>
              <w:cnfStyle w:val="000000000000" w:firstRow="0" w:lastRow="0" w:firstColumn="0" w:lastColumn="0" w:oddVBand="0" w:evenVBand="0" w:oddHBand="0" w:evenHBand="0" w:firstRowFirstColumn="0" w:firstRowLastColumn="0" w:lastRowFirstColumn="0" w:lastRowLastColumn="0"/>
            </w:pPr>
            <w:r>
              <w:t>2 600 000</w:t>
            </w:r>
          </w:p>
        </w:tc>
        <w:tc>
          <w:tcPr>
            <w:tcW w:w="964" w:type="dxa"/>
          </w:tcPr>
          <w:p w14:paraId="783DFD37" w14:textId="77777777" w:rsidR="00824558" w:rsidRDefault="00824558">
            <w:pPr>
              <w:cnfStyle w:val="000000000000" w:firstRow="0" w:lastRow="0" w:firstColumn="0" w:lastColumn="0" w:oddVBand="0" w:evenVBand="0" w:oddHBand="0" w:evenHBand="0" w:firstRowFirstColumn="0" w:firstRowLastColumn="0" w:lastRowFirstColumn="0" w:lastRowLastColumn="0"/>
            </w:pPr>
            <w:r>
              <w:t>2 350 000</w:t>
            </w:r>
          </w:p>
        </w:tc>
        <w:tc>
          <w:tcPr>
            <w:tcW w:w="964" w:type="dxa"/>
          </w:tcPr>
          <w:p w14:paraId="7D280F94" w14:textId="77777777" w:rsidR="00824558" w:rsidRDefault="00824558">
            <w:pPr>
              <w:cnfStyle w:val="000000000000" w:firstRow="0" w:lastRow="0" w:firstColumn="0" w:lastColumn="0" w:oddVBand="0" w:evenVBand="0" w:oddHBand="0" w:evenHBand="0" w:firstRowFirstColumn="0" w:firstRowLastColumn="0" w:lastRowFirstColumn="0" w:lastRowLastColumn="0"/>
            </w:pPr>
            <w:r>
              <w:t>2 400 000</w:t>
            </w:r>
          </w:p>
        </w:tc>
        <w:tc>
          <w:tcPr>
            <w:tcW w:w="964" w:type="dxa"/>
          </w:tcPr>
          <w:p w14:paraId="04EA907D" w14:textId="77777777" w:rsidR="00824558" w:rsidRDefault="00824558">
            <w:pPr>
              <w:cnfStyle w:val="000000000000" w:firstRow="0" w:lastRow="0" w:firstColumn="0" w:lastColumn="0" w:oddVBand="0" w:evenVBand="0" w:oddHBand="0" w:evenHBand="0" w:firstRowFirstColumn="0" w:firstRowLastColumn="0" w:lastRowFirstColumn="0" w:lastRowLastColumn="0"/>
            </w:pPr>
            <w:r>
              <w:t>2 165 892</w:t>
            </w:r>
          </w:p>
        </w:tc>
      </w:tr>
      <w:tr w:rsidR="00824558" w14:paraId="219D9DBA"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76BE785" w14:textId="77777777" w:rsidR="00824558" w:rsidRDefault="00824558">
            <w:pPr>
              <w:ind w:left="170"/>
            </w:pPr>
            <w:r>
              <w:rPr>
                <w:i/>
              </w:rPr>
              <w:t xml:space="preserve">The higher 2026-27 target reflects </w:t>
            </w:r>
            <w:r w:rsidRPr="009A27E3">
              <w:rPr>
                <w:i/>
              </w:rPr>
              <w:t>the cumulative impact of</w:t>
            </w:r>
            <w:r>
              <w:rPr>
                <w:i/>
              </w:rPr>
              <w:t xml:space="preserve"> activities underway to commission a large number of projects under the Industry and Infrastructure Development Package, which will increase resource recovery of kerbside materials.</w:t>
            </w:r>
          </w:p>
        </w:tc>
      </w:tr>
      <w:tr w:rsidR="000C20F8" w:rsidRPr="00DC0EBC" w14:paraId="47B7F174"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9652136" w14:textId="77777777" w:rsidR="000C20F8" w:rsidRPr="00DC0EBC" w:rsidRDefault="000C20F8">
            <w:pPr>
              <w:keepNext/>
              <w:rPr>
                <w:b/>
              </w:rPr>
            </w:pPr>
            <w:r w:rsidRPr="00DC0EBC">
              <w:rPr>
                <w:b/>
              </w:rPr>
              <w:t>Cost</w:t>
            </w:r>
          </w:p>
        </w:tc>
      </w:tr>
      <w:tr w:rsidR="000C20F8" w14:paraId="3730B44C" w14:textId="77777777" w:rsidTr="0028470A">
        <w:tc>
          <w:tcPr>
            <w:cnfStyle w:val="001000000000" w:firstRow="0" w:lastRow="0" w:firstColumn="1" w:lastColumn="0" w:oddVBand="0" w:evenVBand="0" w:oddHBand="0" w:evenHBand="0" w:firstRowFirstColumn="0" w:firstRowLastColumn="0" w:lastRowFirstColumn="0" w:lastRowLastColumn="0"/>
            <w:tcW w:w="4819" w:type="dxa"/>
          </w:tcPr>
          <w:p w14:paraId="76B6CB00" w14:textId="77777777" w:rsidR="000C20F8" w:rsidRDefault="000C20F8">
            <w:pPr>
              <w:keepNext/>
              <w:ind w:left="170"/>
            </w:pPr>
            <w:r>
              <w:t>Total output cost</w:t>
            </w:r>
          </w:p>
        </w:tc>
        <w:tc>
          <w:tcPr>
            <w:tcW w:w="964" w:type="dxa"/>
          </w:tcPr>
          <w:p w14:paraId="5D96B35D"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796BD411" w14:textId="6E6E1331" w:rsidR="000C20F8" w:rsidRPr="004D0078" w:rsidRDefault="0094376E">
            <w:pPr>
              <w:cnfStyle w:val="000000000000" w:firstRow="0" w:lastRow="0" w:firstColumn="0" w:lastColumn="0" w:oddVBand="0" w:evenVBand="0" w:oddHBand="0" w:evenHBand="0" w:firstRowFirstColumn="0" w:firstRowLastColumn="0" w:lastRowFirstColumn="0" w:lastRowLastColumn="0"/>
              <w:rPr>
                <w:highlight w:val="yellow"/>
              </w:rPr>
            </w:pPr>
            <w:r w:rsidRPr="0094376E">
              <w:t>146.5</w:t>
            </w:r>
          </w:p>
        </w:tc>
        <w:tc>
          <w:tcPr>
            <w:tcW w:w="964" w:type="dxa"/>
          </w:tcPr>
          <w:p w14:paraId="38B395D9" w14:textId="6B7FC110" w:rsidR="000C20F8" w:rsidRPr="004D0078" w:rsidRDefault="00C26239">
            <w:pPr>
              <w:cnfStyle w:val="000000000000" w:firstRow="0" w:lastRow="0" w:firstColumn="0" w:lastColumn="0" w:oddVBand="0" w:evenVBand="0" w:oddHBand="0" w:evenHBand="0" w:firstRowFirstColumn="0" w:firstRowLastColumn="0" w:lastRowFirstColumn="0" w:lastRowLastColumn="0"/>
              <w:rPr>
                <w:highlight w:val="yellow"/>
              </w:rPr>
            </w:pPr>
            <w:r w:rsidRPr="00C26239">
              <w:t>160.3</w:t>
            </w:r>
          </w:p>
        </w:tc>
        <w:tc>
          <w:tcPr>
            <w:tcW w:w="964" w:type="dxa"/>
          </w:tcPr>
          <w:p w14:paraId="5C888178" w14:textId="36D0C04C" w:rsidR="000C20F8" w:rsidRPr="004D0078" w:rsidRDefault="008A7852">
            <w:pPr>
              <w:cnfStyle w:val="000000000000" w:firstRow="0" w:lastRow="0" w:firstColumn="0" w:lastColumn="0" w:oddVBand="0" w:evenVBand="0" w:oddHBand="0" w:evenHBand="0" w:firstRowFirstColumn="0" w:firstRowLastColumn="0" w:lastRowFirstColumn="0" w:lastRowLastColumn="0"/>
              <w:rPr>
                <w:highlight w:val="yellow"/>
              </w:rPr>
            </w:pPr>
            <w:r w:rsidRPr="008A7852">
              <w:t>108.0</w:t>
            </w:r>
          </w:p>
        </w:tc>
        <w:tc>
          <w:tcPr>
            <w:tcW w:w="964" w:type="dxa"/>
          </w:tcPr>
          <w:p w14:paraId="7BDBB80D" w14:textId="507BCA68" w:rsidR="000C20F8" w:rsidRPr="004D0078" w:rsidRDefault="0028470A">
            <w:pPr>
              <w:cnfStyle w:val="000000000000" w:firstRow="0" w:lastRow="0" w:firstColumn="0" w:lastColumn="0" w:oddVBand="0" w:evenVBand="0" w:oddHBand="0" w:evenHBand="0" w:firstRowFirstColumn="0" w:firstRowLastColumn="0" w:lastRowFirstColumn="0" w:lastRowLastColumn="0"/>
              <w:rPr>
                <w:highlight w:val="yellow"/>
              </w:rPr>
            </w:pPr>
            <w:r w:rsidRPr="0028470A">
              <w:t>127.6</w:t>
            </w:r>
          </w:p>
        </w:tc>
      </w:tr>
      <w:tr w:rsidR="00697D70" w14:paraId="789D94B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3838BF8" w14:textId="6C45A5C5" w:rsidR="00697D70" w:rsidRPr="0028470A" w:rsidRDefault="00576496" w:rsidP="00576496">
            <w:pPr>
              <w:ind w:left="170"/>
            </w:pPr>
            <w:r w:rsidRPr="00576496">
              <w:rPr>
                <w:i/>
              </w:rPr>
              <w:t>The 2025-26 expected outcome is higher than the 2025-26 target</w:t>
            </w:r>
            <w:r w:rsidR="0089167C">
              <w:rPr>
                <w:i/>
              </w:rPr>
              <w:t>,</w:t>
            </w:r>
            <w:r w:rsidRPr="00576496">
              <w:rPr>
                <w:i/>
              </w:rPr>
              <w:t xml:space="preserve"> predominantly due to higher revenue from the tripartite agreements between the </w:t>
            </w:r>
            <w:r w:rsidR="0089167C">
              <w:rPr>
                <w:i/>
              </w:rPr>
              <w:t>D</w:t>
            </w:r>
            <w:r w:rsidRPr="00576496">
              <w:rPr>
                <w:i/>
              </w:rPr>
              <w:t>epartment, local councils and waste management contractors as well as additional funding allocated from the Sustainability Fund for the recycling system.</w:t>
            </w:r>
          </w:p>
        </w:tc>
      </w:tr>
      <w:tr w:rsidR="0028470A" w14:paraId="10272EB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BF5CF87" w14:textId="64A2310B" w:rsidR="0028470A" w:rsidRPr="0028470A" w:rsidRDefault="00697D70" w:rsidP="00576496">
            <w:pPr>
              <w:ind w:left="170"/>
            </w:pPr>
            <w:r w:rsidRPr="00576496">
              <w:rPr>
                <w:i/>
              </w:rPr>
              <w:t xml:space="preserve">The higher 2026-27 target predominantly reflects the higher revenue from the tripartite agreements between the </w:t>
            </w:r>
            <w:r w:rsidR="0089167C">
              <w:rPr>
                <w:i/>
              </w:rPr>
              <w:t>D</w:t>
            </w:r>
            <w:r w:rsidRPr="00576496">
              <w:rPr>
                <w:i/>
              </w:rPr>
              <w:t>epartment, local councils and waste management contractors as a result of higher amounts of organic waste generated across Victoria</w:t>
            </w:r>
            <w:r w:rsidR="0089167C">
              <w:rPr>
                <w:i/>
              </w:rPr>
              <w:t>,</w:t>
            </w:r>
            <w:r w:rsidRPr="00576496">
              <w:rPr>
                <w:i/>
              </w:rPr>
              <w:t xml:space="preserve"> as well as additional funding allocated from the Sustainability Fund for the recycling system.</w:t>
            </w:r>
          </w:p>
        </w:tc>
      </w:tr>
    </w:tbl>
    <w:p w14:paraId="36B8BC31" w14:textId="77777777" w:rsidR="00824558" w:rsidRDefault="00824558">
      <w:pPr>
        <w:pStyle w:val="Source"/>
      </w:pPr>
      <w:r>
        <w:t>Source: Department of Energy, Environment and Climate Action</w:t>
      </w:r>
    </w:p>
    <w:p w14:paraId="656DD9CB" w14:textId="77777777" w:rsidR="001D0FF8" w:rsidRDefault="001D0FF8" w:rsidP="001D0FF8"/>
    <w:p w14:paraId="6818728C" w14:textId="77777777" w:rsidR="00824558" w:rsidRPr="00E12F07" w:rsidRDefault="00824558" w:rsidP="001D0FF8">
      <w:pPr>
        <w:pStyle w:val="ShadedBoxHeading"/>
        <w:rPr>
          <w:rFonts w:ascii="Calibri" w:eastAsia="Garamond" w:hAnsi="Calibri" w:cs="Times New Roman"/>
          <w:b w:val="0"/>
        </w:rPr>
      </w:pPr>
      <w:r w:rsidRPr="00E12F07">
        <w:t>Objective 7: Productive and effective land management</w:t>
      </w:r>
    </w:p>
    <w:p w14:paraId="0CEF6165" w14:textId="4D5F0975" w:rsidR="00824558" w:rsidRPr="00E12F07" w:rsidRDefault="00824558">
      <w:pPr>
        <w:pStyle w:val="ShadedBoxText"/>
      </w:pPr>
      <w:r w:rsidRPr="00E12F07">
        <w:t>This objective delivers effective management and governance of Victoria</w:t>
      </w:r>
      <w:r w:rsidR="007942D1">
        <w:t>’</w:t>
      </w:r>
      <w:r w:rsidRPr="00E12F07">
        <w:t xml:space="preserve">s public land to protect its social, economic and environmental values and maximise its use by all Victorians. </w:t>
      </w:r>
    </w:p>
    <w:p w14:paraId="56780ED2" w14:textId="77777777" w:rsidR="00824558" w:rsidRPr="00E12F07" w:rsidRDefault="00824558">
      <w:pPr>
        <w:pStyle w:val="ShadedBoxText"/>
      </w:pPr>
      <w:r w:rsidRPr="00E12F07">
        <w:t xml:space="preserve">The Department works with statutory agencies, committees of management, local governments and Traditional Owners to ensure that land is productive and is used in a sustainable manner; infrastructure on public land and in coastal environments is appropriate and well managed, the condition of marine, coastal and estuarine environments is protected, maintained and improved, and key biodiversity assets, priority habitats and ecological processes are healthy and secure. </w:t>
      </w:r>
    </w:p>
    <w:p w14:paraId="56DD71CB" w14:textId="77777777" w:rsidR="00824558" w:rsidRPr="00E12F07" w:rsidRDefault="00824558" w:rsidP="00BE08F1">
      <w:pPr>
        <w:pStyle w:val="ShadedBoxBullet"/>
        <w:numPr>
          <w:ilvl w:val="0"/>
          <w:numId w:val="0"/>
        </w:numPr>
        <w:ind w:left="340" w:hanging="340"/>
      </w:pPr>
      <w:r w:rsidRPr="00E12F07">
        <w:t>The departmental objective indicators are:</w:t>
      </w:r>
    </w:p>
    <w:p w14:paraId="08635AFB" w14:textId="77777777" w:rsidR="00824558" w:rsidRPr="00711044" w:rsidRDefault="00824558" w:rsidP="00BE08F1">
      <w:pPr>
        <w:pStyle w:val="ShadedBoxBullet"/>
        <w:rPr>
          <w:rFonts w:cstheme="minorBidi"/>
          <w:kern w:val="2"/>
          <w:szCs w:val="20"/>
          <w14:ligatures w14:val="standardContextual"/>
        </w:rPr>
      </w:pPr>
      <w:r w:rsidRPr="00711044">
        <w:rPr>
          <w:rFonts w:cstheme="minorBidi"/>
          <w:kern w:val="2"/>
          <w:szCs w:val="20"/>
          <w14:ligatures w14:val="standardContextual"/>
        </w:rPr>
        <w:t>level of park visitor satisfaction across the Parks Victoria estate</w:t>
      </w:r>
    </w:p>
    <w:p w14:paraId="66A607AD" w14:textId="77777777" w:rsidR="00824558" w:rsidRPr="00711044" w:rsidRDefault="00824558" w:rsidP="00BE08F1">
      <w:pPr>
        <w:pStyle w:val="ShadedBoxBullet"/>
        <w:rPr>
          <w:rFonts w:cstheme="minorBidi"/>
          <w:kern w:val="2"/>
          <w:szCs w:val="20"/>
          <w14:ligatures w14:val="standardContextual"/>
        </w:rPr>
      </w:pPr>
      <w:r w:rsidRPr="00711044">
        <w:rPr>
          <w:rFonts w:cstheme="minorBidi"/>
          <w:kern w:val="2"/>
          <w:szCs w:val="20"/>
          <w14:ligatures w14:val="standardContextual"/>
        </w:rPr>
        <w:t>bay and park assets rated in average to excellent condition</w:t>
      </w:r>
    </w:p>
    <w:p w14:paraId="0A817668" w14:textId="168E3CAE" w:rsidR="00824558" w:rsidRPr="00711044" w:rsidRDefault="00824558" w:rsidP="00BE08F1">
      <w:pPr>
        <w:pStyle w:val="ShadedBoxBullet"/>
        <w:rPr>
          <w:rFonts w:cstheme="minorBidi"/>
          <w:kern w:val="2"/>
          <w:szCs w:val="20"/>
          <w14:ligatures w14:val="standardContextual"/>
        </w:rPr>
      </w:pPr>
      <w:r w:rsidRPr="00711044">
        <w:rPr>
          <w:rFonts w:cstheme="minorBidi"/>
          <w:kern w:val="2"/>
          <w:szCs w:val="20"/>
          <w14:ligatures w14:val="standardContextual"/>
        </w:rPr>
        <w:t>Traditional Owner satisfaction with DEECA</w:t>
      </w:r>
      <w:r w:rsidR="007942D1">
        <w:rPr>
          <w:rFonts w:cstheme="minorBidi"/>
          <w:kern w:val="2"/>
          <w:szCs w:val="20"/>
          <w14:ligatures w14:val="standardContextual"/>
        </w:rPr>
        <w:t>’</w:t>
      </w:r>
      <w:r w:rsidRPr="00711044">
        <w:rPr>
          <w:rFonts w:cstheme="minorBidi"/>
          <w:kern w:val="2"/>
          <w:szCs w:val="20"/>
          <w14:ligatures w14:val="standardContextual"/>
        </w:rPr>
        <w:t>s progress in enabling self-determination.</w:t>
      </w:r>
    </w:p>
    <w:p w14:paraId="23A81F3E" w14:textId="77777777" w:rsidR="00824558" w:rsidRDefault="00824558">
      <w:pPr>
        <w:pStyle w:val="Heading3"/>
      </w:pPr>
      <w:r>
        <w:t>Outputs</w:t>
      </w:r>
    </w:p>
    <w:p w14:paraId="03C34E7E" w14:textId="46A8B18E" w:rsidR="00824558" w:rsidRDefault="00824558">
      <w:pPr>
        <w:pStyle w:val="Heading3"/>
      </w:pPr>
      <w:r>
        <w:t>Management of Public Land and Forests</w:t>
      </w:r>
      <w:r>
        <w:tab/>
        <w:t>(2026-27: $</w:t>
      </w:r>
      <w:r w:rsidR="00554B2C">
        <w:t>380.9</w:t>
      </w:r>
      <w:r>
        <w:t xml:space="preserve"> million)</w:t>
      </w:r>
    </w:p>
    <w:p w14:paraId="76A6D764" w14:textId="3760672D" w:rsidR="00824558" w:rsidRPr="00711044" w:rsidRDefault="00824558">
      <w:pPr>
        <w:keepNext/>
        <w:spacing w:after="120"/>
      </w:pPr>
      <w:r w:rsidRPr="00E12F07">
        <w:t>This output provides for the improved stewardship of Victoria</w:t>
      </w:r>
      <w:r w:rsidR="007942D1">
        <w:t>’</w:t>
      </w:r>
      <w:r w:rsidRPr="00E12F07">
        <w:t>s forests, coasts and Crown land reserves. Through this output, the Department manages the natural, built and historic assets on public land responsibly, and incorporates management of public land in partnership with statutory agencies, committees of management and local government.</w:t>
      </w:r>
      <w:r w:rsidRPr="00FD3DDC">
        <w:t xml:space="preserve"> </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4075376"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9A20A31" w14:textId="77777777" w:rsidR="00824558" w:rsidRDefault="00824558">
            <w:r>
              <w:t>Performance measure</w:t>
            </w:r>
          </w:p>
        </w:tc>
        <w:tc>
          <w:tcPr>
            <w:tcW w:w="964" w:type="dxa"/>
          </w:tcPr>
          <w:p w14:paraId="586DE52C"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AFDAE1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10B76E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FDE372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AF6402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0937C9CE"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78199A0D" w14:textId="77777777" w:rsidR="00824558" w:rsidRPr="007D3EA5" w:rsidRDefault="00824558">
            <w:pPr>
              <w:keepNext/>
              <w:rPr>
                <w:b/>
              </w:rPr>
            </w:pPr>
            <w:r w:rsidRPr="007D3EA5">
              <w:rPr>
                <w:b/>
              </w:rPr>
              <w:t>Quantity</w:t>
            </w:r>
          </w:p>
        </w:tc>
      </w:tr>
      <w:tr w:rsidR="00824558" w14:paraId="1D9551D7"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4598A9" w14:textId="77777777" w:rsidR="00824558" w:rsidRDefault="00824558">
            <w:pPr>
              <w:ind w:left="170"/>
            </w:pPr>
            <w:r>
              <w:t>Annual visitation to Zoos Victoria</w:t>
            </w:r>
          </w:p>
        </w:tc>
        <w:tc>
          <w:tcPr>
            <w:tcW w:w="964" w:type="dxa"/>
            <w:tcBorders>
              <w:bottom w:val="single" w:sz="6" w:space="0" w:color="auto"/>
            </w:tcBorders>
          </w:tcPr>
          <w:p w14:paraId="54FE676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tcBorders>
              <w:bottom w:val="single" w:sz="6" w:space="0" w:color="auto"/>
            </w:tcBorders>
            <w:shd w:val="clear" w:color="auto" w:fill="F0F0F0"/>
          </w:tcPr>
          <w:p w14:paraId="3ED1DCB8"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140D53D1" w14:textId="77777777" w:rsidR="00824558" w:rsidRDefault="00824558">
            <w:pPr>
              <w:cnfStyle w:val="000000000000" w:firstRow="0" w:lastRow="0" w:firstColumn="0" w:lastColumn="0" w:oddVBand="0" w:evenVBand="0" w:oddHBand="0" w:evenHBand="0" w:firstRowFirstColumn="0" w:firstRowLastColumn="0" w:lastRowFirstColumn="0" w:lastRowLastColumn="0"/>
            </w:pPr>
            <w:r>
              <w:t>2.9</w:t>
            </w:r>
          </w:p>
        </w:tc>
        <w:tc>
          <w:tcPr>
            <w:tcW w:w="964" w:type="dxa"/>
            <w:tcBorders>
              <w:bottom w:val="single" w:sz="6" w:space="0" w:color="auto"/>
            </w:tcBorders>
          </w:tcPr>
          <w:p w14:paraId="5E552BA7"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04787E63"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r>
      <w:tr w:rsidR="00824558" w14:paraId="0E2EEDF6"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04716F97" w14:textId="77777777" w:rsidR="00824558" w:rsidRDefault="00824558">
            <w:pPr>
              <w:keepNext/>
              <w:ind w:left="170"/>
            </w:pPr>
            <w:r>
              <w:t>Local parks, playgrounds and dog parks completed</w:t>
            </w:r>
          </w:p>
        </w:tc>
        <w:tc>
          <w:tcPr>
            <w:tcW w:w="964" w:type="dxa"/>
          </w:tcPr>
          <w:p w14:paraId="0ED296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FD5174C" w14:textId="77777777" w:rsidR="00824558" w:rsidRDefault="00824558">
            <w:pPr>
              <w:cnfStyle w:val="000000000000" w:firstRow="0" w:lastRow="0" w:firstColumn="0" w:lastColumn="0" w:oddVBand="0" w:evenVBand="0" w:oddHBand="0" w:evenHBand="0" w:firstRowFirstColumn="0" w:firstRowLastColumn="0" w:lastRowFirstColumn="0" w:lastRowLastColumn="0"/>
            </w:pPr>
            <w:r>
              <w:t>34</w:t>
            </w:r>
          </w:p>
        </w:tc>
        <w:tc>
          <w:tcPr>
            <w:tcW w:w="964" w:type="dxa"/>
          </w:tcPr>
          <w:p w14:paraId="6CEB8CC2" w14:textId="77777777" w:rsidR="00824558" w:rsidRDefault="0082455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2383D9A0" w14:textId="77777777" w:rsidR="00824558" w:rsidRDefault="0082455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14409F6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70DE667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6B9FCE" w14:textId="77777777" w:rsidR="00824558" w:rsidRDefault="00824558">
            <w:pPr>
              <w:ind w:left="170"/>
            </w:pPr>
            <w:r>
              <w:rPr>
                <w:i/>
              </w:rPr>
              <w:t>The higher 2026-27 target reflects the number of projects expected to be completed under the program in 2026-27.</w:t>
            </w:r>
          </w:p>
        </w:tc>
      </w:tr>
      <w:tr w:rsidR="00824558" w14:paraId="24856FAC"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F0DF21F" w14:textId="77777777" w:rsidR="00824558" w:rsidRDefault="00824558">
            <w:pPr>
              <w:keepNext/>
              <w:ind w:left="170"/>
            </w:pPr>
            <w:r>
              <w:t>Major regulatory education and engagement activities delivered to regulated entities and the Victorian community, to support compliance with environmental laws</w:t>
            </w:r>
          </w:p>
        </w:tc>
        <w:tc>
          <w:tcPr>
            <w:tcW w:w="964" w:type="dxa"/>
          </w:tcPr>
          <w:p w14:paraId="750E51B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1620478"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6852368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503999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627EB9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33F985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19EA55" w14:textId="59951913" w:rsidR="00824558" w:rsidRDefault="00824558">
            <w:pPr>
              <w:ind w:left="170"/>
            </w:pPr>
            <w:r>
              <w:rPr>
                <w:i/>
              </w:rPr>
              <w:t>New performance measure for 2026-27 to demonstrate the Conservation Regulator</w:t>
            </w:r>
            <w:r w:rsidR="007942D1">
              <w:rPr>
                <w:i/>
              </w:rPr>
              <w:t>’</w:t>
            </w:r>
            <w:r>
              <w:rPr>
                <w:i/>
              </w:rPr>
              <w:t>s administration of environmental regulations by improving awareness of environmental laws to increase voluntary compliance.</w:t>
            </w:r>
          </w:p>
        </w:tc>
      </w:tr>
      <w:tr w:rsidR="00824558" w14:paraId="6786EFAA"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29C43D2A" w14:textId="77777777" w:rsidR="00824558" w:rsidRDefault="00824558">
            <w:pPr>
              <w:keepNext/>
              <w:ind w:left="170"/>
            </w:pPr>
            <w:r>
              <w:lastRenderedPageBreak/>
              <w:t>Participants in Coastcare activities</w:t>
            </w:r>
          </w:p>
        </w:tc>
        <w:tc>
          <w:tcPr>
            <w:tcW w:w="964" w:type="dxa"/>
          </w:tcPr>
          <w:p w14:paraId="686B3BE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4E5662D"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7 500</w:t>
            </w:r>
          </w:p>
        </w:tc>
        <w:tc>
          <w:tcPr>
            <w:tcW w:w="964" w:type="dxa"/>
          </w:tcPr>
          <w:p w14:paraId="1F8DD013" w14:textId="77777777" w:rsidR="00824558" w:rsidRDefault="00824558">
            <w:pPr>
              <w:cnfStyle w:val="000000000000" w:firstRow="0" w:lastRow="0" w:firstColumn="0" w:lastColumn="0" w:oddVBand="0" w:evenVBand="0" w:oddHBand="0" w:evenHBand="0" w:firstRowFirstColumn="0" w:firstRowLastColumn="0" w:lastRowFirstColumn="0" w:lastRowLastColumn="0"/>
            </w:pPr>
            <w:r>
              <w:t>8 000</w:t>
            </w:r>
          </w:p>
        </w:tc>
        <w:tc>
          <w:tcPr>
            <w:tcW w:w="964" w:type="dxa"/>
          </w:tcPr>
          <w:p w14:paraId="1E7428F8"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7 500</w:t>
            </w:r>
          </w:p>
        </w:tc>
        <w:tc>
          <w:tcPr>
            <w:tcW w:w="964" w:type="dxa"/>
          </w:tcPr>
          <w:p w14:paraId="6954712E" w14:textId="77777777" w:rsidR="00824558" w:rsidRDefault="00824558">
            <w:pPr>
              <w:cnfStyle w:val="000000000000" w:firstRow="0" w:lastRow="0" w:firstColumn="0" w:lastColumn="0" w:oddVBand="0" w:evenVBand="0" w:oddHBand="0" w:evenHBand="0" w:firstRowFirstColumn="0" w:firstRowLastColumn="0" w:lastRowFirstColumn="0" w:lastRowLastColumn="0"/>
            </w:pPr>
            <w:r>
              <w:t>8 116</w:t>
            </w:r>
          </w:p>
        </w:tc>
      </w:tr>
      <w:tr w:rsidR="00824558" w14:paraId="62B7D6E1"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A5338F" w14:textId="77777777" w:rsidR="00824558" w:rsidRDefault="00824558">
            <w:pPr>
              <w:ind w:left="170"/>
            </w:pPr>
            <w:r>
              <w:rPr>
                <w:i/>
              </w:rPr>
              <w:t>The 2025-26 expected outcome is higher than the 2025-26 target due to higher-than-expected event participation and expanded Schools Kit delivery, including student sessions and teacher professional development.</w:t>
            </w:r>
          </w:p>
        </w:tc>
      </w:tr>
      <w:tr w:rsidR="00824558" w14:paraId="15716DAD"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1BB5F16" w14:textId="77777777" w:rsidR="00824558" w:rsidRDefault="00824558">
            <w:pPr>
              <w:ind w:left="170"/>
            </w:pPr>
            <w:r>
              <w:t>Specimens curated in the State Botanical Collection</w:t>
            </w:r>
          </w:p>
        </w:tc>
        <w:tc>
          <w:tcPr>
            <w:tcW w:w="964" w:type="dxa"/>
            <w:tcBorders>
              <w:bottom w:val="single" w:sz="6" w:space="0" w:color="auto"/>
            </w:tcBorders>
          </w:tcPr>
          <w:p w14:paraId="4C3BB7A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A01EB72" w14:textId="77777777" w:rsidR="00824558" w:rsidRDefault="00824558">
            <w:pPr>
              <w:cnfStyle w:val="000000000000" w:firstRow="0" w:lastRow="0" w:firstColumn="0" w:lastColumn="0" w:oddVBand="0" w:evenVBand="0" w:oddHBand="0" w:evenHBand="0" w:firstRowFirstColumn="0" w:firstRowLastColumn="0" w:lastRowFirstColumn="0" w:lastRowLastColumn="0"/>
            </w:pPr>
            <w:r>
              <w:t>27 000</w:t>
            </w:r>
          </w:p>
        </w:tc>
        <w:tc>
          <w:tcPr>
            <w:tcW w:w="964" w:type="dxa"/>
            <w:tcBorders>
              <w:bottom w:val="single" w:sz="6" w:space="0" w:color="auto"/>
            </w:tcBorders>
          </w:tcPr>
          <w:p w14:paraId="26B24377" w14:textId="77777777" w:rsidR="00824558" w:rsidRDefault="00824558">
            <w:pPr>
              <w:cnfStyle w:val="000000000000" w:firstRow="0" w:lastRow="0" w:firstColumn="0" w:lastColumn="0" w:oddVBand="0" w:evenVBand="0" w:oddHBand="0" w:evenHBand="0" w:firstRowFirstColumn="0" w:firstRowLastColumn="0" w:lastRowFirstColumn="0" w:lastRowLastColumn="0"/>
            </w:pPr>
            <w:r>
              <w:t>25 700</w:t>
            </w:r>
          </w:p>
        </w:tc>
        <w:tc>
          <w:tcPr>
            <w:tcW w:w="964" w:type="dxa"/>
            <w:tcBorders>
              <w:bottom w:val="single" w:sz="6" w:space="0" w:color="auto"/>
            </w:tcBorders>
          </w:tcPr>
          <w:p w14:paraId="1FD2F7E9" w14:textId="77777777" w:rsidR="00824558" w:rsidRDefault="00824558">
            <w:pPr>
              <w:cnfStyle w:val="000000000000" w:firstRow="0" w:lastRow="0" w:firstColumn="0" w:lastColumn="0" w:oddVBand="0" w:evenVBand="0" w:oddHBand="0" w:evenHBand="0" w:firstRowFirstColumn="0" w:firstRowLastColumn="0" w:lastRowFirstColumn="0" w:lastRowLastColumn="0"/>
            </w:pPr>
            <w:r>
              <w:t>27 000</w:t>
            </w:r>
          </w:p>
        </w:tc>
        <w:tc>
          <w:tcPr>
            <w:tcW w:w="964" w:type="dxa"/>
            <w:tcBorders>
              <w:bottom w:val="single" w:sz="6" w:space="0" w:color="auto"/>
            </w:tcBorders>
          </w:tcPr>
          <w:p w14:paraId="7B7D6AA6" w14:textId="77777777" w:rsidR="00824558" w:rsidRDefault="00824558">
            <w:pPr>
              <w:cnfStyle w:val="000000000000" w:firstRow="0" w:lastRow="0" w:firstColumn="0" w:lastColumn="0" w:oddVBand="0" w:evenVBand="0" w:oddHBand="0" w:evenHBand="0" w:firstRowFirstColumn="0" w:firstRowLastColumn="0" w:lastRowFirstColumn="0" w:lastRowLastColumn="0"/>
            </w:pPr>
            <w:r>
              <w:t>24 779</w:t>
            </w:r>
          </w:p>
        </w:tc>
      </w:tr>
      <w:tr w:rsidR="00824558" w14:paraId="5CC3059C"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3B8933A1" w14:textId="77777777" w:rsidR="00824558" w:rsidRPr="00416F7B" w:rsidRDefault="00824558">
            <w:pPr>
              <w:keepNext/>
              <w:ind w:left="170"/>
            </w:pPr>
            <w:r w:rsidRPr="00416F7B">
              <w:t>Strategic compliance and enforcement operations completed by the Conservation Regulator</w:t>
            </w:r>
          </w:p>
        </w:tc>
        <w:tc>
          <w:tcPr>
            <w:tcW w:w="964" w:type="dxa"/>
          </w:tcPr>
          <w:p w14:paraId="198E80A8" w14:textId="77777777" w:rsidR="00824558" w:rsidRPr="00416F7B" w:rsidRDefault="00824558">
            <w:pPr>
              <w:jc w:val="center"/>
              <w:cnfStyle w:val="000000000000" w:firstRow="0" w:lastRow="0" w:firstColumn="0" w:lastColumn="0" w:oddVBand="0" w:evenVBand="0" w:oddHBand="0" w:evenHBand="0" w:firstRowFirstColumn="0" w:firstRowLastColumn="0" w:lastRowFirstColumn="0" w:lastRowLastColumn="0"/>
            </w:pPr>
            <w:r w:rsidRPr="00416F7B">
              <w:t>number</w:t>
            </w:r>
          </w:p>
        </w:tc>
        <w:tc>
          <w:tcPr>
            <w:tcW w:w="964" w:type="dxa"/>
            <w:shd w:val="clear" w:color="auto" w:fill="F0F0F0"/>
          </w:tcPr>
          <w:p w14:paraId="0AEA665B" w14:textId="77777777" w:rsidR="00824558" w:rsidRPr="00416F7B" w:rsidRDefault="00824558">
            <w:pPr>
              <w:cnfStyle w:val="000000000000" w:firstRow="0" w:lastRow="0" w:firstColumn="0" w:lastColumn="0" w:oddVBand="0" w:evenVBand="0" w:oddHBand="0" w:evenHBand="0" w:firstRowFirstColumn="0" w:firstRowLastColumn="0" w:lastRowFirstColumn="0" w:lastRowLastColumn="0"/>
            </w:pPr>
            <w:r w:rsidRPr="00416F7B">
              <w:t>5</w:t>
            </w:r>
          </w:p>
        </w:tc>
        <w:tc>
          <w:tcPr>
            <w:tcW w:w="964" w:type="dxa"/>
          </w:tcPr>
          <w:p w14:paraId="5D6562CF" w14:textId="77777777" w:rsidR="00824558" w:rsidRPr="00416F7B" w:rsidRDefault="00824558">
            <w:pPr>
              <w:cnfStyle w:val="000000000000" w:firstRow="0" w:lastRow="0" w:firstColumn="0" w:lastColumn="0" w:oddVBand="0" w:evenVBand="0" w:oddHBand="0" w:evenHBand="0" w:firstRowFirstColumn="0" w:firstRowLastColumn="0" w:lastRowFirstColumn="0" w:lastRowLastColumn="0"/>
            </w:pPr>
            <w:r w:rsidRPr="00416F7B">
              <w:t>5</w:t>
            </w:r>
          </w:p>
        </w:tc>
        <w:tc>
          <w:tcPr>
            <w:tcW w:w="964" w:type="dxa"/>
          </w:tcPr>
          <w:p w14:paraId="158C906B" w14:textId="77777777" w:rsidR="00824558" w:rsidRPr="00416F7B" w:rsidRDefault="00824558">
            <w:pPr>
              <w:cnfStyle w:val="000000000000" w:firstRow="0" w:lastRow="0" w:firstColumn="0" w:lastColumn="0" w:oddVBand="0" w:evenVBand="0" w:oddHBand="0" w:evenHBand="0" w:firstRowFirstColumn="0" w:firstRowLastColumn="0" w:lastRowFirstColumn="0" w:lastRowLastColumn="0"/>
            </w:pPr>
            <w:r w:rsidRPr="00416F7B">
              <w:t>5</w:t>
            </w:r>
          </w:p>
        </w:tc>
        <w:tc>
          <w:tcPr>
            <w:tcW w:w="964" w:type="dxa"/>
          </w:tcPr>
          <w:p w14:paraId="4C8D1DF4" w14:textId="77777777" w:rsidR="00824558" w:rsidRDefault="00824558">
            <w:pPr>
              <w:cnfStyle w:val="000000000000" w:firstRow="0" w:lastRow="0" w:firstColumn="0" w:lastColumn="0" w:oddVBand="0" w:evenVBand="0" w:oddHBand="0" w:evenHBand="0" w:firstRowFirstColumn="0" w:firstRowLastColumn="0" w:lastRowFirstColumn="0" w:lastRowLastColumn="0"/>
            </w:pPr>
            <w:r w:rsidRPr="00416F7B">
              <w:t>5</w:t>
            </w:r>
          </w:p>
        </w:tc>
      </w:tr>
      <w:tr w:rsidR="00824558" w14:paraId="66FCA0FD"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BB280F" w14:textId="24BAC35A" w:rsidR="00824558" w:rsidRDefault="00824558">
            <w:pPr>
              <w:ind w:left="170"/>
            </w:pPr>
            <w:r>
              <w:rPr>
                <w:i/>
              </w:rPr>
              <w:t xml:space="preserve">This performance measure has been transferred from the </w:t>
            </w:r>
            <w:r w:rsidR="007942D1">
              <w:rPr>
                <w:i/>
              </w:rPr>
              <w:t>‘</w:t>
            </w:r>
            <w:r>
              <w:rPr>
                <w:i/>
              </w:rPr>
              <w:t>Environment and Biodiversity output</w:t>
            </w:r>
            <w:r w:rsidR="007942D1">
              <w:rPr>
                <w:i/>
              </w:rPr>
              <w:t>’</w:t>
            </w:r>
            <w:r>
              <w:rPr>
                <w:i/>
              </w:rPr>
              <w:t xml:space="preserve"> to the </w:t>
            </w:r>
            <w:r w:rsidR="007942D1">
              <w:rPr>
                <w:i/>
              </w:rPr>
              <w:t>‘</w:t>
            </w:r>
            <w:r>
              <w:rPr>
                <w:i/>
              </w:rPr>
              <w:t>Management of Public Land and Forests</w:t>
            </w:r>
            <w:r w:rsidR="007942D1">
              <w:rPr>
                <w:i/>
              </w:rPr>
              <w:t>’</w:t>
            </w:r>
            <w:r>
              <w:rPr>
                <w:i/>
              </w:rPr>
              <w:t xml:space="preserve"> output to better align deliverables and funding. The reporting methodology has been expanded to include waste operations, due to the implementation of the illegal waste dumping taskforce. One of the five strategic operations to be delivered will relate to waste. </w:t>
            </w:r>
          </w:p>
        </w:tc>
      </w:tr>
      <w:tr w:rsidR="00824558" w14:paraId="15364A87"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04B8E613" w14:textId="77777777" w:rsidR="00824558" w:rsidRDefault="00824558">
            <w:pPr>
              <w:keepNext/>
              <w:ind w:left="170"/>
            </w:pPr>
            <w:r>
              <w:t>Visitors to the Royal Botanic Gardens in Melbourne and Cranbourne</w:t>
            </w:r>
          </w:p>
        </w:tc>
        <w:tc>
          <w:tcPr>
            <w:tcW w:w="964" w:type="dxa"/>
          </w:tcPr>
          <w:p w14:paraId="445F2A6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11EAF13D"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7D3564A2"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c>
          <w:tcPr>
            <w:tcW w:w="964" w:type="dxa"/>
          </w:tcPr>
          <w:p w14:paraId="046292E4"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54A9E801"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4E147450"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D5E08D" w14:textId="77777777" w:rsidR="00824558" w:rsidRDefault="00824558">
            <w:pPr>
              <w:ind w:left="170"/>
            </w:pPr>
            <w:r>
              <w:rPr>
                <w:i/>
              </w:rPr>
              <w:t xml:space="preserve">The 2025-26 expected outcome is higher than the 2025-26 target reflecting strong summer visitation driven by a marketing campaign, high engagement across social media channels and strong cruise ship tour numbers. </w:t>
            </w:r>
          </w:p>
        </w:tc>
      </w:tr>
      <w:tr w:rsidR="00824558" w:rsidRPr="007D3EA5" w14:paraId="16AC4198"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01BEFAE8" w14:textId="77777777" w:rsidR="00824558" w:rsidRPr="007D3EA5" w:rsidRDefault="00824558">
            <w:pPr>
              <w:keepNext/>
              <w:rPr>
                <w:b/>
              </w:rPr>
            </w:pPr>
            <w:r w:rsidRPr="007D3EA5">
              <w:rPr>
                <w:b/>
              </w:rPr>
              <w:t>Quality</w:t>
            </w:r>
          </w:p>
        </w:tc>
      </w:tr>
      <w:tr w:rsidR="00824558" w14:paraId="30CAB3FB"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95D173F" w14:textId="77777777" w:rsidR="00824558" w:rsidRDefault="00824558">
            <w:pPr>
              <w:ind w:left="170"/>
            </w:pPr>
            <w:r>
              <w:t>Publicly elected Committees of Management that have a current statutory appointment</w:t>
            </w:r>
          </w:p>
        </w:tc>
        <w:tc>
          <w:tcPr>
            <w:tcW w:w="964" w:type="dxa"/>
            <w:tcBorders>
              <w:bottom w:val="single" w:sz="6" w:space="0" w:color="auto"/>
            </w:tcBorders>
          </w:tcPr>
          <w:p w14:paraId="3351B11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0048E9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9DEDD4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5DC670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36A51A3"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655DE7D5"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6B676EE3" w14:textId="77777777" w:rsidR="00824558" w:rsidRDefault="00824558">
            <w:pPr>
              <w:keepNext/>
              <w:ind w:left="170"/>
            </w:pPr>
            <w:r>
              <w:t>Recreational facilities in state forests maintained to have a life expectancy greater than five years</w:t>
            </w:r>
          </w:p>
        </w:tc>
        <w:tc>
          <w:tcPr>
            <w:tcW w:w="964" w:type="dxa"/>
          </w:tcPr>
          <w:p w14:paraId="7A15D7F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30B5FAC"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566218D5"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c>
          <w:tcPr>
            <w:tcW w:w="964" w:type="dxa"/>
          </w:tcPr>
          <w:p w14:paraId="0C5F8AEF"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861A759" w14:textId="77777777" w:rsidR="00824558" w:rsidRDefault="00824558">
            <w:pPr>
              <w:cnfStyle w:val="000000000000" w:firstRow="0" w:lastRow="0" w:firstColumn="0" w:lastColumn="0" w:oddVBand="0" w:evenVBand="0" w:oddHBand="0" w:evenHBand="0" w:firstRowFirstColumn="0" w:firstRowLastColumn="0" w:lastRowFirstColumn="0" w:lastRowLastColumn="0"/>
            </w:pPr>
            <w:r>
              <w:t>78</w:t>
            </w:r>
          </w:p>
        </w:tc>
      </w:tr>
      <w:tr w:rsidR="00824558" w14:paraId="65A505F1"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93C2CC" w14:textId="77777777" w:rsidR="00824558" w:rsidRDefault="00824558">
            <w:pPr>
              <w:ind w:left="170"/>
            </w:pPr>
            <w:r>
              <w:rPr>
                <w:i/>
              </w:rPr>
              <w:t xml:space="preserve">The 2025-26 expected outcome is higher than the 2025-26 target due to additional initiative funding from the Great Outdoors Taskforce, which facilitated the accelerated replacement of assets nearing end-of-life. </w:t>
            </w:r>
          </w:p>
        </w:tc>
      </w:tr>
      <w:tr w:rsidR="00824558" w:rsidRPr="007D3EA5" w14:paraId="20D11EFB"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06E1D5BB" w14:textId="77777777" w:rsidR="00824558" w:rsidRPr="007D3EA5" w:rsidRDefault="00824558">
            <w:pPr>
              <w:keepNext/>
              <w:rPr>
                <w:b/>
              </w:rPr>
            </w:pPr>
            <w:r w:rsidRPr="007D3EA5">
              <w:rPr>
                <w:b/>
              </w:rPr>
              <w:t>Timeliness</w:t>
            </w:r>
          </w:p>
        </w:tc>
      </w:tr>
      <w:tr w:rsidR="00824558" w14:paraId="38F0AF81"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19E57EE" w14:textId="77777777" w:rsidR="00824558" w:rsidRDefault="00824558">
            <w:pPr>
              <w:keepNext/>
              <w:ind w:left="170"/>
            </w:pPr>
            <w:r>
              <w:t>Applications for consent to use or develop marine and coastal land determined within statutory timelines</w:t>
            </w:r>
          </w:p>
        </w:tc>
        <w:tc>
          <w:tcPr>
            <w:tcW w:w="964" w:type="dxa"/>
          </w:tcPr>
          <w:p w14:paraId="02A009A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09EE405"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7A9E6EE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B128C8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1A52E5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3043D1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489BC2A" w14:textId="58E4225F" w:rsidR="00824558" w:rsidRDefault="00824558">
            <w:pPr>
              <w:ind w:left="170"/>
            </w:pPr>
            <w:r>
              <w:rPr>
                <w:i/>
              </w:rPr>
              <w:t>New performance measure to reflect the Department</w:t>
            </w:r>
            <w:r w:rsidR="007942D1">
              <w:rPr>
                <w:i/>
              </w:rPr>
              <w:t>’</w:t>
            </w:r>
            <w:r>
              <w:rPr>
                <w:i/>
              </w:rPr>
              <w:t>s timely determination of marine and coastal land use or development applications to balance public amenity with protecting Victoria</w:t>
            </w:r>
            <w:r w:rsidR="007942D1">
              <w:rPr>
                <w:i/>
              </w:rPr>
              <w:t>’</w:t>
            </w:r>
            <w:r>
              <w:rPr>
                <w:i/>
              </w:rPr>
              <w:t>s marine and coastal environment.</w:t>
            </w:r>
          </w:p>
        </w:tc>
      </w:tr>
      <w:tr w:rsidR="00824558" w14:paraId="793562D2"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4A8B782" w14:textId="77777777" w:rsidR="00824558" w:rsidRDefault="00824558">
            <w:pPr>
              <w:ind w:left="170"/>
            </w:pPr>
            <w:r>
              <w:t>Rent reviews of Department managed Crown land leases undertaken within specified time frames</w:t>
            </w:r>
          </w:p>
        </w:tc>
        <w:tc>
          <w:tcPr>
            <w:tcW w:w="964" w:type="dxa"/>
            <w:tcBorders>
              <w:top w:val="single" w:sz="6" w:space="0" w:color="auto"/>
              <w:bottom w:val="single" w:sz="6" w:space="0" w:color="auto"/>
            </w:tcBorders>
          </w:tcPr>
          <w:p w14:paraId="1794BE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40588C5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200DD90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4E4BA41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46E2787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0C20F8" w:rsidRPr="00DC0EBC" w14:paraId="7E9DCE1C"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645CB87" w14:textId="77777777" w:rsidR="000C20F8" w:rsidRPr="00DC0EBC" w:rsidRDefault="000C20F8">
            <w:pPr>
              <w:keepNext/>
              <w:rPr>
                <w:b/>
              </w:rPr>
            </w:pPr>
            <w:r w:rsidRPr="00DC0EBC">
              <w:rPr>
                <w:b/>
              </w:rPr>
              <w:t>Cost</w:t>
            </w:r>
          </w:p>
        </w:tc>
      </w:tr>
      <w:tr w:rsidR="000C20F8" w14:paraId="48F48CC6" w14:textId="77777777" w:rsidTr="0017507E">
        <w:tc>
          <w:tcPr>
            <w:cnfStyle w:val="001000000000" w:firstRow="0" w:lastRow="0" w:firstColumn="1" w:lastColumn="0" w:oddVBand="0" w:evenVBand="0" w:oddHBand="0" w:evenHBand="0" w:firstRowFirstColumn="0" w:firstRowLastColumn="0" w:lastRowFirstColumn="0" w:lastRowLastColumn="0"/>
            <w:tcW w:w="4819" w:type="dxa"/>
          </w:tcPr>
          <w:p w14:paraId="06F900BC" w14:textId="77777777" w:rsidR="000C20F8" w:rsidRDefault="000C20F8">
            <w:pPr>
              <w:keepNext/>
              <w:ind w:left="170"/>
            </w:pPr>
            <w:r>
              <w:t>Total output cost</w:t>
            </w:r>
          </w:p>
        </w:tc>
        <w:tc>
          <w:tcPr>
            <w:tcW w:w="964" w:type="dxa"/>
          </w:tcPr>
          <w:p w14:paraId="199DE9D1"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5A1FAF45" w14:textId="01D95634" w:rsidR="000C20F8" w:rsidRPr="004D0078" w:rsidRDefault="00504A92">
            <w:pPr>
              <w:cnfStyle w:val="000000000000" w:firstRow="0" w:lastRow="0" w:firstColumn="0" w:lastColumn="0" w:oddVBand="0" w:evenVBand="0" w:oddHBand="0" w:evenHBand="0" w:firstRowFirstColumn="0" w:firstRowLastColumn="0" w:lastRowFirstColumn="0" w:lastRowLastColumn="0"/>
              <w:rPr>
                <w:highlight w:val="yellow"/>
              </w:rPr>
            </w:pPr>
            <w:r w:rsidRPr="00504A92">
              <w:t>380.9</w:t>
            </w:r>
          </w:p>
        </w:tc>
        <w:tc>
          <w:tcPr>
            <w:tcW w:w="964" w:type="dxa"/>
          </w:tcPr>
          <w:p w14:paraId="0C93DAB0" w14:textId="5B7ECA83" w:rsidR="000C20F8" w:rsidRPr="004D0078" w:rsidRDefault="00964DB8">
            <w:pPr>
              <w:cnfStyle w:val="000000000000" w:firstRow="0" w:lastRow="0" w:firstColumn="0" w:lastColumn="0" w:oddVBand="0" w:evenVBand="0" w:oddHBand="0" w:evenHBand="0" w:firstRowFirstColumn="0" w:firstRowLastColumn="0" w:lastRowFirstColumn="0" w:lastRowLastColumn="0"/>
              <w:rPr>
                <w:highlight w:val="yellow"/>
              </w:rPr>
            </w:pPr>
            <w:r w:rsidRPr="00964DB8">
              <w:t>441.0</w:t>
            </w:r>
          </w:p>
        </w:tc>
        <w:tc>
          <w:tcPr>
            <w:tcW w:w="964" w:type="dxa"/>
          </w:tcPr>
          <w:p w14:paraId="1F3945A4" w14:textId="1897CDE8" w:rsidR="000C20F8" w:rsidRPr="004D0078" w:rsidRDefault="005717A8">
            <w:pPr>
              <w:cnfStyle w:val="000000000000" w:firstRow="0" w:lastRow="0" w:firstColumn="0" w:lastColumn="0" w:oddVBand="0" w:evenVBand="0" w:oddHBand="0" w:evenHBand="0" w:firstRowFirstColumn="0" w:firstRowLastColumn="0" w:lastRowFirstColumn="0" w:lastRowLastColumn="0"/>
              <w:rPr>
                <w:highlight w:val="yellow"/>
              </w:rPr>
            </w:pPr>
            <w:r w:rsidRPr="005717A8">
              <w:t>313.8</w:t>
            </w:r>
          </w:p>
        </w:tc>
        <w:tc>
          <w:tcPr>
            <w:tcW w:w="964" w:type="dxa"/>
          </w:tcPr>
          <w:p w14:paraId="733164CA" w14:textId="371EE16E" w:rsidR="000C20F8" w:rsidRPr="004D0078" w:rsidRDefault="0054293E">
            <w:pPr>
              <w:cnfStyle w:val="000000000000" w:firstRow="0" w:lastRow="0" w:firstColumn="0" w:lastColumn="0" w:oddVBand="0" w:evenVBand="0" w:oddHBand="0" w:evenHBand="0" w:firstRowFirstColumn="0" w:firstRowLastColumn="0" w:lastRowFirstColumn="0" w:lastRowLastColumn="0"/>
              <w:rPr>
                <w:highlight w:val="yellow"/>
              </w:rPr>
            </w:pPr>
            <w:r w:rsidRPr="0054293E">
              <w:t>457.4</w:t>
            </w:r>
          </w:p>
        </w:tc>
      </w:tr>
      <w:tr w:rsidR="003735C4" w14:paraId="0CF24FB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331EA31" w14:textId="7712D0D6" w:rsidR="003735C4" w:rsidRPr="003735C4" w:rsidRDefault="003735C4" w:rsidP="003735C4">
            <w:pPr>
              <w:ind w:left="170"/>
              <w:rPr>
                <w:i/>
                <w:iCs/>
              </w:rPr>
            </w:pPr>
            <w:r w:rsidRPr="00660A34">
              <w:rPr>
                <w:i/>
                <w:iCs/>
              </w:rPr>
              <w:t xml:space="preserve">The </w:t>
            </w:r>
            <w:r>
              <w:rPr>
                <w:i/>
                <w:iCs/>
              </w:rPr>
              <w:t xml:space="preserve">2025-26 </w:t>
            </w:r>
            <w:r w:rsidRPr="00660A34">
              <w:rPr>
                <w:i/>
                <w:iCs/>
              </w:rPr>
              <w:t xml:space="preserve">expected outcome is higher than the </w:t>
            </w:r>
            <w:r>
              <w:rPr>
                <w:i/>
                <w:iCs/>
              </w:rPr>
              <w:t xml:space="preserve">2025-26 </w:t>
            </w:r>
            <w:r w:rsidRPr="00660A34">
              <w:rPr>
                <w:i/>
                <w:iCs/>
              </w:rPr>
              <w:t>target due to additional funding allocated from the Parks and Reserves Trust funding for a range of initiatives to improve outdoor recreation activities on public land</w:t>
            </w:r>
            <w:r w:rsidR="00E013DD">
              <w:rPr>
                <w:i/>
                <w:iCs/>
              </w:rPr>
              <w:t>,</w:t>
            </w:r>
            <w:r w:rsidR="001D4F8A">
              <w:rPr>
                <w:i/>
                <w:iCs/>
              </w:rPr>
              <w:t xml:space="preserve"> funding for</w:t>
            </w:r>
            <w:r w:rsidRPr="00660A34">
              <w:rPr>
                <w:i/>
                <w:iCs/>
              </w:rPr>
              <w:t xml:space="preserve"> </w:t>
            </w:r>
            <w:r>
              <w:rPr>
                <w:i/>
                <w:iCs/>
              </w:rPr>
              <w:t>the</w:t>
            </w:r>
            <w:r w:rsidRPr="00660A34">
              <w:rPr>
                <w:i/>
                <w:iCs/>
              </w:rPr>
              <w:t xml:space="preserve"> Wotjobaluk Traditional Owner Settlement Agreement</w:t>
            </w:r>
            <w:r w:rsidR="00237714">
              <w:rPr>
                <w:i/>
                <w:iCs/>
              </w:rPr>
              <w:t>,</w:t>
            </w:r>
            <w:r w:rsidRPr="00660A34">
              <w:rPr>
                <w:i/>
                <w:iCs/>
              </w:rPr>
              <w:t xml:space="preserve"> as well as release of contingency funding for the Forestry Contractor Strategy initiative.</w:t>
            </w:r>
          </w:p>
        </w:tc>
      </w:tr>
      <w:tr w:rsidR="0054293E" w14:paraId="187F8E7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06A4901" w14:textId="60A86AB4" w:rsidR="0054293E" w:rsidRPr="0054293E" w:rsidRDefault="00BF14D0" w:rsidP="003735C4">
            <w:pPr>
              <w:ind w:left="170"/>
            </w:pPr>
            <w:r w:rsidRPr="00660A34">
              <w:rPr>
                <w:i/>
                <w:iCs/>
              </w:rPr>
              <w:t xml:space="preserve">The higher 2026-27 target predominantly reflects adjusted funding amounts related to additional funding provided from the Parks and Reserves Trust fund (including to the Suburban Parks initiative), State funding announced as part of the </w:t>
            </w:r>
            <w:r w:rsidRPr="00237714">
              <w:t>2026-27 Budget</w:t>
            </w:r>
            <w:r w:rsidRPr="00660A34">
              <w:rPr>
                <w:i/>
                <w:iCs/>
              </w:rPr>
              <w:t xml:space="preserve"> for the </w:t>
            </w:r>
            <w:r w:rsidR="00FD43A4">
              <w:rPr>
                <w:i/>
                <w:iCs/>
              </w:rPr>
              <w:t>Zoos Victoria Kids Go Free</w:t>
            </w:r>
            <w:r w:rsidRPr="00660A34">
              <w:rPr>
                <w:i/>
                <w:iCs/>
              </w:rPr>
              <w:t xml:space="preserve"> initiative, as well as release from contingency funding for the Forestry Contractor Strategy initiative.</w:t>
            </w:r>
          </w:p>
        </w:tc>
      </w:tr>
    </w:tbl>
    <w:p w14:paraId="101D0575" w14:textId="77777777" w:rsidR="00824558" w:rsidRDefault="00824558">
      <w:pPr>
        <w:pStyle w:val="Source"/>
      </w:pPr>
      <w:r>
        <w:t>Source: Department of Energy, Environment and Climate Action</w:t>
      </w:r>
    </w:p>
    <w:p w14:paraId="44671406" w14:textId="38127141" w:rsidR="00824558" w:rsidRDefault="00824558">
      <w:pPr>
        <w:pStyle w:val="Heading3"/>
      </w:pPr>
      <w:r>
        <w:t>Parks Victoria</w:t>
      </w:r>
      <w:r>
        <w:tab/>
        <w:t>(2026-27: $</w:t>
      </w:r>
      <w:r w:rsidR="005E3E28">
        <w:t xml:space="preserve">184.0 </w:t>
      </w:r>
      <w:r>
        <w:t>million)</w:t>
      </w:r>
    </w:p>
    <w:p w14:paraId="4177FEB3" w14:textId="052540A5" w:rsidR="00824558" w:rsidRPr="00711044" w:rsidRDefault="00824558">
      <w:pPr>
        <w:keepNext/>
        <w:spacing w:after="120"/>
      </w:pPr>
      <w:r w:rsidRPr="00216EF9">
        <w:t>This output provides for the improved stewardship of Victoria</w:t>
      </w:r>
      <w:r w:rsidR="007942D1">
        <w:t>’</w:t>
      </w:r>
      <w:r w:rsidRPr="00216EF9">
        <w:t>s parks. Through this output, Parks Victoria manages the development and protection of natural, cultural and community assets for safe enjoyment and sustainable use by all Victorians. Parks Victoria works to ensure the State</w:t>
      </w:r>
      <w:r w:rsidR="007942D1">
        <w:t>’</w:t>
      </w:r>
      <w:r w:rsidRPr="00216EF9">
        <w:t>s park assets are managed efficiently and effectively.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39F5616"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372EEAC" w14:textId="77777777" w:rsidR="00824558" w:rsidRDefault="00824558">
            <w:r>
              <w:t>Performance measure</w:t>
            </w:r>
          </w:p>
        </w:tc>
        <w:tc>
          <w:tcPr>
            <w:tcW w:w="964" w:type="dxa"/>
          </w:tcPr>
          <w:p w14:paraId="5B3B079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29DF94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171DE9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874CB4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3A748C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3717DF05"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52B64F95" w14:textId="77777777" w:rsidR="00824558" w:rsidRPr="007D3EA5" w:rsidRDefault="00824558">
            <w:pPr>
              <w:keepNext/>
              <w:rPr>
                <w:b/>
              </w:rPr>
            </w:pPr>
            <w:r w:rsidRPr="007D3EA5">
              <w:rPr>
                <w:b/>
              </w:rPr>
              <w:t>Quantity</w:t>
            </w:r>
          </w:p>
        </w:tc>
      </w:tr>
      <w:tr w:rsidR="00824558" w14:paraId="51BA99D3"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9D39F21" w14:textId="77777777" w:rsidR="00824558" w:rsidRDefault="00824558">
            <w:pPr>
              <w:ind w:left="170"/>
            </w:pPr>
            <w:r>
              <w:t>Area treated to minimise the impact of pest plants, pest animals and over abundant native animals in parks managed by Parks Victoria</w:t>
            </w:r>
          </w:p>
        </w:tc>
        <w:tc>
          <w:tcPr>
            <w:tcW w:w="964" w:type="dxa"/>
            <w:tcBorders>
              <w:bottom w:val="single" w:sz="6" w:space="0" w:color="auto"/>
            </w:tcBorders>
          </w:tcPr>
          <w:p w14:paraId="368C86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 (thousand)</w:t>
            </w:r>
          </w:p>
        </w:tc>
        <w:tc>
          <w:tcPr>
            <w:tcW w:w="964" w:type="dxa"/>
            <w:tcBorders>
              <w:bottom w:val="single" w:sz="6" w:space="0" w:color="auto"/>
            </w:tcBorders>
            <w:shd w:val="clear" w:color="auto" w:fill="F0F0F0"/>
          </w:tcPr>
          <w:p w14:paraId="480E3B2C"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6500E192"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6DDA8F07"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74ADFC72" w14:textId="77777777" w:rsidR="00824558" w:rsidRDefault="00824558">
            <w:pPr>
              <w:cnfStyle w:val="000000000000" w:firstRow="0" w:lastRow="0" w:firstColumn="0" w:lastColumn="0" w:oddVBand="0" w:evenVBand="0" w:oddHBand="0" w:evenHBand="0" w:firstRowFirstColumn="0" w:firstRowLastColumn="0" w:lastRowFirstColumn="0" w:lastRowLastColumn="0"/>
            </w:pPr>
            <w:r>
              <w:t>2 337</w:t>
            </w:r>
          </w:p>
        </w:tc>
      </w:tr>
      <w:tr w:rsidR="00824558" w14:paraId="29A4340A"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7EAC0997" w14:textId="77777777" w:rsidR="00824558" w:rsidRDefault="00824558">
            <w:pPr>
              <w:keepNext/>
              <w:ind w:left="170"/>
            </w:pPr>
            <w:r>
              <w:t>Total area of estate managed by Parks Victoria</w:t>
            </w:r>
          </w:p>
        </w:tc>
        <w:tc>
          <w:tcPr>
            <w:tcW w:w="964" w:type="dxa"/>
          </w:tcPr>
          <w:p w14:paraId="28F8F32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 (thousand)</w:t>
            </w:r>
          </w:p>
        </w:tc>
        <w:tc>
          <w:tcPr>
            <w:tcW w:w="964" w:type="dxa"/>
            <w:shd w:val="clear" w:color="auto" w:fill="F0F0F0"/>
          </w:tcPr>
          <w:p w14:paraId="7195A8A3"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4 102</w:t>
            </w:r>
          </w:p>
        </w:tc>
        <w:tc>
          <w:tcPr>
            <w:tcW w:w="964" w:type="dxa"/>
          </w:tcPr>
          <w:p w14:paraId="15736443"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4 102</w:t>
            </w:r>
          </w:p>
        </w:tc>
        <w:tc>
          <w:tcPr>
            <w:tcW w:w="964" w:type="dxa"/>
          </w:tcPr>
          <w:p w14:paraId="06DA1950" w14:textId="77777777" w:rsidR="00824558" w:rsidRDefault="00824558">
            <w:pPr>
              <w:cnfStyle w:val="000000000000" w:firstRow="0" w:lastRow="0" w:firstColumn="0" w:lastColumn="0" w:oddVBand="0" w:evenVBand="0" w:oddHBand="0" w:evenHBand="0" w:firstRowFirstColumn="0" w:firstRowLastColumn="0" w:lastRowFirstColumn="0" w:lastRowLastColumn="0"/>
            </w:pPr>
            <w:r>
              <w:t>4 120</w:t>
            </w:r>
          </w:p>
        </w:tc>
        <w:tc>
          <w:tcPr>
            <w:tcW w:w="964" w:type="dxa"/>
          </w:tcPr>
          <w:p w14:paraId="7809C3A9"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4 102</w:t>
            </w:r>
          </w:p>
        </w:tc>
      </w:tr>
      <w:tr w:rsidR="00824558" w14:paraId="46FEF21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B6D3109" w14:textId="77777777" w:rsidR="00824558" w:rsidRDefault="00824558">
            <w:pPr>
              <w:ind w:left="170"/>
            </w:pPr>
            <w:r>
              <w:rPr>
                <w:i/>
              </w:rPr>
              <w:t>The lower 2026-27 target reflects the transfer of some public land from Parks Victoria for direct management by the Great Ocean Road Coast and Parks Authority.</w:t>
            </w:r>
          </w:p>
        </w:tc>
      </w:tr>
      <w:tr w:rsidR="00824558" w14:paraId="13708316"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D9A7C07" w14:textId="77777777" w:rsidR="00824558" w:rsidRDefault="00824558">
            <w:pPr>
              <w:ind w:left="170"/>
            </w:pPr>
            <w:r>
              <w:t>Visits to national, state, urban and other terrestrial parks</w:t>
            </w:r>
          </w:p>
        </w:tc>
        <w:tc>
          <w:tcPr>
            <w:tcW w:w="964" w:type="dxa"/>
            <w:tcBorders>
              <w:bottom w:val="single" w:sz="6" w:space="0" w:color="auto"/>
            </w:tcBorders>
          </w:tcPr>
          <w:p w14:paraId="6A94F54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tcBorders>
              <w:bottom w:val="single" w:sz="6" w:space="0" w:color="auto"/>
            </w:tcBorders>
            <w:shd w:val="clear" w:color="auto" w:fill="F0F0F0"/>
          </w:tcPr>
          <w:p w14:paraId="6F93863A"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991578F"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7D8BF6D"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1346E19"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0AE06ACF"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6199D7" w14:textId="77777777" w:rsidR="00824558" w:rsidRDefault="00824558">
            <w:pPr>
              <w:ind w:left="170"/>
            </w:pPr>
            <w:r>
              <w:t>Visits to piers and jetties</w:t>
            </w:r>
          </w:p>
        </w:tc>
        <w:tc>
          <w:tcPr>
            <w:tcW w:w="964" w:type="dxa"/>
            <w:tcBorders>
              <w:bottom w:val="single" w:sz="6" w:space="0" w:color="auto"/>
            </w:tcBorders>
          </w:tcPr>
          <w:p w14:paraId="6157A57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tcBorders>
              <w:bottom w:val="single" w:sz="6" w:space="0" w:color="auto"/>
            </w:tcBorders>
            <w:shd w:val="clear" w:color="auto" w:fill="F0F0F0"/>
          </w:tcPr>
          <w:p w14:paraId="7A72E62B"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24F50512"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66D04A58"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5FC104C2"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rsidRPr="007D3EA5" w14:paraId="470CE22A"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5E6E42FE" w14:textId="77777777" w:rsidR="00824558" w:rsidRPr="007D3EA5" w:rsidRDefault="00824558">
            <w:pPr>
              <w:keepNext/>
              <w:rPr>
                <w:b/>
              </w:rPr>
            </w:pPr>
            <w:r w:rsidRPr="007D3EA5">
              <w:rPr>
                <w:b/>
              </w:rPr>
              <w:lastRenderedPageBreak/>
              <w:t>Quality</w:t>
            </w:r>
          </w:p>
        </w:tc>
      </w:tr>
      <w:tr w:rsidR="00824558" w14:paraId="3C4C46C9"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544D4192" w14:textId="77777777" w:rsidR="00824558" w:rsidRDefault="00824558">
            <w:pPr>
              <w:keepNext/>
              <w:ind w:left="170"/>
            </w:pPr>
            <w:r>
              <w:t>Significant built bay assets managed by Parks Victoria rated in average to excellent condition</w:t>
            </w:r>
          </w:p>
        </w:tc>
        <w:tc>
          <w:tcPr>
            <w:tcW w:w="964" w:type="dxa"/>
          </w:tcPr>
          <w:p w14:paraId="32D94F7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5CB32E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F6C55C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2A23A44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4625B10"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r>
      <w:tr w:rsidR="00824558" w14:paraId="3A872A7A"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5445BEB" w14:textId="77777777" w:rsidR="00824558" w:rsidRDefault="00824558">
            <w:pPr>
              <w:ind w:left="170"/>
              <w:rPr>
                <w:i/>
              </w:rPr>
            </w:pPr>
            <w:r>
              <w:rPr>
                <w:i/>
              </w:rPr>
              <w:t xml:space="preserve">The 2025-26 expected outcome is lower than the 2025-26 target due to the downgrade in condition of several assets and the closure of others </w:t>
            </w:r>
            <w:r w:rsidRPr="0E7B3A5A">
              <w:rPr>
                <w:i/>
                <w:iCs/>
              </w:rPr>
              <w:t xml:space="preserve">partly due to </w:t>
            </w:r>
            <w:r>
              <w:rPr>
                <w:i/>
              </w:rPr>
              <w:t>adverse weather impacts.</w:t>
            </w:r>
          </w:p>
        </w:tc>
      </w:tr>
      <w:tr w:rsidR="00824558" w14:paraId="539BB50A"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6E755792" w14:textId="77777777" w:rsidR="00824558" w:rsidRDefault="00824558">
            <w:pPr>
              <w:ind w:left="170"/>
            </w:pPr>
            <w:r>
              <w:t>Significant built park assets managed by Parks Victoria rated in average to excellent condition</w:t>
            </w:r>
          </w:p>
        </w:tc>
        <w:tc>
          <w:tcPr>
            <w:tcW w:w="964" w:type="dxa"/>
            <w:tcBorders>
              <w:top w:val="single" w:sz="6" w:space="0" w:color="auto"/>
              <w:bottom w:val="single" w:sz="6" w:space="0" w:color="auto"/>
            </w:tcBorders>
          </w:tcPr>
          <w:p w14:paraId="26AD60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6453F895"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Borders>
              <w:top w:val="single" w:sz="6" w:space="0" w:color="auto"/>
              <w:bottom w:val="single" w:sz="6" w:space="0" w:color="auto"/>
            </w:tcBorders>
          </w:tcPr>
          <w:p w14:paraId="04745615"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c>
          <w:tcPr>
            <w:tcW w:w="964" w:type="dxa"/>
            <w:tcBorders>
              <w:top w:val="single" w:sz="6" w:space="0" w:color="auto"/>
              <w:bottom w:val="single" w:sz="6" w:space="0" w:color="auto"/>
            </w:tcBorders>
          </w:tcPr>
          <w:p w14:paraId="7E1710F5"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Borders>
              <w:top w:val="single" w:sz="6" w:space="0" w:color="auto"/>
              <w:bottom w:val="single" w:sz="6" w:space="0" w:color="auto"/>
            </w:tcBorders>
          </w:tcPr>
          <w:p w14:paraId="55F2831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0C20F8" w:rsidRPr="00DC0EBC" w14:paraId="13D3D406"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3DBD6FF" w14:textId="77777777" w:rsidR="000C20F8" w:rsidRPr="00DC0EBC" w:rsidRDefault="000C20F8">
            <w:pPr>
              <w:keepNext/>
              <w:rPr>
                <w:b/>
              </w:rPr>
            </w:pPr>
            <w:r w:rsidRPr="00DC0EBC">
              <w:rPr>
                <w:b/>
              </w:rPr>
              <w:t>Cost</w:t>
            </w:r>
          </w:p>
        </w:tc>
      </w:tr>
      <w:tr w:rsidR="000C20F8" w14:paraId="508FBFBA" w14:textId="77777777" w:rsidTr="00D83EEB">
        <w:tc>
          <w:tcPr>
            <w:cnfStyle w:val="001000000000" w:firstRow="0" w:lastRow="0" w:firstColumn="1" w:lastColumn="0" w:oddVBand="0" w:evenVBand="0" w:oddHBand="0" w:evenHBand="0" w:firstRowFirstColumn="0" w:firstRowLastColumn="0" w:lastRowFirstColumn="0" w:lastRowLastColumn="0"/>
            <w:tcW w:w="4819" w:type="dxa"/>
          </w:tcPr>
          <w:p w14:paraId="4079A66C" w14:textId="77777777" w:rsidR="000C20F8" w:rsidRDefault="000C20F8">
            <w:pPr>
              <w:keepNext/>
              <w:ind w:left="170"/>
            </w:pPr>
            <w:r>
              <w:t>Total output cost</w:t>
            </w:r>
          </w:p>
        </w:tc>
        <w:tc>
          <w:tcPr>
            <w:tcW w:w="964" w:type="dxa"/>
          </w:tcPr>
          <w:p w14:paraId="15F25893"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0D3CC2FE" w14:textId="004D1520" w:rsidR="000C20F8" w:rsidRPr="004D0078" w:rsidRDefault="00673E85">
            <w:pPr>
              <w:cnfStyle w:val="000000000000" w:firstRow="0" w:lastRow="0" w:firstColumn="0" w:lastColumn="0" w:oddVBand="0" w:evenVBand="0" w:oddHBand="0" w:evenHBand="0" w:firstRowFirstColumn="0" w:firstRowLastColumn="0" w:lastRowFirstColumn="0" w:lastRowLastColumn="0"/>
              <w:rPr>
                <w:highlight w:val="yellow"/>
              </w:rPr>
            </w:pPr>
            <w:r>
              <w:t>184.0</w:t>
            </w:r>
          </w:p>
        </w:tc>
        <w:tc>
          <w:tcPr>
            <w:tcW w:w="964" w:type="dxa"/>
          </w:tcPr>
          <w:p w14:paraId="6F11379A" w14:textId="2CE4AE4E" w:rsidR="000C20F8" w:rsidRPr="004D0078" w:rsidRDefault="00462B63">
            <w:pPr>
              <w:cnfStyle w:val="000000000000" w:firstRow="0" w:lastRow="0" w:firstColumn="0" w:lastColumn="0" w:oddVBand="0" w:evenVBand="0" w:oddHBand="0" w:evenHBand="0" w:firstRowFirstColumn="0" w:firstRowLastColumn="0" w:lastRowFirstColumn="0" w:lastRowLastColumn="0"/>
              <w:rPr>
                <w:highlight w:val="yellow"/>
              </w:rPr>
            </w:pPr>
            <w:r w:rsidRPr="00462B63">
              <w:t>211.7</w:t>
            </w:r>
          </w:p>
        </w:tc>
        <w:tc>
          <w:tcPr>
            <w:tcW w:w="964" w:type="dxa"/>
          </w:tcPr>
          <w:p w14:paraId="028F0B08" w14:textId="0B5AC164" w:rsidR="000C20F8" w:rsidRPr="004D0078" w:rsidRDefault="004A6D3E">
            <w:pPr>
              <w:cnfStyle w:val="000000000000" w:firstRow="0" w:lastRow="0" w:firstColumn="0" w:lastColumn="0" w:oddVBand="0" w:evenVBand="0" w:oddHBand="0" w:evenHBand="0" w:firstRowFirstColumn="0" w:firstRowLastColumn="0" w:lastRowFirstColumn="0" w:lastRowLastColumn="0"/>
              <w:rPr>
                <w:highlight w:val="yellow"/>
              </w:rPr>
            </w:pPr>
            <w:r>
              <w:t>187.3</w:t>
            </w:r>
          </w:p>
        </w:tc>
        <w:tc>
          <w:tcPr>
            <w:tcW w:w="964" w:type="dxa"/>
          </w:tcPr>
          <w:p w14:paraId="44A6DD97" w14:textId="077A25DF" w:rsidR="000C20F8" w:rsidRPr="004D0078" w:rsidRDefault="00D83EEB">
            <w:pPr>
              <w:cnfStyle w:val="000000000000" w:firstRow="0" w:lastRow="0" w:firstColumn="0" w:lastColumn="0" w:oddVBand="0" w:evenVBand="0" w:oddHBand="0" w:evenHBand="0" w:firstRowFirstColumn="0" w:firstRowLastColumn="0" w:lastRowFirstColumn="0" w:lastRowLastColumn="0"/>
              <w:rPr>
                <w:highlight w:val="yellow"/>
              </w:rPr>
            </w:pPr>
            <w:r>
              <w:t>196.1</w:t>
            </w:r>
          </w:p>
        </w:tc>
      </w:tr>
      <w:tr w:rsidR="00D83EEB" w14:paraId="3B6D6B2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2DD3600" w14:textId="5660C166" w:rsidR="00D83EEB" w:rsidRDefault="00770013" w:rsidP="00770013">
            <w:pPr>
              <w:ind w:left="170"/>
            </w:pPr>
            <w:r w:rsidRPr="00660A34">
              <w:rPr>
                <w:i/>
                <w:iCs/>
              </w:rPr>
              <w:t>The</w:t>
            </w:r>
            <w:r>
              <w:rPr>
                <w:i/>
                <w:iCs/>
              </w:rPr>
              <w:t xml:space="preserve"> 2025-26</w:t>
            </w:r>
            <w:r w:rsidRPr="00660A34">
              <w:rPr>
                <w:i/>
                <w:iCs/>
              </w:rPr>
              <w:t xml:space="preserve"> expected outcome is higher than the </w:t>
            </w:r>
            <w:r>
              <w:rPr>
                <w:i/>
                <w:iCs/>
              </w:rPr>
              <w:t xml:space="preserve">2025-26 </w:t>
            </w:r>
            <w:r w:rsidRPr="00660A34">
              <w:rPr>
                <w:i/>
                <w:iCs/>
              </w:rPr>
              <w:t xml:space="preserve">target due to additional State funding to support recovery activities following the </w:t>
            </w:r>
            <w:r w:rsidRPr="7D770E95">
              <w:rPr>
                <w:i/>
                <w:iCs/>
              </w:rPr>
              <w:t xml:space="preserve">2024-25 </w:t>
            </w:r>
            <w:r w:rsidRPr="00660A34">
              <w:rPr>
                <w:i/>
                <w:iCs/>
              </w:rPr>
              <w:t>Western Victoria bushfires</w:t>
            </w:r>
            <w:r w:rsidRPr="00770013">
              <w:rPr>
                <w:i/>
                <w:iCs/>
              </w:rPr>
              <w:t>.</w:t>
            </w:r>
          </w:p>
        </w:tc>
      </w:tr>
    </w:tbl>
    <w:p w14:paraId="177D1681" w14:textId="77777777" w:rsidR="00824558" w:rsidRDefault="00824558">
      <w:pPr>
        <w:pStyle w:val="Source"/>
      </w:pPr>
      <w:r>
        <w:t>Source: Department of Energy, Environment and Climate Action</w:t>
      </w:r>
    </w:p>
    <w:p w14:paraId="0E844501" w14:textId="77777777" w:rsidR="001D0FF8" w:rsidRDefault="001D0FF8" w:rsidP="001D0FF8"/>
    <w:p w14:paraId="34D50C7C" w14:textId="77777777" w:rsidR="00824558" w:rsidRPr="00711044" w:rsidRDefault="00824558" w:rsidP="001D0FF8">
      <w:pPr>
        <w:keepNext/>
        <w:pBdr>
          <w:top w:val="single" w:sz="6" w:space="3" w:color="auto"/>
          <w:left w:val="single" w:sz="6" w:space="4" w:color="auto"/>
          <w:bottom w:val="single" w:sz="6" w:space="3" w:color="auto"/>
          <w:right w:val="single" w:sz="6" w:space="4" w:color="auto"/>
        </w:pBdr>
        <w:shd w:val="clear" w:color="auto" w:fill="F2F2F2" w:themeFill="background1" w:themeFillShade="F2"/>
        <w:rPr>
          <w:rFonts w:ascii="Calibri" w:eastAsia="Garamond" w:hAnsi="Calibri"/>
          <w:kern w:val="2"/>
          <w:szCs w:val="20"/>
          <w14:ligatures w14:val="standardContextual"/>
        </w:rPr>
      </w:pPr>
      <w:r w:rsidRPr="00711044">
        <w:rPr>
          <w:rFonts w:asciiTheme="majorHAnsi" w:hAnsiTheme="majorHAnsi" w:cstheme="minorBidi"/>
          <w:b/>
          <w:kern w:val="2"/>
          <w:szCs w:val="20"/>
          <w14:ligatures w14:val="standardContextual"/>
        </w:rPr>
        <w:t xml:space="preserve">Objective 8: Safe, </w:t>
      </w:r>
      <w:r w:rsidRPr="00711044">
        <w:rPr>
          <w:rFonts w:asciiTheme="majorHAnsi" w:hAnsiTheme="majorHAnsi" w:cstheme="minorBidi"/>
          <w:b/>
          <w:color w:val="000000" w:themeColor="text1"/>
          <w:kern w:val="2"/>
          <w:szCs w:val="20"/>
          <w14:ligatures w14:val="standardContextual"/>
        </w:rPr>
        <w:t xml:space="preserve">sustainable and productive water </w:t>
      </w:r>
      <w:r w:rsidRPr="00711044">
        <w:rPr>
          <w:rFonts w:asciiTheme="majorHAnsi" w:hAnsiTheme="majorHAnsi" w:cstheme="minorBidi"/>
          <w:b/>
          <w:kern w:val="2"/>
          <w:szCs w:val="20"/>
          <w14:ligatures w14:val="standardContextual"/>
        </w:rPr>
        <w:t>resources</w:t>
      </w:r>
    </w:p>
    <w:p w14:paraId="6C4CBEAC" w14:textId="77777777" w:rsidR="00824558" w:rsidRPr="00711044" w:rsidRDefault="00824558">
      <w:pPr>
        <w:pBdr>
          <w:top w:val="single" w:sz="6" w:space="3" w:color="auto"/>
          <w:left w:val="single" w:sz="6" w:space="4" w:color="auto"/>
          <w:bottom w:val="single" w:sz="6" w:space="3" w:color="auto"/>
          <w:right w:val="single" w:sz="6" w:space="4" w:color="auto"/>
        </w:pBdr>
        <w:shd w:val="clear" w:color="auto" w:fill="F2F2F2" w:themeFill="background1" w:themeFillShade="F2"/>
        <w:rPr>
          <w:rFonts w:cstheme="minorBidi"/>
          <w:kern w:val="2"/>
          <w:szCs w:val="20"/>
          <w14:ligatures w14:val="standardContextual"/>
        </w:rPr>
      </w:pPr>
      <w:r w:rsidRPr="00711044">
        <w:rPr>
          <w:rFonts w:cstheme="minorBidi"/>
          <w:kern w:val="2"/>
          <w:szCs w:val="20"/>
          <w14:ligatures w14:val="standardContextual"/>
        </w:rPr>
        <w:t xml:space="preserve">This objective increases the security of supply and the efficient use of water in cities and towns </w:t>
      </w:r>
      <w:r w:rsidRPr="00711044">
        <w:rPr>
          <w:rFonts w:cstheme="minorBidi"/>
          <w:color w:val="000000" w:themeColor="text1"/>
          <w:kern w:val="2"/>
          <w:szCs w:val="20"/>
          <w14:ligatures w14:val="standardContextual"/>
        </w:rPr>
        <w:t xml:space="preserve">and maintains or improves </w:t>
      </w:r>
      <w:r w:rsidRPr="00711044">
        <w:rPr>
          <w:rFonts w:cstheme="minorBidi"/>
          <w:kern w:val="2"/>
          <w:szCs w:val="20"/>
          <w14:ligatures w14:val="standardContextual"/>
        </w:rPr>
        <w:t xml:space="preserve">the environmental condition of waterways to ensure Victoria has safe and sustainable water resources to meet future urban, rural and environmental needs. </w:t>
      </w:r>
    </w:p>
    <w:p w14:paraId="573BAD37" w14:textId="77777777" w:rsidR="00824558" w:rsidRPr="00711044" w:rsidRDefault="00824558">
      <w:pPr>
        <w:pBdr>
          <w:top w:val="single" w:sz="6" w:space="3" w:color="auto"/>
          <w:left w:val="single" w:sz="6" w:space="4" w:color="auto"/>
          <w:bottom w:val="single" w:sz="6" w:space="3" w:color="auto"/>
          <w:right w:val="single" w:sz="6" w:space="4" w:color="auto"/>
        </w:pBdr>
        <w:shd w:val="clear" w:color="auto" w:fill="F2F2F2" w:themeFill="background1" w:themeFillShade="F2"/>
        <w:rPr>
          <w:rFonts w:cstheme="minorBidi"/>
          <w:color w:val="000000" w:themeColor="text1"/>
          <w:kern w:val="2"/>
          <w:szCs w:val="20"/>
          <w14:ligatures w14:val="standardContextual"/>
        </w:rPr>
      </w:pPr>
      <w:r w:rsidRPr="00711044">
        <w:rPr>
          <w:rFonts w:cstheme="minorBidi"/>
          <w:kern w:val="2"/>
          <w:szCs w:val="20"/>
          <w14:ligatures w14:val="standardContextual"/>
        </w:rPr>
        <w:t xml:space="preserve">The Department works in partnership with water corporations, catchment management authorities, government agencies, industry, Traditional Owners and the community to balance the economic, environmental and social values of water. This helps to deliver secure water supplies, greener and liveable cities and towns, </w:t>
      </w:r>
      <w:r w:rsidRPr="00711044">
        <w:rPr>
          <w:rFonts w:cstheme="minorBidi"/>
          <w:color w:val="000000" w:themeColor="text1"/>
          <w:kern w:val="2"/>
          <w:szCs w:val="20"/>
          <w14:ligatures w14:val="standardContextual"/>
        </w:rPr>
        <w:t>and the health and resilience of waterways and aquifers.</w:t>
      </w:r>
    </w:p>
    <w:p w14:paraId="27710401" w14:textId="77777777" w:rsidR="00824558" w:rsidRPr="00711044" w:rsidRDefault="00824558">
      <w:pPr>
        <w:pBdr>
          <w:top w:val="single" w:sz="6" w:space="3" w:color="auto"/>
          <w:left w:val="single" w:sz="6" w:space="4" w:color="auto"/>
          <w:bottom w:val="single" w:sz="6" w:space="3" w:color="auto"/>
          <w:right w:val="single" w:sz="6" w:space="4" w:color="auto"/>
        </w:pBdr>
        <w:shd w:val="clear" w:color="auto" w:fill="F2F2F2" w:themeFill="background1" w:themeFillShade="F2"/>
        <w:rPr>
          <w:rFonts w:cstheme="minorBidi"/>
          <w:color w:val="000000" w:themeColor="text1"/>
          <w:kern w:val="2"/>
          <w:szCs w:val="20"/>
          <w14:ligatures w14:val="standardContextual"/>
        </w:rPr>
      </w:pPr>
      <w:r w:rsidRPr="00711044">
        <w:rPr>
          <w:rFonts w:cstheme="minorBidi"/>
          <w:color w:val="000000" w:themeColor="text1"/>
          <w:kern w:val="2"/>
          <w:szCs w:val="20"/>
          <w14:ligatures w14:val="standardContextual"/>
        </w:rPr>
        <w:t>The departmental objective indicators are:</w:t>
      </w:r>
    </w:p>
    <w:p w14:paraId="35B358DB" w14:textId="77777777" w:rsidR="00824558" w:rsidRPr="00711044" w:rsidRDefault="00824558" w:rsidP="007D3EA5">
      <w:pPr>
        <w:pStyle w:val="ShadedBoxBullet"/>
      </w:pPr>
      <w:r w:rsidRPr="00711044">
        <w:t xml:space="preserve">number of waterway sites with maintained or improved environmental condition as a result of active management </w:t>
      </w:r>
    </w:p>
    <w:p w14:paraId="3C648FC4" w14:textId="77777777" w:rsidR="00824558" w:rsidRPr="00711044" w:rsidRDefault="00824558" w:rsidP="007D3EA5">
      <w:pPr>
        <w:pStyle w:val="ShadedBoxBullet"/>
      </w:pPr>
      <w:r w:rsidRPr="00711044">
        <w:t>cumulative water savings (permanent reduction in irrigation distribution system delivery losses) realised through water recovery projects.</w:t>
      </w:r>
    </w:p>
    <w:p w14:paraId="78EC339B" w14:textId="77777777" w:rsidR="00824558" w:rsidRDefault="00824558">
      <w:pPr>
        <w:pStyle w:val="Heading3"/>
      </w:pPr>
      <w:r>
        <w:t>Outputs</w:t>
      </w:r>
    </w:p>
    <w:p w14:paraId="1884C69C" w14:textId="680EADB5" w:rsidR="00824558" w:rsidRDefault="00824558">
      <w:pPr>
        <w:pStyle w:val="Heading3"/>
      </w:pPr>
      <w:r>
        <w:t>Water and Catchments</w:t>
      </w:r>
      <w:r>
        <w:tab/>
        <w:t>(2026-27: $</w:t>
      </w:r>
      <w:r w:rsidR="00017379">
        <w:t>302.9</w:t>
      </w:r>
      <w:r>
        <w:t xml:space="preserve"> million)</w:t>
      </w:r>
    </w:p>
    <w:p w14:paraId="38C4078B" w14:textId="4E7449C9" w:rsidR="00824558" w:rsidRDefault="00824558">
      <w:pPr>
        <w:keepNext/>
        <w:spacing w:after="120"/>
      </w:pPr>
      <w:r w:rsidRPr="00E12F07">
        <w:t>This output develops policies, provides strategic advice and oversees regulatory systems and institutional arrangements to effectively manage Victoria</w:t>
      </w:r>
      <w:r w:rsidR="007942D1">
        <w:t>’</w:t>
      </w:r>
      <w:r w:rsidRPr="00E12F07">
        <w:t>s water resources. Through this output, the Department delivers on</w:t>
      </w:r>
      <w:r>
        <w:noBreakHyphen/>
      </w:r>
      <w:r w:rsidRPr="00E12F07">
        <w:t>ground environmental programs to improve the health of waterways, water industry reform, governance and performance oversight, integrated water management</w:t>
      </w:r>
      <w:r>
        <w:t xml:space="preserve"> and</w:t>
      </w:r>
      <w:r w:rsidRPr="00E12F07">
        <w:t xml:space="preserve"> sustainable irrigation programs, </w:t>
      </w:r>
      <w:r w:rsidRPr="00E12F07">
        <w:rPr>
          <w:color w:val="000000" w:themeColor="text1"/>
        </w:rPr>
        <w:t>share water effectively and fairly and make water resource information accessible to enable informed decision</w:t>
      </w:r>
      <w:r>
        <w:rPr>
          <w:color w:val="000000" w:themeColor="text1"/>
        </w:rPr>
        <w:t>-</w:t>
      </w:r>
      <w:r w:rsidRPr="00E12F07">
        <w:t>making.</w:t>
      </w:r>
      <w:r>
        <w:t xml:space="preserve"> </w:t>
      </w:r>
    </w:p>
    <w:p w14:paraId="5362342A" w14:textId="4D1A6A6D" w:rsidR="00824558" w:rsidRPr="00711044" w:rsidRDefault="00824558">
      <w:pPr>
        <w:keepNext/>
        <w:spacing w:after="120"/>
      </w:pPr>
      <w:r>
        <w:t xml:space="preserve">This output has been renamed from the 2025-26 output </w:t>
      </w:r>
      <w:r w:rsidR="007942D1">
        <w:t>‘</w:t>
      </w:r>
      <w:r>
        <w:t>Effective Water Management and Supply</w:t>
      </w:r>
      <w:r w:rsidR="007942D1">
        <w:t>’</w:t>
      </w:r>
      <w:r>
        <w:t xml:space="preserve"> to better reflect the deliverables of the portfolio.</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676CFC4" w14:textId="77777777" w:rsidTr="000C2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97812D6" w14:textId="77777777" w:rsidR="00824558" w:rsidRDefault="00824558">
            <w:r>
              <w:t>Performance measure</w:t>
            </w:r>
          </w:p>
        </w:tc>
        <w:tc>
          <w:tcPr>
            <w:tcW w:w="964" w:type="dxa"/>
          </w:tcPr>
          <w:p w14:paraId="0E7784F2"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A33EC4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4FCAB7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C4A291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416B6F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2A1346DE"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070D7377" w14:textId="77777777" w:rsidR="00824558" w:rsidRPr="007D3EA5" w:rsidRDefault="00824558">
            <w:pPr>
              <w:keepNext/>
              <w:rPr>
                <w:b/>
              </w:rPr>
            </w:pPr>
            <w:r w:rsidRPr="007D3EA5">
              <w:rPr>
                <w:b/>
              </w:rPr>
              <w:t>Quantity</w:t>
            </w:r>
          </w:p>
        </w:tc>
      </w:tr>
      <w:tr w:rsidR="00824558" w14:paraId="0164DD55"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09273B0" w14:textId="77777777" w:rsidR="00824558" w:rsidRDefault="00824558">
            <w:pPr>
              <w:ind w:left="170"/>
            </w:pPr>
            <w:r>
              <w:t>Area of active stewardship to improve catchment health and resilience through broadacre management</w:t>
            </w:r>
          </w:p>
        </w:tc>
        <w:tc>
          <w:tcPr>
            <w:tcW w:w="964" w:type="dxa"/>
            <w:tcBorders>
              <w:bottom w:val="single" w:sz="6" w:space="0" w:color="auto"/>
            </w:tcBorders>
          </w:tcPr>
          <w:p w14:paraId="4D6CF3E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tcBorders>
              <w:bottom w:val="single" w:sz="6" w:space="0" w:color="auto"/>
            </w:tcBorders>
            <w:shd w:val="clear" w:color="auto" w:fill="F0F0F0"/>
          </w:tcPr>
          <w:p w14:paraId="67D53A35" w14:textId="77777777" w:rsidR="00824558" w:rsidRDefault="00824558">
            <w:pPr>
              <w:cnfStyle w:val="000000000000" w:firstRow="0" w:lastRow="0" w:firstColumn="0" w:lastColumn="0" w:oddVBand="0" w:evenVBand="0" w:oddHBand="0" w:evenHBand="0" w:firstRowFirstColumn="0" w:firstRowLastColumn="0" w:lastRowFirstColumn="0" w:lastRowLastColumn="0"/>
            </w:pPr>
            <w:r>
              <w:t>15 000</w:t>
            </w:r>
          </w:p>
        </w:tc>
        <w:tc>
          <w:tcPr>
            <w:tcW w:w="964" w:type="dxa"/>
            <w:tcBorders>
              <w:bottom w:val="single" w:sz="6" w:space="0" w:color="auto"/>
            </w:tcBorders>
          </w:tcPr>
          <w:p w14:paraId="7A26EEEC" w14:textId="77777777" w:rsidR="00824558" w:rsidRDefault="00824558">
            <w:pPr>
              <w:cnfStyle w:val="000000000000" w:firstRow="0" w:lastRow="0" w:firstColumn="0" w:lastColumn="0" w:oddVBand="0" w:evenVBand="0" w:oddHBand="0" w:evenHBand="0" w:firstRowFirstColumn="0" w:firstRowLastColumn="0" w:lastRowFirstColumn="0" w:lastRowLastColumn="0"/>
            </w:pPr>
            <w:r>
              <w:t>15 000</w:t>
            </w:r>
          </w:p>
        </w:tc>
        <w:tc>
          <w:tcPr>
            <w:tcW w:w="964" w:type="dxa"/>
            <w:tcBorders>
              <w:bottom w:val="single" w:sz="6" w:space="0" w:color="auto"/>
            </w:tcBorders>
          </w:tcPr>
          <w:p w14:paraId="42A8D49C" w14:textId="77777777" w:rsidR="00824558" w:rsidRDefault="00824558">
            <w:pPr>
              <w:cnfStyle w:val="000000000000" w:firstRow="0" w:lastRow="0" w:firstColumn="0" w:lastColumn="0" w:oddVBand="0" w:evenVBand="0" w:oddHBand="0" w:evenHBand="0" w:firstRowFirstColumn="0" w:firstRowLastColumn="0" w:lastRowFirstColumn="0" w:lastRowLastColumn="0"/>
            </w:pPr>
            <w:r>
              <w:t>15 000</w:t>
            </w:r>
          </w:p>
        </w:tc>
        <w:tc>
          <w:tcPr>
            <w:tcW w:w="964" w:type="dxa"/>
            <w:tcBorders>
              <w:bottom w:val="single" w:sz="6" w:space="0" w:color="auto"/>
            </w:tcBorders>
          </w:tcPr>
          <w:p w14:paraId="61F14EB2" w14:textId="77777777" w:rsidR="00824558" w:rsidRDefault="00824558">
            <w:pPr>
              <w:cnfStyle w:val="000000000000" w:firstRow="0" w:lastRow="0" w:firstColumn="0" w:lastColumn="0" w:oddVBand="0" w:evenVBand="0" w:oddHBand="0" w:evenHBand="0" w:firstRowFirstColumn="0" w:firstRowLastColumn="0" w:lastRowFirstColumn="0" w:lastRowLastColumn="0"/>
            </w:pPr>
            <w:r>
              <w:t>9 500</w:t>
            </w:r>
          </w:p>
        </w:tc>
      </w:tr>
      <w:tr w:rsidR="00824558" w14:paraId="33DFA449"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58BB11E" w14:textId="77777777" w:rsidR="00824558" w:rsidRDefault="00824558">
            <w:pPr>
              <w:ind w:left="170"/>
            </w:pPr>
            <w:r>
              <w:t>Area of waterway vegetation works undertaken to improve the health and resilience of waterways</w:t>
            </w:r>
          </w:p>
        </w:tc>
        <w:tc>
          <w:tcPr>
            <w:tcW w:w="964" w:type="dxa"/>
            <w:tcBorders>
              <w:bottom w:val="single" w:sz="6" w:space="0" w:color="auto"/>
            </w:tcBorders>
          </w:tcPr>
          <w:p w14:paraId="2B1677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hectares</w:t>
            </w:r>
          </w:p>
        </w:tc>
        <w:tc>
          <w:tcPr>
            <w:tcW w:w="964" w:type="dxa"/>
            <w:tcBorders>
              <w:bottom w:val="single" w:sz="6" w:space="0" w:color="auto"/>
            </w:tcBorders>
            <w:shd w:val="clear" w:color="auto" w:fill="F0F0F0"/>
          </w:tcPr>
          <w:p w14:paraId="1804CFDB" w14:textId="77777777" w:rsidR="00824558" w:rsidRDefault="00824558">
            <w:pPr>
              <w:cnfStyle w:val="000000000000" w:firstRow="0" w:lastRow="0" w:firstColumn="0" w:lastColumn="0" w:oddVBand="0" w:evenVBand="0" w:oddHBand="0" w:evenHBand="0" w:firstRowFirstColumn="0" w:firstRowLastColumn="0" w:lastRowFirstColumn="0" w:lastRowLastColumn="0"/>
            </w:pPr>
            <w:r>
              <w:t>8 000</w:t>
            </w:r>
          </w:p>
        </w:tc>
        <w:tc>
          <w:tcPr>
            <w:tcW w:w="964" w:type="dxa"/>
            <w:tcBorders>
              <w:bottom w:val="single" w:sz="6" w:space="0" w:color="auto"/>
            </w:tcBorders>
          </w:tcPr>
          <w:p w14:paraId="0BA6B83A" w14:textId="77777777" w:rsidR="00824558" w:rsidRDefault="00824558">
            <w:pPr>
              <w:cnfStyle w:val="000000000000" w:firstRow="0" w:lastRow="0" w:firstColumn="0" w:lastColumn="0" w:oddVBand="0" w:evenVBand="0" w:oddHBand="0" w:evenHBand="0" w:firstRowFirstColumn="0" w:firstRowLastColumn="0" w:lastRowFirstColumn="0" w:lastRowLastColumn="0"/>
            </w:pPr>
            <w:r>
              <w:t>7 813</w:t>
            </w:r>
          </w:p>
        </w:tc>
        <w:tc>
          <w:tcPr>
            <w:tcW w:w="964" w:type="dxa"/>
            <w:tcBorders>
              <w:bottom w:val="single" w:sz="6" w:space="0" w:color="auto"/>
            </w:tcBorders>
          </w:tcPr>
          <w:p w14:paraId="15F6329F" w14:textId="77777777" w:rsidR="00824558" w:rsidRDefault="00824558">
            <w:pPr>
              <w:cnfStyle w:val="000000000000" w:firstRow="0" w:lastRow="0" w:firstColumn="0" w:lastColumn="0" w:oddVBand="0" w:evenVBand="0" w:oddHBand="0" w:evenHBand="0" w:firstRowFirstColumn="0" w:firstRowLastColumn="0" w:lastRowFirstColumn="0" w:lastRowLastColumn="0"/>
            </w:pPr>
            <w:r>
              <w:t>8 000</w:t>
            </w:r>
          </w:p>
        </w:tc>
        <w:tc>
          <w:tcPr>
            <w:tcW w:w="964" w:type="dxa"/>
            <w:tcBorders>
              <w:bottom w:val="single" w:sz="6" w:space="0" w:color="auto"/>
            </w:tcBorders>
          </w:tcPr>
          <w:p w14:paraId="2100B9AB" w14:textId="77777777" w:rsidR="00824558" w:rsidRDefault="00824558">
            <w:pPr>
              <w:cnfStyle w:val="000000000000" w:firstRow="0" w:lastRow="0" w:firstColumn="0" w:lastColumn="0" w:oddVBand="0" w:evenVBand="0" w:oddHBand="0" w:evenHBand="0" w:firstRowFirstColumn="0" w:firstRowLastColumn="0" w:lastRowFirstColumn="0" w:lastRowLastColumn="0"/>
            </w:pPr>
            <w:r>
              <w:t>4 543</w:t>
            </w:r>
          </w:p>
        </w:tc>
      </w:tr>
      <w:tr w:rsidR="00824558" w14:paraId="3230E4FD"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AE4778" w14:textId="77777777" w:rsidR="00824558" w:rsidRDefault="00824558">
            <w:pPr>
              <w:ind w:left="170"/>
            </w:pPr>
            <w:r>
              <w:t>Environmental watering actions achieved at planned sites</w:t>
            </w:r>
          </w:p>
        </w:tc>
        <w:tc>
          <w:tcPr>
            <w:tcW w:w="964" w:type="dxa"/>
            <w:tcBorders>
              <w:bottom w:val="single" w:sz="6" w:space="0" w:color="auto"/>
            </w:tcBorders>
          </w:tcPr>
          <w:p w14:paraId="29F8989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103318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28F3D7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C35589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5957831"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2183E0CB"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8CD9B0C" w14:textId="77777777" w:rsidR="00824558" w:rsidRDefault="00824558">
            <w:pPr>
              <w:keepNext/>
              <w:ind w:left="170"/>
            </w:pPr>
            <w:r>
              <w:t>Households or community housing assisted in the Community Rebate and Housing Retrofit Program</w:t>
            </w:r>
          </w:p>
        </w:tc>
        <w:tc>
          <w:tcPr>
            <w:tcW w:w="964" w:type="dxa"/>
          </w:tcPr>
          <w:p w14:paraId="22C1EC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4A3A5D1"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w:t>
            </w:r>
          </w:p>
        </w:tc>
        <w:tc>
          <w:tcPr>
            <w:tcW w:w="964" w:type="dxa"/>
          </w:tcPr>
          <w:p w14:paraId="151CFB46" w14:textId="77777777" w:rsidR="00824558" w:rsidRDefault="00824558">
            <w:pPr>
              <w:cnfStyle w:val="000000000000" w:firstRow="0" w:lastRow="0" w:firstColumn="0" w:lastColumn="0" w:oddVBand="0" w:evenVBand="0" w:oddHBand="0" w:evenHBand="0" w:firstRowFirstColumn="0" w:firstRowLastColumn="0" w:lastRowFirstColumn="0" w:lastRowLastColumn="0"/>
            </w:pPr>
            <w:r>
              <w:t>1 610</w:t>
            </w:r>
          </w:p>
        </w:tc>
        <w:tc>
          <w:tcPr>
            <w:tcW w:w="964" w:type="dxa"/>
          </w:tcPr>
          <w:p w14:paraId="13E076B0"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Pr>
          <w:p w14:paraId="2535F1A4" w14:textId="77777777" w:rsidR="00824558" w:rsidRDefault="00824558">
            <w:pPr>
              <w:cnfStyle w:val="000000000000" w:firstRow="0" w:lastRow="0" w:firstColumn="0" w:lastColumn="0" w:oddVBand="0" w:evenVBand="0" w:oddHBand="0" w:evenHBand="0" w:firstRowFirstColumn="0" w:firstRowLastColumn="0" w:lastRowFirstColumn="0" w:lastRowLastColumn="0"/>
            </w:pPr>
            <w:r>
              <w:t>1 683</w:t>
            </w:r>
          </w:p>
        </w:tc>
      </w:tr>
      <w:tr w:rsidR="00824558" w14:paraId="1BA2925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B5398C5" w14:textId="77777777" w:rsidR="00824558" w:rsidRDefault="00824558">
            <w:pPr>
              <w:ind w:left="170"/>
            </w:pPr>
            <w:r>
              <w:rPr>
                <w:i/>
              </w:rPr>
              <w:t xml:space="preserve">The 2025-26 expected outcome is higher than the 2025-26 target because more households were able to be assisted within the program </w:t>
            </w:r>
            <w:r w:rsidRPr="006169C0">
              <w:rPr>
                <w:i/>
              </w:rPr>
              <w:t>scope</w:t>
            </w:r>
            <w:r>
              <w:rPr>
                <w:i/>
              </w:rPr>
              <w:t>.</w:t>
            </w:r>
          </w:p>
          <w:p w14:paraId="3118B348" w14:textId="77777777" w:rsidR="00824558" w:rsidRDefault="00824558">
            <w:pPr>
              <w:ind w:left="170"/>
            </w:pPr>
            <w:r>
              <w:rPr>
                <w:i/>
              </w:rPr>
              <w:t>The higher 2026-27 target reflects a higher proportion of individual residential customers expected to access the program compared to housing properties.</w:t>
            </w:r>
          </w:p>
        </w:tc>
      </w:tr>
      <w:tr w:rsidR="00824558" w14:paraId="33B3F9D4"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46D514DB" w14:textId="77777777" w:rsidR="00824558" w:rsidRDefault="00824558">
            <w:pPr>
              <w:keepNext/>
              <w:ind w:left="170"/>
            </w:pPr>
            <w:r>
              <w:lastRenderedPageBreak/>
              <w:t>Long-term water monitoring site parameters maintained</w:t>
            </w:r>
          </w:p>
        </w:tc>
        <w:tc>
          <w:tcPr>
            <w:tcW w:w="964" w:type="dxa"/>
          </w:tcPr>
          <w:p w14:paraId="778DFC0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D0BB7DF" w14:textId="77777777" w:rsidR="00824558" w:rsidRDefault="00824558">
            <w:pPr>
              <w:cnfStyle w:val="000000000000" w:firstRow="0" w:lastRow="0" w:firstColumn="0" w:lastColumn="0" w:oddVBand="0" w:evenVBand="0" w:oddHBand="0" w:evenHBand="0" w:firstRowFirstColumn="0" w:firstRowLastColumn="0" w:lastRowFirstColumn="0" w:lastRowLastColumn="0"/>
            </w:pPr>
            <w:r>
              <w:t>1 800</w:t>
            </w:r>
          </w:p>
        </w:tc>
        <w:tc>
          <w:tcPr>
            <w:tcW w:w="964" w:type="dxa"/>
          </w:tcPr>
          <w:p w14:paraId="6599B98E" w14:textId="77777777" w:rsidR="00824558" w:rsidRDefault="00824558">
            <w:pPr>
              <w:cnfStyle w:val="000000000000" w:firstRow="0" w:lastRow="0" w:firstColumn="0" w:lastColumn="0" w:oddVBand="0" w:evenVBand="0" w:oddHBand="0" w:evenHBand="0" w:firstRowFirstColumn="0" w:firstRowLastColumn="0" w:lastRowFirstColumn="0" w:lastRowLastColumn="0"/>
            </w:pPr>
            <w:r>
              <w:t>1 757</w:t>
            </w:r>
          </w:p>
        </w:tc>
        <w:tc>
          <w:tcPr>
            <w:tcW w:w="964" w:type="dxa"/>
          </w:tcPr>
          <w:p w14:paraId="55706ABB" w14:textId="77777777" w:rsidR="00824558" w:rsidRDefault="00824558">
            <w:pPr>
              <w:cnfStyle w:val="000000000000" w:firstRow="0" w:lastRow="0" w:firstColumn="0" w:lastColumn="0" w:oddVBand="0" w:evenVBand="0" w:oddHBand="0" w:evenHBand="0" w:firstRowFirstColumn="0" w:firstRowLastColumn="0" w:lastRowFirstColumn="0" w:lastRowLastColumn="0"/>
            </w:pPr>
            <w:r>
              <w:t>1 700</w:t>
            </w:r>
          </w:p>
        </w:tc>
        <w:tc>
          <w:tcPr>
            <w:tcW w:w="964" w:type="dxa"/>
          </w:tcPr>
          <w:p w14:paraId="54BB6239" w14:textId="77777777" w:rsidR="00824558" w:rsidRDefault="00824558">
            <w:pPr>
              <w:cnfStyle w:val="000000000000" w:firstRow="0" w:lastRow="0" w:firstColumn="0" w:lastColumn="0" w:oddVBand="0" w:evenVBand="0" w:oddHBand="0" w:evenHBand="0" w:firstRowFirstColumn="0" w:firstRowLastColumn="0" w:lastRowFirstColumn="0" w:lastRowLastColumn="0"/>
            </w:pPr>
            <w:r>
              <w:t>1 680</w:t>
            </w:r>
          </w:p>
        </w:tc>
      </w:tr>
      <w:tr w:rsidR="00824558" w14:paraId="5434B5AF"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83FAAE" w14:textId="32425010" w:rsidR="00824558" w:rsidRDefault="00824558">
            <w:pPr>
              <w:ind w:left="170"/>
            </w:pPr>
            <w:r>
              <w:rPr>
                <w:i/>
              </w:rPr>
              <w:t xml:space="preserve">The higher 2026-27 target reflects the cumulative nature of this measure, as the number of sites maintained meet the parameters criteria to become </w:t>
            </w:r>
            <w:r w:rsidR="007942D1">
              <w:rPr>
                <w:i/>
              </w:rPr>
              <w:t>‘</w:t>
            </w:r>
            <w:r>
              <w:rPr>
                <w:i/>
              </w:rPr>
              <w:t>long-term</w:t>
            </w:r>
            <w:r w:rsidR="007942D1">
              <w:rPr>
                <w:i/>
              </w:rPr>
              <w:t>’</w:t>
            </w:r>
            <w:r>
              <w:rPr>
                <w:i/>
              </w:rPr>
              <w:t>.</w:t>
            </w:r>
          </w:p>
        </w:tc>
      </w:tr>
      <w:tr w:rsidR="00824558" w14:paraId="7E144CF4"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052AD790" w14:textId="77777777" w:rsidR="00824558" w:rsidRDefault="00824558">
            <w:pPr>
              <w:keepNext/>
              <w:ind w:left="170"/>
            </w:pPr>
            <w:r>
              <w:t>New flood studies funded to ensure communities understand flood risk and to inform investment in flood warning and mitigation measures</w:t>
            </w:r>
          </w:p>
        </w:tc>
        <w:tc>
          <w:tcPr>
            <w:tcW w:w="964" w:type="dxa"/>
          </w:tcPr>
          <w:p w14:paraId="579C72B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7EAF583"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7BD95A2F"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C65B4BC"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44D36D48"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r>
      <w:tr w:rsidR="00824558" w14:paraId="0297CEE1"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D918C3" w14:textId="77777777" w:rsidR="00824558" w:rsidRDefault="00824558">
            <w:pPr>
              <w:ind w:left="170"/>
            </w:pPr>
            <w:r>
              <w:rPr>
                <w:i/>
              </w:rPr>
              <w:t xml:space="preserve">The 2025-26 expected outcome is higher than the 2025-26 target as more flood studies were able to be funded within the program. </w:t>
            </w:r>
          </w:p>
        </w:tc>
      </w:tr>
      <w:tr w:rsidR="00824558" w14:paraId="765459CE"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4E83FB8" w14:textId="722DF679" w:rsidR="00824558" w:rsidRDefault="00824558">
            <w:pPr>
              <w:keepNext/>
              <w:ind w:left="170"/>
            </w:pPr>
            <w:r>
              <w:t>Number of Traditional Owner groups funded to undertake self</w:t>
            </w:r>
            <w:r w:rsidR="002C490D">
              <w:noBreakHyphen/>
            </w:r>
            <w:r>
              <w:t>determined water projects</w:t>
            </w:r>
          </w:p>
        </w:tc>
        <w:tc>
          <w:tcPr>
            <w:tcW w:w="964" w:type="dxa"/>
          </w:tcPr>
          <w:p w14:paraId="2CE12F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5DE2D3F"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c>
          <w:tcPr>
            <w:tcW w:w="964" w:type="dxa"/>
          </w:tcPr>
          <w:p w14:paraId="477AADEA" w14:textId="77777777" w:rsidR="00824558" w:rsidRDefault="00824558">
            <w:pPr>
              <w:cnfStyle w:val="000000000000" w:firstRow="0" w:lastRow="0" w:firstColumn="0" w:lastColumn="0" w:oddVBand="0" w:evenVBand="0" w:oddHBand="0" w:evenHBand="0" w:firstRowFirstColumn="0" w:firstRowLastColumn="0" w:lastRowFirstColumn="0" w:lastRowLastColumn="0"/>
            </w:pPr>
            <w:r>
              <w:t>24</w:t>
            </w:r>
          </w:p>
        </w:tc>
        <w:tc>
          <w:tcPr>
            <w:tcW w:w="964" w:type="dxa"/>
          </w:tcPr>
          <w:p w14:paraId="486ED6A7"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F2DAD0B"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r>
      <w:tr w:rsidR="00824558" w14:paraId="767F1A49"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0639BC" w14:textId="3FF620D2" w:rsidR="00824558" w:rsidRDefault="00824558">
            <w:pPr>
              <w:ind w:left="170"/>
            </w:pPr>
            <w:r>
              <w:rPr>
                <w:i/>
              </w:rPr>
              <w:t xml:space="preserve">The 2025-26 expected outcome is higher than the 2025-26 target as the uptake of new partners through the Targeted Grants Round has been greater than anticipated due to readiness of Traditional Owners to undertake projects with </w:t>
            </w:r>
            <w:r w:rsidR="004A2204">
              <w:rPr>
                <w:i/>
              </w:rPr>
              <w:t>the Department of Energy, Environment and Climate Action (</w:t>
            </w:r>
            <w:r>
              <w:rPr>
                <w:i/>
              </w:rPr>
              <w:t>DEECA</w:t>
            </w:r>
            <w:r w:rsidR="004A2204">
              <w:rPr>
                <w:i/>
              </w:rPr>
              <w:t>)</w:t>
            </w:r>
            <w:r>
              <w:rPr>
                <w:i/>
              </w:rPr>
              <w:t>.</w:t>
            </w:r>
          </w:p>
          <w:p w14:paraId="12E1AB8E" w14:textId="77777777" w:rsidR="00824558" w:rsidRDefault="00824558">
            <w:pPr>
              <w:ind w:left="170"/>
            </w:pPr>
            <w:r>
              <w:rPr>
                <w:i/>
              </w:rPr>
              <w:t xml:space="preserve">The higher 2026-27 target reflects the anticipated growth of the Aboriginal Water program through targeted grants, which aims to increase the number of partners. </w:t>
            </w:r>
          </w:p>
        </w:tc>
      </w:tr>
      <w:tr w:rsidR="00824558" w14:paraId="0CFD8A66"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0520491A" w14:textId="77777777" w:rsidR="00824558" w:rsidRDefault="00824558">
            <w:pPr>
              <w:keepNext/>
              <w:ind w:left="170"/>
            </w:pPr>
            <w:r>
              <w:t>Place-based plans and actions completed for healthier communities and environments that encompass multiple values (Aboriginal, social, environmental and economic)</w:t>
            </w:r>
          </w:p>
        </w:tc>
        <w:tc>
          <w:tcPr>
            <w:tcW w:w="964" w:type="dxa"/>
          </w:tcPr>
          <w:p w14:paraId="42A1112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81D0E64"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4DBDF5C2"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0B89EEBE"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4598ABA4"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72FAA0D6"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5B31A08" w14:textId="77777777" w:rsidR="00824558" w:rsidRDefault="00824558">
            <w:pPr>
              <w:ind w:left="170"/>
            </w:pPr>
            <w:r>
              <w:rPr>
                <w:i/>
              </w:rPr>
              <w:t>The higher 2026-27 target reflects the number of plans and actions expected to be completed in the third-year roll-out of a four-year work program.</w:t>
            </w:r>
          </w:p>
        </w:tc>
      </w:tr>
      <w:tr w:rsidR="00824558" w14:paraId="21CC0932"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3F91C5E" w14:textId="77777777" w:rsidR="00824558" w:rsidRDefault="00824558">
            <w:pPr>
              <w:keepNext/>
              <w:ind w:left="170"/>
            </w:pPr>
            <w:r>
              <w:t>Schools signed up to Schools Water Efficiency Program (SWEP)</w:t>
            </w:r>
          </w:p>
        </w:tc>
        <w:tc>
          <w:tcPr>
            <w:tcW w:w="964" w:type="dxa"/>
          </w:tcPr>
          <w:p w14:paraId="56C207E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CB62D3D" w14:textId="77777777" w:rsidR="00824558" w:rsidRDefault="00824558">
            <w:pPr>
              <w:cnfStyle w:val="000000000000" w:firstRow="0" w:lastRow="0" w:firstColumn="0" w:lastColumn="0" w:oddVBand="0" w:evenVBand="0" w:oddHBand="0" w:evenHBand="0" w:firstRowFirstColumn="0" w:firstRowLastColumn="0" w:lastRowFirstColumn="0" w:lastRowLastColumn="0"/>
            </w:pPr>
            <w:r>
              <w:t>1 650</w:t>
            </w:r>
          </w:p>
        </w:tc>
        <w:tc>
          <w:tcPr>
            <w:tcW w:w="964" w:type="dxa"/>
          </w:tcPr>
          <w:p w14:paraId="23F274D3"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27787947"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53D15C3A" w14:textId="77777777" w:rsidR="00824558" w:rsidRDefault="00824558">
            <w:pPr>
              <w:cnfStyle w:val="000000000000" w:firstRow="0" w:lastRow="0" w:firstColumn="0" w:lastColumn="0" w:oddVBand="0" w:evenVBand="0" w:oddHBand="0" w:evenHBand="0" w:firstRowFirstColumn="0" w:firstRowLastColumn="0" w:lastRowFirstColumn="0" w:lastRowLastColumn="0"/>
            </w:pPr>
            <w:r>
              <w:t>1 500</w:t>
            </w:r>
          </w:p>
        </w:tc>
      </w:tr>
      <w:tr w:rsidR="00824558" w14:paraId="54375C23"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897AC3" w14:textId="77777777" w:rsidR="00824558" w:rsidRDefault="00824558">
            <w:pPr>
              <w:ind w:left="170"/>
            </w:pPr>
            <w:r>
              <w:rPr>
                <w:i/>
              </w:rPr>
              <w:t xml:space="preserve">The 2026-27 target is higher than the 2025-26 target due to the cumulative nature of this measure. </w:t>
            </w:r>
          </w:p>
        </w:tc>
      </w:tr>
      <w:tr w:rsidR="00824558" w:rsidRPr="007D3EA5" w14:paraId="431DE7F5"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6AD687A0" w14:textId="77777777" w:rsidR="00824558" w:rsidRPr="007D3EA5" w:rsidRDefault="00824558">
            <w:pPr>
              <w:keepNext/>
              <w:rPr>
                <w:b/>
              </w:rPr>
            </w:pPr>
            <w:r w:rsidRPr="007D3EA5">
              <w:rPr>
                <w:b/>
              </w:rPr>
              <w:t>Quality</w:t>
            </w:r>
          </w:p>
        </w:tc>
      </w:tr>
      <w:tr w:rsidR="00824558" w14:paraId="58AD7E89"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D586BF5" w14:textId="77777777" w:rsidR="00824558" w:rsidRDefault="00824558">
            <w:pPr>
              <w:ind w:left="170"/>
            </w:pPr>
            <w:r>
              <w:t>Compliance with the salinity management actions agreed in the Murray Darling Basin Agreement</w:t>
            </w:r>
          </w:p>
        </w:tc>
        <w:tc>
          <w:tcPr>
            <w:tcW w:w="964" w:type="dxa"/>
            <w:tcBorders>
              <w:bottom w:val="single" w:sz="6" w:space="0" w:color="auto"/>
            </w:tcBorders>
          </w:tcPr>
          <w:p w14:paraId="74327A8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F9490C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183BBA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5C2AB7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838DE1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478DA6A1"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2DC279D" w14:textId="77777777" w:rsidR="00824558" w:rsidRDefault="00824558">
            <w:pPr>
              <w:ind w:left="170"/>
            </w:pPr>
            <w:r>
              <w:t>Victorian Water Register system availability per annum</w:t>
            </w:r>
          </w:p>
        </w:tc>
        <w:tc>
          <w:tcPr>
            <w:tcW w:w="964" w:type="dxa"/>
            <w:tcBorders>
              <w:bottom w:val="single" w:sz="6" w:space="0" w:color="auto"/>
            </w:tcBorders>
          </w:tcPr>
          <w:p w14:paraId="22E85D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751D25C" w14:textId="77777777" w:rsidR="00824558" w:rsidRDefault="00824558">
            <w:pPr>
              <w:cnfStyle w:val="000000000000" w:firstRow="0" w:lastRow="0" w:firstColumn="0" w:lastColumn="0" w:oddVBand="0" w:evenVBand="0" w:oddHBand="0" w:evenHBand="0" w:firstRowFirstColumn="0" w:firstRowLastColumn="0" w:lastRowFirstColumn="0" w:lastRowLastColumn="0"/>
            </w:pPr>
            <w:r>
              <w:t>95.8</w:t>
            </w:r>
          </w:p>
        </w:tc>
        <w:tc>
          <w:tcPr>
            <w:tcW w:w="964" w:type="dxa"/>
            <w:tcBorders>
              <w:bottom w:val="single" w:sz="6" w:space="0" w:color="auto"/>
            </w:tcBorders>
          </w:tcPr>
          <w:p w14:paraId="28FFE1A6"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7B80690E" w14:textId="77777777" w:rsidR="00824558" w:rsidRDefault="00824558">
            <w:pPr>
              <w:cnfStyle w:val="000000000000" w:firstRow="0" w:lastRow="0" w:firstColumn="0" w:lastColumn="0" w:oddVBand="0" w:evenVBand="0" w:oddHBand="0" w:evenHBand="0" w:firstRowFirstColumn="0" w:firstRowLastColumn="0" w:lastRowFirstColumn="0" w:lastRowLastColumn="0"/>
            </w:pPr>
            <w:r>
              <w:t>95.8</w:t>
            </w:r>
          </w:p>
        </w:tc>
        <w:tc>
          <w:tcPr>
            <w:tcW w:w="964" w:type="dxa"/>
            <w:tcBorders>
              <w:bottom w:val="single" w:sz="6" w:space="0" w:color="auto"/>
            </w:tcBorders>
          </w:tcPr>
          <w:p w14:paraId="084B306E"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rsidRPr="007D3EA5" w14:paraId="11B42151"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Pr>
          <w:p w14:paraId="203E50F2" w14:textId="77777777" w:rsidR="00824558" w:rsidRPr="007D3EA5" w:rsidRDefault="00824558">
            <w:pPr>
              <w:keepNext/>
              <w:rPr>
                <w:b/>
              </w:rPr>
            </w:pPr>
            <w:r w:rsidRPr="007D3EA5">
              <w:rPr>
                <w:b/>
              </w:rPr>
              <w:t>Timeliness</w:t>
            </w:r>
          </w:p>
        </w:tc>
      </w:tr>
      <w:tr w:rsidR="00824558" w14:paraId="052C5C02" w14:textId="77777777" w:rsidTr="000C20F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66EEC41" w14:textId="77777777" w:rsidR="00824558" w:rsidRDefault="00824558">
            <w:pPr>
              <w:ind w:left="170"/>
            </w:pPr>
            <w:r>
              <w:t>Water market information products published annually to ensure water users can make informed decisions</w:t>
            </w:r>
          </w:p>
        </w:tc>
        <w:tc>
          <w:tcPr>
            <w:tcW w:w="964" w:type="dxa"/>
            <w:tcBorders>
              <w:bottom w:val="single" w:sz="6" w:space="0" w:color="auto"/>
            </w:tcBorders>
          </w:tcPr>
          <w:p w14:paraId="286A4C9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bottom w:val="single" w:sz="6" w:space="0" w:color="auto"/>
            </w:tcBorders>
            <w:shd w:val="clear" w:color="auto" w:fill="F0F0F0"/>
          </w:tcPr>
          <w:p w14:paraId="1107E6B7" w14:textId="5839F8EE" w:rsidR="00824558" w:rsidRDefault="00824558">
            <w:pPr>
              <w:cnfStyle w:val="000000000000" w:firstRow="0" w:lastRow="0" w:firstColumn="0" w:lastColumn="0" w:oddVBand="0" w:evenVBand="0" w:oddHBand="0" w:evenHBand="0" w:firstRowFirstColumn="0" w:firstRowLastColumn="0" w:lastRowFirstColumn="0" w:lastRowLastColumn="0"/>
            </w:pPr>
            <w:r>
              <w:t>Dec</w:t>
            </w:r>
            <w:r w:rsidR="000043ED">
              <w:t xml:space="preserve"> </w:t>
            </w:r>
            <w:r w:rsidR="008C09EA">
              <w:t>20</w:t>
            </w:r>
            <w:r>
              <w:t>26</w:t>
            </w:r>
          </w:p>
        </w:tc>
        <w:tc>
          <w:tcPr>
            <w:tcW w:w="964" w:type="dxa"/>
            <w:tcBorders>
              <w:bottom w:val="single" w:sz="6" w:space="0" w:color="auto"/>
            </w:tcBorders>
          </w:tcPr>
          <w:p w14:paraId="772AA902" w14:textId="483FA668" w:rsidR="00824558" w:rsidRDefault="00824558">
            <w:pPr>
              <w:cnfStyle w:val="000000000000" w:firstRow="0" w:lastRow="0" w:firstColumn="0" w:lastColumn="0" w:oddVBand="0" w:evenVBand="0" w:oddHBand="0" w:evenHBand="0" w:firstRowFirstColumn="0" w:firstRowLastColumn="0" w:lastRowFirstColumn="0" w:lastRowLastColumn="0"/>
            </w:pPr>
            <w:r>
              <w:t>Dec</w:t>
            </w:r>
            <w:r w:rsidR="000043ED">
              <w:t xml:space="preserve"> </w:t>
            </w:r>
            <w:r w:rsidR="008C09EA">
              <w:t>20</w:t>
            </w:r>
            <w:r>
              <w:t>25</w:t>
            </w:r>
          </w:p>
        </w:tc>
        <w:tc>
          <w:tcPr>
            <w:tcW w:w="964" w:type="dxa"/>
            <w:tcBorders>
              <w:bottom w:val="single" w:sz="6" w:space="0" w:color="auto"/>
            </w:tcBorders>
          </w:tcPr>
          <w:p w14:paraId="3AA2AA36" w14:textId="3F9CA15F" w:rsidR="00824558" w:rsidRDefault="00824558">
            <w:pPr>
              <w:cnfStyle w:val="000000000000" w:firstRow="0" w:lastRow="0" w:firstColumn="0" w:lastColumn="0" w:oddVBand="0" w:evenVBand="0" w:oddHBand="0" w:evenHBand="0" w:firstRowFirstColumn="0" w:firstRowLastColumn="0" w:lastRowFirstColumn="0" w:lastRowLastColumn="0"/>
            </w:pPr>
            <w:r>
              <w:t>Dec</w:t>
            </w:r>
            <w:r w:rsidR="000043ED">
              <w:t xml:space="preserve"> </w:t>
            </w:r>
            <w:r w:rsidR="008C09EA">
              <w:t>20</w:t>
            </w:r>
            <w:r>
              <w:t>25</w:t>
            </w:r>
          </w:p>
        </w:tc>
        <w:tc>
          <w:tcPr>
            <w:tcW w:w="964" w:type="dxa"/>
            <w:tcBorders>
              <w:bottom w:val="single" w:sz="6" w:space="0" w:color="auto"/>
            </w:tcBorders>
          </w:tcPr>
          <w:p w14:paraId="0D68B675" w14:textId="2DD8CC30" w:rsidR="00824558" w:rsidRDefault="00824558">
            <w:pPr>
              <w:cnfStyle w:val="000000000000" w:firstRow="0" w:lastRow="0" w:firstColumn="0" w:lastColumn="0" w:oddVBand="0" w:evenVBand="0" w:oddHBand="0" w:evenHBand="0" w:firstRowFirstColumn="0" w:firstRowLastColumn="0" w:lastRowFirstColumn="0" w:lastRowLastColumn="0"/>
            </w:pPr>
            <w:r>
              <w:t>Dec</w:t>
            </w:r>
            <w:r w:rsidR="000043ED">
              <w:t xml:space="preserve"> </w:t>
            </w:r>
            <w:r w:rsidR="008C09EA">
              <w:t>20</w:t>
            </w:r>
            <w:r>
              <w:t>24</w:t>
            </w:r>
          </w:p>
        </w:tc>
      </w:tr>
      <w:tr w:rsidR="00824558" w14:paraId="117F40EC" w14:textId="77777777" w:rsidTr="000C20F8">
        <w:tc>
          <w:tcPr>
            <w:cnfStyle w:val="001000000000" w:firstRow="0" w:lastRow="0" w:firstColumn="1" w:lastColumn="0" w:oddVBand="0" w:evenVBand="0" w:oddHBand="0" w:evenHBand="0" w:firstRowFirstColumn="0" w:firstRowLastColumn="0" w:lastRowFirstColumn="0" w:lastRowLastColumn="0"/>
            <w:tcW w:w="4819" w:type="dxa"/>
          </w:tcPr>
          <w:p w14:paraId="11D2605E" w14:textId="77777777" w:rsidR="00824558" w:rsidRDefault="00824558">
            <w:pPr>
              <w:keepNext/>
              <w:ind w:left="170"/>
            </w:pPr>
            <w:r>
              <w:t>Waterway licenses and permits processed within statutory timeframes</w:t>
            </w:r>
          </w:p>
        </w:tc>
        <w:tc>
          <w:tcPr>
            <w:tcW w:w="964" w:type="dxa"/>
          </w:tcPr>
          <w:p w14:paraId="4EC7ACF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D448AF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9947895"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c>
          <w:tcPr>
            <w:tcW w:w="964" w:type="dxa"/>
          </w:tcPr>
          <w:p w14:paraId="3FE2A4D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4DB05ED"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0F6DBCF2"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EA5FE5" w14:textId="77777777" w:rsidR="00824558" w:rsidRDefault="00824558">
            <w:pPr>
              <w:ind w:left="170"/>
            </w:pPr>
            <w:r>
              <w:rPr>
                <w:i/>
              </w:rPr>
              <w:t>The 2025-26 expected outcome is higher than the 2025-26 target reflecting greater organisational capability and efficiency by catchment management authorities in processing: new waterway licences and permits; development applications; and approvals referred by local councils within statutory timeframes.</w:t>
            </w:r>
          </w:p>
        </w:tc>
      </w:tr>
      <w:tr w:rsidR="000C20F8" w:rsidRPr="00DC0EBC" w14:paraId="5ADD2520" w14:textId="77777777" w:rsidTr="000C20F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6B0E20E" w14:textId="77777777" w:rsidR="000C20F8" w:rsidRPr="00DC0EBC" w:rsidRDefault="000C20F8">
            <w:pPr>
              <w:keepNext/>
              <w:rPr>
                <w:b/>
              </w:rPr>
            </w:pPr>
            <w:r w:rsidRPr="00DC0EBC">
              <w:rPr>
                <w:b/>
              </w:rPr>
              <w:t>Cost</w:t>
            </w:r>
          </w:p>
        </w:tc>
      </w:tr>
      <w:tr w:rsidR="000C20F8" w14:paraId="25568E03" w14:textId="77777777" w:rsidTr="00D64F84">
        <w:tc>
          <w:tcPr>
            <w:cnfStyle w:val="001000000000" w:firstRow="0" w:lastRow="0" w:firstColumn="1" w:lastColumn="0" w:oddVBand="0" w:evenVBand="0" w:oddHBand="0" w:evenHBand="0" w:firstRowFirstColumn="0" w:firstRowLastColumn="0" w:lastRowFirstColumn="0" w:lastRowLastColumn="0"/>
            <w:tcW w:w="4819" w:type="dxa"/>
          </w:tcPr>
          <w:p w14:paraId="70E627FF" w14:textId="77777777" w:rsidR="000C20F8" w:rsidRDefault="000C20F8">
            <w:pPr>
              <w:keepNext/>
              <w:ind w:left="170"/>
            </w:pPr>
            <w:r>
              <w:t>Total output cost</w:t>
            </w:r>
          </w:p>
        </w:tc>
        <w:tc>
          <w:tcPr>
            <w:tcW w:w="964" w:type="dxa"/>
          </w:tcPr>
          <w:p w14:paraId="489946A4" w14:textId="77777777" w:rsidR="000C20F8" w:rsidRDefault="000C20F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3B37D5B9" w14:textId="4B6E9372" w:rsidR="000C20F8" w:rsidRPr="004D0078" w:rsidRDefault="00BB3FAE">
            <w:pPr>
              <w:cnfStyle w:val="000000000000" w:firstRow="0" w:lastRow="0" w:firstColumn="0" w:lastColumn="0" w:oddVBand="0" w:evenVBand="0" w:oddHBand="0" w:evenHBand="0" w:firstRowFirstColumn="0" w:firstRowLastColumn="0" w:lastRowFirstColumn="0" w:lastRowLastColumn="0"/>
              <w:rPr>
                <w:highlight w:val="yellow"/>
              </w:rPr>
            </w:pPr>
            <w:r>
              <w:t>302.9</w:t>
            </w:r>
          </w:p>
        </w:tc>
        <w:tc>
          <w:tcPr>
            <w:tcW w:w="964" w:type="dxa"/>
          </w:tcPr>
          <w:p w14:paraId="680EF35F" w14:textId="1AE3958A" w:rsidR="000C20F8" w:rsidRPr="004D0078" w:rsidRDefault="00494516">
            <w:pPr>
              <w:cnfStyle w:val="000000000000" w:firstRow="0" w:lastRow="0" w:firstColumn="0" w:lastColumn="0" w:oddVBand="0" w:evenVBand="0" w:oddHBand="0" w:evenHBand="0" w:firstRowFirstColumn="0" w:firstRowLastColumn="0" w:lastRowFirstColumn="0" w:lastRowLastColumn="0"/>
              <w:rPr>
                <w:highlight w:val="yellow"/>
              </w:rPr>
            </w:pPr>
            <w:r w:rsidRPr="0016487A">
              <w:t>329.7</w:t>
            </w:r>
          </w:p>
        </w:tc>
        <w:tc>
          <w:tcPr>
            <w:tcW w:w="964" w:type="dxa"/>
          </w:tcPr>
          <w:p w14:paraId="209B6333" w14:textId="0BB53784" w:rsidR="000C20F8" w:rsidRPr="004D0078" w:rsidRDefault="00454AC1">
            <w:pPr>
              <w:cnfStyle w:val="000000000000" w:firstRow="0" w:lastRow="0" w:firstColumn="0" w:lastColumn="0" w:oddVBand="0" w:evenVBand="0" w:oddHBand="0" w:evenHBand="0" w:firstRowFirstColumn="0" w:firstRowLastColumn="0" w:lastRowFirstColumn="0" w:lastRowLastColumn="0"/>
              <w:rPr>
                <w:highlight w:val="yellow"/>
              </w:rPr>
            </w:pPr>
            <w:r w:rsidRPr="006E7FB5">
              <w:t>296.2</w:t>
            </w:r>
          </w:p>
        </w:tc>
        <w:tc>
          <w:tcPr>
            <w:tcW w:w="964" w:type="dxa"/>
          </w:tcPr>
          <w:p w14:paraId="04394D49" w14:textId="555028CC" w:rsidR="000C20F8" w:rsidRPr="004D0078" w:rsidRDefault="00D64F84">
            <w:pPr>
              <w:cnfStyle w:val="000000000000" w:firstRow="0" w:lastRow="0" w:firstColumn="0" w:lastColumn="0" w:oddVBand="0" w:evenVBand="0" w:oddHBand="0" w:evenHBand="0" w:firstRowFirstColumn="0" w:firstRowLastColumn="0" w:lastRowFirstColumn="0" w:lastRowLastColumn="0"/>
              <w:rPr>
                <w:highlight w:val="yellow"/>
              </w:rPr>
            </w:pPr>
            <w:r w:rsidRPr="000837CE">
              <w:t>296.0</w:t>
            </w:r>
          </w:p>
        </w:tc>
      </w:tr>
      <w:tr w:rsidR="00D64F84" w14:paraId="6E6997D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5B72740" w14:textId="711AB54C" w:rsidR="00D64F84" w:rsidRPr="000837CE" w:rsidRDefault="005A27ED" w:rsidP="005A27ED">
            <w:pPr>
              <w:ind w:left="170"/>
            </w:pPr>
            <w:r w:rsidRPr="005A27ED">
              <w:rPr>
                <w:i/>
              </w:rPr>
              <w:t xml:space="preserve">The 2025-26 expected outcome is higher than the 2025-26 target predominantly due to additional </w:t>
            </w:r>
            <w:r w:rsidR="00A414EA">
              <w:rPr>
                <w:i/>
              </w:rPr>
              <w:t>State</w:t>
            </w:r>
            <w:r w:rsidR="00AE7D05">
              <w:rPr>
                <w:i/>
              </w:rPr>
              <w:t xml:space="preserve"> </w:t>
            </w:r>
            <w:r w:rsidRPr="005A27ED">
              <w:rPr>
                <w:i/>
              </w:rPr>
              <w:t>government funding for drought</w:t>
            </w:r>
            <w:r w:rsidR="00A81EF8">
              <w:rPr>
                <w:i/>
              </w:rPr>
              <w:noBreakHyphen/>
            </w:r>
            <w:r w:rsidRPr="005A27ED">
              <w:rPr>
                <w:i/>
              </w:rPr>
              <w:t>related support provided to communities in 2025-26</w:t>
            </w:r>
            <w:r w:rsidR="00A81EF8">
              <w:rPr>
                <w:i/>
              </w:rPr>
              <w:t>,</w:t>
            </w:r>
            <w:r w:rsidRPr="005A27ED">
              <w:rPr>
                <w:i/>
              </w:rPr>
              <w:t xml:space="preserve"> and additional Commonwealth funding provided for various initiatives such as Detailed Assessments of the Restoring Flows to the Mallee Floodplain Project and the Urban Rivers and Catchments program.</w:t>
            </w:r>
          </w:p>
        </w:tc>
      </w:tr>
    </w:tbl>
    <w:p w14:paraId="7FF640D7" w14:textId="77777777" w:rsidR="00824558" w:rsidRDefault="00824558">
      <w:pPr>
        <w:pStyle w:val="Source"/>
      </w:pPr>
      <w:r>
        <w:t>Source: Department of Energy, Environment and Climate Action</w:t>
      </w:r>
    </w:p>
    <w:p w14:paraId="0DE73B69" w14:textId="77777777" w:rsidR="00342D8C" w:rsidRDefault="00342D8C" w:rsidP="00342D8C"/>
    <w:p w14:paraId="55960E56" w14:textId="77777777" w:rsidR="00342D8C" w:rsidRDefault="00342D8C" w:rsidP="00342D8C"/>
    <w:p w14:paraId="762E2133" w14:textId="77777777" w:rsidR="00342D8C" w:rsidRDefault="00342D8C" w:rsidP="00342D8C">
      <w:pPr>
        <w:sectPr w:rsidR="00342D8C" w:rsidSect="001F14A3">
          <w:footerReference w:type="even" r:id="rId22"/>
          <w:footerReference w:type="default" r:id="rId23"/>
          <w:pgSz w:w="11907" w:h="16840" w:code="9"/>
          <w:pgMar w:top="1138" w:right="1138" w:bottom="1138" w:left="1138" w:header="619" w:footer="562" w:gutter="0"/>
          <w:cols w:space="708"/>
          <w:docGrid w:linePitch="360"/>
        </w:sectPr>
      </w:pPr>
    </w:p>
    <w:p w14:paraId="3A1D732E" w14:textId="77F8B7FA" w:rsidR="00824558" w:rsidRDefault="00824558" w:rsidP="002E0B49">
      <w:pPr>
        <w:pStyle w:val="Heading1"/>
        <w:pageBreakBefore/>
        <w:spacing w:before="0"/>
      </w:pPr>
      <w:bookmarkStart w:id="6" w:name="_Toc228288097"/>
      <w:r w:rsidRPr="00097761">
        <w:lastRenderedPageBreak/>
        <w:t>Department of Families, Fairness and Housing</w:t>
      </w:r>
      <w:bookmarkEnd w:id="6"/>
    </w:p>
    <w:p w14:paraId="16D87CB6" w14:textId="77777777" w:rsidR="00824558" w:rsidRDefault="00824558">
      <w:pPr>
        <w:pStyle w:val="Heading2"/>
      </w:pPr>
      <w:r>
        <w:t>Ministerial portfolios</w:t>
      </w:r>
    </w:p>
    <w:p w14:paraId="0A351329" w14:textId="368F99BD" w:rsidR="00824558" w:rsidRPr="00097761" w:rsidRDefault="00824558">
      <w:r w:rsidRPr="0050166E">
        <w:t>The Department supports the ministerial portfolios of Children, Prevention of Family Violence, Disability, Carers and Volunteers, Ageing, Veterans, Equality, Women, Youth and Housing and Building.</w:t>
      </w:r>
    </w:p>
    <w:p w14:paraId="312CB27C" w14:textId="2FD0FEA1" w:rsidR="00824558" w:rsidRDefault="00824558">
      <w:pPr>
        <w:pStyle w:val="Heading2"/>
      </w:pPr>
      <w:r>
        <w:t>Departmental mission statement</w:t>
      </w:r>
      <w:r w:rsidR="001A61C2">
        <w:t xml:space="preserve"> </w:t>
      </w:r>
      <w:r w:rsidR="001A61C2">
        <w:rPr>
          <w:vertAlign w:val="superscript"/>
        </w:rPr>
        <w:t>(a)</w:t>
      </w:r>
    </w:p>
    <w:p w14:paraId="1AC8076E" w14:textId="3E4A2893" w:rsidR="00824558" w:rsidRDefault="00824558">
      <w:pPr>
        <w:rPr>
          <w:vertAlign w:val="superscript"/>
        </w:rPr>
      </w:pPr>
      <w:r w:rsidRPr="00B445BA">
        <w:t>The Department of Families, Fairness and Housing</w:t>
      </w:r>
      <w:r w:rsidR="007942D1">
        <w:t>’</w:t>
      </w:r>
      <w:r w:rsidRPr="00B445BA">
        <w:t>s vision is safe and supported children and families, in stable homes and strong communities. We will achieve this by standing up for inclusion and equality, preventing harm and discrimination, and delivering social and housing support for Victorians who need it.</w:t>
      </w:r>
    </w:p>
    <w:p w14:paraId="5242C3B6" w14:textId="77777777" w:rsidR="00EC7663" w:rsidRPr="00447D65" w:rsidRDefault="00EC7663" w:rsidP="00EC7663">
      <w:pPr>
        <w:pStyle w:val="Note"/>
      </w:pPr>
      <w:r w:rsidRPr="00447D65">
        <w:t>Note:</w:t>
      </w:r>
    </w:p>
    <w:p w14:paraId="3E0C26CE" w14:textId="4FE06785" w:rsidR="00EC7663" w:rsidRDefault="00EC7663" w:rsidP="00EC7663">
      <w:pPr>
        <w:pStyle w:val="Note"/>
      </w:pPr>
      <w:r>
        <w:t>(a)</w:t>
      </w:r>
      <w:r>
        <w:tab/>
      </w:r>
      <w:r w:rsidRPr="00447D65">
        <w:t>The 2026-27</w:t>
      </w:r>
      <w:r>
        <w:t xml:space="preserve"> departmental mission statement</w:t>
      </w:r>
      <w:r w:rsidRPr="00447D65">
        <w:t xml:space="preserve"> ha</w:t>
      </w:r>
      <w:r>
        <w:t>s</w:t>
      </w:r>
      <w:r w:rsidRPr="00447D65">
        <w:t xml:space="preserve"> been adjusted for greater clarity.</w:t>
      </w:r>
    </w:p>
    <w:p w14:paraId="06D1CC46" w14:textId="0EC286AD" w:rsidR="00824558" w:rsidRPr="00447D65" w:rsidRDefault="00824558">
      <w:pPr>
        <w:pStyle w:val="Heading2"/>
        <w:rPr>
          <w:vertAlign w:val="superscript"/>
        </w:rPr>
      </w:pPr>
      <w:r>
        <w:t>Departmental objectives</w:t>
      </w:r>
      <w:r w:rsidR="00261398">
        <w:t xml:space="preserve"> </w:t>
      </w:r>
      <w:r>
        <w:rPr>
          <w:vertAlign w:val="superscript"/>
        </w:rPr>
        <w:t>(a)</w:t>
      </w:r>
    </w:p>
    <w:p w14:paraId="39964D95" w14:textId="77777777" w:rsidR="00824558" w:rsidRDefault="00824558">
      <w:r>
        <w:t>D</w:t>
      </w:r>
      <w:r w:rsidRPr="00954863">
        <w:t>epar</w:t>
      </w:r>
      <w:r>
        <w:t>t</w:t>
      </w:r>
      <w:r w:rsidRPr="00954863">
        <w:t>mental outputs have the following objectives</w:t>
      </w:r>
      <w:r>
        <w:t>.</w:t>
      </w:r>
    </w:p>
    <w:p w14:paraId="562B10CA" w14:textId="52D02AAC" w:rsidR="00824558" w:rsidRDefault="00824558">
      <w:pPr>
        <w:pStyle w:val="Heading3"/>
      </w:pPr>
      <w:r>
        <w:t>Aboriginal voice, knowledge and cultural leadership drive Aboriginal policy, legislation and system</w:t>
      </w:r>
      <w:r w:rsidR="000D209E">
        <w:t> </w:t>
      </w:r>
      <w:r>
        <w:t>reform</w:t>
      </w:r>
    </w:p>
    <w:p w14:paraId="4D2FF00C" w14:textId="77777777" w:rsidR="00824558" w:rsidRPr="007E7A61" w:rsidRDefault="00824558">
      <w:pPr>
        <w:rPr>
          <w:vertAlign w:val="superscript"/>
        </w:rPr>
      </w:pPr>
      <w:r>
        <w:t>Self-determination enables the wellbeing of Aboriginal Victorians. We will actively address systems and structures that inhibit self-determination with the partnership and leadership of the Victorian Aboriginal community.</w:t>
      </w:r>
    </w:p>
    <w:p w14:paraId="4318CDF5" w14:textId="77777777" w:rsidR="00824558" w:rsidRDefault="00824558">
      <w:pPr>
        <w:pStyle w:val="Heading3"/>
      </w:pPr>
      <w:r>
        <w:t>Children, young people and families are safe, strong and supported</w:t>
      </w:r>
    </w:p>
    <w:p w14:paraId="29A2026D" w14:textId="62F0D6CF" w:rsidR="00824558" w:rsidRDefault="00824558">
      <w:r>
        <w:t>This objective aims to ensure that Victorian families, carers and individuals have respectful relationships and are safe from harm, fear and neglect in their homes. This includes addressing the compounding effects of abuse and violence</w:t>
      </w:r>
      <w:r w:rsidR="003F4D20">
        <w:t>,</w:t>
      </w:r>
      <w:r>
        <w:t xml:space="preserve"> improving support and recovery for victim survivors and engaging with perpetrators of violence to help them to change their behaviour and ensuring the wellbeing of children and young people in care.</w:t>
      </w:r>
    </w:p>
    <w:p w14:paraId="4743E1F2" w14:textId="77777777" w:rsidR="00824558" w:rsidRDefault="00824558">
      <w:pPr>
        <w:pStyle w:val="Heading3"/>
      </w:pPr>
      <w:r>
        <w:t>Victorian communities are safe, fair, inclusive and resilient</w:t>
      </w:r>
    </w:p>
    <w:p w14:paraId="123FCC4C" w14:textId="77777777" w:rsidR="00824558" w:rsidRDefault="00824558">
      <w:r>
        <w:t>This objective aims to ensure Victorians are socially connected to their community in a way that enhances their safety and wellbeing. Strong communities are critical in fostering social inclusion and participation and ensuring that Victorians from intersectional communities can safely identify with their culture, express their identity and build support networks with people they trust.</w:t>
      </w:r>
    </w:p>
    <w:p w14:paraId="348D28BF" w14:textId="77777777" w:rsidR="00824558" w:rsidRDefault="00824558">
      <w:pPr>
        <w:pStyle w:val="Heading3"/>
      </w:pPr>
      <w:r>
        <w:t>All Victorians have stable, affordable and appropriate housing</w:t>
      </w:r>
    </w:p>
    <w:p w14:paraId="2660F683" w14:textId="029CB27A" w:rsidR="00824558" w:rsidRDefault="00824558">
      <w:r>
        <w:t>This objective aims to ensure Victorians have safe homes that provide emotional and physical sanctuary. Victorians have security of tenure in housing that is appropriate to their needs, including that it is accessible, high</w:t>
      </w:r>
      <w:r w:rsidR="00105CC1">
        <w:t> </w:t>
      </w:r>
      <w:r>
        <w:t>quality, affordable and tailored to them. This outcome includes supports to address and reduce housing insecurity and homelessness, to enable suitable housing for all.</w:t>
      </w:r>
    </w:p>
    <w:p w14:paraId="70DDD23C" w14:textId="77777777" w:rsidR="00824558" w:rsidRDefault="00824558">
      <w:pPr>
        <w:pStyle w:val="Heading3"/>
      </w:pPr>
      <w:r>
        <w:t>Our social services system is integrated, effective, person-centred and sustainable</w:t>
      </w:r>
    </w:p>
    <w:p w14:paraId="08D72F0D" w14:textId="77777777" w:rsidR="00824558" w:rsidRDefault="00824558">
      <w:r>
        <w:t>The social services system is joined up and provides safe, effective and appropriate services that respond to the needs, preferences and circumstances of Victorians. Our corporate functions and IT systems facilitate efficient service delivery, administration and oversight, and our workforce is sustainable and highly skilled. We nurture strong partnerships with funded agencies, and we deploy data and evidence to continuously improve.</w:t>
      </w:r>
    </w:p>
    <w:p w14:paraId="4234C4E3" w14:textId="77777777" w:rsidR="00824558" w:rsidRPr="00447D65" w:rsidRDefault="00824558">
      <w:pPr>
        <w:pStyle w:val="Note"/>
      </w:pPr>
      <w:r w:rsidRPr="00447D65">
        <w:t>Note:</w:t>
      </w:r>
    </w:p>
    <w:p w14:paraId="7D721705" w14:textId="06B02EE1" w:rsidR="00824558" w:rsidRPr="00447D65" w:rsidRDefault="00105CC1" w:rsidP="00105CC1">
      <w:pPr>
        <w:pStyle w:val="Note"/>
      </w:pPr>
      <w:r>
        <w:t>(a)</w:t>
      </w:r>
      <w:r>
        <w:tab/>
      </w:r>
      <w:r w:rsidR="00824558" w:rsidRPr="00447D65">
        <w:t>The 2026-27 department objective descriptions have been adjusted for greater clarity.</w:t>
      </w:r>
    </w:p>
    <w:p w14:paraId="75C923C4" w14:textId="77777777" w:rsidR="00824558" w:rsidRDefault="00824558">
      <w:pPr>
        <w:pStyle w:val="Heading2"/>
      </w:pPr>
      <w:r>
        <w:t>Output summary by departmental objectives</w:t>
      </w:r>
    </w:p>
    <w:p w14:paraId="406E0C84" w14:textId="1D7767E4" w:rsidR="00824558" w:rsidRDefault="00824558">
      <w:r>
        <w:t>The Department</w:t>
      </w:r>
      <w:r w:rsidR="007942D1">
        <w:t>’</w:t>
      </w:r>
      <w:r>
        <w:t>s outputs and funding are provided in the table below. Detailed descriptions of objectives and outputs are presented below.</w:t>
      </w:r>
    </w:p>
    <w:p w14:paraId="47F20E9C" w14:textId="639AF06B" w:rsidR="00F000DC" w:rsidRPr="00D06853" w:rsidRDefault="00F000DC" w:rsidP="00F000DC">
      <w:pPr>
        <w:pStyle w:val="TableHeading"/>
      </w:pPr>
      <w:r w:rsidRPr="00D06853">
        <w:lastRenderedPageBreak/>
        <w:t xml:space="preserve">Table </w:t>
      </w:r>
      <w:r w:rsidR="001604B4">
        <w:t>7</w:t>
      </w:r>
      <w:r w:rsidRPr="00D06853">
        <w:t>:</w:t>
      </w:r>
      <w:r w:rsidRPr="00D06853">
        <w:tab/>
        <w:t>Output summary</w:t>
      </w:r>
      <w:r w:rsidRPr="00D06853">
        <w:tab/>
        <w:t>($ million)</w:t>
      </w:r>
    </w:p>
    <w:tbl>
      <w:tblPr>
        <w:tblStyle w:val="DTFTableNumeric"/>
        <w:tblW w:w="9638" w:type="dxa"/>
        <w:tblLayout w:type="fixed"/>
        <w:tblLook w:val="06E0" w:firstRow="1" w:lastRow="1" w:firstColumn="1" w:lastColumn="0" w:noHBand="1" w:noVBand="1"/>
        <w:tblDescription w:val="Type:DtfTable|Workbook:https://vicgov.sharepoint.com/sites/VG002735/Department%20Performance%20Statement/001.%20Admin/Financial%20tables/Output%20summary/2026-27/2026-27%20Output%20costs.xlsx|Table:DFFH_Summary|TableGroup:OutputSummary"/>
      </w:tblPr>
      <w:tblGrid>
        <w:gridCol w:w="6010"/>
        <w:gridCol w:w="907"/>
        <w:gridCol w:w="907"/>
        <w:gridCol w:w="907"/>
        <w:gridCol w:w="907"/>
      </w:tblGrid>
      <w:tr w:rsidR="00B869B5" w14:paraId="1DA62FBF" w14:textId="77777777" w:rsidTr="005465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030995" w14:textId="77777777" w:rsidR="00B869B5" w:rsidRDefault="00B869B5">
            <w:pPr>
              <w:keepNext/>
            </w:pPr>
          </w:p>
        </w:tc>
        <w:tc>
          <w:tcPr>
            <w:tcW w:w="907" w:type="dxa"/>
          </w:tcPr>
          <w:p w14:paraId="23936BC7" w14:textId="77777777" w:rsidR="00B869B5" w:rsidRDefault="00B869B5">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699A722E" w14:textId="77777777" w:rsidR="00B869B5" w:rsidRDefault="00B869B5">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651B3416" w14:textId="77777777" w:rsidR="00B869B5" w:rsidRDefault="00B869B5">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5FAA26FA" w14:textId="77777777" w:rsidR="00B869B5" w:rsidRDefault="00B869B5">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B869B5" w14:paraId="423D79F7"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0B826D95" w14:textId="77777777" w:rsidR="00B869B5" w:rsidRDefault="00B869B5">
            <w:r>
              <w:rPr>
                <w:b/>
              </w:rPr>
              <w:t>Children, young people and families are safe, strong and supported</w:t>
            </w:r>
          </w:p>
        </w:tc>
        <w:tc>
          <w:tcPr>
            <w:tcW w:w="907" w:type="dxa"/>
          </w:tcPr>
          <w:p w14:paraId="25B2B3A3"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53A24B21"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142925CE"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099C0A22"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r>
      <w:tr w:rsidR="00B869B5" w14:paraId="6F549AF8"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4B7CDABC" w14:textId="35C2C9E3" w:rsidR="00B869B5" w:rsidRDefault="00B869B5">
            <w:r>
              <w:t>Child Protection and Family Services</w:t>
            </w:r>
            <w:r w:rsidR="00A223F2">
              <w:t xml:space="preserve"> </w:t>
            </w:r>
            <w:r w:rsidRPr="00B22AD4">
              <w:rPr>
                <w:vertAlign w:val="superscript"/>
              </w:rPr>
              <w:t>(b)</w:t>
            </w:r>
          </w:p>
        </w:tc>
        <w:tc>
          <w:tcPr>
            <w:tcW w:w="907" w:type="dxa"/>
          </w:tcPr>
          <w:p w14:paraId="0FE04E9E" w14:textId="77777777" w:rsidR="00B869B5" w:rsidRDefault="00B869B5">
            <w:pPr>
              <w:cnfStyle w:val="000000000000" w:firstRow="0" w:lastRow="0" w:firstColumn="0" w:lastColumn="0" w:oddVBand="0" w:evenVBand="0" w:oddHBand="0" w:evenHBand="0" w:firstRowFirstColumn="0" w:firstRowLastColumn="0" w:lastRowFirstColumn="0" w:lastRowLastColumn="0"/>
            </w:pPr>
            <w:r>
              <w:t>2 193.4</w:t>
            </w:r>
          </w:p>
        </w:tc>
        <w:tc>
          <w:tcPr>
            <w:tcW w:w="907" w:type="dxa"/>
          </w:tcPr>
          <w:p w14:paraId="2B34C197" w14:textId="77777777" w:rsidR="00B869B5" w:rsidRDefault="00B869B5">
            <w:pPr>
              <w:cnfStyle w:val="000000000000" w:firstRow="0" w:lastRow="0" w:firstColumn="0" w:lastColumn="0" w:oddVBand="0" w:evenVBand="0" w:oddHBand="0" w:evenHBand="0" w:firstRowFirstColumn="0" w:firstRowLastColumn="0" w:lastRowFirstColumn="0" w:lastRowLastColumn="0"/>
            </w:pPr>
            <w:r>
              <w:t>2 253.3</w:t>
            </w:r>
          </w:p>
        </w:tc>
        <w:tc>
          <w:tcPr>
            <w:tcW w:w="907" w:type="dxa"/>
          </w:tcPr>
          <w:p w14:paraId="21F38E8E" w14:textId="77777777" w:rsidR="00B869B5" w:rsidRDefault="00B869B5">
            <w:pPr>
              <w:cnfStyle w:val="000000000000" w:firstRow="0" w:lastRow="0" w:firstColumn="0" w:lastColumn="0" w:oddVBand="0" w:evenVBand="0" w:oddHBand="0" w:evenHBand="0" w:firstRowFirstColumn="0" w:firstRowLastColumn="0" w:lastRowFirstColumn="0" w:lastRowLastColumn="0"/>
            </w:pPr>
            <w:r>
              <w:t>2 393.2</w:t>
            </w:r>
          </w:p>
        </w:tc>
        <w:tc>
          <w:tcPr>
            <w:tcW w:w="907" w:type="dxa"/>
          </w:tcPr>
          <w:p w14:paraId="17B0A91E" w14:textId="77777777" w:rsidR="00B869B5" w:rsidRDefault="00B869B5">
            <w:pPr>
              <w:cnfStyle w:val="000000000000" w:firstRow="0" w:lastRow="0" w:firstColumn="0" w:lastColumn="0" w:oddVBand="0" w:evenVBand="0" w:oddHBand="0" w:evenHBand="0" w:firstRowFirstColumn="0" w:firstRowLastColumn="0" w:lastRowFirstColumn="0" w:lastRowLastColumn="0"/>
            </w:pPr>
            <w:r>
              <w:t>9.1</w:t>
            </w:r>
          </w:p>
        </w:tc>
      </w:tr>
      <w:tr w:rsidR="00B869B5" w14:paraId="0C1C66A6"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1BCA0957" w14:textId="4046B26C" w:rsidR="00B869B5" w:rsidRDefault="00B869B5">
            <w:r>
              <w:t>Family Violence Service Delivery</w:t>
            </w:r>
            <w:r w:rsidR="00A223F2">
              <w:t xml:space="preserve"> </w:t>
            </w:r>
            <w:r w:rsidRPr="00B22AD4">
              <w:rPr>
                <w:vertAlign w:val="superscript"/>
              </w:rPr>
              <w:t>(c)</w:t>
            </w:r>
          </w:p>
        </w:tc>
        <w:tc>
          <w:tcPr>
            <w:tcW w:w="907" w:type="dxa"/>
          </w:tcPr>
          <w:p w14:paraId="30D52227" w14:textId="77777777" w:rsidR="00B869B5" w:rsidRDefault="00B869B5">
            <w:pPr>
              <w:cnfStyle w:val="000000000000" w:firstRow="0" w:lastRow="0" w:firstColumn="0" w:lastColumn="0" w:oddVBand="0" w:evenVBand="0" w:oddHBand="0" w:evenHBand="0" w:firstRowFirstColumn="0" w:firstRowLastColumn="0" w:lastRowFirstColumn="0" w:lastRowLastColumn="0"/>
            </w:pPr>
            <w:r>
              <w:t>786.9</w:t>
            </w:r>
          </w:p>
        </w:tc>
        <w:tc>
          <w:tcPr>
            <w:tcW w:w="907" w:type="dxa"/>
          </w:tcPr>
          <w:p w14:paraId="7B8BF9F2" w14:textId="77777777" w:rsidR="00B869B5" w:rsidRDefault="00B869B5">
            <w:pPr>
              <w:cnfStyle w:val="000000000000" w:firstRow="0" w:lastRow="0" w:firstColumn="0" w:lastColumn="0" w:oddVBand="0" w:evenVBand="0" w:oddHBand="0" w:evenHBand="0" w:firstRowFirstColumn="0" w:firstRowLastColumn="0" w:lastRowFirstColumn="0" w:lastRowLastColumn="0"/>
            </w:pPr>
            <w:r>
              <w:t>813.4</w:t>
            </w:r>
          </w:p>
        </w:tc>
        <w:tc>
          <w:tcPr>
            <w:tcW w:w="907" w:type="dxa"/>
          </w:tcPr>
          <w:p w14:paraId="4400B991" w14:textId="77777777" w:rsidR="00B869B5" w:rsidRDefault="00B869B5">
            <w:pPr>
              <w:cnfStyle w:val="000000000000" w:firstRow="0" w:lastRow="0" w:firstColumn="0" w:lastColumn="0" w:oddVBand="0" w:evenVBand="0" w:oddHBand="0" w:evenHBand="0" w:firstRowFirstColumn="0" w:firstRowLastColumn="0" w:lastRowFirstColumn="0" w:lastRowLastColumn="0"/>
            </w:pPr>
            <w:r>
              <w:t>842.5</w:t>
            </w:r>
          </w:p>
        </w:tc>
        <w:tc>
          <w:tcPr>
            <w:tcW w:w="907" w:type="dxa"/>
          </w:tcPr>
          <w:p w14:paraId="6ADBC4DE" w14:textId="77777777" w:rsidR="00B869B5" w:rsidRDefault="00B869B5">
            <w:pPr>
              <w:cnfStyle w:val="000000000000" w:firstRow="0" w:lastRow="0" w:firstColumn="0" w:lastColumn="0" w:oddVBand="0" w:evenVBand="0" w:oddHBand="0" w:evenHBand="0" w:firstRowFirstColumn="0" w:firstRowLastColumn="0" w:lastRowFirstColumn="0" w:lastRowLastColumn="0"/>
            </w:pPr>
            <w:r>
              <w:t>7.1</w:t>
            </w:r>
          </w:p>
        </w:tc>
      </w:tr>
      <w:tr w:rsidR="00B869B5" w14:paraId="295B9001"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389A944B" w14:textId="190DCAB9" w:rsidR="00B869B5" w:rsidRDefault="00B869B5">
            <w:r>
              <w:t xml:space="preserve">Primary </w:t>
            </w:r>
            <w:r w:rsidR="00513879">
              <w:t xml:space="preserve">Prevention </w:t>
            </w:r>
            <w:r>
              <w:t xml:space="preserve">of </w:t>
            </w:r>
            <w:r w:rsidR="00513879">
              <w:t>F</w:t>
            </w:r>
            <w:r>
              <w:t xml:space="preserve">amily </w:t>
            </w:r>
            <w:r w:rsidR="00513879">
              <w:t>V</w:t>
            </w:r>
            <w:r>
              <w:t>iolence</w:t>
            </w:r>
          </w:p>
        </w:tc>
        <w:tc>
          <w:tcPr>
            <w:tcW w:w="907" w:type="dxa"/>
          </w:tcPr>
          <w:p w14:paraId="1D37DE9C" w14:textId="77777777" w:rsidR="00B869B5" w:rsidRDefault="00B869B5">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0363C697" w14:textId="77777777" w:rsidR="00B869B5" w:rsidRDefault="00B869B5">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25C64003" w14:textId="77777777" w:rsidR="00B869B5" w:rsidRDefault="00B869B5">
            <w:pPr>
              <w:cnfStyle w:val="000000000000" w:firstRow="0" w:lastRow="0" w:firstColumn="0" w:lastColumn="0" w:oddVBand="0" w:evenVBand="0" w:oddHBand="0" w:evenHBand="0" w:firstRowFirstColumn="0" w:firstRowLastColumn="0" w:lastRowFirstColumn="0" w:lastRowLastColumn="0"/>
            </w:pPr>
            <w:r>
              <w:t>25.4</w:t>
            </w:r>
          </w:p>
        </w:tc>
        <w:tc>
          <w:tcPr>
            <w:tcW w:w="907" w:type="dxa"/>
          </w:tcPr>
          <w:p w14:paraId="41926C8F" w14:textId="77777777" w:rsidR="00B869B5" w:rsidRDefault="00B869B5">
            <w:pPr>
              <w:cnfStyle w:val="000000000000" w:firstRow="0" w:lastRow="0" w:firstColumn="0" w:lastColumn="0" w:oddVBand="0" w:evenVBand="0" w:oddHBand="0" w:evenHBand="0" w:firstRowFirstColumn="0" w:firstRowLastColumn="0" w:lastRowFirstColumn="0" w:lastRowLastColumn="0"/>
            </w:pPr>
            <w:r>
              <w:t>0.4</w:t>
            </w:r>
          </w:p>
        </w:tc>
      </w:tr>
      <w:tr w:rsidR="00B869B5" w14:paraId="5EFF6026"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38B038FA" w14:textId="77777777" w:rsidR="00B869B5" w:rsidRDefault="00B869B5">
            <w:r>
              <w:rPr>
                <w:b/>
              </w:rPr>
              <w:t>Safe, fair, inclusive and resilient Victorian Communities</w:t>
            </w:r>
          </w:p>
        </w:tc>
        <w:tc>
          <w:tcPr>
            <w:tcW w:w="907" w:type="dxa"/>
          </w:tcPr>
          <w:p w14:paraId="5B8694A7"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5501AF98"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3CBA4DC2"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5245E8C3"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r>
      <w:tr w:rsidR="00B869B5" w14:paraId="38077868"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06186D72" w14:textId="7337BFBC" w:rsidR="00B869B5" w:rsidRDefault="00B869B5">
            <w:r>
              <w:t>Community Participation</w:t>
            </w:r>
            <w:r w:rsidR="00A223F2">
              <w:t xml:space="preserve"> </w:t>
            </w:r>
            <w:r w:rsidRPr="00B22AD4">
              <w:rPr>
                <w:vertAlign w:val="superscript"/>
              </w:rPr>
              <w:t>(d)</w:t>
            </w:r>
          </w:p>
        </w:tc>
        <w:tc>
          <w:tcPr>
            <w:tcW w:w="907" w:type="dxa"/>
          </w:tcPr>
          <w:p w14:paraId="722B6782" w14:textId="77777777" w:rsidR="00B869B5" w:rsidRDefault="00B869B5">
            <w:pPr>
              <w:cnfStyle w:val="000000000000" w:firstRow="0" w:lastRow="0" w:firstColumn="0" w:lastColumn="0" w:oddVBand="0" w:evenVBand="0" w:oddHBand="0" w:evenHBand="0" w:firstRowFirstColumn="0" w:firstRowLastColumn="0" w:lastRowFirstColumn="0" w:lastRowLastColumn="0"/>
            </w:pPr>
            <w:r>
              <w:t>69.7</w:t>
            </w:r>
          </w:p>
        </w:tc>
        <w:tc>
          <w:tcPr>
            <w:tcW w:w="907" w:type="dxa"/>
          </w:tcPr>
          <w:p w14:paraId="062ECFCE" w14:textId="77777777" w:rsidR="00B869B5" w:rsidRDefault="00B869B5">
            <w:pPr>
              <w:cnfStyle w:val="000000000000" w:firstRow="0" w:lastRow="0" w:firstColumn="0" w:lastColumn="0" w:oddVBand="0" w:evenVBand="0" w:oddHBand="0" w:evenHBand="0" w:firstRowFirstColumn="0" w:firstRowLastColumn="0" w:lastRowFirstColumn="0" w:lastRowLastColumn="0"/>
            </w:pPr>
            <w:r>
              <w:t>76.9</w:t>
            </w:r>
          </w:p>
        </w:tc>
        <w:tc>
          <w:tcPr>
            <w:tcW w:w="907" w:type="dxa"/>
          </w:tcPr>
          <w:p w14:paraId="4CE6C2C3" w14:textId="77777777" w:rsidR="00B869B5" w:rsidRDefault="00B869B5">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4BCAA422" w14:textId="77777777" w:rsidR="00B869B5" w:rsidRDefault="00B869B5">
            <w:pPr>
              <w:cnfStyle w:val="000000000000" w:firstRow="0" w:lastRow="0" w:firstColumn="0" w:lastColumn="0" w:oddVBand="0" w:evenVBand="0" w:oddHBand="0" w:evenHBand="0" w:firstRowFirstColumn="0" w:firstRowLastColumn="0" w:lastRowFirstColumn="0" w:lastRowLastColumn="0"/>
            </w:pPr>
            <w:r>
              <w:t>13.6</w:t>
            </w:r>
          </w:p>
        </w:tc>
      </w:tr>
      <w:tr w:rsidR="00B869B5" w14:paraId="0E21D69D"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11A2EF46" w14:textId="3CC37BB8" w:rsidR="00B869B5" w:rsidRDefault="00B869B5">
            <w:r>
              <w:t>Disability Programs and Services</w:t>
            </w:r>
            <w:r w:rsidR="00A223F2">
              <w:t xml:space="preserve"> </w:t>
            </w:r>
            <w:r w:rsidRPr="00B22AD4">
              <w:rPr>
                <w:vertAlign w:val="superscript"/>
              </w:rPr>
              <w:t>(e)</w:t>
            </w:r>
          </w:p>
        </w:tc>
        <w:tc>
          <w:tcPr>
            <w:tcW w:w="907" w:type="dxa"/>
          </w:tcPr>
          <w:p w14:paraId="32C1FA77" w14:textId="77777777" w:rsidR="00B869B5" w:rsidRDefault="00B869B5">
            <w:pPr>
              <w:cnfStyle w:val="000000000000" w:firstRow="0" w:lastRow="0" w:firstColumn="0" w:lastColumn="0" w:oddVBand="0" w:evenVBand="0" w:oddHBand="0" w:evenHBand="0" w:firstRowFirstColumn="0" w:firstRowLastColumn="0" w:lastRowFirstColumn="0" w:lastRowLastColumn="0"/>
            </w:pPr>
            <w:r>
              <w:t>372.4</w:t>
            </w:r>
          </w:p>
        </w:tc>
        <w:tc>
          <w:tcPr>
            <w:tcW w:w="907" w:type="dxa"/>
          </w:tcPr>
          <w:p w14:paraId="56B27D3F" w14:textId="77777777" w:rsidR="00B869B5" w:rsidRDefault="00B869B5">
            <w:pPr>
              <w:cnfStyle w:val="000000000000" w:firstRow="0" w:lastRow="0" w:firstColumn="0" w:lastColumn="0" w:oddVBand="0" w:evenVBand="0" w:oddHBand="0" w:evenHBand="0" w:firstRowFirstColumn="0" w:firstRowLastColumn="0" w:lastRowFirstColumn="0" w:lastRowLastColumn="0"/>
            </w:pPr>
            <w:r>
              <w:t>386.0</w:t>
            </w:r>
          </w:p>
        </w:tc>
        <w:tc>
          <w:tcPr>
            <w:tcW w:w="907" w:type="dxa"/>
          </w:tcPr>
          <w:p w14:paraId="187BC7CF" w14:textId="77777777" w:rsidR="00B869B5" w:rsidRDefault="00B869B5">
            <w:pPr>
              <w:cnfStyle w:val="000000000000" w:firstRow="0" w:lastRow="0" w:firstColumn="0" w:lastColumn="0" w:oddVBand="0" w:evenVBand="0" w:oddHBand="0" w:evenHBand="0" w:firstRowFirstColumn="0" w:firstRowLastColumn="0" w:lastRowFirstColumn="0" w:lastRowLastColumn="0"/>
            </w:pPr>
            <w:r>
              <w:t>317.9</w:t>
            </w:r>
          </w:p>
        </w:tc>
        <w:tc>
          <w:tcPr>
            <w:tcW w:w="907" w:type="dxa"/>
          </w:tcPr>
          <w:p w14:paraId="5FAD1595" w14:textId="77777777" w:rsidR="00B869B5" w:rsidRDefault="00B869B5">
            <w:pPr>
              <w:cnfStyle w:val="000000000000" w:firstRow="0" w:lastRow="0" w:firstColumn="0" w:lastColumn="0" w:oddVBand="0" w:evenVBand="0" w:oddHBand="0" w:evenHBand="0" w:firstRowFirstColumn="0" w:firstRowLastColumn="0" w:lastRowFirstColumn="0" w:lastRowLastColumn="0"/>
            </w:pPr>
            <w:r>
              <w:t>(14.6)</w:t>
            </w:r>
          </w:p>
        </w:tc>
      </w:tr>
      <w:tr w:rsidR="00B869B5" w14:paraId="36664E39"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43330493" w14:textId="77777777" w:rsidR="00B869B5" w:rsidRDefault="00B869B5">
            <w:r>
              <w:t>Seniors Programs and Participation</w:t>
            </w:r>
          </w:p>
        </w:tc>
        <w:tc>
          <w:tcPr>
            <w:tcW w:w="907" w:type="dxa"/>
          </w:tcPr>
          <w:p w14:paraId="17435671" w14:textId="77777777" w:rsidR="00B869B5" w:rsidRDefault="00B869B5">
            <w:pPr>
              <w:cnfStyle w:val="000000000000" w:firstRow="0" w:lastRow="0" w:firstColumn="0" w:lastColumn="0" w:oddVBand="0" w:evenVBand="0" w:oddHBand="0" w:evenHBand="0" w:firstRowFirstColumn="0" w:firstRowLastColumn="0" w:lastRowFirstColumn="0" w:lastRowLastColumn="0"/>
            </w:pPr>
            <w:r>
              <w:t>63.1</w:t>
            </w:r>
          </w:p>
        </w:tc>
        <w:tc>
          <w:tcPr>
            <w:tcW w:w="907" w:type="dxa"/>
          </w:tcPr>
          <w:p w14:paraId="0D57FB21" w14:textId="77777777" w:rsidR="00B869B5" w:rsidRDefault="00B869B5">
            <w:pPr>
              <w:cnfStyle w:val="000000000000" w:firstRow="0" w:lastRow="0" w:firstColumn="0" w:lastColumn="0" w:oddVBand="0" w:evenVBand="0" w:oddHBand="0" w:evenHBand="0" w:firstRowFirstColumn="0" w:firstRowLastColumn="0" w:lastRowFirstColumn="0" w:lastRowLastColumn="0"/>
            </w:pPr>
            <w:r>
              <w:t>64.8</w:t>
            </w:r>
          </w:p>
        </w:tc>
        <w:tc>
          <w:tcPr>
            <w:tcW w:w="907" w:type="dxa"/>
          </w:tcPr>
          <w:p w14:paraId="0349DECF" w14:textId="77777777" w:rsidR="00B869B5" w:rsidRDefault="00B869B5">
            <w:pPr>
              <w:cnfStyle w:val="000000000000" w:firstRow="0" w:lastRow="0" w:firstColumn="0" w:lastColumn="0" w:oddVBand="0" w:evenVBand="0" w:oddHBand="0" w:evenHBand="0" w:firstRowFirstColumn="0" w:firstRowLastColumn="0" w:lastRowFirstColumn="0" w:lastRowLastColumn="0"/>
            </w:pPr>
            <w:r>
              <w:t>63.6</w:t>
            </w:r>
          </w:p>
        </w:tc>
        <w:tc>
          <w:tcPr>
            <w:tcW w:w="907" w:type="dxa"/>
          </w:tcPr>
          <w:p w14:paraId="43F5590E" w14:textId="77777777" w:rsidR="00B869B5" w:rsidRDefault="00B869B5">
            <w:pPr>
              <w:cnfStyle w:val="000000000000" w:firstRow="0" w:lastRow="0" w:firstColumn="0" w:lastColumn="0" w:oddVBand="0" w:evenVBand="0" w:oddHBand="0" w:evenHBand="0" w:firstRowFirstColumn="0" w:firstRowLastColumn="0" w:lastRowFirstColumn="0" w:lastRowLastColumn="0"/>
            </w:pPr>
            <w:r>
              <w:t>0.8</w:t>
            </w:r>
          </w:p>
        </w:tc>
      </w:tr>
      <w:tr w:rsidR="00B869B5" w14:paraId="05D2E7B8"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0DD3ACEA" w14:textId="326E1564" w:rsidR="00B869B5" w:rsidRDefault="00B869B5">
            <w:r>
              <w:t>Support to Veterans in Victoria</w:t>
            </w:r>
            <w:r w:rsidR="00A223F2">
              <w:t xml:space="preserve"> </w:t>
            </w:r>
            <w:r w:rsidRPr="00B22AD4">
              <w:rPr>
                <w:vertAlign w:val="superscript"/>
              </w:rPr>
              <w:t>(f)</w:t>
            </w:r>
          </w:p>
        </w:tc>
        <w:tc>
          <w:tcPr>
            <w:tcW w:w="907" w:type="dxa"/>
          </w:tcPr>
          <w:p w14:paraId="0C9D3612" w14:textId="77777777" w:rsidR="00B869B5" w:rsidRDefault="00B869B5">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063018B3" w14:textId="77777777" w:rsidR="00B869B5" w:rsidRDefault="00B869B5">
            <w:pPr>
              <w:cnfStyle w:val="000000000000" w:firstRow="0" w:lastRow="0" w:firstColumn="0" w:lastColumn="0" w:oddVBand="0" w:evenVBand="0" w:oddHBand="0" w:evenHBand="0" w:firstRowFirstColumn="0" w:firstRowLastColumn="0" w:lastRowFirstColumn="0" w:lastRowLastColumn="0"/>
            </w:pPr>
            <w:r>
              <w:t>18.9</w:t>
            </w:r>
          </w:p>
        </w:tc>
        <w:tc>
          <w:tcPr>
            <w:tcW w:w="907" w:type="dxa"/>
          </w:tcPr>
          <w:p w14:paraId="7E303B6D" w14:textId="77777777" w:rsidR="00B869B5" w:rsidRDefault="00B869B5">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1B64D1D7" w14:textId="77777777" w:rsidR="00B869B5" w:rsidRDefault="00B869B5">
            <w:pPr>
              <w:cnfStyle w:val="000000000000" w:firstRow="0" w:lastRow="0" w:firstColumn="0" w:lastColumn="0" w:oddVBand="0" w:evenVBand="0" w:oddHBand="0" w:evenHBand="0" w:firstRowFirstColumn="0" w:firstRowLastColumn="0" w:lastRowFirstColumn="0" w:lastRowLastColumn="0"/>
            </w:pPr>
            <w:r>
              <w:t>(37.9)</w:t>
            </w:r>
          </w:p>
        </w:tc>
      </w:tr>
      <w:tr w:rsidR="00B869B5" w14:paraId="6D2BDDFF"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071043AE" w14:textId="338B17CE" w:rsidR="00B869B5" w:rsidRDefault="00B869B5">
            <w:r>
              <w:t xml:space="preserve">LGBTIQA+ </w:t>
            </w:r>
            <w:r w:rsidR="00513879">
              <w:t>E</w:t>
            </w:r>
            <w:r>
              <w:t xml:space="preserve">quity </w:t>
            </w:r>
            <w:r w:rsidR="00513879">
              <w:t>Policy</w:t>
            </w:r>
            <w:r>
              <w:t xml:space="preserve"> and </w:t>
            </w:r>
            <w:r w:rsidR="00513879">
              <w:t>Programs</w:t>
            </w:r>
            <w:r w:rsidR="00A223F2">
              <w:t xml:space="preserve"> </w:t>
            </w:r>
            <w:r w:rsidRPr="00B22AD4">
              <w:rPr>
                <w:vertAlign w:val="superscript"/>
              </w:rPr>
              <w:t>(g)</w:t>
            </w:r>
          </w:p>
        </w:tc>
        <w:tc>
          <w:tcPr>
            <w:tcW w:w="907" w:type="dxa"/>
          </w:tcPr>
          <w:p w14:paraId="160128C7" w14:textId="77777777" w:rsidR="00B869B5" w:rsidRDefault="00B869B5">
            <w:pPr>
              <w:cnfStyle w:val="000000000000" w:firstRow="0" w:lastRow="0" w:firstColumn="0" w:lastColumn="0" w:oddVBand="0" w:evenVBand="0" w:oddHBand="0" w:evenHBand="0" w:firstRowFirstColumn="0" w:firstRowLastColumn="0" w:lastRowFirstColumn="0" w:lastRowLastColumn="0"/>
            </w:pPr>
            <w:r>
              <w:t>10.5</w:t>
            </w:r>
          </w:p>
        </w:tc>
        <w:tc>
          <w:tcPr>
            <w:tcW w:w="907" w:type="dxa"/>
          </w:tcPr>
          <w:p w14:paraId="45862778" w14:textId="77777777" w:rsidR="00B869B5" w:rsidRDefault="00B869B5">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6A503E1" w14:textId="77777777" w:rsidR="00B869B5" w:rsidRDefault="00B869B5">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4392AE0C" w14:textId="77777777" w:rsidR="00B869B5" w:rsidRDefault="00B869B5">
            <w:pPr>
              <w:cnfStyle w:val="000000000000" w:firstRow="0" w:lastRow="0" w:firstColumn="0" w:lastColumn="0" w:oddVBand="0" w:evenVBand="0" w:oddHBand="0" w:evenHBand="0" w:firstRowFirstColumn="0" w:firstRowLastColumn="0" w:lastRowFirstColumn="0" w:lastRowLastColumn="0"/>
            </w:pPr>
            <w:r>
              <w:t>6.5</w:t>
            </w:r>
          </w:p>
        </w:tc>
      </w:tr>
      <w:tr w:rsidR="00B869B5" w14:paraId="19BA8B8B"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46F05F18" w14:textId="16843CFB" w:rsidR="00B869B5" w:rsidRDefault="00B869B5">
            <w:r>
              <w:t>Women’s Policy</w:t>
            </w:r>
          </w:p>
        </w:tc>
        <w:tc>
          <w:tcPr>
            <w:tcW w:w="907" w:type="dxa"/>
          </w:tcPr>
          <w:p w14:paraId="0E7D0572" w14:textId="77777777" w:rsidR="00B869B5" w:rsidRDefault="00B869B5">
            <w:pPr>
              <w:cnfStyle w:val="000000000000" w:firstRow="0" w:lastRow="0" w:firstColumn="0" w:lastColumn="0" w:oddVBand="0" w:evenVBand="0" w:oddHBand="0" w:evenHBand="0" w:firstRowFirstColumn="0" w:firstRowLastColumn="0" w:lastRowFirstColumn="0" w:lastRowLastColumn="0"/>
            </w:pPr>
            <w:r>
              <w:t>15.9</w:t>
            </w:r>
          </w:p>
        </w:tc>
        <w:tc>
          <w:tcPr>
            <w:tcW w:w="907" w:type="dxa"/>
          </w:tcPr>
          <w:p w14:paraId="6D46A534" w14:textId="77777777" w:rsidR="00B869B5" w:rsidRDefault="00B869B5">
            <w:pPr>
              <w:cnfStyle w:val="000000000000" w:firstRow="0" w:lastRow="0" w:firstColumn="0" w:lastColumn="0" w:oddVBand="0" w:evenVBand="0" w:oddHBand="0" w:evenHBand="0" w:firstRowFirstColumn="0" w:firstRowLastColumn="0" w:lastRowFirstColumn="0" w:lastRowLastColumn="0"/>
            </w:pPr>
            <w:r>
              <w:t>16.8</w:t>
            </w:r>
          </w:p>
        </w:tc>
        <w:tc>
          <w:tcPr>
            <w:tcW w:w="907" w:type="dxa"/>
          </w:tcPr>
          <w:p w14:paraId="4A3C9DF9" w14:textId="77777777" w:rsidR="00B869B5" w:rsidRDefault="00B869B5">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12852A75" w14:textId="77777777" w:rsidR="00B869B5" w:rsidRDefault="00B869B5">
            <w:pPr>
              <w:cnfStyle w:val="000000000000" w:firstRow="0" w:lastRow="0" w:firstColumn="0" w:lastColumn="0" w:oddVBand="0" w:evenVBand="0" w:oddHBand="0" w:evenHBand="0" w:firstRowFirstColumn="0" w:firstRowLastColumn="0" w:lastRowFirstColumn="0" w:lastRowLastColumn="0"/>
            </w:pPr>
            <w:r>
              <w:t>(1.9)</w:t>
            </w:r>
          </w:p>
        </w:tc>
      </w:tr>
      <w:tr w:rsidR="00B869B5" w14:paraId="327821B7"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24882073" w14:textId="1C2EBD77" w:rsidR="00B869B5" w:rsidRDefault="00B869B5">
            <w:r>
              <w:t>Youth</w:t>
            </w:r>
            <w:r w:rsidR="00A223F2">
              <w:t xml:space="preserve"> </w:t>
            </w:r>
            <w:r w:rsidRPr="00B22AD4">
              <w:rPr>
                <w:vertAlign w:val="superscript"/>
              </w:rPr>
              <w:t>(h)</w:t>
            </w:r>
          </w:p>
        </w:tc>
        <w:tc>
          <w:tcPr>
            <w:tcW w:w="907" w:type="dxa"/>
          </w:tcPr>
          <w:p w14:paraId="1551A429" w14:textId="77777777" w:rsidR="00B869B5" w:rsidRDefault="00B869B5">
            <w:pPr>
              <w:cnfStyle w:val="000000000000" w:firstRow="0" w:lastRow="0" w:firstColumn="0" w:lastColumn="0" w:oddVBand="0" w:evenVBand="0" w:oddHBand="0" w:evenHBand="0" w:firstRowFirstColumn="0" w:firstRowLastColumn="0" w:lastRowFirstColumn="0" w:lastRowLastColumn="0"/>
            </w:pPr>
            <w:r>
              <w:t>30.9</w:t>
            </w:r>
          </w:p>
        </w:tc>
        <w:tc>
          <w:tcPr>
            <w:tcW w:w="907" w:type="dxa"/>
          </w:tcPr>
          <w:p w14:paraId="78137E33" w14:textId="77777777" w:rsidR="00B869B5" w:rsidRDefault="00B869B5">
            <w:pPr>
              <w:cnfStyle w:val="000000000000" w:firstRow="0" w:lastRow="0" w:firstColumn="0" w:lastColumn="0" w:oddVBand="0" w:evenVBand="0" w:oddHBand="0" w:evenHBand="0" w:firstRowFirstColumn="0" w:firstRowLastColumn="0" w:lastRowFirstColumn="0" w:lastRowLastColumn="0"/>
            </w:pPr>
            <w:r>
              <w:t>36.4</w:t>
            </w:r>
          </w:p>
        </w:tc>
        <w:tc>
          <w:tcPr>
            <w:tcW w:w="907" w:type="dxa"/>
          </w:tcPr>
          <w:p w14:paraId="1EDD6B68" w14:textId="77777777" w:rsidR="00B869B5" w:rsidRDefault="00B869B5">
            <w:pPr>
              <w:cnfStyle w:val="000000000000" w:firstRow="0" w:lastRow="0" w:firstColumn="0" w:lastColumn="0" w:oddVBand="0" w:evenVBand="0" w:oddHBand="0" w:evenHBand="0" w:firstRowFirstColumn="0" w:firstRowLastColumn="0" w:lastRowFirstColumn="0" w:lastRowLastColumn="0"/>
            </w:pPr>
            <w:r>
              <w:t>33.0</w:t>
            </w:r>
          </w:p>
        </w:tc>
        <w:tc>
          <w:tcPr>
            <w:tcW w:w="907" w:type="dxa"/>
          </w:tcPr>
          <w:p w14:paraId="2F6E3871" w14:textId="77777777" w:rsidR="00B869B5" w:rsidRDefault="00B869B5">
            <w:pPr>
              <w:cnfStyle w:val="000000000000" w:firstRow="0" w:lastRow="0" w:firstColumn="0" w:lastColumn="0" w:oddVBand="0" w:evenVBand="0" w:oddHBand="0" w:evenHBand="0" w:firstRowFirstColumn="0" w:firstRowLastColumn="0" w:lastRowFirstColumn="0" w:lastRowLastColumn="0"/>
            </w:pPr>
            <w:r>
              <w:t>7.0</w:t>
            </w:r>
          </w:p>
        </w:tc>
      </w:tr>
      <w:tr w:rsidR="00B869B5" w14:paraId="449FC036"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45B23B14" w14:textId="77777777" w:rsidR="00B869B5" w:rsidRDefault="00B869B5">
            <w:r>
              <w:rPr>
                <w:b/>
              </w:rPr>
              <w:t>All Victorians have stable, affordable and appropriate housing</w:t>
            </w:r>
          </w:p>
        </w:tc>
        <w:tc>
          <w:tcPr>
            <w:tcW w:w="907" w:type="dxa"/>
          </w:tcPr>
          <w:p w14:paraId="619140AF"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1C6B7249"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610C25E5"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c>
          <w:tcPr>
            <w:tcW w:w="907" w:type="dxa"/>
          </w:tcPr>
          <w:p w14:paraId="2A16B80E" w14:textId="77777777" w:rsidR="00B869B5" w:rsidRDefault="00B869B5">
            <w:pPr>
              <w:cnfStyle w:val="000000000000" w:firstRow="0" w:lastRow="0" w:firstColumn="0" w:lastColumn="0" w:oddVBand="0" w:evenVBand="0" w:oddHBand="0" w:evenHBand="0" w:firstRowFirstColumn="0" w:firstRowLastColumn="0" w:lastRowFirstColumn="0" w:lastRowLastColumn="0"/>
            </w:pPr>
          </w:p>
        </w:tc>
      </w:tr>
      <w:tr w:rsidR="00B869B5" w14:paraId="3CD8134E" w14:textId="77777777" w:rsidTr="00546581">
        <w:tc>
          <w:tcPr>
            <w:cnfStyle w:val="001000000000" w:firstRow="0" w:lastRow="0" w:firstColumn="1" w:lastColumn="0" w:oddVBand="0" w:evenVBand="0" w:oddHBand="0" w:evenHBand="0" w:firstRowFirstColumn="0" w:firstRowLastColumn="0" w:lastRowFirstColumn="0" w:lastRowLastColumn="0"/>
            <w:tcW w:w="6010" w:type="dxa"/>
          </w:tcPr>
          <w:p w14:paraId="3F9DAA43" w14:textId="48272CFC" w:rsidR="00B869B5" w:rsidRDefault="00B869B5">
            <w:r>
              <w:t>Housing Assistance</w:t>
            </w:r>
            <w:r w:rsidR="00A223F2">
              <w:t xml:space="preserve"> </w:t>
            </w:r>
            <w:r w:rsidRPr="00B22AD4">
              <w:rPr>
                <w:vertAlign w:val="superscript"/>
              </w:rPr>
              <w:t>(i)</w:t>
            </w:r>
          </w:p>
        </w:tc>
        <w:tc>
          <w:tcPr>
            <w:tcW w:w="907" w:type="dxa"/>
          </w:tcPr>
          <w:p w14:paraId="1E99B398" w14:textId="77777777" w:rsidR="00B869B5" w:rsidRDefault="00B869B5">
            <w:pPr>
              <w:cnfStyle w:val="000000000000" w:firstRow="0" w:lastRow="0" w:firstColumn="0" w:lastColumn="0" w:oddVBand="0" w:evenVBand="0" w:oddHBand="0" w:evenHBand="0" w:firstRowFirstColumn="0" w:firstRowLastColumn="0" w:lastRowFirstColumn="0" w:lastRowLastColumn="0"/>
            </w:pPr>
            <w:r>
              <w:t>653.4</w:t>
            </w:r>
          </w:p>
        </w:tc>
        <w:tc>
          <w:tcPr>
            <w:tcW w:w="907" w:type="dxa"/>
          </w:tcPr>
          <w:p w14:paraId="098B8D3D" w14:textId="77777777" w:rsidR="00B869B5" w:rsidRDefault="00B869B5">
            <w:pPr>
              <w:cnfStyle w:val="000000000000" w:firstRow="0" w:lastRow="0" w:firstColumn="0" w:lastColumn="0" w:oddVBand="0" w:evenVBand="0" w:oddHBand="0" w:evenHBand="0" w:firstRowFirstColumn="0" w:firstRowLastColumn="0" w:lastRowFirstColumn="0" w:lastRowLastColumn="0"/>
            </w:pPr>
            <w:r>
              <w:t>647.5</w:t>
            </w:r>
          </w:p>
        </w:tc>
        <w:tc>
          <w:tcPr>
            <w:tcW w:w="907" w:type="dxa"/>
          </w:tcPr>
          <w:p w14:paraId="49B6076B" w14:textId="77777777" w:rsidR="00B869B5" w:rsidRDefault="00B869B5">
            <w:pPr>
              <w:cnfStyle w:val="000000000000" w:firstRow="0" w:lastRow="0" w:firstColumn="0" w:lastColumn="0" w:oddVBand="0" w:evenVBand="0" w:oddHBand="0" w:evenHBand="0" w:firstRowFirstColumn="0" w:firstRowLastColumn="0" w:lastRowFirstColumn="0" w:lastRowLastColumn="0"/>
            </w:pPr>
            <w:r>
              <w:t>769.9</w:t>
            </w:r>
          </w:p>
        </w:tc>
        <w:tc>
          <w:tcPr>
            <w:tcW w:w="907" w:type="dxa"/>
          </w:tcPr>
          <w:p w14:paraId="67477ECB" w14:textId="77777777" w:rsidR="00B869B5" w:rsidRDefault="00B869B5">
            <w:pPr>
              <w:cnfStyle w:val="000000000000" w:firstRow="0" w:lastRow="0" w:firstColumn="0" w:lastColumn="0" w:oddVBand="0" w:evenVBand="0" w:oddHBand="0" w:evenHBand="0" w:firstRowFirstColumn="0" w:firstRowLastColumn="0" w:lastRowFirstColumn="0" w:lastRowLastColumn="0"/>
            </w:pPr>
            <w:r>
              <w:t>17.8</w:t>
            </w:r>
          </w:p>
        </w:tc>
      </w:tr>
      <w:tr w:rsidR="00B869B5" w14:paraId="389D59CE" w14:textId="77777777" w:rsidTr="0054658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8695DD8" w14:textId="21F5A693" w:rsidR="00B869B5" w:rsidRDefault="00B869B5">
            <w:r>
              <w:t>Concessions to Pensioners and Beneficiaries</w:t>
            </w:r>
            <w:r w:rsidR="00A223F2">
              <w:t xml:space="preserve"> </w:t>
            </w:r>
            <w:r w:rsidRPr="00B22AD4">
              <w:rPr>
                <w:vertAlign w:val="superscript"/>
              </w:rPr>
              <w:t>(j)</w:t>
            </w:r>
          </w:p>
        </w:tc>
        <w:tc>
          <w:tcPr>
            <w:tcW w:w="907" w:type="dxa"/>
            <w:tcBorders>
              <w:bottom w:val="single" w:sz="6" w:space="0" w:color="auto"/>
            </w:tcBorders>
          </w:tcPr>
          <w:p w14:paraId="0D41FE64" w14:textId="77777777" w:rsidR="00B869B5" w:rsidRDefault="00B869B5">
            <w:pPr>
              <w:cnfStyle w:val="000000000000" w:firstRow="0" w:lastRow="0" w:firstColumn="0" w:lastColumn="0" w:oddVBand="0" w:evenVBand="0" w:oddHBand="0" w:evenHBand="0" w:firstRowFirstColumn="0" w:firstRowLastColumn="0" w:lastRowFirstColumn="0" w:lastRowLastColumn="0"/>
            </w:pPr>
            <w:r>
              <w:t>1 162.9</w:t>
            </w:r>
          </w:p>
        </w:tc>
        <w:tc>
          <w:tcPr>
            <w:tcW w:w="907" w:type="dxa"/>
            <w:tcBorders>
              <w:bottom w:val="single" w:sz="6" w:space="0" w:color="auto"/>
            </w:tcBorders>
          </w:tcPr>
          <w:p w14:paraId="37C8EA6A" w14:textId="77777777" w:rsidR="00B869B5" w:rsidRDefault="00B869B5">
            <w:pPr>
              <w:cnfStyle w:val="000000000000" w:firstRow="0" w:lastRow="0" w:firstColumn="0" w:lastColumn="0" w:oddVBand="0" w:evenVBand="0" w:oddHBand="0" w:evenHBand="0" w:firstRowFirstColumn="0" w:firstRowLastColumn="0" w:lastRowFirstColumn="0" w:lastRowLastColumn="0"/>
            </w:pPr>
            <w:r>
              <w:t>1 245.8</w:t>
            </w:r>
          </w:p>
        </w:tc>
        <w:tc>
          <w:tcPr>
            <w:tcW w:w="907" w:type="dxa"/>
            <w:tcBorders>
              <w:bottom w:val="single" w:sz="6" w:space="0" w:color="auto"/>
            </w:tcBorders>
          </w:tcPr>
          <w:p w14:paraId="31D5C52B" w14:textId="77777777" w:rsidR="00B869B5" w:rsidRDefault="00B869B5">
            <w:pPr>
              <w:cnfStyle w:val="000000000000" w:firstRow="0" w:lastRow="0" w:firstColumn="0" w:lastColumn="0" w:oddVBand="0" w:evenVBand="0" w:oddHBand="0" w:evenHBand="0" w:firstRowFirstColumn="0" w:firstRowLastColumn="0" w:lastRowFirstColumn="0" w:lastRowLastColumn="0"/>
            </w:pPr>
            <w:r>
              <w:t>762.6</w:t>
            </w:r>
          </w:p>
        </w:tc>
        <w:tc>
          <w:tcPr>
            <w:tcW w:w="907" w:type="dxa"/>
            <w:tcBorders>
              <w:bottom w:val="single" w:sz="6" w:space="0" w:color="auto"/>
            </w:tcBorders>
          </w:tcPr>
          <w:p w14:paraId="70F9C23C" w14:textId="77777777" w:rsidR="00B869B5" w:rsidRDefault="00B869B5">
            <w:pPr>
              <w:cnfStyle w:val="000000000000" w:firstRow="0" w:lastRow="0" w:firstColumn="0" w:lastColumn="0" w:oddVBand="0" w:evenVBand="0" w:oddHBand="0" w:evenHBand="0" w:firstRowFirstColumn="0" w:firstRowLastColumn="0" w:lastRowFirstColumn="0" w:lastRowLastColumn="0"/>
            </w:pPr>
            <w:r>
              <w:t>(34.4)</w:t>
            </w:r>
          </w:p>
        </w:tc>
      </w:tr>
      <w:tr w:rsidR="00B869B5" w14:paraId="294FABE4" w14:textId="77777777" w:rsidTr="00A223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78AFDCB" w14:textId="77777777" w:rsidR="00B869B5" w:rsidRDefault="00B869B5">
            <w:r>
              <w:t>Total</w:t>
            </w:r>
          </w:p>
        </w:tc>
        <w:tc>
          <w:tcPr>
            <w:tcW w:w="907" w:type="dxa"/>
          </w:tcPr>
          <w:p w14:paraId="7A3712EF" w14:textId="77777777" w:rsidR="00B869B5" w:rsidRDefault="00B869B5">
            <w:pPr>
              <w:cnfStyle w:val="010000000000" w:firstRow="0" w:lastRow="1" w:firstColumn="0" w:lastColumn="0" w:oddVBand="0" w:evenVBand="0" w:oddHBand="0" w:evenHBand="0" w:firstRowFirstColumn="0" w:firstRowLastColumn="0" w:lastRowFirstColumn="0" w:lastRowLastColumn="0"/>
            </w:pPr>
            <w:r>
              <w:t>5 404.6</w:t>
            </w:r>
          </w:p>
        </w:tc>
        <w:tc>
          <w:tcPr>
            <w:tcW w:w="907" w:type="dxa"/>
          </w:tcPr>
          <w:p w14:paraId="2DDE51E3" w14:textId="77777777" w:rsidR="00B869B5" w:rsidRDefault="00B869B5">
            <w:pPr>
              <w:cnfStyle w:val="010000000000" w:firstRow="0" w:lastRow="1" w:firstColumn="0" w:lastColumn="0" w:oddVBand="0" w:evenVBand="0" w:oddHBand="0" w:evenHBand="0" w:firstRowFirstColumn="0" w:firstRowLastColumn="0" w:lastRowFirstColumn="0" w:lastRowLastColumn="0"/>
            </w:pPr>
            <w:r>
              <w:t>5 596.4</w:t>
            </w:r>
          </w:p>
        </w:tc>
        <w:tc>
          <w:tcPr>
            <w:tcW w:w="907" w:type="dxa"/>
          </w:tcPr>
          <w:p w14:paraId="44F83D11" w14:textId="77777777" w:rsidR="00B869B5" w:rsidRDefault="00B869B5">
            <w:pPr>
              <w:cnfStyle w:val="010000000000" w:firstRow="0" w:lastRow="1" w:firstColumn="0" w:lastColumn="0" w:oddVBand="0" w:evenVBand="0" w:oddHBand="0" w:evenHBand="0" w:firstRowFirstColumn="0" w:firstRowLastColumn="0" w:lastRowFirstColumn="0" w:lastRowLastColumn="0"/>
            </w:pPr>
            <w:r>
              <w:t>5 326.7</w:t>
            </w:r>
          </w:p>
        </w:tc>
        <w:tc>
          <w:tcPr>
            <w:tcW w:w="907" w:type="dxa"/>
          </w:tcPr>
          <w:p w14:paraId="024B9995" w14:textId="77777777" w:rsidR="00B869B5" w:rsidRDefault="00B869B5">
            <w:pPr>
              <w:cnfStyle w:val="010000000000" w:firstRow="0" w:lastRow="1" w:firstColumn="0" w:lastColumn="0" w:oddVBand="0" w:evenVBand="0" w:oddHBand="0" w:evenHBand="0" w:firstRowFirstColumn="0" w:firstRowLastColumn="0" w:lastRowFirstColumn="0" w:lastRowLastColumn="0"/>
            </w:pPr>
            <w:r>
              <w:t>(1.4)</w:t>
            </w:r>
          </w:p>
        </w:tc>
      </w:tr>
    </w:tbl>
    <w:p w14:paraId="70821D99" w14:textId="77777777" w:rsidR="00B869B5" w:rsidRDefault="00B869B5" w:rsidP="00B869B5">
      <w:pPr>
        <w:pStyle w:val="Source"/>
        <w:rPr>
          <w:lang w:eastAsia="en-AU"/>
        </w:rPr>
      </w:pPr>
      <w:r>
        <w:rPr>
          <w:lang w:eastAsia="en-AU"/>
        </w:rPr>
        <w:t>Source: Department of Families, Fairness and Housing</w:t>
      </w:r>
    </w:p>
    <w:p w14:paraId="4AB66A45" w14:textId="6A2E56BD" w:rsidR="00B869B5" w:rsidRDefault="00B869B5" w:rsidP="00B869B5">
      <w:pPr>
        <w:pStyle w:val="Note"/>
        <w:rPr>
          <w:lang w:eastAsia="en-AU"/>
        </w:rPr>
      </w:pPr>
      <w:r>
        <w:rPr>
          <w:lang w:eastAsia="en-AU"/>
        </w:rPr>
        <w:t>Notes</w:t>
      </w:r>
      <w:r w:rsidR="00261398">
        <w:rPr>
          <w:lang w:eastAsia="en-AU"/>
        </w:rPr>
        <w:t>:</w:t>
      </w:r>
    </w:p>
    <w:p w14:paraId="5317C44A" w14:textId="799AA76D" w:rsidR="00B869B5" w:rsidRDefault="00A223F2" w:rsidP="00A223F2">
      <w:pPr>
        <w:pStyle w:val="Note"/>
      </w:pPr>
      <w:r>
        <w:t>(a)</w:t>
      </w:r>
      <w:r>
        <w:tab/>
      </w:r>
      <w:r w:rsidR="00B869B5" w:rsidRPr="00532D1B">
        <w:t xml:space="preserve">Variation between 2025-26 budget and 2026-27 budget. </w:t>
      </w:r>
    </w:p>
    <w:p w14:paraId="51D221F3" w14:textId="437144DF" w:rsidR="00B869B5" w:rsidRDefault="00A223F2" w:rsidP="00A223F2">
      <w:pPr>
        <w:pStyle w:val="Note"/>
      </w:pPr>
      <w:r>
        <w:t>(b)</w:t>
      </w:r>
      <w:r>
        <w:tab/>
      </w:r>
      <w:r w:rsidR="00B869B5">
        <w:t xml:space="preserve">The higher </w:t>
      </w:r>
      <w:r w:rsidR="007C35C5">
        <w:t>20</w:t>
      </w:r>
      <w:r w:rsidR="00B869B5">
        <w:t xml:space="preserve">26-27 target reflects additional government investment in </w:t>
      </w:r>
      <w:r w:rsidR="00202AFB">
        <w:rPr>
          <w:iCs/>
        </w:rPr>
        <w:t>delivering</w:t>
      </w:r>
      <w:r w:rsidR="00B869B5" w:rsidRPr="004B02F5">
        <w:rPr>
          <w:iCs/>
        </w:rPr>
        <w:t xml:space="preserve"> </w:t>
      </w:r>
      <w:r w:rsidR="00B869B5">
        <w:t>Child Protection and Care Services</w:t>
      </w:r>
      <w:r w:rsidR="00197DBB">
        <w:t>, including to manage and settle civil claims</w:t>
      </w:r>
      <w:r w:rsidR="00B869B5">
        <w:t xml:space="preserve">. </w:t>
      </w:r>
    </w:p>
    <w:p w14:paraId="056D43AB" w14:textId="4B56A9BC" w:rsidR="00B869B5" w:rsidRDefault="00A223F2" w:rsidP="00A223F2">
      <w:pPr>
        <w:pStyle w:val="Note"/>
      </w:pPr>
      <w:r>
        <w:t>(c)</w:t>
      </w:r>
      <w:r>
        <w:tab/>
      </w:r>
      <w:r w:rsidR="00B869B5">
        <w:t>The higher 2026-27 target primarily reflects additional funding for government initiatives, as well as funding for revised delivery timelines with the Commonwealth under the Family, Domestic and Sexual Violence Responses 2025-30 Agreement.</w:t>
      </w:r>
    </w:p>
    <w:p w14:paraId="4BC9A92C" w14:textId="116CDA4B" w:rsidR="00B869B5" w:rsidRDefault="00A223F2" w:rsidP="00A223F2">
      <w:pPr>
        <w:pStyle w:val="Note"/>
      </w:pPr>
      <w:r>
        <w:t>(d)</w:t>
      </w:r>
      <w:r>
        <w:tab/>
      </w:r>
      <w:r w:rsidR="00B869B5">
        <w:t xml:space="preserve">The higher 2026-27 target primarily reflects additional funding for government initiatives, such as </w:t>
      </w:r>
      <w:r w:rsidR="00B869B5" w:rsidRPr="00974502">
        <w:rPr>
          <w:iCs/>
        </w:rPr>
        <w:t>Strengthening food security across Victoria</w:t>
      </w:r>
      <w:r w:rsidR="00B869B5">
        <w:t>.</w:t>
      </w:r>
    </w:p>
    <w:p w14:paraId="126BE3B7" w14:textId="07B9BECB" w:rsidR="00B869B5" w:rsidRDefault="00A223F2" w:rsidP="00A223F2">
      <w:pPr>
        <w:pStyle w:val="Note"/>
      </w:pPr>
      <w:r>
        <w:t>(e)</w:t>
      </w:r>
      <w:r>
        <w:tab/>
      </w:r>
      <w:r w:rsidR="00B869B5">
        <w:t>The lower 2026-27 target primarily reflects lapsing funding for government policy initiatives</w:t>
      </w:r>
      <w:r w:rsidR="00B869B5" w:rsidRPr="00D663D9">
        <w:t xml:space="preserve">, including </w:t>
      </w:r>
      <w:r w:rsidR="0031793C">
        <w:t>relating to the t</w:t>
      </w:r>
      <w:r w:rsidR="00B869B5" w:rsidRPr="00D663D9">
        <w:t xml:space="preserve">ransfer of </w:t>
      </w:r>
      <w:r w:rsidR="0031793C">
        <w:t>g</w:t>
      </w:r>
      <w:r w:rsidR="0031793C" w:rsidRPr="00D663D9">
        <w:t xml:space="preserve">overnment </w:t>
      </w:r>
      <w:r w:rsidR="0031793C">
        <w:t>d</w:t>
      </w:r>
      <w:r w:rsidR="0031793C" w:rsidRPr="00D663D9">
        <w:t xml:space="preserve">isability </w:t>
      </w:r>
      <w:r w:rsidR="0031793C">
        <w:t>s</w:t>
      </w:r>
      <w:r w:rsidR="0031793C" w:rsidRPr="00D663D9">
        <w:t>ervices</w:t>
      </w:r>
      <w:r w:rsidR="0031793C">
        <w:t xml:space="preserve"> to the community sector.</w:t>
      </w:r>
    </w:p>
    <w:p w14:paraId="500B9814" w14:textId="444CF647" w:rsidR="00B869B5" w:rsidRDefault="00A223F2" w:rsidP="00A223F2">
      <w:pPr>
        <w:pStyle w:val="Note"/>
      </w:pPr>
      <w:r>
        <w:t>(f)</w:t>
      </w:r>
      <w:r>
        <w:tab/>
      </w:r>
      <w:r w:rsidR="00B869B5">
        <w:t xml:space="preserve">The lower 2026-27 target primarily reflects the revised delivery timeline for the </w:t>
      </w:r>
      <w:r w:rsidR="009F0374">
        <w:t xml:space="preserve">National </w:t>
      </w:r>
      <w:r w:rsidR="00B869B5">
        <w:t xml:space="preserve">Vietnam </w:t>
      </w:r>
      <w:r w:rsidR="009F0374">
        <w:t>V</w:t>
      </w:r>
      <w:r w:rsidR="00B869B5">
        <w:t xml:space="preserve">eterans </w:t>
      </w:r>
      <w:r w:rsidR="009F0374">
        <w:t>M</w:t>
      </w:r>
      <w:r w:rsidR="00B869B5">
        <w:t>useum</w:t>
      </w:r>
      <w:r w:rsidR="00275886">
        <w:t xml:space="preserve"> redevelopment project</w:t>
      </w:r>
      <w:r w:rsidR="00A65F98">
        <w:t>.</w:t>
      </w:r>
    </w:p>
    <w:p w14:paraId="67D624BC" w14:textId="2E2C6570" w:rsidR="00B869B5" w:rsidRDefault="00A223F2" w:rsidP="00A223F2">
      <w:pPr>
        <w:pStyle w:val="Note"/>
      </w:pPr>
      <w:r>
        <w:t>(g)</w:t>
      </w:r>
      <w:r>
        <w:tab/>
      </w:r>
      <w:r w:rsidR="00B869B5">
        <w:t>The higher 2026-27 target primarily reflects additional funding for government initiatives, such as Delivering pride in our future.</w:t>
      </w:r>
    </w:p>
    <w:p w14:paraId="1D4C2899" w14:textId="34E4D356" w:rsidR="00B869B5" w:rsidRDefault="00A223F2" w:rsidP="00A223F2">
      <w:pPr>
        <w:pStyle w:val="Note"/>
      </w:pPr>
      <w:r>
        <w:t>(h)</w:t>
      </w:r>
      <w:r>
        <w:tab/>
      </w:r>
      <w:r w:rsidR="00B869B5">
        <w:t>The higher 2026-27 target primarily reflects additional funding for government initiatives, such as the Serious Consequences, Early Intervention plan.</w:t>
      </w:r>
    </w:p>
    <w:p w14:paraId="0DBE496E" w14:textId="4BA73FC0" w:rsidR="00B869B5" w:rsidRDefault="00A223F2" w:rsidP="00A223F2">
      <w:pPr>
        <w:pStyle w:val="Note"/>
      </w:pPr>
      <w:r>
        <w:t>(i)</w:t>
      </w:r>
      <w:r>
        <w:tab/>
      </w:r>
      <w:r w:rsidR="00B869B5">
        <w:t>The higher 2026-27 target primarily reflects additional funding for housing initiatives.</w:t>
      </w:r>
    </w:p>
    <w:p w14:paraId="5813BE40" w14:textId="4879F9E8" w:rsidR="00B869B5" w:rsidRPr="00532D1B" w:rsidRDefault="00A223F2" w:rsidP="00A223F2">
      <w:pPr>
        <w:pStyle w:val="Note"/>
      </w:pPr>
      <w:r>
        <w:t>(j)</w:t>
      </w:r>
      <w:r>
        <w:tab/>
      </w:r>
      <w:r w:rsidR="00B869B5">
        <w:t xml:space="preserve">The lower 2026-27 target is due to the </w:t>
      </w:r>
      <w:r w:rsidR="00F43F75">
        <w:t>cessation of the</w:t>
      </w:r>
      <w:r w:rsidR="00B869B5">
        <w:t xml:space="preserve"> Commonwealth Energy Bill Relief Fund.</w:t>
      </w:r>
    </w:p>
    <w:p w14:paraId="5A233BDD" w14:textId="77777777" w:rsidR="00824558" w:rsidRDefault="00824558"/>
    <w:p w14:paraId="14BC8326" w14:textId="77777777" w:rsidR="00824558" w:rsidRDefault="00824558"/>
    <w:p w14:paraId="1F0017EE" w14:textId="77777777" w:rsidR="00824558" w:rsidRDefault="00824558">
      <w:pPr>
        <w:keepLines w:val="0"/>
        <w:rPr>
          <w:rFonts w:asciiTheme="majorHAnsi" w:hAnsiTheme="majorHAnsi" w:cstheme="minorBidi"/>
          <w:i/>
          <w:sz w:val="14"/>
        </w:rPr>
      </w:pPr>
      <w:r>
        <w:br w:type="page"/>
      </w:r>
    </w:p>
    <w:p w14:paraId="61A2D81B" w14:textId="77777777" w:rsidR="00824558" w:rsidRDefault="00824558">
      <w:pPr>
        <w:pStyle w:val="Heading2"/>
      </w:pPr>
      <w:r>
        <w:lastRenderedPageBreak/>
        <w:t>Amounts available</w:t>
      </w:r>
    </w:p>
    <w:p w14:paraId="3F496B0F" w14:textId="6B31B0DF" w:rsidR="00824558" w:rsidRDefault="00824558">
      <w:r>
        <w:t xml:space="preserve">The following tables detail the amounts available to the </w:t>
      </w:r>
      <w:r w:rsidR="004658BF">
        <w:t>Department</w:t>
      </w:r>
      <w:r>
        <w:t xml:space="preserve"> from parliamentary authority and income generated through transactions.</w:t>
      </w:r>
    </w:p>
    <w:p w14:paraId="7E9D03D3" w14:textId="06DC6C07" w:rsidR="00824558" w:rsidRPr="00803D1A" w:rsidRDefault="00824558">
      <w:r>
        <w:t xml:space="preserve">Table 8 outlines the </w:t>
      </w:r>
      <w:r w:rsidR="004658BF">
        <w:t>Department’s</w:t>
      </w:r>
      <w:r>
        <w:t xml:space="preserve"> income from transactions and Table 9 summarises the sources of parliamentary authority available to the </w:t>
      </w:r>
      <w:r w:rsidR="004658BF">
        <w:t>Department</w:t>
      </w:r>
      <w:r>
        <w:t xml:space="preserve"> to fund the provision of outputs, additions to the net asset base and payments made on behalf of the </w:t>
      </w:r>
      <w:r w:rsidR="0062091C">
        <w:t>State</w:t>
      </w:r>
      <w:r>
        <w:t xml:space="preserve">, and other sources expected to become available to the </w:t>
      </w:r>
      <w:r w:rsidR="004658BF">
        <w:t>Department</w:t>
      </w:r>
      <w:r>
        <w:t>.</w:t>
      </w:r>
    </w:p>
    <w:p w14:paraId="68A8ACA3" w14:textId="38CA4462" w:rsidR="00824558" w:rsidRDefault="00824558">
      <w:pPr>
        <w:pStyle w:val="TableHeading"/>
      </w:pPr>
      <w:r>
        <w:t xml:space="preserve">Table </w:t>
      </w:r>
      <w:r w:rsidR="00122C20">
        <w:t>8</w:t>
      </w:r>
      <w:r>
        <w:t>:</w:t>
      </w:r>
      <w:r>
        <w:tab/>
        <w:t>Income from transactions</w:t>
      </w:r>
      <w:r>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E77856" w14:paraId="0F233CA1" w14:textId="77777777" w:rsidTr="00546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F2CC03" w14:textId="77777777" w:rsidR="00E77856" w:rsidRDefault="00E77856"/>
        </w:tc>
        <w:tc>
          <w:tcPr>
            <w:tcW w:w="851" w:type="dxa"/>
          </w:tcPr>
          <w:p w14:paraId="62896122" w14:textId="77777777" w:rsidR="00E77856" w:rsidRDefault="00E77856">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4B605195" w14:textId="77777777" w:rsidR="00E77856" w:rsidRDefault="00E77856">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4926A11D" w14:textId="77777777" w:rsidR="00E77856" w:rsidRDefault="00E77856">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69FFA329" w14:textId="77777777" w:rsidR="00E77856" w:rsidRDefault="00E77856">
            <w:pPr>
              <w:cnfStyle w:val="100000000000" w:firstRow="1" w:lastRow="0" w:firstColumn="0" w:lastColumn="0" w:oddVBand="0" w:evenVBand="0" w:oddHBand="0" w:evenHBand="0" w:firstRowFirstColumn="0" w:firstRowLastColumn="0" w:lastRowFirstColumn="0" w:lastRowLastColumn="0"/>
            </w:pPr>
            <w:r>
              <w:t>2026-27 budget</w:t>
            </w:r>
          </w:p>
        </w:tc>
      </w:tr>
      <w:tr w:rsidR="00E77856" w:rsidRPr="00454DDA" w14:paraId="380FF5B0" w14:textId="77777777" w:rsidTr="0054658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5D9B312" w14:textId="77777777" w:rsidR="00E77856" w:rsidRPr="00454DDA" w:rsidRDefault="00E77856">
            <w:pPr>
              <w:rPr>
                <w:lang w:eastAsia="en-AU"/>
              </w:rPr>
            </w:pPr>
            <w:r w:rsidRPr="00454DDA">
              <w:rPr>
                <w:lang w:eastAsia="en-AU"/>
              </w:rPr>
              <w:t>Output appropriations</w:t>
            </w:r>
          </w:p>
        </w:tc>
        <w:tc>
          <w:tcPr>
            <w:tcW w:w="851" w:type="dxa"/>
            <w:noWrap/>
            <w:hideMark/>
          </w:tcPr>
          <w:p w14:paraId="1BB7976D"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6 307.1</w:t>
            </w:r>
          </w:p>
        </w:tc>
        <w:tc>
          <w:tcPr>
            <w:tcW w:w="851" w:type="dxa"/>
            <w:noWrap/>
            <w:hideMark/>
          </w:tcPr>
          <w:p w14:paraId="6D38FAED"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5 474.3</w:t>
            </w:r>
          </w:p>
        </w:tc>
        <w:tc>
          <w:tcPr>
            <w:tcW w:w="851" w:type="dxa"/>
            <w:noWrap/>
            <w:hideMark/>
          </w:tcPr>
          <w:p w14:paraId="3DFF3721"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5 602.1</w:t>
            </w:r>
          </w:p>
        </w:tc>
        <w:tc>
          <w:tcPr>
            <w:tcW w:w="851" w:type="dxa"/>
            <w:noWrap/>
            <w:hideMark/>
          </w:tcPr>
          <w:p w14:paraId="02F2CF86"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5 409.7</w:t>
            </w:r>
          </w:p>
        </w:tc>
      </w:tr>
      <w:tr w:rsidR="00E77856" w:rsidRPr="00454DDA" w14:paraId="57328A28" w14:textId="77777777" w:rsidTr="0054658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75128A5" w14:textId="77777777" w:rsidR="00E77856" w:rsidRPr="00454DDA" w:rsidRDefault="00E77856">
            <w:pPr>
              <w:rPr>
                <w:lang w:eastAsia="en-AU"/>
              </w:rPr>
            </w:pPr>
            <w:r w:rsidRPr="00454DDA">
              <w:rPr>
                <w:lang w:eastAsia="en-AU"/>
              </w:rPr>
              <w:t>Special appropriations</w:t>
            </w:r>
          </w:p>
        </w:tc>
        <w:tc>
          <w:tcPr>
            <w:tcW w:w="851" w:type="dxa"/>
            <w:noWrap/>
            <w:hideMark/>
          </w:tcPr>
          <w:p w14:paraId="5F912C43"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100.6</w:t>
            </w:r>
          </w:p>
        </w:tc>
        <w:tc>
          <w:tcPr>
            <w:tcW w:w="851" w:type="dxa"/>
            <w:noWrap/>
            <w:hideMark/>
          </w:tcPr>
          <w:p w14:paraId="5F5BFCE0"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68.8</w:t>
            </w:r>
          </w:p>
        </w:tc>
        <w:tc>
          <w:tcPr>
            <w:tcW w:w="851" w:type="dxa"/>
            <w:noWrap/>
            <w:hideMark/>
          </w:tcPr>
          <w:p w14:paraId="670104D9"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79.6</w:t>
            </w:r>
          </w:p>
        </w:tc>
        <w:tc>
          <w:tcPr>
            <w:tcW w:w="851" w:type="dxa"/>
            <w:noWrap/>
            <w:hideMark/>
          </w:tcPr>
          <w:p w14:paraId="2D23F31E"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65.2</w:t>
            </w:r>
          </w:p>
        </w:tc>
      </w:tr>
      <w:tr w:rsidR="00E77856" w:rsidRPr="00454DDA" w14:paraId="73670537" w14:textId="77777777" w:rsidTr="0054658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B0C94" w14:textId="77777777" w:rsidR="00E77856" w:rsidRPr="00454DDA" w:rsidRDefault="00E77856">
            <w:pPr>
              <w:rPr>
                <w:lang w:eastAsia="en-AU"/>
              </w:rPr>
            </w:pPr>
            <w:r w:rsidRPr="00454DDA">
              <w:rPr>
                <w:lang w:eastAsia="en-AU"/>
              </w:rPr>
              <w:t>Interest</w:t>
            </w:r>
          </w:p>
        </w:tc>
        <w:tc>
          <w:tcPr>
            <w:tcW w:w="851" w:type="dxa"/>
            <w:noWrap/>
            <w:hideMark/>
          </w:tcPr>
          <w:p w14:paraId="7C4E60C1"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0.4</w:t>
            </w:r>
          </w:p>
        </w:tc>
        <w:tc>
          <w:tcPr>
            <w:tcW w:w="851" w:type="dxa"/>
            <w:noWrap/>
            <w:hideMark/>
          </w:tcPr>
          <w:p w14:paraId="65E2C7E5"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w:t>
            </w:r>
          </w:p>
        </w:tc>
        <w:tc>
          <w:tcPr>
            <w:tcW w:w="851" w:type="dxa"/>
            <w:noWrap/>
            <w:hideMark/>
          </w:tcPr>
          <w:p w14:paraId="481B78BA"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w:t>
            </w:r>
          </w:p>
        </w:tc>
        <w:tc>
          <w:tcPr>
            <w:tcW w:w="851" w:type="dxa"/>
            <w:noWrap/>
            <w:hideMark/>
          </w:tcPr>
          <w:p w14:paraId="60F35DEC"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77856" w:rsidRPr="00454DDA" w14:paraId="3D4BE3F6" w14:textId="77777777" w:rsidTr="0054658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240110E" w14:textId="77777777" w:rsidR="00E77856" w:rsidRPr="00454DDA" w:rsidRDefault="00E77856">
            <w:pPr>
              <w:rPr>
                <w:lang w:eastAsia="en-AU"/>
              </w:rPr>
            </w:pPr>
            <w:r w:rsidRPr="00454DDA">
              <w:rPr>
                <w:lang w:eastAsia="en-AU"/>
              </w:rPr>
              <w:t>Grants</w:t>
            </w:r>
          </w:p>
        </w:tc>
        <w:tc>
          <w:tcPr>
            <w:tcW w:w="851" w:type="dxa"/>
            <w:noWrap/>
            <w:hideMark/>
          </w:tcPr>
          <w:p w14:paraId="7EDB2C82"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41.0</w:t>
            </w:r>
          </w:p>
        </w:tc>
        <w:tc>
          <w:tcPr>
            <w:tcW w:w="851" w:type="dxa"/>
            <w:noWrap/>
            <w:hideMark/>
          </w:tcPr>
          <w:p w14:paraId="3947830B"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26.4</w:t>
            </w:r>
          </w:p>
        </w:tc>
        <w:tc>
          <w:tcPr>
            <w:tcW w:w="851" w:type="dxa"/>
            <w:noWrap/>
            <w:hideMark/>
          </w:tcPr>
          <w:p w14:paraId="077B14BE"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55.3</w:t>
            </w:r>
          </w:p>
        </w:tc>
        <w:tc>
          <w:tcPr>
            <w:tcW w:w="851" w:type="dxa"/>
            <w:noWrap/>
            <w:hideMark/>
          </w:tcPr>
          <w:p w14:paraId="17D7650A"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47.0</w:t>
            </w:r>
          </w:p>
        </w:tc>
      </w:tr>
      <w:tr w:rsidR="00E77856" w:rsidRPr="00454DDA" w14:paraId="2DF58EAC" w14:textId="77777777" w:rsidTr="0054658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5181B" w14:textId="77777777" w:rsidR="00E77856" w:rsidRPr="00454DDA" w:rsidRDefault="00E77856">
            <w:pPr>
              <w:rPr>
                <w:lang w:eastAsia="en-AU"/>
              </w:rPr>
            </w:pPr>
            <w:r w:rsidRPr="00454DDA">
              <w:rPr>
                <w:lang w:eastAsia="en-AU"/>
              </w:rPr>
              <w:t>Fair value of assets and services received free of charge or for nominal consideration</w:t>
            </w:r>
          </w:p>
        </w:tc>
        <w:tc>
          <w:tcPr>
            <w:tcW w:w="851" w:type="dxa"/>
            <w:noWrap/>
            <w:hideMark/>
          </w:tcPr>
          <w:p w14:paraId="5E2A7F13"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2.1</w:t>
            </w:r>
          </w:p>
        </w:tc>
        <w:tc>
          <w:tcPr>
            <w:tcW w:w="851" w:type="dxa"/>
            <w:noWrap/>
            <w:hideMark/>
          </w:tcPr>
          <w:p w14:paraId="1F59EFBE"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61.2</w:t>
            </w:r>
          </w:p>
        </w:tc>
        <w:tc>
          <w:tcPr>
            <w:tcW w:w="851" w:type="dxa"/>
            <w:noWrap/>
            <w:hideMark/>
          </w:tcPr>
          <w:p w14:paraId="584F1ED1"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61.2</w:t>
            </w:r>
          </w:p>
        </w:tc>
        <w:tc>
          <w:tcPr>
            <w:tcW w:w="851" w:type="dxa"/>
            <w:noWrap/>
            <w:hideMark/>
          </w:tcPr>
          <w:p w14:paraId="6E5E2D1C"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59.9</w:t>
            </w:r>
          </w:p>
        </w:tc>
      </w:tr>
      <w:tr w:rsidR="00E77856" w:rsidRPr="00454DDA" w14:paraId="02E2EE54" w14:textId="77777777" w:rsidTr="00A223F2">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406F2DEF" w14:textId="77777777" w:rsidR="00E77856" w:rsidRPr="00454DDA" w:rsidRDefault="00E77856">
            <w:pPr>
              <w:rPr>
                <w:lang w:eastAsia="en-AU"/>
              </w:rPr>
            </w:pPr>
            <w:r w:rsidRPr="00454DDA">
              <w:rPr>
                <w:lang w:eastAsia="en-AU"/>
              </w:rPr>
              <w:t>Other income</w:t>
            </w:r>
          </w:p>
        </w:tc>
        <w:tc>
          <w:tcPr>
            <w:tcW w:w="851" w:type="dxa"/>
            <w:tcBorders>
              <w:bottom w:val="single" w:sz="6" w:space="0" w:color="auto"/>
            </w:tcBorders>
            <w:noWrap/>
            <w:hideMark/>
          </w:tcPr>
          <w:p w14:paraId="0441EE50"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1.2</w:t>
            </w:r>
          </w:p>
        </w:tc>
        <w:tc>
          <w:tcPr>
            <w:tcW w:w="851" w:type="dxa"/>
            <w:tcBorders>
              <w:bottom w:val="single" w:sz="6" w:space="0" w:color="auto"/>
            </w:tcBorders>
            <w:noWrap/>
            <w:hideMark/>
          </w:tcPr>
          <w:p w14:paraId="70602749"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w:t>
            </w:r>
          </w:p>
        </w:tc>
        <w:tc>
          <w:tcPr>
            <w:tcW w:w="851" w:type="dxa"/>
            <w:tcBorders>
              <w:bottom w:val="single" w:sz="6" w:space="0" w:color="auto"/>
            </w:tcBorders>
            <w:noWrap/>
            <w:hideMark/>
          </w:tcPr>
          <w:p w14:paraId="33D00C83"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(5.2)</w:t>
            </w:r>
          </w:p>
        </w:tc>
        <w:tc>
          <w:tcPr>
            <w:tcW w:w="851" w:type="dxa"/>
            <w:tcBorders>
              <w:bottom w:val="single" w:sz="6" w:space="0" w:color="auto"/>
            </w:tcBorders>
            <w:noWrap/>
            <w:hideMark/>
          </w:tcPr>
          <w:p w14:paraId="4F7CD422" w14:textId="77777777" w:rsidR="00E77856" w:rsidRPr="00454DDA" w:rsidRDefault="00E77856">
            <w:pPr>
              <w:cnfStyle w:val="000000000000" w:firstRow="0" w:lastRow="0" w:firstColumn="0" w:lastColumn="0" w:oddVBand="0" w:evenVBand="0" w:oddHBand="0" w:evenHBand="0" w:firstRowFirstColumn="0" w:firstRowLastColumn="0" w:lastRowFirstColumn="0" w:lastRowLastColumn="0"/>
              <w:rPr>
                <w:lang w:eastAsia="en-AU"/>
              </w:rPr>
            </w:pPr>
            <w:r w:rsidRPr="00454DDA">
              <w:rPr>
                <w:lang w:eastAsia="en-AU"/>
              </w:rPr>
              <w:t>(20.0)</w:t>
            </w:r>
          </w:p>
        </w:tc>
      </w:tr>
      <w:tr w:rsidR="00E77856" w:rsidRPr="00454DDA" w14:paraId="487B4110" w14:textId="77777777" w:rsidTr="00A223F2">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6DDB50D" w14:textId="77777777" w:rsidR="00E77856" w:rsidRPr="00454DDA" w:rsidRDefault="00E77856">
            <w:pPr>
              <w:rPr>
                <w:lang w:eastAsia="en-AU"/>
              </w:rPr>
            </w:pPr>
            <w:r w:rsidRPr="00454DDA">
              <w:rPr>
                <w:lang w:eastAsia="en-AU"/>
              </w:rPr>
              <w:t>Total income from transactions</w:t>
            </w:r>
          </w:p>
        </w:tc>
        <w:tc>
          <w:tcPr>
            <w:tcW w:w="851" w:type="dxa"/>
            <w:noWrap/>
            <w:hideMark/>
          </w:tcPr>
          <w:p w14:paraId="127797D5" w14:textId="77777777" w:rsidR="00E77856" w:rsidRPr="00454DDA" w:rsidRDefault="00E77856">
            <w:pPr>
              <w:cnfStyle w:val="010000000000" w:firstRow="0" w:lastRow="1" w:firstColumn="0" w:lastColumn="0" w:oddVBand="0" w:evenVBand="0" w:oddHBand="0" w:evenHBand="0" w:firstRowFirstColumn="0" w:firstRowLastColumn="0" w:lastRowFirstColumn="0" w:lastRowLastColumn="0"/>
              <w:rPr>
                <w:lang w:eastAsia="en-AU"/>
              </w:rPr>
            </w:pPr>
            <w:r w:rsidRPr="00454DDA">
              <w:rPr>
                <w:lang w:eastAsia="en-AU"/>
              </w:rPr>
              <w:t>6 452.4</w:t>
            </w:r>
          </w:p>
        </w:tc>
        <w:tc>
          <w:tcPr>
            <w:tcW w:w="851" w:type="dxa"/>
            <w:noWrap/>
            <w:hideMark/>
          </w:tcPr>
          <w:p w14:paraId="11088446" w14:textId="77777777" w:rsidR="00E77856" w:rsidRPr="00454DDA" w:rsidRDefault="00E77856">
            <w:pPr>
              <w:cnfStyle w:val="010000000000" w:firstRow="0" w:lastRow="1" w:firstColumn="0" w:lastColumn="0" w:oddVBand="0" w:evenVBand="0" w:oddHBand="0" w:evenHBand="0" w:firstRowFirstColumn="0" w:firstRowLastColumn="0" w:lastRowFirstColumn="0" w:lastRowLastColumn="0"/>
              <w:rPr>
                <w:lang w:eastAsia="en-AU"/>
              </w:rPr>
            </w:pPr>
            <w:r w:rsidRPr="00454DDA">
              <w:rPr>
                <w:lang w:eastAsia="en-AU"/>
              </w:rPr>
              <w:t>5 630.7</w:t>
            </w:r>
          </w:p>
        </w:tc>
        <w:tc>
          <w:tcPr>
            <w:tcW w:w="851" w:type="dxa"/>
            <w:noWrap/>
            <w:hideMark/>
          </w:tcPr>
          <w:p w14:paraId="0EC72642" w14:textId="77777777" w:rsidR="00E77856" w:rsidRPr="00454DDA" w:rsidRDefault="00E77856">
            <w:pPr>
              <w:cnfStyle w:val="010000000000" w:firstRow="0" w:lastRow="1" w:firstColumn="0" w:lastColumn="0" w:oddVBand="0" w:evenVBand="0" w:oddHBand="0" w:evenHBand="0" w:firstRowFirstColumn="0" w:firstRowLastColumn="0" w:lastRowFirstColumn="0" w:lastRowLastColumn="0"/>
              <w:rPr>
                <w:lang w:eastAsia="en-AU"/>
              </w:rPr>
            </w:pPr>
            <w:r w:rsidRPr="00454DDA">
              <w:rPr>
                <w:lang w:eastAsia="en-AU"/>
              </w:rPr>
              <w:t>5 793.1</w:t>
            </w:r>
          </w:p>
        </w:tc>
        <w:tc>
          <w:tcPr>
            <w:tcW w:w="851" w:type="dxa"/>
            <w:noWrap/>
            <w:hideMark/>
          </w:tcPr>
          <w:p w14:paraId="091367A1" w14:textId="77777777" w:rsidR="00E77856" w:rsidRPr="00454DDA" w:rsidRDefault="00E77856">
            <w:pPr>
              <w:cnfStyle w:val="010000000000" w:firstRow="0" w:lastRow="1" w:firstColumn="0" w:lastColumn="0" w:oddVBand="0" w:evenVBand="0" w:oddHBand="0" w:evenHBand="0" w:firstRowFirstColumn="0" w:firstRowLastColumn="0" w:lastRowFirstColumn="0" w:lastRowLastColumn="0"/>
              <w:rPr>
                <w:lang w:eastAsia="en-AU"/>
              </w:rPr>
            </w:pPr>
            <w:r w:rsidRPr="00454DDA">
              <w:rPr>
                <w:lang w:eastAsia="en-AU"/>
              </w:rPr>
              <w:t>5 561.8</w:t>
            </w:r>
          </w:p>
        </w:tc>
      </w:tr>
    </w:tbl>
    <w:p w14:paraId="3B7BD7C8" w14:textId="77777777" w:rsidR="00E77856" w:rsidRPr="0096787C" w:rsidRDefault="00E77856" w:rsidP="00E77856">
      <w:pPr>
        <w:pStyle w:val="Source"/>
      </w:pPr>
      <w:r>
        <w:t>Source: Department of Families, Fairness and Housing</w:t>
      </w:r>
    </w:p>
    <w:p w14:paraId="5649B9FA" w14:textId="77777777" w:rsidR="00122C20" w:rsidRPr="00803D1A" w:rsidRDefault="00122C20" w:rsidP="00122C20"/>
    <w:p w14:paraId="043AA366" w14:textId="2E199086" w:rsidR="00824558" w:rsidRDefault="00824558">
      <w:pPr>
        <w:pStyle w:val="TableHeading"/>
      </w:pPr>
      <w:r>
        <w:t xml:space="preserve">Table </w:t>
      </w:r>
      <w:r w:rsidR="00122C20">
        <w:t>9</w:t>
      </w:r>
      <w:r>
        <w:t>:</w:t>
      </w:r>
      <w:r>
        <w:tab/>
        <w:t>Parliamentary authority for resources</w:t>
      </w:r>
      <w:r>
        <w:tab/>
        <w:t>($ million)</w:t>
      </w:r>
    </w:p>
    <w:tbl>
      <w:tblPr>
        <w:tblStyle w:val="DTFTableNumeric"/>
        <w:tblW w:w="5000" w:type="pct"/>
        <w:tblLook w:val="06E0" w:firstRow="1" w:lastRow="1" w:firstColumn="1" w:lastColumn="0" w:noHBand="1" w:noVBand="1"/>
      </w:tblPr>
      <w:tblGrid>
        <w:gridCol w:w="6658"/>
        <w:gridCol w:w="991"/>
        <w:gridCol w:w="991"/>
        <w:gridCol w:w="991"/>
      </w:tblGrid>
      <w:tr w:rsidR="006A3AA2" w14:paraId="423E4A94" w14:textId="77777777" w:rsidTr="00546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49E97" w14:textId="77777777" w:rsidR="006A3AA2" w:rsidRDefault="006A3AA2"/>
        </w:tc>
        <w:tc>
          <w:tcPr>
            <w:tcW w:w="992" w:type="dxa"/>
          </w:tcPr>
          <w:p w14:paraId="13E4D336" w14:textId="77777777" w:rsidR="006A3AA2" w:rsidRDefault="006A3AA2">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4C87759D" w14:textId="77777777" w:rsidR="006A3AA2" w:rsidRDefault="006A3AA2">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03B7EE51" w14:textId="77777777" w:rsidR="006A3AA2" w:rsidRDefault="006A3AA2">
            <w:pPr>
              <w:cnfStyle w:val="100000000000" w:firstRow="1" w:lastRow="0" w:firstColumn="0" w:lastColumn="0" w:oddVBand="0" w:evenVBand="0" w:oddHBand="0" w:evenHBand="0" w:firstRowFirstColumn="0" w:firstRowLastColumn="0" w:lastRowFirstColumn="0" w:lastRowLastColumn="0"/>
            </w:pPr>
            <w:r>
              <w:t>2026-27 budget</w:t>
            </w:r>
          </w:p>
        </w:tc>
      </w:tr>
      <w:tr w:rsidR="006A3AA2" w:rsidRPr="00E3646A" w14:paraId="1922B0C3"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ABFEF99" w14:textId="77777777" w:rsidR="006A3AA2" w:rsidRPr="00E3646A" w:rsidRDefault="006A3AA2">
            <w:pPr>
              <w:rPr>
                <w:b/>
                <w:bCs/>
                <w:lang w:eastAsia="en-AU"/>
              </w:rPr>
            </w:pPr>
            <w:r w:rsidRPr="00E3646A">
              <w:rPr>
                <w:b/>
                <w:bCs/>
                <w:lang w:eastAsia="en-AU"/>
              </w:rPr>
              <w:t>Annual appropriations</w:t>
            </w:r>
          </w:p>
        </w:tc>
        <w:tc>
          <w:tcPr>
            <w:tcW w:w="992" w:type="dxa"/>
            <w:noWrap/>
            <w:hideMark/>
          </w:tcPr>
          <w:p w14:paraId="6057A6A2"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8 216.1</w:t>
            </w:r>
          </w:p>
        </w:tc>
        <w:tc>
          <w:tcPr>
            <w:tcW w:w="992" w:type="dxa"/>
            <w:noWrap/>
            <w:hideMark/>
          </w:tcPr>
          <w:p w14:paraId="1DA07DD4"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8 155.3</w:t>
            </w:r>
          </w:p>
        </w:tc>
        <w:tc>
          <w:tcPr>
            <w:tcW w:w="992" w:type="dxa"/>
            <w:noWrap/>
            <w:hideMark/>
          </w:tcPr>
          <w:p w14:paraId="3107F3DA"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8 827.7</w:t>
            </w:r>
          </w:p>
        </w:tc>
      </w:tr>
      <w:tr w:rsidR="006A3AA2" w:rsidRPr="00E3646A" w14:paraId="36205365"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E3F604" w14:textId="77777777" w:rsidR="006A3AA2" w:rsidRPr="00E3646A" w:rsidRDefault="006A3AA2">
            <w:pPr>
              <w:rPr>
                <w:lang w:eastAsia="en-AU"/>
              </w:rPr>
            </w:pPr>
            <w:r w:rsidRPr="00E3646A">
              <w:rPr>
                <w:lang w:eastAsia="en-AU"/>
              </w:rPr>
              <w:t>Provision of outputs</w:t>
            </w:r>
          </w:p>
        </w:tc>
        <w:tc>
          <w:tcPr>
            <w:tcW w:w="992" w:type="dxa"/>
            <w:noWrap/>
            <w:hideMark/>
          </w:tcPr>
          <w:p w14:paraId="5E61D4B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4 499.9</w:t>
            </w:r>
          </w:p>
        </w:tc>
        <w:tc>
          <w:tcPr>
            <w:tcW w:w="992" w:type="dxa"/>
            <w:noWrap/>
            <w:hideMark/>
          </w:tcPr>
          <w:p w14:paraId="6A2B35F7"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4 548.0</w:t>
            </w:r>
          </w:p>
        </w:tc>
        <w:tc>
          <w:tcPr>
            <w:tcW w:w="992" w:type="dxa"/>
            <w:noWrap/>
            <w:hideMark/>
          </w:tcPr>
          <w:p w14:paraId="16C246BC"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4 862.8</w:t>
            </w:r>
          </w:p>
        </w:tc>
      </w:tr>
      <w:tr w:rsidR="006A3AA2" w:rsidRPr="00E3646A" w14:paraId="0AEAF772"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2C0CE8" w14:textId="77777777" w:rsidR="006A3AA2" w:rsidRPr="00E3646A" w:rsidRDefault="006A3AA2">
            <w:pPr>
              <w:rPr>
                <w:lang w:eastAsia="en-AU"/>
              </w:rPr>
            </w:pPr>
            <w:r w:rsidRPr="00E3646A">
              <w:rPr>
                <w:lang w:eastAsia="en-AU"/>
              </w:rPr>
              <w:t>Additions to the net asset base</w:t>
            </w:r>
          </w:p>
        </w:tc>
        <w:tc>
          <w:tcPr>
            <w:tcW w:w="992" w:type="dxa"/>
            <w:noWrap/>
            <w:hideMark/>
          </w:tcPr>
          <w:p w14:paraId="61F7D122"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597.3</w:t>
            </w:r>
          </w:p>
        </w:tc>
        <w:tc>
          <w:tcPr>
            <w:tcW w:w="992" w:type="dxa"/>
            <w:noWrap/>
            <w:hideMark/>
          </w:tcPr>
          <w:p w14:paraId="7B1EEFAC"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488.4</w:t>
            </w:r>
          </w:p>
        </w:tc>
        <w:tc>
          <w:tcPr>
            <w:tcW w:w="992" w:type="dxa"/>
            <w:noWrap/>
            <w:hideMark/>
          </w:tcPr>
          <w:p w14:paraId="6CDD9005"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725.7</w:t>
            </w:r>
          </w:p>
        </w:tc>
      </w:tr>
      <w:tr w:rsidR="006A3AA2" w:rsidRPr="00E3646A" w14:paraId="614B6778"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3238BFB" w14:textId="77777777" w:rsidR="006A3AA2" w:rsidRPr="00E3646A" w:rsidRDefault="006A3AA2">
            <w:pPr>
              <w:rPr>
                <w:lang w:eastAsia="en-AU"/>
              </w:rPr>
            </w:pPr>
            <w:r w:rsidRPr="00E3646A">
              <w:rPr>
                <w:lang w:eastAsia="en-AU"/>
              </w:rPr>
              <w:t>Payments made on behalf of the State</w:t>
            </w:r>
          </w:p>
        </w:tc>
        <w:tc>
          <w:tcPr>
            <w:tcW w:w="992" w:type="dxa"/>
            <w:noWrap/>
            <w:hideMark/>
          </w:tcPr>
          <w:p w14:paraId="35BE0589"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3 118.9</w:t>
            </w:r>
          </w:p>
        </w:tc>
        <w:tc>
          <w:tcPr>
            <w:tcW w:w="992" w:type="dxa"/>
            <w:noWrap/>
            <w:hideMark/>
          </w:tcPr>
          <w:p w14:paraId="55E71B3B"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3 118.9</w:t>
            </w:r>
          </w:p>
        </w:tc>
        <w:tc>
          <w:tcPr>
            <w:tcW w:w="992" w:type="dxa"/>
            <w:noWrap/>
            <w:hideMark/>
          </w:tcPr>
          <w:p w14:paraId="1E0C84B2"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3 239.1</w:t>
            </w:r>
          </w:p>
        </w:tc>
      </w:tr>
      <w:tr w:rsidR="006A3AA2" w:rsidRPr="00E3646A" w14:paraId="0D707804"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4CD5963" w14:textId="77777777" w:rsidR="006A3AA2" w:rsidRPr="00E3646A" w:rsidRDefault="006A3AA2">
            <w:pPr>
              <w:rPr>
                <w:b/>
                <w:bCs/>
                <w:lang w:eastAsia="en-AU"/>
              </w:rPr>
            </w:pPr>
            <w:r w:rsidRPr="00E3646A">
              <w:rPr>
                <w:b/>
                <w:bCs/>
                <w:lang w:eastAsia="en-AU"/>
              </w:rPr>
              <w:t>Receipts credited to appropriations</w:t>
            </w:r>
          </w:p>
        </w:tc>
        <w:tc>
          <w:tcPr>
            <w:tcW w:w="992" w:type="dxa"/>
            <w:noWrap/>
            <w:hideMark/>
          </w:tcPr>
          <w:p w14:paraId="74EAE8E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992.3</w:t>
            </w:r>
          </w:p>
        </w:tc>
        <w:tc>
          <w:tcPr>
            <w:tcW w:w="992" w:type="dxa"/>
            <w:noWrap/>
            <w:hideMark/>
          </w:tcPr>
          <w:p w14:paraId="72F6D49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1 038.0</w:t>
            </w:r>
          </w:p>
        </w:tc>
        <w:tc>
          <w:tcPr>
            <w:tcW w:w="992" w:type="dxa"/>
            <w:noWrap/>
            <w:hideMark/>
          </w:tcPr>
          <w:p w14:paraId="02478971"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567.0</w:t>
            </w:r>
          </w:p>
        </w:tc>
      </w:tr>
      <w:tr w:rsidR="006A3AA2" w:rsidRPr="00E3646A" w14:paraId="2B9A9ECE"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EB8DB44" w14:textId="77777777" w:rsidR="006A3AA2" w:rsidRPr="00E3646A" w:rsidRDefault="006A3AA2">
            <w:pPr>
              <w:rPr>
                <w:b/>
                <w:bCs/>
                <w:lang w:eastAsia="en-AU"/>
              </w:rPr>
            </w:pPr>
            <w:r w:rsidRPr="00E3646A">
              <w:rPr>
                <w:b/>
                <w:bCs/>
                <w:lang w:eastAsia="en-AU"/>
              </w:rPr>
              <w:t>Unapplied previous years appropriation</w:t>
            </w:r>
          </w:p>
        </w:tc>
        <w:tc>
          <w:tcPr>
            <w:tcW w:w="992" w:type="dxa"/>
            <w:noWrap/>
            <w:hideMark/>
          </w:tcPr>
          <w:p w14:paraId="04C097D3"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2.2</w:t>
            </w:r>
          </w:p>
        </w:tc>
        <w:tc>
          <w:tcPr>
            <w:tcW w:w="992" w:type="dxa"/>
            <w:noWrap/>
            <w:hideMark/>
          </w:tcPr>
          <w:p w14:paraId="6B8D1E24"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38.0</w:t>
            </w:r>
          </w:p>
        </w:tc>
        <w:tc>
          <w:tcPr>
            <w:tcW w:w="992" w:type="dxa"/>
            <w:noWrap/>
            <w:hideMark/>
          </w:tcPr>
          <w:p w14:paraId="1FCA3687"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w:t>
            </w:r>
          </w:p>
        </w:tc>
      </w:tr>
      <w:tr w:rsidR="006A3AA2" w:rsidRPr="00E3646A" w14:paraId="037F7D4F"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5CAFC6E" w14:textId="77777777" w:rsidR="006A3AA2" w:rsidRPr="00E3646A" w:rsidRDefault="006A3AA2">
            <w:pPr>
              <w:rPr>
                <w:lang w:eastAsia="en-AU"/>
              </w:rPr>
            </w:pPr>
            <w:r w:rsidRPr="00E3646A">
              <w:rPr>
                <w:lang w:eastAsia="en-AU"/>
              </w:rPr>
              <w:t>Provision of outputs</w:t>
            </w:r>
          </w:p>
        </w:tc>
        <w:tc>
          <w:tcPr>
            <w:tcW w:w="992" w:type="dxa"/>
            <w:noWrap/>
            <w:hideMark/>
          </w:tcPr>
          <w:p w14:paraId="3742FF9F"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2.2</w:t>
            </w:r>
          </w:p>
        </w:tc>
        <w:tc>
          <w:tcPr>
            <w:tcW w:w="992" w:type="dxa"/>
            <w:noWrap/>
            <w:hideMark/>
          </w:tcPr>
          <w:p w14:paraId="205553A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30.1</w:t>
            </w:r>
          </w:p>
        </w:tc>
        <w:tc>
          <w:tcPr>
            <w:tcW w:w="992" w:type="dxa"/>
            <w:noWrap/>
            <w:hideMark/>
          </w:tcPr>
          <w:p w14:paraId="0477D052"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w:t>
            </w:r>
          </w:p>
        </w:tc>
      </w:tr>
      <w:tr w:rsidR="006A3AA2" w:rsidRPr="00E3646A" w14:paraId="51520209"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4CF6F6EC" w14:textId="77777777" w:rsidR="006A3AA2" w:rsidRPr="00E3646A" w:rsidRDefault="006A3AA2">
            <w:pPr>
              <w:rPr>
                <w:lang w:eastAsia="en-AU"/>
              </w:rPr>
            </w:pPr>
            <w:r w:rsidRPr="00E3646A">
              <w:rPr>
                <w:lang w:eastAsia="en-AU"/>
              </w:rPr>
              <w:t>Additions to the net asset base</w:t>
            </w:r>
          </w:p>
        </w:tc>
        <w:tc>
          <w:tcPr>
            <w:tcW w:w="992" w:type="dxa"/>
            <w:tcBorders>
              <w:bottom w:val="nil"/>
            </w:tcBorders>
            <w:noWrap/>
            <w:hideMark/>
          </w:tcPr>
          <w:p w14:paraId="396B908E"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w:t>
            </w:r>
          </w:p>
        </w:tc>
        <w:tc>
          <w:tcPr>
            <w:tcW w:w="992" w:type="dxa"/>
            <w:tcBorders>
              <w:bottom w:val="nil"/>
            </w:tcBorders>
            <w:noWrap/>
            <w:hideMark/>
          </w:tcPr>
          <w:p w14:paraId="6E9562B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7.9</w:t>
            </w:r>
          </w:p>
        </w:tc>
        <w:tc>
          <w:tcPr>
            <w:tcW w:w="992" w:type="dxa"/>
            <w:tcBorders>
              <w:bottom w:val="nil"/>
            </w:tcBorders>
            <w:noWrap/>
            <w:hideMark/>
          </w:tcPr>
          <w:p w14:paraId="73F9CD9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lang w:eastAsia="en-AU"/>
              </w:rPr>
            </w:pPr>
            <w:r w:rsidRPr="00E3646A">
              <w:rPr>
                <w:lang w:eastAsia="en-AU"/>
              </w:rPr>
              <w:t>..</w:t>
            </w:r>
          </w:p>
        </w:tc>
      </w:tr>
      <w:tr w:rsidR="006A3AA2" w:rsidRPr="00E3646A" w14:paraId="5522F678"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5224F2CD" w14:textId="77777777" w:rsidR="006A3AA2" w:rsidRPr="00E3646A" w:rsidRDefault="006A3AA2">
            <w:pPr>
              <w:rPr>
                <w:b/>
                <w:bCs/>
                <w:lang w:eastAsia="en-AU"/>
              </w:rPr>
            </w:pPr>
            <w:r w:rsidRPr="00E3646A">
              <w:rPr>
                <w:b/>
                <w:bCs/>
                <w:lang w:eastAsia="en-AU"/>
              </w:rPr>
              <w:t>Gross annual appropriation</w:t>
            </w:r>
          </w:p>
        </w:tc>
        <w:tc>
          <w:tcPr>
            <w:tcW w:w="992" w:type="dxa"/>
            <w:tcBorders>
              <w:top w:val="single" w:sz="6" w:space="0" w:color="auto"/>
            </w:tcBorders>
            <w:noWrap/>
            <w:hideMark/>
          </w:tcPr>
          <w:p w14:paraId="6E839303"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9 210.6</w:t>
            </w:r>
          </w:p>
        </w:tc>
        <w:tc>
          <w:tcPr>
            <w:tcW w:w="992" w:type="dxa"/>
            <w:tcBorders>
              <w:top w:val="single" w:sz="6" w:space="0" w:color="auto"/>
            </w:tcBorders>
            <w:noWrap/>
            <w:hideMark/>
          </w:tcPr>
          <w:p w14:paraId="48ABD38C"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9 231.3</w:t>
            </w:r>
          </w:p>
        </w:tc>
        <w:tc>
          <w:tcPr>
            <w:tcW w:w="992" w:type="dxa"/>
            <w:tcBorders>
              <w:top w:val="single" w:sz="6" w:space="0" w:color="auto"/>
            </w:tcBorders>
            <w:noWrap/>
            <w:hideMark/>
          </w:tcPr>
          <w:p w14:paraId="02DF8CA3"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9 394.7</w:t>
            </w:r>
          </w:p>
        </w:tc>
      </w:tr>
      <w:tr w:rsidR="006A3AA2" w:rsidRPr="00E3646A" w14:paraId="0CFC5DE3" w14:textId="77777777" w:rsidTr="00546581">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564EB6" w14:textId="77777777" w:rsidR="006A3AA2" w:rsidRPr="00E3646A" w:rsidRDefault="006A3AA2">
            <w:pPr>
              <w:rPr>
                <w:b/>
                <w:bCs/>
                <w:lang w:eastAsia="en-AU"/>
              </w:rPr>
            </w:pPr>
            <w:r w:rsidRPr="00E3646A">
              <w:rPr>
                <w:b/>
                <w:bCs/>
                <w:lang w:eastAsia="en-AU"/>
              </w:rPr>
              <w:t>Special appropriations</w:t>
            </w:r>
          </w:p>
        </w:tc>
        <w:tc>
          <w:tcPr>
            <w:tcW w:w="992" w:type="dxa"/>
            <w:noWrap/>
            <w:hideMark/>
          </w:tcPr>
          <w:p w14:paraId="3F1662ED"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266.2</w:t>
            </w:r>
          </w:p>
        </w:tc>
        <w:tc>
          <w:tcPr>
            <w:tcW w:w="992" w:type="dxa"/>
            <w:noWrap/>
            <w:hideMark/>
          </w:tcPr>
          <w:p w14:paraId="58DDEA86"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267.8</w:t>
            </w:r>
          </w:p>
        </w:tc>
        <w:tc>
          <w:tcPr>
            <w:tcW w:w="992" w:type="dxa"/>
            <w:noWrap/>
            <w:hideMark/>
          </w:tcPr>
          <w:p w14:paraId="547AFB02"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336.2</w:t>
            </w:r>
          </w:p>
        </w:tc>
      </w:tr>
      <w:tr w:rsidR="006A3AA2" w:rsidRPr="00E3646A" w14:paraId="0FB2AB03" w14:textId="77777777" w:rsidTr="00A223F2">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48AA7EFE" w14:textId="77777777" w:rsidR="006A3AA2" w:rsidRPr="00E3646A" w:rsidRDefault="006A3AA2">
            <w:pPr>
              <w:rPr>
                <w:b/>
                <w:bCs/>
                <w:lang w:eastAsia="en-AU"/>
              </w:rPr>
            </w:pPr>
            <w:r w:rsidRPr="00E3646A">
              <w:rPr>
                <w:b/>
                <w:bCs/>
                <w:lang w:eastAsia="en-AU"/>
              </w:rPr>
              <w:t>Trust funds</w:t>
            </w:r>
          </w:p>
        </w:tc>
        <w:tc>
          <w:tcPr>
            <w:tcW w:w="992" w:type="dxa"/>
            <w:tcBorders>
              <w:bottom w:val="single" w:sz="6" w:space="0" w:color="auto"/>
            </w:tcBorders>
            <w:noWrap/>
            <w:hideMark/>
          </w:tcPr>
          <w:p w14:paraId="4FD6B296"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24.2</w:t>
            </w:r>
          </w:p>
        </w:tc>
        <w:tc>
          <w:tcPr>
            <w:tcW w:w="992" w:type="dxa"/>
            <w:tcBorders>
              <w:bottom w:val="single" w:sz="6" w:space="0" w:color="auto"/>
            </w:tcBorders>
            <w:noWrap/>
            <w:hideMark/>
          </w:tcPr>
          <w:p w14:paraId="7A8DF5F0"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53.1</w:t>
            </w:r>
          </w:p>
        </w:tc>
        <w:tc>
          <w:tcPr>
            <w:tcW w:w="992" w:type="dxa"/>
            <w:tcBorders>
              <w:bottom w:val="single" w:sz="6" w:space="0" w:color="auto"/>
            </w:tcBorders>
            <w:noWrap/>
            <w:hideMark/>
          </w:tcPr>
          <w:p w14:paraId="3320E309" w14:textId="77777777" w:rsidR="006A3AA2" w:rsidRPr="00E3646A" w:rsidRDefault="006A3AA2">
            <w:pPr>
              <w:cnfStyle w:val="000000000000" w:firstRow="0" w:lastRow="0" w:firstColumn="0" w:lastColumn="0" w:oddVBand="0" w:evenVBand="0" w:oddHBand="0" w:evenHBand="0" w:firstRowFirstColumn="0" w:firstRowLastColumn="0" w:lastRowFirstColumn="0" w:lastRowLastColumn="0"/>
              <w:rPr>
                <w:b/>
                <w:bCs/>
                <w:lang w:eastAsia="en-AU"/>
              </w:rPr>
            </w:pPr>
            <w:r w:rsidRPr="00E3646A">
              <w:rPr>
                <w:b/>
                <w:bCs/>
                <w:lang w:eastAsia="en-AU"/>
              </w:rPr>
              <w:t>45.8</w:t>
            </w:r>
          </w:p>
        </w:tc>
      </w:tr>
      <w:tr w:rsidR="006A3AA2" w:rsidRPr="00E3646A" w14:paraId="3A8323CE" w14:textId="77777777" w:rsidTr="00A223F2">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457444A" w14:textId="77777777" w:rsidR="006A3AA2" w:rsidRPr="00E3646A" w:rsidRDefault="006A3AA2">
            <w:pPr>
              <w:rPr>
                <w:lang w:eastAsia="en-AU"/>
              </w:rPr>
            </w:pPr>
            <w:r w:rsidRPr="00E3646A">
              <w:rPr>
                <w:lang w:eastAsia="en-AU"/>
              </w:rPr>
              <w:t>Total parliamentary authority</w:t>
            </w:r>
          </w:p>
        </w:tc>
        <w:tc>
          <w:tcPr>
            <w:tcW w:w="992" w:type="dxa"/>
            <w:noWrap/>
            <w:hideMark/>
          </w:tcPr>
          <w:p w14:paraId="32E3BF8C" w14:textId="77777777" w:rsidR="006A3AA2" w:rsidRPr="00E3646A" w:rsidRDefault="006A3AA2">
            <w:pPr>
              <w:cnfStyle w:val="010000000000" w:firstRow="0" w:lastRow="1" w:firstColumn="0" w:lastColumn="0" w:oddVBand="0" w:evenVBand="0" w:oddHBand="0" w:evenHBand="0" w:firstRowFirstColumn="0" w:firstRowLastColumn="0" w:lastRowFirstColumn="0" w:lastRowLastColumn="0"/>
              <w:rPr>
                <w:lang w:eastAsia="en-AU"/>
              </w:rPr>
            </w:pPr>
            <w:r w:rsidRPr="00E3646A">
              <w:rPr>
                <w:lang w:eastAsia="en-AU"/>
              </w:rPr>
              <w:t>9 500.9</w:t>
            </w:r>
          </w:p>
        </w:tc>
        <w:tc>
          <w:tcPr>
            <w:tcW w:w="992" w:type="dxa"/>
            <w:noWrap/>
            <w:hideMark/>
          </w:tcPr>
          <w:p w14:paraId="66383094" w14:textId="77777777" w:rsidR="006A3AA2" w:rsidRPr="00E3646A" w:rsidRDefault="006A3AA2">
            <w:pPr>
              <w:cnfStyle w:val="010000000000" w:firstRow="0" w:lastRow="1" w:firstColumn="0" w:lastColumn="0" w:oddVBand="0" w:evenVBand="0" w:oddHBand="0" w:evenHBand="0" w:firstRowFirstColumn="0" w:firstRowLastColumn="0" w:lastRowFirstColumn="0" w:lastRowLastColumn="0"/>
              <w:rPr>
                <w:lang w:eastAsia="en-AU"/>
              </w:rPr>
            </w:pPr>
            <w:r w:rsidRPr="00E3646A">
              <w:rPr>
                <w:lang w:eastAsia="en-AU"/>
              </w:rPr>
              <w:t>9 552.2</w:t>
            </w:r>
          </w:p>
        </w:tc>
        <w:tc>
          <w:tcPr>
            <w:tcW w:w="992" w:type="dxa"/>
            <w:noWrap/>
            <w:hideMark/>
          </w:tcPr>
          <w:p w14:paraId="14AC8BFD" w14:textId="77777777" w:rsidR="006A3AA2" w:rsidRPr="00E3646A" w:rsidRDefault="006A3AA2">
            <w:pPr>
              <w:cnfStyle w:val="010000000000" w:firstRow="0" w:lastRow="1" w:firstColumn="0" w:lastColumn="0" w:oddVBand="0" w:evenVBand="0" w:oddHBand="0" w:evenHBand="0" w:firstRowFirstColumn="0" w:firstRowLastColumn="0" w:lastRowFirstColumn="0" w:lastRowLastColumn="0"/>
              <w:rPr>
                <w:lang w:eastAsia="en-AU"/>
              </w:rPr>
            </w:pPr>
            <w:r w:rsidRPr="00E3646A">
              <w:rPr>
                <w:lang w:eastAsia="en-AU"/>
              </w:rPr>
              <w:t>9 776.7</w:t>
            </w:r>
          </w:p>
        </w:tc>
      </w:tr>
    </w:tbl>
    <w:p w14:paraId="540166D5" w14:textId="77777777" w:rsidR="006A3AA2" w:rsidRDefault="006A3AA2" w:rsidP="006A3AA2">
      <w:pPr>
        <w:pStyle w:val="Source"/>
      </w:pPr>
      <w:r>
        <w:t>Source: Department of Families, Fairness and Housing</w:t>
      </w:r>
    </w:p>
    <w:p w14:paraId="01D9668D" w14:textId="77777777" w:rsidR="00824558" w:rsidRPr="002605A7" w:rsidRDefault="00824558"/>
    <w:p w14:paraId="0C3FEEB1" w14:textId="77777777" w:rsidR="00824558" w:rsidRDefault="00824558"/>
    <w:p w14:paraId="0BB4AA03" w14:textId="77777777" w:rsidR="00824558" w:rsidRPr="00803D1A" w:rsidRDefault="00824558"/>
    <w:p w14:paraId="2CEAF7EB" w14:textId="77777777" w:rsidR="00824558" w:rsidRDefault="00824558">
      <w:r>
        <w:br w:type="page"/>
      </w:r>
    </w:p>
    <w:p w14:paraId="4D35BDDA" w14:textId="77777777" w:rsidR="00824558" w:rsidRDefault="00824558">
      <w:pPr>
        <w:pStyle w:val="Heading2"/>
      </w:pPr>
      <w:r>
        <w:lastRenderedPageBreak/>
        <w:t>Departmental objectives and outputs</w:t>
      </w:r>
    </w:p>
    <w:p w14:paraId="21C13215" w14:textId="77777777" w:rsidR="00824558" w:rsidRDefault="00824558">
      <w:pPr>
        <w:pStyle w:val="ShadedBoxHeading"/>
      </w:pPr>
      <w:r>
        <w:t>Objective 1: Children, young people and families are safe, strong and supported</w:t>
      </w:r>
    </w:p>
    <w:p w14:paraId="0BAB19F6" w14:textId="77777777" w:rsidR="00824558" w:rsidRDefault="00824558">
      <w:pPr>
        <w:pStyle w:val="ShadedBoxText"/>
      </w:pPr>
      <w:r>
        <w:t>This objective aims to ensure that Victorian families, carers and individuals have respectful relationships and are safe from harm, fear and neglect in their homes. This includes addressing the compounding effects of abuse and violence; improving support and recovery for both victim survivors and perpetrators; and ensuring the wellbeing of children and young people in care.</w:t>
      </w:r>
    </w:p>
    <w:p w14:paraId="3E0FAD09" w14:textId="77777777" w:rsidR="00824558" w:rsidRDefault="00824558">
      <w:pPr>
        <w:pStyle w:val="ShadedBoxText"/>
      </w:pPr>
      <w:r>
        <w:t>To succeed we will:</w:t>
      </w:r>
    </w:p>
    <w:p w14:paraId="7A6E14B9" w14:textId="77777777" w:rsidR="00824558" w:rsidRDefault="00824558">
      <w:pPr>
        <w:pStyle w:val="ShadedBoxBullet"/>
      </w:pPr>
      <w:r>
        <w:t>reduce abuse and neglect of children and young people</w:t>
      </w:r>
    </w:p>
    <w:p w14:paraId="6C1DF0F8" w14:textId="77777777" w:rsidR="00824558" w:rsidRDefault="00824558">
      <w:pPr>
        <w:pStyle w:val="ShadedBoxBullet"/>
      </w:pPr>
      <w:r>
        <w:t>increase safe, respectful family relationships</w:t>
      </w:r>
    </w:p>
    <w:p w14:paraId="53B24C5C" w14:textId="77777777" w:rsidR="00824558" w:rsidRDefault="00824558">
      <w:pPr>
        <w:pStyle w:val="ShadedBoxBullet"/>
      </w:pPr>
      <w:r>
        <w:t>improve development and wellbeing for children and young people</w:t>
      </w:r>
    </w:p>
    <w:p w14:paraId="7A283F68" w14:textId="77777777" w:rsidR="00824558" w:rsidRDefault="00824558">
      <w:pPr>
        <w:pStyle w:val="ShadedBoxBullet"/>
      </w:pPr>
      <w:r>
        <w:t>increase the stability of care services placements</w:t>
      </w:r>
    </w:p>
    <w:p w14:paraId="75157EC0" w14:textId="77777777" w:rsidR="00824558" w:rsidRDefault="00824558">
      <w:pPr>
        <w:pStyle w:val="ShadedBoxBullet"/>
      </w:pPr>
      <w:r>
        <w:t>increase connections to culture, family and kinship systems for Aboriginal families including for Aboriginal children in care</w:t>
      </w:r>
    </w:p>
    <w:p w14:paraId="54AC8342" w14:textId="77777777" w:rsidR="00824558" w:rsidRDefault="00824558">
      <w:pPr>
        <w:pStyle w:val="ShadedBoxBullet"/>
      </w:pPr>
      <w:r>
        <w:t>reduce over-representation of Aboriginal children and young people in care services</w:t>
      </w:r>
    </w:p>
    <w:p w14:paraId="79347063" w14:textId="77777777" w:rsidR="00824558" w:rsidRDefault="00824558">
      <w:pPr>
        <w:pStyle w:val="ShadedBoxBullet"/>
      </w:pPr>
      <w:r>
        <w:t>reduce the incidence and impact of family violence including over-represented cohorts of women and children</w:t>
      </w:r>
    </w:p>
    <w:p w14:paraId="6BC87801" w14:textId="77777777" w:rsidR="00824558" w:rsidRDefault="00824558">
      <w:pPr>
        <w:pStyle w:val="ShadedBoxBullet"/>
      </w:pPr>
      <w:r>
        <w:t>increase safety for victim survivors of family violence.</w:t>
      </w:r>
    </w:p>
    <w:p w14:paraId="04B0A9E4" w14:textId="77777777" w:rsidR="00824558" w:rsidRDefault="00824558">
      <w:pPr>
        <w:pStyle w:val="Heading2"/>
      </w:pPr>
      <w:r>
        <w:t>Outputs</w:t>
      </w:r>
    </w:p>
    <w:p w14:paraId="0872361F" w14:textId="1AD0334A" w:rsidR="00824558" w:rsidRDefault="00824558">
      <w:pPr>
        <w:pStyle w:val="Heading3"/>
      </w:pPr>
      <w:r>
        <w:t>Child Protection and Family Services</w:t>
      </w:r>
      <w:r>
        <w:tab/>
        <w:t>(2026-27: $</w:t>
      </w:r>
      <w:r w:rsidR="007D3FA6">
        <w:t>2 393.2</w:t>
      </w:r>
      <w:r>
        <w:t xml:space="preserve"> million)</w:t>
      </w:r>
    </w:p>
    <w:p w14:paraId="2092EFC5" w14:textId="2B310ACF" w:rsidR="00824558" w:rsidRDefault="00824558">
      <w:r>
        <w:t>The Child Protection and Family Services output, through the funding of statutory child protection services, family support and parenting services, care services and specialist support services, including services for Aboriginal children and families, aims to ensure the safety and wellbeing of children and young people at risk of harm, abuse and neglect. This output aims to make a positive difference to Victorians experiencing disadvantage by providing excellent community services to meet clients</w:t>
      </w:r>
      <w:r w:rsidR="007942D1">
        <w:t>’</w:t>
      </w:r>
      <w:r>
        <w:t xml:space="preserve"> needs.</w:t>
      </w:r>
    </w:p>
    <w:p w14:paraId="40052E5C" w14:textId="77777777" w:rsidR="00824558" w:rsidRDefault="00824558">
      <w:r>
        <w:t>This output provides:</w:t>
      </w:r>
    </w:p>
    <w:p w14:paraId="21D05870" w14:textId="77777777" w:rsidR="00824558" w:rsidRDefault="00824558">
      <w:pPr>
        <w:pStyle w:val="ListBullet"/>
      </w:pPr>
      <w:r w:rsidRPr="00B77A66">
        <w:t>child protection services to provide for the safety and wellbeing of children and young people at risk of harm, abuse and neglect</w:t>
      </w:r>
    </w:p>
    <w:p w14:paraId="50DD926F" w14:textId="757ED6DC" w:rsidR="00824558" w:rsidRDefault="00824558">
      <w:pPr>
        <w:pStyle w:val="ListBullet"/>
      </w:pPr>
      <w:r>
        <w:t>specialist support and placement services to provide for the safety and wellbeing of children and young people who require support to remain with their family or are placed in out</w:t>
      </w:r>
      <w:r w:rsidR="00403084">
        <w:t>-</w:t>
      </w:r>
      <w:r>
        <w:t>of-home care</w:t>
      </w:r>
    </w:p>
    <w:p w14:paraId="5F478CAE" w14:textId="77777777" w:rsidR="00824558" w:rsidRDefault="00824558">
      <w:pPr>
        <w:pStyle w:val="ListBullet"/>
      </w:pPr>
      <w:r>
        <w:t>a range of earlier intervention services to provide for the safety and wellbeing of children, young people and families</w:t>
      </w:r>
    </w:p>
    <w:p w14:paraId="56ECDFAD" w14:textId="77777777" w:rsidR="00824558" w:rsidRDefault="00824558">
      <w:pPr>
        <w:pStyle w:val="ListBullet"/>
        <w:spacing w:after="120"/>
        <w:ind w:left="357" w:hanging="357"/>
      </w:pPr>
      <w:r>
        <w:t>a focus on Aboriginal children, young people, their families and carers.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565AD40"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84DE256" w14:textId="77777777" w:rsidR="00824558" w:rsidRDefault="00824558">
            <w:r>
              <w:t>Performance measure</w:t>
            </w:r>
          </w:p>
        </w:tc>
        <w:tc>
          <w:tcPr>
            <w:tcW w:w="964" w:type="dxa"/>
          </w:tcPr>
          <w:p w14:paraId="3EF0EC1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B9CEE1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E66BEC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6B08FC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E88E92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56B66F9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18B4448C" w14:textId="77777777" w:rsidR="00824558" w:rsidRPr="007D3EA5" w:rsidRDefault="00824558">
            <w:pPr>
              <w:keepNext/>
              <w:rPr>
                <w:b/>
              </w:rPr>
            </w:pPr>
            <w:r w:rsidRPr="007D3EA5">
              <w:rPr>
                <w:b/>
              </w:rPr>
              <w:t>Quantity</w:t>
            </w:r>
          </w:p>
        </w:tc>
      </w:tr>
      <w:tr w:rsidR="00824558" w14:paraId="161557D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FE41806" w14:textId="77777777" w:rsidR="00824558" w:rsidRDefault="00824558">
            <w:pPr>
              <w:keepNext/>
              <w:ind w:left="170"/>
            </w:pPr>
            <w:r>
              <w:t>Daily average number of children in care placements</w:t>
            </w:r>
          </w:p>
        </w:tc>
        <w:tc>
          <w:tcPr>
            <w:tcW w:w="964" w:type="dxa"/>
          </w:tcPr>
          <w:p w14:paraId="5C7A77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135CB2B" w14:textId="77777777" w:rsidR="00824558" w:rsidRDefault="00824558">
            <w:pPr>
              <w:cnfStyle w:val="000000000000" w:firstRow="0" w:lastRow="0" w:firstColumn="0" w:lastColumn="0" w:oddVBand="0" w:evenVBand="0" w:oddHBand="0" w:evenHBand="0" w:firstRowFirstColumn="0" w:firstRowLastColumn="0" w:lastRowFirstColumn="0" w:lastRowLastColumn="0"/>
            </w:pPr>
            <w:r>
              <w:t>10 641</w:t>
            </w:r>
          </w:p>
        </w:tc>
        <w:tc>
          <w:tcPr>
            <w:tcW w:w="964" w:type="dxa"/>
          </w:tcPr>
          <w:p w14:paraId="67C01938" w14:textId="77777777" w:rsidR="00824558" w:rsidRDefault="00824558">
            <w:pPr>
              <w:cnfStyle w:val="000000000000" w:firstRow="0" w:lastRow="0" w:firstColumn="0" w:lastColumn="0" w:oddVBand="0" w:evenVBand="0" w:oddHBand="0" w:evenHBand="0" w:firstRowFirstColumn="0" w:firstRowLastColumn="0" w:lastRowFirstColumn="0" w:lastRowLastColumn="0"/>
            </w:pPr>
            <w:r>
              <w:t>9 205</w:t>
            </w:r>
          </w:p>
        </w:tc>
        <w:tc>
          <w:tcPr>
            <w:tcW w:w="964" w:type="dxa"/>
          </w:tcPr>
          <w:p w14:paraId="4F946910" w14:textId="77777777" w:rsidR="00824558" w:rsidRDefault="00824558">
            <w:pPr>
              <w:cnfStyle w:val="000000000000" w:firstRow="0" w:lastRow="0" w:firstColumn="0" w:lastColumn="0" w:oddVBand="0" w:evenVBand="0" w:oddHBand="0" w:evenHBand="0" w:firstRowFirstColumn="0" w:firstRowLastColumn="0" w:lastRowFirstColumn="0" w:lastRowLastColumn="0"/>
            </w:pPr>
            <w:r>
              <w:t>10 641</w:t>
            </w:r>
          </w:p>
        </w:tc>
        <w:tc>
          <w:tcPr>
            <w:tcW w:w="964" w:type="dxa"/>
          </w:tcPr>
          <w:p w14:paraId="0B8F5DFD" w14:textId="77777777" w:rsidR="00824558" w:rsidRDefault="00824558">
            <w:pPr>
              <w:cnfStyle w:val="000000000000" w:firstRow="0" w:lastRow="0" w:firstColumn="0" w:lastColumn="0" w:oddVBand="0" w:evenVBand="0" w:oddHBand="0" w:evenHBand="0" w:firstRowFirstColumn="0" w:firstRowLastColumn="0" w:lastRowFirstColumn="0" w:lastRowLastColumn="0"/>
            </w:pPr>
            <w:r>
              <w:t>9 288</w:t>
            </w:r>
          </w:p>
        </w:tc>
      </w:tr>
      <w:tr w:rsidR="00824558" w14:paraId="3AB9C8D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BD80EBA" w14:textId="77777777" w:rsidR="00824558" w:rsidRDefault="00824558">
            <w:pPr>
              <w:ind w:left="170"/>
            </w:pPr>
            <w:r>
              <w:rPr>
                <w:i/>
              </w:rPr>
              <w:t>The 2025-26 expected outcome is lower than the 2025-26 target, reflecting demand for services. A lower result signifies that fewer care placements are being required (potentially reflecting impacts of early intervention initiatives).</w:t>
            </w:r>
          </w:p>
        </w:tc>
      </w:tr>
      <w:tr w:rsidR="00824558" w14:paraId="3A4C26D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459CC33" w14:textId="77777777" w:rsidR="00824558" w:rsidRDefault="00824558">
            <w:pPr>
              <w:keepNext/>
              <w:ind w:left="170"/>
            </w:pPr>
            <w:r>
              <w:t>Daily average number of children in foster care placements</w:t>
            </w:r>
          </w:p>
        </w:tc>
        <w:tc>
          <w:tcPr>
            <w:tcW w:w="964" w:type="dxa"/>
          </w:tcPr>
          <w:p w14:paraId="03FB84F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327BECE" w14:textId="77777777" w:rsidR="00824558" w:rsidRDefault="00824558">
            <w:pPr>
              <w:cnfStyle w:val="000000000000" w:firstRow="0" w:lastRow="0" w:firstColumn="0" w:lastColumn="0" w:oddVBand="0" w:evenVBand="0" w:oddHBand="0" w:evenHBand="0" w:firstRowFirstColumn="0" w:firstRowLastColumn="0" w:lastRowFirstColumn="0" w:lastRowLastColumn="0"/>
            </w:pPr>
            <w:r>
              <w:t>1 773</w:t>
            </w:r>
          </w:p>
        </w:tc>
        <w:tc>
          <w:tcPr>
            <w:tcW w:w="964" w:type="dxa"/>
          </w:tcPr>
          <w:p w14:paraId="06CFD9F4"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1 202</w:t>
            </w:r>
          </w:p>
        </w:tc>
        <w:tc>
          <w:tcPr>
            <w:tcW w:w="964" w:type="dxa"/>
          </w:tcPr>
          <w:p w14:paraId="6EE91571" w14:textId="77777777" w:rsidR="00824558" w:rsidRDefault="00824558">
            <w:pPr>
              <w:cnfStyle w:val="000000000000" w:firstRow="0" w:lastRow="0" w:firstColumn="0" w:lastColumn="0" w:oddVBand="0" w:evenVBand="0" w:oddHBand="0" w:evenHBand="0" w:firstRowFirstColumn="0" w:firstRowLastColumn="0" w:lastRowFirstColumn="0" w:lastRowLastColumn="0"/>
            </w:pPr>
            <w:r>
              <w:t>1 773</w:t>
            </w:r>
          </w:p>
        </w:tc>
        <w:tc>
          <w:tcPr>
            <w:tcW w:w="964" w:type="dxa"/>
          </w:tcPr>
          <w:p w14:paraId="7EE88BE7" w14:textId="77777777" w:rsidR="00824558" w:rsidRDefault="00824558">
            <w:pPr>
              <w:cnfStyle w:val="000000000000" w:firstRow="0" w:lastRow="0" w:firstColumn="0" w:lastColumn="0" w:oddVBand="0" w:evenVBand="0" w:oddHBand="0" w:evenHBand="0" w:firstRowFirstColumn="0" w:firstRowLastColumn="0" w:lastRowFirstColumn="0" w:lastRowLastColumn="0"/>
            </w:pPr>
            <w:r>
              <w:t>1 304</w:t>
            </w:r>
          </w:p>
        </w:tc>
      </w:tr>
      <w:tr w:rsidR="00824558" w14:paraId="21FCF2D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7BAF33" w14:textId="77777777" w:rsidR="00824558" w:rsidRDefault="00824558">
            <w:pPr>
              <w:ind w:left="170"/>
            </w:pPr>
            <w:r>
              <w:rPr>
                <w:i/>
              </w:rPr>
              <w:t>The 2025-26 expected outcome is lower than the 2025-26 target, potentially reflecting the overall care placements trend.</w:t>
            </w:r>
            <w:r w:rsidDel="008D60CA">
              <w:rPr>
                <w:i/>
              </w:rPr>
              <w:t xml:space="preserve"> </w:t>
            </w:r>
          </w:p>
        </w:tc>
      </w:tr>
      <w:tr w:rsidR="00824558" w14:paraId="30645F27"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FFE2974" w14:textId="77777777" w:rsidR="00824558" w:rsidRDefault="00824558">
            <w:pPr>
              <w:keepNext/>
              <w:ind w:left="170"/>
            </w:pPr>
            <w:r>
              <w:t>Daily average number of children in kinship care placements</w:t>
            </w:r>
          </w:p>
        </w:tc>
        <w:tc>
          <w:tcPr>
            <w:tcW w:w="964" w:type="dxa"/>
          </w:tcPr>
          <w:p w14:paraId="54893C2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FD68010" w14:textId="77777777" w:rsidR="00824558" w:rsidRDefault="00824558">
            <w:pPr>
              <w:cnfStyle w:val="000000000000" w:firstRow="0" w:lastRow="0" w:firstColumn="0" w:lastColumn="0" w:oddVBand="0" w:evenVBand="0" w:oddHBand="0" w:evenHBand="0" w:firstRowFirstColumn="0" w:firstRowLastColumn="0" w:lastRowFirstColumn="0" w:lastRowLastColumn="0"/>
            </w:pPr>
            <w:r>
              <w:t>8 338</w:t>
            </w:r>
          </w:p>
        </w:tc>
        <w:tc>
          <w:tcPr>
            <w:tcW w:w="964" w:type="dxa"/>
          </w:tcPr>
          <w:p w14:paraId="52FBA700" w14:textId="77777777" w:rsidR="00824558" w:rsidRDefault="00824558">
            <w:pPr>
              <w:cnfStyle w:val="000000000000" w:firstRow="0" w:lastRow="0" w:firstColumn="0" w:lastColumn="0" w:oddVBand="0" w:evenVBand="0" w:oddHBand="0" w:evenHBand="0" w:firstRowFirstColumn="0" w:firstRowLastColumn="0" w:lastRowFirstColumn="0" w:lastRowLastColumn="0"/>
            </w:pPr>
            <w:r>
              <w:t>7 584</w:t>
            </w:r>
          </w:p>
        </w:tc>
        <w:tc>
          <w:tcPr>
            <w:tcW w:w="964" w:type="dxa"/>
          </w:tcPr>
          <w:p w14:paraId="1B4285E4" w14:textId="77777777" w:rsidR="00824558" w:rsidRDefault="00824558">
            <w:pPr>
              <w:cnfStyle w:val="000000000000" w:firstRow="0" w:lastRow="0" w:firstColumn="0" w:lastColumn="0" w:oddVBand="0" w:evenVBand="0" w:oddHBand="0" w:evenHBand="0" w:firstRowFirstColumn="0" w:firstRowLastColumn="0" w:lastRowFirstColumn="0" w:lastRowLastColumn="0"/>
            </w:pPr>
            <w:r>
              <w:t>8 338</w:t>
            </w:r>
          </w:p>
        </w:tc>
        <w:tc>
          <w:tcPr>
            <w:tcW w:w="964" w:type="dxa"/>
          </w:tcPr>
          <w:p w14:paraId="62173BF7"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7 505</w:t>
            </w:r>
          </w:p>
        </w:tc>
      </w:tr>
      <w:tr w:rsidR="00824558" w14:paraId="30410A6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A32EA4" w14:textId="77777777" w:rsidR="00824558" w:rsidRDefault="00824558">
            <w:pPr>
              <w:ind w:left="170"/>
            </w:pPr>
            <w:r>
              <w:rPr>
                <w:i/>
              </w:rPr>
              <w:t>The 2025-26 expected outcome is lower than the 2025-26 target, potentially reflecting the overall care placements trend.</w:t>
            </w:r>
          </w:p>
        </w:tc>
      </w:tr>
      <w:tr w:rsidR="00824558" w14:paraId="59DB1E45"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A387CBD" w14:textId="77777777" w:rsidR="00824558" w:rsidRDefault="00824558">
            <w:pPr>
              <w:keepNext/>
              <w:ind w:left="170"/>
            </w:pPr>
            <w:r>
              <w:t>Daily average number of children in residential care placements</w:t>
            </w:r>
          </w:p>
        </w:tc>
        <w:tc>
          <w:tcPr>
            <w:tcW w:w="964" w:type="dxa"/>
          </w:tcPr>
          <w:p w14:paraId="7416336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2BEE0F8" w14:textId="0A750AA8" w:rsidR="00824558" w:rsidRDefault="006F3218">
            <w:pPr>
              <w:cnfStyle w:val="000000000000" w:firstRow="0" w:lastRow="0" w:firstColumn="0" w:lastColumn="0" w:oddVBand="0" w:evenVBand="0" w:oddHBand="0" w:evenHBand="0" w:firstRowFirstColumn="0" w:firstRowLastColumn="0" w:lastRowFirstColumn="0" w:lastRowLastColumn="0"/>
            </w:pPr>
            <w:r>
              <w:t>528.5</w:t>
            </w:r>
          </w:p>
        </w:tc>
        <w:tc>
          <w:tcPr>
            <w:tcW w:w="964" w:type="dxa"/>
          </w:tcPr>
          <w:p w14:paraId="3FC948F5" w14:textId="77777777" w:rsidR="00824558" w:rsidRDefault="00824558">
            <w:pPr>
              <w:cnfStyle w:val="000000000000" w:firstRow="0" w:lastRow="0" w:firstColumn="0" w:lastColumn="0" w:oddVBand="0" w:evenVBand="0" w:oddHBand="0" w:evenHBand="0" w:firstRowFirstColumn="0" w:firstRowLastColumn="0" w:lastRowFirstColumn="0" w:lastRowLastColumn="0"/>
            </w:pPr>
            <w:r>
              <w:t>460</w:t>
            </w:r>
          </w:p>
        </w:tc>
        <w:tc>
          <w:tcPr>
            <w:tcW w:w="964" w:type="dxa"/>
          </w:tcPr>
          <w:p w14:paraId="2800C80E" w14:textId="3446E318" w:rsidR="00824558" w:rsidRDefault="00824558">
            <w:pPr>
              <w:cnfStyle w:val="000000000000" w:firstRow="0" w:lastRow="0" w:firstColumn="0" w:lastColumn="0" w:oddVBand="0" w:evenVBand="0" w:oddHBand="0" w:evenHBand="0" w:firstRowFirstColumn="0" w:firstRowLastColumn="0" w:lastRowFirstColumn="0" w:lastRowLastColumn="0"/>
            </w:pPr>
            <w:r>
              <w:t>52</w:t>
            </w:r>
            <w:r w:rsidR="00DA6DAD">
              <w:t>8.5</w:t>
            </w:r>
          </w:p>
        </w:tc>
        <w:tc>
          <w:tcPr>
            <w:tcW w:w="964" w:type="dxa"/>
          </w:tcPr>
          <w:p w14:paraId="41078DE3" w14:textId="77777777" w:rsidR="00824558" w:rsidRDefault="00824558">
            <w:pPr>
              <w:cnfStyle w:val="000000000000" w:firstRow="0" w:lastRow="0" w:firstColumn="0" w:lastColumn="0" w:oddVBand="0" w:evenVBand="0" w:oddHBand="0" w:evenHBand="0" w:firstRowFirstColumn="0" w:firstRowLastColumn="0" w:lastRowFirstColumn="0" w:lastRowLastColumn="0"/>
            </w:pPr>
            <w:r>
              <w:t>465</w:t>
            </w:r>
          </w:p>
        </w:tc>
      </w:tr>
      <w:tr w:rsidR="00824558" w14:paraId="1BD4E6F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2530FB" w14:textId="77777777" w:rsidR="00824558" w:rsidRDefault="00824558">
            <w:pPr>
              <w:ind w:left="170"/>
            </w:pPr>
            <w:r>
              <w:rPr>
                <w:i/>
              </w:rPr>
              <w:t>The 2025-26 expected outcome is lower than the 2025-26 target, potentially reflecting the overall care placements trend.</w:t>
            </w:r>
          </w:p>
        </w:tc>
      </w:tr>
      <w:tr w:rsidR="00824558" w14:paraId="06F45DEC"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1ACC2FB" w14:textId="77777777" w:rsidR="00824558" w:rsidRDefault="00824558">
            <w:pPr>
              <w:keepNext/>
              <w:ind w:left="170"/>
            </w:pPr>
            <w:r>
              <w:lastRenderedPageBreak/>
              <w:t>Daily average number of children subject to permanent care orders</w:t>
            </w:r>
          </w:p>
        </w:tc>
        <w:tc>
          <w:tcPr>
            <w:tcW w:w="964" w:type="dxa"/>
          </w:tcPr>
          <w:p w14:paraId="6BC0F4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4781E83" w14:textId="77777777" w:rsidR="00824558" w:rsidRDefault="00824558">
            <w:pPr>
              <w:cnfStyle w:val="000000000000" w:firstRow="0" w:lastRow="0" w:firstColumn="0" w:lastColumn="0" w:oddVBand="0" w:evenVBand="0" w:oddHBand="0" w:evenHBand="0" w:firstRowFirstColumn="0" w:firstRowLastColumn="0" w:lastRowFirstColumn="0" w:lastRowLastColumn="0"/>
            </w:pPr>
            <w:r>
              <w:t>4 018</w:t>
            </w:r>
          </w:p>
        </w:tc>
        <w:tc>
          <w:tcPr>
            <w:tcW w:w="964" w:type="dxa"/>
          </w:tcPr>
          <w:p w14:paraId="6F377D4D" w14:textId="77777777" w:rsidR="00824558" w:rsidRDefault="00824558">
            <w:pPr>
              <w:cnfStyle w:val="000000000000" w:firstRow="0" w:lastRow="0" w:firstColumn="0" w:lastColumn="0" w:oddVBand="0" w:evenVBand="0" w:oddHBand="0" w:evenHBand="0" w:firstRowFirstColumn="0" w:firstRowLastColumn="0" w:lastRowFirstColumn="0" w:lastRowLastColumn="0"/>
            </w:pPr>
            <w:r>
              <w:t>4 018</w:t>
            </w:r>
          </w:p>
        </w:tc>
        <w:tc>
          <w:tcPr>
            <w:tcW w:w="964" w:type="dxa"/>
          </w:tcPr>
          <w:p w14:paraId="3ECEDA86" w14:textId="77777777" w:rsidR="00824558" w:rsidRDefault="00824558">
            <w:pPr>
              <w:cnfStyle w:val="000000000000" w:firstRow="0" w:lastRow="0" w:firstColumn="0" w:lastColumn="0" w:oddVBand="0" w:evenVBand="0" w:oddHBand="0" w:evenHBand="0" w:firstRowFirstColumn="0" w:firstRowLastColumn="0" w:lastRowFirstColumn="0" w:lastRowLastColumn="0"/>
            </w:pPr>
            <w:r>
              <w:t>3 850</w:t>
            </w:r>
          </w:p>
        </w:tc>
        <w:tc>
          <w:tcPr>
            <w:tcW w:w="964" w:type="dxa"/>
          </w:tcPr>
          <w:p w14:paraId="20A221B8" w14:textId="77777777" w:rsidR="00824558" w:rsidRDefault="00824558">
            <w:pPr>
              <w:cnfStyle w:val="000000000000" w:firstRow="0" w:lastRow="0" w:firstColumn="0" w:lastColumn="0" w:oddVBand="0" w:evenVBand="0" w:oddHBand="0" w:evenHBand="0" w:firstRowFirstColumn="0" w:firstRowLastColumn="0" w:lastRowFirstColumn="0" w:lastRowLastColumn="0"/>
            </w:pPr>
            <w:r>
              <w:t>3 907</w:t>
            </w:r>
          </w:p>
        </w:tc>
      </w:tr>
      <w:tr w:rsidR="00824558" w14:paraId="34F3D42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7C3E48C" w14:textId="77777777" w:rsidR="00824558" w:rsidRDefault="00824558" w:rsidP="007D3EA5">
            <w:pPr>
              <w:keepNext/>
              <w:ind w:left="170"/>
            </w:pPr>
            <w:r>
              <w:rPr>
                <w:i/>
              </w:rPr>
              <w:t xml:space="preserve">The 2025-26 expected outcome is higher than the 2025-26 target due to more children being subject to permanent care orders. </w:t>
            </w:r>
          </w:p>
          <w:p w14:paraId="6123C971" w14:textId="77777777" w:rsidR="00824558" w:rsidRDefault="00824558">
            <w:pPr>
              <w:ind w:left="170"/>
            </w:pPr>
            <w:r>
              <w:rPr>
                <w:i/>
              </w:rPr>
              <w:t>The higher 2026-27 target reflects the expected outcome for 2025-26 and the expectation that the number of children subject to permanent care orders will remain stable.</w:t>
            </w:r>
          </w:p>
        </w:tc>
      </w:tr>
      <w:tr w:rsidR="00824558" w14:paraId="059E2AA7"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91FEAA4" w14:textId="77777777" w:rsidR="00824558" w:rsidRDefault="00824558">
            <w:pPr>
              <w:keepNext/>
              <w:ind w:left="170"/>
            </w:pPr>
            <w:r>
              <w:t>Number of children authorised to an Aboriginal agency under the Aboriginal Children in Aboriginal Care program</w:t>
            </w:r>
          </w:p>
        </w:tc>
        <w:tc>
          <w:tcPr>
            <w:tcW w:w="964" w:type="dxa"/>
          </w:tcPr>
          <w:p w14:paraId="287947B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FC0B216" w14:textId="77777777" w:rsidR="00824558" w:rsidRDefault="00824558">
            <w:pPr>
              <w:cnfStyle w:val="000000000000" w:firstRow="0" w:lastRow="0" w:firstColumn="0" w:lastColumn="0" w:oddVBand="0" w:evenVBand="0" w:oddHBand="0" w:evenHBand="0" w:firstRowFirstColumn="0" w:firstRowLastColumn="0" w:lastRowFirstColumn="0" w:lastRowLastColumn="0"/>
            </w:pPr>
            <w:r>
              <w:t>756</w:t>
            </w:r>
          </w:p>
        </w:tc>
        <w:tc>
          <w:tcPr>
            <w:tcW w:w="964" w:type="dxa"/>
          </w:tcPr>
          <w:p w14:paraId="2E7CCCD6" w14:textId="77777777" w:rsidR="00824558" w:rsidRDefault="00824558">
            <w:pPr>
              <w:cnfStyle w:val="000000000000" w:firstRow="0" w:lastRow="0" w:firstColumn="0" w:lastColumn="0" w:oddVBand="0" w:evenVBand="0" w:oddHBand="0" w:evenHBand="0" w:firstRowFirstColumn="0" w:firstRowLastColumn="0" w:lastRowFirstColumn="0" w:lastRowLastColumn="0"/>
            </w:pPr>
            <w:r>
              <w:t>538.6</w:t>
            </w:r>
          </w:p>
        </w:tc>
        <w:tc>
          <w:tcPr>
            <w:tcW w:w="964" w:type="dxa"/>
          </w:tcPr>
          <w:p w14:paraId="04CAF53A" w14:textId="77777777" w:rsidR="00824558" w:rsidRDefault="00824558">
            <w:pPr>
              <w:cnfStyle w:val="000000000000" w:firstRow="0" w:lastRow="0" w:firstColumn="0" w:lastColumn="0" w:oddVBand="0" w:evenVBand="0" w:oddHBand="0" w:evenHBand="0" w:firstRowFirstColumn="0" w:firstRowLastColumn="0" w:lastRowFirstColumn="0" w:lastRowLastColumn="0"/>
            </w:pPr>
            <w:r>
              <w:t>460</w:t>
            </w:r>
          </w:p>
        </w:tc>
        <w:tc>
          <w:tcPr>
            <w:tcW w:w="964" w:type="dxa"/>
          </w:tcPr>
          <w:p w14:paraId="792E707B" w14:textId="77777777" w:rsidR="00824558" w:rsidRDefault="00824558">
            <w:pPr>
              <w:cnfStyle w:val="000000000000" w:firstRow="0" w:lastRow="0" w:firstColumn="0" w:lastColumn="0" w:oddVBand="0" w:evenVBand="0" w:oddHBand="0" w:evenHBand="0" w:firstRowFirstColumn="0" w:firstRowLastColumn="0" w:lastRowFirstColumn="0" w:lastRowLastColumn="0"/>
            </w:pPr>
            <w:r>
              <w:t>449</w:t>
            </w:r>
          </w:p>
        </w:tc>
      </w:tr>
      <w:tr w:rsidR="00824558" w14:paraId="194B5DD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D707D6" w14:textId="77777777" w:rsidR="00824558" w:rsidRDefault="00824558">
            <w:pPr>
              <w:ind w:left="170"/>
            </w:pPr>
            <w:r>
              <w:rPr>
                <w:i/>
              </w:rPr>
              <w:t xml:space="preserve">The 2025-26 expected outcome is higher than the 2025-26 target due to more children being subject to authorisation to an Aboriginal Community Controlled Organisation (ACCO). </w:t>
            </w:r>
          </w:p>
          <w:p w14:paraId="175454F1" w14:textId="1E05B2E8" w:rsidR="00824558" w:rsidRDefault="00824558">
            <w:pPr>
              <w:ind w:left="170"/>
            </w:pPr>
            <w:r>
              <w:rPr>
                <w:i/>
              </w:rPr>
              <w:t xml:space="preserve">The higher 2026-27 target reflects additional funds provided as part of the </w:t>
            </w:r>
            <w:r w:rsidRPr="00BE08F1">
              <w:t xml:space="preserve">2023-24 </w:t>
            </w:r>
            <w:r w:rsidR="000148FB" w:rsidRPr="00BE08F1">
              <w:rPr>
                <w:iCs/>
              </w:rPr>
              <w:t>B</w:t>
            </w:r>
            <w:r w:rsidRPr="00BE08F1">
              <w:t>udget</w:t>
            </w:r>
            <w:r>
              <w:rPr>
                <w:i/>
              </w:rPr>
              <w:t>.</w:t>
            </w:r>
          </w:p>
        </w:tc>
      </w:tr>
      <w:tr w:rsidR="00824558" w14:paraId="6EB8BC3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B5CEFF3" w14:textId="77777777" w:rsidR="00824558" w:rsidRDefault="00824558">
            <w:pPr>
              <w:keepNext/>
              <w:ind w:left="170"/>
            </w:pPr>
            <w:r>
              <w:t>Number of intensive family services cases commencing</w:t>
            </w:r>
          </w:p>
        </w:tc>
        <w:tc>
          <w:tcPr>
            <w:tcW w:w="964" w:type="dxa"/>
            <w:tcBorders>
              <w:bottom w:val="nil"/>
            </w:tcBorders>
          </w:tcPr>
          <w:p w14:paraId="376E49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1D0554BE" w14:textId="77777777" w:rsidR="00824558" w:rsidRDefault="00824558">
            <w:pPr>
              <w:cnfStyle w:val="000000000000" w:firstRow="0" w:lastRow="0" w:firstColumn="0" w:lastColumn="0" w:oddVBand="0" w:evenVBand="0" w:oddHBand="0" w:evenHBand="0" w:firstRowFirstColumn="0" w:firstRowLastColumn="0" w:lastRowFirstColumn="0" w:lastRowLastColumn="0"/>
            </w:pPr>
            <w:r>
              <w:t>5 263</w:t>
            </w:r>
          </w:p>
        </w:tc>
        <w:tc>
          <w:tcPr>
            <w:tcW w:w="964" w:type="dxa"/>
            <w:tcBorders>
              <w:bottom w:val="nil"/>
            </w:tcBorders>
          </w:tcPr>
          <w:p w14:paraId="7090AFD2" w14:textId="77777777" w:rsidR="00824558" w:rsidRDefault="00824558">
            <w:pPr>
              <w:cnfStyle w:val="000000000000" w:firstRow="0" w:lastRow="0" w:firstColumn="0" w:lastColumn="0" w:oddVBand="0" w:evenVBand="0" w:oddHBand="0" w:evenHBand="0" w:firstRowFirstColumn="0" w:firstRowLastColumn="0" w:lastRowFirstColumn="0" w:lastRowLastColumn="0"/>
            </w:pPr>
            <w:r>
              <w:t>5 292</w:t>
            </w:r>
          </w:p>
        </w:tc>
        <w:tc>
          <w:tcPr>
            <w:tcW w:w="964" w:type="dxa"/>
            <w:tcBorders>
              <w:bottom w:val="nil"/>
            </w:tcBorders>
          </w:tcPr>
          <w:p w14:paraId="79B61155" w14:textId="77777777" w:rsidR="00824558" w:rsidRDefault="00824558">
            <w:pPr>
              <w:cnfStyle w:val="000000000000" w:firstRow="0" w:lastRow="0" w:firstColumn="0" w:lastColumn="0" w:oddVBand="0" w:evenVBand="0" w:oddHBand="0" w:evenHBand="0" w:firstRowFirstColumn="0" w:firstRowLastColumn="0" w:lastRowFirstColumn="0" w:lastRowLastColumn="0"/>
            </w:pPr>
            <w:r>
              <w:t>4 707</w:t>
            </w:r>
          </w:p>
        </w:tc>
        <w:tc>
          <w:tcPr>
            <w:tcW w:w="964" w:type="dxa"/>
            <w:tcBorders>
              <w:bottom w:val="nil"/>
            </w:tcBorders>
          </w:tcPr>
          <w:p w14:paraId="58C3E86E" w14:textId="77777777" w:rsidR="00824558" w:rsidRDefault="00824558">
            <w:pPr>
              <w:cnfStyle w:val="000000000000" w:firstRow="0" w:lastRow="0" w:firstColumn="0" w:lastColumn="0" w:oddVBand="0" w:evenVBand="0" w:oddHBand="0" w:evenHBand="0" w:firstRowFirstColumn="0" w:firstRowLastColumn="0" w:lastRowFirstColumn="0" w:lastRowLastColumn="0"/>
            </w:pPr>
            <w:r>
              <w:t>3 260</w:t>
            </w:r>
          </w:p>
        </w:tc>
      </w:tr>
      <w:tr w:rsidR="00824558" w14:paraId="220EAAEE" w14:textId="77777777" w:rsidTr="00D7476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199EA3" w14:textId="77777777" w:rsidR="00824558" w:rsidRDefault="00824558">
            <w:pPr>
              <w:ind w:left="170"/>
            </w:pPr>
            <w:r>
              <w:rPr>
                <w:i/>
              </w:rPr>
              <w:t xml:space="preserve">The expected outcome is higher than the 2025-26 target due to responsiveness to continuing and consistent high levels of demand for intensive family services. </w:t>
            </w:r>
          </w:p>
          <w:p w14:paraId="31E7BB71" w14:textId="47268C8C" w:rsidR="00824558" w:rsidRDefault="00824558">
            <w:pPr>
              <w:ind w:left="170"/>
            </w:pPr>
            <w:r>
              <w:rPr>
                <w:i/>
              </w:rPr>
              <w:t xml:space="preserve">The higher target reflects additional investment from the </w:t>
            </w:r>
            <w:r w:rsidRPr="00BE08F1">
              <w:t>2026-27 Budget</w:t>
            </w:r>
            <w:r>
              <w:rPr>
                <w:i/>
              </w:rPr>
              <w:t xml:space="preserve"> and the impact of reforms to support more intensive service delivery for families referred by </w:t>
            </w:r>
            <w:r w:rsidR="00A10E7D">
              <w:rPr>
                <w:i/>
              </w:rPr>
              <w:t>C</w:t>
            </w:r>
            <w:r>
              <w:rPr>
                <w:i/>
              </w:rPr>
              <w:t xml:space="preserve">hild </w:t>
            </w:r>
            <w:r w:rsidR="00A10E7D">
              <w:rPr>
                <w:i/>
              </w:rPr>
              <w:t>P</w:t>
            </w:r>
            <w:r>
              <w:rPr>
                <w:i/>
              </w:rPr>
              <w:t>rotection.</w:t>
            </w:r>
          </w:p>
        </w:tc>
      </w:tr>
      <w:tr w:rsidR="00824558" w14:paraId="6C4CC369" w14:textId="77777777" w:rsidTr="00D74763">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7C02DE0" w14:textId="77777777" w:rsidR="00824558" w:rsidRDefault="00824558">
            <w:pPr>
              <w:keepNext/>
              <w:ind w:left="170"/>
            </w:pPr>
            <w:r>
              <w:t>Number of intensive family services cases commencing for Aboriginal families</w:t>
            </w:r>
          </w:p>
        </w:tc>
        <w:tc>
          <w:tcPr>
            <w:tcW w:w="964" w:type="dxa"/>
            <w:tcBorders>
              <w:top w:val="single" w:sz="6" w:space="0" w:color="auto"/>
              <w:bottom w:val="single" w:sz="6" w:space="0" w:color="auto"/>
            </w:tcBorders>
          </w:tcPr>
          <w:p w14:paraId="12ACB3C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067ABFFA" w14:textId="77777777" w:rsidR="00824558" w:rsidRDefault="00824558">
            <w:pPr>
              <w:cnfStyle w:val="000000000000" w:firstRow="0" w:lastRow="0" w:firstColumn="0" w:lastColumn="0" w:oddVBand="0" w:evenVBand="0" w:oddHBand="0" w:evenHBand="0" w:firstRowFirstColumn="0" w:firstRowLastColumn="0" w:lastRowFirstColumn="0" w:lastRowLastColumn="0"/>
            </w:pPr>
            <w:r>
              <w:t>1 418</w:t>
            </w:r>
          </w:p>
        </w:tc>
        <w:tc>
          <w:tcPr>
            <w:tcW w:w="964" w:type="dxa"/>
            <w:tcBorders>
              <w:top w:val="single" w:sz="6" w:space="0" w:color="auto"/>
              <w:bottom w:val="single" w:sz="6" w:space="0" w:color="auto"/>
            </w:tcBorders>
          </w:tcPr>
          <w:p w14:paraId="2E23A101" w14:textId="77777777" w:rsidR="00824558" w:rsidRDefault="00824558">
            <w:pPr>
              <w:cnfStyle w:val="000000000000" w:firstRow="0" w:lastRow="0" w:firstColumn="0" w:lastColumn="0" w:oddVBand="0" w:evenVBand="0" w:oddHBand="0" w:evenHBand="0" w:firstRowFirstColumn="0" w:firstRowLastColumn="0" w:lastRowFirstColumn="0" w:lastRowLastColumn="0"/>
            </w:pPr>
            <w:r>
              <w:t>1 484</w:t>
            </w:r>
          </w:p>
        </w:tc>
        <w:tc>
          <w:tcPr>
            <w:tcW w:w="964" w:type="dxa"/>
            <w:tcBorders>
              <w:top w:val="single" w:sz="6" w:space="0" w:color="auto"/>
              <w:bottom w:val="single" w:sz="6" w:space="0" w:color="auto"/>
            </w:tcBorders>
          </w:tcPr>
          <w:p w14:paraId="27E46C45" w14:textId="77777777" w:rsidR="00824558" w:rsidRDefault="00824558">
            <w:pPr>
              <w:cnfStyle w:val="000000000000" w:firstRow="0" w:lastRow="0" w:firstColumn="0" w:lastColumn="0" w:oddVBand="0" w:evenVBand="0" w:oddHBand="0" w:evenHBand="0" w:firstRowFirstColumn="0" w:firstRowLastColumn="0" w:lastRowFirstColumn="0" w:lastRowLastColumn="0"/>
            </w:pPr>
            <w:r>
              <w:t>1 418</w:t>
            </w:r>
          </w:p>
        </w:tc>
        <w:tc>
          <w:tcPr>
            <w:tcW w:w="964" w:type="dxa"/>
            <w:tcBorders>
              <w:top w:val="single" w:sz="6" w:space="0" w:color="auto"/>
              <w:bottom w:val="single" w:sz="6" w:space="0" w:color="auto"/>
            </w:tcBorders>
          </w:tcPr>
          <w:p w14:paraId="011A62CB" w14:textId="77777777" w:rsidR="00824558" w:rsidRDefault="00824558">
            <w:pPr>
              <w:cnfStyle w:val="000000000000" w:firstRow="0" w:lastRow="0" w:firstColumn="0" w:lastColumn="0" w:oddVBand="0" w:evenVBand="0" w:oddHBand="0" w:evenHBand="0" w:firstRowFirstColumn="0" w:firstRowLastColumn="0" w:lastRowFirstColumn="0" w:lastRowLastColumn="0"/>
            </w:pPr>
            <w:r>
              <w:t>984</w:t>
            </w:r>
          </w:p>
        </w:tc>
      </w:tr>
      <w:tr w:rsidR="00824558" w14:paraId="03027D1C" w14:textId="77777777" w:rsidTr="00D74763">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57F17FCA" w14:textId="77777777" w:rsidR="00824558" w:rsidRDefault="00824558">
            <w:pPr>
              <w:keepNext/>
              <w:ind w:left="170"/>
            </w:pPr>
            <w:r>
              <w:t>Number of investigations from reports to Child Protection Services about the wellbeing and safety of children</w:t>
            </w:r>
          </w:p>
        </w:tc>
        <w:tc>
          <w:tcPr>
            <w:tcW w:w="964" w:type="dxa"/>
            <w:tcBorders>
              <w:top w:val="single" w:sz="6" w:space="0" w:color="auto"/>
            </w:tcBorders>
          </w:tcPr>
          <w:p w14:paraId="66C05C4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2F2F2" w:themeFill="background1" w:themeFillShade="F2"/>
          </w:tcPr>
          <w:p w14:paraId="7CA1A95F" w14:textId="77777777" w:rsidR="00824558" w:rsidRDefault="00824558">
            <w:pPr>
              <w:cnfStyle w:val="000000000000" w:firstRow="0" w:lastRow="0" w:firstColumn="0" w:lastColumn="0" w:oddVBand="0" w:evenVBand="0" w:oddHBand="0" w:evenHBand="0" w:firstRowFirstColumn="0" w:firstRowLastColumn="0" w:lastRowFirstColumn="0" w:lastRowLastColumn="0"/>
            </w:pPr>
            <w:r>
              <w:t>55 269</w:t>
            </w:r>
          </w:p>
        </w:tc>
        <w:tc>
          <w:tcPr>
            <w:tcW w:w="964" w:type="dxa"/>
            <w:tcBorders>
              <w:top w:val="single" w:sz="6" w:space="0" w:color="auto"/>
            </w:tcBorders>
          </w:tcPr>
          <w:p w14:paraId="60EB9294" w14:textId="77777777" w:rsidR="00824558" w:rsidRDefault="00824558">
            <w:pPr>
              <w:cnfStyle w:val="000000000000" w:firstRow="0" w:lastRow="0" w:firstColumn="0" w:lastColumn="0" w:oddVBand="0" w:evenVBand="0" w:oddHBand="0" w:evenHBand="0" w:firstRowFirstColumn="0" w:firstRowLastColumn="0" w:lastRowFirstColumn="0" w:lastRowLastColumn="0"/>
            </w:pPr>
            <w:r>
              <w:t>52 289</w:t>
            </w:r>
          </w:p>
        </w:tc>
        <w:tc>
          <w:tcPr>
            <w:tcW w:w="964" w:type="dxa"/>
            <w:tcBorders>
              <w:top w:val="single" w:sz="6" w:space="0" w:color="auto"/>
            </w:tcBorders>
          </w:tcPr>
          <w:p w14:paraId="4863155A" w14:textId="77777777" w:rsidR="00824558" w:rsidRDefault="00824558">
            <w:pPr>
              <w:cnfStyle w:val="000000000000" w:firstRow="0" w:lastRow="0" w:firstColumn="0" w:lastColumn="0" w:oddVBand="0" w:evenVBand="0" w:oddHBand="0" w:evenHBand="0" w:firstRowFirstColumn="0" w:firstRowLastColumn="0" w:lastRowFirstColumn="0" w:lastRowLastColumn="0"/>
            </w:pPr>
            <w:r>
              <w:t>46 088</w:t>
            </w:r>
          </w:p>
        </w:tc>
        <w:tc>
          <w:tcPr>
            <w:tcW w:w="964" w:type="dxa"/>
            <w:tcBorders>
              <w:top w:val="single" w:sz="6" w:space="0" w:color="auto"/>
            </w:tcBorders>
          </w:tcPr>
          <w:p w14:paraId="1C36F284" w14:textId="77777777" w:rsidR="00824558" w:rsidRDefault="00824558">
            <w:pPr>
              <w:cnfStyle w:val="000000000000" w:firstRow="0" w:lastRow="0" w:firstColumn="0" w:lastColumn="0" w:oddVBand="0" w:evenVBand="0" w:oddHBand="0" w:evenHBand="0" w:firstRowFirstColumn="0" w:firstRowLastColumn="0" w:lastRowFirstColumn="0" w:lastRowLastColumn="0"/>
            </w:pPr>
            <w:r>
              <w:t>47 361</w:t>
            </w:r>
          </w:p>
        </w:tc>
      </w:tr>
      <w:tr w:rsidR="00824558" w14:paraId="18543DD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8655C5" w14:textId="77777777" w:rsidR="00824558" w:rsidRDefault="00824558">
            <w:pPr>
              <w:ind w:left="170"/>
            </w:pPr>
            <w:r>
              <w:rPr>
                <w:i/>
              </w:rPr>
              <w:t>The 2025-26 expected outcome is higher than the 2025-26 target. A higher investigation rate may reflect that a higher proportion of reports from the community warrant an investigation to determine whether the statutory threshold for intervention has been met.</w:t>
            </w:r>
          </w:p>
          <w:p w14:paraId="69951BB1" w14:textId="2640B1F5" w:rsidR="00824558" w:rsidRDefault="00824558">
            <w:pPr>
              <w:ind w:left="170"/>
            </w:pPr>
            <w:r>
              <w:rPr>
                <w:i/>
              </w:rPr>
              <w:t xml:space="preserve">The higher 2026-27 target reflects the expected outcome for 2025-26 and the expectation that investigations will continue to increase, consistent with increases to reports to </w:t>
            </w:r>
            <w:r w:rsidR="0034066B">
              <w:rPr>
                <w:i/>
              </w:rPr>
              <w:t>C</w:t>
            </w:r>
            <w:r>
              <w:rPr>
                <w:i/>
              </w:rPr>
              <w:t xml:space="preserve">hild </w:t>
            </w:r>
            <w:r w:rsidR="0034066B">
              <w:rPr>
                <w:i/>
              </w:rPr>
              <w:t>P</w:t>
            </w:r>
            <w:r>
              <w:rPr>
                <w:i/>
              </w:rPr>
              <w:t xml:space="preserve">rotection. </w:t>
            </w:r>
          </w:p>
        </w:tc>
      </w:tr>
      <w:tr w:rsidR="00824558" w14:paraId="280563A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2D4B066" w14:textId="77777777" w:rsidR="00824558" w:rsidRDefault="00824558">
            <w:pPr>
              <w:ind w:left="170"/>
            </w:pPr>
            <w:r>
              <w:t>Number of parents/carers enrolled in Supported Playgroups</w:t>
            </w:r>
          </w:p>
        </w:tc>
        <w:tc>
          <w:tcPr>
            <w:tcW w:w="964" w:type="dxa"/>
            <w:tcBorders>
              <w:bottom w:val="single" w:sz="6" w:space="0" w:color="auto"/>
            </w:tcBorders>
          </w:tcPr>
          <w:p w14:paraId="648036B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5BFAF1F" w14:textId="77777777" w:rsidR="00824558" w:rsidRDefault="00824558">
            <w:pPr>
              <w:cnfStyle w:val="000000000000" w:firstRow="0" w:lastRow="0" w:firstColumn="0" w:lastColumn="0" w:oddVBand="0" w:evenVBand="0" w:oddHBand="0" w:evenHBand="0" w:firstRowFirstColumn="0" w:firstRowLastColumn="0" w:lastRowFirstColumn="0" w:lastRowLastColumn="0"/>
            </w:pPr>
            <w:r>
              <w:t>13 900</w:t>
            </w:r>
          </w:p>
        </w:tc>
        <w:tc>
          <w:tcPr>
            <w:tcW w:w="964" w:type="dxa"/>
            <w:tcBorders>
              <w:bottom w:val="single" w:sz="6" w:space="0" w:color="auto"/>
            </w:tcBorders>
          </w:tcPr>
          <w:p w14:paraId="45AE0B48" w14:textId="77777777" w:rsidR="00824558" w:rsidRDefault="00824558">
            <w:pPr>
              <w:cnfStyle w:val="000000000000" w:firstRow="0" w:lastRow="0" w:firstColumn="0" w:lastColumn="0" w:oddVBand="0" w:evenVBand="0" w:oddHBand="0" w:evenHBand="0" w:firstRowFirstColumn="0" w:firstRowLastColumn="0" w:lastRowFirstColumn="0" w:lastRowLastColumn="0"/>
            </w:pPr>
            <w:r>
              <w:t>13 802</w:t>
            </w:r>
          </w:p>
        </w:tc>
        <w:tc>
          <w:tcPr>
            <w:tcW w:w="964" w:type="dxa"/>
            <w:tcBorders>
              <w:bottom w:val="single" w:sz="6" w:space="0" w:color="auto"/>
            </w:tcBorders>
          </w:tcPr>
          <w:p w14:paraId="40F3ACE3" w14:textId="77777777" w:rsidR="00824558" w:rsidRDefault="00824558">
            <w:pPr>
              <w:cnfStyle w:val="000000000000" w:firstRow="0" w:lastRow="0" w:firstColumn="0" w:lastColumn="0" w:oddVBand="0" w:evenVBand="0" w:oddHBand="0" w:evenHBand="0" w:firstRowFirstColumn="0" w:firstRowLastColumn="0" w:lastRowFirstColumn="0" w:lastRowLastColumn="0"/>
            </w:pPr>
            <w:r>
              <w:t>13 900</w:t>
            </w:r>
          </w:p>
        </w:tc>
        <w:tc>
          <w:tcPr>
            <w:tcW w:w="964" w:type="dxa"/>
            <w:tcBorders>
              <w:bottom w:val="single" w:sz="6" w:space="0" w:color="auto"/>
            </w:tcBorders>
          </w:tcPr>
          <w:p w14:paraId="5F3C513C" w14:textId="77777777" w:rsidR="00824558" w:rsidRDefault="00824558">
            <w:pPr>
              <w:cnfStyle w:val="000000000000" w:firstRow="0" w:lastRow="0" w:firstColumn="0" w:lastColumn="0" w:oddVBand="0" w:evenVBand="0" w:oddHBand="0" w:evenHBand="0" w:firstRowFirstColumn="0" w:firstRowLastColumn="0" w:lastRowFirstColumn="0" w:lastRowLastColumn="0"/>
            </w:pPr>
            <w:r>
              <w:t>13 623</w:t>
            </w:r>
          </w:p>
        </w:tc>
      </w:tr>
      <w:tr w:rsidR="00824558" w14:paraId="19079950"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1CCFD58" w14:textId="77777777" w:rsidR="00824558" w:rsidRDefault="00824558">
            <w:pPr>
              <w:keepNext/>
              <w:ind w:left="170"/>
            </w:pPr>
            <w:r>
              <w:t>Reports to Child Protection Services about the wellbeing and safety of children</w:t>
            </w:r>
          </w:p>
        </w:tc>
        <w:tc>
          <w:tcPr>
            <w:tcW w:w="964" w:type="dxa"/>
          </w:tcPr>
          <w:p w14:paraId="6020069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7A99ECE" w14:textId="77777777" w:rsidR="00824558" w:rsidRDefault="00824558">
            <w:pPr>
              <w:cnfStyle w:val="000000000000" w:firstRow="0" w:lastRow="0" w:firstColumn="0" w:lastColumn="0" w:oddVBand="0" w:evenVBand="0" w:oddHBand="0" w:evenHBand="0" w:firstRowFirstColumn="0" w:firstRowLastColumn="0" w:lastRowFirstColumn="0" w:lastRowLastColumn="0"/>
            </w:pPr>
            <w:r>
              <w:t>161 965</w:t>
            </w:r>
          </w:p>
        </w:tc>
        <w:tc>
          <w:tcPr>
            <w:tcW w:w="964" w:type="dxa"/>
          </w:tcPr>
          <w:p w14:paraId="513E1768" w14:textId="77777777" w:rsidR="00824558" w:rsidRDefault="00824558">
            <w:pPr>
              <w:cnfStyle w:val="000000000000" w:firstRow="0" w:lastRow="0" w:firstColumn="0" w:lastColumn="0" w:oddVBand="0" w:evenVBand="0" w:oddHBand="0" w:evenHBand="0" w:firstRowFirstColumn="0" w:firstRowLastColumn="0" w:lastRowFirstColumn="0" w:lastRowLastColumn="0"/>
            </w:pPr>
            <w:r>
              <w:t>154 106</w:t>
            </w:r>
          </w:p>
        </w:tc>
        <w:tc>
          <w:tcPr>
            <w:tcW w:w="964" w:type="dxa"/>
          </w:tcPr>
          <w:p w14:paraId="5614D110" w14:textId="77777777" w:rsidR="00824558" w:rsidRDefault="00824558">
            <w:pPr>
              <w:cnfStyle w:val="000000000000" w:firstRow="0" w:lastRow="0" w:firstColumn="0" w:lastColumn="0" w:oddVBand="0" w:evenVBand="0" w:oddHBand="0" w:evenHBand="0" w:firstRowFirstColumn="0" w:firstRowLastColumn="0" w:lastRowFirstColumn="0" w:lastRowLastColumn="0"/>
            </w:pPr>
            <w:r>
              <w:t>153 982</w:t>
            </w:r>
          </w:p>
        </w:tc>
        <w:tc>
          <w:tcPr>
            <w:tcW w:w="964" w:type="dxa"/>
          </w:tcPr>
          <w:p w14:paraId="77A53C4F" w14:textId="77777777" w:rsidR="00824558" w:rsidRDefault="00824558">
            <w:pPr>
              <w:cnfStyle w:val="000000000000" w:firstRow="0" w:lastRow="0" w:firstColumn="0" w:lastColumn="0" w:oddVBand="0" w:evenVBand="0" w:oddHBand="0" w:evenHBand="0" w:firstRowFirstColumn="0" w:firstRowLastColumn="0" w:lastRowFirstColumn="0" w:lastRowLastColumn="0"/>
            </w:pPr>
            <w:r>
              <w:t>151 587</w:t>
            </w:r>
          </w:p>
        </w:tc>
      </w:tr>
      <w:tr w:rsidR="00824558" w14:paraId="0A3EED1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3915A38" w14:textId="77777777" w:rsidR="00824558" w:rsidRDefault="00824558">
            <w:pPr>
              <w:ind w:left="170"/>
            </w:pPr>
            <w:r>
              <w:rPr>
                <w:i/>
              </w:rPr>
              <w:t xml:space="preserve">The higher 2026-27 target reflects expectations that Child Protection demand will continue to increase in line with recent year-on-year trends. </w:t>
            </w:r>
          </w:p>
        </w:tc>
      </w:tr>
      <w:tr w:rsidR="00824558" w14:paraId="3635B06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B1B320D" w14:textId="77777777" w:rsidR="00824558" w:rsidRDefault="00824558">
            <w:pPr>
              <w:keepNext/>
              <w:ind w:left="170"/>
            </w:pPr>
            <w:r>
              <w:t>Total family services cases commencing</w:t>
            </w:r>
          </w:p>
        </w:tc>
        <w:tc>
          <w:tcPr>
            <w:tcW w:w="964" w:type="dxa"/>
          </w:tcPr>
          <w:p w14:paraId="4D5BDF4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890CC34" w14:textId="77777777" w:rsidR="00824558" w:rsidRDefault="00824558">
            <w:pPr>
              <w:cnfStyle w:val="000000000000" w:firstRow="0" w:lastRow="0" w:firstColumn="0" w:lastColumn="0" w:oddVBand="0" w:evenVBand="0" w:oddHBand="0" w:evenHBand="0" w:firstRowFirstColumn="0" w:firstRowLastColumn="0" w:lastRowFirstColumn="0" w:lastRowLastColumn="0"/>
            </w:pPr>
            <w:r>
              <w:t>19 594</w:t>
            </w:r>
          </w:p>
        </w:tc>
        <w:tc>
          <w:tcPr>
            <w:tcW w:w="964" w:type="dxa"/>
          </w:tcPr>
          <w:p w14:paraId="45F6CFF1" w14:textId="77777777" w:rsidR="00824558" w:rsidRDefault="00824558">
            <w:pPr>
              <w:cnfStyle w:val="000000000000" w:firstRow="0" w:lastRow="0" w:firstColumn="0" w:lastColumn="0" w:oddVBand="0" w:evenVBand="0" w:oddHBand="0" w:evenHBand="0" w:firstRowFirstColumn="0" w:firstRowLastColumn="0" w:lastRowFirstColumn="0" w:lastRowLastColumn="0"/>
            </w:pPr>
            <w:r>
              <w:t>21 474</w:t>
            </w:r>
          </w:p>
        </w:tc>
        <w:tc>
          <w:tcPr>
            <w:tcW w:w="964" w:type="dxa"/>
          </w:tcPr>
          <w:p w14:paraId="28941D5B" w14:textId="77777777" w:rsidR="00824558" w:rsidRDefault="00824558">
            <w:pPr>
              <w:cnfStyle w:val="000000000000" w:firstRow="0" w:lastRow="0" w:firstColumn="0" w:lastColumn="0" w:oddVBand="0" w:evenVBand="0" w:oddHBand="0" w:evenHBand="0" w:firstRowFirstColumn="0" w:firstRowLastColumn="0" w:lastRowFirstColumn="0" w:lastRowLastColumn="0"/>
            </w:pPr>
            <w:r>
              <w:t>17 066</w:t>
            </w:r>
          </w:p>
        </w:tc>
        <w:tc>
          <w:tcPr>
            <w:tcW w:w="964" w:type="dxa"/>
          </w:tcPr>
          <w:p w14:paraId="5536E680" w14:textId="77777777" w:rsidR="00824558" w:rsidRDefault="00824558">
            <w:pPr>
              <w:cnfStyle w:val="000000000000" w:firstRow="0" w:lastRow="0" w:firstColumn="0" w:lastColumn="0" w:oddVBand="0" w:evenVBand="0" w:oddHBand="0" w:evenHBand="0" w:firstRowFirstColumn="0" w:firstRowLastColumn="0" w:lastRowFirstColumn="0" w:lastRowLastColumn="0"/>
            </w:pPr>
            <w:r>
              <w:t>19 854</w:t>
            </w:r>
          </w:p>
        </w:tc>
      </w:tr>
      <w:tr w:rsidR="00824558" w14:paraId="3C1F29D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BDAC46" w14:textId="77777777" w:rsidR="00824558" w:rsidRDefault="00824558">
            <w:pPr>
              <w:ind w:left="170"/>
            </w:pPr>
            <w:r>
              <w:rPr>
                <w:i/>
              </w:rPr>
              <w:t xml:space="preserve">The 2025-26 expected outcome is higher than the 2025-26 target with more families accessing family services, particularly Early Help Family Services. </w:t>
            </w:r>
          </w:p>
          <w:p w14:paraId="3B86C422" w14:textId="77777777" w:rsidR="00824558" w:rsidRDefault="00824558">
            <w:pPr>
              <w:ind w:left="170"/>
            </w:pPr>
            <w:r>
              <w:rPr>
                <w:i/>
              </w:rPr>
              <w:t xml:space="preserve">The higher 2026-27 target reflects additional investment and reform of family services, including that Early Help Family Services is fully established and supporting additional families. </w:t>
            </w:r>
          </w:p>
        </w:tc>
      </w:tr>
      <w:tr w:rsidR="00824558" w14:paraId="34CA6787"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295D124" w14:textId="77777777" w:rsidR="00824558" w:rsidRDefault="00824558">
            <w:pPr>
              <w:keepNext/>
              <w:ind w:left="170"/>
            </w:pPr>
            <w:r>
              <w:t>Total family services cases commencing for Aboriginal families</w:t>
            </w:r>
          </w:p>
        </w:tc>
        <w:tc>
          <w:tcPr>
            <w:tcW w:w="964" w:type="dxa"/>
          </w:tcPr>
          <w:p w14:paraId="1884FAF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09D9C7E" w14:textId="77777777" w:rsidR="00824558" w:rsidRDefault="00824558">
            <w:pPr>
              <w:cnfStyle w:val="000000000000" w:firstRow="0" w:lastRow="0" w:firstColumn="0" w:lastColumn="0" w:oddVBand="0" w:evenVBand="0" w:oddHBand="0" w:evenHBand="0" w:firstRowFirstColumn="0" w:firstRowLastColumn="0" w:lastRowFirstColumn="0" w:lastRowLastColumn="0"/>
            </w:pPr>
            <w:r>
              <w:t>2 731</w:t>
            </w:r>
          </w:p>
        </w:tc>
        <w:tc>
          <w:tcPr>
            <w:tcW w:w="964" w:type="dxa"/>
          </w:tcPr>
          <w:p w14:paraId="79896CC8" w14:textId="77777777" w:rsidR="00824558" w:rsidRDefault="00824558">
            <w:pPr>
              <w:cnfStyle w:val="000000000000" w:firstRow="0" w:lastRow="0" w:firstColumn="0" w:lastColumn="0" w:oddVBand="0" w:evenVBand="0" w:oddHBand="0" w:evenHBand="0" w:firstRowFirstColumn="0" w:firstRowLastColumn="0" w:lastRowFirstColumn="0" w:lastRowLastColumn="0"/>
            </w:pPr>
            <w:r>
              <w:t>3 608</w:t>
            </w:r>
          </w:p>
        </w:tc>
        <w:tc>
          <w:tcPr>
            <w:tcW w:w="964" w:type="dxa"/>
          </w:tcPr>
          <w:p w14:paraId="281F1AC9" w14:textId="77777777" w:rsidR="00824558" w:rsidRDefault="00824558">
            <w:pPr>
              <w:cnfStyle w:val="000000000000" w:firstRow="0" w:lastRow="0" w:firstColumn="0" w:lastColumn="0" w:oddVBand="0" w:evenVBand="0" w:oddHBand="0" w:evenHBand="0" w:firstRowFirstColumn="0" w:firstRowLastColumn="0" w:lastRowFirstColumn="0" w:lastRowLastColumn="0"/>
            </w:pPr>
            <w:r>
              <w:t>2 680</w:t>
            </w:r>
          </w:p>
        </w:tc>
        <w:tc>
          <w:tcPr>
            <w:tcW w:w="964" w:type="dxa"/>
          </w:tcPr>
          <w:p w14:paraId="4C535AAC" w14:textId="77777777" w:rsidR="00824558" w:rsidRDefault="00824558">
            <w:pPr>
              <w:cnfStyle w:val="000000000000" w:firstRow="0" w:lastRow="0" w:firstColumn="0" w:lastColumn="0" w:oddVBand="0" w:evenVBand="0" w:oddHBand="0" w:evenHBand="0" w:firstRowFirstColumn="0" w:firstRowLastColumn="0" w:lastRowFirstColumn="0" w:lastRowLastColumn="0"/>
            </w:pPr>
            <w:r>
              <w:t>2 886</w:t>
            </w:r>
          </w:p>
        </w:tc>
      </w:tr>
      <w:tr w:rsidR="00824558" w14:paraId="5237589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3F28739" w14:textId="77777777" w:rsidR="00824558" w:rsidRDefault="00824558">
            <w:pPr>
              <w:ind w:left="170"/>
            </w:pPr>
            <w:r>
              <w:rPr>
                <w:i/>
              </w:rPr>
              <w:t xml:space="preserve">The 2025-26 expected outcome is higher than the 2025-26 target with more Aboriginal families accessing family services. </w:t>
            </w:r>
          </w:p>
          <w:p w14:paraId="1A3A861A" w14:textId="77777777" w:rsidR="00824558" w:rsidRDefault="00824558">
            <w:pPr>
              <w:ind w:left="170"/>
            </w:pPr>
            <w:r>
              <w:rPr>
                <w:i/>
              </w:rPr>
              <w:t xml:space="preserve">The higher 2026-27 target reflects additional investment and the revised Aboriginal model for family services which continues to be developed in consultation with ACCOs. </w:t>
            </w:r>
          </w:p>
        </w:tc>
      </w:tr>
      <w:tr w:rsidR="00824558" w14:paraId="1BCF3CB2"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04EFEE3" w14:textId="77777777" w:rsidR="00824558" w:rsidRDefault="00824558">
            <w:pPr>
              <w:keepNext/>
              <w:ind w:left="170"/>
            </w:pPr>
            <w:r>
              <w:t>Working with Children and National Disability Insurance Scheme (NDIS) checks processed</w:t>
            </w:r>
          </w:p>
        </w:tc>
        <w:tc>
          <w:tcPr>
            <w:tcW w:w="964" w:type="dxa"/>
          </w:tcPr>
          <w:p w14:paraId="6195165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xml:space="preserve">number </w:t>
            </w:r>
            <w:r w:rsidRPr="00781702">
              <w:rPr>
                <w:sz w:val="16"/>
                <w:szCs w:val="20"/>
              </w:rPr>
              <w:t>(thousand)</w:t>
            </w:r>
          </w:p>
        </w:tc>
        <w:tc>
          <w:tcPr>
            <w:tcW w:w="964" w:type="dxa"/>
            <w:shd w:val="clear" w:color="auto" w:fill="F0F0F0"/>
          </w:tcPr>
          <w:p w14:paraId="2F87EE10" w14:textId="5314B87F" w:rsidR="00824558" w:rsidRDefault="00824558">
            <w:pPr>
              <w:cnfStyle w:val="000000000000" w:firstRow="0" w:lastRow="0" w:firstColumn="0" w:lastColumn="0" w:oddVBand="0" w:evenVBand="0" w:oddHBand="0" w:evenHBand="0" w:firstRowFirstColumn="0" w:firstRowLastColumn="0" w:lastRowFirstColumn="0" w:lastRowLastColumn="0"/>
            </w:pPr>
            <w:r>
              <w:t>550</w:t>
            </w:r>
            <w:r w:rsidR="000F51DA">
              <w:t xml:space="preserve"> </w:t>
            </w:r>
            <w:r w:rsidR="0017507E">
              <w:t>–</w:t>
            </w:r>
            <w:r w:rsidR="000F51DA">
              <w:t xml:space="preserve"> </w:t>
            </w:r>
            <w:r>
              <w:t>600</w:t>
            </w:r>
          </w:p>
        </w:tc>
        <w:tc>
          <w:tcPr>
            <w:tcW w:w="964" w:type="dxa"/>
          </w:tcPr>
          <w:p w14:paraId="0CC4B475" w14:textId="0099F9E0" w:rsidR="00824558" w:rsidRDefault="00824558">
            <w:pPr>
              <w:cnfStyle w:val="000000000000" w:firstRow="0" w:lastRow="0" w:firstColumn="0" w:lastColumn="0" w:oddVBand="0" w:evenVBand="0" w:oddHBand="0" w:evenHBand="0" w:firstRowFirstColumn="0" w:firstRowLastColumn="0" w:lastRowFirstColumn="0" w:lastRowLastColumn="0"/>
            </w:pPr>
            <w:r>
              <w:t>550</w:t>
            </w:r>
            <w:r w:rsidR="000F51DA">
              <w:t xml:space="preserve"> </w:t>
            </w:r>
            <w:r w:rsidR="0017507E">
              <w:t>–</w:t>
            </w:r>
            <w:r w:rsidR="000F51DA">
              <w:t xml:space="preserve"> </w:t>
            </w:r>
            <w:r>
              <w:t>600</w:t>
            </w:r>
          </w:p>
        </w:tc>
        <w:tc>
          <w:tcPr>
            <w:tcW w:w="964" w:type="dxa"/>
          </w:tcPr>
          <w:p w14:paraId="714B9B68" w14:textId="45B0F329" w:rsidR="00824558" w:rsidRDefault="00824558">
            <w:pPr>
              <w:cnfStyle w:val="000000000000" w:firstRow="0" w:lastRow="0" w:firstColumn="0" w:lastColumn="0" w:oddVBand="0" w:evenVBand="0" w:oddHBand="0" w:evenHBand="0" w:firstRowFirstColumn="0" w:firstRowLastColumn="0" w:lastRowFirstColumn="0" w:lastRowLastColumn="0"/>
            </w:pPr>
            <w:r>
              <w:t xml:space="preserve"> 550</w:t>
            </w:r>
            <w:r w:rsidR="000F51DA">
              <w:t xml:space="preserve"> </w:t>
            </w:r>
            <w:r w:rsidR="0017507E">
              <w:t>–</w:t>
            </w:r>
            <w:r w:rsidR="000F51DA">
              <w:t xml:space="preserve"> </w:t>
            </w:r>
            <w:r>
              <w:t xml:space="preserve">600 </w:t>
            </w:r>
          </w:p>
        </w:tc>
        <w:tc>
          <w:tcPr>
            <w:tcW w:w="964" w:type="dxa"/>
          </w:tcPr>
          <w:p w14:paraId="7C95D9BE" w14:textId="77777777" w:rsidR="00824558" w:rsidRDefault="00824558">
            <w:pPr>
              <w:cnfStyle w:val="000000000000" w:firstRow="0" w:lastRow="0" w:firstColumn="0" w:lastColumn="0" w:oddVBand="0" w:evenVBand="0" w:oddHBand="0" w:evenHBand="0" w:firstRowFirstColumn="0" w:firstRowLastColumn="0" w:lastRowFirstColumn="0" w:lastRowLastColumn="0"/>
            </w:pPr>
            <w:r>
              <w:t>539.3</w:t>
            </w:r>
          </w:p>
        </w:tc>
      </w:tr>
      <w:tr w:rsidR="00824558" w14:paraId="6B45DFDE"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583714" w14:textId="77777777" w:rsidR="00824558" w:rsidRDefault="00824558">
            <w:pPr>
              <w:ind w:left="170"/>
            </w:pPr>
            <w:r>
              <w:rPr>
                <w:i/>
              </w:rPr>
              <w:t>This measure has transferred from the Department of Government Services to reflect machinery of government changes.</w:t>
            </w:r>
          </w:p>
        </w:tc>
      </w:tr>
      <w:tr w:rsidR="00824558" w:rsidRPr="007D3EA5" w14:paraId="0593F5F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72AA2D2C" w14:textId="77777777" w:rsidR="00824558" w:rsidRPr="007D3EA5" w:rsidRDefault="00824558">
            <w:pPr>
              <w:keepNext/>
              <w:rPr>
                <w:b/>
              </w:rPr>
            </w:pPr>
            <w:r w:rsidRPr="007D3EA5">
              <w:rPr>
                <w:b/>
              </w:rPr>
              <w:t>Quality</w:t>
            </w:r>
          </w:p>
        </w:tc>
      </w:tr>
      <w:tr w:rsidR="00824558" w14:paraId="7D80C1B9"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85087E9" w14:textId="77777777" w:rsidR="00824558" w:rsidRDefault="00824558">
            <w:pPr>
              <w:ind w:left="170"/>
            </w:pPr>
            <w:r>
              <w:t>Children and young people in care who have had two or less placements in the past 12 months (not including time at home in parental care)</w:t>
            </w:r>
          </w:p>
        </w:tc>
        <w:tc>
          <w:tcPr>
            <w:tcW w:w="964" w:type="dxa"/>
            <w:tcBorders>
              <w:bottom w:val="single" w:sz="6" w:space="0" w:color="auto"/>
            </w:tcBorders>
          </w:tcPr>
          <w:p w14:paraId="647AB46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268E86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DA8AEB5" w14:textId="77777777" w:rsidR="00824558" w:rsidRDefault="00824558">
            <w:pPr>
              <w:cnfStyle w:val="000000000000" w:firstRow="0" w:lastRow="0" w:firstColumn="0" w:lastColumn="0" w:oddVBand="0" w:evenVBand="0" w:oddHBand="0" w:evenHBand="0" w:firstRowFirstColumn="0" w:firstRowLastColumn="0" w:lastRowFirstColumn="0" w:lastRowLastColumn="0"/>
            </w:pPr>
            <w:r>
              <w:t>94.4</w:t>
            </w:r>
          </w:p>
        </w:tc>
        <w:tc>
          <w:tcPr>
            <w:tcW w:w="964" w:type="dxa"/>
            <w:tcBorders>
              <w:bottom w:val="single" w:sz="6" w:space="0" w:color="auto"/>
            </w:tcBorders>
          </w:tcPr>
          <w:p w14:paraId="6B430FD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6C2E2BB"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4A9807FB"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F94D356" w14:textId="77777777" w:rsidR="00824558" w:rsidRDefault="00824558">
            <w:pPr>
              <w:keepNext/>
              <w:ind w:left="170"/>
            </w:pPr>
            <w:r>
              <w:t>Children and young people who were the subject of a substantiated report within 12 months of the closure of a previous substantiated report</w:t>
            </w:r>
          </w:p>
        </w:tc>
        <w:tc>
          <w:tcPr>
            <w:tcW w:w="964" w:type="dxa"/>
          </w:tcPr>
          <w:p w14:paraId="1B7C714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012348B" w14:textId="77777777" w:rsidR="00824558" w:rsidRDefault="00824558">
            <w:pPr>
              <w:cnfStyle w:val="000000000000" w:firstRow="0" w:lastRow="0" w:firstColumn="0" w:lastColumn="0" w:oddVBand="0" w:evenVBand="0" w:oddHBand="0" w:evenHBand="0" w:firstRowFirstColumn="0" w:firstRowLastColumn="0" w:lastRowFirstColumn="0" w:lastRowLastColumn="0"/>
            </w:pPr>
            <w:r>
              <w:t>17.5</w:t>
            </w:r>
          </w:p>
        </w:tc>
        <w:tc>
          <w:tcPr>
            <w:tcW w:w="964" w:type="dxa"/>
          </w:tcPr>
          <w:p w14:paraId="25766F1F" w14:textId="77777777" w:rsidR="00824558" w:rsidRDefault="00824558">
            <w:pPr>
              <w:cnfStyle w:val="000000000000" w:firstRow="0" w:lastRow="0" w:firstColumn="0" w:lastColumn="0" w:oddVBand="0" w:evenVBand="0" w:oddHBand="0" w:evenHBand="0" w:firstRowFirstColumn="0" w:firstRowLastColumn="0" w:lastRowFirstColumn="0" w:lastRowLastColumn="0"/>
            </w:pPr>
            <w:r>
              <w:t>20.9</w:t>
            </w:r>
          </w:p>
        </w:tc>
        <w:tc>
          <w:tcPr>
            <w:tcW w:w="964" w:type="dxa"/>
          </w:tcPr>
          <w:p w14:paraId="4B91BBB2" w14:textId="77777777" w:rsidR="00824558" w:rsidRDefault="00824558">
            <w:pPr>
              <w:cnfStyle w:val="000000000000" w:firstRow="0" w:lastRow="0" w:firstColumn="0" w:lastColumn="0" w:oddVBand="0" w:evenVBand="0" w:oddHBand="0" w:evenHBand="0" w:firstRowFirstColumn="0" w:firstRowLastColumn="0" w:lastRowFirstColumn="0" w:lastRowLastColumn="0"/>
            </w:pPr>
            <w:r>
              <w:t>17.5</w:t>
            </w:r>
          </w:p>
        </w:tc>
        <w:tc>
          <w:tcPr>
            <w:tcW w:w="964" w:type="dxa"/>
          </w:tcPr>
          <w:p w14:paraId="30DA87C9"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r>
      <w:tr w:rsidR="00824558" w14:paraId="004DC09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76F97B" w14:textId="1148CAD1" w:rsidR="00824558" w:rsidRDefault="00824558">
            <w:pPr>
              <w:ind w:left="170"/>
            </w:pPr>
            <w:r>
              <w:rPr>
                <w:i/>
              </w:rPr>
              <w:t>The 2025-26 expected outcome is higher than the 2025-26 target. This potentially reflects changes in a child</w:t>
            </w:r>
            <w:r w:rsidR="007942D1">
              <w:rPr>
                <w:i/>
              </w:rPr>
              <w:t>’</w:t>
            </w:r>
            <w:r>
              <w:rPr>
                <w:i/>
              </w:rPr>
              <w:t xml:space="preserve">s circumstances, and/or capacity for families to sustain voluntary engagement. Substantiation decisions are made on the best available evidence at the time. </w:t>
            </w:r>
          </w:p>
        </w:tc>
      </w:tr>
      <w:tr w:rsidR="00824558" w14:paraId="14F14C18"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1E26A0D" w14:textId="77777777" w:rsidR="00824558" w:rsidRDefault="00824558">
            <w:pPr>
              <w:keepNext/>
              <w:ind w:left="170"/>
            </w:pPr>
            <w:r>
              <w:t>Children and young people who were the subject of an investigation which led to a decision not to substantiate, who were subsequently the subject of a substantiation within three months of case closure</w:t>
            </w:r>
          </w:p>
        </w:tc>
        <w:tc>
          <w:tcPr>
            <w:tcW w:w="964" w:type="dxa"/>
          </w:tcPr>
          <w:p w14:paraId="260B3E9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6D85EB"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3CB75865" w14:textId="77777777" w:rsidR="00824558" w:rsidRDefault="00824558">
            <w:pPr>
              <w:cnfStyle w:val="000000000000" w:firstRow="0" w:lastRow="0" w:firstColumn="0" w:lastColumn="0" w:oddVBand="0" w:evenVBand="0" w:oddHBand="0" w:evenHBand="0" w:firstRowFirstColumn="0" w:firstRowLastColumn="0" w:lastRowFirstColumn="0" w:lastRowLastColumn="0"/>
            </w:pPr>
            <w:r>
              <w:t>5.6</w:t>
            </w:r>
          </w:p>
        </w:tc>
        <w:tc>
          <w:tcPr>
            <w:tcW w:w="964" w:type="dxa"/>
          </w:tcPr>
          <w:p w14:paraId="60C6F43B"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4B945798"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r>
      <w:tr w:rsidR="00824558" w14:paraId="29A14C4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010173" w14:textId="08A20646" w:rsidR="00824558" w:rsidRDefault="00824558">
            <w:pPr>
              <w:ind w:left="170"/>
            </w:pPr>
            <w:r>
              <w:rPr>
                <w:i/>
              </w:rPr>
              <w:t>The 2025-26 expected outcome is higher than the 2025-26 target. This potentially reflects changes in a child</w:t>
            </w:r>
            <w:r w:rsidR="007942D1">
              <w:rPr>
                <w:i/>
              </w:rPr>
              <w:t>’</w:t>
            </w:r>
            <w:r>
              <w:rPr>
                <w:i/>
              </w:rPr>
              <w:t xml:space="preserve">s circumstances, and/or capacity for families to sustain voluntary engagement. Substantiation decisions are made on the best available evidence at the time. </w:t>
            </w:r>
          </w:p>
        </w:tc>
      </w:tr>
      <w:tr w:rsidR="00824558" w14:paraId="14337DB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BF72B49" w14:textId="77777777" w:rsidR="00824558" w:rsidRDefault="00824558">
            <w:pPr>
              <w:keepNext/>
              <w:ind w:left="170"/>
            </w:pPr>
            <w:r>
              <w:t>Proportion of Aboriginal children placed with relatives/kin, other Aboriginal carers or in Aboriginal residential care</w:t>
            </w:r>
          </w:p>
        </w:tc>
        <w:tc>
          <w:tcPr>
            <w:tcW w:w="964" w:type="dxa"/>
          </w:tcPr>
          <w:p w14:paraId="444468E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F7980DF"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4351B6C4"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30DD492F"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344D4A98"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r>
      <w:tr w:rsidR="00824558" w14:paraId="37B2286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6B914E" w14:textId="43446C4B" w:rsidR="00824558" w:rsidRDefault="00824558">
            <w:pPr>
              <w:ind w:left="170"/>
            </w:pPr>
            <w:r>
              <w:rPr>
                <w:i/>
              </w:rPr>
              <w:t>The 2025-26 expected outcome is lower than the 2025-26 target potentially reflecting overall care placement trends.</w:t>
            </w:r>
          </w:p>
        </w:tc>
      </w:tr>
      <w:tr w:rsidR="00824558" w14:paraId="7305853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8C5447F" w14:textId="77777777" w:rsidR="00824558" w:rsidRDefault="00824558">
            <w:pPr>
              <w:keepNext/>
              <w:ind w:left="170"/>
            </w:pPr>
            <w:r>
              <w:lastRenderedPageBreak/>
              <w:t>Proportion of family services cases closing who met an identified goal in their child and family action plans</w:t>
            </w:r>
          </w:p>
        </w:tc>
        <w:tc>
          <w:tcPr>
            <w:tcW w:w="964" w:type="dxa"/>
          </w:tcPr>
          <w:p w14:paraId="52E19BB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420BF89"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760B9BE"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c>
          <w:tcPr>
            <w:tcW w:w="964" w:type="dxa"/>
          </w:tcPr>
          <w:p w14:paraId="04C2991A"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8781D36"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r>
      <w:tr w:rsidR="00824558" w14:paraId="5E70A42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D5998E" w14:textId="77777777" w:rsidR="00824558" w:rsidRDefault="00824558">
            <w:pPr>
              <w:ind w:left="170"/>
            </w:pPr>
            <w:r>
              <w:rPr>
                <w:i/>
              </w:rPr>
              <w:t xml:space="preserve">The expected outcome is slightly higher than the 2025-26 target with more families engaging in family services and meeting identified goals. </w:t>
            </w:r>
          </w:p>
        </w:tc>
      </w:tr>
      <w:tr w:rsidR="00824558" w14:paraId="020FB5DB"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255E4D4" w14:textId="77777777" w:rsidR="00824558" w:rsidRDefault="00824558">
            <w:pPr>
              <w:keepNext/>
              <w:ind w:left="170"/>
            </w:pPr>
            <w:r>
              <w:t>Proportion of parents who participate in a Supported Playgroup who improved parenting self-efficacy</w:t>
            </w:r>
          </w:p>
        </w:tc>
        <w:tc>
          <w:tcPr>
            <w:tcW w:w="964" w:type="dxa"/>
          </w:tcPr>
          <w:p w14:paraId="5438542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0008242"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E91D2A6" w14:textId="77777777" w:rsidR="00824558" w:rsidRDefault="00824558">
            <w:pPr>
              <w:cnfStyle w:val="000000000000" w:firstRow="0" w:lastRow="0" w:firstColumn="0" w:lastColumn="0" w:oddVBand="0" w:evenVBand="0" w:oddHBand="0" w:evenHBand="0" w:firstRowFirstColumn="0" w:firstRowLastColumn="0" w:lastRowFirstColumn="0" w:lastRowLastColumn="0"/>
            </w:pPr>
            <w:r>
              <w:t>64</w:t>
            </w:r>
          </w:p>
        </w:tc>
        <w:tc>
          <w:tcPr>
            <w:tcW w:w="964" w:type="dxa"/>
          </w:tcPr>
          <w:p w14:paraId="3B4B1EBE"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4BE7435A" w14:textId="77777777" w:rsidR="00824558" w:rsidRDefault="00824558">
            <w:pPr>
              <w:cnfStyle w:val="000000000000" w:firstRow="0" w:lastRow="0" w:firstColumn="0" w:lastColumn="0" w:oddVBand="0" w:evenVBand="0" w:oddHBand="0" w:evenHBand="0" w:firstRowFirstColumn="0" w:firstRowLastColumn="0" w:lastRowFirstColumn="0" w:lastRowLastColumn="0"/>
            </w:pPr>
            <w:r>
              <w:t>62</w:t>
            </w:r>
          </w:p>
        </w:tc>
      </w:tr>
      <w:tr w:rsidR="00824558" w14:paraId="7E00DC4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C04416" w14:textId="77777777" w:rsidR="00824558" w:rsidRDefault="00824558">
            <w:pPr>
              <w:ind w:left="170"/>
            </w:pPr>
            <w:r>
              <w:rPr>
                <w:i/>
              </w:rPr>
              <w:t xml:space="preserve">The expected outcome is slightly higher than the 2025-26 target with more families reporting improved parenting efficacy. </w:t>
            </w:r>
          </w:p>
        </w:tc>
      </w:tr>
      <w:tr w:rsidR="00824558" w14:paraId="46F334D2"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21084CA" w14:textId="77777777" w:rsidR="00824558" w:rsidRDefault="00824558">
            <w:pPr>
              <w:ind w:left="170"/>
            </w:pPr>
            <w:r>
              <w:t>Social Service Providers satisfaction with education and guidance provided by the Social Services Regulator (SSR)</w:t>
            </w:r>
          </w:p>
        </w:tc>
        <w:tc>
          <w:tcPr>
            <w:tcW w:w="964" w:type="dxa"/>
            <w:tcBorders>
              <w:bottom w:val="single" w:sz="6" w:space="0" w:color="auto"/>
            </w:tcBorders>
          </w:tcPr>
          <w:p w14:paraId="4EC2F4F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83BF7A1"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1F97B4CE"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1A000A18"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0E900A98"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rsidRPr="007D3EA5" w14:paraId="1E44AF6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7B3E40B1" w14:textId="77777777" w:rsidR="00824558" w:rsidRPr="007D3EA5" w:rsidRDefault="00824558">
            <w:pPr>
              <w:keepNext/>
              <w:rPr>
                <w:b/>
              </w:rPr>
            </w:pPr>
            <w:r w:rsidRPr="007D3EA5">
              <w:rPr>
                <w:b/>
              </w:rPr>
              <w:t>Timeliness</w:t>
            </w:r>
          </w:p>
        </w:tc>
      </w:tr>
      <w:tr w:rsidR="00824558" w14:paraId="248EF8FA"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C0ABC71" w14:textId="77777777" w:rsidR="00824558" w:rsidRDefault="00824558">
            <w:pPr>
              <w:ind w:left="170"/>
            </w:pPr>
            <w:r>
              <w:t>Percentage of child protection investigations assessed as urgent, that were visited, or where attempts were made to visit, within two days of receipt of the report</w:t>
            </w:r>
          </w:p>
        </w:tc>
        <w:tc>
          <w:tcPr>
            <w:tcW w:w="964" w:type="dxa"/>
            <w:tcBorders>
              <w:bottom w:val="single" w:sz="6" w:space="0" w:color="auto"/>
            </w:tcBorders>
          </w:tcPr>
          <w:p w14:paraId="52EC1EB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762CF8F"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34C17791" w14:textId="77777777" w:rsidR="00824558" w:rsidRDefault="00824558">
            <w:pPr>
              <w:cnfStyle w:val="000000000000" w:firstRow="0" w:lastRow="0" w:firstColumn="0" w:lastColumn="0" w:oddVBand="0" w:evenVBand="0" w:oddHBand="0" w:evenHBand="0" w:firstRowFirstColumn="0" w:firstRowLastColumn="0" w:lastRowFirstColumn="0" w:lastRowLastColumn="0"/>
            </w:pPr>
            <w:r>
              <w:t>94.9</w:t>
            </w:r>
          </w:p>
        </w:tc>
        <w:tc>
          <w:tcPr>
            <w:tcW w:w="964" w:type="dxa"/>
            <w:tcBorders>
              <w:bottom w:val="single" w:sz="6" w:space="0" w:color="auto"/>
            </w:tcBorders>
          </w:tcPr>
          <w:p w14:paraId="7D14CE9D"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22474E2E"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75FBCC58"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BF2667D" w14:textId="77777777" w:rsidR="00824558" w:rsidRDefault="00824558">
            <w:pPr>
              <w:keepNext/>
              <w:ind w:left="170"/>
            </w:pPr>
            <w:r>
              <w:t>Percentage of clearances for Working with Children and National Disability Insurance Scheme (NDIS) checks issued within agreed timeframes</w:t>
            </w:r>
          </w:p>
        </w:tc>
        <w:tc>
          <w:tcPr>
            <w:tcW w:w="964" w:type="dxa"/>
          </w:tcPr>
          <w:p w14:paraId="3D5290D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38A7FB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353390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ABF59F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9EB612D"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0F4E9077"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7DB335E" w14:textId="77777777" w:rsidR="00824558" w:rsidRDefault="00824558">
            <w:pPr>
              <w:ind w:left="170"/>
            </w:pPr>
            <w:r>
              <w:rPr>
                <w:i/>
              </w:rPr>
              <w:t>This measure has transferred from the Department of Government Services to reflect machinery of government changes.</w:t>
            </w:r>
          </w:p>
        </w:tc>
      </w:tr>
      <w:tr w:rsidR="00824558" w14:paraId="0669AD18"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408ED9C" w14:textId="77777777" w:rsidR="00824558" w:rsidRDefault="00824558">
            <w:pPr>
              <w:keepNext/>
              <w:ind w:left="170"/>
            </w:pPr>
            <w:r>
              <w:t>Percentage of exclusions for Working with Children and National Disability Insurance Scheme (NDIS) checks issued within agreed timeframes</w:t>
            </w:r>
          </w:p>
        </w:tc>
        <w:tc>
          <w:tcPr>
            <w:tcW w:w="964" w:type="dxa"/>
          </w:tcPr>
          <w:p w14:paraId="759065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F8CBB7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50147B6"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6D28C56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02A6B78"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7BE5A1B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2224AC" w14:textId="77777777" w:rsidR="00824558" w:rsidRDefault="00824558">
            <w:pPr>
              <w:ind w:left="170"/>
            </w:pPr>
            <w:r>
              <w:rPr>
                <w:i/>
              </w:rPr>
              <w:t>This measure has transferred from the Department of Government Services to reflect machinery of government changes.</w:t>
            </w:r>
          </w:p>
        </w:tc>
      </w:tr>
      <w:tr w:rsidR="00824558" w14:paraId="348A9619"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37AC5E6" w14:textId="77777777" w:rsidR="00824558" w:rsidRDefault="00824558">
            <w:pPr>
              <w:keepNext/>
              <w:ind w:left="170"/>
            </w:pPr>
            <w:r>
              <w:t>Registration applications processed within statutory timelines by the Social Services Regulator (SSR).</w:t>
            </w:r>
          </w:p>
        </w:tc>
        <w:tc>
          <w:tcPr>
            <w:tcW w:w="964" w:type="dxa"/>
          </w:tcPr>
          <w:p w14:paraId="0806D45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90BA6A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1F061BB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862A974"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C0B9CCA"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55489BF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3AD1712" w14:textId="77777777" w:rsidR="00824558" w:rsidRDefault="00824558">
            <w:pPr>
              <w:ind w:left="170"/>
            </w:pPr>
            <w:r>
              <w:rPr>
                <w:i/>
              </w:rPr>
              <w:t>The 2025-26 expected outcome is higher than the 2025-26 target due to the SSR having time-limited surge capacity supporting transitional registrations that are contributing to higher performance against this measure than forecast in the forward years.</w:t>
            </w:r>
          </w:p>
          <w:p w14:paraId="625AED25" w14:textId="77777777" w:rsidR="00824558" w:rsidRDefault="00824558">
            <w:pPr>
              <w:ind w:left="170"/>
            </w:pPr>
            <w:r>
              <w:rPr>
                <w:i/>
              </w:rPr>
              <w:t>This performance measure renames the 2025-26 performance measure on registration. The new measure reports on the same activity as the previous measure however has been amended for increased clarity that it relates to the SSR.</w:t>
            </w:r>
          </w:p>
        </w:tc>
      </w:tr>
      <w:tr w:rsidR="00FE75E9" w:rsidRPr="00DC0EBC" w14:paraId="5D81063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AE565D9" w14:textId="77777777" w:rsidR="00FE75E9" w:rsidRPr="00DC0EBC" w:rsidRDefault="00FE75E9">
            <w:pPr>
              <w:keepNext/>
              <w:rPr>
                <w:b/>
              </w:rPr>
            </w:pPr>
            <w:r w:rsidRPr="00DC0EBC">
              <w:rPr>
                <w:b/>
              </w:rPr>
              <w:t>Cost</w:t>
            </w:r>
          </w:p>
        </w:tc>
      </w:tr>
      <w:tr w:rsidR="00FE75E9" w14:paraId="49A56E34" w14:textId="77777777" w:rsidTr="0017507E">
        <w:tc>
          <w:tcPr>
            <w:cnfStyle w:val="001000000000" w:firstRow="0" w:lastRow="0" w:firstColumn="1" w:lastColumn="0" w:oddVBand="0" w:evenVBand="0" w:oddHBand="0" w:evenHBand="0" w:firstRowFirstColumn="0" w:firstRowLastColumn="0" w:lastRowFirstColumn="0" w:lastRowLastColumn="0"/>
            <w:tcW w:w="4819" w:type="dxa"/>
          </w:tcPr>
          <w:p w14:paraId="39D8DB74" w14:textId="77777777" w:rsidR="00FE75E9" w:rsidRDefault="00FE75E9">
            <w:pPr>
              <w:keepNext/>
              <w:ind w:left="170"/>
            </w:pPr>
            <w:r>
              <w:t>Total output cost</w:t>
            </w:r>
          </w:p>
        </w:tc>
        <w:tc>
          <w:tcPr>
            <w:tcW w:w="964" w:type="dxa"/>
          </w:tcPr>
          <w:p w14:paraId="4F67B8B2"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59257069" w14:textId="77967E42" w:rsidR="00FE75E9" w:rsidRPr="004D0078" w:rsidRDefault="00E26802">
            <w:pPr>
              <w:cnfStyle w:val="000000000000" w:firstRow="0" w:lastRow="0" w:firstColumn="0" w:lastColumn="0" w:oddVBand="0" w:evenVBand="0" w:oddHBand="0" w:evenHBand="0" w:firstRowFirstColumn="0" w:firstRowLastColumn="0" w:lastRowFirstColumn="0" w:lastRowLastColumn="0"/>
              <w:rPr>
                <w:highlight w:val="yellow"/>
              </w:rPr>
            </w:pPr>
            <w:r w:rsidRPr="00E26802">
              <w:t>2 393.2</w:t>
            </w:r>
          </w:p>
        </w:tc>
        <w:tc>
          <w:tcPr>
            <w:tcW w:w="964" w:type="dxa"/>
          </w:tcPr>
          <w:p w14:paraId="0C564DA1" w14:textId="0B7D713B" w:rsidR="00FE75E9" w:rsidRPr="004D0078" w:rsidRDefault="001927AD">
            <w:pPr>
              <w:cnfStyle w:val="000000000000" w:firstRow="0" w:lastRow="0" w:firstColumn="0" w:lastColumn="0" w:oddVBand="0" w:evenVBand="0" w:oddHBand="0" w:evenHBand="0" w:firstRowFirstColumn="0" w:firstRowLastColumn="0" w:lastRowFirstColumn="0" w:lastRowLastColumn="0"/>
              <w:rPr>
                <w:highlight w:val="yellow"/>
              </w:rPr>
            </w:pPr>
            <w:r w:rsidRPr="001927AD">
              <w:t>2 253.3</w:t>
            </w:r>
          </w:p>
        </w:tc>
        <w:tc>
          <w:tcPr>
            <w:tcW w:w="964" w:type="dxa"/>
          </w:tcPr>
          <w:p w14:paraId="65ECD907" w14:textId="49884129" w:rsidR="00FE75E9" w:rsidRPr="004D0078" w:rsidRDefault="00704C7B">
            <w:pPr>
              <w:cnfStyle w:val="000000000000" w:firstRow="0" w:lastRow="0" w:firstColumn="0" w:lastColumn="0" w:oddVBand="0" w:evenVBand="0" w:oddHBand="0" w:evenHBand="0" w:firstRowFirstColumn="0" w:firstRowLastColumn="0" w:lastRowFirstColumn="0" w:lastRowLastColumn="0"/>
              <w:rPr>
                <w:highlight w:val="yellow"/>
              </w:rPr>
            </w:pPr>
            <w:r w:rsidRPr="00704C7B">
              <w:t>2 193.4</w:t>
            </w:r>
          </w:p>
        </w:tc>
        <w:tc>
          <w:tcPr>
            <w:tcW w:w="964" w:type="dxa"/>
          </w:tcPr>
          <w:p w14:paraId="4A4EBC95" w14:textId="6FF17470" w:rsidR="00FE75E9" w:rsidRPr="004D0078" w:rsidRDefault="00FE68E8">
            <w:pPr>
              <w:cnfStyle w:val="000000000000" w:firstRow="0" w:lastRow="0" w:firstColumn="0" w:lastColumn="0" w:oddVBand="0" w:evenVBand="0" w:oddHBand="0" w:evenHBand="0" w:firstRowFirstColumn="0" w:firstRowLastColumn="0" w:lastRowFirstColumn="0" w:lastRowLastColumn="0"/>
              <w:rPr>
                <w:highlight w:val="yellow"/>
              </w:rPr>
            </w:pPr>
            <w:r w:rsidRPr="00FE68E8">
              <w:t>2 560.0</w:t>
            </w:r>
          </w:p>
        </w:tc>
      </w:tr>
      <w:tr w:rsidR="00FE68E8" w14:paraId="5C37E85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6948AB6" w14:textId="20ED8AD0" w:rsidR="002A3042" w:rsidRPr="004B02F5" w:rsidRDefault="002A3042" w:rsidP="002A3042">
            <w:pPr>
              <w:ind w:left="170"/>
              <w:rPr>
                <w:i/>
                <w:iCs/>
              </w:rPr>
            </w:pPr>
            <w:r w:rsidRPr="004B02F5">
              <w:rPr>
                <w:i/>
                <w:iCs/>
              </w:rPr>
              <w:t xml:space="preserve">The </w:t>
            </w:r>
            <w:r w:rsidR="00C6206F">
              <w:rPr>
                <w:i/>
                <w:iCs/>
              </w:rPr>
              <w:t>20</w:t>
            </w:r>
            <w:r w:rsidRPr="004B02F5">
              <w:rPr>
                <w:i/>
                <w:iCs/>
              </w:rPr>
              <w:t xml:space="preserve">25-26 expected outcome is higher than the </w:t>
            </w:r>
            <w:r w:rsidR="00C6206F">
              <w:rPr>
                <w:i/>
                <w:iCs/>
              </w:rPr>
              <w:t>20</w:t>
            </w:r>
            <w:r w:rsidRPr="004B02F5">
              <w:rPr>
                <w:i/>
                <w:iCs/>
              </w:rPr>
              <w:t>25-26 target due to additional funding for government initiatives and civil claims.</w:t>
            </w:r>
          </w:p>
          <w:p w14:paraId="465594BD" w14:textId="32FB5350" w:rsidR="00FE68E8" w:rsidRPr="002A3042" w:rsidRDefault="002A3042" w:rsidP="002A3042">
            <w:pPr>
              <w:ind w:left="170"/>
              <w:rPr>
                <w:i/>
                <w:iCs/>
              </w:rPr>
            </w:pPr>
            <w:r w:rsidRPr="002547FB">
              <w:rPr>
                <w:i/>
                <w:iCs/>
              </w:rPr>
              <w:t xml:space="preserve">The higher </w:t>
            </w:r>
            <w:r w:rsidR="00341DA9">
              <w:rPr>
                <w:i/>
                <w:iCs/>
              </w:rPr>
              <w:t>20</w:t>
            </w:r>
            <w:r w:rsidRPr="002547FB">
              <w:rPr>
                <w:i/>
                <w:iCs/>
              </w:rPr>
              <w:t xml:space="preserve">26-27 target </w:t>
            </w:r>
            <w:r w:rsidRPr="004B02F5">
              <w:rPr>
                <w:i/>
                <w:iCs/>
              </w:rPr>
              <w:t xml:space="preserve">primarily </w:t>
            </w:r>
            <w:r w:rsidRPr="002547FB">
              <w:rPr>
                <w:i/>
                <w:iCs/>
              </w:rPr>
              <w:t xml:space="preserve">reflects additional government investment in </w:t>
            </w:r>
            <w:r w:rsidR="002132FC">
              <w:rPr>
                <w:i/>
                <w:iCs/>
              </w:rPr>
              <w:t>delivering</w:t>
            </w:r>
            <w:r w:rsidRPr="002547FB">
              <w:rPr>
                <w:i/>
                <w:iCs/>
              </w:rPr>
              <w:t xml:space="preserve"> Child Protection and Care Services</w:t>
            </w:r>
            <w:r w:rsidR="002132FC">
              <w:rPr>
                <w:i/>
                <w:iCs/>
              </w:rPr>
              <w:t>, including to manage and settle civil claims</w:t>
            </w:r>
            <w:r w:rsidRPr="002547FB">
              <w:rPr>
                <w:i/>
                <w:iCs/>
              </w:rPr>
              <w:t xml:space="preserve">. </w:t>
            </w:r>
          </w:p>
        </w:tc>
      </w:tr>
    </w:tbl>
    <w:p w14:paraId="5D93AE9D" w14:textId="77777777" w:rsidR="00824558" w:rsidRDefault="00824558">
      <w:pPr>
        <w:pStyle w:val="Source"/>
      </w:pPr>
      <w:r>
        <w:t>Source: Department of Families, Fairness and Housing</w:t>
      </w:r>
    </w:p>
    <w:p w14:paraId="591F859A" w14:textId="56DB00EF" w:rsidR="00824558" w:rsidRDefault="00824558">
      <w:pPr>
        <w:pStyle w:val="Heading3"/>
      </w:pPr>
      <w:r>
        <w:t>Family Violence Service Delivery</w:t>
      </w:r>
      <w:r>
        <w:tab/>
        <w:t>(2026-27: $</w:t>
      </w:r>
      <w:r w:rsidR="0041792E">
        <w:t xml:space="preserve">842.5 </w:t>
      </w:r>
      <w:r>
        <w:t>million)</w:t>
      </w:r>
    </w:p>
    <w:p w14:paraId="29553C9D" w14:textId="4443D1BD" w:rsidR="00824558" w:rsidRDefault="00824558">
      <w:r>
        <w:t>The Family Violence Service Delivery output leads and coordinates whole of government family violence policy and implements and delivers the Government</w:t>
      </w:r>
      <w:r w:rsidR="007942D1">
        <w:t>’</w:t>
      </w:r>
      <w:r>
        <w:t xml:space="preserve">s family violence reform agenda. </w:t>
      </w:r>
    </w:p>
    <w:p w14:paraId="46031A71" w14:textId="77777777" w:rsidR="00824558" w:rsidRDefault="00824558">
      <w:pPr>
        <w:spacing w:after="120"/>
      </w:pPr>
      <w:r>
        <w:t>This includes operating The Orange Door Network; delivering victim survivor support services, sexual assault support services and perpetrator interventions; implementing information sharing legislation; early intervention programs; and delivering risk assessment and management programs.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C8695CC"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01A3EDD" w14:textId="77777777" w:rsidR="00824558" w:rsidRDefault="00824558">
            <w:r>
              <w:t>Performance measure</w:t>
            </w:r>
          </w:p>
        </w:tc>
        <w:tc>
          <w:tcPr>
            <w:tcW w:w="964" w:type="dxa"/>
          </w:tcPr>
          <w:p w14:paraId="09EA67A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0970A1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D6B2B2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364409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80E6D5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2D649FE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022DAD79" w14:textId="77777777" w:rsidR="00824558" w:rsidRPr="007D3EA5" w:rsidRDefault="00824558">
            <w:pPr>
              <w:keepNext/>
              <w:rPr>
                <w:b/>
              </w:rPr>
            </w:pPr>
            <w:r w:rsidRPr="007D3EA5">
              <w:rPr>
                <w:b/>
              </w:rPr>
              <w:t>Quantity</w:t>
            </w:r>
          </w:p>
        </w:tc>
      </w:tr>
      <w:tr w:rsidR="00824558" w14:paraId="1447EEB6"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8570317" w14:textId="77777777" w:rsidR="00824558" w:rsidRDefault="00824558">
            <w:pPr>
              <w:keepNext/>
              <w:ind w:left="170"/>
            </w:pPr>
            <w:r>
              <w:t>Number of all new periods of family violence case management support provided to victim survivors</w:t>
            </w:r>
          </w:p>
        </w:tc>
        <w:tc>
          <w:tcPr>
            <w:tcW w:w="964" w:type="dxa"/>
          </w:tcPr>
          <w:p w14:paraId="0D1E4D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E860CBA" w14:textId="77777777" w:rsidR="00824558" w:rsidRDefault="00824558">
            <w:pPr>
              <w:cnfStyle w:val="000000000000" w:firstRow="0" w:lastRow="0" w:firstColumn="0" w:lastColumn="0" w:oddVBand="0" w:evenVBand="0" w:oddHBand="0" w:evenHBand="0" w:firstRowFirstColumn="0" w:firstRowLastColumn="0" w:lastRowFirstColumn="0" w:lastRowLastColumn="0"/>
            </w:pPr>
            <w:r>
              <w:t>33 847</w:t>
            </w:r>
          </w:p>
        </w:tc>
        <w:tc>
          <w:tcPr>
            <w:tcW w:w="964" w:type="dxa"/>
          </w:tcPr>
          <w:p w14:paraId="57A3272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922702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935E967"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019D40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9D6AE0" w14:textId="11B2B745" w:rsidR="00824558" w:rsidRDefault="00824558">
            <w:pPr>
              <w:ind w:left="170"/>
            </w:pPr>
            <w:r>
              <w:rPr>
                <w:i/>
              </w:rPr>
              <w:t xml:space="preserve">This performance measure replaces the 2025-26 performance measure </w:t>
            </w:r>
            <w:r w:rsidR="007942D1">
              <w:rPr>
                <w:i/>
              </w:rPr>
              <w:t>‘</w:t>
            </w:r>
            <w:r>
              <w:rPr>
                <w:i/>
              </w:rPr>
              <w:t>Number of new periods of family violence case management support provided to victim survivors</w:t>
            </w:r>
            <w:r w:rsidR="007942D1">
              <w:rPr>
                <w:i/>
              </w:rPr>
              <w:t>’</w:t>
            </w:r>
            <w:r>
              <w:rPr>
                <w:i/>
              </w:rPr>
              <w:t xml:space="preserve">. It has been replaced to more accurately reflect case management supports provided to victim survivors </w:t>
            </w:r>
            <w:r w:rsidRPr="00AB0FF6">
              <w:rPr>
                <w:i/>
              </w:rPr>
              <w:t>includ</w:t>
            </w:r>
            <w:r>
              <w:rPr>
                <w:i/>
              </w:rPr>
              <w:t>ing</w:t>
            </w:r>
            <w:r w:rsidRPr="00AB0FF6">
              <w:rPr>
                <w:i/>
              </w:rPr>
              <w:t xml:space="preserve"> </w:t>
            </w:r>
            <w:r>
              <w:rPr>
                <w:i/>
              </w:rPr>
              <w:t xml:space="preserve">case management delivered by </w:t>
            </w:r>
            <w:r w:rsidRPr="00AB0FF6">
              <w:rPr>
                <w:i/>
              </w:rPr>
              <w:t>A</w:t>
            </w:r>
            <w:r>
              <w:rPr>
                <w:i/>
              </w:rPr>
              <w:t xml:space="preserve">boriginal </w:t>
            </w:r>
            <w:r w:rsidRPr="00AB0FF6">
              <w:rPr>
                <w:i/>
              </w:rPr>
              <w:t>C</w:t>
            </w:r>
            <w:r>
              <w:rPr>
                <w:i/>
              </w:rPr>
              <w:t xml:space="preserve">ontrolled </w:t>
            </w:r>
            <w:r w:rsidRPr="00AB0FF6">
              <w:rPr>
                <w:i/>
              </w:rPr>
              <w:t>C</w:t>
            </w:r>
            <w:r>
              <w:rPr>
                <w:i/>
              </w:rPr>
              <w:t xml:space="preserve">ommunity </w:t>
            </w:r>
            <w:r w:rsidRPr="00AB0FF6">
              <w:rPr>
                <w:i/>
              </w:rPr>
              <w:t>O</w:t>
            </w:r>
            <w:r>
              <w:rPr>
                <w:i/>
              </w:rPr>
              <w:t>rganisations.</w:t>
            </w:r>
          </w:p>
        </w:tc>
      </w:tr>
      <w:tr w:rsidR="00824558" w14:paraId="7F2B9A47"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9E8541A" w14:textId="77777777" w:rsidR="00824558" w:rsidRDefault="00824558">
            <w:pPr>
              <w:ind w:left="170"/>
            </w:pPr>
            <w:r>
              <w:t>Number of calls responded to by the statewide crisis helpline for victim survivors of family violence</w:t>
            </w:r>
          </w:p>
        </w:tc>
        <w:tc>
          <w:tcPr>
            <w:tcW w:w="964" w:type="dxa"/>
            <w:tcBorders>
              <w:bottom w:val="single" w:sz="6" w:space="0" w:color="auto"/>
            </w:tcBorders>
          </w:tcPr>
          <w:p w14:paraId="60EF6CC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C2D9F41" w14:textId="77777777" w:rsidR="00824558" w:rsidRDefault="00824558">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5D4375F3" w14:textId="77777777" w:rsidR="00824558" w:rsidRDefault="00824558">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0010D65B" w14:textId="77777777" w:rsidR="00824558" w:rsidRDefault="00824558">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20FC03D4" w14:textId="77777777" w:rsidR="00824558" w:rsidRDefault="00824558">
            <w:pPr>
              <w:cnfStyle w:val="000000000000" w:firstRow="0" w:lastRow="0" w:firstColumn="0" w:lastColumn="0" w:oddVBand="0" w:evenVBand="0" w:oddHBand="0" w:evenHBand="0" w:firstRowFirstColumn="0" w:firstRowLastColumn="0" w:lastRowFirstColumn="0" w:lastRowLastColumn="0"/>
            </w:pPr>
            <w:r>
              <w:t>62 798</w:t>
            </w:r>
          </w:p>
        </w:tc>
      </w:tr>
      <w:tr w:rsidR="00824558" w14:paraId="605CB5C7"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6CAA176" w14:textId="77777777" w:rsidR="00824558" w:rsidRDefault="00824558">
            <w:pPr>
              <w:keepNext/>
              <w:ind w:left="170"/>
            </w:pPr>
            <w:r>
              <w:t>Number of calls responded to by the statewide telephone helpline for men regarding family violence</w:t>
            </w:r>
          </w:p>
        </w:tc>
        <w:tc>
          <w:tcPr>
            <w:tcW w:w="964" w:type="dxa"/>
          </w:tcPr>
          <w:p w14:paraId="66A0F58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7F7DE5C"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6 500</w:t>
            </w:r>
          </w:p>
        </w:tc>
        <w:tc>
          <w:tcPr>
            <w:tcW w:w="964" w:type="dxa"/>
          </w:tcPr>
          <w:p w14:paraId="0B1A509C" w14:textId="77777777" w:rsidR="00824558" w:rsidRDefault="00824558">
            <w:pPr>
              <w:cnfStyle w:val="000000000000" w:firstRow="0" w:lastRow="0" w:firstColumn="0" w:lastColumn="0" w:oddVBand="0" w:evenVBand="0" w:oddHBand="0" w:evenHBand="0" w:firstRowFirstColumn="0" w:firstRowLastColumn="0" w:lastRowFirstColumn="0" w:lastRowLastColumn="0"/>
            </w:pPr>
            <w:r>
              <w:t>7 100</w:t>
            </w:r>
          </w:p>
        </w:tc>
        <w:tc>
          <w:tcPr>
            <w:tcW w:w="964" w:type="dxa"/>
          </w:tcPr>
          <w:p w14:paraId="0B931457"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6 500</w:t>
            </w:r>
          </w:p>
        </w:tc>
        <w:tc>
          <w:tcPr>
            <w:tcW w:w="964" w:type="dxa"/>
          </w:tcPr>
          <w:p w14:paraId="248012C4" w14:textId="77777777" w:rsidR="00824558" w:rsidRDefault="00824558">
            <w:pPr>
              <w:cnfStyle w:val="000000000000" w:firstRow="0" w:lastRow="0" w:firstColumn="0" w:lastColumn="0" w:oddVBand="0" w:evenVBand="0" w:oddHBand="0" w:evenHBand="0" w:firstRowFirstColumn="0" w:firstRowLastColumn="0" w:lastRowFirstColumn="0" w:lastRowLastColumn="0"/>
            </w:pPr>
            <w:r>
              <w:t>7 933</w:t>
            </w:r>
          </w:p>
        </w:tc>
      </w:tr>
      <w:tr w:rsidR="00824558" w14:paraId="782E98D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FB6858F" w14:textId="77777777" w:rsidR="00824558" w:rsidRDefault="00824558">
            <w:pPr>
              <w:ind w:left="170"/>
            </w:pPr>
            <w:r>
              <w:rPr>
                <w:i/>
              </w:rPr>
              <w:t xml:space="preserve">The 2025-26 expected outcome is higher than the 2025-26 target due to higher than anticipated levels of calls. </w:t>
            </w:r>
          </w:p>
        </w:tc>
      </w:tr>
      <w:tr w:rsidR="00824558" w14:paraId="721F8361"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EAB2EED" w14:textId="77777777" w:rsidR="00824558" w:rsidRDefault="00824558">
            <w:pPr>
              <w:keepNext/>
              <w:ind w:left="170"/>
            </w:pPr>
            <w:r>
              <w:lastRenderedPageBreak/>
              <w:t>Number of case management responses provided to perpetrators of family violence including those that require individualised support</w:t>
            </w:r>
          </w:p>
        </w:tc>
        <w:tc>
          <w:tcPr>
            <w:tcW w:w="964" w:type="dxa"/>
          </w:tcPr>
          <w:p w14:paraId="78340F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04137A0" w14:textId="77777777" w:rsidR="00824558" w:rsidRDefault="00824558">
            <w:pPr>
              <w:cnfStyle w:val="000000000000" w:firstRow="0" w:lastRow="0" w:firstColumn="0" w:lastColumn="0" w:oddVBand="0" w:evenVBand="0" w:oddHBand="0" w:evenHBand="0" w:firstRowFirstColumn="0" w:firstRowLastColumn="0" w:lastRowFirstColumn="0" w:lastRowLastColumn="0"/>
            </w:pPr>
            <w:r>
              <w:t>3 100</w:t>
            </w:r>
          </w:p>
        </w:tc>
        <w:tc>
          <w:tcPr>
            <w:tcW w:w="964" w:type="dxa"/>
          </w:tcPr>
          <w:p w14:paraId="60FF9305" w14:textId="77777777" w:rsidR="00824558" w:rsidRDefault="00824558">
            <w:pPr>
              <w:cnfStyle w:val="000000000000" w:firstRow="0" w:lastRow="0" w:firstColumn="0" w:lastColumn="0" w:oddVBand="0" w:evenVBand="0" w:oddHBand="0" w:evenHBand="0" w:firstRowFirstColumn="0" w:firstRowLastColumn="0" w:lastRowFirstColumn="0" w:lastRowLastColumn="0"/>
            </w:pPr>
            <w:r>
              <w:t>3 100</w:t>
            </w:r>
          </w:p>
        </w:tc>
        <w:tc>
          <w:tcPr>
            <w:tcW w:w="964" w:type="dxa"/>
          </w:tcPr>
          <w:p w14:paraId="47B812DD"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7BB88DA9" w14:textId="77777777" w:rsidR="00824558" w:rsidRDefault="00824558">
            <w:pPr>
              <w:cnfStyle w:val="000000000000" w:firstRow="0" w:lastRow="0" w:firstColumn="0" w:lastColumn="0" w:oddVBand="0" w:evenVBand="0" w:oddHBand="0" w:evenHBand="0" w:firstRowFirstColumn="0" w:firstRowLastColumn="0" w:lastRowFirstColumn="0" w:lastRowLastColumn="0"/>
            </w:pPr>
            <w:r>
              <w:t>3 328</w:t>
            </w:r>
          </w:p>
        </w:tc>
      </w:tr>
      <w:tr w:rsidR="00824558" w14:paraId="2F15D98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000B29" w14:textId="42609413" w:rsidR="00824558" w:rsidRDefault="00824558">
            <w:pPr>
              <w:ind w:left="170"/>
            </w:pPr>
            <w:r>
              <w:rPr>
                <w:i/>
              </w:rPr>
              <w:t xml:space="preserve">The </w:t>
            </w:r>
            <w:r w:rsidR="008F7A05">
              <w:rPr>
                <w:i/>
              </w:rPr>
              <w:t>2025-26</w:t>
            </w:r>
            <w:r>
              <w:rPr>
                <w:i/>
              </w:rPr>
              <w:t xml:space="preserve"> expected outcome is higher than the target, due to the target not reflecting all in-scope funding.</w:t>
            </w:r>
          </w:p>
          <w:p w14:paraId="22B90587" w14:textId="77777777" w:rsidR="00824558" w:rsidRDefault="00824558">
            <w:pPr>
              <w:ind w:left="170"/>
            </w:pPr>
            <w:r>
              <w:rPr>
                <w:i/>
              </w:rPr>
              <w:t xml:space="preserve">The 2026-27 target has been increased to reflect historical performance. </w:t>
            </w:r>
          </w:p>
        </w:tc>
      </w:tr>
      <w:tr w:rsidR="00824558" w14:paraId="3A953281"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446961C" w14:textId="77777777" w:rsidR="00824558" w:rsidRDefault="00824558">
            <w:pPr>
              <w:ind w:left="170"/>
            </w:pPr>
            <w:r>
              <w:t>Number of cases of support provided to adolescents using violence in the home</w:t>
            </w:r>
          </w:p>
        </w:tc>
        <w:tc>
          <w:tcPr>
            <w:tcW w:w="964" w:type="dxa"/>
            <w:tcBorders>
              <w:bottom w:val="single" w:sz="6" w:space="0" w:color="auto"/>
            </w:tcBorders>
          </w:tcPr>
          <w:p w14:paraId="52F9A55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E49978F" w14:textId="77777777" w:rsidR="00824558" w:rsidRDefault="00824558">
            <w:pPr>
              <w:cnfStyle w:val="000000000000" w:firstRow="0" w:lastRow="0" w:firstColumn="0" w:lastColumn="0" w:oddVBand="0" w:evenVBand="0" w:oddHBand="0" w:evenHBand="0" w:firstRowFirstColumn="0" w:firstRowLastColumn="0" w:lastRowFirstColumn="0" w:lastRowLastColumn="0"/>
            </w:pPr>
            <w:r>
              <w:t>1 040</w:t>
            </w:r>
          </w:p>
        </w:tc>
        <w:tc>
          <w:tcPr>
            <w:tcW w:w="964" w:type="dxa"/>
            <w:tcBorders>
              <w:bottom w:val="single" w:sz="6" w:space="0" w:color="auto"/>
            </w:tcBorders>
          </w:tcPr>
          <w:p w14:paraId="78481A51" w14:textId="77777777" w:rsidR="00824558" w:rsidRDefault="00824558">
            <w:pPr>
              <w:cnfStyle w:val="000000000000" w:firstRow="0" w:lastRow="0" w:firstColumn="0" w:lastColumn="0" w:oddVBand="0" w:evenVBand="0" w:oddHBand="0" w:evenHBand="0" w:firstRowFirstColumn="0" w:firstRowLastColumn="0" w:lastRowFirstColumn="0" w:lastRowLastColumn="0"/>
            </w:pPr>
            <w:r>
              <w:t>1 014</w:t>
            </w:r>
          </w:p>
        </w:tc>
        <w:tc>
          <w:tcPr>
            <w:tcW w:w="964" w:type="dxa"/>
            <w:tcBorders>
              <w:bottom w:val="single" w:sz="6" w:space="0" w:color="auto"/>
            </w:tcBorders>
          </w:tcPr>
          <w:p w14:paraId="01269FAC" w14:textId="77777777" w:rsidR="00824558" w:rsidRDefault="00824558">
            <w:pPr>
              <w:cnfStyle w:val="000000000000" w:firstRow="0" w:lastRow="0" w:firstColumn="0" w:lastColumn="0" w:oddVBand="0" w:evenVBand="0" w:oddHBand="0" w:evenHBand="0" w:firstRowFirstColumn="0" w:firstRowLastColumn="0" w:lastRowFirstColumn="0" w:lastRowLastColumn="0"/>
            </w:pPr>
            <w:r>
              <w:t>1 040</w:t>
            </w:r>
          </w:p>
        </w:tc>
        <w:tc>
          <w:tcPr>
            <w:tcW w:w="964" w:type="dxa"/>
            <w:tcBorders>
              <w:bottom w:val="single" w:sz="6" w:space="0" w:color="auto"/>
            </w:tcBorders>
          </w:tcPr>
          <w:p w14:paraId="41C841E8" w14:textId="77777777" w:rsidR="00824558" w:rsidRDefault="00824558">
            <w:pPr>
              <w:cnfStyle w:val="000000000000" w:firstRow="0" w:lastRow="0" w:firstColumn="0" w:lastColumn="0" w:oddVBand="0" w:evenVBand="0" w:oddHBand="0" w:evenHBand="0" w:firstRowFirstColumn="0" w:firstRowLastColumn="0" w:lastRowFirstColumn="0" w:lastRowLastColumn="0"/>
            </w:pPr>
            <w:r>
              <w:t>1 150</w:t>
            </w:r>
          </w:p>
        </w:tc>
      </w:tr>
      <w:tr w:rsidR="00824558" w14:paraId="1348C16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8BF6046" w14:textId="77777777" w:rsidR="00824558" w:rsidRDefault="00824558">
            <w:pPr>
              <w:keepNext/>
              <w:ind w:left="170"/>
            </w:pPr>
            <w:r>
              <w:t>Number of cases referred to Risk Assessment and Management Panels and managed by the coordinators</w:t>
            </w:r>
          </w:p>
        </w:tc>
        <w:tc>
          <w:tcPr>
            <w:tcW w:w="964" w:type="dxa"/>
          </w:tcPr>
          <w:p w14:paraId="30DD160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CA1DD29"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58AE3B98" w14:textId="77777777" w:rsidR="00824558" w:rsidRDefault="00824558">
            <w:pPr>
              <w:cnfStyle w:val="000000000000" w:firstRow="0" w:lastRow="0" w:firstColumn="0" w:lastColumn="0" w:oddVBand="0" w:evenVBand="0" w:oddHBand="0" w:evenHBand="0" w:firstRowFirstColumn="0" w:firstRowLastColumn="0" w:lastRowFirstColumn="0" w:lastRowLastColumn="0"/>
            </w:pPr>
            <w:r>
              <w:t>220</w:t>
            </w:r>
          </w:p>
        </w:tc>
        <w:tc>
          <w:tcPr>
            <w:tcW w:w="964" w:type="dxa"/>
          </w:tcPr>
          <w:p w14:paraId="2F311DEC"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0A55A933" w14:textId="77777777" w:rsidR="00824558" w:rsidRDefault="00824558">
            <w:pPr>
              <w:cnfStyle w:val="000000000000" w:firstRow="0" w:lastRow="0" w:firstColumn="0" w:lastColumn="0" w:oddVBand="0" w:evenVBand="0" w:oddHBand="0" w:evenHBand="0" w:firstRowFirstColumn="0" w:firstRowLastColumn="0" w:lastRowFirstColumn="0" w:lastRowLastColumn="0"/>
            </w:pPr>
            <w:r>
              <w:t>232</w:t>
            </w:r>
          </w:p>
        </w:tc>
      </w:tr>
      <w:tr w:rsidR="00824558" w14:paraId="2074173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9313967" w14:textId="77777777" w:rsidR="00824558" w:rsidRDefault="00824558">
            <w:pPr>
              <w:ind w:left="170"/>
            </w:pPr>
            <w:r>
              <w:rPr>
                <w:i/>
              </w:rPr>
              <w:t>The 2025-26 expected outcome is higher than the 2025-26 target due to the improved specialist family violence system that has enabled a proactive engagement of the</w:t>
            </w:r>
            <w:r w:rsidRPr="001F431C">
              <w:rPr>
                <w:i/>
              </w:rPr>
              <w:t xml:space="preserve"> Risk </w:t>
            </w:r>
            <w:r>
              <w:rPr>
                <w:i/>
              </w:rPr>
              <w:t>A</w:t>
            </w:r>
            <w:r w:rsidRPr="001F431C">
              <w:rPr>
                <w:i/>
              </w:rPr>
              <w:t xml:space="preserve">ssessment and </w:t>
            </w:r>
            <w:r>
              <w:rPr>
                <w:i/>
              </w:rPr>
              <w:t>M</w:t>
            </w:r>
            <w:r w:rsidRPr="001F431C">
              <w:rPr>
                <w:i/>
              </w:rPr>
              <w:t>anagement</w:t>
            </w:r>
            <w:r>
              <w:rPr>
                <w:i/>
              </w:rPr>
              <w:t xml:space="preserve"> Panel (RAMP) coordinators with the sector to manage risk. </w:t>
            </w:r>
          </w:p>
        </w:tc>
      </w:tr>
      <w:tr w:rsidR="00824558" w14:paraId="254E6D38"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0AB3096" w14:textId="77777777" w:rsidR="00824558" w:rsidRDefault="00824558">
            <w:pPr>
              <w:keepNext/>
              <w:ind w:left="170"/>
            </w:pPr>
            <w:r>
              <w:t>Number of cases referred to and assisted by a Risk Assessment and Management Panel</w:t>
            </w:r>
          </w:p>
        </w:tc>
        <w:tc>
          <w:tcPr>
            <w:tcW w:w="964" w:type="dxa"/>
          </w:tcPr>
          <w:p w14:paraId="6273A64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9BF166A"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Pr>
          <w:p w14:paraId="02CB9676" w14:textId="77777777" w:rsidR="00824558" w:rsidRDefault="00824558">
            <w:pPr>
              <w:cnfStyle w:val="000000000000" w:firstRow="0" w:lastRow="0" w:firstColumn="0" w:lastColumn="0" w:oddVBand="0" w:evenVBand="0" w:oddHBand="0" w:evenHBand="0" w:firstRowFirstColumn="0" w:firstRowLastColumn="0" w:lastRowFirstColumn="0" w:lastRowLastColumn="0"/>
            </w:pPr>
            <w:r>
              <w:t>360</w:t>
            </w:r>
          </w:p>
        </w:tc>
        <w:tc>
          <w:tcPr>
            <w:tcW w:w="964" w:type="dxa"/>
          </w:tcPr>
          <w:p w14:paraId="5757D7F3"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Pr>
          <w:p w14:paraId="60047020" w14:textId="77777777" w:rsidR="00824558" w:rsidRDefault="00824558">
            <w:pPr>
              <w:cnfStyle w:val="000000000000" w:firstRow="0" w:lastRow="0" w:firstColumn="0" w:lastColumn="0" w:oddVBand="0" w:evenVBand="0" w:oddHBand="0" w:evenHBand="0" w:firstRowFirstColumn="0" w:firstRowLastColumn="0" w:lastRowFirstColumn="0" w:lastRowLastColumn="0"/>
            </w:pPr>
            <w:r>
              <w:t>352</w:t>
            </w:r>
          </w:p>
        </w:tc>
      </w:tr>
      <w:tr w:rsidR="00824558" w14:paraId="1968A1A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CC0BEE8" w14:textId="77777777" w:rsidR="00824558" w:rsidRDefault="00824558">
            <w:pPr>
              <w:ind w:left="170"/>
            </w:pPr>
            <w:r>
              <w:rPr>
                <w:i/>
              </w:rPr>
              <w:t>The 2025-26 expected outcome is lower than the 2025-26 target due to an increased number of cases being referred to and effectively managed by the RAMP coordinators.</w:t>
            </w:r>
          </w:p>
        </w:tc>
      </w:tr>
      <w:tr w:rsidR="00824558" w14:paraId="13A5EA7D"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0E2F33" w14:textId="77777777" w:rsidR="00824558" w:rsidRDefault="00824558">
            <w:pPr>
              <w:ind w:left="170"/>
            </w:pPr>
            <w:r>
              <w:t>Number of family violence victim survivors who received a refuge response</w:t>
            </w:r>
          </w:p>
        </w:tc>
        <w:tc>
          <w:tcPr>
            <w:tcW w:w="964" w:type="dxa"/>
            <w:tcBorders>
              <w:bottom w:val="single" w:sz="6" w:space="0" w:color="auto"/>
            </w:tcBorders>
          </w:tcPr>
          <w:p w14:paraId="6135A5D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2275183" w14:textId="77777777" w:rsidR="00824558" w:rsidRDefault="00824558">
            <w:pPr>
              <w:cnfStyle w:val="000000000000" w:firstRow="0" w:lastRow="0" w:firstColumn="0" w:lastColumn="0" w:oddVBand="0" w:evenVBand="0" w:oddHBand="0" w:evenHBand="0" w:firstRowFirstColumn="0" w:firstRowLastColumn="0" w:lastRowFirstColumn="0" w:lastRowLastColumn="0"/>
            </w:pPr>
            <w:r>
              <w:t>1 061</w:t>
            </w:r>
          </w:p>
        </w:tc>
        <w:tc>
          <w:tcPr>
            <w:tcW w:w="964" w:type="dxa"/>
            <w:tcBorders>
              <w:bottom w:val="single" w:sz="6" w:space="0" w:color="auto"/>
            </w:tcBorders>
          </w:tcPr>
          <w:p w14:paraId="196F01D5" w14:textId="77777777" w:rsidR="00824558" w:rsidRDefault="00824558">
            <w:pPr>
              <w:cnfStyle w:val="000000000000" w:firstRow="0" w:lastRow="0" w:firstColumn="0" w:lastColumn="0" w:oddVBand="0" w:evenVBand="0" w:oddHBand="0" w:evenHBand="0" w:firstRowFirstColumn="0" w:firstRowLastColumn="0" w:lastRowFirstColumn="0" w:lastRowLastColumn="0"/>
            </w:pPr>
            <w:r>
              <w:t>1 061</w:t>
            </w:r>
          </w:p>
        </w:tc>
        <w:tc>
          <w:tcPr>
            <w:tcW w:w="964" w:type="dxa"/>
            <w:tcBorders>
              <w:bottom w:val="single" w:sz="6" w:space="0" w:color="auto"/>
            </w:tcBorders>
          </w:tcPr>
          <w:p w14:paraId="52A609CA" w14:textId="77777777" w:rsidR="00824558" w:rsidRDefault="00824558">
            <w:pPr>
              <w:cnfStyle w:val="000000000000" w:firstRow="0" w:lastRow="0" w:firstColumn="0" w:lastColumn="0" w:oddVBand="0" w:evenVBand="0" w:oddHBand="0" w:evenHBand="0" w:firstRowFirstColumn="0" w:firstRowLastColumn="0" w:lastRowFirstColumn="0" w:lastRowLastColumn="0"/>
            </w:pPr>
            <w:r>
              <w:t>1 061</w:t>
            </w:r>
          </w:p>
        </w:tc>
        <w:tc>
          <w:tcPr>
            <w:tcW w:w="964" w:type="dxa"/>
            <w:tcBorders>
              <w:bottom w:val="single" w:sz="6" w:space="0" w:color="auto"/>
            </w:tcBorders>
          </w:tcPr>
          <w:p w14:paraId="46D27A2D" w14:textId="77777777" w:rsidR="00824558" w:rsidRDefault="00824558">
            <w:pPr>
              <w:cnfStyle w:val="000000000000" w:firstRow="0" w:lastRow="0" w:firstColumn="0" w:lastColumn="0" w:oddVBand="0" w:evenVBand="0" w:oddHBand="0" w:evenHBand="0" w:firstRowFirstColumn="0" w:firstRowLastColumn="0" w:lastRowFirstColumn="0" w:lastRowLastColumn="0"/>
            </w:pPr>
            <w:r>
              <w:t>889</w:t>
            </w:r>
          </w:p>
        </w:tc>
      </w:tr>
      <w:tr w:rsidR="00824558" w14:paraId="1E0FE70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F218497" w14:textId="77777777" w:rsidR="00824558" w:rsidRDefault="00824558">
            <w:pPr>
              <w:keepNext/>
              <w:ind w:left="170"/>
            </w:pPr>
            <w:r>
              <w:t>Number of Harmful Sexual Behaviours cases commencing for children and young people</w:t>
            </w:r>
          </w:p>
        </w:tc>
        <w:tc>
          <w:tcPr>
            <w:tcW w:w="964" w:type="dxa"/>
          </w:tcPr>
          <w:p w14:paraId="23E8842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A218F5A" w14:textId="77777777" w:rsidR="00824558" w:rsidRDefault="00824558">
            <w:pPr>
              <w:cnfStyle w:val="000000000000" w:firstRow="0" w:lastRow="0" w:firstColumn="0" w:lastColumn="0" w:oddVBand="0" w:evenVBand="0" w:oddHBand="0" w:evenHBand="0" w:firstRowFirstColumn="0" w:firstRowLastColumn="0" w:lastRowFirstColumn="0" w:lastRowLastColumn="0"/>
            </w:pPr>
            <w:r>
              <w:t>830</w:t>
            </w:r>
          </w:p>
        </w:tc>
        <w:tc>
          <w:tcPr>
            <w:tcW w:w="964" w:type="dxa"/>
          </w:tcPr>
          <w:p w14:paraId="64852D5C" w14:textId="77777777" w:rsidR="00824558" w:rsidRDefault="00824558">
            <w:pPr>
              <w:cnfStyle w:val="000000000000" w:firstRow="0" w:lastRow="0" w:firstColumn="0" w:lastColumn="0" w:oddVBand="0" w:evenVBand="0" w:oddHBand="0" w:evenHBand="0" w:firstRowFirstColumn="0" w:firstRowLastColumn="0" w:lastRowFirstColumn="0" w:lastRowLastColumn="0"/>
            </w:pPr>
            <w:r>
              <w:t>954</w:t>
            </w:r>
          </w:p>
        </w:tc>
        <w:tc>
          <w:tcPr>
            <w:tcW w:w="964" w:type="dxa"/>
          </w:tcPr>
          <w:p w14:paraId="642A0F11" w14:textId="77777777" w:rsidR="00824558" w:rsidRDefault="00824558">
            <w:pPr>
              <w:cnfStyle w:val="000000000000" w:firstRow="0" w:lastRow="0" w:firstColumn="0" w:lastColumn="0" w:oddVBand="0" w:evenVBand="0" w:oddHBand="0" w:evenHBand="0" w:firstRowFirstColumn="0" w:firstRowLastColumn="0" w:lastRowFirstColumn="0" w:lastRowLastColumn="0"/>
            </w:pPr>
            <w:r>
              <w:t>1 220</w:t>
            </w:r>
          </w:p>
        </w:tc>
        <w:tc>
          <w:tcPr>
            <w:tcW w:w="964" w:type="dxa"/>
          </w:tcPr>
          <w:p w14:paraId="3C90E78D" w14:textId="77777777" w:rsidR="00824558" w:rsidRDefault="00824558">
            <w:pPr>
              <w:cnfStyle w:val="000000000000" w:firstRow="0" w:lastRow="0" w:firstColumn="0" w:lastColumn="0" w:oddVBand="0" w:evenVBand="0" w:oddHBand="0" w:evenHBand="0" w:firstRowFirstColumn="0" w:firstRowLastColumn="0" w:lastRowFirstColumn="0" w:lastRowLastColumn="0"/>
            </w:pPr>
            <w:r>
              <w:t>918</w:t>
            </w:r>
          </w:p>
        </w:tc>
      </w:tr>
      <w:tr w:rsidR="00824558" w14:paraId="310A818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31F23CD" w14:textId="77777777" w:rsidR="00824558" w:rsidRDefault="00824558">
            <w:pPr>
              <w:ind w:left="170"/>
              <w:rPr>
                <w:i/>
              </w:rPr>
            </w:pPr>
            <w:r>
              <w:rPr>
                <w:i/>
              </w:rPr>
              <w:t xml:space="preserve">The 2025-26 expected outcome is lower than the 2025-26 target due to complexities of working with children and young people who display harmful sexual behaviours and their families. </w:t>
            </w:r>
            <w:r w:rsidRPr="007B30C6">
              <w:rPr>
                <w:i/>
              </w:rPr>
              <w:t>Where lengthy engagement is required, annual capacity to commence cases is reduced, and this is reflected in the 2025-26 expected outcome</w:t>
            </w:r>
            <w:r>
              <w:rPr>
                <w:i/>
              </w:rPr>
              <w:t xml:space="preserve">. </w:t>
            </w:r>
          </w:p>
          <w:p w14:paraId="3CAD6004" w14:textId="77777777" w:rsidR="00824558" w:rsidRDefault="00824558">
            <w:pPr>
              <w:ind w:left="170"/>
              <w:rPr>
                <w:i/>
              </w:rPr>
            </w:pPr>
            <w:r w:rsidRPr="00EF2B3E">
              <w:rPr>
                <w:i/>
              </w:rPr>
              <w:t>The lower 2026-27 target reflects the number of new cases funded to be delivered each year</w:t>
            </w:r>
            <w:r>
              <w:rPr>
                <w:i/>
              </w:rPr>
              <w:t xml:space="preserve"> </w:t>
            </w:r>
            <w:r w:rsidRPr="0060418F">
              <w:rPr>
                <w:i/>
              </w:rPr>
              <w:t xml:space="preserve">rather than the number of children receiving a response, as this may continue across </w:t>
            </w:r>
            <w:r>
              <w:rPr>
                <w:i/>
              </w:rPr>
              <w:t>two</w:t>
            </w:r>
            <w:r w:rsidRPr="0060418F">
              <w:rPr>
                <w:i/>
              </w:rPr>
              <w:t xml:space="preserve"> years</w:t>
            </w:r>
            <w:r w:rsidRPr="00EF2B3E">
              <w:rPr>
                <w:i/>
              </w:rPr>
              <w:t>.</w:t>
            </w:r>
          </w:p>
          <w:p w14:paraId="62494C8C" w14:textId="636C68D3" w:rsidR="00824558" w:rsidRDefault="00824558">
            <w:pPr>
              <w:ind w:left="170"/>
            </w:pPr>
            <w:r>
              <w:rPr>
                <w:i/>
              </w:rPr>
              <w:t xml:space="preserve">This performance measure renames the 2025-26 performance measure </w:t>
            </w:r>
            <w:r w:rsidR="007942D1">
              <w:rPr>
                <w:i/>
              </w:rPr>
              <w:t>‘</w:t>
            </w:r>
            <w:r>
              <w:rPr>
                <w:i/>
              </w:rPr>
              <w:t>Number of children who receive a Sexually Abusive Behaviour Treatment Service response</w:t>
            </w:r>
            <w:r w:rsidR="007942D1">
              <w:rPr>
                <w:i/>
              </w:rPr>
              <w:t>’</w:t>
            </w:r>
            <w:r>
              <w:rPr>
                <w:i/>
              </w:rPr>
              <w:t>. The new measure reports on the same activity as the previous measure and has been amended for increased clarity and to reflect contemporary language.</w:t>
            </w:r>
          </w:p>
        </w:tc>
      </w:tr>
      <w:tr w:rsidR="00824558" w14:paraId="231B5387"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B191799" w14:textId="48444DAF" w:rsidR="00824558" w:rsidRDefault="00824558">
            <w:pPr>
              <w:keepNext/>
              <w:ind w:left="170"/>
            </w:pPr>
            <w:r>
              <w:t>Number of men participating in the Men</w:t>
            </w:r>
            <w:r w:rsidR="007942D1">
              <w:t>’</w:t>
            </w:r>
            <w:r>
              <w:t>s Behaviour Change program</w:t>
            </w:r>
          </w:p>
        </w:tc>
        <w:tc>
          <w:tcPr>
            <w:tcW w:w="964" w:type="dxa"/>
          </w:tcPr>
          <w:p w14:paraId="0CAB41D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108C4DF" w14:textId="77777777" w:rsidR="00824558" w:rsidRDefault="00824558">
            <w:pPr>
              <w:cnfStyle w:val="000000000000" w:firstRow="0" w:lastRow="0" w:firstColumn="0" w:lastColumn="0" w:oddVBand="0" w:evenVBand="0" w:oddHBand="0" w:evenHBand="0" w:firstRowFirstColumn="0" w:firstRowLastColumn="0" w:lastRowFirstColumn="0" w:lastRowLastColumn="0"/>
            </w:pPr>
            <w:r>
              <w:t>5 000</w:t>
            </w:r>
          </w:p>
        </w:tc>
        <w:tc>
          <w:tcPr>
            <w:tcW w:w="964" w:type="dxa"/>
          </w:tcPr>
          <w:p w14:paraId="68755F99" w14:textId="77777777" w:rsidR="00824558" w:rsidRDefault="00824558">
            <w:pPr>
              <w:cnfStyle w:val="000000000000" w:firstRow="0" w:lastRow="0" w:firstColumn="0" w:lastColumn="0" w:oddVBand="0" w:evenVBand="0" w:oddHBand="0" w:evenHBand="0" w:firstRowFirstColumn="0" w:firstRowLastColumn="0" w:lastRowFirstColumn="0" w:lastRowLastColumn="0"/>
            </w:pPr>
            <w:r>
              <w:t>5 000</w:t>
            </w:r>
          </w:p>
        </w:tc>
        <w:tc>
          <w:tcPr>
            <w:tcW w:w="964" w:type="dxa"/>
          </w:tcPr>
          <w:p w14:paraId="79E16072" w14:textId="77777777" w:rsidR="00824558" w:rsidRDefault="00824558">
            <w:pPr>
              <w:cnfStyle w:val="000000000000" w:firstRow="0" w:lastRow="0" w:firstColumn="0" w:lastColumn="0" w:oddVBand="0" w:evenVBand="0" w:oddHBand="0" w:evenHBand="0" w:firstRowFirstColumn="0" w:firstRowLastColumn="0" w:lastRowFirstColumn="0" w:lastRowLastColumn="0"/>
            </w:pPr>
            <w:r>
              <w:t>4 400</w:t>
            </w:r>
          </w:p>
        </w:tc>
        <w:tc>
          <w:tcPr>
            <w:tcW w:w="964" w:type="dxa"/>
          </w:tcPr>
          <w:p w14:paraId="563DFCE2" w14:textId="77777777" w:rsidR="00824558" w:rsidRDefault="00824558">
            <w:pPr>
              <w:cnfStyle w:val="000000000000" w:firstRow="0" w:lastRow="0" w:firstColumn="0" w:lastColumn="0" w:oddVBand="0" w:evenVBand="0" w:oddHBand="0" w:evenHBand="0" w:firstRowFirstColumn="0" w:firstRowLastColumn="0" w:lastRowFirstColumn="0" w:lastRowLastColumn="0"/>
            </w:pPr>
            <w:r>
              <w:t>5 337</w:t>
            </w:r>
          </w:p>
        </w:tc>
      </w:tr>
      <w:tr w:rsidR="00824558" w14:paraId="066ADB5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A602B52" w14:textId="0C04DFFB" w:rsidR="00824558" w:rsidRDefault="00824558">
            <w:pPr>
              <w:ind w:left="170"/>
            </w:pPr>
            <w:r w:rsidRPr="00DC663D">
              <w:rPr>
                <w:i/>
              </w:rPr>
              <w:t xml:space="preserve">The </w:t>
            </w:r>
            <w:r w:rsidR="008F7A05">
              <w:rPr>
                <w:i/>
              </w:rPr>
              <w:t>2025-26</w:t>
            </w:r>
            <w:r w:rsidRPr="00DC663D">
              <w:rPr>
                <w:i/>
              </w:rPr>
              <w:t xml:space="preserve"> expected outcome is higher than the target due to improved reporting and data integrity, which also identified that the target did not capture all in-scope funding.</w:t>
            </w:r>
            <w:r w:rsidRPr="00DC663D">
              <w:rPr>
                <w:i/>
              </w:rPr>
              <w:br/>
              <w:t xml:space="preserve">The </w:t>
            </w:r>
            <w:r w:rsidR="002B57CA">
              <w:rPr>
                <w:i/>
              </w:rPr>
              <w:t>2026-27</w:t>
            </w:r>
            <w:r w:rsidRPr="00DC663D">
              <w:rPr>
                <w:i/>
              </w:rPr>
              <w:t xml:space="preserve"> target has been revised to reflect all in-scope funding</w:t>
            </w:r>
            <w:r>
              <w:rPr>
                <w:i/>
              </w:rPr>
              <w:t>.</w:t>
            </w:r>
          </w:p>
        </w:tc>
      </w:tr>
      <w:tr w:rsidR="00824558" w14:paraId="2E76BC3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C6E017B" w14:textId="77777777" w:rsidR="00824558" w:rsidRDefault="00824558">
            <w:pPr>
              <w:keepNext/>
              <w:ind w:left="170"/>
            </w:pPr>
            <w:r>
              <w:t>Number of new episodes of therapeutic interventions for family violence victim survivors</w:t>
            </w:r>
          </w:p>
        </w:tc>
        <w:tc>
          <w:tcPr>
            <w:tcW w:w="964" w:type="dxa"/>
          </w:tcPr>
          <w:p w14:paraId="333BBA3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56333A9" w14:textId="77777777" w:rsidR="00824558" w:rsidRDefault="00824558">
            <w:pPr>
              <w:cnfStyle w:val="000000000000" w:firstRow="0" w:lastRow="0" w:firstColumn="0" w:lastColumn="0" w:oddVBand="0" w:evenVBand="0" w:oddHBand="0" w:evenHBand="0" w:firstRowFirstColumn="0" w:firstRowLastColumn="0" w:lastRowFirstColumn="0" w:lastRowLastColumn="0"/>
            </w:pPr>
            <w:r>
              <w:t>7 239</w:t>
            </w:r>
          </w:p>
        </w:tc>
        <w:tc>
          <w:tcPr>
            <w:tcW w:w="964" w:type="dxa"/>
          </w:tcPr>
          <w:p w14:paraId="19C19AE9" w14:textId="77777777" w:rsidR="00824558" w:rsidRDefault="00824558">
            <w:pPr>
              <w:cnfStyle w:val="000000000000" w:firstRow="0" w:lastRow="0" w:firstColumn="0" w:lastColumn="0" w:oddVBand="0" w:evenVBand="0" w:oddHBand="0" w:evenHBand="0" w:firstRowFirstColumn="0" w:firstRowLastColumn="0" w:lastRowFirstColumn="0" w:lastRowLastColumn="0"/>
            </w:pPr>
            <w:r>
              <w:t>9 142</w:t>
            </w:r>
          </w:p>
        </w:tc>
        <w:tc>
          <w:tcPr>
            <w:tcW w:w="964" w:type="dxa"/>
          </w:tcPr>
          <w:p w14:paraId="33609F2F" w14:textId="77777777" w:rsidR="00824558" w:rsidRDefault="00824558">
            <w:pPr>
              <w:cnfStyle w:val="000000000000" w:firstRow="0" w:lastRow="0" w:firstColumn="0" w:lastColumn="0" w:oddVBand="0" w:evenVBand="0" w:oddHBand="0" w:evenHBand="0" w:firstRowFirstColumn="0" w:firstRowLastColumn="0" w:lastRowFirstColumn="0" w:lastRowLastColumn="0"/>
            </w:pPr>
            <w:r>
              <w:t>7 239</w:t>
            </w:r>
          </w:p>
        </w:tc>
        <w:tc>
          <w:tcPr>
            <w:tcW w:w="964" w:type="dxa"/>
          </w:tcPr>
          <w:p w14:paraId="1CC78CF1" w14:textId="77777777" w:rsidR="00824558" w:rsidRDefault="00824558">
            <w:pPr>
              <w:cnfStyle w:val="000000000000" w:firstRow="0" w:lastRow="0" w:firstColumn="0" w:lastColumn="0" w:oddVBand="0" w:evenVBand="0" w:oddHBand="0" w:evenHBand="0" w:firstRowFirstColumn="0" w:firstRowLastColumn="0" w:lastRowFirstColumn="0" w:lastRowLastColumn="0"/>
            </w:pPr>
            <w:r>
              <w:t xml:space="preserve"> nm </w:t>
            </w:r>
          </w:p>
        </w:tc>
      </w:tr>
      <w:tr w:rsidR="00824558" w14:paraId="1BCF8A2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203CF7" w14:textId="77777777" w:rsidR="00824558" w:rsidRDefault="00824558">
            <w:pPr>
              <w:ind w:left="170"/>
            </w:pPr>
            <w:r>
              <w:rPr>
                <w:i/>
              </w:rPr>
              <w:t xml:space="preserve">The 2025-26 expected outcome is higher than the target due to higher demand across the state for the service. </w:t>
            </w:r>
          </w:p>
        </w:tc>
      </w:tr>
      <w:tr w:rsidR="00824558" w14:paraId="07A51DC1"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3F4ADE7" w14:textId="77777777" w:rsidR="00824558" w:rsidRDefault="00824558">
            <w:pPr>
              <w:ind w:left="170"/>
            </w:pPr>
            <w:r>
              <w:t>Number of nights of refuge accommodation provided to victim survivors of family violence</w:t>
            </w:r>
          </w:p>
        </w:tc>
        <w:tc>
          <w:tcPr>
            <w:tcW w:w="964" w:type="dxa"/>
            <w:tcBorders>
              <w:bottom w:val="single" w:sz="6" w:space="0" w:color="auto"/>
            </w:tcBorders>
          </w:tcPr>
          <w:p w14:paraId="5CC02A5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324567E" w14:textId="77777777" w:rsidR="00824558" w:rsidRDefault="00824558">
            <w:pPr>
              <w:cnfStyle w:val="000000000000" w:firstRow="0" w:lastRow="0" w:firstColumn="0" w:lastColumn="0" w:oddVBand="0" w:evenVBand="0" w:oddHBand="0" w:evenHBand="0" w:firstRowFirstColumn="0" w:firstRowLastColumn="0" w:lastRowFirstColumn="0" w:lastRowLastColumn="0"/>
            </w:pPr>
            <w:r>
              <w:t>54 109</w:t>
            </w:r>
          </w:p>
        </w:tc>
        <w:tc>
          <w:tcPr>
            <w:tcW w:w="964" w:type="dxa"/>
            <w:tcBorders>
              <w:bottom w:val="single" w:sz="6" w:space="0" w:color="auto"/>
            </w:tcBorders>
          </w:tcPr>
          <w:p w14:paraId="3416FD49" w14:textId="77777777" w:rsidR="00824558" w:rsidRDefault="00824558">
            <w:pPr>
              <w:cnfStyle w:val="000000000000" w:firstRow="0" w:lastRow="0" w:firstColumn="0" w:lastColumn="0" w:oddVBand="0" w:evenVBand="0" w:oddHBand="0" w:evenHBand="0" w:firstRowFirstColumn="0" w:firstRowLastColumn="0" w:lastRowFirstColumn="0" w:lastRowLastColumn="0"/>
            </w:pPr>
            <w:r>
              <w:t>54 109</w:t>
            </w:r>
          </w:p>
        </w:tc>
        <w:tc>
          <w:tcPr>
            <w:tcW w:w="964" w:type="dxa"/>
            <w:tcBorders>
              <w:bottom w:val="single" w:sz="6" w:space="0" w:color="auto"/>
            </w:tcBorders>
          </w:tcPr>
          <w:p w14:paraId="70FFA75E" w14:textId="77777777" w:rsidR="00824558" w:rsidRDefault="00824558">
            <w:pPr>
              <w:cnfStyle w:val="000000000000" w:firstRow="0" w:lastRow="0" w:firstColumn="0" w:lastColumn="0" w:oddVBand="0" w:evenVBand="0" w:oddHBand="0" w:evenHBand="0" w:firstRowFirstColumn="0" w:firstRowLastColumn="0" w:lastRowFirstColumn="0" w:lastRowLastColumn="0"/>
            </w:pPr>
            <w:r>
              <w:t>54 109</w:t>
            </w:r>
          </w:p>
        </w:tc>
        <w:tc>
          <w:tcPr>
            <w:tcW w:w="964" w:type="dxa"/>
            <w:tcBorders>
              <w:bottom w:val="single" w:sz="6" w:space="0" w:color="auto"/>
            </w:tcBorders>
          </w:tcPr>
          <w:p w14:paraId="1AC4B6CA" w14:textId="77777777" w:rsidR="00824558" w:rsidRDefault="00824558">
            <w:pPr>
              <w:cnfStyle w:val="000000000000" w:firstRow="0" w:lastRow="0" w:firstColumn="0" w:lastColumn="0" w:oddVBand="0" w:evenVBand="0" w:oddHBand="0" w:evenHBand="0" w:firstRowFirstColumn="0" w:firstRowLastColumn="0" w:lastRowFirstColumn="0" w:lastRowLastColumn="0"/>
            </w:pPr>
            <w:r>
              <w:t>50 306</w:t>
            </w:r>
          </w:p>
        </w:tc>
      </w:tr>
      <w:tr w:rsidR="00824558" w14:paraId="102B1662"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64733BB2" w14:textId="77777777" w:rsidR="00824558" w:rsidRDefault="00824558">
            <w:pPr>
              <w:keepNext/>
              <w:ind w:left="170"/>
            </w:pPr>
            <w:r>
              <w:t>Number of sexual assault services provided to adults, children and young people</w:t>
            </w:r>
          </w:p>
        </w:tc>
        <w:tc>
          <w:tcPr>
            <w:tcW w:w="964" w:type="dxa"/>
          </w:tcPr>
          <w:p w14:paraId="33C5F98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D03608D" w14:textId="77777777" w:rsidR="00824558" w:rsidRDefault="00824558">
            <w:pPr>
              <w:cnfStyle w:val="000000000000" w:firstRow="0" w:lastRow="0" w:firstColumn="0" w:lastColumn="0" w:oddVBand="0" w:evenVBand="0" w:oddHBand="0" w:evenHBand="0" w:firstRowFirstColumn="0" w:firstRowLastColumn="0" w:lastRowFirstColumn="0" w:lastRowLastColumn="0"/>
            </w:pPr>
            <w:r>
              <w:t>19 000</w:t>
            </w:r>
          </w:p>
        </w:tc>
        <w:tc>
          <w:tcPr>
            <w:tcW w:w="964" w:type="dxa"/>
          </w:tcPr>
          <w:p w14:paraId="159BE242" w14:textId="77777777" w:rsidR="00824558" w:rsidRDefault="00824558">
            <w:pPr>
              <w:cnfStyle w:val="000000000000" w:firstRow="0" w:lastRow="0" w:firstColumn="0" w:lastColumn="0" w:oddVBand="0" w:evenVBand="0" w:oddHBand="0" w:evenHBand="0" w:firstRowFirstColumn="0" w:firstRowLastColumn="0" w:lastRowFirstColumn="0" w:lastRowLastColumn="0"/>
            </w:pPr>
            <w:r>
              <w:t>20 804</w:t>
            </w:r>
          </w:p>
        </w:tc>
        <w:tc>
          <w:tcPr>
            <w:tcW w:w="964" w:type="dxa"/>
          </w:tcPr>
          <w:p w14:paraId="1843BA12" w14:textId="77777777" w:rsidR="00824558" w:rsidRDefault="00824558">
            <w:pPr>
              <w:cnfStyle w:val="000000000000" w:firstRow="0" w:lastRow="0" w:firstColumn="0" w:lastColumn="0" w:oddVBand="0" w:evenVBand="0" w:oddHBand="0" w:evenHBand="0" w:firstRowFirstColumn="0" w:firstRowLastColumn="0" w:lastRowFirstColumn="0" w:lastRowLastColumn="0"/>
            </w:pPr>
            <w:r>
              <w:t>19 000</w:t>
            </w:r>
          </w:p>
        </w:tc>
        <w:tc>
          <w:tcPr>
            <w:tcW w:w="964" w:type="dxa"/>
          </w:tcPr>
          <w:p w14:paraId="794611F0" w14:textId="77777777" w:rsidR="00824558" w:rsidRDefault="00824558">
            <w:pPr>
              <w:cnfStyle w:val="000000000000" w:firstRow="0" w:lastRow="0" w:firstColumn="0" w:lastColumn="0" w:oddVBand="0" w:evenVBand="0" w:oddHBand="0" w:evenHBand="0" w:firstRowFirstColumn="0" w:firstRowLastColumn="0" w:lastRowFirstColumn="0" w:lastRowLastColumn="0"/>
            </w:pPr>
            <w:r>
              <w:t>20 868</w:t>
            </w:r>
          </w:p>
        </w:tc>
      </w:tr>
      <w:tr w:rsidR="00824558" w14:paraId="6EBE99D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065A2F" w14:textId="77777777" w:rsidR="00824558" w:rsidRDefault="00824558">
            <w:pPr>
              <w:ind w:left="170"/>
            </w:pPr>
            <w:r>
              <w:rPr>
                <w:i/>
              </w:rPr>
              <w:t>The 2025-26 expected outcome is higher than the 2025-26 target due to an increase in demand for a sexual assault service response. Increasing community awareness of this program from recent inquiries, commissions, victim survivor advocacy, legal cases, and consent law reform, continues to drive strong demand across the system.</w:t>
            </w:r>
          </w:p>
        </w:tc>
      </w:tr>
      <w:tr w:rsidR="00824558" w14:paraId="66F41F3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1207BA3" w14:textId="77777777" w:rsidR="00824558" w:rsidRDefault="00824558">
            <w:pPr>
              <w:keepNext/>
              <w:ind w:left="170"/>
            </w:pPr>
            <w:r>
              <w:t>Self-referrals to The Orange Door services as a proportion of total referrals</w:t>
            </w:r>
          </w:p>
        </w:tc>
        <w:tc>
          <w:tcPr>
            <w:tcW w:w="964" w:type="dxa"/>
          </w:tcPr>
          <w:p w14:paraId="7633EE6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14E15F3" w14:textId="77777777" w:rsidR="00824558" w:rsidRDefault="00824558">
            <w:pPr>
              <w:cnfStyle w:val="000000000000" w:firstRow="0" w:lastRow="0" w:firstColumn="0" w:lastColumn="0" w:oddVBand="0" w:evenVBand="0" w:oddHBand="0" w:evenHBand="0" w:firstRowFirstColumn="0" w:firstRowLastColumn="0" w:lastRowFirstColumn="0" w:lastRowLastColumn="0"/>
            </w:pPr>
            <w:r>
              <w:t>29</w:t>
            </w:r>
          </w:p>
        </w:tc>
        <w:tc>
          <w:tcPr>
            <w:tcW w:w="964" w:type="dxa"/>
          </w:tcPr>
          <w:p w14:paraId="6BACE304" w14:textId="77777777" w:rsidR="00824558" w:rsidRDefault="00824558">
            <w:pPr>
              <w:cnfStyle w:val="000000000000" w:firstRow="0" w:lastRow="0" w:firstColumn="0" w:lastColumn="0" w:oddVBand="0" w:evenVBand="0" w:oddHBand="0" w:evenHBand="0" w:firstRowFirstColumn="0" w:firstRowLastColumn="0" w:lastRowFirstColumn="0" w:lastRowLastColumn="0"/>
            </w:pPr>
            <w:r>
              <w:t>33</w:t>
            </w:r>
          </w:p>
        </w:tc>
        <w:tc>
          <w:tcPr>
            <w:tcW w:w="964" w:type="dxa"/>
          </w:tcPr>
          <w:p w14:paraId="628E0531"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c>
          <w:tcPr>
            <w:tcW w:w="964" w:type="dxa"/>
          </w:tcPr>
          <w:p w14:paraId="7D6A02A3"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r>
      <w:tr w:rsidR="00824558" w14:paraId="7881288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168FDC" w14:textId="77777777" w:rsidR="00D14861" w:rsidRDefault="00824558">
            <w:pPr>
              <w:tabs>
                <w:tab w:val="left" w:pos="5846"/>
              </w:tabs>
              <w:ind w:left="170"/>
              <w:rPr>
                <w:i/>
              </w:rPr>
            </w:pPr>
            <w:r w:rsidRPr="00406ECF">
              <w:rPr>
                <w:i/>
              </w:rPr>
              <w:t>The 2025-26 expected outcome is higher than the target as it reflects</w:t>
            </w:r>
            <w:r>
              <w:rPr>
                <w:i/>
              </w:rPr>
              <w:t xml:space="preserve"> a rise in family violence service demand and self-referrals in the financial year. </w:t>
            </w:r>
          </w:p>
          <w:p w14:paraId="3E5FB3CA" w14:textId="77D095FA" w:rsidR="00824558" w:rsidRDefault="00824558">
            <w:pPr>
              <w:tabs>
                <w:tab w:val="left" w:pos="5846"/>
              </w:tabs>
              <w:ind w:left="170"/>
            </w:pPr>
            <w:r>
              <w:rPr>
                <w:i/>
              </w:rPr>
              <w:t>The higher 2026-27 target is based on latest available referral data.</w:t>
            </w:r>
            <w:r>
              <w:rPr>
                <w:i/>
              </w:rPr>
              <w:tab/>
            </w:r>
          </w:p>
        </w:tc>
      </w:tr>
      <w:tr w:rsidR="00824558" w14:paraId="3425DA59"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DFD4660" w14:textId="77777777" w:rsidR="00824558" w:rsidRDefault="00824558">
            <w:pPr>
              <w:ind w:left="170"/>
            </w:pPr>
            <w:r>
              <w:t>The proportion of victim survivors seeking a refuge response that receive this support</w:t>
            </w:r>
          </w:p>
        </w:tc>
        <w:tc>
          <w:tcPr>
            <w:tcW w:w="964" w:type="dxa"/>
            <w:tcBorders>
              <w:bottom w:val="single" w:sz="6" w:space="0" w:color="auto"/>
            </w:tcBorders>
          </w:tcPr>
          <w:p w14:paraId="4881775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9CB18D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6F85F08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006A9E15"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153F301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r>
      <w:tr w:rsidR="00824558" w14:paraId="637714A6"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B365972" w14:textId="77777777" w:rsidR="00824558" w:rsidRDefault="00824558">
            <w:pPr>
              <w:keepNext/>
              <w:ind w:left="170"/>
            </w:pPr>
            <w:r>
              <w:t>Total assessments undertaken at the Support and Safety Hubs</w:t>
            </w:r>
          </w:p>
        </w:tc>
        <w:tc>
          <w:tcPr>
            <w:tcW w:w="964" w:type="dxa"/>
          </w:tcPr>
          <w:p w14:paraId="5F1222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5CAED28" w14:textId="77777777" w:rsidR="00824558" w:rsidRDefault="00824558">
            <w:pPr>
              <w:cnfStyle w:val="000000000000" w:firstRow="0" w:lastRow="0" w:firstColumn="0" w:lastColumn="0" w:oddVBand="0" w:evenVBand="0" w:oddHBand="0" w:evenHBand="0" w:firstRowFirstColumn="0" w:firstRowLastColumn="0" w:lastRowFirstColumn="0" w:lastRowLastColumn="0"/>
            </w:pPr>
            <w:r>
              <w:t>220 000</w:t>
            </w:r>
          </w:p>
        </w:tc>
        <w:tc>
          <w:tcPr>
            <w:tcW w:w="964" w:type="dxa"/>
          </w:tcPr>
          <w:p w14:paraId="64F906DF" w14:textId="77777777" w:rsidR="00824558" w:rsidRDefault="00824558">
            <w:pPr>
              <w:cnfStyle w:val="000000000000" w:firstRow="0" w:lastRow="0" w:firstColumn="0" w:lastColumn="0" w:oddVBand="0" w:evenVBand="0" w:oddHBand="0" w:evenHBand="0" w:firstRowFirstColumn="0" w:firstRowLastColumn="0" w:lastRowFirstColumn="0" w:lastRowLastColumn="0"/>
            </w:pPr>
            <w:r>
              <w:t>240 946</w:t>
            </w:r>
          </w:p>
        </w:tc>
        <w:tc>
          <w:tcPr>
            <w:tcW w:w="964" w:type="dxa"/>
          </w:tcPr>
          <w:p w14:paraId="40899611" w14:textId="77777777" w:rsidR="00824558" w:rsidRDefault="00824558">
            <w:pPr>
              <w:cnfStyle w:val="000000000000" w:firstRow="0" w:lastRow="0" w:firstColumn="0" w:lastColumn="0" w:oddVBand="0" w:evenVBand="0" w:oddHBand="0" w:evenHBand="0" w:firstRowFirstColumn="0" w:firstRowLastColumn="0" w:lastRowFirstColumn="0" w:lastRowLastColumn="0"/>
            </w:pPr>
            <w:r>
              <w:t>190 000</w:t>
            </w:r>
          </w:p>
        </w:tc>
        <w:tc>
          <w:tcPr>
            <w:tcW w:w="964" w:type="dxa"/>
          </w:tcPr>
          <w:p w14:paraId="794EEA15" w14:textId="77777777" w:rsidR="00824558" w:rsidRDefault="00824558">
            <w:pPr>
              <w:cnfStyle w:val="000000000000" w:firstRow="0" w:lastRow="0" w:firstColumn="0" w:lastColumn="0" w:oddVBand="0" w:evenVBand="0" w:oddHBand="0" w:evenHBand="0" w:firstRowFirstColumn="0" w:firstRowLastColumn="0" w:lastRowFirstColumn="0" w:lastRowLastColumn="0"/>
            </w:pPr>
            <w:r>
              <w:t>186 524</w:t>
            </w:r>
          </w:p>
        </w:tc>
      </w:tr>
      <w:tr w:rsidR="00824558" w14:paraId="5124A0BE"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A60093B" w14:textId="77777777" w:rsidR="00824558" w:rsidRDefault="00824558">
            <w:pPr>
              <w:ind w:left="170"/>
            </w:pPr>
            <w:r>
              <w:rPr>
                <w:i/>
              </w:rPr>
              <w:t>The 2025-26 expected outcome is higher than the 2025-26 target because there has been a rise in family violence service demand in the financial year.</w:t>
            </w:r>
          </w:p>
          <w:p w14:paraId="014F0FFA" w14:textId="77777777" w:rsidR="00824558" w:rsidRDefault="00824558">
            <w:pPr>
              <w:ind w:left="170"/>
            </w:pPr>
            <w:r>
              <w:rPr>
                <w:i/>
              </w:rPr>
              <w:t>The higher 2026-27 target is based on latest assessment data.</w:t>
            </w:r>
          </w:p>
        </w:tc>
      </w:tr>
      <w:tr w:rsidR="00824558" w14:paraId="626A97C9"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5377856" w14:textId="77777777" w:rsidR="00824558" w:rsidRDefault="00824558">
            <w:pPr>
              <w:ind w:left="170"/>
            </w:pPr>
            <w:r>
              <w:t>Total assessments undertaken for children in the Support and Safety Hubs/The Orange Door</w:t>
            </w:r>
          </w:p>
        </w:tc>
        <w:tc>
          <w:tcPr>
            <w:tcW w:w="964" w:type="dxa"/>
            <w:tcBorders>
              <w:bottom w:val="single" w:sz="6" w:space="0" w:color="auto"/>
            </w:tcBorders>
          </w:tcPr>
          <w:p w14:paraId="3C103BF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5D9E3A0" w14:textId="77777777" w:rsidR="00824558" w:rsidRDefault="00824558">
            <w:pPr>
              <w:cnfStyle w:val="000000000000" w:firstRow="0" w:lastRow="0" w:firstColumn="0" w:lastColumn="0" w:oddVBand="0" w:evenVBand="0" w:oddHBand="0" w:evenHBand="0" w:firstRowFirstColumn="0" w:firstRowLastColumn="0" w:lastRowFirstColumn="0" w:lastRowLastColumn="0"/>
            </w:pPr>
            <w:r>
              <w:t>105 000</w:t>
            </w:r>
          </w:p>
        </w:tc>
        <w:tc>
          <w:tcPr>
            <w:tcW w:w="964" w:type="dxa"/>
            <w:tcBorders>
              <w:bottom w:val="single" w:sz="6" w:space="0" w:color="auto"/>
            </w:tcBorders>
          </w:tcPr>
          <w:p w14:paraId="22FE49FE" w14:textId="77777777" w:rsidR="00824558" w:rsidRDefault="00824558">
            <w:pPr>
              <w:cnfStyle w:val="000000000000" w:firstRow="0" w:lastRow="0" w:firstColumn="0" w:lastColumn="0" w:oddVBand="0" w:evenVBand="0" w:oddHBand="0" w:evenHBand="0" w:firstRowFirstColumn="0" w:firstRowLastColumn="0" w:lastRowFirstColumn="0" w:lastRowLastColumn="0"/>
            </w:pPr>
            <w:r>
              <w:t>108 994</w:t>
            </w:r>
          </w:p>
        </w:tc>
        <w:tc>
          <w:tcPr>
            <w:tcW w:w="964" w:type="dxa"/>
            <w:tcBorders>
              <w:bottom w:val="single" w:sz="6" w:space="0" w:color="auto"/>
            </w:tcBorders>
          </w:tcPr>
          <w:p w14:paraId="10695916" w14:textId="77777777" w:rsidR="00824558" w:rsidRDefault="00824558">
            <w:pPr>
              <w:cnfStyle w:val="000000000000" w:firstRow="0" w:lastRow="0" w:firstColumn="0" w:lastColumn="0" w:oddVBand="0" w:evenVBand="0" w:oddHBand="0" w:evenHBand="0" w:firstRowFirstColumn="0" w:firstRowLastColumn="0" w:lastRowFirstColumn="0" w:lastRowLastColumn="0"/>
            </w:pPr>
            <w:r>
              <w:t>105 000</w:t>
            </w:r>
          </w:p>
        </w:tc>
        <w:tc>
          <w:tcPr>
            <w:tcW w:w="964" w:type="dxa"/>
            <w:tcBorders>
              <w:bottom w:val="single" w:sz="6" w:space="0" w:color="auto"/>
            </w:tcBorders>
          </w:tcPr>
          <w:p w14:paraId="348B633B" w14:textId="77777777" w:rsidR="00824558" w:rsidRDefault="00824558">
            <w:pPr>
              <w:cnfStyle w:val="000000000000" w:firstRow="0" w:lastRow="0" w:firstColumn="0" w:lastColumn="0" w:oddVBand="0" w:evenVBand="0" w:oddHBand="0" w:evenHBand="0" w:firstRowFirstColumn="0" w:firstRowLastColumn="0" w:lastRowFirstColumn="0" w:lastRowLastColumn="0"/>
            </w:pPr>
            <w:r>
              <w:t>106 116</w:t>
            </w:r>
          </w:p>
        </w:tc>
      </w:tr>
      <w:tr w:rsidR="00824558" w14:paraId="2E2AB9C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E4DF38E" w14:textId="77777777" w:rsidR="00824558" w:rsidRDefault="00824558">
            <w:pPr>
              <w:keepNext/>
              <w:ind w:left="170"/>
            </w:pPr>
            <w:r>
              <w:t>Total number of Central Information Point (CIP) reports delivered to CIP requesters</w:t>
            </w:r>
          </w:p>
        </w:tc>
        <w:tc>
          <w:tcPr>
            <w:tcW w:w="964" w:type="dxa"/>
          </w:tcPr>
          <w:p w14:paraId="7F8559E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9D6485C"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Pr>
          <w:p w14:paraId="6CA2C4AA" w14:textId="77777777" w:rsidR="00824558" w:rsidRDefault="00824558">
            <w:pPr>
              <w:cnfStyle w:val="000000000000" w:firstRow="0" w:lastRow="0" w:firstColumn="0" w:lastColumn="0" w:oddVBand="0" w:evenVBand="0" w:oddHBand="0" w:evenHBand="0" w:firstRowFirstColumn="0" w:firstRowLastColumn="0" w:lastRowFirstColumn="0" w:lastRowLastColumn="0"/>
            </w:pPr>
            <w:r>
              <w:t>9 182</w:t>
            </w:r>
          </w:p>
        </w:tc>
        <w:tc>
          <w:tcPr>
            <w:tcW w:w="964" w:type="dxa"/>
          </w:tcPr>
          <w:p w14:paraId="3B5FA665"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Pr>
          <w:p w14:paraId="5F7F3540" w14:textId="77777777" w:rsidR="00824558" w:rsidRDefault="00824558">
            <w:pPr>
              <w:cnfStyle w:val="000000000000" w:firstRow="0" w:lastRow="0" w:firstColumn="0" w:lastColumn="0" w:oddVBand="0" w:evenVBand="0" w:oddHBand="0" w:evenHBand="0" w:firstRowFirstColumn="0" w:firstRowLastColumn="0" w:lastRowFirstColumn="0" w:lastRowLastColumn="0"/>
            </w:pPr>
            <w:r>
              <w:t>9 847</w:t>
            </w:r>
          </w:p>
        </w:tc>
      </w:tr>
      <w:tr w:rsidR="00824558" w14:paraId="4B52F6A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2700B5" w14:textId="6EB7E446" w:rsidR="00824558" w:rsidRDefault="00824558">
            <w:pPr>
              <w:ind w:left="170"/>
            </w:pPr>
            <w:r w:rsidRPr="00EF10EF">
              <w:rPr>
                <w:i/>
              </w:rPr>
              <w:t xml:space="preserve">The 2025-26 expected outcome is lower than the 2025-26 target due to </w:t>
            </w:r>
            <w:r w:rsidR="000C4847">
              <w:rPr>
                <w:i/>
              </w:rPr>
              <w:t>fac</w:t>
            </w:r>
            <w:r w:rsidR="00CA5AE1">
              <w:rPr>
                <w:i/>
              </w:rPr>
              <w:t xml:space="preserve">tors including </w:t>
            </w:r>
            <w:r w:rsidRPr="00EF10EF">
              <w:rPr>
                <w:i/>
              </w:rPr>
              <w:t xml:space="preserve">a </w:t>
            </w:r>
            <w:r w:rsidR="00CA5AE1">
              <w:rPr>
                <w:i/>
              </w:rPr>
              <w:t xml:space="preserve">higher proportion of comprehensive reports delivered which take more </w:t>
            </w:r>
            <w:r w:rsidR="004D7C3B">
              <w:rPr>
                <w:i/>
              </w:rPr>
              <w:t xml:space="preserve">time </w:t>
            </w:r>
            <w:r w:rsidR="00CA5AE1">
              <w:rPr>
                <w:i/>
              </w:rPr>
              <w:t>to prepare.</w:t>
            </w:r>
          </w:p>
        </w:tc>
      </w:tr>
      <w:tr w:rsidR="00824558" w14:paraId="576136D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8CDF2EF" w14:textId="77777777" w:rsidR="00824558" w:rsidRDefault="00824558">
            <w:pPr>
              <w:keepNext/>
              <w:ind w:left="170"/>
            </w:pPr>
            <w:r>
              <w:lastRenderedPageBreak/>
              <w:t>Total number of cases opened at The Orange Door</w:t>
            </w:r>
          </w:p>
        </w:tc>
        <w:tc>
          <w:tcPr>
            <w:tcW w:w="964" w:type="dxa"/>
          </w:tcPr>
          <w:p w14:paraId="1FED9B7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972A3A8" w14:textId="77777777" w:rsidR="00824558" w:rsidRDefault="00824558">
            <w:pPr>
              <w:cnfStyle w:val="000000000000" w:firstRow="0" w:lastRow="0" w:firstColumn="0" w:lastColumn="0" w:oddVBand="0" w:evenVBand="0" w:oddHBand="0" w:evenHBand="0" w:firstRowFirstColumn="0" w:firstRowLastColumn="0" w:lastRowFirstColumn="0" w:lastRowLastColumn="0"/>
            </w:pPr>
            <w:r>
              <w:t>300 000</w:t>
            </w:r>
          </w:p>
        </w:tc>
        <w:tc>
          <w:tcPr>
            <w:tcW w:w="964" w:type="dxa"/>
          </w:tcPr>
          <w:p w14:paraId="3DFD6C67" w14:textId="77777777" w:rsidR="00824558" w:rsidRDefault="00824558">
            <w:pPr>
              <w:cnfStyle w:val="000000000000" w:firstRow="0" w:lastRow="0" w:firstColumn="0" w:lastColumn="0" w:oddVBand="0" w:evenVBand="0" w:oddHBand="0" w:evenHBand="0" w:firstRowFirstColumn="0" w:firstRowLastColumn="0" w:lastRowFirstColumn="0" w:lastRowLastColumn="0"/>
            </w:pPr>
            <w:r>
              <w:t>305 666</w:t>
            </w:r>
          </w:p>
        </w:tc>
        <w:tc>
          <w:tcPr>
            <w:tcW w:w="964" w:type="dxa"/>
          </w:tcPr>
          <w:p w14:paraId="3E34755F" w14:textId="77777777" w:rsidR="00824558" w:rsidRDefault="00824558">
            <w:pPr>
              <w:cnfStyle w:val="000000000000" w:firstRow="0" w:lastRow="0" w:firstColumn="0" w:lastColumn="0" w:oddVBand="0" w:evenVBand="0" w:oddHBand="0" w:evenHBand="0" w:firstRowFirstColumn="0" w:firstRowLastColumn="0" w:lastRowFirstColumn="0" w:lastRowLastColumn="0"/>
            </w:pPr>
            <w:r>
              <w:t>290 000</w:t>
            </w:r>
          </w:p>
        </w:tc>
        <w:tc>
          <w:tcPr>
            <w:tcW w:w="964" w:type="dxa"/>
          </w:tcPr>
          <w:p w14:paraId="7D87A210" w14:textId="77777777" w:rsidR="00824558" w:rsidRDefault="00824558">
            <w:pPr>
              <w:cnfStyle w:val="000000000000" w:firstRow="0" w:lastRow="0" w:firstColumn="0" w:lastColumn="0" w:oddVBand="0" w:evenVBand="0" w:oddHBand="0" w:evenHBand="0" w:firstRowFirstColumn="0" w:firstRowLastColumn="0" w:lastRowFirstColumn="0" w:lastRowLastColumn="0"/>
            </w:pPr>
            <w:r>
              <w:t>301 863</w:t>
            </w:r>
          </w:p>
        </w:tc>
      </w:tr>
      <w:tr w:rsidR="00824558" w14:paraId="544ACCD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782FAFA" w14:textId="77777777" w:rsidR="00824558" w:rsidRDefault="00824558">
            <w:pPr>
              <w:ind w:left="170"/>
            </w:pPr>
            <w:r>
              <w:rPr>
                <w:i/>
              </w:rPr>
              <w:t>The 2025-26 expected outcome is higher than the 2025-26 target because there has been a rise in family violence service demand in the financial year.</w:t>
            </w:r>
          </w:p>
          <w:p w14:paraId="06E32D3A" w14:textId="77777777" w:rsidR="00824558" w:rsidRDefault="00824558">
            <w:pPr>
              <w:ind w:left="170"/>
            </w:pPr>
            <w:r>
              <w:rPr>
                <w:i/>
              </w:rPr>
              <w:t>The higher 2026-27 target is based on latest available case creation data.</w:t>
            </w:r>
          </w:p>
        </w:tc>
      </w:tr>
      <w:tr w:rsidR="00824558" w14:paraId="570DBA34"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4A0DB26" w14:textId="77777777" w:rsidR="00824558" w:rsidRDefault="00824558">
            <w:pPr>
              <w:keepNext/>
              <w:ind w:left="170"/>
            </w:pPr>
            <w:r>
              <w:t>Workers trained in the Multi-Agency Risk Management Framework, the Family Violence Information Sharing Scheme and the Child Information Sharing Scheme.</w:t>
            </w:r>
          </w:p>
        </w:tc>
        <w:tc>
          <w:tcPr>
            <w:tcW w:w="964" w:type="dxa"/>
          </w:tcPr>
          <w:p w14:paraId="3A041D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AEC38B3" w14:textId="77777777" w:rsidR="00824558" w:rsidRDefault="00824558">
            <w:pPr>
              <w:cnfStyle w:val="000000000000" w:firstRow="0" w:lastRow="0" w:firstColumn="0" w:lastColumn="0" w:oddVBand="0" w:evenVBand="0" w:oddHBand="0" w:evenHBand="0" w:firstRowFirstColumn="0" w:firstRowLastColumn="0" w:lastRowFirstColumn="0" w:lastRowLastColumn="0"/>
            </w:pPr>
            <w:r>
              <w:t>16 000</w:t>
            </w:r>
          </w:p>
        </w:tc>
        <w:tc>
          <w:tcPr>
            <w:tcW w:w="964" w:type="dxa"/>
          </w:tcPr>
          <w:p w14:paraId="63480145" w14:textId="77777777" w:rsidR="00824558" w:rsidRDefault="00824558">
            <w:pPr>
              <w:cnfStyle w:val="000000000000" w:firstRow="0" w:lastRow="0" w:firstColumn="0" w:lastColumn="0" w:oddVBand="0" w:evenVBand="0" w:oddHBand="0" w:evenHBand="0" w:firstRowFirstColumn="0" w:firstRowLastColumn="0" w:lastRowFirstColumn="0" w:lastRowLastColumn="0"/>
            </w:pPr>
            <w:r>
              <w:t>15 000</w:t>
            </w:r>
          </w:p>
        </w:tc>
        <w:tc>
          <w:tcPr>
            <w:tcW w:w="964" w:type="dxa"/>
          </w:tcPr>
          <w:p w14:paraId="5C659087" w14:textId="77777777" w:rsidR="00824558" w:rsidRDefault="00824558">
            <w:pPr>
              <w:cnfStyle w:val="000000000000" w:firstRow="0" w:lastRow="0" w:firstColumn="0" w:lastColumn="0" w:oddVBand="0" w:evenVBand="0" w:oddHBand="0" w:evenHBand="0" w:firstRowFirstColumn="0" w:firstRowLastColumn="0" w:lastRowFirstColumn="0" w:lastRowLastColumn="0"/>
            </w:pPr>
            <w:r>
              <w:t>15 000</w:t>
            </w:r>
          </w:p>
        </w:tc>
        <w:tc>
          <w:tcPr>
            <w:tcW w:w="964" w:type="dxa"/>
          </w:tcPr>
          <w:p w14:paraId="3F666A6D" w14:textId="77777777" w:rsidR="00824558" w:rsidRDefault="00824558">
            <w:pPr>
              <w:cnfStyle w:val="000000000000" w:firstRow="0" w:lastRow="0" w:firstColumn="0" w:lastColumn="0" w:oddVBand="0" w:evenVBand="0" w:oddHBand="0" w:evenHBand="0" w:firstRowFirstColumn="0" w:firstRowLastColumn="0" w:lastRowFirstColumn="0" w:lastRowLastColumn="0"/>
            </w:pPr>
            <w:r>
              <w:t>19 425</w:t>
            </w:r>
          </w:p>
        </w:tc>
      </w:tr>
      <w:tr w:rsidR="00824558" w14:paraId="4452F30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AD383A" w14:textId="77777777" w:rsidR="00824558" w:rsidRDefault="00824558">
            <w:pPr>
              <w:ind w:left="170"/>
            </w:pPr>
            <w:r>
              <w:rPr>
                <w:i/>
              </w:rPr>
              <w:t>The higher 2026-27 target is based on latest available data.</w:t>
            </w:r>
          </w:p>
        </w:tc>
      </w:tr>
      <w:tr w:rsidR="00824558" w:rsidRPr="007D3EA5" w14:paraId="2268A94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3D41DA83" w14:textId="77777777" w:rsidR="00824558" w:rsidRPr="007D3EA5" w:rsidRDefault="00824558">
            <w:pPr>
              <w:keepNext/>
              <w:rPr>
                <w:b/>
              </w:rPr>
            </w:pPr>
            <w:r w:rsidRPr="007D3EA5">
              <w:rPr>
                <w:b/>
              </w:rPr>
              <w:t>Quality</w:t>
            </w:r>
          </w:p>
        </w:tc>
      </w:tr>
      <w:tr w:rsidR="00824558" w14:paraId="31F982D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4340DBF" w14:textId="77777777" w:rsidR="00824558" w:rsidRDefault="00824558">
            <w:pPr>
              <w:keepNext/>
              <w:ind w:left="170"/>
            </w:pPr>
            <w:r>
              <w:t>Satisfaction of clients with Support and Safety Hubs services</w:t>
            </w:r>
          </w:p>
        </w:tc>
        <w:tc>
          <w:tcPr>
            <w:tcW w:w="964" w:type="dxa"/>
          </w:tcPr>
          <w:p w14:paraId="7C002E4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DFB539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DC2E249"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586FCBD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3EC7962"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14:paraId="3A9BA82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C1E1F18" w14:textId="77777777" w:rsidR="00824558" w:rsidRDefault="00824558">
            <w:pPr>
              <w:ind w:left="170"/>
            </w:pPr>
            <w:r>
              <w:rPr>
                <w:i/>
              </w:rPr>
              <w:t>The 2025-26 expected outcome is higher than the 2025-26 target due to higher than expected level of satisfaction among clients of The Orange Door that were surveyed through the Client Voice survey.</w:t>
            </w:r>
          </w:p>
        </w:tc>
      </w:tr>
      <w:tr w:rsidR="00824558" w14:paraId="677BD954"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8E77C6" w14:textId="77777777" w:rsidR="00824558" w:rsidRDefault="00824558">
            <w:pPr>
              <w:ind w:left="170"/>
            </w:pPr>
            <w:r>
              <w:t>Satisfaction of workers with the information sharing and family violence risk assessment and risk management training</w:t>
            </w:r>
          </w:p>
        </w:tc>
        <w:tc>
          <w:tcPr>
            <w:tcW w:w="964" w:type="dxa"/>
            <w:tcBorders>
              <w:bottom w:val="single" w:sz="6" w:space="0" w:color="auto"/>
            </w:tcBorders>
          </w:tcPr>
          <w:p w14:paraId="7495A2B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B906B1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E69860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146D21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4F6B49D" w14:textId="77777777" w:rsidR="00824558" w:rsidRDefault="00824558">
            <w:pPr>
              <w:cnfStyle w:val="000000000000" w:firstRow="0" w:lastRow="0" w:firstColumn="0" w:lastColumn="0" w:oddVBand="0" w:evenVBand="0" w:oddHBand="0" w:evenHBand="0" w:firstRowFirstColumn="0" w:firstRowLastColumn="0" w:lastRowFirstColumn="0" w:lastRowLastColumn="0"/>
            </w:pPr>
            <w:r>
              <w:t>98.9</w:t>
            </w:r>
          </w:p>
        </w:tc>
      </w:tr>
      <w:tr w:rsidR="00824558" w:rsidRPr="007D3EA5" w14:paraId="52926CE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154D53BE" w14:textId="77777777" w:rsidR="00824558" w:rsidRPr="007D3EA5" w:rsidRDefault="00824558">
            <w:pPr>
              <w:keepNext/>
              <w:rPr>
                <w:b/>
              </w:rPr>
            </w:pPr>
            <w:r w:rsidRPr="007D3EA5">
              <w:rPr>
                <w:b/>
              </w:rPr>
              <w:t>Timeliness</w:t>
            </w:r>
          </w:p>
        </w:tc>
      </w:tr>
      <w:tr w:rsidR="00824558" w14:paraId="4A04579E"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6689B54" w14:textId="77777777" w:rsidR="00824558" w:rsidRDefault="00824558">
            <w:pPr>
              <w:ind w:left="170"/>
            </w:pPr>
            <w:r>
              <w:t>Assessments undertaken within seven days</w:t>
            </w:r>
          </w:p>
        </w:tc>
        <w:tc>
          <w:tcPr>
            <w:tcW w:w="964" w:type="dxa"/>
            <w:tcBorders>
              <w:bottom w:val="single" w:sz="6" w:space="0" w:color="auto"/>
            </w:tcBorders>
          </w:tcPr>
          <w:p w14:paraId="061BD55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4D311D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0602C49" w14:textId="77777777" w:rsidR="00824558" w:rsidRDefault="00824558">
            <w:pPr>
              <w:cnfStyle w:val="000000000000" w:firstRow="0" w:lastRow="0" w:firstColumn="0" w:lastColumn="0" w:oddVBand="0" w:evenVBand="0" w:oddHBand="0" w:evenHBand="0" w:firstRowFirstColumn="0" w:firstRowLastColumn="0" w:lastRowFirstColumn="0" w:lastRowLastColumn="0"/>
            </w:pPr>
            <w:r>
              <w:t>78.4</w:t>
            </w:r>
          </w:p>
        </w:tc>
        <w:tc>
          <w:tcPr>
            <w:tcW w:w="964" w:type="dxa"/>
            <w:tcBorders>
              <w:bottom w:val="single" w:sz="6" w:space="0" w:color="auto"/>
            </w:tcBorders>
          </w:tcPr>
          <w:p w14:paraId="648FDBF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DF563D8" w14:textId="77777777" w:rsidR="00824558" w:rsidRDefault="00824558">
            <w:pPr>
              <w:cnfStyle w:val="000000000000" w:firstRow="0" w:lastRow="0" w:firstColumn="0" w:lastColumn="0" w:oddVBand="0" w:evenVBand="0" w:oddHBand="0" w:evenHBand="0" w:firstRowFirstColumn="0" w:firstRowLastColumn="0" w:lastRowFirstColumn="0" w:lastRowLastColumn="0"/>
            </w:pPr>
            <w:r>
              <w:t>77.4</w:t>
            </w:r>
          </w:p>
        </w:tc>
      </w:tr>
      <w:tr w:rsidR="00824558" w14:paraId="3F6798AC"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3A235DF" w14:textId="77777777" w:rsidR="00824558" w:rsidRDefault="00824558">
            <w:pPr>
              <w:ind w:left="170"/>
            </w:pPr>
            <w:r>
              <w:t>Sexual assault support services clients receiving an initial response within five working days of referral</w:t>
            </w:r>
          </w:p>
        </w:tc>
        <w:tc>
          <w:tcPr>
            <w:tcW w:w="964" w:type="dxa"/>
            <w:tcBorders>
              <w:top w:val="single" w:sz="6" w:space="0" w:color="auto"/>
              <w:bottom w:val="single" w:sz="6" w:space="0" w:color="auto"/>
            </w:tcBorders>
          </w:tcPr>
          <w:p w14:paraId="20F96DF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1BFBD720"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top w:val="single" w:sz="6" w:space="0" w:color="auto"/>
              <w:bottom w:val="single" w:sz="6" w:space="0" w:color="auto"/>
            </w:tcBorders>
          </w:tcPr>
          <w:p w14:paraId="2778A3EB" w14:textId="77777777" w:rsidR="00824558" w:rsidRDefault="00824558">
            <w:pPr>
              <w:cnfStyle w:val="000000000000" w:firstRow="0" w:lastRow="0" w:firstColumn="0" w:lastColumn="0" w:oddVBand="0" w:evenVBand="0" w:oddHBand="0" w:evenHBand="0" w:firstRowFirstColumn="0" w:firstRowLastColumn="0" w:lastRowFirstColumn="0" w:lastRowLastColumn="0"/>
            </w:pPr>
            <w:r>
              <w:t>96.1</w:t>
            </w:r>
          </w:p>
        </w:tc>
        <w:tc>
          <w:tcPr>
            <w:tcW w:w="964" w:type="dxa"/>
            <w:tcBorders>
              <w:top w:val="single" w:sz="6" w:space="0" w:color="auto"/>
              <w:bottom w:val="single" w:sz="6" w:space="0" w:color="auto"/>
            </w:tcBorders>
          </w:tcPr>
          <w:p w14:paraId="5A35382D"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top w:val="single" w:sz="6" w:space="0" w:color="auto"/>
              <w:bottom w:val="single" w:sz="6" w:space="0" w:color="auto"/>
            </w:tcBorders>
          </w:tcPr>
          <w:p w14:paraId="46B8ECF7"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FE75E9" w:rsidRPr="00DC0EBC" w14:paraId="49A5BD77"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7F8AA2F" w14:textId="77777777" w:rsidR="00FE75E9" w:rsidRPr="00DC0EBC" w:rsidRDefault="00FE75E9">
            <w:pPr>
              <w:keepNext/>
              <w:rPr>
                <w:b/>
              </w:rPr>
            </w:pPr>
            <w:r w:rsidRPr="00DC0EBC">
              <w:rPr>
                <w:b/>
              </w:rPr>
              <w:t>Cost</w:t>
            </w:r>
          </w:p>
        </w:tc>
      </w:tr>
      <w:tr w:rsidR="00FE75E9" w14:paraId="40BBF510" w14:textId="77777777" w:rsidTr="007552CD">
        <w:tc>
          <w:tcPr>
            <w:cnfStyle w:val="001000000000" w:firstRow="0" w:lastRow="0" w:firstColumn="1" w:lastColumn="0" w:oddVBand="0" w:evenVBand="0" w:oddHBand="0" w:evenHBand="0" w:firstRowFirstColumn="0" w:firstRowLastColumn="0" w:lastRowFirstColumn="0" w:lastRowLastColumn="0"/>
            <w:tcW w:w="4819" w:type="dxa"/>
          </w:tcPr>
          <w:p w14:paraId="766269C0" w14:textId="77777777" w:rsidR="00FE75E9" w:rsidRDefault="00FE75E9">
            <w:pPr>
              <w:keepNext/>
              <w:ind w:left="170"/>
            </w:pPr>
            <w:r>
              <w:t>Total output cost</w:t>
            </w:r>
          </w:p>
        </w:tc>
        <w:tc>
          <w:tcPr>
            <w:tcW w:w="964" w:type="dxa"/>
          </w:tcPr>
          <w:p w14:paraId="387FDDB1"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1C689B5B" w14:textId="30ECA25D" w:rsidR="00FE75E9" w:rsidRPr="004D0078" w:rsidRDefault="00460826">
            <w:pPr>
              <w:cnfStyle w:val="000000000000" w:firstRow="0" w:lastRow="0" w:firstColumn="0" w:lastColumn="0" w:oddVBand="0" w:evenVBand="0" w:oddHBand="0" w:evenHBand="0" w:firstRowFirstColumn="0" w:firstRowLastColumn="0" w:lastRowFirstColumn="0" w:lastRowLastColumn="0"/>
              <w:rPr>
                <w:highlight w:val="yellow"/>
              </w:rPr>
            </w:pPr>
            <w:r w:rsidRPr="00460826">
              <w:t>842.5</w:t>
            </w:r>
          </w:p>
        </w:tc>
        <w:tc>
          <w:tcPr>
            <w:tcW w:w="964" w:type="dxa"/>
          </w:tcPr>
          <w:p w14:paraId="741CB38B" w14:textId="2F6D9D2C" w:rsidR="00FE75E9" w:rsidRPr="004D0078" w:rsidRDefault="00AC3B8F">
            <w:pPr>
              <w:cnfStyle w:val="000000000000" w:firstRow="0" w:lastRow="0" w:firstColumn="0" w:lastColumn="0" w:oddVBand="0" w:evenVBand="0" w:oddHBand="0" w:evenHBand="0" w:firstRowFirstColumn="0" w:firstRowLastColumn="0" w:lastRowFirstColumn="0" w:lastRowLastColumn="0"/>
              <w:rPr>
                <w:highlight w:val="yellow"/>
              </w:rPr>
            </w:pPr>
            <w:r>
              <w:t>813.4</w:t>
            </w:r>
          </w:p>
        </w:tc>
        <w:tc>
          <w:tcPr>
            <w:tcW w:w="964" w:type="dxa"/>
          </w:tcPr>
          <w:p w14:paraId="0C20D243" w14:textId="01E6DD0B" w:rsidR="00FE75E9" w:rsidRPr="004D0078" w:rsidRDefault="001A603F">
            <w:pPr>
              <w:cnfStyle w:val="000000000000" w:firstRow="0" w:lastRow="0" w:firstColumn="0" w:lastColumn="0" w:oddVBand="0" w:evenVBand="0" w:oddHBand="0" w:evenHBand="0" w:firstRowFirstColumn="0" w:firstRowLastColumn="0" w:lastRowFirstColumn="0" w:lastRowLastColumn="0"/>
              <w:rPr>
                <w:highlight w:val="yellow"/>
              </w:rPr>
            </w:pPr>
            <w:r>
              <w:t>786.9</w:t>
            </w:r>
          </w:p>
        </w:tc>
        <w:tc>
          <w:tcPr>
            <w:tcW w:w="964" w:type="dxa"/>
          </w:tcPr>
          <w:p w14:paraId="622F0411" w14:textId="622F1098" w:rsidR="00FE75E9" w:rsidRPr="004D0078" w:rsidRDefault="007552CD">
            <w:pPr>
              <w:cnfStyle w:val="000000000000" w:firstRow="0" w:lastRow="0" w:firstColumn="0" w:lastColumn="0" w:oddVBand="0" w:evenVBand="0" w:oddHBand="0" w:evenHBand="0" w:firstRowFirstColumn="0" w:firstRowLastColumn="0" w:lastRowFirstColumn="0" w:lastRowLastColumn="0"/>
              <w:rPr>
                <w:highlight w:val="yellow"/>
              </w:rPr>
            </w:pPr>
            <w:r>
              <w:t>787.0</w:t>
            </w:r>
          </w:p>
        </w:tc>
      </w:tr>
      <w:tr w:rsidR="007552CD" w14:paraId="310B163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CAB41E0" w14:textId="73512C17" w:rsidR="007552CD" w:rsidRPr="00257FB7" w:rsidRDefault="00257FB7" w:rsidP="00257FB7">
            <w:pPr>
              <w:ind w:left="170"/>
              <w:rPr>
                <w:i/>
              </w:rPr>
            </w:pPr>
            <w:r w:rsidRPr="00257FB7">
              <w:rPr>
                <w:i/>
              </w:rPr>
              <w:t>The higher 2026-27 target primarily reflects additional funding for government initiatives, as well as funding for revised delivery timelines with the Commonwealth under the Family, Domestic and Sexual Violence Responses 2025-30 Agreement.</w:t>
            </w:r>
          </w:p>
        </w:tc>
      </w:tr>
    </w:tbl>
    <w:p w14:paraId="0458C944" w14:textId="77777777" w:rsidR="00824558" w:rsidRDefault="00824558">
      <w:pPr>
        <w:pStyle w:val="Source"/>
      </w:pPr>
      <w:r>
        <w:t>Source: Department of Families, Fairness and Housing</w:t>
      </w:r>
    </w:p>
    <w:p w14:paraId="6E685476" w14:textId="6730F3FC" w:rsidR="00824558" w:rsidRDefault="00824558">
      <w:pPr>
        <w:pStyle w:val="Heading3"/>
      </w:pPr>
      <w:r>
        <w:t>Primary Prevention of Family Violence</w:t>
      </w:r>
      <w:r>
        <w:tab/>
        <w:t>(2026-27: $</w:t>
      </w:r>
      <w:r w:rsidR="001E0D19">
        <w:t>25.4</w:t>
      </w:r>
      <w:r>
        <w:t xml:space="preserve"> million)</w:t>
      </w:r>
    </w:p>
    <w:p w14:paraId="337D364B" w14:textId="77777777" w:rsidR="00824558" w:rsidRDefault="00824558">
      <w:pPr>
        <w:spacing w:after="120"/>
      </w:pPr>
      <w:r w:rsidRPr="009D20A7">
        <w:t>This output provides initiatives that support primary prevention of family violence and all forms of violence against women.</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635F042"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598A5CC" w14:textId="77777777" w:rsidR="00824558" w:rsidRDefault="00824558">
            <w:r>
              <w:t>Performance measure</w:t>
            </w:r>
          </w:p>
        </w:tc>
        <w:tc>
          <w:tcPr>
            <w:tcW w:w="964" w:type="dxa"/>
          </w:tcPr>
          <w:p w14:paraId="2C1D790C"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1B9977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7F40BA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870606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A2E887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4348B0A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4E4EE233" w14:textId="77777777" w:rsidR="00824558" w:rsidRPr="007D3EA5" w:rsidRDefault="00824558">
            <w:pPr>
              <w:keepNext/>
              <w:rPr>
                <w:b/>
              </w:rPr>
            </w:pPr>
            <w:r w:rsidRPr="007D3EA5">
              <w:rPr>
                <w:b/>
              </w:rPr>
              <w:t>Quantity</w:t>
            </w:r>
          </w:p>
        </w:tc>
      </w:tr>
      <w:tr w:rsidR="00824558" w14:paraId="02C08A35"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6AD75EB" w14:textId="77777777" w:rsidR="00824558" w:rsidRDefault="00824558">
            <w:pPr>
              <w:keepNext/>
              <w:ind w:left="170"/>
            </w:pPr>
            <w:r>
              <w:t>Number of people participating in funded primary prevention programs</w:t>
            </w:r>
          </w:p>
        </w:tc>
        <w:tc>
          <w:tcPr>
            <w:tcW w:w="964" w:type="dxa"/>
          </w:tcPr>
          <w:p w14:paraId="579199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7B12723" w14:textId="77777777" w:rsidR="00824558" w:rsidRDefault="00824558">
            <w:pPr>
              <w:cnfStyle w:val="000000000000" w:firstRow="0" w:lastRow="0" w:firstColumn="0" w:lastColumn="0" w:oddVBand="0" w:evenVBand="0" w:oddHBand="0" w:evenHBand="0" w:firstRowFirstColumn="0" w:firstRowLastColumn="0" w:lastRowFirstColumn="0" w:lastRowLastColumn="0"/>
            </w:pPr>
            <w:r>
              <w:t>32 621</w:t>
            </w:r>
          </w:p>
        </w:tc>
        <w:tc>
          <w:tcPr>
            <w:tcW w:w="964" w:type="dxa"/>
          </w:tcPr>
          <w:p w14:paraId="323718FF" w14:textId="77777777" w:rsidR="00824558" w:rsidRDefault="00824558">
            <w:pPr>
              <w:cnfStyle w:val="000000000000" w:firstRow="0" w:lastRow="0" w:firstColumn="0" w:lastColumn="0" w:oddVBand="0" w:evenVBand="0" w:oddHBand="0" w:evenHBand="0" w:firstRowFirstColumn="0" w:firstRowLastColumn="0" w:lastRowFirstColumn="0" w:lastRowLastColumn="0"/>
            </w:pPr>
            <w:r>
              <w:t>41 861</w:t>
            </w:r>
          </w:p>
        </w:tc>
        <w:tc>
          <w:tcPr>
            <w:tcW w:w="964" w:type="dxa"/>
          </w:tcPr>
          <w:p w14:paraId="06C6B9B8" w14:textId="77777777" w:rsidR="00824558" w:rsidRDefault="00824558">
            <w:pPr>
              <w:cnfStyle w:val="000000000000" w:firstRow="0" w:lastRow="0" w:firstColumn="0" w:lastColumn="0" w:oddVBand="0" w:evenVBand="0" w:oddHBand="0" w:evenHBand="0" w:firstRowFirstColumn="0" w:firstRowLastColumn="0" w:lastRowFirstColumn="0" w:lastRowLastColumn="0"/>
            </w:pPr>
            <w:r>
              <w:t>43 000</w:t>
            </w:r>
          </w:p>
        </w:tc>
        <w:tc>
          <w:tcPr>
            <w:tcW w:w="964" w:type="dxa"/>
          </w:tcPr>
          <w:p w14:paraId="10CF7B79" w14:textId="77777777" w:rsidR="00824558" w:rsidRDefault="00824558">
            <w:pPr>
              <w:cnfStyle w:val="000000000000" w:firstRow="0" w:lastRow="0" w:firstColumn="0" w:lastColumn="0" w:oddVBand="0" w:evenVBand="0" w:oddHBand="0" w:evenHBand="0" w:firstRowFirstColumn="0" w:firstRowLastColumn="0" w:lastRowFirstColumn="0" w:lastRowLastColumn="0"/>
            </w:pPr>
            <w:r>
              <w:t>59 336</w:t>
            </w:r>
          </w:p>
        </w:tc>
      </w:tr>
      <w:tr w:rsidR="00824558" w14:paraId="45C1549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82BE0A" w14:textId="5CA000C0" w:rsidR="00824558" w:rsidRDefault="00824558">
            <w:pPr>
              <w:ind w:left="170"/>
            </w:pPr>
            <w:r>
              <w:rPr>
                <w:i/>
              </w:rPr>
              <w:t xml:space="preserve">The lower 2026-27 target reflects </w:t>
            </w:r>
            <w:r w:rsidR="004B37FE">
              <w:rPr>
                <w:i/>
              </w:rPr>
              <w:t>the</w:t>
            </w:r>
            <w:r>
              <w:rPr>
                <w:i/>
              </w:rPr>
              <w:t xml:space="preserve"> completion of time-limited programs. </w:t>
            </w:r>
          </w:p>
        </w:tc>
      </w:tr>
      <w:tr w:rsidR="00824558" w:rsidRPr="007D3EA5" w14:paraId="03FC5608"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4D7C063" w14:textId="77777777" w:rsidR="00824558" w:rsidRPr="007D3EA5" w:rsidRDefault="00824558">
            <w:pPr>
              <w:keepNext/>
              <w:rPr>
                <w:b/>
              </w:rPr>
            </w:pPr>
            <w:r w:rsidRPr="007D3EA5">
              <w:rPr>
                <w:b/>
              </w:rPr>
              <w:t>Quality</w:t>
            </w:r>
          </w:p>
        </w:tc>
      </w:tr>
      <w:tr w:rsidR="00824558" w14:paraId="140C3462"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27D3000" w14:textId="77777777" w:rsidR="00824558" w:rsidRDefault="00824558">
            <w:pPr>
              <w:keepNext/>
              <w:ind w:left="170"/>
            </w:pPr>
            <w:r>
              <w:t>Prevention of family violence funding recipients who met or exceeded contractually agreed outcomes</w:t>
            </w:r>
          </w:p>
        </w:tc>
        <w:tc>
          <w:tcPr>
            <w:tcW w:w="964" w:type="dxa"/>
          </w:tcPr>
          <w:p w14:paraId="17A7213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1B294E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B0627F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6374F3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2E631AB"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0F2F4D2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3423D1D" w14:textId="78628255" w:rsidR="00824558" w:rsidRDefault="00824558">
            <w:pPr>
              <w:ind w:left="170"/>
            </w:pPr>
            <w:r>
              <w:rPr>
                <w:i/>
              </w:rPr>
              <w:t>The 2025-26 expected outcome is higher than the 2025-26 target due to all providers meeting contractually agreed outcomes. The</w:t>
            </w:r>
            <w:r w:rsidR="009821AD">
              <w:rPr>
                <w:i/>
              </w:rPr>
              <w:t> </w:t>
            </w:r>
            <w:r>
              <w:rPr>
                <w:i/>
              </w:rPr>
              <w:t xml:space="preserve">higher 2026-27 target reflects historical rates of adherence of funding recipients to contractually agreed outcomes and the expectation that these will continue to be met. This performance measure renames the 2025-26 performance measure </w:t>
            </w:r>
            <w:r w:rsidR="007942D1">
              <w:rPr>
                <w:i/>
              </w:rPr>
              <w:t>‘</w:t>
            </w:r>
            <w:r>
              <w:rPr>
                <w:i/>
              </w:rPr>
              <w:t>Prevention of family violence grant recipients who met or exceeded contractually agreed outcomes</w:t>
            </w:r>
            <w:r w:rsidR="007942D1">
              <w:rPr>
                <w:i/>
              </w:rPr>
              <w:t>’</w:t>
            </w:r>
            <w:r>
              <w:rPr>
                <w:i/>
              </w:rPr>
              <w:t>. The renamed measure reports on the same activity as the previous measure however has been amended for increased clarity and to take into account other funding mechanisms used to administer program funding, other than grants.</w:t>
            </w:r>
          </w:p>
        </w:tc>
      </w:tr>
      <w:tr w:rsidR="00824558" w:rsidRPr="007D3EA5" w14:paraId="6CD6940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4AF1C1F" w14:textId="77777777" w:rsidR="00824558" w:rsidRPr="007D3EA5" w:rsidRDefault="00824558">
            <w:pPr>
              <w:keepNext/>
              <w:rPr>
                <w:b/>
              </w:rPr>
            </w:pPr>
            <w:r w:rsidRPr="007D3EA5">
              <w:rPr>
                <w:b/>
              </w:rPr>
              <w:t>Timeliness</w:t>
            </w:r>
          </w:p>
        </w:tc>
      </w:tr>
      <w:tr w:rsidR="00824558" w14:paraId="6277612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EF97DF2" w14:textId="77777777" w:rsidR="00824558" w:rsidRDefault="00824558">
            <w:pPr>
              <w:keepNext/>
              <w:ind w:left="170"/>
            </w:pPr>
            <w:r>
              <w:t>Prevention of family violence projects and programs delivered on time</w:t>
            </w:r>
          </w:p>
        </w:tc>
        <w:tc>
          <w:tcPr>
            <w:tcW w:w="964" w:type="dxa"/>
          </w:tcPr>
          <w:p w14:paraId="4461B01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2AE2478" w14:textId="3B05FBA4"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DBA0AE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0541FF5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FED6CE5" w14:textId="77777777" w:rsidR="00824558" w:rsidRDefault="00824558">
            <w:pPr>
              <w:cnfStyle w:val="000000000000" w:firstRow="0" w:lastRow="0" w:firstColumn="0" w:lastColumn="0" w:oddVBand="0" w:evenVBand="0" w:oddHBand="0" w:evenHBand="0" w:firstRowFirstColumn="0" w:firstRowLastColumn="0" w:lastRowFirstColumn="0" w:lastRowLastColumn="0"/>
            </w:pPr>
            <w:r>
              <w:t>95.8</w:t>
            </w:r>
          </w:p>
        </w:tc>
      </w:tr>
      <w:tr w:rsidR="00824558" w14:paraId="55580EF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2916AF" w14:textId="400BDAE1" w:rsidR="00824558" w:rsidRDefault="00824558" w:rsidP="00C95254">
            <w:pPr>
              <w:ind w:left="170"/>
            </w:pPr>
            <w:r>
              <w:rPr>
                <w:i/>
              </w:rPr>
              <w:t>The 2025-26 expected outcome reflects the revision of project timelines for a small number of projects.</w:t>
            </w:r>
          </w:p>
        </w:tc>
      </w:tr>
      <w:tr w:rsidR="00FE75E9" w:rsidRPr="00DC0EBC" w14:paraId="5706ED6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83AE8F0" w14:textId="77777777" w:rsidR="00FE75E9" w:rsidRPr="00DC0EBC" w:rsidRDefault="00FE75E9">
            <w:pPr>
              <w:keepNext/>
              <w:rPr>
                <w:b/>
              </w:rPr>
            </w:pPr>
            <w:r w:rsidRPr="00DC0EBC">
              <w:rPr>
                <w:b/>
              </w:rPr>
              <w:t>Cost</w:t>
            </w:r>
          </w:p>
        </w:tc>
      </w:tr>
      <w:tr w:rsidR="00FE75E9" w14:paraId="5BC25DFA" w14:textId="77777777" w:rsidTr="00AE35EA">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3FCEFE7C" w14:textId="77777777" w:rsidR="00FE75E9" w:rsidRDefault="00FE75E9">
            <w:pPr>
              <w:keepNext/>
              <w:ind w:left="170"/>
            </w:pPr>
            <w:r>
              <w:t>Total output cost</w:t>
            </w:r>
          </w:p>
        </w:tc>
        <w:tc>
          <w:tcPr>
            <w:tcW w:w="964" w:type="dxa"/>
            <w:tcBorders>
              <w:bottom w:val="single" w:sz="12" w:space="0" w:color="auto"/>
            </w:tcBorders>
          </w:tcPr>
          <w:p w14:paraId="0305A202"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2F2F2" w:themeFill="background1" w:themeFillShade="F2"/>
          </w:tcPr>
          <w:p w14:paraId="0A24DABB" w14:textId="5A33AFCA" w:rsidR="00FE75E9" w:rsidRPr="004D0078" w:rsidRDefault="00AE35EA">
            <w:pPr>
              <w:cnfStyle w:val="000000000000" w:firstRow="0" w:lastRow="0" w:firstColumn="0" w:lastColumn="0" w:oddVBand="0" w:evenVBand="0" w:oddHBand="0" w:evenHBand="0" w:firstRowFirstColumn="0" w:firstRowLastColumn="0" w:lastRowFirstColumn="0" w:lastRowLastColumn="0"/>
              <w:rPr>
                <w:highlight w:val="yellow"/>
              </w:rPr>
            </w:pPr>
            <w:r>
              <w:t>25.4</w:t>
            </w:r>
          </w:p>
        </w:tc>
        <w:tc>
          <w:tcPr>
            <w:tcW w:w="964" w:type="dxa"/>
            <w:tcBorders>
              <w:bottom w:val="single" w:sz="12" w:space="0" w:color="auto"/>
            </w:tcBorders>
          </w:tcPr>
          <w:p w14:paraId="42E7EDA9" w14:textId="4693FDF8" w:rsidR="00FE75E9" w:rsidRPr="004D0078" w:rsidRDefault="00766240">
            <w:pPr>
              <w:cnfStyle w:val="000000000000" w:firstRow="0" w:lastRow="0" w:firstColumn="0" w:lastColumn="0" w:oddVBand="0" w:evenVBand="0" w:oddHBand="0" w:evenHBand="0" w:firstRowFirstColumn="0" w:firstRowLastColumn="0" w:lastRowFirstColumn="0" w:lastRowLastColumn="0"/>
              <w:rPr>
                <w:highlight w:val="yellow"/>
              </w:rPr>
            </w:pPr>
            <w:r>
              <w:t>26.3</w:t>
            </w:r>
          </w:p>
        </w:tc>
        <w:tc>
          <w:tcPr>
            <w:tcW w:w="964" w:type="dxa"/>
            <w:tcBorders>
              <w:bottom w:val="single" w:sz="12" w:space="0" w:color="auto"/>
            </w:tcBorders>
          </w:tcPr>
          <w:p w14:paraId="56953FEE" w14:textId="75831C22" w:rsidR="00FE75E9" w:rsidRPr="004D0078" w:rsidRDefault="00C1349E">
            <w:pPr>
              <w:cnfStyle w:val="000000000000" w:firstRow="0" w:lastRow="0" w:firstColumn="0" w:lastColumn="0" w:oddVBand="0" w:evenVBand="0" w:oddHBand="0" w:evenHBand="0" w:firstRowFirstColumn="0" w:firstRowLastColumn="0" w:lastRowFirstColumn="0" w:lastRowLastColumn="0"/>
              <w:rPr>
                <w:highlight w:val="yellow"/>
              </w:rPr>
            </w:pPr>
            <w:r>
              <w:t>25.3</w:t>
            </w:r>
          </w:p>
        </w:tc>
        <w:tc>
          <w:tcPr>
            <w:tcW w:w="964" w:type="dxa"/>
            <w:tcBorders>
              <w:bottom w:val="single" w:sz="12" w:space="0" w:color="auto"/>
            </w:tcBorders>
          </w:tcPr>
          <w:p w14:paraId="36C26C52" w14:textId="12BE1370" w:rsidR="00FE75E9" w:rsidRPr="004D0078" w:rsidRDefault="002B3B31">
            <w:pPr>
              <w:cnfStyle w:val="000000000000" w:firstRow="0" w:lastRow="0" w:firstColumn="0" w:lastColumn="0" w:oddVBand="0" w:evenVBand="0" w:oddHBand="0" w:evenHBand="0" w:firstRowFirstColumn="0" w:firstRowLastColumn="0" w:lastRowFirstColumn="0" w:lastRowLastColumn="0"/>
              <w:rPr>
                <w:highlight w:val="yellow"/>
              </w:rPr>
            </w:pPr>
            <w:r>
              <w:t>27.5</w:t>
            </w:r>
          </w:p>
        </w:tc>
      </w:tr>
    </w:tbl>
    <w:p w14:paraId="2E420573" w14:textId="77777777" w:rsidR="00824558" w:rsidRDefault="00824558">
      <w:pPr>
        <w:pStyle w:val="Source"/>
      </w:pPr>
      <w:r>
        <w:t>Source: Department of Families, Fairness and Housing</w:t>
      </w:r>
    </w:p>
    <w:p w14:paraId="35D7D4B6" w14:textId="77777777" w:rsidR="00824558" w:rsidRDefault="00824558"/>
    <w:p w14:paraId="022DDF5D" w14:textId="77777777" w:rsidR="00A223F2" w:rsidRDefault="00A223F2">
      <w:pPr>
        <w:keepLines w:val="0"/>
        <w:rPr>
          <w:rFonts w:asciiTheme="majorHAnsi" w:hAnsiTheme="majorHAnsi" w:cstheme="minorBidi"/>
          <w:b/>
          <w:sz w:val="20"/>
        </w:rPr>
      </w:pPr>
      <w:r>
        <w:br w:type="page"/>
      </w:r>
    </w:p>
    <w:p w14:paraId="33C06910" w14:textId="77777777" w:rsidR="00824558" w:rsidRDefault="00824558">
      <w:pPr>
        <w:pStyle w:val="ShadedBoxHeading"/>
      </w:pPr>
      <w:r>
        <w:lastRenderedPageBreak/>
        <w:t>Objective 2: Safe, fair, inclusive and resilient Victorian Communities</w:t>
      </w:r>
    </w:p>
    <w:p w14:paraId="778B4C39" w14:textId="77777777" w:rsidR="00824558" w:rsidRDefault="00824558">
      <w:pPr>
        <w:pStyle w:val="ShadedBoxText"/>
      </w:pPr>
      <w:r>
        <w:t>This objective aims to ensure Victorians are socially connected to their community in a way that enhances their safety and wellbeing. Strong communities are critical in fostering social inclusion and participation, and ensuring that Victorians from intersectional communities can safely identify with their culture, express their identity and build support networks with people they trust.</w:t>
      </w:r>
    </w:p>
    <w:p w14:paraId="35F81680" w14:textId="77777777" w:rsidR="00824558" w:rsidRDefault="00824558">
      <w:pPr>
        <w:pStyle w:val="ShadedBoxText"/>
      </w:pPr>
      <w:r>
        <w:t>To succeed we will:</w:t>
      </w:r>
    </w:p>
    <w:p w14:paraId="098406A4" w14:textId="77777777" w:rsidR="00824558" w:rsidRDefault="00824558">
      <w:pPr>
        <w:pStyle w:val="ShadedBoxBullet"/>
      </w:pPr>
      <w:r>
        <w:t>increase economic inclusion and participation</w:t>
      </w:r>
    </w:p>
    <w:p w14:paraId="28FF88C3" w14:textId="77777777" w:rsidR="00824558" w:rsidRDefault="00824558">
      <w:pPr>
        <w:pStyle w:val="ShadedBoxBullet"/>
      </w:pPr>
      <w:r>
        <w:t>increase community participation, inclusion and connectedness</w:t>
      </w:r>
    </w:p>
    <w:p w14:paraId="6E2E69BE" w14:textId="77777777" w:rsidR="00824558" w:rsidRDefault="00824558">
      <w:pPr>
        <w:pStyle w:val="ShadedBoxBullet"/>
      </w:pPr>
      <w:r>
        <w:t>decrease experiences of discrimination</w:t>
      </w:r>
    </w:p>
    <w:p w14:paraId="059B941D" w14:textId="77777777" w:rsidR="00824558" w:rsidRDefault="00824558">
      <w:pPr>
        <w:pStyle w:val="ShadedBoxBullet"/>
      </w:pPr>
      <w:r>
        <w:t>increase safety where people live, work, learn and play</w:t>
      </w:r>
    </w:p>
    <w:p w14:paraId="3C8DDA34" w14:textId="77777777" w:rsidR="00824558" w:rsidRDefault="00824558">
      <w:pPr>
        <w:pStyle w:val="ShadedBoxBullet"/>
      </w:pPr>
      <w:r>
        <w:t>increase wellbeing for Aboriginal Victorians, including safety to connect with and express culture</w:t>
      </w:r>
    </w:p>
    <w:p w14:paraId="28F8C32D" w14:textId="77777777" w:rsidR="00824558" w:rsidRDefault="00824558">
      <w:pPr>
        <w:pStyle w:val="ShadedBoxBullet"/>
      </w:pPr>
      <w:r>
        <w:t>increase capacity for senior Victorians to age well</w:t>
      </w:r>
    </w:p>
    <w:p w14:paraId="6A64575B" w14:textId="77777777" w:rsidR="00824558" w:rsidRDefault="00824558">
      <w:pPr>
        <w:pStyle w:val="ShadedBoxBullet"/>
      </w:pPr>
      <w:r>
        <w:t>improve supports for people with complex needs</w:t>
      </w:r>
    </w:p>
    <w:p w14:paraId="26783F3D" w14:textId="77777777" w:rsidR="00824558" w:rsidRDefault="00824558">
      <w:pPr>
        <w:pStyle w:val="ShadedBoxBullet"/>
      </w:pPr>
      <w:r>
        <w:t>increase community resilience</w:t>
      </w:r>
    </w:p>
    <w:p w14:paraId="6E1EC054" w14:textId="77777777" w:rsidR="00824558" w:rsidRDefault="00824558">
      <w:pPr>
        <w:pStyle w:val="ShadedBoxBullet"/>
      </w:pPr>
      <w:r>
        <w:t>improve social recovery following emergencies</w:t>
      </w:r>
    </w:p>
    <w:p w14:paraId="2CC5470F" w14:textId="77777777" w:rsidR="00824558" w:rsidRDefault="00824558">
      <w:pPr>
        <w:pStyle w:val="ShadedBoxBullet"/>
      </w:pPr>
      <w:r>
        <w:t>reduce sexual violence.</w:t>
      </w:r>
    </w:p>
    <w:p w14:paraId="2743DDB2" w14:textId="77777777" w:rsidR="00824558" w:rsidRPr="00B9006D" w:rsidRDefault="00824558">
      <w:pPr>
        <w:pStyle w:val="Heading2"/>
      </w:pPr>
      <w:r>
        <w:t>Outputs</w:t>
      </w:r>
    </w:p>
    <w:p w14:paraId="719CC7EF" w14:textId="0837ECB2" w:rsidR="00824558" w:rsidRDefault="00824558">
      <w:pPr>
        <w:pStyle w:val="Heading3"/>
      </w:pPr>
      <w:r>
        <w:t>Community Participation</w:t>
      </w:r>
      <w:r>
        <w:tab/>
        <w:t>(2026-27: $</w:t>
      </w:r>
      <w:r w:rsidR="0024012B">
        <w:t>79.2</w:t>
      </w:r>
      <w:r>
        <w:t xml:space="preserve"> million)</w:t>
      </w:r>
    </w:p>
    <w:p w14:paraId="26AF0699" w14:textId="7F93975C" w:rsidR="00824558" w:rsidRDefault="00824558">
      <w:pPr>
        <w:spacing w:after="120"/>
      </w:pPr>
      <w:r w:rsidRPr="006508DE">
        <w:t>Community participation programs include the Neighbourhood House Coordination Program, Men</w:t>
      </w:r>
      <w:r w:rsidR="007942D1">
        <w:t>’</w:t>
      </w:r>
      <w:r w:rsidRPr="006508DE">
        <w:t>s Shed Funding Program, Food Relief, Community Support and Community Finance initiatives. These programs support the social and economic participation and inclusion of Victorian communities</w:t>
      </w:r>
      <w:r>
        <w: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20812FF"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39CEF47" w14:textId="77777777" w:rsidR="00824558" w:rsidRDefault="00824558">
            <w:r>
              <w:t>Performance measure</w:t>
            </w:r>
          </w:p>
        </w:tc>
        <w:tc>
          <w:tcPr>
            <w:tcW w:w="964" w:type="dxa"/>
          </w:tcPr>
          <w:p w14:paraId="56944C8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2480FA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18CB61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E32239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48D0BB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5EEAF220"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1ACDA977" w14:textId="77777777" w:rsidR="00824558" w:rsidRPr="007D3EA5" w:rsidRDefault="00824558">
            <w:pPr>
              <w:keepNext/>
              <w:rPr>
                <w:b/>
              </w:rPr>
            </w:pPr>
            <w:r w:rsidRPr="007D3EA5">
              <w:rPr>
                <w:b/>
              </w:rPr>
              <w:t>Quantity</w:t>
            </w:r>
          </w:p>
        </w:tc>
      </w:tr>
      <w:tr w:rsidR="00824558" w14:paraId="46AD62B7"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657A2CB" w14:textId="77777777" w:rsidR="00824558" w:rsidRDefault="00824558">
            <w:pPr>
              <w:ind w:left="170"/>
            </w:pPr>
            <w:r>
              <w:t>Average weekly visits to government-funded neighbourhood houses</w:t>
            </w:r>
          </w:p>
        </w:tc>
        <w:tc>
          <w:tcPr>
            <w:tcW w:w="964" w:type="dxa"/>
            <w:tcBorders>
              <w:bottom w:val="single" w:sz="6" w:space="0" w:color="auto"/>
            </w:tcBorders>
          </w:tcPr>
          <w:p w14:paraId="1B0D38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53EC419" w14:textId="77777777" w:rsidR="00824558" w:rsidRDefault="00824558">
            <w:pPr>
              <w:cnfStyle w:val="000000000000" w:firstRow="0" w:lastRow="0" w:firstColumn="0" w:lastColumn="0" w:oddVBand="0" w:evenVBand="0" w:oddHBand="0" w:evenHBand="0" w:firstRowFirstColumn="0" w:firstRowLastColumn="0" w:lastRowFirstColumn="0" w:lastRowLastColumn="0"/>
            </w:pPr>
            <w:r>
              <w:t>173 600</w:t>
            </w:r>
          </w:p>
        </w:tc>
        <w:tc>
          <w:tcPr>
            <w:tcW w:w="964" w:type="dxa"/>
            <w:tcBorders>
              <w:bottom w:val="single" w:sz="6" w:space="0" w:color="auto"/>
            </w:tcBorders>
          </w:tcPr>
          <w:p w14:paraId="33F5D53D" w14:textId="77777777" w:rsidR="00824558" w:rsidRDefault="00824558">
            <w:pPr>
              <w:cnfStyle w:val="000000000000" w:firstRow="0" w:lastRow="0" w:firstColumn="0" w:lastColumn="0" w:oddVBand="0" w:evenVBand="0" w:oddHBand="0" w:evenHBand="0" w:firstRowFirstColumn="0" w:firstRowLastColumn="0" w:lastRowFirstColumn="0" w:lastRowLastColumn="0"/>
            </w:pPr>
            <w:r>
              <w:t>180 000</w:t>
            </w:r>
          </w:p>
        </w:tc>
        <w:tc>
          <w:tcPr>
            <w:tcW w:w="964" w:type="dxa"/>
            <w:tcBorders>
              <w:bottom w:val="single" w:sz="6" w:space="0" w:color="auto"/>
            </w:tcBorders>
          </w:tcPr>
          <w:p w14:paraId="79025D0C" w14:textId="77777777" w:rsidR="00824558" w:rsidRDefault="00824558">
            <w:pPr>
              <w:cnfStyle w:val="000000000000" w:firstRow="0" w:lastRow="0" w:firstColumn="0" w:lastColumn="0" w:oddVBand="0" w:evenVBand="0" w:oddHBand="0" w:evenHBand="0" w:firstRowFirstColumn="0" w:firstRowLastColumn="0" w:lastRowFirstColumn="0" w:lastRowLastColumn="0"/>
            </w:pPr>
            <w:r>
              <w:t>173 600</w:t>
            </w:r>
          </w:p>
        </w:tc>
        <w:tc>
          <w:tcPr>
            <w:tcW w:w="964" w:type="dxa"/>
            <w:tcBorders>
              <w:bottom w:val="single" w:sz="6" w:space="0" w:color="auto"/>
            </w:tcBorders>
          </w:tcPr>
          <w:p w14:paraId="6AB89808"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5D5BF350"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B0F155" w14:textId="77777777" w:rsidR="00824558" w:rsidRDefault="00824558">
            <w:pPr>
              <w:ind w:left="170"/>
            </w:pPr>
            <w:r>
              <w:t>Hours of coordination funding provided to neighbourhood houses</w:t>
            </w:r>
          </w:p>
        </w:tc>
        <w:tc>
          <w:tcPr>
            <w:tcW w:w="964" w:type="dxa"/>
            <w:tcBorders>
              <w:bottom w:val="single" w:sz="6" w:space="0" w:color="auto"/>
            </w:tcBorders>
          </w:tcPr>
          <w:p w14:paraId="1326FE1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9EF1C70" w14:textId="77777777" w:rsidR="00824558" w:rsidRDefault="00824558">
            <w:pPr>
              <w:cnfStyle w:val="000000000000" w:firstRow="0" w:lastRow="0" w:firstColumn="0" w:lastColumn="0" w:oddVBand="0" w:evenVBand="0" w:oddHBand="0" w:evenHBand="0" w:firstRowFirstColumn="0" w:firstRowLastColumn="0" w:lastRowFirstColumn="0" w:lastRowLastColumn="0"/>
            </w:pPr>
            <w:r>
              <w:t>561 896</w:t>
            </w:r>
          </w:p>
        </w:tc>
        <w:tc>
          <w:tcPr>
            <w:tcW w:w="964" w:type="dxa"/>
            <w:tcBorders>
              <w:bottom w:val="single" w:sz="6" w:space="0" w:color="auto"/>
            </w:tcBorders>
          </w:tcPr>
          <w:p w14:paraId="4522CB3B" w14:textId="77777777" w:rsidR="00824558" w:rsidRDefault="00824558">
            <w:pPr>
              <w:cnfStyle w:val="000000000000" w:firstRow="0" w:lastRow="0" w:firstColumn="0" w:lastColumn="0" w:oddVBand="0" w:evenVBand="0" w:oddHBand="0" w:evenHBand="0" w:firstRowFirstColumn="0" w:firstRowLastColumn="0" w:lastRowFirstColumn="0" w:lastRowLastColumn="0"/>
            </w:pPr>
            <w:r>
              <w:t>561 896</w:t>
            </w:r>
          </w:p>
        </w:tc>
        <w:tc>
          <w:tcPr>
            <w:tcW w:w="964" w:type="dxa"/>
            <w:tcBorders>
              <w:bottom w:val="single" w:sz="6" w:space="0" w:color="auto"/>
            </w:tcBorders>
          </w:tcPr>
          <w:p w14:paraId="62DB6867" w14:textId="77777777" w:rsidR="00824558" w:rsidRDefault="00824558">
            <w:pPr>
              <w:cnfStyle w:val="000000000000" w:firstRow="0" w:lastRow="0" w:firstColumn="0" w:lastColumn="0" w:oddVBand="0" w:evenVBand="0" w:oddHBand="0" w:evenHBand="0" w:firstRowFirstColumn="0" w:firstRowLastColumn="0" w:lastRowFirstColumn="0" w:lastRowLastColumn="0"/>
            </w:pPr>
            <w:r>
              <w:t>561 896</w:t>
            </w:r>
          </w:p>
        </w:tc>
        <w:tc>
          <w:tcPr>
            <w:tcW w:w="964" w:type="dxa"/>
            <w:tcBorders>
              <w:bottom w:val="single" w:sz="6" w:space="0" w:color="auto"/>
            </w:tcBorders>
          </w:tcPr>
          <w:p w14:paraId="16412CAF" w14:textId="77777777" w:rsidR="00824558" w:rsidRDefault="00824558">
            <w:pPr>
              <w:cnfStyle w:val="000000000000" w:firstRow="0" w:lastRow="0" w:firstColumn="0" w:lastColumn="0" w:oddVBand="0" w:evenVBand="0" w:oddHBand="0" w:evenHBand="0" w:firstRowFirstColumn="0" w:firstRowLastColumn="0" w:lastRowFirstColumn="0" w:lastRowLastColumn="0"/>
            </w:pPr>
            <w:r>
              <w:t>560 351</w:t>
            </w:r>
          </w:p>
        </w:tc>
      </w:tr>
      <w:tr w:rsidR="00824558" w:rsidRPr="007D3EA5" w14:paraId="236ECC1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B9237AE" w14:textId="77777777" w:rsidR="00824558" w:rsidRPr="007D3EA5" w:rsidRDefault="00824558">
            <w:pPr>
              <w:keepNext/>
              <w:rPr>
                <w:b/>
              </w:rPr>
            </w:pPr>
            <w:r w:rsidRPr="007D3EA5">
              <w:rPr>
                <w:b/>
              </w:rPr>
              <w:t>Timeliness</w:t>
            </w:r>
          </w:p>
        </w:tc>
      </w:tr>
      <w:tr w:rsidR="00824558" w14:paraId="394E452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98DCA1" w14:textId="377726DB" w:rsidR="00824558" w:rsidRDefault="00824558">
            <w:pPr>
              <w:ind w:left="170"/>
            </w:pPr>
            <w:r>
              <w:t>Proportion of Men</w:t>
            </w:r>
            <w:r w:rsidR="007942D1">
              <w:t>’</w:t>
            </w:r>
            <w:r>
              <w:t>s Shed Funding Program grant projects delivered within program timeframes</w:t>
            </w:r>
          </w:p>
        </w:tc>
        <w:tc>
          <w:tcPr>
            <w:tcW w:w="964" w:type="dxa"/>
            <w:tcBorders>
              <w:bottom w:val="single" w:sz="6" w:space="0" w:color="auto"/>
            </w:tcBorders>
          </w:tcPr>
          <w:p w14:paraId="3F550ED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D281039"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45032FAD"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2648D8F0"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53B747E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FE75E9" w:rsidRPr="00DC0EBC" w14:paraId="3CE8354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B31B48B" w14:textId="77777777" w:rsidR="00FE75E9" w:rsidRPr="00DC0EBC" w:rsidRDefault="00FE75E9">
            <w:pPr>
              <w:keepNext/>
              <w:rPr>
                <w:b/>
              </w:rPr>
            </w:pPr>
            <w:r w:rsidRPr="00DC0EBC">
              <w:rPr>
                <w:b/>
              </w:rPr>
              <w:t>Cost</w:t>
            </w:r>
          </w:p>
        </w:tc>
      </w:tr>
      <w:tr w:rsidR="00FE75E9" w14:paraId="053FBEC9" w14:textId="77777777" w:rsidTr="00AD78EC">
        <w:tc>
          <w:tcPr>
            <w:cnfStyle w:val="001000000000" w:firstRow="0" w:lastRow="0" w:firstColumn="1" w:lastColumn="0" w:oddVBand="0" w:evenVBand="0" w:oddHBand="0" w:evenHBand="0" w:firstRowFirstColumn="0" w:firstRowLastColumn="0" w:lastRowFirstColumn="0" w:lastRowLastColumn="0"/>
            <w:tcW w:w="4819" w:type="dxa"/>
          </w:tcPr>
          <w:p w14:paraId="334FC2B9" w14:textId="77777777" w:rsidR="00FE75E9" w:rsidRDefault="00FE75E9">
            <w:pPr>
              <w:keepNext/>
              <w:ind w:left="170"/>
            </w:pPr>
            <w:r>
              <w:t>Total output cost</w:t>
            </w:r>
          </w:p>
        </w:tc>
        <w:tc>
          <w:tcPr>
            <w:tcW w:w="964" w:type="dxa"/>
          </w:tcPr>
          <w:p w14:paraId="15EE1152"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691B2FA8" w14:textId="29DAA396" w:rsidR="00FE75E9" w:rsidRPr="004D0078" w:rsidRDefault="00356B34">
            <w:pPr>
              <w:cnfStyle w:val="000000000000" w:firstRow="0" w:lastRow="0" w:firstColumn="0" w:lastColumn="0" w:oddVBand="0" w:evenVBand="0" w:oddHBand="0" w:evenHBand="0" w:firstRowFirstColumn="0" w:firstRowLastColumn="0" w:lastRowFirstColumn="0" w:lastRowLastColumn="0"/>
              <w:rPr>
                <w:highlight w:val="yellow"/>
              </w:rPr>
            </w:pPr>
            <w:r>
              <w:t>79.2</w:t>
            </w:r>
          </w:p>
        </w:tc>
        <w:tc>
          <w:tcPr>
            <w:tcW w:w="964" w:type="dxa"/>
          </w:tcPr>
          <w:p w14:paraId="53003B10" w14:textId="685380DC" w:rsidR="00FE75E9" w:rsidRPr="004D0078" w:rsidRDefault="00DD2FC5">
            <w:pPr>
              <w:cnfStyle w:val="000000000000" w:firstRow="0" w:lastRow="0" w:firstColumn="0" w:lastColumn="0" w:oddVBand="0" w:evenVBand="0" w:oddHBand="0" w:evenHBand="0" w:firstRowFirstColumn="0" w:firstRowLastColumn="0" w:lastRowFirstColumn="0" w:lastRowLastColumn="0"/>
              <w:rPr>
                <w:highlight w:val="yellow"/>
              </w:rPr>
            </w:pPr>
            <w:r>
              <w:t>76.9</w:t>
            </w:r>
          </w:p>
        </w:tc>
        <w:tc>
          <w:tcPr>
            <w:tcW w:w="964" w:type="dxa"/>
          </w:tcPr>
          <w:p w14:paraId="4AE6B864" w14:textId="64B18F43" w:rsidR="00FE75E9" w:rsidRPr="004D0078" w:rsidRDefault="00A43BD1">
            <w:pPr>
              <w:cnfStyle w:val="000000000000" w:firstRow="0" w:lastRow="0" w:firstColumn="0" w:lastColumn="0" w:oddVBand="0" w:evenVBand="0" w:oddHBand="0" w:evenHBand="0" w:firstRowFirstColumn="0" w:firstRowLastColumn="0" w:lastRowFirstColumn="0" w:lastRowLastColumn="0"/>
              <w:rPr>
                <w:highlight w:val="yellow"/>
              </w:rPr>
            </w:pPr>
            <w:r>
              <w:t>69.7</w:t>
            </w:r>
          </w:p>
        </w:tc>
        <w:tc>
          <w:tcPr>
            <w:tcW w:w="964" w:type="dxa"/>
          </w:tcPr>
          <w:p w14:paraId="103CBD88" w14:textId="193C0033" w:rsidR="00FE75E9" w:rsidRPr="004D0078" w:rsidRDefault="00AD78EC">
            <w:pPr>
              <w:cnfStyle w:val="000000000000" w:firstRow="0" w:lastRow="0" w:firstColumn="0" w:lastColumn="0" w:oddVBand="0" w:evenVBand="0" w:oddHBand="0" w:evenHBand="0" w:firstRowFirstColumn="0" w:firstRowLastColumn="0" w:lastRowFirstColumn="0" w:lastRowLastColumn="0"/>
              <w:rPr>
                <w:highlight w:val="yellow"/>
              </w:rPr>
            </w:pPr>
            <w:r>
              <w:t>66.4</w:t>
            </w:r>
          </w:p>
        </w:tc>
      </w:tr>
      <w:tr w:rsidR="00AD78EC" w14:paraId="28DF189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888F559" w14:textId="5037B08B" w:rsidR="00AD78EC" w:rsidRDefault="00944B62" w:rsidP="00944B62">
            <w:pPr>
              <w:ind w:left="170"/>
              <w:rPr>
                <w:i/>
              </w:rPr>
            </w:pPr>
            <w:r w:rsidRPr="00944B62">
              <w:rPr>
                <w:i/>
              </w:rPr>
              <w:t xml:space="preserve">The higher 2025-26 expected outcome primarily reflects additional funding for government initiatives, such as </w:t>
            </w:r>
            <w:r w:rsidR="003D6121">
              <w:rPr>
                <w:i/>
                <w:iCs/>
              </w:rPr>
              <w:t>the Good Money program</w:t>
            </w:r>
            <w:r w:rsidRPr="00944B62">
              <w:rPr>
                <w:i/>
              </w:rPr>
              <w:t>.</w:t>
            </w:r>
          </w:p>
          <w:p w14:paraId="5024A51D" w14:textId="092A0F7C" w:rsidR="00AD78EC" w:rsidRDefault="00833B58" w:rsidP="00944B62">
            <w:pPr>
              <w:ind w:left="170"/>
            </w:pPr>
            <w:r w:rsidRPr="0014480D">
              <w:rPr>
                <w:i/>
                <w:iCs/>
              </w:rPr>
              <w:t xml:space="preserve">The higher 2026-27 target primarily reflects additional funding for government initiatives, such as </w:t>
            </w:r>
            <w:r w:rsidR="00944B62" w:rsidRPr="0014480D">
              <w:rPr>
                <w:i/>
                <w:iCs/>
              </w:rPr>
              <w:t>Strengthening food security across Victoria.</w:t>
            </w:r>
          </w:p>
        </w:tc>
      </w:tr>
    </w:tbl>
    <w:p w14:paraId="0ABFDA03" w14:textId="77777777" w:rsidR="00824558" w:rsidRDefault="00824558">
      <w:pPr>
        <w:pStyle w:val="Source"/>
      </w:pPr>
      <w:r>
        <w:t>Source: Department of Families, Fairness and Housing</w:t>
      </w:r>
    </w:p>
    <w:p w14:paraId="7B63F3D5" w14:textId="77777777" w:rsidR="006823B9" w:rsidRDefault="006823B9">
      <w:pPr>
        <w:keepLines w:val="0"/>
        <w:rPr>
          <w:rFonts w:asciiTheme="majorHAnsi" w:eastAsiaTheme="majorEastAsia" w:hAnsiTheme="majorHAnsi" w:cstheme="majorBidi"/>
          <w:b/>
          <w:sz w:val="23"/>
          <w:szCs w:val="24"/>
        </w:rPr>
      </w:pPr>
      <w:r>
        <w:br w:type="page"/>
      </w:r>
    </w:p>
    <w:p w14:paraId="236FC8E4" w14:textId="58A98BC5" w:rsidR="00824558" w:rsidRDefault="00824558">
      <w:pPr>
        <w:pStyle w:val="Heading3"/>
      </w:pPr>
      <w:r>
        <w:lastRenderedPageBreak/>
        <w:t>Disability Programs and Services</w:t>
      </w:r>
      <w:r>
        <w:tab/>
        <w:t>(2026-27: $</w:t>
      </w:r>
      <w:r w:rsidR="001A460F">
        <w:t>317.9</w:t>
      </w:r>
      <w:r>
        <w:t xml:space="preserve"> million)</w:t>
      </w:r>
    </w:p>
    <w:p w14:paraId="127A979E" w14:textId="6025776B" w:rsidR="00824558" w:rsidRPr="00B8683B" w:rsidRDefault="00824558">
      <w:pPr>
        <w:spacing w:after="120"/>
      </w:pPr>
      <w:r w:rsidRPr="00B8683B">
        <w:t>The Disability Programs and Services output, through the provision of services not covered by the National Disability Insurance Scheme for people with disabilities, their carers and their families, aims to make a positive difference for Victorians experiencing barriers to accessing services and to provide high-quality support to meet clients</w:t>
      </w:r>
      <w:r w:rsidR="007942D1">
        <w:t>’</w:t>
      </w:r>
      <w:r w:rsidRPr="00B8683B">
        <w:t xml:space="preserve"> needs. This includes therapeutic services and supports for people with cognitive disability involved, or at risk of involvement, in Victoria</w:t>
      </w:r>
      <w:r w:rsidR="007942D1">
        <w:t>’</w:t>
      </w:r>
      <w:r w:rsidRPr="00B8683B">
        <w:t>s criminal justice system. This includes initiatives under the State Disability Plan including disability advocacy.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D944D0B"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4173223" w14:textId="77777777" w:rsidR="00824558" w:rsidRDefault="00824558">
            <w:r>
              <w:t>Performance measure</w:t>
            </w:r>
          </w:p>
        </w:tc>
        <w:tc>
          <w:tcPr>
            <w:tcW w:w="964" w:type="dxa"/>
          </w:tcPr>
          <w:p w14:paraId="08EB22DD"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FA529F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E47AC9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EB5F29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528E98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2CDFBA9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0D5C66C8" w14:textId="77777777" w:rsidR="00824558" w:rsidRPr="007D3EA5" w:rsidRDefault="00824558">
            <w:pPr>
              <w:keepNext/>
              <w:rPr>
                <w:b/>
              </w:rPr>
            </w:pPr>
            <w:r w:rsidRPr="007D3EA5">
              <w:rPr>
                <w:b/>
              </w:rPr>
              <w:t>Quantity</w:t>
            </w:r>
          </w:p>
        </w:tc>
      </w:tr>
      <w:tr w:rsidR="00824558" w14:paraId="5818FDBB"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E05BB40" w14:textId="77777777" w:rsidR="00824558" w:rsidRDefault="00824558">
            <w:pPr>
              <w:keepNext/>
              <w:ind w:left="170"/>
            </w:pPr>
            <w:r>
              <w:t>Clients receiving forensic disability service</w:t>
            </w:r>
          </w:p>
        </w:tc>
        <w:tc>
          <w:tcPr>
            <w:tcW w:w="964" w:type="dxa"/>
          </w:tcPr>
          <w:p w14:paraId="5CED46E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5C64F7C"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73E3FEAB"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Pr>
          <w:p w14:paraId="0CADCFEC"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030E567F" w14:textId="77777777" w:rsidR="00824558" w:rsidRDefault="00824558">
            <w:pPr>
              <w:cnfStyle w:val="000000000000" w:firstRow="0" w:lastRow="0" w:firstColumn="0" w:lastColumn="0" w:oddVBand="0" w:evenVBand="0" w:oddHBand="0" w:evenHBand="0" w:firstRowFirstColumn="0" w:firstRowLastColumn="0" w:lastRowFirstColumn="0" w:lastRowLastColumn="0"/>
            </w:pPr>
            <w:r>
              <w:t>960</w:t>
            </w:r>
          </w:p>
        </w:tc>
      </w:tr>
      <w:tr w:rsidR="00824558" w14:paraId="6FFD492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1CAE698" w14:textId="77777777" w:rsidR="00824558" w:rsidRDefault="00824558">
            <w:pPr>
              <w:ind w:left="170"/>
            </w:pPr>
            <w:r>
              <w:rPr>
                <w:i/>
              </w:rPr>
              <w:t>The 2025-26 expected outcome is higher than the 2025-26 target due to an increase in awareness of services, and the additional expansion of the youth forensic clinical service. </w:t>
            </w:r>
          </w:p>
        </w:tc>
      </w:tr>
      <w:tr w:rsidR="00824558" w14:paraId="3A6EE218"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62EB771D" w14:textId="77777777" w:rsidR="00824558" w:rsidRDefault="00824558">
            <w:pPr>
              <w:keepNext/>
              <w:ind w:left="170"/>
            </w:pPr>
            <w:r>
              <w:t>Number of disability advocacy clients</w:t>
            </w:r>
          </w:p>
        </w:tc>
        <w:tc>
          <w:tcPr>
            <w:tcW w:w="964" w:type="dxa"/>
          </w:tcPr>
          <w:p w14:paraId="7E4584C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02A532"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1C885B4A" w14:textId="77777777" w:rsidR="00824558" w:rsidRDefault="00824558">
            <w:pPr>
              <w:cnfStyle w:val="000000000000" w:firstRow="0" w:lastRow="0" w:firstColumn="0" w:lastColumn="0" w:oddVBand="0" w:evenVBand="0" w:oddHBand="0" w:evenHBand="0" w:firstRowFirstColumn="0" w:firstRowLastColumn="0" w:lastRowFirstColumn="0" w:lastRowLastColumn="0"/>
            </w:pPr>
            <w:r>
              <w:t>2 810</w:t>
            </w:r>
          </w:p>
        </w:tc>
        <w:tc>
          <w:tcPr>
            <w:tcW w:w="964" w:type="dxa"/>
          </w:tcPr>
          <w:p w14:paraId="3622DD7B"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729788FA" w14:textId="77777777" w:rsidR="00824558" w:rsidRDefault="00824558">
            <w:pPr>
              <w:cnfStyle w:val="000000000000" w:firstRow="0" w:lastRow="0" w:firstColumn="0" w:lastColumn="0" w:oddVBand="0" w:evenVBand="0" w:oddHBand="0" w:evenHBand="0" w:firstRowFirstColumn="0" w:firstRowLastColumn="0" w:lastRowFirstColumn="0" w:lastRowLastColumn="0"/>
            </w:pPr>
            <w:r>
              <w:t>2 812</w:t>
            </w:r>
          </w:p>
        </w:tc>
      </w:tr>
      <w:tr w:rsidR="00824558" w14:paraId="3E4A0C1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AE4958C" w14:textId="77777777" w:rsidR="00824558" w:rsidRDefault="00824558">
            <w:pPr>
              <w:ind w:left="170"/>
            </w:pPr>
            <w:r>
              <w:rPr>
                <w:i/>
              </w:rPr>
              <w:t xml:space="preserve">The 2025-26 expected outcome is higher than the 2025-26 target due to ongoing high demand. </w:t>
            </w:r>
          </w:p>
        </w:tc>
      </w:tr>
      <w:tr w:rsidR="00824558" w:rsidRPr="007D3EA5" w14:paraId="74164AB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39BF1F08" w14:textId="77777777" w:rsidR="00824558" w:rsidRPr="007D3EA5" w:rsidRDefault="00824558">
            <w:pPr>
              <w:keepNext/>
              <w:rPr>
                <w:b/>
              </w:rPr>
            </w:pPr>
            <w:r w:rsidRPr="007D3EA5">
              <w:rPr>
                <w:b/>
              </w:rPr>
              <w:t>Quality</w:t>
            </w:r>
          </w:p>
        </w:tc>
      </w:tr>
      <w:tr w:rsidR="00824558" w14:paraId="5C2CAA35"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63D8CBA" w14:textId="77777777" w:rsidR="00824558" w:rsidRDefault="00824558">
            <w:pPr>
              <w:keepNext/>
              <w:ind w:left="170"/>
            </w:pPr>
            <w:r>
              <w:t>Forensic Disability residents participating in community reintegration activities</w:t>
            </w:r>
          </w:p>
        </w:tc>
        <w:tc>
          <w:tcPr>
            <w:tcW w:w="964" w:type="dxa"/>
          </w:tcPr>
          <w:p w14:paraId="524C763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A60E49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22F4EC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7BEEDA4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5398EEC"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36A13FE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8A8F1E" w14:textId="77777777" w:rsidR="00824558" w:rsidRDefault="00824558">
            <w:pPr>
              <w:ind w:left="170"/>
            </w:pPr>
            <w:r>
              <w:rPr>
                <w:i/>
              </w:rPr>
              <w:t>The 2025-26 expected outcome is higher than the 2025-26 target due to increase in awareness of services and stability in residents.</w:t>
            </w:r>
          </w:p>
        </w:tc>
      </w:tr>
      <w:tr w:rsidR="00824558" w14:paraId="71F69D76"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1D37C3" w14:textId="77777777" w:rsidR="00824558" w:rsidRDefault="00824558">
            <w:pPr>
              <w:ind w:left="170"/>
            </w:pPr>
            <w:r>
              <w:t>Percentage of Victorian Disability Advocacy Program funded organisations that met contractually agreed outcomes</w:t>
            </w:r>
          </w:p>
        </w:tc>
        <w:tc>
          <w:tcPr>
            <w:tcW w:w="964" w:type="dxa"/>
            <w:tcBorders>
              <w:bottom w:val="single" w:sz="6" w:space="0" w:color="auto"/>
            </w:tcBorders>
          </w:tcPr>
          <w:p w14:paraId="72F132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A2CDE4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65742D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CAC538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A0C391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D77E6C4"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D03B8F9" w14:textId="77777777" w:rsidR="00824558" w:rsidRDefault="00824558">
            <w:pPr>
              <w:ind w:left="170"/>
            </w:pPr>
            <w:r>
              <w:t>Social Service Providers satisfaction with education and guidance provided by the Social Services Regulator</w:t>
            </w:r>
          </w:p>
        </w:tc>
        <w:tc>
          <w:tcPr>
            <w:tcW w:w="964" w:type="dxa"/>
            <w:tcBorders>
              <w:bottom w:val="single" w:sz="6" w:space="0" w:color="auto"/>
            </w:tcBorders>
          </w:tcPr>
          <w:p w14:paraId="32DBDA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7633391"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73BE1046"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5D833C06"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0EA28FEB"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rsidRPr="007D3EA5" w14:paraId="6C5D2A3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4BDCB01D" w14:textId="77777777" w:rsidR="00824558" w:rsidRPr="007D3EA5" w:rsidRDefault="00824558">
            <w:pPr>
              <w:keepNext/>
              <w:rPr>
                <w:b/>
              </w:rPr>
            </w:pPr>
            <w:r w:rsidRPr="007D3EA5">
              <w:rPr>
                <w:b/>
              </w:rPr>
              <w:t>Timeliness</w:t>
            </w:r>
          </w:p>
        </w:tc>
      </w:tr>
      <w:tr w:rsidR="00824558" w14:paraId="239C6F85"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2A60F8" w14:textId="77777777" w:rsidR="00824558" w:rsidRDefault="00824558">
            <w:pPr>
              <w:ind w:left="170"/>
            </w:pPr>
            <w:r>
              <w:t>Forensic Disability Target Group Assessments completed within six weeks</w:t>
            </w:r>
          </w:p>
        </w:tc>
        <w:tc>
          <w:tcPr>
            <w:tcW w:w="964" w:type="dxa"/>
            <w:tcBorders>
              <w:bottom w:val="single" w:sz="6" w:space="0" w:color="auto"/>
            </w:tcBorders>
          </w:tcPr>
          <w:p w14:paraId="6DD6D8D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649ACA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370BEDC"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756C901"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769DEFE"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3E1E1D3C"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36F1277" w14:textId="77777777" w:rsidR="00824558" w:rsidRDefault="00824558">
            <w:pPr>
              <w:keepNext/>
              <w:ind w:left="170"/>
            </w:pPr>
            <w:r>
              <w:t>Registration applications processed within statutory timelines by the Social Services Regulator (SSR)</w:t>
            </w:r>
          </w:p>
        </w:tc>
        <w:tc>
          <w:tcPr>
            <w:tcW w:w="964" w:type="dxa"/>
          </w:tcPr>
          <w:p w14:paraId="17242E3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0D6BF6"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7F3ABD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A14FB8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20327E4"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449DB00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54649C" w14:textId="037CAC0D" w:rsidR="00824558" w:rsidRDefault="00824558">
            <w:pPr>
              <w:ind w:left="170"/>
            </w:pPr>
            <w:r>
              <w:rPr>
                <w:i/>
              </w:rPr>
              <w:t>The 2025-26 expected outcome is higher than the 2025-26 target due to the Social Services Regulator (SSR) having time limited surge capacity supporting transitional registrations that are contributing to higher performance against this measure than forecast in the forward years.</w:t>
            </w:r>
          </w:p>
          <w:p w14:paraId="54A47808" w14:textId="380DBDD5" w:rsidR="00824558" w:rsidRDefault="00824558">
            <w:pPr>
              <w:ind w:left="170"/>
            </w:pPr>
            <w:r>
              <w:rPr>
                <w:i/>
              </w:rPr>
              <w:t xml:space="preserve">This performance measure renames the 2025-26 performance measure </w:t>
            </w:r>
            <w:r w:rsidR="0016056D">
              <w:rPr>
                <w:i/>
              </w:rPr>
              <w:t>‘</w:t>
            </w:r>
            <w:r w:rsidR="0016056D" w:rsidRPr="0016056D">
              <w:rPr>
                <w:i/>
              </w:rPr>
              <w:t>Registration applications processed within statutory timelines</w:t>
            </w:r>
            <w:r w:rsidR="0016056D">
              <w:rPr>
                <w:i/>
              </w:rPr>
              <w:t>’</w:t>
            </w:r>
            <w:r>
              <w:rPr>
                <w:i/>
              </w:rPr>
              <w:t>. The new measure reports on the same activity as the previous measure, however has been amended for increased clarity that it relates to the SSR.</w:t>
            </w:r>
          </w:p>
        </w:tc>
      </w:tr>
      <w:tr w:rsidR="00FE75E9" w:rsidRPr="00DC0EBC" w14:paraId="2ED4B65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3AF1566" w14:textId="77777777" w:rsidR="00FE75E9" w:rsidRPr="00DC0EBC" w:rsidRDefault="00FE75E9">
            <w:pPr>
              <w:keepNext/>
              <w:rPr>
                <w:b/>
              </w:rPr>
            </w:pPr>
            <w:r w:rsidRPr="00DC0EBC">
              <w:rPr>
                <w:b/>
              </w:rPr>
              <w:t>Cost</w:t>
            </w:r>
          </w:p>
        </w:tc>
      </w:tr>
      <w:tr w:rsidR="00FE75E9" w14:paraId="6742A71B" w14:textId="77777777" w:rsidTr="00AE1E56">
        <w:tc>
          <w:tcPr>
            <w:cnfStyle w:val="001000000000" w:firstRow="0" w:lastRow="0" w:firstColumn="1" w:lastColumn="0" w:oddVBand="0" w:evenVBand="0" w:oddHBand="0" w:evenHBand="0" w:firstRowFirstColumn="0" w:firstRowLastColumn="0" w:lastRowFirstColumn="0" w:lastRowLastColumn="0"/>
            <w:tcW w:w="4819" w:type="dxa"/>
          </w:tcPr>
          <w:p w14:paraId="3163B146" w14:textId="77777777" w:rsidR="00FE75E9" w:rsidRDefault="00FE75E9">
            <w:pPr>
              <w:keepNext/>
              <w:ind w:left="170"/>
            </w:pPr>
            <w:r>
              <w:t>Total output cost</w:t>
            </w:r>
          </w:p>
        </w:tc>
        <w:tc>
          <w:tcPr>
            <w:tcW w:w="964" w:type="dxa"/>
          </w:tcPr>
          <w:p w14:paraId="58948E77"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562A425F" w14:textId="76169D96" w:rsidR="00FE75E9" w:rsidRPr="004D0078" w:rsidRDefault="00AE6B12">
            <w:pPr>
              <w:cnfStyle w:val="000000000000" w:firstRow="0" w:lastRow="0" w:firstColumn="0" w:lastColumn="0" w:oddVBand="0" w:evenVBand="0" w:oddHBand="0" w:evenHBand="0" w:firstRowFirstColumn="0" w:firstRowLastColumn="0" w:lastRowFirstColumn="0" w:lastRowLastColumn="0"/>
              <w:rPr>
                <w:highlight w:val="yellow"/>
              </w:rPr>
            </w:pPr>
            <w:r>
              <w:t>317.9</w:t>
            </w:r>
          </w:p>
        </w:tc>
        <w:tc>
          <w:tcPr>
            <w:tcW w:w="964" w:type="dxa"/>
          </w:tcPr>
          <w:p w14:paraId="2E4119DE" w14:textId="7F5E892B" w:rsidR="00FE75E9" w:rsidRPr="004D0078" w:rsidRDefault="00121F63">
            <w:pPr>
              <w:cnfStyle w:val="000000000000" w:firstRow="0" w:lastRow="0" w:firstColumn="0" w:lastColumn="0" w:oddVBand="0" w:evenVBand="0" w:oddHBand="0" w:evenHBand="0" w:firstRowFirstColumn="0" w:firstRowLastColumn="0" w:lastRowFirstColumn="0" w:lastRowLastColumn="0"/>
              <w:rPr>
                <w:highlight w:val="yellow"/>
              </w:rPr>
            </w:pPr>
            <w:r>
              <w:t>386.0</w:t>
            </w:r>
          </w:p>
        </w:tc>
        <w:tc>
          <w:tcPr>
            <w:tcW w:w="964" w:type="dxa"/>
          </w:tcPr>
          <w:p w14:paraId="128A2DF2" w14:textId="54A6EF84" w:rsidR="00FE75E9" w:rsidRPr="004D0078" w:rsidRDefault="00CB6249">
            <w:pPr>
              <w:cnfStyle w:val="000000000000" w:firstRow="0" w:lastRow="0" w:firstColumn="0" w:lastColumn="0" w:oddVBand="0" w:evenVBand="0" w:oddHBand="0" w:evenHBand="0" w:firstRowFirstColumn="0" w:firstRowLastColumn="0" w:lastRowFirstColumn="0" w:lastRowLastColumn="0"/>
              <w:rPr>
                <w:highlight w:val="yellow"/>
              </w:rPr>
            </w:pPr>
            <w:r>
              <w:t>372.4</w:t>
            </w:r>
          </w:p>
        </w:tc>
        <w:tc>
          <w:tcPr>
            <w:tcW w:w="964" w:type="dxa"/>
          </w:tcPr>
          <w:p w14:paraId="5A115DA7" w14:textId="6536B327" w:rsidR="00FE75E9" w:rsidRPr="004D0078" w:rsidRDefault="00AE1E56">
            <w:pPr>
              <w:cnfStyle w:val="000000000000" w:firstRow="0" w:lastRow="0" w:firstColumn="0" w:lastColumn="0" w:oddVBand="0" w:evenVBand="0" w:oddHBand="0" w:evenHBand="0" w:firstRowFirstColumn="0" w:firstRowLastColumn="0" w:lastRowFirstColumn="0" w:lastRowLastColumn="0"/>
              <w:rPr>
                <w:highlight w:val="yellow"/>
              </w:rPr>
            </w:pPr>
            <w:r>
              <w:t>474.2</w:t>
            </w:r>
          </w:p>
        </w:tc>
      </w:tr>
      <w:tr w:rsidR="00AE1E56" w14:paraId="7FFF66A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10D8DA3" w14:textId="5F80216F" w:rsidR="00AE1E56" w:rsidRDefault="00184D0B" w:rsidP="00184D0B">
            <w:pPr>
              <w:ind w:left="170"/>
            </w:pPr>
            <w:r w:rsidRPr="00184D0B">
              <w:rPr>
                <w:i/>
              </w:rPr>
              <w:t xml:space="preserve">The lower 2026-27 target primarily reflects lapsing funding for government policy initiatives, including </w:t>
            </w:r>
            <w:r w:rsidR="0031793C">
              <w:rPr>
                <w:i/>
              </w:rPr>
              <w:t>relating to the</w:t>
            </w:r>
            <w:r w:rsidRPr="00184D0B">
              <w:rPr>
                <w:i/>
              </w:rPr>
              <w:t xml:space="preserve"> </w:t>
            </w:r>
            <w:r w:rsidR="0031793C">
              <w:rPr>
                <w:i/>
              </w:rPr>
              <w:t>t</w:t>
            </w:r>
            <w:r w:rsidR="0031793C" w:rsidRPr="00184D0B">
              <w:rPr>
                <w:i/>
              </w:rPr>
              <w:t>ransfer</w:t>
            </w:r>
            <w:r w:rsidRPr="00184D0B">
              <w:rPr>
                <w:i/>
              </w:rPr>
              <w:t xml:space="preserve"> of </w:t>
            </w:r>
            <w:r w:rsidR="0031793C">
              <w:rPr>
                <w:i/>
              </w:rPr>
              <w:t>g</w:t>
            </w:r>
            <w:r w:rsidR="0031793C" w:rsidRPr="00184D0B">
              <w:rPr>
                <w:i/>
              </w:rPr>
              <w:t xml:space="preserve">overnment </w:t>
            </w:r>
            <w:r w:rsidR="0031793C">
              <w:rPr>
                <w:i/>
              </w:rPr>
              <w:t>d</w:t>
            </w:r>
            <w:r w:rsidR="0031793C" w:rsidRPr="00184D0B">
              <w:rPr>
                <w:i/>
              </w:rPr>
              <w:t xml:space="preserve">isability </w:t>
            </w:r>
            <w:r w:rsidR="00327F8F">
              <w:rPr>
                <w:i/>
              </w:rPr>
              <w:t>s</w:t>
            </w:r>
            <w:r w:rsidR="00327F8F" w:rsidRPr="00184D0B">
              <w:rPr>
                <w:i/>
              </w:rPr>
              <w:t>ervices</w:t>
            </w:r>
            <w:r w:rsidR="00327F8F">
              <w:rPr>
                <w:i/>
              </w:rPr>
              <w:t xml:space="preserve"> to the community sector</w:t>
            </w:r>
            <w:r w:rsidRPr="00184D0B">
              <w:rPr>
                <w:i/>
              </w:rPr>
              <w:t>.</w:t>
            </w:r>
          </w:p>
        </w:tc>
      </w:tr>
    </w:tbl>
    <w:p w14:paraId="70781187" w14:textId="77777777" w:rsidR="00824558" w:rsidRDefault="00824558">
      <w:pPr>
        <w:pStyle w:val="Source"/>
      </w:pPr>
      <w:r>
        <w:t>Source: Department of Families, Fairness and Housing</w:t>
      </w:r>
    </w:p>
    <w:p w14:paraId="49455F54" w14:textId="4824E523" w:rsidR="00824558" w:rsidRDefault="00824558">
      <w:pPr>
        <w:pStyle w:val="Heading3"/>
      </w:pPr>
      <w:r>
        <w:t>Seniors Programs and Participation</w:t>
      </w:r>
      <w:r>
        <w:tab/>
        <w:t>(2026-27: $</w:t>
      </w:r>
      <w:r w:rsidR="006950FF">
        <w:t>63.6</w:t>
      </w:r>
      <w:r>
        <w:t xml:space="preserve"> million)</w:t>
      </w:r>
    </w:p>
    <w:p w14:paraId="0566F9F4" w14:textId="77777777" w:rsidR="00824558" w:rsidRPr="00C25E47" w:rsidRDefault="00824558" w:rsidP="00A223F2">
      <w:pPr>
        <w:spacing w:after="120"/>
      </w:pPr>
      <w:r w:rsidRPr="00C25E47">
        <w:t>Support broader community planning processes to facilitate an integrated community planning and response approach aimed at enabling older Victorians to fully participate and engage in the community. This output also delivers recognition and support to Victorians with unpaid caring responsibilities.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E5EAA1B"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A8FB059" w14:textId="77777777" w:rsidR="00824558" w:rsidRDefault="00824558">
            <w:r>
              <w:t>Performance measure</w:t>
            </w:r>
          </w:p>
        </w:tc>
        <w:tc>
          <w:tcPr>
            <w:tcW w:w="964" w:type="dxa"/>
          </w:tcPr>
          <w:p w14:paraId="556D34B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98BA63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D74A17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E63140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A03C9B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019879F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30B096DD" w14:textId="77777777" w:rsidR="00824558" w:rsidRPr="007D3EA5" w:rsidRDefault="00824558">
            <w:pPr>
              <w:keepNext/>
              <w:rPr>
                <w:b/>
              </w:rPr>
            </w:pPr>
            <w:r w:rsidRPr="007D3EA5">
              <w:rPr>
                <w:b/>
              </w:rPr>
              <w:t>Quantity</w:t>
            </w:r>
          </w:p>
        </w:tc>
      </w:tr>
      <w:tr w:rsidR="00824558" w14:paraId="106F3254"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18B14B3" w14:textId="77777777" w:rsidR="00824558" w:rsidRDefault="00824558">
            <w:pPr>
              <w:keepNext/>
              <w:ind w:left="170"/>
            </w:pPr>
            <w:r>
              <w:t>Beds available in assisted pension-level Supported Residential Services</w:t>
            </w:r>
          </w:p>
        </w:tc>
        <w:tc>
          <w:tcPr>
            <w:tcW w:w="964" w:type="dxa"/>
          </w:tcPr>
          <w:p w14:paraId="5FA604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F049007" w14:textId="77777777" w:rsidR="00824558" w:rsidRDefault="00824558">
            <w:pPr>
              <w:cnfStyle w:val="000000000000" w:firstRow="0" w:lastRow="0" w:firstColumn="0" w:lastColumn="0" w:oddVBand="0" w:evenVBand="0" w:oddHBand="0" w:evenHBand="0" w:firstRowFirstColumn="0" w:firstRowLastColumn="0" w:lastRowFirstColumn="0" w:lastRowLastColumn="0"/>
            </w:pPr>
            <w:r>
              <w:t>2 242</w:t>
            </w:r>
          </w:p>
        </w:tc>
        <w:tc>
          <w:tcPr>
            <w:tcW w:w="964" w:type="dxa"/>
          </w:tcPr>
          <w:p w14:paraId="6D1652DA" w14:textId="77777777" w:rsidR="00824558" w:rsidRDefault="00824558">
            <w:pPr>
              <w:cnfStyle w:val="000000000000" w:firstRow="0" w:lastRow="0" w:firstColumn="0" w:lastColumn="0" w:oddVBand="0" w:evenVBand="0" w:oddHBand="0" w:evenHBand="0" w:firstRowFirstColumn="0" w:firstRowLastColumn="0" w:lastRowFirstColumn="0" w:lastRowLastColumn="0"/>
            </w:pPr>
            <w:r>
              <w:t>2 335</w:t>
            </w:r>
          </w:p>
        </w:tc>
        <w:tc>
          <w:tcPr>
            <w:tcW w:w="964" w:type="dxa"/>
          </w:tcPr>
          <w:p w14:paraId="0C756E35" w14:textId="77777777" w:rsidR="00824558" w:rsidRDefault="00824558">
            <w:pPr>
              <w:cnfStyle w:val="000000000000" w:firstRow="0" w:lastRow="0" w:firstColumn="0" w:lastColumn="0" w:oddVBand="0" w:evenVBand="0" w:oddHBand="0" w:evenHBand="0" w:firstRowFirstColumn="0" w:firstRowLastColumn="0" w:lastRowFirstColumn="0" w:lastRowLastColumn="0"/>
            </w:pPr>
            <w:r>
              <w:t>2 242</w:t>
            </w:r>
          </w:p>
        </w:tc>
        <w:tc>
          <w:tcPr>
            <w:tcW w:w="964" w:type="dxa"/>
          </w:tcPr>
          <w:p w14:paraId="1011A838" w14:textId="77777777" w:rsidR="00824558" w:rsidRDefault="00824558">
            <w:pPr>
              <w:cnfStyle w:val="000000000000" w:firstRow="0" w:lastRow="0" w:firstColumn="0" w:lastColumn="0" w:oddVBand="0" w:evenVBand="0" w:oddHBand="0" w:evenHBand="0" w:firstRowFirstColumn="0" w:firstRowLastColumn="0" w:lastRowFirstColumn="0" w:lastRowLastColumn="0"/>
            </w:pPr>
            <w:r>
              <w:t>2 335</w:t>
            </w:r>
          </w:p>
        </w:tc>
      </w:tr>
      <w:tr w:rsidR="00824558" w14:paraId="0530BDC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EA8D05" w14:textId="6786F0CF" w:rsidR="00824558" w:rsidRDefault="00824558">
            <w:pPr>
              <w:ind w:left="170"/>
            </w:pPr>
            <w:r>
              <w:rPr>
                <w:i/>
              </w:rPr>
              <w:t xml:space="preserve">This performance measure renames the 2025-26 performance measure </w:t>
            </w:r>
            <w:r w:rsidR="007942D1">
              <w:rPr>
                <w:i/>
              </w:rPr>
              <w:t>‘</w:t>
            </w:r>
            <w:r>
              <w:rPr>
                <w:i/>
              </w:rPr>
              <w:t>Pension-level beds available in assisted Supported Residential Services facilities</w:t>
            </w:r>
            <w:r w:rsidR="007942D1">
              <w:rPr>
                <w:i/>
              </w:rPr>
              <w:t>’</w:t>
            </w:r>
            <w:r>
              <w:rPr>
                <w:i/>
              </w:rPr>
              <w:t xml:space="preserve">. The new measure reports on the same activity as the previous measure however has been amended for increased clarity. </w:t>
            </w:r>
          </w:p>
        </w:tc>
      </w:tr>
      <w:tr w:rsidR="00824558" w14:paraId="45DDD7CB"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9EC4CC9" w14:textId="77777777" w:rsidR="00824558" w:rsidRDefault="00824558">
            <w:pPr>
              <w:ind w:left="170"/>
            </w:pPr>
            <w:r>
              <w:t>Eligible seniors in the Seniors Card program</w:t>
            </w:r>
          </w:p>
        </w:tc>
        <w:tc>
          <w:tcPr>
            <w:tcW w:w="964" w:type="dxa"/>
            <w:tcBorders>
              <w:bottom w:val="single" w:sz="6" w:space="0" w:color="auto"/>
            </w:tcBorders>
          </w:tcPr>
          <w:p w14:paraId="394A934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D01304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1A729E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4FF6FA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66AAF90" w14:textId="77777777" w:rsidR="00824558" w:rsidRDefault="00824558">
            <w:pPr>
              <w:cnfStyle w:val="000000000000" w:firstRow="0" w:lastRow="0" w:firstColumn="0" w:lastColumn="0" w:oddVBand="0" w:evenVBand="0" w:oddHBand="0" w:evenHBand="0" w:firstRowFirstColumn="0" w:firstRowLastColumn="0" w:lastRowFirstColumn="0" w:lastRowLastColumn="0"/>
            </w:pPr>
            <w:r>
              <w:t>92.1</w:t>
            </w:r>
          </w:p>
        </w:tc>
      </w:tr>
      <w:tr w:rsidR="00824558" w14:paraId="1034710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6AAC4E3A" w14:textId="77777777" w:rsidR="00824558" w:rsidRDefault="00824558">
            <w:pPr>
              <w:keepNext/>
              <w:ind w:left="170"/>
            </w:pPr>
            <w:r>
              <w:t>Hours of one-on-one or small group support and respite provided to carers</w:t>
            </w:r>
          </w:p>
        </w:tc>
        <w:tc>
          <w:tcPr>
            <w:tcW w:w="964" w:type="dxa"/>
          </w:tcPr>
          <w:p w14:paraId="6F41EBD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F01C96F" w14:textId="77777777" w:rsidR="00824558" w:rsidRDefault="00824558">
            <w:pPr>
              <w:cnfStyle w:val="000000000000" w:firstRow="0" w:lastRow="0" w:firstColumn="0" w:lastColumn="0" w:oddVBand="0" w:evenVBand="0" w:oddHBand="0" w:evenHBand="0" w:firstRowFirstColumn="0" w:firstRowLastColumn="0" w:lastRowFirstColumn="0" w:lastRowLastColumn="0"/>
            </w:pPr>
            <w:r>
              <w:t>261 250</w:t>
            </w:r>
          </w:p>
        </w:tc>
        <w:tc>
          <w:tcPr>
            <w:tcW w:w="964" w:type="dxa"/>
          </w:tcPr>
          <w:p w14:paraId="12998CD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7BD65C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7F57FC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330264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E1E58D" w14:textId="6671C7AA" w:rsidR="00824558" w:rsidRDefault="00824558">
            <w:pPr>
              <w:ind w:left="170"/>
            </w:pPr>
            <w:r>
              <w:rPr>
                <w:i/>
              </w:rPr>
              <w:t xml:space="preserve">This performance measure is proposed to replace the 2025-26 performance measure </w:t>
            </w:r>
            <w:r w:rsidR="007942D1">
              <w:rPr>
                <w:i/>
              </w:rPr>
              <w:t>‘</w:t>
            </w:r>
            <w:r>
              <w:rPr>
                <w:i/>
              </w:rPr>
              <w:t>Number of hours of respite and support services</w:t>
            </w:r>
            <w:r w:rsidR="007942D1">
              <w:rPr>
                <w:i/>
              </w:rPr>
              <w:t>’</w:t>
            </w:r>
            <w:r>
              <w:rPr>
                <w:i/>
              </w:rPr>
              <w:t xml:space="preserve"> to better reflect hours of quality service delivery to carers and more accurately identify carer support and respite hours delivered.</w:t>
            </w:r>
          </w:p>
        </w:tc>
      </w:tr>
      <w:tr w:rsidR="00824558" w14:paraId="3B528B6C"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939DD71" w14:textId="77777777" w:rsidR="00824558" w:rsidRDefault="00824558">
            <w:pPr>
              <w:keepNext/>
              <w:ind w:left="170"/>
            </w:pPr>
            <w:r>
              <w:lastRenderedPageBreak/>
              <w:t>Number of residents of assisted pension-level Supported Residential Services provided with service coordination and support/brokerage services</w:t>
            </w:r>
          </w:p>
        </w:tc>
        <w:tc>
          <w:tcPr>
            <w:tcW w:w="964" w:type="dxa"/>
          </w:tcPr>
          <w:p w14:paraId="4BF11BD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BC6784C" w14:textId="77777777" w:rsidR="00824558" w:rsidRDefault="00824558">
            <w:pPr>
              <w:cnfStyle w:val="000000000000" w:firstRow="0" w:lastRow="0" w:firstColumn="0" w:lastColumn="0" w:oddVBand="0" w:evenVBand="0" w:oddHBand="0" w:evenHBand="0" w:firstRowFirstColumn="0" w:firstRowLastColumn="0" w:lastRowFirstColumn="0" w:lastRowLastColumn="0"/>
            </w:pPr>
            <w:r>
              <w:t>1 040</w:t>
            </w:r>
          </w:p>
        </w:tc>
        <w:tc>
          <w:tcPr>
            <w:tcW w:w="964" w:type="dxa"/>
          </w:tcPr>
          <w:p w14:paraId="0801F05A" w14:textId="77777777" w:rsidR="00824558" w:rsidRDefault="00824558">
            <w:pPr>
              <w:cnfStyle w:val="000000000000" w:firstRow="0" w:lastRow="0" w:firstColumn="0" w:lastColumn="0" w:oddVBand="0" w:evenVBand="0" w:oddHBand="0" w:evenHBand="0" w:firstRowFirstColumn="0" w:firstRowLastColumn="0" w:lastRowFirstColumn="0" w:lastRowLastColumn="0"/>
            </w:pPr>
            <w:r>
              <w:t>1 040</w:t>
            </w:r>
          </w:p>
        </w:tc>
        <w:tc>
          <w:tcPr>
            <w:tcW w:w="964" w:type="dxa"/>
          </w:tcPr>
          <w:p w14:paraId="4D6E602C" w14:textId="77777777" w:rsidR="00824558" w:rsidRDefault="00824558">
            <w:pPr>
              <w:cnfStyle w:val="000000000000" w:firstRow="0" w:lastRow="0" w:firstColumn="0" w:lastColumn="0" w:oddVBand="0" w:evenVBand="0" w:oddHBand="0" w:evenHBand="0" w:firstRowFirstColumn="0" w:firstRowLastColumn="0" w:lastRowFirstColumn="0" w:lastRowLastColumn="0"/>
            </w:pPr>
            <w:r>
              <w:t>1 040</w:t>
            </w:r>
          </w:p>
        </w:tc>
        <w:tc>
          <w:tcPr>
            <w:tcW w:w="964" w:type="dxa"/>
          </w:tcPr>
          <w:p w14:paraId="1E6C49A9" w14:textId="77777777" w:rsidR="00824558" w:rsidRDefault="00824558">
            <w:pPr>
              <w:cnfStyle w:val="000000000000" w:firstRow="0" w:lastRow="0" w:firstColumn="0" w:lastColumn="0" w:oddVBand="0" w:evenVBand="0" w:oddHBand="0" w:evenHBand="0" w:firstRowFirstColumn="0" w:firstRowLastColumn="0" w:lastRowFirstColumn="0" w:lastRowLastColumn="0"/>
            </w:pPr>
            <w:r>
              <w:t>1 144</w:t>
            </w:r>
          </w:p>
        </w:tc>
      </w:tr>
      <w:tr w:rsidR="00824558" w14:paraId="7BA2869E"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8BB7C75" w14:textId="0D31624A" w:rsidR="00824558" w:rsidRDefault="00824558">
            <w:pPr>
              <w:ind w:left="170"/>
            </w:pPr>
            <w:r>
              <w:rPr>
                <w:i/>
              </w:rPr>
              <w:t xml:space="preserve">This performance measure renames the 2025-26 performance measure </w:t>
            </w:r>
            <w:r w:rsidR="007942D1">
              <w:rPr>
                <w:i/>
              </w:rPr>
              <w:t>‘</w:t>
            </w:r>
            <w:r>
              <w:rPr>
                <w:i/>
              </w:rPr>
              <w:t>Pension-level Supported Residential Services provided with service coordination and support/brokerage services</w:t>
            </w:r>
            <w:r w:rsidR="007942D1">
              <w:rPr>
                <w:i/>
              </w:rPr>
              <w:t>’</w:t>
            </w:r>
            <w:r>
              <w:rPr>
                <w:i/>
              </w:rPr>
              <w:t xml:space="preserve">. The new measure reports on the same activity as the previous measure, however has been amended for increased clarity. </w:t>
            </w:r>
          </w:p>
        </w:tc>
      </w:tr>
      <w:tr w:rsidR="00824558" w14:paraId="798C63E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5134DBE" w14:textId="77777777" w:rsidR="00824558" w:rsidRDefault="00824558">
            <w:pPr>
              <w:keepNext/>
              <w:ind w:left="170"/>
            </w:pPr>
            <w:r>
              <w:t>Open rates for Seniors Card eNewsletters</w:t>
            </w:r>
          </w:p>
        </w:tc>
        <w:tc>
          <w:tcPr>
            <w:tcW w:w="964" w:type="dxa"/>
          </w:tcPr>
          <w:p w14:paraId="709A2C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5B164C1" w14:textId="77777777" w:rsidR="00824558" w:rsidRDefault="00824558">
            <w:pPr>
              <w:cnfStyle w:val="000000000000" w:firstRow="0" w:lastRow="0" w:firstColumn="0" w:lastColumn="0" w:oddVBand="0" w:evenVBand="0" w:oddHBand="0" w:evenHBand="0" w:firstRowFirstColumn="0" w:firstRowLastColumn="0" w:lastRowFirstColumn="0" w:lastRowLastColumn="0"/>
            </w:pPr>
            <w:r>
              <w:t>48</w:t>
            </w:r>
          </w:p>
        </w:tc>
        <w:tc>
          <w:tcPr>
            <w:tcW w:w="964" w:type="dxa"/>
          </w:tcPr>
          <w:p w14:paraId="61733407"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c>
          <w:tcPr>
            <w:tcW w:w="964" w:type="dxa"/>
          </w:tcPr>
          <w:p w14:paraId="1B9FCA4F" w14:textId="77777777" w:rsidR="00824558" w:rsidRDefault="00824558">
            <w:pPr>
              <w:cnfStyle w:val="000000000000" w:firstRow="0" w:lastRow="0" w:firstColumn="0" w:lastColumn="0" w:oddVBand="0" w:evenVBand="0" w:oddHBand="0" w:evenHBand="0" w:firstRowFirstColumn="0" w:firstRowLastColumn="0" w:lastRowFirstColumn="0" w:lastRowLastColumn="0"/>
            </w:pPr>
            <w:r>
              <w:t>48</w:t>
            </w:r>
          </w:p>
        </w:tc>
        <w:tc>
          <w:tcPr>
            <w:tcW w:w="964" w:type="dxa"/>
          </w:tcPr>
          <w:p w14:paraId="5C210367" w14:textId="77777777" w:rsidR="00824558" w:rsidRDefault="00824558">
            <w:pPr>
              <w:cnfStyle w:val="000000000000" w:firstRow="0" w:lastRow="0" w:firstColumn="0" w:lastColumn="0" w:oddVBand="0" w:evenVBand="0" w:oddHBand="0" w:evenHBand="0" w:firstRowFirstColumn="0" w:firstRowLastColumn="0" w:lastRowFirstColumn="0" w:lastRowLastColumn="0"/>
            </w:pPr>
            <w:r>
              <w:t>60.2</w:t>
            </w:r>
          </w:p>
        </w:tc>
      </w:tr>
      <w:tr w:rsidR="00824558" w14:paraId="1ED51F6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E26F50" w14:textId="77777777" w:rsidR="00824558" w:rsidRDefault="00824558">
            <w:pPr>
              <w:ind w:left="170"/>
            </w:pPr>
            <w:r>
              <w:rPr>
                <w:i/>
              </w:rPr>
              <w:t>The 2025-26 expected outcome is higher than the 2025-26 target due to effective strategies to increase open rates of eNews for Seniors Card holders.</w:t>
            </w:r>
          </w:p>
        </w:tc>
      </w:tr>
      <w:tr w:rsidR="00824558" w14:paraId="15E92CA4"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122E6B1" w14:textId="77777777" w:rsidR="00824558" w:rsidRDefault="00824558">
            <w:pPr>
              <w:keepNext/>
              <w:ind w:left="170"/>
            </w:pPr>
            <w:r>
              <w:t>Proportion of funded unique individual carers provided with support and respite</w:t>
            </w:r>
          </w:p>
        </w:tc>
        <w:tc>
          <w:tcPr>
            <w:tcW w:w="964" w:type="dxa"/>
          </w:tcPr>
          <w:p w14:paraId="62F9158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8BCA8C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8A48D8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BD536D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DA60A6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1B293B8"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625DBB" w14:textId="3164ADBB" w:rsidR="00824558" w:rsidRDefault="00824558">
            <w:pPr>
              <w:ind w:left="170"/>
            </w:pPr>
            <w:r>
              <w:rPr>
                <w:i/>
              </w:rPr>
              <w:t xml:space="preserve">This performance measure is proposed to replace the 2025-26 performance measure </w:t>
            </w:r>
            <w:r w:rsidR="007942D1">
              <w:rPr>
                <w:i/>
              </w:rPr>
              <w:t>‘</w:t>
            </w:r>
            <w:r>
              <w:rPr>
                <w:i/>
              </w:rPr>
              <w:t>Individuals provided with respite and support services</w:t>
            </w:r>
            <w:r w:rsidR="007942D1">
              <w:rPr>
                <w:i/>
              </w:rPr>
              <w:t>’</w:t>
            </w:r>
            <w:r>
              <w:rPr>
                <w:i/>
              </w:rPr>
              <w:t xml:space="preserve"> to better reflect hours of quality service delivery to carers and more accurately capture reporting on proportion of funded unique individual carers receiving support and respite.</w:t>
            </w:r>
          </w:p>
        </w:tc>
      </w:tr>
      <w:tr w:rsidR="00824558" w14:paraId="7947BB43"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AD9C9F2" w14:textId="77777777" w:rsidR="00824558" w:rsidRDefault="00824558">
            <w:pPr>
              <w:ind w:left="170"/>
            </w:pPr>
            <w:r>
              <w:t>University of the Third Age membership</w:t>
            </w:r>
          </w:p>
        </w:tc>
        <w:tc>
          <w:tcPr>
            <w:tcW w:w="964" w:type="dxa"/>
            <w:tcBorders>
              <w:bottom w:val="single" w:sz="6" w:space="0" w:color="auto"/>
            </w:tcBorders>
          </w:tcPr>
          <w:p w14:paraId="0025031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6F32E7E" w14:textId="77777777" w:rsidR="00824558" w:rsidRDefault="00824558">
            <w:pPr>
              <w:cnfStyle w:val="000000000000" w:firstRow="0" w:lastRow="0" w:firstColumn="0" w:lastColumn="0" w:oddVBand="0" w:evenVBand="0" w:oddHBand="0" w:evenHBand="0" w:firstRowFirstColumn="0" w:firstRowLastColumn="0" w:lastRowFirstColumn="0" w:lastRowLastColumn="0"/>
            </w:pPr>
            <w:r>
              <w:t>38 000</w:t>
            </w:r>
          </w:p>
        </w:tc>
        <w:tc>
          <w:tcPr>
            <w:tcW w:w="964" w:type="dxa"/>
            <w:tcBorders>
              <w:bottom w:val="single" w:sz="6" w:space="0" w:color="auto"/>
            </w:tcBorders>
          </w:tcPr>
          <w:p w14:paraId="5A4B5BA9" w14:textId="77777777" w:rsidR="00824558" w:rsidRDefault="00824558">
            <w:pPr>
              <w:cnfStyle w:val="000000000000" w:firstRow="0" w:lastRow="0" w:firstColumn="0" w:lastColumn="0" w:oddVBand="0" w:evenVBand="0" w:oddHBand="0" w:evenHBand="0" w:firstRowFirstColumn="0" w:firstRowLastColumn="0" w:lastRowFirstColumn="0" w:lastRowLastColumn="0"/>
            </w:pPr>
            <w:r>
              <w:t>38 000</w:t>
            </w:r>
          </w:p>
        </w:tc>
        <w:tc>
          <w:tcPr>
            <w:tcW w:w="964" w:type="dxa"/>
            <w:tcBorders>
              <w:bottom w:val="single" w:sz="6" w:space="0" w:color="auto"/>
            </w:tcBorders>
          </w:tcPr>
          <w:p w14:paraId="180839FD" w14:textId="77777777" w:rsidR="00824558" w:rsidRDefault="00824558">
            <w:pPr>
              <w:cnfStyle w:val="000000000000" w:firstRow="0" w:lastRow="0" w:firstColumn="0" w:lastColumn="0" w:oddVBand="0" w:evenVBand="0" w:oddHBand="0" w:evenHBand="0" w:firstRowFirstColumn="0" w:firstRowLastColumn="0" w:lastRowFirstColumn="0" w:lastRowLastColumn="0"/>
            </w:pPr>
            <w:r>
              <w:t>38 000</w:t>
            </w:r>
          </w:p>
        </w:tc>
        <w:tc>
          <w:tcPr>
            <w:tcW w:w="964" w:type="dxa"/>
            <w:tcBorders>
              <w:bottom w:val="single" w:sz="6" w:space="0" w:color="auto"/>
            </w:tcBorders>
          </w:tcPr>
          <w:p w14:paraId="0EA55F5A" w14:textId="77777777" w:rsidR="00824558" w:rsidRDefault="00824558">
            <w:pPr>
              <w:cnfStyle w:val="000000000000" w:firstRow="0" w:lastRow="0" w:firstColumn="0" w:lastColumn="0" w:oddVBand="0" w:evenVBand="0" w:oddHBand="0" w:evenHBand="0" w:firstRowFirstColumn="0" w:firstRowLastColumn="0" w:lastRowFirstColumn="0" w:lastRowLastColumn="0"/>
            </w:pPr>
            <w:r>
              <w:t>40 205</w:t>
            </w:r>
          </w:p>
        </w:tc>
      </w:tr>
      <w:tr w:rsidR="00824558" w:rsidRPr="007D3EA5" w14:paraId="0DF062C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4FE7E2B0" w14:textId="77777777" w:rsidR="00824558" w:rsidRPr="007D3EA5" w:rsidRDefault="00824558">
            <w:pPr>
              <w:keepNext/>
              <w:rPr>
                <w:b/>
              </w:rPr>
            </w:pPr>
            <w:r w:rsidRPr="007D3EA5">
              <w:rPr>
                <w:b/>
              </w:rPr>
              <w:t>Quality</w:t>
            </w:r>
          </w:p>
        </w:tc>
      </w:tr>
      <w:tr w:rsidR="00824558" w14:paraId="0F408E5B"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09B119" w14:textId="77777777" w:rsidR="00824558" w:rsidRDefault="00824558">
            <w:pPr>
              <w:ind w:left="170"/>
            </w:pPr>
            <w:r>
              <w:t>Senior satisfaction with Victorian Seniors Festival events</w:t>
            </w:r>
          </w:p>
        </w:tc>
        <w:tc>
          <w:tcPr>
            <w:tcW w:w="964" w:type="dxa"/>
            <w:tcBorders>
              <w:bottom w:val="single" w:sz="6" w:space="0" w:color="auto"/>
            </w:tcBorders>
          </w:tcPr>
          <w:p w14:paraId="40DBF9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1F5FF0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54606F6" w14:textId="77777777" w:rsidR="00824558" w:rsidRDefault="00824558">
            <w:pPr>
              <w:cnfStyle w:val="000000000000" w:firstRow="0" w:lastRow="0" w:firstColumn="0" w:lastColumn="0" w:oddVBand="0" w:evenVBand="0" w:oddHBand="0" w:evenHBand="0" w:firstRowFirstColumn="0" w:firstRowLastColumn="0" w:lastRowFirstColumn="0" w:lastRowLastColumn="0"/>
            </w:pPr>
            <w:r>
              <w:t>86.3</w:t>
            </w:r>
          </w:p>
        </w:tc>
        <w:tc>
          <w:tcPr>
            <w:tcW w:w="964" w:type="dxa"/>
            <w:tcBorders>
              <w:bottom w:val="single" w:sz="6" w:space="0" w:color="auto"/>
            </w:tcBorders>
          </w:tcPr>
          <w:p w14:paraId="4A85ED86"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EF6059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FE75E9" w:rsidRPr="00DC0EBC" w14:paraId="342A37FE"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7C1E2E6" w14:textId="77777777" w:rsidR="00FE75E9" w:rsidRPr="00DC0EBC" w:rsidRDefault="00FE75E9">
            <w:pPr>
              <w:keepNext/>
              <w:rPr>
                <w:b/>
              </w:rPr>
            </w:pPr>
            <w:r w:rsidRPr="00DC0EBC">
              <w:rPr>
                <w:b/>
              </w:rPr>
              <w:t>Cost</w:t>
            </w:r>
          </w:p>
        </w:tc>
      </w:tr>
      <w:tr w:rsidR="00FE75E9" w14:paraId="740DC684" w14:textId="77777777" w:rsidTr="007E0F55">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52B2EC14" w14:textId="77777777" w:rsidR="00FE75E9" w:rsidRDefault="00FE75E9">
            <w:pPr>
              <w:keepNext/>
              <w:ind w:left="170"/>
            </w:pPr>
            <w:r>
              <w:t>Total output cost</w:t>
            </w:r>
          </w:p>
        </w:tc>
        <w:tc>
          <w:tcPr>
            <w:tcW w:w="964" w:type="dxa"/>
            <w:tcBorders>
              <w:bottom w:val="single" w:sz="12" w:space="0" w:color="auto"/>
            </w:tcBorders>
          </w:tcPr>
          <w:p w14:paraId="3517AF2E"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2F2F2" w:themeFill="background1" w:themeFillShade="F2"/>
          </w:tcPr>
          <w:p w14:paraId="68A85179" w14:textId="4896D7B7" w:rsidR="00FE75E9" w:rsidRPr="004D0078" w:rsidRDefault="007E0F55">
            <w:pPr>
              <w:cnfStyle w:val="000000000000" w:firstRow="0" w:lastRow="0" w:firstColumn="0" w:lastColumn="0" w:oddVBand="0" w:evenVBand="0" w:oddHBand="0" w:evenHBand="0" w:firstRowFirstColumn="0" w:firstRowLastColumn="0" w:lastRowFirstColumn="0" w:lastRowLastColumn="0"/>
              <w:rPr>
                <w:highlight w:val="yellow"/>
              </w:rPr>
            </w:pPr>
            <w:r>
              <w:t>63.6</w:t>
            </w:r>
          </w:p>
        </w:tc>
        <w:tc>
          <w:tcPr>
            <w:tcW w:w="964" w:type="dxa"/>
            <w:tcBorders>
              <w:bottom w:val="single" w:sz="12" w:space="0" w:color="auto"/>
            </w:tcBorders>
          </w:tcPr>
          <w:p w14:paraId="1C4A8007" w14:textId="06CE7BA6" w:rsidR="00FE75E9" w:rsidRPr="004D0078" w:rsidRDefault="003B0550">
            <w:pPr>
              <w:cnfStyle w:val="000000000000" w:firstRow="0" w:lastRow="0" w:firstColumn="0" w:lastColumn="0" w:oddVBand="0" w:evenVBand="0" w:oddHBand="0" w:evenHBand="0" w:firstRowFirstColumn="0" w:firstRowLastColumn="0" w:lastRowFirstColumn="0" w:lastRowLastColumn="0"/>
              <w:rPr>
                <w:highlight w:val="yellow"/>
              </w:rPr>
            </w:pPr>
            <w:r>
              <w:t>64.8</w:t>
            </w:r>
          </w:p>
        </w:tc>
        <w:tc>
          <w:tcPr>
            <w:tcW w:w="964" w:type="dxa"/>
            <w:tcBorders>
              <w:bottom w:val="single" w:sz="12" w:space="0" w:color="auto"/>
            </w:tcBorders>
          </w:tcPr>
          <w:p w14:paraId="711E43B0" w14:textId="7DCD8FAE" w:rsidR="00FE75E9" w:rsidRPr="004D0078" w:rsidRDefault="00E85674">
            <w:pPr>
              <w:cnfStyle w:val="000000000000" w:firstRow="0" w:lastRow="0" w:firstColumn="0" w:lastColumn="0" w:oddVBand="0" w:evenVBand="0" w:oddHBand="0" w:evenHBand="0" w:firstRowFirstColumn="0" w:firstRowLastColumn="0" w:lastRowFirstColumn="0" w:lastRowLastColumn="0"/>
              <w:rPr>
                <w:highlight w:val="yellow"/>
              </w:rPr>
            </w:pPr>
            <w:r>
              <w:t>63.1</w:t>
            </w:r>
          </w:p>
        </w:tc>
        <w:tc>
          <w:tcPr>
            <w:tcW w:w="964" w:type="dxa"/>
            <w:tcBorders>
              <w:bottom w:val="single" w:sz="12" w:space="0" w:color="auto"/>
            </w:tcBorders>
          </w:tcPr>
          <w:p w14:paraId="3117AB27" w14:textId="1BA50105" w:rsidR="00FE75E9" w:rsidRPr="004D0078" w:rsidRDefault="00A15D96">
            <w:pPr>
              <w:cnfStyle w:val="000000000000" w:firstRow="0" w:lastRow="0" w:firstColumn="0" w:lastColumn="0" w:oddVBand="0" w:evenVBand="0" w:oddHBand="0" w:evenHBand="0" w:firstRowFirstColumn="0" w:firstRowLastColumn="0" w:lastRowFirstColumn="0" w:lastRowLastColumn="0"/>
              <w:rPr>
                <w:highlight w:val="yellow"/>
              </w:rPr>
            </w:pPr>
            <w:r>
              <w:t>65.0</w:t>
            </w:r>
          </w:p>
        </w:tc>
      </w:tr>
    </w:tbl>
    <w:p w14:paraId="3AA1E425" w14:textId="77777777" w:rsidR="00824558" w:rsidRDefault="00824558">
      <w:pPr>
        <w:pStyle w:val="Source"/>
      </w:pPr>
      <w:r>
        <w:t>Source: Department of Families, Fairness and Housing</w:t>
      </w:r>
    </w:p>
    <w:p w14:paraId="6FBA23EC" w14:textId="68558968" w:rsidR="00824558" w:rsidRPr="0096616B" w:rsidRDefault="00824558">
      <w:pPr>
        <w:pStyle w:val="Heading3"/>
      </w:pPr>
      <w:r>
        <w:t xml:space="preserve">Support to </w:t>
      </w:r>
      <w:r w:rsidR="001877E3">
        <w:t>V</w:t>
      </w:r>
      <w:r>
        <w:t>eterans in Victoria</w:t>
      </w:r>
      <w:r>
        <w:tab/>
        <w:t>(2026-27: $</w:t>
      </w:r>
      <w:r w:rsidR="00211E21">
        <w:t>12.5</w:t>
      </w:r>
      <w:r>
        <w:t xml:space="preserve"> million)</w:t>
      </w:r>
    </w:p>
    <w:p w14:paraId="530115AF" w14:textId="77777777" w:rsidR="00824558" w:rsidRPr="0096616B" w:rsidRDefault="00824558">
      <w:pPr>
        <w:spacing w:after="120"/>
      </w:pPr>
      <w:r w:rsidRPr="0096616B">
        <w:t>This output provides coordination of veteran-related issues at a state level, especially in relation to commemoration, education programs, grant programs, employment initiatives, research and veteran welfare. This output supports the Shrine of Remembrance and the Victorian Veterans Council.</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37AC6AE"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BA9CBA3" w14:textId="77777777" w:rsidR="00824558" w:rsidRDefault="00824558">
            <w:r>
              <w:t>Performance measure</w:t>
            </w:r>
          </w:p>
        </w:tc>
        <w:tc>
          <w:tcPr>
            <w:tcW w:w="964" w:type="dxa"/>
          </w:tcPr>
          <w:p w14:paraId="6BF6301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E9FB03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F37B09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67EEB8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E1D420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2BBD335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824EDA2" w14:textId="77777777" w:rsidR="00824558" w:rsidRPr="007D3EA5" w:rsidRDefault="00824558">
            <w:pPr>
              <w:keepNext/>
              <w:rPr>
                <w:b/>
              </w:rPr>
            </w:pPr>
            <w:r w:rsidRPr="007D3EA5">
              <w:rPr>
                <w:b/>
              </w:rPr>
              <w:t>Quantity</w:t>
            </w:r>
          </w:p>
        </w:tc>
      </w:tr>
      <w:tr w:rsidR="00824558" w14:paraId="1A91FD69"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466B7F8" w14:textId="77777777" w:rsidR="00824558" w:rsidRDefault="00824558">
            <w:pPr>
              <w:ind w:left="170"/>
            </w:pPr>
            <w:r>
              <w:t>Community engagement – Shrine ceremonial activities, public and student education programs, tours and general visitation</w:t>
            </w:r>
          </w:p>
        </w:tc>
        <w:tc>
          <w:tcPr>
            <w:tcW w:w="964" w:type="dxa"/>
            <w:tcBorders>
              <w:bottom w:val="single" w:sz="6" w:space="0" w:color="auto"/>
            </w:tcBorders>
          </w:tcPr>
          <w:p w14:paraId="43AC5D2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67E02D2" w14:textId="77777777" w:rsidR="00824558" w:rsidRDefault="00824558">
            <w:pPr>
              <w:cnfStyle w:val="000000000000" w:firstRow="0" w:lastRow="0" w:firstColumn="0" w:lastColumn="0" w:oddVBand="0" w:evenVBand="0" w:oddHBand="0" w:evenHBand="0" w:firstRowFirstColumn="0" w:firstRowLastColumn="0" w:lastRowFirstColumn="0" w:lastRowLastColumn="0"/>
            </w:pPr>
            <w:r>
              <w:t>750 000</w:t>
            </w:r>
          </w:p>
        </w:tc>
        <w:tc>
          <w:tcPr>
            <w:tcW w:w="964" w:type="dxa"/>
            <w:tcBorders>
              <w:bottom w:val="single" w:sz="6" w:space="0" w:color="auto"/>
            </w:tcBorders>
          </w:tcPr>
          <w:p w14:paraId="6B3F1CD6" w14:textId="77777777" w:rsidR="00824558" w:rsidRDefault="00824558">
            <w:pPr>
              <w:cnfStyle w:val="000000000000" w:firstRow="0" w:lastRow="0" w:firstColumn="0" w:lastColumn="0" w:oddVBand="0" w:evenVBand="0" w:oddHBand="0" w:evenHBand="0" w:firstRowFirstColumn="0" w:firstRowLastColumn="0" w:lastRowFirstColumn="0" w:lastRowLastColumn="0"/>
            </w:pPr>
            <w:r>
              <w:t>750 000</w:t>
            </w:r>
          </w:p>
        </w:tc>
        <w:tc>
          <w:tcPr>
            <w:tcW w:w="964" w:type="dxa"/>
            <w:tcBorders>
              <w:bottom w:val="single" w:sz="6" w:space="0" w:color="auto"/>
            </w:tcBorders>
          </w:tcPr>
          <w:p w14:paraId="6F4222D1" w14:textId="77777777" w:rsidR="00824558" w:rsidRDefault="00824558">
            <w:pPr>
              <w:cnfStyle w:val="000000000000" w:firstRow="0" w:lastRow="0" w:firstColumn="0" w:lastColumn="0" w:oddVBand="0" w:evenVBand="0" w:oddHBand="0" w:evenHBand="0" w:firstRowFirstColumn="0" w:firstRowLastColumn="0" w:lastRowFirstColumn="0" w:lastRowLastColumn="0"/>
            </w:pPr>
            <w:r>
              <w:t>750 000</w:t>
            </w:r>
          </w:p>
        </w:tc>
        <w:tc>
          <w:tcPr>
            <w:tcW w:w="964" w:type="dxa"/>
            <w:tcBorders>
              <w:bottom w:val="single" w:sz="6" w:space="0" w:color="auto"/>
            </w:tcBorders>
          </w:tcPr>
          <w:p w14:paraId="573EAD7A" w14:textId="77777777" w:rsidR="00824558" w:rsidRDefault="00824558">
            <w:pPr>
              <w:cnfStyle w:val="000000000000" w:firstRow="0" w:lastRow="0" w:firstColumn="0" w:lastColumn="0" w:oddVBand="0" w:evenVBand="0" w:oddHBand="0" w:evenHBand="0" w:firstRowFirstColumn="0" w:firstRowLastColumn="0" w:lastRowFirstColumn="0" w:lastRowLastColumn="0"/>
            </w:pPr>
            <w:r>
              <w:t>1 711 320</w:t>
            </w:r>
          </w:p>
        </w:tc>
      </w:tr>
      <w:tr w:rsidR="00824558" w14:paraId="0C6289D6"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DB361AF" w14:textId="36391441" w:rsidR="00824558" w:rsidRDefault="00824558">
            <w:pPr>
              <w:ind w:left="170"/>
            </w:pPr>
            <w:r>
              <w:t>Entries received</w:t>
            </w:r>
            <w:r w:rsidR="007942D1">
              <w:t xml:space="preserve"> – </w:t>
            </w:r>
            <w:r>
              <w:t>Premier</w:t>
            </w:r>
            <w:r w:rsidR="007942D1">
              <w:t>’</w:t>
            </w:r>
            <w:r>
              <w:t>s Spirit of Anzac Prize</w:t>
            </w:r>
          </w:p>
        </w:tc>
        <w:tc>
          <w:tcPr>
            <w:tcW w:w="964" w:type="dxa"/>
            <w:tcBorders>
              <w:bottom w:val="single" w:sz="6" w:space="0" w:color="auto"/>
            </w:tcBorders>
          </w:tcPr>
          <w:p w14:paraId="15B76DC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8FB918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60BF71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413D70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82DB415" w14:textId="77777777" w:rsidR="00824558" w:rsidRDefault="00824558">
            <w:pPr>
              <w:cnfStyle w:val="000000000000" w:firstRow="0" w:lastRow="0" w:firstColumn="0" w:lastColumn="0" w:oddVBand="0" w:evenVBand="0" w:oddHBand="0" w:evenHBand="0" w:firstRowFirstColumn="0" w:firstRowLastColumn="0" w:lastRowFirstColumn="0" w:lastRowLastColumn="0"/>
            </w:pPr>
            <w:r>
              <w:t>215</w:t>
            </w:r>
          </w:p>
        </w:tc>
      </w:tr>
      <w:tr w:rsidR="00824558" w14:paraId="49230E1C"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B4E8220" w14:textId="77777777" w:rsidR="00824558" w:rsidRDefault="00824558">
            <w:pPr>
              <w:keepNext/>
              <w:ind w:left="170"/>
            </w:pPr>
            <w:r>
              <w:t>Number of veterans employed annually in the Victorian Public Sector</w:t>
            </w:r>
          </w:p>
        </w:tc>
        <w:tc>
          <w:tcPr>
            <w:tcW w:w="964" w:type="dxa"/>
          </w:tcPr>
          <w:p w14:paraId="4DE2E5F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49DBEA7"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02A7D8CD"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Pr>
          <w:p w14:paraId="7C34D290" w14:textId="77777777" w:rsidR="00824558" w:rsidRDefault="00824558">
            <w:pPr>
              <w:cnfStyle w:val="000000000000" w:firstRow="0" w:lastRow="0" w:firstColumn="0" w:lastColumn="0" w:oddVBand="0" w:evenVBand="0" w:oddHBand="0" w:evenHBand="0" w:firstRowFirstColumn="0" w:firstRowLastColumn="0" w:lastRowFirstColumn="0" w:lastRowLastColumn="0"/>
            </w:pPr>
            <w:r>
              <w:t>263</w:t>
            </w:r>
          </w:p>
        </w:tc>
        <w:tc>
          <w:tcPr>
            <w:tcW w:w="964" w:type="dxa"/>
          </w:tcPr>
          <w:p w14:paraId="117ED0F5" w14:textId="77777777" w:rsidR="00824558" w:rsidRDefault="00824558">
            <w:pPr>
              <w:cnfStyle w:val="000000000000" w:firstRow="0" w:lastRow="0" w:firstColumn="0" w:lastColumn="0" w:oddVBand="0" w:evenVBand="0" w:oddHBand="0" w:evenHBand="0" w:firstRowFirstColumn="0" w:firstRowLastColumn="0" w:lastRowFirstColumn="0" w:lastRowLastColumn="0"/>
            </w:pPr>
            <w:r>
              <w:t>255</w:t>
            </w:r>
          </w:p>
        </w:tc>
      </w:tr>
      <w:tr w:rsidR="00824558" w14:paraId="2F074D2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E13078" w14:textId="77777777" w:rsidR="00824558" w:rsidRDefault="00824558">
            <w:pPr>
              <w:ind w:left="170"/>
            </w:pPr>
            <w:r>
              <w:rPr>
                <w:i/>
              </w:rPr>
              <w:t>The 2025-26 expected outcome is lower than the 2025-26 target due to higher retention rates of Defence personnel.</w:t>
            </w:r>
          </w:p>
          <w:p w14:paraId="3A0D65CD" w14:textId="6C272748" w:rsidR="00824558" w:rsidRDefault="00824558">
            <w:pPr>
              <w:ind w:left="170"/>
            </w:pPr>
            <w:r>
              <w:rPr>
                <w:i/>
              </w:rPr>
              <w:t xml:space="preserve">The lower target for 2026-27 compared to 2025-26 is in line with the </w:t>
            </w:r>
            <w:r w:rsidR="00AD66F9">
              <w:rPr>
                <w:i/>
              </w:rPr>
              <w:t>G</w:t>
            </w:r>
            <w:r>
              <w:rPr>
                <w:i/>
              </w:rPr>
              <w:t>overnment</w:t>
            </w:r>
            <w:r w:rsidR="007942D1">
              <w:rPr>
                <w:i/>
              </w:rPr>
              <w:t>’</w:t>
            </w:r>
            <w:r>
              <w:rPr>
                <w:i/>
              </w:rPr>
              <w:t xml:space="preserve">s commitment to employ a further 500 veterans over two years from 2025-26. </w:t>
            </w:r>
          </w:p>
        </w:tc>
      </w:tr>
      <w:tr w:rsidR="00824558" w:rsidRPr="007D3EA5" w14:paraId="55F2A65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4626B4CB" w14:textId="77777777" w:rsidR="00824558" w:rsidRPr="007D3EA5" w:rsidRDefault="00824558">
            <w:pPr>
              <w:keepNext/>
              <w:rPr>
                <w:b/>
              </w:rPr>
            </w:pPr>
            <w:r w:rsidRPr="007D3EA5">
              <w:rPr>
                <w:b/>
              </w:rPr>
              <w:t>Quality</w:t>
            </w:r>
          </w:p>
        </w:tc>
      </w:tr>
      <w:tr w:rsidR="00824558" w14:paraId="7E8B5503"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E516B9" w14:textId="77777777" w:rsidR="00824558" w:rsidRDefault="00824558">
            <w:pPr>
              <w:ind w:left="170"/>
            </w:pPr>
            <w:r>
              <w:t>Commemorative and educative projects meet agreed project objectives</w:t>
            </w:r>
          </w:p>
        </w:tc>
        <w:tc>
          <w:tcPr>
            <w:tcW w:w="964" w:type="dxa"/>
            <w:tcBorders>
              <w:bottom w:val="single" w:sz="6" w:space="0" w:color="auto"/>
            </w:tcBorders>
          </w:tcPr>
          <w:p w14:paraId="67A5A8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93842C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E67EF4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453DFE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0C1314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7D3EA5" w14:paraId="1452DA7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42496274" w14:textId="77777777" w:rsidR="00824558" w:rsidRPr="007D3EA5" w:rsidRDefault="00824558">
            <w:pPr>
              <w:keepNext/>
              <w:rPr>
                <w:b/>
              </w:rPr>
            </w:pPr>
            <w:r w:rsidRPr="007D3EA5">
              <w:rPr>
                <w:b/>
              </w:rPr>
              <w:t>Timeliness</w:t>
            </w:r>
          </w:p>
        </w:tc>
      </w:tr>
      <w:tr w:rsidR="00824558" w14:paraId="5CF0B761"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944818" w14:textId="77777777" w:rsidR="00824558" w:rsidRDefault="00824558">
            <w:pPr>
              <w:ind w:left="170"/>
            </w:pPr>
            <w:r>
              <w:t>Deliver an annual program of grants within agreed, published timelines</w:t>
            </w:r>
          </w:p>
        </w:tc>
        <w:tc>
          <w:tcPr>
            <w:tcW w:w="964" w:type="dxa"/>
            <w:tcBorders>
              <w:bottom w:val="single" w:sz="6" w:space="0" w:color="auto"/>
            </w:tcBorders>
          </w:tcPr>
          <w:p w14:paraId="589EAF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ABB4DA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E9F77C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6C210C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E09E70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FE75E9" w:rsidRPr="00DC0EBC" w14:paraId="3B14D15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BFF455C" w14:textId="77777777" w:rsidR="00FE75E9" w:rsidRPr="00DC0EBC" w:rsidRDefault="00FE75E9">
            <w:pPr>
              <w:keepNext/>
              <w:rPr>
                <w:b/>
              </w:rPr>
            </w:pPr>
            <w:r w:rsidRPr="00DC0EBC">
              <w:rPr>
                <w:b/>
              </w:rPr>
              <w:t>Cost</w:t>
            </w:r>
          </w:p>
        </w:tc>
      </w:tr>
      <w:tr w:rsidR="00FE75E9" w14:paraId="34E6CA6D" w14:textId="77777777" w:rsidTr="00C57410">
        <w:tc>
          <w:tcPr>
            <w:cnfStyle w:val="001000000000" w:firstRow="0" w:lastRow="0" w:firstColumn="1" w:lastColumn="0" w:oddVBand="0" w:evenVBand="0" w:oddHBand="0" w:evenHBand="0" w:firstRowFirstColumn="0" w:firstRowLastColumn="0" w:lastRowFirstColumn="0" w:lastRowLastColumn="0"/>
            <w:tcW w:w="4819" w:type="dxa"/>
          </w:tcPr>
          <w:p w14:paraId="28AF8DE9" w14:textId="77777777" w:rsidR="00FE75E9" w:rsidRDefault="00FE75E9">
            <w:pPr>
              <w:keepNext/>
              <w:ind w:left="170"/>
            </w:pPr>
            <w:r>
              <w:t>Total output cost</w:t>
            </w:r>
          </w:p>
        </w:tc>
        <w:tc>
          <w:tcPr>
            <w:tcW w:w="964" w:type="dxa"/>
          </w:tcPr>
          <w:p w14:paraId="71E3E9ED"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F921179" w14:textId="10CCA2F7" w:rsidR="00FE75E9" w:rsidRPr="004D0078" w:rsidRDefault="00775991">
            <w:pPr>
              <w:cnfStyle w:val="000000000000" w:firstRow="0" w:lastRow="0" w:firstColumn="0" w:lastColumn="0" w:oddVBand="0" w:evenVBand="0" w:oddHBand="0" w:evenHBand="0" w:firstRowFirstColumn="0" w:firstRowLastColumn="0" w:lastRowFirstColumn="0" w:lastRowLastColumn="0"/>
              <w:rPr>
                <w:highlight w:val="yellow"/>
              </w:rPr>
            </w:pPr>
            <w:r>
              <w:t>12.5</w:t>
            </w:r>
          </w:p>
        </w:tc>
        <w:tc>
          <w:tcPr>
            <w:tcW w:w="964" w:type="dxa"/>
          </w:tcPr>
          <w:p w14:paraId="31B529D9" w14:textId="6A9C4155" w:rsidR="00FE75E9" w:rsidRPr="004D0078" w:rsidRDefault="003D2932">
            <w:pPr>
              <w:cnfStyle w:val="000000000000" w:firstRow="0" w:lastRow="0" w:firstColumn="0" w:lastColumn="0" w:oddVBand="0" w:evenVBand="0" w:oddHBand="0" w:evenHBand="0" w:firstRowFirstColumn="0" w:firstRowLastColumn="0" w:lastRowFirstColumn="0" w:lastRowLastColumn="0"/>
              <w:rPr>
                <w:highlight w:val="yellow"/>
              </w:rPr>
            </w:pPr>
            <w:r>
              <w:t>18.9</w:t>
            </w:r>
          </w:p>
        </w:tc>
        <w:tc>
          <w:tcPr>
            <w:tcW w:w="964" w:type="dxa"/>
          </w:tcPr>
          <w:p w14:paraId="0E1329F9" w14:textId="622B7E91" w:rsidR="00FE75E9" w:rsidRPr="004D0078" w:rsidRDefault="00FC1202">
            <w:pPr>
              <w:cnfStyle w:val="000000000000" w:firstRow="0" w:lastRow="0" w:firstColumn="0" w:lastColumn="0" w:oddVBand="0" w:evenVBand="0" w:oddHBand="0" w:evenHBand="0" w:firstRowFirstColumn="0" w:firstRowLastColumn="0" w:lastRowFirstColumn="0" w:lastRowLastColumn="0"/>
              <w:rPr>
                <w:highlight w:val="yellow"/>
              </w:rPr>
            </w:pPr>
            <w:r>
              <w:t>20.2</w:t>
            </w:r>
          </w:p>
        </w:tc>
        <w:tc>
          <w:tcPr>
            <w:tcW w:w="964" w:type="dxa"/>
          </w:tcPr>
          <w:p w14:paraId="103DFB85" w14:textId="00A810CA" w:rsidR="00FE75E9" w:rsidRPr="004D0078" w:rsidRDefault="00C57410">
            <w:pPr>
              <w:cnfStyle w:val="000000000000" w:firstRow="0" w:lastRow="0" w:firstColumn="0" w:lastColumn="0" w:oddVBand="0" w:evenVBand="0" w:oddHBand="0" w:evenHBand="0" w:firstRowFirstColumn="0" w:firstRowLastColumn="0" w:lastRowFirstColumn="0" w:lastRowLastColumn="0"/>
              <w:rPr>
                <w:highlight w:val="yellow"/>
              </w:rPr>
            </w:pPr>
            <w:r>
              <w:t>10.2</w:t>
            </w:r>
          </w:p>
        </w:tc>
      </w:tr>
      <w:tr w:rsidR="004C3EA8" w14:paraId="1308DEF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2EDACBF" w14:textId="26D36DF4" w:rsidR="004C3EA8" w:rsidRPr="00FE598E" w:rsidRDefault="00FE598E" w:rsidP="00FE598E">
            <w:pPr>
              <w:ind w:left="170"/>
              <w:rPr>
                <w:i/>
              </w:rPr>
            </w:pPr>
            <w:r w:rsidRPr="00FE598E">
              <w:rPr>
                <w:i/>
              </w:rPr>
              <w:t>The lower 2025-26 expected outcome primarily reflects revised delivery timelines for government policy initiatives.</w:t>
            </w:r>
          </w:p>
        </w:tc>
      </w:tr>
      <w:tr w:rsidR="00C57410" w14:paraId="1422580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0067E27" w14:textId="760400A3" w:rsidR="00C57410" w:rsidRDefault="004C3EA8" w:rsidP="00FE598E">
            <w:pPr>
              <w:ind w:left="170"/>
            </w:pPr>
            <w:r w:rsidRPr="00FE598E">
              <w:rPr>
                <w:i/>
              </w:rPr>
              <w:t xml:space="preserve">The lower 2026-27 target primarily reflects the revised delivery timeline for the </w:t>
            </w:r>
            <w:r w:rsidR="00A752CD">
              <w:rPr>
                <w:i/>
              </w:rPr>
              <w:t xml:space="preserve">National </w:t>
            </w:r>
            <w:r w:rsidRPr="00FE598E">
              <w:rPr>
                <w:i/>
              </w:rPr>
              <w:t xml:space="preserve">Vietnam </w:t>
            </w:r>
            <w:r w:rsidR="00A752CD">
              <w:rPr>
                <w:i/>
              </w:rPr>
              <w:t>V</w:t>
            </w:r>
            <w:r w:rsidRPr="00FE598E">
              <w:rPr>
                <w:i/>
              </w:rPr>
              <w:t xml:space="preserve">eterans </w:t>
            </w:r>
            <w:r w:rsidR="00A752CD">
              <w:rPr>
                <w:i/>
              </w:rPr>
              <w:t>M</w:t>
            </w:r>
            <w:r w:rsidRPr="00FE598E">
              <w:rPr>
                <w:i/>
              </w:rPr>
              <w:t>useum</w:t>
            </w:r>
            <w:r w:rsidR="000C1329">
              <w:rPr>
                <w:i/>
              </w:rPr>
              <w:t xml:space="preserve"> redevelopment project</w:t>
            </w:r>
            <w:r w:rsidRPr="00FE598E">
              <w:rPr>
                <w:i/>
              </w:rPr>
              <w:t>.</w:t>
            </w:r>
          </w:p>
        </w:tc>
      </w:tr>
    </w:tbl>
    <w:p w14:paraId="19B7FB27" w14:textId="77777777" w:rsidR="00824558" w:rsidRDefault="00824558">
      <w:pPr>
        <w:pStyle w:val="Source"/>
      </w:pPr>
      <w:r>
        <w:t>Source: Department of Families, Fairness and Housing</w:t>
      </w:r>
    </w:p>
    <w:p w14:paraId="7669C0A9" w14:textId="275C5278" w:rsidR="00824558" w:rsidRDefault="00824558">
      <w:pPr>
        <w:pStyle w:val="Heading3"/>
      </w:pPr>
      <w:r>
        <w:lastRenderedPageBreak/>
        <w:t xml:space="preserve">LGBTIQA+ </w:t>
      </w:r>
      <w:r w:rsidR="001877E3">
        <w:t>Equality Policy</w:t>
      </w:r>
      <w:r>
        <w:t xml:space="preserve"> and </w:t>
      </w:r>
      <w:r w:rsidR="001877E3">
        <w:t>Programs</w:t>
      </w:r>
      <w:r>
        <w:tab/>
        <w:t>(2026-27: $</w:t>
      </w:r>
      <w:r w:rsidR="00FF0F47">
        <w:t>11.2</w:t>
      </w:r>
      <w:r>
        <w:t xml:space="preserve"> million)</w:t>
      </w:r>
    </w:p>
    <w:p w14:paraId="52111432" w14:textId="77777777" w:rsidR="00824558" w:rsidRPr="00013A05" w:rsidRDefault="00824558" w:rsidP="006823B9">
      <w:pPr>
        <w:keepNext/>
        <w:spacing w:after="120"/>
      </w:pPr>
      <w:r w:rsidRPr="00013A05">
        <w:t>This output provides programs and services to promote equality for LGBTIQA+ Victorians and to support the economic, social and civic participation of these communities.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C032671"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440A54B" w14:textId="77777777" w:rsidR="00824558" w:rsidRDefault="00824558">
            <w:r>
              <w:t>Performance measure</w:t>
            </w:r>
          </w:p>
        </w:tc>
        <w:tc>
          <w:tcPr>
            <w:tcW w:w="964" w:type="dxa"/>
          </w:tcPr>
          <w:p w14:paraId="6F1213FF"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396114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F20A89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2F017E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FD290A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7535CB32"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6FE66822" w14:textId="77777777" w:rsidR="00824558" w:rsidRPr="007D3EA5" w:rsidRDefault="00824558">
            <w:pPr>
              <w:keepNext/>
              <w:rPr>
                <w:b/>
              </w:rPr>
            </w:pPr>
            <w:r w:rsidRPr="007D3EA5">
              <w:rPr>
                <w:b/>
              </w:rPr>
              <w:t>Quantity</w:t>
            </w:r>
          </w:p>
        </w:tc>
      </w:tr>
      <w:tr w:rsidR="00824558" w14:paraId="4AC3AB2F"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BC13E44" w14:textId="77777777" w:rsidR="00824558" w:rsidRDefault="00824558">
            <w:pPr>
              <w:ind w:left="170"/>
            </w:pPr>
            <w:r>
              <w:t>Number of people engaged through a Trans and Gender Diverse Peer Support Program</w:t>
            </w:r>
          </w:p>
        </w:tc>
        <w:tc>
          <w:tcPr>
            <w:tcW w:w="964" w:type="dxa"/>
            <w:tcBorders>
              <w:bottom w:val="single" w:sz="6" w:space="0" w:color="auto"/>
            </w:tcBorders>
          </w:tcPr>
          <w:p w14:paraId="2F7E8F5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54DF83D"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Borders>
              <w:bottom w:val="single" w:sz="6" w:space="0" w:color="auto"/>
            </w:tcBorders>
          </w:tcPr>
          <w:p w14:paraId="3B390AC3"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Borders>
              <w:bottom w:val="single" w:sz="6" w:space="0" w:color="auto"/>
            </w:tcBorders>
          </w:tcPr>
          <w:p w14:paraId="165EA313"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Borders>
              <w:bottom w:val="single" w:sz="6" w:space="0" w:color="auto"/>
            </w:tcBorders>
          </w:tcPr>
          <w:p w14:paraId="47A2C746" w14:textId="77777777" w:rsidR="00824558" w:rsidRDefault="00824558">
            <w:pPr>
              <w:cnfStyle w:val="000000000000" w:firstRow="0" w:lastRow="0" w:firstColumn="0" w:lastColumn="0" w:oddVBand="0" w:evenVBand="0" w:oddHBand="0" w:evenHBand="0" w:firstRowFirstColumn="0" w:firstRowLastColumn="0" w:lastRowFirstColumn="0" w:lastRowLastColumn="0"/>
            </w:pPr>
            <w:r>
              <w:t>474</w:t>
            </w:r>
          </w:p>
        </w:tc>
      </w:tr>
      <w:tr w:rsidR="00824558" w14:paraId="6ED929EA"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F8B1359" w14:textId="77777777" w:rsidR="00824558" w:rsidRDefault="00824558">
            <w:pPr>
              <w:ind w:left="170"/>
            </w:pPr>
            <w:r>
              <w:t>Number of services engaged for Rainbow Tick accreditation</w:t>
            </w:r>
          </w:p>
        </w:tc>
        <w:tc>
          <w:tcPr>
            <w:tcW w:w="964" w:type="dxa"/>
            <w:tcBorders>
              <w:bottom w:val="single" w:sz="6" w:space="0" w:color="auto"/>
            </w:tcBorders>
          </w:tcPr>
          <w:p w14:paraId="25721F0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61D9714"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5839A8F0"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3712F4C0"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6D44435D" w14:textId="77777777" w:rsidR="00824558" w:rsidRDefault="00824558">
            <w:pPr>
              <w:cnfStyle w:val="000000000000" w:firstRow="0" w:lastRow="0" w:firstColumn="0" w:lastColumn="0" w:oddVBand="0" w:evenVBand="0" w:oddHBand="0" w:evenHBand="0" w:firstRowFirstColumn="0" w:firstRowLastColumn="0" w:lastRowFirstColumn="0" w:lastRowLastColumn="0"/>
            </w:pPr>
            <w:r>
              <w:t>31</w:t>
            </w:r>
          </w:p>
        </w:tc>
      </w:tr>
      <w:tr w:rsidR="00824558" w14:paraId="01E40010"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C29DBD6" w14:textId="77777777" w:rsidR="00824558" w:rsidRDefault="00824558">
            <w:pPr>
              <w:keepNext/>
              <w:ind w:left="170"/>
            </w:pPr>
            <w:r>
              <w:t>Proportion of LGBTIQA+ competitive grant program recipients that are supporting regional and rural communities</w:t>
            </w:r>
          </w:p>
        </w:tc>
        <w:tc>
          <w:tcPr>
            <w:tcW w:w="964" w:type="dxa"/>
          </w:tcPr>
          <w:p w14:paraId="0CE374E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D0801A2"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07335D2D"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588A3919"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49BD654C" w14:textId="77777777" w:rsidR="00824558" w:rsidRDefault="00824558">
            <w:pPr>
              <w:cnfStyle w:val="000000000000" w:firstRow="0" w:lastRow="0" w:firstColumn="0" w:lastColumn="0" w:oddVBand="0" w:evenVBand="0" w:oddHBand="0" w:evenHBand="0" w:firstRowFirstColumn="0" w:firstRowLastColumn="0" w:lastRowFirstColumn="0" w:lastRowLastColumn="0"/>
            </w:pPr>
            <w:r>
              <w:t>25.4</w:t>
            </w:r>
          </w:p>
        </w:tc>
      </w:tr>
      <w:tr w:rsidR="00824558" w14:paraId="7A45E07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2E3050F" w14:textId="67EAD1E6" w:rsidR="00824558" w:rsidRDefault="00824558">
            <w:pPr>
              <w:ind w:left="170"/>
            </w:pPr>
            <w:r w:rsidDel="009A6AC2">
              <w:rPr>
                <w:i/>
              </w:rPr>
              <w:t xml:space="preserve">This performance measure renames the 2025-26 performance measure </w:t>
            </w:r>
            <w:r w:rsidR="007942D1">
              <w:rPr>
                <w:i/>
              </w:rPr>
              <w:t>‘</w:t>
            </w:r>
            <w:r>
              <w:rPr>
                <w:i/>
              </w:rPr>
              <w:t>Proportion of LGBTIQA+ grant program recipients who are located in regional and rural areas</w:t>
            </w:r>
            <w:r w:rsidR="007942D1">
              <w:rPr>
                <w:i/>
              </w:rPr>
              <w:t>’</w:t>
            </w:r>
            <w:r>
              <w:rPr>
                <w:i/>
              </w:rPr>
              <w:t>.</w:t>
            </w:r>
            <w:r w:rsidDel="009A6AC2">
              <w:rPr>
                <w:i/>
              </w:rPr>
              <w:t xml:space="preserve"> </w:t>
            </w:r>
            <w:r>
              <w:rPr>
                <w:i/>
              </w:rPr>
              <w:t xml:space="preserve">This performance measure has been renamed to better describe how the </w:t>
            </w:r>
            <w:r w:rsidR="009907FA">
              <w:rPr>
                <w:i/>
              </w:rPr>
              <w:t>D</w:t>
            </w:r>
            <w:r>
              <w:rPr>
                <w:i/>
              </w:rPr>
              <w:t xml:space="preserve">epartment has measured and will continue to measure its performance. It makes clear that only </w:t>
            </w:r>
            <w:r w:rsidR="007942D1">
              <w:rPr>
                <w:i/>
              </w:rPr>
              <w:t>‘</w:t>
            </w:r>
            <w:r>
              <w:rPr>
                <w:i/>
              </w:rPr>
              <w:t>competitive</w:t>
            </w:r>
            <w:r w:rsidR="007942D1">
              <w:rPr>
                <w:i/>
              </w:rPr>
              <w:t>’</w:t>
            </w:r>
            <w:r>
              <w:rPr>
                <w:i/>
              </w:rPr>
              <w:t xml:space="preserve"> grant allocations (as distinct from strategic or </w:t>
            </w:r>
            <w:r w:rsidR="007942D1">
              <w:rPr>
                <w:i/>
              </w:rPr>
              <w:t>‘</w:t>
            </w:r>
            <w:r>
              <w:rPr>
                <w:i/>
              </w:rPr>
              <w:t>non-competitive</w:t>
            </w:r>
            <w:r w:rsidR="007942D1">
              <w:rPr>
                <w:i/>
              </w:rPr>
              <w:t>’</w:t>
            </w:r>
            <w:r>
              <w:rPr>
                <w:i/>
              </w:rPr>
              <w:t xml:space="preserve"> allocations) are included, and that metropolitan-based/statewide organisations whose projects will primarily support regional/rural communities are also captured in this measure.</w:t>
            </w:r>
          </w:p>
        </w:tc>
      </w:tr>
      <w:tr w:rsidR="00FE75E9" w:rsidRPr="00DC0EBC" w14:paraId="54D3DD2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2FB7C15" w14:textId="77777777" w:rsidR="00FE75E9" w:rsidRPr="00DC0EBC" w:rsidRDefault="00FE75E9">
            <w:pPr>
              <w:keepNext/>
              <w:rPr>
                <w:b/>
              </w:rPr>
            </w:pPr>
            <w:r w:rsidRPr="00DC0EBC">
              <w:rPr>
                <w:b/>
              </w:rPr>
              <w:t>Cost</w:t>
            </w:r>
          </w:p>
        </w:tc>
      </w:tr>
      <w:tr w:rsidR="00FE75E9" w14:paraId="7F07B3C5" w14:textId="77777777" w:rsidTr="00EC2327">
        <w:tc>
          <w:tcPr>
            <w:cnfStyle w:val="001000000000" w:firstRow="0" w:lastRow="0" w:firstColumn="1" w:lastColumn="0" w:oddVBand="0" w:evenVBand="0" w:oddHBand="0" w:evenHBand="0" w:firstRowFirstColumn="0" w:firstRowLastColumn="0" w:lastRowFirstColumn="0" w:lastRowLastColumn="0"/>
            <w:tcW w:w="4819" w:type="dxa"/>
          </w:tcPr>
          <w:p w14:paraId="5ED85C30" w14:textId="77777777" w:rsidR="00FE75E9" w:rsidRDefault="00FE75E9">
            <w:pPr>
              <w:keepNext/>
              <w:ind w:left="170"/>
            </w:pPr>
            <w:r>
              <w:t>Total output cost</w:t>
            </w:r>
          </w:p>
        </w:tc>
        <w:tc>
          <w:tcPr>
            <w:tcW w:w="964" w:type="dxa"/>
          </w:tcPr>
          <w:p w14:paraId="2D5585AA"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4F597A2" w14:textId="48F17F97" w:rsidR="00FE75E9" w:rsidRPr="004D0078" w:rsidRDefault="00C670BC">
            <w:pPr>
              <w:cnfStyle w:val="000000000000" w:firstRow="0" w:lastRow="0" w:firstColumn="0" w:lastColumn="0" w:oddVBand="0" w:evenVBand="0" w:oddHBand="0" w:evenHBand="0" w:firstRowFirstColumn="0" w:firstRowLastColumn="0" w:lastRowFirstColumn="0" w:lastRowLastColumn="0"/>
              <w:rPr>
                <w:highlight w:val="yellow"/>
              </w:rPr>
            </w:pPr>
            <w:r>
              <w:t>11.2</w:t>
            </w:r>
          </w:p>
        </w:tc>
        <w:tc>
          <w:tcPr>
            <w:tcW w:w="964" w:type="dxa"/>
          </w:tcPr>
          <w:p w14:paraId="1CC709A1" w14:textId="3DBB2952" w:rsidR="00FE75E9" w:rsidRPr="004D0078" w:rsidRDefault="00B95964">
            <w:pPr>
              <w:cnfStyle w:val="000000000000" w:firstRow="0" w:lastRow="0" w:firstColumn="0" w:lastColumn="0" w:oddVBand="0" w:evenVBand="0" w:oddHBand="0" w:evenHBand="0" w:firstRowFirstColumn="0" w:firstRowLastColumn="0" w:lastRowFirstColumn="0" w:lastRowLastColumn="0"/>
              <w:rPr>
                <w:highlight w:val="yellow"/>
              </w:rPr>
            </w:pPr>
            <w:r>
              <w:t>10.4</w:t>
            </w:r>
          </w:p>
        </w:tc>
        <w:tc>
          <w:tcPr>
            <w:tcW w:w="964" w:type="dxa"/>
          </w:tcPr>
          <w:p w14:paraId="1AC92EEC" w14:textId="5188F839" w:rsidR="00FE75E9" w:rsidRPr="004D0078" w:rsidRDefault="005B7DFE">
            <w:pPr>
              <w:cnfStyle w:val="000000000000" w:firstRow="0" w:lastRow="0" w:firstColumn="0" w:lastColumn="0" w:oddVBand="0" w:evenVBand="0" w:oddHBand="0" w:evenHBand="0" w:firstRowFirstColumn="0" w:firstRowLastColumn="0" w:lastRowFirstColumn="0" w:lastRowLastColumn="0"/>
              <w:rPr>
                <w:highlight w:val="yellow"/>
              </w:rPr>
            </w:pPr>
            <w:r>
              <w:t>10.5</w:t>
            </w:r>
          </w:p>
        </w:tc>
        <w:tc>
          <w:tcPr>
            <w:tcW w:w="964" w:type="dxa"/>
          </w:tcPr>
          <w:p w14:paraId="3319C783" w14:textId="173612EF" w:rsidR="00FE75E9" w:rsidRPr="004D0078" w:rsidRDefault="00EC2327">
            <w:pPr>
              <w:cnfStyle w:val="000000000000" w:firstRow="0" w:lastRow="0" w:firstColumn="0" w:lastColumn="0" w:oddVBand="0" w:evenVBand="0" w:oddHBand="0" w:evenHBand="0" w:firstRowFirstColumn="0" w:firstRowLastColumn="0" w:lastRowFirstColumn="0" w:lastRowLastColumn="0"/>
              <w:rPr>
                <w:highlight w:val="yellow"/>
              </w:rPr>
            </w:pPr>
            <w:r>
              <w:t>11.6</w:t>
            </w:r>
          </w:p>
        </w:tc>
      </w:tr>
      <w:tr w:rsidR="00EC2327" w14:paraId="743D397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2C32A5E" w14:textId="0B5E2377" w:rsidR="00EC2327" w:rsidRDefault="00350A55" w:rsidP="00350A55">
            <w:pPr>
              <w:ind w:left="170"/>
            </w:pPr>
            <w:r w:rsidRPr="00350A55">
              <w:rPr>
                <w:i/>
              </w:rPr>
              <w:t>The higher 2026-27 target primarily reflects additional funding for government initiatives, such as Delivering pride in our future.</w:t>
            </w:r>
          </w:p>
        </w:tc>
      </w:tr>
    </w:tbl>
    <w:p w14:paraId="65C1727F" w14:textId="77777777" w:rsidR="00824558" w:rsidRDefault="00824558">
      <w:pPr>
        <w:pStyle w:val="Source"/>
      </w:pPr>
      <w:r>
        <w:t>Source: Department of Families, Fairness and Housing</w:t>
      </w:r>
    </w:p>
    <w:p w14:paraId="49526BBF" w14:textId="64BB31D3" w:rsidR="00824558" w:rsidRDefault="00824558">
      <w:pPr>
        <w:pStyle w:val="Heading3"/>
      </w:pPr>
      <w:r>
        <w:t>Women</w:t>
      </w:r>
      <w:r w:rsidR="007942D1">
        <w:t>’</w:t>
      </w:r>
      <w:r>
        <w:t>s Policy</w:t>
      </w:r>
      <w:r>
        <w:tab/>
        <w:t>(2026-27: $</w:t>
      </w:r>
      <w:r w:rsidR="00DD066F">
        <w:t>15.6</w:t>
      </w:r>
      <w:r>
        <w:t xml:space="preserve"> million)</w:t>
      </w:r>
    </w:p>
    <w:p w14:paraId="79FC50A8" w14:textId="77777777" w:rsidR="00824558" w:rsidRPr="00DF084B" w:rsidRDefault="00824558">
      <w:pPr>
        <w:spacing w:after="120"/>
      </w:pPr>
      <w:r w:rsidRPr="00DF084B">
        <w:t>This output provides initiatives that support gender equality and better outcomes for women across all areas of their lives including economic security, safety, leadership, health and wellbeing.</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B5AC3BA"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FAF27CD" w14:textId="77777777" w:rsidR="00824558" w:rsidRDefault="00824558">
            <w:r>
              <w:t>Performance measure</w:t>
            </w:r>
          </w:p>
        </w:tc>
        <w:tc>
          <w:tcPr>
            <w:tcW w:w="964" w:type="dxa"/>
          </w:tcPr>
          <w:p w14:paraId="5D96DD88"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FBD801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3E91DA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124256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2BCAD8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1EAEB14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41397AE" w14:textId="77777777" w:rsidR="00824558" w:rsidRPr="007D3EA5" w:rsidRDefault="00824558">
            <w:pPr>
              <w:keepNext/>
              <w:rPr>
                <w:b/>
              </w:rPr>
            </w:pPr>
            <w:r w:rsidRPr="007D3EA5">
              <w:rPr>
                <w:b/>
              </w:rPr>
              <w:t>Quantity</w:t>
            </w:r>
          </w:p>
        </w:tc>
      </w:tr>
      <w:tr w:rsidR="00824558" w14:paraId="46E540EC"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ED393B6" w14:textId="77777777" w:rsidR="00824558" w:rsidRDefault="00824558">
            <w:pPr>
              <w:ind w:left="170"/>
            </w:pPr>
            <w:r>
              <w:t>Percentage of women on Victorian Government boards</w:t>
            </w:r>
          </w:p>
        </w:tc>
        <w:tc>
          <w:tcPr>
            <w:tcW w:w="964" w:type="dxa"/>
            <w:tcBorders>
              <w:bottom w:val="single" w:sz="6" w:space="0" w:color="auto"/>
            </w:tcBorders>
          </w:tcPr>
          <w:p w14:paraId="05D6795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FF90E37"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Borders>
              <w:bottom w:val="single" w:sz="6" w:space="0" w:color="auto"/>
            </w:tcBorders>
          </w:tcPr>
          <w:p w14:paraId="60A31C22" w14:textId="77777777" w:rsidR="00824558" w:rsidRDefault="00824558">
            <w:pPr>
              <w:cnfStyle w:val="000000000000" w:firstRow="0" w:lastRow="0" w:firstColumn="0" w:lastColumn="0" w:oddVBand="0" w:evenVBand="0" w:oddHBand="0" w:evenHBand="0" w:firstRowFirstColumn="0" w:firstRowLastColumn="0" w:lastRowFirstColumn="0" w:lastRowLastColumn="0"/>
            </w:pPr>
            <w:r>
              <w:t>52</w:t>
            </w:r>
          </w:p>
        </w:tc>
        <w:tc>
          <w:tcPr>
            <w:tcW w:w="964" w:type="dxa"/>
            <w:tcBorders>
              <w:bottom w:val="single" w:sz="6" w:space="0" w:color="auto"/>
            </w:tcBorders>
          </w:tcPr>
          <w:p w14:paraId="6C7B417B"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Borders>
              <w:bottom w:val="single" w:sz="6" w:space="0" w:color="auto"/>
            </w:tcBorders>
          </w:tcPr>
          <w:p w14:paraId="4F8BF28F" w14:textId="77777777" w:rsidR="00824558" w:rsidRDefault="00824558">
            <w:pPr>
              <w:cnfStyle w:val="000000000000" w:firstRow="0" w:lastRow="0" w:firstColumn="0" w:lastColumn="0" w:oddVBand="0" w:evenVBand="0" w:oddHBand="0" w:evenHBand="0" w:firstRowFirstColumn="0" w:firstRowLastColumn="0" w:lastRowFirstColumn="0" w:lastRowLastColumn="0"/>
            </w:pPr>
            <w:r>
              <w:t>53</w:t>
            </w:r>
          </w:p>
        </w:tc>
      </w:tr>
      <w:tr w:rsidR="00824558" w:rsidRPr="007D3EA5" w14:paraId="50D0546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63F889EE" w14:textId="77777777" w:rsidR="00824558" w:rsidRPr="007D3EA5" w:rsidRDefault="00824558">
            <w:pPr>
              <w:keepNext/>
              <w:rPr>
                <w:b/>
              </w:rPr>
            </w:pPr>
            <w:r w:rsidRPr="007D3EA5">
              <w:rPr>
                <w:b/>
              </w:rPr>
              <w:t>Quality</w:t>
            </w:r>
          </w:p>
        </w:tc>
      </w:tr>
      <w:tr w:rsidR="00824558" w14:paraId="416BFAA0"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63424D81" w14:textId="77777777" w:rsidR="00824558" w:rsidRDefault="00824558">
            <w:pPr>
              <w:keepNext/>
              <w:ind w:left="170"/>
            </w:pPr>
            <w:r>
              <w:t>Gender equality contracted organisations who met or exceeded contractually agreed outcomes</w:t>
            </w:r>
          </w:p>
        </w:tc>
        <w:tc>
          <w:tcPr>
            <w:tcW w:w="964" w:type="dxa"/>
          </w:tcPr>
          <w:p w14:paraId="01A42B2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218301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4FAA42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E7916F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667213B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74408A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7A921B" w14:textId="6EB7E426" w:rsidR="00824558" w:rsidRDefault="00824558">
            <w:pPr>
              <w:ind w:left="170"/>
            </w:pPr>
            <w:r>
              <w:rPr>
                <w:i/>
              </w:rPr>
              <w:t xml:space="preserve">This performance measure renames the 2025-26 performance measure </w:t>
            </w:r>
            <w:r w:rsidR="007942D1">
              <w:rPr>
                <w:i/>
              </w:rPr>
              <w:t>‘</w:t>
            </w:r>
            <w:r>
              <w:rPr>
                <w:i/>
              </w:rPr>
              <w:t>Gender equality grant recipients who met or exceeded contractually agreed outcomes</w:t>
            </w:r>
            <w:r w:rsidR="007942D1">
              <w:rPr>
                <w:i/>
              </w:rPr>
              <w:t>’</w:t>
            </w:r>
            <w:r>
              <w:rPr>
                <w:i/>
              </w:rPr>
              <w:t>. The new measure reports on the same activity as the previous measure however has been amended for increased clarity, to capture funding arrangements outside of grants (e.g. procurement and/or service agreements).</w:t>
            </w:r>
          </w:p>
        </w:tc>
      </w:tr>
      <w:tr w:rsidR="00824558" w14:paraId="40EAAC6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80D99C8" w14:textId="77777777" w:rsidR="00824558" w:rsidRDefault="00824558">
            <w:pPr>
              <w:keepNext/>
              <w:ind w:left="170"/>
            </w:pPr>
            <w:r>
              <w:t>Satisfaction rate of resources, guidelines and support provided by the Commission for Gender Equality in the Public Sector</w:t>
            </w:r>
          </w:p>
        </w:tc>
        <w:tc>
          <w:tcPr>
            <w:tcW w:w="964" w:type="dxa"/>
          </w:tcPr>
          <w:p w14:paraId="1CD16BB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91D3D9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1CFBC77"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97E046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27D030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644F947"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5E53C3F" w14:textId="62FBAC55" w:rsidR="00824558" w:rsidRPr="000A4F45" w:rsidRDefault="00824558">
            <w:pPr>
              <w:ind w:left="170"/>
              <w:rPr>
                <w:i/>
              </w:rPr>
            </w:pPr>
            <w:r w:rsidRPr="000A4F45">
              <w:rPr>
                <w:i/>
              </w:rPr>
              <w:t xml:space="preserve">This performance measure will replace the 2025-26 performance measure </w:t>
            </w:r>
            <w:r w:rsidR="007942D1">
              <w:rPr>
                <w:i/>
              </w:rPr>
              <w:t>‘</w:t>
            </w:r>
            <w:r w:rsidRPr="000A4F45">
              <w:rPr>
                <w:i/>
              </w:rPr>
              <w:t xml:space="preserve">Tools, resources and guidelines to support the </w:t>
            </w:r>
            <w:r w:rsidRPr="00BE08F1">
              <w:t xml:space="preserve">Gender Equality Act 2020 </w:t>
            </w:r>
            <w:r w:rsidRPr="000A4F45">
              <w:rPr>
                <w:i/>
              </w:rPr>
              <w:t>implementation are completed within agreed timeframes</w:t>
            </w:r>
            <w:r w:rsidR="007942D1">
              <w:rPr>
                <w:i/>
              </w:rPr>
              <w:t>’</w:t>
            </w:r>
            <w:r w:rsidRPr="000A4F45">
              <w:rPr>
                <w:i/>
              </w:rPr>
              <w:t xml:space="preserve"> to recognise the </w:t>
            </w:r>
            <w:r>
              <w:rPr>
                <w:i/>
              </w:rPr>
              <w:t>implementation phase of the reforms is completed</w:t>
            </w:r>
            <w:r w:rsidRPr="000A4F45">
              <w:rPr>
                <w:i/>
              </w:rPr>
              <w:t>.</w:t>
            </w:r>
          </w:p>
        </w:tc>
      </w:tr>
      <w:tr w:rsidR="00824558" w:rsidRPr="007D3EA5" w14:paraId="508827E2"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5F1C0211" w14:textId="77777777" w:rsidR="00824558" w:rsidRPr="007D3EA5" w:rsidRDefault="00824558">
            <w:pPr>
              <w:keepNext/>
              <w:rPr>
                <w:b/>
              </w:rPr>
            </w:pPr>
            <w:r w:rsidRPr="007D3EA5">
              <w:rPr>
                <w:b/>
              </w:rPr>
              <w:t>Timeliness</w:t>
            </w:r>
          </w:p>
        </w:tc>
      </w:tr>
      <w:tr w:rsidR="00824558" w14:paraId="6669F6A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26EDD8D" w14:textId="1BB512D8" w:rsidR="00824558" w:rsidRDefault="00824558">
            <w:pPr>
              <w:ind w:left="170"/>
            </w:pPr>
            <w:r>
              <w:t>Women</w:t>
            </w:r>
            <w:r w:rsidR="007942D1">
              <w:t>’</w:t>
            </w:r>
            <w:r>
              <w:t>s Portfolio projects and programs delivered on time</w:t>
            </w:r>
          </w:p>
        </w:tc>
        <w:tc>
          <w:tcPr>
            <w:tcW w:w="964" w:type="dxa"/>
            <w:tcBorders>
              <w:bottom w:val="single" w:sz="6" w:space="0" w:color="auto"/>
            </w:tcBorders>
          </w:tcPr>
          <w:p w14:paraId="4236128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F71E0F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ED063B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B8DF9E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0B838D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FE75E9" w:rsidRPr="00DC0EBC" w14:paraId="3261147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F6D624D" w14:textId="77777777" w:rsidR="00FE75E9" w:rsidRPr="00DC0EBC" w:rsidRDefault="00FE75E9">
            <w:pPr>
              <w:keepNext/>
              <w:rPr>
                <w:b/>
              </w:rPr>
            </w:pPr>
            <w:r w:rsidRPr="00DC0EBC">
              <w:rPr>
                <w:b/>
              </w:rPr>
              <w:t>Cost</w:t>
            </w:r>
          </w:p>
        </w:tc>
      </w:tr>
      <w:tr w:rsidR="00FE75E9" w14:paraId="1CFC9823" w14:textId="77777777" w:rsidTr="00F93635">
        <w:tc>
          <w:tcPr>
            <w:cnfStyle w:val="001000000000" w:firstRow="0" w:lastRow="0" w:firstColumn="1" w:lastColumn="0" w:oddVBand="0" w:evenVBand="0" w:oddHBand="0" w:evenHBand="0" w:firstRowFirstColumn="0" w:firstRowLastColumn="0" w:lastRowFirstColumn="0" w:lastRowLastColumn="0"/>
            <w:tcW w:w="4819" w:type="dxa"/>
          </w:tcPr>
          <w:p w14:paraId="5159FF2D" w14:textId="77777777" w:rsidR="00FE75E9" w:rsidRDefault="00FE75E9">
            <w:pPr>
              <w:keepNext/>
              <w:ind w:left="170"/>
            </w:pPr>
            <w:r>
              <w:t>Total output cost</w:t>
            </w:r>
          </w:p>
        </w:tc>
        <w:tc>
          <w:tcPr>
            <w:tcW w:w="964" w:type="dxa"/>
          </w:tcPr>
          <w:p w14:paraId="049F502C"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6ED34DE5" w14:textId="2829A066" w:rsidR="00FE75E9" w:rsidRPr="004D0078" w:rsidRDefault="005F628D">
            <w:pPr>
              <w:cnfStyle w:val="000000000000" w:firstRow="0" w:lastRow="0" w:firstColumn="0" w:lastColumn="0" w:oddVBand="0" w:evenVBand="0" w:oddHBand="0" w:evenHBand="0" w:firstRowFirstColumn="0" w:firstRowLastColumn="0" w:lastRowFirstColumn="0" w:lastRowLastColumn="0"/>
              <w:rPr>
                <w:highlight w:val="yellow"/>
              </w:rPr>
            </w:pPr>
            <w:r>
              <w:t>15.6</w:t>
            </w:r>
          </w:p>
        </w:tc>
        <w:tc>
          <w:tcPr>
            <w:tcW w:w="964" w:type="dxa"/>
          </w:tcPr>
          <w:p w14:paraId="3B6046F3" w14:textId="4CCE8571" w:rsidR="00FE75E9" w:rsidRPr="004D0078" w:rsidRDefault="00A800AF">
            <w:pPr>
              <w:cnfStyle w:val="000000000000" w:firstRow="0" w:lastRow="0" w:firstColumn="0" w:lastColumn="0" w:oddVBand="0" w:evenVBand="0" w:oddHBand="0" w:evenHBand="0" w:firstRowFirstColumn="0" w:firstRowLastColumn="0" w:lastRowFirstColumn="0" w:lastRowLastColumn="0"/>
              <w:rPr>
                <w:highlight w:val="yellow"/>
              </w:rPr>
            </w:pPr>
            <w:r>
              <w:t>16.8</w:t>
            </w:r>
          </w:p>
        </w:tc>
        <w:tc>
          <w:tcPr>
            <w:tcW w:w="964" w:type="dxa"/>
          </w:tcPr>
          <w:p w14:paraId="778E9C62" w14:textId="18BD2D0E" w:rsidR="00FE75E9" w:rsidRPr="004D0078" w:rsidRDefault="00BB46CA">
            <w:pPr>
              <w:cnfStyle w:val="000000000000" w:firstRow="0" w:lastRow="0" w:firstColumn="0" w:lastColumn="0" w:oddVBand="0" w:evenVBand="0" w:oddHBand="0" w:evenHBand="0" w:firstRowFirstColumn="0" w:firstRowLastColumn="0" w:lastRowFirstColumn="0" w:lastRowLastColumn="0"/>
              <w:rPr>
                <w:highlight w:val="yellow"/>
              </w:rPr>
            </w:pPr>
            <w:r>
              <w:t>15.9</w:t>
            </w:r>
          </w:p>
        </w:tc>
        <w:tc>
          <w:tcPr>
            <w:tcW w:w="964" w:type="dxa"/>
          </w:tcPr>
          <w:p w14:paraId="35126013" w14:textId="39FD1FB9" w:rsidR="00FE75E9" w:rsidRPr="004D0078" w:rsidRDefault="00F93635">
            <w:pPr>
              <w:cnfStyle w:val="000000000000" w:firstRow="0" w:lastRow="0" w:firstColumn="0" w:lastColumn="0" w:oddVBand="0" w:evenVBand="0" w:oddHBand="0" w:evenHBand="0" w:firstRowFirstColumn="0" w:firstRowLastColumn="0" w:lastRowFirstColumn="0" w:lastRowLastColumn="0"/>
              <w:rPr>
                <w:highlight w:val="yellow"/>
              </w:rPr>
            </w:pPr>
            <w:r>
              <w:t>24.5</w:t>
            </w:r>
          </w:p>
        </w:tc>
      </w:tr>
      <w:tr w:rsidR="00F93635" w14:paraId="6B68580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A3C03BD" w14:textId="1A43F3F5" w:rsidR="00F93635" w:rsidRDefault="00856F1C" w:rsidP="00856F1C">
            <w:pPr>
              <w:ind w:left="170"/>
            </w:pPr>
            <w:r w:rsidRPr="00856F1C">
              <w:rPr>
                <w:i/>
                <w:iCs/>
              </w:rPr>
              <w:t>The higher 2025-26 expected outcome primarily reflects revised delivery timelines for Free Pads and Tampons in Public Places</w:t>
            </w:r>
            <w:r w:rsidRPr="00856F1C">
              <w:t>.</w:t>
            </w:r>
          </w:p>
        </w:tc>
      </w:tr>
    </w:tbl>
    <w:p w14:paraId="0A2887CA" w14:textId="77777777" w:rsidR="00824558" w:rsidRDefault="00824558">
      <w:pPr>
        <w:pStyle w:val="Source"/>
      </w:pPr>
      <w:r>
        <w:t>Source: Department of Families, Fairness and Housing</w:t>
      </w:r>
    </w:p>
    <w:p w14:paraId="307C6A72" w14:textId="4B90EBD0" w:rsidR="00824558" w:rsidRDefault="00824558">
      <w:pPr>
        <w:pStyle w:val="Heading3"/>
      </w:pPr>
      <w:r>
        <w:lastRenderedPageBreak/>
        <w:t>Youth</w:t>
      </w:r>
      <w:r>
        <w:tab/>
        <w:t>(2026-27: $</w:t>
      </w:r>
      <w:r w:rsidR="00ED7C67">
        <w:t>33.0</w:t>
      </w:r>
      <w:r>
        <w:t xml:space="preserve"> million)</w:t>
      </w:r>
    </w:p>
    <w:p w14:paraId="300C6BDC" w14:textId="77777777" w:rsidR="00824558" w:rsidRPr="005B1BDE" w:rsidRDefault="00824558" w:rsidP="006823B9">
      <w:pPr>
        <w:keepNext/>
        <w:spacing w:after="120"/>
      </w:pPr>
      <w:r w:rsidRPr="005B1BDE">
        <w:t>This output leads and coordinates whole of government policy advice and delivers a range of initiatives for young people aged between 12 and 25 years to gain a range of skills and experiences and to actively participate in their local communities.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D464E29"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792A598" w14:textId="77777777" w:rsidR="00824558" w:rsidRDefault="00824558">
            <w:r>
              <w:t>Performance measure</w:t>
            </w:r>
          </w:p>
        </w:tc>
        <w:tc>
          <w:tcPr>
            <w:tcW w:w="964" w:type="dxa"/>
          </w:tcPr>
          <w:p w14:paraId="7FE7ADC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602AB4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F71593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A77B8F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E00BC5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3FCD6E80"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0D318524" w14:textId="77777777" w:rsidR="00824558" w:rsidRPr="007D3EA5" w:rsidRDefault="00824558">
            <w:pPr>
              <w:keepNext/>
              <w:rPr>
                <w:b/>
              </w:rPr>
            </w:pPr>
            <w:r w:rsidRPr="007D3EA5">
              <w:rPr>
                <w:b/>
              </w:rPr>
              <w:t>Quantity</w:t>
            </w:r>
          </w:p>
        </w:tc>
      </w:tr>
      <w:tr w:rsidR="00824558" w14:paraId="58673CF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4714F5B9" w14:textId="77777777" w:rsidR="00824558" w:rsidRDefault="00824558">
            <w:pPr>
              <w:keepNext/>
              <w:ind w:left="170"/>
            </w:pPr>
            <w:r>
              <w:t>Number of Scout Hall capital projects completed</w:t>
            </w:r>
          </w:p>
        </w:tc>
        <w:tc>
          <w:tcPr>
            <w:tcW w:w="964" w:type="dxa"/>
          </w:tcPr>
          <w:p w14:paraId="0A23902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15DE8C2"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5AB723FB"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3EEC354B"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06C54150"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4CA2527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9B3564" w14:textId="77777777" w:rsidR="00824558" w:rsidRDefault="00824558">
            <w:pPr>
              <w:ind w:left="170"/>
            </w:pPr>
            <w:r>
              <w:rPr>
                <w:i/>
              </w:rPr>
              <w:t>The 2025-26 expected outcome is lower than the 2025-26 target due to minor changes to the delivery timeline for one Scout Hall upgrade project by Scouts Victoria.</w:t>
            </w:r>
          </w:p>
          <w:p w14:paraId="5C5BE663" w14:textId="77777777" w:rsidR="00824558" w:rsidRDefault="00824558">
            <w:pPr>
              <w:ind w:left="170"/>
            </w:pPr>
            <w:r>
              <w:rPr>
                <w:i/>
              </w:rPr>
              <w:t>The higher 2026-27 target reflects a minor change in the completion timeline for Scout Hall projects funded in previous state budgets.</w:t>
            </w:r>
          </w:p>
        </w:tc>
      </w:tr>
      <w:tr w:rsidR="00824558" w14:paraId="06384016"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A4335D1" w14:textId="77777777" w:rsidR="00824558" w:rsidRDefault="00824558">
            <w:pPr>
              <w:keepNext/>
              <w:ind w:left="170"/>
            </w:pPr>
            <w:r>
              <w:t>Participation by young people in programs that provide opportunities to be involved in decision making in their community</w:t>
            </w:r>
          </w:p>
        </w:tc>
        <w:tc>
          <w:tcPr>
            <w:tcW w:w="964" w:type="dxa"/>
          </w:tcPr>
          <w:p w14:paraId="4F7453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B1D896" w14:textId="77777777" w:rsidR="00824558" w:rsidRDefault="00824558">
            <w:pPr>
              <w:cnfStyle w:val="000000000000" w:firstRow="0" w:lastRow="0" w:firstColumn="0" w:lastColumn="0" w:oddVBand="0" w:evenVBand="0" w:oddHBand="0" w:evenHBand="0" w:firstRowFirstColumn="0" w:firstRowLastColumn="0" w:lastRowFirstColumn="0" w:lastRowLastColumn="0"/>
            </w:pPr>
            <w:r>
              <w:t>2 800</w:t>
            </w:r>
          </w:p>
        </w:tc>
        <w:tc>
          <w:tcPr>
            <w:tcW w:w="964" w:type="dxa"/>
          </w:tcPr>
          <w:p w14:paraId="0DCED7B9"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533696E4"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70479BFE" w14:textId="565A94E3" w:rsidR="00824558" w:rsidRDefault="00824558">
            <w:pPr>
              <w:cnfStyle w:val="000000000000" w:firstRow="0" w:lastRow="0" w:firstColumn="0" w:lastColumn="0" w:oddVBand="0" w:evenVBand="0" w:oddHBand="0" w:evenHBand="0" w:firstRowFirstColumn="0" w:firstRowLastColumn="0" w:lastRowFirstColumn="0" w:lastRowLastColumn="0"/>
            </w:pPr>
            <w:r>
              <w:t>3 732 (</w:t>
            </w:r>
            <w:r w:rsidR="0083311D">
              <w:t>estimate</w:t>
            </w:r>
            <w:r>
              <w:t>)</w:t>
            </w:r>
          </w:p>
        </w:tc>
      </w:tr>
      <w:tr w:rsidR="00824558" w14:paraId="03852407"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FF332E" w14:textId="063B6AB4" w:rsidR="00824558" w:rsidRDefault="00824558">
            <w:pPr>
              <w:ind w:left="170"/>
            </w:pPr>
            <w:r>
              <w:rPr>
                <w:i/>
              </w:rPr>
              <w:t>The 2025-26 expected outcome is higher than the target due to higher than anticipated engagement in initiatives that involve young people in decision</w:t>
            </w:r>
            <w:r w:rsidR="00BB30FB">
              <w:rPr>
                <w:i/>
              </w:rPr>
              <w:t>-</w:t>
            </w:r>
            <w:r>
              <w:rPr>
                <w:i/>
              </w:rPr>
              <w:t xml:space="preserve">making. One key program that contributes to this measure, Victorian Youth Fest, significantly exceeded its expected target for this measure with much higher engagement of young people in planning committees. </w:t>
            </w:r>
          </w:p>
          <w:p w14:paraId="775B4579" w14:textId="30791D56" w:rsidR="00824558" w:rsidRDefault="00824558">
            <w:pPr>
              <w:ind w:left="170"/>
            </w:pPr>
            <w:r>
              <w:rPr>
                <w:i/>
              </w:rPr>
              <w:t>The higher 2026-27 target reflects increased youth engagement in decision</w:t>
            </w:r>
            <w:r w:rsidR="00BB30FB">
              <w:rPr>
                <w:i/>
              </w:rPr>
              <w:t>-</w:t>
            </w:r>
            <w:r>
              <w:rPr>
                <w:i/>
              </w:rPr>
              <w:t>making roles across Youth portfolio funded programs.</w:t>
            </w:r>
          </w:p>
        </w:tc>
      </w:tr>
      <w:tr w:rsidR="00824558" w14:paraId="24DD5475"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5C3D7C4" w14:textId="77777777" w:rsidR="00824558" w:rsidRDefault="00824558">
            <w:pPr>
              <w:keepNext/>
              <w:ind w:left="170"/>
            </w:pPr>
            <w:r>
              <w:t>Participation by young people in programs that provide opportunities to be involved in social and economic life in their communities</w:t>
            </w:r>
          </w:p>
        </w:tc>
        <w:tc>
          <w:tcPr>
            <w:tcW w:w="964" w:type="dxa"/>
          </w:tcPr>
          <w:p w14:paraId="65394F0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2996455" w14:textId="77777777" w:rsidR="00824558" w:rsidRDefault="00824558">
            <w:pPr>
              <w:cnfStyle w:val="000000000000" w:firstRow="0" w:lastRow="0" w:firstColumn="0" w:lastColumn="0" w:oddVBand="0" w:evenVBand="0" w:oddHBand="0" w:evenHBand="0" w:firstRowFirstColumn="0" w:firstRowLastColumn="0" w:lastRowFirstColumn="0" w:lastRowLastColumn="0"/>
            </w:pPr>
            <w:r>
              <w:t>155 000</w:t>
            </w:r>
          </w:p>
        </w:tc>
        <w:tc>
          <w:tcPr>
            <w:tcW w:w="964" w:type="dxa"/>
          </w:tcPr>
          <w:p w14:paraId="31AAF1D6" w14:textId="77777777" w:rsidR="00824558" w:rsidRDefault="00824558">
            <w:pPr>
              <w:cnfStyle w:val="000000000000" w:firstRow="0" w:lastRow="0" w:firstColumn="0" w:lastColumn="0" w:oddVBand="0" w:evenVBand="0" w:oddHBand="0" w:evenHBand="0" w:firstRowFirstColumn="0" w:firstRowLastColumn="0" w:lastRowFirstColumn="0" w:lastRowLastColumn="0"/>
            </w:pPr>
            <w:r>
              <w:t>160 000</w:t>
            </w:r>
          </w:p>
        </w:tc>
        <w:tc>
          <w:tcPr>
            <w:tcW w:w="964" w:type="dxa"/>
          </w:tcPr>
          <w:p w14:paraId="060C7A3C" w14:textId="77777777" w:rsidR="00824558" w:rsidRDefault="00824558">
            <w:pPr>
              <w:cnfStyle w:val="000000000000" w:firstRow="0" w:lastRow="0" w:firstColumn="0" w:lastColumn="0" w:oddVBand="0" w:evenVBand="0" w:oddHBand="0" w:evenHBand="0" w:firstRowFirstColumn="0" w:firstRowLastColumn="0" w:lastRowFirstColumn="0" w:lastRowLastColumn="0"/>
            </w:pPr>
            <w:r>
              <w:t>155 000</w:t>
            </w:r>
          </w:p>
        </w:tc>
        <w:tc>
          <w:tcPr>
            <w:tcW w:w="964" w:type="dxa"/>
          </w:tcPr>
          <w:p w14:paraId="27B9FAF5" w14:textId="53D07FE1" w:rsidR="00824558" w:rsidRDefault="00824558">
            <w:pPr>
              <w:cnfStyle w:val="000000000000" w:firstRow="0" w:lastRow="0" w:firstColumn="0" w:lastColumn="0" w:oddVBand="0" w:evenVBand="0" w:oddHBand="0" w:evenHBand="0" w:firstRowFirstColumn="0" w:firstRowLastColumn="0" w:lastRowFirstColumn="0" w:lastRowLastColumn="0"/>
            </w:pPr>
            <w:r>
              <w:t>260 780 (</w:t>
            </w:r>
            <w:r w:rsidR="0083311D">
              <w:t>estimate</w:t>
            </w:r>
            <w:r>
              <w:t>)</w:t>
            </w:r>
          </w:p>
        </w:tc>
      </w:tr>
      <w:tr w:rsidR="00824558" w14:paraId="7BF9357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FDE2F8" w14:textId="77777777" w:rsidR="00824558" w:rsidRDefault="00824558">
            <w:pPr>
              <w:ind w:left="170"/>
            </w:pPr>
            <w:r>
              <w:rPr>
                <w:i/>
              </w:rPr>
              <w:t xml:space="preserve">The 2025-26 expected outcome is higher than the target due to higher than expected participation in funded youth programs. </w:t>
            </w:r>
          </w:p>
        </w:tc>
      </w:tr>
      <w:tr w:rsidR="00824558" w:rsidRPr="007D3EA5" w14:paraId="5A35623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284C2E4" w14:textId="77777777" w:rsidR="00824558" w:rsidRPr="007D3EA5" w:rsidRDefault="00824558">
            <w:pPr>
              <w:keepNext/>
              <w:rPr>
                <w:b/>
              </w:rPr>
            </w:pPr>
            <w:r w:rsidRPr="007D3EA5">
              <w:rPr>
                <w:b/>
              </w:rPr>
              <w:t>Quality</w:t>
            </w:r>
          </w:p>
        </w:tc>
      </w:tr>
      <w:tr w:rsidR="00824558" w14:paraId="0FA5A7A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04E8F0" w14:textId="77777777" w:rsidR="00824558" w:rsidRDefault="00824558">
            <w:pPr>
              <w:ind w:left="170"/>
            </w:pPr>
            <w:r>
              <w:t>Percentage of grant recipients who met or exceeded contractually agreed project outcomes</w:t>
            </w:r>
          </w:p>
        </w:tc>
        <w:tc>
          <w:tcPr>
            <w:tcW w:w="964" w:type="dxa"/>
            <w:tcBorders>
              <w:bottom w:val="single" w:sz="6" w:space="0" w:color="auto"/>
            </w:tcBorders>
          </w:tcPr>
          <w:p w14:paraId="506911A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9D83FE3"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2817D516"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35567CDE"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52011C40"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rsidRPr="007D3EA5" w14:paraId="47C8318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611D9ACA" w14:textId="77777777" w:rsidR="00824558" w:rsidRPr="007D3EA5" w:rsidRDefault="00824558">
            <w:pPr>
              <w:keepNext/>
              <w:rPr>
                <w:b/>
              </w:rPr>
            </w:pPr>
            <w:r w:rsidRPr="007D3EA5">
              <w:rPr>
                <w:b/>
              </w:rPr>
              <w:t>Timeliness</w:t>
            </w:r>
          </w:p>
        </w:tc>
      </w:tr>
      <w:tr w:rsidR="00824558" w14:paraId="741E0397"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62071A3" w14:textId="77777777" w:rsidR="00824558" w:rsidRDefault="00824558">
            <w:pPr>
              <w:ind w:left="170"/>
            </w:pPr>
            <w:r>
              <w:t>Percentage of programs delivered within agreed timeframes</w:t>
            </w:r>
          </w:p>
        </w:tc>
        <w:tc>
          <w:tcPr>
            <w:tcW w:w="964" w:type="dxa"/>
            <w:tcBorders>
              <w:bottom w:val="single" w:sz="6" w:space="0" w:color="auto"/>
            </w:tcBorders>
          </w:tcPr>
          <w:p w14:paraId="05B46E8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00211A"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7E02E544"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50226799"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52ED4933"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FE75E9" w:rsidRPr="00DC0EBC" w14:paraId="0076693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A497E13" w14:textId="77777777" w:rsidR="00FE75E9" w:rsidRPr="00DC0EBC" w:rsidRDefault="00FE75E9">
            <w:pPr>
              <w:keepNext/>
              <w:rPr>
                <w:b/>
              </w:rPr>
            </w:pPr>
            <w:r w:rsidRPr="00DC0EBC">
              <w:rPr>
                <w:b/>
              </w:rPr>
              <w:t>Cost</w:t>
            </w:r>
          </w:p>
        </w:tc>
      </w:tr>
      <w:tr w:rsidR="00FE75E9" w14:paraId="045E9B72" w14:textId="77777777" w:rsidTr="009729B2">
        <w:tc>
          <w:tcPr>
            <w:cnfStyle w:val="001000000000" w:firstRow="0" w:lastRow="0" w:firstColumn="1" w:lastColumn="0" w:oddVBand="0" w:evenVBand="0" w:oddHBand="0" w:evenHBand="0" w:firstRowFirstColumn="0" w:firstRowLastColumn="0" w:lastRowFirstColumn="0" w:lastRowLastColumn="0"/>
            <w:tcW w:w="4819" w:type="dxa"/>
          </w:tcPr>
          <w:p w14:paraId="59AFDD77" w14:textId="77777777" w:rsidR="00FE75E9" w:rsidRDefault="00FE75E9">
            <w:pPr>
              <w:keepNext/>
              <w:ind w:left="170"/>
            </w:pPr>
            <w:r>
              <w:t>Total output cost</w:t>
            </w:r>
          </w:p>
        </w:tc>
        <w:tc>
          <w:tcPr>
            <w:tcW w:w="964" w:type="dxa"/>
          </w:tcPr>
          <w:p w14:paraId="4AD000B0"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28B738CE" w14:textId="3CF15C9C" w:rsidR="00FE75E9" w:rsidRPr="004D0078" w:rsidRDefault="00DB1FF2">
            <w:pPr>
              <w:cnfStyle w:val="000000000000" w:firstRow="0" w:lastRow="0" w:firstColumn="0" w:lastColumn="0" w:oddVBand="0" w:evenVBand="0" w:oddHBand="0" w:evenHBand="0" w:firstRowFirstColumn="0" w:firstRowLastColumn="0" w:lastRowFirstColumn="0" w:lastRowLastColumn="0"/>
              <w:rPr>
                <w:highlight w:val="yellow"/>
              </w:rPr>
            </w:pPr>
            <w:r>
              <w:t>33.0</w:t>
            </w:r>
          </w:p>
        </w:tc>
        <w:tc>
          <w:tcPr>
            <w:tcW w:w="964" w:type="dxa"/>
          </w:tcPr>
          <w:p w14:paraId="180AFAA6" w14:textId="1953FEB7" w:rsidR="00FE75E9" w:rsidRPr="004D0078" w:rsidRDefault="00341019">
            <w:pPr>
              <w:cnfStyle w:val="000000000000" w:firstRow="0" w:lastRow="0" w:firstColumn="0" w:lastColumn="0" w:oddVBand="0" w:evenVBand="0" w:oddHBand="0" w:evenHBand="0" w:firstRowFirstColumn="0" w:firstRowLastColumn="0" w:lastRowFirstColumn="0" w:lastRowLastColumn="0"/>
              <w:rPr>
                <w:highlight w:val="yellow"/>
              </w:rPr>
            </w:pPr>
            <w:r>
              <w:t>36.4</w:t>
            </w:r>
          </w:p>
        </w:tc>
        <w:tc>
          <w:tcPr>
            <w:tcW w:w="964" w:type="dxa"/>
          </w:tcPr>
          <w:p w14:paraId="783E748A" w14:textId="2E2842D3" w:rsidR="00FE75E9" w:rsidRPr="004D0078" w:rsidRDefault="00426306">
            <w:pPr>
              <w:cnfStyle w:val="000000000000" w:firstRow="0" w:lastRow="0" w:firstColumn="0" w:lastColumn="0" w:oddVBand="0" w:evenVBand="0" w:oddHBand="0" w:evenHBand="0" w:firstRowFirstColumn="0" w:firstRowLastColumn="0" w:lastRowFirstColumn="0" w:lastRowLastColumn="0"/>
              <w:rPr>
                <w:highlight w:val="yellow"/>
              </w:rPr>
            </w:pPr>
            <w:r>
              <w:t>30.9</w:t>
            </w:r>
          </w:p>
        </w:tc>
        <w:tc>
          <w:tcPr>
            <w:tcW w:w="964" w:type="dxa"/>
          </w:tcPr>
          <w:p w14:paraId="0F09C1DB" w14:textId="6F8C604C" w:rsidR="00FE75E9" w:rsidRPr="004D0078" w:rsidRDefault="009729B2">
            <w:pPr>
              <w:cnfStyle w:val="000000000000" w:firstRow="0" w:lastRow="0" w:firstColumn="0" w:lastColumn="0" w:oddVBand="0" w:evenVBand="0" w:oddHBand="0" w:evenHBand="0" w:firstRowFirstColumn="0" w:firstRowLastColumn="0" w:lastRowFirstColumn="0" w:lastRowLastColumn="0"/>
              <w:rPr>
                <w:highlight w:val="yellow"/>
              </w:rPr>
            </w:pPr>
            <w:r>
              <w:t>31.7</w:t>
            </w:r>
          </w:p>
        </w:tc>
      </w:tr>
      <w:tr w:rsidR="009729B2" w14:paraId="670B74C6" w14:textId="77777777" w:rsidTr="009D2784">
        <w:tc>
          <w:tcPr>
            <w:cnfStyle w:val="001000000000" w:firstRow="0" w:lastRow="0" w:firstColumn="1" w:lastColumn="0" w:oddVBand="0" w:evenVBand="0" w:oddHBand="0" w:evenHBand="0" w:firstRowFirstColumn="0" w:firstRowLastColumn="0" w:lastRowFirstColumn="0" w:lastRowLastColumn="0"/>
            <w:tcW w:w="9639" w:type="dxa"/>
            <w:gridSpan w:val="6"/>
          </w:tcPr>
          <w:p w14:paraId="3A3A3B8D" w14:textId="26BC739E" w:rsidR="009729B2" w:rsidRDefault="009D2784" w:rsidP="009D2784">
            <w:pPr>
              <w:ind w:left="170"/>
            </w:pPr>
            <w:r w:rsidRPr="009D2784">
              <w:rPr>
                <w:i/>
              </w:rPr>
              <w:t xml:space="preserve">The higher 2025-26 expected outcome primarily reflects additional funding for government initiatives, such as Living Learning Program and the Serious Consequences Early Intervention </w:t>
            </w:r>
            <w:r w:rsidR="004E05AB">
              <w:rPr>
                <w:i/>
              </w:rPr>
              <w:t>plan</w:t>
            </w:r>
            <w:r w:rsidRPr="009D2784">
              <w:rPr>
                <w:i/>
              </w:rPr>
              <w:t>.</w:t>
            </w:r>
          </w:p>
        </w:tc>
      </w:tr>
      <w:tr w:rsidR="009D2784" w14:paraId="2B163B6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719FD46" w14:textId="144F70E1" w:rsidR="009D2784" w:rsidRPr="009D2784" w:rsidRDefault="00063FE4" w:rsidP="009D2784">
            <w:pPr>
              <w:ind w:left="170"/>
              <w:rPr>
                <w:i/>
              </w:rPr>
            </w:pPr>
            <w:r w:rsidRPr="00432588">
              <w:rPr>
                <w:i/>
                <w:iCs/>
              </w:rPr>
              <w:t>The higher 2026-27 target primarily reflects additional funding for government initiatives, such as the Serious Consequences</w:t>
            </w:r>
            <w:r>
              <w:rPr>
                <w:i/>
                <w:iCs/>
              </w:rPr>
              <w:t>,</w:t>
            </w:r>
            <w:r w:rsidRPr="00432588">
              <w:rPr>
                <w:i/>
                <w:iCs/>
              </w:rPr>
              <w:t xml:space="preserve"> Early</w:t>
            </w:r>
            <w:r w:rsidR="0017507E">
              <w:rPr>
                <w:i/>
                <w:iCs/>
              </w:rPr>
              <w:t> </w:t>
            </w:r>
            <w:r w:rsidRPr="00432588">
              <w:rPr>
                <w:i/>
                <w:iCs/>
              </w:rPr>
              <w:t>Intervention Package.</w:t>
            </w:r>
          </w:p>
        </w:tc>
      </w:tr>
    </w:tbl>
    <w:p w14:paraId="3E7C9E6F" w14:textId="77777777" w:rsidR="00824558" w:rsidRDefault="00824558">
      <w:pPr>
        <w:pStyle w:val="Source"/>
      </w:pPr>
      <w:r>
        <w:t>Source: Department of Families, Fairness and Housing</w:t>
      </w:r>
    </w:p>
    <w:p w14:paraId="6D18D06F" w14:textId="583E62BD" w:rsidR="00824558" w:rsidRDefault="00824558">
      <w:pPr>
        <w:keepLines w:val="0"/>
      </w:pPr>
    </w:p>
    <w:p w14:paraId="13133E86" w14:textId="77777777" w:rsidR="005761C3" w:rsidRDefault="005761C3">
      <w:pPr>
        <w:keepLines w:val="0"/>
        <w:rPr>
          <w:rFonts w:asciiTheme="majorHAnsi" w:hAnsiTheme="majorHAnsi" w:cstheme="minorBidi"/>
          <w:b/>
          <w:sz w:val="20"/>
        </w:rPr>
      </w:pPr>
      <w:r>
        <w:br w:type="page"/>
      </w:r>
    </w:p>
    <w:p w14:paraId="6C0133F3" w14:textId="77777777" w:rsidR="00824558" w:rsidRDefault="00824558">
      <w:pPr>
        <w:pStyle w:val="ShadedBoxHeading"/>
      </w:pPr>
      <w:r>
        <w:lastRenderedPageBreak/>
        <w:t>Objective 3: All Victorians have stable, affordable and appropriate housing</w:t>
      </w:r>
    </w:p>
    <w:p w14:paraId="0532D469" w14:textId="77777777" w:rsidR="00824558" w:rsidRDefault="00824558">
      <w:pPr>
        <w:pStyle w:val="ShadedBoxText"/>
      </w:pPr>
      <w:r>
        <w:t>This objective aims to ensure Victorians have safe homes that provide emotional and physical sanctuary. Victorians have security of tenure in housing that is appropriate to their needs, including that it is accessible, high quality, affordable and tailored to them. This outcome includes supports to address and reduce housing insecurity and homelessness, to enable suitable housing for all.</w:t>
      </w:r>
    </w:p>
    <w:p w14:paraId="0A0B7F9D" w14:textId="77777777" w:rsidR="00824558" w:rsidRDefault="00824558">
      <w:pPr>
        <w:pStyle w:val="ShadedBoxText"/>
      </w:pPr>
      <w:r>
        <w:t>To succeed we will:</w:t>
      </w:r>
    </w:p>
    <w:p w14:paraId="762B57BD" w14:textId="088B6497" w:rsidR="00824558" w:rsidRDefault="00824558">
      <w:pPr>
        <w:pStyle w:val="ShadedBoxBullet"/>
      </w:pPr>
      <w:r>
        <w:t>increase the supply and availability of quality housing within people</w:t>
      </w:r>
      <w:r w:rsidR="007942D1">
        <w:t>’</w:t>
      </w:r>
      <w:r>
        <w:t>s means</w:t>
      </w:r>
    </w:p>
    <w:p w14:paraId="77D1E637" w14:textId="77777777" w:rsidR="00824558" w:rsidRDefault="00824558">
      <w:pPr>
        <w:pStyle w:val="ShadedBoxBullet"/>
      </w:pPr>
      <w:r>
        <w:t>improve the quality, environmental sustainability, appropriateness and accessibility of social housing</w:t>
      </w:r>
    </w:p>
    <w:p w14:paraId="4A79D639" w14:textId="77777777" w:rsidR="00824558" w:rsidRDefault="00824558">
      <w:pPr>
        <w:pStyle w:val="ShadedBoxBullet"/>
      </w:pPr>
      <w:r>
        <w:t>increase housing stability for people experiencing or at risk of rough sleeping, homelessness, and other insecure housing arrangements</w:t>
      </w:r>
    </w:p>
    <w:p w14:paraId="3F1C277E" w14:textId="77777777" w:rsidR="00824558" w:rsidRDefault="00824558">
      <w:pPr>
        <w:pStyle w:val="ShadedBoxBullet"/>
      </w:pPr>
      <w:r>
        <w:t>increase financial ability to access and maintain housing and utility services</w:t>
      </w:r>
    </w:p>
    <w:p w14:paraId="3623DDFF" w14:textId="6F9B5753" w:rsidR="00824558" w:rsidRDefault="00824558">
      <w:pPr>
        <w:pStyle w:val="ShadedBoxBullet"/>
      </w:pPr>
      <w:r>
        <w:t>increase Aboriginal residents</w:t>
      </w:r>
      <w:r w:rsidR="007942D1">
        <w:t>’</w:t>
      </w:r>
      <w:r>
        <w:t xml:space="preserve"> connection to community, culture and place</w:t>
      </w:r>
    </w:p>
    <w:p w14:paraId="19085595" w14:textId="77777777" w:rsidR="00824558" w:rsidRDefault="00824558">
      <w:pPr>
        <w:pStyle w:val="ShadedBoxBullet"/>
      </w:pPr>
      <w:r>
        <w:t>increase the proportion of Aboriginal people living in appropriately sized (not overcrowded) housing</w:t>
      </w:r>
    </w:p>
    <w:p w14:paraId="6FC7F5B7" w14:textId="77777777" w:rsidR="00824558" w:rsidRDefault="00824558">
      <w:pPr>
        <w:pStyle w:val="ShadedBoxBullet"/>
      </w:pPr>
      <w:r>
        <w:t>improve transitions to independent living arrangements.</w:t>
      </w:r>
    </w:p>
    <w:p w14:paraId="652A5D59" w14:textId="77777777" w:rsidR="00824558" w:rsidRPr="005F4523" w:rsidRDefault="00824558">
      <w:pPr>
        <w:pStyle w:val="Heading2"/>
      </w:pPr>
      <w:r>
        <w:t>Outputs</w:t>
      </w:r>
    </w:p>
    <w:p w14:paraId="254C0084" w14:textId="521AE64B" w:rsidR="00824558" w:rsidRDefault="00824558">
      <w:pPr>
        <w:pStyle w:val="Heading3"/>
      </w:pPr>
      <w:r>
        <w:t>Concessions to Pensioners and Beneficiaries</w:t>
      </w:r>
      <w:r>
        <w:tab/>
        <w:t>(2026-27: $</w:t>
      </w:r>
      <w:r w:rsidR="00126EEB">
        <w:t>762.6</w:t>
      </w:r>
      <w:r>
        <w:t xml:space="preserve"> million)</w:t>
      </w:r>
    </w:p>
    <w:p w14:paraId="6FBC91FB" w14:textId="710E0C1E" w:rsidR="00824558" w:rsidRPr="009F62C9" w:rsidRDefault="00824558">
      <w:pPr>
        <w:spacing w:after="120"/>
      </w:pPr>
      <w:r w:rsidRPr="009F62C9">
        <w:t>The Concessions to Pensioners and Beneficiaries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w:t>
      </w:r>
      <w:r w:rsidR="007942D1">
        <w:t>’</w:t>
      </w:r>
      <w:r w:rsidRPr="009F62C9">
        <w:t xml:space="preserve"> needs.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D51D431"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03935B5" w14:textId="77777777" w:rsidR="00824558" w:rsidRDefault="00824558">
            <w:r>
              <w:t>Performance measure</w:t>
            </w:r>
          </w:p>
        </w:tc>
        <w:tc>
          <w:tcPr>
            <w:tcW w:w="964" w:type="dxa"/>
          </w:tcPr>
          <w:p w14:paraId="1DCE2D68"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9B0C1A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D01F97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FCBFCE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FB13BD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D3EA5" w14:paraId="79290168"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174625E8" w14:textId="77777777" w:rsidR="00824558" w:rsidRPr="007D3EA5" w:rsidRDefault="00824558">
            <w:pPr>
              <w:keepNext/>
              <w:rPr>
                <w:b/>
              </w:rPr>
            </w:pPr>
            <w:r w:rsidRPr="007D3EA5">
              <w:rPr>
                <w:b/>
              </w:rPr>
              <w:t>Quantity</w:t>
            </w:r>
          </w:p>
        </w:tc>
      </w:tr>
      <w:tr w:rsidR="00824558" w14:paraId="1CAAA1E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527E19A" w14:textId="77777777" w:rsidR="00824558" w:rsidRDefault="00824558">
            <w:pPr>
              <w:keepNext/>
              <w:ind w:left="170"/>
            </w:pPr>
            <w:r>
              <w:t>Households receiving mains electricity concessions</w:t>
            </w:r>
          </w:p>
        </w:tc>
        <w:tc>
          <w:tcPr>
            <w:tcW w:w="964" w:type="dxa"/>
          </w:tcPr>
          <w:p w14:paraId="56069D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6CD49F8" w14:textId="77777777" w:rsidR="00824558" w:rsidRDefault="00824558">
            <w:pPr>
              <w:cnfStyle w:val="000000000000" w:firstRow="0" w:lastRow="0" w:firstColumn="0" w:lastColumn="0" w:oddVBand="0" w:evenVBand="0" w:oddHBand="0" w:evenHBand="0" w:firstRowFirstColumn="0" w:firstRowLastColumn="0" w:lastRowFirstColumn="0" w:lastRowLastColumn="0"/>
            </w:pPr>
            <w:r>
              <w:t>918 887</w:t>
            </w:r>
          </w:p>
        </w:tc>
        <w:tc>
          <w:tcPr>
            <w:tcW w:w="964" w:type="dxa"/>
          </w:tcPr>
          <w:p w14:paraId="1C9B9560" w14:textId="77777777" w:rsidR="00824558" w:rsidRDefault="00824558">
            <w:pPr>
              <w:cnfStyle w:val="000000000000" w:firstRow="0" w:lastRow="0" w:firstColumn="0" w:lastColumn="0" w:oddVBand="0" w:evenVBand="0" w:oddHBand="0" w:evenHBand="0" w:firstRowFirstColumn="0" w:firstRowLastColumn="0" w:lastRowFirstColumn="0" w:lastRowLastColumn="0"/>
            </w:pPr>
            <w:r>
              <w:t>914 840</w:t>
            </w:r>
          </w:p>
        </w:tc>
        <w:tc>
          <w:tcPr>
            <w:tcW w:w="964" w:type="dxa"/>
          </w:tcPr>
          <w:p w14:paraId="17BE3508" w14:textId="77777777" w:rsidR="00824558" w:rsidRDefault="00824558">
            <w:pPr>
              <w:cnfStyle w:val="000000000000" w:firstRow="0" w:lastRow="0" w:firstColumn="0" w:lastColumn="0" w:oddVBand="0" w:evenVBand="0" w:oddHBand="0" w:evenHBand="0" w:firstRowFirstColumn="0" w:firstRowLastColumn="0" w:lastRowFirstColumn="0" w:lastRowLastColumn="0"/>
            </w:pPr>
            <w:r>
              <w:t>916 823</w:t>
            </w:r>
          </w:p>
        </w:tc>
        <w:tc>
          <w:tcPr>
            <w:tcW w:w="964" w:type="dxa"/>
          </w:tcPr>
          <w:p w14:paraId="77052D60" w14:textId="77777777" w:rsidR="00824558" w:rsidRDefault="00824558">
            <w:pPr>
              <w:cnfStyle w:val="000000000000" w:firstRow="0" w:lastRow="0" w:firstColumn="0" w:lastColumn="0" w:oddVBand="0" w:evenVBand="0" w:oddHBand="0" w:evenHBand="0" w:firstRowFirstColumn="0" w:firstRowLastColumn="0" w:lastRowFirstColumn="0" w:lastRowLastColumn="0"/>
            </w:pPr>
            <w:r>
              <w:t>911 109</w:t>
            </w:r>
          </w:p>
        </w:tc>
      </w:tr>
      <w:tr w:rsidR="00824558" w14:paraId="45B0607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12EA39" w14:textId="77777777" w:rsidR="00824558" w:rsidRDefault="00824558">
            <w:pPr>
              <w:ind w:left="170"/>
            </w:pPr>
            <w:r>
              <w:rPr>
                <w:i/>
              </w:rPr>
              <w:t>The 2026-27 target is higher than the 2025-26 target to reflect the expected changes in concessions entitlements based on 2025-26 actuals and industry forecasts.</w:t>
            </w:r>
          </w:p>
        </w:tc>
      </w:tr>
      <w:tr w:rsidR="00824558" w14:paraId="7318141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A720502" w14:textId="77777777" w:rsidR="00824558" w:rsidRDefault="00824558">
            <w:pPr>
              <w:keepNext/>
              <w:ind w:left="170"/>
            </w:pPr>
            <w:r>
              <w:t>Households receiving mains gas concessions</w:t>
            </w:r>
          </w:p>
        </w:tc>
        <w:tc>
          <w:tcPr>
            <w:tcW w:w="964" w:type="dxa"/>
          </w:tcPr>
          <w:p w14:paraId="2336EBA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CFB3BEA" w14:textId="77777777" w:rsidR="00824558" w:rsidRDefault="00824558">
            <w:pPr>
              <w:cnfStyle w:val="000000000000" w:firstRow="0" w:lastRow="0" w:firstColumn="0" w:lastColumn="0" w:oddVBand="0" w:evenVBand="0" w:oddHBand="0" w:evenHBand="0" w:firstRowFirstColumn="0" w:firstRowLastColumn="0" w:lastRowFirstColumn="0" w:lastRowLastColumn="0"/>
            </w:pPr>
            <w:r>
              <w:t>677 789</w:t>
            </w:r>
          </w:p>
        </w:tc>
        <w:tc>
          <w:tcPr>
            <w:tcW w:w="964" w:type="dxa"/>
          </w:tcPr>
          <w:p w14:paraId="1D36361C" w14:textId="77777777" w:rsidR="00824558" w:rsidRDefault="00824558">
            <w:pPr>
              <w:cnfStyle w:val="000000000000" w:firstRow="0" w:lastRow="0" w:firstColumn="0" w:lastColumn="0" w:oddVBand="0" w:evenVBand="0" w:oddHBand="0" w:evenHBand="0" w:firstRowFirstColumn="0" w:firstRowLastColumn="0" w:lastRowFirstColumn="0" w:lastRowLastColumn="0"/>
            </w:pPr>
            <w:r>
              <w:t>671 087</w:t>
            </w:r>
          </w:p>
        </w:tc>
        <w:tc>
          <w:tcPr>
            <w:tcW w:w="964" w:type="dxa"/>
          </w:tcPr>
          <w:p w14:paraId="43C68931" w14:textId="77777777" w:rsidR="00824558" w:rsidRDefault="00824558">
            <w:pPr>
              <w:cnfStyle w:val="000000000000" w:firstRow="0" w:lastRow="0" w:firstColumn="0" w:lastColumn="0" w:oddVBand="0" w:evenVBand="0" w:oddHBand="0" w:evenHBand="0" w:firstRowFirstColumn="0" w:firstRowLastColumn="0" w:lastRowFirstColumn="0" w:lastRowLastColumn="0"/>
            </w:pPr>
            <w:r>
              <w:t>673 870</w:t>
            </w:r>
          </w:p>
        </w:tc>
        <w:tc>
          <w:tcPr>
            <w:tcW w:w="964" w:type="dxa"/>
          </w:tcPr>
          <w:p w14:paraId="3289FF68" w14:textId="77777777" w:rsidR="00824558" w:rsidRDefault="00824558">
            <w:pPr>
              <w:cnfStyle w:val="000000000000" w:firstRow="0" w:lastRow="0" w:firstColumn="0" w:lastColumn="0" w:oddVBand="0" w:evenVBand="0" w:oddHBand="0" w:evenHBand="0" w:firstRowFirstColumn="0" w:firstRowLastColumn="0" w:lastRowFirstColumn="0" w:lastRowLastColumn="0"/>
            </w:pPr>
            <w:r>
              <w:t>664 126</w:t>
            </w:r>
          </w:p>
        </w:tc>
      </w:tr>
      <w:tr w:rsidR="00824558" w14:paraId="169BD4AE"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DC8ACD8" w14:textId="77777777" w:rsidR="00824558" w:rsidRDefault="00824558">
            <w:pPr>
              <w:ind w:left="170"/>
            </w:pPr>
            <w:r>
              <w:rPr>
                <w:i/>
              </w:rPr>
              <w:t>The variance in 2026-27 target is higher than the 2025-26 target to reflect the expected changes in concessions entitlements based on 2025-26 actuals and industry forecasts.</w:t>
            </w:r>
          </w:p>
        </w:tc>
      </w:tr>
      <w:tr w:rsidR="00824558" w14:paraId="42A4968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33AD493" w14:textId="77777777" w:rsidR="00824558" w:rsidRDefault="00824558">
            <w:pPr>
              <w:keepNext/>
              <w:ind w:left="170"/>
            </w:pPr>
            <w:r>
              <w:t>Households receiving non-mains energy concessions</w:t>
            </w:r>
          </w:p>
        </w:tc>
        <w:tc>
          <w:tcPr>
            <w:tcW w:w="964" w:type="dxa"/>
          </w:tcPr>
          <w:p w14:paraId="32FA02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403AC7" w14:textId="77777777" w:rsidR="00824558" w:rsidRDefault="00824558">
            <w:pPr>
              <w:cnfStyle w:val="000000000000" w:firstRow="0" w:lastRow="0" w:firstColumn="0" w:lastColumn="0" w:oddVBand="0" w:evenVBand="0" w:oddHBand="0" w:evenHBand="0" w:firstRowFirstColumn="0" w:firstRowLastColumn="0" w:lastRowFirstColumn="0" w:lastRowLastColumn="0"/>
            </w:pPr>
            <w:r>
              <w:t>19 868</w:t>
            </w:r>
          </w:p>
        </w:tc>
        <w:tc>
          <w:tcPr>
            <w:tcW w:w="964" w:type="dxa"/>
          </w:tcPr>
          <w:p w14:paraId="071BCB8C" w14:textId="77777777" w:rsidR="00824558" w:rsidRDefault="00824558">
            <w:pPr>
              <w:cnfStyle w:val="000000000000" w:firstRow="0" w:lastRow="0" w:firstColumn="0" w:lastColumn="0" w:oddVBand="0" w:evenVBand="0" w:oddHBand="0" w:evenHBand="0" w:firstRowFirstColumn="0" w:firstRowLastColumn="0" w:lastRowFirstColumn="0" w:lastRowLastColumn="0"/>
            </w:pPr>
            <w:r>
              <w:t>19 799</w:t>
            </w:r>
          </w:p>
        </w:tc>
        <w:tc>
          <w:tcPr>
            <w:tcW w:w="964" w:type="dxa"/>
          </w:tcPr>
          <w:p w14:paraId="505C78E0" w14:textId="77777777" w:rsidR="00824558" w:rsidRDefault="00824558">
            <w:pPr>
              <w:cnfStyle w:val="000000000000" w:firstRow="0" w:lastRow="0" w:firstColumn="0" w:lastColumn="0" w:oddVBand="0" w:evenVBand="0" w:oddHBand="0" w:evenHBand="0" w:firstRowFirstColumn="0" w:firstRowLastColumn="0" w:lastRowFirstColumn="0" w:lastRowLastColumn="0"/>
            </w:pPr>
            <w:r>
              <w:t>22 186</w:t>
            </w:r>
          </w:p>
        </w:tc>
        <w:tc>
          <w:tcPr>
            <w:tcW w:w="964" w:type="dxa"/>
          </w:tcPr>
          <w:p w14:paraId="0695FA00" w14:textId="77777777" w:rsidR="00824558" w:rsidRDefault="00824558">
            <w:pPr>
              <w:cnfStyle w:val="000000000000" w:firstRow="0" w:lastRow="0" w:firstColumn="0" w:lastColumn="0" w:oddVBand="0" w:evenVBand="0" w:oddHBand="0" w:evenHBand="0" w:firstRowFirstColumn="0" w:firstRowLastColumn="0" w:lastRowFirstColumn="0" w:lastRowLastColumn="0"/>
            </w:pPr>
            <w:r>
              <w:t>21 009</w:t>
            </w:r>
          </w:p>
        </w:tc>
      </w:tr>
      <w:tr w:rsidR="00824558" w14:paraId="5730953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30CD82" w14:textId="518F8680" w:rsidR="00824558" w:rsidRDefault="00824558">
            <w:pPr>
              <w:ind w:left="170"/>
            </w:pPr>
            <w:r>
              <w:rPr>
                <w:i/>
              </w:rPr>
              <w:t xml:space="preserve">The 2025-26 expected outcome is lower than the target due to a change in data availability. A new processing system is now being used to administer this program, and it collects more accurate household data. </w:t>
            </w:r>
          </w:p>
          <w:p w14:paraId="4E48BABC" w14:textId="77777777" w:rsidR="00824558" w:rsidRDefault="00824558">
            <w:pPr>
              <w:ind w:left="170"/>
            </w:pPr>
            <w:r>
              <w:rPr>
                <w:i/>
              </w:rPr>
              <w:t>The 2026-27 target is lower than the 2025-26 target to reflect the expected changes in concessions entitlements based on 2025-26 actuals and industry forecasts, as well as an increased accuracy in collating household data.</w:t>
            </w:r>
          </w:p>
        </w:tc>
      </w:tr>
      <w:tr w:rsidR="00824558" w14:paraId="4A3DCC03"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DD92D6D" w14:textId="77777777" w:rsidR="00824558" w:rsidRDefault="00824558">
            <w:pPr>
              <w:keepNext/>
              <w:ind w:left="170"/>
            </w:pPr>
            <w:r>
              <w:t>Households receiving pensioner concessions for municipal rates and charges</w:t>
            </w:r>
          </w:p>
        </w:tc>
        <w:tc>
          <w:tcPr>
            <w:tcW w:w="964" w:type="dxa"/>
          </w:tcPr>
          <w:p w14:paraId="0FB0B59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9345488" w14:textId="77777777" w:rsidR="00824558" w:rsidRDefault="00824558">
            <w:pPr>
              <w:cnfStyle w:val="000000000000" w:firstRow="0" w:lastRow="0" w:firstColumn="0" w:lastColumn="0" w:oddVBand="0" w:evenVBand="0" w:oddHBand="0" w:evenHBand="0" w:firstRowFirstColumn="0" w:firstRowLastColumn="0" w:lastRowFirstColumn="0" w:lastRowLastColumn="0"/>
            </w:pPr>
            <w:r>
              <w:t>422 697</w:t>
            </w:r>
          </w:p>
        </w:tc>
        <w:tc>
          <w:tcPr>
            <w:tcW w:w="964" w:type="dxa"/>
          </w:tcPr>
          <w:p w14:paraId="379B88A0" w14:textId="77777777" w:rsidR="00824558" w:rsidRDefault="00824558">
            <w:pPr>
              <w:cnfStyle w:val="000000000000" w:firstRow="0" w:lastRow="0" w:firstColumn="0" w:lastColumn="0" w:oddVBand="0" w:evenVBand="0" w:oddHBand="0" w:evenHBand="0" w:firstRowFirstColumn="0" w:firstRowLastColumn="0" w:lastRowFirstColumn="0" w:lastRowLastColumn="0"/>
            </w:pPr>
            <w:r>
              <w:t>422 652</w:t>
            </w:r>
          </w:p>
        </w:tc>
        <w:tc>
          <w:tcPr>
            <w:tcW w:w="964" w:type="dxa"/>
          </w:tcPr>
          <w:p w14:paraId="64D523D6" w14:textId="77777777" w:rsidR="00824558" w:rsidRDefault="00824558">
            <w:pPr>
              <w:cnfStyle w:val="000000000000" w:firstRow="0" w:lastRow="0" w:firstColumn="0" w:lastColumn="0" w:oddVBand="0" w:evenVBand="0" w:oddHBand="0" w:evenHBand="0" w:firstRowFirstColumn="0" w:firstRowLastColumn="0" w:lastRowFirstColumn="0" w:lastRowLastColumn="0"/>
            </w:pPr>
            <w:r>
              <w:t>437 917</w:t>
            </w:r>
          </w:p>
        </w:tc>
        <w:tc>
          <w:tcPr>
            <w:tcW w:w="964" w:type="dxa"/>
          </w:tcPr>
          <w:p w14:paraId="5FCCAE0B" w14:textId="77777777" w:rsidR="00824558" w:rsidRDefault="00824558">
            <w:pPr>
              <w:cnfStyle w:val="000000000000" w:firstRow="0" w:lastRow="0" w:firstColumn="0" w:lastColumn="0" w:oddVBand="0" w:evenVBand="0" w:oddHBand="0" w:evenHBand="0" w:firstRowFirstColumn="0" w:firstRowLastColumn="0" w:lastRowFirstColumn="0" w:lastRowLastColumn="0"/>
            </w:pPr>
            <w:r>
              <w:t>434 703</w:t>
            </w:r>
          </w:p>
        </w:tc>
      </w:tr>
      <w:tr w:rsidR="00824558" w14:paraId="099BBF8A"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C87E22" w14:textId="77777777" w:rsidR="00824558" w:rsidRDefault="00824558">
            <w:pPr>
              <w:ind w:left="170"/>
            </w:pPr>
            <w:r>
              <w:rPr>
                <w:i/>
              </w:rPr>
              <w:t>The 2026-27 target is lower than the 2025-26 target to reflect the expected changes in concessions entitlements based on 2025-26 actuals and industry forecasts.</w:t>
            </w:r>
          </w:p>
        </w:tc>
      </w:tr>
      <w:tr w:rsidR="00824558" w14:paraId="65A63B5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70FB4CD" w14:textId="77777777" w:rsidR="00824558" w:rsidRDefault="00824558">
            <w:pPr>
              <w:keepNext/>
              <w:ind w:left="170"/>
            </w:pPr>
            <w:r>
              <w:t>Households receiving water and sewerage concessions</w:t>
            </w:r>
          </w:p>
        </w:tc>
        <w:tc>
          <w:tcPr>
            <w:tcW w:w="964" w:type="dxa"/>
          </w:tcPr>
          <w:p w14:paraId="7097E1A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DB7D06F" w14:textId="77777777" w:rsidR="00824558" w:rsidRDefault="00824558">
            <w:pPr>
              <w:cnfStyle w:val="000000000000" w:firstRow="0" w:lastRow="0" w:firstColumn="0" w:lastColumn="0" w:oddVBand="0" w:evenVBand="0" w:oddHBand="0" w:evenHBand="0" w:firstRowFirstColumn="0" w:firstRowLastColumn="0" w:lastRowFirstColumn="0" w:lastRowLastColumn="0"/>
            </w:pPr>
            <w:r>
              <w:t>687 051</w:t>
            </w:r>
          </w:p>
        </w:tc>
        <w:tc>
          <w:tcPr>
            <w:tcW w:w="964" w:type="dxa"/>
          </w:tcPr>
          <w:p w14:paraId="5FC3D803" w14:textId="77777777" w:rsidR="00824558" w:rsidRDefault="00824558">
            <w:pPr>
              <w:cnfStyle w:val="000000000000" w:firstRow="0" w:lastRow="0" w:firstColumn="0" w:lastColumn="0" w:oddVBand="0" w:evenVBand="0" w:oddHBand="0" w:evenHBand="0" w:firstRowFirstColumn="0" w:firstRowLastColumn="0" w:lastRowFirstColumn="0" w:lastRowLastColumn="0"/>
            </w:pPr>
            <w:r>
              <w:t>686 432</w:t>
            </w:r>
          </w:p>
        </w:tc>
        <w:tc>
          <w:tcPr>
            <w:tcW w:w="964" w:type="dxa"/>
          </w:tcPr>
          <w:p w14:paraId="7742D2F0" w14:textId="77777777" w:rsidR="00824558" w:rsidRDefault="00824558">
            <w:pPr>
              <w:cnfStyle w:val="000000000000" w:firstRow="0" w:lastRow="0" w:firstColumn="0" w:lastColumn="0" w:oddVBand="0" w:evenVBand="0" w:oddHBand="0" w:evenHBand="0" w:firstRowFirstColumn="0" w:firstRowLastColumn="0" w:lastRowFirstColumn="0" w:lastRowLastColumn="0"/>
            </w:pPr>
            <w:r>
              <w:t>704 799</w:t>
            </w:r>
          </w:p>
        </w:tc>
        <w:tc>
          <w:tcPr>
            <w:tcW w:w="964" w:type="dxa"/>
          </w:tcPr>
          <w:p w14:paraId="59A337F3" w14:textId="77777777" w:rsidR="00824558" w:rsidRDefault="00824558">
            <w:pPr>
              <w:cnfStyle w:val="000000000000" w:firstRow="0" w:lastRow="0" w:firstColumn="0" w:lastColumn="0" w:oddVBand="0" w:evenVBand="0" w:oddHBand="0" w:evenHBand="0" w:firstRowFirstColumn="0" w:firstRowLastColumn="0" w:lastRowFirstColumn="0" w:lastRowLastColumn="0"/>
            </w:pPr>
            <w:r>
              <w:t>693 040</w:t>
            </w:r>
          </w:p>
        </w:tc>
      </w:tr>
      <w:tr w:rsidR="00824558" w14:paraId="059692E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407A0A" w14:textId="77777777" w:rsidR="00824558" w:rsidRDefault="00824558">
            <w:pPr>
              <w:ind w:left="170"/>
            </w:pPr>
            <w:r>
              <w:rPr>
                <w:i/>
              </w:rPr>
              <w:t>The 2026-27 target is lower than the 2025-26 target to reflect the expected changes in concessions entitlements based on 2025-26 actuals and industry forecasts.</w:t>
            </w:r>
          </w:p>
        </w:tc>
      </w:tr>
      <w:tr w:rsidR="00824558" w14:paraId="37D49804"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C8E3D0B" w14:textId="77777777" w:rsidR="00824558" w:rsidRDefault="00824558">
            <w:pPr>
              <w:ind w:left="170"/>
            </w:pPr>
            <w:r>
              <w:t>Number of State Trustees clients receiving Financial Administration services</w:t>
            </w:r>
          </w:p>
        </w:tc>
        <w:tc>
          <w:tcPr>
            <w:tcW w:w="964" w:type="dxa"/>
            <w:tcBorders>
              <w:bottom w:val="single" w:sz="6" w:space="0" w:color="auto"/>
            </w:tcBorders>
          </w:tcPr>
          <w:p w14:paraId="77C8D7B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F095A87"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Borders>
              <w:bottom w:val="single" w:sz="6" w:space="0" w:color="auto"/>
            </w:tcBorders>
          </w:tcPr>
          <w:p w14:paraId="54E2EA66"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Borders>
              <w:bottom w:val="single" w:sz="6" w:space="0" w:color="auto"/>
            </w:tcBorders>
          </w:tcPr>
          <w:p w14:paraId="2047208D"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Borders>
              <w:bottom w:val="single" w:sz="6" w:space="0" w:color="auto"/>
            </w:tcBorders>
          </w:tcPr>
          <w:p w14:paraId="63B87E5D" w14:textId="77777777" w:rsidR="00824558" w:rsidRDefault="00824558">
            <w:pPr>
              <w:cnfStyle w:val="000000000000" w:firstRow="0" w:lastRow="0" w:firstColumn="0" w:lastColumn="0" w:oddVBand="0" w:evenVBand="0" w:oddHBand="0" w:evenHBand="0" w:firstRowFirstColumn="0" w:firstRowLastColumn="0" w:lastRowFirstColumn="0" w:lastRowLastColumn="0"/>
            </w:pPr>
            <w:r>
              <w:t>9 766</w:t>
            </w:r>
          </w:p>
        </w:tc>
      </w:tr>
      <w:tr w:rsidR="00824558" w14:paraId="542ED44A"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1D8B04F" w14:textId="77777777" w:rsidR="00824558" w:rsidRDefault="00824558">
            <w:pPr>
              <w:keepNext/>
              <w:ind w:left="170"/>
            </w:pPr>
            <w:r>
              <w:t>Number of Utility Relief Grants granted to households</w:t>
            </w:r>
          </w:p>
        </w:tc>
        <w:tc>
          <w:tcPr>
            <w:tcW w:w="964" w:type="dxa"/>
          </w:tcPr>
          <w:p w14:paraId="20F0C5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FCC2082" w14:textId="77777777" w:rsidR="00824558" w:rsidRDefault="00824558">
            <w:pPr>
              <w:cnfStyle w:val="000000000000" w:firstRow="0" w:lastRow="0" w:firstColumn="0" w:lastColumn="0" w:oddVBand="0" w:evenVBand="0" w:oddHBand="0" w:evenHBand="0" w:firstRowFirstColumn="0" w:firstRowLastColumn="0" w:lastRowFirstColumn="0" w:lastRowLastColumn="0"/>
            </w:pPr>
            <w:r>
              <w:t>282 148</w:t>
            </w:r>
          </w:p>
        </w:tc>
        <w:tc>
          <w:tcPr>
            <w:tcW w:w="964" w:type="dxa"/>
          </w:tcPr>
          <w:p w14:paraId="65080985" w14:textId="77777777" w:rsidR="00824558" w:rsidRDefault="00824558">
            <w:pPr>
              <w:cnfStyle w:val="000000000000" w:firstRow="0" w:lastRow="0" w:firstColumn="0" w:lastColumn="0" w:oddVBand="0" w:evenVBand="0" w:oddHBand="0" w:evenHBand="0" w:firstRowFirstColumn="0" w:firstRowLastColumn="0" w:lastRowFirstColumn="0" w:lastRowLastColumn="0"/>
            </w:pPr>
            <w:r>
              <w:t>260 476</w:t>
            </w:r>
          </w:p>
        </w:tc>
        <w:tc>
          <w:tcPr>
            <w:tcW w:w="964" w:type="dxa"/>
          </w:tcPr>
          <w:p w14:paraId="00621B8C" w14:textId="77777777" w:rsidR="00824558" w:rsidRDefault="00824558">
            <w:pPr>
              <w:cnfStyle w:val="000000000000" w:firstRow="0" w:lastRow="0" w:firstColumn="0" w:lastColumn="0" w:oddVBand="0" w:evenVBand="0" w:oddHBand="0" w:evenHBand="0" w:firstRowFirstColumn="0" w:firstRowLastColumn="0" w:lastRowFirstColumn="0" w:lastRowLastColumn="0"/>
            </w:pPr>
            <w:r>
              <w:t>249 879</w:t>
            </w:r>
          </w:p>
        </w:tc>
        <w:tc>
          <w:tcPr>
            <w:tcW w:w="964" w:type="dxa"/>
          </w:tcPr>
          <w:p w14:paraId="4EC7705F" w14:textId="77777777" w:rsidR="00824558" w:rsidRDefault="00824558">
            <w:pPr>
              <w:cnfStyle w:val="000000000000" w:firstRow="0" w:lastRow="0" w:firstColumn="0" w:lastColumn="0" w:oddVBand="0" w:evenVBand="0" w:oddHBand="0" w:evenHBand="0" w:firstRowFirstColumn="0" w:firstRowLastColumn="0" w:lastRowFirstColumn="0" w:lastRowLastColumn="0"/>
            </w:pPr>
            <w:r>
              <w:t>231 390</w:t>
            </w:r>
          </w:p>
        </w:tc>
      </w:tr>
      <w:tr w:rsidR="00824558" w14:paraId="5775925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92F2B3" w14:textId="77777777" w:rsidR="00824558" w:rsidRDefault="00824558">
            <w:pPr>
              <w:ind w:left="170"/>
            </w:pPr>
            <w:r>
              <w:rPr>
                <w:i/>
              </w:rPr>
              <w:t>The 2026-27 target is higher than the 2025-26 target to reflect the expected changes in concessions entitlements and hardship access based on 2025-26 actuals and industry forecasts.</w:t>
            </w:r>
          </w:p>
        </w:tc>
      </w:tr>
      <w:tr w:rsidR="00824558" w:rsidRPr="007D3EA5" w14:paraId="5EAB15B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547D1C14" w14:textId="77777777" w:rsidR="00824558" w:rsidRPr="007D3EA5" w:rsidRDefault="00824558">
            <w:pPr>
              <w:keepNext/>
              <w:rPr>
                <w:b/>
              </w:rPr>
            </w:pPr>
            <w:r w:rsidRPr="007D3EA5">
              <w:rPr>
                <w:b/>
              </w:rPr>
              <w:t>Quality</w:t>
            </w:r>
          </w:p>
        </w:tc>
      </w:tr>
      <w:tr w:rsidR="00824558" w14:paraId="5CA2E28C"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6DD1C5" w14:textId="0B592342" w:rsidR="00824558" w:rsidRDefault="00824558">
            <w:pPr>
              <w:keepNext/>
              <w:ind w:left="170"/>
            </w:pPr>
            <w:r>
              <w:t xml:space="preserve">State Trustees client experience index </w:t>
            </w:r>
            <w:r w:rsidR="007D3EA5">
              <w:br/>
            </w:r>
            <w:r>
              <w:t>(client satisfaction measure)</w:t>
            </w:r>
          </w:p>
        </w:tc>
        <w:tc>
          <w:tcPr>
            <w:tcW w:w="964" w:type="dxa"/>
            <w:tcBorders>
              <w:bottom w:val="single" w:sz="6" w:space="0" w:color="auto"/>
            </w:tcBorders>
          </w:tcPr>
          <w:p w14:paraId="641551C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0EFFA2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15C1AA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577883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5B21A2C"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r>
      <w:tr w:rsidR="00824558" w:rsidRPr="007D3EA5" w14:paraId="1AAC2C67"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FDA0985" w14:textId="77777777" w:rsidR="00824558" w:rsidRPr="007D3EA5" w:rsidRDefault="00824558">
            <w:pPr>
              <w:keepNext/>
              <w:rPr>
                <w:b/>
              </w:rPr>
            </w:pPr>
            <w:r w:rsidRPr="007D3EA5">
              <w:rPr>
                <w:b/>
              </w:rPr>
              <w:t>Timeliness</w:t>
            </w:r>
          </w:p>
        </w:tc>
      </w:tr>
      <w:tr w:rsidR="00824558" w14:paraId="62A546C5"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303346" w14:textId="77777777" w:rsidR="00824558" w:rsidRDefault="00824558">
            <w:pPr>
              <w:ind w:left="170"/>
            </w:pPr>
            <w:r>
              <w:t>Percentage of State Trustees clients onboarded within 45 days</w:t>
            </w:r>
          </w:p>
        </w:tc>
        <w:tc>
          <w:tcPr>
            <w:tcW w:w="964" w:type="dxa"/>
            <w:tcBorders>
              <w:bottom w:val="single" w:sz="6" w:space="0" w:color="auto"/>
            </w:tcBorders>
          </w:tcPr>
          <w:p w14:paraId="062BE5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D1761E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514F539"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70107F0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3E5D18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FE75E9" w:rsidRPr="00DC0EBC" w14:paraId="4FCE782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9C759D7" w14:textId="77777777" w:rsidR="00FE75E9" w:rsidRPr="00DC0EBC" w:rsidRDefault="00FE75E9">
            <w:pPr>
              <w:keepNext/>
              <w:rPr>
                <w:b/>
              </w:rPr>
            </w:pPr>
            <w:r w:rsidRPr="00DC0EBC">
              <w:rPr>
                <w:b/>
              </w:rPr>
              <w:lastRenderedPageBreak/>
              <w:t>Cost</w:t>
            </w:r>
          </w:p>
        </w:tc>
      </w:tr>
      <w:tr w:rsidR="00FE75E9" w14:paraId="495149FA" w14:textId="77777777" w:rsidTr="00F504AF">
        <w:tc>
          <w:tcPr>
            <w:cnfStyle w:val="001000000000" w:firstRow="0" w:lastRow="0" w:firstColumn="1" w:lastColumn="0" w:oddVBand="0" w:evenVBand="0" w:oddHBand="0" w:evenHBand="0" w:firstRowFirstColumn="0" w:firstRowLastColumn="0" w:lastRowFirstColumn="0" w:lastRowLastColumn="0"/>
            <w:tcW w:w="4819" w:type="dxa"/>
          </w:tcPr>
          <w:p w14:paraId="3EE545D7" w14:textId="77777777" w:rsidR="00FE75E9" w:rsidRDefault="00FE75E9">
            <w:pPr>
              <w:keepNext/>
              <w:ind w:left="170"/>
            </w:pPr>
            <w:r>
              <w:t>Total output cost</w:t>
            </w:r>
          </w:p>
        </w:tc>
        <w:tc>
          <w:tcPr>
            <w:tcW w:w="964" w:type="dxa"/>
          </w:tcPr>
          <w:p w14:paraId="7CB52DBB"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DA85CF6" w14:textId="64E810D7" w:rsidR="00FE75E9" w:rsidRPr="004D0078" w:rsidRDefault="00504880">
            <w:pPr>
              <w:cnfStyle w:val="000000000000" w:firstRow="0" w:lastRow="0" w:firstColumn="0" w:lastColumn="0" w:oddVBand="0" w:evenVBand="0" w:oddHBand="0" w:evenHBand="0" w:firstRowFirstColumn="0" w:firstRowLastColumn="0" w:lastRowFirstColumn="0" w:lastRowLastColumn="0"/>
              <w:rPr>
                <w:highlight w:val="yellow"/>
              </w:rPr>
            </w:pPr>
            <w:r w:rsidRPr="00504880">
              <w:t>762.6</w:t>
            </w:r>
          </w:p>
        </w:tc>
        <w:tc>
          <w:tcPr>
            <w:tcW w:w="964" w:type="dxa"/>
          </w:tcPr>
          <w:p w14:paraId="4F033749" w14:textId="79BAF0C8" w:rsidR="00FE75E9" w:rsidRPr="004D0078" w:rsidRDefault="00CC56BB">
            <w:pPr>
              <w:cnfStyle w:val="000000000000" w:firstRow="0" w:lastRow="0" w:firstColumn="0" w:lastColumn="0" w:oddVBand="0" w:evenVBand="0" w:oddHBand="0" w:evenHBand="0" w:firstRowFirstColumn="0" w:firstRowLastColumn="0" w:lastRowFirstColumn="0" w:lastRowLastColumn="0"/>
              <w:rPr>
                <w:highlight w:val="yellow"/>
              </w:rPr>
            </w:pPr>
            <w:r>
              <w:t>1 245.8</w:t>
            </w:r>
          </w:p>
        </w:tc>
        <w:tc>
          <w:tcPr>
            <w:tcW w:w="964" w:type="dxa"/>
          </w:tcPr>
          <w:p w14:paraId="496CD744" w14:textId="40C4D65D" w:rsidR="00FE75E9" w:rsidRPr="004D0078" w:rsidRDefault="007C68DC">
            <w:pPr>
              <w:cnfStyle w:val="000000000000" w:firstRow="0" w:lastRow="0" w:firstColumn="0" w:lastColumn="0" w:oddVBand="0" w:evenVBand="0" w:oddHBand="0" w:evenHBand="0" w:firstRowFirstColumn="0" w:firstRowLastColumn="0" w:lastRowFirstColumn="0" w:lastRowLastColumn="0"/>
              <w:rPr>
                <w:highlight w:val="yellow"/>
              </w:rPr>
            </w:pPr>
            <w:r>
              <w:t>1 162.9</w:t>
            </w:r>
          </w:p>
        </w:tc>
        <w:tc>
          <w:tcPr>
            <w:tcW w:w="964" w:type="dxa"/>
          </w:tcPr>
          <w:p w14:paraId="6F8B2D2F" w14:textId="364C2F89" w:rsidR="00FE75E9" w:rsidRPr="004D0078" w:rsidRDefault="00F504AF">
            <w:pPr>
              <w:cnfStyle w:val="000000000000" w:firstRow="0" w:lastRow="0" w:firstColumn="0" w:lastColumn="0" w:oddVBand="0" w:evenVBand="0" w:oddHBand="0" w:evenHBand="0" w:firstRowFirstColumn="0" w:firstRowLastColumn="0" w:lastRowFirstColumn="0" w:lastRowLastColumn="0"/>
              <w:rPr>
                <w:highlight w:val="yellow"/>
              </w:rPr>
            </w:pPr>
            <w:r>
              <w:t>1 536.9</w:t>
            </w:r>
          </w:p>
        </w:tc>
      </w:tr>
      <w:tr w:rsidR="00C121D7" w14:paraId="5C6033B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B490C0E" w14:textId="3CBDDBEF" w:rsidR="00C121D7" w:rsidRPr="00D74528" w:rsidRDefault="00D74528" w:rsidP="00D74528">
            <w:pPr>
              <w:ind w:left="170"/>
              <w:rPr>
                <w:i/>
              </w:rPr>
            </w:pPr>
            <w:r w:rsidRPr="00D74528">
              <w:rPr>
                <w:i/>
              </w:rPr>
              <w:t>The 2025-26 expected outcome is higher than the 2025-26 target due to additional Commonwealth Energy Bill Relief Funding.</w:t>
            </w:r>
          </w:p>
        </w:tc>
      </w:tr>
      <w:tr w:rsidR="00F504AF" w14:paraId="675B04E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8CD4EF6" w14:textId="6F5979A6" w:rsidR="00F504AF" w:rsidRDefault="00346A76" w:rsidP="00D74528">
            <w:pPr>
              <w:ind w:left="170"/>
            </w:pPr>
            <w:r w:rsidRPr="00D74528">
              <w:rPr>
                <w:i/>
              </w:rPr>
              <w:t>The lower 2026-27 target is due to the cessation of the Commonwealth Energy Bill Relief Fund.</w:t>
            </w:r>
          </w:p>
        </w:tc>
      </w:tr>
    </w:tbl>
    <w:p w14:paraId="7998DC03" w14:textId="77777777" w:rsidR="00824558" w:rsidRDefault="00824558">
      <w:pPr>
        <w:pStyle w:val="Source"/>
      </w:pPr>
      <w:r>
        <w:t>Source: Department of Families, Fairness and Housing</w:t>
      </w:r>
    </w:p>
    <w:p w14:paraId="783D673B" w14:textId="292A389C" w:rsidR="00824558" w:rsidRDefault="00824558">
      <w:pPr>
        <w:pStyle w:val="Heading3"/>
      </w:pPr>
      <w:r>
        <w:t>Housing Assistance</w:t>
      </w:r>
      <w:r>
        <w:tab/>
        <w:t>(2026-27: $</w:t>
      </w:r>
      <w:r w:rsidR="00BA62F0">
        <w:t>769.9</w:t>
      </w:r>
      <w:r>
        <w:t xml:space="preserve"> million)</w:t>
      </w:r>
    </w:p>
    <w:p w14:paraId="66AE4448" w14:textId="77777777" w:rsidR="00824558" w:rsidRDefault="00824558">
      <w:r>
        <w:t>The Housing Assistance output ensures more Victorians have a place to call home by providing services and support across the housing continuum; including homelessness services, transitional accommodation and wrap around services and social and affordable housing.</w:t>
      </w:r>
    </w:p>
    <w:p w14:paraId="467E761E" w14:textId="77777777" w:rsidR="00824558" w:rsidRDefault="00824558">
      <w:r>
        <w:t>Affordable housing options delivered through the Affordable Housing Rental Scheme are responding to the growing gap in housing affordability and aim to increase supply for households experiencing rental stress or trying to buy their first home.</w:t>
      </w:r>
    </w:p>
    <w:p w14:paraId="7C862F51" w14:textId="77777777" w:rsidR="00824558" w:rsidRDefault="00824558">
      <w:r>
        <w:t>This output is ensuring more affordable, safe, and secure accommodation is being built right across Victoria, and reforming the housing system to provide greater access to housing services and supports for all Victorians, including:</w:t>
      </w:r>
    </w:p>
    <w:p w14:paraId="42D22F23" w14:textId="77777777" w:rsidR="00824558" w:rsidRDefault="00824558">
      <w:pPr>
        <w:pStyle w:val="ListBullet"/>
      </w:pPr>
      <w:r>
        <w:t xml:space="preserve">housing assistance for low-income families, older people, singles, youth, victim survivors of family violence and other households. It responds to the needs of clients through the provision of appropriate accommodation, including short-term and long-term properties that assist in reducing and preventing homelessness </w:t>
      </w:r>
    </w:p>
    <w:p w14:paraId="14671D2C" w14:textId="77777777" w:rsidR="00824558" w:rsidRDefault="00824558">
      <w:pPr>
        <w:pStyle w:val="ListBullet"/>
      </w:pPr>
      <w:r>
        <w:t xml:space="preserve">housing support services to people who are homeless or at risk of homelessness, in short-term housing or crisis situations. Support will assist clients in accessing and maintaining tenancies in appropriate accommodation. Services provided will assist in preventing and reducing homelessness </w:t>
      </w:r>
    </w:p>
    <w:p w14:paraId="52D6D116" w14:textId="77777777" w:rsidR="00824558" w:rsidRDefault="00824558">
      <w:pPr>
        <w:pStyle w:val="ListBullet"/>
        <w:spacing w:after="120"/>
        <w:ind w:left="357" w:hanging="357"/>
      </w:pPr>
      <w:r>
        <w:t>working with Aboriginal housing providers to ensure housing is designed and delivered by Aboriginal people, enabling self-determination and meeting community needs.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3AAEFD2" w14:textId="77777777" w:rsidTr="00FE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6202A5D" w14:textId="77777777" w:rsidR="00824558" w:rsidRDefault="00824558">
            <w:r>
              <w:t>Performance measure</w:t>
            </w:r>
          </w:p>
        </w:tc>
        <w:tc>
          <w:tcPr>
            <w:tcW w:w="964" w:type="dxa"/>
          </w:tcPr>
          <w:p w14:paraId="6B05DE71"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B3378C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0AD618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6826B5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45C4AB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57C5DDB2"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FBF44F9" w14:textId="77777777" w:rsidR="00824558" w:rsidRPr="00A9225F" w:rsidRDefault="00824558">
            <w:pPr>
              <w:keepNext/>
              <w:rPr>
                <w:b/>
              </w:rPr>
            </w:pPr>
            <w:r w:rsidRPr="00A9225F">
              <w:rPr>
                <w:b/>
              </w:rPr>
              <w:t>Quantity</w:t>
            </w:r>
          </w:p>
        </w:tc>
      </w:tr>
      <w:tr w:rsidR="00824558" w14:paraId="16477642"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5CD6DC50" w14:textId="77777777" w:rsidR="00824558" w:rsidRDefault="00824558">
            <w:pPr>
              <w:keepNext/>
              <w:ind w:left="170"/>
            </w:pPr>
            <w:r>
              <w:t>Number of bonds issued to low-income Victorians to assist access to the private rental market</w:t>
            </w:r>
          </w:p>
        </w:tc>
        <w:tc>
          <w:tcPr>
            <w:tcW w:w="964" w:type="dxa"/>
          </w:tcPr>
          <w:p w14:paraId="39CEE3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0F77176" w14:textId="77777777" w:rsidR="00824558" w:rsidRDefault="00824558">
            <w:pPr>
              <w:cnfStyle w:val="000000000000" w:firstRow="0" w:lastRow="0" w:firstColumn="0" w:lastColumn="0" w:oddVBand="0" w:evenVBand="0" w:oddHBand="0" w:evenHBand="0" w:firstRowFirstColumn="0" w:firstRowLastColumn="0" w:lastRowFirstColumn="0" w:lastRowLastColumn="0"/>
            </w:pPr>
            <w:r>
              <w:t>7 000</w:t>
            </w:r>
          </w:p>
        </w:tc>
        <w:tc>
          <w:tcPr>
            <w:tcW w:w="964" w:type="dxa"/>
          </w:tcPr>
          <w:p w14:paraId="3FC8A3CB" w14:textId="77777777" w:rsidR="00824558" w:rsidRDefault="00824558">
            <w:pPr>
              <w:cnfStyle w:val="000000000000" w:firstRow="0" w:lastRow="0" w:firstColumn="0" w:lastColumn="0" w:oddVBand="0" w:evenVBand="0" w:oddHBand="0" w:evenHBand="0" w:firstRowFirstColumn="0" w:firstRowLastColumn="0" w:lastRowFirstColumn="0" w:lastRowLastColumn="0"/>
            </w:pPr>
            <w:r>
              <w:t>8 661</w:t>
            </w:r>
          </w:p>
        </w:tc>
        <w:tc>
          <w:tcPr>
            <w:tcW w:w="964" w:type="dxa"/>
          </w:tcPr>
          <w:p w14:paraId="0F407A1E" w14:textId="77777777" w:rsidR="00824558" w:rsidRDefault="00824558">
            <w:pPr>
              <w:cnfStyle w:val="000000000000" w:firstRow="0" w:lastRow="0" w:firstColumn="0" w:lastColumn="0" w:oddVBand="0" w:evenVBand="0" w:oddHBand="0" w:evenHBand="0" w:firstRowFirstColumn="0" w:firstRowLastColumn="0" w:lastRowFirstColumn="0" w:lastRowLastColumn="0"/>
            </w:pPr>
            <w:r>
              <w:t>7 000</w:t>
            </w:r>
          </w:p>
        </w:tc>
        <w:tc>
          <w:tcPr>
            <w:tcW w:w="964" w:type="dxa"/>
          </w:tcPr>
          <w:p w14:paraId="37997C6F" w14:textId="77777777" w:rsidR="00824558" w:rsidRDefault="00824558">
            <w:pPr>
              <w:cnfStyle w:val="000000000000" w:firstRow="0" w:lastRow="0" w:firstColumn="0" w:lastColumn="0" w:oddVBand="0" w:evenVBand="0" w:oddHBand="0" w:evenHBand="0" w:firstRowFirstColumn="0" w:firstRowLastColumn="0" w:lastRowFirstColumn="0" w:lastRowLastColumn="0"/>
            </w:pPr>
            <w:r>
              <w:t>8 841</w:t>
            </w:r>
          </w:p>
        </w:tc>
      </w:tr>
      <w:tr w:rsidR="00824558" w14:paraId="191E9BFC"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E9083D7" w14:textId="77777777" w:rsidR="00824558" w:rsidRDefault="00824558">
            <w:pPr>
              <w:ind w:left="170"/>
            </w:pPr>
            <w:r>
              <w:rPr>
                <w:i/>
              </w:rPr>
              <w:t>The 2025-26 expected outcome is higher than target due to the increased provision of bond loans reflecting increased demand from eligible households.</w:t>
            </w:r>
          </w:p>
        </w:tc>
      </w:tr>
      <w:tr w:rsidR="00824558" w14:paraId="644B2BD6"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652D3F6" w14:textId="77777777" w:rsidR="00824558" w:rsidRDefault="00824558">
            <w:pPr>
              <w:ind w:left="170"/>
            </w:pPr>
            <w:r>
              <w:t>Number of clients assisted to address and prevent homelessness</w:t>
            </w:r>
          </w:p>
        </w:tc>
        <w:tc>
          <w:tcPr>
            <w:tcW w:w="964" w:type="dxa"/>
            <w:tcBorders>
              <w:bottom w:val="single" w:sz="6" w:space="0" w:color="auto"/>
            </w:tcBorders>
          </w:tcPr>
          <w:p w14:paraId="729A4DC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4A76540" w14:textId="77777777" w:rsidR="00824558" w:rsidRDefault="00824558">
            <w:pPr>
              <w:cnfStyle w:val="000000000000" w:firstRow="0" w:lastRow="0" w:firstColumn="0" w:lastColumn="0" w:oddVBand="0" w:evenVBand="0" w:oddHBand="0" w:evenHBand="0" w:firstRowFirstColumn="0" w:firstRowLastColumn="0" w:lastRowFirstColumn="0" w:lastRowLastColumn="0"/>
            </w:pPr>
            <w:r>
              <w:t>103 000</w:t>
            </w:r>
          </w:p>
        </w:tc>
        <w:tc>
          <w:tcPr>
            <w:tcW w:w="964" w:type="dxa"/>
            <w:tcBorders>
              <w:bottom w:val="single" w:sz="6" w:space="0" w:color="auto"/>
            </w:tcBorders>
          </w:tcPr>
          <w:p w14:paraId="44E40F82" w14:textId="77777777" w:rsidR="00824558" w:rsidRDefault="00824558">
            <w:pPr>
              <w:cnfStyle w:val="000000000000" w:firstRow="0" w:lastRow="0" w:firstColumn="0" w:lastColumn="0" w:oddVBand="0" w:evenVBand="0" w:oddHBand="0" w:evenHBand="0" w:firstRowFirstColumn="0" w:firstRowLastColumn="0" w:lastRowFirstColumn="0" w:lastRowLastColumn="0"/>
            </w:pPr>
            <w:r>
              <w:t>103 000</w:t>
            </w:r>
          </w:p>
        </w:tc>
        <w:tc>
          <w:tcPr>
            <w:tcW w:w="964" w:type="dxa"/>
            <w:tcBorders>
              <w:bottom w:val="single" w:sz="6" w:space="0" w:color="auto"/>
            </w:tcBorders>
          </w:tcPr>
          <w:p w14:paraId="7C33BE19" w14:textId="77777777" w:rsidR="00824558" w:rsidRDefault="00824558">
            <w:pPr>
              <w:cnfStyle w:val="000000000000" w:firstRow="0" w:lastRow="0" w:firstColumn="0" w:lastColumn="0" w:oddVBand="0" w:evenVBand="0" w:oddHBand="0" w:evenHBand="0" w:firstRowFirstColumn="0" w:firstRowLastColumn="0" w:lastRowFirstColumn="0" w:lastRowLastColumn="0"/>
            </w:pPr>
            <w:r>
              <w:t>103 000</w:t>
            </w:r>
          </w:p>
        </w:tc>
        <w:tc>
          <w:tcPr>
            <w:tcW w:w="964" w:type="dxa"/>
            <w:tcBorders>
              <w:bottom w:val="single" w:sz="6" w:space="0" w:color="auto"/>
            </w:tcBorders>
          </w:tcPr>
          <w:p w14:paraId="6810B70C" w14:textId="77777777" w:rsidR="00824558" w:rsidRDefault="00824558">
            <w:pPr>
              <w:cnfStyle w:val="000000000000" w:firstRow="0" w:lastRow="0" w:firstColumn="0" w:lastColumn="0" w:oddVBand="0" w:evenVBand="0" w:oddHBand="0" w:evenHBand="0" w:firstRowFirstColumn="0" w:firstRowLastColumn="0" w:lastRowFirstColumn="0" w:lastRowLastColumn="0"/>
            </w:pPr>
            <w:r>
              <w:t>102 449</w:t>
            </w:r>
          </w:p>
        </w:tc>
      </w:tr>
      <w:tr w:rsidR="00824558" w14:paraId="3128EED1"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2DDA0D6" w14:textId="77777777" w:rsidR="00824558" w:rsidRDefault="00824558">
            <w:pPr>
              <w:keepNext/>
              <w:ind w:left="170"/>
            </w:pPr>
            <w:r>
              <w:t>Number of clients provided with accommodation</w:t>
            </w:r>
          </w:p>
        </w:tc>
        <w:tc>
          <w:tcPr>
            <w:tcW w:w="964" w:type="dxa"/>
          </w:tcPr>
          <w:p w14:paraId="7B7001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2F23664" w14:textId="77777777" w:rsidR="00824558" w:rsidRDefault="00824558">
            <w:pPr>
              <w:cnfStyle w:val="000000000000" w:firstRow="0" w:lastRow="0" w:firstColumn="0" w:lastColumn="0" w:oddVBand="0" w:evenVBand="0" w:oddHBand="0" w:evenHBand="0" w:firstRowFirstColumn="0" w:firstRowLastColumn="0" w:lastRowFirstColumn="0" w:lastRowLastColumn="0"/>
            </w:pPr>
            <w:r>
              <w:t>30 000</w:t>
            </w:r>
          </w:p>
        </w:tc>
        <w:tc>
          <w:tcPr>
            <w:tcW w:w="964" w:type="dxa"/>
          </w:tcPr>
          <w:p w14:paraId="711D64E1" w14:textId="0A27BAEA" w:rsidR="00824558" w:rsidRDefault="00004056">
            <w:pPr>
              <w:cnfStyle w:val="000000000000" w:firstRow="0" w:lastRow="0" w:firstColumn="0" w:lastColumn="0" w:oddVBand="0" w:evenVBand="0" w:oddHBand="0" w:evenHBand="0" w:firstRowFirstColumn="0" w:firstRowLastColumn="0" w:lastRowFirstColumn="0" w:lastRowLastColumn="0"/>
            </w:pPr>
            <w:r>
              <w:t>30 000</w:t>
            </w:r>
          </w:p>
        </w:tc>
        <w:tc>
          <w:tcPr>
            <w:tcW w:w="964" w:type="dxa"/>
          </w:tcPr>
          <w:p w14:paraId="0FB401AE" w14:textId="77777777" w:rsidR="00824558" w:rsidRDefault="00824558">
            <w:pPr>
              <w:cnfStyle w:val="000000000000" w:firstRow="0" w:lastRow="0" w:firstColumn="0" w:lastColumn="0" w:oddVBand="0" w:evenVBand="0" w:oddHBand="0" w:evenHBand="0" w:firstRowFirstColumn="0" w:firstRowLastColumn="0" w:lastRowFirstColumn="0" w:lastRowLastColumn="0"/>
            </w:pPr>
            <w:r>
              <w:t>30 000</w:t>
            </w:r>
          </w:p>
        </w:tc>
        <w:tc>
          <w:tcPr>
            <w:tcW w:w="964" w:type="dxa"/>
          </w:tcPr>
          <w:p w14:paraId="07B12018" w14:textId="77777777" w:rsidR="00824558" w:rsidRDefault="00824558">
            <w:pPr>
              <w:cnfStyle w:val="000000000000" w:firstRow="0" w:lastRow="0" w:firstColumn="0" w:lastColumn="0" w:oddVBand="0" w:evenVBand="0" w:oddHBand="0" w:evenHBand="0" w:firstRowFirstColumn="0" w:firstRowLastColumn="0" w:lastRowFirstColumn="0" w:lastRowLastColumn="0"/>
            </w:pPr>
            <w:r>
              <w:t>27 981</w:t>
            </w:r>
          </w:p>
        </w:tc>
      </w:tr>
      <w:tr w:rsidR="00824558" w14:paraId="1F09310B"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3D25DFAD" w14:textId="77777777" w:rsidR="00824558" w:rsidRDefault="00824558">
            <w:pPr>
              <w:keepNext/>
              <w:ind w:left="170"/>
            </w:pPr>
            <w:r>
              <w:t>Number of households assisted with long-term social housing (public, Aboriginal and community long-term tenancies at end of year)</w:t>
            </w:r>
          </w:p>
        </w:tc>
        <w:tc>
          <w:tcPr>
            <w:tcW w:w="964" w:type="dxa"/>
          </w:tcPr>
          <w:p w14:paraId="7102B38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FAD5CE5" w14:textId="77777777" w:rsidR="00824558" w:rsidRDefault="00824558">
            <w:pPr>
              <w:cnfStyle w:val="000000000000" w:firstRow="0" w:lastRow="0" w:firstColumn="0" w:lastColumn="0" w:oddVBand="0" w:evenVBand="0" w:oddHBand="0" w:evenHBand="0" w:firstRowFirstColumn="0" w:firstRowLastColumn="0" w:lastRowFirstColumn="0" w:lastRowLastColumn="0"/>
            </w:pPr>
            <w:r>
              <w:t>85 683</w:t>
            </w:r>
          </w:p>
        </w:tc>
        <w:tc>
          <w:tcPr>
            <w:tcW w:w="964" w:type="dxa"/>
          </w:tcPr>
          <w:p w14:paraId="08D16894" w14:textId="77777777" w:rsidR="00824558" w:rsidRDefault="00824558">
            <w:pPr>
              <w:cnfStyle w:val="000000000000" w:firstRow="0" w:lastRow="0" w:firstColumn="0" w:lastColumn="0" w:oddVBand="0" w:evenVBand="0" w:oddHBand="0" w:evenHBand="0" w:firstRowFirstColumn="0" w:firstRowLastColumn="0" w:lastRowFirstColumn="0" w:lastRowLastColumn="0"/>
            </w:pPr>
            <w:r>
              <w:t>84 633</w:t>
            </w:r>
          </w:p>
        </w:tc>
        <w:tc>
          <w:tcPr>
            <w:tcW w:w="964" w:type="dxa"/>
          </w:tcPr>
          <w:p w14:paraId="64A5AFC2" w14:textId="77777777" w:rsidR="00824558" w:rsidRDefault="00824558">
            <w:pPr>
              <w:cnfStyle w:val="000000000000" w:firstRow="0" w:lastRow="0" w:firstColumn="0" w:lastColumn="0" w:oddVBand="0" w:evenVBand="0" w:oddHBand="0" w:evenHBand="0" w:firstRowFirstColumn="0" w:firstRowLastColumn="0" w:lastRowFirstColumn="0" w:lastRowLastColumn="0"/>
            </w:pPr>
            <w:r>
              <w:t>84 633</w:t>
            </w:r>
          </w:p>
        </w:tc>
        <w:tc>
          <w:tcPr>
            <w:tcW w:w="964" w:type="dxa"/>
          </w:tcPr>
          <w:p w14:paraId="435495F2" w14:textId="77777777" w:rsidR="00824558" w:rsidRDefault="00824558">
            <w:pPr>
              <w:cnfStyle w:val="000000000000" w:firstRow="0" w:lastRow="0" w:firstColumn="0" w:lastColumn="0" w:oddVBand="0" w:evenVBand="0" w:oddHBand="0" w:evenHBand="0" w:firstRowFirstColumn="0" w:firstRowLastColumn="0" w:lastRowFirstColumn="0" w:lastRowLastColumn="0"/>
            </w:pPr>
            <w:r>
              <w:t>83 162</w:t>
            </w:r>
          </w:p>
        </w:tc>
      </w:tr>
      <w:tr w:rsidR="00824558" w14:paraId="4A149D6B"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AB3B74" w14:textId="77777777" w:rsidR="00824558" w:rsidRDefault="00824558">
            <w:pPr>
              <w:ind w:left="170"/>
            </w:pPr>
            <w:r>
              <w:rPr>
                <w:i/>
              </w:rPr>
              <w:t>The 2026-27 target reflects an increased number of homes as part of continued government investment in the Big Housing Build and other programs.</w:t>
            </w:r>
          </w:p>
        </w:tc>
      </w:tr>
      <w:tr w:rsidR="00824558" w14:paraId="6CD065E9"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3E7E844" w14:textId="77777777" w:rsidR="00824558" w:rsidRDefault="00824558">
            <w:pPr>
              <w:keepNext/>
              <w:ind w:left="170"/>
            </w:pPr>
            <w:r>
              <w:t>Number of public housing dwellings upgraded during the year</w:t>
            </w:r>
          </w:p>
        </w:tc>
        <w:tc>
          <w:tcPr>
            <w:tcW w:w="964" w:type="dxa"/>
          </w:tcPr>
          <w:p w14:paraId="42C63CB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A14F5CD" w14:textId="718569E9" w:rsidR="00824558" w:rsidRDefault="00A97F0D">
            <w:pPr>
              <w:cnfStyle w:val="000000000000" w:firstRow="0" w:lastRow="0" w:firstColumn="0" w:lastColumn="0" w:oddVBand="0" w:evenVBand="0" w:oddHBand="0" w:evenHBand="0" w:firstRowFirstColumn="0" w:firstRowLastColumn="0" w:lastRowFirstColumn="0" w:lastRowLastColumn="0"/>
            </w:pPr>
            <w:r>
              <w:t xml:space="preserve">4 </w:t>
            </w:r>
            <w:r w:rsidR="00824558">
              <w:t>500</w:t>
            </w:r>
          </w:p>
        </w:tc>
        <w:tc>
          <w:tcPr>
            <w:tcW w:w="964" w:type="dxa"/>
          </w:tcPr>
          <w:p w14:paraId="21269CD4" w14:textId="77777777" w:rsidR="00824558" w:rsidRDefault="00824558">
            <w:pPr>
              <w:cnfStyle w:val="000000000000" w:firstRow="0" w:lastRow="0" w:firstColumn="0" w:lastColumn="0" w:oddVBand="0" w:evenVBand="0" w:oddHBand="0" w:evenHBand="0" w:firstRowFirstColumn="0" w:firstRowLastColumn="0" w:lastRowFirstColumn="0" w:lastRowLastColumn="0"/>
            </w:pPr>
            <w:r>
              <w:t>1 720</w:t>
            </w:r>
          </w:p>
        </w:tc>
        <w:tc>
          <w:tcPr>
            <w:tcW w:w="964" w:type="dxa"/>
          </w:tcPr>
          <w:p w14:paraId="615B454F" w14:textId="77777777" w:rsidR="00824558" w:rsidRDefault="00824558">
            <w:pPr>
              <w:cnfStyle w:val="000000000000" w:firstRow="0" w:lastRow="0" w:firstColumn="0" w:lastColumn="0" w:oddVBand="0" w:evenVBand="0" w:oddHBand="0" w:evenHBand="0" w:firstRowFirstColumn="0" w:firstRowLastColumn="0" w:lastRowFirstColumn="0" w:lastRowLastColumn="0"/>
            </w:pPr>
            <w:r>
              <w:t>1 500</w:t>
            </w:r>
          </w:p>
        </w:tc>
        <w:tc>
          <w:tcPr>
            <w:tcW w:w="964" w:type="dxa"/>
          </w:tcPr>
          <w:p w14:paraId="057ECECE" w14:textId="77777777" w:rsidR="00824558" w:rsidRDefault="00824558">
            <w:pPr>
              <w:cnfStyle w:val="000000000000" w:firstRow="0" w:lastRow="0" w:firstColumn="0" w:lastColumn="0" w:oddVBand="0" w:evenVBand="0" w:oddHBand="0" w:evenHBand="0" w:firstRowFirstColumn="0" w:firstRowLastColumn="0" w:lastRowFirstColumn="0" w:lastRowLastColumn="0"/>
            </w:pPr>
            <w:r>
              <w:t>1 716</w:t>
            </w:r>
          </w:p>
        </w:tc>
      </w:tr>
      <w:tr w:rsidR="00824558" w14:paraId="3D5C475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EED2CA7" w14:textId="77777777" w:rsidR="00824558" w:rsidRDefault="00824558">
            <w:pPr>
              <w:ind w:left="170"/>
              <w:rPr>
                <w:i/>
              </w:rPr>
            </w:pPr>
            <w:r>
              <w:rPr>
                <w:i/>
              </w:rPr>
              <w:t>The 2025-26 expected outcome is higher than target due to additional upgrades as part of the first phase of the Energy Efficiency in Social Housing Program.</w:t>
            </w:r>
          </w:p>
          <w:p w14:paraId="11E29AE0" w14:textId="2E25562C" w:rsidR="00824558" w:rsidRDefault="000C537F">
            <w:pPr>
              <w:ind w:left="170"/>
            </w:pPr>
            <w:r>
              <w:rPr>
                <w:i/>
              </w:rPr>
              <w:t xml:space="preserve">The higher 2026-27 target reflects an increase in the number of upgrades delivered as part of the second phase of the Energy Efficiency </w:t>
            </w:r>
            <w:r w:rsidR="00341EB2">
              <w:rPr>
                <w:i/>
              </w:rPr>
              <w:t>in Social Housing Program. The higher number of upgrades is time limited.</w:t>
            </w:r>
          </w:p>
        </w:tc>
      </w:tr>
      <w:tr w:rsidR="00824558" w14:paraId="2FE68E5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8297E6B" w14:textId="77777777" w:rsidR="00824558" w:rsidRDefault="00824558">
            <w:pPr>
              <w:keepNext/>
              <w:ind w:left="170"/>
            </w:pPr>
            <w:r>
              <w:t>Total affordable housing dwellings</w:t>
            </w:r>
          </w:p>
        </w:tc>
        <w:tc>
          <w:tcPr>
            <w:tcW w:w="964" w:type="dxa"/>
          </w:tcPr>
          <w:p w14:paraId="0AE38FF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7178A77" w14:textId="77777777" w:rsidR="00824558" w:rsidRDefault="00824558">
            <w:pPr>
              <w:cnfStyle w:val="000000000000" w:firstRow="0" w:lastRow="0" w:firstColumn="0" w:lastColumn="0" w:oddVBand="0" w:evenVBand="0" w:oddHBand="0" w:evenHBand="0" w:firstRowFirstColumn="0" w:firstRowLastColumn="0" w:lastRowFirstColumn="0" w:lastRowLastColumn="0"/>
            </w:pPr>
            <w:r>
              <w:t>1 150</w:t>
            </w:r>
          </w:p>
        </w:tc>
        <w:tc>
          <w:tcPr>
            <w:tcW w:w="964" w:type="dxa"/>
          </w:tcPr>
          <w:p w14:paraId="3D27E1DB" w14:textId="77777777" w:rsidR="00824558" w:rsidRDefault="00824558">
            <w:pPr>
              <w:cnfStyle w:val="000000000000" w:firstRow="0" w:lastRow="0" w:firstColumn="0" w:lastColumn="0" w:oddVBand="0" w:evenVBand="0" w:oddHBand="0" w:evenHBand="0" w:firstRowFirstColumn="0" w:firstRowLastColumn="0" w:lastRowFirstColumn="0" w:lastRowLastColumn="0"/>
            </w:pPr>
            <w:r>
              <w:t>722</w:t>
            </w:r>
          </w:p>
        </w:tc>
        <w:tc>
          <w:tcPr>
            <w:tcW w:w="964" w:type="dxa"/>
          </w:tcPr>
          <w:p w14:paraId="3E10543E" w14:textId="77777777" w:rsidR="00824558" w:rsidRDefault="00824558">
            <w:pPr>
              <w:cnfStyle w:val="000000000000" w:firstRow="0" w:lastRow="0" w:firstColumn="0" w:lastColumn="0" w:oddVBand="0" w:evenVBand="0" w:oddHBand="0" w:evenHBand="0" w:firstRowFirstColumn="0" w:firstRowLastColumn="0" w:lastRowFirstColumn="0" w:lastRowLastColumn="0"/>
            </w:pPr>
            <w:r>
              <w:t>722</w:t>
            </w:r>
          </w:p>
        </w:tc>
        <w:tc>
          <w:tcPr>
            <w:tcW w:w="964" w:type="dxa"/>
          </w:tcPr>
          <w:p w14:paraId="137CA585" w14:textId="77777777" w:rsidR="00824558" w:rsidRDefault="00824558">
            <w:pPr>
              <w:cnfStyle w:val="000000000000" w:firstRow="0" w:lastRow="0" w:firstColumn="0" w:lastColumn="0" w:oddVBand="0" w:evenVBand="0" w:oddHBand="0" w:evenHBand="0" w:firstRowFirstColumn="0" w:firstRowLastColumn="0" w:lastRowFirstColumn="0" w:lastRowLastColumn="0"/>
            </w:pPr>
            <w:r>
              <w:t>693</w:t>
            </w:r>
          </w:p>
        </w:tc>
      </w:tr>
      <w:tr w:rsidR="00824558" w14:paraId="3E7845B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F0AF0C" w14:textId="2335D4FE" w:rsidR="00824558" w:rsidRDefault="00824558">
            <w:pPr>
              <w:ind w:left="170"/>
            </w:pPr>
            <w:r>
              <w:rPr>
                <w:i/>
              </w:rPr>
              <w:t xml:space="preserve">The higher 2026-27 target reflects growth in affordable homes as part of continued government investment in the Big Housing Build. This performance measure renames the 2025-26 performance measure </w:t>
            </w:r>
            <w:r w:rsidR="007942D1">
              <w:rPr>
                <w:i/>
              </w:rPr>
              <w:t>‘</w:t>
            </w:r>
            <w:r>
              <w:rPr>
                <w:i/>
              </w:rPr>
              <w:t>Total number of Victorian Affordable Housing Program (VAHP) affordable housing dwellings</w:t>
            </w:r>
            <w:r w:rsidR="007942D1">
              <w:rPr>
                <w:i/>
              </w:rPr>
              <w:t>’</w:t>
            </w:r>
            <w:r>
              <w:rPr>
                <w:i/>
              </w:rPr>
              <w:t xml:space="preserve">. The new measure has been amended for increased clarity. </w:t>
            </w:r>
          </w:p>
        </w:tc>
      </w:tr>
      <w:tr w:rsidR="00824558" w14:paraId="4F2D69BF"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717359B" w14:textId="77777777" w:rsidR="00824558" w:rsidRDefault="00824558">
            <w:pPr>
              <w:keepNext/>
              <w:ind w:left="170"/>
            </w:pPr>
            <w:r>
              <w:t>Total number of First Peoples social housing dwellings added during the year</w:t>
            </w:r>
          </w:p>
        </w:tc>
        <w:tc>
          <w:tcPr>
            <w:tcW w:w="964" w:type="dxa"/>
          </w:tcPr>
          <w:p w14:paraId="407030A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B078376"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5A4B04F5"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0B0A0299"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1A12680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B9BEDF9"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3EADBD" w14:textId="7E1D750A" w:rsidR="00824558" w:rsidRDefault="00824558">
            <w:pPr>
              <w:ind w:left="170"/>
            </w:pPr>
            <w:r>
              <w:rPr>
                <w:i/>
              </w:rPr>
              <w:t xml:space="preserve">This performance measure renames the 2025-26 performance measure </w:t>
            </w:r>
            <w:r w:rsidR="007942D1">
              <w:rPr>
                <w:i/>
              </w:rPr>
              <w:t>‘</w:t>
            </w:r>
            <w:r>
              <w:rPr>
                <w:i/>
              </w:rPr>
              <w:t>Total number of Aboriginal social housing dwellings added during the year</w:t>
            </w:r>
            <w:r w:rsidR="007942D1">
              <w:rPr>
                <w:i/>
              </w:rPr>
              <w:t>’</w:t>
            </w:r>
            <w:r>
              <w:rPr>
                <w:i/>
              </w:rPr>
              <w:t>. The new measure reports on the same activity as the previous measure however has been amended for increased clarity.</w:t>
            </w:r>
          </w:p>
        </w:tc>
      </w:tr>
      <w:tr w:rsidR="00824558" w14:paraId="4235070D"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180539C8" w14:textId="77777777" w:rsidR="00824558" w:rsidRDefault="00824558">
            <w:pPr>
              <w:keepNext/>
              <w:ind w:left="170"/>
            </w:pPr>
            <w:r>
              <w:lastRenderedPageBreak/>
              <w:t>Total number of social housing dwellings</w:t>
            </w:r>
          </w:p>
        </w:tc>
        <w:tc>
          <w:tcPr>
            <w:tcW w:w="964" w:type="dxa"/>
          </w:tcPr>
          <w:p w14:paraId="1B867CB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16AF76F" w14:textId="77777777" w:rsidR="00824558" w:rsidRDefault="00824558">
            <w:pPr>
              <w:cnfStyle w:val="000000000000" w:firstRow="0" w:lastRow="0" w:firstColumn="0" w:lastColumn="0" w:oddVBand="0" w:evenVBand="0" w:oddHBand="0" w:evenHBand="0" w:firstRowFirstColumn="0" w:firstRowLastColumn="0" w:lastRowFirstColumn="0" w:lastRowLastColumn="0"/>
            </w:pPr>
            <w:r>
              <w:t>93 516</w:t>
            </w:r>
          </w:p>
        </w:tc>
        <w:tc>
          <w:tcPr>
            <w:tcW w:w="964" w:type="dxa"/>
          </w:tcPr>
          <w:p w14:paraId="4FA32255" w14:textId="77777777" w:rsidR="00824558" w:rsidRDefault="00824558">
            <w:pPr>
              <w:cnfStyle w:val="000000000000" w:firstRow="0" w:lastRow="0" w:firstColumn="0" w:lastColumn="0" w:oddVBand="0" w:evenVBand="0" w:oddHBand="0" w:evenHBand="0" w:firstRowFirstColumn="0" w:firstRowLastColumn="0" w:lastRowFirstColumn="0" w:lastRowLastColumn="0"/>
            </w:pPr>
            <w:r>
              <w:t>92 299</w:t>
            </w:r>
          </w:p>
        </w:tc>
        <w:tc>
          <w:tcPr>
            <w:tcW w:w="964" w:type="dxa"/>
          </w:tcPr>
          <w:p w14:paraId="4068FBE2" w14:textId="77777777" w:rsidR="00824558" w:rsidRDefault="00824558">
            <w:pPr>
              <w:cnfStyle w:val="000000000000" w:firstRow="0" w:lastRow="0" w:firstColumn="0" w:lastColumn="0" w:oddVBand="0" w:evenVBand="0" w:oddHBand="0" w:evenHBand="0" w:firstRowFirstColumn="0" w:firstRowLastColumn="0" w:lastRowFirstColumn="0" w:lastRowLastColumn="0"/>
            </w:pPr>
            <w:r>
              <w:t>92 170</w:t>
            </w:r>
          </w:p>
        </w:tc>
        <w:tc>
          <w:tcPr>
            <w:tcW w:w="964" w:type="dxa"/>
          </w:tcPr>
          <w:p w14:paraId="1693E140" w14:textId="77777777" w:rsidR="00824558" w:rsidRDefault="00824558">
            <w:pPr>
              <w:cnfStyle w:val="000000000000" w:firstRow="0" w:lastRow="0" w:firstColumn="0" w:lastColumn="0" w:oddVBand="0" w:evenVBand="0" w:oddHBand="0" w:evenHBand="0" w:firstRowFirstColumn="0" w:firstRowLastColumn="0" w:lastRowFirstColumn="0" w:lastRowLastColumn="0"/>
            </w:pPr>
            <w:r>
              <w:t>91 068</w:t>
            </w:r>
          </w:p>
        </w:tc>
      </w:tr>
      <w:tr w:rsidR="00824558" w14:paraId="7D7836E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5C5D69" w14:textId="77777777" w:rsidR="00824558" w:rsidRDefault="00824558">
            <w:pPr>
              <w:ind w:left="170"/>
            </w:pPr>
            <w:r>
              <w:rPr>
                <w:i/>
              </w:rPr>
              <w:t>The higher 2026-27 target reflects growth in the number of social housing homes as part of continued government investment in the Big Housing Build and other programs.</w:t>
            </w:r>
          </w:p>
        </w:tc>
      </w:tr>
      <w:tr w:rsidR="00824558" w14:paraId="0EC39D21"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07DEE069" w14:textId="77777777" w:rsidR="00824558" w:rsidRDefault="00824558">
            <w:pPr>
              <w:keepNext/>
              <w:ind w:left="170"/>
            </w:pPr>
            <w:r>
              <w:t>Total social housing dwellings added during the year</w:t>
            </w:r>
          </w:p>
        </w:tc>
        <w:tc>
          <w:tcPr>
            <w:tcW w:w="964" w:type="dxa"/>
          </w:tcPr>
          <w:p w14:paraId="0C53E14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F739EB" w14:textId="77777777" w:rsidR="00824558" w:rsidRDefault="00824558">
            <w:pPr>
              <w:cnfStyle w:val="000000000000" w:firstRow="0" w:lastRow="0" w:firstColumn="0" w:lastColumn="0" w:oddVBand="0" w:evenVBand="0" w:oddHBand="0" w:evenHBand="0" w:firstRowFirstColumn="0" w:firstRowLastColumn="0" w:lastRowFirstColumn="0" w:lastRowLastColumn="0"/>
            </w:pPr>
            <w:r>
              <w:t>2 833</w:t>
            </w:r>
          </w:p>
        </w:tc>
        <w:tc>
          <w:tcPr>
            <w:tcW w:w="964" w:type="dxa"/>
          </w:tcPr>
          <w:p w14:paraId="0F7591EA" w14:textId="77777777" w:rsidR="00824558" w:rsidRDefault="00824558">
            <w:pPr>
              <w:cnfStyle w:val="000000000000" w:firstRow="0" w:lastRow="0" w:firstColumn="0" w:lastColumn="0" w:oddVBand="0" w:evenVBand="0" w:oddHBand="0" w:evenHBand="0" w:firstRowFirstColumn="0" w:firstRowLastColumn="0" w:lastRowFirstColumn="0" w:lastRowLastColumn="0"/>
            </w:pPr>
            <w:r>
              <w:t>2 068</w:t>
            </w:r>
          </w:p>
        </w:tc>
        <w:tc>
          <w:tcPr>
            <w:tcW w:w="964" w:type="dxa"/>
          </w:tcPr>
          <w:p w14:paraId="2C6B718F" w14:textId="77777777" w:rsidR="00824558" w:rsidRDefault="00824558">
            <w:pPr>
              <w:cnfStyle w:val="000000000000" w:firstRow="0" w:lastRow="0" w:firstColumn="0" w:lastColumn="0" w:oddVBand="0" w:evenVBand="0" w:oddHBand="0" w:evenHBand="0" w:firstRowFirstColumn="0" w:firstRowLastColumn="0" w:lastRowFirstColumn="0" w:lastRowLastColumn="0"/>
            </w:pPr>
            <w:r>
              <w:t>2 358</w:t>
            </w:r>
          </w:p>
        </w:tc>
        <w:tc>
          <w:tcPr>
            <w:tcW w:w="964" w:type="dxa"/>
          </w:tcPr>
          <w:p w14:paraId="30F05397" w14:textId="77777777" w:rsidR="00824558" w:rsidRDefault="00824558">
            <w:pPr>
              <w:cnfStyle w:val="000000000000" w:firstRow="0" w:lastRow="0" w:firstColumn="0" w:lastColumn="0" w:oddVBand="0" w:evenVBand="0" w:oddHBand="0" w:evenHBand="0" w:firstRowFirstColumn="0" w:firstRowLastColumn="0" w:lastRowFirstColumn="0" w:lastRowLastColumn="0"/>
            </w:pPr>
            <w:r>
              <w:t>2 392</w:t>
            </w:r>
          </w:p>
        </w:tc>
      </w:tr>
      <w:tr w:rsidR="00824558" w14:paraId="4AD957B5"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16FA33B" w14:textId="407A12F2" w:rsidR="00824558" w:rsidRDefault="00824558">
            <w:pPr>
              <w:ind w:left="170"/>
            </w:pPr>
            <w:r>
              <w:rPr>
                <w:i/>
              </w:rPr>
              <w:t xml:space="preserve">The </w:t>
            </w:r>
            <w:r w:rsidR="008F7A05">
              <w:rPr>
                <w:i/>
              </w:rPr>
              <w:t>2025-26</w:t>
            </w:r>
            <w:r>
              <w:rPr>
                <w:i/>
              </w:rPr>
              <w:t xml:space="preserve"> expected outcome reflects a deliberate approach to work with the Commonwealth to deliver more homes</w:t>
            </w:r>
            <w:r w:rsidR="00004056">
              <w:rPr>
                <w:i/>
              </w:rPr>
              <w:t>,</w:t>
            </w:r>
            <w:r>
              <w:rPr>
                <w:i/>
              </w:rPr>
              <w:t xml:space="preserve"> with some projects rephased into 2027 and 2028 to maximise overall number of homes.</w:t>
            </w:r>
          </w:p>
          <w:p w14:paraId="32D5B04D" w14:textId="77777777" w:rsidR="00824558" w:rsidRDefault="00824558">
            <w:pPr>
              <w:ind w:left="170"/>
            </w:pPr>
            <w:r>
              <w:rPr>
                <w:i/>
              </w:rPr>
              <w:t>The 2026-27 target reflects the gross number of new social housing dwellings expected to be added during the year.</w:t>
            </w:r>
          </w:p>
        </w:tc>
      </w:tr>
      <w:tr w:rsidR="00824558" w:rsidRPr="00A9225F" w14:paraId="0D8EA99D"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0F06A904" w14:textId="77777777" w:rsidR="00824558" w:rsidRPr="00A9225F" w:rsidRDefault="00824558">
            <w:pPr>
              <w:keepNext/>
              <w:rPr>
                <w:b/>
              </w:rPr>
            </w:pPr>
            <w:r w:rsidRPr="00A9225F">
              <w:rPr>
                <w:b/>
              </w:rPr>
              <w:t>Quality</w:t>
            </w:r>
          </w:p>
        </w:tc>
      </w:tr>
      <w:tr w:rsidR="00824558" w14:paraId="08C13D78"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50DB77D" w14:textId="77777777" w:rsidR="00824558" w:rsidRDefault="00824558">
            <w:pPr>
              <w:ind w:left="170"/>
            </w:pPr>
            <w:r>
              <w:t>Proportion of homelessness services clients that engage with support services and access or maintain housing</w:t>
            </w:r>
          </w:p>
        </w:tc>
        <w:tc>
          <w:tcPr>
            <w:tcW w:w="964" w:type="dxa"/>
            <w:tcBorders>
              <w:bottom w:val="single" w:sz="6" w:space="0" w:color="auto"/>
            </w:tcBorders>
          </w:tcPr>
          <w:p w14:paraId="6A450CE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0BDEBD"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c>
          <w:tcPr>
            <w:tcW w:w="964" w:type="dxa"/>
            <w:tcBorders>
              <w:bottom w:val="single" w:sz="6" w:space="0" w:color="auto"/>
            </w:tcBorders>
          </w:tcPr>
          <w:p w14:paraId="406CF20B"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c>
          <w:tcPr>
            <w:tcW w:w="964" w:type="dxa"/>
            <w:tcBorders>
              <w:bottom w:val="single" w:sz="6" w:space="0" w:color="auto"/>
            </w:tcBorders>
          </w:tcPr>
          <w:p w14:paraId="2E8E73BA"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c>
          <w:tcPr>
            <w:tcW w:w="964" w:type="dxa"/>
            <w:tcBorders>
              <w:bottom w:val="single" w:sz="6" w:space="0" w:color="auto"/>
            </w:tcBorders>
          </w:tcPr>
          <w:p w14:paraId="29FA7758" w14:textId="77777777" w:rsidR="00824558" w:rsidRDefault="00824558">
            <w:pPr>
              <w:cnfStyle w:val="000000000000" w:firstRow="0" w:lastRow="0" w:firstColumn="0" w:lastColumn="0" w:oddVBand="0" w:evenVBand="0" w:oddHBand="0" w:evenHBand="0" w:firstRowFirstColumn="0" w:firstRowLastColumn="0" w:lastRowFirstColumn="0" w:lastRowLastColumn="0"/>
            </w:pPr>
            <w:r>
              <w:t>76.4</w:t>
            </w:r>
          </w:p>
        </w:tc>
      </w:tr>
      <w:tr w:rsidR="00824558" w14:paraId="0F27584B"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85FD78B" w14:textId="77777777" w:rsidR="00824558" w:rsidRDefault="00824558">
            <w:pPr>
              <w:ind w:left="170"/>
            </w:pPr>
            <w:r>
              <w:t>Social housing tenants satisfied with completed non-urgent maintenance works</w:t>
            </w:r>
          </w:p>
        </w:tc>
        <w:tc>
          <w:tcPr>
            <w:tcW w:w="964" w:type="dxa"/>
            <w:tcBorders>
              <w:bottom w:val="single" w:sz="6" w:space="0" w:color="auto"/>
            </w:tcBorders>
          </w:tcPr>
          <w:p w14:paraId="0FDCDD1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1B97D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89D3267"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1A379B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780B187"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r>
      <w:tr w:rsidR="00824558" w14:paraId="612A544E"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7372FD53" w14:textId="77777777" w:rsidR="00824558" w:rsidRDefault="00824558">
            <w:pPr>
              <w:keepNext/>
              <w:ind w:left="170"/>
            </w:pPr>
            <w:r>
              <w:t>Social housing tenants satisfied with completed urgent maintenance works</w:t>
            </w:r>
          </w:p>
        </w:tc>
        <w:tc>
          <w:tcPr>
            <w:tcW w:w="964" w:type="dxa"/>
          </w:tcPr>
          <w:p w14:paraId="1D6D4F5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5889B2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4B456D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574811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18973C0"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r>
      <w:tr w:rsidR="00824558" w14:paraId="59DFC313"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F12016" w14:textId="77777777" w:rsidR="00824558" w:rsidRPr="006D3A13" w:rsidRDefault="00824558">
            <w:pPr>
              <w:ind w:left="170"/>
              <w:rPr>
                <w:i/>
              </w:rPr>
            </w:pPr>
            <w:r>
              <w:rPr>
                <w:i/>
              </w:rPr>
              <w:t xml:space="preserve">The 2025-26 </w:t>
            </w:r>
            <w:r w:rsidRPr="006D3A13">
              <w:rPr>
                <w:i/>
                <w:iCs/>
              </w:rPr>
              <w:t>expected outcome is lower than target as a result of shifting the methodology for obtaining feedback from outbound</w:t>
            </w:r>
          </w:p>
          <w:p w14:paraId="5068A71C" w14:textId="77777777" w:rsidR="00824558" w:rsidRDefault="00824558">
            <w:pPr>
              <w:ind w:left="170"/>
            </w:pPr>
            <w:r w:rsidRPr="006D3A13">
              <w:rPr>
                <w:i/>
                <w:iCs/>
              </w:rPr>
              <w:t>phone calls to an SMS survey</w:t>
            </w:r>
            <w:r>
              <w:rPr>
                <w:i/>
                <w:iCs/>
              </w:rPr>
              <w:t>.</w:t>
            </w:r>
          </w:p>
        </w:tc>
      </w:tr>
      <w:tr w:rsidR="00824558" w:rsidRPr="00A9225F" w14:paraId="051E0DA1"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784B8AF0" w14:textId="77777777" w:rsidR="00824558" w:rsidRPr="00A9225F" w:rsidRDefault="00824558">
            <w:pPr>
              <w:keepNext/>
              <w:rPr>
                <w:b/>
              </w:rPr>
            </w:pPr>
            <w:r w:rsidRPr="00A9225F">
              <w:rPr>
                <w:b/>
              </w:rPr>
              <w:t>Timeliness</w:t>
            </w:r>
          </w:p>
        </w:tc>
      </w:tr>
      <w:tr w:rsidR="00824558" w14:paraId="400C40BB"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6CFD9774" w14:textId="77777777" w:rsidR="00824558" w:rsidRDefault="00824558">
            <w:pPr>
              <w:keepNext/>
              <w:ind w:left="170"/>
            </w:pPr>
            <w:r>
              <w:t>Average waiting time for long-term social housing for clients who have received a priority access housing or priority transfer allocation</w:t>
            </w:r>
          </w:p>
        </w:tc>
        <w:tc>
          <w:tcPr>
            <w:tcW w:w="964" w:type="dxa"/>
          </w:tcPr>
          <w:p w14:paraId="57A81F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shd w:val="clear" w:color="auto" w:fill="F0F0F0"/>
          </w:tcPr>
          <w:p w14:paraId="67C57EA6"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1E98908E" w14:textId="77777777" w:rsidR="00824558" w:rsidRDefault="00824558">
            <w:pPr>
              <w:cnfStyle w:val="000000000000" w:firstRow="0" w:lastRow="0" w:firstColumn="0" w:lastColumn="0" w:oddVBand="0" w:evenVBand="0" w:oddHBand="0" w:evenHBand="0" w:firstRowFirstColumn="0" w:firstRowLastColumn="0" w:lastRowFirstColumn="0" w:lastRowLastColumn="0"/>
            </w:pPr>
            <w:r>
              <w:t>18.1</w:t>
            </w:r>
          </w:p>
        </w:tc>
        <w:tc>
          <w:tcPr>
            <w:tcW w:w="964" w:type="dxa"/>
          </w:tcPr>
          <w:p w14:paraId="5DEE60CA"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1D0410FB" w14:textId="77777777" w:rsidR="00824558" w:rsidRDefault="00824558">
            <w:pPr>
              <w:cnfStyle w:val="000000000000" w:firstRow="0" w:lastRow="0" w:firstColumn="0" w:lastColumn="0" w:oddVBand="0" w:evenVBand="0" w:oddHBand="0" w:evenHBand="0" w:firstRowFirstColumn="0" w:firstRowLastColumn="0" w:lastRowFirstColumn="0" w:lastRowLastColumn="0"/>
            </w:pPr>
            <w:r>
              <w:t>17.2</w:t>
            </w:r>
          </w:p>
        </w:tc>
      </w:tr>
      <w:tr w:rsidR="00824558" w14:paraId="6ACEFDAF"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1C0DB7" w14:textId="77777777" w:rsidR="00824558" w:rsidRDefault="00824558">
            <w:pPr>
              <w:ind w:left="170"/>
            </w:pPr>
            <w:r>
              <w:rPr>
                <w:i/>
              </w:rPr>
              <w:t>The 2025-26 expected outcome is above target due to the demand for social housing.</w:t>
            </w:r>
          </w:p>
          <w:p w14:paraId="1C46FFC6" w14:textId="5ED218D2" w:rsidR="00824558" w:rsidRDefault="00824558">
            <w:pPr>
              <w:ind w:left="170"/>
            </w:pPr>
            <w:r>
              <w:rPr>
                <w:i/>
              </w:rPr>
              <w:t xml:space="preserve">This performance measure renames the 2025-26 performance measure </w:t>
            </w:r>
            <w:r w:rsidR="007942D1">
              <w:rPr>
                <w:i/>
              </w:rPr>
              <w:t>‘</w:t>
            </w:r>
            <w:r>
              <w:rPr>
                <w:i/>
              </w:rPr>
              <w:t>Average waiting time for long-term social housing for those clients who have received priority access housing allocation or a priority transfer</w:t>
            </w:r>
            <w:r w:rsidR="007942D1">
              <w:rPr>
                <w:i/>
              </w:rPr>
              <w:t>’</w:t>
            </w:r>
            <w:r>
              <w:rPr>
                <w:i/>
              </w:rPr>
              <w:t xml:space="preserve">. The new measure reports on the same activity as the previous measure however has been amended for increased clarity. </w:t>
            </w:r>
          </w:p>
        </w:tc>
      </w:tr>
      <w:tr w:rsidR="00824558" w14:paraId="2A342CB1" w14:textId="77777777" w:rsidTr="00FE75E9">
        <w:tc>
          <w:tcPr>
            <w:cnfStyle w:val="001000000000" w:firstRow="0" w:lastRow="0" w:firstColumn="1" w:lastColumn="0" w:oddVBand="0" w:evenVBand="0" w:oddHBand="0" w:evenHBand="0" w:firstRowFirstColumn="0" w:firstRowLastColumn="0" w:lastRowFirstColumn="0" w:lastRowLastColumn="0"/>
            <w:tcW w:w="4819" w:type="dxa"/>
          </w:tcPr>
          <w:p w14:paraId="21E7099A" w14:textId="77777777" w:rsidR="00824558" w:rsidRDefault="00824558">
            <w:pPr>
              <w:keepNext/>
              <w:ind w:left="170"/>
            </w:pPr>
            <w:r>
              <w:t>Average waiting time for long-term social housing for clients who have received a priority access housing or priority transfer allocation due to family violence</w:t>
            </w:r>
          </w:p>
        </w:tc>
        <w:tc>
          <w:tcPr>
            <w:tcW w:w="964" w:type="dxa"/>
          </w:tcPr>
          <w:p w14:paraId="376829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shd w:val="clear" w:color="auto" w:fill="F0F0F0"/>
          </w:tcPr>
          <w:p w14:paraId="320CAABB"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2AFE8740" w14:textId="77777777" w:rsidR="00824558" w:rsidRDefault="00824558">
            <w:pPr>
              <w:cnfStyle w:val="000000000000" w:firstRow="0" w:lastRow="0" w:firstColumn="0" w:lastColumn="0" w:oddVBand="0" w:evenVBand="0" w:oddHBand="0" w:evenHBand="0" w:firstRowFirstColumn="0" w:firstRowLastColumn="0" w:lastRowFirstColumn="0" w:lastRowLastColumn="0"/>
            </w:pPr>
            <w:r>
              <w:t>18.6</w:t>
            </w:r>
          </w:p>
        </w:tc>
        <w:tc>
          <w:tcPr>
            <w:tcW w:w="964" w:type="dxa"/>
          </w:tcPr>
          <w:p w14:paraId="01976863"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288C520B" w14:textId="77777777" w:rsidR="00824558" w:rsidRDefault="00824558">
            <w:pPr>
              <w:cnfStyle w:val="000000000000" w:firstRow="0" w:lastRow="0" w:firstColumn="0" w:lastColumn="0" w:oddVBand="0" w:evenVBand="0" w:oddHBand="0" w:evenHBand="0" w:firstRowFirstColumn="0" w:firstRowLastColumn="0" w:lastRowFirstColumn="0" w:lastRowLastColumn="0"/>
            </w:pPr>
            <w:r>
              <w:t>17.3</w:t>
            </w:r>
          </w:p>
        </w:tc>
      </w:tr>
      <w:tr w:rsidR="00824558" w14:paraId="48C9D894"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Pr>
          <w:p w14:paraId="2EA3463A" w14:textId="77777777" w:rsidR="00824558" w:rsidRDefault="00824558">
            <w:pPr>
              <w:ind w:left="170"/>
            </w:pPr>
            <w:r>
              <w:rPr>
                <w:i/>
              </w:rPr>
              <w:t>The 2025-26 expected outcome is above target due to the demand for social housing.</w:t>
            </w:r>
          </w:p>
        </w:tc>
      </w:tr>
      <w:tr w:rsidR="00824558" w14:paraId="3F9CD6E7" w14:textId="77777777" w:rsidTr="00FE75E9">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2867C20" w14:textId="77777777" w:rsidR="00824558" w:rsidRDefault="00824558">
            <w:pPr>
              <w:ind w:left="170"/>
            </w:pPr>
            <w:r>
              <w:t>Proportion of clients where support to sustain housing tenure was provided or referred</w:t>
            </w:r>
          </w:p>
        </w:tc>
        <w:tc>
          <w:tcPr>
            <w:tcW w:w="964" w:type="dxa"/>
            <w:tcBorders>
              <w:bottom w:val="single" w:sz="6" w:space="0" w:color="auto"/>
            </w:tcBorders>
          </w:tcPr>
          <w:p w14:paraId="7C54850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180609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5068C2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73B5AFC"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B1E2C79"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FE75E9" w:rsidRPr="00DC0EBC" w14:paraId="1783FBE6" w14:textId="77777777" w:rsidTr="00FE75E9">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ECE32EA" w14:textId="77777777" w:rsidR="00FE75E9" w:rsidRPr="00DC0EBC" w:rsidRDefault="00FE75E9">
            <w:pPr>
              <w:keepNext/>
              <w:rPr>
                <w:b/>
              </w:rPr>
            </w:pPr>
            <w:r w:rsidRPr="00DC0EBC">
              <w:rPr>
                <w:b/>
              </w:rPr>
              <w:t>Cost</w:t>
            </w:r>
          </w:p>
        </w:tc>
      </w:tr>
      <w:tr w:rsidR="00FE75E9" w14:paraId="1450EAD1" w14:textId="77777777" w:rsidTr="00852561">
        <w:tc>
          <w:tcPr>
            <w:cnfStyle w:val="001000000000" w:firstRow="0" w:lastRow="0" w:firstColumn="1" w:lastColumn="0" w:oddVBand="0" w:evenVBand="0" w:oddHBand="0" w:evenHBand="0" w:firstRowFirstColumn="0" w:firstRowLastColumn="0" w:lastRowFirstColumn="0" w:lastRowLastColumn="0"/>
            <w:tcW w:w="4819" w:type="dxa"/>
          </w:tcPr>
          <w:p w14:paraId="3D636592" w14:textId="77777777" w:rsidR="00FE75E9" w:rsidRDefault="00FE75E9">
            <w:pPr>
              <w:keepNext/>
              <w:ind w:left="170"/>
            </w:pPr>
            <w:r>
              <w:t>Total output cost</w:t>
            </w:r>
          </w:p>
        </w:tc>
        <w:tc>
          <w:tcPr>
            <w:tcW w:w="964" w:type="dxa"/>
          </w:tcPr>
          <w:p w14:paraId="293C62AA" w14:textId="77777777" w:rsidR="00FE75E9" w:rsidRDefault="00FE75E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0CA1D852" w14:textId="2FD38A92" w:rsidR="00FE75E9" w:rsidRPr="004D0078" w:rsidRDefault="00555831">
            <w:pPr>
              <w:cnfStyle w:val="000000000000" w:firstRow="0" w:lastRow="0" w:firstColumn="0" w:lastColumn="0" w:oddVBand="0" w:evenVBand="0" w:oddHBand="0" w:evenHBand="0" w:firstRowFirstColumn="0" w:firstRowLastColumn="0" w:lastRowFirstColumn="0" w:lastRowLastColumn="0"/>
              <w:rPr>
                <w:highlight w:val="yellow"/>
              </w:rPr>
            </w:pPr>
            <w:r>
              <w:t>769.9</w:t>
            </w:r>
          </w:p>
        </w:tc>
        <w:tc>
          <w:tcPr>
            <w:tcW w:w="964" w:type="dxa"/>
          </w:tcPr>
          <w:p w14:paraId="37F47CFC" w14:textId="0806F221" w:rsidR="00FE75E9" w:rsidRPr="004D0078" w:rsidRDefault="004D481F">
            <w:pPr>
              <w:cnfStyle w:val="000000000000" w:firstRow="0" w:lastRow="0" w:firstColumn="0" w:lastColumn="0" w:oddVBand="0" w:evenVBand="0" w:oddHBand="0" w:evenHBand="0" w:firstRowFirstColumn="0" w:firstRowLastColumn="0" w:lastRowFirstColumn="0" w:lastRowLastColumn="0"/>
              <w:rPr>
                <w:highlight w:val="yellow"/>
              </w:rPr>
            </w:pPr>
            <w:r>
              <w:t>647.5</w:t>
            </w:r>
          </w:p>
        </w:tc>
        <w:tc>
          <w:tcPr>
            <w:tcW w:w="964" w:type="dxa"/>
          </w:tcPr>
          <w:p w14:paraId="396B960E" w14:textId="3AFB94F6" w:rsidR="00FE75E9" w:rsidRPr="004D0078" w:rsidRDefault="005948C2">
            <w:pPr>
              <w:cnfStyle w:val="000000000000" w:firstRow="0" w:lastRow="0" w:firstColumn="0" w:lastColumn="0" w:oddVBand="0" w:evenVBand="0" w:oddHBand="0" w:evenHBand="0" w:firstRowFirstColumn="0" w:firstRowLastColumn="0" w:lastRowFirstColumn="0" w:lastRowLastColumn="0"/>
              <w:rPr>
                <w:highlight w:val="yellow"/>
              </w:rPr>
            </w:pPr>
            <w:r>
              <w:t>653.4</w:t>
            </w:r>
          </w:p>
        </w:tc>
        <w:tc>
          <w:tcPr>
            <w:tcW w:w="964" w:type="dxa"/>
          </w:tcPr>
          <w:p w14:paraId="6F686E00" w14:textId="4EE86647" w:rsidR="00FE75E9" w:rsidRPr="004D0078" w:rsidRDefault="00852561">
            <w:pPr>
              <w:cnfStyle w:val="000000000000" w:firstRow="0" w:lastRow="0" w:firstColumn="0" w:lastColumn="0" w:oddVBand="0" w:evenVBand="0" w:oddHBand="0" w:evenHBand="0" w:firstRowFirstColumn="0" w:firstRowLastColumn="0" w:lastRowFirstColumn="0" w:lastRowLastColumn="0"/>
              <w:rPr>
                <w:highlight w:val="yellow"/>
              </w:rPr>
            </w:pPr>
            <w:r>
              <w:t>788.2</w:t>
            </w:r>
          </w:p>
        </w:tc>
      </w:tr>
      <w:tr w:rsidR="00852561" w14:paraId="266A50E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51EB74A" w14:textId="2559A94B" w:rsidR="00852561" w:rsidRDefault="004A42F4" w:rsidP="004A42F4">
            <w:pPr>
              <w:ind w:left="170"/>
            </w:pPr>
            <w:r w:rsidRPr="00AF533C">
              <w:rPr>
                <w:i/>
              </w:rPr>
              <w:t>The higher 2026-27 target primarily reflects additional funding for housing initiatives.</w:t>
            </w:r>
          </w:p>
        </w:tc>
      </w:tr>
    </w:tbl>
    <w:p w14:paraId="7EED378D" w14:textId="77777777" w:rsidR="00824558" w:rsidRDefault="00824558">
      <w:pPr>
        <w:pStyle w:val="Source"/>
      </w:pPr>
      <w:r>
        <w:t>Source: Department of Families, Fairness and Housing</w:t>
      </w:r>
    </w:p>
    <w:p w14:paraId="6D79220B" w14:textId="77777777" w:rsidR="00824558" w:rsidRDefault="00824558"/>
    <w:p w14:paraId="026C892E" w14:textId="77777777" w:rsidR="001466B2" w:rsidRDefault="001466B2">
      <w:pPr>
        <w:sectPr w:rsidR="001466B2" w:rsidSect="001F14A3">
          <w:footerReference w:type="even" r:id="rId24"/>
          <w:footerReference w:type="default" r:id="rId25"/>
          <w:pgSz w:w="11907" w:h="16840" w:code="9"/>
          <w:pgMar w:top="1138" w:right="1138" w:bottom="1138" w:left="1138" w:header="619" w:footer="562" w:gutter="0"/>
          <w:cols w:space="708"/>
          <w:docGrid w:linePitch="360"/>
        </w:sectPr>
      </w:pPr>
    </w:p>
    <w:p w14:paraId="268B904D" w14:textId="2CD98286" w:rsidR="00824558" w:rsidRDefault="00824558" w:rsidP="002E0B49">
      <w:pPr>
        <w:pStyle w:val="Heading1"/>
        <w:pageBreakBefore/>
        <w:spacing w:before="0"/>
      </w:pPr>
      <w:bookmarkStart w:id="7" w:name="_Toc228288098"/>
      <w:r>
        <w:lastRenderedPageBreak/>
        <w:t>Department of Government Services</w:t>
      </w:r>
      <w:bookmarkEnd w:id="7"/>
    </w:p>
    <w:p w14:paraId="532B917E" w14:textId="77777777" w:rsidR="00824558" w:rsidRPr="008A215D" w:rsidRDefault="00824558">
      <w:pPr>
        <w:pStyle w:val="Heading2"/>
      </w:pPr>
      <w:r w:rsidRPr="008A215D">
        <w:t>Ministerial portfolios</w:t>
      </w:r>
    </w:p>
    <w:p w14:paraId="49797F77" w14:textId="4EB041D6" w:rsidR="00824558" w:rsidRPr="00B16236" w:rsidRDefault="00824558">
      <w:pPr>
        <w:rPr>
          <w:rFonts w:cs="Calibri"/>
        </w:rPr>
      </w:pPr>
      <w:r w:rsidRPr="00B16236">
        <w:rPr>
          <w:rFonts w:cs="Calibri"/>
        </w:rPr>
        <w:t>The Department supports the ministerial portfolios of Government Services, Consumer Affairs</w:t>
      </w:r>
      <w:r w:rsidR="00ED2FA8">
        <w:rPr>
          <w:rFonts w:cs="Calibri"/>
        </w:rPr>
        <w:t xml:space="preserve"> and</w:t>
      </w:r>
      <w:r>
        <w:rPr>
          <w:rFonts w:cs="Calibri"/>
        </w:rPr>
        <w:t xml:space="preserve"> </w:t>
      </w:r>
      <w:r w:rsidRPr="00B16236">
        <w:rPr>
          <w:rFonts w:cs="Calibri"/>
        </w:rPr>
        <w:t>Local</w:t>
      </w:r>
      <w:r w:rsidR="000D209E">
        <w:rPr>
          <w:rFonts w:cs="Calibri"/>
        </w:rPr>
        <w:t> </w:t>
      </w:r>
      <w:r w:rsidRPr="00B16236">
        <w:rPr>
          <w:rFonts w:cs="Calibri"/>
        </w:rPr>
        <w:t xml:space="preserve">Government. </w:t>
      </w:r>
    </w:p>
    <w:p w14:paraId="551BD943" w14:textId="77777777" w:rsidR="00824558" w:rsidRPr="008A215D" w:rsidRDefault="00824558">
      <w:pPr>
        <w:pStyle w:val="Heading2"/>
      </w:pPr>
      <w:r w:rsidRPr="008A215D">
        <w:t>Departmental mission statement</w:t>
      </w:r>
    </w:p>
    <w:p w14:paraId="286AC1CC" w14:textId="07FB4386" w:rsidR="00824558" w:rsidRPr="00B16236" w:rsidRDefault="00824558">
      <w:pPr>
        <w:rPr>
          <w:rFonts w:cs="Calibri"/>
        </w:rPr>
      </w:pPr>
      <w:r w:rsidRPr="00B16236">
        <w:rPr>
          <w:rFonts w:cs="Calibri"/>
        </w:rPr>
        <w:t>The Department of Government Services</w:t>
      </w:r>
      <w:r w:rsidR="007942D1">
        <w:rPr>
          <w:rFonts w:cs="Calibri"/>
        </w:rPr>
        <w:t>’</w:t>
      </w:r>
      <w:r w:rsidRPr="00B16236">
        <w:rPr>
          <w:rFonts w:cs="Calibri"/>
        </w:rPr>
        <w:t xml:space="preserve"> purpose is to improve how Victorians and business</w:t>
      </w:r>
      <w:r w:rsidR="00887AC2">
        <w:rPr>
          <w:rFonts w:cs="Calibri"/>
        </w:rPr>
        <w:t>es</w:t>
      </w:r>
      <w:r w:rsidRPr="00B16236">
        <w:rPr>
          <w:rFonts w:cs="Calibri"/>
        </w:rPr>
        <w:t xml:space="preserve"> engage with government, and to accelerate digital transformation and corporate services reform across the VPS. </w:t>
      </w:r>
    </w:p>
    <w:p w14:paraId="22997C83" w14:textId="77777777" w:rsidR="00824558" w:rsidRPr="00851116" w:rsidRDefault="00824558">
      <w:pPr>
        <w:pStyle w:val="Heading2"/>
      </w:pPr>
      <w:r w:rsidRPr="00851116">
        <w:t>Departmental objectives</w:t>
      </w:r>
    </w:p>
    <w:p w14:paraId="754A796A" w14:textId="3DA4FA44" w:rsidR="00824558" w:rsidRPr="00851116" w:rsidRDefault="00824558">
      <w:pPr>
        <w:pStyle w:val="Heading3"/>
        <w:rPr>
          <w:rFonts w:eastAsiaTheme="minorEastAsia" w:cstheme="majorHAnsi"/>
          <w:sz w:val="22"/>
          <w:szCs w:val="22"/>
        </w:rPr>
      </w:pPr>
      <w:r w:rsidRPr="00851116">
        <w:rPr>
          <w:rFonts w:cstheme="majorHAnsi"/>
          <w:sz w:val="22"/>
          <w:szCs w:val="22"/>
        </w:rPr>
        <w:t>Mak</w:t>
      </w:r>
      <w:r w:rsidRPr="00851116">
        <w:rPr>
          <w:rFonts w:eastAsiaTheme="minorEastAsia" w:cstheme="majorHAnsi"/>
          <w:sz w:val="22"/>
          <w:szCs w:val="22"/>
        </w:rPr>
        <w:t>e it easier for individuals and businesses to engage with government</w:t>
      </w:r>
    </w:p>
    <w:p w14:paraId="4520D0D1" w14:textId="5C9B90DB" w:rsidR="00824558" w:rsidRPr="00B16236" w:rsidRDefault="00824558">
      <w:pPr>
        <w:rPr>
          <w:rFonts w:cs="Calibri"/>
          <w:highlight w:val="yellow"/>
        </w:rPr>
      </w:pPr>
      <w:r w:rsidRPr="00B16236">
        <w:rPr>
          <w:rFonts w:cs="Calibri"/>
        </w:rPr>
        <w:t>This objective contributes to the digital delivery of information and services to Victorian citizens and businesses</w:t>
      </w:r>
      <w:r>
        <w:rPr>
          <w:rFonts w:cs="Calibri"/>
        </w:rPr>
        <w:t>,</w:t>
      </w:r>
      <w:r w:rsidRPr="00B16236">
        <w:rPr>
          <w:rFonts w:cs="Calibri"/>
        </w:rPr>
        <w:t xml:space="preserve"> supports empowering consumers and businesses to know their rights and responsibilities</w:t>
      </w:r>
      <w:r>
        <w:rPr>
          <w:rFonts w:cs="Calibri"/>
        </w:rPr>
        <w:t xml:space="preserve">, </w:t>
      </w:r>
      <w:r w:rsidRPr="00B16236">
        <w:rPr>
          <w:rFonts w:cs="Calibri"/>
        </w:rPr>
        <w:t>supports protection of Victorians</w:t>
      </w:r>
      <w:r w:rsidR="007942D1">
        <w:rPr>
          <w:rFonts w:cs="Calibri"/>
        </w:rPr>
        <w:t>’</w:t>
      </w:r>
      <w:r w:rsidRPr="00B16236">
        <w:rPr>
          <w:rFonts w:cs="Calibri"/>
        </w:rPr>
        <w:t xml:space="preserve"> identity through life event registrations</w:t>
      </w:r>
      <w:r>
        <w:rPr>
          <w:rFonts w:cs="Calibri"/>
        </w:rPr>
        <w:t>,</w:t>
      </w:r>
      <w:r w:rsidRPr="00B16236">
        <w:rPr>
          <w:rFonts w:cs="Calibri"/>
        </w:rPr>
        <w:t xml:space="preserve"> contributes to management of Victoria</w:t>
      </w:r>
      <w:r w:rsidR="007942D1">
        <w:rPr>
          <w:rFonts w:cs="Calibri"/>
        </w:rPr>
        <w:t>’</w:t>
      </w:r>
      <w:r w:rsidRPr="00B16236">
        <w:rPr>
          <w:rFonts w:cs="Calibri"/>
        </w:rPr>
        <w:t>s public records</w:t>
      </w:r>
      <w:r>
        <w:rPr>
          <w:rFonts w:cs="Calibri"/>
        </w:rPr>
        <w:t>,</w:t>
      </w:r>
      <w:r w:rsidRPr="00B16236">
        <w:rPr>
          <w:rFonts w:cs="Calibri"/>
        </w:rPr>
        <w:t xml:space="preserve"> and supports local councils to provide responsive and accountable services to the community.</w:t>
      </w:r>
      <w:r w:rsidR="006A262C" w:rsidRPr="00851116">
        <w:rPr>
          <w:rFonts w:eastAsiaTheme="minorEastAsia" w:cstheme="majorHAnsi"/>
          <w:vertAlign w:val="superscript"/>
        </w:rPr>
        <w:t>(</w:t>
      </w:r>
      <w:r w:rsidR="002F744B" w:rsidRPr="00851116">
        <w:rPr>
          <w:rFonts w:eastAsiaTheme="minorEastAsia" w:cstheme="majorHAnsi"/>
          <w:vertAlign w:val="superscript"/>
        </w:rPr>
        <w:t>a</w:t>
      </w:r>
      <w:r w:rsidR="006A262C" w:rsidRPr="00851116">
        <w:rPr>
          <w:rFonts w:eastAsiaTheme="minorEastAsia" w:cstheme="majorHAnsi"/>
          <w:vertAlign w:val="superscript"/>
        </w:rPr>
        <w:t>)</w:t>
      </w:r>
      <w:r w:rsidRPr="00B16236">
        <w:rPr>
          <w:rFonts w:cs="Calibri"/>
        </w:rPr>
        <w:t xml:space="preserve"> </w:t>
      </w:r>
    </w:p>
    <w:p w14:paraId="16F7BEC4" w14:textId="41F684D0" w:rsidR="00824558" w:rsidRPr="00B16236" w:rsidRDefault="00824558">
      <w:pPr>
        <w:rPr>
          <w:rFonts w:cs="Calibri"/>
        </w:rPr>
      </w:pPr>
      <w:r w:rsidRPr="00B16236">
        <w:rPr>
          <w:rFonts w:cs="Calibri"/>
        </w:rPr>
        <w:t xml:space="preserve">The following outputs contribute to this objective: Customer </w:t>
      </w:r>
      <w:r>
        <w:rPr>
          <w:rFonts w:cs="Calibri"/>
        </w:rPr>
        <w:t>S</w:t>
      </w:r>
      <w:r w:rsidRPr="00B16236">
        <w:rPr>
          <w:rFonts w:cs="Calibri"/>
        </w:rPr>
        <w:t>ervices to the Community</w:t>
      </w:r>
      <w:r>
        <w:rPr>
          <w:rFonts w:cs="Calibri"/>
        </w:rPr>
        <w:t>,</w:t>
      </w:r>
      <w:r w:rsidRPr="00B16236">
        <w:rPr>
          <w:rFonts w:cs="Calibri"/>
        </w:rPr>
        <w:t xml:space="preserve"> Local Government</w:t>
      </w:r>
      <w:r>
        <w:rPr>
          <w:rFonts w:cs="Calibri"/>
        </w:rPr>
        <w:t xml:space="preserve">, </w:t>
      </w:r>
      <w:r w:rsidRPr="00B16236">
        <w:rPr>
          <w:rFonts w:cs="Calibri"/>
        </w:rPr>
        <w:t>Management of Victoria</w:t>
      </w:r>
      <w:r w:rsidR="007942D1">
        <w:rPr>
          <w:rFonts w:cs="Calibri"/>
        </w:rPr>
        <w:t>’</w:t>
      </w:r>
      <w:r w:rsidRPr="00B16236">
        <w:rPr>
          <w:rFonts w:cs="Calibri"/>
        </w:rPr>
        <w:t xml:space="preserve">s </w:t>
      </w:r>
      <w:r>
        <w:rPr>
          <w:rFonts w:cs="Calibri"/>
        </w:rPr>
        <w:t>P</w:t>
      </w:r>
      <w:r w:rsidRPr="00B16236">
        <w:rPr>
          <w:rFonts w:cs="Calibri"/>
        </w:rPr>
        <w:t xml:space="preserve">ublic </w:t>
      </w:r>
      <w:r>
        <w:rPr>
          <w:rFonts w:cs="Calibri"/>
        </w:rPr>
        <w:t>R</w:t>
      </w:r>
      <w:r w:rsidRPr="00B16236">
        <w:rPr>
          <w:rFonts w:cs="Calibri"/>
        </w:rPr>
        <w:t>ecords</w:t>
      </w:r>
      <w:r>
        <w:rPr>
          <w:rFonts w:cs="Calibri"/>
        </w:rPr>
        <w:t>,</w:t>
      </w:r>
      <w:r w:rsidRPr="00B16236">
        <w:rPr>
          <w:rFonts w:cs="Calibri"/>
        </w:rPr>
        <w:t xml:space="preserve"> and Regulation of the Victorian </w:t>
      </w:r>
      <w:r>
        <w:rPr>
          <w:rFonts w:cs="Calibri"/>
        </w:rPr>
        <w:t>C</w:t>
      </w:r>
      <w:r w:rsidRPr="00B16236">
        <w:rPr>
          <w:rFonts w:cs="Calibri"/>
        </w:rPr>
        <w:t xml:space="preserve">onsumer </w:t>
      </w:r>
      <w:r>
        <w:rPr>
          <w:rFonts w:cs="Calibri"/>
        </w:rPr>
        <w:t>M</w:t>
      </w:r>
      <w:r w:rsidRPr="00B16236">
        <w:rPr>
          <w:rFonts w:cs="Calibri"/>
        </w:rPr>
        <w:t>arketplace.</w:t>
      </w:r>
    </w:p>
    <w:p w14:paraId="395E1AB4" w14:textId="77777777" w:rsidR="00824558" w:rsidRPr="00851116" w:rsidRDefault="00824558">
      <w:pPr>
        <w:pStyle w:val="Heading3"/>
        <w:rPr>
          <w:rFonts w:cstheme="majorHAnsi"/>
          <w:sz w:val="22"/>
          <w:szCs w:val="22"/>
        </w:rPr>
      </w:pPr>
      <w:r w:rsidRPr="00851116">
        <w:rPr>
          <w:rFonts w:cstheme="majorHAnsi"/>
          <w:sz w:val="22"/>
          <w:szCs w:val="22"/>
        </w:rPr>
        <w:t xml:space="preserve">Accelerate digital transformation for </w:t>
      </w:r>
      <w:r>
        <w:rPr>
          <w:rFonts w:cstheme="majorHAnsi"/>
          <w:sz w:val="22"/>
          <w:szCs w:val="22"/>
        </w:rPr>
        <w:t>g</w:t>
      </w:r>
      <w:r w:rsidRPr="00851116">
        <w:rPr>
          <w:rFonts w:cstheme="majorHAnsi"/>
          <w:sz w:val="22"/>
          <w:szCs w:val="22"/>
        </w:rPr>
        <w:t>overnment</w:t>
      </w:r>
    </w:p>
    <w:p w14:paraId="6A333964" w14:textId="77777777" w:rsidR="00824558" w:rsidRPr="00B16236" w:rsidRDefault="00824558">
      <w:pPr>
        <w:rPr>
          <w:rFonts w:cs="Calibri"/>
        </w:rPr>
      </w:pPr>
      <w:r w:rsidRPr="00B16236">
        <w:rPr>
          <w:rFonts w:cs="Calibri"/>
        </w:rPr>
        <w:t>This objective supports the effective delivery of government services through digital platforms, pursues service excellence and reform and supports delivery of policy and projects that enable increased productivity and improved social outcomes in Victoria.</w:t>
      </w:r>
    </w:p>
    <w:p w14:paraId="4A2D8E8A" w14:textId="77777777" w:rsidR="00824558" w:rsidRPr="00B16236" w:rsidRDefault="00824558">
      <w:pPr>
        <w:rPr>
          <w:rFonts w:cs="Calibri"/>
        </w:rPr>
      </w:pPr>
      <w:r w:rsidRPr="00B16236">
        <w:rPr>
          <w:rFonts w:cs="Calibri"/>
        </w:rPr>
        <w:t xml:space="preserve">The following output contributes to this objective: Government </w:t>
      </w:r>
      <w:r>
        <w:rPr>
          <w:rFonts w:cs="Calibri"/>
        </w:rPr>
        <w:t>S</w:t>
      </w:r>
      <w:r w:rsidRPr="00B16236">
        <w:rPr>
          <w:rFonts w:cs="Calibri"/>
        </w:rPr>
        <w:t xml:space="preserve">ervices </w:t>
      </w:r>
      <w:r>
        <w:rPr>
          <w:rFonts w:cs="Calibri"/>
        </w:rPr>
        <w:t>S</w:t>
      </w:r>
      <w:r w:rsidRPr="00B16236">
        <w:rPr>
          <w:rFonts w:cs="Calibri"/>
        </w:rPr>
        <w:t xml:space="preserve">trategy and </w:t>
      </w:r>
      <w:r>
        <w:rPr>
          <w:rFonts w:cs="Calibri"/>
        </w:rPr>
        <w:t>D</w:t>
      </w:r>
      <w:r w:rsidRPr="00B16236">
        <w:rPr>
          <w:rFonts w:cs="Calibri"/>
        </w:rPr>
        <w:t xml:space="preserve">igital </w:t>
      </w:r>
      <w:r>
        <w:rPr>
          <w:rFonts w:cs="Calibri"/>
        </w:rPr>
        <w:t>T</w:t>
      </w:r>
      <w:r w:rsidRPr="00B16236">
        <w:rPr>
          <w:rFonts w:cs="Calibri"/>
        </w:rPr>
        <w:t>ransformation.</w:t>
      </w:r>
      <w:r w:rsidRPr="00B16236">
        <w:rPr>
          <w:rFonts w:eastAsia="Garamond" w:cstheme="majorHAnsi"/>
          <w:vertAlign w:val="superscript"/>
        </w:rPr>
        <w:t>(b)</w:t>
      </w:r>
    </w:p>
    <w:p w14:paraId="50C21C79" w14:textId="7D21CAB5" w:rsidR="00824558" w:rsidRPr="00851116" w:rsidRDefault="00824558">
      <w:pPr>
        <w:pStyle w:val="Heading3"/>
        <w:rPr>
          <w:rFonts w:eastAsia="Garamond" w:cstheme="majorHAnsi"/>
          <w:sz w:val="22"/>
          <w:szCs w:val="22"/>
        </w:rPr>
      </w:pPr>
      <w:r w:rsidRPr="00851116">
        <w:rPr>
          <w:rFonts w:eastAsia="Garamond" w:cstheme="majorHAnsi"/>
          <w:sz w:val="22"/>
          <w:szCs w:val="22"/>
        </w:rPr>
        <w:t>Deliver corporate services that enable efficiency, productivity and high-quality service delivery</w:t>
      </w:r>
    </w:p>
    <w:p w14:paraId="41CB2DB7" w14:textId="0A861598" w:rsidR="00824558" w:rsidRPr="00B16236" w:rsidRDefault="00824558">
      <w:pPr>
        <w:rPr>
          <w:rFonts w:cs="Calibri"/>
        </w:rPr>
      </w:pPr>
      <w:r w:rsidRPr="00B16236">
        <w:rPr>
          <w:rFonts w:cs="Calibri"/>
        </w:rPr>
        <w:t>This objective aims to accelerate common corporate services to deliver integrated and customer-centred shared services to government agencies. Areas include procurement, fleet management, vehicle leasing and carpool, office accommodation management, government library services and shared central agency corporate services.</w:t>
      </w:r>
      <w:r w:rsidR="002A7440" w:rsidRPr="00851116">
        <w:rPr>
          <w:rFonts w:eastAsiaTheme="minorEastAsia" w:cstheme="majorHAnsi"/>
          <w:vertAlign w:val="superscript"/>
        </w:rPr>
        <w:t>(</w:t>
      </w:r>
      <w:r w:rsidR="002A7440">
        <w:rPr>
          <w:rFonts w:eastAsiaTheme="minorEastAsia" w:cstheme="majorHAnsi"/>
          <w:vertAlign w:val="superscript"/>
        </w:rPr>
        <w:t>c</w:t>
      </w:r>
      <w:r w:rsidR="002A7440" w:rsidRPr="00851116">
        <w:rPr>
          <w:rFonts w:eastAsiaTheme="minorEastAsia" w:cstheme="majorHAnsi"/>
          <w:vertAlign w:val="superscript"/>
        </w:rPr>
        <w:t>)</w:t>
      </w:r>
    </w:p>
    <w:p w14:paraId="2AA5A491" w14:textId="77777777" w:rsidR="00824558" w:rsidRPr="00B16236" w:rsidRDefault="00824558">
      <w:pPr>
        <w:rPr>
          <w:rFonts w:cs="Calibri"/>
        </w:rPr>
      </w:pPr>
      <w:r w:rsidRPr="00B16236">
        <w:rPr>
          <w:rFonts w:cs="Calibri"/>
        </w:rPr>
        <w:t>The following output contributes to this objective: Services to Government.</w:t>
      </w:r>
    </w:p>
    <w:p w14:paraId="2FA71569" w14:textId="77777777" w:rsidR="00824558" w:rsidRDefault="00824558">
      <w:pPr>
        <w:pStyle w:val="Note"/>
      </w:pPr>
      <w:r w:rsidRPr="00851116">
        <w:t>Notes:</w:t>
      </w:r>
    </w:p>
    <w:p w14:paraId="37ED229B" w14:textId="77777777" w:rsidR="00824558" w:rsidRDefault="00824558" w:rsidP="0057778B">
      <w:pPr>
        <w:pStyle w:val="Note"/>
        <w:numPr>
          <w:ilvl w:val="0"/>
          <w:numId w:val="20"/>
        </w:numPr>
      </w:pPr>
      <w:r w:rsidRPr="00851116">
        <w:t>Objective description has been updated to better reflect services provided.</w:t>
      </w:r>
    </w:p>
    <w:p w14:paraId="1F555666" w14:textId="5CCEF70F" w:rsidR="00824558" w:rsidRDefault="00824558" w:rsidP="0057778B">
      <w:pPr>
        <w:pStyle w:val="Note"/>
        <w:numPr>
          <w:ilvl w:val="0"/>
          <w:numId w:val="20"/>
        </w:numPr>
      </w:pPr>
      <w:r w:rsidRPr="00851116">
        <w:t xml:space="preserve">This output has been renamed in </w:t>
      </w:r>
      <w:r w:rsidR="002B57CA">
        <w:t>2026-27</w:t>
      </w:r>
      <w:r w:rsidRPr="00851116">
        <w:t xml:space="preserve"> to better reflect the scope of services</w:t>
      </w:r>
      <w:r>
        <w:t xml:space="preserve"> </w:t>
      </w:r>
      <w:r w:rsidRPr="00851116">
        <w:t>delivered.</w:t>
      </w:r>
    </w:p>
    <w:p w14:paraId="27E0427A" w14:textId="77777777" w:rsidR="00824558" w:rsidRPr="00851116" w:rsidRDefault="00824558" w:rsidP="0057778B">
      <w:pPr>
        <w:pStyle w:val="Note"/>
        <w:numPr>
          <w:ilvl w:val="0"/>
          <w:numId w:val="20"/>
        </w:numPr>
      </w:pPr>
      <w:r w:rsidRPr="00851116">
        <w:t>Objective description has been updated to better reflect services provided.</w:t>
      </w:r>
    </w:p>
    <w:p w14:paraId="6162F75E" w14:textId="77777777" w:rsidR="00824558" w:rsidRDefault="00824558">
      <w:pPr>
        <w:pStyle w:val="Heading2"/>
      </w:pPr>
      <w:r>
        <w:t>Changes to the output structure</w:t>
      </w:r>
    </w:p>
    <w:p w14:paraId="2CB8C211" w14:textId="21D444AB" w:rsidR="00824558" w:rsidRPr="00B16236" w:rsidRDefault="00824558" w:rsidP="0005507F">
      <w:pPr>
        <w:spacing w:after="120"/>
        <w:rPr>
          <w:rFonts w:cstheme="majorHAnsi"/>
        </w:rPr>
      </w:pPr>
      <w:r w:rsidRPr="00B16236">
        <w:rPr>
          <w:rFonts w:cstheme="majorHAnsi"/>
        </w:rPr>
        <w:t xml:space="preserve">The </w:t>
      </w:r>
      <w:r>
        <w:rPr>
          <w:rFonts w:cstheme="majorHAnsi"/>
        </w:rPr>
        <w:t>D</w:t>
      </w:r>
      <w:r w:rsidRPr="00B16236">
        <w:rPr>
          <w:rFonts w:cstheme="majorHAnsi"/>
        </w:rPr>
        <w:t xml:space="preserve">epartment has made changes to its output structure for </w:t>
      </w:r>
      <w:r w:rsidR="002B57CA">
        <w:rPr>
          <w:rFonts w:cstheme="majorHAnsi"/>
        </w:rPr>
        <w:t>2026-27</w:t>
      </w:r>
      <w:r w:rsidRPr="00B16236">
        <w:rPr>
          <w:rFonts w:cstheme="majorHAnsi"/>
        </w:rPr>
        <w:t xml:space="preserve"> as shown in the table below.</w:t>
      </w:r>
    </w:p>
    <w:tbl>
      <w:tblPr>
        <w:tblStyle w:val="DTFTableText"/>
        <w:tblW w:w="0" w:type="auto"/>
        <w:tblLook w:val="0420" w:firstRow="1" w:lastRow="0" w:firstColumn="0" w:lastColumn="0" w:noHBand="0" w:noVBand="1"/>
      </w:tblPr>
      <w:tblGrid>
        <w:gridCol w:w="2977"/>
        <w:gridCol w:w="3827"/>
        <w:gridCol w:w="2827"/>
      </w:tblGrid>
      <w:tr w:rsidR="00824558" w:rsidRPr="002A4DC4" w14:paraId="7F86CFE5" w14:textId="77777777" w:rsidTr="001466B2">
        <w:trPr>
          <w:cnfStyle w:val="100000000000" w:firstRow="1" w:lastRow="0" w:firstColumn="0" w:lastColumn="0" w:oddVBand="0" w:evenVBand="0" w:oddHBand="0" w:evenHBand="0" w:firstRowFirstColumn="0" w:firstRowLastColumn="0" w:lastRowFirstColumn="0" w:lastRowLastColumn="0"/>
        </w:trPr>
        <w:tc>
          <w:tcPr>
            <w:tcW w:w="2977" w:type="dxa"/>
          </w:tcPr>
          <w:p w14:paraId="46F9D5C0" w14:textId="77777777" w:rsidR="00824558" w:rsidRPr="002A4DC4" w:rsidRDefault="00824558">
            <w:pPr>
              <w:rPr>
                <w:rFonts w:cstheme="majorHAnsi"/>
                <w:sz w:val="20"/>
              </w:rPr>
            </w:pPr>
            <w:r w:rsidRPr="002A4DC4">
              <w:rPr>
                <w:rFonts w:cstheme="majorHAnsi"/>
                <w:sz w:val="20"/>
              </w:rPr>
              <w:t>2025-26 outputs</w:t>
            </w:r>
          </w:p>
        </w:tc>
        <w:tc>
          <w:tcPr>
            <w:tcW w:w="3827" w:type="dxa"/>
          </w:tcPr>
          <w:p w14:paraId="7989FCD7" w14:textId="77777777" w:rsidR="00824558" w:rsidRPr="002A4DC4" w:rsidRDefault="00824558">
            <w:pPr>
              <w:rPr>
                <w:rFonts w:cstheme="majorHAnsi"/>
                <w:sz w:val="20"/>
              </w:rPr>
            </w:pPr>
            <w:r w:rsidRPr="002A4DC4">
              <w:rPr>
                <w:rFonts w:cstheme="majorHAnsi"/>
                <w:sz w:val="20"/>
              </w:rPr>
              <w:t>Reason</w:t>
            </w:r>
          </w:p>
        </w:tc>
        <w:tc>
          <w:tcPr>
            <w:tcW w:w="2827" w:type="dxa"/>
          </w:tcPr>
          <w:p w14:paraId="3DB5B8FE" w14:textId="77777777" w:rsidR="00824558" w:rsidRPr="002A4DC4" w:rsidRDefault="00824558">
            <w:pPr>
              <w:rPr>
                <w:rFonts w:cstheme="majorHAnsi"/>
                <w:sz w:val="20"/>
              </w:rPr>
            </w:pPr>
            <w:r w:rsidRPr="002A4DC4">
              <w:rPr>
                <w:rFonts w:cstheme="majorHAnsi"/>
                <w:sz w:val="20"/>
              </w:rPr>
              <w:t>2026-27 outputs</w:t>
            </w:r>
          </w:p>
        </w:tc>
      </w:tr>
      <w:tr w:rsidR="00824558" w:rsidRPr="002A4DC4" w14:paraId="1FBCF2EC" w14:textId="77777777" w:rsidTr="001466B2">
        <w:trPr>
          <w:cnfStyle w:val="000000100000" w:firstRow="0" w:lastRow="0" w:firstColumn="0" w:lastColumn="0" w:oddVBand="0" w:evenVBand="0" w:oddHBand="1" w:evenHBand="0" w:firstRowFirstColumn="0" w:firstRowLastColumn="0" w:lastRowFirstColumn="0" w:lastRowLastColumn="0"/>
        </w:trPr>
        <w:tc>
          <w:tcPr>
            <w:tcW w:w="2977" w:type="dxa"/>
          </w:tcPr>
          <w:p w14:paraId="71E28C69" w14:textId="77777777" w:rsidR="00824558" w:rsidRPr="00B16236" w:rsidRDefault="00824558" w:rsidP="001466B2">
            <w:r w:rsidRPr="00B16236">
              <w:t xml:space="preserve">Identity and </w:t>
            </w:r>
            <w:r>
              <w:t>W</w:t>
            </w:r>
            <w:r w:rsidRPr="00B16236">
              <w:t xml:space="preserve">orker </w:t>
            </w:r>
            <w:r>
              <w:t>S</w:t>
            </w:r>
            <w:r w:rsidRPr="00B16236">
              <w:t xml:space="preserve">creening </w:t>
            </w:r>
            <w:r>
              <w:t>S</w:t>
            </w:r>
            <w:r w:rsidRPr="00B16236">
              <w:t>ervices</w:t>
            </w:r>
          </w:p>
        </w:tc>
        <w:tc>
          <w:tcPr>
            <w:tcW w:w="3827" w:type="dxa"/>
          </w:tcPr>
          <w:p w14:paraId="1B317AAE" w14:textId="77777777" w:rsidR="00824558" w:rsidRPr="00B16236" w:rsidRDefault="00824558" w:rsidP="001466B2">
            <w:r w:rsidRPr="00B16236">
              <w:t>This output has been discontinued due to machinery of government changes impacting Working with Children and National Disability Insurance Scheme checks.</w:t>
            </w:r>
          </w:p>
        </w:tc>
        <w:tc>
          <w:tcPr>
            <w:tcW w:w="2827" w:type="dxa"/>
          </w:tcPr>
          <w:p w14:paraId="543C134A" w14:textId="77777777" w:rsidR="00824558" w:rsidRPr="00B16236" w:rsidRDefault="00824558" w:rsidP="001466B2">
            <w:r>
              <w:t>n.a.</w:t>
            </w:r>
          </w:p>
        </w:tc>
      </w:tr>
      <w:tr w:rsidR="00824558" w:rsidRPr="002A4DC4" w14:paraId="15FD3EAE" w14:textId="77777777" w:rsidTr="001466B2">
        <w:tc>
          <w:tcPr>
            <w:tcW w:w="2977" w:type="dxa"/>
          </w:tcPr>
          <w:p w14:paraId="2EC016EF" w14:textId="77777777" w:rsidR="00824558" w:rsidRPr="00B16236" w:rsidRDefault="00824558" w:rsidP="001466B2">
            <w:r w:rsidRPr="00B16236">
              <w:t xml:space="preserve">Digital </w:t>
            </w:r>
            <w:r>
              <w:t>S</w:t>
            </w:r>
            <w:r w:rsidRPr="00B16236">
              <w:t xml:space="preserve">trategy and </w:t>
            </w:r>
            <w:r>
              <w:t>T</w:t>
            </w:r>
            <w:r w:rsidRPr="00B16236">
              <w:t>ransformation</w:t>
            </w:r>
          </w:p>
        </w:tc>
        <w:tc>
          <w:tcPr>
            <w:tcW w:w="3827" w:type="dxa"/>
          </w:tcPr>
          <w:p w14:paraId="1A3CA871" w14:textId="2CC04D6A" w:rsidR="00824558" w:rsidRPr="00B16236" w:rsidRDefault="00824558" w:rsidP="001466B2">
            <w:r w:rsidRPr="00B16236">
              <w:t xml:space="preserve">This output has been renamed in </w:t>
            </w:r>
            <w:r w:rsidR="002B57CA">
              <w:t>2026-27</w:t>
            </w:r>
            <w:r w:rsidRPr="00B16236">
              <w:t xml:space="preserve"> to better reflect the scope of services delivered.</w:t>
            </w:r>
          </w:p>
        </w:tc>
        <w:tc>
          <w:tcPr>
            <w:tcW w:w="2827" w:type="dxa"/>
          </w:tcPr>
          <w:p w14:paraId="2416B3D2" w14:textId="77777777" w:rsidR="00824558" w:rsidRPr="00B16236" w:rsidRDefault="00824558" w:rsidP="001466B2">
            <w:r w:rsidRPr="00B16236">
              <w:t xml:space="preserve">Government </w:t>
            </w:r>
            <w:r>
              <w:t>S</w:t>
            </w:r>
            <w:r w:rsidRPr="00B16236">
              <w:t xml:space="preserve">ervices </w:t>
            </w:r>
            <w:r>
              <w:t>S</w:t>
            </w:r>
            <w:r w:rsidRPr="00B16236">
              <w:t xml:space="preserve">trategy and </w:t>
            </w:r>
            <w:r>
              <w:t>D</w:t>
            </w:r>
            <w:r w:rsidRPr="00B16236">
              <w:t xml:space="preserve">igital </w:t>
            </w:r>
            <w:r>
              <w:t>T</w:t>
            </w:r>
            <w:r w:rsidRPr="00B16236">
              <w:t>ransformation</w:t>
            </w:r>
          </w:p>
        </w:tc>
      </w:tr>
    </w:tbl>
    <w:p w14:paraId="2F5A6650" w14:textId="77777777" w:rsidR="00824558" w:rsidRPr="00EB4531" w:rsidRDefault="00824558">
      <w:pPr>
        <w:pStyle w:val="Heading2"/>
      </w:pPr>
      <w:r>
        <w:lastRenderedPageBreak/>
        <w:t>Output summary by departmental objectives</w:t>
      </w:r>
    </w:p>
    <w:p w14:paraId="3A13E161" w14:textId="484FBC4C" w:rsidR="00824558" w:rsidRPr="00B16236" w:rsidRDefault="00824558" w:rsidP="001466B2">
      <w:pPr>
        <w:keepNext/>
        <w:rPr>
          <w:rFonts w:cs="Calibri"/>
        </w:rPr>
      </w:pPr>
      <w:r w:rsidRPr="00B16236">
        <w:rPr>
          <w:rFonts w:cs="Calibri"/>
        </w:rPr>
        <w:t>The Department</w:t>
      </w:r>
      <w:r w:rsidR="007942D1">
        <w:rPr>
          <w:rFonts w:cs="Calibri"/>
        </w:rPr>
        <w:t>’</w:t>
      </w:r>
      <w:r w:rsidRPr="00B16236">
        <w:rPr>
          <w:rFonts w:cs="Calibri"/>
        </w:rPr>
        <w:t>s outputs and funding are provided in the table below. Detailed descriptions of objectives and outputs are presented</w:t>
      </w:r>
      <w:r w:rsidRPr="00B16236">
        <w:rPr>
          <w:rFonts w:eastAsia="Garamond" w:cs="Calibri"/>
        </w:rPr>
        <w:t xml:space="preserve"> below</w:t>
      </w:r>
      <w:r w:rsidRPr="00B16236">
        <w:rPr>
          <w:rFonts w:cs="Calibri"/>
        </w:rPr>
        <w:t>.</w:t>
      </w:r>
    </w:p>
    <w:p w14:paraId="48B8B047" w14:textId="65708C40" w:rsidR="00196BCA" w:rsidRPr="00D06853" w:rsidRDefault="00196BCA" w:rsidP="00196BCA">
      <w:pPr>
        <w:pStyle w:val="TableHeading"/>
      </w:pPr>
      <w:r w:rsidRPr="00D06853">
        <w:t xml:space="preserve">Table </w:t>
      </w:r>
      <w:r>
        <w:t>1</w:t>
      </w:r>
      <w:r w:rsidR="00122C20">
        <w:t>0</w:t>
      </w:r>
      <w:r w:rsidRPr="00D06853">
        <w:t>:</w:t>
      </w:r>
      <w:r w:rsidRPr="00D06853">
        <w:tab/>
        <w:t>Output summary</w:t>
      </w:r>
      <w:r w:rsidRPr="00D06853">
        <w:tab/>
        <w:t>($ million)</w:t>
      </w:r>
    </w:p>
    <w:tbl>
      <w:tblPr>
        <w:tblStyle w:val="DTFTableNumeric"/>
        <w:tblW w:w="9638"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GS_Summary|TableGroup:OutputSummary"/>
      </w:tblPr>
      <w:tblGrid>
        <w:gridCol w:w="6010"/>
        <w:gridCol w:w="907"/>
        <w:gridCol w:w="907"/>
        <w:gridCol w:w="907"/>
        <w:gridCol w:w="907"/>
      </w:tblGrid>
      <w:tr w:rsidR="006A7AEC" w14:paraId="35F6E65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E669938" w14:textId="77777777" w:rsidR="006A7AEC" w:rsidRDefault="006A7AEC">
            <w:pPr>
              <w:keepNext/>
            </w:pPr>
          </w:p>
        </w:tc>
        <w:tc>
          <w:tcPr>
            <w:tcW w:w="907" w:type="dxa"/>
          </w:tcPr>
          <w:p w14:paraId="2110D74E" w14:textId="77777777" w:rsidR="006A7AEC" w:rsidRDefault="006A7AEC">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1E209CA3" w14:textId="77777777" w:rsidR="006A7AEC" w:rsidRDefault="006A7AEC">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6425CFC3" w14:textId="77777777" w:rsidR="006A7AEC" w:rsidRDefault="006A7AEC">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19A04EAC" w14:textId="77777777" w:rsidR="006A7AEC" w:rsidRDefault="006A7AEC">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6A7AEC" w:rsidRPr="007F0966" w14:paraId="4DEFB3D6" w14:textId="77777777">
        <w:tc>
          <w:tcPr>
            <w:cnfStyle w:val="001000000000" w:firstRow="0" w:lastRow="0" w:firstColumn="1" w:lastColumn="0" w:oddVBand="0" w:evenVBand="0" w:oddHBand="0" w:evenHBand="0" w:firstRowFirstColumn="0" w:firstRowLastColumn="0" w:lastRowFirstColumn="0" w:lastRowLastColumn="0"/>
            <w:tcW w:w="6010" w:type="dxa"/>
          </w:tcPr>
          <w:p w14:paraId="5BF05B5F" w14:textId="3EB7D0ED" w:rsidR="006A7AEC" w:rsidRPr="007F0966" w:rsidRDefault="006A7AEC">
            <w:pPr>
              <w:rPr>
                <w:b/>
                <w:bCs/>
              </w:rPr>
            </w:pPr>
            <w:r w:rsidRPr="007F0966">
              <w:rPr>
                <w:b/>
                <w:bCs/>
              </w:rPr>
              <w:t>Make it easier for individuals and businesses to engage with government</w:t>
            </w:r>
          </w:p>
        </w:tc>
        <w:tc>
          <w:tcPr>
            <w:tcW w:w="907" w:type="dxa"/>
          </w:tcPr>
          <w:p w14:paraId="2EEE2055"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005B2809"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41B9BDD"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723748C5"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r>
      <w:tr w:rsidR="006A7AEC" w14:paraId="40ED7D67" w14:textId="77777777">
        <w:tc>
          <w:tcPr>
            <w:cnfStyle w:val="001000000000" w:firstRow="0" w:lastRow="0" w:firstColumn="1" w:lastColumn="0" w:oddVBand="0" w:evenVBand="0" w:oddHBand="0" w:evenHBand="0" w:firstRowFirstColumn="0" w:firstRowLastColumn="0" w:lastRowFirstColumn="0" w:lastRowLastColumn="0"/>
            <w:tcW w:w="6010" w:type="dxa"/>
          </w:tcPr>
          <w:p w14:paraId="7FD305C2" w14:textId="3CB6D16E" w:rsidR="006A7AEC" w:rsidRDefault="006A7AEC">
            <w:r w:rsidRPr="0022186A">
              <w:t>Customer services to the Community</w:t>
            </w:r>
            <w:r w:rsidR="0005507F">
              <w:t xml:space="preserve"> </w:t>
            </w:r>
            <w:r w:rsidRPr="00622056">
              <w:rPr>
                <w:vertAlign w:val="superscript"/>
              </w:rPr>
              <w:t>(b)</w:t>
            </w:r>
          </w:p>
        </w:tc>
        <w:tc>
          <w:tcPr>
            <w:tcW w:w="907" w:type="dxa"/>
          </w:tcPr>
          <w:p w14:paraId="5D90EEB1"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86.2</w:t>
            </w:r>
          </w:p>
        </w:tc>
        <w:tc>
          <w:tcPr>
            <w:tcW w:w="907" w:type="dxa"/>
          </w:tcPr>
          <w:p w14:paraId="1C21E906"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108.2</w:t>
            </w:r>
          </w:p>
        </w:tc>
        <w:tc>
          <w:tcPr>
            <w:tcW w:w="907" w:type="dxa"/>
          </w:tcPr>
          <w:p w14:paraId="5BF55429"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65.9</w:t>
            </w:r>
          </w:p>
        </w:tc>
        <w:tc>
          <w:tcPr>
            <w:tcW w:w="907" w:type="dxa"/>
          </w:tcPr>
          <w:p w14:paraId="6DAA7F96"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(23.6)</w:t>
            </w:r>
          </w:p>
        </w:tc>
      </w:tr>
      <w:tr w:rsidR="006A7AEC" w14:paraId="274B4378" w14:textId="77777777">
        <w:tc>
          <w:tcPr>
            <w:cnfStyle w:val="001000000000" w:firstRow="0" w:lastRow="0" w:firstColumn="1" w:lastColumn="0" w:oddVBand="0" w:evenVBand="0" w:oddHBand="0" w:evenHBand="0" w:firstRowFirstColumn="0" w:firstRowLastColumn="0" w:lastRowFirstColumn="0" w:lastRowLastColumn="0"/>
            <w:tcW w:w="6010" w:type="dxa"/>
          </w:tcPr>
          <w:p w14:paraId="71F09F13" w14:textId="4C8D2CC5" w:rsidR="006A7AEC" w:rsidRDefault="006A7AEC">
            <w:r w:rsidRPr="0022186A">
              <w:t>Local Government</w:t>
            </w:r>
            <w:r w:rsidR="0005507F">
              <w:t xml:space="preserve"> </w:t>
            </w:r>
            <w:r w:rsidRPr="00622056">
              <w:rPr>
                <w:vertAlign w:val="superscript"/>
              </w:rPr>
              <w:t>(c)</w:t>
            </w:r>
          </w:p>
        </w:tc>
        <w:tc>
          <w:tcPr>
            <w:tcW w:w="907" w:type="dxa"/>
          </w:tcPr>
          <w:p w14:paraId="371380C2"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63.4</w:t>
            </w:r>
          </w:p>
        </w:tc>
        <w:tc>
          <w:tcPr>
            <w:tcW w:w="907" w:type="dxa"/>
          </w:tcPr>
          <w:p w14:paraId="023F58D7"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80.1</w:t>
            </w:r>
          </w:p>
        </w:tc>
        <w:tc>
          <w:tcPr>
            <w:tcW w:w="907" w:type="dxa"/>
          </w:tcPr>
          <w:p w14:paraId="533FD2B9"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73.6</w:t>
            </w:r>
          </w:p>
        </w:tc>
        <w:tc>
          <w:tcPr>
            <w:tcW w:w="907" w:type="dxa"/>
          </w:tcPr>
          <w:p w14:paraId="5283D9E7"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16.2</w:t>
            </w:r>
          </w:p>
        </w:tc>
      </w:tr>
      <w:tr w:rsidR="006A7AEC" w14:paraId="0B481431" w14:textId="77777777">
        <w:tc>
          <w:tcPr>
            <w:cnfStyle w:val="001000000000" w:firstRow="0" w:lastRow="0" w:firstColumn="1" w:lastColumn="0" w:oddVBand="0" w:evenVBand="0" w:oddHBand="0" w:evenHBand="0" w:firstRowFirstColumn="0" w:firstRowLastColumn="0" w:lastRowFirstColumn="0" w:lastRowLastColumn="0"/>
            <w:tcW w:w="6010" w:type="dxa"/>
          </w:tcPr>
          <w:p w14:paraId="0D681030" w14:textId="753588E0" w:rsidR="006A7AEC" w:rsidRDefault="006A7AEC">
            <w:r w:rsidRPr="0022186A">
              <w:t>Management of Victoria’s public records</w:t>
            </w:r>
          </w:p>
        </w:tc>
        <w:tc>
          <w:tcPr>
            <w:tcW w:w="907" w:type="dxa"/>
          </w:tcPr>
          <w:p w14:paraId="6C41C0C0"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11.9</w:t>
            </w:r>
          </w:p>
        </w:tc>
        <w:tc>
          <w:tcPr>
            <w:tcW w:w="907" w:type="dxa"/>
          </w:tcPr>
          <w:p w14:paraId="318C723F"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12.2</w:t>
            </w:r>
          </w:p>
        </w:tc>
        <w:tc>
          <w:tcPr>
            <w:tcW w:w="907" w:type="dxa"/>
          </w:tcPr>
          <w:p w14:paraId="7407B553"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12.2</w:t>
            </w:r>
          </w:p>
        </w:tc>
        <w:tc>
          <w:tcPr>
            <w:tcW w:w="907" w:type="dxa"/>
          </w:tcPr>
          <w:p w14:paraId="66C41435"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2.4</w:t>
            </w:r>
          </w:p>
        </w:tc>
      </w:tr>
      <w:tr w:rsidR="006A7AEC" w14:paraId="7B1B0C17" w14:textId="77777777">
        <w:tc>
          <w:tcPr>
            <w:cnfStyle w:val="001000000000" w:firstRow="0" w:lastRow="0" w:firstColumn="1" w:lastColumn="0" w:oddVBand="0" w:evenVBand="0" w:oddHBand="0" w:evenHBand="0" w:firstRowFirstColumn="0" w:firstRowLastColumn="0" w:lastRowFirstColumn="0" w:lastRowLastColumn="0"/>
            <w:tcW w:w="6010" w:type="dxa"/>
          </w:tcPr>
          <w:p w14:paraId="673B5498" w14:textId="5EFB6A2A" w:rsidR="006A7AEC" w:rsidRDefault="006A7AEC">
            <w:r w:rsidRPr="0022186A">
              <w:t>Regulation of the Victorian consumer marketplace</w:t>
            </w:r>
            <w:r w:rsidR="0005507F">
              <w:t xml:space="preserve"> </w:t>
            </w:r>
            <w:r w:rsidRPr="00622056">
              <w:rPr>
                <w:vertAlign w:val="superscript"/>
              </w:rPr>
              <w:t>(d)</w:t>
            </w:r>
          </w:p>
        </w:tc>
        <w:tc>
          <w:tcPr>
            <w:tcW w:w="907" w:type="dxa"/>
          </w:tcPr>
          <w:p w14:paraId="6A293F48"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127.5</w:t>
            </w:r>
          </w:p>
        </w:tc>
        <w:tc>
          <w:tcPr>
            <w:tcW w:w="907" w:type="dxa"/>
          </w:tcPr>
          <w:p w14:paraId="4B6D94DB"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194.3</w:t>
            </w:r>
          </w:p>
        </w:tc>
        <w:tc>
          <w:tcPr>
            <w:tcW w:w="907" w:type="dxa"/>
          </w:tcPr>
          <w:p w14:paraId="45F47E62"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157.6</w:t>
            </w:r>
          </w:p>
        </w:tc>
        <w:tc>
          <w:tcPr>
            <w:tcW w:w="907" w:type="dxa"/>
          </w:tcPr>
          <w:p w14:paraId="4FA153DC"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23.6</w:t>
            </w:r>
          </w:p>
        </w:tc>
      </w:tr>
      <w:tr w:rsidR="006A7AEC" w:rsidRPr="007F0966" w14:paraId="24593F12" w14:textId="77777777">
        <w:tc>
          <w:tcPr>
            <w:cnfStyle w:val="001000000000" w:firstRow="0" w:lastRow="0" w:firstColumn="1" w:lastColumn="0" w:oddVBand="0" w:evenVBand="0" w:oddHBand="0" w:evenHBand="0" w:firstRowFirstColumn="0" w:firstRowLastColumn="0" w:lastRowFirstColumn="0" w:lastRowLastColumn="0"/>
            <w:tcW w:w="6010" w:type="dxa"/>
          </w:tcPr>
          <w:p w14:paraId="57ABC125" w14:textId="77777777" w:rsidR="006A7AEC" w:rsidRPr="007F0966" w:rsidRDefault="006A7AEC">
            <w:pPr>
              <w:rPr>
                <w:b/>
                <w:bCs/>
              </w:rPr>
            </w:pPr>
            <w:r w:rsidRPr="007F0966">
              <w:rPr>
                <w:b/>
                <w:bCs/>
              </w:rPr>
              <w:t>Accelerate digital transformation for Government</w:t>
            </w:r>
          </w:p>
        </w:tc>
        <w:tc>
          <w:tcPr>
            <w:tcW w:w="907" w:type="dxa"/>
          </w:tcPr>
          <w:p w14:paraId="731D8CC5"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4FAE43B9"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6B68E83F"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32A2A323"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r>
      <w:tr w:rsidR="006A7AEC" w14:paraId="00200B23" w14:textId="77777777">
        <w:tc>
          <w:tcPr>
            <w:cnfStyle w:val="001000000000" w:firstRow="0" w:lastRow="0" w:firstColumn="1" w:lastColumn="0" w:oddVBand="0" w:evenVBand="0" w:oddHBand="0" w:evenHBand="0" w:firstRowFirstColumn="0" w:firstRowLastColumn="0" w:lastRowFirstColumn="0" w:lastRowLastColumn="0"/>
            <w:tcW w:w="6010" w:type="dxa"/>
          </w:tcPr>
          <w:p w14:paraId="0ED568B6" w14:textId="76A540E0" w:rsidR="006A7AEC" w:rsidRDefault="006A7AEC">
            <w:r w:rsidRPr="0022186A">
              <w:t>Government services strategy and digital transformation</w:t>
            </w:r>
            <w:r w:rsidR="0005507F">
              <w:t xml:space="preserve"> </w:t>
            </w:r>
            <w:r w:rsidRPr="00622056">
              <w:rPr>
                <w:vertAlign w:val="superscript"/>
              </w:rPr>
              <w:t>(e)</w:t>
            </w:r>
          </w:p>
        </w:tc>
        <w:tc>
          <w:tcPr>
            <w:tcW w:w="907" w:type="dxa"/>
          </w:tcPr>
          <w:p w14:paraId="2C1ED96C"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125.2</w:t>
            </w:r>
          </w:p>
        </w:tc>
        <w:tc>
          <w:tcPr>
            <w:tcW w:w="907" w:type="dxa"/>
          </w:tcPr>
          <w:p w14:paraId="3687CCC4"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123.1</w:t>
            </w:r>
          </w:p>
        </w:tc>
        <w:tc>
          <w:tcPr>
            <w:tcW w:w="907" w:type="dxa"/>
          </w:tcPr>
          <w:p w14:paraId="12C74E74"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88.4</w:t>
            </w:r>
          </w:p>
        </w:tc>
        <w:tc>
          <w:tcPr>
            <w:tcW w:w="907" w:type="dxa"/>
          </w:tcPr>
          <w:p w14:paraId="0319640D"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(29.4)</w:t>
            </w:r>
          </w:p>
        </w:tc>
      </w:tr>
      <w:tr w:rsidR="006A7AEC" w:rsidRPr="007F0966" w14:paraId="019E6C9A" w14:textId="77777777">
        <w:tc>
          <w:tcPr>
            <w:cnfStyle w:val="001000000000" w:firstRow="0" w:lastRow="0" w:firstColumn="1" w:lastColumn="0" w:oddVBand="0" w:evenVBand="0" w:oddHBand="0" w:evenHBand="0" w:firstRowFirstColumn="0" w:firstRowLastColumn="0" w:lastRowFirstColumn="0" w:lastRowLastColumn="0"/>
            <w:tcW w:w="6010" w:type="dxa"/>
          </w:tcPr>
          <w:p w14:paraId="6857EAF9" w14:textId="77777777" w:rsidR="006A7AEC" w:rsidRPr="007F0966" w:rsidRDefault="006A7AEC">
            <w:pPr>
              <w:rPr>
                <w:b/>
                <w:bCs/>
              </w:rPr>
            </w:pPr>
            <w:r w:rsidRPr="007F0966">
              <w:rPr>
                <w:b/>
                <w:bCs/>
              </w:rPr>
              <w:t>Deliver corporate services that enable efficiency, productivity and high quality service delivery</w:t>
            </w:r>
          </w:p>
        </w:tc>
        <w:tc>
          <w:tcPr>
            <w:tcW w:w="907" w:type="dxa"/>
          </w:tcPr>
          <w:p w14:paraId="0FDE3835"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B1F0618"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039B370"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c>
          <w:tcPr>
            <w:tcW w:w="907" w:type="dxa"/>
          </w:tcPr>
          <w:p w14:paraId="50A5BF08" w14:textId="77777777" w:rsidR="006A7AEC" w:rsidRPr="007F0966" w:rsidRDefault="006A7AEC">
            <w:pPr>
              <w:cnfStyle w:val="000000000000" w:firstRow="0" w:lastRow="0" w:firstColumn="0" w:lastColumn="0" w:oddVBand="0" w:evenVBand="0" w:oddHBand="0" w:evenHBand="0" w:firstRowFirstColumn="0" w:firstRowLastColumn="0" w:lastRowFirstColumn="0" w:lastRowLastColumn="0"/>
              <w:rPr>
                <w:b/>
                <w:bCs/>
              </w:rPr>
            </w:pPr>
          </w:p>
        </w:tc>
      </w:tr>
      <w:tr w:rsidR="006A7AEC" w14:paraId="18868A70"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5B9097E" w14:textId="77777777" w:rsidR="006A7AEC" w:rsidRDefault="006A7AEC">
            <w:r w:rsidRPr="0022186A">
              <w:t>Services to Government</w:t>
            </w:r>
          </w:p>
        </w:tc>
        <w:tc>
          <w:tcPr>
            <w:tcW w:w="907" w:type="dxa"/>
            <w:tcBorders>
              <w:bottom w:val="single" w:sz="6" w:space="0" w:color="auto"/>
            </w:tcBorders>
          </w:tcPr>
          <w:p w14:paraId="16ADED6F"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376.0</w:t>
            </w:r>
          </w:p>
        </w:tc>
        <w:tc>
          <w:tcPr>
            <w:tcW w:w="907" w:type="dxa"/>
            <w:tcBorders>
              <w:bottom w:val="single" w:sz="6" w:space="0" w:color="auto"/>
            </w:tcBorders>
          </w:tcPr>
          <w:p w14:paraId="297A8548"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372.9</w:t>
            </w:r>
          </w:p>
        </w:tc>
        <w:tc>
          <w:tcPr>
            <w:tcW w:w="907" w:type="dxa"/>
            <w:tcBorders>
              <w:bottom w:val="single" w:sz="6" w:space="0" w:color="auto"/>
            </w:tcBorders>
          </w:tcPr>
          <w:p w14:paraId="5C57D958"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378.5</w:t>
            </w:r>
          </w:p>
        </w:tc>
        <w:tc>
          <w:tcPr>
            <w:tcW w:w="907" w:type="dxa"/>
            <w:tcBorders>
              <w:bottom w:val="single" w:sz="6" w:space="0" w:color="auto"/>
            </w:tcBorders>
          </w:tcPr>
          <w:p w14:paraId="3139FC08" w14:textId="77777777" w:rsidR="006A7AEC" w:rsidRDefault="006A7AEC">
            <w:pPr>
              <w:cnfStyle w:val="000000000000" w:firstRow="0" w:lastRow="0" w:firstColumn="0" w:lastColumn="0" w:oddVBand="0" w:evenVBand="0" w:oddHBand="0" w:evenHBand="0" w:firstRowFirstColumn="0" w:firstRowLastColumn="0" w:lastRowFirstColumn="0" w:lastRowLastColumn="0"/>
            </w:pPr>
            <w:r w:rsidRPr="0022186A">
              <w:t xml:space="preserve"> 0.7</w:t>
            </w:r>
          </w:p>
        </w:tc>
      </w:tr>
      <w:tr w:rsidR="006A7AEC" w:rsidRPr="0005507F" w14:paraId="2E6B65CE"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C79A1C2" w14:textId="77777777" w:rsidR="006A7AEC" w:rsidRPr="0005507F" w:rsidRDefault="006A7AEC">
            <w:pPr>
              <w:rPr>
                <w:b/>
              </w:rPr>
            </w:pPr>
            <w:r w:rsidRPr="0005507F">
              <w:rPr>
                <w:b/>
              </w:rPr>
              <w:t>Total</w:t>
            </w:r>
          </w:p>
        </w:tc>
        <w:tc>
          <w:tcPr>
            <w:tcW w:w="907" w:type="dxa"/>
            <w:tcBorders>
              <w:top w:val="single" w:sz="6" w:space="0" w:color="auto"/>
              <w:bottom w:val="single" w:sz="12" w:space="0" w:color="auto"/>
            </w:tcBorders>
          </w:tcPr>
          <w:p w14:paraId="613F7CB8" w14:textId="77777777" w:rsidR="006A7AEC" w:rsidRPr="0005507F" w:rsidRDefault="006A7AEC">
            <w:pPr>
              <w:cnfStyle w:val="000000000000" w:firstRow="0" w:lastRow="0" w:firstColumn="0" w:lastColumn="0" w:oddVBand="0" w:evenVBand="0" w:oddHBand="0" w:evenHBand="0" w:firstRowFirstColumn="0" w:firstRowLastColumn="0" w:lastRowFirstColumn="0" w:lastRowLastColumn="0"/>
              <w:rPr>
                <w:b/>
              </w:rPr>
            </w:pPr>
            <w:r w:rsidRPr="0005507F">
              <w:rPr>
                <w:b/>
              </w:rPr>
              <w:t xml:space="preserve"> 790.2</w:t>
            </w:r>
          </w:p>
        </w:tc>
        <w:tc>
          <w:tcPr>
            <w:tcW w:w="907" w:type="dxa"/>
            <w:tcBorders>
              <w:top w:val="single" w:sz="6" w:space="0" w:color="auto"/>
              <w:bottom w:val="single" w:sz="12" w:space="0" w:color="auto"/>
            </w:tcBorders>
          </w:tcPr>
          <w:p w14:paraId="5BA098C0" w14:textId="77777777" w:rsidR="006A7AEC" w:rsidRPr="0005507F" w:rsidRDefault="006A7AEC">
            <w:pPr>
              <w:cnfStyle w:val="000000000000" w:firstRow="0" w:lastRow="0" w:firstColumn="0" w:lastColumn="0" w:oddVBand="0" w:evenVBand="0" w:oddHBand="0" w:evenHBand="0" w:firstRowFirstColumn="0" w:firstRowLastColumn="0" w:lastRowFirstColumn="0" w:lastRowLastColumn="0"/>
              <w:rPr>
                <w:b/>
              </w:rPr>
            </w:pPr>
            <w:r w:rsidRPr="0005507F">
              <w:rPr>
                <w:b/>
              </w:rPr>
              <w:t xml:space="preserve"> 890.7</w:t>
            </w:r>
          </w:p>
        </w:tc>
        <w:tc>
          <w:tcPr>
            <w:tcW w:w="907" w:type="dxa"/>
            <w:tcBorders>
              <w:top w:val="single" w:sz="6" w:space="0" w:color="auto"/>
              <w:bottom w:val="single" w:sz="12" w:space="0" w:color="auto"/>
            </w:tcBorders>
          </w:tcPr>
          <w:p w14:paraId="3B10EBE5" w14:textId="77777777" w:rsidR="006A7AEC" w:rsidRPr="0005507F" w:rsidRDefault="006A7AEC">
            <w:pPr>
              <w:cnfStyle w:val="000000000000" w:firstRow="0" w:lastRow="0" w:firstColumn="0" w:lastColumn="0" w:oddVBand="0" w:evenVBand="0" w:oddHBand="0" w:evenHBand="0" w:firstRowFirstColumn="0" w:firstRowLastColumn="0" w:lastRowFirstColumn="0" w:lastRowLastColumn="0"/>
              <w:rPr>
                <w:b/>
              </w:rPr>
            </w:pPr>
            <w:r w:rsidRPr="0005507F">
              <w:rPr>
                <w:b/>
              </w:rPr>
              <w:t>776.2</w:t>
            </w:r>
          </w:p>
        </w:tc>
        <w:tc>
          <w:tcPr>
            <w:tcW w:w="907" w:type="dxa"/>
            <w:tcBorders>
              <w:top w:val="single" w:sz="6" w:space="0" w:color="auto"/>
              <w:bottom w:val="single" w:sz="12" w:space="0" w:color="auto"/>
            </w:tcBorders>
          </w:tcPr>
          <w:p w14:paraId="13368A7C" w14:textId="146A70F3" w:rsidR="006A7AEC" w:rsidRPr="0005507F" w:rsidRDefault="00820F51">
            <w:pPr>
              <w:cnfStyle w:val="000000000000" w:firstRow="0" w:lastRow="0" w:firstColumn="0" w:lastColumn="0" w:oddVBand="0" w:evenVBand="0" w:oddHBand="0" w:evenHBand="0" w:firstRowFirstColumn="0" w:firstRowLastColumn="0" w:lastRowFirstColumn="0" w:lastRowLastColumn="0"/>
              <w:rPr>
                <w:b/>
              </w:rPr>
            </w:pPr>
            <w:r>
              <w:rPr>
                <w:b/>
              </w:rPr>
              <w:t>(1.8)</w:t>
            </w:r>
          </w:p>
        </w:tc>
      </w:tr>
    </w:tbl>
    <w:p w14:paraId="692D507F" w14:textId="77777777" w:rsidR="006A7AEC" w:rsidRDefault="006A7AEC" w:rsidP="006A7AEC">
      <w:pPr>
        <w:pStyle w:val="Source"/>
        <w:rPr>
          <w:lang w:eastAsia="en-AU"/>
        </w:rPr>
      </w:pPr>
      <w:r>
        <w:rPr>
          <w:lang w:eastAsia="en-AU"/>
        </w:rPr>
        <w:t>Source: Department of Government Services</w:t>
      </w:r>
    </w:p>
    <w:p w14:paraId="0A760EFA" w14:textId="747C0732" w:rsidR="006A7AEC" w:rsidRDefault="006A7AEC" w:rsidP="006A7AEC">
      <w:pPr>
        <w:pStyle w:val="Note"/>
        <w:rPr>
          <w:lang w:eastAsia="en-AU"/>
        </w:rPr>
      </w:pPr>
      <w:r>
        <w:rPr>
          <w:lang w:eastAsia="en-AU"/>
        </w:rPr>
        <w:t>Notes</w:t>
      </w:r>
      <w:r w:rsidR="00383570">
        <w:rPr>
          <w:lang w:eastAsia="en-AU"/>
        </w:rPr>
        <w:t>:</w:t>
      </w:r>
    </w:p>
    <w:p w14:paraId="6E294371" w14:textId="52D55013" w:rsidR="006A7AEC" w:rsidRDefault="0005507F" w:rsidP="0005507F">
      <w:pPr>
        <w:pStyle w:val="Note"/>
      </w:pPr>
      <w:r>
        <w:t>(a)</w:t>
      </w:r>
      <w:r>
        <w:tab/>
      </w:r>
      <w:r w:rsidR="006A7AEC" w:rsidRPr="00532D1B">
        <w:t xml:space="preserve">Variation between 2025-26 budget and 2026-27 budget. </w:t>
      </w:r>
    </w:p>
    <w:p w14:paraId="400D2FDA" w14:textId="243BF6EE" w:rsidR="006A7AEC" w:rsidRPr="0005507F" w:rsidRDefault="0005507F" w:rsidP="0005507F">
      <w:pPr>
        <w:pStyle w:val="Note"/>
      </w:pPr>
      <w:r>
        <w:t>(b)</w:t>
      </w:r>
      <w:r>
        <w:tab/>
      </w:r>
      <w:r w:rsidR="2B323E45">
        <w:t xml:space="preserve">The 2025-26 target differs from the target published in the </w:t>
      </w:r>
      <w:r w:rsidR="2B323E45" w:rsidRPr="67337FC3">
        <w:rPr>
          <w:i w:val="0"/>
        </w:rPr>
        <w:t>2025-26 Department Performance Statement</w:t>
      </w:r>
      <w:r w:rsidR="2B323E45">
        <w:t xml:space="preserve"> because it now incorporates Identity and Worker Screening Services functions, which were previously included in a separate output. Note: worker screening functions have transferred to Department of Families, Fairness and Housing (DFFH), with the outcomes and targets reflected in the Department of Government Services (DGS) output summary until funding transfer is finalised. </w:t>
      </w:r>
      <w:r w:rsidR="006A7AEC">
        <w:t>The 2026</w:t>
      </w:r>
      <w:r w:rsidR="00383570">
        <w:t>-</w:t>
      </w:r>
      <w:r w:rsidR="006A7AEC">
        <w:t>27 target is lower than the 2025</w:t>
      </w:r>
      <w:r w:rsidR="00383570">
        <w:t>-</w:t>
      </w:r>
      <w:r w:rsidR="006A7AEC">
        <w:t xml:space="preserve">26 target due to the timing of the funding provided to Service Victoria. </w:t>
      </w:r>
    </w:p>
    <w:p w14:paraId="54F183F4" w14:textId="2C1F8F90" w:rsidR="006A7AEC" w:rsidRDefault="0005507F" w:rsidP="0005507F">
      <w:pPr>
        <w:pStyle w:val="Note"/>
      </w:pPr>
      <w:r>
        <w:t>(c)</w:t>
      </w:r>
      <w:r>
        <w:tab/>
      </w:r>
      <w:r w:rsidR="006A7AEC">
        <w:t>The 2026</w:t>
      </w:r>
      <w:r w:rsidR="00383570">
        <w:t>-</w:t>
      </w:r>
      <w:r w:rsidR="006A7AEC">
        <w:t>27 target is higher than the 2025</w:t>
      </w:r>
      <w:r w:rsidR="00383570">
        <w:t>-</w:t>
      </w:r>
      <w:r w:rsidR="006A7AEC">
        <w:t xml:space="preserve">26 target due to additional funding </w:t>
      </w:r>
      <w:r w:rsidR="6742AA2A" w:rsidRPr="0058743A">
        <w:rPr>
          <w:rFonts w:eastAsiaTheme="majorEastAsia" w:cstheme="majorBidi"/>
          <w:szCs w:val="14"/>
        </w:rPr>
        <w:t xml:space="preserve">allocated in the </w:t>
      </w:r>
      <w:r w:rsidR="6742AA2A" w:rsidRPr="0058743A">
        <w:rPr>
          <w:rFonts w:eastAsiaTheme="majorEastAsia" w:cstheme="majorBidi"/>
          <w:i w:val="0"/>
          <w:szCs w:val="14"/>
        </w:rPr>
        <w:t>2026-27 Budget</w:t>
      </w:r>
      <w:r w:rsidR="6742AA2A" w:rsidRPr="0058743A">
        <w:rPr>
          <w:rFonts w:eastAsiaTheme="majorEastAsia" w:cstheme="majorBidi"/>
          <w:szCs w:val="14"/>
        </w:rPr>
        <w:t xml:space="preserve"> for new initiatives, including </w:t>
      </w:r>
      <w:r w:rsidR="00D00DE9">
        <w:rPr>
          <w:rFonts w:eastAsiaTheme="majorEastAsia" w:cstheme="majorBidi"/>
          <w:iCs/>
          <w:szCs w:val="14"/>
        </w:rPr>
        <w:t>Minimising insecure work in the local government sector</w:t>
      </w:r>
      <w:r w:rsidR="0010353C">
        <w:rPr>
          <w:rFonts w:eastAsiaTheme="majorEastAsia" w:cstheme="majorBidi"/>
          <w:iCs/>
          <w:szCs w:val="14"/>
        </w:rPr>
        <w:t xml:space="preserve"> </w:t>
      </w:r>
      <w:r w:rsidR="0010353C" w:rsidRPr="0058743A">
        <w:t>and Bushfire relief and recovery</w:t>
      </w:r>
      <w:r w:rsidR="6742AA2A" w:rsidRPr="0058743A">
        <w:rPr>
          <w:rFonts w:eastAsiaTheme="majorEastAsia" w:cstheme="majorBidi"/>
          <w:szCs w:val="14"/>
        </w:rPr>
        <w:t>.</w:t>
      </w:r>
    </w:p>
    <w:p w14:paraId="5060059A" w14:textId="157BA092" w:rsidR="006A7AEC" w:rsidRDefault="0005507F" w:rsidP="0005507F">
      <w:pPr>
        <w:pStyle w:val="Note"/>
      </w:pPr>
      <w:r>
        <w:t>(d)</w:t>
      </w:r>
      <w:r>
        <w:tab/>
      </w:r>
      <w:r w:rsidR="006A7AEC" w:rsidRPr="00540B76">
        <w:t>The 2026</w:t>
      </w:r>
      <w:r w:rsidR="00383570">
        <w:t>-</w:t>
      </w:r>
      <w:r w:rsidR="006A7AEC" w:rsidRPr="00540B76">
        <w:t>27 target is higher than the 2025</w:t>
      </w:r>
      <w:r w:rsidR="00383570">
        <w:t>-</w:t>
      </w:r>
      <w:r w:rsidR="006A7AEC" w:rsidRPr="00540B76">
        <w:t xml:space="preserve">26 target due to </w:t>
      </w:r>
      <w:r w:rsidR="007965B0">
        <w:t>funding provided for Rental Dispute Resolution Victoria</w:t>
      </w:r>
      <w:r w:rsidR="006A7AEC" w:rsidRPr="00540B76">
        <w:t>, financial counselling programs and delivery of the Fair Fuel Plan.</w:t>
      </w:r>
    </w:p>
    <w:p w14:paraId="0EC3B63F" w14:textId="401CA1E2" w:rsidR="006A7AEC" w:rsidRPr="00540B76" w:rsidRDefault="0005507F" w:rsidP="0005507F">
      <w:pPr>
        <w:pStyle w:val="Note"/>
      </w:pPr>
      <w:r>
        <w:t>(e)</w:t>
      </w:r>
      <w:r>
        <w:tab/>
      </w:r>
      <w:r w:rsidR="006A7AEC" w:rsidRPr="00540B76">
        <w:t>The 2026</w:t>
      </w:r>
      <w:r w:rsidR="00383570">
        <w:t>-</w:t>
      </w:r>
      <w:r w:rsidR="006A7AEC" w:rsidRPr="00540B76">
        <w:t>27 target is lower than the 2025</w:t>
      </w:r>
      <w:r w:rsidR="00383570">
        <w:t>-</w:t>
      </w:r>
      <w:r w:rsidR="006A7AEC" w:rsidRPr="00540B76">
        <w:t>26 target because the Connecting Victoria mobile and broadband program is nearing completion in 2026</w:t>
      </w:r>
      <w:r w:rsidR="00383570">
        <w:t>-</w:t>
      </w:r>
      <w:r w:rsidR="006A7AEC" w:rsidRPr="00540B76">
        <w:t>27.</w:t>
      </w:r>
    </w:p>
    <w:p w14:paraId="2BDD6063" w14:textId="77777777" w:rsidR="00824558" w:rsidRPr="00EB4531" w:rsidRDefault="00824558">
      <w:pPr>
        <w:pStyle w:val="Heading2"/>
      </w:pPr>
      <w:r w:rsidRPr="00EB4531">
        <w:t>Amounts available</w:t>
      </w:r>
    </w:p>
    <w:p w14:paraId="66C77294" w14:textId="77777777" w:rsidR="00824558" w:rsidRPr="00B16236" w:rsidRDefault="00824558">
      <w:pPr>
        <w:rPr>
          <w:rFonts w:cs="Calibri"/>
        </w:rPr>
      </w:pPr>
      <w:r w:rsidRPr="00B16236">
        <w:rPr>
          <w:rFonts w:cs="Calibri"/>
        </w:rPr>
        <w:t xml:space="preserve">The following tables detail the amounts available to the </w:t>
      </w:r>
      <w:r>
        <w:rPr>
          <w:rFonts w:cs="Calibri"/>
        </w:rPr>
        <w:t>D</w:t>
      </w:r>
      <w:r w:rsidRPr="00B16236">
        <w:rPr>
          <w:rFonts w:cs="Calibri"/>
        </w:rPr>
        <w:t>epartment from parliamentary authority and income generated through transactions.</w:t>
      </w:r>
    </w:p>
    <w:p w14:paraId="0C8395F3" w14:textId="693CF1EC" w:rsidR="00824558" w:rsidRPr="00B16236" w:rsidRDefault="00824558">
      <w:pPr>
        <w:ind w:right="-80"/>
        <w:rPr>
          <w:rFonts w:cs="Calibri"/>
        </w:rPr>
      </w:pPr>
      <w:r w:rsidRPr="00B16236">
        <w:rPr>
          <w:rFonts w:cs="Calibri"/>
        </w:rPr>
        <w:t xml:space="preserve">Table 11 outlines the </w:t>
      </w:r>
      <w:r>
        <w:rPr>
          <w:rFonts w:cs="Calibri"/>
        </w:rPr>
        <w:t>D</w:t>
      </w:r>
      <w:r w:rsidRPr="00B16236">
        <w:rPr>
          <w:rFonts w:cs="Calibri"/>
        </w:rPr>
        <w:t>epartment</w:t>
      </w:r>
      <w:r w:rsidR="007942D1">
        <w:rPr>
          <w:rFonts w:cs="Calibri"/>
        </w:rPr>
        <w:t>’</w:t>
      </w:r>
      <w:r w:rsidRPr="00B16236">
        <w:rPr>
          <w:rFonts w:cs="Calibri"/>
        </w:rPr>
        <w:t xml:space="preserve">s income from transactions and Table 12 summarises the sources of Parliamentary authority available to the </w:t>
      </w:r>
      <w:r>
        <w:rPr>
          <w:rFonts w:cs="Calibri"/>
        </w:rPr>
        <w:t>D</w:t>
      </w:r>
      <w:r w:rsidRPr="00B16236">
        <w:rPr>
          <w:rFonts w:cs="Calibri"/>
        </w:rPr>
        <w:t xml:space="preserve">epartment to fund the provision of outputs, additions to the net asset base, payments made on behalf of the </w:t>
      </w:r>
      <w:r>
        <w:rPr>
          <w:rFonts w:cs="Calibri"/>
        </w:rPr>
        <w:t>S</w:t>
      </w:r>
      <w:r w:rsidRPr="00B16236">
        <w:rPr>
          <w:rFonts w:cs="Calibri"/>
        </w:rPr>
        <w:t xml:space="preserve">tate, and other sources expected to become available to the </w:t>
      </w:r>
      <w:r>
        <w:rPr>
          <w:rFonts w:cs="Calibri"/>
        </w:rPr>
        <w:t>D</w:t>
      </w:r>
      <w:r w:rsidRPr="00B16236">
        <w:rPr>
          <w:rFonts w:cs="Calibri"/>
        </w:rPr>
        <w:t>epartment.</w:t>
      </w:r>
    </w:p>
    <w:p w14:paraId="2F1C3A42" w14:textId="77777777" w:rsidR="00824558" w:rsidRDefault="00824558">
      <w:pPr>
        <w:pStyle w:val="TableHeading"/>
      </w:pPr>
      <w:r w:rsidRPr="007A522A">
        <w:t>Table 11:</w:t>
      </w:r>
      <w:r w:rsidRPr="007A522A">
        <w:tab/>
        <w:t>Income from transactions</w:t>
      </w:r>
      <w:r>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AF0479" w14:paraId="34DB6F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70EA9" w14:textId="77777777" w:rsidR="00AF0479" w:rsidRDefault="00AF0479"/>
        </w:tc>
        <w:tc>
          <w:tcPr>
            <w:tcW w:w="851" w:type="dxa"/>
          </w:tcPr>
          <w:p w14:paraId="205A524C" w14:textId="77777777" w:rsidR="00AF0479" w:rsidRDefault="00AF0479">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4413EC79" w14:textId="77777777" w:rsidR="00AF0479" w:rsidRDefault="00AF0479">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4B63C702" w14:textId="77777777" w:rsidR="00AF0479" w:rsidRDefault="00AF0479">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4DD66487" w14:textId="77777777" w:rsidR="00AF0479" w:rsidRDefault="00AF0479">
            <w:pPr>
              <w:cnfStyle w:val="100000000000" w:firstRow="1" w:lastRow="0" w:firstColumn="0" w:lastColumn="0" w:oddVBand="0" w:evenVBand="0" w:oddHBand="0" w:evenHBand="0" w:firstRowFirstColumn="0" w:firstRowLastColumn="0" w:lastRowFirstColumn="0" w:lastRowLastColumn="0"/>
            </w:pPr>
            <w:r>
              <w:t>2026-27 budget</w:t>
            </w:r>
          </w:p>
        </w:tc>
      </w:tr>
      <w:tr w:rsidR="00AF0479" w:rsidRPr="00A72282" w14:paraId="666BB4AE"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ECBBF" w14:textId="0E5E223F" w:rsidR="00AF0479" w:rsidRPr="00A72282" w:rsidRDefault="00AF0479">
            <w:pPr>
              <w:rPr>
                <w:lang w:eastAsia="en-AU"/>
              </w:rPr>
            </w:pPr>
            <w:r w:rsidRPr="00A72282">
              <w:rPr>
                <w:lang w:eastAsia="en-AU"/>
              </w:rPr>
              <w:t>Output appropriations</w:t>
            </w:r>
          </w:p>
        </w:tc>
        <w:tc>
          <w:tcPr>
            <w:tcW w:w="851" w:type="dxa"/>
            <w:noWrap/>
            <w:hideMark/>
          </w:tcPr>
          <w:p w14:paraId="0CBB3827"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463.1</w:t>
            </w:r>
          </w:p>
        </w:tc>
        <w:tc>
          <w:tcPr>
            <w:tcW w:w="851" w:type="dxa"/>
            <w:noWrap/>
            <w:hideMark/>
          </w:tcPr>
          <w:p w14:paraId="0565FAE0"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616.1</w:t>
            </w:r>
          </w:p>
        </w:tc>
        <w:tc>
          <w:tcPr>
            <w:tcW w:w="851" w:type="dxa"/>
            <w:noWrap/>
            <w:hideMark/>
          </w:tcPr>
          <w:p w14:paraId="34561A86"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649.3</w:t>
            </w:r>
          </w:p>
        </w:tc>
        <w:tc>
          <w:tcPr>
            <w:tcW w:w="851" w:type="dxa"/>
            <w:noWrap/>
            <w:hideMark/>
          </w:tcPr>
          <w:p w14:paraId="66445487"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564.4</w:t>
            </w:r>
          </w:p>
        </w:tc>
      </w:tr>
      <w:tr w:rsidR="00AF0479" w:rsidRPr="00A72282" w14:paraId="6B4F798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CFF57CB" w14:textId="77777777" w:rsidR="00AF0479" w:rsidRPr="00A72282" w:rsidRDefault="00AF0479">
            <w:pPr>
              <w:rPr>
                <w:lang w:eastAsia="en-AU"/>
              </w:rPr>
            </w:pPr>
            <w:r w:rsidRPr="00A72282">
              <w:rPr>
                <w:lang w:eastAsia="en-AU"/>
              </w:rPr>
              <w:t>Special appropriations</w:t>
            </w:r>
          </w:p>
        </w:tc>
        <w:tc>
          <w:tcPr>
            <w:tcW w:w="851" w:type="dxa"/>
            <w:noWrap/>
            <w:hideMark/>
          </w:tcPr>
          <w:p w14:paraId="7AD7E5C0"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0.2</w:t>
            </w:r>
          </w:p>
        </w:tc>
        <w:tc>
          <w:tcPr>
            <w:tcW w:w="851" w:type="dxa"/>
            <w:noWrap/>
            <w:hideMark/>
          </w:tcPr>
          <w:p w14:paraId="4796033E"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w:t>
            </w:r>
          </w:p>
        </w:tc>
        <w:tc>
          <w:tcPr>
            <w:tcW w:w="851" w:type="dxa"/>
            <w:noWrap/>
            <w:hideMark/>
          </w:tcPr>
          <w:p w14:paraId="61072B2D"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w:t>
            </w:r>
          </w:p>
        </w:tc>
        <w:tc>
          <w:tcPr>
            <w:tcW w:w="851" w:type="dxa"/>
            <w:noWrap/>
            <w:hideMark/>
          </w:tcPr>
          <w:p w14:paraId="6B104C64"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w:t>
            </w:r>
          </w:p>
        </w:tc>
      </w:tr>
      <w:tr w:rsidR="00AF0479" w:rsidRPr="00A72282" w14:paraId="34A7C7DC"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2F560B1" w14:textId="77777777" w:rsidR="00AF0479" w:rsidRPr="00A72282" w:rsidRDefault="00AF0479">
            <w:pPr>
              <w:rPr>
                <w:lang w:eastAsia="en-AU"/>
              </w:rPr>
            </w:pPr>
            <w:r w:rsidRPr="00A72282">
              <w:rPr>
                <w:lang w:eastAsia="en-AU"/>
              </w:rPr>
              <w:t>Interest</w:t>
            </w:r>
          </w:p>
        </w:tc>
        <w:tc>
          <w:tcPr>
            <w:tcW w:w="851" w:type="dxa"/>
            <w:noWrap/>
            <w:hideMark/>
          </w:tcPr>
          <w:p w14:paraId="7A8B58DD"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170.1</w:t>
            </w:r>
          </w:p>
        </w:tc>
        <w:tc>
          <w:tcPr>
            <w:tcW w:w="851" w:type="dxa"/>
            <w:noWrap/>
            <w:hideMark/>
          </w:tcPr>
          <w:p w14:paraId="4EDD0C12"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112.7</w:t>
            </w:r>
          </w:p>
        </w:tc>
        <w:tc>
          <w:tcPr>
            <w:tcW w:w="851" w:type="dxa"/>
            <w:noWrap/>
            <w:hideMark/>
          </w:tcPr>
          <w:p w14:paraId="1124FD10"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38.6</w:t>
            </w:r>
          </w:p>
        </w:tc>
        <w:tc>
          <w:tcPr>
            <w:tcW w:w="851" w:type="dxa"/>
            <w:noWrap/>
            <w:hideMark/>
          </w:tcPr>
          <w:p w14:paraId="530CFF37"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32.2</w:t>
            </w:r>
          </w:p>
        </w:tc>
      </w:tr>
      <w:tr w:rsidR="00AF0479" w:rsidRPr="00A72282" w14:paraId="03C3354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3AB0576" w14:textId="77777777" w:rsidR="00AF0479" w:rsidRPr="00A72282" w:rsidRDefault="00AF0479">
            <w:pPr>
              <w:rPr>
                <w:lang w:eastAsia="en-AU"/>
              </w:rPr>
            </w:pPr>
            <w:r w:rsidRPr="00A72282">
              <w:rPr>
                <w:lang w:eastAsia="en-AU"/>
              </w:rPr>
              <w:t>Sales of goods and services</w:t>
            </w:r>
          </w:p>
        </w:tc>
        <w:tc>
          <w:tcPr>
            <w:tcW w:w="851" w:type="dxa"/>
            <w:noWrap/>
            <w:hideMark/>
          </w:tcPr>
          <w:p w14:paraId="72FD3EBB"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270.2</w:t>
            </w:r>
          </w:p>
        </w:tc>
        <w:tc>
          <w:tcPr>
            <w:tcW w:w="851" w:type="dxa"/>
            <w:noWrap/>
            <w:hideMark/>
          </w:tcPr>
          <w:p w14:paraId="785C74FB"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561.0</w:t>
            </w:r>
          </w:p>
        </w:tc>
        <w:tc>
          <w:tcPr>
            <w:tcW w:w="851" w:type="dxa"/>
            <w:noWrap/>
            <w:hideMark/>
          </w:tcPr>
          <w:p w14:paraId="0E00B480"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467</w:t>
            </w:r>
            <w:r w:rsidRPr="00A72282">
              <w:rPr>
                <w:lang w:eastAsia="en-AU"/>
              </w:rPr>
              <w:t>.</w:t>
            </w:r>
            <w:r>
              <w:rPr>
                <w:lang w:eastAsia="en-AU"/>
              </w:rPr>
              <w:t>9</w:t>
            </w:r>
          </w:p>
        </w:tc>
        <w:tc>
          <w:tcPr>
            <w:tcW w:w="851" w:type="dxa"/>
            <w:noWrap/>
            <w:hideMark/>
          </w:tcPr>
          <w:p w14:paraId="4C195AF5"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463</w:t>
            </w:r>
            <w:r w:rsidRPr="00A72282">
              <w:rPr>
                <w:lang w:eastAsia="en-AU"/>
              </w:rPr>
              <w:t>.</w:t>
            </w:r>
            <w:r>
              <w:rPr>
                <w:lang w:eastAsia="en-AU"/>
              </w:rPr>
              <w:t>8</w:t>
            </w:r>
          </w:p>
        </w:tc>
      </w:tr>
      <w:tr w:rsidR="00AF0479" w:rsidRPr="00A72282" w14:paraId="04C03363"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2DFE18C" w14:textId="77777777" w:rsidR="00AF0479" w:rsidRPr="00A72282" w:rsidRDefault="00AF0479">
            <w:pPr>
              <w:rPr>
                <w:lang w:eastAsia="en-AU"/>
              </w:rPr>
            </w:pPr>
            <w:r w:rsidRPr="00A72282">
              <w:rPr>
                <w:lang w:eastAsia="en-AU"/>
              </w:rPr>
              <w:t>Grants</w:t>
            </w:r>
          </w:p>
        </w:tc>
        <w:tc>
          <w:tcPr>
            <w:tcW w:w="851" w:type="dxa"/>
            <w:noWrap/>
            <w:hideMark/>
          </w:tcPr>
          <w:p w14:paraId="11DCA243"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29.4</w:t>
            </w:r>
          </w:p>
        </w:tc>
        <w:tc>
          <w:tcPr>
            <w:tcW w:w="851" w:type="dxa"/>
            <w:noWrap/>
            <w:hideMark/>
          </w:tcPr>
          <w:p w14:paraId="5849951E"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5.9</w:t>
            </w:r>
          </w:p>
        </w:tc>
        <w:tc>
          <w:tcPr>
            <w:tcW w:w="851" w:type="dxa"/>
            <w:noWrap/>
            <w:hideMark/>
          </w:tcPr>
          <w:p w14:paraId="19EA8342"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5.9</w:t>
            </w:r>
          </w:p>
        </w:tc>
        <w:tc>
          <w:tcPr>
            <w:tcW w:w="851" w:type="dxa"/>
            <w:noWrap/>
            <w:hideMark/>
          </w:tcPr>
          <w:p w14:paraId="54BA28E8"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5.0</w:t>
            </w:r>
          </w:p>
        </w:tc>
      </w:tr>
      <w:tr w:rsidR="00AF0479" w:rsidRPr="00A72282" w14:paraId="5D03CC9C"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C800E0B" w14:textId="77777777" w:rsidR="00AF0479" w:rsidRPr="00A72282" w:rsidRDefault="00AF0479">
            <w:pPr>
              <w:rPr>
                <w:lang w:eastAsia="en-AU"/>
              </w:rPr>
            </w:pPr>
            <w:r w:rsidRPr="00A72282">
              <w:rPr>
                <w:lang w:eastAsia="en-AU"/>
              </w:rPr>
              <w:t>Fair value of assets and services received free of charge or for nominal consideration</w:t>
            </w:r>
          </w:p>
        </w:tc>
        <w:tc>
          <w:tcPr>
            <w:tcW w:w="851" w:type="dxa"/>
            <w:noWrap/>
            <w:hideMark/>
          </w:tcPr>
          <w:p w14:paraId="37A794DD"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1.9</w:t>
            </w:r>
          </w:p>
        </w:tc>
        <w:tc>
          <w:tcPr>
            <w:tcW w:w="851" w:type="dxa"/>
            <w:noWrap/>
            <w:hideMark/>
          </w:tcPr>
          <w:p w14:paraId="3306A619"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20.1</w:t>
            </w:r>
          </w:p>
        </w:tc>
        <w:tc>
          <w:tcPr>
            <w:tcW w:w="851" w:type="dxa"/>
            <w:noWrap/>
            <w:hideMark/>
          </w:tcPr>
          <w:p w14:paraId="211ECF52"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20.1</w:t>
            </w:r>
          </w:p>
        </w:tc>
        <w:tc>
          <w:tcPr>
            <w:tcW w:w="851" w:type="dxa"/>
            <w:noWrap/>
            <w:hideMark/>
          </w:tcPr>
          <w:p w14:paraId="36044625"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19.9</w:t>
            </w:r>
          </w:p>
        </w:tc>
      </w:tr>
      <w:tr w:rsidR="00AF0479" w:rsidRPr="00A72282" w14:paraId="370E7389" w14:textId="77777777" w:rsidTr="00383570">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75CD6E56" w14:textId="77777777" w:rsidR="00AF0479" w:rsidRPr="00A72282" w:rsidRDefault="00AF0479">
            <w:pPr>
              <w:rPr>
                <w:lang w:eastAsia="en-AU"/>
              </w:rPr>
            </w:pPr>
            <w:r w:rsidRPr="00A72282">
              <w:rPr>
                <w:lang w:eastAsia="en-AU"/>
              </w:rPr>
              <w:t>Other income</w:t>
            </w:r>
          </w:p>
        </w:tc>
        <w:tc>
          <w:tcPr>
            <w:tcW w:w="851" w:type="dxa"/>
            <w:tcBorders>
              <w:bottom w:val="single" w:sz="6" w:space="0" w:color="auto"/>
            </w:tcBorders>
            <w:noWrap/>
            <w:hideMark/>
          </w:tcPr>
          <w:p w14:paraId="650EC822"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69.8</w:t>
            </w:r>
          </w:p>
        </w:tc>
        <w:tc>
          <w:tcPr>
            <w:tcW w:w="851" w:type="dxa"/>
            <w:tcBorders>
              <w:bottom w:val="single" w:sz="6" w:space="0" w:color="auto"/>
            </w:tcBorders>
            <w:noWrap/>
            <w:hideMark/>
          </w:tcPr>
          <w:p w14:paraId="0320B9F7"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sidRPr="00A72282">
              <w:rPr>
                <w:lang w:eastAsia="en-AU"/>
              </w:rPr>
              <w:t>29.6</w:t>
            </w:r>
          </w:p>
        </w:tc>
        <w:tc>
          <w:tcPr>
            <w:tcW w:w="851" w:type="dxa"/>
            <w:tcBorders>
              <w:bottom w:val="single" w:sz="6" w:space="0" w:color="auto"/>
            </w:tcBorders>
            <w:noWrap/>
            <w:hideMark/>
          </w:tcPr>
          <w:p w14:paraId="198AE4A4"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r w:rsidRPr="00A72282">
              <w:rPr>
                <w:lang w:eastAsia="en-AU"/>
              </w:rPr>
              <w:t>32.7</w:t>
            </w:r>
          </w:p>
        </w:tc>
        <w:tc>
          <w:tcPr>
            <w:tcW w:w="851" w:type="dxa"/>
            <w:tcBorders>
              <w:bottom w:val="single" w:sz="6" w:space="0" w:color="auto"/>
            </w:tcBorders>
            <w:noWrap/>
            <w:hideMark/>
          </w:tcPr>
          <w:p w14:paraId="00722BFF" w14:textId="77777777" w:rsidR="00AF0479" w:rsidRPr="00A72282" w:rsidRDefault="00AF047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r w:rsidRPr="00A72282">
              <w:rPr>
                <w:lang w:eastAsia="en-AU"/>
              </w:rPr>
              <w:t>47.9</w:t>
            </w:r>
          </w:p>
        </w:tc>
      </w:tr>
      <w:tr w:rsidR="00AF0479" w:rsidRPr="00A72282" w14:paraId="327F870D" w14:textId="77777777" w:rsidTr="00383570">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0731474" w14:textId="77777777" w:rsidR="00AF0479" w:rsidRPr="00A72282" w:rsidRDefault="00AF0479">
            <w:pPr>
              <w:rPr>
                <w:lang w:eastAsia="en-AU"/>
              </w:rPr>
            </w:pPr>
            <w:r w:rsidRPr="00A72282">
              <w:rPr>
                <w:lang w:eastAsia="en-AU"/>
              </w:rPr>
              <w:t>Total income from transactions</w:t>
            </w:r>
          </w:p>
        </w:tc>
        <w:tc>
          <w:tcPr>
            <w:tcW w:w="851" w:type="dxa"/>
            <w:noWrap/>
            <w:hideMark/>
          </w:tcPr>
          <w:p w14:paraId="19E48899" w14:textId="77777777" w:rsidR="00AF0479" w:rsidRPr="00A72282" w:rsidRDefault="00AF0479">
            <w:pPr>
              <w:cnfStyle w:val="010000000000" w:firstRow="0" w:lastRow="1" w:firstColumn="0" w:lastColumn="0" w:oddVBand="0" w:evenVBand="0" w:oddHBand="0" w:evenHBand="0" w:firstRowFirstColumn="0" w:firstRowLastColumn="0" w:lastRowFirstColumn="0" w:lastRowLastColumn="0"/>
              <w:rPr>
                <w:lang w:eastAsia="en-AU"/>
              </w:rPr>
            </w:pPr>
            <w:r w:rsidRPr="00A72282">
              <w:rPr>
                <w:lang w:eastAsia="en-AU"/>
              </w:rPr>
              <w:t>1 004.7</w:t>
            </w:r>
          </w:p>
        </w:tc>
        <w:tc>
          <w:tcPr>
            <w:tcW w:w="851" w:type="dxa"/>
            <w:noWrap/>
            <w:hideMark/>
          </w:tcPr>
          <w:p w14:paraId="6F5922FB" w14:textId="77777777" w:rsidR="00AF0479" w:rsidRPr="00A72282" w:rsidRDefault="00AF0479">
            <w:pPr>
              <w:cnfStyle w:val="010000000000" w:firstRow="0" w:lastRow="1" w:firstColumn="0" w:lastColumn="0" w:oddVBand="0" w:evenVBand="0" w:oddHBand="0" w:evenHBand="0" w:firstRowFirstColumn="0" w:firstRowLastColumn="0" w:lastRowFirstColumn="0" w:lastRowLastColumn="0"/>
              <w:rPr>
                <w:lang w:eastAsia="en-AU"/>
              </w:rPr>
            </w:pPr>
            <w:r w:rsidRPr="00A72282">
              <w:rPr>
                <w:lang w:eastAsia="en-AU"/>
              </w:rPr>
              <w:t>1 345.3</w:t>
            </w:r>
          </w:p>
        </w:tc>
        <w:tc>
          <w:tcPr>
            <w:tcW w:w="851" w:type="dxa"/>
            <w:noWrap/>
            <w:hideMark/>
          </w:tcPr>
          <w:p w14:paraId="499FE960" w14:textId="77777777" w:rsidR="00AF0479" w:rsidRPr="00A72282" w:rsidRDefault="00AF0479">
            <w:pPr>
              <w:cnfStyle w:val="010000000000" w:firstRow="0" w:lastRow="1" w:firstColumn="0" w:lastColumn="0" w:oddVBand="0" w:evenVBand="0" w:oddHBand="0" w:evenHBand="0" w:firstRowFirstColumn="0" w:firstRowLastColumn="0" w:lastRowFirstColumn="0" w:lastRowLastColumn="0"/>
              <w:rPr>
                <w:lang w:eastAsia="en-AU"/>
              </w:rPr>
            </w:pPr>
            <w:r w:rsidRPr="00A72282">
              <w:rPr>
                <w:lang w:eastAsia="en-AU"/>
              </w:rPr>
              <w:t>1 3</w:t>
            </w:r>
            <w:r>
              <w:rPr>
                <w:lang w:eastAsia="en-AU"/>
              </w:rPr>
              <w:t>14</w:t>
            </w:r>
            <w:r w:rsidRPr="00A72282">
              <w:rPr>
                <w:lang w:eastAsia="en-AU"/>
              </w:rPr>
              <w:t>.</w:t>
            </w:r>
            <w:r>
              <w:rPr>
                <w:lang w:eastAsia="en-AU"/>
              </w:rPr>
              <w:t>5</w:t>
            </w:r>
          </w:p>
        </w:tc>
        <w:tc>
          <w:tcPr>
            <w:tcW w:w="851" w:type="dxa"/>
            <w:noWrap/>
            <w:hideMark/>
          </w:tcPr>
          <w:p w14:paraId="16C8DAD3" w14:textId="77777777" w:rsidR="00AF0479" w:rsidRPr="00A72282" w:rsidRDefault="00AF0479">
            <w:pPr>
              <w:cnfStyle w:val="010000000000" w:firstRow="0" w:lastRow="1" w:firstColumn="0" w:lastColumn="0" w:oddVBand="0" w:evenVBand="0" w:oddHBand="0" w:evenHBand="0" w:firstRowFirstColumn="0" w:firstRowLastColumn="0" w:lastRowFirstColumn="0" w:lastRowLastColumn="0"/>
              <w:rPr>
                <w:lang w:eastAsia="en-AU"/>
              </w:rPr>
            </w:pPr>
            <w:r w:rsidRPr="00A72282">
              <w:rPr>
                <w:lang w:eastAsia="en-AU"/>
              </w:rPr>
              <w:t xml:space="preserve">1 </w:t>
            </w:r>
            <w:r>
              <w:rPr>
                <w:lang w:eastAsia="en-AU"/>
              </w:rPr>
              <w:t>233</w:t>
            </w:r>
            <w:r w:rsidRPr="00A72282">
              <w:rPr>
                <w:lang w:eastAsia="en-AU"/>
              </w:rPr>
              <w:t>.</w:t>
            </w:r>
            <w:r>
              <w:rPr>
                <w:lang w:eastAsia="en-AU"/>
              </w:rPr>
              <w:t>2</w:t>
            </w:r>
          </w:p>
        </w:tc>
      </w:tr>
    </w:tbl>
    <w:p w14:paraId="616CD29D" w14:textId="77777777" w:rsidR="00AF0479" w:rsidRDefault="00AF0479" w:rsidP="00AF0479">
      <w:pPr>
        <w:pStyle w:val="Source"/>
      </w:pPr>
      <w:r>
        <w:t>Source: Department of Government Services</w:t>
      </w:r>
    </w:p>
    <w:p w14:paraId="7C26A9F1" w14:textId="77777777" w:rsidR="00122C20" w:rsidRDefault="00122C20" w:rsidP="00122C20"/>
    <w:p w14:paraId="5FE27524" w14:textId="77777777" w:rsidR="00122C20" w:rsidRPr="00122C20" w:rsidRDefault="00122C20" w:rsidP="00122C20"/>
    <w:p w14:paraId="07EF8F99" w14:textId="77777777" w:rsidR="00383570" w:rsidRDefault="00383570">
      <w:pPr>
        <w:keepLines w:val="0"/>
        <w:rPr>
          <w:rFonts w:ascii="Calibri" w:eastAsia="Garamond" w:hAnsi="Calibri"/>
          <w:b/>
          <w:iCs/>
          <w:sz w:val="20"/>
          <w:szCs w:val="18"/>
        </w:rPr>
      </w:pPr>
      <w:r>
        <w:br w:type="page"/>
      </w:r>
    </w:p>
    <w:p w14:paraId="68F3CB8B" w14:textId="77777777" w:rsidR="00824558" w:rsidRPr="00851116" w:rsidRDefault="00824558">
      <w:pPr>
        <w:pStyle w:val="TableHeading"/>
      </w:pPr>
      <w:r w:rsidRPr="007A522A">
        <w:lastRenderedPageBreak/>
        <w:t>Table 12:</w:t>
      </w:r>
      <w:r w:rsidRPr="007A522A">
        <w:tab/>
        <w:t>Parliamentary authority for resources</w:t>
      </w:r>
      <w:r>
        <w:tab/>
        <w:t>($ million)</w:t>
      </w:r>
    </w:p>
    <w:tbl>
      <w:tblPr>
        <w:tblStyle w:val="DTFTableNumeric"/>
        <w:tblW w:w="5000" w:type="pct"/>
        <w:tblLook w:val="06E0" w:firstRow="1" w:lastRow="1" w:firstColumn="1" w:lastColumn="0" w:noHBand="1" w:noVBand="1"/>
      </w:tblPr>
      <w:tblGrid>
        <w:gridCol w:w="6658"/>
        <w:gridCol w:w="991"/>
        <w:gridCol w:w="991"/>
        <w:gridCol w:w="991"/>
      </w:tblGrid>
      <w:tr w:rsidR="00110A9D" w14:paraId="58C417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AAD42" w14:textId="77777777" w:rsidR="00110A9D" w:rsidRDefault="00110A9D"/>
        </w:tc>
        <w:tc>
          <w:tcPr>
            <w:tcW w:w="992" w:type="dxa"/>
          </w:tcPr>
          <w:p w14:paraId="6015A367" w14:textId="77777777" w:rsidR="00110A9D" w:rsidRDefault="00110A9D">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392A8BDF" w14:textId="77777777" w:rsidR="00110A9D" w:rsidRDefault="00110A9D">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3044C19B" w14:textId="77777777" w:rsidR="00110A9D" w:rsidRDefault="00110A9D">
            <w:pPr>
              <w:cnfStyle w:val="100000000000" w:firstRow="1" w:lastRow="0" w:firstColumn="0" w:lastColumn="0" w:oddVBand="0" w:evenVBand="0" w:oddHBand="0" w:evenHBand="0" w:firstRowFirstColumn="0" w:firstRowLastColumn="0" w:lastRowFirstColumn="0" w:lastRowLastColumn="0"/>
            </w:pPr>
            <w:r>
              <w:t>2026-27 budget</w:t>
            </w:r>
          </w:p>
        </w:tc>
      </w:tr>
      <w:tr w:rsidR="00110A9D" w:rsidRPr="00E30500" w14:paraId="2A0B97AF"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CFDC51" w14:textId="4C548601" w:rsidR="00110A9D" w:rsidRPr="00E30500" w:rsidRDefault="00110A9D">
            <w:pPr>
              <w:rPr>
                <w:b/>
                <w:bCs/>
                <w:lang w:eastAsia="en-AU"/>
              </w:rPr>
            </w:pPr>
            <w:r w:rsidRPr="00E30500">
              <w:rPr>
                <w:b/>
                <w:bCs/>
                <w:lang w:eastAsia="en-AU"/>
              </w:rPr>
              <w:t>Annual appropriations</w:t>
            </w:r>
          </w:p>
        </w:tc>
        <w:tc>
          <w:tcPr>
            <w:tcW w:w="992" w:type="dxa"/>
            <w:noWrap/>
            <w:hideMark/>
          </w:tcPr>
          <w:p w14:paraId="4243F8C6"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628.1</w:t>
            </w:r>
          </w:p>
        </w:tc>
        <w:tc>
          <w:tcPr>
            <w:tcW w:w="992" w:type="dxa"/>
            <w:noWrap/>
            <w:hideMark/>
          </w:tcPr>
          <w:p w14:paraId="44ABACC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641.3</w:t>
            </w:r>
          </w:p>
        </w:tc>
        <w:tc>
          <w:tcPr>
            <w:tcW w:w="992" w:type="dxa"/>
            <w:noWrap/>
            <w:hideMark/>
          </w:tcPr>
          <w:p w14:paraId="090F4660"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559.4</w:t>
            </w:r>
          </w:p>
        </w:tc>
      </w:tr>
      <w:tr w:rsidR="00110A9D" w:rsidRPr="00E30500" w14:paraId="0578C1EF"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9C6E101" w14:textId="77777777" w:rsidR="00110A9D" w:rsidRPr="00E30500" w:rsidRDefault="00110A9D">
            <w:pPr>
              <w:rPr>
                <w:lang w:eastAsia="en-AU"/>
              </w:rPr>
            </w:pPr>
            <w:r w:rsidRPr="00E30500">
              <w:rPr>
                <w:lang w:eastAsia="en-AU"/>
              </w:rPr>
              <w:t>Provision of outputs</w:t>
            </w:r>
          </w:p>
        </w:tc>
        <w:tc>
          <w:tcPr>
            <w:tcW w:w="992" w:type="dxa"/>
            <w:noWrap/>
            <w:hideMark/>
          </w:tcPr>
          <w:p w14:paraId="7DB2A153"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608.1</w:t>
            </w:r>
          </w:p>
        </w:tc>
        <w:tc>
          <w:tcPr>
            <w:tcW w:w="992" w:type="dxa"/>
            <w:noWrap/>
            <w:hideMark/>
          </w:tcPr>
          <w:p w14:paraId="48E3F5AC"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607.6</w:t>
            </w:r>
          </w:p>
        </w:tc>
        <w:tc>
          <w:tcPr>
            <w:tcW w:w="992" w:type="dxa"/>
            <w:noWrap/>
            <w:hideMark/>
          </w:tcPr>
          <w:p w14:paraId="6C549F86"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556.2</w:t>
            </w:r>
          </w:p>
        </w:tc>
      </w:tr>
      <w:tr w:rsidR="00110A9D" w:rsidRPr="00E30500" w14:paraId="7A98E461"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4B490D2" w14:textId="77777777" w:rsidR="00110A9D" w:rsidRPr="00E30500" w:rsidRDefault="00110A9D">
            <w:pPr>
              <w:rPr>
                <w:lang w:eastAsia="en-AU"/>
              </w:rPr>
            </w:pPr>
            <w:r w:rsidRPr="00E30500">
              <w:rPr>
                <w:lang w:eastAsia="en-AU"/>
              </w:rPr>
              <w:t>Additions to the net asset base</w:t>
            </w:r>
          </w:p>
        </w:tc>
        <w:tc>
          <w:tcPr>
            <w:tcW w:w="992" w:type="dxa"/>
            <w:noWrap/>
            <w:hideMark/>
          </w:tcPr>
          <w:p w14:paraId="1E247519"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20.0</w:t>
            </w:r>
          </w:p>
        </w:tc>
        <w:tc>
          <w:tcPr>
            <w:tcW w:w="992" w:type="dxa"/>
            <w:noWrap/>
            <w:hideMark/>
          </w:tcPr>
          <w:p w14:paraId="77AD0B62"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33.7</w:t>
            </w:r>
          </w:p>
        </w:tc>
        <w:tc>
          <w:tcPr>
            <w:tcW w:w="992" w:type="dxa"/>
            <w:noWrap/>
            <w:hideMark/>
          </w:tcPr>
          <w:p w14:paraId="449A9D7F"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3.3</w:t>
            </w:r>
          </w:p>
        </w:tc>
      </w:tr>
      <w:tr w:rsidR="00110A9D" w:rsidRPr="00E30500" w14:paraId="7CDAB729"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7E55DF" w14:textId="77777777" w:rsidR="00110A9D" w:rsidRPr="00E30500" w:rsidRDefault="00110A9D">
            <w:pPr>
              <w:rPr>
                <w:b/>
                <w:bCs/>
                <w:lang w:eastAsia="en-AU"/>
              </w:rPr>
            </w:pPr>
            <w:r w:rsidRPr="00E30500">
              <w:rPr>
                <w:b/>
                <w:bCs/>
                <w:lang w:eastAsia="en-AU"/>
              </w:rPr>
              <w:t>Receipts credited to appropriations</w:t>
            </w:r>
          </w:p>
        </w:tc>
        <w:tc>
          <w:tcPr>
            <w:tcW w:w="992" w:type="dxa"/>
            <w:noWrap/>
            <w:hideMark/>
          </w:tcPr>
          <w:p w14:paraId="47B136EF"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7.9</w:t>
            </w:r>
          </w:p>
        </w:tc>
        <w:tc>
          <w:tcPr>
            <w:tcW w:w="992" w:type="dxa"/>
            <w:noWrap/>
            <w:hideMark/>
          </w:tcPr>
          <w:p w14:paraId="7495506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11.7</w:t>
            </w:r>
          </w:p>
        </w:tc>
        <w:tc>
          <w:tcPr>
            <w:tcW w:w="992" w:type="dxa"/>
            <w:noWrap/>
            <w:hideMark/>
          </w:tcPr>
          <w:p w14:paraId="1F39861D"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8.2</w:t>
            </w:r>
          </w:p>
        </w:tc>
      </w:tr>
      <w:tr w:rsidR="00110A9D" w:rsidRPr="00E30500" w14:paraId="7496D93A"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DB19BAC" w14:textId="77777777" w:rsidR="00110A9D" w:rsidRPr="00E30500" w:rsidRDefault="00110A9D">
            <w:pPr>
              <w:rPr>
                <w:b/>
                <w:bCs/>
                <w:lang w:eastAsia="en-AU"/>
              </w:rPr>
            </w:pPr>
            <w:r w:rsidRPr="00E30500">
              <w:rPr>
                <w:b/>
                <w:bCs/>
                <w:lang w:eastAsia="en-AU"/>
              </w:rPr>
              <w:t>Unapplied previous years appropriation</w:t>
            </w:r>
          </w:p>
        </w:tc>
        <w:tc>
          <w:tcPr>
            <w:tcW w:w="992" w:type="dxa"/>
            <w:noWrap/>
            <w:hideMark/>
          </w:tcPr>
          <w:p w14:paraId="51AE1862"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w:t>
            </w:r>
          </w:p>
        </w:tc>
        <w:tc>
          <w:tcPr>
            <w:tcW w:w="992" w:type="dxa"/>
            <w:noWrap/>
            <w:hideMark/>
          </w:tcPr>
          <w:p w14:paraId="1EEA4E08"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30.0</w:t>
            </w:r>
          </w:p>
        </w:tc>
        <w:tc>
          <w:tcPr>
            <w:tcW w:w="992" w:type="dxa"/>
            <w:noWrap/>
            <w:hideMark/>
          </w:tcPr>
          <w:p w14:paraId="1DC04800"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w:t>
            </w:r>
          </w:p>
        </w:tc>
      </w:tr>
      <w:tr w:rsidR="00110A9D" w:rsidRPr="00E30500" w14:paraId="4128A580"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5A186CDF" w14:textId="77777777" w:rsidR="00110A9D" w:rsidRPr="00E30500" w:rsidRDefault="00110A9D">
            <w:pPr>
              <w:rPr>
                <w:lang w:eastAsia="en-AU"/>
              </w:rPr>
            </w:pPr>
            <w:r w:rsidRPr="00E30500">
              <w:rPr>
                <w:lang w:eastAsia="en-AU"/>
              </w:rPr>
              <w:t>Provision of outputs</w:t>
            </w:r>
          </w:p>
        </w:tc>
        <w:tc>
          <w:tcPr>
            <w:tcW w:w="992" w:type="dxa"/>
            <w:tcBorders>
              <w:bottom w:val="nil"/>
            </w:tcBorders>
            <w:noWrap/>
            <w:hideMark/>
          </w:tcPr>
          <w:p w14:paraId="761588F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w:t>
            </w:r>
          </w:p>
        </w:tc>
        <w:tc>
          <w:tcPr>
            <w:tcW w:w="992" w:type="dxa"/>
            <w:tcBorders>
              <w:bottom w:val="nil"/>
            </w:tcBorders>
            <w:noWrap/>
            <w:hideMark/>
          </w:tcPr>
          <w:p w14:paraId="33336EE7"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30.0</w:t>
            </w:r>
          </w:p>
        </w:tc>
        <w:tc>
          <w:tcPr>
            <w:tcW w:w="992" w:type="dxa"/>
            <w:tcBorders>
              <w:bottom w:val="nil"/>
            </w:tcBorders>
            <w:noWrap/>
            <w:hideMark/>
          </w:tcPr>
          <w:p w14:paraId="5732566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w:t>
            </w:r>
          </w:p>
        </w:tc>
      </w:tr>
      <w:tr w:rsidR="00110A9D" w:rsidRPr="00E30500" w14:paraId="45700FDF"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4F61E64E" w14:textId="77777777" w:rsidR="00110A9D" w:rsidRPr="00E30500" w:rsidRDefault="00110A9D">
            <w:pPr>
              <w:rPr>
                <w:b/>
                <w:bCs/>
                <w:lang w:eastAsia="en-AU"/>
              </w:rPr>
            </w:pPr>
            <w:r w:rsidRPr="00E30500">
              <w:rPr>
                <w:b/>
                <w:bCs/>
                <w:lang w:eastAsia="en-AU"/>
              </w:rPr>
              <w:t>Gross annual appropriation</w:t>
            </w:r>
          </w:p>
        </w:tc>
        <w:tc>
          <w:tcPr>
            <w:tcW w:w="992" w:type="dxa"/>
            <w:tcBorders>
              <w:top w:val="single" w:sz="6" w:space="0" w:color="auto"/>
            </w:tcBorders>
            <w:noWrap/>
            <w:hideMark/>
          </w:tcPr>
          <w:p w14:paraId="79CD311F"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636.1</w:t>
            </w:r>
          </w:p>
        </w:tc>
        <w:tc>
          <w:tcPr>
            <w:tcW w:w="992" w:type="dxa"/>
            <w:tcBorders>
              <w:top w:val="single" w:sz="6" w:space="0" w:color="auto"/>
            </w:tcBorders>
            <w:noWrap/>
            <w:hideMark/>
          </w:tcPr>
          <w:p w14:paraId="4FE27CF4"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683.0</w:t>
            </w:r>
          </w:p>
        </w:tc>
        <w:tc>
          <w:tcPr>
            <w:tcW w:w="992" w:type="dxa"/>
            <w:tcBorders>
              <w:top w:val="single" w:sz="6" w:space="0" w:color="auto"/>
            </w:tcBorders>
            <w:noWrap/>
            <w:hideMark/>
          </w:tcPr>
          <w:p w14:paraId="3EE07EDF"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567.6</w:t>
            </w:r>
          </w:p>
        </w:tc>
      </w:tr>
      <w:tr w:rsidR="00110A9D" w:rsidRPr="00E30500" w14:paraId="1AFD9B8F"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71DB633" w14:textId="77777777" w:rsidR="00110A9D" w:rsidRPr="00E30500" w:rsidRDefault="00110A9D">
            <w:pPr>
              <w:rPr>
                <w:b/>
                <w:bCs/>
                <w:lang w:eastAsia="en-AU"/>
              </w:rPr>
            </w:pPr>
            <w:r w:rsidRPr="00E30500">
              <w:rPr>
                <w:b/>
                <w:bCs/>
                <w:lang w:eastAsia="en-AU"/>
              </w:rPr>
              <w:t>Special appropriations</w:t>
            </w:r>
          </w:p>
        </w:tc>
        <w:tc>
          <w:tcPr>
            <w:tcW w:w="992" w:type="dxa"/>
            <w:noWrap/>
            <w:hideMark/>
          </w:tcPr>
          <w:p w14:paraId="49E3BAB6"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0.6</w:t>
            </w:r>
          </w:p>
        </w:tc>
        <w:tc>
          <w:tcPr>
            <w:tcW w:w="992" w:type="dxa"/>
            <w:noWrap/>
            <w:hideMark/>
          </w:tcPr>
          <w:p w14:paraId="407EBF72"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B95BFE">
              <w:rPr>
                <w:b/>
                <w:lang w:eastAsia="en-AU"/>
              </w:rPr>
              <w:t>91.9</w:t>
            </w:r>
          </w:p>
        </w:tc>
        <w:tc>
          <w:tcPr>
            <w:tcW w:w="992" w:type="dxa"/>
            <w:noWrap/>
            <w:hideMark/>
          </w:tcPr>
          <w:p w14:paraId="59833E65"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53.5</w:t>
            </w:r>
          </w:p>
        </w:tc>
      </w:tr>
      <w:tr w:rsidR="00110A9D" w:rsidRPr="00E30500" w14:paraId="3BC4F7AA"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4581E3" w14:textId="77777777" w:rsidR="00110A9D" w:rsidRPr="00E30500" w:rsidRDefault="00110A9D">
            <w:pPr>
              <w:rPr>
                <w:b/>
                <w:bCs/>
                <w:lang w:eastAsia="en-AU"/>
              </w:rPr>
            </w:pPr>
            <w:r w:rsidRPr="00E30500">
              <w:rPr>
                <w:b/>
                <w:bCs/>
                <w:lang w:eastAsia="en-AU"/>
              </w:rPr>
              <w:t>Trust funds</w:t>
            </w:r>
          </w:p>
        </w:tc>
        <w:tc>
          <w:tcPr>
            <w:tcW w:w="992" w:type="dxa"/>
            <w:noWrap/>
            <w:hideMark/>
          </w:tcPr>
          <w:p w14:paraId="1B949924"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1 348.2</w:t>
            </w:r>
          </w:p>
        </w:tc>
        <w:tc>
          <w:tcPr>
            <w:tcW w:w="992" w:type="dxa"/>
            <w:noWrap/>
            <w:hideMark/>
          </w:tcPr>
          <w:p w14:paraId="2EC3ABFB"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958.7</w:t>
            </w:r>
          </w:p>
        </w:tc>
        <w:tc>
          <w:tcPr>
            <w:tcW w:w="992" w:type="dxa"/>
            <w:noWrap/>
            <w:hideMark/>
          </w:tcPr>
          <w:p w14:paraId="23A994FA"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b/>
                <w:bCs/>
                <w:lang w:eastAsia="en-AU"/>
              </w:rPr>
            </w:pPr>
            <w:r w:rsidRPr="00E30500">
              <w:rPr>
                <w:b/>
                <w:bCs/>
                <w:lang w:eastAsia="en-AU"/>
              </w:rPr>
              <w:t>1 377.6</w:t>
            </w:r>
          </w:p>
        </w:tc>
      </w:tr>
      <w:tr w:rsidR="00110A9D" w:rsidRPr="00E30500" w14:paraId="6F430CAB"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E5DFB1E" w14:textId="247A646E" w:rsidR="00110A9D" w:rsidRPr="00E30500" w:rsidRDefault="00110A9D">
            <w:pPr>
              <w:rPr>
                <w:lang w:eastAsia="en-AU"/>
              </w:rPr>
            </w:pPr>
            <w:r w:rsidRPr="00E30500">
              <w:rPr>
                <w:lang w:eastAsia="en-AU"/>
              </w:rPr>
              <w:t>Commonwealth Local Government Grants Trust Account</w:t>
            </w:r>
            <w:r w:rsidR="00383570">
              <w:rPr>
                <w:lang w:eastAsia="en-AU"/>
              </w:rPr>
              <w:t xml:space="preserve"> </w:t>
            </w:r>
            <w:r w:rsidRPr="001A1362">
              <w:rPr>
                <w:vertAlign w:val="superscript"/>
                <w:lang w:eastAsia="en-AU"/>
              </w:rPr>
              <w:t>(a)</w:t>
            </w:r>
          </w:p>
        </w:tc>
        <w:tc>
          <w:tcPr>
            <w:tcW w:w="992" w:type="dxa"/>
            <w:noWrap/>
            <w:hideMark/>
          </w:tcPr>
          <w:p w14:paraId="467776E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833.2</w:t>
            </w:r>
          </w:p>
        </w:tc>
        <w:tc>
          <w:tcPr>
            <w:tcW w:w="992" w:type="dxa"/>
            <w:noWrap/>
            <w:hideMark/>
          </w:tcPr>
          <w:p w14:paraId="70186C6D"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414.5</w:t>
            </w:r>
          </w:p>
        </w:tc>
        <w:tc>
          <w:tcPr>
            <w:tcW w:w="992" w:type="dxa"/>
            <w:noWrap/>
            <w:hideMark/>
          </w:tcPr>
          <w:p w14:paraId="740497DE"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864.9</w:t>
            </w:r>
          </w:p>
        </w:tc>
      </w:tr>
      <w:tr w:rsidR="00110A9D" w:rsidRPr="00E30500" w14:paraId="3C04131C"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49E10C" w14:textId="14C54418" w:rsidR="00110A9D" w:rsidRPr="00E30500" w:rsidRDefault="00110A9D">
            <w:pPr>
              <w:rPr>
                <w:lang w:eastAsia="en-AU"/>
              </w:rPr>
            </w:pPr>
            <w:r w:rsidRPr="00E30500">
              <w:rPr>
                <w:lang w:eastAsia="en-AU"/>
              </w:rPr>
              <w:t>Victorian Property Fund</w:t>
            </w:r>
            <w:r w:rsidR="00383570">
              <w:rPr>
                <w:lang w:eastAsia="en-AU"/>
              </w:rPr>
              <w:t xml:space="preserve"> </w:t>
            </w:r>
            <w:r w:rsidRPr="001A1362">
              <w:rPr>
                <w:vertAlign w:val="superscript"/>
                <w:lang w:eastAsia="en-AU"/>
              </w:rPr>
              <w:t>(b)</w:t>
            </w:r>
          </w:p>
        </w:tc>
        <w:tc>
          <w:tcPr>
            <w:tcW w:w="992" w:type="dxa"/>
            <w:noWrap/>
            <w:hideMark/>
          </w:tcPr>
          <w:p w14:paraId="7F4B7CF8"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80.2</w:t>
            </w:r>
          </w:p>
        </w:tc>
        <w:tc>
          <w:tcPr>
            <w:tcW w:w="992" w:type="dxa"/>
            <w:noWrap/>
            <w:hideMark/>
          </w:tcPr>
          <w:p w14:paraId="0E0640CA"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113.9</w:t>
            </w:r>
          </w:p>
        </w:tc>
        <w:tc>
          <w:tcPr>
            <w:tcW w:w="992" w:type="dxa"/>
            <w:noWrap/>
            <w:hideMark/>
          </w:tcPr>
          <w:p w14:paraId="20F04141"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107.7</w:t>
            </w:r>
          </w:p>
        </w:tc>
      </w:tr>
      <w:tr w:rsidR="00110A9D" w:rsidRPr="00E30500" w14:paraId="44DB6707"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35DF15E" w14:textId="00AFE1C4" w:rsidR="00110A9D" w:rsidRPr="00E30500" w:rsidRDefault="00110A9D">
            <w:pPr>
              <w:rPr>
                <w:lang w:eastAsia="en-AU"/>
              </w:rPr>
            </w:pPr>
            <w:r w:rsidRPr="00E30500">
              <w:rPr>
                <w:lang w:eastAsia="en-AU"/>
              </w:rPr>
              <w:t>Residential Tenancy Fund</w:t>
            </w:r>
            <w:r w:rsidR="00383570">
              <w:rPr>
                <w:lang w:eastAsia="en-AU"/>
              </w:rPr>
              <w:t xml:space="preserve"> </w:t>
            </w:r>
            <w:r w:rsidRPr="001A1362">
              <w:rPr>
                <w:vertAlign w:val="superscript"/>
                <w:lang w:eastAsia="en-AU"/>
              </w:rPr>
              <w:t>(c)</w:t>
            </w:r>
          </w:p>
        </w:tc>
        <w:tc>
          <w:tcPr>
            <w:tcW w:w="992" w:type="dxa"/>
            <w:noWrap/>
            <w:hideMark/>
          </w:tcPr>
          <w:p w14:paraId="46014E9B"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56.1</w:t>
            </w:r>
          </w:p>
        </w:tc>
        <w:tc>
          <w:tcPr>
            <w:tcW w:w="992" w:type="dxa"/>
            <w:noWrap/>
            <w:hideMark/>
          </w:tcPr>
          <w:p w14:paraId="3B3177A3"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47.9</w:t>
            </w:r>
          </w:p>
        </w:tc>
        <w:tc>
          <w:tcPr>
            <w:tcW w:w="992" w:type="dxa"/>
            <w:noWrap/>
            <w:hideMark/>
          </w:tcPr>
          <w:p w14:paraId="73C76E32"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47.7</w:t>
            </w:r>
          </w:p>
        </w:tc>
      </w:tr>
      <w:tr w:rsidR="00110A9D" w:rsidRPr="00E30500" w14:paraId="6B660A0C" w14:textId="77777777" w:rsidTr="00383570">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300C62EB" w14:textId="6DCE7564" w:rsidR="00110A9D" w:rsidRPr="00E30500" w:rsidRDefault="00110A9D">
            <w:pPr>
              <w:rPr>
                <w:lang w:eastAsia="en-AU"/>
              </w:rPr>
            </w:pPr>
            <w:r w:rsidRPr="00E30500">
              <w:rPr>
                <w:lang w:eastAsia="en-AU"/>
              </w:rPr>
              <w:t>Other</w:t>
            </w:r>
            <w:r w:rsidR="00383570">
              <w:rPr>
                <w:lang w:eastAsia="en-AU"/>
              </w:rPr>
              <w:t xml:space="preserve"> </w:t>
            </w:r>
            <w:r w:rsidRPr="001A1362">
              <w:rPr>
                <w:vertAlign w:val="superscript"/>
                <w:lang w:eastAsia="en-AU"/>
              </w:rPr>
              <w:t>(d)</w:t>
            </w:r>
          </w:p>
        </w:tc>
        <w:tc>
          <w:tcPr>
            <w:tcW w:w="992" w:type="dxa"/>
            <w:tcBorders>
              <w:bottom w:val="single" w:sz="6" w:space="0" w:color="auto"/>
            </w:tcBorders>
            <w:noWrap/>
            <w:hideMark/>
          </w:tcPr>
          <w:p w14:paraId="663B9002"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378.7</w:t>
            </w:r>
          </w:p>
        </w:tc>
        <w:tc>
          <w:tcPr>
            <w:tcW w:w="992" w:type="dxa"/>
            <w:tcBorders>
              <w:bottom w:val="single" w:sz="6" w:space="0" w:color="auto"/>
            </w:tcBorders>
            <w:noWrap/>
            <w:hideMark/>
          </w:tcPr>
          <w:p w14:paraId="1610973D"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382.4</w:t>
            </w:r>
          </w:p>
        </w:tc>
        <w:tc>
          <w:tcPr>
            <w:tcW w:w="992" w:type="dxa"/>
            <w:tcBorders>
              <w:bottom w:val="single" w:sz="6" w:space="0" w:color="auto"/>
            </w:tcBorders>
            <w:noWrap/>
            <w:hideMark/>
          </w:tcPr>
          <w:p w14:paraId="1586B1F7" w14:textId="77777777" w:rsidR="00110A9D" w:rsidRPr="00E30500" w:rsidRDefault="00110A9D">
            <w:pPr>
              <w:cnfStyle w:val="000000000000" w:firstRow="0" w:lastRow="0" w:firstColumn="0" w:lastColumn="0" w:oddVBand="0" w:evenVBand="0" w:oddHBand="0" w:evenHBand="0" w:firstRowFirstColumn="0" w:firstRowLastColumn="0" w:lastRowFirstColumn="0" w:lastRowLastColumn="0"/>
              <w:rPr>
                <w:lang w:eastAsia="en-AU"/>
              </w:rPr>
            </w:pPr>
            <w:r w:rsidRPr="00E30500">
              <w:rPr>
                <w:lang w:eastAsia="en-AU"/>
              </w:rPr>
              <w:t>357.3</w:t>
            </w:r>
          </w:p>
        </w:tc>
      </w:tr>
      <w:tr w:rsidR="00110A9D" w:rsidRPr="00E30500" w14:paraId="161328C7" w14:textId="77777777" w:rsidTr="00383570">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9C6CD7" w14:textId="77777777" w:rsidR="00110A9D" w:rsidRPr="00E30500" w:rsidRDefault="00110A9D">
            <w:pPr>
              <w:rPr>
                <w:lang w:eastAsia="en-AU"/>
              </w:rPr>
            </w:pPr>
            <w:r w:rsidRPr="00E30500">
              <w:rPr>
                <w:lang w:eastAsia="en-AU"/>
              </w:rPr>
              <w:t>Total parliamentary authority</w:t>
            </w:r>
          </w:p>
        </w:tc>
        <w:tc>
          <w:tcPr>
            <w:tcW w:w="992" w:type="dxa"/>
            <w:noWrap/>
            <w:hideMark/>
          </w:tcPr>
          <w:p w14:paraId="40083EF6" w14:textId="77777777" w:rsidR="00110A9D" w:rsidRPr="00E30500" w:rsidRDefault="00110A9D">
            <w:pPr>
              <w:cnfStyle w:val="010000000000" w:firstRow="0" w:lastRow="1" w:firstColumn="0" w:lastColumn="0" w:oddVBand="0" w:evenVBand="0" w:oddHBand="0" w:evenHBand="0" w:firstRowFirstColumn="0" w:firstRowLastColumn="0" w:lastRowFirstColumn="0" w:lastRowLastColumn="0"/>
              <w:rPr>
                <w:lang w:eastAsia="en-AU"/>
              </w:rPr>
            </w:pPr>
            <w:r>
              <w:rPr>
                <w:lang w:eastAsia="en-AU"/>
              </w:rPr>
              <w:t>1</w:t>
            </w:r>
            <w:r w:rsidRPr="00E30500">
              <w:rPr>
                <w:lang w:eastAsia="en-AU"/>
              </w:rPr>
              <w:t xml:space="preserve"> </w:t>
            </w:r>
            <w:r>
              <w:rPr>
                <w:lang w:eastAsia="en-AU"/>
              </w:rPr>
              <w:t>984</w:t>
            </w:r>
            <w:r w:rsidRPr="00E30500">
              <w:rPr>
                <w:lang w:eastAsia="en-AU"/>
              </w:rPr>
              <w:t>.8</w:t>
            </w:r>
          </w:p>
        </w:tc>
        <w:tc>
          <w:tcPr>
            <w:tcW w:w="992" w:type="dxa"/>
            <w:noWrap/>
            <w:hideMark/>
          </w:tcPr>
          <w:p w14:paraId="17642874" w14:textId="77777777" w:rsidR="00110A9D" w:rsidRPr="00E30500" w:rsidRDefault="00110A9D">
            <w:pPr>
              <w:cnfStyle w:val="010000000000" w:firstRow="0" w:lastRow="1" w:firstColumn="0" w:lastColumn="0" w:oddVBand="0" w:evenVBand="0" w:oddHBand="0" w:evenHBand="0" w:firstRowFirstColumn="0" w:firstRowLastColumn="0" w:lastRowFirstColumn="0" w:lastRowLastColumn="0"/>
              <w:rPr>
                <w:lang w:eastAsia="en-AU"/>
              </w:rPr>
            </w:pPr>
            <w:r w:rsidRPr="00B95BFE">
              <w:rPr>
                <w:lang w:eastAsia="en-AU"/>
              </w:rPr>
              <w:t>1 733.7</w:t>
            </w:r>
          </w:p>
        </w:tc>
        <w:tc>
          <w:tcPr>
            <w:tcW w:w="992" w:type="dxa"/>
            <w:noWrap/>
            <w:hideMark/>
          </w:tcPr>
          <w:p w14:paraId="7870AFBF" w14:textId="77777777" w:rsidR="00110A9D" w:rsidRPr="00E30500" w:rsidRDefault="00110A9D">
            <w:pPr>
              <w:cnfStyle w:val="010000000000" w:firstRow="0" w:lastRow="1" w:firstColumn="0" w:lastColumn="0" w:oddVBand="0" w:evenVBand="0" w:oddHBand="0" w:evenHBand="0" w:firstRowFirstColumn="0" w:firstRowLastColumn="0" w:lastRowFirstColumn="0" w:lastRowLastColumn="0"/>
              <w:rPr>
                <w:lang w:eastAsia="en-AU"/>
              </w:rPr>
            </w:pPr>
            <w:r w:rsidRPr="00E30500">
              <w:rPr>
                <w:lang w:eastAsia="en-AU"/>
              </w:rPr>
              <w:t>1 998.7</w:t>
            </w:r>
          </w:p>
        </w:tc>
      </w:tr>
    </w:tbl>
    <w:p w14:paraId="78100D77" w14:textId="77777777" w:rsidR="00110A9D" w:rsidRDefault="00110A9D" w:rsidP="00110A9D">
      <w:pPr>
        <w:pStyle w:val="Source"/>
      </w:pPr>
      <w:r>
        <w:t>Source: Department of Government Services</w:t>
      </w:r>
    </w:p>
    <w:p w14:paraId="1AE190C2" w14:textId="2277C97A" w:rsidR="00110A9D" w:rsidRDefault="00110A9D" w:rsidP="00110A9D">
      <w:pPr>
        <w:pStyle w:val="Note"/>
      </w:pPr>
      <w:r>
        <w:t>Notes:</w:t>
      </w:r>
    </w:p>
    <w:p w14:paraId="5A7B2623" w14:textId="6F999A07" w:rsidR="00110A9D" w:rsidRDefault="00383570" w:rsidP="00383570">
      <w:pPr>
        <w:pStyle w:val="Note"/>
      </w:pPr>
      <w:r>
        <w:t>(a)</w:t>
      </w:r>
      <w:r>
        <w:tab/>
      </w:r>
      <w:r w:rsidR="00110A9D">
        <w:t>The purpose of this trust primarily relates to the issuing of grants pursuant to the Commonwealth allocation to the state for on-passing to local government.</w:t>
      </w:r>
    </w:p>
    <w:p w14:paraId="4172E761" w14:textId="059DA724" w:rsidR="00110A9D" w:rsidRDefault="00383570" w:rsidP="00383570">
      <w:pPr>
        <w:pStyle w:val="Note"/>
      </w:pPr>
      <w:r>
        <w:t>(b)</w:t>
      </w:r>
      <w:r>
        <w:tab/>
      </w:r>
      <w:r w:rsidR="00110A9D">
        <w:t>The purpose of this trust primarily relates to holding funds from license fees and fines paid by estate agents and can be used for various property-related purposes.</w:t>
      </w:r>
    </w:p>
    <w:p w14:paraId="702345D5" w14:textId="791BED25" w:rsidR="00110A9D" w:rsidRDefault="00383570" w:rsidP="00383570">
      <w:pPr>
        <w:pStyle w:val="Note"/>
      </w:pPr>
      <w:r>
        <w:t>(c)</w:t>
      </w:r>
      <w:r>
        <w:tab/>
      </w:r>
      <w:r w:rsidR="00110A9D">
        <w:t>The purpose of this trust primarily relates to holding Victorian residential tenancy bonds, including those on rented premises, long</w:t>
      </w:r>
      <w:r w:rsidR="00D81CC6">
        <w:t>-</w:t>
      </w:r>
      <w:r w:rsidR="00110A9D">
        <w:t>term caravans, rooming houses, and sites under site agreements.</w:t>
      </w:r>
    </w:p>
    <w:p w14:paraId="143AF52B" w14:textId="629EC9C8" w:rsidR="00110A9D" w:rsidRDefault="00383570" w:rsidP="00383570">
      <w:pPr>
        <w:pStyle w:val="Note"/>
      </w:pPr>
      <w:r>
        <w:t>(d)</w:t>
      </w:r>
      <w:r>
        <w:tab/>
      </w:r>
      <w:r w:rsidR="00110A9D">
        <w:t>Includes interdepartmental transfers.</w:t>
      </w:r>
    </w:p>
    <w:p w14:paraId="6BD47DF8" w14:textId="77777777" w:rsidR="00824558" w:rsidRDefault="00824558">
      <w:pPr>
        <w:keepLines w:val="0"/>
        <w:rPr>
          <w:rFonts w:asciiTheme="majorHAnsi" w:eastAsiaTheme="majorEastAsia" w:hAnsiTheme="majorHAnsi" w:cstheme="majorBidi"/>
          <w:b/>
          <w:sz w:val="27"/>
          <w:szCs w:val="26"/>
        </w:rPr>
      </w:pPr>
      <w:r>
        <w:br w:type="page"/>
      </w:r>
    </w:p>
    <w:p w14:paraId="51F17134" w14:textId="77777777" w:rsidR="00824558" w:rsidRDefault="00824558">
      <w:pPr>
        <w:pStyle w:val="Heading2"/>
      </w:pPr>
      <w:r>
        <w:lastRenderedPageBreak/>
        <w:t>Departmental objectives and outputs</w:t>
      </w:r>
    </w:p>
    <w:p w14:paraId="3690B720" w14:textId="77777777" w:rsidR="00824558" w:rsidRPr="000B7B92" w:rsidRDefault="00824558">
      <w:pPr>
        <w:pStyle w:val="ShadedBoxHeading"/>
      </w:pPr>
      <w:r w:rsidRPr="000B7B92">
        <w:t>Objective 1: Make it easier for individuals and businesses to engage with government</w:t>
      </w:r>
    </w:p>
    <w:p w14:paraId="68CE1B4B" w14:textId="0851C486" w:rsidR="00824558" w:rsidRPr="00B16236" w:rsidRDefault="00824558">
      <w:pPr>
        <w:pStyle w:val="ShadedBoxText"/>
        <w:rPr>
          <w:rFonts w:cs="Calibri"/>
        </w:rPr>
      </w:pPr>
      <w:bookmarkStart w:id="8" w:name="_Hlk133395557"/>
      <w:r w:rsidRPr="00B16236">
        <w:rPr>
          <w:rFonts w:cs="Calibri"/>
        </w:rPr>
        <w:t>This objective contributes to the digital delivery of information and services to Victorian citizens and businesses</w:t>
      </w:r>
      <w:r>
        <w:rPr>
          <w:rFonts w:cs="Calibri"/>
        </w:rPr>
        <w:t>,</w:t>
      </w:r>
      <w:r w:rsidRPr="00B16236">
        <w:rPr>
          <w:rFonts w:cs="Calibri"/>
        </w:rPr>
        <w:t xml:space="preserve"> supports empowering consumers and businesses to know their rights and responsibilities</w:t>
      </w:r>
      <w:r>
        <w:rPr>
          <w:rFonts w:cs="Calibri"/>
        </w:rPr>
        <w:t>,</w:t>
      </w:r>
      <w:r w:rsidRPr="00B16236">
        <w:rPr>
          <w:rFonts w:cs="Calibri"/>
        </w:rPr>
        <w:t xml:space="preserve"> supports protection of Victorians</w:t>
      </w:r>
      <w:r w:rsidR="007942D1">
        <w:rPr>
          <w:rFonts w:cs="Calibri"/>
        </w:rPr>
        <w:t>’</w:t>
      </w:r>
      <w:r w:rsidRPr="00B16236">
        <w:rPr>
          <w:rFonts w:cs="Calibri"/>
        </w:rPr>
        <w:t xml:space="preserve"> identity through life event registrations</w:t>
      </w:r>
      <w:r>
        <w:rPr>
          <w:rFonts w:cs="Calibri"/>
        </w:rPr>
        <w:t>,</w:t>
      </w:r>
      <w:r w:rsidRPr="00B16236">
        <w:rPr>
          <w:rFonts w:cs="Calibri"/>
        </w:rPr>
        <w:t xml:space="preserve"> contributes to management of Victoria</w:t>
      </w:r>
      <w:r w:rsidR="007942D1">
        <w:rPr>
          <w:rFonts w:cs="Calibri"/>
        </w:rPr>
        <w:t>’</w:t>
      </w:r>
      <w:r w:rsidRPr="00B16236">
        <w:rPr>
          <w:rFonts w:cs="Calibri"/>
        </w:rPr>
        <w:t>s public records</w:t>
      </w:r>
      <w:r>
        <w:rPr>
          <w:rFonts w:cs="Calibri"/>
        </w:rPr>
        <w:t xml:space="preserve">, </w:t>
      </w:r>
      <w:r w:rsidRPr="00B16236">
        <w:rPr>
          <w:rFonts w:cs="Calibri"/>
        </w:rPr>
        <w:t>and supports local councils to provide responsive and accountable services to the community.</w:t>
      </w:r>
      <w:r w:rsidRPr="00B16236">
        <w:rPr>
          <w:rFonts w:cs="Calibri"/>
          <w:vertAlign w:val="superscript"/>
        </w:rPr>
        <w:t>(a)</w:t>
      </w:r>
      <w:r w:rsidRPr="00B16236">
        <w:rPr>
          <w:rFonts w:cs="Calibri"/>
        </w:rPr>
        <w:t xml:space="preserve"> </w:t>
      </w:r>
      <w:bookmarkEnd w:id="8"/>
    </w:p>
    <w:p w14:paraId="45F9EFD3" w14:textId="77777777" w:rsidR="00824558" w:rsidRPr="00B16236" w:rsidRDefault="00824558">
      <w:pPr>
        <w:pStyle w:val="ShadedBoxText"/>
        <w:rPr>
          <w:rFonts w:eastAsia="Garamond" w:cs="Calibri"/>
          <w:vertAlign w:val="superscript"/>
        </w:rPr>
      </w:pPr>
      <w:r w:rsidRPr="00B16236">
        <w:rPr>
          <w:rFonts w:eastAsia="Garamond" w:cs="Calibri"/>
        </w:rPr>
        <w:t>The departmental objective indicators are:</w:t>
      </w:r>
    </w:p>
    <w:p w14:paraId="20725ADB" w14:textId="77777777" w:rsidR="00824558" w:rsidRPr="00B16236" w:rsidRDefault="00824558">
      <w:pPr>
        <w:pStyle w:val="ShadedBoxBullet"/>
        <w:contextualSpacing/>
        <w:rPr>
          <w:rFonts w:cs="Calibri"/>
        </w:rPr>
      </w:pPr>
      <w:r w:rsidRPr="00B16236">
        <w:rPr>
          <w:rFonts w:cs="Calibri"/>
        </w:rPr>
        <w:t>Victorians have access to timely, high-quality information in relation to government services</w:t>
      </w:r>
    </w:p>
    <w:p w14:paraId="5E1437EF" w14:textId="77777777" w:rsidR="00824558" w:rsidRPr="00B16236" w:rsidRDefault="00824558">
      <w:pPr>
        <w:pStyle w:val="ShadedBoxBullet"/>
        <w:contextualSpacing/>
        <w:rPr>
          <w:rFonts w:cs="Calibri"/>
        </w:rPr>
      </w:pPr>
      <w:r w:rsidRPr="00B16236">
        <w:rPr>
          <w:rFonts w:cs="Calibri"/>
        </w:rPr>
        <w:t>Victorians are protected by consumer rights and have access to high-quality consumer advice and services</w:t>
      </w:r>
    </w:p>
    <w:p w14:paraId="48B2A464" w14:textId="77777777" w:rsidR="00824558" w:rsidRPr="00B16236" w:rsidRDefault="00824558">
      <w:pPr>
        <w:pStyle w:val="ShadedBoxBullet"/>
        <w:contextualSpacing/>
        <w:rPr>
          <w:rFonts w:cs="Calibri"/>
        </w:rPr>
      </w:pPr>
      <w:r w:rsidRPr="00B16236">
        <w:rPr>
          <w:rFonts w:cs="Calibri"/>
        </w:rPr>
        <w:t>Victorians have access to high-quality dispute resolution services</w:t>
      </w:r>
    </w:p>
    <w:p w14:paraId="08595EA2" w14:textId="77777777" w:rsidR="00824558" w:rsidRPr="00B16236" w:rsidRDefault="00824558">
      <w:pPr>
        <w:pStyle w:val="ShadedBoxBullet"/>
        <w:contextualSpacing/>
        <w:rPr>
          <w:rFonts w:cs="Calibri"/>
        </w:rPr>
      </w:pPr>
      <w:r w:rsidRPr="00B16236">
        <w:rPr>
          <w:rFonts w:cs="Calibri"/>
        </w:rPr>
        <w:t>Victorians have access to high-quality services relating to births, deaths and marriages registrations</w:t>
      </w:r>
    </w:p>
    <w:p w14:paraId="67901935" w14:textId="77777777" w:rsidR="00824558" w:rsidRPr="00B16236" w:rsidRDefault="00824558">
      <w:pPr>
        <w:pStyle w:val="ShadedBoxBullet"/>
        <w:contextualSpacing/>
        <w:rPr>
          <w:rFonts w:cs="Calibri"/>
        </w:rPr>
      </w:pPr>
      <w:r>
        <w:rPr>
          <w:rFonts w:cs="Calibri"/>
        </w:rPr>
        <w:t>c</w:t>
      </w:r>
      <w:r w:rsidRPr="00B16236">
        <w:rPr>
          <w:rFonts w:cs="Calibri"/>
        </w:rPr>
        <w:t>ouncils are well supported to provide responsive and accountable services</w:t>
      </w:r>
    </w:p>
    <w:p w14:paraId="1E23F47A" w14:textId="77777777" w:rsidR="00824558" w:rsidRPr="00B16236" w:rsidRDefault="00824558">
      <w:pPr>
        <w:pStyle w:val="ShadedBoxBullet"/>
        <w:contextualSpacing/>
        <w:rPr>
          <w:rFonts w:cs="Calibri"/>
        </w:rPr>
      </w:pPr>
      <w:r>
        <w:rPr>
          <w:rFonts w:cs="Calibri"/>
        </w:rPr>
        <w:t>p</w:t>
      </w:r>
      <w:r w:rsidRPr="00B16236">
        <w:rPr>
          <w:rFonts w:cs="Calibri"/>
        </w:rPr>
        <w:t>hysical and digital records are securely preserved and are accessible for use by Victorians.</w:t>
      </w:r>
      <w:r w:rsidRPr="00B16236">
        <w:rPr>
          <w:rFonts w:cs="Calibri"/>
          <w:vertAlign w:val="superscript"/>
        </w:rPr>
        <w:t>(b)</w:t>
      </w:r>
    </w:p>
    <w:p w14:paraId="6466A736" w14:textId="77777777" w:rsidR="00824558" w:rsidRDefault="00824558">
      <w:pPr>
        <w:pStyle w:val="ShadedBoxNote"/>
      </w:pPr>
      <w:r w:rsidRPr="005C3729">
        <w:t>Notes:</w:t>
      </w:r>
    </w:p>
    <w:p w14:paraId="5129B9FA" w14:textId="6CCA9611" w:rsidR="00824558" w:rsidRPr="00A33DA0" w:rsidRDefault="00A33DA0" w:rsidP="00A33DA0">
      <w:pPr>
        <w:pStyle w:val="ShadedBoxNote"/>
      </w:pPr>
      <w:r>
        <w:t>(a)</w:t>
      </w:r>
      <w:r>
        <w:tab/>
      </w:r>
      <w:r w:rsidR="00824558" w:rsidRPr="00A33DA0">
        <w:t>Objective description has been updated to better reflect services provided.</w:t>
      </w:r>
    </w:p>
    <w:p w14:paraId="48D09339" w14:textId="073CF140" w:rsidR="00824558" w:rsidRPr="00A33DA0" w:rsidRDefault="00A33DA0" w:rsidP="00A33DA0">
      <w:pPr>
        <w:pStyle w:val="ShadedBoxNote"/>
      </w:pPr>
      <w:r>
        <w:t>(b)</w:t>
      </w:r>
      <w:r>
        <w:tab/>
      </w:r>
      <w:r w:rsidR="00824558" w:rsidRPr="00A33DA0">
        <w:t xml:space="preserve">The </w:t>
      </w:r>
      <w:r w:rsidR="008F7A05" w:rsidRPr="00A33DA0">
        <w:t>2025-26</w:t>
      </w:r>
      <w:r w:rsidR="00824558" w:rsidRPr="00A33DA0">
        <w:t xml:space="preserve"> indicator </w:t>
      </w:r>
      <w:r w:rsidR="007942D1" w:rsidRPr="00A33DA0">
        <w:t>‘</w:t>
      </w:r>
      <w:r w:rsidR="00824558" w:rsidRPr="00A33DA0">
        <w:t>Victorians have access to timely high-quality Working with Children and NDIS check services</w:t>
      </w:r>
      <w:r w:rsidR="007942D1" w:rsidRPr="00A33DA0">
        <w:t>’</w:t>
      </w:r>
      <w:r w:rsidR="00824558" w:rsidRPr="00A33DA0">
        <w:t xml:space="preserve"> has been discontinued due to machinery of government changes impacting Working with Children and National Disability Insurance Scheme checks.</w:t>
      </w:r>
    </w:p>
    <w:p w14:paraId="04ACBEAA" w14:textId="77777777" w:rsidR="00824558" w:rsidRPr="006474AD" w:rsidRDefault="00824558">
      <w:pPr>
        <w:pStyle w:val="Heading3"/>
      </w:pPr>
      <w:r>
        <w:t>Outputs</w:t>
      </w:r>
    </w:p>
    <w:p w14:paraId="721B21C6" w14:textId="6262B57D" w:rsidR="00824558" w:rsidRPr="006474AD" w:rsidRDefault="00824558">
      <w:pPr>
        <w:pStyle w:val="Heading3"/>
      </w:pPr>
      <w:r w:rsidRPr="006474AD">
        <w:t xml:space="preserve">Customer </w:t>
      </w:r>
      <w:r>
        <w:t>S</w:t>
      </w:r>
      <w:r w:rsidRPr="006474AD">
        <w:t>ervices to the Community</w:t>
      </w:r>
      <w:r w:rsidRPr="006474AD">
        <w:tab/>
        <w:t>(2026-27: $</w:t>
      </w:r>
      <w:r w:rsidR="004B6629">
        <w:t>65.9</w:t>
      </w:r>
      <w:r w:rsidRPr="006474AD">
        <w:t xml:space="preserve"> million)</w:t>
      </w:r>
    </w:p>
    <w:p w14:paraId="15EB949B" w14:textId="7C99158F" w:rsidR="00824558" w:rsidRPr="00B16236" w:rsidRDefault="00824558">
      <w:pPr>
        <w:spacing w:after="120"/>
        <w:rPr>
          <w:rFonts w:cs="Calibri"/>
        </w:rPr>
      </w:pPr>
      <w:r w:rsidRPr="00B16236">
        <w:rPr>
          <w:rFonts w:cs="Calibri"/>
        </w:rPr>
        <w:t>This output</w:t>
      </w:r>
      <w:r w:rsidRPr="00B16236" w:rsidDel="00790293">
        <w:rPr>
          <w:rFonts w:cs="Calibri"/>
        </w:rPr>
        <w:t xml:space="preserve"> </w:t>
      </w:r>
      <w:r w:rsidRPr="00B16236">
        <w:rPr>
          <w:rFonts w:cs="Calibri"/>
        </w:rPr>
        <w:t>supports the community and businesses in accessing information and services online via Victorian Government websites and the Service Victoria mobile app, and with assistance through the Victorian Government Contact Centre.</w:t>
      </w:r>
      <w:r w:rsidR="002A7440" w:rsidRPr="00851116">
        <w:rPr>
          <w:rFonts w:eastAsiaTheme="minorEastAsia" w:cstheme="majorHAnsi"/>
          <w:vertAlign w:val="superscript"/>
        </w:rPr>
        <w:t>(a)</w:t>
      </w:r>
      <w:r w:rsidRPr="00B16236">
        <w:rPr>
          <w:rFonts w:cs="Calibri"/>
        </w:rPr>
        <w:t xml:space="preserve"> </w:t>
      </w:r>
    </w:p>
    <w:p w14:paraId="09B0B28A" w14:textId="77777777" w:rsidR="00824558" w:rsidRPr="00A33DA0" w:rsidRDefault="00824558" w:rsidP="00A33DA0">
      <w:pPr>
        <w:pStyle w:val="Note"/>
      </w:pPr>
      <w:r w:rsidRPr="00A33DA0">
        <w:t>Note:</w:t>
      </w:r>
    </w:p>
    <w:p w14:paraId="5ABDFC66" w14:textId="5BA6DF3D" w:rsidR="00824558" w:rsidRPr="00A33DA0" w:rsidRDefault="00A33DA0" w:rsidP="00A33DA0">
      <w:pPr>
        <w:pStyle w:val="Note"/>
        <w:spacing w:after="180"/>
      </w:pPr>
      <w:r>
        <w:t>(a)</w:t>
      </w:r>
      <w:r>
        <w:tab/>
      </w:r>
      <w:r w:rsidR="00824558" w:rsidRPr="00A33DA0">
        <w:t>The output description has been updated to better reflect services provided.</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5AE25D0" w14:textId="77777777" w:rsidTr="00875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588AB99" w14:textId="77777777" w:rsidR="00824558" w:rsidRDefault="00824558">
            <w:r>
              <w:t>Performance measure</w:t>
            </w:r>
          </w:p>
        </w:tc>
        <w:tc>
          <w:tcPr>
            <w:tcW w:w="964" w:type="dxa"/>
          </w:tcPr>
          <w:p w14:paraId="272BDE8E"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905BC7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C1CC52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6C4366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0688B2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55377B57"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74ED7892" w14:textId="77777777" w:rsidR="00824558" w:rsidRPr="00A9225F" w:rsidRDefault="00824558">
            <w:pPr>
              <w:keepNext/>
              <w:rPr>
                <w:b/>
              </w:rPr>
            </w:pPr>
            <w:r w:rsidRPr="00A9225F">
              <w:rPr>
                <w:b/>
              </w:rPr>
              <w:t>Quantity</w:t>
            </w:r>
          </w:p>
        </w:tc>
      </w:tr>
      <w:tr w:rsidR="00824558" w:rsidRPr="006474AD" w14:paraId="2545A597"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4C838DA6" w14:textId="77777777" w:rsidR="00824558" w:rsidRPr="006474AD" w:rsidRDefault="00824558">
            <w:pPr>
              <w:keepNext/>
              <w:ind w:left="170"/>
            </w:pPr>
            <w:r w:rsidRPr="006474AD">
              <w:t>Activities undertaken on the Service Victoria digital customer platform are equivalent to or exceed the target</w:t>
            </w:r>
          </w:p>
        </w:tc>
        <w:tc>
          <w:tcPr>
            <w:tcW w:w="964" w:type="dxa"/>
          </w:tcPr>
          <w:p w14:paraId="6DDDF95C"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number (million)</w:t>
            </w:r>
          </w:p>
        </w:tc>
        <w:tc>
          <w:tcPr>
            <w:tcW w:w="964" w:type="dxa"/>
            <w:shd w:val="clear" w:color="auto" w:fill="F0F0F0"/>
          </w:tcPr>
          <w:p w14:paraId="77B43960"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35</w:t>
            </w:r>
          </w:p>
        </w:tc>
        <w:tc>
          <w:tcPr>
            <w:tcW w:w="964" w:type="dxa"/>
          </w:tcPr>
          <w:p w14:paraId="580A1AEC"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50</w:t>
            </w:r>
          </w:p>
        </w:tc>
        <w:tc>
          <w:tcPr>
            <w:tcW w:w="964" w:type="dxa"/>
          </w:tcPr>
          <w:p w14:paraId="16B7C41A"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30</w:t>
            </w:r>
          </w:p>
        </w:tc>
        <w:tc>
          <w:tcPr>
            <w:tcW w:w="964" w:type="dxa"/>
          </w:tcPr>
          <w:p w14:paraId="22EAD04C"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37</w:t>
            </w:r>
          </w:p>
        </w:tc>
      </w:tr>
      <w:tr w:rsidR="00824558" w:rsidRPr="006474AD" w14:paraId="783E6B0C"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BEE4B3F" w14:textId="0FAAB103" w:rsidR="00824558" w:rsidRPr="006474AD" w:rsidRDefault="00824558">
            <w:pPr>
              <w:ind w:left="170"/>
            </w:pPr>
            <w:r w:rsidRPr="006474AD">
              <w:rPr>
                <w:i/>
              </w:rPr>
              <w:t xml:space="preserve">The </w:t>
            </w:r>
            <w:r w:rsidR="008F7A05">
              <w:rPr>
                <w:i/>
              </w:rPr>
              <w:t>2025-26</w:t>
            </w:r>
            <w:r w:rsidRPr="006474AD">
              <w:rPr>
                <w:i/>
              </w:rPr>
              <w:t xml:space="preserve"> expected outcome is higher than the </w:t>
            </w:r>
            <w:r w:rsidR="008F7A05">
              <w:rPr>
                <w:i/>
              </w:rPr>
              <w:t>2025-26</w:t>
            </w:r>
            <w:r w:rsidRPr="006474AD">
              <w:rPr>
                <w:i/>
              </w:rPr>
              <w:t xml:space="preserve"> target due to new products and services driving increased activity in 2025</w:t>
            </w:r>
            <w:r>
              <w:rPr>
                <w:i/>
              </w:rPr>
              <w:noBreakHyphen/>
            </w:r>
            <w:r w:rsidRPr="006474AD">
              <w:rPr>
                <w:i/>
              </w:rPr>
              <w:t>26.</w:t>
            </w:r>
          </w:p>
          <w:p w14:paraId="7FC9B555" w14:textId="2402D7CD" w:rsidR="00824558" w:rsidRPr="006474AD" w:rsidRDefault="00824558">
            <w:pPr>
              <w:ind w:left="170"/>
            </w:pPr>
            <w:r w:rsidRPr="006474AD">
              <w:rPr>
                <w:i/>
              </w:rPr>
              <w:t xml:space="preserve">The higher </w:t>
            </w:r>
            <w:r w:rsidR="002B57CA">
              <w:rPr>
                <w:i/>
              </w:rPr>
              <w:t>2026-27</w:t>
            </w:r>
            <w:r w:rsidRPr="006474AD">
              <w:rPr>
                <w:i/>
              </w:rPr>
              <w:t xml:space="preserve"> target reflects anticipated activities based on recent performance.</w:t>
            </w:r>
          </w:p>
        </w:tc>
      </w:tr>
      <w:tr w:rsidR="00824558" w:rsidRPr="006474AD" w14:paraId="316670B9"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0D9D9E3A" w14:textId="77777777" w:rsidR="00824558" w:rsidRPr="006474AD" w:rsidRDefault="00824558">
            <w:pPr>
              <w:keepNext/>
              <w:ind w:left="170"/>
            </w:pPr>
            <w:r w:rsidRPr="006474AD">
              <w:t>Assisted information and support provided by the Whole of Victorian Government Contact Centre (phone, webchat, webforms and email)</w:t>
            </w:r>
          </w:p>
        </w:tc>
        <w:tc>
          <w:tcPr>
            <w:tcW w:w="964" w:type="dxa"/>
          </w:tcPr>
          <w:p w14:paraId="72CBDC14"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number</w:t>
            </w:r>
          </w:p>
        </w:tc>
        <w:tc>
          <w:tcPr>
            <w:tcW w:w="964" w:type="dxa"/>
            <w:shd w:val="clear" w:color="auto" w:fill="F0F0F0"/>
          </w:tcPr>
          <w:p w14:paraId="11C6D046"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720 000</w:t>
            </w:r>
          </w:p>
        </w:tc>
        <w:tc>
          <w:tcPr>
            <w:tcW w:w="964" w:type="dxa"/>
          </w:tcPr>
          <w:p w14:paraId="1330BB37"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725 000</w:t>
            </w:r>
          </w:p>
        </w:tc>
        <w:tc>
          <w:tcPr>
            <w:tcW w:w="964" w:type="dxa"/>
          </w:tcPr>
          <w:p w14:paraId="4F8ADFC8"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695 000</w:t>
            </w:r>
          </w:p>
        </w:tc>
        <w:tc>
          <w:tcPr>
            <w:tcW w:w="964" w:type="dxa"/>
          </w:tcPr>
          <w:p w14:paraId="1DB7DB58"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770 483</w:t>
            </w:r>
          </w:p>
        </w:tc>
      </w:tr>
      <w:tr w:rsidR="00824558" w:rsidRPr="006474AD" w14:paraId="767D0EE5"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FF3410" w14:textId="77777777" w:rsidR="00824558" w:rsidRPr="006474AD" w:rsidRDefault="00824558">
            <w:pPr>
              <w:ind w:left="170"/>
            </w:pPr>
            <w:r w:rsidRPr="006474AD">
              <w:rPr>
                <w:i/>
              </w:rPr>
              <w:t>The higher 2026-27 target reflects some additional lines of business added to the WOVG Contact Centre that are forecast to increase the total number of contacts over the course of the year.</w:t>
            </w:r>
          </w:p>
        </w:tc>
      </w:tr>
      <w:tr w:rsidR="00824558" w:rsidRPr="006474AD" w14:paraId="5324CA50"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36B1532A" w14:textId="77777777" w:rsidR="00824558" w:rsidRPr="006474AD" w:rsidRDefault="00824558">
            <w:pPr>
              <w:keepNext/>
              <w:ind w:left="170"/>
            </w:pPr>
            <w:r w:rsidRPr="006474AD">
              <w:t>Average cost per activity undertaken on the Service Victoria digital customer platform is equivalent to or below the target</w:t>
            </w:r>
          </w:p>
        </w:tc>
        <w:tc>
          <w:tcPr>
            <w:tcW w:w="964" w:type="dxa"/>
          </w:tcPr>
          <w:p w14:paraId="4BD0425B"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dollars</w:t>
            </w:r>
          </w:p>
        </w:tc>
        <w:tc>
          <w:tcPr>
            <w:tcW w:w="964" w:type="dxa"/>
            <w:shd w:val="clear" w:color="auto" w:fill="F0F0F0"/>
          </w:tcPr>
          <w:p w14:paraId="0F8E7D92"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1.6</w:t>
            </w:r>
          </w:p>
        </w:tc>
        <w:tc>
          <w:tcPr>
            <w:tcW w:w="964" w:type="dxa"/>
          </w:tcPr>
          <w:p w14:paraId="6873FBB7"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1.3</w:t>
            </w:r>
          </w:p>
        </w:tc>
        <w:tc>
          <w:tcPr>
            <w:tcW w:w="964" w:type="dxa"/>
          </w:tcPr>
          <w:p w14:paraId="448C85BB"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2.5</w:t>
            </w:r>
          </w:p>
        </w:tc>
        <w:tc>
          <w:tcPr>
            <w:tcW w:w="964" w:type="dxa"/>
          </w:tcPr>
          <w:p w14:paraId="5DF32023"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1.7</w:t>
            </w:r>
          </w:p>
        </w:tc>
      </w:tr>
      <w:tr w:rsidR="00824558" w:rsidRPr="006474AD" w14:paraId="78C4066D"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72329C" w14:textId="77777777" w:rsidR="00824558" w:rsidRPr="006474AD" w:rsidRDefault="00824558">
            <w:pPr>
              <w:ind w:left="170"/>
            </w:pPr>
            <w:r w:rsidRPr="006474AD">
              <w:rPr>
                <w:i/>
              </w:rPr>
              <w:t>The 2025-26 expected outcome is lower than the 2025-26 target as the number of activities has increased relative to the cost of the Service Victoria platform.</w:t>
            </w:r>
          </w:p>
          <w:p w14:paraId="490C5274" w14:textId="77777777" w:rsidR="00824558" w:rsidRPr="006474AD" w:rsidRDefault="00824558">
            <w:pPr>
              <w:ind w:left="170"/>
            </w:pPr>
            <w:r w:rsidRPr="006474AD">
              <w:rPr>
                <w:i/>
              </w:rPr>
              <w:t>The lower 2026-27 target reflects anticipated average cost per activity based on past performance.</w:t>
            </w:r>
          </w:p>
        </w:tc>
      </w:tr>
      <w:tr w:rsidR="00824558" w:rsidRPr="006474AD" w14:paraId="32BB2D89"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13377F15" w14:textId="77777777" w:rsidR="00824558" w:rsidRPr="006474AD" w:rsidRDefault="00824558">
            <w:pPr>
              <w:keepNext/>
              <w:ind w:left="170"/>
            </w:pPr>
            <w:r w:rsidRPr="006474AD">
              <w:t>Information supplied from Victorian Government websites</w:t>
            </w:r>
          </w:p>
        </w:tc>
        <w:tc>
          <w:tcPr>
            <w:tcW w:w="964" w:type="dxa"/>
          </w:tcPr>
          <w:p w14:paraId="5313094B"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number (million)</w:t>
            </w:r>
          </w:p>
        </w:tc>
        <w:tc>
          <w:tcPr>
            <w:tcW w:w="964" w:type="dxa"/>
            <w:shd w:val="clear" w:color="auto" w:fill="EDEDED" w:themeFill="accent3" w:themeFillTint="33"/>
          </w:tcPr>
          <w:p w14:paraId="1C5852B9"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145</w:t>
            </w:r>
          </w:p>
        </w:tc>
        <w:tc>
          <w:tcPr>
            <w:tcW w:w="964" w:type="dxa"/>
          </w:tcPr>
          <w:p w14:paraId="036A39D5"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126</w:t>
            </w:r>
          </w:p>
        </w:tc>
        <w:tc>
          <w:tcPr>
            <w:tcW w:w="964" w:type="dxa"/>
          </w:tcPr>
          <w:p w14:paraId="1D3963D1"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150</w:t>
            </w:r>
          </w:p>
        </w:tc>
        <w:tc>
          <w:tcPr>
            <w:tcW w:w="964" w:type="dxa"/>
          </w:tcPr>
          <w:p w14:paraId="3DB70EAF"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157</w:t>
            </w:r>
          </w:p>
        </w:tc>
      </w:tr>
      <w:tr w:rsidR="00824558" w:rsidRPr="006474AD" w14:paraId="5BF315D2"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1CEB211" w14:textId="735FD686" w:rsidR="00824558" w:rsidRPr="006474AD" w:rsidRDefault="00824558">
            <w:pPr>
              <w:ind w:left="170"/>
            </w:pPr>
            <w:r w:rsidRPr="006474AD">
              <w:rPr>
                <w:i/>
              </w:rPr>
              <w:t xml:space="preserve">The </w:t>
            </w:r>
            <w:r w:rsidR="008F7A05">
              <w:rPr>
                <w:i/>
              </w:rPr>
              <w:t>2025-26</w:t>
            </w:r>
            <w:r w:rsidRPr="006474AD">
              <w:rPr>
                <w:i/>
              </w:rPr>
              <w:t xml:space="preserve"> expected outcome is lower than the </w:t>
            </w:r>
            <w:r w:rsidR="008F7A05">
              <w:rPr>
                <w:i/>
              </w:rPr>
              <w:t>2025-26</w:t>
            </w:r>
            <w:r w:rsidRPr="006474AD">
              <w:rPr>
                <w:i/>
              </w:rPr>
              <w:t xml:space="preserve"> target due to the introduction of AI overviews by search engines which supply information from Victorian Government websites directly into search results and do not register as a </w:t>
            </w:r>
            <w:r w:rsidR="007942D1">
              <w:rPr>
                <w:i/>
              </w:rPr>
              <w:t>‘</w:t>
            </w:r>
            <w:r w:rsidRPr="006474AD">
              <w:rPr>
                <w:i/>
              </w:rPr>
              <w:t>visit</w:t>
            </w:r>
            <w:r w:rsidR="007942D1">
              <w:rPr>
                <w:i/>
              </w:rPr>
              <w:t>’</w:t>
            </w:r>
            <w:r w:rsidRPr="006474AD">
              <w:rPr>
                <w:i/>
              </w:rPr>
              <w:t xml:space="preserve"> to the source page.</w:t>
            </w:r>
          </w:p>
          <w:p w14:paraId="01921317" w14:textId="77777777" w:rsidR="00824558" w:rsidRPr="006474AD" w:rsidRDefault="00824558">
            <w:pPr>
              <w:ind w:left="170"/>
            </w:pPr>
            <w:r w:rsidRPr="006474AD">
              <w:rPr>
                <w:i/>
              </w:rPr>
              <w:t>The lower 2026-27 target reflects the impact of search engine AI overviews on website traffic.</w:t>
            </w:r>
          </w:p>
        </w:tc>
      </w:tr>
      <w:tr w:rsidR="00824558" w:rsidRPr="00A9225F" w14:paraId="650F8F74"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17990989" w14:textId="77777777" w:rsidR="00824558" w:rsidRPr="00A9225F" w:rsidRDefault="00824558">
            <w:pPr>
              <w:keepNext/>
              <w:rPr>
                <w:b/>
              </w:rPr>
            </w:pPr>
            <w:r w:rsidRPr="00A9225F">
              <w:rPr>
                <w:b/>
              </w:rPr>
              <w:t>Quality</w:t>
            </w:r>
          </w:p>
        </w:tc>
      </w:tr>
      <w:tr w:rsidR="00824558" w:rsidRPr="006474AD" w14:paraId="2C03932B"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0FF484F" w14:textId="77777777" w:rsidR="00824558" w:rsidRPr="006474AD" w:rsidRDefault="00824558">
            <w:pPr>
              <w:ind w:left="170"/>
            </w:pPr>
            <w:r w:rsidRPr="006474AD">
              <w:t>Overall satisfaction of customers completing a transaction on the Service Victoria digital customer platform</w:t>
            </w:r>
          </w:p>
        </w:tc>
        <w:tc>
          <w:tcPr>
            <w:tcW w:w="964" w:type="dxa"/>
            <w:tcBorders>
              <w:bottom w:val="single" w:sz="6" w:space="0" w:color="auto"/>
            </w:tcBorders>
          </w:tcPr>
          <w:p w14:paraId="7C85B924"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per cent</w:t>
            </w:r>
          </w:p>
        </w:tc>
        <w:tc>
          <w:tcPr>
            <w:tcW w:w="964" w:type="dxa"/>
            <w:tcBorders>
              <w:bottom w:val="single" w:sz="6" w:space="0" w:color="auto"/>
            </w:tcBorders>
            <w:shd w:val="clear" w:color="auto" w:fill="F0F0F0"/>
          </w:tcPr>
          <w:p w14:paraId="311C8DFE"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c>
          <w:tcPr>
            <w:tcW w:w="964" w:type="dxa"/>
            <w:tcBorders>
              <w:bottom w:val="single" w:sz="6" w:space="0" w:color="auto"/>
            </w:tcBorders>
          </w:tcPr>
          <w:p w14:paraId="2F80231D"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c>
          <w:tcPr>
            <w:tcW w:w="964" w:type="dxa"/>
            <w:tcBorders>
              <w:bottom w:val="single" w:sz="6" w:space="0" w:color="auto"/>
            </w:tcBorders>
          </w:tcPr>
          <w:p w14:paraId="61CFE135"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c>
          <w:tcPr>
            <w:tcW w:w="964" w:type="dxa"/>
            <w:tcBorders>
              <w:bottom w:val="single" w:sz="6" w:space="0" w:color="auto"/>
            </w:tcBorders>
          </w:tcPr>
          <w:p w14:paraId="7EFF87A4"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r>
      <w:tr w:rsidR="00824558" w:rsidRPr="006474AD" w14:paraId="0DC1189B"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2031A460" w14:textId="77777777" w:rsidR="00824558" w:rsidRPr="006474AD" w:rsidRDefault="00824558">
            <w:pPr>
              <w:keepNext/>
              <w:ind w:left="170"/>
            </w:pPr>
            <w:r w:rsidRPr="006474AD">
              <w:lastRenderedPageBreak/>
              <w:t>Overall satisfaction of customers receiving assisted information and support from the Whole of Victorian Government Contact Centre</w:t>
            </w:r>
          </w:p>
        </w:tc>
        <w:tc>
          <w:tcPr>
            <w:tcW w:w="964" w:type="dxa"/>
          </w:tcPr>
          <w:p w14:paraId="2B7BC2DB"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per cent</w:t>
            </w:r>
          </w:p>
        </w:tc>
        <w:tc>
          <w:tcPr>
            <w:tcW w:w="964" w:type="dxa"/>
            <w:shd w:val="clear" w:color="auto" w:fill="F0F0F0"/>
          </w:tcPr>
          <w:p w14:paraId="45EF0614"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85</w:t>
            </w:r>
          </w:p>
        </w:tc>
        <w:tc>
          <w:tcPr>
            <w:tcW w:w="964" w:type="dxa"/>
          </w:tcPr>
          <w:p w14:paraId="7DC901C8"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90</w:t>
            </w:r>
          </w:p>
        </w:tc>
        <w:tc>
          <w:tcPr>
            <w:tcW w:w="964" w:type="dxa"/>
          </w:tcPr>
          <w:p w14:paraId="235651AA"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70</w:t>
            </w:r>
          </w:p>
        </w:tc>
        <w:tc>
          <w:tcPr>
            <w:tcW w:w="964" w:type="dxa"/>
          </w:tcPr>
          <w:p w14:paraId="4187B1E9"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86</w:t>
            </w:r>
          </w:p>
        </w:tc>
      </w:tr>
      <w:tr w:rsidR="00824558" w:rsidRPr="006474AD" w14:paraId="63213648"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3D9A76F" w14:textId="220257EB" w:rsidR="00824558" w:rsidRPr="006474AD" w:rsidRDefault="00824558">
            <w:pPr>
              <w:ind w:left="170"/>
            </w:pPr>
            <w:r w:rsidRPr="006474AD">
              <w:rPr>
                <w:i/>
              </w:rPr>
              <w:t xml:space="preserve">The </w:t>
            </w:r>
            <w:r w:rsidR="008F7A05">
              <w:rPr>
                <w:i/>
              </w:rPr>
              <w:t>2025-26</w:t>
            </w:r>
            <w:r w:rsidRPr="006474AD">
              <w:rPr>
                <w:i/>
              </w:rPr>
              <w:t xml:space="preserve"> expected outcome is higher than the </w:t>
            </w:r>
            <w:r w:rsidR="008F7A05">
              <w:rPr>
                <w:i/>
              </w:rPr>
              <w:t>2025-26</w:t>
            </w:r>
            <w:r w:rsidRPr="006474AD">
              <w:rPr>
                <w:i/>
              </w:rPr>
              <w:t xml:space="preserve"> target due to increased customer satisfaction with the service provided by the contact centre.</w:t>
            </w:r>
          </w:p>
          <w:p w14:paraId="0FF91ED9" w14:textId="77777777" w:rsidR="00824558" w:rsidRPr="006474AD" w:rsidRDefault="00824558">
            <w:pPr>
              <w:ind w:left="170"/>
            </w:pPr>
            <w:r w:rsidRPr="006474AD">
              <w:rPr>
                <w:i/>
              </w:rPr>
              <w:t>The higher 2026-27 target reflects anticipated customer satisfaction rates based on past performance.</w:t>
            </w:r>
          </w:p>
        </w:tc>
      </w:tr>
      <w:tr w:rsidR="00824558" w:rsidRPr="006474AD" w14:paraId="49540B9E" w14:textId="77777777" w:rsidTr="008A6CF5">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1E2B08EA" w14:textId="3834A051" w:rsidR="00824558" w:rsidRPr="003C77B5" w:rsidRDefault="00824558" w:rsidP="00A33DA0">
            <w:pPr>
              <w:ind w:left="170"/>
              <w:rPr>
                <w:i/>
              </w:rPr>
            </w:pPr>
            <w:r w:rsidRPr="006474AD">
              <w:t>Overall satisfaction of customers seeking information on Victorian Government websites</w:t>
            </w:r>
          </w:p>
        </w:tc>
        <w:tc>
          <w:tcPr>
            <w:tcW w:w="964" w:type="dxa"/>
            <w:tcBorders>
              <w:bottom w:val="nil"/>
            </w:tcBorders>
          </w:tcPr>
          <w:p w14:paraId="7401CC07"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per cent</w:t>
            </w:r>
          </w:p>
        </w:tc>
        <w:tc>
          <w:tcPr>
            <w:tcW w:w="964" w:type="dxa"/>
            <w:tcBorders>
              <w:bottom w:val="nil"/>
            </w:tcBorders>
            <w:shd w:val="clear" w:color="auto" w:fill="F0F0F0"/>
          </w:tcPr>
          <w:p w14:paraId="03FD0C47"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c>
          <w:tcPr>
            <w:tcW w:w="964" w:type="dxa"/>
            <w:tcBorders>
              <w:bottom w:val="nil"/>
            </w:tcBorders>
          </w:tcPr>
          <w:p w14:paraId="1DCCAA48"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78</w:t>
            </w:r>
          </w:p>
        </w:tc>
        <w:tc>
          <w:tcPr>
            <w:tcW w:w="964" w:type="dxa"/>
            <w:tcBorders>
              <w:bottom w:val="nil"/>
            </w:tcBorders>
          </w:tcPr>
          <w:p w14:paraId="4FAD3F42"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95</w:t>
            </w:r>
          </w:p>
        </w:tc>
        <w:tc>
          <w:tcPr>
            <w:tcW w:w="964" w:type="dxa"/>
            <w:tcBorders>
              <w:bottom w:val="nil"/>
            </w:tcBorders>
          </w:tcPr>
          <w:p w14:paraId="44609C2C"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82</w:t>
            </w:r>
          </w:p>
        </w:tc>
      </w:tr>
      <w:tr w:rsidR="00824558" w:rsidRPr="006474AD" w14:paraId="357B3B1D" w14:textId="77777777" w:rsidTr="008A6CF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4E78C0" w14:textId="5922236B" w:rsidR="00824558" w:rsidRPr="003C77B5" w:rsidRDefault="00824558">
            <w:pPr>
              <w:ind w:left="170"/>
              <w:rPr>
                <w:i/>
                <w:iCs/>
              </w:rPr>
            </w:pPr>
            <w:r w:rsidRPr="003C77B5">
              <w:rPr>
                <w:i/>
                <w:iCs/>
              </w:rPr>
              <w:t xml:space="preserve">The </w:t>
            </w:r>
            <w:r w:rsidR="008F7A05">
              <w:rPr>
                <w:i/>
                <w:iCs/>
              </w:rPr>
              <w:t>2025-26</w:t>
            </w:r>
            <w:r w:rsidRPr="003C77B5">
              <w:rPr>
                <w:i/>
                <w:iCs/>
              </w:rPr>
              <w:t xml:space="preserve"> expected outcome is lower than the </w:t>
            </w:r>
            <w:r w:rsidR="008F7A05">
              <w:rPr>
                <w:i/>
                <w:iCs/>
              </w:rPr>
              <w:t>2025-26</w:t>
            </w:r>
            <w:r w:rsidRPr="003C77B5">
              <w:rPr>
                <w:i/>
                <w:iCs/>
              </w:rPr>
              <w:t xml:space="preserve"> target due to changing customer expectations for personalised, AI-generated information, which is increasing in prevalence with AI overviews in search engines and publicly available AI chatbots.</w:t>
            </w:r>
          </w:p>
        </w:tc>
      </w:tr>
      <w:tr w:rsidR="00824558" w:rsidRPr="00A9225F" w14:paraId="77341E4A" w14:textId="77777777" w:rsidTr="008A6CF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3978773" w14:textId="77777777" w:rsidR="00824558" w:rsidRPr="00A9225F" w:rsidRDefault="00824558">
            <w:pPr>
              <w:keepNext/>
              <w:rPr>
                <w:b/>
              </w:rPr>
            </w:pPr>
            <w:r w:rsidRPr="00A9225F">
              <w:rPr>
                <w:b/>
              </w:rPr>
              <w:t>Timeliness</w:t>
            </w:r>
          </w:p>
        </w:tc>
      </w:tr>
      <w:tr w:rsidR="00824558" w:rsidRPr="006474AD" w14:paraId="0C608F11"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257B0315" w14:textId="77777777" w:rsidR="00824558" w:rsidRPr="006474AD" w:rsidRDefault="00824558">
            <w:pPr>
              <w:keepNext/>
              <w:ind w:left="170"/>
            </w:pPr>
            <w:r w:rsidRPr="006474AD">
              <w:t>Average response time by the Victorian Government Contact Centre (phone and webchat contacts)</w:t>
            </w:r>
          </w:p>
        </w:tc>
        <w:tc>
          <w:tcPr>
            <w:tcW w:w="964" w:type="dxa"/>
          </w:tcPr>
          <w:p w14:paraId="7B31FC64"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minutes</w:t>
            </w:r>
          </w:p>
        </w:tc>
        <w:tc>
          <w:tcPr>
            <w:tcW w:w="964" w:type="dxa"/>
            <w:shd w:val="clear" w:color="auto" w:fill="F0F0F0"/>
          </w:tcPr>
          <w:p w14:paraId="47AC7845" w14:textId="46AA2960"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&lt;</w:t>
            </w:r>
            <w:r w:rsidR="0017507E">
              <w:t xml:space="preserve"> </w:t>
            </w:r>
            <w:r w:rsidRPr="006474AD">
              <w:t>5</w:t>
            </w:r>
          </w:p>
        </w:tc>
        <w:tc>
          <w:tcPr>
            <w:tcW w:w="964" w:type="dxa"/>
          </w:tcPr>
          <w:p w14:paraId="3E8ED74B"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nm</w:t>
            </w:r>
          </w:p>
        </w:tc>
        <w:tc>
          <w:tcPr>
            <w:tcW w:w="964" w:type="dxa"/>
          </w:tcPr>
          <w:p w14:paraId="08E62520"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nm</w:t>
            </w:r>
          </w:p>
        </w:tc>
        <w:tc>
          <w:tcPr>
            <w:tcW w:w="964" w:type="dxa"/>
          </w:tcPr>
          <w:p w14:paraId="002AFE0B"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nm</w:t>
            </w:r>
          </w:p>
        </w:tc>
      </w:tr>
      <w:tr w:rsidR="00824558" w:rsidRPr="006474AD" w14:paraId="65789033"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F5D32F3" w14:textId="77777777" w:rsidR="00824558" w:rsidRPr="006474AD" w:rsidRDefault="00824558">
            <w:pPr>
              <w:ind w:left="170"/>
            </w:pPr>
            <w:r w:rsidRPr="006474AD">
              <w:rPr>
                <w:i/>
              </w:rPr>
              <w:t>New performance measure for 2026-27 to provide greater visibility of Victorian Government Contact Centre performance.</w:t>
            </w:r>
          </w:p>
        </w:tc>
      </w:tr>
      <w:tr w:rsidR="00824558" w:rsidRPr="006474AD" w14:paraId="2B489284"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5D40CFDD" w14:textId="77777777" w:rsidR="00824558" w:rsidRPr="006474AD" w:rsidRDefault="00824558">
            <w:pPr>
              <w:keepNext/>
              <w:ind w:left="170"/>
            </w:pPr>
            <w:r w:rsidRPr="006474AD">
              <w:t>Percentage of compliant applications for birth, death and marriage certificates processed within agreed timeframes</w:t>
            </w:r>
          </w:p>
        </w:tc>
        <w:tc>
          <w:tcPr>
            <w:tcW w:w="964" w:type="dxa"/>
          </w:tcPr>
          <w:p w14:paraId="1A733B3D" w14:textId="77777777" w:rsidR="00824558" w:rsidRPr="006474AD" w:rsidRDefault="00824558">
            <w:pPr>
              <w:jc w:val="center"/>
              <w:cnfStyle w:val="000000000000" w:firstRow="0" w:lastRow="0" w:firstColumn="0" w:lastColumn="0" w:oddVBand="0" w:evenVBand="0" w:oddHBand="0" w:evenHBand="0" w:firstRowFirstColumn="0" w:firstRowLastColumn="0" w:lastRowFirstColumn="0" w:lastRowLastColumn="0"/>
            </w:pPr>
            <w:r w:rsidRPr="006474AD">
              <w:t>per cent</w:t>
            </w:r>
          </w:p>
        </w:tc>
        <w:tc>
          <w:tcPr>
            <w:tcW w:w="964" w:type="dxa"/>
            <w:shd w:val="clear" w:color="auto" w:fill="F0F0F0"/>
          </w:tcPr>
          <w:p w14:paraId="51B4407E"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90</w:t>
            </w:r>
          </w:p>
        </w:tc>
        <w:tc>
          <w:tcPr>
            <w:tcW w:w="964" w:type="dxa"/>
          </w:tcPr>
          <w:p w14:paraId="0B1AF77F"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90</w:t>
            </w:r>
          </w:p>
        </w:tc>
        <w:tc>
          <w:tcPr>
            <w:tcW w:w="964" w:type="dxa"/>
          </w:tcPr>
          <w:p w14:paraId="24956ED2"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90</w:t>
            </w:r>
          </w:p>
        </w:tc>
        <w:tc>
          <w:tcPr>
            <w:tcW w:w="964" w:type="dxa"/>
          </w:tcPr>
          <w:p w14:paraId="13C94429" w14:textId="77777777" w:rsidR="00824558" w:rsidRPr="006474AD" w:rsidRDefault="00824558">
            <w:pPr>
              <w:cnfStyle w:val="000000000000" w:firstRow="0" w:lastRow="0" w:firstColumn="0" w:lastColumn="0" w:oddVBand="0" w:evenVBand="0" w:oddHBand="0" w:evenHBand="0" w:firstRowFirstColumn="0" w:firstRowLastColumn="0" w:lastRowFirstColumn="0" w:lastRowLastColumn="0"/>
            </w:pPr>
            <w:r w:rsidRPr="006474AD">
              <w:t>91</w:t>
            </w:r>
          </w:p>
        </w:tc>
      </w:tr>
      <w:tr w:rsidR="00824558" w14:paraId="49DBD17F"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299F95" w14:textId="3761381A" w:rsidR="00824558" w:rsidRPr="006474AD" w:rsidRDefault="00824558">
            <w:pPr>
              <w:ind w:left="170"/>
            </w:pPr>
            <w:r w:rsidRPr="006474AD">
              <w:rPr>
                <w:i/>
              </w:rPr>
              <w:t xml:space="preserve">This performance measure was transferred from </w:t>
            </w:r>
            <w:r w:rsidR="007942D1">
              <w:rPr>
                <w:i/>
              </w:rPr>
              <w:t>‘</w:t>
            </w:r>
            <w:r w:rsidRPr="006474AD">
              <w:rPr>
                <w:i/>
              </w:rPr>
              <w:t>Identity and worker screening services</w:t>
            </w:r>
            <w:r w:rsidR="007942D1">
              <w:rPr>
                <w:i/>
              </w:rPr>
              <w:t>’</w:t>
            </w:r>
            <w:r w:rsidRPr="006474AD">
              <w:rPr>
                <w:i/>
              </w:rPr>
              <w:t xml:space="preserve"> output to </w:t>
            </w:r>
            <w:r w:rsidR="007942D1">
              <w:rPr>
                <w:i/>
              </w:rPr>
              <w:t>‘</w:t>
            </w:r>
            <w:r w:rsidRPr="006474AD">
              <w:rPr>
                <w:i/>
              </w:rPr>
              <w:t xml:space="preserve">Customer </w:t>
            </w:r>
            <w:r>
              <w:rPr>
                <w:i/>
              </w:rPr>
              <w:t>S</w:t>
            </w:r>
            <w:r w:rsidRPr="006474AD">
              <w:rPr>
                <w:i/>
              </w:rPr>
              <w:t>ervices to the Community</w:t>
            </w:r>
            <w:r w:rsidR="007942D1">
              <w:rPr>
                <w:i/>
              </w:rPr>
              <w:t>’</w:t>
            </w:r>
            <w:r w:rsidRPr="006474AD">
              <w:rPr>
                <w:i/>
              </w:rPr>
              <w:t xml:space="preserve"> output. The change reflects the Identity and worker screening services output being discontinued due to machinery of government changes impacting this output.</w:t>
            </w:r>
          </w:p>
        </w:tc>
      </w:tr>
      <w:tr w:rsidR="00824558" w:rsidRPr="00A9225F" w14:paraId="69EE1D83"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1100E216" w14:textId="77777777" w:rsidR="00824558" w:rsidRPr="00A9225F" w:rsidRDefault="00824558">
            <w:pPr>
              <w:keepNext/>
              <w:rPr>
                <w:b/>
              </w:rPr>
            </w:pPr>
            <w:r w:rsidRPr="00A9225F">
              <w:rPr>
                <w:b/>
              </w:rPr>
              <w:t>Cost</w:t>
            </w:r>
          </w:p>
        </w:tc>
      </w:tr>
      <w:tr w:rsidR="00824558" w14:paraId="54467D56" w14:textId="77777777" w:rsidTr="00957C84">
        <w:tc>
          <w:tcPr>
            <w:cnfStyle w:val="001000000000" w:firstRow="0" w:lastRow="0" w:firstColumn="1" w:lastColumn="0" w:oddVBand="0" w:evenVBand="0" w:oddHBand="0" w:evenHBand="0" w:firstRowFirstColumn="0" w:firstRowLastColumn="0" w:lastRowFirstColumn="0" w:lastRowLastColumn="0"/>
            <w:tcW w:w="4819" w:type="dxa"/>
          </w:tcPr>
          <w:p w14:paraId="6EEF1B48" w14:textId="77777777" w:rsidR="00824558" w:rsidRDefault="00824558">
            <w:pPr>
              <w:keepNext/>
              <w:ind w:left="170"/>
            </w:pPr>
            <w:r>
              <w:t>Total output cost</w:t>
            </w:r>
          </w:p>
        </w:tc>
        <w:tc>
          <w:tcPr>
            <w:tcW w:w="964" w:type="dxa"/>
          </w:tcPr>
          <w:p w14:paraId="65F67A3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BBA65F8" w14:textId="221AD0C6" w:rsidR="00824558" w:rsidRPr="00A9225F" w:rsidRDefault="00000FC0">
            <w:pPr>
              <w:cnfStyle w:val="000000000000" w:firstRow="0" w:lastRow="0" w:firstColumn="0" w:lastColumn="0" w:oddVBand="0" w:evenVBand="0" w:oddHBand="0" w:evenHBand="0" w:firstRowFirstColumn="0" w:firstRowLastColumn="0" w:lastRowFirstColumn="0" w:lastRowLastColumn="0"/>
              <w:rPr>
                <w:highlight w:val="yellow"/>
              </w:rPr>
            </w:pPr>
            <w:r>
              <w:t>65.9</w:t>
            </w:r>
          </w:p>
        </w:tc>
        <w:tc>
          <w:tcPr>
            <w:tcW w:w="964" w:type="dxa"/>
          </w:tcPr>
          <w:p w14:paraId="78E6AF76" w14:textId="1CEDDF32" w:rsidR="00824558" w:rsidRPr="00A9225F" w:rsidRDefault="00957C84">
            <w:pPr>
              <w:cnfStyle w:val="000000000000" w:firstRow="0" w:lastRow="0" w:firstColumn="0" w:lastColumn="0" w:oddVBand="0" w:evenVBand="0" w:oddHBand="0" w:evenHBand="0" w:firstRowFirstColumn="0" w:firstRowLastColumn="0" w:lastRowFirstColumn="0" w:lastRowLastColumn="0"/>
              <w:rPr>
                <w:highlight w:val="yellow"/>
              </w:rPr>
            </w:pPr>
            <w:r>
              <w:t>108.2</w:t>
            </w:r>
          </w:p>
        </w:tc>
        <w:tc>
          <w:tcPr>
            <w:tcW w:w="964" w:type="dxa"/>
          </w:tcPr>
          <w:p w14:paraId="44E62FF0" w14:textId="7FD96575" w:rsidR="00824558" w:rsidRDefault="00E7653A">
            <w:pPr>
              <w:cnfStyle w:val="000000000000" w:firstRow="0" w:lastRow="0" w:firstColumn="0" w:lastColumn="0" w:oddVBand="0" w:evenVBand="0" w:oddHBand="0" w:evenHBand="0" w:firstRowFirstColumn="0" w:firstRowLastColumn="0" w:lastRowFirstColumn="0" w:lastRowLastColumn="0"/>
            </w:pPr>
            <w:r>
              <w:t>86.2</w:t>
            </w:r>
          </w:p>
        </w:tc>
        <w:tc>
          <w:tcPr>
            <w:tcW w:w="964" w:type="dxa"/>
          </w:tcPr>
          <w:p w14:paraId="4DC9DD95" w14:textId="52162CAB" w:rsidR="00824558" w:rsidRDefault="00E7653A">
            <w:pPr>
              <w:cnfStyle w:val="000000000000" w:firstRow="0" w:lastRow="0" w:firstColumn="0" w:lastColumn="0" w:oddVBand="0" w:evenVBand="0" w:oddHBand="0" w:evenHBand="0" w:firstRowFirstColumn="0" w:firstRowLastColumn="0" w:lastRowFirstColumn="0" w:lastRowLastColumn="0"/>
            </w:pPr>
            <w:r>
              <w:t>114.3</w:t>
            </w:r>
          </w:p>
        </w:tc>
      </w:tr>
      <w:tr w:rsidR="00162563" w14:paraId="17C8B7C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5480A87" w14:textId="4700B67B" w:rsidR="00162563" w:rsidRPr="00967792" w:rsidRDefault="00967792" w:rsidP="00967792">
            <w:pPr>
              <w:ind w:left="170"/>
              <w:rPr>
                <w:i/>
                <w:iCs/>
              </w:rPr>
            </w:pPr>
            <w:r w:rsidRPr="00967792">
              <w:rPr>
                <w:i/>
              </w:rPr>
              <w:t>The 2025</w:t>
            </w:r>
            <w:r w:rsidR="00383570">
              <w:rPr>
                <w:i/>
              </w:rPr>
              <w:t>-</w:t>
            </w:r>
            <w:r w:rsidRPr="00967792">
              <w:rPr>
                <w:i/>
              </w:rPr>
              <w:t>26 expected outcome is higher than the 2025</w:t>
            </w:r>
            <w:r w:rsidR="00383570">
              <w:rPr>
                <w:i/>
              </w:rPr>
              <w:t>-</w:t>
            </w:r>
            <w:r w:rsidRPr="00967792">
              <w:rPr>
                <w:i/>
              </w:rPr>
              <w:t xml:space="preserve">26 target due to additional funding provided </w:t>
            </w:r>
            <w:r w:rsidR="00BD6CB2" w:rsidRPr="00BD6CB2">
              <w:rPr>
                <w:i/>
              </w:rPr>
              <w:t>to strengthen child safety</w:t>
            </w:r>
            <w:r w:rsidRPr="00967792">
              <w:rPr>
                <w:i/>
              </w:rPr>
              <w:t xml:space="preserve"> and higher than expected demand for BDM products. The 2025-26 target differs from the target published in the </w:t>
            </w:r>
            <w:r w:rsidRPr="002D14FE">
              <w:t xml:space="preserve">2025-26 </w:t>
            </w:r>
            <w:r w:rsidR="002D14FE" w:rsidRPr="002D14FE">
              <w:rPr>
                <w:iCs/>
              </w:rPr>
              <w:t>Department Performance Statement</w:t>
            </w:r>
            <w:r w:rsidRPr="00967792">
              <w:rPr>
                <w:i/>
              </w:rPr>
              <w:t xml:space="preserve"> because it now incorporates Identity and Worker Screening Services functions, which were previously included in a separate output. Note: worker screening functions have transferred to DFFH</w:t>
            </w:r>
            <w:r w:rsidR="0054334D">
              <w:rPr>
                <w:i/>
              </w:rPr>
              <w:t xml:space="preserve">, </w:t>
            </w:r>
            <w:r w:rsidR="0054334D" w:rsidRPr="005A4871">
              <w:rPr>
                <w:i/>
              </w:rPr>
              <w:t>with the outcomes</w:t>
            </w:r>
            <w:r w:rsidRPr="00967792">
              <w:rPr>
                <w:i/>
              </w:rPr>
              <w:t xml:space="preserve"> and </w:t>
            </w:r>
            <w:r w:rsidR="0054334D" w:rsidRPr="005A4871">
              <w:rPr>
                <w:i/>
              </w:rPr>
              <w:t>targets</w:t>
            </w:r>
            <w:r w:rsidRPr="00967792">
              <w:rPr>
                <w:i/>
              </w:rPr>
              <w:t xml:space="preserve"> reflected in </w:t>
            </w:r>
            <w:r w:rsidR="0054334D" w:rsidRPr="005A4871">
              <w:rPr>
                <w:i/>
              </w:rPr>
              <w:t xml:space="preserve">the DGS </w:t>
            </w:r>
            <w:r w:rsidRPr="00967792">
              <w:rPr>
                <w:i/>
              </w:rPr>
              <w:t>output</w:t>
            </w:r>
            <w:r w:rsidR="0054334D" w:rsidRPr="005A4871">
              <w:rPr>
                <w:i/>
              </w:rPr>
              <w:t xml:space="preserve"> until the </w:t>
            </w:r>
            <w:r w:rsidR="0054334D" w:rsidRPr="000535CE">
              <w:rPr>
                <w:i/>
              </w:rPr>
              <w:t xml:space="preserve">funding </w:t>
            </w:r>
            <w:r w:rsidRPr="00967792">
              <w:rPr>
                <w:i/>
              </w:rPr>
              <w:t xml:space="preserve">transfer </w:t>
            </w:r>
            <w:r w:rsidR="0054334D" w:rsidRPr="000535CE">
              <w:rPr>
                <w:i/>
              </w:rPr>
              <w:t xml:space="preserve">is finalised. </w:t>
            </w:r>
            <w:r w:rsidRPr="00967792">
              <w:rPr>
                <w:i/>
              </w:rPr>
              <w:t xml:space="preserve"> </w:t>
            </w:r>
          </w:p>
        </w:tc>
      </w:tr>
      <w:tr w:rsidR="00957C84" w14:paraId="1AD2775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6A9CAB5" w14:textId="6E520513" w:rsidR="00957C84" w:rsidRPr="00967792" w:rsidRDefault="00162563" w:rsidP="00967792">
            <w:pPr>
              <w:ind w:left="170"/>
              <w:rPr>
                <w:i/>
              </w:rPr>
            </w:pPr>
            <w:r w:rsidRPr="00967792">
              <w:rPr>
                <w:i/>
              </w:rPr>
              <w:t>The 2026</w:t>
            </w:r>
            <w:r w:rsidR="00383570">
              <w:rPr>
                <w:i/>
              </w:rPr>
              <w:t>-</w:t>
            </w:r>
            <w:r w:rsidRPr="00967792">
              <w:rPr>
                <w:i/>
              </w:rPr>
              <w:t>27 target is lower than the 2025</w:t>
            </w:r>
            <w:r w:rsidR="00383570">
              <w:rPr>
                <w:i/>
              </w:rPr>
              <w:t>-</w:t>
            </w:r>
            <w:r w:rsidRPr="00967792">
              <w:rPr>
                <w:i/>
              </w:rPr>
              <w:t>26 target as it does not yet incorporate funding for new products and services on Service Victoria.</w:t>
            </w:r>
          </w:p>
        </w:tc>
      </w:tr>
    </w:tbl>
    <w:p w14:paraId="4F3DEFAE" w14:textId="77777777" w:rsidR="00824558" w:rsidRDefault="00824558">
      <w:pPr>
        <w:pStyle w:val="Source"/>
      </w:pPr>
      <w:r>
        <w:t>Source: Department of Government Services</w:t>
      </w:r>
    </w:p>
    <w:p w14:paraId="1620B989" w14:textId="3F7B737C" w:rsidR="00824558" w:rsidRDefault="00824558">
      <w:pPr>
        <w:pStyle w:val="Heading3"/>
      </w:pPr>
      <w:r>
        <w:t xml:space="preserve">Local Government </w:t>
      </w:r>
      <w:r>
        <w:tab/>
        <w:t>(2026-27: $</w:t>
      </w:r>
      <w:r w:rsidR="0087687F">
        <w:t xml:space="preserve">73.6 </w:t>
      </w:r>
      <w:r>
        <w:t>million)</w:t>
      </w:r>
    </w:p>
    <w:p w14:paraId="007A6FA6" w14:textId="77777777" w:rsidR="00824558" w:rsidRPr="005C3729" w:rsidRDefault="00824558">
      <w:pPr>
        <w:keepNext/>
        <w:spacing w:after="120"/>
        <w:rPr>
          <w:rFonts w:cs="Calibri"/>
        </w:rPr>
      </w:pPr>
      <w:r w:rsidRPr="005C3729">
        <w:rPr>
          <w:rFonts w:cs="Calibri"/>
        </w:rPr>
        <w:t>This output delivers activities in partnership with the local government sector to support effective and efficient local governance, leadership, infrastructure and service provision. Through this output, the Department administers programs to support local councils to increase accountability and provide support to the Victorian Local Government Grants Commission. The Department also works with councils and the emergency management sector to enhance the emergency management capability and capacity of local government.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E03D263" w14:textId="77777777" w:rsidTr="00875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419F397" w14:textId="77777777" w:rsidR="00824558" w:rsidRDefault="00824558">
            <w:r>
              <w:t>Performance measure</w:t>
            </w:r>
          </w:p>
        </w:tc>
        <w:tc>
          <w:tcPr>
            <w:tcW w:w="964" w:type="dxa"/>
          </w:tcPr>
          <w:p w14:paraId="22A2E23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DCD2ED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38A1C2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466292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E44BC9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0C337F94"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43AAD829" w14:textId="77777777" w:rsidR="00824558" w:rsidRPr="00A9225F" w:rsidRDefault="00824558">
            <w:pPr>
              <w:keepNext/>
              <w:rPr>
                <w:b/>
              </w:rPr>
            </w:pPr>
            <w:r w:rsidRPr="00A9225F">
              <w:rPr>
                <w:b/>
              </w:rPr>
              <w:t>Quantity</w:t>
            </w:r>
          </w:p>
        </w:tc>
      </w:tr>
      <w:tr w:rsidR="00824558" w14:paraId="43E5AE0D"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EB20CB6" w14:textId="77777777" w:rsidR="00824558" w:rsidRDefault="00824558">
            <w:pPr>
              <w:ind w:left="170"/>
            </w:pPr>
            <w:r>
              <w:t>Attendance at public library community programs</w:t>
            </w:r>
          </w:p>
        </w:tc>
        <w:tc>
          <w:tcPr>
            <w:tcW w:w="964" w:type="dxa"/>
            <w:tcBorders>
              <w:bottom w:val="single" w:sz="6" w:space="0" w:color="auto"/>
            </w:tcBorders>
          </w:tcPr>
          <w:p w14:paraId="7F9E619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7A126532" w14:textId="77777777" w:rsidR="00824558" w:rsidRDefault="00824558">
            <w:pPr>
              <w:cnfStyle w:val="000000000000" w:firstRow="0" w:lastRow="0" w:firstColumn="0" w:lastColumn="0" w:oddVBand="0" w:evenVBand="0" w:oddHBand="0" w:evenHBand="0" w:firstRowFirstColumn="0" w:firstRowLastColumn="0" w:lastRowFirstColumn="0" w:lastRowLastColumn="0"/>
            </w:pPr>
            <w:r>
              <w:t>2 263</w:t>
            </w:r>
          </w:p>
        </w:tc>
        <w:tc>
          <w:tcPr>
            <w:tcW w:w="964" w:type="dxa"/>
            <w:tcBorders>
              <w:bottom w:val="single" w:sz="6" w:space="0" w:color="auto"/>
            </w:tcBorders>
          </w:tcPr>
          <w:p w14:paraId="2EC127E0" w14:textId="77777777" w:rsidR="00824558" w:rsidRDefault="00824558">
            <w:pPr>
              <w:cnfStyle w:val="000000000000" w:firstRow="0" w:lastRow="0" w:firstColumn="0" w:lastColumn="0" w:oddVBand="0" w:evenVBand="0" w:oddHBand="0" w:evenHBand="0" w:firstRowFirstColumn="0" w:firstRowLastColumn="0" w:lastRowFirstColumn="0" w:lastRowLastColumn="0"/>
            </w:pPr>
            <w:r>
              <w:t>2 263</w:t>
            </w:r>
          </w:p>
        </w:tc>
        <w:tc>
          <w:tcPr>
            <w:tcW w:w="964" w:type="dxa"/>
            <w:tcBorders>
              <w:bottom w:val="single" w:sz="6" w:space="0" w:color="auto"/>
            </w:tcBorders>
          </w:tcPr>
          <w:p w14:paraId="432387D4" w14:textId="77777777" w:rsidR="00824558" w:rsidRDefault="00824558">
            <w:pPr>
              <w:cnfStyle w:val="000000000000" w:firstRow="0" w:lastRow="0" w:firstColumn="0" w:lastColumn="0" w:oddVBand="0" w:evenVBand="0" w:oddHBand="0" w:evenHBand="0" w:firstRowFirstColumn="0" w:firstRowLastColumn="0" w:lastRowFirstColumn="0" w:lastRowLastColumn="0"/>
            </w:pPr>
            <w:r>
              <w:t>2 263</w:t>
            </w:r>
          </w:p>
        </w:tc>
        <w:tc>
          <w:tcPr>
            <w:tcW w:w="964" w:type="dxa"/>
            <w:tcBorders>
              <w:bottom w:val="single" w:sz="6" w:space="0" w:color="auto"/>
            </w:tcBorders>
          </w:tcPr>
          <w:p w14:paraId="451EA67C" w14:textId="77777777" w:rsidR="00824558" w:rsidRDefault="00824558">
            <w:pPr>
              <w:cnfStyle w:val="000000000000" w:firstRow="0" w:lastRow="0" w:firstColumn="0" w:lastColumn="0" w:oddVBand="0" w:evenVBand="0" w:oddHBand="0" w:evenHBand="0" w:firstRowFirstColumn="0" w:firstRowLastColumn="0" w:lastRowFirstColumn="0" w:lastRowLastColumn="0"/>
            </w:pPr>
            <w:r>
              <w:t>2 140</w:t>
            </w:r>
          </w:p>
        </w:tc>
      </w:tr>
      <w:tr w:rsidR="00824558" w14:paraId="7DB96424"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D52FBBE" w14:textId="77777777" w:rsidR="00824558" w:rsidRDefault="00824558">
            <w:pPr>
              <w:ind w:left="170"/>
            </w:pPr>
            <w:r>
              <w:t>Councils with approved roadside weeds and pests control plan</w:t>
            </w:r>
          </w:p>
        </w:tc>
        <w:tc>
          <w:tcPr>
            <w:tcW w:w="964" w:type="dxa"/>
            <w:tcBorders>
              <w:bottom w:val="single" w:sz="6" w:space="0" w:color="auto"/>
            </w:tcBorders>
          </w:tcPr>
          <w:p w14:paraId="53908BC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B4E3BE2"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335C45F6"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75F4C7C1"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4AA02BB4"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r>
      <w:tr w:rsidR="00824558" w14:paraId="66304997"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C43AB6B" w14:textId="77777777" w:rsidR="00824558" w:rsidRDefault="00824558">
            <w:pPr>
              <w:ind w:left="170"/>
            </w:pPr>
            <w:r>
              <w:t>Meetings held with Victorian councils regarding the Victorian Local Government Grants Commission financial assistance grants allocation model</w:t>
            </w:r>
          </w:p>
        </w:tc>
        <w:tc>
          <w:tcPr>
            <w:tcW w:w="964" w:type="dxa"/>
            <w:tcBorders>
              <w:bottom w:val="single" w:sz="6" w:space="0" w:color="auto"/>
            </w:tcBorders>
          </w:tcPr>
          <w:p w14:paraId="5B1408E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AA66860"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Borders>
              <w:bottom w:val="single" w:sz="6" w:space="0" w:color="auto"/>
            </w:tcBorders>
          </w:tcPr>
          <w:p w14:paraId="4CFEF847"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Borders>
              <w:bottom w:val="single" w:sz="6" w:space="0" w:color="auto"/>
            </w:tcBorders>
          </w:tcPr>
          <w:p w14:paraId="6C87879E"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Borders>
              <w:bottom w:val="single" w:sz="6" w:space="0" w:color="auto"/>
            </w:tcBorders>
          </w:tcPr>
          <w:p w14:paraId="266AB1B6"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r>
      <w:tr w:rsidR="00824558" w14:paraId="0021E4CE"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658401B7" w14:textId="77777777" w:rsidR="00824558" w:rsidRDefault="00824558">
            <w:pPr>
              <w:keepNext/>
              <w:ind w:left="170"/>
            </w:pPr>
            <w:r>
              <w:t>Number of public library collection items (digital and physical)</w:t>
            </w:r>
          </w:p>
        </w:tc>
        <w:tc>
          <w:tcPr>
            <w:tcW w:w="964" w:type="dxa"/>
          </w:tcPr>
          <w:p w14:paraId="1442BDD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5F79E4AE"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6246BF8D"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4F2F63FB"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681B734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A7AFFEA"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5351EF" w14:textId="42E1A64B" w:rsidR="00824558" w:rsidRDefault="00824558">
            <w:pPr>
              <w:ind w:left="170"/>
            </w:pPr>
            <w:r>
              <w:rPr>
                <w:i/>
              </w:rPr>
              <w:t xml:space="preserve">This performance measure renames the </w:t>
            </w:r>
            <w:r w:rsidR="008F7A05">
              <w:rPr>
                <w:i/>
              </w:rPr>
              <w:t>2025-26</w:t>
            </w:r>
            <w:r>
              <w:rPr>
                <w:i/>
              </w:rPr>
              <w:t xml:space="preserve"> performance measure </w:t>
            </w:r>
            <w:r w:rsidR="007942D1">
              <w:rPr>
                <w:i/>
              </w:rPr>
              <w:t>‘</w:t>
            </w:r>
            <w:r>
              <w:rPr>
                <w:i/>
              </w:rPr>
              <w:t>Number of collection items (digital and physical)</w:t>
            </w:r>
            <w:r w:rsidR="007942D1">
              <w:rPr>
                <w:i/>
              </w:rPr>
              <w:t>’</w:t>
            </w:r>
            <w:r>
              <w:rPr>
                <w:i/>
              </w:rPr>
              <w:t xml:space="preserve">. The new measure reports on the same activity as the previous measure; however, it has been amended for increased clarity. </w:t>
            </w:r>
          </w:p>
        </w:tc>
      </w:tr>
      <w:tr w:rsidR="00824558" w14:paraId="30104B7A" w14:textId="77777777" w:rsidTr="00875C68">
        <w:tc>
          <w:tcPr>
            <w:cnfStyle w:val="001000000000" w:firstRow="0" w:lastRow="0" w:firstColumn="1" w:lastColumn="0" w:oddVBand="0" w:evenVBand="0" w:oddHBand="0" w:evenHBand="0" w:firstRowFirstColumn="0" w:firstRowLastColumn="0" w:lastRowFirstColumn="0" w:lastRowLastColumn="0"/>
            <w:tcW w:w="4819" w:type="dxa"/>
          </w:tcPr>
          <w:p w14:paraId="4BB87DD0" w14:textId="77777777" w:rsidR="00824558" w:rsidRDefault="00824558">
            <w:pPr>
              <w:keepNext/>
              <w:ind w:left="170"/>
            </w:pPr>
            <w:r>
              <w:t>Number of public library loans (digital and physical)</w:t>
            </w:r>
          </w:p>
        </w:tc>
        <w:tc>
          <w:tcPr>
            <w:tcW w:w="964" w:type="dxa"/>
          </w:tcPr>
          <w:p w14:paraId="7FBF6B2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6D7F9CA6" w14:textId="77777777" w:rsidR="00824558" w:rsidRDefault="00824558">
            <w:pPr>
              <w:cnfStyle w:val="000000000000" w:firstRow="0" w:lastRow="0" w:firstColumn="0" w:lastColumn="0" w:oddVBand="0" w:evenVBand="0" w:oddHBand="0" w:evenHBand="0" w:firstRowFirstColumn="0" w:firstRowLastColumn="0" w:lastRowFirstColumn="0" w:lastRowLastColumn="0"/>
            </w:pPr>
            <w:r>
              <w:t>44.4</w:t>
            </w:r>
          </w:p>
        </w:tc>
        <w:tc>
          <w:tcPr>
            <w:tcW w:w="964" w:type="dxa"/>
          </w:tcPr>
          <w:p w14:paraId="53A97D85" w14:textId="77777777" w:rsidR="00824558" w:rsidRDefault="00824558">
            <w:pPr>
              <w:cnfStyle w:val="000000000000" w:firstRow="0" w:lastRow="0" w:firstColumn="0" w:lastColumn="0" w:oddVBand="0" w:evenVBand="0" w:oddHBand="0" w:evenHBand="0" w:firstRowFirstColumn="0" w:firstRowLastColumn="0" w:lastRowFirstColumn="0" w:lastRowLastColumn="0"/>
            </w:pPr>
            <w:r>
              <w:t>44.4</w:t>
            </w:r>
          </w:p>
        </w:tc>
        <w:tc>
          <w:tcPr>
            <w:tcW w:w="964" w:type="dxa"/>
          </w:tcPr>
          <w:p w14:paraId="284142D7" w14:textId="77777777" w:rsidR="00824558" w:rsidRDefault="00824558">
            <w:pPr>
              <w:cnfStyle w:val="000000000000" w:firstRow="0" w:lastRow="0" w:firstColumn="0" w:lastColumn="0" w:oddVBand="0" w:evenVBand="0" w:oddHBand="0" w:evenHBand="0" w:firstRowFirstColumn="0" w:firstRowLastColumn="0" w:lastRowFirstColumn="0" w:lastRowLastColumn="0"/>
            </w:pPr>
            <w:r>
              <w:t>44.4</w:t>
            </w:r>
          </w:p>
        </w:tc>
        <w:tc>
          <w:tcPr>
            <w:tcW w:w="964" w:type="dxa"/>
          </w:tcPr>
          <w:p w14:paraId="6AADFEA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D9B1370"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C2C613B" w14:textId="76720DA8" w:rsidR="00824558" w:rsidRDefault="00824558">
            <w:pPr>
              <w:ind w:left="170"/>
            </w:pPr>
            <w:r>
              <w:rPr>
                <w:i/>
              </w:rPr>
              <w:t xml:space="preserve">This performance measure renames the </w:t>
            </w:r>
            <w:r w:rsidR="008F7A05">
              <w:rPr>
                <w:i/>
              </w:rPr>
              <w:t>2025-26</w:t>
            </w:r>
            <w:r>
              <w:rPr>
                <w:i/>
              </w:rPr>
              <w:t xml:space="preserve"> performance measure </w:t>
            </w:r>
            <w:r w:rsidR="007942D1">
              <w:rPr>
                <w:i/>
              </w:rPr>
              <w:t>‘</w:t>
            </w:r>
            <w:r>
              <w:rPr>
                <w:i/>
              </w:rPr>
              <w:t>Number of loans (digital and physical)</w:t>
            </w:r>
            <w:r w:rsidR="007942D1">
              <w:rPr>
                <w:i/>
              </w:rPr>
              <w:t>’</w:t>
            </w:r>
            <w:r>
              <w:rPr>
                <w:i/>
              </w:rPr>
              <w:t>. The new measure reports on the same activity as the previous measure; however, it has been amended for increased clarity.</w:t>
            </w:r>
          </w:p>
        </w:tc>
      </w:tr>
      <w:tr w:rsidR="00824558" w:rsidRPr="00A9225F" w14:paraId="730D5979"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51458508" w14:textId="77777777" w:rsidR="00824558" w:rsidRPr="00A9225F" w:rsidRDefault="00824558">
            <w:pPr>
              <w:keepNext/>
              <w:rPr>
                <w:b/>
              </w:rPr>
            </w:pPr>
            <w:r w:rsidRPr="00A9225F">
              <w:rPr>
                <w:b/>
              </w:rPr>
              <w:t>Quality</w:t>
            </w:r>
          </w:p>
        </w:tc>
      </w:tr>
      <w:tr w:rsidR="00824558" w14:paraId="75D209A8"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22E616E" w14:textId="77777777" w:rsidR="00824558" w:rsidRDefault="00824558">
            <w:pPr>
              <w:ind w:left="170"/>
            </w:pPr>
            <w:r>
              <w:t>Council satisfaction with the guidance and advice received from Local Government Victoria in relation to financial and performance planning and reporting</w:t>
            </w:r>
          </w:p>
        </w:tc>
        <w:tc>
          <w:tcPr>
            <w:tcW w:w="964" w:type="dxa"/>
            <w:tcBorders>
              <w:bottom w:val="single" w:sz="6" w:space="0" w:color="auto"/>
            </w:tcBorders>
          </w:tcPr>
          <w:p w14:paraId="285C97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31F4CA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2CC267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CED6D5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B898577"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rsidRPr="00A9225F" w14:paraId="6C66D729"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15C973A9" w14:textId="77777777" w:rsidR="00824558" w:rsidRPr="00A9225F" w:rsidRDefault="00824558">
            <w:pPr>
              <w:keepNext/>
              <w:rPr>
                <w:b/>
              </w:rPr>
            </w:pPr>
            <w:r w:rsidRPr="00A9225F">
              <w:rPr>
                <w:b/>
              </w:rPr>
              <w:lastRenderedPageBreak/>
              <w:t>Timeliness</w:t>
            </w:r>
          </w:p>
        </w:tc>
      </w:tr>
      <w:tr w:rsidR="00824558" w14:paraId="0C84662A"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05925A6" w14:textId="77777777" w:rsidR="00824558" w:rsidRDefault="00824558">
            <w:pPr>
              <w:ind w:left="170"/>
            </w:pPr>
            <w:r>
              <w:t>Percentage of eligible Municipal Emergency Resource Program grant payments made within agreed timeframe</w:t>
            </w:r>
          </w:p>
        </w:tc>
        <w:tc>
          <w:tcPr>
            <w:tcW w:w="964" w:type="dxa"/>
            <w:tcBorders>
              <w:bottom w:val="single" w:sz="6" w:space="0" w:color="auto"/>
            </w:tcBorders>
          </w:tcPr>
          <w:p w14:paraId="37061E8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0CF11D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2EC404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C6B594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D4C206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1636EBB"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E502310" w14:textId="77777777" w:rsidR="00824558" w:rsidRDefault="00824558">
            <w:pPr>
              <w:ind w:left="170"/>
            </w:pPr>
            <w:r>
              <w:t>Percentage of eligible Public Libraries Funding Program payments made within agreed timeframe</w:t>
            </w:r>
          </w:p>
        </w:tc>
        <w:tc>
          <w:tcPr>
            <w:tcW w:w="964" w:type="dxa"/>
            <w:tcBorders>
              <w:bottom w:val="single" w:sz="6" w:space="0" w:color="auto"/>
            </w:tcBorders>
          </w:tcPr>
          <w:p w14:paraId="735DF36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509BE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D79B7C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18BEC1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FECFAE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264EF11D"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9BAF7C" w14:textId="77777777" w:rsidR="00824558" w:rsidRDefault="00824558">
            <w:pPr>
              <w:ind w:left="170"/>
            </w:pPr>
            <w:r>
              <w:t>Percentage of eligible Roadside Weeds and Pests program grant payments made within agreed timeframes</w:t>
            </w:r>
          </w:p>
        </w:tc>
        <w:tc>
          <w:tcPr>
            <w:tcW w:w="964" w:type="dxa"/>
            <w:tcBorders>
              <w:bottom w:val="single" w:sz="6" w:space="0" w:color="auto"/>
            </w:tcBorders>
          </w:tcPr>
          <w:p w14:paraId="15A800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92F40A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4D0CD1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957E30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BAEA72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120E7B75"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D84A1B4" w14:textId="77777777" w:rsidR="00824558" w:rsidRDefault="00824558">
            <w:pPr>
              <w:ind w:left="170"/>
            </w:pPr>
            <w:r>
              <w:t>Percentage of Victorian Local Government Grants Commission grants allocated within statutory timeframes</w:t>
            </w:r>
          </w:p>
        </w:tc>
        <w:tc>
          <w:tcPr>
            <w:tcW w:w="964" w:type="dxa"/>
            <w:tcBorders>
              <w:bottom w:val="single" w:sz="6" w:space="0" w:color="auto"/>
            </w:tcBorders>
          </w:tcPr>
          <w:p w14:paraId="243C4AC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80CE28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15BE82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DE705F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2DC21E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A9225F" w14:paraId="18ACA7DD"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50A302BB" w14:textId="77777777" w:rsidR="00824558" w:rsidRPr="00A9225F" w:rsidRDefault="00824558">
            <w:pPr>
              <w:keepNext/>
              <w:rPr>
                <w:b/>
              </w:rPr>
            </w:pPr>
            <w:r w:rsidRPr="00A9225F">
              <w:rPr>
                <w:b/>
              </w:rPr>
              <w:t>Cost</w:t>
            </w:r>
          </w:p>
        </w:tc>
      </w:tr>
      <w:tr w:rsidR="00824558" w14:paraId="5C0FE244" w14:textId="77777777" w:rsidTr="008A798E">
        <w:tc>
          <w:tcPr>
            <w:cnfStyle w:val="001000000000" w:firstRow="0" w:lastRow="0" w:firstColumn="1" w:lastColumn="0" w:oddVBand="0" w:evenVBand="0" w:oddHBand="0" w:evenHBand="0" w:firstRowFirstColumn="0" w:firstRowLastColumn="0" w:lastRowFirstColumn="0" w:lastRowLastColumn="0"/>
            <w:tcW w:w="4819" w:type="dxa"/>
          </w:tcPr>
          <w:p w14:paraId="32B07A4A" w14:textId="77777777" w:rsidR="00824558" w:rsidRDefault="00824558">
            <w:pPr>
              <w:keepNext/>
              <w:ind w:left="170"/>
            </w:pPr>
            <w:r>
              <w:t>Total output cost</w:t>
            </w:r>
          </w:p>
        </w:tc>
        <w:tc>
          <w:tcPr>
            <w:tcW w:w="964" w:type="dxa"/>
          </w:tcPr>
          <w:p w14:paraId="37503AC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BEBD297" w14:textId="444EC291" w:rsidR="00824558" w:rsidRPr="00A33DA0" w:rsidRDefault="00376EEC">
            <w:pPr>
              <w:cnfStyle w:val="000000000000" w:firstRow="0" w:lastRow="0" w:firstColumn="0" w:lastColumn="0" w:oddVBand="0" w:evenVBand="0" w:oddHBand="0" w:evenHBand="0" w:firstRowFirstColumn="0" w:firstRowLastColumn="0" w:lastRowFirstColumn="0" w:lastRowLastColumn="0"/>
              <w:rPr>
                <w:highlight w:val="yellow"/>
              </w:rPr>
            </w:pPr>
            <w:r>
              <w:t>73.6</w:t>
            </w:r>
          </w:p>
        </w:tc>
        <w:tc>
          <w:tcPr>
            <w:tcW w:w="964" w:type="dxa"/>
          </w:tcPr>
          <w:p w14:paraId="40FAACB8" w14:textId="5F70E11E" w:rsidR="00824558" w:rsidRPr="00A33DA0" w:rsidRDefault="008A798E">
            <w:pPr>
              <w:cnfStyle w:val="000000000000" w:firstRow="0" w:lastRow="0" w:firstColumn="0" w:lastColumn="0" w:oddVBand="0" w:evenVBand="0" w:oddHBand="0" w:evenHBand="0" w:firstRowFirstColumn="0" w:firstRowLastColumn="0" w:lastRowFirstColumn="0" w:lastRowLastColumn="0"/>
              <w:rPr>
                <w:highlight w:val="yellow"/>
              </w:rPr>
            </w:pPr>
            <w:r>
              <w:t>80.1</w:t>
            </w:r>
          </w:p>
        </w:tc>
        <w:tc>
          <w:tcPr>
            <w:tcW w:w="964" w:type="dxa"/>
          </w:tcPr>
          <w:p w14:paraId="6BC0DBB8" w14:textId="77777777" w:rsidR="00824558" w:rsidRDefault="00824558">
            <w:pPr>
              <w:cnfStyle w:val="000000000000" w:firstRow="0" w:lastRow="0" w:firstColumn="0" w:lastColumn="0" w:oddVBand="0" w:evenVBand="0" w:oddHBand="0" w:evenHBand="0" w:firstRowFirstColumn="0" w:firstRowLastColumn="0" w:lastRowFirstColumn="0" w:lastRowLastColumn="0"/>
            </w:pPr>
            <w:r>
              <w:t>63.4</w:t>
            </w:r>
          </w:p>
        </w:tc>
        <w:tc>
          <w:tcPr>
            <w:tcW w:w="964" w:type="dxa"/>
          </w:tcPr>
          <w:p w14:paraId="60BA099E" w14:textId="77777777" w:rsidR="00824558" w:rsidRDefault="00824558">
            <w:pPr>
              <w:cnfStyle w:val="000000000000" w:firstRow="0" w:lastRow="0" w:firstColumn="0" w:lastColumn="0" w:oddVBand="0" w:evenVBand="0" w:oddHBand="0" w:evenHBand="0" w:firstRowFirstColumn="0" w:firstRowLastColumn="0" w:lastRowFirstColumn="0" w:lastRowLastColumn="0"/>
            </w:pPr>
            <w:r>
              <w:t>94.8</w:t>
            </w:r>
          </w:p>
        </w:tc>
      </w:tr>
      <w:tr w:rsidR="00AD2218" w14:paraId="4AE827C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B6A5FC0" w14:textId="3287841D" w:rsidR="00AD2218" w:rsidRDefault="00662E8E" w:rsidP="00662E8E">
            <w:pPr>
              <w:ind w:left="170"/>
            </w:pPr>
            <w:r w:rsidRPr="00662E8E">
              <w:rPr>
                <w:i/>
              </w:rPr>
              <w:t>The 2025-26 expected outcome is higher than the target, due to once-off funding for the Council Support Fund for relief and recovery from Victorian bushfires and storms, and funding for the Public Libraries program.</w:t>
            </w:r>
          </w:p>
        </w:tc>
      </w:tr>
      <w:tr w:rsidR="008A798E" w14:paraId="6F75AFA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42DE34D" w14:textId="483803F0" w:rsidR="008A798E" w:rsidRDefault="00AD2218" w:rsidP="00662E8E">
            <w:pPr>
              <w:ind w:left="170"/>
            </w:pPr>
            <w:r w:rsidRPr="00662E8E">
              <w:rPr>
                <w:i/>
              </w:rPr>
              <w:t>The 2026</w:t>
            </w:r>
            <w:r w:rsidR="00383570">
              <w:rPr>
                <w:i/>
              </w:rPr>
              <w:t>-</w:t>
            </w:r>
            <w:r w:rsidRPr="00662E8E">
              <w:rPr>
                <w:i/>
              </w:rPr>
              <w:t>27 target is higher than the 2025</w:t>
            </w:r>
            <w:r w:rsidR="00383570">
              <w:rPr>
                <w:i/>
              </w:rPr>
              <w:t>-</w:t>
            </w:r>
            <w:r w:rsidRPr="00662E8E">
              <w:rPr>
                <w:i/>
              </w:rPr>
              <w:t xml:space="preserve">26 target due to additional funding allocated in the </w:t>
            </w:r>
            <w:r w:rsidRPr="0058743A">
              <w:t>2026</w:t>
            </w:r>
            <w:r w:rsidR="00383570" w:rsidRPr="0058743A">
              <w:t>-</w:t>
            </w:r>
            <w:r w:rsidRPr="0058743A">
              <w:t>27 Budget</w:t>
            </w:r>
            <w:r w:rsidRPr="00662E8E">
              <w:rPr>
                <w:i/>
              </w:rPr>
              <w:t xml:space="preserve"> for new initiatives, </w:t>
            </w:r>
            <w:r w:rsidRPr="00662E8E" w:rsidDel="00EB5800">
              <w:rPr>
                <w:i/>
              </w:rPr>
              <w:t xml:space="preserve">including </w:t>
            </w:r>
            <w:r w:rsidR="00A734F1" w:rsidRPr="00A734F1">
              <w:rPr>
                <w:i/>
                <w:iCs/>
              </w:rPr>
              <w:t>Minimising insecure work in the local government sector</w:t>
            </w:r>
            <w:r w:rsidR="000E7B27">
              <w:rPr>
                <w:i/>
              </w:rPr>
              <w:t xml:space="preserve"> </w:t>
            </w:r>
            <w:r w:rsidR="0010353C">
              <w:rPr>
                <w:i/>
              </w:rPr>
              <w:t>and Bushfire relief and recovery</w:t>
            </w:r>
            <w:r w:rsidRPr="00662E8E">
              <w:rPr>
                <w:i/>
              </w:rPr>
              <w:t>.</w:t>
            </w:r>
          </w:p>
        </w:tc>
      </w:tr>
    </w:tbl>
    <w:p w14:paraId="75F6FC67" w14:textId="77777777" w:rsidR="00824558" w:rsidRDefault="00824558">
      <w:pPr>
        <w:pStyle w:val="Source"/>
      </w:pPr>
      <w:r>
        <w:t>Source: Department of Government Services</w:t>
      </w:r>
    </w:p>
    <w:p w14:paraId="1F3DEE23" w14:textId="05A5618E" w:rsidR="00824558" w:rsidRDefault="00824558">
      <w:pPr>
        <w:pStyle w:val="Heading3"/>
      </w:pPr>
      <w:r>
        <w:t>Management of Victoria</w:t>
      </w:r>
      <w:r w:rsidR="007942D1">
        <w:t>’</w:t>
      </w:r>
      <w:r>
        <w:t>s Public Records</w:t>
      </w:r>
      <w:r>
        <w:tab/>
        <w:t>(2026-27: $</w:t>
      </w:r>
      <w:r w:rsidR="005D4FCD">
        <w:t>12.2</w:t>
      </w:r>
      <w:r>
        <w:t xml:space="preserve"> million)</w:t>
      </w:r>
    </w:p>
    <w:p w14:paraId="25E56BCA" w14:textId="77777777" w:rsidR="00824558" w:rsidRPr="005C3729" w:rsidRDefault="00824558">
      <w:pPr>
        <w:keepNext/>
        <w:spacing w:after="120"/>
        <w:rPr>
          <w:rFonts w:cs="Calibri"/>
        </w:rPr>
      </w:pPr>
      <w:r w:rsidRPr="005C3729">
        <w:rPr>
          <w:rFonts w:cs="Calibri"/>
        </w:rPr>
        <w:t>This output provides direction to government on the management of public records and ensures the historical memory of the Victorian Government endures, is secure and accessible.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BFA1C1A" w14:textId="77777777" w:rsidTr="00875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D64EB43" w14:textId="77777777" w:rsidR="00824558" w:rsidRDefault="00824558">
            <w:r>
              <w:t>Performance measure</w:t>
            </w:r>
          </w:p>
        </w:tc>
        <w:tc>
          <w:tcPr>
            <w:tcW w:w="964" w:type="dxa"/>
          </w:tcPr>
          <w:p w14:paraId="53A26319"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7C0965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255574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F025BC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8875CA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21256394"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5514FC71" w14:textId="77777777" w:rsidR="00824558" w:rsidRPr="00A9225F" w:rsidRDefault="00824558">
            <w:pPr>
              <w:keepNext/>
              <w:rPr>
                <w:b/>
              </w:rPr>
            </w:pPr>
            <w:r w:rsidRPr="00A9225F">
              <w:rPr>
                <w:b/>
              </w:rPr>
              <w:t>Quantity</w:t>
            </w:r>
          </w:p>
        </w:tc>
      </w:tr>
      <w:tr w:rsidR="00824558" w14:paraId="0532E51E"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269E727" w14:textId="77777777" w:rsidR="00824558" w:rsidRDefault="00824558">
            <w:pPr>
              <w:ind w:left="170"/>
            </w:pPr>
            <w:r>
              <w:t>Physical and digital records utilised by public and government users</w:t>
            </w:r>
          </w:p>
        </w:tc>
        <w:tc>
          <w:tcPr>
            <w:tcW w:w="964" w:type="dxa"/>
            <w:tcBorders>
              <w:bottom w:val="single" w:sz="6" w:space="0" w:color="auto"/>
            </w:tcBorders>
          </w:tcPr>
          <w:p w14:paraId="23D59A7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4936BCB"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4 000 000</w:t>
            </w:r>
          </w:p>
        </w:tc>
        <w:tc>
          <w:tcPr>
            <w:tcW w:w="964" w:type="dxa"/>
            <w:tcBorders>
              <w:bottom w:val="single" w:sz="6" w:space="0" w:color="auto"/>
            </w:tcBorders>
          </w:tcPr>
          <w:p w14:paraId="369B3D2A"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4 000 000</w:t>
            </w:r>
          </w:p>
        </w:tc>
        <w:tc>
          <w:tcPr>
            <w:tcW w:w="964" w:type="dxa"/>
            <w:tcBorders>
              <w:bottom w:val="single" w:sz="6" w:space="0" w:color="auto"/>
            </w:tcBorders>
          </w:tcPr>
          <w:p w14:paraId="7C8635BE"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4 000 000</w:t>
            </w:r>
          </w:p>
        </w:tc>
        <w:tc>
          <w:tcPr>
            <w:tcW w:w="964" w:type="dxa"/>
            <w:tcBorders>
              <w:bottom w:val="single" w:sz="6" w:space="0" w:color="auto"/>
            </w:tcBorders>
          </w:tcPr>
          <w:p w14:paraId="43C8B0C9" w14:textId="77777777" w:rsidR="00824558" w:rsidRDefault="00824558">
            <w:pPr>
              <w:cnfStyle w:val="000000000000" w:firstRow="0" w:lastRow="0" w:firstColumn="0" w:lastColumn="0" w:oddVBand="0" w:evenVBand="0" w:oddHBand="0" w:evenHBand="0" w:firstRowFirstColumn="0" w:firstRowLastColumn="0" w:lastRowFirstColumn="0" w:lastRowLastColumn="0"/>
            </w:pPr>
            <w:r>
              <w:t>4 208 903</w:t>
            </w:r>
          </w:p>
        </w:tc>
      </w:tr>
      <w:tr w:rsidR="00824558" w:rsidRPr="00A9225F" w14:paraId="7F1B1F12"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0C8C5810" w14:textId="77777777" w:rsidR="00824558" w:rsidRPr="00A9225F" w:rsidRDefault="00824558">
            <w:pPr>
              <w:keepNext/>
              <w:rPr>
                <w:b/>
              </w:rPr>
            </w:pPr>
            <w:r w:rsidRPr="00A9225F">
              <w:rPr>
                <w:b/>
              </w:rPr>
              <w:t>Quality</w:t>
            </w:r>
          </w:p>
        </w:tc>
      </w:tr>
      <w:tr w:rsidR="00824558" w14:paraId="248F3E24"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E83FDC2" w14:textId="77777777" w:rsidR="00824558" w:rsidRDefault="00824558">
            <w:pPr>
              <w:ind w:left="170"/>
            </w:pPr>
            <w:r>
              <w:t>Overall customer satisfaction rate for Public Record Office of Victoria services</w:t>
            </w:r>
          </w:p>
        </w:tc>
        <w:tc>
          <w:tcPr>
            <w:tcW w:w="964" w:type="dxa"/>
            <w:tcBorders>
              <w:bottom w:val="single" w:sz="6" w:space="0" w:color="auto"/>
            </w:tcBorders>
          </w:tcPr>
          <w:p w14:paraId="38AADE0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E13C71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7C9D1C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48205B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B21A3A2"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rsidRPr="00A9225F" w14:paraId="5C620721"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264FBF13" w14:textId="77777777" w:rsidR="00824558" w:rsidRPr="00A9225F" w:rsidRDefault="00824558">
            <w:pPr>
              <w:keepNext/>
              <w:rPr>
                <w:b/>
              </w:rPr>
            </w:pPr>
            <w:r w:rsidRPr="00A9225F">
              <w:rPr>
                <w:b/>
              </w:rPr>
              <w:t>Timeliness</w:t>
            </w:r>
          </w:p>
        </w:tc>
      </w:tr>
      <w:tr w:rsidR="00824558" w14:paraId="52C0DFFC"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7B864EA" w14:textId="77777777" w:rsidR="00824558" w:rsidRDefault="00824558">
            <w:pPr>
              <w:ind w:left="170"/>
            </w:pPr>
            <w:r>
              <w:t>Percentage of public records services provided within published timeframes</w:t>
            </w:r>
          </w:p>
        </w:tc>
        <w:tc>
          <w:tcPr>
            <w:tcW w:w="964" w:type="dxa"/>
            <w:tcBorders>
              <w:bottom w:val="single" w:sz="6" w:space="0" w:color="auto"/>
            </w:tcBorders>
          </w:tcPr>
          <w:p w14:paraId="38043C6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58D00C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D6373D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B60A72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5F929AE"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rsidRPr="00A9225F" w14:paraId="422901BF" w14:textId="77777777" w:rsidTr="00875C68">
        <w:tc>
          <w:tcPr>
            <w:cnfStyle w:val="001000000000" w:firstRow="0" w:lastRow="0" w:firstColumn="1" w:lastColumn="0" w:oddVBand="0" w:evenVBand="0" w:oddHBand="0" w:evenHBand="0" w:firstRowFirstColumn="0" w:firstRowLastColumn="0" w:lastRowFirstColumn="0" w:lastRowLastColumn="0"/>
            <w:tcW w:w="9639" w:type="dxa"/>
            <w:gridSpan w:val="6"/>
          </w:tcPr>
          <w:p w14:paraId="4C5DB657" w14:textId="77777777" w:rsidR="00824558" w:rsidRPr="00A9225F" w:rsidRDefault="00824558">
            <w:pPr>
              <w:keepNext/>
              <w:rPr>
                <w:b/>
              </w:rPr>
            </w:pPr>
            <w:r w:rsidRPr="00A9225F">
              <w:rPr>
                <w:b/>
              </w:rPr>
              <w:t>Cost</w:t>
            </w:r>
          </w:p>
        </w:tc>
      </w:tr>
      <w:tr w:rsidR="00824558" w14:paraId="15FE2D74" w14:textId="77777777" w:rsidTr="00875C68">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3A34C392" w14:textId="77777777" w:rsidR="00824558" w:rsidRDefault="00824558">
            <w:pPr>
              <w:keepNext/>
              <w:ind w:left="170"/>
            </w:pPr>
            <w:r>
              <w:t>Total output cost</w:t>
            </w:r>
          </w:p>
        </w:tc>
        <w:tc>
          <w:tcPr>
            <w:tcW w:w="964" w:type="dxa"/>
            <w:tcBorders>
              <w:bottom w:val="single" w:sz="12" w:space="0" w:color="auto"/>
            </w:tcBorders>
          </w:tcPr>
          <w:p w14:paraId="153F80F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404293A3" w14:textId="05ED8708" w:rsidR="00824558" w:rsidRPr="00A33DA0" w:rsidRDefault="006002DF">
            <w:pPr>
              <w:cnfStyle w:val="000000000000" w:firstRow="0" w:lastRow="0" w:firstColumn="0" w:lastColumn="0" w:oddVBand="0" w:evenVBand="0" w:oddHBand="0" w:evenHBand="0" w:firstRowFirstColumn="0" w:firstRowLastColumn="0" w:lastRowFirstColumn="0" w:lastRowLastColumn="0"/>
              <w:rPr>
                <w:highlight w:val="yellow"/>
              </w:rPr>
            </w:pPr>
            <w:r>
              <w:t>12.2</w:t>
            </w:r>
          </w:p>
        </w:tc>
        <w:tc>
          <w:tcPr>
            <w:tcW w:w="964" w:type="dxa"/>
            <w:tcBorders>
              <w:bottom w:val="single" w:sz="12" w:space="0" w:color="auto"/>
            </w:tcBorders>
          </w:tcPr>
          <w:p w14:paraId="5526B83E" w14:textId="1BD7BD6C" w:rsidR="00824558" w:rsidRPr="00A33DA0" w:rsidRDefault="00374C92">
            <w:pPr>
              <w:cnfStyle w:val="000000000000" w:firstRow="0" w:lastRow="0" w:firstColumn="0" w:lastColumn="0" w:oddVBand="0" w:evenVBand="0" w:oddHBand="0" w:evenHBand="0" w:firstRowFirstColumn="0" w:firstRowLastColumn="0" w:lastRowFirstColumn="0" w:lastRowLastColumn="0"/>
              <w:rPr>
                <w:highlight w:val="yellow"/>
              </w:rPr>
            </w:pPr>
            <w:r>
              <w:t>12.2</w:t>
            </w:r>
          </w:p>
        </w:tc>
        <w:tc>
          <w:tcPr>
            <w:tcW w:w="964" w:type="dxa"/>
            <w:tcBorders>
              <w:bottom w:val="single" w:sz="12" w:space="0" w:color="auto"/>
            </w:tcBorders>
          </w:tcPr>
          <w:p w14:paraId="49770F2B" w14:textId="77777777" w:rsidR="00824558" w:rsidRDefault="00824558">
            <w:pPr>
              <w:cnfStyle w:val="000000000000" w:firstRow="0" w:lastRow="0" w:firstColumn="0" w:lastColumn="0" w:oddVBand="0" w:evenVBand="0" w:oddHBand="0" w:evenHBand="0" w:firstRowFirstColumn="0" w:firstRowLastColumn="0" w:lastRowFirstColumn="0" w:lastRowLastColumn="0"/>
            </w:pPr>
            <w:r>
              <w:t>11.9</w:t>
            </w:r>
          </w:p>
        </w:tc>
        <w:tc>
          <w:tcPr>
            <w:tcW w:w="964" w:type="dxa"/>
            <w:tcBorders>
              <w:bottom w:val="single" w:sz="12" w:space="0" w:color="auto"/>
            </w:tcBorders>
          </w:tcPr>
          <w:p w14:paraId="778DCCFE" w14:textId="77777777" w:rsidR="00824558" w:rsidRDefault="00824558">
            <w:pPr>
              <w:cnfStyle w:val="000000000000" w:firstRow="0" w:lastRow="0" w:firstColumn="0" w:lastColumn="0" w:oddVBand="0" w:evenVBand="0" w:oddHBand="0" w:evenHBand="0" w:firstRowFirstColumn="0" w:firstRowLastColumn="0" w:lastRowFirstColumn="0" w:lastRowLastColumn="0"/>
            </w:pPr>
            <w:r>
              <w:t>18.4</w:t>
            </w:r>
          </w:p>
        </w:tc>
      </w:tr>
    </w:tbl>
    <w:p w14:paraId="62517C9E" w14:textId="77777777" w:rsidR="00824558" w:rsidRDefault="00824558">
      <w:pPr>
        <w:pStyle w:val="Source"/>
      </w:pPr>
      <w:r>
        <w:t>Source: Department of Government Services</w:t>
      </w:r>
    </w:p>
    <w:p w14:paraId="6B26A42B" w14:textId="0A48AAC0" w:rsidR="00824558" w:rsidRDefault="00824558">
      <w:pPr>
        <w:pStyle w:val="Heading3"/>
      </w:pPr>
      <w:r>
        <w:t>Regulation of the Victorian Consumer M</w:t>
      </w:r>
      <w:r w:rsidRPr="007C117A">
        <w:t>arketplace</w:t>
      </w:r>
      <w:r w:rsidRPr="007C117A">
        <w:tab/>
        <w:t>(2026-27: $</w:t>
      </w:r>
      <w:r w:rsidR="00C744FE">
        <w:t>157.6</w:t>
      </w:r>
      <w:r w:rsidRPr="007C117A">
        <w:t xml:space="preserve"> million)</w:t>
      </w:r>
    </w:p>
    <w:p w14:paraId="4474FF9B" w14:textId="67E33233" w:rsidR="00824558" w:rsidRPr="0015664C" w:rsidRDefault="00824558">
      <w:r w:rsidRPr="0015664C">
        <w:t>This output upholds a fair, safe and competitive Victorian marketplace. As Victoria</w:t>
      </w:r>
      <w:r w:rsidR="007942D1">
        <w:t>’</w:t>
      </w:r>
      <w:r w:rsidRPr="0015664C">
        <w:t xml:space="preserve">s consumer regulator, Consumer Affairs Victoria (CAV) works to ensure that the market operates effectively by detecting and addressing non-compliance with the law. This output </w:t>
      </w:r>
      <w:r>
        <w:t>includes</w:t>
      </w:r>
      <w:r w:rsidRPr="0015664C">
        <w:t xml:space="preserve"> advising consumers and businesses about their rights and responsibilities under the law, engaging with business to ensure compliance, registration and occupational licensing for individuals and organisations, regulation of the residential tenancies market and providing Victorians with high</w:t>
      </w:r>
      <w:r w:rsidR="00AE06A2">
        <w:t>-</w:t>
      </w:r>
      <w:r w:rsidRPr="0015664C">
        <w:t>quality dispute resolution services.</w:t>
      </w:r>
      <w:r w:rsidR="002A7440" w:rsidRPr="00851116">
        <w:rPr>
          <w:rFonts w:eastAsiaTheme="minorEastAsia" w:cstheme="majorHAnsi"/>
          <w:vertAlign w:val="superscript"/>
        </w:rPr>
        <w:t>(a)</w:t>
      </w:r>
    </w:p>
    <w:p w14:paraId="577EAC0F" w14:textId="77777777" w:rsidR="00824558" w:rsidRDefault="00824558">
      <w:pPr>
        <w:pStyle w:val="Note"/>
      </w:pPr>
      <w:r w:rsidRPr="007C117A">
        <w:t>Note:</w:t>
      </w:r>
    </w:p>
    <w:p w14:paraId="319B919E" w14:textId="1E0213B8" w:rsidR="00824558" w:rsidRPr="00A33DA0" w:rsidRDefault="00A33DA0" w:rsidP="00A33DA0">
      <w:pPr>
        <w:pStyle w:val="Note"/>
        <w:spacing w:after="180"/>
      </w:pPr>
      <w:r>
        <w:t>(a)</w:t>
      </w:r>
      <w:r>
        <w:tab/>
      </w:r>
      <w:r w:rsidR="00824558" w:rsidRPr="00A33DA0">
        <w:t>Output description updated to remove functions of Domestic Building Dispute Resolution Victoria (DBDRV). Functions of DBDRV transferred to the Building and Plumbing Commission (BPC) from 1 July 2025. The Department of Transport and Planning (DTP) is responsible for the BPC.</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824558" w14:paraId="0FC5293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382E2FE4" w14:textId="77777777" w:rsidR="00824558" w:rsidRDefault="00824558">
            <w:r>
              <w:t>Performance measure</w:t>
            </w:r>
          </w:p>
        </w:tc>
        <w:tc>
          <w:tcPr>
            <w:tcW w:w="964" w:type="dxa"/>
          </w:tcPr>
          <w:p w14:paraId="5EF02155"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D3B9C1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2E0BD0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2C0B41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5C9F4E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46560683"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19CC1BDF" w14:textId="77777777" w:rsidR="00824558" w:rsidRPr="00A9225F" w:rsidRDefault="00824558">
            <w:pPr>
              <w:keepNext/>
              <w:rPr>
                <w:b/>
              </w:rPr>
            </w:pPr>
            <w:r w:rsidRPr="00A9225F">
              <w:rPr>
                <w:b/>
              </w:rPr>
              <w:t>Quantity</w:t>
            </w:r>
          </w:p>
        </w:tc>
      </w:tr>
      <w:tr w:rsidR="00824558" w14:paraId="43F5B85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D44BAE2" w14:textId="77777777" w:rsidR="00824558" w:rsidRDefault="00824558">
            <w:pPr>
              <w:ind w:left="170"/>
            </w:pPr>
            <w:r>
              <w:t>Court and administrative actions taken in relation to consumer laws (CAV)</w:t>
            </w:r>
          </w:p>
        </w:tc>
        <w:tc>
          <w:tcPr>
            <w:tcW w:w="964" w:type="dxa"/>
            <w:tcBorders>
              <w:bottom w:val="single" w:sz="6" w:space="0" w:color="auto"/>
            </w:tcBorders>
          </w:tcPr>
          <w:p w14:paraId="00C2748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EFC2AD7"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6B0459DD"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20F85DD6"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7334999B" w14:textId="77777777" w:rsidR="00824558" w:rsidRDefault="00824558">
            <w:pPr>
              <w:cnfStyle w:val="000000000000" w:firstRow="0" w:lastRow="0" w:firstColumn="0" w:lastColumn="0" w:oddVBand="0" w:evenVBand="0" w:oddHBand="0" w:evenHBand="0" w:firstRowFirstColumn="0" w:firstRowLastColumn="0" w:lastRowFirstColumn="0" w:lastRowLastColumn="0"/>
            </w:pPr>
            <w:r>
              <w:t>1 171</w:t>
            </w:r>
          </w:p>
        </w:tc>
      </w:tr>
      <w:tr w:rsidR="00824558" w14:paraId="642DCE6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4AE6E60" w14:textId="77777777" w:rsidR="00824558" w:rsidRDefault="00824558">
            <w:pPr>
              <w:ind w:left="170"/>
            </w:pPr>
            <w:r>
              <w:t>Dispute resolution services provided by the Department of Government Services (DGS)</w:t>
            </w:r>
          </w:p>
        </w:tc>
        <w:tc>
          <w:tcPr>
            <w:tcW w:w="964" w:type="dxa"/>
            <w:tcBorders>
              <w:bottom w:val="single" w:sz="6" w:space="0" w:color="auto"/>
            </w:tcBorders>
          </w:tcPr>
          <w:p w14:paraId="72CD21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281A649"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Borders>
              <w:bottom w:val="single" w:sz="6" w:space="0" w:color="auto"/>
            </w:tcBorders>
          </w:tcPr>
          <w:p w14:paraId="02D5191D" w14:textId="77777777" w:rsidR="00824558" w:rsidRDefault="00824558">
            <w:pPr>
              <w:cnfStyle w:val="000000000000" w:firstRow="0" w:lastRow="0" w:firstColumn="0" w:lastColumn="0" w:oddVBand="0" w:evenVBand="0" w:oddHBand="0" w:evenHBand="0" w:firstRowFirstColumn="0" w:firstRowLastColumn="0" w:lastRowFirstColumn="0" w:lastRowLastColumn="0"/>
            </w:pPr>
            <w:r>
              <w:t>9 400</w:t>
            </w:r>
          </w:p>
        </w:tc>
        <w:tc>
          <w:tcPr>
            <w:tcW w:w="964" w:type="dxa"/>
            <w:tcBorders>
              <w:bottom w:val="single" w:sz="6" w:space="0" w:color="auto"/>
            </w:tcBorders>
          </w:tcPr>
          <w:p w14:paraId="443111CD"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Borders>
              <w:bottom w:val="single" w:sz="6" w:space="0" w:color="auto"/>
            </w:tcBorders>
          </w:tcPr>
          <w:p w14:paraId="2984BC05" w14:textId="77777777" w:rsidR="00824558" w:rsidRDefault="00824558">
            <w:pPr>
              <w:cnfStyle w:val="000000000000" w:firstRow="0" w:lastRow="0" w:firstColumn="0" w:lastColumn="0" w:oddVBand="0" w:evenVBand="0" w:oddHBand="0" w:evenHBand="0" w:firstRowFirstColumn="0" w:firstRowLastColumn="0" w:lastRowFirstColumn="0" w:lastRowLastColumn="0"/>
            </w:pPr>
            <w:r>
              <w:t>9 089</w:t>
            </w:r>
          </w:p>
        </w:tc>
      </w:tr>
      <w:tr w:rsidR="00824558" w14:paraId="1930166F"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C5517CB" w14:textId="77777777" w:rsidR="00824558" w:rsidRDefault="00824558">
            <w:pPr>
              <w:ind w:left="170"/>
            </w:pPr>
            <w:r>
              <w:t>Registration and licensing user transactions undertaken (CAV)</w:t>
            </w:r>
          </w:p>
        </w:tc>
        <w:tc>
          <w:tcPr>
            <w:tcW w:w="964" w:type="dxa"/>
            <w:tcBorders>
              <w:bottom w:val="single" w:sz="6" w:space="0" w:color="auto"/>
            </w:tcBorders>
          </w:tcPr>
          <w:p w14:paraId="777EABA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18CD906" w14:textId="77777777" w:rsidR="00824558" w:rsidRDefault="00824558">
            <w:pPr>
              <w:cnfStyle w:val="000000000000" w:firstRow="0" w:lastRow="0" w:firstColumn="0" w:lastColumn="0" w:oddVBand="0" w:evenVBand="0" w:oddHBand="0" w:evenHBand="0" w:firstRowFirstColumn="0" w:firstRowLastColumn="0" w:lastRowFirstColumn="0" w:lastRowLastColumn="0"/>
            </w:pPr>
            <w:r>
              <w:t>113 000</w:t>
            </w:r>
          </w:p>
        </w:tc>
        <w:tc>
          <w:tcPr>
            <w:tcW w:w="964" w:type="dxa"/>
            <w:tcBorders>
              <w:bottom w:val="single" w:sz="6" w:space="0" w:color="auto"/>
            </w:tcBorders>
          </w:tcPr>
          <w:p w14:paraId="236E989E" w14:textId="77777777" w:rsidR="00824558" w:rsidRDefault="00824558">
            <w:pPr>
              <w:cnfStyle w:val="000000000000" w:firstRow="0" w:lastRow="0" w:firstColumn="0" w:lastColumn="0" w:oddVBand="0" w:evenVBand="0" w:oddHBand="0" w:evenHBand="0" w:firstRowFirstColumn="0" w:firstRowLastColumn="0" w:lastRowFirstColumn="0" w:lastRowLastColumn="0"/>
            </w:pPr>
            <w:r>
              <w:t>113 000</w:t>
            </w:r>
          </w:p>
        </w:tc>
        <w:tc>
          <w:tcPr>
            <w:tcW w:w="964" w:type="dxa"/>
            <w:tcBorders>
              <w:bottom w:val="single" w:sz="6" w:space="0" w:color="auto"/>
            </w:tcBorders>
          </w:tcPr>
          <w:p w14:paraId="64E1AC47" w14:textId="77777777" w:rsidR="00824558" w:rsidRDefault="00824558">
            <w:pPr>
              <w:cnfStyle w:val="000000000000" w:firstRow="0" w:lastRow="0" w:firstColumn="0" w:lastColumn="0" w:oddVBand="0" w:evenVBand="0" w:oddHBand="0" w:evenHBand="0" w:firstRowFirstColumn="0" w:firstRowLastColumn="0" w:lastRowFirstColumn="0" w:lastRowLastColumn="0"/>
            </w:pPr>
            <w:r>
              <w:t>113 000</w:t>
            </w:r>
          </w:p>
        </w:tc>
        <w:tc>
          <w:tcPr>
            <w:tcW w:w="964" w:type="dxa"/>
            <w:tcBorders>
              <w:bottom w:val="single" w:sz="6" w:space="0" w:color="auto"/>
            </w:tcBorders>
          </w:tcPr>
          <w:p w14:paraId="409B198D" w14:textId="77777777" w:rsidR="00824558" w:rsidRDefault="00824558">
            <w:pPr>
              <w:cnfStyle w:val="000000000000" w:firstRow="0" w:lastRow="0" w:firstColumn="0" w:lastColumn="0" w:oddVBand="0" w:evenVBand="0" w:oddHBand="0" w:evenHBand="0" w:firstRowFirstColumn="0" w:firstRowLastColumn="0" w:lastRowFirstColumn="0" w:lastRowLastColumn="0"/>
            </w:pPr>
            <w:r>
              <w:t>108 238</w:t>
            </w:r>
          </w:p>
        </w:tc>
      </w:tr>
      <w:tr w:rsidR="00824558" w14:paraId="70C23FA7" w14:textId="77777777">
        <w:tc>
          <w:tcPr>
            <w:cnfStyle w:val="001000000000" w:firstRow="0" w:lastRow="0" w:firstColumn="1" w:lastColumn="0" w:oddVBand="0" w:evenVBand="0" w:oddHBand="0" w:evenHBand="0" w:firstRowFirstColumn="0" w:firstRowLastColumn="0" w:lastRowFirstColumn="0" w:lastRowLastColumn="0"/>
            <w:tcW w:w="4820" w:type="dxa"/>
          </w:tcPr>
          <w:p w14:paraId="64D95C7D" w14:textId="77777777" w:rsidR="00824558" w:rsidRDefault="00824558">
            <w:pPr>
              <w:keepNext/>
              <w:ind w:left="170"/>
            </w:pPr>
            <w:r>
              <w:lastRenderedPageBreak/>
              <w:t>Residential Tenancies Bond Authority (RTBA) user transactions completed (CAV)</w:t>
            </w:r>
          </w:p>
        </w:tc>
        <w:tc>
          <w:tcPr>
            <w:tcW w:w="964" w:type="dxa"/>
          </w:tcPr>
          <w:p w14:paraId="01BE22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630AD25" w14:textId="77777777" w:rsidR="00824558" w:rsidRDefault="00824558">
            <w:pPr>
              <w:cnfStyle w:val="000000000000" w:firstRow="0" w:lastRow="0" w:firstColumn="0" w:lastColumn="0" w:oddVBand="0" w:evenVBand="0" w:oddHBand="0" w:evenHBand="0" w:firstRowFirstColumn="0" w:firstRowLastColumn="0" w:lastRowFirstColumn="0" w:lastRowLastColumn="0"/>
            </w:pPr>
            <w:r>
              <w:t>497 000</w:t>
            </w:r>
          </w:p>
        </w:tc>
        <w:tc>
          <w:tcPr>
            <w:tcW w:w="964" w:type="dxa"/>
          </w:tcPr>
          <w:p w14:paraId="446F5E21" w14:textId="77777777" w:rsidR="00824558" w:rsidRDefault="00824558">
            <w:pPr>
              <w:cnfStyle w:val="000000000000" w:firstRow="0" w:lastRow="0" w:firstColumn="0" w:lastColumn="0" w:oddVBand="0" w:evenVBand="0" w:oddHBand="0" w:evenHBand="0" w:firstRowFirstColumn="0" w:firstRowLastColumn="0" w:lastRowFirstColumn="0" w:lastRowLastColumn="0"/>
            </w:pPr>
            <w:r>
              <w:t>495 000</w:t>
            </w:r>
          </w:p>
        </w:tc>
        <w:tc>
          <w:tcPr>
            <w:tcW w:w="964" w:type="dxa"/>
          </w:tcPr>
          <w:p w14:paraId="7F7AE1F0" w14:textId="77777777" w:rsidR="00824558" w:rsidRDefault="00824558">
            <w:pPr>
              <w:cnfStyle w:val="000000000000" w:firstRow="0" w:lastRow="0" w:firstColumn="0" w:lastColumn="0" w:oddVBand="0" w:evenVBand="0" w:oddHBand="0" w:evenHBand="0" w:firstRowFirstColumn="0" w:firstRowLastColumn="0" w:lastRowFirstColumn="0" w:lastRowLastColumn="0"/>
            </w:pPr>
            <w:r>
              <w:t>495 000</w:t>
            </w:r>
          </w:p>
        </w:tc>
        <w:tc>
          <w:tcPr>
            <w:tcW w:w="964" w:type="dxa"/>
          </w:tcPr>
          <w:p w14:paraId="283ABF1B" w14:textId="77777777" w:rsidR="00824558" w:rsidRDefault="00824558">
            <w:pPr>
              <w:cnfStyle w:val="000000000000" w:firstRow="0" w:lastRow="0" w:firstColumn="0" w:lastColumn="0" w:oddVBand="0" w:evenVBand="0" w:oddHBand="0" w:evenHBand="0" w:firstRowFirstColumn="0" w:firstRowLastColumn="0" w:lastRowFirstColumn="0" w:lastRowLastColumn="0"/>
            </w:pPr>
            <w:r>
              <w:t>504 016</w:t>
            </w:r>
          </w:p>
        </w:tc>
      </w:tr>
      <w:tr w:rsidR="00824558" w14:paraId="0EDA827C"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710E97E" w14:textId="77777777" w:rsidR="00824558" w:rsidRDefault="00824558">
            <w:pPr>
              <w:ind w:left="170"/>
            </w:pPr>
            <w:r>
              <w:rPr>
                <w:i/>
              </w:rPr>
              <w:t>The higher 2026-27 target reflects expected demand for bond lodgements and repayments.</w:t>
            </w:r>
          </w:p>
        </w:tc>
      </w:tr>
      <w:tr w:rsidR="00824558" w14:paraId="777B95C4"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FCC7E40" w14:textId="77777777" w:rsidR="00824558" w:rsidRDefault="00824558">
            <w:pPr>
              <w:ind w:left="170"/>
            </w:pPr>
            <w:r>
              <w:t>Victim survivors of family violence assisted with financial counselling (CAV)</w:t>
            </w:r>
          </w:p>
        </w:tc>
        <w:tc>
          <w:tcPr>
            <w:tcW w:w="964" w:type="dxa"/>
            <w:tcBorders>
              <w:bottom w:val="single" w:sz="6" w:space="0" w:color="auto"/>
            </w:tcBorders>
          </w:tcPr>
          <w:p w14:paraId="131447B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C106265" w14:textId="77777777" w:rsidR="00824558" w:rsidRDefault="00824558">
            <w:pPr>
              <w:cnfStyle w:val="000000000000" w:firstRow="0" w:lastRow="0" w:firstColumn="0" w:lastColumn="0" w:oddVBand="0" w:evenVBand="0" w:oddHBand="0" w:evenHBand="0" w:firstRowFirstColumn="0" w:firstRowLastColumn="0" w:lastRowFirstColumn="0" w:lastRowLastColumn="0"/>
            </w:pPr>
            <w:r>
              <w:t>3 750</w:t>
            </w:r>
          </w:p>
        </w:tc>
        <w:tc>
          <w:tcPr>
            <w:tcW w:w="964" w:type="dxa"/>
            <w:tcBorders>
              <w:bottom w:val="single" w:sz="6" w:space="0" w:color="auto"/>
            </w:tcBorders>
          </w:tcPr>
          <w:p w14:paraId="6B9B7C87" w14:textId="77777777" w:rsidR="00824558" w:rsidRDefault="00824558">
            <w:pPr>
              <w:cnfStyle w:val="000000000000" w:firstRow="0" w:lastRow="0" w:firstColumn="0" w:lastColumn="0" w:oddVBand="0" w:evenVBand="0" w:oddHBand="0" w:evenHBand="0" w:firstRowFirstColumn="0" w:firstRowLastColumn="0" w:lastRowFirstColumn="0" w:lastRowLastColumn="0"/>
            </w:pPr>
            <w:r>
              <w:t>3 750</w:t>
            </w:r>
          </w:p>
        </w:tc>
        <w:tc>
          <w:tcPr>
            <w:tcW w:w="964" w:type="dxa"/>
            <w:tcBorders>
              <w:bottom w:val="single" w:sz="6" w:space="0" w:color="auto"/>
            </w:tcBorders>
          </w:tcPr>
          <w:p w14:paraId="47053DF4" w14:textId="77777777" w:rsidR="00824558" w:rsidRDefault="00824558">
            <w:pPr>
              <w:cnfStyle w:val="000000000000" w:firstRow="0" w:lastRow="0" w:firstColumn="0" w:lastColumn="0" w:oddVBand="0" w:evenVBand="0" w:oddHBand="0" w:evenHBand="0" w:firstRowFirstColumn="0" w:firstRowLastColumn="0" w:lastRowFirstColumn="0" w:lastRowLastColumn="0"/>
            </w:pPr>
            <w:r>
              <w:t>3 750</w:t>
            </w:r>
          </w:p>
        </w:tc>
        <w:tc>
          <w:tcPr>
            <w:tcW w:w="964" w:type="dxa"/>
            <w:tcBorders>
              <w:bottom w:val="single" w:sz="6" w:space="0" w:color="auto"/>
            </w:tcBorders>
          </w:tcPr>
          <w:p w14:paraId="2F269DAC" w14:textId="77777777" w:rsidR="00824558" w:rsidRDefault="00824558">
            <w:pPr>
              <w:cnfStyle w:val="000000000000" w:firstRow="0" w:lastRow="0" w:firstColumn="0" w:lastColumn="0" w:oddVBand="0" w:evenVBand="0" w:oddHBand="0" w:evenHBand="0" w:firstRowFirstColumn="0" w:firstRowLastColumn="0" w:lastRowFirstColumn="0" w:lastRowLastColumn="0"/>
            </w:pPr>
            <w:r>
              <w:t>3 728</w:t>
            </w:r>
          </w:p>
        </w:tc>
      </w:tr>
      <w:tr w:rsidR="00824558" w:rsidRPr="00A9225F" w14:paraId="7811D0A7"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B2D6894" w14:textId="77777777" w:rsidR="00824558" w:rsidRPr="00A9225F" w:rsidRDefault="00824558">
            <w:pPr>
              <w:keepNext/>
              <w:rPr>
                <w:b/>
              </w:rPr>
            </w:pPr>
            <w:r w:rsidRPr="00A9225F">
              <w:rPr>
                <w:b/>
              </w:rPr>
              <w:t>Quality</w:t>
            </w:r>
          </w:p>
        </w:tc>
      </w:tr>
      <w:tr w:rsidR="00824558" w14:paraId="6DD27F0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E7E7D2B" w14:textId="77777777" w:rsidR="00824558" w:rsidRDefault="00824558">
            <w:pPr>
              <w:ind w:left="170"/>
            </w:pPr>
            <w:r>
              <w:t>Overall customer satisfaction rate for dispute resolution services provided by DGS</w:t>
            </w:r>
          </w:p>
        </w:tc>
        <w:tc>
          <w:tcPr>
            <w:tcW w:w="964" w:type="dxa"/>
            <w:tcBorders>
              <w:bottom w:val="single" w:sz="6" w:space="0" w:color="auto"/>
            </w:tcBorders>
          </w:tcPr>
          <w:p w14:paraId="3594C7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A4C47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711F067"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640A43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8E7C08B"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r>
      <w:tr w:rsidR="00824558" w14:paraId="650FC9E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F60AE39" w14:textId="77777777" w:rsidR="00824558" w:rsidRDefault="00824558">
            <w:pPr>
              <w:ind w:left="170"/>
            </w:pPr>
            <w:r>
              <w:t>Percentage of high-priority breaches in relation to consumer laws that result in a regulatory response (CAV)</w:t>
            </w:r>
          </w:p>
        </w:tc>
        <w:tc>
          <w:tcPr>
            <w:tcW w:w="964" w:type="dxa"/>
            <w:tcBorders>
              <w:bottom w:val="single" w:sz="6" w:space="0" w:color="auto"/>
            </w:tcBorders>
          </w:tcPr>
          <w:p w14:paraId="7B08A9D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668242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43FA2A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84F497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4C1420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C434CC3"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9C2AE2B" w14:textId="77777777" w:rsidR="00824558" w:rsidRDefault="00824558">
            <w:pPr>
              <w:ind w:left="170"/>
            </w:pPr>
            <w:r>
              <w:t>Rate of compliance with key consumer laws (CAV)</w:t>
            </w:r>
          </w:p>
        </w:tc>
        <w:tc>
          <w:tcPr>
            <w:tcW w:w="964" w:type="dxa"/>
            <w:tcBorders>
              <w:bottom w:val="single" w:sz="6" w:space="0" w:color="auto"/>
            </w:tcBorders>
          </w:tcPr>
          <w:p w14:paraId="2CA0610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FB6B58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F5F35D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2A24B1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7283342"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172107D6" w14:textId="77777777">
        <w:tc>
          <w:tcPr>
            <w:cnfStyle w:val="001000000000" w:firstRow="0" w:lastRow="0" w:firstColumn="1" w:lastColumn="0" w:oddVBand="0" w:evenVBand="0" w:oddHBand="0" w:evenHBand="0" w:firstRowFirstColumn="0" w:firstRowLastColumn="0" w:lastRowFirstColumn="0" w:lastRowLastColumn="0"/>
            <w:tcW w:w="4820" w:type="dxa"/>
          </w:tcPr>
          <w:p w14:paraId="0CE489E4" w14:textId="77777777" w:rsidR="00824558" w:rsidRDefault="00824558">
            <w:pPr>
              <w:keepNext/>
              <w:ind w:left="170"/>
            </w:pPr>
            <w:r>
              <w:t>Settlement rate of mediation (DGS)</w:t>
            </w:r>
          </w:p>
        </w:tc>
        <w:tc>
          <w:tcPr>
            <w:tcW w:w="964" w:type="dxa"/>
          </w:tcPr>
          <w:p w14:paraId="368ABA6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1D112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D28C17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F91DA9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97B3806"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824558" w14:paraId="66DDC16A"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936656C" w14:textId="05A41EC9" w:rsidR="00824558" w:rsidRDefault="00824558">
            <w:pPr>
              <w:ind w:left="170"/>
            </w:pPr>
            <w:r>
              <w:rPr>
                <w:i/>
              </w:rPr>
              <w:t xml:space="preserve">This performance measure renames the 2025-26 measure </w:t>
            </w:r>
            <w:r w:rsidR="007942D1">
              <w:rPr>
                <w:i/>
              </w:rPr>
              <w:t>‘</w:t>
            </w:r>
            <w:r>
              <w:rPr>
                <w:i/>
              </w:rPr>
              <w:t>Settlement rate of mediation (DSCV)</w:t>
            </w:r>
            <w:r w:rsidR="007942D1">
              <w:rPr>
                <w:i/>
              </w:rPr>
              <w:t>’</w:t>
            </w:r>
            <w:r>
              <w:rPr>
                <w:i/>
              </w:rPr>
              <w:t>. The measure has been updated to reflect the transfer of dispute services to the Whole of Victorian Government Contact Centre to improve performance.</w:t>
            </w:r>
          </w:p>
        </w:tc>
      </w:tr>
      <w:tr w:rsidR="00824558" w:rsidRPr="00A9225F" w14:paraId="366D3614"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451EFE6" w14:textId="77777777" w:rsidR="00824558" w:rsidRPr="00A9225F" w:rsidRDefault="00824558">
            <w:pPr>
              <w:keepNext/>
              <w:rPr>
                <w:b/>
              </w:rPr>
            </w:pPr>
            <w:r w:rsidRPr="00A9225F">
              <w:rPr>
                <w:b/>
              </w:rPr>
              <w:t>Timeliness</w:t>
            </w:r>
          </w:p>
        </w:tc>
      </w:tr>
      <w:tr w:rsidR="00824558" w14:paraId="7F59286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6C069D8" w14:textId="77777777" w:rsidR="00824558" w:rsidRDefault="00824558">
            <w:pPr>
              <w:ind w:left="170"/>
            </w:pPr>
            <w:r>
              <w:t>Regulatory functions delivered within agreed timeframes (CAV)</w:t>
            </w:r>
          </w:p>
        </w:tc>
        <w:tc>
          <w:tcPr>
            <w:tcW w:w="964" w:type="dxa"/>
            <w:tcBorders>
              <w:bottom w:val="single" w:sz="6" w:space="0" w:color="auto"/>
            </w:tcBorders>
          </w:tcPr>
          <w:p w14:paraId="6EA94F5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056C96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C7A333D"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70C808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5AAAA6F"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rsidRPr="00A9225F" w14:paraId="7D5D698E" w14:textId="77777777" w:rsidTr="00875C68">
        <w:tc>
          <w:tcPr>
            <w:cnfStyle w:val="001000000000" w:firstRow="0" w:lastRow="0" w:firstColumn="1" w:lastColumn="0" w:oddVBand="0" w:evenVBand="0" w:oddHBand="0" w:evenHBand="0" w:firstRowFirstColumn="0" w:firstRowLastColumn="0" w:lastRowFirstColumn="0" w:lastRowLastColumn="0"/>
            <w:tcW w:w="9640" w:type="dxa"/>
            <w:gridSpan w:val="6"/>
          </w:tcPr>
          <w:p w14:paraId="1A710870" w14:textId="77777777" w:rsidR="00824558" w:rsidRPr="00A9225F" w:rsidRDefault="00824558">
            <w:pPr>
              <w:keepNext/>
              <w:rPr>
                <w:b/>
              </w:rPr>
            </w:pPr>
            <w:r w:rsidRPr="00A9225F">
              <w:rPr>
                <w:b/>
              </w:rPr>
              <w:t>Cost</w:t>
            </w:r>
          </w:p>
        </w:tc>
      </w:tr>
      <w:tr w:rsidR="00824558" w14:paraId="70B78320" w14:textId="77777777" w:rsidTr="00323310">
        <w:tc>
          <w:tcPr>
            <w:cnfStyle w:val="001000000000" w:firstRow="0" w:lastRow="0" w:firstColumn="1" w:lastColumn="0" w:oddVBand="0" w:evenVBand="0" w:oddHBand="0" w:evenHBand="0" w:firstRowFirstColumn="0" w:firstRowLastColumn="0" w:lastRowFirstColumn="0" w:lastRowLastColumn="0"/>
            <w:tcW w:w="4820" w:type="dxa"/>
          </w:tcPr>
          <w:p w14:paraId="03A7679F" w14:textId="77777777" w:rsidR="00824558" w:rsidRDefault="00824558">
            <w:pPr>
              <w:keepNext/>
              <w:ind w:left="170"/>
            </w:pPr>
            <w:r>
              <w:t>Total output cost</w:t>
            </w:r>
          </w:p>
        </w:tc>
        <w:tc>
          <w:tcPr>
            <w:tcW w:w="964" w:type="dxa"/>
          </w:tcPr>
          <w:p w14:paraId="483EFC2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35B4EC3" w14:textId="4F652DA2" w:rsidR="00824558" w:rsidRPr="00A33DA0" w:rsidRDefault="003D1542">
            <w:pPr>
              <w:cnfStyle w:val="000000000000" w:firstRow="0" w:lastRow="0" w:firstColumn="0" w:lastColumn="0" w:oddVBand="0" w:evenVBand="0" w:oddHBand="0" w:evenHBand="0" w:firstRowFirstColumn="0" w:firstRowLastColumn="0" w:lastRowFirstColumn="0" w:lastRowLastColumn="0"/>
              <w:rPr>
                <w:highlight w:val="yellow"/>
              </w:rPr>
            </w:pPr>
            <w:r w:rsidRPr="00A4395B">
              <w:t>157.6</w:t>
            </w:r>
          </w:p>
        </w:tc>
        <w:tc>
          <w:tcPr>
            <w:tcW w:w="964" w:type="dxa"/>
          </w:tcPr>
          <w:p w14:paraId="50E96156" w14:textId="0490072C" w:rsidR="00824558" w:rsidRPr="00A33DA0" w:rsidRDefault="00323310">
            <w:pPr>
              <w:cnfStyle w:val="000000000000" w:firstRow="0" w:lastRow="0" w:firstColumn="0" w:lastColumn="0" w:oddVBand="0" w:evenVBand="0" w:oddHBand="0" w:evenHBand="0" w:firstRowFirstColumn="0" w:firstRowLastColumn="0" w:lastRowFirstColumn="0" w:lastRowLastColumn="0"/>
              <w:rPr>
                <w:highlight w:val="yellow"/>
              </w:rPr>
            </w:pPr>
            <w:r w:rsidRPr="00622056">
              <w:rPr>
                <w:iCs/>
              </w:rPr>
              <w:t>194.7</w:t>
            </w:r>
          </w:p>
        </w:tc>
        <w:tc>
          <w:tcPr>
            <w:tcW w:w="964" w:type="dxa"/>
          </w:tcPr>
          <w:p w14:paraId="2447F98F" w14:textId="77777777" w:rsidR="00824558" w:rsidRDefault="00824558">
            <w:pPr>
              <w:cnfStyle w:val="000000000000" w:firstRow="0" w:lastRow="0" w:firstColumn="0" w:lastColumn="0" w:oddVBand="0" w:evenVBand="0" w:oddHBand="0" w:evenHBand="0" w:firstRowFirstColumn="0" w:firstRowLastColumn="0" w:lastRowFirstColumn="0" w:lastRowLastColumn="0"/>
            </w:pPr>
            <w:r>
              <w:t>127.5</w:t>
            </w:r>
          </w:p>
        </w:tc>
        <w:tc>
          <w:tcPr>
            <w:tcW w:w="964" w:type="dxa"/>
          </w:tcPr>
          <w:p w14:paraId="783DAA34" w14:textId="77777777" w:rsidR="00824558" w:rsidRDefault="00824558">
            <w:pPr>
              <w:cnfStyle w:val="000000000000" w:firstRow="0" w:lastRow="0" w:firstColumn="0" w:lastColumn="0" w:oddVBand="0" w:evenVBand="0" w:oddHBand="0" w:evenHBand="0" w:firstRowFirstColumn="0" w:firstRowLastColumn="0" w:lastRowFirstColumn="0" w:lastRowLastColumn="0"/>
            </w:pPr>
            <w:r>
              <w:t>176.1</w:t>
            </w:r>
          </w:p>
        </w:tc>
      </w:tr>
      <w:tr w:rsidR="0015353F" w14:paraId="267930D3"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47EFB3D" w14:textId="342AB5C5" w:rsidR="0015353F" w:rsidRPr="00676136" w:rsidRDefault="00676136" w:rsidP="00676136">
            <w:pPr>
              <w:keepNext/>
              <w:ind w:left="170"/>
              <w:rPr>
                <w:i/>
                <w:iCs/>
              </w:rPr>
            </w:pPr>
            <w:r w:rsidRPr="2662C284">
              <w:rPr>
                <w:i/>
                <w:iCs/>
              </w:rPr>
              <w:t>The 2025</w:t>
            </w:r>
            <w:r w:rsidR="00383570">
              <w:rPr>
                <w:i/>
                <w:iCs/>
              </w:rPr>
              <w:t>-</w:t>
            </w:r>
            <w:r w:rsidRPr="2662C284">
              <w:rPr>
                <w:i/>
                <w:iCs/>
              </w:rPr>
              <w:t>26 expected outcome is higher than the 2025</w:t>
            </w:r>
            <w:r w:rsidR="00383570">
              <w:rPr>
                <w:i/>
                <w:iCs/>
              </w:rPr>
              <w:t>-</w:t>
            </w:r>
            <w:r w:rsidRPr="2662C284">
              <w:rPr>
                <w:i/>
                <w:iCs/>
              </w:rPr>
              <w:t xml:space="preserve">26 target due to funding provided to establish Rental Dispute Resolution Victoria and the </w:t>
            </w:r>
            <w:r w:rsidR="00AD3A57" w:rsidRPr="001B1378">
              <w:rPr>
                <w:i/>
              </w:rPr>
              <w:t>Rental Portable Bonds Scheme</w:t>
            </w:r>
            <w:r>
              <w:rPr>
                <w:i/>
              </w:rPr>
              <w:t>.</w:t>
            </w:r>
          </w:p>
        </w:tc>
      </w:tr>
      <w:tr w:rsidR="00323310" w14:paraId="0E0B41C0"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11EEB7BB" w14:textId="2D75AB39" w:rsidR="00323310" w:rsidRDefault="0015353F" w:rsidP="0015353F">
            <w:pPr>
              <w:ind w:left="170"/>
            </w:pPr>
            <w:r w:rsidRPr="0015353F">
              <w:rPr>
                <w:i/>
              </w:rPr>
              <w:t>The 2026</w:t>
            </w:r>
            <w:r w:rsidR="00383570">
              <w:rPr>
                <w:i/>
              </w:rPr>
              <w:t>-</w:t>
            </w:r>
            <w:r w:rsidRPr="0015353F">
              <w:rPr>
                <w:i/>
              </w:rPr>
              <w:t>27 target is higher than the 2025</w:t>
            </w:r>
            <w:r w:rsidR="00383570">
              <w:rPr>
                <w:i/>
              </w:rPr>
              <w:t>-</w:t>
            </w:r>
            <w:r w:rsidRPr="0015353F">
              <w:rPr>
                <w:i/>
              </w:rPr>
              <w:t xml:space="preserve">26 target due to </w:t>
            </w:r>
            <w:r w:rsidR="001646D7" w:rsidRPr="00506EEA">
              <w:rPr>
                <w:i/>
                <w:iCs/>
              </w:rPr>
              <w:t xml:space="preserve">funding </w:t>
            </w:r>
            <w:r w:rsidR="001646D7" w:rsidRPr="2A5F74BA">
              <w:rPr>
                <w:i/>
                <w:iCs/>
              </w:rPr>
              <w:t>provided for</w:t>
            </w:r>
            <w:r w:rsidR="001646D7" w:rsidRPr="00506EEA">
              <w:rPr>
                <w:i/>
                <w:iCs/>
              </w:rPr>
              <w:t xml:space="preserve"> Rental Dispute Resolution Victoria</w:t>
            </w:r>
            <w:r w:rsidRPr="00506EEA">
              <w:rPr>
                <w:i/>
                <w:iCs/>
              </w:rPr>
              <w:t>, financial counselling programs and delivery of the Fair Fuel Plan.</w:t>
            </w:r>
          </w:p>
        </w:tc>
      </w:tr>
    </w:tbl>
    <w:p w14:paraId="4B2E54BE" w14:textId="77777777" w:rsidR="00824558" w:rsidRDefault="00824558">
      <w:pPr>
        <w:pStyle w:val="Source"/>
      </w:pPr>
      <w:r>
        <w:t>Source: Department of Government Services</w:t>
      </w:r>
    </w:p>
    <w:p w14:paraId="4B75C913" w14:textId="09839906" w:rsidR="00824558" w:rsidRDefault="00824558" w:rsidP="00A33DA0"/>
    <w:p w14:paraId="6E62D3C2" w14:textId="77777777" w:rsidR="00EB5C10" w:rsidRDefault="00EB5C10">
      <w:pPr>
        <w:keepLines w:val="0"/>
        <w:rPr>
          <w:rFonts w:asciiTheme="majorHAnsi" w:hAnsiTheme="majorHAnsi" w:cstheme="minorBidi"/>
          <w:b/>
          <w:sz w:val="20"/>
        </w:rPr>
      </w:pPr>
      <w:r>
        <w:br w:type="page"/>
      </w:r>
    </w:p>
    <w:p w14:paraId="00AFC5C2" w14:textId="77777777" w:rsidR="00824558" w:rsidRPr="00EB4531" w:rsidRDefault="00824558">
      <w:pPr>
        <w:pStyle w:val="ShadedBoxHeading"/>
        <w:rPr>
          <w:rFonts w:ascii="Calibri" w:eastAsia="Garamond" w:hAnsi="Calibri" w:cs="Times New Roman"/>
          <w:b w:val="0"/>
          <w:szCs w:val="24"/>
        </w:rPr>
      </w:pPr>
      <w:r w:rsidRPr="00C831D2">
        <w:lastRenderedPageBreak/>
        <w:t xml:space="preserve">Objective 2: Accelerate digital transformation for </w:t>
      </w:r>
      <w:r>
        <w:t>g</w:t>
      </w:r>
      <w:r w:rsidRPr="00C831D2">
        <w:t xml:space="preserve">overnment </w:t>
      </w:r>
    </w:p>
    <w:p w14:paraId="72424D82" w14:textId="77777777" w:rsidR="00824558" w:rsidRPr="005C3729" w:rsidRDefault="00824558">
      <w:pPr>
        <w:pStyle w:val="ShadedBoxText"/>
        <w:rPr>
          <w:rFonts w:cstheme="majorHAnsi"/>
        </w:rPr>
      </w:pPr>
      <w:r w:rsidRPr="005C3729">
        <w:rPr>
          <w:rFonts w:cstheme="majorHAnsi"/>
        </w:rPr>
        <w:t>This objective supports the effective delivery of government services through digital platforms, pursues service excellence and reform, and supports delivery of policy and projects that enable increased productivity and improved social outcomes in Victoria.</w:t>
      </w:r>
    </w:p>
    <w:p w14:paraId="74A4709B" w14:textId="77777777" w:rsidR="00824558" w:rsidRPr="005C3729" w:rsidRDefault="00824558">
      <w:pPr>
        <w:pStyle w:val="ShadedBoxText"/>
        <w:rPr>
          <w:rFonts w:cstheme="majorHAnsi"/>
        </w:rPr>
      </w:pPr>
      <w:r w:rsidRPr="005C3729">
        <w:rPr>
          <w:rFonts w:cstheme="majorHAnsi"/>
        </w:rPr>
        <w:t>The departmental objective indicators are:</w:t>
      </w:r>
    </w:p>
    <w:p w14:paraId="6380E3C4" w14:textId="77777777" w:rsidR="00824558" w:rsidRPr="005C3729" w:rsidRDefault="00824558">
      <w:pPr>
        <w:pStyle w:val="ShadedBoxBullet"/>
        <w:contextualSpacing/>
        <w:rPr>
          <w:rFonts w:cstheme="majorHAnsi"/>
        </w:rPr>
      </w:pPr>
      <w:r w:rsidRPr="005C3729">
        <w:rPr>
          <w:rFonts w:cstheme="majorHAnsi"/>
        </w:rPr>
        <w:t>effective use of technology to support Victorian Government priorities</w:t>
      </w:r>
      <w:r w:rsidRPr="005C3729" w:rsidDel="008F236B">
        <w:rPr>
          <w:rFonts w:cstheme="majorHAnsi"/>
        </w:rPr>
        <w:t xml:space="preserve"> </w:t>
      </w:r>
      <w:r w:rsidRPr="005C3729">
        <w:rPr>
          <w:rFonts w:cstheme="majorHAnsi"/>
        </w:rPr>
        <w:t>and service delivery</w:t>
      </w:r>
    </w:p>
    <w:p w14:paraId="62AEC0F9" w14:textId="77777777" w:rsidR="00824558" w:rsidRPr="005C3729" w:rsidRDefault="00824558">
      <w:pPr>
        <w:pStyle w:val="ShadedBoxBullet"/>
        <w:contextualSpacing/>
        <w:rPr>
          <w:rFonts w:cstheme="majorHAnsi"/>
        </w:rPr>
      </w:pPr>
      <w:r w:rsidRPr="005C3729">
        <w:rPr>
          <w:rFonts w:cstheme="majorHAnsi"/>
        </w:rPr>
        <w:t>Government decision making is informed by high quality data and data analytics</w:t>
      </w:r>
    </w:p>
    <w:p w14:paraId="652E0A70" w14:textId="77777777" w:rsidR="00824558" w:rsidRPr="005C3729" w:rsidRDefault="00824558">
      <w:pPr>
        <w:pStyle w:val="ShadedBoxBullet"/>
        <w:contextualSpacing/>
        <w:rPr>
          <w:rFonts w:cstheme="majorHAnsi"/>
        </w:rPr>
      </w:pPr>
      <w:r w:rsidRPr="005C3729">
        <w:rPr>
          <w:rFonts w:cstheme="majorHAnsi"/>
        </w:rPr>
        <w:t>Government systems and data are protected from cyber threats.</w:t>
      </w:r>
    </w:p>
    <w:p w14:paraId="32535FCD" w14:textId="77777777" w:rsidR="00824558" w:rsidRDefault="00824558">
      <w:pPr>
        <w:pStyle w:val="Heading3"/>
      </w:pPr>
      <w:r>
        <w:t>Outputs</w:t>
      </w:r>
    </w:p>
    <w:p w14:paraId="438F11A4" w14:textId="6FC8E246" w:rsidR="00824558" w:rsidRDefault="00824558">
      <w:pPr>
        <w:pStyle w:val="Heading3"/>
      </w:pPr>
      <w:r>
        <w:t>Government Services Strategy and Digital Transformation</w:t>
      </w:r>
      <w:r>
        <w:tab/>
        <w:t>(2026-27: $</w:t>
      </w:r>
      <w:r w:rsidR="007C0B27">
        <w:t>88.4</w:t>
      </w:r>
      <w:r>
        <w:t xml:space="preserve"> million)</w:t>
      </w:r>
    </w:p>
    <w:p w14:paraId="62A49612" w14:textId="77777777" w:rsidR="00824558" w:rsidRDefault="00824558">
      <w:r>
        <w:t xml:space="preserve">This output contributes to continued innovation </w:t>
      </w:r>
      <w:r w:rsidRPr="000E0DD8">
        <w:t>in digital technology</w:t>
      </w:r>
      <w:r>
        <w:t xml:space="preserve"> to improve whole of government service delivery and business processes. </w:t>
      </w:r>
    </w:p>
    <w:p w14:paraId="5F1E140B" w14:textId="77777777" w:rsidR="00824558" w:rsidRPr="00336E9D" w:rsidRDefault="00824558" w:rsidP="00EB5C10">
      <w:pPr>
        <w:spacing w:after="120"/>
      </w:pPr>
      <w:r>
        <w:t>This output also contributes to the digital delivery of information, and services to Victorian citizens and businesses.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824558" w14:paraId="7901197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1FF3CC3B" w14:textId="77777777" w:rsidR="00824558" w:rsidRDefault="00824558">
            <w:r>
              <w:t>Performance measure</w:t>
            </w:r>
          </w:p>
        </w:tc>
        <w:tc>
          <w:tcPr>
            <w:tcW w:w="964" w:type="dxa"/>
          </w:tcPr>
          <w:p w14:paraId="66EEABED"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D46A1A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9B4557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64083B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40AAFA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5BA0075E"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A39EF59" w14:textId="77777777" w:rsidR="00824558" w:rsidRPr="00A9225F" w:rsidRDefault="00824558">
            <w:pPr>
              <w:keepNext/>
              <w:rPr>
                <w:b/>
              </w:rPr>
            </w:pPr>
            <w:r w:rsidRPr="00A9225F">
              <w:rPr>
                <w:b/>
              </w:rPr>
              <w:t>Quantity</w:t>
            </w:r>
          </w:p>
        </w:tc>
      </w:tr>
      <w:tr w:rsidR="00824558" w14:paraId="4C78D7B5" w14:textId="77777777">
        <w:tc>
          <w:tcPr>
            <w:cnfStyle w:val="001000000000" w:firstRow="0" w:lastRow="0" w:firstColumn="1" w:lastColumn="0" w:oddVBand="0" w:evenVBand="0" w:oddHBand="0" w:evenHBand="0" w:firstRowFirstColumn="0" w:firstRowLastColumn="0" w:lastRowFirstColumn="0" w:lastRowLastColumn="0"/>
            <w:tcW w:w="4820" w:type="dxa"/>
          </w:tcPr>
          <w:p w14:paraId="2547796A" w14:textId="77777777" w:rsidR="00824558" w:rsidRDefault="00824558">
            <w:pPr>
              <w:keepNext/>
              <w:ind w:left="170"/>
            </w:pPr>
            <w:r>
              <w:t>Data sharing arrangements enabled by Department of Government Services (DGS)</w:t>
            </w:r>
          </w:p>
        </w:tc>
        <w:tc>
          <w:tcPr>
            <w:tcW w:w="964" w:type="dxa"/>
          </w:tcPr>
          <w:p w14:paraId="4209B04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BD36D1"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5DECB648" w14:textId="77777777" w:rsidR="00824558" w:rsidRDefault="00824558">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5D19D780"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436D2031"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r>
      <w:tr w:rsidR="00824558" w14:paraId="151ABBC9"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2F827C6" w14:textId="77777777" w:rsidR="00824558" w:rsidRDefault="00824558">
            <w:pPr>
              <w:ind w:left="170"/>
            </w:pPr>
            <w:r>
              <w:rPr>
                <w:i/>
              </w:rPr>
              <w:t xml:space="preserve">The 2025-26 expected outcome is higher than the 2025-26 target due to continued demand for linked and shared data. </w:t>
            </w:r>
          </w:p>
        </w:tc>
      </w:tr>
      <w:tr w:rsidR="00824558" w14:paraId="37BA980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DA2D43A" w14:textId="77777777" w:rsidR="00824558" w:rsidRDefault="00824558">
            <w:pPr>
              <w:ind w:left="170"/>
            </w:pPr>
            <w:r>
              <w:t>Government board members trained on cyber security</w:t>
            </w:r>
          </w:p>
        </w:tc>
        <w:tc>
          <w:tcPr>
            <w:tcW w:w="964" w:type="dxa"/>
            <w:tcBorders>
              <w:bottom w:val="single" w:sz="6" w:space="0" w:color="auto"/>
            </w:tcBorders>
          </w:tcPr>
          <w:p w14:paraId="2AB4967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CFDA541"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59B98DC5"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3E80B2C8"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6A5771EE"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1C88A33D" w14:textId="77777777">
        <w:tc>
          <w:tcPr>
            <w:cnfStyle w:val="001000000000" w:firstRow="0" w:lastRow="0" w:firstColumn="1" w:lastColumn="0" w:oddVBand="0" w:evenVBand="0" w:oddHBand="0" w:evenHBand="0" w:firstRowFirstColumn="0" w:firstRowLastColumn="0" w:lastRowFirstColumn="0" w:lastRowLastColumn="0"/>
            <w:tcW w:w="4820" w:type="dxa"/>
          </w:tcPr>
          <w:p w14:paraId="0C67BD02" w14:textId="77777777" w:rsidR="00824558" w:rsidRDefault="00824558">
            <w:pPr>
              <w:keepNext/>
              <w:ind w:left="170"/>
            </w:pPr>
            <w:r>
              <w:t>Government entities reporting cyber maturity</w:t>
            </w:r>
          </w:p>
        </w:tc>
        <w:tc>
          <w:tcPr>
            <w:tcW w:w="964" w:type="dxa"/>
          </w:tcPr>
          <w:p w14:paraId="02CAB57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5A16C5B" w14:textId="77777777" w:rsidR="00824558" w:rsidRDefault="00824558">
            <w:pPr>
              <w:cnfStyle w:val="000000000000" w:firstRow="0" w:lastRow="0" w:firstColumn="0" w:lastColumn="0" w:oddVBand="0" w:evenVBand="0" w:oddHBand="0" w:evenHBand="0" w:firstRowFirstColumn="0" w:firstRowLastColumn="0" w:lastRowFirstColumn="0" w:lastRowLastColumn="0"/>
            </w:pPr>
            <w:r>
              <w:t>180</w:t>
            </w:r>
          </w:p>
        </w:tc>
        <w:tc>
          <w:tcPr>
            <w:tcW w:w="964" w:type="dxa"/>
          </w:tcPr>
          <w:p w14:paraId="0CC6A0C7" w14:textId="77777777" w:rsidR="00824558" w:rsidRDefault="00824558">
            <w:pPr>
              <w:cnfStyle w:val="000000000000" w:firstRow="0" w:lastRow="0" w:firstColumn="0" w:lastColumn="0" w:oddVBand="0" w:evenVBand="0" w:oddHBand="0" w:evenHBand="0" w:firstRowFirstColumn="0" w:firstRowLastColumn="0" w:lastRowFirstColumn="0" w:lastRowLastColumn="0"/>
            </w:pPr>
            <w:r>
              <w:t>191</w:t>
            </w:r>
          </w:p>
        </w:tc>
        <w:tc>
          <w:tcPr>
            <w:tcW w:w="964" w:type="dxa"/>
          </w:tcPr>
          <w:p w14:paraId="3B12A1E0" w14:textId="77777777" w:rsidR="00824558" w:rsidRDefault="00824558">
            <w:pPr>
              <w:cnfStyle w:val="000000000000" w:firstRow="0" w:lastRow="0" w:firstColumn="0" w:lastColumn="0" w:oddVBand="0" w:evenVBand="0" w:oddHBand="0" w:evenHBand="0" w:firstRowFirstColumn="0" w:firstRowLastColumn="0" w:lastRowFirstColumn="0" w:lastRowLastColumn="0"/>
            </w:pPr>
            <w:r>
              <w:t>180</w:t>
            </w:r>
          </w:p>
        </w:tc>
        <w:tc>
          <w:tcPr>
            <w:tcW w:w="964" w:type="dxa"/>
          </w:tcPr>
          <w:p w14:paraId="54D8CEF6" w14:textId="77777777" w:rsidR="00824558" w:rsidRDefault="00824558">
            <w:pPr>
              <w:cnfStyle w:val="000000000000" w:firstRow="0" w:lastRow="0" w:firstColumn="0" w:lastColumn="0" w:oddVBand="0" w:evenVBand="0" w:oddHBand="0" w:evenHBand="0" w:firstRowFirstColumn="0" w:firstRowLastColumn="0" w:lastRowFirstColumn="0" w:lastRowLastColumn="0"/>
            </w:pPr>
            <w:r>
              <w:t>203</w:t>
            </w:r>
          </w:p>
        </w:tc>
      </w:tr>
      <w:tr w:rsidR="00824558" w14:paraId="15B42858"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40EB15E7" w14:textId="296BBAEC" w:rsidR="00824558" w:rsidRDefault="00824558">
            <w:pPr>
              <w:ind w:left="170"/>
            </w:pPr>
            <w:r>
              <w:rPr>
                <w:i/>
              </w:rPr>
              <w:t xml:space="preserve">The </w:t>
            </w:r>
            <w:r w:rsidR="008F7A05">
              <w:rPr>
                <w:i/>
              </w:rPr>
              <w:t>2025-26</w:t>
            </w:r>
            <w:r>
              <w:rPr>
                <w:i/>
              </w:rPr>
              <w:t xml:space="preserve"> expected outcome is higher than the 2025-26 target due to increased engagement resulting in an increased number of agencies reporting cyber maturity.</w:t>
            </w:r>
          </w:p>
        </w:tc>
      </w:tr>
      <w:tr w:rsidR="00824558" w14:paraId="25169354" w14:textId="77777777">
        <w:tc>
          <w:tcPr>
            <w:cnfStyle w:val="001000000000" w:firstRow="0" w:lastRow="0" w:firstColumn="1" w:lastColumn="0" w:oddVBand="0" w:evenVBand="0" w:oddHBand="0" w:evenHBand="0" w:firstRowFirstColumn="0" w:firstRowLastColumn="0" w:lastRowFirstColumn="0" w:lastRowLastColumn="0"/>
            <w:tcW w:w="4820" w:type="dxa"/>
          </w:tcPr>
          <w:p w14:paraId="3B7C8140" w14:textId="77777777" w:rsidR="00824558" w:rsidRDefault="00824558">
            <w:pPr>
              <w:keepNext/>
              <w:ind w:left="170"/>
            </w:pPr>
            <w:r>
              <w:t>Mobile infrastructure projects delivered</w:t>
            </w:r>
          </w:p>
        </w:tc>
        <w:tc>
          <w:tcPr>
            <w:tcW w:w="964" w:type="dxa"/>
          </w:tcPr>
          <w:p w14:paraId="3277407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F07191"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A418FD5"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2037B526"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142D3352" w14:textId="77777777" w:rsidR="00824558" w:rsidRDefault="00824558">
            <w:pPr>
              <w:cnfStyle w:val="000000000000" w:firstRow="0" w:lastRow="0" w:firstColumn="0" w:lastColumn="0" w:oddVBand="0" w:evenVBand="0" w:oddHBand="0" w:evenHBand="0" w:firstRowFirstColumn="0" w:firstRowLastColumn="0" w:lastRowFirstColumn="0" w:lastRowLastColumn="0"/>
            </w:pPr>
            <w:r>
              <w:t>318</w:t>
            </w:r>
          </w:p>
        </w:tc>
      </w:tr>
      <w:tr w:rsidR="00824558" w14:paraId="2C2DBE4A"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E1EBC61" w14:textId="77777777" w:rsidR="00824558" w:rsidRDefault="00824558">
            <w:pPr>
              <w:ind w:left="170"/>
            </w:pPr>
            <w:r>
              <w:rPr>
                <w:i/>
              </w:rPr>
              <w:t xml:space="preserve">The lower 2026-27 target reflects the expected lifecycle of program delivery. </w:t>
            </w:r>
          </w:p>
        </w:tc>
      </w:tr>
      <w:tr w:rsidR="00824558" w14:paraId="5990047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1E9E9D5" w14:textId="77777777" w:rsidR="00824558" w:rsidRDefault="00824558">
            <w:pPr>
              <w:ind w:left="170"/>
            </w:pPr>
            <w:r>
              <w:t>New products, services and features delivered on the Service Victoria digital customer platform is equivalent to or exceeds the target</w:t>
            </w:r>
          </w:p>
        </w:tc>
        <w:tc>
          <w:tcPr>
            <w:tcW w:w="964" w:type="dxa"/>
            <w:tcBorders>
              <w:bottom w:val="single" w:sz="6" w:space="0" w:color="auto"/>
            </w:tcBorders>
          </w:tcPr>
          <w:p w14:paraId="35BC7F2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B65B416"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27BA7215"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36B74B0C"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30C6E6C6"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r>
      <w:tr w:rsidR="00824558" w14:paraId="47DDCB41" w14:textId="77777777">
        <w:tc>
          <w:tcPr>
            <w:cnfStyle w:val="001000000000" w:firstRow="0" w:lastRow="0" w:firstColumn="1" w:lastColumn="0" w:oddVBand="0" w:evenVBand="0" w:oddHBand="0" w:evenHBand="0" w:firstRowFirstColumn="0" w:firstRowLastColumn="0" w:lastRowFirstColumn="0" w:lastRowLastColumn="0"/>
            <w:tcW w:w="4820" w:type="dxa"/>
          </w:tcPr>
          <w:p w14:paraId="0508D8A0" w14:textId="77777777" w:rsidR="00824558" w:rsidRDefault="00824558">
            <w:pPr>
              <w:keepNext/>
              <w:ind w:left="170"/>
            </w:pPr>
            <w:r>
              <w:t>Visits to Data.Vic Open Data portal</w:t>
            </w:r>
          </w:p>
        </w:tc>
        <w:tc>
          <w:tcPr>
            <w:tcW w:w="964" w:type="dxa"/>
          </w:tcPr>
          <w:p w14:paraId="3F6B21D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0BFE9D16"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41DD1641" w14:textId="77777777" w:rsidR="00824558" w:rsidRDefault="00824558">
            <w:pPr>
              <w:cnfStyle w:val="000000000000" w:firstRow="0" w:lastRow="0" w:firstColumn="0" w:lastColumn="0" w:oddVBand="0" w:evenVBand="0" w:oddHBand="0" w:evenHBand="0" w:firstRowFirstColumn="0" w:firstRowLastColumn="0" w:lastRowFirstColumn="0" w:lastRowLastColumn="0"/>
            </w:pPr>
            <w:r>
              <w:t>650</w:t>
            </w:r>
          </w:p>
        </w:tc>
        <w:tc>
          <w:tcPr>
            <w:tcW w:w="964" w:type="dxa"/>
          </w:tcPr>
          <w:p w14:paraId="59AB9D78"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27C4E6FA" w14:textId="77777777" w:rsidR="00824558" w:rsidRDefault="00824558">
            <w:pPr>
              <w:cnfStyle w:val="000000000000" w:firstRow="0" w:lastRow="0" w:firstColumn="0" w:lastColumn="0" w:oddVBand="0" w:evenVBand="0" w:oddHBand="0" w:evenHBand="0" w:firstRowFirstColumn="0" w:firstRowLastColumn="0" w:lastRowFirstColumn="0" w:lastRowLastColumn="0"/>
            </w:pPr>
            <w:r>
              <w:t>524</w:t>
            </w:r>
          </w:p>
        </w:tc>
      </w:tr>
      <w:tr w:rsidR="00824558" w14:paraId="2E8C7863"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2CB4C90" w14:textId="4DA5A71F"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continued demand for open data, particularly transport, VicMap and crime statistics.</w:t>
            </w:r>
          </w:p>
          <w:p w14:paraId="6C4502E2" w14:textId="356437B7" w:rsidR="00824558" w:rsidRDefault="00824558">
            <w:pPr>
              <w:ind w:left="170"/>
            </w:pPr>
            <w:r>
              <w:rPr>
                <w:i/>
              </w:rPr>
              <w:t xml:space="preserve">The higher </w:t>
            </w:r>
            <w:r w:rsidR="002B57CA">
              <w:rPr>
                <w:i/>
              </w:rPr>
              <w:t>2026-27</w:t>
            </w:r>
            <w:r>
              <w:rPr>
                <w:i/>
              </w:rPr>
              <w:t xml:space="preserve"> target reflects expected continued demand for open data.</w:t>
            </w:r>
          </w:p>
        </w:tc>
      </w:tr>
      <w:tr w:rsidR="00824558" w14:paraId="4677BCB7" w14:textId="77777777">
        <w:tc>
          <w:tcPr>
            <w:cnfStyle w:val="001000000000" w:firstRow="0" w:lastRow="0" w:firstColumn="1" w:lastColumn="0" w:oddVBand="0" w:evenVBand="0" w:oddHBand="0" w:evenHBand="0" w:firstRowFirstColumn="0" w:firstRowLastColumn="0" w:lastRowFirstColumn="0" w:lastRowLastColumn="0"/>
            <w:tcW w:w="4820" w:type="dxa"/>
          </w:tcPr>
          <w:p w14:paraId="5DF3312D" w14:textId="77777777" w:rsidR="00824558" w:rsidRDefault="00824558">
            <w:pPr>
              <w:keepNext/>
              <w:ind w:left="170"/>
            </w:pPr>
            <w:r>
              <w:t>VPS active users in the Data Directory</w:t>
            </w:r>
          </w:p>
        </w:tc>
        <w:tc>
          <w:tcPr>
            <w:tcW w:w="964" w:type="dxa"/>
          </w:tcPr>
          <w:p w14:paraId="55B2629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77C18A3" w14:textId="77777777" w:rsidR="00824558" w:rsidRDefault="00824558">
            <w:pPr>
              <w:cnfStyle w:val="000000000000" w:firstRow="0" w:lastRow="0" w:firstColumn="0" w:lastColumn="0" w:oddVBand="0" w:evenVBand="0" w:oddHBand="0" w:evenHBand="0" w:firstRowFirstColumn="0" w:firstRowLastColumn="0" w:lastRowFirstColumn="0" w:lastRowLastColumn="0"/>
            </w:pPr>
            <w:r>
              <w:t>350</w:t>
            </w:r>
          </w:p>
        </w:tc>
        <w:tc>
          <w:tcPr>
            <w:tcW w:w="964" w:type="dxa"/>
          </w:tcPr>
          <w:p w14:paraId="2EC9F564" w14:textId="77777777" w:rsidR="00824558" w:rsidRDefault="00824558">
            <w:pPr>
              <w:cnfStyle w:val="000000000000" w:firstRow="0" w:lastRow="0" w:firstColumn="0" w:lastColumn="0" w:oddVBand="0" w:evenVBand="0" w:oddHBand="0" w:evenHBand="0" w:firstRowFirstColumn="0" w:firstRowLastColumn="0" w:lastRowFirstColumn="0" w:lastRowLastColumn="0"/>
            </w:pPr>
            <w:r>
              <w:t>600</w:t>
            </w:r>
          </w:p>
        </w:tc>
        <w:tc>
          <w:tcPr>
            <w:tcW w:w="964" w:type="dxa"/>
          </w:tcPr>
          <w:p w14:paraId="14D7BE72" w14:textId="77777777" w:rsidR="00824558" w:rsidRDefault="00824558">
            <w:pPr>
              <w:cnfStyle w:val="000000000000" w:firstRow="0" w:lastRow="0" w:firstColumn="0" w:lastColumn="0" w:oddVBand="0" w:evenVBand="0" w:oddHBand="0" w:evenHBand="0" w:firstRowFirstColumn="0" w:firstRowLastColumn="0" w:lastRowFirstColumn="0" w:lastRowLastColumn="0"/>
            </w:pPr>
            <w:r>
              <w:t>350</w:t>
            </w:r>
          </w:p>
        </w:tc>
        <w:tc>
          <w:tcPr>
            <w:tcW w:w="964" w:type="dxa"/>
          </w:tcPr>
          <w:p w14:paraId="33B1C8F9" w14:textId="77777777" w:rsidR="00824558" w:rsidRDefault="00824558">
            <w:pPr>
              <w:cnfStyle w:val="000000000000" w:firstRow="0" w:lastRow="0" w:firstColumn="0" w:lastColumn="0" w:oddVBand="0" w:evenVBand="0" w:oddHBand="0" w:evenHBand="0" w:firstRowFirstColumn="0" w:firstRowLastColumn="0" w:lastRowFirstColumn="0" w:lastRowLastColumn="0"/>
            </w:pPr>
            <w:r>
              <w:t>455</w:t>
            </w:r>
          </w:p>
        </w:tc>
      </w:tr>
      <w:tr w:rsidR="00824558" w14:paraId="73A7A608"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A8FA486" w14:textId="77777777" w:rsidR="00824558" w:rsidRDefault="00824558">
            <w:pPr>
              <w:ind w:left="170"/>
            </w:pPr>
            <w:r>
              <w:rPr>
                <w:i/>
              </w:rPr>
              <w:t xml:space="preserve">The 2025-26 expected outcome is higher than the 2025-26 target due to continued data custodian engagement. </w:t>
            </w:r>
          </w:p>
        </w:tc>
      </w:tr>
      <w:tr w:rsidR="00824558" w:rsidRPr="00A9225F" w14:paraId="7854286B"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01997CC4" w14:textId="77777777" w:rsidR="00824558" w:rsidRPr="00A9225F" w:rsidRDefault="00824558">
            <w:pPr>
              <w:keepNext/>
              <w:rPr>
                <w:b/>
              </w:rPr>
            </w:pPr>
            <w:r w:rsidRPr="00A9225F">
              <w:rPr>
                <w:b/>
              </w:rPr>
              <w:t>Quality</w:t>
            </w:r>
          </w:p>
        </w:tc>
      </w:tr>
      <w:tr w:rsidR="00824558" w14:paraId="0EC87347" w14:textId="77777777">
        <w:tc>
          <w:tcPr>
            <w:cnfStyle w:val="001000000000" w:firstRow="0" w:lastRow="0" w:firstColumn="1" w:lastColumn="0" w:oddVBand="0" w:evenVBand="0" w:oddHBand="0" w:evenHBand="0" w:firstRowFirstColumn="0" w:firstRowLastColumn="0" w:lastRowFirstColumn="0" w:lastRowLastColumn="0"/>
            <w:tcW w:w="4820" w:type="dxa"/>
          </w:tcPr>
          <w:p w14:paraId="4F9F7A12" w14:textId="77777777" w:rsidR="00824558" w:rsidRDefault="00824558">
            <w:pPr>
              <w:keepNext/>
              <w:ind w:left="170"/>
            </w:pPr>
            <w:r>
              <w:t>Overall customer satisfaction with data services delivered by DGS</w:t>
            </w:r>
          </w:p>
        </w:tc>
        <w:tc>
          <w:tcPr>
            <w:tcW w:w="964" w:type="dxa"/>
          </w:tcPr>
          <w:p w14:paraId="341AEAD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7AF2B7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6226DE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1DE5D27"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AA88A2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14:paraId="506E7B99"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AFB295C" w14:textId="0C9C9FC1"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high quality and timely delivery.</w:t>
            </w:r>
          </w:p>
        </w:tc>
      </w:tr>
      <w:tr w:rsidR="00824558" w:rsidRPr="00A9225F" w14:paraId="43B818F5" w14:textId="77777777" w:rsidTr="005D3A4A">
        <w:tc>
          <w:tcPr>
            <w:cnfStyle w:val="001000000000" w:firstRow="0" w:lastRow="0" w:firstColumn="1" w:lastColumn="0" w:oddVBand="0" w:evenVBand="0" w:oddHBand="0" w:evenHBand="0" w:firstRowFirstColumn="0" w:firstRowLastColumn="0" w:lastRowFirstColumn="0" w:lastRowLastColumn="0"/>
            <w:tcW w:w="9640" w:type="dxa"/>
            <w:gridSpan w:val="6"/>
          </w:tcPr>
          <w:p w14:paraId="398879DE" w14:textId="77777777" w:rsidR="00824558" w:rsidRPr="00A9225F" w:rsidRDefault="00824558">
            <w:pPr>
              <w:keepNext/>
              <w:rPr>
                <w:b/>
              </w:rPr>
            </w:pPr>
            <w:r w:rsidRPr="00A9225F">
              <w:rPr>
                <w:b/>
              </w:rPr>
              <w:t>Cost</w:t>
            </w:r>
          </w:p>
        </w:tc>
      </w:tr>
      <w:tr w:rsidR="00824558" w14:paraId="6105A90B" w14:textId="77777777" w:rsidTr="00A726DD">
        <w:tc>
          <w:tcPr>
            <w:cnfStyle w:val="001000000000" w:firstRow="0" w:lastRow="0" w:firstColumn="1" w:lastColumn="0" w:oddVBand="0" w:evenVBand="0" w:oddHBand="0" w:evenHBand="0" w:firstRowFirstColumn="0" w:firstRowLastColumn="0" w:lastRowFirstColumn="0" w:lastRowLastColumn="0"/>
            <w:tcW w:w="4820" w:type="dxa"/>
          </w:tcPr>
          <w:p w14:paraId="08A24AA5" w14:textId="77777777" w:rsidR="00824558" w:rsidRDefault="00824558">
            <w:pPr>
              <w:keepNext/>
              <w:ind w:left="170"/>
            </w:pPr>
            <w:r>
              <w:t>Total output cost</w:t>
            </w:r>
          </w:p>
        </w:tc>
        <w:tc>
          <w:tcPr>
            <w:tcW w:w="964" w:type="dxa"/>
          </w:tcPr>
          <w:p w14:paraId="5516550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4C923D8" w14:textId="34469557" w:rsidR="00824558" w:rsidRPr="00A33DA0" w:rsidRDefault="00317214">
            <w:pPr>
              <w:cnfStyle w:val="000000000000" w:firstRow="0" w:lastRow="0" w:firstColumn="0" w:lastColumn="0" w:oddVBand="0" w:evenVBand="0" w:oddHBand="0" w:evenHBand="0" w:firstRowFirstColumn="0" w:firstRowLastColumn="0" w:lastRowFirstColumn="0" w:lastRowLastColumn="0"/>
              <w:rPr>
                <w:highlight w:val="yellow"/>
              </w:rPr>
            </w:pPr>
            <w:r w:rsidRPr="00317214">
              <w:t>88.4</w:t>
            </w:r>
          </w:p>
        </w:tc>
        <w:tc>
          <w:tcPr>
            <w:tcW w:w="964" w:type="dxa"/>
          </w:tcPr>
          <w:p w14:paraId="4370ECAF" w14:textId="5B0679CB" w:rsidR="00824558" w:rsidRPr="00A33DA0" w:rsidRDefault="00A726DD">
            <w:pPr>
              <w:cnfStyle w:val="000000000000" w:firstRow="0" w:lastRow="0" w:firstColumn="0" w:lastColumn="0" w:oddVBand="0" w:evenVBand="0" w:oddHBand="0" w:evenHBand="0" w:firstRowFirstColumn="0" w:firstRowLastColumn="0" w:lastRowFirstColumn="0" w:lastRowLastColumn="0"/>
              <w:rPr>
                <w:highlight w:val="yellow"/>
              </w:rPr>
            </w:pPr>
            <w:r>
              <w:t>123.1</w:t>
            </w:r>
          </w:p>
        </w:tc>
        <w:tc>
          <w:tcPr>
            <w:tcW w:w="964" w:type="dxa"/>
          </w:tcPr>
          <w:p w14:paraId="5E34DFE5" w14:textId="77777777" w:rsidR="00824558" w:rsidRDefault="00824558">
            <w:pPr>
              <w:cnfStyle w:val="000000000000" w:firstRow="0" w:lastRow="0" w:firstColumn="0" w:lastColumn="0" w:oddVBand="0" w:evenVBand="0" w:oddHBand="0" w:evenHBand="0" w:firstRowFirstColumn="0" w:firstRowLastColumn="0" w:lastRowFirstColumn="0" w:lastRowLastColumn="0"/>
            </w:pPr>
            <w:r>
              <w:t>125.2</w:t>
            </w:r>
          </w:p>
        </w:tc>
        <w:tc>
          <w:tcPr>
            <w:tcW w:w="964" w:type="dxa"/>
          </w:tcPr>
          <w:p w14:paraId="2D7E4ABB" w14:textId="77777777" w:rsidR="00824558" w:rsidRDefault="00824558">
            <w:pPr>
              <w:cnfStyle w:val="000000000000" w:firstRow="0" w:lastRow="0" w:firstColumn="0" w:lastColumn="0" w:oddVBand="0" w:evenVBand="0" w:oddHBand="0" w:evenHBand="0" w:firstRowFirstColumn="0" w:firstRowLastColumn="0" w:lastRowFirstColumn="0" w:lastRowLastColumn="0"/>
            </w:pPr>
            <w:r>
              <w:t>158.9</w:t>
            </w:r>
          </w:p>
        </w:tc>
      </w:tr>
      <w:tr w:rsidR="00A726DD" w14:paraId="47536C3D"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0CA5950B" w14:textId="7E5011A3" w:rsidR="00A726DD" w:rsidRDefault="00453EE6" w:rsidP="00453EE6">
            <w:pPr>
              <w:ind w:left="170"/>
            </w:pPr>
            <w:r w:rsidRPr="003F1028">
              <w:rPr>
                <w:i/>
              </w:rPr>
              <w:t>The 2026</w:t>
            </w:r>
            <w:r w:rsidR="00383570">
              <w:rPr>
                <w:i/>
              </w:rPr>
              <w:t>-</w:t>
            </w:r>
            <w:r w:rsidRPr="003F1028">
              <w:rPr>
                <w:i/>
              </w:rPr>
              <w:t>27 target is lower than the 2025</w:t>
            </w:r>
            <w:r w:rsidR="00383570">
              <w:rPr>
                <w:i/>
              </w:rPr>
              <w:t>-</w:t>
            </w:r>
            <w:r w:rsidRPr="003F1028">
              <w:rPr>
                <w:i/>
              </w:rPr>
              <w:t>26 target because the Connecting Victoria mobile and broadband program is nearing completion in 2026</w:t>
            </w:r>
            <w:r w:rsidR="00383570">
              <w:rPr>
                <w:i/>
              </w:rPr>
              <w:t>-</w:t>
            </w:r>
            <w:r w:rsidRPr="003F1028">
              <w:rPr>
                <w:i/>
              </w:rPr>
              <w:t>27.</w:t>
            </w:r>
          </w:p>
        </w:tc>
      </w:tr>
    </w:tbl>
    <w:p w14:paraId="31330548" w14:textId="77777777" w:rsidR="00824558" w:rsidRDefault="00824558">
      <w:pPr>
        <w:pStyle w:val="Source"/>
      </w:pPr>
      <w:r>
        <w:t>Source: Department of Government Services</w:t>
      </w:r>
    </w:p>
    <w:p w14:paraId="0D5E5F6B" w14:textId="18924177" w:rsidR="00824558" w:rsidRDefault="00824558" w:rsidP="00A33DA0"/>
    <w:p w14:paraId="3CB4AFDD" w14:textId="77777777" w:rsidR="00EB5C10" w:rsidRDefault="00EB5C10">
      <w:pPr>
        <w:keepLines w:val="0"/>
        <w:rPr>
          <w:rFonts w:asciiTheme="majorHAnsi" w:hAnsiTheme="majorHAnsi" w:cstheme="minorBidi"/>
          <w:b/>
          <w:sz w:val="20"/>
        </w:rPr>
      </w:pPr>
      <w:r>
        <w:br w:type="page"/>
      </w:r>
    </w:p>
    <w:p w14:paraId="787F518D" w14:textId="77777777" w:rsidR="00824558" w:rsidRPr="002476F2" w:rsidRDefault="00824558">
      <w:pPr>
        <w:pStyle w:val="ShadedBoxHeading"/>
      </w:pPr>
      <w:r w:rsidRPr="002476F2">
        <w:lastRenderedPageBreak/>
        <w:t>Objective 3: Deliver corporate services that enable efficiency, productivity and high-quality service delivery</w:t>
      </w:r>
    </w:p>
    <w:p w14:paraId="47688B94" w14:textId="77777777" w:rsidR="00824558" w:rsidRPr="005C3729" w:rsidRDefault="00824558">
      <w:pPr>
        <w:pStyle w:val="ShadedBoxText"/>
        <w:rPr>
          <w:rFonts w:cs="Calibri"/>
          <w:highlight w:val="yellow"/>
        </w:rPr>
      </w:pPr>
      <w:r w:rsidRPr="005C3729">
        <w:rPr>
          <w:rFonts w:cs="Calibri"/>
        </w:rPr>
        <w:t>This objective aims to accelerate common corporate services to deliver integrated and customer-centred shared services to government agencies. Areas include procurement, fleet management, vehicle leasing and carpool, office accommodation management, government library services and shared central agency corporate services.</w:t>
      </w:r>
      <w:r w:rsidRPr="005C3729">
        <w:rPr>
          <w:rFonts w:cs="Calibri"/>
          <w:vertAlign w:val="superscript"/>
        </w:rPr>
        <w:t>(a)</w:t>
      </w:r>
    </w:p>
    <w:p w14:paraId="10BF8243" w14:textId="77777777" w:rsidR="00824558" w:rsidRPr="005C3729" w:rsidRDefault="00824558">
      <w:pPr>
        <w:pStyle w:val="ShadedBoxText"/>
        <w:rPr>
          <w:rFonts w:cs="Calibri"/>
        </w:rPr>
      </w:pPr>
      <w:r w:rsidRPr="005C3729">
        <w:rPr>
          <w:rFonts w:cs="Calibri"/>
        </w:rPr>
        <w:t>The departmental objective indicators are:</w:t>
      </w:r>
    </w:p>
    <w:p w14:paraId="1DF5017C" w14:textId="77777777" w:rsidR="00824558" w:rsidRPr="005C3729" w:rsidRDefault="00824558">
      <w:pPr>
        <w:pStyle w:val="ShadedBoxBullet"/>
        <w:contextualSpacing/>
        <w:rPr>
          <w:rFonts w:cs="Calibri"/>
        </w:rPr>
      </w:pPr>
      <w:r w:rsidRPr="005C3729">
        <w:rPr>
          <w:rFonts w:cs="Calibri"/>
        </w:rPr>
        <w:t>benefits delivered as a percentage of expenditure under managed state purchasing contracts, including reduced and avoided costs</w:t>
      </w:r>
    </w:p>
    <w:p w14:paraId="5B46ADEA" w14:textId="77777777" w:rsidR="00824558" w:rsidRPr="005C3729" w:rsidRDefault="00824558">
      <w:pPr>
        <w:pStyle w:val="ShadedBoxBullet"/>
        <w:contextualSpacing/>
        <w:rPr>
          <w:rFonts w:cs="Calibri"/>
        </w:rPr>
      </w:pPr>
      <w:r w:rsidRPr="005C3729">
        <w:rPr>
          <w:rFonts w:cs="Calibri"/>
        </w:rPr>
        <w:t>optimise accommodation footprint and costs to meet business and workforce requirements</w:t>
      </w:r>
    </w:p>
    <w:p w14:paraId="418AC8DE" w14:textId="77777777" w:rsidR="00824558" w:rsidRPr="005C3729" w:rsidRDefault="00824558">
      <w:pPr>
        <w:pStyle w:val="ShadedBoxBullet"/>
        <w:contextualSpacing/>
        <w:rPr>
          <w:rFonts w:cs="Calibri"/>
        </w:rPr>
      </w:pPr>
      <w:r w:rsidRPr="005C3729">
        <w:rPr>
          <w:rFonts w:cs="Calibri"/>
        </w:rPr>
        <w:t xml:space="preserve">high-quality whole of government common services are provided to government agencies. </w:t>
      </w:r>
    </w:p>
    <w:p w14:paraId="0448C4D8" w14:textId="77777777" w:rsidR="00824558" w:rsidRDefault="00824558">
      <w:pPr>
        <w:pStyle w:val="ShadedBoxNote"/>
      </w:pPr>
      <w:r w:rsidRPr="00F234F5">
        <w:t>Note:</w:t>
      </w:r>
    </w:p>
    <w:p w14:paraId="76B43DED" w14:textId="320426AA" w:rsidR="00824558" w:rsidRPr="00A33DA0" w:rsidRDefault="00A33DA0" w:rsidP="00A33DA0">
      <w:pPr>
        <w:pStyle w:val="ShadedBoxNote"/>
      </w:pPr>
      <w:r>
        <w:t>(a)</w:t>
      </w:r>
      <w:r>
        <w:tab/>
      </w:r>
      <w:r w:rsidR="00824558" w:rsidRPr="00A33DA0">
        <w:t>Objective description has been updated to better reflect services provided.</w:t>
      </w:r>
    </w:p>
    <w:p w14:paraId="7BB8946C" w14:textId="77777777" w:rsidR="00824558" w:rsidRDefault="00824558">
      <w:pPr>
        <w:pStyle w:val="Heading3"/>
      </w:pPr>
      <w:r>
        <w:t>Output</w:t>
      </w:r>
    </w:p>
    <w:p w14:paraId="7322DFA7" w14:textId="3F7EFBCA" w:rsidR="00824558" w:rsidRPr="00303681" w:rsidRDefault="00824558">
      <w:pPr>
        <w:pStyle w:val="Heading3"/>
      </w:pPr>
      <w:r>
        <w:t xml:space="preserve">Services to </w:t>
      </w:r>
      <w:r w:rsidRPr="00303681">
        <w:t>Government</w:t>
      </w:r>
      <w:r w:rsidRPr="00303681">
        <w:tab/>
        <w:t>(2026-27: $</w:t>
      </w:r>
      <w:r w:rsidR="00547CB9">
        <w:t>378.5</w:t>
      </w:r>
      <w:r w:rsidRPr="00303681">
        <w:t xml:space="preserve"> million)</w:t>
      </w:r>
    </w:p>
    <w:p w14:paraId="1BEB0394" w14:textId="4FC76734" w:rsidR="00824558" w:rsidRPr="005C3729" w:rsidRDefault="00824558">
      <w:pPr>
        <w:rPr>
          <w:rFonts w:cs="Calibri"/>
        </w:rPr>
      </w:pPr>
      <w:r w:rsidRPr="005C3729">
        <w:rPr>
          <w:rFonts w:cs="Calibri"/>
        </w:rPr>
        <w:t>This output contributes to the Department</w:t>
      </w:r>
      <w:r w:rsidR="007942D1">
        <w:rPr>
          <w:rFonts w:cs="Calibri"/>
        </w:rPr>
        <w:t>’</w:t>
      </w:r>
      <w:r w:rsidRPr="005C3729">
        <w:rPr>
          <w:rFonts w:cs="Calibri"/>
        </w:rPr>
        <w:t xml:space="preserve">s objective of delivering corporate services that enable the Victorian public service by: </w:t>
      </w:r>
    </w:p>
    <w:p w14:paraId="21F50CA0" w14:textId="77777777" w:rsidR="00824558" w:rsidRPr="005C3729" w:rsidRDefault="00824558">
      <w:pPr>
        <w:pStyle w:val="ListBullet"/>
        <w:tabs>
          <w:tab w:val="clear" w:pos="360"/>
        </w:tabs>
        <w:ind w:left="340" w:hanging="340"/>
        <w:rPr>
          <w:rFonts w:cs="Calibri"/>
        </w:rPr>
      </w:pPr>
      <w:r w:rsidRPr="005C3729">
        <w:rPr>
          <w:rFonts w:cs="Calibri"/>
        </w:rPr>
        <w:t>developing and maintaining a framework of whole of government policies, strategies, standards and guidelines which promote the efficient and effective use of common services including procurement, fleet, office accommodation management, carpool and government library services</w:t>
      </w:r>
    </w:p>
    <w:p w14:paraId="50F21105" w14:textId="77777777" w:rsidR="00824558" w:rsidRPr="005C3729" w:rsidRDefault="00824558">
      <w:pPr>
        <w:pStyle w:val="ListBullet"/>
        <w:tabs>
          <w:tab w:val="clear" w:pos="360"/>
        </w:tabs>
        <w:ind w:left="340" w:hanging="340"/>
        <w:rPr>
          <w:rFonts w:cs="Calibri"/>
        </w:rPr>
      </w:pPr>
      <w:r w:rsidRPr="005C3729">
        <w:rPr>
          <w:rFonts w:cs="Calibri"/>
        </w:rPr>
        <w:t>managing whole of government procurement contracts to ensure optimum benefit to government</w:t>
      </w:r>
    </w:p>
    <w:p w14:paraId="6615BBF6" w14:textId="77777777" w:rsidR="00824558" w:rsidRPr="005C3729" w:rsidRDefault="00824558">
      <w:pPr>
        <w:pStyle w:val="ListBullet"/>
        <w:tabs>
          <w:tab w:val="clear" w:pos="360"/>
        </w:tabs>
        <w:ind w:left="340" w:hanging="340"/>
        <w:rPr>
          <w:rFonts w:cs="Calibri"/>
        </w:rPr>
      </w:pPr>
      <w:r w:rsidRPr="005C3729">
        <w:rPr>
          <w:rFonts w:cs="Calibri"/>
        </w:rPr>
        <w:t>providing strategic and fit-for-purpose shared services advice to clients to deliver value to the Victorian Government</w:t>
      </w:r>
    </w:p>
    <w:p w14:paraId="6AD8BFAE" w14:textId="77777777" w:rsidR="00824558" w:rsidRPr="005C3729" w:rsidRDefault="00824558">
      <w:pPr>
        <w:pStyle w:val="ListBullet"/>
        <w:tabs>
          <w:tab w:val="clear" w:pos="360"/>
        </w:tabs>
        <w:ind w:left="340" w:hanging="340"/>
        <w:rPr>
          <w:rFonts w:cs="Calibri"/>
        </w:rPr>
      </w:pPr>
      <w:r w:rsidRPr="005C3729">
        <w:rPr>
          <w:rFonts w:cs="Calibri"/>
        </w:rPr>
        <w:t>providing whole of government office accommodation and accommodation management</w:t>
      </w:r>
    </w:p>
    <w:p w14:paraId="183E64F5" w14:textId="4862D292" w:rsidR="00824558" w:rsidRPr="005C3729" w:rsidRDefault="00824558">
      <w:pPr>
        <w:pStyle w:val="ListBullet"/>
        <w:tabs>
          <w:tab w:val="clear" w:pos="360"/>
        </w:tabs>
        <w:ind w:left="340" w:hanging="340"/>
        <w:rPr>
          <w:rFonts w:cs="Calibri"/>
        </w:rPr>
      </w:pPr>
      <w:r w:rsidRPr="005C3729">
        <w:rPr>
          <w:rFonts w:cs="Calibri"/>
        </w:rPr>
        <w:t>providing vehicle leasing and carpool services, government library services and shared corporate services.</w:t>
      </w:r>
      <w:r w:rsidR="00E1150C" w:rsidRPr="00851116">
        <w:rPr>
          <w:rFonts w:eastAsiaTheme="minorEastAsia" w:cstheme="majorHAnsi"/>
          <w:vertAlign w:val="superscript"/>
        </w:rPr>
        <w:t>(a)</w:t>
      </w:r>
    </w:p>
    <w:p w14:paraId="2CB3D077" w14:textId="77777777" w:rsidR="00824558" w:rsidRPr="00A33DA0" w:rsidRDefault="00824558" w:rsidP="00A33DA0">
      <w:pPr>
        <w:pStyle w:val="Note"/>
        <w:spacing w:after="180"/>
      </w:pPr>
      <w:r w:rsidRPr="00A33DA0">
        <w:t>Note:</w:t>
      </w:r>
    </w:p>
    <w:p w14:paraId="09512752" w14:textId="345D2B1F" w:rsidR="00824558" w:rsidRPr="00A33DA0" w:rsidRDefault="00A33DA0" w:rsidP="00A33DA0">
      <w:pPr>
        <w:pStyle w:val="Note"/>
        <w:spacing w:after="180"/>
      </w:pPr>
      <w:r>
        <w:t>(a)</w:t>
      </w:r>
      <w:r>
        <w:tab/>
      </w:r>
      <w:r w:rsidR="00824558" w:rsidRPr="00A33DA0">
        <w:t>Output description updated to more accurately reflect Fleet and Carpool responsibilities.</w:t>
      </w:r>
    </w:p>
    <w:tbl>
      <w:tblPr>
        <w:tblStyle w:val="DTFTableNumeric"/>
        <w:tblW w:w="9639" w:type="dxa"/>
        <w:tblLayout w:type="fixed"/>
        <w:tblLook w:val="04A0" w:firstRow="1" w:lastRow="0" w:firstColumn="1" w:lastColumn="0" w:noHBand="0" w:noVBand="1"/>
      </w:tblPr>
      <w:tblGrid>
        <w:gridCol w:w="4578"/>
        <w:gridCol w:w="1205"/>
        <w:gridCol w:w="964"/>
        <w:gridCol w:w="964"/>
        <w:gridCol w:w="964"/>
        <w:gridCol w:w="964"/>
      </w:tblGrid>
      <w:tr w:rsidR="00824558" w14:paraId="2BF4178A" w14:textId="77777777" w:rsidTr="00A922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8" w:type="dxa"/>
          </w:tcPr>
          <w:p w14:paraId="095E3036" w14:textId="77777777" w:rsidR="00824558" w:rsidRDefault="00824558">
            <w:r>
              <w:t>Performance measure</w:t>
            </w:r>
          </w:p>
        </w:tc>
        <w:tc>
          <w:tcPr>
            <w:tcW w:w="1205" w:type="dxa"/>
          </w:tcPr>
          <w:p w14:paraId="7D6C3CAA"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C6036A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21E5A7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182973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9EF49E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4D034A8E" w14:textId="77777777" w:rsidTr="00A33DA0">
        <w:tc>
          <w:tcPr>
            <w:cnfStyle w:val="001000000000" w:firstRow="0" w:lastRow="0" w:firstColumn="1" w:lastColumn="0" w:oddVBand="0" w:evenVBand="0" w:oddHBand="0" w:evenHBand="0" w:firstRowFirstColumn="0" w:firstRowLastColumn="0" w:lastRowFirstColumn="0" w:lastRowLastColumn="0"/>
            <w:tcW w:w="9639" w:type="dxa"/>
            <w:gridSpan w:val="6"/>
          </w:tcPr>
          <w:p w14:paraId="4E37C812" w14:textId="77777777" w:rsidR="00824558" w:rsidRPr="00A9225F" w:rsidRDefault="00824558">
            <w:pPr>
              <w:keepNext/>
              <w:rPr>
                <w:b/>
              </w:rPr>
            </w:pPr>
            <w:r w:rsidRPr="00A9225F">
              <w:rPr>
                <w:b/>
              </w:rPr>
              <w:t>Quantity</w:t>
            </w:r>
          </w:p>
        </w:tc>
      </w:tr>
      <w:tr w:rsidR="00824558" w14:paraId="2BFD59AE" w14:textId="77777777" w:rsidTr="00A9225F">
        <w:tc>
          <w:tcPr>
            <w:cnfStyle w:val="001000000000" w:firstRow="0" w:lastRow="0" w:firstColumn="1" w:lastColumn="0" w:oddVBand="0" w:evenVBand="0" w:oddHBand="0" w:evenHBand="0" w:firstRowFirstColumn="0" w:firstRowLastColumn="0" w:lastRowFirstColumn="0" w:lastRowLastColumn="0"/>
            <w:tcW w:w="4578" w:type="dxa"/>
            <w:tcBorders>
              <w:bottom w:val="single" w:sz="6" w:space="0" w:color="auto"/>
            </w:tcBorders>
          </w:tcPr>
          <w:p w14:paraId="125018A2" w14:textId="77777777" w:rsidR="00824558" w:rsidRDefault="00824558">
            <w:pPr>
              <w:ind w:left="170"/>
            </w:pPr>
            <w:r>
              <w:t>Number of DGS State Purchase Contracts (SPCs) established, renewed, varied and managed</w:t>
            </w:r>
          </w:p>
        </w:tc>
        <w:tc>
          <w:tcPr>
            <w:tcW w:w="1205" w:type="dxa"/>
            <w:tcBorders>
              <w:bottom w:val="single" w:sz="6" w:space="0" w:color="auto"/>
            </w:tcBorders>
          </w:tcPr>
          <w:p w14:paraId="25CDB9A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058C583" w14:textId="77777777" w:rsidR="00824558" w:rsidRDefault="00824558">
            <w:pPr>
              <w:cnfStyle w:val="000000000000" w:firstRow="0" w:lastRow="0" w:firstColumn="0" w:lastColumn="0" w:oddVBand="0" w:evenVBand="0" w:oddHBand="0" w:evenHBand="0" w:firstRowFirstColumn="0" w:firstRowLastColumn="0" w:lastRowFirstColumn="0" w:lastRowLastColumn="0"/>
            </w:pPr>
            <w:r>
              <w:t>36</w:t>
            </w:r>
          </w:p>
        </w:tc>
        <w:tc>
          <w:tcPr>
            <w:tcW w:w="964" w:type="dxa"/>
            <w:tcBorders>
              <w:bottom w:val="single" w:sz="6" w:space="0" w:color="auto"/>
            </w:tcBorders>
          </w:tcPr>
          <w:p w14:paraId="489E1E1D" w14:textId="77777777" w:rsidR="00824558" w:rsidRDefault="00824558">
            <w:pPr>
              <w:cnfStyle w:val="000000000000" w:firstRow="0" w:lastRow="0" w:firstColumn="0" w:lastColumn="0" w:oddVBand="0" w:evenVBand="0" w:oddHBand="0" w:evenHBand="0" w:firstRowFirstColumn="0" w:firstRowLastColumn="0" w:lastRowFirstColumn="0" w:lastRowLastColumn="0"/>
            </w:pPr>
            <w:r>
              <w:t>37</w:t>
            </w:r>
          </w:p>
        </w:tc>
        <w:tc>
          <w:tcPr>
            <w:tcW w:w="964" w:type="dxa"/>
            <w:tcBorders>
              <w:bottom w:val="single" w:sz="6" w:space="0" w:color="auto"/>
            </w:tcBorders>
          </w:tcPr>
          <w:p w14:paraId="74F60B1C" w14:textId="77777777" w:rsidR="00824558" w:rsidRDefault="00824558">
            <w:pPr>
              <w:cnfStyle w:val="000000000000" w:firstRow="0" w:lastRow="0" w:firstColumn="0" w:lastColumn="0" w:oddVBand="0" w:evenVBand="0" w:oddHBand="0" w:evenHBand="0" w:firstRowFirstColumn="0" w:firstRowLastColumn="0" w:lastRowFirstColumn="0" w:lastRowLastColumn="0"/>
            </w:pPr>
            <w:r>
              <w:t>36</w:t>
            </w:r>
          </w:p>
        </w:tc>
        <w:tc>
          <w:tcPr>
            <w:tcW w:w="964" w:type="dxa"/>
            <w:tcBorders>
              <w:bottom w:val="single" w:sz="6" w:space="0" w:color="auto"/>
            </w:tcBorders>
          </w:tcPr>
          <w:p w14:paraId="1E152371" w14:textId="77777777" w:rsidR="00824558" w:rsidRDefault="00824558">
            <w:pPr>
              <w:cnfStyle w:val="000000000000" w:firstRow="0" w:lastRow="0" w:firstColumn="0" w:lastColumn="0" w:oddVBand="0" w:evenVBand="0" w:oddHBand="0" w:evenHBand="0" w:firstRowFirstColumn="0" w:firstRowLastColumn="0" w:lastRowFirstColumn="0" w:lastRowLastColumn="0"/>
            </w:pPr>
            <w:r>
              <w:t>37</w:t>
            </w:r>
          </w:p>
        </w:tc>
      </w:tr>
      <w:tr w:rsidR="00824558" w14:paraId="1CF88854" w14:textId="77777777" w:rsidTr="00A9225F">
        <w:tc>
          <w:tcPr>
            <w:cnfStyle w:val="001000000000" w:firstRow="0" w:lastRow="0" w:firstColumn="1" w:lastColumn="0" w:oddVBand="0" w:evenVBand="0" w:oddHBand="0" w:evenHBand="0" w:firstRowFirstColumn="0" w:firstRowLastColumn="0" w:lastRowFirstColumn="0" w:lastRowLastColumn="0"/>
            <w:tcW w:w="4578" w:type="dxa"/>
            <w:tcBorders>
              <w:bottom w:val="single" w:sz="6" w:space="0" w:color="auto"/>
            </w:tcBorders>
          </w:tcPr>
          <w:p w14:paraId="31662175" w14:textId="77777777" w:rsidR="00824558" w:rsidRDefault="00824558">
            <w:pPr>
              <w:ind w:left="170"/>
            </w:pPr>
            <w:r>
              <w:t>Total accommodation cost</w:t>
            </w:r>
          </w:p>
        </w:tc>
        <w:tc>
          <w:tcPr>
            <w:tcW w:w="1205" w:type="dxa"/>
            <w:tcBorders>
              <w:bottom w:val="single" w:sz="6" w:space="0" w:color="auto"/>
            </w:tcBorders>
          </w:tcPr>
          <w:p w14:paraId="361E56A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per square metre per year</w:t>
            </w:r>
          </w:p>
        </w:tc>
        <w:tc>
          <w:tcPr>
            <w:tcW w:w="964" w:type="dxa"/>
            <w:tcBorders>
              <w:bottom w:val="single" w:sz="6" w:space="0" w:color="auto"/>
            </w:tcBorders>
            <w:shd w:val="clear" w:color="auto" w:fill="F0F0F0"/>
          </w:tcPr>
          <w:p w14:paraId="44EF13A4" w14:textId="77777777" w:rsidR="00824558" w:rsidRDefault="00824558">
            <w:pPr>
              <w:cnfStyle w:val="000000000000" w:firstRow="0" w:lastRow="0" w:firstColumn="0" w:lastColumn="0" w:oddVBand="0" w:evenVBand="0" w:oddHBand="0" w:evenHBand="0" w:firstRowFirstColumn="0" w:firstRowLastColumn="0" w:lastRowFirstColumn="0" w:lastRowLastColumn="0"/>
            </w:pPr>
            <w:r>
              <w:t>498</w:t>
            </w:r>
          </w:p>
        </w:tc>
        <w:tc>
          <w:tcPr>
            <w:tcW w:w="964" w:type="dxa"/>
            <w:tcBorders>
              <w:bottom w:val="single" w:sz="6" w:space="0" w:color="auto"/>
            </w:tcBorders>
          </w:tcPr>
          <w:p w14:paraId="22D165A7" w14:textId="77777777" w:rsidR="00824558" w:rsidRDefault="00824558">
            <w:pPr>
              <w:cnfStyle w:val="000000000000" w:firstRow="0" w:lastRow="0" w:firstColumn="0" w:lastColumn="0" w:oddVBand="0" w:evenVBand="0" w:oddHBand="0" w:evenHBand="0" w:firstRowFirstColumn="0" w:firstRowLastColumn="0" w:lastRowFirstColumn="0" w:lastRowLastColumn="0"/>
            </w:pPr>
            <w:r>
              <w:t>498</w:t>
            </w:r>
          </w:p>
        </w:tc>
        <w:tc>
          <w:tcPr>
            <w:tcW w:w="964" w:type="dxa"/>
            <w:tcBorders>
              <w:bottom w:val="single" w:sz="6" w:space="0" w:color="auto"/>
            </w:tcBorders>
          </w:tcPr>
          <w:p w14:paraId="563580CC" w14:textId="77777777" w:rsidR="00824558" w:rsidRDefault="00824558">
            <w:pPr>
              <w:cnfStyle w:val="000000000000" w:firstRow="0" w:lastRow="0" w:firstColumn="0" w:lastColumn="0" w:oddVBand="0" w:evenVBand="0" w:oddHBand="0" w:evenHBand="0" w:firstRowFirstColumn="0" w:firstRowLastColumn="0" w:lastRowFirstColumn="0" w:lastRowLastColumn="0"/>
            </w:pPr>
            <w:r>
              <w:t>498</w:t>
            </w:r>
          </w:p>
        </w:tc>
        <w:tc>
          <w:tcPr>
            <w:tcW w:w="964" w:type="dxa"/>
            <w:tcBorders>
              <w:bottom w:val="single" w:sz="6" w:space="0" w:color="auto"/>
            </w:tcBorders>
          </w:tcPr>
          <w:p w14:paraId="5D9AF6BD" w14:textId="77777777" w:rsidR="00824558" w:rsidRDefault="00824558">
            <w:pPr>
              <w:cnfStyle w:val="000000000000" w:firstRow="0" w:lastRow="0" w:firstColumn="0" w:lastColumn="0" w:oddVBand="0" w:evenVBand="0" w:oddHBand="0" w:evenHBand="0" w:firstRowFirstColumn="0" w:firstRowLastColumn="0" w:lastRowFirstColumn="0" w:lastRowLastColumn="0"/>
            </w:pPr>
            <w:r>
              <w:t>468.7</w:t>
            </w:r>
          </w:p>
        </w:tc>
      </w:tr>
      <w:tr w:rsidR="00824558" w14:paraId="2C4A7323" w14:textId="77777777" w:rsidTr="00A9225F">
        <w:tc>
          <w:tcPr>
            <w:cnfStyle w:val="001000000000" w:firstRow="0" w:lastRow="0" w:firstColumn="1" w:lastColumn="0" w:oddVBand="0" w:evenVBand="0" w:oddHBand="0" w:evenHBand="0" w:firstRowFirstColumn="0" w:firstRowLastColumn="0" w:lastRowFirstColumn="0" w:lastRowLastColumn="0"/>
            <w:tcW w:w="4578" w:type="dxa"/>
          </w:tcPr>
          <w:p w14:paraId="0592C5ED" w14:textId="77777777" w:rsidR="00824558" w:rsidRDefault="00824558">
            <w:pPr>
              <w:keepNext/>
              <w:ind w:left="170"/>
            </w:pPr>
            <w:r>
              <w:t>Workspace ratio by FTE</w:t>
            </w:r>
          </w:p>
        </w:tc>
        <w:tc>
          <w:tcPr>
            <w:tcW w:w="1205" w:type="dxa"/>
          </w:tcPr>
          <w:p w14:paraId="6ABFCC8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square metre per FTE</w:t>
            </w:r>
          </w:p>
        </w:tc>
        <w:tc>
          <w:tcPr>
            <w:tcW w:w="964" w:type="dxa"/>
            <w:shd w:val="clear" w:color="auto" w:fill="F0F0F0"/>
          </w:tcPr>
          <w:p w14:paraId="5B16DA38" w14:textId="77777777" w:rsidR="00824558" w:rsidRDefault="0082455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16BE7B80"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24949938" w14:textId="77777777" w:rsidR="00824558" w:rsidRDefault="0082455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73C6CA43" w14:textId="77777777" w:rsidR="00824558" w:rsidRDefault="00824558">
            <w:pPr>
              <w:cnfStyle w:val="000000000000" w:firstRow="0" w:lastRow="0" w:firstColumn="0" w:lastColumn="0" w:oddVBand="0" w:evenVBand="0" w:oddHBand="0" w:evenHBand="0" w:firstRowFirstColumn="0" w:firstRowLastColumn="0" w:lastRowFirstColumn="0" w:lastRowLastColumn="0"/>
            </w:pPr>
            <w:r>
              <w:t>12.6</w:t>
            </w:r>
          </w:p>
        </w:tc>
      </w:tr>
      <w:tr w:rsidR="00824558" w14:paraId="2952AB43" w14:textId="77777777" w:rsidTr="00A33DA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2FD6DD" w14:textId="5B054BB8"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the timing of staff relocations occurring before leases can be exited. The workspace ratio is trending down from the 2024-25 result.</w:t>
            </w:r>
          </w:p>
        </w:tc>
      </w:tr>
      <w:tr w:rsidR="00824558" w:rsidRPr="00A9225F" w14:paraId="643931DA" w14:textId="77777777" w:rsidTr="00A33DA0">
        <w:tc>
          <w:tcPr>
            <w:cnfStyle w:val="001000000000" w:firstRow="0" w:lastRow="0" w:firstColumn="1" w:lastColumn="0" w:oddVBand="0" w:evenVBand="0" w:oddHBand="0" w:evenHBand="0" w:firstRowFirstColumn="0" w:firstRowLastColumn="0" w:lastRowFirstColumn="0" w:lastRowLastColumn="0"/>
            <w:tcW w:w="9639" w:type="dxa"/>
            <w:gridSpan w:val="6"/>
          </w:tcPr>
          <w:p w14:paraId="6380EE0C" w14:textId="77777777" w:rsidR="00824558" w:rsidRPr="00A9225F" w:rsidRDefault="00824558">
            <w:pPr>
              <w:keepNext/>
              <w:rPr>
                <w:b/>
                <w:bCs/>
                <w:iCs/>
              </w:rPr>
            </w:pPr>
            <w:r w:rsidRPr="00A9225F">
              <w:rPr>
                <w:b/>
                <w:bCs/>
                <w:iCs/>
              </w:rPr>
              <w:t>Quality</w:t>
            </w:r>
          </w:p>
        </w:tc>
      </w:tr>
      <w:tr w:rsidR="00824558" w14:paraId="2C216077" w14:textId="77777777" w:rsidTr="00A9225F">
        <w:tc>
          <w:tcPr>
            <w:cnfStyle w:val="001000000000" w:firstRow="0" w:lastRow="0" w:firstColumn="1" w:lastColumn="0" w:oddVBand="0" w:evenVBand="0" w:oddHBand="0" w:evenHBand="0" w:firstRowFirstColumn="0" w:firstRowLastColumn="0" w:lastRowFirstColumn="0" w:lastRowLastColumn="0"/>
            <w:tcW w:w="4578" w:type="dxa"/>
            <w:tcBorders>
              <w:bottom w:val="single" w:sz="6" w:space="0" w:color="auto"/>
            </w:tcBorders>
          </w:tcPr>
          <w:p w14:paraId="013A5CD4" w14:textId="77777777" w:rsidR="00824558" w:rsidRDefault="00824558">
            <w:pPr>
              <w:ind w:left="170"/>
            </w:pPr>
            <w:r>
              <w:t>Overall customer satisfaction rate for Services to Government</w:t>
            </w:r>
          </w:p>
        </w:tc>
        <w:tc>
          <w:tcPr>
            <w:tcW w:w="1205" w:type="dxa"/>
            <w:tcBorders>
              <w:bottom w:val="single" w:sz="6" w:space="0" w:color="auto"/>
            </w:tcBorders>
          </w:tcPr>
          <w:p w14:paraId="3707E25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822B3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0C00670"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1C3D86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1516F24" w14:textId="77777777" w:rsidR="00824558" w:rsidRDefault="00824558">
            <w:pPr>
              <w:cnfStyle w:val="000000000000" w:firstRow="0" w:lastRow="0" w:firstColumn="0" w:lastColumn="0" w:oddVBand="0" w:evenVBand="0" w:oddHBand="0" w:evenHBand="0" w:firstRowFirstColumn="0" w:firstRowLastColumn="0" w:lastRowFirstColumn="0" w:lastRowLastColumn="0"/>
            </w:pPr>
            <w:r>
              <w:t>89.4</w:t>
            </w:r>
          </w:p>
        </w:tc>
      </w:tr>
      <w:tr w:rsidR="00824558" w:rsidRPr="00A9225F" w14:paraId="6CB6A90C" w14:textId="77777777" w:rsidTr="00A33DA0">
        <w:tc>
          <w:tcPr>
            <w:cnfStyle w:val="001000000000" w:firstRow="0" w:lastRow="0" w:firstColumn="1" w:lastColumn="0" w:oddVBand="0" w:evenVBand="0" w:oddHBand="0" w:evenHBand="0" w:firstRowFirstColumn="0" w:firstRowLastColumn="0" w:lastRowFirstColumn="0" w:lastRowLastColumn="0"/>
            <w:tcW w:w="9639" w:type="dxa"/>
            <w:gridSpan w:val="6"/>
          </w:tcPr>
          <w:p w14:paraId="177E8B67" w14:textId="77777777" w:rsidR="00824558" w:rsidRPr="00A9225F" w:rsidRDefault="00824558">
            <w:pPr>
              <w:keepNext/>
              <w:rPr>
                <w:b/>
                <w:bCs/>
                <w:iCs/>
              </w:rPr>
            </w:pPr>
            <w:r w:rsidRPr="00A9225F">
              <w:rPr>
                <w:b/>
                <w:bCs/>
                <w:iCs/>
              </w:rPr>
              <w:t>Cost</w:t>
            </w:r>
          </w:p>
        </w:tc>
      </w:tr>
      <w:tr w:rsidR="00824558" w14:paraId="24ED43CD" w14:textId="77777777" w:rsidTr="00A9225F">
        <w:tc>
          <w:tcPr>
            <w:cnfStyle w:val="001000000000" w:firstRow="0" w:lastRow="0" w:firstColumn="1" w:lastColumn="0" w:oddVBand="0" w:evenVBand="0" w:oddHBand="0" w:evenHBand="0" w:firstRowFirstColumn="0" w:firstRowLastColumn="0" w:lastRowFirstColumn="0" w:lastRowLastColumn="0"/>
            <w:tcW w:w="4578" w:type="dxa"/>
            <w:tcBorders>
              <w:bottom w:val="single" w:sz="12" w:space="0" w:color="auto"/>
            </w:tcBorders>
          </w:tcPr>
          <w:p w14:paraId="36802383" w14:textId="77777777" w:rsidR="00824558" w:rsidRDefault="00824558">
            <w:pPr>
              <w:keepNext/>
              <w:ind w:left="170"/>
            </w:pPr>
            <w:r>
              <w:t>Total output cost</w:t>
            </w:r>
          </w:p>
        </w:tc>
        <w:tc>
          <w:tcPr>
            <w:tcW w:w="1205" w:type="dxa"/>
            <w:tcBorders>
              <w:bottom w:val="single" w:sz="12" w:space="0" w:color="auto"/>
            </w:tcBorders>
          </w:tcPr>
          <w:p w14:paraId="6CDF3B4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4AF1A85F" w14:textId="7D54C644" w:rsidR="00824558" w:rsidRPr="00A33DA0" w:rsidRDefault="005631A5">
            <w:pPr>
              <w:cnfStyle w:val="000000000000" w:firstRow="0" w:lastRow="0" w:firstColumn="0" w:lastColumn="0" w:oddVBand="0" w:evenVBand="0" w:oddHBand="0" w:evenHBand="0" w:firstRowFirstColumn="0" w:firstRowLastColumn="0" w:lastRowFirstColumn="0" w:lastRowLastColumn="0"/>
              <w:rPr>
                <w:highlight w:val="yellow"/>
              </w:rPr>
            </w:pPr>
            <w:r>
              <w:t>378.5</w:t>
            </w:r>
          </w:p>
        </w:tc>
        <w:tc>
          <w:tcPr>
            <w:tcW w:w="964" w:type="dxa"/>
            <w:tcBorders>
              <w:bottom w:val="single" w:sz="12" w:space="0" w:color="auto"/>
            </w:tcBorders>
          </w:tcPr>
          <w:p w14:paraId="33D52A57" w14:textId="7DB57801" w:rsidR="00824558" w:rsidRPr="00A33DA0" w:rsidRDefault="00470833">
            <w:pPr>
              <w:cnfStyle w:val="000000000000" w:firstRow="0" w:lastRow="0" w:firstColumn="0" w:lastColumn="0" w:oddVBand="0" w:evenVBand="0" w:oddHBand="0" w:evenHBand="0" w:firstRowFirstColumn="0" w:firstRowLastColumn="0" w:lastRowFirstColumn="0" w:lastRowLastColumn="0"/>
              <w:rPr>
                <w:highlight w:val="yellow"/>
              </w:rPr>
            </w:pPr>
            <w:r>
              <w:t>372.9</w:t>
            </w:r>
          </w:p>
        </w:tc>
        <w:tc>
          <w:tcPr>
            <w:tcW w:w="964" w:type="dxa"/>
            <w:tcBorders>
              <w:bottom w:val="single" w:sz="12" w:space="0" w:color="auto"/>
            </w:tcBorders>
          </w:tcPr>
          <w:p w14:paraId="13C61FAE" w14:textId="2410611A" w:rsidR="00824558" w:rsidRDefault="00824558">
            <w:pPr>
              <w:cnfStyle w:val="000000000000" w:firstRow="0" w:lastRow="0" w:firstColumn="0" w:lastColumn="0" w:oddVBand="0" w:evenVBand="0" w:oddHBand="0" w:evenHBand="0" w:firstRowFirstColumn="0" w:firstRowLastColumn="0" w:lastRowFirstColumn="0" w:lastRowLastColumn="0"/>
            </w:pPr>
            <w:r>
              <w:t>376</w:t>
            </w:r>
            <w:r w:rsidR="00470833">
              <w:t>.0</w:t>
            </w:r>
          </w:p>
        </w:tc>
        <w:tc>
          <w:tcPr>
            <w:tcW w:w="964" w:type="dxa"/>
            <w:tcBorders>
              <w:bottom w:val="single" w:sz="12" w:space="0" w:color="auto"/>
            </w:tcBorders>
          </w:tcPr>
          <w:p w14:paraId="32BA020C" w14:textId="5D1B5CDF" w:rsidR="00824558" w:rsidRDefault="00824558">
            <w:pPr>
              <w:cnfStyle w:val="000000000000" w:firstRow="0" w:lastRow="0" w:firstColumn="0" w:lastColumn="0" w:oddVBand="0" w:evenVBand="0" w:oddHBand="0" w:evenHBand="0" w:firstRowFirstColumn="0" w:firstRowLastColumn="0" w:lastRowFirstColumn="0" w:lastRowLastColumn="0"/>
            </w:pPr>
            <w:r>
              <w:t>143</w:t>
            </w:r>
            <w:r w:rsidR="00470833">
              <w:t>.0</w:t>
            </w:r>
          </w:p>
        </w:tc>
      </w:tr>
    </w:tbl>
    <w:p w14:paraId="1E321472" w14:textId="77777777" w:rsidR="00A33DA0" w:rsidRDefault="00824558">
      <w:pPr>
        <w:pStyle w:val="Source"/>
        <w:sectPr w:rsidR="00A33DA0" w:rsidSect="001F14A3">
          <w:footerReference w:type="even" r:id="rId26"/>
          <w:footerReference w:type="default" r:id="rId27"/>
          <w:pgSz w:w="11907" w:h="16840" w:code="9"/>
          <w:pgMar w:top="1138" w:right="1138" w:bottom="1138" w:left="1138" w:header="619" w:footer="562" w:gutter="0"/>
          <w:cols w:space="708"/>
          <w:docGrid w:linePitch="360"/>
        </w:sectPr>
      </w:pPr>
      <w:r>
        <w:t>Source: Department of Government Services</w:t>
      </w:r>
    </w:p>
    <w:p w14:paraId="1BFBC50F" w14:textId="1BB6E49D" w:rsidR="004F3FC8" w:rsidRDefault="004F3FC8" w:rsidP="002E0B49">
      <w:pPr>
        <w:pStyle w:val="Heading1"/>
        <w:pageBreakBefore/>
        <w:spacing w:before="0"/>
        <w:rPr>
          <w:rFonts w:eastAsia="Calibri"/>
        </w:rPr>
      </w:pPr>
      <w:bookmarkStart w:id="9" w:name="_Toc228288099"/>
      <w:r>
        <w:lastRenderedPageBreak/>
        <w:t>Department of Health</w:t>
      </w:r>
      <w:bookmarkEnd w:id="9"/>
    </w:p>
    <w:p w14:paraId="2469F950" w14:textId="77777777" w:rsidR="0074216D" w:rsidRPr="00122158" w:rsidRDefault="0074216D" w:rsidP="0074216D">
      <w:pPr>
        <w:pStyle w:val="Heading2"/>
        <w:spacing w:before="180"/>
        <w:rPr>
          <w:rFonts w:eastAsia="Times New Roman"/>
        </w:rPr>
      </w:pPr>
      <w:r w:rsidRPr="00122158">
        <w:rPr>
          <w:rFonts w:eastAsia="Times New Roman"/>
        </w:rPr>
        <w:t>Ministerial portfolios</w:t>
      </w:r>
    </w:p>
    <w:p w14:paraId="108E3367" w14:textId="77777777" w:rsidR="0074216D" w:rsidRPr="00122158" w:rsidRDefault="0074216D" w:rsidP="0074216D">
      <w:pPr>
        <w:rPr>
          <w:rFonts w:ascii="Garamond" w:hAnsi="Garamond"/>
        </w:rPr>
      </w:pPr>
      <w:r w:rsidRPr="00122158">
        <w:rPr>
          <w:rFonts w:ascii="Garamond" w:hAnsi="Garamond"/>
        </w:rPr>
        <w:t>The Department supports the ministerial portfolios of Health, Health Infrastructure, Mental Health, Ambulance Services, Children and Ageing.</w:t>
      </w:r>
    </w:p>
    <w:p w14:paraId="3A56B8E1" w14:textId="77777777" w:rsidR="0074216D" w:rsidRPr="00122158" w:rsidRDefault="0074216D" w:rsidP="0074216D">
      <w:pPr>
        <w:pStyle w:val="Heading2"/>
        <w:spacing w:before="180"/>
        <w:rPr>
          <w:rFonts w:eastAsia="Times New Roman"/>
        </w:rPr>
      </w:pPr>
      <w:r w:rsidRPr="00122158">
        <w:rPr>
          <w:rFonts w:eastAsia="Times New Roman"/>
        </w:rPr>
        <w:t>Departmental mission statement</w:t>
      </w:r>
    </w:p>
    <w:p w14:paraId="2BFF6E00" w14:textId="36A3BEB5" w:rsidR="0074216D" w:rsidRPr="00122158" w:rsidRDefault="0074216D" w:rsidP="0074216D">
      <w:pPr>
        <w:rPr>
          <w:rFonts w:ascii="Garamond" w:hAnsi="Garamond"/>
        </w:rPr>
      </w:pPr>
      <w:r w:rsidRPr="00122158">
        <w:rPr>
          <w:rFonts w:ascii="Garamond" w:hAnsi="Garamond"/>
        </w:rPr>
        <w:t>The Department’s vision is that Victorians are the healthiest people in the world.</w:t>
      </w:r>
    </w:p>
    <w:p w14:paraId="012BBCD0" w14:textId="741074E7" w:rsidR="0074216D" w:rsidRPr="00122158" w:rsidRDefault="0074216D" w:rsidP="0074216D">
      <w:pPr>
        <w:rPr>
          <w:rFonts w:ascii="Garamond" w:hAnsi="Garamond"/>
        </w:rPr>
      </w:pPr>
      <w:r w:rsidRPr="00122158">
        <w:rPr>
          <w:rFonts w:ascii="Garamond" w:hAnsi="Garamond"/>
        </w:rPr>
        <w:t>The Department contributes to the Government’s commitment to a stronger, fairer, better Victoria by developing and delivering policies, programs and services that support, protect and enhance the health, wellbeing and safety of all Victorians.</w:t>
      </w:r>
    </w:p>
    <w:p w14:paraId="05F71DA1" w14:textId="77777777" w:rsidR="0074216D" w:rsidRPr="00122158" w:rsidRDefault="0074216D" w:rsidP="0074216D">
      <w:pPr>
        <w:pStyle w:val="Heading2"/>
        <w:spacing w:before="180"/>
        <w:rPr>
          <w:rFonts w:eastAsia="Times New Roman"/>
        </w:rPr>
      </w:pPr>
      <w:r w:rsidRPr="00122158">
        <w:rPr>
          <w:rFonts w:eastAsia="Times New Roman"/>
        </w:rPr>
        <w:t>Departmental objectives</w:t>
      </w:r>
    </w:p>
    <w:p w14:paraId="74386774" w14:textId="6074E497" w:rsidR="0074216D" w:rsidRPr="00122158" w:rsidRDefault="0074216D" w:rsidP="0074216D">
      <w:pPr>
        <w:rPr>
          <w:rFonts w:cstheme="minorHAnsi"/>
        </w:rPr>
      </w:pPr>
      <w:r w:rsidRPr="00122158">
        <w:rPr>
          <w:rFonts w:cstheme="minorHAnsi"/>
        </w:rPr>
        <w:t xml:space="preserve">The Department’s objectives are: </w:t>
      </w:r>
    </w:p>
    <w:p w14:paraId="32E5BACB" w14:textId="77777777" w:rsidR="0074216D" w:rsidRPr="00122158" w:rsidRDefault="0074216D" w:rsidP="0074216D">
      <w:pPr>
        <w:pStyle w:val="ListBullet"/>
        <w:tabs>
          <w:tab w:val="clear" w:pos="360"/>
        </w:tabs>
        <w:spacing w:before="20" w:after="20"/>
        <w:ind w:left="340" w:hanging="340"/>
      </w:pPr>
      <w:r w:rsidRPr="00122158">
        <w:t>keep</w:t>
      </w:r>
      <w:r>
        <w:t>ing</w:t>
      </w:r>
      <w:r w:rsidRPr="00122158">
        <w:t xml:space="preserve"> people healthy and safe in the community</w:t>
      </w:r>
    </w:p>
    <w:p w14:paraId="323BDCAE" w14:textId="77777777" w:rsidR="0074216D" w:rsidRPr="00122158" w:rsidRDefault="0074216D" w:rsidP="0074216D">
      <w:pPr>
        <w:pStyle w:val="ListBullet"/>
        <w:tabs>
          <w:tab w:val="clear" w:pos="360"/>
        </w:tabs>
        <w:spacing w:before="20" w:after="20"/>
        <w:ind w:left="340" w:hanging="340"/>
      </w:pPr>
      <w:r>
        <w:t xml:space="preserve">providing </w:t>
      </w:r>
      <w:r w:rsidRPr="00122158">
        <w:t>care closer to home</w:t>
      </w:r>
    </w:p>
    <w:p w14:paraId="3D8DDE5F" w14:textId="77777777" w:rsidR="0074216D" w:rsidRPr="00122158" w:rsidRDefault="0074216D" w:rsidP="0074216D">
      <w:pPr>
        <w:pStyle w:val="ListBullet"/>
        <w:tabs>
          <w:tab w:val="clear" w:pos="360"/>
        </w:tabs>
        <w:spacing w:before="20" w:after="20"/>
        <w:ind w:left="340" w:hanging="340"/>
      </w:pPr>
      <w:r w:rsidRPr="00122158">
        <w:t xml:space="preserve">keep </w:t>
      </w:r>
      <w:r>
        <w:t xml:space="preserve">innovating and </w:t>
      </w:r>
      <w:r w:rsidRPr="00122158">
        <w:t>improving care</w:t>
      </w:r>
    </w:p>
    <w:p w14:paraId="0698B037" w14:textId="77777777" w:rsidR="0074216D" w:rsidRPr="00122158" w:rsidRDefault="0074216D" w:rsidP="0074216D">
      <w:pPr>
        <w:pStyle w:val="ListBullet"/>
        <w:tabs>
          <w:tab w:val="clear" w:pos="360"/>
        </w:tabs>
        <w:spacing w:before="20" w:after="20"/>
        <w:ind w:left="340" w:hanging="340"/>
      </w:pPr>
      <w:r w:rsidRPr="00122158">
        <w:t>improv</w:t>
      </w:r>
      <w:r>
        <w:t>ing</w:t>
      </w:r>
      <w:r w:rsidRPr="00122158">
        <w:t xml:space="preserve"> Aboriginal health and wellbeing</w:t>
      </w:r>
    </w:p>
    <w:p w14:paraId="2AACEF52" w14:textId="77777777" w:rsidR="0074216D" w:rsidRPr="00122158" w:rsidRDefault="0074216D" w:rsidP="0074216D">
      <w:pPr>
        <w:pStyle w:val="ListBullet"/>
        <w:tabs>
          <w:tab w:val="clear" w:pos="360"/>
        </w:tabs>
        <w:spacing w:before="20" w:after="20"/>
        <w:ind w:left="340" w:hanging="340"/>
      </w:pPr>
      <w:r w:rsidRPr="00122158">
        <w:t>mov</w:t>
      </w:r>
      <w:r>
        <w:t>ing</w:t>
      </w:r>
      <w:r w:rsidRPr="00122158">
        <w:t xml:space="preserve"> from competition to collaboration</w:t>
      </w:r>
    </w:p>
    <w:p w14:paraId="4765DF40" w14:textId="77777777" w:rsidR="0074216D" w:rsidRPr="00122158" w:rsidRDefault="0074216D" w:rsidP="0074216D">
      <w:pPr>
        <w:pStyle w:val="ListBullet"/>
        <w:tabs>
          <w:tab w:val="clear" w:pos="360"/>
        </w:tabs>
        <w:spacing w:before="20" w:after="20"/>
        <w:ind w:left="340" w:hanging="340"/>
      </w:pPr>
      <w:r w:rsidRPr="00122158">
        <w:t xml:space="preserve">a stronger </w:t>
      </w:r>
      <w:r>
        <w:t xml:space="preserve">and more sustainable health </w:t>
      </w:r>
      <w:r w:rsidRPr="00122158">
        <w:t>workforce</w:t>
      </w:r>
    </w:p>
    <w:p w14:paraId="2A327883" w14:textId="77777777" w:rsidR="0074216D" w:rsidRPr="00122158" w:rsidRDefault="0074216D" w:rsidP="0074216D">
      <w:pPr>
        <w:pStyle w:val="ListBullet"/>
        <w:tabs>
          <w:tab w:val="clear" w:pos="360"/>
        </w:tabs>
        <w:spacing w:before="20" w:after="20"/>
        <w:ind w:left="340" w:hanging="340"/>
      </w:pPr>
      <w:r w:rsidRPr="00122158">
        <w:t>a safe and sustainable health</w:t>
      </w:r>
      <w:r>
        <w:t>, wellbeing and care</w:t>
      </w:r>
      <w:r w:rsidRPr="00122158">
        <w:t xml:space="preserve"> system.</w:t>
      </w:r>
    </w:p>
    <w:p w14:paraId="6D460065" w14:textId="77777777" w:rsidR="0074216D" w:rsidRPr="00DF40D6" w:rsidRDefault="0074216D" w:rsidP="0074216D">
      <w:pPr>
        <w:pStyle w:val="Heading2"/>
        <w:spacing w:before="180"/>
        <w:rPr>
          <w:rFonts w:eastAsia="Times New Roman"/>
          <w:spacing w:val="-2"/>
        </w:rPr>
      </w:pPr>
      <w:r w:rsidRPr="00DF40D6">
        <w:rPr>
          <w:rFonts w:eastAsia="Times New Roman"/>
        </w:rPr>
        <w:t>Output summary by departmental objectives</w:t>
      </w:r>
    </w:p>
    <w:p w14:paraId="318A157C" w14:textId="642FBB8F" w:rsidR="0074216D" w:rsidRDefault="0074216D" w:rsidP="0074216D">
      <w:pPr>
        <w:keepNext/>
        <w:rPr>
          <w:rFonts w:ascii="Garamond" w:eastAsia="Garamond" w:hAnsi="Garamond"/>
        </w:rPr>
      </w:pPr>
      <w:r w:rsidRPr="71A52E13">
        <w:rPr>
          <w:rFonts w:ascii="Garamond" w:eastAsia="Garamond" w:hAnsi="Garamond"/>
        </w:rPr>
        <w:t>The Department’s outputs and funding are provided in the table below. Detailed descriptions of objectives and outputs are presented below.</w:t>
      </w:r>
    </w:p>
    <w:p w14:paraId="1966F404" w14:textId="77777777" w:rsidR="0074216D" w:rsidRPr="00D06853" w:rsidRDefault="0074216D" w:rsidP="0074216D">
      <w:pPr>
        <w:pStyle w:val="TableHeading"/>
      </w:pPr>
      <w:r w:rsidRPr="00D06853">
        <w:t xml:space="preserve">Table </w:t>
      </w:r>
      <w:r>
        <w:t>1</w:t>
      </w:r>
      <w:r w:rsidRPr="00D06853">
        <w:t>:</w:t>
      </w:r>
      <w:r w:rsidRPr="00D06853">
        <w:tab/>
        <w:t>Output summary</w:t>
      </w:r>
      <w:r w:rsidRPr="00D06853">
        <w:tab/>
        <w:t>($ million)</w:t>
      </w:r>
    </w:p>
    <w:tbl>
      <w:tblPr>
        <w:tblStyle w:val="DTFTableNumeric"/>
        <w:tblW w:w="9644" w:type="dxa"/>
        <w:tblLayout w:type="fixed"/>
        <w:tblLook w:val="06E0" w:firstRow="1" w:lastRow="1" w:firstColumn="1" w:lastColumn="0" w:noHBand="1" w:noVBand="1"/>
        <w:tblDescription w:val="Type:DtfTable|Workbook:https://vicgov.sharepoint.com/sites/VG002735/Department%20Performance%20Statement/001.%20Admin/Financial%20tables/Output%20summary/2026-27/2026-27%20Output%20costs.xlsx|Table:DH_Summary|TableGroup:OutputSummary"/>
      </w:tblPr>
      <w:tblGrid>
        <w:gridCol w:w="5948"/>
        <w:gridCol w:w="924"/>
        <w:gridCol w:w="924"/>
        <w:gridCol w:w="924"/>
        <w:gridCol w:w="924"/>
      </w:tblGrid>
      <w:tr w:rsidR="0074216D" w:rsidRPr="00D06853" w14:paraId="2E93CBF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8" w:type="dxa"/>
          </w:tcPr>
          <w:p w14:paraId="1DABF940" w14:textId="77777777" w:rsidR="0074216D" w:rsidRPr="00D06853" w:rsidRDefault="0074216D">
            <w:pPr>
              <w:keepNext/>
            </w:pPr>
          </w:p>
        </w:tc>
        <w:tc>
          <w:tcPr>
            <w:tcW w:w="924" w:type="dxa"/>
          </w:tcPr>
          <w:p w14:paraId="6985BDC7" w14:textId="77777777" w:rsidR="0074216D" w:rsidRPr="00D06853" w:rsidRDefault="0074216D">
            <w:pPr>
              <w:keepNext/>
              <w:cnfStyle w:val="100000000000" w:firstRow="1" w:lastRow="0" w:firstColumn="0" w:lastColumn="0" w:oddVBand="0" w:evenVBand="0" w:oddHBand="0" w:evenHBand="0" w:firstRowFirstColumn="0" w:firstRowLastColumn="0" w:lastRowFirstColumn="0" w:lastRowLastColumn="0"/>
            </w:pPr>
            <w:r w:rsidRPr="009E04D5">
              <w:t>2025-26 budget</w:t>
            </w:r>
          </w:p>
        </w:tc>
        <w:tc>
          <w:tcPr>
            <w:tcW w:w="924" w:type="dxa"/>
          </w:tcPr>
          <w:p w14:paraId="4ACE579B" w14:textId="77777777" w:rsidR="0074216D" w:rsidRPr="00D06853" w:rsidRDefault="0074216D">
            <w:pPr>
              <w:keepNext/>
              <w:cnfStyle w:val="100000000000" w:firstRow="1" w:lastRow="0" w:firstColumn="0" w:lastColumn="0" w:oddVBand="0" w:evenVBand="0" w:oddHBand="0" w:evenHBand="0" w:firstRowFirstColumn="0" w:firstRowLastColumn="0" w:lastRowFirstColumn="0" w:lastRowLastColumn="0"/>
            </w:pPr>
            <w:r w:rsidRPr="009E04D5">
              <w:t>2025-26 revised</w:t>
            </w:r>
          </w:p>
        </w:tc>
        <w:tc>
          <w:tcPr>
            <w:tcW w:w="924" w:type="dxa"/>
          </w:tcPr>
          <w:p w14:paraId="6903A6C1" w14:textId="77777777" w:rsidR="0074216D" w:rsidRPr="00D06853" w:rsidRDefault="0074216D">
            <w:pPr>
              <w:keepNext/>
              <w:cnfStyle w:val="100000000000" w:firstRow="1" w:lastRow="0" w:firstColumn="0" w:lastColumn="0" w:oddVBand="0" w:evenVBand="0" w:oddHBand="0" w:evenHBand="0" w:firstRowFirstColumn="0" w:firstRowLastColumn="0" w:lastRowFirstColumn="0" w:lastRowLastColumn="0"/>
            </w:pPr>
            <w:r w:rsidRPr="009E04D5">
              <w:t>2026-27 budget</w:t>
            </w:r>
          </w:p>
        </w:tc>
        <w:tc>
          <w:tcPr>
            <w:tcW w:w="924" w:type="dxa"/>
          </w:tcPr>
          <w:p w14:paraId="38500DB2" w14:textId="77777777" w:rsidR="00393D9C" w:rsidRDefault="0074216D">
            <w:pPr>
              <w:keepNext/>
              <w:cnfStyle w:val="100000000000" w:firstRow="1" w:lastRow="0" w:firstColumn="0" w:lastColumn="0" w:oddVBand="0" w:evenVBand="0" w:oddHBand="0" w:evenHBand="0" w:firstRowFirstColumn="0" w:firstRowLastColumn="0" w:lastRowFirstColumn="0" w:lastRowLastColumn="0"/>
              <w:rPr>
                <w:i w:val="0"/>
              </w:rPr>
            </w:pPr>
            <w:r w:rsidRPr="009E04D5">
              <w:t xml:space="preserve">Variation </w:t>
            </w:r>
          </w:p>
          <w:p w14:paraId="4C2124F6" w14:textId="4110B081" w:rsidR="0074216D" w:rsidRPr="00D06853" w:rsidRDefault="0074216D">
            <w:pPr>
              <w:keepNext/>
              <w:cnfStyle w:val="100000000000" w:firstRow="1" w:lastRow="0" w:firstColumn="0" w:lastColumn="0" w:oddVBand="0" w:evenVBand="0" w:oddHBand="0" w:evenHBand="0" w:firstRowFirstColumn="0" w:firstRowLastColumn="0" w:lastRowFirstColumn="0" w:lastRowLastColumn="0"/>
            </w:pPr>
            <w:r w:rsidRPr="009E04D5">
              <w:t xml:space="preserve">% </w:t>
            </w:r>
            <w:r w:rsidRPr="00393D9C">
              <w:rPr>
                <w:vertAlign w:val="superscript"/>
              </w:rPr>
              <w:t>(a)</w:t>
            </w:r>
          </w:p>
        </w:tc>
      </w:tr>
      <w:tr w:rsidR="0074216D" w:rsidRPr="008E1CFE" w14:paraId="79305D64" w14:textId="77777777">
        <w:trPr>
          <w:trHeight w:val="227"/>
        </w:trPr>
        <w:tc>
          <w:tcPr>
            <w:cnfStyle w:val="001000000000" w:firstRow="0" w:lastRow="0" w:firstColumn="1" w:lastColumn="0" w:oddVBand="0" w:evenVBand="0" w:oddHBand="0" w:evenHBand="0" w:firstRowFirstColumn="0" w:firstRowLastColumn="0" w:lastRowFirstColumn="0" w:lastRowLastColumn="0"/>
            <w:tcW w:w="9644" w:type="dxa"/>
            <w:gridSpan w:val="5"/>
          </w:tcPr>
          <w:p w14:paraId="770440A1" w14:textId="77777777" w:rsidR="0074216D" w:rsidRPr="00663C51" w:rsidRDefault="0074216D">
            <w:pPr>
              <w:rPr>
                <w:b/>
                <w:bCs/>
              </w:rPr>
            </w:pPr>
            <w:r w:rsidRPr="00663C51">
              <w:rPr>
                <w:b/>
                <w:bCs/>
              </w:rPr>
              <w:t>Victorians are the healthiest people in the world</w:t>
            </w:r>
          </w:p>
        </w:tc>
      </w:tr>
      <w:tr w:rsidR="0074216D" w:rsidRPr="008E1CFE" w14:paraId="3F875D03"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bottom w:val="nil"/>
            </w:tcBorders>
          </w:tcPr>
          <w:p w14:paraId="4F7BBDBD" w14:textId="77777777" w:rsidR="0074216D" w:rsidRPr="008F5D32" w:rsidRDefault="0074216D">
            <w:pPr>
              <w:rPr>
                <w:vertAlign w:val="superscript"/>
              </w:rPr>
            </w:pPr>
            <w:r w:rsidRPr="009E04D5">
              <w:t>Admitted Services</w:t>
            </w:r>
          </w:p>
        </w:tc>
        <w:tc>
          <w:tcPr>
            <w:tcW w:w="924" w:type="dxa"/>
            <w:tcBorders>
              <w:bottom w:val="nil"/>
            </w:tcBorders>
          </w:tcPr>
          <w:p w14:paraId="592AD19A"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17 984.6</w:t>
            </w:r>
          </w:p>
        </w:tc>
        <w:tc>
          <w:tcPr>
            <w:tcW w:w="924" w:type="dxa"/>
            <w:tcBorders>
              <w:bottom w:val="nil"/>
            </w:tcBorders>
          </w:tcPr>
          <w:p w14:paraId="5AB7E7E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17 824.3</w:t>
            </w:r>
          </w:p>
        </w:tc>
        <w:tc>
          <w:tcPr>
            <w:tcW w:w="924" w:type="dxa"/>
            <w:tcBorders>
              <w:bottom w:val="nil"/>
            </w:tcBorders>
          </w:tcPr>
          <w:p w14:paraId="5C482C0F"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18 284.6</w:t>
            </w:r>
          </w:p>
        </w:tc>
        <w:tc>
          <w:tcPr>
            <w:tcW w:w="924" w:type="dxa"/>
            <w:tcBorders>
              <w:bottom w:val="nil"/>
            </w:tcBorders>
          </w:tcPr>
          <w:p w14:paraId="57CF1C8E"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1.7</w:t>
            </w:r>
          </w:p>
        </w:tc>
      </w:tr>
      <w:tr w:rsidR="0074216D" w:rsidRPr="008E1CFE" w14:paraId="656F482A"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left w:val="nil"/>
              <w:bottom w:val="nil"/>
              <w:right w:val="nil"/>
            </w:tcBorders>
          </w:tcPr>
          <w:p w14:paraId="4708055F" w14:textId="77777777" w:rsidR="0074216D" w:rsidRPr="008F5D32" w:rsidRDefault="0074216D">
            <w:pPr>
              <w:rPr>
                <w:vertAlign w:val="superscript"/>
              </w:rPr>
            </w:pPr>
            <w:r w:rsidRPr="009E04D5">
              <w:t>Non-Admitted Services</w:t>
            </w:r>
            <w:r w:rsidRPr="007C3022">
              <w:rPr>
                <w:vertAlign w:val="superscript"/>
              </w:rPr>
              <w:t>(b)</w:t>
            </w:r>
          </w:p>
        </w:tc>
        <w:tc>
          <w:tcPr>
            <w:tcW w:w="924" w:type="dxa"/>
            <w:tcBorders>
              <w:top w:val="nil"/>
              <w:left w:val="nil"/>
              <w:bottom w:val="nil"/>
              <w:right w:val="nil"/>
            </w:tcBorders>
          </w:tcPr>
          <w:p w14:paraId="19C2D9B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2 643.2</w:t>
            </w:r>
          </w:p>
        </w:tc>
        <w:tc>
          <w:tcPr>
            <w:tcW w:w="924" w:type="dxa"/>
            <w:tcBorders>
              <w:top w:val="nil"/>
              <w:left w:val="nil"/>
              <w:bottom w:val="nil"/>
              <w:right w:val="nil"/>
            </w:tcBorders>
          </w:tcPr>
          <w:p w14:paraId="632710E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2 943.7</w:t>
            </w:r>
          </w:p>
        </w:tc>
        <w:tc>
          <w:tcPr>
            <w:tcW w:w="924" w:type="dxa"/>
            <w:tcBorders>
              <w:top w:val="nil"/>
              <w:left w:val="nil"/>
              <w:bottom w:val="nil"/>
              <w:right w:val="nil"/>
            </w:tcBorders>
          </w:tcPr>
          <w:p w14:paraId="6CC05C6F"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2 850.4</w:t>
            </w:r>
          </w:p>
        </w:tc>
        <w:tc>
          <w:tcPr>
            <w:tcW w:w="924" w:type="dxa"/>
            <w:tcBorders>
              <w:top w:val="nil"/>
              <w:left w:val="nil"/>
              <w:bottom w:val="nil"/>
              <w:right w:val="nil"/>
            </w:tcBorders>
          </w:tcPr>
          <w:p w14:paraId="2AA70B7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7.8</w:t>
            </w:r>
          </w:p>
        </w:tc>
      </w:tr>
      <w:tr w:rsidR="0074216D" w:rsidRPr="008E1CFE" w14:paraId="3D932625"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left w:val="nil"/>
              <w:bottom w:val="nil"/>
              <w:right w:val="nil"/>
            </w:tcBorders>
          </w:tcPr>
          <w:p w14:paraId="79306A17" w14:textId="77777777" w:rsidR="0074216D" w:rsidRPr="00047C20" w:rsidRDefault="0074216D">
            <w:r w:rsidRPr="009E04D5">
              <w:t>Emergency Services</w:t>
            </w:r>
            <w:r w:rsidRPr="007C3022">
              <w:rPr>
                <w:vertAlign w:val="superscript"/>
              </w:rPr>
              <w:t>(c)</w:t>
            </w:r>
          </w:p>
        </w:tc>
        <w:tc>
          <w:tcPr>
            <w:tcW w:w="924" w:type="dxa"/>
            <w:tcBorders>
              <w:top w:val="nil"/>
              <w:left w:val="nil"/>
              <w:bottom w:val="nil"/>
              <w:right w:val="nil"/>
            </w:tcBorders>
          </w:tcPr>
          <w:p w14:paraId="5162F7B4" w14:textId="77777777" w:rsidR="0074216D" w:rsidRPr="00047C20" w:rsidRDefault="0074216D">
            <w:pPr>
              <w:ind w:left="170" w:hanging="170"/>
              <w:cnfStyle w:val="000000000000" w:firstRow="0" w:lastRow="0" w:firstColumn="0" w:lastColumn="0" w:oddVBand="0" w:evenVBand="0" w:oddHBand="0" w:evenHBand="0" w:firstRowFirstColumn="0" w:firstRowLastColumn="0" w:lastRowFirstColumn="0" w:lastRowLastColumn="0"/>
            </w:pPr>
            <w:r w:rsidRPr="00155397">
              <w:t>2 225.4</w:t>
            </w:r>
          </w:p>
        </w:tc>
        <w:tc>
          <w:tcPr>
            <w:tcW w:w="924" w:type="dxa"/>
            <w:tcBorders>
              <w:top w:val="nil"/>
              <w:left w:val="nil"/>
              <w:bottom w:val="nil"/>
              <w:right w:val="nil"/>
            </w:tcBorders>
          </w:tcPr>
          <w:p w14:paraId="5CC59E43" w14:textId="77777777" w:rsidR="0074216D" w:rsidRPr="00047C20" w:rsidRDefault="0074216D">
            <w:pPr>
              <w:ind w:left="170" w:hanging="170"/>
              <w:cnfStyle w:val="000000000000" w:firstRow="0" w:lastRow="0" w:firstColumn="0" w:lastColumn="0" w:oddVBand="0" w:evenVBand="0" w:oddHBand="0" w:evenHBand="0" w:firstRowFirstColumn="0" w:firstRowLastColumn="0" w:lastRowFirstColumn="0" w:lastRowLastColumn="0"/>
            </w:pPr>
            <w:r w:rsidRPr="00155397">
              <w:t>2 381.7</w:t>
            </w:r>
          </w:p>
        </w:tc>
        <w:tc>
          <w:tcPr>
            <w:tcW w:w="924" w:type="dxa"/>
            <w:tcBorders>
              <w:top w:val="nil"/>
              <w:left w:val="nil"/>
              <w:bottom w:val="nil"/>
              <w:right w:val="nil"/>
            </w:tcBorders>
          </w:tcPr>
          <w:p w14:paraId="2455636F" w14:textId="77777777" w:rsidR="0074216D" w:rsidRPr="00047C20" w:rsidRDefault="0074216D">
            <w:pPr>
              <w:ind w:left="170" w:hanging="170"/>
              <w:cnfStyle w:val="000000000000" w:firstRow="0" w:lastRow="0" w:firstColumn="0" w:lastColumn="0" w:oddVBand="0" w:evenVBand="0" w:oddHBand="0" w:evenHBand="0" w:firstRowFirstColumn="0" w:firstRowLastColumn="0" w:lastRowFirstColumn="0" w:lastRowLastColumn="0"/>
            </w:pPr>
            <w:r w:rsidRPr="00155397">
              <w:t>2 467.3</w:t>
            </w:r>
          </w:p>
        </w:tc>
        <w:tc>
          <w:tcPr>
            <w:tcW w:w="924" w:type="dxa"/>
            <w:tcBorders>
              <w:top w:val="nil"/>
              <w:left w:val="nil"/>
              <w:bottom w:val="nil"/>
              <w:right w:val="nil"/>
            </w:tcBorders>
          </w:tcPr>
          <w:p w14:paraId="7AD44CCC" w14:textId="77777777" w:rsidR="0074216D" w:rsidRPr="00047C20" w:rsidRDefault="0074216D">
            <w:pPr>
              <w:cnfStyle w:val="000000000000" w:firstRow="0" w:lastRow="0" w:firstColumn="0" w:lastColumn="0" w:oddVBand="0" w:evenVBand="0" w:oddHBand="0" w:evenHBand="0" w:firstRowFirstColumn="0" w:firstRowLastColumn="0" w:lastRowFirstColumn="0" w:lastRowLastColumn="0"/>
            </w:pPr>
            <w:r w:rsidRPr="00155397">
              <w:t xml:space="preserve"> 10.9</w:t>
            </w:r>
          </w:p>
        </w:tc>
      </w:tr>
      <w:tr w:rsidR="0074216D" w:rsidRPr="008E1CFE" w14:paraId="3F120F40"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left w:val="nil"/>
              <w:bottom w:val="nil"/>
              <w:right w:val="nil"/>
            </w:tcBorders>
          </w:tcPr>
          <w:p w14:paraId="512B32FB" w14:textId="77777777" w:rsidR="0074216D" w:rsidRPr="008F5D32" w:rsidRDefault="0074216D">
            <w:pPr>
              <w:rPr>
                <w:vertAlign w:val="superscript"/>
              </w:rPr>
            </w:pPr>
            <w:r w:rsidRPr="009E04D5">
              <w:t>Health Workforce Training and Development</w:t>
            </w:r>
          </w:p>
        </w:tc>
        <w:tc>
          <w:tcPr>
            <w:tcW w:w="924" w:type="dxa"/>
            <w:tcBorders>
              <w:top w:val="nil"/>
              <w:left w:val="nil"/>
              <w:bottom w:val="nil"/>
              <w:right w:val="nil"/>
            </w:tcBorders>
          </w:tcPr>
          <w:p w14:paraId="014FA359"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424.7</w:t>
            </w:r>
          </w:p>
        </w:tc>
        <w:tc>
          <w:tcPr>
            <w:tcW w:w="924" w:type="dxa"/>
            <w:tcBorders>
              <w:top w:val="nil"/>
              <w:left w:val="nil"/>
              <w:bottom w:val="nil"/>
              <w:right w:val="nil"/>
            </w:tcBorders>
          </w:tcPr>
          <w:p w14:paraId="673A50D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414.6</w:t>
            </w:r>
          </w:p>
        </w:tc>
        <w:tc>
          <w:tcPr>
            <w:tcW w:w="924" w:type="dxa"/>
            <w:tcBorders>
              <w:top w:val="nil"/>
              <w:left w:val="nil"/>
              <w:bottom w:val="nil"/>
              <w:right w:val="nil"/>
            </w:tcBorders>
          </w:tcPr>
          <w:p w14:paraId="433C3B32"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424.5</w:t>
            </w:r>
          </w:p>
        </w:tc>
        <w:tc>
          <w:tcPr>
            <w:tcW w:w="924" w:type="dxa"/>
            <w:tcBorders>
              <w:top w:val="nil"/>
              <w:left w:val="nil"/>
              <w:bottom w:val="nil"/>
              <w:right w:val="nil"/>
            </w:tcBorders>
          </w:tcPr>
          <w:p w14:paraId="78B7D27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w:t>
            </w:r>
            <w:r>
              <w:t>.</w:t>
            </w:r>
          </w:p>
        </w:tc>
      </w:tr>
      <w:tr w:rsidR="0074216D" w:rsidRPr="008E1CFE" w14:paraId="45B16BA1"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tcBorders>
          </w:tcPr>
          <w:p w14:paraId="32DFD302" w14:textId="77777777" w:rsidR="0074216D" w:rsidRPr="008F5D32" w:rsidRDefault="0074216D">
            <w:pPr>
              <w:rPr>
                <w:vertAlign w:val="superscript"/>
              </w:rPr>
            </w:pPr>
            <w:r w:rsidRPr="009E04D5">
              <w:t>Aged and Home Care</w:t>
            </w:r>
          </w:p>
        </w:tc>
        <w:tc>
          <w:tcPr>
            <w:tcW w:w="924" w:type="dxa"/>
            <w:tcBorders>
              <w:top w:val="nil"/>
            </w:tcBorders>
          </w:tcPr>
          <w:p w14:paraId="4FAEB583"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722.9</w:t>
            </w:r>
          </w:p>
        </w:tc>
        <w:tc>
          <w:tcPr>
            <w:tcW w:w="924" w:type="dxa"/>
            <w:tcBorders>
              <w:top w:val="nil"/>
            </w:tcBorders>
          </w:tcPr>
          <w:p w14:paraId="7C764EDC"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797.3</w:t>
            </w:r>
          </w:p>
        </w:tc>
        <w:tc>
          <w:tcPr>
            <w:tcW w:w="924" w:type="dxa"/>
            <w:tcBorders>
              <w:top w:val="nil"/>
            </w:tcBorders>
          </w:tcPr>
          <w:p w14:paraId="61BC39D1"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725.8</w:t>
            </w:r>
          </w:p>
        </w:tc>
        <w:tc>
          <w:tcPr>
            <w:tcW w:w="924" w:type="dxa"/>
            <w:tcBorders>
              <w:top w:val="nil"/>
            </w:tcBorders>
          </w:tcPr>
          <w:p w14:paraId="0D02F659"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0.4</w:t>
            </w:r>
          </w:p>
        </w:tc>
      </w:tr>
      <w:tr w:rsidR="0074216D" w:rsidRPr="008E1CFE" w14:paraId="74720D3A"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Pr>
          <w:p w14:paraId="427ADB47" w14:textId="77777777" w:rsidR="0074216D" w:rsidRPr="008F5D32" w:rsidRDefault="0074216D">
            <w:pPr>
              <w:rPr>
                <w:vertAlign w:val="superscript"/>
              </w:rPr>
            </w:pPr>
            <w:r w:rsidRPr="009E04D5">
              <w:t>Home and Community Care Program for Younger People</w:t>
            </w:r>
          </w:p>
        </w:tc>
        <w:tc>
          <w:tcPr>
            <w:tcW w:w="924" w:type="dxa"/>
          </w:tcPr>
          <w:p w14:paraId="7E3AF9D2"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158.7</w:t>
            </w:r>
          </w:p>
        </w:tc>
        <w:tc>
          <w:tcPr>
            <w:tcW w:w="924" w:type="dxa"/>
          </w:tcPr>
          <w:p w14:paraId="378EF4FC"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164.1</w:t>
            </w:r>
          </w:p>
        </w:tc>
        <w:tc>
          <w:tcPr>
            <w:tcW w:w="924" w:type="dxa"/>
          </w:tcPr>
          <w:p w14:paraId="02593F9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164.5</w:t>
            </w:r>
          </w:p>
        </w:tc>
        <w:tc>
          <w:tcPr>
            <w:tcW w:w="924" w:type="dxa"/>
          </w:tcPr>
          <w:p w14:paraId="34E947BE"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3.6</w:t>
            </w:r>
          </w:p>
        </w:tc>
      </w:tr>
      <w:tr w:rsidR="0074216D" w:rsidRPr="008E1CFE" w14:paraId="5CDDC7F7"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Pr>
          <w:p w14:paraId="56726CAB" w14:textId="77777777" w:rsidR="0074216D" w:rsidRPr="008F5D32" w:rsidRDefault="0074216D">
            <w:pPr>
              <w:rPr>
                <w:vertAlign w:val="superscript"/>
              </w:rPr>
            </w:pPr>
            <w:r w:rsidRPr="009E04D5">
              <w:t>Ambulance Services</w:t>
            </w:r>
          </w:p>
        </w:tc>
        <w:tc>
          <w:tcPr>
            <w:tcW w:w="924" w:type="dxa"/>
          </w:tcPr>
          <w:p w14:paraId="7EBFCD09"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1 520.6</w:t>
            </w:r>
          </w:p>
        </w:tc>
        <w:tc>
          <w:tcPr>
            <w:tcW w:w="924" w:type="dxa"/>
          </w:tcPr>
          <w:p w14:paraId="1F29C836"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1 589.5</w:t>
            </w:r>
          </w:p>
        </w:tc>
        <w:tc>
          <w:tcPr>
            <w:tcW w:w="924" w:type="dxa"/>
          </w:tcPr>
          <w:p w14:paraId="20F26F80"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1 575.6</w:t>
            </w:r>
          </w:p>
        </w:tc>
        <w:tc>
          <w:tcPr>
            <w:tcW w:w="924" w:type="dxa"/>
          </w:tcPr>
          <w:p w14:paraId="0FAC379A"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3.6</w:t>
            </w:r>
          </w:p>
        </w:tc>
      </w:tr>
      <w:tr w:rsidR="0074216D" w:rsidRPr="008E1CFE" w14:paraId="118E503A"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Pr>
          <w:p w14:paraId="434D3156" w14:textId="77777777" w:rsidR="0074216D" w:rsidRPr="00047C20" w:rsidRDefault="0074216D">
            <w:r w:rsidRPr="009E04D5">
              <w:t>Drug Services</w:t>
            </w:r>
            <w:r w:rsidRPr="007C3022" w:rsidDel="00D27C89">
              <w:rPr>
                <w:vertAlign w:val="superscript"/>
              </w:rPr>
              <w:t>(</w:t>
            </w:r>
            <w:r w:rsidRPr="007C3022" w:rsidDel="007B2AA0">
              <w:rPr>
                <w:vertAlign w:val="superscript"/>
              </w:rPr>
              <w:t>d</w:t>
            </w:r>
            <w:r w:rsidRPr="007C3022" w:rsidDel="00D27C89">
              <w:rPr>
                <w:vertAlign w:val="superscript"/>
              </w:rPr>
              <w:t>)</w:t>
            </w:r>
          </w:p>
        </w:tc>
        <w:tc>
          <w:tcPr>
            <w:tcW w:w="924" w:type="dxa"/>
          </w:tcPr>
          <w:p w14:paraId="036A8B9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380.8</w:t>
            </w:r>
          </w:p>
        </w:tc>
        <w:tc>
          <w:tcPr>
            <w:tcW w:w="924" w:type="dxa"/>
          </w:tcPr>
          <w:p w14:paraId="297996B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398.6</w:t>
            </w:r>
          </w:p>
        </w:tc>
        <w:tc>
          <w:tcPr>
            <w:tcW w:w="924" w:type="dxa"/>
          </w:tcPr>
          <w:p w14:paraId="3897BE2D"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415.5</w:t>
            </w:r>
          </w:p>
        </w:tc>
        <w:tc>
          <w:tcPr>
            <w:tcW w:w="924" w:type="dxa"/>
          </w:tcPr>
          <w:p w14:paraId="30679A11"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9.1</w:t>
            </w:r>
          </w:p>
        </w:tc>
      </w:tr>
      <w:tr w:rsidR="0074216D" w:rsidRPr="008E1CFE" w14:paraId="73E2D0B8"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bottom w:val="nil"/>
            </w:tcBorders>
          </w:tcPr>
          <w:p w14:paraId="1BA87094" w14:textId="77777777" w:rsidR="0074216D" w:rsidRPr="008F5D32" w:rsidRDefault="0074216D">
            <w:pPr>
              <w:rPr>
                <w:vertAlign w:val="superscript"/>
              </w:rPr>
            </w:pPr>
            <w:r w:rsidRPr="009E04D5">
              <w:t>Mental Health Clinical Care</w:t>
            </w:r>
            <w:r w:rsidRPr="007C3022">
              <w:rPr>
                <w:vertAlign w:val="superscript"/>
              </w:rPr>
              <w:t>(e)</w:t>
            </w:r>
          </w:p>
        </w:tc>
        <w:tc>
          <w:tcPr>
            <w:tcW w:w="924" w:type="dxa"/>
            <w:tcBorders>
              <w:bottom w:val="nil"/>
            </w:tcBorders>
          </w:tcPr>
          <w:p w14:paraId="27F39763"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2 828.9</w:t>
            </w:r>
          </w:p>
        </w:tc>
        <w:tc>
          <w:tcPr>
            <w:tcW w:w="924" w:type="dxa"/>
            <w:tcBorders>
              <w:bottom w:val="nil"/>
            </w:tcBorders>
          </w:tcPr>
          <w:p w14:paraId="47037E9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2 998.8</w:t>
            </w:r>
          </w:p>
        </w:tc>
        <w:tc>
          <w:tcPr>
            <w:tcW w:w="924" w:type="dxa"/>
            <w:tcBorders>
              <w:bottom w:val="nil"/>
            </w:tcBorders>
          </w:tcPr>
          <w:p w14:paraId="6C1C4796"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3 013.4</w:t>
            </w:r>
          </w:p>
        </w:tc>
        <w:tc>
          <w:tcPr>
            <w:tcW w:w="924" w:type="dxa"/>
            <w:tcBorders>
              <w:bottom w:val="nil"/>
            </w:tcBorders>
          </w:tcPr>
          <w:p w14:paraId="13F33271"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6.5</w:t>
            </w:r>
          </w:p>
        </w:tc>
      </w:tr>
      <w:tr w:rsidR="0074216D" w:rsidRPr="008E1CFE" w14:paraId="131568D2"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bottom w:val="nil"/>
            </w:tcBorders>
          </w:tcPr>
          <w:p w14:paraId="5F6E2179" w14:textId="058E435C" w:rsidR="0074216D" w:rsidRPr="00D70A8D" w:rsidRDefault="0074216D">
            <w:r w:rsidRPr="009E04D5">
              <w:t>Mental Health Community Support Services</w:t>
            </w:r>
            <w:r w:rsidRPr="007C3022">
              <w:rPr>
                <w:vertAlign w:val="superscript"/>
              </w:rPr>
              <w:t>(</w:t>
            </w:r>
            <w:r w:rsidR="00FD3075">
              <w:rPr>
                <w:vertAlign w:val="superscript"/>
              </w:rPr>
              <w:t>c</w:t>
            </w:r>
            <w:r w:rsidRPr="007C3022">
              <w:rPr>
                <w:vertAlign w:val="superscript"/>
              </w:rPr>
              <w:t>)</w:t>
            </w:r>
          </w:p>
        </w:tc>
        <w:tc>
          <w:tcPr>
            <w:tcW w:w="924" w:type="dxa"/>
            <w:tcBorders>
              <w:bottom w:val="nil"/>
            </w:tcBorders>
          </w:tcPr>
          <w:p w14:paraId="1F06F7E6"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175.4</w:t>
            </w:r>
          </w:p>
        </w:tc>
        <w:tc>
          <w:tcPr>
            <w:tcW w:w="924" w:type="dxa"/>
            <w:tcBorders>
              <w:bottom w:val="nil"/>
            </w:tcBorders>
          </w:tcPr>
          <w:p w14:paraId="6960FD5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217.7</w:t>
            </w:r>
          </w:p>
        </w:tc>
        <w:tc>
          <w:tcPr>
            <w:tcW w:w="924" w:type="dxa"/>
            <w:tcBorders>
              <w:bottom w:val="nil"/>
            </w:tcBorders>
          </w:tcPr>
          <w:p w14:paraId="48E38A5C"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236.6</w:t>
            </w:r>
          </w:p>
        </w:tc>
        <w:tc>
          <w:tcPr>
            <w:tcW w:w="924" w:type="dxa"/>
            <w:tcBorders>
              <w:bottom w:val="nil"/>
            </w:tcBorders>
          </w:tcPr>
          <w:p w14:paraId="5C3FB526"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34.9</w:t>
            </w:r>
          </w:p>
        </w:tc>
      </w:tr>
      <w:tr w:rsidR="0074216D" w:rsidRPr="008E1CFE" w14:paraId="6B60CE6F"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bottom w:val="nil"/>
            </w:tcBorders>
          </w:tcPr>
          <w:p w14:paraId="3762F6FD" w14:textId="77777777" w:rsidR="0074216D" w:rsidRPr="00592E8A" w:rsidRDefault="0074216D">
            <w:r w:rsidRPr="009E04D5">
              <w:t>Community Health Care</w:t>
            </w:r>
          </w:p>
        </w:tc>
        <w:tc>
          <w:tcPr>
            <w:tcW w:w="924" w:type="dxa"/>
            <w:tcBorders>
              <w:top w:val="nil"/>
              <w:bottom w:val="nil"/>
            </w:tcBorders>
          </w:tcPr>
          <w:p w14:paraId="6AAA1250"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389.1</w:t>
            </w:r>
          </w:p>
        </w:tc>
        <w:tc>
          <w:tcPr>
            <w:tcW w:w="924" w:type="dxa"/>
            <w:tcBorders>
              <w:top w:val="nil"/>
              <w:bottom w:val="nil"/>
            </w:tcBorders>
          </w:tcPr>
          <w:p w14:paraId="198D6F11"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429.0</w:t>
            </w:r>
          </w:p>
        </w:tc>
        <w:tc>
          <w:tcPr>
            <w:tcW w:w="924" w:type="dxa"/>
            <w:tcBorders>
              <w:top w:val="nil"/>
              <w:bottom w:val="nil"/>
            </w:tcBorders>
          </w:tcPr>
          <w:p w14:paraId="61EA972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377.5</w:t>
            </w:r>
          </w:p>
        </w:tc>
        <w:tc>
          <w:tcPr>
            <w:tcW w:w="924" w:type="dxa"/>
            <w:tcBorders>
              <w:top w:val="nil"/>
              <w:bottom w:val="nil"/>
            </w:tcBorders>
          </w:tcPr>
          <w:p w14:paraId="7FB55A94"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(3.0)</w:t>
            </w:r>
          </w:p>
        </w:tc>
      </w:tr>
      <w:tr w:rsidR="0074216D" w:rsidRPr="008E1CFE" w14:paraId="2B762DCD"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bottom w:val="nil"/>
            </w:tcBorders>
          </w:tcPr>
          <w:p w14:paraId="7BDC5D19" w14:textId="3DBAE522" w:rsidR="0074216D" w:rsidRPr="00047C20" w:rsidRDefault="0074216D">
            <w:r w:rsidRPr="009E04D5">
              <w:t>Dental Services</w:t>
            </w:r>
            <w:r w:rsidRPr="007C3022">
              <w:rPr>
                <w:vertAlign w:val="superscript"/>
              </w:rPr>
              <w:t>(</w:t>
            </w:r>
            <w:r w:rsidR="000D7ECB">
              <w:rPr>
                <w:vertAlign w:val="superscript"/>
              </w:rPr>
              <w:t>c</w:t>
            </w:r>
            <w:r w:rsidRPr="007C3022">
              <w:rPr>
                <w:vertAlign w:val="superscript"/>
              </w:rPr>
              <w:t>)</w:t>
            </w:r>
          </w:p>
        </w:tc>
        <w:tc>
          <w:tcPr>
            <w:tcW w:w="924" w:type="dxa"/>
            <w:tcBorders>
              <w:top w:val="nil"/>
              <w:bottom w:val="nil"/>
            </w:tcBorders>
          </w:tcPr>
          <w:p w14:paraId="4FEC941F"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218.3</w:t>
            </w:r>
          </w:p>
        </w:tc>
        <w:tc>
          <w:tcPr>
            <w:tcW w:w="924" w:type="dxa"/>
            <w:tcBorders>
              <w:top w:val="nil"/>
              <w:bottom w:val="nil"/>
            </w:tcBorders>
          </w:tcPr>
          <w:p w14:paraId="41FB55D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320.9</w:t>
            </w:r>
          </w:p>
        </w:tc>
        <w:tc>
          <w:tcPr>
            <w:tcW w:w="924" w:type="dxa"/>
            <w:tcBorders>
              <w:top w:val="nil"/>
              <w:bottom w:val="nil"/>
            </w:tcBorders>
          </w:tcPr>
          <w:p w14:paraId="6218ADC9"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239.3</w:t>
            </w:r>
          </w:p>
        </w:tc>
        <w:tc>
          <w:tcPr>
            <w:tcW w:w="924" w:type="dxa"/>
            <w:tcBorders>
              <w:top w:val="nil"/>
              <w:bottom w:val="nil"/>
            </w:tcBorders>
          </w:tcPr>
          <w:p w14:paraId="67CFD6F4"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9.6</w:t>
            </w:r>
          </w:p>
        </w:tc>
      </w:tr>
      <w:tr w:rsidR="0074216D" w:rsidRPr="008E1CFE" w14:paraId="19E9373A"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bottom w:val="nil"/>
            </w:tcBorders>
          </w:tcPr>
          <w:p w14:paraId="6FC7DF2C" w14:textId="77777777" w:rsidR="0074216D" w:rsidRPr="00592E8A" w:rsidRDefault="0074216D">
            <w:r>
              <w:t>Maternal and Child Health and Early Parenting Services</w:t>
            </w:r>
          </w:p>
        </w:tc>
        <w:tc>
          <w:tcPr>
            <w:tcW w:w="924" w:type="dxa"/>
            <w:tcBorders>
              <w:top w:val="nil"/>
              <w:bottom w:val="nil"/>
            </w:tcBorders>
          </w:tcPr>
          <w:p w14:paraId="61C982AF"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202.9</w:t>
            </w:r>
          </w:p>
        </w:tc>
        <w:tc>
          <w:tcPr>
            <w:tcW w:w="924" w:type="dxa"/>
            <w:tcBorders>
              <w:top w:val="nil"/>
              <w:bottom w:val="nil"/>
            </w:tcBorders>
          </w:tcPr>
          <w:p w14:paraId="0AA75C67"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213.6</w:t>
            </w:r>
          </w:p>
        </w:tc>
        <w:tc>
          <w:tcPr>
            <w:tcW w:w="924" w:type="dxa"/>
            <w:tcBorders>
              <w:top w:val="nil"/>
              <w:bottom w:val="nil"/>
            </w:tcBorders>
          </w:tcPr>
          <w:p w14:paraId="51909350"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204.0</w:t>
            </w:r>
          </w:p>
        </w:tc>
        <w:tc>
          <w:tcPr>
            <w:tcW w:w="924" w:type="dxa"/>
            <w:tcBorders>
              <w:top w:val="nil"/>
              <w:bottom w:val="nil"/>
            </w:tcBorders>
          </w:tcPr>
          <w:p w14:paraId="3270513C"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0.5</w:t>
            </w:r>
          </w:p>
        </w:tc>
      </w:tr>
      <w:tr w:rsidR="0074216D" w:rsidRPr="008E1CFE" w14:paraId="388BD084"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bottom w:val="nil"/>
            </w:tcBorders>
          </w:tcPr>
          <w:p w14:paraId="22F86A0A" w14:textId="77777777" w:rsidR="0074216D" w:rsidRPr="00592E8A" w:rsidRDefault="0074216D">
            <w:r w:rsidRPr="009E04D5">
              <w:t>Public Health</w:t>
            </w:r>
          </w:p>
        </w:tc>
        <w:tc>
          <w:tcPr>
            <w:tcW w:w="924" w:type="dxa"/>
            <w:tcBorders>
              <w:top w:val="nil"/>
              <w:bottom w:val="nil"/>
            </w:tcBorders>
          </w:tcPr>
          <w:p w14:paraId="2F08BD6D"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403.0</w:t>
            </w:r>
          </w:p>
        </w:tc>
        <w:tc>
          <w:tcPr>
            <w:tcW w:w="924" w:type="dxa"/>
            <w:tcBorders>
              <w:top w:val="nil"/>
              <w:bottom w:val="nil"/>
            </w:tcBorders>
          </w:tcPr>
          <w:p w14:paraId="7D57D67C"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445.4</w:t>
            </w:r>
          </w:p>
        </w:tc>
        <w:tc>
          <w:tcPr>
            <w:tcW w:w="924" w:type="dxa"/>
            <w:tcBorders>
              <w:top w:val="nil"/>
              <w:bottom w:val="nil"/>
            </w:tcBorders>
          </w:tcPr>
          <w:p w14:paraId="2DCC55B9"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406.1</w:t>
            </w:r>
          </w:p>
        </w:tc>
        <w:tc>
          <w:tcPr>
            <w:tcW w:w="924" w:type="dxa"/>
            <w:tcBorders>
              <w:top w:val="nil"/>
              <w:bottom w:val="nil"/>
            </w:tcBorders>
          </w:tcPr>
          <w:p w14:paraId="13016BA8"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0.8</w:t>
            </w:r>
          </w:p>
        </w:tc>
      </w:tr>
      <w:tr w:rsidR="0074216D" w:rsidRPr="008E1CFE" w14:paraId="77087EBE" w14:textId="77777777">
        <w:trPr>
          <w:trHeight w:val="227"/>
        </w:trPr>
        <w:tc>
          <w:tcPr>
            <w:cnfStyle w:val="001000000000" w:firstRow="0" w:lastRow="0" w:firstColumn="1" w:lastColumn="0" w:oddVBand="0" w:evenVBand="0" w:oddHBand="0" w:evenHBand="0" w:firstRowFirstColumn="0" w:firstRowLastColumn="0" w:lastRowFirstColumn="0" w:lastRowLastColumn="0"/>
            <w:tcW w:w="5948" w:type="dxa"/>
            <w:tcBorders>
              <w:top w:val="nil"/>
              <w:bottom w:val="single" w:sz="6" w:space="0" w:color="auto"/>
            </w:tcBorders>
          </w:tcPr>
          <w:p w14:paraId="66CB328A" w14:textId="45F5127B" w:rsidR="0074216D" w:rsidRPr="00047C20" w:rsidRDefault="0074216D">
            <w:r w:rsidRPr="009E04D5">
              <w:t>Small Rural Services</w:t>
            </w:r>
            <w:r w:rsidRPr="007C3022">
              <w:rPr>
                <w:vertAlign w:val="superscript"/>
              </w:rPr>
              <w:t>(</w:t>
            </w:r>
            <w:r w:rsidR="000D7ECB">
              <w:rPr>
                <w:vertAlign w:val="superscript"/>
              </w:rPr>
              <w:t>c</w:t>
            </w:r>
            <w:r w:rsidRPr="007C3022">
              <w:rPr>
                <w:vertAlign w:val="superscript"/>
              </w:rPr>
              <w:t>)</w:t>
            </w:r>
          </w:p>
        </w:tc>
        <w:tc>
          <w:tcPr>
            <w:tcW w:w="924" w:type="dxa"/>
            <w:tcBorders>
              <w:top w:val="nil"/>
              <w:bottom w:val="single" w:sz="6" w:space="0" w:color="auto"/>
            </w:tcBorders>
          </w:tcPr>
          <w:p w14:paraId="1C5EC921"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877.4</w:t>
            </w:r>
          </w:p>
        </w:tc>
        <w:tc>
          <w:tcPr>
            <w:tcW w:w="924" w:type="dxa"/>
            <w:tcBorders>
              <w:top w:val="nil"/>
              <w:bottom w:val="single" w:sz="6" w:space="0" w:color="auto"/>
            </w:tcBorders>
          </w:tcPr>
          <w:p w14:paraId="7B56A72A"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975.8</w:t>
            </w:r>
          </w:p>
        </w:tc>
        <w:tc>
          <w:tcPr>
            <w:tcW w:w="924" w:type="dxa"/>
            <w:tcBorders>
              <w:top w:val="nil"/>
              <w:bottom w:val="single" w:sz="6" w:space="0" w:color="auto"/>
            </w:tcBorders>
          </w:tcPr>
          <w:p w14:paraId="4657EE98"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948.7</w:t>
            </w:r>
          </w:p>
        </w:tc>
        <w:tc>
          <w:tcPr>
            <w:tcW w:w="924" w:type="dxa"/>
            <w:tcBorders>
              <w:top w:val="nil"/>
              <w:bottom w:val="single" w:sz="6" w:space="0" w:color="auto"/>
            </w:tcBorders>
          </w:tcPr>
          <w:p w14:paraId="36690C45" w14:textId="77777777" w:rsidR="0074216D" w:rsidRPr="000F0A14" w:rsidRDefault="0074216D">
            <w:pPr>
              <w:cnfStyle w:val="000000000000" w:firstRow="0" w:lastRow="0" w:firstColumn="0" w:lastColumn="0" w:oddVBand="0" w:evenVBand="0" w:oddHBand="0" w:evenHBand="0" w:firstRowFirstColumn="0" w:firstRowLastColumn="0" w:lastRowFirstColumn="0" w:lastRowLastColumn="0"/>
            </w:pPr>
            <w:r w:rsidRPr="009E04D5">
              <w:t xml:space="preserve"> 8.1</w:t>
            </w:r>
          </w:p>
        </w:tc>
      </w:tr>
      <w:tr w:rsidR="0074216D" w:rsidRPr="008E1CFE" w14:paraId="7AFF24F2" w14:textId="77777777">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948" w:type="dxa"/>
          </w:tcPr>
          <w:p w14:paraId="1BF32A66" w14:textId="77777777" w:rsidR="0074216D" w:rsidRPr="00047C20" w:rsidRDefault="0074216D">
            <w:r w:rsidRPr="009E04D5">
              <w:t>Total</w:t>
            </w:r>
          </w:p>
        </w:tc>
        <w:tc>
          <w:tcPr>
            <w:tcW w:w="924" w:type="dxa"/>
          </w:tcPr>
          <w:p w14:paraId="5AAE49C5" w14:textId="77777777" w:rsidR="0074216D" w:rsidRPr="000F0A14" w:rsidRDefault="0074216D">
            <w:pPr>
              <w:cnfStyle w:val="010000000000" w:firstRow="0" w:lastRow="1" w:firstColumn="0" w:lastColumn="0" w:oddVBand="0" w:evenVBand="0" w:oddHBand="0" w:evenHBand="0" w:firstRowFirstColumn="0" w:firstRowLastColumn="0" w:lastRowFirstColumn="0" w:lastRowLastColumn="0"/>
            </w:pPr>
            <w:r w:rsidRPr="009E04D5">
              <w:t>31 155.9</w:t>
            </w:r>
          </w:p>
        </w:tc>
        <w:tc>
          <w:tcPr>
            <w:tcW w:w="924" w:type="dxa"/>
          </w:tcPr>
          <w:p w14:paraId="6B50E5AD" w14:textId="77777777" w:rsidR="0074216D" w:rsidRPr="000F0A14" w:rsidRDefault="0074216D">
            <w:pPr>
              <w:cnfStyle w:val="010000000000" w:firstRow="0" w:lastRow="1" w:firstColumn="0" w:lastColumn="0" w:oddVBand="0" w:evenVBand="0" w:oddHBand="0" w:evenHBand="0" w:firstRowFirstColumn="0" w:firstRowLastColumn="0" w:lastRowFirstColumn="0" w:lastRowLastColumn="0"/>
            </w:pPr>
            <w:r w:rsidRPr="009E04D5">
              <w:t>32 115.0</w:t>
            </w:r>
          </w:p>
        </w:tc>
        <w:tc>
          <w:tcPr>
            <w:tcW w:w="924" w:type="dxa"/>
          </w:tcPr>
          <w:p w14:paraId="19881942" w14:textId="77777777" w:rsidR="0074216D" w:rsidRPr="000F0A14" w:rsidRDefault="0074216D">
            <w:pPr>
              <w:cnfStyle w:val="010000000000" w:firstRow="0" w:lastRow="1" w:firstColumn="0" w:lastColumn="0" w:oddVBand="0" w:evenVBand="0" w:oddHBand="0" w:evenHBand="0" w:firstRowFirstColumn="0" w:firstRowLastColumn="0" w:lastRowFirstColumn="0" w:lastRowLastColumn="0"/>
            </w:pPr>
            <w:r w:rsidRPr="009E04D5">
              <w:t>32 333.8</w:t>
            </w:r>
          </w:p>
        </w:tc>
        <w:tc>
          <w:tcPr>
            <w:tcW w:w="924" w:type="dxa"/>
          </w:tcPr>
          <w:p w14:paraId="153DB2C0" w14:textId="77777777" w:rsidR="0074216D" w:rsidRPr="000F0A14" w:rsidRDefault="0074216D">
            <w:pPr>
              <w:cnfStyle w:val="010000000000" w:firstRow="0" w:lastRow="1" w:firstColumn="0" w:lastColumn="0" w:oddVBand="0" w:evenVBand="0" w:oddHBand="0" w:evenHBand="0" w:firstRowFirstColumn="0" w:firstRowLastColumn="0" w:lastRowFirstColumn="0" w:lastRowLastColumn="0"/>
            </w:pPr>
            <w:r w:rsidRPr="009E04D5">
              <w:t xml:space="preserve"> 3.8</w:t>
            </w:r>
          </w:p>
        </w:tc>
      </w:tr>
    </w:tbl>
    <w:p w14:paraId="293956C5" w14:textId="77777777" w:rsidR="0074216D" w:rsidRDefault="0074216D" w:rsidP="0074216D">
      <w:pPr>
        <w:pStyle w:val="Source"/>
        <w:rPr>
          <w:lang w:eastAsia="en-AU"/>
        </w:rPr>
      </w:pPr>
      <w:r>
        <w:rPr>
          <w:lang w:eastAsia="en-AU"/>
        </w:rPr>
        <w:t>Source: Department of Health</w:t>
      </w:r>
    </w:p>
    <w:p w14:paraId="17C28AFA" w14:textId="5ADA916C" w:rsidR="0074216D" w:rsidRDefault="0074216D" w:rsidP="0074216D">
      <w:pPr>
        <w:pStyle w:val="Note"/>
        <w:rPr>
          <w:lang w:eastAsia="en-AU"/>
        </w:rPr>
      </w:pPr>
      <w:r>
        <w:rPr>
          <w:lang w:eastAsia="en-AU"/>
        </w:rPr>
        <w:t>Notes</w:t>
      </w:r>
      <w:r w:rsidR="000D209E">
        <w:rPr>
          <w:lang w:eastAsia="en-AU"/>
        </w:rPr>
        <w:t>:</w:t>
      </w:r>
    </w:p>
    <w:p w14:paraId="1D5A5045" w14:textId="77777777" w:rsidR="0074216D" w:rsidRDefault="0074216D" w:rsidP="0074216D">
      <w:pPr>
        <w:pStyle w:val="Note"/>
        <w:numPr>
          <w:ilvl w:val="0"/>
          <w:numId w:val="33"/>
        </w:numPr>
        <w:ind w:left="284" w:hanging="284"/>
      </w:pPr>
      <w:r w:rsidRPr="00532D1B">
        <w:t>Variation between 2025-26 budget and 2026-27 budget.</w:t>
      </w:r>
    </w:p>
    <w:p w14:paraId="2CC62A6E" w14:textId="77777777" w:rsidR="0074216D" w:rsidRDefault="0074216D" w:rsidP="0074216D">
      <w:pPr>
        <w:pStyle w:val="Note"/>
        <w:numPr>
          <w:ilvl w:val="0"/>
          <w:numId w:val="33"/>
        </w:numPr>
        <w:ind w:left="360"/>
      </w:pPr>
      <w:r w:rsidRPr="00E100DF">
        <w:t xml:space="preserve">The higher </w:t>
      </w:r>
      <w:r w:rsidRPr="002439BC">
        <w:t>2026-27 target is due</w:t>
      </w:r>
      <w:r w:rsidRPr="00E100DF">
        <w:t xml:space="preserve"> to </w:t>
      </w:r>
      <w:r w:rsidRPr="002439BC">
        <w:t>new funding provided for government policy commitments</w:t>
      </w:r>
      <w:r w:rsidRPr="00E100DF">
        <w:t xml:space="preserve"> and a revision to estimated hospital revenue.</w:t>
      </w:r>
    </w:p>
    <w:p w14:paraId="49567CC0" w14:textId="77777777" w:rsidR="0074216D" w:rsidRDefault="0074216D" w:rsidP="0074216D">
      <w:pPr>
        <w:pStyle w:val="Note"/>
        <w:numPr>
          <w:ilvl w:val="0"/>
          <w:numId w:val="33"/>
        </w:numPr>
        <w:ind w:left="360"/>
      </w:pPr>
      <w:r w:rsidRPr="000F0468">
        <w:t xml:space="preserve">The higher </w:t>
      </w:r>
      <w:r w:rsidRPr="000B600E">
        <w:t>2026-27 target is due to</w:t>
      </w:r>
      <w:r w:rsidRPr="000F0468">
        <w:t xml:space="preserve"> new funding provided for government policy commitments</w:t>
      </w:r>
      <w:r w:rsidRPr="000B600E">
        <w:t xml:space="preserve"> and increased contribution from Commonwealth Government</w:t>
      </w:r>
      <w:r w:rsidRPr="000F0468">
        <w:t>.</w:t>
      </w:r>
    </w:p>
    <w:p w14:paraId="15FCB3D6" w14:textId="77777777" w:rsidR="0074216D" w:rsidRDefault="0074216D" w:rsidP="0074216D">
      <w:pPr>
        <w:pStyle w:val="Note"/>
        <w:numPr>
          <w:ilvl w:val="0"/>
          <w:numId w:val="33"/>
        </w:numPr>
        <w:ind w:left="360"/>
      </w:pPr>
      <w:r w:rsidRPr="00377121">
        <w:t>The higher 2026-27 target is due to new funding provided for government policy commitments.</w:t>
      </w:r>
    </w:p>
    <w:p w14:paraId="1A8BC34E" w14:textId="77777777" w:rsidR="0074216D" w:rsidRDefault="0074216D" w:rsidP="0074216D">
      <w:pPr>
        <w:pStyle w:val="Note"/>
        <w:numPr>
          <w:ilvl w:val="0"/>
          <w:numId w:val="33"/>
        </w:numPr>
        <w:ind w:left="360"/>
      </w:pPr>
      <w:r w:rsidRPr="00C63E31">
        <w:t>The higher 2026-27 target is due primarily to enterprise bargaining agreements and government policy initiatives.</w:t>
      </w:r>
    </w:p>
    <w:p w14:paraId="59E2333F" w14:textId="77777777" w:rsidR="0074216D" w:rsidRPr="0075522D" w:rsidRDefault="0074216D" w:rsidP="0074216D">
      <w:pPr>
        <w:pStyle w:val="Heading2"/>
      </w:pPr>
      <w:r w:rsidRPr="0075522D">
        <w:lastRenderedPageBreak/>
        <w:t>Amounts available</w:t>
      </w:r>
    </w:p>
    <w:p w14:paraId="55D4DEEA" w14:textId="77777777" w:rsidR="0074216D" w:rsidRPr="0075522D" w:rsidRDefault="0074216D" w:rsidP="0074216D">
      <w:pPr>
        <w:rPr>
          <w:rFonts w:ascii="Garamond" w:hAnsi="Garamond"/>
        </w:rPr>
      </w:pPr>
      <w:r w:rsidRPr="0075522D">
        <w:rPr>
          <w:rFonts w:ascii="Garamond" w:hAnsi="Garamond"/>
        </w:rPr>
        <w:t xml:space="preserve">The following tables detail the amounts available to the </w:t>
      </w:r>
      <w:r>
        <w:rPr>
          <w:rFonts w:ascii="Garamond" w:hAnsi="Garamond"/>
        </w:rPr>
        <w:t>D</w:t>
      </w:r>
      <w:r w:rsidRPr="0075522D">
        <w:rPr>
          <w:rFonts w:ascii="Garamond" w:hAnsi="Garamond"/>
        </w:rPr>
        <w:t xml:space="preserve">epartment from </w:t>
      </w:r>
      <w:r>
        <w:rPr>
          <w:rFonts w:ascii="Garamond" w:hAnsi="Garamond"/>
        </w:rPr>
        <w:t>p</w:t>
      </w:r>
      <w:r w:rsidRPr="0075522D">
        <w:rPr>
          <w:rFonts w:ascii="Garamond" w:hAnsi="Garamond"/>
        </w:rPr>
        <w:t>arliamentary authority and income generated through transactions.</w:t>
      </w:r>
    </w:p>
    <w:p w14:paraId="6278877B" w14:textId="7D7A3DF5" w:rsidR="0074216D" w:rsidRDefault="0074216D" w:rsidP="0074216D">
      <w:pPr>
        <w:rPr>
          <w:rFonts w:ascii="Garamond" w:hAnsi="Garamond"/>
        </w:rPr>
      </w:pPr>
      <w:r w:rsidRPr="56633658">
        <w:rPr>
          <w:rFonts w:ascii="Garamond" w:hAnsi="Garamond"/>
        </w:rPr>
        <w:t>Table 1</w:t>
      </w:r>
      <w:r>
        <w:rPr>
          <w:rFonts w:ascii="Garamond" w:hAnsi="Garamond"/>
        </w:rPr>
        <w:t>4</w:t>
      </w:r>
      <w:r w:rsidRPr="56633658">
        <w:rPr>
          <w:rFonts w:ascii="Garamond" w:hAnsi="Garamond"/>
        </w:rPr>
        <w:t xml:space="preserve"> outlines the </w:t>
      </w:r>
      <w:r>
        <w:rPr>
          <w:rFonts w:ascii="Garamond" w:hAnsi="Garamond"/>
        </w:rPr>
        <w:t>D</w:t>
      </w:r>
      <w:r w:rsidRPr="56633658">
        <w:rPr>
          <w:rFonts w:ascii="Garamond" w:hAnsi="Garamond"/>
        </w:rPr>
        <w:t>epartment</w:t>
      </w:r>
      <w:r>
        <w:rPr>
          <w:rFonts w:ascii="Garamond" w:hAnsi="Garamond"/>
        </w:rPr>
        <w:t>’</w:t>
      </w:r>
      <w:r w:rsidRPr="56633658">
        <w:rPr>
          <w:rFonts w:ascii="Garamond" w:hAnsi="Garamond"/>
        </w:rPr>
        <w:t>s income from transactions and Table 1</w:t>
      </w:r>
      <w:r>
        <w:rPr>
          <w:rFonts w:ascii="Garamond" w:hAnsi="Garamond"/>
        </w:rPr>
        <w:t>5</w:t>
      </w:r>
      <w:r w:rsidRPr="56633658">
        <w:rPr>
          <w:rFonts w:ascii="Garamond" w:hAnsi="Garamond"/>
        </w:rPr>
        <w:t xml:space="preserve"> summarises the sources of parliamentary authority available to the </w:t>
      </w:r>
      <w:r>
        <w:rPr>
          <w:rFonts w:ascii="Garamond" w:hAnsi="Garamond"/>
        </w:rPr>
        <w:t>D</w:t>
      </w:r>
      <w:r w:rsidRPr="56633658">
        <w:rPr>
          <w:rFonts w:ascii="Garamond" w:hAnsi="Garamond"/>
        </w:rPr>
        <w:t xml:space="preserve">epartment to fund the provision of outputs, additions to the net asset base, payments made on behalf of the </w:t>
      </w:r>
      <w:r w:rsidR="008660AB">
        <w:rPr>
          <w:rFonts w:ascii="Garamond" w:hAnsi="Garamond"/>
        </w:rPr>
        <w:t>S</w:t>
      </w:r>
      <w:r w:rsidR="00601389" w:rsidRPr="56633658">
        <w:rPr>
          <w:rFonts w:ascii="Garamond" w:hAnsi="Garamond"/>
        </w:rPr>
        <w:t>tate</w:t>
      </w:r>
      <w:r w:rsidRPr="56633658">
        <w:rPr>
          <w:rFonts w:ascii="Garamond" w:hAnsi="Garamond"/>
        </w:rPr>
        <w:t xml:space="preserve">, and other sources expected to become available to the </w:t>
      </w:r>
      <w:r>
        <w:rPr>
          <w:rFonts w:ascii="Garamond" w:hAnsi="Garamond"/>
        </w:rPr>
        <w:t>D</w:t>
      </w:r>
      <w:r w:rsidRPr="56633658">
        <w:rPr>
          <w:rFonts w:ascii="Garamond" w:hAnsi="Garamond"/>
        </w:rPr>
        <w:t>epartment.</w:t>
      </w:r>
    </w:p>
    <w:p w14:paraId="44F256AB" w14:textId="77777777" w:rsidR="0074216D" w:rsidRDefault="0074216D" w:rsidP="0074216D">
      <w:pPr>
        <w:pStyle w:val="TableHeading"/>
      </w:pPr>
      <w:r>
        <w:t>Table 14:</w:t>
      </w:r>
      <w:r>
        <w:tab/>
        <w:t>Income from transactions</w:t>
      </w:r>
      <w:r>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74216D" w14:paraId="295F96D2" w14:textId="77777777" w:rsidTr="00531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3C7EC" w14:textId="77777777" w:rsidR="0074216D" w:rsidRDefault="0074216D"/>
        </w:tc>
        <w:tc>
          <w:tcPr>
            <w:tcW w:w="851" w:type="dxa"/>
          </w:tcPr>
          <w:p w14:paraId="66496E7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2A20B5BC"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43E8BE9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52E4AA21"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budget</w:t>
            </w:r>
          </w:p>
        </w:tc>
      </w:tr>
      <w:tr w:rsidR="0074216D" w:rsidRPr="00122FA7" w14:paraId="2A4234A3"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329C02B" w14:textId="77777777" w:rsidR="0074216D" w:rsidRPr="00122FA7" w:rsidRDefault="0074216D">
            <w:pPr>
              <w:rPr>
                <w:lang w:eastAsia="en-AU"/>
              </w:rPr>
            </w:pPr>
            <w:r w:rsidRPr="00122FA7">
              <w:rPr>
                <w:lang w:eastAsia="en-AU"/>
              </w:rPr>
              <w:t>Output appropriations</w:t>
            </w:r>
          </w:p>
        </w:tc>
        <w:tc>
          <w:tcPr>
            <w:tcW w:w="851" w:type="dxa"/>
            <w:noWrap/>
            <w:hideMark/>
          </w:tcPr>
          <w:p w14:paraId="03BE0F36"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16 861.2</w:t>
            </w:r>
          </w:p>
        </w:tc>
        <w:tc>
          <w:tcPr>
            <w:tcW w:w="851" w:type="dxa"/>
            <w:noWrap/>
            <w:hideMark/>
          </w:tcPr>
          <w:p w14:paraId="2D5A3913"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17 235.6</w:t>
            </w:r>
          </w:p>
        </w:tc>
        <w:tc>
          <w:tcPr>
            <w:tcW w:w="851" w:type="dxa"/>
            <w:noWrap/>
            <w:hideMark/>
          </w:tcPr>
          <w:p w14:paraId="794C590D"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18 046.9</w:t>
            </w:r>
          </w:p>
        </w:tc>
        <w:tc>
          <w:tcPr>
            <w:tcW w:w="851" w:type="dxa"/>
            <w:noWrap/>
            <w:hideMark/>
          </w:tcPr>
          <w:p w14:paraId="01014F0C"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17 014.0</w:t>
            </w:r>
          </w:p>
        </w:tc>
      </w:tr>
      <w:tr w:rsidR="0074216D" w:rsidRPr="00122FA7" w14:paraId="4BCF2E18"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A0A50" w14:textId="77777777" w:rsidR="0074216D" w:rsidRPr="00122FA7" w:rsidRDefault="0074216D">
            <w:pPr>
              <w:rPr>
                <w:lang w:eastAsia="en-AU"/>
              </w:rPr>
            </w:pPr>
            <w:r w:rsidRPr="00122FA7">
              <w:rPr>
                <w:lang w:eastAsia="en-AU"/>
              </w:rPr>
              <w:t>Special appropriations</w:t>
            </w:r>
          </w:p>
        </w:tc>
        <w:tc>
          <w:tcPr>
            <w:tcW w:w="851" w:type="dxa"/>
            <w:noWrap/>
            <w:hideMark/>
          </w:tcPr>
          <w:p w14:paraId="559A6DC6"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3 209.0</w:t>
            </w:r>
          </w:p>
        </w:tc>
        <w:tc>
          <w:tcPr>
            <w:tcW w:w="851" w:type="dxa"/>
            <w:noWrap/>
            <w:hideMark/>
          </w:tcPr>
          <w:p w14:paraId="20722AD6"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3 283.4</w:t>
            </w:r>
          </w:p>
        </w:tc>
        <w:tc>
          <w:tcPr>
            <w:tcW w:w="851" w:type="dxa"/>
            <w:noWrap/>
            <w:hideMark/>
          </w:tcPr>
          <w:p w14:paraId="56E2086A"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3 377.6</w:t>
            </w:r>
          </w:p>
        </w:tc>
        <w:tc>
          <w:tcPr>
            <w:tcW w:w="851" w:type="dxa"/>
            <w:noWrap/>
            <w:hideMark/>
          </w:tcPr>
          <w:p w14:paraId="3869BEF2"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3 544.2</w:t>
            </w:r>
          </w:p>
        </w:tc>
      </w:tr>
      <w:tr w:rsidR="0074216D" w:rsidRPr="00122FA7" w14:paraId="1891CB48"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822F0" w14:textId="77777777" w:rsidR="0074216D" w:rsidRPr="00122FA7" w:rsidRDefault="0074216D">
            <w:pPr>
              <w:rPr>
                <w:lang w:eastAsia="en-AU"/>
              </w:rPr>
            </w:pPr>
            <w:r w:rsidRPr="00122FA7">
              <w:rPr>
                <w:lang w:eastAsia="en-AU"/>
              </w:rPr>
              <w:t>Interest</w:t>
            </w:r>
          </w:p>
        </w:tc>
        <w:tc>
          <w:tcPr>
            <w:tcW w:w="851" w:type="dxa"/>
            <w:noWrap/>
            <w:hideMark/>
          </w:tcPr>
          <w:p w14:paraId="2CD13152"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207.6</w:t>
            </w:r>
          </w:p>
        </w:tc>
        <w:tc>
          <w:tcPr>
            <w:tcW w:w="851" w:type="dxa"/>
            <w:noWrap/>
            <w:hideMark/>
          </w:tcPr>
          <w:p w14:paraId="705DF259"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203.0</w:t>
            </w:r>
          </w:p>
        </w:tc>
        <w:tc>
          <w:tcPr>
            <w:tcW w:w="851" w:type="dxa"/>
            <w:noWrap/>
            <w:hideMark/>
          </w:tcPr>
          <w:p w14:paraId="5F273F2F"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146.9</w:t>
            </w:r>
          </w:p>
        </w:tc>
        <w:tc>
          <w:tcPr>
            <w:tcW w:w="851" w:type="dxa"/>
            <w:noWrap/>
            <w:hideMark/>
          </w:tcPr>
          <w:p w14:paraId="7FAFDBD7"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206.6</w:t>
            </w:r>
          </w:p>
        </w:tc>
      </w:tr>
      <w:tr w:rsidR="0074216D" w:rsidRPr="00122FA7" w14:paraId="7F567725"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C304C85" w14:textId="77777777" w:rsidR="0074216D" w:rsidRPr="00122FA7" w:rsidRDefault="0074216D">
            <w:pPr>
              <w:rPr>
                <w:lang w:eastAsia="en-AU"/>
              </w:rPr>
            </w:pPr>
            <w:r w:rsidRPr="00122FA7">
              <w:rPr>
                <w:lang w:eastAsia="en-AU"/>
              </w:rPr>
              <w:t>Sales of goods and services</w:t>
            </w:r>
          </w:p>
        </w:tc>
        <w:tc>
          <w:tcPr>
            <w:tcW w:w="851" w:type="dxa"/>
            <w:noWrap/>
            <w:hideMark/>
          </w:tcPr>
          <w:p w14:paraId="53F4491B"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2 025.9</w:t>
            </w:r>
          </w:p>
        </w:tc>
        <w:tc>
          <w:tcPr>
            <w:tcW w:w="851" w:type="dxa"/>
            <w:noWrap/>
            <w:hideMark/>
          </w:tcPr>
          <w:p w14:paraId="5DA572E3"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2 071.6</w:t>
            </w:r>
          </w:p>
        </w:tc>
        <w:tc>
          <w:tcPr>
            <w:tcW w:w="851" w:type="dxa"/>
            <w:noWrap/>
            <w:hideMark/>
          </w:tcPr>
          <w:p w14:paraId="2F3565C1"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2 083.7</w:t>
            </w:r>
          </w:p>
        </w:tc>
        <w:tc>
          <w:tcPr>
            <w:tcW w:w="851" w:type="dxa"/>
            <w:noWrap/>
            <w:hideMark/>
          </w:tcPr>
          <w:p w14:paraId="2E8D572F"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2 071.6</w:t>
            </w:r>
          </w:p>
        </w:tc>
      </w:tr>
      <w:tr w:rsidR="0074216D" w:rsidRPr="00122FA7" w14:paraId="15EAAB66"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325B4D0" w14:textId="77777777" w:rsidR="0074216D" w:rsidRPr="00122FA7" w:rsidRDefault="0074216D">
            <w:pPr>
              <w:rPr>
                <w:lang w:eastAsia="en-AU"/>
              </w:rPr>
            </w:pPr>
            <w:r w:rsidRPr="00122FA7">
              <w:rPr>
                <w:lang w:eastAsia="en-AU"/>
              </w:rPr>
              <w:t>Grants</w:t>
            </w:r>
          </w:p>
        </w:tc>
        <w:tc>
          <w:tcPr>
            <w:tcW w:w="851" w:type="dxa"/>
            <w:noWrap/>
            <w:hideMark/>
          </w:tcPr>
          <w:p w14:paraId="48965878"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9 611.8</w:t>
            </w:r>
          </w:p>
        </w:tc>
        <w:tc>
          <w:tcPr>
            <w:tcW w:w="851" w:type="dxa"/>
            <w:noWrap/>
            <w:hideMark/>
          </w:tcPr>
          <w:p w14:paraId="4ACCC351"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9 987.6</w:t>
            </w:r>
          </w:p>
        </w:tc>
        <w:tc>
          <w:tcPr>
            <w:tcW w:w="851" w:type="dxa"/>
            <w:noWrap/>
            <w:hideMark/>
          </w:tcPr>
          <w:p w14:paraId="2C6DDE75"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10 232.6</w:t>
            </w:r>
          </w:p>
        </w:tc>
        <w:tc>
          <w:tcPr>
            <w:tcW w:w="851" w:type="dxa"/>
            <w:noWrap/>
            <w:hideMark/>
          </w:tcPr>
          <w:p w14:paraId="0DFBF4CA"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11 215.1</w:t>
            </w:r>
          </w:p>
        </w:tc>
      </w:tr>
      <w:tr w:rsidR="0074216D" w:rsidRPr="00122FA7" w14:paraId="0334B7B3"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E1C81" w14:textId="77777777" w:rsidR="0074216D" w:rsidRPr="00122FA7" w:rsidRDefault="0074216D">
            <w:pPr>
              <w:rPr>
                <w:lang w:eastAsia="en-AU"/>
              </w:rPr>
            </w:pPr>
            <w:r w:rsidRPr="00122FA7">
              <w:rPr>
                <w:lang w:eastAsia="en-AU"/>
              </w:rPr>
              <w:t>Fair value of assets and services received free of charge or for nominal consideration</w:t>
            </w:r>
          </w:p>
        </w:tc>
        <w:tc>
          <w:tcPr>
            <w:tcW w:w="851" w:type="dxa"/>
            <w:noWrap/>
            <w:hideMark/>
          </w:tcPr>
          <w:p w14:paraId="26586066"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1.2</w:t>
            </w:r>
          </w:p>
        </w:tc>
        <w:tc>
          <w:tcPr>
            <w:tcW w:w="851" w:type="dxa"/>
            <w:noWrap/>
            <w:hideMark/>
          </w:tcPr>
          <w:p w14:paraId="2776F33C"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28.5</w:t>
            </w:r>
          </w:p>
        </w:tc>
        <w:tc>
          <w:tcPr>
            <w:tcW w:w="851" w:type="dxa"/>
            <w:noWrap/>
            <w:hideMark/>
          </w:tcPr>
          <w:p w14:paraId="195E17E5"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42.2</w:t>
            </w:r>
          </w:p>
        </w:tc>
        <w:tc>
          <w:tcPr>
            <w:tcW w:w="851" w:type="dxa"/>
            <w:noWrap/>
            <w:hideMark/>
          </w:tcPr>
          <w:p w14:paraId="49C77087"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27.0</w:t>
            </w:r>
          </w:p>
        </w:tc>
      </w:tr>
      <w:tr w:rsidR="0074216D" w:rsidRPr="00122FA7" w14:paraId="139BF562" w14:textId="77777777" w:rsidTr="005314E1">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877FA8A" w14:textId="77777777" w:rsidR="0074216D" w:rsidRPr="00122FA7" w:rsidRDefault="0074216D">
            <w:pPr>
              <w:rPr>
                <w:lang w:eastAsia="en-AU"/>
              </w:rPr>
            </w:pPr>
            <w:r w:rsidRPr="00122FA7">
              <w:rPr>
                <w:lang w:eastAsia="en-AU"/>
              </w:rPr>
              <w:t>Other income</w:t>
            </w:r>
          </w:p>
        </w:tc>
        <w:tc>
          <w:tcPr>
            <w:tcW w:w="851" w:type="dxa"/>
            <w:noWrap/>
            <w:hideMark/>
          </w:tcPr>
          <w:p w14:paraId="4DD32F90"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1 120.7</w:t>
            </w:r>
          </w:p>
        </w:tc>
        <w:tc>
          <w:tcPr>
            <w:tcW w:w="851" w:type="dxa"/>
            <w:noWrap/>
            <w:hideMark/>
          </w:tcPr>
          <w:p w14:paraId="39D49755"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839.8</w:t>
            </w:r>
          </w:p>
        </w:tc>
        <w:tc>
          <w:tcPr>
            <w:tcW w:w="851" w:type="dxa"/>
            <w:noWrap/>
            <w:hideMark/>
          </w:tcPr>
          <w:p w14:paraId="2BBE6090"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1 068.5</w:t>
            </w:r>
          </w:p>
        </w:tc>
        <w:tc>
          <w:tcPr>
            <w:tcW w:w="851" w:type="dxa"/>
            <w:noWrap/>
            <w:hideMark/>
          </w:tcPr>
          <w:p w14:paraId="418B2F22" w14:textId="77777777" w:rsidR="0074216D" w:rsidRPr="00122FA7"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122FA7">
              <w:rPr>
                <w:lang w:eastAsia="en-AU"/>
              </w:rPr>
              <w:t>840.5</w:t>
            </w:r>
          </w:p>
        </w:tc>
      </w:tr>
      <w:tr w:rsidR="0074216D" w:rsidRPr="00122FA7" w14:paraId="26A1F971" w14:textId="77777777" w:rsidTr="005314E1">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175C2" w14:textId="77777777" w:rsidR="0074216D" w:rsidRPr="00122FA7" w:rsidRDefault="0074216D">
            <w:pPr>
              <w:rPr>
                <w:lang w:eastAsia="en-AU"/>
              </w:rPr>
            </w:pPr>
            <w:r w:rsidRPr="00122FA7">
              <w:rPr>
                <w:lang w:eastAsia="en-AU"/>
              </w:rPr>
              <w:t>Total income from transactions</w:t>
            </w:r>
          </w:p>
        </w:tc>
        <w:tc>
          <w:tcPr>
            <w:tcW w:w="851" w:type="dxa"/>
            <w:noWrap/>
            <w:hideMark/>
          </w:tcPr>
          <w:p w14:paraId="5BAF866A" w14:textId="77777777" w:rsidR="0074216D" w:rsidRPr="00122FA7"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122FA7">
              <w:rPr>
                <w:lang w:eastAsia="en-AU"/>
              </w:rPr>
              <w:t>33 037.4</w:t>
            </w:r>
          </w:p>
        </w:tc>
        <w:tc>
          <w:tcPr>
            <w:tcW w:w="851" w:type="dxa"/>
            <w:noWrap/>
            <w:hideMark/>
          </w:tcPr>
          <w:p w14:paraId="77C482C5" w14:textId="77777777" w:rsidR="0074216D" w:rsidRPr="00122FA7"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122FA7">
              <w:rPr>
                <w:lang w:eastAsia="en-AU"/>
              </w:rPr>
              <w:t>33 649.5</w:t>
            </w:r>
          </w:p>
        </w:tc>
        <w:tc>
          <w:tcPr>
            <w:tcW w:w="851" w:type="dxa"/>
            <w:noWrap/>
            <w:hideMark/>
          </w:tcPr>
          <w:p w14:paraId="48D9BFD8" w14:textId="77777777" w:rsidR="0074216D" w:rsidRPr="00122FA7"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122FA7">
              <w:rPr>
                <w:lang w:eastAsia="en-AU"/>
              </w:rPr>
              <w:t>34 998.4</w:t>
            </w:r>
          </w:p>
        </w:tc>
        <w:tc>
          <w:tcPr>
            <w:tcW w:w="851" w:type="dxa"/>
            <w:noWrap/>
            <w:hideMark/>
          </w:tcPr>
          <w:p w14:paraId="64A19A1B" w14:textId="77777777" w:rsidR="0074216D" w:rsidRPr="00122FA7"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122FA7">
              <w:rPr>
                <w:lang w:eastAsia="en-AU"/>
              </w:rPr>
              <w:t>34 919.0</w:t>
            </w:r>
          </w:p>
        </w:tc>
      </w:tr>
    </w:tbl>
    <w:p w14:paraId="2EEB32A7" w14:textId="77777777" w:rsidR="0074216D" w:rsidRDefault="0074216D" w:rsidP="0074216D">
      <w:pPr>
        <w:pStyle w:val="Source"/>
      </w:pPr>
      <w:r>
        <w:t>Source: Department of Health</w:t>
      </w:r>
    </w:p>
    <w:p w14:paraId="3280B365" w14:textId="77777777" w:rsidR="0017507E" w:rsidRPr="0017507E" w:rsidRDefault="0017507E" w:rsidP="0017507E"/>
    <w:p w14:paraId="1002F8E7" w14:textId="77777777" w:rsidR="0074216D" w:rsidRDefault="0074216D" w:rsidP="0074216D">
      <w:pPr>
        <w:pStyle w:val="TableHeading"/>
        <w:spacing w:before="240"/>
      </w:pPr>
      <w:r>
        <w:t>Table 15:</w:t>
      </w:r>
      <w:r>
        <w:tab/>
        <w:t>Parliamentary authority for resources</w:t>
      </w:r>
      <w:r>
        <w:tab/>
        <w:t>($ million)</w:t>
      </w:r>
    </w:p>
    <w:tbl>
      <w:tblPr>
        <w:tblStyle w:val="DTFTableNumeric"/>
        <w:tblW w:w="5000" w:type="pct"/>
        <w:tblLook w:val="06E0" w:firstRow="1" w:lastRow="1" w:firstColumn="1" w:lastColumn="0" w:noHBand="1" w:noVBand="1"/>
      </w:tblPr>
      <w:tblGrid>
        <w:gridCol w:w="6658"/>
        <w:gridCol w:w="991"/>
        <w:gridCol w:w="991"/>
        <w:gridCol w:w="991"/>
      </w:tblGrid>
      <w:tr w:rsidR="0074216D" w14:paraId="1C60BC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36D4A" w14:textId="77777777" w:rsidR="0074216D" w:rsidRDefault="0074216D"/>
        </w:tc>
        <w:tc>
          <w:tcPr>
            <w:tcW w:w="992" w:type="dxa"/>
          </w:tcPr>
          <w:p w14:paraId="4D5492A3"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408A607D"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17A47D1F"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budget</w:t>
            </w:r>
          </w:p>
        </w:tc>
      </w:tr>
      <w:tr w:rsidR="0074216D" w:rsidRPr="00DF7886" w14:paraId="7FE94BB6"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264AA5" w14:textId="77777777" w:rsidR="0074216D" w:rsidRPr="00DF7886" w:rsidRDefault="0074216D">
            <w:pPr>
              <w:rPr>
                <w:b/>
                <w:bCs/>
                <w:lang w:eastAsia="en-AU"/>
              </w:rPr>
            </w:pPr>
            <w:r w:rsidRPr="00DF7886">
              <w:rPr>
                <w:b/>
                <w:bCs/>
                <w:lang w:eastAsia="en-AU"/>
              </w:rPr>
              <w:t>Annual appropriations</w:t>
            </w:r>
          </w:p>
        </w:tc>
        <w:tc>
          <w:tcPr>
            <w:tcW w:w="992" w:type="dxa"/>
            <w:noWrap/>
            <w:hideMark/>
          </w:tcPr>
          <w:p w14:paraId="460A6B24"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17 078.6</w:t>
            </w:r>
          </w:p>
        </w:tc>
        <w:tc>
          <w:tcPr>
            <w:tcW w:w="992" w:type="dxa"/>
            <w:noWrap/>
            <w:hideMark/>
          </w:tcPr>
          <w:p w14:paraId="18BD1DB2"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17 470.0</w:t>
            </w:r>
          </w:p>
        </w:tc>
        <w:tc>
          <w:tcPr>
            <w:tcW w:w="992" w:type="dxa"/>
            <w:noWrap/>
            <w:hideMark/>
          </w:tcPr>
          <w:p w14:paraId="2A28F26F"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17 010.6</w:t>
            </w:r>
          </w:p>
        </w:tc>
      </w:tr>
      <w:tr w:rsidR="0074216D" w:rsidRPr="00DF7886" w14:paraId="784C701D"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0A7895" w14:textId="77777777" w:rsidR="0074216D" w:rsidRPr="00DF7886" w:rsidRDefault="0074216D">
            <w:pPr>
              <w:rPr>
                <w:lang w:eastAsia="en-AU"/>
              </w:rPr>
            </w:pPr>
            <w:r w:rsidRPr="00DF7886">
              <w:rPr>
                <w:lang w:eastAsia="en-AU"/>
              </w:rPr>
              <w:t>Provision of outputs</w:t>
            </w:r>
          </w:p>
        </w:tc>
        <w:tc>
          <w:tcPr>
            <w:tcW w:w="992" w:type="dxa"/>
            <w:noWrap/>
            <w:hideMark/>
          </w:tcPr>
          <w:p w14:paraId="10C0C286"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16 851.9</w:t>
            </w:r>
          </w:p>
        </w:tc>
        <w:tc>
          <w:tcPr>
            <w:tcW w:w="992" w:type="dxa"/>
            <w:noWrap/>
            <w:hideMark/>
          </w:tcPr>
          <w:p w14:paraId="4DF352B7"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17 083.2</w:t>
            </w:r>
          </w:p>
        </w:tc>
        <w:tc>
          <w:tcPr>
            <w:tcW w:w="992" w:type="dxa"/>
            <w:noWrap/>
            <w:hideMark/>
          </w:tcPr>
          <w:p w14:paraId="0AB90DA0"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16 655.0</w:t>
            </w:r>
          </w:p>
        </w:tc>
      </w:tr>
      <w:tr w:rsidR="0074216D" w:rsidRPr="00DF7886" w14:paraId="1C238AE6"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760332" w14:textId="77777777" w:rsidR="0074216D" w:rsidRPr="00DF7886" w:rsidRDefault="0074216D">
            <w:pPr>
              <w:rPr>
                <w:lang w:eastAsia="en-AU"/>
              </w:rPr>
            </w:pPr>
            <w:r w:rsidRPr="00DF7886">
              <w:rPr>
                <w:lang w:eastAsia="en-AU"/>
              </w:rPr>
              <w:t>Additions to the net asset base</w:t>
            </w:r>
          </w:p>
        </w:tc>
        <w:tc>
          <w:tcPr>
            <w:tcW w:w="992" w:type="dxa"/>
            <w:noWrap/>
            <w:hideMark/>
          </w:tcPr>
          <w:p w14:paraId="756555F9"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226.8</w:t>
            </w:r>
          </w:p>
        </w:tc>
        <w:tc>
          <w:tcPr>
            <w:tcW w:w="992" w:type="dxa"/>
            <w:noWrap/>
            <w:hideMark/>
          </w:tcPr>
          <w:p w14:paraId="4BA0363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386.8</w:t>
            </w:r>
          </w:p>
        </w:tc>
        <w:tc>
          <w:tcPr>
            <w:tcW w:w="992" w:type="dxa"/>
            <w:noWrap/>
            <w:hideMark/>
          </w:tcPr>
          <w:p w14:paraId="5C4D4A2D"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355.6</w:t>
            </w:r>
          </w:p>
        </w:tc>
      </w:tr>
      <w:tr w:rsidR="0074216D" w:rsidRPr="00DF7886" w14:paraId="45A39BBA"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945846" w14:textId="77777777" w:rsidR="0074216D" w:rsidRPr="00DF7886" w:rsidRDefault="0074216D">
            <w:pPr>
              <w:rPr>
                <w:b/>
                <w:bCs/>
                <w:lang w:eastAsia="en-AU"/>
              </w:rPr>
            </w:pPr>
            <w:r w:rsidRPr="00DF7886">
              <w:rPr>
                <w:b/>
                <w:bCs/>
                <w:lang w:eastAsia="en-AU"/>
              </w:rPr>
              <w:t>Receipts credited to appropriations</w:t>
            </w:r>
          </w:p>
        </w:tc>
        <w:tc>
          <w:tcPr>
            <w:tcW w:w="992" w:type="dxa"/>
            <w:noWrap/>
            <w:hideMark/>
          </w:tcPr>
          <w:p w14:paraId="480B2A2E"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372.8</w:t>
            </w:r>
          </w:p>
        </w:tc>
        <w:tc>
          <w:tcPr>
            <w:tcW w:w="992" w:type="dxa"/>
            <w:noWrap/>
            <w:hideMark/>
          </w:tcPr>
          <w:p w14:paraId="6F5DFBC1"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896.8</w:t>
            </w:r>
          </w:p>
        </w:tc>
        <w:tc>
          <w:tcPr>
            <w:tcW w:w="992" w:type="dxa"/>
            <w:noWrap/>
            <w:hideMark/>
          </w:tcPr>
          <w:p w14:paraId="038FFB2D"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359.4</w:t>
            </w:r>
          </w:p>
        </w:tc>
      </w:tr>
      <w:tr w:rsidR="0074216D" w:rsidRPr="00DF7886" w14:paraId="273306B5"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309A191F" w14:textId="77777777" w:rsidR="0074216D" w:rsidRPr="00DF7886" w:rsidRDefault="0074216D">
            <w:pPr>
              <w:rPr>
                <w:b/>
                <w:bCs/>
                <w:lang w:eastAsia="en-AU"/>
              </w:rPr>
            </w:pPr>
            <w:r w:rsidRPr="00DF7886">
              <w:rPr>
                <w:b/>
                <w:bCs/>
                <w:lang w:eastAsia="en-AU"/>
              </w:rPr>
              <w:t>Unapplied previous years appropriation</w:t>
            </w:r>
          </w:p>
        </w:tc>
        <w:tc>
          <w:tcPr>
            <w:tcW w:w="992" w:type="dxa"/>
            <w:tcBorders>
              <w:bottom w:val="nil"/>
            </w:tcBorders>
            <w:noWrap/>
            <w:hideMark/>
          </w:tcPr>
          <w:p w14:paraId="22C278F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14.2</w:t>
            </w:r>
          </w:p>
        </w:tc>
        <w:tc>
          <w:tcPr>
            <w:tcW w:w="992" w:type="dxa"/>
            <w:tcBorders>
              <w:bottom w:val="nil"/>
            </w:tcBorders>
            <w:noWrap/>
            <w:hideMark/>
          </w:tcPr>
          <w:p w14:paraId="19A7E9F0"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69.5</w:t>
            </w:r>
          </w:p>
        </w:tc>
        <w:tc>
          <w:tcPr>
            <w:tcW w:w="992" w:type="dxa"/>
            <w:tcBorders>
              <w:bottom w:val="nil"/>
            </w:tcBorders>
            <w:noWrap/>
            <w:hideMark/>
          </w:tcPr>
          <w:p w14:paraId="59C64ADE"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1.1</w:t>
            </w:r>
          </w:p>
        </w:tc>
      </w:tr>
      <w:tr w:rsidR="0074216D" w:rsidRPr="00DF7886" w14:paraId="270CE5F7"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6B952258" w14:textId="77777777" w:rsidR="0074216D" w:rsidRPr="00DF7886" w:rsidRDefault="0074216D">
            <w:pPr>
              <w:rPr>
                <w:lang w:eastAsia="en-AU"/>
              </w:rPr>
            </w:pPr>
            <w:r w:rsidRPr="00DF7886">
              <w:rPr>
                <w:lang w:eastAsia="en-AU"/>
              </w:rPr>
              <w:t>Provision of outputs</w:t>
            </w:r>
          </w:p>
        </w:tc>
        <w:tc>
          <w:tcPr>
            <w:tcW w:w="992" w:type="dxa"/>
            <w:tcBorders>
              <w:bottom w:val="single" w:sz="6" w:space="0" w:color="auto"/>
            </w:tcBorders>
            <w:noWrap/>
            <w:hideMark/>
          </w:tcPr>
          <w:p w14:paraId="53538CF1"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14.2</w:t>
            </w:r>
          </w:p>
        </w:tc>
        <w:tc>
          <w:tcPr>
            <w:tcW w:w="992" w:type="dxa"/>
            <w:tcBorders>
              <w:bottom w:val="single" w:sz="6" w:space="0" w:color="auto"/>
            </w:tcBorders>
            <w:noWrap/>
            <w:hideMark/>
          </w:tcPr>
          <w:p w14:paraId="4752E6DF"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69.5</w:t>
            </w:r>
          </w:p>
        </w:tc>
        <w:tc>
          <w:tcPr>
            <w:tcW w:w="992" w:type="dxa"/>
            <w:tcBorders>
              <w:bottom w:val="single" w:sz="6" w:space="0" w:color="auto"/>
            </w:tcBorders>
            <w:noWrap/>
            <w:hideMark/>
          </w:tcPr>
          <w:p w14:paraId="526FD360"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1.1</w:t>
            </w:r>
          </w:p>
        </w:tc>
      </w:tr>
      <w:tr w:rsidR="0074216D" w:rsidRPr="00DF7886" w14:paraId="34E3009E"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34DEF146" w14:textId="77777777" w:rsidR="0074216D" w:rsidRPr="00DF7886" w:rsidRDefault="0074216D">
            <w:pPr>
              <w:rPr>
                <w:b/>
                <w:bCs/>
                <w:lang w:eastAsia="en-AU"/>
              </w:rPr>
            </w:pPr>
            <w:r w:rsidRPr="00DF7886">
              <w:rPr>
                <w:b/>
                <w:bCs/>
                <w:lang w:eastAsia="en-AU"/>
              </w:rPr>
              <w:t>Gross annual appropriation</w:t>
            </w:r>
          </w:p>
        </w:tc>
        <w:tc>
          <w:tcPr>
            <w:tcW w:w="992" w:type="dxa"/>
            <w:tcBorders>
              <w:top w:val="single" w:sz="6" w:space="0" w:color="auto"/>
            </w:tcBorders>
            <w:noWrap/>
            <w:hideMark/>
          </w:tcPr>
          <w:p w14:paraId="67DADB46"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17 465.6</w:t>
            </w:r>
          </w:p>
        </w:tc>
        <w:tc>
          <w:tcPr>
            <w:tcW w:w="992" w:type="dxa"/>
            <w:tcBorders>
              <w:top w:val="single" w:sz="6" w:space="0" w:color="auto"/>
            </w:tcBorders>
            <w:noWrap/>
            <w:hideMark/>
          </w:tcPr>
          <w:p w14:paraId="521B0C42"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18 436.3</w:t>
            </w:r>
          </w:p>
        </w:tc>
        <w:tc>
          <w:tcPr>
            <w:tcW w:w="992" w:type="dxa"/>
            <w:tcBorders>
              <w:top w:val="single" w:sz="6" w:space="0" w:color="auto"/>
            </w:tcBorders>
            <w:noWrap/>
            <w:hideMark/>
          </w:tcPr>
          <w:p w14:paraId="72B2152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17 371.1</w:t>
            </w:r>
          </w:p>
        </w:tc>
      </w:tr>
      <w:tr w:rsidR="0074216D" w:rsidRPr="00DF7886" w14:paraId="3AC2B3F3"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39B79C1" w14:textId="77777777" w:rsidR="0074216D" w:rsidRPr="00DF7886" w:rsidRDefault="0074216D">
            <w:pPr>
              <w:rPr>
                <w:b/>
                <w:bCs/>
                <w:lang w:eastAsia="en-AU"/>
              </w:rPr>
            </w:pPr>
            <w:r w:rsidRPr="00DF7886">
              <w:rPr>
                <w:b/>
                <w:bCs/>
                <w:lang w:eastAsia="en-AU"/>
              </w:rPr>
              <w:t>Special appropriations</w:t>
            </w:r>
          </w:p>
        </w:tc>
        <w:tc>
          <w:tcPr>
            <w:tcW w:w="992" w:type="dxa"/>
            <w:noWrap/>
            <w:hideMark/>
          </w:tcPr>
          <w:p w14:paraId="7E9A981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4 062.4</w:t>
            </w:r>
          </w:p>
        </w:tc>
        <w:tc>
          <w:tcPr>
            <w:tcW w:w="992" w:type="dxa"/>
            <w:noWrap/>
            <w:hideMark/>
          </w:tcPr>
          <w:p w14:paraId="0BCA5074"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4 211.9</w:t>
            </w:r>
          </w:p>
        </w:tc>
        <w:tc>
          <w:tcPr>
            <w:tcW w:w="992" w:type="dxa"/>
            <w:noWrap/>
            <w:hideMark/>
          </w:tcPr>
          <w:p w14:paraId="6B7D235E"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3 722.9</w:t>
            </w:r>
          </w:p>
        </w:tc>
      </w:tr>
      <w:tr w:rsidR="0074216D" w:rsidRPr="00DF7886" w14:paraId="6043900A"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A7E5335" w14:textId="77777777" w:rsidR="0074216D" w:rsidRPr="00DF7886" w:rsidRDefault="0074216D">
            <w:pPr>
              <w:rPr>
                <w:b/>
                <w:bCs/>
                <w:lang w:eastAsia="en-AU"/>
              </w:rPr>
            </w:pPr>
            <w:r w:rsidRPr="00DF7886">
              <w:rPr>
                <w:b/>
                <w:bCs/>
                <w:lang w:eastAsia="en-AU"/>
              </w:rPr>
              <w:t>Trust funds</w:t>
            </w:r>
          </w:p>
        </w:tc>
        <w:tc>
          <w:tcPr>
            <w:tcW w:w="992" w:type="dxa"/>
            <w:noWrap/>
            <w:hideMark/>
          </w:tcPr>
          <w:p w14:paraId="3B4B019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7 987.7</w:t>
            </w:r>
          </w:p>
        </w:tc>
        <w:tc>
          <w:tcPr>
            <w:tcW w:w="992" w:type="dxa"/>
            <w:noWrap/>
            <w:hideMark/>
          </w:tcPr>
          <w:p w14:paraId="4789599F"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8 034.4</w:t>
            </w:r>
          </w:p>
        </w:tc>
        <w:tc>
          <w:tcPr>
            <w:tcW w:w="992" w:type="dxa"/>
            <w:noWrap/>
            <w:hideMark/>
          </w:tcPr>
          <w:p w14:paraId="7B3FF915"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b/>
                <w:bCs/>
                <w:lang w:eastAsia="en-AU"/>
              </w:rPr>
            </w:pPr>
            <w:r w:rsidRPr="00DF7886">
              <w:rPr>
                <w:b/>
                <w:bCs/>
                <w:lang w:eastAsia="en-AU"/>
              </w:rPr>
              <w:t>9 225.1</w:t>
            </w:r>
          </w:p>
        </w:tc>
      </w:tr>
      <w:tr w:rsidR="0074216D" w:rsidRPr="00DF7886" w14:paraId="408ACCE9"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F9C1C0" w14:textId="77777777" w:rsidR="0074216D" w:rsidRPr="00DF7886" w:rsidRDefault="0074216D">
            <w:pPr>
              <w:rPr>
                <w:lang w:eastAsia="en-AU"/>
              </w:rPr>
            </w:pPr>
            <w:r w:rsidRPr="00DF7886">
              <w:rPr>
                <w:lang w:eastAsia="en-AU"/>
              </w:rPr>
              <w:t>National Health Funding Pool – Victorian State Pool Account</w:t>
            </w:r>
            <w:r w:rsidRPr="00636B3D">
              <w:rPr>
                <w:vertAlign w:val="superscript"/>
                <w:lang w:eastAsia="en-AU"/>
              </w:rPr>
              <w:t>(a)</w:t>
            </w:r>
          </w:p>
        </w:tc>
        <w:tc>
          <w:tcPr>
            <w:tcW w:w="992" w:type="dxa"/>
            <w:noWrap/>
            <w:hideMark/>
          </w:tcPr>
          <w:p w14:paraId="7A8AAEB9"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7 952.4</w:t>
            </w:r>
          </w:p>
        </w:tc>
        <w:tc>
          <w:tcPr>
            <w:tcW w:w="992" w:type="dxa"/>
            <w:noWrap/>
            <w:hideMark/>
          </w:tcPr>
          <w:p w14:paraId="355DF674"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7 951.9</w:t>
            </w:r>
          </w:p>
        </w:tc>
        <w:tc>
          <w:tcPr>
            <w:tcW w:w="992" w:type="dxa"/>
            <w:noWrap/>
            <w:hideMark/>
          </w:tcPr>
          <w:p w14:paraId="70C494BB"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9 169.3</w:t>
            </w:r>
          </w:p>
        </w:tc>
      </w:tr>
      <w:tr w:rsidR="0074216D" w:rsidRPr="00DF7886" w14:paraId="47DC76F2"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7E3CD9A" w14:textId="77777777" w:rsidR="0074216D" w:rsidRPr="00DF7886" w:rsidRDefault="0074216D">
            <w:pPr>
              <w:rPr>
                <w:lang w:eastAsia="en-AU"/>
              </w:rPr>
            </w:pPr>
            <w:r w:rsidRPr="00DF7886">
              <w:rPr>
                <w:lang w:eastAsia="en-AU"/>
              </w:rPr>
              <w:t>Other</w:t>
            </w:r>
            <w:r w:rsidRPr="00636B3D">
              <w:rPr>
                <w:vertAlign w:val="superscript"/>
                <w:lang w:eastAsia="en-AU"/>
              </w:rPr>
              <w:t>(b)</w:t>
            </w:r>
          </w:p>
        </w:tc>
        <w:tc>
          <w:tcPr>
            <w:tcW w:w="992" w:type="dxa"/>
            <w:noWrap/>
            <w:hideMark/>
          </w:tcPr>
          <w:p w14:paraId="6953674E"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35.3</w:t>
            </w:r>
          </w:p>
        </w:tc>
        <w:tc>
          <w:tcPr>
            <w:tcW w:w="992" w:type="dxa"/>
            <w:noWrap/>
            <w:hideMark/>
          </w:tcPr>
          <w:p w14:paraId="3FAF1DC9"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82.5</w:t>
            </w:r>
          </w:p>
        </w:tc>
        <w:tc>
          <w:tcPr>
            <w:tcW w:w="992" w:type="dxa"/>
            <w:noWrap/>
            <w:hideMark/>
          </w:tcPr>
          <w:p w14:paraId="3C168AED" w14:textId="77777777" w:rsidR="0074216D" w:rsidRPr="00DF7886" w:rsidRDefault="0074216D">
            <w:pPr>
              <w:cnfStyle w:val="000000000000" w:firstRow="0" w:lastRow="0" w:firstColumn="0" w:lastColumn="0" w:oddVBand="0" w:evenVBand="0" w:oddHBand="0" w:evenHBand="0" w:firstRowFirstColumn="0" w:firstRowLastColumn="0" w:lastRowFirstColumn="0" w:lastRowLastColumn="0"/>
              <w:rPr>
                <w:lang w:eastAsia="en-AU"/>
              </w:rPr>
            </w:pPr>
            <w:r w:rsidRPr="00DF7886">
              <w:rPr>
                <w:lang w:eastAsia="en-AU"/>
              </w:rPr>
              <w:t>55.7</w:t>
            </w:r>
          </w:p>
        </w:tc>
      </w:tr>
      <w:tr w:rsidR="0074216D" w:rsidRPr="00DF7886" w14:paraId="35EC932E" w14:textId="77777777">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FCBFB60" w14:textId="77777777" w:rsidR="0074216D" w:rsidRPr="00DF7886" w:rsidRDefault="0074216D">
            <w:pPr>
              <w:rPr>
                <w:lang w:eastAsia="en-AU"/>
              </w:rPr>
            </w:pPr>
            <w:r w:rsidRPr="00DF7886">
              <w:rPr>
                <w:lang w:eastAsia="en-AU"/>
              </w:rPr>
              <w:t>Total parliamentary authority</w:t>
            </w:r>
          </w:p>
        </w:tc>
        <w:tc>
          <w:tcPr>
            <w:tcW w:w="992" w:type="dxa"/>
            <w:noWrap/>
            <w:hideMark/>
          </w:tcPr>
          <w:p w14:paraId="7F778D6E" w14:textId="77777777" w:rsidR="0074216D" w:rsidRPr="00DF7886"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DF7886">
              <w:rPr>
                <w:lang w:eastAsia="en-AU"/>
              </w:rPr>
              <w:t>29 515.7</w:t>
            </w:r>
          </w:p>
        </w:tc>
        <w:tc>
          <w:tcPr>
            <w:tcW w:w="992" w:type="dxa"/>
            <w:noWrap/>
            <w:hideMark/>
          </w:tcPr>
          <w:p w14:paraId="2879A308" w14:textId="77777777" w:rsidR="0074216D" w:rsidRPr="00DF7886"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DF7886">
              <w:rPr>
                <w:lang w:eastAsia="en-AU"/>
              </w:rPr>
              <w:t>30 682.6</w:t>
            </w:r>
          </w:p>
        </w:tc>
        <w:tc>
          <w:tcPr>
            <w:tcW w:w="992" w:type="dxa"/>
            <w:noWrap/>
            <w:hideMark/>
          </w:tcPr>
          <w:p w14:paraId="5D703D4D" w14:textId="77777777" w:rsidR="0074216D" w:rsidRPr="00DF7886" w:rsidRDefault="0074216D">
            <w:pPr>
              <w:cnfStyle w:val="010000000000" w:firstRow="0" w:lastRow="1" w:firstColumn="0" w:lastColumn="0" w:oddVBand="0" w:evenVBand="0" w:oddHBand="0" w:evenHBand="0" w:firstRowFirstColumn="0" w:firstRowLastColumn="0" w:lastRowFirstColumn="0" w:lastRowLastColumn="0"/>
              <w:rPr>
                <w:lang w:eastAsia="en-AU"/>
              </w:rPr>
            </w:pPr>
            <w:r w:rsidRPr="00DF7886">
              <w:rPr>
                <w:lang w:eastAsia="en-AU"/>
              </w:rPr>
              <w:t>30 319.1</w:t>
            </w:r>
          </w:p>
        </w:tc>
      </w:tr>
    </w:tbl>
    <w:p w14:paraId="4FD72E3E" w14:textId="77777777" w:rsidR="0074216D" w:rsidRDefault="0074216D" w:rsidP="0074216D">
      <w:pPr>
        <w:pStyle w:val="Source"/>
      </w:pPr>
      <w:r>
        <w:t>Source: Department of Health</w:t>
      </w:r>
    </w:p>
    <w:p w14:paraId="0D15D4E5" w14:textId="77777777" w:rsidR="0074216D" w:rsidRDefault="0074216D" w:rsidP="0074216D">
      <w:pPr>
        <w:pStyle w:val="Note"/>
      </w:pPr>
      <w:r>
        <w:t>Notes:</w:t>
      </w:r>
    </w:p>
    <w:p w14:paraId="19951CE7" w14:textId="77777777" w:rsidR="0074216D" w:rsidRDefault="0074216D" w:rsidP="0074216D">
      <w:pPr>
        <w:pStyle w:val="Note"/>
        <w:numPr>
          <w:ilvl w:val="0"/>
          <w:numId w:val="220"/>
        </w:numPr>
      </w:pPr>
      <w:r>
        <w:t>The purpose of this trust primarily relates to receiving all Commonwealth public hospital funding under the National Health Reform Agreement.</w:t>
      </w:r>
    </w:p>
    <w:p w14:paraId="088276E1" w14:textId="77777777" w:rsidR="0074216D" w:rsidRDefault="0074216D" w:rsidP="0074216D">
      <w:pPr>
        <w:pStyle w:val="Note"/>
        <w:numPr>
          <w:ilvl w:val="0"/>
          <w:numId w:val="220"/>
        </w:numPr>
      </w:pPr>
      <w:r>
        <w:t>Includes interdepartmental transfers.</w:t>
      </w:r>
    </w:p>
    <w:p w14:paraId="1017489E" w14:textId="77777777" w:rsidR="0074216D" w:rsidRDefault="0074216D" w:rsidP="0074216D">
      <w:pPr>
        <w:rPr>
          <w:rFonts w:asciiTheme="majorHAnsi" w:eastAsiaTheme="majorEastAsia" w:hAnsiTheme="majorHAnsi" w:cstheme="majorBidi"/>
          <w:b/>
          <w:iCs/>
          <w:sz w:val="27"/>
          <w:szCs w:val="26"/>
        </w:rPr>
      </w:pPr>
      <w:r>
        <w:rPr>
          <w:iCs/>
        </w:rPr>
        <w:br w:type="page"/>
      </w:r>
    </w:p>
    <w:p w14:paraId="684995AF" w14:textId="77777777" w:rsidR="0074216D" w:rsidRPr="002923F3" w:rsidRDefault="0074216D" w:rsidP="0074216D">
      <w:pPr>
        <w:pStyle w:val="Heading2"/>
      </w:pPr>
      <w:r w:rsidRPr="002923F3">
        <w:rPr>
          <w:iCs/>
        </w:rPr>
        <w:lastRenderedPageBreak/>
        <w:t>Department</w:t>
      </w:r>
      <w:r w:rsidRPr="002923F3">
        <w:t>al objectives and outputs</w:t>
      </w:r>
    </w:p>
    <w:p w14:paraId="6A0054EE" w14:textId="77777777" w:rsidR="0074216D" w:rsidRPr="002923F3" w:rsidRDefault="0074216D" w:rsidP="0074216D">
      <w:pPr>
        <w:pStyle w:val="ShadedBoxHeading"/>
      </w:pPr>
      <w:r w:rsidRPr="002923F3">
        <w:t>Objective 1: Keeping people healthy and safe in the community</w:t>
      </w:r>
    </w:p>
    <w:p w14:paraId="29C7200E" w14:textId="77777777" w:rsidR="0074216D" w:rsidRPr="002923F3" w:rsidRDefault="0074216D" w:rsidP="0074216D">
      <w:pPr>
        <w:pStyle w:val="ShadedBoxText"/>
      </w:pPr>
      <w:r w:rsidRPr="002923F3">
        <w:t>This objective aims to make it easier for Victorians to stay well and get the healthcare they need in their communities, keeping hospitals free for emergencies.</w:t>
      </w:r>
    </w:p>
    <w:p w14:paraId="57257AA6" w14:textId="77777777" w:rsidR="0074216D" w:rsidRPr="002923F3" w:rsidRDefault="0074216D" w:rsidP="0074216D">
      <w:pPr>
        <w:pStyle w:val="ShadedBoxHeading"/>
      </w:pPr>
      <w:r w:rsidRPr="002923F3">
        <w:t>Objective 2: Providing care closer to home</w:t>
      </w:r>
    </w:p>
    <w:p w14:paraId="53DF09AC" w14:textId="77777777" w:rsidR="0074216D" w:rsidRPr="002923F3" w:rsidRDefault="0074216D" w:rsidP="0074216D">
      <w:pPr>
        <w:pStyle w:val="ShadedBoxText"/>
      </w:pPr>
      <w:r w:rsidRPr="002923F3">
        <w:t>This objective relates to delivering healthcare in local communities and homes so Victorians can get the care they need when they need it, wherever they live.</w:t>
      </w:r>
    </w:p>
    <w:p w14:paraId="2E82DD62" w14:textId="77777777" w:rsidR="0074216D" w:rsidRPr="002923F3" w:rsidRDefault="0074216D" w:rsidP="0074216D">
      <w:pPr>
        <w:pStyle w:val="ShadedBoxHeading"/>
      </w:pPr>
      <w:r w:rsidRPr="002923F3">
        <w:t>Objective 3: Keep innovating and improving care</w:t>
      </w:r>
    </w:p>
    <w:p w14:paraId="6D73C088" w14:textId="77777777" w:rsidR="0074216D" w:rsidRPr="002923F3" w:rsidRDefault="0074216D" w:rsidP="0074216D">
      <w:pPr>
        <w:pStyle w:val="ShadedBoxText"/>
      </w:pPr>
      <w:r w:rsidRPr="002923F3">
        <w:t>This objective relates to using data, evidence and insights to develop and deliver safer, more innovative, treatments and care.</w:t>
      </w:r>
    </w:p>
    <w:p w14:paraId="0CAE09A3" w14:textId="77777777" w:rsidR="0074216D" w:rsidRPr="002923F3" w:rsidRDefault="0074216D" w:rsidP="0074216D">
      <w:pPr>
        <w:pStyle w:val="ShadedBoxHeading"/>
      </w:pPr>
      <w:r w:rsidRPr="002923F3">
        <w:t>Objective 4: Improving Aboriginal health and wellbeing</w:t>
      </w:r>
    </w:p>
    <w:p w14:paraId="0BB458CE" w14:textId="77777777" w:rsidR="0074216D" w:rsidRPr="002923F3" w:rsidRDefault="0074216D" w:rsidP="0074216D">
      <w:pPr>
        <w:pStyle w:val="ShadedBoxText"/>
      </w:pPr>
      <w:r w:rsidRPr="002923F3">
        <w:t>This objective aims for Aboriginal people in Victoria to have access to culturally safe care to keep them and their families safe, healthy and well.</w:t>
      </w:r>
    </w:p>
    <w:p w14:paraId="20BF9F38" w14:textId="77777777" w:rsidR="0074216D" w:rsidRPr="002923F3" w:rsidRDefault="0074216D" w:rsidP="0074216D">
      <w:pPr>
        <w:pStyle w:val="ShadedBoxHeading"/>
      </w:pPr>
      <w:r w:rsidRPr="002923F3">
        <w:t>Objective 5: Moving from competition to collaboration</w:t>
      </w:r>
    </w:p>
    <w:p w14:paraId="724BECA6" w14:textId="77777777" w:rsidR="0074216D" w:rsidRPr="002923F3" w:rsidRDefault="0074216D" w:rsidP="0074216D">
      <w:pPr>
        <w:pStyle w:val="ShadedBoxText"/>
      </w:pPr>
      <w:r w:rsidRPr="002923F3">
        <w:t>This objective relates to all parts of the health system working together and with consumers and their carers to improve health outcomes and the experience.</w:t>
      </w:r>
    </w:p>
    <w:p w14:paraId="65C29D2E" w14:textId="77777777" w:rsidR="0074216D" w:rsidRPr="002923F3" w:rsidRDefault="0074216D" w:rsidP="0074216D">
      <w:pPr>
        <w:pStyle w:val="ShadedBoxHeading"/>
      </w:pPr>
      <w:r w:rsidRPr="002923F3">
        <w:t>Objective 6: A stronger and more sustainable workforce</w:t>
      </w:r>
    </w:p>
    <w:p w14:paraId="7614D7BB" w14:textId="77777777" w:rsidR="0074216D" w:rsidRPr="002923F3" w:rsidRDefault="0074216D" w:rsidP="0074216D">
      <w:pPr>
        <w:pStyle w:val="ShadedBoxText"/>
      </w:pPr>
      <w:r w:rsidRPr="002923F3">
        <w:t>This objective aims to recruit and train more public health and healthcare workers and make changes to better support those already working in it.</w:t>
      </w:r>
    </w:p>
    <w:p w14:paraId="18A521F6" w14:textId="77777777" w:rsidR="0074216D" w:rsidRPr="002923F3" w:rsidRDefault="0074216D" w:rsidP="0074216D">
      <w:pPr>
        <w:pStyle w:val="ShadedBoxHeading"/>
      </w:pPr>
      <w:r w:rsidRPr="002923F3">
        <w:t>Objective 7: A safe and sustainable health, wellbeing and care system</w:t>
      </w:r>
    </w:p>
    <w:p w14:paraId="1214AC1E" w14:textId="77777777" w:rsidR="0074216D" w:rsidRPr="002923F3" w:rsidRDefault="0074216D" w:rsidP="0074216D">
      <w:pPr>
        <w:pStyle w:val="ShadedBoxText"/>
      </w:pPr>
      <w:r w:rsidRPr="002923F3">
        <w:t>This objective relates to working closely with our partners to deliver a safe and sustainable healthcare system now and into the future.</w:t>
      </w:r>
    </w:p>
    <w:p w14:paraId="3E1BB4E5" w14:textId="77777777" w:rsidR="0074216D" w:rsidRPr="001E4ECB" w:rsidRDefault="0074216D" w:rsidP="0074216D">
      <w:pPr>
        <w:rPr>
          <w:highlight w:val="yellow"/>
        </w:rPr>
      </w:pPr>
    </w:p>
    <w:p w14:paraId="47F77F4C" w14:textId="77777777" w:rsidR="0074216D" w:rsidRPr="00E96D4B" w:rsidRDefault="0074216D" w:rsidP="0074216D">
      <w:pPr>
        <w:pStyle w:val="ShadedBoxHeading"/>
        <w:rPr>
          <w:bCs/>
          <w:color w:val="000000" w:themeColor="text1"/>
          <w:vertAlign w:val="superscript"/>
        </w:rPr>
      </w:pPr>
      <w:r w:rsidRPr="00363078">
        <w:rPr>
          <w:bCs/>
          <w:color w:val="000000" w:themeColor="text1"/>
        </w:rPr>
        <w:t>Objective indicators (per Priority Outcomes Framework):</w:t>
      </w:r>
    </w:p>
    <w:p w14:paraId="7CDB52BC" w14:textId="77777777" w:rsidR="0074216D" w:rsidRDefault="0074216D" w:rsidP="0074216D">
      <w:pPr>
        <w:pStyle w:val="ShadedBoxBullet"/>
        <w:contextualSpacing/>
      </w:pPr>
      <w:r>
        <w:t>Admitted stay seven days or longer</w:t>
      </w:r>
    </w:p>
    <w:p w14:paraId="0501E51F" w14:textId="77777777" w:rsidR="0074216D" w:rsidRDefault="0074216D" w:rsidP="0074216D">
      <w:pPr>
        <w:pStyle w:val="ShadedBoxBullet"/>
        <w:contextualSpacing/>
      </w:pPr>
      <w:r>
        <w:t>Hospital-acquired complications</w:t>
      </w:r>
    </w:p>
    <w:p w14:paraId="34BF7C40" w14:textId="77777777" w:rsidR="0074216D" w:rsidRDefault="0074216D" w:rsidP="0074216D">
      <w:pPr>
        <w:pStyle w:val="ShadedBoxBullet"/>
        <w:contextualSpacing/>
      </w:pPr>
      <w:r>
        <w:t>Hospital patients treated with dignity and respect</w:t>
      </w:r>
    </w:p>
    <w:p w14:paraId="310E809D" w14:textId="77777777" w:rsidR="0074216D" w:rsidRDefault="0074216D" w:rsidP="0074216D">
      <w:pPr>
        <w:pStyle w:val="ShadedBoxBullet"/>
        <w:contextualSpacing/>
      </w:pPr>
      <w:r>
        <w:t>Heat-related emergency department presentations during heatwaves</w:t>
      </w:r>
    </w:p>
    <w:p w14:paraId="1468C6F4" w14:textId="77777777" w:rsidR="0074216D" w:rsidRDefault="0074216D" w:rsidP="0074216D">
      <w:pPr>
        <w:pStyle w:val="ShadedBoxBullet"/>
        <w:contextualSpacing/>
      </w:pPr>
      <w:r>
        <w:t>Safescript monitored for prescription drug-involved overdose deaths</w:t>
      </w:r>
    </w:p>
    <w:p w14:paraId="12A52FCC" w14:textId="77777777" w:rsidR="0074216D" w:rsidRDefault="0074216D" w:rsidP="0074216D">
      <w:pPr>
        <w:pStyle w:val="ShadedBoxBullet"/>
        <w:contextualSpacing/>
      </w:pPr>
      <w:r>
        <w:t>Babies born with low birth weight</w:t>
      </w:r>
    </w:p>
    <w:p w14:paraId="66275E94" w14:textId="77777777" w:rsidR="0074216D" w:rsidRDefault="0074216D" w:rsidP="0074216D">
      <w:pPr>
        <w:pStyle w:val="ShadedBoxBullet"/>
        <w:contextualSpacing/>
      </w:pPr>
      <w:r>
        <w:t>Children aged 0-9 years hospitalised for dental conditions</w:t>
      </w:r>
    </w:p>
    <w:p w14:paraId="0F6439D2" w14:textId="77777777" w:rsidR="0074216D" w:rsidRDefault="0074216D" w:rsidP="0074216D">
      <w:pPr>
        <w:pStyle w:val="ShadedBoxBullet"/>
        <w:contextualSpacing/>
      </w:pPr>
      <w:r>
        <w:t>Aboriginal people who feel connected to culture and community</w:t>
      </w:r>
    </w:p>
    <w:p w14:paraId="130AEFE7" w14:textId="77777777" w:rsidR="0074216D" w:rsidRPr="00E32172" w:rsidRDefault="0074216D" w:rsidP="0074216D">
      <w:pPr>
        <w:pStyle w:val="ShadedBoxBullet"/>
        <w:contextualSpacing/>
      </w:pPr>
      <w:r>
        <w:t>Total carbon dioxide emissions attributed to public health services</w:t>
      </w:r>
    </w:p>
    <w:p w14:paraId="25A236C1" w14:textId="77777777" w:rsidR="0074216D" w:rsidRPr="00E32172" w:rsidRDefault="0074216D" w:rsidP="0074216D">
      <w:pPr>
        <w:pStyle w:val="ShadedBoxBullet"/>
        <w:contextualSpacing/>
      </w:pPr>
      <w:r>
        <w:t>Low value colonoscopies</w:t>
      </w:r>
    </w:p>
    <w:p w14:paraId="5B1B48AD" w14:textId="77777777" w:rsidR="0074216D" w:rsidRPr="00E32172" w:rsidRDefault="0074216D" w:rsidP="0074216D">
      <w:pPr>
        <w:pStyle w:val="ShadedBoxBullet"/>
        <w:contextualSpacing/>
      </w:pPr>
      <w:r>
        <w:t>Potentially preventable hospitalisations</w:t>
      </w:r>
    </w:p>
    <w:p w14:paraId="40C00863" w14:textId="77777777" w:rsidR="0074216D" w:rsidRDefault="0074216D" w:rsidP="0074216D">
      <w:pPr>
        <w:pStyle w:val="ShadedBoxBullet"/>
        <w:contextualSpacing/>
      </w:pPr>
      <w:r>
        <w:t>Patients hospitalised for selected conditions who did not receive appropriate screening</w:t>
      </w:r>
    </w:p>
    <w:p w14:paraId="220E9B41" w14:textId="77777777" w:rsidR="0074216D" w:rsidRDefault="0074216D" w:rsidP="0074216D">
      <w:pPr>
        <w:pStyle w:val="Heading3"/>
      </w:pPr>
      <w:r>
        <w:lastRenderedPageBreak/>
        <w:t>Outputs</w:t>
      </w:r>
    </w:p>
    <w:p w14:paraId="2566C590" w14:textId="77777777" w:rsidR="0074216D" w:rsidRDefault="0074216D" w:rsidP="0074216D">
      <w:pPr>
        <w:pStyle w:val="Heading3"/>
      </w:pPr>
      <w:r>
        <w:t>Admitted Services</w:t>
      </w:r>
      <w:r>
        <w:tab/>
        <w:t>(2026-27: $18 284.6 million)</w:t>
      </w:r>
    </w:p>
    <w:p w14:paraId="72B5DA95" w14:textId="77777777" w:rsidR="0074216D" w:rsidRPr="005704FB" w:rsidRDefault="0074216D" w:rsidP="0074216D">
      <w:pPr>
        <w:keepNext/>
        <w:spacing w:after="120"/>
      </w:pPr>
      <w:r w:rsidRPr="001700B8">
        <w:rPr>
          <w:rFonts w:ascii="Garamond" w:hAnsi="Garamond"/>
        </w:rPr>
        <w:t>Acute and subacute patient services (elective and non-elective) provided at Victorian metropolitan and rural public hospitals</w:t>
      </w:r>
      <w:r w:rsidRPr="001700B8">
        <w: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3A0607F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58F8BF3" w14:textId="77777777" w:rsidR="0074216D" w:rsidRDefault="0074216D">
            <w:r>
              <w:t>Performance measure</w:t>
            </w:r>
          </w:p>
        </w:tc>
        <w:tc>
          <w:tcPr>
            <w:tcW w:w="964" w:type="dxa"/>
          </w:tcPr>
          <w:p w14:paraId="2EF8D301"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AC38C2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AE4963F"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E64E62D"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FDF066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7E89A49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46B96EC" w14:textId="77777777" w:rsidR="0074216D" w:rsidRPr="005314E1" w:rsidRDefault="0074216D">
            <w:pPr>
              <w:keepNext/>
              <w:rPr>
                <w:b/>
              </w:rPr>
            </w:pPr>
            <w:r w:rsidRPr="005314E1">
              <w:rPr>
                <w:b/>
              </w:rPr>
              <w:t>Quantity</w:t>
            </w:r>
          </w:p>
        </w:tc>
      </w:tr>
      <w:tr w:rsidR="0074216D" w14:paraId="40E04BDA" w14:textId="77777777" w:rsidTr="0017507E">
        <w:tc>
          <w:tcPr>
            <w:cnfStyle w:val="001000000000" w:firstRow="0" w:lastRow="0" w:firstColumn="1" w:lastColumn="0" w:oddVBand="0" w:evenVBand="0" w:oddHBand="0" w:evenHBand="0" w:firstRowFirstColumn="0" w:firstRowLastColumn="0" w:lastRowFirstColumn="0" w:lastRowLastColumn="0"/>
            <w:tcW w:w="4819" w:type="dxa"/>
          </w:tcPr>
          <w:p w14:paraId="017B176F" w14:textId="77777777" w:rsidR="0074216D" w:rsidRDefault="0074216D">
            <w:pPr>
              <w:keepNext/>
              <w:ind w:left="170"/>
            </w:pPr>
            <w:r>
              <w:t>NWAU funded emergency separations – all hospitals</w:t>
            </w:r>
          </w:p>
        </w:tc>
        <w:tc>
          <w:tcPr>
            <w:tcW w:w="964" w:type="dxa"/>
          </w:tcPr>
          <w:p w14:paraId="6A3EBF2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nil"/>
            </w:tcBorders>
            <w:shd w:val="clear" w:color="auto" w:fill="F0F0F0"/>
          </w:tcPr>
          <w:p w14:paraId="04396152" w14:textId="02E38C5D" w:rsidR="0074216D" w:rsidRDefault="0074216D">
            <w:pPr>
              <w:cnfStyle w:val="000000000000" w:firstRow="0" w:lastRow="0" w:firstColumn="0" w:lastColumn="0" w:oddVBand="0" w:evenVBand="0" w:oddHBand="0" w:evenHBand="0" w:firstRowFirstColumn="0" w:firstRowLastColumn="0" w:lastRowFirstColumn="0" w:lastRowLastColumn="0"/>
            </w:pPr>
            <w:r>
              <w:t>759</w:t>
            </w:r>
          </w:p>
        </w:tc>
        <w:tc>
          <w:tcPr>
            <w:tcW w:w="964" w:type="dxa"/>
          </w:tcPr>
          <w:p w14:paraId="28572D4E" w14:textId="77777777" w:rsidR="0074216D" w:rsidRDefault="0074216D">
            <w:pPr>
              <w:cnfStyle w:val="000000000000" w:firstRow="0" w:lastRow="0" w:firstColumn="0" w:lastColumn="0" w:oddVBand="0" w:evenVBand="0" w:oddHBand="0" w:evenHBand="0" w:firstRowFirstColumn="0" w:firstRowLastColumn="0" w:lastRowFirstColumn="0" w:lastRowLastColumn="0"/>
            </w:pPr>
            <w:r>
              <w:t>750.5</w:t>
            </w:r>
          </w:p>
        </w:tc>
        <w:tc>
          <w:tcPr>
            <w:tcW w:w="964" w:type="dxa"/>
          </w:tcPr>
          <w:p w14:paraId="3371CAC0" w14:textId="77777777" w:rsidR="0074216D" w:rsidRDefault="0074216D">
            <w:pPr>
              <w:cnfStyle w:val="000000000000" w:firstRow="0" w:lastRow="0" w:firstColumn="0" w:lastColumn="0" w:oddVBand="0" w:evenVBand="0" w:oddHBand="0" w:evenHBand="0" w:firstRowFirstColumn="0" w:firstRowLastColumn="0" w:lastRowFirstColumn="0" w:lastRowLastColumn="0"/>
            </w:pPr>
            <w:r>
              <w:t>710</w:t>
            </w:r>
          </w:p>
        </w:tc>
        <w:tc>
          <w:tcPr>
            <w:tcW w:w="964" w:type="dxa"/>
          </w:tcPr>
          <w:p w14:paraId="2F7BF12E" w14:textId="77777777" w:rsidR="0074216D" w:rsidRDefault="0074216D">
            <w:pPr>
              <w:cnfStyle w:val="000000000000" w:firstRow="0" w:lastRow="0" w:firstColumn="0" w:lastColumn="0" w:oddVBand="0" w:evenVBand="0" w:oddHBand="0" w:evenHBand="0" w:firstRowFirstColumn="0" w:firstRowLastColumn="0" w:lastRowFirstColumn="0" w:lastRowLastColumn="0"/>
            </w:pPr>
            <w:r>
              <w:t>740.4</w:t>
            </w:r>
          </w:p>
        </w:tc>
      </w:tr>
      <w:tr w:rsidR="0074216D" w14:paraId="43FD1E3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7CAB160" w14:textId="77777777" w:rsidR="0074216D" w:rsidRDefault="0074216D">
            <w:pPr>
              <w:ind w:left="170"/>
            </w:pPr>
            <w:r>
              <w:rPr>
                <w:i/>
              </w:rPr>
              <w:t xml:space="preserve">The 2025-26 expected outcome is higher than the target and reflects activity driven by demand. </w:t>
            </w:r>
          </w:p>
          <w:p w14:paraId="36039F25" w14:textId="77777777" w:rsidR="0074216D" w:rsidRDefault="0074216D">
            <w:pPr>
              <w:ind w:left="170"/>
            </w:pPr>
            <w:r w:rsidRPr="0050312C">
              <w:rPr>
                <w:i/>
              </w:rPr>
              <w:t xml:space="preserve">The </w:t>
            </w:r>
            <w:r>
              <w:rPr>
                <w:i/>
              </w:rPr>
              <w:t xml:space="preserve">2026-27 </w:t>
            </w:r>
            <w:r w:rsidRPr="0050312C">
              <w:rPr>
                <w:i/>
              </w:rPr>
              <w:t xml:space="preserve">target has been adjusted to reflect recent activity levels and funding provided in the </w:t>
            </w:r>
            <w:r w:rsidRPr="00534580">
              <w:t>2026-27 Budget</w:t>
            </w:r>
            <w:r>
              <w:rPr>
                <w:i/>
              </w:rPr>
              <w:t>.</w:t>
            </w:r>
          </w:p>
        </w:tc>
      </w:tr>
      <w:tr w:rsidR="0074216D" w14:paraId="6EEE2FB0"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607DF528" w14:textId="77777777" w:rsidR="0074216D" w:rsidRDefault="0074216D">
            <w:pPr>
              <w:keepNext/>
              <w:ind w:left="170"/>
            </w:pPr>
            <w:r>
              <w:t>NWAU funded separations – all hospitals except small rural health services</w:t>
            </w:r>
          </w:p>
        </w:tc>
        <w:tc>
          <w:tcPr>
            <w:tcW w:w="964" w:type="dxa"/>
            <w:tcBorders>
              <w:top w:val="single" w:sz="6" w:space="0" w:color="auto"/>
            </w:tcBorders>
          </w:tcPr>
          <w:p w14:paraId="5B32E80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top w:val="nil"/>
              <w:bottom w:val="nil"/>
            </w:tcBorders>
            <w:shd w:val="clear" w:color="auto" w:fill="F0F0F0"/>
          </w:tcPr>
          <w:p w14:paraId="4AFD49D6" w14:textId="0E6EF200" w:rsidR="0074216D" w:rsidRDefault="0074216D">
            <w:pPr>
              <w:cnfStyle w:val="000000000000" w:firstRow="0" w:lastRow="0" w:firstColumn="0" w:lastColumn="0" w:oddVBand="0" w:evenVBand="0" w:oddHBand="0" w:evenHBand="0" w:firstRowFirstColumn="0" w:firstRowLastColumn="0" w:lastRowFirstColumn="0" w:lastRowLastColumn="0"/>
            </w:pPr>
            <w:r>
              <w:t>2</w:t>
            </w:r>
            <w:r w:rsidR="0017507E">
              <w:t xml:space="preserve"> </w:t>
            </w:r>
            <w:r>
              <w:t>084</w:t>
            </w:r>
          </w:p>
        </w:tc>
        <w:tc>
          <w:tcPr>
            <w:tcW w:w="964" w:type="dxa"/>
            <w:tcBorders>
              <w:top w:val="single" w:sz="6" w:space="0" w:color="auto"/>
            </w:tcBorders>
          </w:tcPr>
          <w:p w14:paraId="72066E08" w14:textId="77777777" w:rsidR="0074216D" w:rsidRDefault="0074216D">
            <w:pPr>
              <w:cnfStyle w:val="000000000000" w:firstRow="0" w:lastRow="0" w:firstColumn="0" w:lastColumn="0" w:oddVBand="0" w:evenVBand="0" w:oddHBand="0" w:evenHBand="0" w:firstRowFirstColumn="0" w:firstRowLastColumn="0" w:lastRowFirstColumn="0" w:lastRowLastColumn="0"/>
            </w:pPr>
            <w:r>
              <w:t>2 060</w:t>
            </w:r>
          </w:p>
        </w:tc>
        <w:tc>
          <w:tcPr>
            <w:tcW w:w="964" w:type="dxa"/>
            <w:tcBorders>
              <w:top w:val="single" w:sz="6" w:space="0" w:color="auto"/>
            </w:tcBorders>
          </w:tcPr>
          <w:p w14:paraId="7BB81A32" w14:textId="77777777" w:rsidR="0074216D" w:rsidRDefault="0074216D">
            <w:pPr>
              <w:cnfStyle w:val="000000000000" w:firstRow="0" w:lastRow="0" w:firstColumn="0" w:lastColumn="0" w:oddVBand="0" w:evenVBand="0" w:oddHBand="0" w:evenHBand="0" w:firstRowFirstColumn="0" w:firstRowLastColumn="0" w:lastRowFirstColumn="0" w:lastRowLastColumn="0"/>
            </w:pPr>
            <w:r>
              <w:t>1 894</w:t>
            </w:r>
          </w:p>
        </w:tc>
        <w:tc>
          <w:tcPr>
            <w:tcW w:w="964" w:type="dxa"/>
            <w:tcBorders>
              <w:top w:val="single" w:sz="6" w:space="0" w:color="auto"/>
            </w:tcBorders>
          </w:tcPr>
          <w:p w14:paraId="60D1E294" w14:textId="5146A857" w:rsidR="0074216D" w:rsidRDefault="0074216D">
            <w:pPr>
              <w:cnfStyle w:val="000000000000" w:firstRow="0" w:lastRow="0" w:firstColumn="0" w:lastColumn="0" w:oddVBand="0" w:evenVBand="0" w:oddHBand="0" w:evenHBand="0" w:firstRowFirstColumn="0" w:firstRowLastColumn="0" w:lastRowFirstColumn="0" w:lastRowLastColumn="0"/>
            </w:pPr>
            <w:r>
              <w:t>2</w:t>
            </w:r>
            <w:r w:rsidR="0017507E">
              <w:t xml:space="preserve"> </w:t>
            </w:r>
            <w:r>
              <w:t>003.9</w:t>
            </w:r>
          </w:p>
        </w:tc>
      </w:tr>
      <w:tr w:rsidR="0074216D" w14:paraId="2EEDB15E"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nil"/>
            </w:tcBorders>
          </w:tcPr>
          <w:p w14:paraId="42A870AB" w14:textId="77777777" w:rsidR="0074216D" w:rsidRDefault="0074216D">
            <w:pPr>
              <w:keepNext/>
              <w:ind w:left="170"/>
            </w:pPr>
          </w:p>
        </w:tc>
        <w:tc>
          <w:tcPr>
            <w:tcW w:w="964" w:type="dxa"/>
            <w:tcBorders>
              <w:top w:val="nil"/>
            </w:tcBorders>
          </w:tcPr>
          <w:p w14:paraId="52F7222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p>
        </w:tc>
        <w:tc>
          <w:tcPr>
            <w:tcW w:w="964" w:type="dxa"/>
            <w:tcBorders>
              <w:top w:val="nil"/>
            </w:tcBorders>
          </w:tcPr>
          <w:p w14:paraId="6DE6A17D" w14:textId="77777777" w:rsidR="0074216D" w:rsidRDefault="0074216D">
            <w:pPr>
              <w:cnfStyle w:val="000000000000" w:firstRow="0" w:lastRow="0" w:firstColumn="0" w:lastColumn="0" w:oddVBand="0" w:evenVBand="0" w:oddHBand="0" w:evenHBand="0" w:firstRowFirstColumn="0" w:firstRowLastColumn="0" w:lastRowFirstColumn="0" w:lastRowLastColumn="0"/>
            </w:pPr>
          </w:p>
        </w:tc>
        <w:tc>
          <w:tcPr>
            <w:tcW w:w="964" w:type="dxa"/>
          </w:tcPr>
          <w:p w14:paraId="43CE1865" w14:textId="77777777" w:rsidR="0074216D" w:rsidRDefault="0074216D">
            <w:pPr>
              <w:cnfStyle w:val="000000000000" w:firstRow="0" w:lastRow="0" w:firstColumn="0" w:lastColumn="0" w:oddVBand="0" w:evenVBand="0" w:oddHBand="0" w:evenHBand="0" w:firstRowFirstColumn="0" w:firstRowLastColumn="0" w:lastRowFirstColumn="0" w:lastRowLastColumn="0"/>
            </w:pPr>
          </w:p>
        </w:tc>
        <w:tc>
          <w:tcPr>
            <w:tcW w:w="964" w:type="dxa"/>
          </w:tcPr>
          <w:p w14:paraId="548AA864" w14:textId="77777777" w:rsidR="0074216D" w:rsidRDefault="0074216D">
            <w:pPr>
              <w:cnfStyle w:val="000000000000" w:firstRow="0" w:lastRow="0" w:firstColumn="0" w:lastColumn="0" w:oddVBand="0" w:evenVBand="0" w:oddHBand="0" w:evenHBand="0" w:firstRowFirstColumn="0" w:firstRowLastColumn="0" w:lastRowFirstColumn="0" w:lastRowLastColumn="0"/>
            </w:pPr>
          </w:p>
        </w:tc>
        <w:tc>
          <w:tcPr>
            <w:tcW w:w="964" w:type="dxa"/>
          </w:tcPr>
          <w:p w14:paraId="666AEC07" w14:textId="77777777" w:rsidR="0074216D" w:rsidRDefault="0074216D">
            <w:pPr>
              <w:cnfStyle w:val="000000000000" w:firstRow="0" w:lastRow="0" w:firstColumn="0" w:lastColumn="0" w:oddVBand="0" w:evenVBand="0" w:oddHBand="0" w:evenHBand="0" w:firstRowFirstColumn="0" w:firstRowLastColumn="0" w:lastRowFirstColumn="0" w:lastRowLastColumn="0"/>
            </w:pPr>
          </w:p>
        </w:tc>
      </w:tr>
      <w:tr w:rsidR="0074216D" w14:paraId="6A12A02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FBA4168" w14:textId="77777777" w:rsidR="0074216D" w:rsidRDefault="0074216D">
            <w:pPr>
              <w:ind w:left="170"/>
            </w:pPr>
            <w:r>
              <w:rPr>
                <w:i/>
              </w:rPr>
              <w:t>The 2025-26 expected outcome is higher than the target. Mental Health admitted activity was brought into scope for NWAU (national weighted activity unit) funding in 2024-25, contributing to an increase in funded separations. Target to be adjusted in 2026-27 to include Mental Health admitted activity.</w:t>
            </w:r>
          </w:p>
          <w:p w14:paraId="576C1FF3" w14:textId="77777777" w:rsidR="0074216D" w:rsidRDefault="0074216D">
            <w:pPr>
              <w:ind w:left="170"/>
            </w:pPr>
            <w:r w:rsidRPr="0050312C">
              <w:rPr>
                <w:i/>
              </w:rPr>
              <w:t xml:space="preserve">The </w:t>
            </w:r>
            <w:r>
              <w:rPr>
                <w:i/>
              </w:rPr>
              <w:t xml:space="preserve">2026-27 </w:t>
            </w:r>
            <w:r w:rsidRPr="0050312C">
              <w:rPr>
                <w:i/>
              </w:rPr>
              <w:t xml:space="preserve">target has been adjusted to reflect recent activity levels and funding provided in the </w:t>
            </w:r>
            <w:r w:rsidRPr="00471614">
              <w:t>2026-27 Budget</w:t>
            </w:r>
            <w:r>
              <w:rPr>
                <w:i/>
              </w:rPr>
              <w:t>.</w:t>
            </w:r>
          </w:p>
        </w:tc>
      </w:tr>
      <w:tr w:rsidR="0074216D" w14:paraId="7EE18B12"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67967060" w14:textId="77777777" w:rsidR="0074216D" w:rsidRDefault="0074216D">
            <w:pPr>
              <w:keepNext/>
              <w:ind w:left="170"/>
            </w:pPr>
            <w:r>
              <w:t>Number of patients admitted from the planned surgery waiting list</w:t>
            </w:r>
          </w:p>
        </w:tc>
        <w:tc>
          <w:tcPr>
            <w:tcW w:w="964" w:type="dxa"/>
            <w:tcBorders>
              <w:top w:val="single" w:sz="6" w:space="0" w:color="auto"/>
            </w:tcBorders>
          </w:tcPr>
          <w:p w14:paraId="1161F0E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7563F2E8" w14:textId="77777777" w:rsidR="0074216D" w:rsidRDefault="0074216D">
            <w:pPr>
              <w:cnfStyle w:val="000000000000" w:firstRow="0" w:lastRow="0" w:firstColumn="0" w:lastColumn="0" w:oddVBand="0" w:evenVBand="0" w:oddHBand="0" w:evenHBand="0" w:firstRowFirstColumn="0" w:firstRowLastColumn="0" w:lastRowFirstColumn="0" w:lastRowLastColumn="0"/>
            </w:pPr>
            <w:r>
              <w:t>214 000</w:t>
            </w:r>
          </w:p>
        </w:tc>
        <w:tc>
          <w:tcPr>
            <w:tcW w:w="964" w:type="dxa"/>
            <w:tcBorders>
              <w:top w:val="single" w:sz="6" w:space="0" w:color="auto"/>
            </w:tcBorders>
          </w:tcPr>
          <w:p w14:paraId="166AAD70" w14:textId="77777777" w:rsidR="0074216D" w:rsidRDefault="0074216D">
            <w:pPr>
              <w:cnfStyle w:val="000000000000" w:firstRow="0" w:lastRow="0" w:firstColumn="0" w:lastColumn="0" w:oddVBand="0" w:evenVBand="0" w:oddHBand="0" w:evenHBand="0" w:firstRowFirstColumn="0" w:firstRowLastColumn="0" w:lastRowFirstColumn="0" w:lastRowLastColumn="0"/>
            </w:pPr>
            <w:r>
              <w:t>210 000</w:t>
            </w:r>
          </w:p>
        </w:tc>
        <w:tc>
          <w:tcPr>
            <w:tcW w:w="964" w:type="dxa"/>
            <w:tcBorders>
              <w:top w:val="single" w:sz="6" w:space="0" w:color="auto"/>
            </w:tcBorders>
          </w:tcPr>
          <w:p w14:paraId="158C5E9B" w14:textId="77777777" w:rsidR="0074216D" w:rsidRDefault="0074216D">
            <w:pPr>
              <w:cnfStyle w:val="000000000000" w:firstRow="0" w:lastRow="0" w:firstColumn="0" w:lastColumn="0" w:oddVBand="0" w:evenVBand="0" w:oddHBand="0" w:evenHBand="0" w:firstRowFirstColumn="0" w:firstRowLastColumn="0" w:lastRowFirstColumn="0" w:lastRowLastColumn="0"/>
            </w:pPr>
            <w:r>
              <w:t>210 000</w:t>
            </w:r>
          </w:p>
        </w:tc>
        <w:tc>
          <w:tcPr>
            <w:tcW w:w="964" w:type="dxa"/>
            <w:tcBorders>
              <w:top w:val="single" w:sz="6" w:space="0" w:color="auto"/>
            </w:tcBorders>
          </w:tcPr>
          <w:p w14:paraId="45162DA2" w14:textId="77777777" w:rsidR="0074216D" w:rsidRDefault="0074216D">
            <w:pPr>
              <w:cnfStyle w:val="000000000000" w:firstRow="0" w:lastRow="0" w:firstColumn="0" w:lastColumn="0" w:oddVBand="0" w:evenVBand="0" w:oddHBand="0" w:evenHBand="0" w:firstRowFirstColumn="0" w:firstRowLastColumn="0" w:lastRowFirstColumn="0" w:lastRowLastColumn="0"/>
            </w:pPr>
            <w:r>
              <w:t>212 660</w:t>
            </w:r>
          </w:p>
        </w:tc>
      </w:tr>
      <w:tr w:rsidR="0074216D" w14:paraId="1B93BCA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A12EF8" w14:textId="77777777" w:rsidR="0074216D" w:rsidRDefault="0074216D">
            <w:pPr>
              <w:ind w:left="170"/>
            </w:pPr>
            <w:r>
              <w:rPr>
                <w:i/>
              </w:rPr>
              <w:t>The 2026-27 target reflects improvements in surgical reporting.</w:t>
            </w:r>
          </w:p>
        </w:tc>
      </w:tr>
      <w:tr w:rsidR="0074216D" w14:paraId="0023803F"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0DB852D8" w14:textId="77777777" w:rsidR="0074216D" w:rsidRDefault="0074216D">
            <w:pPr>
              <w:keepNext/>
              <w:ind w:left="170"/>
            </w:pPr>
            <w:r>
              <w:t>Palliative separations</w:t>
            </w:r>
          </w:p>
        </w:tc>
        <w:tc>
          <w:tcPr>
            <w:tcW w:w="964" w:type="dxa"/>
            <w:tcBorders>
              <w:top w:val="single" w:sz="6" w:space="0" w:color="auto"/>
            </w:tcBorders>
          </w:tcPr>
          <w:p w14:paraId="734EE09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nil"/>
            </w:tcBorders>
            <w:shd w:val="clear" w:color="auto" w:fill="F0F0F0"/>
          </w:tcPr>
          <w:p w14:paraId="340ADC92" w14:textId="77777777" w:rsidR="0074216D" w:rsidRDefault="0074216D">
            <w:pPr>
              <w:cnfStyle w:val="000000000000" w:firstRow="0" w:lastRow="0" w:firstColumn="0" w:lastColumn="0" w:oddVBand="0" w:evenVBand="0" w:oddHBand="0" w:evenHBand="0" w:firstRowFirstColumn="0" w:firstRowLastColumn="0" w:lastRowFirstColumn="0" w:lastRowLastColumn="0"/>
            </w:pPr>
            <w:r>
              <w:t>8 271</w:t>
            </w:r>
          </w:p>
        </w:tc>
        <w:tc>
          <w:tcPr>
            <w:tcW w:w="964" w:type="dxa"/>
            <w:tcBorders>
              <w:top w:val="single" w:sz="6" w:space="0" w:color="auto"/>
            </w:tcBorders>
          </w:tcPr>
          <w:p w14:paraId="1FBC8D1B" w14:textId="77777777" w:rsidR="0074216D" w:rsidRDefault="0074216D">
            <w:pPr>
              <w:cnfStyle w:val="000000000000" w:firstRow="0" w:lastRow="0" w:firstColumn="0" w:lastColumn="0" w:oddVBand="0" w:evenVBand="0" w:oddHBand="0" w:evenHBand="0" w:firstRowFirstColumn="0" w:firstRowLastColumn="0" w:lastRowFirstColumn="0" w:lastRowLastColumn="0"/>
            </w:pPr>
            <w:r>
              <w:t>10 020</w:t>
            </w:r>
          </w:p>
        </w:tc>
        <w:tc>
          <w:tcPr>
            <w:tcW w:w="964" w:type="dxa"/>
            <w:tcBorders>
              <w:top w:val="single" w:sz="6" w:space="0" w:color="auto"/>
            </w:tcBorders>
          </w:tcPr>
          <w:p w14:paraId="1F7E03E7" w14:textId="77777777" w:rsidR="0074216D" w:rsidRDefault="0074216D">
            <w:pPr>
              <w:cnfStyle w:val="000000000000" w:firstRow="0" w:lastRow="0" w:firstColumn="0" w:lastColumn="0" w:oddVBand="0" w:evenVBand="0" w:oddHBand="0" w:evenHBand="0" w:firstRowFirstColumn="0" w:firstRowLastColumn="0" w:lastRowFirstColumn="0" w:lastRowLastColumn="0"/>
            </w:pPr>
            <w:r>
              <w:t>7 816</w:t>
            </w:r>
          </w:p>
        </w:tc>
        <w:tc>
          <w:tcPr>
            <w:tcW w:w="964" w:type="dxa"/>
            <w:tcBorders>
              <w:top w:val="single" w:sz="6" w:space="0" w:color="auto"/>
            </w:tcBorders>
          </w:tcPr>
          <w:p w14:paraId="40686625" w14:textId="77777777" w:rsidR="0074216D" w:rsidRDefault="0074216D">
            <w:pPr>
              <w:cnfStyle w:val="000000000000" w:firstRow="0" w:lastRow="0" w:firstColumn="0" w:lastColumn="0" w:oddVBand="0" w:evenVBand="0" w:oddHBand="0" w:evenHBand="0" w:firstRowFirstColumn="0" w:firstRowLastColumn="0" w:lastRowFirstColumn="0" w:lastRowLastColumn="0"/>
            </w:pPr>
            <w:r>
              <w:t>9 285</w:t>
            </w:r>
          </w:p>
        </w:tc>
      </w:tr>
      <w:tr w:rsidR="0074216D" w14:paraId="0E13C77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CFBAC74" w14:textId="77777777" w:rsidR="0074216D" w:rsidRDefault="0074216D">
            <w:pPr>
              <w:ind w:left="170"/>
            </w:pPr>
            <w:r>
              <w:rPr>
                <w:i/>
              </w:rPr>
              <w:t>The 2025-26 expected outcome reflects the consistently increasing demand for admitted palliative care. The higher 2026-27 target reflects the average growth in demand for admitted palliative care over the previous three financial years.</w:t>
            </w:r>
          </w:p>
        </w:tc>
      </w:tr>
      <w:tr w:rsidR="0074216D" w14:paraId="4911AABC"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4" w:space="0" w:color="auto"/>
            </w:tcBorders>
          </w:tcPr>
          <w:p w14:paraId="27D8FD79" w14:textId="77777777" w:rsidR="0074216D" w:rsidRDefault="0074216D">
            <w:pPr>
              <w:ind w:left="170"/>
            </w:pPr>
            <w:r>
              <w:t>Perinatal mortality rate per 1 000 of babies of Aboriginal mothers, using rolling 3-year average</w:t>
            </w:r>
          </w:p>
        </w:tc>
        <w:tc>
          <w:tcPr>
            <w:tcW w:w="964" w:type="dxa"/>
            <w:tcBorders>
              <w:top w:val="single" w:sz="6" w:space="0" w:color="auto"/>
              <w:bottom w:val="single" w:sz="4" w:space="0" w:color="auto"/>
            </w:tcBorders>
          </w:tcPr>
          <w:p w14:paraId="4A80D67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tcBorders>
              <w:top w:val="nil"/>
              <w:bottom w:val="single" w:sz="6" w:space="0" w:color="auto"/>
            </w:tcBorders>
            <w:shd w:val="clear" w:color="auto" w:fill="F0F0F0"/>
          </w:tcPr>
          <w:p w14:paraId="4BB1307B" w14:textId="77777777" w:rsidR="0074216D" w:rsidRDefault="0074216D">
            <w:pPr>
              <w:cnfStyle w:val="000000000000" w:firstRow="0" w:lastRow="0" w:firstColumn="0" w:lastColumn="0" w:oddVBand="0" w:evenVBand="0" w:oddHBand="0" w:evenHBand="0" w:firstRowFirstColumn="0" w:firstRowLastColumn="0" w:lastRowFirstColumn="0" w:lastRowLastColumn="0"/>
            </w:pPr>
            <w:r>
              <w:t>8.7</w:t>
            </w:r>
          </w:p>
        </w:tc>
        <w:tc>
          <w:tcPr>
            <w:tcW w:w="964" w:type="dxa"/>
            <w:tcBorders>
              <w:top w:val="single" w:sz="6" w:space="0" w:color="auto"/>
              <w:bottom w:val="single" w:sz="4" w:space="0" w:color="auto"/>
            </w:tcBorders>
          </w:tcPr>
          <w:p w14:paraId="679DCBED" w14:textId="77777777" w:rsidR="0074216D" w:rsidRDefault="0074216D">
            <w:pPr>
              <w:cnfStyle w:val="000000000000" w:firstRow="0" w:lastRow="0" w:firstColumn="0" w:lastColumn="0" w:oddVBand="0" w:evenVBand="0" w:oddHBand="0" w:evenHBand="0" w:firstRowFirstColumn="0" w:firstRowLastColumn="0" w:lastRowFirstColumn="0" w:lastRowLastColumn="0"/>
            </w:pPr>
            <w:r>
              <w:t>8.7</w:t>
            </w:r>
          </w:p>
        </w:tc>
        <w:tc>
          <w:tcPr>
            <w:tcW w:w="964" w:type="dxa"/>
            <w:tcBorders>
              <w:top w:val="single" w:sz="6" w:space="0" w:color="auto"/>
              <w:bottom w:val="single" w:sz="4" w:space="0" w:color="auto"/>
            </w:tcBorders>
          </w:tcPr>
          <w:p w14:paraId="2BA53CDC" w14:textId="77777777" w:rsidR="0074216D" w:rsidRDefault="0074216D">
            <w:pPr>
              <w:cnfStyle w:val="000000000000" w:firstRow="0" w:lastRow="0" w:firstColumn="0" w:lastColumn="0" w:oddVBand="0" w:evenVBand="0" w:oddHBand="0" w:evenHBand="0" w:firstRowFirstColumn="0" w:firstRowLastColumn="0" w:lastRowFirstColumn="0" w:lastRowLastColumn="0"/>
            </w:pPr>
            <w:r>
              <w:t>8.7</w:t>
            </w:r>
          </w:p>
        </w:tc>
        <w:tc>
          <w:tcPr>
            <w:tcW w:w="964" w:type="dxa"/>
            <w:tcBorders>
              <w:top w:val="single" w:sz="6" w:space="0" w:color="auto"/>
              <w:bottom w:val="single" w:sz="4" w:space="0" w:color="auto"/>
            </w:tcBorders>
          </w:tcPr>
          <w:p w14:paraId="7D1C7DC3" w14:textId="77777777" w:rsidR="0074216D" w:rsidRDefault="0074216D">
            <w:pPr>
              <w:cnfStyle w:val="000000000000" w:firstRow="0" w:lastRow="0" w:firstColumn="0" w:lastColumn="0" w:oddVBand="0" w:evenVBand="0" w:oddHBand="0" w:evenHBand="0" w:firstRowFirstColumn="0" w:firstRowLastColumn="0" w:lastRowFirstColumn="0" w:lastRowLastColumn="0"/>
            </w:pPr>
            <w:r>
              <w:t>10.2</w:t>
            </w:r>
          </w:p>
        </w:tc>
      </w:tr>
      <w:tr w:rsidR="0074216D" w14:paraId="1012F88C"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nil"/>
            </w:tcBorders>
          </w:tcPr>
          <w:p w14:paraId="45CFC2BE" w14:textId="77777777" w:rsidR="0074216D" w:rsidRDefault="0074216D">
            <w:pPr>
              <w:keepNext/>
              <w:ind w:left="170"/>
            </w:pPr>
            <w:r>
              <w:t>Sub-acute care separations</w:t>
            </w:r>
          </w:p>
        </w:tc>
        <w:tc>
          <w:tcPr>
            <w:tcW w:w="964" w:type="dxa"/>
            <w:tcBorders>
              <w:top w:val="nil"/>
            </w:tcBorders>
          </w:tcPr>
          <w:p w14:paraId="4E6EC1B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nil"/>
            </w:tcBorders>
            <w:shd w:val="clear" w:color="auto" w:fill="F0F0F0"/>
          </w:tcPr>
          <w:p w14:paraId="0A09BF3B" w14:textId="77777777" w:rsidR="0074216D" w:rsidRDefault="0074216D">
            <w:pPr>
              <w:cnfStyle w:val="000000000000" w:firstRow="0" w:lastRow="0" w:firstColumn="0" w:lastColumn="0" w:oddVBand="0" w:evenVBand="0" w:oddHBand="0" w:evenHBand="0" w:firstRowFirstColumn="0" w:firstRowLastColumn="0" w:lastRowFirstColumn="0" w:lastRowLastColumn="0"/>
            </w:pPr>
            <w:r>
              <w:t>37 900</w:t>
            </w:r>
          </w:p>
        </w:tc>
        <w:tc>
          <w:tcPr>
            <w:tcW w:w="964" w:type="dxa"/>
            <w:tcBorders>
              <w:top w:val="single" w:sz="4" w:space="0" w:color="auto"/>
            </w:tcBorders>
          </w:tcPr>
          <w:p w14:paraId="32F9EDB0" w14:textId="77777777" w:rsidR="0074216D" w:rsidRDefault="0074216D">
            <w:pPr>
              <w:cnfStyle w:val="000000000000" w:firstRow="0" w:lastRow="0" w:firstColumn="0" w:lastColumn="0" w:oddVBand="0" w:evenVBand="0" w:oddHBand="0" w:evenHBand="0" w:firstRowFirstColumn="0" w:firstRowLastColumn="0" w:lastRowFirstColumn="0" w:lastRowLastColumn="0"/>
            </w:pPr>
            <w:r>
              <w:t>35 722</w:t>
            </w:r>
          </w:p>
        </w:tc>
        <w:tc>
          <w:tcPr>
            <w:tcW w:w="964" w:type="dxa"/>
            <w:tcBorders>
              <w:top w:val="single" w:sz="4" w:space="0" w:color="auto"/>
            </w:tcBorders>
          </w:tcPr>
          <w:p w14:paraId="392035B5" w14:textId="77777777" w:rsidR="0074216D" w:rsidRDefault="0074216D">
            <w:pPr>
              <w:cnfStyle w:val="000000000000" w:firstRow="0" w:lastRow="0" w:firstColumn="0" w:lastColumn="0" w:oddVBand="0" w:evenVBand="0" w:oddHBand="0" w:evenHBand="0" w:firstRowFirstColumn="0" w:firstRowLastColumn="0" w:lastRowFirstColumn="0" w:lastRowLastColumn="0"/>
            </w:pPr>
            <w:r>
              <w:t>37 900</w:t>
            </w:r>
          </w:p>
        </w:tc>
        <w:tc>
          <w:tcPr>
            <w:tcW w:w="964" w:type="dxa"/>
            <w:tcBorders>
              <w:top w:val="single" w:sz="4" w:space="0" w:color="auto"/>
            </w:tcBorders>
          </w:tcPr>
          <w:p w14:paraId="23B92025" w14:textId="77777777" w:rsidR="0074216D" w:rsidRDefault="0074216D">
            <w:pPr>
              <w:cnfStyle w:val="000000000000" w:firstRow="0" w:lastRow="0" w:firstColumn="0" w:lastColumn="0" w:oddVBand="0" w:evenVBand="0" w:oddHBand="0" w:evenHBand="0" w:firstRowFirstColumn="0" w:firstRowLastColumn="0" w:lastRowFirstColumn="0" w:lastRowLastColumn="0"/>
            </w:pPr>
            <w:r>
              <w:t>34 900</w:t>
            </w:r>
          </w:p>
        </w:tc>
      </w:tr>
      <w:tr w:rsidR="0074216D" w14:paraId="1D9F88F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D5C2D0" w14:textId="708ECB23" w:rsidR="0074216D" w:rsidRDefault="0074216D">
            <w:pPr>
              <w:ind w:left="170"/>
            </w:pPr>
            <w:r>
              <w:rPr>
                <w:i/>
              </w:rPr>
              <w:t>While the 2025-26 expected outcome is lower than the target, sub-acute care separations have grown steadily over time. Y</w:t>
            </w:r>
            <w:r w:rsidR="005475A3">
              <w:rPr>
                <w:i/>
              </w:rPr>
              <w:t>ear-to-date</w:t>
            </w:r>
            <w:r>
              <w:rPr>
                <w:i/>
              </w:rPr>
              <w:t xml:space="preserve"> activity has increased slightly compared to same time last year, alongside growing non-admitted sub-acute activity across community</w:t>
            </w:r>
            <w:r w:rsidR="005475A3">
              <w:rPr>
                <w:i/>
              </w:rPr>
              <w:noBreakHyphen/>
            </w:r>
            <w:r>
              <w:rPr>
                <w:i/>
              </w:rPr>
              <w:t>based programs supporting care closer to home.</w:t>
            </w:r>
          </w:p>
        </w:tc>
      </w:tr>
      <w:tr w:rsidR="0074216D" w14:paraId="3E1F584F"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0C57538A" w14:textId="77777777" w:rsidR="0074216D" w:rsidRDefault="0074216D">
            <w:pPr>
              <w:keepNext/>
              <w:ind w:left="170"/>
            </w:pPr>
            <w:r>
              <w:t>Total separations – all hospitals</w:t>
            </w:r>
          </w:p>
        </w:tc>
        <w:tc>
          <w:tcPr>
            <w:tcW w:w="964" w:type="dxa"/>
            <w:tcBorders>
              <w:top w:val="single" w:sz="6" w:space="0" w:color="auto"/>
            </w:tcBorders>
          </w:tcPr>
          <w:p w14:paraId="0D2C91C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top w:val="nil"/>
              <w:bottom w:val="nil"/>
            </w:tcBorders>
            <w:shd w:val="clear" w:color="auto" w:fill="F0F0F0"/>
          </w:tcPr>
          <w:p w14:paraId="01E04A92" w14:textId="1EB4F03E" w:rsidR="0074216D" w:rsidRDefault="0074216D">
            <w:pPr>
              <w:cnfStyle w:val="000000000000" w:firstRow="0" w:lastRow="0" w:firstColumn="0" w:lastColumn="0" w:oddVBand="0" w:evenVBand="0" w:oddHBand="0" w:evenHBand="0" w:firstRowFirstColumn="0" w:firstRowLastColumn="0" w:lastRowFirstColumn="0" w:lastRowLastColumn="0"/>
            </w:pPr>
            <w:r>
              <w:t>2</w:t>
            </w:r>
            <w:r w:rsidR="0017507E">
              <w:t xml:space="preserve"> </w:t>
            </w:r>
            <w:r>
              <w:t>283</w:t>
            </w:r>
          </w:p>
        </w:tc>
        <w:tc>
          <w:tcPr>
            <w:tcW w:w="964" w:type="dxa"/>
            <w:tcBorders>
              <w:top w:val="single" w:sz="6" w:space="0" w:color="auto"/>
            </w:tcBorders>
          </w:tcPr>
          <w:p w14:paraId="14997206" w14:textId="1E713DD0" w:rsidR="0074216D" w:rsidRDefault="0074216D">
            <w:pPr>
              <w:cnfStyle w:val="000000000000" w:firstRow="0" w:lastRow="0" w:firstColumn="0" w:lastColumn="0" w:oddVBand="0" w:evenVBand="0" w:oddHBand="0" w:evenHBand="0" w:firstRowFirstColumn="0" w:firstRowLastColumn="0" w:lastRowFirstColumn="0" w:lastRowLastColumn="0"/>
            </w:pPr>
            <w:r>
              <w:t>2</w:t>
            </w:r>
            <w:r w:rsidR="0017507E">
              <w:t xml:space="preserve"> </w:t>
            </w:r>
            <w:r>
              <w:t>256.6</w:t>
            </w:r>
          </w:p>
        </w:tc>
        <w:tc>
          <w:tcPr>
            <w:tcW w:w="964" w:type="dxa"/>
            <w:tcBorders>
              <w:top w:val="single" w:sz="6" w:space="0" w:color="auto"/>
            </w:tcBorders>
          </w:tcPr>
          <w:p w14:paraId="5DB7FF63" w14:textId="77777777" w:rsidR="0074216D" w:rsidRDefault="0074216D">
            <w:pPr>
              <w:cnfStyle w:val="000000000000" w:firstRow="0" w:lastRow="0" w:firstColumn="0" w:lastColumn="0" w:oddVBand="0" w:evenVBand="0" w:oddHBand="0" w:evenHBand="0" w:firstRowFirstColumn="0" w:firstRowLastColumn="0" w:lastRowFirstColumn="0" w:lastRowLastColumn="0"/>
            </w:pPr>
            <w:r>
              <w:t>2 088</w:t>
            </w:r>
          </w:p>
        </w:tc>
        <w:tc>
          <w:tcPr>
            <w:tcW w:w="964" w:type="dxa"/>
            <w:tcBorders>
              <w:top w:val="single" w:sz="6" w:space="0" w:color="auto"/>
            </w:tcBorders>
          </w:tcPr>
          <w:p w14:paraId="76CD5413" w14:textId="795D0C62" w:rsidR="0074216D" w:rsidRDefault="0074216D">
            <w:pPr>
              <w:cnfStyle w:val="000000000000" w:firstRow="0" w:lastRow="0" w:firstColumn="0" w:lastColumn="0" w:oddVBand="0" w:evenVBand="0" w:oddHBand="0" w:evenHBand="0" w:firstRowFirstColumn="0" w:firstRowLastColumn="0" w:lastRowFirstColumn="0" w:lastRowLastColumn="0"/>
            </w:pPr>
            <w:r>
              <w:t>2</w:t>
            </w:r>
            <w:r w:rsidR="0017507E">
              <w:t xml:space="preserve"> </w:t>
            </w:r>
            <w:r>
              <w:t>181.6</w:t>
            </w:r>
          </w:p>
        </w:tc>
      </w:tr>
      <w:tr w:rsidR="0074216D" w14:paraId="29FA820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38BAED5" w14:textId="77777777" w:rsidR="0074216D" w:rsidRDefault="0074216D">
            <w:pPr>
              <w:ind w:left="170"/>
            </w:pPr>
            <w:r>
              <w:rPr>
                <w:i/>
              </w:rPr>
              <w:t xml:space="preserve">The 2025-26 expected outcome is higher than the target as activity was higher than anticipated with population growth as key driver. </w:t>
            </w:r>
          </w:p>
          <w:p w14:paraId="30BEFCF1" w14:textId="7CED2776" w:rsidR="0074216D" w:rsidRDefault="0074216D">
            <w:pPr>
              <w:ind w:left="170"/>
            </w:pPr>
            <w:r w:rsidRPr="0050312C">
              <w:rPr>
                <w:i/>
              </w:rPr>
              <w:t xml:space="preserve">The </w:t>
            </w:r>
            <w:r>
              <w:rPr>
                <w:i/>
              </w:rPr>
              <w:t xml:space="preserve">2026-27 </w:t>
            </w:r>
            <w:r w:rsidRPr="0050312C">
              <w:rPr>
                <w:i/>
              </w:rPr>
              <w:t xml:space="preserve">target has been adjusted to reflect recent activity levels and funding provided in the </w:t>
            </w:r>
            <w:r w:rsidRPr="00D2755F">
              <w:t>2026-27 Budget</w:t>
            </w:r>
            <w:r>
              <w:rPr>
                <w:i/>
              </w:rPr>
              <w:t>.</w:t>
            </w:r>
          </w:p>
        </w:tc>
      </w:tr>
      <w:tr w:rsidR="0074216D" w14:paraId="792F185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A5BA755" w14:textId="77777777" w:rsidR="0074216D" w:rsidRPr="005314E1" w:rsidRDefault="0074216D">
            <w:pPr>
              <w:keepNext/>
              <w:rPr>
                <w:b/>
              </w:rPr>
            </w:pPr>
            <w:r w:rsidRPr="005314E1">
              <w:rPr>
                <w:b/>
              </w:rPr>
              <w:t>Quality</w:t>
            </w:r>
          </w:p>
        </w:tc>
      </w:tr>
      <w:tr w:rsidR="0074216D" w14:paraId="6B1801C2"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EC648E8" w14:textId="77777777" w:rsidR="0074216D" w:rsidRDefault="0074216D">
            <w:pPr>
              <w:ind w:left="170"/>
            </w:pPr>
            <w:r>
              <w:t>Eligible newborns screened for hearing deficit before one month of age</w:t>
            </w:r>
          </w:p>
        </w:tc>
        <w:tc>
          <w:tcPr>
            <w:tcW w:w="964" w:type="dxa"/>
            <w:tcBorders>
              <w:bottom w:val="single" w:sz="6" w:space="0" w:color="auto"/>
            </w:tcBorders>
          </w:tcPr>
          <w:p w14:paraId="37E7AAD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D921402"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78166E02" w14:textId="77777777" w:rsidR="0074216D" w:rsidRDefault="0074216D">
            <w:pPr>
              <w:cnfStyle w:val="000000000000" w:firstRow="0" w:lastRow="0" w:firstColumn="0" w:lastColumn="0" w:oddVBand="0" w:evenVBand="0" w:oddHBand="0" w:evenHBand="0" w:firstRowFirstColumn="0" w:firstRowLastColumn="0" w:lastRowFirstColumn="0" w:lastRowLastColumn="0"/>
            </w:pPr>
            <w:r>
              <w:t>98.3</w:t>
            </w:r>
          </w:p>
        </w:tc>
        <w:tc>
          <w:tcPr>
            <w:tcW w:w="964" w:type="dxa"/>
            <w:tcBorders>
              <w:bottom w:val="single" w:sz="6" w:space="0" w:color="auto"/>
            </w:tcBorders>
          </w:tcPr>
          <w:p w14:paraId="0F874867"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3F14CB1"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r>
      <w:tr w:rsidR="0074216D" w14:paraId="25B4E480"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nil"/>
              <w:bottom w:val="single" w:sz="6" w:space="0" w:color="auto"/>
            </w:tcBorders>
          </w:tcPr>
          <w:p w14:paraId="1308590E" w14:textId="77777777" w:rsidR="0074216D" w:rsidRDefault="0074216D">
            <w:pPr>
              <w:ind w:left="170"/>
            </w:pPr>
            <w:r>
              <w:t>Hand hygiene compliance</w:t>
            </w:r>
          </w:p>
        </w:tc>
        <w:tc>
          <w:tcPr>
            <w:tcW w:w="964" w:type="dxa"/>
            <w:tcBorders>
              <w:top w:val="nil"/>
              <w:bottom w:val="single" w:sz="6" w:space="0" w:color="auto"/>
            </w:tcBorders>
          </w:tcPr>
          <w:p w14:paraId="424D1F0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23ABA762"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6" w:space="0" w:color="auto"/>
              <w:bottom w:val="single" w:sz="6" w:space="0" w:color="auto"/>
            </w:tcBorders>
          </w:tcPr>
          <w:p w14:paraId="0B4126A8"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6" w:space="0" w:color="auto"/>
              <w:bottom w:val="single" w:sz="6" w:space="0" w:color="auto"/>
            </w:tcBorders>
          </w:tcPr>
          <w:p w14:paraId="5D74BC84"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6" w:space="0" w:color="auto"/>
              <w:bottom w:val="single" w:sz="6" w:space="0" w:color="auto"/>
            </w:tcBorders>
          </w:tcPr>
          <w:p w14:paraId="62710AB6" w14:textId="77777777" w:rsidR="0074216D" w:rsidRDefault="0074216D">
            <w:pPr>
              <w:cnfStyle w:val="000000000000" w:firstRow="0" w:lastRow="0" w:firstColumn="0" w:lastColumn="0" w:oddVBand="0" w:evenVBand="0" w:oddHBand="0" w:evenHBand="0" w:firstRowFirstColumn="0" w:firstRowLastColumn="0" w:lastRowFirstColumn="0" w:lastRowLastColumn="0"/>
            </w:pPr>
            <w:r>
              <w:t>86.4</w:t>
            </w:r>
          </w:p>
        </w:tc>
      </w:tr>
      <w:tr w:rsidR="0074216D" w14:paraId="1FA56756"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7AECA0F" w14:textId="77777777" w:rsidR="0074216D" w:rsidRDefault="0074216D">
            <w:pPr>
              <w:ind w:left="170"/>
            </w:pPr>
            <w:r>
              <w:t>Healthcare worker immunisation – influenza</w:t>
            </w:r>
          </w:p>
        </w:tc>
        <w:tc>
          <w:tcPr>
            <w:tcW w:w="964" w:type="dxa"/>
            <w:tcBorders>
              <w:top w:val="single" w:sz="6" w:space="0" w:color="auto"/>
              <w:bottom w:val="single" w:sz="6" w:space="0" w:color="auto"/>
            </w:tcBorders>
          </w:tcPr>
          <w:p w14:paraId="778A66D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1397DADD" w14:textId="77777777" w:rsidR="0074216D" w:rsidRDefault="0074216D">
            <w:pPr>
              <w:cnfStyle w:val="000000000000" w:firstRow="0" w:lastRow="0" w:firstColumn="0" w:lastColumn="0" w:oddVBand="0" w:evenVBand="0" w:oddHBand="0" w:evenHBand="0" w:firstRowFirstColumn="0" w:firstRowLastColumn="0" w:lastRowFirstColumn="0" w:lastRowLastColumn="0"/>
            </w:pPr>
            <w:r>
              <w:t>94</w:t>
            </w:r>
          </w:p>
        </w:tc>
        <w:tc>
          <w:tcPr>
            <w:tcW w:w="964" w:type="dxa"/>
            <w:tcBorders>
              <w:top w:val="single" w:sz="6" w:space="0" w:color="auto"/>
              <w:bottom w:val="single" w:sz="6" w:space="0" w:color="auto"/>
            </w:tcBorders>
          </w:tcPr>
          <w:p w14:paraId="43B40FE6" w14:textId="77777777" w:rsidR="0074216D" w:rsidRDefault="0074216D">
            <w:pPr>
              <w:cnfStyle w:val="000000000000" w:firstRow="0" w:lastRow="0" w:firstColumn="0" w:lastColumn="0" w:oddVBand="0" w:evenVBand="0" w:oddHBand="0" w:evenHBand="0" w:firstRowFirstColumn="0" w:firstRowLastColumn="0" w:lastRowFirstColumn="0" w:lastRowLastColumn="0"/>
            </w:pPr>
            <w:r>
              <w:t>94</w:t>
            </w:r>
          </w:p>
        </w:tc>
        <w:tc>
          <w:tcPr>
            <w:tcW w:w="964" w:type="dxa"/>
            <w:tcBorders>
              <w:top w:val="single" w:sz="6" w:space="0" w:color="auto"/>
              <w:bottom w:val="single" w:sz="6" w:space="0" w:color="auto"/>
            </w:tcBorders>
          </w:tcPr>
          <w:p w14:paraId="6DD2CC8F" w14:textId="77777777" w:rsidR="0074216D" w:rsidRDefault="0074216D">
            <w:pPr>
              <w:cnfStyle w:val="000000000000" w:firstRow="0" w:lastRow="0" w:firstColumn="0" w:lastColumn="0" w:oddVBand="0" w:evenVBand="0" w:oddHBand="0" w:evenHBand="0" w:firstRowFirstColumn="0" w:firstRowLastColumn="0" w:lastRowFirstColumn="0" w:lastRowLastColumn="0"/>
            </w:pPr>
            <w:r>
              <w:t>94</w:t>
            </w:r>
          </w:p>
        </w:tc>
        <w:tc>
          <w:tcPr>
            <w:tcW w:w="964" w:type="dxa"/>
            <w:tcBorders>
              <w:top w:val="single" w:sz="6" w:space="0" w:color="auto"/>
              <w:bottom w:val="single" w:sz="6" w:space="0" w:color="auto"/>
            </w:tcBorders>
          </w:tcPr>
          <w:p w14:paraId="4AFE7A44" w14:textId="77777777" w:rsidR="0074216D" w:rsidRDefault="0074216D">
            <w:pPr>
              <w:cnfStyle w:val="000000000000" w:firstRow="0" w:lastRow="0" w:firstColumn="0" w:lastColumn="0" w:oddVBand="0" w:evenVBand="0" w:oddHBand="0" w:evenHBand="0" w:firstRowFirstColumn="0" w:firstRowLastColumn="0" w:lastRowFirstColumn="0" w:lastRowLastColumn="0"/>
            </w:pPr>
            <w:r>
              <w:t>92</w:t>
            </w:r>
          </w:p>
        </w:tc>
      </w:tr>
      <w:tr w:rsidR="0074216D" w14:paraId="3B60EEBC"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779FF8C" w14:textId="77777777" w:rsidR="0074216D" w:rsidRDefault="0074216D">
            <w:pPr>
              <w:keepNext/>
              <w:ind w:left="170"/>
            </w:pPr>
            <w:r>
              <w:t>Intensive Care Unit central line associated blood stream infections (CLABSI) per 1 000 device days</w:t>
            </w:r>
          </w:p>
        </w:tc>
        <w:tc>
          <w:tcPr>
            <w:tcW w:w="964" w:type="dxa"/>
            <w:tcBorders>
              <w:top w:val="single" w:sz="6" w:space="0" w:color="auto"/>
            </w:tcBorders>
          </w:tcPr>
          <w:p w14:paraId="0E4D654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tcBorders>
              <w:top w:val="single" w:sz="6" w:space="0" w:color="auto"/>
              <w:bottom w:val="single" w:sz="6" w:space="0" w:color="auto"/>
            </w:tcBorders>
            <w:shd w:val="clear" w:color="auto" w:fill="F0F0F0"/>
          </w:tcPr>
          <w:p w14:paraId="4A32BF83" w14:textId="77777777" w:rsidR="0074216D" w:rsidRDefault="0074216D">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tcBorders>
          </w:tcPr>
          <w:p w14:paraId="17E9EE51" w14:textId="77777777" w:rsidR="0074216D" w:rsidRDefault="0074216D">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tcBorders>
          </w:tcPr>
          <w:p w14:paraId="04685838" w14:textId="77777777" w:rsidR="0074216D" w:rsidRDefault="0074216D">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tcBorders>
          </w:tcPr>
          <w:p w14:paraId="320D1810" w14:textId="77777777" w:rsidR="0074216D" w:rsidRDefault="0074216D">
            <w:pPr>
              <w:cnfStyle w:val="000000000000" w:firstRow="0" w:lastRow="0" w:firstColumn="0" w:lastColumn="0" w:oddVBand="0" w:evenVBand="0" w:oddHBand="0" w:evenHBand="0" w:firstRowFirstColumn="0" w:firstRowLastColumn="0" w:lastRowFirstColumn="0" w:lastRowLastColumn="0"/>
            </w:pPr>
            <w:r>
              <w:t>0.6</w:t>
            </w:r>
          </w:p>
        </w:tc>
      </w:tr>
      <w:tr w:rsidR="0074216D" w14:paraId="538A8520"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10B382BC" w14:textId="77777777" w:rsidR="0074216D" w:rsidRDefault="0074216D">
            <w:pPr>
              <w:keepNext/>
              <w:ind w:left="170"/>
            </w:pPr>
            <w:r>
              <w:t>Major trauma patients transferred to a major trauma service</w:t>
            </w:r>
          </w:p>
        </w:tc>
        <w:tc>
          <w:tcPr>
            <w:tcW w:w="964" w:type="dxa"/>
            <w:tcBorders>
              <w:top w:val="single" w:sz="6" w:space="0" w:color="auto"/>
            </w:tcBorders>
          </w:tcPr>
          <w:p w14:paraId="51AB110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nil"/>
            </w:tcBorders>
            <w:shd w:val="clear" w:color="auto" w:fill="F0F0F0"/>
          </w:tcPr>
          <w:p w14:paraId="2AB841BC"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top w:val="single" w:sz="6" w:space="0" w:color="auto"/>
            </w:tcBorders>
          </w:tcPr>
          <w:p w14:paraId="79BE9220" w14:textId="77777777" w:rsidR="0074216D" w:rsidRDefault="0074216D">
            <w:pPr>
              <w:cnfStyle w:val="000000000000" w:firstRow="0" w:lastRow="0" w:firstColumn="0" w:lastColumn="0" w:oddVBand="0" w:evenVBand="0" w:oddHBand="0" w:evenHBand="0" w:firstRowFirstColumn="0" w:firstRowLastColumn="0" w:lastRowFirstColumn="0" w:lastRowLastColumn="0"/>
            </w:pPr>
            <w:r>
              <w:t>94.2</w:t>
            </w:r>
          </w:p>
        </w:tc>
        <w:tc>
          <w:tcPr>
            <w:tcW w:w="964" w:type="dxa"/>
            <w:tcBorders>
              <w:top w:val="single" w:sz="6" w:space="0" w:color="auto"/>
            </w:tcBorders>
          </w:tcPr>
          <w:p w14:paraId="1EF8C4BF"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top w:val="single" w:sz="6" w:space="0" w:color="auto"/>
            </w:tcBorders>
          </w:tcPr>
          <w:p w14:paraId="48A09540" w14:textId="77777777" w:rsidR="0074216D" w:rsidRDefault="0074216D">
            <w:pPr>
              <w:cnfStyle w:val="000000000000" w:firstRow="0" w:lastRow="0" w:firstColumn="0" w:lastColumn="0" w:oddVBand="0" w:evenVBand="0" w:oddHBand="0" w:evenHBand="0" w:firstRowFirstColumn="0" w:firstRowLastColumn="0" w:lastRowFirstColumn="0" w:lastRowLastColumn="0"/>
            </w:pPr>
            <w:r>
              <w:t>93.7</w:t>
            </w:r>
          </w:p>
        </w:tc>
      </w:tr>
      <w:tr w:rsidR="0074216D" w14:paraId="280FACD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4220468" w14:textId="77777777" w:rsidR="0074216D" w:rsidRDefault="0074216D">
            <w:pPr>
              <w:ind w:left="170"/>
            </w:pPr>
            <w:r>
              <w:rPr>
                <w:i/>
              </w:rPr>
              <w:t xml:space="preserve">The 2025-26 expected outcome is higher than the target, which is a positive result, with a higher proportion of major trauma patients being transferred to major trauma services for appropriate care. </w:t>
            </w:r>
          </w:p>
        </w:tc>
      </w:tr>
      <w:tr w:rsidR="0074216D" w14:paraId="087DB246"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C66DAF8" w14:textId="77777777" w:rsidR="0074216D" w:rsidRDefault="0074216D">
            <w:pPr>
              <w:ind w:left="170"/>
            </w:pPr>
            <w:r>
              <w:t>Percentage of patients who reported positive experiences of their hospital stay</w:t>
            </w:r>
          </w:p>
        </w:tc>
        <w:tc>
          <w:tcPr>
            <w:tcW w:w="964" w:type="dxa"/>
            <w:tcBorders>
              <w:top w:val="single" w:sz="6" w:space="0" w:color="auto"/>
              <w:bottom w:val="single" w:sz="6" w:space="0" w:color="auto"/>
            </w:tcBorders>
          </w:tcPr>
          <w:p w14:paraId="10EB49A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single" w:sz="6" w:space="0" w:color="auto"/>
            </w:tcBorders>
            <w:shd w:val="clear" w:color="auto" w:fill="F0F0F0"/>
          </w:tcPr>
          <w:p w14:paraId="2D74E1A2"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7800E182"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54D83A60"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06446259" w14:textId="77777777" w:rsidR="0074216D" w:rsidRDefault="0074216D">
            <w:pPr>
              <w:cnfStyle w:val="000000000000" w:firstRow="0" w:lastRow="0" w:firstColumn="0" w:lastColumn="0" w:oddVBand="0" w:evenVBand="0" w:oddHBand="0" w:evenHBand="0" w:firstRowFirstColumn="0" w:firstRowLastColumn="0" w:lastRowFirstColumn="0" w:lastRowLastColumn="0"/>
            </w:pPr>
            <w:r>
              <w:t>92.6</w:t>
            </w:r>
          </w:p>
        </w:tc>
      </w:tr>
      <w:tr w:rsidR="0074216D" w14:paraId="771CDCB1"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nil"/>
              <w:bottom w:val="single" w:sz="6" w:space="0" w:color="auto"/>
            </w:tcBorders>
          </w:tcPr>
          <w:p w14:paraId="592CD4E9" w14:textId="77777777" w:rsidR="0074216D" w:rsidRDefault="0074216D">
            <w:pPr>
              <w:ind w:left="170"/>
            </w:pPr>
            <w:r>
              <w:t>Public hospitals accredited</w:t>
            </w:r>
          </w:p>
        </w:tc>
        <w:tc>
          <w:tcPr>
            <w:tcW w:w="964" w:type="dxa"/>
            <w:tcBorders>
              <w:top w:val="nil"/>
              <w:bottom w:val="single" w:sz="6" w:space="0" w:color="auto"/>
            </w:tcBorders>
          </w:tcPr>
          <w:p w14:paraId="27F0D24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5CC09DC7"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6471B1E8"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78C31095"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6E601545"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1C60456D"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94B7068" w14:textId="77777777" w:rsidR="0074216D" w:rsidRDefault="0074216D">
            <w:pPr>
              <w:ind w:left="170"/>
            </w:pPr>
            <w:r>
              <w:t>Staphylococcus aureus bacteraemias (SAB) infections per 10 000 patient days</w:t>
            </w:r>
          </w:p>
        </w:tc>
        <w:tc>
          <w:tcPr>
            <w:tcW w:w="964" w:type="dxa"/>
            <w:tcBorders>
              <w:top w:val="single" w:sz="6" w:space="0" w:color="auto"/>
              <w:bottom w:val="single" w:sz="6" w:space="0" w:color="auto"/>
            </w:tcBorders>
          </w:tcPr>
          <w:p w14:paraId="4E24143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tcBorders>
              <w:top w:val="single" w:sz="6" w:space="0" w:color="auto"/>
              <w:bottom w:val="single" w:sz="6" w:space="0" w:color="auto"/>
            </w:tcBorders>
            <w:shd w:val="clear" w:color="auto" w:fill="F0F0F0"/>
          </w:tcPr>
          <w:p w14:paraId="5928FC17" w14:textId="77777777" w:rsidR="0074216D" w:rsidRDefault="0074216D">
            <w:pPr>
              <w:cnfStyle w:val="000000000000" w:firstRow="0" w:lastRow="0" w:firstColumn="0" w:lastColumn="0" w:oddVBand="0" w:evenVBand="0" w:oddHBand="0" w:evenHBand="0" w:firstRowFirstColumn="0" w:firstRowLastColumn="0" w:lastRowFirstColumn="0" w:lastRowLastColumn="0"/>
            </w:pPr>
            <w:r>
              <w:t>1</w:t>
            </w:r>
          </w:p>
        </w:tc>
        <w:tc>
          <w:tcPr>
            <w:tcW w:w="964" w:type="dxa"/>
            <w:tcBorders>
              <w:top w:val="single" w:sz="6" w:space="0" w:color="auto"/>
              <w:bottom w:val="single" w:sz="6" w:space="0" w:color="auto"/>
            </w:tcBorders>
          </w:tcPr>
          <w:p w14:paraId="145BE456" w14:textId="77777777" w:rsidR="0074216D" w:rsidRDefault="0074216D">
            <w:pPr>
              <w:cnfStyle w:val="000000000000" w:firstRow="0" w:lastRow="0" w:firstColumn="0" w:lastColumn="0" w:oddVBand="0" w:evenVBand="0" w:oddHBand="0" w:evenHBand="0" w:firstRowFirstColumn="0" w:firstRowLastColumn="0" w:lastRowFirstColumn="0" w:lastRowLastColumn="0"/>
            </w:pPr>
            <w:r>
              <w:t>1</w:t>
            </w:r>
          </w:p>
        </w:tc>
        <w:tc>
          <w:tcPr>
            <w:tcW w:w="964" w:type="dxa"/>
            <w:tcBorders>
              <w:top w:val="single" w:sz="6" w:space="0" w:color="auto"/>
              <w:bottom w:val="single" w:sz="6" w:space="0" w:color="auto"/>
            </w:tcBorders>
          </w:tcPr>
          <w:p w14:paraId="245372E3" w14:textId="77777777" w:rsidR="0074216D" w:rsidRDefault="0074216D">
            <w:pPr>
              <w:cnfStyle w:val="000000000000" w:firstRow="0" w:lastRow="0" w:firstColumn="0" w:lastColumn="0" w:oddVBand="0" w:evenVBand="0" w:oddHBand="0" w:evenHBand="0" w:firstRowFirstColumn="0" w:firstRowLastColumn="0" w:lastRowFirstColumn="0" w:lastRowLastColumn="0"/>
            </w:pPr>
            <w:r>
              <w:t>1</w:t>
            </w:r>
          </w:p>
        </w:tc>
        <w:tc>
          <w:tcPr>
            <w:tcW w:w="964" w:type="dxa"/>
            <w:tcBorders>
              <w:top w:val="single" w:sz="6" w:space="0" w:color="auto"/>
              <w:bottom w:val="single" w:sz="6" w:space="0" w:color="auto"/>
            </w:tcBorders>
          </w:tcPr>
          <w:p w14:paraId="306B386C" w14:textId="77777777" w:rsidR="0074216D" w:rsidRDefault="0074216D">
            <w:pPr>
              <w:cnfStyle w:val="000000000000" w:firstRow="0" w:lastRow="0" w:firstColumn="0" w:lastColumn="0" w:oddVBand="0" w:evenVBand="0" w:oddHBand="0" w:evenHBand="0" w:firstRowFirstColumn="0" w:firstRowLastColumn="0" w:lastRowFirstColumn="0" w:lastRowLastColumn="0"/>
            </w:pPr>
            <w:r>
              <w:t>0.7</w:t>
            </w:r>
          </w:p>
        </w:tc>
      </w:tr>
      <w:tr w:rsidR="0074216D" w14:paraId="4EB7A036"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3454374C" w14:textId="77777777" w:rsidR="0074216D" w:rsidRDefault="0074216D">
            <w:pPr>
              <w:ind w:left="170"/>
            </w:pPr>
            <w:r>
              <w:t>Unplanned readmission after hip replacement surgery</w:t>
            </w:r>
          </w:p>
        </w:tc>
        <w:tc>
          <w:tcPr>
            <w:tcW w:w="964" w:type="dxa"/>
            <w:tcBorders>
              <w:top w:val="single" w:sz="6" w:space="0" w:color="auto"/>
              <w:bottom w:val="single" w:sz="6" w:space="0" w:color="auto"/>
            </w:tcBorders>
          </w:tcPr>
          <w:p w14:paraId="1DDA2A2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558F5E26" w14:textId="77777777" w:rsidR="0074216D" w:rsidRDefault="0074216D">
            <w:pPr>
              <w:cnfStyle w:val="000000000000" w:firstRow="0" w:lastRow="0" w:firstColumn="0" w:lastColumn="0" w:oddVBand="0" w:evenVBand="0" w:oddHBand="0" w:evenHBand="0" w:firstRowFirstColumn="0" w:firstRowLastColumn="0" w:lastRowFirstColumn="0" w:lastRowLastColumn="0"/>
            </w:pPr>
            <w:r>
              <w:t>6</w:t>
            </w:r>
          </w:p>
        </w:tc>
        <w:tc>
          <w:tcPr>
            <w:tcW w:w="964" w:type="dxa"/>
            <w:tcBorders>
              <w:top w:val="single" w:sz="6" w:space="0" w:color="auto"/>
              <w:bottom w:val="single" w:sz="6" w:space="0" w:color="auto"/>
            </w:tcBorders>
          </w:tcPr>
          <w:p w14:paraId="781BC50C" w14:textId="77777777" w:rsidR="0074216D" w:rsidRDefault="0074216D">
            <w:pPr>
              <w:cnfStyle w:val="000000000000" w:firstRow="0" w:lastRow="0" w:firstColumn="0" w:lastColumn="0" w:oddVBand="0" w:evenVBand="0" w:oddHBand="0" w:evenHBand="0" w:firstRowFirstColumn="0" w:firstRowLastColumn="0" w:lastRowFirstColumn="0" w:lastRowLastColumn="0"/>
            </w:pPr>
            <w:r>
              <w:t>6</w:t>
            </w:r>
          </w:p>
        </w:tc>
        <w:tc>
          <w:tcPr>
            <w:tcW w:w="964" w:type="dxa"/>
            <w:tcBorders>
              <w:top w:val="single" w:sz="6" w:space="0" w:color="auto"/>
              <w:bottom w:val="single" w:sz="6" w:space="0" w:color="auto"/>
            </w:tcBorders>
          </w:tcPr>
          <w:p w14:paraId="5C63571E" w14:textId="77777777" w:rsidR="0074216D" w:rsidRDefault="0074216D">
            <w:pPr>
              <w:cnfStyle w:val="000000000000" w:firstRow="0" w:lastRow="0" w:firstColumn="0" w:lastColumn="0" w:oddVBand="0" w:evenVBand="0" w:oddHBand="0" w:evenHBand="0" w:firstRowFirstColumn="0" w:firstRowLastColumn="0" w:lastRowFirstColumn="0" w:lastRowLastColumn="0"/>
            </w:pPr>
            <w:r>
              <w:t>6</w:t>
            </w:r>
          </w:p>
        </w:tc>
        <w:tc>
          <w:tcPr>
            <w:tcW w:w="964" w:type="dxa"/>
            <w:tcBorders>
              <w:top w:val="single" w:sz="6" w:space="0" w:color="auto"/>
              <w:bottom w:val="single" w:sz="6" w:space="0" w:color="auto"/>
            </w:tcBorders>
          </w:tcPr>
          <w:p w14:paraId="6A11FA2E" w14:textId="77777777" w:rsidR="0074216D" w:rsidRDefault="0074216D">
            <w:pPr>
              <w:cnfStyle w:val="000000000000" w:firstRow="0" w:lastRow="0" w:firstColumn="0" w:lastColumn="0" w:oddVBand="0" w:evenVBand="0" w:oddHBand="0" w:evenHBand="0" w:firstRowFirstColumn="0" w:firstRowLastColumn="0" w:lastRowFirstColumn="0" w:lastRowLastColumn="0"/>
            </w:pPr>
            <w:r>
              <w:t>5.8</w:t>
            </w:r>
          </w:p>
        </w:tc>
      </w:tr>
      <w:tr w:rsidR="0074216D" w14:paraId="252867A4"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58A07DD" w14:textId="77777777" w:rsidR="0074216D" w:rsidRDefault="0074216D">
            <w:pPr>
              <w:ind w:left="170"/>
            </w:pPr>
            <w:r>
              <w:t>Unplanned readmission after knee replacement surgery</w:t>
            </w:r>
          </w:p>
        </w:tc>
        <w:tc>
          <w:tcPr>
            <w:tcW w:w="964" w:type="dxa"/>
            <w:tcBorders>
              <w:top w:val="single" w:sz="6" w:space="0" w:color="auto"/>
              <w:bottom w:val="single" w:sz="6" w:space="0" w:color="auto"/>
            </w:tcBorders>
          </w:tcPr>
          <w:p w14:paraId="4B5C97B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3A35B0E2" w14:textId="77777777" w:rsidR="0074216D" w:rsidRDefault="0074216D">
            <w:pPr>
              <w:cnfStyle w:val="000000000000" w:firstRow="0" w:lastRow="0" w:firstColumn="0" w:lastColumn="0" w:oddVBand="0" w:evenVBand="0" w:oddHBand="0" w:evenHBand="0" w:firstRowFirstColumn="0" w:firstRowLastColumn="0" w:lastRowFirstColumn="0" w:lastRowLastColumn="0"/>
            </w:pPr>
            <w:r>
              <w:t>5.5</w:t>
            </w:r>
          </w:p>
        </w:tc>
        <w:tc>
          <w:tcPr>
            <w:tcW w:w="964" w:type="dxa"/>
            <w:tcBorders>
              <w:top w:val="single" w:sz="6" w:space="0" w:color="auto"/>
              <w:bottom w:val="single" w:sz="6" w:space="0" w:color="auto"/>
            </w:tcBorders>
          </w:tcPr>
          <w:p w14:paraId="38CFA0AC" w14:textId="77777777" w:rsidR="0074216D" w:rsidRDefault="0074216D">
            <w:pPr>
              <w:cnfStyle w:val="000000000000" w:firstRow="0" w:lastRow="0" w:firstColumn="0" w:lastColumn="0" w:oddVBand="0" w:evenVBand="0" w:oddHBand="0" w:evenHBand="0" w:firstRowFirstColumn="0" w:firstRowLastColumn="0" w:lastRowFirstColumn="0" w:lastRowLastColumn="0"/>
            </w:pPr>
            <w:r>
              <w:t>5.5</w:t>
            </w:r>
          </w:p>
        </w:tc>
        <w:tc>
          <w:tcPr>
            <w:tcW w:w="964" w:type="dxa"/>
            <w:tcBorders>
              <w:top w:val="single" w:sz="6" w:space="0" w:color="auto"/>
              <w:bottom w:val="single" w:sz="6" w:space="0" w:color="auto"/>
            </w:tcBorders>
          </w:tcPr>
          <w:p w14:paraId="1053C6C5" w14:textId="77777777" w:rsidR="0074216D" w:rsidRDefault="0074216D">
            <w:pPr>
              <w:cnfStyle w:val="000000000000" w:firstRow="0" w:lastRow="0" w:firstColumn="0" w:lastColumn="0" w:oddVBand="0" w:evenVBand="0" w:oddHBand="0" w:evenHBand="0" w:firstRowFirstColumn="0" w:firstRowLastColumn="0" w:lastRowFirstColumn="0" w:lastRowLastColumn="0"/>
            </w:pPr>
            <w:r>
              <w:t>5.5</w:t>
            </w:r>
          </w:p>
        </w:tc>
        <w:tc>
          <w:tcPr>
            <w:tcW w:w="964" w:type="dxa"/>
            <w:tcBorders>
              <w:top w:val="single" w:sz="6" w:space="0" w:color="auto"/>
              <w:bottom w:val="single" w:sz="6" w:space="0" w:color="auto"/>
            </w:tcBorders>
          </w:tcPr>
          <w:p w14:paraId="78FD36B3" w14:textId="77777777" w:rsidR="0074216D" w:rsidRDefault="0074216D">
            <w:pPr>
              <w:cnfStyle w:val="000000000000" w:firstRow="0" w:lastRow="0" w:firstColumn="0" w:lastColumn="0" w:oddVBand="0" w:evenVBand="0" w:oddHBand="0" w:evenHBand="0" w:firstRowFirstColumn="0" w:firstRowLastColumn="0" w:lastRowFirstColumn="0" w:lastRowLastColumn="0"/>
            </w:pPr>
            <w:r>
              <w:t>5.3</w:t>
            </w:r>
          </w:p>
        </w:tc>
      </w:tr>
      <w:tr w:rsidR="0074216D" w14:paraId="64F0F63E"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1A1CC6BD" w14:textId="77777777" w:rsidR="0074216D" w:rsidRDefault="0074216D">
            <w:pPr>
              <w:ind w:left="170"/>
            </w:pPr>
            <w:r>
              <w:t>Unplanned readmission after paediatric tonsillectomy and adenoidectomy</w:t>
            </w:r>
          </w:p>
        </w:tc>
        <w:tc>
          <w:tcPr>
            <w:tcW w:w="964" w:type="dxa"/>
            <w:tcBorders>
              <w:top w:val="single" w:sz="6" w:space="0" w:color="auto"/>
              <w:bottom w:val="single" w:sz="6" w:space="0" w:color="auto"/>
            </w:tcBorders>
          </w:tcPr>
          <w:p w14:paraId="5D00F11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082CD9B1" w14:textId="77777777" w:rsidR="0074216D" w:rsidRDefault="0074216D">
            <w:pPr>
              <w:cnfStyle w:val="000000000000" w:firstRow="0" w:lastRow="0" w:firstColumn="0" w:lastColumn="0" w:oddVBand="0" w:evenVBand="0" w:oddHBand="0" w:evenHBand="0" w:firstRowFirstColumn="0" w:firstRowLastColumn="0" w:lastRowFirstColumn="0" w:lastRowLastColumn="0"/>
            </w:pPr>
            <w:r>
              <w:t>3.7</w:t>
            </w:r>
          </w:p>
        </w:tc>
        <w:tc>
          <w:tcPr>
            <w:tcW w:w="964" w:type="dxa"/>
            <w:tcBorders>
              <w:top w:val="single" w:sz="6" w:space="0" w:color="auto"/>
              <w:bottom w:val="single" w:sz="6" w:space="0" w:color="auto"/>
            </w:tcBorders>
          </w:tcPr>
          <w:p w14:paraId="3BA81DD6" w14:textId="77777777" w:rsidR="0074216D" w:rsidRDefault="0074216D">
            <w:pPr>
              <w:cnfStyle w:val="000000000000" w:firstRow="0" w:lastRow="0" w:firstColumn="0" w:lastColumn="0" w:oddVBand="0" w:evenVBand="0" w:oddHBand="0" w:evenHBand="0" w:firstRowFirstColumn="0" w:firstRowLastColumn="0" w:lastRowFirstColumn="0" w:lastRowLastColumn="0"/>
            </w:pPr>
            <w:r>
              <w:t>3.7</w:t>
            </w:r>
          </w:p>
        </w:tc>
        <w:tc>
          <w:tcPr>
            <w:tcW w:w="964" w:type="dxa"/>
            <w:tcBorders>
              <w:top w:val="single" w:sz="6" w:space="0" w:color="auto"/>
              <w:bottom w:val="single" w:sz="6" w:space="0" w:color="auto"/>
            </w:tcBorders>
          </w:tcPr>
          <w:p w14:paraId="3B8D7FF9" w14:textId="77777777" w:rsidR="0074216D" w:rsidRDefault="0074216D">
            <w:pPr>
              <w:cnfStyle w:val="000000000000" w:firstRow="0" w:lastRow="0" w:firstColumn="0" w:lastColumn="0" w:oddVBand="0" w:evenVBand="0" w:oddHBand="0" w:evenHBand="0" w:firstRowFirstColumn="0" w:firstRowLastColumn="0" w:lastRowFirstColumn="0" w:lastRowLastColumn="0"/>
            </w:pPr>
            <w:r>
              <w:t>3.7</w:t>
            </w:r>
          </w:p>
        </w:tc>
        <w:tc>
          <w:tcPr>
            <w:tcW w:w="964" w:type="dxa"/>
            <w:tcBorders>
              <w:top w:val="single" w:sz="6" w:space="0" w:color="auto"/>
              <w:bottom w:val="single" w:sz="6" w:space="0" w:color="auto"/>
            </w:tcBorders>
          </w:tcPr>
          <w:p w14:paraId="3E733625" w14:textId="77777777" w:rsidR="0074216D" w:rsidRDefault="0074216D">
            <w:pPr>
              <w:cnfStyle w:val="000000000000" w:firstRow="0" w:lastRow="0" w:firstColumn="0" w:lastColumn="0" w:oddVBand="0" w:evenVBand="0" w:oddHBand="0" w:evenHBand="0" w:firstRowFirstColumn="0" w:firstRowLastColumn="0" w:lastRowFirstColumn="0" w:lastRowLastColumn="0"/>
            </w:pPr>
            <w:r>
              <w:t>5.1</w:t>
            </w:r>
          </w:p>
        </w:tc>
      </w:tr>
      <w:tr w:rsidR="0074216D" w14:paraId="1DF02BFE"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B238956" w14:textId="77777777" w:rsidR="0074216D" w:rsidRDefault="0074216D">
            <w:pPr>
              <w:ind w:left="170"/>
            </w:pPr>
            <w:r>
              <w:t>Unplanned readmission after treatment for acute myocardial infarction</w:t>
            </w:r>
          </w:p>
        </w:tc>
        <w:tc>
          <w:tcPr>
            <w:tcW w:w="964" w:type="dxa"/>
            <w:tcBorders>
              <w:top w:val="single" w:sz="6" w:space="0" w:color="auto"/>
              <w:bottom w:val="single" w:sz="6" w:space="0" w:color="auto"/>
            </w:tcBorders>
          </w:tcPr>
          <w:p w14:paraId="6D584F6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6FEC08B9" w14:textId="77777777" w:rsidR="0074216D" w:rsidRDefault="0074216D">
            <w:pPr>
              <w:cnfStyle w:val="000000000000" w:firstRow="0" w:lastRow="0" w:firstColumn="0" w:lastColumn="0" w:oddVBand="0" w:evenVBand="0" w:oddHBand="0" w:evenHBand="0" w:firstRowFirstColumn="0" w:firstRowLastColumn="0" w:lastRowFirstColumn="0" w:lastRowLastColumn="0"/>
            </w:pPr>
            <w:r>
              <w:t>4</w:t>
            </w:r>
          </w:p>
        </w:tc>
        <w:tc>
          <w:tcPr>
            <w:tcW w:w="964" w:type="dxa"/>
            <w:tcBorders>
              <w:top w:val="single" w:sz="6" w:space="0" w:color="auto"/>
              <w:bottom w:val="single" w:sz="6" w:space="0" w:color="auto"/>
            </w:tcBorders>
          </w:tcPr>
          <w:p w14:paraId="4D17926C" w14:textId="77777777" w:rsidR="0074216D" w:rsidRDefault="0074216D">
            <w:pPr>
              <w:cnfStyle w:val="000000000000" w:firstRow="0" w:lastRow="0" w:firstColumn="0" w:lastColumn="0" w:oddVBand="0" w:evenVBand="0" w:oddHBand="0" w:evenHBand="0" w:firstRowFirstColumn="0" w:firstRowLastColumn="0" w:lastRowFirstColumn="0" w:lastRowLastColumn="0"/>
            </w:pPr>
            <w:r>
              <w:t>4</w:t>
            </w:r>
          </w:p>
        </w:tc>
        <w:tc>
          <w:tcPr>
            <w:tcW w:w="964" w:type="dxa"/>
            <w:tcBorders>
              <w:top w:val="single" w:sz="6" w:space="0" w:color="auto"/>
              <w:bottom w:val="single" w:sz="6" w:space="0" w:color="auto"/>
            </w:tcBorders>
          </w:tcPr>
          <w:p w14:paraId="1C5924C2" w14:textId="77777777" w:rsidR="0074216D" w:rsidRDefault="0074216D">
            <w:pPr>
              <w:cnfStyle w:val="000000000000" w:firstRow="0" w:lastRow="0" w:firstColumn="0" w:lastColumn="0" w:oddVBand="0" w:evenVBand="0" w:oddHBand="0" w:evenHBand="0" w:firstRowFirstColumn="0" w:firstRowLastColumn="0" w:lastRowFirstColumn="0" w:lastRowLastColumn="0"/>
            </w:pPr>
            <w:r>
              <w:t>4</w:t>
            </w:r>
          </w:p>
        </w:tc>
        <w:tc>
          <w:tcPr>
            <w:tcW w:w="964" w:type="dxa"/>
            <w:tcBorders>
              <w:top w:val="single" w:sz="6" w:space="0" w:color="auto"/>
              <w:bottom w:val="single" w:sz="6" w:space="0" w:color="auto"/>
            </w:tcBorders>
          </w:tcPr>
          <w:p w14:paraId="22E3F30E" w14:textId="77777777" w:rsidR="0074216D" w:rsidRDefault="0074216D">
            <w:pPr>
              <w:cnfStyle w:val="000000000000" w:firstRow="0" w:lastRow="0" w:firstColumn="0" w:lastColumn="0" w:oddVBand="0" w:evenVBand="0" w:oddHBand="0" w:evenHBand="0" w:firstRowFirstColumn="0" w:firstRowLastColumn="0" w:lastRowFirstColumn="0" w:lastRowLastColumn="0"/>
            </w:pPr>
            <w:r>
              <w:t>4.2</w:t>
            </w:r>
          </w:p>
        </w:tc>
      </w:tr>
      <w:tr w:rsidR="0074216D" w14:paraId="593A0DA1"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1D462D4" w14:textId="77777777" w:rsidR="0074216D" w:rsidRDefault="0074216D">
            <w:pPr>
              <w:ind w:left="170"/>
            </w:pPr>
            <w:r>
              <w:t>Unplanned readmission after treatment for heart failure</w:t>
            </w:r>
          </w:p>
        </w:tc>
        <w:tc>
          <w:tcPr>
            <w:tcW w:w="964" w:type="dxa"/>
            <w:tcBorders>
              <w:top w:val="single" w:sz="6" w:space="0" w:color="auto"/>
              <w:bottom w:val="single" w:sz="6" w:space="0" w:color="auto"/>
            </w:tcBorders>
          </w:tcPr>
          <w:p w14:paraId="6BE0114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0E043F85" w14:textId="77777777" w:rsidR="0074216D" w:rsidRDefault="0074216D">
            <w:pPr>
              <w:cnfStyle w:val="000000000000" w:firstRow="0" w:lastRow="0" w:firstColumn="0" w:lastColumn="0" w:oddVBand="0" w:evenVBand="0" w:oddHBand="0" w:evenHBand="0" w:firstRowFirstColumn="0" w:firstRowLastColumn="0" w:lastRowFirstColumn="0" w:lastRowLastColumn="0"/>
            </w:pPr>
            <w:r>
              <w:t>11.3</w:t>
            </w:r>
          </w:p>
        </w:tc>
        <w:tc>
          <w:tcPr>
            <w:tcW w:w="964" w:type="dxa"/>
            <w:tcBorders>
              <w:top w:val="single" w:sz="6" w:space="0" w:color="auto"/>
              <w:bottom w:val="single" w:sz="6" w:space="0" w:color="auto"/>
            </w:tcBorders>
          </w:tcPr>
          <w:p w14:paraId="540579B4" w14:textId="77777777" w:rsidR="0074216D" w:rsidRDefault="0074216D">
            <w:pPr>
              <w:cnfStyle w:val="000000000000" w:firstRow="0" w:lastRow="0" w:firstColumn="0" w:lastColumn="0" w:oddVBand="0" w:evenVBand="0" w:oddHBand="0" w:evenHBand="0" w:firstRowFirstColumn="0" w:firstRowLastColumn="0" w:lastRowFirstColumn="0" w:lastRowLastColumn="0"/>
            </w:pPr>
            <w:r>
              <w:t>11.3</w:t>
            </w:r>
          </w:p>
        </w:tc>
        <w:tc>
          <w:tcPr>
            <w:tcW w:w="964" w:type="dxa"/>
            <w:tcBorders>
              <w:top w:val="single" w:sz="6" w:space="0" w:color="auto"/>
              <w:bottom w:val="single" w:sz="6" w:space="0" w:color="auto"/>
            </w:tcBorders>
          </w:tcPr>
          <w:p w14:paraId="711AC48E" w14:textId="77777777" w:rsidR="0074216D" w:rsidRDefault="0074216D">
            <w:pPr>
              <w:cnfStyle w:val="000000000000" w:firstRow="0" w:lastRow="0" w:firstColumn="0" w:lastColumn="0" w:oddVBand="0" w:evenVBand="0" w:oddHBand="0" w:evenHBand="0" w:firstRowFirstColumn="0" w:firstRowLastColumn="0" w:lastRowFirstColumn="0" w:lastRowLastColumn="0"/>
            </w:pPr>
            <w:r>
              <w:t>11.3</w:t>
            </w:r>
          </w:p>
        </w:tc>
        <w:tc>
          <w:tcPr>
            <w:tcW w:w="964" w:type="dxa"/>
            <w:tcBorders>
              <w:top w:val="single" w:sz="6" w:space="0" w:color="auto"/>
              <w:bottom w:val="single" w:sz="6" w:space="0" w:color="auto"/>
            </w:tcBorders>
          </w:tcPr>
          <w:p w14:paraId="2AF37772" w14:textId="6E8C8600" w:rsidR="0074216D" w:rsidRDefault="0074216D">
            <w:pPr>
              <w:cnfStyle w:val="000000000000" w:firstRow="0" w:lastRow="0" w:firstColumn="0" w:lastColumn="0" w:oddVBand="0" w:evenVBand="0" w:oddHBand="0" w:evenHBand="0" w:firstRowFirstColumn="0" w:firstRowLastColumn="0" w:lastRowFirstColumn="0" w:lastRowLastColumn="0"/>
            </w:pPr>
            <w:r>
              <w:t>10.6</w:t>
            </w:r>
          </w:p>
        </w:tc>
      </w:tr>
      <w:tr w:rsidR="0074216D" w14:paraId="141EB4A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329C2B1" w14:textId="77777777" w:rsidR="0074216D" w:rsidRPr="005314E1" w:rsidRDefault="0074216D">
            <w:pPr>
              <w:keepNext/>
              <w:rPr>
                <w:b/>
              </w:rPr>
            </w:pPr>
            <w:r w:rsidRPr="005314E1">
              <w:rPr>
                <w:b/>
              </w:rPr>
              <w:lastRenderedPageBreak/>
              <w:t>Timeliness</w:t>
            </w:r>
          </w:p>
        </w:tc>
      </w:tr>
      <w:tr w:rsidR="0074216D" w14:paraId="4B189861" w14:textId="77777777" w:rsidTr="0017507E">
        <w:tc>
          <w:tcPr>
            <w:cnfStyle w:val="001000000000" w:firstRow="0" w:lastRow="0" w:firstColumn="1" w:lastColumn="0" w:oddVBand="0" w:evenVBand="0" w:oddHBand="0" w:evenHBand="0" w:firstRowFirstColumn="0" w:firstRowLastColumn="0" w:lastRowFirstColumn="0" w:lastRowLastColumn="0"/>
            <w:tcW w:w="4819" w:type="dxa"/>
          </w:tcPr>
          <w:p w14:paraId="79062969" w14:textId="77777777" w:rsidR="0074216D" w:rsidRDefault="0074216D">
            <w:pPr>
              <w:keepNext/>
              <w:ind w:left="170"/>
            </w:pPr>
            <w:r>
              <w:t>Non-urgent (Category 3) planned surgery patients admitted within 365 days</w:t>
            </w:r>
          </w:p>
        </w:tc>
        <w:tc>
          <w:tcPr>
            <w:tcW w:w="964" w:type="dxa"/>
          </w:tcPr>
          <w:p w14:paraId="7C6F95C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5FD2F8FE"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BA71D89" w14:textId="77777777" w:rsidR="0074216D" w:rsidRDefault="0074216D">
            <w:pPr>
              <w:cnfStyle w:val="000000000000" w:firstRow="0" w:lastRow="0" w:firstColumn="0" w:lastColumn="0" w:oddVBand="0" w:evenVBand="0" w:oddHBand="0" w:evenHBand="0" w:firstRowFirstColumn="0" w:firstRowLastColumn="0" w:lastRowFirstColumn="0" w:lastRowLastColumn="0"/>
            </w:pPr>
            <w:r>
              <w:t>89.9</w:t>
            </w:r>
          </w:p>
        </w:tc>
        <w:tc>
          <w:tcPr>
            <w:tcW w:w="964" w:type="dxa"/>
          </w:tcPr>
          <w:p w14:paraId="1524F4E0"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5D302A0" w14:textId="77777777" w:rsidR="0074216D" w:rsidRDefault="0074216D">
            <w:pPr>
              <w:cnfStyle w:val="000000000000" w:firstRow="0" w:lastRow="0" w:firstColumn="0" w:lastColumn="0" w:oddVBand="0" w:evenVBand="0" w:oddHBand="0" w:evenHBand="0" w:firstRowFirstColumn="0" w:firstRowLastColumn="0" w:lastRowFirstColumn="0" w:lastRowLastColumn="0"/>
            </w:pPr>
            <w:r>
              <w:t>87</w:t>
            </w:r>
          </w:p>
        </w:tc>
      </w:tr>
      <w:tr w:rsidR="0074216D" w14:paraId="0B6FDD9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9A9C6E" w14:textId="77777777" w:rsidR="0074216D" w:rsidRDefault="0074216D">
            <w:pPr>
              <w:ind w:left="170"/>
            </w:pPr>
            <w:r>
              <w:rPr>
                <w:i/>
              </w:rPr>
              <w:t>The 2025-26 expected outcome is lower than the target due to demand pressure and patient complexity.</w:t>
            </w:r>
          </w:p>
        </w:tc>
      </w:tr>
      <w:tr w:rsidR="0074216D" w14:paraId="779B545C"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5D95859B" w14:textId="77777777" w:rsidR="0074216D" w:rsidRDefault="0074216D">
            <w:pPr>
              <w:keepNext/>
              <w:ind w:left="170"/>
            </w:pPr>
            <w:r>
              <w:t>Semi-urgent (Category 2) planned surgery patients admitted within 90 days</w:t>
            </w:r>
          </w:p>
        </w:tc>
        <w:tc>
          <w:tcPr>
            <w:tcW w:w="964" w:type="dxa"/>
            <w:tcBorders>
              <w:top w:val="single" w:sz="6" w:space="0" w:color="auto"/>
            </w:tcBorders>
          </w:tcPr>
          <w:p w14:paraId="4C3386A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nil"/>
              <w:bottom w:val="nil"/>
            </w:tcBorders>
            <w:shd w:val="clear" w:color="auto" w:fill="F0F0F0"/>
          </w:tcPr>
          <w:p w14:paraId="6FC11AAA" w14:textId="77777777" w:rsidR="0074216D" w:rsidRDefault="0074216D">
            <w:pPr>
              <w:cnfStyle w:val="000000000000" w:firstRow="0" w:lastRow="0" w:firstColumn="0" w:lastColumn="0" w:oddVBand="0" w:evenVBand="0" w:oddHBand="0" w:evenHBand="0" w:firstRowFirstColumn="0" w:firstRowLastColumn="0" w:lastRowFirstColumn="0" w:lastRowLastColumn="0"/>
            </w:pPr>
            <w:r>
              <w:t>83</w:t>
            </w:r>
          </w:p>
        </w:tc>
        <w:tc>
          <w:tcPr>
            <w:tcW w:w="964" w:type="dxa"/>
            <w:tcBorders>
              <w:top w:val="single" w:sz="6" w:space="0" w:color="auto"/>
            </w:tcBorders>
          </w:tcPr>
          <w:p w14:paraId="5E28EAD6" w14:textId="77777777" w:rsidR="0074216D" w:rsidRDefault="0074216D">
            <w:pPr>
              <w:cnfStyle w:val="000000000000" w:firstRow="0" w:lastRow="0" w:firstColumn="0" w:lastColumn="0" w:oddVBand="0" w:evenVBand="0" w:oddHBand="0" w:evenHBand="0" w:firstRowFirstColumn="0" w:firstRowLastColumn="0" w:lastRowFirstColumn="0" w:lastRowLastColumn="0"/>
            </w:pPr>
            <w:r>
              <w:t>73.3</w:t>
            </w:r>
          </w:p>
        </w:tc>
        <w:tc>
          <w:tcPr>
            <w:tcW w:w="964" w:type="dxa"/>
            <w:tcBorders>
              <w:top w:val="single" w:sz="6" w:space="0" w:color="auto"/>
            </w:tcBorders>
          </w:tcPr>
          <w:p w14:paraId="62C5EFFA" w14:textId="77777777" w:rsidR="0074216D" w:rsidRDefault="0074216D">
            <w:pPr>
              <w:cnfStyle w:val="000000000000" w:firstRow="0" w:lastRow="0" w:firstColumn="0" w:lastColumn="0" w:oddVBand="0" w:evenVBand="0" w:oddHBand="0" w:evenHBand="0" w:firstRowFirstColumn="0" w:firstRowLastColumn="0" w:lastRowFirstColumn="0" w:lastRowLastColumn="0"/>
            </w:pPr>
            <w:r>
              <w:t>83</w:t>
            </w:r>
          </w:p>
        </w:tc>
        <w:tc>
          <w:tcPr>
            <w:tcW w:w="964" w:type="dxa"/>
            <w:tcBorders>
              <w:top w:val="single" w:sz="6" w:space="0" w:color="auto"/>
            </w:tcBorders>
          </w:tcPr>
          <w:p w14:paraId="5E943AA9" w14:textId="77777777" w:rsidR="0074216D" w:rsidRDefault="0074216D">
            <w:pPr>
              <w:cnfStyle w:val="000000000000" w:firstRow="0" w:lastRow="0" w:firstColumn="0" w:lastColumn="0" w:oddVBand="0" w:evenVBand="0" w:oddHBand="0" w:evenHBand="0" w:firstRowFirstColumn="0" w:firstRowLastColumn="0" w:lastRowFirstColumn="0" w:lastRowLastColumn="0"/>
            </w:pPr>
            <w:r>
              <w:t>70.2</w:t>
            </w:r>
          </w:p>
        </w:tc>
      </w:tr>
      <w:tr w:rsidR="0074216D" w14:paraId="2FBD242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004E00" w14:textId="77777777" w:rsidR="0074216D" w:rsidRDefault="0074216D">
            <w:pPr>
              <w:ind w:left="170"/>
            </w:pPr>
            <w:r>
              <w:rPr>
                <w:i/>
              </w:rPr>
              <w:t>The 2025-26 expected outcome is lower than the target due to demand pressure and patient complexity.</w:t>
            </w:r>
          </w:p>
        </w:tc>
      </w:tr>
      <w:tr w:rsidR="0074216D" w14:paraId="432B131D"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620B0F5" w14:textId="77777777" w:rsidR="0074216D" w:rsidRDefault="0074216D">
            <w:pPr>
              <w:ind w:left="170"/>
            </w:pPr>
            <w:r>
              <w:t>Urgent (Category 1) planned surgery patients admitted within 30 days</w:t>
            </w:r>
          </w:p>
        </w:tc>
        <w:tc>
          <w:tcPr>
            <w:tcW w:w="964" w:type="dxa"/>
            <w:tcBorders>
              <w:top w:val="single" w:sz="6" w:space="0" w:color="auto"/>
              <w:bottom w:val="single" w:sz="6" w:space="0" w:color="auto"/>
            </w:tcBorders>
          </w:tcPr>
          <w:p w14:paraId="2F3150B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11F3432C"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3C64A0AA"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7B745DA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3A394C26"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34B92862"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nil"/>
            </w:tcBorders>
          </w:tcPr>
          <w:p w14:paraId="66891A0C" w14:textId="77777777" w:rsidR="0074216D" w:rsidRPr="005314E1" w:rsidRDefault="0074216D">
            <w:pPr>
              <w:rPr>
                <w:b/>
              </w:rPr>
            </w:pPr>
            <w:r w:rsidRPr="005314E1">
              <w:rPr>
                <w:b/>
              </w:rPr>
              <w:t>Cost</w:t>
            </w:r>
          </w:p>
        </w:tc>
      </w:tr>
      <w:tr w:rsidR="0074216D" w14:paraId="6550CDFA" w14:textId="77777777" w:rsidTr="0017507E">
        <w:tc>
          <w:tcPr>
            <w:cnfStyle w:val="001000000000" w:firstRow="0" w:lastRow="0" w:firstColumn="1" w:lastColumn="0" w:oddVBand="0" w:evenVBand="0" w:oddHBand="0" w:evenHBand="0" w:firstRowFirstColumn="0" w:firstRowLastColumn="0" w:lastRowFirstColumn="0" w:lastRowLastColumn="0"/>
            <w:tcW w:w="4819" w:type="dxa"/>
            <w:tcBorders>
              <w:top w:val="nil"/>
              <w:bottom w:val="single" w:sz="12" w:space="0" w:color="auto"/>
            </w:tcBorders>
          </w:tcPr>
          <w:p w14:paraId="3E4F1244" w14:textId="77777777" w:rsidR="0074216D" w:rsidRDefault="0074216D">
            <w:pPr>
              <w:ind w:left="170"/>
            </w:pPr>
            <w:r>
              <w:t>Total output cost</w:t>
            </w:r>
          </w:p>
        </w:tc>
        <w:tc>
          <w:tcPr>
            <w:tcW w:w="964" w:type="dxa"/>
            <w:tcBorders>
              <w:top w:val="nil"/>
              <w:bottom w:val="single" w:sz="12" w:space="0" w:color="auto"/>
            </w:tcBorders>
          </w:tcPr>
          <w:p w14:paraId="7A7C8C4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nil"/>
              <w:bottom w:val="single" w:sz="12" w:space="0" w:color="auto"/>
            </w:tcBorders>
            <w:shd w:val="clear" w:color="auto" w:fill="F0F0F0"/>
          </w:tcPr>
          <w:p w14:paraId="171F3866"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7C5382">
              <w:t>18 284.6</w:t>
            </w:r>
          </w:p>
        </w:tc>
        <w:tc>
          <w:tcPr>
            <w:tcW w:w="964" w:type="dxa"/>
            <w:tcBorders>
              <w:top w:val="nil"/>
              <w:bottom w:val="single" w:sz="12" w:space="0" w:color="auto"/>
            </w:tcBorders>
          </w:tcPr>
          <w:p w14:paraId="23C34D0A"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7C5382">
              <w:t>17 824.3</w:t>
            </w:r>
          </w:p>
        </w:tc>
        <w:tc>
          <w:tcPr>
            <w:tcW w:w="964" w:type="dxa"/>
            <w:tcBorders>
              <w:top w:val="nil"/>
              <w:bottom w:val="single" w:sz="12" w:space="0" w:color="auto"/>
            </w:tcBorders>
          </w:tcPr>
          <w:p w14:paraId="166F4403"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7C5382">
              <w:t>17 984.6</w:t>
            </w:r>
          </w:p>
        </w:tc>
        <w:tc>
          <w:tcPr>
            <w:tcW w:w="964" w:type="dxa"/>
            <w:tcBorders>
              <w:top w:val="nil"/>
              <w:bottom w:val="single" w:sz="12" w:space="0" w:color="auto"/>
            </w:tcBorders>
          </w:tcPr>
          <w:p w14:paraId="4590F69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7C5382">
              <w:t>18 351.5</w:t>
            </w:r>
          </w:p>
        </w:tc>
      </w:tr>
    </w:tbl>
    <w:p w14:paraId="67FAE8D4" w14:textId="77777777" w:rsidR="0074216D" w:rsidRDefault="0074216D" w:rsidP="0074216D">
      <w:pPr>
        <w:pStyle w:val="Source"/>
      </w:pPr>
      <w:r>
        <w:t>Source: Department of Health</w:t>
      </w:r>
    </w:p>
    <w:p w14:paraId="1521BA16" w14:textId="77777777" w:rsidR="0074216D" w:rsidRDefault="0074216D" w:rsidP="0074216D">
      <w:pPr>
        <w:pStyle w:val="Heading3"/>
      </w:pPr>
      <w:r>
        <w:t>Non-Admitted Services</w:t>
      </w:r>
      <w:r>
        <w:tab/>
        <w:t>(2026-27: $2 850.4 million)</w:t>
      </w:r>
    </w:p>
    <w:p w14:paraId="49EC8840" w14:textId="77777777" w:rsidR="0074216D" w:rsidRPr="00B66774" w:rsidRDefault="0074216D" w:rsidP="0074216D">
      <w:pPr>
        <w:spacing w:after="120"/>
        <w:rPr>
          <w:rFonts w:ascii="Garamond" w:hAnsi="Garamond"/>
          <w:lang w:eastAsia="en-AU"/>
        </w:rPr>
      </w:pPr>
      <w:r w:rsidRPr="001700B8">
        <w:rPr>
          <w:rFonts w:ascii="Garamond" w:hAnsi="Garamond"/>
          <w:lang w:eastAsia="en-AU"/>
        </w:rPr>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52005EE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233EA2D" w14:textId="77777777" w:rsidR="0074216D" w:rsidRDefault="0074216D">
            <w:r>
              <w:t>Performance measure</w:t>
            </w:r>
          </w:p>
        </w:tc>
        <w:tc>
          <w:tcPr>
            <w:tcW w:w="964" w:type="dxa"/>
          </w:tcPr>
          <w:p w14:paraId="6CAB7B8A"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9AF4A02"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4B6DF5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6A37B7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8C4D3DC"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5CF3A0B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345EF20" w14:textId="77777777" w:rsidR="0074216D" w:rsidRPr="005314E1" w:rsidRDefault="0074216D">
            <w:pPr>
              <w:keepNext/>
              <w:rPr>
                <w:b/>
              </w:rPr>
            </w:pPr>
            <w:r w:rsidRPr="005314E1">
              <w:rPr>
                <w:b/>
              </w:rPr>
              <w:t>Quantity</w:t>
            </w:r>
          </w:p>
        </w:tc>
      </w:tr>
      <w:tr w:rsidR="0074216D" w14:paraId="5A7783D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968D975" w14:textId="77777777" w:rsidR="0074216D" w:rsidRDefault="0074216D">
            <w:pPr>
              <w:ind w:left="170"/>
            </w:pPr>
            <w:r>
              <w:t>Community palliative care episodes</w:t>
            </w:r>
          </w:p>
        </w:tc>
        <w:tc>
          <w:tcPr>
            <w:tcW w:w="964" w:type="dxa"/>
            <w:tcBorders>
              <w:bottom w:val="single" w:sz="6" w:space="0" w:color="auto"/>
            </w:tcBorders>
          </w:tcPr>
          <w:p w14:paraId="166B1C9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634CAD0" w14:textId="77777777" w:rsidR="0074216D" w:rsidRDefault="0074216D">
            <w:pPr>
              <w:cnfStyle w:val="000000000000" w:firstRow="0" w:lastRow="0" w:firstColumn="0" w:lastColumn="0" w:oddVBand="0" w:evenVBand="0" w:oddHBand="0" w:evenHBand="0" w:firstRowFirstColumn="0" w:firstRowLastColumn="0" w:lastRowFirstColumn="0" w:lastRowLastColumn="0"/>
            </w:pPr>
            <w:r>
              <w:t>15 500</w:t>
            </w:r>
          </w:p>
        </w:tc>
        <w:tc>
          <w:tcPr>
            <w:tcW w:w="964" w:type="dxa"/>
            <w:tcBorders>
              <w:bottom w:val="single" w:sz="6" w:space="0" w:color="auto"/>
            </w:tcBorders>
          </w:tcPr>
          <w:p w14:paraId="52554E00" w14:textId="77777777" w:rsidR="0074216D" w:rsidRDefault="0074216D">
            <w:pPr>
              <w:cnfStyle w:val="000000000000" w:firstRow="0" w:lastRow="0" w:firstColumn="0" w:lastColumn="0" w:oddVBand="0" w:evenVBand="0" w:oddHBand="0" w:evenHBand="0" w:firstRowFirstColumn="0" w:firstRowLastColumn="0" w:lastRowFirstColumn="0" w:lastRowLastColumn="0"/>
            </w:pPr>
            <w:r>
              <w:t>15 619</w:t>
            </w:r>
          </w:p>
        </w:tc>
        <w:tc>
          <w:tcPr>
            <w:tcW w:w="964" w:type="dxa"/>
            <w:tcBorders>
              <w:bottom w:val="single" w:sz="6" w:space="0" w:color="auto"/>
            </w:tcBorders>
          </w:tcPr>
          <w:p w14:paraId="2D9E37EF" w14:textId="77777777" w:rsidR="0074216D" w:rsidRDefault="0074216D">
            <w:pPr>
              <w:cnfStyle w:val="000000000000" w:firstRow="0" w:lastRow="0" w:firstColumn="0" w:lastColumn="0" w:oddVBand="0" w:evenVBand="0" w:oddHBand="0" w:evenHBand="0" w:firstRowFirstColumn="0" w:firstRowLastColumn="0" w:lastRowFirstColumn="0" w:lastRowLastColumn="0"/>
            </w:pPr>
            <w:r>
              <w:t>15 500</w:t>
            </w:r>
          </w:p>
        </w:tc>
        <w:tc>
          <w:tcPr>
            <w:tcW w:w="964" w:type="dxa"/>
            <w:tcBorders>
              <w:bottom w:val="single" w:sz="6" w:space="0" w:color="auto"/>
            </w:tcBorders>
          </w:tcPr>
          <w:p w14:paraId="29D48ED0" w14:textId="77777777" w:rsidR="0074216D" w:rsidRDefault="0074216D">
            <w:pPr>
              <w:cnfStyle w:val="000000000000" w:firstRow="0" w:lastRow="0" w:firstColumn="0" w:lastColumn="0" w:oddVBand="0" w:evenVBand="0" w:oddHBand="0" w:evenHBand="0" w:firstRowFirstColumn="0" w:firstRowLastColumn="0" w:lastRowFirstColumn="0" w:lastRowLastColumn="0"/>
            </w:pPr>
            <w:r>
              <w:t>16 336</w:t>
            </w:r>
          </w:p>
        </w:tc>
      </w:tr>
      <w:tr w:rsidR="0074216D" w14:paraId="4FFA9C13" w14:textId="77777777">
        <w:tc>
          <w:tcPr>
            <w:cnfStyle w:val="001000000000" w:firstRow="0" w:lastRow="0" w:firstColumn="1" w:lastColumn="0" w:oddVBand="0" w:evenVBand="0" w:oddHBand="0" w:evenHBand="0" w:firstRowFirstColumn="0" w:firstRowLastColumn="0" w:lastRowFirstColumn="0" w:lastRowLastColumn="0"/>
            <w:tcW w:w="4819" w:type="dxa"/>
          </w:tcPr>
          <w:p w14:paraId="360AF8B3" w14:textId="77777777" w:rsidR="0074216D" w:rsidRDefault="0074216D">
            <w:pPr>
              <w:keepNext/>
              <w:ind w:left="170"/>
            </w:pPr>
            <w:r>
              <w:t>Health Independence program direct contacts</w:t>
            </w:r>
          </w:p>
        </w:tc>
        <w:tc>
          <w:tcPr>
            <w:tcW w:w="964" w:type="dxa"/>
          </w:tcPr>
          <w:p w14:paraId="5DF3BA1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6A365CF1"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1 599</w:t>
            </w:r>
          </w:p>
        </w:tc>
        <w:tc>
          <w:tcPr>
            <w:tcW w:w="964" w:type="dxa"/>
          </w:tcPr>
          <w:p w14:paraId="429874EC" w14:textId="26E25E57" w:rsidR="0074216D" w:rsidRDefault="0074216D">
            <w:pPr>
              <w:cnfStyle w:val="000000000000" w:firstRow="0" w:lastRow="0" w:firstColumn="0" w:lastColumn="0" w:oddVBand="0" w:evenVBand="0" w:oddHBand="0" w:evenHBand="0" w:firstRowFirstColumn="0" w:firstRowLastColumn="0" w:lastRowFirstColumn="0" w:lastRowLastColumn="0"/>
            </w:pPr>
            <w:r>
              <w:t>1</w:t>
            </w:r>
            <w:r w:rsidR="00E02F26">
              <w:t xml:space="preserve"> </w:t>
            </w:r>
            <w:r>
              <w:t>789.1</w:t>
            </w:r>
          </w:p>
        </w:tc>
        <w:tc>
          <w:tcPr>
            <w:tcW w:w="964" w:type="dxa"/>
          </w:tcPr>
          <w:p w14:paraId="6DCA66BC"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1 599</w:t>
            </w:r>
          </w:p>
        </w:tc>
        <w:tc>
          <w:tcPr>
            <w:tcW w:w="964" w:type="dxa"/>
          </w:tcPr>
          <w:p w14:paraId="08D434CF" w14:textId="76970900" w:rsidR="0074216D" w:rsidRDefault="0074216D">
            <w:pPr>
              <w:cnfStyle w:val="000000000000" w:firstRow="0" w:lastRow="0" w:firstColumn="0" w:lastColumn="0" w:oddVBand="0" w:evenVBand="0" w:oddHBand="0" w:evenHBand="0" w:firstRowFirstColumn="0" w:firstRowLastColumn="0" w:lastRowFirstColumn="0" w:lastRowLastColumn="0"/>
            </w:pPr>
            <w:r>
              <w:t>1</w:t>
            </w:r>
            <w:r w:rsidR="00E02F26">
              <w:t xml:space="preserve"> </w:t>
            </w:r>
            <w:r>
              <w:t>735.2</w:t>
            </w:r>
          </w:p>
        </w:tc>
      </w:tr>
      <w:tr w:rsidR="0074216D" w14:paraId="7B24FA9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C426B8D" w14:textId="172DBB8E" w:rsidR="0074216D" w:rsidRDefault="0074216D">
            <w:pPr>
              <w:ind w:left="170"/>
            </w:pPr>
            <w:r>
              <w:rPr>
                <w:i/>
              </w:rPr>
              <w:t>The 2025-26 expected outcome is higher than target</w:t>
            </w:r>
            <w:r w:rsidR="004E7ED5">
              <w:rPr>
                <w:i/>
              </w:rPr>
              <w:t>,</w:t>
            </w:r>
            <w:r>
              <w:rPr>
                <w:i/>
              </w:rPr>
              <w:t xml:space="preserve"> highlighting more people are receiving low-acuity care in the community rather than in hospital. </w:t>
            </w:r>
          </w:p>
        </w:tc>
      </w:tr>
      <w:tr w:rsidR="0074216D" w14:paraId="2BD4296C" w14:textId="77777777">
        <w:tc>
          <w:tcPr>
            <w:cnfStyle w:val="001000000000" w:firstRow="0" w:lastRow="0" w:firstColumn="1" w:lastColumn="0" w:oddVBand="0" w:evenVBand="0" w:oddHBand="0" w:evenHBand="0" w:firstRowFirstColumn="0" w:firstRowLastColumn="0" w:lastRowFirstColumn="0" w:lastRowLastColumn="0"/>
            <w:tcW w:w="4819" w:type="dxa"/>
          </w:tcPr>
          <w:p w14:paraId="54ADF15B" w14:textId="77777777" w:rsidR="0074216D" w:rsidRDefault="0074216D">
            <w:pPr>
              <w:keepNext/>
              <w:ind w:left="170"/>
            </w:pPr>
            <w:r>
              <w:t>Patients treated in Specialist Outpatient Clinics – unweighted</w:t>
            </w:r>
          </w:p>
        </w:tc>
        <w:tc>
          <w:tcPr>
            <w:tcW w:w="964" w:type="dxa"/>
          </w:tcPr>
          <w:p w14:paraId="301117F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1AD1F5EA" w14:textId="77777777" w:rsidR="0074216D" w:rsidRDefault="0074216D">
            <w:pPr>
              <w:cnfStyle w:val="000000000000" w:firstRow="0" w:lastRow="0" w:firstColumn="0" w:lastColumn="0" w:oddVBand="0" w:evenVBand="0" w:oddHBand="0" w:evenHBand="0" w:firstRowFirstColumn="0" w:firstRowLastColumn="0" w:lastRowFirstColumn="0" w:lastRowLastColumn="0"/>
            </w:pPr>
            <w:r>
              <w:t>2 790</w:t>
            </w:r>
          </w:p>
        </w:tc>
        <w:tc>
          <w:tcPr>
            <w:tcW w:w="964" w:type="dxa"/>
          </w:tcPr>
          <w:p w14:paraId="03D3E3E9" w14:textId="0B46C918" w:rsidR="0074216D" w:rsidRDefault="0074216D">
            <w:pPr>
              <w:cnfStyle w:val="000000000000" w:firstRow="0" w:lastRow="0" w:firstColumn="0" w:lastColumn="0" w:oddVBand="0" w:evenVBand="0" w:oddHBand="0" w:evenHBand="0" w:firstRowFirstColumn="0" w:firstRowLastColumn="0" w:lastRowFirstColumn="0" w:lastRowLastColumn="0"/>
            </w:pPr>
            <w:r>
              <w:t>2</w:t>
            </w:r>
            <w:r w:rsidR="00E02F26">
              <w:t xml:space="preserve"> </w:t>
            </w:r>
            <w:r>
              <w:t>875.3</w:t>
            </w:r>
          </w:p>
        </w:tc>
        <w:tc>
          <w:tcPr>
            <w:tcW w:w="964" w:type="dxa"/>
          </w:tcPr>
          <w:p w14:paraId="72DB0336" w14:textId="77777777" w:rsidR="0074216D" w:rsidRDefault="0074216D">
            <w:pPr>
              <w:cnfStyle w:val="000000000000" w:firstRow="0" w:lastRow="0" w:firstColumn="0" w:lastColumn="0" w:oddVBand="0" w:evenVBand="0" w:oddHBand="0" w:evenHBand="0" w:firstRowFirstColumn="0" w:firstRowLastColumn="0" w:lastRowFirstColumn="0" w:lastRowLastColumn="0"/>
            </w:pPr>
            <w:r>
              <w:t>2 007</w:t>
            </w:r>
          </w:p>
        </w:tc>
        <w:tc>
          <w:tcPr>
            <w:tcW w:w="964" w:type="dxa"/>
          </w:tcPr>
          <w:p w14:paraId="571716D7" w14:textId="77777777" w:rsidR="0074216D" w:rsidRDefault="0074216D">
            <w:pPr>
              <w:cnfStyle w:val="000000000000" w:firstRow="0" w:lastRow="0" w:firstColumn="0" w:lastColumn="0" w:oddVBand="0" w:evenVBand="0" w:oddHBand="0" w:evenHBand="0" w:firstRowFirstColumn="0" w:firstRowLastColumn="0" w:lastRowFirstColumn="0" w:lastRowLastColumn="0"/>
            </w:pPr>
            <w:r>
              <w:t>2 418</w:t>
            </w:r>
          </w:p>
        </w:tc>
      </w:tr>
      <w:tr w:rsidR="0074216D" w14:paraId="3B97204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545DC9E" w14:textId="7D2A3346" w:rsidR="0074216D" w:rsidRDefault="0074216D">
            <w:pPr>
              <w:ind w:left="170"/>
            </w:pPr>
            <w:r>
              <w:rPr>
                <w:i/>
              </w:rPr>
              <w:t>The 2025-26 expected outcome is higher than the target due to revised specifications that more accurately reflect activity.</w:t>
            </w:r>
          </w:p>
          <w:p w14:paraId="642D5EB5" w14:textId="77777777" w:rsidR="0074216D" w:rsidRDefault="0074216D">
            <w:pPr>
              <w:ind w:left="170"/>
            </w:pPr>
            <w:r>
              <w:rPr>
                <w:i/>
              </w:rPr>
              <w:t>The 2026-27 target is increased to align with revised reporting specifications and performance actuals.</w:t>
            </w:r>
          </w:p>
        </w:tc>
      </w:tr>
      <w:tr w:rsidR="0074216D" w14:paraId="1CB14C3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FBDBABA" w14:textId="77777777" w:rsidR="0074216D" w:rsidRPr="005314E1" w:rsidRDefault="0074216D">
            <w:pPr>
              <w:keepNext/>
              <w:rPr>
                <w:b/>
              </w:rPr>
            </w:pPr>
            <w:r w:rsidRPr="005314E1">
              <w:rPr>
                <w:b/>
              </w:rPr>
              <w:t>Quality</w:t>
            </w:r>
          </w:p>
        </w:tc>
      </w:tr>
      <w:tr w:rsidR="0074216D" w14:paraId="29ED322D" w14:textId="77777777">
        <w:tc>
          <w:tcPr>
            <w:cnfStyle w:val="001000000000" w:firstRow="0" w:lastRow="0" w:firstColumn="1" w:lastColumn="0" w:oddVBand="0" w:evenVBand="0" w:oddHBand="0" w:evenHBand="0" w:firstRowFirstColumn="0" w:firstRowLastColumn="0" w:lastRowFirstColumn="0" w:lastRowLastColumn="0"/>
            <w:tcW w:w="4819" w:type="dxa"/>
          </w:tcPr>
          <w:p w14:paraId="58C66B65" w14:textId="77777777" w:rsidR="0074216D" w:rsidRDefault="0074216D">
            <w:pPr>
              <w:keepNext/>
              <w:ind w:left="170"/>
            </w:pPr>
            <w:r>
              <w:t>Post-acute clients not readmitted to acute hospital</w:t>
            </w:r>
          </w:p>
        </w:tc>
        <w:tc>
          <w:tcPr>
            <w:tcW w:w="964" w:type="dxa"/>
          </w:tcPr>
          <w:p w14:paraId="4F12D41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0602EE2"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4F35F7B" w14:textId="77777777" w:rsidR="0074216D" w:rsidRDefault="0074216D">
            <w:pPr>
              <w:cnfStyle w:val="000000000000" w:firstRow="0" w:lastRow="0" w:firstColumn="0" w:lastColumn="0" w:oddVBand="0" w:evenVBand="0" w:oddHBand="0" w:evenHBand="0" w:firstRowFirstColumn="0" w:firstRowLastColumn="0" w:lastRowFirstColumn="0" w:lastRowLastColumn="0"/>
            </w:pPr>
            <w:r>
              <w:t>95.5</w:t>
            </w:r>
          </w:p>
        </w:tc>
        <w:tc>
          <w:tcPr>
            <w:tcW w:w="964" w:type="dxa"/>
          </w:tcPr>
          <w:p w14:paraId="27A2C12F"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9D9F733" w14:textId="77777777" w:rsidR="0074216D" w:rsidRDefault="0074216D">
            <w:pPr>
              <w:cnfStyle w:val="000000000000" w:firstRow="0" w:lastRow="0" w:firstColumn="0" w:lastColumn="0" w:oddVBand="0" w:evenVBand="0" w:oddHBand="0" w:evenHBand="0" w:firstRowFirstColumn="0" w:firstRowLastColumn="0" w:lastRowFirstColumn="0" w:lastRowLastColumn="0"/>
            </w:pPr>
            <w:r>
              <w:t>95.5</w:t>
            </w:r>
          </w:p>
        </w:tc>
      </w:tr>
      <w:tr w:rsidR="0074216D" w14:paraId="2D2B482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AAA93D" w14:textId="77777777" w:rsidR="0074216D" w:rsidRDefault="0074216D">
            <w:pPr>
              <w:ind w:left="170"/>
            </w:pPr>
            <w:r>
              <w:rPr>
                <w:i/>
              </w:rPr>
              <w:t>The 2025-26 expected outcome is higher than the target due to fewer patients requiring readmission.</w:t>
            </w:r>
          </w:p>
        </w:tc>
      </w:tr>
      <w:tr w:rsidR="0074216D" w14:paraId="7B843303"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707CB6F8" w14:textId="77777777" w:rsidR="0074216D" w:rsidRPr="005314E1" w:rsidRDefault="0074216D">
            <w:pPr>
              <w:keepNext/>
              <w:rPr>
                <w:b/>
              </w:rPr>
            </w:pPr>
            <w:r w:rsidRPr="005314E1">
              <w:rPr>
                <w:b/>
              </w:rPr>
              <w:t>Timeliness</w:t>
            </w:r>
          </w:p>
        </w:tc>
      </w:tr>
      <w:tr w:rsidR="0074216D" w14:paraId="1E30BC8B"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9A60216" w14:textId="77777777" w:rsidR="0074216D" w:rsidRDefault="0074216D">
            <w:pPr>
              <w:ind w:left="170"/>
            </w:pPr>
            <w:r>
              <w:t>Health Independence program clients contacted within three days of referral</w:t>
            </w:r>
          </w:p>
        </w:tc>
        <w:tc>
          <w:tcPr>
            <w:tcW w:w="964" w:type="dxa"/>
            <w:tcBorders>
              <w:bottom w:val="single" w:sz="6" w:space="0" w:color="auto"/>
            </w:tcBorders>
          </w:tcPr>
          <w:p w14:paraId="10AAD38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4825544"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70DB60C" w14:textId="77777777" w:rsidR="0074216D" w:rsidRDefault="0074216D">
            <w:pPr>
              <w:cnfStyle w:val="000000000000" w:firstRow="0" w:lastRow="0" w:firstColumn="0" w:lastColumn="0" w:oddVBand="0" w:evenVBand="0" w:oddHBand="0" w:evenHBand="0" w:firstRowFirstColumn="0" w:firstRowLastColumn="0" w:lastRowFirstColumn="0" w:lastRowLastColumn="0"/>
            </w:pPr>
            <w:r>
              <w:t>86.2</w:t>
            </w:r>
          </w:p>
        </w:tc>
        <w:tc>
          <w:tcPr>
            <w:tcW w:w="964" w:type="dxa"/>
            <w:tcBorders>
              <w:bottom w:val="single" w:sz="6" w:space="0" w:color="auto"/>
            </w:tcBorders>
          </w:tcPr>
          <w:p w14:paraId="040DA183"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9F9C614" w14:textId="77777777" w:rsidR="0074216D" w:rsidRDefault="0074216D">
            <w:pPr>
              <w:cnfStyle w:val="000000000000" w:firstRow="0" w:lastRow="0" w:firstColumn="0" w:lastColumn="0" w:oddVBand="0" w:evenVBand="0" w:oddHBand="0" w:evenHBand="0" w:firstRowFirstColumn="0" w:firstRowLastColumn="0" w:lastRowFirstColumn="0" w:lastRowLastColumn="0"/>
            </w:pPr>
            <w:r>
              <w:t>85.6</w:t>
            </w:r>
          </w:p>
        </w:tc>
      </w:tr>
      <w:tr w:rsidR="0074216D" w14:paraId="647C7D7D"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EBDDAB7" w14:textId="77777777" w:rsidR="0074216D" w:rsidRPr="005314E1" w:rsidRDefault="0074216D">
            <w:pPr>
              <w:rPr>
                <w:b/>
              </w:rPr>
            </w:pPr>
            <w:r w:rsidRPr="005314E1">
              <w:rPr>
                <w:b/>
              </w:rPr>
              <w:t>Cost</w:t>
            </w:r>
          </w:p>
        </w:tc>
      </w:tr>
      <w:tr w:rsidR="0074216D" w14:paraId="0783D5B3" w14:textId="77777777">
        <w:tc>
          <w:tcPr>
            <w:cnfStyle w:val="001000000000" w:firstRow="0" w:lastRow="0" w:firstColumn="1" w:lastColumn="0" w:oddVBand="0" w:evenVBand="0" w:oddHBand="0" w:evenHBand="0" w:firstRowFirstColumn="0" w:firstRowLastColumn="0" w:lastRowFirstColumn="0" w:lastRowLastColumn="0"/>
            <w:tcW w:w="4819" w:type="dxa"/>
          </w:tcPr>
          <w:p w14:paraId="16E70A8A" w14:textId="77777777" w:rsidR="0074216D" w:rsidRDefault="0074216D">
            <w:pPr>
              <w:ind w:left="170"/>
            </w:pPr>
            <w:r>
              <w:t>Total output cost</w:t>
            </w:r>
          </w:p>
        </w:tc>
        <w:tc>
          <w:tcPr>
            <w:tcW w:w="964" w:type="dxa"/>
          </w:tcPr>
          <w:p w14:paraId="388C19B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1C3433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4C28AB">
              <w:t>2 850.4</w:t>
            </w:r>
          </w:p>
        </w:tc>
        <w:tc>
          <w:tcPr>
            <w:tcW w:w="964" w:type="dxa"/>
          </w:tcPr>
          <w:p w14:paraId="6AF5941A"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4C28AB">
              <w:t>2 943.7</w:t>
            </w:r>
          </w:p>
        </w:tc>
        <w:tc>
          <w:tcPr>
            <w:tcW w:w="964" w:type="dxa"/>
          </w:tcPr>
          <w:p w14:paraId="6A3F9976"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4C28AB">
              <w:t>2 643.2</w:t>
            </w:r>
          </w:p>
        </w:tc>
        <w:tc>
          <w:tcPr>
            <w:tcW w:w="964" w:type="dxa"/>
          </w:tcPr>
          <w:p w14:paraId="24EF32F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4C28AB">
              <w:t>2 553.3</w:t>
            </w:r>
          </w:p>
        </w:tc>
      </w:tr>
      <w:tr w:rsidR="0074216D" w14:paraId="7EE631B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7A9F9EF" w14:textId="77777777" w:rsidR="0074216D" w:rsidRPr="00206B26" w:rsidRDefault="0074216D">
            <w:pPr>
              <w:ind w:left="170"/>
              <w:rPr>
                <w:i/>
                <w:iCs/>
              </w:rPr>
            </w:pPr>
            <w:r w:rsidRPr="00D3038E">
              <w:rPr>
                <w:i/>
                <w:iCs/>
              </w:rPr>
              <w:t>The higher 2025-26 expected outcome reflects movements between outputs to better align expenditure and a revision to estimated hospital revenue.</w:t>
            </w:r>
          </w:p>
        </w:tc>
      </w:tr>
      <w:tr w:rsidR="0074216D" w14:paraId="20039B1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0E4F43" w14:textId="77777777" w:rsidR="0074216D" w:rsidRDefault="0074216D">
            <w:pPr>
              <w:ind w:left="170"/>
            </w:pPr>
            <w:r w:rsidRPr="00D3038E">
              <w:rPr>
                <w:i/>
                <w:iCs/>
              </w:rPr>
              <w:t>The higher 2026-27 target is due to new funding provided for government policy commitments and a revision to estimated hospital revenue.</w:t>
            </w:r>
          </w:p>
        </w:tc>
      </w:tr>
    </w:tbl>
    <w:p w14:paraId="45610AA8" w14:textId="77777777" w:rsidR="0074216D" w:rsidRDefault="0074216D" w:rsidP="0074216D">
      <w:pPr>
        <w:pStyle w:val="Source"/>
      </w:pPr>
      <w:r>
        <w:t>Source: Department of Health</w:t>
      </w:r>
    </w:p>
    <w:p w14:paraId="36E2B84E" w14:textId="77777777" w:rsidR="0074216D" w:rsidRDefault="0074216D" w:rsidP="0074216D">
      <w:pPr>
        <w:pStyle w:val="Source"/>
      </w:pPr>
    </w:p>
    <w:p w14:paraId="32C56A0B" w14:textId="77777777" w:rsidR="0074216D" w:rsidRDefault="0074216D" w:rsidP="0074216D">
      <w:pPr>
        <w:pStyle w:val="Heading3"/>
      </w:pPr>
      <w:r>
        <w:lastRenderedPageBreak/>
        <w:t>Emergency Services</w:t>
      </w:r>
      <w:r>
        <w:tab/>
        <w:t>(2026-27: $2 467.3 million)</w:t>
      </w:r>
    </w:p>
    <w:p w14:paraId="5A81FC70" w14:textId="77777777" w:rsidR="0074216D" w:rsidRPr="005D2E4D" w:rsidRDefault="0074216D" w:rsidP="00093300">
      <w:pPr>
        <w:keepNext/>
        <w:spacing w:after="120"/>
        <w:rPr>
          <w:rFonts w:ascii="Garamond" w:hAnsi="Garamond"/>
          <w:lang w:eastAsia="en-AU"/>
        </w:rPr>
      </w:pPr>
      <w:r w:rsidRPr="001700B8">
        <w:rPr>
          <w:rFonts w:ascii="Garamond" w:hAnsi="Garamond"/>
          <w:lang w:eastAsia="en-AU"/>
        </w:rPr>
        <w:t xml:space="preserve">This output relates to emergency presentations at reporting hospitals with emergency departments. It aims to provide high-quality, accessible health and community services, specifically in </w:t>
      </w:r>
      <w:r>
        <w:rPr>
          <w:rFonts w:ascii="Garamond" w:hAnsi="Garamond"/>
          <w:lang w:eastAsia="en-AU"/>
        </w:rPr>
        <w:t>relation to</w:t>
      </w:r>
      <w:r w:rsidRPr="001700B8">
        <w:rPr>
          <w:rFonts w:ascii="Garamond" w:hAnsi="Garamond"/>
          <w:lang w:eastAsia="en-AU"/>
        </w:rPr>
        <w:t xml:space="preserve"> improving waiting times for emergency services.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79C2BB7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7BE49BA" w14:textId="77777777" w:rsidR="0074216D" w:rsidRDefault="0074216D">
            <w:r>
              <w:t>Performance measure</w:t>
            </w:r>
          </w:p>
        </w:tc>
        <w:tc>
          <w:tcPr>
            <w:tcW w:w="964" w:type="dxa"/>
          </w:tcPr>
          <w:p w14:paraId="6A1F33C4"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A11E62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BB855D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9C1FED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25B0B07"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1590DEF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E9FDA92" w14:textId="77777777" w:rsidR="0074216D" w:rsidRPr="005314E1" w:rsidRDefault="0074216D">
            <w:pPr>
              <w:keepNext/>
              <w:rPr>
                <w:b/>
              </w:rPr>
            </w:pPr>
            <w:r w:rsidRPr="005314E1">
              <w:rPr>
                <w:b/>
              </w:rPr>
              <w:t>Quantity</w:t>
            </w:r>
          </w:p>
        </w:tc>
      </w:tr>
      <w:tr w:rsidR="0074216D" w14:paraId="4EAA3E89" w14:textId="77777777">
        <w:tc>
          <w:tcPr>
            <w:cnfStyle w:val="001000000000" w:firstRow="0" w:lastRow="0" w:firstColumn="1" w:lastColumn="0" w:oddVBand="0" w:evenVBand="0" w:oddHBand="0" w:evenHBand="0" w:firstRowFirstColumn="0" w:firstRowLastColumn="0" w:lastRowFirstColumn="0" w:lastRowLastColumn="0"/>
            <w:tcW w:w="4819" w:type="dxa"/>
          </w:tcPr>
          <w:p w14:paraId="71C59D76" w14:textId="77777777" w:rsidR="0074216D" w:rsidRDefault="0074216D">
            <w:pPr>
              <w:keepNext/>
              <w:ind w:left="170"/>
            </w:pPr>
            <w:r>
              <w:t xml:space="preserve">Average number of </w:t>
            </w:r>
            <w:r w:rsidRPr="00294453">
              <w:rPr>
                <w:iCs/>
              </w:rPr>
              <w:t>Victorian Virtual Emergency Department (VVED)</w:t>
            </w:r>
            <w:r>
              <w:t xml:space="preserve"> calls received per day</w:t>
            </w:r>
          </w:p>
        </w:tc>
        <w:tc>
          <w:tcPr>
            <w:tcW w:w="964" w:type="dxa"/>
          </w:tcPr>
          <w:p w14:paraId="4536B6D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F125E5A" w14:textId="77777777" w:rsidR="0074216D" w:rsidRDefault="0074216D">
            <w:pPr>
              <w:cnfStyle w:val="000000000000" w:firstRow="0" w:lastRow="0" w:firstColumn="0" w:lastColumn="0" w:oddVBand="0" w:evenVBand="0" w:oddHBand="0" w:evenHBand="0" w:firstRowFirstColumn="0" w:firstRowLastColumn="0" w:lastRowFirstColumn="0" w:lastRowLastColumn="0"/>
            </w:pPr>
            <w:r>
              <w:t>1 250</w:t>
            </w:r>
          </w:p>
        </w:tc>
        <w:tc>
          <w:tcPr>
            <w:tcW w:w="964" w:type="dxa"/>
          </w:tcPr>
          <w:p w14:paraId="5EBA9EA0" w14:textId="77777777" w:rsidR="0074216D" w:rsidRDefault="0074216D">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8644A99" w14:textId="77777777" w:rsidR="0074216D" w:rsidRDefault="0074216D">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A8EADB0" w14:textId="77777777" w:rsidR="0074216D" w:rsidRDefault="0074216D">
            <w:pPr>
              <w:cnfStyle w:val="000000000000" w:firstRow="0" w:lastRow="0" w:firstColumn="0" w:lastColumn="0" w:oddVBand="0" w:evenVBand="0" w:oddHBand="0" w:evenHBand="0" w:firstRowFirstColumn="0" w:firstRowLastColumn="0" w:lastRowFirstColumn="0" w:lastRowLastColumn="0"/>
            </w:pPr>
            <w:r>
              <w:t>nm</w:t>
            </w:r>
          </w:p>
        </w:tc>
      </w:tr>
      <w:tr w:rsidR="0074216D" w14:paraId="1F57A62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2DE283" w14:textId="77777777" w:rsidR="0074216D" w:rsidRDefault="0074216D">
            <w:pPr>
              <w:ind w:left="170"/>
            </w:pPr>
            <w:r>
              <w:rPr>
                <w:i/>
              </w:rPr>
              <w:t>New performance measure for 2026-27. The inclusion of VVED call volume as a performance metric reflects the provision of a statewide emergency service which all Victorians can access for emergency related clinical assessments, medical advice, treatment and referrals.</w:t>
            </w:r>
          </w:p>
        </w:tc>
      </w:tr>
      <w:tr w:rsidR="0074216D" w14:paraId="07F2BC6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8D71F2" w14:textId="77777777" w:rsidR="0074216D" w:rsidRDefault="0074216D">
            <w:pPr>
              <w:ind w:left="170"/>
            </w:pPr>
            <w:r>
              <w:t>Emergency presentations</w:t>
            </w:r>
          </w:p>
        </w:tc>
        <w:tc>
          <w:tcPr>
            <w:tcW w:w="964" w:type="dxa"/>
            <w:tcBorders>
              <w:bottom w:val="single" w:sz="6" w:space="0" w:color="auto"/>
            </w:tcBorders>
          </w:tcPr>
          <w:p w14:paraId="4D59139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6D51C7BF" w14:textId="77777777" w:rsidR="0074216D" w:rsidRDefault="0074216D">
            <w:pPr>
              <w:cnfStyle w:val="000000000000" w:firstRow="0" w:lastRow="0" w:firstColumn="0" w:lastColumn="0" w:oddVBand="0" w:evenVBand="0" w:oddHBand="0" w:evenHBand="0" w:firstRowFirstColumn="0" w:firstRowLastColumn="0" w:lastRowFirstColumn="0" w:lastRowLastColumn="0"/>
            </w:pPr>
            <w:r>
              <w:t>1 948</w:t>
            </w:r>
          </w:p>
        </w:tc>
        <w:tc>
          <w:tcPr>
            <w:tcW w:w="964" w:type="dxa"/>
            <w:tcBorders>
              <w:bottom w:val="single" w:sz="6" w:space="0" w:color="auto"/>
            </w:tcBorders>
          </w:tcPr>
          <w:p w14:paraId="7568D6A8" w14:textId="77777777" w:rsidR="0074216D" w:rsidRDefault="0074216D">
            <w:pPr>
              <w:cnfStyle w:val="000000000000" w:firstRow="0" w:lastRow="0" w:firstColumn="0" w:lastColumn="0" w:oddVBand="0" w:evenVBand="0" w:oddHBand="0" w:evenHBand="0" w:firstRowFirstColumn="0" w:firstRowLastColumn="0" w:lastRowFirstColumn="0" w:lastRowLastColumn="0"/>
            </w:pPr>
            <w:r>
              <w:t>2 042</w:t>
            </w:r>
          </w:p>
        </w:tc>
        <w:tc>
          <w:tcPr>
            <w:tcW w:w="964" w:type="dxa"/>
            <w:tcBorders>
              <w:bottom w:val="single" w:sz="6" w:space="0" w:color="auto"/>
            </w:tcBorders>
          </w:tcPr>
          <w:p w14:paraId="51FFD701" w14:textId="77777777" w:rsidR="0074216D" w:rsidRDefault="0074216D">
            <w:pPr>
              <w:cnfStyle w:val="000000000000" w:firstRow="0" w:lastRow="0" w:firstColumn="0" w:lastColumn="0" w:oddVBand="0" w:evenVBand="0" w:oddHBand="0" w:evenHBand="0" w:firstRowFirstColumn="0" w:firstRowLastColumn="0" w:lastRowFirstColumn="0" w:lastRowLastColumn="0"/>
            </w:pPr>
            <w:r>
              <w:t>1 948</w:t>
            </w:r>
          </w:p>
        </w:tc>
        <w:tc>
          <w:tcPr>
            <w:tcW w:w="964" w:type="dxa"/>
            <w:tcBorders>
              <w:bottom w:val="single" w:sz="6" w:space="0" w:color="auto"/>
            </w:tcBorders>
          </w:tcPr>
          <w:p w14:paraId="5EE81176" w14:textId="77777777" w:rsidR="0074216D" w:rsidRDefault="0074216D">
            <w:pPr>
              <w:cnfStyle w:val="000000000000" w:firstRow="0" w:lastRow="0" w:firstColumn="0" w:lastColumn="0" w:oddVBand="0" w:evenVBand="0" w:oddHBand="0" w:evenHBand="0" w:firstRowFirstColumn="0" w:firstRowLastColumn="0" w:lastRowFirstColumn="0" w:lastRowLastColumn="0"/>
            </w:pPr>
            <w:r>
              <w:t>2 017</w:t>
            </w:r>
          </w:p>
        </w:tc>
      </w:tr>
      <w:tr w:rsidR="0074216D" w14:paraId="3511A94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63186EB" w14:textId="77777777" w:rsidR="0074216D" w:rsidRPr="005314E1" w:rsidRDefault="0074216D">
            <w:pPr>
              <w:keepNext/>
              <w:rPr>
                <w:b/>
              </w:rPr>
            </w:pPr>
            <w:r w:rsidRPr="005314E1">
              <w:rPr>
                <w:b/>
              </w:rPr>
              <w:t>Quality</w:t>
            </w:r>
          </w:p>
        </w:tc>
      </w:tr>
      <w:tr w:rsidR="0074216D" w14:paraId="40B7B374" w14:textId="77777777">
        <w:tc>
          <w:tcPr>
            <w:cnfStyle w:val="001000000000" w:firstRow="0" w:lastRow="0" w:firstColumn="1" w:lastColumn="0" w:oddVBand="0" w:evenVBand="0" w:oddHBand="0" w:evenHBand="0" w:firstRowFirstColumn="0" w:firstRowLastColumn="0" w:lastRowFirstColumn="0" w:lastRowLastColumn="0"/>
            <w:tcW w:w="4819" w:type="dxa"/>
          </w:tcPr>
          <w:p w14:paraId="01971230" w14:textId="77777777" w:rsidR="0074216D" w:rsidRDefault="0074216D">
            <w:pPr>
              <w:keepNext/>
              <w:ind w:left="170"/>
            </w:pPr>
            <w:r>
              <w:t>Emergency patients re-presenting to the emergency department within 48 hours of previous presentation</w:t>
            </w:r>
          </w:p>
        </w:tc>
        <w:tc>
          <w:tcPr>
            <w:tcW w:w="964" w:type="dxa"/>
          </w:tcPr>
          <w:p w14:paraId="1BA15A4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125C40" w14:textId="34B3A306" w:rsidR="0074216D" w:rsidRDefault="0074216D">
            <w:pPr>
              <w:cnfStyle w:val="000000000000" w:firstRow="0" w:lastRow="0" w:firstColumn="0" w:lastColumn="0" w:oddVBand="0" w:evenVBand="0" w:oddHBand="0" w:evenHBand="0" w:firstRowFirstColumn="0" w:firstRowLastColumn="0" w:lastRowFirstColumn="0" w:lastRowLastColumn="0"/>
            </w:pPr>
            <w:r>
              <w:t>&lt;</w:t>
            </w:r>
            <w:r w:rsidR="003E3DEA">
              <w:t xml:space="preserve"> </w:t>
            </w:r>
            <w:r>
              <w:t>6</w:t>
            </w:r>
          </w:p>
        </w:tc>
        <w:tc>
          <w:tcPr>
            <w:tcW w:w="964" w:type="dxa"/>
          </w:tcPr>
          <w:p w14:paraId="1369B02C" w14:textId="77777777" w:rsidR="0074216D" w:rsidRDefault="0074216D">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58984A8F" w14:textId="6A81ECE7" w:rsidR="0074216D" w:rsidRDefault="0074216D">
            <w:pPr>
              <w:cnfStyle w:val="000000000000" w:firstRow="0" w:lastRow="0" w:firstColumn="0" w:lastColumn="0" w:oddVBand="0" w:evenVBand="0" w:oddHBand="0" w:evenHBand="0" w:firstRowFirstColumn="0" w:firstRowLastColumn="0" w:lastRowFirstColumn="0" w:lastRowLastColumn="0"/>
            </w:pPr>
            <w:r>
              <w:t>&lt;</w:t>
            </w:r>
            <w:r w:rsidR="003E3DEA">
              <w:t xml:space="preserve"> </w:t>
            </w:r>
            <w:r>
              <w:t>6</w:t>
            </w:r>
          </w:p>
        </w:tc>
        <w:tc>
          <w:tcPr>
            <w:tcW w:w="964" w:type="dxa"/>
          </w:tcPr>
          <w:p w14:paraId="6571257A" w14:textId="77777777" w:rsidR="0074216D" w:rsidRDefault="0074216D">
            <w:pPr>
              <w:cnfStyle w:val="000000000000" w:firstRow="0" w:lastRow="0" w:firstColumn="0" w:lastColumn="0" w:oddVBand="0" w:evenVBand="0" w:oddHBand="0" w:evenHBand="0" w:firstRowFirstColumn="0" w:firstRowLastColumn="0" w:lastRowFirstColumn="0" w:lastRowLastColumn="0"/>
            </w:pPr>
            <w:r>
              <w:t>6.5</w:t>
            </w:r>
          </w:p>
        </w:tc>
      </w:tr>
      <w:tr w:rsidR="0074216D" w14:paraId="6EBFA3F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26C45D3" w14:textId="77777777" w:rsidR="0074216D" w:rsidRDefault="0074216D">
            <w:pPr>
              <w:ind w:left="170"/>
            </w:pPr>
            <w:r>
              <w:rPr>
                <w:i/>
              </w:rPr>
              <w:t xml:space="preserve">The 2025-26 expected outcome reflects both planned and unplanned emergency department re-presentations and is not a direct indicator of patient outcomes or quality of care, as planned re-presentations are included. </w:t>
            </w:r>
          </w:p>
        </w:tc>
      </w:tr>
      <w:tr w:rsidR="0074216D" w14:paraId="41180B8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012ACB" w14:textId="77777777" w:rsidR="0074216D" w:rsidRDefault="0074216D">
            <w:pPr>
              <w:ind w:left="170"/>
            </w:pPr>
            <w:r>
              <w:t>Emergency patients that did not wait for treatment</w:t>
            </w:r>
          </w:p>
        </w:tc>
        <w:tc>
          <w:tcPr>
            <w:tcW w:w="964" w:type="dxa"/>
            <w:tcBorders>
              <w:bottom w:val="single" w:sz="6" w:space="0" w:color="auto"/>
            </w:tcBorders>
          </w:tcPr>
          <w:p w14:paraId="4CD38A4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A6CD282" w14:textId="156A3DF3" w:rsidR="0074216D" w:rsidRDefault="0074216D">
            <w:pPr>
              <w:cnfStyle w:val="000000000000" w:firstRow="0" w:lastRow="0" w:firstColumn="0" w:lastColumn="0" w:oddVBand="0" w:evenVBand="0" w:oddHBand="0" w:evenHBand="0" w:firstRowFirstColumn="0" w:firstRowLastColumn="0" w:lastRowFirstColumn="0" w:lastRowLastColumn="0"/>
            </w:pPr>
            <w:r>
              <w:t>&lt;</w:t>
            </w:r>
            <w:r w:rsidR="003E3DEA">
              <w:t xml:space="preserve"> </w:t>
            </w:r>
            <w:r>
              <w:t>5</w:t>
            </w:r>
          </w:p>
        </w:tc>
        <w:tc>
          <w:tcPr>
            <w:tcW w:w="964" w:type="dxa"/>
            <w:tcBorders>
              <w:bottom w:val="single" w:sz="6" w:space="0" w:color="auto"/>
            </w:tcBorders>
          </w:tcPr>
          <w:p w14:paraId="6BD4A3B5" w14:textId="77777777" w:rsidR="0074216D" w:rsidRDefault="0074216D">
            <w:pPr>
              <w:cnfStyle w:val="000000000000" w:firstRow="0" w:lastRow="0" w:firstColumn="0" w:lastColumn="0" w:oddVBand="0" w:evenVBand="0" w:oddHBand="0" w:evenHBand="0" w:firstRowFirstColumn="0" w:firstRowLastColumn="0" w:lastRowFirstColumn="0" w:lastRowLastColumn="0"/>
            </w:pPr>
            <w:r>
              <w:t>4.8</w:t>
            </w:r>
          </w:p>
        </w:tc>
        <w:tc>
          <w:tcPr>
            <w:tcW w:w="964" w:type="dxa"/>
            <w:tcBorders>
              <w:bottom w:val="single" w:sz="6" w:space="0" w:color="auto"/>
            </w:tcBorders>
          </w:tcPr>
          <w:p w14:paraId="579958D4" w14:textId="27D75990" w:rsidR="0074216D" w:rsidRDefault="0074216D">
            <w:pPr>
              <w:cnfStyle w:val="000000000000" w:firstRow="0" w:lastRow="0" w:firstColumn="0" w:lastColumn="0" w:oddVBand="0" w:evenVBand="0" w:oddHBand="0" w:evenHBand="0" w:firstRowFirstColumn="0" w:firstRowLastColumn="0" w:lastRowFirstColumn="0" w:lastRowLastColumn="0"/>
            </w:pPr>
            <w:r>
              <w:t>&lt;</w:t>
            </w:r>
            <w:r w:rsidR="003E3DEA">
              <w:t xml:space="preserve"> </w:t>
            </w:r>
            <w:r>
              <w:t>5</w:t>
            </w:r>
          </w:p>
        </w:tc>
        <w:tc>
          <w:tcPr>
            <w:tcW w:w="964" w:type="dxa"/>
            <w:tcBorders>
              <w:bottom w:val="single" w:sz="6" w:space="0" w:color="auto"/>
            </w:tcBorders>
          </w:tcPr>
          <w:p w14:paraId="30F1A372" w14:textId="77777777" w:rsidR="0074216D" w:rsidRDefault="0074216D">
            <w:pPr>
              <w:cnfStyle w:val="000000000000" w:firstRow="0" w:lastRow="0" w:firstColumn="0" w:lastColumn="0" w:oddVBand="0" w:evenVBand="0" w:oddHBand="0" w:evenHBand="0" w:firstRowFirstColumn="0" w:firstRowLastColumn="0" w:lastRowFirstColumn="0" w:lastRowLastColumn="0"/>
            </w:pPr>
            <w:r>
              <w:t>4.1</w:t>
            </w:r>
          </w:p>
        </w:tc>
      </w:tr>
      <w:tr w:rsidR="0074216D" w14:paraId="5DEA0DF8"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27E2B74" w14:textId="259E9400" w:rsidR="0074216D" w:rsidRDefault="0074216D">
            <w:pPr>
              <w:ind w:left="170"/>
            </w:pPr>
            <w:r>
              <w:t>Patients</w:t>
            </w:r>
            <w:r w:rsidR="00324555">
              <w:t>’</w:t>
            </w:r>
            <w:r>
              <w:t xml:space="preserve"> experience of emergency department care</w:t>
            </w:r>
          </w:p>
        </w:tc>
        <w:tc>
          <w:tcPr>
            <w:tcW w:w="964" w:type="dxa"/>
            <w:tcBorders>
              <w:bottom w:val="single" w:sz="6" w:space="0" w:color="auto"/>
            </w:tcBorders>
          </w:tcPr>
          <w:p w14:paraId="4D55E7F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3AFEA7B"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EC35A08"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761CDBB"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E1E5D32" w14:textId="77777777" w:rsidR="0074216D" w:rsidRDefault="0074216D">
            <w:pPr>
              <w:cnfStyle w:val="000000000000" w:firstRow="0" w:lastRow="0" w:firstColumn="0" w:lastColumn="0" w:oddVBand="0" w:evenVBand="0" w:oddHBand="0" w:evenHBand="0" w:firstRowFirstColumn="0" w:firstRowLastColumn="0" w:lastRowFirstColumn="0" w:lastRowLastColumn="0"/>
            </w:pPr>
            <w:r>
              <w:t>77.1</w:t>
            </w:r>
          </w:p>
        </w:tc>
      </w:tr>
      <w:tr w:rsidR="0074216D" w14:paraId="27E8236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726D5E1" w14:textId="77777777" w:rsidR="0074216D" w:rsidRPr="005314E1" w:rsidRDefault="0074216D">
            <w:pPr>
              <w:keepNext/>
              <w:rPr>
                <w:b/>
              </w:rPr>
            </w:pPr>
            <w:r w:rsidRPr="005314E1">
              <w:rPr>
                <w:b/>
              </w:rPr>
              <w:t>Timeliness</w:t>
            </w:r>
          </w:p>
        </w:tc>
      </w:tr>
      <w:tr w:rsidR="0074216D" w14:paraId="58D3E99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A41532" w14:textId="77777777" w:rsidR="0074216D" w:rsidRDefault="0074216D">
            <w:pPr>
              <w:ind w:left="170"/>
            </w:pPr>
            <w:r>
              <w:t>Emergency Category 1 treated immediately</w:t>
            </w:r>
          </w:p>
        </w:tc>
        <w:tc>
          <w:tcPr>
            <w:tcW w:w="964" w:type="dxa"/>
            <w:tcBorders>
              <w:bottom w:val="single" w:sz="6" w:space="0" w:color="auto"/>
            </w:tcBorders>
          </w:tcPr>
          <w:p w14:paraId="24CDD7A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7D74697"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8BBBA50"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4E7766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EB5A050"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4E1E7B0B" w14:textId="77777777">
        <w:tc>
          <w:tcPr>
            <w:cnfStyle w:val="001000000000" w:firstRow="0" w:lastRow="0" w:firstColumn="1" w:lastColumn="0" w:oddVBand="0" w:evenVBand="0" w:oddHBand="0" w:evenHBand="0" w:firstRowFirstColumn="0" w:firstRowLastColumn="0" w:lastRowFirstColumn="0" w:lastRowLastColumn="0"/>
            <w:tcW w:w="4819" w:type="dxa"/>
          </w:tcPr>
          <w:p w14:paraId="54B4249C" w14:textId="431DF74E" w:rsidR="0074216D" w:rsidRDefault="0074216D">
            <w:pPr>
              <w:keepNext/>
              <w:ind w:left="170"/>
            </w:pPr>
            <w:r>
              <w:t xml:space="preserve">Emergency patients treated within clinically recommended </w:t>
            </w:r>
            <w:r w:rsidR="00982BC1">
              <w:br/>
            </w:r>
            <w:r>
              <w:t>‘time to treatment</w:t>
            </w:r>
            <w:r w:rsidR="00324555">
              <w:t>’</w:t>
            </w:r>
          </w:p>
        </w:tc>
        <w:tc>
          <w:tcPr>
            <w:tcW w:w="964" w:type="dxa"/>
          </w:tcPr>
          <w:p w14:paraId="1DED52B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48AC205"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A42129B" w14:textId="77777777" w:rsidR="0074216D" w:rsidRDefault="0074216D">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3D0A783"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6B7394F" w14:textId="77777777" w:rsidR="0074216D" w:rsidRDefault="0074216D">
            <w:pPr>
              <w:cnfStyle w:val="000000000000" w:firstRow="0" w:lastRow="0" w:firstColumn="0" w:lastColumn="0" w:oddVBand="0" w:evenVBand="0" w:oddHBand="0" w:evenHBand="0" w:firstRowFirstColumn="0" w:firstRowLastColumn="0" w:lastRowFirstColumn="0" w:lastRowLastColumn="0"/>
            </w:pPr>
            <w:r>
              <w:t>71.6</w:t>
            </w:r>
          </w:p>
        </w:tc>
      </w:tr>
      <w:tr w:rsidR="0074216D" w14:paraId="318FDED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632BB1" w14:textId="449507FD" w:rsidR="0074216D" w:rsidRDefault="0074216D">
            <w:pPr>
              <w:ind w:left="170"/>
            </w:pPr>
            <w:r>
              <w:rPr>
                <w:i/>
              </w:rPr>
              <w:t>Current outcomes are influenced by rising demand, increased patient complexity, and limitations in primary and aged care that impact timely discharge and patient movement. Despite these challenges, statewide initiatives – such as Ambulance Victoria’s Timely Emergency Care 2 Program and the Standards for Safe and Timely Ambulance and Emergency Care – are supporting improvements in ambulance transfers and overall patient flow.</w:t>
            </w:r>
          </w:p>
        </w:tc>
      </w:tr>
      <w:tr w:rsidR="0074216D" w14:paraId="2DA7795A" w14:textId="77777777">
        <w:tc>
          <w:tcPr>
            <w:cnfStyle w:val="001000000000" w:firstRow="0" w:lastRow="0" w:firstColumn="1" w:lastColumn="0" w:oddVBand="0" w:evenVBand="0" w:oddHBand="0" w:evenHBand="0" w:firstRowFirstColumn="0" w:firstRowLastColumn="0" w:lastRowFirstColumn="0" w:lastRowLastColumn="0"/>
            <w:tcW w:w="4819" w:type="dxa"/>
          </w:tcPr>
          <w:p w14:paraId="7764F17D" w14:textId="77777777" w:rsidR="0074216D" w:rsidRDefault="0074216D">
            <w:pPr>
              <w:keepNext/>
              <w:ind w:left="170"/>
            </w:pPr>
            <w:r>
              <w:t>Emergency patients with a length of stay of less than four hours</w:t>
            </w:r>
          </w:p>
        </w:tc>
        <w:tc>
          <w:tcPr>
            <w:tcW w:w="964" w:type="dxa"/>
          </w:tcPr>
          <w:p w14:paraId="7691444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DF4C849" w14:textId="77777777" w:rsidR="0074216D" w:rsidRDefault="0074216D">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72B45B6D" w14:textId="77777777" w:rsidR="0074216D" w:rsidRDefault="0074216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0C246CAC" w14:textId="77777777" w:rsidR="0074216D" w:rsidRDefault="0074216D">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C69B090" w14:textId="77777777" w:rsidR="0074216D" w:rsidRDefault="0074216D">
            <w:pPr>
              <w:cnfStyle w:val="000000000000" w:firstRow="0" w:lastRow="0" w:firstColumn="0" w:lastColumn="0" w:oddVBand="0" w:evenVBand="0" w:oddHBand="0" w:evenHBand="0" w:firstRowFirstColumn="0" w:firstRowLastColumn="0" w:lastRowFirstColumn="0" w:lastRowLastColumn="0"/>
            </w:pPr>
            <w:r>
              <w:t>53.6</w:t>
            </w:r>
          </w:p>
        </w:tc>
      </w:tr>
      <w:tr w:rsidR="0074216D" w14:paraId="1EB72A8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CE7410C" w14:textId="1D32D381" w:rsidR="0074216D" w:rsidRDefault="0074216D">
            <w:pPr>
              <w:ind w:left="170"/>
            </w:pPr>
            <w:r>
              <w:rPr>
                <w:i/>
              </w:rPr>
              <w:t>Current outcomes are influenced by rising demand, increased patient complexity, and limitations in primary and aged care that impact timely discharge and patient movement. Despite these challenges, statewide initiatives – such as Ambulance Victoria’s Timely Emergency Care 2 Program and the Standards for Safe and Timely Ambulance and Emergency Care – are supporting improvements in ambulance transfers and overall patient flow.</w:t>
            </w:r>
          </w:p>
        </w:tc>
      </w:tr>
      <w:tr w:rsidR="0074216D" w14:paraId="3A1031E4"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3E817BF" w14:textId="77777777" w:rsidR="0074216D" w:rsidRDefault="0074216D">
            <w:pPr>
              <w:keepNext/>
              <w:ind w:left="170"/>
            </w:pPr>
            <w:r>
              <w:t>Proportion of ambulance patient transfers within 40 minutes</w:t>
            </w:r>
          </w:p>
        </w:tc>
        <w:tc>
          <w:tcPr>
            <w:tcW w:w="964" w:type="dxa"/>
            <w:tcBorders>
              <w:bottom w:val="nil"/>
            </w:tcBorders>
          </w:tcPr>
          <w:p w14:paraId="29E3E0E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63750E3"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3326E7F0" w14:textId="77777777" w:rsidR="0074216D" w:rsidRDefault="0074216D">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nil"/>
            </w:tcBorders>
          </w:tcPr>
          <w:p w14:paraId="769CA2FF"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72261568" w14:textId="77777777" w:rsidR="0074216D" w:rsidRDefault="0074216D">
            <w:pPr>
              <w:cnfStyle w:val="000000000000" w:firstRow="0" w:lastRow="0" w:firstColumn="0" w:lastColumn="0" w:oddVBand="0" w:evenVBand="0" w:oddHBand="0" w:evenHBand="0" w:firstRowFirstColumn="0" w:firstRowLastColumn="0" w:lastRowFirstColumn="0" w:lastRowLastColumn="0"/>
            </w:pPr>
            <w:r>
              <w:t>67.7</w:t>
            </w:r>
          </w:p>
        </w:tc>
      </w:tr>
      <w:tr w:rsidR="0074216D" w14:paraId="0C7A840B"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56BC17" w14:textId="77777777" w:rsidR="0074216D" w:rsidRDefault="0074216D">
            <w:pPr>
              <w:ind w:left="170"/>
            </w:pPr>
            <w:r w:rsidRPr="005310B8">
              <w:rPr>
                <w:i/>
              </w:rPr>
              <w:t>Year-on-year improvements reflect improved ambulance transfer performance, supported by system-wide initiatives led by Ambulance Victoria and health services, including Timely Emergency Care 2 Program and the Standards for Safe and Timely Ambulance and Emergency Care.</w:t>
            </w:r>
          </w:p>
        </w:tc>
      </w:tr>
      <w:tr w:rsidR="0074216D" w14:paraId="4BC3B18B"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3284AA0" w14:textId="77777777" w:rsidR="0074216D" w:rsidRPr="005314E1" w:rsidRDefault="0074216D">
            <w:pPr>
              <w:rPr>
                <w:b/>
              </w:rPr>
            </w:pPr>
            <w:r w:rsidRPr="005314E1">
              <w:rPr>
                <w:b/>
              </w:rPr>
              <w:t>Cost</w:t>
            </w:r>
          </w:p>
        </w:tc>
      </w:tr>
      <w:tr w:rsidR="0074216D" w14:paraId="3AC741DB" w14:textId="77777777">
        <w:tc>
          <w:tcPr>
            <w:cnfStyle w:val="001000000000" w:firstRow="0" w:lastRow="0" w:firstColumn="1" w:lastColumn="0" w:oddVBand="0" w:evenVBand="0" w:oddHBand="0" w:evenHBand="0" w:firstRowFirstColumn="0" w:firstRowLastColumn="0" w:lastRowFirstColumn="0" w:lastRowLastColumn="0"/>
            <w:tcW w:w="4819" w:type="dxa"/>
          </w:tcPr>
          <w:p w14:paraId="2D7EFE09" w14:textId="77777777" w:rsidR="0074216D" w:rsidRDefault="0074216D">
            <w:pPr>
              <w:keepNext/>
              <w:ind w:left="170"/>
            </w:pPr>
            <w:r>
              <w:t>Total output cost</w:t>
            </w:r>
          </w:p>
        </w:tc>
        <w:tc>
          <w:tcPr>
            <w:tcW w:w="964" w:type="dxa"/>
          </w:tcPr>
          <w:p w14:paraId="7BE45F4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327457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9E7645">
              <w:t>2 467.3</w:t>
            </w:r>
          </w:p>
        </w:tc>
        <w:tc>
          <w:tcPr>
            <w:tcW w:w="964" w:type="dxa"/>
          </w:tcPr>
          <w:p w14:paraId="14A09BA8"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9E7645">
              <w:t>2 381.7</w:t>
            </w:r>
          </w:p>
        </w:tc>
        <w:tc>
          <w:tcPr>
            <w:tcW w:w="964" w:type="dxa"/>
          </w:tcPr>
          <w:p w14:paraId="70804310"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9E7645">
              <w:t>2 225.4</w:t>
            </w:r>
          </w:p>
        </w:tc>
        <w:tc>
          <w:tcPr>
            <w:tcW w:w="964" w:type="dxa"/>
          </w:tcPr>
          <w:p w14:paraId="0399B52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9E7645">
              <w:t>1 022.1</w:t>
            </w:r>
          </w:p>
        </w:tc>
      </w:tr>
      <w:tr w:rsidR="0074216D" w14:paraId="0064FB2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9363A3D" w14:textId="77777777" w:rsidR="0074216D" w:rsidRPr="007F030A" w:rsidRDefault="0074216D">
            <w:pPr>
              <w:ind w:left="170"/>
              <w:rPr>
                <w:i/>
                <w:iCs/>
              </w:rPr>
            </w:pPr>
            <w:r w:rsidRPr="00D20FEF">
              <w:rPr>
                <w:i/>
                <w:iCs/>
              </w:rPr>
              <w:t>The higher 2025-26 expected outcome reflects movements between outputs to better align expenditure and new funding provided for government policy commitments.</w:t>
            </w:r>
          </w:p>
        </w:tc>
      </w:tr>
      <w:tr w:rsidR="0074216D" w14:paraId="71871F4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D0485A0" w14:textId="77777777" w:rsidR="0074216D" w:rsidRDefault="0074216D">
            <w:pPr>
              <w:ind w:left="170"/>
            </w:pPr>
            <w:r w:rsidRPr="00C22AAE">
              <w:rPr>
                <w:i/>
                <w:iCs/>
              </w:rPr>
              <w:t>The higher 2026-27 target is due to new funding provided for government policy commitments and increased contribution from Commonwealth Government.</w:t>
            </w:r>
          </w:p>
        </w:tc>
      </w:tr>
    </w:tbl>
    <w:p w14:paraId="67C7819D" w14:textId="77777777" w:rsidR="0074216D" w:rsidRDefault="0074216D" w:rsidP="0074216D">
      <w:pPr>
        <w:pStyle w:val="Source"/>
      </w:pPr>
      <w:r>
        <w:t>Source: Department of Health</w:t>
      </w:r>
    </w:p>
    <w:p w14:paraId="6BC4656F" w14:textId="77777777" w:rsidR="0074216D" w:rsidRDefault="0074216D" w:rsidP="0074216D">
      <w:pPr>
        <w:pStyle w:val="Source"/>
      </w:pPr>
    </w:p>
    <w:p w14:paraId="687447C3" w14:textId="77777777" w:rsidR="0074216D" w:rsidRDefault="0074216D" w:rsidP="003E3DEA">
      <w:pPr>
        <w:pStyle w:val="Heading3"/>
        <w:pageBreakBefore/>
      </w:pPr>
      <w:r>
        <w:lastRenderedPageBreak/>
        <w:t>Health Workforce Training and Development</w:t>
      </w:r>
      <w:r>
        <w:tab/>
        <w:t>(2026-27: $424.5 million)</w:t>
      </w:r>
    </w:p>
    <w:p w14:paraId="4FF1E82B" w14:textId="77777777" w:rsidR="0074216D" w:rsidRPr="007B274C" w:rsidRDefault="0074216D" w:rsidP="0074216D">
      <w:pPr>
        <w:spacing w:after="120"/>
        <w:rPr>
          <w:rFonts w:ascii="Garamond" w:eastAsia="Garamond" w:hAnsi="Garamond"/>
          <w:lang w:eastAsia="en-AU"/>
        </w:rPr>
      </w:pPr>
      <w:r w:rsidRPr="001700B8">
        <w:rPr>
          <w:rFonts w:ascii="Garamond" w:hAnsi="Garamond"/>
          <w:lang w:eastAsia="en-AU"/>
        </w:rPr>
        <w:t xml:space="preserve">This output relates to grants provided to Victorian health services to support the training and development of the health workforce. This output aims to provide career pathways </w:t>
      </w:r>
      <w:r w:rsidRPr="001700B8">
        <w:rPr>
          <w:rFonts w:ascii="Garamond" w:eastAsia="Garamond" w:hAnsi="Garamond"/>
          <w:lang w:eastAsia="en-AU"/>
        </w:rPr>
        <w:t>and contribute to a stable, ongoing accredited workforce in the health sector in Victoria.</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4DC29FF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E649BC8" w14:textId="77777777" w:rsidR="0074216D" w:rsidRDefault="0074216D">
            <w:r>
              <w:t>Performance measure</w:t>
            </w:r>
          </w:p>
        </w:tc>
        <w:tc>
          <w:tcPr>
            <w:tcW w:w="964" w:type="dxa"/>
          </w:tcPr>
          <w:p w14:paraId="44B8F92F"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73C5C6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1B1136A"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1428DFD"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14E23DD"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644B1F1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E808A6C" w14:textId="77777777" w:rsidR="0074216D" w:rsidRPr="005314E1" w:rsidRDefault="0074216D">
            <w:pPr>
              <w:keepNext/>
              <w:rPr>
                <w:b/>
              </w:rPr>
            </w:pPr>
            <w:r w:rsidRPr="005314E1">
              <w:rPr>
                <w:b/>
              </w:rPr>
              <w:t>Quantity</w:t>
            </w:r>
          </w:p>
        </w:tc>
      </w:tr>
      <w:tr w:rsidR="0074216D" w14:paraId="71197F4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F45E44" w14:textId="77777777" w:rsidR="0074216D" w:rsidRDefault="0074216D">
            <w:pPr>
              <w:ind w:left="170"/>
            </w:pPr>
            <w:r>
              <w:t>Clinical placement student days (allied health)</w:t>
            </w:r>
          </w:p>
        </w:tc>
        <w:tc>
          <w:tcPr>
            <w:tcW w:w="964" w:type="dxa"/>
            <w:tcBorders>
              <w:bottom w:val="single" w:sz="6" w:space="0" w:color="auto"/>
            </w:tcBorders>
          </w:tcPr>
          <w:p w14:paraId="29D1374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A42CA87" w14:textId="77777777" w:rsidR="0074216D" w:rsidRDefault="0074216D">
            <w:pPr>
              <w:cnfStyle w:val="000000000000" w:firstRow="0" w:lastRow="0" w:firstColumn="0" w:lastColumn="0" w:oddVBand="0" w:evenVBand="0" w:oddHBand="0" w:evenHBand="0" w:firstRowFirstColumn="0" w:firstRowLastColumn="0" w:lastRowFirstColumn="0" w:lastRowLastColumn="0"/>
            </w:pPr>
            <w:r>
              <w:t>160 000</w:t>
            </w:r>
          </w:p>
        </w:tc>
        <w:tc>
          <w:tcPr>
            <w:tcW w:w="964" w:type="dxa"/>
            <w:tcBorders>
              <w:bottom w:val="single" w:sz="6" w:space="0" w:color="auto"/>
            </w:tcBorders>
          </w:tcPr>
          <w:p w14:paraId="4F60832B" w14:textId="77777777" w:rsidR="0074216D" w:rsidRDefault="0074216D">
            <w:pPr>
              <w:cnfStyle w:val="000000000000" w:firstRow="0" w:lastRow="0" w:firstColumn="0" w:lastColumn="0" w:oddVBand="0" w:evenVBand="0" w:oddHBand="0" w:evenHBand="0" w:firstRowFirstColumn="0" w:firstRowLastColumn="0" w:lastRowFirstColumn="0" w:lastRowLastColumn="0"/>
            </w:pPr>
            <w:r>
              <w:t>160 000</w:t>
            </w:r>
          </w:p>
        </w:tc>
        <w:tc>
          <w:tcPr>
            <w:tcW w:w="964" w:type="dxa"/>
            <w:tcBorders>
              <w:bottom w:val="single" w:sz="6" w:space="0" w:color="auto"/>
            </w:tcBorders>
          </w:tcPr>
          <w:p w14:paraId="4494F890" w14:textId="77777777" w:rsidR="0074216D" w:rsidRDefault="0074216D">
            <w:pPr>
              <w:cnfStyle w:val="000000000000" w:firstRow="0" w:lastRow="0" w:firstColumn="0" w:lastColumn="0" w:oddVBand="0" w:evenVBand="0" w:oddHBand="0" w:evenHBand="0" w:firstRowFirstColumn="0" w:firstRowLastColumn="0" w:lastRowFirstColumn="0" w:lastRowLastColumn="0"/>
            </w:pPr>
            <w:r>
              <w:t>160 000</w:t>
            </w:r>
          </w:p>
        </w:tc>
        <w:tc>
          <w:tcPr>
            <w:tcW w:w="964" w:type="dxa"/>
            <w:tcBorders>
              <w:bottom w:val="single" w:sz="6" w:space="0" w:color="auto"/>
            </w:tcBorders>
          </w:tcPr>
          <w:p w14:paraId="22109464" w14:textId="77777777" w:rsidR="0074216D" w:rsidRDefault="0074216D">
            <w:pPr>
              <w:cnfStyle w:val="000000000000" w:firstRow="0" w:lastRow="0" w:firstColumn="0" w:lastColumn="0" w:oddVBand="0" w:evenVBand="0" w:oddHBand="0" w:evenHBand="0" w:firstRowFirstColumn="0" w:firstRowLastColumn="0" w:lastRowFirstColumn="0" w:lastRowLastColumn="0"/>
            </w:pPr>
            <w:r>
              <w:t>166 287</w:t>
            </w:r>
          </w:p>
        </w:tc>
      </w:tr>
      <w:tr w:rsidR="0074216D" w14:paraId="0DE07F1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A3443B8" w14:textId="77777777" w:rsidR="0074216D" w:rsidRDefault="0074216D">
            <w:pPr>
              <w:ind w:left="170"/>
            </w:pPr>
            <w:r>
              <w:t>Clinical placement student days (medicine)</w:t>
            </w:r>
          </w:p>
        </w:tc>
        <w:tc>
          <w:tcPr>
            <w:tcW w:w="964" w:type="dxa"/>
            <w:tcBorders>
              <w:bottom w:val="single" w:sz="6" w:space="0" w:color="auto"/>
            </w:tcBorders>
          </w:tcPr>
          <w:p w14:paraId="4216D8F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18E3D99" w14:textId="77777777" w:rsidR="0074216D" w:rsidRDefault="0074216D">
            <w:pPr>
              <w:cnfStyle w:val="000000000000" w:firstRow="0" w:lastRow="0" w:firstColumn="0" w:lastColumn="0" w:oddVBand="0" w:evenVBand="0" w:oddHBand="0" w:evenHBand="0" w:firstRowFirstColumn="0" w:firstRowLastColumn="0" w:lastRowFirstColumn="0" w:lastRowLastColumn="0"/>
            </w:pPr>
            <w:r>
              <w:t>385 000</w:t>
            </w:r>
          </w:p>
        </w:tc>
        <w:tc>
          <w:tcPr>
            <w:tcW w:w="964" w:type="dxa"/>
            <w:tcBorders>
              <w:bottom w:val="single" w:sz="6" w:space="0" w:color="auto"/>
            </w:tcBorders>
          </w:tcPr>
          <w:p w14:paraId="48DDBD18" w14:textId="77777777" w:rsidR="0074216D" w:rsidRDefault="0074216D">
            <w:pPr>
              <w:cnfStyle w:val="000000000000" w:firstRow="0" w:lastRow="0" w:firstColumn="0" w:lastColumn="0" w:oddVBand="0" w:evenVBand="0" w:oddHBand="0" w:evenHBand="0" w:firstRowFirstColumn="0" w:firstRowLastColumn="0" w:lastRowFirstColumn="0" w:lastRowLastColumn="0"/>
            </w:pPr>
            <w:r>
              <w:t>385 000</w:t>
            </w:r>
          </w:p>
        </w:tc>
        <w:tc>
          <w:tcPr>
            <w:tcW w:w="964" w:type="dxa"/>
            <w:tcBorders>
              <w:bottom w:val="single" w:sz="6" w:space="0" w:color="auto"/>
            </w:tcBorders>
          </w:tcPr>
          <w:p w14:paraId="7DAC297E" w14:textId="77777777" w:rsidR="0074216D" w:rsidRDefault="0074216D">
            <w:pPr>
              <w:cnfStyle w:val="000000000000" w:firstRow="0" w:lastRow="0" w:firstColumn="0" w:lastColumn="0" w:oddVBand="0" w:evenVBand="0" w:oddHBand="0" w:evenHBand="0" w:firstRowFirstColumn="0" w:firstRowLastColumn="0" w:lastRowFirstColumn="0" w:lastRowLastColumn="0"/>
            </w:pPr>
            <w:r>
              <w:t>385 000</w:t>
            </w:r>
          </w:p>
        </w:tc>
        <w:tc>
          <w:tcPr>
            <w:tcW w:w="964" w:type="dxa"/>
            <w:tcBorders>
              <w:bottom w:val="single" w:sz="6" w:space="0" w:color="auto"/>
            </w:tcBorders>
          </w:tcPr>
          <w:p w14:paraId="50C0C208" w14:textId="77777777" w:rsidR="0074216D" w:rsidRDefault="0074216D">
            <w:pPr>
              <w:cnfStyle w:val="000000000000" w:firstRow="0" w:lastRow="0" w:firstColumn="0" w:lastColumn="0" w:oddVBand="0" w:evenVBand="0" w:oddHBand="0" w:evenHBand="0" w:firstRowFirstColumn="0" w:firstRowLastColumn="0" w:lastRowFirstColumn="0" w:lastRowLastColumn="0"/>
            </w:pPr>
            <w:r>
              <w:t>382 126</w:t>
            </w:r>
          </w:p>
        </w:tc>
      </w:tr>
      <w:tr w:rsidR="0074216D" w14:paraId="5BD21D4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878EC3F" w14:textId="77777777" w:rsidR="0074216D" w:rsidRDefault="0074216D">
            <w:pPr>
              <w:ind w:left="170"/>
            </w:pPr>
            <w:r>
              <w:t>Clinical placement student days (nursing and midwifery)</w:t>
            </w:r>
          </w:p>
        </w:tc>
        <w:tc>
          <w:tcPr>
            <w:tcW w:w="964" w:type="dxa"/>
            <w:tcBorders>
              <w:bottom w:val="single" w:sz="6" w:space="0" w:color="auto"/>
            </w:tcBorders>
          </w:tcPr>
          <w:p w14:paraId="520C2AF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7DA20B9" w14:textId="77777777" w:rsidR="0074216D" w:rsidRDefault="0074216D">
            <w:pPr>
              <w:cnfStyle w:val="000000000000" w:firstRow="0" w:lastRow="0" w:firstColumn="0" w:lastColumn="0" w:oddVBand="0" w:evenVBand="0" w:oddHBand="0" w:evenHBand="0" w:firstRowFirstColumn="0" w:firstRowLastColumn="0" w:lastRowFirstColumn="0" w:lastRowLastColumn="0"/>
            </w:pPr>
            <w:r>
              <w:t>405 000</w:t>
            </w:r>
          </w:p>
        </w:tc>
        <w:tc>
          <w:tcPr>
            <w:tcW w:w="964" w:type="dxa"/>
            <w:tcBorders>
              <w:bottom w:val="single" w:sz="6" w:space="0" w:color="auto"/>
            </w:tcBorders>
          </w:tcPr>
          <w:p w14:paraId="462639DD" w14:textId="77777777" w:rsidR="0074216D" w:rsidRDefault="0074216D">
            <w:pPr>
              <w:cnfStyle w:val="000000000000" w:firstRow="0" w:lastRow="0" w:firstColumn="0" w:lastColumn="0" w:oddVBand="0" w:evenVBand="0" w:oddHBand="0" w:evenHBand="0" w:firstRowFirstColumn="0" w:firstRowLastColumn="0" w:lastRowFirstColumn="0" w:lastRowLastColumn="0"/>
            </w:pPr>
            <w:r>
              <w:t>405 000</w:t>
            </w:r>
          </w:p>
        </w:tc>
        <w:tc>
          <w:tcPr>
            <w:tcW w:w="964" w:type="dxa"/>
            <w:tcBorders>
              <w:bottom w:val="single" w:sz="6" w:space="0" w:color="auto"/>
            </w:tcBorders>
          </w:tcPr>
          <w:p w14:paraId="4386B943" w14:textId="77777777" w:rsidR="0074216D" w:rsidRDefault="0074216D">
            <w:pPr>
              <w:cnfStyle w:val="000000000000" w:firstRow="0" w:lastRow="0" w:firstColumn="0" w:lastColumn="0" w:oddVBand="0" w:evenVBand="0" w:oddHBand="0" w:evenHBand="0" w:firstRowFirstColumn="0" w:firstRowLastColumn="0" w:lastRowFirstColumn="0" w:lastRowLastColumn="0"/>
            </w:pPr>
            <w:r>
              <w:t>405 000</w:t>
            </w:r>
          </w:p>
        </w:tc>
        <w:tc>
          <w:tcPr>
            <w:tcW w:w="964" w:type="dxa"/>
            <w:tcBorders>
              <w:bottom w:val="single" w:sz="6" w:space="0" w:color="auto"/>
            </w:tcBorders>
          </w:tcPr>
          <w:p w14:paraId="227E2159" w14:textId="77777777" w:rsidR="0074216D" w:rsidRDefault="0074216D">
            <w:pPr>
              <w:cnfStyle w:val="000000000000" w:firstRow="0" w:lastRow="0" w:firstColumn="0" w:lastColumn="0" w:oddVBand="0" w:evenVBand="0" w:oddHBand="0" w:evenHBand="0" w:firstRowFirstColumn="0" w:firstRowLastColumn="0" w:lastRowFirstColumn="0" w:lastRowLastColumn="0"/>
            </w:pPr>
            <w:r>
              <w:t>480 592</w:t>
            </w:r>
          </w:p>
        </w:tc>
      </w:tr>
      <w:tr w:rsidR="0074216D" w14:paraId="3723425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6BA5E13" w14:textId="77777777" w:rsidR="0074216D" w:rsidRDefault="0074216D">
            <w:pPr>
              <w:ind w:left="170"/>
            </w:pPr>
            <w:r>
              <w:t>Funded FTE in formal PGY1 and PGY2 transition-to-practice programs</w:t>
            </w:r>
          </w:p>
        </w:tc>
        <w:tc>
          <w:tcPr>
            <w:tcW w:w="964" w:type="dxa"/>
            <w:tcBorders>
              <w:bottom w:val="single" w:sz="6" w:space="0" w:color="auto"/>
            </w:tcBorders>
          </w:tcPr>
          <w:p w14:paraId="56B7CF9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4A41279" w14:textId="77777777" w:rsidR="0074216D" w:rsidRDefault="0074216D">
            <w:pPr>
              <w:cnfStyle w:val="000000000000" w:firstRow="0" w:lastRow="0" w:firstColumn="0" w:lastColumn="0" w:oddVBand="0" w:evenVBand="0" w:oddHBand="0" w:evenHBand="0" w:firstRowFirstColumn="0" w:firstRowLastColumn="0" w:lastRowFirstColumn="0" w:lastRowLastColumn="0"/>
            </w:pPr>
            <w:r>
              <w:t>1 525</w:t>
            </w:r>
          </w:p>
        </w:tc>
        <w:tc>
          <w:tcPr>
            <w:tcW w:w="964" w:type="dxa"/>
            <w:tcBorders>
              <w:bottom w:val="single" w:sz="6" w:space="0" w:color="auto"/>
            </w:tcBorders>
          </w:tcPr>
          <w:p w14:paraId="05658966" w14:textId="77777777" w:rsidR="0074216D" w:rsidRDefault="0074216D">
            <w:pPr>
              <w:cnfStyle w:val="000000000000" w:firstRow="0" w:lastRow="0" w:firstColumn="0" w:lastColumn="0" w:oddVBand="0" w:evenVBand="0" w:oddHBand="0" w:evenHBand="0" w:firstRowFirstColumn="0" w:firstRowLastColumn="0" w:lastRowFirstColumn="0" w:lastRowLastColumn="0"/>
            </w:pPr>
            <w:r>
              <w:t>1 525</w:t>
            </w:r>
          </w:p>
        </w:tc>
        <w:tc>
          <w:tcPr>
            <w:tcW w:w="964" w:type="dxa"/>
            <w:tcBorders>
              <w:bottom w:val="single" w:sz="6" w:space="0" w:color="auto"/>
            </w:tcBorders>
          </w:tcPr>
          <w:p w14:paraId="2354AE93" w14:textId="77777777" w:rsidR="0074216D" w:rsidRDefault="0074216D">
            <w:pPr>
              <w:cnfStyle w:val="000000000000" w:firstRow="0" w:lastRow="0" w:firstColumn="0" w:lastColumn="0" w:oddVBand="0" w:evenVBand="0" w:oddHBand="0" w:evenHBand="0" w:firstRowFirstColumn="0" w:firstRowLastColumn="0" w:lastRowFirstColumn="0" w:lastRowLastColumn="0"/>
            </w:pPr>
            <w:r>
              <w:t>1 525</w:t>
            </w:r>
          </w:p>
        </w:tc>
        <w:tc>
          <w:tcPr>
            <w:tcW w:w="964" w:type="dxa"/>
            <w:tcBorders>
              <w:bottom w:val="single" w:sz="6" w:space="0" w:color="auto"/>
            </w:tcBorders>
          </w:tcPr>
          <w:p w14:paraId="02BA10CD" w14:textId="77777777" w:rsidR="0074216D" w:rsidRDefault="0074216D">
            <w:pPr>
              <w:cnfStyle w:val="000000000000" w:firstRow="0" w:lastRow="0" w:firstColumn="0" w:lastColumn="0" w:oddVBand="0" w:evenVBand="0" w:oddHBand="0" w:evenHBand="0" w:firstRowFirstColumn="0" w:firstRowLastColumn="0" w:lastRowFirstColumn="0" w:lastRowLastColumn="0"/>
            </w:pPr>
            <w:r>
              <w:t>1 525</w:t>
            </w:r>
          </w:p>
        </w:tc>
      </w:tr>
      <w:tr w:rsidR="0074216D" w14:paraId="62AAD31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B3FFF5" w14:textId="77777777" w:rsidR="0074216D" w:rsidRDefault="0074216D">
            <w:pPr>
              <w:ind w:left="170"/>
            </w:pPr>
            <w:r>
              <w:t>Funded FTE in formal allied health transition-to-practice programs</w:t>
            </w:r>
          </w:p>
        </w:tc>
        <w:tc>
          <w:tcPr>
            <w:tcW w:w="964" w:type="dxa"/>
            <w:tcBorders>
              <w:bottom w:val="single" w:sz="6" w:space="0" w:color="auto"/>
            </w:tcBorders>
          </w:tcPr>
          <w:p w14:paraId="3A6F456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9C558E1" w14:textId="77777777" w:rsidR="0074216D" w:rsidRDefault="0074216D">
            <w:pPr>
              <w:cnfStyle w:val="000000000000" w:firstRow="0" w:lastRow="0" w:firstColumn="0" w:lastColumn="0" w:oddVBand="0" w:evenVBand="0" w:oddHBand="0" w:evenHBand="0" w:firstRowFirstColumn="0" w:firstRowLastColumn="0" w:lastRowFirstColumn="0" w:lastRowLastColumn="0"/>
            </w:pPr>
            <w:r>
              <w:t>700</w:t>
            </w:r>
          </w:p>
        </w:tc>
        <w:tc>
          <w:tcPr>
            <w:tcW w:w="964" w:type="dxa"/>
            <w:tcBorders>
              <w:bottom w:val="single" w:sz="6" w:space="0" w:color="auto"/>
            </w:tcBorders>
          </w:tcPr>
          <w:p w14:paraId="02EF83E3" w14:textId="77777777" w:rsidR="0074216D" w:rsidRDefault="0074216D">
            <w:pPr>
              <w:cnfStyle w:val="000000000000" w:firstRow="0" w:lastRow="0" w:firstColumn="0" w:lastColumn="0" w:oddVBand="0" w:evenVBand="0" w:oddHBand="0" w:evenHBand="0" w:firstRowFirstColumn="0" w:firstRowLastColumn="0" w:lastRowFirstColumn="0" w:lastRowLastColumn="0"/>
            </w:pPr>
            <w:r>
              <w:t>675</w:t>
            </w:r>
          </w:p>
        </w:tc>
        <w:tc>
          <w:tcPr>
            <w:tcW w:w="964" w:type="dxa"/>
            <w:tcBorders>
              <w:bottom w:val="single" w:sz="6" w:space="0" w:color="auto"/>
            </w:tcBorders>
          </w:tcPr>
          <w:p w14:paraId="39A34E44" w14:textId="77777777" w:rsidR="0074216D" w:rsidRDefault="0074216D">
            <w:pPr>
              <w:cnfStyle w:val="000000000000" w:firstRow="0" w:lastRow="0" w:firstColumn="0" w:lastColumn="0" w:oddVBand="0" w:evenVBand="0" w:oddHBand="0" w:evenHBand="0" w:firstRowFirstColumn="0" w:firstRowLastColumn="0" w:lastRowFirstColumn="0" w:lastRowLastColumn="0"/>
            </w:pPr>
            <w:r>
              <w:t>700</w:t>
            </w:r>
          </w:p>
        </w:tc>
        <w:tc>
          <w:tcPr>
            <w:tcW w:w="964" w:type="dxa"/>
            <w:tcBorders>
              <w:bottom w:val="single" w:sz="6" w:space="0" w:color="auto"/>
            </w:tcBorders>
          </w:tcPr>
          <w:p w14:paraId="48FE6664" w14:textId="77777777" w:rsidR="0074216D" w:rsidRDefault="0074216D">
            <w:pPr>
              <w:cnfStyle w:val="000000000000" w:firstRow="0" w:lastRow="0" w:firstColumn="0" w:lastColumn="0" w:oddVBand="0" w:evenVBand="0" w:oddHBand="0" w:evenHBand="0" w:firstRowFirstColumn="0" w:firstRowLastColumn="0" w:lastRowFirstColumn="0" w:lastRowLastColumn="0"/>
            </w:pPr>
            <w:r>
              <w:t>675</w:t>
            </w:r>
          </w:p>
        </w:tc>
      </w:tr>
      <w:tr w:rsidR="0074216D" w14:paraId="4CE8277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E70B4C7" w14:textId="77777777" w:rsidR="0074216D" w:rsidRDefault="0074216D">
            <w:pPr>
              <w:ind w:left="170"/>
            </w:pPr>
            <w:r>
              <w:t>Funded positions in formal nursing and midwifery graduate programs</w:t>
            </w:r>
          </w:p>
        </w:tc>
        <w:tc>
          <w:tcPr>
            <w:tcW w:w="964" w:type="dxa"/>
            <w:tcBorders>
              <w:bottom w:val="single" w:sz="6" w:space="0" w:color="auto"/>
            </w:tcBorders>
          </w:tcPr>
          <w:p w14:paraId="54D4229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93EDA35"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1 591</w:t>
            </w:r>
          </w:p>
        </w:tc>
        <w:tc>
          <w:tcPr>
            <w:tcW w:w="964" w:type="dxa"/>
            <w:tcBorders>
              <w:bottom w:val="single" w:sz="6" w:space="0" w:color="auto"/>
            </w:tcBorders>
          </w:tcPr>
          <w:p w14:paraId="2B4612AD"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1 591</w:t>
            </w:r>
          </w:p>
        </w:tc>
        <w:tc>
          <w:tcPr>
            <w:tcW w:w="964" w:type="dxa"/>
            <w:tcBorders>
              <w:bottom w:val="single" w:sz="6" w:space="0" w:color="auto"/>
            </w:tcBorders>
          </w:tcPr>
          <w:p w14:paraId="3A472E25"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1 591</w:t>
            </w:r>
          </w:p>
        </w:tc>
        <w:tc>
          <w:tcPr>
            <w:tcW w:w="964" w:type="dxa"/>
            <w:tcBorders>
              <w:bottom w:val="single" w:sz="6" w:space="0" w:color="auto"/>
            </w:tcBorders>
          </w:tcPr>
          <w:p w14:paraId="57C21D3A" w14:textId="77777777" w:rsidR="0074216D" w:rsidRDefault="0074216D">
            <w:pPr>
              <w:cnfStyle w:val="000000000000" w:firstRow="0" w:lastRow="0" w:firstColumn="0" w:lastColumn="0" w:oddVBand="0" w:evenVBand="0" w:oddHBand="0" w:evenHBand="0" w:firstRowFirstColumn="0" w:firstRowLastColumn="0" w:lastRowFirstColumn="0" w:lastRowLastColumn="0"/>
            </w:pPr>
            <w:r>
              <w:t>1 591</w:t>
            </w:r>
          </w:p>
        </w:tc>
      </w:tr>
      <w:tr w:rsidR="0074216D" w14:paraId="0C35F27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13EE191" w14:textId="77777777" w:rsidR="0074216D" w:rsidRDefault="0074216D">
            <w:pPr>
              <w:ind w:left="170"/>
            </w:pPr>
            <w:r>
              <w:t>Funded post graduate nursing and midwifery places at Diploma and Certificate level</w:t>
            </w:r>
          </w:p>
        </w:tc>
        <w:tc>
          <w:tcPr>
            <w:tcW w:w="964" w:type="dxa"/>
            <w:tcBorders>
              <w:bottom w:val="single" w:sz="6" w:space="0" w:color="auto"/>
            </w:tcBorders>
          </w:tcPr>
          <w:p w14:paraId="6460294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81C6C13" w14:textId="77777777" w:rsidR="0074216D" w:rsidRDefault="0074216D">
            <w:pPr>
              <w:cnfStyle w:val="000000000000" w:firstRow="0" w:lastRow="0" w:firstColumn="0" w:lastColumn="0" w:oddVBand="0" w:evenVBand="0" w:oddHBand="0" w:evenHBand="0" w:firstRowFirstColumn="0" w:firstRowLastColumn="0" w:lastRowFirstColumn="0" w:lastRowLastColumn="0"/>
            </w:pPr>
            <w:r>
              <w:t>832</w:t>
            </w:r>
          </w:p>
        </w:tc>
        <w:tc>
          <w:tcPr>
            <w:tcW w:w="964" w:type="dxa"/>
            <w:tcBorders>
              <w:bottom w:val="single" w:sz="6" w:space="0" w:color="auto"/>
            </w:tcBorders>
          </w:tcPr>
          <w:p w14:paraId="556AEDB1" w14:textId="77777777" w:rsidR="0074216D" w:rsidRDefault="0074216D">
            <w:pPr>
              <w:cnfStyle w:val="000000000000" w:firstRow="0" w:lastRow="0" w:firstColumn="0" w:lastColumn="0" w:oddVBand="0" w:evenVBand="0" w:oddHBand="0" w:evenHBand="0" w:firstRowFirstColumn="0" w:firstRowLastColumn="0" w:lastRowFirstColumn="0" w:lastRowLastColumn="0"/>
            </w:pPr>
            <w:r>
              <w:t>832</w:t>
            </w:r>
          </w:p>
        </w:tc>
        <w:tc>
          <w:tcPr>
            <w:tcW w:w="964" w:type="dxa"/>
            <w:tcBorders>
              <w:bottom w:val="single" w:sz="6" w:space="0" w:color="auto"/>
            </w:tcBorders>
          </w:tcPr>
          <w:p w14:paraId="022D8283" w14:textId="77777777" w:rsidR="0074216D" w:rsidRDefault="0074216D">
            <w:pPr>
              <w:cnfStyle w:val="000000000000" w:firstRow="0" w:lastRow="0" w:firstColumn="0" w:lastColumn="0" w:oddVBand="0" w:evenVBand="0" w:oddHBand="0" w:evenHBand="0" w:firstRowFirstColumn="0" w:firstRowLastColumn="0" w:lastRowFirstColumn="0" w:lastRowLastColumn="0"/>
            </w:pPr>
            <w:r>
              <w:t>832</w:t>
            </w:r>
          </w:p>
        </w:tc>
        <w:tc>
          <w:tcPr>
            <w:tcW w:w="964" w:type="dxa"/>
            <w:tcBorders>
              <w:bottom w:val="single" w:sz="6" w:space="0" w:color="auto"/>
            </w:tcBorders>
          </w:tcPr>
          <w:p w14:paraId="26F47B96" w14:textId="77777777" w:rsidR="0074216D" w:rsidRDefault="0074216D">
            <w:pPr>
              <w:cnfStyle w:val="000000000000" w:firstRow="0" w:lastRow="0" w:firstColumn="0" w:lastColumn="0" w:oddVBand="0" w:evenVBand="0" w:oddHBand="0" w:evenHBand="0" w:firstRowFirstColumn="0" w:firstRowLastColumn="0" w:lastRowFirstColumn="0" w:lastRowLastColumn="0"/>
            </w:pPr>
            <w:r>
              <w:t>832</w:t>
            </w:r>
          </w:p>
        </w:tc>
      </w:tr>
      <w:tr w:rsidR="0074216D" w14:paraId="6E013919" w14:textId="77777777">
        <w:tc>
          <w:tcPr>
            <w:cnfStyle w:val="001000000000" w:firstRow="0" w:lastRow="0" w:firstColumn="1" w:lastColumn="0" w:oddVBand="0" w:evenVBand="0" w:oddHBand="0" w:evenHBand="0" w:firstRowFirstColumn="0" w:firstRowLastColumn="0" w:lastRowFirstColumn="0" w:lastRowLastColumn="0"/>
            <w:tcW w:w="4819" w:type="dxa"/>
          </w:tcPr>
          <w:p w14:paraId="0CA3F9A8" w14:textId="77777777" w:rsidR="0074216D" w:rsidRDefault="0074216D">
            <w:pPr>
              <w:keepNext/>
              <w:ind w:left="170"/>
            </w:pPr>
            <w:r>
              <w:t>Number of filled Victorian Rural Generalist Advanced Skills positions</w:t>
            </w:r>
          </w:p>
        </w:tc>
        <w:tc>
          <w:tcPr>
            <w:tcW w:w="964" w:type="dxa"/>
          </w:tcPr>
          <w:p w14:paraId="09AD528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9433312" w14:textId="77777777" w:rsidR="0074216D" w:rsidRDefault="0074216D">
            <w:pPr>
              <w:cnfStyle w:val="000000000000" w:firstRow="0" w:lastRow="0" w:firstColumn="0" w:lastColumn="0" w:oddVBand="0" w:evenVBand="0" w:oddHBand="0" w:evenHBand="0" w:firstRowFirstColumn="0" w:firstRowLastColumn="0" w:lastRowFirstColumn="0" w:lastRowLastColumn="0"/>
            </w:pPr>
            <w:r>
              <w:t>38</w:t>
            </w:r>
          </w:p>
        </w:tc>
        <w:tc>
          <w:tcPr>
            <w:tcW w:w="964" w:type="dxa"/>
          </w:tcPr>
          <w:p w14:paraId="020B1E52" w14:textId="77777777" w:rsidR="0074216D" w:rsidRDefault="0074216D">
            <w:pPr>
              <w:cnfStyle w:val="000000000000" w:firstRow="0" w:lastRow="0" w:firstColumn="0" w:lastColumn="0" w:oddVBand="0" w:evenVBand="0" w:oddHBand="0" w:evenHBand="0" w:firstRowFirstColumn="0" w:firstRowLastColumn="0" w:lastRowFirstColumn="0" w:lastRowLastColumn="0"/>
            </w:pPr>
            <w:r>
              <w:t>35</w:t>
            </w:r>
          </w:p>
        </w:tc>
        <w:tc>
          <w:tcPr>
            <w:tcW w:w="964" w:type="dxa"/>
          </w:tcPr>
          <w:p w14:paraId="7F96EF06" w14:textId="77777777" w:rsidR="0074216D" w:rsidRDefault="0074216D">
            <w:pPr>
              <w:cnfStyle w:val="000000000000" w:firstRow="0" w:lastRow="0" w:firstColumn="0" w:lastColumn="0" w:oddVBand="0" w:evenVBand="0" w:oddHBand="0" w:evenHBand="0" w:firstRowFirstColumn="0" w:firstRowLastColumn="0" w:lastRowFirstColumn="0" w:lastRowLastColumn="0"/>
            </w:pPr>
            <w:r>
              <w:t>38</w:t>
            </w:r>
          </w:p>
        </w:tc>
        <w:tc>
          <w:tcPr>
            <w:tcW w:w="964" w:type="dxa"/>
          </w:tcPr>
          <w:p w14:paraId="5C5CC512" w14:textId="77777777" w:rsidR="0074216D" w:rsidRDefault="0074216D">
            <w:pPr>
              <w:cnfStyle w:val="000000000000" w:firstRow="0" w:lastRow="0" w:firstColumn="0" w:lastColumn="0" w:oddVBand="0" w:evenVBand="0" w:oddHBand="0" w:evenHBand="0" w:firstRowFirstColumn="0" w:firstRowLastColumn="0" w:lastRowFirstColumn="0" w:lastRowLastColumn="0"/>
            </w:pPr>
            <w:r>
              <w:t>26</w:t>
            </w:r>
          </w:p>
        </w:tc>
      </w:tr>
      <w:tr w:rsidR="0074216D" w14:paraId="3989469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F8740F" w14:textId="77777777" w:rsidR="0074216D" w:rsidRDefault="0074216D">
            <w:pPr>
              <w:ind w:left="170"/>
            </w:pPr>
            <w:r>
              <w:rPr>
                <w:i/>
              </w:rPr>
              <w:t>The 2025-26 expected outcome is lower than target, reflecting demand for positions.</w:t>
            </w:r>
          </w:p>
        </w:tc>
      </w:tr>
      <w:tr w:rsidR="0074216D" w14:paraId="46B3CD04" w14:textId="77777777">
        <w:tc>
          <w:tcPr>
            <w:cnfStyle w:val="001000000000" w:firstRow="0" w:lastRow="0" w:firstColumn="1" w:lastColumn="0" w:oddVBand="0" w:evenVBand="0" w:oddHBand="0" w:evenHBand="0" w:firstRowFirstColumn="0" w:firstRowLastColumn="0" w:lastRowFirstColumn="0" w:lastRowLastColumn="0"/>
            <w:tcW w:w="4819" w:type="dxa"/>
          </w:tcPr>
          <w:p w14:paraId="62658184" w14:textId="77777777" w:rsidR="0074216D" w:rsidRDefault="0074216D">
            <w:pPr>
              <w:keepNext/>
              <w:ind w:left="170"/>
            </w:pPr>
            <w:r>
              <w:t>Number of undergraduate nursing and midwifery scholarships supported</w:t>
            </w:r>
          </w:p>
        </w:tc>
        <w:tc>
          <w:tcPr>
            <w:tcW w:w="964" w:type="dxa"/>
          </w:tcPr>
          <w:p w14:paraId="6B26986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2B21730" w14:textId="77777777" w:rsidR="0074216D" w:rsidRDefault="0074216D">
            <w:pPr>
              <w:cnfStyle w:val="000000000000" w:firstRow="0" w:lastRow="0" w:firstColumn="0" w:lastColumn="0" w:oddVBand="0" w:evenVBand="0" w:oddHBand="0" w:evenHBand="0" w:firstRowFirstColumn="0" w:firstRowLastColumn="0" w:lastRowFirstColumn="0" w:lastRowLastColumn="0"/>
            </w:pPr>
            <w:r>
              <w:t>1 750</w:t>
            </w:r>
          </w:p>
        </w:tc>
        <w:tc>
          <w:tcPr>
            <w:tcW w:w="964" w:type="dxa"/>
          </w:tcPr>
          <w:p w14:paraId="45306FDE" w14:textId="77777777" w:rsidR="0074216D" w:rsidRDefault="0074216D">
            <w:pPr>
              <w:cnfStyle w:val="000000000000" w:firstRow="0" w:lastRow="0" w:firstColumn="0" w:lastColumn="0" w:oddVBand="0" w:evenVBand="0" w:oddHBand="0" w:evenHBand="0" w:firstRowFirstColumn="0" w:firstRowLastColumn="0" w:lastRowFirstColumn="0" w:lastRowLastColumn="0"/>
            </w:pPr>
            <w:r>
              <w:t>4 028</w:t>
            </w:r>
          </w:p>
        </w:tc>
        <w:tc>
          <w:tcPr>
            <w:tcW w:w="964" w:type="dxa"/>
          </w:tcPr>
          <w:p w14:paraId="6E4072E9" w14:textId="77777777" w:rsidR="0074216D" w:rsidRDefault="0074216D">
            <w:pPr>
              <w:cnfStyle w:val="000000000000" w:firstRow="0" w:lastRow="0" w:firstColumn="0" w:lastColumn="0" w:oddVBand="0" w:evenVBand="0" w:oddHBand="0" w:evenHBand="0" w:firstRowFirstColumn="0" w:firstRowLastColumn="0" w:lastRowFirstColumn="0" w:lastRowLastColumn="0"/>
            </w:pPr>
            <w:r>
              <w:t>3 959</w:t>
            </w:r>
          </w:p>
        </w:tc>
        <w:tc>
          <w:tcPr>
            <w:tcW w:w="964" w:type="dxa"/>
          </w:tcPr>
          <w:p w14:paraId="398537A0" w14:textId="77777777" w:rsidR="0074216D" w:rsidRDefault="0074216D">
            <w:pPr>
              <w:cnfStyle w:val="000000000000" w:firstRow="0" w:lastRow="0" w:firstColumn="0" w:lastColumn="0" w:oddVBand="0" w:evenVBand="0" w:oddHBand="0" w:evenHBand="0" w:firstRowFirstColumn="0" w:firstRowLastColumn="0" w:lastRowFirstColumn="0" w:lastRowLastColumn="0"/>
            </w:pPr>
            <w:r>
              <w:t>4 705</w:t>
            </w:r>
          </w:p>
        </w:tc>
      </w:tr>
      <w:tr w:rsidR="0074216D" w14:paraId="22F0A6A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ACCEEC3" w14:textId="77777777" w:rsidR="0074216D" w:rsidRDefault="0074216D">
            <w:pPr>
              <w:ind w:left="170"/>
            </w:pPr>
            <w:r>
              <w:rPr>
                <w:i/>
              </w:rPr>
              <w:t>The 2026-27 target reflects that 1 950 individuals remain in the program and not all will complete studies in this financial year.</w:t>
            </w:r>
          </w:p>
        </w:tc>
      </w:tr>
      <w:tr w:rsidR="0074216D" w14:paraId="6A6C0713" w14:textId="77777777">
        <w:tc>
          <w:tcPr>
            <w:cnfStyle w:val="001000000000" w:firstRow="0" w:lastRow="0" w:firstColumn="1" w:lastColumn="0" w:oddVBand="0" w:evenVBand="0" w:oddHBand="0" w:evenHBand="0" w:firstRowFirstColumn="0" w:firstRowLastColumn="0" w:lastRowFirstColumn="0" w:lastRowLastColumn="0"/>
            <w:tcW w:w="4819" w:type="dxa"/>
          </w:tcPr>
          <w:p w14:paraId="0536193B" w14:textId="77777777" w:rsidR="0074216D" w:rsidRDefault="0074216D">
            <w:pPr>
              <w:keepNext/>
              <w:ind w:left="170"/>
            </w:pPr>
            <w:r>
              <w:t>Scholarships for refresher programs and re-entry to practice courses for nurses and midwives</w:t>
            </w:r>
          </w:p>
        </w:tc>
        <w:tc>
          <w:tcPr>
            <w:tcW w:w="964" w:type="dxa"/>
          </w:tcPr>
          <w:p w14:paraId="0772A7A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49591FF" w14:textId="77777777" w:rsidR="0074216D" w:rsidRDefault="0074216D">
            <w:pPr>
              <w:cnfStyle w:val="000000000000" w:firstRow="0" w:lastRow="0" w:firstColumn="0" w:lastColumn="0" w:oddVBand="0" w:evenVBand="0" w:oddHBand="0" w:evenHBand="0" w:firstRowFirstColumn="0" w:firstRowLastColumn="0" w:lastRowFirstColumn="0" w:lastRowLastColumn="0"/>
            </w:pPr>
            <w:r>
              <w:t>54</w:t>
            </w:r>
          </w:p>
        </w:tc>
        <w:tc>
          <w:tcPr>
            <w:tcW w:w="964" w:type="dxa"/>
          </w:tcPr>
          <w:p w14:paraId="090EBA8F" w14:textId="77777777" w:rsidR="0074216D" w:rsidRDefault="0074216D">
            <w:pPr>
              <w:cnfStyle w:val="000000000000" w:firstRow="0" w:lastRow="0" w:firstColumn="0" w:lastColumn="0" w:oddVBand="0" w:evenVBand="0" w:oddHBand="0" w:evenHBand="0" w:firstRowFirstColumn="0" w:firstRowLastColumn="0" w:lastRowFirstColumn="0" w:lastRowLastColumn="0"/>
            </w:pPr>
            <w:r>
              <w:t>207</w:t>
            </w:r>
          </w:p>
        </w:tc>
        <w:tc>
          <w:tcPr>
            <w:tcW w:w="964" w:type="dxa"/>
          </w:tcPr>
          <w:p w14:paraId="1517A80A" w14:textId="77777777" w:rsidR="0074216D" w:rsidRDefault="0074216D">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479641ED" w14:textId="77777777" w:rsidR="0074216D" w:rsidRDefault="0074216D">
            <w:pPr>
              <w:cnfStyle w:val="000000000000" w:firstRow="0" w:lastRow="0" w:firstColumn="0" w:lastColumn="0" w:oddVBand="0" w:evenVBand="0" w:oddHBand="0" w:evenHBand="0" w:firstRowFirstColumn="0" w:firstRowLastColumn="0" w:lastRowFirstColumn="0" w:lastRowLastColumn="0"/>
            </w:pPr>
            <w:r>
              <w:t>228</w:t>
            </w:r>
          </w:p>
        </w:tc>
      </w:tr>
      <w:tr w:rsidR="0074216D" w14:paraId="706F632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D5845E8" w14:textId="77777777" w:rsidR="0074216D" w:rsidRDefault="0074216D">
            <w:pPr>
              <w:ind w:left="170"/>
            </w:pPr>
            <w:r>
              <w:rPr>
                <w:i/>
              </w:rPr>
              <w:t>The 2025-26 expected outcome is lower than the target due to lower than anticipated demand across health services for the Refresher program.</w:t>
            </w:r>
          </w:p>
          <w:p w14:paraId="4E7EC599" w14:textId="77777777" w:rsidR="0074216D" w:rsidRDefault="0074216D">
            <w:pPr>
              <w:ind w:left="170"/>
            </w:pPr>
            <w:r>
              <w:rPr>
                <w:i/>
              </w:rPr>
              <w:t xml:space="preserve">The 2026-27 </w:t>
            </w:r>
            <w:r w:rsidDel="00E3026E">
              <w:rPr>
                <w:i/>
              </w:rPr>
              <w:t xml:space="preserve">target </w:t>
            </w:r>
            <w:r>
              <w:rPr>
                <w:i/>
              </w:rPr>
              <w:t>reflects anticipated program demand.</w:t>
            </w:r>
          </w:p>
        </w:tc>
      </w:tr>
      <w:tr w:rsidR="0074216D" w14:paraId="3170C4C0" w14:textId="77777777">
        <w:tc>
          <w:tcPr>
            <w:cnfStyle w:val="001000000000" w:firstRow="0" w:lastRow="0" w:firstColumn="1" w:lastColumn="0" w:oddVBand="0" w:evenVBand="0" w:oddHBand="0" w:evenHBand="0" w:firstRowFirstColumn="0" w:firstRowLastColumn="0" w:lastRowFirstColumn="0" w:lastRowLastColumn="0"/>
            <w:tcW w:w="4819" w:type="dxa"/>
          </w:tcPr>
          <w:p w14:paraId="7C3B0669" w14:textId="77777777" w:rsidR="0074216D" w:rsidRDefault="0074216D">
            <w:pPr>
              <w:keepNext/>
              <w:ind w:left="170"/>
            </w:pPr>
            <w:r>
              <w:t>Sign-on bonuses for nursing and midwifery graduates</w:t>
            </w:r>
          </w:p>
        </w:tc>
        <w:tc>
          <w:tcPr>
            <w:tcW w:w="964" w:type="dxa"/>
          </w:tcPr>
          <w:p w14:paraId="7F71DC1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E1602A6" w14:textId="77777777" w:rsidR="0074216D" w:rsidRDefault="0074216D">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3D708A79" w14:textId="77777777" w:rsidR="0074216D" w:rsidRDefault="0074216D">
            <w:pPr>
              <w:cnfStyle w:val="000000000000" w:firstRow="0" w:lastRow="0" w:firstColumn="0" w:lastColumn="0" w:oddVBand="0" w:evenVBand="0" w:oddHBand="0" w:evenHBand="0" w:firstRowFirstColumn="0" w:firstRowLastColumn="0" w:lastRowFirstColumn="0" w:lastRowLastColumn="0"/>
            </w:pPr>
            <w:r>
              <w:t>4 108</w:t>
            </w:r>
          </w:p>
        </w:tc>
        <w:tc>
          <w:tcPr>
            <w:tcW w:w="964" w:type="dxa"/>
          </w:tcPr>
          <w:p w14:paraId="217D1A94" w14:textId="77777777" w:rsidR="0074216D" w:rsidRDefault="0074216D">
            <w:pPr>
              <w:cnfStyle w:val="000000000000" w:firstRow="0" w:lastRow="0" w:firstColumn="0" w:lastColumn="0" w:oddVBand="0" w:evenVBand="0" w:oddHBand="0" w:evenHBand="0" w:firstRowFirstColumn="0" w:firstRowLastColumn="0" w:lastRowFirstColumn="0" w:lastRowLastColumn="0"/>
            </w:pPr>
            <w:r>
              <w:t>2 850</w:t>
            </w:r>
          </w:p>
        </w:tc>
        <w:tc>
          <w:tcPr>
            <w:tcW w:w="964" w:type="dxa"/>
          </w:tcPr>
          <w:p w14:paraId="57715257" w14:textId="77777777" w:rsidR="0074216D" w:rsidRDefault="0074216D">
            <w:pPr>
              <w:cnfStyle w:val="000000000000" w:firstRow="0" w:lastRow="0" w:firstColumn="0" w:lastColumn="0" w:oddVBand="0" w:evenVBand="0" w:oddHBand="0" w:evenHBand="0" w:firstRowFirstColumn="0" w:firstRowLastColumn="0" w:lastRowFirstColumn="0" w:lastRowLastColumn="0"/>
            </w:pPr>
            <w:r>
              <w:t>4 631</w:t>
            </w:r>
          </w:p>
        </w:tc>
      </w:tr>
      <w:tr w:rsidR="0074216D" w14:paraId="238D1DE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E38B7DD" w14:textId="77777777" w:rsidR="0074216D" w:rsidRDefault="0074216D">
            <w:pPr>
              <w:ind w:left="170"/>
            </w:pPr>
            <w:r>
              <w:rPr>
                <w:i/>
              </w:rPr>
              <w:t xml:space="preserve">The 2025-26 expected outcome is above target which reflects higher levels of retention within the Victorian public health system of graduate registered nurses/registered midwifes from 2022, 2023 and 2024. </w:t>
            </w:r>
          </w:p>
          <w:p w14:paraId="70F28960" w14:textId="77777777" w:rsidR="0074216D" w:rsidRDefault="0074216D">
            <w:pPr>
              <w:ind w:left="170"/>
            </w:pPr>
            <w:r>
              <w:rPr>
                <w:i/>
              </w:rPr>
              <w:t>The 2026-27 target has increased due to a higher than initially projected numbers of individuals being eligible to claim the sign on bonus.</w:t>
            </w:r>
          </w:p>
        </w:tc>
      </w:tr>
      <w:tr w:rsidR="0074216D" w14:paraId="2BC6675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7C06A99" w14:textId="77777777" w:rsidR="0074216D" w:rsidRPr="005314E1" w:rsidRDefault="0074216D">
            <w:pPr>
              <w:keepNext/>
              <w:rPr>
                <w:b/>
              </w:rPr>
            </w:pPr>
            <w:r w:rsidRPr="005314E1">
              <w:rPr>
                <w:b/>
              </w:rPr>
              <w:t>Quality</w:t>
            </w:r>
          </w:p>
        </w:tc>
      </w:tr>
      <w:tr w:rsidR="0074216D" w14:paraId="24B63AA2"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5767274" w14:textId="77777777" w:rsidR="0074216D" w:rsidRDefault="0074216D">
            <w:pPr>
              <w:keepNext/>
              <w:ind w:left="170"/>
            </w:pPr>
            <w:r>
              <w:t>Learner satisfaction about their feeling of safety and wellbeing while undertaking their program of study at health services</w:t>
            </w:r>
          </w:p>
        </w:tc>
        <w:tc>
          <w:tcPr>
            <w:tcW w:w="964" w:type="dxa"/>
            <w:tcBorders>
              <w:bottom w:val="nil"/>
            </w:tcBorders>
          </w:tcPr>
          <w:p w14:paraId="5C11B8C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EEADF8C"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038EC040"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nil"/>
            </w:tcBorders>
          </w:tcPr>
          <w:p w14:paraId="1672082E"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2FB097A4"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r>
      <w:tr w:rsidR="0074216D" w14:paraId="18A34C02"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DF41A56" w14:textId="77777777" w:rsidR="0074216D" w:rsidRDefault="0074216D">
            <w:pPr>
              <w:ind w:left="170"/>
            </w:pPr>
            <w:r w:rsidRPr="002B2D58">
              <w:rPr>
                <w:i/>
              </w:rPr>
              <w:t>The 2025-26 expected outcome is higher than the target because of a commitment to quality experience and continuous improvement.</w:t>
            </w:r>
          </w:p>
        </w:tc>
      </w:tr>
      <w:tr w:rsidR="0074216D" w14:paraId="77908F07"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BA79875" w14:textId="77777777" w:rsidR="0074216D" w:rsidRPr="005314E1" w:rsidRDefault="0074216D">
            <w:pPr>
              <w:rPr>
                <w:b/>
              </w:rPr>
            </w:pPr>
            <w:r w:rsidRPr="005314E1">
              <w:rPr>
                <w:b/>
              </w:rPr>
              <w:t>Cost</w:t>
            </w:r>
          </w:p>
        </w:tc>
      </w:tr>
      <w:tr w:rsidR="0074216D" w14:paraId="15361984" w14:textId="77777777">
        <w:tc>
          <w:tcPr>
            <w:cnfStyle w:val="001000000000" w:firstRow="0" w:lastRow="0" w:firstColumn="1" w:lastColumn="0" w:oddVBand="0" w:evenVBand="0" w:oddHBand="0" w:evenHBand="0" w:firstRowFirstColumn="0" w:firstRowLastColumn="0" w:lastRowFirstColumn="0" w:lastRowLastColumn="0"/>
            <w:tcW w:w="4819" w:type="dxa"/>
          </w:tcPr>
          <w:p w14:paraId="7FCBE72A" w14:textId="77777777" w:rsidR="0074216D" w:rsidRDefault="0074216D">
            <w:pPr>
              <w:keepNext/>
              <w:ind w:left="170"/>
            </w:pPr>
            <w:r>
              <w:t>Total output cost</w:t>
            </w:r>
          </w:p>
        </w:tc>
        <w:tc>
          <w:tcPr>
            <w:tcW w:w="964" w:type="dxa"/>
          </w:tcPr>
          <w:p w14:paraId="4C703E8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91C90A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87B3A">
              <w:t xml:space="preserve"> 424.5</w:t>
            </w:r>
          </w:p>
        </w:tc>
        <w:tc>
          <w:tcPr>
            <w:tcW w:w="964" w:type="dxa"/>
          </w:tcPr>
          <w:p w14:paraId="27E5F996"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87B3A">
              <w:t xml:space="preserve"> 414.6</w:t>
            </w:r>
          </w:p>
        </w:tc>
        <w:tc>
          <w:tcPr>
            <w:tcW w:w="964" w:type="dxa"/>
          </w:tcPr>
          <w:p w14:paraId="3CA4BBB2"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87B3A">
              <w:t xml:space="preserve"> 424.7</w:t>
            </w:r>
          </w:p>
        </w:tc>
        <w:tc>
          <w:tcPr>
            <w:tcW w:w="964" w:type="dxa"/>
          </w:tcPr>
          <w:p w14:paraId="16C16B1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87B3A">
              <w:t xml:space="preserve"> 384.0</w:t>
            </w:r>
          </w:p>
        </w:tc>
      </w:tr>
    </w:tbl>
    <w:p w14:paraId="06A4C2F0" w14:textId="46A44D5C" w:rsidR="0074216D" w:rsidRDefault="0074216D" w:rsidP="0074216D">
      <w:pPr>
        <w:pStyle w:val="Source"/>
      </w:pPr>
      <w:r>
        <w:t>Source: Department of Health</w:t>
      </w:r>
    </w:p>
    <w:p w14:paraId="4FE8256F" w14:textId="77777777" w:rsidR="0074216D" w:rsidRDefault="0074216D" w:rsidP="0074216D">
      <w:pPr>
        <w:pStyle w:val="Heading3"/>
      </w:pPr>
      <w:r>
        <w:t>Aged and Home Care</w:t>
      </w:r>
      <w:r>
        <w:tab/>
        <w:t>(2026-27: $725.8 million)</w:t>
      </w:r>
    </w:p>
    <w:p w14:paraId="17F0FC74" w14:textId="77777777" w:rsidR="0074216D" w:rsidRPr="00FA384E" w:rsidRDefault="0074216D" w:rsidP="0074216D">
      <w:pPr>
        <w:spacing w:after="120"/>
        <w:rPr>
          <w:rFonts w:ascii="Garamond" w:eastAsia="Garamond" w:hAnsi="Garamond"/>
          <w:lang w:eastAsia="en-AU"/>
        </w:rPr>
      </w:pPr>
      <w:r w:rsidRPr="00E94B41">
        <w:rPr>
          <w:rFonts w:ascii="Garamond" w:eastAsia="Garamond" w:hAnsi="Garamond"/>
          <w:lang w:eastAsia="en-AU"/>
        </w:rPr>
        <w:t>This output includes delivery of a range of community services including support in a residential aged care setting, needs and eligibility assessment to access Commonwealth Government services for older people and programs enabling Victorians to live independently in the community</w:t>
      </w:r>
      <w:r>
        <w:rPr>
          <w:rFonts w:ascii="Garamond" w:eastAsia="Garamond" w:hAnsi="Garamond"/>
          <w:lang w:eastAsia="en-AU"/>
        </w:rPr>
        <w:t>,</w:t>
      </w:r>
      <w:r w:rsidRPr="00E94B41">
        <w:rPr>
          <w:rFonts w:ascii="Garamond" w:eastAsia="Garamond" w:hAnsi="Garamond"/>
          <w:lang w:eastAsia="en-AU"/>
        </w:rPr>
        <w:t xml:space="preserve"> including aids and equipment, low-cost accommodation, eyecare services, and Personal Alert Victoria services.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74216D" w14:paraId="496164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13119B8D" w14:textId="77777777" w:rsidR="0074216D" w:rsidRDefault="0074216D">
            <w:r>
              <w:t>Performance measure</w:t>
            </w:r>
          </w:p>
        </w:tc>
        <w:tc>
          <w:tcPr>
            <w:tcW w:w="964" w:type="dxa"/>
          </w:tcPr>
          <w:p w14:paraId="2589268C"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99896CA"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DDD734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39BADC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66770DC"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6908032A"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84C7A99" w14:textId="77777777" w:rsidR="0074216D" w:rsidRPr="005314E1" w:rsidRDefault="0074216D">
            <w:pPr>
              <w:keepNext/>
              <w:rPr>
                <w:b/>
              </w:rPr>
            </w:pPr>
            <w:r w:rsidRPr="005314E1">
              <w:rPr>
                <w:b/>
              </w:rPr>
              <w:t>Quantity</w:t>
            </w:r>
          </w:p>
        </w:tc>
      </w:tr>
      <w:tr w:rsidR="0074216D" w14:paraId="6795090C" w14:textId="77777777">
        <w:tc>
          <w:tcPr>
            <w:cnfStyle w:val="001000000000" w:firstRow="0" w:lastRow="0" w:firstColumn="1" w:lastColumn="0" w:oddVBand="0" w:evenVBand="0" w:oddHBand="0" w:evenHBand="0" w:firstRowFirstColumn="0" w:firstRowLastColumn="0" w:lastRowFirstColumn="0" w:lastRowLastColumn="0"/>
            <w:tcW w:w="4820" w:type="dxa"/>
          </w:tcPr>
          <w:p w14:paraId="736E5C50" w14:textId="77777777" w:rsidR="0074216D" w:rsidRDefault="0074216D">
            <w:pPr>
              <w:keepNext/>
              <w:ind w:left="170"/>
            </w:pPr>
            <w:r>
              <w:t>Aged care assessments</w:t>
            </w:r>
          </w:p>
        </w:tc>
        <w:tc>
          <w:tcPr>
            <w:tcW w:w="964" w:type="dxa"/>
          </w:tcPr>
          <w:p w14:paraId="6BD8652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7AD0E7C" w14:textId="14DFE2E3" w:rsidR="0074216D" w:rsidRDefault="003E3DEA">
            <w:pPr>
              <w:cnfStyle w:val="000000000000" w:firstRow="0" w:lastRow="0" w:firstColumn="0" w:lastColumn="0" w:oddVBand="0" w:evenVBand="0" w:oddHBand="0" w:evenHBand="0" w:firstRowFirstColumn="0" w:firstRowLastColumn="0" w:lastRowFirstColumn="0" w:lastRowLastColumn="0"/>
            </w:pPr>
            <w:r>
              <w:t>tbc</w:t>
            </w:r>
          </w:p>
        </w:tc>
        <w:tc>
          <w:tcPr>
            <w:tcW w:w="964" w:type="dxa"/>
          </w:tcPr>
          <w:p w14:paraId="7511A75A" w14:textId="77777777" w:rsidR="0074216D" w:rsidRDefault="0074216D">
            <w:pPr>
              <w:cnfStyle w:val="000000000000" w:firstRow="0" w:lastRow="0" w:firstColumn="0" w:lastColumn="0" w:oddVBand="0" w:evenVBand="0" w:oddHBand="0" w:evenHBand="0" w:firstRowFirstColumn="0" w:firstRowLastColumn="0" w:lastRowFirstColumn="0" w:lastRowLastColumn="0"/>
            </w:pPr>
            <w:r>
              <w:t>48 474</w:t>
            </w:r>
          </w:p>
        </w:tc>
        <w:tc>
          <w:tcPr>
            <w:tcW w:w="964" w:type="dxa"/>
          </w:tcPr>
          <w:p w14:paraId="414E0EA6" w14:textId="7B4F6B0E" w:rsidR="0074216D" w:rsidRDefault="003E3DEA">
            <w:pPr>
              <w:cnfStyle w:val="000000000000" w:firstRow="0" w:lastRow="0" w:firstColumn="0" w:lastColumn="0" w:oddVBand="0" w:evenVBand="0" w:oddHBand="0" w:evenHBand="0" w:firstRowFirstColumn="0" w:firstRowLastColumn="0" w:lastRowFirstColumn="0" w:lastRowLastColumn="0"/>
            </w:pPr>
            <w:r>
              <w:t>tbc</w:t>
            </w:r>
          </w:p>
        </w:tc>
        <w:tc>
          <w:tcPr>
            <w:tcW w:w="964" w:type="dxa"/>
          </w:tcPr>
          <w:p w14:paraId="6A94BFF5" w14:textId="77777777" w:rsidR="0074216D" w:rsidRDefault="0074216D">
            <w:pPr>
              <w:cnfStyle w:val="000000000000" w:firstRow="0" w:lastRow="0" w:firstColumn="0" w:lastColumn="0" w:oddVBand="0" w:evenVBand="0" w:oddHBand="0" w:evenHBand="0" w:firstRowFirstColumn="0" w:firstRowLastColumn="0" w:lastRowFirstColumn="0" w:lastRowLastColumn="0"/>
            </w:pPr>
            <w:r>
              <w:t>63 870</w:t>
            </w:r>
          </w:p>
        </w:tc>
      </w:tr>
      <w:tr w:rsidR="0074216D" w14:paraId="19D95F78"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B88F28A" w14:textId="16D20BD3" w:rsidR="0074216D" w:rsidRPr="008543B6" w:rsidRDefault="0074216D">
            <w:pPr>
              <w:ind w:left="170"/>
              <w:rPr>
                <w:i/>
              </w:rPr>
            </w:pPr>
            <w:r w:rsidRPr="008543B6">
              <w:rPr>
                <w:i/>
              </w:rPr>
              <w:t xml:space="preserve">No target was set for 2025-26 due to implementation of </w:t>
            </w:r>
            <w:r>
              <w:rPr>
                <w:i/>
              </w:rPr>
              <w:t>the Commonwealth’s</w:t>
            </w:r>
            <w:r w:rsidRPr="008543B6">
              <w:rPr>
                <w:i/>
              </w:rPr>
              <w:t xml:space="preserve"> single assessment model. A new single aged care assessment model is being implemented by the Commonwealth, with the new model measures and targets pending following </w:t>
            </w:r>
            <w:r>
              <w:rPr>
                <w:i/>
              </w:rPr>
              <w:t xml:space="preserve">ongoing </w:t>
            </w:r>
            <w:r w:rsidRPr="008543B6">
              <w:rPr>
                <w:i/>
              </w:rPr>
              <w:t>bilateral negotiations</w:t>
            </w:r>
            <w:r>
              <w:rPr>
                <w:i/>
              </w:rPr>
              <w:t>.</w:t>
            </w:r>
          </w:p>
          <w:p w14:paraId="7AFB6833" w14:textId="183BFFC5" w:rsidR="0074216D" w:rsidRDefault="0074216D">
            <w:pPr>
              <w:ind w:left="170"/>
            </w:pPr>
            <w:r>
              <w:rPr>
                <w:i/>
              </w:rPr>
              <w:t>The 20</w:t>
            </w:r>
            <w:r w:rsidRPr="008543B6">
              <w:rPr>
                <w:i/>
              </w:rPr>
              <w:t xml:space="preserve">25-26 </w:t>
            </w:r>
            <w:r>
              <w:rPr>
                <w:i/>
              </w:rPr>
              <w:t>expected outcome</w:t>
            </w:r>
            <w:r w:rsidRPr="008543B6">
              <w:rPr>
                <w:i/>
              </w:rPr>
              <w:t xml:space="preserve"> reflects demand under </w:t>
            </w:r>
            <w:r w:rsidRPr="00EF7BC9">
              <w:rPr>
                <w:i/>
              </w:rPr>
              <w:t xml:space="preserve">new </w:t>
            </w:r>
            <w:r w:rsidRPr="0046387A">
              <w:rPr>
                <w:i/>
              </w:rPr>
              <w:t>contracted</w:t>
            </w:r>
            <w:r w:rsidRPr="008543B6">
              <w:rPr>
                <w:i/>
              </w:rPr>
              <w:t xml:space="preserve"> Commonwealth Aged Care Assessment model.</w:t>
            </w:r>
          </w:p>
        </w:tc>
      </w:tr>
      <w:tr w:rsidR="0074216D" w14:paraId="7226BEAA"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3304AA5" w14:textId="77777777" w:rsidR="0074216D" w:rsidRDefault="0074216D">
            <w:pPr>
              <w:ind w:left="170"/>
            </w:pPr>
            <w:r>
              <w:t>Available bed days</w:t>
            </w:r>
          </w:p>
        </w:tc>
        <w:tc>
          <w:tcPr>
            <w:tcW w:w="964" w:type="dxa"/>
            <w:tcBorders>
              <w:bottom w:val="single" w:sz="6" w:space="0" w:color="auto"/>
            </w:tcBorders>
          </w:tcPr>
          <w:p w14:paraId="2EAC83C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tcBorders>
              <w:bottom w:val="single" w:sz="6" w:space="0" w:color="auto"/>
            </w:tcBorders>
            <w:shd w:val="clear" w:color="auto" w:fill="F0F0F0"/>
          </w:tcPr>
          <w:p w14:paraId="2B48D325" w14:textId="77777777" w:rsidR="0074216D" w:rsidRDefault="0074216D">
            <w:pPr>
              <w:cnfStyle w:val="000000000000" w:firstRow="0" w:lastRow="0" w:firstColumn="0" w:lastColumn="0" w:oddVBand="0" w:evenVBand="0" w:oddHBand="0" w:evenHBand="0" w:firstRowFirstColumn="0" w:firstRowLastColumn="0" w:lastRowFirstColumn="0" w:lastRowLastColumn="0"/>
            </w:pPr>
            <w:r>
              <w:t>1 121 683</w:t>
            </w:r>
          </w:p>
        </w:tc>
        <w:tc>
          <w:tcPr>
            <w:tcW w:w="964" w:type="dxa"/>
            <w:tcBorders>
              <w:bottom w:val="single" w:sz="6" w:space="0" w:color="auto"/>
            </w:tcBorders>
          </w:tcPr>
          <w:p w14:paraId="23D90876" w14:textId="77777777" w:rsidR="0074216D" w:rsidRDefault="0074216D">
            <w:pPr>
              <w:cnfStyle w:val="000000000000" w:firstRow="0" w:lastRow="0" w:firstColumn="0" w:lastColumn="0" w:oddVBand="0" w:evenVBand="0" w:oddHBand="0" w:evenHBand="0" w:firstRowFirstColumn="0" w:firstRowLastColumn="0" w:lastRowFirstColumn="0" w:lastRowLastColumn="0"/>
            </w:pPr>
            <w:r>
              <w:t>1 115 814</w:t>
            </w:r>
          </w:p>
        </w:tc>
        <w:tc>
          <w:tcPr>
            <w:tcW w:w="964" w:type="dxa"/>
            <w:tcBorders>
              <w:bottom w:val="single" w:sz="6" w:space="0" w:color="auto"/>
            </w:tcBorders>
          </w:tcPr>
          <w:p w14:paraId="58265E6C" w14:textId="77777777" w:rsidR="0074216D" w:rsidRDefault="0074216D">
            <w:pPr>
              <w:cnfStyle w:val="000000000000" w:firstRow="0" w:lastRow="0" w:firstColumn="0" w:lastColumn="0" w:oddVBand="0" w:evenVBand="0" w:oddHBand="0" w:evenHBand="0" w:firstRowFirstColumn="0" w:firstRowLastColumn="0" w:lastRowFirstColumn="0" w:lastRowLastColumn="0"/>
            </w:pPr>
            <w:r>
              <w:t>1 121 683</w:t>
            </w:r>
          </w:p>
        </w:tc>
        <w:tc>
          <w:tcPr>
            <w:tcW w:w="964" w:type="dxa"/>
            <w:tcBorders>
              <w:bottom w:val="single" w:sz="6" w:space="0" w:color="auto"/>
            </w:tcBorders>
          </w:tcPr>
          <w:p w14:paraId="530140FB" w14:textId="77777777" w:rsidR="0074216D" w:rsidRDefault="0074216D">
            <w:pPr>
              <w:cnfStyle w:val="000000000000" w:firstRow="0" w:lastRow="0" w:firstColumn="0" w:lastColumn="0" w:oddVBand="0" w:evenVBand="0" w:oddHBand="0" w:evenHBand="0" w:firstRowFirstColumn="0" w:firstRowLastColumn="0" w:lastRowFirstColumn="0" w:lastRowLastColumn="0"/>
            </w:pPr>
            <w:r>
              <w:t>1 091 638</w:t>
            </w:r>
          </w:p>
        </w:tc>
      </w:tr>
      <w:tr w:rsidR="0074216D" w14:paraId="0AD6F10F" w14:textId="77777777">
        <w:tc>
          <w:tcPr>
            <w:cnfStyle w:val="001000000000" w:firstRow="0" w:lastRow="0" w:firstColumn="1" w:lastColumn="0" w:oddVBand="0" w:evenVBand="0" w:oddHBand="0" w:evenHBand="0" w:firstRowFirstColumn="0" w:firstRowLastColumn="0" w:lastRowFirstColumn="0" w:lastRowLastColumn="0"/>
            <w:tcW w:w="4820" w:type="dxa"/>
          </w:tcPr>
          <w:p w14:paraId="536D65A9" w14:textId="77777777" w:rsidR="0074216D" w:rsidRDefault="0074216D">
            <w:pPr>
              <w:keepNext/>
              <w:ind w:left="170"/>
            </w:pPr>
            <w:r>
              <w:lastRenderedPageBreak/>
              <w:t>Clients accessing aids and equipment</w:t>
            </w:r>
          </w:p>
        </w:tc>
        <w:tc>
          <w:tcPr>
            <w:tcW w:w="964" w:type="dxa"/>
          </w:tcPr>
          <w:p w14:paraId="26E1DF6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2457366" w14:textId="77777777" w:rsidR="0074216D" w:rsidRDefault="0074216D">
            <w:pPr>
              <w:cnfStyle w:val="000000000000" w:firstRow="0" w:lastRow="0" w:firstColumn="0" w:lastColumn="0" w:oddVBand="0" w:evenVBand="0" w:oddHBand="0" w:evenHBand="0" w:firstRowFirstColumn="0" w:firstRowLastColumn="0" w:lastRowFirstColumn="0" w:lastRowLastColumn="0"/>
            </w:pPr>
            <w:r>
              <w:t>27 002</w:t>
            </w:r>
          </w:p>
        </w:tc>
        <w:tc>
          <w:tcPr>
            <w:tcW w:w="964" w:type="dxa"/>
          </w:tcPr>
          <w:p w14:paraId="7D68F43B" w14:textId="77777777" w:rsidR="0074216D" w:rsidRDefault="0074216D">
            <w:pPr>
              <w:cnfStyle w:val="000000000000" w:firstRow="0" w:lastRow="0" w:firstColumn="0" w:lastColumn="0" w:oddVBand="0" w:evenVBand="0" w:oddHBand="0" w:evenHBand="0" w:firstRowFirstColumn="0" w:firstRowLastColumn="0" w:lastRowFirstColumn="0" w:lastRowLastColumn="0"/>
            </w:pPr>
            <w:r>
              <w:t>24 302</w:t>
            </w:r>
          </w:p>
        </w:tc>
        <w:tc>
          <w:tcPr>
            <w:tcW w:w="964" w:type="dxa"/>
          </w:tcPr>
          <w:p w14:paraId="3E6E7604" w14:textId="77777777" w:rsidR="0074216D" w:rsidRDefault="0074216D">
            <w:pPr>
              <w:cnfStyle w:val="000000000000" w:firstRow="0" w:lastRow="0" w:firstColumn="0" w:lastColumn="0" w:oddVBand="0" w:evenVBand="0" w:oddHBand="0" w:evenHBand="0" w:firstRowFirstColumn="0" w:firstRowLastColumn="0" w:lastRowFirstColumn="0" w:lastRowLastColumn="0"/>
            </w:pPr>
            <w:r>
              <w:t>27 002</w:t>
            </w:r>
          </w:p>
        </w:tc>
        <w:tc>
          <w:tcPr>
            <w:tcW w:w="964" w:type="dxa"/>
          </w:tcPr>
          <w:p w14:paraId="2EB25796" w14:textId="77777777" w:rsidR="0074216D" w:rsidRDefault="0074216D">
            <w:pPr>
              <w:cnfStyle w:val="000000000000" w:firstRow="0" w:lastRow="0" w:firstColumn="0" w:lastColumn="0" w:oddVBand="0" w:evenVBand="0" w:oddHBand="0" w:evenHBand="0" w:firstRowFirstColumn="0" w:firstRowLastColumn="0" w:lastRowFirstColumn="0" w:lastRowLastColumn="0"/>
            </w:pPr>
            <w:r>
              <w:t>22 967</w:t>
            </w:r>
          </w:p>
        </w:tc>
      </w:tr>
      <w:tr w:rsidR="0074216D" w14:paraId="2906BB19"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2EA7E93" w14:textId="77777777" w:rsidR="0074216D" w:rsidRDefault="0074216D">
            <w:pPr>
              <w:ind w:left="170"/>
            </w:pPr>
            <w:r>
              <w:rPr>
                <w:i/>
              </w:rPr>
              <w:t>The 2025-26 expected outcome is below target</w:t>
            </w:r>
            <w:r w:rsidRPr="00452154">
              <w:rPr>
                <w:i/>
              </w:rPr>
              <w:t xml:space="preserve"> due to the increasing complexity and needs of clients as well as the impact on demand and need related to national aged care and disability reforms.</w:t>
            </w:r>
            <w:r>
              <w:rPr>
                <w:i/>
              </w:rPr>
              <w:t xml:space="preserve"> </w:t>
            </w:r>
          </w:p>
        </w:tc>
      </w:tr>
      <w:tr w:rsidR="0074216D" w14:paraId="7BE71E9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24484EE" w14:textId="77777777" w:rsidR="0074216D" w:rsidRDefault="0074216D">
            <w:pPr>
              <w:ind w:left="170"/>
            </w:pPr>
            <w:r>
              <w:t>Personal alert units allocated</w:t>
            </w:r>
          </w:p>
        </w:tc>
        <w:tc>
          <w:tcPr>
            <w:tcW w:w="964" w:type="dxa"/>
            <w:tcBorders>
              <w:bottom w:val="single" w:sz="6" w:space="0" w:color="auto"/>
            </w:tcBorders>
          </w:tcPr>
          <w:p w14:paraId="19AC3F9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00FF58D" w14:textId="77777777" w:rsidR="0074216D" w:rsidRDefault="0074216D">
            <w:pPr>
              <w:cnfStyle w:val="000000000000" w:firstRow="0" w:lastRow="0" w:firstColumn="0" w:lastColumn="0" w:oddVBand="0" w:evenVBand="0" w:oddHBand="0" w:evenHBand="0" w:firstRowFirstColumn="0" w:firstRowLastColumn="0" w:lastRowFirstColumn="0" w:lastRowLastColumn="0"/>
            </w:pPr>
            <w:r>
              <w:t>24 621</w:t>
            </w:r>
          </w:p>
        </w:tc>
        <w:tc>
          <w:tcPr>
            <w:tcW w:w="964" w:type="dxa"/>
            <w:tcBorders>
              <w:bottom w:val="single" w:sz="6" w:space="0" w:color="auto"/>
            </w:tcBorders>
          </w:tcPr>
          <w:p w14:paraId="7F4BD219" w14:textId="77777777" w:rsidR="0074216D" w:rsidRDefault="0074216D">
            <w:pPr>
              <w:cnfStyle w:val="000000000000" w:firstRow="0" w:lastRow="0" w:firstColumn="0" w:lastColumn="0" w:oddVBand="0" w:evenVBand="0" w:oddHBand="0" w:evenHBand="0" w:firstRowFirstColumn="0" w:firstRowLastColumn="0" w:lastRowFirstColumn="0" w:lastRowLastColumn="0"/>
            </w:pPr>
            <w:r>
              <w:t>24 621</w:t>
            </w:r>
          </w:p>
        </w:tc>
        <w:tc>
          <w:tcPr>
            <w:tcW w:w="964" w:type="dxa"/>
            <w:tcBorders>
              <w:bottom w:val="single" w:sz="6" w:space="0" w:color="auto"/>
            </w:tcBorders>
          </w:tcPr>
          <w:p w14:paraId="1AC80BE9" w14:textId="77777777" w:rsidR="0074216D" w:rsidRDefault="0074216D">
            <w:pPr>
              <w:cnfStyle w:val="000000000000" w:firstRow="0" w:lastRow="0" w:firstColumn="0" w:lastColumn="0" w:oddVBand="0" w:evenVBand="0" w:oddHBand="0" w:evenHBand="0" w:firstRowFirstColumn="0" w:firstRowLastColumn="0" w:lastRowFirstColumn="0" w:lastRowLastColumn="0"/>
            </w:pPr>
            <w:r>
              <w:t>24 621</w:t>
            </w:r>
          </w:p>
        </w:tc>
        <w:tc>
          <w:tcPr>
            <w:tcW w:w="964" w:type="dxa"/>
            <w:tcBorders>
              <w:bottom w:val="single" w:sz="6" w:space="0" w:color="auto"/>
            </w:tcBorders>
          </w:tcPr>
          <w:p w14:paraId="077DB075" w14:textId="77777777" w:rsidR="0074216D" w:rsidRDefault="0074216D">
            <w:pPr>
              <w:cnfStyle w:val="000000000000" w:firstRow="0" w:lastRow="0" w:firstColumn="0" w:lastColumn="0" w:oddVBand="0" w:evenVBand="0" w:oddHBand="0" w:evenHBand="0" w:firstRowFirstColumn="0" w:firstRowLastColumn="0" w:lastRowFirstColumn="0" w:lastRowLastColumn="0"/>
            </w:pPr>
            <w:r>
              <w:t>24 621</w:t>
            </w:r>
          </w:p>
        </w:tc>
      </w:tr>
      <w:tr w:rsidR="0074216D" w14:paraId="5E0A6F09"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C8C8501" w14:textId="77777777" w:rsidR="0074216D" w:rsidRDefault="0074216D">
            <w:pPr>
              <w:ind w:left="170"/>
            </w:pPr>
            <w:r>
              <w:t>Victorian Eyecare Service (Unique Patients Seen)</w:t>
            </w:r>
          </w:p>
        </w:tc>
        <w:tc>
          <w:tcPr>
            <w:tcW w:w="964" w:type="dxa"/>
            <w:tcBorders>
              <w:bottom w:val="single" w:sz="6" w:space="0" w:color="auto"/>
            </w:tcBorders>
          </w:tcPr>
          <w:p w14:paraId="65D7599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194FB28" w14:textId="77777777" w:rsidR="0074216D" w:rsidRDefault="0074216D">
            <w:pPr>
              <w:cnfStyle w:val="000000000000" w:firstRow="0" w:lastRow="0" w:firstColumn="0" w:lastColumn="0" w:oddVBand="0" w:evenVBand="0" w:oddHBand="0" w:evenHBand="0" w:firstRowFirstColumn="0" w:firstRowLastColumn="0" w:lastRowFirstColumn="0" w:lastRowLastColumn="0"/>
            </w:pPr>
            <w:r>
              <w:t>56 180</w:t>
            </w:r>
          </w:p>
        </w:tc>
        <w:tc>
          <w:tcPr>
            <w:tcW w:w="964" w:type="dxa"/>
            <w:tcBorders>
              <w:bottom w:val="single" w:sz="6" w:space="0" w:color="auto"/>
            </w:tcBorders>
          </w:tcPr>
          <w:p w14:paraId="1B73E654" w14:textId="77777777" w:rsidR="0074216D" w:rsidRDefault="0074216D">
            <w:pPr>
              <w:cnfStyle w:val="000000000000" w:firstRow="0" w:lastRow="0" w:firstColumn="0" w:lastColumn="0" w:oddVBand="0" w:evenVBand="0" w:oddHBand="0" w:evenHBand="0" w:firstRowFirstColumn="0" w:firstRowLastColumn="0" w:lastRowFirstColumn="0" w:lastRowLastColumn="0"/>
            </w:pPr>
            <w:r>
              <w:t>56 624</w:t>
            </w:r>
          </w:p>
        </w:tc>
        <w:tc>
          <w:tcPr>
            <w:tcW w:w="964" w:type="dxa"/>
            <w:tcBorders>
              <w:bottom w:val="single" w:sz="6" w:space="0" w:color="auto"/>
            </w:tcBorders>
          </w:tcPr>
          <w:p w14:paraId="4857F237" w14:textId="77777777" w:rsidR="0074216D" w:rsidRDefault="0074216D">
            <w:pPr>
              <w:cnfStyle w:val="000000000000" w:firstRow="0" w:lastRow="0" w:firstColumn="0" w:lastColumn="0" w:oddVBand="0" w:evenVBand="0" w:oddHBand="0" w:evenHBand="0" w:firstRowFirstColumn="0" w:firstRowLastColumn="0" w:lastRowFirstColumn="0" w:lastRowLastColumn="0"/>
            </w:pPr>
            <w:r>
              <w:t>56 180</w:t>
            </w:r>
          </w:p>
        </w:tc>
        <w:tc>
          <w:tcPr>
            <w:tcW w:w="964" w:type="dxa"/>
            <w:tcBorders>
              <w:bottom w:val="single" w:sz="6" w:space="0" w:color="auto"/>
            </w:tcBorders>
          </w:tcPr>
          <w:p w14:paraId="70F40FAE" w14:textId="496B7E88" w:rsidR="0074216D" w:rsidRDefault="003E3DEA">
            <w:pPr>
              <w:cnfStyle w:val="000000000000" w:firstRow="0" w:lastRow="0" w:firstColumn="0" w:lastColumn="0" w:oddVBand="0" w:evenVBand="0" w:oddHBand="0" w:evenHBand="0" w:firstRowFirstColumn="0" w:firstRowLastColumn="0" w:lastRowFirstColumn="0" w:lastRowLastColumn="0"/>
            </w:pPr>
            <w:r>
              <w:t>nm</w:t>
            </w:r>
          </w:p>
        </w:tc>
      </w:tr>
      <w:tr w:rsidR="0074216D" w14:paraId="7F41EA3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1528A9B" w14:textId="77777777" w:rsidR="0074216D" w:rsidRDefault="0074216D">
            <w:pPr>
              <w:ind w:left="170"/>
            </w:pPr>
            <w:r>
              <w:t>Victorian Eyecare Service (Visual Aids prescribed)</w:t>
            </w:r>
          </w:p>
        </w:tc>
        <w:tc>
          <w:tcPr>
            <w:tcW w:w="964" w:type="dxa"/>
            <w:tcBorders>
              <w:bottom w:val="single" w:sz="6" w:space="0" w:color="auto"/>
            </w:tcBorders>
          </w:tcPr>
          <w:p w14:paraId="669C2A1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007564D" w14:textId="77777777" w:rsidR="0074216D" w:rsidRDefault="0074216D">
            <w:pPr>
              <w:cnfStyle w:val="000000000000" w:firstRow="0" w:lastRow="0" w:firstColumn="0" w:lastColumn="0" w:oddVBand="0" w:evenVBand="0" w:oddHBand="0" w:evenHBand="0" w:firstRowFirstColumn="0" w:firstRowLastColumn="0" w:lastRowFirstColumn="0" w:lastRowLastColumn="0"/>
            </w:pPr>
            <w:r>
              <w:t>32 780</w:t>
            </w:r>
          </w:p>
        </w:tc>
        <w:tc>
          <w:tcPr>
            <w:tcW w:w="964" w:type="dxa"/>
            <w:tcBorders>
              <w:bottom w:val="single" w:sz="6" w:space="0" w:color="auto"/>
            </w:tcBorders>
          </w:tcPr>
          <w:p w14:paraId="04868651" w14:textId="77777777" w:rsidR="0074216D" w:rsidRDefault="0074216D">
            <w:pPr>
              <w:cnfStyle w:val="000000000000" w:firstRow="0" w:lastRow="0" w:firstColumn="0" w:lastColumn="0" w:oddVBand="0" w:evenVBand="0" w:oddHBand="0" w:evenHBand="0" w:firstRowFirstColumn="0" w:firstRowLastColumn="0" w:lastRowFirstColumn="0" w:lastRowLastColumn="0"/>
            </w:pPr>
            <w:r>
              <w:t>32 261</w:t>
            </w:r>
          </w:p>
        </w:tc>
        <w:tc>
          <w:tcPr>
            <w:tcW w:w="964" w:type="dxa"/>
            <w:tcBorders>
              <w:bottom w:val="single" w:sz="6" w:space="0" w:color="auto"/>
            </w:tcBorders>
          </w:tcPr>
          <w:p w14:paraId="37DB89B3" w14:textId="77777777" w:rsidR="0074216D" w:rsidRDefault="0074216D">
            <w:pPr>
              <w:cnfStyle w:val="000000000000" w:firstRow="0" w:lastRow="0" w:firstColumn="0" w:lastColumn="0" w:oddVBand="0" w:evenVBand="0" w:oddHBand="0" w:evenHBand="0" w:firstRowFirstColumn="0" w:firstRowLastColumn="0" w:lastRowFirstColumn="0" w:lastRowLastColumn="0"/>
            </w:pPr>
            <w:r>
              <w:t>32 780</w:t>
            </w:r>
          </w:p>
        </w:tc>
        <w:tc>
          <w:tcPr>
            <w:tcW w:w="964" w:type="dxa"/>
            <w:tcBorders>
              <w:bottom w:val="single" w:sz="6" w:space="0" w:color="auto"/>
            </w:tcBorders>
          </w:tcPr>
          <w:p w14:paraId="7C3E5B4F" w14:textId="524E3D87" w:rsidR="0074216D" w:rsidRDefault="003E3DEA">
            <w:pPr>
              <w:cnfStyle w:val="000000000000" w:firstRow="0" w:lastRow="0" w:firstColumn="0" w:lastColumn="0" w:oddVBand="0" w:evenVBand="0" w:oddHBand="0" w:evenHBand="0" w:firstRowFirstColumn="0" w:firstRowLastColumn="0" w:lastRowFirstColumn="0" w:lastRowLastColumn="0"/>
            </w:pPr>
            <w:r>
              <w:t>nm</w:t>
            </w:r>
          </w:p>
        </w:tc>
      </w:tr>
      <w:tr w:rsidR="0074216D" w14:paraId="6D9D77D9"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1EC4592B" w14:textId="77777777" w:rsidR="0074216D" w:rsidRPr="005314E1" w:rsidRDefault="0074216D">
            <w:pPr>
              <w:keepNext/>
              <w:rPr>
                <w:b/>
              </w:rPr>
            </w:pPr>
            <w:r w:rsidRPr="005314E1">
              <w:rPr>
                <w:b/>
              </w:rPr>
              <w:t>Quality</w:t>
            </w:r>
          </w:p>
        </w:tc>
      </w:tr>
      <w:tr w:rsidR="0074216D" w14:paraId="20790EA8"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D0BA6A2" w14:textId="77777777" w:rsidR="0074216D" w:rsidRDefault="0074216D">
            <w:pPr>
              <w:ind w:left="170"/>
            </w:pPr>
            <w:r>
              <w:t>Clients satisfied with the aids and equipment services system</w:t>
            </w:r>
          </w:p>
        </w:tc>
        <w:tc>
          <w:tcPr>
            <w:tcW w:w="964" w:type="dxa"/>
            <w:tcBorders>
              <w:bottom w:val="single" w:sz="6" w:space="0" w:color="auto"/>
            </w:tcBorders>
          </w:tcPr>
          <w:p w14:paraId="530476C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D4DC001"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ACBCF09"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7D28308"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1F99FED" w14:textId="77777777" w:rsidR="0074216D" w:rsidRDefault="0074216D">
            <w:pPr>
              <w:cnfStyle w:val="000000000000" w:firstRow="0" w:lastRow="0" w:firstColumn="0" w:lastColumn="0" w:oddVBand="0" w:evenVBand="0" w:oddHBand="0" w:evenHBand="0" w:firstRowFirstColumn="0" w:firstRowLastColumn="0" w:lastRowFirstColumn="0" w:lastRowLastColumn="0"/>
            </w:pPr>
            <w:r>
              <w:t>94</w:t>
            </w:r>
          </w:p>
        </w:tc>
      </w:tr>
      <w:tr w:rsidR="0074216D" w14:paraId="42191FD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F34086A" w14:textId="77777777" w:rsidR="0074216D" w:rsidRDefault="0074216D">
            <w:pPr>
              <w:ind w:left="170"/>
            </w:pPr>
            <w:r>
              <w:t>Funded research and service development projects for which satisfactory reports have been received</w:t>
            </w:r>
          </w:p>
        </w:tc>
        <w:tc>
          <w:tcPr>
            <w:tcW w:w="964" w:type="dxa"/>
            <w:tcBorders>
              <w:bottom w:val="single" w:sz="6" w:space="0" w:color="auto"/>
            </w:tcBorders>
          </w:tcPr>
          <w:p w14:paraId="6A33ABF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B59EED0"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42B7C9A"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357EE06"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F5319FF"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51F93D2E" w14:textId="77777777">
        <w:tc>
          <w:tcPr>
            <w:cnfStyle w:val="001000000000" w:firstRow="0" w:lastRow="0" w:firstColumn="1" w:lastColumn="0" w:oddVBand="0" w:evenVBand="0" w:oddHBand="0" w:evenHBand="0" w:firstRowFirstColumn="0" w:firstRowLastColumn="0" w:lastRowFirstColumn="0" w:lastRowLastColumn="0"/>
            <w:tcW w:w="4820" w:type="dxa"/>
          </w:tcPr>
          <w:p w14:paraId="58E7F4B1" w14:textId="41CB86DD" w:rsidR="0074216D" w:rsidRDefault="0074216D">
            <w:pPr>
              <w:keepNext/>
              <w:ind w:left="170"/>
            </w:pPr>
            <w:r>
              <w:t xml:space="preserve">Residential aged care services </w:t>
            </w:r>
            <w:r w:rsidR="002B0C7C">
              <w:t>–</w:t>
            </w:r>
            <w:r>
              <w:t xml:space="preserve"> registered</w:t>
            </w:r>
          </w:p>
        </w:tc>
        <w:tc>
          <w:tcPr>
            <w:tcW w:w="964" w:type="dxa"/>
          </w:tcPr>
          <w:p w14:paraId="55A305D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A24C7C6"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010E4A1"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31FA4F8"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008859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42FF2997"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1ACF350" w14:textId="664323C5" w:rsidR="0074216D" w:rsidRDefault="0074216D">
            <w:pPr>
              <w:ind w:left="170"/>
            </w:pPr>
            <w:r>
              <w:rPr>
                <w:i/>
              </w:rPr>
              <w:t xml:space="preserve">The performance measure, </w:t>
            </w:r>
            <w:r w:rsidR="00324555">
              <w:rPr>
                <w:i/>
              </w:rPr>
              <w:t>‘</w:t>
            </w:r>
            <w:r>
              <w:rPr>
                <w:i/>
              </w:rPr>
              <w:t>Residential care services accredited</w:t>
            </w:r>
            <w:r w:rsidR="00324555">
              <w:rPr>
                <w:i/>
              </w:rPr>
              <w:t>’</w:t>
            </w:r>
            <w:r>
              <w:rPr>
                <w:i/>
              </w:rPr>
              <w:t xml:space="preserve"> has been renamed to reflect language changes in the </w:t>
            </w:r>
            <w:r w:rsidRPr="00294453">
              <w:rPr>
                <w:iCs/>
              </w:rPr>
              <w:t>New Aged Care Act 2024</w:t>
            </w:r>
            <w:r w:rsidRPr="00494511">
              <w:t xml:space="preserve"> (Commonwealth)</w:t>
            </w:r>
            <w:r>
              <w:rPr>
                <w:i/>
              </w:rPr>
              <w:t>.</w:t>
            </w:r>
          </w:p>
        </w:tc>
      </w:tr>
      <w:tr w:rsidR="0074216D" w14:paraId="4E781930"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1EB646A" w14:textId="77777777" w:rsidR="0074216D" w:rsidRPr="005314E1" w:rsidRDefault="0074216D">
            <w:pPr>
              <w:keepNext/>
              <w:rPr>
                <w:b/>
              </w:rPr>
            </w:pPr>
            <w:r w:rsidRPr="005314E1">
              <w:rPr>
                <w:b/>
              </w:rPr>
              <w:t>Timeliness</w:t>
            </w:r>
          </w:p>
        </w:tc>
      </w:tr>
      <w:tr w:rsidR="0074216D" w14:paraId="642F880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06B28BE" w14:textId="77777777" w:rsidR="0074216D" w:rsidRDefault="0074216D">
            <w:pPr>
              <w:ind w:left="170"/>
            </w:pPr>
            <w:r>
              <w:t>Applications for aids and equipment acknowledged in writing within 10 working days</w:t>
            </w:r>
          </w:p>
        </w:tc>
        <w:tc>
          <w:tcPr>
            <w:tcW w:w="964" w:type="dxa"/>
            <w:tcBorders>
              <w:bottom w:val="single" w:sz="6" w:space="0" w:color="auto"/>
            </w:tcBorders>
          </w:tcPr>
          <w:p w14:paraId="5A06E6D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5D30D57"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CB39BC6"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16BB440"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BEED35F" w14:textId="77777777" w:rsidR="0074216D" w:rsidRDefault="0074216D">
            <w:pPr>
              <w:cnfStyle w:val="000000000000" w:firstRow="0" w:lastRow="0" w:firstColumn="0" w:lastColumn="0" w:oddVBand="0" w:evenVBand="0" w:oddHBand="0" w:evenHBand="0" w:firstRowFirstColumn="0" w:firstRowLastColumn="0" w:lastRowFirstColumn="0" w:lastRowLastColumn="0"/>
            </w:pPr>
            <w:r>
              <w:t>99.8</w:t>
            </w:r>
          </w:p>
        </w:tc>
      </w:tr>
      <w:tr w:rsidR="0074216D" w14:paraId="20B64A48" w14:textId="77777777">
        <w:tc>
          <w:tcPr>
            <w:cnfStyle w:val="001000000000" w:firstRow="0" w:lastRow="0" w:firstColumn="1" w:lastColumn="0" w:oddVBand="0" w:evenVBand="0" w:oddHBand="0" w:evenHBand="0" w:firstRowFirstColumn="0" w:firstRowLastColumn="0" w:lastRowFirstColumn="0" w:lastRowLastColumn="0"/>
            <w:tcW w:w="4820" w:type="dxa"/>
          </w:tcPr>
          <w:p w14:paraId="0E815373" w14:textId="60CC6271" w:rsidR="0074216D" w:rsidRDefault="0074216D">
            <w:pPr>
              <w:keepNext/>
              <w:ind w:left="170"/>
            </w:pPr>
            <w:r>
              <w:t>Percentage of Comprehensive Assessments (community and in</w:t>
            </w:r>
            <w:r w:rsidR="002B0C7C">
              <w:noBreakHyphen/>
            </w:r>
            <w:r>
              <w:t>hospital) for high-priority clients completed within the relevant timeframe</w:t>
            </w:r>
          </w:p>
        </w:tc>
        <w:tc>
          <w:tcPr>
            <w:tcW w:w="964" w:type="dxa"/>
          </w:tcPr>
          <w:p w14:paraId="126B286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3F92DFD"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9661C72"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D5E43F0"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4613837" w14:textId="77777777" w:rsidR="0074216D" w:rsidRDefault="0074216D">
            <w:pPr>
              <w:cnfStyle w:val="000000000000" w:firstRow="0" w:lastRow="0" w:firstColumn="0" w:lastColumn="0" w:oddVBand="0" w:evenVBand="0" w:oddHBand="0" w:evenHBand="0" w:firstRowFirstColumn="0" w:firstRowLastColumn="0" w:lastRowFirstColumn="0" w:lastRowLastColumn="0"/>
            </w:pPr>
            <w:r>
              <w:t>83.3</w:t>
            </w:r>
          </w:p>
        </w:tc>
      </w:tr>
      <w:tr w:rsidR="0074216D" w14:paraId="6D812788"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0C4C7DC2" w14:textId="1724C731" w:rsidR="0074216D" w:rsidRDefault="0074216D">
            <w:pPr>
              <w:ind w:left="170"/>
            </w:pPr>
            <w:r>
              <w:rPr>
                <w:i/>
              </w:rPr>
              <w:t xml:space="preserve">The performance measure, </w:t>
            </w:r>
            <w:r w:rsidR="00324555">
              <w:rPr>
                <w:i/>
              </w:rPr>
              <w:t>‘</w:t>
            </w:r>
            <w:r>
              <w:rPr>
                <w:i/>
              </w:rPr>
              <w:t>Percentage of Comprehensive Assessments for high-priority clients completed within the relevant timeframe in all settings</w:t>
            </w:r>
            <w:r w:rsidR="00324555">
              <w:rPr>
                <w:i/>
              </w:rPr>
              <w:t>’</w:t>
            </w:r>
            <w:r>
              <w:rPr>
                <w:i/>
              </w:rPr>
              <w:t xml:space="preserve"> has been renamed to align with the new Commonwealth agreement.</w:t>
            </w:r>
          </w:p>
        </w:tc>
      </w:tr>
      <w:tr w:rsidR="0074216D" w14:paraId="025CB705" w14:textId="77777777">
        <w:tc>
          <w:tcPr>
            <w:cnfStyle w:val="001000000000" w:firstRow="0" w:lastRow="0" w:firstColumn="1" w:lastColumn="0" w:oddVBand="0" w:evenVBand="0" w:oddHBand="0" w:evenHBand="0" w:firstRowFirstColumn="0" w:firstRowLastColumn="0" w:lastRowFirstColumn="0" w:lastRowLastColumn="0"/>
            <w:tcW w:w="4820" w:type="dxa"/>
          </w:tcPr>
          <w:p w14:paraId="0ED6851E" w14:textId="61F76331" w:rsidR="0074216D" w:rsidRDefault="0074216D">
            <w:pPr>
              <w:keepNext/>
              <w:ind w:left="170"/>
            </w:pPr>
            <w:r>
              <w:t>Percentage of Comprehensive Assessments (community and in</w:t>
            </w:r>
            <w:r w:rsidR="002B0C7C">
              <w:noBreakHyphen/>
            </w:r>
            <w:r>
              <w:t>hospital) for low-priority clients completed within the relevant timeframe</w:t>
            </w:r>
          </w:p>
        </w:tc>
        <w:tc>
          <w:tcPr>
            <w:tcW w:w="964" w:type="dxa"/>
          </w:tcPr>
          <w:p w14:paraId="56BD9B5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FDA22A"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742F044" w14:textId="77777777" w:rsidR="0074216D" w:rsidRDefault="0074216D">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7E080D5B"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5F56628" w14:textId="77777777" w:rsidR="0074216D" w:rsidRDefault="0074216D">
            <w:pPr>
              <w:cnfStyle w:val="000000000000" w:firstRow="0" w:lastRow="0" w:firstColumn="0" w:lastColumn="0" w:oddVBand="0" w:evenVBand="0" w:oddHBand="0" w:evenHBand="0" w:firstRowFirstColumn="0" w:firstRowLastColumn="0" w:lastRowFirstColumn="0" w:lastRowLastColumn="0"/>
            </w:pPr>
            <w:r>
              <w:t>56</w:t>
            </w:r>
          </w:p>
        </w:tc>
      </w:tr>
      <w:tr w:rsidR="0074216D" w14:paraId="25DF0A50"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9E5EDEB" w14:textId="391A0FF5" w:rsidR="0074216D" w:rsidRDefault="0074216D">
            <w:pPr>
              <w:ind w:left="170"/>
            </w:pPr>
            <w:r>
              <w:rPr>
                <w:i/>
              </w:rPr>
              <w:t>Assessment Organisations are adapting to the Commonwealth</w:t>
            </w:r>
            <w:r w:rsidR="00324555">
              <w:rPr>
                <w:i/>
              </w:rPr>
              <w:t>’</w:t>
            </w:r>
            <w:r>
              <w:rPr>
                <w:i/>
              </w:rPr>
              <w:t xml:space="preserve">s new Single Assessment System and the new </w:t>
            </w:r>
            <w:r w:rsidRPr="00294453">
              <w:t>Aged Care Act</w:t>
            </w:r>
            <w:r>
              <w:rPr>
                <w:i/>
              </w:rPr>
              <w:t>. Comprehensive and Hospital assessments only, does not include Home Support assessments.</w:t>
            </w:r>
          </w:p>
          <w:p w14:paraId="44E52591" w14:textId="531A733E" w:rsidR="0074216D" w:rsidRDefault="0074216D">
            <w:pPr>
              <w:ind w:left="170"/>
            </w:pPr>
            <w:r>
              <w:rPr>
                <w:i/>
              </w:rPr>
              <w:t xml:space="preserve">The performance measure, </w:t>
            </w:r>
            <w:r w:rsidR="00324555">
              <w:rPr>
                <w:i/>
              </w:rPr>
              <w:t>‘</w:t>
            </w:r>
            <w:r>
              <w:rPr>
                <w:i/>
              </w:rPr>
              <w:t>Percentage of Comprehensive Assessments for low-priority clients completed within the relevant timeframe in all settings</w:t>
            </w:r>
            <w:r w:rsidR="00324555">
              <w:rPr>
                <w:i/>
              </w:rPr>
              <w:t>’</w:t>
            </w:r>
            <w:r>
              <w:rPr>
                <w:i/>
              </w:rPr>
              <w:t xml:space="preserve"> has been renamed to align with the new Commonwealth agreement.</w:t>
            </w:r>
          </w:p>
        </w:tc>
      </w:tr>
      <w:tr w:rsidR="0074216D" w14:paraId="7BC7BFE2" w14:textId="77777777" w:rsidTr="002B0C7C">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789B6258" w14:textId="624286BF" w:rsidR="0074216D" w:rsidRDefault="0074216D">
            <w:pPr>
              <w:keepNext/>
              <w:ind w:left="170"/>
            </w:pPr>
            <w:r>
              <w:t>Percentage of Comprehensive Assessments (community and in</w:t>
            </w:r>
            <w:r w:rsidR="002B0C7C">
              <w:noBreakHyphen/>
            </w:r>
            <w:r>
              <w:t>hospital) for medium-priority clients completed within the relevant timeframe</w:t>
            </w:r>
          </w:p>
        </w:tc>
        <w:tc>
          <w:tcPr>
            <w:tcW w:w="964" w:type="dxa"/>
            <w:tcBorders>
              <w:bottom w:val="nil"/>
            </w:tcBorders>
          </w:tcPr>
          <w:p w14:paraId="7C18CE8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5EB7843B"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4158A306"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007303FC"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576C961D"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r>
      <w:tr w:rsidR="0074216D" w14:paraId="171C53FB" w14:textId="77777777" w:rsidTr="002B0C7C">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919353E" w14:textId="216B4896" w:rsidR="0074216D" w:rsidRDefault="0074216D">
            <w:pPr>
              <w:ind w:left="170"/>
            </w:pPr>
            <w:r w:rsidRPr="004B3059">
              <w:rPr>
                <w:i/>
              </w:rPr>
              <w:t xml:space="preserve">The performance measure, </w:t>
            </w:r>
            <w:r w:rsidR="00324555">
              <w:rPr>
                <w:i/>
              </w:rPr>
              <w:t>‘</w:t>
            </w:r>
            <w:r w:rsidRPr="004B3059">
              <w:rPr>
                <w:i/>
              </w:rPr>
              <w:t>Percentage of Comprehensive Assessments for medium-priority clients completed within the relevant timeframe in all settings</w:t>
            </w:r>
            <w:r w:rsidR="00324555">
              <w:rPr>
                <w:i/>
              </w:rPr>
              <w:t>’</w:t>
            </w:r>
            <w:r w:rsidRPr="004B3059">
              <w:rPr>
                <w:i/>
              </w:rPr>
              <w:t xml:space="preserve"> has been renamed to align with the new Commonwealth agreement.</w:t>
            </w:r>
          </w:p>
        </w:tc>
      </w:tr>
      <w:tr w:rsidR="0074216D" w14:paraId="7388D542" w14:textId="77777777" w:rsidTr="002B0C7C">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34CE9076" w14:textId="77777777" w:rsidR="0074216D" w:rsidRPr="005314E1" w:rsidRDefault="0074216D">
            <w:pPr>
              <w:rPr>
                <w:b/>
              </w:rPr>
            </w:pPr>
            <w:r w:rsidRPr="005314E1">
              <w:rPr>
                <w:b/>
              </w:rPr>
              <w:t>Cost</w:t>
            </w:r>
          </w:p>
        </w:tc>
      </w:tr>
      <w:tr w:rsidR="0074216D" w14:paraId="73C3D57E" w14:textId="77777777">
        <w:tc>
          <w:tcPr>
            <w:cnfStyle w:val="001000000000" w:firstRow="0" w:lastRow="0" w:firstColumn="1" w:lastColumn="0" w:oddVBand="0" w:evenVBand="0" w:oddHBand="0" w:evenHBand="0" w:firstRowFirstColumn="0" w:firstRowLastColumn="0" w:lastRowFirstColumn="0" w:lastRowLastColumn="0"/>
            <w:tcW w:w="4820" w:type="dxa"/>
          </w:tcPr>
          <w:p w14:paraId="636A2F5F" w14:textId="77777777" w:rsidR="0074216D" w:rsidRDefault="0074216D">
            <w:pPr>
              <w:keepNext/>
              <w:ind w:left="170"/>
            </w:pPr>
            <w:r>
              <w:t>Total output cost</w:t>
            </w:r>
          </w:p>
        </w:tc>
        <w:tc>
          <w:tcPr>
            <w:tcW w:w="964" w:type="dxa"/>
          </w:tcPr>
          <w:p w14:paraId="7BA84D0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29F75D0"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446E2">
              <w:t xml:space="preserve"> 725.8</w:t>
            </w:r>
          </w:p>
        </w:tc>
        <w:tc>
          <w:tcPr>
            <w:tcW w:w="964" w:type="dxa"/>
          </w:tcPr>
          <w:p w14:paraId="3A775AA5"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446E2">
              <w:t xml:space="preserve"> 797.3</w:t>
            </w:r>
          </w:p>
        </w:tc>
        <w:tc>
          <w:tcPr>
            <w:tcW w:w="964" w:type="dxa"/>
          </w:tcPr>
          <w:p w14:paraId="0FDD3A9F"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446E2">
              <w:t xml:space="preserve"> 722.9</w:t>
            </w:r>
          </w:p>
        </w:tc>
        <w:tc>
          <w:tcPr>
            <w:tcW w:w="964" w:type="dxa"/>
          </w:tcPr>
          <w:p w14:paraId="351EA59A"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446E2">
              <w:t xml:space="preserve"> 800.9</w:t>
            </w:r>
          </w:p>
        </w:tc>
      </w:tr>
      <w:tr w:rsidR="0074216D" w14:paraId="10F49367"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0DBF4099" w14:textId="77777777" w:rsidR="0074216D" w:rsidRDefault="0074216D">
            <w:pPr>
              <w:ind w:left="170"/>
              <w:rPr>
                <w:i/>
              </w:rPr>
            </w:pPr>
            <w:r w:rsidRPr="005F654E">
              <w:rPr>
                <w:i/>
              </w:rPr>
              <w:t>The higher 2025-26 expected outcome reflects a revision to estimated hospital revenue and new Commonwealth funding.</w:t>
            </w:r>
          </w:p>
          <w:p w14:paraId="3AE226BA" w14:textId="53EFFA62" w:rsidR="00B85912" w:rsidRPr="007D3B9A" w:rsidRDefault="00B85912">
            <w:pPr>
              <w:ind w:left="170"/>
              <w:rPr>
                <w:i/>
              </w:rPr>
            </w:pPr>
            <w:r>
              <w:rPr>
                <w:i/>
                <w:iCs/>
              </w:rPr>
              <w:t>The lower 2026-27 target when compared to the 202</w:t>
            </w:r>
            <w:r w:rsidR="00C27B1C">
              <w:rPr>
                <w:i/>
                <w:iCs/>
              </w:rPr>
              <w:t xml:space="preserve">5-26 expected outcome reflects that Commonwealth </w:t>
            </w:r>
            <w:r w:rsidR="00237B57">
              <w:rPr>
                <w:i/>
                <w:iCs/>
              </w:rPr>
              <w:t>funding commitments for Aged Care Assessment Services are yet to finalised for 2026-27.</w:t>
            </w:r>
          </w:p>
        </w:tc>
      </w:tr>
    </w:tbl>
    <w:p w14:paraId="2E2491D3" w14:textId="0B0D3CA7" w:rsidR="0074216D" w:rsidRDefault="0074216D" w:rsidP="0074216D">
      <w:pPr>
        <w:pStyle w:val="Source"/>
      </w:pPr>
      <w:r>
        <w:t>Source: Department of Health</w:t>
      </w:r>
    </w:p>
    <w:p w14:paraId="4BFB0918" w14:textId="77777777" w:rsidR="0074216D" w:rsidRDefault="0074216D" w:rsidP="0074216D">
      <w:pPr>
        <w:pStyle w:val="Heading3"/>
      </w:pPr>
      <w:r>
        <w:t>Home and Community Care Program for Younger People</w:t>
      </w:r>
      <w:r>
        <w:tab/>
        <w:t>(2026-27: $164.5 million)</w:t>
      </w:r>
    </w:p>
    <w:p w14:paraId="7898B575" w14:textId="77777777" w:rsidR="0074216D" w:rsidRPr="00501CA7" w:rsidRDefault="0074216D" w:rsidP="0074216D">
      <w:pPr>
        <w:keepLines w:val="0"/>
        <w:spacing w:after="120"/>
        <w:rPr>
          <w:rFonts w:ascii="Garamond" w:hAnsi="Garamond"/>
          <w:lang w:eastAsia="en-AU"/>
        </w:rPr>
      </w:pPr>
      <w:r w:rsidRPr="007D5578">
        <w:rPr>
          <w:rFonts w:ascii="Garamond" w:hAnsi="Garamond"/>
          <w:lang w:eastAsia="en-AU"/>
        </w:rPr>
        <w:t>This output includes delivery of a range of community-based nursing, allied health and support services enabling younger people who have difficulties with the activities of daily living to maintain their independence and to participate in the community.</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6F4A99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5763E3F" w14:textId="77777777" w:rsidR="0074216D" w:rsidRDefault="0074216D">
            <w:r>
              <w:t>Performance measure</w:t>
            </w:r>
          </w:p>
        </w:tc>
        <w:tc>
          <w:tcPr>
            <w:tcW w:w="964" w:type="dxa"/>
          </w:tcPr>
          <w:p w14:paraId="743EAA5C"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31A8376"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B31F90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72BF72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CB5A36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5DF35FE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BEFEA11" w14:textId="77777777" w:rsidR="0074216D" w:rsidRPr="005314E1" w:rsidRDefault="0074216D">
            <w:pPr>
              <w:keepNext/>
              <w:rPr>
                <w:b/>
              </w:rPr>
            </w:pPr>
            <w:r w:rsidRPr="005314E1">
              <w:rPr>
                <w:b/>
              </w:rPr>
              <w:t>Quantity</w:t>
            </w:r>
          </w:p>
        </w:tc>
      </w:tr>
      <w:tr w:rsidR="0074216D" w14:paraId="2763FE0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CB3C117" w14:textId="2CE2E9DA" w:rsidR="0074216D" w:rsidRDefault="0074216D">
            <w:pPr>
              <w:ind w:left="170"/>
            </w:pPr>
            <w:r>
              <w:t xml:space="preserve">Home and Community Care for Younger People – </w:t>
            </w:r>
            <w:r w:rsidR="002B0C7C">
              <w:br/>
            </w:r>
            <w:r>
              <w:t>hours of service delivery</w:t>
            </w:r>
          </w:p>
        </w:tc>
        <w:tc>
          <w:tcPr>
            <w:tcW w:w="964" w:type="dxa"/>
            <w:tcBorders>
              <w:bottom w:val="single" w:sz="6" w:space="0" w:color="auto"/>
            </w:tcBorders>
          </w:tcPr>
          <w:p w14:paraId="77037FD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hours (thousand)</w:t>
            </w:r>
          </w:p>
        </w:tc>
        <w:tc>
          <w:tcPr>
            <w:tcW w:w="964" w:type="dxa"/>
            <w:tcBorders>
              <w:bottom w:val="single" w:sz="6" w:space="0" w:color="auto"/>
            </w:tcBorders>
            <w:shd w:val="clear" w:color="auto" w:fill="F0F0F0"/>
          </w:tcPr>
          <w:p w14:paraId="5C4B8DC7" w14:textId="77777777" w:rsidR="0074216D" w:rsidRDefault="0074216D">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bottom w:val="single" w:sz="6" w:space="0" w:color="auto"/>
            </w:tcBorders>
          </w:tcPr>
          <w:p w14:paraId="598AFA1C" w14:textId="77777777" w:rsidR="0074216D" w:rsidRDefault="0074216D">
            <w:pPr>
              <w:cnfStyle w:val="000000000000" w:firstRow="0" w:lastRow="0" w:firstColumn="0" w:lastColumn="0" w:oddVBand="0" w:evenVBand="0" w:oddHBand="0" w:evenHBand="0" w:firstRowFirstColumn="0" w:firstRowLastColumn="0" w:lastRowFirstColumn="0" w:lastRowLastColumn="0"/>
            </w:pPr>
            <w:r>
              <w:t>1 084</w:t>
            </w:r>
          </w:p>
        </w:tc>
        <w:tc>
          <w:tcPr>
            <w:tcW w:w="964" w:type="dxa"/>
            <w:tcBorders>
              <w:bottom w:val="single" w:sz="6" w:space="0" w:color="auto"/>
            </w:tcBorders>
          </w:tcPr>
          <w:p w14:paraId="43A9F6D0" w14:textId="77777777" w:rsidR="0074216D" w:rsidRDefault="0074216D">
            <w:pPr>
              <w:cnfStyle w:val="000000000000" w:firstRow="0" w:lastRow="0" w:firstColumn="0" w:lastColumn="0" w:oddVBand="0" w:evenVBand="0" w:oddHBand="0" w:evenHBand="0" w:firstRowFirstColumn="0" w:firstRowLastColumn="0" w:lastRowFirstColumn="0" w:lastRowLastColumn="0"/>
            </w:pPr>
            <w:r>
              <w:t>1 000</w:t>
            </w:r>
          </w:p>
        </w:tc>
        <w:tc>
          <w:tcPr>
            <w:tcW w:w="964" w:type="dxa"/>
            <w:tcBorders>
              <w:bottom w:val="single" w:sz="6" w:space="0" w:color="auto"/>
            </w:tcBorders>
          </w:tcPr>
          <w:p w14:paraId="6A6E5FF4" w14:textId="77777777" w:rsidR="0074216D" w:rsidRDefault="0074216D">
            <w:pPr>
              <w:cnfStyle w:val="000000000000" w:firstRow="0" w:lastRow="0" w:firstColumn="0" w:lastColumn="0" w:oddVBand="0" w:evenVBand="0" w:oddHBand="0" w:evenHBand="0" w:firstRowFirstColumn="0" w:firstRowLastColumn="0" w:lastRowFirstColumn="0" w:lastRowLastColumn="0"/>
            </w:pPr>
            <w:r>
              <w:t>1 078</w:t>
            </w:r>
          </w:p>
        </w:tc>
      </w:tr>
      <w:tr w:rsidR="0074216D" w14:paraId="2873E581"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2159CC6" w14:textId="183221F2" w:rsidR="0074216D" w:rsidRDefault="0074216D">
            <w:pPr>
              <w:ind w:left="170"/>
            </w:pPr>
            <w:r>
              <w:t xml:space="preserve">Home and Community Care for Younger People – </w:t>
            </w:r>
            <w:r w:rsidR="002B0C7C">
              <w:br/>
            </w:r>
            <w:r>
              <w:t>number of clients receiving a service</w:t>
            </w:r>
          </w:p>
        </w:tc>
        <w:tc>
          <w:tcPr>
            <w:tcW w:w="964" w:type="dxa"/>
            <w:tcBorders>
              <w:top w:val="single" w:sz="6" w:space="0" w:color="auto"/>
              <w:bottom w:val="single" w:sz="6" w:space="0" w:color="auto"/>
            </w:tcBorders>
          </w:tcPr>
          <w:p w14:paraId="522C3B4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05EB33D1" w14:textId="77777777" w:rsidR="0074216D" w:rsidRDefault="0074216D">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top w:val="single" w:sz="6" w:space="0" w:color="auto"/>
              <w:bottom w:val="single" w:sz="6" w:space="0" w:color="auto"/>
            </w:tcBorders>
          </w:tcPr>
          <w:p w14:paraId="2B2F99AA" w14:textId="77777777" w:rsidR="0074216D" w:rsidRDefault="0074216D">
            <w:pPr>
              <w:cnfStyle w:val="000000000000" w:firstRow="0" w:lastRow="0" w:firstColumn="0" w:lastColumn="0" w:oddVBand="0" w:evenVBand="0" w:oddHBand="0" w:evenHBand="0" w:firstRowFirstColumn="0" w:firstRowLastColumn="0" w:lastRowFirstColumn="0" w:lastRowLastColumn="0"/>
            </w:pPr>
            <w:r>
              <w:t>63 356</w:t>
            </w:r>
          </w:p>
        </w:tc>
        <w:tc>
          <w:tcPr>
            <w:tcW w:w="964" w:type="dxa"/>
            <w:tcBorders>
              <w:top w:val="single" w:sz="6" w:space="0" w:color="auto"/>
              <w:bottom w:val="single" w:sz="6" w:space="0" w:color="auto"/>
            </w:tcBorders>
          </w:tcPr>
          <w:p w14:paraId="5C26E633" w14:textId="77777777" w:rsidR="0074216D" w:rsidRDefault="0074216D">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top w:val="single" w:sz="6" w:space="0" w:color="auto"/>
              <w:bottom w:val="single" w:sz="6" w:space="0" w:color="auto"/>
            </w:tcBorders>
          </w:tcPr>
          <w:p w14:paraId="5B5A0B64" w14:textId="77777777" w:rsidR="0074216D" w:rsidRDefault="0074216D">
            <w:pPr>
              <w:cnfStyle w:val="000000000000" w:firstRow="0" w:lastRow="0" w:firstColumn="0" w:lastColumn="0" w:oddVBand="0" w:evenVBand="0" w:oddHBand="0" w:evenHBand="0" w:firstRowFirstColumn="0" w:firstRowLastColumn="0" w:lastRowFirstColumn="0" w:lastRowLastColumn="0"/>
            </w:pPr>
            <w:r>
              <w:t>62 727</w:t>
            </w:r>
          </w:p>
        </w:tc>
      </w:tr>
      <w:tr w:rsidR="0074216D" w14:paraId="6732D6CC"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nil"/>
            </w:tcBorders>
          </w:tcPr>
          <w:p w14:paraId="0138481B" w14:textId="77777777" w:rsidR="0074216D" w:rsidRPr="005314E1" w:rsidRDefault="0074216D">
            <w:pPr>
              <w:rPr>
                <w:b/>
              </w:rPr>
            </w:pPr>
            <w:r w:rsidRPr="005314E1">
              <w:rPr>
                <w:b/>
              </w:rPr>
              <w:t>Cost</w:t>
            </w:r>
          </w:p>
        </w:tc>
      </w:tr>
      <w:tr w:rsidR="0074216D" w14:paraId="1FA4EEDF"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246749A5" w14:textId="77777777" w:rsidR="0074216D" w:rsidRDefault="0074216D">
            <w:pPr>
              <w:ind w:left="170"/>
            </w:pPr>
            <w:r>
              <w:t>Total output cost</w:t>
            </w:r>
          </w:p>
        </w:tc>
        <w:tc>
          <w:tcPr>
            <w:tcW w:w="964" w:type="dxa"/>
            <w:tcBorders>
              <w:bottom w:val="single" w:sz="12" w:space="0" w:color="auto"/>
            </w:tcBorders>
          </w:tcPr>
          <w:p w14:paraId="298115B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582AA7A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C4CDE">
              <w:t xml:space="preserve"> 164.5</w:t>
            </w:r>
          </w:p>
        </w:tc>
        <w:tc>
          <w:tcPr>
            <w:tcW w:w="964" w:type="dxa"/>
            <w:tcBorders>
              <w:bottom w:val="single" w:sz="12" w:space="0" w:color="auto"/>
            </w:tcBorders>
          </w:tcPr>
          <w:p w14:paraId="776DB463"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C4CDE">
              <w:t xml:space="preserve"> 164.1</w:t>
            </w:r>
          </w:p>
        </w:tc>
        <w:tc>
          <w:tcPr>
            <w:tcW w:w="964" w:type="dxa"/>
            <w:tcBorders>
              <w:bottom w:val="single" w:sz="12" w:space="0" w:color="auto"/>
            </w:tcBorders>
          </w:tcPr>
          <w:p w14:paraId="46AE1F3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C4CDE">
              <w:t xml:space="preserve"> 158.7</w:t>
            </w:r>
          </w:p>
        </w:tc>
        <w:tc>
          <w:tcPr>
            <w:tcW w:w="964" w:type="dxa"/>
            <w:tcBorders>
              <w:bottom w:val="single" w:sz="12" w:space="0" w:color="auto"/>
            </w:tcBorders>
          </w:tcPr>
          <w:p w14:paraId="20EF83E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C4CDE">
              <w:t xml:space="preserve"> 181.5</w:t>
            </w:r>
          </w:p>
        </w:tc>
      </w:tr>
    </w:tbl>
    <w:p w14:paraId="01F68C2C" w14:textId="17E984BC" w:rsidR="0074216D" w:rsidRDefault="0074216D" w:rsidP="0074216D">
      <w:pPr>
        <w:pStyle w:val="Source"/>
      </w:pPr>
      <w:r>
        <w:t>Source: Department of Health</w:t>
      </w:r>
    </w:p>
    <w:p w14:paraId="6A6C23DC" w14:textId="77777777" w:rsidR="0074216D" w:rsidRDefault="0074216D" w:rsidP="0074216D">
      <w:pPr>
        <w:pStyle w:val="Heading3"/>
      </w:pPr>
      <w:r>
        <w:lastRenderedPageBreak/>
        <w:t>Ambulance Services</w:t>
      </w:r>
      <w:r>
        <w:tab/>
        <w:t>(2026-27: $1 575.6 million)</w:t>
      </w:r>
    </w:p>
    <w:p w14:paraId="51A8B1C0" w14:textId="77777777" w:rsidR="0074216D" w:rsidRPr="00FB7C20" w:rsidRDefault="0074216D" w:rsidP="0074216D">
      <w:pPr>
        <w:keepLines w:val="0"/>
        <w:spacing w:after="120"/>
        <w:rPr>
          <w:rFonts w:ascii="Garamond" w:eastAsia="Garamond" w:hAnsi="Garamond"/>
          <w:lang w:eastAsia="en-AU"/>
        </w:rPr>
      </w:pPr>
      <w:r w:rsidRPr="001251CB">
        <w:rPr>
          <w:rFonts w:ascii="Garamond" w:eastAsia="Garamond" w:hAnsi="Garamond"/>
          <w:lang w:eastAsia="en-AU"/>
        </w:rPr>
        <w:t>Emergency and non-emergency road, rotary and fixed-wing aircraft patient treatment and transport services provide access to timely and high-quality ambulance services. Timely and high-quality emergency and non</w:t>
      </w:r>
      <w:r>
        <w:rPr>
          <w:rFonts w:ascii="Garamond" w:eastAsia="Garamond" w:hAnsi="Garamond"/>
          <w:lang w:eastAsia="en-AU"/>
        </w:rPr>
        <w:noBreakHyphen/>
      </w:r>
      <w:r w:rsidRPr="001251CB">
        <w:rPr>
          <w:rFonts w:ascii="Garamond" w:eastAsia="Garamond" w:hAnsi="Garamond"/>
          <w:lang w:eastAsia="en-AU"/>
        </w:rPr>
        <w:t>emergency ambulance services contribute to high</w:t>
      </w:r>
      <w:r w:rsidRPr="001251CB">
        <w:rPr>
          <w:rFonts w:ascii="Garamond" w:eastAsia="Garamond" w:hAnsi="Garamond"/>
          <w:lang w:eastAsia="en-AU"/>
        </w:rPr>
        <w:noBreakHyphen/>
      </w:r>
      <w:r>
        <w:rPr>
          <w:rFonts w:ascii="Garamond" w:eastAsia="Garamond" w:hAnsi="Garamond"/>
          <w:lang w:eastAsia="en-AU"/>
        </w:rPr>
        <w:t>q</w:t>
      </w:r>
      <w:r w:rsidRPr="001251CB">
        <w:rPr>
          <w:rFonts w:ascii="Garamond" w:eastAsia="Garamond" w:hAnsi="Garamond"/>
          <w:lang w:eastAsia="en-AU"/>
        </w:rPr>
        <w:t>uality, accessible health and community services for all Victorians.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27D87E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FB7E2C6" w14:textId="77777777" w:rsidR="0074216D" w:rsidRDefault="0074216D">
            <w:r>
              <w:t>Performance measure</w:t>
            </w:r>
          </w:p>
        </w:tc>
        <w:tc>
          <w:tcPr>
            <w:tcW w:w="964" w:type="dxa"/>
          </w:tcPr>
          <w:p w14:paraId="5C839F78"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0899AC1"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A02C7FC"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7BF01A3"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5AEA40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524B5FD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783B1DE" w14:textId="77777777" w:rsidR="0074216D" w:rsidRPr="005314E1" w:rsidRDefault="0074216D">
            <w:pPr>
              <w:keepNext/>
              <w:rPr>
                <w:b/>
              </w:rPr>
            </w:pPr>
            <w:r w:rsidRPr="005314E1">
              <w:rPr>
                <w:b/>
              </w:rPr>
              <w:t>Quantity</w:t>
            </w:r>
          </w:p>
        </w:tc>
      </w:tr>
      <w:tr w:rsidR="0074216D" w14:paraId="175D26A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A9E021" w14:textId="77777777" w:rsidR="0074216D" w:rsidRDefault="0074216D">
            <w:pPr>
              <w:ind w:left="170"/>
            </w:pPr>
            <w:r>
              <w:t>Community Service Obligation emergency road and air transports</w:t>
            </w:r>
          </w:p>
        </w:tc>
        <w:tc>
          <w:tcPr>
            <w:tcW w:w="964" w:type="dxa"/>
            <w:tcBorders>
              <w:bottom w:val="single" w:sz="6" w:space="0" w:color="auto"/>
            </w:tcBorders>
          </w:tcPr>
          <w:p w14:paraId="00081DF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2726D9D" w14:textId="77777777" w:rsidR="0074216D" w:rsidRDefault="0074216D">
            <w:pPr>
              <w:cnfStyle w:val="000000000000" w:firstRow="0" w:lastRow="0" w:firstColumn="0" w:lastColumn="0" w:oddVBand="0" w:evenVBand="0" w:oddHBand="0" w:evenHBand="0" w:firstRowFirstColumn="0" w:firstRowLastColumn="0" w:lastRowFirstColumn="0" w:lastRowLastColumn="0"/>
            </w:pPr>
            <w:r>
              <w:t>283 266</w:t>
            </w:r>
          </w:p>
        </w:tc>
        <w:tc>
          <w:tcPr>
            <w:tcW w:w="964" w:type="dxa"/>
            <w:tcBorders>
              <w:bottom w:val="single" w:sz="6" w:space="0" w:color="auto"/>
            </w:tcBorders>
          </w:tcPr>
          <w:p w14:paraId="0AE3F48F" w14:textId="77777777" w:rsidR="0074216D" w:rsidRDefault="0074216D">
            <w:pPr>
              <w:cnfStyle w:val="000000000000" w:firstRow="0" w:lastRow="0" w:firstColumn="0" w:lastColumn="0" w:oddVBand="0" w:evenVBand="0" w:oddHBand="0" w:evenHBand="0" w:firstRowFirstColumn="0" w:firstRowLastColumn="0" w:lastRowFirstColumn="0" w:lastRowLastColumn="0"/>
            </w:pPr>
            <w:r>
              <w:t>272 984</w:t>
            </w:r>
          </w:p>
        </w:tc>
        <w:tc>
          <w:tcPr>
            <w:tcW w:w="964" w:type="dxa"/>
            <w:tcBorders>
              <w:bottom w:val="single" w:sz="6" w:space="0" w:color="auto"/>
            </w:tcBorders>
          </w:tcPr>
          <w:p w14:paraId="6629CEDD" w14:textId="77777777" w:rsidR="0074216D" w:rsidRDefault="0074216D">
            <w:pPr>
              <w:cnfStyle w:val="000000000000" w:firstRow="0" w:lastRow="0" w:firstColumn="0" w:lastColumn="0" w:oddVBand="0" w:evenVBand="0" w:oddHBand="0" w:evenHBand="0" w:firstRowFirstColumn="0" w:firstRowLastColumn="0" w:lastRowFirstColumn="0" w:lastRowLastColumn="0"/>
            </w:pPr>
            <w:r>
              <w:t>283 266</w:t>
            </w:r>
          </w:p>
        </w:tc>
        <w:tc>
          <w:tcPr>
            <w:tcW w:w="964" w:type="dxa"/>
            <w:tcBorders>
              <w:bottom w:val="single" w:sz="6" w:space="0" w:color="auto"/>
            </w:tcBorders>
          </w:tcPr>
          <w:p w14:paraId="6CF1E7F9" w14:textId="77777777" w:rsidR="0074216D" w:rsidRDefault="0074216D">
            <w:pPr>
              <w:cnfStyle w:val="000000000000" w:firstRow="0" w:lastRow="0" w:firstColumn="0" w:lastColumn="0" w:oddVBand="0" w:evenVBand="0" w:oddHBand="0" w:evenHBand="0" w:firstRowFirstColumn="0" w:firstRowLastColumn="0" w:lastRowFirstColumn="0" w:lastRowLastColumn="0"/>
            </w:pPr>
            <w:r>
              <w:t>262 375</w:t>
            </w:r>
          </w:p>
        </w:tc>
      </w:tr>
      <w:tr w:rsidR="0074216D" w14:paraId="5EB085B1" w14:textId="77777777">
        <w:tc>
          <w:tcPr>
            <w:cnfStyle w:val="001000000000" w:firstRow="0" w:lastRow="0" w:firstColumn="1" w:lastColumn="0" w:oddVBand="0" w:evenVBand="0" w:oddHBand="0" w:evenHBand="0" w:firstRowFirstColumn="0" w:firstRowLastColumn="0" w:lastRowFirstColumn="0" w:lastRowLastColumn="0"/>
            <w:tcW w:w="4819" w:type="dxa"/>
          </w:tcPr>
          <w:p w14:paraId="6BA1B85A" w14:textId="77777777" w:rsidR="0074216D" w:rsidRDefault="0074216D">
            <w:pPr>
              <w:keepNext/>
              <w:ind w:left="170"/>
            </w:pPr>
            <w:r>
              <w:t>Community Service Obligation non-emergency road and air transports</w:t>
            </w:r>
          </w:p>
        </w:tc>
        <w:tc>
          <w:tcPr>
            <w:tcW w:w="964" w:type="dxa"/>
          </w:tcPr>
          <w:p w14:paraId="362A380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CB51F2C" w14:textId="77777777" w:rsidR="0074216D" w:rsidRDefault="0074216D">
            <w:pPr>
              <w:cnfStyle w:val="000000000000" w:firstRow="0" w:lastRow="0" w:firstColumn="0" w:lastColumn="0" w:oddVBand="0" w:evenVBand="0" w:oddHBand="0" w:evenHBand="0" w:firstRowFirstColumn="0" w:firstRowLastColumn="0" w:lastRowFirstColumn="0" w:lastRowLastColumn="0"/>
            </w:pPr>
            <w:r>
              <w:t>230 376</w:t>
            </w:r>
          </w:p>
        </w:tc>
        <w:tc>
          <w:tcPr>
            <w:tcW w:w="964" w:type="dxa"/>
          </w:tcPr>
          <w:p w14:paraId="1B79834C" w14:textId="77777777" w:rsidR="0074216D" w:rsidRDefault="0074216D">
            <w:pPr>
              <w:cnfStyle w:val="000000000000" w:firstRow="0" w:lastRow="0" w:firstColumn="0" w:lastColumn="0" w:oddVBand="0" w:evenVBand="0" w:oddHBand="0" w:evenHBand="0" w:firstRowFirstColumn="0" w:firstRowLastColumn="0" w:lastRowFirstColumn="0" w:lastRowLastColumn="0"/>
            </w:pPr>
            <w:r>
              <w:t>192 048</w:t>
            </w:r>
          </w:p>
        </w:tc>
        <w:tc>
          <w:tcPr>
            <w:tcW w:w="964" w:type="dxa"/>
          </w:tcPr>
          <w:p w14:paraId="1FAEC9D0" w14:textId="77777777" w:rsidR="0074216D" w:rsidRDefault="0074216D">
            <w:pPr>
              <w:cnfStyle w:val="000000000000" w:firstRow="0" w:lastRow="0" w:firstColumn="0" w:lastColumn="0" w:oddVBand="0" w:evenVBand="0" w:oddHBand="0" w:evenHBand="0" w:firstRowFirstColumn="0" w:firstRowLastColumn="0" w:lastRowFirstColumn="0" w:lastRowLastColumn="0"/>
            </w:pPr>
            <w:r>
              <w:t>230 376</w:t>
            </w:r>
          </w:p>
        </w:tc>
        <w:tc>
          <w:tcPr>
            <w:tcW w:w="964" w:type="dxa"/>
          </w:tcPr>
          <w:p w14:paraId="0F80E3D1" w14:textId="77777777" w:rsidR="0074216D" w:rsidRDefault="0074216D">
            <w:pPr>
              <w:cnfStyle w:val="000000000000" w:firstRow="0" w:lastRow="0" w:firstColumn="0" w:lastColumn="0" w:oddVBand="0" w:evenVBand="0" w:oddHBand="0" w:evenHBand="0" w:firstRowFirstColumn="0" w:firstRowLastColumn="0" w:lastRowFirstColumn="0" w:lastRowLastColumn="0"/>
            </w:pPr>
            <w:r>
              <w:t>184 113</w:t>
            </w:r>
          </w:p>
        </w:tc>
      </w:tr>
      <w:tr w:rsidR="0074216D" w14:paraId="38328F3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05BD0E" w14:textId="59C2D47D" w:rsidR="0074216D" w:rsidRDefault="0074216D">
            <w:pPr>
              <w:ind w:left="170"/>
            </w:pPr>
            <w:r>
              <w:rPr>
                <w:i/>
              </w:rPr>
              <w:t>The 2025-26 expected outcome reflects the impact of Ambulance Victoria</w:t>
            </w:r>
            <w:r w:rsidR="00324555">
              <w:rPr>
                <w:i/>
              </w:rPr>
              <w:t>’</w:t>
            </w:r>
            <w:r>
              <w:rPr>
                <w:i/>
              </w:rPr>
              <w:t>s better application of Non</w:t>
            </w:r>
            <w:r w:rsidR="00127721">
              <w:rPr>
                <w:i/>
              </w:rPr>
              <w:t>-</w:t>
            </w:r>
            <w:r>
              <w:rPr>
                <w:i/>
              </w:rPr>
              <w:t>Emergency Patient Transport (NEPT) eligibility criteria to ensure NEPT services are available for patients that need clinical monitoring or support. Performance below target is an intended outcome of this work.</w:t>
            </w:r>
          </w:p>
        </w:tc>
      </w:tr>
      <w:tr w:rsidR="0074216D" w14:paraId="274C45EC" w14:textId="77777777">
        <w:tc>
          <w:tcPr>
            <w:cnfStyle w:val="001000000000" w:firstRow="0" w:lastRow="0" w:firstColumn="1" w:lastColumn="0" w:oddVBand="0" w:evenVBand="0" w:oddHBand="0" w:evenHBand="0" w:firstRowFirstColumn="0" w:firstRowLastColumn="0" w:lastRowFirstColumn="0" w:lastRowLastColumn="0"/>
            <w:tcW w:w="4819" w:type="dxa"/>
          </w:tcPr>
          <w:p w14:paraId="06ABFAC2" w14:textId="77777777" w:rsidR="0074216D" w:rsidRDefault="0074216D">
            <w:pPr>
              <w:keepNext/>
              <w:ind w:left="170"/>
            </w:pPr>
            <w:r>
              <w:t>Statewide emergency air transports</w:t>
            </w:r>
          </w:p>
        </w:tc>
        <w:tc>
          <w:tcPr>
            <w:tcW w:w="964" w:type="dxa"/>
          </w:tcPr>
          <w:p w14:paraId="0EBFA18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8A52CC2" w14:textId="77777777" w:rsidR="0074216D" w:rsidRDefault="0074216D">
            <w:pPr>
              <w:cnfStyle w:val="000000000000" w:firstRow="0" w:lastRow="0" w:firstColumn="0" w:lastColumn="0" w:oddVBand="0" w:evenVBand="0" w:oddHBand="0" w:evenHBand="0" w:firstRowFirstColumn="0" w:firstRowLastColumn="0" w:lastRowFirstColumn="0" w:lastRowLastColumn="0"/>
            </w:pPr>
            <w:r>
              <w:t>4 030</w:t>
            </w:r>
          </w:p>
        </w:tc>
        <w:tc>
          <w:tcPr>
            <w:tcW w:w="964" w:type="dxa"/>
          </w:tcPr>
          <w:p w14:paraId="23B2F175" w14:textId="77777777" w:rsidR="0074216D" w:rsidRDefault="0074216D">
            <w:pPr>
              <w:cnfStyle w:val="000000000000" w:firstRow="0" w:lastRow="0" w:firstColumn="0" w:lastColumn="0" w:oddVBand="0" w:evenVBand="0" w:oddHBand="0" w:evenHBand="0" w:firstRowFirstColumn="0" w:firstRowLastColumn="0" w:lastRowFirstColumn="0" w:lastRowLastColumn="0"/>
            </w:pPr>
            <w:r>
              <w:t>3 116</w:t>
            </w:r>
          </w:p>
        </w:tc>
        <w:tc>
          <w:tcPr>
            <w:tcW w:w="964" w:type="dxa"/>
          </w:tcPr>
          <w:p w14:paraId="22E5ED52" w14:textId="77777777" w:rsidR="0074216D" w:rsidRDefault="0074216D">
            <w:pPr>
              <w:cnfStyle w:val="000000000000" w:firstRow="0" w:lastRow="0" w:firstColumn="0" w:lastColumn="0" w:oddVBand="0" w:evenVBand="0" w:oddHBand="0" w:evenHBand="0" w:firstRowFirstColumn="0" w:firstRowLastColumn="0" w:lastRowFirstColumn="0" w:lastRowLastColumn="0"/>
            </w:pPr>
            <w:r>
              <w:t>4 030</w:t>
            </w:r>
          </w:p>
        </w:tc>
        <w:tc>
          <w:tcPr>
            <w:tcW w:w="964" w:type="dxa"/>
          </w:tcPr>
          <w:p w14:paraId="69CE3821" w14:textId="77777777" w:rsidR="0074216D" w:rsidRDefault="0074216D">
            <w:pPr>
              <w:cnfStyle w:val="000000000000" w:firstRow="0" w:lastRow="0" w:firstColumn="0" w:lastColumn="0" w:oddVBand="0" w:evenVBand="0" w:oddHBand="0" w:evenHBand="0" w:firstRowFirstColumn="0" w:firstRowLastColumn="0" w:lastRowFirstColumn="0" w:lastRowLastColumn="0"/>
            </w:pPr>
            <w:r>
              <w:t>2 933</w:t>
            </w:r>
          </w:p>
        </w:tc>
      </w:tr>
      <w:tr w:rsidR="0074216D" w14:paraId="4562669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42332D8" w14:textId="77777777" w:rsidR="0074216D" w:rsidRDefault="0074216D">
            <w:pPr>
              <w:ind w:left="170"/>
            </w:pPr>
            <w:r>
              <w:rPr>
                <w:i/>
              </w:rPr>
              <w:t>Air activity is demand driven, activity below target represents lower demand for services.</w:t>
            </w:r>
          </w:p>
        </w:tc>
      </w:tr>
      <w:tr w:rsidR="0074216D" w14:paraId="7997CE3D" w14:textId="77777777">
        <w:tc>
          <w:tcPr>
            <w:cnfStyle w:val="001000000000" w:firstRow="0" w:lastRow="0" w:firstColumn="1" w:lastColumn="0" w:oddVBand="0" w:evenVBand="0" w:oddHBand="0" w:evenHBand="0" w:firstRowFirstColumn="0" w:firstRowLastColumn="0" w:lastRowFirstColumn="0" w:lastRowLastColumn="0"/>
            <w:tcW w:w="4819" w:type="dxa"/>
          </w:tcPr>
          <w:p w14:paraId="6B061AFF" w14:textId="77777777" w:rsidR="0074216D" w:rsidRDefault="0074216D">
            <w:pPr>
              <w:keepNext/>
              <w:ind w:left="170"/>
            </w:pPr>
            <w:r>
              <w:t>Statewide emergency road transports</w:t>
            </w:r>
          </w:p>
        </w:tc>
        <w:tc>
          <w:tcPr>
            <w:tcW w:w="964" w:type="dxa"/>
          </w:tcPr>
          <w:p w14:paraId="6446A3A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501BADB" w14:textId="77777777" w:rsidR="0074216D" w:rsidRDefault="0074216D">
            <w:pPr>
              <w:cnfStyle w:val="000000000000" w:firstRow="0" w:lastRow="0" w:firstColumn="0" w:lastColumn="0" w:oddVBand="0" w:evenVBand="0" w:oddHBand="0" w:evenHBand="0" w:firstRowFirstColumn="0" w:firstRowLastColumn="0" w:lastRowFirstColumn="0" w:lastRowLastColumn="0"/>
            </w:pPr>
            <w:r>
              <w:t>518 329</w:t>
            </w:r>
          </w:p>
        </w:tc>
        <w:tc>
          <w:tcPr>
            <w:tcW w:w="964" w:type="dxa"/>
          </w:tcPr>
          <w:p w14:paraId="2E6A0DF8" w14:textId="77777777" w:rsidR="0074216D" w:rsidRDefault="0074216D">
            <w:pPr>
              <w:cnfStyle w:val="000000000000" w:firstRow="0" w:lastRow="0" w:firstColumn="0" w:lastColumn="0" w:oddVBand="0" w:evenVBand="0" w:oddHBand="0" w:evenHBand="0" w:firstRowFirstColumn="0" w:firstRowLastColumn="0" w:lastRowFirstColumn="0" w:lastRowLastColumn="0"/>
            </w:pPr>
            <w:r>
              <w:t>491 136</w:t>
            </w:r>
          </w:p>
        </w:tc>
        <w:tc>
          <w:tcPr>
            <w:tcW w:w="964" w:type="dxa"/>
          </w:tcPr>
          <w:p w14:paraId="35A6B597" w14:textId="77777777" w:rsidR="0074216D" w:rsidRDefault="0074216D">
            <w:pPr>
              <w:cnfStyle w:val="000000000000" w:firstRow="0" w:lastRow="0" w:firstColumn="0" w:lastColumn="0" w:oddVBand="0" w:evenVBand="0" w:oddHBand="0" w:evenHBand="0" w:firstRowFirstColumn="0" w:firstRowLastColumn="0" w:lastRowFirstColumn="0" w:lastRowLastColumn="0"/>
            </w:pPr>
            <w:r>
              <w:t>518 329</w:t>
            </w:r>
          </w:p>
        </w:tc>
        <w:tc>
          <w:tcPr>
            <w:tcW w:w="964" w:type="dxa"/>
          </w:tcPr>
          <w:p w14:paraId="57913B2B" w14:textId="77777777" w:rsidR="0074216D" w:rsidRDefault="0074216D">
            <w:pPr>
              <w:cnfStyle w:val="000000000000" w:firstRow="0" w:lastRow="0" w:firstColumn="0" w:lastColumn="0" w:oddVBand="0" w:evenVBand="0" w:oddHBand="0" w:evenHBand="0" w:firstRowFirstColumn="0" w:firstRowLastColumn="0" w:lastRowFirstColumn="0" w:lastRowLastColumn="0"/>
            </w:pPr>
            <w:r>
              <w:t>484 876</w:t>
            </w:r>
          </w:p>
        </w:tc>
      </w:tr>
      <w:tr w:rsidR="0074216D" w14:paraId="774644C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FCFF065" w14:textId="22D0B66C" w:rsidR="0074216D" w:rsidRDefault="0074216D">
            <w:pPr>
              <w:ind w:left="170"/>
            </w:pPr>
            <w:r>
              <w:rPr>
                <w:i/>
              </w:rPr>
              <w:t>The 2025-26 expected outcome reflect Ambulance Victoria</w:t>
            </w:r>
            <w:r w:rsidR="00324555">
              <w:rPr>
                <w:i/>
              </w:rPr>
              <w:t>’</w:t>
            </w:r>
            <w:r>
              <w:rPr>
                <w:i/>
              </w:rPr>
              <w:t>s focus on targeted demand management strategies to connect people to care that is responsive to their needs while avoiding an emergency ambulance response. Key initiatives including the secondary triage services, the virtual emergency department and use of alternative care pathways.</w:t>
            </w:r>
          </w:p>
        </w:tc>
      </w:tr>
      <w:tr w:rsidR="0074216D" w14:paraId="67132D75" w14:textId="77777777">
        <w:tc>
          <w:tcPr>
            <w:cnfStyle w:val="001000000000" w:firstRow="0" w:lastRow="0" w:firstColumn="1" w:lastColumn="0" w:oddVBand="0" w:evenVBand="0" w:oddHBand="0" w:evenHBand="0" w:firstRowFirstColumn="0" w:firstRowLastColumn="0" w:lastRowFirstColumn="0" w:lastRowLastColumn="0"/>
            <w:tcW w:w="4819" w:type="dxa"/>
          </w:tcPr>
          <w:p w14:paraId="5DCA852D" w14:textId="77777777" w:rsidR="0074216D" w:rsidRDefault="0074216D">
            <w:pPr>
              <w:keepNext/>
              <w:ind w:left="170"/>
            </w:pPr>
            <w:r>
              <w:t>Statewide non-emergency air transports</w:t>
            </w:r>
          </w:p>
        </w:tc>
        <w:tc>
          <w:tcPr>
            <w:tcW w:w="964" w:type="dxa"/>
          </w:tcPr>
          <w:p w14:paraId="3D63F06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E099BB2" w14:textId="77777777" w:rsidR="0074216D" w:rsidRDefault="0074216D">
            <w:pPr>
              <w:cnfStyle w:val="000000000000" w:firstRow="0" w:lastRow="0" w:firstColumn="0" w:lastColumn="0" w:oddVBand="0" w:evenVBand="0" w:oddHBand="0" w:evenHBand="0" w:firstRowFirstColumn="0" w:firstRowLastColumn="0" w:lastRowFirstColumn="0" w:lastRowLastColumn="0"/>
            </w:pPr>
            <w:r>
              <w:t>3 400</w:t>
            </w:r>
          </w:p>
        </w:tc>
        <w:tc>
          <w:tcPr>
            <w:tcW w:w="964" w:type="dxa"/>
          </w:tcPr>
          <w:p w14:paraId="11A6C911" w14:textId="77777777" w:rsidR="0074216D" w:rsidRDefault="0074216D">
            <w:pPr>
              <w:cnfStyle w:val="000000000000" w:firstRow="0" w:lastRow="0" w:firstColumn="0" w:lastColumn="0" w:oddVBand="0" w:evenVBand="0" w:oddHBand="0" w:evenHBand="0" w:firstRowFirstColumn="0" w:firstRowLastColumn="0" w:lastRowFirstColumn="0" w:lastRowLastColumn="0"/>
            </w:pPr>
            <w:r>
              <w:t>2 846</w:t>
            </w:r>
          </w:p>
        </w:tc>
        <w:tc>
          <w:tcPr>
            <w:tcW w:w="964" w:type="dxa"/>
          </w:tcPr>
          <w:p w14:paraId="467C5D01" w14:textId="77777777" w:rsidR="0074216D" w:rsidRDefault="0074216D">
            <w:pPr>
              <w:cnfStyle w:val="000000000000" w:firstRow="0" w:lastRow="0" w:firstColumn="0" w:lastColumn="0" w:oddVBand="0" w:evenVBand="0" w:oddHBand="0" w:evenHBand="0" w:firstRowFirstColumn="0" w:firstRowLastColumn="0" w:lastRowFirstColumn="0" w:lastRowLastColumn="0"/>
            </w:pPr>
            <w:r>
              <w:t>3 400</w:t>
            </w:r>
          </w:p>
        </w:tc>
        <w:tc>
          <w:tcPr>
            <w:tcW w:w="964" w:type="dxa"/>
          </w:tcPr>
          <w:p w14:paraId="2C08C24F" w14:textId="77777777" w:rsidR="0074216D" w:rsidRDefault="0074216D">
            <w:pPr>
              <w:cnfStyle w:val="000000000000" w:firstRow="0" w:lastRow="0" w:firstColumn="0" w:lastColumn="0" w:oddVBand="0" w:evenVBand="0" w:oddHBand="0" w:evenHBand="0" w:firstRowFirstColumn="0" w:firstRowLastColumn="0" w:lastRowFirstColumn="0" w:lastRowLastColumn="0"/>
            </w:pPr>
            <w:r>
              <w:t>2 818</w:t>
            </w:r>
          </w:p>
        </w:tc>
      </w:tr>
      <w:tr w:rsidR="0074216D" w14:paraId="25F8F6F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5C3DCC2" w14:textId="77777777" w:rsidR="0074216D" w:rsidRDefault="0074216D">
            <w:pPr>
              <w:ind w:left="170"/>
            </w:pPr>
            <w:r>
              <w:rPr>
                <w:i/>
              </w:rPr>
              <w:t>Air activity is demand driven, activity below target represents lower demand for services.</w:t>
            </w:r>
          </w:p>
        </w:tc>
      </w:tr>
      <w:tr w:rsidR="0074216D" w14:paraId="4FA6309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B271834" w14:textId="77777777" w:rsidR="0074216D" w:rsidRDefault="0074216D">
            <w:pPr>
              <w:ind w:left="170"/>
            </w:pPr>
            <w:r>
              <w:t>Statewide non-emergency road transports</w:t>
            </w:r>
          </w:p>
        </w:tc>
        <w:tc>
          <w:tcPr>
            <w:tcW w:w="964" w:type="dxa"/>
            <w:tcBorders>
              <w:bottom w:val="single" w:sz="6" w:space="0" w:color="auto"/>
            </w:tcBorders>
          </w:tcPr>
          <w:p w14:paraId="05D85EC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8B7E01D" w14:textId="77777777" w:rsidR="0074216D" w:rsidRDefault="0074216D">
            <w:pPr>
              <w:cnfStyle w:val="000000000000" w:firstRow="0" w:lastRow="0" w:firstColumn="0" w:lastColumn="0" w:oddVBand="0" w:evenVBand="0" w:oddHBand="0" w:evenHBand="0" w:firstRowFirstColumn="0" w:firstRowLastColumn="0" w:lastRowFirstColumn="0" w:lastRowLastColumn="0"/>
            </w:pPr>
            <w:r>
              <w:t>300 000</w:t>
            </w:r>
          </w:p>
        </w:tc>
        <w:tc>
          <w:tcPr>
            <w:tcW w:w="964" w:type="dxa"/>
            <w:tcBorders>
              <w:bottom w:val="single" w:sz="6" w:space="0" w:color="auto"/>
            </w:tcBorders>
          </w:tcPr>
          <w:p w14:paraId="211D95C0" w14:textId="77777777" w:rsidR="0074216D" w:rsidRDefault="0074216D">
            <w:pPr>
              <w:cnfStyle w:val="000000000000" w:firstRow="0" w:lastRow="0" w:firstColumn="0" w:lastColumn="0" w:oddVBand="0" w:evenVBand="0" w:oddHBand="0" w:evenHBand="0" w:firstRowFirstColumn="0" w:firstRowLastColumn="0" w:lastRowFirstColumn="0" w:lastRowLastColumn="0"/>
            </w:pPr>
            <w:r>
              <w:t>306 000</w:t>
            </w:r>
          </w:p>
        </w:tc>
        <w:tc>
          <w:tcPr>
            <w:tcW w:w="964" w:type="dxa"/>
            <w:tcBorders>
              <w:bottom w:val="single" w:sz="6" w:space="0" w:color="auto"/>
            </w:tcBorders>
          </w:tcPr>
          <w:p w14:paraId="070698BB" w14:textId="77777777" w:rsidR="0074216D" w:rsidRDefault="0074216D">
            <w:pPr>
              <w:cnfStyle w:val="000000000000" w:firstRow="0" w:lastRow="0" w:firstColumn="0" w:lastColumn="0" w:oddVBand="0" w:evenVBand="0" w:oddHBand="0" w:evenHBand="0" w:firstRowFirstColumn="0" w:firstRowLastColumn="0" w:lastRowFirstColumn="0" w:lastRowLastColumn="0"/>
            </w:pPr>
            <w:r>
              <w:t>300 000</w:t>
            </w:r>
          </w:p>
        </w:tc>
        <w:tc>
          <w:tcPr>
            <w:tcW w:w="964" w:type="dxa"/>
            <w:tcBorders>
              <w:bottom w:val="single" w:sz="6" w:space="0" w:color="auto"/>
            </w:tcBorders>
          </w:tcPr>
          <w:p w14:paraId="231DF755" w14:textId="77777777" w:rsidR="0074216D" w:rsidRDefault="0074216D">
            <w:pPr>
              <w:cnfStyle w:val="000000000000" w:firstRow="0" w:lastRow="0" w:firstColumn="0" w:lastColumn="0" w:oddVBand="0" w:evenVBand="0" w:oddHBand="0" w:evenHBand="0" w:firstRowFirstColumn="0" w:firstRowLastColumn="0" w:lastRowFirstColumn="0" w:lastRowLastColumn="0"/>
            </w:pPr>
            <w:r>
              <w:t>257 513</w:t>
            </w:r>
          </w:p>
        </w:tc>
      </w:tr>
      <w:tr w:rsidR="0074216D" w14:paraId="70BC197D" w14:textId="77777777">
        <w:tc>
          <w:tcPr>
            <w:cnfStyle w:val="001000000000" w:firstRow="0" w:lastRow="0" w:firstColumn="1" w:lastColumn="0" w:oddVBand="0" w:evenVBand="0" w:oddHBand="0" w:evenHBand="0" w:firstRowFirstColumn="0" w:firstRowLastColumn="0" w:lastRowFirstColumn="0" w:lastRowLastColumn="0"/>
            <w:tcW w:w="4819" w:type="dxa"/>
          </w:tcPr>
          <w:p w14:paraId="35A34AAE" w14:textId="77777777" w:rsidR="0074216D" w:rsidRDefault="0074216D">
            <w:pPr>
              <w:keepNext/>
              <w:ind w:left="170"/>
            </w:pPr>
            <w:r>
              <w:t>Treatment without transport</w:t>
            </w:r>
          </w:p>
        </w:tc>
        <w:tc>
          <w:tcPr>
            <w:tcW w:w="964" w:type="dxa"/>
          </w:tcPr>
          <w:p w14:paraId="5474BAA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D2A1A93" w14:textId="77777777" w:rsidR="0074216D" w:rsidRDefault="0074216D">
            <w:pPr>
              <w:cnfStyle w:val="000000000000" w:firstRow="0" w:lastRow="0" w:firstColumn="0" w:lastColumn="0" w:oddVBand="0" w:evenVBand="0" w:oddHBand="0" w:evenHBand="0" w:firstRowFirstColumn="0" w:firstRowLastColumn="0" w:lastRowFirstColumn="0" w:lastRowLastColumn="0"/>
            </w:pPr>
            <w:r>
              <w:t>130 000</w:t>
            </w:r>
          </w:p>
        </w:tc>
        <w:tc>
          <w:tcPr>
            <w:tcW w:w="964" w:type="dxa"/>
          </w:tcPr>
          <w:p w14:paraId="734A34D1" w14:textId="77777777" w:rsidR="0074216D" w:rsidRDefault="0074216D">
            <w:pPr>
              <w:cnfStyle w:val="000000000000" w:firstRow="0" w:lastRow="0" w:firstColumn="0" w:lastColumn="0" w:oddVBand="0" w:evenVBand="0" w:oddHBand="0" w:evenHBand="0" w:firstRowFirstColumn="0" w:firstRowLastColumn="0" w:lastRowFirstColumn="0" w:lastRowLastColumn="0"/>
            </w:pPr>
            <w:r>
              <w:t>150 382</w:t>
            </w:r>
          </w:p>
        </w:tc>
        <w:tc>
          <w:tcPr>
            <w:tcW w:w="964" w:type="dxa"/>
          </w:tcPr>
          <w:p w14:paraId="00D937B5" w14:textId="77777777" w:rsidR="0074216D" w:rsidRDefault="0074216D">
            <w:pPr>
              <w:cnfStyle w:val="000000000000" w:firstRow="0" w:lastRow="0" w:firstColumn="0" w:lastColumn="0" w:oddVBand="0" w:evenVBand="0" w:oddHBand="0" w:evenHBand="0" w:firstRowFirstColumn="0" w:firstRowLastColumn="0" w:lastRowFirstColumn="0" w:lastRowLastColumn="0"/>
            </w:pPr>
            <w:r>
              <w:t>130 000</w:t>
            </w:r>
          </w:p>
        </w:tc>
        <w:tc>
          <w:tcPr>
            <w:tcW w:w="964" w:type="dxa"/>
          </w:tcPr>
          <w:p w14:paraId="283ABEF2" w14:textId="77777777" w:rsidR="0074216D" w:rsidRDefault="0074216D">
            <w:pPr>
              <w:cnfStyle w:val="000000000000" w:firstRow="0" w:lastRow="0" w:firstColumn="0" w:lastColumn="0" w:oddVBand="0" w:evenVBand="0" w:oddHBand="0" w:evenHBand="0" w:firstRowFirstColumn="0" w:firstRowLastColumn="0" w:lastRowFirstColumn="0" w:lastRowLastColumn="0"/>
            </w:pPr>
            <w:r>
              <w:t>140 747</w:t>
            </w:r>
          </w:p>
        </w:tc>
      </w:tr>
      <w:tr w:rsidR="0074216D" w14:paraId="2FFBADA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B2AB200" w14:textId="78CA659C" w:rsidR="0074216D" w:rsidRDefault="0074216D">
            <w:pPr>
              <w:ind w:left="170"/>
            </w:pPr>
            <w:r>
              <w:rPr>
                <w:i/>
              </w:rPr>
              <w:t>The 2025-26 expected outcome reflects Ambulance Victoria</w:t>
            </w:r>
            <w:r w:rsidR="00324555">
              <w:rPr>
                <w:i/>
              </w:rPr>
              <w:t>’</w:t>
            </w:r>
            <w:r>
              <w:rPr>
                <w:i/>
              </w:rPr>
              <w:t>s increased focus on demand management strategies to reduce unnecessary transports to emergency departments, including in-field referrals to the Virtual Emergency Department. Performance above target is a positive outcome for this measure.</w:t>
            </w:r>
          </w:p>
        </w:tc>
      </w:tr>
      <w:tr w:rsidR="0074216D" w14:paraId="208B7A8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54198B0" w14:textId="77777777" w:rsidR="0074216D" w:rsidRPr="005314E1" w:rsidRDefault="0074216D">
            <w:pPr>
              <w:keepNext/>
              <w:rPr>
                <w:b/>
              </w:rPr>
            </w:pPr>
            <w:r w:rsidRPr="005314E1">
              <w:rPr>
                <w:b/>
              </w:rPr>
              <w:t>Quality</w:t>
            </w:r>
          </w:p>
        </w:tc>
      </w:tr>
      <w:tr w:rsidR="0074216D" w14:paraId="4ECF7EE0" w14:textId="77777777">
        <w:tc>
          <w:tcPr>
            <w:cnfStyle w:val="001000000000" w:firstRow="0" w:lastRow="0" w:firstColumn="1" w:lastColumn="0" w:oddVBand="0" w:evenVBand="0" w:oddHBand="0" w:evenHBand="0" w:firstRowFirstColumn="0" w:firstRowLastColumn="0" w:lastRowFirstColumn="0" w:lastRowLastColumn="0"/>
            <w:tcW w:w="4819" w:type="dxa"/>
          </w:tcPr>
          <w:p w14:paraId="21E901D6" w14:textId="77777777" w:rsidR="0074216D" w:rsidRDefault="0074216D">
            <w:pPr>
              <w:keepNext/>
              <w:ind w:left="170"/>
            </w:pPr>
            <w:r>
              <w:t>Audited cases attended by Community Emergency Response Teams (CERT) meeting clinical practice standards</w:t>
            </w:r>
          </w:p>
        </w:tc>
        <w:tc>
          <w:tcPr>
            <w:tcW w:w="964" w:type="dxa"/>
          </w:tcPr>
          <w:p w14:paraId="02F8325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6AF9437"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18D5B157"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9011948"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1A33C313"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7458FEE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434274" w14:textId="77777777" w:rsidR="0074216D" w:rsidRDefault="0074216D">
            <w:pPr>
              <w:ind w:left="170"/>
            </w:pPr>
            <w:r>
              <w:rPr>
                <w:i/>
              </w:rPr>
              <w:t xml:space="preserve">The 2025-26 expected outcome is above target, reflecting a positive outcome for this measure. </w:t>
            </w:r>
          </w:p>
        </w:tc>
      </w:tr>
      <w:tr w:rsidR="0074216D" w14:paraId="63CED86B" w14:textId="77777777">
        <w:tc>
          <w:tcPr>
            <w:cnfStyle w:val="001000000000" w:firstRow="0" w:lastRow="0" w:firstColumn="1" w:lastColumn="0" w:oddVBand="0" w:evenVBand="0" w:oddHBand="0" w:evenHBand="0" w:firstRowFirstColumn="0" w:firstRowLastColumn="0" w:lastRowFirstColumn="0" w:lastRowLastColumn="0"/>
            <w:tcW w:w="4819" w:type="dxa"/>
          </w:tcPr>
          <w:p w14:paraId="1537EEEA" w14:textId="77777777" w:rsidR="0074216D" w:rsidRDefault="0074216D">
            <w:pPr>
              <w:keepNext/>
              <w:ind w:left="170"/>
            </w:pPr>
            <w:r>
              <w:t>Audited cases statewide meeting clinical practice standards</w:t>
            </w:r>
          </w:p>
        </w:tc>
        <w:tc>
          <w:tcPr>
            <w:tcW w:w="964" w:type="dxa"/>
          </w:tcPr>
          <w:p w14:paraId="1DD5386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7E0FC58"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D3D6F4C"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8E37A59"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9D9639A" w14:textId="77777777" w:rsidR="0074216D" w:rsidRDefault="0074216D">
            <w:pPr>
              <w:cnfStyle w:val="000000000000" w:firstRow="0" w:lastRow="0" w:firstColumn="0" w:lastColumn="0" w:oddVBand="0" w:evenVBand="0" w:oddHBand="0" w:evenHBand="0" w:firstRowFirstColumn="0" w:firstRowLastColumn="0" w:lastRowFirstColumn="0" w:lastRowLastColumn="0"/>
            </w:pPr>
            <w:r>
              <w:t>99.8</w:t>
            </w:r>
          </w:p>
        </w:tc>
      </w:tr>
      <w:tr w:rsidR="0074216D" w14:paraId="7DC353B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517A09" w14:textId="77777777" w:rsidR="0074216D" w:rsidRDefault="0074216D">
            <w:pPr>
              <w:ind w:left="170"/>
            </w:pPr>
            <w:r>
              <w:rPr>
                <w:i/>
              </w:rPr>
              <w:t xml:space="preserve">The 2025-26 expected outcome is above target, reflecting a positive outcome for this measure. </w:t>
            </w:r>
          </w:p>
        </w:tc>
      </w:tr>
      <w:tr w:rsidR="0074216D" w14:paraId="1A19DB4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700A12" w14:textId="77777777" w:rsidR="0074216D" w:rsidRDefault="0074216D">
            <w:pPr>
              <w:ind w:left="170"/>
            </w:pPr>
            <w:r>
              <w:t>Proportion of adult patients suspected of having a stroke who were transported to a stroke unit with thrombolysis facilities within 60 minutes</w:t>
            </w:r>
          </w:p>
        </w:tc>
        <w:tc>
          <w:tcPr>
            <w:tcW w:w="964" w:type="dxa"/>
            <w:tcBorders>
              <w:bottom w:val="single" w:sz="6" w:space="0" w:color="auto"/>
            </w:tcBorders>
          </w:tcPr>
          <w:p w14:paraId="6A3F25F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3A11F66"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73E4048" w14:textId="77777777" w:rsidR="0074216D" w:rsidRDefault="0074216D">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1A34D4CA"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7D3F98F" w14:textId="77777777" w:rsidR="0074216D" w:rsidRDefault="0074216D">
            <w:pPr>
              <w:cnfStyle w:val="000000000000" w:firstRow="0" w:lastRow="0" w:firstColumn="0" w:lastColumn="0" w:oddVBand="0" w:evenVBand="0" w:oddHBand="0" w:evenHBand="0" w:firstRowFirstColumn="0" w:firstRowLastColumn="0" w:lastRowFirstColumn="0" w:lastRowLastColumn="0"/>
            </w:pPr>
            <w:r>
              <w:t>97.8</w:t>
            </w:r>
          </w:p>
        </w:tc>
      </w:tr>
      <w:tr w:rsidR="0074216D" w14:paraId="0AF26AE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FE4E91" w14:textId="77777777" w:rsidR="0074216D" w:rsidRDefault="0074216D">
            <w:pPr>
              <w:ind w:left="170"/>
            </w:pPr>
            <w:r>
              <w:t>Proportion of patients experiencing severe cardiac or traumatic pain whose level of pain is reduced significantly</w:t>
            </w:r>
          </w:p>
        </w:tc>
        <w:tc>
          <w:tcPr>
            <w:tcW w:w="964" w:type="dxa"/>
            <w:tcBorders>
              <w:bottom w:val="single" w:sz="6" w:space="0" w:color="auto"/>
            </w:tcBorders>
          </w:tcPr>
          <w:p w14:paraId="731902B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18A1201"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8E17D04" w14:textId="77777777" w:rsidR="0074216D" w:rsidRDefault="0074216D">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0D85D554"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255A6F2" w14:textId="77777777" w:rsidR="0074216D" w:rsidRDefault="0074216D">
            <w:pPr>
              <w:cnfStyle w:val="000000000000" w:firstRow="0" w:lastRow="0" w:firstColumn="0" w:lastColumn="0" w:oddVBand="0" w:evenVBand="0" w:oddHBand="0" w:evenHBand="0" w:firstRowFirstColumn="0" w:firstRowLastColumn="0" w:lastRowFirstColumn="0" w:lastRowLastColumn="0"/>
            </w:pPr>
            <w:r>
              <w:t>92.1</w:t>
            </w:r>
          </w:p>
        </w:tc>
      </w:tr>
      <w:tr w:rsidR="0074216D" w14:paraId="1EE7251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0FCFE36" w14:textId="77777777" w:rsidR="0074216D" w:rsidRDefault="0074216D">
            <w:pPr>
              <w:ind w:left="170"/>
            </w:pPr>
            <w:r>
              <w:t>Proportion of patients very satisfied or satisfied with overall services delivered by paramedics</w:t>
            </w:r>
          </w:p>
        </w:tc>
        <w:tc>
          <w:tcPr>
            <w:tcW w:w="964" w:type="dxa"/>
            <w:tcBorders>
              <w:bottom w:val="single" w:sz="6" w:space="0" w:color="auto"/>
            </w:tcBorders>
          </w:tcPr>
          <w:p w14:paraId="54B1179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8E3AC24"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14FAD35"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28B492B6"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26D1C65"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r>
      <w:tr w:rsidR="0074216D" w14:paraId="5710C0A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4868107" w14:textId="77777777" w:rsidR="0074216D" w:rsidRPr="005314E1" w:rsidRDefault="0074216D">
            <w:pPr>
              <w:keepNext/>
              <w:rPr>
                <w:b/>
              </w:rPr>
            </w:pPr>
            <w:r w:rsidRPr="005314E1">
              <w:rPr>
                <w:b/>
              </w:rPr>
              <w:t>Timeliness</w:t>
            </w:r>
          </w:p>
        </w:tc>
      </w:tr>
      <w:tr w:rsidR="0074216D" w14:paraId="7F672136" w14:textId="77777777">
        <w:tc>
          <w:tcPr>
            <w:cnfStyle w:val="001000000000" w:firstRow="0" w:lastRow="0" w:firstColumn="1" w:lastColumn="0" w:oddVBand="0" w:evenVBand="0" w:oddHBand="0" w:evenHBand="0" w:firstRowFirstColumn="0" w:firstRowLastColumn="0" w:lastRowFirstColumn="0" w:lastRowLastColumn="0"/>
            <w:tcW w:w="4819" w:type="dxa"/>
          </w:tcPr>
          <w:p w14:paraId="38BCDCEE" w14:textId="77777777" w:rsidR="0074216D" w:rsidRDefault="0074216D">
            <w:pPr>
              <w:keepNext/>
              <w:ind w:left="170"/>
            </w:pPr>
            <w:r>
              <w:t>Proportion of emergency (Code 1) incidents responded to within 15 minutes – statewide</w:t>
            </w:r>
          </w:p>
        </w:tc>
        <w:tc>
          <w:tcPr>
            <w:tcW w:w="964" w:type="dxa"/>
          </w:tcPr>
          <w:p w14:paraId="40746AC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D305537"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241F66C" w14:textId="77777777" w:rsidR="0074216D" w:rsidRDefault="0074216D">
            <w:pPr>
              <w:cnfStyle w:val="000000000000" w:firstRow="0" w:lastRow="0" w:firstColumn="0" w:lastColumn="0" w:oddVBand="0" w:evenVBand="0" w:oddHBand="0" w:evenHBand="0" w:firstRowFirstColumn="0" w:firstRowLastColumn="0" w:lastRowFirstColumn="0" w:lastRowLastColumn="0"/>
            </w:pPr>
            <w:r>
              <w:t>64.6</w:t>
            </w:r>
          </w:p>
        </w:tc>
        <w:tc>
          <w:tcPr>
            <w:tcW w:w="964" w:type="dxa"/>
          </w:tcPr>
          <w:p w14:paraId="47976619"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634B742" w14:textId="77777777" w:rsidR="0074216D" w:rsidRDefault="0074216D">
            <w:pPr>
              <w:cnfStyle w:val="000000000000" w:firstRow="0" w:lastRow="0" w:firstColumn="0" w:lastColumn="0" w:oddVBand="0" w:evenVBand="0" w:oddHBand="0" w:evenHBand="0" w:firstRowFirstColumn="0" w:firstRowLastColumn="0" w:lastRowFirstColumn="0" w:lastRowLastColumn="0"/>
            </w:pPr>
            <w:r>
              <w:t>65.3</w:t>
            </w:r>
          </w:p>
        </w:tc>
      </w:tr>
      <w:tr w:rsidR="0074216D" w14:paraId="5B1D2A7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2720456" w14:textId="77777777" w:rsidR="0074216D" w:rsidRDefault="0074216D">
            <w:pPr>
              <w:ind w:left="170"/>
            </w:pPr>
            <w:r>
              <w:rPr>
                <w:i/>
              </w:rPr>
              <w:t>The estimated end of year result reflects ongoing elevated demand for Code 1 responses, along with increased patient acuity and system flow constraints, which continue to impact resource availability and response times.</w:t>
            </w:r>
          </w:p>
        </w:tc>
      </w:tr>
      <w:tr w:rsidR="0074216D" w14:paraId="6F973DF8"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08F3CFAF" w14:textId="77777777" w:rsidR="0074216D" w:rsidRDefault="0074216D">
            <w:pPr>
              <w:keepNext/>
              <w:ind w:left="170"/>
            </w:pPr>
            <w:r>
              <w:t>Proportion of emergency (Code 1) incidents responded to within 15 minutes in centres with more than 7 500 population</w:t>
            </w:r>
          </w:p>
        </w:tc>
        <w:tc>
          <w:tcPr>
            <w:tcW w:w="964" w:type="dxa"/>
            <w:tcBorders>
              <w:bottom w:val="nil"/>
            </w:tcBorders>
          </w:tcPr>
          <w:p w14:paraId="0C7330F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3A2B072B"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1FBECB5F" w14:textId="77777777" w:rsidR="0074216D" w:rsidRDefault="0074216D">
            <w:pPr>
              <w:cnfStyle w:val="000000000000" w:firstRow="0" w:lastRow="0" w:firstColumn="0" w:lastColumn="0" w:oddVBand="0" w:evenVBand="0" w:oddHBand="0" w:evenHBand="0" w:firstRowFirstColumn="0" w:firstRowLastColumn="0" w:lastRowFirstColumn="0" w:lastRowLastColumn="0"/>
            </w:pPr>
            <w:r>
              <w:t>68.4</w:t>
            </w:r>
          </w:p>
        </w:tc>
        <w:tc>
          <w:tcPr>
            <w:tcW w:w="964" w:type="dxa"/>
            <w:tcBorders>
              <w:bottom w:val="nil"/>
            </w:tcBorders>
          </w:tcPr>
          <w:p w14:paraId="758CD1AD"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3654D5B4" w14:textId="77777777" w:rsidR="0074216D" w:rsidRDefault="0074216D">
            <w:pPr>
              <w:cnfStyle w:val="000000000000" w:firstRow="0" w:lastRow="0" w:firstColumn="0" w:lastColumn="0" w:oddVBand="0" w:evenVBand="0" w:oddHBand="0" w:evenHBand="0" w:firstRowFirstColumn="0" w:firstRowLastColumn="0" w:lastRowFirstColumn="0" w:lastRowLastColumn="0"/>
            </w:pPr>
            <w:r>
              <w:t>69.2</w:t>
            </w:r>
          </w:p>
        </w:tc>
      </w:tr>
      <w:tr w:rsidR="0074216D" w14:paraId="33E2E3FC"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313C4C" w14:textId="77777777" w:rsidR="0074216D" w:rsidRDefault="0074216D">
            <w:pPr>
              <w:ind w:left="170"/>
            </w:pPr>
            <w:r w:rsidRPr="009B0D93">
              <w:rPr>
                <w:i/>
              </w:rPr>
              <w:t>The estimated end of year result reflects ongoing elevated demand for Code 1 responses, along with increased patient acuity and system flow constraints, which continue to impact resource availability and response times.</w:t>
            </w:r>
          </w:p>
        </w:tc>
      </w:tr>
      <w:tr w:rsidR="0074216D" w14:paraId="1B570DD6"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251131D" w14:textId="77777777" w:rsidR="0074216D" w:rsidRPr="005314E1" w:rsidRDefault="0074216D">
            <w:pPr>
              <w:rPr>
                <w:b/>
              </w:rPr>
            </w:pPr>
            <w:r w:rsidRPr="005314E1">
              <w:rPr>
                <w:b/>
              </w:rPr>
              <w:t>Cost</w:t>
            </w:r>
          </w:p>
        </w:tc>
      </w:tr>
      <w:tr w:rsidR="0074216D" w14:paraId="681CB37D" w14:textId="77777777">
        <w:tc>
          <w:tcPr>
            <w:cnfStyle w:val="001000000000" w:firstRow="0" w:lastRow="0" w:firstColumn="1" w:lastColumn="0" w:oddVBand="0" w:evenVBand="0" w:oddHBand="0" w:evenHBand="0" w:firstRowFirstColumn="0" w:firstRowLastColumn="0" w:lastRowFirstColumn="0" w:lastRowLastColumn="0"/>
            <w:tcW w:w="4819" w:type="dxa"/>
          </w:tcPr>
          <w:p w14:paraId="75BA9D76" w14:textId="77777777" w:rsidR="0074216D" w:rsidRDefault="0074216D">
            <w:pPr>
              <w:keepNext/>
              <w:ind w:left="170"/>
            </w:pPr>
            <w:r>
              <w:t>Total output cost</w:t>
            </w:r>
          </w:p>
        </w:tc>
        <w:tc>
          <w:tcPr>
            <w:tcW w:w="964" w:type="dxa"/>
          </w:tcPr>
          <w:p w14:paraId="1337A61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8EB7B53"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9723E">
              <w:t>1 575.6</w:t>
            </w:r>
          </w:p>
        </w:tc>
        <w:tc>
          <w:tcPr>
            <w:tcW w:w="964" w:type="dxa"/>
          </w:tcPr>
          <w:p w14:paraId="5CE6F71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9723E">
              <w:t>1 589.5</w:t>
            </w:r>
          </w:p>
        </w:tc>
        <w:tc>
          <w:tcPr>
            <w:tcW w:w="964" w:type="dxa"/>
          </w:tcPr>
          <w:p w14:paraId="23A31D2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9723E">
              <w:t>1 520.6</w:t>
            </w:r>
          </w:p>
        </w:tc>
        <w:tc>
          <w:tcPr>
            <w:tcW w:w="964" w:type="dxa"/>
          </w:tcPr>
          <w:p w14:paraId="43A33B09"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9723E">
              <w:t>1 612.5</w:t>
            </w:r>
          </w:p>
        </w:tc>
      </w:tr>
      <w:tr w:rsidR="0074216D" w14:paraId="26B2777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01EBFD7" w14:textId="77777777" w:rsidR="0074216D" w:rsidRDefault="0074216D">
            <w:pPr>
              <w:ind w:left="170"/>
            </w:pPr>
            <w:r w:rsidRPr="00082784">
              <w:rPr>
                <w:i/>
              </w:rPr>
              <w:t>The higher 2025-26 expected outcome reflects movements between outputs to better align expenditure and new funding provided for government policy commitments.</w:t>
            </w:r>
          </w:p>
        </w:tc>
      </w:tr>
    </w:tbl>
    <w:p w14:paraId="279EF531" w14:textId="77777777" w:rsidR="0074216D" w:rsidRDefault="0074216D" w:rsidP="0074216D">
      <w:pPr>
        <w:pStyle w:val="Source"/>
      </w:pPr>
      <w:r>
        <w:t>Source: Department of Health</w:t>
      </w:r>
    </w:p>
    <w:p w14:paraId="1831192B" w14:textId="77777777" w:rsidR="0074216D" w:rsidRDefault="0074216D" w:rsidP="0074216D">
      <w:pPr>
        <w:pStyle w:val="Source"/>
      </w:pPr>
    </w:p>
    <w:p w14:paraId="2E9F3B39" w14:textId="77777777" w:rsidR="0074216D" w:rsidRDefault="0074216D" w:rsidP="0074216D">
      <w:pPr>
        <w:pStyle w:val="Heading3"/>
      </w:pPr>
      <w:r>
        <w:lastRenderedPageBreak/>
        <w:t>Drug Services</w:t>
      </w:r>
      <w:r>
        <w:tab/>
        <w:t>(2026-27: $415.5 million)</w:t>
      </w:r>
    </w:p>
    <w:p w14:paraId="2DAFC0D1" w14:textId="77777777" w:rsidR="0074216D" w:rsidRPr="00E94C00" w:rsidRDefault="0074216D" w:rsidP="0074216D">
      <w:pPr>
        <w:shd w:val="clear" w:color="auto" w:fill="FFFFFF" w:themeFill="background1"/>
        <w:spacing w:after="120"/>
        <w:rPr>
          <w:rFonts w:ascii="Garamond" w:eastAsia="Garamond" w:hAnsi="Garamond"/>
          <w:lang w:eastAsia="en-AU"/>
        </w:rPr>
      </w:pPr>
      <w:r w:rsidRPr="007D5578">
        <w:rPr>
          <w:rFonts w:ascii="Garamond" w:eastAsia="Garamond" w:hAnsi="Garamond"/>
          <w:lang w:eastAsia="en-AU"/>
        </w:rPr>
        <w:t xml:space="preserve">Encourages all </w:t>
      </w:r>
      <w:r w:rsidRPr="007D5578">
        <w:t>Victorians</w:t>
      </w:r>
      <w:r w:rsidRPr="007D5578">
        <w:rPr>
          <w:rFonts w:ascii="Garamond" w:eastAsia="Garamond" w:hAnsi="Garamond"/>
          <w:lang w:eastAsia="en-AU"/>
        </w:rPr>
        <w:t xml:space="preserve"> to minimise the harmful effects of alcohol and other drugs by providing a comprehensive range of strategies, which focus on enhanced community and professional education, targeted prevention and early intervention programs, community</w:t>
      </w:r>
      <w:r>
        <w:rPr>
          <w:rFonts w:ascii="Garamond" w:eastAsia="Garamond" w:hAnsi="Garamond"/>
          <w:lang w:eastAsia="en-AU"/>
        </w:rPr>
        <w:t>-</w:t>
      </w:r>
      <w:r w:rsidRPr="007D5578">
        <w:rPr>
          <w:rFonts w:ascii="Garamond" w:eastAsia="Garamond" w:hAnsi="Garamond"/>
          <w:lang w:eastAsia="en-AU"/>
        </w:rPr>
        <w:t>based non-residential and residential treatment services, and effective regulation.</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74216D" w14:paraId="4055DD1D" w14:textId="77777777" w:rsidTr="007D3B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A84D3DD" w14:textId="77777777" w:rsidR="0074216D" w:rsidRDefault="0074216D">
            <w:r>
              <w:t>Performance measure</w:t>
            </w:r>
          </w:p>
        </w:tc>
        <w:tc>
          <w:tcPr>
            <w:tcW w:w="964" w:type="dxa"/>
          </w:tcPr>
          <w:p w14:paraId="64C09921"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BBF6AA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96B05C0"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9C84700"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358CA4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49F2112F"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Pr>
          <w:p w14:paraId="39108604" w14:textId="77777777" w:rsidR="0074216D" w:rsidRPr="005314E1" w:rsidRDefault="0074216D">
            <w:pPr>
              <w:keepNext/>
              <w:rPr>
                <w:b/>
              </w:rPr>
            </w:pPr>
            <w:r w:rsidRPr="005314E1">
              <w:rPr>
                <w:b/>
              </w:rPr>
              <w:t>Quantity</w:t>
            </w:r>
          </w:p>
        </w:tc>
      </w:tr>
      <w:tr w:rsidR="0074216D" w14:paraId="4168D318" w14:textId="77777777" w:rsidTr="007D3B9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68A07B9" w14:textId="77777777" w:rsidR="0074216D" w:rsidRDefault="0074216D">
            <w:pPr>
              <w:ind w:left="170"/>
            </w:pPr>
            <w:r>
              <w:t>Number of clients on the Pharmacotherapy program</w:t>
            </w:r>
          </w:p>
        </w:tc>
        <w:tc>
          <w:tcPr>
            <w:tcW w:w="964" w:type="dxa"/>
            <w:tcBorders>
              <w:bottom w:val="single" w:sz="6" w:space="0" w:color="auto"/>
            </w:tcBorders>
          </w:tcPr>
          <w:p w14:paraId="5857214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1A41E79" w14:textId="77777777" w:rsidR="0074216D" w:rsidRDefault="0074216D">
            <w:pPr>
              <w:cnfStyle w:val="000000000000" w:firstRow="0" w:lastRow="0" w:firstColumn="0" w:lastColumn="0" w:oddVBand="0" w:evenVBand="0" w:oddHBand="0" w:evenHBand="0" w:firstRowFirstColumn="0" w:firstRowLastColumn="0" w:lastRowFirstColumn="0" w:lastRowLastColumn="0"/>
            </w:pPr>
            <w:r>
              <w:t>15 106</w:t>
            </w:r>
          </w:p>
        </w:tc>
        <w:tc>
          <w:tcPr>
            <w:tcW w:w="964" w:type="dxa"/>
            <w:tcBorders>
              <w:bottom w:val="single" w:sz="6" w:space="0" w:color="auto"/>
            </w:tcBorders>
          </w:tcPr>
          <w:p w14:paraId="3031C998" w14:textId="77777777" w:rsidR="0074216D" w:rsidRDefault="0074216D">
            <w:pPr>
              <w:cnfStyle w:val="000000000000" w:firstRow="0" w:lastRow="0" w:firstColumn="0" w:lastColumn="0" w:oddVBand="0" w:evenVBand="0" w:oddHBand="0" w:evenHBand="0" w:firstRowFirstColumn="0" w:firstRowLastColumn="0" w:lastRowFirstColumn="0" w:lastRowLastColumn="0"/>
            </w:pPr>
            <w:r>
              <w:t>14 556</w:t>
            </w:r>
          </w:p>
        </w:tc>
        <w:tc>
          <w:tcPr>
            <w:tcW w:w="964" w:type="dxa"/>
            <w:tcBorders>
              <w:bottom w:val="single" w:sz="6" w:space="0" w:color="auto"/>
            </w:tcBorders>
          </w:tcPr>
          <w:p w14:paraId="010FAA8F" w14:textId="77777777" w:rsidR="0074216D" w:rsidRDefault="0074216D">
            <w:pPr>
              <w:cnfStyle w:val="000000000000" w:firstRow="0" w:lastRow="0" w:firstColumn="0" w:lastColumn="0" w:oddVBand="0" w:evenVBand="0" w:oddHBand="0" w:evenHBand="0" w:firstRowFirstColumn="0" w:firstRowLastColumn="0" w:lastRowFirstColumn="0" w:lastRowLastColumn="0"/>
            </w:pPr>
            <w:r>
              <w:t>15 106</w:t>
            </w:r>
          </w:p>
        </w:tc>
        <w:tc>
          <w:tcPr>
            <w:tcW w:w="964" w:type="dxa"/>
            <w:tcBorders>
              <w:bottom w:val="single" w:sz="6" w:space="0" w:color="auto"/>
            </w:tcBorders>
          </w:tcPr>
          <w:p w14:paraId="510ED75C" w14:textId="77777777" w:rsidR="0074216D" w:rsidRDefault="0074216D">
            <w:pPr>
              <w:cnfStyle w:val="000000000000" w:firstRow="0" w:lastRow="0" w:firstColumn="0" w:lastColumn="0" w:oddVBand="0" w:evenVBand="0" w:oddHBand="0" w:evenHBand="0" w:firstRowFirstColumn="0" w:firstRowLastColumn="0" w:lastRowFirstColumn="0" w:lastRowLastColumn="0"/>
            </w:pPr>
            <w:r>
              <w:t>14 463</w:t>
            </w:r>
          </w:p>
        </w:tc>
      </w:tr>
      <w:tr w:rsidR="0074216D" w14:paraId="792B1627"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6D770985" w14:textId="77777777" w:rsidR="0074216D" w:rsidRDefault="0074216D">
            <w:pPr>
              <w:keepNext/>
              <w:ind w:left="170"/>
            </w:pPr>
            <w:r>
              <w:t>Number of commenced courses of treatment through community-based drug treatment services</w:t>
            </w:r>
          </w:p>
        </w:tc>
        <w:tc>
          <w:tcPr>
            <w:tcW w:w="964" w:type="dxa"/>
          </w:tcPr>
          <w:p w14:paraId="0AB5304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40AAC8C" w14:textId="77777777" w:rsidR="0074216D" w:rsidRDefault="0074216D">
            <w:pPr>
              <w:cnfStyle w:val="000000000000" w:firstRow="0" w:lastRow="0" w:firstColumn="0" w:lastColumn="0" w:oddVBand="0" w:evenVBand="0" w:oddHBand="0" w:evenHBand="0" w:firstRowFirstColumn="0" w:firstRowLastColumn="0" w:lastRowFirstColumn="0" w:lastRowLastColumn="0"/>
            </w:pPr>
            <w:r>
              <w:t>9 239</w:t>
            </w:r>
          </w:p>
        </w:tc>
        <w:tc>
          <w:tcPr>
            <w:tcW w:w="964" w:type="dxa"/>
          </w:tcPr>
          <w:p w14:paraId="088A6801" w14:textId="77777777" w:rsidR="0074216D" w:rsidRDefault="0074216D">
            <w:pPr>
              <w:cnfStyle w:val="000000000000" w:firstRow="0" w:lastRow="0" w:firstColumn="0" w:lastColumn="0" w:oddVBand="0" w:evenVBand="0" w:oddHBand="0" w:evenHBand="0" w:firstRowFirstColumn="0" w:firstRowLastColumn="0" w:lastRowFirstColumn="0" w:lastRowLastColumn="0"/>
            </w:pPr>
            <w:r>
              <w:t>11 270</w:t>
            </w:r>
          </w:p>
        </w:tc>
        <w:tc>
          <w:tcPr>
            <w:tcW w:w="964" w:type="dxa"/>
          </w:tcPr>
          <w:p w14:paraId="40C4AC7B" w14:textId="77777777" w:rsidR="0074216D" w:rsidRDefault="0074216D">
            <w:pPr>
              <w:cnfStyle w:val="000000000000" w:firstRow="0" w:lastRow="0" w:firstColumn="0" w:lastColumn="0" w:oddVBand="0" w:evenVBand="0" w:oddHBand="0" w:evenHBand="0" w:firstRowFirstColumn="0" w:firstRowLastColumn="0" w:lastRowFirstColumn="0" w:lastRowLastColumn="0"/>
            </w:pPr>
            <w:r>
              <w:t>9 239</w:t>
            </w:r>
          </w:p>
        </w:tc>
        <w:tc>
          <w:tcPr>
            <w:tcW w:w="964" w:type="dxa"/>
          </w:tcPr>
          <w:p w14:paraId="5419B46A" w14:textId="77777777" w:rsidR="0074216D" w:rsidRDefault="0074216D">
            <w:pPr>
              <w:cnfStyle w:val="000000000000" w:firstRow="0" w:lastRow="0" w:firstColumn="0" w:lastColumn="0" w:oddVBand="0" w:evenVBand="0" w:oddHBand="0" w:evenHBand="0" w:firstRowFirstColumn="0" w:firstRowLastColumn="0" w:lastRowFirstColumn="0" w:lastRowLastColumn="0"/>
            </w:pPr>
            <w:r>
              <w:t>10 953</w:t>
            </w:r>
          </w:p>
        </w:tc>
      </w:tr>
      <w:tr w:rsidR="0074216D" w14:paraId="199166C6"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4FDD999" w14:textId="77777777" w:rsidR="0074216D" w:rsidRDefault="0074216D">
            <w:pPr>
              <w:ind w:left="170"/>
            </w:pPr>
            <w:r>
              <w:rPr>
                <w:i/>
              </w:rPr>
              <w:t xml:space="preserve"> The 2025-26 expected outcome is higher than the target reflecting consistent high demand for alcohol and other drug support services. </w:t>
            </w:r>
          </w:p>
        </w:tc>
      </w:tr>
      <w:tr w:rsidR="0074216D" w14:paraId="7AF3688F"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7A208980" w14:textId="344E9447" w:rsidR="0074216D" w:rsidRDefault="0074216D">
            <w:pPr>
              <w:keepNext/>
              <w:ind w:left="170"/>
            </w:pPr>
            <w:r>
              <w:t>Number of drug treatment activity units provided in community</w:t>
            </w:r>
            <w:r w:rsidR="002B0C7C">
              <w:noBreakHyphen/>
            </w:r>
            <w:r>
              <w:t>based services</w:t>
            </w:r>
          </w:p>
        </w:tc>
        <w:tc>
          <w:tcPr>
            <w:tcW w:w="964" w:type="dxa"/>
          </w:tcPr>
          <w:p w14:paraId="4D47EFF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BCD589A" w14:textId="77777777" w:rsidR="0074216D" w:rsidRDefault="0074216D">
            <w:pPr>
              <w:cnfStyle w:val="000000000000" w:firstRow="0" w:lastRow="0" w:firstColumn="0" w:lastColumn="0" w:oddVBand="0" w:evenVBand="0" w:oddHBand="0" w:evenHBand="0" w:firstRowFirstColumn="0" w:firstRowLastColumn="0" w:lastRowFirstColumn="0" w:lastRowLastColumn="0"/>
            </w:pPr>
            <w:r>
              <w:t>97 855</w:t>
            </w:r>
          </w:p>
        </w:tc>
        <w:tc>
          <w:tcPr>
            <w:tcW w:w="964" w:type="dxa"/>
          </w:tcPr>
          <w:p w14:paraId="6FCCFA89" w14:textId="77777777" w:rsidR="0074216D" w:rsidRDefault="0074216D">
            <w:pPr>
              <w:cnfStyle w:val="000000000000" w:firstRow="0" w:lastRow="0" w:firstColumn="0" w:lastColumn="0" w:oddVBand="0" w:evenVBand="0" w:oddHBand="0" w:evenHBand="0" w:firstRowFirstColumn="0" w:firstRowLastColumn="0" w:lastRowFirstColumn="0" w:lastRowLastColumn="0"/>
            </w:pPr>
            <w:r>
              <w:t>105 761</w:t>
            </w:r>
          </w:p>
        </w:tc>
        <w:tc>
          <w:tcPr>
            <w:tcW w:w="964" w:type="dxa"/>
          </w:tcPr>
          <w:p w14:paraId="25B45DDF" w14:textId="77777777" w:rsidR="0074216D" w:rsidRDefault="0074216D">
            <w:pPr>
              <w:cnfStyle w:val="000000000000" w:firstRow="0" w:lastRow="0" w:firstColumn="0" w:lastColumn="0" w:oddVBand="0" w:evenVBand="0" w:oddHBand="0" w:evenHBand="0" w:firstRowFirstColumn="0" w:firstRowLastColumn="0" w:lastRowFirstColumn="0" w:lastRowLastColumn="0"/>
            </w:pPr>
            <w:r>
              <w:t>97 855</w:t>
            </w:r>
          </w:p>
        </w:tc>
        <w:tc>
          <w:tcPr>
            <w:tcW w:w="964" w:type="dxa"/>
          </w:tcPr>
          <w:p w14:paraId="1381F07B" w14:textId="77777777" w:rsidR="0074216D" w:rsidRDefault="0074216D">
            <w:pPr>
              <w:cnfStyle w:val="000000000000" w:firstRow="0" w:lastRow="0" w:firstColumn="0" w:lastColumn="0" w:oddVBand="0" w:evenVBand="0" w:oddHBand="0" w:evenHBand="0" w:firstRowFirstColumn="0" w:firstRowLastColumn="0" w:lastRowFirstColumn="0" w:lastRowLastColumn="0"/>
            </w:pPr>
            <w:r>
              <w:t>99 200</w:t>
            </w:r>
          </w:p>
        </w:tc>
      </w:tr>
      <w:tr w:rsidR="0074216D" w14:paraId="685D0172"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FF39E5" w14:textId="77777777" w:rsidR="0074216D" w:rsidRDefault="0074216D">
            <w:pPr>
              <w:ind w:left="170"/>
            </w:pPr>
            <w:r>
              <w:rPr>
                <w:i/>
              </w:rPr>
              <w:t xml:space="preserve"> The 2025-26 expected outcome is higher than the target, which reflects strong engagement between service consumers and alcohol and other drug treatment services.</w:t>
            </w:r>
          </w:p>
        </w:tc>
      </w:tr>
      <w:tr w:rsidR="0074216D" w14:paraId="240049C5"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530D6AE6" w14:textId="6F6E3E51" w:rsidR="0074216D" w:rsidRDefault="0074216D">
            <w:pPr>
              <w:keepNext/>
              <w:ind w:left="170"/>
            </w:pPr>
            <w:r>
              <w:t>Number of drug treatment activity units provided in residential</w:t>
            </w:r>
            <w:r w:rsidR="002B0C7C">
              <w:noBreakHyphen/>
            </w:r>
            <w:r>
              <w:t>based services</w:t>
            </w:r>
          </w:p>
        </w:tc>
        <w:tc>
          <w:tcPr>
            <w:tcW w:w="964" w:type="dxa"/>
          </w:tcPr>
          <w:p w14:paraId="44CAD66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48F9631" w14:textId="77777777" w:rsidR="0074216D" w:rsidRDefault="0074216D">
            <w:pPr>
              <w:cnfStyle w:val="000000000000" w:firstRow="0" w:lastRow="0" w:firstColumn="0" w:lastColumn="0" w:oddVBand="0" w:evenVBand="0" w:oddHBand="0" w:evenHBand="0" w:firstRowFirstColumn="0" w:firstRowLastColumn="0" w:lastRowFirstColumn="0" w:lastRowLastColumn="0"/>
            </w:pPr>
            <w:r>
              <w:t>78 845</w:t>
            </w:r>
          </w:p>
        </w:tc>
        <w:tc>
          <w:tcPr>
            <w:tcW w:w="964" w:type="dxa"/>
          </w:tcPr>
          <w:p w14:paraId="0381A3CE" w14:textId="77777777" w:rsidR="0074216D" w:rsidRDefault="0074216D">
            <w:pPr>
              <w:cnfStyle w:val="000000000000" w:firstRow="0" w:lastRow="0" w:firstColumn="0" w:lastColumn="0" w:oddVBand="0" w:evenVBand="0" w:oddHBand="0" w:evenHBand="0" w:firstRowFirstColumn="0" w:firstRowLastColumn="0" w:lastRowFirstColumn="0" w:lastRowLastColumn="0"/>
            </w:pPr>
            <w:r>
              <w:t>67 580</w:t>
            </w:r>
          </w:p>
        </w:tc>
        <w:tc>
          <w:tcPr>
            <w:tcW w:w="964" w:type="dxa"/>
          </w:tcPr>
          <w:p w14:paraId="1F75CCB0" w14:textId="77777777" w:rsidR="0074216D" w:rsidRDefault="0074216D">
            <w:pPr>
              <w:cnfStyle w:val="000000000000" w:firstRow="0" w:lastRow="0" w:firstColumn="0" w:lastColumn="0" w:oddVBand="0" w:evenVBand="0" w:oddHBand="0" w:evenHBand="0" w:firstRowFirstColumn="0" w:firstRowLastColumn="0" w:lastRowFirstColumn="0" w:lastRowLastColumn="0"/>
            </w:pPr>
            <w:r>
              <w:t>78 845</w:t>
            </w:r>
          </w:p>
        </w:tc>
        <w:tc>
          <w:tcPr>
            <w:tcW w:w="964" w:type="dxa"/>
          </w:tcPr>
          <w:p w14:paraId="053A2DEB" w14:textId="77777777" w:rsidR="0074216D" w:rsidRDefault="0074216D">
            <w:pPr>
              <w:cnfStyle w:val="000000000000" w:firstRow="0" w:lastRow="0" w:firstColumn="0" w:lastColumn="0" w:oddVBand="0" w:evenVBand="0" w:oddHBand="0" w:evenHBand="0" w:firstRowFirstColumn="0" w:firstRowLastColumn="0" w:lastRowFirstColumn="0" w:lastRowLastColumn="0"/>
            </w:pPr>
            <w:r>
              <w:t>67 481</w:t>
            </w:r>
          </w:p>
        </w:tc>
      </w:tr>
      <w:tr w:rsidR="0074216D" w14:paraId="2FC2B49E"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1AC34A" w14:textId="77777777" w:rsidR="0074216D" w:rsidRDefault="0074216D">
            <w:pPr>
              <w:ind w:left="170"/>
            </w:pPr>
            <w:r>
              <w:rPr>
                <w:i/>
              </w:rPr>
              <w:t>The 2025-26 expected outcome is lower than the target due to increasing client complexity, which can result in more referrals being deemed ineligible for care.</w:t>
            </w:r>
          </w:p>
        </w:tc>
      </w:tr>
      <w:tr w:rsidR="0074216D" w14:paraId="0B02214A"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5B97D6DB" w14:textId="73598E80" w:rsidR="0074216D" w:rsidRDefault="0074216D">
            <w:pPr>
              <w:keepNext/>
              <w:ind w:left="170"/>
            </w:pPr>
            <w:r>
              <w:t xml:space="preserve">Number of needles and syringes provided through the </w:t>
            </w:r>
            <w:r w:rsidR="002B0C7C">
              <w:br/>
            </w:r>
            <w:r>
              <w:t>Needle and Syringe program</w:t>
            </w:r>
          </w:p>
        </w:tc>
        <w:tc>
          <w:tcPr>
            <w:tcW w:w="964" w:type="dxa"/>
          </w:tcPr>
          <w:p w14:paraId="6B1A780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717AC681" w14:textId="77777777" w:rsidR="0074216D" w:rsidRDefault="0074216D">
            <w:pPr>
              <w:cnfStyle w:val="000000000000" w:firstRow="0" w:lastRow="0" w:firstColumn="0" w:lastColumn="0" w:oddVBand="0" w:evenVBand="0" w:oddHBand="0" w:evenHBand="0" w:firstRowFirstColumn="0" w:firstRowLastColumn="0" w:lastRowFirstColumn="0" w:lastRowLastColumn="0"/>
            </w:pPr>
            <w:r>
              <w:t>10 960</w:t>
            </w:r>
          </w:p>
        </w:tc>
        <w:tc>
          <w:tcPr>
            <w:tcW w:w="964" w:type="dxa"/>
          </w:tcPr>
          <w:p w14:paraId="0E1E44B8" w14:textId="77777777" w:rsidR="0074216D" w:rsidRDefault="0074216D">
            <w:pPr>
              <w:cnfStyle w:val="000000000000" w:firstRow="0" w:lastRow="0" w:firstColumn="0" w:lastColumn="0" w:oddVBand="0" w:evenVBand="0" w:oddHBand="0" w:evenHBand="0" w:firstRowFirstColumn="0" w:firstRowLastColumn="0" w:lastRowFirstColumn="0" w:lastRowLastColumn="0"/>
            </w:pPr>
            <w:r>
              <w:t>13 515</w:t>
            </w:r>
          </w:p>
        </w:tc>
        <w:tc>
          <w:tcPr>
            <w:tcW w:w="964" w:type="dxa"/>
          </w:tcPr>
          <w:p w14:paraId="3A3EF214" w14:textId="77777777" w:rsidR="0074216D" w:rsidRDefault="0074216D">
            <w:pPr>
              <w:cnfStyle w:val="000000000000" w:firstRow="0" w:lastRow="0" w:firstColumn="0" w:lastColumn="0" w:oddVBand="0" w:evenVBand="0" w:oddHBand="0" w:evenHBand="0" w:firstRowFirstColumn="0" w:firstRowLastColumn="0" w:lastRowFirstColumn="0" w:lastRowLastColumn="0"/>
            </w:pPr>
            <w:r>
              <w:t>10 960</w:t>
            </w:r>
          </w:p>
        </w:tc>
        <w:tc>
          <w:tcPr>
            <w:tcW w:w="964" w:type="dxa"/>
          </w:tcPr>
          <w:p w14:paraId="1BD9BBB0" w14:textId="77777777" w:rsidR="0074216D" w:rsidRDefault="0074216D">
            <w:pPr>
              <w:cnfStyle w:val="000000000000" w:firstRow="0" w:lastRow="0" w:firstColumn="0" w:lastColumn="0" w:oddVBand="0" w:evenVBand="0" w:oddHBand="0" w:evenHBand="0" w:firstRowFirstColumn="0" w:firstRowLastColumn="0" w:lastRowFirstColumn="0" w:lastRowLastColumn="0"/>
            </w:pPr>
            <w:r>
              <w:t>12 639</w:t>
            </w:r>
          </w:p>
        </w:tc>
      </w:tr>
      <w:tr w:rsidR="0074216D" w14:paraId="4E991F0E"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C3B8E5" w14:textId="77777777" w:rsidR="0074216D" w:rsidRDefault="0074216D">
            <w:pPr>
              <w:ind w:left="170"/>
            </w:pPr>
            <w:r>
              <w:rPr>
                <w:i/>
              </w:rPr>
              <w:t xml:space="preserve"> The 2025-26 expected outcome is higher than the target indicating strong demand for reduction services as well as adequate stock within needle and syringe services to meet the high demand.</w:t>
            </w:r>
          </w:p>
        </w:tc>
      </w:tr>
      <w:tr w:rsidR="0074216D" w14:paraId="74684674" w14:textId="77777777" w:rsidTr="007D3B9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492B49" w14:textId="77777777" w:rsidR="0074216D" w:rsidRDefault="0074216D">
            <w:pPr>
              <w:ind w:left="170"/>
            </w:pPr>
            <w:r>
              <w:t>Number of phone contacts from family members seeking support</w:t>
            </w:r>
          </w:p>
        </w:tc>
        <w:tc>
          <w:tcPr>
            <w:tcW w:w="964" w:type="dxa"/>
            <w:tcBorders>
              <w:bottom w:val="single" w:sz="6" w:space="0" w:color="auto"/>
            </w:tcBorders>
          </w:tcPr>
          <w:p w14:paraId="090E692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8E4207C" w14:textId="77777777" w:rsidR="0074216D" w:rsidRDefault="0074216D">
            <w:pPr>
              <w:cnfStyle w:val="000000000000" w:firstRow="0" w:lastRow="0" w:firstColumn="0" w:lastColumn="0" w:oddVBand="0" w:evenVBand="0" w:oddHBand="0" w:evenHBand="0" w:firstRowFirstColumn="0" w:firstRowLastColumn="0" w:lastRowFirstColumn="0" w:lastRowLastColumn="0"/>
            </w:pPr>
            <w:r>
              <w:t>10 682</w:t>
            </w:r>
          </w:p>
        </w:tc>
        <w:tc>
          <w:tcPr>
            <w:tcW w:w="964" w:type="dxa"/>
            <w:tcBorders>
              <w:bottom w:val="single" w:sz="6" w:space="0" w:color="auto"/>
            </w:tcBorders>
          </w:tcPr>
          <w:p w14:paraId="32BEF470" w14:textId="77777777" w:rsidR="0074216D" w:rsidRDefault="0074216D">
            <w:pPr>
              <w:cnfStyle w:val="000000000000" w:firstRow="0" w:lastRow="0" w:firstColumn="0" w:lastColumn="0" w:oddVBand="0" w:evenVBand="0" w:oddHBand="0" w:evenHBand="0" w:firstRowFirstColumn="0" w:firstRowLastColumn="0" w:lastRowFirstColumn="0" w:lastRowLastColumn="0"/>
            </w:pPr>
            <w:r>
              <w:t>10 248</w:t>
            </w:r>
          </w:p>
        </w:tc>
        <w:tc>
          <w:tcPr>
            <w:tcW w:w="964" w:type="dxa"/>
            <w:tcBorders>
              <w:bottom w:val="single" w:sz="6" w:space="0" w:color="auto"/>
            </w:tcBorders>
          </w:tcPr>
          <w:p w14:paraId="62B439C9" w14:textId="77777777" w:rsidR="0074216D" w:rsidRDefault="0074216D">
            <w:pPr>
              <w:cnfStyle w:val="000000000000" w:firstRow="0" w:lastRow="0" w:firstColumn="0" w:lastColumn="0" w:oddVBand="0" w:evenVBand="0" w:oddHBand="0" w:evenHBand="0" w:firstRowFirstColumn="0" w:firstRowLastColumn="0" w:lastRowFirstColumn="0" w:lastRowLastColumn="0"/>
            </w:pPr>
            <w:r>
              <w:t>10 682</w:t>
            </w:r>
          </w:p>
        </w:tc>
        <w:tc>
          <w:tcPr>
            <w:tcW w:w="964" w:type="dxa"/>
            <w:tcBorders>
              <w:bottom w:val="single" w:sz="6" w:space="0" w:color="auto"/>
            </w:tcBorders>
          </w:tcPr>
          <w:p w14:paraId="3719D0B3" w14:textId="77777777" w:rsidR="0074216D" w:rsidRDefault="0074216D">
            <w:pPr>
              <w:cnfStyle w:val="000000000000" w:firstRow="0" w:lastRow="0" w:firstColumn="0" w:lastColumn="0" w:oddVBand="0" w:evenVBand="0" w:oddHBand="0" w:evenHBand="0" w:firstRowFirstColumn="0" w:firstRowLastColumn="0" w:lastRowFirstColumn="0" w:lastRowLastColumn="0"/>
            </w:pPr>
            <w:r>
              <w:t>10 213</w:t>
            </w:r>
          </w:p>
        </w:tc>
      </w:tr>
      <w:tr w:rsidR="0074216D" w14:paraId="26E8A997"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5F63D1C4" w14:textId="77777777" w:rsidR="0074216D" w:rsidRDefault="0074216D">
            <w:pPr>
              <w:keepNext/>
              <w:ind w:left="170"/>
            </w:pPr>
            <w:r>
              <w:t>Number of telephone, email, website contacts and requests for information on alcohol and other drugs</w:t>
            </w:r>
          </w:p>
        </w:tc>
        <w:tc>
          <w:tcPr>
            <w:tcW w:w="964" w:type="dxa"/>
          </w:tcPr>
          <w:p w14:paraId="13732F5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44EBB5A2" w14:textId="77777777" w:rsidR="0074216D" w:rsidRDefault="0074216D">
            <w:pPr>
              <w:cnfStyle w:val="000000000000" w:firstRow="0" w:lastRow="0" w:firstColumn="0" w:lastColumn="0" w:oddVBand="0" w:evenVBand="0" w:oddHBand="0" w:evenHBand="0" w:firstRowFirstColumn="0" w:firstRowLastColumn="0" w:lastRowFirstColumn="0" w:lastRowLastColumn="0"/>
            </w:pPr>
            <w:r>
              <w:t>7 000</w:t>
            </w:r>
          </w:p>
        </w:tc>
        <w:tc>
          <w:tcPr>
            <w:tcW w:w="964" w:type="dxa"/>
          </w:tcPr>
          <w:p w14:paraId="21A3D4F4" w14:textId="77777777" w:rsidR="0074216D" w:rsidRDefault="0074216D">
            <w:pPr>
              <w:cnfStyle w:val="000000000000" w:firstRow="0" w:lastRow="0" w:firstColumn="0" w:lastColumn="0" w:oddVBand="0" w:evenVBand="0" w:oddHBand="0" w:evenHBand="0" w:firstRowFirstColumn="0" w:firstRowLastColumn="0" w:lastRowFirstColumn="0" w:lastRowLastColumn="0"/>
            </w:pPr>
            <w:r>
              <w:t>8 064</w:t>
            </w:r>
          </w:p>
        </w:tc>
        <w:tc>
          <w:tcPr>
            <w:tcW w:w="964" w:type="dxa"/>
          </w:tcPr>
          <w:p w14:paraId="252D6AF6" w14:textId="77777777" w:rsidR="0074216D" w:rsidRDefault="0074216D">
            <w:pPr>
              <w:cnfStyle w:val="000000000000" w:firstRow="0" w:lastRow="0" w:firstColumn="0" w:lastColumn="0" w:oddVBand="0" w:evenVBand="0" w:oddHBand="0" w:evenHBand="0" w:firstRowFirstColumn="0" w:firstRowLastColumn="0" w:lastRowFirstColumn="0" w:lastRowLastColumn="0"/>
            </w:pPr>
            <w:r>
              <w:t>7 000</w:t>
            </w:r>
          </w:p>
        </w:tc>
        <w:tc>
          <w:tcPr>
            <w:tcW w:w="964" w:type="dxa"/>
          </w:tcPr>
          <w:p w14:paraId="5A6D1C6F" w14:textId="77777777" w:rsidR="0074216D" w:rsidRDefault="0074216D">
            <w:pPr>
              <w:cnfStyle w:val="000000000000" w:firstRow="0" w:lastRow="0" w:firstColumn="0" w:lastColumn="0" w:oddVBand="0" w:evenVBand="0" w:oddHBand="0" w:evenHBand="0" w:firstRowFirstColumn="0" w:firstRowLastColumn="0" w:lastRowFirstColumn="0" w:lastRowLastColumn="0"/>
            </w:pPr>
            <w:r>
              <w:t>7 368</w:t>
            </w:r>
          </w:p>
        </w:tc>
      </w:tr>
      <w:tr w:rsidR="0074216D" w14:paraId="1F3773C6"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BEC279" w14:textId="77777777" w:rsidR="0074216D" w:rsidRDefault="0074216D">
            <w:pPr>
              <w:ind w:left="170"/>
            </w:pPr>
            <w:r>
              <w:rPr>
                <w:i/>
              </w:rPr>
              <w:t>The 2025-26 expected outcome is higher than the target due to the increase in demand for information and support through online services, including self-seeking information and support.</w:t>
            </w:r>
          </w:p>
        </w:tc>
      </w:tr>
      <w:tr w:rsidR="0074216D" w14:paraId="2E326E17" w14:textId="77777777" w:rsidTr="007D3B9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D614846" w14:textId="77777777" w:rsidR="0074216D" w:rsidRDefault="0074216D">
            <w:pPr>
              <w:ind w:left="170"/>
            </w:pPr>
            <w:r>
              <w:t>Percent of workers complying with Alcohol and Other Drug (AOD) Minimum Qualification Strategy requirements</w:t>
            </w:r>
          </w:p>
        </w:tc>
        <w:tc>
          <w:tcPr>
            <w:tcW w:w="964" w:type="dxa"/>
            <w:tcBorders>
              <w:bottom w:val="single" w:sz="6" w:space="0" w:color="auto"/>
            </w:tcBorders>
          </w:tcPr>
          <w:p w14:paraId="081E7B0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461731D"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989D747"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814C464"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FBF0513" w14:textId="77777777" w:rsidR="0074216D" w:rsidRDefault="0074216D">
            <w:pPr>
              <w:cnfStyle w:val="000000000000" w:firstRow="0" w:lastRow="0" w:firstColumn="0" w:lastColumn="0" w:oddVBand="0" w:evenVBand="0" w:oddHBand="0" w:evenHBand="0" w:firstRowFirstColumn="0" w:firstRowLastColumn="0" w:lastRowFirstColumn="0" w:lastRowLastColumn="0"/>
            </w:pPr>
            <w:r>
              <w:t>78</w:t>
            </w:r>
          </w:p>
        </w:tc>
      </w:tr>
      <w:tr w:rsidR="0074216D" w14:paraId="6A05B8A6"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Pr>
          <w:p w14:paraId="5FB62712" w14:textId="77777777" w:rsidR="0074216D" w:rsidRPr="005314E1" w:rsidRDefault="0074216D">
            <w:pPr>
              <w:keepNext/>
              <w:rPr>
                <w:b/>
              </w:rPr>
            </w:pPr>
            <w:r w:rsidRPr="005314E1">
              <w:rPr>
                <w:b/>
              </w:rPr>
              <w:t>Quality</w:t>
            </w:r>
          </w:p>
        </w:tc>
      </w:tr>
      <w:tr w:rsidR="0074216D" w14:paraId="12CB51CC"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7889B3B5" w14:textId="4DBCC60D" w:rsidR="0074216D" w:rsidRDefault="0074216D">
            <w:pPr>
              <w:keepNext/>
              <w:ind w:left="170"/>
            </w:pPr>
            <w:r>
              <w:t xml:space="preserve">Percentage of new clients accessing services </w:t>
            </w:r>
            <w:r w:rsidR="002B0C7C">
              <w:br/>
            </w:r>
            <w:r>
              <w:t>(with no access in prior five years)</w:t>
            </w:r>
          </w:p>
        </w:tc>
        <w:tc>
          <w:tcPr>
            <w:tcW w:w="964" w:type="dxa"/>
          </w:tcPr>
          <w:p w14:paraId="55C02D2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891EC17" w14:textId="77777777" w:rsidR="0074216D" w:rsidRDefault="0074216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11B18E8" w14:textId="77777777" w:rsidR="0074216D" w:rsidRDefault="0074216D">
            <w:pPr>
              <w:cnfStyle w:val="000000000000" w:firstRow="0" w:lastRow="0" w:firstColumn="0" w:lastColumn="0" w:oddVBand="0" w:evenVBand="0" w:oddHBand="0" w:evenHBand="0" w:firstRowFirstColumn="0" w:firstRowLastColumn="0" w:lastRowFirstColumn="0" w:lastRowLastColumn="0"/>
            </w:pPr>
            <w:r>
              <w:t>54</w:t>
            </w:r>
          </w:p>
        </w:tc>
        <w:tc>
          <w:tcPr>
            <w:tcW w:w="964" w:type="dxa"/>
          </w:tcPr>
          <w:p w14:paraId="27973B00" w14:textId="77777777" w:rsidR="0074216D" w:rsidRDefault="0074216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6FBF23BF" w14:textId="77777777" w:rsidR="0074216D" w:rsidRDefault="0074216D">
            <w:pPr>
              <w:cnfStyle w:val="000000000000" w:firstRow="0" w:lastRow="0" w:firstColumn="0" w:lastColumn="0" w:oddVBand="0" w:evenVBand="0" w:oddHBand="0" w:evenHBand="0" w:firstRowFirstColumn="0" w:firstRowLastColumn="0" w:lastRowFirstColumn="0" w:lastRowLastColumn="0"/>
            </w:pPr>
            <w:r>
              <w:t>34</w:t>
            </w:r>
          </w:p>
        </w:tc>
      </w:tr>
      <w:tr w:rsidR="0074216D" w14:paraId="327A6B4D"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0DB8E2" w14:textId="77777777" w:rsidR="0074216D" w:rsidRDefault="0074216D">
            <w:pPr>
              <w:ind w:left="170"/>
            </w:pPr>
            <w:r>
              <w:rPr>
                <w:i/>
              </w:rPr>
              <w:t xml:space="preserve"> The 2025-26 expected outcome is higher than the target as continued collaboration across service providers has facilitated improved access to residential withdrawal and rehabilitation services.</w:t>
            </w:r>
          </w:p>
        </w:tc>
      </w:tr>
      <w:tr w:rsidR="0074216D" w14:paraId="00F80BC8" w14:textId="77777777" w:rsidTr="007D3B9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D734177" w14:textId="77777777" w:rsidR="0074216D" w:rsidRDefault="0074216D">
            <w:pPr>
              <w:ind w:left="170"/>
            </w:pPr>
            <w:r>
              <w:t>Percentage of pharmacotherapy permit applications processed within 24 business hours of receipt</w:t>
            </w:r>
          </w:p>
        </w:tc>
        <w:tc>
          <w:tcPr>
            <w:tcW w:w="964" w:type="dxa"/>
            <w:tcBorders>
              <w:bottom w:val="single" w:sz="6" w:space="0" w:color="auto"/>
            </w:tcBorders>
          </w:tcPr>
          <w:p w14:paraId="69A3398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5E42028"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BB2660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60065DE"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850DB40"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64803F9F"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46E8AFDA" w14:textId="77777777" w:rsidR="0074216D" w:rsidRDefault="0074216D">
            <w:pPr>
              <w:keepNext/>
              <w:ind w:left="170"/>
            </w:pPr>
            <w:r>
              <w:t>Percentage of residential rehabilitation clients remaining in treatment for ten days or more</w:t>
            </w:r>
          </w:p>
        </w:tc>
        <w:tc>
          <w:tcPr>
            <w:tcW w:w="964" w:type="dxa"/>
          </w:tcPr>
          <w:p w14:paraId="67AF20E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48D1F25"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4F0AC40"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00CFCF9"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D51C1B0"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r>
      <w:tr w:rsidR="0074216D" w14:paraId="0524C9E9"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715A9EE" w14:textId="77777777" w:rsidR="0074216D" w:rsidRDefault="0074216D">
            <w:pPr>
              <w:ind w:left="170"/>
            </w:pPr>
            <w:r>
              <w:rPr>
                <w:i/>
              </w:rPr>
              <w:t>The 2025-26 expected outcome is higher than the target reflecting improved engagement in services and required supports to manage complexity of presentations, leading to a greater likelihood of treatment success.</w:t>
            </w:r>
          </w:p>
        </w:tc>
      </w:tr>
      <w:tr w:rsidR="0074216D" w14:paraId="580FBBAE"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6F6296D4" w14:textId="77777777" w:rsidR="0074216D" w:rsidRDefault="0074216D">
            <w:pPr>
              <w:keepNext/>
              <w:ind w:left="170"/>
            </w:pPr>
            <w:r>
              <w:t>Percentage of residential withdrawal clients remaining in treatment for two days or more</w:t>
            </w:r>
          </w:p>
        </w:tc>
        <w:tc>
          <w:tcPr>
            <w:tcW w:w="964" w:type="dxa"/>
          </w:tcPr>
          <w:p w14:paraId="3441432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6B9AD4B"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C3A01B1"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85FCF46"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E9F8074"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r>
      <w:tr w:rsidR="0074216D" w14:paraId="0622CC64"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E9FDE5F" w14:textId="77777777" w:rsidR="0074216D" w:rsidRDefault="0074216D">
            <w:pPr>
              <w:ind w:left="170"/>
            </w:pPr>
            <w:r>
              <w:rPr>
                <w:i/>
              </w:rPr>
              <w:t>The 2025-26 expected outcome is higher than the target due to strategies implemented to maintain engagement with clients in residential withdrawal services.</w:t>
            </w:r>
          </w:p>
        </w:tc>
      </w:tr>
      <w:tr w:rsidR="0074216D" w14:paraId="3C59B98B"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0007BEC5" w14:textId="77777777" w:rsidR="0074216D" w:rsidRDefault="0074216D">
            <w:pPr>
              <w:keepNext/>
              <w:ind w:left="170"/>
            </w:pPr>
            <w:r>
              <w:t>Percentage of treatment events ending in the reference period where a significant treatment goal is achieved</w:t>
            </w:r>
          </w:p>
        </w:tc>
        <w:tc>
          <w:tcPr>
            <w:tcW w:w="964" w:type="dxa"/>
          </w:tcPr>
          <w:p w14:paraId="442E460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E40AEA4" w14:textId="77777777" w:rsidR="0074216D" w:rsidRDefault="0074216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5278B0FA" w14:textId="77777777" w:rsidR="0074216D" w:rsidRDefault="0074216D">
            <w:pPr>
              <w:cnfStyle w:val="000000000000" w:firstRow="0" w:lastRow="0" w:firstColumn="0" w:lastColumn="0" w:oddVBand="0" w:evenVBand="0" w:oddHBand="0" w:evenHBand="0" w:firstRowFirstColumn="0" w:firstRowLastColumn="0" w:lastRowFirstColumn="0" w:lastRowLastColumn="0"/>
            </w:pPr>
            <w:r>
              <w:t>56</w:t>
            </w:r>
          </w:p>
        </w:tc>
        <w:tc>
          <w:tcPr>
            <w:tcW w:w="964" w:type="dxa"/>
          </w:tcPr>
          <w:p w14:paraId="7B2A5A22" w14:textId="77777777" w:rsidR="0074216D" w:rsidRDefault="0074216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2D0B919" w14:textId="77777777" w:rsidR="0074216D" w:rsidRDefault="0074216D">
            <w:pPr>
              <w:cnfStyle w:val="000000000000" w:firstRow="0" w:lastRow="0" w:firstColumn="0" w:lastColumn="0" w:oddVBand="0" w:evenVBand="0" w:oddHBand="0" w:evenHBand="0" w:firstRowFirstColumn="0" w:firstRowLastColumn="0" w:lastRowFirstColumn="0" w:lastRowLastColumn="0"/>
            </w:pPr>
            <w:r>
              <w:t>57</w:t>
            </w:r>
          </w:p>
        </w:tc>
      </w:tr>
      <w:tr w:rsidR="0074216D" w14:paraId="19A1F4EA"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2FCB95" w14:textId="77777777" w:rsidR="0074216D" w:rsidRDefault="0074216D">
            <w:pPr>
              <w:ind w:left="170"/>
            </w:pPr>
            <w:r>
              <w:rPr>
                <w:i/>
              </w:rPr>
              <w:t xml:space="preserve"> The 2025-26 expected outcome was higher than the target reflecting the impact of investments made in this area</w:t>
            </w:r>
            <w:r w:rsidDel="000C3F11">
              <w:rPr>
                <w:i/>
              </w:rPr>
              <w:t xml:space="preserve"> </w:t>
            </w:r>
            <w:r>
              <w:rPr>
                <w:i/>
              </w:rPr>
              <w:t>and the significant proportion of people achieving at least one significant treatment goal.</w:t>
            </w:r>
          </w:p>
        </w:tc>
      </w:tr>
      <w:tr w:rsidR="0074216D" w14:paraId="501A8C01"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Pr>
          <w:p w14:paraId="753D6A0E" w14:textId="77777777" w:rsidR="0074216D" w:rsidRPr="005314E1" w:rsidRDefault="0074216D">
            <w:pPr>
              <w:keepNext/>
              <w:rPr>
                <w:b/>
              </w:rPr>
            </w:pPr>
            <w:r w:rsidRPr="005314E1">
              <w:rPr>
                <w:b/>
              </w:rPr>
              <w:t>Timeliness</w:t>
            </w:r>
          </w:p>
        </w:tc>
      </w:tr>
      <w:tr w:rsidR="0074216D" w14:paraId="4BA49430"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2579D204" w14:textId="77777777" w:rsidR="0074216D" w:rsidRDefault="0074216D">
            <w:pPr>
              <w:keepNext/>
              <w:ind w:left="170"/>
            </w:pPr>
            <w:r>
              <w:t>Median wait time between assessment and commencement of treatment</w:t>
            </w:r>
          </w:p>
        </w:tc>
        <w:tc>
          <w:tcPr>
            <w:tcW w:w="964" w:type="dxa"/>
          </w:tcPr>
          <w:p w14:paraId="4D7A9A2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73789492" w14:textId="77777777" w:rsidR="0074216D" w:rsidRDefault="0074216D">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73E88D09" w14:textId="77777777" w:rsidR="0074216D" w:rsidRDefault="0074216D">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3B7796F8" w14:textId="77777777" w:rsidR="0074216D" w:rsidRDefault="0074216D">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75E775F1" w14:textId="77777777" w:rsidR="0074216D" w:rsidRDefault="0074216D">
            <w:pPr>
              <w:cnfStyle w:val="000000000000" w:firstRow="0" w:lastRow="0" w:firstColumn="0" w:lastColumn="0" w:oddVBand="0" w:evenVBand="0" w:oddHBand="0" w:evenHBand="0" w:firstRowFirstColumn="0" w:firstRowLastColumn="0" w:lastRowFirstColumn="0" w:lastRowLastColumn="0"/>
            </w:pPr>
            <w:r>
              <w:t>41</w:t>
            </w:r>
          </w:p>
        </w:tc>
      </w:tr>
      <w:tr w:rsidR="0074216D" w14:paraId="3D861C91"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3D5D62D" w14:textId="77777777" w:rsidR="0074216D" w:rsidRDefault="0074216D">
            <w:pPr>
              <w:ind w:left="170"/>
            </w:pPr>
            <w:r>
              <w:rPr>
                <w:i/>
              </w:rPr>
              <w:t xml:space="preserve">The 2025-26 expected outcome is higher than the target due to continued high demand for alcohol and other drug services. Brief interventions and bridging supports are offered by service providers to address client care during prolonged wait times. </w:t>
            </w:r>
          </w:p>
        </w:tc>
      </w:tr>
      <w:tr w:rsidR="0074216D" w14:paraId="28779D7B"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5D02C48F" w14:textId="77777777" w:rsidR="0074216D" w:rsidRDefault="0074216D">
            <w:pPr>
              <w:keepNext/>
              <w:ind w:left="170"/>
            </w:pPr>
            <w:r>
              <w:t>Median wait time between intake and assessment</w:t>
            </w:r>
          </w:p>
        </w:tc>
        <w:tc>
          <w:tcPr>
            <w:tcW w:w="964" w:type="dxa"/>
          </w:tcPr>
          <w:p w14:paraId="4E3B92A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5E757E9C" w14:textId="77777777" w:rsidR="0074216D" w:rsidRDefault="0074216D">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5C870920" w14:textId="77777777" w:rsidR="0074216D" w:rsidRDefault="0074216D">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43760464" w14:textId="77777777" w:rsidR="0074216D" w:rsidRDefault="0074216D">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21933C28" w14:textId="77777777" w:rsidR="0074216D" w:rsidRDefault="0074216D">
            <w:pPr>
              <w:cnfStyle w:val="000000000000" w:firstRow="0" w:lastRow="0" w:firstColumn="0" w:lastColumn="0" w:oddVBand="0" w:evenVBand="0" w:oddHBand="0" w:evenHBand="0" w:firstRowFirstColumn="0" w:firstRowLastColumn="0" w:lastRowFirstColumn="0" w:lastRowLastColumn="0"/>
            </w:pPr>
            <w:r>
              <w:t>18</w:t>
            </w:r>
          </w:p>
        </w:tc>
      </w:tr>
      <w:tr w:rsidR="0074216D" w14:paraId="4CB1B086"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FE12E16" w14:textId="77777777" w:rsidR="0074216D" w:rsidRDefault="0074216D">
            <w:pPr>
              <w:ind w:left="170"/>
            </w:pPr>
            <w:r>
              <w:rPr>
                <w:i/>
              </w:rPr>
              <w:t>The 2025-26 expected outcome was higher than the target demonstrating high demand for treatment services.</w:t>
            </w:r>
          </w:p>
        </w:tc>
      </w:tr>
      <w:tr w:rsidR="0074216D" w14:paraId="15798354" w14:textId="77777777" w:rsidTr="007D3B9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7CDD6CD" w14:textId="77777777" w:rsidR="0074216D" w:rsidRDefault="0074216D">
            <w:pPr>
              <w:ind w:left="170"/>
            </w:pPr>
            <w:r>
              <w:lastRenderedPageBreak/>
              <w:t>Percentage of new licences and permits issued to health services or businesses for the manufacture, use or supply of drugs and poisons within six weeks following receipt of full information</w:t>
            </w:r>
          </w:p>
        </w:tc>
        <w:tc>
          <w:tcPr>
            <w:tcW w:w="964" w:type="dxa"/>
            <w:tcBorders>
              <w:bottom w:val="single" w:sz="6" w:space="0" w:color="auto"/>
            </w:tcBorders>
          </w:tcPr>
          <w:p w14:paraId="0EB6535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3A6D991"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2F53750"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457D547"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89DB6C5"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r>
      <w:tr w:rsidR="0074216D" w14:paraId="7CFDBFCA"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1AFE63C" w14:textId="77777777" w:rsidR="0074216D" w:rsidRDefault="0074216D">
            <w:pPr>
              <w:keepNext/>
              <w:ind w:left="170"/>
            </w:pPr>
            <w:r>
              <w:t>Percentage of treatment permits for medical practitioners or nurse practitioners to prescribe Schedule 8 drugs assessed within four weeks</w:t>
            </w:r>
          </w:p>
        </w:tc>
        <w:tc>
          <w:tcPr>
            <w:tcW w:w="964" w:type="dxa"/>
            <w:tcBorders>
              <w:bottom w:val="nil"/>
            </w:tcBorders>
          </w:tcPr>
          <w:p w14:paraId="042078E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6CCAAEA6"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369AFEC1"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732C140B"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7D09D358" w14:textId="77777777" w:rsidR="0074216D" w:rsidRDefault="0074216D">
            <w:pPr>
              <w:cnfStyle w:val="000000000000" w:firstRow="0" w:lastRow="0" w:firstColumn="0" w:lastColumn="0" w:oddVBand="0" w:evenVBand="0" w:oddHBand="0" w:evenHBand="0" w:firstRowFirstColumn="0" w:firstRowLastColumn="0" w:lastRowFirstColumn="0" w:lastRowLastColumn="0"/>
            </w:pPr>
            <w:r>
              <w:t>99.8</w:t>
            </w:r>
          </w:p>
        </w:tc>
      </w:tr>
      <w:tr w:rsidR="0074216D" w14:paraId="6103CC7A"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B3AD15" w14:textId="77777777" w:rsidR="0074216D" w:rsidRDefault="0074216D">
            <w:pPr>
              <w:ind w:left="170"/>
            </w:pPr>
            <w:r w:rsidRPr="00AC2D77">
              <w:rPr>
                <w:i/>
              </w:rPr>
              <w:t>The 2025-26 expected outcome is higher than the target due to the prioritisation of Schedule 8 permit processing.</w:t>
            </w:r>
          </w:p>
        </w:tc>
      </w:tr>
      <w:tr w:rsidR="0074216D" w14:paraId="462FEC96"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9C859F5" w14:textId="77777777" w:rsidR="0074216D" w:rsidRPr="005314E1" w:rsidRDefault="0074216D">
            <w:pPr>
              <w:rPr>
                <w:b/>
              </w:rPr>
            </w:pPr>
            <w:r w:rsidRPr="005314E1">
              <w:rPr>
                <w:b/>
              </w:rPr>
              <w:t>Cost</w:t>
            </w:r>
          </w:p>
        </w:tc>
      </w:tr>
      <w:tr w:rsidR="0074216D" w14:paraId="4B4E7B34" w14:textId="77777777" w:rsidTr="007D3B9A">
        <w:tc>
          <w:tcPr>
            <w:cnfStyle w:val="001000000000" w:firstRow="0" w:lastRow="0" w:firstColumn="1" w:lastColumn="0" w:oddVBand="0" w:evenVBand="0" w:oddHBand="0" w:evenHBand="0" w:firstRowFirstColumn="0" w:firstRowLastColumn="0" w:lastRowFirstColumn="0" w:lastRowLastColumn="0"/>
            <w:tcW w:w="4819" w:type="dxa"/>
          </w:tcPr>
          <w:p w14:paraId="37941581" w14:textId="77777777" w:rsidR="0074216D" w:rsidRDefault="0074216D">
            <w:pPr>
              <w:keepNext/>
              <w:ind w:left="170"/>
            </w:pPr>
            <w:r>
              <w:t>Total output cost</w:t>
            </w:r>
          </w:p>
        </w:tc>
        <w:tc>
          <w:tcPr>
            <w:tcW w:w="964" w:type="dxa"/>
          </w:tcPr>
          <w:p w14:paraId="4709B5A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A89AB1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9012A">
              <w:t xml:space="preserve"> 415.5</w:t>
            </w:r>
          </w:p>
        </w:tc>
        <w:tc>
          <w:tcPr>
            <w:tcW w:w="964" w:type="dxa"/>
          </w:tcPr>
          <w:p w14:paraId="6E749340"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9012A">
              <w:t xml:space="preserve"> 398.6</w:t>
            </w:r>
          </w:p>
        </w:tc>
        <w:tc>
          <w:tcPr>
            <w:tcW w:w="964" w:type="dxa"/>
          </w:tcPr>
          <w:p w14:paraId="0941E38F"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9012A">
              <w:t xml:space="preserve"> 380.8</w:t>
            </w:r>
          </w:p>
        </w:tc>
        <w:tc>
          <w:tcPr>
            <w:tcW w:w="964" w:type="dxa"/>
          </w:tcPr>
          <w:p w14:paraId="3FC3883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F9012A">
              <w:t xml:space="preserve"> 394.1</w:t>
            </w:r>
          </w:p>
        </w:tc>
      </w:tr>
      <w:tr w:rsidR="0074216D" w14:paraId="3A2DAA20" w14:textId="77777777" w:rsidTr="007D3B9A">
        <w:tc>
          <w:tcPr>
            <w:cnfStyle w:val="001000000000" w:firstRow="0" w:lastRow="0" w:firstColumn="1" w:lastColumn="0" w:oddVBand="0" w:evenVBand="0" w:oddHBand="0" w:evenHBand="0" w:firstRowFirstColumn="0" w:firstRowLastColumn="0" w:lastRowFirstColumn="0" w:lastRowLastColumn="0"/>
            <w:tcW w:w="9639" w:type="dxa"/>
            <w:gridSpan w:val="6"/>
          </w:tcPr>
          <w:p w14:paraId="45C1E2FC" w14:textId="77777777" w:rsidR="0074216D" w:rsidRDefault="0074216D">
            <w:pPr>
              <w:keepNext/>
              <w:ind w:left="170"/>
            </w:pPr>
            <w:r w:rsidRPr="00DE7F66">
              <w:rPr>
                <w:i/>
                <w:iCs/>
              </w:rPr>
              <w:t>The higher 2026-27 target is due to new funding provided for government policy commitments.</w:t>
            </w:r>
          </w:p>
        </w:tc>
      </w:tr>
    </w:tbl>
    <w:p w14:paraId="04E45988" w14:textId="77777777" w:rsidR="0074216D" w:rsidRDefault="0074216D" w:rsidP="0074216D">
      <w:pPr>
        <w:pStyle w:val="Source"/>
      </w:pPr>
      <w:r>
        <w:t>Source: Department of Health</w:t>
      </w:r>
    </w:p>
    <w:p w14:paraId="474B69F5" w14:textId="77777777" w:rsidR="0074216D" w:rsidRDefault="0074216D" w:rsidP="0074216D">
      <w:pPr>
        <w:pStyle w:val="Source"/>
      </w:pPr>
    </w:p>
    <w:p w14:paraId="332CB4A5" w14:textId="77777777" w:rsidR="0074216D" w:rsidRDefault="0074216D" w:rsidP="0074216D">
      <w:pPr>
        <w:pStyle w:val="Heading3"/>
      </w:pPr>
      <w:r>
        <w:t>Mental Health Clinical Care</w:t>
      </w:r>
      <w:r>
        <w:tab/>
        <w:t>(2026-27: $3 013.4 million)</w:t>
      </w:r>
    </w:p>
    <w:p w14:paraId="551AF335" w14:textId="77777777" w:rsidR="0074216D" w:rsidRPr="009267C8" w:rsidRDefault="0074216D" w:rsidP="0074216D">
      <w:pPr>
        <w:spacing w:after="120"/>
        <w:rPr>
          <w:rFonts w:ascii="Garamond" w:eastAsia="Garamond" w:hAnsi="Garamond"/>
          <w:lang w:eastAsia="en-AU"/>
        </w:rPr>
      </w:pPr>
      <w:r w:rsidRPr="007D5578">
        <w:rPr>
          <w:rFonts w:ascii="Garamond" w:hAnsi="Garamond"/>
          <w:lang w:eastAsia="en-AU"/>
        </w:rPr>
        <w:t xml:space="preserve">Provides a range of inpatient residential and community-based clinical services to people with mental illness and their </w:t>
      </w:r>
      <w:r w:rsidRPr="007D5578">
        <w:t>families</w:t>
      </w:r>
      <w:r w:rsidRPr="007D5578">
        <w:rPr>
          <w:rFonts w:ascii="Garamond" w:hAnsi="Garamond"/>
          <w:lang w:eastAsia="en-AU"/>
        </w:rPr>
        <w:t xml:space="preserve"> so that those experiencing mental health problems can access timely, high-quality care and support to recover and live successfully in the community. This output also includes training and development of the mental health and wellbeing workforce</w:t>
      </w:r>
      <w:r w:rsidRPr="007D5578">
        <w:rPr>
          <w:rFonts w:ascii="Garamond" w:eastAsia="Garamond" w:hAnsi="Garamond"/>
          <w:lang w:eastAsia="en-AU"/>
        </w:rPr>
        <w:t>.</w:t>
      </w:r>
    </w:p>
    <w:tbl>
      <w:tblPr>
        <w:tblStyle w:val="DTFTableNumeric"/>
        <w:tblW w:w="9639" w:type="dxa"/>
        <w:tblLayout w:type="fixed"/>
        <w:tblLook w:val="04A0" w:firstRow="1" w:lastRow="0" w:firstColumn="1" w:lastColumn="0" w:noHBand="0" w:noVBand="1"/>
      </w:tblPr>
      <w:tblGrid>
        <w:gridCol w:w="4884"/>
        <w:gridCol w:w="951"/>
        <w:gridCol w:w="951"/>
        <w:gridCol w:w="951"/>
        <w:gridCol w:w="951"/>
        <w:gridCol w:w="951"/>
      </w:tblGrid>
      <w:tr w:rsidR="0074216D" w14:paraId="30E3E460" w14:textId="77777777" w:rsidTr="002B0C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5F12D39" w14:textId="77777777" w:rsidR="0074216D" w:rsidRDefault="0074216D">
            <w:r>
              <w:t>Performance measure</w:t>
            </w:r>
          </w:p>
        </w:tc>
        <w:tc>
          <w:tcPr>
            <w:tcW w:w="964" w:type="dxa"/>
          </w:tcPr>
          <w:p w14:paraId="10608594"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1F13623"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DB6BF7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6DC47D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BBDF16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3AECA889"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Pr>
          <w:p w14:paraId="31BD016E" w14:textId="77777777" w:rsidR="0074216D" w:rsidRPr="005314E1" w:rsidRDefault="0074216D">
            <w:pPr>
              <w:keepNext/>
              <w:rPr>
                <w:b/>
              </w:rPr>
            </w:pPr>
            <w:r w:rsidRPr="005314E1">
              <w:rPr>
                <w:b/>
              </w:rPr>
              <w:t>Quantity</w:t>
            </w:r>
          </w:p>
        </w:tc>
      </w:tr>
      <w:tr w:rsidR="0074216D" w14:paraId="4AA490C2"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240A65DD" w14:textId="77777777" w:rsidR="0074216D" w:rsidRDefault="0074216D">
            <w:pPr>
              <w:keepNext/>
              <w:ind w:left="170"/>
            </w:pPr>
            <w:r>
              <w:t>Clinical inpatient separations</w:t>
            </w:r>
          </w:p>
        </w:tc>
        <w:tc>
          <w:tcPr>
            <w:tcW w:w="964" w:type="dxa"/>
          </w:tcPr>
          <w:p w14:paraId="3DF29DC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F9CF5D4" w14:textId="77777777" w:rsidR="0074216D" w:rsidRDefault="0074216D">
            <w:pPr>
              <w:cnfStyle w:val="000000000000" w:firstRow="0" w:lastRow="0" w:firstColumn="0" w:lastColumn="0" w:oddVBand="0" w:evenVBand="0" w:oddHBand="0" w:evenHBand="0" w:firstRowFirstColumn="0" w:firstRowLastColumn="0" w:lastRowFirstColumn="0" w:lastRowLastColumn="0"/>
            </w:pPr>
            <w:r>
              <w:t>31 599</w:t>
            </w:r>
          </w:p>
        </w:tc>
        <w:tc>
          <w:tcPr>
            <w:tcW w:w="964" w:type="dxa"/>
          </w:tcPr>
          <w:p w14:paraId="638F8182" w14:textId="77777777" w:rsidR="0074216D" w:rsidRDefault="0074216D">
            <w:pPr>
              <w:cnfStyle w:val="000000000000" w:firstRow="0" w:lastRow="0" w:firstColumn="0" w:lastColumn="0" w:oddVBand="0" w:evenVBand="0" w:oddHBand="0" w:evenHBand="0" w:firstRowFirstColumn="0" w:firstRowLastColumn="0" w:lastRowFirstColumn="0" w:lastRowLastColumn="0"/>
            </w:pPr>
            <w:r>
              <w:t>28 126</w:t>
            </w:r>
          </w:p>
        </w:tc>
        <w:tc>
          <w:tcPr>
            <w:tcW w:w="964" w:type="dxa"/>
          </w:tcPr>
          <w:p w14:paraId="13683A9C" w14:textId="77777777" w:rsidR="0074216D" w:rsidRDefault="0074216D">
            <w:pPr>
              <w:cnfStyle w:val="000000000000" w:firstRow="0" w:lastRow="0" w:firstColumn="0" w:lastColumn="0" w:oddVBand="0" w:evenVBand="0" w:oddHBand="0" w:evenHBand="0" w:firstRowFirstColumn="0" w:firstRowLastColumn="0" w:lastRowFirstColumn="0" w:lastRowLastColumn="0"/>
            </w:pPr>
            <w:r>
              <w:t>31 599</w:t>
            </w:r>
          </w:p>
        </w:tc>
        <w:tc>
          <w:tcPr>
            <w:tcW w:w="964" w:type="dxa"/>
          </w:tcPr>
          <w:p w14:paraId="209D391B" w14:textId="77777777" w:rsidR="0074216D" w:rsidRDefault="0074216D">
            <w:pPr>
              <w:cnfStyle w:val="000000000000" w:firstRow="0" w:lastRow="0" w:firstColumn="0" w:lastColumn="0" w:oddVBand="0" w:evenVBand="0" w:oddHBand="0" w:evenHBand="0" w:firstRowFirstColumn="0" w:firstRowLastColumn="0" w:lastRowFirstColumn="0" w:lastRowLastColumn="0"/>
            </w:pPr>
            <w:r>
              <w:t>26 977</w:t>
            </w:r>
          </w:p>
        </w:tc>
      </w:tr>
      <w:tr w:rsidR="0074216D" w14:paraId="3AC9EDA5"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52350D" w14:textId="77777777" w:rsidR="0074216D" w:rsidRDefault="0074216D">
            <w:pPr>
              <w:ind w:left="170"/>
            </w:pPr>
            <w:r>
              <w:rPr>
                <w:i/>
              </w:rPr>
              <w:t xml:space="preserve">The 2025-26 expected outcome is lower than the target due to planned capital works and other operational factors. </w:t>
            </w:r>
          </w:p>
        </w:tc>
      </w:tr>
      <w:tr w:rsidR="0074216D" w14:paraId="476EA905"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FAE9613" w14:textId="77777777" w:rsidR="0074216D" w:rsidRDefault="0074216D">
            <w:pPr>
              <w:ind w:left="170"/>
            </w:pPr>
            <w:r>
              <w:t>Number of community service hours (adult)</w:t>
            </w:r>
          </w:p>
          <w:p w14:paraId="17C04D84" w14:textId="77777777" w:rsidR="0074216D" w:rsidRDefault="0074216D">
            <w:pPr>
              <w:ind w:left="170"/>
            </w:pPr>
            <w:r>
              <w:rPr>
                <w:i/>
              </w:rPr>
              <w:t>The 2025-26 expected outcome and 2024-25 actual outcome are lower than the target as data collection for this measure was impacted by protected industrial action which occurred from February-August 2025.</w:t>
            </w:r>
          </w:p>
        </w:tc>
        <w:tc>
          <w:tcPr>
            <w:tcW w:w="964" w:type="dxa"/>
            <w:tcBorders>
              <w:bottom w:val="single" w:sz="6" w:space="0" w:color="auto"/>
            </w:tcBorders>
          </w:tcPr>
          <w:p w14:paraId="476A891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5D1ACDF0" w14:textId="77777777" w:rsidR="0074216D" w:rsidRDefault="0074216D">
            <w:pPr>
              <w:cnfStyle w:val="000000000000" w:firstRow="0" w:lastRow="0" w:firstColumn="0" w:lastColumn="0" w:oddVBand="0" w:evenVBand="0" w:oddHBand="0" w:evenHBand="0" w:firstRowFirstColumn="0" w:firstRowLastColumn="0" w:lastRowFirstColumn="0" w:lastRowLastColumn="0"/>
            </w:pPr>
            <w:r>
              <w:t>1 318</w:t>
            </w:r>
          </w:p>
        </w:tc>
        <w:tc>
          <w:tcPr>
            <w:tcW w:w="964" w:type="dxa"/>
            <w:tcBorders>
              <w:bottom w:val="single" w:sz="6" w:space="0" w:color="auto"/>
            </w:tcBorders>
          </w:tcPr>
          <w:p w14:paraId="685B5710" w14:textId="77777777" w:rsidR="0074216D" w:rsidRDefault="0074216D">
            <w:pPr>
              <w:cnfStyle w:val="000000000000" w:firstRow="0" w:lastRow="0" w:firstColumn="0" w:lastColumn="0" w:oddVBand="0" w:evenVBand="0" w:oddHBand="0" w:evenHBand="0" w:firstRowFirstColumn="0" w:firstRowLastColumn="0" w:lastRowFirstColumn="0" w:lastRowLastColumn="0"/>
            </w:pPr>
            <w:r>
              <w:t>1 309</w:t>
            </w:r>
          </w:p>
        </w:tc>
        <w:tc>
          <w:tcPr>
            <w:tcW w:w="964" w:type="dxa"/>
            <w:tcBorders>
              <w:bottom w:val="single" w:sz="6" w:space="0" w:color="auto"/>
            </w:tcBorders>
          </w:tcPr>
          <w:p w14:paraId="1327E9B7" w14:textId="77777777" w:rsidR="0074216D" w:rsidRDefault="0074216D">
            <w:pPr>
              <w:cnfStyle w:val="000000000000" w:firstRow="0" w:lastRow="0" w:firstColumn="0" w:lastColumn="0" w:oddVBand="0" w:evenVBand="0" w:oddHBand="0" w:evenHBand="0" w:firstRowFirstColumn="0" w:firstRowLastColumn="0" w:lastRowFirstColumn="0" w:lastRowLastColumn="0"/>
            </w:pPr>
            <w:r>
              <w:t>1 318</w:t>
            </w:r>
          </w:p>
        </w:tc>
        <w:tc>
          <w:tcPr>
            <w:tcW w:w="964" w:type="dxa"/>
            <w:tcBorders>
              <w:bottom w:val="single" w:sz="6" w:space="0" w:color="auto"/>
            </w:tcBorders>
          </w:tcPr>
          <w:p w14:paraId="7D3DD058" w14:textId="77777777" w:rsidR="0074216D" w:rsidRDefault="0074216D">
            <w:pPr>
              <w:cnfStyle w:val="000000000000" w:firstRow="0" w:lastRow="0" w:firstColumn="0" w:lastColumn="0" w:oddVBand="0" w:evenVBand="0" w:oddHBand="0" w:evenHBand="0" w:firstRowFirstColumn="0" w:firstRowLastColumn="0" w:lastRowFirstColumn="0" w:lastRowLastColumn="0"/>
            </w:pPr>
            <w:r>
              <w:t>1 275</w:t>
            </w:r>
          </w:p>
        </w:tc>
      </w:tr>
      <w:tr w:rsidR="0074216D" w14:paraId="6ED2FAD2"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7B56F1C4" w14:textId="77777777" w:rsidR="0074216D" w:rsidRDefault="0074216D">
            <w:pPr>
              <w:keepNext/>
              <w:ind w:left="170"/>
            </w:pPr>
            <w:r>
              <w:t>Number of community service hours (aged)</w:t>
            </w:r>
          </w:p>
        </w:tc>
        <w:tc>
          <w:tcPr>
            <w:tcW w:w="964" w:type="dxa"/>
          </w:tcPr>
          <w:p w14:paraId="5185DAF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172D61BD" w14:textId="77777777" w:rsidR="0074216D" w:rsidRDefault="0074216D">
            <w:pPr>
              <w:cnfStyle w:val="000000000000" w:firstRow="0" w:lastRow="0" w:firstColumn="0" w:lastColumn="0" w:oddVBand="0" w:evenVBand="0" w:oddHBand="0" w:evenHBand="0" w:firstRowFirstColumn="0" w:firstRowLastColumn="0" w:lastRowFirstColumn="0" w:lastRowLastColumn="0"/>
            </w:pPr>
            <w:r>
              <w:t>199</w:t>
            </w:r>
          </w:p>
        </w:tc>
        <w:tc>
          <w:tcPr>
            <w:tcW w:w="964" w:type="dxa"/>
          </w:tcPr>
          <w:p w14:paraId="430B51BF" w14:textId="77777777" w:rsidR="0074216D" w:rsidRDefault="0074216D">
            <w:pPr>
              <w:cnfStyle w:val="000000000000" w:firstRow="0" w:lastRow="0" w:firstColumn="0" w:lastColumn="0" w:oddVBand="0" w:evenVBand="0" w:oddHBand="0" w:evenHBand="0" w:firstRowFirstColumn="0" w:firstRowLastColumn="0" w:lastRowFirstColumn="0" w:lastRowLastColumn="0"/>
            </w:pPr>
            <w:r>
              <w:t>182</w:t>
            </w:r>
          </w:p>
        </w:tc>
        <w:tc>
          <w:tcPr>
            <w:tcW w:w="964" w:type="dxa"/>
          </w:tcPr>
          <w:p w14:paraId="244BEE2C" w14:textId="77777777" w:rsidR="0074216D" w:rsidRDefault="0074216D">
            <w:pPr>
              <w:cnfStyle w:val="000000000000" w:firstRow="0" w:lastRow="0" w:firstColumn="0" w:lastColumn="0" w:oddVBand="0" w:evenVBand="0" w:oddHBand="0" w:evenHBand="0" w:firstRowFirstColumn="0" w:firstRowLastColumn="0" w:lastRowFirstColumn="0" w:lastRowLastColumn="0"/>
            </w:pPr>
            <w:r>
              <w:t>199</w:t>
            </w:r>
          </w:p>
        </w:tc>
        <w:tc>
          <w:tcPr>
            <w:tcW w:w="964" w:type="dxa"/>
          </w:tcPr>
          <w:p w14:paraId="0FFCC309" w14:textId="77777777" w:rsidR="0074216D" w:rsidRDefault="0074216D">
            <w:pPr>
              <w:cnfStyle w:val="000000000000" w:firstRow="0" w:lastRow="0" w:firstColumn="0" w:lastColumn="0" w:oddVBand="0" w:evenVBand="0" w:oddHBand="0" w:evenHBand="0" w:firstRowFirstColumn="0" w:firstRowLastColumn="0" w:lastRowFirstColumn="0" w:lastRowLastColumn="0"/>
            </w:pPr>
            <w:r>
              <w:t>179</w:t>
            </w:r>
          </w:p>
        </w:tc>
      </w:tr>
      <w:tr w:rsidR="0074216D" w14:paraId="5EC5C750"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ED403A" w14:textId="77777777" w:rsidR="0074216D" w:rsidRDefault="0074216D">
            <w:pPr>
              <w:ind w:left="170"/>
            </w:pPr>
            <w:r>
              <w:rPr>
                <w:i/>
              </w:rPr>
              <w:t>The 2025-26 expected outcome and 2024-25 actual outcome are lower than the target as data collection for this measure was impacted by protected industrial action which occurred from February-August 2025.</w:t>
            </w:r>
          </w:p>
        </w:tc>
      </w:tr>
      <w:tr w:rsidR="0074216D" w14:paraId="78C6B671"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7C2486" w14:textId="77777777" w:rsidR="0074216D" w:rsidRDefault="0074216D">
            <w:pPr>
              <w:ind w:left="170"/>
            </w:pPr>
            <w:r>
              <w:t>Number of community service hours (child and adolescent)</w:t>
            </w:r>
          </w:p>
          <w:p w14:paraId="09920811" w14:textId="77777777" w:rsidR="0074216D" w:rsidRDefault="0074216D">
            <w:pPr>
              <w:ind w:left="170"/>
            </w:pPr>
            <w:r>
              <w:rPr>
                <w:i/>
              </w:rPr>
              <w:t>The 2025-26 expected outcome and 2024-25 actual outcome are lower than the target as data collection for this measure was impacted by protected industrial action which occurred from February-August 2025.</w:t>
            </w:r>
          </w:p>
        </w:tc>
        <w:tc>
          <w:tcPr>
            <w:tcW w:w="964" w:type="dxa"/>
            <w:tcBorders>
              <w:bottom w:val="single" w:sz="6" w:space="0" w:color="auto"/>
            </w:tcBorders>
          </w:tcPr>
          <w:p w14:paraId="424C306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7FEA5435" w14:textId="77777777" w:rsidR="0074216D" w:rsidRDefault="0074216D">
            <w:pPr>
              <w:cnfStyle w:val="000000000000" w:firstRow="0" w:lastRow="0" w:firstColumn="0" w:lastColumn="0" w:oddVBand="0" w:evenVBand="0" w:oddHBand="0" w:evenHBand="0" w:firstRowFirstColumn="0" w:firstRowLastColumn="0" w:lastRowFirstColumn="0" w:lastRowLastColumn="0"/>
            </w:pPr>
            <w:r>
              <w:t>355</w:t>
            </w:r>
          </w:p>
        </w:tc>
        <w:tc>
          <w:tcPr>
            <w:tcW w:w="964" w:type="dxa"/>
            <w:tcBorders>
              <w:bottom w:val="single" w:sz="6" w:space="0" w:color="auto"/>
            </w:tcBorders>
          </w:tcPr>
          <w:p w14:paraId="5BAD5F33" w14:textId="77777777" w:rsidR="0074216D" w:rsidRDefault="0074216D">
            <w:pPr>
              <w:cnfStyle w:val="000000000000" w:firstRow="0" w:lastRow="0" w:firstColumn="0" w:lastColumn="0" w:oddVBand="0" w:evenVBand="0" w:oddHBand="0" w:evenHBand="0" w:firstRowFirstColumn="0" w:firstRowLastColumn="0" w:lastRowFirstColumn="0" w:lastRowLastColumn="0"/>
            </w:pPr>
            <w:r>
              <w:t>340</w:t>
            </w:r>
          </w:p>
        </w:tc>
        <w:tc>
          <w:tcPr>
            <w:tcW w:w="964" w:type="dxa"/>
            <w:tcBorders>
              <w:bottom w:val="single" w:sz="6" w:space="0" w:color="auto"/>
            </w:tcBorders>
          </w:tcPr>
          <w:p w14:paraId="252A21BD" w14:textId="77777777" w:rsidR="0074216D" w:rsidRDefault="0074216D">
            <w:pPr>
              <w:cnfStyle w:val="000000000000" w:firstRow="0" w:lastRow="0" w:firstColumn="0" w:lastColumn="0" w:oddVBand="0" w:evenVBand="0" w:oddHBand="0" w:evenHBand="0" w:firstRowFirstColumn="0" w:firstRowLastColumn="0" w:lastRowFirstColumn="0" w:lastRowLastColumn="0"/>
            </w:pPr>
            <w:r>
              <w:t>355</w:t>
            </w:r>
          </w:p>
        </w:tc>
        <w:tc>
          <w:tcPr>
            <w:tcW w:w="964" w:type="dxa"/>
            <w:tcBorders>
              <w:bottom w:val="single" w:sz="6" w:space="0" w:color="auto"/>
            </w:tcBorders>
          </w:tcPr>
          <w:p w14:paraId="5C5D0CF3" w14:textId="77777777" w:rsidR="0074216D" w:rsidRDefault="0074216D">
            <w:pPr>
              <w:cnfStyle w:val="000000000000" w:firstRow="0" w:lastRow="0" w:firstColumn="0" w:lastColumn="0" w:oddVBand="0" w:evenVBand="0" w:oddHBand="0" w:evenHBand="0" w:firstRowFirstColumn="0" w:firstRowLastColumn="0" w:lastRowFirstColumn="0" w:lastRowLastColumn="0"/>
            </w:pPr>
            <w:r>
              <w:t>333</w:t>
            </w:r>
          </w:p>
        </w:tc>
      </w:tr>
      <w:tr w:rsidR="0074216D" w14:paraId="5184B452"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7A520A07" w14:textId="77777777" w:rsidR="0074216D" w:rsidRDefault="0074216D">
            <w:pPr>
              <w:keepNext/>
              <w:ind w:left="170"/>
            </w:pPr>
            <w:r>
              <w:t>Number of consumers accessing clinical mental health services – adult</w:t>
            </w:r>
          </w:p>
        </w:tc>
        <w:tc>
          <w:tcPr>
            <w:tcW w:w="964" w:type="dxa"/>
          </w:tcPr>
          <w:p w14:paraId="3857ADD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6B528B0" w14:textId="77777777" w:rsidR="0074216D" w:rsidRDefault="0074216D">
            <w:pPr>
              <w:cnfStyle w:val="000000000000" w:firstRow="0" w:lastRow="0" w:firstColumn="0" w:lastColumn="0" w:oddVBand="0" w:evenVBand="0" w:oddHBand="0" w:evenHBand="0" w:firstRowFirstColumn="0" w:firstRowLastColumn="0" w:lastRowFirstColumn="0" w:lastRowLastColumn="0"/>
            </w:pPr>
            <w:r>
              <w:t>74 060</w:t>
            </w:r>
          </w:p>
        </w:tc>
        <w:tc>
          <w:tcPr>
            <w:tcW w:w="964" w:type="dxa"/>
          </w:tcPr>
          <w:p w14:paraId="3EE6AD06" w14:textId="77777777" w:rsidR="0074216D" w:rsidRDefault="0074216D">
            <w:pPr>
              <w:cnfStyle w:val="000000000000" w:firstRow="0" w:lastRow="0" w:firstColumn="0" w:lastColumn="0" w:oddVBand="0" w:evenVBand="0" w:oddHBand="0" w:evenHBand="0" w:firstRowFirstColumn="0" w:firstRowLastColumn="0" w:lastRowFirstColumn="0" w:lastRowLastColumn="0"/>
            </w:pPr>
            <w:r>
              <w:t>67 147</w:t>
            </w:r>
          </w:p>
        </w:tc>
        <w:tc>
          <w:tcPr>
            <w:tcW w:w="964" w:type="dxa"/>
          </w:tcPr>
          <w:p w14:paraId="328884CA" w14:textId="77777777" w:rsidR="0074216D" w:rsidRDefault="0074216D">
            <w:pPr>
              <w:cnfStyle w:val="000000000000" w:firstRow="0" w:lastRow="0" w:firstColumn="0" w:lastColumn="0" w:oddVBand="0" w:evenVBand="0" w:oddHBand="0" w:evenHBand="0" w:firstRowFirstColumn="0" w:firstRowLastColumn="0" w:lastRowFirstColumn="0" w:lastRowLastColumn="0"/>
            </w:pPr>
            <w:r>
              <w:t>74 060</w:t>
            </w:r>
          </w:p>
        </w:tc>
        <w:tc>
          <w:tcPr>
            <w:tcW w:w="964" w:type="dxa"/>
          </w:tcPr>
          <w:p w14:paraId="3A5B0968" w14:textId="77777777" w:rsidR="0074216D" w:rsidRDefault="0074216D">
            <w:pPr>
              <w:cnfStyle w:val="000000000000" w:firstRow="0" w:lastRow="0" w:firstColumn="0" w:lastColumn="0" w:oddVBand="0" w:evenVBand="0" w:oddHBand="0" w:evenHBand="0" w:firstRowFirstColumn="0" w:firstRowLastColumn="0" w:lastRowFirstColumn="0" w:lastRowLastColumn="0"/>
            </w:pPr>
            <w:r>
              <w:t>67 147</w:t>
            </w:r>
          </w:p>
        </w:tc>
      </w:tr>
      <w:tr w:rsidR="0074216D" w14:paraId="74E71926"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0689F3" w14:textId="77777777" w:rsidR="0074216D" w:rsidRDefault="0074216D">
            <w:pPr>
              <w:ind w:left="170"/>
            </w:pPr>
            <w:r>
              <w:rPr>
                <w:i/>
              </w:rPr>
              <w:t>The 2025-26 expected outcome is lower than the target due to the increased clinical complexity and acuity among current consumers, which has resulted in longer treatment durations. This is despite increased funding to clinical mental health services in recent years to meet community demand.</w:t>
            </w:r>
          </w:p>
        </w:tc>
      </w:tr>
      <w:tr w:rsidR="0074216D" w14:paraId="1C49BF79"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60BCB9F8" w14:textId="77777777" w:rsidR="0074216D" w:rsidRDefault="0074216D">
            <w:pPr>
              <w:keepNext/>
              <w:ind w:left="170"/>
            </w:pPr>
            <w:r>
              <w:t>Number of consumers accessing clinical mental health services – child and adolescent</w:t>
            </w:r>
          </w:p>
        </w:tc>
        <w:tc>
          <w:tcPr>
            <w:tcW w:w="964" w:type="dxa"/>
          </w:tcPr>
          <w:p w14:paraId="43373FF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99E2E57" w14:textId="77777777" w:rsidR="0074216D" w:rsidRDefault="0074216D">
            <w:pPr>
              <w:cnfStyle w:val="000000000000" w:firstRow="0" w:lastRow="0" w:firstColumn="0" w:lastColumn="0" w:oddVBand="0" w:evenVBand="0" w:oddHBand="0" w:evenHBand="0" w:firstRowFirstColumn="0" w:firstRowLastColumn="0" w:lastRowFirstColumn="0" w:lastRowLastColumn="0"/>
            </w:pPr>
            <w:r>
              <w:t>16 210</w:t>
            </w:r>
          </w:p>
        </w:tc>
        <w:tc>
          <w:tcPr>
            <w:tcW w:w="964" w:type="dxa"/>
          </w:tcPr>
          <w:p w14:paraId="04649541" w14:textId="77777777" w:rsidR="0074216D" w:rsidRDefault="0074216D">
            <w:pPr>
              <w:cnfStyle w:val="000000000000" w:firstRow="0" w:lastRow="0" w:firstColumn="0" w:lastColumn="0" w:oddVBand="0" w:evenVBand="0" w:oddHBand="0" w:evenHBand="0" w:firstRowFirstColumn="0" w:firstRowLastColumn="0" w:lastRowFirstColumn="0" w:lastRowLastColumn="0"/>
            </w:pPr>
            <w:r>
              <w:t>14 898</w:t>
            </w:r>
          </w:p>
        </w:tc>
        <w:tc>
          <w:tcPr>
            <w:tcW w:w="964" w:type="dxa"/>
          </w:tcPr>
          <w:p w14:paraId="21BE8355" w14:textId="77777777" w:rsidR="0074216D" w:rsidRDefault="0074216D">
            <w:pPr>
              <w:cnfStyle w:val="000000000000" w:firstRow="0" w:lastRow="0" w:firstColumn="0" w:lastColumn="0" w:oddVBand="0" w:evenVBand="0" w:oddHBand="0" w:evenHBand="0" w:firstRowFirstColumn="0" w:firstRowLastColumn="0" w:lastRowFirstColumn="0" w:lastRowLastColumn="0"/>
            </w:pPr>
            <w:r>
              <w:t>16 210</w:t>
            </w:r>
          </w:p>
        </w:tc>
        <w:tc>
          <w:tcPr>
            <w:tcW w:w="964" w:type="dxa"/>
          </w:tcPr>
          <w:p w14:paraId="24C10782" w14:textId="77777777" w:rsidR="0074216D" w:rsidRDefault="0074216D">
            <w:pPr>
              <w:cnfStyle w:val="000000000000" w:firstRow="0" w:lastRow="0" w:firstColumn="0" w:lastColumn="0" w:oddVBand="0" w:evenVBand="0" w:oddHBand="0" w:evenHBand="0" w:firstRowFirstColumn="0" w:firstRowLastColumn="0" w:lastRowFirstColumn="0" w:lastRowLastColumn="0"/>
            </w:pPr>
            <w:r>
              <w:t>14 898</w:t>
            </w:r>
          </w:p>
        </w:tc>
      </w:tr>
      <w:tr w:rsidR="0074216D" w14:paraId="364B18C9"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443561A" w14:textId="77777777" w:rsidR="0074216D" w:rsidRDefault="0074216D">
            <w:pPr>
              <w:ind w:left="170"/>
            </w:pPr>
            <w:r>
              <w:rPr>
                <w:i/>
              </w:rPr>
              <w:t>The 2025-26 expected outcome is lower than the target due to existing consumers requiring longer treatment periods. This is despite increased funding to clinical mental health services in recent years to meet community demand.</w:t>
            </w:r>
          </w:p>
        </w:tc>
      </w:tr>
      <w:tr w:rsidR="0074216D" w14:paraId="6339622C"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7A029BBA" w14:textId="77777777" w:rsidR="0074216D" w:rsidRDefault="0074216D">
            <w:pPr>
              <w:keepNext/>
              <w:ind w:left="170"/>
            </w:pPr>
            <w:r>
              <w:t>Number of consumers accessing clinical mental health services – older persons</w:t>
            </w:r>
          </w:p>
        </w:tc>
        <w:tc>
          <w:tcPr>
            <w:tcW w:w="964" w:type="dxa"/>
          </w:tcPr>
          <w:p w14:paraId="511D1E1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5173070" w14:textId="77777777" w:rsidR="0074216D" w:rsidRDefault="0074216D">
            <w:pPr>
              <w:cnfStyle w:val="000000000000" w:firstRow="0" w:lastRow="0" w:firstColumn="0" w:lastColumn="0" w:oddVBand="0" w:evenVBand="0" w:oddHBand="0" w:evenHBand="0" w:firstRowFirstColumn="0" w:firstRowLastColumn="0" w:lastRowFirstColumn="0" w:lastRowLastColumn="0"/>
            </w:pPr>
            <w:r>
              <w:t>12 107</w:t>
            </w:r>
          </w:p>
        </w:tc>
        <w:tc>
          <w:tcPr>
            <w:tcW w:w="964" w:type="dxa"/>
          </w:tcPr>
          <w:p w14:paraId="45AA36B8" w14:textId="77777777" w:rsidR="0074216D" w:rsidRDefault="0074216D">
            <w:pPr>
              <w:cnfStyle w:val="000000000000" w:firstRow="0" w:lastRow="0" w:firstColumn="0" w:lastColumn="0" w:oddVBand="0" w:evenVBand="0" w:oddHBand="0" w:evenHBand="0" w:firstRowFirstColumn="0" w:firstRowLastColumn="0" w:lastRowFirstColumn="0" w:lastRowLastColumn="0"/>
            </w:pPr>
            <w:r>
              <w:t>12 107</w:t>
            </w:r>
          </w:p>
        </w:tc>
        <w:tc>
          <w:tcPr>
            <w:tcW w:w="964" w:type="dxa"/>
          </w:tcPr>
          <w:p w14:paraId="2E01F840" w14:textId="77777777" w:rsidR="0074216D" w:rsidRDefault="0074216D">
            <w:pPr>
              <w:cnfStyle w:val="000000000000" w:firstRow="0" w:lastRow="0" w:firstColumn="0" w:lastColumn="0" w:oddVBand="0" w:evenVBand="0" w:oddHBand="0" w:evenHBand="0" w:firstRowFirstColumn="0" w:firstRowLastColumn="0" w:lastRowFirstColumn="0" w:lastRowLastColumn="0"/>
            </w:pPr>
            <w:r>
              <w:t>9 298</w:t>
            </w:r>
          </w:p>
        </w:tc>
        <w:tc>
          <w:tcPr>
            <w:tcW w:w="964" w:type="dxa"/>
          </w:tcPr>
          <w:p w14:paraId="1C9D8D10" w14:textId="77777777" w:rsidR="0074216D" w:rsidRDefault="0074216D">
            <w:pPr>
              <w:cnfStyle w:val="000000000000" w:firstRow="0" w:lastRow="0" w:firstColumn="0" w:lastColumn="0" w:oddVBand="0" w:evenVBand="0" w:oddHBand="0" w:evenHBand="0" w:firstRowFirstColumn="0" w:firstRowLastColumn="0" w:lastRowFirstColumn="0" w:lastRowLastColumn="0"/>
            </w:pPr>
            <w:r>
              <w:t>12 107</w:t>
            </w:r>
          </w:p>
        </w:tc>
      </w:tr>
      <w:tr w:rsidR="0074216D" w14:paraId="14C61209"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781724" w14:textId="77777777" w:rsidR="0074216D" w:rsidRDefault="0074216D">
            <w:pPr>
              <w:ind w:left="170"/>
            </w:pPr>
            <w:r>
              <w:rPr>
                <w:i/>
              </w:rPr>
              <w:t xml:space="preserve">The 2025-26 expected outcome is higher than the target reflecting more inpatient and community mental health services are available for older Victorians, </w:t>
            </w:r>
            <w:r w:rsidRPr="51DD3760">
              <w:rPr>
                <w:i/>
                <w:iCs/>
              </w:rPr>
              <w:t xml:space="preserve">including the establishment of new </w:t>
            </w:r>
            <w:r>
              <w:rPr>
                <w:i/>
                <w:iCs/>
              </w:rPr>
              <w:t xml:space="preserve">dedicated </w:t>
            </w:r>
            <w:r w:rsidRPr="51DD3760">
              <w:rPr>
                <w:i/>
                <w:iCs/>
              </w:rPr>
              <w:t>older adult community teams</w:t>
            </w:r>
            <w:r>
              <w:rPr>
                <w:i/>
              </w:rPr>
              <w:t xml:space="preserve">. </w:t>
            </w:r>
          </w:p>
          <w:p w14:paraId="391C7BCC" w14:textId="77777777" w:rsidR="0074216D" w:rsidRDefault="0074216D">
            <w:pPr>
              <w:ind w:left="170"/>
            </w:pPr>
            <w:r>
              <w:rPr>
                <w:i/>
              </w:rPr>
              <w:t xml:space="preserve">The 2026-27 target is increased to reflect increased funding for clinical mental health services. </w:t>
            </w:r>
          </w:p>
        </w:tc>
      </w:tr>
      <w:tr w:rsidR="0074216D" w14:paraId="34044EC5"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0DAE9D58" w14:textId="77777777" w:rsidR="0074216D" w:rsidRDefault="0074216D">
            <w:pPr>
              <w:keepNext/>
              <w:ind w:left="170"/>
            </w:pPr>
            <w:r>
              <w:t>Percentage of community cases newly opened</w:t>
            </w:r>
          </w:p>
        </w:tc>
        <w:tc>
          <w:tcPr>
            <w:tcW w:w="964" w:type="dxa"/>
          </w:tcPr>
          <w:p w14:paraId="7ED6E3A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4E95238" w14:textId="77777777" w:rsidR="0074216D" w:rsidRDefault="0074216D">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5603F73F" w14:textId="77777777" w:rsidR="0074216D" w:rsidRDefault="0074216D">
            <w:pPr>
              <w:cnfStyle w:val="000000000000" w:firstRow="0" w:lastRow="0" w:firstColumn="0" w:lastColumn="0" w:oddVBand="0" w:evenVBand="0" w:oddHBand="0" w:evenHBand="0" w:firstRowFirstColumn="0" w:firstRowLastColumn="0" w:lastRowFirstColumn="0" w:lastRowLastColumn="0"/>
            </w:pPr>
            <w:r>
              <w:t>76</w:t>
            </w:r>
          </w:p>
        </w:tc>
        <w:tc>
          <w:tcPr>
            <w:tcW w:w="964" w:type="dxa"/>
          </w:tcPr>
          <w:p w14:paraId="713121F9" w14:textId="77777777" w:rsidR="0074216D" w:rsidRDefault="0074216D">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04F1317E" w14:textId="77777777" w:rsidR="0074216D" w:rsidRDefault="0074216D">
            <w:pPr>
              <w:cnfStyle w:val="000000000000" w:firstRow="0" w:lastRow="0" w:firstColumn="0" w:lastColumn="0" w:oddVBand="0" w:evenVBand="0" w:oddHBand="0" w:evenHBand="0" w:firstRowFirstColumn="0" w:firstRowLastColumn="0" w:lastRowFirstColumn="0" w:lastRowLastColumn="0"/>
            </w:pPr>
            <w:r>
              <w:t>76</w:t>
            </w:r>
          </w:p>
        </w:tc>
      </w:tr>
      <w:tr w:rsidR="0074216D" w14:paraId="780B658C"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4EA48C" w14:textId="77777777" w:rsidR="0074216D" w:rsidRDefault="0074216D">
            <w:pPr>
              <w:ind w:left="170"/>
            </w:pPr>
            <w:r w:rsidRPr="000F1AFF">
              <w:rPr>
                <w:i/>
              </w:rPr>
              <w:t>The 2025-26 expected outcome is higher than the target reflecting the expansion of community mental health services, enabling more people to access services easily</w:t>
            </w:r>
            <w:r>
              <w:rPr>
                <w:i/>
              </w:rPr>
              <w:t>.</w:t>
            </w:r>
          </w:p>
        </w:tc>
      </w:tr>
      <w:tr w:rsidR="0074216D" w14:paraId="6C1CA251"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6843B221" w14:textId="77777777" w:rsidR="0074216D" w:rsidRDefault="0074216D">
            <w:pPr>
              <w:keepNext/>
              <w:ind w:left="170"/>
            </w:pPr>
            <w:r>
              <w:t>Percentage of occupied bed days (residential)</w:t>
            </w:r>
          </w:p>
        </w:tc>
        <w:tc>
          <w:tcPr>
            <w:tcW w:w="964" w:type="dxa"/>
          </w:tcPr>
          <w:p w14:paraId="0815890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D35F695"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A417856" w14:textId="77777777" w:rsidR="0074216D" w:rsidRDefault="0074216D">
            <w:pPr>
              <w:cnfStyle w:val="000000000000" w:firstRow="0" w:lastRow="0" w:firstColumn="0" w:lastColumn="0" w:oddVBand="0" w:evenVBand="0" w:oddHBand="0" w:evenHBand="0" w:firstRowFirstColumn="0" w:firstRowLastColumn="0" w:lastRowFirstColumn="0" w:lastRowLastColumn="0"/>
            </w:pPr>
            <w:r>
              <w:t>72</w:t>
            </w:r>
          </w:p>
        </w:tc>
        <w:tc>
          <w:tcPr>
            <w:tcW w:w="964" w:type="dxa"/>
          </w:tcPr>
          <w:p w14:paraId="1CB25CA7"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1992B3E" w14:textId="77777777" w:rsidR="0074216D" w:rsidRDefault="0074216D">
            <w:pPr>
              <w:cnfStyle w:val="000000000000" w:firstRow="0" w:lastRow="0" w:firstColumn="0" w:lastColumn="0" w:oddVBand="0" w:evenVBand="0" w:oddHBand="0" w:evenHBand="0" w:firstRowFirstColumn="0" w:firstRowLastColumn="0" w:lastRowFirstColumn="0" w:lastRowLastColumn="0"/>
            </w:pPr>
            <w:r>
              <w:t>71</w:t>
            </w:r>
          </w:p>
        </w:tc>
      </w:tr>
      <w:tr w:rsidR="0074216D" w14:paraId="10BC3BBA"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8BF17E" w14:textId="5E2D2E7A" w:rsidR="0074216D" w:rsidRDefault="0074216D">
            <w:pPr>
              <w:ind w:left="170"/>
            </w:pPr>
            <w:r>
              <w:rPr>
                <w:i/>
              </w:rPr>
              <w:t>The 2025-26 expected outcome is lower than the target due to operational challenges that the department is working through with relevant services. Bed occupancy for Community Care Units and Secure Extended Care Units remain high.</w:t>
            </w:r>
          </w:p>
        </w:tc>
      </w:tr>
      <w:tr w:rsidR="0074216D" w14:paraId="58C26683"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204C16F4" w14:textId="77777777" w:rsidR="0074216D" w:rsidRDefault="0074216D">
            <w:pPr>
              <w:keepNext/>
              <w:ind w:left="170"/>
            </w:pPr>
            <w:r>
              <w:lastRenderedPageBreak/>
              <w:t>Percentage of occupied bed days (subacute)</w:t>
            </w:r>
          </w:p>
        </w:tc>
        <w:tc>
          <w:tcPr>
            <w:tcW w:w="964" w:type="dxa"/>
          </w:tcPr>
          <w:p w14:paraId="221953F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0B66BCA"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1520E68" w14:textId="77777777" w:rsidR="0074216D" w:rsidRDefault="0074216D">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33FF8672"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CD59502" w14:textId="77777777" w:rsidR="0074216D" w:rsidRDefault="0074216D">
            <w:pPr>
              <w:cnfStyle w:val="000000000000" w:firstRow="0" w:lastRow="0" w:firstColumn="0" w:lastColumn="0" w:oddVBand="0" w:evenVBand="0" w:oddHBand="0" w:evenHBand="0" w:firstRowFirstColumn="0" w:firstRowLastColumn="0" w:lastRowFirstColumn="0" w:lastRowLastColumn="0"/>
            </w:pPr>
            <w:r>
              <w:t>77</w:t>
            </w:r>
          </w:p>
        </w:tc>
      </w:tr>
      <w:tr w:rsidR="0074216D" w14:paraId="16FC9F91"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4E381F0" w14:textId="77777777" w:rsidR="0074216D" w:rsidRDefault="0074216D">
            <w:pPr>
              <w:ind w:left="170"/>
            </w:pPr>
            <w:r>
              <w:rPr>
                <w:i/>
              </w:rPr>
              <w:t>The 2025-26 expected outcome is lower than the target as some services have infrastructure limitations which impacted admissions.</w:t>
            </w:r>
          </w:p>
        </w:tc>
      </w:tr>
      <w:tr w:rsidR="0074216D" w14:paraId="45D78679"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Pr>
          <w:p w14:paraId="74824D2C" w14:textId="77777777" w:rsidR="0074216D" w:rsidRPr="005314E1" w:rsidRDefault="0074216D">
            <w:pPr>
              <w:keepNext/>
              <w:rPr>
                <w:b/>
              </w:rPr>
            </w:pPr>
            <w:r w:rsidRPr="005314E1">
              <w:rPr>
                <w:b/>
              </w:rPr>
              <w:t>Quality</w:t>
            </w:r>
          </w:p>
        </w:tc>
      </w:tr>
      <w:tr w:rsidR="0074216D" w14:paraId="053F0D07"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84EA29A" w14:textId="77777777" w:rsidR="0074216D" w:rsidRDefault="0074216D">
            <w:pPr>
              <w:ind w:left="170"/>
            </w:pPr>
            <w:r>
              <w:t>Number of designated mental health services achieving or maintaining accreditation under the National Safety and Quality in Health Service Standards</w:t>
            </w:r>
          </w:p>
        </w:tc>
        <w:tc>
          <w:tcPr>
            <w:tcW w:w="964" w:type="dxa"/>
            <w:tcBorders>
              <w:bottom w:val="single" w:sz="6" w:space="0" w:color="auto"/>
            </w:tcBorders>
          </w:tcPr>
          <w:p w14:paraId="7BC0D53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FBFC4B1" w14:textId="77777777" w:rsidR="0074216D" w:rsidRDefault="0074216D">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6AE998EF" w14:textId="77777777" w:rsidR="0074216D" w:rsidRDefault="0074216D">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1E9CF27A" w14:textId="77777777" w:rsidR="0074216D" w:rsidRDefault="0074216D">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060EEA4C" w14:textId="77777777" w:rsidR="0074216D" w:rsidRDefault="0074216D">
            <w:pPr>
              <w:cnfStyle w:val="000000000000" w:firstRow="0" w:lastRow="0" w:firstColumn="0" w:lastColumn="0" w:oddVBand="0" w:evenVBand="0" w:oddHBand="0" w:evenHBand="0" w:firstRowFirstColumn="0" w:firstRowLastColumn="0" w:lastRowFirstColumn="0" w:lastRowLastColumn="0"/>
            </w:pPr>
            <w:r>
              <w:t>21</w:t>
            </w:r>
          </w:p>
        </w:tc>
      </w:tr>
      <w:tr w:rsidR="0074216D" w14:paraId="1CFF4598" w14:textId="77777777" w:rsidTr="002B0C7C">
        <w:tc>
          <w:tcPr>
            <w:cnfStyle w:val="001000000000" w:firstRow="0" w:lastRow="0" w:firstColumn="1" w:lastColumn="0" w:oddVBand="0" w:evenVBand="0" w:oddHBand="0" w:evenHBand="0" w:firstRowFirstColumn="0" w:firstRowLastColumn="0" w:lastRowFirstColumn="0" w:lastRowLastColumn="0"/>
            <w:tcW w:w="4962" w:type="dxa"/>
          </w:tcPr>
          <w:p w14:paraId="5EE3677C" w14:textId="4386341B" w:rsidR="0074216D" w:rsidRDefault="0074216D">
            <w:pPr>
              <w:keepNext/>
              <w:ind w:left="170"/>
            </w:pPr>
            <w:r>
              <w:t>Percentage of admissions with a preadmission contact – inpatient</w:t>
            </w:r>
          </w:p>
        </w:tc>
        <w:tc>
          <w:tcPr>
            <w:tcW w:w="821" w:type="dxa"/>
          </w:tcPr>
          <w:p w14:paraId="5505E4C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E257862" w14:textId="77777777" w:rsidR="0074216D" w:rsidRDefault="0074216D">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5E883140" w14:textId="77777777" w:rsidR="0074216D" w:rsidRDefault="0074216D">
            <w:pPr>
              <w:cnfStyle w:val="000000000000" w:firstRow="0" w:lastRow="0" w:firstColumn="0" w:lastColumn="0" w:oddVBand="0" w:evenVBand="0" w:oddHBand="0" w:evenHBand="0" w:firstRowFirstColumn="0" w:firstRowLastColumn="0" w:lastRowFirstColumn="0" w:lastRowLastColumn="0"/>
            </w:pPr>
            <w:r>
              <w:t>67</w:t>
            </w:r>
          </w:p>
        </w:tc>
        <w:tc>
          <w:tcPr>
            <w:tcW w:w="964" w:type="dxa"/>
          </w:tcPr>
          <w:p w14:paraId="29D64270" w14:textId="77777777" w:rsidR="0074216D" w:rsidRDefault="0074216D">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1BBF8287" w14:textId="77777777" w:rsidR="0074216D" w:rsidRDefault="0074216D">
            <w:pPr>
              <w:cnfStyle w:val="000000000000" w:firstRow="0" w:lastRow="0" w:firstColumn="0" w:lastColumn="0" w:oddVBand="0" w:evenVBand="0" w:oddHBand="0" w:evenHBand="0" w:firstRowFirstColumn="0" w:firstRowLastColumn="0" w:lastRowFirstColumn="0" w:lastRowLastColumn="0"/>
            </w:pPr>
            <w:r>
              <w:t>67</w:t>
            </w:r>
          </w:p>
        </w:tc>
      </w:tr>
      <w:tr w:rsidR="0074216D" w14:paraId="72090BE0"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1D95D0" w14:textId="77777777" w:rsidR="0074216D" w:rsidRDefault="0074216D">
            <w:pPr>
              <w:ind w:left="170"/>
            </w:pPr>
            <w:r>
              <w:rPr>
                <w:i/>
              </w:rPr>
              <w:t>The 2025-26 expected outcome is higher than the target which reflects improved responsiveness and planning inpatient admissions across health services.</w:t>
            </w:r>
          </w:p>
        </w:tc>
      </w:tr>
      <w:tr w:rsidR="0074216D" w14:paraId="6E5CFE13"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60197CDF" w14:textId="77777777" w:rsidR="0074216D" w:rsidRDefault="0074216D">
            <w:pPr>
              <w:keepNext/>
              <w:ind w:left="170"/>
            </w:pPr>
            <w:r>
              <w:t>Percentage of consumers followed up within 7 days of separation – inpatient (Child and Adolescent Mental Health Services)</w:t>
            </w:r>
          </w:p>
        </w:tc>
        <w:tc>
          <w:tcPr>
            <w:tcW w:w="964" w:type="dxa"/>
          </w:tcPr>
          <w:p w14:paraId="4CD8517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1B98BD6"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66364929" w14:textId="77777777" w:rsidR="0074216D" w:rsidRDefault="0074216D">
            <w:pPr>
              <w:cnfStyle w:val="000000000000" w:firstRow="0" w:lastRow="0" w:firstColumn="0" w:lastColumn="0" w:oddVBand="0" w:evenVBand="0" w:oddHBand="0" w:evenHBand="0" w:firstRowFirstColumn="0" w:firstRowLastColumn="0" w:lastRowFirstColumn="0" w:lastRowLastColumn="0"/>
            </w:pPr>
            <w:r>
              <w:t>83</w:t>
            </w:r>
          </w:p>
        </w:tc>
        <w:tc>
          <w:tcPr>
            <w:tcW w:w="964" w:type="dxa"/>
          </w:tcPr>
          <w:p w14:paraId="4BA1A17B"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12BCC1A1" w14:textId="77777777" w:rsidR="0074216D" w:rsidRDefault="0074216D">
            <w:pPr>
              <w:cnfStyle w:val="000000000000" w:firstRow="0" w:lastRow="0" w:firstColumn="0" w:lastColumn="0" w:oddVBand="0" w:evenVBand="0" w:oddHBand="0" w:evenHBand="0" w:firstRowFirstColumn="0" w:firstRowLastColumn="0" w:lastRowFirstColumn="0" w:lastRowLastColumn="0"/>
            </w:pPr>
            <w:r>
              <w:t>83</w:t>
            </w:r>
          </w:p>
        </w:tc>
      </w:tr>
      <w:tr w:rsidR="0074216D" w14:paraId="181F7CC0"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8C0EC6" w14:textId="77777777" w:rsidR="0074216D" w:rsidRDefault="0074216D">
            <w:pPr>
              <w:ind w:left="170"/>
            </w:pPr>
            <w:r>
              <w:rPr>
                <w:i/>
              </w:rPr>
              <w:t>The 2025-26 expected outcome and 2024-25 actual outcome are lower than the target as data collection for this measure was impacted by protected industrial action which occurred from February-August 2025.</w:t>
            </w:r>
          </w:p>
        </w:tc>
      </w:tr>
      <w:tr w:rsidR="0074216D" w14:paraId="2B3C1F0B"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B019BC9" w14:textId="77777777" w:rsidR="0074216D" w:rsidRDefault="0074216D">
            <w:pPr>
              <w:ind w:left="170"/>
            </w:pPr>
            <w:r>
              <w:t>Percentage of consumers followed up within 7 days of separation – inpatient (adult)</w:t>
            </w:r>
          </w:p>
          <w:p w14:paraId="57C21851" w14:textId="23E5A6AA" w:rsidR="0074216D" w:rsidRDefault="0074216D">
            <w:pPr>
              <w:ind w:left="170"/>
            </w:pPr>
            <w:r>
              <w:rPr>
                <w:i/>
              </w:rPr>
              <w:t>The 2025-26 expected outcome and 2024-25 actual are lower than the target as data collection for this measure was impacted by protected industrial action which occurred from February-August 2025.</w:t>
            </w:r>
          </w:p>
        </w:tc>
        <w:tc>
          <w:tcPr>
            <w:tcW w:w="964" w:type="dxa"/>
            <w:tcBorders>
              <w:bottom w:val="single" w:sz="6" w:space="0" w:color="auto"/>
            </w:tcBorders>
          </w:tcPr>
          <w:p w14:paraId="4C2BB6A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0AF0F2"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72CA4A4E"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5917CBC"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496B0F70" w14:textId="77777777" w:rsidR="0074216D" w:rsidRDefault="0074216D">
            <w:pPr>
              <w:cnfStyle w:val="000000000000" w:firstRow="0" w:lastRow="0" w:firstColumn="0" w:lastColumn="0" w:oddVBand="0" w:evenVBand="0" w:oddHBand="0" w:evenHBand="0" w:firstRowFirstColumn="0" w:firstRowLastColumn="0" w:lastRowFirstColumn="0" w:lastRowLastColumn="0"/>
            </w:pPr>
            <w:r>
              <w:t>84</w:t>
            </w:r>
          </w:p>
        </w:tc>
      </w:tr>
      <w:tr w:rsidR="0074216D" w14:paraId="0FCC4397"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7FBD4A" w14:textId="77777777" w:rsidR="0074216D" w:rsidRDefault="0074216D">
            <w:pPr>
              <w:ind w:left="170"/>
            </w:pPr>
            <w:r>
              <w:t>Percentage of consumers followed up within 7 days of separation – inpatient (older persons)</w:t>
            </w:r>
          </w:p>
        </w:tc>
        <w:tc>
          <w:tcPr>
            <w:tcW w:w="964" w:type="dxa"/>
            <w:tcBorders>
              <w:bottom w:val="single" w:sz="6" w:space="0" w:color="auto"/>
            </w:tcBorders>
          </w:tcPr>
          <w:p w14:paraId="0B8DA6F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44BE8FD"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7F360AC6" w14:textId="77777777" w:rsidR="0074216D" w:rsidRDefault="0074216D">
            <w:pPr>
              <w:cnfStyle w:val="000000000000" w:firstRow="0" w:lastRow="0" w:firstColumn="0" w:lastColumn="0" w:oddVBand="0" w:evenVBand="0" w:oddHBand="0" w:evenHBand="0" w:firstRowFirstColumn="0" w:firstRowLastColumn="0" w:lastRowFirstColumn="0" w:lastRowLastColumn="0"/>
            </w:pPr>
            <w:r>
              <w:t>91</w:t>
            </w:r>
          </w:p>
        </w:tc>
        <w:tc>
          <w:tcPr>
            <w:tcW w:w="964" w:type="dxa"/>
            <w:tcBorders>
              <w:bottom w:val="single" w:sz="6" w:space="0" w:color="auto"/>
            </w:tcBorders>
          </w:tcPr>
          <w:p w14:paraId="5748381A" w14:textId="77777777" w:rsidR="0074216D" w:rsidRDefault="0074216D">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089D2620" w14:textId="77777777" w:rsidR="0074216D" w:rsidRDefault="0074216D">
            <w:pPr>
              <w:cnfStyle w:val="000000000000" w:firstRow="0" w:lastRow="0" w:firstColumn="0" w:lastColumn="0" w:oddVBand="0" w:evenVBand="0" w:oddHBand="0" w:evenHBand="0" w:firstRowFirstColumn="0" w:firstRowLastColumn="0" w:lastRowFirstColumn="0" w:lastRowLastColumn="0"/>
            </w:pPr>
            <w:r>
              <w:t>87</w:t>
            </w:r>
          </w:p>
        </w:tc>
      </w:tr>
      <w:tr w:rsidR="0074216D" w14:paraId="2BB6BD4E"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2A49A08B" w14:textId="77777777" w:rsidR="0074216D" w:rsidRDefault="0074216D">
            <w:pPr>
              <w:keepNext/>
              <w:ind w:left="170"/>
            </w:pPr>
            <w:r>
              <w:t>Percentage of consumers who rated their overall experience of care with a service in the last 3 months as positive</w:t>
            </w:r>
          </w:p>
        </w:tc>
        <w:tc>
          <w:tcPr>
            <w:tcW w:w="964" w:type="dxa"/>
          </w:tcPr>
          <w:p w14:paraId="65A0C02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F9435B"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F99DF11" w14:textId="77777777" w:rsidR="0074216D" w:rsidRDefault="0074216D">
            <w:pPr>
              <w:cnfStyle w:val="000000000000" w:firstRow="0" w:lastRow="0" w:firstColumn="0" w:lastColumn="0" w:oddVBand="0" w:evenVBand="0" w:oddHBand="0" w:evenHBand="0" w:firstRowFirstColumn="0" w:firstRowLastColumn="0" w:lastRowFirstColumn="0" w:lastRowLastColumn="0"/>
            </w:pPr>
            <w:r>
              <w:t>62</w:t>
            </w:r>
          </w:p>
        </w:tc>
        <w:tc>
          <w:tcPr>
            <w:tcW w:w="964" w:type="dxa"/>
          </w:tcPr>
          <w:p w14:paraId="1D0F3CF6"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CA25C2B" w14:textId="77777777" w:rsidR="0074216D" w:rsidRDefault="0074216D">
            <w:pPr>
              <w:cnfStyle w:val="000000000000" w:firstRow="0" w:lastRow="0" w:firstColumn="0" w:lastColumn="0" w:oddVBand="0" w:evenVBand="0" w:oddHBand="0" w:evenHBand="0" w:firstRowFirstColumn="0" w:firstRowLastColumn="0" w:lastRowFirstColumn="0" w:lastRowLastColumn="0"/>
            </w:pPr>
            <w:r>
              <w:t>62</w:t>
            </w:r>
          </w:p>
        </w:tc>
      </w:tr>
      <w:tr w:rsidR="0074216D" w14:paraId="563DD9DD"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893187" w14:textId="0B29F527" w:rsidR="0074216D" w:rsidRDefault="0074216D">
            <w:pPr>
              <w:ind w:left="170"/>
            </w:pPr>
            <w:r>
              <w:rPr>
                <w:i/>
              </w:rPr>
              <w:t>The 2025-26 expected outcome is lower than the target</w:t>
            </w:r>
            <w:r w:rsidR="004176F7">
              <w:rPr>
                <w:i/>
              </w:rPr>
              <w:t xml:space="preserve"> reflecting the need for</w:t>
            </w:r>
            <w:r w:rsidR="00590EA5">
              <w:rPr>
                <w:i/>
              </w:rPr>
              <w:t xml:space="preserve"> ongoing work between the department and health services to improve </w:t>
            </w:r>
            <w:r w:rsidR="002905BE">
              <w:rPr>
                <w:i/>
              </w:rPr>
              <w:t>consumers’ experience of mental health services</w:t>
            </w:r>
            <w:r>
              <w:rPr>
                <w:i/>
              </w:rPr>
              <w:t xml:space="preserve">. </w:t>
            </w:r>
            <w:r w:rsidR="002905BE">
              <w:rPr>
                <w:i/>
              </w:rPr>
              <w:t xml:space="preserve"> This is expected to contribute to a more positive outcome in the future.</w:t>
            </w:r>
          </w:p>
        </w:tc>
      </w:tr>
      <w:tr w:rsidR="0074216D" w14:paraId="492B2C2C"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1DDBDA9D" w14:textId="26BD4607" w:rsidR="0074216D" w:rsidRDefault="0074216D">
            <w:pPr>
              <w:keepNext/>
              <w:ind w:left="170"/>
            </w:pPr>
            <w:r>
              <w:t>Percentage of families/carers reporting a ‘very good</w:t>
            </w:r>
            <w:r w:rsidR="00324555">
              <w:t>’</w:t>
            </w:r>
            <w:r>
              <w:t xml:space="preserve"> or ‘excellent</w:t>
            </w:r>
            <w:r w:rsidR="00324555">
              <w:t>’</w:t>
            </w:r>
            <w:r>
              <w:t xml:space="preserve"> overall experience of the service</w:t>
            </w:r>
          </w:p>
        </w:tc>
        <w:tc>
          <w:tcPr>
            <w:tcW w:w="964" w:type="dxa"/>
          </w:tcPr>
          <w:p w14:paraId="165E7F0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3BAF52"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6C1A1BA" w14:textId="77777777" w:rsidR="0074216D" w:rsidRDefault="0074216D">
            <w:pPr>
              <w:cnfStyle w:val="000000000000" w:firstRow="0" w:lastRow="0" w:firstColumn="0" w:lastColumn="0" w:oddVBand="0" w:evenVBand="0" w:oddHBand="0" w:evenHBand="0" w:firstRowFirstColumn="0" w:firstRowLastColumn="0" w:lastRowFirstColumn="0" w:lastRowLastColumn="0"/>
            </w:pPr>
            <w:r>
              <w:t>39</w:t>
            </w:r>
          </w:p>
        </w:tc>
        <w:tc>
          <w:tcPr>
            <w:tcW w:w="964" w:type="dxa"/>
          </w:tcPr>
          <w:p w14:paraId="4D66143E"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02366CA" w14:textId="77777777" w:rsidR="0074216D" w:rsidRDefault="0074216D">
            <w:pPr>
              <w:cnfStyle w:val="000000000000" w:firstRow="0" w:lastRow="0" w:firstColumn="0" w:lastColumn="0" w:oddVBand="0" w:evenVBand="0" w:oddHBand="0" w:evenHBand="0" w:firstRowFirstColumn="0" w:firstRowLastColumn="0" w:lastRowFirstColumn="0" w:lastRowLastColumn="0"/>
            </w:pPr>
            <w:r>
              <w:t>39</w:t>
            </w:r>
          </w:p>
        </w:tc>
      </w:tr>
      <w:tr w:rsidR="0074216D" w14:paraId="7BCB5928"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4A7731" w14:textId="28805CC3" w:rsidR="0074216D" w:rsidRDefault="0074216D">
            <w:pPr>
              <w:ind w:left="170"/>
            </w:pPr>
            <w:r>
              <w:rPr>
                <w:i/>
              </w:rPr>
              <w:t>The 2025-26 expected outcome is lower than the target</w:t>
            </w:r>
            <w:r w:rsidR="00152930">
              <w:rPr>
                <w:i/>
              </w:rPr>
              <w:t xml:space="preserve"> reflecting the need for</w:t>
            </w:r>
            <w:r w:rsidR="007C20BA">
              <w:rPr>
                <w:i/>
              </w:rPr>
              <w:t xml:space="preserve"> ongoing</w:t>
            </w:r>
            <w:r w:rsidRPr="002F2735">
              <w:rPr>
                <w:i/>
              </w:rPr>
              <w:t xml:space="preserve"> engagement with carers </w:t>
            </w:r>
            <w:r w:rsidR="007C20BA">
              <w:rPr>
                <w:i/>
              </w:rPr>
              <w:t>across</w:t>
            </w:r>
            <w:r w:rsidR="007C20BA" w:rsidRPr="002F2735">
              <w:rPr>
                <w:i/>
              </w:rPr>
              <w:t xml:space="preserve"> </w:t>
            </w:r>
            <w:r w:rsidRPr="002F2735">
              <w:rPr>
                <w:i/>
              </w:rPr>
              <w:t>a number of reform initiatives</w:t>
            </w:r>
            <w:r w:rsidR="007C20BA">
              <w:rPr>
                <w:i/>
              </w:rPr>
              <w:t xml:space="preserve"> which </w:t>
            </w:r>
            <w:r>
              <w:rPr>
                <w:i/>
              </w:rPr>
              <w:t>are expected to</w:t>
            </w:r>
            <w:r w:rsidRPr="002F2735">
              <w:rPr>
                <w:i/>
              </w:rPr>
              <w:t xml:space="preserve"> contribute to a more positive carer experience in future.</w:t>
            </w:r>
          </w:p>
        </w:tc>
      </w:tr>
      <w:tr w:rsidR="0074216D" w14:paraId="39A5F8D0"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432842E0" w14:textId="51840B23" w:rsidR="0074216D" w:rsidRDefault="0074216D">
            <w:pPr>
              <w:keepNext/>
              <w:ind w:left="170"/>
            </w:pPr>
            <w:r>
              <w:t>Percentage of families/carers who report they ‘always</w:t>
            </w:r>
            <w:r w:rsidR="00324555">
              <w:t>’</w:t>
            </w:r>
            <w:r>
              <w:t xml:space="preserve"> or ‘usually</w:t>
            </w:r>
            <w:r w:rsidR="00324555">
              <w:t>’</w:t>
            </w:r>
            <w:r>
              <w:t xml:space="preserve"> felt their opinions as a carer were respected</w:t>
            </w:r>
          </w:p>
        </w:tc>
        <w:tc>
          <w:tcPr>
            <w:tcW w:w="964" w:type="dxa"/>
          </w:tcPr>
          <w:p w14:paraId="7A9A623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FB6C5D4"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1D01494" w14:textId="77777777" w:rsidR="0074216D" w:rsidRDefault="0074216D">
            <w:pPr>
              <w:cnfStyle w:val="000000000000" w:firstRow="0" w:lastRow="0" w:firstColumn="0" w:lastColumn="0" w:oddVBand="0" w:evenVBand="0" w:oddHBand="0" w:evenHBand="0" w:firstRowFirstColumn="0" w:firstRowLastColumn="0" w:lastRowFirstColumn="0" w:lastRowLastColumn="0"/>
            </w:pPr>
            <w:r>
              <w:t>68</w:t>
            </w:r>
          </w:p>
        </w:tc>
        <w:tc>
          <w:tcPr>
            <w:tcW w:w="964" w:type="dxa"/>
          </w:tcPr>
          <w:p w14:paraId="56B2654E"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4E53EC6" w14:textId="77777777" w:rsidR="0074216D" w:rsidRDefault="0074216D">
            <w:pPr>
              <w:cnfStyle w:val="000000000000" w:firstRow="0" w:lastRow="0" w:firstColumn="0" w:lastColumn="0" w:oddVBand="0" w:evenVBand="0" w:oddHBand="0" w:evenHBand="0" w:firstRowFirstColumn="0" w:firstRowLastColumn="0" w:lastRowFirstColumn="0" w:lastRowLastColumn="0"/>
            </w:pPr>
            <w:r>
              <w:t>68</w:t>
            </w:r>
          </w:p>
        </w:tc>
      </w:tr>
      <w:tr w:rsidR="0074216D" w14:paraId="55489536"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4716F6" w14:textId="78DCA29E" w:rsidR="0074216D" w:rsidRDefault="0074216D">
            <w:pPr>
              <w:ind w:left="170"/>
            </w:pPr>
            <w:r>
              <w:rPr>
                <w:i/>
              </w:rPr>
              <w:t>The 2025-26 expected outcome is lower than target. The Department will continue to work with services to improve the family and carer experience as part of mental health reforms.</w:t>
            </w:r>
            <w:r w:rsidR="00BA48C7">
              <w:rPr>
                <w:i/>
              </w:rPr>
              <w:t xml:space="preserve"> This is expected to contribute to a more positive outcome in the future.</w:t>
            </w:r>
          </w:p>
        </w:tc>
      </w:tr>
      <w:tr w:rsidR="0074216D" w14:paraId="2D2CF797"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5C911B25" w14:textId="6440AE19" w:rsidR="0074216D" w:rsidRDefault="0074216D">
            <w:pPr>
              <w:keepNext/>
              <w:ind w:left="170"/>
            </w:pPr>
            <w:r>
              <w:t>Percentage of mental health consumers reporting they ‘usually</w:t>
            </w:r>
            <w:r w:rsidR="00324555">
              <w:t>’</w:t>
            </w:r>
            <w:r>
              <w:t xml:space="preserve"> or ‘always</w:t>
            </w:r>
            <w:r w:rsidR="00324555">
              <w:t>’</w:t>
            </w:r>
            <w:r>
              <w:t xml:space="preserve"> felt safe using this service</w:t>
            </w:r>
          </w:p>
        </w:tc>
        <w:tc>
          <w:tcPr>
            <w:tcW w:w="964" w:type="dxa"/>
          </w:tcPr>
          <w:p w14:paraId="45CB552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48F670E"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C715768" w14:textId="77777777" w:rsidR="0074216D" w:rsidRDefault="0074216D">
            <w:pPr>
              <w:cnfStyle w:val="000000000000" w:firstRow="0" w:lastRow="0" w:firstColumn="0" w:lastColumn="0" w:oddVBand="0" w:evenVBand="0" w:oddHBand="0" w:evenHBand="0" w:firstRowFirstColumn="0" w:firstRowLastColumn="0" w:lastRowFirstColumn="0" w:lastRowLastColumn="0"/>
            </w:pPr>
            <w:r>
              <w:t>76</w:t>
            </w:r>
          </w:p>
        </w:tc>
        <w:tc>
          <w:tcPr>
            <w:tcW w:w="964" w:type="dxa"/>
          </w:tcPr>
          <w:p w14:paraId="13330A06"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8144878" w14:textId="77777777" w:rsidR="0074216D" w:rsidRDefault="0074216D">
            <w:pPr>
              <w:cnfStyle w:val="000000000000" w:firstRow="0" w:lastRow="0" w:firstColumn="0" w:lastColumn="0" w:oddVBand="0" w:evenVBand="0" w:oddHBand="0" w:evenHBand="0" w:firstRowFirstColumn="0" w:firstRowLastColumn="0" w:lastRowFirstColumn="0" w:lastRowLastColumn="0"/>
            </w:pPr>
            <w:r>
              <w:t>76</w:t>
            </w:r>
          </w:p>
        </w:tc>
      </w:tr>
      <w:tr w:rsidR="0074216D" w14:paraId="2C9F388E"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232716" w14:textId="5F737516" w:rsidR="0074216D" w:rsidRDefault="0074216D">
            <w:pPr>
              <w:ind w:left="170"/>
            </w:pPr>
            <w:r>
              <w:rPr>
                <w:i/>
              </w:rPr>
              <w:t>The 2025-26 expected outcome is lower than target</w:t>
            </w:r>
            <w:r w:rsidR="006B5A7D">
              <w:rPr>
                <w:i/>
              </w:rPr>
              <w:t xml:space="preserve"> due to ongoing work being required to improve customer experience of services</w:t>
            </w:r>
            <w:r>
              <w:rPr>
                <w:i/>
              </w:rPr>
              <w:t xml:space="preserve">. </w:t>
            </w:r>
            <w:r w:rsidR="00A20A3F">
              <w:rPr>
                <w:i/>
              </w:rPr>
              <w:t>T</w:t>
            </w:r>
            <w:r>
              <w:rPr>
                <w:i/>
              </w:rPr>
              <w:t>he Department will continue to work with services to improve consumer experience as part of mental health reforms.</w:t>
            </w:r>
            <w:r w:rsidR="008A3024">
              <w:rPr>
                <w:i/>
              </w:rPr>
              <w:t xml:space="preserve"> This is expected to contribute to a more positive outcome in the future.</w:t>
            </w:r>
          </w:p>
        </w:tc>
      </w:tr>
      <w:tr w:rsidR="0074216D" w14:paraId="3B3D8650"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734976F3" w14:textId="77777777" w:rsidR="0074216D" w:rsidRDefault="0074216D">
            <w:pPr>
              <w:keepNext/>
              <w:ind w:left="170"/>
            </w:pPr>
            <w:r>
              <w:t>Percentage of mental health-related emergency department presentations with a length of stay of less than 4 hours</w:t>
            </w:r>
          </w:p>
        </w:tc>
        <w:tc>
          <w:tcPr>
            <w:tcW w:w="964" w:type="dxa"/>
          </w:tcPr>
          <w:p w14:paraId="6465408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B69B624" w14:textId="77777777" w:rsidR="0074216D" w:rsidRDefault="0074216D">
            <w:pPr>
              <w:cnfStyle w:val="000000000000" w:firstRow="0" w:lastRow="0" w:firstColumn="0" w:lastColumn="0" w:oddVBand="0" w:evenVBand="0" w:oddHBand="0" w:evenHBand="0" w:firstRowFirstColumn="0" w:firstRowLastColumn="0" w:lastRowFirstColumn="0" w:lastRowLastColumn="0"/>
            </w:pPr>
            <w:r>
              <w:t>81</w:t>
            </w:r>
          </w:p>
        </w:tc>
        <w:tc>
          <w:tcPr>
            <w:tcW w:w="964" w:type="dxa"/>
          </w:tcPr>
          <w:p w14:paraId="417D4BE9" w14:textId="77777777" w:rsidR="0074216D" w:rsidRDefault="0074216D">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7ED5F265" w14:textId="77777777" w:rsidR="0074216D" w:rsidRDefault="0074216D">
            <w:pPr>
              <w:cnfStyle w:val="000000000000" w:firstRow="0" w:lastRow="0" w:firstColumn="0" w:lastColumn="0" w:oddVBand="0" w:evenVBand="0" w:oddHBand="0" w:evenHBand="0" w:firstRowFirstColumn="0" w:firstRowLastColumn="0" w:lastRowFirstColumn="0" w:lastRowLastColumn="0"/>
            </w:pPr>
            <w:r>
              <w:t>81</w:t>
            </w:r>
          </w:p>
        </w:tc>
        <w:tc>
          <w:tcPr>
            <w:tcW w:w="964" w:type="dxa"/>
          </w:tcPr>
          <w:p w14:paraId="70C11B34" w14:textId="77777777" w:rsidR="0074216D" w:rsidRDefault="0074216D">
            <w:pPr>
              <w:cnfStyle w:val="000000000000" w:firstRow="0" w:lastRow="0" w:firstColumn="0" w:lastColumn="0" w:oddVBand="0" w:evenVBand="0" w:oddHBand="0" w:evenHBand="0" w:firstRowFirstColumn="0" w:firstRowLastColumn="0" w:lastRowFirstColumn="0" w:lastRowLastColumn="0"/>
            </w:pPr>
            <w:r>
              <w:t>43</w:t>
            </w:r>
          </w:p>
        </w:tc>
      </w:tr>
      <w:tr w:rsidR="0074216D" w14:paraId="0B43EE75"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567E9C" w14:textId="77777777" w:rsidR="0074216D" w:rsidRDefault="0074216D">
            <w:pPr>
              <w:ind w:left="170"/>
            </w:pPr>
            <w:r>
              <w:rPr>
                <w:i/>
              </w:rPr>
              <w:t>The 2025-26 expected outcome is lower than the target due to multiple operational factors and strong demand for acute mental health care.</w:t>
            </w:r>
          </w:p>
        </w:tc>
      </w:tr>
      <w:tr w:rsidR="0074216D" w14:paraId="13DBD71F"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481FB26E" w14:textId="77777777" w:rsidR="0074216D" w:rsidRDefault="0074216D">
            <w:pPr>
              <w:keepNext/>
              <w:ind w:left="170"/>
            </w:pPr>
            <w:r>
              <w:t>Percentage of new consumers accessing services (with no access in prior five years)</w:t>
            </w:r>
          </w:p>
        </w:tc>
        <w:tc>
          <w:tcPr>
            <w:tcW w:w="964" w:type="dxa"/>
          </w:tcPr>
          <w:p w14:paraId="030CFB1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409154B" w14:textId="77777777" w:rsidR="0074216D" w:rsidRDefault="0074216D">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0B82AEBA" w14:textId="77777777" w:rsidR="0074216D" w:rsidRDefault="0074216D">
            <w:pPr>
              <w:cnfStyle w:val="000000000000" w:firstRow="0" w:lastRow="0" w:firstColumn="0" w:lastColumn="0" w:oddVBand="0" w:evenVBand="0" w:oddHBand="0" w:evenHBand="0" w:firstRowFirstColumn="0" w:firstRowLastColumn="0" w:lastRowFirstColumn="0" w:lastRowLastColumn="0"/>
            </w:pPr>
            <w:r>
              <w:t>37</w:t>
            </w:r>
          </w:p>
        </w:tc>
        <w:tc>
          <w:tcPr>
            <w:tcW w:w="964" w:type="dxa"/>
          </w:tcPr>
          <w:p w14:paraId="2F75BCD6" w14:textId="77777777" w:rsidR="0074216D" w:rsidRDefault="0074216D">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52DA181C" w14:textId="77777777" w:rsidR="0074216D" w:rsidRDefault="0074216D">
            <w:pPr>
              <w:cnfStyle w:val="000000000000" w:firstRow="0" w:lastRow="0" w:firstColumn="0" w:lastColumn="0" w:oddVBand="0" w:evenVBand="0" w:oddHBand="0" w:evenHBand="0" w:firstRowFirstColumn="0" w:firstRowLastColumn="0" w:lastRowFirstColumn="0" w:lastRowLastColumn="0"/>
            </w:pPr>
            <w:r>
              <w:t>37</w:t>
            </w:r>
          </w:p>
        </w:tc>
      </w:tr>
      <w:tr w:rsidR="0074216D" w14:paraId="52782459"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3D877C8" w14:textId="77777777" w:rsidR="0074216D" w:rsidRDefault="0074216D">
            <w:pPr>
              <w:ind w:left="170"/>
            </w:pPr>
            <w:r>
              <w:rPr>
                <w:i/>
              </w:rPr>
              <w:t>The 2025-26 expected outcome is impacted by the increased number of complex consumers requiring intensive and ongoing periods of care.</w:t>
            </w:r>
          </w:p>
        </w:tc>
      </w:tr>
      <w:tr w:rsidR="0074216D" w14:paraId="2E235F3E"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66174B5D" w14:textId="77777777" w:rsidR="0074216D" w:rsidRDefault="0074216D">
            <w:pPr>
              <w:keepNext/>
              <w:ind w:left="170"/>
            </w:pPr>
            <w:r>
              <w:t>Percentage of re-admissions within 28 days of separation – inpatient (adult)</w:t>
            </w:r>
          </w:p>
        </w:tc>
        <w:tc>
          <w:tcPr>
            <w:tcW w:w="964" w:type="dxa"/>
          </w:tcPr>
          <w:p w14:paraId="26B3113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EA944ED" w14:textId="77777777" w:rsidR="0074216D" w:rsidRDefault="0074216D">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7EC603EC" w14:textId="77777777" w:rsidR="0074216D" w:rsidRDefault="0074216D">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0D916E0C" w14:textId="77777777" w:rsidR="0074216D" w:rsidRDefault="0074216D">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1F3778D6" w14:textId="77777777" w:rsidR="0074216D" w:rsidRDefault="0074216D">
            <w:pPr>
              <w:cnfStyle w:val="000000000000" w:firstRow="0" w:lastRow="0" w:firstColumn="0" w:lastColumn="0" w:oddVBand="0" w:evenVBand="0" w:oddHBand="0" w:evenHBand="0" w:firstRowFirstColumn="0" w:firstRowLastColumn="0" w:lastRowFirstColumn="0" w:lastRowLastColumn="0"/>
            </w:pPr>
            <w:r>
              <w:t>13</w:t>
            </w:r>
          </w:p>
        </w:tc>
      </w:tr>
      <w:tr w:rsidR="0074216D" w14:paraId="71A040E3"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E099B87" w14:textId="77777777" w:rsidR="0074216D" w:rsidRDefault="0074216D">
            <w:pPr>
              <w:ind w:left="170"/>
            </w:pPr>
            <w:r>
              <w:rPr>
                <w:i/>
              </w:rPr>
              <w:t xml:space="preserve">The 2025-26 expected outcome is lower than the target as a result of increased availability of community mental health services to support people following an admission. </w:t>
            </w:r>
          </w:p>
        </w:tc>
      </w:tr>
      <w:tr w:rsidR="0074216D" w14:paraId="28B8ECC4" w14:textId="77777777" w:rsidTr="002B0C7C">
        <w:trPr>
          <w:trHeight w:val="322"/>
        </w:trPr>
        <w:tc>
          <w:tcPr>
            <w:cnfStyle w:val="001000000000" w:firstRow="0" w:lastRow="0" w:firstColumn="1" w:lastColumn="0" w:oddVBand="0" w:evenVBand="0" w:oddHBand="0" w:evenHBand="0" w:firstRowFirstColumn="0" w:firstRowLastColumn="0" w:lastRowFirstColumn="0" w:lastRowLastColumn="0"/>
            <w:tcW w:w="4819" w:type="dxa"/>
          </w:tcPr>
          <w:p w14:paraId="2BE6432C" w14:textId="77777777" w:rsidR="0074216D" w:rsidRDefault="0074216D">
            <w:pPr>
              <w:keepNext/>
              <w:ind w:left="170"/>
            </w:pPr>
            <w:r>
              <w:t>Percentage of re-admissions within 28 days of separation – inpatient (CAMHS)</w:t>
            </w:r>
          </w:p>
        </w:tc>
        <w:tc>
          <w:tcPr>
            <w:tcW w:w="964" w:type="dxa"/>
          </w:tcPr>
          <w:p w14:paraId="3BABA87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36A5031" w14:textId="77777777" w:rsidR="0074216D" w:rsidRDefault="0074216D">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609350C6" w14:textId="77777777" w:rsidR="0074216D" w:rsidRDefault="0074216D">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0E8EA821" w14:textId="77777777" w:rsidR="0074216D" w:rsidRDefault="0074216D">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11D4B88E" w14:textId="77777777" w:rsidR="0074216D" w:rsidRDefault="0074216D">
            <w:pPr>
              <w:cnfStyle w:val="000000000000" w:firstRow="0" w:lastRow="0" w:firstColumn="0" w:lastColumn="0" w:oddVBand="0" w:evenVBand="0" w:oddHBand="0" w:evenHBand="0" w:firstRowFirstColumn="0" w:firstRowLastColumn="0" w:lastRowFirstColumn="0" w:lastRowLastColumn="0"/>
            </w:pPr>
            <w:r>
              <w:t>18</w:t>
            </w:r>
          </w:p>
        </w:tc>
      </w:tr>
      <w:tr w:rsidR="0074216D" w14:paraId="4C0CF4EF"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5FD220" w14:textId="77777777" w:rsidR="0074216D" w:rsidRDefault="0074216D">
            <w:pPr>
              <w:ind w:left="170"/>
            </w:pPr>
            <w:r>
              <w:rPr>
                <w:i/>
              </w:rPr>
              <w:t>The 2025-26 expected outcome is higher than the target, which is driven by a small number of complex consumers requiring frequent and often planned readmissions.</w:t>
            </w:r>
          </w:p>
        </w:tc>
      </w:tr>
      <w:tr w:rsidR="0074216D" w14:paraId="46DDDA8E"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81D5077" w14:textId="77777777" w:rsidR="0074216D" w:rsidRDefault="0074216D">
            <w:pPr>
              <w:ind w:left="170"/>
            </w:pPr>
            <w:r>
              <w:t>Percentage of re-admissions within 28 days of separation – inpatient (older persons)</w:t>
            </w:r>
          </w:p>
        </w:tc>
        <w:tc>
          <w:tcPr>
            <w:tcW w:w="964" w:type="dxa"/>
            <w:tcBorders>
              <w:bottom w:val="single" w:sz="6" w:space="0" w:color="auto"/>
            </w:tcBorders>
          </w:tcPr>
          <w:p w14:paraId="07A49E5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15ABFBA" w14:textId="77777777" w:rsidR="0074216D" w:rsidRDefault="0074216D">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217A19CA" w14:textId="77777777" w:rsidR="0074216D" w:rsidRDefault="0074216D">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643C1E57" w14:textId="77777777" w:rsidR="0074216D" w:rsidRDefault="0074216D">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7164E624" w14:textId="77777777" w:rsidR="0074216D" w:rsidRDefault="0074216D">
            <w:pPr>
              <w:cnfStyle w:val="000000000000" w:firstRow="0" w:lastRow="0" w:firstColumn="0" w:lastColumn="0" w:oddVBand="0" w:evenVBand="0" w:oddHBand="0" w:evenHBand="0" w:firstRowFirstColumn="0" w:firstRowLastColumn="0" w:lastRowFirstColumn="0" w:lastRowLastColumn="0"/>
            </w:pPr>
            <w:r>
              <w:t>7</w:t>
            </w:r>
          </w:p>
        </w:tc>
      </w:tr>
      <w:tr w:rsidR="0074216D" w14:paraId="0D1831D9"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48164D95" w14:textId="77777777" w:rsidR="0074216D" w:rsidRDefault="0074216D">
            <w:pPr>
              <w:keepNext/>
              <w:ind w:left="170"/>
            </w:pPr>
            <w:r>
              <w:t>Rate of seclusion episodes per 1 000 occupied bed days – inpatient (CAMHS)</w:t>
            </w:r>
          </w:p>
        </w:tc>
        <w:tc>
          <w:tcPr>
            <w:tcW w:w="964" w:type="dxa"/>
          </w:tcPr>
          <w:p w14:paraId="1AAB185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shd w:val="clear" w:color="auto" w:fill="F0F0F0"/>
          </w:tcPr>
          <w:p w14:paraId="30D242FC" w14:textId="77777777" w:rsidR="0074216D" w:rsidRDefault="0074216D">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0D6094EB" w14:textId="77777777" w:rsidR="0074216D" w:rsidRDefault="0074216D">
            <w:pPr>
              <w:cnfStyle w:val="000000000000" w:firstRow="0" w:lastRow="0" w:firstColumn="0" w:lastColumn="0" w:oddVBand="0" w:evenVBand="0" w:oddHBand="0" w:evenHBand="0" w:firstRowFirstColumn="0" w:firstRowLastColumn="0" w:lastRowFirstColumn="0" w:lastRowLastColumn="0"/>
            </w:pPr>
            <w:r>
              <w:t>21.6</w:t>
            </w:r>
          </w:p>
        </w:tc>
        <w:tc>
          <w:tcPr>
            <w:tcW w:w="964" w:type="dxa"/>
          </w:tcPr>
          <w:p w14:paraId="4D3DA6E7" w14:textId="77777777" w:rsidR="0074216D" w:rsidRDefault="0074216D">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5138DA36" w14:textId="77777777" w:rsidR="0074216D" w:rsidRDefault="0074216D">
            <w:pPr>
              <w:cnfStyle w:val="000000000000" w:firstRow="0" w:lastRow="0" w:firstColumn="0" w:lastColumn="0" w:oddVBand="0" w:evenVBand="0" w:oddHBand="0" w:evenHBand="0" w:firstRowFirstColumn="0" w:firstRowLastColumn="0" w:lastRowFirstColumn="0" w:lastRowLastColumn="0"/>
            </w:pPr>
            <w:r>
              <w:t>9.3</w:t>
            </w:r>
          </w:p>
        </w:tc>
      </w:tr>
      <w:tr w:rsidR="0074216D" w14:paraId="62102FBE"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3CF858" w14:textId="77777777" w:rsidR="0074216D" w:rsidRDefault="0074216D">
            <w:pPr>
              <w:ind w:left="170"/>
            </w:pPr>
            <w:r>
              <w:rPr>
                <w:i/>
              </w:rPr>
              <w:t>The 2025-26 expected outcome is higher than the target due to a small number of complex young consumers and increased acuity.</w:t>
            </w:r>
          </w:p>
        </w:tc>
      </w:tr>
      <w:tr w:rsidR="0074216D" w14:paraId="72AA383C"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22047BE5" w14:textId="77777777" w:rsidR="0074216D" w:rsidRDefault="0074216D">
            <w:pPr>
              <w:keepNext/>
              <w:ind w:left="170"/>
            </w:pPr>
            <w:r>
              <w:lastRenderedPageBreak/>
              <w:t>Rate of seclusion episodes per 1 000 occupied bed days – inpatient (adult and forensic)</w:t>
            </w:r>
          </w:p>
        </w:tc>
        <w:tc>
          <w:tcPr>
            <w:tcW w:w="964" w:type="dxa"/>
          </w:tcPr>
          <w:p w14:paraId="2111BAF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shd w:val="clear" w:color="auto" w:fill="F0F0F0"/>
          </w:tcPr>
          <w:p w14:paraId="403D4C40" w14:textId="77777777" w:rsidR="0074216D" w:rsidRDefault="0074216D">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0AA2FC89" w14:textId="77777777" w:rsidR="0074216D" w:rsidRDefault="0074216D">
            <w:pPr>
              <w:cnfStyle w:val="000000000000" w:firstRow="0" w:lastRow="0" w:firstColumn="0" w:lastColumn="0" w:oddVBand="0" w:evenVBand="0" w:oddHBand="0" w:evenHBand="0" w:firstRowFirstColumn="0" w:firstRowLastColumn="0" w:lastRowFirstColumn="0" w:lastRowLastColumn="0"/>
            </w:pPr>
            <w:r>
              <w:t>12.6</w:t>
            </w:r>
          </w:p>
        </w:tc>
        <w:tc>
          <w:tcPr>
            <w:tcW w:w="964" w:type="dxa"/>
          </w:tcPr>
          <w:p w14:paraId="29BEB99C" w14:textId="77777777" w:rsidR="0074216D" w:rsidRDefault="0074216D">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14E36519" w14:textId="77777777" w:rsidR="0074216D" w:rsidRDefault="0074216D">
            <w:pPr>
              <w:cnfStyle w:val="000000000000" w:firstRow="0" w:lastRow="0" w:firstColumn="0" w:lastColumn="0" w:oddVBand="0" w:evenVBand="0" w:oddHBand="0" w:evenHBand="0" w:firstRowFirstColumn="0" w:firstRowLastColumn="0" w:lastRowFirstColumn="0" w:lastRowLastColumn="0"/>
            </w:pPr>
            <w:r>
              <w:t>10.7</w:t>
            </w:r>
          </w:p>
        </w:tc>
      </w:tr>
      <w:tr w:rsidR="0074216D" w14:paraId="30463520"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3C52EE" w14:textId="77777777" w:rsidR="0074216D" w:rsidRDefault="0074216D">
            <w:pPr>
              <w:ind w:left="170"/>
            </w:pPr>
            <w:r>
              <w:rPr>
                <w:i/>
              </w:rPr>
              <w:t>The 2025-26 expected outcome is higher than target due to a small cohort of complex consumers.</w:t>
            </w:r>
          </w:p>
        </w:tc>
      </w:tr>
      <w:tr w:rsidR="0074216D" w14:paraId="78CB66A2"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1070DD1A" w14:textId="77777777" w:rsidR="0074216D" w:rsidRDefault="0074216D">
            <w:pPr>
              <w:keepNext/>
              <w:ind w:left="170"/>
            </w:pPr>
            <w:r>
              <w:t>Rate of seclusion episodes per 1 000 occupied bed days – inpatient (older persons)</w:t>
            </w:r>
          </w:p>
        </w:tc>
        <w:tc>
          <w:tcPr>
            <w:tcW w:w="964" w:type="dxa"/>
          </w:tcPr>
          <w:p w14:paraId="54DEE51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w:t>
            </w:r>
          </w:p>
        </w:tc>
        <w:tc>
          <w:tcPr>
            <w:tcW w:w="964" w:type="dxa"/>
            <w:shd w:val="clear" w:color="auto" w:fill="F0F0F0"/>
          </w:tcPr>
          <w:p w14:paraId="0606A6FA" w14:textId="77777777" w:rsidR="0074216D" w:rsidRDefault="0074216D">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48408A94" w14:textId="77777777" w:rsidR="0074216D" w:rsidRDefault="0074216D">
            <w:pPr>
              <w:cnfStyle w:val="000000000000" w:firstRow="0" w:lastRow="0" w:firstColumn="0" w:lastColumn="0" w:oddVBand="0" w:evenVBand="0" w:oddHBand="0" w:evenHBand="0" w:firstRowFirstColumn="0" w:firstRowLastColumn="0" w:lastRowFirstColumn="0" w:lastRowLastColumn="0"/>
            </w:pPr>
            <w:r>
              <w:t>0.4</w:t>
            </w:r>
          </w:p>
        </w:tc>
        <w:tc>
          <w:tcPr>
            <w:tcW w:w="964" w:type="dxa"/>
          </w:tcPr>
          <w:p w14:paraId="6F112DB9" w14:textId="77777777" w:rsidR="0074216D" w:rsidRDefault="0074216D">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011409DF" w14:textId="77777777" w:rsidR="0074216D" w:rsidRDefault="0074216D">
            <w:pPr>
              <w:cnfStyle w:val="000000000000" w:firstRow="0" w:lastRow="0" w:firstColumn="0" w:lastColumn="0" w:oddVBand="0" w:evenVBand="0" w:oddHBand="0" w:evenHBand="0" w:firstRowFirstColumn="0" w:firstRowLastColumn="0" w:lastRowFirstColumn="0" w:lastRowLastColumn="0"/>
            </w:pPr>
            <w:r>
              <w:t>0.4</w:t>
            </w:r>
          </w:p>
        </w:tc>
      </w:tr>
      <w:tr w:rsidR="0074216D" w14:paraId="18C95DF8"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2D3EA7" w14:textId="77777777" w:rsidR="0074216D" w:rsidRDefault="0074216D">
            <w:pPr>
              <w:ind w:left="170"/>
            </w:pPr>
            <w:r>
              <w:rPr>
                <w:i/>
              </w:rPr>
              <w:t>The 2025-26 expected outcome is lower than target indicating services are successfully working towards eliminating restrictive interventions.</w:t>
            </w:r>
          </w:p>
        </w:tc>
      </w:tr>
      <w:tr w:rsidR="0074216D" w14:paraId="6646DB68"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Pr>
          <w:p w14:paraId="0026A9A5" w14:textId="77777777" w:rsidR="0074216D" w:rsidRPr="005314E1" w:rsidRDefault="0074216D">
            <w:pPr>
              <w:keepNext/>
              <w:rPr>
                <w:b/>
              </w:rPr>
            </w:pPr>
            <w:r w:rsidRPr="005314E1">
              <w:rPr>
                <w:b/>
              </w:rPr>
              <w:t>Timeliness</w:t>
            </w:r>
          </w:p>
        </w:tc>
      </w:tr>
      <w:tr w:rsidR="0074216D" w14:paraId="6D3F71BB"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475C1506" w14:textId="77777777" w:rsidR="0074216D" w:rsidRDefault="0074216D">
            <w:pPr>
              <w:keepNext/>
              <w:ind w:left="170"/>
            </w:pPr>
            <w:r>
              <w:t>Percentage of departures from emergency departments to a mental health bed within 8 hours</w:t>
            </w:r>
          </w:p>
        </w:tc>
        <w:tc>
          <w:tcPr>
            <w:tcW w:w="964" w:type="dxa"/>
            <w:tcBorders>
              <w:bottom w:val="nil"/>
            </w:tcBorders>
          </w:tcPr>
          <w:p w14:paraId="329F732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A116F31"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79E38456" w14:textId="77777777" w:rsidR="0074216D" w:rsidRDefault="0074216D">
            <w:pPr>
              <w:cnfStyle w:val="000000000000" w:firstRow="0" w:lastRow="0" w:firstColumn="0" w:lastColumn="0" w:oddVBand="0" w:evenVBand="0" w:oddHBand="0" w:evenHBand="0" w:firstRowFirstColumn="0" w:firstRowLastColumn="0" w:lastRowFirstColumn="0" w:lastRowLastColumn="0"/>
            </w:pPr>
            <w:r>
              <w:t>49</w:t>
            </w:r>
          </w:p>
        </w:tc>
        <w:tc>
          <w:tcPr>
            <w:tcW w:w="964" w:type="dxa"/>
            <w:tcBorders>
              <w:bottom w:val="nil"/>
            </w:tcBorders>
          </w:tcPr>
          <w:p w14:paraId="2858D9C5" w14:textId="77777777" w:rsidR="0074216D" w:rsidRDefault="0074216D">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73A71E39" w14:textId="77777777" w:rsidR="0074216D" w:rsidRDefault="0074216D">
            <w:pPr>
              <w:cnfStyle w:val="000000000000" w:firstRow="0" w:lastRow="0" w:firstColumn="0" w:lastColumn="0" w:oddVBand="0" w:evenVBand="0" w:oddHBand="0" w:evenHBand="0" w:firstRowFirstColumn="0" w:firstRowLastColumn="0" w:lastRowFirstColumn="0" w:lastRowLastColumn="0"/>
            </w:pPr>
            <w:r>
              <w:t>46</w:t>
            </w:r>
          </w:p>
        </w:tc>
      </w:tr>
      <w:tr w:rsidR="0074216D" w14:paraId="7AE3856D"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FB0B0B" w14:textId="77777777" w:rsidR="0074216D" w:rsidRDefault="0074216D">
            <w:pPr>
              <w:ind w:left="170"/>
            </w:pPr>
            <w:r w:rsidRPr="00691CEC">
              <w:rPr>
                <w:i/>
              </w:rPr>
              <w:t>The 2025-26 expected outcome is lower than the target due to multiple operational factors and strong demand for acute mental health care.</w:t>
            </w:r>
          </w:p>
        </w:tc>
      </w:tr>
      <w:tr w:rsidR="0074216D" w14:paraId="7EF5876C"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5829E0A" w14:textId="77777777" w:rsidR="0074216D" w:rsidRPr="005314E1" w:rsidRDefault="0074216D">
            <w:pPr>
              <w:rPr>
                <w:b/>
              </w:rPr>
            </w:pPr>
            <w:r w:rsidRPr="005314E1">
              <w:rPr>
                <w:b/>
              </w:rPr>
              <w:t>Cost</w:t>
            </w:r>
          </w:p>
        </w:tc>
      </w:tr>
      <w:tr w:rsidR="0074216D" w14:paraId="7D471D11" w14:textId="77777777" w:rsidTr="002B0C7C">
        <w:tc>
          <w:tcPr>
            <w:cnfStyle w:val="001000000000" w:firstRow="0" w:lastRow="0" w:firstColumn="1" w:lastColumn="0" w:oddVBand="0" w:evenVBand="0" w:oddHBand="0" w:evenHBand="0" w:firstRowFirstColumn="0" w:firstRowLastColumn="0" w:lastRowFirstColumn="0" w:lastRowLastColumn="0"/>
            <w:tcW w:w="4819" w:type="dxa"/>
          </w:tcPr>
          <w:p w14:paraId="2C59375E" w14:textId="77777777" w:rsidR="0074216D" w:rsidRDefault="0074216D">
            <w:pPr>
              <w:keepNext/>
              <w:ind w:left="170"/>
            </w:pPr>
            <w:r>
              <w:t>Total output cost</w:t>
            </w:r>
          </w:p>
        </w:tc>
        <w:tc>
          <w:tcPr>
            <w:tcW w:w="964" w:type="dxa"/>
          </w:tcPr>
          <w:p w14:paraId="75ADD1C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856E90A"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6E0DAB">
              <w:t>3 013.4</w:t>
            </w:r>
          </w:p>
        </w:tc>
        <w:tc>
          <w:tcPr>
            <w:tcW w:w="964" w:type="dxa"/>
          </w:tcPr>
          <w:p w14:paraId="2936DB68"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6E0DAB">
              <w:t>2 998.8</w:t>
            </w:r>
          </w:p>
        </w:tc>
        <w:tc>
          <w:tcPr>
            <w:tcW w:w="964" w:type="dxa"/>
          </w:tcPr>
          <w:p w14:paraId="388BF627"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6E0DAB">
              <w:t>2 828.9</w:t>
            </w:r>
          </w:p>
        </w:tc>
        <w:tc>
          <w:tcPr>
            <w:tcW w:w="964" w:type="dxa"/>
          </w:tcPr>
          <w:p w14:paraId="6C6F1A0C"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6E0DAB">
              <w:t>2 800.4</w:t>
            </w:r>
          </w:p>
        </w:tc>
      </w:tr>
      <w:tr w:rsidR="0074216D" w14:paraId="3C7216E3"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Pr>
          <w:p w14:paraId="2C3305CB" w14:textId="77777777" w:rsidR="0074216D" w:rsidRPr="00A33A8B" w:rsidRDefault="0074216D">
            <w:pPr>
              <w:keepNext/>
              <w:ind w:left="170"/>
              <w:rPr>
                <w:i/>
                <w:iCs/>
              </w:rPr>
            </w:pPr>
            <w:r w:rsidRPr="00D3038E">
              <w:rPr>
                <w:i/>
                <w:iCs/>
              </w:rPr>
              <w:t xml:space="preserve">The higher 2025-26 expected outcome </w:t>
            </w:r>
            <w:r w:rsidRPr="004A63F8">
              <w:rPr>
                <w:i/>
                <w:iCs/>
              </w:rPr>
              <w:t>reflects</w:t>
            </w:r>
            <w:r w:rsidRPr="00D3038E">
              <w:rPr>
                <w:i/>
                <w:iCs/>
              </w:rPr>
              <w:t xml:space="preserve"> funding adjustments for enterprise bargaining agreements and a revision to estimated hospital revenue.</w:t>
            </w:r>
          </w:p>
        </w:tc>
      </w:tr>
      <w:tr w:rsidR="0074216D" w14:paraId="0718AE37"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Pr>
          <w:p w14:paraId="7FE4C9A5" w14:textId="0F3BA3F1" w:rsidR="0074216D" w:rsidRDefault="0074216D">
            <w:pPr>
              <w:keepNext/>
              <w:ind w:left="170"/>
            </w:pPr>
            <w:r w:rsidRPr="00D3038E">
              <w:rPr>
                <w:i/>
                <w:iCs/>
              </w:rPr>
              <w:t xml:space="preserve">The higher 2026-27 target is due primarily to </w:t>
            </w:r>
            <w:r w:rsidR="00EC2C67">
              <w:rPr>
                <w:i/>
                <w:iCs/>
              </w:rPr>
              <w:t>investment in</w:t>
            </w:r>
            <w:r w:rsidRPr="00D3038E">
              <w:rPr>
                <w:i/>
                <w:iCs/>
              </w:rPr>
              <w:t xml:space="preserve"> government policy initiatives.</w:t>
            </w:r>
          </w:p>
        </w:tc>
      </w:tr>
    </w:tbl>
    <w:p w14:paraId="58E01D6A" w14:textId="77777777" w:rsidR="0074216D" w:rsidRDefault="0074216D" w:rsidP="0074216D">
      <w:pPr>
        <w:pStyle w:val="Source"/>
      </w:pPr>
      <w:r>
        <w:t>Source: Department of Health</w:t>
      </w:r>
    </w:p>
    <w:p w14:paraId="28D55682" w14:textId="77777777" w:rsidR="0074216D" w:rsidRDefault="0074216D" w:rsidP="0074216D">
      <w:pPr>
        <w:pStyle w:val="Source"/>
      </w:pPr>
    </w:p>
    <w:p w14:paraId="1B647B64" w14:textId="50CFE03D" w:rsidR="0074216D" w:rsidRDefault="0074216D" w:rsidP="0074216D">
      <w:pPr>
        <w:pStyle w:val="Heading3"/>
      </w:pPr>
      <w:r>
        <w:t>Mental Health Community Support Services</w:t>
      </w:r>
      <w:r>
        <w:tab/>
        <w:t>(2026-27: $236.6 million)</w:t>
      </w:r>
    </w:p>
    <w:p w14:paraId="78DE6DB6" w14:textId="77777777" w:rsidR="0074216D" w:rsidRPr="000536BC" w:rsidRDefault="0074216D" w:rsidP="0074216D">
      <w:pPr>
        <w:spacing w:after="120"/>
        <w:rPr>
          <w:rFonts w:ascii="Garamond" w:hAnsi="Garamond"/>
          <w:lang w:eastAsia="en-AU"/>
        </w:rPr>
      </w:pPr>
      <w:r w:rsidRPr="00F37C26">
        <w:rPr>
          <w:rFonts w:ascii="Garamond" w:hAnsi="Garamond"/>
          <w:lang w:eastAsia="en-AU"/>
        </w:rPr>
        <w:t>A range of rehabilitation and support services provided to young people and adults</w:t>
      </w:r>
      <w:r w:rsidRPr="56633658">
        <w:rPr>
          <w:rFonts w:ascii="Garamond" w:hAnsi="Garamond"/>
          <w:lang w:eastAsia="en-AU"/>
        </w:rPr>
        <w:t xml:space="preserve"> with a psychiatric disability, and their </w:t>
      </w:r>
      <w:r>
        <w:t>families</w:t>
      </w:r>
      <w:r w:rsidRPr="56633658">
        <w:rPr>
          <w:rFonts w:ascii="Garamond" w:hAnsi="Garamond"/>
          <w:lang w:eastAsia="en-AU"/>
        </w:rPr>
        <w:t xml:space="preserve"> and carers, so that those experiencing mental health problems can access timely, high-quality care and support to recover in the community.</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6A0AF4A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823DCC7" w14:textId="77777777" w:rsidR="0074216D" w:rsidRDefault="0074216D">
            <w:r>
              <w:t>Performance measure</w:t>
            </w:r>
          </w:p>
        </w:tc>
        <w:tc>
          <w:tcPr>
            <w:tcW w:w="964" w:type="dxa"/>
          </w:tcPr>
          <w:p w14:paraId="62D962EE"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8B53DD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C126B32"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9A7544D"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359E09E"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77DB2F3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15869AF" w14:textId="77777777" w:rsidR="0074216D" w:rsidRPr="005314E1" w:rsidRDefault="0074216D">
            <w:pPr>
              <w:keepNext/>
              <w:rPr>
                <w:b/>
              </w:rPr>
            </w:pPr>
            <w:r w:rsidRPr="005314E1">
              <w:rPr>
                <w:b/>
              </w:rPr>
              <w:t>Quantity</w:t>
            </w:r>
          </w:p>
        </w:tc>
      </w:tr>
      <w:tr w:rsidR="0074216D" w14:paraId="42CB51DF" w14:textId="77777777">
        <w:tc>
          <w:tcPr>
            <w:cnfStyle w:val="001000000000" w:firstRow="0" w:lastRow="0" w:firstColumn="1" w:lastColumn="0" w:oddVBand="0" w:evenVBand="0" w:oddHBand="0" w:evenHBand="0" w:firstRowFirstColumn="0" w:firstRowLastColumn="0" w:lastRowFirstColumn="0" w:lastRowLastColumn="0"/>
            <w:tcW w:w="4819" w:type="dxa"/>
          </w:tcPr>
          <w:p w14:paraId="2EAE7C17" w14:textId="77777777" w:rsidR="0074216D" w:rsidRDefault="0074216D">
            <w:pPr>
              <w:keepNext/>
              <w:ind w:left="170"/>
            </w:pPr>
            <w:r>
              <w:t>Client support units provided by community mental health support services</w:t>
            </w:r>
          </w:p>
        </w:tc>
        <w:tc>
          <w:tcPr>
            <w:tcW w:w="964" w:type="dxa"/>
          </w:tcPr>
          <w:p w14:paraId="76DB399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33E7C9A" w14:textId="77777777" w:rsidR="0074216D" w:rsidRDefault="0074216D">
            <w:pPr>
              <w:cnfStyle w:val="000000000000" w:firstRow="0" w:lastRow="0" w:firstColumn="0" w:lastColumn="0" w:oddVBand="0" w:evenVBand="0" w:oddHBand="0" w:evenHBand="0" w:firstRowFirstColumn="0" w:firstRowLastColumn="0" w:lastRowFirstColumn="0" w:lastRowLastColumn="0"/>
            </w:pPr>
            <w:r>
              <w:t>750</w:t>
            </w:r>
          </w:p>
        </w:tc>
        <w:tc>
          <w:tcPr>
            <w:tcW w:w="964" w:type="dxa"/>
          </w:tcPr>
          <w:p w14:paraId="1F3EF2E5" w14:textId="77777777" w:rsidR="0074216D" w:rsidRDefault="0074216D">
            <w:pPr>
              <w:cnfStyle w:val="000000000000" w:firstRow="0" w:lastRow="0" w:firstColumn="0" w:lastColumn="0" w:oddVBand="0" w:evenVBand="0" w:oddHBand="0" w:evenHBand="0" w:firstRowFirstColumn="0" w:firstRowLastColumn="0" w:lastRowFirstColumn="0" w:lastRowLastColumn="0"/>
            </w:pPr>
            <w:r>
              <w:t>948</w:t>
            </w:r>
          </w:p>
        </w:tc>
        <w:tc>
          <w:tcPr>
            <w:tcW w:w="964" w:type="dxa"/>
          </w:tcPr>
          <w:p w14:paraId="4CF8F197" w14:textId="77777777" w:rsidR="0074216D" w:rsidRDefault="0074216D">
            <w:pPr>
              <w:cnfStyle w:val="000000000000" w:firstRow="0" w:lastRow="0" w:firstColumn="0" w:lastColumn="0" w:oddVBand="0" w:evenVBand="0" w:oddHBand="0" w:evenHBand="0" w:firstRowFirstColumn="0" w:firstRowLastColumn="0" w:lastRowFirstColumn="0" w:lastRowLastColumn="0"/>
            </w:pPr>
            <w:r>
              <w:t>600</w:t>
            </w:r>
          </w:p>
        </w:tc>
        <w:tc>
          <w:tcPr>
            <w:tcW w:w="964" w:type="dxa"/>
          </w:tcPr>
          <w:p w14:paraId="055902C1" w14:textId="77777777" w:rsidR="0074216D" w:rsidRDefault="0074216D">
            <w:pPr>
              <w:cnfStyle w:val="000000000000" w:firstRow="0" w:lastRow="0" w:firstColumn="0" w:lastColumn="0" w:oddVBand="0" w:evenVBand="0" w:oddHBand="0" w:evenHBand="0" w:firstRowFirstColumn="0" w:firstRowLastColumn="0" w:lastRowFirstColumn="0" w:lastRowLastColumn="0"/>
            </w:pPr>
            <w:r>
              <w:t>785</w:t>
            </w:r>
          </w:p>
        </w:tc>
      </w:tr>
      <w:tr w:rsidR="0074216D" w14:paraId="54F6C4B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D10B4DA" w14:textId="77777777" w:rsidR="0074216D" w:rsidRDefault="0074216D">
            <w:pPr>
              <w:ind w:left="170"/>
            </w:pPr>
            <w:r>
              <w:rPr>
                <w:i/>
              </w:rPr>
              <w:t xml:space="preserve">The 2025-26 expected outcome is higher than the target due to service demand and capacity. </w:t>
            </w:r>
          </w:p>
        </w:tc>
      </w:tr>
      <w:tr w:rsidR="0074216D" w14:paraId="4834C6A4" w14:textId="77777777">
        <w:tc>
          <w:tcPr>
            <w:cnfStyle w:val="001000000000" w:firstRow="0" w:lastRow="0" w:firstColumn="1" w:lastColumn="0" w:oddVBand="0" w:evenVBand="0" w:oddHBand="0" w:evenHBand="0" w:firstRowFirstColumn="0" w:firstRowLastColumn="0" w:lastRowFirstColumn="0" w:lastRowLastColumn="0"/>
            <w:tcW w:w="4819" w:type="dxa"/>
          </w:tcPr>
          <w:p w14:paraId="19E4AEAB" w14:textId="77777777" w:rsidR="0074216D" w:rsidRDefault="0074216D">
            <w:pPr>
              <w:keepNext/>
              <w:ind w:left="170"/>
            </w:pPr>
            <w:r>
              <w:t>Clients receiving community mental health support services</w:t>
            </w:r>
          </w:p>
        </w:tc>
        <w:tc>
          <w:tcPr>
            <w:tcW w:w="964" w:type="dxa"/>
          </w:tcPr>
          <w:p w14:paraId="750D8CF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E5DE70" w14:textId="77777777" w:rsidR="0074216D" w:rsidRDefault="0074216D">
            <w:pPr>
              <w:cnfStyle w:val="000000000000" w:firstRow="0" w:lastRow="0" w:firstColumn="0" w:lastColumn="0" w:oddVBand="0" w:evenVBand="0" w:oddHBand="0" w:evenHBand="0" w:firstRowFirstColumn="0" w:firstRowLastColumn="0" w:lastRowFirstColumn="0" w:lastRowLastColumn="0"/>
            </w:pPr>
            <w:r>
              <w:t>3 300</w:t>
            </w:r>
          </w:p>
        </w:tc>
        <w:tc>
          <w:tcPr>
            <w:tcW w:w="964" w:type="dxa"/>
          </w:tcPr>
          <w:p w14:paraId="44932828" w14:textId="77777777" w:rsidR="0074216D" w:rsidRDefault="0074216D">
            <w:pPr>
              <w:cnfStyle w:val="000000000000" w:firstRow="0" w:lastRow="0" w:firstColumn="0" w:lastColumn="0" w:oddVBand="0" w:evenVBand="0" w:oddHBand="0" w:evenHBand="0" w:firstRowFirstColumn="0" w:firstRowLastColumn="0" w:lastRowFirstColumn="0" w:lastRowLastColumn="0"/>
            </w:pPr>
            <w:r>
              <w:t>3 580</w:t>
            </w:r>
          </w:p>
        </w:tc>
        <w:tc>
          <w:tcPr>
            <w:tcW w:w="964" w:type="dxa"/>
          </w:tcPr>
          <w:p w14:paraId="5C786C95" w14:textId="77777777" w:rsidR="0074216D" w:rsidRDefault="0074216D">
            <w:pPr>
              <w:cnfStyle w:val="000000000000" w:firstRow="0" w:lastRow="0" w:firstColumn="0" w:lastColumn="0" w:oddVBand="0" w:evenVBand="0" w:oddHBand="0" w:evenHBand="0" w:firstRowFirstColumn="0" w:firstRowLastColumn="0" w:lastRowFirstColumn="0" w:lastRowLastColumn="0"/>
            </w:pPr>
            <w:r>
              <w:t>3 300</w:t>
            </w:r>
          </w:p>
        </w:tc>
        <w:tc>
          <w:tcPr>
            <w:tcW w:w="964" w:type="dxa"/>
          </w:tcPr>
          <w:p w14:paraId="12EA791B" w14:textId="77777777" w:rsidR="0074216D" w:rsidRDefault="0074216D">
            <w:pPr>
              <w:cnfStyle w:val="000000000000" w:firstRow="0" w:lastRow="0" w:firstColumn="0" w:lastColumn="0" w:oddVBand="0" w:evenVBand="0" w:oddHBand="0" w:evenHBand="0" w:firstRowFirstColumn="0" w:firstRowLastColumn="0" w:lastRowFirstColumn="0" w:lastRowLastColumn="0"/>
            </w:pPr>
            <w:r>
              <w:t>4 052</w:t>
            </w:r>
          </w:p>
        </w:tc>
      </w:tr>
      <w:tr w:rsidR="0074216D" w14:paraId="692A566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B56682" w14:textId="77777777" w:rsidR="0074216D" w:rsidRDefault="0074216D">
            <w:pPr>
              <w:ind w:left="170"/>
            </w:pPr>
            <w:r>
              <w:rPr>
                <w:i/>
              </w:rPr>
              <w:t xml:space="preserve">The 2025‑26 expected outcome is higher than the target, due to service demand and </w:t>
            </w:r>
            <w:r w:rsidRPr="00561192">
              <w:rPr>
                <w:i/>
              </w:rPr>
              <w:t>lower-than-expected number of clients transitioning to the NDIS</w:t>
            </w:r>
            <w:r>
              <w:rPr>
                <w:i/>
              </w:rPr>
              <w:t>.</w:t>
            </w:r>
          </w:p>
        </w:tc>
      </w:tr>
      <w:tr w:rsidR="0074216D" w14:paraId="432364C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8418AB5" w14:textId="349DB083" w:rsidR="0074216D" w:rsidRDefault="0074216D">
            <w:pPr>
              <w:ind w:left="170"/>
            </w:pPr>
            <w:r>
              <w:t>Mainstream Gambler</w:t>
            </w:r>
            <w:r w:rsidR="00324555">
              <w:t>’</w:t>
            </w:r>
            <w:r>
              <w:t>s Help client service hours provided by therapeutic and financial counselling activities</w:t>
            </w:r>
          </w:p>
        </w:tc>
        <w:tc>
          <w:tcPr>
            <w:tcW w:w="964" w:type="dxa"/>
            <w:tcBorders>
              <w:bottom w:val="single" w:sz="6" w:space="0" w:color="auto"/>
            </w:tcBorders>
          </w:tcPr>
          <w:p w14:paraId="2572FAB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70880AA" w14:textId="77777777" w:rsidR="0074216D" w:rsidRDefault="0074216D">
            <w:pPr>
              <w:cnfStyle w:val="000000000000" w:firstRow="0" w:lastRow="0" w:firstColumn="0" w:lastColumn="0" w:oddVBand="0" w:evenVBand="0" w:oddHBand="0" w:evenHBand="0" w:firstRowFirstColumn="0" w:firstRowLastColumn="0" w:lastRowFirstColumn="0" w:lastRowLastColumn="0"/>
            </w:pPr>
            <w:r>
              <w:t>75 400</w:t>
            </w:r>
          </w:p>
        </w:tc>
        <w:tc>
          <w:tcPr>
            <w:tcW w:w="964" w:type="dxa"/>
            <w:tcBorders>
              <w:bottom w:val="single" w:sz="6" w:space="0" w:color="auto"/>
            </w:tcBorders>
          </w:tcPr>
          <w:p w14:paraId="2C3CD938" w14:textId="77777777" w:rsidR="0074216D" w:rsidRDefault="0074216D">
            <w:pPr>
              <w:cnfStyle w:val="000000000000" w:firstRow="0" w:lastRow="0" w:firstColumn="0" w:lastColumn="0" w:oddVBand="0" w:evenVBand="0" w:oddHBand="0" w:evenHBand="0" w:firstRowFirstColumn="0" w:firstRowLastColumn="0" w:lastRowFirstColumn="0" w:lastRowLastColumn="0"/>
            </w:pPr>
            <w:r>
              <w:t>73 740</w:t>
            </w:r>
          </w:p>
        </w:tc>
        <w:tc>
          <w:tcPr>
            <w:tcW w:w="964" w:type="dxa"/>
            <w:tcBorders>
              <w:bottom w:val="single" w:sz="6" w:space="0" w:color="auto"/>
            </w:tcBorders>
          </w:tcPr>
          <w:p w14:paraId="3565FC8E" w14:textId="77777777" w:rsidR="0074216D" w:rsidRDefault="0074216D">
            <w:pPr>
              <w:cnfStyle w:val="000000000000" w:firstRow="0" w:lastRow="0" w:firstColumn="0" w:lastColumn="0" w:oddVBand="0" w:evenVBand="0" w:oddHBand="0" w:evenHBand="0" w:firstRowFirstColumn="0" w:firstRowLastColumn="0" w:lastRowFirstColumn="0" w:lastRowLastColumn="0"/>
            </w:pPr>
            <w:r>
              <w:t>75 400</w:t>
            </w:r>
          </w:p>
        </w:tc>
        <w:tc>
          <w:tcPr>
            <w:tcW w:w="964" w:type="dxa"/>
            <w:tcBorders>
              <w:bottom w:val="single" w:sz="6" w:space="0" w:color="auto"/>
            </w:tcBorders>
          </w:tcPr>
          <w:p w14:paraId="2496AACE" w14:textId="77777777" w:rsidR="0074216D" w:rsidRDefault="0074216D">
            <w:pPr>
              <w:cnfStyle w:val="000000000000" w:firstRow="0" w:lastRow="0" w:firstColumn="0" w:lastColumn="0" w:oddVBand="0" w:evenVBand="0" w:oddHBand="0" w:evenHBand="0" w:firstRowFirstColumn="0" w:firstRowLastColumn="0" w:lastRowFirstColumn="0" w:lastRowLastColumn="0"/>
            </w:pPr>
            <w:r>
              <w:t>72 997</w:t>
            </w:r>
          </w:p>
        </w:tc>
      </w:tr>
      <w:tr w:rsidR="0074216D" w14:paraId="3C53630D" w14:textId="77777777">
        <w:tc>
          <w:tcPr>
            <w:cnfStyle w:val="001000000000" w:firstRow="0" w:lastRow="0" w:firstColumn="1" w:lastColumn="0" w:oddVBand="0" w:evenVBand="0" w:oddHBand="0" w:evenHBand="0" w:firstRowFirstColumn="0" w:firstRowLastColumn="0" w:lastRowFirstColumn="0" w:lastRowLastColumn="0"/>
            <w:tcW w:w="4819" w:type="dxa"/>
          </w:tcPr>
          <w:p w14:paraId="3FDEB648" w14:textId="77777777" w:rsidR="0074216D" w:rsidRDefault="0074216D">
            <w:pPr>
              <w:keepNext/>
              <w:ind w:left="170"/>
            </w:pPr>
            <w:r>
              <w:t>Number of occupied bed days in community mental health support services providing residential services</w:t>
            </w:r>
          </w:p>
        </w:tc>
        <w:tc>
          <w:tcPr>
            <w:tcW w:w="964" w:type="dxa"/>
          </w:tcPr>
          <w:p w14:paraId="5E03CFA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3414DC5" w14:textId="77777777" w:rsidR="0074216D" w:rsidRDefault="0074216D">
            <w:pPr>
              <w:cnfStyle w:val="000000000000" w:firstRow="0" w:lastRow="0" w:firstColumn="0" w:lastColumn="0" w:oddVBand="0" w:evenVBand="0" w:oddHBand="0" w:evenHBand="0" w:firstRowFirstColumn="0" w:firstRowLastColumn="0" w:lastRowFirstColumn="0" w:lastRowLastColumn="0"/>
            </w:pPr>
            <w:r>
              <w:t>62 744</w:t>
            </w:r>
          </w:p>
        </w:tc>
        <w:tc>
          <w:tcPr>
            <w:tcW w:w="964" w:type="dxa"/>
          </w:tcPr>
          <w:p w14:paraId="0B516931" w14:textId="77777777" w:rsidR="0074216D" w:rsidRDefault="0074216D">
            <w:pPr>
              <w:cnfStyle w:val="000000000000" w:firstRow="0" w:lastRow="0" w:firstColumn="0" w:lastColumn="0" w:oddVBand="0" w:evenVBand="0" w:oddHBand="0" w:evenHBand="0" w:firstRowFirstColumn="0" w:firstRowLastColumn="0" w:lastRowFirstColumn="0" w:lastRowLastColumn="0"/>
            </w:pPr>
            <w:r>
              <w:t>52 092</w:t>
            </w:r>
          </w:p>
        </w:tc>
        <w:tc>
          <w:tcPr>
            <w:tcW w:w="964" w:type="dxa"/>
          </w:tcPr>
          <w:p w14:paraId="4D3D427C" w14:textId="77777777" w:rsidR="0074216D" w:rsidRDefault="0074216D">
            <w:pPr>
              <w:cnfStyle w:val="000000000000" w:firstRow="0" w:lastRow="0" w:firstColumn="0" w:lastColumn="0" w:oddVBand="0" w:evenVBand="0" w:oddHBand="0" w:evenHBand="0" w:firstRowFirstColumn="0" w:firstRowLastColumn="0" w:lastRowFirstColumn="0" w:lastRowLastColumn="0"/>
            </w:pPr>
            <w:r>
              <w:t>62 744</w:t>
            </w:r>
          </w:p>
        </w:tc>
        <w:tc>
          <w:tcPr>
            <w:tcW w:w="964" w:type="dxa"/>
          </w:tcPr>
          <w:p w14:paraId="422C660A" w14:textId="77777777" w:rsidR="0074216D" w:rsidRDefault="0074216D">
            <w:pPr>
              <w:cnfStyle w:val="000000000000" w:firstRow="0" w:lastRow="0" w:firstColumn="0" w:lastColumn="0" w:oddVBand="0" w:evenVBand="0" w:oddHBand="0" w:evenHBand="0" w:firstRowFirstColumn="0" w:firstRowLastColumn="0" w:lastRowFirstColumn="0" w:lastRowLastColumn="0"/>
            </w:pPr>
            <w:r>
              <w:t>54 318</w:t>
            </w:r>
          </w:p>
        </w:tc>
      </w:tr>
      <w:tr w:rsidR="0074216D" w14:paraId="6CC1B85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0BC642" w14:textId="77777777" w:rsidR="0074216D" w:rsidRDefault="0074216D">
            <w:pPr>
              <w:ind w:left="170"/>
            </w:pPr>
            <w:r>
              <w:rPr>
                <w:i/>
              </w:rPr>
              <w:t>The 2025‑26 expected outcome is lower than target and consistent with recent performance.</w:t>
            </w:r>
          </w:p>
        </w:tc>
      </w:tr>
      <w:tr w:rsidR="0074216D" w14:paraId="2AF8D59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C94D00" w14:textId="5338C924" w:rsidR="0074216D" w:rsidRDefault="0074216D">
            <w:pPr>
              <w:ind w:left="170"/>
            </w:pPr>
            <w:r>
              <w:t>Website visitation to gambling-related information and Gambler</w:t>
            </w:r>
            <w:r w:rsidR="00324555">
              <w:t>’</w:t>
            </w:r>
            <w:r>
              <w:t>s Help support services</w:t>
            </w:r>
          </w:p>
        </w:tc>
        <w:tc>
          <w:tcPr>
            <w:tcW w:w="964" w:type="dxa"/>
            <w:tcBorders>
              <w:bottom w:val="single" w:sz="6" w:space="0" w:color="auto"/>
            </w:tcBorders>
          </w:tcPr>
          <w:p w14:paraId="6B9BD4C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43F106A" w14:textId="77777777" w:rsidR="0074216D" w:rsidRDefault="0074216D">
            <w:pPr>
              <w:cnfStyle w:val="000000000000" w:firstRow="0" w:lastRow="0" w:firstColumn="0" w:lastColumn="0" w:oddVBand="0" w:evenVBand="0" w:oddHBand="0" w:evenHBand="0" w:firstRowFirstColumn="0" w:firstRowLastColumn="0" w:lastRowFirstColumn="0" w:lastRowLastColumn="0"/>
            </w:pPr>
            <w:r>
              <w:t>280 925</w:t>
            </w:r>
          </w:p>
        </w:tc>
        <w:tc>
          <w:tcPr>
            <w:tcW w:w="964" w:type="dxa"/>
            <w:tcBorders>
              <w:bottom w:val="single" w:sz="6" w:space="0" w:color="auto"/>
            </w:tcBorders>
          </w:tcPr>
          <w:p w14:paraId="126593D8" w14:textId="77777777" w:rsidR="0074216D" w:rsidRDefault="0074216D">
            <w:pPr>
              <w:cnfStyle w:val="000000000000" w:firstRow="0" w:lastRow="0" w:firstColumn="0" w:lastColumn="0" w:oddVBand="0" w:evenVBand="0" w:oddHBand="0" w:evenHBand="0" w:firstRowFirstColumn="0" w:firstRowLastColumn="0" w:lastRowFirstColumn="0" w:lastRowLastColumn="0"/>
            </w:pPr>
            <w:r>
              <w:t>280 925</w:t>
            </w:r>
          </w:p>
        </w:tc>
        <w:tc>
          <w:tcPr>
            <w:tcW w:w="964" w:type="dxa"/>
            <w:tcBorders>
              <w:bottom w:val="single" w:sz="6" w:space="0" w:color="auto"/>
            </w:tcBorders>
          </w:tcPr>
          <w:p w14:paraId="5DE57712" w14:textId="77777777" w:rsidR="0074216D" w:rsidRDefault="0074216D">
            <w:pPr>
              <w:cnfStyle w:val="000000000000" w:firstRow="0" w:lastRow="0" w:firstColumn="0" w:lastColumn="0" w:oddVBand="0" w:evenVBand="0" w:oddHBand="0" w:evenHBand="0" w:firstRowFirstColumn="0" w:firstRowLastColumn="0" w:lastRowFirstColumn="0" w:lastRowLastColumn="0"/>
            </w:pPr>
            <w:r>
              <w:t>280 925</w:t>
            </w:r>
          </w:p>
        </w:tc>
        <w:tc>
          <w:tcPr>
            <w:tcW w:w="964" w:type="dxa"/>
            <w:tcBorders>
              <w:bottom w:val="single" w:sz="6" w:space="0" w:color="auto"/>
            </w:tcBorders>
          </w:tcPr>
          <w:p w14:paraId="4715D0D2" w14:textId="77777777" w:rsidR="0074216D" w:rsidRDefault="0074216D">
            <w:pPr>
              <w:cnfStyle w:val="000000000000" w:firstRow="0" w:lastRow="0" w:firstColumn="0" w:lastColumn="0" w:oddVBand="0" w:evenVBand="0" w:oddHBand="0" w:evenHBand="0" w:firstRowFirstColumn="0" w:firstRowLastColumn="0" w:lastRowFirstColumn="0" w:lastRowLastColumn="0"/>
            </w:pPr>
            <w:r>
              <w:t>621 392</w:t>
            </w:r>
          </w:p>
        </w:tc>
      </w:tr>
      <w:tr w:rsidR="0074216D" w14:paraId="3DE0620B"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2727D342" w14:textId="77777777" w:rsidR="0074216D" w:rsidRPr="005314E1" w:rsidRDefault="0074216D">
            <w:pPr>
              <w:keepNext/>
              <w:rPr>
                <w:b/>
              </w:rPr>
            </w:pPr>
            <w:r w:rsidRPr="005314E1">
              <w:rPr>
                <w:b/>
              </w:rPr>
              <w:t>Quality</w:t>
            </w:r>
          </w:p>
        </w:tc>
      </w:tr>
      <w:tr w:rsidR="0074216D" w14:paraId="37FD4399"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1E1C61" w14:textId="77777777" w:rsidR="0074216D" w:rsidRDefault="0074216D">
            <w:pPr>
              <w:ind w:left="170"/>
            </w:pPr>
            <w:r>
              <w:t>Gamblers Help Service clients who receive a service within five days of referral</w:t>
            </w:r>
          </w:p>
        </w:tc>
        <w:tc>
          <w:tcPr>
            <w:tcW w:w="964" w:type="dxa"/>
            <w:tcBorders>
              <w:bottom w:val="single" w:sz="6" w:space="0" w:color="auto"/>
            </w:tcBorders>
          </w:tcPr>
          <w:p w14:paraId="7233B40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8DE42E" w14:textId="77777777" w:rsidR="0074216D" w:rsidRDefault="0074216D">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127793C0" w14:textId="77777777" w:rsidR="0074216D" w:rsidRDefault="0074216D">
            <w:pPr>
              <w:cnfStyle w:val="000000000000" w:firstRow="0" w:lastRow="0" w:firstColumn="0" w:lastColumn="0" w:oddVBand="0" w:evenVBand="0" w:oddHBand="0" w:evenHBand="0" w:firstRowFirstColumn="0" w:firstRowLastColumn="0" w:lastRowFirstColumn="0" w:lastRowLastColumn="0"/>
            </w:pPr>
            <w:r>
              <w:t>97.6</w:t>
            </w:r>
          </w:p>
        </w:tc>
        <w:tc>
          <w:tcPr>
            <w:tcW w:w="964" w:type="dxa"/>
            <w:tcBorders>
              <w:bottom w:val="single" w:sz="6" w:space="0" w:color="auto"/>
            </w:tcBorders>
          </w:tcPr>
          <w:p w14:paraId="106BFAD4" w14:textId="77777777" w:rsidR="0074216D" w:rsidRDefault="0074216D">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198254D6"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r>
      <w:tr w:rsidR="0074216D" w14:paraId="34E85C0B"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A1724B8" w14:textId="77777777" w:rsidR="0074216D" w:rsidRPr="005314E1" w:rsidRDefault="0074216D">
            <w:pPr>
              <w:rPr>
                <w:b/>
              </w:rPr>
            </w:pPr>
            <w:r w:rsidRPr="005314E1">
              <w:rPr>
                <w:b/>
              </w:rPr>
              <w:t>Cost</w:t>
            </w:r>
          </w:p>
        </w:tc>
      </w:tr>
      <w:tr w:rsidR="0074216D" w14:paraId="4AD44125" w14:textId="77777777">
        <w:tc>
          <w:tcPr>
            <w:cnfStyle w:val="001000000000" w:firstRow="0" w:lastRow="0" w:firstColumn="1" w:lastColumn="0" w:oddVBand="0" w:evenVBand="0" w:oddHBand="0" w:evenHBand="0" w:firstRowFirstColumn="0" w:firstRowLastColumn="0" w:lastRowFirstColumn="0" w:lastRowLastColumn="0"/>
            <w:tcW w:w="4819" w:type="dxa"/>
          </w:tcPr>
          <w:p w14:paraId="511FEA7C" w14:textId="77777777" w:rsidR="0074216D" w:rsidRDefault="0074216D">
            <w:pPr>
              <w:ind w:left="170"/>
            </w:pPr>
            <w:r>
              <w:t>Total output cost</w:t>
            </w:r>
          </w:p>
        </w:tc>
        <w:tc>
          <w:tcPr>
            <w:tcW w:w="964" w:type="dxa"/>
          </w:tcPr>
          <w:p w14:paraId="507384B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AB843D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CD6B32">
              <w:t xml:space="preserve"> 236.6</w:t>
            </w:r>
          </w:p>
        </w:tc>
        <w:tc>
          <w:tcPr>
            <w:tcW w:w="964" w:type="dxa"/>
          </w:tcPr>
          <w:p w14:paraId="0A106322"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CD6B32">
              <w:t xml:space="preserve"> 217.7</w:t>
            </w:r>
          </w:p>
        </w:tc>
        <w:tc>
          <w:tcPr>
            <w:tcW w:w="964" w:type="dxa"/>
          </w:tcPr>
          <w:p w14:paraId="31B7CDEB"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CD6B32">
              <w:t xml:space="preserve"> 175.4</w:t>
            </w:r>
          </w:p>
        </w:tc>
        <w:tc>
          <w:tcPr>
            <w:tcW w:w="964" w:type="dxa"/>
          </w:tcPr>
          <w:p w14:paraId="73637D8B"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CD6B32">
              <w:t xml:space="preserve"> 187.2</w:t>
            </w:r>
          </w:p>
        </w:tc>
      </w:tr>
      <w:tr w:rsidR="0074216D" w14:paraId="203D0C43"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4BD407D3" w14:textId="77777777" w:rsidR="0074216D" w:rsidRPr="00837242" w:rsidRDefault="0074216D">
            <w:pPr>
              <w:ind w:left="170"/>
              <w:rPr>
                <w:i/>
                <w:iCs/>
              </w:rPr>
            </w:pPr>
            <w:r w:rsidRPr="00D3038E">
              <w:rPr>
                <w:i/>
                <w:iCs/>
              </w:rPr>
              <w:t>The higher 2025-26 expected outcome reflects funding provided for government policy initiatives.</w:t>
            </w:r>
          </w:p>
        </w:tc>
      </w:tr>
      <w:tr w:rsidR="0074216D" w14:paraId="2880B603"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10C1B50" w14:textId="7032F4BB" w:rsidR="0074216D" w:rsidRDefault="0074216D">
            <w:pPr>
              <w:ind w:left="170"/>
            </w:pPr>
            <w:r w:rsidRPr="00D3038E">
              <w:rPr>
                <w:i/>
                <w:iCs/>
              </w:rPr>
              <w:t xml:space="preserve">The higher 2026-27 target is due to new funding provided for government policy </w:t>
            </w:r>
            <w:r w:rsidR="0081497A">
              <w:rPr>
                <w:i/>
                <w:iCs/>
              </w:rPr>
              <w:t>initiatives</w:t>
            </w:r>
            <w:r w:rsidRPr="00D3038E">
              <w:rPr>
                <w:i/>
                <w:iCs/>
              </w:rPr>
              <w:t>.</w:t>
            </w:r>
          </w:p>
        </w:tc>
      </w:tr>
    </w:tbl>
    <w:p w14:paraId="6CD364C8" w14:textId="77777777" w:rsidR="0074216D" w:rsidRDefault="0074216D" w:rsidP="0074216D">
      <w:pPr>
        <w:pStyle w:val="Source"/>
      </w:pPr>
      <w:r>
        <w:t>Source: Department of Health</w:t>
      </w:r>
    </w:p>
    <w:p w14:paraId="04CE48BE" w14:textId="77777777" w:rsidR="0074216D" w:rsidRDefault="0074216D" w:rsidP="0074216D">
      <w:pPr>
        <w:pStyle w:val="Source"/>
      </w:pPr>
    </w:p>
    <w:p w14:paraId="78C94CB4" w14:textId="77777777" w:rsidR="0074216D" w:rsidRDefault="0074216D" w:rsidP="0074216D">
      <w:pPr>
        <w:pStyle w:val="Heading3"/>
      </w:pPr>
      <w:r>
        <w:lastRenderedPageBreak/>
        <w:t>Community Health Care</w:t>
      </w:r>
      <w:r>
        <w:tab/>
        <w:t>(2026-27: $377.5 million)</w:t>
      </w:r>
    </w:p>
    <w:p w14:paraId="5D90919F" w14:textId="77777777" w:rsidR="0074216D" w:rsidRPr="000B7398" w:rsidRDefault="0074216D" w:rsidP="002B0C7C">
      <w:pPr>
        <w:keepNext/>
        <w:spacing w:after="120"/>
        <w:rPr>
          <w:rFonts w:ascii="Garamond" w:hAnsi="Garamond"/>
          <w:lang w:eastAsia="en-AU"/>
        </w:rPr>
      </w:pPr>
      <w:r w:rsidRPr="004E78DC">
        <w:rPr>
          <w:rFonts w:ascii="Garamond" w:hAnsi="Garamond"/>
          <w:lang w:eastAsia="en-AU"/>
        </w:rPr>
        <w:t xml:space="preserve">This output </w:t>
      </w:r>
      <w:r w:rsidRPr="004E78DC">
        <w:t>includes</w:t>
      </w:r>
      <w:r w:rsidRPr="004E78DC">
        <w:rPr>
          <w:rFonts w:ascii="Garamond" w:hAnsi="Garamond"/>
          <w:lang w:eastAsia="en-AU"/>
        </w:rPr>
        <w:t xml:space="preserve"> delivery of a range of community care and support services, including counselling, allied health and nursing, which enable people to continue to live independently in the community.</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34E10E6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E2F60E6" w14:textId="77777777" w:rsidR="0074216D" w:rsidRDefault="0074216D">
            <w:r>
              <w:t>Performance measure</w:t>
            </w:r>
          </w:p>
        </w:tc>
        <w:tc>
          <w:tcPr>
            <w:tcW w:w="964" w:type="dxa"/>
          </w:tcPr>
          <w:p w14:paraId="4AA50CC1"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8E7209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5DAA1A5"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F77E76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5F5E1B8"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4ED6EA1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8F29F52" w14:textId="77777777" w:rsidR="0074216D" w:rsidRPr="005314E1" w:rsidRDefault="0074216D">
            <w:pPr>
              <w:keepNext/>
              <w:rPr>
                <w:b/>
              </w:rPr>
            </w:pPr>
            <w:r w:rsidRPr="005314E1">
              <w:rPr>
                <w:b/>
              </w:rPr>
              <w:t>Quantity</w:t>
            </w:r>
          </w:p>
        </w:tc>
      </w:tr>
      <w:tr w:rsidR="0074216D" w14:paraId="2DECE460" w14:textId="77777777">
        <w:tc>
          <w:tcPr>
            <w:cnfStyle w:val="001000000000" w:firstRow="0" w:lastRow="0" w:firstColumn="1" w:lastColumn="0" w:oddVBand="0" w:evenVBand="0" w:oddHBand="0" w:evenHBand="0" w:firstRowFirstColumn="0" w:firstRowLastColumn="0" w:lastRowFirstColumn="0" w:lastRowLastColumn="0"/>
            <w:tcW w:w="4819" w:type="dxa"/>
          </w:tcPr>
          <w:p w14:paraId="25DEBA37" w14:textId="77777777" w:rsidR="0074216D" w:rsidRDefault="0074216D">
            <w:pPr>
              <w:keepNext/>
              <w:ind w:left="170"/>
            </w:pPr>
            <w:r>
              <w:t>Rate of potentially preventable hospitalisations for chronic conditions in Aboriginal Victorians</w:t>
            </w:r>
          </w:p>
        </w:tc>
        <w:tc>
          <w:tcPr>
            <w:tcW w:w="964" w:type="dxa"/>
          </w:tcPr>
          <w:p w14:paraId="6C9A854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Rate per thousand</w:t>
            </w:r>
          </w:p>
        </w:tc>
        <w:tc>
          <w:tcPr>
            <w:tcW w:w="964" w:type="dxa"/>
            <w:shd w:val="clear" w:color="auto" w:fill="F0F0F0"/>
          </w:tcPr>
          <w:p w14:paraId="7EF6EE12" w14:textId="77777777" w:rsidR="0074216D" w:rsidRDefault="0074216D">
            <w:pPr>
              <w:cnfStyle w:val="000000000000" w:firstRow="0" w:lastRow="0" w:firstColumn="0" w:lastColumn="0" w:oddVBand="0" w:evenVBand="0" w:oddHBand="0" w:evenHBand="0" w:firstRowFirstColumn="0" w:firstRowLastColumn="0" w:lastRowFirstColumn="0" w:lastRowLastColumn="0"/>
            </w:pPr>
            <w:r>
              <w:t>14.4</w:t>
            </w:r>
          </w:p>
        </w:tc>
        <w:tc>
          <w:tcPr>
            <w:tcW w:w="964" w:type="dxa"/>
          </w:tcPr>
          <w:p w14:paraId="62181243" w14:textId="77777777" w:rsidR="0074216D" w:rsidRDefault="0074216D">
            <w:pPr>
              <w:cnfStyle w:val="000000000000" w:firstRow="0" w:lastRow="0" w:firstColumn="0" w:lastColumn="0" w:oddVBand="0" w:evenVBand="0" w:oddHBand="0" w:evenHBand="0" w:firstRowFirstColumn="0" w:firstRowLastColumn="0" w:lastRowFirstColumn="0" w:lastRowLastColumn="0"/>
            </w:pPr>
            <w:r>
              <w:t>24.6</w:t>
            </w:r>
          </w:p>
        </w:tc>
        <w:tc>
          <w:tcPr>
            <w:tcW w:w="964" w:type="dxa"/>
          </w:tcPr>
          <w:p w14:paraId="50817991" w14:textId="77777777" w:rsidR="0074216D" w:rsidRDefault="0074216D">
            <w:pPr>
              <w:cnfStyle w:val="000000000000" w:firstRow="0" w:lastRow="0" w:firstColumn="0" w:lastColumn="0" w:oddVBand="0" w:evenVBand="0" w:oddHBand="0" w:evenHBand="0" w:firstRowFirstColumn="0" w:firstRowLastColumn="0" w:lastRowFirstColumn="0" w:lastRowLastColumn="0"/>
            </w:pPr>
            <w:r>
              <w:t>14.4</w:t>
            </w:r>
          </w:p>
        </w:tc>
        <w:tc>
          <w:tcPr>
            <w:tcW w:w="964" w:type="dxa"/>
          </w:tcPr>
          <w:p w14:paraId="122198BA" w14:textId="77777777" w:rsidR="0074216D" w:rsidRDefault="0074216D">
            <w:pPr>
              <w:cnfStyle w:val="000000000000" w:firstRow="0" w:lastRow="0" w:firstColumn="0" w:lastColumn="0" w:oddVBand="0" w:evenVBand="0" w:oddHBand="0" w:evenHBand="0" w:firstRowFirstColumn="0" w:firstRowLastColumn="0" w:lastRowFirstColumn="0" w:lastRowLastColumn="0"/>
            </w:pPr>
            <w:r>
              <w:t>23.6</w:t>
            </w:r>
          </w:p>
        </w:tc>
      </w:tr>
      <w:tr w:rsidR="0074216D" w14:paraId="0993A45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01F151" w14:textId="77777777" w:rsidR="0074216D" w:rsidRDefault="0074216D">
            <w:pPr>
              <w:ind w:left="170"/>
            </w:pPr>
            <w:r>
              <w:rPr>
                <w:i/>
              </w:rPr>
              <w:t xml:space="preserve">The 2025-26 expected outcome is higher than the target reflecting the impact of Aboriginal Victorians experiencing barriers to seeking early intervention in the Victorian public health system. </w:t>
            </w:r>
          </w:p>
        </w:tc>
      </w:tr>
      <w:tr w:rsidR="0074216D" w14:paraId="0D5A574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147773" w14:textId="77777777" w:rsidR="0074216D" w:rsidRDefault="0074216D">
            <w:pPr>
              <w:ind w:left="170"/>
            </w:pPr>
            <w:r>
              <w:t>Service delivery hours in community health care</w:t>
            </w:r>
          </w:p>
        </w:tc>
        <w:tc>
          <w:tcPr>
            <w:tcW w:w="964" w:type="dxa"/>
            <w:tcBorders>
              <w:bottom w:val="single" w:sz="6" w:space="0" w:color="auto"/>
            </w:tcBorders>
          </w:tcPr>
          <w:p w14:paraId="2C372216"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5A237F62" w14:textId="77777777" w:rsidR="0074216D" w:rsidRDefault="0074216D">
            <w:pPr>
              <w:cnfStyle w:val="000000000000" w:firstRow="0" w:lastRow="0" w:firstColumn="0" w:lastColumn="0" w:oddVBand="0" w:evenVBand="0" w:oddHBand="0" w:evenHBand="0" w:firstRowFirstColumn="0" w:firstRowLastColumn="0" w:lastRowFirstColumn="0" w:lastRowLastColumn="0"/>
            </w:pPr>
            <w:r>
              <w:t>1 064</w:t>
            </w:r>
          </w:p>
        </w:tc>
        <w:tc>
          <w:tcPr>
            <w:tcW w:w="964" w:type="dxa"/>
            <w:tcBorders>
              <w:bottom w:val="single" w:sz="6" w:space="0" w:color="auto"/>
            </w:tcBorders>
          </w:tcPr>
          <w:p w14:paraId="1EDAAE77" w14:textId="5C367B1F" w:rsidR="0074216D" w:rsidRDefault="0074216D">
            <w:pPr>
              <w:cnfStyle w:val="000000000000" w:firstRow="0" w:lastRow="0" w:firstColumn="0" w:lastColumn="0" w:oddVBand="0" w:evenVBand="0" w:oddHBand="0" w:evenHBand="0" w:firstRowFirstColumn="0" w:firstRowLastColumn="0" w:lastRowFirstColumn="0" w:lastRowLastColumn="0"/>
            </w:pPr>
            <w:r>
              <w:t>1</w:t>
            </w:r>
            <w:r w:rsidR="001312D5">
              <w:t xml:space="preserve"> </w:t>
            </w:r>
            <w:r>
              <w:t>119</w:t>
            </w:r>
          </w:p>
        </w:tc>
        <w:tc>
          <w:tcPr>
            <w:tcW w:w="964" w:type="dxa"/>
            <w:tcBorders>
              <w:bottom w:val="single" w:sz="6" w:space="0" w:color="auto"/>
            </w:tcBorders>
          </w:tcPr>
          <w:p w14:paraId="4663D93B" w14:textId="77777777" w:rsidR="0074216D" w:rsidRDefault="0074216D">
            <w:pPr>
              <w:cnfStyle w:val="000000000000" w:firstRow="0" w:lastRow="0" w:firstColumn="0" w:lastColumn="0" w:oddVBand="0" w:evenVBand="0" w:oddHBand="0" w:evenHBand="0" w:firstRowFirstColumn="0" w:firstRowLastColumn="0" w:lastRowFirstColumn="0" w:lastRowLastColumn="0"/>
            </w:pPr>
            <w:r>
              <w:t>1 064</w:t>
            </w:r>
          </w:p>
        </w:tc>
        <w:tc>
          <w:tcPr>
            <w:tcW w:w="964" w:type="dxa"/>
            <w:tcBorders>
              <w:bottom w:val="single" w:sz="6" w:space="0" w:color="auto"/>
            </w:tcBorders>
          </w:tcPr>
          <w:p w14:paraId="7F9189A4" w14:textId="77777777" w:rsidR="0074216D" w:rsidRDefault="0074216D">
            <w:pPr>
              <w:cnfStyle w:val="000000000000" w:firstRow="0" w:lastRow="0" w:firstColumn="0" w:lastColumn="0" w:oddVBand="0" w:evenVBand="0" w:oddHBand="0" w:evenHBand="0" w:firstRowFirstColumn="0" w:firstRowLastColumn="0" w:lastRowFirstColumn="0" w:lastRowLastColumn="0"/>
            </w:pPr>
            <w:r>
              <w:t>1 120</w:t>
            </w:r>
          </w:p>
        </w:tc>
      </w:tr>
      <w:tr w:rsidR="0074216D" w14:paraId="0D0A83F7"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5DD344FD" w14:textId="77777777" w:rsidR="0074216D" w:rsidRPr="005314E1" w:rsidRDefault="0074216D">
            <w:pPr>
              <w:keepNext/>
              <w:rPr>
                <w:b/>
              </w:rPr>
            </w:pPr>
            <w:r w:rsidRPr="005314E1">
              <w:rPr>
                <w:b/>
              </w:rPr>
              <w:t>Quality</w:t>
            </w:r>
          </w:p>
        </w:tc>
      </w:tr>
      <w:tr w:rsidR="0074216D" w14:paraId="11BB5AA0"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7755D57" w14:textId="77777777" w:rsidR="0074216D" w:rsidRDefault="0074216D">
            <w:pPr>
              <w:ind w:left="170"/>
            </w:pPr>
            <w:r>
              <w:t>Agencies with an Integrated Health Promotion plan that meets the stipulated planning requirements</w:t>
            </w:r>
          </w:p>
        </w:tc>
        <w:tc>
          <w:tcPr>
            <w:tcW w:w="964" w:type="dxa"/>
            <w:tcBorders>
              <w:bottom w:val="single" w:sz="6" w:space="0" w:color="auto"/>
            </w:tcBorders>
          </w:tcPr>
          <w:p w14:paraId="1C8ABECE"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1C6A367"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C777399"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D9A6B81"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81B132D"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r>
      <w:tr w:rsidR="0074216D" w14:paraId="4D87FEEB"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B906538" w14:textId="77777777" w:rsidR="0074216D" w:rsidRPr="005314E1" w:rsidRDefault="0074216D">
            <w:pPr>
              <w:rPr>
                <w:b/>
              </w:rPr>
            </w:pPr>
            <w:r w:rsidRPr="005314E1">
              <w:rPr>
                <w:b/>
              </w:rPr>
              <w:t>Cost</w:t>
            </w:r>
          </w:p>
        </w:tc>
      </w:tr>
      <w:tr w:rsidR="0074216D" w14:paraId="60E5DE5A"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54B5496" w14:textId="77777777" w:rsidR="0074216D" w:rsidRDefault="0074216D">
            <w:pPr>
              <w:ind w:left="170"/>
            </w:pPr>
            <w:r>
              <w:t>Total output cost</w:t>
            </w:r>
          </w:p>
        </w:tc>
        <w:tc>
          <w:tcPr>
            <w:tcW w:w="964" w:type="dxa"/>
            <w:tcBorders>
              <w:bottom w:val="nil"/>
            </w:tcBorders>
          </w:tcPr>
          <w:p w14:paraId="65F8E8D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19086A2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52B08">
              <w:t xml:space="preserve"> 377.5</w:t>
            </w:r>
          </w:p>
        </w:tc>
        <w:tc>
          <w:tcPr>
            <w:tcW w:w="964" w:type="dxa"/>
            <w:tcBorders>
              <w:bottom w:val="nil"/>
            </w:tcBorders>
          </w:tcPr>
          <w:p w14:paraId="72DE086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52B08">
              <w:t xml:space="preserve"> 429.0</w:t>
            </w:r>
          </w:p>
        </w:tc>
        <w:tc>
          <w:tcPr>
            <w:tcW w:w="964" w:type="dxa"/>
            <w:tcBorders>
              <w:bottom w:val="nil"/>
            </w:tcBorders>
          </w:tcPr>
          <w:p w14:paraId="4AF633C2"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52B08">
              <w:t xml:space="preserve"> 389.1</w:t>
            </w:r>
          </w:p>
        </w:tc>
        <w:tc>
          <w:tcPr>
            <w:tcW w:w="964" w:type="dxa"/>
            <w:tcBorders>
              <w:bottom w:val="nil"/>
            </w:tcBorders>
          </w:tcPr>
          <w:p w14:paraId="622C848C"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52B08">
              <w:t xml:space="preserve"> 387.5</w:t>
            </w:r>
          </w:p>
        </w:tc>
      </w:tr>
      <w:tr w:rsidR="0074216D" w14:paraId="4975D2D1"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D900752" w14:textId="77777777" w:rsidR="0074216D" w:rsidRDefault="0074216D">
            <w:pPr>
              <w:ind w:left="170"/>
            </w:pPr>
            <w:r w:rsidRPr="006A2B09">
              <w:rPr>
                <w:i/>
              </w:rPr>
              <w:t>The higher 2025-26 expected outcome reflects new funding provided for government policy initiatives.</w:t>
            </w:r>
          </w:p>
        </w:tc>
      </w:tr>
    </w:tbl>
    <w:p w14:paraId="482589D8" w14:textId="77777777" w:rsidR="0074216D" w:rsidRDefault="0074216D" w:rsidP="0074216D">
      <w:pPr>
        <w:pStyle w:val="Source"/>
      </w:pPr>
      <w:r>
        <w:t>Source: Department of Health</w:t>
      </w:r>
    </w:p>
    <w:p w14:paraId="63260F37" w14:textId="77777777" w:rsidR="0074216D" w:rsidRDefault="0074216D" w:rsidP="0074216D">
      <w:pPr>
        <w:pStyle w:val="Heading3"/>
      </w:pPr>
      <w:r>
        <w:t>Dental Services</w:t>
      </w:r>
      <w:r>
        <w:tab/>
        <w:t>(2026-27: $239.3 million)</w:t>
      </w:r>
    </w:p>
    <w:p w14:paraId="46229276" w14:textId="77777777" w:rsidR="0074216D" w:rsidRPr="00337B88" w:rsidRDefault="0074216D" w:rsidP="0074216D">
      <w:pPr>
        <w:keepNext/>
        <w:spacing w:after="120"/>
        <w:rPr>
          <w:rFonts w:ascii="Garamond" w:eastAsia="Garamond" w:hAnsi="Garamond"/>
          <w:lang w:eastAsia="en-AU"/>
        </w:rPr>
      </w:pPr>
      <w:r w:rsidRPr="004E78DC">
        <w:rPr>
          <w:rFonts w:ascii="Garamond" w:hAnsi="Garamond"/>
          <w:lang w:eastAsia="en-AU"/>
        </w:rPr>
        <w:t xml:space="preserve">This output includes delivery of a range of dental health services to support health and wellbeing in the </w:t>
      </w:r>
      <w:r w:rsidRPr="004E78DC">
        <w:t>community</w:t>
      </w:r>
      <w:r w:rsidRPr="004E78DC">
        <w:rPr>
          <w:rFonts w:ascii="Garamond" w:eastAsia="Garamond" w:hAnsi="Garamond"/>
          <w:lang w:eastAsia="en-AU"/>
        </w:rPr>
        <w: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36DB44C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7599EC5" w14:textId="77777777" w:rsidR="0074216D" w:rsidRDefault="0074216D">
            <w:r>
              <w:t>Performance measure</w:t>
            </w:r>
          </w:p>
        </w:tc>
        <w:tc>
          <w:tcPr>
            <w:tcW w:w="964" w:type="dxa"/>
          </w:tcPr>
          <w:p w14:paraId="042CC69C"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4CBF662"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FB7F1C7"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EC359E1"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75BC683"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0F8245B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4EAD1E0" w14:textId="77777777" w:rsidR="0074216D" w:rsidRPr="005314E1" w:rsidRDefault="0074216D">
            <w:pPr>
              <w:keepNext/>
              <w:rPr>
                <w:b/>
              </w:rPr>
            </w:pPr>
            <w:r w:rsidRPr="005314E1">
              <w:rPr>
                <w:b/>
              </w:rPr>
              <w:t>Quantity</w:t>
            </w:r>
          </w:p>
        </w:tc>
      </w:tr>
      <w:tr w:rsidR="0074216D" w14:paraId="573A8AE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3B90799" w14:textId="77777777" w:rsidR="0074216D" w:rsidRDefault="0074216D">
            <w:pPr>
              <w:ind w:left="170"/>
            </w:pPr>
            <w:r>
              <w:t>Children participating in the Smiles 4 Miles oral health promotion program</w:t>
            </w:r>
          </w:p>
        </w:tc>
        <w:tc>
          <w:tcPr>
            <w:tcW w:w="964" w:type="dxa"/>
            <w:tcBorders>
              <w:bottom w:val="single" w:sz="6" w:space="0" w:color="auto"/>
            </w:tcBorders>
          </w:tcPr>
          <w:p w14:paraId="3C65401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3578A98" w14:textId="77777777" w:rsidR="0074216D" w:rsidRDefault="0074216D">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206CA876" w14:textId="77777777" w:rsidR="0074216D" w:rsidRDefault="0074216D">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03877609" w14:textId="77777777" w:rsidR="0074216D" w:rsidRDefault="0074216D">
            <w:pPr>
              <w:cnfStyle w:val="000000000000" w:firstRow="0" w:lastRow="0" w:firstColumn="0" w:lastColumn="0" w:oddVBand="0" w:evenVBand="0" w:oddHBand="0" w:evenHBand="0" w:firstRowFirstColumn="0" w:firstRowLastColumn="0" w:lastRowFirstColumn="0" w:lastRowLastColumn="0"/>
            </w:pPr>
            <w:r>
              <w:t>60 000</w:t>
            </w:r>
          </w:p>
        </w:tc>
        <w:tc>
          <w:tcPr>
            <w:tcW w:w="964" w:type="dxa"/>
            <w:tcBorders>
              <w:bottom w:val="single" w:sz="6" w:space="0" w:color="auto"/>
            </w:tcBorders>
          </w:tcPr>
          <w:p w14:paraId="7EC7EF76" w14:textId="77777777" w:rsidR="0074216D" w:rsidRDefault="0074216D">
            <w:pPr>
              <w:cnfStyle w:val="000000000000" w:firstRow="0" w:lastRow="0" w:firstColumn="0" w:lastColumn="0" w:oddVBand="0" w:evenVBand="0" w:oddHBand="0" w:evenHBand="0" w:firstRowFirstColumn="0" w:firstRowLastColumn="0" w:lastRowFirstColumn="0" w:lastRowLastColumn="0"/>
            </w:pPr>
            <w:r>
              <w:t>54 726</w:t>
            </w:r>
          </w:p>
        </w:tc>
      </w:tr>
      <w:tr w:rsidR="0074216D" w14:paraId="0F31BBE9" w14:textId="77777777">
        <w:tc>
          <w:tcPr>
            <w:cnfStyle w:val="001000000000" w:firstRow="0" w:lastRow="0" w:firstColumn="1" w:lastColumn="0" w:oddVBand="0" w:evenVBand="0" w:oddHBand="0" w:evenHBand="0" w:firstRowFirstColumn="0" w:firstRowLastColumn="0" w:lastRowFirstColumn="0" w:lastRowLastColumn="0"/>
            <w:tcW w:w="4819" w:type="dxa"/>
          </w:tcPr>
          <w:p w14:paraId="7BEFEF06" w14:textId="77777777" w:rsidR="0074216D" w:rsidRDefault="0074216D">
            <w:pPr>
              <w:keepNext/>
              <w:ind w:left="170"/>
            </w:pPr>
            <w:r>
              <w:t>Persons treated</w:t>
            </w:r>
          </w:p>
        </w:tc>
        <w:tc>
          <w:tcPr>
            <w:tcW w:w="964" w:type="dxa"/>
          </w:tcPr>
          <w:p w14:paraId="3EB1A5F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03937C5" w14:textId="77777777" w:rsidR="0074216D" w:rsidRDefault="0074216D">
            <w:pPr>
              <w:cnfStyle w:val="000000000000" w:firstRow="0" w:lastRow="0" w:firstColumn="0" w:lastColumn="0" w:oddVBand="0" w:evenVBand="0" w:oddHBand="0" w:evenHBand="0" w:firstRowFirstColumn="0" w:firstRowLastColumn="0" w:lastRowFirstColumn="0" w:lastRowLastColumn="0"/>
            </w:pPr>
            <w:r>
              <w:t>334 650</w:t>
            </w:r>
          </w:p>
        </w:tc>
        <w:tc>
          <w:tcPr>
            <w:tcW w:w="964" w:type="dxa"/>
          </w:tcPr>
          <w:p w14:paraId="6E1D5323" w14:textId="77777777" w:rsidR="0074216D" w:rsidRDefault="0074216D">
            <w:pPr>
              <w:cnfStyle w:val="000000000000" w:firstRow="0" w:lastRow="0" w:firstColumn="0" w:lastColumn="0" w:oddVBand="0" w:evenVBand="0" w:oddHBand="0" w:evenHBand="0" w:firstRowFirstColumn="0" w:firstRowLastColumn="0" w:lastRowFirstColumn="0" w:lastRowLastColumn="0"/>
            </w:pPr>
            <w:r>
              <w:t>332 150</w:t>
            </w:r>
          </w:p>
        </w:tc>
        <w:tc>
          <w:tcPr>
            <w:tcW w:w="964" w:type="dxa"/>
          </w:tcPr>
          <w:p w14:paraId="760B45FF" w14:textId="77777777" w:rsidR="0074216D" w:rsidRDefault="0074216D">
            <w:pPr>
              <w:cnfStyle w:val="000000000000" w:firstRow="0" w:lastRow="0" w:firstColumn="0" w:lastColumn="0" w:oddVBand="0" w:evenVBand="0" w:oddHBand="0" w:evenHBand="0" w:firstRowFirstColumn="0" w:firstRowLastColumn="0" w:lastRowFirstColumn="0" w:lastRowLastColumn="0"/>
            </w:pPr>
            <w:r>
              <w:t>332 150</w:t>
            </w:r>
          </w:p>
        </w:tc>
        <w:tc>
          <w:tcPr>
            <w:tcW w:w="964" w:type="dxa"/>
          </w:tcPr>
          <w:p w14:paraId="29893136" w14:textId="77777777" w:rsidR="0074216D" w:rsidRDefault="0074216D">
            <w:pPr>
              <w:cnfStyle w:val="000000000000" w:firstRow="0" w:lastRow="0" w:firstColumn="0" w:lastColumn="0" w:oddVBand="0" w:evenVBand="0" w:oddHBand="0" w:evenHBand="0" w:firstRowFirstColumn="0" w:firstRowLastColumn="0" w:lastRowFirstColumn="0" w:lastRowLastColumn="0"/>
            </w:pPr>
            <w:r>
              <w:t>281 622</w:t>
            </w:r>
          </w:p>
        </w:tc>
      </w:tr>
      <w:tr w:rsidR="0074216D" w14:paraId="3A70677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02A494" w14:textId="77777777" w:rsidR="0074216D" w:rsidRDefault="0074216D">
            <w:pPr>
              <w:ind w:left="170"/>
            </w:pPr>
            <w:r>
              <w:rPr>
                <w:i/>
              </w:rPr>
              <w:t xml:space="preserve">The 2026-27 target reflects the impact of funding provided in the </w:t>
            </w:r>
            <w:r w:rsidRPr="00294453">
              <w:t>2026-27 Budget</w:t>
            </w:r>
            <w:r>
              <w:rPr>
                <w:iCs/>
              </w:rPr>
              <w:t>.</w:t>
            </w:r>
          </w:p>
        </w:tc>
      </w:tr>
      <w:tr w:rsidR="0074216D" w14:paraId="45B5DFE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53DB4FF" w14:textId="77777777" w:rsidR="0074216D" w:rsidRDefault="0074216D">
            <w:pPr>
              <w:ind w:left="170"/>
            </w:pPr>
            <w:r>
              <w:t>Priority and emergency clients treated</w:t>
            </w:r>
          </w:p>
        </w:tc>
        <w:tc>
          <w:tcPr>
            <w:tcW w:w="964" w:type="dxa"/>
            <w:tcBorders>
              <w:bottom w:val="single" w:sz="6" w:space="0" w:color="auto"/>
            </w:tcBorders>
          </w:tcPr>
          <w:p w14:paraId="2B555BA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4AAC8CE" w14:textId="77777777" w:rsidR="0074216D" w:rsidRDefault="0074216D">
            <w:pPr>
              <w:cnfStyle w:val="000000000000" w:firstRow="0" w:lastRow="0" w:firstColumn="0" w:lastColumn="0" w:oddVBand="0" w:evenVBand="0" w:oddHBand="0" w:evenHBand="0" w:firstRowFirstColumn="0" w:firstRowLastColumn="0" w:lastRowFirstColumn="0" w:lastRowLastColumn="0"/>
            </w:pPr>
            <w:r>
              <w:t>249 100</w:t>
            </w:r>
          </w:p>
        </w:tc>
        <w:tc>
          <w:tcPr>
            <w:tcW w:w="964" w:type="dxa"/>
            <w:tcBorders>
              <w:bottom w:val="single" w:sz="6" w:space="0" w:color="auto"/>
            </w:tcBorders>
          </w:tcPr>
          <w:p w14:paraId="26E628DB" w14:textId="77777777" w:rsidR="0074216D" w:rsidRDefault="0074216D">
            <w:pPr>
              <w:cnfStyle w:val="000000000000" w:firstRow="0" w:lastRow="0" w:firstColumn="0" w:lastColumn="0" w:oddVBand="0" w:evenVBand="0" w:oddHBand="0" w:evenHBand="0" w:firstRowFirstColumn="0" w:firstRowLastColumn="0" w:lastRowFirstColumn="0" w:lastRowLastColumn="0"/>
            </w:pPr>
            <w:r>
              <w:t>249 100</w:t>
            </w:r>
          </w:p>
        </w:tc>
        <w:tc>
          <w:tcPr>
            <w:tcW w:w="964" w:type="dxa"/>
            <w:tcBorders>
              <w:bottom w:val="single" w:sz="6" w:space="0" w:color="auto"/>
            </w:tcBorders>
          </w:tcPr>
          <w:p w14:paraId="66BA1EDD" w14:textId="77777777" w:rsidR="0074216D" w:rsidRDefault="0074216D">
            <w:pPr>
              <w:cnfStyle w:val="000000000000" w:firstRow="0" w:lastRow="0" w:firstColumn="0" w:lastColumn="0" w:oddVBand="0" w:evenVBand="0" w:oddHBand="0" w:evenHBand="0" w:firstRowFirstColumn="0" w:firstRowLastColumn="0" w:lastRowFirstColumn="0" w:lastRowLastColumn="0"/>
            </w:pPr>
            <w:r>
              <w:t>249 100</w:t>
            </w:r>
          </w:p>
        </w:tc>
        <w:tc>
          <w:tcPr>
            <w:tcW w:w="964" w:type="dxa"/>
            <w:tcBorders>
              <w:bottom w:val="single" w:sz="6" w:space="0" w:color="auto"/>
            </w:tcBorders>
          </w:tcPr>
          <w:p w14:paraId="0D3F052A" w14:textId="77777777" w:rsidR="0074216D" w:rsidRDefault="0074216D">
            <w:pPr>
              <w:cnfStyle w:val="000000000000" w:firstRow="0" w:lastRow="0" w:firstColumn="0" w:lastColumn="0" w:oddVBand="0" w:evenVBand="0" w:oddHBand="0" w:evenHBand="0" w:firstRowFirstColumn="0" w:firstRowLastColumn="0" w:lastRowFirstColumn="0" w:lastRowLastColumn="0"/>
            </w:pPr>
            <w:r>
              <w:t>214 498</w:t>
            </w:r>
          </w:p>
        </w:tc>
      </w:tr>
      <w:tr w:rsidR="0074216D" w14:paraId="2209E8BE" w14:textId="77777777">
        <w:tc>
          <w:tcPr>
            <w:cnfStyle w:val="001000000000" w:firstRow="0" w:lastRow="0" w:firstColumn="1" w:lastColumn="0" w:oddVBand="0" w:evenVBand="0" w:oddHBand="0" w:evenHBand="0" w:firstRowFirstColumn="0" w:firstRowLastColumn="0" w:lastRowFirstColumn="0" w:lastRowLastColumn="0"/>
            <w:tcW w:w="4819" w:type="dxa"/>
          </w:tcPr>
          <w:p w14:paraId="6D5C1508" w14:textId="77777777" w:rsidR="0074216D" w:rsidRDefault="0074216D">
            <w:pPr>
              <w:keepNext/>
              <w:ind w:left="170"/>
            </w:pPr>
            <w:r>
              <w:t>Schools visited by Smile Squad</w:t>
            </w:r>
          </w:p>
        </w:tc>
        <w:tc>
          <w:tcPr>
            <w:tcW w:w="964" w:type="dxa"/>
          </w:tcPr>
          <w:p w14:paraId="009FCBD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D5CD626" w14:textId="77777777" w:rsidR="0074216D" w:rsidRDefault="0074216D">
            <w:pPr>
              <w:cnfStyle w:val="000000000000" w:firstRow="0" w:lastRow="0" w:firstColumn="0" w:lastColumn="0" w:oddVBand="0" w:evenVBand="0" w:oddHBand="0" w:evenHBand="0" w:firstRowFirstColumn="0" w:firstRowLastColumn="0" w:lastRowFirstColumn="0" w:lastRowLastColumn="0"/>
            </w:pPr>
            <w:r>
              <w:t>575</w:t>
            </w:r>
          </w:p>
        </w:tc>
        <w:tc>
          <w:tcPr>
            <w:tcW w:w="964" w:type="dxa"/>
          </w:tcPr>
          <w:p w14:paraId="3D9022C2" w14:textId="77777777" w:rsidR="0074216D" w:rsidRDefault="0074216D">
            <w:pPr>
              <w:cnfStyle w:val="000000000000" w:firstRow="0" w:lastRow="0" w:firstColumn="0" w:lastColumn="0" w:oddVBand="0" w:evenVBand="0" w:oddHBand="0" w:evenHBand="0" w:firstRowFirstColumn="0" w:firstRowLastColumn="0" w:lastRowFirstColumn="0" w:lastRowLastColumn="0"/>
            </w:pPr>
            <w:r>
              <w:t>562</w:t>
            </w:r>
          </w:p>
        </w:tc>
        <w:tc>
          <w:tcPr>
            <w:tcW w:w="964" w:type="dxa"/>
          </w:tcPr>
          <w:p w14:paraId="5D923F3C" w14:textId="77777777" w:rsidR="0074216D" w:rsidRDefault="0074216D">
            <w:pPr>
              <w:cnfStyle w:val="000000000000" w:firstRow="0" w:lastRow="0" w:firstColumn="0" w:lastColumn="0" w:oddVBand="0" w:evenVBand="0" w:oddHBand="0" w:evenHBand="0" w:firstRowFirstColumn="0" w:firstRowLastColumn="0" w:lastRowFirstColumn="0" w:lastRowLastColumn="0"/>
            </w:pPr>
            <w:r>
              <w:t>575</w:t>
            </w:r>
          </w:p>
        </w:tc>
        <w:tc>
          <w:tcPr>
            <w:tcW w:w="964" w:type="dxa"/>
          </w:tcPr>
          <w:p w14:paraId="4E90BF5B" w14:textId="77777777" w:rsidR="0074216D" w:rsidRDefault="0074216D">
            <w:pPr>
              <w:cnfStyle w:val="000000000000" w:firstRow="0" w:lastRow="0" w:firstColumn="0" w:lastColumn="0" w:oddVBand="0" w:evenVBand="0" w:oddHBand="0" w:evenHBand="0" w:firstRowFirstColumn="0" w:firstRowLastColumn="0" w:lastRowFirstColumn="0" w:lastRowLastColumn="0"/>
            </w:pPr>
            <w:r>
              <w:t>553</w:t>
            </w:r>
          </w:p>
        </w:tc>
      </w:tr>
      <w:tr w:rsidR="0074216D" w14:paraId="38F0F58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1327CF7" w14:textId="77777777" w:rsidR="0074216D" w:rsidRDefault="0074216D">
            <w:pPr>
              <w:ind w:left="170"/>
            </w:pPr>
            <w:r>
              <w:rPr>
                <w:i/>
              </w:rPr>
              <w:t>The target and result relate to the calendar year to reflect the school year.</w:t>
            </w:r>
          </w:p>
        </w:tc>
      </w:tr>
      <w:tr w:rsidR="0074216D" w14:paraId="746700BB" w14:textId="77777777">
        <w:tc>
          <w:tcPr>
            <w:cnfStyle w:val="001000000000" w:firstRow="0" w:lastRow="0" w:firstColumn="1" w:lastColumn="0" w:oddVBand="0" w:evenVBand="0" w:oddHBand="0" w:evenHBand="0" w:firstRowFirstColumn="0" w:firstRowLastColumn="0" w:lastRowFirstColumn="0" w:lastRowLastColumn="0"/>
            <w:tcW w:w="4819" w:type="dxa"/>
          </w:tcPr>
          <w:p w14:paraId="0F094319" w14:textId="77777777" w:rsidR="0074216D" w:rsidRDefault="0074216D">
            <w:pPr>
              <w:keepNext/>
              <w:ind w:left="170"/>
            </w:pPr>
            <w:r>
              <w:t>Students examined by Smile Squad</w:t>
            </w:r>
          </w:p>
        </w:tc>
        <w:tc>
          <w:tcPr>
            <w:tcW w:w="964" w:type="dxa"/>
          </w:tcPr>
          <w:p w14:paraId="715FC8E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2AA65CA" w14:textId="77777777" w:rsidR="0074216D" w:rsidRDefault="0074216D">
            <w:pPr>
              <w:cnfStyle w:val="000000000000" w:firstRow="0" w:lastRow="0" w:firstColumn="0" w:lastColumn="0" w:oddVBand="0" w:evenVBand="0" w:oddHBand="0" w:evenHBand="0" w:firstRowFirstColumn="0" w:firstRowLastColumn="0" w:lastRowFirstColumn="0" w:lastRowLastColumn="0"/>
            </w:pPr>
            <w:r>
              <w:t>69 300</w:t>
            </w:r>
          </w:p>
        </w:tc>
        <w:tc>
          <w:tcPr>
            <w:tcW w:w="964" w:type="dxa"/>
          </w:tcPr>
          <w:p w14:paraId="5E0FA835" w14:textId="77777777" w:rsidR="0074216D" w:rsidRDefault="0074216D">
            <w:pPr>
              <w:cnfStyle w:val="000000000000" w:firstRow="0" w:lastRow="0" w:firstColumn="0" w:lastColumn="0" w:oddVBand="0" w:evenVBand="0" w:oddHBand="0" w:evenHBand="0" w:firstRowFirstColumn="0" w:firstRowLastColumn="0" w:lastRowFirstColumn="0" w:lastRowLastColumn="0"/>
            </w:pPr>
            <w:r>
              <w:t>64 923</w:t>
            </w:r>
          </w:p>
        </w:tc>
        <w:tc>
          <w:tcPr>
            <w:tcW w:w="964" w:type="dxa"/>
          </w:tcPr>
          <w:p w14:paraId="19B4F172" w14:textId="77777777" w:rsidR="0074216D" w:rsidRDefault="0074216D">
            <w:pPr>
              <w:cnfStyle w:val="000000000000" w:firstRow="0" w:lastRow="0" w:firstColumn="0" w:lastColumn="0" w:oddVBand="0" w:evenVBand="0" w:oddHBand="0" w:evenHBand="0" w:firstRowFirstColumn="0" w:firstRowLastColumn="0" w:lastRowFirstColumn="0" w:lastRowLastColumn="0"/>
            </w:pPr>
            <w:r>
              <w:t>69 300</w:t>
            </w:r>
          </w:p>
        </w:tc>
        <w:tc>
          <w:tcPr>
            <w:tcW w:w="964" w:type="dxa"/>
          </w:tcPr>
          <w:p w14:paraId="4D9F5404" w14:textId="77777777" w:rsidR="0074216D" w:rsidRDefault="0074216D">
            <w:pPr>
              <w:cnfStyle w:val="000000000000" w:firstRow="0" w:lastRow="0" w:firstColumn="0" w:lastColumn="0" w:oddVBand="0" w:evenVBand="0" w:oddHBand="0" w:evenHBand="0" w:firstRowFirstColumn="0" w:firstRowLastColumn="0" w:lastRowFirstColumn="0" w:lastRowLastColumn="0"/>
            </w:pPr>
            <w:r>
              <w:t>62 353</w:t>
            </w:r>
          </w:p>
        </w:tc>
      </w:tr>
      <w:tr w:rsidR="0074216D" w14:paraId="7DDC33F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93F9A0" w14:textId="6180BA39" w:rsidR="0074216D" w:rsidRDefault="0074216D">
            <w:pPr>
              <w:ind w:left="170"/>
            </w:pPr>
            <w:r>
              <w:rPr>
                <w:i/>
              </w:rPr>
              <w:t>The 2025-26 expected outcome is lower than target due to the program</w:t>
            </w:r>
            <w:r w:rsidR="00324555">
              <w:rPr>
                <w:i/>
              </w:rPr>
              <w:t>’</w:t>
            </w:r>
            <w:r>
              <w:rPr>
                <w:i/>
              </w:rPr>
              <w:t>s focus on prevention, screening and early intervention and improved oral health outcomes. The target and result relate to the calendar year to reflect the school year.</w:t>
            </w:r>
          </w:p>
        </w:tc>
      </w:tr>
      <w:tr w:rsidR="0074216D" w14:paraId="31FE32A2" w14:textId="77777777">
        <w:tc>
          <w:tcPr>
            <w:cnfStyle w:val="001000000000" w:firstRow="0" w:lastRow="0" w:firstColumn="1" w:lastColumn="0" w:oddVBand="0" w:evenVBand="0" w:oddHBand="0" w:evenHBand="0" w:firstRowFirstColumn="0" w:firstRowLastColumn="0" w:lastRowFirstColumn="0" w:lastRowLastColumn="0"/>
            <w:tcW w:w="4819" w:type="dxa"/>
          </w:tcPr>
          <w:p w14:paraId="03C3219E" w14:textId="77777777" w:rsidR="0074216D" w:rsidRDefault="0074216D">
            <w:pPr>
              <w:keepNext/>
              <w:ind w:left="170"/>
            </w:pPr>
            <w:r>
              <w:t>Students receiving treatment by Smile Squad</w:t>
            </w:r>
          </w:p>
        </w:tc>
        <w:tc>
          <w:tcPr>
            <w:tcW w:w="964" w:type="dxa"/>
          </w:tcPr>
          <w:p w14:paraId="6FED609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09EA765" w14:textId="77777777" w:rsidR="0074216D" w:rsidRDefault="0074216D">
            <w:pPr>
              <w:cnfStyle w:val="000000000000" w:firstRow="0" w:lastRow="0" w:firstColumn="0" w:lastColumn="0" w:oddVBand="0" w:evenVBand="0" w:oddHBand="0" w:evenHBand="0" w:firstRowFirstColumn="0" w:firstRowLastColumn="0" w:lastRowFirstColumn="0" w:lastRowLastColumn="0"/>
            </w:pPr>
            <w:r>
              <w:t>20 800</w:t>
            </w:r>
          </w:p>
        </w:tc>
        <w:tc>
          <w:tcPr>
            <w:tcW w:w="964" w:type="dxa"/>
          </w:tcPr>
          <w:p w14:paraId="618885F6" w14:textId="77777777" w:rsidR="0074216D" w:rsidRDefault="0074216D">
            <w:pPr>
              <w:cnfStyle w:val="000000000000" w:firstRow="0" w:lastRow="0" w:firstColumn="0" w:lastColumn="0" w:oddVBand="0" w:evenVBand="0" w:oddHBand="0" w:evenHBand="0" w:firstRowFirstColumn="0" w:firstRowLastColumn="0" w:lastRowFirstColumn="0" w:lastRowLastColumn="0"/>
            </w:pPr>
            <w:r>
              <w:t>15 199</w:t>
            </w:r>
          </w:p>
        </w:tc>
        <w:tc>
          <w:tcPr>
            <w:tcW w:w="964" w:type="dxa"/>
          </w:tcPr>
          <w:p w14:paraId="4D881804" w14:textId="77777777" w:rsidR="0074216D" w:rsidRDefault="0074216D">
            <w:pPr>
              <w:cnfStyle w:val="000000000000" w:firstRow="0" w:lastRow="0" w:firstColumn="0" w:lastColumn="0" w:oddVBand="0" w:evenVBand="0" w:oddHBand="0" w:evenHBand="0" w:firstRowFirstColumn="0" w:firstRowLastColumn="0" w:lastRowFirstColumn="0" w:lastRowLastColumn="0"/>
            </w:pPr>
            <w:r>
              <w:t>20 800</w:t>
            </w:r>
          </w:p>
        </w:tc>
        <w:tc>
          <w:tcPr>
            <w:tcW w:w="964" w:type="dxa"/>
          </w:tcPr>
          <w:p w14:paraId="790E3B19" w14:textId="77777777" w:rsidR="0074216D" w:rsidRDefault="0074216D">
            <w:pPr>
              <w:cnfStyle w:val="000000000000" w:firstRow="0" w:lastRow="0" w:firstColumn="0" w:lastColumn="0" w:oddVBand="0" w:evenVBand="0" w:oddHBand="0" w:evenHBand="0" w:firstRowFirstColumn="0" w:firstRowLastColumn="0" w:lastRowFirstColumn="0" w:lastRowLastColumn="0"/>
            </w:pPr>
            <w:r>
              <w:t>17 253</w:t>
            </w:r>
          </w:p>
        </w:tc>
      </w:tr>
      <w:tr w:rsidR="0074216D" w14:paraId="3000A6B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E930C3" w14:textId="7D064050" w:rsidR="0074216D" w:rsidRDefault="0074216D">
            <w:pPr>
              <w:ind w:left="170"/>
            </w:pPr>
            <w:r>
              <w:rPr>
                <w:i/>
              </w:rPr>
              <w:t>The 2025-26 expected outcome is lower than target due to the program</w:t>
            </w:r>
            <w:r w:rsidR="00324555">
              <w:rPr>
                <w:i/>
              </w:rPr>
              <w:t>’</w:t>
            </w:r>
            <w:r>
              <w:rPr>
                <w:i/>
              </w:rPr>
              <w:t>s focus on prevention, screening and early intervention and improved oral health outcomes. The target and result relate to the calendar year to reflect the school year.</w:t>
            </w:r>
          </w:p>
        </w:tc>
      </w:tr>
      <w:tr w:rsidR="0074216D" w14:paraId="7ED492E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408C0AE" w14:textId="77777777" w:rsidR="0074216D" w:rsidRPr="005314E1" w:rsidRDefault="0074216D">
            <w:pPr>
              <w:keepNext/>
              <w:rPr>
                <w:b/>
              </w:rPr>
            </w:pPr>
            <w:r w:rsidRPr="005314E1">
              <w:rPr>
                <w:b/>
              </w:rPr>
              <w:t>Timeliness</w:t>
            </w:r>
          </w:p>
        </w:tc>
      </w:tr>
      <w:tr w:rsidR="0074216D" w14:paraId="7250FE3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146A88" w14:textId="77777777" w:rsidR="0074216D" w:rsidRDefault="0074216D">
            <w:pPr>
              <w:ind w:left="170"/>
            </w:pPr>
            <w:r>
              <w:t>Percentage of Dental Emergency Triage Category 1 clients treated within 24 hours</w:t>
            </w:r>
          </w:p>
        </w:tc>
        <w:tc>
          <w:tcPr>
            <w:tcW w:w="964" w:type="dxa"/>
            <w:tcBorders>
              <w:bottom w:val="single" w:sz="6" w:space="0" w:color="auto"/>
            </w:tcBorders>
          </w:tcPr>
          <w:p w14:paraId="7647A95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6374DF6"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2B69F6D"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30ECFE5"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A4A5FFB" w14:textId="77777777" w:rsidR="0074216D" w:rsidRDefault="0074216D">
            <w:pPr>
              <w:cnfStyle w:val="000000000000" w:firstRow="0" w:lastRow="0" w:firstColumn="0" w:lastColumn="0" w:oddVBand="0" w:evenVBand="0" w:oddHBand="0" w:evenHBand="0" w:firstRowFirstColumn="0" w:firstRowLastColumn="0" w:lastRowFirstColumn="0" w:lastRowLastColumn="0"/>
            </w:pPr>
            <w:r>
              <w:t>93</w:t>
            </w:r>
          </w:p>
        </w:tc>
      </w:tr>
      <w:tr w:rsidR="0074216D" w14:paraId="2CF6E37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835829C" w14:textId="77777777" w:rsidR="0074216D" w:rsidRDefault="0074216D">
            <w:pPr>
              <w:ind w:left="170"/>
            </w:pPr>
            <w:r>
              <w:t>Waiting time for dentures</w:t>
            </w:r>
          </w:p>
        </w:tc>
        <w:tc>
          <w:tcPr>
            <w:tcW w:w="964" w:type="dxa"/>
            <w:tcBorders>
              <w:bottom w:val="single" w:sz="6" w:space="0" w:color="auto"/>
            </w:tcBorders>
          </w:tcPr>
          <w:p w14:paraId="27E0739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tcBorders>
              <w:bottom w:val="single" w:sz="6" w:space="0" w:color="auto"/>
            </w:tcBorders>
            <w:shd w:val="clear" w:color="auto" w:fill="F0F0F0"/>
          </w:tcPr>
          <w:p w14:paraId="68C018D0" w14:textId="77777777" w:rsidR="0074216D" w:rsidRDefault="0074216D">
            <w:pPr>
              <w:cnfStyle w:val="000000000000" w:firstRow="0" w:lastRow="0" w:firstColumn="0" w:lastColumn="0" w:oddVBand="0" w:evenVBand="0" w:oddHBand="0" w:evenHBand="0" w:firstRowFirstColumn="0" w:firstRowLastColumn="0" w:lastRowFirstColumn="0" w:lastRowLastColumn="0"/>
            </w:pPr>
            <w:r>
              <w:t>22</w:t>
            </w:r>
          </w:p>
        </w:tc>
        <w:tc>
          <w:tcPr>
            <w:tcW w:w="964" w:type="dxa"/>
            <w:tcBorders>
              <w:bottom w:val="single" w:sz="6" w:space="0" w:color="auto"/>
            </w:tcBorders>
          </w:tcPr>
          <w:p w14:paraId="2C84C80B" w14:textId="77777777" w:rsidR="0074216D" w:rsidRDefault="0074216D">
            <w:pPr>
              <w:cnfStyle w:val="000000000000" w:firstRow="0" w:lastRow="0" w:firstColumn="0" w:lastColumn="0" w:oddVBand="0" w:evenVBand="0" w:oddHBand="0" w:evenHBand="0" w:firstRowFirstColumn="0" w:firstRowLastColumn="0" w:lastRowFirstColumn="0" w:lastRowLastColumn="0"/>
            </w:pPr>
            <w:r>
              <w:t>22</w:t>
            </w:r>
          </w:p>
        </w:tc>
        <w:tc>
          <w:tcPr>
            <w:tcW w:w="964" w:type="dxa"/>
            <w:tcBorders>
              <w:bottom w:val="single" w:sz="6" w:space="0" w:color="auto"/>
            </w:tcBorders>
          </w:tcPr>
          <w:p w14:paraId="7CFB17B9" w14:textId="77777777" w:rsidR="0074216D" w:rsidRDefault="0074216D">
            <w:pPr>
              <w:cnfStyle w:val="000000000000" w:firstRow="0" w:lastRow="0" w:firstColumn="0" w:lastColumn="0" w:oddVBand="0" w:evenVBand="0" w:oddHBand="0" w:evenHBand="0" w:firstRowFirstColumn="0" w:firstRowLastColumn="0" w:lastRowFirstColumn="0" w:lastRowLastColumn="0"/>
            </w:pPr>
            <w:r>
              <w:t>22</w:t>
            </w:r>
          </w:p>
        </w:tc>
        <w:tc>
          <w:tcPr>
            <w:tcW w:w="964" w:type="dxa"/>
            <w:tcBorders>
              <w:bottom w:val="single" w:sz="6" w:space="0" w:color="auto"/>
            </w:tcBorders>
          </w:tcPr>
          <w:p w14:paraId="47CA0A38" w14:textId="77777777" w:rsidR="0074216D" w:rsidRDefault="0074216D">
            <w:pPr>
              <w:cnfStyle w:val="000000000000" w:firstRow="0" w:lastRow="0" w:firstColumn="0" w:lastColumn="0" w:oddVBand="0" w:evenVBand="0" w:oddHBand="0" w:evenHBand="0" w:firstRowFirstColumn="0" w:firstRowLastColumn="0" w:lastRowFirstColumn="0" w:lastRowLastColumn="0"/>
            </w:pPr>
            <w:r>
              <w:t>11.4</w:t>
            </w:r>
          </w:p>
        </w:tc>
      </w:tr>
      <w:tr w:rsidR="0074216D" w14:paraId="3E90CAE1"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681B70F" w14:textId="77777777" w:rsidR="0074216D" w:rsidRDefault="0074216D">
            <w:pPr>
              <w:ind w:left="170"/>
            </w:pPr>
            <w:r>
              <w:t>Waiting time for general dental care</w:t>
            </w:r>
          </w:p>
        </w:tc>
        <w:tc>
          <w:tcPr>
            <w:tcW w:w="964" w:type="dxa"/>
            <w:tcBorders>
              <w:bottom w:val="single" w:sz="6" w:space="0" w:color="auto"/>
            </w:tcBorders>
          </w:tcPr>
          <w:p w14:paraId="095877F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tcBorders>
              <w:bottom w:val="single" w:sz="6" w:space="0" w:color="auto"/>
            </w:tcBorders>
            <w:shd w:val="clear" w:color="auto" w:fill="F0F0F0"/>
          </w:tcPr>
          <w:p w14:paraId="21FF1D71" w14:textId="77777777" w:rsidR="0074216D" w:rsidRDefault="0074216D">
            <w:pPr>
              <w:cnfStyle w:val="000000000000" w:firstRow="0" w:lastRow="0" w:firstColumn="0" w:lastColumn="0" w:oddVBand="0" w:evenVBand="0" w:oddHBand="0" w:evenHBand="0" w:firstRowFirstColumn="0" w:firstRowLastColumn="0" w:lastRowFirstColumn="0" w:lastRowLastColumn="0"/>
            </w:pPr>
            <w:r>
              <w:t>23</w:t>
            </w:r>
          </w:p>
        </w:tc>
        <w:tc>
          <w:tcPr>
            <w:tcW w:w="964" w:type="dxa"/>
            <w:tcBorders>
              <w:bottom w:val="single" w:sz="6" w:space="0" w:color="auto"/>
            </w:tcBorders>
          </w:tcPr>
          <w:p w14:paraId="5319424E" w14:textId="77777777" w:rsidR="0074216D" w:rsidRDefault="0074216D">
            <w:pPr>
              <w:cnfStyle w:val="000000000000" w:firstRow="0" w:lastRow="0" w:firstColumn="0" w:lastColumn="0" w:oddVBand="0" w:evenVBand="0" w:oddHBand="0" w:evenHBand="0" w:firstRowFirstColumn="0" w:firstRowLastColumn="0" w:lastRowFirstColumn="0" w:lastRowLastColumn="0"/>
            </w:pPr>
            <w:r>
              <w:t>23</w:t>
            </w:r>
          </w:p>
        </w:tc>
        <w:tc>
          <w:tcPr>
            <w:tcW w:w="964" w:type="dxa"/>
            <w:tcBorders>
              <w:bottom w:val="single" w:sz="6" w:space="0" w:color="auto"/>
            </w:tcBorders>
          </w:tcPr>
          <w:p w14:paraId="0B118467" w14:textId="77777777" w:rsidR="0074216D" w:rsidRDefault="0074216D">
            <w:pPr>
              <w:cnfStyle w:val="000000000000" w:firstRow="0" w:lastRow="0" w:firstColumn="0" w:lastColumn="0" w:oddVBand="0" w:evenVBand="0" w:oddHBand="0" w:evenHBand="0" w:firstRowFirstColumn="0" w:firstRowLastColumn="0" w:lastRowFirstColumn="0" w:lastRowLastColumn="0"/>
            </w:pPr>
            <w:r>
              <w:t>23</w:t>
            </w:r>
          </w:p>
        </w:tc>
        <w:tc>
          <w:tcPr>
            <w:tcW w:w="964" w:type="dxa"/>
            <w:tcBorders>
              <w:bottom w:val="single" w:sz="6" w:space="0" w:color="auto"/>
            </w:tcBorders>
          </w:tcPr>
          <w:p w14:paraId="3A1123A2" w14:textId="77777777" w:rsidR="0074216D" w:rsidRDefault="0074216D">
            <w:pPr>
              <w:cnfStyle w:val="000000000000" w:firstRow="0" w:lastRow="0" w:firstColumn="0" w:lastColumn="0" w:oddVBand="0" w:evenVBand="0" w:oddHBand="0" w:evenHBand="0" w:firstRowFirstColumn="0" w:firstRowLastColumn="0" w:lastRowFirstColumn="0" w:lastRowLastColumn="0"/>
            </w:pPr>
            <w:r>
              <w:t>13</w:t>
            </w:r>
          </w:p>
        </w:tc>
      </w:tr>
      <w:tr w:rsidR="0074216D" w14:paraId="1DD1D88C"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nil"/>
            </w:tcBorders>
          </w:tcPr>
          <w:p w14:paraId="53C3E916" w14:textId="77777777" w:rsidR="0074216D" w:rsidRPr="005314E1" w:rsidRDefault="0074216D">
            <w:pPr>
              <w:rPr>
                <w:b/>
              </w:rPr>
            </w:pPr>
            <w:r w:rsidRPr="005314E1">
              <w:rPr>
                <w:b/>
              </w:rPr>
              <w:t>Cost</w:t>
            </w:r>
          </w:p>
        </w:tc>
      </w:tr>
      <w:tr w:rsidR="0074216D" w14:paraId="3CBE7902"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top w:val="nil"/>
            </w:tcBorders>
          </w:tcPr>
          <w:p w14:paraId="166D2763" w14:textId="77777777" w:rsidR="0074216D" w:rsidRDefault="0074216D">
            <w:pPr>
              <w:ind w:left="170"/>
            </w:pPr>
            <w:r>
              <w:t>Total output cost</w:t>
            </w:r>
          </w:p>
        </w:tc>
        <w:tc>
          <w:tcPr>
            <w:tcW w:w="964" w:type="dxa"/>
            <w:tcBorders>
              <w:top w:val="nil"/>
            </w:tcBorders>
          </w:tcPr>
          <w:p w14:paraId="748CC11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nil"/>
            </w:tcBorders>
            <w:shd w:val="clear" w:color="auto" w:fill="F0F0F0"/>
          </w:tcPr>
          <w:p w14:paraId="56D8EED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12C5F">
              <w:t xml:space="preserve"> 239.3</w:t>
            </w:r>
          </w:p>
        </w:tc>
        <w:tc>
          <w:tcPr>
            <w:tcW w:w="964" w:type="dxa"/>
            <w:tcBorders>
              <w:top w:val="nil"/>
            </w:tcBorders>
          </w:tcPr>
          <w:p w14:paraId="5B508E3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12C5F">
              <w:t xml:space="preserve"> 320.9</w:t>
            </w:r>
          </w:p>
        </w:tc>
        <w:tc>
          <w:tcPr>
            <w:tcW w:w="964" w:type="dxa"/>
            <w:tcBorders>
              <w:top w:val="nil"/>
            </w:tcBorders>
          </w:tcPr>
          <w:p w14:paraId="3C6BDBF2"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12C5F">
              <w:t xml:space="preserve"> 218.3</w:t>
            </w:r>
          </w:p>
        </w:tc>
        <w:tc>
          <w:tcPr>
            <w:tcW w:w="964" w:type="dxa"/>
            <w:tcBorders>
              <w:top w:val="nil"/>
            </w:tcBorders>
          </w:tcPr>
          <w:p w14:paraId="10E1AD35"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512C5F">
              <w:t xml:space="preserve"> 290.5</w:t>
            </w:r>
          </w:p>
        </w:tc>
      </w:tr>
      <w:tr w:rsidR="0074216D" w14:paraId="7C69449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23528C0" w14:textId="77777777" w:rsidR="0074216D" w:rsidRPr="003B281E" w:rsidRDefault="0074216D">
            <w:pPr>
              <w:ind w:left="170"/>
              <w:rPr>
                <w:i/>
                <w:iCs/>
              </w:rPr>
            </w:pPr>
            <w:r w:rsidRPr="00D3038E">
              <w:rPr>
                <w:i/>
                <w:iCs/>
              </w:rPr>
              <w:t>The higher 2025-26 expected outcome reflects funding provided for government policy initiatives and Commonwealth funding.</w:t>
            </w:r>
          </w:p>
        </w:tc>
      </w:tr>
      <w:tr w:rsidR="0074216D" w14:paraId="57BFF0E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D790BA0" w14:textId="77777777" w:rsidR="0074216D" w:rsidRDefault="0074216D">
            <w:pPr>
              <w:ind w:left="170"/>
            </w:pPr>
            <w:r w:rsidRPr="00202348">
              <w:rPr>
                <w:i/>
                <w:iCs/>
              </w:rPr>
              <w:t>The higher 2026-27 target is due to new funding provided for government policy commitments.</w:t>
            </w:r>
          </w:p>
        </w:tc>
      </w:tr>
    </w:tbl>
    <w:p w14:paraId="798AEBBE" w14:textId="77777777" w:rsidR="0074216D" w:rsidRDefault="0074216D" w:rsidP="0074216D">
      <w:pPr>
        <w:pStyle w:val="Source"/>
      </w:pPr>
      <w:r>
        <w:t>Source: Department of Health</w:t>
      </w:r>
    </w:p>
    <w:p w14:paraId="6182DFF1" w14:textId="77777777" w:rsidR="0074216D" w:rsidRDefault="0074216D" w:rsidP="0074216D">
      <w:pPr>
        <w:pStyle w:val="Heading3"/>
      </w:pPr>
      <w:r>
        <w:lastRenderedPageBreak/>
        <w:t>Maternal and Child Health and Early Parenting Services</w:t>
      </w:r>
      <w:r>
        <w:tab/>
        <w:t>(2026-27: $204.0 million)</w:t>
      </w:r>
    </w:p>
    <w:p w14:paraId="74D60D92" w14:textId="77777777" w:rsidR="0074216D" w:rsidRPr="00711473" w:rsidRDefault="0074216D" w:rsidP="003E3DEA">
      <w:pPr>
        <w:keepNext/>
        <w:spacing w:after="120"/>
        <w:rPr>
          <w:rFonts w:ascii="Garamond" w:hAnsi="Garamond"/>
          <w:lang w:eastAsia="en-AU"/>
        </w:rPr>
      </w:pPr>
      <w:r w:rsidRPr="004E78DC">
        <w:rPr>
          <w:rFonts w:ascii="Garamond" w:hAnsi="Garamond"/>
          <w:lang w:eastAsia="en-AU"/>
        </w:rPr>
        <w:t xml:space="preserve">This output </w:t>
      </w:r>
      <w:r w:rsidRPr="004E78DC">
        <w:t>involves</w:t>
      </w:r>
      <w:r w:rsidRPr="004E78DC">
        <w:rPr>
          <w:rFonts w:ascii="Garamond" w:hAnsi="Garamond"/>
          <w:lang w:eastAsia="en-AU"/>
        </w:rPr>
        <w:t xml:space="preserve"> the provision of community-based maternal and child health services available to all families with children.</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4E3C05B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2D37EE4" w14:textId="77777777" w:rsidR="0074216D" w:rsidRDefault="0074216D">
            <w:r>
              <w:t>Performance measure</w:t>
            </w:r>
          </w:p>
        </w:tc>
        <w:tc>
          <w:tcPr>
            <w:tcW w:w="964" w:type="dxa"/>
          </w:tcPr>
          <w:p w14:paraId="16B7DD8D"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6BB333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6A8289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C29BC0A"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81F924A"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0A7CCB0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FB4E9DE" w14:textId="77777777" w:rsidR="0074216D" w:rsidRPr="005314E1" w:rsidRDefault="0074216D">
            <w:pPr>
              <w:keepNext/>
              <w:rPr>
                <w:b/>
              </w:rPr>
            </w:pPr>
            <w:r w:rsidRPr="005314E1">
              <w:rPr>
                <w:b/>
              </w:rPr>
              <w:t>Quantity</w:t>
            </w:r>
          </w:p>
        </w:tc>
      </w:tr>
      <w:tr w:rsidR="0074216D" w14:paraId="27BD01D6" w14:textId="77777777">
        <w:tc>
          <w:tcPr>
            <w:cnfStyle w:val="001000000000" w:firstRow="0" w:lastRow="0" w:firstColumn="1" w:lastColumn="0" w:oddVBand="0" w:evenVBand="0" w:oddHBand="0" w:evenHBand="0" w:firstRowFirstColumn="0" w:firstRowLastColumn="0" w:lastRowFirstColumn="0" w:lastRowLastColumn="0"/>
            <w:tcW w:w="4819" w:type="dxa"/>
          </w:tcPr>
          <w:p w14:paraId="7086B704" w14:textId="77777777" w:rsidR="0074216D" w:rsidRDefault="0074216D">
            <w:pPr>
              <w:keepNext/>
              <w:ind w:left="170"/>
            </w:pPr>
            <w:r>
              <w:t>Hours of additional support delivered through the Enhanced Maternal and Child Health program</w:t>
            </w:r>
          </w:p>
        </w:tc>
        <w:tc>
          <w:tcPr>
            <w:tcW w:w="964" w:type="dxa"/>
          </w:tcPr>
          <w:p w14:paraId="7B2819F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7959AC" w14:textId="77777777" w:rsidR="0074216D" w:rsidRDefault="0074216D">
            <w:pPr>
              <w:cnfStyle w:val="000000000000" w:firstRow="0" w:lastRow="0" w:firstColumn="0" w:lastColumn="0" w:oddVBand="0" w:evenVBand="0" w:oddHBand="0" w:evenHBand="0" w:firstRowFirstColumn="0" w:firstRowLastColumn="0" w:lastRowFirstColumn="0" w:lastRowLastColumn="0"/>
            </w:pPr>
            <w:r>
              <w:t>248 000</w:t>
            </w:r>
          </w:p>
        </w:tc>
        <w:tc>
          <w:tcPr>
            <w:tcW w:w="964" w:type="dxa"/>
          </w:tcPr>
          <w:p w14:paraId="6671EAD5" w14:textId="77777777" w:rsidR="0074216D" w:rsidRDefault="0074216D">
            <w:pPr>
              <w:cnfStyle w:val="000000000000" w:firstRow="0" w:lastRow="0" w:firstColumn="0" w:lastColumn="0" w:oddVBand="0" w:evenVBand="0" w:oddHBand="0" w:evenHBand="0" w:firstRowFirstColumn="0" w:firstRowLastColumn="0" w:lastRowFirstColumn="0" w:lastRowLastColumn="0"/>
            </w:pPr>
            <w:r>
              <w:t>180 000</w:t>
            </w:r>
          </w:p>
        </w:tc>
        <w:tc>
          <w:tcPr>
            <w:tcW w:w="964" w:type="dxa"/>
          </w:tcPr>
          <w:p w14:paraId="3B4AD4EE" w14:textId="77777777" w:rsidR="0074216D" w:rsidRDefault="0074216D">
            <w:pPr>
              <w:cnfStyle w:val="000000000000" w:firstRow="0" w:lastRow="0" w:firstColumn="0" w:lastColumn="0" w:oddVBand="0" w:evenVBand="0" w:oddHBand="0" w:evenHBand="0" w:firstRowFirstColumn="0" w:firstRowLastColumn="0" w:lastRowFirstColumn="0" w:lastRowLastColumn="0"/>
            </w:pPr>
            <w:r>
              <w:t>248 000</w:t>
            </w:r>
          </w:p>
        </w:tc>
        <w:tc>
          <w:tcPr>
            <w:tcW w:w="964" w:type="dxa"/>
          </w:tcPr>
          <w:p w14:paraId="40D78959" w14:textId="77777777" w:rsidR="0074216D" w:rsidRDefault="0074216D">
            <w:pPr>
              <w:cnfStyle w:val="000000000000" w:firstRow="0" w:lastRow="0" w:firstColumn="0" w:lastColumn="0" w:oddVBand="0" w:evenVBand="0" w:oddHBand="0" w:evenHBand="0" w:firstRowFirstColumn="0" w:firstRowLastColumn="0" w:lastRowFirstColumn="0" w:lastRowLastColumn="0"/>
            </w:pPr>
            <w:r>
              <w:t>182 374</w:t>
            </w:r>
          </w:p>
        </w:tc>
      </w:tr>
      <w:tr w:rsidR="0074216D" w14:paraId="1E826FF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FC34CE" w14:textId="77777777" w:rsidR="0074216D" w:rsidRDefault="0074216D">
            <w:pPr>
              <w:ind w:left="170"/>
            </w:pPr>
            <w:r>
              <w:rPr>
                <w:i/>
              </w:rPr>
              <w:t>The 2025-26 expected outcome is lower than target due to limitations in the current data collection system. These limitations are expected to be addressed through the design and implementation of a new Maternal and Child Health client management system. The performance target will be reviewed in future years following this upgrade.</w:t>
            </w:r>
          </w:p>
        </w:tc>
      </w:tr>
      <w:tr w:rsidR="0074216D" w14:paraId="28F22782" w14:textId="77777777">
        <w:tc>
          <w:tcPr>
            <w:cnfStyle w:val="001000000000" w:firstRow="0" w:lastRow="0" w:firstColumn="1" w:lastColumn="0" w:oddVBand="0" w:evenVBand="0" w:oddHBand="0" w:evenHBand="0" w:firstRowFirstColumn="0" w:firstRowLastColumn="0" w:lastRowFirstColumn="0" w:lastRowLastColumn="0"/>
            <w:tcW w:w="4819" w:type="dxa"/>
          </w:tcPr>
          <w:p w14:paraId="0D0D57BB" w14:textId="3B3FD84E" w:rsidR="0074216D" w:rsidRDefault="0074216D">
            <w:pPr>
              <w:keepNext/>
              <w:ind w:left="170"/>
            </w:pPr>
            <w:r>
              <w:t xml:space="preserve">Total number of Maternal and Child Health Service clients </w:t>
            </w:r>
            <w:r w:rsidR="002B0C7C">
              <w:br/>
            </w:r>
            <w:r>
              <w:t>(aged 0 to 1 year)</w:t>
            </w:r>
          </w:p>
        </w:tc>
        <w:tc>
          <w:tcPr>
            <w:tcW w:w="964" w:type="dxa"/>
          </w:tcPr>
          <w:p w14:paraId="53EB58F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6C169EE" w14:textId="77777777" w:rsidR="0074216D" w:rsidRDefault="0074216D">
            <w:pPr>
              <w:cnfStyle w:val="000000000000" w:firstRow="0" w:lastRow="0" w:firstColumn="0" w:lastColumn="0" w:oddVBand="0" w:evenVBand="0" w:oddHBand="0" w:evenHBand="0" w:firstRowFirstColumn="0" w:firstRowLastColumn="0" w:lastRowFirstColumn="0" w:lastRowLastColumn="0"/>
            </w:pPr>
            <w:r>
              <w:t>80 000</w:t>
            </w:r>
          </w:p>
        </w:tc>
        <w:tc>
          <w:tcPr>
            <w:tcW w:w="964" w:type="dxa"/>
          </w:tcPr>
          <w:p w14:paraId="450993A5" w14:textId="77777777" w:rsidR="0074216D" w:rsidRDefault="0074216D">
            <w:pPr>
              <w:cnfStyle w:val="000000000000" w:firstRow="0" w:lastRow="0" w:firstColumn="0" w:lastColumn="0" w:oddVBand="0" w:evenVBand="0" w:oddHBand="0" w:evenHBand="0" w:firstRowFirstColumn="0" w:firstRowLastColumn="0" w:lastRowFirstColumn="0" w:lastRowLastColumn="0"/>
            </w:pPr>
            <w:r>
              <w:t>73 000</w:t>
            </w:r>
          </w:p>
        </w:tc>
        <w:tc>
          <w:tcPr>
            <w:tcW w:w="964" w:type="dxa"/>
          </w:tcPr>
          <w:p w14:paraId="1B720606" w14:textId="77777777" w:rsidR="0074216D" w:rsidRDefault="0074216D">
            <w:pPr>
              <w:cnfStyle w:val="000000000000" w:firstRow="0" w:lastRow="0" w:firstColumn="0" w:lastColumn="0" w:oddVBand="0" w:evenVBand="0" w:oddHBand="0" w:evenHBand="0" w:firstRowFirstColumn="0" w:firstRowLastColumn="0" w:lastRowFirstColumn="0" w:lastRowLastColumn="0"/>
            </w:pPr>
            <w:r>
              <w:t>80 000</w:t>
            </w:r>
          </w:p>
        </w:tc>
        <w:tc>
          <w:tcPr>
            <w:tcW w:w="964" w:type="dxa"/>
          </w:tcPr>
          <w:p w14:paraId="005DC8EF" w14:textId="77777777" w:rsidR="0074216D" w:rsidRDefault="0074216D">
            <w:pPr>
              <w:cnfStyle w:val="000000000000" w:firstRow="0" w:lastRow="0" w:firstColumn="0" w:lastColumn="0" w:oddVBand="0" w:evenVBand="0" w:oddHBand="0" w:evenHBand="0" w:firstRowFirstColumn="0" w:firstRowLastColumn="0" w:lastRowFirstColumn="0" w:lastRowLastColumn="0"/>
            </w:pPr>
            <w:r>
              <w:t>73 002</w:t>
            </w:r>
          </w:p>
        </w:tc>
      </w:tr>
      <w:tr w:rsidR="0074216D" w14:paraId="4386C3B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CE25FEC" w14:textId="77777777" w:rsidR="0074216D" w:rsidRDefault="0074216D">
            <w:pPr>
              <w:ind w:left="170"/>
            </w:pPr>
            <w:r>
              <w:rPr>
                <w:i/>
              </w:rPr>
              <w:t>The 2025-26 expected outcome is lower than target as the target does not adjust for change in birth rates. Performance against this measure is directly influenced by the number of new births in Victoria.</w:t>
            </w:r>
          </w:p>
        </w:tc>
      </w:tr>
      <w:tr w:rsidR="0074216D" w14:paraId="7299E7D2"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240F1B60" w14:textId="77777777" w:rsidR="0074216D" w:rsidRPr="005314E1" w:rsidRDefault="0074216D">
            <w:pPr>
              <w:keepNext/>
              <w:rPr>
                <w:b/>
              </w:rPr>
            </w:pPr>
            <w:r w:rsidRPr="005314E1">
              <w:rPr>
                <w:b/>
              </w:rPr>
              <w:t>Timeliness</w:t>
            </w:r>
          </w:p>
        </w:tc>
      </w:tr>
      <w:tr w:rsidR="0074216D" w14:paraId="3908BB0D"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55F5B1A" w14:textId="77777777" w:rsidR="0074216D" w:rsidRDefault="0074216D">
            <w:pPr>
              <w:ind w:left="170"/>
            </w:pPr>
            <w:r>
              <w:t>Children aged 0 to 1 month enrolled at maternal and child health services from birth notifications</w:t>
            </w:r>
          </w:p>
        </w:tc>
        <w:tc>
          <w:tcPr>
            <w:tcW w:w="964" w:type="dxa"/>
            <w:tcBorders>
              <w:bottom w:val="single" w:sz="6" w:space="0" w:color="auto"/>
            </w:tcBorders>
          </w:tcPr>
          <w:p w14:paraId="0636B902"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C643CEB" w14:textId="77777777" w:rsidR="0074216D" w:rsidRDefault="0074216D">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2C81F03E" w14:textId="77777777" w:rsidR="0074216D" w:rsidRDefault="0074216D">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FEA5185" w14:textId="77777777" w:rsidR="0074216D" w:rsidRDefault="0074216D">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2B460A5F"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r>
      <w:tr w:rsidR="0074216D" w14:paraId="5CD4A19A"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EFCA1B7" w14:textId="77777777" w:rsidR="0074216D" w:rsidRPr="005314E1" w:rsidRDefault="0074216D">
            <w:pPr>
              <w:rPr>
                <w:b/>
              </w:rPr>
            </w:pPr>
            <w:r w:rsidRPr="005314E1">
              <w:rPr>
                <w:b/>
              </w:rPr>
              <w:t>Cost</w:t>
            </w:r>
          </w:p>
        </w:tc>
      </w:tr>
      <w:tr w:rsidR="0074216D" w14:paraId="791C89BC" w14:textId="77777777" w:rsidTr="002B0C7C">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64486CA8" w14:textId="77777777" w:rsidR="0074216D" w:rsidRDefault="0074216D">
            <w:pPr>
              <w:ind w:left="170"/>
            </w:pPr>
            <w:r>
              <w:t>Total output cost</w:t>
            </w:r>
          </w:p>
        </w:tc>
        <w:tc>
          <w:tcPr>
            <w:tcW w:w="964" w:type="dxa"/>
            <w:tcBorders>
              <w:bottom w:val="nil"/>
            </w:tcBorders>
          </w:tcPr>
          <w:p w14:paraId="497D4F7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675E20F4"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136D76">
              <w:t xml:space="preserve"> 204.0</w:t>
            </w:r>
          </w:p>
        </w:tc>
        <w:tc>
          <w:tcPr>
            <w:tcW w:w="964" w:type="dxa"/>
            <w:tcBorders>
              <w:bottom w:val="nil"/>
            </w:tcBorders>
          </w:tcPr>
          <w:p w14:paraId="21232E99"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136D76">
              <w:t xml:space="preserve"> 213.6</w:t>
            </w:r>
          </w:p>
        </w:tc>
        <w:tc>
          <w:tcPr>
            <w:tcW w:w="964" w:type="dxa"/>
            <w:tcBorders>
              <w:bottom w:val="nil"/>
            </w:tcBorders>
          </w:tcPr>
          <w:p w14:paraId="5DBF6405"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136D76">
              <w:t xml:space="preserve"> 202.9</w:t>
            </w:r>
          </w:p>
        </w:tc>
        <w:tc>
          <w:tcPr>
            <w:tcW w:w="964" w:type="dxa"/>
            <w:tcBorders>
              <w:bottom w:val="nil"/>
            </w:tcBorders>
          </w:tcPr>
          <w:p w14:paraId="126CF5C0"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136D76">
              <w:t xml:space="preserve"> 194.1</w:t>
            </w:r>
          </w:p>
        </w:tc>
      </w:tr>
      <w:tr w:rsidR="0074216D" w14:paraId="71A2F5DA" w14:textId="77777777" w:rsidTr="002B0C7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6DCD9F8" w14:textId="458A8056" w:rsidR="0074216D" w:rsidRDefault="0074216D">
            <w:pPr>
              <w:ind w:left="170"/>
            </w:pPr>
            <w:r w:rsidRPr="00A56D7A">
              <w:rPr>
                <w:i/>
              </w:rPr>
              <w:t>The higher 2025-26 expected outcome reflects a revision to estimated hospital revenue.</w:t>
            </w:r>
          </w:p>
        </w:tc>
      </w:tr>
    </w:tbl>
    <w:p w14:paraId="13BEA894" w14:textId="77777777" w:rsidR="0074216D" w:rsidRDefault="0074216D" w:rsidP="0074216D">
      <w:pPr>
        <w:pStyle w:val="Source"/>
      </w:pPr>
      <w:r>
        <w:t>Source: Department of Health</w:t>
      </w:r>
    </w:p>
    <w:p w14:paraId="1455FD53" w14:textId="77777777" w:rsidR="0074216D" w:rsidRDefault="0074216D" w:rsidP="0074216D">
      <w:pPr>
        <w:pStyle w:val="Heading3"/>
      </w:pPr>
      <w:r>
        <w:t>Public Health</w:t>
      </w:r>
      <w:r>
        <w:tab/>
        <w:t>(2026-27: $406.1 million)</w:t>
      </w:r>
    </w:p>
    <w:p w14:paraId="41E41E89" w14:textId="77777777" w:rsidR="0074216D" w:rsidRPr="00B73DA4" w:rsidRDefault="0074216D" w:rsidP="0074216D">
      <w:pPr>
        <w:keepNext/>
        <w:spacing w:after="120"/>
        <w:rPr>
          <w:rFonts w:ascii="Garamond" w:eastAsia="Garamond" w:hAnsi="Garamond"/>
          <w:lang w:eastAsia="en-AU"/>
        </w:rPr>
      </w:pPr>
      <w:r w:rsidRPr="00B004F3">
        <w:rPr>
          <w:rFonts w:ascii="Garamond" w:eastAsia="Garamond" w:hAnsi="Garamond"/>
          <w:lang w:eastAsia="en-AU"/>
        </w:rPr>
        <w:t xml:space="preserve">This output includes delivery of services that improve and protect the health of Victorians. These </w:t>
      </w:r>
      <w:r w:rsidRPr="00B004F3">
        <w:t>services</w:t>
      </w:r>
      <w:r w:rsidRPr="00B004F3">
        <w:rPr>
          <w:rFonts w:ascii="Garamond" w:eastAsia="Garamond" w:hAnsi="Garamond"/>
          <w:lang w:eastAsia="en-AU"/>
        </w:rPr>
        <w:t xml:space="preserve"> include a range of programs including regulation, surveillance and the provision of statutory services; the provision of community information and the fostering of healthy behaviours; training in emergency management preparedness, planning, response, relief, and recovery.</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74216D" w14:paraId="51F9A670" w14:textId="77777777" w:rsidTr="0053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67744F40" w14:textId="77777777" w:rsidR="0074216D" w:rsidRDefault="0074216D">
            <w:r>
              <w:t>Performance measure</w:t>
            </w:r>
          </w:p>
        </w:tc>
        <w:tc>
          <w:tcPr>
            <w:tcW w:w="964" w:type="dxa"/>
            <w:tcBorders>
              <w:bottom w:val="nil"/>
            </w:tcBorders>
          </w:tcPr>
          <w:p w14:paraId="74113026"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Borders>
              <w:bottom w:val="nil"/>
            </w:tcBorders>
          </w:tcPr>
          <w:p w14:paraId="52712334"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Borders>
              <w:bottom w:val="nil"/>
            </w:tcBorders>
          </w:tcPr>
          <w:p w14:paraId="59607667"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Borders>
              <w:bottom w:val="nil"/>
            </w:tcBorders>
          </w:tcPr>
          <w:p w14:paraId="64AB3890"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Borders>
              <w:bottom w:val="nil"/>
            </w:tcBorders>
          </w:tcPr>
          <w:p w14:paraId="17A5E2C7"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5A6B99" w14:paraId="4055694A" w14:textId="77777777" w:rsidTr="005314E1">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64C6D830" w14:textId="32BBE529" w:rsidR="005A6B99" w:rsidRPr="005314E1" w:rsidRDefault="005A6B99" w:rsidP="005314E1">
            <w:pPr>
              <w:rPr>
                <w:b/>
              </w:rPr>
            </w:pPr>
            <w:r>
              <w:rPr>
                <w:b/>
                <w:bCs/>
              </w:rPr>
              <w:t>Quantity</w:t>
            </w:r>
          </w:p>
        </w:tc>
        <w:tc>
          <w:tcPr>
            <w:tcW w:w="964" w:type="dxa"/>
            <w:tcBorders>
              <w:bottom w:val="nil"/>
            </w:tcBorders>
          </w:tcPr>
          <w:p w14:paraId="3B60A478" w14:textId="77777777" w:rsidR="005A6B99" w:rsidRDefault="005A6B99">
            <w:pPr>
              <w:jc w:val="center"/>
              <w:cnfStyle w:val="000000000000" w:firstRow="0" w:lastRow="0" w:firstColumn="0" w:lastColumn="0" w:oddVBand="0" w:evenVBand="0" w:oddHBand="0" w:evenHBand="0" w:firstRowFirstColumn="0" w:firstRowLastColumn="0" w:lastRowFirstColumn="0" w:lastRowLastColumn="0"/>
            </w:pPr>
          </w:p>
        </w:tc>
        <w:tc>
          <w:tcPr>
            <w:tcW w:w="964" w:type="dxa"/>
            <w:tcBorders>
              <w:bottom w:val="nil"/>
            </w:tcBorders>
            <w:shd w:val="clear" w:color="auto" w:fill="F0F0F0"/>
          </w:tcPr>
          <w:p w14:paraId="0592732D" w14:textId="77777777" w:rsidR="005A6B99" w:rsidRDefault="005A6B99">
            <w:pPr>
              <w:cnfStyle w:val="000000000000" w:firstRow="0" w:lastRow="0" w:firstColumn="0" w:lastColumn="0" w:oddVBand="0" w:evenVBand="0" w:oddHBand="0" w:evenHBand="0" w:firstRowFirstColumn="0" w:firstRowLastColumn="0" w:lastRowFirstColumn="0" w:lastRowLastColumn="0"/>
            </w:pPr>
          </w:p>
        </w:tc>
        <w:tc>
          <w:tcPr>
            <w:tcW w:w="964" w:type="dxa"/>
            <w:tcBorders>
              <w:bottom w:val="nil"/>
            </w:tcBorders>
          </w:tcPr>
          <w:p w14:paraId="5E59482F" w14:textId="77777777" w:rsidR="005A6B99" w:rsidRDefault="005A6B99">
            <w:pPr>
              <w:cnfStyle w:val="000000000000" w:firstRow="0" w:lastRow="0" w:firstColumn="0" w:lastColumn="0" w:oddVBand="0" w:evenVBand="0" w:oddHBand="0" w:evenHBand="0" w:firstRowFirstColumn="0" w:firstRowLastColumn="0" w:lastRowFirstColumn="0" w:lastRowLastColumn="0"/>
            </w:pPr>
          </w:p>
        </w:tc>
        <w:tc>
          <w:tcPr>
            <w:tcW w:w="964" w:type="dxa"/>
            <w:tcBorders>
              <w:bottom w:val="nil"/>
            </w:tcBorders>
          </w:tcPr>
          <w:p w14:paraId="22330DD1" w14:textId="77777777" w:rsidR="005A6B99" w:rsidRDefault="005A6B99">
            <w:pPr>
              <w:cnfStyle w:val="000000000000" w:firstRow="0" w:lastRow="0" w:firstColumn="0" w:lastColumn="0" w:oddVBand="0" w:evenVBand="0" w:oddHBand="0" w:evenHBand="0" w:firstRowFirstColumn="0" w:firstRowLastColumn="0" w:lastRowFirstColumn="0" w:lastRowLastColumn="0"/>
            </w:pPr>
          </w:p>
        </w:tc>
        <w:tc>
          <w:tcPr>
            <w:tcW w:w="964" w:type="dxa"/>
            <w:tcBorders>
              <w:bottom w:val="nil"/>
            </w:tcBorders>
          </w:tcPr>
          <w:p w14:paraId="1BA5BD21" w14:textId="77777777" w:rsidR="005A6B99" w:rsidRDefault="005A6B99">
            <w:pPr>
              <w:cnfStyle w:val="000000000000" w:firstRow="0" w:lastRow="0" w:firstColumn="0" w:lastColumn="0" w:oddVBand="0" w:evenVBand="0" w:oddHBand="0" w:evenHBand="0" w:firstRowFirstColumn="0" w:firstRowLastColumn="0" w:lastRowFirstColumn="0" w:lastRowLastColumn="0"/>
            </w:pPr>
          </w:p>
        </w:tc>
      </w:tr>
      <w:tr w:rsidR="0074216D" w14:paraId="30ECE076" w14:textId="77777777" w:rsidTr="005314E1">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6" w:space="0" w:color="auto"/>
            </w:tcBorders>
          </w:tcPr>
          <w:p w14:paraId="7172EEBA" w14:textId="77777777" w:rsidR="0074216D" w:rsidRDefault="0074216D">
            <w:pPr>
              <w:ind w:left="170"/>
            </w:pPr>
            <w:r>
              <w:t>Inspections of cooling towers</w:t>
            </w:r>
          </w:p>
        </w:tc>
        <w:tc>
          <w:tcPr>
            <w:tcW w:w="964" w:type="dxa"/>
            <w:tcBorders>
              <w:top w:val="nil"/>
              <w:bottom w:val="single" w:sz="6" w:space="0" w:color="auto"/>
            </w:tcBorders>
          </w:tcPr>
          <w:p w14:paraId="613D3FD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nil"/>
              <w:bottom w:val="single" w:sz="6" w:space="0" w:color="auto"/>
            </w:tcBorders>
            <w:shd w:val="clear" w:color="auto" w:fill="F0F0F0"/>
          </w:tcPr>
          <w:p w14:paraId="05C624A6" w14:textId="77777777" w:rsidR="0074216D" w:rsidRDefault="0074216D">
            <w:pPr>
              <w:cnfStyle w:val="000000000000" w:firstRow="0" w:lastRow="0" w:firstColumn="0" w:lastColumn="0" w:oddVBand="0" w:evenVBand="0" w:oddHBand="0" w:evenHBand="0" w:firstRowFirstColumn="0" w:firstRowLastColumn="0" w:lastRowFirstColumn="0" w:lastRowLastColumn="0"/>
            </w:pPr>
            <w:r>
              <w:t>350</w:t>
            </w:r>
          </w:p>
        </w:tc>
        <w:tc>
          <w:tcPr>
            <w:tcW w:w="964" w:type="dxa"/>
            <w:tcBorders>
              <w:top w:val="nil"/>
              <w:bottom w:val="single" w:sz="6" w:space="0" w:color="auto"/>
            </w:tcBorders>
          </w:tcPr>
          <w:p w14:paraId="1D78A11D" w14:textId="77777777" w:rsidR="0074216D" w:rsidRDefault="0074216D">
            <w:pPr>
              <w:cnfStyle w:val="000000000000" w:firstRow="0" w:lastRow="0" w:firstColumn="0" w:lastColumn="0" w:oddVBand="0" w:evenVBand="0" w:oddHBand="0" w:evenHBand="0" w:firstRowFirstColumn="0" w:firstRowLastColumn="0" w:lastRowFirstColumn="0" w:lastRowLastColumn="0"/>
            </w:pPr>
            <w:r>
              <w:t>350</w:t>
            </w:r>
          </w:p>
        </w:tc>
        <w:tc>
          <w:tcPr>
            <w:tcW w:w="964" w:type="dxa"/>
            <w:tcBorders>
              <w:top w:val="nil"/>
              <w:bottom w:val="single" w:sz="6" w:space="0" w:color="auto"/>
            </w:tcBorders>
          </w:tcPr>
          <w:p w14:paraId="37C9A0D7" w14:textId="77777777" w:rsidR="0074216D" w:rsidRDefault="0074216D">
            <w:pPr>
              <w:cnfStyle w:val="000000000000" w:firstRow="0" w:lastRow="0" w:firstColumn="0" w:lastColumn="0" w:oddVBand="0" w:evenVBand="0" w:oddHBand="0" w:evenHBand="0" w:firstRowFirstColumn="0" w:firstRowLastColumn="0" w:lastRowFirstColumn="0" w:lastRowLastColumn="0"/>
            </w:pPr>
            <w:r>
              <w:t>350</w:t>
            </w:r>
          </w:p>
        </w:tc>
        <w:tc>
          <w:tcPr>
            <w:tcW w:w="964" w:type="dxa"/>
            <w:tcBorders>
              <w:top w:val="nil"/>
              <w:bottom w:val="single" w:sz="6" w:space="0" w:color="auto"/>
            </w:tcBorders>
          </w:tcPr>
          <w:p w14:paraId="4D2C20A3" w14:textId="77777777" w:rsidR="0074216D" w:rsidRDefault="0074216D">
            <w:pPr>
              <w:cnfStyle w:val="000000000000" w:firstRow="0" w:lastRow="0" w:firstColumn="0" w:lastColumn="0" w:oddVBand="0" w:evenVBand="0" w:oddHBand="0" w:evenHBand="0" w:firstRowFirstColumn="0" w:firstRowLastColumn="0" w:lastRowFirstColumn="0" w:lastRowLastColumn="0"/>
            </w:pPr>
            <w:r>
              <w:t>1 148</w:t>
            </w:r>
          </w:p>
        </w:tc>
      </w:tr>
      <w:tr w:rsidR="0074216D" w14:paraId="70490252"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A6BE124" w14:textId="77777777" w:rsidR="0074216D" w:rsidRDefault="0074216D">
            <w:pPr>
              <w:ind w:left="170"/>
            </w:pPr>
            <w:r>
              <w:t>Inspections of Radiation Practices</w:t>
            </w:r>
          </w:p>
        </w:tc>
        <w:tc>
          <w:tcPr>
            <w:tcW w:w="964" w:type="dxa"/>
            <w:tcBorders>
              <w:bottom w:val="single" w:sz="6" w:space="0" w:color="auto"/>
            </w:tcBorders>
          </w:tcPr>
          <w:p w14:paraId="67A8E67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59F1D07" w14:textId="77777777" w:rsidR="0074216D" w:rsidRDefault="0074216D">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54298AA8" w14:textId="77777777" w:rsidR="0074216D" w:rsidRDefault="0074216D">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58B92533" w14:textId="77777777" w:rsidR="0074216D" w:rsidRDefault="0074216D">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51D4EB05" w14:textId="77777777" w:rsidR="0074216D" w:rsidRDefault="0074216D">
            <w:pPr>
              <w:cnfStyle w:val="000000000000" w:firstRow="0" w:lastRow="0" w:firstColumn="0" w:lastColumn="0" w:oddVBand="0" w:evenVBand="0" w:oddHBand="0" w:evenHBand="0" w:firstRowFirstColumn="0" w:firstRowLastColumn="0" w:lastRowFirstColumn="0" w:lastRowLastColumn="0"/>
            </w:pPr>
            <w:r>
              <w:t>432</w:t>
            </w:r>
          </w:p>
        </w:tc>
      </w:tr>
      <w:tr w:rsidR="0074216D" w14:paraId="6BF4D12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BEAE605" w14:textId="77777777" w:rsidR="0074216D" w:rsidRDefault="0074216D">
            <w:pPr>
              <w:ind w:left="170"/>
            </w:pPr>
            <w:r>
              <w:t>Number of HIV and sexually transmissible infections tests conducted at PRONTO!</w:t>
            </w:r>
          </w:p>
        </w:tc>
        <w:tc>
          <w:tcPr>
            <w:tcW w:w="964" w:type="dxa"/>
            <w:tcBorders>
              <w:bottom w:val="single" w:sz="6" w:space="0" w:color="auto"/>
            </w:tcBorders>
          </w:tcPr>
          <w:p w14:paraId="3D872CC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5CCA0EA" w14:textId="77777777" w:rsidR="0074216D" w:rsidRDefault="0074216D">
            <w:pPr>
              <w:cnfStyle w:val="000000000000" w:firstRow="0" w:lastRow="0" w:firstColumn="0" w:lastColumn="0" w:oddVBand="0" w:evenVBand="0" w:oddHBand="0" w:evenHBand="0" w:firstRowFirstColumn="0" w:firstRowLastColumn="0" w:lastRowFirstColumn="0" w:lastRowLastColumn="0"/>
            </w:pPr>
            <w:r>
              <w:t>12 500</w:t>
            </w:r>
          </w:p>
        </w:tc>
        <w:tc>
          <w:tcPr>
            <w:tcW w:w="964" w:type="dxa"/>
            <w:tcBorders>
              <w:bottom w:val="single" w:sz="6" w:space="0" w:color="auto"/>
            </w:tcBorders>
          </w:tcPr>
          <w:p w14:paraId="1645D859" w14:textId="77777777" w:rsidR="0074216D" w:rsidRDefault="0074216D">
            <w:pPr>
              <w:cnfStyle w:val="000000000000" w:firstRow="0" w:lastRow="0" w:firstColumn="0" w:lastColumn="0" w:oddVBand="0" w:evenVBand="0" w:oddHBand="0" w:evenHBand="0" w:firstRowFirstColumn="0" w:firstRowLastColumn="0" w:lastRowFirstColumn="0" w:lastRowLastColumn="0"/>
            </w:pPr>
            <w:r>
              <w:t>12 500</w:t>
            </w:r>
          </w:p>
        </w:tc>
        <w:tc>
          <w:tcPr>
            <w:tcW w:w="964" w:type="dxa"/>
            <w:tcBorders>
              <w:bottom w:val="single" w:sz="6" w:space="0" w:color="auto"/>
            </w:tcBorders>
          </w:tcPr>
          <w:p w14:paraId="10898FAC" w14:textId="77777777" w:rsidR="0074216D" w:rsidRDefault="0074216D">
            <w:pPr>
              <w:cnfStyle w:val="000000000000" w:firstRow="0" w:lastRow="0" w:firstColumn="0" w:lastColumn="0" w:oddVBand="0" w:evenVBand="0" w:oddHBand="0" w:evenHBand="0" w:firstRowFirstColumn="0" w:firstRowLastColumn="0" w:lastRowFirstColumn="0" w:lastRowLastColumn="0"/>
            </w:pPr>
            <w:r>
              <w:t>12 500</w:t>
            </w:r>
          </w:p>
        </w:tc>
        <w:tc>
          <w:tcPr>
            <w:tcW w:w="964" w:type="dxa"/>
            <w:tcBorders>
              <w:bottom w:val="single" w:sz="6" w:space="0" w:color="auto"/>
            </w:tcBorders>
          </w:tcPr>
          <w:p w14:paraId="08597BF3" w14:textId="48D2B975" w:rsidR="0074216D" w:rsidRDefault="0074216D">
            <w:pPr>
              <w:cnfStyle w:val="000000000000" w:firstRow="0" w:lastRow="0" w:firstColumn="0" w:lastColumn="0" w:oddVBand="0" w:evenVBand="0" w:oddHBand="0" w:evenHBand="0" w:firstRowFirstColumn="0" w:firstRowLastColumn="0" w:lastRowFirstColumn="0" w:lastRowLastColumn="0"/>
            </w:pPr>
            <w:r>
              <w:t>8</w:t>
            </w:r>
            <w:r w:rsidR="00245A27">
              <w:t xml:space="preserve"> </w:t>
            </w:r>
            <w:r>
              <w:t>948</w:t>
            </w:r>
          </w:p>
        </w:tc>
      </w:tr>
      <w:tr w:rsidR="0074216D" w14:paraId="1EB7A5AF"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A097228" w14:textId="2D042C5B" w:rsidR="0074216D" w:rsidRDefault="0074216D">
            <w:pPr>
              <w:ind w:left="170"/>
            </w:pPr>
            <w:r w:rsidRPr="0032178B">
              <w:t>Number of education or monitoring visits of tobacco or e</w:t>
            </w:r>
            <w:r w:rsidRPr="0032178B">
              <w:noBreakHyphen/>
              <w:t>cigarette retailers</w:t>
            </w:r>
            <w:r>
              <w:br/>
            </w:r>
            <w:r w:rsidRPr="0032178B">
              <w:rPr>
                <w:i/>
              </w:rPr>
              <w:t>The 2025-26 expected outcome is higher than the target as there is variation in council targets and the Department</w:t>
            </w:r>
            <w:r w:rsidR="00324555">
              <w:rPr>
                <w:i/>
              </w:rPr>
              <w:t>’</w:t>
            </w:r>
            <w:r w:rsidRPr="0032178B">
              <w:rPr>
                <w:i/>
              </w:rPr>
              <w:t>s target. This is set via service agreement with Municipal Association of Victoria.</w:t>
            </w:r>
          </w:p>
        </w:tc>
        <w:tc>
          <w:tcPr>
            <w:tcW w:w="964" w:type="dxa"/>
            <w:tcBorders>
              <w:bottom w:val="single" w:sz="6" w:space="0" w:color="auto"/>
            </w:tcBorders>
          </w:tcPr>
          <w:p w14:paraId="476D350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rsidRPr="0032178B">
              <w:t>number</w:t>
            </w:r>
          </w:p>
        </w:tc>
        <w:tc>
          <w:tcPr>
            <w:tcW w:w="964" w:type="dxa"/>
            <w:tcBorders>
              <w:bottom w:val="single" w:sz="6" w:space="0" w:color="auto"/>
            </w:tcBorders>
            <w:shd w:val="clear" w:color="auto" w:fill="F0F0F0"/>
          </w:tcPr>
          <w:p w14:paraId="43985F34"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1 500</w:t>
            </w:r>
          </w:p>
        </w:tc>
        <w:tc>
          <w:tcPr>
            <w:tcW w:w="964" w:type="dxa"/>
            <w:tcBorders>
              <w:bottom w:val="single" w:sz="6" w:space="0" w:color="auto"/>
            </w:tcBorders>
          </w:tcPr>
          <w:p w14:paraId="47892BED"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2 500</w:t>
            </w:r>
          </w:p>
        </w:tc>
        <w:tc>
          <w:tcPr>
            <w:tcW w:w="964" w:type="dxa"/>
            <w:tcBorders>
              <w:bottom w:val="single" w:sz="6" w:space="0" w:color="auto"/>
            </w:tcBorders>
          </w:tcPr>
          <w:p w14:paraId="7466FB5C"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1 500</w:t>
            </w:r>
          </w:p>
        </w:tc>
        <w:tc>
          <w:tcPr>
            <w:tcW w:w="964" w:type="dxa"/>
            <w:tcBorders>
              <w:bottom w:val="single" w:sz="6" w:space="0" w:color="auto"/>
            </w:tcBorders>
          </w:tcPr>
          <w:p w14:paraId="2DC5F794"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3 845</w:t>
            </w:r>
          </w:p>
        </w:tc>
      </w:tr>
      <w:tr w:rsidR="0074216D" w14:paraId="7C9F71F1"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65BF7E7" w14:textId="77777777" w:rsidR="0074216D" w:rsidRDefault="0074216D">
            <w:pPr>
              <w:ind w:left="170"/>
            </w:pPr>
            <w:r w:rsidRPr="0032178B">
              <w:t>Number of education or monitoring visits of smoke-free areas</w:t>
            </w:r>
          </w:p>
          <w:p w14:paraId="11421DC8" w14:textId="1F6C8A19" w:rsidR="0074216D" w:rsidRDefault="0074216D">
            <w:pPr>
              <w:ind w:left="170"/>
            </w:pPr>
            <w:r w:rsidRPr="0046387A">
              <w:rPr>
                <w:i/>
              </w:rPr>
              <w:t>The 2025-26 expected outcome is higher than the target as there is variation in council targets and the Department</w:t>
            </w:r>
            <w:r w:rsidR="00324555">
              <w:rPr>
                <w:i/>
              </w:rPr>
              <w:t>’</w:t>
            </w:r>
            <w:r w:rsidRPr="0046387A">
              <w:rPr>
                <w:i/>
              </w:rPr>
              <w:t>s target. This is set via service agreement with Municipal Association of Victoria.</w:t>
            </w:r>
          </w:p>
        </w:tc>
        <w:tc>
          <w:tcPr>
            <w:tcW w:w="964" w:type="dxa"/>
            <w:tcBorders>
              <w:bottom w:val="single" w:sz="6" w:space="0" w:color="auto"/>
            </w:tcBorders>
          </w:tcPr>
          <w:p w14:paraId="307D325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rsidRPr="0032178B">
              <w:t>number</w:t>
            </w:r>
          </w:p>
        </w:tc>
        <w:tc>
          <w:tcPr>
            <w:tcW w:w="964" w:type="dxa"/>
            <w:tcBorders>
              <w:bottom w:val="single" w:sz="6" w:space="0" w:color="auto"/>
            </w:tcBorders>
            <w:shd w:val="clear" w:color="auto" w:fill="F0F0F0"/>
          </w:tcPr>
          <w:p w14:paraId="4E01CFCF"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3 500</w:t>
            </w:r>
          </w:p>
        </w:tc>
        <w:tc>
          <w:tcPr>
            <w:tcW w:w="964" w:type="dxa"/>
            <w:tcBorders>
              <w:bottom w:val="single" w:sz="6" w:space="0" w:color="auto"/>
            </w:tcBorders>
          </w:tcPr>
          <w:p w14:paraId="368E109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5 800</w:t>
            </w:r>
          </w:p>
        </w:tc>
        <w:tc>
          <w:tcPr>
            <w:tcW w:w="964" w:type="dxa"/>
            <w:tcBorders>
              <w:bottom w:val="single" w:sz="6" w:space="0" w:color="auto"/>
            </w:tcBorders>
          </w:tcPr>
          <w:p w14:paraId="03203DC4"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3 500</w:t>
            </w:r>
          </w:p>
        </w:tc>
        <w:tc>
          <w:tcPr>
            <w:tcW w:w="964" w:type="dxa"/>
            <w:tcBorders>
              <w:bottom w:val="single" w:sz="6" w:space="0" w:color="auto"/>
            </w:tcBorders>
          </w:tcPr>
          <w:p w14:paraId="06EE3CCE"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2178B">
              <w:t>6 645</w:t>
            </w:r>
          </w:p>
        </w:tc>
      </w:tr>
      <w:tr w:rsidR="0074216D" w14:paraId="22E8551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BE329D9" w14:textId="77777777" w:rsidR="0074216D" w:rsidRDefault="0074216D">
            <w:pPr>
              <w:ind w:left="170"/>
            </w:pPr>
            <w:r>
              <w:t>Number of people trained in emergency management in the Department of Health and the health sector</w:t>
            </w:r>
          </w:p>
        </w:tc>
        <w:tc>
          <w:tcPr>
            <w:tcW w:w="964" w:type="dxa"/>
            <w:tcBorders>
              <w:bottom w:val="single" w:sz="6" w:space="0" w:color="auto"/>
            </w:tcBorders>
          </w:tcPr>
          <w:p w14:paraId="24C9256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3ACA367" w14:textId="77777777" w:rsidR="0074216D" w:rsidRDefault="0074216D">
            <w:pPr>
              <w:cnfStyle w:val="000000000000" w:firstRow="0" w:lastRow="0" w:firstColumn="0" w:lastColumn="0" w:oddVBand="0" w:evenVBand="0" w:oddHBand="0" w:evenHBand="0" w:firstRowFirstColumn="0" w:firstRowLastColumn="0" w:lastRowFirstColumn="0" w:lastRowLastColumn="0"/>
            </w:pPr>
            <w:r>
              <w:t>1 500</w:t>
            </w:r>
          </w:p>
        </w:tc>
        <w:tc>
          <w:tcPr>
            <w:tcW w:w="964" w:type="dxa"/>
            <w:tcBorders>
              <w:bottom w:val="single" w:sz="6" w:space="0" w:color="auto"/>
            </w:tcBorders>
          </w:tcPr>
          <w:p w14:paraId="21058F18" w14:textId="77777777" w:rsidR="0074216D" w:rsidRDefault="0074216D">
            <w:pPr>
              <w:cnfStyle w:val="000000000000" w:firstRow="0" w:lastRow="0" w:firstColumn="0" w:lastColumn="0" w:oddVBand="0" w:evenVBand="0" w:oddHBand="0" w:evenHBand="0" w:firstRowFirstColumn="0" w:firstRowLastColumn="0" w:lastRowFirstColumn="0" w:lastRowLastColumn="0"/>
            </w:pPr>
            <w:r>
              <w:t>1 500</w:t>
            </w:r>
          </w:p>
        </w:tc>
        <w:tc>
          <w:tcPr>
            <w:tcW w:w="964" w:type="dxa"/>
            <w:tcBorders>
              <w:bottom w:val="single" w:sz="6" w:space="0" w:color="auto"/>
            </w:tcBorders>
          </w:tcPr>
          <w:p w14:paraId="6D4F5C0A" w14:textId="77777777" w:rsidR="0074216D" w:rsidRDefault="0074216D">
            <w:pPr>
              <w:cnfStyle w:val="000000000000" w:firstRow="0" w:lastRow="0" w:firstColumn="0" w:lastColumn="0" w:oddVBand="0" w:evenVBand="0" w:oddHBand="0" w:evenHBand="0" w:firstRowFirstColumn="0" w:firstRowLastColumn="0" w:lastRowFirstColumn="0" w:lastRowLastColumn="0"/>
            </w:pPr>
            <w:r>
              <w:t>1 500</w:t>
            </w:r>
          </w:p>
        </w:tc>
        <w:tc>
          <w:tcPr>
            <w:tcW w:w="964" w:type="dxa"/>
            <w:tcBorders>
              <w:bottom w:val="single" w:sz="6" w:space="0" w:color="auto"/>
            </w:tcBorders>
          </w:tcPr>
          <w:p w14:paraId="188AE10C" w14:textId="77777777" w:rsidR="0074216D" w:rsidRDefault="0074216D">
            <w:pPr>
              <w:cnfStyle w:val="000000000000" w:firstRow="0" w:lastRow="0" w:firstColumn="0" w:lastColumn="0" w:oddVBand="0" w:evenVBand="0" w:oddHBand="0" w:evenHBand="0" w:firstRowFirstColumn="0" w:firstRowLastColumn="0" w:lastRowFirstColumn="0" w:lastRowLastColumn="0"/>
            </w:pPr>
            <w:r>
              <w:t>5 115</w:t>
            </w:r>
          </w:p>
        </w:tc>
      </w:tr>
      <w:tr w:rsidR="0074216D" w14:paraId="129A100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6160583" w14:textId="77777777" w:rsidR="0074216D" w:rsidRDefault="0074216D">
            <w:pPr>
              <w:ind w:left="170"/>
            </w:pPr>
            <w:r>
              <w:t>Percentage of Aboriginal children fully immunised at 60 months</w:t>
            </w:r>
          </w:p>
        </w:tc>
        <w:tc>
          <w:tcPr>
            <w:tcW w:w="964" w:type="dxa"/>
            <w:tcBorders>
              <w:bottom w:val="single" w:sz="6" w:space="0" w:color="auto"/>
            </w:tcBorders>
          </w:tcPr>
          <w:p w14:paraId="55DE537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D351D7A"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09B8A6F8"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BEA1CD0"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2F600B30" w14:textId="77777777" w:rsidR="0074216D" w:rsidRDefault="0074216D">
            <w:pPr>
              <w:cnfStyle w:val="000000000000" w:firstRow="0" w:lastRow="0" w:firstColumn="0" w:lastColumn="0" w:oddVBand="0" w:evenVBand="0" w:oddHBand="0" w:evenHBand="0" w:firstRowFirstColumn="0" w:firstRowLastColumn="0" w:lastRowFirstColumn="0" w:lastRowLastColumn="0"/>
            </w:pPr>
            <w:r>
              <w:t>95.6</w:t>
            </w:r>
          </w:p>
        </w:tc>
      </w:tr>
      <w:tr w:rsidR="0074216D" w14:paraId="7FF5F175"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B666D82" w14:textId="77777777" w:rsidR="0074216D" w:rsidRDefault="0074216D">
            <w:pPr>
              <w:ind w:left="170"/>
            </w:pPr>
            <w:r>
              <w:t>Percentage of Aboriginal mothers that smoked during pregnancy</w:t>
            </w:r>
          </w:p>
        </w:tc>
        <w:tc>
          <w:tcPr>
            <w:tcW w:w="964" w:type="dxa"/>
            <w:tcBorders>
              <w:bottom w:val="single" w:sz="6" w:space="0" w:color="auto"/>
            </w:tcBorders>
          </w:tcPr>
          <w:p w14:paraId="6383E333"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5B00699" w14:textId="77777777" w:rsidR="0074216D" w:rsidRDefault="0074216D">
            <w:pPr>
              <w:cnfStyle w:val="000000000000" w:firstRow="0" w:lastRow="0" w:firstColumn="0" w:lastColumn="0" w:oddVBand="0" w:evenVBand="0" w:oddHBand="0" w:evenHBand="0" w:firstRowFirstColumn="0" w:firstRowLastColumn="0" w:lastRowFirstColumn="0" w:lastRowLastColumn="0"/>
            </w:pPr>
            <w:r>
              <w:t>39.3</w:t>
            </w:r>
          </w:p>
        </w:tc>
        <w:tc>
          <w:tcPr>
            <w:tcW w:w="964" w:type="dxa"/>
            <w:tcBorders>
              <w:bottom w:val="single" w:sz="6" w:space="0" w:color="auto"/>
            </w:tcBorders>
          </w:tcPr>
          <w:p w14:paraId="5CFA0B13" w14:textId="77777777" w:rsidR="0074216D" w:rsidRDefault="0074216D">
            <w:pPr>
              <w:cnfStyle w:val="000000000000" w:firstRow="0" w:lastRow="0" w:firstColumn="0" w:lastColumn="0" w:oddVBand="0" w:evenVBand="0" w:oddHBand="0" w:evenHBand="0" w:firstRowFirstColumn="0" w:firstRowLastColumn="0" w:lastRowFirstColumn="0" w:lastRowLastColumn="0"/>
            </w:pPr>
            <w:r>
              <w:t>39.3</w:t>
            </w:r>
          </w:p>
        </w:tc>
        <w:tc>
          <w:tcPr>
            <w:tcW w:w="964" w:type="dxa"/>
            <w:tcBorders>
              <w:bottom w:val="single" w:sz="6" w:space="0" w:color="auto"/>
            </w:tcBorders>
          </w:tcPr>
          <w:p w14:paraId="7F87BC87" w14:textId="77777777" w:rsidR="0074216D" w:rsidRDefault="0074216D">
            <w:pPr>
              <w:cnfStyle w:val="000000000000" w:firstRow="0" w:lastRow="0" w:firstColumn="0" w:lastColumn="0" w:oddVBand="0" w:evenVBand="0" w:oddHBand="0" w:evenHBand="0" w:firstRowFirstColumn="0" w:firstRowLastColumn="0" w:lastRowFirstColumn="0" w:lastRowLastColumn="0"/>
            </w:pPr>
            <w:r>
              <w:t>39.3</w:t>
            </w:r>
          </w:p>
        </w:tc>
        <w:tc>
          <w:tcPr>
            <w:tcW w:w="964" w:type="dxa"/>
            <w:tcBorders>
              <w:bottom w:val="single" w:sz="6" w:space="0" w:color="auto"/>
            </w:tcBorders>
          </w:tcPr>
          <w:p w14:paraId="15588513" w14:textId="77777777" w:rsidR="0074216D" w:rsidRDefault="0074216D">
            <w:pPr>
              <w:cnfStyle w:val="000000000000" w:firstRow="0" w:lastRow="0" w:firstColumn="0" w:lastColumn="0" w:oddVBand="0" w:evenVBand="0" w:oddHBand="0" w:evenHBand="0" w:firstRowFirstColumn="0" w:firstRowLastColumn="0" w:lastRowFirstColumn="0" w:lastRowLastColumn="0"/>
            </w:pPr>
            <w:r>
              <w:t>31.9</w:t>
            </w:r>
          </w:p>
        </w:tc>
      </w:tr>
      <w:tr w:rsidR="0074216D" w14:paraId="1721D292"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93D0141" w14:textId="77777777" w:rsidR="0074216D" w:rsidRDefault="0074216D">
            <w:pPr>
              <w:ind w:left="170"/>
            </w:pPr>
            <w:r>
              <w:t>Percentage of newborns having a newborn bloodspot screening test</w:t>
            </w:r>
          </w:p>
        </w:tc>
        <w:tc>
          <w:tcPr>
            <w:tcW w:w="964" w:type="dxa"/>
            <w:tcBorders>
              <w:bottom w:val="single" w:sz="6" w:space="0" w:color="auto"/>
            </w:tcBorders>
          </w:tcPr>
          <w:p w14:paraId="5465D5E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1CB0C93"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45AE5C90"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4D21CF23" w14:textId="77777777" w:rsidR="0074216D" w:rsidRDefault="0074216D">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25144EDA" w14:textId="77777777" w:rsidR="0074216D" w:rsidRDefault="0074216D">
            <w:pPr>
              <w:cnfStyle w:val="000000000000" w:firstRow="0" w:lastRow="0" w:firstColumn="0" w:lastColumn="0" w:oddVBand="0" w:evenVBand="0" w:oddHBand="0" w:evenHBand="0" w:firstRowFirstColumn="0" w:firstRowLastColumn="0" w:lastRowFirstColumn="0" w:lastRowLastColumn="0"/>
            </w:pPr>
            <w:r>
              <w:t>91</w:t>
            </w:r>
          </w:p>
        </w:tc>
      </w:tr>
      <w:tr w:rsidR="0074216D" w14:paraId="05E677B5" w14:textId="77777777">
        <w:tc>
          <w:tcPr>
            <w:cnfStyle w:val="001000000000" w:firstRow="0" w:lastRow="0" w:firstColumn="1" w:lastColumn="0" w:oddVBand="0" w:evenVBand="0" w:oddHBand="0" w:evenHBand="0" w:firstRowFirstColumn="0" w:firstRowLastColumn="0" w:lastRowFirstColumn="0" w:lastRowLastColumn="0"/>
            <w:tcW w:w="4820" w:type="dxa"/>
          </w:tcPr>
          <w:p w14:paraId="0797E88F" w14:textId="77777777" w:rsidR="0074216D" w:rsidRDefault="0074216D">
            <w:pPr>
              <w:keepNext/>
              <w:ind w:left="170"/>
            </w:pPr>
            <w:r>
              <w:t>Persons completing the Life! – Diabetes and Cardiovascular Disease Prevention program</w:t>
            </w:r>
          </w:p>
        </w:tc>
        <w:tc>
          <w:tcPr>
            <w:tcW w:w="964" w:type="dxa"/>
          </w:tcPr>
          <w:p w14:paraId="69C16E4B"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B123DD" w14:textId="01655598" w:rsidR="0074216D" w:rsidRDefault="0074216D">
            <w:pPr>
              <w:cnfStyle w:val="000000000000" w:firstRow="0" w:lastRow="0" w:firstColumn="0" w:lastColumn="0" w:oddVBand="0" w:evenVBand="0" w:oddHBand="0" w:evenHBand="0" w:firstRowFirstColumn="0" w:firstRowLastColumn="0" w:lastRowFirstColumn="0" w:lastRowLastColumn="0"/>
            </w:pPr>
            <w:r>
              <w:t>5</w:t>
            </w:r>
            <w:r w:rsidR="00300766">
              <w:t xml:space="preserve"> </w:t>
            </w:r>
            <w:r>
              <w:t>616</w:t>
            </w:r>
          </w:p>
        </w:tc>
        <w:tc>
          <w:tcPr>
            <w:tcW w:w="964" w:type="dxa"/>
          </w:tcPr>
          <w:p w14:paraId="72B9AF59" w14:textId="77777777" w:rsidR="0074216D" w:rsidRDefault="0074216D">
            <w:pPr>
              <w:cnfStyle w:val="000000000000" w:firstRow="0" w:lastRow="0" w:firstColumn="0" w:lastColumn="0" w:oddVBand="0" w:evenVBand="0" w:oddHBand="0" w:evenHBand="0" w:firstRowFirstColumn="0" w:firstRowLastColumn="0" w:lastRowFirstColumn="0" w:lastRowLastColumn="0"/>
            </w:pPr>
            <w:r>
              <w:t>5 084</w:t>
            </w:r>
          </w:p>
        </w:tc>
        <w:tc>
          <w:tcPr>
            <w:tcW w:w="964" w:type="dxa"/>
          </w:tcPr>
          <w:p w14:paraId="5888CFE8" w14:textId="27915195" w:rsidR="0074216D" w:rsidRDefault="0074216D">
            <w:pPr>
              <w:cnfStyle w:val="000000000000" w:firstRow="0" w:lastRow="0" w:firstColumn="0" w:lastColumn="0" w:oddVBand="0" w:evenVBand="0" w:oddHBand="0" w:evenHBand="0" w:firstRowFirstColumn="0" w:firstRowLastColumn="0" w:lastRowFirstColumn="0" w:lastRowLastColumn="0"/>
            </w:pPr>
            <w:r>
              <w:t>5</w:t>
            </w:r>
            <w:r w:rsidR="00300766">
              <w:t xml:space="preserve"> </w:t>
            </w:r>
            <w:r>
              <w:t>616</w:t>
            </w:r>
          </w:p>
        </w:tc>
        <w:tc>
          <w:tcPr>
            <w:tcW w:w="964" w:type="dxa"/>
          </w:tcPr>
          <w:p w14:paraId="139CEAC0" w14:textId="77777777" w:rsidR="0074216D" w:rsidRDefault="0074216D">
            <w:pPr>
              <w:cnfStyle w:val="000000000000" w:firstRow="0" w:lastRow="0" w:firstColumn="0" w:lastColumn="0" w:oddVBand="0" w:evenVBand="0" w:oddHBand="0" w:evenHBand="0" w:firstRowFirstColumn="0" w:firstRowLastColumn="0" w:lastRowFirstColumn="0" w:lastRowLastColumn="0"/>
            </w:pPr>
            <w:r>
              <w:t>6 045</w:t>
            </w:r>
          </w:p>
        </w:tc>
      </w:tr>
      <w:tr w:rsidR="0074216D" w14:paraId="741DAE8D"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58B17D1" w14:textId="77777777" w:rsidR="0074216D" w:rsidRDefault="0074216D">
            <w:pPr>
              <w:ind w:left="170"/>
            </w:pPr>
            <w:r>
              <w:rPr>
                <w:i/>
              </w:rPr>
              <w:t>The 2025-26 expected outcome is below the target due to low participation in December and January, which has not been offset by later improvements in participation.</w:t>
            </w:r>
          </w:p>
        </w:tc>
      </w:tr>
      <w:tr w:rsidR="0074216D" w14:paraId="330628DE" w14:textId="77777777">
        <w:tc>
          <w:tcPr>
            <w:cnfStyle w:val="001000000000" w:firstRow="0" w:lastRow="0" w:firstColumn="1" w:lastColumn="0" w:oddVBand="0" w:evenVBand="0" w:oddHBand="0" w:evenHBand="0" w:firstRowFirstColumn="0" w:firstRowLastColumn="0" w:lastRowFirstColumn="0" w:lastRowLastColumn="0"/>
            <w:tcW w:w="4820" w:type="dxa"/>
          </w:tcPr>
          <w:p w14:paraId="31BE3A5B" w14:textId="77777777" w:rsidR="0074216D" w:rsidRDefault="0074216D">
            <w:pPr>
              <w:keepNext/>
              <w:ind w:left="170"/>
            </w:pPr>
            <w:r>
              <w:lastRenderedPageBreak/>
              <w:t>Persons screened for prevention and early detection of tuberculosis</w:t>
            </w:r>
          </w:p>
        </w:tc>
        <w:tc>
          <w:tcPr>
            <w:tcW w:w="964" w:type="dxa"/>
          </w:tcPr>
          <w:p w14:paraId="69D1748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700CC0" w14:textId="77777777" w:rsidR="0074216D" w:rsidRDefault="0074216D">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1CA5F3F3" w14:textId="77777777" w:rsidR="0074216D" w:rsidRDefault="0074216D">
            <w:pPr>
              <w:cnfStyle w:val="000000000000" w:firstRow="0" w:lastRow="0" w:firstColumn="0" w:lastColumn="0" w:oddVBand="0" w:evenVBand="0" w:oddHBand="0" w:evenHBand="0" w:firstRowFirstColumn="0" w:firstRowLastColumn="0" w:lastRowFirstColumn="0" w:lastRowLastColumn="0"/>
            </w:pPr>
            <w:r>
              <w:t>1 600</w:t>
            </w:r>
          </w:p>
        </w:tc>
        <w:tc>
          <w:tcPr>
            <w:tcW w:w="964" w:type="dxa"/>
          </w:tcPr>
          <w:p w14:paraId="258C6EB8" w14:textId="77777777" w:rsidR="0074216D" w:rsidRDefault="0074216D">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17806096" w14:textId="77777777" w:rsidR="0074216D" w:rsidRDefault="0074216D">
            <w:pPr>
              <w:cnfStyle w:val="000000000000" w:firstRow="0" w:lastRow="0" w:firstColumn="0" w:lastColumn="0" w:oddVBand="0" w:evenVBand="0" w:oddHBand="0" w:evenHBand="0" w:firstRowFirstColumn="0" w:firstRowLastColumn="0" w:lastRowFirstColumn="0" w:lastRowLastColumn="0"/>
            </w:pPr>
            <w:r>
              <w:t>1 823</w:t>
            </w:r>
          </w:p>
        </w:tc>
      </w:tr>
      <w:tr w:rsidR="0074216D" w14:paraId="53A1BA3C"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0E5AA657" w14:textId="24C04805" w:rsidR="0074216D" w:rsidRDefault="0074216D">
            <w:pPr>
              <w:ind w:left="170"/>
            </w:pPr>
            <w:r>
              <w:rPr>
                <w:i/>
              </w:rPr>
              <w:t>The 2025-26 expected outcome is lower than target indicating fewer cases requiring screening rather than a shortfall in operational effectiveness. Tuberculosis (TB) screening is influenced by factors outside the program’s direct control, with screening primarily conducted for individuals identified as having spent significant time in a high-risk environment (close contact with an infectious individual).</w:t>
            </w:r>
          </w:p>
          <w:p w14:paraId="46AC1B57" w14:textId="02135E65" w:rsidR="0074216D" w:rsidRDefault="0074216D">
            <w:pPr>
              <w:ind w:left="170"/>
            </w:pPr>
            <w:r>
              <w:rPr>
                <w:i/>
              </w:rPr>
              <w:t xml:space="preserve">The performance measure, </w:t>
            </w:r>
            <w:r w:rsidR="00324555">
              <w:rPr>
                <w:i/>
              </w:rPr>
              <w:t>‘</w:t>
            </w:r>
            <w:r>
              <w:rPr>
                <w:i/>
              </w:rPr>
              <w:t>Persons screened for prevention and early detection of health conditions – pulmonary tuberculosis screening</w:t>
            </w:r>
            <w:r w:rsidR="00324555">
              <w:rPr>
                <w:i/>
              </w:rPr>
              <w:t>’</w:t>
            </w:r>
            <w:r>
              <w:rPr>
                <w:i/>
              </w:rPr>
              <w:t xml:space="preserve"> was renamed as data collected only relates to tuberculosis, not any other conditions.</w:t>
            </w:r>
          </w:p>
        </w:tc>
      </w:tr>
      <w:tr w:rsidR="0074216D" w14:paraId="1C441622" w14:textId="77777777">
        <w:tc>
          <w:tcPr>
            <w:cnfStyle w:val="001000000000" w:firstRow="0" w:lastRow="0" w:firstColumn="1" w:lastColumn="0" w:oddVBand="0" w:evenVBand="0" w:oddHBand="0" w:evenHBand="0" w:firstRowFirstColumn="0" w:firstRowLastColumn="0" w:lastRowFirstColumn="0" w:lastRowLastColumn="0"/>
            <w:tcW w:w="4820" w:type="dxa"/>
          </w:tcPr>
          <w:p w14:paraId="7E7283A2" w14:textId="77777777" w:rsidR="0074216D" w:rsidRDefault="0074216D">
            <w:pPr>
              <w:keepNext/>
              <w:ind w:left="170"/>
            </w:pPr>
            <w:r>
              <w:t>Women screened for breast cancer by BreastScreen Victoria</w:t>
            </w:r>
          </w:p>
        </w:tc>
        <w:tc>
          <w:tcPr>
            <w:tcW w:w="964" w:type="dxa"/>
          </w:tcPr>
          <w:p w14:paraId="0A30D70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EB55CFE" w14:textId="77777777" w:rsidR="0074216D" w:rsidRDefault="0074216D">
            <w:pPr>
              <w:cnfStyle w:val="000000000000" w:firstRow="0" w:lastRow="0" w:firstColumn="0" w:lastColumn="0" w:oddVBand="0" w:evenVBand="0" w:oddHBand="0" w:evenHBand="0" w:firstRowFirstColumn="0" w:firstRowLastColumn="0" w:lastRowFirstColumn="0" w:lastRowLastColumn="0"/>
            </w:pPr>
            <w:r>
              <w:t>303 000</w:t>
            </w:r>
          </w:p>
        </w:tc>
        <w:tc>
          <w:tcPr>
            <w:tcW w:w="964" w:type="dxa"/>
          </w:tcPr>
          <w:p w14:paraId="5EBD3A03" w14:textId="77777777" w:rsidR="0074216D" w:rsidRDefault="0074216D">
            <w:pPr>
              <w:cnfStyle w:val="000000000000" w:firstRow="0" w:lastRow="0" w:firstColumn="0" w:lastColumn="0" w:oddVBand="0" w:evenVBand="0" w:oddHBand="0" w:evenHBand="0" w:firstRowFirstColumn="0" w:firstRowLastColumn="0" w:lastRowFirstColumn="0" w:lastRowLastColumn="0"/>
            </w:pPr>
            <w:r>
              <w:t>293 500</w:t>
            </w:r>
          </w:p>
        </w:tc>
        <w:tc>
          <w:tcPr>
            <w:tcW w:w="964" w:type="dxa"/>
          </w:tcPr>
          <w:p w14:paraId="1C6778B5" w14:textId="77777777" w:rsidR="0074216D" w:rsidRDefault="0074216D">
            <w:pPr>
              <w:cnfStyle w:val="000000000000" w:firstRow="0" w:lastRow="0" w:firstColumn="0" w:lastColumn="0" w:oddVBand="0" w:evenVBand="0" w:oddHBand="0" w:evenHBand="0" w:firstRowFirstColumn="0" w:firstRowLastColumn="0" w:lastRowFirstColumn="0" w:lastRowLastColumn="0"/>
            </w:pPr>
            <w:r>
              <w:t>292 000</w:t>
            </w:r>
          </w:p>
        </w:tc>
        <w:tc>
          <w:tcPr>
            <w:tcW w:w="964" w:type="dxa"/>
          </w:tcPr>
          <w:p w14:paraId="488E75A5" w14:textId="77777777" w:rsidR="0074216D" w:rsidRDefault="0074216D">
            <w:pPr>
              <w:cnfStyle w:val="000000000000" w:firstRow="0" w:lastRow="0" w:firstColumn="0" w:lastColumn="0" w:oddVBand="0" w:evenVBand="0" w:oddHBand="0" w:evenHBand="0" w:firstRowFirstColumn="0" w:firstRowLastColumn="0" w:lastRowFirstColumn="0" w:lastRowLastColumn="0"/>
            </w:pPr>
            <w:r>
              <w:t>292 053</w:t>
            </w:r>
          </w:p>
        </w:tc>
      </w:tr>
      <w:tr w:rsidR="0074216D" w14:paraId="74CBF7E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B11CBFF" w14:textId="77777777" w:rsidR="0074216D" w:rsidRDefault="0074216D">
            <w:pPr>
              <w:ind w:left="170"/>
            </w:pPr>
            <w:r>
              <w:rPr>
                <w:i/>
              </w:rPr>
              <w:t>The 2026-27 target is increased to reflect funding expansion and related performance expectations for BreastScreen Victoria. It reflects the 2022 election commitment to screen an additional 36 000 eligible women by 2026-27.</w:t>
            </w:r>
          </w:p>
        </w:tc>
      </w:tr>
      <w:tr w:rsidR="0074216D" w14:paraId="4C97C291"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FF3873B" w14:textId="77777777" w:rsidR="0074216D" w:rsidRPr="005314E1" w:rsidRDefault="0074216D">
            <w:pPr>
              <w:keepNext/>
              <w:rPr>
                <w:b/>
              </w:rPr>
            </w:pPr>
            <w:r w:rsidRPr="005314E1">
              <w:rPr>
                <w:b/>
              </w:rPr>
              <w:t>Quality</w:t>
            </w:r>
          </w:p>
        </w:tc>
      </w:tr>
      <w:tr w:rsidR="0074216D" w14:paraId="7641CE0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510103C" w14:textId="77777777" w:rsidR="0074216D" w:rsidRDefault="0074216D">
            <w:pPr>
              <w:ind w:left="170"/>
            </w:pPr>
            <w:r>
              <w:t>Immunisation coverage – at five years of age</w:t>
            </w:r>
          </w:p>
        </w:tc>
        <w:tc>
          <w:tcPr>
            <w:tcW w:w="964" w:type="dxa"/>
            <w:tcBorders>
              <w:bottom w:val="single" w:sz="6" w:space="0" w:color="auto"/>
            </w:tcBorders>
          </w:tcPr>
          <w:p w14:paraId="044BCCA8"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AF6EA13"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D7EB8B7" w14:textId="77777777" w:rsidR="0074216D" w:rsidRDefault="0074216D">
            <w:pPr>
              <w:cnfStyle w:val="000000000000" w:firstRow="0" w:lastRow="0" w:firstColumn="0" w:lastColumn="0" w:oddVBand="0" w:evenVBand="0" w:oddHBand="0" w:evenHBand="0" w:firstRowFirstColumn="0" w:firstRowLastColumn="0" w:lastRowFirstColumn="0" w:lastRowLastColumn="0"/>
            </w:pPr>
            <w:r>
              <w:t>94.39</w:t>
            </w:r>
          </w:p>
        </w:tc>
        <w:tc>
          <w:tcPr>
            <w:tcW w:w="964" w:type="dxa"/>
            <w:tcBorders>
              <w:bottom w:val="single" w:sz="6" w:space="0" w:color="auto"/>
            </w:tcBorders>
          </w:tcPr>
          <w:p w14:paraId="218107D8"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E16A842" w14:textId="77777777" w:rsidR="0074216D" w:rsidRDefault="0074216D">
            <w:pPr>
              <w:cnfStyle w:val="000000000000" w:firstRow="0" w:lastRow="0" w:firstColumn="0" w:lastColumn="0" w:oddVBand="0" w:evenVBand="0" w:oddHBand="0" w:evenHBand="0" w:firstRowFirstColumn="0" w:firstRowLastColumn="0" w:lastRowFirstColumn="0" w:lastRowLastColumn="0"/>
            </w:pPr>
            <w:r>
              <w:t>94.5</w:t>
            </w:r>
          </w:p>
        </w:tc>
      </w:tr>
      <w:tr w:rsidR="0074216D" w14:paraId="3F183727" w14:textId="77777777">
        <w:tc>
          <w:tcPr>
            <w:cnfStyle w:val="001000000000" w:firstRow="0" w:lastRow="0" w:firstColumn="1" w:lastColumn="0" w:oddVBand="0" w:evenVBand="0" w:oddHBand="0" w:evenHBand="0" w:firstRowFirstColumn="0" w:firstRowLastColumn="0" w:lastRowFirstColumn="0" w:lastRowLastColumn="0"/>
            <w:tcW w:w="4820" w:type="dxa"/>
          </w:tcPr>
          <w:p w14:paraId="558AE672" w14:textId="77777777" w:rsidR="0074216D" w:rsidRDefault="0074216D">
            <w:pPr>
              <w:keepNext/>
              <w:ind w:left="170"/>
            </w:pPr>
            <w:r>
              <w:t>Immunisation coverage – at two years of age</w:t>
            </w:r>
          </w:p>
        </w:tc>
        <w:tc>
          <w:tcPr>
            <w:tcW w:w="964" w:type="dxa"/>
          </w:tcPr>
          <w:p w14:paraId="4CB78AE4"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85820C0"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7ED2A03" w14:textId="77777777" w:rsidR="0074216D" w:rsidRDefault="0074216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0717AC6"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C7FD4EC" w14:textId="77777777" w:rsidR="0074216D" w:rsidRDefault="0074216D">
            <w:pPr>
              <w:cnfStyle w:val="000000000000" w:firstRow="0" w:lastRow="0" w:firstColumn="0" w:lastColumn="0" w:oddVBand="0" w:evenVBand="0" w:oddHBand="0" w:evenHBand="0" w:firstRowFirstColumn="0" w:firstRowLastColumn="0" w:lastRowFirstColumn="0" w:lastRowLastColumn="0"/>
            </w:pPr>
            <w:r>
              <w:t>90.8</w:t>
            </w:r>
          </w:p>
        </w:tc>
      </w:tr>
      <w:tr w:rsidR="0074216D" w14:paraId="2B4972B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F08AFB5" w14:textId="22A0910D" w:rsidR="0074216D" w:rsidRDefault="0074216D">
            <w:pPr>
              <w:ind w:left="170"/>
            </w:pPr>
            <w:r>
              <w:rPr>
                <w:i/>
              </w:rPr>
              <w:t xml:space="preserve">Victoria’s childhood immunisation coverage for children at two years remained below the target, however, Victoria continues to outperform the national average across the age cohort. Victoria is working in partnership with the </w:t>
            </w:r>
            <w:r w:rsidR="0049248D">
              <w:rPr>
                <w:i/>
              </w:rPr>
              <w:t>Commonwealth</w:t>
            </w:r>
            <w:r>
              <w:rPr>
                <w:i/>
              </w:rPr>
              <w:t xml:space="preserve"> Government to address vaccination coverage challenges, which are consistent with issues identified in the National Immunisation Strategy, including improving access, timeliness, workforce capacity and data quality to lift coverage. </w:t>
            </w:r>
          </w:p>
        </w:tc>
      </w:tr>
      <w:tr w:rsidR="0074216D" w14:paraId="153B9368"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BC3C182" w14:textId="77777777" w:rsidR="0074216D" w:rsidRDefault="0074216D">
            <w:pPr>
              <w:ind w:left="170"/>
            </w:pPr>
            <w:r>
              <w:t>Local Government Authorities with Municipal Public Health and Wellbeing Plans</w:t>
            </w:r>
          </w:p>
        </w:tc>
        <w:tc>
          <w:tcPr>
            <w:tcW w:w="964" w:type="dxa"/>
            <w:tcBorders>
              <w:bottom w:val="single" w:sz="6" w:space="0" w:color="auto"/>
            </w:tcBorders>
          </w:tcPr>
          <w:p w14:paraId="5FE373F0"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3E3A49E"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F2F007D"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9329301"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43E4DCC"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18CE4F06"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992BFD8" w14:textId="77777777" w:rsidR="0074216D" w:rsidRDefault="0074216D">
            <w:pPr>
              <w:ind w:left="170"/>
            </w:pPr>
            <w:r>
              <w:t>Local Public Health Units with local population health plans reflecting statewide public health and wellbeing priorities</w:t>
            </w:r>
          </w:p>
        </w:tc>
        <w:tc>
          <w:tcPr>
            <w:tcW w:w="964" w:type="dxa"/>
            <w:tcBorders>
              <w:bottom w:val="single" w:sz="6" w:space="0" w:color="auto"/>
            </w:tcBorders>
          </w:tcPr>
          <w:p w14:paraId="7DD68AB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A95B3F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C25672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1F29F3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3D26089"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4F109C7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DBA5832" w14:textId="77777777" w:rsidR="0074216D" w:rsidRDefault="0074216D">
            <w:pPr>
              <w:ind w:left="170"/>
            </w:pPr>
            <w:r>
              <w:t>Percentage of adolescents (aged 15) fully immunised for HPV</w:t>
            </w:r>
          </w:p>
        </w:tc>
        <w:tc>
          <w:tcPr>
            <w:tcW w:w="964" w:type="dxa"/>
            <w:tcBorders>
              <w:bottom w:val="single" w:sz="6" w:space="0" w:color="auto"/>
            </w:tcBorders>
          </w:tcPr>
          <w:p w14:paraId="30D646C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6677F2"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1143A1C" w14:textId="77777777" w:rsidR="0074216D" w:rsidRDefault="0074216D">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20060AAF" w14:textId="77777777" w:rsidR="0074216D" w:rsidRDefault="0074216D">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2D48C21" w14:textId="77777777" w:rsidR="0074216D" w:rsidRDefault="0074216D">
            <w:pPr>
              <w:cnfStyle w:val="000000000000" w:firstRow="0" w:lastRow="0" w:firstColumn="0" w:lastColumn="0" w:oddVBand="0" w:evenVBand="0" w:oddHBand="0" w:evenHBand="0" w:firstRowFirstColumn="0" w:firstRowLastColumn="0" w:lastRowFirstColumn="0" w:lastRowLastColumn="0"/>
            </w:pPr>
            <w:r>
              <w:t>81.9</w:t>
            </w:r>
          </w:p>
        </w:tc>
      </w:tr>
      <w:tr w:rsidR="0074216D" w14:paraId="172CF6F3"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B4E5558" w14:textId="77777777" w:rsidR="0074216D" w:rsidRPr="005314E1" w:rsidRDefault="0074216D">
            <w:pPr>
              <w:keepNext/>
              <w:rPr>
                <w:b/>
              </w:rPr>
            </w:pPr>
            <w:r w:rsidRPr="005314E1">
              <w:rPr>
                <w:b/>
              </w:rPr>
              <w:t>Timeliness</w:t>
            </w:r>
          </w:p>
        </w:tc>
      </w:tr>
      <w:tr w:rsidR="0074216D" w14:paraId="2B80BEE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30A83EC" w14:textId="77777777" w:rsidR="0074216D" w:rsidRDefault="0074216D">
            <w:pPr>
              <w:ind w:left="170"/>
            </w:pPr>
            <w:r>
              <w:t>Anaphylaxis investigations commenced within one business day of notification attributable to food in people with a known allergy</w:t>
            </w:r>
          </w:p>
        </w:tc>
        <w:tc>
          <w:tcPr>
            <w:tcW w:w="964" w:type="dxa"/>
            <w:tcBorders>
              <w:bottom w:val="single" w:sz="6" w:space="0" w:color="auto"/>
            </w:tcBorders>
          </w:tcPr>
          <w:p w14:paraId="3573BEB1"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4674A7E"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79A19478"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46C9B17C" w14:textId="77777777" w:rsidR="0074216D" w:rsidRDefault="0074216D">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42AABF7C" w14:textId="77777777" w:rsidR="0074216D" w:rsidRDefault="0074216D">
            <w:pPr>
              <w:cnfStyle w:val="000000000000" w:firstRow="0" w:lastRow="0" w:firstColumn="0" w:lastColumn="0" w:oddVBand="0" w:evenVBand="0" w:oddHBand="0" w:evenHBand="0" w:firstRowFirstColumn="0" w:firstRowLastColumn="0" w:lastRowFirstColumn="0" w:lastRowLastColumn="0"/>
            </w:pPr>
            <w:r>
              <w:t>nm</w:t>
            </w:r>
          </w:p>
        </w:tc>
      </w:tr>
      <w:tr w:rsidR="0074216D" w14:paraId="4A488C7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52983DC" w14:textId="77777777" w:rsidR="0074216D" w:rsidRDefault="0074216D">
            <w:pPr>
              <w:ind w:left="170"/>
            </w:pPr>
            <w:r>
              <w:t>Participation rate of women in target age range screened for breast cancer</w:t>
            </w:r>
          </w:p>
        </w:tc>
        <w:tc>
          <w:tcPr>
            <w:tcW w:w="964" w:type="dxa"/>
            <w:tcBorders>
              <w:bottom w:val="single" w:sz="6" w:space="0" w:color="auto"/>
            </w:tcBorders>
          </w:tcPr>
          <w:p w14:paraId="24B448C5"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35869BC" w14:textId="77777777" w:rsidR="0074216D" w:rsidRDefault="0074216D">
            <w:pPr>
              <w:cnfStyle w:val="000000000000" w:firstRow="0" w:lastRow="0" w:firstColumn="0" w:lastColumn="0" w:oddVBand="0" w:evenVBand="0" w:oddHBand="0" w:evenHBand="0" w:firstRowFirstColumn="0" w:firstRowLastColumn="0" w:lastRowFirstColumn="0" w:lastRowLastColumn="0"/>
            </w:pPr>
            <w:r>
              <w:t>54</w:t>
            </w:r>
          </w:p>
        </w:tc>
        <w:tc>
          <w:tcPr>
            <w:tcW w:w="964" w:type="dxa"/>
            <w:tcBorders>
              <w:bottom w:val="single" w:sz="6" w:space="0" w:color="auto"/>
            </w:tcBorders>
          </w:tcPr>
          <w:p w14:paraId="61DD25AA" w14:textId="77777777" w:rsidR="0074216D" w:rsidRDefault="0074216D">
            <w:pPr>
              <w:cnfStyle w:val="000000000000" w:firstRow="0" w:lastRow="0" w:firstColumn="0" w:lastColumn="0" w:oddVBand="0" w:evenVBand="0" w:oddHBand="0" w:evenHBand="0" w:firstRowFirstColumn="0" w:firstRowLastColumn="0" w:lastRowFirstColumn="0" w:lastRowLastColumn="0"/>
            </w:pPr>
            <w:r>
              <w:t>52.5</w:t>
            </w:r>
          </w:p>
        </w:tc>
        <w:tc>
          <w:tcPr>
            <w:tcW w:w="964" w:type="dxa"/>
            <w:tcBorders>
              <w:bottom w:val="single" w:sz="6" w:space="0" w:color="auto"/>
            </w:tcBorders>
          </w:tcPr>
          <w:p w14:paraId="7BFAD8D3" w14:textId="77777777" w:rsidR="0074216D" w:rsidRDefault="0074216D">
            <w:pPr>
              <w:cnfStyle w:val="000000000000" w:firstRow="0" w:lastRow="0" w:firstColumn="0" w:lastColumn="0" w:oddVBand="0" w:evenVBand="0" w:oddHBand="0" w:evenHBand="0" w:firstRowFirstColumn="0" w:firstRowLastColumn="0" w:lastRowFirstColumn="0" w:lastRowLastColumn="0"/>
            </w:pPr>
            <w:r>
              <w:t>54</w:t>
            </w:r>
          </w:p>
        </w:tc>
        <w:tc>
          <w:tcPr>
            <w:tcW w:w="964" w:type="dxa"/>
            <w:tcBorders>
              <w:bottom w:val="single" w:sz="6" w:space="0" w:color="auto"/>
            </w:tcBorders>
          </w:tcPr>
          <w:p w14:paraId="615D1056" w14:textId="77777777" w:rsidR="0074216D" w:rsidRDefault="0074216D">
            <w:pPr>
              <w:cnfStyle w:val="000000000000" w:firstRow="0" w:lastRow="0" w:firstColumn="0" w:lastColumn="0" w:oddVBand="0" w:evenVBand="0" w:oddHBand="0" w:evenHBand="0" w:firstRowFirstColumn="0" w:firstRowLastColumn="0" w:lastRowFirstColumn="0" w:lastRowLastColumn="0"/>
            </w:pPr>
            <w:r>
              <w:t>53</w:t>
            </w:r>
          </w:p>
        </w:tc>
      </w:tr>
      <w:tr w:rsidR="0074216D" w14:paraId="646FD3BE" w14:textId="77777777" w:rsidTr="005314E1">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5C423155" w14:textId="77777777" w:rsidR="0074216D" w:rsidRDefault="0074216D">
            <w:pPr>
              <w:keepNext/>
              <w:ind w:left="170"/>
            </w:pPr>
            <w:r>
              <w:t>Public health responses initiated for urgent notifications within 48 hours</w:t>
            </w:r>
          </w:p>
        </w:tc>
        <w:tc>
          <w:tcPr>
            <w:tcW w:w="964" w:type="dxa"/>
            <w:tcBorders>
              <w:bottom w:val="nil"/>
            </w:tcBorders>
          </w:tcPr>
          <w:p w14:paraId="726B843C"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1BCE364"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nil"/>
            </w:tcBorders>
          </w:tcPr>
          <w:p w14:paraId="666C34E3"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nil"/>
            </w:tcBorders>
          </w:tcPr>
          <w:p w14:paraId="6035E631" w14:textId="77777777" w:rsidR="0074216D" w:rsidRDefault="0074216D">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nil"/>
            </w:tcBorders>
          </w:tcPr>
          <w:p w14:paraId="0ECCDE10" w14:textId="77777777" w:rsidR="0074216D" w:rsidRDefault="0074216D">
            <w:pPr>
              <w:cnfStyle w:val="000000000000" w:firstRow="0" w:lastRow="0" w:firstColumn="0" w:lastColumn="0" w:oddVBand="0" w:evenVBand="0" w:oddHBand="0" w:evenHBand="0" w:firstRowFirstColumn="0" w:firstRowLastColumn="0" w:lastRowFirstColumn="0" w:lastRowLastColumn="0"/>
            </w:pPr>
            <w:r>
              <w:t>nm</w:t>
            </w:r>
          </w:p>
        </w:tc>
      </w:tr>
      <w:tr w:rsidR="0074216D" w14:paraId="75184C20"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11B0840" w14:textId="4E28F47B" w:rsidR="0074216D" w:rsidRDefault="0074216D">
            <w:pPr>
              <w:ind w:left="170"/>
            </w:pPr>
            <w:r w:rsidRPr="00207610">
              <w:rPr>
                <w:i/>
              </w:rPr>
              <w:t xml:space="preserve">The performance measure, </w:t>
            </w:r>
            <w:r w:rsidR="00324555">
              <w:rPr>
                <w:i/>
              </w:rPr>
              <w:t>‘</w:t>
            </w:r>
            <w:r w:rsidRPr="00207610">
              <w:rPr>
                <w:i/>
              </w:rPr>
              <w:t>Public health responses initiated for urgent notifications within 24 hours</w:t>
            </w:r>
            <w:r w:rsidR="00324555">
              <w:rPr>
                <w:i/>
              </w:rPr>
              <w:t>’</w:t>
            </w:r>
            <w:r w:rsidRPr="00207610">
              <w:rPr>
                <w:i/>
              </w:rPr>
              <w:t xml:space="preserve"> has been renamed. The change reflects the capacity of local public health units to respond to urgent notifiable diseases. The move to a 48-hour timeframe is based on aligning with existing response protocols, rather than a change in actual performance data.</w:t>
            </w:r>
          </w:p>
        </w:tc>
      </w:tr>
      <w:tr w:rsidR="0074216D" w14:paraId="254BEBED" w14:textId="77777777" w:rsidTr="005314E1">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402D4F67" w14:textId="77777777" w:rsidR="0074216D" w:rsidRPr="005314E1" w:rsidRDefault="0074216D">
            <w:pPr>
              <w:rPr>
                <w:b/>
              </w:rPr>
            </w:pPr>
            <w:r w:rsidRPr="005314E1">
              <w:rPr>
                <w:b/>
              </w:rPr>
              <w:t>Cost</w:t>
            </w:r>
          </w:p>
        </w:tc>
      </w:tr>
      <w:tr w:rsidR="0074216D" w14:paraId="2A4BD2F4" w14:textId="77777777">
        <w:tc>
          <w:tcPr>
            <w:cnfStyle w:val="001000000000" w:firstRow="0" w:lastRow="0" w:firstColumn="1" w:lastColumn="0" w:oddVBand="0" w:evenVBand="0" w:oddHBand="0" w:evenHBand="0" w:firstRowFirstColumn="0" w:firstRowLastColumn="0" w:lastRowFirstColumn="0" w:lastRowLastColumn="0"/>
            <w:tcW w:w="4820" w:type="dxa"/>
          </w:tcPr>
          <w:p w14:paraId="6CA69DD7" w14:textId="2C0A614D" w:rsidR="0074216D" w:rsidRDefault="0074216D">
            <w:pPr>
              <w:keepNext/>
              <w:ind w:left="170"/>
            </w:pPr>
            <w:r>
              <w:t>Total output cost</w:t>
            </w:r>
          </w:p>
        </w:tc>
        <w:tc>
          <w:tcPr>
            <w:tcW w:w="964" w:type="dxa"/>
          </w:tcPr>
          <w:p w14:paraId="4F022A8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1266CC3"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41A3D">
              <w:t xml:space="preserve"> 406.1</w:t>
            </w:r>
          </w:p>
        </w:tc>
        <w:tc>
          <w:tcPr>
            <w:tcW w:w="964" w:type="dxa"/>
          </w:tcPr>
          <w:p w14:paraId="5A274802"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41A3D">
              <w:t xml:space="preserve"> 445.4</w:t>
            </w:r>
          </w:p>
        </w:tc>
        <w:tc>
          <w:tcPr>
            <w:tcW w:w="964" w:type="dxa"/>
          </w:tcPr>
          <w:p w14:paraId="30026665"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41A3D">
              <w:t xml:space="preserve"> 403.0</w:t>
            </w:r>
          </w:p>
        </w:tc>
        <w:tc>
          <w:tcPr>
            <w:tcW w:w="964" w:type="dxa"/>
          </w:tcPr>
          <w:p w14:paraId="671EF938"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341A3D">
              <w:t xml:space="preserve"> 421.5</w:t>
            </w:r>
          </w:p>
        </w:tc>
      </w:tr>
      <w:tr w:rsidR="0074216D" w14:paraId="2E3E516B"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9E8ACEA" w14:textId="77777777" w:rsidR="0074216D" w:rsidRDefault="0074216D">
            <w:pPr>
              <w:ind w:left="170"/>
            </w:pPr>
            <w:r w:rsidRPr="009C20EA">
              <w:rPr>
                <w:i/>
              </w:rPr>
              <w:t>The higher 2025-26 expected outcome reflects additional funding provided for government policy initiatives.</w:t>
            </w:r>
          </w:p>
        </w:tc>
      </w:tr>
    </w:tbl>
    <w:p w14:paraId="27C6497E" w14:textId="77777777" w:rsidR="0074216D" w:rsidRDefault="0074216D" w:rsidP="0074216D">
      <w:pPr>
        <w:pStyle w:val="Source"/>
      </w:pPr>
      <w:r>
        <w:t>Source: Department of Health</w:t>
      </w:r>
    </w:p>
    <w:p w14:paraId="7CFE3585" w14:textId="77777777" w:rsidR="0074216D" w:rsidRDefault="0074216D" w:rsidP="003E3DEA">
      <w:pPr>
        <w:pStyle w:val="Heading3"/>
        <w:pageBreakBefore/>
      </w:pPr>
      <w:r>
        <w:lastRenderedPageBreak/>
        <w:t>Small Rural Services</w:t>
      </w:r>
      <w:r>
        <w:tab/>
        <w:t>(2026-27: $948.7 million)</w:t>
      </w:r>
    </w:p>
    <w:p w14:paraId="3F582BD9" w14:textId="77777777" w:rsidR="0074216D" w:rsidRPr="00D95BFF" w:rsidRDefault="0074216D" w:rsidP="0074216D">
      <w:pPr>
        <w:spacing w:after="120"/>
        <w:rPr>
          <w:rFonts w:ascii="Garamond" w:eastAsia="Garamond" w:hAnsi="Garamond"/>
          <w:lang w:eastAsia="en-AU"/>
        </w:rPr>
      </w:pPr>
      <w:r w:rsidRPr="00DF6A78">
        <w:rPr>
          <w:rFonts w:ascii="Garamond" w:eastAsia="Garamond" w:hAnsi="Garamond"/>
          <w:lang w:eastAsia="en-AU"/>
        </w:rPr>
        <w:t>This output includes delivery of a range of community services that support Victorians in rural areas. These services provide access to admitted and non-admitted services, including elective and non-elective surgical and medical care, urgent care services, and maternity services; in home, community-based and residential care services for older people; community-based nursing, allied health and support services for younger people who have difficulty with the activities of daily living; in home, community-based and primary health services designed to promote health and wellbeing and prevent the onset of more serious illness.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74216D" w14:paraId="6A7F85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496F97A" w14:textId="77777777" w:rsidR="0074216D" w:rsidRDefault="0074216D">
            <w:r>
              <w:t>Performance measure</w:t>
            </w:r>
          </w:p>
        </w:tc>
        <w:tc>
          <w:tcPr>
            <w:tcW w:w="964" w:type="dxa"/>
          </w:tcPr>
          <w:p w14:paraId="1EED8867" w14:textId="77777777" w:rsidR="0074216D" w:rsidRDefault="0074216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9968B0C" w14:textId="77777777" w:rsidR="0074216D" w:rsidRDefault="0074216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F61049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7FA7F76" w14:textId="77777777" w:rsidR="0074216D" w:rsidRDefault="0074216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FF87A7B" w14:textId="77777777" w:rsidR="0074216D" w:rsidRDefault="0074216D">
            <w:pPr>
              <w:cnfStyle w:val="100000000000" w:firstRow="1" w:lastRow="0" w:firstColumn="0" w:lastColumn="0" w:oddVBand="0" w:evenVBand="0" w:oddHBand="0" w:evenHBand="0" w:firstRowFirstColumn="0" w:firstRowLastColumn="0" w:lastRowFirstColumn="0" w:lastRowLastColumn="0"/>
            </w:pPr>
            <w:r>
              <w:t>2024-25 actual</w:t>
            </w:r>
          </w:p>
        </w:tc>
      </w:tr>
      <w:tr w:rsidR="0074216D" w14:paraId="178328E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92D3CD2" w14:textId="77777777" w:rsidR="0074216D" w:rsidRPr="005314E1" w:rsidRDefault="0074216D">
            <w:pPr>
              <w:keepNext/>
              <w:rPr>
                <w:b/>
              </w:rPr>
            </w:pPr>
            <w:r w:rsidRPr="005314E1">
              <w:rPr>
                <w:b/>
              </w:rPr>
              <w:t>Quantity</w:t>
            </w:r>
          </w:p>
        </w:tc>
      </w:tr>
      <w:tr w:rsidR="0074216D" w14:paraId="3E9583EF" w14:textId="77777777">
        <w:tc>
          <w:tcPr>
            <w:cnfStyle w:val="001000000000" w:firstRow="0" w:lastRow="0" w:firstColumn="1" w:lastColumn="0" w:oddVBand="0" w:evenVBand="0" w:oddHBand="0" w:evenHBand="0" w:firstRowFirstColumn="0" w:firstRowLastColumn="0" w:lastRowFirstColumn="0" w:lastRowLastColumn="0"/>
            <w:tcW w:w="4819" w:type="dxa"/>
          </w:tcPr>
          <w:p w14:paraId="1DC5970A" w14:textId="3EA18E1B" w:rsidR="0074216D" w:rsidRDefault="0074216D">
            <w:pPr>
              <w:keepNext/>
              <w:ind w:left="170"/>
            </w:pPr>
            <w:r>
              <w:t xml:space="preserve">Home and Community Care for Younger People – </w:t>
            </w:r>
            <w:r w:rsidR="00821B23">
              <w:br/>
            </w:r>
            <w:r>
              <w:t>hours of service delivery</w:t>
            </w:r>
          </w:p>
        </w:tc>
        <w:tc>
          <w:tcPr>
            <w:tcW w:w="964" w:type="dxa"/>
          </w:tcPr>
          <w:p w14:paraId="4040220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hours</w:t>
            </w:r>
          </w:p>
        </w:tc>
        <w:tc>
          <w:tcPr>
            <w:tcW w:w="964" w:type="dxa"/>
            <w:shd w:val="clear" w:color="auto" w:fill="F0F0F0"/>
          </w:tcPr>
          <w:p w14:paraId="7766B771" w14:textId="77777777" w:rsidR="0074216D" w:rsidRDefault="0074216D">
            <w:pPr>
              <w:cnfStyle w:val="000000000000" w:firstRow="0" w:lastRow="0" w:firstColumn="0" w:lastColumn="0" w:oddVBand="0" w:evenVBand="0" w:oddHBand="0" w:evenHBand="0" w:firstRowFirstColumn="0" w:firstRowLastColumn="0" w:lastRowFirstColumn="0" w:lastRowLastColumn="0"/>
            </w:pPr>
            <w:r>
              <w:t>51 000</w:t>
            </w:r>
          </w:p>
        </w:tc>
        <w:tc>
          <w:tcPr>
            <w:tcW w:w="964" w:type="dxa"/>
          </w:tcPr>
          <w:p w14:paraId="3A9853C6" w14:textId="77777777" w:rsidR="0074216D" w:rsidRDefault="0074216D">
            <w:pPr>
              <w:cnfStyle w:val="000000000000" w:firstRow="0" w:lastRow="0" w:firstColumn="0" w:lastColumn="0" w:oddVBand="0" w:evenVBand="0" w:oddHBand="0" w:evenHBand="0" w:firstRowFirstColumn="0" w:firstRowLastColumn="0" w:lastRowFirstColumn="0" w:lastRowLastColumn="0"/>
            </w:pPr>
            <w:r>
              <w:t>44 884</w:t>
            </w:r>
          </w:p>
        </w:tc>
        <w:tc>
          <w:tcPr>
            <w:tcW w:w="964" w:type="dxa"/>
          </w:tcPr>
          <w:p w14:paraId="00D2B829" w14:textId="77777777" w:rsidR="0074216D" w:rsidRDefault="0074216D">
            <w:pPr>
              <w:cnfStyle w:val="000000000000" w:firstRow="0" w:lastRow="0" w:firstColumn="0" w:lastColumn="0" w:oddVBand="0" w:evenVBand="0" w:oddHBand="0" w:evenHBand="0" w:firstRowFirstColumn="0" w:firstRowLastColumn="0" w:lastRowFirstColumn="0" w:lastRowLastColumn="0"/>
            </w:pPr>
            <w:r>
              <w:t>51 000</w:t>
            </w:r>
          </w:p>
        </w:tc>
        <w:tc>
          <w:tcPr>
            <w:tcW w:w="964" w:type="dxa"/>
          </w:tcPr>
          <w:p w14:paraId="2EEFBF95" w14:textId="77777777" w:rsidR="0074216D" w:rsidRDefault="0074216D">
            <w:pPr>
              <w:cnfStyle w:val="000000000000" w:firstRow="0" w:lastRow="0" w:firstColumn="0" w:lastColumn="0" w:oddVBand="0" w:evenVBand="0" w:oddHBand="0" w:evenHBand="0" w:firstRowFirstColumn="0" w:firstRowLastColumn="0" w:lastRowFirstColumn="0" w:lastRowLastColumn="0"/>
            </w:pPr>
            <w:r>
              <w:t>52 907</w:t>
            </w:r>
          </w:p>
        </w:tc>
      </w:tr>
      <w:tr w:rsidR="0074216D" w14:paraId="742FBAB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F32DC6" w14:textId="77777777" w:rsidR="0074216D" w:rsidRDefault="0074216D">
            <w:pPr>
              <w:ind w:left="170"/>
            </w:pPr>
            <w:r>
              <w:rPr>
                <w:i/>
              </w:rPr>
              <w:t>The 2025-26 expected outcome is below target due to small rural health services (SRHS) flexible funding model that supports SRHSs to flexibly meet the needs of their community.</w:t>
            </w:r>
          </w:p>
        </w:tc>
      </w:tr>
      <w:tr w:rsidR="0074216D" w14:paraId="57145946" w14:textId="77777777">
        <w:tc>
          <w:tcPr>
            <w:cnfStyle w:val="001000000000" w:firstRow="0" w:lastRow="0" w:firstColumn="1" w:lastColumn="0" w:oddVBand="0" w:evenVBand="0" w:oddHBand="0" w:evenHBand="0" w:firstRowFirstColumn="0" w:firstRowLastColumn="0" w:lastRowFirstColumn="0" w:lastRowLastColumn="0"/>
            <w:tcW w:w="4819" w:type="dxa"/>
          </w:tcPr>
          <w:p w14:paraId="661B5B71" w14:textId="77777777" w:rsidR="0074216D" w:rsidRDefault="0074216D">
            <w:pPr>
              <w:keepNext/>
              <w:ind w:left="170"/>
            </w:pPr>
            <w:r>
              <w:t>NWAU Eligible Separations</w:t>
            </w:r>
          </w:p>
        </w:tc>
        <w:tc>
          <w:tcPr>
            <w:tcW w:w="964" w:type="dxa"/>
          </w:tcPr>
          <w:p w14:paraId="428FF137"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2725ABCA" w14:textId="77777777" w:rsidR="0074216D" w:rsidRDefault="0074216D">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6B3C31EE" w14:textId="77777777" w:rsidR="0074216D" w:rsidRDefault="0074216D">
            <w:pPr>
              <w:cnfStyle w:val="000000000000" w:firstRow="0" w:lastRow="0" w:firstColumn="0" w:lastColumn="0" w:oddVBand="0" w:evenVBand="0" w:oddHBand="0" w:evenHBand="0" w:firstRowFirstColumn="0" w:firstRowLastColumn="0" w:lastRowFirstColumn="0" w:lastRowLastColumn="0"/>
            </w:pPr>
            <w:r>
              <w:t>32</w:t>
            </w:r>
          </w:p>
        </w:tc>
        <w:tc>
          <w:tcPr>
            <w:tcW w:w="964" w:type="dxa"/>
          </w:tcPr>
          <w:p w14:paraId="7F547796" w14:textId="77777777" w:rsidR="0074216D" w:rsidRDefault="0074216D">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667CA6B5" w14:textId="77777777" w:rsidR="0074216D" w:rsidRDefault="0074216D">
            <w:pPr>
              <w:cnfStyle w:val="000000000000" w:firstRow="0" w:lastRow="0" w:firstColumn="0" w:lastColumn="0" w:oddVBand="0" w:evenVBand="0" w:oddHBand="0" w:evenHBand="0" w:firstRowFirstColumn="0" w:firstRowLastColumn="0" w:lastRowFirstColumn="0" w:lastRowLastColumn="0"/>
            </w:pPr>
            <w:r>
              <w:t>33.1</w:t>
            </w:r>
          </w:p>
        </w:tc>
      </w:tr>
      <w:tr w:rsidR="0074216D" w14:paraId="38ED996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B1C55F" w14:textId="77777777" w:rsidR="0074216D" w:rsidRDefault="0074216D">
            <w:pPr>
              <w:ind w:left="170"/>
            </w:pPr>
            <w:r>
              <w:rPr>
                <w:i/>
              </w:rPr>
              <w:t xml:space="preserve">The 2025-26 expected outcome is higher than the target, reflecting higher than expected activity across small rural health services. Activity for this measure is highly variable. </w:t>
            </w:r>
          </w:p>
        </w:tc>
      </w:tr>
      <w:tr w:rsidR="0074216D" w14:paraId="704E6A3C" w14:textId="77777777">
        <w:tc>
          <w:tcPr>
            <w:cnfStyle w:val="001000000000" w:firstRow="0" w:lastRow="0" w:firstColumn="1" w:lastColumn="0" w:oddVBand="0" w:evenVBand="0" w:oddHBand="0" w:evenHBand="0" w:firstRowFirstColumn="0" w:firstRowLastColumn="0" w:lastRowFirstColumn="0" w:lastRowLastColumn="0"/>
            <w:tcW w:w="4819" w:type="dxa"/>
          </w:tcPr>
          <w:p w14:paraId="0E23516D" w14:textId="77777777" w:rsidR="0074216D" w:rsidRDefault="0074216D">
            <w:pPr>
              <w:keepNext/>
              <w:ind w:left="170"/>
            </w:pPr>
            <w:r>
              <w:t>Service delivery hours in community health care</w:t>
            </w:r>
          </w:p>
        </w:tc>
        <w:tc>
          <w:tcPr>
            <w:tcW w:w="964" w:type="dxa"/>
          </w:tcPr>
          <w:p w14:paraId="7BF774D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F4B8AA4" w14:textId="77777777" w:rsidR="0074216D" w:rsidRDefault="0074216D">
            <w:pPr>
              <w:cnfStyle w:val="000000000000" w:firstRow="0" w:lastRow="0" w:firstColumn="0" w:lastColumn="0" w:oddVBand="0" w:evenVBand="0" w:oddHBand="0" w:evenHBand="0" w:firstRowFirstColumn="0" w:firstRowLastColumn="0" w:lastRowFirstColumn="0" w:lastRowLastColumn="0"/>
            </w:pPr>
            <w:r>
              <w:t>87 400</w:t>
            </w:r>
          </w:p>
        </w:tc>
        <w:tc>
          <w:tcPr>
            <w:tcW w:w="964" w:type="dxa"/>
          </w:tcPr>
          <w:p w14:paraId="7012AAB0" w14:textId="77777777" w:rsidR="0074216D" w:rsidRDefault="0074216D">
            <w:pPr>
              <w:cnfStyle w:val="000000000000" w:firstRow="0" w:lastRow="0" w:firstColumn="0" w:lastColumn="0" w:oddVBand="0" w:evenVBand="0" w:oddHBand="0" w:evenHBand="0" w:firstRowFirstColumn="0" w:firstRowLastColumn="0" w:lastRowFirstColumn="0" w:lastRowLastColumn="0"/>
            </w:pPr>
            <w:r>
              <w:t>98 888</w:t>
            </w:r>
          </w:p>
        </w:tc>
        <w:tc>
          <w:tcPr>
            <w:tcW w:w="964" w:type="dxa"/>
          </w:tcPr>
          <w:p w14:paraId="172B1E79" w14:textId="77777777" w:rsidR="0074216D" w:rsidRDefault="0074216D">
            <w:pPr>
              <w:cnfStyle w:val="000000000000" w:firstRow="0" w:lastRow="0" w:firstColumn="0" w:lastColumn="0" w:oddVBand="0" w:evenVBand="0" w:oddHBand="0" w:evenHBand="0" w:firstRowFirstColumn="0" w:firstRowLastColumn="0" w:lastRowFirstColumn="0" w:lastRowLastColumn="0"/>
            </w:pPr>
            <w:r>
              <w:t>87 400</w:t>
            </w:r>
          </w:p>
        </w:tc>
        <w:tc>
          <w:tcPr>
            <w:tcW w:w="964" w:type="dxa"/>
          </w:tcPr>
          <w:p w14:paraId="6C3CB73C" w14:textId="77777777" w:rsidR="0074216D" w:rsidRDefault="0074216D">
            <w:pPr>
              <w:cnfStyle w:val="000000000000" w:firstRow="0" w:lastRow="0" w:firstColumn="0" w:lastColumn="0" w:oddVBand="0" w:evenVBand="0" w:oddHBand="0" w:evenHBand="0" w:firstRowFirstColumn="0" w:firstRowLastColumn="0" w:lastRowFirstColumn="0" w:lastRowLastColumn="0"/>
            </w:pPr>
            <w:r>
              <w:t>98 888</w:t>
            </w:r>
          </w:p>
        </w:tc>
      </w:tr>
      <w:tr w:rsidR="0074216D" w14:paraId="5D9CD13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4E804D" w14:textId="77777777" w:rsidR="0074216D" w:rsidRDefault="0074216D">
            <w:pPr>
              <w:ind w:left="170"/>
            </w:pPr>
            <w:r w:rsidRPr="00372D42">
              <w:rPr>
                <w:i/>
              </w:rPr>
              <w:t>The 2025-26 expected outcome is above target due to the small rural healt</w:t>
            </w:r>
            <w:r>
              <w:rPr>
                <w:i/>
              </w:rPr>
              <w:t>h</w:t>
            </w:r>
            <w:r w:rsidRPr="00372D42">
              <w:rPr>
                <w:i/>
              </w:rPr>
              <w:t xml:space="preserve"> services (SRHS) flexible funding model that supports SRHSs to flexibly meet the needs of their community</w:t>
            </w:r>
            <w:r>
              <w:rPr>
                <w:i/>
              </w:rPr>
              <w:t>.</w:t>
            </w:r>
          </w:p>
        </w:tc>
      </w:tr>
      <w:tr w:rsidR="0074216D" w14:paraId="72EC888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13944E" w14:textId="77777777" w:rsidR="0074216D" w:rsidRDefault="0074216D">
            <w:pPr>
              <w:ind w:left="170"/>
            </w:pPr>
            <w:r>
              <w:t>Small rural available bed days</w:t>
            </w:r>
          </w:p>
        </w:tc>
        <w:tc>
          <w:tcPr>
            <w:tcW w:w="964" w:type="dxa"/>
            <w:tcBorders>
              <w:bottom w:val="single" w:sz="6" w:space="0" w:color="auto"/>
            </w:tcBorders>
          </w:tcPr>
          <w:p w14:paraId="5E2D664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EBA7C61" w14:textId="77777777" w:rsidR="0074216D" w:rsidRDefault="0074216D">
            <w:pPr>
              <w:cnfStyle w:val="000000000000" w:firstRow="0" w:lastRow="0" w:firstColumn="0" w:lastColumn="0" w:oddVBand="0" w:evenVBand="0" w:oddHBand="0" w:evenHBand="0" w:firstRowFirstColumn="0" w:firstRowLastColumn="0" w:lastRowFirstColumn="0" w:lastRowLastColumn="0"/>
            </w:pPr>
            <w:r>
              <w:t>726 848</w:t>
            </w:r>
          </w:p>
        </w:tc>
        <w:tc>
          <w:tcPr>
            <w:tcW w:w="964" w:type="dxa"/>
            <w:tcBorders>
              <w:bottom w:val="single" w:sz="6" w:space="0" w:color="auto"/>
            </w:tcBorders>
          </w:tcPr>
          <w:p w14:paraId="23425800" w14:textId="77777777" w:rsidR="0074216D" w:rsidRDefault="0074216D">
            <w:pPr>
              <w:cnfStyle w:val="000000000000" w:firstRow="0" w:lastRow="0" w:firstColumn="0" w:lastColumn="0" w:oddVBand="0" w:evenVBand="0" w:oddHBand="0" w:evenHBand="0" w:firstRowFirstColumn="0" w:firstRowLastColumn="0" w:lastRowFirstColumn="0" w:lastRowLastColumn="0"/>
            </w:pPr>
            <w:r>
              <w:t>726 848</w:t>
            </w:r>
          </w:p>
        </w:tc>
        <w:tc>
          <w:tcPr>
            <w:tcW w:w="964" w:type="dxa"/>
            <w:tcBorders>
              <w:bottom w:val="single" w:sz="6" w:space="0" w:color="auto"/>
            </w:tcBorders>
          </w:tcPr>
          <w:p w14:paraId="4336CBC5" w14:textId="77777777" w:rsidR="0074216D" w:rsidRDefault="0074216D">
            <w:pPr>
              <w:cnfStyle w:val="000000000000" w:firstRow="0" w:lastRow="0" w:firstColumn="0" w:lastColumn="0" w:oddVBand="0" w:evenVBand="0" w:oddHBand="0" w:evenHBand="0" w:firstRowFirstColumn="0" w:firstRowLastColumn="0" w:lastRowFirstColumn="0" w:lastRowLastColumn="0"/>
            </w:pPr>
            <w:r>
              <w:t>726 848</w:t>
            </w:r>
          </w:p>
        </w:tc>
        <w:tc>
          <w:tcPr>
            <w:tcW w:w="964" w:type="dxa"/>
            <w:tcBorders>
              <w:bottom w:val="single" w:sz="6" w:space="0" w:color="auto"/>
            </w:tcBorders>
          </w:tcPr>
          <w:p w14:paraId="28342141" w14:textId="77777777" w:rsidR="0074216D" w:rsidRDefault="0074216D">
            <w:pPr>
              <w:cnfStyle w:val="000000000000" w:firstRow="0" w:lastRow="0" w:firstColumn="0" w:lastColumn="0" w:oddVBand="0" w:evenVBand="0" w:oddHBand="0" w:evenHBand="0" w:firstRowFirstColumn="0" w:firstRowLastColumn="0" w:lastRowFirstColumn="0" w:lastRowLastColumn="0"/>
            </w:pPr>
            <w:r>
              <w:t>704 271</w:t>
            </w:r>
          </w:p>
        </w:tc>
      </w:tr>
      <w:tr w:rsidR="0074216D" w14:paraId="4772DA6C" w14:textId="77777777">
        <w:tc>
          <w:tcPr>
            <w:cnfStyle w:val="001000000000" w:firstRow="0" w:lastRow="0" w:firstColumn="1" w:lastColumn="0" w:oddVBand="0" w:evenVBand="0" w:oddHBand="0" w:evenHBand="0" w:firstRowFirstColumn="0" w:firstRowLastColumn="0" w:lastRowFirstColumn="0" w:lastRowLastColumn="0"/>
            <w:tcW w:w="4819" w:type="dxa"/>
          </w:tcPr>
          <w:p w14:paraId="773EEC5F" w14:textId="77777777" w:rsidR="0074216D" w:rsidRDefault="0074216D">
            <w:pPr>
              <w:keepNext/>
              <w:ind w:left="170"/>
            </w:pPr>
            <w:r>
              <w:t>Small Rural Urgent Care Presentations</w:t>
            </w:r>
          </w:p>
        </w:tc>
        <w:tc>
          <w:tcPr>
            <w:tcW w:w="964" w:type="dxa"/>
          </w:tcPr>
          <w:p w14:paraId="43FEFB69"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27FFD193" w14:textId="77777777" w:rsidR="0074216D" w:rsidRDefault="0074216D">
            <w:pPr>
              <w:cnfStyle w:val="000000000000" w:firstRow="0" w:lastRow="0" w:firstColumn="0" w:lastColumn="0" w:oddVBand="0" w:evenVBand="0" w:oddHBand="0" w:evenHBand="0" w:firstRowFirstColumn="0" w:firstRowLastColumn="0" w:lastRowFirstColumn="0" w:lastRowLastColumn="0"/>
            </w:pPr>
            <w:r>
              <w:t>86</w:t>
            </w:r>
          </w:p>
        </w:tc>
        <w:tc>
          <w:tcPr>
            <w:tcW w:w="964" w:type="dxa"/>
          </w:tcPr>
          <w:p w14:paraId="1C17B37F" w14:textId="77777777" w:rsidR="0074216D" w:rsidRDefault="0074216D">
            <w:pPr>
              <w:cnfStyle w:val="000000000000" w:firstRow="0" w:lastRow="0" w:firstColumn="0" w:lastColumn="0" w:oddVBand="0" w:evenVBand="0" w:oddHBand="0" w:evenHBand="0" w:firstRowFirstColumn="0" w:firstRowLastColumn="0" w:lastRowFirstColumn="0" w:lastRowLastColumn="0"/>
            </w:pPr>
            <w:r>
              <w:t>99.3</w:t>
            </w:r>
          </w:p>
        </w:tc>
        <w:tc>
          <w:tcPr>
            <w:tcW w:w="964" w:type="dxa"/>
          </w:tcPr>
          <w:p w14:paraId="544DC05D" w14:textId="77777777" w:rsidR="0074216D" w:rsidRDefault="0074216D">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45D99696" w14:textId="77777777" w:rsidR="0074216D" w:rsidRDefault="0074216D">
            <w:pPr>
              <w:cnfStyle w:val="000000000000" w:firstRow="0" w:lastRow="0" w:firstColumn="0" w:lastColumn="0" w:oddVBand="0" w:evenVBand="0" w:oddHBand="0" w:evenHBand="0" w:firstRowFirstColumn="0" w:firstRowLastColumn="0" w:lastRowFirstColumn="0" w:lastRowLastColumn="0"/>
            </w:pPr>
            <w:r>
              <w:t>98.4</w:t>
            </w:r>
          </w:p>
        </w:tc>
      </w:tr>
      <w:tr w:rsidR="0074216D" w14:paraId="60AD14F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0641ECE" w14:textId="51DA5C6D" w:rsidR="0074216D" w:rsidRPr="00A671C1" w:rsidRDefault="0074216D" w:rsidP="00A671C1">
            <w:pPr>
              <w:ind w:left="170"/>
            </w:pPr>
            <w:r>
              <w:rPr>
                <w:i/>
              </w:rPr>
              <w:t>The 2025-26 expected outcome is higher than the target. Increased activity is projected primarily in urgent care centres located in peri</w:t>
            </w:r>
            <w:r>
              <w:rPr>
                <w:i/>
              </w:rPr>
              <w:noBreakHyphen/>
              <w:t>urban areas reflecting population growth, and in urgent care centres situated in tourist locations</w:t>
            </w:r>
            <w:r>
              <w:t xml:space="preserve"> </w:t>
            </w:r>
            <w:r w:rsidRPr="002F38A2">
              <w:rPr>
                <w:i/>
              </w:rPr>
              <w:t>previously classified as small rural services.</w:t>
            </w:r>
          </w:p>
          <w:p w14:paraId="2BFE9529" w14:textId="257E15D8" w:rsidR="0074216D" w:rsidRDefault="00EF33DB">
            <w:pPr>
              <w:ind w:left="170"/>
            </w:pPr>
            <w:r w:rsidRPr="00EF33DB">
              <w:rPr>
                <w:i/>
                <w:iCs/>
              </w:rPr>
              <w:t>The 2026-27 target reflects scope that has been refined to exclude services that are no longer classified as a small rural service resulting in a revised cohort and a reduction in target.</w:t>
            </w:r>
          </w:p>
        </w:tc>
      </w:tr>
      <w:tr w:rsidR="0074216D" w14:paraId="5FD8B33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B095397" w14:textId="77777777" w:rsidR="0074216D" w:rsidRPr="005314E1" w:rsidRDefault="0074216D">
            <w:pPr>
              <w:keepNext/>
              <w:rPr>
                <w:b/>
              </w:rPr>
            </w:pPr>
            <w:r w:rsidRPr="005314E1">
              <w:rPr>
                <w:b/>
              </w:rPr>
              <w:t>Quality</w:t>
            </w:r>
          </w:p>
        </w:tc>
      </w:tr>
      <w:tr w:rsidR="0074216D" w14:paraId="06507F7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7609D27" w14:textId="77777777" w:rsidR="0074216D" w:rsidRDefault="0074216D">
            <w:pPr>
              <w:ind w:left="170"/>
            </w:pPr>
            <w:r>
              <w:t>Percentage of health services accredited</w:t>
            </w:r>
          </w:p>
        </w:tc>
        <w:tc>
          <w:tcPr>
            <w:tcW w:w="964" w:type="dxa"/>
            <w:tcBorders>
              <w:bottom w:val="single" w:sz="6" w:space="0" w:color="auto"/>
            </w:tcBorders>
          </w:tcPr>
          <w:p w14:paraId="707995EA"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3792D6B"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AD01BA4"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CC13E23"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C79C392"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140068C8" w14:textId="77777777" w:rsidTr="00821B23">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59361639" w14:textId="65FED9EB" w:rsidR="0074216D" w:rsidRDefault="0074216D">
            <w:pPr>
              <w:keepNext/>
              <w:ind w:left="170"/>
            </w:pPr>
            <w:r>
              <w:t xml:space="preserve">Residential aged care services </w:t>
            </w:r>
            <w:r w:rsidR="002B0C7C">
              <w:t>–</w:t>
            </w:r>
            <w:r>
              <w:t xml:space="preserve"> registered</w:t>
            </w:r>
          </w:p>
        </w:tc>
        <w:tc>
          <w:tcPr>
            <w:tcW w:w="964" w:type="dxa"/>
            <w:tcBorders>
              <w:bottom w:val="nil"/>
            </w:tcBorders>
          </w:tcPr>
          <w:p w14:paraId="0AFF726F"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04D5CB1E"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18DDF99E"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16BDF353"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102C713A" w14:textId="77777777" w:rsidR="0074216D" w:rsidRDefault="0074216D">
            <w:pPr>
              <w:cnfStyle w:val="000000000000" w:firstRow="0" w:lastRow="0" w:firstColumn="0" w:lastColumn="0" w:oddVBand="0" w:evenVBand="0" w:oddHBand="0" w:evenHBand="0" w:firstRowFirstColumn="0" w:firstRowLastColumn="0" w:lastRowFirstColumn="0" w:lastRowLastColumn="0"/>
            </w:pPr>
            <w:r>
              <w:t>100</w:t>
            </w:r>
          </w:p>
        </w:tc>
      </w:tr>
      <w:tr w:rsidR="0074216D" w14:paraId="6B47AA96"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EC088A9" w14:textId="59D8E4FB" w:rsidR="0074216D" w:rsidRDefault="0074216D">
            <w:pPr>
              <w:ind w:left="170"/>
            </w:pPr>
            <w:r w:rsidRPr="004C2A77">
              <w:rPr>
                <w:i/>
              </w:rPr>
              <w:t xml:space="preserve">The performance measure </w:t>
            </w:r>
            <w:r w:rsidR="00324555">
              <w:rPr>
                <w:i/>
              </w:rPr>
              <w:t>‘</w:t>
            </w:r>
            <w:r w:rsidRPr="004C2A77">
              <w:rPr>
                <w:i/>
              </w:rPr>
              <w:t>Residential care services accredited</w:t>
            </w:r>
            <w:r w:rsidR="00324555">
              <w:rPr>
                <w:i/>
              </w:rPr>
              <w:t>’</w:t>
            </w:r>
            <w:r w:rsidRPr="004C2A77">
              <w:rPr>
                <w:i/>
              </w:rPr>
              <w:t xml:space="preserve"> has been renamed to reflect language changes in </w:t>
            </w:r>
            <w:r w:rsidRPr="005C0438">
              <w:t>the New Aged Care Act 2024 (Commonwealth)</w:t>
            </w:r>
            <w:r w:rsidRPr="004C2A77">
              <w:rPr>
                <w:i/>
              </w:rPr>
              <w:t>.</w:t>
            </w:r>
          </w:p>
        </w:tc>
      </w:tr>
      <w:tr w:rsidR="0074216D" w14:paraId="325DE7E6"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7682B9D" w14:textId="77777777" w:rsidR="0074216D" w:rsidRPr="005314E1" w:rsidRDefault="0074216D">
            <w:pPr>
              <w:rPr>
                <w:b/>
              </w:rPr>
            </w:pPr>
            <w:r w:rsidRPr="005314E1">
              <w:rPr>
                <w:b/>
              </w:rPr>
              <w:t>Cost</w:t>
            </w:r>
          </w:p>
        </w:tc>
      </w:tr>
      <w:tr w:rsidR="0074216D" w14:paraId="7A042362" w14:textId="77777777">
        <w:tc>
          <w:tcPr>
            <w:cnfStyle w:val="001000000000" w:firstRow="0" w:lastRow="0" w:firstColumn="1" w:lastColumn="0" w:oddVBand="0" w:evenVBand="0" w:oddHBand="0" w:evenHBand="0" w:firstRowFirstColumn="0" w:firstRowLastColumn="0" w:lastRowFirstColumn="0" w:lastRowLastColumn="0"/>
            <w:tcW w:w="4819" w:type="dxa"/>
          </w:tcPr>
          <w:p w14:paraId="57962F6E" w14:textId="77777777" w:rsidR="0074216D" w:rsidRDefault="0074216D">
            <w:pPr>
              <w:keepNext/>
              <w:ind w:left="170"/>
            </w:pPr>
            <w:r>
              <w:t>Total output cost</w:t>
            </w:r>
          </w:p>
        </w:tc>
        <w:tc>
          <w:tcPr>
            <w:tcW w:w="964" w:type="dxa"/>
          </w:tcPr>
          <w:p w14:paraId="37A676BD" w14:textId="77777777" w:rsidR="0074216D" w:rsidRDefault="0074216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825FA18"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B13EAD">
              <w:t xml:space="preserve"> 948.7</w:t>
            </w:r>
          </w:p>
        </w:tc>
        <w:tc>
          <w:tcPr>
            <w:tcW w:w="964" w:type="dxa"/>
          </w:tcPr>
          <w:p w14:paraId="33F81E7F"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B13EAD">
              <w:t xml:space="preserve"> 975.8</w:t>
            </w:r>
          </w:p>
        </w:tc>
        <w:tc>
          <w:tcPr>
            <w:tcW w:w="964" w:type="dxa"/>
          </w:tcPr>
          <w:p w14:paraId="50B6B551"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B13EAD">
              <w:t xml:space="preserve"> 877.4</w:t>
            </w:r>
          </w:p>
        </w:tc>
        <w:tc>
          <w:tcPr>
            <w:tcW w:w="964" w:type="dxa"/>
          </w:tcPr>
          <w:p w14:paraId="0C56D3B3" w14:textId="77777777" w:rsidR="0074216D" w:rsidRDefault="0074216D">
            <w:pPr>
              <w:cnfStyle w:val="000000000000" w:firstRow="0" w:lastRow="0" w:firstColumn="0" w:lastColumn="0" w:oddVBand="0" w:evenVBand="0" w:oddHBand="0" w:evenHBand="0" w:firstRowFirstColumn="0" w:firstRowLastColumn="0" w:lastRowFirstColumn="0" w:lastRowLastColumn="0"/>
            </w:pPr>
            <w:r w:rsidRPr="00B13EAD">
              <w:t xml:space="preserve"> 874.8</w:t>
            </w:r>
          </w:p>
        </w:tc>
      </w:tr>
      <w:tr w:rsidR="0074216D" w14:paraId="09D1ACF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BCE70FF" w14:textId="77777777" w:rsidR="0074216D" w:rsidRPr="0094608A" w:rsidRDefault="0074216D">
            <w:pPr>
              <w:ind w:left="170"/>
              <w:rPr>
                <w:i/>
                <w:iCs/>
              </w:rPr>
            </w:pPr>
            <w:r w:rsidRPr="00D3038E">
              <w:rPr>
                <w:i/>
                <w:iCs/>
              </w:rPr>
              <w:t>The higher 2025-26 expected outcome reflects funding adjustments for government policy commitments and increased hospital revenue estimates.</w:t>
            </w:r>
          </w:p>
        </w:tc>
      </w:tr>
      <w:tr w:rsidR="0074216D" w14:paraId="6421331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BE67B9E" w14:textId="77777777" w:rsidR="0074216D" w:rsidRDefault="0074216D">
            <w:pPr>
              <w:ind w:left="170"/>
            </w:pPr>
            <w:r w:rsidRPr="00D3038E">
              <w:rPr>
                <w:i/>
                <w:iCs/>
              </w:rPr>
              <w:t>The higher 2026-27 target is due to</w:t>
            </w:r>
            <w:r>
              <w:rPr>
                <w:i/>
                <w:iCs/>
              </w:rPr>
              <w:t xml:space="preserve"> new</w:t>
            </w:r>
            <w:r w:rsidRPr="00D3038E">
              <w:rPr>
                <w:i/>
                <w:iCs/>
              </w:rPr>
              <w:t xml:space="preserve"> funding provided for government policy commitments.</w:t>
            </w:r>
          </w:p>
        </w:tc>
      </w:tr>
    </w:tbl>
    <w:p w14:paraId="68B1D943" w14:textId="77777777" w:rsidR="0074216D" w:rsidRDefault="0074216D" w:rsidP="0074216D">
      <w:pPr>
        <w:pStyle w:val="Source"/>
      </w:pPr>
      <w:r>
        <w:t>Source: Department of Health</w:t>
      </w:r>
    </w:p>
    <w:p w14:paraId="2D8E037F" w14:textId="77777777" w:rsidR="001E1B75" w:rsidRDefault="001E1B75" w:rsidP="0074216D">
      <w:pPr>
        <w:pStyle w:val="Source"/>
      </w:pPr>
    </w:p>
    <w:p w14:paraId="5E5EAE8B" w14:textId="77777777" w:rsidR="001E1B75" w:rsidRDefault="001E1B75" w:rsidP="0074216D">
      <w:pPr>
        <w:pStyle w:val="Source"/>
      </w:pPr>
    </w:p>
    <w:p w14:paraId="2DB1EEF1" w14:textId="77777777" w:rsidR="001E1B75" w:rsidRDefault="001E1B75" w:rsidP="001E1B75">
      <w:pPr>
        <w:sectPr w:rsidR="001E1B75" w:rsidSect="001F14A3">
          <w:footerReference w:type="even" r:id="rId28"/>
          <w:footerReference w:type="default" r:id="rId29"/>
          <w:pgSz w:w="11907" w:h="16840" w:code="9"/>
          <w:pgMar w:top="1138" w:right="1138" w:bottom="1138" w:left="1138" w:header="619" w:footer="562" w:gutter="0"/>
          <w:cols w:space="708"/>
          <w:docGrid w:linePitch="360"/>
        </w:sectPr>
      </w:pPr>
      <w:bookmarkStart w:id="10" w:name="_Toc228288100"/>
    </w:p>
    <w:p w14:paraId="01DFC9C7" w14:textId="526D1900" w:rsidR="00824558" w:rsidRDefault="00824558" w:rsidP="002E0B49">
      <w:pPr>
        <w:pStyle w:val="Heading1"/>
        <w:pageBreakBefore/>
        <w:spacing w:before="0"/>
        <w:rPr>
          <w:rFonts w:eastAsia="Calibri"/>
        </w:rPr>
      </w:pPr>
      <w:r>
        <w:lastRenderedPageBreak/>
        <w:t>Department of Jobs, Skills, Industry and Regions</w:t>
      </w:r>
      <w:bookmarkStart w:id="11" w:name="_Hlk198039690"/>
      <w:bookmarkEnd w:id="10"/>
    </w:p>
    <w:p w14:paraId="014C988F" w14:textId="77777777" w:rsidR="00824558" w:rsidRPr="0029072C" w:rsidRDefault="00824558">
      <w:pPr>
        <w:keepNext/>
        <w:spacing w:before="240"/>
        <w:outlineLvl w:val="1"/>
        <w:rPr>
          <w:rFonts w:ascii="Calibri" w:eastAsia="Calibri" w:hAnsi="Calibri"/>
          <w:b/>
          <w:bCs/>
          <w:sz w:val="27"/>
          <w:szCs w:val="27"/>
        </w:rPr>
      </w:pPr>
      <w:r w:rsidRPr="3A93E760">
        <w:rPr>
          <w:rFonts w:ascii="Calibri" w:eastAsia="Calibri" w:hAnsi="Calibri"/>
          <w:b/>
          <w:bCs/>
          <w:sz w:val="27"/>
          <w:szCs w:val="27"/>
        </w:rPr>
        <w:t>Ministerial portfolios</w:t>
      </w:r>
    </w:p>
    <w:p w14:paraId="72856171" w14:textId="41189A63" w:rsidR="00824558" w:rsidRPr="00733A2F" w:rsidRDefault="00824558">
      <w:pPr>
        <w:rPr>
          <w:rFonts w:ascii="Garamond" w:eastAsia="Garamond" w:hAnsi="Garamond" w:cs="Garamond"/>
        </w:rPr>
      </w:pPr>
      <w:r w:rsidRPr="0029072C">
        <w:rPr>
          <w:rFonts w:ascii="Garamond" w:eastAsia="Garamond" w:hAnsi="Garamond" w:cs="Garamond"/>
          <w:color w:val="000000"/>
        </w:rPr>
        <w:t xml:space="preserve">The </w:t>
      </w:r>
      <w:r w:rsidRPr="00733A2F">
        <w:rPr>
          <w:rFonts w:ascii="Garamond" w:eastAsia="Garamond" w:hAnsi="Garamond" w:cs="Garamond"/>
        </w:rPr>
        <w:t xml:space="preserve">Department of Jobs, Skills, Industry and Regions supports the ministerial portfolios of Community Sport; Creative Industries; Economic Growth and Jobs; Industry and Advanced Manufacturing; Outdoor Recreation; Regional Development; Skills and TAFE; Small </w:t>
      </w:r>
      <w:r w:rsidR="00DD5294">
        <w:rPr>
          <w:rFonts w:ascii="Garamond" w:eastAsia="Garamond" w:hAnsi="Garamond" w:cs="Garamond"/>
        </w:rPr>
        <w:t>Business and Employment</w:t>
      </w:r>
      <w:r w:rsidR="000004FB">
        <w:rPr>
          <w:rFonts w:ascii="Garamond" w:eastAsia="Garamond" w:hAnsi="Garamond" w:cs="Garamond"/>
        </w:rPr>
        <w:t>;</w:t>
      </w:r>
      <w:r w:rsidR="00DD5294">
        <w:rPr>
          <w:rFonts w:ascii="Garamond" w:eastAsia="Garamond" w:hAnsi="Garamond" w:cs="Garamond"/>
        </w:rPr>
        <w:t xml:space="preserve"> Tourism,</w:t>
      </w:r>
      <w:r w:rsidRPr="00733A2F">
        <w:rPr>
          <w:rFonts w:ascii="Garamond" w:eastAsia="Garamond" w:hAnsi="Garamond" w:cs="Garamond"/>
        </w:rPr>
        <w:t xml:space="preserve"> Sport and Major Events</w:t>
      </w:r>
      <w:r w:rsidR="00DD5294">
        <w:rPr>
          <w:rFonts w:ascii="Garamond" w:eastAsia="Garamond" w:hAnsi="Garamond" w:cs="Garamond"/>
        </w:rPr>
        <w:t>.</w:t>
      </w:r>
    </w:p>
    <w:p w14:paraId="01F8256F" w14:textId="77777777" w:rsidR="00824558" w:rsidRPr="00733A2F" w:rsidRDefault="00824558">
      <w:pPr>
        <w:keepNext/>
        <w:spacing w:before="240"/>
        <w:outlineLvl w:val="1"/>
        <w:rPr>
          <w:rFonts w:ascii="Calibri" w:eastAsia="Calibri" w:hAnsi="Calibri"/>
          <w:b/>
          <w:sz w:val="27"/>
          <w:szCs w:val="26"/>
        </w:rPr>
      </w:pPr>
      <w:r w:rsidRPr="00733A2F">
        <w:rPr>
          <w:rFonts w:ascii="Calibri" w:eastAsia="Calibri" w:hAnsi="Calibri"/>
          <w:b/>
          <w:sz w:val="27"/>
          <w:szCs w:val="26"/>
        </w:rPr>
        <w:t>Departmental mission statement</w:t>
      </w:r>
    </w:p>
    <w:p w14:paraId="27C0BDA9" w14:textId="77777777" w:rsidR="00824558" w:rsidRPr="00733A2F" w:rsidRDefault="00824558">
      <w:pPr>
        <w:rPr>
          <w:rFonts w:ascii="Garamond" w:eastAsia="Garamond" w:hAnsi="Garamond" w:cs="Garamond"/>
        </w:rPr>
      </w:pPr>
      <w:r w:rsidRPr="00733A2F">
        <w:rPr>
          <w:rFonts w:ascii="Garamond" w:eastAsia="Garamond" w:hAnsi="Garamond" w:cs="Garamond"/>
        </w:rPr>
        <w:t>The Department of Jobs, Skills, Industry and Regions is dedicated to driving economic development and growth – by supporting businesses and industries to invest, innovate and grow, including across our thriving creative and tourism industries; building the skills system to support jobs across the whole economy, both now and into the future; and ensuring communities across the state are great places to live, work, stay, study, invest and do business.</w:t>
      </w:r>
    </w:p>
    <w:p w14:paraId="2838C7ED" w14:textId="77777777" w:rsidR="00824558" w:rsidRPr="00733A2F" w:rsidRDefault="00824558">
      <w:pPr>
        <w:keepNext/>
        <w:tabs>
          <w:tab w:val="right" w:pos="7711"/>
        </w:tabs>
        <w:spacing w:before="240" w:after="60"/>
        <w:rPr>
          <w:rFonts w:ascii="Calibri" w:eastAsia="Garamond" w:hAnsi="Calibri"/>
          <w:b/>
          <w:bCs/>
          <w:sz w:val="23"/>
          <w:szCs w:val="23"/>
        </w:rPr>
      </w:pPr>
      <w:r w:rsidRPr="00733A2F">
        <w:rPr>
          <w:rFonts w:ascii="Calibri" w:eastAsia="Garamond" w:hAnsi="Calibri"/>
          <w:b/>
          <w:bCs/>
          <w:sz w:val="23"/>
          <w:szCs w:val="23"/>
        </w:rPr>
        <w:t xml:space="preserve">Supporting businesses and industries to invest, innovate and grow, including across our thriving creative and tourism industries </w:t>
      </w:r>
    </w:p>
    <w:p w14:paraId="255A9D2D" w14:textId="2A0C7144" w:rsidR="00824558" w:rsidRPr="00733A2F" w:rsidRDefault="00824558">
      <w:pPr>
        <w:rPr>
          <w:rFonts w:ascii="Garamond" w:eastAsia="Garamond" w:hAnsi="Garamond"/>
        </w:rPr>
      </w:pPr>
      <w:r w:rsidRPr="00733A2F">
        <w:rPr>
          <w:rFonts w:ascii="Garamond" w:eastAsia="Garamond" w:hAnsi="Garamond"/>
        </w:rPr>
        <w:t xml:space="preserve">The </w:t>
      </w:r>
      <w:r w:rsidR="005C2CBE">
        <w:rPr>
          <w:rFonts w:ascii="Garamond" w:eastAsia="Garamond" w:hAnsi="Garamond"/>
        </w:rPr>
        <w:t>D</w:t>
      </w:r>
      <w:r w:rsidRPr="00733A2F">
        <w:rPr>
          <w:rFonts w:ascii="Garamond" w:eastAsia="Garamond" w:hAnsi="Garamond"/>
        </w:rPr>
        <w:t>epartment is backing businesses and industries to adapt, innovate and grow by strengthening Victoria</w:t>
      </w:r>
      <w:r w:rsidR="007942D1">
        <w:rPr>
          <w:rFonts w:ascii="Garamond" w:eastAsia="Garamond" w:hAnsi="Garamond"/>
        </w:rPr>
        <w:t>’</w:t>
      </w:r>
      <w:r w:rsidRPr="00733A2F">
        <w:rPr>
          <w:rFonts w:ascii="Garamond" w:eastAsia="Garamond" w:hAnsi="Garamond"/>
        </w:rPr>
        <w:t xml:space="preserve">s business environment and global connections, attracting investment, enhancing digital </w:t>
      </w:r>
      <w:r>
        <w:rPr>
          <w:rFonts w:ascii="Garamond" w:eastAsia="Garamond" w:hAnsi="Garamond"/>
        </w:rPr>
        <w:t xml:space="preserve">capabilities </w:t>
      </w:r>
      <w:r w:rsidRPr="00733A2F">
        <w:rPr>
          <w:rFonts w:ascii="Garamond" w:eastAsia="Garamond" w:hAnsi="Garamond"/>
        </w:rPr>
        <w:t>and productivity generating infrastructure, fostering new industries and our startup ecosystem, and supporting the expansion of Victorian businesses into international markets. We</w:t>
      </w:r>
      <w:r w:rsidR="007942D1">
        <w:rPr>
          <w:rFonts w:ascii="Garamond" w:eastAsia="Garamond" w:hAnsi="Garamond"/>
        </w:rPr>
        <w:t>’</w:t>
      </w:r>
      <w:r w:rsidRPr="00733A2F">
        <w:rPr>
          <w:rFonts w:ascii="Garamond" w:eastAsia="Garamond" w:hAnsi="Garamond"/>
        </w:rPr>
        <w:t>re driving research, innovation and commercialisation, expanding our digital, creative and circular economies, and our advanced manufacturing, agribusiness and health tech sectors; and cementing Victoria</w:t>
      </w:r>
      <w:r w:rsidR="007942D1">
        <w:rPr>
          <w:rFonts w:ascii="Garamond" w:eastAsia="Garamond" w:hAnsi="Garamond"/>
        </w:rPr>
        <w:t>’</w:t>
      </w:r>
      <w:r w:rsidRPr="00733A2F">
        <w:rPr>
          <w:rFonts w:ascii="Garamond" w:eastAsia="Garamond" w:hAnsi="Garamond"/>
        </w:rPr>
        <w:t>s position as a leader in tourism, sport and major events.</w:t>
      </w:r>
    </w:p>
    <w:p w14:paraId="204C852A" w14:textId="77777777" w:rsidR="00824558" w:rsidRPr="00733A2F" w:rsidRDefault="00824558">
      <w:pPr>
        <w:keepNext/>
        <w:tabs>
          <w:tab w:val="right" w:pos="7711"/>
        </w:tabs>
        <w:spacing w:before="240" w:after="60"/>
        <w:rPr>
          <w:rFonts w:ascii="Calibri" w:eastAsia="Garamond" w:hAnsi="Calibri"/>
          <w:b/>
          <w:bCs/>
          <w:sz w:val="23"/>
          <w:szCs w:val="23"/>
        </w:rPr>
      </w:pPr>
      <w:r w:rsidRPr="00733A2F">
        <w:rPr>
          <w:rFonts w:ascii="Calibri" w:eastAsia="Garamond" w:hAnsi="Calibri"/>
          <w:b/>
          <w:bCs/>
          <w:sz w:val="23"/>
          <w:szCs w:val="23"/>
        </w:rPr>
        <w:t xml:space="preserve">Building the skills system to support jobs across the whole economy, both now and into the future </w:t>
      </w:r>
    </w:p>
    <w:p w14:paraId="329D707A" w14:textId="4F5BBDF6" w:rsidR="00824558" w:rsidRPr="00733A2F" w:rsidRDefault="00824558">
      <w:pPr>
        <w:rPr>
          <w:rFonts w:ascii="Garamond" w:eastAsia="Garamond" w:hAnsi="Garamond"/>
        </w:rPr>
      </w:pPr>
      <w:r w:rsidRPr="00733A2F">
        <w:rPr>
          <w:rFonts w:ascii="Garamond" w:eastAsia="Garamond" w:hAnsi="Garamond"/>
        </w:rPr>
        <w:t xml:space="preserve">A knowledgeable, skilled and adaptable workforce is key to higher productivity, innovation and economic prosperity in Victoria. To meet the demand for skilled workers in a changing economy, the </w:t>
      </w:r>
      <w:r w:rsidR="00F12D97">
        <w:rPr>
          <w:rFonts w:ascii="Garamond" w:eastAsia="Garamond" w:hAnsi="Garamond"/>
        </w:rPr>
        <w:t>D</w:t>
      </w:r>
      <w:r w:rsidRPr="00733A2F">
        <w:rPr>
          <w:rFonts w:ascii="Garamond" w:eastAsia="Garamond" w:hAnsi="Garamond"/>
        </w:rPr>
        <w:t>epartment is focused on helping people access the training, support and skills they need to succeed in the workforce. We</w:t>
      </w:r>
      <w:r w:rsidR="007942D1">
        <w:rPr>
          <w:rFonts w:ascii="Garamond" w:eastAsia="Garamond" w:hAnsi="Garamond"/>
        </w:rPr>
        <w:t>’</w:t>
      </w:r>
      <w:r w:rsidRPr="00733A2F">
        <w:rPr>
          <w:rFonts w:ascii="Garamond" w:eastAsia="Garamond" w:hAnsi="Garamond"/>
        </w:rPr>
        <w:t>re bringing employers, workers, Victoria</w:t>
      </w:r>
      <w:r w:rsidR="007942D1">
        <w:rPr>
          <w:rFonts w:ascii="Garamond" w:eastAsia="Garamond" w:hAnsi="Garamond"/>
        </w:rPr>
        <w:t>’</w:t>
      </w:r>
      <w:r w:rsidRPr="00733A2F">
        <w:rPr>
          <w:rFonts w:ascii="Garamond" w:eastAsia="Garamond" w:hAnsi="Garamond"/>
        </w:rPr>
        <w:t>s TAFE network, universities, and other training and education providers together so businesses and industries have access to a world</w:t>
      </w:r>
      <w:r w:rsidRPr="00733A2F">
        <w:rPr>
          <w:rFonts w:ascii="Times New Roman" w:eastAsia="Garamond" w:hAnsi="Times New Roman"/>
        </w:rPr>
        <w:t>‑</w:t>
      </w:r>
      <w:r w:rsidRPr="00733A2F">
        <w:rPr>
          <w:rFonts w:ascii="Garamond" w:eastAsia="Garamond" w:hAnsi="Garamond"/>
        </w:rPr>
        <w:t>class workforce and more Victorians can achieve their education and career aspirations.</w:t>
      </w:r>
    </w:p>
    <w:p w14:paraId="5CF0D874" w14:textId="77777777" w:rsidR="00824558" w:rsidRPr="00733A2F" w:rsidRDefault="00824558">
      <w:pPr>
        <w:keepNext/>
        <w:tabs>
          <w:tab w:val="right" w:pos="7711"/>
        </w:tabs>
        <w:spacing w:before="240" w:after="60"/>
        <w:outlineLvl w:val="2"/>
        <w:rPr>
          <w:rFonts w:ascii="Calibri" w:eastAsia="MS Gothic" w:hAnsi="Calibri"/>
          <w:b/>
          <w:bCs/>
          <w:sz w:val="23"/>
          <w:szCs w:val="23"/>
        </w:rPr>
      </w:pPr>
      <w:r w:rsidRPr="00733A2F">
        <w:rPr>
          <w:rFonts w:ascii="Calibri" w:eastAsia="MS Gothic" w:hAnsi="Calibri"/>
          <w:b/>
          <w:bCs/>
          <w:sz w:val="23"/>
          <w:szCs w:val="23"/>
        </w:rPr>
        <w:t>Ensuring communities across the state are great places to live, work, stay, study, invest and do business</w:t>
      </w:r>
    </w:p>
    <w:p w14:paraId="1EACB5B5" w14:textId="06522D1E" w:rsidR="00824558" w:rsidRPr="00733A2F" w:rsidRDefault="00824558">
      <w:pPr>
        <w:rPr>
          <w:rFonts w:ascii="Garamond" w:eastAsia="Garamond" w:hAnsi="Garamond"/>
        </w:rPr>
      </w:pPr>
      <w:r w:rsidRPr="00733A2F">
        <w:rPr>
          <w:rFonts w:ascii="Garamond" w:eastAsia="Garamond" w:hAnsi="Garamond"/>
        </w:rPr>
        <w:t xml:space="preserve">The </w:t>
      </w:r>
      <w:r w:rsidR="00B26FAE">
        <w:rPr>
          <w:rFonts w:ascii="Garamond" w:eastAsia="Garamond" w:hAnsi="Garamond"/>
        </w:rPr>
        <w:t>D</w:t>
      </w:r>
      <w:r w:rsidRPr="00733A2F">
        <w:rPr>
          <w:rFonts w:ascii="Garamond" w:eastAsia="Garamond" w:hAnsi="Garamond"/>
        </w:rPr>
        <w:t>epartment is creating the conditions for vibrant and resilient communities across the state, including our regional and rural cities and towns, by encouraging participation in the economy,</w:t>
      </w:r>
      <w:r w:rsidRPr="00733A2F" w:rsidDel="00A93986">
        <w:rPr>
          <w:rFonts w:ascii="Garamond" w:eastAsia="Garamond" w:hAnsi="Garamond"/>
        </w:rPr>
        <w:t xml:space="preserve"> </w:t>
      </w:r>
      <w:r w:rsidRPr="00733A2F">
        <w:rPr>
          <w:rFonts w:ascii="Garamond" w:eastAsia="Garamond" w:hAnsi="Garamond"/>
        </w:rPr>
        <w:t>creative industries, sport and recreation. Our place</w:t>
      </w:r>
      <w:r w:rsidRPr="00733A2F">
        <w:rPr>
          <w:rFonts w:ascii="Garamond" w:eastAsia="Garamond" w:hAnsi="Garamond"/>
        </w:rPr>
        <w:noBreakHyphen/>
        <w:t>based approaches enhance social cohesion, economic inclusion and liveability by improving access to community infrastructure and leveraging economic strengths, including in tourism and small business. We</w:t>
      </w:r>
      <w:r w:rsidR="007942D1">
        <w:rPr>
          <w:rFonts w:ascii="Garamond" w:eastAsia="Garamond" w:hAnsi="Garamond"/>
        </w:rPr>
        <w:t>’</w:t>
      </w:r>
      <w:r w:rsidRPr="00733A2F">
        <w:rPr>
          <w:rFonts w:ascii="Garamond" w:eastAsia="Garamond" w:hAnsi="Garamond"/>
        </w:rPr>
        <w:t>re supporting First Peoples</w:t>
      </w:r>
      <w:r w:rsidR="007942D1">
        <w:rPr>
          <w:rFonts w:ascii="Garamond" w:eastAsia="Garamond" w:hAnsi="Garamond"/>
        </w:rPr>
        <w:t>’</w:t>
      </w:r>
      <w:r w:rsidRPr="00733A2F">
        <w:rPr>
          <w:rFonts w:ascii="Garamond" w:eastAsia="Garamond" w:hAnsi="Garamond"/>
        </w:rPr>
        <w:t xml:space="preserve"> self</w:t>
      </w:r>
      <w:r w:rsidRPr="00733A2F">
        <w:rPr>
          <w:rFonts w:ascii="Times New Roman" w:eastAsia="Garamond" w:hAnsi="Times New Roman"/>
        </w:rPr>
        <w:t>‑</w:t>
      </w:r>
      <w:r w:rsidRPr="00733A2F">
        <w:rPr>
          <w:rFonts w:ascii="Garamond" w:eastAsia="Garamond" w:hAnsi="Garamond"/>
        </w:rPr>
        <w:t>determination across Victoria through employment, education and training, and economic development. Our relationships across government, communities and businesses aspire to ensure the benefits of a robust economy are available to all Victorians – supporting a stronger and fairer society.</w:t>
      </w:r>
    </w:p>
    <w:p w14:paraId="4E5AEB58" w14:textId="77777777" w:rsidR="006145E4" w:rsidRDefault="006145E4">
      <w:pPr>
        <w:keepLines w:val="0"/>
        <w:rPr>
          <w:rFonts w:ascii="Calibri" w:eastAsia="MS Gothic" w:hAnsi="Calibri"/>
          <w:b/>
          <w:sz w:val="27"/>
          <w:szCs w:val="26"/>
        </w:rPr>
      </w:pPr>
      <w:r>
        <w:rPr>
          <w:rFonts w:ascii="Calibri" w:eastAsia="MS Gothic" w:hAnsi="Calibri"/>
          <w:b/>
          <w:sz w:val="27"/>
          <w:szCs w:val="26"/>
        </w:rPr>
        <w:br w:type="page"/>
      </w:r>
    </w:p>
    <w:p w14:paraId="62C392E1" w14:textId="77777777" w:rsidR="00824558" w:rsidRPr="00733A2F" w:rsidRDefault="00824558">
      <w:pPr>
        <w:keepNext/>
        <w:spacing w:before="240"/>
        <w:outlineLvl w:val="1"/>
        <w:rPr>
          <w:rFonts w:ascii="Calibri" w:eastAsia="MS Gothic" w:hAnsi="Calibri"/>
          <w:b/>
          <w:sz w:val="27"/>
          <w:szCs w:val="26"/>
        </w:rPr>
      </w:pPr>
      <w:r w:rsidRPr="00733A2F">
        <w:rPr>
          <w:rFonts w:ascii="Calibri" w:eastAsia="MS Gothic" w:hAnsi="Calibri"/>
          <w:b/>
          <w:sz w:val="27"/>
          <w:szCs w:val="26"/>
        </w:rPr>
        <w:lastRenderedPageBreak/>
        <w:t xml:space="preserve">Departmental objectives </w:t>
      </w:r>
    </w:p>
    <w:p w14:paraId="03E6AF70" w14:textId="77777777" w:rsidR="00824558" w:rsidRPr="00733A2F" w:rsidRDefault="00824558">
      <w:pPr>
        <w:keepNext/>
        <w:tabs>
          <w:tab w:val="right" w:pos="7711"/>
        </w:tabs>
        <w:spacing w:before="240" w:after="60"/>
        <w:outlineLvl w:val="2"/>
        <w:rPr>
          <w:rFonts w:ascii="Calibri" w:eastAsia="MS Gothic" w:hAnsi="Calibri"/>
          <w:b/>
          <w:sz w:val="23"/>
        </w:rPr>
      </w:pPr>
      <w:r w:rsidRPr="00733A2F">
        <w:rPr>
          <w:rFonts w:ascii="Calibri" w:eastAsia="MS Gothic" w:hAnsi="Calibri"/>
          <w:b/>
          <w:sz w:val="23"/>
        </w:rPr>
        <w:t>Create and maintain jobs</w:t>
      </w:r>
    </w:p>
    <w:p w14:paraId="43E50C2B" w14:textId="77777777" w:rsidR="00824558" w:rsidRPr="00733A2F" w:rsidRDefault="00824558">
      <w:pPr>
        <w:autoSpaceDE w:val="0"/>
        <w:autoSpaceDN w:val="0"/>
        <w:adjustRightInd w:val="0"/>
        <w:spacing w:after="120"/>
        <w:rPr>
          <w:rFonts w:ascii="Garamond" w:eastAsia="Garamond" w:hAnsi="Garamond" w:cs="Garamond"/>
          <w:vertAlign w:val="superscript"/>
        </w:rPr>
      </w:pPr>
      <w:r w:rsidRPr="00733A2F">
        <w:rPr>
          <w:rFonts w:ascii="Garamond" w:eastAsia="Garamond" w:hAnsi="Garamond" w:cs="Garamond"/>
        </w:rPr>
        <w:t>This objective seeks to secure a growing, sustainable and equitable jobs market for all Victorians by working with businesses to increase job opportunities, and attract the investment and talent needed to foster job growth.</w:t>
      </w:r>
    </w:p>
    <w:p w14:paraId="4510951A" w14:textId="77777777" w:rsidR="00824558" w:rsidRPr="00733A2F" w:rsidRDefault="00824558">
      <w:pPr>
        <w:rPr>
          <w:rFonts w:ascii="Garamond" w:eastAsia="Garamond" w:hAnsi="Garamond"/>
        </w:rPr>
      </w:pPr>
      <w:r w:rsidRPr="00733A2F">
        <w:rPr>
          <w:rFonts w:ascii="Garamond" w:eastAsia="Garamond" w:hAnsi="Garamond"/>
        </w:rPr>
        <w:t>The Jobs output includes actions to increase job opportunities, support Aboriginal economic inclusion, as well as attract new investment and talent into Victoria to grow the economy and share the benefits of economic prosperity.</w:t>
      </w:r>
    </w:p>
    <w:p w14:paraId="2834EB3A" w14:textId="77777777" w:rsidR="00824558" w:rsidRPr="00733A2F" w:rsidRDefault="00824558">
      <w:pPr>
        <w:keepNext/>
        <w:tabs>
          <w:tab w:val="right" w:pos="7711"/>
        </w:tabs>
        <w:spacing w:before="240" w:after="60"/>
        <w:outlineLvl w:val="2"/>
        <w:rPr>
          <w:rFonts w:ascii="Calibri" w:eastAsia="MS Gothic" w:hAnsi="Calibri"/>
          <w:b/>
          <w:sz w:val="23"/>
        </w:rPr>
      </w:pPr>
      <w:r w:rsidRPr="00733A2F">
        <w:rPr>
          <w:rFonts w:ascii="Calibri" w:eastAsia="MS Gothic" w:hAnsi="Calibri"/>
          <w:b/>
          <w:sz w:val="23"/>
        </w:rPr>
        <w:t>Foster a competitive business environment</w:t>
      </w:r>
    </w:p>
    <w:p w14:paraId="1130CF50" w14:textId="77777777" w:rsidR="00824558" w:rsidRPr="00733A2F" w:rsidRDefault="00824558">
      <w:pPr>
        <w:keepNext/>
        <w:rPr>
          <w:rFonts w:ascii="Garamond" w:eastAsia="Garamond" w:hAnsi="Garamond"/>
        </w:rPr>
      </w:pPr>
      <w:r w:rsidRPr="00733A2F">
        <w:rPr>
          <w:rFonts w:ascii="Garamond" w:eastAsia="Garamond" w:hAnsi="Garamond"/>
        </w:rPr>
        <w:t>This objective seeks to grow Victorian industries and businesses by working with priority industry sectors, supporting growth and innovation and commercialisation opportunities, supporting startups and small businesses, and assisting industries in transition.</w:t>
      </w:r>
    </w:p>
    <w:p w14:paraId="188DEF3B" w14:textId="77777777" w:rsidR="00824558" w:rsidRPr="00733A2F" w:rsidRDefault="00824558">
      <w:pPr>
        <w:rPr>
          <w:rFonts w:ascii="Garamond" w:eastAsia="Garamond" w:hAnsi="Garamond"/>
        </w:rPr>
      </w:pPr>
      <w:r w:rsidRPr="00733A2F">
        <w:rPr>
          <w:rFonts w:ascii="Garamond" w:eastAsia="Garamond" w:hAnsi="Garamond"/>
        </w:rPr>
        <w:t>The Industry, Small Business and Medical Research output provides access to information and connections and builds the capability of Victorian businesses and industry to develop, commercialise and effectively use new practices and technologies to increase productivity and competitiveness, advocat</w:t>
      </w:r>
      <w:r>
        <w:rPr>
          <w:rFonts w:ascii="Garamond" w:eastAsia="Garamond" w:hAnsi="Garamond"/>
        </w:rPr>
        <w:t>e</w:t>
      </w:r>
      <w:r w:rsidRPr="00733A2F">
        <w:rPr>
          <w:rFonts w:ascii="Garamond" w:eastAsia="Garamond" w:hAnsi="Garamond"/>
        </w:rPr>
        <w:t xml:space="preserve"> for a fair and competitive business environment, and support small businesses.</w:t>
      </w:r>
    </w:p>
    <w:p w14:paraId="181F62A2" w14:textId="77777777" w:rsidR="00824558" w:rsidRPr="00733A2F" w:rsidRDefault="00824558">
      <w:pPr>
        <w:keepNext/>
        <w:tabs>
          <w:tab w:val="right" w:pos="7711"/>
        </w:tabs>
        <w:spacing w:before="240" w:after="60"/>
        <w:outlineLvl w:val="2"/>
        <w:rPr>
          <w:rFonts w:ascii="Calibri" w:eastAsia="MS Gothic" w:hAnsi="Calibri"/>
          <w:b/>
          <w:bCs/>
          <w:sz w:val="23"/>
          <w:szCs w:val="23"/>
        </w:rPr>
      </w:pPr>
      <w:r w:rsidRPr="00733A2F">
        <w:rPr>
          <w:rFonts w:ascii="Calibri" w:eastAsia="MS Gothic" w:hAnsi="Calibri"/>
          <w:b/>
          <w:bCs/>
          <w:sz w:val="23"/>
          <w:szCs w:val="23"/>
        </w:rPr>
        <w:t>Economic growth through trade and investment attraction</w:t>
      </w:r>
    </w:p>
    <w:p w14:paraId="07179D2C" w14:textId="061D11AD" w:rsidR="00824558" w:rsidRPr="00733A2F" w:rsidRDefault="00824558">
      <w:pPr>
        <w:autoSpaceDE w:val="0"/>
        <w:autoSpaceDN w:val="0"/>
        <w:adjustRightInd w:val="0"/>
        <w:rPr>
          <w:rFonts w:ascii="Garamond" w:eastAsia="Garamond" w:hAnsi="Garamond" w:cs="Garamond"/>
        </w:rPr>
      </w:pPr>
      <w:r w:rsidRPr="00733A2F">
        <w:rPr>
          <w:rFonts w:ascii="Garamond" w:eastAsia="Garamond" w:hAnsi="Garamond" w:cs="Garamond"/>
        </w:rPr>
        <w:t>This objective seeks to strengthen Victoria</w:t>
      </w:r>
      <w:r w:rsidR="007942D1">
        <w:rPr>
          <w:rFonts w:ascii="Garamond" w:eastAsia="Garamond" w:hAnsi="Garamond" w:cs="Garamond"/>
        </w:rPr>
        <w:t>’</w:t>
      </w:r>
      <w:r w:rsidRPr="00733A2F">
        <w:rPr>
          <w:rFonts w:ascii="Garamond" w:eastAsia="Garamond" w:hAnsi="Garamond" w:cs="Garamond"/>
        </w:rPr>
        <w:t>s economic performance through facilitating international investment and business creation in Victoria, helping businesses successfully trade into global markets, and continued support of Victoria</w:t>
      </w:r>
      <w:r w:rsidR="007942D1">
        <w:rPr>
          <w:rFonts w:ascii="Garamond" w:eastAsia="Garamond" w:hAnsi="Garamond" w:cs="Garamond"/>
        </w:rPr>
        <w:t>’</w:t>
      </w:r>
      <w:r w:rsidRPr="00733A2F">
        <w:rPr>
          <w:rFonts w:ascii="Garamond" w:eastAsia="Garamond" w:hAnsi="Garamond" w:cs="Garamond"/>
        </w:rPr>
        <w:t xml:space="preserve">s market share of international student enrolments in Australia. </w:t>
      </w:r>
    </w:p>
    <w:p w14:paraId="2FF55CEE" w14:textId="27A21F69" w:rsidR="00824558" w:rsidRPr="00733A2F" w:rsidRDefault="00824558">
      <w:pPr>
        <w:rPr>
          <w:rFonts w:ascii="Garamond" w:eastAsia="Garamond" w:hAnsi="Garamond"/>
        </w:rPr>
      </w:pPr>
      <w:r w:rsidRPr="00733A2F">
        <w:rPr>
          <w:rFonts w:ascii="Garamond" w:eastAsia="Garamond" w:hAnsi="Garamond"/>
        </w:rPr>
        <w:t>The Trade and Investment output promotes Victoria</w:t>
      </w:r>
      <w:r w:rsidR="007942D1">
        <w:rPr>
          <w:rFonts w:ascii="Garamond" w:eastAsia="Garamond" w:hAnsi="Garamond"/>
        </w:rPr>
        <w:t>’</w:t>
      </w:r>
      <w:r w:rsidRPr="00733A2F">
        <w:rPr>
          <w:rFonts w:ascii="Garamond" w:eastAsia="Garamond" w:hAnsi="Garamond"/>
        </w:rPr>
        <w:t>s economic growth through global engagement and investment attraction. This is accomplished by securing trade and international investment outcomes for the State through a range of promotion and facilitation activities, in addition to providing policy advice to improve the attractiveness of exports</w:t>
      </w:r>
      <w:r w:rsidDel="00CE3035">
        <w:rPr>
          <w:rFonts w:ascii="Garamond" w:eastAsia="Garamond" w:hAnsi="Garamond"/>
        </w:rPr>
        <w:t>,</w:t>
      </w:r>
      <w:r w:rsidRPr="00733A2F">
        <w:rPr>
          <w:rFonts w:ascii="Garamond" w:eastAsia="Garamond" w:hAnsi="Garamond"/>
        </w:rPr>
        <w:t xml:space="preserve"> and attract international investment and enhance the Victorian startup ecosystem.</w:t>
      </w:r>
    </w:p>
    <w:p w14:paraId="72FAD5EC" w14:textId="1E5C8136" w:rsidR="00824558" w:rsidRPr="00733A2F" w:rsidRDefault="00824558">
      <w:pPr>
        <w:rPr>
          <w:rFonts w:ascii="Garamond" w:eastAsia="Garamond" w:hAnsi="Garamond" w:cs="Garamond"/>
        </w:rPr>
      </w:pPr>
      <w:r w:rsidRPr="00733A2F">
        <w:rPr>
          <w:rFonts w:ascii="Garamond" w:eastAsia="Garamond" w:hAnsi="Garamond" w:cs="Garamond"/>
        </w:rPr>
        <w:t xml:space="preserve">This output also provides </w:t>
      </w:r>
      <w:r w:rsidRPr="00733A2F">
        <w:rPr>
          <w:rFonts w:ascii="Garamond" w:eastAsia="Garamond" w:hAnsi="Garamond"/>
        </w:rPr>
        <w:t>support</w:t>
      </w:r>
      <w:r w:rsidRPr="00733A2F">
        <w:rPr>
          <w:rFonts w:ascii="Garamond" w:eastAsia="Garamond" w:hAnsi="Garamond" w:cs="Garamond"/>
        </w:rPr>
        <w:t xml:space="preserve"> and advice to Government on strengthening Victoria</w:t>
      </w:r>
      <w:r w:rsidR="007942D1">
        <w:rPr>
          <w:rFonts w:ascii="Garamond" w:eastAsia="Garamond" w:hAnsi="Garamond" w:cs="Garamond"/>
        </w:rPr>
        <w:t>’</w:t>
      </w:r>
      <w:r w:rsidRPr="00733A2F">
        <w:rPr>
          <w:rFonts w:ascii="Garamond" w:eastAsia="Garamond" w:hAnsi="Garamond" w:cs="Garamond"/>
        </w:rPr>
        <w:t>s economic performance in relation to:</w:t>
      </w:r>
    </w:p>
    <w:p w14:paraId="1BEDB92B" w14:textId="77777777" w:rsidR="00824558" w:rsidRPr="00733A2F" w:rsidRDefault="00824558" w:rsidP="0057778B">
      <w:pPr>
        <w:pStyle w:val="ListParagraph"/>
        <w:numPr>
          <w:ilvl w:val="0"/>
          <w:numId w:val="26"/>
        </w:numPr>
        <w:spacing w:before="60" w:after="60"/>
        <w:contextualSpacing/>
        <w:rPr>
          <w:rFonts w:ascii="Garamond" w:eastAsia="Garamond" w:hAnsi="Garamond"/>
        </w:rPr>
      </w:pPr>
      <w:r w:rsidRPr="00733A2F">
        <w:rPr>
          <w:rFonts w:ascii="Garamond" w:eastAsia="Garamond" w:hAnsi="Garamond"/>
        </w:rPr>
        <w:t>ensuring Victoria is a leading destination for business, innovation and talent</w:t>
      </w:r>
    </w:p>
    <w:p w14:paraId="09E578F9" w14:textId="699B6702" w:rsidR="00824558" w:rsidRPr="00733A2F" w:rsidRDefault="00824558" w:rsidP="0057778B">
      <w:pPr>
        <w:pStyle w:val="ListParagraph"/>
        <w:numPr>
          <w:ilvl w:val="0"/>
          <w:numId w:val="26"/>
        </w:numPr>
        <w:spacing w:before="60" w:after="60"/>
        <w:contextualSpacing/>
        <w:rPr>
          <w:rFonts w:ascii="Garamond" w:eastAsia="Garamond" w:hAnsi="Garamond"/>
        </w:rPr>
      </w:pPr>
      <w:r w:rsidRPr="00733A2F">
        <w:rPr>
          <w:rFonts w:ascii="Garamond" w:eastAsia="Garamond" w:hAnsi="Garamond"/>
        </w:rPr>
        <w:t>continuous improvement of Victoria</w:t>
      </w:r>
      <w:r w:rsidR="007942D1">
        <w:rPr>
          <w:rFonts w:ascii="Garamond" w:eastAsia="Garamond" w:hAnsi="Garamond"/>
        </w:rPr>
        <w:t>’</w:t>
      </w:r>
      <w:r w:rsidRPr="00733A2F">
        <w:rPr>
          <w:rFonts w:ascii="Garamond" w:eastAsia="Garamond" w:hAnsi="Garamond"/>
        </w:rPr>
        <w:t>s approach to investment attraction</w:t>
      </w:r>
    </w:p>
    <w:p w14:paraId="435E8D79" w14:textId="64AFD5E9" w:rsidR="00824558" w:rsidRPr="00733A2F" w:rsidRDefault="00824558" w:rsidP="0057778B">
      <w:pPr>
        <w:pStyle w:val="ListParagraph"/>
        <w:numPr>
          <w:ilvl w:val="0"/>
          <w:numId w:val="26"/>
        </w:numPr>
        <w:spacing w:before="60" w:after="60"/>
        <w:contextualSpacing/>
        <w:rPr>
          <w:rFonts w:ascii="Garamond" w:eastAsia="Garamond" w:hAnsi="Garamond"/>
        </w:rPr>
      </w:pPr>
      <w:r w:rsidRPr="00733A2F">
        <w:rPr>
          <w:rFonts w:ascii="Garamond" w:eastAsia="Garamond" w:hAnsi="Garamond"/>
        </w:rPr>
        <w:t>enhancing Victoria</w:t>
      </w:r>
      <w:r w:rsidR="007942D1">
        <w:rPr>
          <w:rFonts w:ascii="Garamond" w:eastAsia="Garamond" w:hAnsi="Garamond"/>
        </w:rPr>
        <w:t>’</w:t>
      </w:r>
      <w:r w:rsidRPr="00733A2F">
        <w:rPr>
          <w:rFonts w:ascii="Garamond" w:eastAsia="Garamond" w:hAnsi="Garamond"/>
        </w:rPr>
        <w:t>s business investment environment and startup ecosystem</w:t>
      </w:r>
    </w:p>
    <w:p w14:paraId="1D662A75" w14:textId="77777777" w:rsidR="00824558" w:rsidRPr="00733A2F" w:rsidRDefault="00824558" w:rsidP="0057778B">
      <w:pPr>
        <w:pStyle w:val="ListParagraph"/>
        <w:numPr>
          <w:ilvl w:val="0"/>
          <w:numId w:val="26"/>
        </w:numPr>
        <w:spacing w:before="60" w:after="60"/>
        <w:contextualSpacing/>
        <w:rPr>
          <w:rFonts w:ascii="Garamond" w:eastAsia="Garamond" w:hAnsi="Garamond"/>
        </w:rPr>
      </w:pPr>
      <w:r w:rsidRPr="00733A2F">
        <w:rPr>
          <w:rFonts w:ascii="Garamond" w:eastAsia="Garamond" w:hAnsi="Garamond"/>
        </w:rPr>
        <w:t>helping Victorian businesses successfully trade into global markets</w:t>
      </w:r>
    </w:p>
    <w:p w14:paraId="737799A0" w14:textId="5F1132FD" w:rsidR="00824558" w:rsidRPr="00733A2F" w:rsidRDefault="00824558" w:rsidP="0057778B">
      <w:pPr>
        <w:pStyle w:val="ListParagraph"/>
        <w:numPr>
          <w:ilvl w:val="0"/>
          <w:numId w:val="26"/>
        </w:numPr>
        <w:spacing w:before="60" w:after="60"/>
        <w:contextualSpacing/>
        <w:rPr>
          <w:rFonts w:ascii="Garamond" w:eastAsia="Garamond" w:hAnsi="Garamond"/>
        </w:rPr>
      </w:pPr>
      <w:r w:rsidRPr="00733A2F">
        <w:rPr>
          <w:rFonts w:ascii="Garamond" w:eastAsia="Garamond" w:hAnsi="Garamond" w:cs="Garamond"/>
        </w:rPr>
        <w:t xml:space="preserve">continued support of </w:t>
      </w:r>
      <w:r w:rsidRPr="00733A2F">
        <w:rPr>
          <w:rFonts w:ascii="Garamond" w:eastAsia="Garamond" w:hAnsi="Garamond"/>
        </w:rPr>
        <w:t>Victoria</w:t>
      </w:r>
      <w:r w:rsidR="007942D1">
        <w:rPr>
          <w:rFonts w:ascii="Garamond" w:eastAsia="Garamond" w:hAnsi="Garamond"/>
        </w:rPr>
        <w:t>’</w:t>
      </w:r>
      <w:r w:rsidRPr="00733A2F">
        <w:rPr>
          <w:rFonts w:ascii="Garamond" w:eastAsia="Garamond" w:hAnsi="Garamond"/>
        </w:rPr>
        <w:t>s market share of international student enrolments in Australia.</w:t>
      </w:r>
    </w:p>
    <w:p w14:paraId="4E4D8822" w14:textId="77777777" w:rsidR="00824558" w:rsidRPr="00733A2F" w:rsidRDefault="00824558">
      <w:pPr>
        <w:keepNext/>
        <w:tabs>
          <w:tab w:val="right" w:pos="7711"/>
        </w:tabs>
        <w:spacing w:before="240" w:after="60"/>
        <w:outlineLvl w:val="2"/>
        <w:rPr>
          <w:rFonts w:ascii="Calibri" w:eastAsia="MS Gothic" w:hAnsi="Calibri"/>
          <w:b/>
          <w:bCs/>
          <w:sz w:val="23"/>
          <w:szCs w:val="23"/>
        </w:rPr>
      </w:pPr>
      <w:r w:rsidRPr="00733A2F">
        <w:rPr>
          <w:rFonts w:ascii="Calibri" w:eastAsia="MS Gothic" w:hAnsi="Calibri"/>
          <w:b/>
          <w:bCs/>
          <w:sz w:val="23"/>
          <w:szCs w:val="23"/>
        </w:rPr>
        <w:t>Build prosperous and liveable regions, and manage and promote outdoor recreation</w:t>
      </w:r>
    </w:p>
    <w:p w14:paraId="0F6C67AE" w14:textId="2CB9D09C" w:rsidR="00824558" w:rsidRPr="00733A2F" w:rsidRDefault="00824558">
      <w:pPr>
        <w:rPr>
          <w:rFonts w:ascii="Garamond" w:eastAsia="Garamond" w:hAnsi="Garamond"/>
        </w:rPr>
      </w:pPr>
      <w:r w:rsidRPr="00733A2F">
        <w:rPr>
          <w:rFonts w:ascii="Garamond" w:eastAsia="Garamond" w:hAnsi="Garamond"/>
        </w:rPr>
        <w:t>This objective seeks to ensure that Victoria</w:t>
      </w:r>
      <w:r w:rsidR="007942D1">
        <w:rPr>
          <w:rFonts w:ascii="Garamond" w:eastAsia="Garamond" w:hAnsi="Garamond"/>
        </w:rPr>
        <w:t>’</w:t>
      </w:r>
      <w:r w:rsidRPr="00733A2F">
        <w:rPr>
          <w:rFonts w:ascii="Garamond" w:eastAsia="Garamond" w:hAnsi="Garamond"/>
        </w:rPr>
        <w:t>s regions are places where everyone has an opportunity to participate in economies and communities that are prosperous, vibrant and diverse. This objective also supports the development of sustainable game hunting, fishing and aquaculture activities across Victoria and the delivery of improved recreational fishing and boating services and facilities.</w:t>
      </w:r>
    </w:p>
    <w:p w14:paraId="4CD24432" w14:textId="51D5F23B" w:rsidR="00824558" w:rsidRPr="00733A2F" w:rsidRDefault="00824558">
      <w:pPr>
        <w:rPr>
          <w:rFonts w:ascii="Garamond" w:eastAsia="Garamond" w:hAnsi="Garamond"/>
        </w:rPr>
      </w:pPr>
      <w:r w:rsidRPr="00733A2F">
        <w:rPr>
          <w:rFonts w:ascii="Garamond" w:eastAsia="Garamond" w:hAnsi="Garamond"/>
        </w:rPr>
        <w:t>The Regional Development output supports targeted place-based services and collaboration with industry, businesses, communities, local councils and government departments, to enable and support economic growth. This includes facilitating job growth, infrastructure and new investment in regional Victoria and enhancing the liveability of Victoria</w:t>
      </w:r>
      <w:r w:rsidR="007942D1">
        <w:rPr>
          <w:rFonts w:ascii="Garamond" w:eastAsia="Garamond" w:hAnsi="Garamond"/>
        </w:rPr>
        <w:t>’</w:t>
      </w:r>
      <w:r w:rsidRPr="00733A2F">
        <w:rPr>
          <w:rFonts w:ascii="Garamond" w:eastAsia="Garamond" w:hAnsi="Garamond"/>
        </w:rPr>
        <w:t>s regional cities and towns.</w:t>
      </w:r>
    </w:p>
    <w:p w14:paraId="398EFEAB" w14:textId="6D341A7A" w:rsidR="00824558" w:rsidRPr="00733A2F" w:rsidRDefault="00824558">
      <w:pPr>
        <w:rPr>
          <w:rFonts w:ascii="Garamond" w:eastAsia="Garamond" w:hAnsi="Garamond"/>
        </w:rPr>
      </w:pPr>
      <w:r w:rsidRPr="00733A2F">
        <w:rPr>
          <w:rFonts w:ascii="Garamond" w:eastAsia="Garamond" w:hAnsi="Garamond"/>
        </w:rPr>
        <w:t>The Fishing, Boating and Game Management output creates the conditions to ensure Victoria</w:t>
      </w:r>
      <w:r w:rsidR="007942D1">
        <w:rPr>
          <w:rFonts w:ascii="Garamond" w:eastAsia="Garamond" w:hAnsi="Garamond"/>
        </w:rPr>
        <w:t>’</w:t>
      </w:r>
      <w:r w:rsidRPr="00733A2F">
        <w:rPr>
          <w:rFonts w:ascii="Garamond" w:eastAsia="Garamond" w:hAnsi="Garamond"/>
        </w:rPr>
        <w:t>s fisheries and game resources are sustainably used for both recreational and commercial purposes. This output delivers improved recreational boating and fishing services and facilities.</w:t>
      </w:r>
    </w:p>
    <w:p w14:paraId="3DCCAB0E" w14:textId="77777777" w:rsidR="00824558" w:rsidRPr="00733A2F" w:rsidRDefault="00824558">
      <w:pPr>
        <w:keepNext/>
        <w:pageBreakBefore/>
        <w:tabs>
          <w:tab w:val="right" w:pos="7711"/>
        </w:tabs>
        <w:spacing w:before="240" w:after="60"/>
        <w:outlineLvl w:val="2"/>
        <w:rPr>
          <w:rFonts w:ascii="Calibri" w:eastAsia="MS Gothic" w:hAnsi="Calibri"/>
          <w:b/>
          <w:sz w:val="23"/>
        </w:rPr>
      </w:pPr>
      <w:r w:rsidRPr="00733A2F">
        <w:rPr>
          <w:rFonts w:ascii="Calibri" w:eastAsia="MS Gothic" w:hAnsi="Calibri"/>
          <w:b/>
          <w:sz w:val="23"/>
        </w:rPr>
        <w:lastRenderedPageBreak/>
        <w:t>Grow vibrant, active and creative communities</w:t>
      </w:r>
    </w:p>
    <w:p w14:paraId="6FCB161E" w14:textId="5192483C" w:rsidR="00824558" w:rsidRPr="00733A2F" w:rsidRDefault="00824558">
      <w:pPr>
        <w:rPr>
          <w:rFonts w:ascii="Garamond" w:eastAsia="Garamond" w:hAnsi="Garamond"/>
        </w:rPr>
      </w:pPr>
      <w:r w:rsidRPr="00733A2F">
        <w:rPr>
          <w:rFonts w:ascii="Garamond" w:eastAsia="Garamond" w:hAnsi="Garamond"/>
        </w:rPr>
        <w:t>This objective seeks to increase the economic, social and cultural value of the creative, sport and recreation industries to Victoria, grow the number and yield of visitors, position Victoria as a major events destination, and</w:t>
      </w:r>
      <w:r w:rsidR="00A33DA0">
        <w:rPr>
          <w:rFonts w:ascii="Garamond" w:eastAsia="Garamond" w:hAnsi="Garamond"/>
        </w:rPr>
        <w:t> </w:t>
      </w:r>
      <w:r w:rsidRPr="00733A2F">
        <w:rPr>
          <w:rFonts w:ascii="Garamond" w:eastAsia="Garamond" w:hAnsi="Garamond"/>
        </w:rPr>
        <w:t>ensure the best cultural and sporting experiences are accessible to everyone.</w:t>
      </w:r>
    </w:p>
    <w:p w14:paraId="5D1C7B87" w14:textId="77777777" w:rsidR="00824558" w:rsidRPr="00733A2F" w:rsidRDefault="00824558">
      <w:pPr>
        <w:rPr>
          <w:rFonts w:ascii="Garamond" w:eastAsia="Garamond" w:hAnsi="Garamond"/>
        </w:rPr>
      </w:pPr>
      <w:r w:rsidRPr="00733A2F">
        <w:rPr>
          <w:rFonts w:ascii="Garamond" w:eastAsia="Garamond" w:hAnsi="Garamond"/>
        </w:rPr>
        <w:t>The Creative Industries Access, Development and Innovation output supports the creative industries to deliver economic, social and cultural benefit through talent and leadership; the creative and business ecology; innovation and social impact; participation and place making; and international engagement.</w:t>
      </w:r>
    </w:p>
    <w:p w14:paraId="28BBC2FC" w14:textId="352BB9B8" w:rsidR="00824558" w:rsidRPr="00733A2F" w:rsidRDefault="00824558">
      <w:pPr>
        <w:rPr>
          <w:rFonts w:ascii="Garamond" w:eastAsia="Garamond" w:hAnsi="Garamond"/>
        </w:rPr>
      </w:pPr>
      <w:r w:rsidRPr="00733A2F">
        <w:rPr>
          <w:rFonts w:ascii="Garamond" w:eastAsia="Garamond" w:hAnsi="Garamond"/>
        </w:rPr>
        <w:t>The Creative Industries Portfolio Agencies output promotes, presents and preserves our heritage and the creative industries through Victoria</w:t>
      </w:r>
      <w:r w:rsidR="007942D1">
        <w:rPr>
          <w:rFonts w:ascii="Garamond" w:eastAsia="Garamond" w:hAnsi="Garamond"/>
        </w:rPr>
        <w:t>’</w:t>
      </w:r>
      <w:r w:rsidRPr="00733A2F">
        <w:rPr>
          <w:rFonts w:ascii="Garamond" w:eastAsia="Garamond" w:hAnsi="Garamond"/>
        </w:rPr>
        <w:t>s creative industries portfolio agencies: Arts Centre Melbourne, Australian Centre for the Moving Image (ACMI), Docklands Studios Melbourne, VicScreen, Geelong Arts Centre, Melbourne Recital Centre, Museums Victoria, National Gallery of Victoria (NGV), and the State Library Victoria.</w:t>
      </w:r>
    </w:p>
    <w:p w14:paraId="46340853" w14:textId="77777777" w:rsidR="00824558" w:rsidRPr="00733A2F" w:rsidRDefault="00824558">
      <w:pPr>
        <w:rPr>
          <w:rFonts w:ascii="Garamond" w:eastAsia="Garamond" w:hAnsi="Garamond"/>
        </w:rPr>
      </w:pPr>
      <w:r w:rsidRPr="00733A2F">
        <w:rPr>
          <w:rFonts w:ascii="Garamond" w:eastAsia="Garamond" w:hAnsi="Garamond"/>
        </w:rPr>
        <w:t>The Cultural Infrastructure and Facilities output supports Victorian cultural venues and State-owned facilities through strategic assessment and provision of advice on portfolio infrastructure proposals and projects. The output includes consolidation of portfolio asset management plans and management of funding programs for maintenance and minor capital works.</w:t>
      </w:r>
    </w:p>
    <w:p w14:paraId="55303CA1" w14:textId="77777777" w:rsidR="00824558" w:rsidRPr="00733A2F" w:rsidRDefault="00824558">
      <w:pPr>
        <w:rPr>
          <w:rFonts w:ascii="Garamond" w:eastAsia="Garamond" w:hAnsi="Garamond"/>
        </w:rPr>
      </w:pPr>
      <w:r w:rsidRPr="00733A2F">
        <w:rPr>
          <w:rFonts w:ascii="Garamond" w:eastAsia="Garamond" w:hAnsi="Garamond"/>
        </w:rPr>
        <w:t xml:space="preserve">The Sport and Recreation output provides strategic leadership and investment in the sport and recreation industry through innovation, sector and industry development and funding support. It supports community participation and inclusion in the sport and </w:t>
      </w:r>
      <w:r>
        <w:rPr>
          <w:rFonts w:ascii="Garamond" w:eastAsia="Garamond" w:hAnsi="Garamond"/>
        </w:rPr>
        <w:t xml:space="preserve">active </w:t>
      </w:r>
      <w:r w:rsidRPr="00733A2F">
        <w:rPr>
          <w:rFonts w:ascii="Garamond" w:eastAsia="Garamond" w:hAnsi="Garamond"/>
        </w:rPr>
        <w:t>recreation sector by strengthening the capacity of sport and recreation organisations to deliver participation opportunities, improving community sport and recreation facilities across the state and guiding the development and management of state-level sporting facilities and events, to encourage participation by all Victorians.</w:t>
      </w:r>
    </w:p>
    <w:p w14:paraId="3692DC95" w14:textId="77777777" w:rsidR="00824558" w:rsidRPr="00733A2F" w:rsidRDefault="00824558">
      <w:pPr>
        <w:rPr>
          <w:rFonts w:ascii="Garamond" w:eastAsia="Garamond" w:hAnsi="Garamond"/>
        </w:rPr>
      </w:pPr>
      <w:r w:rsidRPr="00733A2F">
        <w:rPr>
          <w:rFonts w:ascii="Garamond" w:eastAsia="Garamond" w:hAnsi="Garamond"/>
        </w:rPr>
        <w:t>The Tourism and Major Events output maximises employment and the long-term economic benefits of tourism and major events to Victoria by developing and marketing the State as a competitive destination.</w:t>
      </w:r>
    </w:p>
    <w:p w14:paraId="3B250FC7" w14:textId="77777777" w:rsidR="00824558" w:rsidRPr="00733A2F" w:rsidRDefault="00824558">
      <w:pPr>
        <w:keepNext/>
        <w:tabs>
          <w:tab w:val="right" w:pos="7711"/>
        </w:tabs>
        <w:spacing w:before="240" w:after="60"/>
        <w:outlineLvl w:val="2"/>
        <w:rPr>
          <w:rFonts w:ascii="Calibri" w:eastAsia="MS Gothic" w:hAnsi="Calibri"/>
          <w:b/>
          <w:sz w:val="23"/>
        </w:rPr>
      </w:pPr>
      <w:r w:rsidRPr="00733A2F">
        <w:rPr>
          <w:rFonts w:ascii="Calibri" w:eastAsia="MS Gothic" w:hAnsi="Calibri"/>
          <w:b/>
          <w:sz w:val="23"/>
        </w:rPr>
        <w:t xml:space="preserve">Deliver high-quality training and skills to meet industry needs and jobs for a growing economy </w:t>
      </w:r>
    </w:p>
    <w:p w14:paraId="17DB225B" w14:textId="77777777" w:rsidR="00824558" w:rsidRPr="00733A2F" w:rsidRDefault="00824558">
      <w:pPr>
        <w:rPr>
          <w:rFonts w:ascii="Garamond" w:eastAsia="Garamond" w:hAnsi="Garamond" w:cs="Calibri"/>
        </w:rPr>
      </w:pPr>
      <w:r w:rsidRPr="00733A2F">
        <w:rPr>
          <w:rFonts w:ascii="Garamond" w:eastAsia="Garamond" w:hAnsi="Garamond" w:cs="Calibri"/>
        </w:rPr>
        <w:t>This objective seeks to develop the skills of Victorians to meet the current and future needs of industry and business by ensuring that TAFEs and training providers deliver high quality and accessible training.</w:t>
      </w:r>
    </w:p>
    <w:p w14:paraId="4CC1C776" w14:textId="77777777" w:rsidR="00824558" w:rsidRPr="00733A2F" w:rsidRDefault="00824558">
      <w:pPr>
        <w:rPr>
          <w:rFonts w:ascii="Garamond" w:eastAsia="Garamond" w:hAnsi="Garamond"/>
        </w:rPr>
      </w:pPr>
      <w:r w:rsidRPr="00733A2F">
        <w:rPr>
          <w:rFonts w:ascii="Garamond" w:eastAsia="Garamond" w:hAnsi="Garamond"/>
        </w:rPr>
        <w:t>The Training, Higher Education and Workforce Development output supports Victorians to gain the skills and capabilities essential for success in employment and further training or study. The Department works with the TAFE and training sector to deliver quality training that strongly supports industry to meet the evolving needs of the economy, promotes equity and addresses disadvantage, with an emphasis on growth sectors of the economy. This output includes the functions of training system design, industry engagement, contracting and monitoring of quality and training services including accredited and pre-accredited vocational education and training.</w:t>
      </w:r>
    </w:p>
    <w:p w14:paraId="410DE1DE" w14:textId="77777777" w:rsidR="00824558" w:rsidRPr="00733A2F" w:rsidRDefault="00824558">
      <w:pPr>
        <w:keepLines w:val="0"/>
        <w:rPr>
          <w:rFonts w:ascii="Garamond" w:eastAsia="Garamond" w:hAnsi="Garamond"/>
        </w:rPr>
      </w:pPr>
      <w:r w:rsidRPr="00733A2F">
        <w:rPr>
          <w:rFonts w:ascii="Garamond" w:eastAsia="Garamond" w:hAnsi="Garamond"/>
        </w:rPr>
        <w:br w:type="page"/>
      </w:r>
    </w:p>
    <w:p w14:paraId="4C9EDFFC" w14:textId="77777777" w:rsidR="00824558" w:rsidRPr="00733A2F" w:rsidRDefault="00824558">
      <w:pPr>
        <w:pStyle w:val="Heading2"/>
        <w:rPr>
          <w:rFonts w:eastAsia="Times New Roman"/>
          <w:spacing w:val="-2"/>
        </w:rPr>
      </w:pPr>
      <w:r w:rsidRPr="00733A2F">
        <w:rPr>
          <w:rFonts w:eastAsia="Times New Roman"/>
        </w:rPr>
        <w:lastRenderedPageBreak/>
        <w:t>Output summary by departmental objectives</w:t>
      </w:r>
    </w:p>
    <w:p w14:paraId="06039454" w14:textId="082EEF16" w:rsidR="00824558" w:rsidRPr="00733A2F" w:rsidRDefault="00824558">
      <w:pPr>
        <w:keepNext/>
        <w:rPr>
          <w:rFonts w:ascii="Garamond" w:eastAsia="Garamond" w:hAnsi="Garamond"/>
        </w:rPr>
      </w:pPr>
      <w:r w:rsidRPr="00733A2F">
        <w:rPr>
          <w:rFonts w:ascii="Garamond" w:eastAsia="Garamond" w:hAnsi="Garamond"/>
        </w:rPr>
        <w:t>The Department</w:t>
      </w:r>
      <w:r w:rsidR="007942D1">
        <w:rPr>
          <w:rFonts w:ascii="Garamond" w:eastAsia="Garamond" w:hAnsi="Garamond"/>
        </w:rPr>
        <w:t>’</w:t>
      </w:r>
      <w:r w:rsidRPr="00733A2F">
        <w:rPr>
          <w:rFonts w:ascii="Garamond" w:eastAsia="Garamond" w:hAnsi="Garamond"/>
        </w:rPr>
        <w:t>s outputs and funding are provided in the table below. Detailed descriptions of objectives and outputs are presented below.</w:t>
      </w:r>
    </w:p>
    <w:p w14:paraId="5842AC83" w14:textId="2A4B173D" w:rsidR="006B3D9F" w:rsidRPr="00D06853" w:rsidRDefault="006B3D9F" w:rsidP="006B3D9F">
      <w:pPr>
        <w:pStyle w:val="TableHeading"/>
      </w:pPr>
      <w:r w:rsidRPr="00D06853">
        <w:t xml:space="preserve">Table </w:t>
      </w:r>
      <w:r>
        <w:t>1</w:t>
      </w:r>
      <w:r w:rsidR="009C1A03">
        <w:t>6</w:t>
      </w:r>
      <w:r w:rsidRPr="00D06853">
        <w:t>:</w:t>
      </w:r>
      <w:r w:rsidRPr="00D06853">
        <w:tab/>
        <w:t>Output summary</w:t>
      </w:r>
      <w:r w:rsidRPr="00D06853">
        <w:tab/>
        <w:t>($ million)</w:t>
      </w:r>
    </w:p>
    <w:tbl>
      <w:tblPr>
        <w:tblStyle w:val="DTFTableNumeric"/>
        <w:tblW w:w="9638"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JSIR_Summary|TableGroup:OutputSummary"/>
      </w:tblPr>
      <w:tblGrid>
        <w:gridCol w:w="6010"/>
        <w:gridCol w:w="907"/>
        <w:gridCol w:w="907"/>
        <w:gridCol w:w="907"/>
        <w:gridCol w:w="907"/>
      </w:tblGrid>
      <w:tr w:rsidR="000A50CB" w14:paraId="392783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DEBB8BF" w14:textId="77777777" w:rsidR="000A50CB" w:rsidRDefault="000A50CB">
            <w:pPr>
              <w:keepNext/>
            </w:pPr>
          </w:p>
        </w:tc>
        <w:tc>
          <w:tcPr>
            <w:tcW w:w="907" w:type="dxa"/>
          </w:tcPr>
          <w:p w14:paraId="671B5352" w14:textId="77777777" w:rsidR="000A50CB" w:rsidRDefault="000A50CB">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1E586C20" w14:textId="77777777" w:rsidR="000A50CB" w:rsidRDefault="000A50CB">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4138BA5A" w14:textId="77777777" w:rsidR="000A50CB" w:rsidRDefault="000A50CB">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3851E769" w14:textId="77777777" w:rsidR="000A50CB" w:rsidRDefault="000A50CB">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0A50CB" w14:paraId="0EFF65CD" w14:textId="77777777">
        <w:tc>
          <w:tcPr>
            <w:cnfStyle w:val="001000000000" w:firstRow="0" w:lastRow="0" w:firstColumn="1" w:lastColumn="0" w:oddVBand="0" w:evenVBand="0" w:oddHBand="0" w:evenHBand="0" w:firstRowFirstColumn="0" w:firstRowLastColumn="0" w:lastRowFirstColumn="0" w:lastRowLastColumn="0"/>
            <w:tcW w:w="6010" w:type="dxa"/>
          </w:tcPr>
          <w:p w14:paraId="3BE81115" w14:textId="77777777" w:rsidR="000A50CB" w:rsidRDefault="000A50CB">
            <w:r>
              <w:rPr>
                <w:b/>
              </w:rPr>
              <w:t>Create and maintain jobs</w:t>
            </w:r>
          </w:p>
        </w:tc>
        <w:tc>
          <w:tcPr>
            <w:tcW w:w="907" w:type="dxa"/>
          </w:tcPr>
          <w:p w14:paraId="50E41B3C"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59F5A702"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4014EC3E"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7DB7CB4E"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5FF3BB9F" w14:textId="77777777">
        <w:tc>
          <w:tcPr>
            <w:cnfStyle w:val="001000000000" w:firstRow="0" w:lastRow="0" w:firstColumn="1" w:lastColumn="0" w:oddVBand="0" w:evenVBand="0" w:oddHBand="0" w:evenHBand="0" w:firstRowFirstColumn="0" w:firstRowLastColumn="0" w:lastRowFirstColumn="0" w:lastRowLastColumn="0"/>
            <w:tcW w:w="6010" w:type="dxa"/>
          </w:tcPr>
          <w:p w14:paraId="76F123B0" w14:textId="4174C189" w:rsidR="000A50CB" w:rsidRDefault="000A50CB">
            <w:r>
              <w:t>Jobs</w:t>
            </w:r>
            <w:r w:rsidR="00383570">
              <w:t xml:space="preserve"> </w:t>
            </w:r>
            <w:r w:rsidRPr="00B22AD4">
              <w:rPr>
                <w:vertAlign w:val="superscript"/>
              </w:rPr>
              <w:t>(b)</w:t>
            </w:r>
          </w:p>
        </w:tc>
        <w:tc>
          <w:tcPr>
            <w:tcW w:w="907" w:type="dxa"/>
          </w:tcPr>
          <w:p w14:paraId="1BF31C50" w14:textId="77777777" w:rsidR="000A50CB" w:rsidRDefault="000A50CB">
            <w:pPr>
              <w:cnfStyle w:val="000000000000" w:firstRow="0" w:lastRow="0" w:firstColumn="0" w:lastColumn="0" w:oddVBand="0" w:evenVBand="0" w:oddHBand="0" w:evenHBand="0" w:firstRowFirstColumn="0" w:firstRowLastColumn="0" w:lastRowFirstColumn="0" w:lastRowLastColumn="0"/>
            </w:pPr>
            <w:r>
              <w:t>30.9</w:t>
            </w:r>
          </w:p>
        </w:tc>
        <w:tc>
          <w:tcPr>
            <w:tcW w:w="907" w:type="dxa"/>
          </w:tcPr>
          <w:p w14:paraId="5891E8D3" w14:textId="77777777" w:rsidR="000A50CB" w:rsidRDefault="000A50CB">
            <w:pPr>
              <w:cnfStyle w:val="000000000000" w:firstRow="0" w:lastRow="0" w:firstColumn="0" w:lastColumn="0" w:oddVBand="0" w:evenVBand="0" w:oddHBand="0" w:evenHBand="0" w:firstRowFirstColumn="0" w:firstRowLastColumn="0" w:lastRowFirstColumn="0" w:lastRowLastColumn="0"/>
            </w:pPr>
            <w:r>
              <w:t>45.9</w:t>
            </w:r>
          </w:p>
        </w:tc>
        <w:tc>
          <w:tcPr>
            <w:tcW w:w="907" w:type="dxa"/>
          </w:tcPr>
          <w:p w14:paraId="709DD698" w14:textId="77777777" w:rsidR="000A50CB" w:rsidRDefault="000A50CB">
            <w:pPr>
              <w:cnfStyle w:val="000000000000" w:firstRow="0" w:lastRow="0" w:firstColumn="0" w:lastColumn="0" w:oddVBand="0" w:evenVBand="0" w:oddHBand="0" w:evenHBand="0" w:firstRowFirstColumn="0" w:firstRowLastColumn="0" w:lastRowFirstColumn="0" w:lastRowLastColumn="0"/>
            </w:pPr>
            <w:r>
              <w:t>43.6</w:t>
            </w:r>
          </w:p>
        </w:tc>
        <w:tc>
          <w:tcPr>
            <w:tcW w:w="907" w:type="dxa"/>
          </w:tcPr>
          <w:p w14:paraId="723E6D4B" w14:textId="77777777" w:rsidR="000A50CB" w:rsidRDefault="000A50CB">
            <w:pPr>
              <w:cnfStyle w:val="000000000000" w:firstRow="0" w:lastRow="0" w:firstColumn="0" w:lastColumn="0" w:oddVBand="0" w:evenVBand="0" w:oddHBand="0" w:evenHBand="0" w:firstRowFirstColumn="0" w:firstRowLastColumn="0" w:lastRowFirstColumn="0" w:lastRowLastColumn="0"/>
            </w:pPr>
            <w:r>
              <w:t>41.1</w:t>
            </w:r>
          </w:p>
        </w:tc>
      </w:tr>
      <w:tr w:rsidR="000A50CB" w14:paraId="6000F516" w14:textId="77777777">
        <w:tc>
          <w:tcPr>
            <w:cnfStyle w:val="001000000000" w:firstRow="0" w:lastRow="0" w:firstColumn="1" w:lastColumn="0" w:oddVBand="0" w:evenVBand="0" w:oddHBand="0" w:evenHBand="0" w:firstRowFirstColumn="0" w:firstRowLastColumn="0" w:lastRowFirstColumn="0" w:lastRowLastColumn="0"/>
            <w:tcW w:w="6010" w:type="dxa"/>
          </w:tcPr>
          <w:p w14:paraId="2471B9D3" w14:textId="77777777" w:rsidR="000A50CB" w:rsidRDefault="000A50CB">
            <w:r>
              <w:rPr>
                <w:b/>
              </w:rPr>
              <w:t>Foster a competitive business environment</w:t>
            </w:r>
          </w:p>
        </w:tc>
        <w:tc>
          <w:tcPr>
            <w:tcW w:w="907" w:type="dxa"/>
          </w:tcPr>
          <w:p w14:paraId="39F29F2E"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2BD18526"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1FEDC9B0"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005F3856"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49FD2C31" w14:textId="77777777">
        <w:tc>
          <w:tcPr>
            <w:cnfStyle w:val="001000000000" w:firstRow="0" w:lastRow="0" w:firstColumn="1" w:lastColumn="0" w:oddVBand="0" w:evenVBand="0" w:oddHBand="0" w:evenHBand="0" w:firstRowFirstColumn="0" w:firstRowLastColumn="0" w:lastRowFirstColumn="0" w:lastRowLastColumn="0"/>
            <w:tcW w:w="6010" w:type="dxa"/>
          </w:tcPr>
          <w:p w14:paraId="1FC72F87" w14:textId="37316FC6" w:rsidR="000A50CB" w:rsidRDefault="000A50CB">
            <w:r>
              <w:t>Industry, Small Business and Medical Research</w:t>
            </w:r>
            <w:r w:rsidR="00383570">
              <w:t xml:space="preserve"> </w:t>
            </w:r>
            <w:r w:rsidRPr="00B22AD4">
              <w:rPr>
                <w:vertAlign w:val="superscript"/>
              </w:rPr>
              <w:t>(c)</w:t>
            </w:r>
          </w:p>
        </w:tc>
        <w:tc>
          <w:tcPr>
            <w:tcW w:w="907" w:type="dxa"/>
          </w:tcPr>
          <w:p w14:paraId="37770A70" w14:textId="77777777" w:rsidR="000A50CB" w:rsidRDefault="000A50CB">
            <w:pPr>
              <w:cnfStyle w:val="000000000000" w:firstRow="0" w:lastRow="0" w:firstColumn="0" w:lastColumn="0" w:oddVBand="0" w:evenVBand="0" w:oddHBand="0" w:evenHBand="0" w:firstRowFirstColumn="0" w:firstRowLastColumn="0" w:lastRowFirstColumn="0" w:lastRowLastColumn="0"/>
            </w:pPr>
            <w:r>
              <w:t>413.3</w:t>
            </w:r>
          </w:p>
        </w:tc>
        <w:tc>
          <w:tcPr>
            <w:tcW w:w="907" w:type="dxa"/>
          </w:tcPr>
          <w:p w14:paraId="6CD82D99" w14:textId="77777777" w:rsidR="000A50CB" w:rsidRDefault="000A50CB">
            <w:pPr>
              <w:cnfStyle w:val="000000000000" w:firstRow="0" w:lastRow="0" w:firstColumn="0" w:lastColumn="0" w:oddVBand="0" w:evenVBand="0" w:oddHBand="0" w:evenHBand="0" w:firstRowFirstColumn="0" w:firstRowLastColumn="0" w:lastRowFirstColumn="0" w:lastRowLastColumn="0"/>
            </w:pPr>
            <w:r>
              <w:t>290.1</w:t>
            </w:r>
          </w:p>
        </w:tc>
        <w:tc>
          <w:tcPr>
            <w:tcW w:w="907" w:type="dxa"/>
          </w:tcPr>
          <w:p w14:paraId="3C5A284A" w14:textId="77777777" w:rsidR="000A50CB" w:rsidRDefault="000A50CB">
            <w:pPr>
              <w:cnfStyle w:val="000000000000" w:firstRow="0" w:lastRow="0" w:firstColumn="0" w:lastColumn="0" w:oddVBand="0" w:evenVBand="0" w:oddHBand="0" w:evenHBand="0" w:firstRowFirstColumn="0" w:firstRowLastColumn="0" w:lastRowFirstColumn="0" w:lastRowLastColumn="0"/>
            </w:pPr>
            <w:r>
              <w:t>342.3</w:t>
            </w:r>
          </w:p>
        </w:tc>
        <w:tc>
          <w:tcPr>
            <w:tcW w:w="907" w:type="dxa"/>
          </w:tcPr>
          <w:p w14:paraId="69C87353" w14:textId="77777777" w:rsidR="000A50CB" w:rsidRDefault="000A50CB">
            <w:pPr>
              <w:cnfStyle w:val="000000000000" w:firstRow="0" w:lastRow="0" w:firstColumn="0" w:lastColumn="0" w:oddVBand="0" w:evenVBand="0" w:oddHBand="0" w:evenHBand="0" w:firstRowFirstColumn="0" w:firstRowLastColumn="0" w:lastRowFirstColumn="0" w:lastRowLastColumn="0"/>
            </w:pPr>
            <w:r>
              <w:t>(17.2)</w:t>
            </w:r>
          </w:p>
        </w:tc>
      </w:tr>
      <w:tr w:rsidR="000A50CB" w14:paraId="45BA891E" w14:textId="77777777">
        <w:tc>
          <w:tcPr>
            <w:cnfStyle w:val="001000000000" w:firstRow="0" w:lastRow="0" w:firstColumn="1" w:lastColumn="0" w:oddVBand="0" w:evenVBand="0" w:oddHBand="0" w:evenHBand="0" w:firstRowFirstColumn="0" w:firstRowLastColumn="0" w:lastRowFirstColumn="0" w:lastRowLastColumn="0"/>
            <w:tcW w:w="6010" w:type="dxa"/>
          </w:tcPr>
          <w:p w14:paraId="10952301" w14:textId="77777777" w:rsidR="000A50CB" w:rsidRDefault="000A50CB">
            <w:r>
              <w:rPr>
                <w:b/>
              </w:rPr>
              <w:t>Economic growth through trade and investment attraction</w:t>
            </w:r>
          </w:p>
        </w:tc>
        <w:tc>
          <w:tcPr>
            <w:tcW w:w="907" w:type="dxa"/>
          </w:tcPr>
          <w:p w14:paraId="446C909D"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13F4BA2B"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2E96C303"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68C41730"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35B4BD01" w14:textId="77777777">
        <w:tc>
          <w:tcPr>
            <w:cnfStyle w:val="001000000000" w:firstRow="0" w:lastRow="0" w:firstColumn="1" w:lastColumn="0" w:oddVBand="0" w:evenVBand="0" w:oddHBand="0" w:evenHBand="0" w:firstRowFirstColumn="0" w:firstRowLastColumn="0" w:lastRowFirstColumn="0" w:lastRowLastColumn="0"/>
            <w:tcW w:w="6010" w:type="dxa"/>
          </w:tcPr>
          <w:p w14:paraId="202B2755" w14:textId="7E99D1F2" w:rsidR="000A50CB" w:rsidRDefault="000A50CB">
            <w:r>
              <w:t>Trade and Investment</w:t>
            </w:r>
            <w:r w:rsidR="00383570">
              <w:t xml:space="preserve"> </w:t>
            </w:r>
            <w:r w:rsidRPr="00B22AD4">
              <w:rPr>
                <w:vertAlign w:val="superscript"/>
              </w:rPr>
              <w:t>(d)</w:t>
            </w:r>
          </w:p>
        </w:tc>
        <w:tc>
          <w:tcPr>
            <w:tcW w:w="907" w:type="dxa"/>
          </w:tcPr>
          <w:p w14:paraId="32909CC8" w14:textId="77777777" w:rsidR="000A50CB" w:rsidRDefault="000A50CB">
            <w:pPr>
              <w:cnfStyle w:val="000000000000" w:firstRow="0" w:lastRow="0" w:firstColumn="0" w:lastColumn="0" w:oddVBand="0" w:evenVBand="0" w:oddHBand="0" w:evenHBand="0" w:firstRowFirstColumn="0" w:firstRowLastColumn="0" w:lastRowFirstColumn="0" w:lastRowLastColumn="0"/>
            </w:pPr>
            <w:r>
              <w:t>162.8</w:t>
            </w:r>
          </w:p>
        </w:tc>
        <w:tc>
          <w:tcPr>
            <w:tcW w:w="907" w:type="dxa"/>
          </w:tcPr>
          <w:p w14:paraId="70DB6145" w14:textId="77777777" w:rsidR="000A50CB" w:rsidRDefault="000A50CB">
            <w:pPr>
              <w:cnfStyle w:val="000000000000" w:firstRow="0" w:lastRow="0" w:firstColumn="0" w:lastColumn="0" w:oddVBand="0" w:evenVBand="0" w:oddHBand="0" w:evenHBand="0" w:firstRowFirstColumn="0" w:firstRowLastColumn="0" w:lastRowFirstColumn="0" w:lastRowLastColumn="0"/>
            </w:pPr>
            <w:r>
              <w:t>127.2</w:t>
            </w:r>
          </w:p>
        </w:tc>
        <w:tc>
          <w:tcPr>
            <w:tcW w:w="907" w:type="dxa"/>
          </w:tcPr>
          <w:p w14:paraId="2B2F923F" w14:textId="77777777" w:rsidR="000A50CB" w:rsidRDefault="000A50CB">
            <w:pPr>
              <w:cnfStyle w:val="000000000000" w:firstRow="0" w:lastRow="0" w:firstColumn="0" w:lastColumn="0" w:oddVBand="0" w:evenVBand="0" w:oddHBand="0" w:evenHBand="0" w:firstRowFirstColumn="0" w:firstRowLastColumn="0" w:lastRowFirstColumn="0" w:lastRowLastColumn="0"/>
            </w:pPr>
            <w:r>
              <w:t>123.3</w:t>
            </w:r>
          </w:p>
        </w:tc>
        <w:tc>
          <w:tcPr>
            <w:tcW w:w="907" w:type="dxa"/>
          </w:tcPr>
          <w:p w14:paraId="5B0A503B" w14:textId="77777777" w:rsidR="000A50CB" w:rsidRDefault="000A50CB">
            <w:pPr>
              <w:cnfStyle w:val="000000000000" w:firstRow="0" w:lastRow="0" w:firstColumn="0" w:lastColumn="0" w:oddVBand="0" w:evenVBand="0" w:oddHBand="0" w:evenHBand="0" w:firstRowFirstColumn="0" w:firstRowLastColumn="0" w:lastRowFirstColumn="0" w:lastRowLastColumn="0"/>
            </w:pPr>
            <w:r>
              <w:t>(24.3)</w:t>
            </w:r>
          </w:p>
        </w:tc>
      </w:tr>
      <w:tr w:rsidR="000A50CB" w14:paraId="7F8B4909" w14:textId="77777777">
        <w:tc>
          <w:tcPr>
            <w:cnfStyle w:val="001000000000" w:firstRow="0" w:lastRow="0" w:firstColumn="1" w:lastColumn="0" w:oddVBand="0" w:evenVBand="0" w:oddHBand="0" w:evenHBand="0" w:firstRowFirstColumn="0" w:firstRowLastColumn="0" w:lastRowFirstColumn="0" w:lastRowLastColumn="0"/>
            <w:tcW w:w="6010" w:type="dxa"/>
          </w:tcPr>
          <w:p w14:paraId="71C39378" w14:textId="77777777" w:rsidR="000A50CB" w:rsidRDefault="000A50CB">
            <w:r>
              <w:rPr>
                <w:b/>
              </w:rPr>
              <w:t>Build prosperous and liveable regions, and manage and promote outdoor recreation</w:t>
            </w:r>
          </w:p>
        </w:tc>
        <w:tc>
          <w:tcPr>
            <w:tcW w:w="907" w:type="dxa"/>
          </w:tcPr>
          <w:p w14:paraId="76FD6710"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7267D668"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14994EE4"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58744516"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531C971E" w14:textId="77777777">
        <w:tc>
          <w:tcPr>
            <w:cnfStyle w:val="001000000000" w:firstRow="0" w:lastRow="0" w:firstColumn="1" w:lastColumn="0" w:oddVBand="0" w:evenVBand="0" w:oddHBand="0" w:evenHBand="0" w:firstRowFirstColumn="0" w:firstRowLastColumn="0" w:lastRowFirstColumn="0" w:lastRowLastColumn="0"/>
            <w:tcW w:w="6010" w:type="dxa"/>
          </w:tcPr>
          <w:p w14:paraId="1D7DDBA1" w14:textId="6E183B01" w:rsidR="000A50CB" w:rsidRDefault="000A50CB">
            <w:r>
              <w:t>Regional Development</w:t>
            </w:r>
            <w:r w:rsidR="00383570">
              <w:t xml:space="preserve"> </w:t>
            </w:r>
            <w:r w:rsidRPr="00B22AD4">
              <w:rPr>
                <w:vertAlign w:val="superscript"/>
              </w:rPr>
              <w:t>(e)</w:t>
            </w:r>
          </w:p>
        </w:tc>
        <w:tc>
          <w:tcPr>
            <w:tcW w:w="907" w:type="dxa"/>
          </w:tcPr>
          <w:p w14:paraId="005F5E9F" w14:textId="77777777" w:rsidR="000A50CB" w:rsidRDefault="000A50CB">
            <w:pPr>
              <w:cnfStyle w:val="000000000000" w:firstRow="0" w:lastRow="0" w:firstColumn="0" w:lastColumn="0" w:oddVBand="0" w:evenVBand="0" w:oddHBand="0" w:evenHBand="0" w:firstRowFirstColumn="0" w:firstRowLastColumn="0" w:lastRowFirstColumn="0" w:lastRowLastColumn="0"/>
            </w:pPr>
            <w:r>
              <w:t>245.6</w:t>
            </w:r>
          </w:p>
        </w:tc>
        <w:tc>
          <w:tcPr>
            <w:tcW w:w="907" w:type="dxa"/>
          </w:tcPr>
          <w:p w14:paraId="65BDB6E7" w14:textId="77777777" w:rsidR="000A50CB" w:rsidRDefault="000A50CB">
            <w:pPr>
              <w:cnfStyle w:val="000000000000" w:firstRow="0" w:lastRow="0" w:firstColumn="0" w:lastColumn="0" w:oddVBand="0" w:evenVBand="0" w:oddHBand="0" w:evenHBand="0" w:firstRowFirstColumn="0" w:firstRowLastColumn="0" w:lastRowFirstColumn="0" w:lastRowLastColumn="0"/>
            </w:pPr>
            <w:r>
              <w:t>261.5</w:t>
            </w:r>
          </w:p>
        </w:tc>
        <w:tc>
          <w:tcPr>
            <w:tcW w:w="907" w:type="dxa"/>
          </w:tcPr>
          <w:p w14:paraId="3A1E9E27" w14:textId="77777777" w:rsidR="000A50CB" w:rsidRDefault="000A50CB">
            <w:pPr>
              <w:cnfStyle w:val="000000000000" w:firstRow="0" w:lastRow="0" w:firstColumn="0" w:lastColumn="0" w:oddVBand="0" w:evenVBand="0" w:oddHBand="0" w:evenHBand="0" w:firstRowFirstColumn="0" w:firstRowLastColumn="0" w:lastRowFirstColumn="0" w:lastRowLastColumn="0"/>
            </w:pPr>
            <w:r>
              <w:t>227.0</w:t>
            </w:r>
          </w:p>
        </w:tc>
        <w:tc>
          <w:tcPr>
            <w:tcW w:w="907" w:type="dxa"/>
          </w:tcPr>
          <w:p w14:paraId="43A6050D" w14:textId="77777777" w:rsidR="000A50CB" w:rsidRDefault="000A50CB">
            <w:pPr>
              <w:cnfStyle w:val="000000000000" w:firstRow="0" w:lastRow="0" w:firstColumn="0" w:lastColumn="0" w:oddVBand="0" w:evenVBand="0" w:oddHBand="0" w:evenHBand="0" w:firstRowFirstColumn="0" w:firstRowLastColumn="0" w:lastRowFirstColumn="0" w:lastRowLastColumn="0"/>
            </w:pPr>
            <w:r>
              <w:t>(7.6)</w:t>
            </w:r>
          </w:p>
        </w:tc>
      </w:tr>
      <w:tr w:rsidR="000A50CB" w14:paraId="4C7ADE06" w14:textId="77777777">
        <w:tc>
          <w:tcPr>
            <w:cnfStyle w:val="001000000000" w:firstRow="0" w:lastRow="0" w:firstColumn="1" w:lastColumn="0" w:oddVBand="0" w:evenVBand="0" w:oddHBand="0" w:evenHBand="0" w:firstRowFirstColumn="0" w:firstRowLastColumn="0" w:lastRowFirstColumn="0" w:lastRowLastColumn="0"/>
            <w:tcW w:w="6010" w:type="dxa"/>
          </w:tcPr>
          <w:p w14:paraId="0ADE3A1C" w14:textId="77777777" w:rsidR="000A50CB" w:rsidRDefault="000A50CB">
            <w:r>
              <w:t>Fishing, Boating and Game Management</w:t>
            </w:r>
          </w:p>
        </w:tc>
        <w:tc>
          <w:tcPr>
            <w:tcW w:w="907" w:type="dxa"/>
          </w:tcPr>
          <w:p w14:paraId="0A680058" w14:textId="77777777" w:rsidR="000A50CB" w:rsidRDefault="000A50CB">
            <w:pPr>
              <w:cnfStyle w:val="000000000000" w:firstRow="0" w:lastRow="0" w:firstColumn="0" w:lastColumn="0" w:oddVBand="0" w:evenVBand="0" w:oddHBand="0" w:evenHBand="0" w:firstRowFirstColumn="0" w:firstRowLastColumn="0" w:lastRowFirstColumn="0" w:lastRowLastColumn="0"/>
            </w:pPr>
            <w:r>
              <w:t>94.1</w:t>
            </w:r>
          </w:p>
        </w:tc>
        <w:tc>
          <w:tcPr>
            <w:tcW w:w="907" w:type="dxa"/>
          </w:tcPr>
          <w:p w14:paraId="52E1DDF9" w14:textId="77777777" w:rsidR="000A50CB" w:rsidRDefault="000A50CB">
            <w:pPr>
              <w:cnfStyle w:val="000000000000" w:firstRow="0" w:lastRow="0" w:firstColumn="0" w:lastColumn="0" w:oddVBand="0" w:evenVBand="0" w:oddHBand="0" w:evenHBand="0" w:firstRowFirstColumn="0" w:firstRowLastColumn="0" w:lastRowFirstColumn="0" w:lastRowLastColumn="0"/>
            </w:pPr>
            <w:r>
              <w:t>109.4</w:t>
            </w:r>
          </w:p>
        </w:tc>
        <w:tc>
          <w:tcPr>
            <w:tcW w:w="907" w:type="dxa"/>
          </w:tcPr>
          <w:p w14:paraId="3E0D8787" w14:textId="77777777" w:rsidR="000A50CB" w:rsidRDefault="000A50CB">
            <w:pPr>
              <w:cnfStyle w:val="000000000000" w:firstRow="0" w:lastRow="0" w:firstColumn="0" w:lastColumn="0" w:oddVBand="0" w:evenVBand="0" w:oddHBand="0" w:evenHBand="0" w:firstRowFirstColumn="0" w:firstRowLastColumn="0" w:lastRowFirstColumn="0" w:lastRowLastColumn="0"/>
            </w:pPr>
            <w:r>
              <w:t>93.0</w:t>
            </w:r>
          </w:p>
        </w:tc>
        <w:tc>
          <w:tcPr>
            <w:tcW w:w="907" w:type="dxa"/>
          </w:tcPr>
          <w:p w14:paraId="2815195D" w14:textId="77777777" w:rsidR="000A50CB" w:rsidRDefault="000A50CB">
            <w:pPr>
              <w:cnfStyle w:val="000000000000" w:firstRow="0" w:lastRow="0" w:firstColumn="0" w:lastColumn="0" w:oddVBand="0" w:evenVBand="0" w:oddHBand="0" w:evenHBand="0" w:firstRowFirstColumn="0" w:firstRowLastColumn="0" w:lastRowFirstColumn="0" w:lastRowLastColumn="0"/>
            </w:pPr>
            <w:r>
              <w:t>(1.2)</w:t>
            </w:r>
          </w:p>
        </w:tc>
      </w:tr>
      <w:tr w:rsidR="000A50CB" w14:paraId="492EC4C9" w14:textId="77777777">
        <w:tc>
          <w:tcPr>
            <w:cnfStyle w:val="001000000000" w:firstRow="0" w:lastRow="0" w:firstColumn="1" w:lastColumn="0" w:oddVBand="0" w:evenVBand="0" w:oddHBand="0" w:evenHBand="0" w:firstRowFirstColumn="0" w:firstRowLastColumn="0" w:lastRowFirstColumn="0" w:lastRowLastColumn="0"/>
            <w:tcW w:w="6010" w:type="dxa"/>
          </w:tcPr>
          <w:p w14:paraId="20A472D5" w14:textId="77777777" w:rsidR="000A50CB" w:rsidRDefault="000A50CB">
            <w:r>
              <w:rPr>
                <w:b/>
              </w:rPr>
              <w:t>Grow vibrant, active and creative communities</w:t>
            </w:r>
          </w:p>
        </w:tc>
        <w:tc>
          <w:tcPr>
            <w:tcW w:w="907" w:type="dxa"/>
          </w:tcPr>
          <w:p w14:paraId="5FD6295F"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35FE131B"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6F2FB45E"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142777E2"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101332A3" w14:textId="77777777">
        <w:tc>
          <w:tcPr>
            <w:cnfStyle w:val="001000000000" w:firstRow="0" w:lastRow="0" w:firstColumn="1" w:lastColumn="0" w:oddVBand="0" w:evenVBand="0" w:oddHBand="0" w:evenHBand="0" w:firstRowFirstColumn="0" w:firstRowLastColumn="0" w:lastRowFirstColumn="0" w:lastRowLastColumn="0"/>
            <w:tcW w:w="6010" w:type="dxa"/>
          </w:tcPr>
          <w:p w14:paraId="224028E4" w14:textId="329C8C93" w:rsidR="000A50CB" w:rsidRDefault="000A50CB">
            <w:r>
              <w:t>Creative Industries Access, Development and Innovation</w:t>
            </w:r>
            <w:r w:rsidR="00383570">
              <w:t xml:space="preserve"> </w:t>
            </w:r>
            <w:r w:rsidRPr="00B22AD4">
              <w:rPr>
                <w:vertAlign w:val="superscript"/>
              </w:rPr>
              <w:t>(f)</w:t>
            </w:r>
          </w:p>
        </w:tc>
        <w:tc>
          <w:tcPr>
            <w:tcW w:w="907" w:type="dxa"/>
          </w:tcPr>
          <w:p w14:paraId="126D6C73" w14:textId="77777777" w:rsidR="000A50CB" w:rsidRDefault="000A50CB">
            <w:pPr>
              <w:cnfStyle w:val="000000000000" w:firstRow="0" w:lastRow="0" w:firstColumn="0" w:lastColumn="0" w:oddVBand="0" w:evenVBand="0" w:oddHBand="0" w:evenHBand="0" w:firstRowFirstColumn="0" w:firstRowLastColumn="0" w:lastRowFirstColumn="0" w:lastRowLastColumn="0"/>
            </w:pPr>
            <w:r>
              <w:t>70.4</w:t>
            </w:r>
          </w:p>
        </w:tc>
        <w:tc>
          <w:tcPr>
            <w:tcW w:w="907" w:type="dxa"/>
          </w:tcPr>
          <w:p w14:paraId="0AE64568" w14:textId="77777777" w:rsidR="000A50CB" w:rsidRDefault="000A50CB">
            <w:pPr>
              <w:cnfStyle w:val="000000000000" w:firstRow="0" w:lastRow="0" w:firstColumn="0" w:lastColumn="0" w:oddVBand="0" w:evenVBand="0" w:oddHBand="0" w:evenHBand="0" w:firstRowFirstColumn="0" w:firstRowLastColumn="0" w:lastRowFirstColumn="0" w:lastRowLastColumn="0"/>
            </w:pPr>
            <w:r>
              <w:t>74.3</w:t>
            </w:r>
          </w:p>
        </w:tc>
        <w:tc>
          <w:tcPr>
            <w:tcW w:w="907" w:type="dxa"/>
          </w:tcPr>
          <w:p w14:paraId="3F016127" w14:textId="77777777" w:rsidR="000A50CB" w:rsidRDefault="000A50CB">
            <w:pPr>
              <w:cnfStyle w:val="000000000000" w:firstRow="0" w:lastRow="0" w:firstColumn="0" w:lastColumn="0" w:oddVBand="0" w:evenVBand="0" w:oddHBand="0" w:evenHBand="0" w:firstRowFirstColumn="0" w:firstRowLastColumn="0" w:lastRowFirstColumn="0" w:lastRowLastColumn="0"/>
            </w:pPr>
            <w:r>
              <w:t>75.8</w:t>
            </w:r>
          </w:p>
        </w:tc>
        <w:tc>
          <w:tcPr>
            <w:tcW w:w="907" w:type="dxa"/>
          </w:tcPr>
          <w:p w14:paraId="32F8DBC0" w14:textId="77777777" w:rsidR="000A50CB" w:rsidRDefault="000A50CB">
            <w:pPr>
              <w:cnfStyle w:val="000000000000" w:firstRow="0" w:lastRow="0" w:firstColumn="0" w:lastColumn="0" w:oddVBand="0" w:evenVBand="0" w:oddHBand="0" w:evenHBand="0" w:firstRowFirstColumn="0" w:firstRowLastColumn="0" w:lastRowFirstColumn="0" w:lastRowLastColumn="0"/>
            </w:pPr>
            <w:r>
              <w:t>7.7</w:t>
            </w:r>
          </w:p>
        </w:tc>
      </w:tr>
      <w:tr w:rsidR="000A50CB" w14:paraId="5260CD55" w14:textId="77777777">
        <w:tc>
          <w:tcPr>
            <w:cnfStyle w:val="001000000000" w:firstRow="0" w:lastRow="0" w:firstColumn="1" w:lastColumn="0" w:oddVBand="0" w:evenVBand="0" w:oddHBand="0" w:evenHBand="0" w:firstRowFirstColumn="0" w:firstRowLastColumn="0" w:lastRowFirstColumn="0" w:lastRowLastColumn="0"/>
            <w:tcW w:w="6010" w:type="dxa"/>
          </w:tcPr>
          <w:p w14:paraId="4B8A618B" w14:textId="3AC9BCF1" w:rsidR="000A50CB" w:rsidRDefault="000A50CB">
            <w:r>
              <w:t>Creative Industry Portfolio Agencies</w:t>
            </w:r>
            <w:r w:rsidR="00383570">
              <w:t xml:space="preserve"> </w:t>
            </w:r>
            <w:r w:rsidRPr="00B22AD4">
              <w:rPr>
                <w:vertAlign w:val="superscript"/>
              </w:rPr>
              <w:t>(g)</w:t>
            </w:r>
          </w:p>
        </w:tc>
        <w:tc>
          <w:tcPr>
            <w:tcW w:w="907" w:type="dxa"/>
          </w:tcPr>
          <w:p w14:paraId="16CCF288" w14:textId="77777777" w:rsidR="000A50CB" w:rsidRDefault="000A50CB">
            <w:pPr>
              <w:cnfStyle w:val="000000000000" w:firstRow="0" w:lastRow="0" w:firstColumn="0" w:lastColumn="0" w:oddVBand="0" w:evenVBand="0" w:oddHBand="0" w:evenHBand="0" w:firstRowFirstColumn="0" w:firstRowLastColumn="0" w:lastRowFirstColumn="0" w:lastRowLastColumn="0"/>
            </w:pPr>
            <w:r>
              <w:t>471.5</w:t>
            </w:r>
          </w:p>
        </w:tc>
        <w:tc>
          <w:tcPr>
            <w:tcW w:w="907" w:type="dxa"/>
          </w:tcPr>
          <w:p w14:paraId="4F810780" w14:textId="77777777" w:rsidR="000A50CB" w:rsidRDefault="000A50CB">
            <w:pPr>
              <w:cnfStyle w:val="000000000000" w:firstRow="0" w:lastRow="0" w:firstColumn="0" w:lastColumn="0" w:oddVBand="0" w:evenVBand="0" w:oddHBand="0" w:evenHBand="0" w:firstRowFirstColumn="0" w:firstRowLastColumn="0" w:lastRowFirstColumn="0" w:lastRowLastColumn="0"/>
            </w:pPr>
            <w:r>
              <w:t>520.5</w:t>
            </w:r>
          </w:p>
        </w:tc>
        <w:tc>
          <w:tcPr>
            <w:tcW w:w="907" w:type="dxa"/>
          </w:tcPr>
          <w:p w14:paraId="240986E7" w14:textId="77777777" w:rsidR="000A50CB" w:rsidRDefault="000A50CB">
            <w:pPr>
              <w:cnfStyle w:val="000000000000" w:firstRow="0" w:lastRow="0" w:firstColumn="0" w:lastColumn="0" w:oddVBand="0" w:evenVBand="0" w:oddHBand="0" w:evenHBand="0" w:firstRowFirstColumn="0" w:firstRowLastColumn="0" w:lastRowFirstColumn="0" w:lastRowLastColumn="0"/>
            </w:pPr>
            <w:r>
              <w:t>502.3</w:t>
            </w:r>
          </w:p>
        </w:tc>
        <w:tc>
          <w:tcPr>
            <w:tcW w:w="907" w:type="dxa"/>
          </w:tcPr>
          <w:p w14:paraId="1C8917BF" w14:textId="77777777" w:rsidR="000A50CB" w:rsidRDefault="000A50CB">
            <w:pPr>
              <w:cnfStyle w:val="000000000000" w:firstRow="0" w:lastRow="0" w:firstColumn="0" w:lastColumn="0" w:oddVBand="0" w:evenVBand="0" w:oddHBand="0" w:evenHBand="0" w:firstRowFirstColumn="0" w:firstRowLastColumn="0" w:lastRowFirstColumn="0" w:lastRowLastColumn="0"/>
            </w:pPr>
            <w:r>
              <w:t>6.5</w:t>
            </w:r>
          </w:p>
        </w:tc>
      </w:tr>
      <w:tr w:rsidR="000A50CB" w14:paraId="2263D3B4" w14:textId="77777777">
        <w:tc>
          <w:tcPr>
            <w:cnfStyle w:val="001000000000" w:firstRow="0" w:lastRow="0" w:firstColumn="1" w:lastColumn="0" w:oddVBand="0" w:evenVBand="0" w:oddHBand="0" w:evenHBand="0" w:firstRowFirstColumn="0" w:firstRowLastColumn="0" w:lastRowFirstColumn="0" w:lastRowLastColumn="0"/>
            <w:tcW w:w="6010" w:type="dxa"/>
          </w:tcPr>
          <w:p w14:paraId="66B212A3" w14:textId="686245B6" w:rsidR="000A50CB" w:rsidRDefault="000A50CB">
            <w:r>
              <w:t>Cultural Infrastructure and Facilities</w:t>
            </w:r>
            <w:r w:rsidR="00383570">
              <w:t xml:space="preserve"> </w:t>
            </w:r>
            <w:r w:rsidRPr="00B22AD4">
              <w:rPr>
                <w:vertAlign w:val="superscript"/>
              </w:rPr>
              <w:t>(h)</w:t>
            </w:r>
          </w:p>
        </w:tc>
        <w:tc>
          <w:tcPr>
            <w:tcW w:w="907" w:type="dxa"/>
          </w:tcPr>
          <w:p w14:paraId="5881F279" w14:textId="77777777" w:rsidR="000A50CB" w:rsidRDefault="000A50CB">
            <w:pPr>
              <w:cnfStyle w:val="000000000000" w:firstRow="0" w:lastRow="0" w:firstColumn="0" w:lastColumn="0" w:oddVBand="0" w:evenVBand="0" w:oddHBand="0" w:evenHBand="0" w:firstRowFirstColumn="0" w:firstRowLastColumn="0" w:lastRowFirstColumn="0" w:lastRowLastColumn="0"/>
            </w:pPr>
            <w:r>
              <w:t>57.9</w:t>
            </w:r>
          </w:p>
        </w:tc>
        <w:tc>
          <w:tcPr>
            <w:tcW w:w="907" w:type="dxa"/>
          </w:tcPr>
          <w:p w14:paraId="0C3FDE15" w14:textId="77777777" w:rsidR="000A50CB" w:rsidRDefault="000A50CB">
            <w:pPr>
              <w:cnfStyle w:val="000000000000" w:firstRow="0" w:lastRow="0" w:firstColumn="0" w:lastColumn="0" w:oddVBand="0" w:evenVBand="0" w:oddHBand="0" w:evenHBand="0" w:firstRowFirstColumn="0" w:firstRowLastColumn="0" w:lastRowFirstColumn="0" w:lastRowLastColumn="0"/>
            </w:pPr>
            <w:r>
              <w:t>75.0</w:t>
            </w:r>
          </w:p>
        </w:tc>
        <w:tc>
          <w:tcPr>
            <w:tcW w:w="907" w:type="dxa"/>
          </w:tcPr>
          <w:p w14:paraId="0937821B" w14:textId="77777777" w:rsidR="000A50CB" w:rsidRDefault="000A50CB">
            <w:pPr>
              <w:cnfStyle w:val="000000000000" w:firstRow="0" w:lastRow="0" w:firstColumn="0" w:lastColumn="0" w:oddVBand="0" w:evenVBand="0" w:oddHBand="0" w:evenHBand="0" w:firstRowFirstColumn="0" w:firstRowLastColumn="0" w:lastRowFirstColumn="0" w:lastRowLastColumn="0"/>
            </w:pPr>
            <w:r>
              <w:t>77.0</w:t>
            </w:r>
          </w:p>
        </w:tc>
        <w:tc>
          <w:tcPr>
            <w:tcW w:w="907" w:type="dxa"/>
          </w:tcPr>
          <w:p w14:paraId="3186FB4F" w14:textId="77777777" w:rsidR="000A50CB" w:rsidRDefault="000A50CB">
            <w:pPr>
              <w:cnfStyle w:val="000000000000" w:firstRow="0" w:lastRow="0" w:firstColumn="0" w:lastColumn="0" w:oddVBand="0" w:evenVBand="0" w:oddHBand="0" w:evenHBand="0" w:firstRowFirstColumn="0" w:firstRowLastColumn="0" w:lastRowFirstColumn="0" w:lastRowLastColumn="0"/>
            </w:pPr>
            <w:r>
              <w:t>33.0</w:t>
            </w:r>
          </w:p>
        </w:tc>
      </w:tr>
      <w:tr w:rsidR="000A50CB" w14:paraId="2DA43840" w14:textId="77777777">
        <w:tc>
          <w:tcPr>
            <w:cnfStyle w:val="001000000000" w:firstRow="0" w:lastRow="0" w:firstColumn="1" w:lastColumn="0" w:oddVBand="0" w:evenVBand="0" w:oddHBand="0" w:evenHBand="0" w:firstRowFirstColumn="0" w:firstRowLastColumn="0" w:lastRowFirstColumn="0" w:lastRowLastColumn="0"/>
            <w:tcW w:w="6010" w:type="dxa"/>
          </w:tcPr>
          <w:p w14:paraId="6ABD573C" w14:textId="1D1940FE" w:rsidR="000A50CB" w:rsidRDefault="000A50CB">
            <w:r>
              <w:t>Sport and Recreation</w:t>
            </w:r>
            <w:r w:rsidR="00383570">
              <w:t xml:space="preserve"> </w:t>
            </w:r>
            <w:r w:rsidRPr="00B22AD4">
              <w:rPr>
                <w:vertAlign w:val="superscript"/>
              </w:rPr>
              <w:t>(i)</w:t>
            </w:r>
          </w:p>
        </w:tc>
        <w:tc>
          <w:tcPr>
            <w:tcW w:w="907" w:type="dxa"/>
          </w:tcPr>
          <w:p w14:paraId="7CC8977F" w14:textId="77777777" w:rsidR="000A50CB" w:rsidRDefault="000A50CB">
            <w:pPr>
              <w:cnfStyle w:val="000000000000" w:firstRow="0" w:lastRow="0" w:firstColumn="0" w:lastColumn="0" w:oddVBand="0" w:evenVBand="0" w:oddHBand="0" w:evenHBand="0" w:firstRowFirstColumn="0" w:firstRowLastColumn="0" w:lastRowFirstColumn="0" w:lastRowLastColumn="0"/>
            </w:pPr>
            <w:r>
              <w:t>563.8</w:t>
            </w:r>
          </w:p>
        </w:tc>
        <w:tc>
          <w:tcPr>
            <w:tcW w:w="907" w:type="dxa"/>
          </w:tcPr>
          <w:p w14:paraId="3668E942" w14:textId="77777777" w:rsidR="000A50CB" w:rsidRDefault="000A50CB">
            <w:pPr>
              <w:cnfStyle w:val="000000000000" w:firstRow="0" w:lastRow="0" w:firstColumn="0" w:lastColumn="0" w:oddVBand="0" w:evenVBand="0" w:oddHBand="0" w:evenHBand="0" w:firstRowFirstColumn="0" w:firstRowLastColumn="0" w:lastRowFirstColumn="0" w:lastRowLastColumn="0"/>
            </w:pPr>
            <w:r>
              <w:t>581.3</w:t>
            </w:r>
          </w:p>
        </w:tc>
        <w:tc>
          <w:tcPr>
            <w:tcW w:w="907" w:type="dxa"/>
          </w:tcPr>
          <w:p w14:paraId="71C96835" w14:textId="77777777" w:rsidR="000A50CB" w:rsidRDefault="000A50CB">
            <w:pPr>
              <w:cnfStyle w:val="000000000000" w:firstRow="0" w:lastRow="0" w:firstColumn="0" w:lastColumn="0" w:oddVBand="0" w:evenVBand="0" w:oddHBand="0" w:evenHBand="0" w:firstRowFirstColumn="0" w:firstRowLastColumn="0" w:lastRowFirstColumn="0" w:lastRowLastColumn="0"/>
            </w:pPr>
            <w:r>
              <w:t>392.2</w:t>
            </w:r>
          </w:p>
        </w:tc>
        <w:tc>
          <w:tcPr>
            <w:tcW w:w="907" w:type="dxa"/>
          </w:tcPr>
          <w:p w14:paraId="56AFB449" w14:textId="77777777" w:rsidR="000A50CB" w:rsidRDefault="000A50CB">
            <w:pPr>
              <w:cnfStyle w:val="000000000000" w:firstRow="0" w:lastRow="0" w:firstColumn="0" w:lastColumn="0" w:oddVBand="0" w:evenVBand="0" w:oddHBand="0" w:evenHBand="0" w:firstRowFirstColumn="0" w:firstRowLastColumn="0" w:lastRowFirstColumn="0" w:lastRowLastColumn="0"/>
            </w:pPr>
            <w:r>
              <w:t>(30.4)</w:t>
            </w:r>
          </w:p>
        </w:tc>
      </w:tr>
      <w:tr w:rsidR="000A50CB" w14:paraId="630563C4" w14:textId="77777777">
        <w:tc>
          <w:tcPr>
            <w:cnfStyle w:val="001000000000" w:firstRow="0" w:lastRow="0" w:firstColumn="1" w:lastColumn="0" w:oddVBand="0" w:evenVBand="0" w:oddHBand="0" w:evenHBand="0" w:firstRowFirstColumn="0" w:firstRowLastColumn="0" w:lastRowFirstColumn="0" w:lastRowLastColumn="0"/>
            <w:tcW w:w="6010" w:type="dxa"/>
          </w:tcPr>
          <w:p w14:paraId="100EC007" w14:textId="6CDF1CFF" w:rsidR="000A50CB" w:rsidRDefault="000A50CB">
            <w:r>
              <w:t>Tourism and Major Events</w:t>
            </w:r>
            <w:r w:rsidR="00383570">
              <w:t xml:space="preserve"> </w:t>
            </w:r>
            <w:r w:rsidRPr="00B22AD4">
              <w:rPr>
                <w:vertAlign w:val="superscript"/>
              </w:rPr>
              <w:t>(j)</w:t>
            </w:r>
          </w:p>
        </w:tc>
        <w:tc>
          <w:tcPr>
            <w:tcW w:w="907" w:type="dxa"/>
          </w:tcPr>
          <w:p w14:paraId="20E978AE" w14:textId="77777777" w:rsidR="000A50CB" w:rsidRDefault="000A50CB">
            <w:pPr>
              <w:cnfStyle w:val="000000000000" w:firstRow="0" w:lastRow="0" w:firstColumn="0" w:lastColumn="0" w:oddVBand="0" w:evenVBand="0" w:oddHBand="0" w:evenHBand="0" w:firstRowFirstColumn="0" w:firstRowLastColumn="0" w:lastRowFirstColumn="0" w:lastRowLastColumn="0"/>
            </w:pPr>
            <w:r>
              <w:t>220.4</w:t>
            </w:r>
          </w:p>
        </w:tc>
        <w:tc>
          <w:tcPr>
            <w:tcW w:w="907" w:type="dxa"/>
          </w:tcPr>
          <w:p w14:paraId="37C75E2A" w14:textId="77777777" w:rsidR="000A50CB" w:rsidRDefault="000A50CB">
            <w:pPr>
              <w:cnfStyle w:val="000000000000" w:firstRow="0" w:lastRow="0" w:firstColumn="0" w:lastColumn="0" w:oddVBand="0" w:evenVBand="0" w:oddHBand="0" w:evenHBand="0" w:firstRowFirstColumn="0" w:firstRowLastColumn="0" w:lastRowFirstColumn="0" w:lastRowLastColumn="0"/>
            </w:pPr>
            <w:r>
              <w:t>407.5</w:t>
            </w:r>
          </w:p>
        </w:tc>
        <w:tc>
          <w:tcPr>
            <w:tcW w:w="907" w:type="dxa"/>
          </w:tcPr>
          <w:p w14:paraId="76743883" w14:textId="77777777" w:rsidR="000A50CB" w:rsidRDefault="000A50CB">
            <w:pPr>
              <w:cnfStyle w:val="000000000000" w:firstRow="0" w:lastRow="0" w:firstColumn="0" w:lastColumn="0" w:oddVBand="0" w:evenVBand="0" w:oddHBand="0" w:evenHBand="0" w:firstRowFirstColumn="0" w:firstRowLastColumn="0" w:lastRowFirstColumn="0" w:lastRowLastColumn="0"/>
            </w:pPr>
            <w:r>
              <w:t>295.3</w:t>
            </w:r>
          </w:p>
        </w:tc>
        <w:tc>
          <w:tcPr>
            <w:tcW w:w="907" w:type="dxa"/>
          </w:tcPr>
          <w:p w14:paraId="63A8EFD3" w14:textId="77777777" w:rsidR="000A50CB" w:rsidRDefault="000A50CB">
            <w:pPr>
              <w:cnfStyle w:val="000000000000" w:firstRow="0" w:lastRow="0" w:firstColumn="0" w:lastColumn="0" w:oddVBand="0" w:evenVBand="0" w:oddHBand="0" w:evenHBand="0" w:firstRowFirstColumn="0" w:firstRowLastColumn="0" w:lastRowFirstColumn="0" w:lastRowLastColumn="0"/>
            </w:pPr>
            <w:r>
              <w:t>34.0</w:t>
            </w:r>
          </w:p>
        </w:tc>
      </w:tr>
      <w:tr w:rsidR="000A50CB" w14:paraId="0B66F9BF" w14:textId="77777777">
        <w:tc>
          <w:tcPr>
            <w:cnfStyle w:val="001000000000" w:firstRow="0" w:lastRow="0" w:firstColumn="1" w:lastColumn="0" w:oddVBand="0" w:evenVBand="0" w:oddHBand="0" w:evenHBand="0" w:firstRowFirstColumn="0" w:firstRowLastColumn="0" w:lastRowFirstColumn="0" w:lastRowLastColumn="0"/>
            <w:tcW w:w="6010" w:type="dxa"/>
          </w:tcPr>
          <w:p w14:paraId="60D1488B" w14:textId="77777777" w:rsidR="000A50CB" w:rsidRDefault="000A50CB">
            <w:r>
              <w:rPr>
                <w:b/>
              </w:rPr>
              <w:t>Deliver high</w:t>
            </w:r>
            <w:r>
              <w:rPr>
                <w:b/>
              </w:rPr>
              <w:noBreakHyphen/>
              <w:t>quality training and skills to meet industry needs and jobs for a growing economy</w:t>
            </w:r>
          </w:p>
        </w:tc>
        <w:tc>
          <w:tcPr>
            <w:tcW w:w="907" w:type="dxa"/>
          </w:tcPr>
          <w:p w14:paraId="57D8DD61"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35B1A6C2"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7B57361E"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c>
          <w:tcPr>
            <w:tcW w:w="907" w:type="dxa"/>
          </w:tcPr>
          <w:p w14:paraId="5BC40E57" w14:textId="77777777" w:rsidR="000A50CB" w:rsidRDefault="000A50CB">
            <w:pPr>
              <w:cnfStyle w:val="000000000000" w:firstRow="0" w:lastRow="0" w:firstColumn="0" w:lastColumn="0" w:oddVBand="0" w:evenVBand="0" w:oddHBand="0" w:evenHBand="0" w:firstRowFirstColumn="0" w:firstRowLastColumn="0" w:lastRowFirstColumn="0" w:lastRowLastColumn="0"/>
            </w:pPr>
          </w:p>
        </w:tc>
      </w:tr>
      <w:tr w:rsidR="000A50CB" w14:paraId="501B135D"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887DB93" w14:textId="466862D7" w:rsidR="000A50CB" w:rsidRDefault="000A50CB">
            <w:r>
              <w:t>Training, Higher Education and Workforce Development</w:t>
            </w:r>
            <w:r w:rsidR="00383570">
              <w:t xml:space="preserve"> </w:t>
            </w:r>
            <w:r w:rsidRPr="00B22AD4">
              <w:rPr>
                <w:vertAlign w:val="superscript"/>
              </w:rPr>
              <w:t>(k)</w:t>
            </w:r>
          </w:p>
        </w:tc>
        <w:tc>
          <w:tcPr>
            <w:tcW w:w="907" w:type="dxa"/>
            <w:tcBorders>
              <w:bottom w:val="single" w:sz="6" w:space="0" w:color="auto"/>
            </w:tcBorders>
          </w:tcPr>
          <w:p w14:paraId="5EFF38F1" w14:textId="77777777" w:rsidR="000A50CB" w:rsidRDefault="000A50CB">
            <w:pPr>
              <w:cnfStyle w:val="000000000000" w:firstRow="0" w:lastRow="0" w:firstColumn="0" w:lastColumn="0" w:oddVBand="0" w:evenVBand="0" w:oddHBand="0" w:evenHBand="0" w:firstRowFirstColumn="0" w:firstRowLastColumn="0" w:lastRowFirstColumn="0" w:lastRowLastColumn="0"/>
            </w:pPr>
            <w:r>
              <w:t>2 201.7</w:t>
            </w:r>
          </w:p>
        </w:tc>
        <w:tc>
          <w:tcPr>
            <w:tcW w:w="907" w:type="dxa"/>
            <w:tcBorders>
              <w:bottom w:val="single" w:sz="6" w:space="0" w:color="auto"/>
            </w:tcBorders>
          </w:tcPr>
          <w:p w14:paraId="00386BA4" w14:textId="77777777" w:rsidR="000A50CB" w:rsidRDefault="000A50CB">
            <w:pPr>
              <w:cnfStyle w:val="000000000000" w:firstRow="0" w:lastRow="0" w:firstColumn="0" w:lastColumn="0" w:oddVBand="0" w:evenVBand="0" w:oddHBand="0" w:evenHBand="0" w:firstRowFirstColumn="0" w:firstRowLastColumn="0" w:lastRowFirstColumn="0" w:lastRowLastColumn="0"/>
            </w:pPr>
            <w:r>
              <w:t>2 339.5</w:t>
            </w:r>
          </w:p>
        </w:tc>
        <w:tc>
          <w:tcPr>
            <w:tcW w:w="907" w:type="dxa"/>
            <w:tcBorders>
              <w:bottom w:val="single" w:sz="6" w:space="0" w:color="auto"/>
            </w:tcBorders>
          </w:tcPr>
          <w:p w14:paraId="0F86303F" w14:textId="77777777" w:rsidR="000A50CB" w:rsidRDefault="000A50CB">
            <w:pPr>
              <w:cnfStyle w:val="000000000000" w:firstRow="0" w:lastRow="0" w:firstColumn="0" w:lastColumn="0" w:oddVBand="0" w:evenVBand="0" w:oddHBand="0" w:evenHBand="0" w:firstRowFirstColumn="0" w:firstRowLastColumn="0" w:lastRowFirstColumn="0" w:lastRowLastColumn="0"/>
            </w:pPr>
            <w:r>
              <w:t>2 294.3</w:t>
            </w:r>
          </w:p>
        </w:tc>
        <w:tc>
          <w:tcPr>
            <w:tcW w:w="907" w:type="dxa"/>
            <w:tcBorders>
              <w:bottom w:val="single" w:sz="6" w:space="0" w:color="auto"/>
            </w:tcBorders>
          </w:tcPr>
          <w:p w14:paraId="29F5A72C" w14:textId="67E7AB2B" w:rsidR="000A50CB" w:rsidRDefault="000A50CB">
            <w:pPr>
              <w:cnfStyle w:val="000000000000" w:firstRow="0" w:lastRow="0" w:firstColumn="0" w:lastColumn="0" w:oddVBand="0" w:evenVBand="0" w:oddHBand="0" w:evenHBand="0" w:firstRowFirstColumn="0" w:firstRowLastColumn="0" w:lastRowFirstColumn="0" w:lastRowLastColumn="0"/>
            </w:pPr>
            <w:r>
              <w:t>(4.</w:t>
            </w:r>
            <w:r w:rsidR="00B1324B">
              <w:t>2</w:t>
            </w:r>
            <w:r>
              <w:t>)</w:t>
            </w:r>
          </w:p>
        </w:tc>
      </w:tr>
      <w:tr w:rsidR="000A50CB" w14:paraId="30E77FF8"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9C2B4AC" w14:textId="77777777" w:rsidR="000A50CB" w:rsidRDefault="000A50CB">
            <w:r>
              <w:rPr>
                <w:b/>
              </w:rPr>
              <w:t>Total</w:t>
            </w:r>
          </w:p>
        </w:tc>
        <w:tc>
          <w:tcPr>
            <w:tcW w:w="907" w:type="dxa"/>
            <w:tcBorders>
              <w:top w:val="single" w:sz="6" w:space="0" w:color="auto"/>
              <w:bottom w:val="single" w:sz="12" w:space="0" w:color="auto"/>
            </w:tcBorders>
          </w:tcPr>
          <w:p w14:paraId="7D99F4CF" w14:textId="77777777" w:rsidR="000A50CB" w:rsidRDefault="000A50CB">
            <w:pPr>
              <w:cnfStyle w:val="000000000000" w:firstRow="0" w:lastRow="0" w:firstColumn="0" w:lastColumn="0" w:oddVBand="0" w:evenVBand="0" w:oddHBand="0" w:evenHBand="0" w:firstRowFirstColumn="0" w:firstRowLastColumn="0" w:lastRowFirstColumn="0" w:lastRowLastColumn="0"/>
            </w:pPr>
            <w:r>
              <w:rPr>
                <w:b/>
              </w:rPr>
              <w:t>4 833.4</w:t>
            </w:r>
          </w:p>
        </w:tc>
        <w:tc>
          <w:tcPr>
            <w:tcW w:w="907" w:type="dxa"/>
            <w:tcBorders>
              <w:top w:val="single" w:sz="6" w:space="0" w:color="auto"/>
              <w:bottom w:val="single" w:sz="12" w:space="0" w:color="auto"/>
            </w:tcBorders>
          </w:tcPr>
          <w:p w14:paraId="1651B099" w14:textId="77777777" w:rsidR="000A50CB" w:rsidRDefault="000A50CB">
            <w:pPr>
              <w:cnfStyle w:val="000000000000" w:firstRow="0" w:lastRow="0" w:firstColumn="0" w:lastColumn="0" w:oddVBand="0" w:evenVBand="0" w:oddHBand="0" w:evenHBand="0" w:firstRowFirstColumn="0" w:firstRowLastColumn="0" w:lastRowFirstColumn="0" w:lastRowLastColumn="0"/>
            </w:pPr>
            <w:r>
              <w:rPr>
                <w:b/>
              </w:rPr>
              <w:t>4 832.2</w:t>
            </w:r>
          </w:p>
        </w:tc>
        <w:tc>
          <w:tcPr>
            <w:tcW w:w="907" w:type="dxa"/>
            <w:tcBorders>
              <w:top w:val="single" w:sz="6" w:space="0" w:color="auto"/>
              <w:bottom w:val="single" w:sz="12" w:space="0" w:color="auto"/>
            </w:tcBorders>
          </w:tcPr>
          <w:p w14:paraId="56F099C0" w14:textId="77777777" w:rsidR="000A50CB" w:rsidRDefault="000A50CB">
            <w:pPr>
              <w:cnfStyle w:val="000000000000" w:firstRow="0" w:lastRow="0" w:firstColumn="0" w:lastColumn="0" w:oddVBand="0" w:evenVBand="0" w:oddHBand="0" w:evenHBand="0" w:firstRowFirstColumn="0" w:firstRowLastColumn="0" w:lastRowFirstColumn="0" w:lastRowLastColumn="0"/>
            </w:pPr>
            <w:r>
              <w:rPr>
                <w:b/>
              </w:rPr>
              <w:t>4 466.1</w:t>
            </w:r>
          </w:p>
        </w:tc>
        <w:tc>
          <w:tcPr>
            <w:tcW w:w="907" w:type="dxa"/>
            <w:tcBorders>
              <w:top w:val="single" w:sz="6" w:space="0" w:color="auto"/>
              <w:bottom w:val="single" w:sz="12" w:space="0" w:color="auto"/>
            </w:tcBorders>
          </w:tcPr>
          <w:p w14:paraId="67472F1E" w14:textId="77777777" w:rsidR="000A50CB" w:rsidRDefault="000A50CB">
            <w:pPr>
              <w:cnfStyle w:val="000000000000" w:firstRow="0" w:lastRow="0" w:firstColumn="0" w:lastColumn="0" w:oddVBand="0" w:evenVBand="0" w:oddHBand="0" w:evenHBand="0" w:firstRowFirstColumn="0" w:firstRowLastColumn="0" w:lastRowFirstColumn="0" w:lastRowLastColumn="0"/>
            </w:pPr>
            <w:r>
              <w:rPr>
                <w:b/>
              </w:rPr>
              <w:t>(7.6)</w:t>
            </w:r>
          </w:p>
        </w:tc>
      </w:tr>
    </w:tbl>
    <w:p w14:paraId="3C25206A" w14:textId="77777777" w:rsidR="000A50CB" w:rsidRDefault="000A50CB" w:rsidP="000A50CB">
      <w:pPr>
        <w:pStyle w:val="Source"/>
        <w:rPr>
          <w:lang w:eastAsia="en-AU"/>
        </w:rPr>
      </w:pPr>
      <w:r>
        <w:rPr>
          <w:lang w:eastAsia="en-AU"/>
        </w:rPr>
        <w:t>Source: Department of Jobs, Skills, Industry and Regions</w:t>
      </w:r>
    </w:p>
    <w:p w14:paraId="77595BBF" w14:textId="3BE0D441" w:rsidR="000A50CB" w:rsidRDefault="000A50CB" w:rsidP="000A50CB">
      <w:pPr>
        <w:pStyle w:val="Note"/>
        <w:rPr>
          <w:lang w:eastAsia="en-AU"/>
        </w:rPr>
      </w:pPr>
      <w:r>
        <w:rPr>
          <w:lang w:eastAsia="en-AU"/>
        </w:rPr>
        <w:t>Notes</w:t>
      </w:r>
      <w:r w:rsidR="00383570">
        <w:t>:</w:t>
      </w:r>
    </w:p>
    <w:p w14:paraId="3A21950A" w14:textId="080F43A2" w:rsidR="000A50CB" w:rsidRDefault="00383570" w:rsidP="00383570">
      <w:pPr>
        <w:pStyle w:val="Note"/>
      </w:pPr>
      <w:r>
        <w:t>(a)</w:t>
      </w:r>
      <w:r>
        <w:tab/>
      </w:r>
      <w:r w:rsidR="000A50CB" w:rsidRPr="00532D1B">
        <w:t>Variation between 2025-26 budget and 2026-27 budget.</w:t>
      </w:r>
    </w:p>
    <w:p w14:paraId="355F74C7" w14:textId="3D9E7D58" w:rsidR="000A50CB" w:rsidRDefault="00383570" w:rsidP="00383570">
      <w:pPr>
        <w:pStyle w:val="Note"/>
      </w:pPr>
      <w:r>
        <w:t>(b)</w:t>
      </w:r>
      <w:r>
        <w:tab/>
      </w:r>
      <w:r w:rsidR="000A50CB">
        <w:t xml:space="preserve">The 2026-27 target is higher than the 2025-26 target primarily due to new funding in the </w:t>
      </w:r>
      <w:r w:rsidR="000A50CB" w:rsidRPr="00383570">
        <w:rPr>
          <w:i w:val="0"/>
        </w:rPr>
        <w:t>2026-27 Budget</w:t>
      </w:r>
      <w:r w:rsidR="000A50CB">
        <w:t xml:space="preserve"> for </w:t>
      </w:r>
      <w:r w:rsidR="000004FB">
        <w:t>Local Jobs First</w:t>
      </w:r>
      <w:r w:rsidR="000A50CB">
        <w:t>.</w:t>
      </w:r>
    </w:p>
    <w:p w14:paraId="2A0FCF76" w14:textId="74578980" w:rsidR="000A50CB" w:rsidRDefault="00383570" w:rsidP="00383570">
      <w:pPr>
        <w:pStyle w:val="Note"/>
      </w:pPr>
      <w:r>
        <w:t>(c)</w:t>
      </w:r>
      <w:r>
        <w:tab/>
      </w:r>
      <w:r w:rsidR="000A50CB">
        <w:t>The 2026-27 target is lower than the 2025-26 target primarily due to the funding profile of contracted industry initiatives.</w:t>
      </w:r>
    </w:p>
    <w:p w14:paraId="3B969B30" w14:textId="2994C0A2" w:rsidR="000A50CB" w:rsidRDefault="00383570" w:rsidP="00383570">
      <w:pPr>
        <w:pStyle w:val="Note"/>
      </w:pPr>
      <w:r>
        <w:t>(d)</w:t>
      </w:r>
      <w:r>
        <w:tab/>
      </w:r>
      <w:r w:rsidR="000A50CB">
        <w:t>The 2026-27 target is lower than the 2025-26 target primarily due to funding profiles for a number of investment-related initiatives.</w:t>
      </w:r>
    </w:p>
    <w:p w14:paraId="1BCC588E" w14:textId="043B61F4" w:rsidR="000A50CB" w:rsidRDefault="00383570" w:rsidP="00383570">
      <w:pPr>
        <w:pStyle w:val="Note"/>
      </w:pPr>
      <w:r>
        <w:t>(e)</w:t>
      </w:r>
      <w:r>
        <w:tab/>
      </w:r>
      <w:r w:rsidR="000A50CB">
        <w:t xml:space="preserve">The 2026-27 target is lower than the 2025-26 target mainly due to funding profile for the Geelong City Deal, offset by additional funding received in the </w:t>
      </w:r>
      <w:r w:rsidR="000A50CB" w:rsidRPr="00383570">
        <w:rPr>
          <w:i w:val="0"/>
        </w:rPr>
        <w:t>2026</w:t>
      </w:r>
      <w:r w:rsidR="00FF3C65">
        <w:rPr>
          <w:i w:val="0"/>
          <w:iCs/>
        </w:rPr>
        <w:noBreakHyphen/>
      </w:r>
      <w:r w:rsidR="000A50CB" w:rsidRPr="00383570">
        <w:rPr>
          <w:i w:val="0"/>
        </w:rPr>
        <w:t>27</w:t>
      </w:r>
      <w:r w:rsidR="00FF3C65">
        <w:rPr>
          <w:i w:val="0"/>
          <w:iCs/>
        </w:rPr>
        <w:t> </w:t>
      </w:r>
      <w:r w:rsidR="000A50CB" w:rsidRPr="00383570">
        <w:rPr>
          <w:i w:val="0"/>
        </w:rPr>
        <w:t>Budget</w:t>
      </w:r>
      <w:r w:rsidR="000A50CB">
        <w:t xml:space="preserve"> for the </w:t>
      </w:r>
      <w:r w:rsidR="00F166EC">
        <w:t>Future regions</w:t>
      </w:r>
      <w:r w:rsidR="000A50CB">
        <w:t xml:space="preserve"> initiative. </w:t>
      </w:r>
    </w:p>
    <w:p w14:paraId="096E0A71" w14:textId="53D27300" w:rsidR="000A50CB" w:rsidRDefault="00383570" w:rsidP="00383570">
      <w:pPr>
        <w:pStyle w:val="Note"/>
      </w:pPr>
      <w:r>
        <w:t>(f)</w:t>
      </w:r>
      <w:r>
        <w:tab/>
      </w:r>
      <w:r w:rsidR="000A50CB">
        <w:t xml:space="preserve">The 2026-27 target is higher than 2025-26 target primarily due to additional funding from the </w:t>
      </w:r>
      <w:r w:rsidR="000A50CB" w:rsidRPr="00383570">
        <w:rPr>
          <w:i w:val="0"/>
        </w:rPr>
        <w:t>2026-27 Budget</w:t>
      </w:r>
      <w:r w:rsidR="000A50CB">
        <w:t xml:space="preserve"> for Contemporary </w:t>
      </w:r>
      <w:r w:rsidR="008D4D01">
        <w:t>music initiatives</w:t>
      </w:r>
      <w:r w:rsidR="000A50CB">
        <w:t xml:space="preserve">. </w:t>
      </w:r>
    </w:p>
    <w:p w14:paraId="5D935622" w14:textId="2901ABFF" w:rsidR="000A50CB" w:rsidRDefault="00383570" w:rsidP="00383570">
      <w:pPr>
        <w:pStyle w:val="Note"/>
      </w:pPr>
      <w:r>
        <w:t>(g)</w:t>
      </w:r>
      <w:r>
        <w:tab/>
      </w:r>
      <w:r w:rsidR="000A50CB">
        <w:t>The 2026-27 target is higher than 2025-26 target primarily due to additional funding for Creative Industries portfolio agencies.</w:t>
      </w:r>
    </w:p>
    <w:p w14:paraId="785C4252" w14:textId="72E84035" w:rsidR="000A50CB" w:rsidRDefault="00383570" w:rsidP="00383570">
      <w:pPr>
        <w:pStyle w:val="Note"/>
      </w:pPr>
      <w:r>
        <w:t>(h)</w:t>
      </w:r>
      <w:r>
        <w:tab/>
      </w:r>
      <w:r w:rsidR="000A50CB">
        <w:t>The 2026-27 target is higher than the 2025-26 target primarily due to an increase in depreciation expense.</w:t>
      </w:r>
    </w:p>
    <w:p w14:paraId="06693A2E" w14:textId="44CAC9E3" w:rsidR="000A50CB" w:rsidRDefault="00383570" w:rsidP="00383570">
      <w:pPr>
        <w:pStyle w:val="Note"/>
      </w:pPr>
      <w:r>
        <w:t>(i)</w:t>
      </w:r>
      <w:r>
        <w:tab/>
      </w:r>
      <w:r w:rsidR="63C309BC" w:rsidRPr="054A4276">
        <w:rPr>
          <w:iCs/>
        </w:rPr>
        <w:t xml:space="preserve"> The 2026-27 target is lower than the 2025-26 target primarily due to the completion of some projects for the Regional Sport Infrastructure Program, offset by funding received from the </w:t>
      </w:r>
      <w:r w:rsidR="63C309BC" w:rsidRPr="00137110">
        <w:rPr>
          <w:i w:val="0"/>
        </w:rPr>
        <w:t>2026-27 Budget</w:t>
      </w:r>
      <w:r w:rsidR="63C309BC" w:rsidRPr="054A4276">
        <w:rPr>
          <w:iCs/>
        </w:rPr>
        <w:t xml:space="preserve"> for Supporting Victoria's State Sporting Centres and Community sports infrastructure and participation initiatives</w:t>
      </w:r>
      <w:r w:rsidR="000A50CB">
        <w:t>.</w:t>
      </w:r>
    </w:p>
    <w:p w14:paraId="0DE9A9E4" w14:textId="7D9C1FE1" w:rsidR="000A50CB" w:rsidRDefault="00383570" w:rsidP="00383570">
      <w:pPr>
        <w:pStyle w:val="Note"/>
      </w:pPr>
      <w:r>
        <w:t>(j)</w:t>
      </w:r>
      <w:r>
        <w:tab/>
      </w:r>
      <w:r w:rsidR="000A50CB">
        <w:t xml:space="preserve">The 2026-27 target is higher than the 2025-26 target primarily due to the funding profile of Tourism and Major Events initiatives and additional funding from the </w:t>
      </w:r>
      <w:r w:rsidR="000A50CB" w:rsidRPr="00383570">
        <w:rPr>
          <w:i w:val="0"/>
        </w:rPr>
        <w:t>2026-27 Budget</w:t>
      </w:r>
      <w:r w:rsidR="000A50CB">
        <w:t xml:space="preserve"> for </w:t>
      </w:r>
      <w:r w:rsidR="00397DD4">
        <w:t>Supporting Victorian e</w:t>
      </w:r>
      <w:r w:rsidR="00FB0FF6">
        <w:t>vents</w:t>
      </w:r>
      <w:r w:rsidR="000A50CB">
        <w:t>.</w:t>
      </w:r>
    </w:p>
    <w:p w14:paraId="582745A0" w14:textId="7128B355" w:rsidR="000A50CB" w:rsidRDefault="00383570" w:rsidP="00383570">
      <w:pPr>
        <w:pStyle w:val="Note"/>
        <w:rPr>
          <w:iCs/>
        </w:rPr>
      </w:pPr>
      <w:r>
        <w:t>(k)</w:t>
      </w:r>
      <w:r>
        <w:tab/>
      </w:r>
      <w:r w:rsidR="000A50CB" w:rsidRPr="1CD3B3E4">
        <w:rPr>
          <w:iCs/>
        </w:rPr>
        <w:t>The 2026-27 and 2025-26 targets have been adjusted to reflect an updated approach of calculating this output, to include only services delivered through the TAFE and training sector rather than broader public sector workforce training and development initiatives. </w:t>
      </w:r>
    </w:p>
    <w:p w14:paraId="24F14994" w14:textId="77777777" w:rsidR="006B3D9F" w:rsidRDefault="006B3D9F">
      <w:pPr>
        <w:pStyle w:val="Note"/>
      </w:pPr>
    </w:p>
    <w:p w14:paraId="06AFCBBF" w14:textId="667B5824" w:rsidR="00824558" w:rsidRPr="00733A2F" w:rsidRDefault="00824558">
      <w:pPr>
        <w:pStyle w:val="Note"/>
      </w:pPr>
      <w:r w:rsidRPr="00733A2F">
        <w:br w:type="page"/>
      </w:r>
    </w:p>
    <w:p w14:paraId="21281144" w14:textId="77777777" w:rsidR="00824558" w:rsidRPr="00A16662" w:rsidRDefault="00824558">
      <w:pPr>
        <w:pStyle w:val="Heading2"/>
        <w:rPr>
          <w:rFonts w:ascii="Calibri" w:eastAsia="Times New Roman" w:hAnsi="Calibri" w:cs="Times New Roman"/>
          <w:spacing w:val="-2"/>
          <w:sz w:val="26"/>
        </w:rPr>
      </w:pPr>
      <w:r w:rsidRPr="00A16662">
        <w:rPr>
          <w:rFonts w:eastAsia="Times New Roman"/>
        </w:rPr>
        <w:lastRenderedPageBreak/>
        <w:t>Amounts available</w:t>
      </w:r>
    </w:p>
    <w:p w14:paraId="192B1DFF" w14:textId="70717AC8" w:rsidR="00824558" w:rsidRPr="00A16662" w:rsidRDefault="00824558">
      <w:pPr>
        <w:rPr>
          <w:rFonts w:ascii="Garamond" w:eastAsia="Garamond" w:hAnsi="Garamond"/>
        </w:rPr>
      </w:pPr>
      <w:r w:rsidRPr="00A16662">
        <w:rPr>
          <w:rFonts w:ascii="Garamond" w:eastAsia="Garamond" w:hAnsi="Garamond"/>
        </w:rPr>
        <w:t xml:space="preserve">The following tables detail the amounts available to the </w:t>
      </w:r>
      <w:r w:rsidR="00707B81" w:rsidRPr="00A16662">
        <w:rPr>
          <w:rFonts w:ascii="Garamond" w:eastAsia="Garamond" w:hAnsi="Garamond"/>
        </w:rPr>
        <w:t>Department</w:t>
      </w:r>
      <w:r w:rsidRPr="00A16662">
        <w:rPr>
          <w:rFonts w:ascii="Garamond" w:eastAsia="Garamond" w:hAnsi="Garamond"/>
        </w:rPr>
        <w:t xml:space="preserve"> from parliamentary authority and income generated through transactions.</w:t>
      </w:r>
    </w:p>
    <w:p w14:paraId="262A6D45" w14:textId="20F1199B" w:rsidR="00824558" w:rsidRPr="00A16662" w:rsidRDefault="00824558">
      <w:pPr>
        <w:rPr>
          <w:rFonts w:ascii="Garamond" w:eastAsia="Garamond" w:hAnsi="Garamond"/>
        </w:rPr>
      </w:pPr>
      <w:r w:rsidRPr="00A16662">
        <w:rPr>
          <w:rFonts w:ascii="Garamond" w:eastAsia="Garamond" w:hAnsi="Garamond"/>
        </w:rPr>
        <w:t xml:space="preserve">Table </w:t>
      </w:r>
      <w:r w:rsidRPr="0036182E">
        <w:rPr>
          <w:rFonts w:ascii="Garamond" w:eastAsia="Garamond" w:hAnsi="Garamond"/>
        </w:rPr>
        <w:t>1</w:t>
      </w:r>
      <w:r>
        <w:rPr>
          <w:rFonts w:ascii="Garamond" w:eastAsia="Garamond" w:hAnsi="Garamond"/>
        </w:rPr>
        <w:t>7</w:t>
      </w:r>
      <w:r w:rsidRPr="00A16662">
        <w:rPr>
          <w:rFonts w:ascii="Garamond" w:eastAsia="Garamond" w:hAnsi="Garamond"/>
        </w:rPr>
        <w:t xml:space="preserve"> outlines the </w:t>
      </w:r>
      <w:r w:rsidR="00707B81" w:rsidRPr="00A16662">
        <w:rPr>
          <w:rFonts w:ascii="Garamond" w:eastAsia="Garamond" w:hAnsi="Garamond"/>
        </w:rPr>
        <w:t>Department</w:t>
      </w:r>
      <w:r w:rsidR="00707B81">
        <w:rPr>
          <w:rFonts w:ascii="Garamond" w:eastAsia="Garamond" w:hAnsi="Garamond"/>
        </w:rPr>
        <w:t>’</w:t>
      </w:r>
      <w:r w:rsidR="00707B81" w:rsidRPr="00A16662">
        <w:rPr>
          <w:rFonts w:ascii="Garamond" w:eastAsia="Garamond" w:hAnsi="Garamond"/>
        </w:rPr>
        <w:t>s</w:t>
      </w:r>
      <w:r w:rsidRPr="00A16662">
        <w:rPr>
          <w:rFonts w:ascii="Garamond" w:eastAsia="Garamond" w:hAnsi="Garamond"/>
        </w:rPr>
        <w:t xml:space="preserve"> income from transactions and Table 1</w:t>
      </w:r>
      <w:r>
        <w:rPr>
          <w:rFonts w:ascii="Garamond" w:eastAsia="Garamond" w:hAnsi="Garamond"/>
        </w:rPr>
        <w:t>8</w:t>
      </w:r>
      <w:r w:rsidRPr="00A16662">
        <w:rPr>
          <w:rFonts w:ascii="Garamond" w:eastAsia="Garamond" w:hAnsi="Garamond"/>
        </w:rPr>
        <w:t xml:space="preserve"> summarises the sources of parliamentary authority available to the </w:t>
      </w:r>
      <w:r w:rsidR="00707B81" w:rsidRPr="00A16662">
        <w:rPr>
          <w:rFonts w:ascii="Garamond" w:eastAsia="Garamond" w:hAnsi="Garamond"/>
        </w:rPr>
        <w:t>Department</w:t>
      </w:r>
      <w:r w:rsidRPr="00A16662">
        <w:rPr>
          <w:rFonts w:ascii="Garamond" w:eastAsia="Garamond" w:hAnsi="Garamond"/>
        </w:rPr>
        <w:t xml:space="preserve"> to fund the provision of outputs, additions to the net asset base and payments made on behalf of the </w:t>
      </w:r>
      <w:r w:rsidR="0062091C">
        <w:rPr>
          <w:rFonts w:ascii="Garamond" w:eastAsia="Garamond" w:hAnsi="Garamond"/>
        </w:rPr>
        <w:t>S</w:t>
      </w:r>
      <w:r w:rsidRPr="00A16662">
        <w:rPr>
          <w:rFonts w:ascii="Garamond" w:eastAsia="Garamond" w:hAnsi="Garamond"/>
        </w:rPr>
        <w:t xml:space="preserve">tate, and other sources expected to become available to the </w:t>
      </w:r>
      <w:r w:rsidR="00707B81" w:rsidRPr="00A16662">
        <w:rPr>
          <w:rFonts w:ascii="Garamond" w:eastAsia="Garamond" w:hAnsi="Garamond"/>
        </w:rPr>
        <w:t>Department</w:t>
      </w:r>
      <w:r w:rsidRPr="00A16662">
        <w:rPr>
          <w:rFonts w:ascii="Garamond" w:eastAsia="Garamond" w:hAnsi="Garamond"/>
        </w:rPr>
        <w:t>.</w:t>
      </w:r>
    </w:p>
    <w:p w14:paraId="44AEBB4B" w14:textId="77777777" w:rsidR="00824558" w:rsidRPr="00D01EB2" w:rsidRDefault="00824558">
      <w:pPr>
        <w:pStyle w:val="TableHeading"/>
      </w:pPr>
      <w:r w:rsidRPr="00A16662">
        <w:t xml:space="preserve">Table </w:t>
      </w:r>
      <w:r w:rsidRPr="0036182E">
        <w:t>1</w:t>
      </w:r>
      <w:r>
        <w:t>7</w:t>
      </w:r>
      <w:r w:rsidRPr="00A16662">
        <w:t>:</w:t>
      </w:r>
      <w:r w:rsidRPr="00A16662">
        <w:tab/>
        <w:t>Income from transactions</w:t>
      </w:r>
      <w:r w:rsidRPr="00A16662">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9D257E" w14:paraId="2753DE6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725A04" w14:textId="77777777" w:rsidR="009D257E" w:rsidRDefault="009D257E"/>
        </w:tc>
        <w:tc>
          <w:tcPr>
            <w:tcW w:w="851" w:type="dxa"/>
          </w:tcPr>
          <w:p w14:paraId="1CF44776" w14:textId="77777777" w:rsidR="009D257E" w:rsidRDefault="009D257E">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62664505" w14:textId="77777777" w:rsidR="009D257E" w:rsidRDefault="009D257E">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0872B1C7" w14:textId="77777777" w:rsidR="009D257E" w:rsidRDefault="009D257E">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331AD46B" w14:textId="77777777" w:rsidR="009D257E" w:rsidRDefault="009D257E">
            <w:pPr>
              <w:cnfStyle w:val="100000000000" w:firstRow="1" w:lastRow="0" w:firstColumn="0" w:lastColumn="0" w:oddVBand="0" w:evenVBand="0" w:oddHBand="0" w:evenHBand="0" w:firstRowFirstColumn="0" w:firstRowLastColumn="0" w:lastRowFirstColumn="0" w:lastRowLastColumn="0"/>
            </w:pPr>
            <w:r>
              <w:t>2026-27 budget</w:t>
            </w:r>
          </w:p>
        </w:tc>
      </w:tr>
      <w:tr w:rsidR="009D257E" w:rsidRPr="00D15D63" w14:paraId="35071EE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79425" w14:textId="77777777" w:rsidR="009D257E" w:rsidRPr="00D15D63" w:rsidRDefault="009D257E">
            <w:pPr>
              <w:rPr>
                <w:lang w:eastAsia="en-AU"/>
              </w:rPr>
            </w:pPr>
            <w:r w:rsidRPr="00D15D63">
              <w:rPr>
                <w:lang w:eastAsia="en-AU"/>
              </w:rPr>
              <w:t>Output appropriations</w:t>
            </w:r>
          </w:p>
        </w:tc>
        <w:tc>
          <w:tcPr>
            <w:tcW w:w="851" w:type="dxa"/>
            <w:noWrap/>
            <w:hideMark/>
          </w:tcPr>
          <w:p w14:paraId="074B25EA"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3 306.9</w:t>
            </w:r>
          </w:p>
        </w:tc>
        <w:tc>
          <w:tcPr>
            <w:tcW w:w="851" w:type="dxa"/>
            <w:noWrap/>
            <w:hideMark/>
          </w:tcPr>
          <w:p w14:paraId="68FA26A5"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3 596.6</w:t>
            </w:r>
          </w:p>
        </w:tc>
        <w:tc>
          <w:tcPr>
            <w:tcW w:w="851" w:type="dxa"/>
            <w:noWrap/>
            <w:hideMark/>
          </w:tcPr>
          <w:p w14:paraId="5FA98153"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3 544.1</w:t>
            </w:r>
          </w:p>
        </w:tc>
        <w:tc>
          <w:tcPr>
            <w:tcW w:w="851" w:type="dxa"/>
            <w:noWrap/>
            <w:hideMark/>
          </w:tcPr>
          <w:p w14:paraId="04D330E3"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3 402.9</w:t>
            </w:r>
          </w:p>
        </w:tc>
      </w:tr>
      <w:tr w:rsidR="009D257E" w:rsidRPr="00D15D63" w14:paraId="495FEC17"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D3849DE" w14:textId="38CC502C" w:rsidR="009D257E" w:rsidRPr="00D15D63" w:rsidRDefault="009D257E">
            <w:pPr>
              <w:rPr>
                <w:lang w:eastAsia="en-AU"/>
              </w:rPr>
            </w:pPr>
            <w:r w:rsidRPr="00D15D63">
              <w:rPr>
                <w:lang w:eastAsia="en-AU"/>
              </w:rPr>
              <w:t>Special appropriations</w:t>
            </w:r>
          </w:p>
        </w:tc>
        <w:tc>
          <w:tcPr>
            <w:tcW w:w="851" w:type="dxa"/>
            <w:noWrap/>
            <w:hideMark/>
          </w:tcPr>
          <w:p w14:paraId="2376C954"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96.3</w:t>
            </w:r>
          </w:p>
        </w:tc>
        <w:tc>
          <w:tcPr>
            <w:tcW w:w="851" w:type="dxa"/>
            <w:noWrap/>
            <w:hideMark/>
          </w:tcPr>
          <w:p w14:paraId="1F1662C6"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29.4</w:t>
            </w:r>
          </w:p>
        </w:tc>
        <w:tc>
          <w:tcPr>
            <w:tcW w:w="851" w:type="dxa"/>
            <w:noWrap/>
            <w:hideMark/>
          </w:tcPr>
          <w:p w14:paraId="38D815CE"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50.4</w:t>
            </w:r>
          </w:p>
        </w:tc>
        <w:tc>
          <w:tcPr>
            <w:tcW w:w="851" w:type="dxa"/>
            <w:noWrap/>
            <w:hideMark/>
          </w:tcPr>
          <w:p w14:paraId="54C94B70"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64.6</w:t>
            </w:r>
          </w:p>
        </w:tc>
      </w:tr>
      <w:tr w:rsidR="009D257E" w:rsidRPr="00D15D63" w14:paraId="4D97349D"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FF1177A" w14:textId="77777777" w:rsidR="009D257E" w:rsidRPr="00D15D63" w:rsidRDefault="009D257E">
            <w:pPr>
              <w:rPr>
                <w:lang w:eastAsia="en-AU"/>
              </w:rPr>
            </w:pPr>
            <w:r w:rsidRPr="00D15D63">
              <w:rPr>
                <w:lang w:eastAsia="en-AU"/>
              </w:rPr>
              <w:t>Interest</w:t>
            </w:r>
          </w:p>
        </w:tc>
        <w:tc>
          <w:tcPr>
            <w:tcW w:w="851" w:type="dxa"/>
            <w:noWrap/>
            <w:hideMark/>
          </w:tcPr>
          <w:p w14:paraId="5F1E9D74"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57.6</w:t>
            </w:r>
          </w:p>
        </w:tc>
        <w:tc>
          <w:tcPr>
            <w:tcW w:w="851" w:type="dxa"/>
            <w:noWrap/>
            <w:hideMark/>
          </w:tcPr>
          <w:p w14:paraId="348B47FA"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38.7</w:t>
            </w:r>
          </w:p>
        </w:tc>
        <w:tc>
          <w:tcPr>
            <w:tcW w:w="851" w:type="dxa"/>
            <w:noWrap/>
            <w:hideMark/>
          </w:tcPr>
          <w:p w14:paraId="5E551DAE"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38.2</w:t>
            </w:r>
          </w:p>
        </w:tc>
        <w:tc>
          <w:tcPr>
            <w:tcW w:w="851" w:type="dxa"/>
            <w:noWrap/>
            <w:hideMark/>
          </w:tcPr>
          <w:p w14:paraId="02609094"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24.4</w:t>
            </w:r>
          </w:p>
        </w:tc>
      </w:tr>
      <w:tr w:rsidR="009D257E" w:rsidRPr="00D15D63" w14:paraId="2A57448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CCA4361" w14:textId="77777777" w:rsidR="009D257E" w:rsidRPr="00D15D63" w:rsidRDefault="009D257E">
            <w:pPr>
              <w:rPr>
                <w:lang w:eastAsia="en-AU"/>
              </w:rPr>
            </w:pPr>
            <w:r w:rsidRPr="00D15D63">
              <w:rPr>
                <w:lang w:eastAsia="en-AU"/>
              </w:rPr>
              <w:t>Sales of goods and services</w:t>
            </w:r>
          </w:p>
        </w:tc>
        <w:tc>
          <w:tcPr>
            <w:tcW w:w="851" w:type="dxa"/>
            <w:noWrap/>
            <w:hideMark/>
          </w:tcPr>
          <w:p w14:paraId="3687B0A3"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610.2</w:t>
            </w:r>
          </w:p>
        </w:tc>
        <w:tc>
          <w:tcPr>
            <w:tcW w:w="851" w:type="dxa"/>
            <w:noWrap/>
            <w:hideMark/>
          </w:tcPr>
          <w:p w14:paraId="0E90333C"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601.5</w:t>
            </w:r>
          </w:p>
        </w:tc>
        <w:tc>
          <w:tcPr>
            <w:tcW w:w="851" w:type="dxa"/>
            <w:noWrap/>
            <w:hideMark/>
          </w:tcPr>
          <w:p w14:paraId="4D0A4C5A"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622.8</w:t>
            </w:r>
          </w:p>
        </w:tc>
        <w:tc>
          <w:tcPr>
            <w:tcW w:w="851" w:type="dxa"/>
            <w:noWrap/>
            <w:hideMark/>
          </w:tcPr>
          <w:p w14:paraId="1F200472"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643.0</w:t>
            </w:r>
          </w:p>
        </w:tc>
      </w:tr>
      <w:tr w:rsidR="009D257E" w:rsidRPr="00D15D63" w14:paraId="0FD6317A"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0ECFB4E" w14:textId="77777777" w:rsidR="009D257E" w:rsidRPr="00D15D63" w:rsidRDefault="009D257E">
            <w:pPr>
              <w:rPr>
                <w:lang w:eastAsia="en-AU"/>
              </w:rPr>
            </w:pPr>
            <w:r w:rsidRPr="00D15D63">
              <w:rPr>
                <w:lang w:eastAsia="en-AU"/>
              </w:rPr>
              <w:t>Grants</w:t>
            </w:r>
          </w:p>
        </w:tc>
        <w:tc>
          <w:tcPr>
            <w:tcW w:w="851" w:type="dxa"/>
            <w:noWrap/>
            <w:hideMark/>
          </w:tcPr>
          <w:p w14:paraId="4E71E0BD"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304.6</w:t>
            </w:r>
          </w:p>
        </w:tc>
        <w:tc>
          <w:tcPr>
            <w:tcW w:w="851" w:type="dxa"/>
            <w:noWrap/>
            <w:hideMark/>
          </w:tcPr>
          <w:p w14:paraId="01C780D1"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109.9</w:t>
            </w:r>
          </w:p>
        </w:tc>
        <w:tc>
          <w:tcPr>
            <w:tcW w:w="851" w:type="dxa"/>
            <w:noWrap/>
            <w:hideMark/>
          </w:tcPr>
          <w:p w14:paraId="5DA57058"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401.8</w:t>
            </w:r>
          </w:p>
        </w:tc>
        <w:tc>
          <w:tcPr>
            <w:tcW w:w="851" w:type="dxa"/>
            <w:noWrap/>
            <w:hideMark/>
          </w:tcPr>
          <w:p w14:paraId="2ED3D66F"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188.8</w:t>
            </w:r>
          </w:p>
        </w:tc>
      </w:tr>
      <w:tr w:rsidR="009D257E" w:rsidRPr="00D15D63" w14:paraId="316EA44D"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734BDEF" w14:textId="77777777" w:rsidR="009D257E" w:rsidRPr="00D15D63" w:rsidRDefault="009D257E">
            <w:pPr>
              <w:rPr>
                <w:lang w:eastAsia="en-AU"/>
              </w:rPr>
            </w:pPr>
            <w:r w:rsidRPr="00D15D63">
              <w:rPr>
                <w:lang w:eastAsia="en-AU"/>
              </w:rPr>
              <w:t>Fair value of assets and services received free of charge or for nominal consideration</w:t>
            </w:r>
          </w:p>
        </w:tc>
        <w:tc>
          <w:tcPr>
            <w:tcW w:w="851" w:type="dxa"/>
            <w:noWrap/>
            <w:hideMark/>
          </w:tcPr>
          <w:p w14:paraId="2D673E89"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44.7</w:t>
            </w:r>
          </w:p>
        </w:tc>
        <w:tc>
          <w:tcPr>
            <w:tcW w:w="851" w:type="dxa"/>
            <w:noWrap/>
            <w:hideMark/>
          </w:tcPr>
          <w:p w14:paraId="6CD6D6E6"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37.3</w:t>
            </w:r>
          </w:p>
        </w:tc>
        <w:tc>
          <w:tcPr>
            <w:tcW w:w="851" w:type="dxa"/>
            <w:noWrap/>
            <w:hideMark/>
          </w:tcPr>
          <w:p w14:paraId="08FF1A30"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30.8</w:t>
            </w:r>
          </w:p>
        </w:tc>
        <w:tc>
          <w:tcPr>
            <w:tcW w:w="851" w:type="dxa"/>
            <w:noWrap/>
            <w:hideMark/>
          </w:tcPr>
          <w:p w14:paraId="3D9C54D1"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30.1</w:t>
            </w:r>
          </w:p>
        </w:tc>
      </w:tr>
      <w:tr w:rsidR="009D257E" w:rsidRPr="00D15D63" w14:paraId="4E2504A5" w14:textId="77777777" w:rsidTr="002A78E9">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7CA1F7A9" w14:textId="77777777" w:rsidR="009D257E" w:rsidRPr="00D15D63" w:rsidRDefault="009D257E">
            <w:pPr>
              <w:rPr>
                <w:lang w:eastAsia="en-AU"/>
              </w:rPr>
            </w:pPr>
            <w:r w:rsidRPr="00D15D63">
              <w:rPr>
                <w:lang w:eastAsia="en-AU"/>
              </w:rPr>
              <w:t>Other income</w:t>
            </w:r>
          </w:p>
        </w:tc>
        <w:tc>
          <w:tcPr>
            <w:tcW w:w="851" w:type="dxa"/>
            <w:tcBorders>
              <w:bottom w:val="single" w:sz="6" w:space="0" w:color="auto"/>
            </w:tcBorders>
            <w:noWrap/>
            <w:hideMark/>
          </w:tcPr>
          <w:p w14:paraId="6CA6F87E"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153.6</w:t>
            </w:r>
          </w:p>
        </w:tc>
        <w:tc>
          <w:tcPr>
            <w:tcW w:w="851" w:type="dxa"/>
            <w:tcBorders>
              <w:bottom w:val="single" w:sz="6" w:space="0" w:color="auto"/>
            </w:tcBorders>
            <w:noWrap/>
            <w:hideMark/>
          </w:tcPr>
          <w:p w14:paraId="5C97DB67"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78.3</w:t>
            </w:r>
          </w:p>
        </w:tc>
        <w:tc>
          <w:tcPr>
            <w:tcW w:w="851" w:type="dxa"/>
            <w:tcBorders>
              <w:bottom w:val="single" w:sz="6" w:space="0" w:color="auto"/>
            </w:tcBorders>
            <w:noWrap/>
            <w:hideMark/>
          </w:tcPr>
          <w:p w14:paraId="48C8F255"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88.8</w:t>
            </w:r>
          </w:p>
        </w:tc>
        <w:tc>
          <w:tcPr>
            <w:tcW w:w="851" w:type="dxa"/>
            <w:tcBorders>
              <w:bottom w:val="single" w:sz="6" w:space="0" w:color="auto"/>
            </w:tcBorders>
            <w:noWrap/>
            <w:hideMark/>
          </w:tcPr>
          <w:p w14:paraId="600580A4" w14:textId="77777777" w:rsidR="009D257E" w:rsidRPr="00D15D63" w:rsidRDefault="009D257E">
            <w:pPr>
              <w:cnfStyle w:val="000000000000" w:firstRow="0" w:lastRow="0" w:firstColumn="0" w:lastColumn="0" w:oddVBand="0" w:evenVBand="0" w:oddHBand="0" w:evenHBand="0" w:firstRowFirstColumn="0" w:firstRowLastColumn="0" w:lastRowFirstColumn="0" w:lastRowLastColumn="0"/>
              <w:rPr>
                <w:lang w:eastAsia="en-AU"/>
              </w:rPr>
            </w:pPr>
            <w:r w:rsidRPr="00D15D63">
              <w:rPr>
                <w:lang w:eastAsia="en-AU"/>
              </w:rPr>
              <w:t>89.6</w:t>
            </w:r>
          </w:p>
        </w:tc>
      </w:tr>
      <w:tr w:rsidR="009D257E" w:rsidRPr="00D15D63" w14:paraId="795927C7" w14:textId="77777777" w:rsidTr="002A78E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D300B73" w14:textId="77777777" w:rsidR="009D257E" w:rsidRPr="00D15D63" w:rsidRDefault="009D257E">
            <w:pPr>
              <w:rPr>
                <w:lang w:eastAsia="en-AU"/>
              </w:rPr>
            </w:pPr>
            <w:r w:rsidRPr="00D15D63">
              <w:rPr>
                <w:lang w:eastAsia="en-AU"/>
              </w:rPr>
              <w:t>Total income from transactions</w:t>
            </w:r>
          </w:p>
        </w:tc>
        <w:tc>
          <w:tcPr>
            <w:tcW w:w="851" w:type="dxa"/>
            <w:noWrap/>
            <w:hideMark/>
          </w:tcPr>
          <w:p w14:paraId="37342EFE" w14:textId="77777777" w:rsidR="009D257E" w:rsidRPr="00D15D63" w:rsidRDefault="009D257E">
            <w:pPr>
              <w:cnfStyle w:val="010000000000" w:firstRow="0" w:lastRow="1" w:firstColumn="0" w:lastColumn="0" w:oddVBand="0" w:evenVBand="0" w:oddHBand="0" w:evenHBand="0" w:firstRowFirstColumn="0" w:firstRowLastColumn="0" w:lastRowFirstColumn="0" w:lastRowLastColumn="0"/>
              <w:rPr>
                <w:lang w:eastAsia="en-AU"/>
              </w:rPr>
            </w:pPr>
            <w:r w:rsidRPr="00D15D63">
              <w:rPr>
                <w:lang w:eastAsia="en-AU"/>
              </w:rPr>
              <w:t>4 573.9</w:t>
            </w:r>
          </w:p>
        </w:tc>
        <w:tc>
          <w:tcPr>
            <w:tcW w:w="851" w:type="dxa"/>
            <w:noWrap/>
            <w:hideMark/>
          </w:tcPr>
          <w:p w14:paraId="67FB959F" w14:textId="77777777" w:rsidR="009D257E" w:rsidRPr="00D15D63" w:rsidRDefault="009D257E">
            <w:pPr>
              <w:cnfStyle w:val="010000000000" w:firstRow="0" w:lastRow="1" w:firstColumn="0" w:lastColumn="0" w:oddVBand="0" w:evenVBand="0" w:oddHBand="0" w:evenHBand="0" w:firstRowFirstColumn="0" w:firstRowLastColumn="0" w:lastRowFirstColumn="0" w:lastRowLastColumn="0"/>
              <w:rPr>
                <w:lang w:eastAsia="en-AU"/>
              </w:rPr>
            </w:pPr>
            <w:r w:rsidRPr="00D15D63">
              <w:rPr>
                <w:lang w:eastAsia="en-AU"/>
              </w:rPr>
              <w:t>4 491.6</w:t>
            </w:r>
          </w:p>
        </w:tc>
        <w:tc>
          <w:tcPr>
            <w:tcW w:w="851" w:type="dxa"/>
            <w:noWrap/>
            <w:hideMark/>
          </w:tcPr>
          <w:p w14:paraId="39A7DC50" w14:textId="77777777" w:rsidR="009D257E" w:rsidRPr="00D15D63" w:rsidRDefault="009D257E">
            <w:pPr>
              <w:cnfStyle w:val="010000000000" w:firstRow="0" w:lastRow="1" w:firstColumn="0" w:lastColumn="0" w:oddVBand="0" w:evenVBand="0" w:oddHBand="0" w:evenHBand="0" w:firstRowFirstColumn="0" w:firstRowLastColumn="0" w:lastRowFirstColumn="0" w:lastRowLastColumn="0"/>
              <w:rPr>
                <w:lang w:eastAsia="en-AU"/>
              </w:rPr>
            </w:pPr>
            <w:r w:rsidRPr="00D15D63">
              <w:rPr>
                <w:lang w:eastAsia="en-AU"/>
              </w:rPr>
              <w:t>4 776.8</w:t>
            </w:r>
          </w:p>
        </w:tc>
        <w:tc>
          <w:tcPr>
            <w:tcW w:w="851" w:type="dxa"/>
            <w:noWrap/>
            <w:hideMark/>
          </w:tcPr>
          <w:p w14:paraId="77BBC3F3" w14:textId="77777777" w:rsidR="009D257E" w:rsidRPr="00D15D63" w:rsidRDefault="009D257E">
            <w:pPr>
              <w:cnfStyle w:val="010000000000" w:firstRow="0" w:lastRow="1" w:firstColumn="0" w:lastColumn="0" w:oddVBand="0" w:evenVBand="0" w:oddHBand="0" w:evenHBand="0" w:firstRowFirstColumn="0" w:firstRowLastColumn="0" w:lastRowFirstColumn="0" w:lastRowLastColumn="0"/>
              <w:rPr>
                <w:lang w:eastAsia="en-AU"/>
              </w:rPr>
            </w:pPr>
            <w:r w:rsidRPr="00D15D63">
              <w:rPr>
                <w:lang w:eastAsia="en-AU"/>
              </w:rPr>
              <w:t>4 443.3</w:t>
            </w:r>
          </w:p>
        </w:tc>
      </w:tr>
    </w:tbl>
    <w:p w14:paraId="6C57E9B6" w14:textId="77777777" w:rsidR="009D257E" w:rsidRDefault="009D257E" w:rsidP="009D257E">
      <w:pPr>
        <w:pStyle w:val="Source"/>
      </w:pPr>
      <w:r>
        <w:t>Source: Department of Jobs, Skills, Industry and Regions</w:t>
      </w:r>
    </w:p>
    <w:p w14:paraId="494445D9" w14:textId="77777777" w:rsidR="00824558" w:rsidRPr="00281D0E" w:rsidRDefault="00824558">
      <w:pPr>
        <w:rPr>
          <w:highlight w:val="yellow"/>
        </w:rPr>
      </w:pPr>
    </w:p>
    <w:p w14:paraId="5B388087" w14:textId="77777777" w:rsidR="00824558" w:rsidRPr="00D01EB2" w:rsidRDefault="00824558">
      <w:pPr>
        <w:pStyle w:val="TableHeading"/>
        <w:spacing w:before="60"/>
      </w:pPr>
      <w:r w:rsidRPr="00D01EB2">
        <w:rPr>
          <w:rFonts w:cstheme="majorHAnsi"/>
          <w:szCs w:val="20"/>
        </w:rPr>
        <w:t xml:space="preserve">Table </w:t>
      </w:r>
      <w:r w:rsidRPr="0036182E">
        <w:rPr>
          <w:rFonts w:cstheme="majorHAnsi"/>
          <w:szCs w:val="20"/>
        </w:rPr>
        <w:t>1</w:t>
      </w:r>
      <w:r>
        <w:rPr>
          <w:rFonts w:cstheme="majorHAnsi"/>
          <w:szCs w:val="20"/>
        </w:rPr>
        <w:t>8</w:t>
      </w:r>
      <w:r w:rsidRPr="00D01EB2">
        <w:rPr>
          <w:rFonts w:cstheme="majorHAnsi"/>
          <w:szCs w:val="20"/>
        </w:rPr>
        <w:t>:</w:t>
      </w:r>
      <w:r w:rsidRPr="00D01EB2">
        <w:rPr>
          <w:rFonts w:cstheme="majorHAnsi"/>
          <w:szCs w:val="20"/>
        </w:rPr>
        <w:tab/>
        <w:t>Parliamentary authority for resources</w:t>
      </w:r>
      <w:r w:rsidRPr="00D01EB2">
        <w:rPr>
          <w:rFonts w:cstheme="majorHAnsi"/>
          <w:szCs w:val="20"/>
        </w:rPr>
        <w:tab/>
        <w:t>($ million)</w:t>
      </w:r>
    </w:p>
    <w:tbl>
      <w:tblPr>
        <w:tblStyle w:val="DTFTableNumeric"/>
        <w:tblW w:w="5000" w:type="pct"/>
        <w:tblLook w:val="06E0" w:firstRow="1" w:lastRow="1" w:firstColumn="1" w:lastColumn="0" w:noHBand="1" w:noVBand="1"/>
      </w:tblPr>
      <w:tblGrid>
        <w:gridCol w:w="6658"/>
        <w:gridCol w:w="991"/>
        <w:gridCol w:w="991"/>
        <w:gridCol w:w="991"/>
      </w:tblGrid>
      <w:tr w:rsidR="00BA29BE" w14:paraId="1C394D1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011EA" w14:textId="77777777" w:rsidR="00BA29BE" w:rsidRDefault="00BA29BE"/>
        </w:tc>
        <w:tc>
          <w:tcPr>
            <w:tcW w:w="992" w:type="dxa"/>
          </w:tcPr>
          <w:p w14:paraId="62BC02CB" w14:textId="77777777" w:rsidR="00BA29BE" w:rsidRDefault="00BA29BE">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61C40CD6" w14:textId="77777777" w:rsidR="00BA29BE" w:rsidRDefault="00BA29BE">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392D5C43" w14:textId="77777777" w:rsidR="00BA29BE" w:rsidRDefault="00BA29BE">
            <w:pPr>
              <w:cnfStyle w:val="100000000000" w:firstRow="1" w:lastRow="0" w:firstColumn="0" w:lastColumn="0" w:oddVBand="0" w:evenVBand="0" w:oddHBand="0" w:evenHBand="0" w:firstRowFirstColumn="0" w:firstRowLastColumn="0" w:lastRowFirstColumn="0" w:lastRowLastColumn="0"/>
            </w:pPr>
            <w:r>
              <w:t>2026-27 budget</w:t>
            </w:r>
          </w:p>
        </w:tc>
      </w:tr>
      <w:tr w:rsidR="00BA29BE" w:rsidRPr="004A541C" w14:paraId="2A30406E"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4FEBAF" w14:textId="77777777" w:rsidR="00BA29BE" w:rsidRPr="004A541C" w:rsidRDefault="00BA29BE">
            <w:pPr>
              <w:rPr>
                <w:b/>
                <w:bCs/>
                <w:lang w:eastAsia="en-AU"/>
              </w:rPr>
            </w:pPr>
            <w:r w:rsidRPr="004A541C">
              <w:rPr>
                <w:b/>
                <w:bCs/>
                <w:lang w:eastAsia="en-AU"/>
              </w:rPr>
              <w:t>Annual appropriations</w:t>
            </w:r>
          </w:p>
        </w:tc>
        <w:tc>
          <w:tcPr>
            <w:tcW w:w="992" w:type="dxa"/>
            <w:noWrap/>
            <w:hideMark/>
          </w:tcPr>
          <w:p w14:paraId="5E118179"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2 982.1</w:t>
            </w:r>
          </w:p>
        </w:tc>
        <w:tc>
          <w:tcPr>
            <w:tcW w:w="992" w:type="dxa"/>
            <w:noWrap/>
            <w:hideMark/>
          </w:tcPr>
          <w:p w14:paraId="60A0E42F"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3 291.5</w:t>
            </w:r>
          </w:p>
        </w:tc>
        <w:tc>
          <w:tcPr>
            <w:tcW w:w="992" w:type="dxa"/>
            <w:noWrap/>
            <w:hideMark/>
          </w:tcPr>
          <w:p w14:paraId="175EC820"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3 016.8</w:t>
            </w:r>
          </w:p>
        </w:tc>
      </w:tr>
      <w:tr w:rsidR="00BA29BE" w:rsidRPr="004A541C" w14:paraId="0D579675"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8247668" w14:textId="112C7BD5" w:rsidR="00BA29BE" w:rsidRPr="004A541C" w:rsidRDefault="00BA29BE">
            <w:pPr>
              <w:rPr>
                <w:lang w:eastAsia="en-AU"/>
              </w:rPr>
            </w:pPr>
            <w:r w:rsidRPr="004A541C">
              <w:rPr>
                <w:lang w:eastAsia="en-AU"/>
              </w:rPr>
              <w:t>Provision of outputs</w:t>
            </w:r>
          </w:p>
        </w:tc>
        <w:tc>
          <w:tcPr>
            <w:tcW w:w="992" w:type="dxa"/>
            <w:noWrap/>
            <w:hideMark/>
          </w:tcPr>
          <w:p w14:paraId="49DF4155"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2 911.6</w:t>
            </w:r>
          </w:p>
        </w:tc>
        <w:tc>
          <w:tcPr>
            <w:tcW w:w="992" w:type="dxa"/>
            <w:noWrap/>
            <w:hideMark/>
          </w:tcPr>
          <w:p w14:paraId="14DA33A5"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2 754.7</w:t>
            </w:r>
          </w:p>
        </w:tc>
        <w:tc>
          <w:tcPr>
            <w:tcW w:w="992" w:type="dxa"/>
            <w:noWrap/>
            <w:hideMark/>
          </w:tcPr>
          <w:p w14:paraId="11FC0BA6"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2 774.1</w:t>
            </w:r>
          </w:p>
        </w:tc>
      </w:tr>
      <w:tr w:rsidR="00BA29BE" w:rsidRPr="004A541C" w14:paraId="4B4C3A3B"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433ADFD" w14:textId="77777777" w:rsidR="00BA29BE" w:rsidRPr="004A541C" w:rsidRDefault="00BA29BE">
            <w:pPr>
              <w:rPr>
                <w:lang w:eastAsia="en-AU"/>
              </w:rPr>
            </w:pPr>
            <w:r w:rsidRPr="004A541C">
              <w:rPr>
                <w:lang w:eastAsia="en-AU"/>
              </w:rPr>
              <w:t>Additions to the net asset base</w:t>
            </w:r>
          </w:p>
        </w:tc>
        <w:tc>
          <w:tcPr>
            <w:tcW w:w="992" w:type="dxa"/>
            <w:noWrap/>
            <w:hideMark/>
          </w:tcPr>
          <w:p w14:paraId="7DA6B88B"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70.5</w:t>
            </w:r>
          </w:p>
        </w:tc>
        <w:tc>
          <w:tcPr>
            <w:tcW w:w="992" w:type="dxa"/>
            <w:noWrap/>
            <w:hideMark/>
          </w:tcPr>
          <w:p w14:paraId="0002B399"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536.9</w:t>
            </w:r>
          </w:p>
        </w:tc>
        <w:tc>
          <w:tcPr>
            <w:tcW w:w="992" w:type="dxa"/>
            <w:noWrap/>
            <w:hideMark/>
          </w:tcPr>
          <w:p w14:paraId="02B094E1"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242.7</w:t>
            </w:r>
          </w:p>
        </w:tc>
      </w:tr>
      <w:tr w:rsidR="00BA29BE" w:rsidRPr="004A541C" w14:paraId="728470E4"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62BD7A" w14:textId="77777777" w:rsidR="00BA29BE" w:rsidRPr="004A541C" w:rsidRDefault="00BA29BE">
            <w:pPr>
              <w:rPr>
                <w:b/>
                <w:bCs/>
                <w:lang w:eastAsia="en-AU"/>
              </w:rPr>
            </w:pPr>
            <w:r w:rsidRPr="004A541C">
              <w:rPr>
                <w:b/>
                <w:bCs/>
                <w:lang w:eastAsia="en-AU"/>
              </w:rPr>
              <w:t>Receipts credited to appropriations</w:t>
            </w:r>
          </w:p>
        </w:tc>
        <w:tc>
          <w:tcPr>
            <w:tcW w:w="992" w:type="dxa"/>
            <w:noWrap/>
            <w:hideMark/>
          </w:tcPr>
          <w:p w14:paraId="550BD31A"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641.7</w:t>
            </w:r>
          </w:p>
        </w:tc>
        <w:tc>
          <w:tcPr>
            <w:tcW w:w="992" w:type="dxa"/>
            <w:noWrap/>
            <w:hideMark/>
          </w:tcPr>
          <w:p w14:paraId="41AE67DC"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714.7</w:t>
            </w:r>
          </w:p>
        </w:tc>
        <w:tc>
          <w:tcPr>
            <w:tcW w:w="992" w:type="dxa"/>
            <w:noWrap/>
            <w:hideMark/>
          </w:tcPr>
          <w:p w14:paraId="5AD32D79"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625.9</w:t>
            </w:r>
          </w:p>
        </w:tc>
      </w:tr>
      <w:tr w:rsidR="00BA29BE" w:rsidRPr="004A541C" w14:paraId="0FE497FC"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EBD748" w14:textId="77777777" w:rsidR="00BA29BE" w:rsidRPr="004A541C" w:rsidRDefault="00BA29BE">
            <w:pPr>
              <w:rPr>
                <w:b/>
                <w:bCs/>
                <w:lang w:eastAsia="en-AU"/>
              </w:rPr>
            </w:pPr>
            <w:r w:rsidRPr="004A541C">
              <w:rPr>
                <w:b/>
                <w:bCs/>
                <w:lang w:eastAsia="en-AU"/>
              </w:rPr>
              <w:t>Unapplied previous years appropriation</w:t>
            </w:r>
          </w:p>
        </w:tc>
        <w:tc>
          <w:tcPr>
            <w:tcW w:w="992" w:type="dxa"/>
            <w:noWrap/>
            <w:hideMark/>
          </w:tcPr>
          <w:p w14:paraId="3BAEDA1F"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43.3</w:t>
            </w:r>
          </w:p>
        </w:tc>
        <w:tc>
          <w:tcPr>
            <w:tcW w:w="992" w:type="dxa"/>
            <w:noWrap/>
            <w:hideMark/>
          </w:tcPr>
          <w:p w14:paraId="3DF29F7E"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87.7</w:t>
            </w:r>
          </w:p>
        </w:tc>
        <w:tc>
          <w:tcPr>
            <w:tcW w:w="992" w:type="dxa"/>
            <w:noWrap/>
            <w:hideMark/>
          </w:tcPr>
          <w:p w14:paraId="1FDD8283"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2.9</w:t>
            </w:r>
          </w:p>
        </w:tc>
      </w:tr>
      <w:tr w:rsidR="00BA29BE" w:rsidRPr="004A541C" w14:paraId="231BFDC3"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4FA76175" w14:textId="77777777" w:rsidR="00BA29BE" w:rsidRPr="004A541C" w:rsidRDefault="00BA29BE">
            <w:pPr>
              <w:rPr>
                <w:lang w:eastAsia="en-AU"/>
              </w:rPr>
            </w:pPr>
            <w:r w:rsidRPr="004A541C">
              <w:rPr>
                <w:lang w:eastAsia="en-AU"/>
              </w:rPr>
              <w:t>Provision of outputs</w:t>
            </w:r>
          </w:p>
        </w:tc>
        <w:tc>
          <w:tcPr>
            <w:tcW w:w="992" w:type="dxa"/>
            <w:tcBorders>
              <w:bottom w:val="nil"/>
            </w:tcBorders>
            <w:noWrap/>
            <w:hideMark/>
          </w:tcPr>
          <w:p w14:paraId="6352A735"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43.3</w:t>
            </w:r>
          </w:p>
        </w:tc>
        <w:tc>
          <w:tcPr>
            <w:tcW w:w="992" w:type="dxa"/>
            <w:tcBorders>
              <w:bottom w:val="nil"/>
            </w:tcBorders>
            <w:noWrap/>
            <w:hideMark/>
          </w:tcPr>
          <w:p w14:paraId="74E5970F"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84.7</w:t>
            </w:r>
          </w:p>
        </w:tc>
        <w:tc>
          <w:tcPr>
            <w:tcW w:w="992" w:type="dxa"/>
            <w:tcBorders>
              <w:bottom w:val="nil"/>
            </w:tcBorders>
            <w:noWrap/>
            <w:hideMark/>
          </w:tcPr>
          <w:p w14:paraId="26E10F7D"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2.9</w:t>
            </w:r>
          </w:p>
        </w:tc>
      </w:tr>
      <w:tr w:rsidR="00BA29BE" w:rsidRPr="004A541C" w14:paraId="37F2016E"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3E2E308" w14:textId="77777777" w:rsidR="00BA29BE" w:rsidRPr="004A541C" w:rsidRDefault="00BA29BE">
            <w:pPr>
              <w:rPr>
                <w:lang w:eastAsia="en-AU"/>
              </w:rPr>
            </w:pPr>
            <w:r w:rsidRPr="004A541C">
              <w:rPr>
                <w:lang w:eastAsia="en-AU"/>
              </w:rPr>
              <w:t>Additions to the net asset base</w:t>
            </w:r>
          </w:p>
        </w:tc>
        <w:tc>
          <w:tcPr>
            <w:tcW w:w="992" w:type="dxa"/>
            <w:tcBorders>
              <w:bottom w:val="single" w:sz="6" w:space="0" w:color="auto"/>
            </w:tcBorders>
            <w:noWrap/>
            <w:hideMark/>
          </w:tcPr>
          <w:p w14:paraId="322C5E6F"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w:t>
            </w:r>
          </w:p>
        </w:tc>
        <w:tc>
          <w:tcPr>
            <w:tcW w:w="992" w:type="dxa"/>
            <w:tcBorders>
              <w:bottom w:val="single" w:sz="6" w:space="0" w:color="auto"/>
            </w:tcBorders>
            <w:noWrap/>
            <w:hideMark/>
          </w:tcPr>
          <w:p w14:paraId="6B2F8876"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3.0</w:t>
            </w:r>
          </w:p>
        </w:tc>
        <w:tc>
          <w:tcPr>
            <w:tcW w:w="992" w:type="dxa"/>
            <w:tcBorders>
              <w:bottom w:val="single" w:sz="6" w:space="0" w:color="auto"/>
            </w:tcBorders>
            <w:noWrap/>
            <w:hideMark/>
          </w:tcPr>
          <w:p w14:paraId="1993034B"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w:t>
            </w:r>
          </w:p>
        </w:tc>
      </w:tr>
      <w:tr w:rsidR="00BA29BE" w:rsidRPr="004A541C" w14:paraId="5D490335"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5A2DA0BE" w14:textId="77777777" w:rsidR="00BA29BE" w:rsidRPr="004A541C" w:rsidRDefault="00BA29BE">
            <w:pPr>
              <w:rPr>
                <w:b/>
                <w:bCs/>
                <w:lang w:eastAsia="en-AU"/>
              </w:rPr>
            </w:pPr>
            <w:r w:rsidRPr="004A541C">
              <w:rPr>
                <w:b/>
                <w:bCs/>
                <w:lang w:eastAsia="en-AU"/>
              </w:rPr>
              <w:t>Gross annual appropriation</w:t>
            </w:r>
          </w:p>
        </w:tc>
        <w:tc>
          <w:tcPr>
            <w:tcW w:w="992" w:type="dxa"/>
            <w:tcBorders>
              <w:top w:val="single" w:sz="6" w:space="0" w:color="auto"/>
            </w:tcBorders>
            <w:noWrap/>
            <w:hideMark/>
          </w:tcPr>
          <w:p w14:paraId="237C7350"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3 667.1</w:t>
            </w:r>
          </w:p>
        </w:tc>
        <w:tc>
          <w:tcPr>
            <w:tcW w:w="992" w:type="dxa"/>
            <w:tcBorders>
              <w:top w:val="single" w:sz="6" w:space="0" w:color="auto"/>
            </w:tcBorders>
            <w:noWrap/>
            <w:hideMark/>
          </w:tcPr>
          <w:p w14:paraId="7860992E"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4 093.8</w:t>
            </w:r>
          </w:p>
        </w:tc>
        <w:tc>
          <w:tcPr>
            <w:tcW w:w="992" w:type="dxa"/>
            <w:tcBorders>
              <w:top w:val="single" w:sz="6" w:space="0" w:color="auto"/>
            </w:tcBorders>
            <w:noWrap/>
            <w:hideMark/>
          </w:tcPr>
          <w:p w14:paraId="2CE160BD"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3 645.6</w:t>
            </w:r>
          </w:p>
        </w:tc>
      </w:tr>
      <w:tr w:rsidR="00BA29BE" w:rsidRPr="004A541C" w14:paraId="4CA21F2E"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50CEC35" w14:textId="77777777" w:rsidR="00BA29BE" w:rsidRPr="004A541C" w:rsidRDefault="00BA29BE">
            <w:pPr>
              <w:rPr>
                <w:b/>
                <w:bCs/>
                <w:lang w:eastAsia="en-AU"/>
              </w:rPr>
            </w:pPr>
            <w:r w:rsidRPr="004A541C">
              <w:rPr>
                <w:b/>
                <w:bCs/>
                <w:lang w:eastAsia="en-AU"/>
              </w:rPr>
              <w:t>Special appropriations</w:t>
            </w:r>
          </w:p>
        </w:tc>
        <w:tc>
          <w:tcPr>
            <w:tcW w:w="992" w:type="dxa"/>
            <w:noWrap/>
            <w:hideMark/>
          </w:tcPr>
          <w:p w14:paraId="6BCE92EE"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29.8</w:t>
            </w:r>
          </w:p>
        </w:tc>
        <w:tc>
          <w:tcPr>
            <w:tcW w:w="992" w:type="dxa"/>
            <w:noWrap/>
            <w:hideMark/>
          </w:tcPr>
          <w:p w14:paraId="6EE7A0F4"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50.8</w:t>
            </w:r>
          </w:p>
        </w:tc>
        <w:tc>
          <w:tcPr>
            <w:tcW w:w="992" w:type="dxa"/>
            <w:noWrap/>
            <w:hideMark/>
          </w:tcPr>
          <w:p w14:paraId="4716B171"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64.6</w:t>
            </w:r>
          </w:p>
        </w:tc>
      </w:tr>
      <w:tr w:rsidR="00BA29BE" w:rsidRPr="004A541C" w14:paraId="317089C8"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2930D78" w14:textId="77777777" w:rsidR="00BA29BE" w:rsidRPr="004A541C" w:rsidRDefault="00BA29BE">
            <w:pPr>
              <w:rPr>
                <w:b/>
                <w:bCs/>
                <w:lang w:eastAsia="en-AU"/>
              </w:rPr>
            </w:pPr>
            <w:r w:rsidRPr="004A541C">
              <w:rPr>
                <w:b/>
                <w:bCs/>
                <w:lang w:eastAsia="en-AU"/>
              </w:rPr>
              <w:t>Trust funds</w:t>
            </w:r>
          </w:p>
        </w:tc>
        <w:tc>
          <w:tcPr>
            <w:tcW w:w="992" w:type="dxa"/>
            <w:noWrap/>
            <w:hideMark/>
          </w:tcPr>
          <w:p w14:paraId="5E785B55"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96.5</w:t>
            </w:r>
          </w:p>
        </w:tc>
        <w:tc>
          <w:tcPr>
            <w:tcW w:w="992" w:type="dxa"/>
            <w:noWrap/>
            <w:hideMark/>
          </w:tcPr>
          <w:p w14:paraId="4A54A233"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379.0</w:t>
            </w:r>
          </w:p>
        </w:tc>
        <w:tc>
          <w:tcPr>
            <w:tcW w:w="992" w:type="dxa"/>
            <w:noWrap/>
            <w:hideMark/>
          </w:tcPr>
          <w:p w14:paraId="2BDF5299"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b/>
                <w:bCs/>
                <w:lang w:eastAsia="en-AU"/>
              </w:rPr>
            </w:pPr>
            <w:r w:rsidRPr="004A541C">
              <w:rPr>
                <w:b/>
                <w:bCs/>
                <w:lang w:eastAsia="en-AU"/>
              </w:rPr>
              <w:t>164.1</w:t>
            </w:r>
          </w:p>
        </w:tc>
      </w:tr>
      <w:tr w:rsidR="00BA29BE" w:rsidRPr="004A541C" w14:paraId="380CFD46"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5627B19" w14:textId="45DD5BFE" w:rsidR="00BA29BE" w:rsidRPr="004A541C" w:rsidRDefault="00BA29BE">
            <w:pPr>
              <w:rPr>
                <w:lang w:eastAsia="en-AU"/>
              </w:rPr>
            </w:pPr>
            <w:r w:rsidRPr="004A541C">
              <w:rPr>
                <w:lang w:eastAsia="en-AU"/>
              </w:rPr>
              <w:t>Regional Jobs and Infrastructure Fund</w:t>
            </w:r>
            <w:r w:rsidR="002A78E9">
              <w:rPr>
                <w:lang w:eastAsia="en-AU"/>
              </w:rPr>
              <w:t xml:space="preserve"> </w:t>
            </w:r>
            <w:r w:rsidRPr="00334AD7">
              <w:rPr>
                <w:vertAlign w:val="superscript"/>
                <w:lang w:eastAsia="en-AU"/>
              </w:rPr>
              <w:t>(a)</w:t>
            </w:r>
          </w:p>
        </w:tc>
        <w:tc>
          <w:tcPr>
            <w:tcW w:w="992" w:type="dxa"/>
            <w:noWrap/>
            <w:hideMark/>
          </w:tcPr>
          <w:p w14:paraId="6E1945D2"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9.7</w:t>
            </w:r>
          </w:p>
        </w:tc>
        <w:tc>
          <w:tcPr>
            <w:tcW w:w="992" w:type="dxa"/>
            <w:noWrap/>
            <w:hideMark/>
          </w:tcPr>
          <w:p w14:paraId="5A987E07"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9.7</w:t>
            </w:r>
          </w:p>
        </w:tc>
        <w:tc>
          <w:tcPr>
            <w:tcW w:w="992" w:type="dxa"/>
            <w:noWrap/>
            <w:hideMark/>
          </w:tcPr>
          <w:p w14:paraId="2727AC62"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9.6</w:t>
            </w:r>
          </w:p>
        </w:tc>
      </w:tr>
      <w:tr w:rsidR="00BA29BE" w:rsidRPr="004A541C" w14:paraId="61AC7DF7" w14:textId="77777777">
        <w:trPr>
          <w:trHeight w:val="225"/>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55D3FD1" w14:textId="581EFFDB" w:rsidR="00BA29BE" w:rsidRPr="004A541C" w:rsidRDefault="00BA29BE">
            <w:pPr>
              <w:rPr>
                <w:lang w:eastAsia="en-AU"/>
              </w:rPr>
            </w:pPr>
            <w:r w:rsidRPr="004A541C">
              <w:rPr>
                <w:lang w:eastAsia="en-AU"/>
              </w:rPr>
              <w:t>Recreational Fishing Licence Trust</w:t>
            </w:r>
            <w:r w:rsidR="002A78E9">
              <w:rPr>
                <w:lang w:eastAsia="en-AU"/>
              </w:rPr>
              <w:t xml:space="preserve"> </w:t>
            </w:r>
            <w:r w:rsidRPr="00334AD7">
              <w:rPr>
                <w:vertAlign w:val="superscript"/>
                <w:lang w:eastAsia="en-AU"/>
              </w:rPr>
              <w:t>(b)</w:t>
            </w:r>
          </w:p>
        </w:tc>
        <w:tc>
          <w:tcPr>
            <w:tcW w:w="992" w:type="dxa"/>
            <w:noWrap/>
            <w:hideMark/>
          </w:tcPr>
          <w:p w14:paraId="45662984"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8.7</w:t>
            </w:r>
          </w:p>
        </w:tc>
        <w:tc>
          <w:tcPr>
            <w:tcW w:w="992" w:type="dxa"/>
            <w:noWrap/>
            <w:hideMark/>
          </w:tcPr>
          <w:p w14:paraId="7B5378B4"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8.7</w:t>
            </w:r>
          </w:p>
        </w:tc>
        <w:tc>
          <w:tcPr>
            <w:tcW w:w="992" w:type="dxa"/>
            <w:noWrap/>
            <w:hideMark/>
          </w:tcPr>
          <w:p w14:paraId="4C4A83BB"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8.7</w:t>
            </w:r>
          </w:p>
        </w:tc>
      </w:tr>
      <w:tr w:rsidR="00BA29BE" w:rsidRPr="004A541C" w14:paraId="182C6955" w14:textId="77777777" w:rsidTr="002A78E9">
        <w:trPr>
          <w:trHeight w:val="225"/>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31694F30" w14:textId="384A5392" w:rsidR="00BA29BE" w:rsidRPr="004A541C" w:rsidRDefault="00BA29BE">
            <w:pPr>
              <w:rPr>
                <w:lang w:eastAsia="en-AU"/>
              </w:rPr>
            </w:pPr>
            <w:r w:rsidRPr="004A541C">
              <w:rPr>
                <w:lang w:eastAsia="en-AU"/>
              </w:rPr>
              <w:t>Other</w:t>
            </w:r>
            <w:r w:rsidR="002A78E9">
              <w:rPr>
                <w:lang w:eastAsia="en-AU"/>
              </w:rPr>
              <w:t xml:space="preserve"> </w:t>
            </w:r>
            <w:r w:rsidRPr="00EE311D">
              <w:rPr>
                <w:vertAlign w:val="superscript"/>
                <w:lang w:eastAsia="en-AU"/>
              </w:rPr>
              <w:t>(c)</w:t>
            </w:r>
          </w:p>
        </w:tc>
        <w:tc>
          <w:tcPr>
            <w:tcW w:w="992" w:type="dxa"/>
            <w:tcBorders>
              <w:bottom w:val="single" w:sz="6" w:space="0" w:color="auto"/>
            </w:tcBorders>
            <w:noWrap/>
            <w:hideMark/>
          </w:tcPr>
          <w:p w14:paraId="300FB1D7"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78.0</w:t>
            </w:r>
          </w:p>
        </w:tc>
        <w:tc>
          <w:tcPr>
            <w:tcW w:w="992" w:type="dxa"/>
            <w:tcBorders>
              <w:bottom w:val="single" w:sz="6" w:space="0" w:color="auto"/>
            </w:tcBorders>
            <w:noWrap/>
            <w:hideMark/>
          </w:tcPr>
          <w:p w14:paraId="652650EE"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360.6</w:t>
            </w:r>
          </w:p>
        </w:tc>
        <w:tc>
          <w:tcPr>
            <w:tcW w:w="992" w:type="dxa"/>
            <w:tcBorders>
              <w:bottom w:val="single" w:sz="6" w:space="0" w:color="auto"/>
            </w:tcBorders>
            <w:noWrap/>
            <w:hideMark/>
          </w:tcPr>
          <w:p w14:paraId="09FBB3C6" w14:textId="77777777" w:rsidR="00BA29BE" w:rsidRPr="004A541C" w:rsidRDefault="00BA29BE">
            <w:pPr>
              <w:cnfStyle w:val="000000000000" w:firstRow="0" w:lastRow="0" w:firstColumn="0" w:lastColumn="0" w:oddVBand="0" w:evenVBand="0" w:oddHBand="0" w:evenHBand="0" w:firstRowFirstColumn="0" w:firstRowLastColumn="0" w:lastRowFirstColumn="0" w:lastRowLastColumn="0"/>
              <w:rPr>
                <w:lang w:eastAsia="en-AU"/>
              </w:rPr>
            </w:pPr>
            <w:r w:rsidRPr="004A541C">
              <w:rPr>
                <w:lang w:eastAsia="en-AU"/>
              </w:rPr>
              <w:t>145.9</w:t>
            </w:r>
          </w:p>
        </w:tc>
      </w:tr>
      <w:tr w:rsidR="00BA29BE" w:rsidRPr="004A541C" w14:paraId="63EF54A3" w14:textId="77777777" w:rsidTr="002A78E9">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AD19068" w14:textId="77777777" w:rsidR="00BA29BE" w:rsidRPr="004A541C" w:rsidRDefault="00BA29BE">
            <w:pPr>
              <w:rPr>
                <w:lang w:eastAsia="en-AU"/>
              </w:rPr>
            </w:pPr>
            <w:r w:rsidRPr="004A541C">
              <w:rPr>
                <w:lang w:eastAsia="en-AU"/>
              </w:rPr>
              <w:t>Total parliamentary authority</w:t>
            </w:r>
          </w:p>
        </w:tc>
        <w:tc>
          <w:tcPr>
            <w:tcW w:w="992" w:type="dxa"/>
            <w:noWrap/>
            <w:hideMark/>
          </w:tcPr>
          <w:p w14:paraId="549DDE44" w14:textId="77777777" w:rsidR="00BA29BE" w:rsidRPr="004A541C" w:rsidRDefault="00BA29BE">
            <w:pPr>
              <w:cnfStyle w:val="010000000000" w:firstRow="0" w:lastRow="1" w:firstColumn="0" w:lastColumn="0" w:oddVBand="0" w:evenVBand="0" w:oddHBand="0" w:evenHBand="0" w:firstRowFirstColumn="0" w:firstRowLastColumn="0" w:lastRowFirstColumn="0" w:lastRowLastColumn="0"/>
              <w:rPr>
                <w:lang w:eastAsia="en-AU"/>
              </w:rPr>
            </w:pPr>
            <w:r w:rsidRPr="004A541C">
              <w:rPr>
                <w:lang w:eastAsia="en-AU"/>
              </w:rPr>
              <w:t>3 793.4</w:t>
            </w:r>
          </w:p>
        </w:tc>
        <w:tc>
          <w:tcPr>
            <w:tcW w:w="992" w:type="dxa"/>
            <w:noWrap/>
            <w:hideMark/>
          </w:tcPr>
          <w:p w14:paraId="4764B38A" w14:textId="77777777" w:rsidR="00BA29BE" w:rsidRPr="004A541C" w:rsidRDefault="00BA29BE">
            <w:pPr>
              <w:cnfStyle w:val="010000000000" w:firstRow="0" w:lastRow="1" w:firstColumn="0" w:lastColumn="0" w:oddVBand="0" w:evenVBand="0" w:oddHBand="0" w:evenHBand="0" w:firstRowFirstColumn="0" w:firstRowLastColumn="0" w:lastRowFirstColumn="0" w:lastRowLastColumn="0"/>
              <w:rPr>
                <w:lang w:eastAsia="en-AU"/>
              </w:rPr>
            </w:pPr>
            <w:r w:rsidRPr="004A541C">
              <w:rPr>
                <w:lang w:eastAsia="en-AU"/>
              </w:rPr>
              <w:t>4 523.6</w:t>
            </w:r>
          </w:p>
        </w:tc>
        <w:tc>
          <w:tcPr>
            <w:tcW w:w="992" w:type="dxa"/>
            <w:noWrap/>
            <w:hideMark/>
          </w:tcPr>
          <w:p w14:paraId="7D4890FE" w14:textId="77777777" w:rsidR="00BA29BE" w:rsidRPr="004A541C" w:rsidRDefault="00BA29BE">
            <w:pPr>
              <w:cnfStyle w:val="010000000000" w:firstRow="0" w:lastRow="1" w:firstColumn="0" w:lastColumn="0" w:oddVBand="0" w:evenVBand="0" w:oddHBand="0" w:evenHBand="0" w:firstRowFirstColumn="0" w:firstRowLastColumn="0" w:lastRowFirstColumn="0" w:lastRowLastColumn="0"/>
              <w:rPr>
                <w:lang w:eastAsia="en-AU"/>
              </w:rPr>
            </w:pPr>
            <w:r w:rsidRPr="004A541C">
              <w:rPr>
                <w:lang w:eastAsia="en-AU"/>
              </w:rPr>
              <w:t>3 874.3</w:t>
            </w:r>
          </w:p>
        </w:tc>
      </w:tr>
    </w:tbl>
    <w:p w14:paraId="6F8ECE7F" w14:textId="77777777" w:rsidR="00BA29BE" w:rsidRDefault="00BA29BE" w:rsidP="00BA29BE">
      <w:pPr>
        <w:pStyle w:val="Source"/>
      </w:pPr>
      <w:r>
        <w:t>Source: Department of Jobs, Skills, Industry and Regions</w:t>
      </w:r>
    </w:p>
    <w:p w14:paraId="5494E3CF" w14:textId="77777777" w:rsidR="00BA29BE" w:rsidRDefault="00BA29BE" w:rsidP="00BA29BE">
      <w:pPr>
        <w:pStyle w:val="Note"/>
      </w:pPr>
      <w:r>
        <w:t>Notes:</w:t>
      </w:r>
    </w:p>
    <w:p w14:paraId="6EF457D5" w14:textId="171FD4EB" w:rsidR="00BA29BE" w:rsidRDefault="002A78E9" w:rsidP="002A78E9">
      <w:pPr>
        <w:pStyle w:val="Note"/>
      </w:pPr>
      <w:r>
        <w:t>(a)</w:t>
      </w:r>
      <w:r>
        <w:tab/>
      </w:r>
      <w:r w:rsidR="00BA29BE">
        <w:t>The purpose of this fund is to support economic and community development in rural and regional Victoria.</w:t>
      </w:r>
    </w:p>
    <w:p w14:paraId="2EDA8C34" w14:textId="2F7E0C0E" w:rsidR="00BA29BE" w:rsidRDefault="002A78E9" w:rsidP="002A78E9">
      <w:pPr>
        <w:pStyle w:val="Note"/>
      </w:pPr>
      <w:r>
        <w:t>(b)</w:t>
      </w:r>
      <w:r>
        <w:tab/>
      </w:r>
      <w:r w:rsidR="00BA29BE">
        <w:t>The purpose of this trust is to support recreational fishing projects funded from income received from the sale of recreational fishing licences.</w:t>
      </w:r>
    </w:p>
    <w:p w14:paraId="11416A41" w14:textId="15907A58" w:rsidR="00BA29BE" w:rsidRDefault="002A78E9" w:rsidP="002A78E9">
      <w:pPr>
        <w:pStyle w:val="Note"/>
      </w:pPr>
      <w:r>
        <w:t>(c)</w:t>
      </w:r>
      <w:r>
        <w:tab/>
      </w:r>
      <w:r w:rsidR="00BA29BE">
        <w:t>Includes interdepartmental transfers.</w:t>
      </w:r>
    </w:p>
    <w:p w14:paraId="1595FE68" w14:textId="77777777" w:rsidR="00BA29BE" w:rsidRPr="00733A2F" w:rsidRDefault="00BA29BE" w:rsidP="00BA29BE">
      <w:r w:rsidRPr="00733A2F">
        <w:br w:type="page"/>
      </w:r>
    </w:p>
    <w:bookmarkEnd w:id="11"/>
    <w:p w14:paraId="6877916C" w14:textId="77777777" w:rsidR="00824558" w:rsidRPr="00C715E8" w:rsidRDefault="00824558">
      <w:pPr>
        <w:keepNext/>
        <w:tabs>
          <w:tab w:val="right" w:pos="9582"/>
        </w:tabs>
        <w:spacing w:before="240" w:after="120"/>
        <w:outlineLvl w:val="1"/>
        <w:rPr>
          <w:rFonts w:ascii="Calibri" w:eastAsia="MS Gothic" w:hAnsi="Calibri"/>
          <w:b/>
          <w:spacing w:val="-2"/>
          <w:sz w:val="26"/>
          <w:szCs w:val="26"/>
        </w:rPr>
      </w:pPr>
      <w:r w:rsidRPr="00C715E8">
        <w:rPr>
          <w:rFonts w:ascii="Calibri" w:eastAsia="MS Gothic" w:hAnsi="Calibri"/>
          <w:b/>
          <w:spacing w:val="-2"/>
          <w:sz w:val="26"/>
          <w:szCs w:val="26"/>
        </w:rPr>
        <w:lastRenderedPageBreak/>
        <w:t>Departmental objectives and outputs</w:t>
      </w:r>
    </w:p>
    <w:p w14:paraId="4E12C240" w14:textId="77777777" w:rsidR="00824558" w:rsidRPr="00C715E8" w:rsidRDefault="00824558">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C715E8">
        <w:rPr>
          <w:rFonts w:ascii="Calibri" w:eastAsia="Garamond" w:hAnsi="Calibri"/>
          <w:b/>
          <w:sz w:val="20"/>
        </w:rPr>
        <w:t>Objective 1: Create and maintain jobs</w:t>
      </w:r>
    </w:p>
    <w:p w14:paraId="40B2E386" w14:textId="77777777" w:rsidR="00824558" w:rsidRPr="00C715E8"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C715E8">
        <w:rPr>
          <w:rFonts w:ascii="Garamond" w:eastAsia="Garamond" w:hAnsi="Garamond"/>
        </w:rPr>
        <w:t>This objective seeks to secure a growing, sustainable and equitable jobs market for all Victorians by working with businesses to increase job opportunities, and attract the investment and talent needed to foster job growth</w:t>
      </w:r>
      <w:r w:rsidRPr="00276006">
        <w:rPr>
          <w:rFonts w:ascii="Garamond" w:eastAsia="Garamond" w:hAnsi="Garamond"/>
        </w:rPr>
        <w:t>.</w:t>
      </w:r>
    </w:p>
    <w:p w14:paraId="29CF5017" w14:textId="77777777" w:rsidR="00824558" w:rsidRPr="00C715E8"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C715E8">
        <w:rPr>
          <w:rFonts w:ascii="Garamond" w:eastAsia="Garamond" w:hAnsi="Garamond"/>
        </w:rPr>
        <w:t>The departmental objective indicator is:</w:t>
      </w:r>
    </w:p>
    <w:p w14:paraId="114055FB" w14:textId="77777777" w:rsidR="00824558" w:rsidRPr="00276006" w:rsidRDefault="00824558">
      <w:pPr>
        <w:pStyle w:val="ShadedBoxBullet"/>
        <w:contextualSpacing/>
        <w:rPr>
          <w:rFonts w:cs="Calibri"/>
        </w:rPr>
      </w:pPr>
      <w:r w:rsidRPr="00C715E8">
        <w:t xml:space="preserve">people employed in Victoria. </w:t>
      </w:r>
    </w:p>
    <w:p w14:paraId="6C2F2691" w14:textId="77777777" w:rsidR="00824558" w:rsidRDefault="00824558">
      <w:pPr>
        <w:pStyle w:val="Heading3"/>
      </w:pPr>
      <w:r>
        <w:t>Outputs</w:t>
      </w:r>
    </w:p>
    <w:p w14:paraId="67E78534" w14:textId="08D570CB" w:rsidR="00824558" w:rsidRDefault="00824558">
      <w:pPr>
        <w:pStyle w:val="Heading3"/>
      </w:pPr>
      <w:r>
        <w:t>Jobs</w:t>
      </w:r>
      <w:r>
        <w:tab/>
        <w:t>(2026-27: $</w:t>
      </w:r>
      <w:r w:rsidR="00523B49">
        <w:t xml:space="preserve">43.6 </w:t>
      </w:r>
      <w:r>
        <w:t>million)</w:t>
      </w:r>
    </w:p>
    <w:p w14:paraId="37EE17E6" w14:textId="77777777" w:rsidR="00824558" w:rsidRPr="000376BD" w:rsidRDefault="00824558" w:rsidP="00E17D4A">
      <w:pPr>
        <w:spacing w:after="120"/>
      </w:pPr>
      <w:r w:rsidRPr="00C75C83">
        <w:rPr>
          <w:rFonts w:ascii="Garamond" w:eastAsia="Garamond" w:hAnsi="Garamond"/>
        </w:rPr>
        <w:t>This output includes actions to increase job opportunities, support for Aboriginal economic inclusion, as well as attract new investment and talent into Victoria to grow the economy and share the benefits of economic prosperity.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72B67D9"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4179DA2" w14:textId="77777777" w:rsidR="00824558" w:rsidRDefault="00824558">
            <w:r>
              <w:t>Performance measure</w:t>
            </w:r>
          </w:p>
        </w:tc>
        <w:tc>
          <w:tcPr>
            <w:tcW w:w="964" w:type="dxa"/>
          </w:tcPr>
          <w:p w14:paraId="590729D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2DCFCB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2D7C9A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B5EF47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4D5550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1CD4103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073BD12B" w14:textId="77777777" w:rsidR="00824558" w:rsidRPr="00A9225F" w:rsidRDefault="00824558">
            <w:pPr>
              <w:keepNext/>
              <w:tabs>
                <w:tab w:val="left" w:pos="8580"/>
              </w:tabs>
              <w:rPr>
                <w:b/>
              </w:rPr>
            </w:pPr>
            <w:r w:rsidRPr="00A9225F">
              <w:rPr>
                <w:b/>
              </w:rPr>
              <w:t>Quantity</w:t>
            </w:r>
          </w:p>
        </w:tc>
      </w:tr>
      <w:tr w:rsidR="00824558" w14:paraId="61E65D3F"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7F3DFE" w14:textId="77777777" w:rsidR="00824558" w:rsidRDefault="00824558">
            <w:pPr>
              <w:ind w:left="170"/>
            </w:pPr>
            <w:r>
              <w:t>Government Youth Employment Scheme traineeships commenced</w:t>
            </w:r>
          </w:p>
        </w:tc>
        <w:tc>
          <w:tcPr>
            <w:tcW w:w="964" w:type="dxa"/>
            <w:tcBorders>
              <w:bottom w:val="single" w:sz="6" w:space="0" w:color="auto"/>
            </w:tcBorders>
          </w:tcPr>
          <w:p w14:paraId="4279E03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89C490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EAA1BE1" w14:textId="77777777" w:rsidR="00824558" w:rsidRDefault="00824558">
            <w:pPr>
              <w:cnfStyle w:val="000000000000" w:firstRow="0" w:lastRow="0" w:firstColumn="0" w:lastColumn="0" w:oddVBand="0" w:evenVBand="0" w:oddHBand="0" w:evenHBand="0" w:firstRowFirstColumn="0" w:firstRowLastColumn="0" w:lastRowFirstColumn="0" w:lastRowLastColumn="0"/>
            </w:pPr>
            <w:r>
              <w:t>103</w:t>
            </w:r>
          </w:p>
        </w:tc>
        <w:tc>
          <w:tcPr>
            <w:tcW w:w="964" w:type="dxa"/>
            <w:tcBorders>
              <w:bottom w:val="single" w:sz="6" w:space="0" w:color="auto"/>
            </w:tcBorders>
          </w:tcPr>
          <w:p w14:paraId="5EFC897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93358E7" w14:textId="77777777" w:rsidR="00824558" w:rsidRDefault="00824558">
            <w:pPr>
              <w:cnfStyle w:val="000000000000" w:firstRow="0" w:lastRow="0" w:firstColumn="0" w:lastColumn="0" w:oddVBand="0" w:evenVBand="0" w:oddHBand="0" w:evenHBand="0" w:firstRowFirstColumn="0" w:firstRowLastColumn="0" w:lastRowFirstColumn="0" w:lastRowLastColumn="0"/>
            </w:pPr>
            <w:r>
              <w:t>139</w:t>
            </w:r>
          </w:p>
        </w:tc>
      </w:tr>
      <w:tr w:rsidR="00824558" w14:paraId="05345E51"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D943717" w14:textId="77777777" w:rsidR="00824558" w:rsidRDefault="00824558">
            <w:pPr>
              <w:keepNext/>
              <w:ind w:left="170"/>
            </w:pPr>
            <w:r>
              <w:t>Industry stakeholders engaged with the Local Jobs First Policy</w:t>
            </w:r>
          </w:p>
        </w:tc>
        <w:tc>
          <w:tcPr>
            <w:tcW w:w="964" w:type="dxa"/>
          </w:tcPr>
          <w:p w14:paraId="1A125B3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D41984E"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687CCDF0" w14:textId="77777777" w:rsidR="00824558" w:rsidRDefault="00824558">
            <w:pPr>
              <w:cnfStyle w:val="000000000000" w:firstRow="0" w:lastRow="0" w:firstColumn="0" w:lastColumn="0" w:oddVBand="0" w:evenVBand="0" w:oddHBand="0" w:evenHBand="0" w:firstRowFirstColumn="0" w:firstRowLastColumn="0" w:lastRowFirstColumn="0" w:lastRowLastColumn="0"/>
            </w:pPr>
            <w:r>
              <w:t>700</w:t>
            </w:r>
          </w:p>
        </w:tc>
        <w:tc>
          <w:tcPr>
            <w:tcW w:w="964" w:type="dxa"/>
          </w:tcPr>
          <w:p w14:paraId="16F555B8"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5CE62C0A" w14:textId="77777777" w:rsidR="00824558" w:rsidRDefault="00824558">
            <w:pPr>
              <w:cnfStyle w:val="000000000000" w:firstRow="0" w:lastRow="0" w:firstColumn="0" w:lastColumn="0" w:oddVBand="0" w:evenVBand="0" w:oddHBand="0" w:evenHBand="0" w:firstRowFirstColumn="0" w:firstRowLastColumn="0" w:lastRowFirstColumn="0" w:lastRowLastColumn="0"/>
            </w:pPr>
            <w:r>
              <w:t>793</w:t>
            </w:r>
          </w:p>
        </w:tc>
      </w:tr>
      <w:tr w:rsidR="00824558" w14:paraId="05C1CCF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13055E" w14:textId="526C5091" w:rsidR="00824558" w:rsidRDefault="00824558">
            <w:pPr>
              <w:ind w:left="170"/>
            </w:pPr>
            <w:r>
              <w:rPr>
                <w:i/>
              </w:rPr>
              <w:t>The 2025-26 expected outcome is lower than the target due to the conclusion of the previous Local Jobs First Commissioner</w:t>
            </w:r>
            <w:r w:rsidR="007942D1">
              <w:rPr>
                <w:i/>
              </w:rPr>
              <w:t>’</w:t>
            </w:r>
            <w:r>
              <w:rPr>
                <w:i/>
              </w:rPr>
              <w:t>s term and the commencement of the acting Local Jobs First Commissioner.</w:t>
            </w:r>
          </w:p>
        </w:tc>
      </w:tr>
      <w:tr w:rsidR="00824558" w14:paraId="1150003A"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6E166E3" w14:textId="77777777" w:rsidR="00824558" w:rsidRDefault="00824558">
            <w:pPr>
              <w:keepNext/>
              <w:ind w:left="170"/>
            </w:pPr>
            <w:r>
              <w:t>Migrant talent nominated for the Skilled, Investor and Business Migration Program</w:t>
            </w:r>
          </w:p>
        </w:tc>
        <w:tc>
          <w:tcPr>
            <w:tcW w:w="964" w:type="dxa"/>
          </w:tcPr>
          <w:p w14:paraId="40350B0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DF4C90F"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42D22329" w14:textId="77777777" w:rsidR="00824558" w:rsidRDefault="00824558">
            <w:pPr>
              <w:cnfStyle w:val="000000000000" w:firstRow="0" w:lastRow="0" w:firstColumn="0" w:lastColumn="0" w:oddVBand="0" w:evenVBand="0" w:oddHBand="0" w:evenHBand="0" w:firstRowFirstColumn="0" w:firstRowLastColumn="0" w:lastRowFirstColumn="0" w:lastRowLastColumn="0"/>
            </w:pPr>
            <w:r>
              <w:t>3 400</w:t>
            </w:r>
          </w:p>
        </w:tc>
        <w:tc>
          <w:tcPr>
            <w:tcW w:w="964" w:type="dxa"/>
          </w:tcPr>
          <w:p w14:paraId="129BA627"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7841D9DE" w14:textId="77777777" w:rsidR="00824558" w:rsidRDefault="00824558">
            <w:pPr>
              <w:cnfStyle w:val="000000000000" w:firstRow="0" w:lastRow="0" w:firstColumn="0" w:lastColumn="0" w:oddVBand="0" w:evenVBand="0" w:oddHBand="0" w:evenHBand="0" w:firstRowFirstColumn="0" w:firstRowLastColumn="0" w:lastRowFirstColumn="0" w:lastRowLastColumn="0"/>
            </w:pPr>
            <w:r>
              <w:t>5 000</w:t>
            </w:r>
          </w:p>
        </w:tc>
      </w:tr>
      <w:tr w:rsidR="00824558" w14:paraId="4A66344D"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257E2C" w14:textId="4168F043" w:rsidR="00824558" w:rsidRDefault="00824558">
            <w:pPr>
              <w:ind w:left="170"/>
            </w:pPr>
            <w:r>
              <w:rPr>
                <w:i/>
              </w:rPr>
              <w:t xml:space="preserve">The </w:t>
            </w:r>
            <w:r w:rsidR="008F7A05">
              <w:rPr>
                <w:i/>
              </w:rPr>
              <w:t>2025-26</w:t>
            </w:r>
            <w:r>
              <w:rPr>
                <w:i/>
              </w:rPr>
              <w:t xml:space="preserve"> expected outcome is lower than the target as the Commonwealth Government</w:t>
            </w:r>
            <w:r w:rsidR="007942D1">
              <w:rPr>
                <w:i/>
              </w:rPr>
              <w:t>’</w:t>
            </w:r>
            <w:r>
              <w:rPr>
                <w:i/>
              </w:rPr>
              <w:t>s 2025-26 actual visa nomination place allocation is lower (3</w:t>
            </w:r>
            <w:r w:rsidR="00A33DA0">
              <w:rPr>
                <w:i/>
              </w:rPr>
              <w:t> </w:t>
            </w:r>
            <w:r>
              <w:rPr>
                <w:i/>
              </w:rPr>
              <w:t>400) than the target (4</w:t>
            </w:r>
            <w:r w:rsidR="00A33DA0">
              <w:rPr>
                <w:i/>
              </w:rPr>
              <w:t> </w:t>
            </w:r>
            <w:r>
              <w:rPr>
                <w:i/>
              </w:rPr>
              <w:t xml:space="preserve">000). </w:t>
            </w:r>
            <w:r w:rsidR="009C5235">
              <w:rPr>
                <w:i/>
              </w:rPr>
              <w:t>The Department of Jobs, Skills</w:t>
            </w:r>
            <w:r w:rsidR="00717F59">
              <w:rPr>
                <w:i/>
              </w:rPr>
              <w:t>, Industry and Regions (</w:t>
            </w:r>
            <w:r>
              <w:rPr>
                <w:i/>
              </w:rPr>
              <w:t>DJSIR</w:t>
            </w:r>
            <w:r w:rsidR="00717F59">
              <w:rPr>
                <w:i/>
              </w:rPr>
              <w:t>)</w:t>
            </w:r>
            <w:r w:rsidR="007942D1">
              <w:rPr>
                <w:i/>
              </w:rPr>
              <w:t>’</w:t>
            </w:r>
            <w:r>
              <w:rPr>
                <w:i/>
              </w:rPr>
              <w:t xml:space="preserve">s </w:t>
            </w:r>
            <w:r w:rsidR="008F7A05">
              <w:rPr>
                <w:i/>
              </w:rPr>
              <w:t>2025-26</w:t>
            </w:r>
            <w:r>
              <w:rPr>
                <w:i/>
              </w:rPr>
              <w:t xml:space="preserve"> expected outcome is aligned with the actual allocation.</w:t>
            </w:r>
          </w:p>
        </w:tc>
      </w:tr>
      <w:tr w:rsidR="00824558" w14:paraId="6C2EFF32"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DF15167" w14:textId="77777777" w:rsidR="00824558" w:rsidRDefault="00824558">
            <w:pPr>
              <w:keepNext/>
              <w:ind w:left="170"/>
            </w:pPr>
            <w:r>
              <w:t>Number of job placements delivered by local employment initiatives</w:t>
            </w:r>
          </w:p>
        </w:tc>
        <w:tc>
          <w:tcPr>
            <w:tcW w:w="964" w:type="dxa"/>
          </w:tcPr>
          <w:p w14:paraId="3DCCB7A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Pr>
          <w:p w14:paraId="71AF7130"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72963C9D" w14:textId="77777777" w:rsidR="00824558" w:rsidRDefault="00824558">
            <w:pPr>
              <w:cnfStyle w:val="000000000000" w:firstRow="0" w:lastRow="0" w:firstColumn="0" w:lastColumn="0" w:oddVBand="0" w:evenVBand="0" w:oddHBand="0" w:evenHBand="0" w:firstRowFirstColumn="0" w:firstRowLastColumn="0" w:lastRowFirstColumn="0" w:lastRowLastColumn="0"/>
            </w:pPr>
            <w:r>
              <w:t>170</w:t>
            </w:r>
          </w:p>
        </w:tc>
        <w:tc>
          <w:tcPr>
            <w:tcW w:w="964" w:type="dxa"/>
          </w:tcPr>
          <w:p w14:paraId="08A04EBF"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08F9A4A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06FA4A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2012184" w14:textId="77777777" w:rsidR="00824558" w:rsidRDefault="00824558">
            <w:pPr>
              <w:ind w:left="170"/>
            </w:pPr>
            <w:r>
              <w:rPr>
                <w:i/>
              </w:rPr>
              <w:t>The 2025-26 expected outcome is lower than the target, reflecting the revised start of contracted job placements for the local employment initiative following the designing and targeting of the programs to maximise impact.</w:t>
            </w:r>
          </w:p>
        </w:tc>
      </w:tr>
      <w:tr w:rsidR="00824558" w:rsidRPr="00A9225F" w14:paraId="7F9D5CB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360BD955" w14:textId="77777777" w:rsidR="00824558" w:rsidRPr="00A9225F" w:rsidRDefault="00824558">
            <w:pPr>
              <w:keepNext/>
              <w:rPr>
                <w:b/>
              </w:rPr>
            </w:pPr>
            <w:r w:rsidRPr="00A9225F">
              <w:rPr>
                <w:b/>
              </w:rPr>
              <w:t>Quality</w:t>
            </w:r>
          </w:p>
        </w:tc>
      </w:tr>
      <w:tr w:rsidR="00824558" w14:paraId="26A538B2"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2FB5D61" w14:textId="77777777" w:rsidR="00824558" w:rsidRDefault="00824558">
            <w:pPr>
              <w:ind w:left="170"/>
            </w:pPr>
            <w:r>
              <w:t>Client satisfaction with investor, business and skilled migration services provided</w:t>
            </w:r>
          </w:p>
        </w:tc>
        <w:tc>
          <w:tcPr>
            <w:tcW w:w="964" w:type="dxa"/>
            <w:tcBorders>
              <w:bottom w:val="single" w:sz="6" w:space="0" w:color="auto"/>
            </w:tcBorders>
          </w:tcPr>
          <w:p w14:paraId="103A3E5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5772D6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814D9E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2F8297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55B9D11" w14:textId="77777777" w:rsidR="00824558" w:rsidRDefault="00824558">
            <w:pPr>
              <w:cnfStyle w:val="000000000000" w:firstRow="0" w:lastRow="0" w:firstColumn="0" w:lastColumn="0" w:oddVBand="0" w:evenVBand="0" w:oddHBand="0" w:evenHBand="0" w:firstRowFirstColumn="0" w:firstRowLastColumn="0" w:lastRowFirstColumn="0" w:lastRowLastColumn="0"/>
            </w:pPr>
            <w:r>
              <w:t>93.5</w:t>
            </w:r>
          </w:p>
        </w:tc>
      </w:tr>
      <w:tr w:rsidR="00824558" w:rsidRPr="00A9225F" w14:paraId="6EB2E49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2B7CD2E2" w14:textId="77777777" w:rsidR="00824558" w:rsidRPr="00A9225F" w:rsidRDefault="00824558">
            <w:pPr>
              <w:keepNext/>
              <w:rPr>
                <w:b/>
              </w:rPr>
            </w:pPr>
            <w:r w:rsidRPr="00A9225F">
              <w:rPr>
                <w:b/>
              </w:rPr>
              <w:t>Timeliness</w:t>
            </w:r>
          </w:p>
        </w:tc>
      </w:tr>
      <w:tr w:rsidR="00824558" w14:paraId="14B83070"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FF8EEDA" w14:textId="77777777" w:rsidR="00824558" w:rsidRDefault="00824558">
            <w:pPr>
              <w:keepNext/>
              <w:ind w:left="170"/>
            </w:pPr>
            <w:r>
              <w:t>Average processing time for investor, business and skilled migration visa nomination applications</w:t>
            </w:r>
          </w:p>
        </w:tc>
        <w:tc>
          <w:tcPr>
            <w:tcW w:w="964" w:type="dxa"/>
          </w:tcPr>
          <w:p w14:paraId="6BF0100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73A335BA"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7511D7A"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Pr>
          <w:p w14:paraId="5DE4A35E"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275C2305" w14:textId="77777777" w:rsidR="00824558" w:rsidRDefault="00824558">
            <w:pPr>
              <w:cnfStyle w:val="000000000000" w:firstRow="0" w:lastRow="0" w:firstColumn="0" w:lastColumn="0" w:oddVBand="0" w:evenVBand="0" w:oddHBand="0" w:evenHBand="0" w:firstRowFirstColumn="0" w:firstRowLastColumn="0" w:lastRowFirstColumn="0" w:lastRowLastColumn="0"/>
            </w:pPr>
            <w:r>
              <w:t>15.4</w:t>
            </w:r>
          </w:p>
        </w:tc>
      </w:tr>
      <w:tr w:rsidR="00824558" w14:paraId="692A0BC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927064F" w14:textId="3BC5428D" w:rsidR="00824558" w:rsidRDefault="00824558">
            <w:pPr>
              <w:ind w:left="170"/>
            </w:pPr>
            <w:r>
              <w:rPr>
                <w:i/>
              </w:rPr>
              <w:t xml:space="preserve">The </w:t>
            </w:r>
            <w:r w:rsidR="008F7A05">
              <w:rPr>
                <w:i/>
              </w:rPr>
              <w:t>2025-26</w:t>
            </w:r>
            <w:r>
              <w:rPr>
                <w:i/>
              </w:rPr>
              <w:t xml:space="preserve"> expected outcome is lower than the target due to the Commonwealth Government</w:t>
            </w:r>
            <w:r w:rsidR="007942D1">
              <w:rPr>
                <w:i/>
              </w:rPr>
              <w:t>’</w:t>
            </w:r>
            <w:r>
              <w:rPr>
                <w:i/>
              </w:rPr>
              <w:t>s reduced visa nomination place allocation as well as DJSIR</w:t>
            </w:r>
            <w:r w:rsidR="007942D1">
              <w:rPr>
                <w:i/>
              </w:rPr>
              <w:t>’</w:t>
            </w:r>
            <w:r>
              <w:rPr>
                <w:i/>
              </w:rPr>
              <w:t>s processing prioritisation to compensate for the Commonwealth Government</w:t>
            </w:r>
            <w:r w:rsidR="007942D1">
              <w:rPr>
                <w:i/>
              </w:rPr>
              <w:t>’</w:t>
            </w:r>
            <w:r>
              <w:rPr>
                <w:i/>
              </w:rPr>
              <w:t>s delayed allocation for the financial year. For this measure, an outcome below the target is preferred.</w:t>
            </w:r>
          </w:p>
        </w:tc>
      </w:tr>
      <w:tr w:rsidR="0012290E" w:rsidRPr="00DC0EBC" w14:paraId="7659FFE4"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42FBC5C" w14:textId="77777777" w:rsidR="0012290E" w:rsidRPr="00DC0EBC" w:rsidRDefault="0012290E">
            <w:pPr>
              <w:keepNext/>
              <w:rPr>
                <w:b/>
              </w:rPr>
            </w:pPr>
            <w:r w:rsidRPr="00DC0EBC">
              <w:rPr>
                <w:b/>
              </w:rPr>
              <w:t>Cost</w:t>
            </w:r>
          </w:p>
        </w:tc>
      </w:tr>
      <w:tr w:rsidR="0012290E" w14:paraId="4ADF5596" w14:textId="77777777" w:rsidTr="008D16E5">
        <w:tc>
          <w:tcPr>
            <w:cnfStyle w:val="001000000000" w:firstRow="0" w:lastRow="0" w:firstColumn="1" w:lastColumn="0" w:oddVBand="0" w:evenVBand="0" w:oddHBand="0" w:evenHBand="0" w:firstRowFirstColumn="0" w:firstRowLastColumn="0" w:lastRowFirstColumn="0" w:lastRowLastColumn="0"/>
            <w:tcW w:w="4819" w:type="dxa"/>
          </w:tcPr>
          <w:p w14:paraId="75BAD24C" w14:textId="77777777" w:rsidR="0012290E" w:rsidRDefault="0012290E">
            <w:pPr>
              <w:keepNext/>
              <w:ind w:left="170"/>
            </w:pPr>
            <w:r>
              <w:t>Total output cost</w:t>
            </w:r>
          </w:p>
        </w:tc>
        <w:tc>
          <w:tcPr>
            <w:tcW w:w="964" w:type="dxa"/>
          </w:tcPr>
          <w:p w14:paraId="1B22B336" w14:textId="77777777" w:rsidR="0012290E" w:rsidRDefault="0012290E">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1D41CD00" w14:textId="2E8B22C0" w:rsidR="0012290E" w:rsidRPr="004D0078" w:rsidRDefault="00334508">
            <w:pPr>
              <w:cnfStyle w:val="000000000000" w:firstRow="0" w:lastRow="0" w:firstColumn="0" w:lastColumn="0" w:oddVBand="0" w:evenVBand="0" w:oddHBand="0" w:evenHBand="0" w:firstRowFirstColumn="0" w:firstRowLastColumn="0" w:lastRowFirstColumn="0" w:lastRowLastColumn="0"/>
              <w:rPr>
                <w:highlight w:val="yellow"/>
              </w:rPr>
            </w:pPr>
            <w:r>
              <w:t>43.6</w:t>
            </w:r>
          </w:p>
        </w:tc>
        <w:tc>
          <w:tcPr>
            <w:tcW w:w="964" w:type="dxa"/>
          </w:tcPr>
          <w:p w14:paraId="00623D30" w14:textId="2A7FC817" w:rsidR="0012290E" w:rsidRPr="004D0078" w:rsidRDefault="00E96BDE">
            <w:pPr>
              <w:cnfStyle w:val="000000000000" w:firstRow="0" w:lastRow="0" w:firstColumn="0" w:lastColumn="0" w:oddVBand="0" w:evenVBand="0" w:oddHBand="0" w:evenHBand="0" w:firstRowFirstColumn="0" w:firstRowLastColumn="0" w:lastRowFirstColumn="0" w:lastRowLastColumn="0"/>
              <w:rPr>
                <w:highlight w:val="yellow"/>
              </w:rPr>
            </w:pPr>
            <w:r>
              <w:t>45.9</w:t>
            </w:r>
          </w:p>
        </w:tc>
        <w:tc>
          <w:tcPr>
            <w:tcW w:w="964" w:type="dxa"/>
          </w:tcPr>
          <w:p w14:paraId="53D21927" w14:textId="435B3772" w:rsidR="0012290E" w:rsidRPr="004D0078" w:rsidRDefault="0005381C">
            <w:pPr>
              <w:cnfStyle w:val="000000000000" w:firstRow="0" w:lastRow="0" w:firstColumn="0" w:lastColumn="0" w:oddVBand="0" w:evenVBand="0" w:oddHBand="0" w:evenHBand="0" w:firstRowFirstColumn="0" w:firstRowLastColumn="0" w:lastRowFirstColumn="0" w:lastRowLastColumn="0"/>
              <w:rPr>
                <w:highlight w:val="yellow"/>
              </w:rPr>
            </w:pPr>
            <w:r>
              <w:t>30.9</w:t>
            </w:r>
          </w:p>
        </w:tc>
        <w:tc>
          <w:tcPr>
            <w:tcW w:w="964" w:type="dxa"/>
          </w:tcPr>
          <w:p w14:paraId="3E1BC848" w14:textId="7422A8B0" w:rsidR="0012290E" w:rsidRPr="004D0078" w:rsidRDefault="008D16E5">
            <w:pPr>
              <w:cnfStyle w:val="000000000000" w:firstRow="0" w:lastRow="0" w:firstColumn="0" w:lastColumn="0" w:oddVBand="0" w:evenVBand="0" w:oddHBand="0" w:evenHBand="0" w:firstRowFirstColumn="0" w:firstRowLastColumn="0" w:lastRowFirstColumn="0" w:lastRowLastColumn="0"/>
              <w:rPr>
                <w:highlight w:val="yellow"/>
              </w:rPr>
            </w:pPr>
            <w:r>
              <w:t>49.7</w:t>
            </w:r>
          </w:p>
        </w:tc>
      </w:tr>
      <w:tr w:rsidR="0052593F" w14:paraId="1A4BC99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BDAF73D" w14:textId="6563AC41" w:rsidR="0052593F" w:rsidRDefault="00BC4CBA" w:rsidP="00BC4CBA">
            <w:pPr>
              <w:ind w:left="170"/>
            </w:pPr>
            <w:r w:rsidRPr="00BC4CBA">
              <w:rPr>
                <w:i/>
              </w:rPr>
              <w:t>The 2025-26 expected outcome is higher than the 2025-26 target primarily due to funding re-alignment from the Industry and Small Business sub</w:t>
            </w:r>
            <w:r w:rsidR="00B420DB">
              <w:rPr>
                <w:i/>
              </w:rPr>
              <w:t>-</w:t>
            </w:r>
            <w:r w:rsidRPr="00BC4CBA">
              <w:rPr>
                <w:i/>
              </w:rPr>
              <w:t xml:space="preserve">output, and funding approved for EPPC Yuma Yirramboi </w:t>
            </w:r>
            <w:r w:rsidR="00AD4833">
              <w:rPr>
                <w:i/>
              </w:rPr>
              <w:t>–</w:t>
            </w:r>
            <w:r w:rsidRPr="00BC4CBA">
              <w:rPr>
                <w:i/>
              </w:rPr>
              <w:t xml:space="preserve"> Stage 1 and Skills Solutions Partnerships Programs.</w:t>
            </w:r>
          </w:p>
        </w:tc>
      </w:tr>
      <w:tr w:rsidR="008D16E5" w14:paraId="226471E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64E3C1A" w14:textId="697FFF5C" w:rsidR="008D16E5" w:rsidRPr="00BC4CBA" w:rsidRDefault="0052593F" w:rsidP="00BC4CBA">
            <w:pPr>
              <w:ind w:left="170"/>
              <w:rPr>
                <w:i/>
              </w:rPr>
            </w:pPr>
            <w:r w:rsidRPr="00BC4CBA">
              <w:rPr>
                <w:i/>
              </w:rPr>
              <w:t xml:space="preserve">The 2026-27 target is higher than the 2025-26 target primarily due to new funding in the </w:t>
            </w:r>
            <w:r w:rsidRPr="00D10266">
              <w:t>2026-27 Budget</w:t>
            </w:r>
            <w:r w:rsidRPr="00BC4CBA">
              <w:rPr>
                <w:i/>
              </w:rPr>
              <w:t xml:space="preserve"> for </w:t>
            </w:r>
            <w:r w:rsidR="00EF756F">
              <w:rPr>
                <w:i/>
              </w:rPr>
              <w:t>Local Jobs First</w:t>
            </w:r>
            <w:r w:rsidRPr="00BC4CBA">
              <w:rPr>
                <w:i/>
              </w:rPr>
              <w:t>.</w:t>
            </w:r>
          </w:p>
        </w:tc>
      </w:tr>
    </w:tbl>
    <w:p w14:paraId="0D1357C5" w14:textId="77777777" w:rsidR="00824558" w:rsidRDefault="00824558">
      <w:pPr>
        <w:pStyle w:val="Source"/>
      </w:pPr>
      <w:r>
        <w:t>Source: Department of Jobs, Skills, Industry and Regions</w:t>
      </w:r>
    </w:p>
    <w:p w14:paraId="3A1ADF0F" w14:textId="3EFEA424" w:rsidR="00824558" w:rsidRPr="008F0B97" w:rsidRDefault="00824558">
      <w:pPr>
        <w:keepNext/>
        <w:pageBreakBefore/>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8F0B97">
        <w:rPr>
          <w:rFonts w:ascii="Calibri" w:eastAsia="Garamond" w:hAnsi="Calibri"/>
          <w:b/>
          <w:sz w:val="20"/>
        </w:rPr>
        <w:lastRenderedPageBreak/>
        <w:t>Objective 2: Foster a competitive business environment</w:t>
      </w:r>
    </w:p>
    <w:p w14:paraId="33EC08A8" w14:textId="77777777" w:rsidR="00824558" w:rsidRPr="008F0B97"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8F0B97">
        <w:rPr>
          <w:rFonts w:ascii="Garamond" w:eastAsia="Garamond" w:hAnsi="Garamond"/>
        </w:rPr>
        <w:t>This objective seeks to grow Victorian industries and businesses by working with priority industry sectors</w:t>
      </w:r>
      <w:r w:rsidRPr="008F0B97">
        <w:rPr>
          <w:rFonts w:ascii="Garamond" w:eastAsia="Garamond" w:hAnsi="Garamond"/>
          <w:sz w:val="23"/>
          <w:szCs w:val="23"/>
        </w:rPr>
        <w:t xml:space="preserve">, </w:t>
      </w:r>
      <w:r w:rsidRPr="008F0B97">
        <w:rPr>
          <w:rFonts w:ascii="Garamond" w:eastAsia="Garamond" w:hAnsi="Garamond"/>
        </w:rPr>
        <w:t>supporting growth and innovation and commercialisation opportunities, supporting startups and small businesses, and assisting industries in transition.</w:t>
      </w:r>
    </w:p>
    <w:p w14:paraId="0114F671" w14:textId="77777777" w:rsidR="00824558" w:rsidRPr="008F0B97"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8F0B97">
        <w:rPr>
          <w:rFonts w:ascii="Garamond" w:eastAsia="Garamond" w:hAnsi="Garamond"/>
        </w:rPr>
        <w:t>The departmental objective indicators are:</w:t>
      </w:r>
    </w:p>
    <w:p w14:paraId="1C3F05A0" w14:textId="4EF3BC1B" w:rsidR="00824558" w:rsidRPr="00F56BD2" w:rsidRDefault="00824558">
      <w:pPr>
        <w:pStyle w:val="ShadedBoxBullet"/>
        <w:contextualSpacing/>
      </w:pPr>
      <w:r w:rsidRPr="00F56BD2">
        <w:t>change in Victoria</w:t>
      </w:r>
      <w:r w:rsidR="007942D1">
        <w:t>’</w:t>
      </w:r>
      <w:r w:rsidRPr="00F56BD2">
        <w:t>s real gross state product</w:t>
      </w:r>
    </w:p>
    <w:p w14:paraId="38C783EC" w14:textId="77777777" w:rsidR="00824558" w:rsidRPr="00F56BD2" w:rsidRDefault="00824558">
      <w:pPr>
        <w:pStyle w:val="ShadedBoxBullet"/>
        <w:contextualSpacing/>
      </w:pPr>
      <w:r w:rsidRPr="00F56BD2">
        <w:t>number of employing businesses.</w:t>
      </w:r>
    </w:p>
    <w:p w14:paraId="591CCDEF" w14:textId="77777777" w:rsidR="00824558" w:rsidRDefault="00824558">
      <w:pPr>
        <w:pStyle w:val="Heading3"/>
      </w:pPr>
      <w:r>
        <w:t>Outputs</w:t>
      </w:r>
    </w:p>
    <w:p w14:paraId="41154036" w14:textId="7A957E75" w:rsidR="00824558" w:rsidRDefault="00824558">
      <w:pPr>
        <w:pStyle w:val="Heading3"/>
      </w:pPr>
      <w:r>
        <w:t>Industry, Small Business and Medical Research</w:t>
      </w:r>
      <w:r>
        <w:tab/>
        <w:t>(2026-27: $</w:t>
      </w:r>
      <w:r w:rsidR="008A3F06">
        <w:t>342.3</w:t>
      </w:r>
      <w:r>
        <w:t xml:space="preserve"> million)</w:t>
      </w:r>
    </w:p>
    <w:p w14:paraId="674D3128" w14:textId="77777777" w:rsidR="00824558" w:rsidRPr="00D66639" w:rsidRDefault="00824558">
      <w:pPr>
        <w:keepNext/>
        <w:spacing w:after="120"/>
        <w:rPr>
          <w:rFonts w:ascii="Garamond" w:eastAsia="Garamond" w:hAnsi="Garamond"/>
        </w:rPr>
      </w:pPr>
      <w:r w:rsidRPr="008F0B97">
        <w:rPr>
          <w:rFonts w:ascii="Garamond" w:eastAsia="Garamond" w:hAnsi="Garamond"/>
        </w:rPr>
        <w:t>This output provides access to information and connections and builds the capability of Victorian businesses and industry to develop, commercialise and effectively use new practices and technologies to increase productivity and competitiveness, advocating for a fair and competitive business environment, enhancing the Victorian startup ecosystem and supporting small businesses.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0C9A34F"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763A7B2" w14:textId="77777777" w:rsidR="00824558" w:rsidRDefault="00824558">
            <w:r>
              <w:t>Performance measure</w:t>
            </w:r>
          </w:p>
        </w:tc>
        <w:tc>
          <w:tcPr>
            <w:tcW w:w="964" w:type="dxa"/>
          </w:tcPr>
          <w:p w14:paraId="65251B2C"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B905A1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BDC64B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1119EB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C01EC0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14:paraId="64EC1EA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8AFFD2" w14:textId="41D4ED08" w:rsidR="00824558" w:rsidRPr="00A444D5" w:rsidRDefault="00A9225F">
            <w:pPr>
              <w:rPr>
                <w:b/>
                <w:bCs/>
                <w:iCs/>
              </w:rPr>
            </w:pPr>
            <w:r w:rsidRPr="008E6DB0">
              <w:rPr>
                <w:b/>
              </w:rPr>
              <w:t>INDUSTRY AND SMALL BUSINESS</w:t>
            </w:r>
          </w:p>
          <w:p w14:paraId="2984C0FB" w14:textId="256BBF3D" w:rsidR="00824558" w:rsidRPr="008E6DB0" w:rsidRDefault="00824558">
            <w:r w:rsidRPr="00B11928">
              <w:rPr>
                <w:iCs/>
              </w:rPr>
              <w:t>This sub-output supports Victorian businesses, from global enterprises to small, and medium businesses and startups, to grow, create more job opportunities, and develop strategic industries. This is achieved by facilitating new investments, supporting more innovative startups, developing and attracting world-class talent, accelerating the growth and impact of Victoria</w:t>
            </w:r>
            <w:r w:rsidR="007942D1">
              <w:rPr>
                <w:iCs/>
              </w:rPr>
              <w:t>’</w:t>
            </w:r>
            <w:r w:rsidRPr="00B11928">
              <w:rPr>
                <w:iCs/>
              </w:rPr>
              <w:t>s research translation and commercialisation capabilities and encouraging a competitive and fair business environment and a strong, diversified economy</w:t>
            </w:r>
            <w:r w:rsidR="00DE507C">
              <w:rPr>
                <w:iCs/>
              </w:rPr>
              <w:t>.</w:t>
            </w:r>
          </w:p>
        </w:tc>
      </w:tr>
      <w:tr w:rsidR="00824558" w:rsidRPr="00A9225F" w14:paraId="2773386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16193E2" w14:textId="77777777" w:rsidR="00824558" w:rsidRPr="00A9225F" w:rsidRDefault="00824558">
            <w:pPr>
              <w:keepNext/>
              <w:rPr>
                <w:b/>
                <w:bCs/>
                <w:iCs/>
              </w:rPr>
            </w:pPr>
            <w:r w:rsidRPr="00A9225F">
              <w:rPr>
                <w:b/>
                <w:bCs/>
                <w:iCs/>
              </w:rPr>
              <w:t>Quantity</w:t>
            </w:r>
          </w:p>
        </w:tc>
      </w:tr>
      <w:tr w:rsidR="00824558" w14:paraId="5F3FC00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A482941" w14:textId="77777777" w:rsidR="00824558" w:rsidRDefault="00824558">
            <w:pPr>
              <w:keepNext/>
              <w:ind w:left="170"/>
            </w:pPr>
            <w:r>
              <w:t>Capital expenditure generated from domestic investment secured through Government facilitation services and assistance</w:t>
            </w:r>
          </w:p>
        </w:tc>
        <w:tc>
          <w:tcPr>
            <w:tcW w:w="964" w:type="dxa"/>
          </w:tcPr>
          <w:p w14:paraId="0D6367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996A340"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630191E9" w14:textId="77777777" w:rsidR="00824558" w:rsidRDefault="00824558">
            <w:pPr>
              <w:cnfStyle w:val="000000000000" w:firstRow="0" w:lastRow="0" w:firstColumn="0" w:lastColumn="0" w:oddVBand="0" w:evenVBand="0" w:oddHBand="0" w:evenHBand="0" w:firstRowFirstColumn="0" w:firstRowLastColumn="0" w:lastRowFirstColumn="0" w:lastRowLastColumn="0"/>
            </w:pPr>
            <w:r>
              <w:t>1 785</w:t>
            </w:r>
          </w:p>
        </w:tc>
        <w:tc>
          <w:tcPr>
            <w:tcW w:w="964" w:type="dxa"/>
          </w:tcPr>
          <w:p w14:paraId="4E47724F"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25F9124C" w14:textId="77777777" w:rsidR="00824558" w:rsidRDefault="00824558">
            <w:pPr>
              <w:cnfStyle w:val="000000000000" w:firstRow="0" w:lastRow="0" w:firstColumn="0" w:lastColumn="0" w:oddVBand="0" w:evenVBand="0" w:oddHBand="0" w:evenHBand="0" w:firstRowFirstColumn="0" w:firstRowLastColumn="0" w:lastRowFirstColumn="0" w:lastRowLastColumn="0"/>
            </w:pPr>
            <w:r>
              <w:t>723</w:t>
            </w:r>
          </w:p>
        </w:tc>
      </w:tr>
      <w:tr w:rsidR="00824558" w14:paraId="0783F4C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B6C541" w14:textId="6E7459BD" w:rsidR="00824558" w:rsidRDefault="00824558">
            <w:pPr>
              <w:ind w:left="170"/>
            </w:pPr>
            <w:r>
              <w:rPr>
                <w:i/>
              </w:rPr>
              <w:t xml:space="preserve">The </w:t>
            </w:r>
            <w:r w:rsidR="008F7A05">
              <w:rPr>
                <w:i/>
              </w:rPr>
              <w:t>2025-26</w:t>
            </w:r>
            <w:r>
              <w:rPr>
                <w:i/>
              </w:rPr>
              <w:t xml:space="preserve"> expected outcome is higher than the target due to one outlier project that delivered above average capital expenditure project outcomes.</w:t>
            </w:r>
          </w:p>
          <w:p w14:paraId="1DBA19FE" w14:textId="77777777" w:rsidR="00824558" w:rsidRDefault="00824558">
            <w:pPr>
              <w:ind w:left="170"/>
            </w:pPr>
            <w:r>
              <w:rPr>
                <w:i/>
              </w:rPr>
              <w:t>The higher 2026-27 target reflects previous actions to build the investment attraction pipeline.</w:t>
            </w:r>
          </w:p>
        </w:tc>
      </w:tr>
      <w:tr w:rsidR="00824558" w14:paraId="53BB617E"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521F0D" w14:textId="77777777" w:rsidR="00824558" w:rsidRDefault="00824558">
            <w:pPr>
              <w:ind w:left="170"/>
            </w:pPr>
            <w:r>
              <w:t>Firms assisted from Government facilitation services and assistance</w:t>
            </w:r>
          </w:p>
        </w:tc>
        <w:tc>
          <w:tcPr>
            <w:tcW w:w="964" w:type="dxa"/>
            <w:tcBorders>
              <w:bottom w:val="single" w:sz="6" w:space="0" w:color="auto"/>
            </w:tcBorders>
          </w:tcPr>
          <w:p w14:paraId="257E2E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4D3A34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62B075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BC4C7C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731FCC7" w14:textId="77777777" w:rsidR="00824558" w:rsidRDefault="00824558">
            <w:pPr>
              <w:cnfStyle w:val="000000000000" w:firstRow="0" w:lastRow="0" w:firstColumn="0" w:lastColumn="0" w:oddVBand="0" w:evenVBand="0" w:oddHBand="0" w:evenHBand="0" w:firstRowFirstColumn="0" w:firstRowLastColumn="0" w:lastRowFirstColumn="0" w:lastRowLastColumn="0"/>
            </w:pPr>
            <w:r>
              <w:t>138</w:t>
            </w:r>
          </w:p>
        </w:tc>
      </w:tr>
      <w:tr w:rsidR="00824558" w14:paraId="567FE3E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697FAB6" w14:textId="77777777" w:rsidR="00824558" w:rsidRDefault="00824558">
            <w:pPr>
              <w:keepNext/>
              <w:ind w:left="170"/>
            </w:pPr>
            <w:r>
              <w:t>Individuals supported under digital skills initiatives</w:t>
            </w:r>
          </w:p>
        </w:tc>
        <w:tc>
          <w:tcPr>
            <w:tcW w:w="964" w:type="dxa"/>
          </w:tcPr>
          <w:p w14:paraId="1F79ED1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893E16" w14:textId="77777777" w:rsidR="00824558" w:rsidRDefault="00824558">
            <w:pPr>
              <w:cnfStyle w:val="000000000000" w:firstRow="0" w:lastRow="0" w:firstColumn="0" w:lastColumn="0" w:oddVBand="0" w:evenVBand="0" w:oddHBand="0" w:evenHBand="0" w:firstRowFirstColumn="0" w:firstRowLastColumn="0" w:lastRowFirstColumn="0" w:lastRowLastColumn="0"/>
            </w:pPr>
            <w:r>
              <w:t>825</w:t>
            </w:r>
          </w:p>
        </w:tc>
        <w:tc>
          <w:tcPr>
            <w:tcW w:w="964" w:type="dxa"/>
          </w:tcPr>
          <w:p w14:paraId="631F8458"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4B250035"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6585BBBB" w14:textId="77777777" w:rsidR="00824558" w:rsidRDefault="00824558">
            <w:pPr>
              <w:cnfStyle w:val="000000000000" w:firstRow="0" w:lastRow="0" w:firstColumn="0" w:lastColumn="0" w:oddVBand="0" w:evenVBand="0" w:oddHBand="0" w:evenHBand="0" w:firstRowFirstColumn="0" w:firstRowLastColumn="0" w:lastRowFirstColumn="0" w:lastRowLastColumn="0"/>
            </w:pPr>
            <w:r>
              <w:t>1 070</w:t>
            </w:r>
          </w:p>
        </w:tc>
      </w:tr>
      <w:tr w:rsidR="00824558" w14:paraId="3920B981"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356EF23" w14:textId="4762387F" w:rsidR="00824558" w:rsidRDefault="00824558">
            <w:pPr>
              <w:ind w:left="170"/>
            </w:pPr>
            <w:r>
              <w:rPr>
                <w:i/>
              </w:rPr>
              <w:t xml:space="preserve">The higher 2026-27 target reflects new digital skills initiatives included in the </w:t>
            </w:r>
            <w:r w:rsidRPr="00BE08F1">
              <w:t xml:space="preserve">2026-27 </w:t>
            </w:r>
            <w:r w:rsidR="00A521AA" w:rsidRPr="00BE08F1">
              <w:rPr>
                <w:iCs/>
              </w:rPr>
              <w:t>B</w:t>
            </w:r>
            <w:r w:rsidRPr="00BE08F1">
              <w:t>udget</w:t>
            </w:r>
            <w:r>
              <w:rPr>
                <w:i/>
              </w:rPr>
              <w:t>.</w:t>
            </w:r>
          </w:p>
        </w:tc>
      </w:tr>
      <w:tr w:rsidR="00824558" w14:paraId="5A6D196C"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7794EA6" w14:textId="77777777" w:rsidR="00824558" w:rsidRDefault="00824558">
            <w:pPr>
              <w:ind w:left="170"/>
            </w:pPr>
            <w:r>
              <w:t>Industry roundtables and engagement forums</w:t>
            </w:r>
          </w:p>
        </w:tc>
        <w:tc>
          <w:tcPr>
            <w:tcW w:w="964" w:type="dxa"/>
            <w:tcBorders>
              <w:bottom w:val="single" w:sz="6" w:space="0" w:color="auto"/>
            </w:tcBorders>
          </w:tcPr>
          <w:p w14:paraId="43CB066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EC17DED"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4008C524"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2B7FB9F7"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5E0E01EF" w14:textId="77777777" w:rsidR="00824558" w:rsidRDefault="00824558">
            <w:pPr>
              <w:cnfStyle w:val="000000000000" w:firstRow="0" w:lastRow="0" w:firstColumn="0" w:lastColumn="0" w:oddVBand="0" w:evenVBand="0" w:oddHBand="0" w:evenHBand="0" w:firstRowFirstColumn="0" w:firstRowLastColumn="0" w:lastRowFirstColumn="0" w:lastRowLastColumn="0"/>
            </w:pPr>
            <w:r>
              <w:t>110</w:t>
            </w:r>
          </w:p>
        </w:tc>
      </w:tr>
      <w:tr w:rsidR="00824558" w14:paraId="7A0EAB5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67517C8" w14:textId="77777777" w:rsidR="00824558" w:rsidRDefault="00824558">
            <w:pPr>
              <w:ind w:left="170"/>
            </w:pPr>
            <w:r>
              <w:t>Jobs generated from domestic investment secured through Government facilitation services and assistance</w:t>
            </w:r>
          </w:p>
        </w:tc>
        <w:tc>
          <w:tcPr>
            <w:tcW w:w="964" w:type="dxa"/>
            <w:tcBorders>
              <w:bottom w:val="single" w:sz="6" w:space="0" w:color="auto"/>
            </w:tcBorders>
          </w:tcPr>
          <w:p w14:paraId="751E1B6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F0F71FA"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2E945904"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0C27B617"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6A813658" w14:textId="77777777" w:rsidR="00824558" w:rsidRDefault="00824558">
            <w:pPr>
              <w:cnfStyle w:val="000000000000" w:firstRow="0" w:lastRow="0" w:firstColumn="0" w:lastColumn="0" w:oddVBand="0" w:evenVBand="0" w:oddHBand="0" w:evenHBand="0" w:firstRowFirstColumn="0" w:firstRowLastColumn="0" w:lastRowFirstColumn="0" w:lastRowLastColumn="0"/>
            </w:pPr>
            <w:r>
              <w:t>1 100</w:t>
            </w:r>
          </w:p>
        </w:tc>
      </w:tr>
      <w:tr w:rsidR="00824558" w14:paraId="01B3D4AF"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FCF9BCC" w14:textId="77777777" w:rsidR="00824558" w:rsidRDefault="00824558">
            <w:pPr>
              <w:ind w:left="170"/>
            </w:pPr>
            <w:r>
              <w:t>Participation in Small Business Victoria events and access to business programs</w:t>
            </w:r>
          </w:p>
        </w:tc>
        <w:tc>
          <w:tcPr>
            <w:tcW w:w="964" w:type="dxa"/>
            <w:tcBorders>
              <w:bottom w:val="single" w:sz="6" w:space="0" w:color="auto"/>
            </w:tcBorders>
          </w:tcPr>
          <w:p w14:paraId="7A9892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A32D40B"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Borders>
              <w:bottom w:val="single" w:sz="6" w:space="0" w:color="auto"/>
            </w:tcBorders>
          </w:tcPr>
          <w:p w14:paraId="1AFD8BEE"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Borders>
              <w:bottom w:val="single" w:sz="6" w:space="0" w:color="auto"/>
            </w:tcBorders>
          </w:tcPr>
          <w:p w14:paraId="0BEDEC73"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Borders>
              <w:bottom w:val="single" w:sz="6" w:space="0" w:color="auto"/>
            </w:tcBorders>
          </w:tcPr>
          <w:p w14:paraId="4194BA17" w14:textId="77777777" w:rsidR="00824558" w:rsidRDefault="00824558">
            <w:pPr>
              <w:cnfStyle w:val="000000000000" w:firstRow="0" w:lastRow="0" w:firstColumn="0" w:lastColumn="0" w:oddVBand="0" w:evenVBand="0" w:oddHBand="0" w:evenHBand="0" w:firstRowFirstColumn="0" w:firstRowLastColumn="0" w:lastRowFirstColumn="0" w:lastRowLastColumn="0"/>
            </w:pPr>
            <w:r>
              <w:t>6 701</w:t>
            </w:r>
          </w:p>
        </w:tc>
      </w:tr>
      <w:tr w:rsidR="00824558" w14:paraId="56FF29ED"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6AF2E642" w14:textId="77777777" w:rsidR="00824558" w:rsidRDefault="00824558">
            <w:pPr>
              <w:keepNext/>
              <w:ind w:left="170"/>
            </w:pPr>
            <w:r>
              <w:t>Projects supported to grow the mRNA and RNA ecosystem in Victoria</w:t>
            </w:r>
          </w:p>
        </w:tc>
        <w:tc>
          <w:tcPr>
            <w:tcW w:w="964" w:type="dxa"/>
          </w:tcPr>
          <w:p w14:paraId="0378640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A1EFE7"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2B7D53D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205968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B6B85F7"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70E4BA94"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F847BC" w14:textId="6B3B4DDE" w:rsidR="00824558" w:rsidRDefault="00824558">
            <w:pPr>
              <w:ind w:left="170"/>
            </w:pPr>
            <w:r>
              <w:rPr>
                <w:i/>
              </w:rPr>
              <w:t xml:space="preserve">New measure for 2026-27 to replace the previous performance measure, </w:t>
            </w:r>
            <w:r w:rsidR="007942D1">
              <w:rPr>
                <w:i/>
              </w:rPr>
              <w:t>‘</w:t>
            </w:r>
            <w:r>
              <w:rPr>
                <w:i/>
              </w:rPr>
              <w:t>Projects supported through building and scaling up messenger Ribonucleic Acid Vaccine (mRNA) manufacturing capability in Victoria</w:t>
            </w:r>
            <w:r w:rsidR="007942D1">
              <w:rPr>
                <w:i/>
              </w:rPr>
              <w:t>’</w:t>
            </w:r>
            <w:r>
              <w:rPr>
                <w:i/>
              </w:rPr>
              <w:t xml:space="preserve"> that was discontinued in 2025-26. The new measure has a broadened focus on ecosystem growth. </w:t>
            </w:r>
          </w:p>
        </w:tc>
      </w:tr>
      <w:tr w:rsidR="00824558" w14:paraId="5B005D17"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1D6C451" w14:textId="77777777" w:rsidR="00824558" w:rsidRDefault="00824558">
            <w:pPr>
              <w:ind w:left="170"/>
            </w:pPr>
            <w:r>
              <w:t>Strategic priority businesses engaged on investment and growth</w:t>
            </w:r>
          </w:p>
        </w:tc>
        <w:tc>
          <w:tcPr>
            <w:tcW w:w="964" w:type="dxa"/>
            <w:tcBorders>
              <w:bottom w:val="single" w:sz="6" w:space="0" w:color="auto"/>
            </w:tcBorders>
          </w:tcPr>
          <w:p w14:paraId="773617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12A3C1E"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7C515117"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56A0EBD8" w14:textId="77777777" w:rsidR="00824558" w:rsidRDefault="00824558">
            <w:pPr>
              <w:cnfStyle w:val="000000000000" w:firstRow="0" w:lastRow="0" w:firstColumn="0" w:lastColumn="0" w:oddVBand="0" w:evenVBand="0" w:oddHBand="0" w:evenHBand="0" w:firstRowFirstColumn="0" w:firstRowLastColumn="0" w:lastRowFirstColumn="0" w:lastRowLastColumn="0"/>
            </w:pPr>
            <w:r>
              <w:t>900</w:t>
            </w:r>
          </w:p>
        </w:tc>
        <w:tc>
          <w:tcPr>
            <w:tcW w:w="964" w:type="dxa"/>
            <w:tcBorders>
              <w:bottom w:val="single" w:sz="6" w:space="0" w:color="auto"/>
            </w:tcBorders>
          </w:tcPr>
          <w:p w14:paraId="7684AD7C" w14:textId="77777777" w:rsidR="00824558" w:rsidRDefault="00824558">
            <w:pPr>
              <w:cnfStyle w:val="000000000000" w:firstRow="0" w:lastRow="0" w:firstColumn="0" w:lastColumn="0" w:oddVBand="0" w:evenVBand="0" w:oddHBand="0" w:evenHBand="0" w:firstRowFirstColumn="0" w:firstRowLastColumn="0" w:lastRowFirstColumn="0" w:lastRowLastColumn="0"/>
            </w:pPr>
            <w:r>
              <w:t>911</w:t>
            </w:r>
          </w:p>
        </w:tc>
      </w:tr>
      <w:tr w:rsidR="00824558" w14:paraId="276F19C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8001CB0" w14:textId="77777777" w:rsidR="00824558" w:rsidRDefault="00824558">
            <w:pPr>
              <w:keepNext/>
              <w:ind w:left="170"/>
            </w:pPr>
            <w:r>
              <w:t>Visits to Business Victoria digital channels</w:t>
            </w:r>
          </w:p>
        </w:tc>
        <w:tc>
          <w:tcPr>
            <w:tcW w:w="964" w:type="dxa"/>
          </w:tcPr>
          <w:p w14:paraId="775963E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B5A7833"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4 000 000</w:t>
            </w:r>
          </w:p>
        </w:tc>
        <w:tc>
          <w:tcPr>
            <w:tcW w:w="964" w:type="dxa"/>
          </w:tcPr>
          <w:p w14:paraId="18C209EE" w14:textId="77777777" w:rsidR="00824558" w:rsidRDefault="00824558">
            <w:pPr>
              <w:cnfStyle w:val="000000000000" w:firstRow="0" w:lastRow="0" w:firstColumn="0" w:lastColumn="0" w:oddVBand="0" w:evenVBand="0" w:oddHBand="0" w:evenHBand="0" w:firstRowFirstColumn="0" w:firstRowLastColumn="0" w:lastRowFirstColumn="0" w:lastRowLastColumn="0"/>
            </w:pPr>
            <w:r>
              <w:t>3 500 000</w:t>
            </w:r>
          </w:p>
        </w:tc>
        <w:tc>
          <w:tcPr>
            <w:tcW w:w="964" w:type="dxa"/>
          </w:tcPr>
          <w:p w14:paraId="6703BB49"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2 000 000</w:t>
            </w:r>
          </w:p>
        </w:tc>
        <w:tc>
          <w:tcPr>
            <w:tcW w:w="964" w:type="dxa"/>
          </w:tcPr>
          <w:p w14:paraId="1534D8D5" w14:textId="77777777" w:rsidR="00824558" w:rsidRDefault="00824558">
            <w:pPr>
              <w:cnfStyle w:val="000000000000" w:firstRow="0" w:lastRow="0" w:firstColumn="0" w:lastColumn="0" w:oddVBand="0" w:evenVBand="0" w:oddHBand="0" w:evenHBand="0" w:firstRowFirstColumn="0" w:firstRowLastColumn="0" w:lastRowFirstColumn="0" w:lastRowLastColumn="0"/>
            </w:pPr>
            <w:r>
              <w:t>4 786 073</w:t>
            </w:r>
          </w:p>
        </w:tc>
      </w:tr>
      <w:tr w:rsidR="00824558" w14:paraId="0054FDC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C3CBC2F" w14:textId="2D16C492" w:rsidR="00824558" w:rsidRDefault="00824558">
            <w:pPr>
              <w:ind w:left="170"/>
            </w:pPr>
            <w:r>
              <w:rPr>
                <w:i/>
              </w:rPr>
              <w:t xml:space="preserve">The </w:t>
            </w:r>
            <w:r w:rsidR="008F7A05">
              <w:rPr>
                <w:i/>
              </w:rPr>
              <w:t>2025-26</w:t>
            </w:r>
            <w:r>
              <w:rPr>
                <w:i/>
              </w:rPr>
              <w:t xml:space="preserve"> expected outcome is higher than the target due to continued strong demand for business resources and services, grant programs and emergency information and recovery following events such as security incidents and the high-risk weather season.</w:t>
            </w:r>
          </w:p>
          <w:p w14:paraId="710C4F8E" w14:textId="77777777" w:rsidR="00824558" w:rsidRDefault="00824558">
            <w:pPr>
              <w:ind w:left="170"/>
            </w:pPr>
            <w:r>
              <w:rPr>
                <w:i/>
              </w:rPr>
              <w:t>The higher 2026-27 target is due to continued strong visitation rates.</w:t>
            </w:r>
          </w:p>
        </w:tc>
      </w:tr>
      <w:tr w:rsidR="00824558" w:rsidRPr="00A9225F" w14:paraId="1F6E02F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798E3F5" w14:textId="77777777" w:rsidR="00824558" w:rsidRPr="00A9225F" w:rsidRDefault="00824558">
            <w:pPr>
              <w:keepNext/>
              <w:rPr>
                <w:b/>
                <w:bCs/>
                <w:iCs/>
              </w:rPr>
            </w:pPr>
            <w:r w:rsidRPr="00A9225F">
              <w:rPr>
                <w:b/>
                <w:bCs/>
                <w:iCs/>
              </w:rPr>
              <w:t>Quality</w:t>
            </w:r>
          </w:p>
        </w:tc>
      </w:tr>
      <w:tr w:rsidR="00824558" w14:paraId="26FA8FA7"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74F1EF" w14:textId="77777777" w:rsidR="00824558" w:rsidRDefault="00824558">
            <w:pPr>
              <w:ind w:left="170"/>
            </w:pPr>
            <w:r>
              <w:t>Client satisfaction of small business information, referral, advisory service and business programs</w:t>
            </w:r>
          </w:p>
        </w:tc>
        <w:tc>
          <w:tcPr>
            <w:tcW w:w="964" w:type="dxa"/>
            <w:tcBorders>
              <w:bottom w:val="single" w:sz="6" w:space="0" w:color="auto"/>
            </w:tcBorders>
          </w:tcPr>
          <w:p w14:paraId="537231B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EEB30A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FB615F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77661E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396B069"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14:paraId="1600A0C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565B588" w14:textId="77777777" w:rsidR="00824558" w:rsidRDefault="00824558">
            <w:pPr>
              <w:ind w:left="170"/>
            </w:pPr>
            <w:r>
              <w:t>Client satisfaction with the Victorian Government Business Offices</w:t>
            </w:r>
          </w:p>
        </w:tc>
        <w:tc>
          <w:tcPr>
            <w:tcW w:w="964" w:type="dxa"/>
            <w:tcBorders>
              <w:bottom w:val="single" w:sz="6" w:space="0" w:color="auto"/>
            </w:tcBorders>
          </w:tcPr>
          <w:p w14:paraId="59F227A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9E723D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3565BC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30B9A0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F205242"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r>
      <w:tr w:rsidR="00824558" w14:paraId="56C8BFF1"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1246389" w14:textId="77777777" w:rsidR="00824558" w:rsidRDefault="00824558">
            <w:pPr>
              <w:keepNext/>
              <w:ind w:left="170"/>
            </w:pPr>
            <w:r>
              <w:t>Client satisfaction with Victorian Small Business Commission mediation service</w:t>
            </w:r>
          </w:p>
        </w:tc>
        <w:tc>
          <w:tcPr>
            <w:tcW w:w="964" w:type="dxa"/>
          </w:tcPr>
          <w:p w14:paraId="5C0B3A9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5D27E34"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7406D3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DAA3557"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75CD0F1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1DAB97E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E78719D" w14:textId="0F32C877" w:rsidR="00824558" w:rsidRDefault="00824558">
            <w:pPr>
              <w:ind w:left="170"/>
            </w:pPr>
            <w:r>
              <w:rPr>
                <w:i/>
              </w:rPr>
              <w:t xml:space="preserve">The </w:t>
            </w:r>
            <w:r w:rsidR="008F7A05">
              <w:rPr>
                <w:i/>
              </w:rPr>
              <w:t>2025-26</w:t>
            </w:r>
            <w:r>
              <w:rPr>
                <w:i/>
              </w:rPr>
              <w:t xml:space="preserve"> expected outcome is higher than the target due to further investment in the service.</w:t>
            </w:r>
          </w:p>
        </w:tc>
      </w:tr>
      <w:tr w:rsidR="00824558" w14:paraId="7D4242CA"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AEF937E" w14:textId="77777777" w:rsidR="00824558" w:rsidRDefault="00824558">
            <w:pPr>
              <w:keepNext/>
              <w:ind w:left="170"/>
            </w:pPr>
            <w:r>
              <w:lastRenderedPageBreak/>
              <w:t>Proportion of business disputes presented to the Victorian Small Business Commission successfully mediated</w:t>
            </w:r>
          </w:p>
        </w:tc>
        <w:tc>
          <w:tcPr>
            <w:tcW w:w="964" w:type="dxa"/>
          </w:tcPr>
          <w:p w14:paraId="33FA3E6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23922BB"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04F61895"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7019CBE4"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28AFD9C6" w14:textId="77777777" w:rsidR="00824558" w:rsidRDefault="00824558">
            <w:pPr>
              <w:cnfStyle w:val="000000000000" w:firstRow="0" w:lastRow="0" w:firstColumn="0" w:lastColumn="0" w:oddVBand="0" w:evenVBand="0" w:oddHBand="0" w:evenHBand="0" w:firstRowFirstColumn="0" w:firstRowLastColumn="0" w:lastRowFirstColumn="0" w:lastRowLastColumn="0"/>
            </w:pPr>
            <w:r>
              <w:t>68.8</w:t>
            </w:r>
          </w:p>
        </w:tc>
      </w:tr>
      <w:tr w:rsidR="00824558" w14:paraId="65E7E5AF"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7209329F" w14:textId="24E1BFCE" w:rsidR="00824558" w:rsidRDefault="00824558">
            <w:pPr>
              <w:ind w:left="170"/>
            </w:pPr>
            <w:r>
              <w:rPr>
                <w:i/>
              </w:rPr>
              <w:t xml:space="preserve">The </w:t>
            </w:r>
            <w:r w:rsidR="008F7A05">
              <w:rPr>
                <w:i/>
              </w:rPr>
              <w:t>2025-26</w:t>
            </w:r>
            <w:r>
              <w:rPr>
                <w:i/>
              </w:rPr>
              <w:t xml:space="preserve"> expected outcome is higher than the target due to further investment in the service.</w:t>
            </w:r>
          </w:p>
        </w:tc>
      </w:tr>
      <w:tr w:rsidR="00824558" w14:paraId="531520BC" w14:textId="77777777" w:rsidTr="00821B23">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C636862" w14:textId="77777777" w:rsidR="00824558" w:rsidRDefault="00824558">
            <w:pPr>
              <w:ind w:left="170"/>
            </w:pPr>
            <w:r>
              <w:t>Proportion of business disputes resolved by the Victorian Small Business Commission prior to mediation</w:t>
            </w:r>
          </w:p>
        </w:tc>
        <w:tc>
          <w:tcPr>
            <w:tcW w:w="964" w:type="dxa"/>
            <w:tcBorders>
              <w:bottom w:val="single" w:sz="6" w:space="0" w:color="auto"/>
            </w:tcBorders>
          </w:tcPr>
          <w:p w14:paraId="5CA82A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A64119F"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2C04C300"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4DB9A05B"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Borders>
              <w:bottom w:val="single" w:sz="6" w:space="0" w:color="auto"/>
            </w:tcBorders>
          </w:tcPr>
          <w:p w14:paraId="6549963A" w14:textId="77777777" w:rsidR="00824558" w:rsidRDefault="00824558">
            <w:pPr>
              <w:cnfStyle w:val="000000000000" w:firstRow="0" w:lastRow="0" w:firstColumn="0" w:lastColumn="0" w:oddVBand="0" w:evenVBand="0" w:oddHBand="0" w:evenHBand="0" w:firstRowFirstColumn="0" w:firstRowLastColumn="0" w:lastRowFirstColumn="0" w:lastRowLastColumn="0"/>
            </w:pPr>
            <w:r>
              <w:t>32.9</w:t>
            </w:r>
          </w:p>
        </w:tc>
      </w:tr>
      <w:tr w:rsidR="0037307E" w14:paraId="6E079A7D"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0600F6C5" w14:textId="03D7E68C" w:rsidR="0037307E" w:rsidRDefault="00C5708D" w:rsidP="00C5708D">
            <w:pPr>
              <w:keepNext/>
            </w:pPr>
            <w:r w:rsidRPr="00C5708D">
              <w:rPr>
                <w:b/>
                <w:bCs/>
                <w:iCs/>
              </w:rPr>
              <w:t>Cost</w:t>
            </w:r>
          </w:p>
        </w:tc>
      </w:tr>
      <w:tr w:rsidR="0037307E" w14:paraId="564CC261" w14:textId="77777777" w:rsidTr="00427BB9">
        <w:tc>
          <w:tcPr>
            <w:cnfStyle w:val="001000000000" w:firstRow="0" w:lastRow="0" w:firstColumn="1" w:lastColumn="0" w:oddVBand="0" w:evenVBand="0" w:oddHBand="0" w:evenHBand="0" w:firstRowFirstColumn="0" w:firstRowLastColumn="0" w:lastRowFirstColumn="0" w:lastRowLastColumn="0"/>
            <w:tcW w:w="4819" w:type="dxa"/>
          </w:tcPr>
          <w:p w14:paraId="518CE0CD" w14:textId="002F864E" w:rsidR="0037307E" w:rsidRDefault="002B35EA">
            <w:pPr>
              <w:ind w:left="170"/>
            </w:pPr>
            <w:r>
              <w:t>Total sub-output cost</w:t>
            </w:r>
          </w:p>
        </w:tc>
        <w:tc>
          <w:tcPr>
            <w:tcW w:w="964" w:type="dxa"/>
          </w:tcPr>
          <w:p w14:paraId="24990AE4" w14:textId="6D88FE3B" w:rsidR="0037307E" w:rsidRDefault="00137DD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E438E51" w14:textId="1463B139" w:rsidR="0037307E" w:rsidRDefault="006A3471">
            <w:pPr>
              <w:cnfStyle w:val="000000000000" w:firstRow="0" w:lastRow="0" w:firstColumn="0" w:lastColumn="0" w:oddVBand="0" w:evenVBand="0" w:oddHBand="0" w:evenHBand="0" w:firstRowFirstColumn="0" w:firstRowLastColumn="0" w:lastRowFirstColumn="0" w:lastRowLastColumn="0"/>
            </w:pPr>
            <w:r w:rsidRPr="00400BED">
              <w:t>278.3</w:t>
            </w:r>
          </w:p>
        </w:tc>
        <w:tc>
          <w:tcPr>
            <w:tcW w:w="964" w:type="dxa"/>
          </w:tcPr>
          <w:p w14:paraId="20B789D3" w14:textId="3049A3B0" w:rsidR="0037307E" w:rsidRDefault="00A35F51">
            <w:pPr>
              <w:cnfStyle w:val="000000000000" w:firstRow="0" w:lastRow="0" w:firstColumn="0" w:lastColumn="0" w:oddVBand="0" w:evenVBand="0" w:oddHBand="0" w:evenHBand="0" w:firstRowFirstColumn="0" w:firstRowLastColumn="0" w:lastRowFirstColumn="0" w:lastRowLastColumn="0"/>
            </w:pPr>
            <w:r>
              <w:t>219.9</w:t>
            </w:r>
          </w:p>
        </w:tc>
        <w:tc>
          <w:tcPr>
            <w:tcW w:w="964" w:type="dxa"/>
          </w:tcPr>
          <w:p w14:paraId="3C2F39AC" w14:textId="625D3F90" w:rsidR="0037307E" w:rsidRDefault="003540F3">
            <w:pPr>
              <w:cnfStyle w:val="000000000000" w:firstRow="0" w:lastRow="0" w:firstColumn="0" w:lastColumn="0" w:oddVBand="0" w:evenVBand="0" w:oddHBand="0" w:evenHBand="0" w:firstRowFirstColumn="0" w:firstRowLastColumn="0" w:lastRowFirstColumn="0" w:lastRowLastColumn="0"/>
            </w:pPr>
            <w:r>
              <w:t>347.3</w:t>
            </w:r>
          </w:p>
        </w:tc>
        <w:tc>
          <w:tcPr>
            <w:tcW w:w="964" w:type="dxa"/>
          </w:tcPr>
          <w:p w14:paraId="7AC4430A" w14:textId="46C3896D" w:rsidR="0037307E" w:rsidRDefault="00427BB9">
            <w:pPr>
              <w:cnfStyle w:val="000000000000" w:firstRow="0" w:lastRow="0" w:firstColumn="0" w:lastColumn="0" w:oddVBand="0" w:evenVBand="0" w:oddHBand="0" w:evenHBand="0" w:firstRowFirstColumn="0" w:firstRowLastColumn="0" w:lastRowFirstColumn="0" w:lastRowLastColumn="0"/>
            </w:pPr>
            <w:r>
              <w:t>300.1</w:t>
            </w:r>
          </w:p>
        </w:tc>
      </w:tr>
      <w:tr w:rsidR="00427BB9" w14:paraId="15FFF18A" w14:textId="77777777" w:rsidTr="00427BB9">
        <w:tc>
          <w:tcPr>
            <w:cnfStyle w:val="001000000000" w:firstRow="0" w:lastRow="0" w:firstColumn="1" w:lastColumn="0" w:oddVBand="0" w:evenVBand="0" w:oddHBand="0" w:evenHBand="0" w:firstRowFirstColumn="0" w:firstRowLastColumn="0" w:lastRowFirstColumn="0" w:lastRowLastColumn="0"/>
            <w:tcW w:w="9639" w:type="dxa"/>
            <w:gridSpan w:val="6"/>
          </w:tcPr>
          <w:p w14:paraId="00FD71B6" w14:textId="12EC7C74" w:rsidR="00427BB9" w:rsidRPr="003E6436" w:rsidRDefault="003E6436" w:rsidP="003E6436">
            <w:pPr>
              <w:ind w:left="170"/>
              <w:rPr>
                <w:i/>
                <w:iCs/>
              </w:rPr>
            </w:pPr>
            <w:r w:rsidRPr="00A47018">
              <w:rPr>
                <w:i/>
                <w:iCs/>
              </w:rPr>
              <w:t>The 2025-26 expected outcome is lower than the 2025-26 budget due to the rephase of funding to match contracted milestones dates for industry initiatives.</w:t>
            </w:r>
          </w:p>
        </w:tc>
      </w:tr>
      <w:tr w:rsidR="00947055" w14:paraId="73F02C6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FF48DC9" w14:textId="5F31C69D" w:rsidR="00947055" w:rsidRDefault="00947055" w:rsidP="000F741E">
            <w:pPr>
              <w:ind w:left="170"/>
            </w:pPr>
            <w:r w:rsidRPr="00CA6E96">
              <w:rPr>
                <w:i/>
                <w:iCs/>
              </w:rPr>
              <w:t>The 2026-27 target is lower than the 2025-26 target primarily due to the funding profile of contracted industry initiatives.</w:t>
            </w:r>
          </w:p>
        </w:tc>
      </w:tr>
      <w:tr w:rsidR="00824558" w14:paraId="416310B5"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6C95BB30" w14:textId="4C0C0892" w:rsidR="00824558" w:rsidRPr="0064456C" w:rsidRDefault="00A9225F" w:rsidP="00826DB8">
            <w:pPr>
              <w:spacing w:before="60"/>
            </w:pPr>
            <w:r w:rsidRPr="0064456C">
              <w:rPr>
                <w:b/>
                <w:bCs/>
              </w:rPr>
              <w:t>MEDICAL RESEARCH</w:t>
            </w:r>
            <w:r w:rsidRPr="0064456C">
              <w:t xml:space="preserve"> </w:t>
            </w:r>
          </w:p>
          <w:p w14:paraId="473B1A0C" w14:textId="45FB2040" w:rsidR="00824558" w:rsidRDefault="00824558" w:rsidP="00826DB8">
            <w:pPr>
              <w:spacing w:before="60"/>
            </w:pPr>
            <w:r w:rsidRPr="0064456C">
              <w:t>This sub-output supports maintaining Victoria</w:t>
            </w:r>
            <w:r w:rsidR="007942D1">
              <w:t>’</w:t>
            </w:r>
            <w:r w:rsidRPr="0064456C">
              <w:t xml:space="preserve">s position as a leader in health and medical research, while protecting and growing jobs in the sector by funding visionary research through providing critical infrastructure to flagship projects and research institutes and strengthening commercialisation. </w:t>
            </w:r>
          </w:p>
        </w:tc>
      </w:tr>
      <w:tr w:rsidR="00226724" w14:paraId="119B5635"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nil"/>
            </w:tcBorders>
          </w:tcPr>
          <w:p w14:paraId="6AA68724" w14:textId="5E2AB7CC" w:rsidR="00226724" w:rsidRPr="00226724" w:rsidRDefault="00226724">
            <w:pPr>
              <w:rPr>
                <w:b/>
                <w:bCs/>
              </w:rPr>
            </w:pPr>
            <w:r w:rsidRPr="00226724">
              <w:rPr>
                <w:b/>
                <w:bCs/>
              </w:rPr>
              <w:t>Quantity</w:t>
            </w:r>
          </w:p>
        </w:tc>
      </w:tr>
      <w:tr w:rsidR="00824558" w14:paraId="3DE95A48" w14:textId="77777777" w:rsidTr="00821B23">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084BB23" w14:textId="3031D811" w:rsidR="00824558" w:rsidRDefault="00824558">
            <w:pPr>
              <w:ind w:left="170"/>
            </w:pPr>
            <w:r>
              <w:t>Operational infrastructure supports grants under management</w:t>
            </w:r>
          </w:p>
        </w:tc>
        <w:tc>
          <w:tcPr>
            <w:tcW w:w="964" w:type="dxa"/>
            <w:tcBorders>
              <w:bottom w:val="single" w:sz="6" w:space="0" w:color="auto"/>
            </w:tcBorders>
          </w:tcPr>
          <w:p w14:paraId="4F0BD6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43E3853"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32037470"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4996AD93"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348DC5C8"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r>
      <w:tr w:rsidR="0012290E" w:rsidRPr="00DC0EBC" w14:paraId="775DDEA1"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1BB3E9D" w14:textId="77777777" w:rsidR="0012290E" w:rsidRPr="00DC0EBC" w:rsidRDefault="0012290E">
            <w:pPr>
              <w:keepNext/>
              <w:rPr>
                <w:b/>
              </w:rPr>
            </w:pPr>
            <w:r w:rsidRPr="00DC0EBC">
              <w:rPr>
                <w:b/>
              </w:rPr>
              <w:t>Cost</w:t>
            </w:r>
          </w:p>
        </w:tc>
      </w:tr>
      <w:tr w:rsidR="0012290E" w14:paraId="2E26F03E" w14:textId="77777777" w:rsidTr="000E41E2">
        <w:tc>
          <w:tcPr>
            <w:cnfStyle w:val="001000000000" w:firstRow="0" w:lastRow="0" w:firstColumn="1" w:lastColumn="0" w:oddVBand="0" w:evenVBand="0" w:oddHBand="0" w:evenHBand="0" w:firstRowFirstColumn="0" w:firstRowLastColumn="0" w:lastRowFirstColumn="0" w:lastRowLastColumn="0"/>
            <w:tcW w:w="4819" w:type="dxa"/>
          </w:tcPr>
          <w:p w14:paraId="6732BF45" w14:textId="04E85532" w:rsidR="0012290E" w:rsidRDefault="0012290E">
            <w:pPr>
              <w:keepNext/>
              <w:ind w:left="170"/>
            </w:pPr>
            <w:r>
              <w:t xml:space="preserve">Total </w:t>
            </w:r>
            <w:r w:rsidR="00A53F13">
              <w:t>sub-</w:t>
            </w:r>
            <w:r>
              <w:t>output cost</w:t>
            </w:r>
          </w:p>
        </w:tc>
        <w:tc>
          <w:tcPr>
            <w:tcW w:w="964" w:type="dxa"/>
          </w:tcPr>
          <w:p w14:paraId="20E0B2C7" w14:textId="77777777" w:rsidR="0012290E" w:rsidRDefault="0012290E">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673747AB" w14:textId="5E12E581" w:rsidR="0012290E" w:rsidRPr="004D0078" w:rsidRDefault="00AD7689">
            <w:pPr>
              <w:cnfStyle w:val="000000000000" w:firstRow="0" w:lastRow="0" w:firstColumn="0" w:lastColumn="0" w:oddVBand="0" w:evenVBand="0" w:oddHBand="0" w:evenHBand="0" w:firstRowFirstColumn="0" w:firstRowLastColumn="0" w:lastRowFirstColumn="0" w:lastRowLastColumn="0"/>
              <w:rPr>
                <w:highlight w:val="yellow"/>
              </w:rPr>
            </w:pPr>
            <w:r>
              <w:t>64.0</w:t>
            </w:r>
          </w:p>
        </w:tc>
        <w:tc>
          <w:tcPr>
            <w:tcW w:w="964" w:type="dxa"/>
          </w:tcPr>
          <w:p w14:paraId="4EC560FC" w14:textId="5B3D97B6" w:rsidR="0012290E" w:rsidRPr="004D0078" w:rsidRDefault="00D84119">
            <w:pPr>
              <w:cnfStyle w:val="000000000000" w:firstRow="0" w:lastRow="0" w:firstColumn="0" w:lastColumn="0" w:oddVBand="0" w:evenVBand="0" w:oddHBand="0" w:evenHBand="0" w:firstRowFirstColumn="0" w:firstRowLastColumn="0" w:lastRowFirstColumn="0" w:lastRowLastColumn="0"/>
              <w:rPr>
                <w:highlight w:val="yellow"/>
              </w:rPr>
            </w:pPr>
            <w:r>
              <w:t>70.2</w:t>
            </w:r>
          </w:p>
        </w:tc>
        <w:tc>
          <w:tcPr>
            <w:tcW w:w="964" w:type="dxa"/>
          </w:tcPr>
          <w:p w14:paraId="052672AD" w14:textId="6C8A8353" w:rsidR="0012290E" w:rsidRPr="004D0078" w:rsidRDefault="0049392D">
            <w:pPr>
              <w:cnfStyle w:val="000000000000" w:firstRow="0" w:lastRow="0" w:firstColumn="0" w:lastColumn="0" w:oddVBand="0" w:evenVBand="0" w:oddHBand="0" w:evenHBand="0" w:firstRowFirstColumn="0" w:firstRowLastColumn="0" w:lastRowFirstColumn="0" w:lastRowLastColumn="0"/>
              <w:rPr>
                <w:highlight w:val="yellow"/>
              </w:rPr>
            </w:pPr>
            <w:r>
              <w:t>66.0</w:t>
            </w:r>
          </w:p>
        </w:tc>
        <w:tc>
          <w:tcPr>
            <w:tcW w:w="964" w:type="dxa"/>
          </w:tcPr>
          <w:p w14:paraId="2F0A0322" w14:textId="46F16360" w:rsidR="0012290E" w:rsidRPr="004D0078" w:rsidRDefault="000E41E2">
            <w:pPr>
              <w:cnfStyle w:val="000000000000" w:firstRow="0" w:lastRow="0" w:firstColumn="0" w:lastColumn="0" w:oddVBand="0" w:evenVBand="0" w:oddHBand="0" w:evenHBand="0" w:firstRowFirstColumn="0" w:firstRowLastColumn="0" w:lastRowFirstColumn="0" w:lastRowLastColumn="0"/>
              <w:rPr>
                <w:highlight w:val="yellow"/>
              </w:rPr>
            </w:pPr>
            <w:r>
              <w:t>80.9</w:t>
            </w:r>
          </w:p>
        </w:tc>
      </w:tr>
      <w:tr w:rsidR="000E41E2" w14:paraId="72CAEC4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A7A5990" w14:textId="35923338" w:rsidR="000E41E2" w:rsidRDefault="006002BB" w:rsidP="006002BB">
            <w:pPr>
              <w:ind w:left="170"/>
            </w:pPr>
            <w:r w:rsidRPr="00382435">
              <w:rPr>
                <w:i/>
                <w:iCs/>
              </w:rPr>
              <w:t xml:space="preserve">The 2025-26 expected outcome is higher than the 2025-26 budget due to funding approved for the </w:t>
            </w:r>
            <w:r>
              <w:rPr>
                <w:i/>
                <w:iCs/>
              </w:rPr>
              <w:t xml:space="preserve">Cumming </w:t>
            </w:r>
            <w:r w:rsidRPr="00382435">
              <w:rPr>
                <w:i/>
                <w:iCs/>
              </w:rPr>
              <w:t>Global Centre for Pandemic Therapeutics.</w:t>
            </w:r>
          </w:p>
        </w:tc>
      </w:tr>
    </w:tbl>
    <w:p w14:paraId="3C3940B7" w14:textId="77777777" w:rsidR="00824558" w:rsidRDefault="00824558">
      <w:pPr>
        <w:pStyle w:val="Source"/>
        <w:ind w:left="0" w:firstLine="0"/>
      </w:pPr>
      <w:r>
        <w:t>Source: Department of Jobs, Skills, Industry and Regions</w:t>
      </w:r>
    </w:p>
    <w:p w14:paraId="0529EB34" w14:textId="77777777" w:rsidR="00E17D4A" w:rsidRDefault="00E17D4A" w:rsidP="00E17D4A"/>
    <w:p w14:paraId="7B748E09" w14:textId="77777777" w:rsidR="00824558" w:rsidRPr="009A48E7" w:rsidRDefault="00824558" w:rsidP="00E17D4A">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9A48E7">
        <w:rPr>
          <w:rFonts w:ascii="Calibri" w:eastAsia="Garamond" w:hAnsi="Calibri"/>
          <w:b/>
          <w:sz w:val="20"/>
        </w:rPr>
        <w:t>Objective 3: Economic growth through trade and investment attraction</w:t>
      </w:r>
    </w:p>
    <w:p w14:paraId="4179DC24" w14:textId="487CA714" w:rsidR="00824558" w:rsidRPr="009A48E7"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9A48E7">
        <w:rPr>
          <w:rFonts w:ascii="Garamond" w:eastAsia="Garamond" w:hAnsi="Garamond"/>
        </w:rPr>
        <w:t>This objective seeks to strengthen Victoria</w:t>
      </w:r>
      <w:r w:rsidR="007942D1">
        <w:rPr>
          <w:rFonts w:ascii="Garamond" w:eastAsia="Garamond" w:hAnsi="Garamond"/>
        </w:rPr>
        <w:t>’</w:t>
      </w:r>
      <w:r w:rsidRPr="009A48E7">
        <w:rPr>
          <w:rFonts w:ascii="Garamond" w:eastAsia="Garamond" w:hAnsi="Garamond"/>
        </w:rPr>
        <w:t xml:space="preserve">s economic performance through facilitating international investment and business creation in Victoria, helping businesses successfully trade into global markets, and </w:t>
      </w:r>
      <w:r w:rsidRPr="009A48E7">
        <w:rPr>
          <w:rFonts w:ascii="Garamond" w:eastAsia="Garamond" w:hAnsi="Garamond" w:cs="Garamond"/>
        </w:rPr>
        <w:t xml:space="preserve">continued support of </w:t>
      </w:r>
      <w:r w:rsidRPr="009A48E7">
        <w:rPr>
          <w:rFonts w:ascii="Garamond" w:eastAsia="Garamond" w:hAnsi="Garamond"/>
        </w:rPr>
        <w:t>Victoria</w:t>
      </w:r>
      <w:r w:rsidR="007942D1">
        <w:rPr>
          <w:rFonts w:ascii="Garamond" w:eastAsia="Garamond" w:hAnsi="Garamond"/>
        </w:rPr>
        <w:t>’</w:t>
      </w:r>
      <w:r w:rsidRPr="009A48E7">
        <w:rPr>
          <w:rFonts w:ascii="Garamond" w:eastAsia="Garamond" w:hAnsi="Garamond"/>
        </w:rPr>
        <w:t>s market share of international student enrolments in Australia.</w:t>
      </w:r>
    </w:p>
    <w:p w14:paraId="7AFF2811" w14:textId="77777777" w:rsidR="00824558" w:rsidRPr="009A48E7"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9A48E7">
        <w:rPr>
          <w:rFonts w:ascii="Garamond" w:eastAsia="Garamond" w:hAnsi="Garamond"/>
        </w:rPr>
        <w:t>The departmental objective indicators are:</w:t>
      </w:r>
    </w:p>
    <w:p w14:paraId="29B10FF6" w14:textId="77777777" w:rsidR="00824558" w:rsidRPr="009A48E7" w:rsidRDefault="00824558">
      <w:pPr>
        <w:pStyle w:val="ShadedBoxBullet"/>
        <w:contextualSpacing/>
      </w:pPr>
      <w:r w:rsidRPr="009A48E7">
        <w:t xml:space="preserve">export sales generated from government programs </w:t>
      </w:r>
    </w:p>
    <w:p w14:paraId="08BE068B" w14:textId="5677775B" w:rsidR="00824558" w:rsidRPr="009A48E7" w:rsidRDefault="00824558">
      <w:pPr>
        <w:pStyle w:val="ShadedBoxBullet"/>
        <w:contextualSpacing/>
      </w:pPr>
      <w:r w:rsidRPr="009A48E7">
        <w:t>Victoria</w:t>
      </w:r>
      <w:r w:rsidR="007942D1">
        <w:t>’</w:t>
      </w:r>
      <w:r w:rsidRPr="009A48E7">
        <w:t>s share of international student enrolments</w:t>
      </w:r>
    </w:p>
    <w:p w14:paraId="7D0DC27B" w14:textId="77777777" w:rsidR="00824558" w:rsidRPr="009A48E7" w:rsidRDefault="00824558">
      <w:pPr>
        <w:pStyle w:val="ShadedBoxBullet"/>
        <w:contextualSpacing/>
      </w:pPr>
      <w:r w:rsidRPr="009A48E7">
        <w:t>jobs, wages and research and development spending generated from international investment secured through Government facilitation services and assistance.</w:t>
      </w:r>
    </w:p>
    <w:p w14:paraId="13EAED89" w14:textId="77777777" w:rsidR="00824558" w:rsidRDefault="00824558">
      <w:pPr>
        <w:pStyle w:val="Heading3"/>
      </w:pPr>
      <w:r>
        <w:t>Outputs</w:t>
      </w:r>
    </w:p>
    <w:p w14:paraId="36A75632" w14:textId="65AF7E62" w:rsidR="00824558" w:rsidRDefault="00824558">
      <w:pPr>
        <w:pStyle w:val="Heading3"/>
      </w:pPr>
      <w:r>
        <w:t>Trade and Investment</w:t>
      </w:r>
      <w:r>
        <w:tab/>
        <w:t>(2026-27: $</w:t>
      </w:r>
      <w:r w:rsidR="00F04365">
        <w:t>123.3</w:t>
      </w:r>
      <w:r>
        <w:t xml:space="preserve"> million)</w:t>
      </w:r>
    </w:p>
    <w:p w14:paraId="4CA28332" w14:textId="43873116" w:rsidR="00824558" w:rsidRPr="001F765C" w:rsidRDefault="00824558">
      <w:pPr>
        <w:rPr>
          <w:rFonts w:ascii="Calibri" w:eastAsia="MS Gothic" w:hAnsi="Calibri"/>
          <w:b/>
          <w:sz w:val="23"/>
        </w:rPr>
      </w:pPr>
      <w:r w:rsidRPr="009A48E7">
        <w:rPr>
          <w:rFonts w:ascii="Garamond" w:eastAsia="Garamond" w:hAnsi="Garamond"/>
        </w:rPr>
        <w:t xml:space="preserve">This </w:t>
      </w:r>
      <w:r w:rsidRPr="00166C10">
        <w:t>output</w:t>
      </w:r>
      <w:r w:rsidRPr="009A48E7">
        <w:rPr>
          <w:rFonts w:ascii="Garamond" w:eastAsia="Garamond" w:hAnsi="Garamond"/>
        </w:rPr>
        <w:t xml:space="preserve"> promotes Victoria</w:t>
      </w:r>
      <w:r w:rsidR="007942D1">
        <w:rPr>
          <w:rFonts w:ascii="Garamond" w:eastAsia="Garamond" w:hAnsi="Garamond"/>
        </w:rPr>
        <w:t>’</w:t>
      </w:r>
      <w:r w:rsidRPr="009A48E7">
        <w:rPr>
          <w:rFonts w:ascii="Garamond" w:eastAsia="Garamond" w:hAnsi="Garamond"/>
        </w:rPr>
        <w:t xml:space="preserve">s economic growth through global engagement </w:t>
      </w:r>
      <w:r w:rsidRPr="001E7D16">
        <w:rPr>
          <w:rFonts w:ascii="Garamond" w:eastAsia="Garamond" w:hAnsi="Garamond"/>
        </w:rPr>
        <w:t xml:space="preserve">and investment attraction. This </w:t>
      </w:r>
      <w:r w:rsidRPr="009A48E7">
        <w:rPr>
          <w:rFonts w:ascii="Garamond" w:eastAsia="Garamond" w:hAnsi="Garamond"/>
        </w:rPr>
        <w:t>is accomplished by securing trade and international investment outcomes for the State through a range of promotion and facilitation activities in addition to providing policy advice to improve the attractiveness of exports</w:t>
      </w:r>
      <w:r w:rsidRPr="00795117">
        <w:rPr>
          <w:rFonts w:ascii="Garamond" w:eastAsia="Garamond" w:hAnsi="Garamond"/>
        </w:rPr>
        <w:t xml:space="preserve">, and </w:t>
      </w:r>
      <w:r w:rsidRPr="009A48E7">
        <w:rPr>
          <w:rFonts w:ascii="Garamond" w:eastAsia="Garamond" w:hAnsi="Garamond"/>
        </w:rPr>
        <w:t>attract international investment and enhance the Victorian startup ecosystem.</w:t>
      </w:r>
    </w:p>
    <w:p w14:paraId="118FF680" w14:textId="395EE11A" w:rsidR="00824558" w:rsidRPr="009A48E7" w:rsidRDefault="00824558">
      <w:pPr>
        <w:rPr>
          <w:rFonts w:ascii="Garamond" w:eastAsia="Garamond" w:hAnsi="Garamond" w:cs="Garamond"/>
        </w:rPr>
      </w:pPr>
      <w:r w:rsidRPr="009A48E7">
        <w:rPr>
          <w:rFonts w:ascii="Garamond" w:eastAsia="Garamond" w:hAnsi="Garamond" w:cs="Garamond"/>
        </w:rPr>
        <w:t>This output also provides support and advice to Government on strengthening Victoria</w:t>
      </w:r>
      <w:r w:rsidR="007942D1">
        <w:rPr>
          <w:rFonts w:ascii="Garamond" w:eastAsia="Garamond" w:hAnsi="Garamond" w:cs="Garamond"/>
        </w:rPr>
        <w:t>’</w:t>
      </w:r>
      <w:r w:rsidRPr="009A48E7">
        <w:rPr>
          <w:rFonts w:ascii="Garamond" w:eastAsia="Garamond" w:hAnsi="Garamond" w:cs="Garamond"/>
        </w:rPr>
        <w:t>s economic performance in relation to:</w:t>
      </w:r>
    </w:p>
    <w:p w14:paraId="5AF03E1A" w14:textId="77777777" w:rsidR="00824558" w:rsidRPr="009A48E7" w:rsidRDefault="00824558" w:rsidP="0057778B">
      <w:pPr>
        <w:pStyle w:val="ListParagraph"/>
        <w:numPr>
          <w:ilvl w:val="0"/>
          <w:numId w:val="26"/>
        </w:numPr>
        <w:spacing w:before="60" w:after="60"/>
        <w:contextualSpacing/>
        <w:rPr>
          <w:rFonts w:ascii="Garamond" w:eastAsia="Garamond" w:hAnsi="Garamond"/>
        </w:rPr>
      </w:pPr>
      <w:r w:rsidRPr="009A48E7">
        <w:rPr>
          <w:rFonts w:ascii="Garamond" w:eastAsia="Garamond" w:hAnsi="Garamond"/>
        </w:rPr>
        <w:t>ensuring Victoria is a leading destination for business, innovation and talent</w:t>
      </w:r>
    </w:p>
    <w:p w14:paraId="4D8B4EBA" w14:textId="6367CB16" w:rsidR="00824558" w:rsidRPr="009A48E7" w:rsidRDefault="00824558" w:rsidP="0057778B">
      <w:pPr>
        <w:pStyle w:val="ListParagraph"/>
        <w:numPr>
          <w:ilvl w:val="0"/>
          <w:numId w:val="26"/>
        </w:numPr>
        <w:spacing w:before="60" w:after="60"/>
        <w:contextualSpacing/>
        <w:rPr>
          <w:rFonts w:ascii="Garamond" w:eastAsia="Garamond" w:hAnsi="Garamond"/>
        </w:rPr>
      </w:pPr>
      <w:r w:rsidRPr="009A48E7">
        <w:rPr>
          <w:rFonts w:ascii="Garamond" w:eastAsia="Garamond" w:hAnsi="Garamond"/>
        </w:rPr>
        <w:t>continuous improvement of Victoria</w:t>
      </w:r>
      <w:r w:rsidR="007942D1">
        <w:rPr>
          <w:rFonts w:ascii="Garamond" w:eastAsia="Garamond" w:hAnsi="Garamond"/>
        </w:rPr>
        <w:t>’</w:t>
      </w:r>
      <w:r w:rsidRPr="009A48E7">
        <w:rPr>
          <w:rFonts w:ascii="Garamond" w:eastAsia="Garamond" w:hAnsi="Garamond"/>
        </w:rPr>
        <w:t>s approach to investment attraction</w:t>
      </w:r>
    </w:p>
    <w:p w14:paraId="745802E5" w14:textId="7A4135E4" w:rsidR="00824558" w:rsidRPr="009D0C02" w:rsidRDefault="00824558" w:rsidP="0057778B">
      <w:pPr>
        <w:pStyle w:val="ListParagraph"/>
        <w:numPr>
          <w:ilvl w:val="0"/>
          <w:numId w:val="26"/>
        </w:numPr>
        <w:spacing w:before="60" w:after="60"/>
        <w:contextualSpacing/>
        <w:rPr>
          <w:rFonts w:ascii="Garamond" w:eastAsia="Garamond" w:hAnsi="Garamond"/>
        </w:rPr>
      </w:pPr>
      <w:r w:rsidRPr="009D0C02">
        <w:rPr>
          <w:rFonts w:ascii="Garamond" w:eastAsia="Garamond" w:hAnsi="Garamond"/>
        </w:rPr>
        <w:t>enhancing Victoria</w:t>
      </w:r>
      <w:r w:rsidR="007942D1">
        <w:rPr>
          <w:rFonts w:ascii="Garamond" w:eastAsia="Garamond" w:hAnsi="Garamond"/>
        </w:rPr>
        <w:t>’</w:t>
      </w:r>
      <w:r w:rsidRPr="009D0C02">
        <w:rPr>
          <w:rFonts w:ascii="Garamond" w:eastAsia="Garamond" w:hAnsi="Garamond"/>
        </w:rPr>
        <w:t>s business investment environment and startup ecosystem</w:t>
      </w:r>
    </w:p>
    <w:p w14:paraId="6F73F669" w14:textId="77777777" w:rsidR="00824558" w:rsidRPr="009D0C02" w:rsidRDefault="00824558" w:rsidP="0057778B">
      <w:pPr>
        <w:pStyle w:val="ListParagraph"/>
        <w:numPr>
          <w:ilvl w:val="0"/>
          <w:numId w:val="26"/>
        </w:numPr>
        <w:spacing w:before="60" w:after="60"/>
        <w:contextualSpacing/>
        <w:rPr>
          <w:rFonts w:ascii="Garamond" w:eastAsia="Garamond" w:hAnsi="Garamond"/>
        </w:rPr>
      </w:pPr>
      <w:r w:rsidRPr="009D0C02">
        <w:rPr>
          <w:rFonts w:ascii="Garamond" w:eastAsia="Garamond" w:hAnsi="Garamond"/>
        </w:rPr>
        <w:t>helping Victorian businesses successfully trade into global markets</w:t>
      </w:r>
    </w:p>
    <w:p w14:paraId="4EC117A6" w14:textId="249EE66B" w:rsidR="00824558" w:rsidRPr="002E01C2" w:rsidRDefault="00824558" w:rsidP="00E17D4A">
      <w:pPr>
        <w:pStyle w:val="ListParagraph"/>
        <w:numPr>
          <w:ilvl w:val="0"/>
          <w:numId w:val="26"/>
        </w:numPr>
        <w:spacing w:before="60" w:after="120"/>
        <w:contextualSpacing/>
        <w:rPr>
          <w:rFonts w:ascii="Garamond" w:eastAsia="Garamond" w:hAnsi="Garamond"/>
        </w:rPr>
      </w:pPr>
      <w:r w:rsidRPr="009D0C02">
        <w:rPr>
          <w:rFonts w:ascii="Garamond" w:eastAsia="Garamond" w:hAnsi="Garamond" w:cs="Garamond"/>
        </w:rPr>
        <w:t xml:space="preserve">continued support of </w:t>
      </w:r>
      <w:r w:rsidRPr="009D0C02">
        <w:rPr>
          <w:rFonts w:ascii="Garamond" w:eastAsia="Garamond" w:hAnsi="Garamond"/>
        </w:rPr>
        <w:t>Victorian</w:t>
      </w:r>
      <w:r w:rsidR="007942D1">
        <w:rPr>
          <w:rFonts w:ascii="Garamond" w:eastAsia="Garamond" w:hAnsi="Garamond"/>
        </w:rPr>
        <w:t>’</w:t>
      </w:r>
      <w:r w:rsidRPr="009D0C02">
        <w:rPr>
          <w:rFonts w:ascii="Garamond" w:eastAsia="Garamond" w:hAnsi="Garamond"/>
        </w:rPr>
        <w:t>s market share of international student enrolments in Australia</w:t>
      </w:r>
      <w:r w:rsidR="002F1715">
        <w:rPr>
          <w:rFonts w:ascii="Garamond" w:eastAsia="Garamond" w:hAnsi="Garamond"/>
        </w:rPr>
        <w: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14953B5"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0B51EBC" w14:textId="77777777" w:rsidR="00824558" w:rsidRDefault="00824558">
            <w:r>
              <w:lastRenderedPageBreak/>
              <w:t>Performance measure</w:t>
            </w:r>
          </w:p>
        </w:tc>
        <w:tc>
          <w:tcPr>
            <w:tcW w:w="964" w:type="dxa"/>
          </w:tcPr>
          <w:p w14:paraId="1F68ED9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76E69E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1E2A74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F38242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7CF284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14:paraId="52255B0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1D22C4" w14:textId="45D21B96" w:rsidR="00824558" w:rsidRPr="005112F2" w:rsidRDefault="00A9225F" w:rsidP="00FF3C65">
            <w:pPr>
              <w:keepNext/>
            </w:pPr>
            <w:r w:rsidRPr="005112F2">
              <w:rPr>
                <w:b/>
                <w:bCs/>
              </w:rPr>
              <w:t xml:space="preserve">TRADE AND GLOBAL ENGAGEMENT </w:t>
            </w:r>
          </w:p>
          <w:p w14:paraId="39CB9524" w14:textId="77777777" w:rsidR="00824558" w:rsidRDefault="00824558">
            <w:r w:rsidRPr="005112F2">
              <w:t xml:space="preserve">This sub-output promotes business growth opportunities by connecting organisations to global business opportunities in priority markets and supporting the establishment and deepening of strategic commercial partnerships. It also positions Victoria as a destination of choice for international students. </w:t>
            </w:r>
          </w:p>
        </w:tc>
      </w:tr>
      <w:tr w:rsidR="00824558" w:rsidRPr="00A9225F" w14:paraId="1471787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7E22B472" w14:textId="77777777" w:rsidR="00824558" w:rsidRPr="00A9225F" w:rsidRDefault="00824558">
            <w:pPr>
              <w:keepNext/>
              <w:rPr>
                <w:b/>
                <w:bCs/>
                <w:iCs/>
              </w:rPr>
            </w:pPr>
            <w:r w:rsidRPr="00A9225F">
              <w:rPr>
                <w:b/>
                <w:bCs/>
                <w:iCs/>
              </w:rPr>
              <w:t>Quantity</w:t>
            </w:r>
          </w:p>
        </w:tc>
      </w:tr>
      <w:tr w:rsidR="00824558" w14:paraId="42DBC78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285602" w14:textId="77777777" w:rsidR="00824558" w:rsidRDefault="00824558">
            <w:pPr>
              <w:ind w:left="170"/>
            </w:pPr>
            <w:r>
              <w:t>Actual export sales generated as a result of participation in government programs</w:t>
            </w:r>
          </w:p>
        </w:tc>
        <w:tc>
          <w:tcPr>
            <w:tcW w:w="964" w:type="dxa"/>
            <w:tcBorders>
              <w:bottom w:val="single" w:sz="6" w:space="0" w:color="auto"/>
            </w:tcBorders>
          </w:tcPr>
          <w:p w14:paraId="06787B9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572958A5"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Borders>
              <w:bottom w:val="single" w:sz="6" w:space="0" w:color="auto"/>
            </w:tcBorders>
          </w:tcPr>
          <w:p w14:paraId="683A8C27"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Borders>
              <w:bottom w:val="single" w:sz="6" w:space="0" w:color="auto"/>
            </w:tcBorders>
          </w:tcPr>
          <w:p w14:paraId="291FA8AF"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Borders>
              <w:bottom w:val="single" w:sz="6" w:space="0" w:color="auto"/>
            </w:tcBorders>
          </w:tcPr>
          <w:p w14:paraId="3E97065C" w14:textId="77777777" w:rsidR="00824558" w:rsidRDefault="00824558">
            <w:pPr>
              <w:cnfStyle w:val="000000000000" w:firstRow="0" w:lastRow="0" w:firstColumn="0" w:lastColumn="0" w:oddVBand="0" w:evenVBand="0" w:oddHBand="0" w:evenHBand="0" w:firstRowFirstColumn="0" w:firstRowLastColumn="0" w:lastRowFirstColumn="0" w:lastRowLastColumn="0"/>
            </w:pPr>
            <w:r>
              <w:t>834</w:t>
            </w:r>
          </w:p>
        </w:tc>
      </w:tr>
      <w:tr w:rsidR="00824558" w14:paraId="6A1634E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8219D4" w14:textId="77777777" w:rsidR="00824558" w:rsidRDefault="00824558">
            <w:pPr>
              <w:ind w:left="170"/>
            </w:pPr>
            <w:r>
              <w:t>Clients engaged in export and trade programs</w:t>
            </w:r>
          </w:p>
        </w:tc>
        <w:tc>
          <w:tcPr>
            <w:tcW w:w="964" w:type="dxa"/>
            <w:tcBorders>
              <w:bottom w:val="single" w:sz="6" w:space="0" w:color="auto"/>
            </w:tcBorders>
          </w:tcPr>
          <w:p w14:paraId="0E258BB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16CEF8C"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Borders>
              <w:bottom w:val="single" w:sz="6" w:space="0" w:color="auto"/>
            </w:tcBorders>
          </w:tcPr>
          <w:p w14:paraId="5B2EBD6D"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Borders>
              <w:bottom w:val="single" w:sz="6" w:space="0" w:color="auto"/>
            </w:tcBorders>
          </w:tcPr>
          <w:p w14:paraId="2B25EA32"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Borders>
              <w:bottom w:val="single" w:sz="6" w:space="0" w:color="auto"/>
            </w:tcBorders>
          </w:tcPr>
          <w:p w14:paraId="689653B5" w14:textId="77777777" w:rsidR="00824558" w:rsidRDefault="00824558">
            <w:pPr>
              <w:cnfStyle w:val="000000000000" w:firstRow="0" w:lastRow="0" w:firstColumn="0" w:lastColumn="0" w:oddVBand="0" w:evenVBand="0" w:oddHBand="0" w:evenHBand="0" w:firstRowFirstColumn="0" w:firstRowLastColumn="0" w:lastRowFirstColumn="0" w:lastRowLastColumn="0"/>
            </w:pPr>
            <w:r>
              <w:t>2 725</w:t>
            </w:r>
          </w:p>
        </w:tc>
      </w:tr>
      <w:tr w:rsidR="00824558" w14:paraId="7EB4203C"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0F835D7" w14:textId="66198670" w:rsidR="00824558" w:rsidRDefault="00824558">
            <w:pPr>
              <w:ind w:left="170"/>
            </w:pPr>
            <w:r>
              <w:t>Victoria</w:t>
            </w:r>
            <w:r w:rsidR="007942D1">
              <w:t>’</w:t>
            </w:r>
            <w:r>
              <w:t>s proportion of all international student enrolments in Australia</w:t>
            </w:r>
          </w:p>
        </w:tc>
        <w:tc>
          <w:tcPr>
            <w:tcW w:w="964" w:type="dxa"/>
            <w:tcBorders>
              <w:bottom w:val="single" w:sz="6" w:space="0" w:color="auto"/>
            </w:tcBorders>
          </w:tcPr>
          <w:p w14:paraId="7D36749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D238585"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46C60FDD"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375B753E"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4AAD8AD6"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r>
      <w:tr w:rsidR="00824558" w14:paraId="410BBA6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F459E99" w14:textId="77777777" w:rsidR="00824558" w:rsidRDefault="00824558">
            <w:pPr>
              <w:ind w:left="170"/>
            </w:pPr>
            <w:r>
              <w:t>Visits to the Global Victoria website</w:t>
            </w:r>
          </w:p>
        </w:tc>
        <w:tc>
          <w:tcPr>
            <w:tcW w:w="964" w:type="dxa"/>
            <w:tcBorders>
              <w:bottom w:val="single" w:sz="6" w:space="0" w:color="auto"/>
            </w:tcBorders>
          </w:tcPr>
          <w:p w14:paraId="0CE236B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D59C9D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100 000</w:t>
            </w:r>
          </w:p>
        </w:tc>
        <w:tc>
          <w:tcPr>
            <w:tcW w:w="964" w:type="dxa"/>
            <w:tcBorders>
              <w:bottom w:val="single" w:sz="6" w:space="0" w:color="auto"/>
            </w:tcBorders>
          </w:tcPr>
          <w:p w14:paraId="58A23D1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100 000</w:t>
            </w:r>
          </w:p>
        </w:tc>
        <w:tc>
          <w:tcPr>
            <w:tcW w:w="964" w:type="dxa"/>
            <w:tcBorders>
              <w:bottom w:val="single" w:sz="6" w:space="0" w:color="auto"/>
            </w:tcBorders>
          </w:tcPr>
          <w:p w14:paraId="630F57D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100 000</w:t>
            </w:r>
          </w:p>
        </w:tc>
        <w:tc>
          <w:tcPr>
            <w:tcW w:w="964" w:type="dxa"/>
            <w:tcBorders>
              <w:bottom w:val="single" w:sz="6" w:space="0" w:color="auto"/>
            </w:tcBorders>
          </w:tcPr>
          <w:p w14:paraId="5EAA29A0" w14:textId="77777777" w:rsidR="00824558" w:rsidRDefault="00824558">
            <w:pPr>
              <w:cnfStyle w:val="000000000000" w:firstRow="0" w:lastRow="0" w:firstColumn="0" w:lastColumn="0" w:oddVBand="0" w:evenVBand="0" w:oddHBand="0" w:evenHBand="0" w:firstRowFirstColumn="0" w:firstRowLastColumn="0" w:lastRowFirstColumn="0" w:lastRowLastColumn="0"/>
            </w:pPr>
            <w:r>
              <w:t>101 443</w:t>
            </w:r>
          </w:p>
        </w:tc>
      </w:tr>
      <w:tr w:rsidR="00824558" w:rsidRPr="00A9225F" w14:paraId="1219FDB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79FA4AF1" w14:textId="77777777" w:rsidR="00824558" w:rsidRPr="00A9225F" w:rsidRDefault="00824558">
            <w:pPr>
              <w:keepNext/>
              <w:rPr>
                <w:b/>
                <w:bCs/>
                <w:iCs/>
              </w:rPr>
            </w:pPr>
            <w:r w:rsidRPr="00A9225F">
              <w:rPr>
                <w:b/>
                <w:bCs/>
                <w:iCs/>
              </w:rPr>
              <w:t>Quality</w:t>
            </w:r>
          </w:p>
        </w:tc>
      </w:tr>
      <w:tr w:rsidR="00824558" w14:paraId="3AD77A51"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A27C448" w14:textId="77777777" w:rsidR="00824558" w:rsidRDefault="00824558">
            <w:pPr>
              <w:ind w:left="170"/>
            </w:pPr>
            <w:r>
              <w:t>Client satisfaction with export assistance offered</w:t>
            </w:r>
          </w:p>
        </w:tc>
        <w:tc>
          <w:tcPr>
            <w:tcW w:w="964" w:type="dxa"/>
            <w:tcBorders>
              <w:bottom w:val="single" w:sz="6" w:space="0" w:color="auto"/>
            </w:tcBorders>
          </w:tcPr>
          <w:p w14:paraId="32A1AD5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F848CE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B1E0B4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AA4683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03E8DEC"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25BCBE0B" w14:textId="77777777" w:rsidTr="00821B23">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77C3842" w14:textId="77777777" w:rsidR="00824558" w:rsidRDefault="00824558">
            <w:pPr>
              <w:ind w:left="170"/>
            </w:pPr>
            <w:r>
              <w:t>International student satisfaction with Study Melbourne student programs</w:t>
            </w:r>
          </w:p>
        </w:tc>
        <w:tc>
          <w:tcPr>
            <w:tcW w:w="964" w:type="dxa"/>
            <w:tcBorders>
              <w:top w:val="single" w:sz="6" w:space="0" w:color="auto"/>
              <w:bottom w:val="single" w:sz="6" w:space="0" w:color="auto"/>
            </w:tcBorders>
          </w:tcPr>
          <w:p w14:paraId="73873D1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263F00E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single" w:sz="6" w:space="0" w:color="auto"/>
            </w:tcBorders>
          </w:tcPr>
          <w:p w14:paraId="5A1299A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single" w:sz="6" w:space="0" w:color="auto"/>
            </w:tcBorders>
          </w:tcPr>
          <w:p w14:paraId="169C64B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single" w:sz="6" w:space="0" w:color="auto"/>
            </w:tcBorders>
          </w:tcPr>
          <w:p w14:paraId="08CFC4C7"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D3223E" w14:paraId="70DD7DE9" w14:textId="77777777" w:rsidTr="00821B2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E7530C9" w14:textId="43E39C18" w:rsidR="00D3223E" w:rsidRDefault="00D3223E" w:rsidP="00D3223E">
            <w:pPr>
              <w:keepNext/>
            </w:pPr>
            <w:r w:rsidRPr="00D3223E">
              <w:rPr>
                <w:b/>
                <w:bCs/>
                <w:iCs/>
              </w:rPr>
              <w:t>Cost</w:t>
            </w:r>
          </w:p>
        </w:tc>
      </w:tr>
      <w:tr w:rsidR="00D3223E" w14:paraId="2898CAAF" w14:textId="77777777" w:rsidTr="00A53F0B">
        <w:tc>
          <w:tcPr>
            <w:cnfStyle w:val="001000000000" w:firstRow="0" w:lastRow="0" w:firstColumn="1" w:lastColumn="0" w:oddVBand="0" w:evenVBand="0" w:oddHBand="0" w:evenHBand="0" w:firstRowFirstColumn="0" w:firstRowLastColumn="0" w:lastRowFirstColumn="0" w:lastRowLastColumn="0"/>
            <w:tcW w:w="4819" w:type="dxa"/>
          </w:tcPr>
          <w:p w14:paraId="7181C434" w14:textId="27EAEABA" w:rsidR="00D3223E" w:rsidRDefault="008C679F">
            <w:pPr>
              <w:ind w:left="170"/>
            </w:pPr>
            <w:r>
              <w:t>Total sub-output cost</w:t>
            </w:r>
          </w:p>
        </w:tc>
        <w:tc>
          <w:tcPr>
            <w:tcW w:w="964" w:type="dxa"/>
          </w:tcPr>
          <w:p w14:paraId="1A50E432" w14:textId="07484B9B" w:rsidR="00D3223E" w:rsidRDefault="00FA712C">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C4F1BD2" w14:textId="1F6DABD9" w:rsidR="00D3223E" w:rsidRDefault="009F08F3">
            <w:pPr>
              <w:cnfStyle w:val="000000000000" w:firstRow="0" w:lastRow="0" w:firstColumn="0" w:lastColumn="0" w:oddVBand="0" w:evenVBand="0" w:oddHBand="0" w:evenHBand="0" w:firstRowFirstColumn="0" w:firstRowLastColumn="0" w:lastRowFirstColumn="0" w:lastRowLastColumn="0"/>
            </w:pPr>
            <w:r w:rsidRPr="00DC2D94">
              <w:t>62</w:t>
            </w:r>
            <w:r>
              <w:t>.0</w:t>
            </w:r>
          </w:p>
        </w:tc>
        <w:tc>
          <w:tcPr>
            <w:tcW w:w="964" w:type="dxa"/>
          </w:tcPr>
          <w:p w14:paraId="71EB0FF7" w14:textId="3BC6E521" w:rsidR="00D3223E" w:rsidRDefault="00C12831">
            <w:pPr>
              <w:cnfStyle w:val="000000000000" w:firstRow="0" w:lastRow="0" w:firstColumn="0" w:lastColumn="0" w:oddVBand="0" w:evenVBand="0" w:oddHBand="0" w:evenHBand="0" w:firstRowFirstColumn="0" w:firstRowLastColumn="0" w:lastRowFirstColumn="0" w:lastRowLastColumn="0"/>
            </w:pPr>
            <w:r w:rsidRPr="0042102F">
              <w:t>69.3</w:t>
            </w:r>
          </w:p>
        </w:tc>
        <w:tc>
          <w:tcPr>
            <w:tcW w:w="964" w:type="dxa"/>
          </w:tcPr>
          <w:p w14:paraId="61D07E46" w14:textId="78C3E59E" w:rsidR="00D3223E" w:rsidRDefault="00957C33">
            <w:pPr>
              <w:cnfStyle w:val="000000000000" w:firstRow="0" w:lastRow="0" w:firstColumn="0" w:lastColumn="0" w:oddVBand="0" w:evenVBand="0" w:oddHBand="0" w:evenHBand="0" w:firstRowFirstColumn="0" w:firstRowLastColumn="0" w:lastRowFirstColumn="0" w:lastRowLastColumn="0"/>
            </w:pPr>
            <w:r w:rsidRPr="005734C2">
              <w:t>52.6</w:t>
            </w:r>
          </w:p>
        </w:tc>
        <w:tc>
          <w:tcPr>
            <w:tcW w:w="964" w:type="dxa"/>
          </w:tcPr>
          <w:p w14:paraId="168933E6" w14:textId="583FBE4C" w:rsidR="00D3223E" w:rsidRDefault="00A53F0B">
            <w:pPr>
              <w:cnfStyle w:val="000000000000" w:firstRow="0" w:lastRow="0" w:firstColumn="0" w:lastColumn="0" w:oddVBand="0" w:evenVBand="0" w:oddHBand="0" w:evenHBand="0" w:firstRowFirstColumn="0" w:firstRowLastColumn="0" w:lastRowFirstColumn="0" w:lastRowLastColumn="0"/>
            </w:pPr>
            <w:r w:rsidRPr="00F44B4B">
              <w:t>67.7</w:t>
            </w:r>
          </w:p>
        </w:tc>
      </w:tr>
      <w:tr w:rsidR="00A53F0B" w14:paraId="49F0400E" w14:textId="77777777" w:rsidTr="00A53F0B">
        <w:tc>
          <w:tcPr>
            <w:cnfStyle w:val="001000000000" w:firstRow="0" w:lastRow="0" w:firstColumn="1" w:lastColumn="0" w:oddVBand="0" w:evenVBand="0" w:oddHBand="0" w:evenHBand="0" w:firstRowFirstColumn="0" w:firstRowLastColumn="0" w:lastRowFirstColumn="0" w:lastRowLastColumn="0"/>
            <w:tcW w:w="9639" w:type="dxa"/>
            <w:gridSpan w:val="6"/>
          </w:tcPr>
          <w:p w14:paraId="7A4BD326" w14:textId="593D312E" w:rsidR="00A53F0B" w:rsidRPr="000F348F" w:rsidRDefault="000F348F" w:rsidP="000F348F">
            <w:pPr>
              <w:ind w:left="170"/>
              <w:rPr>
                <w:i/>
              </w:rPr>
            </w:pPr>
            <w:r w:rsidRPr="003456C9">
              <w:rPr>
                <w:i/>
              </w:rPr>
              <w:t>The 2025-26 expected outcome is higher than the 2025-26 budget due to funding re-alignment from the Investment Attraction sub</w:t>
            </w:r>
            <w:r w:rsidR="00B420DB">
              <w:rPr>
                <w:i/>
              </w:rPr>
              <w:noBreakHyphen/>
            </w:r>
            <w:r w:rsidRPr="003456C9">
              <w:rPr>
                <w:i/>
              </w:rPr>
              <w:t>output.</w:t>
            </w:r>
          </w:p>
        </w:tc>
      </w:tr>
      <w:tr w:rsidR="00A53F0B" w14:paraId="4E90B61D" w14:textId="77777777" w:rsidTr="00A53F0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0DBE298" w14:textId="243B753A" w:rsidR="00A53F0B" w:rsidRDefault="00F31D69" w:rsidP="00F31D69">
            <w:pPr>
              <w:ind w:left="170"/>
            </w:pPr>
            <w:r w:rsidRPr="00F31D69">
              <w:rPr>
                <w:i/>
              </w:rPr>
              <w:t>The 2026-27 target is higher than the 2025-26 target primarily due to funding re-alignment from the Investment Attraction sub-output.</w:t>
            </w:r>
          </w:p>
        </w:tc>
      </w:tr>
      <w:tr w:rsidR="00824558" w14:paraId="195BA002"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54D364DE" w14:textId="4B52D9C8" w:rsidR="00824558" w:rsidRPr="0075330A" w:rsidRDefault="00A9225F" w:rsidP="00826DB8">
            <w:pPr>
              <w:spacing w:before="60"/>
            </w:pPr>
            <w:r w:rsidRPr="0075330A">
              <w:rPr>
                <w:b/>
                <w:bCs/>
              </w:rPr>
              <w:t xml:space="preserve">INVESTMENT ATTRACTION </w:t>
            </w:r>
          </w:p>
          <w:p w14:paraId="4CD16D51" w14:textId="597E3EF8" w:rsidR="00824558" w:rsidRDefault="00824558" w:rsidP="00826DB8">
            <w:pPr>
              <w:spacing w:before="60"/>
            </w:pPr>
            <w:r w:rsidRPr="0075330A">
              <w:t>This sub-output contributes to strengthening Victoria</w:t>
            </w:r>
            <w:r w:rsidR="007942D1">
              <w:t>’</w:t>
            </w:r>
            <w:r w:rsidRPr="0075330A">
              <w:t xml:space="preserve">s economic performance through facilitating private sector investment in Victoria. This is achieved through securing investments with facilitation support, grants or access to finance initiatives that enhance productivity, by introducing new skills and capabilities to the Victorian economy. </w:t>
            </w:r>
          </w:p>
        </w:tc>
      </w:tr>
      <w:tr w:rsidR="00824558" w:rsidRPr="00A9225F" w14:paraId="4D2B820D"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B162F8F" w14:textId="77777777" w:rsidR="00824558" w:rsidRPr="00A9225F" w:rsidRDefault="00824558">
            <w:pPr>
              <w:keepNext/>
              <w:rPr>
                <w:b/>
                <w:bCs/>
                <w:iCs/>
              </w:rPr>
            </w:pPr>
            <w:r w:rsidRPr="00A9225F">
              <w:rPr>
                <w:b/>
                <w:bCs/>
                <w:iCs/>
              </w:rPr>
              <w:t>Quantity</w:t>
            </w:r>
          </w:p>
        </w:tc>
      </w:tr>
      <w:tr w:rsidR="00824558" w14:paraId="6DADA9D6"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929055E" w14:textId="77777777" w:rsidR="00824558" w:rsidRDefault="00824558">
            <w:pPr>
              <w:ind w:left="170"/>
            </w:pPr>
            <w:r>
              <w:t>Innovation expenditure generated from international investment secured through Government facilitation services and assistance</w:t>
            </w:r>
          </w:p>
        </w:tc>
        <w:tc>
          <w:tcPr>
            <w:tcW w:w="964" w:type="dxa"/>
            <w:tcBorders>
              <w:bottom w:val="single" w:sz="6" w:space="0" w:color="auto"/>
            </w:tcBorders>
          </w:tcPr>
          <w:p w14:paraId="55BF960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31EC65B0"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505D92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C69245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8A499D0" w14:textId="77777777" w:rsidR="00824558" w:rsidRDefault="00824558">
            <w:pPr>
              <w:cnfStyle w:val="000000000000" w:firstRow="0" w:lastRow="0" w:firstColumn="0" w:lastColumn="0" w:oddVBand="0" w:evenVBand="0" w:oddHBand="0" w:evenHBand="0" w:firstRowFirstColumn="0" w:firstRowLastColumn="0" w:lastRowFirstColumn="0" w:lastRowLastColumn="0"/>
            </w:pPr>
            <w:r>
              <w:t>205</w:t>
            </w:r>
          </w:p>
        </w:tc>
      </w:tr>
      <w:tr w:rsidR="00824558" w14:paraId="04F0DE0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A595873" w14:textId="77777777" w:rsidR="00824558" w:rsidRDefault="00824558">
            <w:pPr>
              <w:ind w:left="170"/>
            </w:pPr>
            <w:r>
              <w:t>Jobs generated from international investment secured through Government facilitation services and assistance</w:t>
            </w:r>
          </w:p>
        </w:tc>
        <w:tc>
          <w:tcPr>
            <w:tcW w:w="964" w:type="dxa"/>
            <w:tcBorders>
              <w:bottom w:val="single" w:sz="6" w:space="0" w:color="auto"/>
            </w:tcBorders>
          </w:tcPr>
          <w:p w14:paraId="10A3083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97F4161" w14:textId="77777777" w:rsidR="00824558" w:rsidRDefault="00824558">
            <w:pPr>
              <w:cnfStyle w:val="000000000000" w:firstRow="0" w:lastRow="0" w:firstColumn="0" w:lastColumn="0" w:oddVBand="0" w:evenVBand="0" w:oddHBand="0" w:evenHBand="0" w:firstRowFirstColumn="0" w:firstRowLastColumn="0" w:lastRowFirstColumn="0" w:lastRowLastColumn="0"/>
            </w:pPr>
            <w:r>
              <w:t>1 050</w:t>
            </w:r>
          </w:p>
        </w:tc>
        <w:tc>
          <w:tcPr>
            <w:tcW w:w="964" w:type="dxa"/>
            <w:tcBorders>
              <w:bottom w:val="single" w:sz="6" w:space="0" w:color="auto"/>
            </w:tcBorders>
          </w:tcPr>
          <w:p w14:paraId="01FC1BCE" w14:textId="77777777" w:rsidR="00824558" w:rsidRDefault="00824558">
            <w:pPr>
              <w:cnfStyle w:val="000000000000" w:firstRow="0" w:lastRow="0" w:firstColumn="0" w:lastColumn="0" w:oddVBand="0" w:evenVBand="0" w:oddHBand="0" w:evenHBand="0" w:firstRowFirstColumn="0" w:firstRowLastColumn="0" w:lastRowFirstColumn="0" w:lastRowLastColumn="0"/>
            </w:pPr>
            <w:r>
              <w:t>1 050</w:t>
            </w:r>
          </w:p>
        </w:tc>
        <w:tc>
          <w:tcPr>
            <w:tcW w:w="964" w:type="dxa"/>
            <w:tcBorders>
              <w:bottom w:val="single" w:sz="6" w:space="0" w:color="auto"/>
            </w:tcBorders>
          </w:tcPr>
          <w:p w14:paraId="3FC36116" w14:textId="77777777" w:rsidR="00824558" w:rsidRDefault="00824558">
            <w:pPr>
              <w:cnfStyle w:val="000000000000" w:firstRow="0" w:lastRow="0" w:firstColumn="0" w:lastColumn="0" w:oddVBand="0" w:evenVBand="0" w:oddHBand="0" w:evenHBand="0" w:firstRowFirstColumn="0" w:firstRowLastColumn="0" w:lastRowFirstColumn="0" w:lastRowLastColumn="0"/>
            </w:pPr>
            <w:r>
              <w:t>1 050</w:t>
            </w:r>
          </w:p>
        </w:tc>
        <w:tc>
          <w:tcPr>
            <w:tcW w:w="964" w:type="dxa"/>
            <w:tcBorders>
              <w:bottom w:val="single" w:sz="6" w:space="0" w:color="auto"/>
            </w:tcBorders>
          </w:tcPr>
          <w:p w14:paraId="45706C20" w14:textId="77777777" w:rsidR="00824558" w:rsidRDefault="00824558">
            <w:pPr>
              <w:cnfStyle w:val="000000000000" w:firstRow="0" w:lastRow="0" w:firstColumn="0" w:lastColumn="0" w:oddVBand="0" w:evenVBand="0" w:oddHBand="0" w:evenHBand="0" w:firstRowFirstColumn="0" w:firstRowLastColumn="0" w:lastRowFirstColumn="0" w:lastRowLastColumn="0"/>
            </w:pPr>
            <w:r>
              <w:t>1 847</w:t>
            </w:r>
          </w:p>
        </w:tc>
      </w:tr>
      <w:tr w:rsidR="00824558" w:rsidRPr="00A9225F" w14:paraId="478C675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278229DA" w14:textId="77777777" w:rsidR="00824558" w:rsidRPr="00A9225F" w:rsidRDefault="00824558">
            <w:pPr>
              <w:keepNext/>
              <w:rPr>
                <w:b/>
                <w:bCs/>
                <w:iCs/>
              </w:rPr>
            </w:pPr>
            <w:r w:rsidRPr="00A9225F">
              <w:rPr>
                <w:b/>
                <w:bCs/>
                <w:iCs/>
              </w:rPr>
              <w:t>Quality</w:t>
            </w:r>
          </w:p>
        </w:tc>
      </w:tr>
      <w:tr w:rsidR="00824558" w14:paraId="7E667D7B"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0653198" w14:textId="77777777" w:rsidR="00824558" w:rsidRDefault="00824558">
            <w:pPr>
              <w:ind w:left="170"/>
            </w:pPr>
            <w:r>
              <w:t>Wages generated from international investment secured through Government facilitation services and assistance</w:t>
            </w:r>
          </w:p>
        </w:tc>
        <w:tc>
          <w:tcPr>
            <w:tcW w:w="964" w:type="dxa"/>
            <w:tcBorders>
              <w:bottom w:val="single" w:sz="6" w:space="0" w:color="auto"/>
            </w:tcBorders>
          </w:tcPr>
          <w:p w14:paraId="752C8EE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tcPr>
          <w:p w14:paraId="49720E8D"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37A515B5"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533E9C77"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240567A9" w14:textId="77777777" w:rsidR="00824558" w:rsidRDefault="00824558">
            <w:pPr>
              <w:cnfStyle w:val="000000000000" w:firstRow="0" w:lastRow="0" w:firstColumn="0" w:lastColumn="0" w:oddVBand="0" w:evenVBand="0" w:oddHBand="0" w:evenHBand="0" w:firstRowFirstColumn="0" w:firstRowLastColumn="0" w:lastRowFirstColumn="0" w:lastRowLastColumn="0"/>
            </w:pPr>
            <w:r>
              <w:t>230</w:t>
            </w:r>
          </w:p>
        </w:tc>
      </w:tr>
      <w:tr w:rsidR="00824558" w:rsidRPr="00A9225F" w14:paraId="4B58B51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CE8D5A3" w14:textId="77777777" w:rsidR="00824558" w:rsidRPr="00A9225F" w:rsidRDefault="00824558">
            <w:pPr>
              <w:keepNext/>
              <w:rPr>
                <w:b/>
                <w:bCs/>
                <w:iCs/>
              </w:rPr>
            </w:pPr>
            <w:r w:rsidRPr="00A9225F">
              <w:rPr>
                <w:b/>
                <w:bCs/>
                <w:iCs/>
              </w:rPr>
              <w:t>Timeliness</w:t>
            </w:r>
          </w:p>
        </w:tc>
      </w:tr>
      <w:tr w:rsidR="00824558" w14:paraId="1C003B11"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5281C42" w14:textId="77777777" w:rsidR="00824558" w:rsidRDefault="00824558">
            <w:pPr>
              <w:keepNext/>
              <w:ind w:left="170"/>
            </w:pPr>
            <w:r>
              <w:t>Delivery of key CarbonNet milestones, in line with funding agreements and agreed project deliverables</w:t>
            </w:r>
          </w:p>
        </w:tc>
        <w:tc>
          <w:tcPr>
            <w:tcW w:w="964" w:type="dxa"/>
          </w:tcPr>
          <w:p w14:paraId="0ED0CED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B9BF72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9658656"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Pr>
          <w:p w14:paraId="36DF4BC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F6A4C5C"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r>
      <w:tr w:rsidR="00824558" w14:paraId="6350859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FE6C641" w14:textId="5926C277" w:rsidR="00824558" w:rsidRDefault="00824558">
            <w:pPr>
              <w:ind w:left="170"/>
            </w:pPr>
            <w:r>
              <w:rPr>
                <w:i/>
              </w:rPr>
              <w:t xml:space="preserve">The </w:t>
            </w:r>
            <w:r w:rsidR="008F7A05">
              <w:rPr>
                <w:i/>
              </w:rPr>
              <w:t>2025-26</w:t>
            </w:r>
            <w:r>
              <w:rPr>
                <w:i/>
              </w:rPr>
              <w:t xml:space="preserve"> expected outcome is lower than the target due to an approved change in CarbonNet</w:t>
            </w:r>
            <w:r w:rsidR="007942D1">
              <w:rPr>
                <w:i/>
              </w:rPr>
              <w:t>’</w:t>
            </w:r>
            <w:r>
              <w:rPr>
                <w:i/>
              </w:rPr>
              <w:t>s work program which allows for environmental referrals to be completed once the project</w:t>
            </w:r>
            <w:r w:rsidR="007942D1">
              <w:rPr>
                <w:i/>
              </w:rPr>
              <w:t>’</w:t>
            </w:r>
            <w:r>
              <w:rPr>
                <w:i/>
              </w:rPr>
              <w:t>s development concept is finalised.</w:t>
            </w:r>
          </w:p>
        </w:tc>
      </w:tr>
      <w:tr w:rsidR="0012290E" w:rsidRPr="00DC0EBC" w14:paraId="08D2D41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FBCCB5E" w14:textId="77777777" w:rsidR="0012290E" w:rsidRPr="00DC0EBC" w:rsidRDefault="0012290E">
            <w:pPr>
              <w:keepNext/>
              <w:rPr>
                <w:b/>
              </w:rPr>
            </w:pPr>
            <w:r w:rsidRPr="00DC0EBC">
              <w:rPr>
                <w:b/>
              </w:rPr>
              <w:t>Cost</w:t>
            </w:r>
          </w:p>
        </w:tc>
      </w:tr>
      <w:tr w:rsidR="0012290E" w14:paraId="3431788E" w14:textId="77777777" w:rsidTr="004B69B0">
        <w:tc>
          <w:tcPr>
            <w:cnfStyle w:val="001000000000" w:firstRow="0" w:lastRow="0" w:firstColumn="1" w:lastColumn="0" w:oddVBand="0" w:evenVBand="0" w:oddHBand="0" w:evenHBand="0" w:firstRowFirstColumn="0" w:firstRowLastColumn="0" w:lastRowFirstColumn="0" w:lastRowLastColumn="0"/>
            <w:tcW w:w="4819" w:type="dxa"/>
          </w:tcPr>
          <w:p w14:paraId="1B1ED1B8" w14:textId="381A4C67" w:rsidR="0012290E" w:rsidRDefault="0012290E">
            <w:pPr>
              <w:keepNext/>
              <w:ind w:left="170"/>
            </w:pPr>
            <w:r>
              <w:t xml:space="preserve">Total </w:t>
            </w:r>
            <w:r w:rsidR="00F31D69">
              <w:t>sub-</w:t>
            </w:r>
            <w:r>
              <w:t>output cost</w:t>
            </w:r>
          </w:p>
        </w:tc>
        <w:tc>
          <w:tcPr>
            <w:tcW w:w="964" w:type="dxa"/>
          </w:tcPr>
          <w:p w14:paraId="08603A24" w14:textId="77777777" w:rsidR="0012290E" w:rsidRDefault="0012290E">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6EA336B1" w14:textId="0F7B0E31" w:rsidR="0012290E" w:rsidRPr="004D0078" w:rsidRDefault="00624099">
            <w:pPr>
              <w:cnfStyle w:val="000000000000" w:firstRow="0" w:lastRow="0" w:firstColumn="0" w:lastColumn="0" w:oddVBand="0" w:evenVBand="0" w:oddHBand="0" w:evenHBand="0" w:firstRowFirstColumn="0" w:firstRowLastColumn="0" w:lastRowFirstColumn="0" w:lastRowLastColumn="0"/>
              <w:rPr>
                <w:highlight w:val="yellow"/>
              </w:rPr>
            </w:pPr>
            <w:r w:rsidRPr="00500CC2">
              <w:t>61.3</w:t>
            </w:r>
          </w:p>
        </w:tc>
        <w:tc>
          <w:tcPr>
            <w:tcW w:w="964" w:type="dxa"/>
          </w:tcPr>
          <w:p w14:paraId="06760650" w14:textId="034DF542" w:rsidR="0012290E" w:rsidRPr="004D0078" w:rsidRDefault="00D81EE6">
            <w:pPr>
              <w:cnfStyle w:val="000000000000" w:firstRow="0" w:lastRow="0" w:firstColumn="0" w:lastColumn="0" w:oddVBand="0" w:evenVBand="0" w:oddHBand="0" w:evenHBand="0" w:firstRowFirstColumn="0" w:firstRowLastColumn="0" w:lastRowFirstColumn="0" w:lastRowLastColumn="0"/>
              <w:rPr>
                <w:highlight w:val="yellow"/>
              </w:rPr>
            </w:pPr>
            <w:r w:rsidRPr="00C0144F">
              <w:t>57.9</w:t>
            </w:r>
          </w:p>
        </w:tc>
        <w:tc>
          <w:tcPr>
            <w:tcW w:w="964" w:type="dxa"/>
          </w:tcPr>
          <w:p w14:paraId="78DCCEA6" w14:textId="58751C2E" w:rsidR="0012290E" w:rsidRPr="004D0078" w:rsidRDefault="00152909">
            <w:pPr>
              <w:cnfStyle w:val="000000000000" w:firstRow="0" w:lastRow="0" w:firstColumn="0" w:lastColumn="0" w:oddVBand="0" w:evenVBand="0" w:oddHBand="0" w:evenHBand="0" w:firstRowFirstColumn="0" w:firstRowLastColumn="0" w:lastRowFirstColumn="0" w:lastRowLastColumn="0"/>
              <w:rPr>
                <w:highlight w:val="yellow"/>
              </w:rPr>
            </w:pPr>
            <w:r w:rsidRPr="008F1639">
              <w:t>110.2</w:t>
            </w:r>
          </w:p>
        </w:tc>
        <w:tc>
          <w:tcPr>
            <w:tcW w:w="964" w:type="dxa"/>
          </w:tcPr>
          <w:p w14:paraId="49F0C139" w14:textId="63E21FF1" w:rsidR="0012290E" w:rsidRPr="004D0078" w:rsidRDefault="004B69B0">
            <w:pPr>
              <w:cnfStyle w:val="000000000000" w:firstRow="0" w:lastRow="0" w:firstColumn="0" w:lastColumn="0" w:oddVBand="0" w:evenVBand="0" w:oddHBand="0" w:evenHBand="0" w:firstRowFirstColumn="0" w:firstRowLastColumn="0" w:lastRowFirstColumn="0" w:lastRowLastColumn="0"/>
              <w:rPr>
                <w:highlight w:val="yellow"/>
              </w:rPr>
            </w:pPr>
            <w:r w:rsidRPr="00BB4C75">
              <w:t>53.3</w:t>
            </w:r>
          </w:p>
        </w:tc>
      </w:tr>
      <w:tr w:rsidR="00CA0830" w14:paraId="10FFC7E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08E5FD9" w14:textId="3535B9DE" w:rsidR="00CA0830" w:rsidRPr="007A52D6" w:rsidRDefault="007A52D6" w:rsidP="007A52D6">
            <w:pPr>
              <w:ind w:left="170"/>
              <w:rPr>
                <w:i/>
                <w:iCs/>
              </w:rPr>
            </w:pPr>
            <w:r w:rsidRPr="00895B97">
              <w:rPr>
                <w:i/>
                <w:iCs/>
              </w:rPr>
              <w:t>The 2025-26 expected outcome is lower than the 2025-26 budget due to the rephase of funding to match contracted milestones dates for investment related initiatives and funding re-alignment to the Trade and Global Engagement sub-output.</w:t>
            </w:r>
          </w:p>
        </w:tc>
      </w:tr>
      <w:tr w:rsidR="004B69B0" w14:paraId="7499229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A73B950" w14:textId="068BAA39" w:rsidR="004B69B0" w:rsidRPr="00BB4C75" w:rsidRDefault="00CA0830" w:rsidP="007A52D6">
            <w:pPr>
              <w:ind w:left="170"/>
            </w:pPr>
            <w:r w:rsidRPr="00F32171">
              <w:rPr>
                <w:i/>
                <w:iCs/>
              </w:rPr>
              <w:t xml:space="preserve">The 2026-27 target is lower than the 2025-26 target primarily due to funding profiles for a number of </w:t>
            </w:r>
            <w:r>
              <w:rPr>
                <w:i/>
                <w:iCs/>
              </w:rPr>
              <w:t>i</w:t>
            </w:r>
            <w:r w:rsidRPr="00F32171">
              <w:rPr>
                <w:i/>
                <w:iCs/>
              </w:rPr>
              <w:t>nvestment</w:t>
            </w:r>
            <w:r>
              <w:rPr>
                <w:i/>
                <w:iCs/>
              </w:rPr>
              <w:t>-</w:t>
            </w:r>
            <w:r w:rsidRPr="00F32171">
              <w:rPr>
                <w:i/>
                <w:iCs/>
              </w:rPr>
              <w:t>related initiatives.</w:t>
            </w:r>
          </w:p>
        </w:tc>
      </w:tr>
    </w:tbl>
    <w:p w14:paraId="2322448E" w14:textId="77777777" w:rsidR="00824558" w:rsidRDefault="00824558">
      <w:pPr>
        <w:pStyle w:val="Source"/>
      </w:pPr>
      <w:r>
        <w:t>Source: Department of Jobs, Skills, Industry and Regions</w:t>
      </w:r>
    </w:p>
    <w:p w14:paraId="74ACCCBB" w14:textId="77777777" w:rsidR="00824558" w:rsidRPr="0026123D" w:rsidRDefault="00824558"/>
    <w:p w14:paraId="55AB6435" w14:textId="77777777" w:rsidR="00633FC4" w:rsidRDefault="00633FC4">
      <w:pPr>
        <w:keepLines w:val="0"/>
        <w:rPr>
          <w:rFonts w:ascii="Calibri" w:eastAsia="Garamond" w:hAnsi="Calibri"/>
          <w:b/>
          <w:sz w:val="20"/>
        </w:rPr>
      </w:pPr>
      <w:r>
        <w:rPr>
          <w:rFonts w:ascii="Calibri" w:eastAsia="Garamond" w:hAnsi="Calibri"/>
          <w:b/>
          <w:sz w:val="20"/>
        </w:rPr>
        <w:br w:type="page"/>
      </w:r>
    </w:p>
    <w:p w14:paraId="24371746" w14:textId="49EBDC48" w:rsidR="00824558" w:rsidRPr="008A710D" w:rsidRDefault="00824558">
      <w:pPr>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8A710D">
        <w:rPr>
          <w:rFonts w:ascii="Calibri" w:eastAsia="Garamond" w:hAnsi="Calibri"/>
          <w:b/>
          <w:sz w:val="20"/>
        </w:rPr>
        <w:lastRenderedPageBreak/>
        <w:t>Objective 4: Build prosperous and liveable regions, and manage and promote outdoor recreation</w:t>
      </w:r>
    </w:p>
    <w:p w14:paraId="70849D49" w14:textId="77777777" w:rsidR="00824558" w:rsidRPr="008A710D"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8A710D">
        <w:rPr>
          <w:rFonts w:ascii="Garamond" w:eastAsia="Garamond" w:hAnsi="Garamond"/>
        </w:rPr>
        <w:t>This objective seeks to ensure that Victoria</w:t>
      </w:r>
      <w:r>
        <w:rPr>
          <w:rFonts w:ascii="Garamond" w:eastAsia="Garamond" w:hAnsi="Garamond"/>
        </w:rPr>
        <w:t>ns living in our regional cities and towns all have</w:t>
      </w:r>
      <w:r w:rsidRPr="008A710D">
        <w:rPr>
          <w:rFonts w:ascii="Garamond" w:eastAsia="Garamond" w:hAnsi="Garamond"/>
        </w:rPr>
        <w:t xml:space="preserve"> an opportunity to participate in economies and communities that are prosperous, vibrant and diverse. This objective also supports the development of sustainable game hunting, fishing and aquaculture activities </w:t>
      </w:r>
      <w:r>
        <w:rPr>
          <w:rFonts w:ascii="Garamond" w:eastAsia="Garamond" w:hAnsi="Garamond"/>
        </w:rPr>
        <w:t>across</w:t>
      </w:r>
      <w:r w:rsidRPr="008A710D">
        <w:rPr>
          <w:rFonts w:ascii="Garamond" w:eastAsia="Garamond" w:hAnsi="Garamond"/>
        </w:rPr>
        <w:t xml:space="preserve"> Victoria and the delivery of improved recreational fishing and boating services and facilities. </w:t>
      </w:r>
    </w:p>
    <w:p w14:paraId="2A92F6F3" w14:textId="77777777" w:rsidR="00824558" w:rsidRPr="008A710D"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8A710D">
        <w:rPr>
          <w:rFonts w:ascii="Garamond" w:eastAsia="Garamond" w:hAnsi="Garamond"/>
        </w:rPr>
        <w:t>The departmental objective indicators are:</w:t>
      </w:r>
    </w:p>
    <w:p w14:paraId="6318A4D0" w14:textId="77777777" w:rsidR="00824558" w:rsidRPr="008A710D" w:rsidRDefault="00824558">
      <w:pPr>
        <w:pStyle w:val="ShadedBoxBullet"/>
        <w:contextualSpacing/>
      </w:pPr>
      <w:r w:rsidRPr="008A710D">
        <w:t>jobs and investment secured through Government facilitation services and assistance</w:t>
      </w:r>
    </w:p>
    <w:p w14:paraId="4377A5EA" w14:textId="77777777" w:rsidR="00824558" w:rsidRPr="008A710D" w:rsidRDefault="00824558">
      <w:pPr>
        <w:pStyle w:val="ShadedBoxBullet"/>
        <w:contextualSpacing/>
      </w:pPr>
      <w:r w:rsidRPr="008A710D">
        <w:t>projects and activities delivered to support economic and community outcomes</w:t>
      </w:r>
    </w:p>
    <w:p w14:paraId="6024E07E" w14:textId="2482E1FE" w:rsidR="00824558" w:rsidRPr="008A710D" w:rsidRDefault="00824558">
      <w:pPr>
        <w:pStyle w:val="ShadedBoxBullet"/>
        <w:contextualSpacing/>
      </w:pPr>
      <w:r w:rsidRPr="008A710D">
        <w:t xml:space="preserve">sustainability of assessed fish stocks </w:t>
      </w:r>
    </w:p>
    <w:p w14:paraId="01C51D7D" w14:textId="77777777" w:rsidR="00824558" w:rsidRPr="008A710D" w:rsidRDefault="00824558">
      <w:pPr>
        <w:pStyle w:val="ShadedBoxBullet"/>
        <w:contextualSpacing/>
      </w:pPr>
      <w:r w:rsidRPr="008A710D">
        <w:t>improved recreational fishing and boating services and facilities.</w:t>
      </w:r>
    </w:p>
    <w:p w14:paraId="0209047A" w14:textId="77777777" w:rsidR="00824558" w:rsidRDefault="00824558">
      <w:pPr>
        <w:pStyle w:val="Heading3"/>
      </w:pPr>
      <w:r>
        <w:t>Outputs</w:t>
      </w:r>
    </w:p>
    <w:p w14:paraId="2EFD7B6A" w14:textId="3D7BC6C8" w:rsidR="00824558" w:rsidRDefault="00824558">
      <w:pPr>
        <w:pStyle w:val="Heading3"/>
      </w:pPr>
      <w:r>
        <w:t>Regional Development</w:t>
      </w:r>
      <w:r>
        <w:tab/>
        <w:t>(2026-27: $</w:t>
      </w:r>
      <w:r w:rsidR="00931749">
        <w:t>227.0</w:t>
      </w:r>
      <w:r>
        <w:t xml:space="preserve"> million)</w:t>
      </w:r>
    </w:p>
    <w:p w14:paraId="4D7459BC" w14:textId="6038CDCB" w:rsidR="00824558" w:rsidRPr="003E5621" w:rsidRDefault="00824558">
      <w:pPr>
        <w:spacing w:after="120"/>
      </w:pPr>
      <w:r w:rsidRPr="00703E3C">
        <w:t>The Regional Development output supports targeted place-based services and collaboration with industry, businesses, communities, local councils and government departments, to enable and support economic growth. This includes facilitating job growth, infrastructure and new investment in regional Victoria and enhancing the liveability of Victoria</w:t>
      </w:r>
      <w:r w:rsidR="007942D1">
        <w:t>’</w:t>
      </w:r>
      <w:r w:rsidRPr="00703E3C">
        <w:t>s regional cities and towns.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081AAB9"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3A35765" w14:textId="77777777" w:rsidR="00824558" w:rsidRDefault="00824558">
            <w:r>
              <w:t>Performance measure</w:t>
            </w:r>
          </w:p>
        </w:tc>
        <w:tc>
          <w:tcPr>
            <w:tcW w:w="964" w:type="dxa"/>
          </w:tcPr>
          <w:p w14:paraId="2C5C65DB"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FBC43D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482B12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4D2BAF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35BB6D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43F46A4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197F4E88" w14:textId="77777777" w:rsidR="00824558" w:rsidRPr="00A9225F" w:rsidRDefault="00824558">
            <w:pPr>
              <w:keepNext/>
              <w:rPr>
                <w:b/>
                <w:bCs/>
                <w:iCs/>
              </w:rPr>
            </w:pPr>
            <w:r w:rsidRPr="00A9225F">
              <w:rPr>
                <w:b/>
                <w:bCs/>
                <w:iCs/>
              </w:rPr>
              <w:t>Quantity</w:t>
            </w:r>
          </w:p>
        </w:tc>
      </w:tr>
      <w:tr w:rsidR="00824558" w14:paraId="247B4890"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29E32D0" w14:textId="77777777" w:rsidR="00824558" w:rsidRDefault="00824558">
            <w:pPr>
              <w:ind w:left="170"/>
            </w:pPr>
            <w:r>
              <w:t>Actual export sales generated for regional businesses as a result of participation in government programs</w:t>
            </w:r>
          </w:p>
        </w:tc>
        <w:tc>
          <w:tcPr>
            <w:tcW w:w="964" w:type="dxa"/>
            <w:tcBorders>
              <w:bottom w:val="single" w:sz="6" w:space="0" w:color="auto"/>
            </w:tcBorders>
          </w:tcPr>
          <w:p w14:paraId="5A10033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33576065"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c>
          <w:tcPr>
            <w:tcW w:w="964" w:type="dxa"/>
            <w:tcBorders>
              <w:bottom w:val="single" w:sz="6" w:space="0" w:color="auto"/>
            </w:tcBorders>
          </w:tcPr>
          <w:p w14:paraId="3A19C441"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c>
          <w:tcPr>
            <w:tcW w:w="964" w:type="dxa"/>
            <w:tcBorders>
              <w:bottom w:val="single" w:sz="6" w:space="0" w:color="auto"/>
            </w:tcBorders>
          </w:tcPr>
          <w:p w14:paraId="098AC8FC"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c>
          <w:tcPr>
            <w:tcW w:w="964" w:type="dxa"/>
            <w:tcBorders>
              <w:bottom w:val="single" w:sz="6" w:space="0" w:color="auto"/>
            </w:tcBorders>
          </w:tcPr>
          <w:p w14:paraId="2C4D1715" w14:textId="77777777" w:rsidR="00824558" w:rsidRDefault="00824558">
            <w:pPr>
              <w:cnfStyle w:val="000000000000" w:firstRow="0" w:lastRow="0" w:firstColumn="0" w:lastColumn="0" w:oddVBand="0" w:evenVBand="0" w:oddHBand="0" w:evenHBand="0" w:firstRowFirstColumn="0" w:firstRowLastColumn="0" w:lastRowFirstColumn="0" w:lastRowLastColumn="0"/>
            </w:pPr>
            <w:r>
              <w:t>101</w:t>
            </w:r>
          </w:p>
        </w:tc>
      </w:tr>
      <w:tr w:rsidR="00824558" w14:paraId="4CA380D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89B7E2D" w14:textId="77777777" w:rsidR="00824558" w:rsidRDefault="00824558">
            <w:pPr>
              <w:ind w:left="170"/>
            </w:pPr>
            <w:r>
              <w:t>Economic development and service delivery projects supported</w:t>
            </w:r>
          </w:p>
        </w:tc>
        <w:tc>
          <w:tcPr>
            <w:tcW w:w="964" w:type="dxa"/>
            <w:tcBorders>
              <w:bottom w:val="single" w:sz="6" w:space="0" w:color="auto"/>
            </w:tcBorders>
          </w:tcPr>
          <w:p w14:paraId="7044513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7ECDF7D" w14:textId="77777777" w:rsidR="00824558" w:rsidRDefault="00824558">
            <w:pPr>
              <w:cnfStyle w:val="000000000000" w:firstRow="0" w:lastRow="0" w:firstColumn="0" w:lastColumn="0" w:oddVBand="0" w:evenVBand="0" w:oddHBand="0" w:evenHBand="0" w:firstRowFirstColumn="0" w:firstRowLastColumn="0" w:lastRowFirstColumn="0" w:lastRowLastColumn="0"/>
            </w:pPr>
            <w:r>
              <w:t>120</w:t>
            </w:r>
          </w:p>
        </w:tc>
        <w:tc>
          <w:tcPr>
            <w:tcW w:w="964" w:type="dxa"/>
            <w:tcBorders>
              <w:bottom w:val="single" w:sz="6" w:space="0" w:color="auto"/>
            </w:tcBorders>
          </w:tcPr>
          <w:p w14:paraId="2546618E" w14:textId="77777777" w:rsidR="00824558" w:rsidRDefault="00824558">
            <w:pPr>
              <w:cnfStyle w:val="000000000000" w:firstRow="0" w:lastRow="0" w:firstColumn="0" w:lastColumn="0" w:oddVBand="0" w:evenVBand="0" w:oddHBand="0" w:evenHBand="0" w:firstRowFirstColumn="0" w:firstRowLastColumn="0" w:lastRowFirstColumn="0" w:lastRowLastColumn="0"/>
            </w:pPr>
            <w:r>
              <w:t>120</w:t>
            </w:r>
          </w:p>
        </w:tc>
        <w:tc>
          <w:tcPr>
            <w:tcW w:w="964" w:type="dxa"/>
            <w:tcBorders>
              <w:bottom w:val="single" w:sz="6" w:space="0" w:color="auto"/>
            </w:tcBorders>
          </w:tcPr>
          <w:p w14:paraId="18193F55" w14:textId="77777777" w:rsidR="00824558" w:rsidRDefault="00824558">
            <w:pPr>
              <w:cnfStyle w:val="000000000000" w:firstRow="0" w:lastRow="0" w:firstColumn="0" w:lastColumn="0" w:oddVBand="0" w:evenVBand="0" w:oddHBand="0" w:evenHBand="0" w:firstRowFirstColumn="0" w:firstRowLastColumn="0" w:lastRowFirstColumn="0" w:lastRowLastColumn="0"/>
            </w:pPr>
            <w:r>
              <w:t>120</w:t>
            </w:r>
          </w:p>
        </w:tc>
        <w:tc>
          <w:tcPr>
            <w:tcW w:w="964" w:type="dxa"/>
            <w:tcBorders>
              <w:bottom w:val="single" w:sz="6" w:space="0" w:color="auto"/>
            </w:tcBorders>
          </w:tcPr>
          <w:p w14:paraId="1B9F62F1" w14:textId="77777777" w:rsidR="00824558" w:rsidRDefault="00824558">
            <w:pPr>
              <w:cnfStyle w:val="000000000000" w:firstRow="0" w:lastRow="0" w:firstColumn="0" w:lastColumn="0" w:oddVBand="0" w:evenVBand="0" w:oddHBand="0" w:evenHBand="0" w:firstRowFirstColumn="0" w:firstRowLastColumn="0" w:lastRowFirstColumn="0" w:lastRowLastColumn="0"/>
            </w:pPr>
            <w:r>
              <w:t>262</w:t>
            </w:r>
          </w:p>
        </w:tc>
      </w:tr>
      <w:tr w:rsidR="00824558" w14:paraId="09FCFECF"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7923795" w14:textId="77777777" w:rsidR="00824558" w:rsidRDefault="00824558">
            <w:pPr>
              <w:ind w:left="170"/>
            </w:pPr>
            <w:r>
              <w:t>Jobs in regional Victoria resulting from government investment facilitation services and assistance</w:t>
            </w:r>
          </w:p>
        </w:tc>
        <w:tc>
          <w:tcPr>
            <w:tcW w:w="964" w:type="dxa"/>
            <w:tcBorders>
              <w:bottom w:val="single" w:sz="6" w:space="0" w:color="auto"/>
            </w:tcBorders>
          </w:tcPr>
          <w:p w14:paraId="7F6B1E8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B7FF5BE"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070350DE"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25421C22"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743E02C4" w14:textId="77777777" w:rsidR="00824558" w:rsidRDefault="00824558">
            <w:pPr>
              <w:cnfStyle w:val="000000000000" w:firstRow="0" w:lastRow="0" w:firstColumn="0" w:lastColumn="0" w:oddVBand="0" w:evenVBand="0" w:oddHBand="0" w:evenHBand="0" w:firstRowFirstColumn="0" w:firstRowLastColumn="0" w:lastRowFirstColumn="0" w:lastRowLastColumn="0"/>
            </w:pPr>
            <w:r>
              <w:t>428</w:t>
            </w:r>
          </w:p>
        </w:tc>
      </w:tr>
      <w:tr w:rsidR="00824558" w14:paraId="0F3FAB86"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9C80A5D" w14:textId="77777777" w:rsidR="00824558" w:rsidRDefault="00824558">
            <w:pPr>
              <w:keepNext/>
              <w:ind w:left="170"/>
            </w:pPr>
            <w:r>
              <w:t>Key worker bedrooms under construction or completed, supported through the Regional Worker Accommodation Fund</w:t>
            </w:r>
          </w:p>
        </w:tc>
        <w:tc>
          <w:tcPr>
            <w:tcW w:w="964" w:type="dxa"/>
          </w:tcPr>
          <w:p w14:paraId="1A4270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1DCC2A7"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0D243C9D"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42361281"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2F70A39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4352C3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A3EFDA" w14:textId="77777777" w:rsidR="00824558" w:rsidRDefault="00824558">
            <w:pPr>
              <w:ind w:left="170"/>
            </w:pPr>
            <w:r>
              <w:rPr>
                <w:i/>
              </w:rPr>
              <w:t>The lower 2026-27 target is due to Regional Worker Accommodation Fund projects nearing completion.</w:t>
            </w:r>
          </w:p>
        </w:tc>
      </w:tr>
      <w:tr w:rsidR="00824558" w14:paraId="77290520"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6ED8E98" w14:textId="77777777" w:rsidR="00824558" w:rsidRDefault="00824558">
            <w:pPr>
              <w:ind w:left="170"/>
            </w:pPr>
            <w:r>
              <w:t>New investment in regional Victoria resulting from government facilitation services and assistance</w:t>
            </w:r>
          </w:p>
        </w:tc>
        <w:tc>
          <w:tcPr>
            <w:tcW w:w="964" w:type="dxa"/>
            <w:tcBorders>
              <w:bottom w:val="single" w:sz="6" w:space="0" w:color="auto"/>
            </w:tcBorders>
          </w:tcPr>
          <w:p w14:paraId="428456E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6A06B528"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1E60A62F"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7CD42D11"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72D1D6C4" w14:textId="77777777" w:rsidR="00824558" w:rsidRDefault="00824558">
            <w:pPr>
              <w:cnfStyle w:val="000000000000" w:firstRow="0" w:lastRow="0" w:firstColumn="0" w:lastColumn="0" w:oddVBand="0" w:evenVBand="0" w:oddHBand="0" w:evenHBand="0" w:firstRowFirstColumn="0" w:firstRowLastColumn="0" w:lastRowFirstColumn="0" w:lastRowLastColumn="0"/>
            </w:pPr>
            <w:r>
              <w:t>403</w:t>
            </w:r>
          </w:p>
        </w:tc>
      </w:tr>
      <w:tr w:rsidR="00824558" w:rsidRPr="00A9225F" w14:paraId="274F46E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7BB69A6D" w14:textId="77777777" w:rsidR="00824558" w:rsidRPr="00A9225F" w:rsidRDefault="00824558">
            <w:pPr>
              <w:keepNext/>
              <w:rPr>
                <w:b/>
                <w:bCs/>
                <w:iCs/>
              </w:rPr>
            </w:pPr>
            <w:r w:rsidRPr="00A9225F">
              <w:rPr>
                <w:b/>
                <w:bCs/>
                <w:iCs/>
              </w:rPr>
              <w:t>Quality</w:t>
            </w:r>
          </w:p>
        </w:tc>
      </w:tr>
      <w:tr w:rsidR="00824558" w14:paraId="3C71F97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75FD6C6" w14:textId="77777777" w:rsidR="00824558" w:rsidRDefault="00824558">
            <w:pPr>
              <w:ind w:left="170"/>
            </w:pPr>
            <w:r>
              <w:t>Participant satisfaction with implementation of Regional Development Victoria programs</w:t>
            </w:r>
          </w:p>
        </w:tc>
        <w:tc>
          <w:tcPr>
            <w:tcW w:w="964" w:type="dxa"/>
            <w:tcBorders>
              <w:bottom w:val="single" w:sz="6" w:space="0" w:color="auto"/>
            </w:tcBorders>
          </w:tcPr>
          <w:p w14:paraId="22BF2F0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B7B721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9D39FD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6A7AE4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9D5DC52"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12290E" w:rsidRPr="00DC0EBC" w14:paraId="74BDB61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AE9570F" w14:textId="77777777" w:rsidR="0012290E" w:rsidRPr="00DC0EBC" w:rsidRDefault="0012290E">
            <w:pPr>
              <w:keepNext/>
              <w:rPr>
                <w:b/>
              </w:rPr>
            </w:pPr>
            <w:r w:rsidRPr="00DC0EBC">
              <w:rPr>
                <w:b/>
              </w:rPr>
              <w:t>Cost</w:t>
            </w:r>
          </w:p>
        </w:tc>
      </w:tr>
      <w:tr w:rsidR="0012290E" w14:paraId="11678972" w14:textId="77777777" w:rsidTr="00D566B8">
        <w:tc>
          <w:tcPr>
            <w:cnfStyle w:val="001000000000" w:firstRow="0" w:lastRow="0" w:firstColumn="1" w:lastColumn="0" w:oddVBand="0" w:evenVBand="0" w:oddHBand="0" w:evenHBand="0" w:firstRowFirstColumn="0" w:firstRowLastColumn="0" w:lastRowFirstColumn="0" w:lastRowLastColumn="0"/>
            <w:tcW w:w="4819" w:type="dxa"/>
          </w:tcPr>
          <w:p w14:paraId="2CFF4974" w14:textId="77777777" w:rsidR="0012290E" w:rsidRDefault="0012290E">
            <w:pPr>
              <w:keepNext/>
              <w:ind w:left="170"/>
            </w:pPr>
            <w:r>
              <w:t>Total output cost</w:t>
            </w:r>
          </w:p>
        </w:tc>
        <w:tc>
          <w:tcPr>
            <w:tcW w:w="964" w:type="dxa"/>
          </w:tcPr>
          <w:p w14:paraId="58B1AA80" w14:textId="77777777" w:rsidR="0012290E" w:rsidRDefault="0012290E">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32E6D5A8" w14:textId="4E3BA9C5" w:rsidR="0012290E" w:rsidRPr="004D0078" w:rsidRDefault="000123D8">
            <w:pPr>
              <w:cnfStyle w:val="000000000000" w:firstRow="0" w:lastRow="0" w:firstColumn="0" w:lastColumn="0" w:oddVBand="0" w:evenVBand="0" w:oddHBand="0" w:evenHBand="0" w:firstRowFirstColumn="0" w:firstRowLastColumn="0" w:lastRowFirstColumn="0" w:lastRowLastColumn="0"/>
              <w:rPr>
                <w:highlight w:val="yellow"/>
              </w:rPr>
            </w:pPr>
            <w:r>
              <w:t>227.0</w:t>
            </w:r>
          </w:p>
        </w:tc>
        <w:tc>
          <w:tcPr>
            <w:tcW w:w="964" w:type="dxa"/>
          </w:tcPr>
          <w:p w14:paraId="5C9F49BF" w14:textId="26A97F9B" w:rsidR="0012290E" w:rsidRPr="004D0078" w:rsidRDefault="00592838">
            <w:pPr>
              <w:cnfStyle w:val="000000000000" w:firstRow="0" w:lastRow="0" w:firstColumn="0" w:lastColumn="0" w:oddVBand="0" w:evenVBand="0" w:oddHBand="0" w:evenHBand="0" w:firstRowFirstColumn="0" w:firstRowLastColumn="0" w:lastRowFirstColumn="0" w:lastRowLastColumn="0"/>
              <w:rPr>
                <w:highlight w:val="yellow"/>
              </w:rPr>
            </w:pPr>
            <w:r>
              <w:t>261.5</w:t>
            </w:r>
          </w:p>
        </w:tc>
        <w:tc>
          <w:tcPr>
            <w:tcW w:w="964" w:type="dxa"/>
          </w:tcPr>
          <w:p w14:paraId="65DD1BAC" w14:textId="40831552" w:rsidR="0012290E" w:rsidRPr="004D0078" w:rsidRDefault="00C36CEC">
            <w:pPr>
              <w:cnfStyle w:val="000000000000" w:firstRow="0" w:lastRow="0" w:firstColumn="0" w:lastColumn="0" w:oddVBand="0" w:evenVBand="0" w:oddHBand="0" w:evenHBand="0" w:firstRowFirstColumn="0" w:firstRowLastColumn="0" w:lastRowFirstColumn="0" w:lastRowLastColumn="0"/>
              <w:rPr>
                <w:highlight w:val="yellow"/>
              </w:rPr>
            </w:pPr>
            <w:r>
              <w:t>245.6</w:t>
            </w:r>
          </w:p>
        </w:tc>
        <w:tc>
          <w:tcPr>
            <w:tcW w:w="964" w:type="dxa"/>
          </w:tcPr>
          <w:p w14:paraId="6E7B75EA" w14:textId="2B8D6346" w:rsidR="0012290E" w:rsidRPr="004D0078" w:rsidRDefault="00A14FF3">
            <w:pPr>
              <w:cnfStyle w:val="000000000000" w:firstRow="0" w:lastRow="0" w:firstColumn="0" w:lastColumn="0" w:oddVBand="0" w:evenVBand="0" w:oddHBand="0" w:evenHBand="0" w:firstRowFirstColumn="0" w:firstRowLastColumn="0" w:lastRowFirstColumn="0" w:lastRowLastColumn="0"/>
              <w:rPr>
                <w:highlight w:val="yellow"/>
              </w:rPr>
            </w:pPr>
            <w:r w:rsidRPr="001963E7">
              <w:t>188.2</w:t>
            </w:r>
          </w:p>
        </w:tc>
      </w:tr>
      <w:tr w:rsidR="00D566B8" w14:paraId="146DCAB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38EB2CB" w14:textId="55B0B7F6" w:rsidR="00D566B8" w:rsidRPr="00C45F85" w:rsidRDefault="00C45F85" w:rsidP="00C45F85">
            <w:pPr>
              <w:ind w:left="170"/>
              <w:rPr>
                <w:i/>
                <w:iCs/>
              </w:rPr>
            </w:pPr>
            <w:r w:rsidRPr="0012710C">
              <w:rPr>
                <w:i/>
                <w:iCs/>
              </w:rPr>
              <w:t xml:space="preserve">The 2025-26 expected outcome is higher than the 2025-26 budget due to the funding profile for a range of initiatives, primarily the Regional Jobs and Infrastructure Fund. </w:t>
            </w:r>
          </w:p>
        </w:tc>
      </w:tr>
      <w:tr w:rsidR="00A14FF3" w14:paraId="1C13593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548FCB4" w14:textId="00A3A864" w:rsidR="00A14FF3" w:rsidRPr="001963E7" w:rsidRDefault="00D566B8" w:rsidP="00C45F85">
            <w:pPr>
              <w:ind w:left="170"/>
            </w:pPr>
            <w:r w:rsidRPr="001963E7">
              <w:rPr>
                <w:i/>
                <w:iCs/>
              </w:rPr>
              <w:t xml:space="preserve">The 2026-27 target is lower than the 2025-26 target mainly due to funding profile for the Geelong City Deal, offset by additional funding received in the </w:t>
            </w:r>
            <w:r w:rsidRPr="00DB3AE5">
              <w:t>2026-27 Budget</w:t>
            </w:r>
            <w:r w:rsidRPr="001963E7">
              <w:rPr>
                <w:i/>
                <w:iCs/>
              </w:rPr>
              <w:t xml:space="preserve"> for the </w:t>
            </w:r>
            <w:r w:rsidR="00896B30">
              <w:rPr>
                <w:i/>
                <w:iCs/>
              </w:rPr>
              <w:t>Future</w:t>
            </w:r>
            <w:r w:rsidRPr="001963E7">
              <w:rPr>
                <w:i/>
                <w:iCs/>
              </w:rPr>
              <w:t xml:space="preserve"> regions initiative.</w:t>
            </w:r>
          </w:p>
        </w:tc>
      </w:tr>
    </w:tbl>
    <w:p w14:paraId="7B7B8B70" w14:textId="77777777" w:rsidR="00824558" w:rsidRDefault="00824558">
      <w:pPr>
        <w:pStyle w:val="Source"/>
      </w:pPr>
      <w:r>
        <w:t>Source: Department of Jobs, Skills, Industry and Regions</w:t>
      </w:r>
    </w:p>
    <w:p w14:paraId="24DF690C" w14:textId="77777777" w:rsidR="00633FC4" w:rsidRDefault="00633FC4">
      <w:pPr>
        <w:keepLines w:val="0"/>
        <w:rPr>
          <w:rFonts w:asciiTheme="majorHAnsi" w:eastAsiaTheme="majorEastAsia" w:hAnsiTheme="majorHAnsi" w:cstheme="majorBidi"/>
          <w:b/>
          <w:sz w:val="23"/>
          <w:szCs w:val="24"/>
        </w:rPr>
      </w:pPr>
      <w:r>
        <w:br w:type="page"/>
      </w:r>
    </w:p>
    <w:p w14:paraId="4DA13FA6" w14:textId="3BD2B71D" w:rsidR="00824558" w:rsidRDefault="00824558">
      <w:pPr>
        <w:pStyle w:val="Heading3"/>
      </w:pPr>
      <w:r>
        <w:lastRenderedPageBreak/>
        <w:t>Fishing, Boating and Game Management</w:t>
      </w:r>
      <w:r>
        <w:tab/>
        <w:t>(2026-27: $</w:t>
      </w:r>
      <w:r w:rsidR="00F24876">
        <w:t>93.0</w:t>
      </w:r>
      <w:r>
        <w:t xml:space="preserve"> million)</w:t>
      </w:r>
    </w:p>
    <w:p w14:paraId="3E1395CD" w14:textId="564783F0" w:rsidR="00824558" w:rsidRPr="00A12308" w:rsidRDefault="00824558">
      <w:pPr>
        <w:spacing w:after="120"/>
        <w:rPr>
          <w:rFonts w:ascii="Calibri" w:eastAsia="MS Gothic" w:hAnsi="Calibri"/>
          <w:b/>
          <w:sz w:val="23"/>
        </w:rPr>
      </w:pPr>
      <w:r w:rsidRPr="004D26EB">
        <w:rPr>
          <w:rFonts w:ascii="Garamond" w:eastAsia="Garamond" w:hAnsi="Garamond"/>
        </w:rPr>
        <w:t xml:space="preserve">This output creates the </w:t>
      </w:r>
      <w:r w:rsidRPr="00703E3C">
        <w:t>conditions</w:t>
      </w:r>
      <w:r w:rsidRPr="004D26EB">
        <w:rPr>
          <w:rFonts w:ascii="Garamond" w:eastAsia="Garamond" w:hAnsi="Garamond"/>
        </w:rPr>
        <w:t xml:space="preserve"> to ensure Victoria</w:t>
      </w:r>
      <w:r w:rsidR="007942D1">
        <w:rPr>
          <w:rFonts w:ascii="Garamond" w:eastAsia="Garamond" w:hAnsi="Garamond"/>
        </w:rPr>
        <w:t>’</w:t>
      </w:r>
      <w:r w:rsidRPr="004D26EB">
        <w:rPr>
          <w:rFonts w:ascii="Garamond" w:eastAsia="Garamond" w:hAnsi="Garamond"/>
        </w:rPr>
        <w:t>s fisheries and game resources are sustainably used for both recreational and commercial purposes. This output delivers improved recreational boating and fishing services and facilities.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28A49FA"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066B2CA" w14:textId="77777777" w:rsidR="00824558" w:rsidRDefault="00824558">
            <w:r>
              <w:t>Performance measure</w:t>
            </w:r>
          </w:p>
        </w:tc>
        <w:tc>
          <w:tcPr>
            <w:tcW w:w="964" w:type="dxa"/>
          </w:tcPr>
          <w:p w14:paraId="4EE5B6A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D9C817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81F0AB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9EBFF6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DB2E1B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4232C12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4E44D882" w14:textId="77777777" w:rsidR="00824558" w:rsidRPr="00A9225F" w:rsidRDefault="00824558">
            <w:pPr>
              <w:keepNext/>
              <w:rPr>
                <w:b/>
                <w:bCs/>
                <w:iCs/>
              </w:rPr>
            </w:pPr>
            <w:r w:rsidRPr="00A9225F">
              <w:rPr>
                <w:b/>
                <w:bCs/>
                <w:iCs/>
              </w:rPr>
              <w:t>Quantity</w:t>
            </w:r>
          </w:p>
        </w:tc>
      </w:tr>
      <w:tr w:rsidR="00824558" w14:paraId="1826D808"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28CB69" w14:textId="77777777" w:rsidR="00824558" w:rsidRDefault="00824558">
            <w:pPr>
              <w:ind w:left="170"/>
            </w:pPr>
            <w:r>
              <w:t>Accredited State maritime training providers audited in accordance with risk-based annual audit plan</w:t>
            </w:r>
          </w:p>
        </w:tc>
        <w:tc>
          <w:tcPr>
            <w:tcW w:w="964" w:type="dxa"/>
            <w:tcBorders>
              <w:bottom w:val="single" w:sz="6" w:space="0" w:color="auto"/>
            </w:tcBorders>
          </w:tcPr>
          <w:p w14:paraId="2810579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5FDB4B2"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4109CCE8"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3006BB9F"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0D58865A"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r>
      <w:tr w:rsidR="00824558" w14:paraId="6AAA9752"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3A5A43" w14:textId="77777777" w:rsidR="00824558" w:rsidRDefault="00824558">
            <w:pPr>
              <w:ind w:left="170"/>
            </w:pPr>
            <w:r>
              <w:t>Community and stakeholder engagement information forums – Fisheries</w:t>
            </w:r>
          </w:p>
        </w:tc>
        <w:tc>
          <w:tcPr>
            <w:tcW w:w="964" w:type="dxa"/>
            <w:tcBorders>
              <w:bottom w:val="single" w:sz="6" w:space="0" w:color="auto"/>
            </w:tcBorders>
          </w:tcPr>
          <w:p w14:paraId="4AA58E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C5441D5"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576E685C"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41A68569"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2C58EDE1"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r>
      <w:tr w:rsidR="00824558" w14:paraId="44641217"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D7C02AD" w14:textId="77777777" w:rsidR="00824558" w:rsidRDefault="00824558">
            <w:pPr>
              <w:ind w:left="170"/>
            </w:pPr>
            <w:r>
              <w:t>Complete quota setting processes for key quota managed fish stocks</w:t>
            </w:r>
          </w:p>
        </w:tc>
        <w:tc>
          <w:tcPr>
            <w:tcW w:w="964" w:type="dxa"/>
            <w:tcBorders>
              <w:bottom w:val="single" w:sz="6" w:space="0" w:color="auto"/>
            </w:tcBorders>
          </w:tcPr>
          <w:p w14:paraId="097F712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925AC60"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3552E7B2"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488F6537"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402AC8BF"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09095AB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E16D9DE" w14:textId="77777777" w:rsidR="00824558" w:rsidRDefault="00824558">
            <w:pPr>
              <w:ind w:left="170"/>
            </w:pPr>
            <w:r>
              <w:t>Develop, implement and review overarching fisheries compliance strategy</w:t>
            </w:r>
          </w:p>
        </w:tc>
        <w:tc>
          <w:tcPr>
            <w:tcW w:w="964" w:type="dxa"/>
            <w:tcBorders>
              <w:bottom w:val="single" w:sz="6" w:space="0" w:color="auto"/>
            </w:tcBorders>
          </w:tcPr>
          <w:p w14:paraId="5DB0E77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6ADE8C6"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38C7D483"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65308499"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115BC7B6"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r>
      <w:tr w:rsidR="00824558" w14:paraId="1A400A23"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6E946BD" w14:textId="77777777" w:rsidR="00824558" w:rsidRDefault="00824558">
            <w:pPr>
              <w:keepNext/>
              <w:ind w:left="170"/>
            </w:pPr>
            <w:r>
              <w:t>Enhance levels of community participation in achieving fisheries compliance through reports to the 13FISH offence reporting service</w:t>
            </w:r>
          </w:p>
        </w:tc>
        <w:tc>
          <w:tcPr>
            <w:tcW w:w="964" w:type="dxa"/>
          </w:tcPr>
          <w:p w14:paraId="7E4BA5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72ABE63"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1 950</w:t>
            </w:r>
          </w:p>
        </w:tc>
        <w:tc>
          <w:tcPr>
            <w:tcW w:w="964" w:type="dxa"/>
          </w:tcPr>
          <w:p w14:paraId="7DD6A4B7"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1 950</w:t>
            </w:r>
          </w:p>
        </w:tc>
        <w:tc>
          <w:tcPr>
            <w:tcW w:w="964" w:type="dxa"/>
          </w:tcPr>
          <w:p w14:paraId="2E7A0EFF"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1 950</w:t>
            </w:r>
          </w:p>
        </w:tc>
        <w:tc>
          <w:tcPr>
            <w:tcW w:w="964" w:type="dxa"/>
          </w:tcPr>
          <w:p w14:paraId="1B9E12B2" w14:textId="77777777" w:rsidR="00824558" w:rsidRDefault="00824558">
            <w:pPr>
              <w:cnfStyle w:val="000000000000" w:firstRow="0" w:lastRow="0" w:firstColumn="0" w:lastColumn="0" w:oddVBand="0" w:evenVBand="0" w:oddHBand="0" w:evenHBand="0" w:firstRowFirstColumn="0" w:firstRowLastColumn="0" w:lastRowFirstColumn="0" w:lastRowLastColumn="0"/>
            </w:pPr>
            <w:r>
              <w:t>1 918</w:t>
            </w:r>
          </w:p>
        </w:tc>
      </w:tr>
      <w:tr w:rsidR="00824558" w14:paraId="762E967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5D1A188" w14:textId="56864D95" w:rsidR="00824558" w:rsidRDefault="00824558">
            <w:pPr>
              <w:ind w:left="170"/>
            </w:pPr>
            <w:r>
              <w:rPr>
                <w:i/>
              </w:rPr>
              <w:t xml:space="preserve">This performance measure renames the 2025-26 performance measure </w:t>
            </w:r>
            <w:r w:rsidR="007942D1">
              <w:rPr>
                <w:i/>
              </w:rPr>
              <w:t>‘</w:t>
            </w:r>
            <w:r>
              <w:rPr>
                <w:i/>
              </w:rPr>
              <w:t>Enhance levels of community participation in achieving fisheries compliance through calls to the 13FISH reporting line</w:t>
            </w:r>
            <w:r w:rsidR="007942D1">
              <w:rPr>
                <w:i/>
              </w:rPr>
              <w:t>’</w:t>
            </w:r>
            <w:r>
              <w:rPr>
                <w:i/>
              </w:rPr>
              <w:t>. Online reporting is available in addition to the existing phone line. The renamed measure reflects how VFA will receive 13FISH reports.</w:t>
            </w:r>
          </w:p>
        </w:tc>
      </w:tr>
      <w:tr w:rsidR="00824558" w14:paraId="3F8A3188"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44EB4E2" w14:textId="77777777" w:rsidR="00824558" w:rsidRDefault="00824558">
            <w:pPr>
              <w:ind w:left="170"/>
            </w:pPr>
            <w:r>
              <w:t>Key fisheries managed in accordance with Fishery Management Plans</w:t>
            </w:r>
          </w:p>
        </w:tc>
        <w:tc>
          <w:tcPr>
            <w:tcW w:w="964" w:type="dxa"/>
            <w:tcBorders>
              <w:bottom w:val="single" w:sz="6" w:space="0" w:color="auto"/>
            </w:tcBorders>
          </w:tcPr>
          <w:p w14:paraId="0A7E2CB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586A155"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38E7F17A"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3527A69E"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4D2FD84F"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r>
      <w:tr w:rsidR="00824558" w14:paraId="2F6A6F4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39AF849" w14:textId="77777777" w:rsidR="00824558" w:rsidRDefault="00824558">
            <w:pPr>
              <w:ind w:left="170"/>
            </w:pPr>
            <w:r>
              <w:t>Minimum uniformed fisheries officers maintaining operational coverage during priority fishing periods</w:t>
            </w:r>
          </w:p>
        </w:tc>
        <w:tc>
          <w:tcPr>
            <w:tcW w:w="964" w:type="dxa"/>
            <w:tcBorders>
              <w:bottom w:val="single" w:sz="6" w:space="0" w:color="auto"/>
            </w:tcBorders>
          </w:tcPr>
          <w:p w14:paraId="5B33E61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10F6EA0"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7813E1A3"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2DC4319D"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Borders>
              <w:bottom w:val="single" w:sz="6" w:space="0" w:color="auto"/>
            </w:tcBorders>
          </w:tcPr>
          <w:p w14:paraId="5AB01034" w14:textId="77777777" w:rsidR="00824558" w:rsidRDefault="00824558">
            <w:pPr>
              <w:cnfStyle w:val="000000000000" w:firstRow="0" w:lastRow="0" w:firstColumn="0" w:lastColumn="0" w:oddVBand="0" w:evenVBand="0" w:oddHBand="0" w:evenHBand="0" w:firstRowFirstColumn="0" w:firstRowLastColumn="0" w:lastRowFirstColumn="0" w:lastRowLastColumn="0"/>
            </w:pPr>
            <w:r>
              <w:t>16.5</w:t>
            </w:r>
          </w:p>
        </w:tc>
      </w:tr>
      <w:tr w:rsidR="00824558" w14:paraId="724BE07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13B250C" w14:textId="77777777" w:rsidR="00824558" w:rsidRDefault="00824558">
            <w:pPr>
              <w:ind w:left="170"/>
            </w:pPr>
            <w:r>
              <w:t>Native and salmonid fish stocked</w:t>
            </w:r>
          </w:p>
        </w:tc>
        <w:tc>
          <w:tcPr>
            <w:tcW w:w="964" w:type="dxa"/>
            <w:tcBorders>
              <w:bottom w:val="single" w:sz="6" w:space="0" w:color="auto"/>
            </w:tcBorders>
          </w:tcPr>
          <w:p w14:paraId="750910A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7D1BC73"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Borders>
              <w:bottom w:val="single" w:sz="6" w:space="0" w:color="auto"/>
            </w:tcBorders>
          </w:tcPr>
          <w:p w14:paraId="44376E81"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Borders>
              <w:bottom w:val="single" w:sz="6" w:space="0" w:color="auto"/>
            </w:tcBorders>
          </w:tcPr>
          <w:p w14:paraId="1D9725E7"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Borders>
              <w:bottom w:val="single" w:sz="6" w:space="0" w:color="auto"/>
            </w:tcBorders>
          </w:tcPr>
          <w:p w14:paraId="4A95DCFE"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10 061</w:t>
            </w:r>
          </w:p>
        </w:tc>
      </w:tr>
      <w:tr w:rsidR="00824558" w14:paraId="39755210"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EE965C" w14:textId="77777777" w:rsidR="00824558" w:rsidRDefault="00824558">
            <w:pPr>
              <w:ind w:left="170"/>
            </w:pPr>
            <w:r>
              <w:t>Recreational boating and fishing infrastructure improvements delivered</w:t>
            </w:r>
          </w:p>
        </w:tc>
        <w:tc>
          <w:tcPr>
            <w:tcW w:w="964" w:type="dxa"/>
            <w:tcBorders>
              <w:bottom w:val="single" w:sz="6" w:space="0" w:color="auto"/>
            </w:tcBorders>
          </w:tcPr>
          <w:p w14:paraId="530B278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DF94E25"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1037E04C"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4AA48B04"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2575F644"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601DE80C"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DA14F7" w14:textId="77777777" w:rsidR="00824558" w:rsidRDefault="00824558">
            <w:pPr>
              <w:ind w:left="170"/>
            </w:pPr>
            <w:r>
              <w:t>Risk-based recreational vessel inspections undertaken to determine compliance with State marine safety law</w:t>
            </w:r>
          </w:p>
        </w:tc>
        <w:tc>
          <w:tcPr>
            <w:tcW w:w="964" w:type="dxa"/>
            <w:tcBorders>
              <w:bottom w:val="single" w:sz="6" w:space="0" w:color="auto"/>
            </w:tcBorders>
          </w:tcPr>
          <w:p w14:paraId="1D6329D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047E17D"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60A2327A"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497769C2"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05210DDF" w14:textId="77777777" w:rsidR="00824558" w:rsidRDefault="00824558">
            <w:pPr>
              <w:cnfStyle w:val="000000000000" w:firstRow="0" w:lastRow="0" w:firstColumn="0" w:lastColumn="0" w:oddVBand="0" w:evenVBand="0" w:oddHBand="0" w:evenHBand="0" w:firstRowFirstColumn="0" w:firstRowLastColumn="0" w:lastRowFirstColumn="0" w:lastRowLastColumn="0"/>
            </w:pPr>
            <w:r>
              <w:t>615</w:t>
            </w:r>
          </w:p>
        </w:tc>
      </w:tr>
      <w:tr w:rsidR="00824558" w:rsidRPr="00A9225F" w14:paraId="3F6670D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765BEB7F" w14:textId="77777777" w:rsidR="00824558" w:rsidRPr="00A9225F" w:rsidRDefault="00824558">
            <w:pPr>
              <w:keepNext/>
              <w:rPr>
                <w:b/>
                <w:bCs/>
                <w:iCs/>
              </w:rPr>
            </w:pPr>
            <w:r w:rsidRPr="00A9225F">
              <w:rPr>
                <w:b/>
                <w:bCs/>
                <w:iCs/>
              </w:rPr>
              <w:t>Quality</w:t>
            </w:r>
          </w:p>
        </w:tc>
      </w:tr>
      <w:tr w:rsidR="00824558" w14:paraId="74AACA15"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045600" w14:textId="77777777" w:rsidR="00824558" w:rsidRDefault="00824558">
            <w:pPr>
              <w:ind w:left="170"/>
            </w:pPr>
            <w:r>
              <w:t>Key statutory obligations relevant to the Game Management Authority complied with (tabling annual report, audits, business plan and board appointments)</w:t>
            </w:r>
          </w:p>
        </w:tc>
        <w:tc>
          <w:tcPr>
            <w:tcW w:w="964" w:type="dxa"/>
            <w:tcBorders>
              <w:bottom w:val="single" w:sz="6" w:space="0" w:color="auto"/>
            </w:tcBorders>
          </w:tcPr>
          <w:p w14:paraId="3964330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406D5D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54625F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F2C646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514A92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05614CB"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717844F" w14:textId="77777777" w:rsidR="00824558" w:rsidRDefault="00824558">
            <w:pPr>
              <w:ind w:left="170"/>
            </w:pPr>
            <w:r>
              <w:t>Key statutory obligations relevant to the Victorian Fisheries Authority complied with (tabling annual report, audits, business plan and board appointments)</w:t>
            </w:r>
          </w:p>
        </w:tc>
        <w:tc>
          <w:tcPr>
            <w:tcW w:w="964" w:type="dxa"/>
            <w:tcBorders>
              <w:bottom w:val="single" w:sz="6" w:space="0" w:color="auto"/>
            </w:tcBorders>
          </w:tcPr>
          <w:p w14:paraId="3C3BAE2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894034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14D913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7C95C4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2E4D89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r>
      <w:tr w:rsidR="00824558" w14:paraId="642F0C98"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1684D7F" w14:textId="77777777" w:rsidR="00824558" w:rsidRDefault="00824558">
            <w:pPr>
              <w:keepNext/>
              <w:ind w:left="170"/>
            </w:pPr>
            <w:r>
              <w:t>Percentage of intelligence-led targeted investigations into serious or organised fisheries offending that result in a prosecution, disruption or intelligence referral outcome</w:t>
            </w:r>
          </w:p>
        </w:tc>
        <w:tc>
          <w:tcPr>
            <w:tcW w:w="964" w:type="dxa"/>
          </w:tcPr>
          <w:p w14:paraId="1971B8E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ACEA3B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46B419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1C08B8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12B5D16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1E44E57D"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C031B8D" w14:textId="1E1E37A8" w:rsidR="00824558" w:rsidRDefault="00824558">
            <w:pPr>
              <w:ind w:left="170"/>
            </w:pPr>
            <w:r>
              <w:rPr>
                <w:i/>
              </w:rPr>
              <w:t xml:space="preserve">The </w:t>
            </w:r>
            <w:r w:rsidR="008F7A05">
              <w:rPr>
                <w:i/>
              </w:rPr>
              <w:t>2025-26</w:t>
            </w:r>
            <w:r>
              <w:rPr>
                <w:i/>
              </w:rPr>
              <w:t xml:space="preserve"> expected outcome is higher than the target due to informed intelligence-based decision making leading to investigation outcomes</w:t>
            </w:r>
            <w:r w:rsidR="00A6488B">
              <w:rPr>
                <w:i/>
              </w:rPr>
              <w:t>,</w:t>
            </w:r>
            <w:r w:rsidR="007942D1">
              <w:rPr>
                <w:i/>
              </w:rPr>
              <w:t xml:space="preserve"> </w:t>
            </w:r>
            <w:r>
              <w:rPr>
                <w:i/>
              </w:rPr>
              <w:t>i.e. an outcome of either prosecution, disruption or intelligence referral.</w:t>
            </w:r>
          </w:p>
        </w:tc>
      </w:tr>
      <w:tr w:rsidR="00824558" w14:paraId="736DAABA"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424AA3A" w14:textId="77777777" w:rsidR="00824558" w:rsidRDefault="00824558">
            <w:pPr>
              <w:ind w:left="170"/>
            </w:pPr>
            <w:r>
              <w:t>Risk assessment of managed and unmanaged Victorian waterways with high levels of boating activity and competing use</w:t>
            </w:r>
          </w:p>
        </w:tc>
        <w:tc>
          <w:tcPr>
            <w:tcW w:w="964" w:type="dxa"/>
            <w:tcBorders>
              <w:bottom w:val="single" w:sz="6" w:space="0" w:color="auto"/>
            </w:tcBorders>
          </w:tcPr>
          <w:p w14:paraId="1DA3474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BF2C205"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4B09EF04"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572344F1"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7F18BF3E"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r>
      <w:tr w:rsidR="00824558" w:rsidRPr="00A9225F" w14:paraId="74FC9A3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13B8F7D" w14:textId="77777777" w:rsidR="00824558" w:rsidRPr="00A9225F" w:rsidRDefault="00824558">
            <w:pPr>
              <w:keepNext/>
              <w:rPr>
                <w:b/>
                <w:bCs/>
                <w:iCs/>
              </w:rPr>
            </w:pPr>
            <w:r w:rsidRPr="00A9225F">
              <w:rPr>
                <w:b/>
                <w:bCs/>
                <w:iCs/>
              </w:rPr>
              <w:t>Timeliness</w:t>
            </w:r>
          </w:p>
        </w:tc>
      </w:tr>
      <w:tr w:rsidR="00824558" w14:paraId="3031BE04"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9B5B1E3" w14:textId="77777777" w:rsidR="00824558" w:rsidRDefault="00824558">
            <w:pPr>
              <w:keepNext/>
              <w:ind w:left="170"/>
            </w:pPr>
            <w:r>
              <w:t>Facilitate the delivery of game projects in line with key project milestones</w:t>
            </w:r>
          </w:p>
        </w:tc>
        <w:tc>
          <w:tcPr>
            <w:tcW w:w="964" w:type="dxa"/>
          </w:tcPr>
          <w:p w14:paraId="6A760D0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DDED54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8A8074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612C723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01262A4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14:paraId="3D41F35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536476" w14:textId="39D5DF8D" w:rsidR="00824558" w:rsidRDefault="00824558">
            <w:pPr>
              <w:ind w:left="170"/>
            </w:pPr>
            <w:r>
              <w:rPr>
                <w:i/>
              </w:rPr>
              <w:t xml:space="preserve">The </w:t>
            </w:r>
            <w:r w:rsidR="008F7A05">
              <w:rPr>
                <w:i/>
              </w:rPr>
              <w:t>2025-26</w:t>
            </w:r>
            <w:r>
              <w:rPr>
                <w:i/>
              </w:rPr>
              <w:t xml:space="preserve"> expected outcome is lower than the target as several game projects were placed on hold pending the outcomes of the Select Committee report on Victoria</w:t>
            </w:r>
            <w:r w:rsidR="007942D1">
              <w:rPr>
                <w:i/>
              </w:rPr>
              <w:t>’</w:t>
            </w:r>
            <w:r>
              <w:rPr>
                <w:i/>
              </w:rPr>
              <w:t>s Recreational Native Bird Hunting Arrangements. These projects have recommenced.</w:t>
            </w:r>
          </w:p>
        </w:tc>
      </w:tr>
      <w:tr w:rsidR="00824558" w14:paraId="3A8358B8"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6226658" w14:textId="77777777" w:rsidR="00824558" w:rsidRDefault="00824558">
            <w:pPr>
              <w:ind w:left="170"/>
            </w:pPr>
            <w:r>
              <w:t>Proportion of fisheries cost recovery levies reviewed and set prior to the commencement of the licensing year</w:t>
            </w:r>
          </w:p>
        </w:tc>
        <w:tc>
          <w:tcPr>
            <w:tcW w:w="964" w:type="dxa"/>
            <w:tcBorders>
              <w:top w:val="single" w:sz="6" w:space="0" w:color="auto"/>
              <w:bottom w:val="single" w:sz="6" w:space="0" w:color="auto"/>
            </w:tcBorders>
          </w:tcPr>
          <w:p w14:paraId="10BD07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3EE2ED6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22BAF6B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7996AF7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24D5D61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12290E" w:rsidRPr="00DC0EBC" w14:paraId="5B8794F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722579A" w14:textId="77777777" w:rsidR="0012290E" w:rsidRPr="00DC0EBC" w:rsidRDefault="0012290E">
            <w:pPr>
              <w:keepNext/>
              <w:rPr>
                <w:b/>
              </w:rPr>
            </w:pPr>
            <w:r w:rsidRPr="00DC0EBC">
              <w:rPr>
                <w:b/>
              </w:rPr>
              <w:t>Cost</w:t>
            </w:r>
          </w:p>
        </w:tc>
      </w:tr>
      <w:tr w:rsidR="003922E8" w14:paraId="1311974F" w14:textId="77777777" w:rsidTr="003922E8">
        <w:tc>
          <w:tcPr>
            <w:cnfStyle w:val="001000000000" w:firstRow="0" w:lastRow="0" w:firstColumn="1" w:lastColumn="0" w:oddVBand="0" w:evenVBand="0" w:oddHBand="0" w:evenHBand="0" w:firstRowFirstColumn="0" w:firstRowLastColumn="0" w:lastRowFirstColumn="0" w:lastRowLastColumn="0"/>
            <w:tcW w:w="4819" w:type="dxa"/>
          </w:tcPr>
          <w:p w14:paraId="7B6BE39C" w14:textId="77777777" w:rsidR="003922E8" w:rsidRDefault="003922E8" w:rsidP="003922E8">
            <w:pPr>
              <w:keepNext/>
              <w:ind w:left="170"/>
            </w:pPr>
            <w:r>
              <w:t>Total output cost</w:t>
            </w:r>
          </w:p>
        </w:tc>
        <w:tc>
          <w:tcPr>
            <w:tcW w:w="964" w:type="dxa"/>
          </w:tcPr>
          <w:p w14:paraId="7507C3DE" w14:textId="77777777" w:rsidR="003922E8" w:rsidRDefault="003922E8" w:rsidP="003922E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5F20094" w14:textId="4768E144" w:rsidR="003922E8" w:rsidRPr="004D0078" w:rsidRDefault="003922E8" w:rsidP="003922E8">
            <w:pPr>
              <w:cnfStyle w:val="000000000000" w:firstRow="0" w:lastRow="0" w:firstColumn="0" w:lastColumn="0" w:oddVBand="0" w:evenVBand="0" w:oddHBand="0" w:evenHBand="0" w:firstRowFirstColumn="0" w:firstRowLastColumn="0" w:lastRowFirstColumn="0" w:lastRowLastColumn="0"/>
              <w:rPr>
                <w:highlight w:val="yellow"/>
              </w:rPr>
            </w:pPr>
            <w:r>
              <w:t>93.0</w:t>
            </w:r>
          </w:p>
        </w:tc>
        <w:tc>
          <w:tcPr>
            <w:tcW w:w="964" w:type="dxa"/>
          </w:tcPr>
          <w:p w14:paraId="700CFB04" w14:textId="3C8EAFE0" w:rsidR="003922E8" w:rsidRPr="004D0078" w:rsidRDefault="003922E8" w:rsidP="003922E8">
            <w:pPr>
              <w:cnfStyle w:val="000000000000" w:firstRow="0" w:lastRow="0" w:firstColumn="0" w:lastColumn="0" w:oddVBand="0" w:evenVBand="0" w:oddHBand="0" w:evenHBand="0" w:firstRowFirstColumn="0" w:firstRowLastColumn="0" w:lastRowFirstColumn="0" w:lastRowLastColumn="0"/>
              <w:rPr>
                <w:highlight w:val="yellow"/>
              </w:rPr>
            </w:pPr>
            <w:r>
              <w:t>109.4</w:t>
            </w:r>
          </w:p>
        </w:tc>
        <w:tc>
          <w:tcPr>
            <w:tcW w:w="964" w:type="dxa"/>
          </w:tcPr>
          <w:p w14:paraId="3D06ACB5" w14:textId="528FDB58" w:rsidR="003922E8" w:rsidRPr="004D0078" w:rsidRDefault="003922E8" w:rsidP="003922E8">
            <w:pPr>
              <w:cnfStyle w:val="000000000000" w:firstRow="0" w:lastRow="0" w:firstColumn="0" w:lastColumn="0" w:oddVBand="0" w:evenVBand="0" w:oddHBand="0" w:evenHBand="0" w:firstRowFirstColumn="0" w:firstRowLastColumn="0" w:lastRowFirstColumn="0" w:lastRowLastColumn="0"/>
              <w:rPr>
                <w:highlight w:val="yellow"/>
              </w:rPr>
            </w:pPr>
            <w:r>
              <w:t>94.1</w:t>
            </w:r>
          </w:p>
        </w:tc>
        <w:tc>
          <w:tcPr>
            <w:tcW w:w="964" w:type="dxa"/>
          </w:tcPr>
          <w:p w14:paraId="441C7717" w14:textId="3BF561C1" w:rsidR="003922E8" w:rsidRPr="004D0078" w:rsidRDefault="003922E8" w:rsidP="003922E8">
            <w:pPr>
              <w:cnfStyle w:val="000000000000" w:firstRow="0" w:lastRow="0" w:firstColumn="0" w:lastColumn="0" w:oddVBand="0" w:evenVBand="0" w:oddHBand="0" w:evenHBand="0" w:firstRowFirstColumn="0" w:firstRowLastColumn="0" w:lastRowFirstColumn="0" w:lastRowLastColumn="0"/>
              <w:rPr>
                <w:highlight w:val="yellow"/>
              </w:rPr>
            </w:pPr>
            <w:r>
              <w:t>108.3</w:t>
            </w:r>
          </w:p>
        </w:tc>
      </w:tr>
      <w:tr w:rsidR="003922E8" w14:paraId="5DA7671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AF1E9E8" w14:textId="78BEF5D7" w:rsidR="003922E8" w:rsidRPr="00145D12" w:rsidRDefault="00145D12" w:rsidP="00145D12">
            <w:pPr>
              <w:ind w:left="170"/>
              <w:rPr>
                <w:i/>
              </w:rPr>
            </w:pPr>
            <w:r w:rsidRPr="00145D12">
              <w:rPr>
                <w:i/>
              </w:rPr>
              <w:t>The 2025-26 expected outcome is higher than the 2025-26 budget primarily due to the funding profile for the Better Boating Fund.</w:t>
            </w:r>
          </w:p>
        </w:tc>
      </w:tr>
    </w:tbl>
    <w:p w14:paraId="5BEF6A4D" w14:textId="77777777" w:rsidR="00824558" w:rsidRDefault="00824558">
      <w:pPr>
        <w:pStyle w:val="Source"/>
      </w:pPr>
      <w:r>
        <w:t>Source: Department of Jobs, Skills, Industry and Regions</w:t>
      </w:r>
    </w:p>
    <w:p w14:paraId="1A51D314" w14:textId="5D844EB6" w:rsidR="00824558" w:rsidRDefault="00824558">
      <w:pPr>
        <w:keepLines w:val="0"/>
        <w:rPr>
          <w:rFonts w:ascii="Calibri" w:eastAsia="Garamond" w:hAnsi="Calibri"/>
          <w:b/>
          <w:sz w:val="20"/>
        </w:rPr>
      </w:pPr>
    </w:p>
    <w:p w14:paraId="703F8C39" w14:textId="77777777" w:rsidR="00633FC4" w:rsidRDefault="00633FC4">
      <w:pPr>
        <w:keepLines w:val="0"/>
        <w:rPr>
          <w:rFonts w:ascii="Calibri" w:eastAsia="Garamond" w:hAnsi="Calibri"/>
          <w:b/>
          <w:sz w:val="20"/>
        </w:rPr>
      </w:pPr>
      <w:r>
        <w:rPr>
          <w:rFonts w:ascii="Calibri" w:eastAsia="Garamond" w:hAnsi="Calibri"/>
          <w:b/>
          <w:sz w:val="20"/>
        </w:rPr>
        <w:br w:type="page"/>
      </w:r>
    </w:p>
    <w:p w14:paraId="501B6A3A" w14:textId="786EA2E0" w:rsidR="00824558" w:rsidRPr="006D3734" w:rsidRDefault="00824558">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6D3734">
        <w:rPr>
          <w:rFonts w:ascii="Calibri" w:eastAsia="Garamond" w:hAnsi="Calibri"/>
          <w:b/>
          <w:sz w:val="20"/>
        </w:rPr>
        <w:lastRenderedPageBreak/>
        <w:t>Objective 5: Grow vibrant, active and creative communities</w:t>
      </w:r>
    </w:p>
    <w:p w14:paraId="46C7033E" w14:textId="77777777" w:rsidR="00824558" w:rsidRPr="006D3734"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6D3734">
        <w:rPr>
          <w:rFonts w:ascii="Garamond" w:eastAsia="Garamond" w:hAnsi="Garamond"/>
        </w:rPr>
        <w:t>This objective seeks to increase the economic, social and cultural value of the creative, sport and recreation industries to Victoria, grow the number and yield of visitors, position Victoria as a major events destination, and ensure the best cultural and sporting experiences are accessible to everyone.</w:t>
      </w:r>
    </w:p>
    <w:p w14:paraId="5BD448FF" w14:textId="77777777" w:rsidR="00824558" w:rsidRPr="006D3734"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6D3734">
        <w:rPr>
          <w:rFonts w:ascii="Garamond" w:eastAsia="Garamond" w:hAnsi="Garamond"/>
        </w:rPr>
        <w:t>The departmental objective indicators are:</w:t>
      </w:r>
    </w:p>
    <w:p w14:paraId="7A0158EB" w14:textId="77777777" w:rsidR="00824558" w:rsidRPr="008074D3" w:rsidRDefault="00824558" w:rsidP="00E17D4A">
      <w:pPr>
        <w:pStyle w:val="ShadedBoxBullet"/>
      </w:pPr>
      <w:r w:rsidRPr="008074D3">
        <w:t>attendances at Creative Industries agencies and funded major performing arts organisations</w:t>
      </w:r>
    </w:p>
    <w:p w14:paraId="20BD19FF" w14:textId="77777777" w:rsidR="00824558" w:rsidRPr="008074D3" w:rsidRDefault="00824558" w:rsidP="00E17D4A">
      <w:pPr>
        <w:pStyle w:val="ShadedBoxBullet"/>
      </w:pPr>
      <w:r w:rsidRPr="008074D3">
        <w:t>employment in the Creative Industries sector</w:t>
      </w:r>
    </w:p>
    <w:p w14:paraId="119B1166" w14:textId="77777777" w:rsidR="00824558" w:rsidRPr="008074D3" w:rsidRDefault="00824558" w:rsidP="00E17D4A">
      <w:pPr>
        <w:pStyle w:val="ShadedBoxBullet"/>
      </w:pPr>
      <w:r w:rsidRPr="008074D3">
        <w:t>employment in the Visitor Economy sector</w:t>
      </w:r>
    </w:p>
    <w:p w14:paraId="04F72DA8" w14:textId="77777777" w:rsidR="00824558" w:rsidRPr="008074D3" w:rsidRDefault="00824558" w:rsidP="00E17D4A">
      <w:pPr>
        <w:pStyle w:val="ShadedBoxBullet"/>
      </w:pPr>
      <w:r w:rsidRPr="008074D3">
        <w:t>tourists attracted to Victoria</w:t>
      </w:r>
    </w:p>
    <w:p w14:paraId="199F30F8" w14:textId="77777777" w:rsidR="00824558" w:rsidRPr="008074D3" w:rsidRDefault="00824558" w:rsidP="00E17D4A">
      <w:pPr>
        <w:pStyle w:val="ShadedBoxBullet"/>
      </w:pPr>
      <w:r w:rsidRPr="008074D3">
        <w:t>increase</w:t>
      </w:r>
      <w:r>
        <w:t>d</w:t>
      </w:r>
      <w:r w:rsidRPr="008074D3">
        <w:t xml:space="preserve"> rates of community engagement, including through participation in sport, recreation and cultural activities.</w:t>
      </w:r>
    </w:p>
    <w:p w14:paraId="0B2650A5" w14:textId="77777777" w:rsidR="00824558" w:rsidRDefault="00824558">
      <w:pPr>
        <w:pStyle w:val="Heading3"/>
      </w:pPr>
      <w:r>
        <w:t>Outputs</w:t>
      </w:r>
    </w:p>
    <w:p w14:paraId="57F08668" w14:textId="077E8EF6" w:rsidR="00824558" w:rsidRDefault="00824558">
      <w:pPr>
        <w:pStyle w:val="Heading3"/>
      </w:pPr>
      <w:r>
        <w:t>Creative Industries Access, Development and Innovation</w:t>
      </w:r>
      <w:r>
        <w:tab/>
        <w:t>(2026-27: $</w:t>
      </w:r>
      <w:r w:rsidR="006B77A0">
        <w:t>75.8</w:t>
      </w:r>
      <w:r>
        <w:t xml:space="preserve"> million)</w:t>
      </w:r>
    </w:p>
    <w:p w14:paraId="41613406" w14:textId="77777777" w:rsidR="00824558" w:rsidRPr="004D05A3" w:rsidRDefault="00824558">
      <w:pPr>
        <w:spacing w:after="120"/>
        <w:rPr>
          <w:rFonts w:ascii="Garamond" w:eastAsia="Garamond" w:hAnsi="Garamond"/>
        </w:rPr>
      </w:pPr>
      <w:r w:rsidRPr="00016BB9">
        <w:rPr>
          <w:rFonts w:ascii="Garamond" w:eastAsia="Garamond" w:hAnsi="Garamond"/>
        </w:rPr>
        <w:t>This output supports the creative industries to deliver economic, social and cultural benefit through talent and leadership; the creative and business ecology; innovation and social impact; participation and place making; and international engagement.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0DAA475"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915A7C4" w14:textId="77777777" w:rsidR="00824558" w:rsidRDefault="00824558">
            <w:r>
              <w:t>Performance measure</w:t>
            </w:r>
          </w:p>
        </w:tc>
        <w:tc>
          <w:tcPr>
            <w:tcW w:w="964" w:type="dxa"/>
          </w:tcPr>
          <w:p w14:paraId="5ED1DF05"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465B45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CC401D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6874A3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F378AF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09ED057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7EE3F2F8" w14:textId="77777777" w:rsidR="00824558" w:rsidRPr="00A9225F" w:rsidRDefault="00824558">
            <w:pPr>
              <w:keepNext/>
              <w:rPr>
                <w:b/>
                <w:bCs/>
                <w:iCs/>
              </w:rPr>
            </w:pPr>
            <w:r w:rsidRPr="00A9225F">
              <w:rPr>
                <w:b/>
                <w:bCs/>
                <w:iCs/>
              </w:rPr>
              <w:t>Quantity</w:t>
            </w:r>
          </w:p>
        </w:tc>
      </w:tr>
      <w:tr w:rsidR="00824558" w14:paraId="042E071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64F752F6" w14:textId="77777777" w:rsidR="00824558" w:rsidRDefault="00824558">
            <w:pPr>
              <w:keepNext/>
              <w:ind w:left="170"/>
            </w:pPr>
            <w:r>
              <w:t>Attendances at major performing arts organisations</w:t>
            </w:r>
          </w:p>
        </w:tc>
        <w:tc>
          <w:tcPr>
            <w:tcW w:w="964" w:type="dxa"/>
          </w:tcPr>
          <w:p w14:paraId="7F36921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6B8E62D3"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507231F6" w14:textId="77777777" w:rsidR="00824558" w:rsidRDefault="00824558">
            <w:pPr>
              <w:cnfStyle w:val="000000000000" w:firstRow="0" w:lastRow="0" w:firstColumn="0" w:lastColumn="0" w:oddVBand="0" w:evenVBand="0" w:oddHBand="0" w:evenHBand="0" w:firstRowFirstColumn="0" w:firstRowLastColumn="0" w:lastRowFirstColumn="0" w:lastRowLastColumn="0"/>
            </w:pPr>
            <w:r>
              <w:t>938</w:t>
            </w:r>
          </w:p>
        </w:tc>
        <w:tc>
          <w:tcPr>
            <w:tcW w:w="964" w:type="dxa"/>
          </w:tcPr>
          <w:p w14:paraId="47F38734"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6496B1C0" w14:textId="77777777" w:rsidR="00824558" w:rsidRDefault="00824558">
            <w:pPr>
              <w:cnfStyle w:val="000000000000" w:firstRow="0" w:lastRow="0" w:firstColumn="0" w:lastColumn="0" w:oddVBand="0" w:evenVBand="0" w:oddHBand="0" w:evenHBand="0" w:firstRowFirstColumn="0" w:firstRowLastColumn="0" w:lastRowFirstColumn="0" w:lastRowLastColumn="0"/>
            </w:pPr>
            <w:r>
              <w:t>987</w:t>
            </w:r>
          </w:p>
        </w:tc>
      </w:tr>
      <w:tr w:rsidR="00824558" w14:paraId="7A9637B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D3C0BE" w14:textId="51804AF6" w:rsidR="00824558" w:rsidRDefault="00824558">
            <w:pPr>
              <w:ind w:left="170"/>
            </w:pPr>
            <w:r>
              <w:rPr>
                <w:i/>
              </w:rPr>
              <w:t xml:space="preserve">The </w:t>
            </w:r>
            <w:r w:rsidR="008F7A05">
              <w:rPr>
                <w:i/>
              </w:rPr>
              <w:t>2025-26</w:t>
            </w:r>
            <w:r>
              <w:rPr>
                <w:i/>
              </w:rPr>
              <w:t xml:space="preserve"> expected outcome is lower than the target due to renovations to the State Theatre, resulting in a temporary reduction in the number of performances and changes in audience attendance behaviour.</w:t>
            </w:r>
          </w:p>
        </w:tc>
      </w:tr>
      <w:tr w:rsidR="00824558" w14:paraId="17CE1D22"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FE4BA67" w14:textId="77777777" w:rsidR="00824558" w:rsidRDefault="00824558">
            <w:pPr>
              <w:ind w:left="170"/>
            </w:pPr>
            <w:r>
              <w:t>Creative Learning Partnerships</w:t>
            </w:r>
          </w:p>
        </w:tc>
        <w:tc>
          <w:tcPr>
            <w:tcW w:w="964" w:type="dxa"/>
            <w:tcBorders>
              <w:bottom w:val="single" w:sz="6" w:space="0" w:color="auto"/>
            </w:tcBorders>
          </w:tcPr>
          <w:p w14:paraId="34CFE78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6F2AF84"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474423A2"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1C17DF09"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5AD4264C"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r>
      <w:tr w:rsidR="00824558" w14:paraId="3A531BB2"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9406DED" w14:textId="7CE349DF" w:rsidR="00824558" w:rsidRDefault="00824558">
            <w:pPr>
              <w:keepNext/>
              <w:ind w:left="170"/>
            </w:pPr>
            <w:r>
              <w:t xml:space="preserve">Number of paid gigs supported under 10,000 Gigs: </w:t>
            </w:r>
            <w:r w:rsidR="00E17D4A">
              <w:br/>
            </w:r>
            <w:r>
              <w:t>The Victorian Gig Fund</w:t>
            </w:r>
          </w:p>
        </w:tc>
        <w:tc>
          <w:tcPr>
            <w:tcW w:w="964" w:type="dxa"/>
          </w:tcPr>
          <w:p w14:paraId="17C60F5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4483CB3"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024D77AC" w14:textId="77777777" w:rsidR="00824558" w:rsidRDefault="00824558">
            <w:pPr>
              <w:cnfStyle w:val="000000000000" w:firstRow="0" w:lastRow="0" w:firstColumn="0" w:lastColumn="0" w:oddVBand="0" w:evenVBand="0" w:oddHBand="0" w:evenHBand="0" w:firstRowFirstColumn="0" w:firstRowLastColumn="0" w:lastRowFirstColumn="0" w:lastRowLastColumn="0"/>
            </w:pPr>
            <w:r>
              <w:t>2 080</w:t>
            </w:r>
          </w:p>
        </w:tc>
        <w:tc>
          <w:tcPr>
            <w:tcW w:w="964" w:type="dxa"/>
          </w:tcPr>
          <w:p w14:paraId="70F4B063" w14:textId="77777777" w:rsidR="00824558" w:rsidRDefault="0082455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761FBAED" w14:textId="77777777" w:rsidR="00824558" w:rsidRDefault="00824558">
            <w:pPr>
              <w:cnfStyle w:val="000000000000" w:firstRow="0" w:lastRow="0" w:firstColumn="0" w:lastColumn="0" w:oddVBand="0" w:evenVBand="0" w:oddHBand="0" w:evenHBand="0" w:firstRowFirstColumn="0" w:firstRowLastColumn="0" w:lastRowFirstColumn="0" w:lastRowLastColumn="0"/>
            </w:pPr>
            <w:r>
              <w:t>5 420</w:t>
            </w:r>
          </w:p>
        </w:tc>
      </w:tr>
      <w:tr w:rsidR="00824558" w14:paraId="20CB905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5A5069" w14:textId="463A687B" w:rsidR="00824558" w:rsidRDefault="00824558">
            <w:pPr>
              <w:ind w:left="170"/>
            </w:pPr>
            <w:r>
              <w:rPr>
                <w:i/>
              </w:rPr>
              <w:t xml:space="preserve">The </w:t>
            </w:r>
            <w:r w:rsidR="008F7A05">
              <w:rPr>
                <w:i/>
              </w:rPr>
              <w:t>2025-26</w:t>
            </w:r>
            <w:r>
              <w:rPr>
                <w:i/>
              </w:rPr>
              <w:t xml:space="preserve"> expected outcome is lower than the target due to the timing of contracted activities, with a portion of funded gigs delivered in 2024-25. </w:t>
            </w:r>
          </w:p>
        </w:tc>
      </w:tr>
      <w:tr w:rsidR="00824558" w14:paraId="5CB82C15"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C6CCB98" w14:textId="77777777" w:rsidR="00824558" w:rsidRDefault="00824558">
            <w:pPr>
              <w:keepNext/>
              <w:ind w:left="170"/>
            </w:pPr>
            <w:r>
              <w:t>Organisations recurrently funded</w:t>
            </w:r>
          </w:p>
        </w:tc>
        <w:tc>
          <w:tcPr>
            <w:tcW w:w="964" w:type="dxa"/>
          </w:tcPr>
          <w:p w14:paraId="34CB615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961CEEB" w14:textId="77777777" w:rsidR="00824558" w:rsidRDefault="00824558">
            <w:pPr>
              <w:cnfStyle w:val="000000000000" w:firstRow="0" w:lastRow="0" w:firstColumn="0" w:lastColumn="0" w:oddVBand="0" w:evenVBand="0" w:oddHBand="0" w:evenHBand="0" w:firstRowFirstColumn="0" w:firstRowLastColumn="0" w:lastRowFirstColumn="0" w:lastRowLastColumn="0"/>
            </w:pPr>
            <w:r>
              <w:t>130</w:t>
            </w:r>
          </w:p>
        </w:tc>
        <w:tc>
          <w:tcPr>
            <w:tcW w:w="964" w:type="dxa"/>
          </w:tcPr>
          <w:p w14:paraId="384C13CB" w14:textId="77777777" w:rsidR="00824558" w:rsidRDefault="00824558">
            <w:pPr>
              <w:cnfStyle w:val="000000000000" w:firstRow="0" w:lastRow="0" w:firstColumn="0" w:lastColumn="0" w:oddVBand="0" w:evenVBand="0" w:oddHBand="0" w:evenHBand="0" w:firstRowFirstColumn="0" w:firstRowLastColumn="0" w:lastRowFirstColumn="0" w:lastRowLastColumn="0"/>
            </w:pPr>
            <w:r>
              <w:t>131</w:t>
            </w:r>
          </w:p>
        </w:tc>
        <w:tc>
          <w:tcPr>
            <w:tcW w:w="964" w:type="dxa"/>
          </w:tcPr>
          <w:p w14:paraId="59A0277D" w14:textId="77777777" w:rsidR="00824558" w:rsidRDefault="00824558">
            <w:pPr>
              <w:cnfStyle w:val="000000000000" w:firstRow="0" w:lastRow="0" w:firstColumn="0" w:lastColumn="0" w:oddVBand="0" w:evenVBand="0" w:oddHBand="0" w:evenHBand="0" w:firstRowFirstColumn="0" w:firstRowLastColumn="0" w:lastRowFirstColumn="0" w:lastRowLastColumn="0"/>
            </w:pPr>
            <w:r>
              <w:t>154</w:t>
            </w:r>
          </w:p>
        </w:tc>
        <w:tc>
          <w:tcPr>
            <w:tcW w:w="964" w:type="dxa"/>
          </w:tcPr>
          <w:p w14:paraId="7017D0F5" w14:textId="77777777" w:rsidR="00824558" w:rsidRDefault="00824558">
            <w:pPr>
              <w:cnfStyle w:val="000000000000" w:firstRow="0" w:lastRow="0" w:firstColumn="0" w:lastColumn="0" w:oddVBand="0" w:evenVBand="0" w:oddHBand="0" w:evenHBand="0" w:firstRowFirstColumn="0" w:firstRowLastColumn="0" w:lastRowFirstColumn="0" w:lastRowLastColumn="0"/>
            </w:pPr>
            <w:r>
              <w:t>137</w:t>
            </w:r>
          </w:p>
        </w:tc>
      </w:tr>
      <w:tr w:rsidR="00824558" w14:paraId="0E740821"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7FFCD2" w14:textId="735087AE" w:rsidR="00824558" w:rsidRDefault="00824558">
            <w:pPr>
              <w:ind w:left="170"/>
            </w:pPr>
            <w:r>
              <w:rPr>
                <w:i/>
              </w:rPr>
              <w:t xml:space="preserve">The </w:t>
            </w:r>
            <w:r w:rsidR="008F7A05">
              <w:rPr>
                <w:i/>
              </w:rPr>
              <w:t>2025-26</w:t>
            </w:r>
            <w:r>
              <w:rPr>
                <w:i/>
              </w:rPr>
              <w:t xml:space="preserve"> expected outcome is lower than the target as it reflects the conclusion of the time-limited Creative Ventures Program. </w:t>
            </w:r>
          </w:p>
          <w:p w14:paraId="6912B9EF" w14:textId="637FE2EF" w:rsidR="00824558" w:rsidRDefault="00824558">
            <w:pPr>
              <w:ind w:left="170"/>
            </w:pPr>
            <w:r>
              <w:rPr>
                <w:i/>
              </w:rPr>
              <w:t xml:space="preserve">The lower </w:t>
            </w:r>
            <w:r w:rsidR="002B57CA">
              <w:rPr>
                <w:i/>
              </w:rPr>
              <w:t>2026-27</w:t>
            </w:r>
            <w:r>
              <w:rPr>
                <w:i/>
              </w:rPr>
              <w:t xml:space="preserve"> target reflects the conclusion of the time-limited Creative Ventures Program. </w:t>
            </w:r>
          </w:p>
        </w:tc>
      </w:tr>
      <w:tr w:rsidR="00824558" w14:paraId="1DCE28B8"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4688899" w14:textId="77777777" w:rsidR="00824558" w:rsidRDefault="00824558">
            <w:pPr>
              <w:keepNext/>
              <w:ind w:left="170"/>
            </w:pPr>
            <w:r>
              <w:t>Project companies and artists funded</w:t>
            </w:r>
          </w:p>
        </w:tc>
        <w:tc>
          <w:tcPr>
            <w:tcW w:w="964" w:type="dxa"/>
          </w:tcPr>
          <w:p w14:paraId="094D085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B449769" w14:textId="77777777" w:rsidR="00824558" w:rsidRDefault="00824558">
            <w:pPr>
              <w:cnfStyle w:val="000000000000" w:firstRow="0" w:lastRow="0" w:firstColumn="0" w:lastColumn="0" w:oddVBand="0" w:evenVBand="0" w:oddHBand="0" w:evenHBand="0" w:firstRowFirstColumn="0" w:firstRowLastColumn="0" w:lastRowFirstColumn="0" w:lastRowLastColumn="0"/>
            </w:pPr>
            <w:r>
              <w:t>180</w:t>
            </w:r>
          </w:p>
        </w:tc>
        <w:tc>
          <w:tcPr>
            <w:tcW w:w="964" w:type="dxa"/>
          </w:tcPr>
          <w:p w14:paraId="417199BF" w14:textId="77777777" w:rsidR="00824558" w:rsidRDefault="00824558">
            <w:pPr>
              <w:cnfStyle w:val="000000000000" w:firstRow="0" w:lastRow="0" w:firstColumn="0" w:lastColumn="0" w:oddVBand="0" w:evenVBand="0" w:oddHBand="0" w:evenHBand="0" w:firstRowFirstColumn="0" w:firstRowLastColumn="0" w:lastRowFirstColumn="0" w:lastRowLastColumn="0"/>
            </w:pPr>
            <w:r>
              <w:t>108</w:t>
            </w:r>
          </w:p>
        </w:tc>
        <w:tc>
          <w:tcPr>
            <w:tcW w:w="964" w:type="dxa"/>
          </w:tcPr>
          <w:p w14:paraId="3E23FEF1" w14:textId="77777777" w:rsidR="00824558" w:rsidRDefault="00824558">
            <w:pPr>
              <w:cnfStyle w:val="000000000000" w:firstRow="0" w:lastRow="0" w:firstColumn="0" w:lastColumn="0" w:oddVBand="0" w:evenVBand="0" w:oddHBand="0" w:evenHBand="0" w:firstRowFirstColumn="0" w:firstRowLastColumn="0" w:lastRowFirstColumn="0" w:lastRowLastColumn="0"/>
            </w:pPr>
            <w:r>
              <w:t>240</w:t>
            </w:r>
          </w:p>
        </w:tc>
        <w:tc>
          <w:tcPr>
            <w:tcW w:w="964" w:type="dxa"/>
          </w:tcPr>
          <w:p w14:paraId="05F83321" w14:textId="77777777" w:rsidR="00824558" w:rsidRDefault="00824558">
            <w:pPr>
              <w:cnfStyle w:val="000000000000" w:firstRow="0" w:lastRow="0" w:firstColumn="0" w:lastColumn="0" w:oddVBand="0" w:evenVBand="0" w:oddHBand="0" w:evenHBand="0" w:firstRowFirstColumn="0" w:firstRowLastColumn="0" w:lastRowFirstColumn="0" w:lastRowLastColumn="0"/>
            </w:pPr>
            <w:r>
              <w:t>477</w:t>
            </w:r>
          </w:p>
        </w:tc>
      </w:tr>
      <w:tr w:rsidR="00824558" w14:paraId="131E67C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FCE95F" w14:textId="7879431E" w:rsidR="00824558" w:rsidRDefault="00824558">
            <w:pPr>
              <w:ind w:left="170"/>
            </w:pPr>
            <w:r>
              <w:rPr>
                <w:i/>
              </w:rPr>
              <w:t xml:space="preserve">The </w:t>
            </w:r>
            <w:r w:rsidR="008F7A05">
              <w:rPr>
                <w:i/>
              </w:rPr>
              <w:t>2025-26</w:t>
            </w:r>
            <w:r>
              <w:rPr>
                <w:i/>
              </w:rPr>
              <w:t xml:space="preserve"> expected outcome is lower than the target due to timing of funding round delivery.</w:t>
            </w:r>
          </w:p>
          <w:p w14:paraId="6991A2C6" w14:textId="4B16D3BB" w:rsidR="00824558" w:rsidRDefault="00824558">
            <w:pPr>
              <w:ind w:left="170"/>
            </w:pPr>
            <w:r>
              <w:rPr>
                <w:i/>
              </w:rPr>
              <w:t xml:space="preserve">The lower 2026-27 target reflects </w:t>
            </w:r>
            <w:r w:rsidR="007234B4" w:rsidRPr="007234B4">
              <w:rPr>
                <w:i/>
              </w:rPr>
              <w:t xml:space="preserve">the conclusion of time-limited initiatives </w:t>
            </w:r>
            <w:r>
              <w:rPr>
                <w:i/>
              </w:rPr>
              <w:t xml:space="preserve">and an increase to minimum grant amounts. </w:t>
            </w:r>
          </w:p>
        </w:tc>
      </w:tr>
      <w:tr w:rsidR="00824558" w14:paraId="7695EE1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0806C67" w14:textId="77777777" w:rsidR="00824558" w:rsidRDefault="00824558">
            <w:pPr>
              <w:keepNext/>
              <w:ind w:left="170"/>
            </w:pPr>
            <w:r>
              <w:t>Project companies and artists funded which are regionally based</w:t>
            </w:r>
          </w:p>
        </w:tc>
        <w:tc>
          <w:tcPr>
            <w:tcW w:w="964" w:type="dxa"/>
          </w:tcPr>
          <w:p w14:paraId="29CB71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CDB8824"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c>
          <w:tcPr>
            <w:tcW w:w="964" w:type="dxa"/>
          </w:tcPr>
          <w:p w14:paraId="0D02C604"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3E734186"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c>
          <w:tcPr>
            <w:tcW w:w="964" w:type="dxa"/>
          </w:tcPr>
          <w:p w14:paraId="66A582C0"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r>
      <w:tr w:rsidR="00824558" w14:paraId="6527357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0DCE417" w14:textId="249EED6F" w:rsidR="00824558" w:rsidRDefault="00824558">
            <w:pPr>
              <w:ind w:left="170"/>
            </w:pPr>
            <w:r>
              <w:rPr>
                <w:i/>
              </w:rPr>
              <w:t xml:space="preserve">The </w:t>
            </w:r>
            <w:r w:rsidR="008F7A05">
              <w:rPr>
                <w:i/>
              </w:rPr>
              <w:t>2025-26</w:t>
            </w:r>
            <w:r>
              <w:rPr>
                <w:i/>
              </w:rPr>
              <w:t xml:space="preserve"> expected outcome is higher than the target due to increased focus on regional Victoria.</w:t>
            </w:r>
          </w:p>
        </w:tc>
      </w:tr>
      <w:tr w:rsidR="00824558" w14:paraId="17DA260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C3B4B2F" w14:textId="77777777" w:rsidR="00824558" w:rsidRDefault="00824558">
            <w:pPr>
              <w:keepNext/>
              <w:ind w:left="170"/>
            </w:pPr>
            <w:r>
              <w:t>Regionally based organisations recurrently funded</w:t>
            </w:r>
          </w:p>
        </w:tc>
        <w:tc>
          <w:tcPr>
            <w:tcW w:w="964" w:type="dxa"/>
          </w:tcPr>
          <w:p w14:paraId="79C016F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93D500D" w14:textId="77777777" w:rsidR="00824558" w:rsidRDefault="00824558">
            <w:pPr>
              <w:cnfStyle w:val="000000000000" w:firstRow="0" w:lastRow="0" w:firstColumn="0" w:lastColumn="0" w:oddVBand="0" w:evenVBand="0" w:oddHBand="0" w:evenHBand="0" w:firstRowFirstColumn="0" w:firstRowLastColumn="0" w:lastRowFirstColumn="0" w:lastRowLastColumn="0"/>
            </w:pPr>
            <w:r>
              <w:t>47</w:t>
            </w:r>
          </w:p>
        </w:tc>
        <w:tc>
          <w:tcPr>
            <w:tcW w:w="964" w:type="dxa"/>
          </w:tcPr>
          <w:p w14:paraId="2034F298"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2A4B6BF7" w14:textId="77777777" w:rsidR="00824558" w:rsidRDefault="00824558">
            <w:pPr>
              <w:cnfStyle w:val="000000000000" w:firstRow="0" w:lastRow="0" w:firstColumn="0" w:lastColumn="0" w:oddVBand="0" w:evenVBand="0" w:oddHBand="0" w:evenHBand="0" w:firstRowFirstColumn="0" w:firstRowLastColumn="0" w:lastRowFirstColumn="0" w:lastRowLastColumn="0"/>
            </w:pPr>
            <w:r>
              <w:t>56</w:t>
            </w:r>
          </w:p>
        </w:tc>
        <w:tc>
          <w:tcPr>
            <w:tcW w:w="964" w:type="dxa"/>
          </w:tcPr>
          <w:p w14:paraId="2A79A5CB" w14:textId="77777777" w:rsidR="00824558" w:rsidRDefault="00824558">
            <w:pPr>
              <w:cnfStyle w:val="000000000000" w:firstRow="0" w:lastRow="0" w:firstColumn="0" w:lastColumn="0" w:oddVBand="0" w:evenVBand="0" w:oddHBand="0" w:evenHBand="0" w:firstRowFirstColumn="0" w:firstRowLastColumn="0" w:lastRowFirstColumn="0" w:lastRowLastColumn="0"/>
            </w:pPr>
            <w:r>
              <w:t>48</w:t>
            </w:r>
          </w:p>
        </w:tc>
      </w:tr>
      <w:tr w:rsidR="00824558" w14:paraId="74D63FB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F1A6BF" w14:textId="3C5CF02A" w:rsidR="00824558" w:rsidRDefault="00824558">
            <w:pPr>
              <w:ind w:left="170"/>
            </w:pPr>
            <w:r>
              <w:rPr>
                <w:i/>
              </w:rPr>
              <w:t xml:space="preserve">The </w:t>
            </w:r>
            <w:r w:rsidR="008F7A05">
              <w:rPr>
                <w:i/>
              </w:rPr>
              <w:t>2025-26</w:t>
            </w:r>
            <w:r>
              <w:rPr>
                <w:i/>
              </w:rPr>
              <w:t xml:space="preserve"> expected outcome is lower than the target as it reflects the conclusion of the time-limited Creative Ventures Program. </w:t>
            </w:r>
          </w:p>
          <w:p w14:paraId="1F96BCD0" w14:textId="604931C7" w:rsidR="00824558" w:rsidRDefault="00824558">
            <w:pPr>
              <w:ind w:left="170"/>
            </w:pPr>
            <w:r>
              <w:rPr>
                <w:i/>
              </w:rPr>
              <w:t xml:space="preserve">The lower </w:t>
            </w:r>
            <w:r w:rsidR="002B57CA">
              <w:rPr>
                <w:i/>
              </w:rPr>
              <w:t>2026-27</w:t>
            </w:r>
            <w:r>
              <w:rPr>
                <w:i/>
              </w:rPr>
              <w:t xml:space="preserve"> target reflects the conclusion of the time-limited Creative Ventures Program. </w:t>
            </w:r>
          </w:p>
        </w:tc>
      </w:tr>
      <w:tr w:rsidR="00824558" w:rsidRPr="00A9225F" w14:paraId="6222E3B2"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A574C9C" w14:textId="77777777" w:rsidR="00824558" w:rsidRPr="00A9225F" w:rsidRDefault="00824558">
            <w:pPr>
              <w:keepNext/>
              <w:rPr>
                <w:b/>
                <w:bCs/>
                <w:iCs/>
              </w:rPr>
            </w:pPr>
            <w:r w:rsidRPr="00A9225F">
              <w:rPr>
                <w:b/>
                <w:bCs/>
                <w:iCs/>
              </w:rPr>
              <w:t>Quality</w:t>
            </w:r>
          </w:p>
        </w:tc>
      </w:tr>
      <w:tr w:rsidR="00824558" w14:paraId="04E5ECFE"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F861A7F" w14:textId="77777777" w:rsidR="00824558" w:rsidRDefault="00824558">
            <w:pPr>
              <w:ind w:left="170"/>
            </w:pPr>
            <w:r>
              <w:t>Creative Victoria grant recipients who met or exceeded agreed milestones</w:t>
            </w:r>
          </w:p>
        </w:tc>
        <w:tc>
          <w:tcPr>
            <w:tcW w:w="964" w:type="dxa"/>
            <w:tcBorders>
              <w:bottom w:val="single" w:sz="6" w:space="0" w:color="auto"/>
            </w:tcBorders>
          </w:tcPr>
          <w:p w14:paraId="06B37D7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EE1E7EC"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B8B1576"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11C329B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723D66E"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r>
      <w:tr w:rsidR="00824558" w14:paraId="08FA93F3"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3C17424" w14:textId="7E314C6A" w:rsidR="00824558" w:rsidRDefault="00824558">
            <w:pPr>
              <w:keepNext/>
              <w:ind w:left="170"/>
            </w:pPr>
            <w:r>
              <w:t xml:space="preserve">Public information rated </w:t>
            </w:r>
            <w:r w:rsidR="007942D1">
              <w:t>‘</w:t>
            </w:r>
            <w:r>
              <w:t>informative</w:t>
            </w:r>
            <w:r w:rsidR="007942D1">
              <w:t>’</w:t>
            </w:r>
            <w:r>
              <w:t xml:space="preserve"> or </w:t>
            </w:r>
            <w:r w:rsidR="007942D1">
              <w:t>‘</w:t>
            </w:r>
            <w:r>
              <w:t>very informative</w:t>
            </w:r>
            <w:r w:rsidR="007942D1">
              <w:t>’</w:t>
            </w:r>
            <w:r>
              <w:t xml:space="preserve"> by grant applicants</w:t>
            </w:r>
          </w:p>
        </w:tc>
        <w:tc>
          <w:tcPr>
            <w:tcW w:w="964" w:type="dxa"/>
          </w:tcPr>
          <w:p w14:paraId="2F912E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FB07D9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0CE2AE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051745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FE89721"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r>
      <w:tr w:rsidR="00824558" w14:paraId="7EA7D0E0"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00A8548" w14:textId="5B71D677" w:rsidR="00824558" w:rsidRDefault="00824558">
            <w:pPr>
              <w:ind w:left="170"/>
            </w:pPr>
            <w:r>
              <w:rPr>
                <w:i/>
              </w:rPr>
              <w:t xml:space="preserve">The </w:t>
            </w:r>
            <w:r w:rsidR="008F7A05">
              <w:rPr>
                <w:i/>
              </w:rPr>
              <w:t>2025-26</w:t>
            </w:r>
            <w:r>
              <w:rPr>
                <w:i/>
              </w:rPr>
              <w:t xml:space="preserve"> expected outcome is lower than the target due to the timing of funding round delivery.</w:t>
            </w:r>
          </w:p>
        </w:tc>
      </w:tr>
      <w:tr w:rsidR="00824558" w:rsidRPr="00A9225F" w14:paraId="6C41CCC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07052AA6" w14:textId="77777777" w:rsidR="00824558" w:rsidRPr="00A9225F" w:rsidRDefault="00824558">
            <w:pPr>
              <w:keepNext/>
              <w:rPr>
                <w:b/>
                <w:bCs/>
                <w:iCs/>
              </w:rPr>
            </w:pPr>
            <w:r w:rsidRPr="00A9225F">
              <w:rPr>
                <w:b/>
                <w:bCs/>
                <w:iCs/>
              </w:rPr>
              <w:t>Timeliness</w:t>
            </w:r>
          </w:p>
        </w:tc>
      </w:tr>
      <w:tr w:rsidR="00824558" w14:paraId="59C2E5DA"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35A3AD9" w14:textId="77777777" w:rsidR="00824558" w:rsidRDefault="00824558">
            <w:pPr>
              <w:ind w:left="170"/>
            </w:pPr>
            <w:r>
              <w:t>Performance and grant agreements acquitted within timeframes specified in the funding agreement</w:t>
            </w:r>
          </w:p>
        </w:tc>
        <w:tc>
          <w:tcPr>
            <w:tcW w:w="964" w:type="dxa"/>
            <w:tcBorders>
              <w:bottom w:val="single" w:sz="6" w:space="0" w:color="auto"/>
            </w:tcBorders>
          </w:tcPr>
          <w:p w14:paraId="27906C2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A92CFEA"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c>
          <w:tcPr>
            <w:tcW w:w="964" w:type="dxa"/>
            <w:tcBorders>
              <w:bottom w:val="single" w:sz="6" w:space="0" w:color="auto"/>
            </w:tcBorders>
          </w:tcPr>
          <w:p w14:paraId="1D3F2E7C"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c>
          <w:tcPr>
            <w:tcW w:w="964" w:type="dxa"/>
            <w:tcBorders>
              <w:bottom w:val="single" w:sz="6" w:space="0" w:color="auto"/>
            </w:tcBorders>
          </w:tcPr>
          <w:p w14:paraId="1BE702CC"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c>
          <w:tcPr>
            <w:tcW w:w="964" w:type="dxa"/>
            <w:tcBorders>
              <w:bottom w:val="single" w:sz="6" w:space="0" w:color="auto"/>
            </w:tcBorders>
          </w:tcPr>
          <w:p w14:paraId="086304FC"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r>
      <w:tr w:rsidR="0012290E" w:rsidRPr="00DC0EBC" w14:paraId="77AD5A8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C90BCF2" w14:textId="77777777" w:rsidR="0012290E" w:rsidRPr="00DC0EBC" w:rsidRDefault="0012290E">
            <w:pPr>
              <w:keepNext/>
              <w:rPr>
                <w:b/>
              </w:rPr>
            </w:pPr>
            <w:r w:rsidRPr="00DC0EBC">
              <w:rPr>
                <w:b/>
              </w:rPr>
              <w:lastRenderedPageBreak/>
              <w:t>Cost</w:t>
            </w:r>
          </w:p>
        </w:tc>
      </w:tr>
      <w:tr w:rsidR="00DC41F3" w14:paraId="3B448CD4" w14:textId="77777777" w:rsidTr="00DC41F3">
        <w:tc>
          <w:tcPr>
            <w:cnfStyle w:val="001000000000" w:firstRow="0" w:lastRow="0" w:firstColumn="1" w:lastColumn="0" w:oddVBand="0" w:evenVBand="0" w:oddHBand="0" w:evenHBand="0" w:firstRowFirstColumn="0" w:firstRowLastColumn="0" w:lastRowFirstColumn="0" w:lastRowLastColumn="0"/>
            <w:tcW w:w="4819" w:type="dxa"/>
          </w:tcPr>
          <w:p w14:paraId="50775D0A" w14:textId="77777777" w:rsidR="00DC41F3" w:rsidRDefault="00DC41F3" w:rsidP="00DC41F3">
            <w:pPr>
              <w:keepNext/>
              <w:ind w:left="170"/>
            </w:pPr>
            <w:r>
              <w:t>Total output cost</w:t>
            </w:r>
          </w:p>
        </w:tc>
        <w:tc>
          <w:tcPr>
            <w:tcW w:w="964" w:type="dxa"/>
          </w:tcPr>
          <w:p w14:paraId="0E391AAF" w14:textId="77777777" w:rsidR="00DC41F3" w:rsidRDefault="00DC41F3" w:rsidP="00DC41F3">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3FC15B14" w14:textId="173C2A39" w:rsidR="00DC41F3" w:rsidRPr="004D0078" w:rsidRDefault="00DC41F3" w:rsidP="00DC41F3">
            <w:pPr>
              <w:cnfStyle w:val="000000000000" w:firstRow="0" w:lastRow="0" w:firstColumn="0" w:lastColumn="0" w:oddVBand="0" w:evenVBand="0" w:oddHBand="0" w:evenHBand="0" w:firstRowFirstColumn="0" w:firstRowLastColumn="0" w:lastRowFirstColumn="0" w:lastRowLastColumn="0"/>
              <w:rPr>
                <w:highlight w:val="yellow"/>
              </w:rPr>
            </w:pPr>
            <w:r>
              <w:t>75.8</w:t>
            </w:r>
          </w:p>
        </w:tc>
        <w:tc>
          <w:tcPr>
            <w:tcW w:w="964" w:type="dxa"/>
          </w:tcPr>
          <w:p w14:paraId="77CFEE3F" w14:textId="1C744C40" w:rsidR="00DC41F3" w:rsidRPr="004D0078" w:rsidRDefault="00DC41F3" w:rsidP="00DC41F3">
            <w:pPr>
              <w:cnfStyle w:val="000000000000" w:firstRow="0" w:lastRow="0" w:firstColumn="0" w:lastColumn="0" w:oddVBand="0" w:evenVBand="0" w:oddHBand="0" w:evenHBand="0" w:firstRowFirstColumn="0" w:firstRowLastColumn="0" w:lastRowFirstColumn="0" w:lastRowLastColumn="0"/>
              <w:rPr>
                <w:highlight w:val="yellow"/>
              </w:rPr>
            </w:pPr>
            <w:r>
              <w:t>74.3</w:t>
            </w:r>
          </w:p>
        </w:tc>
        <w:tc>
          <w:tcPr>
            <w:tcW w:w="964" w:type="dxa"/>
          </w:tcPr>
          <w:p w14:paraId="7EF3DADF" w14:textId="2CB9D06D" w:rsidR="00DC41F3" w:rsidRPr="004D0078" w:rsidRDefault="00DC41F3" w:rsidP="00DC41F3">
            <w:pPr>
              <w:cnfStyle w:val="000000000000" w:firstRow="0" w:lastRow="0" w:firstColumn="0" w:lastColumn="0" w:oddVBand="0" w:evenVBand="0" w:oddHBand="0" w:evenHBand="0" w:firstRowFirstColumn="0" w:firstRowLastColumn="0" w:lastRowFirstColumn="0" w:lastRowLastColumn="0"/>
              <w:rPr>
                <w:highlight w:val="yellow"/>
              </w:rPr>
            </w:pPr>
            <w:r>
              <w:t>70.4</w:t>
            </w:r>
          </w:p>
        </w:tc>
        <w:tc>
          <w:tcPr>
            <w:tcW w:w="964" w:type="dxa"/>
          </w:tcPr>
          <w:p w14:paraId="6C20A41B" w14:textId="46BB76A2" w:rsidR="00DC41F3" w:rsidRPr="004D0078" w:rsidRDefault="00DC41F3" w:rsidP="00DC41F3">
            <w:pPr>
              <w:cnfStyle w:val="000000000000" w:firstRow="0" w:lastRow="0" w:firstColumn="0" w:lastColumn="0" w:oddVBand="0" w:evenVBand="0" w:oddHBand="0" w:evenHBand="0" w:firstRowFirstColumn="0" w:firstRowLastColumn="0" w:lastRowFirstColumn="0" w:lastRowLastColumn="0"/>
              <w:rPr>
                <w:highlight w:val="yellow"/>
              </w:rPr>
            </w:pPr>
            <w:r w:rsidRPr="000A39E8">
              <w:t>83.7</w:t>
            </w:r>
          </w:p>
        </w:tc>
      </w:tr>
      <w:tr w:rsidR="00DC41F3" w14:paraId="2C76DD56" w14:textId="77777777" w:rsidTr="00DC41F3">
        <w:tc>
          <w:tcPr>
            <w:cnfStyle w:val="001000000000" w:firstRow="0" w:lastRow="0" w:firstColumn="1" w:lastColumn="0" w:oddVBand="0" w:evenVBand="0" w:oddHBand="0" w:evenHBand="0" w:firstRowFirstColumn="0" w:firstRowLastColumn="0" w:lastRowFirstColumn="0" w:lastRowLastColumn="0"/>
            <w:tcW w:w="9639" w:type="dxa"/>
            <w:gridSpan w:val="6"/>
          </w:tcPr>
          <w:p w14:paraId="0CD6EE0B" w14:textId="356D2B2C" w:rsidR="00DC41F3" w:rsidRPr="006C3EA1" w:rsidRDefault="006C3EA1" w:rsidP="00633FC4">
            <w:pPr>
              <w:keepNext/>
              <w:ind w:left="170"/>
              <w:rPr>
                <w:i/>
                <w:iCs/>
              </w:rPr>
            </w:pPr>
            <w:r w:rsidRPr="005D25F8">
              <w:rPr>
                <w:i/>
                <w:iCs/>
              </w:rPr>
              <w:t xml:space="preserve">The 2025-26 expected outcome is higher than the 2025-26 target primarily due to the release of amounts held in contingency and the adjustment of funding between financial years for initiatives under the Creative State strategy. </w:t>
            </w:r>
          </w:p>
        </w:tc>
      </w:tr>
      <w:tr w:rsidR="00DC41F3" w14:paraId="068D422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20E3828" w14:textId="00A219D7" w:rsidR="00DC41F3" w:rsidRPr="000A39E8" w:rsidRDefault="00AC3486" w:rsidP="00AC3486">
            <w:pPr>
              <w:ind w:left="170"/>
            </w:pPr>
            <w:r w:rsidRPr="00AC3486">
              <w:rPr>
                <w:i/>
                <w:iCs/>
              </w:rPr>
              <w:t xml:space="preserve">The 2026-27 target is higher than 2025-26 target primarily due to additional funding from the </w:t>
            </w:r>
            <w:r w:rsidRPr="00EE5B29">
              <w:t>2026-27 Budget</w:t>
            </w:r>
            <w:r w:rsidRPr="00AC3486">
              <w:rPr>
                <w:i/>
                <w:iCs/>
              </w:rPr>
              <w:t xml:space="preserve"> for Contemporary </w:t>
            </w:r>
            <w:r w:rsidR="006B50E7">
              <w:rPr>
                <w:i/>
                <w:iCs/>
              </w:rPr>
              <w:t>m</w:t>
            </w:r>
            <w:r w:rsidRPr="00AC3486">
              <w:rPr>
                <w:i/>
                <w:iCs/>
              </w:rPr>
              <w:t xml:space="preserve">usic </w:t>
            </w:r>
            <w:r w:rsidR="006B50E7">
              <w:rPr>
                <w:i/>
                <w:iCs/>
              </w:rPr>
              <w:t>initiatives</w:t>
            </w:r>
            <w:r w:rsidRPr="00AC3486">
              <w:rPr>
                <w:i/>
                <w:iCs/>
              </w:rPr>
              <w:t>.</w:t>
            </w:r>
          </w:p>
        </w:tc>
      </w:tr>
    </w:tbl>
    <w:p w14:paraId="24F8BFC7" w14:textId="77777777" w:rsidR="00824558" w:rsidRDefault="00824558">
      <w:pPr>
        <w:pStyle w:val="Source"/>
      </w:pPr>
      <w:r>
        <w:t>Source: Department of Jobs, Skills, Industry and Regions</w:t>
      </w:r>
    </w:p>
    <w:p w14:paraId="75E1F820" w14:textId="29A5B42E" w:rsidR="00824558" w:rsidRDefault="00824558">
      <w:pPr>
        <w:pStyle w:val="Heading3"/>
      </w:pPr>
      <w:r>
        <w:t>Creative Industries Portfolio Agencies</w:t>
      </w:r>
      <w:r>
        <w:tab/>
        <w:t>(2026-27: $</w:t>
      </w:r>
      <w:r w:rsidR="00CD0D72">
        <w:t xml:space="preserve">502.3 </w:t>
      </w:r>
      <w:r>
        <w:t>million)</w:t>
      </w:r>
    </w:p>
    <w:p w14:paraId="78F8E4B9" w14:textId="6A81AF31" w:rsidR="00824558" w:rsidRDefault="00824558">
      <w:pPr>
        <w:keepNext/>
        <w:tabs>
          <w:tab w:val="right" w:pos="7711"/>
        </w:tabs>
        <w:spacing w:after="120"/>
        <w:rPr>
          <w:rFonts w:ascii="Garamond" w:eastAsia="Garamond" w:hAnsi="Garamond"/>
        </w:rPr>
      </w:pPr>
      <w:r w:rsidRPr="00016BB9">
        <w:rPr>
          <w:rFonts w:ascii="Garamond" w:eastAsia="Garamond" w:hAnsi="Garamond"/>
        </w:rPr>
        <w:t>This output promotes, presents and preserves our heritage and the creative industries through Victoria</w:t>
      </w:r>
      <w:r w:rsidR="007942D1">
        <w:rPr>
          <w:rFonts w:ascii="Garamond" w:eastAsia="Garamond" w:hAnsi="Garamond"/>
        </w:rPr>
        <w:t>’</w:t>
      </w:r>
      <w:r w:rsidRPr="00016BB9">
        <w:rPr>
          <w:rFonts w:ascii="Garamond" w:eastAsia="Garamond" w:hAnsi="Garamond"/>
        </w:rPr>
        <w:t>s creative industries portfolio agencies: Arts Centre Melbourne, Australian Centre for the Moving Image (ACMI), Docklands Studios Melbourne, VicScreen, Geelong Arts Centre, Melbourne Recital Centre, Museums Victoria, National Gallery of Victoria (NGV), and the State Library Victoria.</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E0E1316"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F6B8C35" w14:textId="77777777" w:rsidR="00824558" w:rsidRDefault="00824558">
            <w:r>
              <w:t>Performance measure</w:t>
            </w:r>
          </w:p>
        </w:tc>
        <w:tc>
          <w:tcPr>
            <w:tcW w:w="964" w:type="dxa"/>
          </w:tcPr>
          <w:p w14:paraId="5BEEC8F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2A05B0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CD04D2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E2D44C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9B3B40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7E180A82"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1CFF02B8" w14:textId="77777777" w:rsidR="00824558" w:rsidRPr="00A9225F" w:rsidRDefault="00824558">
            <w:pPr>
              <w:keepNext/>
              <w:rPr>
                <w:b/>
                <w:bCs/>
                <w:iCs/>
              </w:rPr>
            </w:pPr>
            <w:r w:rsidRPr="00A9225F">
              <w:rPr>
                <w:b/>
                <w:bCs/>
                <w:iCs/>
              </w:rPr>
              <w:t>Quantity</w:t>
            </w:r>
          </w:p>
        </w:tc>
      </w:tr>
      <w:tr w:rsidR="00824558" w14:paraId="6014CCC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B5809DF" w14:textId="77777777" w:rsidR="00824558" w:rsidRDefault="00824558">
            <w:pPr>
              <w:keepNext/>
              <w:ind w:left="170"/>
            </w:pPr>
            <w:r>
              <w:t>Additional employment from production supported by VicScreen</w:t>
            </w:r>
          </w:p>
        </w:tc>
        <w:tc>
          <w:tcPr>
            <w:tcW w:w="964" w:type="dxa"/>
          </w:tcPr>
          <w:p w14:paraId="7B7F988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90BA898"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6 500</w:t>
            </w:r>
          </w:p>
        </w:tc>
        <w:tc>
          <w:tcPr>
            <w:tcW w:w="964" w:type="dxa"/>
          </w:tcPr>
          <w:p w14:paraId="7F4FAD8D" w14:textId="66F23FB6" w:rsidR="00824558" w:rsidRDefault="00824558">
            <w:pPr>
              <w:cnfStyle w:val="000000000000" w:firstRow="0" w:lastRow="0" w:firstColumn="0" w:lastColumn="0" w:oddVBand="0" w:evenVBand="0" w:oddHBand="0" w:evenHBand="0" w:firstRowFirstColumn="0" w:firstRowLastColumn="0" w:lastRowFirstColumn="0" w:lastRowLastColumn="0"/>
            </w:pPr>
            <w:r>
              <w:t>7</w:t>
            </w:r>
            <w:r w:rsidR="001312D5">
              <w:t xml:space="preserve"> </w:t>
            </w:r>
            <w:r>
              <w:t>652</w:t>
            </w:r>
          </w:p>
        </w:tc>
        <w:tc>
          <w:tcPr>
            <w:tcW w:w="964" w:type="dxa"/>
          </w:tcPr>
          <w:p w14:paraId="2EC1EE5D"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6 500</w:t>
            </w:r>
          </w:p>
        </w:tc>
        <w:tc>
          <w:tcPr>
            <w:tcW w:w="964" w:type="dxa"/>
          </w:tcPr>
          <w:p w14:paraId="60E22E3D" w14:textId="77777777" w:rsidR="00824558" w:rsidRDefault="00824558">
            <w:pPr>
              <w:cnfStyle w:val="000000000000" w:firstRow="0" w:lastRow="0" w:firstColumn="0" w:lastColumn="0" w:oddVBand="0" w:evenVBand="0" w:oddHBand="0" w:evenHBand="0" w:firstRowFirstColumn="0" w:firstRowLastColumn="0" w:lastRowFirstColumn="0" w:lastRowLastColumn="0"/>
            </w:pPr>
            <w:r>
              <w:t>8 141</w:t>
            </w:r>
          </w:p>
        </w:tc>
      </w:tr>
      <w:tr w:rsidR="00824558" w14:paraId="7004CAAE"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01AADE" w14:textId="0834532F" w:rsidR="00824558" w:rsidRDefault="00824558">
            <w:pPr>
              <w:ind w:left="170"/>
            </w:pPr>
            <w:r>
              <w:rPr>
                <w:i/>
              </w:rPr>
              <w:t xml:space="preserve">The </w:t>
            </w:r>
            <w:r w:rsidR="008F7A05">
              <w:rPr>
                <w:i/>
              </w:rPr>
              <w:t>2025-26</w:t>
            </w:r>
            <w:r>
              <w:rPr>
                <w:i/>
              </w:rPr>
              <w:t xml:space="preserve"> expected outcome is higher than the target reflecting strong demand and return on investment from international productions on location in Victoria.</w:t>
            </w:r>
          </w:p>
        </w:tc>
      </w:tr>
      <w:tr w:rsidR="00824558" w14:paraId="618BCBC4"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2E072B8" w14:textId="77777777" w:rsidR="00824558" w:rsidRDefault="00824558">
            <w:pPr>
              <w:keepNext/>
              <w:ind w:left="170"/>
            </w:pPr>
            <w:r>
              <w:t>Agency website visitation</w:t>
            </w:r>
          </w:p>
        </w:tc>
        <w:tc>
          <w:tcPr>
            <w:tcW w:w="964" w:type="dxa"/>
          </w:tcPr>
          <w:p w14:paraId="779DB9E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p w14:paraId="78F1FAE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(thousand)</w:t>
            </w:r>
          </w:p>
        </w:tc>
        <w:tc>
          <w:tcPr>
            <w:tcW w:w="964" w:type="dxa"/>
            <w:shd w:val="clear" w:color="auto" w:fill="F0F0F0"/>
          </w:tcPr>
          <w:p w14:paraId="76339056" w14:textId="77777777" w:rsidR="00824558" w:rsidRDefault="00824558">
            <w:pPr>
              <w:cnfStyle w:val="000000000000" w:firstRow="0" w:lastRow="0" w:firstColumn="0" w:lastColumn="0" w:oddVBand="0" w:evenVBand="0" w:oddHBand="0" w:evenHBand="0" w:firstRowFirstColumn="0" w:firstRowLastColumn="0" w:lastRowFirstColumn="0" w:lastRowLastColumn="0"/>
            </w:pPr>
            <w:r>
              <w:t>23 700</w:t>
            </w:r>
          </w:p>
        </w:tc>
        <w:tc>
          <w:tcPr>
            <w:tcW w:w="964" w:type="dxa"/>
          </w:tcPr>
          <w:p w14:paraId="33352F66" w14:textId="77777777" w:rsidR="00824558" w:rsidRDefault="00824558">
            <w:pPr>
              <w:cnfStyle w:val="000000000000" w:firstRow="0" w:lastRow="0" w:firstColumn="0" w:lastColumn="0" w:oddVBand="0" w:evenVBand="0" w:oddHBand="0" w:evenHBand="0" w:firstRowFirstColumn="0" w:firstRowLastColumn="0" w:lastRowFirstColumn="0" w:lastRowLastColumn="0"/>
            </w:pPr>
            <w:r>
              <w:t>30 195</w:t>
            </w:r>
          </w:p>
        </w:tc>
        <w:tc>
          <w:tcPr>
            <w:tcW w:w="964" w:type="dxa"/>
          </w:tcPr>
          <w:p w14:paraId="1A683526" w14:textId="77777777" w:rsidR="00824558" w:rsidRDefault="00824558">
            <w:pPr>
              <w:cnfStyle w:val="000000000000" w:firstRow="0" w:lastRow="0" w:firstColumn="0" w:lastColumn="0" w:oddVBand="0" w:evenVBand="0" w:oddHBand="0" w:evenHBand="0" w:firstRowFirstColumn="0" w:firstRowLastColumn="0" w:lastRowFirstColumn="0" w:lastRowLastColumn="0"/>
            </w:pPr>
            <w:r>
              <w:t>23 700</w:t>
            </w:r>
          </w:p>
        </w:tc>
        <w:tc>
          <w:tcPr>
            <w:tcW w:w="964" w:type="dxa"/>
          </w:tcPr>
          <w:p w14:paraId="2ACBA528" w14:textId="77777777" w:rsidR="00824558" w:rsidRDefault="00824558">
            <w:pPr>
              <w:cnfStyle w:val="000000000000" w:firstRow="0" w:lastRow="0" w:firstColumn="0" w:lastColumn="0" w:oddVBand="0" w:evenVBand="0" w:oddHBand="0" w:evenHBand="0" w:firstRowFirstColumn="0" w:firstRowLastColumn="0" w:lastRowFirstColumn="0" w:lastRowLastColumn="0"/>
            </w:pPr>
            <w:r>
              <w:t>32 927</w:t>
            </w:r>
          </w:p>
        </w:tc>
      </w:tr>
      <w:tr w:rsidR="00824558" w14:paraId="01EF07F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B150F0B" w14:textId="5F4E3ED9" w:rsidR="00824558" w:rsidRDefault="00824558">
            <w:pPr>
              <w:ind w:left="170"/>
            </w:pPr>
            <w:r>
              <w:rPr>
                <w:i/>
              </w:rPr>
              <w:t xml:space="preserve">The </w:t>
            </w:r>
            <w:r w:rsidR="008F7A05">
              <w:rPr>
                <w:i/>
              </w:rPr>
              <w:t>2025-26</w:t>
            </w:r>
            <w:r>
              <w:rPr>
                <w:i/>
              </w:rPr>
              <w:t xml:space="preserve"> expected outcome is higher than the target due to strong audience engagement and increased traffic to agency websites for online resources and ticketing.</w:t>
            </w:r>
          </w:p>
        </w:tc>
      </w:tr>
      <w:tr w:rsidR="00824558" w14:paraId="12A3C56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A1168F2" w14:textId="77777777" w:rsidR="00824558" w:rsidRDefault="00824558">
            <w:pPr>
              <w:keepNext/>
              <w:ind w:left="170"/>
            </w:pPr>
            <w:r>
              <w:t>Attendances at Arts Centre Melbourne</w:t>
            </w:r>
          </w:p>
        </w:tc>
        <w:tc>
          <w:tcPr>
            <w:tcW w:w="964" w:type="dxa"/>
          </w:tcPr>
          <w:p w14:paraId="18F3DA1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5E0199F6" w14:textId="77777777" w:rsidR="00824558" w:rsidRDefault="00824558">
            <w:pPr>
              <w:cnfStyle w:val="000000000000" w:firstRow="0" w:lastRow="0" w:firstColumn="0" w:lastColumn="0" w:oddVBand="0" w:evenVBand="0" w:oddHBand="0" w:evenHBand="0" w:firstRowFirstColumn="0" w:firstRowLastColumn="0" w:lastRowFirstColumn="0" w:lastRowLastColumn="0"/>
            </w:pPr>
            <w:r>
              <w:t>1 500</w:t>
            </w:r>
          </w:p>
        </w:tc>
        <w:tc>
          <w:tcPr>
            <w:tcW w:w="964" w:type="dxa"/>
          </w:tcPr>
          <w:p w14:paraId="7E7C5FC2" w14:textId="77777777" w:rsidR="00824558" w:rsidRDefault="00824558">
            <w:pPr>
              <w:cnfStyle w:val="000000000000" w:firstRow="0" w:lastRow="0" w:firstColumn="0" w:lastColumn="0" w:oddVBand="0" w:evenVBand="0" w:oddHBand="0" w:evenHBand="0" w:firstRowFirstColumn="0" w:firstRowLastColumn="0" w:lastRowFirstColumn="0" w:lastRowLastColumn="0"/>
            </w:pPr>
            <w:r>
              <w:t>2 137</w:t>
            </w:r>
          </w:p>
        </w:tc>
        <w:tc>
          <w:tcPr>
            <w:tcW w:w="964" w:type="dxa"/>
          </w:tcPr>
          <w:p w14:paraId="04729D2D"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3C047907" w14:textId="77777777" w:rsidR="00824558" w:rsidRDefault="00824558">
            <w:pPr>
              <w:cnfStyle w:val="000000000000" w:firstRow="0" w:lastRow="0" w:firstColumn="0" w:lastColumn="0" w:oddVBand="0" w:evenVBand="0" w:oddHBand="0" w:evenHBand="0" w:firstRowFirstColumn="0" w:firstRowLastColumn="0" w:lastRowFirstColumn="0" w:lastRowLastColumn="0"/>
            </w:pPr>
            <w:r>
              <w:t>2 198</w:t>
            </w:r>
          </w:p>
        </w:tc>
      </w:tr>
      <w:tr w:rsidR="00824558" w14:paraId="5A33491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D9D62B" w14:textId="65EDC3E9" w:rsidR="00824558" w:rsidRDefault="00824558">
            <w:pPr>
              <w:ind w:left="170"/>
              <w:rPr>
                <w:i/>
                <w:iCs/>
              </w:rPr>
            </w:pPr>
            <w:r>
              <w:rPr>
                <w:i/>
                <w:iCs/>
              </w:rPr>
              <w:t>The 2025-26 expected outcome is higher than the target due to strong attendances including at</w:t>
            </w:r>
            <w:r w:rsidR="002C616A">
              <w:rPr>
                <w:i/>
                <w:iCs/>
              </w:rPr>
              <w:t xml:space="preserve"> </w:t>
            </w:r>
            <w:r>
              <w:rPr>
                <w:i/>
                <w:iCs/>
              </w:rPr>
              <w:t>the Sidney Myer Music Bowl.</w:t>
            </w:r>
          </w:p>
          <w:p w14:paraId="52F9F4DB" w14:textId="77777777" w:rsidR="00824558" w:rsidRDefault="00824558">
            <w:pPr>
              <w:ind w:left="170"/>
              <w:rPr>
                <w:i/>
              </w:rPr>
            </w:pPr>
            <w:r w:rsidRPr="00B054E6">
              <w:rPr>
                <w:i/>
                <w:iCs/>
              </w:rPr>
              <w:t>The lower 2026-27 target is due to a revised reporting methodology to enable better comparability of attendance levels across agencies</w:t>
            </w:r>
            <w:r>
              <w:rPr>
                <w:i/>
                <w:iCs/>
              </w:rPr>
              <w:t>.</w:t>
            </w:r>
          </w:p>
        </w:tc>
      </w:tr>
      <w:tr w:rsidR="00824558" w14:paraId="0425247A"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C885896" w14:textId="77777777" w:rsidR="00824558" w:rsidRDefault="00824558">
            <w:pPr>
              <w:keepNext/>
              <w:ind w:left="170"/>
            </w:pPr>
            <w:r>
              <w:t>Attendances at Australian Centre for the Moving Image</w:t>
            </w:r>
          </w:p>
        </w:tc>
        <w:tc>
          <w:tcPr>
            <w:tcW w:w="964" w:type="dxa"/>
          </w:tcPr>
          <w:p w14:paraId="15BB73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533D27A2"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6C265FD8" w14:textId="77777777" w:rsidR="00824558" w:rsidRDefault="00824558">
            <w:pPr>
              <w:cnfStyle w:val="000000000000" w:firstRow="0" w:lastRow="0" w:firstColumn="0" w:lastColumn="0" w:oddVBand="0" w:evenVBand="0" w:oddHBand="0" w:evenHBand="0" w:firstRowFirstColumn="0" w:firstRowLastColumn="0" w:lastRowFirstColumn="0" w:lastRowLastColumn="0"/>
            </w:pPr>
            <w:r>
              <w:t>1 058</w:t>
            </w:r>
          </w:p>
        </w:tc>
        <w:tc>
          <w:tcPr>
            <w:tcW w:w="964" w:type="dxa"/>
          </w:tcPr>
          <w:p w14:paraId="1737D430"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53D3EC82" w14:textId="77777777" w:rsidR="00824558" w:rsidRDefault="00824558">
            <w:pPr>
              <w:cnfStyle w:val="000000000000" w:firstRow="0" w:lastRow="0" w:firstColumn="0" w:lastColumn="0" w:oddVBand="0" w:evenVBand="0" w:oddHBand="0" w:evenHBand="0" w:firstRowFirstColumn="0" w:firstRowLastColumn="0" w:lastRowFirstColumn="0" w:lastRowLastColumn="0"/>
            </w:pPr>
            <w:r>
              <w:t>987</w:t>
            </w:r>
          </w:p>
        </w:tc>
      </w:tr>
      <w:tr w:rsidR="00824558" w14:paraId="1674A1E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F5095B" w14:textId="15621744" w:rsidR="00824558" w:rsidRDefault="00824558">
            <w:pPr>
              <w:ind w:left="170"/>
            </w:pPr>
            <w:r>
              <w:rPr>
                <w:i/>
              </w:rPr>
              <w:t xml:space="preserve">The </w:t>
            </w:r>
            <w:r w:rsidR="008F7A05">
              <w:rPr>
                <w:i/>
              </w:rPr>
              <w:t>2025-26</w:t>
            </w:r>
            <w:r>
              <w:rPr>
                <w:i/>
              </w:rPr>
              <w:t xml:space="preserve"> expected outcome is higher than the target due to strong attendance at the Australian Centre for the Moving Image programs and events.</w:t>
            </w:r>
          </w:p>
        </w:tc>
      </w:tr>
      <w:tr w:rsidR="00824558" w14:paraId="4F34A11B"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373FD74" w14:textId="77777777" w:rsidR="00824558" w:rsidRDefault="00824558">
            <w:pPr>
              <w:ind w:left="170"/>
            </w:pPr>
            <w:r>
              <w:t>Attendances at Geelong Arts Centre</w:t>
            </w:r>
          </w:p>
        </w:tc>
        <w:tc>
          <w:tcPr>
            <w:tcW w:w="964" w:type="dxa"/>
            <w:tcBorders>
              <w:bottom w:val="single" w:sz="6" w:space="0" w:color="auto"/>
            </w:tcBorders>
          </w:tcPr>
          <w:p w14:paraId="63CEF92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1638EE84"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2122EAEA"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539AC5E2" w14:textId="77777777" w:rsidR="00824558" w:rsidRDefault="00824558">
            <w:pPr>
              <w:cnfStyle w:val="000000000000" w:firstRow="0" w:lastRow="0" w:firstColumn="0" w:lastColumn="0" w:oddVBand="0" w:evenVBand="0" w:oddHBand="0" w:evenHBand="0" w:firstRowFirstColumn="0" w:firstRowLastColumn="0" w:lastRowFirstColumn="0" w:lastRowLastColumn="0"/>
            </w:pPr>
            <w:r>
              <w:t>250</w:t>
            </w:r>
          </w:p>
        </w:tc>
        <w:tc>
          <w:tcPr>
            <w:tcW w:w="964" w:type="dxa"/>
            <w:tcBorders>
              <w:bottom w:val="single" w:sz="6" w:space="0" w:color="auto"/>
            </w:tcBorders>
          </w:tcPr>
          <w:p w14:paraId="73A655C0" w14:textId="77777777" w:rsidR="00824558" w:rsidRDefault="00824558">
            <w:pPr>
              <w:cnfStyle w:val="000000000000" w:firstRow="0" w:lastRow="0" w:firstColumn="0" w:lastColumn="0" w:oddVBand="0" w:evenVBand="0" w:oddHBand="0" w:evenHBand="0" w:firstRowFirstColumn="0" w:firstRowLastColumn="0" w:lastRowFirstColumn="0" w:lastRowLastColumn="0"/>
            </w:pPr>
            <w:r>
              <w:t>270</w:t>
            </w:r>
          </w:p>
        </w:tc>
      </w:tr>
      <w:tr w:rsidR="00824558" w14:paraId="1FA20F5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1157A7A" w14:textId="77777777" w:rsidR="00824558" w:rsidRDefault="00824558">
            <w:pPr>
              <w:keepNext/>
              <w:ind w:left="170"/>
            </w:pPr>
            <w:r>
              <w:t>Attendances at Melbourne Recital Centre</w:t>
            </w:r>
          </w:p>
        </w:tc>
        <w:tc>
          <w:tcPr>
            <w:tcW w:w="964" w:type="dxa"/>
          </w:tcPr>
          <w:p w14:paraId="200862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7CC51870" w14:textId="77777777" w:rsidR="00824558" w:rsidRDefault="00824558">
            <w:pPr>
              <w:cnfStyle w:val="000000000000" w:firstRow="0" w:lastRow="0" w:firstColumn="0" w:lastColumn="0" w:oddVBand="0" w:evenVBand="0" w:oddHBand="0" w:evenHBand="0" w:firstRowFirstColumn="0" w:firstRowLastColumn="0" w:lastRowFirstColumn="0" w:lastRowLastColumn="0"/>
            </w:pPr>
            <w:r>
              <w:t>171</w:t>
            </w:r>
          </w:p>
        </w:tc>
        <w:tc>
          <w:tcPr>
            <w:tcW w:w="964" w:type="dxa"/>
          </w:tcPr>
          <w:p w14:paraId="30477953" w14:textId="77777777" w:rsidR="00824558" w:rsidRDefault="00824558">
            <w:pPr>
              <w:cnfStyle w:val="000000000000" w:firstRow="0" w:lastRow="0" w:firstColumn="0" w:lastColumn="0" w:oddVBand="0" w:evenVBand="0" w:oddHBand="0" w:evenHBand="0" w:firstRowFirstColumn="0" w:firstRowLastColumn="0" w:lastRowFirstColumn="0" w:lastRowLastColumn="0"/>
            </w:pPr>
            <w:r>
              <w:t>180</w:t>
            </w:r>
          </w:p>
        </w:tc>
        <w:tc>
          <w:tcPr>
            <w:tcW w:w="964" w:type="dxa"/>
          </w:tcPr>
          <w:p w14:paraId="410629B6" w14:textId="77777777" w:rsidR="00824558" w:rsidRDefault="00824558">
            <w:pPr>
              <w:cnfStyle w:val="000000000000" w:firstRow="0" w:lastRow="0" w:firstColumn="0" w:lastColumn="0" w:oddVBand="0" w:evenVBand="0" w:oddHBand="0" w:evenHBand="0" w:firstRowFirstColumn="0" w:firstRowLastColumn="0" w:lastRowFirstColumn="0" w:lastRowLastColumn="0"/>
            </w:pPr>
            <w:r>
              <w:t>180</w:t>
            </w:r>
          </w:p>
        </w:tc>
        <w:tc>
          <w:tcPr>
            <w:tcW w:w="964" w:type="dxa"/>
          </w:tcPr>
          <w:p w14:paraId="247B0CAD" w14:textId="77777777" w:rsidR="00824558" w:rsidRDefault="00824558">
            <w:pPr>
              <w:cnfStyle w:val="000000000000" w:firstRow="0" w:lastRow="0" w:firstColumn="0" w:lastColumn="0" w:oddVBand="0" w:evenVBand="0" w:oddHBand="0" w:evenHBand="0" w:firstRowFirstColumn="0" w:firstRowLastColumn="0" w:lastRowFirstColumn="0" w:lastRowLastColumn="0"/>
            </w:pPr>
            <w:r>
              <w:t>179</w:t>
            </w:r>
          </w:p>
        </w:tc>
      </w:tr>
      <w:tr w:rsidR="00824558" w14:paraId="0E17014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733ECFA" w14:textId="77777777" w:rsidR="00824558" w:rsidRDefault="00824558">
            <w:pPr>
              <w:ind w:left="170"/>
              <w:rPr>
                <w:i/>
              </w:rPr>
            </w:pPr>
            <w:r w:rsidRPr="00B054E6">
              <w:rPr>
                <w:i/>
                <w:iCs/>
              </w:rPr>
              <w:t>The lower 2026-27 target is due to a revised reporting methodology to enable better comparability of attendance levels across agencies</w:t>
            </w:r>
            <w:r>
              <w:rPr>
                <w:i/>
                <w:iCs/>
              </w:rPr>
              <w:t>.</w:t>
            </w:r>
          </w:p>
        </w:tc>
      </w:tr>
      <w:tr w:rsidR="00824558" w14:paraId="72EDB1F4"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39894BA" w14:textId="77777777" w:rsidR="00824558" w:rsidRDefault="00824558">
            <w:pPr>
              <w:keepNext/>
              <w:ind w:left="170"/>
            </w:pPr>
            <w:r>
              <w:t>Attendances at Museums Victoria</w:t>
            </w:r>
          </w:p>
        </w:tc>
        <w:tc>
          <w:tcPr>
            <w:tcW w:w="964" w:type="dxa"/>
          </w:tcPr>
          <w:p w14:paraId="2F8E633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047FE416"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395DC395" w14:textId="77777777" w:rsidR="00824558" w:rsidRDefault="00824558">
            <w:pPr>
              <w:cnfStyle w:val="000000000000" w:firstRow="0" w:lastRow="0" w:firstColumn="0" w:lastColumn="0" w:oddVBand="0" w:evenVBand="0" w:oddHBand="0" w:evenHBand="0" w:firstRowFirstColumn="0" w:firstRowLastColumn="0" w:lastRowFirstColumn="0" w:lastRowLastColumn="0"/>
            </w:pPr>
            <w:r>
              <w:t>3 190</w:t>
            </w:r>
          </w:p>
        </w:tc>
        <w:tc>
          <w:tcPr>
            <w:tcW w:w="964" w:type="dxa"/>
          </w:tcPr>
          <w:p w14:paraId="5D250FAE"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71D77D45" w14:textId="77777777" w:rsidR="00824558" w:rsidRDefault="00824558">
            <w:pPr>
              <w:cnfStyle w:val="000000000000" w:firstRow="0" w:lastRow="0" w:firstColumn="0" w:lastColumn="0" w:oddVBand="0" w:evenVBand="0" w:oddHBand="0" w:evenHBand="0" w:firstRowFirstColumn="0" w:firstRowLastColumn="0" w:lastRowFirstColumn="0" w:lastRowLastColumn="0"/>
            </w:pPr>
            <w:r>
              <w:t>2 017</w:t>
            </w:r>
          </w:p>
        </w:tc>
      </w:tr>
      <w:tr w:rsidR="00824558" w14:paraId="11F9EE1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D0E171" w14:textId="368935E4" w:rsidR="00824558" w:rsidRDefault="00824558">
            <w:pPr>
              <w:ind w:left="170"/>
            </w:pPr>
            <w:r>
              <w:rPr>
                <w:i/>
              </w:rPr>
              <w:t xml:space="preserve">The </w:t>
            </w:r>
            <w:r w:rsidR="008F7A05">
              <w:rPr>
                <w:i/>
              </w:rPr>
              <w:t>2025-26</w:t>
            </w:r>
            <w:r>
              <w:rPr>
                <w:i/>
              </w:rPr>
              <w:t xml:space="preserve"> expected outcome is higher than the target due to revised methodology.</w:t>
            </w:r>
          </w:p>
          <w:p w14:paraId="1F657303" w14:textId="77777777" w:rsidR="00824558" w:rsidRDefault="00824558">
            <w:pPr>
              <w:ind w:left="170"/>
              <w:rPr>
                <w:i/>
              </w:rPr>
            </w:pPr>
            <w:r w:rsidRPr="00B054E6">
              <w:rPr>
                <w:i/>
                <w:iCs/>
              </w:rPr>
              <w:t>The higher 2026-27 target is due to a revised reporting methodology to enable better comparability of attendance levels across agencies</w:t>
            </w:r>
            <w:r>
              <w:rPr>
                <w:i/>
                <w:iCs/>
              </w:rPr>
              <w:t>.</w:t>
            </w:r>
          </w:p>
        </w:tc>
      </w:tr>
      <w:tr w:rsidR="00824558" w14:paraId="02AE23C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2FC471" w14:textId="77777777" w:rsidR="00824558" w:rsidRDefault="00824558">
            <w:pPr>
              <w:ind w:left="170"/>
            </w:pPr>
            <w:r>
              <w:t>Attendances at National Gallery of Victoria</w:t>
            </w:r>
          </w:p>
        </w:tc>
        <w:tc>
          <w:tcPr>
            <w:tcW w:w="964" w:type="dxa"/>
            <w:tcBorders>
              <w:bottom w:val="single" w:sz="6" w:space="0" w:color="auto"/>
            </w:tcBorders>
          </w:tcPr>
          <w:p w14:paraId="0F9005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234158DB" w14:textId="77777777" w:rsidR="00824558" w:rsidRDefault="00824558">
            <w:pPr>
              <w:cnfStyle w:val="000000000000" w:firstRow="0" w:lastRow="0" w:firstColumn="0" w:lastColumn="0" w:oddVBand="0" w:evenVBand="0" w:oddHBand="0" w:evenHBand="0" w:firstRowFirstColumn="0" w:firstRowLastColumn="0" w:lastRowFirstColumn="0" w:lastRowLastColumn="0"/>
            </w:pPr>
            <w:r>
              <w:t>2 235</w:t>
            </w:r>
          </w:p>
        </w:tc>
        <w:tc>
          <w:tcPr>
            <w:tcW w:w="964" w:type="dxa"/>
            <w:tcBorders>
              <w:bottom w:val="single" w:sz="6" w:space="0" w:color="auto"/>
            </w:tcBorders>
          </w:tcPr>
          <w:p w14:paraId="1CFA7CAA" w14:textId="77777777" w:rsidR="00824558" w:rsidRDefault="00824558">
            <w:pPr>
              <w:cnfStyle w:val="000000000000" w:firstRow="0" w:lastRow="0" w:firstColumn="0" w:lastColumn="0" w:oddVBand="0" w:evenVBand="0" w:oddHBand="0" w:evenHBand="0" w:firstRowFirstColumn="0" w:firstRowLastColumn="0" w:lastRowFirstColumn="0" w:lastRowLastColumn="0"/>
            </w:pPr>
            <w:r>
              <w:t>2 235</w:t>
            </w:r>
          </w:p>
        </w:tc>
        <w:tc>
          <w:tcPr>
            <w:tcW w:w="964" w:type="dxa"/>
            <w:tcBorders>
              <w:bottom w:val="single" w:sz="6" w:space="0" w:color="auto"/>
            </w:tcBorders>
          </w:tcPr>
          <w:p w14:paraId="508D3496" w14:textId="77777777" w:rsidR="00824558" w:rsidRDefault="00824558">
            <w:pPr>
              <w:cnfStyle w:val="000000000000" w:firstRow="0" w:lastRow="0" w:firstColumn="0" w:lastColumn="0" w:oddVBand="0" w:evenVBand="0" w:oddHBand="0" w:evenHBand="0" w:firstRowFirstColumn="0" w:firstRowLastColumn="0" w:lastRowFirstColumn="0" w:lastRowLastColumn="0"/>
            </w:pPr>
            <w:r>
              <w:t>2 235</w:t>
            </w:r>
          </w:p>
        </w:tc>
        <w:tc>
          <w:tcPr>
            <w:tcW w:w="964" w:type="dxa"/>
            <w:tcBorders>
              <w:bottom w:val="single" w:sz="6" w:space="0" w:color="auto"/>
            </w:tcBorders>
          </w:tcPr>
          <w:p w14:paraId="54274C7C" w14:textId="77777777" w:rsidR="00824558" w:rsidRDefault="00824558">
            <w:pPr>
              <w:cnfStyle w:val="000000000000" w:firstRow="0" w:lastRow="0" w:firstColumn="0" w:lastColumn="0" w:oddVBand="0" w:evenVBand="0" w:oddHBand="0" w:evenHBand="0" w:firstRowFirstColumn="0" w:firstRowLastColumn="0" w:lastRowFirstColumn="0" w:lastRowLastColumn="0"/>
            </w:pPr>
            <w:r>
              <w:t>3 181</w:t>
            </w:r>
          </w:p>
        </w:tc>
      </w:tr>
      <w:tr w:rsidR="00824558" w14:paraId="141912CA"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6D9ECD33" w14:textId="77777777" w:rsidR="00824558" w:rsidRDefault="00824558">
            <w:pPr>
              <w:keepNext/>
              <w:ind w:left="170"/>
            </w:pPr>
            <w:r>
              <w:t>Attendances at State Library Victoria</w:t>
            </w:r>
          </w:p>
        </w:tc>
        <w:tc>
          <w:tcPr>
            <w:tcW w:w="964" w:type="dxa"/>
          </w:tcPr>
          <w:p w14:paraId="003303D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4025E45B" w14:textId="77777777" w:rsidR="00824558" w:rsidRDefault="00824558">
            <w:pPr>
              <w:cnfStyle w:val="000000000000" w:firstRow="0" w:lastRow="0" w:firstColumn="0" w:lastColumn="0" w:oddVBand="0" w:evenVBand="0" w:oddHBand="0" w:evenHBand="0" w:firstRowFirstColumn="0" w:firstRowLastColumn="0" w:lastRowFirstColumn="0" w:lastRowLastColumn="0"/>
            </w:pPr>
            <w:r>
              <w:t>2 250</w:t>
            </w:r>
          </w:p>
        </w:tc>
        <w:tc>
          <w:tcPr>
            <w:tcW w:w="964" w:type="dxa"/>
          </w:tcPr>
          <w:p w14:paraId="08B64DD5" w14:textId="77777777" w:rsidR="00824558" w:rsidRDefault="00824558">
            <w:pPr>
              <w:cnfStyle w:val="000000000000" w:firstRow="0" w:lastRow="0" w:firstColumn="0" w:lastColumn="0" w:oddVBand="0" w:evenVBand="0" w:oddHBand="0" w:evenHBand="0" w:firstRowFirstColumn="0" w:firstRowLastColumn="0" w:lastRowFirstColumn="0" w:lastRowLastColumn="0"/>
            </w:pPr>
            <w:r>
              <w:t>2 940</w:t>
            </w:r>
          </w:p>
        </w:tc>
        <w:tc>
          <w:tcPr>
            <w:tcW w:w="964" w:type="dxa"/>
          </w:tcPr>
          <w:p w14:paraId="54D48CEA" w14:textId="77777777" w:rsidR="00824558" w:rsidRDefault="00824558">
            <w:pPr>
              <w:cnfStyle w:val="000000000000" w:firstRow="0" w:lastRow="0" w:firstColumn="0" w:lastColumn="0" w:oddVBand="0" w:evenVBand="0" w:oddHBand="0" w:evenHBand="0" w:firstRowFirstColumn="0" w:firstRowLastColumn="0" w:lastRowFirstColumn="0" w:lastRowLastColumn="0"/>
            </w:pPr>
            <w:r>
              <w:t>2 250</w:t>
            </w:r>
          </w:p>
        </w:tc>
        <w:tc>
          <w:tcPr>
            <w:tcW w:w="964" w:type="dxa"/>
          </w:tcPr>
          <w:p w14:paraId="792ED11C" w14:textId="77777777" w:rsidR="00824558" w:rsidRDefault="00824558">
            <w:pPr>
              <w:cnfStyle w:val="000000000000" w:firstRow="0" w:lastRow="0" w:firstColumn="0" w:lastColumn="0" w:oddVBand="0" w:evenVBand="0" w:oddHBand="0" w:evenHBand="0" w:firstRowFirstColumn="0" w:firstRowLastColumn="0" w:lastRowFirstColumn="0" w:lastRowLastColumn="0"/>
            </w:pPr>
            <w:r>
              <w:t>2 818</w:t>
            </w:r>
          </w:p>
        </w:tc>
      </w:tr>
      <w:tr w:rsidR="00824558" w14:paraId="1425717E"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F28D5A" w14:textId="1F32BCD9" w:rsidR="00824558" w:rsidRDefault="00824558">
            <w:pPr>
              <w:ind w:left="170"/>
              <w:rPr>
                <w:i/>
              </w:rPr>
            </w:pPr>
            <w:r>
              <w:rPr>
                <w:i/>
              </w:rPr>
              <w:t xml:space="preserve">The </w:t>
            </w:r>
            <w:r w:rsidR="008F7A05">
              <w:rPr>
                <w:i/>
              </w:rPr>
              <w:t>2025-26</w:t>
            </w:r>
            <w:r>
              <w:rPr>
                <w:i/>
              </w:rPr>
              <w:t xml:space="preserve"> expected outcome is higher than the target due to growth in visitation and high demand for </w:t>
            </w:r>
            <w:r w:rsidRPr="4AB05FBC">
              <w:rPr>
                <w:i/>
                <w:iCs/>
              </w:rPr>
              <w:t>l</w:t>
            </w:r>
            <w:r>
              <w:rPr>
                <w:i/>
              </w:rPr>
              <w:t>ibrary services, exhibitions and programs.</w:t>
            </w:r>
          </w:p>
        </w:tc>
      </w:tr>
      <w:tr w:rsidR="00824558" w14:paraId="3A425C7B"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B7FA04C" w14:textId="77777777" w:rsidR="00824558" w:rsidRDefault="00824558">
            <w:pPr>
              <w:keepNext/>
              <w:ind w:left="170"/>
            </w:pPr>
            <w:r>
              <w:t>Direct Full-Time Equivalent (FTE) roles from production supported by VicScreen</w:t>
            </w:r>
          </w:p>
        </w:tc>
        <w:tc>
          <w:tcPr>
            <w:tcW w:w="964" w:type="dxa"/>
          </w:tcPr>
          <w:p w14:paraId="6A35864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26D6FF8" w14:textId="77777777" w:rsidR="00824558" w:rsidRDefault="00824558">
            <w:pPr>
              <w:cnfStyle w:val="000000000000" w:firstRow="0" w:lastRow="0" w:firstColumn="0" w:lastColumn="0" w:oddVBand="0" w:evenVBand="0" w:oddHBand="0" w:evenHBand="0" w:firstRowFirstColumn="0" w:firstRowLastColumn="0" w:lastRowFirstColumn="0" w:lastRowLastColumn="0"/>
            </w:pPr>
            <w:r>
              <w:t>1 625</w:t>
            </w:r>
          </w:p>
        </w:tc>
        <w:tc>
          <w:tcPr>
            <w:tcW w:w="964" w:type="dxa"/>
          </w:tcPr>
          <w:p w14:paraId="5B6D4194" w14:textId="77777777" w:rsidR="00824558" w:rsidRDefault="00824558">
            <w:pPr>
              <w:cnfStyle w:val="000000000000" w:firstRow="0" w:lastRow="0" w:firstColumn="0" w:lastColumn="0" w:oddVBand="0" w:evenVBand="0" w:oddHBand="0" w:evenHBand="0" w:firstRowFirstColumn="0" w:firstRowLastColumn="0" w:lastRowFirstColumn="0" w:lastRowLastColumn="0"/>
            </w:pPr>
            <w:r>
              <w:t>3 366</w:t>
            </w:r>
          </w:p>
        </w:tc>
        <w:tc>
          <w:tcPr>
            <w:tcW w:w="964" w:type="dxa"/>
          </w:tcPr>
          <w:p w14:paraId="0979A55C" w14:textId="77777777" w:rsidR="00824558" w:rsidRDefault="00824558">
            <w:pPr>
              <w:cnfStyle w:val="000000000000" w:firstRow="0" w:lastRow="0" w:firstColumn="0" w:lastColumn="0" w:oddVBand="0" w:evenVBand="0" w:oddHBand="0" w:evenHBand="0" w:firstRowFirstColumn="0" w:firstRowLastColumn="0" w:lastRowFirstColumn="0" w:lastRowLastColumn="0"/>
            </w:pPr>
            <w:r>
              <w:t>1 625</w:t>
            </w:r>
          </w:p>
        </w:tc>
        <w:tc>
          <w:tcPr>
            <w:tcW w:w="964" w:type="dxa"/>
          </w:tcPr>
          <w:p w14:paraId="1AC95EB1" w14:textId="77777777" w:rsidR="00824558" w:rsidRDefault="00824558">
            <w:pPr>
              <w:cnfStyle w:val="000000000000" w:firstRow="0" w:lastRow="0" w:firstColumn="0" w:lastColumn="0" w:oddVBand="0" w:evenVBand="0" w:oddHBand="0" w:evenHBand="0" w:firstRowFirstColumn="0" w:firstRowLastColumn="0" w:lastRowFirstColumn="0" w:lastRowLastColumn="0"/>
            </w:pPr>
            <w:r>
              <w:t>3 594</w:t>
            </w:r>
          </w:p>
        </w:tc>
      </w:tr>
      <w:tr w:rsidR="00824558" w14:paraId="790677ED"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EE2ACA8" w14:textId="68BC9944" w:rsidR="00824558" w:rsidRDefault="00824558">
            <w:pPr>
              <w:ind w:left="170"/>
            </w:pPr>
            <w:r>
              <w:rPr>
                <w:i/>
              </w:rPr>
              <w:t xml:space="preserve">The </w:t>
            </w:r>
            <w:r w:rsidR="008F7A05">
              <w:rPr>
                <w:i/>
              </w:rPr>
              <w:t>2025-26</w:t>
            </w:r>
            <w:r>
              <w:rPr>
                <w:i/>
              </w:rPr>
              <w:t xml:space="preserve"> expected outcome is higher than the target reflecting strong demand and return on investment from international productions on location in Victoria.</w:t>
            </w:r>
          </w:p>
        </w:tc>
      </w:tr>
      <w:tr w:rsidR="00824558" w14:paraId="216B1C01" w14:textId="77777777" w:rsidTr="006962D4">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0833C992" w14:textId="77777777" w:rsidR="00824558" w:rsidRDefault="00824558">
            <w:pPr>
              <w:keepNext/>
              <w:ind w:left="170"/>
            </w:pPr>
            <w:r>
              <w:t>Members and friends of agencies</w:t>
            </w:r>
          </w:p>
        </w:tc>
        <w:tc>
          <w:tcPr>
            <w:tcW w:w="964" w:type="dxa"/>
            <w:tcBorders>
              <w:bottom w:val="nil"/>
            </w:tcBorders>
          </w:tcPr>
          <w:p w14:paraId="45C88C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39D3445A" w14:textId="77777777" w:rsidR="00824558" w:rsidRDefault="00824558">
            <w:pPr>
              <w:cnfStyle w:val="000000000000" w:firstRow="0" w:lastRow="0" w:firstColumn="0" w:lastColumn="0" w:oddVBand="0" w:evenVBand="0" w:oddHBand="0" w:evenHBand="0" w:firstRowFirstColumn="0" w:firstRowLastColumn="0" w:lastRowFirstColumn="0" w:lastRowLastColumn="0"/>
            </w:pPr>
            <w:r>
              <w:t>50 000</w:t>
            </w:r>
          </w:p>
        </w:tc>
        <w:tc>
          <w:tcPr>
            <w:tcW w:w="964" w:type="dxa"/>
            <w:tcBorders>
              <w:bottom w:val="nil"/>
            </w:tcBorders>
          </w:tcPr>
          <w:p w14:paraId="78F20BE1" w14:textId="77777777" w:rsidR="00824558" w:rsidRDefault="00824558">
            <w:pPr>
              <w:cnfStyle w:val="000000000000" w:firstRow="0" w:lastRow="0" w:firstColumn="0" w:lastColumn="0" w:oddVBand="0" w:evenVBand="0" w:oddHBand="0" w:evenHBand="0" w:firstRowFirstColumn="0" w:firstRowLastColumn="0" w:lastRowFirstColumn="0" w:lastRowLastColumn="0"/>
            </w:pPr>
            <w:r>
              <w:t>53 207</w:t>
            </w:r>
          </w:p>
        </w:tc>
        <w:tc>
          <w:tcPr>
            <w:tcW w:w="964" w:type="dxa"/>
            <w:tcBorders>
              <w:bottom w:val="nil"/>
            </w:tcBorders>
          </w:tcPr>
          <w:p w14:paraId="78BEB91C" w14:textId="77777777" w:rsidR="00824558" w:rsidRDefault="00824558">
            <w:pPr>
              <w:cnfStyle w:val="000000000000" w:firstRow="0" w:lastRow="0" w:firstColumn="0" w:lastColumn="0" w:oddVBand="0" w:evenVBand="0" w:oddHBand="0" w:evenHBand="0" w:firstRowFirstColumn="0" w:firstRowLastColumn="0" w:lastRowFirstColumn="0" w:lastRowLastColumn="0"/>
            </w:pPr>
            <w:r>
              <w:t>50 000</w:t>
            </w:r>
          </w:p>
        </w:tc>
        <w:tc>
          <w:tcPr>
            <w:tcW w:w="964" w:type="dxa"/>
            <w:tcBorders>
              <w:bottom w:val="nil"/>
            </w:tcBorders>
          </w:tcPr>
          <w:p w14:paraId="47D06979" w14:textId="77777777" w:rsidR="00824558" w:rsidRDefault="00824558">
            <w:pPr>
              <w:cnfStyle w:val="000000000000" w:firstRow="0" w:lastRow="0" w:firstColumn="0" w:lastColumn="0" w:oddVBand="0" w:evenVBand="0" w:oddHBand="0" w:evenHBand="0" w:firstRowFirstColumn="0" w:firstRowLastColumn="0" w:lastRowFirstColumn="0" w:lastRowLastColumn="0"/>
            </w:pPr>
            <w:r>
              <w:t>54 614</w:t>
            </w:r>
          </w:p>
        </w:tc>
      </w:tr>
      <w:tr w:rsidR="00824558" w14:paraId="0CC1700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51E0C0F" w14:textId="0066CDC1" w:rsidR="00824558" w:rsidRDefault="00824558">
            <w:pPr>
              <w:ind w:left="170"/>
              <w:rPr>
                <w:i/>
              </w:rPr>
            </w:pPr>
            <w:r>
              <w:rPr>
                <w:i/>
              </w:rPr>
              <w:t xml:space="preserve">The </w:t>
            </w:r>
            <w:r w:rsidR="008F7A05">
              <w:rPr>
                <w:i/>
              </w:rPr>
              <w:t>2025-26</w:t>
            </w:r>
            <w:r>
              <w:rPr>
                <w:i/>
              </w:rPr>
              <w:t xml:space="preserve"> expected outcome is higher than the target due to growth in membership following a successful Melbourne Winter Masterpieces promotion.</w:t>
            </w:r>
          </w:p>
        </w:tc>
      </w:tr>
      <w:tr w:rsidR="00824558" w14:paraId="09EAEB53" w14:textId="77777777" w:rsidTr="006962D4">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73F4329B" w14:textId="77777777" w:rsidR="00824558" w:rsidRDefault="00824558">
            <w:pPr>
              <w:keepNext/>
              <w:ind w:left="170"/>
            </w:pPr>
            <w:r>
              <w:lastRenderedPageBreak/>
              <w:t>Students participating in agency education programs</w:t>
            </w:r>
          </w:p>
        </w:tc>
        <w:tc>
          <w:tcPr>
            <w:tcW w:w="964" w:type="dxa"/>
            <w:tcBorders>
              <w:top w:val="single" w:sz="6" w:space="0" w:color="auto"/>
              <w:bottom w:val="nil"/>
            </w:tcBorders>
          </w:tcPr>
          <w:p w14:paraId="7A4651A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nil"/>
            </w:tcBorders>
            <w:shd w:val="clear" w:color="auto" w:fill="F0F0F0"/>
          </w:tcPr>
          <w:p w14:paraId="76B667EC" w14:textId="77777777" w:rsidR="00824558" w:rsidRDefault="00824558">
            <w:pPr>
              <w:cnfStyle w:val="000000000000" w:firstRow="0" w:lastRow="0" w:firstColumn="0" w:lastColumn="0" w:oddVBand="0" w:evenVBand="0" w:oddHBand="0" w:evenHBand="0" w:firstRowFirstColumn="0" w:firstRowLastColumn="0" w:lastRowFirstColumn="0" w:lastRowLastColumn="0"/>
            </w:pPr>
            <w:r>
              <w:t>800 000</w:t>
            </w:r>
          </w:p>
        </w:tc>
        <w:tc>
          <w:tcPr>
            <w:tcW w:w="964" w:type="dxa"/>
            <w:tcBorders>
              <w:top w:val="single" w:sz="6" w:space="0" w:color="auto"/>
              <w:bottom w:val="nil"/>
            </w:tcBorders>
          </w:tcPr>
          <w:p w14:paraId="4EBDD23A" w14:textId="77777777" w:rsidR="00824558" w:rsidRDefault="00824558">
            <w:pPr>
              <w:cnfStyle w:val="000000000000" w:firstRow="0" w:lastRow="0" w:firstColumn="0" w:lastColumn="0" w:oddVBand="0" w:evenVBand="0" w:oddHBand="0" w:evenHBand="0" w:firstRowFirstColumn="0" w:firstRowLastColumn="0" w:lastRowFirstColumn="0" w:lastRowLastColumn="0"/>
            </w:pPr>
            <w:r>
              <w:t>913 500</w:t>
            </w:r>
          </w:p>
        </w:tc>
        <w:tc>
          <w:tcPr>
            <w:tcW w:w="964" w:type="dxa"/>
            <w:tcBorders>
              <w:top w:val="single" w:sz="6" w:space="0" w:color="auto"/>
              <w:bottom w:val="nil"/>
            </w:tcBorders>
          </w:tcPr>
          <w:p w14:paraId="6336E0E5" w14:textId="77777777" w:rsidR="00824558" w:rsidRDefault="00824558">
            <w:pPr>
              <w:cnfStyle w:val="000000000000" w:firstRow="0" w:lastRow="0" w:firstColumn="0" w:lastColumn="0" w:oddVBand="0" w:evenVBand="0" w:oddHBand="0" w:evenHBand="0" w:firstRowFirstColumn="0" w:firstRowLastColumn="0" w:lastRowFirstColumn="0" w:lastRowLastColumn="0"/>
            </w:pPr>
            <w:r>
              <w:t>550 000</w:t>
            </w:r>
          </w:p>
        </w:tc>
        <w:tc>
          <w:tcPr>
            <w:tcW w:w="964" w:type="dxa"/>
            <w:tcBorders>
              <w:top w:val="single" w:sz="6" w:space="0" w:color="auto"/>
              <w:bottom w:val="nil"/>
            </w:tcBorders>
          </w:tcPr>
          <w:p w14:paraId="4B5EABA0" w14:textId="77777777" w:rsidR="00824558" w:rsidRDefault="00824558">
            <w:pPr>
              <w:cnfStyle w:val="000000000000" w:firstRow="0" w:lastRow="0" w:firstColumn="0" w:lastColumn="0" w:oddVBand="0" w:evenVBand="0" w:oddHBand="0" w:evenHBand="0" w:firstRowFirstColumn="0" w:firstRowLastColumn="0" w:lastRowFirstColumn="0" w:lastRowLastColumn="0"/>
            </w:pPr>
            <w:r>
              <w:t>670 071</w:t>
            </w:r>
          </w:p>
        </w:tc>
      </w:tr>
      <w:tr w:rsidR="00824558" w14:paraId="1AC1FDBF" w14:textId="77777777" w:rsidTr="006962D4">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14528C99" w14:textId="630553DF" w:rsidR="00824558" w:rsidRDefault="00824558">
            <w:pPr>
              <w:ind w:left="170"/>
            </w:pPr>
            <w:r>
              <w:rPr>
                <w:i/>
              </w:rPr>
              <w:t xml:space="preserve">The </w:t>
            </w:r>
            <w:r w:rsidR="008F7A05">
              <w:rPr>
                <w:i/>
              </w:rPr>
              <w:t>2025-26</w:t>
            </w:r>
            <w:r>
              <w:rPr>
                <w:i/>
              </w:rPr>
              <w:t xml:space="preserve"> expected outcome is higher than the target due to strong participation in education programs delivered by ACMI, Museums Victoria, NGV and State Library Victoria, and Museums Victoria</w:t>
            </w:r>
            <w:r w:rsidR="007942D1">
              <w:rPr>
                <w:i/>
              </w:rPr>
              <w:t>’</w:t>
            </w:r>
            <w:r>
              <w:rPr>
                <w:i/>
              </w:rPr>
              <w:t>s application of an updated counting methodology.</w:t>
            </w:r>
          </w:p>
          <w:p w14:paraId="3DE87AF6" w14:textId="77777777" w:rsidR="00824558" w:rsidRDefault="00824558">
            <w:pPr>
              <w:ind w:left="170"/>
            </w:pPr>
            <w:r>
              <w:rPr>
                <w:i/>
              </w:rPr>
              <w:t>The higher 2026-27 target is due to revised reporting methodology to better capture online participation.</w:t>
            </w:r>
          </w:p>
        </w:tc>
      </w:tr>
      <w:tr w:rsidR="00824558" w14:paraId="27D3F085"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F303BB7" w14:textId="77777777" w:rsidR="00824558" w:rsidRDefault="00824558">
            <w:pPr>
              <w:keepNext/>
              <w:ind w:left="170"/>
            </w:pPr>
            <w:r>
              <w:t>Value of film, television and digital media production supported by VicScreen</w:t>
            </w:r>
          </w:p>
        </w:tc>
        <w:tc>
          <w:tcPr>
            <w:tcW w:w="964" w:type="dxa"/>
          </w:tcPr>
          <w:p w14:paraId="186F9F3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D3BE29E" w14:textId="77777777" w:rsidR="00824558" w:rsidRDefault="00824558">
            <w:pPr>
              <w:cnfStyle w:val="000000000000" w:firstRow="0" w:lastRow="0" w:firstColumn="0" w:lastColumn="0" w:oddVBand="0" w:evenVBand="0" w:oddHBand="0" w:evenHBand="0" w:firstRowFirstColumn="0" w:firstRowLastColumn="0" w:lastRowFirstColumn="0" w:lastRowLastColumn="0"/>
            </w:pPr>
            <w:r>
              <w:t>278</w:t>
            </w:r>
          </w:p>
        </w:tc>
        <w:tc>
          <w:tcPr>
            <w:tcW w:w="964" w:type="dxa"/>
          </w:tcPr>
          <w:p w14:paraId="4D716E83" w14:textId="77777777" w:rsidR="00824558" w:rsidRDefault="00824558">
            <w:pPr>
              <w:cnfStyle w:val="000000000000" w:firstRow="0" w:lastRow="0" w:firstColumn="0" w:lastColumn="0" w:oddVBand="0" w:evenVBand="0" w:oddHBand="0" w:evenHBand="0" w:firstRowFirstColumn="0" w:firstRowLastColumn="0" w:lastRowFirstColumn="0" w:lastRowLastColumn="0"/>
            </w:pPr>
            <w:r>
              <w:t>440</w:t>
            </w:r>
          </w:p>
        </w:tc>
        <w:tc>
          <w:tcPr>
            <w:tcW w:w="964" w:type="dxa"/>
          </w:tcPr>
          <w:p w14:paraId="13A96A63" w14:textId="77777777" w:rsidR="00824558" w:rsidRDefault="00824558">
            <w:pPr>
              <w:cnfStyle w:val="000000000000" w:firstRow="0" w:lastRow="0" w:firstColumn="0" w:lastColumn="0" w:oddVBand="0" w:evenVBand="0" w:oddHBand="0" w:evenHBand="0" w:firstRowFirstColumn="0" w:firstRowLastColumn="0" w:lastRowFirstColumn="0" w:lastRowLastColumn="0"/>
            </w:pPr>
            <w:r>
              <w:t>278</w:t>
            </w:r>
          </w:p>
        </w:tc>
        <w:tc>
          <w:tcPr>
            <w:tcW w:w="964" w:type="dxa"/>
          </w:tcPr>
          <w:p w14:paraId="656326CA" w14:textId="77777777" w:rsidR="00824558" w:rsidRDefault="00824558">
            <w:pPr>
              <w:cnfStyle w:val="000000000000" w:firstRow="0" w:lastRow="0" w:firstColumn="0" w:lastColumn="0" w:oddVBand="0" w:evenVBand="0" w:oddHBand="0" w:evenHBand="0" w:firstRowFirstColumn="0" w:firstRowLastColumn="0" w:lastRowFirstColumn="0" w:lastRowLastColumn="0"/>
            </w:pPr>
            <w:r>
              <w:t>502</w:t>
            </w:r>
          </w:p>
        </w:tc>
      </w:tr>
      <w:tr w:rsidR="00824558" w14:paraId="1FFE16D2"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BEEFB1" w14:textId="198A0BF6" w:rsidR="00824558" w:rsidRDefault="00824558">
            <w:pPr>
              <w:ind w:left="170"/>
            </w:pPr>
            <w:r>
              <w:rPr>
                <w:i/>
              </w:rPr>
              <w:t xml:space="preserve">The </w:t>
            </w:r>
            <w:r w:rsidR="008F7A05">
              <w:rPr>
                <w:i/>
              </w:rPr>
              <w:t>2025-26</w:t>
            </w:r>
            <w:r>
              <w:rPr>
                <w:i/>
              </w:rPr>
              <w:t xml:space="preserve"> expected outcome is higher than the target reflecting strong demand and return on investment from international productions on location in Victoria.</w:t>
            </w:r>
          </w:p>
        </w:tc>
      </w:tr>
      <w:tr w:rsidR="00824558" w14:paraId="730DFDCB"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1BE2EA2" w14:textId="77777777" w:rsidR="00824558" w:rsidRDefault="00824558">
            <w:pPr>
              <w:keepNext/>
              <w:ind w:left="170"/>
            </w:pPr>
            <w:r>
              <w:t>Volunteer hours</w:t>
            </w:r>
          </w:p>
        </w:tc>
        <w:tc>
          <w:tcPr>
            <w:tcW w:w="964" w:type="dxa"/>
          </w:tcPr>
          <w:p w14:paraId="280FED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615EEBD" w14:textId="77777777" w:rsidR="00824558" w:rsidRDefault="00824558">
            <w:pPr>
              <w:cnfStyle w:val="000000000000" w:firstRow="0" w:lastRow="0" w:firstColumn="0" w:lastColumn="0" w:oddVBand="0" w:evenVBand="0" w:oddHBand="0" w:evenHBand="0" w:firstRowFirstColumn="0" w:firstRowLastColumn="0" w:lastRowFirstColumn="0" w:lastRowLastColumn="0"/>
            </w:pPr>
            <w:r>
              <w:t>55 000</w:t>
            </w:r>
          </w:p>
        </w:tc>
        <w:tc>
          <w:tcPr>
            <w:tcW w:w="964" w:type="dxa"/>
          </w:tcPr>
          <w:p w14:paraId="1274697B" w14:textId="77777777" w:rsidR="00824558" w:rsidRDefault="00824558">
            <w:pPr>
              <w:cnfStyle w:val="000000000000" w:firstRow="0" w:lastRow="0" w:firstColumn="0" w:lastColumn="0" w:oddVBand="0" w:evenVBand="0" w:oddHBand="0" w:evenHBand="0" w:firstRowFirstColumn="0" w:firstRowLastColumn="0" w:lastRowFirstColumn="0" w:lastRowLastColumn="0"/>
            </w:pPr>
            <w:r>
              <w:t>60 194</w:t>
            </w:r>
          </w:p>
        </w:tc>
        <w:tc>
          <w:tcPr>
            <w:tcW w:w="964" w:type="dxa"/>
          </w:tcPr>
          <w:p w14:paraId="16FF5C97" w14:textId="77777777" w:rsidR="00824558" w:rsidRDefault="00824558">
            <w:pPr>
              <w:cnfStyle w:val="000000000000" w:firstRow="0" w:lastRow="0" w:firstColumn="0" w:lastColumn="0" w:oddVBand="0" w:evenVBand="0" w:oddHBand="0" w:evenHBand="0" w:firstRowFirstColumn="0" w:firstRowLastColumn="0" w:lastRowFirstColumn="0" w:lastRowLastColumn="0"/>
            </w:pPr>
            <w:r>
              <w:t>55 000</w:t>
            </w:r>
          </w:p>
        </w:tc>
        <w:tc>
          <w:tcPr>
            <w:tcW w:w="964" w:type="dxa"/>
          </w:tcPr>
          <w:p w14:paraId="5D8FDC94" w14:textId="77777777" w:rsidR="00824558" w:rsidRDefault="00824558">
            <w:pPr>
              <w:cnfStyle w:val="000000000000" w:firstRow="0" w:lastRow="0" w:firstColumn="0" w:lastColumn="0" w:oddVBand="0" w:evenVBand="0" w:oddHBand="0" w:evenHBand="0" w:firstRowFirstColumn="0" w:firstRowLastColumn="0" w:lastRowFirstColumn="0" w:lastRowLastColumn="0"/>
            </w:pPr>
            <w:r>
              <w:t>66 816</w:t>
            </w:r>
          </w:p>
        </w:tc>
      </w:tr>
      <w:tr w:rsidR="00824558" w14:paraId="55AF81D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ACE4164" w14:textId="524B9545" w:rsidR="00824558" w:rsidRDefault="00824558">
            <w:pPr>
              <w:ind w:left="170"/>
            </w:pPr>
            <w:r>
              <w:rPr>
                <w:i/>
              </w:rPr>
              <w:t xml:space="preserve">The </w:t>
            </w:r>
            <w:r w:rsidR="008F7A05">
              <w:rPr>
                <w:i/>
              </w:rPr>
              <w:t>2025-26</w:t>
            </w:r>
            <w:r>
              <w:rPr>
                <w:i/>
              </w:rPr>
              <w:t xml:space="preserve"> expected outcome is higher than the target reflecting increased level of volunteer hours related to program delivery at NGV and ACMI.</w:t>
            </w:r>
          </w:p>
        </w:tc>
      </w:tr>
      <w:tr w:rsidR="00824558" w:rsidRPr="00A9225F" w14:paraId="569DAB1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49157105" w14:textId="77777777" w:rsidR="00824558" w:rsidRPr="00A9225F" w:rsidRDefault="00824558">
            <w:pPr>
              <w:keepNext/>
              <w:rPr>
                <w:b/>
                <w:bCs/>
                <w:iCs/>
              </w:rPr>
            </w:pPr>
            <w:r w:rsidRPr="00A9225F">
              <w:rPr>
                <w:b/>
                <w:bCs/>
                <w:iCs/>
              </w:rPr>
              <w:t>Quality</w:t>
            </w:r>
          </w:p>
        </w:tc>
      </w:tr>
      <w:tr w:rsidR="00824558" w14:paraId="23E98BA7"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9B8E512" w14:textId="77777777" w:rsidR="00824558" w:rsidRDefault="00824558">
            <w:pPr>
              <w:ind w:left="170"/>
            </w:pPr>
            <w:r>
              <w:t>Agency collections storage meeting industry standard</w:t>
            </w:r>
          </w:p>
        </w:tc>
        <w:tc>
          <w:tcPr>
            <w:tcW w:w="964" w:type="dxa"/>
            <w:tcBorders>
              <w:bottom w:val="single" w:sz="6" w:space="0" w:color="auto"/>
            </w:tcBorders>
          </w:tcPr>
          <w:p w14:paraId="4538D65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08338D9"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352898A0"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71740A03"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0BB117C5"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r>
      <w:tr w:rsidR="00824558" w14:paraId="526D0FEB"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19F4A27" w14:textId="77777777" w:rsidR="00824558" w:rsidRDefault="00824558">
            <w:pPr>
              <w:ind w:left="170"/>
            </w:pPr>
            <w:r>
              <w:t>Visitors satisfied with visit: Arts Centre Melbourne</w:t>
            </w:r>
          </w:p>
        </w:tc>
        <w:tc>
          <w:tcPr>
            <w:tcW w:w="964" w:type="dxa"/>
            <w:tcBorders>
              <w:bottom w:val="single" w:sz="6" w:space="0" w:color="auto"/>
            </w:tcBorders>
          </w:tcPr>
          <w:p w14:paraId="66EC94C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D13A11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5185F5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30ED1A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A8E5C05"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290406CE"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D089DFC" w14:textId="77777777" w:rsidR="00824558" w:rsidRDefault="00824558">
            <w:pPr>
              <w:ind w:left="170"/>
            </w:pPr>
            <w:r>
              <w:t>Visitors satisfied with visit: Australian Centre for the Moving Image</w:t>
            </w:r>
          </w:p>
        </w:tc>
        <w:tc>
          <w:tcPr>
            <w:tcW w:w="964" w:type="dxa"/>
            <w:tcBorders>
              <w:bottom w:val="single" w:sz="6" w:space="0" w:color="auto"/>
            </w:tcBorders>
          </w:tcPr>
          <w:p w14:paraId="0EA1B0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C0883A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DAFC66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B5B5FB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B73EACF"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4AA4EAA0"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A85CD34" w14:textId="77777777" w:rsidR="00824558" w:rsidRDefault="00824558">
            <w:pPr>
              <w:ind w:left="170"/>
            </w:pPr>
            <w:r>
              <w:t>Visitors satisfied with visit: Geelong Arts Centre</w:t>
            </w:r>
          </w:p>
        </w:tc>
        <w:tc>
          <w:tcPr>
            <w:tcW w:w="964" w:type="dxa"/>
            <w:tcBorders>
              <w:bottom w:val="single" w:sz="6" w:space="0" w:color="auto"/>
            </w:tcBorders>
          </w:tcPr>
          <w:p w14:paraId="1A1DF8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AD2C0E2"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23E600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DF7337A"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4F7EB2F9"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777EC09D"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3C9D2BE" w14:textId="77777777" w:rsidR="00824558" w:rsidRDefault="00824558">
            <w:pPr>
              <w:ind w:left="170"/>
            </w:pPr>
            <w:r>
              <w:t>Visitors satisfied with visit: Melbourne Recital Centre</w:t>
            </w:r>
          </w:p>
        </w:tc>
        <w:tc>
          <w:tcPr>
            <w:tcW w:w="964" w:type="dxa"/>
            <w:tcBorders>
              <w:bottom w:val="single" w:sz="6" w:space="0" w:color="auto"/>
            </w:tcBorders>
          </w:tcPr>
          <w:p w14:paraId="60A69B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2BA1D8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90AE8B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28E318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4101192"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371E33F8"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4B0382D" w14:textId="77777777" w:rsidR="00824558" w:rsidRDefault="00824558">
            <w:pPr>
              <w:ind w:left="170"/>
            </w:pPr>
            <w:r>
              <w:t>Visitors satisfied with visit: Museums Victoria</w:t>
            </w:r>
          </w:p>
        </w:tc>
        <w:tc>
          <w:tcPr>
            <w:tcW w:w="964" w:type="dxa"/>
            <w:tcBorders>
              <w:bottom w:val="single" w:sz="6" w:space="0" w:color="auto"/>
            </w:tcBorders>
          </w:tcPr>
          <w:p w14:paraId="0767FAF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B14207D"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0E2F22D2"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415789BC"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564BDB05"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14:paraId="30345A9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CBC932D" w14:textId="77777777" w:rsidR="00824558" w:rsidRDefault="00824558">
            <w:pPr>
              <w:ind w:left="170"/>
            </w:pPr>
            <w:r>
              <w:t>Visitors satisfied with visit: National Gallery of Victoria</w:t>
            </w:r>
          </w:p>
        </w:tc>
        <w:tc>
          <w:tcPr>
            <w:tcW w:w="964" w:type="dxa"/>
            <w:tcBorders>
              <w:bottom w:val="single" w:sz="6" w:space="0" w:color="auto"/>
            </w:tcBorders>
          </w:tcPr>
          <w:p w14:paraId="0966F64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E029580"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42E209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8A46F6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752D7FA"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754690B0"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6383A18D" w14:textId="77777777" w:rsidR="00824558" w:rsidRDefault="00824558">
            <w:pPr>
              <w:ind w:left="170"/>
            </w:pPr>
            <w:r>
              <w:t>Visitors satisfied with visit: State Library Victoria</w:t>
            </w:r>
          </w:p>
        </w:tc>
        <w:tc>
          <w:tcPr>
            <w:tcW w:w="964" w:type="dxa"/>
            <w:tcBorders>
              <w:top w:val="single" w:sz="6" w:space="0" w:color="auto"/>
              <w:bottom w:val="single" w:sz="6" w:space="0" w:color="auto"/>
            </w:tcBorders>
          </w:tcPr>
          <w:p w14:paraId="4BD98A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73A2EFA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4CD1628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17BE25D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74BF986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12290E" w:rsidRPr="00DC0EBC" w14:paraId="216B456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3BB4C80C" w14:textId="77777777" w:rsidR="0012290E" w:rsidRPr="00DC0EBC" w:rsidRDefault="0012290E">
            <w:pPr>
              <w:keepNext/>
              <w:rPr>
                <w:b/>
              </w:rPr>
            </w:pPr>
            <w:r w:rsidRPr="00DC0EBC">
              <w:rPr>
                <w:b/>
              </w:rPr>
              <w:t>Cost</w:t>
            </w:r>
          </w:p>
        </w:tc>
      </w:tr>
      <w:tr w:rsidR="00B170E7" w14:paraId="2B354C97" w14:textId="77777777" w:rsidTr="00B170E7">
        <w:tc>
          <w:tcPr>
            <w:cnfStyle w:val="001000000000" w:firstRow="0" w:lastRow="0" w:firstColumn="1" w:lastColumn="0" w:oddVBand="0" w:evenVBand="0" w:oddHBand="0" w:evenHBand="0" w:firstRowFirstColumn="0" w:firstRowLastColumn="0" w:lastRowFirstColumn="0" w:lastRowLastColumn="0"/>
            <w:tcW w:w="4819" w:type="dxa"/>
          </w:tcPr>
          <w:p w14:paraId="2B537B55" w14:textId="77777777" w:rsidR="00B170E7" w:rsidRDefault="00B170E7" w:rsidP="00B170E7">
            <w:pPr>
              <w:keepNext/>
              <w:ind w:left="170"/>
            </w:pPr>
            <w:r>
              <w:t>Total output cost</w:t>
            </w:r>
          </w:p>
        </w:tc>
        <w:tc>
          <w:tcPr>
            <w:tcW w:w="964" w:type="dxa"/>
          </w:tcPr>
          <w:p w14:paraId="3CAF34B6" w14:textId="77777777" w:rsidR="00B170E7" w:rsidRDefault="00B170E7" w:rsidP="00B170E7">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2885F2E0" w14:textId="399DCB4F" w:rsidR="00B170E7" w:rsidRPr="004D0078" w:rsidRDefault="00B170E7" w:rsidP="00B170E7">
            <w:pPr>
              <w:cnfStyle w:val="000000000000" w:firstRow="0" w:lastRow="0" w:firstColumn="0" w:lastColumn="0" w:oddVBand="0" w:evenVBand="0" w:oddHBand="0" w:evenHBand="0" w:firstRowFirstColumn="0" w:firstRowLastColumn="0" w:lastRowFirstColumn="0" w:lastRowLastColumn="0"/>
              <w:rPr>
                <w:highlight w:val="yellow"/>
              </w:rPr>
            </w:pPr>
            <w:r>
              <w:t>502.3</w:t>
            </w:r>
          </w:p>
        </w:tc>
        <w:tc>
          <w:tcPr>
            <w:tcW w:w="964" w:type="dxa"/>
          </w:tcPr>
          <w:p w14:paraId="35C33D2A" w14:textId="4C5C058E" w:rsidR="00B170E7" w:rsidRPr="004D0078" w:rsidRDefault="00B170E7" w:rsidP="00B170E7">
            <w:pPr>
              <w:cnfStyle w:val="000000000000" w:firstRow="0" w:lastRow="0" w:firstColumn="0" w:lastColumn="0" w:oddVBand="0" w:evenVBand="0" w:oddHBand="0" w:evenHBand="0" w:firstRowFirstColumn="0" w:firstRowLastColumn="0" w:lastRowFirstColumn="0" w:lastRowLastColumn="0"/>
              <w:rPr>
                <w:highlight w:val="yellow"/>
              </w:rPr>
            </w:pPr>
            <w:r>
              <w:t>520.5</w:t>
            </w:r>
          </w:p>
        </w:tc>
        <w:tc>
          <w:tcPr>
            <w:tcW w:w="964" w:type="dxa"/>
          </w:tcPr>
          <w:p w14:paraId="1E0E3A2B" w14:textId="299BABC4" w:rsidR="00B170E7" w:rsidRPr="004D0078" w:rsidRDefault="00B170E7" w:rsidP="00B170E7">
            <w:pPr>
              <w:cnfStyle w:val="000000000000" w:firstRow="0" w:lastRow="0" w:firstColumn="0" w:lastColumn="0" w:oddVBand="0" w:evenVBand="0" w:oddHBand="0" w:evenHBand="0" w:firstRowFirstColumn="0" w:firstRowLastColumn="0" w:lastRowFirstColumn="0" w:lastRowLastColumn="0"/>
              <w:rPr>
                <w:highlight w:val="yellow"/>
              </w:rPr>
            </w:pPr>
            <w:r>
              <w:t>471.5</w:t>
            </w:r>
          </w:p>
        </w:tc>
        <w:tc>
          <w:tcPr>
            <w:tcW w:w="964" w:type="dxa"/>
          </w:tcPr>
          <w:p w14:paraId="22DA4928" w14:textId="6A620608" w:rsidR="00B170E7" w:rsidRPr="004D0078" w:rsidRDefault="00B170E7" w:rsidP="00B170E7">
            <w:pPr>
              <w:cnfStyle w:val="000000000000" w:firstRow="0" w:lastRow="0" w:firstColumn="0" w:lastColumn="0" w:oddVBand="0" w:evenVBand="0" w:oddHBand="0" w:evenHBand="0" w:firstRowFirstColumn="0" w:firstRowLastColumn="0" w:lastRowFirstColumn="0" w:lastRowLastColumn="0"/>
              <w:rPr>
                <w:highlight w:val="yellow"/>
              </w:rPr>
            </w:pPr>
            <w:r>
              <w:t>530.0</w:t>
            </w:r>
          </w:p>
        </w:tc>
      </w:tr>
      <w:tr w:rsidR="00B170E7" w14:paraId="6E388A4E" w14:textId="77777777" w:rsidTr="00B170E7">
        <w:tc>
          <w:tcPr>
            <w:cnfStyle w:val="001000000000" w:firstRow="0" w:lastRow="0" w:firstColumn="1" w:lastColumn="0" w:oddVBand="0" w:evenVBand="0" w:oddHBand="0" w:evenHBand="0" w:firstRowFirstColumn="0" w:firstRowLastColumn="0" w:lastRowFirstColumn="0" w:lastRowLastColumn="0"/>
            <w:tcW w:w="9639" w:type="dxa"/>
            <w:gridSpan w:val="6"/>
          </w:tcPr>
          <w:p w14:paraId="7653217C" w14:textId="18B8EF66" w:rsidR="00B170E7" w:rsidRPr="00A96EED" w:rsidRDefault="00A96EED" w:rsidP="00FF3C65">
            <w:pPr>
              <w:keepNext/>
              <w:ind w:left="170"/>
              <w:rPr>
                <w:i/>
                <w:iCs/>
              </w:rPr>
            </w:pPr>
            <w:r w:rsidRPr="007A7845">
              <w:rPr>
                <w:i/>
                <w:iCs/>
              </w:rPr>
              <w:t xml:space="preserve">The 2026-27 target is higher than 2025-26 target primarily due to additional funding for </w:t>
            </w:r>
            <w:r w:rsidRPr="1CD3B3E4">
              <w:rPr>
                <w:i/>
                <w:iCs/>
              </w:rPr>
              <w:t xml:space="preserve">some </w:t>
            </w:r>
            <w:r w:rsidRPr="007A7845">
              <w:rPr>
                <w:i/>
                <w:iCs/>
              </w:rPr>
              <w:t>Creative Industries portfolio agencies.</w:t>
            </w:r>
          </w:p>
        </w:tc>
      </w:tr>
      <w:tr w:rsidR="00B170E7" w14:paraId="336B862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9155BB2" w14:textId="2BAB72D2" w:rsidR="00B170E7" w:rsidRPr="00882F0E" w:rsidRDefault="00882F0E" w:rsidP="00882F0E">
            <w:pPr>
              <w:ind w:left="170"/>
              <w:rPr>
                <w:i/>
                <w:iCs/>
              </w:rPr>
            </w:pPr>
            <w:r w:rsidRPr="008D549D">
              <w:rPr>
                <w:i/>
                <w:iCs/>
              </w:rPr>
              <w:t xml:space="preserve">The 2025-26 expected outcome is higher than the 2025-26 target primarily due to the release of amounts held in contingency for portfolio agencies. </w:t>
            </w:r>
          </w:p>
        </w:tc>
      </w:tr>
    </w:tbl>
    <w:p w14:paraId="2F29B815" w14:textId="77777777" w:rsidR="00824558" w:rsidRDefault="00824558">
      <w:pPr>
        <w:pStyle w:val="Source"/>
      </w:pPr>
      <w:r>
        <w:t>Source: Department of Jobs, Skills, Industry and Regions</w:t>
      </w:r>
    </w:p>
    <w:p w14:paraId="6E87D91D" w14:textId="585BEE48" w:rsidR="00824558" w:rsidRDefault="00824558">
      <w:pPr>
        <w:pStyle w:val="Heading3"/>
      </w:pPr>
      <w:r>
        <w:t>Cultural Infrastructure and Facilities</w:t>
      </w:r>
      <w:r>
        <w:tab/>
        <w:t>(2026-27: $</w:t>
      </w:r>
      <w:r w:rsidR="008C70C1">
        <w:t>77.0</w:t>
      </w:r>
      <w:r>
        <w:t xml:space="preserve"> million)</w:t>
      </w:r>
    </w:p>
    <w:p w14:paraId="6CA1256B" w14:textId="77777777" w:rsidR="00824558" w:rsidRPr="002A1D63" w:rsidRDefault="00824558">
      <w:pPr>
        <w:keepNext/>
        <w:tabs>
          <w:tab w:val="right" w:pos="7711"/>
        </w:tabs>
        <w:spacing w:after="120"/>
        <w:rPr>
          <w:rFonts w:ascii="Calibri" w:eastAsia="MS Gothic" w:hAnsi="Calibri"/>
          <w:b/>
          <w:sz w:val="23"/>
        </w:rPr>
      </w:pPr>
      <w:r w:rsidRPr="00016BB9">
        <w:rPr>
          <w:rFonts w:ascii="Garamond" w:eastAsia="Garamond" w:hAnsi="Garamond"/>
        </w:rPr>
        <w:t>This output supports Victorian cultural venues and State-owned facilities through strategic assessment and provision of advice on portfolio infrastructure proposals and projects. The output includes consolidation of portfolio asset management plans and management of funding programs for maintenance and minor capital works.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A737D14"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D256BAF" w14:textId="77777777" w:rsidR="00824558" w:rsidRDefault="00824558">
            <w:r>
              <w:t>Performance measure</w:t>
            </w:r>
          </w:p>
        </w:tc>
        <w:tc>
          <w:tcPr>
            <w:tcW w:w="964" w:type="dxa"/>
          </w:tcPr>
          <w:p w14:paraId="1FA1157B"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1C1E1B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5FD98C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CDBD07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7D8FD2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68B64CA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6B925AE7" w14:textId="77777777" w:rsidR="00824558" w:rsidRPr="00A9225F" w:rsidRDefault="00824558">
            <w:pPr>
              <w:keepNext/>
              <w:rPr>
                <w:b/>
                <w:bCs/>
                <w:iCs/>
              </w:rPr>
            </w:pPr>
            <w:r w:rsidRPr="00A9225F">
              <w:rPr>
                <w:b/>
                <w:bCs/>
                <w:iCs/>
              </w:rPr>
              <w:t>Quantity</w:t>
            </w:r>
          </w:p>
        </w:tc>
      </w:tr>
      <w:tr w:rsidR="00824558" w14:paraId="3861FEA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4A84CF5" w14:textId="77777777" w:rsidR="00824558" w:rsidRDefault="00824558">
            <w:pPr>
              <w:ind w:left="170"/>
            </w:pPr>
            <w:r>
              <w:t>All facility safety audits conducted</w:t>
            </w:r>
          </w:p>
        </w:tc>
        <w:tc>
          <w:tcPr>
            <w:tcW w:w="964" w:type="dxa"/>
            <w:tcBorders>
              <w:bottom w:val="single" w:sz="6" w:space="0" w:color="auto"/>
            </w:tcBorders>
          </w:tcPr>
          <w:p w14:paraId="379D311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47204C5" w14:textId="77777777" w:rsidR="00824558" w:rsidRDefault="00824558">
            <w:pPr>
              <w:cnfStyle w:val="000000000000" w:firstRow="0" w:lastRow="0" w:firstColumn="0" w:lastColumn="0" w:oddVBand="0" w:evenVBand="0" w:oddHBand="0" w:evenHBand="0" w:firstRowFirstColumn="0" w:firstRowLastColumn="0" w:lastRowFirstColumn="0" w:lastRowLastColumn="0"/>
            </w:pPr>
            <w:r>
              <w:t>17</w:t>
            </w:r>
          </w:p>
        </w:tc>
        <w:tc>
          <w:tcPr>
            <w:tcW w:w="964" w:type="dxa"/>
            <w:tcBorders>
              <w:bottom w:val="single" w:sz="6" w:space="0" w:color="auto"/>
            </w:tcBorders>
          </w:tcPr>
          <w:p w14:paraId="452DCE3C" w14:textId="77777777" w:rsidR="00824558" w:rsidRDefault="00824558">
            <w:pPr>
              <w:cnfStyle w:val="000000000000" w:firstRow="0" w:lastRow="0" w:firstColumn="0" w:lastColumn="0" w:oddVBand="0" w:evenVBand="0" w:oddHBand="0" w:evenHBand="0" w:firstRowFirstColumn="0" w:firstRowLastColumn="0" w:lastRowFirstColumn="0" w:lastRowLastColumn="0"/>
            </w:pPr>
            <w:r>
              <w:t>17</w:t>
            </w:r>
          </w:p>
        </w:tc>
        <w:tc>
          <w:tcPr>
            <w:tcW w:w="964" w:type="dxa"/>
            <w:tcBorders>
              <w:bottom w:val="single" w:sz="6" w:space="0" w:color="auto"/>
            </w:tcBorders>
          </w:tcPr>
          <w:p w14:paraId="094DB761" w14:textId="77777777" w:rsidR="00824558" w:rsidRDefault="00824558">
            <w:pPr>
              <w:cnfStyle w:val="000000000000" w:firstRow="0" w:lastRow="0" w:firstColumn="0" w:lastColumn="0" w:oddVBand="0" w:evenVBand="0" w:oddHBand="0" w:evenHBand="0" w:firstRowFirstColumn="0" w:firstRowLastColumn="0" w:lastRowFirstColumn="0" w:lastRowLastColumn="0"/>
            </w:pPr>
            <w:r>
              <w:t>17</w:t>
            </w:r>
          </w:p>
        </w:tc>
        <w:tc>
          <w:tcPr>
            <w:tcW w:w="964" w:type="dxa"/>
            <w:tcBorders>
              <w:bottom w:val="single" w:sz="6" w:space="0" w:color="auto"/>
            </w:tcBorders>
          </w:tcPr>
          <w:p w14:paraId="0580C714"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r>
      <w:tr w:rsidR="00824558" w14:paraId="0903BB13"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272B225" w14:textId="77777777" w:rsidR="00824558" w:rsidRDefault="00824558">
            <w:pPr>
              <w:keepNext/>
              <w:ind w:left="170"/>
            </w:pPr>
            <w:r>
              <w:t>Infrastructure development projects underway</w:t>
            </w:r>
          </w:p>
        </w:tc>
        <w:tc>
          <w:tcPr>
            <w:tcW w:w="964" w:type="dxa"/>
          </w:tcPr>
          <w:p w14:paraId="252903B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18162BF"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4BB6013E"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205A88C8"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4C3E31A7"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r>
      <w:tr w:rsidR="00824558" w14:paraId="1697A02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F2C6E7D" w14:textId="77777777" w:rsidR="00824558" w:rsidRDefault="00824558">
            <w:pPr>
              <w:ind w:left="170"/>
            </w:pPr>
            <w:r>
              <w:rPr>
                <w:i/>
              </w:rPr>
              <w:t>The lower 2026-27 target reflects the completion of infrastructure projects.</w:t>
            </w:r>
          </w:p>
        </w:tc>
      </w:tr>
      <w:tr w:rsidR="00824558" w:rsidRPr="00A9225F" w14:paraId="4822495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51E7E3FD" w14:textId="77777777" w:rsidR="00824558" w:rsidRPr="00A9225F" w:rsidRDefault="00824558">
            <w:pPr>
              <w:keepNext/>
              <w:rPr>
                <w:b/>
                <w:bCs/>
                <w:iCs/>
              </w:rPr>
            </w:pPr>
            <w:r w:rsidRPr="00A9225F">
              <w:rPr>
                <w:b/>
                <w:bCs/>
                <w:iCs/>
              </w:rPr>
              <w:t>Quality</w:t>
            </w:r>
          </w:p>
        </w:tc>
      </w:tr>
      <w:tr w:rsidR="00824558" w14:paraId="7E5DCAF0" w14:textId="77777777" w:rsidTr="008F0702">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6653034" w14:textId="77777777" w:rsidR="00824558" w:rsidRDefault="00824558">
            <w:pPr>
              <w:keepNext/>
              <w:ind w:left="170"/>
            </w:pPr>
            <w:r>
              <w:t>State-owned tenanted cultural facilities maintained to agreed service standards</w:t>
            </w:r>
          </w:p>
        </w:tc>
        <w:tc>
          <w:tcPr>
            <w:tcW w:w="964" w:type="dxa"/>
            <w:tcBorders>
              <w:bottom w:val="single" w:sz="6" w:space="0" w:color="auto"/>
            </w:tcBorders>
          </w:tcPr>
          <w:p w14:paraId="52F7164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C1F78E3"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0E6D9268"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1C964FA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4D7AE2DB" w14:textId="77777777" w:rsidR="00824558" w:rsidRDefault="00824558">
            <w:pPr>
              <w:cnfStyle w:val="000000000000" w:firstRow="0" w:lastRow="0" w:firstColumn="0" w:lastColumn="0" w:oddVBand="0" w:evenVBand="0" w:oddHBand="0" w:evenHBand="0" w:firstRowFirstColumn="0" w:firstRowLastColumn="0" w:lastRowFirstColumn="0" w:lastRowLastColumn="0"/>
            </w:pPr>
            <w:r>
              <w:t>78</w:t>
            </w:r>
          </w:p>
        </w:tc>
      </w:tr>
      <w:tr w:rsidR="00824558" w14:paraId="5B47668B" w14:textId="77777777" w:rsidTr="008F070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6F3F6227" w14:textId="77777777" w:rsidR="00824558" w:rsidRDefault="00824558">
            <w:pPr>
              <w:ind w:left="170"/>
            </w:pPr>
            <w:r>
              <w:t>Success measures of projects achieved</w:t>
            </w:r>
          </w:p>
        </w:tc>
        <w:tc>
          <w:tcPr>
            <w:tcW w:w="964" w:type="dxa"/>
            <w:tcBorders>
              <w:top w:val="single" w:sz="6" w:space="0" w:color="auto"/>
              <w:bottom w:val="single" w:sz="6" w:space="0" w:color="auto"/>
            </w:tcBorders>
          </w:tcPr>
          <w:p w14:paraId="6DA573D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7F5AF5A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5F8FA23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244F3D5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0EF1549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A9225F" w14:paraId="74A33D1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D35D117" w14:textId="77777777" w:rsidR="00824558" w:rsidRPr="00A9225F" w:rsidRDefault="00824558">
            <w:pPr>
              <w:keepNext/>
              <w:rPr>
                <w:b/>
                <w:bCs/>
                <w:iCs/>
              </w:rPr>
            </w:pPr>
            <w:r w:rsidRPr="00A9225F">
              <w:rPr>
                <w:b/>
                <w:bCs/>
                <w:iCs/>
              </w:rPr>
              <w:t>Timeliness</w:t>
            </w:r>
          </w:p>
        </w:tc>
      </w:tr>
      <w:tr w:rsidR="00824558" w14:paraId="3B8E92BA"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56B7E1D" w14:textId="77777777" w:rsidR="00824558" w:rsidRDefault="00824558">
            <w:pPr>
              <w:ind w:left="170"/>
            </w:pPr>
            <w:r>
              <w:t>Cultural Facilities Maintenance Fund projects delivered within agreed timeframes</w:t>
            </w:r>
          </w:p>
        </w:tc>
        <w:tc>
          <w:tcPr>
            <w:tcW w:w="964" w:type="dxa"/>
            <w:tcBorders>
              <w:bottom w:val="single" w:sz="6" w:space="0" w:color="auto"/>
            </w:tcBorders>
          </w:tcPr>
          <w:p w14:paraId="77D1E19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9C873D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A11B1A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3D8979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73BC8AE" w14:textId="77777777" w:rsidR="00824558" w:rsidRDefault="00824558">
            <w:pPr>
              <w:cnfStyle w:val="000000000000" w:firstRow="0" w:lastRow="0" w:firstColumn="0" w:lastColumn="0" w:oddVBand="0" w:evenVBand="0" w:oddHBand="0" w:evenHBand="0" w:firstRowFirstColumn="0" w:firstRowLastColumn="0" w:lastRowFirstColumn="0" w:lastRowLastColumn="0"/>
            </w:pPr>
            <w:r>
              <w:t>85.7</w:t>
            </w:r>
          </w:p>
        </w:tc>
      </w:tr>
      <w:tr w:rsidR="0012290E" w:rsidRPr="00DC0EBC" w14:paraId="3790FF91"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8F2D98F" w14:textId="77777777" w:rsidR="0012290E" w:rsidRPr="00DC0EBC" w:rsidRDefault="0012290E">
            <w:pPr>
              <w:keepNext/>
              <w:rPr>
                <w:b/>
              </w:rPr>
            </w:pPr>
            <w:r w:rsidRPr="00DC0EBC">
              <w:rPr>
                <w:b/>
              </w:rPr>
              <w:t>Cost</w:t>
            </w:r>
          </w:p>
        </w:tc>
      </w:tr>
      <w:tr w:rsidR="00F46871" w14:paraId="041ED9DC" w14:textId="77777777" w:rsidTr="00F46871">
        <w:tc>
          <w:tcPr>
            <w:cnfStyle w:val="001000000000" w:firstRow="0" w:lastRow="0" w:firstColumn="1" w:lastColumn="0" w:oddVBand="0" w:evenVBand="0" w:oddHBand="0" w:evenHBand="0" w:firstRowFirstColumn="0" w:firstRowLastColumn="0" w:lastRowFirstColumn="0" w:lastRowLastColumn="0"/>
            <w:tcW w:w="4819" w:type="dxa"/>
          </w:tcPr>
          <w:p w14:paraId="50A9357E" w14:textId="77777777" w:rsidR="00F46871" w:rsidRDefault="00F46871" w:rsidP="00F46871">
            <w:pPr>
              <w:keepNext/>
              <w:ind w:left="170"/>
            </w:pPr>
            <w:r>
              <w:t>Total output cost</w:t>
            </w:r>
          </w:p>
        </w:tc>
        <w:tc>
          <w:tcPr>
            <w:tcW w:w="964" w:type="dxa"/>
          </w:tcPr>
          <w:p w14:paraId="0675F81F" w14:textId="77777777" w:rsidR="00F46871" w:rsidRDefault="00F46871" w:rsidP="00F46871">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76BC6C77" w14:textId="6A2E5E6F" w:rsidR="00F46871" w:rsidRPr="004D0078" w:rsidRDefault="00F46871" w:rsidP="00F46871">
            <w:pPr>
              <w:cnfStyle w:val="000000000000" w:firstRow="0" w:lastRow="0" w:firstColumn="0" w:lastColumn="0" w:oddVBand="0" w:evenVBand="0" w:oddHBand="0" w:evenHBand="0" w:firstRowFirstColumn="0" w:firstRowLastColumn="0" w:lastRowFirstColumn="0" w:lastRowLastColumn="0"/>
              <w:rPr>
                <w:highlight w:val="yellow"/>
              </w:rPr>
            </w:pPr>
            <w:r>
              <w:t>77.0</w:t>
            </w:r>
          </w:p>
        </w:tc>
        <w:tc>
          <w:tcPr>
            <w:tcW w:w="964" w:type="dxa"/>
          </w:tcPr>
          <w:p w14:paraId="3599FBB4" w14:textId="171D9073" w:rsidR="00F46871" w:rsidRPr="004D0078" w:rsidRDefault="00F46871" w:rsidP="00F46871">
            <w:pPr>
              <w:cnfStyle w:val="000000000000" w:firstRow="0" w:lastRow="0" w:firstColumn="0" w:lastColumn="0" w:oddVBand="0" w:evenVBand="0" w:oddHBand="0" w:evenHBand="0" w:firstRowFirstColumn="0" w:firstRowLastColumn="0" w:lastRowFirstColumn="0" w:lastRowLastColumn="0"/>
              <w:rPr>
                <w:highlight w:val="yellow"/>
              </w:rPr>
            </w:pPr>
            <w:r>
              <w:t>75.0</w:t>
            </w:r>
          </w:p>
        </w:tc>
        <w:tc>
          <w:tcPr>
            <w:tcW w:w="964" w:type="dxa"/>
          </w:tcPr>
          <w:p w14:paraId="6F5A0693" w14:textId="5282F4ED" w:rsidR="00F46871" w:rsidRPr="004D0078" w:rsidRDefault="00F46871" w:rsidP="00F46871">
            <w:pPr>
              <w:cnfStyle w:val="000000000000" w:firstRow="0" w:lastRow="0" w:firstColumn="0" w:lastColumn="0" w:oddVBand="0" w:evenVBand="0" w:oddHBand="0" w:evenHBand="0" w:firstRowFirstColumn="0" w:firstRowLastColumn="0" w:lastRowFirstColumn="0" w:lastRowLastColumn="0"/>
              <w:rPr>
                <w:highlight w:val="yellow"/>
              </w:rPr>
            </w:pPr>
            <w:r>
              <w:t>57.9</w:t>
            </w:r>
          </w:p>
        </w:tc>
        <w:tc>
          <w:tcPr>
            <w:tcW w:w="964" w:type="dxa"/>
          </w:tcPr>
          <w:p w14:paraId="6BBB1B9A" w14:textId="2FFE5DE6" w:rsidR="00F46871" w:rsidRPr="004D0078" w:rsidRDefault="00F46871" w:rsidP="00F46871">
            <w:pPr>
              <w:cnfStyle w:val="000000000000" w:firstRow="0" w:lastRow="0" w:firstColumn="0" w:lastColumn="0" w:oddVBand="0" w:evenVBand="0" w:oddHBand="0" w:evenHBand="0" w:firstRowFirstColumn="0" w:firstRowLastColumn="0" w:lastRowFirstColumn="0" w:lastRowLastColumn="0"/>
              <w:rPr>
                <w:highlight w:val="yellow"/>
              </w:rPr>
            </w:pPr>
            <w:r w:rsidRPr="00FA672C">
              <w:t>70.3</w:t>
            </w:r>
          </w:p>
        </w:tc>
      </w:tr>
      <w:tr w:rsidR="0077720D" w14:paraId="0AFB5B9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5F6DFFB" w14:textId="323783B3" w:rsidR="0077720D" w:rsidRPr="00FA672C" w:rsidRDefault="004F36F2" w:rsidP="004F36F2">
            <w:pPr>
              <w:ind w:left="170"/>
            </w:pPr>
            <w:r w:rsidRPr="004133DE">
              <w:rPr>
                <w:i/>
              </w:rPr>
              <w:t>The 2025-26 expected outcome is higher than the 2025-26 target primarily due to additional depreciation expense.</w:t>
            </w:r>
          </w:p>
        </w:tc>
      </w:tr>
      <w:tr w:rsidR="00F46871" w14:paraId="095E9F5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4FBC26D" w14:textId="2C82F9AA" w:rsidR="00F46871" w:rsidRPr="00FA672C" w:rsidRDefault="0077720D" w:rsidP="004F36F2">
            <w:pPr>
              <w:ind w:left="170"/>
            </w:pPr>
            <w:r w:rsidRPr="004F36F2">
              <w:rPr>
                <w:i/>
              </w:rPr>
              <w:t>The 2026-27 target is higher than the 2025-26 target primarily due to an increase in depreciation expense.</w:t>
            </w:r>
          </w:p>
        </w:tc>
      </w:tr>
    </w:tbl>
    <w:p w14:paraId="679FC967" w14:textId="77777777" w:rsidR="00824558" w:rsidRDefault="00824558">
      <w:pPr>
        <w:pStyle w:val="Source"/>
      </w:pPr>
      <w:r>
        <w:t>Source: Department of Jobs, Skills, Industry and Regions</w:t>
      </w:r>
    </w:p>
    <w:p w14:paraId="77FE5A78" w14:textId="49606751" w:rsidR="00824558" w:rsidRDefault="00824558">
      <w:pPr>
        <w:pStyle w:val="Heading3"/>
      </w:pPr>
      <w:r>
        <w:lastRenderedPageBreak/>
        <w:t>Sport and Recreation</w:t>
      </w:r>
      <w:r>
        <w:tab/>
        <w:t>(2026-27: $</w:t>
      </w:r>
      <w:r w:rsidR="00080FDE">
        <w:t>392.2</w:t>
      </w:r>
      <w:r>
        <w:t xml:space="preserve"> million)</w:t>
      </w:r>
    </w:p>
    <w:p w14:paraId="73E19691" w14:textId="77777777" w:rsidR="00824558" w:rsidRPr="002E79A4" w:rsidRDefault="00824558">
      <w:pPr>
        <w:keepNext/>
        <w:tabs>
          <w:tab w:val="right" w:pos="7711"/>
        </w:tabs>
        <w:spacing w:after="120"/>
        <w:rPr>
          <w:rFonts w:ascii="Calibri" w:eastAsia="MS Gothic" w:hAnsi="Calibri"/>
          <w:b/>
          <w:sz w:val="23"/>
        </w:rPr>
      </w:pPr>
      <w:r w:rsidRPr="006D3734">
        <w:rPr>
          <w:rFonts w:ascii="Garamond" w:eastAsia="Garamond" w:hAnsi="Garamond"/>
        </w:rPr>
        <w:t>This output provides strategic leadership and investment in the sport and recreation industry through innovation, sector and industry development and funding support. It supports community participation and inclusion in the sport and recreation sector by strengthening the capacity of sport and recreation organisations to deliver participation opportunities, improving community sport and recreation facilities across the state and guiding the development and management of State-level sporting facilities and events, to encourage participation by all Victorians.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0950009"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05A24F3" w14:textId="77777777" w:rsidR="00824558" w:rsidRDefault="00824558">
            <w:r>
              <w:t>Performance measure</w:t>
            </w:r>
          </w:p>
        </w:tc>
        <w:tc>
          <w:tcPr>
            <w:tcW w:w="964" w:type="dxa"/>
          </w:tcPr>
          <w:p w14:paraId="0D4843E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8612B7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2CE33F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BABCD7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8F52B8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768848B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1F2F5979" w14:textId="77777777" w:rsidR="00824558" w:rsidRPr="00A9225F" w:rsidRDefault="00824558">
            <w:pPr>
              <w:keepNext/>
              <w:rPr>
                <w:b/>
                <w:bCs/>
                <w:iCs/>
              </w:rPr>
            </w:pPr>
            <w:r w:rsidRPr="00A9225F">
              <w:rPr>
                <w:b/>
                <w:bCs/>
                <w:iCs/>
              </w:rPr>
              <w:t>Quantity</w:t>
            </w:r>
          </w:p>
        </w:tc>
      </w:tr>
      <w:tr w:rsidR="00824558" w14:paraId="1C3D5443"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655A01BF" w14:textId="77777777" w:rsidR="00824558" w:rsidRDefault="00824558">
            <w:pPr>
              <w:keepNext/>
              <w:ind w:left="170"/>
            </w:pPr>
            <w:r>
              <w:t>Combat sports licences, registrations and permits issued</w:t>
            </w:r>
          </w:p>
        </w:tc>
        <w:tc>
          <w:tcPr>
            <w:tcW w:w="964" w:type="dxa"/>
          </w:tcPr>
          <w:p w14:paraId="4901ED0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9EE196D"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Pr>
          <w:p w14:paraId="6E52512C" w14:textId="77777777" w:rsidR="00824558" w:rsidRDefault="00824558">
            <w:pPr>
              <w:cnfStyle w:val="000000000000" w:firstRow="0" w:lastRow="0" w:firstColumn="0" w:lastColumn="0" w:oddVBand="0" w:evenVBand="0" w:oddHBand="0" w:evenHBand="0" w:firstRowFirstColumn="0" w:firstRowLastColumn="0" w:lastRowFirstColumn="0" w:lastRowLastColumn="0"/>
            </w:pPr>
            <w:r>
              <w:t>700</w:t>
            </w:r>
          </w:p>
        </w:tc>
        <w:tc>
          <w:tcPr>
            <w:tcW w:w="964" w:type="dxa"/>
          </w:tcPr>
          <w:p w14:paraId="6700F85F"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Pr>
          <w:p w14:paraId="2B454A3A" w14:textId="77777777" w:rsidR="00824558" w:rsidRDefault="00824558">
            <w:pPr>
              <w:cnfStyle w:val="000000000000" w:firstRow="0" w:lastRow="0" w:firstColumn="0" w:lastColumn="0" w:oddVBand="0" w:evenVBand="0" w:oddHBand="0" w:evenHBand="0" w:firstRowFirstColumn="0" w:firstRowLastColumn="0" w:lastRowFirstColumn="0" w:lastRowLastColumn="0"/>
            </w:pPr>
            <w:r>
              <w:t>720</w:t>
            </w:r>
          </w:p>
        </w:tc>
      </w:tr>
      <w:tr w:rsidR="00824558" w14:paraId="71CFFEC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7D642DD" w14:textId="7D785EFE" w:rsidR="00824558" w:rsidRDefault="00824558">
            <w:pPr>
              <w:ind w:left="170"/>
            </w:pPr>
            <w:r>
              <w:rPr>
                <w:i/>
              </w:rPr>
              <w:t xml:space="preserve">The </w:t>
            </w:r>
            <w:r w:rsidR="008F7A05">
              <w:rPr>
                <w:i/>
              </w:rPr>
              <w:t>2025-26</w:t>
            </w:r>
            <w:r>
              <w:rPr>
                <w:i/>
              </w:rPr>
              <w:t xml:space="preserve"> expected outcome is higher than the target due to a higher than expected number of licences, permits and registrations issued in the first half of </w:t>
            </w:r>
            <w:r w:rsidR="008F7A05">
              <w:rPr>
                <w:i/>
              </w:rPr>
              <w:t>2025-26</w:t>
            </w:r>
            <w:r>
              <w:rPr>
                <w:i/>
              </w:rPr>
              <w:t>.</w:t>
            </w:r>
          </w:p>
        </w:tc>
      </w:tr>
      <w:tr w:rsidR="00824558" w14:paraId="6176550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36E5171" w14:textId="77777777" w:rsidR="00824558" w:rsidRDefault="00824558">
            <w:pPr>
              <w:ind w:left="170"/>
            </w:pPr>
            <w:r>
              <w:t>Community Facility Grants: number approved</w:t>
            </w:r>
          </w:p>
        </w:tc>
        <w:tc>
          <w:tcPr>
            <w:tcW w:w="964" w:type="dxa"/>
            <w:tcBorders>
              <w:bottom w:val="single" w:sz="6" w:space="0" w:color="auto"/>
            </w:tcBorders>
          </w:tcPr>
          <w:p w14:paraId="4A372F9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229C85D" w14:textId="77777777" w:rsidR="00824558" w:rsidRDefault="00824558">
            <w:pPr>
              <w:cnfStyle w:val="000000000000" w:firstRow="0" w:lastRow="0" w:firstColumn="0" w:lastColumn="0" w:oddVBand="0" w:evenVBand="0" w:oddHBand="0" w:evenHBand="0" w:firstRowFirstColumn="0" w:firstRowLastColumn="0" w:lastRowFirstColumn="0" w:lastRowLastColumn="0"/>
            </w:pPr>
            <w:r>
              <w:t>130</w:t>
            </w:r>
          </w:p>
        </w:tc>
        <w:tc>
          <w:tcPr>
            <w:tcW w:w="964" w:type="dxa"/>
            <w:tcBorders>
              <w:bottom w:val="single" w:sz="6" w:space="0" w:color="auto"/>
            </w:tcBorders>
          </w:tcPr>
          <w:p w14:paraId="57F87213" w14:textId="77777777" w:rsidR="00824558" w:rsidRDefault="00824558">
            <w:pPr>
              <w:cnfStyle w:val="000000000000" w:firstRow="0" w:lastRow="0" w:firstColumn="0" w:lastColumn="0" w:oddVBand="0" w:evenVBand="0" w:oddHBand="0" w:evenHBand="0" w:firstRowFirstColumn="0" w:firstRowLastColumn="0" w:lastRowFirstColumn="0" w:lastRowLastColumn="0"/>
            </w:pPr>
            <w:r>
              <w:t>130</w:t>
            </w:r>
          </w:p>
        </w:tc>
        <w:tc>
          <w:tcPr>
            <w:tcW w:w="964" w:type="dxa"/>
            <w:tcBorders>
              <w:bottom w:val="single" w:sz="6" w:space="0" w:color="auto"/>
            </w:tcBorders>
          </w:tcPr>
          <w:p w14:paraId="713D1805" w14:textId="77777777" w:rsidR="00824558" w:rsidRDefault="00824558">
            <w:pPr>
              <w:cnfStyle w:val="000000000000" w:firstRow="0" w:lastRow="0" w:firstColumn="0" w:lastColumn="0" w:oddVBand="0" w:evenVBand="0" w:oddHBand="0" w:evenHBand="0" w:firstRowFirstColumn="0" w:firstRowLastColumn="0" w:lastRowFirstColumn="0" w:lastRowLastColumn="0"/>
            </w:pPr>
            <w:r>
              <w:t>130</w:t>
            </w:r>
          </w:p>
        </w:tc>
        <w:tc>
          <w:tcPr>
            <w:tcW w:w="964" w:type="dxa"/>
            <w:tcBorders>
              <w:bottom w:val="single" w:sz="6" w:space="0" w:color="auto"/>
            </w:tcBorders>
          </w:tcPr>
          <w:p w14:paraId="4FCF5ED8" w14:textId="77777777" w:rsidR="00824558" w:rsidRDefault="00824558">
            <w:pPr>
              <w:cnfStyle w:val="000000000000" w:firstRow="0" w:lastRow="0" w:firstColumn="0" w:lastColumn="0" w:oddVBand="0" w:evenVBand="0" w:oddHBand="0" w:evenHBand="0" w:firstRowFirstColumn="0" w:firstRowLastColumn="0" w:lastRowFirstColumn="0" w:lastRowLastColumn="0"/>
            </w:pPr>
            <w:r>
              <w:t>152</w:t>
            </w:r>
          </w:p>
        </w:tc>
      </w:tr>
      <w:tr w:rsidR="00824558" w14:paraId="52AE4829"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3A85E69" w14:textId="77777777" w:rsidR="00824558" w:rsidRDefault="00824558">
            <w:pPr>
              <w:ind w:left="170"/>
            </w:pPr>
            <w:r>
              <w:t>Funded State Sport and Recreation Associations that have a minimum of 40 per cent women on their boards</w:t>
            </w:r>
          </w:p>
        </w:tc>
        <w:tc>
          <w:tcPr>
            <w:tcW w:w="964" w:type="dxa"/>
            <w:tcBorders>
              <w:bottom w:val="single" w:sz="6" w:space="0" w:color="auto"/>
            </w:tcBorders>
          </w:tcPr>
          <w:p w14:paraId="3D3AA17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D50F20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560C46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C5CDFB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2005AF5"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32B974EA"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31340F6" w14:textId="77777777" w:rsidR="00824558" w:rsidRDefault="00824558">
            <w:pPr>
              <w:ind w:left="170"/>
            </w:pPr>
            <w:r>
              <w:t>Local Sports Infrastructure grant recipients which are regionally based</w:t>
            </w:r>
          </w:p>
        </w:tc>
        <w:tc>
          <w:tcPr>
            <w:tcW w:w="964" w:type="dxa"/>
            <w:tcBorders>
              <w:bottom w:val="single" w:sz="6" w:space="0" w:color="auto"/>
            </w:tcBorders>
          </w:tcPr>
          <w:p w14:paraId="14AFDEB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9FF8838"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1B199B3F"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40657DA1"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109156BE" w14:textId="77777777" w:rsidR="00824558" w:rsidRDefault="00824558">
            <w:pPr>
              <w:cnfStyle w:val="000000000000" w:firstRow="0" w:lastRow="0" w:firstColumn="0" w:lastColumn="0" w:oddVBand="0" w:evenVBand="0" w:oddHBand="0" w:evenHBand="0" w:firstRowFirstColumn="0" w:firstRowLastColumn="0" w:lastRowFirstColumn="0" w:lastRowLastColumn="0"/>
            </w:pPr>
            <w:r>
              <w:t>58.6</w:t>
            </w:r>
          </w:p>
        </w:tc>
      </w:tr>
      <w:tr w:rsidR="00824558" w14:paraId="3C864E38"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C71033" w14:textId="77777777" w:rsidR="00824558" w:rsidRDefault="00824558">
            <w:pPr>
              <w:ind w:left="170"/>
            </w:pPr>
            <w:r>
              <w:t>Organisations submitting nominations for the Victorian Sport Awards</w:t>
            </w:r>
          </w:p>
        </w:tc>
        <w:tc>
          <w:tcPr>
            <w:tcW w:w="964" w:type="dxa"/>
            <w:tcBorders>
              <w:bottom w:val="single" w:sz="6" w:space="0" w:color="auto"/>
            </w:tcBorders>
          </w:tcPr>
          <w:p w14:paraId="62C52A2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0EFDC49"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4CE2B17D"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2FBFE180"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6F3AC436"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r>
      <w:tr w:rsidR="00824558" w14:paraId="2DB0E19B"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77384E7" w14:textId="77777777" w:rsidR="00824558" w:rsidRDefault="00824558">
            <w:pPr>
              <w:keepNext/>
              <w:ind w:left="170"/>
            </w:pPr>
            <w:r>
              <w:t>Projects in progress that relate to the planning and development of state level facilities</w:t>
            </w:r>
          </w:p>
        </w:tc>
        <w:tc>
          <w:tcPr>
            <w:tcW w:w="964" w:type="dxa"/>
          </w:tcPr>
          <w:p w14:paraId="75BE3B2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DEF3715"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7D20EF3A"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738672A9"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07E9C17F"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r>
      <w:tr w:rsidR="00824558" w14:paraId="24BF2C0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5CBC12F" w14:textId="19C17CFE" w:rsidR="00824558" w:rsidRDefault="00824558">
            <w:pPr>
              <w:ind w:left="170"/>
            </w:pPr>
            <w:r>
              <w:rPr>
                <w:i/>
              </w:rPr>
              <w:t xml:space="preserve">The </w:t>
            </w:r>
            <w:r w:rsidR="008F7A05">
              <w:rPr>
                <w:i/>
              </w:rPr>
              <w:t>2025-26</w:t>
            </w:r>
            <w:r>
              <w:rPr>
                <w:i/>
              </w:rPr>
              <w:t xml:space="preserve"> expected outcome is higher than the target as the total number of projects has increased from 8 to 9 with the inclusion of </w:t>
            </w:r>
            <w:r w:rsidR="00825067">
              <w:rPr>
                <w:i/>
              </w:rPr>
              <w:t xml:space="preserve">the </w:t>
            </w:r>
            <w:r>
              <w:rPr>
                <w:i/>
              </w:rPr>
              <w:t>MCG Redevelopment Business Case which commenced in October 2025.</w:t>
            </w:r>
          </w:p>
        </w:tc>
      </w:tr>
      <w:tr w:rsidR="00824558" w14:paraId="5E3DBE52"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508B713" w14:textId="144C2A57" w:rsidR="00824558" w:rsidRDefault="00824558">
            <w:pPr>
              <w:keepNext/>
              <w:ind w:left="170"/>
            </w:pPr>
            <w:r>
              <w:t>Significant Sporting Events Program</w:t>
            </w:r>
            <w:r w:rsidR="007942D1">
              <w:t xml:space="preserve"> – </w:t>
            </w:r>
            <w:r>
              <w:t>events facilitated</w:t>
            </w:r>
          </w:p>
        </w:tc>
        <w:tc>
          <w:tcPr>
            <w:tcW w:w="964" w:type="dxa"/>
          </w:tcPr>
          <w:p w14:paraId="4A64260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F139103"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2CAF2251"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Pr>
          <w:p w14:paraId="55C44B9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694318C"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0538ABA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1BB304D" w14:textId="57598BA5" w:rsidR="00824558" w:rsidRDefault="00824558">
            <w:pPr>
              <w:ind w:left="170"/>
            </w:pPr>
            <w:r>
              <w:rPr>
                <w:i/>
              </w:rPr>
              <w:t>The lower 2026-27 target reflects the conclusion of the Significant Sporting Events Program</w:t>
            </w:r>
            <w:r w:rsidR="007942D1">
              <w:rPr>
                <w:i/>
              </w:rPr>
              <w:t>’</w:t>
            </w:r>
            <w:r>
              <w:rPr>
                <w:i/>
              </w:rPr>
              <w:t>s uplift funding.</w:t>
            </w:r>
          </w:p>
        </w:tc>
      </w:tr>
      <w:tr w:rsidR="00824558" w14:paraId="6740B1B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A1DE98E" w14:textId="77777777" w:rsidR="00824558" w:rsidRDefault="00824558">
            <w:pPr>
              <w:ind w:left="170"/>
            </w:pPr>
            <w:r>
              <w:t>Sport and recreation organisations undertaking programs or activities to enhance participation</w:t>
            </w:r>
          </w:p>
        </w:tc>
        <w:tc>
          <w:tcPr>
            <w:tcW w:w="964" w:type="dxa"/>
            <w:tcBorders>
              <w:bottom w:val="single" w:sz="6" w:space="0" w:color="auto"/>
            </w:tcBorders>
          </w:tcPr>
          <w:p w14:paraId="1895CCC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5DE0E44" w14:textId="77777777" w:rsidR="00824558" w:rsidRDefault="00824558">
            <w:pPr>
              <w:cnfStyle w:val="000000000000" w:firstRow="0" w:lastRow="0" w:firstColumn="0" w:lastColumn="0" w:oddVBand="0" w:evenVBand="0" w:oddHBand="0" w:evenHBand="0" w:firstRowFirstColumn="0" w:firstRowLastColumn="0" w:lastRowFirstColumn="0" w:lastRowLastColumn="0"/>
            </w:pPr>
            <w:r>
              <w:t>112</w:t>
            </w:r>
          </w:p>
        </w:tc>
        <w:tc>
          <w:tcPr>
            <w:tcW w:w="964" w:type="dxa"/>
            <w:tcBorders>
              <w:bottom w:val="single" w:sz="6" w:space="0" w:color="auto"/>
            </w:tcBorders>
          </w:tcPr>
          <w:p w14:paraId="72D618F9" w14:textId="77777777" w:rsidR="00824558" w:rsidRDefault="00824558">
            <w:pPr>
              <w:cnfStyle w:val="000000000000" w:firstRow="0" w:lastRow="0" w:firstColumn="0" w:lastColumn="0" w:oddVBand="0" w:evenVBand="0" w:oddHBand="0" w:evenHBand="0" w:firstRowFirstColumn="0" w:firstRowLastColumn="0" w:lastRowFirstColumn="0" w:lastRowLastColumn="0"/>
            </w:pPr>
            <w:r>
              <w:t>111</w:t>
            </w:r>
          </w:p>
        </w:tc>
        <w:tc>
          <w:tcPr>
            <w:tcW w:w="964" w:type="dxa"/>
            <w:tcBorders>
              <w:bottom w:val="single" w:sz="6" w:space="0" w:color="auto"/>
            </w:tcBorders>
          </w:tcPr>
          <w:p w14:paraId="1A88F33C" w14:textId="77777777" w:rsidR="00824558" w:rsidRDefault="00824558">
            <w:pPr>
              <w:cnfStyle w:val="000000000000" w:firstRow="0" w:lastRow="0" w:firstColumn="0" w:lastColumn="0" w:oddVBand="0" w:evenVBand="0" w:oddHBand="0" w:evenHBand="0" w:firstRowFirstColumn="0" w:firstRowLastColumn="0" w:lastRowFirstColumn="0" w:lastRowLastColumn="0"/>
            </w:pPr>
            <w:r>
              <w:t>112</w:t>
            </w:r>
          </w:p>
        </w:tc>
        <w:tc>
          <w:tcPr>
            <w:tcW w:w="964" w:type="dxa"/>
            <w:tcBorders>
              <w:bottom w:val="single" w:sz="6" w:space="0" w:color="auto"/>
            </w:tcBorders>
          </w:tcPr>
          <w:p w14:paraId="12E7F222" w14:textId="77777777" w:rsidR="00824558" w:rsidRDefault="00824558">
            <w:pPr>
              <w:cnfStyle w:val="000000000000" w:firstRow="0" w:lastRow="0" w:firstColumn="0" w:lastColumn="0" w:oddVBand="0" w:evenVBand="0" w:oddHBand="0" w:evenHBand="0" w:firstRowFirstColumn="0" w:firstRowLastColumn="0" w:lastRowFirstColumn="0" w:lastRowLastColumn="0"/>
            </w:pPr>
            <w:r>
              <w:t>110</w:t>
            </w:r>
          </w:p>
        </w:tc>
      </w:tr>
      <w:tr w:rsidR="00824558" w14:paraId="09B69924"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7EE3ECD" w14:textId="77777777" w:rsidR="00824558" w:rsidRDefault="00824558">
            <w:pPr>
              <w:keepNext/>
              <w:ind w:left="170"/>
            </w:pPr>
            <w:r>
              <w:t>Sporting club grants to recipients which are based in low socio-economic areas as identified by the SEIFA index</w:t>
            </w:r>
          </w:p>
        </w:tc>
        <w:tc>
          <w:tcPr>
            <w:tcW w:w="964" w:type="dxa"/>
          </w:tcPr>
          <w:p w14:paraId="49EC14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0D52D98"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0D42C77C"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55EB9A6B"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4A8FCCF4" w14:textId="77777777" w:rsidR="00824558" w:rsidRDefault="00824558">
            <w:pPr>
              <w:cnfStyle w:val="000000000000" w:firstRow="0" w:lastRow="0" w:firstColumn="0" w:lastColumn="0" w:oddVBand="0" w:evenVBand="0" w:oddHBand="0" w:evenHBand="0" w:firstRowFirstColumn="0" w:firstRowLastColumn="0" w:lastRowFirstColumn="0" w:lastRowLastColumn="0"/>
            </w:pPr>
            <w:r>
              <w:t>74.9</w:t>
            </w:r>
          </w:p>
        </w:tc>
      </w:tr>
      <w:tr w:rsidR="00824558" w14:paraId="36AEF13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D1DAE27" w14:textId="7E180F56" w:rsidR="00824558" w:rsidRDefault="00824558">
            <w:pPr>
              <w:ind w:left="170"/>
            </w:pPr>
            <w:r>
              <w:rPr>
                <w:i/>
              </w:rPr>
              <w:t xml:space="preserve">The </w:t>
            </w:r>
            <w:r w:rsidR="008F7A05">
              <w:rPr>
                <w:i/>
              </w:rPr>
              <w:t>2025-26</w:t>
            </w:r>
            <w:r>
              <w:rPr>
                <w:i/>
              </w:rPr>
              <w:t xml:space="preserve"> expected outcome is higher than the target due to Regional Community Sport Development Fund uplift.</w:t>
            </w:r>
          </w:p>
        </w:tc>
      </w:tr>
      <w:tr w:rsidR="00824558" w14:paraId="0FF6BD0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068F67D" w14:textId="77777777" w:rsidR="00824558" w:rsidRDefault="00824558">
            <w:pPr>
              <w:keepNext/>
              <w:ind w:left="170"/>
            </w:pPr>
            <w:r>
              <w:t>Sporting club grants to recipients which are regionally based</w:t>
            </w:r>
          </w:p>
        </w:tc>
        <w:tc>
          <w:tcPr>
            <w:tcW w:w="964" w:type="dxa"/>
          </w:tcPr>
          <w:p w14:paraId="05C5110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429DC94"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050000B9"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C285C7F"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6371632E" w14:textId="77777777" w:rsidR="00824558" w:rsidRDefault="00824558">
            <w:pPr>
              <w:cnfStyle w:val="000000000000" w:firstRow="0" w:lastRow="0" w:firstColumn="0" w:lastColumn="0" w:oddVBand="0" w:evenVBand="0" w:oddHBand="0" w:evenHBand="0" w:firstRowFirstColumn="0" w:firstRowLastColumn="0" w:lastRowFirstColumn="0" w:lastRowLastColumn="0"/>
            </w:pPr>
            <w:r>
              <w:t>62.7</w:t>
            </w:r>
          </w:p>
        </w:tc>
      </w:tr>
      <w:tr w:rsidR="00824558" w14:paraId="4B468EA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BF26F7" w14:textId="40AF7F44" w:rsidR="00824558" w:rsidRDefault="00824558">
            <w:pPr>
              <w:ind w:left="170"/>
            </w:pPr>
            <w:r>
              <w:rPr>
                <w:i/>
              </w:rPr>
              <w:t xml:space="preserve">The </w:t>
            </w:r>
            <w:r w:rsidR="008F7A05">
              <w:rPr>
                <w:i/>
              </w:rPr>
              <w:t>2025-26</w:t>
            </w:r>
            <w:r>
              <w:rPr>
                <w:i/>
              </w:rPr>
              <w:t xml:space="preserve"> expected outcome is higher than the target due to Regional Community Sport Development Fund uplift.</w:t>
            </w:r>
          </w:p>
        </w:tc>
      </w:tr>
      <w:tr w:rsidR="00824558" w14:paraId="59AF494E"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DB43A1" w14:textId="77777777" w:rsidR="00824558" w:rsidRDefault="00824558">
            <w:pPr>
              <w:ind w:left="170"/>
            </w:pPr>
            <w:r>
              <w:t>Sports with athletes on Victorian Institute of Sport (VIS) scholarships</w:t>
            </w:r>
          </w:p>
        </w:tc>
        <w:tc>
          <w:tcPr>
            <w:tcW w:w="964" w:type="dxa"/>
            <w:tcBorders>
              <w:bottom w:val="single" w:sz="6" w:space="0" w:color="auto"/>
            </w:tcBorders>
          </w:tcPr>
          <w:p w14:paraId="32BE62B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CDDB742"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70CC4254" w14:textId="77777777" w:rsidR="00824558" w:rsidRDefault="00824558">
            <w:pPr>
              <w:cnfStyle w:val="000000000000" w:firstRow="0" w:lastRow="0" w:firstColumn="0" w:lastColumn="0" w:oddVBand="0" w:evenVBand="0" w:oddHBand="0" w:evenHBand="0" w:firstRowFirstColumn="0" w:firstRowLastColumn="0" w:lastRowFirstColumn="0" w:lastRowLastColumn="0"/>
            </w:pPr>
            <w:r>
              <w:t>46</w:t>
            </w:r>
          </w:p>
        </w:tc>
        <w:tc>
          <w:tcPr>
            <w:tcW w:w="964" w:type="dxa"/>
            <w:tcBorders>
              <w:bottom w:val="single" w:sz="6" w:space="0" w:color="auto"/>
            </w:tcBorders>
          </w:tcPr>
          <w:p w14:paraId="67198B2C"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59FCFE29" w14:textId="77777777" w:rsidR="00824558" w:rsidRDefault="00824558">
            <w:pPr>
              <w:cnfStyle w:val="000000000000" w:firstRow="0" w:lastRow="0" w:firstColumn="0" w:lastColumn="0" w:oddVBand="0" w:evenVBand="0" w:oddHBand="0" w:evenHBand="0" w:firstRowFirstColumn="0" w:firstRowLastColumn="0" w:lastRowFirstColumn="0" w:lastRowLastColumn="0"/>
            </w:pPr>
            <w:r>
              <w:t>47</w:t>
            </w:r>
          </w:p>
        </w:tc>
      </w:tr>
      <w:tr w:rsidR="00824558" w14:paraId="2843092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49C0A15" w14:textId="77777777" w:rsidR="00824558" w:rsidRDefault="00824558">
            <w:pPr>
              <w:ind w:left="170"/>
            </w:pPr>
            <w:r>
              <w:t>Victorian categorised athletes supported by the VIS</w:t>
            </w:r>
          </w:p>
        </w:tc>
        <w:tc>
          <w:tcPr>
            <w:tcW w:w="964" w:type="dxa"/>
            <w:tcBorders>
              <w:bottom w:val="single" w:sz="6" w:space="0" w:color="auto"/>
            </w:tcBorders>
          </w:tcPr>
          <w:p w14:paraId="613B8BD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6F8FA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6E661B2"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4F3E985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F674807"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3C2FF13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EC26054" w14:textId="77777777" w:rsidR="00824558" w:rsidRDefault="00824558">
            <w:pPr>
              <w:keepNext/>
              <w:ind w:left="170"/>
            </w:pPr>
            <w:r>
              <w:t>Victorian Institute of Sport scholarship holders on national teams/squads</w:t>
            </w:r>
          </w:p>
        </w:tc>
        <w:tc>
          <w:tcPr>
            <w:tcW w:w="964" w:type="dxa"/>
          </w:tcPr>
          <w:p w14:paraId="71F63D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EA12553"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57219706" w14:textId="77777777" w:rsidR="00824558" w:rsidRDefault="00824558">
            <w:pPr>
              <w:cnfStyle w:val="000000000000" w:firstRow="0" w:lastRow="0" w:firstColumn="0" w:lastColumn="0" w:oddVBand="0" w:evenVBand="0" w:oddHBand="0" w:evenHBand="0" w:firstRowFirstColumn="0" w:firstRowLastColumn="0" w:lastRowFirstColumn="0" w:lastRowLastColumn="0"/>
            </w:pPr>
            <w:r>
              <w:t>68.5</w:t>
            </w:r>
          </w:p>
        </w:tc>
        <w:tc>
          <w:tcPr>
            <w:tcW w:w="964" w:type="dxa"/>
          </w:tcPr>
          <w:p w14:paraId="3EABB206"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5BD958C9"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r>
      <w:tr w:rsidR="00824558" w14:paraId="23CF2710"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4658F3" w14:textId="7A6FF4D2" w:rsidR="00824558" w:rsidRDefault="00824558">
            <w:pPr>
              <w:ind w:left="170"/>
            </w:pPr>
            <w:r>
              <w:rPr>
                <w:i/>
              </w:rPr>
              <w:t xml:space="preserve">The </w:t>
            </w:r>
            <w:r w:rsidR="008F7A05">
              <w:rPr>
                <w:i/>
              </w:rPr>
              <w:t>2025-26</w:t>
            </w:r>
            <w:r>
              <w:rPr>
                <w:i/>
              </w:rPr>
              <w:t xml:space="preserve"> expected outcome is higher than the target as a result of more eligible athletes able to be supported and selected into national teams and squads.</w:t>
            </w:r>
          </w:p>
        </w:tc>
      </w:tr>
      <w:tr w:rsidR="0012290E" w:rsidRPr="00DC0EBC" w14:paraId="105EBF2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749AC2A" w14:textId="77777777" w:rsidR="0012290E" w:rsidRPr="00DC0EBC" w:rsidRDefault="0012290E">
            <w:pPr>
              <w:keepNext/>
              <w:rPr>
                <w:b/>
              </w:rPr>
            </w:pPr>
            <w:r w:rsidRPr="00DC0EBC">
              <w:rPr>
                <w:b/>
              </w:rPr>
              <w:t>Cost</w:t>
            </w:r>
          </w:p>
        </w:tc>
      </w:tr>
      <w:tr w:rsidR="00426ABE" w14:paraId="09C449D4" w14:textId="77777777" w:rsidTr="00426ABE">
        <w:tc>
          <w:tcPr>
            <w:cnfStyle w:val="001000000000" w:firstRow="0" w:lastRow="0" w:firstColumn="1" w:lastColumn="0" w:oddVBand="0" w:evenVBand="0" w:oddHBand="0" w:evenHBand="0" w:firstRowFirstColumn="0" w:firstRowLastColumn="0" w:lastRowFirstColumn="0" w:lastRowLastColumn="0"/>
            <w:tcW w:w="4819" w:type="dxa"/>
          </w:tcPr>
          <w:p w14:paraId="1DD7B9E6" w14:textId="77777777" w:rsidR="00426ABE" w:rsidRDefault="00426ABE" w:rsidP="00426ABE">
            <w:pPr>
              <w:keepNext/>
              <w:ind w:left="170"/>
            </w:pPr>
            <w:r>
              <w:t>Total output cost</w:t>
            </w:r>
          </w:p>
        </w:tc>
        <w:tc>
          <w:tcPr>
            <w:tcW w:w="964" w:type="dxa"/>
          </w:tcPr>
          <w:p w14:paraId="78035CA8" w14:textId="77777777" w:rsidR="00426ABE" w:rsidRDefault="00426ABE" w:rsidP="00426ABE">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34068A66" w14:textId="6ADB0BF3" w:rsidR="00426ABE" w:rsidRPr="004D0078" w:rsidRDefault="00426ABE" w:rsidP="00426ABE">
            <w:pPr>
              <w:cnfStyle w:val="000000000000" w:firstRow="0" w:lastRow="0" w:firstColumn="0" w:lastColumn="0" w:oddVBand="0" w:evenVBand="0" w:oddHBand="0" w:evenHBand="0" w:firstRowFirstColumn="0" w:firstRowLastColumn="0" w:lastRowFirstColumn="0" w:lastRowLastColumn="0"/>
              <w:rPr>
                <w:highlight w:val="yellow"/>
              </w:rPr>
            </w:pPr>
            <w:r>
              <w:t>392.2</w:t>
            </w:r>
          </w:p>
        </w:tc>
        <w:tc>
          <w:tcPr>
            <w:tcW w:w="964" w:type="dxa"/>
          </w:tcPr>
          <w:p w14:paraId="79F83E26" w14:textId="23C9C6C8" w:rsidR="00426ABE" w:rsidRPr="004D0078" w:rsidRDefault="00426ABE" w:rsidP="00426ABE">
            <w:pPr>
              <w:cnfStyle w:val="000000000000" w:firstRow="0" w:lastRow="0" w:firstColumn="0" w:lastColumn="0" w:oddVBand="0" w:evenVBand="0" w:oddHBand="0" w:evenHBand="0" w:firstRowFirstColumn="0" w:firstRowLastColumn="0" w:lastRowFirstColumn="0" w:lastRowLastColumn="0"/>
              <w:rPr>
                <w:highlight w:val="yellow"/>
              </w:rPr>
            </w:pPr>
            <w:r>
              <w:t>581.3</w:t>
            </w:r>
          </w:p>
        </w:tc>
        <w:tc>
          <w:tcPr>
            <w:tcW w:w="964" w:type="dxa"/>
          </w:tcPr>
          <w:p w14:paraId="43752281" w14:textId="1AB1D0A5" w:rsidR="00426ABE" w:rsidRPr="004D0078" w:rsidRDefault="00426ABE" w:rsidP="00426ABE">
            <w:pPr>
              <w:cnfStyle w:val="000000000000" w:firstRow="0" w:lastRow="0" w:firstColumn="0" w:lastColumn="0" w:oddVBand="0" w:evenVBand="0" w:oddHBand="0" w:evenHBand="0" w:firstRowFirstColumn="0" w:firstRowLastColumn="0" w:lastRowFirstColumn="0" w:lastRowLastColumn="0"/>
              <w:rPr>
                <w:highlight w:val="yellow"/>
              </w:rPr>
            </w:pPr>
            <w:r>
              <w:t>563.8</w:t>
            </w:r>
          </w:p>
        </w:tc>
        <w:tc>
          <w:tcPr>
            <w:tcW w:w="964" w:type="dxa"/>
          </w:tcPr>
          <w:p w14:paraId="7FB97B83" w14:textId="7523601B" w:rsidR="00426ABE" w:rsidRPr="004D0078" w:rsidRDefault="00426ABE" w:rsidP="00426ABE">
            <w:pPr>
              <w:cnfStyle w:val="000000000000" w:firstRow="0" w:lastRow="0" w:firstColumn="0" w:lastColumn="0" w:oddVBand="0" w:evenVBand="0" w:oddHBand="0" w:evenHBand="0" w:firstRowFirstColumn="0" w:firstRowLastColumn="0" w:lastRowFirstColumn="0" w:lastRowLastColumn="0"/>
              <w:rPr>
                <w:highlight w:val="yellow"/>
              </w:rPr>
            </w:pPr>
            <w:r w:rsidRPr="005B3723">
              <w:t>323.1</w:t>
            </w:r>
          </w:p>
        </w:tc>
      </w:tr>
      <w:tr w:rsidR="00426ABE" w14:paraId="7D93470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3451DC1" w14:textId="7A3A657B" w:rsidR="00426ABE" w:rsidRPr="005B3723" w:rsidRDefault="00F04FE0" w:rsidP="00021BE2">
            <w:pPr>
              <w:ind w:left="170"/>
            </w:pPr>
            <w:r w:rsidRPr="0EFDE1B4">
              <w:rPr>
                <w:i/>
                <w:iCs/>
              </w:rPr>
              <w:t xml:space="preserve">The 2026-27 target is lower than the 2025-26 target primarily due to the completion of </w:t>
            </w:r>
            <w:r w:rsidR="242F5AF0" w:rsidRPr="0AF955A7">
              <w:rPr>
                <w:i/>
                <w:iCs/>
              </w:rPr>
              <w:t xml:space="preserve">some </w:t>
            </w:r>
            <w:r w:rsidRPr="0AF955A7">
              <w:rPr>
                <w:i/>
                <w:iCs/>
              </w:rPr>
              <w:t>projects</w:t>
            </w:r>
            <w:r w:rsidRPr="0EFDE1B4">
              <w:rPr>
                <w:i/>
                <w:iCs/>
              </w:rPr>
              <w:t xml:space="preserve"> for the Regional Sport Infrastructure Program, offset by funding received from the </w:t>
            </w:r>
            <w:r w:rsidRPr="00D54648">
              <w:t>2026-27 Budget</w:t>
            </w:r>
            <w:r w:rsidRPr="0EFDE1B4">
              <w:rPr>
                <w:i/>
                <w:iCs/>
              </w:rPr>
              <w:t xml:space="preserve"> for Supporting Victoria's State Sporting Centres and Community sports infrastructure and participation initiatives.</w:t>
            </w:r>
            <w:r w:rsidR="7951FD85" w:rsidRPr="0AF955A7">
              <w:rPr>
                <w:i/>
                <w:iCs/>
              </w:rPr>
              <w:t xml:space="preserve"> </w:t>
            </w:r>
          </w:p>
        </w:tc>
      </w:tr>
    </w:tbl>
    <w:p w14:paraId="5D1A60E9" w14:textId="77777777" w:rsidR="00824558" w:rsidRDefault="00824558">
      <w:pPr>
        <w:pStyle w:val="Source"/>
      </w:pPr>
      <w:r>
        <w:t>Source: Department of Jobs, Skills, Industry and Regions</w:t>
      </w:r>
    </w:p>
    <w:p w14:paraId="52338C29" w14:textId="77777777" w:rsidR="00633FC4" w:rsidRDefault="00633FC4">
      <w:pPr>
        <w:keepLines w:val="0"/>
        <w:rPr>
          <w:rFonts w:asciiTheme="majorHAnsi" w:eastAsiaTheme="majorEastAsia" w:hAnsiTheme="majorHAnsi" w:cstheme="majorBidi"/>
          <w:b/>
          <w:sz w:val="23"/>
          <w:szCs w:val="24"/>
        </w:rPr>
      </w:pPr>
      <w:r>
        <w:br w:type="page"/>
      </w:r>
    </w:p>
    <w:p w14:paraId="5804AB27" w14:textId="06721394" w:rsidR="00824558" w:rsidRDefault="00824558">
      <w:pPr>
        <w:pStyle w:val="Heading3"/>
      </w:pPr>
      <w:r>
        <w:lastRenderedPageBreak/>
        <w:t>Tourism and Major Events</w:t>
      </w:r>
      <w:r>
        <w:tab/>
        <w:t>(2026-27: $</w:t>
      </w:r>
      <w:r w:rsidR="001A4BEC">
        <w:t>295.3</w:t>
      </w:r>
      <w:r>
        <w:t xml:space="preserve"> million)</w:t>
      </w:r>
    </w:p>
    <w:p w14:paraId="4626CF35" w14:textId="77777777" w:rsidR="00824558" w:rsidRPr="008A6AE5" w:rsidRDefault="00824558">
      <w:pPr>
        <w:keepNext/>
        <w:tabs>
          <w:tab w:val="right" w:pos="7711"/>
        </w:tabs>
        <w:spacing w:after="120"/>
        <w:rPr>
          <w:rFonts w:ascii="Calibri" w:eastAsia="MS Gothic" w:hAnsi="Calibri"/>
          <w:b/>
          <w:sz w:val="23"/>
        </w:rPr>
      </w:pPr>
      <w:r w:rsidRPr="00014F34">
        <w:t>Th</w:t>
      </w:r>
      <w:r w:rsidRPr="006D3734">
        <w:rPr>
          <w:rFonts w:ascii="Garamond" w:eastAsia="Garamond" w:hAnsi="Garamond"/>
        </w:rPr>
        <w:t>is output maximises employment and the long-term economic benefits of tourism and major events to Victoria by developing and marketing the State as a competitive destination.</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5F26BA6A"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9E80E80" w14:textId="77777777" w:rsidR="00824558" w:rsidRDefault="00824558">
            <w:r>
              <w:t>Performance measure</w:t>
            </w:r>
          </w:p>
        </w:tc>
        <w:tc>
          <w:tcPr>
            <w:tcW w:w="964" w:type="dxa"/>
          </w:tcPr>
          <w:p w14:paraId="36813412"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5B75BC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6488E7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88EA61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3870DB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4D26673E"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6BCA5B88" w14:textId="77777777" w:rsidR="00824558" w:rsidRPr="00A9225F" w:rsidRDefault="00824558">
            <w:pPr>
              <w:keepNext/>
              <w:rPr>
                <w:b/>
                <w:bCs/>
                <w:iCs/>
              </w:rPr>
            </w:pPr>
            <w:r w:rsidRPr="00A9225F">
              <w:rPr>
                <w:b/>
                <w:bCs/>
                <w:iCs/>
              </w:rPr>
              <w:t>Quantity</w:t>
            </w:r>
          </w:p>
        </w:tc>
      </w:tr>
      <w:tr w:rsidR="00824558" w14:paraId="62CA9B8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55392A9" w14:textId="77777777" w:rsidR="00824558" w:rsidRDefault="00824558">
            <w:pPr>
              <w:keepNext/>
              <w:ind w:left="170"/>
            </w:pPr>
            <w:r>
              <w:t>Major sporting and cultural events held</w:t>
            </w:r>
          </w:p>
        </w:tc>
        <w:tc>
          <w:tcPr>
            <w:tcW w:w="964" w:type="dxa"/>
          </w:tcPr>
          <w:p w14:paraId="022E2EC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0C4F915"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Pr>
          <w:p w14:paraId="5F947957"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Pr>
          <w:p w14:paraId="5DFFDFDC"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Pr>
          <w:p w14:paraId="3C3BF248"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r>
      <w:tr w:rsidR="00824558" w14:paraId="5532EE4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BE89E7" w14:textId="65A6C79C" w:rsidR="00824558" w:rsidRDefault="00824558">
            <w:pPr>
              <w:ind w:left="170"/>
            </w:pPr>
            <w:r>
              <w:rPr>
                <w:i/>
              </w:rPr>
              <w:t xml:space="preserve">The </w:t>
            </w:r>
            <w:r w:rsidR="008F7A05">
              <w:rPr>
                <w:i/>
              </w:rPr>
              <w:t>2025-26</w:t>
            </w:r>
            <w:r>
              <w:rPr>
                <w:i/>
              </w:rPr>
              <w:t xml:space="preserve"> expected outcome is lower than the target due to a focus on a smaller number of large, compelling events that deliver a high return on investment. </w:t>
            </w:r>
          </w:p>
          <w:p w14:paraId="55BD2B4C" w14:textId="0849ECF8" w:rsidR="00824558" w:rsidRDefault="00824558">
            <w:pPr>
              <w:ind w:left="170"/>
            </w:pPr>
            <w:r>
              <w:rPr>
                <w:i/>
              </w:rPr>
              <w:t xml:space="preserve">The lower 2026-27 target is to align with a strategic shift toward fewer, high-profile events that deliver greater return on investment, alongside enhanced broadcast reach and branding outcomes for the </w:t>
            </w:r>
            <w:r w:rsidR="00636672">
              <w:rPr>
                <w:i/>
              </w:rPr>
              <w:t>S</w:t>
            </w:r>
            <w:r>
              <w:rPr>
                <w:i/>
              </w:rPr>
              <w:t>tate.</w:t>
            </w:r>
          </w:p>
        </w:tc>
      </w:tr>
      <w:tr w:rsidR="00824558" w14:paraId="7636839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DEC1AAC" w14:textId="5ED321A2" w:rsidR="00824558" w:rsidRDefault="00824558">
            <w:pPr>
              <w:keepNext/>
              <w:ind w:left="170"/>
            </w:pPr>
            <w:r>
              <w:t>Visit Victoria</w:t>
            </w:r>
            <w:r w:rsidR="007942D1">
              <w:t>’</w:t>
            </w:r>
            <w:r>
              <w:t>s total engaged digital audience</w:t>
            </w:r>
          </w:p>
        </w:tc>
        <w:tc>
          <w:tcPr>
            <w:tcW w:w="964" w:type="dxa"/>
          </w:tcPr>
          <w:p w14:paraId="05C7FC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6420F21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5EF4C767"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c>
          <w:tcPr>
            <w:tcW w:w="964" w:type="dxa"/>
          </w:tcPr>
          <w:p w14:paraId="6F92B333" w14:textId="77777777" w:rsidR="00824558" w:rsidRDefault="00824558">
            <w:pPr>
              <w:cnfStyle w:val="000000000000" w:firstRow="0" w:lastRow="0" w:firstColumn="0" w:lastColumn="0" w:oddVBand="0" w:evenVBand="0" w:oddHBand="0" w:evenHBand="0" w:firstRowFirstColumn="0" w:firstRowLastColumn="0" w:lastRowFirstColumn="0" w:lastRowLastColumn="0"/>
            </w:pPr>
            <w:r>
              <w:t>7.1</w:t>
            </w:r>
          </w:p>
        </w:tc>
        <w:tc>
          <w:tcPr>
            <w:tcW w:w="964" w:type="dxa"/>
          </w:tcPr>
          <w:p w14:paraId="69F1A43C"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r>
      <w:tr w:rsidR="00824558" w14:paraId="29A7C40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63F481" w14:textId="77777777" w:rsidR="00824558" w:rsidRDefault="00824558">
            <w:pPr>
              <w:ind w:left="170"/>
            </w:pPr>
            <w:r>
              <w:rPr>
                <w:i/>
              </w:rPr>
              <w:t>The higher 2026-27 target is due to additional Destination Marketing funding for Visit Victoria.</w:t>
            </w:r>
          </w:p>
        </w:tc>
      </w:tr>
      <w:tr w:rsidR="00824558" w14:paraId="44B99D3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417AE6A" w14:textId="77777777" w:rsidR="00824558" w:rsidRDefault="00824558">
            <w:pPr>
              <w:keepNext/>
              <w:ind w:left="170"/>
            </w:pPr>
            <w:r>
              <w:t>Visitor expenditure: domestic</w:t>
            </w:r>
          </w:p>
        </w:tc>
        <w:tc>
          <w:tcPr>
            <w:tcW w:w="964" w:type="dxa"/>
          </w:tcPr>
          <w:p w14:paraId="3B8ACDA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billion</w:t>
            </w:r>
          </w:p>
        </w:tc>
        <w:tc>
          <w:tcPr>
            <w:tcW w:w="964" w:type="dxa"/>
            <w:shd w:val="clear" w:color="auto" w:fill="F0F0F0"/>
          </w:tcPr>
          <w:p w14:paraId="56FF915F" w14:textId="77777777" w:rsidR="00824558" w:rsidRDefault="00824558">
            <w:pPr>
              <w:cnfStyle w:val="000000000000" w:firstRow="0" w:lastRow="0" w:firstColumn="0" w:lastColumn="0" w:oddVBand="0" w:evenVBand="0" w:oddHBand="0" w:evenHBand="0" w:firstRowFirstColumn="0" w:firstRowLastColumn="0" w:lastRowFirstColumn="0" w:lastRowLastColumn="0"/>
            </w:pPr>
            <w:r>
              <w:t>34</w:t>
            </w:r>
          </w:p>
        </w:tc>
        <w:tc>
          <w:tcPr>
            <w:tcW w:w="964" w:type="dxa"/>
          </w:tcPr>
          <w:p w14:paraId="2578DB54" w14:textId="77777777" w:rsidR="00824558" w:rsidRDefault="00824558">
            <w:pPr>
              <w:cnfStyle w:val="000000000000" w:firstRow="0" w:lastRow="0" w:firstColumn="0" w:lastColumn="0" w:oddVBand="0" w:evenVBand="0" w:oddHBand="0" w:evenHBand="0" w:firstRowFirstColumn="0" w:firstRowLastColumn="0" w:lastRowFirstColumn="0" w:lastRowLastColumn="0"/>
            </w:pPr>
            <w:r>
              <w:t>37.7</w:t>
            </w:r>
          </w:p>
        </w:tc>
        <w:tc>
          <w:tcPr>
            <w:tcW w:w="964" w:type="dxa"/>
          </w:tcPr>
          <w:p w14:paraId="2882FBFC" w14:textId="77777777" w:rsidR="00824558" w:rsidRDefault="00824558">
            <w:pPr>
              <w:cnfStyle w:val="000000000000" w:firstRow="0" w:lastRow="0" w:firstColumn="0" w:lastColumn="0" w:oddVBand="0" w:evenVBand="0" w:oddHBand="0" w:evenHBand="0" w:firstRowFirstColumn="0" w:firstRowLastColumn="0" w:lastRowFirstColumn="0" w:lastRowLastColumn="0"/>
            </w:pPr>
            <w:r>
              <w:t>31.3</w:t>
            </w:r>
          </w:p>
        </w:tc>
        <w:tc>
          <w:tcPr>
            <w:tcW w:w="964" w:type="dxa"/>
          </w:tcPr>
          <w:p w14:paraId="4409BD8D" w14:textId="77777777" w:rsidR="00824558" w:rsidRDefault="00824558">
            <w:pPr>
              <w:cnfStyle w:val="000000000000" w:firstRow="0" w:lastRow="0" w:firstColumn="0" w:lastColumn="0" w:oddVBand="0" w:evenVBand="0" w:oddHBand="0" w:evenHBand="0" w:firstRowFirstColumn="0" w:firstRowLastColumn="0" w:lastRowFirstColumn="0" w:lastRowLastColumn="0"/>
            </w:pPr>
            <w:r>
              <w:t>30.9</w:t>
            </w:r>
          </w:p>
        </w:tc>
      </w:tr>
      <w:tr w:rsidR="00824558" w14:paraId="03096D77"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D23741" w14:textId="44778518" w:rsidR="00824558" w:rsidRDefault="00824558">
            <w:pPr>
              <w:ind w:left="170"/>
            </w:pPr>
            <w:r>
              <w:rPr>
                <w:i/>
              </w:rPr>
              <w:t xml:space="preserve">The </w:t>
            </w:r>
            <w:r w:rsidR="008F7A05">
              <w:rPr>
                <w:i/>
              </w:rPr>
              <w:t>2025-26</w:t>
            </w:r>
            <w:r>
              <w:rPr>
                <w:i/>
              </w:rPr>
              <w:t xml:space="preserve"> expected outcome is higher than the target due to an increase in daytrip spend as consumers preferred shorter forms of travel. From January 2025, Tourism Research Australia has shifted the data collection methodology for domestic tourism measurement with the transition from the National Visitor Survey to the new Domestic Tourism Statistics.</w:t>
            </w:r>
          </w:p>
          <w:p w14:paraId="5E9E8962" w14:textId="01237A80" w:rsidR="00824558" w:rsidRDefault="00824558">
            <w:pPr>
              <w:ind w:left="170"/>
            </w:pPr>
            <w:r>
              <w:rPr>
                <w:i/>
              </w:rPr>
              <w:t xml:space="preserve">The higher </w:t>
            </w:r>
            <w:r w:rsidR="002B57CA">
              <w:rPr>
                <w:i/>
              </w:rPr>
              <w:t>2026-27</w:t>
            </w:r>
            <w:r>
              <w:rPr>
                <w:i/>
              </w:rPr>
              <w:t xml:space="preserve"> target is due to a methodology change by external data supplier Tourism Research Australia, which has transitioned from the National Visitor Survey to the new Domestic Tourism Statistics. This change has required a recalibration of domestic expenditure results.</w:t>
            </w:r>
          </w:p>
        </w:tc>
      </w:tr>
      <w:tr w:rsidR="00824558" w14:paraId="20A46820"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BB9212F" w14:textId="77777777" w:rsidR="00824558" w:rsidRDefault="00824558">
            <w:pPr>
              <w:keepNext/>
              <w:ind w:left="170"/>
            </w:pPr>
            <w:r>
              <w:t>Visitor expenditure: international</w:t>
            </w:r>
          </w:p>
        </w:tc>
        <w:tc>
          <w:tcPr>
            <w:tcW w:w="964" w:type="dxa"/>
          </w:tcPr>
          <w:p w14:paraId="283ACF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billion</w:t>
            </w:r>
          </w:p>
        </w:tc>
        <w:tc>
          <w:tcPr>
            <w:tcW w:w="964" w:type="dxa"/>
            <w:shd w:val="clear" w:color="auto" w:fill="F0F0F0"/>
          </w:tcPr>
          <w:p w14:paraId="7330D6C1"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33AB9304"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5833BF51"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543F6F79"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14:paraId="33D80A1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2ED618" w14:textId="38887607" w:rsidR="00824558" w:rsidRDefault="00824558" w:rsidP="00D26496">
            <w:pPr>
              <w:ind w:left="170"/>
            </w:pPr>
            <w:r>
              <w:rPr>
                <w:i/>
              </w:rPr>
              <w:t xml:space="preserve">The </w:t>
            </w:r>
            <w:r w:rsidR="008F7A05">
              <w:rPr>
                <w:i/>
              </w:rPr>
              <w:t>2025-26</w:t>
            </w:r>
            <w:r>
              <w:rPr>
                <w:i/>
              </w:rPr>
              <w:t xml:space="preserve"> expected outcome is higher than the target as inflationary pressures are driving spend in the international market, in particular from markets such as China and India.</w:t>
            </w:r>
          </w:p>
        </w:tc>
      </w:tr>
      <w:tr w:rsidR="00824558" w14:paraId="0A42F2D6"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20911F8" w14:textId="77777777" w:rsidR="00824558" w:rsidRDefault="00824558">
            <w:pPr>
              <w:keepNext/>
              <w:ind w:left="170"/>
            </w:pPr>
            <w:r>
              <w:t>Visitor expenditure: regional Victoria (domestic)</w:t>
            </w:r>
          </w:p>
        </w:tc>
        <w:tc>
          <w:tcPr>
            <w:tcW w:w="964" w:type="dxa"/>
          </w:tcPr>
          <w:p w14:paraId="31030E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billion</w:t>
            </w:r>
          </w:p>
        </w:tc>
        <w:tc>
          <w:tcPr>
            <w:tcW w:w="964" w:type="dxa"/>
            <w:shd w:val="clear" w:color="auto" w:fill="F0F0F0"/>
          </w:tcPr>
          <w:p w14:paraId="5D462E60" w14:textId="77777777" w:rsidR="00824558" w:rsidRDefault="00824558">
            <w:pPr>
              <w:cnfStyle w:val="000000000000" w:firstRow="0" w:lastRow="0" w:firstColumn="0" w:lastColumn="0" w:oddVBand="0" w:evenVBand="0" w:oddHBand="0" w:evenHBand="0" w:firstRowFirstColumn="0" w:firstRowLastColumn="0" w:lastRowFirstColumn="0" w:lastRowLastColumn="0"/>
            </w:pPr>
            <w:r>
              <w:t>16.1</w:t>
            </w:r>
          </w:p>
        </w:tc>
        <w:tc>
          <w:tcPr>
            <w:tcW w:w="964" w:type="dxa"/>
          </w:tcPr>
          <w:p w14:paraId="686DFF26"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c>
          <w:tcPr>
            <w:tcW w:w="964" w:type="dxa"/>
          </w:tcPr>
          <w:p w14:paraId="5EE252AF" w14:textId="77777777" w:rsidR="00824558" w:rsidRDefault="00824558">
            <w:pPr>
              <w:cnfStyle w:val="000000000000" w:firstRow="0" w:lastRow="0" w:firstColumn="0" w:lastColumn="0" w:oddVBand="0" w:evenVBand="0" w:oddHBand="0" w:evenHBand="0" w:firstRowFirstColumn="0" w:firstRowLastColumn="0" w:lastRowFirstColumn="0" w:lastRowLastColumn="0"/>
            </w:pPr>
            <w:r>
              <w:t>16.1</w:t>
            </w:r>
          </w:p>
        </w:tc>
        <w:tc>
          <w:tcPr>
            <w:tcW w:w="964" w:type="dxa"/>
          </w:tcPr>
          <w:p w14:paraId="2B8AE369" w14:textId="77777777" w:rsidR="00824558" w:rsidRDefault="00824558">
            <w:pPr>
              <w:cnfStyle w:val="000000000000" w:firstRow="0" w:lastRow="0" w:firstColumn="0" w:lastColumn="0" w:oddVBand="0" w:evenVBand="0" w:oddHBand="0" w:evenHBand="0" w:firstRowFirstColumn="0" w:firstRowLastColumn="0" w:lastRowFirstColumn="0" w:lastRowLastColumn="0"/>
            </w:pPr>
            <w:r>
              <w:t>15.4</w:t>
            </w:r>
          </w:p>
        </w:tc>
      </w:tr>
      <w:tr w:rsidR="00824558" w14:paraId="2B156EE5"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6ABE5A" w14:textId="77777777" w:rsidR="00824558" w:rsidRDefault="00824558">
            <w:pPr>
              <w:ind w:left="170"/>
            </w:pPr>
            <w:r>
              <w:rPr>
                <w:i/>
              </w:rPr>
              <w:t>This performance measure is subject to a methodology change by external data supplier Tourism Research Australia, which has transitioned from the National Visitor Survey to the new Domestic Tourism Statistics.</w:t>
            </w:r>
          </w:p>
        </w:tc>
      </w:tr>
      <w:tr w:rsidR="00824558" w14:paraId="1301388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04C05C1" w14:textId="77777777" w:rsidR="00824558" w:rsidRDefault="00824558">
            <w:pPr>
              <w:keepNext/>
              <w:ind w:left="170"/>
            </w:pPr>
            <w:r>
              <w:t>Visitor expenditure: regional Victoria (international)</w:t>
            </w:r>
          </w:p>
        </w:tc>
        <w:tc>
          <w:tcPr>
            <w:tcW w:w="964" w:type="dxa"/>
          </w:tcPr>
          <w:p w14:paraId="2F85B0A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6D6D41B"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Pr>
          <w:p w14:paraId="6A93D6B0" w14:textId="77777777" w:rsidR="00824558" w:rsidRDefault="00824558">
            <w:pPr>
              <w:cnfStyle w:val="000000000000" w:firstRow="0" w:lastRow="0" w:firstColumn="0" w:lastColumn="0" w:oddVBand="0" w:evenVBand="0" w:oddHBand="0" w:evenHBand="0" w:firstRowFirstColumn="0" w:firstRowLastColumn="0" w:lastRowFirstColumn="0" w:lastRowLastColumn="0"/>
            </w:pPr>
            <w:r>
              <w:t>801.3</w:t>
            </w:r>
          </w:p>
        </w:tc>
        <w:tc>
          <w:tcPr>
            <w:tcW w:w="964" w:type="dxa"/>
          </w:tcPr>
          <w:p w14:paraId="44A017B2" w14:textId="77777777" w:rsidR="00824558" w:rsidRDefault="00824558">
            <w:pPr>
              <w:cnfStyle w:val="000000000000" w:firstRow="0" w:lastRow="0" w:firstColumn="0" w:lastColumn="0" w:oddVBand="0" w:evenVBand="0" w:oddHBand="0" w:evenHBand="0" w:firstRowFirstColumn="0" w:firstRowLastColumn="0" w:lastRowFirstColumn="0" w:lastRowLastColumn="0"/>
            </w:pPr>
            <w:r>
              <w:t>600</w:t>
            </w:r>
          </w:p>
        </w:tc>
        <w:tc>
          <w:tcPr>
            <w:tcW w:w="964" w:type="dxa"/>
          </w:tcPr>
          <w:p w14:paraId="4CB9E7DF" w14:textId="77777777" w:rsidR="00824558" w:rsidRDefault="00824558">
            <w:pPr>
              <w:cnfStyle w:val="000000000000" w:firstRow="0" w:lastRow="0" w:firstColumn="0" w:lastColumn="0" w:oddVBand="0" w:evenVBand="0" w:oddHBand="0" w:evenHBand="0" w:firstRowFirstColumn="0" w:firstRowLastColumn="0" w:lastRowFirstColumn="0" w:lastRowLastColumn="0"/>
            </w:pPr>
            <w:r>
              <w:t>795</w:t>
            </w:r>
          </w:p>
        </w:tc>
      </w:tr>
      <w:tr w:rsidR="00824558" w14:paraId="49D7D261"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0E300DE" w14:textId="1B26BFBD" w:rsidR="00824558" w:rsidRDefault="00824558">
            <w:pPr>
              <w:ind w:left="170"/>
            </w:pPr>
            <w:r>
              <w:rPr>
                <w:i/>
              </w:rPr>
              <w:t xml:space="preserve">The </w:t>
            </w:r>
            <w:r w:rsidR="008F7A05">
              <w:rPr>
                <w:i/>
              </w:rPr>
              <w:t>2025-26</w:t>
            </w:r>
            <w:r>
              <w:rPr>
                <w:i/>
              </w:rPr>
              <w:t xml:space="preserve"> expected outcome is higher than the target as recovery in international market spend remains strong, in particular for regional Victoria.</w:t>
            </w:r>
          </w:p>
          <w:p w14:paraId="0FA50C5C" w14:textId="77777777" w:rsidR="00824558" w:rsidRDefault="00824558">
            <w:pPr>
              <w:ind w:left="170"/>
            </w:pPr>
            <w:r>
              <w:rPr>
                <w:i/>
              </w:rPr>
              <w:t>The higher 2026-27 target is due to higher than expected international tourism expenditure growth in regional Victoria. This has been influenced by strong pent-up demand for regional travel and inflation.</w:t>
            </w:r>
          </w:p>
        </w:tc>
      </w:tr>
      <w:tr w:rsidR="00824558" w14:paraId="16F2D923"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7AEAC7A" w14:textId="77777777" w:rsidR="00824558" w:rsidRDefault="00824558">
            <w:pPr>
              <w:keepNext/>
              <w:ind w:left="170"/>
            </w:pPr>
            <w:r>
              <w:t>Visitor expenditure: regional Victoria (intrastate overnight)</w:t>
            </w:r>
          </w:p>
        </w:tc>
        <w:tc>
          <w:tcPr>
            <w:tcW w:w="964" w:type="dxa"/>
          </w:tcPr>
          <w:p w14:paraId="031BAAF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billion</w:t>
            </w:r>
          </w:p>
        </w:tc>
        <w:tc>
          <w:tcPr>
            <w:tcW w:w="964" w:type="dxa"/>
            <w:shd w:val="clear" w:color="auto" w:fill="F0F0F0"/>
          </w:tcPr>
          <w:p w14:paraId="577AE69A"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c>
          <w:tcPr>
            <w:tcW w:w="964" w:type="dxa"/>
          </w:tcPr>
          <w:p w14:paraId="20ED7B1D"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c>
          <w:tcPr>
            <w:tcW w:w="964" w:type="dxa"/>
          </w:tcPr>
          <w:p w14:paraId="5198D7DC"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c>
          <w:tcPr>
            <w:tcW w:w="964" w:type="dxa"/>
          </w:tcPr>
          <w:p w14:paraId="6F9DE1F8"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14:paraId="530CD5F3"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D80D8DF" w14:textId="77777777" w:rsidR="00824558" w:rsidRDefault="00824558">
            <w:pPr>
              <w:ind w:left="170"/>
            </w:pPr>
            <w:r>
              <w:rPr>
                <w:i/>
              </w:rPr>
              <w:t>This performance measure is subject to a methodology change by external data supplier Tourism Research Australia, which has transitioned from the National Visitor Survey to the new Domestic Tourism Statistics.</w:t>
            </w:r>
          </w:p>
        </w:tc>
      </w:tr>
      <w:tr w:rsidR="00824558" w14:paraId="1EEFBAD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E78BDB2" w14:textId="77777777" w:rsidR="00824558" w:rsidRDefault="00824558">
            <w:pPr>
              <w:keepNext/>
              <w:ind w:left="170"/>
            </w:pPr>
            <w:r>
              <w:t>Visitors (domestic overnight)</w:t>
            </w:r>
          </w:p>
        </w:tc>
        <w:tc>
          <w:tcPr>
            <w:tcW w:w="964" w:type="dxa"/>
          </w:tcPr>
          <w:p w14:paraId="691217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760F0390" w14:textId="77777777" w:rsidR="00824558" w:rsidRDefault="00824558">
            <w:pPr>
              <w:cnfStyle w:val="000000000000" w:firstRow="0" w:lastRow="0" w:firstColumn="0" w:lastColumn="0" w:oddVBand="0" w:evenVBand="0" w:oddHBand="0" w:evenHBand="0" w:firstRowFirstColumn="0" w:firstRowLastColumn="0" w:lastRowFirstColumn="0" w:lastRowLastColumn="0"/>
            </w:pPr>
            <w:r>
              <w:t>31</w:t>
            </w:r>
          </w:p>
        </w:tc>
        <w:tc>
          <w:tcPr>
            <w:tcW w:w="964" w:type="dxa"/>
          </w:tcPr>
          <w:p w14:paraId="3908A7B2" w14:textId="77777777" w:rsidR="00824558" w:rsidRDefault="00824558">
            <w:pPr>
              <w:cnfStyle w:val="000000000000" w:firstRow="0" w:lastRow="0" w:firstColumn="0" w:lastColumn="0" w:oddVBand="0" w:evenVBand="0" w:oddHBand="0" w:evenHBand="0" w:firstRowFirstColumn="0" w:firstRowLastColumn="0" w:lastRowFirstColumn="0" w:lastRowLastColumn="0"/>
            </w:pPr>
            <w:r>
              <w:t>31.5</w:t>
            </w:r>
          </w:p>
        </w:tc>
        <w:tc>
          <w:tcPr>
            <w:tcW w:w="964" w:type="dxa"/>
          </w:tcPr>
          <w:p w14:paraId="1C161F39" w14:textId="77777777" w:rsidR="00824558" w:rsidRDefault="00824558">
            <w:pPr>
              <w:cnfStyle w:val="000000000000" w:firstRow="0" w:lastRow="0" w:firstColumn="0" w:lastColumn="0" w:oddVBand="0" w:evenVBand="0" w:oddHBand="0" w:evenHBand="0" w:firstRowFirstColumn="0" w:firstRowLastColumn="0" w:lastRowFirstColumn="0" w:lastRowLastColumn="0"/>
            </w:pPr>
            <w:r>
              <w:t>29.5</w:t>
            </w:r>
          </w:p>
        </w:tc>
        <w:tc>
          <w:tcPr>
            <w:tcW w:w="964" w:type="dxa"/>
          </w:tcPr>
          <w:p w14:paraId="17B89318" w14:textId="77777777" w:rsidR="00824558" w:rsidRDefault="00824558">
            <w:pPr>
              <w:cnfStyle w:val="000000000000" w:firstRow="0" w:lastRow="0" w:firstColumn="0" w:lastColumn="0" w:oddVBand="0" w:evenVBand="0" w:oddHBand="0" w:evenHBand="0" w:firstRowFirstColumn="0" w:firstRowLastColumn="0" w:lastRowFirstColumn="0" w:lastRowLastColumn="0"/>
            </w:pPr>
            <w:r>
              <w:t>31.1</w:t>
            </w:r>
          </w:p>
        </w:tc>
      </w:tr>
      <w:tr w:rsidR="00824558" w14:paraId="0F78C05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DDF89A4" w14:textId="7D04589E" w:rsidR="00824558" w:rsidRDefault="00824558">
            <w:pPr>
              <w:ind w:left="170"/>
            </w:pPr>
            <w:r>
              <w:rPr>
                <w:i/>
              </w:rPr>
              <w:t xml:space="preserve">The </w:t>
            </w:r>
            <w:r w:rsidR="008F7A05">
              <w:rPr>
                <w:i/>
              </w:rPr>
              <w:t>2025-26</w:t>
            </w:r>
            <w:r>
              <w:rPr>
                <w:i/>
              </w:rPr>
              <w:t xml:space="preserve"> expected outcome is higher than the target, reflecting recent growth in domestic overnight visitation following a period of subdued growth. From January 2025, Tourism Research Australia has shifted the data collection methodology for domestic tourism measurement with the transition from the National Visitor Survey to the new Domestic Tourism Statistics.</w:t>
            </w:r>
          </w:p>
          <w:p w14:paraId="33B059FB" w14:textId="4E6D003B" w:rsidR="00824558" w:rsidRDefault="00824558">
            <w:pPr>
              <w:ind w:left="170"/>
            </w:pPr>
            <w:r>
              <w:rPr>
                <w:i/>
              </w:rPr>
              <w:t xml:space="preserve">The higher </w:t>
            </w:r>
            <w:r w:rsidR="002B57CA">
              <w:rPr>
                <w:i/>
              </w:rPr>
              <w:t>2026-27</w:t>
            </w:r>
            <w:r>
              <w:rPr>
                <w:i/>
              </w:rPr>
              <w:t xml:space="preserve"> target is due to a methodology change by external data supplier Tourism Research Australia, which has transitioned from the National Visitor Survey to the new Domestic Tourism Statistics. This change has required a recalibration of domestic overnight visitation results.</w:t>
            </w:r>
          </w:p>
        </w:tc>
      </w:tr>
      <w:tr w:rsidR="00824558" w14:paraId="0F87CDF0"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6776807" w14:textId="77777777" w:rsidR="00824558" w:rsidRDefault="00824558">
            <w:pPr>
              <w:keepNext/>
              <w:ind w:left="170"/>
            </w:pPr>
            <w:r>
              <w:t>Visitors (international)</w:t>
            </w:r>
          </w:p>
        </w:tc>
        <w:tc>
          <w:tcPr>
            <w:tcW w:w="964" w:type="dxa"/>
          </w:tcPr>
          <w:p w14:paraId="4DDEA4A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715F0815" w14:textId="77777777" w:rsidR="00824558" w:rsidRDefault="00824558">
            <w:pPr>
              <w:cnfStyle w:val="000000000000" w:firstRow="0" w:lastRow="0" w:firstColumn="0" w:lastColumn="0" w:oddVBand="0" w:evenVBand="0" w:oddHBand="0" w:evenHBand="0" w:firstRowFirstColumn="0" w:firstRowLastColumn="0" w:lastRowFirstColumn="0" w:lastRowLastColumn="0"/>
            </w:pPr>
            <w:r>
              <w:t>3.2</w:t>
            </w:r>
          </w:p>
        </w:tc>
        <w:tc>
          <w:tcPr>
            <w:tcW w:w="964" w:type="dxa"/>
          </w:tcPr>
          <w:p w14:paraId="65C60C08"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79C8793A" w14:textId="77777777" w:rsidR="00824558" w:rsidRDefault="00824558">
            <w:pPr>
              <w:cnfStyle w:val="000000000000" w:firstRow="0" w:lastRow="0" w:firstColumn="0" w:lastColumn="0" w:oddVBand="0" w:evenVBand="0" w:oddHBand="0" w:evenHBand="0" w:firstRowFirstColumn="0" w:firstRowLastColumn="0" w:lastRowFirstColumn="0" w:lastRowLastColumn="0"/>
            </w:pPr>
            <w:r>
              <w:t>3.2</w:t>
            </w:r>
          </w:p>
        </w:tc>
        <w:tc>
          <w:tcPr>
            <w:tcW w:w="964" w:type="dxa"/>
          </w:tcPr>
          <w:p w14:paraId="1ADF9C9C"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r>
      <w:tr w:rsidR="00824558" w14:paraId="1D3C949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7F42BAE" w14:textId="6CA5CC36" w:rsidR="00824558" w:rsidRDefault="00824558">
            <w:pPr>
              <w:ind w:left="170"/>
            </w:pPr>
            <w:r>
              <w:rPr>
                <w:i/>
              </w:rPr>
              <w:t xml:space="preserve">The </w:t>
            </w:r>
            <w:r w:rsidR="008F7A05">
              <w:rPr>
                <w:i/>
              </w:rPr>
              <w:t>2025-26</w:t>
            </w:r>
            <w:r>
              <w:rPr>
                <w:i/>
              </w:rPr>
              <w:t xml:space="preserve"> expected outcome is marginally lower than the target due to a more gradual recovery in international visitor numbers from key markets.</w:t>
            </w:r>
          </w:p>
        </w:tc>
      </w:tr>
      <w:tr w:rsidR="00824558" w14:paraId="779AAEB4"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81D51A7" w14:textId="77777777" w:rsidR="00824558" w:rsidRDefault="00824558">
            <w:pPr>
              <w:keepNext/>
              <w:ind w:left="170"/>
            </w:pPr>
            <w:r>
              <w:t>Visitors: regional Victoria (intrastate overnight)</w:t>
            </w:r>
          </w:p>
        </w:tc>
        <w:tc>
          <w:tcPr>
            <w:tcW w:w="964" w:type="dxa"/>
          </w:tcPr>
          <w:p w14:paraId="57D2439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shd w:val="clear" w:color="auto" w:fill="F0F0F0"/>
          </w:tcPr>
          <w:p w14:paraId="3878D6F8" w14:textId="77777777" w:rsidR="00824558" w:rsidRDefault="00824558">
            <w:pPr>
              <w:cnfStyle w:val="000000000000" w:firstRow="0" w:lastRow="0" w:firstColumn="0" w:lastColumn="0" w:oddVBand="0" w:evenVBand="0" w:oddHBand="0" w:evenHBand="0" w:firstRowFirstColumn="0" w:firstRowLastColumn="0" w:lastRowFirstColumn="0" w:lastRowLastColumn="0"/>
            </w:pPr>
            <w:r>
              <w:t>16.4</w:t>
            </w:r>
          </w:p>
        </w:tc>
        <w:tc>
          <w:tcPr>
            <w:tcW w:w="964" w:type="dxa"/>
          </w:tcPr>
          <w:p w14:paraId="0EDBC861" w14:textId="77777777" w:rsidR="00824558" w:rsidRDefault="00824558">
            <w:pPr>
              <w:cnfStyle w:val="000000000000" w:firstRow="0" w:lastRow="0" w:firstColumn="0" w:lastColumn="0" w:oddVBand="0" w:evenVBand="0" w:oddHBand="0" w:evenHBand="0" w:firstRowFirstColumn="0" w:firstRowLastColumn="0" w:lastRowFirstColumn="0" w:lastRowLastColumn="0"/>
            </w:pPr>
            <w:r>
              <w:t>16.8</w:t>
            </w:r>
          </w:p>
        </w:tc>
        <w:tc>
          <w:tcPr>
            <w:tcW w:w="964" w:type="dxa"/>
          </w:tcPr>
          <w:p w14:paraId="20A2F460" w14:textId="77777777" w:rsidR="00824558" w:rsidRDefault="00824558">
            <w:pPr>
              <w:cnfStyle w:val="000000000000" w:firstRow="0" w:lastRow="0" w:firstColumn="0" w:lastColumn="0" w:oddVBand="0" w:evenVBand="0" w:oddHBand="0" w:evenHBand="0" w:firstRowFirstColumn="0" w:firstRowLastColumn="0" w:lastRowFirstColumn="0" w:lastRowLastColumn="0"/>
            </w:pPr>
            <w:r>
              <w:t>16.4</w:t>
            </w:r>
          </w:p>
        </w:tc>
        <w:tc>
          <w:tcPr>
            <w:tcW w:w="964" w:type="dxa"/>
          </w:tcPr>
          <w:p w14:paraId="2685D720" w14:textId="77777777" w:rsidR="00824558" w:rsidRDefault="00824558">
            <w:pPr>
              <w:cnfStyle w:val="000000000000" w:firstRow="0" w:lastRow="0" w:firstColumn="0" w:lastColumn="0" w:oddVBand="0" w:evenVBand="0" w:oddHBand="0" w:evenHBand="0" w:firstRowFirstColumn="0" w:firstRowLastColumn="0" w:lastRowFirstColumn="0" w:lastRowLastColumn="0"/>
            </w:pPr>
            <w:r>
              <w:t>16.8</w:t>
            </w:r>
          </w:p>
        </w:tc>
      </w:tr>
      <w:tr w:rsidR="00824558" w14:paraId="53067D4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42D258E" w14:textId="77777777" w:rsidR="00824558" w:rsidRPr="00083ED0" w:rsidRDefault="00824558">
            <w:pPr>
              <w:ind w:left="170"/>
            </w:pPr>
            <w:r w:rsidRPr="00083ED0">
              <w:rPr>
                <w:i/>
              </w:rPr>
              <w:t>This performance measure is subject to a methodology change by external data supplier Tourism Research Australia, which has transitioned from the National Visitor Survey to the new Domestic Tourism Statistics.</w:t>
            </w:r>
          </w:p>
        </w:tc>
      </w:tr>
      <w:tr w:rsidR="00824558" w:rsidRPr="00A9225F" w14:paraId="46DA584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3B0195BD" w14:textId="77777777" w:rsidR="00824558" w:rsidRPr="00A9225F" w:rsidRDefault="00824558">
            <w:pPr>
              <w:keepNext/>
              <w:rPr>
                <w:b/>
                <w:bCs/>
                <w:iCs/>
              </w:rPr>
            </w:pPr>
            <w:r w:rsidRPr="00A9225F">
              <w:rPr>
                <w:b/>
                <w:bCs/>
                <w:iCs/>
              </w:rPr>
              <w:t>Quality</w:t>
            </w:r>
          </w:p>
        </w:tc>
      </w:tr>
      <w:tr w:rsidR="00824558" w14:paraId="02BC3502"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179E68D" w14:textId="77777777" w:rsidR="00824558" w:rsidRPr="00083ED0" w:rsidRDefault="00824558">
            <w:pPr>
              <w:keepNext/>
              <w:ind w:left="170"/>
            </w:pPr>
            <w:r w:rsidRPr="00083ED0">
              <w:t>Value of media coverage generated: domestic</w:t>
            </w:r>
          </w:p>
        </w:tc>
        <w:tc>
          <w:tcPr>
            <w:tcW w:w="964" w:type="dxa"/>
          </w:tcPr>
          <w:p w14:paraId="7C8E76A0" w14:textId="77777777" w:rsidR="00824558" w:rsidRPr="00083ED0" w:rsidRDefault="00824558">
            <w:pPr>
              <w:jc w:val="center"/>
              <w:cnfStyle w:val="000000000000" w:firstRow="0" w:lastRow="0" w:firstColumn="0" w:lastColumn="0" w:oddVBand="0" w:evenVBand="0" w:oddHBand="0" w:evenHBand="0" w:firstRowFirstColumn="0" w:firstRowLastColumn="0" w:lastRowFirstColumn="0" w:lastRowLastColumn="0"/>
            </w:pPr>
            <w:r w:rsidRPr="00083ED0">
              <w:t>$ million</w:t>
            </w:r>
          </w:p>
        </w:tc>
        <w:tc>
          <w:tcPr>
            <w:tcW w:w="964" w:type="dxa"/>
            <w:shd w:val="clear" w:color="auto" w:fill="F0F0F0"/>
          </w:tcPr>
          <w:p w14:paraId="0069DC4D"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20</w:t>
            </w:r>
          </w:p>
        </w:tc>
        <w:tc>
          <w:tcPr>
            <w:tcW w:w="964" w:type="dxa"/>
          </w:tcPr>
          <w:p w14:paraId="78353955"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15</w:t>
            </w:r>
          </w:p>
        </w:tc>
        <w:tc>
          <w:tcPr>
            <w:tcW w:w="964" w:type="dxa"/>
          </w:tcPr>
          <w:p w14:paraId="2CE55709"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10</w:t>
            </w:r>
          </w:p>
        </w:tc>
        <w:tc>
          <w:tcPr>
            <w:tcW w:w="964" w:type="dxa"/>
          </w:tcPr>
          <w:p w14:paraId="7548BE5F"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13.4</w:t>
            </w:r>
          </w:p>
        </w:tc>
      </w:tr>
      <w:tr w:rsidR="00824558" w14:paraId="2D414310"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4A2FD3" w14:textId="0CF54079" w:rsidR="00824558" w:rsidRPr="00B9411F" w:rsidRDefault="00824558">
            <w:pPr>
              <w:ind w:left="170"/>
            </w:pPr>
            <w:r w:rsidRPr="00B9411F">
              <w:rPr>
                <w:i/>
              </w:rPr>
              <w:t xml:space="preserve">The </w:t>
            </w:r>
            <w:r w:rsidR="008F7A05">
              <w:rPr>
                <w:i/>
              </w:rPr>
              <w:t>2025-26</w:t>
            </w:r>
            <w:r w:rsidRPr="00B9411F">
              <w:rPr>
                <w:i/>
              </w:rPr>
              <w:t xml:space="preserve"> expected outcome is higher than the target due to additional </w:t>
            </w:r>
            <w:r w:rsidR="00D777EE">
              <w:rPr>
                <w:i/>
              </w:rPr>
              <w:t>d</w:t>
            </w:r>
            <w:r w:rsidRPr="00B9411F">
              <w:rPr>
                <w:i/>
              </w:rPr>
              <w:t xml:space="preserve">estination </w:t>
            </w:r>
            <w:r w:rsidR="00D777EE">
              <w:rPr>
                <w:i/>
              </w:rPr>
              <w:t>m</w:t>
            </w:r>
            <w:r w:rsidRPr="00B9411F">
              <w:rPr>
                <w:i/>
              </w:rPr>
              <w:t>arketing funding for Visit Victoria and significant public relations activity already underway for summer and autumn.</w:t>
            </w:r>
          </w:p>
          <w:p w14:paraId="7E195791" w14:textId="77777777" w:rsidR="00824558" w:rsidRPr="00083ED0" w:rsidRDefault="00824558">
            <w:pPr>
              <w:ind w:left="170"/>
            </w:pPr>
            <w:r w:rsidRPr="00B9411F">
              <w:rPr>
                <w:i/>
              </w:rPr>
              <w:t>The higher 2026-27 target is due to additional Destination Marketing funding</w:t>
            </w:r>
            <w:r w:rsidRPr="00B9411F">
              <w:rPr>
                <w:i/>
                <w:iCs/>
              </w:rPr>
              <w:t>.</w:t>
            </w:r>
            <w:r w:rsidRPr="00B9411F" w:rsidDel="00454186">
              <w:rPr>
                <w:i/>
              </w:rPr>
              <w:t xml:space="preserve"> </w:t>
            </w:r>
          </w:p>
        </w:tc>
      </w:tr>
      <w:tr w:rsidR="00824558" w14:paraId="298DDECE"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BB68F02" w14:textId="77777777" w:rsidR="00824558" w:rsidRPr="00083ED0" w:rsidRDefault="00824558">
            <w:pPr>
              <w:keepNext/>
              <w:ind w:left="170"/>
            </w:pPr>
            <w:r w:rsidRPr="00083ED0">
              <w:t>Value of media coverage generated: international</w:t>
            </w:r>
          </w:p>
        </w:tc>
        <w:tc>
          <w:tcPr>
            <w:tcW w:w="964" w:type="dxa"/>
          </w:tcPr>
          <w:p w14:paraId="65992387" w14:textId="77777777" w:rsidR="00824558" w:rsidRPr="00083ED0" w:rsidRDefault="00824558">
            <w:pPr>
              <w:jc w:val="center"/>
              <w:cnfStyle w:val="000000000000" w:firstRow="0" w:lastRow="0" w:firstColumn="0" w:lastColumn="0" w:oddVBand="0" w:evenVBand="0" w:oddHBand="0" w:evenHBand="0" w:firstRowFirstColumn="0" w:firstRowLastColumn="0" w:lastRowFirstColumn="0" w:lastRowLastColumn="0"/>
            </w:pPr>
            <w:r w:rsidRPr="00083ED0">
              <w:t>$ million</w:t>
            </w:r>
          </w:p>
        </w:tc>
        <w:tc>
          <w:tcPr>
            <w:tcW w:w="964" w:type="dxa"/>
            <w:shd w:val="clear" w:color="auto" w:fill="F0F0F0"/>
          </w:tcPr>
          <w:p w14:paraId="3EF4F026"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35</w:t>
            </w:r>
          </w:p>
        </w:tc>
        <w:tc>
          <w:tcPr>
            <w:tcW w:w="964" w:type="dxa"/>
          </w:tcPr>
          <w:p w14:paraId="55ADB02E"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25</w:t>
            </w:r>
          </w:p>
        </w:tc>
        <w:tc>
          <w:tcPr>
            <w:tcW w:w="964" w:type="dxa"/>
          </w:tcPr>
          <w:p w14:paraId="034CAE67"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10</w:t>
            </w:r>
          </w:p>
        </w:tc>
        <w:tc>
          <w:tcPr>
            <w:tcW w:w="964" w:type="dxa"/>
          </w:tcPr>
          <w:p w14:paraId="2FCB6928" w14:textId="77777777" w:rsidR="00824558" w:rsidRPr="00083ED0" w:rsidRDefault="00824558">
            <w:pPr>
              <w:cnfStyle w:val="000000000000" w:firstRow="0" w:lastRow="0" w:firstColumn="0" w:lastColumn="0" w:oddVBand="0" w:evenVBand="0" w:oddHBand="0" w:evenHBand="0" w:firstRowFirstColumn="0" w:firstRowLastColumn="0" w:lastRowFirstColumn="0" w:lastRowLastColumn="0"/>
            </w:pPr>
            <w:r w:rsidRPr="00083ED0">
              <w:t>36.7</w:t>
            </w:r>
          </w:p>
        </w:tc>
      </w:tr>
      <w:tr w:rsidR="00824558" w14:paraId="5A03902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A942F4" w14:textId="592B8F30" w:rsidR="00824558" w:rsidRPr="00B9411F" w:rsidRDefault="00824558">
            <w:pPr>
              <w:ind w:left="170"/>
            </w:pPr>
            <w:r w:rsidRPr="00B9411F">
              <w:rPr>
                <w:i/>
              </w:rPr>
              <w:t xml:space="preserve">The </w:t>
            </w:r>
            <w:r w:rsidR="008F7A05">
              <w:rPr>
                <w:i/>
              </w:rPr>
              <w:t>2025-26</w:t>
            </w:r>
            <w:r w:rsidRPr="00B9411F">
              <w:rPr>
                <w:i/>
              </w:rPr>
              <w:t xml:space="preserve"> expected outcome is higher than the target due to additional </w:t>
            </w:r>
            <w:r w:rsidR="006B0A21">
              <w:rPr>
                <w:i/>
              </w:rPr>
              <w:t>D</w:t>
            </w:r>
            <w:r w:rsidRPr="00B9411F">
              <w:rPr>
                <w:i/>
              </w:rPr>
              <w:t xml:space="preserve">estination </w:t>
            </w:r>
            <w:r w:rsidR="006B0A21">
              <w:rPr>
                <w:i/>
              </w:rPr>
              <w:t>M</w:t>
            </w:r>
            <w:r w:rsidRPr="00B9411F">
              <w:rPr>
                <w:i/>
              </w:rPr>
              <w:t>arketing funding for Visit Victoria and a pipeline of marketing and public relations activity for summer, winter and the NFL regular season game in September 2026.</w:t>
            </w:r>
          </w:p>
          <w:p w14:paraId="727A545E" w14:textId="47B67C3E" w:rsidR="00824558" w:rsidRPr="00083ED0" w:rsidRDefault="00824558">
            <w:pPr>
              <w:ind w:left="170"/>
            </w:pPr>
            <w:r w:rsidRPr="00B9411F">
              <w:rPr>
                <w:i/>
              </w:rPr>
              <w:t xml:space="preserve">The higher 2026-27 target is due to additional </w:t>
            </w:r>
            <w:r w:rsidR="005D5EED">
              <w:rPr>
                <w:i/>
              </w:rPr>
              <w:t>D</w:t>
            </w:r>
            <w:r w:rsidRPr="00B9411F">
              <w:rPr>
                <w:i/>
              </w:rPr>
              <w:t xml:space="preserve">estination </w:t>
            </w:r>
            <w:r w:rsidR="005D5EED">
              <w:rPr>
                <w:i/>
              </w:rPr>
              <w:t>M</w:t>
            </w:r>
            <w:r w:rsidRPr="00B9411F">
              <w:rPr>
                <w:i/>
              </w:rPr>
              <w:t>arketing funding</w:t>
            </w:r>
            <w:r w:rsidRPr="00B9411F">
              <w:rPr>
                <w:i/>
                <w:iCs/>
              </w:rPr>
              <w:t>.</w:t>
            </w:r>
            <w:r w:rsidRPr="00B9411F">
              <w:rPr>
                <w:i/>
              </w:rPr>
              <w:t xml:space="preserve"> </w:t>
            </w:r>
          </w:p>
        </w:tc>
      </w:tr>
      <w:tr w:rsidR="00824558" w:rsidRPr="00A9225F" w14:paraId="015DCE4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5BE5208" w14:textId="77777777" w:rsidR="00824558" w:rsidRPr="00A9225F" w:rsidRDefault="00824558">
            <w:pPr>
              <w:keepNext/>
              <w:rPr>
                <w:b/>
                <w:bCs/>
                <w:iCs/>
              </w:rPr>
            </w:pPr>
            <w:r w:rsidRPr="00A9225F">
              <w:rPr>
                <w:b/>
                <w:bCs/>
                <w:iCs/>
              </w:rPr>
              <w:lastRenderedPageBreak/>
              <w:t>Timeliness</w:t>
            </w:r>
          </w:p>
        </w:tc>
      </w:tr>
      <w:tr w:rsidR="00824558" w14:paraId="7EE00334"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6BF5DAD" w14:textId="77777777" w:rsidR="00824558" w:rsidRDefault="00824558">
            <w:pPr>
              <w:ind w:left="170"/>
            </w:pPr>
            <w:r>
              <w:t>Completion of post-event reports and economic impact assessments of each event (where required) within agreed timeframes</w:t>
            </w:r>
          </w:p>
        </w:tc>
        <w:tc>
          <w:tcPr>
            <w:tcW w:w="964" w:type="dxa"/>
            <w:tcBorders>
              <w:bottom w:val="single" w:sz="6" w:space="0" w:color="auto"/>
            </w:tcBorders>
          </w:tcPr>
          <w:p w14:paraId="76796E3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B8549E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371A53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9DB4D6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D36156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12290E" w:rsidRPr="00DC0EBC" w14:paraId="2EE54A82"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B42DB56" w14:textId="77777777" w:rsidR="0012290E" w:rsidRPr="00DC0EBC" w:rsidRDefault="0012290E">
            <w:pPr>
              <w:keepNext/>
              <w:rPr>
                <w:b/>
              </w:rPr>
            </w:pPr>
            <w:r w:rsidRPr="00DC0EBC">
              <w:rPr>
                <w:b/>
              </w:rPr>
              <w:t>Cost</w:t>
            </w:r>
          </w:p>
        </w:tc>
      </w:tr>
      <w:tr w:rsidR="00DB546C" w14:paraId="3470B6BF" w14:textId="77777777" w:rsidTr="00DB546C">
        <w:tc>
          <w:tcPr>
            <w:cnfStyle w:val="001000000000" w:firstRow="0" w:lastRow="0" w:firstColumn="1" w:lastColumn="0" w:oddVBand="0" w:evenVBand="0" w:oddHBand="0" w:evenHBand="0" w:firstRowFirstColumn="0" w:firstRowLastColumn="0" w:lastRowFirstColumn="0" w:lastRowLastColumn="0"/>
            <w:tcW w:w="4819" w:type="dxa"/>
          </w:tcPr>
          <w:p w14:paraId="2D683605" w14:textId="77777777" w:rsidR="00DB546C" w:rsidRDefault="00DB546C" w:rsidP="00DB546C">
            <w:pPr>
              <w:keepNext/>
              <w:ind w:left="170"/>
            </w:pPr>
            <w:r>
              <w:t>Total output cost</w:t>
            </w:r>
          </w:p>
        </w:tc>
        <w:tc>
          <w:tcPr>
            <w:tcW w:w="964" w:type="dxa"/>
          </w:tcPr>
          <w:p w14:paraId="11ED1AA9" w14:textId="77777777" w:rsidR="00DB546C" w:rsidRDefault="00DB546C" w:rsidP="00DB546C">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50248BC0" w14:textId="007E93B5" w:rsidR="00DB546C" w:rsidRPr="004D0078" w:rsidRDefault="00DB546C" w:rsidP="00DB546C">
            <w:pPr>
              <w:cnfStyle w:val="000000000000" w:firstRow="0" w:lastRow="0" w:firstColumn="0" w:lastColumn="0" w:oddVBand="0" w:evenVBand="0" w:oddHBand="0" w:evenHBand="0" w:firstRowFirstColumn="0" w:firstRowLastColumn="0" w:lastRowFirstColumn="0" w:lastRowLastColumn="0"/>
              <w:rPr>
                <w:highlight w:val="yellow"/>
              </w:rPr>
            </w:pPr>
            <w:r>
              <w:t>295.3</w:t>
            </w:r>
          </w:p>
        </w:tc>
        <w:tc>
          <w:tcPr>
            <w:tcW w:w="964" w:type="dxa"/>
          </w:tcPr>
          <w:p w14:paraId="25123418" w14:textId="61AE5ECC" w:rsidR="00DB546C" w:rsidRPr="004D0078" w:rsidRDefault="00DB546C" w:rsidP="00DB546C">
            <w:pPr>
              <w:cnfStyle w:val="000000000000" w:firstRow="0" w:lastRow="0" w:firstColumn="0" w:lastColumn="0" w:oddVBand="0" w:evenVBand="0" w:oddHBand="0" w:evenHBand="0" w:firstRowFirstColumn="0" w:firstRowLastColumn="0" w:lastRowFirstColumn="0" w:lastRowLastColumn="0"/>
              <w:rPr>
                <w:highlight w:val="yellow"/>
              </w:rPr>
            </w:pPr>
            <w:r>
              <w:t>407.5</w:t>
            </w:r>
          </w:p>
        </w:tc>
        <w:tc>
          <w:tcPr>
            <w:tcW w:w="964" w:type="dxa"/>
          </w:tcPr>
          <w:p w14:paraId="46655369" w14:textId="00893AFB" w:rsidR="00DB546C" w:rsidRPr="004D0078" w:rsidRDefault="00DB546C" w:rsidP="00DB546C">
            <w:pPr>
              <w:cnfStyle w:val="000000000000" w:firstRow="0" w:lastRow="0" w:firstColumn="0" w:lastColumn="0" w:oddVBand="0" w:evenVBand="0" w:oddHBand="0" w:evenHBand="0" w:firstRowFirstColumn="0" w:firstRowLastColumn="0" w:lastRowFirstColumn="0" w:lastRowLastColumn="0"/>
              <w:rPr>
                <w:highlight w:val="yellow"/>
              </w:rPr>
            </w:pPr>
            <w:r>
              <w:t>220.4</w:t>
            </w:r>
          </w:p>
        </w:tc>
        <w:tc>
          <w:tcPr>
            <w:tcW w:w="964" w:type="dxa"/>
          </w:tcPr>
          <w:p w14:paraId="383DC30E" w14:textId="73655B84" w:rsidR="00DB546C" w:rsidRPr="004D0078" w:rsidRDefault="00DB546C" w:rsidP="00DB546C">
            <w:pPr>
              <w:cnfStyle w:val="000000000000" w:firstRow="0" w:lastRow="0" w:firstColumn="0" w:lastColumn="0" w:oddVBand="0" w:evenVBand="0" w:oddHBand="0" w:evenHBand="0" w:firstRowFirstColumn="0" w:firstRowLastColumn="0" w:lastRowFirstColumn="0" w:lastRowLastColumn="0"/>
              <w:rPr>
                <w:highlight w:val="yellow"/>
              </w:rPr>
            </w:pPr>
            <w:r w:rsidRPr="00761C7B">
              <w:t>363.2</w:t>
            </w:r>
          </w:p>
        </w:tc>
      </w:tr>
      <w:tr w:rsidR="00BB006A" w14:paraId="4448DE6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B2EFA66" w14:textId="3EC92247" w:rsidR="00BB006A" w:rsidRPr="0049387D" w:rsidRDefault="0049387D" w:rsidP="0049387D">
            <w:pPr>
              <w:ind w:left="170"/>
              <w:rPr>
                <w:i/>
                <w:iCs/>
              </w:rPr>
            </w:pPr>
            <w:r w:rsidRPr="00E62E4E">
              <w:rPr>
                <w:i/>
                <w:iCs/>
              </w:rPr>
              <w:t xml:space="preserve">The 2025-26 expected outcome is higher than the 2025-26 target due to additional funding received for major events and additional funding from the </w:t>
            </w:r>
            <w:r w:rsidRPr="00702F97">
              <w:t>2026-27 Budget</w:t>
            </w:r>
            <w:r w:rsidRPr="00E62E4E">
              <w:rPr>
                <w:i/>
                <w:iCs/>
              </w:rPr>
              <w:t xml:space="preserve"> for </w:t>
            </w:r>
            <w:r w:rsidR="00926D71">
              <w:rPr>
                <w:i/>
                <w:iCs/>
              </w:rPr>
              <w:t>Supporting Victorian events</w:t>
            </w:r>
            <w:r w:rsidRPr="00E62E4E">
              <w:rPr>
                <w:i/>
                <w:iCs/>
              </w:rPr>
              <w:t>.</w:t>
            </w:r>
          </w:p>
        </w:tc>
      </w:tr>
      <w:tr w:rsidR="00DB546C" w14:paraId="6128EC51" w14:textId="77777777" w:rsidTr="00E8656D">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FDBDFE3" w14:textId="0A7FEF4D" w:rsidR="00DB546C" w:rsidRPr="00761C7B" w:rsidRDefault="00BB006A" w:rsidP="0049387D">
            <w:pPr>
              <w:ind w:left="170"/>
            </w:pPr>
            <w:r w:rsidRPr="003F7DD9">
              <w:rPr>
                <w:i/>
                <w:iCs/>
              </w:rPr>
              <w:t xml:space="preserve">The 2026-27 target is higher than the 2025-26 target primarily due to the funding profile of Tourism and Major Events initiatives and additional funding from the </w:t>
            </w:r>
            <w:r w:rsidRPr="00702F97">
              <w:t>2026-27 Budget</w:t>
            </w:r>
            <w:r w:rsidRPr="003F7DD9">
              <w:rPr>
                <w:i/>
                <w:iCs/>
              </w:rPr>
              <w:t xml:space="preserve"> for </w:t>
            </w:r>
            <w:r w:rsidR="00926D71">
              <w:rPr>
                <w:i/>
                <w:iCs/>
              </w:rPr>
              <w:t>Supporting Victorian events</w:t>
            </w:r>
            <w:r w:rsidRPr="003F7DD9">
              <w:rPr>
                <w:i/>
                <w:iCs/>
              </w:rPr>
              <w:t>.</w:t>
            </w:r>
          </w:p>
        </w:tc>
      </w:tr>
    </w:tbl>
    <w:p w14:paraId="72E7EC95" w14:textId="77777777" w:rsidR="00824558" w:rsidRDefault="00824558">
      <w:pPr>
        <w:pStyle w:val="Source"/>
      </w:pPr>
      <w:r>
        <w:t>Source: Department of Jobs, Skills, Industry and Regions</w:t>
      </w:r>
    </w:p>
    <w:p w14:paraId="466BF25C" w14:textId="77777777" w:rsidR="00824558" w:rsidRPr="0026123D" w:rsidRDefault="00824558"/>
    <w:p w14:paraId="363D925B" w14:textId="77777777" w:rsidR="00824558" w:rsidRPr="008074D3" w:rsidRDefault="00824558">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b/>
          <w:sz w:val="20"/>
        </w:rPr>
      </w:pPr>
      <w:r w:rsidRPr="008074D3">
        <w:rPr>
          <w:rFonts w:ascii="Calibri" w:eastAsia="Garamond" w:hAnsi="Calibri"/>
          <w:b/>
          <w:sz w:val="20"/>
        </w:rPr>
        <w:t>Objective 6: Deliver high-quality training and skills to meet industry needs and jobs for a growing economy</w:t>
      </w:r>
    </w:p>
    <w:p w14:paraId="73248C37" w14:textId="3700B027" w:rsidR="00824558" w:rsidRPr="008074D3"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rPr>
      </w:pPr>
      <w:r w:rsidRPr="008074D3">
        <w:rPr>
          <w:rFonts w:ascii="Garamond" w:eastAsia="Garamond" w:hAnsi="Garamond"/>
        </w:rPr>
        <w:t>This objective seeks to develop the skills of Victorians to meet the current and future needs of industry and business by ensuring that TAFEs and training providers deliver high</w:t>
      </w:r>
      <w:r w:rsidR="00EF447D">
        <w:rPr>
          <w:rFonts w:ascii="Garamond" w:eastAsia="Garamond" w:hAnsi="Garamond"/>
        </w:rPr>
        <w:t>-</w:t>
      </w:r>
      <w:r w:rsidRPr="008074D3">
        <w:rPr>
          <w:rFonts w:ascii="Garamond" w:eastAsia="Garamond" w:hAnsi="Garamond"/>
        </w:rPr>
        <w:t>quality and accessible training.</w:t>
      </w:r>
    </w:p>
    <w:p w14:paraId="5C240E0B" w14:textId="77777777" w:rsidR="00824558" w:rsidRPr="006C4023" w:rsidRDefault="00824558">
      <w:pPr>
        <w:pBdr>
          <w:top w:val="single" w:sz="6" w:space="3" w:color="auto"/>
          <w:left w:val="single" w:sz="6" w:space="4" w:color="auto"/>
          <w:bottom w:val="single" w:sz="6" w:space="3" w:color="auto"/>
          <w:right w:val="single" w:sz="6" w:space="4" w:color="auto"/>
        </w:pBdr>
        <w:shd w:val="clear" w:color="auto" w:fill="F2F2F2"/>
        <w:rPr>
          <w:rFonts w:ascii="Garamond" w:eastAsia="Garamond" w:hAnsi="Garamond"/>
          <w:strike/>
          <w:color w:val="7030A0"/>
        </w:rPr>
      </w:pPr>
      <w:r w:rsidRPr="008074D3">
        <w:rPr>
          <w:rFonts w:ascii="Garamond" w:eastAsia="Garamond" w:hAnsi="Garamond"/>
        </w:rPr>
        <w:t>The departmental objective indicators are:</w:t>
      </w:r>
    </w:p>
    <w:p w14:paraId="6E3BA3C5" w14:textId="77777777" w:rsidR="00824558" w:rsidRPr="008074D3" w:rsidRDefault="00824558">
      <w:pPr>
        <w:pStyle w:val="ShadedBoxBullet"/>
        <w:contextualSpacing/>
      </w:pPr>
      <w:r w:rsidRPr="008074D3">
        <w:t xml:space="preserve">proportion of VET completers satisfied with training </w:t>
      </w:r>
    </w:p>
    <w:p w14:paraId="0106AC5D" w14:textId="77777777" w:rsidR="00824558" w:rsidRPr="008074D3" w:rsidRDefault="00824558">
      <w:pPr>
        <w:pStyle w:val="ShadedBoxBullet"/>
        <w:contextualSpacing/>
      </w:pPr>
      <w:r w:rsidRPr="008074D3">
        <w:t xml:space="preserve">proportion of VET completers with an improved employment status after training </w:t>
      </w:r>
    </w:p>
    <w:p w14:paraId="780F1F8F" w14:textId="77777777" w:rsidR="00824558" w:rsidRPr="008074D3" w:rsidRDefault="00824558">
      <w:pPr>
        <w:pStyle w:val="ShadedBoxBullet"/>
        <w:contextualSpacing/>
      </w:pPr>
      <w:r w:rsidRPr="008074D3">
        <w:t>proportion of VET completers who achieved their main reason for training.</w:t>
      </w:r>
    </w:p>
    <w:p w14:paraId="773A9E7E" w14:textId="77777777" w:rsidR="00824558" w:rsidRDefault="00824558">
      <w:pPr>
        <w:pStyle w:val="Heading3"/>
      </w:pPr>
      <w:r>
        <w:t>Output</w:t>
      </w:r>
    </w:p>
    <w:p w14:paraId="1EDF4295" w14:textId="4A633DC7" w:rsidR="00824558" w:rsidRDefault="00824558">
      <w:pPr>
        <w:pStyle w:val="Heading3"/>
      </w:pPr>
      <w:r>
        <w:t>Training, Higher Education and Workforce Development</w:t>
      </w:r>
      <w:r>
        <w:tab/>
        <w:t>(2026-27: $</w:t>
      </w:r>
      <w:r w:rsidR="009510E1">
        <w:t>2 294.3</w:t>
      </w:r>
      <w:r>
        <w:t xml:space="preserve"> million)</w:t>
      </w:r>
    </w:p>
    <w:p w14:paraId="760A1CE0" w14:textId="77777777" w:rsidR="00824558" w:rsidRPr="00F74692" w:rsidRDefault="00824558" w:rsidP="00755FAA">
      <w:pPr>
        <w:spacing w:after="120"/>
      </w:pPr>
      <w:r w:rsidRPr="008074D3">
        <w:rPr>
          <w:rFonts w:ascii="Garamond" w:eastAsia="Garamond" w:hAnsi="Garamond"/>
        </w:rPr>
        <w:t>This output supports Victorians to gain the skills and capabilities essential for success in employment and further training or study. The Department works with the TAFE and training sector to deliver quality training that strongly supports industry to meet the evolving needs of the economy, promotes equity and addresses disadvantage, with an emphasis on growth sectors of the economy. This output includes the functions of training system design, industry engagement, contracting and monitoring of quality and training services including accredited and pre-accredited vocational education and training</w:t>
      </w:r>
      <w:r>
        <w:rPr>
          <w:rFonts w:ascii="Garamond" w:eastAsia="Garamond" w:hAnsi="Garamond"/>
        </w:rPr>
        <w: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4C4B185" w14:textId="77777777" w:rsidTr="00122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D02B9E7" w14:textId="77777777" w:rsidR="00824558" w:rsidRDefault="00824558">
            <w:r>
              <w:t>Performance measure</w:t>
            </w:r>
          </w:p>
        </w:tc>
        <w:tc>
          <w:tcPr>
            <w:tcW w:w="964" w:type="dxa"/>
          </w:tcPr>
          <w:p w14:paraId="6CA2CEEC"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CE9254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746E94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670519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DF7C17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A9225F" w14:paraId="60FF3F50"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58DAE7E6" w14:textId="77777777" w:rsidR="00824558" w:rsidRPr="00A9225F" w:rsidRDefault="00824558">
            <w:pPr>
              <w:keepNext/>
              <w:rPr>
                <w:b/>
                <w:bCs/>
                <w:iCs/>
              </w:rPr>
            </w:pPr>
            <w:r w:rsidRPr="00A9225F">
              <w:rPr>
                <w:b/>
                <w:bCs/>
                <w:iCs/>
              </w:rPr>
              <w:t>Quantity</w:t>
            </w:r>
          </w:p>
        </w:tc>
      </w:tr>
      <w:tr w:rsidR="00824558" w14:paraId="6166A4B1"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B2CDB52" w14:textId="77777777" w:rsidR="00824558" w:rsidRDefault="00824558">
            <w:pPr>
              <w:keepNext/>
              <w:ind w:left="170"/>
            </w:pPr>
            <w:r>
              <w:t>Number of enrolments in the Free TAFE for priority courses initiative</w:t>
            </w:r>
          </w:p>
        </w:tc>
        <w:tc>
          <w:tcPr>
            <w:tcW w:w="964" w:type="dxa"/>
          </w:tcPr>
          <w:p w14:paraId="42E6AAE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637897C" w14:textId="77777777" w:rsidR="00824558" w:rsidRDefault="00824558">
            <w:pPr>
              <w:cnfStyle w:val="000000000000" w:firstRow="0" w:lastRow="0" w:firstColumn="0" w:lastColumn="0" w:oddVBand="0" w:evenVBand="0" w:oddHBand="0" w:evenHBand="0" w:firstRowFirstColumn="0" w:firstRowLastColumn="0" w:lastRowFirstColumn="0" w:lastRowLastColumn="0"/>
            </w:pPr>
            <w:r>
              <w:t>50 000</w:t>
            </w:r>
          </w:p>
        </w:tc>
        <w:tc>
          <w:tcPr>
            <w:tcW w:w="964" w:type="dxa"/>
          </w:tcPr>
          <w:p w14:paraId="3BA20F8C" w14:textId="77777777" w:rsidR="00824558" w:rsidRDefault="00824558">
            <w:pPr>
              <w:cnfStyle w:val="000000000000" w:firstRow="0" w:lastRow="0" w:firstColumn="0" w:lastColumn="0" w:oddVBand="0" w:evenVBand="0" w:oddHBand="0" w:evenHBand="0" w:firstRowFirstColumn="0" w:firstRowLastColumn="0" w:lastRowFirstColumn="0" w:lastRowLastColumn="0"/>
            </w:pPr>
            <w:r>
              <w:t>60 832</w:t>
            </w:r>
          </w:p>
        </w:tc>
        <w:tc>
          <w:tcPr>
            <w:tcW w:w="964" w:type="dxa"/>
          </w:tcPr>
          <w:p w14:paraId="533B3BDC" w14:textId="77777777" w:rsidR="00824558" w:rsidRDefault="00824558">
            <w:pPr>
              <w:cnfStyle w:val="000000000000" w:firstRow="0" w:lastRow="0" w:firstColumn="0" w:lastColumn="0" w:oddVBand="0" w:evenVBand="0" w:oddHBand="0" w:evenHBand="0" w:firstRowFirstColumn="0" w:firstRowLastColumn="0" w:lastRowFirstColumn="0" w:lastRowLastColumn="0"/>
            </w:pPr>
            <w:r>
              <w:t>50 000</w:t>
            </w:r>
          </w:p>
        </w:tc>
        <w:tc>
          <w:tcPr>
            <w:tcW w:w="964" w:type="dxa"/>
          </w:tcPr>
          <w:p w14:paraId="22744423" w14:textId="77777777" w:rsidR="00824558" w:rsidRDefault="00824558">
            <w:pPr>
              <w:cnfStyle w:val="000000000000" w:firstRow="0" w:lastRow="0" w:firstColumn="0" w:lastColumn="0" w:oddVBand="0" w:evenVBand="0" w:oddHBand="0" w:evenHBand="0" w:firstRowFirstColumn="0" w:firstRowLastColumn="0" w:lastRowFirstColumn="0" w:lastRowLastColumn="0"/>
            </w:pPr>
            <w:r>
              <w:t>53 857</w:t>
            </w:r>
          </w:p>
        </w:tc>
      </w:tr>
      <w:tr w:rsidR="00824558" w14:paraId="6E2DF08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C8FA0F" w14:textId="77777777" w:rsidR="00824558" w:rsidRDefault="00824558">
            <w:pPr>
              <w:ind w:left="170"/>
            </w:pPr>
            <w:r>
              <w:rPr>
                <w:i/>
              </w:rPr>
              <w:t>The 2025-26 expected outcome is higher than the target due to increased demand for Free TAFE.</w:t>
            </w:r>
          </w:p>
        </w:tc>
      </w:tr>
      <w:tr w:rsidR="00824558" w14:paraId="1B3A707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73717E80" w14:textId="77777777" w:rsidR="00824558" w:rsidRDefault="00824558">
            <w:pPr>
              <w:keepNext/>
              <w:ind w:left="170"/>
            </w:pPr>
            <w:r>
              <w:t>Number of government subsidised apprenticeship course enrolments</w:t>
            </w:r>
          </w:p>
        </w:tc>
        <w:tc>
          <w:tcPr>
            <w:tcW w:w="964" w:type="dxa"/>
          </w:tcPr>
          <w:p w14:paraId="640EE05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9C09251" w14:textId="77777777" w:rsidR="00824558" w:rsidRDefault="00824558">
            <w:pPr>
              <w:cnfStyle w:val="000000000000" w:firstRow="0" w:lastRow="0" w:firstColumn="0" w:lastColumn="0" w:oddVBand="0" w:evenVBand="0" w:oddHBand="0" w:evenHBand="0" w:firstRowFirstColumn="0" w:firstRowLastColumn="0" w:lastRowFirstColumn="0" w:lastRowLastColumn="0"/>
            </w:pPr>
            <w:r>
              <w:t>49 900</w:t>
            </w:r>
          </w:p>
        </w:tc>
        <w:tc>
          <w:tcPr>
            <w:tcW w:w="964" w:type="dxa"/>
          </w:tcPr>
          <w:p w14:paraId="5BB9EFD0" w14:textId="77777777" w:rsidR="00824558" w:rsidRDefault="00824558">
            <w:pPr>
              <w:cnfStyle w:val="000000000000" w:firstRow="0" w:lastRow="0" w:firstColumn="0" w:lastColumn="0" w:oddVBand="0" w:evenVBand="0" w:oddHBand="0" w:evenHBand="0" w:firstRowFirstColumn="0" w:firstRowLastColumn="0" w:lastRowFirstColumn="0" w:lastRowLastColumn="0"/>
            </w:pPr>
            <w:r>
              <w:t>55 340</w:t>
            </w:r>
          </w:p>
        </w:tc>
        <w:tc>
          <w:tcPr>
            <w:tcW w:w="964" w:type="dxa"/>
          </w:tcPr>
          <w:p w14:paraId="0731D5DC" w14:textId="77777777" w:rsidR="00824558" w:rsidRDefault="00824558">
            <w:pPr>
              <w:cnfStyle w:val="000000000000" w:firstRow="0" w:lastRow="0" w:firstColumn="0" w:lastColumn="0" w:oddVBand="0" w:evenVBand="0" w:oddHBand="0" w:evenHBand="0" w:firstRowFirstColumn="0" w:firstRowLastColumn="0" w:lastRowFirstColumn="0" w:lastRowLastColumn="0"/>
            </w:pPr>
            <w:r>
              <w:t>49 900</w:t>
            </w:r>
          </w:p>
        </w:tc>
        <w:tc>
          <w:tcPr>
            <w:tcW w:w="964" w:type="dxa"/>
          </w:tcPr>
          <w:p w14:paraId="1DE5FD7D" w14:textId="77777777" w:rsidR="00824558" w:rsidRDefault="00824558">
            <w:pPr>
              <w:cnfStyle w:val="000000000000" w:firstRow="0" w:lastRow="0" w:firstColumn="0" w:lastColumn="0" w:oddVBand="0" w:evenVBand="0" w:oddHBand="0" w:evenHBand="0" w:firstRowFirstColumn="0" w:firstRowLastColumn="0" w:lastRowFirstColumn="0" w:lastRowLastColumn="0"/>
            </w:pPr>
            <w:r>
              <w:t>56 339</w:t>
            </w:r>
          </w:p>
        </w:tc>
      </w:tr>
      <w:tr w:rsidR="00824558" w14:paraId="151AD13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F946B8" w14:textId="39A6CDEC" w:rsidR="00824558" w:rsidRDefault="00824558">
            <w:pPr>
              <w:ind w:left="170"/>
            </w:pPr>
            <w:r>
              <w:rPr>
                <w:i/>
              </w:rPr>
              <w:t xml:space="preserve">The 2025-26 expected outcome exceeds the target, reflecting </w:t>
            </w:r>
            <w:r w:rsidR="00A70AFE">
              <w:rPr>
                <w:i/>
              </w:rPr>
              <w:t>g</w:t>
            </w:r>
            <w:r>
              <w:rPr>
                <w:i/>
              </w:rPr>
              <w:t xml:space="preserve">overnment initiatives to support </w:t>
            </w:r>
            <w:r w:rsidR="004B0D1D">
              <w:rPr>
                <w:i/>
              </w:rPr>
              <w:t>a</w:t>
            </w:r>
            <w:r>
              <w:rPr>
                <w:i/>
              </w:rPr>
              <w:t xml:space="preserve">pprentice retention and completion, with more apprentices progressing into their third and fourth years of study. </w:t>
            </w:r>
          </w:p>
        </w:tc>
      </w:tr>
      <w:tr w:rsidR="00824558" w14:paraId="4B69027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0DA0D8B" w14:textId="77777777" w:rsidR="00824558" w:rsidRDefault="00824558">
            <w:pPr>
              <w:ind w:left="170"/>
            </w:pPr>
            <w:r>
              <w:t>Number of government subsidised course enrolments</w:t>
            </w:r>
          </w:p>
        </w:tc>
        <w:tc>
          <w:tcPr>
            <w:tcW w:w="964" w:type="dxa"/>
            <w:tcBorders>
              <w:bottom w:val="single" w:sz="6" w:space="0" w:color="auto"/>
            </w:tcBorders>
          </w:tcPr>
          <w:p w14:paraId="0846550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D39BF79" w14:textId="77777777" w:rsidR="00824558" w:rsidRDefault="00824558">
            <w:pPr>
              <w:cnfStyle w:val="000000000000" w:firstRow="0" w:lastRow="0" w:firstColumn="0" w:lastColumn="0" w:oddVBand="0" w:evenVBand="0" w:oddHBand="0" w:evenHBand="0" w:firstRowFirstColumn="0" w:firstRowLastColumn="0" w:lastRowFirstColumn="0" w:lastRowLastColumn="0"/>
            </w:pPr>
            <w:r>
              <w:t>317 500</w:t>
            </w:r>
          </w:p>
        </w:tc>
        <w:tc>
          <w:tcPr>
            <w:tcW w:w="964" w:type="dxa"/>
            <w:tcBorders>
              <w:bottom w:val="single" w:sz="6" w:space="0" w:color="auto"/>
            </w:tcBorders>
          </w:tcPr>
          <w:p w14:paraId="7B734012" w14:textId="77777777" w:rsidR="00824558" w:rsidRDefault="00824558">
            <w:pPr>
              <w:cnfStyle w:val="000000000000" w:firstRow="0" w:lastRow="0" w:firstColumn="0" w:lastColumn="0" w:oddVBand="0" w:evenVBand="0" w:oddHBand="0" w:evenHBand="0" w:firstRowFirstColumn="0" w:firstRowLastColumn="0" w:lastRowFirstColumn="0" w:lastRowLastColumn="0"/>
            </w:pPr>
            <w:r>
              <w:t>322 543</w:t>
            </w:r>
          </w:p>
        </w:tc>
        <w:tc>
          <w:tcPr>
            <w:tcW w:w="964" w:type="dxa"/>
            <w:tcBorders>
              <w:bottom w:val="single" w:sz="6" w:space="0" w:color="auto"/>
            </w:tcBorders>
          </w:tcPr>
          <w:p w14:paraId="0F6DFECF" w14:textId="77777777" w:rsidR="00824558" w:rsidRDefault="00824558">
            <w:pPr>
              <w:cnfStyle w:val="000000000000" w:firstRow="0" w:lastRow="0" w:firstColumn="0" w:lastColumn="0" w:oddVBand="0" w:evenVBand="0" w:oddHBand="0" w:evenHBand="0" w:firstRowFirstColumn="0" w:firstRowLastColumn="0" w:lastRowFirstColumn="0" w:lastRowLastColumn="0"/>
            </w:pPr>
            <w:r>
              <w:t>317 500</w:t>
            </w:r>
          </w:p>
        </w:tc>
        <w:tc>
          <w:tcPr>
            <w:tcW w:w="964" w:type="dxa"/>
            <w:tcBorders>
              <w:bottom w:val="single" w:sz="6" w:space="0" w:color="auto"/>
            </w:tcBorders>
          </w:tcPr>
          <w:p w14:paraId="09D4FFE1" w14:textId="77777777" w:rsidR="00824558" w:rsidRDefault="00824558">
            <w:pPr>
              <w:cnfStyle w:val="000000000000" w:firstRow="0" w:lastRow="0" w:firstColumn="0" w:lastColumn="0" w:oddVBand="0" w:evenVBand="0" w:oddHBand="0" w:evenHBand="0" w:firstRowFirstColumn="0" w:firstRowLastColumn="0" w:lastRowFirstColumn="0" w:lastRowLastColumn="0"/>
            </w:pPr>
            <w:r>
              <w:t>341 253</w:t>
            </w:r>
          </w:p>
        </w:tc>
      </w:tr>
      <w:tr w:rsidR="00824558" w14:paraId="56D723D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168FD9F6" w14:textId="77777777" w:rsidR="00824558" w:rsidRDefault="00824558">
            <w:pPr>
              <w:keepNext/>
              <w:ind w:left="170"/>
            </w:pPr>
            <w:r>
              <w:t>Number of government subsidised course enrolments at Certificate III or above by students without Year 12, Certificate II or above</w:t>
            </w:r>
          </w:p>
        </w:tc>
        <w:tc>
          <w:tcPr>
            <w:tcW w:w="964" w:type="dxa"/>
          </w:tcPr>
          <w:p w14:paraId="27A9603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7DD4AD8" w14:textId="77777777" w:rsidR="00824558" w:rsidRDefault="00824558">
            <w:pPr>
              <w:cnfStyle w:val="000000000000" w:firstRow="0" w:lastRow="0" w:firstColumn="0" w:lastColumn="0" w:oddVBand="0" w:evenVBand="0" w:oddHBand="0" w:evenHBand="0" w:firstRowFirstColumn="0" w:firstRowLastColumn="0" w:lastRowFirstColumn="0" w:lastRowLastColumn="0"/>
            </w:pPr>
            <w:r>
              <w:t>52 000</w:t>
            </w:r>
          </w:p>
        </w:tc>
        <w:tc>
          <w:tcPr>
            <w:tcW w:w="964" w:type="dxa"/>
          </w:tcPr>
          <w:p w14:paraId="6F8CF5AA" w14:textId="77777777" w:rsidR="00824558" w:rsidRDefault="00824558">
            <w:pPr>
              <w:cnfStyle w:val="000000000000" w:firstRow="0" w:lastRow="0" w:firstColumn="0" w:lastColumn="0" w:oddVBand="0" w:evenVBand="0" w:oddHBand="0" w:evenHBand="0" w:firstRowFirstColumn="0" w:firstRowLastColumn="0" w:lastRowFirstColumn="0" w:lastRowLastColumn="0"/>
            </w:pPr>
            <w:r>
              <w:t>47 895</w:t>
            </w:r>
          </w:p>
        </w:tc>
        <w:tc>
          <w:tcPr>
            <w:tcW w:w="964" w:type="dxa"/>
          </w:tcPr>
          <w:p w14:paraId="0DB9799D" w14:textId="77777777" w:rsidR="00824558" w:rsidRDefault="00824558">
            <w:pPr>
              <w:cnfStyle w:val="000000000000" w:firstRow="0" w:lastRow="0" w:firstColumn="0" w:lastColumn="0" w:oddVBand="0" w:evenVBand="0" w:oddHBand="0" w:evenHBand="0" w:firstRowFirstColumn="0" w:firstRowLastColumn="0" w:lastRowFirstColumn="0" w:lastRowLastColumn="0"/>
            </w:pPr>
            <w:r>
              <w:t>52 000</w:t>
            </w:r>
          </w:p>
        </w:tc>
        <w:tc>
          <w:tcPr>
            <w:tcW w:w="964" w:type="dxa"/>
          </w:tcPr>
          <w:p w14:paraId="1F7B4372" w14:textId="77777777" w:rsidR="00824558" w:rsidRDefault="00824558">
            <w:pPr>
              <w:cnfStyle w:val="000000000000" w:firstRow="0" w:lastRow="0" w:firstColumn="0" w:lastColumn="0" w:oddVBand="0" w:evenVBand="0" w:oddHBand="0" w:evenHBand="0" w:firstRowFirstColumn="0" w:firstRowLastColumn="0" w:lastRowFirstColumn="0" w:lastRowLastColumn="0"/>
            </w:pPr>
            <w:r>
              <w:t>52 599</w:t>
            </w:r>
          </w:p>
        </w:tc>
      </w:tr>
      <w:tr w:rsidR="00824558" w14:paraId="6AF7D71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8798A6" w14:textId="77777777" w:rsidR="00824558" w:rsidRDefault="00824558">
            <w:pPr>
              <w:ind w:left="170"/>
            </w:pPr>
            <w:r>
              <w:rPr>
                <w:i/>
              </w:rPr>
              <w:t>The 2025-26 expected outcome is lower than the target, due to this cohort increasingly accessing alternative forms of training to Skills First, including VET delivered in secondary schools and pre-accredited training.</w:t>
            </w:r>
          </w:p>
        </w:tc>
      </w:tr>
      <w:tr w:rsidR="00824558" w14:paraId="12CBDF1C"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10395CD" w14:textId="77777777" w:rsidR="00824558" w:rsidRDefault="00824558">
            <w:pPr>
              <w:keepNext/>
              <w:ind w:left="170"/>
            </w:pPr>
            <w:r>
              <w:t>Number of government subsidised course enrolments by students living in regional Victoria</w:t>
            </w:r>
          </w:p>
        </w:tc>
        <w:tc>
          <w:tcPr>
            <w:tcW w:w="964" w:type="dxa"/>
          </w:tcPr>
          <w:p w14:paraId="4196AA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16A4FF" w14:textId="77777777" w:rsidR="00824558" w:rsidRDefault="00824558">
            <w:pPr>
              <w:cnfStyle w:val="000000000000" w:firstRow="0" w:lastRow="0" w:firstColumn="0" w:lastColumn="0" w:oddVBand="0" w:evenVBand="0" w:oddHBand="0" w:evenHBand="0" w:firstRowFirstColumn="0" w:firstRowLastColumn="0" w:lastRowFirstColumn="0" w:lastRowLastColumn="0"/>
            </w:pPr>
            <w:r>
              <w:t>81 300</w:t>
            </w:r>
          </w:p>
        </w:tc>
        <w:tc>
          <w:tcPr>
            <w:tcW w:w="964" w:type="dxa"/>
          </w:tcPr>
          <w:p w14:paraId="1BC49797" w14:textId="77777777" w:rsidR="00824558" w:rsidRDefault="00824558">
            <w:pPr>
              <w:cnfStyle w:val="000000000000" w:firstRow="0" w:lastRow="0" w:firstColumn="0" w:lastColumn="0" w:oddVBand="0" w:evenVBand="0" w:oddHBand="0" w:evenHBand="0" w:firstRowFirstColumn="0" w:firstRowLastColumn="0" w:lastRowFirstColumn="0" w:lastRowLastColumn="0"/>
            </w:pPr>
            <w:r>
              <w:t>87 649</w:t>
            </w:r>
          </w:p>
        </w:tc>
        <w:tc>
          <w:tcPr>
            <w:tcW w:w="964" w:type="dxa"/>
          </w:tcPr>
          <w:p w14:paraId="5FF8443C" w14:textId="77777777" w:rsidR="00824558" w:rsidRDefault="00824558">
            <w:pPr>
              <w:cnfStyle w:val="000000000000" w:firstRow="0" w:lastRow="0" w:firstColumn="0" w:lastColumn="0" w:oddVBand="0" w:evenVBand="0" w:oddHBand="0" w:evenHBand="0" w:firstRowFirstColumn="0" w:firstRowLastColumn="0" w:lastRowFirstColumn="0" w:lastRowLastColumn="0"/>
            </w:pPr>
            <w:r>
              <w:t>81 300</w:t>
            </w:r>
          </w:p>
        </w:tc>
        <w:tc>
          <w:tcPr>
            <w:tcW w:w="964" w:type="dxa"/>
          </w:tcPr>
          <w:p w14:paraId="525E9D78" w14:textId="77777777" w:rsidR="00824558" w:rsidRDefault="00824558">
            <w:pPr>
              <w:cnfStyle w:val="000000000000" w:firstRow="0" w:lastRow="0" w:firstColumn="0" w:lastColumn="0" w:oddVBand="0" w:evenVBand="0" w:oddHBand="0" w:evenHBand="0" w:firstRowFirstColumn="0" w:firstRowLastColumn="0" w:lastRowFirstColumn="0" w:lastRowLastColumn="0"/>
            </w:pPr>
            <w:r>
              <w:t>88 989</w:t>
            </w:r>
          </w:p>
        </w:tc>
      </w:tr>
      <w:tr w:rsidR="00824558" w14:paraId="1B68DE0B"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23AF8D5" w14:textId="77777777" w:rsidR="00824558" w:rsidRDefault="00824558">
            <w:pPr>
              <w:ind w:left="170"/>
            </w:pPr>
            <w:r>
              <w:rPr>
                <w:i/>
              </w:rPr>
              <w:t>The 2025-26 expected outcome is higher than the target due to maintaining expanded eligibility for training and preserving regional delivery settings in 2025.</w:t>
            </w:r>
          </w:p>
        </w:tc>
      </w:tr>
      <w:tr w:rsidR="00824558" w14:paraId="437DE919"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11B1D98" w14:textId="77777777" w:rsidR="00824558" w:rsidRDefault="00824558">
            <w:pPr>
              <w:keepNext/>
              <w:ind w:left="170"/>
            </w:pPr>
            <w:r>
              <w:t>Number of government subsidised course enrolments in the TAFE Network</w:t>
            </w:r>
          </w:p>
        </w:tc>
        <w:tc>
          <w:tcPr>
            <w:tcW w:w="964" w:type="dxa"/>
          </w:tcPr>
          <w:p w14:paraId="284B22A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57CBFEC" w14:textId="77777777" w:rsidR="00824558" w:rsidRDefault="00824558">
            <w:pPr>
              <w:cnfStyle w:val="000000000000" w:firstRow="0" w:lastRow="0" w:firstColumn="0" w:lastColumn="0" w:oddVBand="0" w:evenVBand="0" w:oddHBand="0" w:evenHBand="0" w:firstRowFirstColumn="0" w:firstRowLastColumn="0" w:lastRowFirstColumn="0" w:lastRowLastColumn="0"/>
            </w:pPr>
            <w:r>
              <w:t>145 000</w:t>
            </w:r>
          </w:p>
        </w:tc>
        <w:tc>
          <w:tcPr>
            <w:tcW w:w="964" w:type="dxa"/>
          </w:tcPr>
          <w:p w14:paraId="7DDBB279" w14:textId="77777777" w:rsidR="00824558" w:rsidRDefault="00824558">
            <w:pPr>
              <w:cnfStyle w:val="000000000000" w:firstRow="0" w:lastRow="0" w:firstColumn="0" w:lastColumn="0" w:oddVBand="0" w:evenVBand="0" w:oddHBand="0" w:evenHBand="0" w:firstRowFirstColumn="0" w:firstRowLastColumn="0" w:lastRowFirstColumn="0" w:lastRowLastColumn="0"/>
            </w:pPr>
            <w:r>
              <w:t>159 613</w:t>
            </w:r>
          </w:p>
        </w:tc>
        <w:tc>
          <w:tcPr>
            <w:tcW w:w="964" w:type="dxa"/>
          </w:tcPr>
          <w:p w14:paraId="705AC1D1" w14:textId="77777777" w:rsidR="00824558" w:rsidRDefault="00824558">
            <w:pPr>
              <w:cnfStyle w:val="000000000000" w:firstRow="0" w:lastRow="0" w:firstColumn="0" w:lastColumn="0" w:oddVBand="0" w:evenVBand="0" w:oddHBand="0" w:evenHBand="0" w:firstRowFirstColumn="0" w:firstRowLastColumn="0" w:lastRowFirstColumn="0" w:lastRowLastColumn="0"/>
            </w:pPr>
            <w:r>
              <w:t>145 000</w:t>
            </w:r>
          </w:p>
        </w:tc>
        <w:tc>
          <w:tcPr>
            <w:tcW w:w="964" w:type="dxa"/>
          </w:tcPr>
          <w:p w14:paraId="64CA647D" w14:textId="77777777" w:rsidR="00824558" w:rsidRDefault="00824558">
            <w:pPr>
              <w:cnfStyle w:val="000000000000" w:firstRow="0" w:lastRow="0" w:firstColumn="0" w:lastColumn="0" w:oddVBand="0" w:evenVBand="0" w:oddHBand="0" w:evenHBand="0" w:firstRowFirstColumn="0" w:firstRowLastColumn="0" w:lastRowFirstColumn="0" w:lastRowLastColumn="0"/>
            </w:pPr>
            <w:r>
              <w:t>147 538</w:t>
            </w:r>
          </w:p>
        </w:tc>
      </w:tr>
      <w:tr w:rsidR="00824558" w14:paraId="33181C5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0644E2E" w14:textId="77777777" w:rsidR="00824558" w:rsidRDefault="00824558">
            <w:pPr>
              <w:ind w:left="170"/>
            </w:pPr>
            <w:r>
              <w:rPr>
                <w:i/>
              </w:rPr>
              <w:t>The 2025-26 expected outcome is higher than the target due to increased demand for training at TAFEs.</w:t>
            </w:r>
          </w:p>
        </w:tc>
      </w:tr>
      <w:tr w:rsidR="00824558" w14:paraId="531F9FF9"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F042972" w14:textId="77777777" w:rsidR="00824558" w:rsidRDefault="00824558">
            <w:pPr>
              <w:keepNext/>
              <w:ind w:left="170"/>
            </w:pPr>
            <w:r>
              <w:lastRenderedPageBreak/>
              <w:t>Number of government subsidised foundation module enrolments</w:t>
            </w:r>
          </w:p>
        </w:tc>
        <w:tc>
          <w:tcPr>
            <w:tcW w:w="964" w:type="dxa"/>
          </w:tcPr>
          <w:p w14:paraId="1DB6CD3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EB5F72" w14:textId="77777777" w:rsidR="00824558" w:rsidRDefault="00824558">
            <w:pPr>
              <w:cnfStyle w:val="000000000000" w:firstRow="0" w:lastRow="0" w:firstColumn="0" w:lastColumn="0" w:oddVBand="0" w:evenVBand="0" w:oddHBand="0" w:evenHBand="0" w:firstRowFirstColumn="0" w:firstRowLastColumn="0" w:lastRowFirstColumn="0" w:lastRowLastColumn="0"/>
            </w:pPr>
            <w:r>
              <w:t>130 000</w:t>
            </w:r>
          </w:p>
        </w:tc>
        <w:tc>
          <w:tcPr>
            <w:tcW w:w="964" w:type="dxa"/>
          </w:tcPr>
          <w:p w14:paraId="48B94F30" w14:textId="77777777" w:rsidR="00824558" w:rsidRDefault="00824558">
            <w:pPr>
              <w:cnfStyle w:val="000000000000" w:firstRow="0" w:lastRow="0" w:firstColumn="0" w:lastColumn="0" w:oddVBand="0" w:evenVBand="0" w:oddHBand="0" w:evenHBand="0" w:firstRowFirstColumn="0" w:firstRowLastColumn="0" w:lastRowFirstColumn="0" w:lastRowLastColumn="0"/>
            </w:pPr>
            <w:r>
              <w:t>171 287</w:t>
            </w:r>
          </w:p>
        </w:tc>
        <w:tc>
          <w:tcPr>
            <w:tcW w:w="964" w:type="dxa"/>
          </w:tcPr>
          <w:p w14:paraId="081FB5D0" w14:textId="77777777" w:rsidR="00824558" w:rsidRDefault="00824558">
            <w:pPr>
              <w:cnfStyle w:val="000000000000" w:firstRow="0" w:lastRow="0" w:firstColumn="0" w:lastColumn="0" w:oddVBand="0" w:evenVBand="0" w:oddHBand="0" w:evenHBand="0" w:firstRowFirstColumn="0" w:firstRowLastColumn="0" w:lastRowFirstColumn="0" w:lastRowLastColumn="0"/>
            </w:pPr>
            <w:r>
              <w:t>110 000</w:t>
            </w:r>
          </w:p>
        </w:tc>
        <w:tc>
          <w:tcPr>
            <w:tcW w:w="964" w:type="dxa"/>
          </w:tcPr>
          <w:p w14:paraId="438EAA14" w14:textId="77777777" w:rsidR="00824558" w:rsidRDefault="00824558">
            <w:pPr>
              <w:cnfStyle w:val="000000000000" w:firstRow="0" w:lastRow="0" w:firstColumn="0" w:lastColumn="0" w:oddVBand="0" w:evenVBand="0" w:oddHBand="0" w:evenHBand="0" w:firstRowFirstColumn="0" w:firstRowLastColumn="0" w:lastRowFirstColumn="0" w:lastRowLastColumn="0"/>
            </w:pPr>
            <w:r>
              <w:t>157 263</w:t>
            </w:r>
          </w:p>
        </w:tc>
      </w:tr>
      <w:tr w:rsidR="00824558" w14:paraId="1899B876"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490412" w14:textId="01C75611" w:rsidR="00824558" w:rsidRDefault="00824558">
            <w:pPr>
              <w:ind w:left="170"/>
            </w:pPr>
            <w:r>
              <w:rPr>
                <w:i/>
              </w:rPr>
              <w:t>The 2025-26 expected outcome exceeds the target due to stronger</w:t>
            </w:r>
            <w:r w:rsidR="007A772A">
              <w:rPr>
                <w:i/>
              </w:rPr>
              <w:t xml:space="preserve"> </w:t>
            </w:r>
            <w:r>
              <w:rPr>
                <w:i/>
              </w:rPr>
              <w:t>than</w:t>
            </w:r>
            <w:r w:rsidR="007A772A">
              <w:rPr>
                <w:i/>
              </w:rPr>
              <w:t xml:space="preserve"> </w:t>
            </w:r>
            <w:r>
              <w:rPr>
                <w:i/>
              </w:rPr>
              <w:t>expected delivery of foundation training.</w:t>
            </w:r>
          </w:p>
          <w:p w14:paraId="2F2E26F8" w14:textId="77777777" w:rsidR="00824558" w:rsidRDefault="00824558">
            <w:pPr>
              <w:ind w:left="170"/>
            </w:pPr>
            <w:r>
              <w:rPr>
                <w:i/>
              </w:rPr>
              <w:t>The higher 2026-27 target reflects the strong demand for foundation training.</w:t>
            </w:r>
          </w:p>
        </w:tc>
      </w:tr>
      <w:tr w:rsidR="00824558" w14:paraId="64057D27"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5C463B77" w14:textId="77777777" w:rsidR="00824558" w:rsidRDefault="00824558">
            <w:pPr>
              <w:keepNext/>
              <w:ind w:left="170"/>
            </w:pPr>
            <w:r>
              <w:t>Number of government subsidised pre-accredited training hours funded through the Adult Community and Further Education (ACFE) Board</w:t>
            </w:r>
          </w:p>
        </w:tc>
        <w:tc>
          <w:tcPr>
            <w:tcW w:w="964" w:type="dxa"/>
          </w:tcPr>
          <w:p w14:paraId="0D6431B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7D38854" w14:textId="77777777" w:rsidR="00824558" w:rsidRDefault="00824558">
            <w:pPr>
              <w:cnfStyle w:val="000000000000" w:firstRow="0" w:lastRow="0" w:firstColumn="0" w:lastColumn="0" w:oddVBand="0" w:evenVBand="0" w:oddHBand="0" w:evenHBand="0" w:firstRowFirstColumn="0" w:firstRowLastColumn="0" w:lastRowFirstColumn="0" w:lastRowLastColumn="0"/>
            </w:pPr>
            <w:r>
              <w:t>2 106 000</w:t>
            </w:r>
          </w:p>
        </w:tc>
        <w:tc>
          <w:tcPr>
            <w:tcW w:w="964" w:type="dxa"/>
          </w:tcPr>
          <w:p w14:paraId="6921D25C" w14:textId="77777777" w:rsidR="00824558" w:rsidRDefault="00824558">
            <w:pPr>
              <w:cnfStyle w:val="000000000000" w:firstRow="0" w:lastRow="0" w:firstColumn="0" w:lastColumn="0" w:oddVBand="0" w:evenVBand="0" w:oddHBand="0" w:evenHBand="0" w:firstRowFirstColumn="0" w:firstRowLastColumn="0" w:lastRowFirstColumn="0" w:lastRowLastColumn="0"/>
            </w:pPr>
            <w:r>
              <w:t>2 372 110</w:t>
            </w:r>
          </w:p>
        </w:tc>
        <w:tc>
          <w:tcPr>
            <w:tcW w:w="964" w:type="dxa"/>
          </w:tcPr>
          <w:p w14:paraId="518FF713" w14:textId="77777777" w:rsidR="00824558" w:rsidRDefault="00824558">
            <w:pPr>
              <w:cnfStyle w:val="000000000000" w:firstRow="0" w:lastRow="0" w:firstColumn="0" w:lastColumn="0" w:oddVBand="0" w:evenVBand="0" w:oddHBand="0" w:evenHBand="0" w:firstRowFirstColumn="0" w:firstRowLastColumn="0" w:lastRowFirstColumn="0" w:lastRowLastColumn="0"/>
            </w:pPr>
            <w:r>
              <w:t>2 106 000</w:t>
            </w:r>
          </w:p>
        </w:tc>
        <w:tc>
          <w:tcPr>
            <w:tcW w:w="964" w:type="dxa"/>
          </w:tcPr>
          <w:p w14:paraId="1B068413" w14:textId="77777777" w:rsidR="00824558" w:rsidRDefault="00824558">
            <w:pPr>
              <w:cnfStyle w:val="000000000000" w:firstRow="0" w:lastRow="0" w:firstColumn="0" w:lastColumn="0" w:oddVBand="0" w:evenVBand="0" w:oddHBand="0" w:evenHBand="0" w:firstRowFirstColumn="0" w:firstRowLastColumn="0" w:lastRowFirstColumn="0" w:lastRowLastColumn="0"/>
            </w:pPr>
            <w:r>
              <w:t>2 211 013</w:t>
            </w:r>
          </w:p>
        </w:tc>
      </w:tr>
      <w:tr w:rsidR="00824558" w14:paraId="15792CBD"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9F4079" w14:textId="77777777" w:rsidR="00824558" w:rsidRDefault="00824558">
            <w:pPr>
              <w:ind w:left="170"/>
            </w:pPr>
            <w:r>
              <w:rPr>
                <w:i/>
              </w:rPr>
              <w:t>The 2025-26 expected outcome exceeds the target due to the ACFE Board releasing funding for additional hours of pre-accredited training delivery in the 2025 calendar year.</w:t>
            </w:r>
          </w:p>
        </w:tc>
      </w:tr>
      <w:tr w:rsidR="00824558" w14:paraId="29074399"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64B60CC6" w14:textId="77777777" w:rsidR="00824558" w:rsidRDefault="00824558">
            <w:pPr>
              <w:keepNext/>
              <w:ind w:left="170"/>
            </w:pPr>
            <w:r>
              <w:t>Proportion of government subsidised enrolments related to qualifications that will lead to jobs and economic growth</w:t>
            </w:r>
          </w:p>
        </w:tc>
        <w:tc>
          <w:tcPr>
            <w:tcW w:w="964" w:type="dxa"/>
          </w:tcPr>
          <w:p w14:paraId="3714F80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A7BCDD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A941B14" w14:textId="77777777" w:rsidR="00824558" w:rsidRDefault="00824558">
            <w:pPr>
              <w:cnfStyle w:val="000000000000" w:firstRow="0" w:lastRow="0" w:firstColumn="0" w:lastColumn="0" w:oddVBand="0" w:evenVBand="0" w:oddHBand="0" w:evenHBand="0" w:firstRowFirstColumn="0" w:firstRowLastColumn="0" w:lastRowFirstColumn="0" w:lastRowLastColumn="0"/>
            </w:pPr>
            <w:r>
              <w:t>98.6</w:t>
            </w:r>
          </w:p>
        </w:tc>
        <w:tc>
          <w:tcPr>
            <w:tcW w:w="964" w:type="dxa"/>
          </w:tcPr>
          <w:p w14:paraId="5EDF98A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2F0C01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55021BB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B9125C" w14:textId="77777777" w:rsidR="00824558" w:rsidRDefault="00824558">
            <w:pPr>
              <w:ind w:left="170"/>
            </w:pPr>
            <w:r>
              <w:rPr>
                <w:i/>
              </w:rPr>
              <w:t>The 2025-26 expected outcome is higher than the target due to the government funding courses with strong links to jobs and aligned to the Victorian Skills Plan.</w:t>
            </w:r>
          </w:p>
        </w:tc>
      </w:tr>
      <w:tr w:rsidR="00824558" w:rsidRPr="00A9225F" w14:paraId="7794C310"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4CEE9346" w14:textId="77777777" w:rsidR="00824558" w:rsidRPr="00A9225F" w:rsidRDefault="00824558">
            <w:pPr>
              <w:keepNext/>
              <w:rPr>
                <w:b/>
                <w:bCs/>
                <w:iCs/>
              </w:rPr>
            </w:pPr>
            <w:r w:rsidRPr="00A9225F">
              <w:rPr>
                <w:b/>
                <w:bCs/>
                <w:iCs/>
              </w:rPr>
              <w:t>Quality</w:t>
            </w:r>
          </w:p>
        </w:tc>
      </w:tr>
      <w:tr w:rsidR="00824558" w14:paraId="1412E06D"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10C2677" w14:textId="77777777" w:rsidR="00824558" w:rsidRDefault="00824558">
            <w:pPr>
              <w:ind w:left="170"/>
            </w:pPr>
            <w:r>
              <w:t>Proportion of employers of apprentices and trainees who are satisfied with training</w:t>
            </w:r>
          </w:p>
        </w:tc>
        <w:tc>
          <w:tcPr>
            <w:tcW w:w="964" w:type="dxa"/>
            <w:tcBorders>
              <w:bottom w:val="single" w:sz="6" w:space="0" w:color="auto"/>
            </w:tcBorders>
          </w:tcPr>
          <w:p w14:paraId="6A2C5B3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2B3A7AB" w14:textId="77777777" w:rsidR="00824558" w:rsidRDefault="00824558">
            <w:pPr>
              <w:cnfStyle w:val="000000000000" w:firstRow="0" w:lastRow="0" w:firstColumn="0" w:lastColumn="0" w:oddVBand="0" w:evenVBand="0" w:oddHBand="0" w:evenHBand="0" w:firstRowFirstColumn="0" w:firstRowLastColumn="0" w:lastRowFirstColumn="0" w:lastRowLastColumn="0"/>
            </w:pPr>
            <w:r>
              <w:t>78.1</w:t>
            </w:r>
          </w:p>
        </w:tc>
        <w:tc>
          <w:tcPr>
            <w:tcW w:w="964" w:type="dxa"/>
            <w:tcBorders>
              <w:bottom w:val="single" w:sz="6" w:space="0" w:color="auto"/>
            </w:tcBorders>
          </w:tcPr>
          <w:p w14:paraId="0134136E" w14:textId="77777777" w:rsidR="00824558" w:rsidRDefault="00824558">
            <w:pPr>
              <w:cnfStyle w:val="000000000000" w:firstRow="0" w:lastRow="0" w:firstColumn="0" w:lastColumn="0" w:oddVBand="0" w:evenVBand="0" w:oddHBand="0" w:evenHBand="0" w:firstRowFirstColumn="0" w:firstRowLastColumn="0" w:lastRowFirstColumn="0" w:lastRowLastColumn="0"/>
            </w:pPr>
            <w:r>
              <w:t>76.9</w:t>
            </w:r>
          </w:p>
        </w:tc>
        <w:tc>
          <w:tcPr>
            <w:tcW w:w="964" w:type="dxa"/>
            <w:tcBorders>
              <w:bottom w:val="single" w:sz="6" w:space="0" w:color="auto"/>
            </w:tcBorders>
          </w:tcPr>
          <w:p w14:paraId="45DA214D" w14:textId="77777777" w:rsidR="00824558" w:rsidRDefault="00824558">
            <w:pPr>
              <w:cnfStyle w:val="000000000000" w:firstRow="0" w:lastRow="0" w:firstColumn="0" w:lastColumn="0" w:oddVBand="0" w:evenVBand="0" w:oddHBand="0" w:evenHBand="0" w:firstRowFirstColumn="0" w:firstRowLastColumn="0" w:lastRowFirstColumn="0" w:lastRowLastColumn="0"/>
            </w:pPr>
            <w:r>
              <w:t>78.1</w:t>
            </w:r>
          </w:p>
        </w:tc>
        <w:tc>
          <w:tcPr>
            <w:tcW w:w="964" w:type="dxa"/>
            <w:tcBorders>
              <w:bottom w:val="single" w:sz="6" w:space="0" w:color="auto"/>
            </w:tcBorders>
          </w:tcPr>
          <w:p w14:paraId="5C3C659B" w14:textId="77777777" w:rsidR="00824558" w:rsidRDefault="00824558">
            <w:pPr>
              <w:cnfStyle w:val="000000000000" w:firstRow="0" w:lastRow="0" w:firstColumn="0" w:lastColumn="0" w:oddVBand="0" w:evenVBand="0" w:oddHBand="0" w:evenHBand="0" w:firstRowFirstColumn="0" w:firstRowLastColumn="0" w:lastRowFirstColumn="0" w:lastRowLastColumn="0"/>
            </w:pPr>
            <w:r>
              <w:t>76.1</w:t>
            </w:r>
          </w:p>
        </w:tc>
      </w:tr>
      <w:tr w:rsidR="00824558" w14:paraId="2D9AF389"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3386567" w14:textId="77777777" w:rsidR="00824558" w:rsidRDefault="00824558">
            <w:pPr>
              <w:ind w:left="170"/>
            </w:pPr>
            <w:r>
              <w:t>Proportion of VET completers who achieved their main reason for training</w:t>
            </w:r>
          </w:p>
        </w:tc>
        <w:tc>
          <w:tcPr>
            <w:tcW w:w="964" w:type="dxa"/>
            <w:tcBorders>
              <w:bottom w:val="single" w:sz="6" w:space="0" w:color="auto"/>
            </w:tcBorders>
          </w:tcPr>
          <w:p w14:paraId="1596F5E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B64CF26" w14:textId="77777777" w:rsidR="00824558" w:rsidRDefault="00824558">
            <w:pPr>
              <w:cnfStyle w:val="000000000000" w:firstRow="0" w:lastRow="0" w:firstColumn="0" w:lastColumn="0" w:oddVBand="0" w:evenVBand="0" w:oddHBand="0" w:evenHBand="0" w:firstRowFirstColumn="0" w:firstRowLastColumn="0" w:lastRowFirstColumn="0" w:lastRowLastColumn="0"/>
            </w:pPr>
            <w:r>
              <w:t>84.1</w:t>
            </w:r>
          </w:p>
        </w:tc>
        <w:tc>
          <w:tcPr>
            <w:tcW w:w="964" w:type="dxa"/>
            <w:tcBorders>
              <w:bottom w:val="single" w:sz="6" w:space="0" w:color="auto"/>
            </w:tcBorders>
          </w:tcPr>
          <w:p w14:paraId="456BC709" w14:textId="77777777" w:rsidR="00824558" w:rsidRDefault="00824558">
            <w:pPr>
              <w:cnfStyle w:val="000000000000" w:firstRow="0" w:lastRow="0" w:firstColumn="0" w:lastColumn="0" w:oddVBand="0" w:evenVBand="0" w:oddHBand="0" w:evenHBand="0" w:firstRowFirstColumn="0" w:firstRowLastColumn="0" w:lastRowFirstColumn="0" w:lastRowLastColumn="0"/>
            </w:pPr>
            <w:r>
              <w:t>87.1</w:t>
            </w:r>
          </w:p>
        </w:tc>
        <w:tc>
          <w:tcPr>
            <w:tcW w:w="964" w:type="dxa"/>
            <w:tcBorders>
              <w:bottom w:val="single" w:sz="6" w:space="0" w:color="auto"/>
            </w:tcBorders>
          </w:tcPr>
          <w:p w14:paraId="52BF8321" w14:textId="77777777" w:rsidR="00824558" w:rsidRDefault="00824558">
            <w:pPr>
              <w:cnfStyle w:val="000000000000" w:firstRow="0" w:lastRow="0" w:firstColumn="0" w:lastColumn="0" w:oddVBand="0" w:evenVBand="0" w:oddHBand="0" w:evenHBand="0" w:firstRowFirstColumn="0" w:firstRowLastColumn="0" w:lastRowFirstColumn="0" w:lastRowLastColumn="0"/>
            </w:pPr>
            <w:r>
              <w:t>84.1</w:t>
            </w:r>
          </w:p>
        </w:tc>
        <w:tc>
          <w:tcPr>
            <w:tcW w:w="964" w:type="dxa"/>
            <w:tcBorders>
              <w:bottom w:val="single" w:sz="6" w:space="0" w:color="auto"/>
            </w:tcBorders>
          </w:tcPr>
          <w:p w14:paraId="1816612F" w14:textId="77777777" w:rsidR="00824558" w:rsidRDefault="00824558">
            <w:pPr>
              <w:cnfStyle w:val="000000000000" w:firstRow="0" w:lastRow="0" w:firstColumn="0" w:lastColumn="0" w:oddVBand="0" w:evenVBand="0" w:oddHBand="0" w:evenHBand="0" w:firstRowFirstColumn="0" w:firstRowLastColumn="0" w:lastRowFirstColumn="0" w:lastRowLastColumn="0"/>
            </w:pPr>
            <w:r>
              <w:t>89.1</w:t>
            </w:r>
          </w:p>
        </w:tc>
      </w:tr>
      <w:tr w:rsidR="00824558" w14:paraId="673A0C33" w14:textId="77777777" w:rsidTr="0012290E">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C7D8FBC" w14:textId="77777777" w:rsidR="00824558" w:rsidRDefault="00824558">
            <w:pPr>
              <w:ind w:left="170"/>
            </w:pPr>
            <w:r>
              <w:t>Proportion of VET completers who are satisfied with their training</w:t>
            </w:r>
          </w:p>
        </w:tc>
        <w:tc>
          <w:tcPr>
            <w:tcW w:w="964" w:type="dxa"/>
            <w:tcBorders>
              <w:bottom w:val="single" w:sz="6" w:space="0" w:color="auto"/>
            </w:tcBorders>
          </w:tcPr>
          <w:p w14:paraId="67FFE54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F0BC7A8" w14:textId="77777777" w:rsidR="00824558" w:rsidRDefault="00824558">
            <w:pPr>
              <w:cnfStyle w:val="000000000000" w:firstRow="0" w:lastRow="0" w:firstColumn="0" w:lastColumn="0" w:oddVBand="0" w:evenVBand="0" w:oddHBand="0" w:evenHBand="0" w:firstRowFirstColumn="0" w:firstRowLastColumn="0" w:lastRowFirstColumn="0" w:lastRowLastColumn="0"/>
            </w:pPr>
            <w:r>
              <w:t>85.7</w:t>
            </w:r>
          </w:p>
        </w:tc>
        <w:tc>
          <w:tcPr>
            <w:tcW w:w="964" w:type="dxa"/>
            <w:tcBorders>
              <w:bottom w:val="single" w:sz="6" w:space="0" w:color="auto"/>
            </w:tcBorders>
          </w:tcPr>
          <w:p w14:paraId="61F76354" w14:textId="77777777" w:rsidR="00824558" w:rsidRDefault="00824558">
            <w:pPr>
              <w:cnfStyle w:val="000000000000" w:firstRow="0" w:lastRow="0" w:firstColumn="0" w:lastColumn="0" w:oddVBand="0" w:evenVBand="0" w:oddHBand="0" w:evenHBand="0" w:firstRowFirstColumn="0" w:firstRowLastColumn="0" w:lastRowFirstColumn="0" w:lastRowLastColumn="0"/>
            </w:pPr>
            <w:r>
              <w:t>87.1</w:t>
            </w:r>
          </w:p>
        </w:tc>
        <w:tc>
          <w:tcPr>
            <w:tcW w:w="964" w:type="dxa"/>
            <w:tcBorders>
              <w:bottom w:val="single" w:sz="6" w:space="0" w:color="auto"/>
            </w:tcBorders>
          </w:tcPr>
          <w:p w14:paraId="6AAA6B8C" w14:textId="77777777" w:rsidR="00824558" w:rsidRDefault="00824558">
            <w:pPr>
              <w:cnfStyle w:val="000000000000" w:firstRow="0" w:lastRow="0" w:firstColumn="0" w:lastColumn="0" w:oddVBand="0" w:evenVBand="0" w:oddHBand="0" w:evenHBand="0" w:firstRowFirstColumn="0" w:firstRowLastColumn="0" w:lastRowFirstColumn="0" w:lastRowLastColumn="0"/>
            </w:pPr>
            <w:r>
              <w:t>85.7</w:t>
            </w:r>
          </w:p>
        </w:tc>
        <w:tc>
          <w:tcPr>
            <w:tcW w:w="964" w:type="dxa"/>
            <w:tcBorders>
              <w:bottom w:val="single" w:sz="6" w:space="0" w:color="auto"/>
            </w:tcBorders>
          </w:tcPr>
          <w:p w14:paraId="26ECD87D" w14:textId="77777777" w:rsidR="00824558" w:rsidRDefault="00824558">
            <w:pPr>
              <w:cnfStyle w:val="000000000000" w:firstRow="0" w:lastRow="0" w:firstColumn="0" w:lastColumn="0" w:oddVBand="0" w:evenVBand="0" w:oddHBand="0" w:evenHBand="0" w:firstRowFirstColumn="0" w:firstRowLastColumn="0" w:lastRowFirstColumn="0" w:lastRowLastColumn="0"/>
            </w:pPr>
            <w:r>
              <w:t>87.2</w:t>
            </w:r>
          </w:p>
        </w:tc>
      </w:tr>
      <w:tr w:rsidR="00824558" w14:paraId="6F34F89F"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8F2E3BC" w14:textId="77777777" w:rsidR="00824558" w:rsidRDefault="00824558">
            <w:pPr>
              <w:keepNext/>
              <w:ind w:left="170"/>
            </w:pPr>
            <w:r>
              <w:t>Proportion of VET completers with an improved employment status after training</w:t>
            </w:r>
          </w:p>
        </w:tc>
        <w:tc>
          <w:tcPr>
            <w:tcW w:w="964" w:type="dxa"/>
          </w:tcPr>
          <w:p w14:paraId="591769A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23D1B02" w14:textId="77777777" w:rsidR="00824558" w:rsidRDefault="00824558">
            <w:pPr>
              <w:cnfStyle w:val="000000000000" w:firstRow="0" w:lastRow="0" w:firstColumn="0" w:lastColumn="0" w:oddVBand="0" w:evenVBand="0" w:oddHBand="0" w:evenHBand="0" w:firstRowFirstColumn="0" w:firstRowLastColumn="0" w:lastRowFirstColumn="0" w:lastRowLastColumn="0"/>
            </w:pPr>
            <w:r>
              <w:t>54.4</w:t>
            </w:r>
          </w:p>
        </w:tc>
        <w:tc>
          <w:tcPr>
            <w:tcW w:w="964" w:type="dxa"/>
          </w:tcPr>
          <w:p w14:paraId="2D4218C9" w14:textId="77777777" w:rsidR="00824558" w:rsidRDefault="00824558">
            <w:pPr>
              <w:cnfStyle w:val="000000000000" w:firstRow="0" w:lastRow="0" w:firstColumn="0" w:lastColumn="0" w:oddVBand="0" w:evenVBand="0" w:oddHBand="0" w:evenHBand="0" w:firstRowFirstColumn="0" w:firstRowLastColumn="0" w:lastRowFirstColumn="0" w:lastRowLastColumn="0"/>
            </w:pPr>
            <w:r>
              <w:t>60.3</w:t>
            </w:r>
          </w:p>
        </w:tc>
        <w:tc>
          <w:tcPr>
            <w:tcW w:w="964" w:type="dxa"/>
          </w:tcPr>
          <w:p w14:paraId="5BBD90A3" w14:textId="77777777" w:rsidR="00824558" w:rsidRDefault="00824558">
            <w:pPr>
              <w:cnfStyle w:val="000000000000" w:firstRow="0" w:lastRow="0" w:firstColumn="0" w:lastColumn="0" w:oddVBand="0" w:evenVBand="0" w:oddHBand="0" w:evenHBand="0" w:firstRowFirstColumn="0" w:firstRowLastColumn="0" w:lastRowFirstColumn="0" w:lastRowLastColumn="0"/>
            </w:pPr>
            <w:r>
              <w:t>54.4</w:t>
            </w:r>
          </w:p>
        </w:tc>
        <w:tc>
          <w:tcPr>
            <w:tcW w:w="964" w:type="dxa"/>
          </w:tcPr>
          <w:p w14:paraId="1262B135" w14:textId="77777777" w:rsidR="00824558" w:rsidRDefault="00824558">
            <w:pPr>
              <w:cnfStyle w:val="000000000000" w:firstRow="0" w:lastRow="0" w:firstColumn="0" w:lastColumn="0" w:oddVBand="0" w:evenVBand="0" w:oddHBand="0" w:evenHBand="0" w:firstRowFirstColumn="0" w:firstRowLastColumn="0" w:lastRowFirstColumn="0" w:lastRowLastColumn="0"/>
            </w:pPr>
            <w:r>
              <w:t>64.5</w:t>
            </w:r>
          </w:p>
        </w:tc>
      </w:tr>
      <w:tr w:rsidR="00824558" w14:paraId="5FB075CA"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32D8B5" w14:textId="77777777" w:rsidR="00824558" w:rsidRDefault="00824558">
            <w:pPr>
              <w:ind w:left="170"/>
            </w:pPr>
            <w:r>
              <w:rPr>
                <w:i/>
              </w:rPr>
              <w:t xml:space="preserve">The 2025-26 expected outcome is higher than the target due to strong labour market outcomes. </w:t>
            </w:r>
          </w:p>
        </w:tc>
      </w:tr>
      <w:tr w:rsidR="00824558" w14:paraId="35EAFA50"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0FA39EA7" w14:textId="77777777" w:rsidR="00824558" w:rsidRDefault="00824558">
            <w:pPr>
              <w:keepNext/>
              <w:ind w:left="170"/>
            </w:pPr>
            <w:r>
              <w:t>Proportion of VET completers with an improved employment status after training in the Free TAFE for priority courses initiative</w:t>
            </w:r>
          </w:p>
        </w:tc>
        <w:tc>
          <w:tcPr>
            <w:tcW w:w="964" w:type="dxa"/>
          </w:tcPr>
          <w:p w14:paraId="130A1F1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657BEED" w14:textId="77777777" w:rsidR="00824558" w:rsidRDefault="00824558">
            <w:pPr>
              <w:cnfStyle w:val="000000000000" w:firstRow="0" w:lastRow="0" w:firstColumn="0" w:lastColumn="0" w:oddVBand="0" w:evenVBand="0" w:oddHBand="0" w:evenHBand="0" w:firstRowFirstColumn="0" w:firstRowLastColumn="0" w:lastRowFirstColumn="0" w:lastRowLastColumn="0"/>
            </w:pPr>
            <w:r>
              <w:t>54.4</w:t>
            </w:r>
          </w:p>
        </w:tc>
        <w:tc>
          <w:tcPr>
            <w:tcW w:w="964" w:type="dxa"/>
          </w:tcPr>
          <w:p w14:paraId="6F44507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ACF617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0DBA8E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74F326A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2918DA1" w14:textId="77777777" w:rsidR="00824558" w:rsidRDefault="00824558">
            <w:pPr>
              <w:ind w:left="170"/>
            </w:pPr>
            <w:r>
              <w:rPr>
                <w:i/>
              </w:rPr>
              <w:t>This new performance measure demonstrates the outcomes of Free TAFE for Priority Programs by capturing the proportion of VET completers who achieve improved employment outcomes following their training. It also addresses a recommendation from PAEC (</w:t>
            </w:r>
            <w:r w:rsidRPr="00BE08F1">
              <w:t>2024-25 Budget Estimates</w:t>
            </w:r>
            <w:r>
              <w:rPr>
                <w:i/>
              </w:rPr>
              <w:t xml:space="preserve"> </w:t>
            </w:r>
            <w:r w:rsidRPr="00BE08F1">
              <w:t>report</w:t>
            </w:r>
            <w:r>
              <w:rPr>
                <w:i/>
              </w:rPr>
              <w:t>) regarding Free TAFE outcomes.</w:t>
            </w:r>
          </w:p>
        </w:tc>
      </w:tr>
      <w:tr w:rsidR="00824558" w:rsidRPr="00A9225F" w14:paraId="58DCF661"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Pr>
          <w:p w14:paraId="2F1F250B" w14:textId="77777777" w:rsidR="00824558" w:rsidRPr="00A9225F" w:rsidRDefault="00824558">
            <w:pPr>
              <w:keepNext/>
              <w:rPr>
                <w:b/>
                <w:bCs/>
                <w:iCs/>
              </w:rPr>
            </w:pPr>
            <w:r w:rsidRPr="00A9225F">
              <w:rPr>
                <w:b/>
                <w:bCs/>
                <w:iCs/>
              </w:rPr>
              <w:t>Timeliness</w:t>
            </w:r>
          </w:p>
        </w:tc>
      </w:tr>
      <w:tr w:rsidR="00824558" w14:paraId="3C8295AD"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2FE4C9D8" w14:textId="77777777" w:rsidR="00824558" w:rsidRDefault="00824558">
            <w:pPr>
              <w:keepNext/>
              <w:ind w:left="170"/>
            </w:pPr>
            <w:r>
              <w:t>Four-year AQF qualification completion rate for commencements in the Free TAFE for priority courses initiative</w:t>
            </w:r>
          </w:p>
        </w:tc>
        <w:tc>
          <w:tcPr>
            <w:tcW w:w="964" w:type="dxa"/>
          </w:tcPr>
          <w:p w14:paraId="77203E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B164EC9"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11D948D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7CD29F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4CECC5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F069E29"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B4E6C9" w14:textId="4C249C53" w:rsidR="00824558" w:rsidRDefault="00824558">
            <w:pPr>
              <w:ind w:left="170"/>
            </w:pPr>
            <w:r>
              <w:rPr>
                <w:i/>
              </w:rPr>
              <w:t xml:space="preserve">This new performance measure demonstrates the impact of the Free TAFE for Priority Programs initiative by presenting student completions as a share of students who commenced training up to </w:t>
            </w:r>
            <w:r w:rsidR="005611B5">
              <w:rPr>
                <w:i/>
              </w:rPr>
              <w:t>four</w:t>
            </w:r>
            <w:r>
              <w:rPr>
                <w:i/>
              </w:rPr>
              <w:t xml:space="preserve"> years prior. It also addresses a recommendation from PAEC (</w:t>
            </w:r>
            <w:r w:rsidRPr="00BE08F1">
              <w:t>2024</w:t>
            </w:r>
            <w:r w:rsidR="007652AA" w:rsidRPr="00BE08F1">
              <w:rPr>
                <w:iCs/>
              </w:rPr>
              <w:noBreakHyphen/>
            </w:r>
            <w:r w:rsidRPr="00BE08F1">
              <w:t>25 Budget Estimates report</w:t>
            </w:r>
            <w:r>
              <w:rPr>
                <w:i/>
              </w:rPr>
              <w:t>) regarding Free TAFE outcomes.</w:t>
            </w:r>
          </w:p>
        </w:tc>
      </w:tr>
      <w:tr w:rsidR="00824558" w14:paraId="294BB4D9"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4BEE6F86" w14:textId="77777777" w:rsidR="00824558" w:rsidRDefault="00824558">
            <w:pPr>
              <w:keepNext/>
              <w:ind w:left="170"/>
            </w:pPr>
            <w:r>
              <w:t>Four-year completion rate for non-apprentice commencements in government subsidised Australian Qualifications Framework (AQF) qualifications</w:t>
            </w:r>
          </w:p>
        </w:tc>
        <w:tc>
          <w:tcPr>
            <w:tcW w:w="964" w:type="dxa"/>
          </w:tcPr>
          <w:p w14:paraId="15393F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04000BD"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2693078" w14:textId="77777777" w:rsidR="00824558" w:rsidRDefault="00824558">
            <w:pPr>
              <w:cnfStyle w:val="000000000000" w:firstRow="0" w:lastRow="0" w:firstColumn="0" w:lastColumn="0" w:oddVBand="0" w:evenVBand="0" w:oddHBand="0" w:evenHBand="0" w:firstRowFirstColumn="0" w:firstRowLastColumn="0" w:lastRowFirstColumn="0" w:lastRowLastColumn="0"/>
            </w:pPr>
            <w:r>
              <w:t>52.6</w:t>
            </w:r>
          </w:p>
        </w:tc>
        <w:tc>
          <w:tcPr>
            <w:tcW w:w="964" w:type="dxa"/>
          </w:tcPr>
          <w:p w14:paraId="58755551"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856E995" w14:textId="77777777" w:rsidR="00824558" w:rsidRDefault="00824558">
            <w:pPr>
              <w:cnfStyle w:val="000000000000" w:firstRow="0" w:lastRow="0" w:firstColumn="0" w:lastColumn="0" w:oddVBand="0" w:evenVBand="0" w:oddHBand="0" w:evenHBand="0" w:firstRowFirstColumn="0" w:firstRowLastColumn="0" w:lastRowFirstColumn="0" w:lastRowLastColumn="0"/>
            </w:pPr>
            <w:r>
              <w:t>50.3</w:t>
            </w:r>
          </w:p>
        </w:tc>
      </w:tr>
      <w:tr w:rsidR="00824558" w14:paraId="5194018C"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865B9C1" w14:textId="3114FD67" w:rsidR="00824558" w:rsidRDefault="00824558">
            <w:pPr>
              <w:ind w:left="170"/>
            </w:pPr>
            <w:r>
              <w:rPr>
                <w:i/>
              </w:rPr>
              <w:t xml:space="preserve">The </w:t>
            </w:r>
            <w:r w:rsidR="008F7A05">
              <w:rPr>
                <w:i/>
              </w:rPr>
              <w:t>2025-26</w:t>
            </w:r>
            <w:r>
              <w:rPr>
                <w:i/>
              </w:rPr>
              <w:t xml:space="preserve"> expected outcome is higher than the target due to targeted investment in initiatives to improve completion rates.</w:t>
            </w:r>
          </w:p>
        </w:tc>
      </w:tr>
      <w:tr w:rsidR="00824558" w14:paraId="7F2EEAB1" w14:textId="77777777" w:rsidTr="0012290E">
        <w:tc>
          <w:tcPr>
            <w:cnfStyle w:val="001000000000" w:firstRow="0" w:lastRow="0" w:firstColumn="1" w:lastColumn="0" w:oddVBand="0" w:evenVBand="0" w:oddHBand="0" w:evenHBand="0" w:firstRowFirstColumn="0" w:firstRowLastColumn="0" w:lastRowFirstColumn="0" w:lastRowLastColumn="0"/>
            <w:tcW w:w="4819" w:type="dxa"/>
          </w:tcPr>
          <w:p w14:paraId="360C28EF" w14:textId="77777777" w:rsidR="00824558" w:rsidRDefault="00824558">
            <w:pPr>
              <w:keepNext/>
              <w:ind w:left="170"/>
            </w:pPr>
            <w:r>
              <w:t>Six-year completion rate for apprentice commencements in government subsidised AQF qualifications</w:t>
            </w:r>
          </w:p>
        </w:tc>
        <w:tc>
          <w:tcPr>
            <w:tcW w:w="964" w:type="dxa"/>
          </w:tcPr>
          <w:p w14:paraId="0B8B20D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3775435"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4" w:type="dxa"/>
          </w:tcPr>
          <w:p w14:paraId="43E6645F"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78A578BC"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4" w:type="dxa"/>
          </w:tcPr>
          <w:p w14:paraId="7F15B788" w14:textId="77777777" w:rsidR="00824558" w:rsidRDefault="00824558">
            <w:pPr>
              <w:cnfStyle w:val="000000000000" w:firstRow="0" w:lastRow="0" w:firstColumn="0" w:lastColumn="0" w:oddVBand="0" w:evenVBand="0" w:oddHBand="0" w:evenHBand="0" w:firstRowFirstColumn="0" w:firstRowLastColumn="0" w:lastRowFirstColumn="0" w:lastRowLastColumn="0"/>
            </w:pPr>
            <w:r>
              <w:t>61.1</w:t>
            </w:r>
          </w:p>
        </w:tc>
      </w:tr>
      <w:tr w:rsidR="00824558" w14:paraId="6A9B92BF"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EE861B" w14:textId="6E916C86" w:rsidR="00824558" w:rsidRDefault="00824558">
            <w:pPr>
              <w:ind w:left="170"/>
            </w:pPr>
            <w:r>
              <w:rPr>
                <w:i/>
              </w:rPr>
              <w:t xml:space="preserve">The </w:t>
            </w:r>
            <w:r w:rsidR="008F7A05">
              <w:rPr>
                <w:i/>
              </w:rPr>
              <w:t>2025-26</w:t>
            </w:r>
            <w:r>
              <w:rPr>
                <w:i/>
              </w:rPr>
              <w:t xml:space="preserve"> expected outcome is higher than the target, due to continued investment in targeted interventions such as Apprenticeship Support Officers and implementation of the Apprenticeship Taskforce recommendations. The result is consistent with the national trend of increased apprenticeship completions, particularly in the Construction, Automotive, Engineering, and Electrotechnology sectors. </w:t>
            </w:r>
          </w:p>
        </w:tc>
      </w:tr>
      <w:tr w:rsidR="0012290E" w:rsidRPr="00DC0EBC" w14:paraId="7B7CD048" w14:textId="77777777" w:rsidTr="0012290E">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0919137" w14:textId="77777777" w:rsidR="0012290E" w:rsidRPr="00DC0EBC" w:rsidRDefault="0012290E">
            <w:pPr>
              <w:keepNext/>
              <w:rPr>
                <w:b/>
              </w:rPr>
            </w:pPr>
            <w:r w:rsidRPr="00DC0EBC">
              <w:rPr>
                <w:b/>
              </w:rPr>
              <w:t>Cost</w:t>
            </w:r>
          </w:p>
        </w:tc>
      </w:tr>
      <w:tr w:rsidR="00224DDB" w14:paraId="324E9425" w14:textId="77777777" w:rsidTr="00224DDB">
        <w:tc>
          <w:tcPr>
            <w:cnfStyle w:val="001000000000" w:firstRow="0" w:lastRow="0" w:firstColumn="1" w:lastColumn="0" w:oddVBand="0" w:evenVBand="0" w:oddHBand="0" w:evenHBand="0" w:firstRowFirstColumn="0" w:firstRowLastColumn="0" w:lastRowFirstColumn="0" w:lastRowLastColumn="0"/>
            <w:tcW w:w="4819" w:type="dxa"/>
          </w:tcPr>
          <w:p w14:paraId="7E4F4A2C" w14:textId="77777777" w:rsidR="00224DDB" w:rsidRDefault="00224DDB" w:rsidP="00224DDB">
            <w:pPr>
              <w:keepNext/>
              <w:ind w:left="170"/>
            </w:pPr>
            <w:r>
              <w:t>Total output cost</w:t>
            </w:r>
          </w:p>
        </w:tc>
        <w:tc>
          <w:tcPr>
            <w:tcW w:w="964" w:type="dxa"/>
          </w:tcPr>
          <w:p w14:paraId="42DD691A" w14:textId="77777777" w:rsidR="00224DDB" w:rsidRDefault="00224DDB" w:rsidP="00224DDB">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2F2F2" w:themeFill="background1" w:themeFillShade="F2"/>
          </w:tcPr>
          <w:p w14:paraId="4315F2AC" w14:textId="4690B61B" w:rsidR="00224DDB" w:rsidRPr="004D0078" w:rsidRDefault="00224DDB" w:rsidP="00224DDB">
            <w:pPr>
              <w:cnfStyle w:val="000000000000" w:firstRow="0" w:lastRow="0" w:firstColumn="0" w:lastColumn="0" w:oddVBand="0" w:evenVBand="0" w:oddHBand="0" w:evenHBand="0" w:firstRowFirstColumn="0" w:firstRowLastColumn="0" w:lastRowFirstColumn="0" w:lastRowLastColumn="0"/>
              <w:rPr>
                <w:highlight w:val="yellow"/>
              </w:rPr>
            </w:pPr>
            <w:r>
              <w:t>2 294.3</w:t>
            </w:r>
          </w:p>
        </w:tc>
        <w:tc>
          <w:tcPr>
            <w:tcW w:w="964" w:type="dxa"/>
          </w:tcPr>
          <w:p w14:paraId="3C0B7D5D" w14:textId="7838A083" w:rsidR="00224DDB" w:rsidRPr="004D0078" w:rsidRDefault="00224DDB" w:rsidP="00224DDB">
            <w:pPr>
              <w:cnfStyle w:val="000000000000" w:firstRow="0" w:lastRow="0" w:firstColumn="0" w:lastColumn="0" w:oddVBand="0" w:evenVBand="0" w:oddHBand="0" w:evenHBand="0" w:firstRowFirstColumn="0" w:firstRowLastColumn="0" w:lastRowFirstColumn="0" w:lastRowLastColumn="0"/>
              <w:rPr>
                <w:highlight w:val="yellow"/>
              </w:rPr>
            </w:pPr>
            <w:r>
              <w:t>2 339.5</w:t>
            </w:r>
          </w:p>
        </w:tc>
        <w:tc>
          <w:tcPr>
            <w:tcW w:w="964" w:type="dxa"/>
          </w:tcPr>
          <w:p w14:paraId="1FD51A33" w14:textId="5DDAF903" w:rsidR="00224DDB" w:rsidRPr="004D0078" w:rsidRDefault="00224DDB" w:rsidP="00224DDB">
            <w:pPr>
              <w:cnfStyle w:val="000000000000" w:firstRow="0" w:lastRow="0" w:firstColumn="0" w:lastColumn="0" w:oddVBand="0" w:evenVBand="0" w:oddHBand="0" w:evenHBand="0" w:firstRowFirstColumn="0" w:firstRowLastColumn="0" w:lastRowFirstColumn="0" w:lastRowLastColumn="0"/>
              <w:rPr>
                <w:highlight w:val="yellow"/>
              </w:rPr>
            </w:pPr>
            <w:r>
              <w:t>2 201.7</w:t>
            </w:r>
          </w:p>
        </w:tc>
        <w:tc>
          <w:tcPr>
            <w:tcW w:w="964" w:type="dxa"/>
          </w:tcPr>
          <w:p w14:paraId="4D5ADFF5" w14:textId="0D0F169B" w:rsidR="00224DDB" w:rsidRPr="004D0078" w:rsidRDefault="00224DDB" w:rsidP="00224DDB">
            <w:pPr>
              <w:cnfStyle w:val="000000000000" w:firstRow="0" w:lastRow="0" w:firstColumn="0" w:lastColumn="0" w:oddVBand="0" w:evenVBand="0" w:oddHBand="0" w:evenHBand="0" w:firstRowFirstColumn="0" w:firstRowLastColumn="0" w:lastRowFirstColumn="0" w:lastRowLastColumn="0"/>
              <w:rPr>
                <w:highlight w:val="yellow"/>
              </w:rPr>
            </w:pPr>
            <w:r w:rsidRPr="005544CC">
              <w:t>2</w:t>
            </w:r>
            <w:r>
              <w:t xml:space="preserve"> </w:t>
            </w:r>
            <w:r w:rsidRPr="005544CC">
              <w:t>184</w:t>
            </w:r>
            <w:r>
              <w:t>.0</w:t>
            </w:r>
          </w:p>
        </w:tc>
      </w:tr>
      <w:tr w:rsidR="00317770" w14:paraId="662C188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E0F25DB" w14:textId="6C36979F" w:rsidR="00317770" w:rsidRPr="005544CC" w:rsidRDefault="009D7630" w:rsidP="009D7630">
            <w:pPr>
              <w:ind w:left="170"/>
            </w:pPr>
            <w:r w:rsidRPr="1CD3B3E4">
              <w:rPr>
                <w:i/>
                <w:iCs/>
              </w:rPr>
              <w:t xml:space="preserve">The 2025-26 expected outcome is higher than the 2025-26 target primarily due to contingency funding released during the year for initiatives including the TAFE Services Fund and Boosting Access to Free TAFE. </w:t>
            </w:r>
          </w:p>
        </w:tc>
      </w:tr>
      <w:tr w:rsidR="00224DDB" w14:paraId="2E75CA5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4196CF6" w14:textId="31C4B839" w:rsidR="00224DDB" w:rsidRPr="005544CC" w:rsidRDefault="00317770" w:rsidP="009D7630">
            <w:pPr>
              <w:ind w:left="170"/>
            </w:pPr>
            <w:r w:rsidRPr="1CD3B3E4">
              <w:rPr>
                <w:i/>
                <w:iCs/>
              </w:rPr>
              <w:t>The 2026-27 and 2025-26 targets have</w:t>
            </w:r>
            <w:r w:rsidRPr="007C5648">
              <w:rPr>
                <w:i/>
                <w:iCs/>
              </w:rPr>
              <w:t xml:space="preserve"> been adjusted to reflect an updated approach of calculating this output, to include only services delivered through the TAFE and training sector rather than broader public sector workforce training and development initiatives. </w:t>
            </w:r>
          </w:p>
        </w:tc>
      </w:tr>
    </w:tbl>
    <w:p w14:paraId="6D599A87" w14:textId="77777777" w:rsidR="00824558" w:rsidRDefault="00824558">
      <w:pPr>
        <w:pStyle w:val="Source"/>
      </w:pPr>
      <w:r>
        <w:t>Source: Department of Jobs, Skills, Industry and Regions</w:t>
      </w:r>
    </w:p>
    <w:p w14:paraId="335E558F" w14:textId="77777777" w:rsidR="004F3FC8" w:rsidRDefault="004F3FC8"/>
    <w:p w14:paraId="6F4E7DD5" w14:textId="77777777" w:rsidR="004F3FC8" w:rsidRDefault="004F3FC8"/>
    <w:p w14:paraId="3DA05161" w14:textId="77777777" w:rsidR="004F3FC8" w:rsidRDefault="004F3FC8">
      <w:pPr>
        <w:sectPr w:rsidR="004F3FC8" w:rsidSect="001F14A3">
          <w:footerReference w:type="even" r:id="rId30"/>
          <w:footerReference w:type="default" r:id="rId31"/>
          <w:pgSz w:w="11907" w:h="16840" w:code="9"/>
          <w:pgMar w:top="1138" w:right="1138" w:bottom="1138" w:left="1138" w:header="619" w:footer="562" w:gutter="0"/>
          <w:cols w:space="708"/>
          <w:docGrid w:linePitch="360"/>
        </w:sectPr>
      </w:pPr>
    </w:p>
    <w:p w14:paraId="253C6871" w14:textId="5156E7A3" w:rsidR="00824558" w:rsidRDefault="00824558" w:rsidP="002E0B49">
      <w:pPr>
        <w:pStyle w:val="Heading1"/>
        <w:pageBreakBefore/>
        <w:spacing w:before="0"/>
      </w:pPr>
      <w:bookmarkStart w:id="12" w:name="_Toc228288101"/>
      <w:r>
        <w:lastRenderedPageBreak/>
        <w:t>Department of Justice and Community Safety</w:t>
      </w:r>
      <w:bookmarkEnd w:id="12"/>
    </w:p>
    <w:p w14:paraId="197F8BB9" w14:textId="77777777" w:rsidR="00824558" w:rsidRPr="00E25104" w:rsidRDefault="00824558">
      <w:pPr>
        <w:pStyle w:val="Heading2"/>
      </w:pPr>
      <w:r w:rsidRPr="00E25104">
        <w:t>Ministerial portfolios</w:t>
      </w:r>
    </w:p>
    <w:p w14:paraId="4D1FF56C" w14:textId="0F26DE90" w:rsidR="00824558" w:rsidRPr="00E25104" w:rsidRDefault="00824558">
      <w:r w:rsidRPr="00E25104">
        <w:t>The Department supports the ministerial portfolios of the Attorney</w:t>
      </w:r>
      <w:r>
        <w:t>-</w:t>
      </w:r>
      <w:r w:rsidRPr="00E25104">
        <w:t xml:space="preserve">General, Emergency Services, </w:t>
      </w:r>
      <w:r>
        <w:t xml:space="preserve">Natural Disaster Recovery, </w:t>
      </w:r>
      <w:r w:rsidRPr="00E25104">
        <w:t xml:space="preserve">Police, </w:t>
      </w:r>
      <w:r>
        <w:t>Community Safety</w:t>
      </w:r>
      <w:r w:rsidRPr="00E25104">
        <w:t>, Racing, Corrections, Youth Justice, Victim</w:t>
      </w:r>
      <w:r>
        <w:t>s</w:t>
      </w:r>
      <w:r w:rsidRPr="00E25104">
        <w:t xml:space="preserve">, and Casino, Gaming </w:t>
      </w:r>
      <w:r>
        <w:t xml:space="preserve">and </w:t>
      </w:r>
      <w:r w:rsidRPr="00E25104">
        <w:t>Liquor Regulation.</w:t>
      </w:r>
    </w:p>
    <w:p w14:paraId="5E17196F" w14:textId="77777777" w:rsidR="00824558" w:rsidRPr="00E25104" w:rsidRDefault="00824558">
      <w:pPr>
        <w:pStyle w:val="Heading2"/>
      </w:pPr>
      <w:r w:rsidRPr="00E25104">
        <w:t>Departmental mission statement</w:t>
      </w:r>
    </w:p>
    <w:p w14:paraId="37379210" w14:textId="77777777" w:rsidR="00824558" w:rsidRDefault="00824558">
      <w:pPr>
        <w:autoSpaceDE w:val="0"/>
        <w:autoSpaceDN w:val="0"/>
        <w:adjustRightInd w:val="0"/>
        <w:rPr>
          <w:rFonts w:ascii="Garamond" w:hAnsi="Garamond" w:cs="Garamond"/>
        </w:rPr>
      </w:pPr>
      <w:r w:rsidRPr="005F3A8A">
        <w:rPr>
          <w:rFonts w:ascii="Garamond" w:hAnsi="Garamond" w:cs="Garamond"/>
        </w:rPr>
        <w:t>A trusted justice and community safety system that works together to build a just, safe, and resilient Victoria</w:t>
      </w:r>
      <w:r w:rsidRPr="00E25104">
        <w:rPr>
          <w:rFonts w:ascii="Garamond" w:hAnsi="Garamond" w:cs="Garamond"/>
        </w:rPr>
        <w:t>.</w:t>
      </w:r>
    </w:p>
    <w:p w14:paraId="69EB4860" w14:textId="77777777" w:rsidR="00824558" w:rsidRPr="00E25104" w:rsidRDefault="00824558">
      <w:pPr>
        <w:pStyle w:val="Heading2"/>
      </w:pPr>
      <w:r w:rsidRPr="00E25104">
        <w:t>Departmental objectives</w:t>
      </w:r>
    </w:p>
    <w:p w14:paraId="02447F8B" w14:textId="77777777" w:rsidR="00824558" w:rsidRPr="00E25104" w:rsidRDefault="00824558">
      <w:pPr>
        <w:pStyle w:val="Heading3"/>
        <w:rPr>
          <w:rFonts w:ascii="Calibri-Bold" w:hAnsi="Calibri-Bold" w:cs="Calibri-Bold"/>
        </w:rPr>
      </w:pPr>
      <w:r>
        <w:t>Objec</w:t>
      </w:r>
      <w:r w:rsidRPr="00DF19D1">
        <w:rPr>
          <w:bCs/>
          <w:szCs w:val="23"/>
        </w:rPr>
        <w:t>tive 1: Ensuring community safety through policing, law enforcement and</w:t>
      </w:r>
      <w:r w:rsidRPr="00BB5186">
        <w:rPr>
          <w:bCs/>
          <w:szCs w:val="23"/>
        </w:rPr>
        <w:t xml:space="preserve"> crime prevention activities</w:t>
      </w:r>
    </w:p>
    <w:p w14:paraId="18DDA3DB" w14:textId="77777777" w:rsidR="00824558" w:rsidRPr="00E25104" w:rsidRDefault="00824558">
      <w:r w:rsidRPr="00A84993">
        <w:t xml:space="preserve">This objective aims to provide a safe and secure environment for the Victorian community. This objective delivers on activities relating to the provision of effective policing, law enforcement and infringement processing services that aim to prevent, detect, investigate and prosecute crime, and promote safer road user behaviour. It focuses on activities </w:t>
      </w:r>
      <w:r>
        <w:t>that</w:t>
      </w:r>
      <w:r w:rsidRPr="00A84993">
        <w:t xml:space="preserve"> enable Victorians to undertake their lawful pursuits confidently, safely and without fear of </w:t>
      </w:r>
      <w:r>
        <w:t xml:space="preserve">exposure to </w:t>
      </w:r>
      <w:r w:rsidRPr="00A84993">
        <w:t>crime.</w:t>
      </w:r>
    </w:p>
    <w:p w14:paraId="09E3D06C" w14:textId="77777777" w:rsidR="00824558" w:rsidRPr="0002765D" w:rsidRDefault="00824558">
      <w:pPr>
        <w:pStyle w:val="Heading3"/>
        <w:rPr>
          <w:vertAlign w:val="superscript"/>
        </w:rPr>
      </w:pPr>
      <w:r w:rsidRPr="00E25104">
        <w:t>Objective 2: Reduce the impact of natural disasters and emergencies on people, infrastructure, the economy and environment</w:t>
      </w:r>
    </w:p>
    <w:p w14:paraId="03BF6AC6" w14:textId="77777777" w:rsidR="00824558" w:rsidRDefault="00824558">
      <w:r>
        <w:t>This objective aims to deliver a coordinated, all communities, all emergencies approach to emergency management, focusing on risk mitigation and active partnership with the Victorian community.</w:t>
      </w:r>
    </w:p>
    <w:p w14:paraId="616FCF7F" w14:textId="77777777" w:rsidR="00824558" w:rsidRDefault="00824558">
      <w:r>
        <w:t>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w:t>
      </w:r>
    </w:p>
    <w:p w14:paraId="1978235D" w14:textId="77777777" w:rsidR="00824558" w:rsidRPr="00E25104" w:rsidRDefault="00824558">
      <w:pPr>
        <w:pStyle w:val="Heading3"/>
        <w:rPr>
          <w:rFonts w:ascii="Calibri-Bold" w:hAnsi="Calibri-Bold" w:cs="Calibri-Bold"/>
        </w:rPr>
      </w:pPr>
      <w:r>
        <w:t>Objective 3: Effe</w:t>
      </w:r>
      <w:r w:rsidRPr="00DF19D1">
        <w:rPr>
          <w:bCs/>
          <w:szCs w:val="23"/>
        </w:rPr>
        <w:t xml:space="preserve">ctive management of prisoners and offenders and provision of </w:t>
      </w:r>
      <w:r w:rsidRPr="00BB5186">
        <w:rPr>
          <w:bCs/>
          <w:szCs w:val="23"/>
        </w:rPr>
        <w:t>opportunities for rehabilitation and reparation</w:t>
      </w:r>
    </w:p>
    <w:p w14:paraId="30F173AA" w14:textId="70EF8E25" w:rsidR="00824558" w:rsidRPr="00E25104" w:rsidRDefault="00824558">
      <w:pPr>
        <w:spacing w:before="100"/>
      </w:pPr>
      <w:r w:rsidRPr="004473B5">
        <w:t xml:space="preserve">This objective relates to the management of the </w:t>
      </w:r>
      <w:r>
        <w:t>S</w:t>
      </w:r>
      <w:r w:rsidRPr="004473B5">
        <w:t>tate</w:t>
      </w:r>
      <w:r w:rsidR="007942D1">
        <w:t>’</w:t>
      </w:r>
      <w:r w:rsidRPr="004473B5">
        <w:t>s adult correctional system. The overarching purpose of the correctional system is to promote community safety through community-based and custodial supervision of prisoners and offenders through effective management and services to provide opportunities for rehabilitation and reparation.</w:t>
      </w:r>
    </w:p>
    <w:p w14:paraId="39EF022C" w14:textId="77777777" w:rsidR="00824558" w:rsidRPr="00E25104" w:rsidRDefault="00824558">
      <w:pPr>
        <w:pStyle w:val="Heading3"/>
      </w:pPr>
      <w:r w:rsidRPr="00E25104">
        <w:t>Objective 4: Effective supervision of children and young people through the provision of youth justice services promoting rehabilitation</w:t>
      </w:r>
    </w:p>
    <w:p w14:paraId="21331B6B" w14:textId="77777777" w:rsidR="00824558" w:rsidRPr="00E25104" w:rsidRDefault="00824558">
      <w:pPr>
        <w:spacing w:before="100"/>
        <w:rPr>
          <w:rFonts w:ascii="Calibri-Bold" w:hAnsi="Calibri-Bold" w:cs="Calibri-Bold"/>
          <w:b/>
          <w:bCs/>
          <w:sz w:val="23"/>
          <w:szCs w:val="23"/>
        </w:rPr>
      </w:pPr>
      <w:r w:rsidRPr="004473B5">
        <w:t>This objective aims to promote opportunities for rehabilitation of children and young people in the youth justice system and contribute to the reduction of crime in the community by providing a range of services including diversion services, advice to courts, offence related programs, community</w:t>
      </w:r>
      <w:r>
        <w:t>-</w:t>
      </w:r>
      <w:r w:rsidRPr="004473B5">
        <w:t>based and custodial supervision.</w:t>
      </w:r>
    </w:p>
    <w:p w14:paraId="40AF8BA6" w14:textId="77777777" w:rsidR="00824558" w:rsidRPr="0068513F" w:rsidRDefault="00824558">
      <w:pPr>
        <w:pStyle w:val="Heading3"/>
        <w:rPr>
          <w:rFonts w:ascii="Calibri-Bold" w:hAnsi="Calibri-Bold" w:cs="Calibri-Bold"/>
          <w:szCs w:val="23"/>
          <w:vertAlign w:val="superscript"/>
        </w:rPr>
      </w:pPr>
      <w:r w:rsidRPr="00E25104">
        <w:t xml:space="preserve">Objective </w:t>
      </w:r>
      <w:r>
        <w:t>5</w:t>
      </w:r>
      <w:r w:rsidRPr="00E25104">
        <w:t xml:space="preserve">: </w:t>
      </w:r>
      <w:r w:rsidRPr="005E5132">
        <w:t>A fair and accessible justice system where Victorians are protected with equal opportunities, rights and information freedoms</w:t>
      </w:r>
    </w:p>
    <w:p w14:paraId="298D267D" w14:textId="77777777" w:rsidR="00824558" w:rsidRDefault="00824558">
      <w:pPr>
        <w:spacing w:before="100"/>
      </w:pPr>
      <w:r w:rsidRPr="0068513F">
        <w:t>This objective aims to protect the Victorian community through access to justice services, including legal assistance and education, prosecution services and use of expert forensic medical services in the justice system. This objective also supports the protection of human rights, privacy, information freedoms, equal opportunity, advocacy, guardianship and supporting victims of crime.</w:t>
      </w:r>
    </w:p>
    <w:p w14:paraId="270A5251" w14:textId="77777777" w:rsidR="00824558" w:rsidRPr="002F4F1E" w:rsidRDefault="00824558">
      <w:pPr>
        <w:spacing w:before="100"/>
        <w:rPr>
          <w:rFonts w:ascii="Calibri-Bold" w:hAnsi="Calibri-Bold" w:cs="Calibri-Bold"/>
          <w:b/>
          <w:bCs/>
          <w:sz w:val="23"/>
          <w:szCs w:val="23"/>
        </w:rPr>
      </w:pPr>
      <w:r w:rsidRPr="0068513F">
        <w:t>Other services that contribute to this objective include integrity in government, law reform, legal and policy advice and initiatives focusing on crime prevention and supporting Aboriginal people in the criminal justice system.</w:t>
      </w:r>
    </w:p>
    <w:p w14:paraId="5204BD26" w14:textId="77777777" w:rsidR="00824558" w:rsidRPr="00E25104" w:rsidRDefault="00824558" w:rsidP="00633FC4">
      <w:pPr>
        <w:pStyle w:val="Heading3"/>
        <w:tabs>
          <w:tab w:val="left" w:pos="1418"/>
        </w:tabs>
        <w:rPr>
          <w:rFonts w:ascii="Calibri-Bold" w:hAnsi="Calibri-Bold" w:cs="Calibri-Bold"/>
          <w:szCs w:val="23"/>
        </w:rPr>
      </w:pPr>
      <w:r w:rsidRPr="00E25104">
        <w:lastRenderedPageBreak/>
        <w:t xml:space="preserve">Objective </w:t>
      </w:r>
      <w:r>
        <w:t>6</w:t>
      </w:r>
      <w:r w:rsidRPr="00E25104">
        <w:t xml:space="preserve">: </w:t>
      </w:r>
      <w:r w:rsidRPr="00F5234D">
        <w:t>Promoting responsible liquor, tobacco and gambling industries and supporting a safe and sustainable racing sector</w:t>
      </w:r>
    </w:p>
    <w:p w14:paraId="1AD93ED6" w14:textId="77777777" w:rsidR="00824558" w:rsidRPr="003041F9" w:rsidRDefault="00824558">
      <w:pPr>
        <w:keepLines w:val="0"/>
        <w:widowControl w:val="0"/>
        <w:spacing w:before="100"/>
        <w:rPr>
          <w:b/>
        </w:rPr>
      </w:pPr>
      <w:r w:rsidRPr="002F4F1E">
        <w:t>This objective relates to harm minimisation through the regulation of the gambling</w:t>
      </w:r>
      <w:r>
        <w:t>, tobacco</w:t>
      </w:r>
      <w:r w:rsidRPr="002F4F1E">
        <w:t xml:space="preserve"> and liquor industries, and also supports the development of the Victorian racing industry through strategic leadership, innovation and investment in the racing industry.</w:t>
      </w:r>
      <w:bookmarkStart w:id="13" w:name="_Hlk129160329"/>
    </w:p>
    <w:bookmarkEnd w:id="13"/>
    <w:p w14:paraId="1B4C5E07" w14:textId="77777777" w:rsidR="00824558" w:rsidRPr="00223512" w:rsidRDefault="00824558">
      <w:pPr>
        <w:pStyle w:val="Heading2"/>
        <w:rPr>
          <w:rFonts w:ascii="Calibri" w:eastAsia="Times New Roman" w:hAnsi="Calibri" w:cs="Times New Roman"/>
          <w:spacing w:val="-2"/>
          <w:sz w:val="26"/>
        </w:rPr>
      </w:pPr>
      <w:r w:rsidRPr="00223512">
        <w:rPr>
          <w:rFonts w:eastAsia="Times New Roman"/>
        </w:rPr>
        <w:t>Output summary by departmental objectives</w:t>
      </w:r>
    </w:p>
    <w:p w14:paraId="5BBFF48E" w14:textId="2A2037E5" w:rsidR="00824558" w:rsidRPr="00223512" w:rsidRDefault="00824558">
      <w:pPr>
        <w:keepNext/>
        <w:rPr>
          <w:rFonts w:ascii="Garamond" w:eastAsia="Garamond" w:hAnsi="Garamond"/>
        </w:rPr>
      </w:pPr>
      <w:r w:rsidRPr="00223512">
        <w:rPr>
          <w:rFonts w:ascii="Garamond" w:eastAsia="Garamond" w:hAnsi="Garamond"/>
        </w:rPr>
        <w:t xml:space="preserve">The </w:t>
      </w:r>
      <w:r>
        <w:rPr>
          <w:rFonts w:ascii="Garamond" w:eastAsia="Garamond" w:hAnsi="Garamond"/>
        </w:rPr>
        <w:t>D</w:t>
      </w:r>
      <w:r w:rsidRPr="00223512">
        <w:rPr>
          <w:rFonts w:ascii="Garamond" w:eastAsia="Garamond" w:hAnsi="Garamond"/>
        </w:rPr>
        <w:t>epartment</w:t>
      </w:r>
      <w:r w:rsidR="007942D1">
        <w:rPr>
          <w:rFonts w:ascii="Garamond" w:eastAsia="Garamond" w:hAnsi="Garamond"/>
        </w:rPr>
        <w:t>’</w:t>
      </w:r>
      <w:r w:rsidRPr="00223512">
        <w:rPr>
          <w:rFonts w:ascii="Garamond" w:eastAsia="Garamond" w:hAnsi="Garamond"/>
        </w:rPr>
        <w:t>s outputs and funding are provided in the table below. Detailed descriptions of objectives and outputs are presented below.</w:t>
      </w:r>
    </w:p>
    <w:p w14:paraId="75BA0D4D" w14:textId="6624C641" w:rsidR="001C4E54" w:rsidRPr="00D06853" w:rsidRDefault="001C4E54" w:rsidP="001C4E54">
      <w:pPr>
        <w:pStyle w:val="TableHeading"/>
      </w:pPr>
      <w:r w:rsidRPr="00D06853">
        <w:t xml:space="preserve">Table </w:t>
      </w:r>
      <w:r>
        <w:t>1</w:t>
      </w:r>
      <w:r w:rsidR="00D26496">
        <w:t>9</w:t>
      </w:r>
      <w:r w:rsidRPr="00D06853">
        <w:t>:</w:t>
      </w:r>
      <w:r w:rsidRPr="00D06853">
        <w:tab/>
        <w:t>Output summary</w:t>
      </w:r>
      <w:r w:rsidRPr="00D06853">
        <w:tab/>
        <w:t>($ million)</w:t>
      </w:r>
    </w:p>
    <w:tbl>
      <w:tblPr>
        <w:tblStyle w:val="DTFTableNumeric"/>
        <w:tblW w:w="9638"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JCS_Summary|TableGroup:OutputSummary"/>
      </w:tblPr>
      <w:tblGrid>
        <w:gridCol w:w="6010"/>
        <w:gridCol w:w="907"/>
        <w:gridCol w:w="907"/>
        <w:gridCol w:w="907"/>
        <w:gridCol w:w="907"/>
      </w:tblGrid>
      <w:tr w:rsidR="000E55C6" w14:paraId="3F91E06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836F55" w14:textId="77777777" w:rsidR="000E55C6" w:rsidRDefault="000E55C6">
            <w:pPr>
              <w:keepNext/>
            </w:pPr>
          </w:p>
        </w:tc>
        <w:tc>
          <w:tcPr>
            <w:tcW w:w="907" w:type="dxa"/>
          </w:tcPr>
          <w:p w14:paraId="4D52D0D7" w14:textId="77777777" w:rsidR="000E55C6" w:rsidRDefault="000E55C6">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7D22B473" w14:textId="77777777" w:rsidR="000E55C6" w:rsidRDefault="000E55C6">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37719E1B" w14:textId="77777777" w:rsidR="000E55C6" w:rsidRDefault="000E55C6">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1CCB553E" w14:textId="77777777" w:rsidR="000E55C6" w:rsidRDefault="000E55C6">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0E55C6" w14:paraId="65854E54" w14:textId="77777777">
        <w:tc>
          <w:tcPr>
            <w:cnfStyle w:val="001000000000" w:firstRow="0" w:lastRow="0" w:firstColumn="1" w:lastColumn="0" w:oddVBand="0" w:evenVBand="0" w:oddHBand="0" w:evenHBand="0" w:firstRowFirstColumn="0" w:firstRowLastColumn="0" w:lastRowFirstColumn="0" w:lastRowLastColumn="0"/>
            <w:tcW w:w="6010" w:type="dxa"/>
          </w:tcPr>
          <w:p w14:paraId="5A5B7237" w14:textId="31297DF8" w:rsidR="000E55C6" w:rsidRDefault="000E55C6">
            <w:r>
              <w:rPr>
                <w:b/>
              </w:rPr>
              <w:t>Ensuring community safety through policing, law enforcement and crime</w:t>
            </w:r>
            <w:r w:rsidR="004A050A">
              <w:rPr>
                <w:b/>
              </w:rPr>
              <w:t> </w:t>
            </w:r>
            <w:r>
              <w:rPr>
                <w:b/>
              </w:rPr>
              <w:t>prevention activities</w:t>
            </w:r>
          </w:p>
        </w:tc>
        <w:tc>
          <w:tcPr>
            <w:tcW w:w="907" w:type="dxa"/>
          </w:tcPr>
          <w:p w14:paraId="01397FCD"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15E88A75"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151459B6"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48C26ABA"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216C8B0D" w14:textId="77777777">
        <w:tc>
          <w:tcPr>
            <w:cnfStyle w:val="001000000000" w:firstRow="0" w:lastRow="0" w:firstColumn="1" w:lastColumn="0" w:oddVBand="0" w:evenVBand="0" w:oddHBand="0" w:evenHBand="0" w:firstRowFirstColumn="0" w:firstRowLastColumn="0" w:lastRowFirstColumn="0" w:lastRowLastColumn="0"/>
            <w:tcW w:w="6010" w:type="dxa"/>
          </w:tcPr>
          <w:p w14:paraId="461ACC20" w14:textId="77777777" w:rsidR="000E55C6" w:rsidRDefault="000E55C6">
            <w:r>
              <w:t>Policing and Community Safety</w:t>
            </w:r>
          </w:p>
        </w:tc>
        <w:tc>
          <w:tcPr>
            <w:tcW w:w="907" w:type="dxa"/>
          </w:tcPr>
          <w:p w14:paraId="0D15B8C7" w14:textId="77777777" w:rsidR="000E55C6" w:rsidRDefault="000E55C6">
            <w:pPr>
              <w:cnfStyle w:val="000000000000" w:firstRow="0" w:lastRow="0" w:firstColumn="0" w:lastColumn="0" w:oddVBand="0" w:evenVBand="0" w:oddHBand="0" w:evenHBand="0" w:firstRowFirstColumn="0" w:firstRowLastColumn="0" w:lastRowFirstColumn="0" w:lastRowLastColumn="0"/>
            </w:pPr>
            <w:r>
              <w:t>4 508.3</w:t>
            </w:r>
          </w:p>
        </w:tc>
        <w:tc>
          <w:tcPr>
            <w:tcW w:w="907" w:type="dxa"/>
          </w:tcPr>
          <w:p w14:paraId="155E52E8" w14:textId="77777777" w:rsidR="000E55C6" w:rsidRDefault="000E55C6">
            <w:pPr>
              <w:cnfStyle w:val="000000000000" w:firstRow="0" w:lastRow="0" w:firstColumn="0" w:lastColumn="0" w:oddVBand="0" w:evenVBand="0" w:oddHBand="0" w:evenHBand="0" w:firstRowFirstColumn="0" w:firstRowLastColumn="0" w:lastRowFirstColumn="0" w:lastRowLastColumn="0"/>
            </w:pPr>
            <w:r>
              <w:t>4 447.5</w:t>
            </w:r>
          </w:p>
        </w:tc>
        <w:tc>
          <w:tcPr>
            <w:tcW w:w="907" w:type="dxa"/>
          </w:tcPr>
          <w:p w14:paraId="5E9F52FD" w14:textId="690C0C40" w:rsidR="000E55C6" w:rsidRDefault="000E55C6">
            <w:pPr>
              <w:cnfStyle w:val="000000000000" w:firstRow="0" w:lastRow="0" w:firstColumn="0" w:lastColumn="0" w:oddVBand="0" w:evenVBand="0" w:oddHBand="0" w:evenHBand="0" w:firstRowFirstColumn="0" w:firstRowLastColumn="0" w:lastRowFirstColumn="0" w:lastRowLastColumn="0"/>
            </w:pPr>
            <w:r>
              <w:t>4 684.</w:t>
            </w:r>
            <w:r w:rsidR="008E36E3">
              <w:t>4</w:t>
            </w:r>
          </w:p>
        </w:tc>
        <w:tc>
          <w:tcPr>
            <w:tcW w:w="907" w:type="dxa"/>
          </w:tcPr>
          <w:p w14:paraId="213FA368" w14:textId="77777777" w:rsidR="000E55C6" w:rsidRDefault="000E55C6">
            <w:pPr>
              <w:cnfStyle w:val="000000000000" w:firstRow="0" w:lastRow="0" w:firstColumn="0" w:lastColumn="0" w:oddVBand="0" w:evenVBand="0" w:oddHBand="0" w:evenHBand="0" w:firstRowFirstColumn="0" w:firstRowLastColumn="0" w:lastRowFirstColumn="0" w:lastRowLastColumn="0"/>
            </w:pPr>
            <w:r>
              <w:t>3.9</w:t>
            </w:r>
          </w:p>
        </w:tc>
      </w:tr>
      <w:tr w:rsidR="000E55C6" w14:paraId="0D9A24CF" w14:textId="77777777">
        <w:tc>
          <w:tcPr>
            <w:cnfStyle w:val="001000000000" w:firstRow="0" w:lastRow="0" w:firstColumn="1" w:lastColumn="0" w:oddVBand="0" w:evenVBand="0" w:oddHBand="0" w:evenHBand="0" w:firstRowFirstColumn="0" w:firstRowLastColumn="0" w:lastRowFirstColumn="0" w:lastRowLastColumn="0"/>
            <w:tcW w:w="6010" w:type="dxa"/>
          </w:tcPr>
          <w:p w14:paraId="5C1F2306" w14:textId="77777777" w:rsidR="000E55C6" w:rsidRDefault="000E55C6">
            <w:r>
              <w:t>Community Crime Prevention</w:t>
            </w:r>
            <w:r w:rsidRPr="00951B19">
              <w:rPr>
                <w:vertAlign w:val="superscript"/>
              </w:rPr>
              <w:t>(b)</w:t>
            </w:r>
          </w:p>
        </w:tc>
        <w:tc>
          <w:tcPr>
            <w:tcW w:w="907" w:type="dxa"/>
          </w:tcPr>
          <w:p w14:paraId="318F8AF3" w14:textId="77777777" w:rsidR="000E55C6" w:rsidRDefault="000E55C6">
            <w:pPr>
              <w:cnfStyle w:val="000000000000" w:firstRow="0" w:lastRow="0" w:firstColumn="0" w:lastColumn="0" w:oddVBand="0" w:evenVBand="0" w:oddHBand="0" w:evenHBand="0" w:firstRowFirstColumn="0" w:firstRowLastColumn="0" w:lastRowFirstColumn="0" w:lastRowLastColumn="0"/>
            </w:pPr>
            <w:r>
              <w:t>15.7</w:t>
            </w:r>
          </w:p>
        </w:tc>
        <w:tc>
          <w:tcPr>
            <w:tcW w:w="907" w:type="dxa"/>
          </w:tcPr>
          <w:p w14:paraId="6AD26A16" w14:textId="77777777" w:rsidR="000E55C6" w:rsidRDefault="000E55C6">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253CB7B8" w14:textId="77777777" w:rsidR="000E55C6" w:rsidRDefault="000E55C6">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2560CCB6" w14:textId="0E3EE4B2" w:rsidR="000E55C6" w:rsidRDefault="000E55C6">
            <w:pPr>
              <w:cnfStyle w:val="000000000000" w:firstRow="0" w:lastRow="0" w:firstColumn="0" w:lastColumn="0" w:oddVBand="0" w:evenVBand="0" w:oddHBand="0" w:evenHBand="0" w:firstRowFirstColumn="0" w:firstRowLastColumn="0" w:lastRowFirstColumn="0" w:lastRowLastColumn="0"/>
            </w:pPr>
            <w:r>
              <w:t>27.</w:t>
            </w:r>
            <w:r w:rsidR="00C75BC4">
              <w:t>0</w:t>
            </w:r>
          </w:p>
        </w:tc>
      </w:tr>
      <w:tr w:rsidR="000E55C6" w14:paraId="22D70372" w14:textId="77777777">
        <w:tc>
          <w:tcPr>
            <w:cnfStyle w:val="001000000000" w:firstRow="0" w:lastRow="0" w:firstColumn="1" w:lastColumn="0" w:oddVBand="0" w:evenVBand="0" w:oddHBand="0" w:evenHBand="0" w:firstRowFirstColumn="0" w:firstRowLastColumn="0" w:lastRowFirstColumn="0" w:lastRowLastColumn="0"/>
            <w:tcW w:w="6010" w:type="dxa"/>
          </w:tcPr>
          <w:p w14:paraId="6D82BFA3" w14:textId="77777777" w:rsidR="000E55C6" w:rsidRDefault="000E55C6">
            <w:r>
              <w:t>Fines and Road Safety Enforcement</w:t>
            </w:r>
          </w:p>
        </w:tc>
        <w:tc>
          <w:tcPr>
            <w:tcW w:w="907" w:type="dxa"/>
          </w:tcPr>
          <w:p w14:paraId="4BFEB106" w14:textId="77777777" w:rsidR="000E55C6" w:rsidRDefault="000E55C6">
            <w:pPr>
              <w:cnfStyle w:val="000000000000" w:firstRow="0" w:lastRow="0" w:firstColumn="0" w:lastColumn="0" w:oddVBand="0" w:evenVBand="0" w:oddHBand="0" w:evenHBand="0" w:firstRowFirstColumn="0" w:firstRowLastColumn="0" w:lastRowFirstColumn="0" w:lastRowLastColumn="0"/>
            </w:pPr>
            <w:r>
              <w:t>339.8</w:t>
            </w:r>
          </w:p>
        </w:tc>
        <w:tc>
          <w:tcPr>
            <w:tcW w:w="907" w:type="dxa"/>
          </w:tcPr>
          <w:p w14:paraId="04DA00BC" w14:textId="77777777" w:rsidR="000E55C6" w:rsidRDefault="000E55C6">
            <w:pPr>
              <w:cnfStyle w:val="000000000000" w:firstRow="0" w:lastRow="0" w:firstColumn="0" w:lastColumn="0" w:oddVBand="0" w:evenVBand="0" w:oddHBand="0" w:evenHBand="0" w:firstRowFirstColumn="0" w:firstRowLastColumn="0" w:lastRowFirstColumn="0" w:lastRowLastColumn="0"/>
            </w:pPr>
            <w:r>
              <w:t>331.4</w:t>
            </w:r>
          </w:p>
        </w:tc>
        <w:tc>
          <w:tcPr>
            <w:tcW w:w="907" w:type="dxa"/>
          </w:tcPr>
          <w:p w14:paraId="3A5ADFB3" w14:textId="77777777" w:rsidR="000E55C6" w:rsidRDefault="000E55C6">
            <w:pPr>
              <w:cnfStyle w:val="000000000000" w:firstRow="0" w:lastRow="0" w:firstColumn="0" w:lastColumn="0" w:oddVBand="0" w:evenVBand="0" w:oddHBand="0" w:evenHBand="0" w:firstRowFirstColumn="0" w:firstRowLastColumn="0" w:lastRowFirstColumn="0" w:lastRowLastColumn="0"/>
            </w:pPr>
            <w:r>
              <w:t>333.7</w:t>
            </w:r>
          </w:p>
        </w:tc>
        <w:tc>
          <w:tcPr>
            <w:tcW w:w="907" w:type="dxa"/>
          </w:tcPr>
          <w:p w14:paraId="4B44A0BB" w14:textId="77777777" w:rsidR="000E55C6" w:rsidRDefault="000E55C6">
            <w:pPr>
              <w:cnfStyle w:val="000000000000" w:firstRow="0" w:lastRow="0" w:firstColumn="0" w:lastColumn="0" w:oddVBand="0" w:evenVBand="0" w:oddHBand="0" w:evenHBand="0" w:firstRowFirstColumn="0" w:firstRowLastColumn="0" w:lastRowFirstColumn="0" w:lastRowLastColumn="0"/>
            </w:pPr>
            <w:r>
              <w:t>(1.8)</w:t>
            </w:r>
          </w:p>
        </w:tc>
      </w:tr>
      <w:tr w:rsidR="000E55C6" w14:paraId="7B79AA26" w14:textId="77777777">
        <w:tc>
          <w:tcPr>
            <w:cnfStyle w:val="001000000000" w:firstRow="0" w:lastRow="0" w:firstColumn="1" w:lastColumn="0" w:oddVBand="0" w:evenVBand="0" w:oddHBand="0" w:evenHBand="0" w:firstRowFirstColumn="0" w:firstRowLastColumn="0" w:lastRowFirstColumn="0" w:lastRowLastColumn="0"/>
            <w:tcW w:w="6010" w:type="dxa"/>
          </w:tcPr>
          <w:p w14:paraId="2DABFA44" w14:textId="77777777" w:rsidR="000E55C6" w:rsidRDefault="000E55C6">
            <w:r>
              <w:rPr>
                <w:b/>
              </w:rPr>
              <w:t>Reduce the impact of natural disasters and emergencies on people, infrastructure, the economy and environment</w:t>
            </w:r>
          </w:p>
        </w:tc>
        <w:tc>
          <w:tcPr>
            <w:tcW w:w="907" w:type="dxa"/>
          </w:tcPr>
          <w:p w14:paraId="39ACD1FA"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36004467"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434D026D"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7C62F5B9"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6991E808" w14:textId="77777777">
        <w:tc>
          <w:tcPr>
            <w:cnfStyle w:val="001000000000" w:firstRow="0" w:lastRow="0" w:firstColumn="1" w:lastColumn="0" w:oddVBand="0" w:evenVBand="0" w:oddHBand="0" w:evenHBand="0" w:firstRowFirstColumn="0" w:firstRowLastColumn="0" w:lastRowFirstColumn="0" w:lastRowLastColumn="0"/>
            <w:tcW w:w="6010" w:type="dxa"/>
          </w:tcPr>
          <w:p w14:paraId="05815C09" w14:textId="77777777" w:rsidR="000E55C6" w:rsidRDefault="000E55C6">
            <w:r>
              <w:t>Emergency Management Capability</w:t>
            </w:r>
          </w:p>
        </w:tc>
        <w:tc>
          <w:tcPr>
            <w:tcW w:w="907" w:type="dxa"/>
          </w:tcPr>
          <w:p w14:paraId="4EB46BDB" w14:textId="77777777" w:rsidR="000E55C6" w:rsidRDefault="000E55C6">
            <w:pPr>
              <w:cnfStyle w:val="000000000000" w:firstRow="0" w:lastRow="0" w:firstColumn="0" w:lastColumn="0" w:oddVBand="0" w:evenVBand="0" w:oddHBand="0" w:evenHBand="0" w:firstRowFirstColumn="0" w:firstRowLastColumn="0" w:lastRowFirstColumn="0" w:lastRowLastColumn="0"/>
            </w:pPr>
            <w:r w:rsidRPr="00477D7D">
              <w:t>1 9</w:t>
            </w:r>
            <w:r>
              <w:t>73.2</w:t>
            </w:r>
          </w:p>
        </w:tc>
        <w:tc>
          <w:tcPr>
            <w:tcW w:w="907" w:type="dxa"/>
          </w:tcPr>
          <w:p w14:paraId="7A9A9F4D" w14:textId="77777777" w:rsidR="000E55C6" w:rsidRDefault="000E55C6">
            <w:pPr>
              <w:cnfStyle w:val="000000000000" w:firstRow="0" w:lastRow="0" w:firstColumn="0" w:lastColumn="0" w:oddVBand="0" w:evenVBand="0" w:oddHBand="0" w:evenHBand="0" w:firstRowFirstColumn="0" w:firstRowLastColumn="0" w:lastRowFirstColumn="0" w:lastRowLastColumn="0"/>
            </w:pPr>
            <w:r w:rsidRPr="00477D7D">
              <w:t>2 259.1</w:t>
            </w:r>
          </w:p>
        </w:tc>
        <w:tc>
          <w:tcPr>
            <w:tcW w:w="907" w:type="dxa"/>
          </w:tcPr>
          <w:p w14:paraId="18DE38A6" w14:textId="77777777" w:rsidR="000E55C6" w:rsidRDefault="000E55C6">
            <w:pPr>
              <w:cnfStyle w:val="000000000000" w:firstRow="0" w:lastRow="0" w:firstColumn="0" w:lastColumn="0" w:oddVBand="0" w:evenVBand="0" w:oddHBand="0" w:evenHBand="0" w:firstRowFirstColumn="0" w:firstRowLastColumn="0" w:lastRowFirstColumn="0" w:lastRowLastColumn="0"/>
            </w:pPr>
            <w:r w:rsidRPr="00477D7D">
              <w:t>1 9</w:t>
            </w:r>
            <w:r>
              <w:t>82.7</w:t>
            </w:r>
          </w:p>
        </w:tc>
        <w:tc>
          <w:tcPr>
            <w:tcW w:w="907" w:type="dxa"/>
          </w:tcPr>
          <w:p w14:paraId="202FEC88" w14:textId="77777777" w:rsidR="000E55C6" w:rsidRDefault="000E55C6">
            <w:pPr>
              <w:cnfStyle w:val="000000000000" w:firstRow="0" w:lastRow="0" w:firstColumn="0" w:lastColumn="0" w:oddVBand="0" w:evenVBand="0" w:oddHBand="0" w:evenHBand="0" w:firstRowFirstColumn="0" w:firstRowLastColumn="0" w:lastRowFirstColumn="0" w:lastRowLastColumn="0"/>
            </w:pPr>
            <w:r>
              <w:t>0.5</w:t>
            </w:r>
          </w:p>
        </w:tc>
      </w:tr>
      <w:tr w:rsidR="000E55C6" w14:paraId="223DFE0C" w14:textId="77777777">
        <w:tc>
          <w:tcPr>
            <w:cnfStyle w:val="001000000000" w:firstRow="0" w:lastRow="0" w:firstColumn="1" w:lastColumn="0" w:oddVBand="0" w:evenVBand="0" w:oddHBand="0" w:evenHBand="0" w:firstRowFirstColumn="0" w:firstRowLastColumn="0" w:lastRowFirstColumn="0" w:lastRowLastColumn="0"/>
            <w:tcW w:w="6010" w:type="dxa"/>
          </w:tcPr>
          <w:p w14:paraId="1D7F77D0" w14:textId="77777777" w:rsidR="000E55C6" w:rsidRDefault="000E55C6">
            <w:r>
              <w:rPr>
                <w:b/>
              </w:rPr>
              <w:t>Effective management of prisoners and offenders and provision of opportunities for rehabilitation and reparation</w:t>
            </w:r>
          </w:p>
        </w:tc>
        <w:tc>
          <w:tcPr>
            <w:tcW w:w="907" w:type="dxa"/>
          </w:tcPr>
          <w:p w14:paraId="3E243889"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0E99AEAC"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38CEBA3A"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6DCB1052"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1D887E54" w14:textId="77777777">
        <w:tc>
          <w:tcPr>
            <w:cnfStyle w:val="001000000000" w:firstRow="0" w:lastRow="0" w:firstColumn="1" w:lastColumn="0" w:oddVBand="0" w:evenVBand="0" w:oddHBand="0" w:evenHBand="0" w:firstRowFirstColumn="0" w:firstRowLastColumn="0" w:lastRowFirstColumn="0" w:lastRowLastColumn="0"/>
            <w:tcW w:w="6010" w:type="dxa"/>
          </w:tcPr>
          <w:p w14:paraId="3F47C756" w14:textId="77777777" w:rsidR="000E55C6" w:rsidRDefault="000E55C6">
            <w:r>
              <w:t>Community Based Offender Supervision</w:t>
            </w:r>
          </w:p>
        </w:tc>
        <w:tc>
          <w:tcPr>
            <w:tcW w:w="907" w:type="dxa"/>
          </w:tcPr>
          <w:p w14:paraId="3FB6F1D4" w14:textId="77777777" w:rsidR="000E55C6" w:rsidRDefault="000E55C6">
            <w:pPr>
              <w:cnfStyle w:val="000000000000" w:firstRow="0" w:lastRow="0" w:firstColumn="0" w:lastColumn="0" w:oddVBand="0" w:evenVBand="0" w:oddHBand="0" w:evenHBand="0" w:firstRowFirstColumn="0" w:firstRowLastColumn="0" w:lastRowFirstColumn="0" w:lastRowLastColumn="0"/>
            </w:pPr>
            <w:r>
              <w:t>279.0</w:t>
            </w:r>
          </w:p>
        </w:tc>
        <w:tc>
          <w:tcPr>
            <w:tcW w:w="907" w:type="dxa"/>
          </w:tcPr>
          <w:p w14:paraId="686825B5" w14:textId="77777777" w:rsidR="000E55C6" w:rsidRDefault="000E55C6">
            <w:pPr>
              <w:cnfStyle w:val="000000000000" w:firstRow="0" w:lastRow="0" w:firstColumn="0" w:lastColumn="0" w:oddVBand="0" w:evenVBand="0" w:oddHBand="0" w:evenHBand="0" w:firstRowFirstColumn="0" w:firstRowLastColumn="0" w:lastRowFirstColumn="0" w:lastRowLastColumn="0"/>
            </w:pPr>
            <w:r>
              <w:t>267.3</w:t>
            </w:r>
          </w:p>
        </w:tc>
        <w:tc>
          <w:tcPr>
            <w:tcW w:w="907" w:type="dxa"/>
          </w:tcPr>
          <w:p w14:paraId="7E7B8CD5" w14:textId="77777777" w:rsidR="000E55C6" w:rsidRDefault="000E55C6">
            <w:pPr>
              <w:cnfStyle w:val="000000000000" w:firstRow="0" w:lastRow="0" w:firstColumn="0" w:lastColumn="0" w:oddVBand="0" w:evenVBand="0" w:oddHBand="0" w:evenHBand="0" w:firstRowFirstColumn="0" w:firstRowLastColumn="0" w:lastRowFirstColumn="0" w:lastRowLastColumn="0"/>
            </w:pPr>
            <w:r>
              <w:t>274.4</w:t>
            </w:r>
          </w:p>
        </w:tc>
        <w:tc>
          <w:tcPr>
            <w:tcW w:w="907" w:type="dxa"/>
          </w:tcPr>
          <w:p w14:paraId="64D6BFC9" w14:textId="77777777" w:rsidR="000E55C6" w:rsidRDefault="000E55C6">
            <w:pPr>
              <w:cnfStyle w:val="000000000000" w:firstRow="0" w:lastRow="0" w:firstColumn="0" w:lastColumn="0" w:oddVBand="0" w:evenVBand="0" w:oddHBand="0" w:evenHBand="0" w:firstRowFirstColumn="0" w:firstRowLastColumn="0" w:lastRowFirstColumn="0" w:lastRowLastColumn="0"/>
            </w:pPr>
            <w:r>
              <w:t>(1.6)</w:t>
            </w:r>
          </w:p>
        </w:tc>
      </w:tr>
      <w:tr w:rsidR="000E55C6" w14:paraId="0B5C07C9" w14:textId="77777777">
        <w:tc>
          <w:tcPr>
            <w:cnfStyle w:val="001000000000" w:firstRow="0" w:lastRow="0" w:firstColumn="1" w:lastColumn="0" w:oddVBand="0" w:evenVBand="0" w:oddHBand="0" w:evenHBand="0" w:firstRowFirstColumn="0" w:firstRowLastColumn="0" w:lastRowFirstColumn="0" w:lastRowLastColumn="0"/>
            <w:tcW w:w="6010" w:type="dxa"/>
          </w:tcPr>
          <w:p w14:paraId="18631D1B" w14:textId="77777777" w:rsidR="000E55C6" w:rsidRDefault="000E55C6">
            <w:r>
              <w:t>Prisoner Supervision and Support</w:t>
            </w:r>
          </w:p>
        </w:tc>
        <w:tc>
          <w:tcPr>
            <w:tcW w:w="907" w:type="dxa"/>
          </w:tcPr>
          <w:p w14:paraId="2D605E51" w14:textId="77777777" w:rsidR="000E55C6" w:rsidRDefault="000E55C6">
            <w:pPr>
              <w:cnfStyle w:val="000000000000" w:firstRow="0" w:lastRow="0" w:firstColumn="0" w:lastColumn="0" w:oddVBand="0" w:evenVBand="0" w:oddHBand="0" w:evenHBand="0" w:firstRowFirstColumn="0" w:firstRowLastColumn="0" w:lastRowFirstColumn="0" w:lastRowLastColumn="0"/>
            </w:pPr>
            <w:r>
              <w:t>1 627.7</w:t>
            </w:r>
          </w:p>
        </w:tc>
        <w:tc>
          <w:tcPr>
            <w:tcW w:w="907" w:type="dxa"/>
          </w:tcPr>
          <w:p w14:paraId="650F042B" w14:textId="77777777" w:rsidR="000E55C6" w:rsidRDefault="000E55C6">
            <w:pPr>
              <w:cnfStyle w:val="000000000000" w:firstRow="0" w:lastRow="0" w:firstColumn="0" w:lastColumn="0" w:oddVBand="0" w:evenVBand="0" w:oddHBand="0" w:evenHBand="0" w:firstRowFirstColumn="0" w:firstRowLastColumn="0" w:lastRowFirstColumn="0" w:lastRowLastColumn="0"/>
            </w:pPr>
            <w:r>
              <w:t>1 764.1</w:t>
            </w:r>
          </w:p>
        </w:tc>
        <w:tc>
          <w:tcPr>
            <w:tcW w:w="907" w:type="dxa"/>
          </w:tcPr>
          <w:p w14:paraId="0C1FCF0C" w14:textId="77777777" w:rsidR="000E55C6" w:rsidRDefault="000E55C6">
            <w:pPr>
              <w:cnfStyle w:val="000000000000" w:firstRow="0" w:lastRow="0" w:firstColumn="0" w:lastColumn="0" w:oddVBand="0" w:evenVBand="0" w:oddHBand="0" w:evenHBand="0" w:firstRowFirstColumn="0" w:firstRowLastColumn="0" w:lastRowFirstColumn="0" w:lastRowLastColumn="0"/>
            </w:pPr>
            <w:r>
              <w:t>1 692.4</w:t>
            </w:r>
          </w:p>
        </w:tc>
        <w:tc>
          <w:tcPr>
            <w:tcW w:w="907" w:type="dxa"/>
          </w:tcPr>
          <w:p w14:paraId="3B56C8A4" w14:textId="77777777" w:rsidR="000E55C6" w:rsidRDefault="000E55C6">
            <w:pPr>
              <w:cnfStyle w:val="000000000000" w:firstRow="0" w:lastRow="0" w:firstColumn="0" w:lastColumn="0" w:oddVBand="0" w:evenVBand="0" w:oddHBand="0" w:evenHBand="0" w:firstRowFirstColumn="0" w:firstRowLastColumn="0" w:lastRowFirstColumn="0" w:lastRowLastColumn="0"/>
            </w:pPr>
            <w:r>
              <w:t>4.0</w:t>
            </w:r>
          </w:p>
        </w:tc>
      </w:tr>
      <w:tr w:rsidR="000E55C6" w14:paraId="7D0E7395" w14:textId="77777777">
        <w:tc>
          <w:tcPr>
            <w:cnfStyle w:val="001000000000" w:firstRow="0" w:lastRow="0" w:firstColumn="1" w:lastColumn="0" w:oddVBand="0" w:evenVBand="0" w:oddHBand="0" w:evenHBand="0" w:firstRowFirstColumn="0" w:firstRowLastColumn="0" w:lastRowFirstColumn="0" w:lastRowLastColumn="0"/>
            <w:tcW w:w="6010" w:type="dxa"/>
          </w:tcPr>
          <w:p w14:paraId="64A35314" w14:textId="4C895973" w:rsidR="000E55C6" w:rsidRDefault="000E55C6">
            <w:r>
              <w:rPr>
                <w:b/>
              </w:rPr>
              <w:t>Effective supervision of children and young people through the provision of youth</w:t>
            </w:r>
            <w:r w:rsidR="004A050A">
              <w:rPr>
                <w:b/>
              </w:rPr>
              <w:t> </w:t>
            </w:r>
            <w:r>
              <w:rPr>
                <w:b/>
              </w:rPr>
              <w:t>justice services promoting rehabilitation</w:t>
            </w:r>
          </w:p>
        </w:tc>
        <w:tc>
          <w:tcPr>
            <w:tcW w:w="907" w:type="dxa"/>
          </w:tcPr>
          <w:p w14:paraId="68B714C8"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52A539C9"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27A6BAE6"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425CCC17"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32719B58" w14:textId="77777777">
        <w:tc>
          <w:tcPr>
            <w:cnfStyle w:val="001000000000" w:firstRow="0" w:lastRow="0" w:firstColumn="1" w:lastColumn="0" w:oddVBand="0" w:evenVBand="0" w:oddHBand="0" w:evenHBand="0" w:firstRowFirstColumn="0" w:firstRowLastColumn="0" w:lastRowFirstColumn="0" w:lastRowLastColumn="0"/>
            <w:tcW w:w="6010" w:type="dxa"/>
          </w:tcPr>
          <w:p w14:paraId="2E75042E" w14:textId="77777777" w:rsidR="000E55C6" w:rsidRDefault="000E55C6">
            <w:r>
              <w:t>Youth Justice Community Based Services</w:t>
            </w:r>
            <w:r w:rsidRPr="00951B19">
              <w:rPr>
                <w:vertAlign w:val="superscript"/>
              </w:rPr>
              <w:t>(c)</w:t>
            </w:r>
          </w:p>
        </w:tc>
        <w:tc>
          <w:tcPr>
            <w:tcW w:w="907" w:type="dxa"/>
          </w:tcPr>
          <w:p w14:paraId="5A2E25A9" w14:textId="77777777" w:rsidR="000E55C6" w:rsidRDefault="000E55C6">
            <w:pPr>
              <w:cnfStyle w:val="000000000000" w:firstRow="0" w:lastRow="0" w:firstColumn="0" w:lastColumn="0" w:oddVBand="0" w:evenVBand="0" w:oddHBand="0" w:evenHBand="0" w:firstRowFirstColumn="0" w:firstRowLastColumn="0" w:lastRowFirstColumn="0" w:lastRowLastColumn="0"/>
            </w:pPr>
            <w:r>
              <w:t>89.1</w:t>
            </w:r>
          </w:p>
        </w:tc>
        <w:tc>
          <w:tcPr>
            <w:tcW w:w="907" w:type="dxa"/>
          </w:tcPr>
          <w:p w14:paraId="3767B324" w14:textId="77777777" w:rsidR="000E55C6" w:rsidRDefault="000E55C6">
            <w:pPr>
              <w:cnfStyle w:val="000000000000" w:firstRow="0" w:lastRow="0" w:firstColumn="0" w:lastColumn="0" w:oddVBand="0" w:evenVBand="0" w:oddHBand="0" w:evenHBand="0" w:firstRowFirstColumn="0" w:firstRowLastColumn="0" w:lastRowFirstColumn="0" w:lastRowLastColumn="0"/>
            </w:pPr>
            <w:r>
              <w:t>110.6</w:t>
            </w:r>
          </w:p>
        </w:tc>
        <w:tc>
          <w:tcPr>
            <w:tcW w:w="907" w:type="dxa"/>
          </w:tcPr>
          <w:p w14:paraId="20503164" w14:textId="77777777" w:rsidR="000E55C6" w:rsidRDefault="000E55C6">
            <w:pPr>
              <w:cnfStyle w:val="000000000000" w:firstRow="0" w:lastRow="0" w:firstColumn="0" w:lastColumn="0" w:oddVBand="0" w:evenVBand="0" w:oddHBand="0" w:evenHBand="0" w:firstRowFirstColumn="0" w:firstRowLastColumn="0" w:lastRowFirstColumn="0" w:lastRowLastColumn="0"/>
            </w:pPr>
            <w:r>
              <w:t>106.3</w:t>
            </w:r>
          </w:p>
        </w:tc>
        <w:tc>
          <w:tcPr>
            <w:tcW w:w="907" w:type="dxa"/>
          </w:tcPr>
          <w:p w14:paraId="3F837D7B" w14:textId="1DD8344B" w:rsidR="000E55C6" w:rsidRDefault="000E55C6">
            <w:pPr>
              <w:cnfStyle w:val="000000000000" w:firstRow="0" w:lastRow="0" w:firstColumn="0" w:lastColumn="0" w:oddVBand="0" w:evenVBand="0" w:oddHBand="0" w:evenHBand="0" w:firstRowFirstColumn="0" w:firstRowLastColumn="0" w:lastRowFirstColumn="0" w:lastRowLastColumn="0"/>
            </w:pPr>
            <w:r>
              <w:t>19.</w:t>
            </w:r>
            <w:r w:rsidR="00AC3E96">
              <w:t>4</w:t>
            </w:r>
          </w:p>
        </w:tc>
      </w:tr>
      <w:tr w:rsidR="000E55C6" w14:paraId="2BCCF07C" w14:textId="77777777">
        <w:tc>
          <w:tcPr>
            <w:cnfStyle w:val="001000000000" w:firstRow="0" w:lastRow="0" w:firstColumn="1" w:lastColumn="0" w:oddVBand="0" w:evenVBand="0" w:oddHBand="0" w:evenHBand="0" w:firstRowFirstColumn="0" w:firstRowLastColumn="0" w:lastRowFirstColumn="0" w:lastRowLastColumn="0"/>
            <w:tcW w:w="6010" w:type="dxa"/>
          </w:tcPr>
          <w:p w14:paraId="4B6159A2" w14:textId="77777777" w:rsidR="000E55C6" w:rsidRDefault="000E55C6">
            <w:r>
              <w:t>Youth Justice Custodial Services</w:t>
            </w:r>
            <w:r w:rsidRPr="00951B19">
              <w:rPr>
                <w:vertAlign w:val="superscript"/>
              </w:rPr>
              <w:t>(d)</w:t>
            </w:r>
          </w:p>
        </w:tc>
        <w:tc>
          <w:tcPr>
            <w:tcW w:w="907" w:type="dxa"/>
          </w:tcPr>
          <w:p w14:paraId="70B86D72" w14:textId="77777777" w:rsidR="000E55C6" w:rsidRDefault="000E55C6">
            <w:pPr>
              <w:cnfStyle w:val="000000000000" w:firstRow="0" w:lastRow="0" w:firstColumn="0" w:lastColumn="0" w:oddVBand="0" w:evenVBand="0" w:oddHBand="0" w:evenHBand="0" w:firstRowFirstColumn="0" w:firstRowLastColumn="0" w:lastRowFirstColumn="0" w:lastRowLastColumn="0"/>
            </w:pPr>
            <w:r>
              <w:t>274.2</w:t>
            </w:r>
          </w:p>
        </w:tc>
        <w:tc>
          <w:tcPr>
            <w:tcW w:w="907" w:type="dxa"/>
          </w:tcPr>
          <w:p w14:paraId="6E4BA732" w14:textId="77777777" w:rsidR="000E55C6" w:rsidRDefault="000E55C6">
            <w:pPr>
              <w:cnfStyle w:val="000000000000" w:firstRow="0" w:lastRow="0" w:firstColumn="0" w:lastColumn="0" w:oddVBand="0" w:evenVBand="0" w:oddHBand="0" w:evenHBand="0" w:firstRowFirstColumn="0" w:firstRowLastColumn="0" w:lastRowFirstColumn="0" w:lastRowLastColumn="0"/>
            </w:pPr>
            <w:r>
              <w:t>400.9</w:t>
            </w:r>
          </w:p>
        </w:tc>
        <w:tc>
          <w:tcPr>
            <w:tcW w:w="907" w:type="dxa"/>
          </w:tcPr>
          <w:p w14:paraId="675A21DF" w14:textId="77777777" w:rsidR="000E55C6" w:rsidRDefault="000E55C6">
            <w:pPr>
              <w:cnfStyle w:val="000000000000" w:firstRow="0" w:lastRow="0" w:firstColumn="0" w:lastColumn="0" w:oddVBand="0" w:evenVBand="0" w:oddHBand="0" w:evenHBand="0" w:firstRowFirstColumn="0" w:firstRowLastColumn="0" w:lastRowFirstColumn="0" w:lastRowLastColumn="0"/>
            </w:pPr>
            <w:r>
              <w:t>311.1</w:t>
            </w:r>
          </w:p>
        </w:tc>
        <w:tc>
          <w:tcPr>
            <w:tcW w:w="907" w:type="dxa"/>
          </w:tcPr>
          <w:p w14:paraId="07D259D5" w14:textId="77777777" w:rsidR="000E55C6" w:rsidRDefault="000E55C6">
            <w:pPr>
              <w:cnfStyle w:val="000000000000" w:firstRow="0" w:lastRow="0" w:firstColumn="0" w:lastColumn="0" w:oddVBand="0" w:evenVBand="0" w:oddHBand="0" w:evenHBand="0" w:firstRowFirstColumn="0" w:firstRowLastColumn="0" w:lastRowFirstColumn="0" w:lastRowLastColumn="0"/>
            </w:pPr>
            <w:r>
              <w:t>13.5</w:t>
            </w:r>
          </w:p>
        </w:tc>
      </w:tr>
      <w:tr w:rsidR="000E55C6" w14:paraId="0B1FC16D" w14:textId="77777777">
        <w:tc>
          <w:tcPr>
            <w:cnfStyle w:val="001000000000" w:firstRow="0" w:lastRow="0" w:firstColumn="1" w:lastColumn="0" w:oddVBand="0" w:evenVBand="0" w:oddHBand="0" w:evenHBand="0" w:firstRowFirstColumn="0" w:firstRowLastColumn="0" w:lastRowFirstColumn="0" w:lastRowLastColumn="0"/>
            <w:tcW w:w="6010" w:type="dxa"/>
          </w:tcPr>
          <w:p w14:paraId="7032900C" w14:textId="62295948" w:rsidR="000E55C6" w:rsidRDefault="000E55C6">
            <w:r>
              <w:rPr>
                <w:b/>
              </w:rPr>
              <w:t>A fair and accessible justice system where Victorians are protected with equal</w:t>
            </w:r>
            <w:r w:rsidR="004A050A">
              <w:rPr>
                <w:b/>
              </w:rPr>
              <w:t> </w:t>
            </w:r>
            <w:r>
              <w:rPr>
                <w:b/>
              </w:rPr>
              <w:t>opportunities, rights and information freedoms</w:t>
            </w:r>
          </w:p>
        </w:tc>
        <w:tc>
          <w:tcPr>
            <w:tcW w:w="907" w:type="dxa"/>
          </w:tcPr>
          <w:p w14:paraId="5ECD15BE"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7CC7FDC0"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1F5EA5E3"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0D0EC81D"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6B85D213" w14:textId="77777777">
        <w:tc>
          <w:tcPr>
            <w:cnfStyle w:val="001000000000" w:firstRow="0" w:lastRow="0" w:firstColumn="1" w:lastColumn="0" w:oddVBand="0" w:evenVBand="0" w:oddHBand="0" w:evenHBand="0" w:firstRowFirstColumn="0" w:firstRowLastColumn="0" w:lastRowFirstColumn="0" w:lastRowLastColumn="0"/>
            <w:tcW w:w="6010" w:type="dxa"/>
          </w:tcPr>
          <w:p w14:paraId="5C4C319C" w14:textId="77777777" w:rsidR="000E55C6" w:rsidRDefault="000E55C6">
            <w:r>
              <w:t>Public Prosecutions and Legal Assistance</w:t>
            </w:r>
            <w:r w:rsidRPr="00951B19">
              <w:rPr>
                <w:vertAlign w:val="superscript"/>
              </w:rPr>
              <w:t>(e)</w:t>
            </w:r>
          </w:p>
        </w:tc>
        <w:tc>
          <w:tcPr>
            <w:tcW w:w="907" w:type="dxa"/>
          </w:tcPr>
          <w:p w14:paraId="721824A8" w14:textId="77777777" w:rsidR="000E55C6" w:rsidRDefault="000E55C6">
            <w:pPr>
              <w:cnfStyle w:val="000000000000" w:firstRow="0" w:lastRow="0" w:firstColumn="0" w:lastColumn="0" w:oddVBand="0" w:evenVBand="0" w:oddHBand="0" w:evenHBand="0" w:firstRowFirstColumn="0" w:firstRowLastColumn="0" w:lastRowFirstColumn="0" w:lastRowLastColumn="0"/>
            </w:pPr>
            <w:r>
              <w:t>363.9</w:t>
            </w:r>
          </w:p>
        </w:tc>
        <w:tc>
          <w:tcPr>
            <w:tcW w:w="907" w:type="dxa"/>
          </w:tcPr>
          <w:p w14:paraId="23432BF5" w14:textId="77777777" w:rsidR="000E55C6" w:rsidRDefault="000E55C6">
            <w:pPr>
              <w:cnfStyle w:val="000000000000" w:firstRow="0" w:lastRow="0" w:firstColumn="0" w:lastColumn="0" w:oddVBand="0" w:evenVBand="0" w:oddHBand="0" w:evenHBand="0" w:firstRowFirstColumn="0" w:firstRowLastColumn="0" w:lastRowFirstColumn="0" w:lastRowLastColumn="0"/>
            </w:pPr>
            <w:r>
              <w:t>434.0</w:t>
            </w:r>
          </w:p>
        </w:tc>
        <w:tc>
          <w:tcPr>
            <w:tcW w:w="907" w:type="dxa"/>
          </w:tcPr>
          <w:p w14:paraId="62FA1145" w14:textId="77777777" w:rsidR="000E55C6" w:rsidRDefault="000E55C6">
            <w:pPr>
              <w:cnfStyle w:val="000000000000" w:firstRow="0" w:lastRow="0" w:firstColumn="0" w:lastColumn="0" w:oddVBand="0" w:evenVBand="0" w:oddHBand="0" w:evenHBand="0" w:firstRowFirstColumn="0" w:firstRowLastColumn="0" w:lastRowFirstColumn="0" w:lastRowLastColumn="0"/>
            </w:pPr>
            <w:r>
              <w:t>444.5</w:t>
            </w:r>
          </w:p>
        </w:tc>
        <w:tc>
          <w:tcPr>
            <w:tcW w:w="907" w:type="dxa"/>
          </w:tcPr>
          <w:p w14:paraId="2E7577E8" w14:textId="77777777" w:rsidR="000E55C6" w:rsidRDefault="000E55C6">
            <w:pPr>
              <w:cnfStyle w:val="000000000000" w:firstRow="0" w:lastRow="0" w:firstColumn="0" w:lastColumn="0" w:oddVBand="0" w:evenVBand="0" w:oddHBand="0" w:evenHBand="0" w:firstRowFirstColumn="0" w:firstRowLastColumn="0" w:lastRowFirstColumn="0" w:lastRowLastColumn="0"/>
            </w:pPr>
            <w:r>
              <w:t>22.1</w:t>
            </w:r>
          </w:p>
        </w:tc>
      </w:tr>
      <w:tr w:rsidR="000E55C6" w14:paraId="3BCADDC1" w14:textId="77777777">
        <w:tc>
          <w:tcPr>
            <w:cnfStyle w:val="001000000000" w:firstRow="0" w:lastRow="0" w:firstColumn="1" w:lastColumn="0" w:oddVBand="0" w:evenVBand="0" w:oddHBand="0" w:evenHBand="0" w:firstRowFirstColumn="0" w:firstRowLastColumn="0" w:lastRowFirstColumn="0" w:lastRowLastColumn="0"/>
            <w:tcW w:w="6010" w:type="dxa"/>
          </w:tcPr>
          <w:p w14:paraId="07D91818" w14:textId="77777777" w:rsidR="000E55C6" w:rsidRDefault="000E55C6">
            <w:r>
              <w:t>Forensic Justice Services</w:t>
            </w:r>
          </w:p>
        </w:tc>
        <w:tc>
          <w:tcPr>
            <w:tcW w:w="907" w:type="dxa"/>
          </w:tcPr>
          <w:p w14:paraId="2E7E077E" w14:textId="77777777" w:rsidR="000E55C6" w:rsidRDefault="000E55C6">
            <w:pPr>
              <w:cnfStyle w:val="000000000000" w:firstRow="0" w:lastRow="0" w:firstColumn="0" w:lastColumn="0" w:oddVBand="0" w:evenVBand="0" w:oddHBand="0" w:evenHBand="0" w:firstRowFirstColumn="0" w:firstRowLastColumn="0" w:lastRowFirstColumn="0" w:lastRowLastColumn="0"/>
            </w:pPr>
            <w:r>
              <w:t>70.6</w:t>
            </w:r>
          </w:p>
        </w:tc>
        <w:tc>
          <w:tcPr>
            <w:tcW w:w="907" w:type="dxa"/>
          </w:tcPr>
          <w:p w14:paraId="33F23E26" w14:textId="77777777" w:rsidR="000E55C6" w:rsidRDefault="000E55C6">
            <w:pPr>
              <w:cnfStyle w:val="000000000000" w:firstRow="0" w:lastRow="0" w:firstColumn="0" w:lastColumn="0" w:oddVBand="0" w:evenVBand="0" w:oddHBand="0" w:evenHBand="0" w:firstRowFirstColumn="0" w:firstRowLastColumn="0" w:lastRowFirstColumn="0" w:lastRowLastColumn="0"/>
            </w:pPr>
            <w:r>
              <w:t>67.9</w:t>
            </w:r>
          </w:p>
        </w:tc>
        <w:tc>
          <w:tcPr>
            <w:tcW w:w="907" w:type="dxa"/>
          </w:tcPr>
          <w:p w14:paraId="6F46F551" w14:textId="77777777" w:rsidR="000E55C6" w:rsidRDefault="000E55C6">
            <w:pPr>
              <w:cnfStyle w:val="000000000000" w:firstRow="0" w:lastRow="0" w:firstColumn="0" w:lastColumn="0" w:oddVBand="0" w:evenVBand="0" w:oddHBand="0" w:evenHBand="0" w:firstRowFirstColumn="0" w:firstRowLastColumn="0" w:lastRowFirstColumn="0" w:lastRowLastColumn="0"/>
            </w:pPr>
            <w:r>
              <w:t>70.4</w:t>
            </w:r>
          </w:p>
        </w:tc>
        <w:tc>
          <w:tcPr>
            <w:tcW w:w="907" w:type="dxa"/>
          </w:tcPr>
          <w:p w14:paraId="103E2980" w14:textId="77777777" w:rsidR="000E55C6" w:rsidRDefault="000E55C6">
            <w:pPr>
              <w:cnfStyle w:val="000000000000" w:firstRow="0" w:lastRow="0" w:firstColumn="0" w:lastColumn="0" w:oddVBand="0" w:evenVBand="0" w:oddHBand="0" w:evenHBand="0" w:firstRowFirstColumn="0" w:firstRowLastColumn="0" w:lastRowFirstColumn="0" w:lastRowLastColumn="0"/>
            </w:pPr>
            <w:r>
              <w:t>(0.2)</w:t>
            </w:r>
          </w:p>
        </w:tc>
      </w:tr>
      <w:tr w:rsidR="000E55C6" w14:paraId="081E15D2" w14:textId="77777777">
        <w:tc>
          <w:tcPr>
            <w:cnfStyle w:val="001000000000" w:firstRow="0" w:lastRow="0" w:firstColumn="1" w:lastColumn="0" w:oddVBand="0" w:evenVBand="0" w:oddHBand="0" w:evenHBand="0" w:firstRowFirstColumn="0" w:firstRowLastColumn="0" w:lastRowFirstColumn="0" w:lastRowLastColumn="0"/>
            <w:tcW w:w="6010" w:type="dxa"/>
          </w:tcPr>
          <w:p w14:paraId="70AA0F2D" w14:textId="77777777" w:rsidR="000E55C6" w:rsidRDefault="000E55C6">
            <w:r>
              <w:t>Justice Policy, Services and Law Reform</w:t>
            </w:r>
          </w:p>
        </w:tc>
        <w:tc>
          <w:tcPr>
            <w:tcW w:w="907" w:type="dxa"/>
          </w:tcPr>
          <w:p w14:paraId="471517ED" w14:textId="77777777" w:rsidR="000E55C6" w:rsidRDefault="000E55C6">
            <w:pPr>
              <w:cnfStyle w:val="000000000000" w:firstRow="0" w:lastRow="0" w:firstColumn="0" w:lastColumn="0" w:oddVBand="0" w:evenVBand="0" w:oddHBand="0" w:evenHBand="0" w:firstRowFirstColumn="0" w:firstRowLastColumn="0" w:lastRowFirstColumn="0" w:lastRowLastColumn="0"/>
            </w:pPr>
            <w:r>
              <w:t>250.3</w:t>
            </w:r>
          </w:p>
        </w:tc>
        <w:tc>
          <w:tcPr>
            <w:tcW w:w="907" w:type="dxa"/>
          </w:tcPr>
          <w:p w14:paraId="0F43AC34" w14:textId="77777777" w:rsidR="000E55C6" w:rsidRDefault="000E55C6">
            <w:pPr>
              <w:cnfStyle w:val="000000000000" w:firstRow="0" w:lastRow="0" w:firstColumn="0" w:lastColumn="0" w:oddVBand="0" w:evenVBand="0" w:oddHBand="0" w:evenHBand="0" w:firstRowFirstColumn="0" w:firstRowLastColumn="0" w:lastRowFirstColumn="0" w:lastRowLastColumn="0"/>
            </w:pPr>
            <w:r>
              <w:t>250.1</w:t>
            </w:r>
          </w:p>
        </w:tc>
        <w:tc>
          <w:tcPr>
            <w:tcW w:w="907" w:type="dxa"/>
          </w:tcPr>
          <w:p w14:paraId="3231F6D9" w14:textId="77777777" w:rsidR="000E55C6" w:rsidRDefault="000E55C6">
            <w:pPr>
              <w:cnfStyle w:val="000000000000" w:firstRow="0" w:lastRow="0" w:firstColumn="0" w:lastColumn="0" w:oddVBand="0" w:evenVBand="0" w:oddHBand="0" w:evenHBand="0" w:firstRowFirstColumn="0" w:firstRowLastColumn="0" w:lastRowFirstColumn="0" w:lastRowLastColumn="0"/>
            </w:pPr>
            <w:r>
              <w:t>254.1</w:t>
            </w:r>
          </w:p>
        </w:tc>
        <w:tc>
          <w:tcPr>
            <w:tcW w:w="907" w:type="dxa"/>
          </w:tcPr>
          <w:p w14:paraId="41D79FE6" w14:textId="77777777" w:rsidR="000E55C6" w:rsidRDefault="000E55C6">
            <w:pPr>
              <w:cnfStyle w:val="000000000000" w:firstRow="0" w:lastRow="0" w:firstColumn="0" w:lastColumn="0" w:oddVBand="0" w:evenVBand="0" w:oddHBand="0" w:evenHBand="0" w:firstRowFirstColumn="0" w:firstRowLastColumn="0" w:lastRowFirstColumn="0" w:lastRowLastColumn="0"/>
            </w:pPr>
            <w:r>
              <w:t>1.5</w:t>
            </w:r>
          </w:p>
        </w:tc>
      </w:tr>
      <w:tr w:rsidR="000E55C6" w14:paraId="1E58590C" w14:textId="77777777">
        <w:tc>
          <w:tcPr>
            <w:cnfStyle w:val="001000000000" w:firstRow="0" w:lastRow="0" w:firstColumn="1" w:lastColumn="0" w:oddVBand="0" w:evenVBand="0" w:oddHBand="0" w:evenHBand="0" w:firstRowFirstColumn="0" w:firstRowLastColumn="0" w:lastRowFirstColumn="0" w:lastRowLastColumn="0"/>
            <w:tcW w:w="6010" w:type="dxa"/>
          </w:tcPr>
          <w:p w14:paraId="0537D5E9" w14:textId="77777777" w:rsidR="000E55C6" w:rsidRDefault="000E55C6">
            <w:r>
              <w:t>Advocacy, Human Rights and Victim Support</w:t>
            </w:r>
            <w:r w:rsidRPr="00951B19">
              <w:rPr>
                <w:vertAlign w:val="superscript"/>
              </w:rPr>
              <w:t>(f)</w:t>
            </w:r>
          </w:p>
        </w:tc>
        <w:tc>
          <w:tcPr>
            <w:tcW w:w="907" w:type="dxa"/>
          </w:tcPr>
          <w:p w14:paraId="4A15FD19" w14:textId="77777777" w:rsidR="000E55C6" w:rsidRDefault="000E55C6">
            <w:pPr>
              <w:cnfStyle w:val="000000000000" w:firstRow="0" w:lastRow="0" w:firstColumn="0" w:lastColumn="0" w:oddVBand="0" w:evenVBand="0" w:oddHBand="0" w:evenHBand="0" w:firstRowFirstColumn="0" w:firstRowLastColumn="0" w:lastRowFirstColumn="0" w:lastRowLastColumn="0"/>
            </w:pPr>
            <w:r>
              <w:t>196.2</w:t>
            </w:r>
          </w:p>
        </w:tc>
        <w:tc>
          <w:tcPr>
            <w:tcW w:w="907" w:type="dxa"/>
          </w:tcPr>
          <w:p w14:paraId="489B7D6D" w14:textId="77777777" w:rsidR="000E55C6" w:rsidRDefault="000E55C6">
            <w:pPr>
              <w:cnfStyle w:val="000000000000" w:firstRow="0" w:lastRow="0" w:firstColumn="0" w:lastColumn="0" w:oddVBand="0" w:evenVBand="0" w:oddHBand="0" w:evenHBand="0" w:firstRowFirstColumn="0" w:firstRowLastColumn="0" w:lastRowFirstColumn="0" w:lastRowLastColumn="0"/>
            </w:pPr>
            <w:r>
              <w:t>119.3</w:t>
            </w:r>
          </w:p>
        </w:tc>
        <w:tc>
          <w:tcPr>
            <w:tcW w:w="907" w:type="dxa"/>
          </w:tcPr>
          <w:p w14:paraId="1027942B" w14:textId="77777777" w:rsidR="000E55C6" w:rsidRDefault="000E55C6">
            <w:pPr>
              <w:cnfStyle w:val="000000000000" w:firstRow="0" w:lastRow="0" w:firstColumn="0" w:lastColumn="0" w:oddVBand="0" w:evenVBand="0" w:oddHBand="0" w:evenHBand="0" w:firstRowFirstColumn="0" w:firstRowLastColumn="0" w:lastRowFirstColumn="0" w:lastRowLastColumn="0"/>
            </w:pPr>
            <w:r>
              <w:t>143.2</w:t>
            </w:r>
          </w:p>
        </w:tc>
        <w:tc>
          <w:tcPr>
            <w:tcW w:w="907" w:type="dxa"/>
          </w:tcPr>
          <w:p w14:paraId="596BF9BB" w14:textId="77777777" w:rsidR="000E55C6" w:rsidRDefault="000E55C6">
            <w:pPr>
              <w:cnfStyle w:val="000000000000" w:firstRow="0" w:lastRow="0" w:firstColumn="0" w:lastColumn="0" w:oddVBand="0" w:evenVBand="0" w:oddHBand="0" w:evenHBand="0" w:firstRowFirstColumn="0" w:firstRowLastColumn="0" w:lastRowFirstColumn="0" w:lastRowLastColumn="0"/>
            </w:pPr>
            <w:r>
              <w:t>(27.0)</w:t>
            </w:r>
          </w:p>
        </w:tc>
      </w:tr>
      <w:tr w:rsidR="000E55C6" w14:paraId="21D0F876" w14:textId="77777777">
        <w:tc>
          <w:tcPr>
            <w:cnfStyle w:val="001000000000" w:firstRow="0" w:lastRow="0" w:firstColumn="1" w:lastColumn="0" w:oddVBand="0" w:evenVBand="0" w:oddHBand="0" w:evenHBand="0" w:firstRowFirstColumn="0" w:firstRowLastColumn="0" w:lastRowFirstColumn="0" w:lastRowLastColumn="0"/>
            <w:tcW w:w="6010" w:type="dxa"/>
          </w:tcPr>
          <w:p w14:paraId="3E5CDA3B" w14:textId="77777777" w:rsidR="000E55C6" w:rsidRDefault="000E55C6">
            <w:r>
              <w:t>Public Sector and Local Government Integrity, Privacy and Information Protection</w:t>
            </w:r>
          </w:p>
        </w:tc>
        <w:tc>
          <w:tcPr>
            <w:tcW w:w="907" w:type="dxa"/>
          </w:tcPr>
          <w:p w14:paraId="0B2CDE1B" w14:textId="77777777" w:rsidR="000E55C6" w:rsidRDefault="000E55C6">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53516F06" w14:textId="77777777" w:rsidR="000E55C6" w:rsidRDefault="000E55C6">
            <w:pPr>
              <w:cnfStyle w:val="000000000000" w:firstRow="0" w:lastRow="0" w:firstColumn="0" w:lastColumn="0" w:oddVBand="0" w:evenVBand="0" w:oddHBand="0" w:evenHBand="0" w:firstRowFirstColumn="0" w:firstRowLastColumn="0" w:lastRowFirstColumn="0" w:lastRowLastColumn="0"/>
            </w:pPr>
            <w:r>
              <w:t>18.6</w:t>
            </w:r>
          </w:p>
        </w:tc>
        <w:tc>
          <w:tcPr>
            <w:tcW w:w="907" w:type="dxa"/>
          </w:tcPr>
          <w:p w14:paraId="761D2260" w14:textId="77777777" w:rsidR="000E55C6" w:rsidRDefault="000E55C6">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56BCBDFA" w14:textId="77777777" w:rsidR="000E55C6" w:rsidRDefault="000E55C6">
            <w:pPr>
              <w:cnfStyle w:val="000000000000" w:firstRow="0" w:lastRow="0" w:firstColumn="0" w:lastColumn="0" w:oddVBand="0" w:evenVBand="0" w:oddHBand="0" w:evenHBand="0" w:firstRowFirstColumn="0" w:firstRowLastColumn="0" w:lastRowFirstColumn="0" w:lastRowLastColumn="0"/>
            </w:pPr>
            <w:r>
              <w:t>3.8</w:t>
            </w:r>
          </w:p>
        </w:tc>
      </w:tr>
      <w:tr w:rsidR="000E55C6" w14:paraId="7395B746" w14:textId="77777777">
        <w:tc>
          <w:tcPr>
            <w:cnfStyle w:val="001000000000" w:firstRow="0" w:lastRow="0" w:firstColumn="1" w:lastColumn="0" w:oddVBand="0" w:evenVBand="0" w:oddHBand="0" w:evenHBand="0" w:firstRowFirstColumn="0" w:firstRowLastColumn="0" w:lastRowFirstColumn="0" w:lastRowLastColumn="0"/>
            <w:tcW w:w="6010" w:type="dxa"/>
          </w:tcPr>
          <w:p w14:paraId="68D89C22" w14:textId="385EEACF" w:rsidR="000E55C6" w:rsidRDefault="000E55C6">
            <w:r>
              <w:rPr>
                <w:b/>
              </w:rPr>
              <w:t>Promoting responsible liquor, tobacco and gambling industries and supporting a</w:t>
            </w:r>
            <w:r w:rsidR="004A050A">
              <w:rPr>
                <w:b/>
              </w:rPr>
              <w:t> </w:t>
            </w:r>
            <w:r>
              <w:rPr>
                <w:b/>
              </w:rPr>
              <w:t>safe and sustainable racing sector</w:t>
            </w:r>
          </w:p>
        </w:tc>
        <w:tc>
          <w:tcPr>
            <w:tcW w:w="907" w:type="dxa"/>
          </w:tcPr>
          <w:p w14:paraId="58EAB950"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3FD420A8"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47F5AAC4"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c>
          <w:tcPr>
            <w:tcW w:w="907" w:type="dxa"/>
          </w:tcPr>
          <w:p w14:paraId="36A503F6" w14:textId="77777777" w:rsidR="000E55C6" w:rsidRDefault="000E55C6">
            <w:pPr>
              <w:cnfStyle w:val="000000000000" w:firstRow="0" w:lastRow="0" w:firstColumn="0" w:lastColumn="0" w:oddVBand="0" w:evenVBand="0" w:oddHBand="0" w:evenHBand="0" w:firstRowFirstColumn="0" w:firstRowLastColumn="0" w:lastRowFirstColumn="0" w:lastRowLastColumn="0"/>
            </w:pPr>
          </w:p>
        </w:tc>
      </w:tr>
      <w:tr w:rsidR="000E55C6" w14:paraId="6BBA8C28" w14:textId="77777777">
        <w:tc>
          <w:tcPr>
            <w:cnfStyle w:val="001000000000" w:firstRow="0" w:lastRow="0" w:firstColumn="1" w:lastColumn="0" w:oddVBand="0" w:evenVBand="0" w:oddHBand="0" w:evenHBand="0" w:firstRowFirstColumn="0" w:firstRowLastColumn="0" w:lastRowFirstColumn="0" w:lastRowLastColumn="0"/>
            <w:tcW w:w="6010" w:type="dxa"/>
          </w:tcPr>
          <w:p w14:paraId="51A50080" w14:textId="77777777" w:rsidR="000E55C6" w:rsidRDefault="000E55C6">
            <w:r>
              <w:t>Liquor, Tobacco, Gambling and Casino Regulation</w:t>
            </w:r>
            <w:r w:rsidRPr="00951B19">
              <w:rPr>
                <w:vertAlign w:val="superscript"/>
              </w:rPr>
              <w:t>(g)</w:t>
            </w:r>
          </w:p>
        </w:tc>
        <w:tc>
          <w:tcPr>
            <w:tcW w:w="907" w:type="dxa"/>
          </w:tcPr>
          <w:p w14:paraId="421102F2" w14:textId="77777777" w:rsidR="000E55C6" w:rsidRDefault="000E55C6">
            <w:pPr>
              <w:cnfStyle w:val="000000000000" w:firstRow="0" w:lastRow="0" w:firstColumn="0" w:lastColumn="0" w:oddVBand="0" w:evenVBand="0" w:oddHBand="0" w:evenHBand="0" w:firstRowFirstColumn="0" w:firstRowLastColumn="0" w:lastRowFirstColumn="0" w:lastRowLastColumn="0"/>
            </w:pPr>
            <w:r>
              <w:t>73.9</w:t>
            </w:r>
          </w:p>
        </w:tc>
        <w:tc>
          <w:tcPr>
            <w:tcW w:w="907" w:type="dxa"/>
          </w:tcPr>
          <w:p w14:paraId="21AACC97" w14:textId="77777777" w:rsidR="000E55C6" w:rsidRDefault="000E55C6">
            <w:pPr>
              <w:cnfStyle w:val="000000000000" w:firstRow="0" w:lastRow="0" w:firstColumn="0" w:lastColumn="0" w:oddVBand="0" w:evenVBand="0" w:oddHBand="0" w:evenHBand="0" w:firstRowFirstColumn="0" w:firstRowLastColumn="0" w:lastRowFirstColumn="0" w:lastRowLastColumn="0"/>
            </w:pPr>
            <w:r>
              <w:t>72.3</w:t>
            </w:r>
          </w:p>
        </w:tc>
        <w:tc>
          <w:tcPr>
            <w:tcW w:w="907" w:type="dxa"/>
          </w:tcPr>
          <w:p w14:paraId="30778C0E" w14:textId="77777777" w:rsidR="000E55C6" w:rsidRDefault="000E55C6">
            <w:pPr>
              <w:cnfStyle w:val="000000000000" w:firstRow="0" w:lastRow="0" w:firstColumn="0" w:lastColumn="0" w:oddVBand="0" w:evenVBand="0" w:oddHBand="0" w:evenHBand="0" w:firstRowFirstColumn="0" w:firstRowLastColumn="0" w:lastRowFirstColumn="0" w:lastRowLastColumn="0"/>
            </w:pPr>
            <w:r>
              <w:t>83.3</w:t>
            </w:r>
          </w:p>
        </w:tc>
        <w:tc>
          <w:tcPr>
            <w:tcW w:w="907" w:type="dxa"/>
          </w:tcPr>
          <w:p w14:paraId="7544CEB2" w14:textId="77777777" w:rsidR="000E55C6" w:rsidRDefault="000E55C6">
            <w:pPr>
              <w:cnfStyle w:val="000000000000" w:firstRow="0" w:lastRow="0" w:firstColumn="0" w:lastColumn="0" w:oddVBand="0" w:evenVBand="0" w:oddHBand="0" w:evenHBand="0" w:firstRowFirstColumn="0" w:firstRowLastColumn="0" w:lastRowFirstColumn="0" w:lastRowLastColumn="0"/>
            </w:pPr>
            <w:r>
              <w:t>12.8</w:t>
            </w:r>
          </w:p>
        </w:tc>
      </w:tr>
      <w:tr w:rsidR="000E55C6" w14:paraId="12CF59A5"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E9FC05B" w14:textId="77777777" w:rsidR="000E55C6" w:rsidRDefault="000E55C6">
            <w:r>
              <w:t>Racing Industry Support and Regulation</w:t>
            </w:r>
          </w:p>
        </w:tc>
        <w:tc>
          <w:tcPr>
            <w:tcW w:w="907" w:type="dxa"/>
            <w:tcBorders>
              <w:bottom w:val="single" w:sz="6" w:space="0" w:color="auto"/>
            </w:tcBorders>
          </w:tcPr>
          <w:p w14:paraId="01A35D92" w14:textId="77777777" w:rsidR="000E55C6" w:rsidRDefault="000E55C6">
            <w:pPr>
              <w:cnfStyle w:val="000000000000" w:firstRow="0" w:lastRow="0" w:firstColumn="0" w:lastColumn="0" w:oddVBand="0" w:evenVBand="0" w:oddHBand="0" w:evenHBand="0" w:firstRowFirstColumn="0" w:firstRowLastColumn="0" w:lastRowFirstColumn="0" w:lastRowLastColumn="0"/>
            </w:pPr>
            <w:r>
              <w:t>122.9</w:t>
            </w:r>
          </w:p>
        </w:tc>
        <w:tc>
          <w:tcPr>
            <w:tcW w:w="907" w:type="dxa"/>
            <w:tcBorders>
              <w:bottom w:val="single" w:sz="6" w:space="0" w:color="auto"/>
            </w:tcBorders>
          </w:tcPr>
          <w:p w14:paraId="73495CEA" w14:textId="77777777" w:rsidR="000E55C6" w:rsidRDefault="000E55C6">
            <w:pPr>
              <w:cnfStyle w:val="000000000000" w:firstRow="0" w:lastRow="0" w:firstColumn="0" w:lastColumn="0" w:oddVBand="0" w:evenVBand="0" w:oddHBand="0" w:evenHBand="0" w:firstRowFirstColumn="0" w:firstRowLastColumn="0" w:lastRowFirstColumn="0" w:lastRowLastColumn="0"/>
            </w:pPr>
            <w:r>
              <w:t>125.4</w:t>
            </w:r>
          </w:p>
        </w:tc>
        <w:tc>
          <w:tcPr>
            <w:tcW w:w="907" w:type="dxa"/>
            <w:tcBorders>
              <w:bottom w:val="single" w:sz="6" w:space="0" w:color="auto"/>
            </w:tcBorders>
          </w:tcPr>
          <w:p w14:paraId="607E63A9" w14:textId="77777777" w:rsidR="000E55C6" w:rsidRDefault="000E55C6">
            <w:pPr>
              <w:cnfStyle w:val="000000000000" w:firstRow="0" w:lastRow="0" w:firstColumn="0" w:lastColumn="0" w:oddVBand="0" w:evenVBand="0" w:oddHBand="0" w:evenHBand="0" w:firstRowFirstColumn="0" w:firstRowLastColumn="0" w:lastRowFirstColumn="0" w:lastRowLastColumn="0"/>
            </w:pPr>
            <w:r>
              <w:t>119.1</w:t>
            </w:r>
          </w:p>
        </w:tc>
        <w:tc>
          <w:tcPr>
            <w:tcW w:w="907" w:type="dxa"/>
            <w:tcBorders>
              <w:bottom w:val="single" w:sz="6" w:space="0" w:color="auto"/>
            </w:tcBorders>
          </w:tcPr>
          <w:p w14:paraId="6BC229ED" w14:textId="77777777" w:rsidR="000E55C6" w:rsidRDefault="000E55C6">
            <w:pPr>
              <w:cnfStyle w:val="000000000000" w:firstRow="0" w:lastRow="0" w:firstColumn="0" w:lastColumn="0" w:oddVBand="0" w:evenVBand="0" w:oddHBand="0" w:evenHBand="0" w:firstRowFirstColumn="0" w:firstRowLastColumn="0" w:lastRowFirstColumn="0" w:lastRowLastColumn="0"/>
            </w:pPr>
            <w:r>
              <w:t>(3.1)</w:t>
            </w:r>
          </w:p>
        </w:tc>
      </w:tr>
      <w:tr w:rsidR="000E55C6" w14:paraId="2D7F864C"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7AEBBD3" w14:textId="77777777" w:rsidR="000E55C6" w:rsidRDefault="000E55C6">
            <w:r>
              <w:rPr>
                <w:b/>
              </w:rPr>
              <w:t>Total</w:t>
            </w:r>
          </w:p>
        </w:tc>
        <w:tc>
          <w:tcPr>
            <w:tcW w:w="907" w:type="dxa"/>
            <w:tcBorders>
              <w:top w:val="single" w:sz="6" w:space="0" w:color="auto"/>
              <w:bottom w:val="single" w:sz="12" w:space="0" w:color="auto"/>
            </w:tcBorders>
          </w:tcPr>
          <w:p w14:paraId="45685FEC" w14:textId="77777777" w:rsidR="000E55C6" w:rsidRDefault="000E55C6">
            <w:pPr>
              <w:cnfStyle w:val="000000000000" w:firstRow="0" w:lastRow="0" w:firstColumn="0" w:lastColumn="0" w:oddVBand="0" w:evenVBand="0" w:oddHBand="0" w:evenHBand="0" w:firstRowFirstColumn="0" w:firstRowLastColumn="0" w:lastRowFirstColumn="0" w:lastRowLastColumn="0"/>
            </w:pPr>
            <w:r>
              <w:rPr>
                <w:b/>
              </w:rPr>
              <w:t>10 202.2</w:t>
            </w:r>
          </w:p>
        </w:tc>
        <w:tc>
          <w:tcPr>
            <w:tcW w:w="907" w:type="dxa"/>
            <w:tcBorders>
              <w:top w:val="single" w:sz="6" w:space="0" w:color="auto"/>
              <w:bottom w:val="single" w:sz="12" w:space="0" w:color="auto"/>
            </w:tcBorders>
          </w:tcPr>
          <w:p w14:paraId="5034CB82" w14:textId="77777777" w:rsidR="000E55C6" w:rsidRDefault="000E55C6">
            <w:pPr>
              <w:cnfStyle w:val="000000000000" w:firstRow="0" w:lastRow="0" w:firstColumn="0" w:lastColumn="0" w:oddVBand="0" w:evenVBand="0" w:oddHBand="0" w:evenHBand="0" w:firstRowFirstColumn="0" w:firstRowLastColumn="0" w:lastRowFirstColumn="0" w:lastRowLastColumn="0"/>
            </w:pPr>
            <w:r>
              <w:rPr>
                <w:b/>
              </w:rPr>
              <w:t>10 686.0</w:t>
            </w:r>
          </w:p>
        </w:tc>
        <w:tc>
          <w:tcPr>
            <w:tcW w:w="907" w:type="dxa"/>
            <w:tcBorders>
              <w:top w:val="single" w:sz="6" w:space="0" w:color="auto"/>
              <w:bottom w:val="single" w:sz="12" w:space="0" w:color="auto"/>
            </w:tcBorders>
          </w:tcPr>
          <w:p w14:paraId="14700DD9" w14:textId="77777777" w:rsidR="000E55C6" w:rsidRDefault="000E55C6">
            <w:pPr>
              <w:cnfStyle w:val="000000000000" w:firstRow="0" w:lastRow="0" w:firstColumn="0" w:lastColumn="0" w:oddVBand="0" w:evenVBand="0" w:oddHBand="0" w:evenHBand="0" w:firstRowFirstColumn="0" w:firstRowLastColumn="0" w:lastRowFirstColumn="0" w:lastRowLastColumn="0"/>
            </w:pPr>
            <w:r>
              <w:rPr>
                <w:b/>
              </w:rPr>
              <w:t>10 537.8</w:t>
            </w:r>
          </w:p>
        </w:tc>
        <w:tc>
          <w:tcPr>
            <w:tcW w:w="907" w:type="dxa"/>
            <w:tcBorders>
              <w:top w:val="single" w:sz="6" w:space="0" w:color="auto"/>
              <w:bottom w:val="single" w:sz="12" w:space="0" w:color="auto"/>
            </w:tcBorders>
          </w:tcPr>
          <w:p w14:paraId="29D00C95" w14:textId="77777777" w:rsidR="000E55C6" w:rsidRDefault="000E55C6">
            <w:pPr>
              <w:cnfStyle w:val="000000000000" w:firstRow="0" w:lastRow="0" w:firstColumn="0" w:lastColumn="0" w:oddVBand="0" w:evenVBand="0" w:oddHBand="0" w:evenHBand="0" w:firstRowFirstColumn="0" w:firstRowLastColumn="0" w:lastRowFirstColumn="0" w:lastRowLastColumn="0"/>
            </w:pPr>
            <w:r>
              <w:rPr>
                <w:b/>
              </w:rPr>
              <w:t>3.3</w:t>
            </w:r>
          </w:p>
        </w:tc>
      </w:tr>
    </w:tbl>
    <w:p w14:paraId="104FE71B" w14:textId="77777777" w:rsidR="000E55C6" w:rsidRPr="00B8091E" w:rsidRDefault="000E55C6" w:rsidP="000E55C6">
      <w:pPr>
        <w:pStyle w:val="Source"/>
      </w:pPr>
      <w:r w:rsidRPr="00B8091E">
        <w:t>Source: Department of Justice and Community Safety</w:t>
      </w:r>
    </w:p>
    <w:p w14:paraId="6461B3F3" w14:textId="77777777" w:rsidR="000E55C6" w:rsidRDefault="000E55C6" w:rsidP="000E55C6">
      <w:pPr>
        <w:pStyle w:val="Note"/>
      </w:pPr>
      <w:r>
        <w:t>Notes:</w:t>
      </w:r>
    </w:p>
    <w:p w14:paraId="13415383" w14:textId="75B99774" w:rsidR="000E55C6" w:rsidRDefault="002A78E9" w:rsidP="002A78E9">
      <w:pPr>
        <w:pStyle w:val="Note"/>
      </w:pPr>
      <w:r>
        <w:t>(a)</w:t>
      </w:r>
      <w:r>
        <w:tab/>
      </w:r>
      <w:r w:rsidR="000E55C6" w:rsidRPr="00784DBE">
        <w:t>Variation between 2025-26 budget and 2026-27 budget.</w:t>
      </w:r>
    </w:p>
    <w:p w14:paraId="07942ED3" w14:textId="77777777" w:rsidR="00027F17" w:rsidRDefault="002A78E9" w:rsidP="002A78E9">
      <w:pPr>
        <w:pStyle w:val="Note"/>
      </w:pPr>
      <w:r>
        <w:t>(b)</w:t>
      </w:r>
      <w:r>
        <w:tab/>
      </w:r>
      <w:r w:rsidR="000E55C6" w:rsidRPr="00784DBE">
        <w:t xml:space="preserve">The higher 2026-27 target reflects the increased funding in the </w:t>
      </w:r>
      <w:r w:rsidR="000E55C6" w:rsidRPr="007F62B6">
        <w:t xml:space="preserve">2026-27 </w:t>
      </w:r>
      <w:r w:rsidR="007F62B6" w:rsidRPr="007F62B6">
        <w:t>budget</w:t>
      </w:r>
      <w:r w:rsidR="000E55C6" w:rsidRPr="00784DBE">
        <w:t xml:space="preserve"> for Youth Crime Prevention Package and Protecting Victoria </w:t>
      </w:r>
      <w:r w:rsidR="000E55C6">
        <w:t>through preventing and countering violent extremism</w:t>
      </w:r>
      <w:r w:rsidR="000E55C6" w:rsidRPr="00784DBE" w:rsidDel="00C16142">
        <w:t xml:space="preserve"> </w:t>
      </w:r>
      <w:r w:rsidR="000E55C6" w:rsidRPr="00784DBE">
        <w:t>initiatives.</w:t>
      </w:r>
      <w:r w:rsidR="007F62B6" w:rsidRPr="007F62B6" w:rsidDel="007F62B6">
        <w:t xml:space="preserve"> </w:t>
      </w:r>
    </w:p>
    <w:p w14:paraId="08BE0130" w14:textId="455E1102" w:rsidR="000E55C6" w:rsidRDefault="002A78E9" w:rsidP="002A78E9">
      <w:pPr>
        <w:pStyle w:val="Note"/>
      </w:pPr>
      <w:r>
        <w:t>(c)</w:t>
      </w:r>
      <w:r>
        <w:tab/>
      </w:r>
      <w:r w:rsidR="000E55C6" w:rsidRPr="00784DBE">
        <w:t xml:space="preserve">The higher 2026-27 target reflects the release of funding for the Community Safety Package, </w:t>
      </w:r>
      <w:r w:rsidR="000E55C6" w:rsidRPr="002A7CB0">
        <w:rPr>
          <w:iCs/>
        </w:rPr>
        <w:t xml:space="preserve">and funding in the 2026-27 </w:t>
      </w:r>
      <w:r w:rsidRPr="002A7CB0">
        <w:rPr>
          <w:iCs/>
        </w:rPr>
        <w:t>budget for new</w:t>
      </w:r>
      <w:r w:rsidR="000E55C6" w:rsidRPr="002A7CB0">
        <w:rPr>
          <w:iCs/>
        </w:rPr>
        <w:t xml:space="preserve"> initiative</w:t>
      </w:r>
      <w:r w:rsidR="00D17DE8" w:rsidRPr="002A7CB0">
        <w:rPr>
          <w:iCs/>
        </w:rPr>
        <w:t>s</w:t>
      </w:r>
      <w:r w:rsidR="000E55C6" w:rsidRPr="002A7CB0">
        <w:rPr>
          <w:iCs/>
        </w:rPr>
        <w:t>.</w:t>
      </w:r>
    </w:p>
    <w:p w14:paraId="6A26E2C2" w14:textId="44BF572A" w:rsidR="0098156D" w:rsidRDefault="002A78E9" w:rsidP="002A78E9">
      <w:pPr>
        <w:pStyle w:val="Note"/>
      </w:pPr>
      <w:r>
        <w:t>(d)</w:t>
      </w:r>
      <w:r>
        <w:tab/>
      </w:r>
      <w:r w:rsidR="000E55C6" w:rsidRPr="00784DBE">
        <w:t xml:space="preserve">The higher 2026-27 target reflects the release of funding for the Community Safety Package and funding in the </w:t>
      </w:r>
      <w:r w:rsidR="000E55C6" w:rsidRPr="002A7CB0">
        <w:t xml:space="preserve">2026-27 </w:t>
      </w:r>
      <w:r w:rsidR="008952E3" w:rsidRPr="002A7CB0">
        <w:t>budget for new initiatives.</w:t>
      </w:r>
      <w:r w:rsidR="008952E3" w:rsidRPr="00784DBE" w:rsidDel="008952E3">
        <w:t xml:space="preserve"> </w:t>
      </w:r>
    </w:p>
    <w:p w14:paraId="4147C00E" w14:textId="7B7FAD23" w:rsidR="0098156D" w:rsidRDefault="002A78E9" w:rsidP="002A78E9">
      <w:pPr>
        <w:pStyle w:val="Note"/>
      </w:pPr>
      <w:r>
        <w:t>(e)</w:t>
      </w:r>
      <w:r>
        <w:tab/>
      </w:r>
      <w:r w:rsidR="000E55C6" w:rsidRPr="00784DBE">
        <w:t xml:space="preserve">The higher 2026-27 target </w:t>
      </w:r>
      <w:r w:rsidR="00A34128" w:rsidRPr="00A34128">
        <w:t>reflects</w:t>
      </w:r>
      <w:r w:rsidR="000E55C6" w:rsidRPr="00784DBE">
        <w:t xml:space="preserve"> funding in the </w:t>
      </w:r>
      <w:r w:rsidR="000E55C6" w:rsidRPr="0098156D">
        <w:rPr>
          <w:i w:val="0"/>
        </w:rPr>
        <w:t>2026-27 Budget</w:t>
      </w:r>
      <w:r w:rsidR="000E55C6" w:rsidRPr="00784DBE">
        <w:t xml:space="preserve">, including for the Enhancing legal assistance for Victorians </w:t>
      </w:r>
      <w:r w:rsidR="00A34128" w:rsidRPr="00A34128">
        <w:t xml:space="preserve">initiative. </w:t>
      </w:r>
    </w:p>
    <w:p w14:paraId="7D19CD5F" w14:textId="62390A29" w:rsidR="000E55C6" w:rsidRDefault="002A78E9" w:rsidP="002A78E9">
      <w:pPr>
        <w:pStyle w:val="Note"/>
      </w:pPr>
      <w:r>
        <w:t>(f)</w:t>
      </w:r>
      <w:r>
        <w:tab/>
      </w:r>
      <w:r w:rsidR="000E55C6" w:rsidRPr="00784DBE">
        <w:t xml:space="preserve">The lower 2026-27 target reflects </w:t>
      </w:r>
      <w:r w:rsidR="00922282">
        <w:t xml:space="preserve">funding in </w:t>
      </w:r>
      <w:r w:rsidR="000E55C6" w:rsidRPr="00784DBE">
        <w:t xml:space="preserve">the </w:t>
      </w:r>
      <w:r w:rsidR="00922282">
        <w:t>2026-27 budget for the Improving access to justice for vulnerable victims of crime and Delivery of the Victims of Crime Financial Assistance Scheme initiatives, and</w:t>
      </w:r>
      <w:r w:rsidR="000E55C6" w:rsidRPr="00784DBE">
        <w:t xml:space="preserve"> the bring</w:t>
      </w:r>
      <w:r w:rsidR="006F2AB7">
        <w:t xml:space="preserve">ing </w:t>
      </w:r>
      <w:r w:rsidR="000E55C6" w:rsidRPr="00784DBE">
        <w:t>forward of funding from 2026-27 into 2024-25 to provision for expected future payments for the financial assistance scheme in line with accounting standards.</w:t>
      </w:r>
    </w:p>
    <w:p w14:paraId="61E8AF58" w14:textId="150FC513" w:rsidR="000E55C6" w:rsidRPr="00784DBE" w:rsidRDefault="002A78E9" w:rsidP="002A78E9">
      <w:pPr>
        <w:pStyle w:val="Note"/>
      </w:pPr>
      <w:r>
        <w:t>(g)</w:t>
      </w:r>
      <w:r>
        <w:tab/>
      </w:r>
      <w:r w:rsidR="000E55C6" w:rsidRPr="00784DBE">
        <w:t xml:space="preserve">The higher 2026-27 target reflects funding in the </w:t>
      </w:r>
      <w:r w:rsidR="000E55C6" w:rsidRPr="005F0E43">
        <w:t xml:space="preserve">2026-27 </w:t>
      </w:r>
      <w:r w:rsidR="005F0E43" w:rsidRPr="005F0E43">
        <w:t>budget</w:t>
      </w:r>
      <w:r w:rsidR="000E55C6" w:rsidRPr="0011602E">
        <w:t xml:space="preserve"> for the </w:t>
      </w:r>
      <w:r w:rsidR="000E55C6" w:rsidRPr="00E07F08">
        <w:t>Strengthening Victoria’s</w:t>
      </w:r>
      <w:r w:rsidR="000E55C6" w:rsidRPr="0011602E">
        <w:t xml:space="preserve"> tobacco regulator initiative</w:t>
      </w:r>
      <w:r w:rsidR="000E55C6" w:rsidRPr="00784DBE">
        <w:t xml:space="preserve"> and incremental funding for initiatives announced in previous budgets including </w:t>
      </w:r>
      <w:r w:rsidR="000E55C6">
        <w:t>P</w:t>
      </w:r>
      <w:r w:rsidR="000E55C6" w:rsidRPr="00784DBE">
        <w:t xml:space="preserve">reventing and addressing gambling harm and </w:t>
      </w:r>
      <w:r w:rsidR="002E38B4">
        <w:t>E</w:t>
      </w:r>
      <w:r w:rsidR="000E55C6" w:rsidRPr="00784DBE">
        <w:t>stablishing a modern tobacco regulator and supporting effective liquor regulation</w:t>
      </w:r>
      <w:r w:rsidR="000E55C6">
        <w:t>.</w:t>
      </w:r>
    </w:p>
    <w:p w14:paraId="475BD93B" w14:textId="77777777" w:rsidR="00824558" w:rsidRPr="00C640F8" w:rsidRDefault="00824558">
      <w:pPr>
        <w:pStyle w:val="Heading2"/>
      </w:pPr>
      <w:r w:rsidRPr="00C640F8">
        <w:lastRenderedPageBreak/>
        <w:t>Amounts available</w:t>
      </w:r>
    </w:p>
    <w:p w14:paraId="29A993FC" w14:textId="77777777" w:rsidR="00824558" w:rsidRPr="00C640F8" w:rsidRDefault="00824558" w:rsidP="00633FC4">
      <w:pPr>
        <w:keepNext/>
        <w:rPr>
          <w:rFonts w:ascii="Garamond" w:eastAsia="Garamond" w:hAnsi="Garamond"/>
        </w:rPr>
      </w:pPr>
      <w:r w:rsidRPr="00C640F8">
        <w:rPr>
          <w:rFonts w:ascii="Garamond" w:eastAsia="Garamond" w:hAnsi="Garamond"/>
        </w:rPr>
        <w:t xml:space="preserve">The following tables detail the amounts available to the </w:t>
      </w:r>
      <w:r>
        <w:rPr>
          <w:rFonts w:ascii="Garamond" w:eastAsia="Garamond" w:hAnsi="Garamond"/>
        </w:rPr>
        <w:t>D</w:t>
      </w:r>
      <w:r w:rsidRPr="00C640F8">
        <w:rPr>
          <w:rFonts w:ascii="Garamond" w:eastAsia="Garamond" w:hAnsi="Garamond"/>
        </w:rPr>
        <w:t>epartment from parliamentary authority and income generated through transactions.</w:t>
      </w:r>
    </w:p>
    <w:p w14:paraId="699F056F" w14:textId="42846171" w:rsidR="00824558" w:rsidRPr="00C640F8" w:rsidRDefault="00824558">
      <w:pPr>
        <w:rPr>
          <w:rFonts w:ascii="Garamond" w:eastAsia="Garamond" w:hAnsi="Garamond"/>
        </w:rPr>
      </w:pPr>
      <w:r w:rsidRPr="00C640F8">
        <w:rPr>
          <w:rFonts w:ascii="Garamond" w:eastAsia="Garamond" w:hAnsi="Garamond"/>
        </w:rPr>
        <w:t xml:space="preserve">Table </w:t>
      </w:r>
      <w:r w:rsidRPr="00BD39BF">
        <w:rPr>
          <w:rFonts w:ascii="Garamond" w:eastAsia="Garamond" w:hAnsi="Garamond"/>
        </w:rPr>
        <w:t>2</w:t>
      </w:r>
      <w:r>
        <w:rPr>
          <w:rFonts w:ascii="Garamond" w:eastAsia="Garamond" w:hAnsi="Garamond"/>
        </w:rPr>
        <w:t>0</w:t>
      </w:r>
      <w:r w:rsidRPr="00C640F8">
        <w:rPr>
          <w:rFonts w:ascii="Garamond" w:eastAsia="Garamond" w:hAnsi="Garamond"/>
        </w:rPr>
        <w:t xml:space="preserve"> outlines the </w:t>
      </w:r>
      <w:r>
        <w:rPr>
          <w:rFonts w:ascii="Garamond" w:eastAsia="Garamond" w:hAnsi="Garamond"/>
        </w:rPr>
        <w:t>D</w:t>
      </w:r>
      <w:r w:rsidRPr="00C640F8">
        <w:rPr>
          <w:rFonts w:ascii="Garamond" w:eastAsia="Garamond" w:hAnsi="Garamond"/>
        </w:rPr>
        <w:t>epartment</w:t>
      </w:r>
      <w:r w:rsidR="007942D1">
        <w:rPr>
          <w:rFonts w:ascii="Garamond" w:eastAsia="Garamond" w:hAnsi="Garamond"/>
        </w:rPr>
        <w:t>’</w:t>
      </w:r>
      <w:r w:rsidRPr="00C640F8">
        <w:rPr>
          <w:rFonts w:ascii="Garamond" w:eastAsia="Garamond" w:hAnsi="Garamond"/>
        </w:rPr>
        <w:t>s income from transactions and Table 2</w:t>
      </w:r>
      <w:r>
        <w:rPr>
          <w:rFonts w:ascii="Garamond" w:eastAsia="Garamond" w:hAnsi="Garamond"/>
        </w:rPr>
        <w:t>1</w:t>
      </w:r>
      <w:r w:rsidRPr="00C640F8">
        <w:rPr>
          <w:rFonts w:ascii="Garamond" w:eastAsia="Garamond" w:hAnsi="Garamond"/>
        </w:rPr>
        <w:t xml:space="preserve"> summarises the sources of parliamentary authority available to the </w:t>
      </w:r>
      <w:r w:rsidR="00944B5A">
        <w:rPr>
          <w:rFonts w:ascii="Garamond" w:eastAsia="Garamond" w:hAnsi="Garamond"/>
        </w:rPr>
        <w:t>D</w:t>
      </w:r>
      <w:r w:rsidRPr="00C640F8">
        <w:rPr>
          <w:rFonts w:ascii="Garamond" w:eastAsia="Garamond" w:hAnsi="Garamond"/>
        </w:rPr>
        <w:t xml:space="preserve">epartment to fund the provision of outputs, additions to the net asset base and payments made on behalf of the </w:t>
      </w:r>
      <w:r>
        <w:rPr>
          <w:rFonts w:ascii="Garamond" w:eastAsia="Garamond" w:hAnsi="Garamond"/>
        </w:rPr>
        <w:t>S</w:t>
      </w:r>
      <w:r w:rsidRPr="00C640F8">
        <w:rPr>
          <w:rFonts w:ascii="Garamond" w:eastAsia="Garamond" w:hAnsi="Garamond"/>
        </w:rPr>
        <w:t xml:space="preserve">tate, and other sources expected to become available to the </w:t>
      </w:r>
      <w:r>
        <w:rPr>
          <w:rFonts w:ascii="Garamond" w:eastAsia="Garamond" w:hAnsi="Garamond"/>
        </w:rPr>
        <w:t>D</w:t>
      </w:r>
      <w:r w:rsidRPr="00C640F8">
        <w:rPr>
          <w:rFonts w:ascii="Garamond" w:eastAsia="Garamond" w:hAnsi="Garamond"/>
        </w:rPr>
        <w:t>epartment.</w:t>
      </w:r>
    </w:p>
    <w:p w14:paraId="14A059D4" w14:textId="77777777" w:rsidR="00824558" w:rsidRPr="00AA4968" w:rsidRDefault="00824558">
      <w:pPr>
        <w:pStyle w:val="TableHeading"/>
      </w:pPr>
      <w:r w:rsidRPr="002D4A37">
        <w:t xml:space="preserve">Table </w:t>
      </w:r>
      <w:r w:rsidRPr="00BD39BF">
        <w:t>2</w:t>
      </w:r>
      <w:r>
        <w:t>0</w:t>
      </w:r>
      <w:r w:rsidRPr="002D4A37">
        <w:t>:</w:t>
      </w:r>
      <w:r w:rsidRPr="002D4A37">
        <w:tab/>
        <w:t>Income from transactions</w:t>
      </w:r>
      <w:r w:rsidRPr="002D4A37">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9775ED" w14:paraId="65AA16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EC6C8B" w14:textId="77777777" w:rsidR="009775ED" w:rsidRDefault="009775ED"/>
        </w:tc>
        <w:tc>
          <w:tcPr>
            <w:tcW w:w="851" w:type="dxa"/>
          </w:tcPr>
          <w:p w14:paraId="730D0947" w14:textId="77777777" w:rsidR="009775ED" w:rsidRDefault="009775ED">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5629E180" w14:textId="77777777" w:rsidR="009775ED" w:rsidRDefault="009775ED">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1FBCDD52" w14:textId="77777777" w:rsidR="009775ED" w:rsidRDefault="009775ED">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2B8342E5" w14:textId="77777777" w:rsidR="009775ED" w:rsidRDefault="009775ED">
            <w:pPr>
              <w:cnfStyle w:val="100000000000" w:firstRow="1" w:lastRow="0" w:firstColumn="0" w:lastColumn="0" w:oddVBand="0" w:evenVBand="0" w:oddHBand="0" w:evenHBand="0" w:firstRowFirstColumn="0" w:firstRowLastColumn="0" w:lastRowFirstColumn="0" w:lastRowLastColumn="0"/>
            </w:pPr>
            <w:r>
              <w:t>2026-27 budget</w:t>
            </w:r>
          </w:p>
        </w:tc>
      </w:tr>
      <w:tr w:rsidR="009775ED" w:rsidRPr="00E87EA2" w14:paraId="42A2877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24F2F" w14:textId="77777777" w:rsidR="009775ED" w:rsidRPr="00E87EA2" w:rsidRDefault="009775ED">
            <w:pPr>
              <w:rPr>
                <w:lang w:eastAsia="en-AU"/>
              </w:rPr>
            </w:pPr>
            <w:r w:rsidRPr="00E87EA2">
              <w:rPr>
                <w:lang w:eastAsia="en-AU"/>
              </w:rPr>
              <w:t>Output appropriations</w:t>
            </w:r>
          </w:p>
        </w:tc>
        <w:tc>
          <w:tcPr>
            <w:tcW w:w="851" w:type="dxa"/>
            <w:noWrap/>
            <w:hideMark/>
          </w:tcPr>
          <w:p w14:paraId="4444A1CE"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10 335.6</w:t>
            </w:r>
          </w:p>
        </w:tc>
        <w:tc>
          <w:tcPr>
            <w:tcW w:w="851" w:type="dxa"/>
            <w:noWrap/>
            <w:hideMark/>
          </w:tcPr>
          <w:p w14:paraId="18002C9D"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9 843.5</w:t>
            </w:r>
          </w:p>
        </w:tc>
        <w:tc>
          <w:tcPr>
            <w:tcW w:w="851" w:type="dxa"/>
            <w:noWrap/>
            <w:hideMark/>
          </w:tcPr>
          <w:p w14:paraId="59BC2F2B"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10 348.6</w:t>
            </w:r>
          </w:p>
        </w:tc>
        <w:tc>
          <w:tcPr>
            <w:tcW w:w="851" w:type="dxa"/>
            <w:noWrap/>
            <w:hideMark/>
          </w:tcPr>
          <w:p w14:paraId="236A5DF0"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10 183.6</w:t>
            </w:r>
          </w:p>
        </w:tc>
      </w:tr>
      <w:tr w:rsidR="009775ED" w:rsidRPr="00E87EA2" w14:paraId="19F556B8"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032F049" w14:textId="44E1BE3C" w:rsidR="009775ED" w:rsidRPr="00E87EA2" w:rsidRDefault="009775ED">
            <w:pPr>
              <w:rPr>
                <w:lang w:eastAsia="en-AU"/>
              </w:rPr>
            </w:pPr>
            <w:r w:rsidRPr="00E87EA2">
              <w:rPr>
                <w:lang w:eastAsia="en-AU"/>
              </w:rPr>
              <w:t>Special appropriations</w:t>
            </w:r>
          </w:p>
        </w:tc>
        <w:tc>
          <w:tcPr>
            <w:tcW w:w="851" w:type="dxa"/>
            <w:noWrap/>
            <w:hideMark/>
          </w:tcPr>
          <w:p w14:paraId="6D39127C"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80.2</w:t>
            </w:r>
          </w:p>
        </w:tc>
        <w:tc>
          <w:tcPr>
            <w:tcW w:w="851" w:type="dxa"/>
            <w:noWrap/>
            <w:hideMark/>
          </w:tcPr>
          <w:p w14:paraId="41870387"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126.7</w:t>
            </w:r>
          </w:p>
        </w:tc>
        <w:tc>
          <w:tcPr>
            <w:tcW w:w="851" w:type="dxa"/>
            <w:noWrap/>
            <w:hideMark/>
          </w:tcPr>
          <w:p w14:paraId="739F1BD8"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73.7</w:t>
            </w:r>
          </w:p>
        </w:tc>
        <w:tc>
          <w:tcPr>
            <w:tcW w:w="851" w:type="dxa"/>
            <w:noWrap/>
            <w:hideMark/>
          </w:tcPr>
          <w:p w14:paraId="39FC2A73"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110.4</w:t>
            </w:r>
          </w:p>
        </w:tc>
      </w:tr>
      <w:tr w:rsidR="009775ED" w:rsidRPr="00E87EA2" w14:paraId="37624506"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40C9B9F" w14:textId="77777777" w:rsidR="009775ED" w:rsidRPr="00E87EA2" w:rsidRDefault="009775ED">
            <w:pPr>
              <w:rPr>
                <w:lang w:eastAsia="en-AU"/>
              </w:rPr>
            </w:pPr>
            <w:r w:rsidRPr="00E87EA2">
              <w:rPr>
                <w:lang w:eastAsia="en-AU"/>
              </w:rPr>
              <w:t>Interest</w:t>
            </w:r>
          </w:p>
        </w:tc>
        <w:tc>
          <w:tcPr>
            <w:tcW w:w="851" w:type="dxa"/>
            <w:noWrap/>
            <w:hideMark/>
          </w:tcPr>
          <w:p w14:paraId="22BB073E"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3.3</w:t>
            </w:r>
          </w:p>
        </w:tc>
        <w:tc>
          <w:tcPr>
            <w:tcW w:w="851" w:type="dxa"/>
            <w:noWrap/>
            <w:hideMark/>
          </w:tcPr>
          <w:p w14:paraId="7C119F53"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noWrap/>
            <w:hideMark/>
          </w:tcPr>
          <w:p w14:paraId="4B1A3022"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noWrap/>
            <w:hideMark/>
          </w:tcPr>
          <w:p w14:paraId="46B5614B"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9775ED" w:rsidRPr="00E87EA2" w14:paraId="7B2B891B"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FFEDBA8" w14:textId="77777777" w:rsidR="009775ED" w:rsidRPr="00E87EA2" w:rsidRDefault="009775ED">
            <w:pPr>
              <w:rPr>
                <w:lang w:eastAsia="en-AU"/>
              </w:rPr>
            </w:pPr>
            <w:r w:rsidRPr="00E87EA2">
              <w:rPr>
                <w:lang w:eastAsia="en-AU"/>
              </w:rPr>
              <w:t>Sales of goods and services</w:t>
            </w:r>
          </w:p>
        </w:tc>
        <w:tc>
          <w:tcPr>
            <w:tcW w:w="851" w:type="dxa"/>
            <w:noWrap/>
            <w:hideMark/>
          </w:tcPr>
          <w:p w14:paraId="7F3DAC1F"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37.1</w:t>
            </w:r>
          </w:p>
        </w:tc>
        <w:tc>
          <w:tcPr>
            <w:tcW w:w="851" w:type="dxa"/>
            <w:noWrap/>
            <w:hideMark/>
          </w:tcPr>
          <w:p w14:paraId="7C011745"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w:t>
            </w:r>
          </w:p>
        </w:tc>
        <w:tc>
          <w:tcPr>
            <w:tcW w:w="851" w:type="dxa"/>
            <w:noWrap/>
            <w:hideMark/>
          </w:tcPr>
          <w:p w14:paraId="50E6B591"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5.8</w:t>
            </w:r>
          </w:p>
        </w:tc>
        <w:tc>
          <w:tcPr>
            <w:tcW w:w="851" w:type="dxa"/>
            <w:noWrap/>
            <w:hideMark/>
          </w:tcPr>
          <w:p w14:paraId="3DD04D20"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26.9</w:t>
            </w:r>
          </w:p>
        </w:tc>
      </w:tr>
      <w:tr w:rsidR="009775ED" w:rsidRPr="00E87EA2" w14:paraId="4C301D5D"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037D1C2" w14:textId="77777777" w:rsidR="009775ED" w:rsidRPr="00E87EA2" w:rsidRDefault="009775ED">
            <w:pPr>
              <w:rPr>
                <w:lang w:eastAsia="en-AU"/>
              </w:rPr>
            </w:pPr>
            <w:r w:rsidRPr="00E87EA2">
              <w:rPr>
                <w:lang w:eastAsia="en-AU"/>
              </w:rPr>
              <w:t>Grants</w:t>
            </w:r>
          </w:p>
        </w:tc>
        <w:tc>
          <w:tcPr>
            <w:tcW w:w="851" w:type="dxa"/>
            <w:noWrap/>
            <w:hideMark/>
          </w:tcPr>
          <w:p w14:paraId="0876F08C"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132.2</w:t>
            </w:r>
          </w:p>
        </w:tc>
        <w:tc>
          <w:tcPr>
            <w:tcW w:w="851" w:type="dxa"/>
            <w:noWrap/>
            <w:hideMark/>
          </w:tcPr>
          <w:p w14:paraId="55F6E201"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81.4</w:t>
            </w:r>
          </w:p>
        </w:tc>
        <w:tc>
          <w:tcPr>
            <w:tcW w:w="851" w:type="dxa"/>
            <w:noWrap/>
            <w:hideMark/>
          </w:tcPr>
          <w:p w14:paraId="7B493493"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118.6</w:t>
            </w:r>
          </w:p>
        </w:tc>
        <w:tc>
          <w:tcPr>
            <w:tcW w:w="851" w:type="dxa"/>
            <w:noWrap/>
            <w:hideMark/>
          </w:tcPr>
          <w:p w14:paraId="4272E10A"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136.4</w:t>
            </w:r>
          </w:p>
        </w:tc>
      </w:tr>
      <w:tr w:rsidR="009775ED" w:rsidRPr="00E87EA2" w14:paraId="0665E88E"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CE365BA" w14:textId="77777777" w:rsidR="009775ED" w:rsidRPr="00E87EA2" w:rsidRDefault="009775ED">
            <w:pPr>
              <w:rPr>
                <w:lang w:eastAsia="en-AU"/>
              </w:rPr>
            </w:pPr>
            <w:r w:rsidRPr="00E87EA2">
              <w:rPr>
                <w:lang w:eastAsia="en-AU"/>
              </w:rPr>
              <w:t>Fair value of assets and services received free of charge or for nominal consideration</w:t>
            </w:r>
          </w:p>
        </w:tc>
        <w:tc>
          <w:tcPr>
            <w:tcW w:w="851" w:type="dxa"/>
            <w:noWrap/>
            <w:hideMark/>
          </w:tcPr>
          <w:p w14:paraId="6AC294D1"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0.9</w:t>
            </w:r>
          </w:p>
        </w:tc>
        <w:tc>
          <w:tcPr>
            <w:tcW w:w="851" w:type="dxa"/>
            <w:noWrap/>
            <w:hideMark/>
          </w:tcPr>
          <w:p w14:paraId="45D406B1"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54.2</w:t>
            </w:r>
          </w:p>
        </w:tc>
        <w:tc>
          <w:tcPr>
            <w:tcW w:w="851" w:type="dxa"/>
            <w:noWrap/>
            <w:hideMark/>
          </w:tcPr>
          <w:p w14:paraId="72119C4C"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54.2</w:t>
            </w:r>
          </w:p>
        </w:tc>
        <w:tc>
          <w:tcPr>
            <w:tcW w:w="851" w:type="dxa"/>
            <w:noWrap/>
            <w:hideMark/>
          </w:tcPr>
          <w:p w14:paraId="28A6144F"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53.8</w:t>
            </w:r>
          </w:p>
        </w:tc>
      </w:tr>
      <w:tr w:rsidR="009775ED" w:rsidRPr="00E87EA2" w14:paraId="3931F103" w14:textId="77777777" w:rsidTr="002A78E9">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0E973880" w14:textId="77777777" w:rsidR="009775ED" w:rsidRPr="00E87EA2" w:rsidRDefault="009775ED">
            <w:pPr>
              <w:rPr>
                <w:lang w:eastAsia="en-AU"/>
              </w:rPr>
            </w:pPr>
            <w:r w:rsidRPr="00E87EA2">
              <w:rPr>
                <w:lang w:eastAsia="en-AU"/>
              </w:rPr>
              <w:t>Other income</w:t>
            </w:r>
          </w:p>
        </w:tc>
        <w:tc>
          <w:tcPr>
            <w:tcW w:w="851" w:type="dxa"/>
            <w:tcBorders>
              <w:bottom w:val="single" w:sz="6" w:space="0" w:color="auto"/>
            </w:tcBorders>
            <w:noWrap/>
            <w:hideMark/>
          </w:tcPr>
          <w:p w14:paraId="5A5F40B8"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17.4</w:t>
            </w:r>
          </w:p>
        </w:tc>
        <w:tc>
          <w:tcPr>
            <w:tcW w:w="851" w:type="dxa"/>
            <w:tcBorders>
              <w:bottom w:val="single" w:sz="6" w:space="0" w:color="auto"/>
            </w:tcBorders>
            <w:noWrap/>
            <w:hideMark/>
          </w:tcPr>
          <w:p w14:paraId="1342B1DB"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61.9</w:t>
            </w:r>
          </w:p>
        </w:tc>
        <w:tc>
          <w:tcPr>
            <w:tcW w:w="851" w:type="dxa"/>
            <w:tcBorders>
              <w:bottom w:val="single" w:sz="6" w:space="0" w:color="auto"/>
            </w:tcBorders>
            <w:noWrap/>
            <w:hideMark/>
          </w:tcPr>
          <w:p w14:paraId="00ADDE54"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32.8</w:t>
            </w:r>
          </w:p>
        </w:tc>
        <w:tc>
          <w:tcPr>
            <w:tcW w:w="851" w:type="dxa"/>
            <w:tcBorders>
              <w:bottom w:val="single" w:sz="6" w:space="0" w:color="auto"/>
            </w:tcBorders>
            <w:noWrap/>
            <w:hideMark/>
          </w:tcPr>
          <w:p w14:paraId="2936DFBC" w14:textId="77777777" w:rsidR="009775ED" w:rsidRPr="00E87EA2" w:rsidRDefault="009775ED">
            <w:pPr>
              <w:cnfStyle w:val="000000000000" w:firstRow="0" w:lastRow="0" w:firstColumn="0" w:lastColumn="0" w:oddVBand="0" w:evenVBand="0" w:oddHBand="0" w:evenHBand="0" w:firstRowFirstColumn="0" w:firstRowLastColumn="0" w:lastRowFirstColumn="0" w:lastRowLastColumn="0"/>
              <w:rPr>
                <w:lang w:eastAsia="en-AU"/>
              </w:rPr>
            </w:pPr>
            <w:r w:rsidRPr="00E87EA2">
              <w:rPr>
                <w:lang w:eastAsia="en-AU"/>
              </w:rPr>
              <w:t>33.1</w:t>
            </w:r>
          </w:p>
        </w:tc>
      </w:tr>
      <w:tr w:rsidR="009775ED" w:rsidRPr="00E87EA2" w14:paraId="107EC747" w14:textId="77777777" w:rsidTr="002A78E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BF7CA88" w14:textId="77777777" w:rsidR="009775ED" w:rsidRPr="00E87EA2" w:rsidRDefault="009775ED">
            <w:pPr>
              <w:rPr>
                <w:lang w:eastAsia="en-AU"/>
              </w:rPr>
            </w:pPr>
            <w:r w:rsidRPr="00E87EA2">
              <w:rPr>
                <w:lang w:eastAsia="en-AU"/>
              </w:rPr>
              <w:t>Total income from transactions</w:t>
            </w:r>
          </w:p>
        </w:tc>
        <w:tc>
          <w:tcPr>
            <w:tcW w:w="851" w:type="dxa"/>
            <w:noWrap/>
            <w:hideMark/>
          </w:tcPr>
          <w:p w14:paraId="7C219BAB" w14:textId="77777777" w:rsidR="009775ED" w:rsidRPr="00E87EA2" w:rsidRDefault="009775ED">
            <w:pPr>
              <w:cnfStyle w:val="010000000000" w:firstRow="0" w:lastRow="1" w:firstColumn="0" w:lastColumn="0" w:oddVBand="0" w:evenVBand="0" w:oddHBand="0" w:evenHBand="0" w:firstRowFirstColumn="0" w:firstRowLastColumn="0" w:lastRowFirstColumn="0" w:lastRowLastColumn="0"/>
              <w:rPr>
                <w:lang w:eastAsia="en-AU"/>
              </w:rPr>
            </w:pPr>
            <w:r w:rsidRPr="00E87EA2">
              <w:rPr>
                <w:lang w:eastAsia="en-AU"/>
              </w:rPr>
              <w:t>10 606.7</w:t>
            </w:r>
          </w:p>
        </w:tc>
        <w:tc>
          <w:tcPr>
            <w:tcW w:w="851" w:type="dxa"/>
            <w:noWrap/>
            <w:hideMark/>
          </w:tcPr>
          <w:p w14:paraId="305DEE47" w14:textId="77777777" w:rsidR="009775ED" w:rsidRPr="00E87EA2" w:rsidRDefault="009775ED">
            <w:pPr>
              <w:cnfStyle w:val="010000000000" w:firstRow="0" w:lastRow="1" w:firstColumn="0" w:lastColumn="0" w:oddVBand="0" w:evenVBand="0" w:oddHBand="0" w:evenHBand="0" w:firstRowFirstColumn="0" w:firstRowLastColumn="0" w:lastRowFirstColumn="0" w:lastRowLastColumn="0"/>
              <w:rPr>
                <w:lang w:eastAsia="en-AU"/>
              </w:rPr>
            </w:pPr>
            <w:r w:rsidRPr="00E87EA2">
              <w:rPr>
                <w:lang w:eastAsia="en-AU"/>
              </w:rPr>
              <w:t>10 167.8</w:t>
            </w:r>
          </w:p>
        </w:tc>
        <w:tc>
          <w:tcPr>
            <w:tcW w:w="851" w:type="dxa"/>
            <w:noWrap/>
            <w:hideMark/>
          </w:tcPr>
          <w:p w14:paraId="1E8AD6B6" w14:textId="77777777" w:rsidR="009775ED" w:rsidRPr="00E87EA2" w:rsidRDefault="009775ED">
            <w:pPr>
              <w:cnfStyle w:val="010000000000" w:firstRow="0" w:lastRow="1" w:firstColumn="0" w:lastColumn="0" w:oddVBand="0" w:evenVBand="0" w:oddHBand="0" w:evenHBand="0" w:firstRowFirstColumn="0" w:firstRowLastColumn="0" w:lastRowFirstColumn="0" w:lastRowLastColumn="0"/>
              <w:rPr>
                <w:lang w:eastAsia="en-AU"/>
              </w:rPr>
            </w:pPr>
            <w:r w:rsidRPr="00E87EA2">
              <w:rPr>
                <w:lang w:eastAsia="en-AU"/>
              </w:rPr>
              <w:t>10 633.7</w:t>
            </w:r>
          </w:p>
        </w:tc>
        <w:tc>
          <w:tcPr>
            <w:tcW w:w="851" w:type="dxa"/>
            <w:noWrap/>
            <w:hideMark/>
          </w:tcPr>
          <w:p w14:paraId="4F5BD171" w14:textId="77777777" w:rsidR="009775ED" w:rsidRPr="00E87EA2" w:rsidRDefault="009775ED">
            <w:pPr>
              <w:cnfStyle w:val="010000000000" w:firstRow="0" w:lastRow="1" w:firstColumn="0" w:lastColumn="0" w:oddVBand="0" w:evenVBand="0" w:oddHBand="0" w:evenHBand="0" w:firstRowFirstColumn="0" w:firstRowLastColumn="0" w:lastRowFirstColumn="0" w:lastRowLastColumn="0"/>
              <w:rPr>
                <w:lang w:eastAsia="en-AU"/>
              </w:rPr>
            </w:pPr>
            <w:r w:rsidRPr="00E87EA2">
              <w:rPr>
                <w:lang w:eastAsia="en-AU"/>
              </w:rPr>
              <w:t>10 544.2</w:t>
            </w:r>
          </w:p>
        </w:tc>
      </w:tr>
    </w:tbl>
    <w:p w14:paraId="6AAF9F7E" w14:textId="77777777" w:rsidR="009775ED" w:rsidRDefault="009775ED" w:rsidP="009775ED">
      <w:pPr>
        <w:pStyle w:val="Source"/>
      </w:pPr>
      <w:r w:rsidRPr="002D4A37">
        <w:t xml:space="preserve">Source: Department of </w:t>
      </w:r>
      <w:r>
        <w:t>Justice and Community Safety</w:t>
      </w:r>
    </w:p>
    <w:p w14:paraId="2E9A2297" w14:textId="77777777" w:rsidR="00824558" w:rsidRPr="00A40DE9" w:rsidRDefault="00824558" w:rsidP="00633FC4">
      <w:pPr>
        <w:rPr>
          <w:highlight w:val="yellow"/>
        </w:rPr>
      </w:pPr>
    </w:p>
    <w:p w14:paraId="6A2DB9CB" w14:textId="77777777" w:rsidR="00824558" w:rsidRPr="00AA4968" w:rsidRDefault="00824558">
      <w:pPr>
        <w:pStyle w:val="TableHeading"/>
      </w:pPr>
      <w:r w:rsidRPr="00AA4968">
        <w:t xml:space="preserve">Table </w:t>
      </w:r>
      <w:r w:rsidRPr="00FE6A4A">
        <w:t>2</w:t>
      </w:r>
      <w:r>
        <w:t>1</w:t>
      </w:r>
      <w:r w:rsidRPr="00AA4968">
        <w:t>:</w:t>
      </w:r>
      <w:r w:rsidRPr="00AA4968">
        <w:tab/>
        <w:t>Parliamentary authority for resources</w:t>
      </w:r>
      <w:r w:rsidRPr="00AA4968">
        <w:tab/>
        <w:t>($ million)</w:t>
      </w:r>
    </w:p>
    <w:tbl>
      <w:tblPr>
        <w:tblStyle w:val="DTFTableNumeric"/>
        <w:tblW w:w="5000" w:type="pct"/>
        <w:tblLook w:val="06E0" w:firstRow="1" w:lastRow="1" w:firstColumn="1" w:lastColumn="0" w:noHBand="1" w:noVBand="1"/>
      </w:tblPr>
      <w:tblGrid>
        <w:gridCol w:w="6658"/>
        <w:gridCol w:w="991"/>
        <w:gridCol w:w="991"/>
        <w:gridCol w:w="991"/>
      </w:tblGrid>
      <w:tr w:rsidR="00C72674" w14:paraId="75CFF7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A9BC58" w14:textId="77777777" w:rsidR="00C72674" w:rsidRDefault="00C72674"/>
        </w:tc>
        <w:tc>
          <w:tcPr>
            <w:tcW w:w="992" w:type="dxa"/>
          </w:tcPr>
          <w:p w14:paraId="65AB409A" w14:textId="77777777" w:rsidR="00C72674" w:rsidRDefault="00C72674">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75DA3C78" w14:textId="77777777" w:rsidR="00C72674" w:rsidRDefault="00C72674">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504EB058" w14:textId="77777777" w:rsidR="00C72674" w:rsidRDefault="00C72674">
            <w:pPr>
              <w:cnfStyle w:val="100000000000" w:firstRow="1" w:lastRow="0" w:firstColumn="0" w:lastColumn="0" w:oddVBand="0" w:evenVBand="0" w:oddHBand="0" w:evenHBand="0" w:firstRowFirstColumn="0" w:firstRowLastColumn="0" w:lastRowFirstColumn="0" w:lastRowLastColumn="0"/>
            </w:pPr>
            <w:r>
              <w:t>2026-27 budget</w:t>
            </w:r>
          </w:p>
        </w:tc>
      </w:tr>
      <w:tr w:rsidR="00C72674" w:rsidRPr="00906834" w14:paraId="7DDC810A"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6535002" w14:textId="77777777" w:rsidR="00C72674" w:rsidRPr="00906834" w:rsidRDefault="00C72674">
            <w:pPr>
              <w:rPr>
                <w:b/>
                <w:bCs/>
                <w:lang w:eastAsia="en-AU"/>
              </w:rPr>
            </w:pPr>
            <w:r w:rsidRPr="00906834">
              <w:rPr>
                <w:b/>
                <w:bCs/>
                <w:lang w:eastAsia="en-AU"/>
              </w:rPr>
              <w:t>Annual appropriations</w:t>
            </w:r>
          </w:p>
        </w:tc>
        <w:tc>
          <w:tcPr>
            <w:tcW w:w="992" w:type="dxa"/>
            <w:noWrap/>
            <w:hideMark/>
          </w:tcPr>
          <w:p w14:paraId="0531470E"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9 883.5</w:t>
            </w:r>
          </w:p>
        </w:tc>
        <w:tc>
          <w:tcPr>
            <w:tcW w:w="992" w:type="dxa"/>
            <w:noWrap/>
            <w:hideMark/>
          </w:tcPr>
          <w:p w14:paraId="4E7F8DE5"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10 461.3</w:t>
            </w:r>
          </w:p>
        </w:tc>
        <w:tc>
          <w:tcPr>
            <w:tcW w:w="992" w:type="dxa"/>
            <w:noWrap/>
            <w:hideMark/>
          </w:tcPr>
          <w:p w14:paraId="0E7371AC"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10 288.2</w:t>
            </w:r>
          </w:p>
        </w:tc>
      </w:tr>
      <w:tr w:rsidR="00C72674" w:rsidRPr="00906834" w14:paraId="3298F915"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F4F4742" w14:textId="234BE535" w:rsidR="00C72674" w:rsidRPr="00906834" w:rsidRDefault="00C72674">
            <w:pPr>
              <w:rPr>
                <w:lang w:eastAsia="en-AU"/>
              </w:rPr>
            </w:pPr>
            <w:r w:rsidRPr="00906834">
              <w:rPr>
                <w:lang w:eastAsia="en-AU"/>
              </w:rPr>
              <w:t>Provision of outputs</w:t>
            </w:r>
          </w:p>
        </w:tc>
        <w:tc>
          <w:tcPr>
            <w:tcW w:w="992" w:type="dxa"/>
            <w:noWrap/>
            <w:hideMark/>
          </w:tcPr>
          <w:p w14:paraId="6F6D74BB"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9 435.9</w:t>
            </w:r>
          </w:p>
        </w:tc>
        <w:tc>
          <w:tcPr>
            <w:tcW w:w="992" w:type="dxa"/>
            <w:noWrap/>
            <w:hideMark/>
          </w:tcPr>
          <w:p w14:paraId="55242E42"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9 921.8</w:t>
            </w:r>
          </w:p>
        </w:tc>
        <w:tc>
          <w:tcPr>
            <w:tcW w:w="992" w:type="dxa"/>
            <w:noWrap/>
            <w:hideMark/>
          </w:tcPr>
          <w:p w14:paraId="680F6B6C"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9 780.0</w:t>
            </w:r>
          </w:p>
        </w:tc>
      </w:tr>
      <w:tr w:rsidR="00C72674" w:rsidRPr="00906834" w14:paraId="41F0165B"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1987538" w14:textId="77777777" w:rsidR="00C72674" w:rsidRPr="00906834" w:rsidRDefault="00C72674">
            <w:pPr>
              <w:rPr>
                <w:lang w:eastAsia="en-AU"/>
              </w:rPr>
            </w:pPr>
            <w:r w:rsidRPr="00906834">
              <w:rPr>
                <w:lang w:eastAsia="en-AU"/>
              </w:rPr>
              <w:t>Additions to the net asset base</w:t>
            </w:r>
          </w:p>
        </w:tc>
        <w:tc>
          <w:tcPr>
            <w:tcW w:w="992" w:type="dxa"/>
            <w:noWrap/>
            <w:hideMark/>
          </w:tcPr>
          <w:p w14:paraId="40D5AFF9"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384.6</w:t>
            </w:r>
          </w:p>
        </w:tc>
        <w:tc>
          <w:tcPr>
            <w:tcW w:w="992" w:type="dxa"/>
            <w:noWrap/>
            <w:hideMark/>
          </w:tcPr>
          <w:p w14:paraId="60CCB9F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424.3</w:t>
            </w:r>
          </w:p>
        </w:tc>
        <w:tc>
          <w:tcPr>
            <w:tcW w:w="992" w:type="dxa"/>
            <w:noWrap/>
            <w:hideMark/>
          </w:tcPr>
          <w:p w14:paraId="290863F9"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385.2</w:t>
            </w:r>
          </w:p>
        </w:tc>
      </w:tr>
      <w:tr w:rsidR="00C72674" w:rsidRPr="00906834" w14:paraId="64747006"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296852A" w14:textId="77777777" w:rsidR="00C72674" w:rsidRPr="00906834" w:rsidRDefault="00C72674">
            <w:pPr>
              <w:rPr>
                <w:lang w:eastAsia="en-AU"/>
              </w:rPr>
            </w:pPr>
            <w:r w:rsidRPr="00906834">
              <w:rPr>
                <w:lang w:eastAsia="en-AU"/>
              </w:rPr>
              <w:t>Payments made on behalf of the State</w:t>
            </w:r>
          </w:p>
        </w:tc>
        <w:tc>
          <w:tcPr>
            <w:tcW w:w="992" w:type="dxa"/>
            <w:noWrap/>
            <w:hideMark/>
          </w:tcPr>
          <w:p w14:paraId="537F6982"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63.0</w:t>
            </w:r>
          </w:p>
        </w:tc>
        <w:tc>
          <w:tcPr>
            <w:tcW w:w="992" w:type="dxa"/>
            <w:noWrap/>
            <w:hideMark/>
          </w:tcPr>
          <w:p w14:paraId="59FF847B"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115.2</w:t>
            </w:r>
          </w:p>
        </w:tc>
        <w:tc>
          <w:tcPr>
            <w:tcW w:w="992" w:type="dxa"/>
            <w:noWrap/>
            <w:hideMark/>
          </w:tcPr>
          <w:p w14:paraId="3A8A3DD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123.0</w:t>
            </w:r>
          </w:p>
        </w:tc>
      </w:tr>
      <w:tr w:rsidR="00C72674" w:rsidRPr="00906834" w14:paraId="1593541D"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1FA721D" w14:textId="77777777" w:rsidR="00C72674" w:rsidRPr="00906834" w:rsidRDefault="00C72674">
            <w:pPr>
              <w:rPr>
                <w:b/>
                <w:bCs/>
                <w:lang w:eastAsia="en-AU"/>
              </w:rPr>
            </w:pPr>
            <w:r w:rsidRPr="00906834">
              <w:rPr>
                <w:b/>
                <w:bCs/>
                <w:lang w:eastAsia="en-AU"/>
              </w:rPr>
              <w:t>Receipts credited to appropriations</w:t>
            </w:r>
          </w:p>
        </w:tc>
        <w:tc>
          <w:tcPr>
            <w:tcW w:w="992" w:type="dxa"/>
            <w:noWrap/>
            <w:hideMark/>
          </w:tcPr>
          <w:p w14:paraId="5FF8BDDE"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408.2</w:t>
            </w:r>
          </w:p>
        </w:tc>
        <w:tc>
          <w:tcPr>
            <w:tcW w:w="992" w:type="dxa"/>
            <w:noWrap/>
            <w:hideMark/>
          </w:tcPr>
          <w:p w14:paraId="6498C6BC"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425.6</w:t>
            </w:r>
          </w:p>
        </w:tc>
        <w:tc>
          <w:tcPr>
            <w:tcW w:w="992" w:type="dxa"/>
            <w:noWrap/>
            <w:hideMark/>
          </w:tcPr>
          <w:p w14:paraId="540D1960"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404.1</w:t>
            </w:r>
          </w:p>
        </w:tc>
      </w:tr>
      <w:tr w:rsidR="00C72674" w:rsidRPr="00906834" w14:paraId="14EB5C6F"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00EA703" w14:textId="77777777" w:rsidR="00C72674" w:rsidRPr="00906834" w:rsidRDefault="00C72674">
            <w:pPr>
              <w:rPr>
                <w:b/>
                <w:bCs/>
                <w:lang w:eastAsia="en-AU"/>
              </w:rPr>
            </w:pPr>
            <w:r w:rsidRPr="00906834">
              <w:rPr>
                <w:b/>
                <w:bCs/>
                <w:lang w:eastAsia="en-AU"/>
              </w:rPr>
              <w:t>Unapplied previous years appropriation</w:t>
            </w:r>
          </w:p>
        </w:tc>
        <w:tc>
          <w:tcPr>
            <w:tcW w:w="992" w:type="dxa"/>
            <w:noWrap/>
            <w:hideMark/>
          </w:tcPr>
          <w:p w14:paraId="5D2A0D0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w:t>
            </w:r>
          </w:p>
        </w:tc>
        <w:tc>
          <w:tcPr>
            <w:tcW w:w="992" w:type="dxa"/>
            <w:noWrap/>
            <w:hideMark/>
          </w:tcPr>
          <w:p w14:paraId="3143D2AA"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0.3</w:t>
            </w:r>
          </w:p>
        </w:tc>
        <w:tc>
          <w:tcPr>
            <w:tcW w:w="992" w:type="dxa"/>
            <w:noWrap/>
            <w:hideMark/>
          </w:tcPr>
          <w:p w14:paraId="11F591E9"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w:t>
            </w:r>
          </w:p>
        </w:tc>
      </w:tr>
      <w:tr w:rsidR="00C72674" w:rsidRPr="00906834" w14:paraId="48B3A41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2445B810" w14:textId="77777777" w:rsidR="00C72674" w:rsidRPr="00906834" w:rsidRDefault="00C72674">
            <w:pPr>
              <w:rPr>
                <w:lang w:eastAsia="en-AU"/>
              </w:rPr>
            </w:pPr>
            <w:r w:rsidRPr="00906834">
              <w:rPr>
                <w:lang w:eastAsia="en-AU"/>
              </w:rPr>
              <w:t>Provision of outputs</w:t>
            </w:r>
          </w:p>
        </w:tc>
        <w:tc>
          <w:tcPr>
            <w:tcW w:w="992" w:type="dxa"/>
            <w:tcBorders>
              <w:bottom w:val="nil"/>
            </w:tcBorders>
            <w:noWrap/>
            <w:hideMark/>
          </w:tcPr>
          <w:p w14:paraId="21B2F7F6"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w:t>
            </w:r>
          </w:p>
        </w:tc>
        <w:tc>
          <w:tcPr>
            <w:tcW w:w="992" w:type="dxa"/>
            <w:tcBorders>
              <w:bottom w:val="nil"/>
            </w:tcBorders>
            <w:noWrap/>
            <w:hideMark/>
          </w:tcPr>
          <w:p w14:paraId="69DF4A0B"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1.9</w:t>
            </w:r>
          </w:p>
        </w:tc>
        <w:tc>
          <w:tcPr>
            <w:tcW w:w="992" w:type="dxa"/>
            <w:tcBorders>
              <w:bottom w:val="nil"/>
            </w:tcBorders>
            <w:noWrap/>
            <w:hideMark/>
          </w:tcPr>
          <w:p w14:paraId="3628723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w:t>
            </w:r>
          </w:p>
        </w:tc>
      </w:tr>
      <w:tr w:rsidR="00C72674" w:rsidRPr="00906834" w14:paraId="6C3697C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2EAAF1F4" w14:textId="77777777" w:rsidR="00C72674" w:rsidRPr="00906834" w:rsidRDefault="00C72674">
            <w:pPr>
              <w:rPr>
                <w:lang w:eastAsia="en-AU"/>
              </w:rPr>
            </w:pPr>
            <w:r w:rsidRPr="00906834">
              <w:rPr>
                <w:lang w:eastAsia="en-AU"/>
              </w:rPr>
              <w:t>Additions to the net asset base</w:t>
            </w:r>
          </w:p>
        </w:tc>
        <w:tc>
          <w:tcPr>
            <w:tcW w:w="992" w:type="dxa"/>
            <w:tcBorders>
              <w:bottom w:val="single" w:sz="6" w:space="0" w:color="auto"/>
            </w:tcBorders>
            <w:noWrap/>
            <w:hideMark/>
          </w:tcPr>
          <w:p w14:paraId="6F10F12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w:t>
            </w:r>
          </w:p>
        </w:tc>
        <w:tc>
          <w:tcPr>
            <w:tcW w:w="992" w:type="dxa"/>
            <w:tcBorders>
              <w:bottom w:val="single" w:sz="6" w:space="0" w:color="auto"/>
            </w:tcBorders>
            <w:noWrap/>
            <w:hideMark/>
          </w:tcPr>
          <w:p w14:paraId="78018637"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(1.5)</w:t>
            </w:r>
          </w:p>
        </w:tc>
        <w:tc>
          <w:tcPr>
            <w:tcW w:w="992" w:type="dxa"/>
            <w:tcBorders>
              <w:bottom w:val="single" w:sz="6" w:space="0" w:color="auto"/>
            </w:tcBorders>
            <w:noWrap/>
            <w:hideMark/>
          </w:tcPr>
          <w:p w14:paraId="6D86ECC8"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w:t>
            </w:r>
          </w:p>
        </w:tc>
      </w:tr>
      <w:tr w:rsidR="00C72674" w:rsidRPr="00906834" w14:paraId="514AB48D"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0569DFDA" w14:textId="77777777" w:rsidR="00C72674" w:rsidRPr="00906834" w:rsidRDefault="00C72674">
            <w:pPr>
              <w:rPr>
                <w:b/>
                <w:bCs/>
                <w:lang w:eastAsia="en-AU"/>
              </w:rPr>
            </w:pPr>
            <w:r w:rsidRPr="00906834">
              <w:rPr>
                <w:b/>
                <w:bCs/>
                <w:lang w:eastAsia="en-AU"/>
              </w:rPr>
              <w:t>Gross annual appropriation</w:t>
            </w:r>
          </w:p>
        </w:tc>
        <w:tc>
          <w:tcPr>
            <w:tcW w:w="992" w:type="dxa"/>
            <w:tcBorders>
              <w:top w:val="single" w:sz="6" w:space="0" w:color="auto"/>
            </w:tcBorders>
            <w:noWrap/>
            <w:hideMark/>
          </w:tcPr>
          <w:p w14:paraId="49BD5BFA"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10 291.7</w:t>
            </w:r>
          </w:p>
        </w:tc>
        <w:tc>
          <w:tcPr>
            <w:tcW w:w="992" w:type="dxa"/>
            <w:tcBorders>
              <w:top w:val="single" w:sz="6" w:space="0" w:color="auto"/>
            </w:tcBorders>
            <w:noWrap/>
            <w:hideMark/>
          </w:tcPr>
          <w:p w14:paraId="007E5EFD"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10 887.2</w:t>
            </w:r>
          </w:p>
        </w:tc>
        <w:tc>
          <w:tcPr>
            <w:tcW w:w="992" w:type="dxa"/>
            <w:tcBorders>
              <w:top w:val="single" w:sz="6" w:space="0" w:color="auto"/>
            </w:tcBorders>
            <w:noWrap/>
            <w:hideMark/>
          </w:tcPr>
          <w:p w14:paraId="0B0EC93C"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10 692.3</w:t>
            </w:r>
          </w:p>
        </w:tc>
      </w:tr>
      <w:tr w:rsidR="00C72674" w:rsidRPr="00906834" w14:paraId="60DD6434"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FD5B94" w14:textId="77777777" w:rsidR="00C72674" w:rsidRPr="00906834" w:rsidRDefault="00C72674">
            <w:pPr>
              <w:rPr>
                <w:b/>
                <w:bCs/>
                <w:lang w:eastAsia="en-AU"/>
              </w:rPr>
            </w:pPr>
            <w:r w:rsidRPr="00906834">
              <w:rPr>
                <w:b/>
                <w:bCs/>
                <w:lang w:eastAsia="en-AU"/>
              </w:rPr>
              <w:t>Special appropriations</w:t>
            </w:r>
          </w:p>
        </w:tc>
        <w:tc>
          <w:tcPr>
            <w:tcW w:w="992" w:type="dxa"/>
            <w:noWrap/>
            <w:hideMark/>
          </w:tcPr>
          <w:p w14:paraId="47AF1089"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166.1</w:t>
            </w:r>
          </w:p>
        </w:tc>
        <w:tc>
          <w:tcPr>
            <w:tcW w:w="992" w:type="dxa"/>
            <w:noWrap/>
            <w:hideMark/>
          </w:tcPr>
          <w:p w14:paraId="221A3475"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214.4</w:t>
            </w:r>
          </w:p>
        </w:tc>
        <w:tc>
          <w:tcPr>
            <w:tcW w:w="992" w:type="dxa"/>
            <w:noWrap/>
            <w:hideMark/>
          </w:tcPr>
          <w:p w14:paraId="625B3A6D"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229.6</w:t>
            </w:r>
          </w:p>
        </w:tc>
      </w:tr>
      <w:tr w:rsidR="00C72674" w:rsidRPr="00906834" w14:paraId="29B90E48"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859FB5B" w14:textId="77777777" w:rsidR="00C72674" w:rsidRPr="00906834" w:rsidRDefault="00C72674">
            <w:pPr>
              <w:rPr>
                <w:b/>
                <w:bCs/>
                <w:lang w:eastAsia="en-AU"/>
              </w:rPr>
            </w:pPr>
            <w:r w:rsidRPr="00906834">
              <w:rPr>
                <w:b/>
                <w:bCs/>
                <w:lang w:eastAsia="en-AU"/>
              </w:rPr>
              <w:t>Trust funds</w:t>
            </w:r>
          </w:p>
        </w:tc>
        <w:tc>
          <w:tcPr>
            <w:tcW w:w="992" w:type="dxa"/>
            <w:noWrap/>
            <w:hideMark/>
          </w:tcPr>
          <w:p w14:paraId="1F0C8B15"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108.6</w:t>
            </w:r>
          </w:p>
        </w:tc>
        <w:tc>
          <w:tcPr>
            <w:tcW w:w="992" w:type="dxa"/>
            <w:noWrap/>
            <w:hideMark/>
          </w:tcPr>
          <w:p w14:paraId="3F4060D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159.6</w:t>
            </w:r>
          </w:p>
        </w:tc>
        <w:tc>
          <w:tcPr>
            <w:tcW w:w="992" w:type="dxa"/>
            <w:noWrap/>
            <w:hideMark/>
          </w:tcPr>
          <w:p w14:paraId="23D1265A"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b/>
                <w:bCs/>
                <w:lang w:eastAsia="en-AU"/>
              </w:rPr>
            </w:pPr>
            <w:r w:rsidRPr="00906834">
              <w:rPr>
                <w:b/>
                <w:bCs/>
                <w:lang w:eastAsia="en-AU"/>
              </w:rPr>
              <w:t>192.5</w:t>
            </w:r>
          </w:p>
        </w:tc>
      </w:tr>
      <w:tr w:rsidR="00C72674" w:rsidRPr="00906834" w14:paraId="1411C4A1"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B65B3DA" w14:textId="2B94D784" w:rsidR="00C72674" w:rsidRPr="00906834" w:rsidRDefault="00C72674">
            <w:pPr>
              <w:rPr>
                <w:lang w:eastAsia="en-AU"/>
              </w:rPr>
            </w:pPr>
            <w:r w:rsidRPr="00906834">
              <w:rPr>
                <w:lang w:eastAsia="en-AU"/>
              </w:rPr>
              <w:t>Victorian Responsible Gambling Trust</w:t>
            </w:r>
            <w:r w:rsidR="002A78E9">
              <w:rPr>
                <w:lang w:eastAsia="en-AU"/>
              </w:rPr>
              <w:t xml:space="preserve"> </w:t>
            </w:r>
            <w:r w:rsidRPr="007E4325">
              <w:rPr>
                <w:vertAlign w:val="superscript"/>
                <w:lang w:eastAsia="en-AU"/>
              </w:rPr>
              <w:t>(a)</w:t>
            </w:r>
          </w:p>
        </w:tc>
        <w:tc>
          <w:tcPr>
            <w:tcW w:w="992" w:type="dxa"/>
            <w:noWrap/>
            <w:hideMark/>
          </w:tcPr>
          <w:p w14:paraId="47B187EA"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8.1</w:t>
            </w:r>
          </w:p>
        </w:tc>
        <w:tc>
          <w:tcPr>
            <w:tcW w:w="992" w:type="dxa"/>
            <w:noWrap/>
            <w:hideMark/>
          </w:tcPr>
          <w:p w14:paraId="00B7EE0F"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8.1</w:t>
            </w:r>
          </w:p>
        </w:tc>
        <w:tc>
          <w:tcPr>
            <w:tcW w:w="992" w:type="dxa"/>
            <w:noWrap/>
            <w:hideMark/>
          </w:tcPr>
          <w:p w14:paraId="2B3464F5"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8.5</w:t>
            </w:r>
          </w:p>
        </w:tc>
      </w:tr>
      <w:tr w:rsidR="00C72674" w:rsidRPr="00906834" w14:paraId="56783258" w14:textId="77777777" w:rsidTr="002A78E9">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8B10742" w14:textId="081CA3FF" w:rsidR="00C72674" w:rsidRPr="00906834" w:rsidRDefault="00C72674">
            <w:pPr>
              <w:rPr>
                <w:lang w:eastAsia="en-AU"/>
              </w:rPr>
            </w:pPr>
            <w:r w:rsidRPr="00906834">
              <w:rPr>
                <w:lang w:eastAsia="en-AU"/>
              </w:rPr>
              <w:t>Other</w:t>
            </w:r>
            <w:r w:rsidR="002A78E9">
              <w:rPr>
                <w:lang w:eastAsia="en-AU"/>
              </w:rPr>
              <w:t xml:space="preserve"> </w:t>
            </w:r>
            <w:r w:rsidRPr="007E4325">
              <w:rPr>
                <w:vertAlign w:val="superscript"/>
                <w:lang w:eastAsia="en-AU"/>
              </w:rPr>
              <w:t>(b)</w:t>
            </w:r>
          </w:p>
        </w:tc>
        <w:tc>
          <w:tcPr>
            <w:tcW w:w="992" w:type="dxa"/>
            <w:tcBorders>
              <w:bottom w:val="single" w:sz="6" w:space="0" w:color="auto"/>
            </w:tcBorders>
            <w:noWrap/>
            <w:hideMark/>
          </w:tcPr>
          <w:p w14:paraId="0A7011A2"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100.5</w:t>
            </w:r>
          </w:p>
        </w:tc>
        <w:tc>
          <w:tcPr>
            <w:tcW w:w="992" w:type="dxa"/>
            <w:tcBorders>
              <w:bottom w:val="single" w:sz="6" w:space="0" w:color="auto"/>
            </w:tcBorders>
            <w:noWrap/>
            <w:hideMark/>
          </w:tcPr>
          <w:p w14:paraId="08613ADA"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151.5</w:t>
            </w:r>
          </w:p>
        </w:tc>
        <w:tc>
          <w:tcPr>
            <w:tcW w:w="992" w:type="dxa"/>
            <w:tcBorders>
              <w:bottom w:val="single" w:sz="6" w:space="0" w:color="auto"/>
            </w:tcBorders>
            <w:noWrap/>
            <w:hideMark/>
          </w:tcPr>
          <w:p w14:paraId="151B6180" w14:textId="77777777" w:rsidR="00C72674" w:rsidRPr="00906834" w:rsidRDefault="00C72674">
            <w:pPr>
              <w:cnfStyle w:val="000000000000" w:firstRow="0" w:lastRow="0" w:firstColumn="0" w:lastColumn="0" w:oddVBand="0" w:evenVBand="0" w:oddHBand="0" w:evenHBand="0" w:firstRowFirstColumn="0" w:firstRowLastColumn="0" w:lastRowFirstColumn="0" w:lastRowLastColumn="0"/>
              <w:rPr>
                <w:lang w:eastAsia="en-AU"/>
              </w:rPr>
            </w:pPr>
            <w:r w:rsidRPr="00906834">
              <w:rPr>
                <w:lang w:eastAsia="en-AU"/>
              </w:rPr>
              <w:t>184.0</w:t>
            </w:r>
          </w:p>
        </w:tc>
      </w:tr>
      <w:tr w:rsidR="00C72674" w:rsidRPr="00906834" w14:paraId="0624F1DF" w14:textId="77777777" w:rsidTr="002A78E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303D0F" w14:textId="77777777" w:rsidR="00C72674" w:rsidRPr="00906834" w:rsidRDefault="00C72674">
            <w:pPr>
              <w:rPr>
                <w:lang w:eastAsia="en-AU"/>
              </w:rPr>
            </w:pPr>
            <w:r w:rsidRPr="00906834">
              <w:rPr>
                <w:lang w:eastAsia="en-AU"/>
              </w:rPr>
              <w:t>Total parliamentary authority</w:t>
            </w:r>
          </w:p>
        </w:tc>
        <w:tc>
          <w:tcPr>
            <w:tcW w:w="992" w:type="dxa"/>
            <w:noWrap/>
            <w:hideMark/>
          </w:tcPr>
          <w:p w14:paraId="41A35DF0" w14:textId="77777777" w:rsidR="00C72674" w:rsidRPr="00906834" w:rsidRDefault="00C72674">
            <w:pPr>
              <w:cnfStyle w:val="010000000000" w:firstRow="0" w:lastRow="1" w:firstColumn="0" w:lastColumn="0" w:oddVBand="0" w:evenVBand="0" w:oddHBand="0" w:evenHBand="0" w:firstRowFirstColumn="0" w:firstRowLastColumn="0" w:lastRowFirstColumn="0" w:lastRowLastColumn="0"/>
              <w:rPr>
                <w:lang w:eastAsia="en-AU"/>
              </w:rPr>
            </w:pPr>
            <w:r w:rsidRPr="00906834">
              <w:rPr>
                <w:lang w:eastAsia="en-AU"/>
              </w:rPr>
              <w:t>10 566.5</w:t>
            </w:r>
          </w:p>
        </w:tc>
        <w:tc>
          <w:tcPr>
            <w:tcW w:w="992" w:type="dxa"/>
            <w:noWrap/>
            <w:hideMark/>
          </w:tcPr>
          <w:p w14:paraId="335792D6" w14:textId="77777777" w:rsidR="00C72674" w:rsidRPr="00906834" w:rsidRDefault="00C72674">
            <w:pPr>
              <w:cnfStyle w:val="010000000000" w:firstRow="0" w:lastRow="1" w:firstColumn="0" w:lastColumn="0" w:oddVBand="0" w:evenVBand="0" w:oddHBand="0" w:evenHBand="0" w:firstRowFirstColumn="0" w:firstRowLastColumn="0" w:lastRowFirstColumn="0" w:lastRowLastColumn="0"/>
              <w:rPr>
                <w:lang w:eastAsia="en-AU"/>
              </w:rPr>
            </w:pPr>
            <w:r w:rsidRPr="00906834">
              <w:rPr>
                <w:lang w:eastAsia="en-AU"/>
              </w:rPr>
              <w:t>11 261.3</w:t>
            </w:r>
          </w:p>
        </w:tc>
        <w:tc>
          <w:tcPr>
            <w:tcW w:w="992" w:type="dxa"/>
            <w:noWrap/>
            <w:hideMark/>
          </w:tcPr>
          <w:p w14:paraId="41A8DCA1" w14:textId="77777777" w:rsidR="00C72674" w:rsidRPr="00906834" w:rsidRDefault="00C72674">
            <w:pPr>
              <w:cnfStyle w:val="010000000000" w:firstRow="0" w:lastRow="1" w:firstColumn="0" w:lastColumn="0" w:oddVBand="0" w:evenVBand="0" w:oddHBand="0" w:evenHBand="0" w:firstRowFirstColumn="0" w:firstRowLastColumn="0" w:lastRowFirstColumn="0" w:lastRowLastColumn="0"/>
              <w:rPr>
                <w:lang w:eastAsia="en-AU"/>
              </w:rPr>
            </w:pPr>
            <w:r w:rsidRPr="00906834">
              <w:rPr>
                <w:lang w:eastAsia="en-AU"/>
              </w:rPr>
              <w:t>11 114.4</w:t>
            </w:r>
          </w:p>
        </w:tc>
      </w:tr>
    </w:tbl>
    <w:p w14:paraId="525FA245" w14:textId="77777777" w:rsidR="00C72674" w:rsidRDefault="00C72674" w:rsidP="00C72674">
      <w:pPr>
        <w:pStyle w:val="Source"/>
      </w:pPr>
      <w:r w:rsidRPr="0070727E">
        <w:t xml:space="preserve">Source: Department of </w:t>
      </w:r>
      <w:r>
        <w:t>Justice and Community Safety</w:t>
      </w:r>
    </w:p>
    <w:p w14:paraId="39E11BFD" w14:textId="77777777" w:rsidR="00C72674" w:rsidRPr="00AA4968" w:rsidRDefault="00C72674" w:rsidP="00C72674">
      <w:pPr>
        <w:pStyle w:val="Note"/>
      </w:pPr>
      <w:r w:rsidRPr="00AA4968">
        <w:t>Notes:</w:t>
      </w:r>
    </w:p>
    <w:p w14:paraId="0BFB9A78" w14:textId="24EC2694" w:rsidR="00C72674" w:rsidRDefault="002A78E9" w:rsidP="002A78E9">
      <w:pPr>
        <w:pStyle w:val="Note"/>
      </w:pPr>
      <w:r>
        <w:t>(a)</w:t>
      </w:r>
      <w:r>
        <w:tab/>
      </w:r>
      <w:r w:rsidR="00C72674">
        <w:t>The purpose of this trust primarily relates to programs to reduce the prevalence of problem gambling and to foster responsible gambling.</w:t>
      </w:r>
    </w:p>
    <w:p w14:paraId="4E61B41A" w14:textId="140317D0" w:rsidR="00C72674" w:rsidRDefault="002A78E9" w:rsidP="002A78E9">
      <w:pPr>
        <w:pStyle w:val="Note"/>
      </w:pPr>
      <w:r>
        <w:t>(b)</w:t>
      </w:r>
      <w:r>
        <w:tab/>
      </w:r>
      <w:r w:rsidR="00C72674">
        <w:t>Includes interdepartmental transfers.</w:t>
      </w:r>
    </w:p>
    <w:p w14:paraId="1547205D" w14:textId="77777777" w:rsidR="00C72674" w:rsidRPr="00190077" w:rsidRDefault="00C72674" w:rsidP="00C72674">
      <w:r w:rsidRPr="00190077">
        <w:br w:type="page"/>
      </w:r>
    </w:p>
    <w:p w14:paraId="7F933F73" w14:textId="77777777" w:rsidR="00824558" w:rsidRDefault="00824558">
      <w:pPr>
        <w:keepNext/>
        <w:spacing w:before="240"/>
        <w:outlineLvl w:val="1"/>
        <w:rPr>
          <w:rFonts w:asciiTheme="majorHAnsi" w:eastAsiaTheme="majorEastAsia" w:hAnsiTheme="majorHAnsi" w:cstheme="majorBidi"/>
          <w:b/>
          <w:sz w:val="27"/>
          <w:szCs w:val="26"/>
        </w:rPr>
      </w:pPr>
      <w:r w:rsidRPr="007368BC">
        <w:rPr>
          <w:rFonts w:asciiTheme="majorHAnsi" w:eastAsiaTheme="majorEastAsia" w:hAnsiTheme="majorHAnsi" w:cstheme="majorBidi"/>
          <w:b/>
          <w:sz w:val="27"/>
          <w:szCs w:val="26"/>
        </w:rPr>
        <w:lastRenderedPageBreak/>
        <w:t xml:space="preserve">Departmental </w:t>
      </w:r>
      <w:r>
        <w:rPr>
          <w:rFonts w:asciiTheme="majorHAnsi" w:eastAsiaTheme="majorEastAsia" w:hAnsiTheme="majorHAnsi" w:cstheme="majorBidi"/>
          <w:b/>
          <w:sz w:val="27"/>
          <w:szCs w:val="26"/>
        </w:rPr>
        <w:t>objectives and outputs</w:t>
      </w:r>
    </w:p>
    <w:p w14:paraId="4EF61430" w14:textId="77777777" w:rsidR="00824558" w:rsidRPr="00910B91" w:rsidRDefault="00824558">
      <w:pPr>
        <w:pStyle w:val="ShadedBoxHeading"/>
      </w:pPr>
      <w:r w:rsidRPr="00910B91">
        <w:t>Objective 1: Ensuring community safety through policing, law enforcement and crime prevention activities</w:t>
      </w:r>
    </w:p>
    <w:p w14:paraId="5171678D" w14:textId="77777777" w:rsidR="00824558" w:rsidRPr="00A0284D" w:rsidRDefault="00824558">
      <w:pPr>
        <w:pStyle w:val="ShadedBoxText"/>
      </w:pPr>
      <w:r w:rsidRPr="00A0284D">
        <w:t>This objective aims to provide a safe and secure environment for the Victorian community. This objective delivers on activities relating to the provision of effective policing, law enforcement and infringement processing services that aim to prevent, detect, investigate and prosecute crime, and promote safer road user behaviour. It focuses on activities</w:t>
      </w:r>
      <w:r w:rsidRPr="00A0284D" w:rsidDel="0030196E">
        <w:t xml:space="preserve"> </w:t>
      </w:r>
      <w:r>
        <w:t>that</w:t>
      </w:r>
      <w:r w:rsidRPr="00A0284D">
        <w:t xml:space="preserve"> enable Victorians to undertake their lawful pursuits confidently, safely and without fear of </w:t>
      </w:r>
      <w:r>
        <w:t xml:space="preserve">exposure to </w:t>
      </w:r>
      <w:r w:rsidRPr="00A0284D">
        <w:t xml:space="preserve">crime. </w:t>
      </w:r>
    </w:p>
    <w:p w14:paraId="069E7E91" w14:textId="77777777" w:rsidR="00824558" w:rsidRPr="00A0284D" w:rsidRDefault="00824558">
      <w:pPr>
        <w:pStyle w:val="ShadedBoxText"/>
      </w:pPr>
      <w:r w:rsidRPr="00A0284D">
        <w:t>The departmental objective indicators are:</w:t>
      </w:r>
    </w:p>
    <w:p w14:paraId="096A3B33" w14:textId="77777777" w:rsidR="00824558" w:rsidRPr="00877696" w:rsidRDefault="00824558">
      <w:pPr>
        <w:pStyle w:val="ShadedBoxBullet"/>
        <w:contextualSpacing/>
      </w:pPr>
      <w:r w:rsidRPr="00877696">
        <w:t>community safety during the day and at night</w:t>
      </w:r>
    </w:p>
    <w:p w14:paraId="4B6DC1AF" w14:textId="77777777" w:rsidR="00824558" w:rsidRPr="00877696" w:rsidRDefault="00824558">
      <w:pPr>
        <w:pStyle w:val="ShadedBoxBullet"/>
        <w:contextualSpacing/>
      </w:pPr>
      <w:r w:rsidRPr="00877696">
        <w:t>community safety on public transport</w:t>
      </w:r>
    </w:p>
    <w:p w14:paraId="4CAC2C38" w14:textId="77777777" w:rsidR="00824558" w:rsidRPr="00877696" w:rsidRDefault="00824558">
      <w:pPr>
        <w:pStyle w:val="ShadedBoxBullet"/>
        <w:contextualSpacing/>
      </w:pPr>
      <w:r w:rsidRPr="00877696">
        <w:t>crime statistics</w:t>
      </w:r>
    </w:p>
    <w:p w14:paraId="04292B6D" w14:textId="77777777" w:rsidR="00824558" w:rsidRPr="00877696" w:rsidRDefault="00824558">
      <w:pPr>
        <w:pStyle w:val="ShadedBoxBullet"/>
        <w:contextualSpacing/>
      </w:pPr>
      <w:r w:rsidRPr="00877696">
        <w:t>number of road fatalities</w:t>
      </w:r>
    </w:p>
    <w:p w14:paraId="3A73A839" w14:textId="77777777" w:rsidR="00824558" w:rsidRPr="000B461C" w:rsidRDefault="00824558">
      <w:pPr>
        <w:pStyle w:val="ShadedBoxBullet"/>
        <w:contextualSpacing/>
      </w:pPr>
      <w:r w:rsidRPr="00877696">
        <w:t>number of road injuries.</w:t>
      </w:r>
    </w:p>
    <w:p w14:paraId="02097252" w14:textId="77777777" w:rsidR="00824558" w:rsidRDefault="00824558">
      <w:pPr>
        <w:pStyle w:val="Heading3"/>
      </w:pPr>
      <w:r>
        <w:t>Outputs</w:t>
      </w:r>
    </w:p>
    <w:p w14:paraId="3F735E93" w14:textId="4A1BD332" w:rsidR="00824558" w:rsidRDefault="00824558">
      <w:pPr>
        <w:pStyle w:val="Heading3"/>
      </w:pPr>
      <w:r>
        <w:t>Policing and Community Safety</w:t>
      </w:r>
      <w:r>
        <w:tab/>
        <w:t>(2026-27: $</w:t>
      </w:r>
      <w:r w:rsidR="007B646B">
        <w:t>4 684.</w:t>
      </w:r>
      <w:r w:rsidR="002668C1">
        <w:t>4</w:t>
      </w:r>
      <w:r w:rsidR="007B646B">
        <w:t xml:space="preserve"> </w:t>
      </w:r>
      <w:r>
        <w:t>million)</w:t>
      </w:r>
    </w:p>
    <w:p w14:paraId="47FFFC61" w14:textId="3788331E" w:rsidR="00824558" w:rsidRPr="000B461C" w:rsidRDefault="00824558">
      <w:pPr>
        <w:keepNext/>
        <w:spacing w:after="120"/>
        <w:rPr>
          <w:lang w:eastAsia="en-AU"/>
        </w:rPr>
      </w:pPr>
      <w:r w:rsidRPr="00946673">
        <w:rPr>
          <w:lang w:eastAsia="en-AU"/>
        </w:rPr>
        <w:t xml:space="preserve">Victoria Police strives to reduce violence and crime through law enforcement, </w:t>
      </w:r>
      <w:r>
        <w:rPr>
          <w:lang w:eastAsia="en-AU"/>
        </w:rPr>
        <w:t>court proceedings</w:t>
      </w:r>
      <w:r w:rsidRPr="00946673">
        <w:rPr>
          <w:lang w:eastAsia="en-AU"/>
        </w:rPr>
        <w:t>, community assistance, guidance and leadership. The output reflects the Government</w:t>
      </w:r>
      <w:r w:rsidR="007942D1">
        <w:rPr>
          <w:lang w:eastAsia="en-AU"/>
        </w:rPr>
        <w:t>’</w:t>
      </w:r>
      <w:r w:rsidRPr="00946673">
        <w:rPr>
          <w:lang w:eastAsia="en-AU"/>
        </w:rPr>
        <w:t>s focus on reducing the overall incidence and fear of crime and enhancing the safety of individuals and families.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72E650F" w14:textId="77777777" w:rsidTr="00FC3D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281F0F3" w14:textId="77777777" w:rsidR="00824558" w:rsidRDefault="00824558">
            <w:r>
              <w:t>Performance measure</w:t>
            </w:r>
          </w:p>
        </w:tc>
        <w:tc>
          <w:tcPr>
            <w:tcW w:w="964" w:type="dxa"/>
          </w:tcPr>
          <w:p w14:paraId="0E0580B5"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4275ED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56E5C0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5CE924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0CD832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4E817C69"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Pr>
          <w:p w14:paraId="79E7D91F" w14:textId="77777777" w:rsidR="00824558" w:rsidRPr="00712860" w:rsidRDefault="00824558">
            <w:pPr>
              <w:keepNext/>
              <w:rPr>
                <w:b/>
                <w:bCs/>
                <w:iCs/>
              </w:rPr>
            </w:pPr>
            <w:r w:rsidRPr="00712860">
              <w:rPr>
                <w:b/>
                <w:bCs/>
                <w:iCs/>
              </w:rPr>
              <w:t>Quantity</w:t>
            </w:r>
          </w:p>
        </w:tc>
      </w:tr>
      <w:tr w:rsidR="00824558" w14:paraId="27D2929A"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588EB59D" w14:textId="77777777" w:rsidR="00824558" w:rsidRDefault="00824558">
            <w:pPr>
              <w:keepNext/>
              <w:ind w:left="170"/>
            </w:pPr>
            <w:r>
              <w:t>Community calls for assistance to which a Victoria Police response is dispatched</w:t>
            </w:r>
          </w:p>
        </w:tc>
        <w:tc>
          <w:tcPr>
            <w:tcW w:w="964" w:type="dxa"/>
          </w:tcPr>
          <w:p w14:paraId="75DA305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E7D2716"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1 200 000</w:t>
            </w:r>
          </w:p>
        </w:tc>
        <w:tc>
          <w:tcPr>
            <w:tcW w:w="964" w:type="dxa"/>
          </w:tcPr>
          <w:p w14:paraId="32515AB9" w14:textId="77777777" w:rsidR="00824558" w:rsidRDefault="00824558">
            <w:pPr>
              <w:cnfStyle w:val="000000000000" w:firstRow="0" w:lastRow="0" w:firstColumn="0" w:lastColumn="0" w:oddVBand="0" w:evenVBand="0" w:oddHBand="0" w:evenHBand="0" w:firstRowFirstColumn="0" w:firstRowLastColumn="0" w:lastRowFirstColumn="0" w:lastRowLastColumn="0"/>
            </w:pPr>
            <w:r>
              <w:t>1 099 021</w:t>
            </w:r>
          </w:p>
        </w:tc>
        <w:tc>
          <w:tcPr>
            <w:tcW w:w="964" w:type="dxa"/>
          </w:tcPr>
          <w:p w14:paraId="76123BFA"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1 200 000</w:t>
            </w:r>
          </w:p>
        </w:tc>
        <w:tc>
          <w:tcPr>
            <w:tcW w:w="964" w:type="dxa"/>
          </w:tcPr>
          <w:p w14:paraId="3493DEAE" w14:textId="77777777" w:rsidR="00824558" w:rsidRDefault="00824558">
            <w:pPr>
              <w:cnfStyle w:val="000000000000" w:firstRow="0" w:lastRow="0" w:firstColumn="0" w:lastColumn="0" w:oddVBand="0" w:evenVBand="0" w:oddHBand="0" w:evenHBand="0" w:firstRowFirstColumn="0" w:firstRowLastColumn="0" w:lastRowFirstColumn="0" w:lastRowLastColumn="0"/>
            </w:pPr>
            <w:r>
              <w:t>1 096 302</w:t>
            </w:r>
          </w:p>
        </w:tc>
      </w:tr>
      <w:tr w:rsidR="00824558" w14:paraId="72C71FBC"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44EEC2B" w14:textId="56D9C19E" w:rsidR="00824558" w:rsidRDefault="00824558">
            <w:pPr>
              <w:ind w:left="170"/>
            </w:pPr>
            <w:r>
              <w:rPr>
                <w:i/>
              </w:rPr>
              <w:t>The 2025-26 expected outcome is lower than the 2025-26 target due a smaller</w:t>
            </w:r>
            <w:r w:rsidR="00AD7C4E">
              <w:rPr>
                <w:i/>
              </w:rPr>
              <w:t xml:space="preserve"> </w:t>
            </w:r>
            <w:r>
              <w:rPr>
                <w:i/>
              </w:rPr>
              <w:t>than</w:t>
            </w:r>
            <w:r w:rsidR="00AD7C4E">
              <w:rPr>
                <w:i/>
              </w:rPr>
              <w:t xml:space="preserve"> </w:t>
            </w:r>
            <w:r>
              <w:rPr>
                <w:i/>
              </w:rPr>
              <w:t>anticipated increase in calls for assistance</w:t>
            </w:r>
            <w:r w:rsidR="004C609C">
              <w:rPr>
                <w:i/>
              </w:rPr>
              <w:t>.</w:t>
            </w:r>
            <w:r>
              <w:rPr>
                <w:i/>
              </w:rPr>
              <w:t xml:space="preserve"> </w:t>
            </w:r>
          </w:p>
        </w:tc>
      </w:tr>
      <w:tr w:rsidR="00824558" w14:paraId="4F7AFEE0"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C1961A3" w14:textId="77777777" w:rsidR="00824558" w:rsidRDefault="00824558">
            <w:pPr>
              <w:ind w:left="170"/>
            </w:pPr>
            <w:r>
              <w:t>Contravention of family violence intervention order (FVIO) offences per 100 000 population</w:t>
            </w:r>
          </w:p>
        </w:tc>
        <w:tc>
          <w:tcPr>
            <w:tcW w:w="964" w:type="dxa"/>
            <w:tcBorders>
              <w:bottom w:val="single" w:sz="6" w:space="0" w:color="auto"/>
            </w:tcBorders>
          </w:tcPr>
          <w:p w14:paraId="54C38B3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CC1D257" w14:textId="77777777" w:rsidR="00824558" w:rsidRDefault="00824558">
            <w:pPr>
              <w:cnfStyle w:val="000000000000" w:firstRow="0" w:lastRow="0" w:firstColumn="0" w:lastColumn="0" w:oddVBand="0" w:evenVBand="0" w:oddHBand="0" w:evenHBand="0" w:firstRowFirstColumn="0" w:firstRowLastColumn="0" w:lastRowFirstColumn="0" w:lastRowLastColumn="0"/>
            </w:pPr>
            <w:r>
              <w:t>893</w:t>
            </w:r>
          </w:p>
        </w:tc>
        <w:tc>
          <w:tcPr>
            <w:tcW w:w="964" w:type="dxa"/>
            <w:tcBorders>
              <w:bottom w:val="single" w:sz="6" w:space="0" w:color="auto"/>
            </w:tcBorders>
          </w:tcPr>
          <w:p w14:paraId="62AF475E" w14:textId="77777777" w:rsidR="00824558" w:rsidRDefault="00824558">
            <w:pPr>
              <w:cnfStyle w:val="000000000000" w:firstRow="0" w:lastRow="0" w:firstColumn="0" w:lastColumn="0" w:oddVBand="0" w:evenVBand="0" w:oddHBand="0" w:evenHBand="0" w:firstRowFirstColumn="0" w:firstRowLastColumn="0" w:lastRowFirstColumn="0" w:lastRowLastColumn="0"/>
            </w:pPr>
            <w:r>
              <w:t>857</w:t>
            </w:r>
          </w:p>
        </w:tc>
        <w:tc>
          <w:tcPr>
            <w:tcW w:w="964" w:type="dxa"/>
            <w:tcBorders>
              <w:bottom w:val="single" w:sz="6" w:space="0" w:color="auto"/>
            </w:tcBorders>
          </w:tcPr>
          <w:p w14:paraId="7951D369" w14:textId="77777777" w:rsidR="00824558" w:rsidRDefault="00824558">
            <w:pPr>
              <w:cnfStyle w:val="000000000000" w:firstRow="0" w:lastRow="0" w:firstColumn="0" w:lastColumn="0" w:oddVBand="0" w:evenVBand="0" w:oddHBand="0" w:evenHBand="0" w:firstRowFirstColumn="0" w:firstRowLastColumn="0" w:lastRowFirstColumn="0" w:lastRowLastColumn="0"/>
            </w:pPr>
            <w:r>
              <w:t>893</w:t>
            </w:r>
          </w:p>
        </w:tc>
        <w:tc>
          <w:tcPr>
            <w:tcW w:w="964" w:type="dxa"/>
            <w:tcBorders>
              <w:bottom w:val="single" w:sz="6" w:space="0" w:color="auto"/>
            </w:tcBorders>
          </w:tcPr>
          <w:p w14:paraId="5328636C" w14:textId="77777777" w:rsidR="00824558" w:rsidRDefault="00824558">
            <w:pPr>
              <w:cnfStyle w:val="000000000000" w:firstRow="0" w:lastRow="0" w:firstColumn="0" w:lastColumn="0" w:oddVBand="0" w:evenVBand="0" w:oddHBand="0" w:evenHBand="0" w:firstRowFirstColumn="0" w:firstRowLastColumn="0" w:lastRowFirstColumn="0" w:lastRowLastColumn="0"/>
            </w:pPr>
            <w:r>
              <w:t>911.9</w:t>
            </w:r>
          </w:p>
        </w:tc>
      </w:tr>
      <w:tr w:rsidR="00824558" w14:paraId="37923D32"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3C90ACA5" w14:textId="45DC5617" w:rsidR="00824558" w:rsidRDefault="00824558">
            <w:pPr>
              <w:keepNext/>
              <w:ind w:left="170"/>
            </w:pPr>
            <w:r>
              <w:t>Crimes against property</w:t>
            </w:r>
            <w:r w:rsidR="007942D1">
              <w:t xml:space="preserve"> – </w:t>
            </w:r>
            <w:r>
              <w:t>excluding family violence related crime (rate per 100 000 population)</w:t>
            </w:r>
          </w:p>
        </w:tc>
        <w:tc>
          <w:tcPr>
            <w:tcW w:w="964" w:type="dxa"/>
          </w:tcPr>
          <w:p w14:paraId="153C048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A8710BA"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4 100</w:t>
            </w:r>
          </w:p>
        </w:tc>
        <w:tc>
          <w:tcPr>
            <w:tcW w:w="964" w:type="dxa"/>
          </w:tcPr>
          <w:p w14:paraId="6A998D4E" w14:textId="77777777" w:rsidR="00824558" w:rsidRDefault="00824558">
            <w:pPr>
              <w:cnfStyle w:val="000000000000" w:firstRow="0" w:lastRow="0" w:firstColumn="0" w:lastColumn="0" w:oddVBand="0" w:evenVBand="0" w:oddHBand="0" w:evenHBand="0" w:firstRowFirstColumn="0" w:firstRowLastColumn="0" w:lastRowFirstColumn="0" w:lastRowLastColumn="0"/>
            </w:pPr>
            <w:r>
              <w:t>4 758</w:t>
            </w:r>
          </w:p>
        </w:tc>
        <w:tc>
          <w:tcPr>
            <w:tcW w:w="964" w:type="dxa"/>
          </w:tcPr>
          <w:p w14:paraId="1FCECC18"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4 100</w:t>
            </w:r>
          </w:p>
        </w:tc>
        <w:tc>
          <w:tcPr>
            <w:tcW w:w="964" w:type="dxa"/>
          </w:tcPr>
          <w:p w14:paraId="5B7877A1" w14:textId="554B5ECA" w:rsidR="00824558" w:rsidRDefault="00824558">
            <w:pPr>
              <w:cnfStyle w:val="000000000000" w:firstRow="0" w:lastRow="0" w:firstColumn="0" w:lastColumn="0" w:oddVBand="0" w:evenVBand="0" w:oddHBand="0" w:evenHBand="0" w:firstRowFirstColumn="0" w:firstRowLastColumn="0" w:lastRowFirstColumn="0" w:lastRowLastColumn="0"/>
            </w:pPr>
            <w:r>
              <w:t>5</w:t>
            </w:r>
            <w:r w:rsidR="005A238A">
              <w:t xml:space="preserve"> </w:t>
            </w:r>
            <w:r>
              <w:t>139.9</w:t>
            </w:r>
          </w:p>
        </w:tc>
      </w:tr>
      <w:tr w:rsidR="00824558" w14:paraId="118CDE5A"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427B9D" w14:textId="77777777" w:rsidR="00824558" w:rsidRDefault="00824558">
            <w:pPr>
              <w:ind w:left="170"/>
            </w:pPr>
            <w:r>
              <w:rPr>
                <w:i/>
              </w:rPr>
              <w:t xml:space="preserve">The 2025-26 expected outcome is higher than the 2025-26 target due to increases in theft-related offences. </w:t>
            </w:r>
          </w:p>
        </w:tc>
      </w:tr>
      <w:tr w:rsidR="00824558" w14:paraId="7D7659A6"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3ACB88" w14:textId="093303F2" w:rsidR="00824558" w:rsidRDefault="00824558">
            <w:pPr>
              <w:ind w:left="170"/>
            </w:pPr>
            <w:r>
              <w:t>Crimes against property</w:t>
            </w:r>
            <w:r w:rsidR="007942D1">
              <w:t xml:space="preserve"> – </w:t>
            </w:r>
            <w:r>
              <w:t>family violence related crime (rate per 100 000 population)</w:t>
            </w:r>
          </w:p>
        </w:tc>
        <w:tc>
          <w:tcPr>
            <w:tcW w:w="964" w:type="dxa"/>
            <w:tcBorders>
              <w:bottom w:val="single" w:sz="6" w:space="0" w:color="auto"/>
            </w:tcBorders>
          </w:tcPr>
          <w:p w14:paraId="3E9F08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611A42A" w14:textId="77777777" w:rsidR="00824558" w:rsidRDefault="00824558">
            <w:pPr>
              <w:cnfStyle w:val="000000000000" w:firstRow="0" w:lastRow="0" w:firstColumn="0" w:lastColumn="0" w:oddVBand="0" w:evenVBand="0" w:oddHBand="0" w:evenHBand="0" w:firstRowFirstColumn="0" w:firstRowLastColumn="0" w:lastRowFirstColumn="0" w:lastRowLastColumn="0"/>
            </w:pPr>
            <w:r>
              <w:t>171</w:t>
            </w:r>
          </w:p>
        </w:tc>
        <w:tc>
          <w:tcPr>
            <w:tcW w:w="964" w:type="dxa"/>
            <w:tcBorders>
              <w:bottom w:val="single" w:sz="6" w:space="0" w:color="auto"/>
            </w:tcBorders>
          </w:tcPr>
          <w:p w14:paraId="1DD3D62C" w14:textId="77777777" w:rsidR="00824558" w:rsidRDefault="00824558">
            <w:pPr>
              <w:cnfStyle w:val="000000000000" w:firstRow="0" w:lastRow="0" w:firstColumn="0" w:lastColumn="0" w:oddVBand="0" w:evenVBand="0" w:oddHBand="0" w:evenHBand="0" w:firstRowFirstColumn="0" w:firstRowLastColumn="0" w:lastRowFirstColumn="0" w:lastRowLastColumn="0"/>
            </w:pPr>
            <w:r>
              <w:t>179</w:t>
            </w:r>
          </w:p>
        </w:tc>
        <w:tc>
          <w:tcPr>
            <w:tcW w:w="964" w:type="dxa"/>
            <w:tcBorders>
              <w:bottom w:val="single" w:sz="6" w:space="0" w:color="auto"/>
            </w:tcBorders>
          </w:tcPr>
          <w:p w14:paraId="62CC13A6" w14:textId="77777777" w:rsidR="00824558" w:rsidRDefault="00824558">
            <w:pPr>
              <w:cnfStyle w:val="000000000000" w:firstRow="0" w:lastRow="0" w:firstColumn="0" w:lastColumn="0" w:oddVBand="0" w:evenVBand="0" w:oddHBand="0" w:evenHBand="0" w:firstRowFirstColumn="0" w:firstRowLastColumn="0" w:lastRowFirstColumn="0" w:lastRowLastColumn="0"/>
            </w:pPr>
            <w:r>
              <w:t>171</w:t>
            </w:r>
          </w:p>
        </w:tc>
        <w:tc>
          <w:tcPr>
            <w:tcW w:w="964" w:type="dxa"/>
            <w:tcBorders>
              <w:bottom w:val="single" w:sz="6" w:space="0" w:color="auto"/>
            </w:tcBorders>
          </w:tcPr>
          <w:p w14:paraId="4A1AB3F3" w14:textId="77777777" w:rsidR="00824558" w:rsidRDefault="00824558">
            <w:pPr>
              <w:cnfStyle w:val="000000000000" w:firstRow="0" w:lastRow="0" w:firstColumn="0" w:lastColumn="0" w:oddVBand="0" w:evenVBand="0" w:oddHBand="0" w:evenHBand="0" w:firstRowFirstColumn="0" w:firstRowLastColumn="0" w:lastRowFirstColumn="0" w:lastRowLastColumn="0"/>
            </w:pPr>
            <w:r>
              <w:t>187.1</w:t>
            </w:r>
          </w:p>
        </w:tc>
      </w:tr>
      <w:tr w:rsidR="00824558" w14:paraId="64B3A406"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405A367B" w14:textId="5FFC2230" w:rsidR="00824558" w:rsidRDefault="00824558">
            <w:pPr>
              <w:keepNext/>
              <w:ind w:left="170"/>
            </w:pPr>
            <w:r>
              <w:t>Crimes against the person</w:t>
            </w:r>
            <w:r w:rsidR="007942D1">
              <w:t xml:space="preserve"> – </w:t>
            </w:r>
            <w:r>
              <w:t>excluding family violence related crime (rate per 100 000 population)</w:t>
            </w:r>
          </w:p>
        </w:tc>
        <w:tc>
          <w:tcPr>
            <w:tcW w:w="964" w:type="dxa"/>
          </w:tcPr>
          <w:p w14:paraId="5FE8EC3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5BAEA87" w14:textId="77777777" w:rsidR="00824558" w:rsidRDefault="00824558">
            <w:pPr>
              <w:cnfStyle w:val="000000000000" w:firstRow="0" w:lastRow="0" w:firstColumn="0" w:lastColumn="0" w:oddVBand="0" w:evenVBand="0" w:oddHBand="0" w:evenHBand="0" w:firstRowFirstColumn="0" w:firstRowLastColumn="0" w:lastRowFirstColumn="0" w:lastRowLastColumn="0"/>
            </w:pPr>
            <w:r>
              <w:t>660</w:t>
            </w:r>
          </w:p>
        </w:tc>
        <w:tc>
          <w:tcPr>
            <w:tcW w:w="964" w:type="dxa"/>
          </w:tcPr>
          <w:p w14:paraId="6EC3E9C6" w14:textId="77777777" w:rsidR="00824558" w:rsidRDefault="00824558">
            <w:pPr>
              <w:cnfStyle w:val="000000000000" w:firstRow="0" w:lastRow="0" w:firstColumn="0" w:lastColumn="0" w:oddVBand="0" w:evenVBand="0" w:oddHBand="0" w:evenHBand="0" w:firstRowFirstColumn="0" w:firstRowLastColumn="0" w:lastRowFirstColumn="0" w:lastRowLastColumn="0"/>
            </w:pPr>
            <w:r>
              <w:t>747</w:t>
            </w:r>
          </w:p>
        </w:tc>
        <w:tc>
          <w:tcPr>
            <w:tcW w:w="964" w:type="dxa"/>
          </w:tcPr>
          <w:p w14:paraId="6CEC3BA0" w14:textId="77777777" w:rsidR="00824558" w:rsidRDefault="00824558">
            <w:pPr>
              <w:cnfStyle w:val="000000000000" w:firstRow="0" w:lastRow="0" w:firstColumn="0" w:lastColumn="0" w:oddVBand="0" w:evenVBand="0" w:oddHBand="0" w:evenHBand="0" w:firstRowFirstColumn="0" w:firstRowLastColumn="0" w:lastRowFirstColumn="0" w:lastRowLastColumn="0"/>
            </w:pPr>
            <w:r>
              <w:t>660</w:t>
            </w:r>
          </w:p>
        </w:tc>
        <w:tc>
          <w:tcPr>
            <w:tcW w:w="964" w:type="dxa"/>
          </w:tcPr>
          <w:p w14:paraId="3DB85C24" w14:textId="77777777" w:rsidR="00824558" w:rsidRDefault="00824558">
            <w:pPr>
              <w:cnfStyle w:val="000000000000" w:firstRow="0" w:lastRow="0" w:firstColumn="0" w:lastColumn="0" w:oddVBand="0" w:evenVBand="0" w:oddHBand="0" w:evenHBand="0" w:firstRowFirstColumn="0" w:firstRowLastColumn="0" w:lastRowFirstColumn="0" w:lastRowLastColumn="0"/>
            </w:pPr>
            <w:r>
              <w:t>756</w:t>
            </w:r>
          </w:p>
        </w:tc>
      </w:tr>
      <w:tr w:rsidR="00824558" w14:paraId="071C3073"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AA856F1" w14:textId="77777777" w:rsidR="00824558" w:rsidRDefault="00824558">
            <w:pPr>
              <w:ind w:left="170"/>
            </w:pPr>
            <w:r>
              <w:rPr>
                <w:i/>
              </w:rPr>
              <w:t>The 2025-26 expected outcome is higher than the 2025-26 target due to increases in crimes against the person offences</w:t>
            </w:r>
            <w:r w:rsidRPr="00B3247C">
              <w:rPr>
                <w:i/>
              </w:rPr>
              <w:t xml:space="preserve">. </w:t>
            </w:r>
            <w:r w:rsidRPr="00B3247C">
              <w:rPr>
                <w:i/>
                <w:iCs/>
              </w:rPr>
              <w:t>No single driver for this outcome has been identified due to the varied offence types</w:t>
            </w:r>
            <w:r w:rsidRPr="00B3247C">
              <w:rPr>
                <w:i/>
              </w:rPr>
              <w:t>.</w:t>
            </w:r>
            <w:r>
              <w:rPr>
                <w:i/>
              </w:rPr>
              <w:t xml:space="preserve"> </w:t>
            </w:r>
          </w:p>
        </w:tc>
      </w:tr>
      <w:tr w:rsidR="00824558" w14:paraId="7FAFD5AE"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F7B5789" w14:textId="03C02E8F" w:rsidR="00824558" w:rsidRDefault="00824558">
            <w:pPr>
              <w:ind w:left="170"/>
            </w:pPr>
            <w:r>
              <w:t>Crimes against the person</w:t>
            </w:r>
            <w:r w:rsidR="007942D1">
              <w:t xml:space="preserve"> – </w:t>
            </w:r>
            <w:r>
              <w:t xml:space="preserve">family violence related crime </w:t>
            </w:r>
            <w:r w:rsidR="00DE4970">
              <w:br/>
            </w:r>
            <w:r>
              <w:t>(rate per 100 000 population)</w:t>
            </w:r>
          </w:p>
        </w:tc>
        <w:tc>
          <w:tcPr>
            <w:tcW w:w="964" w:type="dxa"/>
            <w:tcBorders>
              <w:bottom w:val="single" w:sz="6" w:space="0" w:color="auto"/>
            </w:tcBorders>
          </w:tcPr>
          <w:p w14:paraId="19D9FF9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B2FB92B" w14:textId="77777777" w:rsidR="00824558" w:rsidRDefault="00824558">
            <w:pPr>
              <w:cnfStyle w:val="000000000000" w:firstRow="0" w:lastRow="0" w:firstColumn="0" w:lastColumn="0" w:oddVBand="0" w:evenVBand="0" w:oddHBand="0" w:evenHBand="0" w:firstRowFirstColumn="0" w:firstRowLastColumn="0" w:lastRowFirstColumn="0" w:lastRowLastColumn="0"/>
            </w:pPr>
            <w:r>
              <w:t>580</w:t>
            </w:r>
          </w:p>
        </w:tc>
        <w:tc>
          <w:tcPr>
            <w:tcW w:w="964" w:type="dxa"/>
            <w:tcBorders>
              <w:bottom w:val="single" w:sz="6" w:space="0" w:color="auto"/>
            </w:tcBorders>
          </w:tcPr>
          <w:p w14:paraId="50DF9AFC" w14:textId="77777777" w:rsidR="00824558" w:rsidRDefault="00824558">
            <w:pPr>
              <w:cnfStyle w:val="000000000000" w:firstRow="0" w:lastRow="0" w:firstColumn="0" w:lastColumn="0" w:oddVBand="0" w:evenVBand="0" w:oddHBand="0" w:evenHBand="0" w:firstRowFirstColumn="0" w:firstRowLastColumn="0" w:lastRowFirstColumn="0" w:lastRowLastColumn="0"/>
            </w:pPr>
            <w:r>
              <w:t>604</w:t>
            </w:r>
          </w:p>
        </w:tc>
        <w:tc>
          <w:tcPr>
            <w:tcW w:w="964" w:type="dxa"/>
            <w:tcBorders>
              <w:bottom w:val="single" w:sz="6" w:space="0" w:color="auto"/>
            </w:tcBorders>
          </w:tcPr>
          <w:p w14:paraId="2D4992C2" w14:textId="77777777" w:rsidR="00824558" w:rsidRDefault="00824558">
            <w:pPr>
              <w:cnfStyle w:val="000000000000" w:firstRow="0" w:lastRow="0" w:firstColumn="0" w:lastColumn="0" w:oddVBand="0" w:evenVBand="0" w:oddHBand="0" w:evenHBand="0" w:firstRowFirstColumn="0" w:firstRowLastColumn="0" w:lastRowFirstColumn="0" w:lastRowLastColumn="0"/>
            </w:pPr>
            <w:r>
              <w:t>580</w:t>
            </w:r>
          </w:p>
        </w:tc>
        <w:tc>
          <w:tcPr>
            <w:tcW w:w="964" w:type="dxa"/>
            <w:tcBorders>
              <w:bottom w:val="single" w:sz="6" w:space="0" w:color="auto"/>
            </w:tcBorders>
          </w:tcPr>
          <w:p w14:paraId="7A8FF4D0" w14:textId="77777777" w:rsidR="00824558" w:rsidRDefault="00824558">
            <w:pPr>
              <w:cnfStyle w:val="000000000000" w:firstRow="0" w:lastRow="0" w:firstColumn="0" w:lastColumn="0" w:oddVBand="0" w:evenVBand="0" w:oddHBand="0" w:evenHBand="0" w:firstRowFirstColumn="0" w:firstRowLastColumn="0" w:lastRowFirstColumn="0" w:lastRowLastColumn="0"/>
            </w:pPr>
            <w:r>
              <w:t>623.3</w:t>
            </w:r>
          </w:p>
        </w:tc>
      </w:tr>
      <w:tr w:rsidR="00824558" w14:paraId="31263E84"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7A579D0" w14:textId="77777777" w:rsidR="00824558" w:rsidRDefault="00824558">
            <w:pPr>
              <w:ind w:left="170"/>
            </w:pPr>
            <w:r>
              <w:t>Number of alcohol screening tests conducted</w:t>
            </w:r>
          </w:p>
        </w:tc>
        <w:tc>
          <w:tcPr>
            <w:tcW w:w="964" w:type="dxa"/>
            <w:tcBorders>
              <w:bottom w:val="single" w:sz="6" w:space="0" w:color="auto"/>
            </w:tcBorders>
          </w:tcPr>
          <w:p w14:paraId="423ECEF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E95DE18"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3 000 000</w:t>
            </w:r>
          </w:p>
        </w:tc>
        <w:tc>
          <w:tcPr>
            <w:tcW w:w="964" w:type="dxa"/>
            <w:tcBorders>
              <w:bottom w:val="single" w:sz="6" w:space="0" w:color="auto"/>
            </w:tcBorders>
          </w:tcPr>
          <w:p w14:paraId="56764A29"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3 000 000</w:t>
            </w:r>
          </w:p>
        </w:tc>
        <w:tc>
          <w:tcPr>
            <w:tcW w:w="964" w:type="dxa"/>
            <w:tcBorders>
              <w:bottom w:val="single" w:sz="6" w:space="0" w:color="auto"/>
            </w:tcBorders>
          </w:tcPr>
          <w:p w14:paraId="1307E216" w14:textId="77777777" w:rsidR="00824558" w:rsidRDefault="00824558">
            <w:pPr>
              <w:cnfStyle w:val="000000000000" w:firstRow="0" w:lastRow="0" w:firstColumn="0" w:lastColumn="0" w:oddVBand="0" w:evenVBand="0" w:oddHBand="0" w:evenHBand="0" w:firstRowFirstColumn="0" w:firstRowLastColumn="0" w:lastRowFirstColumn="0" w:lastRowLastColumn="0"/>
            </w:pPr>
            <w:r>
              <w:t>3 000 000</w:t>
            </w:r>
          </w:p>
        </w:tc>
        <w:tc>
          <w:tcPr>
            <w:tcW w:w="964" w:type="dxa"/>
            <w:tcBorders>
              <w:bottom w:val="single" w:sz="6" w:space="0" w:color="auto"/>
            </w:tcBorders>
          </w:tcPr>
          <w:p w14:paraId="30791BA4"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3CEF1108"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233922ED" w14:textId="77777777" w:rsidR="00824558" w:rsidRDefault="00824558">
            <w:pPr>
              <w:keepNext/>
              <w:ind w:left="170"/>
            </w:pPr>
            <w:r>
              <w:t>Number of family violence incidents recorded</w:t>
            </w:r>
          </w:p>
        </w:tc>
        <w:tc>
          <w:tcPr>
            <w:tcW w:w="964" w:type="dxa"/>
          </w:tcPr>
          <w:p w14:paraId="61FD90D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7A9C75E" w14:textId="77777777" w:rsidR="00824558" w:rsidRDefault="00824558">
            <w:pPr>
              <w:cnfStyle w:val="000000000000" w:firstRow="0" w:lastRow="0" w:firstColumn="0" w:lastColumn="0" w:oddVBand="0" w:evenVBand="0" w:oddHBand="0" w:evenHBand="0" w:firstRowFirstColumn="0" w:firstRowLastColumn="0" w:lastRowFirstColumn="0" w:lastRowLastColumn="0"/>
            </w:pPr>
            <w:r>
              <w:t>108 081</w:t>
            </w:r>
          </w:p>
        </w:tc>
        <w:tc>
          <w:tcPr>
            <w:tcW w:w="964" w:type="dxa"/>
          </w:tcPr>
          <w:p w14:paraId="27523D63" w14:textId="77777777" w:rsidR="00824558" w:rsidRDefault="00824558">
            <w:pPr>
              <w:cnfStyle w:val="000000000000" w:firstRow="0" w:lastRow="0" w:firstColumn="0" w:lastColumn="0" w:oddVBand="0" w:evenVBand="0" w:oddHBand="0" w:evenHBand="0" w:firstRowFirstColumn="0" w:firstRowLastColumn="0" w:lastRowFirstColumn="0" w:lastRowLastColumn="0"/>
            </w:pPr>
            <w:r>
              <w:t>101 196</w:t>
            </w:r>
          </w:p>
        </w:tc>
        <w:tc>
          <w:tcPr>
            <w:tcW w:w="964" w:type="dxa"/>
          </w:tcPr>
          <w:p w14:paraId="1909C972" w14:textId="77777777" w:rsidR="00824558" w:rsidRDefault="00824558">
            <w:pPr>
              <w:cnfStyle w:val="000000000000" w:firstRow="0" w:lastRow="0" w:firstColumn="0" w:lastColumn="0" w:oddVBand="0" w:evenVBand="0" w:oddHBand="0" w:evenHBand="0" w:firstRowFirstColumn="0" w:firstRowLastColumn="0" w:lastRowFirstColumn="0" w:lastRowLastColumn="0"/>
            </w:pPr>
            <w:r>
              <w:t>108 081</w:t>
            </w:r>
          </w:p>
        </w:tc>
        <w:tc>
          <w:tcPr>
            <w:tcW w:w="964" w:type="dxa"/>
          </w:tcPr>
          <w:p w14:paraId="2781E305" w14:textId="77777777" w:rsidR="00824558" w:rsidRDefault="00824558">
            <w:pPr>
              <w:cnfStyle w:val="000000000000" w:firstRow="0" w:lastRow="0" w:firstColumn="0" w:lastColumn="0" w:oddVBand="0" w:evenVBand="0" w:oddHBand="0" w:evenHBand="0" w:firstRowFirstColumn="0" w:firstRowLastColumn="0" w:lastRowFirstColumn="0" w:lastRowLastColumn="0"/>
            </w:pPr>
            <w:r>
              <w:t>106 429</w:t>
            </w:r>
          </w:p>
        </w:tc>
      </w:tr>
      <w:tr w:rsidR="00824558" w14:paraId="098CBA3D"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6D2E0F" w14:textId="0B34EA4E" w:rsidR="00824558" w:rsidRDefault="00824558">
            <w:pPr>
              <w:ind w:left="170"/>
            </w:pPr>
            <w:r>
              <w:rPr>
                <w:i/>
              </w:rPr>
              <w:t>The 2025-26 expected outcome is lower than the 2025-26 target due to a smaller</w:t>
            </w:r>
            <w:r w:rsidR="003D1323">
              <w:rPr>
                <w:i/>
              </w:rPr>
              <w:t xml:space="preserve"> </w:t>
            </w:r>
            <w:r>
              <w:rPr>
                <w:i/>
              </w:rPr>
              <w:t>than</w:t>
            </w:r>
            <w:r w:rsidR="003D1323">
              <w:rPr>
                <w:i/>
              </w:rPr>
              <w:t xml:space="preserve"> </w:t>
            </w:r>
            <w:r>
              <w:rPr>
                <w:i/>
              </w:rPr>
              <w:t>anticipated increase in reported family violence incidents.</w:t>
            </w:r>
          </w:p>
        </w:tc>
      </w:tr>
      <w:tr w:rsidR="00824558" w14:paraId="31403516"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76D15FE4" w14:textId="0233149E" w:rsidR="00824558" w:rsidRDefault="00824558">
            <w:pPr>
              <w:keepNext/>
              <w:ind w:left="170"/>
            </w:pPr>
            <w:r>
              <w:t>Number of impounded/surrendered vehicles related to high</w:t>
            </w:r>
            <w:r w:rsidR="00755FAA">
              <w:t>-</w:t>
            </w:r>
            <w:r>
              <w:t>risk driving behaviours or other traffic offences</w:t>
            </w:r>
          </w:p>
        </w:tc>
        <w:tc>
          <w:tcPr>
            <w:tcW w:w="964" w:type="dxa"/>
          </w:tcPr>
          <w:p w14:paraId="5958B4B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B190F12" w14:textId="77777777" w:rsidR="00824558" w:rsidRDefault="00824558">
            <w:pPr>
              <w:cnfStyle w:val="000000000000" w:firstRow="0" w:lastRow="0" w:firstColumn="0" w:lastColumn="0" w:oddVBand="0" w:evenVBand="0" w:oddHBand="0" w:evenHBand="0" w:firstRowFirstColumn="0" w:firstRowLastColumn="0" w:lastRowFirstColumn="0" w:lastRowLastColumn="0"/>
            </w:pPr>
            <w:r>
              <w:t>14 628</w:t>
            </w:r>
          </w:p>
        </w:tc>
        <w:tc>
          <w:tcPr>
            <w:tcW w:w="964" w:type="dxa"/>
          </w:tcPr>
          <w:p w14:paraId="4B63E96C" w14:textId="77777777" w:rsidR="00824558" w:rsidRDefault="00824558">
            <w:pPr>
              <w:cnfStyle w:val="000000000000" w:firstRow="0" w:lastRow="0" w:firstColumn="0" w:lastColumn="0" w:oddVBand="0" w:evenVBand="0" w:oddHBand="0" w:evenHBand="0" w:firstRowFirstColumn="0" w:firstRowLastColumn="0" w:lastRowFirstColumn="0" w:lastRowLastColumn="0"/>
            </w:pPr>
            <w:r>
              <w:t>12 469</w:t>
            </w:r>
          </w:p>
        </w:tc>
        <w:tc>
          <w:tcPr>
            <w:tcW w:w="964" w:type="dxa"/>
          </w:tcPr>
          <w:p w14:paraId="52FEC3CD" w14:textId="77777777" w:rsidR="00824558" w:rsidRDefault="00824558">
            <w:pPr>
              <w:cnfStyle w:val="000000000000" w:firstRow="0" w:lastRow="0" w:firstColumn="0" w:lastColumn="0" w:oddVBand="0" w:evenVBand="0" w:oddHBand="0" w:evenHBand="0" w:firstRowFirstColumn="0" w:firstRowLastColumn="0" w:lastRowFirstColumn="0" w:lastRowLastColumn="0"/>
            </w:pPr>
            <w:r>
              <w:t>14 628</w:t>
            </w:r>
          </w:p>
        </w:tc>
        <w:tc>
          <w:tcPr>
            <w:tcW w:w="964" w:type="dxa"/>
          </w:tcPr>
          <w:p w14:paraId="12AA7B13" w14:textId="77777777" w:rsidR="00824558" w:rsidRDefault="00824558">
            <w:pPr>
              <w:cnfStyle w:val="000000000000" w:firstRow="0" w:lastRow="0" w:firstColumn="0" w:lastColumn="0" w:oddVBand="0" w:evenVBand="0" w:oddHBand="0" w:evenHBand="0" w:firstRowFirstColumn="0" w:firstRowLastColumn="0" w:lastRowFirstColumn="0" w:lastRowLastColumn="0"/>
            </w:pPr>
            <w:r>
              <w:t>11 653</w:t>
            </w:r>
          </w:p>
        </w:tc>
      </w:tr>
      <w:tr w:rsidR="00824558" w14:paraId="705E0A37"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74154C7" w14:textId="77777777" w:rsidR="00824558" w:rsidRDefault="00824558">
            <w:pPr>
              <w:ind w:left="170"/>
            </w:pPr>
            <w:r>
              <w:rPr>
                <w:i/>
              </w:rPr>
              <w:t>The 2025-26 expected outcome is lower than the 2025-26 target due to temporary impacts to service delivery.</w:t>
            </w:r>
          </w:p>
        </w:tc>
      </w:tr>
      <w:tr w:rsidR="00824558" w14:paraId="4888D31B"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62BADB76" w14:textId="77777777" w:rsidR="00824558" w:rsidRDefault="00824558">
            <w:pPr>
              <w:keepNext/>
              <w:ind w:left="170"/>
            </w:pPr>
            <w:r>
              <w:t>Number of prohibited drug screening tests conducted</w:t>
            </w:r>
          </w:p>
        </w:tc>
        <w:tc>
          <w:tcPr>
            <w:tcW w:w="964" w:type="dxa"/>
          </w:tcPr>
          <w:p w14:paraId="358224E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CCE35AA" w14:textId="7FF11FEA" w:rsidR="00824558" w:rsidRDefault="00824558">
            <w:pPr>
              <w:cnfStyle w:val="000000000000" w:firstRow="0" w:lastRow="0" w:firstColumn="0" w:lastColumn="0" w:oddVBand="0" w:evenVBand="0" w:oddHBand="0" w:evenHBand="0" w:firstRowFirstColumn="0" w:firstRowLastColumn="0" w:lastRowFirstColumn="0" w:lastRowLastColumn="0"/>
            </w:pPr>
            <w:r>
              <w:t>1</w:t>
            </w:r>
            <w:r w:rsidR="00F40C75">
              <w:t>7</w:t>
            </w:r>
            <w:r>
              <w:t>5 000</w:t>
            </w:r>
          </w:p>
        </w:tc>
        <w:tc>
          <w:tcPr>
            <w:tcW w:w="964" w:type="dxa"/>
          </w:tcPr>
          <w:p w14:paraId="6DED97BE" w14:textId="77777777" w:rsidR="00824558" w:rsidRDefault="00824558">
            <w:pPr>
              <w:cnfStyle w:val="000000000000" w:firstRow="0" w:lastRow="0" w:firstColumn="0" w:lastColumn="0" w:oddVBand="0" w:evenVBand="0" w:oddHBand="0" w:evenHBand="0" w:firstRowFirstColumn="0" w:firstRowLastColumn="0" w:lastRowFirstColumn="0" w:lastRowLastColumn="0"/>
            </w:pPr>
            <w:r>
              <w:t>175 000</w:t>
            </w:r>
          </w:p>
        </w:tc>
        <w:tc>
          <w:tcPr>
            <w:tcW w:w="964" w:type="dxa"/>
          </w:tcPr>
          <w:p w14:paraId="4EE33DD2" w14:textId="77777777" w:rsidR="00824558" w:rsidRDefault="00824558">
            <w:pPr>
              <w:cnfStyle w:val="000000000000" w:firstRow="0" w:lastRow="0" w:firstColumn="0" w:lastColumn="0" w:oddVBand="0" w:evenVBand="0" w:oddHBand="0" w:evenHBand="0" w:firstRowFirstColumn="0" w:firstRowLastColumn="0" w:lastRowFirstColumn="0" w:lastRowLastColumn="0"/>
            </w:pPr>
            <w:r>
              <w:t>150 000</w:t>
            </w:r>
          </w:p>
        </w:tc>
        <w:tc>
          <w:tcPr>
            <w:tcW w:w="964" w:type="dxa"/>
          </w:tcPr>
          <w:p w14:paraId="7EC78D68" w14:textId="77777777" w:rsidR="00824558" w:rsidRDefault="00824558">
            <w:pPr>
              <w:cnfStyle w:val="000000000000" w:firstRow="0" w:lastRow="0" w:firstColumn="0" w:lastColumn="0" w:oddVBand="0" w:evenVBand="0" w:oddHBand="0" w:evenHBand="0" w:firstRowFirstColumn="0" w:firstRowLastColumn="0" w:lastRowFirstColumn="0" w:lastRowLastColumn="0"/>
            </w:pPr>
            <w:r>
              <w:t>169 070</w:t>
            </w:r>
          </w:p>
        </w:tc>
      </w:tr>
      <w:tr w:rsidR="00824558" w14:paraId="55399C76"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DD50E6" w14:textId="77777777" w:rsidR="00824558" w:rsidRDefault="00824558">
            <w:pPr>
              <w:ind w:left="170"/>
              <w:rPr>
                <w:i/>
                <w:iCs/>
              </w:rPr>
            </w:pPr>
            <w:r>
              <w:rPr>
                <w:i/>
              </w:rPr>
              <w:t xml:space="preserve">The 2025-26 expected outcome is higher than the 2025-26 target due </w:t>
            </w:r>
            <w:r w:rsidRPr="00F11157">
              <w:rPr>
                <w:i/>
              </w:rPr>
              <w:t xml:space="preserve">to </w:t>
            </w:r>
            <w:r w:rsidRPr="00F11157">
              <w:rPr>
                <w:i/>
                <w:iCs/>
              </w:rPr>
              <w:t>an expanded roadside drug testing capacity.</w:t>
            </w:r>
          </w:p>
          <w:p w14:paraId="44178441" w14:textId="1635B0CC" w:rsidR="00824558" w:rsidRDefault="00F40C75">
            <w:pPr>
              <w:ind w:left="170"/>
            </w:pPr>
            <w:r>
              <w:rPr>
                <w:i/>
                <w:iCs/>
              </w:rPr>
              <w:t>The 2026-27</w:t>
            </w:r>
            <w:r w:rsidR="000535C9">
              <w:rPr>
                <w:i/>
                <w:iCs/>
              </w:rPr>
              <w:t xml:space="preserve"> target reflects </w:t>
            </w:r>
            <w:r w:rsidR="00124C8A">
              <w:rPr>
                <w:i/>
                <w:iCs/>
              </w:rPr>
              <w:t xml:space="preserve">funding to deliver an additional </w:t>
            </w:r>
            <w:r w:rsidR="00217B2A">
              <w:rPr>
                <w:i/>
                <w:iCs/>
              </w:rPr>
              <w:t>25,000 roadside drug tests each year.</w:t>
            </w:r>
          </w:p>
        </w:tc>
      </w:tr>
      <w:tr w:rsidR="00824558" w14:paraId="7697BF77"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1E343575" w14:textId="77777777" w:rsidR="00824558" w:rsidRDefault="00824558">
            <w:pPr>
              <w:keepNext/>
              <w:ind w:left="170"/>
            </w:pPr>
            <w:r>
              <w:t>Number of youth referrals</w:t>
            </w:r>
          </w:p>
        </w:tc>
        <w:tc>
          <w:tcPr>
            <w:tcW w:w="964" w:type="dxa"/>
          </w:tcPr>
          <w:p w14:paraId="53F3942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286B2E5" w14:textId="60624C44" w:rsidR="00824558" w:rsidRDefault="00824558">
            <w:pPr>
              <w:cnfStyle w:val="000000000000" w:firstRow="0" w:lastRow="0" w:firstColumn="0" w:lastColumn="0" w:oddVBand="0" w:evenVBand="0" w:oddHBand="0" w:evenHBand="0" w:firstRowFirstColumn="0" w:firstRowLastColumn="0" w:lastRowFirstColumn="0" w:lastRowLastColumn="0"/>
            </w:pPr>
            <w:r>
              <w:t xml:space="preserve">3 </w:t>
            </w:r>
            <w:r w:rsidR="006D1F99">
              <w:t>260</w:t>
            </w:r>
          </w:p>
        </w:tc>
        <w:tc>
          <w:tcPr>
            <w:tcW w:w="964" w:type="dxa"/>
          </w:tcPr>
          <w:p w14:paraId="4489CD2A" w14:textId="77777777" w:rsidR="00824558" w:rsidRDefault="00824558">
            <w:pPr>
              <w:cnfStyle w:val="000000000000" w:firstRow="0" w:lastRow="0" w:firstColumn="0" w:lastColumn="0" w:oddVBand="0" w:evenVBand="0" w:oddHBand="0" w:evenHBand="0" w:firstRowFirstColumn="0" w:firstRowLastColumn="0" w:lastRowFirstColumn="0" w:lastRowLastColumn="0"/>
            </w:pPr>
            <w:r>
              <w:t>3 836</w:t>
            </w:r>
          </w:p>
        </w:tc>
        <w:tc>
          <w:tcPr>
            <w:tcW w:w="964" w:type="dxa"/>
          </w:tcPr>
          <w:p w14:paraId="75909328" w14:textId="5D37746C" w:rsidR="00824558" w:rsidRDefault="00824558">
            <w:pPr>
              <w:cnfStyle w:val="000000000000" w:firstRow="0" w:lastRow="0" w:firstColumn="0" w:lastColumn="0" w:oddVBand="0" w:evenVBand="0" w:oddHBand="0" w:evenHBand="0" w:firstRowFirstColumn="0" w:firstRowLastColumn="0" w:lastRowFirstColumn="0" w:lastRowLastColumn="0"/>
            </w:pPr>
            <w:r>
              <w:t>3 260</w:t>
            </w:r>
          </w:p>
        </w:tc>
        <w:tc>
          <w:tcPr>
            <w:tcW w:w="964" w:type="dxa"/>
          </w:tcPr>
          <w:p w14:paraId="466A49A3" w14:textId="77777777" w:rsidR="00824558" w:rsidRDefault="00824558">
            <w:pPr>
              <w:cnfStyle w:val="000000000000" w:firstRow="0" w:lastRow="0" w:firstColumn="0" w:lastColumn="0" w:oddVBand="0" w:evenVBand="0" w:oddHBand="0" w:evenHBand="0" w:firstRowFirstColumn="0" w:firstRowLastColumn="0" w:lastRowFirstColumn="0" w:lastRowLastColumn="0"/>
            </w:pPr>
            <w:r>
              <w:t>3 381</w:t>
            </w:r>
          </w:p>
        </w:tc>
      </w:tr>
      <w:tr w:rsidR="00824558" w14:paraId="2AE69C63"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991C7C" w14:textId="77777777" w:rsidR="00824558" w:rsidRDefault="00824558">
            <w:pPr>
              <w:ind w:left="170"/>
            </w:pPr>
            <w:r>
              <w:rPr>
                <w:i/>
              </w:rPr>
              <w:t xml:space="preserve">The 2025-26 expected outcome is higher than the 2025-26 target due </w:t>
            </w:r>
            <w:r w:rsidRPr="00551A30">
              <w:rPr>
                <w:i/>
              </w:rPr>
              <w:t xml:space="preserve">to </w:t>
            </w:r>
            <w:r w:rsidRPr="00551A30">
              <w:rPr>
                <w:i/>
                <w:iCs/>
              </w:rPr>
              <w:t>increased awareness and utilisation of referrals, including through youth-focused diversionary projects by Victoria Police.</w:t>
            </w:r>
          </w:p>
        </w:tc>
      </w:tr>
      <w:tr w:rsidR="00824558" w14:paraId="39014902"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0A458C" w14:textId="77777777" w:rsidR="00824558" w:rsidRDefault="00824558">
            <w:pPr>
              <w:ind w:left="170"/>
            </w:pPr>
            <w:r>
              <w:t>Police record checks and police information reports compiled</w:t>
            </w:r>
          </w:p>
        </w:tc>
        <w:tc>
          <w:tcPr>
            <w:tcW w:w="964" w:type="dxa"/>
            <w:tcBorders>
              <w:bottom w:val="single" w:sz="6" w:space="0" w:color="auto"/>
            </w:tcBorders>
          </w:tcPr>
          <w:p w14:paraId="611B05E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4BEDE29" w14:textId="77777777" w:rsidR="00824558" w:rsidRDefault="00824558">
            <w:pPr>
              <w:cnfStyle w:val="000000000000" w:firstRow="0" w:lastRow="0" w:firstColumn="0" w:lastColumn="0" w:oddVBand="0" w:evenVBand="0" w:oddHBand="0" w:evenHBand="0" w:firstRowFirstColumn="0" w:firstRowLastColumn="0" w:lastRowFirstColumn="0" w:lastRowLastColumn="0"/>
            </w:pPr>
            <w:r>
              <w:t>975 000</w:t>
            </w:r>
          </w:p>
        </w:tc>
        <w:tc>
          <w:tcPr>
            <w:tcW w:w="964" w:type="dxa"/>
            <w:tcBorders>
              <w:bottom w:val="single" w:sz="6" w:space="0" w:color="auto"/>
            </w:tcBorders>
          </w:tcPr>
          <w:p w14:paraId="095DCA47" w14:textId="77777777" w:rsidR="00824558" w:rsidRDefault="00824558">
            <w:pPr>
              <w:cnfStyle w:val="000000000000" w:firstRow="0" w:lastRow="0" w:firstColumn="0" w:lastColumn="0" w:oddVBand="0" w:evenVBand="0" w:oddHBand="0" w:evenHBand="0" w:firstRowFirstColumn="0" w:firstRowLastColumn="0" w:lastRowFirstColumn="0" w:lastRowLastColumn="0"/>
            </w:pPr>
            <w:r>
              <w:t>945 000</w:t>
            </w:r>
          </w:p>
        </w:tc>
        <w:tc>
          <w:tcPr>
            <w:tcW w:w="964" w:type="dxa"/>
            <w:tcBorders>
              <w:bottom w:val="single" w:sz="6" w:space="0" w:color="auto"/>
            </w:tcBorders>
          </w:tcPr>
          <w:p w14:paraId="6E25B12D" w14:textId="77777777" w:rsidR="00824558" w:rsidRDefault="00824558">
            <w:pPr>
              <w:cnfStyle w:val="000000000000" w:firstRow="0" w:lastRow="0" w:firstColumn="0" w:lastColumn="0" w:oddVBand="0" w:evenVBand="0" w:oddHBand="0" w:evenHBand="0" w:firstRowFirstColumn="0" w:firstRowLastColumn="0" w:lastRowFirstColumn="0" w:lastRowLastColumn="0"/>
            </w:pPr>
            <w:r>
              <w:t>975 000</w:t>
            </w:r>
          </w:p>
        </w:tc>
        <w:tc>
          <w:tcPr>
            <w:tcW w:w="964" w:type="dxa"/>
            <w:tcBorders>
              <w:bottom w:val="single" w:sz="6" w:space="0" w:color="auto"/>
            </w:tcBorders>
          </w:tcPr>
          <w:p w14:paraId="370AEBB5" w14:textId="77777777" w:rsidR="00824558" w:rsidRDefault="00824558">
            <w:pPr>
              <w:cnfStyle w:val="000000000000" w:firstRow="0" w:lastRow="0" w:firstColumn="0" w:lastColumn="0" w:oddVBand="0" w:evenVBand="0" w:oddHBand="0" w:evenHBand="0" w:firstRowFirstColumn="0" w:firstRowLastColumn="0" w:lastRowFirstColumn="0" w:lastRowLastColumn="0"/>
            </w:pPr>
            <w:r>
              <w:t>928 771</w:t>
            </w:r>
          </w:p>
        </w:tc>
      </w:tr>
      <w:tr w:rsidR="00824558" w:rsidRPr="00712860" w14:paraId="0E7D4AF7"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Pr>
          <w:p w14:paraId="015AABCB" w14:textId="77777777" w:rsidR="00824558" w:rsidRPr="00712860" w:rsidRDefault="00824558">
            <w:pPr>
              <w:keepNext/>
              <w:rPr>
                <w:b/>
                <w:bCs/>
                <w:iCs/>
              </w:rPr>
            </w:pPr>
            <w:r w:rsidRPr="00712860">
              <w:rPr>
                <w:b/>
                <w:bCs/>
                <w:iCs/>
              </w:rPr>
              <w:lastRenderedPageBreak/>
              <w:t>Quality</w:t>
            </w:r>
          </w:p>
        </w:tc>
      </w:tr>
      <w:tr w:rsidR="00824558" w14:paraId="3CE1657B"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77B18C64" w14:textId="66596045" w:rsidR="00824558" w:rsidRDefault="00824558">
            <w:pPr>
              <w:keepNext/>
              <w:ind w:left="170"/>
            </w:pPr>
            <w:r>
              <w:t>Perceptions of safety</w:t>
            </w:r>
            <w:r w:rsidR="007942D1">
              <w:t xml:space="preserve"> – </w:t>
            </w:r>
            <w:r>
              <w:t>walking locally at night</w:t>
            </w:r>
          </w:p>
        </w:tc>
        <w:tc>
          <w:tcPr>
            <w:tcW w:w="964" w:type="dxa"/>
          </w:tcPr>
          <w:p w14:paraId="7163D9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E9D7972"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1A48DD10" w14:textId="77777777" w:rsidR="00824558" w:rsidRDefault="00824558">
            <w:pPr>
              <w:cnfStyle w:val="000000000000" w:firstRow="0" w:lastRow="0" w:firstColumn="0" w:lastColumn="0" w:oddVBand="0" w:evenVBand="0" w:oddHBand="0" w:evenHBand="0" w:firstRowFirstColumn="0" w:firstRowLastColumn="0" w:lastRowFirstColumn="0" w:lastRowLastColumn="0"/>
            </w:pPr>
            <w:r>
              <w:t>43</w:t>
            </w:r>
          </w:p>
        </w:tc>
        <w:tc>
          <w:tcPr>
            <w:tcW w:w="964" w:type="dxa"/>
          </w:tcPr>
          <w:p w14:paraId="78556FB3"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00AB0B69" w14:textId="77777777" w:rsidR="00824558" w:rsidRDefault="00824558">
            <w:pPr>
              <w:cnfStyle w:val="000000000000" w:firstRow="0" w:lastRow="0" w:firstColumn="0" w:lastColumn="0" w:oddVBand="0" w:evenVBand="0" w:oddHBand="0" w:evenHBand="0" w:firstRowFirstColumn="0" w:firstRowLastColumn="0" w:lastRowFirstColumn="0" w:lastRowLastColumn="0"/>
            </w:pPr>
            <w:r>
              <w:t>44.3</w:t>
            </w:r>
          </w:p>
        </w:tc>
      </w:tr>
      <w:tr w:rsidR="00824558" w14:paraId="27925F85"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FEEB37" w14:textId="77777777" w:rsidR="00824558" w:rsidRDefault="00824558">
            <w:pPr>
              <w:ind w:left="170"/>
            </w:pPr>
            <w:r>
              <w:rPr>
                <w:i/>
              </w:rPr>
              <w:t xml:space="preserve">The 2025-26 expected outcome is lower than the 2025-26 target due to a change in the data collection methodology for the National Survey of Community Satisfaction in Policing (NSCSP), constituting a break in the data series. </w:t>
            </w:r>
          </w:p>
        </w:tc>
      </w:tr>
      <w:tr w:rsidR="00824558" w14:paraId="2693A78D"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3567302F" w14:textId="7EC6CA9C" w:rsidR="00824558" w:rsidRDefault="00824558">
            <w:pPr>
              <w:keepNext/>
              <w:ind w:left="170"/>
            </w:pPr>
            <w:r>
              <w:t xml:space="preserve">Proportion of community satisfied with policing services </w:t>
            </w:r>
            <w:r w:rsidR="00DE4970">
              <w:br/>
            </w:r>
            <w:r>
              <w:t>(general satisfaction)</w:t>
            </w:r>
          </w:p>
        </w:tc>
        <w:tc>
          <w:tcPr>
            <w:tcW w:w="964" w:type="dxa"/>
          </w:tcPr>
          <w:p w14:paraId="52B03DC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E3E2EA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2902A63"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FB6E58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68FD2B8" w14:textId="77777777" w:rsidR="00824558" w:rsidRDefault="00824558">
            <w:pPr>
              <w:cnfStyle w:val="000000000000" w:firstRow="0" w:lastRow="0" w:firstColumn="0" w:lastColumn="0" w:oddVBand="0" w:evenVBand="0" w:oddHBand="0" w:evenHBand="0" w:firstRowFirstColumn="0" w:firstRowLastColumn="0" w:lastRowFirstColumn="0" w:lastRowLastColumn="0"/>
            </w:pPr>
            <w:r>
              <w:t>52.3</w:t>
            </w:r>
          </w:p>
        </w:tc>
      </w:tr>
      <w:tr w:rsidR="00824558" w14:paraId="61AFA15C"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8F8360" w14:textId="77777777" w:rsidR="00824558" w:rsidRDefault="00824558">
            <w:pPr>
              <w:ind w:left="170"/>
            </w:pPr>
            <w:r>
              <w:rPr>
                <w:i/>
              </w:rPr>
              <w:t xml:space="preserve">The 2025-26 expected outcome is lower than the 2025-26 target due to a change in the data collection methodology for the National Survey of Community Satisfaction in Policing (NSCSP), constituting a break in the data series. </w:t>
            </w:r>
          </w:p>
        </w:tc>
      </w:tr>
      <w:tr w:rsidR="00824558" w14:paraId="410C1818"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9CE3C10" w14:textId="77777777" w:rsidR="00824558" w:rsidRDefault="00824558">
            <w:pPr>
              <w:ind w:left="170"/>
            </w:pPr>
            <w:r>
              <w:t>Proportion of drivers tested by road safety cameras who comply with posted speed limits</w:t>
            </w:r>
          </w:p>
        </w:tc>
        <w:tc>
          <w:tcPr>
            <w:tcW w:w="964" w:type="dxa"/>
            <w:tcBorders>
              <w:bottom w:val="single" w:sz="6" w:space="0" w:color="auto"/>
            </w:tcBorders>
          </w:tcPr>
          <w:p w14:paraId="67E2EC0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785CDEB" w14:textId="77777777" w:rsidR="00824558" w:rsidRDefault="00824558">
            <w:pPr>
              <w:cnfStyle w:val="000000000000" w:firstRow="0" w:lastRow="0" w:firstColumn="0" w:lastColumn="0" w:oddVBand="0" w:evenVBand="0" w:oddHBand="0" w:evenHBand="0" w:firstRowFirstColumn="0" w:firstRowLastColumn="0" w:lastRowFirstColumn="0" w:lastRowLastColumn="0"/>
            </w:pPr>
            <w:r>
              <w:t>99.5</w:t>
            </w:r>
          </w:p>
        </w:tc>
        <w:tc>
          <w:tcPr>
            <w:tcW w:w="964" w:type="dxa"/>
            <w:tcBorders>
              <w:bottom w:val="single" w:sz="6" w:space="0" w:color="auto"/>
            </w:tcBorders>
          </w:tcPr>
          <w:p w14:paraId="33397023" w14:textId="77777777" w:rsidR="00824558" w:rsidRDefault="00824558">
            <w:pPr>
              <w:cnfStyle w:val="000000000000" w:firstRow="0" w:lastRow="0" w:firstColumn="0" w:lastColumn="0" w:oddVBand="0" w:evenVBand="0" w:oddHBand="0" w:evenHBand="0" w:firstRowFirstColumn="0" w:firstRowLastColumn="0" w:lastRowFirstColumn="0" w:lastRowLastColumn="0"/>
            </w:pPr>
            <w:r>
              <w:t>99.5</w:t>
            </w:r>
          </w:p>
        </w:tc>
        <w:tc>
          <w:tcPr>
            <w:tcW w:w="964" w:type="dxa"/>
            <w:tcBorders>
              <w:bottom w:val="single" w:sz="6" w:space="0" w:color="auto"/>
            </w:tcBorders>
          </w:tcPr>
          <w:p w14:paraId="3D8FB84B" w14:textId="77777777" w:rsidR="00824558" w:rsidRDefault="00824558">
            <w:pPr>
              <w:cnfStyle w:val="000000000000" w:firstRow="0" w:lastRow="0" w:firstColumn="0" w:lastColumn="0" w:oddVBand="0" w:evenVBand="0" w:oddHBand="0" w:evenHBand="0" w:firstRowFirstColumn="0" w:firstRowLastColumn="0" w:lastRowFirstColumn="0" w:lastRowLastColumn="0"/>
            </w:pPr>
            <w:r>
              <w:t>99.5</w:t>
            </w:r>
          </w:p>
        </w:tc>
        <w:tc>
          <w:tcPr>
            <w:tcW w:w="964" w:type="dxa"/>
            <w:tcBorders>
              <w:bottom w:val="single" w:sz="6" w:space="0" w:color="auto"/>
            </w:tcBorders>
          </w:tcPr>
          <w:p w14:paraId="4D9DFD52" w14:textId="77777777" w:rsidR="00824558" w:rsidRDefault="00824558">
            <w:pPr>
              <w:cnfStyle w:val="000000000000" w:firstRow="0" w:lastRow="0" w:firstColumn="0" w:lastColumn="0" w:oddVBand="0" w:evenVBand="0" w:oddHBand="0" w:evenHBand="0" w:firstRowFirstColumn="0" w:firstRowLastColumn="0" w:lastRowFirstColumn="0" w:lastRowLastColumn="0"/>
            </w:pPr>
            <w:r>
              <w:t>99.8</w:t>
            </w:r>
          </w:p>
        </w:tc>
      </w:tr>
      <w:tr w:rsidR="00824558" w14:paraId="5DB13ED9"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8051A61" w14:textId="77777777" w:rsidR="00824558" w:rsidRDefault="00824558">
            <w:pPr>
              <w:ind w:left="170"/>
            </w:pPr>
            <w:r>
              <w:t>Proportion of Family Incident Report affected family members receiving referrals</w:t>
            </w:r>
          </w:p>
        </w:tc>
        <w:tc>
          <w:tcPr>
            <w:tcW w:w="964" w:type="dxa"/>
            <w:tcBorders>
              <w:bottom w:val="single" w:sz="6" w:space="0" w:color="auto"/>
            </w:tcBorders>
          </w:tcPr>
          <w:p w14:paraId="46D19D8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29631C4"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c>
          <w:tcPr>
            <w:tcW w:w="964" w:type="dxa"/>
            <w:tcBorders>
              <w:bottom w:val="single" w:sz="6" w:space="0" w:color="auto"/>
            </w:tcBorders>
          </w:tcPr>
          <w:p w14:paraId="07001C99"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c>
          <w:tcPr>
            <w:tcW w:w="964" w:type="dxa"/>
            <w:tcBorders>
              <w:bottom w:val="single" w:sz="6" w:space="0" w:color="auto"/>
            </w:tcBorders>
          </w:tcPr>
          <w:p w14:paraId="2A55DEBE"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c>
          <w:tcPr>
            <w:tcW w:w="964" w:type="dxa"/>
            <w:tcBorders>
              <w:bottom w:val="single" w:sz="6" w:space="0" w:color="auto"/>
            </w:tcBorders>
          </w:tcPr>
          <w:p w14:paraId="3B4EEB9A" w14:textId="77777777" w:rsidR="00824558" w:rsidRDefault="00824558">
            <w:pPr>
              <w:cnfStyle w:val="000000000000" w:firstRow="0" w:lastRow="0" w:firstColumn="0" w:lastColumn="0" w:oddVBand="0" w:evenVBand="0" w:oddHBand="0" w:evenHBand="0" w:firstRowFirstColumn="0" w:firstRowLastColumn="0" w:lastRowFirstColumn="0" w:lastRowLastColumn="0"/>
            </w:pPr>
            <w:r>
              <w:t>87.6</w:t>
            </w:r>
          </w:p>
        </w:tc>
      </w:tr>
      <w:tr w:rsidR="00824558" w14:paraId="2F7A6838" w14:textId="77777777" w:rsidTr="00FC3D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C4E4BE" w14:textId="77777777" w:rsidR="00824558" w:rsidRDefault="00824558">
            <w:pPr>
              <w:ind w:left="170"/>
            </w:pPr>
            <w:r>
              <w:t>Proportion of successful prosecution outcomes</w:t>
            </w:r>
          </w:p>
        </w:tc>
        <w:tc>
          <w:tcPr>
            <w:tcW w:w="964" w:type="dxa"/>
            <w:tcBorders>
              <w:bottom w:val="single" w:sz="6" w:space="0" w:color="auto"/>
            </w:tcBorders>
          </w:tcPr>
          <w:p w14:paraId="63884C0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ED97DE2"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78BF4308"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5C7B7487"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07324B2B" w14:textId="77777777" w:rsidR="00824558" w:rsidRDefault="00824558">
            <w:pPr>
              <w:cnfStyle w:val="000000000000" w:firstRow="0" w:lastRow="0" w:firstColumn="0" w:lastColumn="0" w:oddVBand="0" w:evenVBand="0" w:oddHBand="0" w:evenHBand="0" w:firstRowFirstColumn="0" w:firstRowLastColumn="0" w:lastRowFirstColumn="0" w:lastRowLastColumn="0"/>
            </w:pPr>
            <w:r>
              <w:t>92.5</w:t>
            </w:r>
          </w:p>
        </w:tc>
      </w:tr>
      <w:tr w:rsidR="00824558" w14:paraId="31BF2119"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05FCFDA5" w14:textId="2B57B863" w:rsidR="00824558" w:rsidRDefault="00824558">
            <w:pPr>
              <w:keepNext/>
              <w:ind w:left="170"/>
            </w:pPr>
            <w:r>
              <w:t xml:space="preserve">Proportion of the community who have confidence in police </w:t>
            </w:r>
            <w:r w:rsidR="00DE4970">
              <w:br/>
            </w:r>
            <w:r>
              <w:t>(an integrity indicator)</w:t>
            </w:r>
          </w:p>
        </w:tc>
        <w:tc>
          <w:tcPr>
            <w:tcW w:w="964" w:type="dxa"/>
          </w:tcPr>
          <w:p w14:paraId="559B597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3C4F33E"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c>
          <w:tcPr>
            <w:tcW w:w="964" w:type="dxa"/>
          </w:tcPr>
          <w:p w14:paraId="75B45B66"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23235C01"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c>
          <w:tcPr>
            <w:tcW w:w="964" w:type="dxa"/>
          </w:tcPr>
          <w:p w14:paraId="1E8D6742" w14:textId="77777777" w:rsidR="00824558" w:rsidRDefault="00824558">
            <w:pPr>
              <w:cnfStyle w:val="000000000000" w:firstRow="0" w:lastRow="0" w:firstColumn="0" w:lastColumn="0" w:oddVBand="0" w:evenVBand="0" w:oddHBand="0" w:evenHBand="0" w:firstRowFirstColumn="0" w:firstRowLastColumn="0" w:lastRowFirstColumn="0" w:lastRowLastColumn="0"/>
            </w:pPr>
            <w:r>
              <w:t>58.8</w:t>
            </w:r>
          </w:p>
        </w:tc>
      </w:tr>
      <w:tr w:rsidR="00824558" w14:paraId="30A84B3C"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C6598EC" w14:textId="77777777" w:rsidR="00824558" w:rsidRDefault="00824558">
            <w:pPr>
              <w:ind w:left="170"/>
            </w:pPr>
            <w:r>
              <w:rPr>
                <w:i/>
              </w:rPr>
              <w:t xml:space="preserve">The 2025-26 expected outcome is lower than the 2025-26 target due to a change in the data collection methodology for the National Survey of Community Satisfaction in Policing (NSCSP), constituting a break in the data series. </w:t>
            </w:r>
          </w:p>
        </w:tc>
      </w:tr>
      <w:tr w:rsidR="00824558" w:rsidRPr="00712860" w14:paraId="16BA1153"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Pr>
          <w:p w14:paraId="435B0ACC" w14:textId="77777777" w:rsidR="00824558" w:rsidRPr="00712860" w:rsidRDefault="00824558">
            <w:pPr>
              <w:keepNext/>
              <w:rPr>
                <w:b/>
                <w:bCs/>
                <w:iCs/>
              </w:rPr>
            </w:pPr>
            <w:r w:rsidRPr="00712860">
              <w:rPr>
                <w:b/>
                <w:bCs/>
                <w:iCs/>
              </w:rPr>
              <w:t>Timeliness</w:t>
            </w:r>
          </w:p>
        </w:tc>
      </w:tr>
      <w:tr w:rsidR="00824558" w14:paraId="4504639E"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7B374F20" w14:textId="77777777" w:rsidR="00824558" w:rsidRDefault="00824558">
            <w:pPr>
              <w:keepNext/>
              <w:ind w:left="170"/>
            </w:pPr>
            <w:r>
              <w:t>Proportion of crimes against the person resolved within 30 days</w:t>
            </w:r>
          </w:p>
        </w:tc>
        <w:tc>
          <w:tcPr>
            <w:tcW w:w="964" w:type="dxa"/>
          </w:tcPr>
          <w:p w14:paraId="13E384C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A6872A0"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3402126F" w14:textId="77777777" w:rsidR="00824558" w:rsidRDefault="00824558">
            <w:pPr>
              <w:cnfStyle w:val="000000000000" w:firstRow="0" w:lastRow="0" w:firstColumn="0" w:lastColumn="0" w:oddVBand="0" w:evenVBand="0" w:oddHBand="0" w:evenHBand="0" w:firstRowFirstColumn="0" w:firstRowLastColumn="0" w:lastRowFirstColumn="0" w:lastRowLastColumn="0"/>
            </w:pPr>
            <w:r>
              <w:t>36</w:t>
            </w:r>
          </w:p>
        </w:tc>
        <w:tc>
          <w:tcPr>
            <w:tcW w:w="964" w:type="dxa"/>
          </w:tcPr>
          <w:p w14:paraId="4E89E98A"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1BD13C56" w14:textId="77777777" w:rsidR="00824558" w:rsidRDefault="00824558">
            <w:pPr>
              <w:cnfStyle w:val="000000000000" w:firstRow="0" w:lastRow="0" w:firstColumn="0" w:lastColumn="0" w:oddVBand="0" w:evenVBand="0" w:oddHBand="0" w:evenHBand="0" w:firstRowFirstColumn="0" w:firstRowLastColumn="0" w:lastRowFirstColumn="0" w:lastRowLastColumn="0"/>
            </w:pPr>
            <w:r>
              <w:t>35.9</w:t>
            </w:r>
          </w:p>
        </w:tc>
      </w:tr>
      <w:tr w:rsidR="00824558" w14:paraId="2DBCDE08"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46E7CF6" w14:textId="77777777" w:rsidR="00824558" w:rsidRDefault="00824558">
            <w:pPr>
              <w:ind w:left="170"/>
            </w:pPr>
            <w:r>
              <w:rPr>
                <w:i/>
              </w:rPr>
              <w:t>The 2025-26 expected outcome is lower than the 2025-26 target due to increases in overall crime rates.</w:t>
            </w:r>
          </w:p>
        </w:tc>
      </w:tr>
      <w:tr w:rsidR="00824558" w14:paraId="70ADFEA1"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419EABA1" w14:textId="77777777" w:rsidR="00824558" w:rsidRDefault="00824558">
            <w:pPr>
              <w:keepNext/>
              <w:ind w:left="170"/>
            </w:pPr>
            <w:r>
              <w:t>Proportion of property and deception offences resolved within 30 days</w:t>
            </w:r>
          </w:p>
        </w:tc>
        <w:tc>
          <w:tcPr>
            <w:tcW w:w="964" w:type="dxa"/>
          </w:tcPr>
          <w:p w14:paraId="7F2B07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0C59C3A"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28072E38"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Pr>
          <w:p w14:paraId="3684E952"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23F7B380" w14:textId="77777777" w:rsidR="00824558" w:rsidRDefault="00824558">
            <w:pPr>
              <w:cnfStyle w:val="000000000000" w:firstRow="0" w:lastRow="0" w:firstColumn="0" w:lastColumn="0" w:oddVBand="0" w:evenVBand="0" w:oddHBand="0" w:evenHBand="0" w:firstRowFirstColumn="0" w:firstRowLastColumn="0" w:lastRowFirstColumn="0" w:lastRowLastColumn="0"/>
            </w:pPr>
            <w:r>
              <w:t>18.5</w:t>
            </w:r>
          </w:p>
        </w:tc>
      </w:tr>
      <w:tr w:rsidR="00824558" w14:paraId="656495A3"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0E4B1E" w14:textId="77777777" w:rsidR="00824558" w:rsidRDefault="00824558">
            <w:pPr>
              <w:ind w:left="170"/>
            </w:pPr>
            <w:r>
              <w:rPr>
                <w:i/>
              </w:rPr>
              <w:t>The 2025-26 expected outcome is lower than the 2025-26 target due to increases in overall crime rates.</w:t>
            </w:r>
          </w:p>
        </w:tc>
      </w:tr>
      <w:tr w:rsidR="00824558" w:rsidRPr="00712860" w14:paraId="0D25A455" w14:textId="77777777" w:rsidTr="00FC3DD7">
        <w:tc>
          <w:tcPr>
            <w:cnfStyle w:val="001000000000" w:firstRow="0" w:lastRow="0" w:firstColumn="1" w:lastColumn="0" w:oddVBand="0" w:evenVBand="0" w:oddHBand="0" w:evenHBand="0" w:firstRowFirstColumn="0" w:firstRowLastColumn="0" w:lastRowFirstColumn="0" w:lastRowLastColumn="0"/>
            <w:tcW w:w="9639" w:type="dxa"/>
            <w:gridSpan w:val="6"/>
          </w:tcPr>
          <w:p w14:paraId="5ECD82F4" w14:textId="77777777" w:rsidR="00824558" w:rsidRPr="00712860" w:rsidRDefault="00824558">
            <w:pPr>
              <w:keepNext/>
              <w:rPr>
                <w:b/>
                <w:bCs/>
                <w:iCs/>
              </w:rPr>
            </w:pPr>
            <w:r w:rsidRPr="00712860">
              <w:rPr>
                <w:b/>
                <w:bCs/>
                <w:iCs/>
              </w:rPr>
              <w:t>Cost</w:t>
            </w:r>
          </w:p>
        </w:tc>
      </w:tr>
      <w:tr w:rsidR="00FC3DD7" w14:paraId="6CCA1E04" w14:textId="77777777" w:rsidTr="00FC3DD7">
        <w:tc>
          <w:tcPr>
            <w:cnfStyle w:val="001000000000" w:firstRow="0" w:lastRow="0" w:firstColumn="1" w:lastColumn="0" w:oddVBand="0" w:evenVBand="0" w:oddHBand="0" w:evenHBand="0" w:firstRowFirstColumn="0" w:firstRowLastColumn="0" w:lastRowFirstColumn="0" w:lastRowLastColumn="0"/>
            <w:tcW w:w="4819" w:type="dxa"/>
          </w:tcPr>
          <w:p w14:paraId="781E149C" w14:textId="77777777" w:rsidR="00FC3DD7" w:rsidRDefault="00FC3DD7" w:rsidP="00FC3DD7">
            <w:pPr>
              <w:ind w:left="170"/>
            </w:pPr>
            <w:r>
              <w:t>Total output cost</w:t>
            </w:r>
          </w:p>
        </w:tc>
        <w:tc>
          <w:tcPr>
            <w:tcW w:w="964" w:type="dxa"/>
          </w:tcPr>
          <w:p w14:paraId="3509ACAB" w14:textId="77777777" w:rsidR="00FC3DD7" w:rsidRDefault="00FC3DD7" w:rsidP="00FC3DD7">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F31E9AC" w14:textId="28820B85" w:rsidR="00FC3DD7" w:rsidRPr="00DE4970" w:rsidRDefault="00FC3DD7" w:rsidP="00FC3DD7">
            <w:pPr>
              <w:cnfStyle w:val="000000000000" w:firstRow="0" w:lastRow="0" w:firstColumn="0" w:lastColumn="0" w:oddVBand="0" w:evenVBand="0" w:oddHBand="0" w:evenHBand="0" w:firstRowFirstColumn="0" w:firstRowLastColumn="0" w:lastRowFirstColumn="0" w:lastRowLastColumn="0"/>
              <w:rPr>
                <w:highlight w:val="yellow"/>
              </w:rPr>
            </w:pPr>
            <w:r w:rsidRPr="00AF4773">
              <w:t>4</w:t>
            </w:r>
            <w:r>
              <w:t xml:space="preserve"> </w:t>
            </w:r>
            <w:r w:rsidRPr="00AF4773">
              <w:t>684.</w:t>
            </w:r>
            <w:r w:rsidR="002668C1">
              <w:t>4</w:t>
            </w:r>
          </w:p>
        </w:tc>
        <w:tc>
          <w:tcPr>
            <w:tcW w:w="964" w:type="dxa"/>
          </w:tcPr>
          <w:p w14:paraId="48DE4540" w14:textId="702BA51A" w:rsidR="00FC3DD7" w:rsidRPr="00DE4970" w:rsidRDefault="00FC3DD7" w:rsidP="00FC3DD7">
            <w:pPr>
              <w:cnfStyle w:val="000000000000" w:firstRow="0" w:lastRow="0" w:firstColumn="0" w:lastColumn="0" w:oddVBand="0" w:evenVBand="0" w:oddHBand="0" w:evenHBand="0" w:firstRowFirstColumn="0" w:firstRowLastColumn="0" w:lastRowFirstColumn="0" w:lastRowLastColumn="0"/>
              <w:rPr>
                <w:highlight w:val="yellow"/>
              </w:rPr>
            </w:pPr>
            <w:r w:rsidRPr="00AF4773">
              <w:t>4</w:t>
            </w:r>
            <w:r>
              <w:t xml:space="preserve"> </w:t>
            </w:r>
            <w:r w:rsidRPr="00AF4773">
              <w:t>447.5</w:t>
            </w:r>
          </w:p>
        </w:tc>
        <w:tc>
          <w:tcPr>
            <w:tcW w:w="964" w:type="dxa"/>
          </w:tcPr>
          <w:p w14:paraId="121372F5" w14:textId="5793391A" w:rsidR="00FC3DD7" w:rsidRPr="00DE4970" w:rsidRDefault="00FC3DD7" w:rsidP="00FC3DD7">
            <w:pPr>
              <w:cnfStyle w:val="000000000000" w:firstRow="0" w:lastRow="0" w:firstColumn="0" w:lastColumn="0" w:oddVBand="0" w:evenVBand="0" w:oddHBand="0" w:evenHBand="0" w:firstRowFirstColumn="0" w:firstRowLastColumn="0" w:lastRowFirstColumn="0" w:lastRowLastColumn="0"/>
              <w:rPr>
                <w:highlight w:val="yellow"/>
              </w:rPr>
            </w:pPr>
            <w:r w:rsidRPr="00AF4773">
              <w:t>4</w:t>
            </w:r>
            <w:r>
              <w:t xml:space="preserve"> </w:t>
            </w:r>
            <w:r w:rsidRPr="00AF4773">
              <w:t>508.3</w:t>
            </w:r>
          </w:p>
        </w:tc>
        <w:tc>
          <w:tcPr>
            <w:tcW w:w="964" w:type="dxa"/>
          </w:tcPr>
          <w:p w14:paraId="0F2DD828" w14:textId="6B2A9889" w:rsidR="00FC3DD7" w:rsidRPr="00DE4970" w:rsidRDefault="00FC3DD7" w:rsidP="00FC3DD7">
            <w:pPr>
              <w:cnfStyle w:val="000000000000" w:firstRow="0" w:lastRow="0" w:firstColumn="0" w:lastColumn="0" w:oddVBand="0" w:evenVBand="0" w:oddHBand="0" w:evenHBand="0" w:firstRowFirstColumn="0" w:firstRowLastColumn="0" w:lastRowFirstColumn="0" w:lastRowLastColumn="0"/>
              <w:rPr>
                <w:highlight w:val="yellow"/>
              </w:rPr>
            </w:pPr>
            <w:r w:rsidRPr="00AF4773">
              <w:t>4</w:t>
            </w:r>
            <w:r>
              <w:t xml:space="preserve"> </w:t>
            </w:r>
            <w:r w:rsidRPr="00AF4773">
              <w:t>609.4</w:t>
            </w:r>
          </w:p>
        </w:tc>
      </w:tr>
      <w:tr w:rsidR="00FC3DD7" w14:paraId="7CA6CD3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596DF71" w14:textId="7D95D4E4" w:rsidR="005F06FA" w:rsidRDefault="005F06FA" w:rsidP="005F06FA">
            <w:pPr>
              <w:ind w:left="170"/>
              <w:rPr>
                <w:i/>
              </w:rPr>
            </w:pPr>
            <w:r w:rsidRPr="00EB76A0">
              <w:rPr>
                <w:i/>
              </w:rPr>
              <w:t>The 2025</w:t>
            </w:r>
            <w:r w:rsidR="00383570">
              <w:rPr>
                <w:i/>
              </w:rPr>
              <w:t>-</w:t>
            </w:r>
            <w:r w:rsidRPr="00EB76A0">
              <w:rPr>
                <w:i/>
              </w:rPr>
              <w:t xml:space="preserve">26 expected outcome </w:t>
            </w:r>
            <w:r>
              <w:rPr>
                <w:i/>
              </w:rPr>
              <w:t>reflects the</w:t>
            </w:r>
            <w:r w:rsidRPr="00EB76A0">
              <w:rPr>
                <w:i/>
              </w:rPr>
              <w:t xml:space="preserve"> transfer </w:t>
            </w:r>
            <w:r>
              <w:rPr>
                <w:i/>
              </w:rPr>
              <w:t xml:space="preserve">of the Emergency Management Operational Communications Program </w:t>
            </w:r>
            <w:r w:rsidRPr="00EB76A0">
              <w:rPr>
                <w:i/>
              </w:rPr>
              <w:t>to the Emergency Management Capability output and the rephase of funding from 2025-26 into 2026</w:t>
            </w:r>
            <w:r w:rsidR="00383570">
              <w:rPr>
                <w:i/>
              </w:rPr>
              <w:t>-</w:t>
            </w:r>
            <w:r w:rsidRPr="00EB76A0">
              <w:rPr>
                <w:i/>
              </w:rPr>
              <w:t xml:space="preserve">27. </w:t>
            </w:r>
          </w:p>
          <w:p w14:paraId="7346C2A9" w14:textId="427EE704" w:rsidR="00FC3DD7" w:rsidRPr="00AF4773" w:rsidRDefault="005F06FA" w:rsidP="005F06FA">
            <w:pPr>
              <w:ind w:left="170"/>
            </w:pPr>
            <w:r w:rsidRPr="00EB76A0">
              <w:rPr>
                <w:i/>
              </w:rPr>
              <w:t>The higher 2026</w:t>
            </w:r>
            <w:r w:rsidR="00383570">
              <w:rPr>
                <w:i/>
              </w:rPr>
              <w:t>-</w:t>
            </w:r>
            <w:r w:rsidRPr="00EB76A0">
              <w:rPr>
                <w:i/>
              </w:rPr>
              <w:t xml:space="preserve">27 target reflects increased </w:t>
            </w:r>
            <w:r>
              <w:rPr>
                <w:i/>
              </w:rPr>
              <w:t>and</w:t>
            </w:r>
            <w:r w:rsidRPr="00EB76A0">
              <w:rPr>
                <w:i/>
              </w:rPr>
              <w:t xml:space="preserve"> continued funding for existing commitments, and new initiatives announced in the </w:t>
            </w:r>
            <w:r w:rsidRPr="003C72CB">
              <w:t>2026-27 Budget</w:t>
            </w:r>
            <w:r w:rsidR="003C72CB">
              <w:rPr>
                <w:i/>
              </w:rPr>
              <w:t>.</w:t>
            </w:r>
          </w:p>
        </w:tc>
      </w:tr>
    </w:tbl>
    <w:p w14:paraId="20EE7518" w14:textId="77777777" w:rsidR="00824558" w:rsidRDefault="00824558">
      <w:pPr>
        <w:pStyle w:val="Source"/>
      </w:pPr>
      <w:r>
        <w:t>Source: Department of Justice and Community Safety</w:t>
      </w:r>
    </w:p>
    <w:p w14:paraId="0EEB3CF1" w14:textId="185AFA61" w:rsidR="00824558" w:rsidRDefault="00824558">
      <w:pPr>
        <w:pStyle w:val="Heading3"/>
      </w:pPr>
      <w:r>
        <w:t>Community Crime Prevention</w:t>
      </w:r>
      <w:r>
        <w:tab/>
        <w:t>(2026-27: $</w:t>
      </w:r>
      <w:r w:rsidR="00576C6C">
        <w:t>19.9</w:t>
      </w:r>
      <w:r>
        <w:t xml:space="preserve"> million)</w:t>
      </w:r>
    </w:p>
    <w:p w14:paraId="718DA138" w14:textId="77777777" w:rsidR="00824558" w:rsidRPr="00004ADF" w:rsidRDefault="00824558">
      <w:pPr>
        <w:keepNext/>
        <w:spacing w:after="120"/>
        <w:rPr>
          <w:lang w:eastAsia="en-AU"/>
        </w:rPr>
      </w:pPr>
      <w:r w:rsidRPr="00AC3F39">
        <w:rPr>
          <w:lang w:eastAsia="en-AU"/>
        </w:rPr>
        <w:t>This output reports on activities relating to Crime Prevention through the Community Crime Prevention Program, which supports communities in preventing crime and addressing local crime issues.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35BF1A3" w14:textId="77777777" w:rsidTr="003208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16EDFF9" w14:textId="77777777" w:rsidR="00824558" w:rsidRDefault="00824558">
            <w:r>
              <w:t>Performance measure</w:t>
            </w:r>
          </w:p>
        </w:tc>
        <w:tc>
          <w:tcPr>
            <w:tcW w:w="964" w:type="dxa"/>
          </w:tcPr>
          <w:p w14:paraId="75932C65"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A1B0FD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B3B430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B867B6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138993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4EA663C8" w14:textId="77777777" w:rsidTr="0032086F">
        <w:tc>
          <w:tcPr>
            <w:cnfStyle w:val="001000000000" w:firstRow="0" w:lastRow="0" w:firstColumn="1" w:lastColumn="0" w:oddVBand="0" w:evenVBand="0" w:oddHBand="0" w:evenHBand="0" w:firstRowFirstColumn="0" w:firstRowLastColumn="0" w:lastRowFirstColumn="0" w:lastRowLastColumn="0"/>
            <w:tcW w:w="9639" w:type="dxa"/>
            <w:gridSpan w:val="6"/>
          </w:tcPr>
          <w:p w14:paraId="7951B555" w14:textId="77777777" w:rsidR="00824558" w:rsidRPr="00712860" w:rsidRDefault="00824558">
            <w:pPr>
              <w:keepNext/>
              <w:rPr>
                <w:b/>
                <w:bCs/>
                <w:iCs/>
              </w:rPr>
            </w:pPr>
            <w:r w:rsidRPr="00712860">
              <w:rPr>
                <w:b/>
                <w:bCs/>
                <w:iCs/>
              </w:rPr>
              <w:t>Quantity</w:t>
            </w:r>
          </w:p>
        </w:tc>
      </w:tr>
      <w:tr w:rsidR="00824558" w14:paraId="2B82F39F" w14:textId="77777777" w:rsidTr="0032086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4ECAB1" w14:textId="77777777" w:rsidR="00824558" w:rsidRDefault="00824558">
            <w:pPr>
              <w:ind w:left="170"/>
            </w:pPr>
            <w:r>
              <w:t>Number of young people who are supported by the Youth Crime Prevention program</w:t>
            </w:r>
          </w:p>
        </w:tc>
        <w:tc>
          <w:tcPr>
            <w:tcW w:w="964" w:type="dxa"/>
            <w:tcBorders>
              <w:bottom w:val="single" w:sz="6" w:space="0" w:color="auto"/>
            </w:tcBorders>
          </w:tcPr>
          <w:p w14:paraId="49C2DCB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39B22D7" w14:textId="77777777" w:rsidR="00824558" w:rsidRDefault="00824558">
            <w:pPr>
              <w:cnfStyle w:val="000000000000" w:firstRow="0" w:lastRow="0" w:firstColumn="0" w:lastColumn="0" w:oddVBand="0" w:evenVBand="0" w:oddHBand="0" w:evenHBand="0" w:firstRowFirstColumn="0" w:firstRowLastColumn="0" w:lastRowFirstColumn="0" w:lastRowLastColumn="0"/>
            </w:pPr>
            <w:r>
              <w:t>330</w:t>
            </w:r>
          </w:p>
        </w:tc>
        <w:tc>
          <w:tcPr>
            <w:tcW w:w="964" w:type="dxa"/>
            <w:tcBorders>
              <w:bottom w:val="single" w:sz="6" w:space="0" w:color="auto"/>
            </w:tcBorders>
          </w:tcPr>
          <w:p w14:paraId="01946654" w14:textId="77777777" w:rsidR="00824558" w:rsidRDefault="00824558">
            <w:pPr>
              <w:cnfStyle w:val="000000000000" w:firstRow="0" w:lastRow="0" w:firstColumn="0" w:lastColumn="0" w:oddVBand="0" w:evenVBand="0" w:oddHBand="0" w:evenHBand="0" w:firstRowFirstColumn="0" w:firstRowLastColumn="0" w:lastRowFirstColumn="0" w:lastRowLastColumn="0"/>
            </w:pPr>
            <w:r>
              <w:t>330</w:t>
            </w:r>
          </w:p>
        </w:tc>
        <w:tc>
          <w:tcPr>
            <w:tcW w:w="964" w:type="dxa"/>
            <w:tcBorders>
              <w:bottom w:val="single" w:sz="6" w:space="0" w:color="auto"/>
            </w:tcBorders>
          </w:tcPr>
          <w:p w14:paraId="35265E49" w14:textId="77777777" w:rsidR="00824558" w:rsidRDefault="00824558">
            <w:pPr>
              <w:cnfStyle w:val="000000000000" w:firstRow="0" w:lastRow="0" w:firstColumn="0" w:lastColumn="0" w:oddVBand="0" w:evenVBand="0" w:oddHBand="0" w:evenHBand="0" w:firstRowFirstColumn="0" w:firstRowLastColumn="0" w:lastRowFirstColumn="0" w:lastRowLastColumn="0"/>
            </w:pPr>
            <w:r>
              <w:t>330</w:t>
            </w:r>
          </w:p>
        </w:tc>
        <w:tc>
          <w:tcPr>
            <w:tcW w:w="964" w:type="dxa"/>
            <w:tcBorders>
              <w:bottom w:val="single" w:sz="6" w:space="0" w:color="auto"/>
            </w:tcBorders>
          </w:tcPr>
          <w:p w14:paraId="1BFBF216" w14:textId="77777777" w:rsidR="00824558" w:rsidRDefault="00824558">
            <w:pPr>
              <w:cnfStyle w:val="000000000000" w:firstRow="0" w:lastRow="0" w:firstColumn="0" w:lastColumn="0" w:oddVBand="0" w:evenVBand="0" w:oddHBand="0" w:evenHBand="0" w:firstRowFirstColumn="0" w:firstRowLastColumn="0" w:lastRowFirstColumn="0" w:lastRowLastColumn="0"/>
            </w:pPr>
            <w:r>
              <w:t>511</w:t>
            </w:r>
          </w:p>
        </w:tc>
      </w:tr>
      <w:tr w:rsidR="00824558" w:rsidRPr="00712860" w14:paraId="0CC88048" w14:textId="77777777" w:rsidTr="0032086F">
        <w:tc>
          <w:tcPr>
            <w:cnfStyle w:val="001000000000" w:firstRow="0" w:lastRow="0" w:firstColumn="1" w:lastColumn="0" w:oddVBand="0" w:evenVBand="0" w:oddHBand="0" w:evenHBand="0" w:firstRowFirstColumn="0" w:firstRowLastColumn="0" w:lastRowFirstColumn="0" w:lastRowLastColumn="0"/>
            <w:tcW w:w="9639" w:type="dxa"/>
            <w:gridSpan w:val="6"/>
          </w:tcPr>
          <w:p w14:paraId="59C8F0BE" w14:textId="77777777" w:rsidR="00824558" w:rsidRPr="00712860" w:rsidRDefault="00824558">
            <w:pPr>
              <w:keepNext/>
              <w:rPr>
                <w:b/>
                <w:bCs/>
                <w:iCs/>
              </w:rPr>
            </w:pPr>
            <w:r w:rsidRPr="00712860">
              <w:rPr>
                <w:b/>
                <w:bCs/>
                <w:iCs/>
              </w:rPr>
              <w:t>Quality</w:t>
            </w:r>
          </w:p>
        </w:tc>
      </w:tr>
      <w:tr w:rsidR="00824558" w14:paraId="6049971B" w14:textId="77777777" w:rsidTr="0032086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2EDFE76" w14:textId="77777777" w:rsidR="00824558" w:rsidRDefault="00824558">
            <w:pPr>
              <w:ind w:left="170"/>
            </w:pPr>
            <w:r>
              <w:t>Proportion of young people that exit the Youth Crime Prevention Program having achieved successful completion of the program</w:t>
            </w:r>
          </w:p>
        </w:tc>
        <w:tc>
          <w:tcPr>
            <w:tcW w:w="964" w:type="dxa"/>
            <w:tcBorders>
              <w:bottom w:val="single" w:sz="6" w:space="0" w:color="auto"/>
            </w:tcBorders>
          </w:tcPr>
          <w:p w14:paraId="7F47A01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9D5D7DE"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1BC74913"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474B2742"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Borders>
              <w:bottom w:val="single" w:sz="6" w:space="0" w:color="auto"/>
            </w:tcBorders>
          </w:tcPr>
          <w:p w14:paraId="292DE226" w14:textId="77777777" w:rsidR="00824558" w:rsidRDefault="00824558">
            <w:pPr>
              <w:cnfStyle w:val="000000000000" w:firstRow="0" w:lastRow="0" w:firstColumn="0" w:lastColumn="0" w:oddVBand="0" w:evenVBand="0" w:oddHBand="0" w:evenHBand="0" w:firstRowFirstColumn="0" w:firstRowLastColumn="0" w:lastRowFirstColumn="0" w:lastRowLastColumn="0"/>
            </w:pPr>
            <w:r>
              <w:t>51</w:t>
            </w:r>
          </w:p>
        </w:tc>
      </w:tr>
      <w:tr w:rsidR="00824558" w:rsidRPr="00712860" w14:paraId="0CB12DA4" w14:textId="77777777" w:rsidTr="0032086F">
        <w:tc>
          <w:tcPr>
            <w:cnfStyle w:val="001000000000" w:firstRow="0" w:lastRow="0" w:firstColumn="1" w:lastColumn="0" w:oddVBand="0" w:evenVBand="0" w:oddHBand="0" w:evenHBand="0" w:firstRowFirstColumn="0" w:firstRowLastColumn="0" w:lastRowFirstColumn="0" w:lastRowLastColumn="0"/>
            <w:tcW w:w="9639" w:type="dxa"/>
            <w:gridSpan w:val="6"/>
          </w:tcPr>
          <w:p w14:paraId="0236D5B5" w14:textId="77777777" w:rsidR="00824558" w:rsidRPr="00712860" w:rsidRDefault="00824558">
            <w:pPr>
              <w:keepNext/>
              <w:rPr>
                <w:b/>
                <w:bCs/>
                <w:iCs/>
              </w:rPr>
            </w:pPr>
            <w:r w:rsidRPr="00712860">
              <w:rPr>
                <w:b/>
                <w:bCs/>
                <w:iCs/>
              </w:rPr>
              <w:t>Timeliness</w:t>
            </w:r>
          </w:p>
        </w:tc>
      </w:tr>
      <w:tr w:rsidR="00824558" w14:paraId="50B33807" w14:textId="77777777" w:rsidTr="0032086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30987E" w14:textId="77777777" w:rsidR="00824558" w:rsidRDefault="00824558">
            <w:pPr>
              <w:ind w:left="170"/>
            </w:pPr>
            <w:r>
              <w:t>Proportion of Crime Prevention funded projects completed in previous 12 months where outcomes are published on Community Crime Prevention website</w:t>
            </w:r>
          </w:p>
        </w:tc>
        <w:tc>
          <w:tcPr>
            <w:tcW w:w="964" w:type="dxa"/>
            <w:tcBorders>
              <w:bottom w:val="single" w:sz="6" w:space="0" w:color="auto"/>
            </w:tcBorders>
          </w:tcPr>
          <w:p w14:paraId="5756CED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848E33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F41D69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BD2A41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AECFD0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712860" w14:paraId="73A02FAD" w14:textId="77777777" w:rsidTr="0032086F">
        <w:tc>
          <w:tcPr>
            <w:cnfStyle w:val="001000000000" w:firstRow="0" w:lastRow="0" w:firstColumn="1" w:lastColumn="0" w:oddVBand="0" w:evenVBand="0" w:oddHBand="0" w:evenHBand="0" w:firstRowFirstColumn="0" w:firstRowLastColumn="0" w:lastRowFirstColumn="0" w:lastRowLastColumn="0"/>
            <w:tcW w:w="9639" w:type="dxa"/>
            <w:gridSpan w:val="6"/>
          </w:tcPr>
          <w:p w14:paraId="06793984" w14:textId="77777777" w:rsidR="00824558" w:rsidRPr="00712860" w:rsidRDefault="00824558">
            <w:pPr>
              <w:keepNext/>
              <w:rPr>
                <w:b/>
                <w:bCs/>
                <w:iCs/>
              </w:rPr>
            </w:pPr>
            <w:r w:rsidRPr="00712860">
              <w:rPr>
                <w:b/>
                <w:bCs/>
                <w:iCs/>
              </w:rPr>
              <w:t>Cost</w:t>
            </w:r>
          </w:p>
        </w:tc>
      </w:tr>
      <w:tr w:rsidR="0032086F" w14:paraId="2B695733" w14:textId="77777777" w:rsidTr="0032086F">
        <w:tc>
          <w:tcPr>
            <w:cnfStyle w:val="001000000000" w:firstRow="0" w:lastRow="0" w:firstColumn="1" w:lastColumn="0" w:oddVBand="0" w:evenVBand="0" w:oddHBand="0" w:evenHBand="0" w:firstRowFirstColumn="0" w:firstRowLastColumn="0" w:lastRowFirstColumn="0" w:lastRowLastColumn="0"/>
            <w:tcW w:w="4819" w:type="dxa"/>
          </w:tcPr>
          <w:p w14:paraId="6351FEED" w14:textId="77777777" w:rsidR="0032086F" w:rsidRDefault="0032086F" w:rsidP="0032086F">
            <w:pPr>
              <w:ind w:left="170"/>
            </w:pPr>
            <w:r>
              <w:t>Total output cost</w:t>
            </w:r>
          </w:p>
        </w:tc>
        <w:tc>
          <w:tcPr>
            <w:tcW w:w="964" w:type="dxa"/>
          </w:tcPr>
          <w:p w14:paraId="5BADA655" w14:textId="77777777" w:rsidR="0032086F" w:rsidRDefault="0032086F" w:rsidP="0032086F">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FD2FBB9" w14:textId="1185E297" w:rsidR="0032086F" w:rsidRPr="00DE4970" w:rsidRDefault="0032086F" w:rsidP="0032086F">
            <w:pPr>
              <w:cnfStyle w:val="000000000000" w:firstRow="0" w:lastRow="0" w:firstColumn="0" w:lastColumn="0" w:oddVBand="0" w:evenVBand="0" w:oddHBand="0" w:evenHBand="0" w:firstRowFirstColumn="0" w:firstRowLastColumn="0" w:lastRowFirstColumn="0" w:lastRowLastColumn="0"/>
              <w:rPr>
                <w:highlight w:val="yellow"/>
              </w:rPr>
            </w:pPr>
            <w:r w:rsidRPr="009277C2">
              <w:t>19.9</w:t>
            </w:r>
          </w:p>
        </w:tc>
        <w:tc>
          <w:tcPr>
            <w:tcW w:w="964" w:type="dxa"/>
          </w:tcPr>
          <w:p w14:paraId="4C0FB0D0" w14:textId="6E59994C" w:rsidR="0032086F" w:rsidRPr="00DE4970" w:rsidRDefault="0032086F" w:rsidP="0032086F">
            <w:pPr>
              <w:cnfStyle w:val="000000000000" w:firstRow="0" w:lastRow="0" w:firstColumn="0" w:lastColumn="0" w:oddVBand="0" w:evenVBand="0" w:oddHBand="0" w:evenHBand="0" w:firstRowFirstColumn="0" w:firstRowLastColumn="0" w:lastRowFirstColumn="0" w:lastRowLastColumn="0"/>
              <w:rPr>
                <w:highlight w:val="yellow"/>
              </w:rPr>
            </w:pPr>
            <w:r w:rsidRPr="009277C2">
              <w:t>17.7</w:t>
            </w:r>
          </w:p>
        </w:tc>
        <w:tc>
          <w:tcPr>
            <w:tcW w:w="964" w:type="dxa"/>
          </w:tcPr>
          <w:p w14:paraId="10FEF5C8" w14:textId="00FA0CE8" w:rsidR="0032086F" w:rsidRPr="00DE4970" w:rsidRDefault="0032086F" w:rsidP="0032086F">
            <w:pPr>
              <w:cnfStyle w:val="000000000000" w:firstRow="0" w:lastRow="0" w:firstColumn="0" w:lastColumn="0" w:oddVBand="0" w:evenVBand="0" w:oddHBand="0" w:evenHBand="0" w:firstRowFirstColumn="0" w:firstRowLastColumn="0" w:lastRowFirstColumn="0" w:lastRowLastColumn="0"/>
              <w:rPr>
                <w:highlight w:val="yellow"/>
              </w:rPr>
            </w:pPr>
            <w:r w:rsidRPr="009277C2">
              <w:t>15.7</w:t>
            </w:r>
          </w:p>
        </w:tc>
        <w:tc>
          <w:tcPr>
            <w:tcW w:w="964" w:type="dxa"/>
          </w:tcPr>
          <w:p w14:paraId="2027A172" w14:textId="2000A571" w:rsidR="0032086F" w:rsidRPr="00DE4970" w:rsidRDefault="0032086F" w:rsidP="0032086F">
            <w:pPr>
              <w:cnfStyle w:val="000000000000" w:firstRow="0" w:lastRow="0" w:firstColumn="0" w:lastColumn="0" w:oddVBand="0" w:evenVBand="0" w:oddHBand="0" w:evenHBand="0" w:firstRowFirstColumn="0" w:firstRowLastColumn="0" w:lastRowFirstColumn="0" w:lastRowLastColumn="0"/>
              <w:rPr>
                <w:highlight w:val="yellow"/>
              </w:rPr>
            </w:pPr>
            <w:r w:rsidRPr="009277C2">
              <w:t>28.</w:t>
            </w:r>
            <w:r w:rsidR="003B367C">
              <w:t>1</w:t>
            </w:r>
          </w:p>
        </w:tc>
      </w:tr>
      <w:tr w:rsidR="003347AF" w14:paraId="38E8497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E3380FE" w14:textId="15F2A2BA" w:rsidR="003347AF" w:rsidRPr="005B2265" w:rsidRDefault="005B2265" w:rsidP="005B2265">
            <w:pPr>
              <w:ind w:left="170"/>
              <w:rPr>
                <w:i/>
              </w:rPr>
            </w:pPr>
            <w:r w:rsidRPr="00CE658D">
              <w:rPr>
                <w:i/>
              </w:rPr>
              <w:t xml:space="preserve">The 2025-26 expected outcome is higher than the 2025-26 target mainly due to increased investment in the Community Safety Package during 2025-26. </w:t>
            </w:r>
          </w:p>
        </w:tc>
      </w:tr>
      <w:tr w:rsidR="0032086F" w14:paraId="4CD99DB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99C50EF" w14:textId="6F3639F5" w:rsidR="0032086F" w:rsidRPr="009277C2" w:rsidRDefault="003347AF" w:rsidP="005B2265">
            <w:pPr>
              <w:ind w:left="170"/>
            </w:pPr>
            <w:r w:rsidRPr="00CE658D">
              <w:rPr>
                <w:i/>
              </w:rPr>
              <w:t xml:space="preserve">The higher 2026-27 target reflects the continuation </w:t>
            </w:r>
            <w:r>
              <w:rPr>
                <w:i/>
              </w:rPr>
              <w:t>of</w:t>
            </w:r>
            <w:r w:rsidRPr="00CE658D">
              <w:rPr>
                <w:i/>
              </w:rPr>
              <w:t xml:space="preserve"> increased funding in the </w:t>
            </w:r>
            <w:r w:rsidRPr="0087060A">
              <w:t xml:space="preserve">2026-27 </w:t>
            </w:r>
            <w:r w:rsidR="003C72CB" w:rsidRPr="0087060A">
              <w:t>Budget</w:t>
            </w:r>
            <w:r w:rsidRPr="00CE658D">
              <w:rPr>
                <w:i/>
              </w:rPr>
              <w:t xml:space="preserve"> for Youth Crime Prevention Package </w:t>
            </w:r>
            <w:r>
              <w:rPr>
                <w:i/>
              </w:rPr>
              <w:t>and countering violent extremism initiatives</w:t>
            </w:r>
            <w:r w:rsidRPr="00CE658D">
              <w:rPr>
                <w:i/>
              </w:rPr>
              <w:t>.</w:t>
            </w:r>
          </w:p>
        </w:tc>
      </w:tr>
    </w:tbl>
    <w:p w14:paraId="03430FA1" w14:textId="673E0415" w:rsidR="00824558" w:rsidRDefault="00824558">
      <w:pPr>
        <w:pStyle w:val="Source"/>
      </w:pPr>
      <w:r>
        <w:t>Source: Department of Justice and Community Safety</w:t>
      </w:r>
    </w:p>
    <w:p w14:paraId="3EBB4DA2" w14:textId="2381C9E9" w:rsidR="00824558" w:rsidRDefault="00824558">
      <w:pPr>
        <w:pStyle w:val="Heading3"/>
      </w:pPr>
      <w:r>
        <w:lastRenderedPageBreak/>
        <w:t>Fines and Road Safety Enforcement</w:t>
      </w:r>
      <w:r>
        <w:tab/>
        <w:t>(2026-27: $</w:t>
      </w:r>
      <w:r w:rsidR="005F5D79">
        <w:t>333.7</w:t>
      </w:r>
      <w:r>
        <w:t xml:space="preserve"> million)</w:t>
      </w:r>
    </w:p>
    <w:p w14:paraId="329E17E5" w14:textId="38902229" w:rsidR="00824558" w:rsidRPr="005D3D33" w:rsidRDefault="00824558">
      <w:pPr>
        <w:keepNext/>
        <w:spacing w:after="120"/>
        <w:rPr>
          <w:lang w:eastAsia="en-AU"/>
        </w:rPr>
      </w:pPr>
      <w:r w:rsidRPr="00AC3F39">
        <w:rPr>
          <w:lang w:eastAsia="en-AU"/>
        </w:rPr>
        <w:t>This output reports on enforcement action by the Sheriff</w:t>
      </w:r>
      <w:r w:rsidR="007942D1">
        <w:rPr>
          <w:lang w:eastAsia="en-AU"/>
        </w:rPr>
        <w:t>’</w:t>
      </w:r>
      <w:r w:rsidRPr="00AC3F39">
        <w:rPr>
          <w:lang w:eastAsia="en-AU"/>
        </w:rPr>
        <w:t>s Office of Victoria</w:t>
      </w:r>
      <w:r>
        <w:rPr>
          <w:lang w:eastAsia="en-AU"/>
        </w:rPr>
        <w:t xml:space="preserve"> and the </w:t>
      </w:r>
      <w:r w:rsidRPr="00AC3F39">
        <w:rPr>
          <w:lang w:eastAsia="en-AU"/>
        </w:rPr>
        <w:t>management of fines, warrants and infringement notices</w:t>
      </w:r>
      <w:r>
        <w:rPr>
          <w:lang w:eastAsia="en-AU"/>
        </w:rPr>
        <w:t>. The services captured</w:t>
      </w:r>
      <w:r w:rsidRPr="00AC3F39">
        <w:rPr>
          <w:lang w:eastAsia="en-AU"/>
        </w:rPr>
        <w:t xml:space="preserve"> under this output serve as an administrative method for dealing with minor criminal offences.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CC02131" w14:textId="77777777" w:rsidTr="007639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6078714" w14:textId="77777777" w:rsidR="00824558" w:rsidRDefault="00824558">
            <w:r>
              <w:t>Performance measure</w:t>
            </w:r>
          </w:p>
        </w:tc>
        <w:tc>
          <w:tcPr>
            <w:tcW w:w="964" w:type="dxa"/>
          </w:tcPr>
          <w:p w14:paraId="19D5F0C5"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F827BA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BCD7C9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531BA6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FC8931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67B9609F" w14:textId="77777777" w:rsidTr="00763961">
        <w:tc>
          <w:tcPr>
            <w:cnfStyle w:val="001000000000" w:firstRow="0" w:lastRow="0" w:firstColumn="1" w:lastColumn="0" w:oddVBand="0" w:evenVBand="0" w:oddHBand="0" w:evenHBand="0" w:firstRowFirstColumn="0" w:firstRowLastColumn="0" w:lastRowFirstColumn="0" w:lastRowLastColumn="0"/>
            <w:tcW w:w="9639" w:type="dxa"/>
            <w:gridSpan w:val="6"/>
          </w:tcPr>
          <w:p w14:paraId="41C618FC" w14:textId="77777777" w:rsidR="00824558" w:rsidRPr="00712860" w:rsidRDefault="00824558">
            <w:pPr>
              <w:keepNext/>
              <w:rPr>
                <w:b/>
                <w:bCs/>
                <w:iCs/>
              </w:rPr>
            </w:pPr>
            <w:r w:rsidRPr="00712860">
              <w:rPr>
                <w:b/>
                <w:bCs/>
                <w:iCs/>
              </w:rPr>
              <w:t>Quantity</w:t>
            </w:r>
          </w:p>
        </w:tc>
      </w:tr>
      <w:tr w:rsidR="00824558" w14:paraId="152D0DFF" w14:textId="77777777" w:rsidTr="0076396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BCB53D" w14:textId="77777777" w:rsidR="00824558" w:rsidRDefault="00824558">
            <w:pPr>
              <w:ind w:left="170"/>
            </w:pPr>
            <w:r>
              <w:t>Infringement notices processed</w:t>
            </w:r>
          </w:p>
        </w:tc>
        <w:tc>
          <w:tcPr>
            <w:tcW w:w="964" w:type="dxa"/>
            <w:tcBorders>
              <w:bottom w:val="single" w:sz="6" w:space="0" w:color="auto"/>
            </w:tcBorders>
          </w:tcPr>
          <w:p w14:paraId="5B81BA3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AD13CF4" w14:textId="4F8F981A" w:rsidR="00824558" w:rsidRDefault="00824558">
            <w:pPr>
              <w:cnfStyle w:val="000000000000" w:firstRow="0" w:lastRow="0" w:firstColumn="0" w:lastColumn="0" w:oddVBand="0" w:evenVBand="0" w:oddHBand="0" w:evenHBand="0" w:firstRowFirstColumn="0" w:firstRowLastColumn="0" w:lastRowFirstColumn="0" w:lastRowLastColumn="0"/>
            </w:pPr>
            <w:r>
              <w:t>2 000 000</w:t>
            </w:r>
            <w:r w:rsidR="00DE4970">
              <w:t xml:space="preserve"> –</w:t>
            </w:r>
            <w:r>
              <w:t>2 200</w:t>
            </w:r>
            <w:r w:rsidR="00B846EF">
              <w:t xml:space="preserve"> </w:t>
            </w:r>
            <w:r>
              <w:t>000</w:t>
            </w:r>
          </w:p>
        </w:tc>
        <w:tc>
          <w:tcPr>
            <w:tcW w:w="964" w:type="dxa"/>
            <w:tcBorders>
              <w:bottom w:val="single" w:sz="6" w:space="0" w:color="auto"/>
            </w:tcBorders>
          </w:tcPr>
          <w:p w14:paraId="681C0ADF" w14:textId="77777777" w:rsidR="00824558" w:rsidRDefault="00824558">
            <w:pPr>
              <w:cnfStyle w:val="000000000000" w:firstRow="0" w:lastRow="0" w:firstColumn="0" w:lastColumn="0" w:oddVBand="0" w:evenVBand="0" w:oddHBand="0" w:evenHBand="0" w:firstRowFirstColumn="0" w:firstRowLastColumn="0" w:lastRowFirstColumn="0" w:lastRowLastColumn="0"/>
            </w:pPr>
            <w:r>
              <w:t>2 116 461</w:t>
            </w:r>
          </w:p>
        </w:tc>
        <w:tc>
          <w:tcPr>
            <w:tcW w:w="964" w:type="dxa"/>
            <w:tcBorders>
              <w:bottom w:val="single" w:sz="6" w:space="0" w:color="auto"/>
            </w:tcBorders>
          </w:tcPr>
          <w:p w14:paraId="16D9E9A0" w14:textId="6EE82693" w:rsidR="00824558" w:rsidRDefault="00824558">
            <w:pPr>
              <w:cnfStyle w:val="000000000000" w:firstRow="0" w:lastRow="0" w:firstColumn="0" w:lastColumn="0" w:oddVBand="0" w:evenVBand="0" w:oddHBand="0" w:evenHBand="0" w:firstRowFirstColumn="0" w:firstRowLastColumn="0" w:lastRowFirstColumn="0" w:lastRowLastColumn="0"/>
            </w:pPr>
            <w:r>
              <w:t>2 000 000</w:t>
            </w:r>
            <w:r w:rsidR="00DE4970">
              <w:t xml:space="preserve"> –</w:t>
            </w:r>
            <w:r>
              <w:t>2 200 000</w:t>
            </w:r>
          </w:p>
        </w:tc>
        <w:tc>
          <w:tcPr>
            <w:tcW w:w="964" w:type="dxa"/>
            <w:tcBorders>
              <w:bottom w:val="single" w:sz="6" w:space="0" w:color="auto"/>
            </w:tcBorders>
          </w:tcPr>
          <w:p w14:paraId="40E46615" w14:textId="77777777" w:rsidR="00824558" w:rsidRDefault="00824558">
            <w:pPr>
              <w:cnfStyle w:val="000000000000" w:firstRow="0" w:lastRow="0" w:firstColumn="0" w:lastColumn="0" w:oddVBand="0" w:evenVBand="0" w:oddHBand="0" w:evenHBand="0" w:firstRowFirstColumn="0" w:firstRowLastColumn="0" w:lastRowFirstColumn="0" w:lastRowLastColumn="0"/>
            </w:pPr>
            <w:r>
              <w:t>1 832 840</w:t>
            </w:r>
          </w:p>
        </w:tc>
      </w:tr>
      <w:tr w:rsidR="00824558" w14:paraId="7F380AB5" w14:textId="77777777" w:rsidTr="0076396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C7EA55B" w14:textId="77777777" w:rsidR="00824558" w:rsidRDefault="00824558">
            <w:pPr>
              <w:ind w:left="170"/>
            </w:pPr>
            <w:r>
              <w:t>Warrants actioned</w:t>
            </w:r>
          </w:p>
        </w:tc>
        <w:tc>
          <w:tcPr>
            <w:tcW w:w="964" w:type="dxa"/>
            <w:tcBorders>
              <w:bottom w:val="single" w:sz="6" w:space="0" w:color="auto"/>
            </w:tcBorders>
          </w:tcPr>
          <w:p w14:paraId="219A9D5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392705D" w14:textId="77777777" w:rsidR="00824558" w:rsidRDefault="00824558">
            <w:pPr>
              <w:cnfStyle w:val="000000000000" w:firstRow="0" w:lastRow="0" w:firstColumn="0" w:lastColumn="0" w:oddVBand="0" w:evenVBand="0" w:oddHBand="0" w:evenHBand="0" w:firstRowFirstColumn="0" w:firstRowLastColumn="0" w:lastRowFirstColumn="0" w:lastRowLastColumn="0"/>
            </w:pPr>
            <w:r>
              <w:t>600 000</w:t>
            </w:r>
          </w:p>
        </w:tc>
        <w:tc>
          <w:tcPr>
            <w:tcW w:w="964" w:type="dxa"/>
            <w:tcBorders>
              <w:bottom w:val="single" w:sz="6" w:space="0" w:color="auto"/>
            </w:tcBorders>
          </w:tcPr>
          <w:p w14:paraId="63ED793F" w14:textId="77777777" w:rsidR="00824558" w:rsidRDefault="00824558">
            <w:pPr>
              <w:cnfStyle w:val="000000000000" w:firstRow="0" w:lastRow="0" w:firstColumn="0" w:lastColumn="0" w:oddVBand="0" w:evenVBand="0" w:oddHBand="0" w:evenHBand="0" w:firstRowFirstColumn="0" w:firstRowLastColumn="0" w:lastRowFirstColumn="0" w:lastRowLastColumn="0"/>
            </w:pPr>
            <w:r>
              <w:t>600 000</w:t>
            </w:r>
          </w:p>
        </w:tc>
        <w:tc>
          <w:tcPr>
            <w:tcW w:w="964" w:type="dxa"/>
            <w:tcBorders>
              <w:bottom w:val="single" w:sz="6" w:space="0" w:color="auto"/>
            </w:tcBorders>
          </w:tcPr>
          <w:p w14:paraId="28516172" w14:textId="77777777" w:rsidR="00824558" w:rsidRDefault="00824558">
            <w:pPr>
              <w:cnfStyle w:val="000000000000" w:firstRow="0" w:lastRow="0" w:firstColumn="0" w:lastColumn="0" w:oddVBand="0" w:evenVBand="0" w:oddHBand="0" w:evenHBand="0" w:firstRowFirstColumn="0" w:firstRowLastColumn="0" w:lastRowFirstColumn="0" w:lastRowLastColumn="0"/>
            </w:pPr>
            <w:r>
              <w:t>600 000</w:t>
            </w:r>
          </w:p>
        </w:tc>
        <w:tc>
          <w:tcPr>
            <w:tcW w:w="964" w:type="dxa"/>
            <w:tcBorders>
              <w:bottom w:val="single" w:sz="6" w:space="0" w:color="auto"/>
            </w:tcBorders>
          </w:tcPr>
          <w:p w14:paraId="55141A0B" w14:textId="77777777" w:rsidR="00824558" w:rsidRDefault="00824558">
            <w:pPr>
              <w:cnfStyle w:val="000000000000" w:firstRow="0" w:lastRow="0" w:firstColumn="0" w:lastColumn="0" w:oddVBand="0" w:evenVBand="0" w:oddHBand="0" w:evenHBand="0" w:firstRowFirstColumn="0" w:firstRowLastColumn="0" w:lastRowFirstColumn="0" w:lastRowLastColumn="0"/>
            </w:pPr>
            <w:r>
              <w:t>614 890</w:t>
            </w:r>
          </w:p>
        </w:tc>
      </w:tr>
      <w:tr w:rsidR="00824558" w:rsidRPr="00712860" w14:paraId="2647BFC0" w14:textId="77777777" w:rsidTr="00763961">
        <w:tc>
          <w:tcPr>
            <w:cnfStyle w:val="001000000000" w:firstRow="0" w:lastRow="0" w:firstColumn="1" w:lastColumn="0" w:oddVBand="0" w:evenVBand="0" w:oddHBand="0" w:evenHBand="0" w:firstRowFirstColumn="0" w:firstRowLastColumn="0" w:lastRowFirstColumn="0" w:lastRowLastColumn="0"/>
            <w:tcW w:w="9639" w:type="dxa"/>
            <w:gridSpan w:val="6"/>
          </w:tcPr>
          <w:p w14:paraId="23FFC57B" w14:textId="77777777" w:rsidR="00824558" w:rsidRPr="00712860" w:rsidRDefault="00824558">
            <w:pPr>
              <w:keepNext/>
              <w:rPr>
                <w:b/>
                <w:bCs/>
                <w:iCs/>
              </w:rPr>
            </w:pPr>
            <w:r w:rsidRPr="00712860">
              <w:rPr>
                <w:b/>
                <w:bCs/>
                <w:iCs/>
              </w:rPr>
              <w:t>Quality</w:t>
            </w:r>
          </w:p>
        </w:tc>
      </w:tr>
      <w:tr w:rsidR="00824558" w14:paraId="05E501DB" w14:textId="77777777" w:rsidTr="0076396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993E7D7" w14:textId="77777777" w:rsidR="00824558" w:rsidRDefault="00824558">
            <w:pPr>
              <w:ind w:left="170"/>
            </w:pPr>
            <w:r>
              <w:t>Proportion of images that are capable of supporting the issue of an infringement notice</w:t>
            </w:r>
          </w:p>
        </w:tc>
        <w:tc>
          <w:tcPr>
            <w:tcW w:w="964" w:type="dxa"/>
            <w:tcBorders>
              <w:bottom w:val="single" w:sz="6" w:space="0" w:color="auto"/>
            </w:tcBorders>
          </w:tcPr>
          <w:p w14:paraId="2A31FAB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A6B657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5206829" w14:textId="77777777" w:rsidR="00824558" w:rsidRDefault="00824558">
            <w:pPr>
              <w:cnfStyle w:val="000000000000" w:firstRow="0" w:lastRow="0" w:firstColumn="0" w:lastColumn="0" w:oddVBand="0" w:evenVBand="0" w:oddHBand="0" w:evenHBand="0" w:firstRowFirstColumn="0" w:firstRowLastColumn="0" w:lastRowFirstColumn="0" w:lastRowLastColumn="0"/>
            </w:pPr>
            <w:r>
              <w:t>96.6</w:t>
            </w:r>
          </w:p>
        </w:tc>
        <w:tc>
          <w:tcPr>
            <w:tcW w:w="964" w:type="dxa"/>
            <w:tcBorders>
              <w:bottom w:val="single" w:sz="6" w:space="0" w:color="auto"/>
            </w:tcBorders>
          </w:tcPr>
          <w:p w14:paraId="2748D63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04FF133" w14:textId="77777777" w:rsidR="00824558" w:rsidRDefault="00824558">
            <w:pPr>
              <w:cnfStyle w:val="000000000000" w:firstRow="0" w:lastRow="0" w:firstColumn="0" w:lastColumn="0" w:oddVBand="0" w:evenVBand="0" w:oddHBand="0" w:evenHBand="0" w:firstRowFirstColumn="0" w:firstRowLastColumn="0" w:lastRowFirstColumn="0" w:lastRowLastColumn="0"/>
            </w:pPr>
            <w:r>
              <w:t>96.7</w:t>
            </w:r>
          </w:p>
        </w:tc>
      </w:tr>
      <w:tr w:rsidR="00824558" w:rsidRPr="00712860" w14:paraId="2C425791" w14:textId="77777777" w:rsidTr="00763961">
        <w:tc>
          <w:tcPr>
            <w:cnfStyle w:val="001000000000" w:firstRow="0" w:lastRow="0" w:firstColumn="1" w:lastColumn="0" w:oddVBand="0" w:evenVBand="0" w:oddHBand="0" w:evenHBand="0" w:firstRowFirstColumn="0" w:firstRowLastColumn="0" w:lastRowFirstColumn="0" w:lastRowLastColumn="0"/>
            <w:tcW w:w="9639" w:type="dxa"/>
            <w:gridSpan w:val="6"/>
          </w:tcPr>
          <w:p w14:paraId="3D84D73F" w14:textId="77777777" w:rsidR="00824558" w:rsidRPr="00712860" w:rsidRDefault="00824558">
            <w:pPr>
              <w:keepNext/>
              <w:rPr>
                <w:b/>
                <w:bCs/>
                <w:iCs/>
              </w:rPr>
            </w:pPr>
            <w:r w:rsidRPr="00712860">
              <w:rPr>
                <w:b/>
                <w:bCs/>
                <w:iCs/>
              </w:rPr>
              <w:t>Timeliness</w:t>
            </w:r>
          </w:p>
        </w:tc>
      </w:tr>
      <w:tr w:rsidR="00824558" w14:paraId="35344133" w14:textId="77777777" w:rsidTr="0076396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8261AB0" w14:textId="77777777" w:rsidR="00824558" w:rsidRDefault="00824558">
            <w:pPr>
              <w:ind w:left="170"/>
            </w:pPr>
            <w:r>
              <w:t>Clearance of infringements within 180 days</w:t>
            </w:r>
          </w:p>
        </w:tc>
        <w:tc>
          <w:tcPr>
            <w:tcW w:w="964" w:type="dxa"/>
            <w:tcBorders>
              <w:bottom w:val="single" w:sz="6" w:space="0" w:color="auto"/>
            </w:tcBorders>
          </w:tcPr>
          <w:p w14:paraId="38DA909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3E951E9"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18F830D0" w14:textId="77777777" w:rsidR="00824558" w:rsidRDefault="00824558">
            <w:pPr>
              <w:cnfStyle w:val="000000000000" w:firstRow="0" w:lastRow="0" w:firstColumn="0" w:lastColumn="0" w:oddVBand="0" w:evenVBand="0" w:oddHBand="0" w:evenHBand="0" w:firstRowFirstColumn="0" w:firstRowLastColumn="0" w:lastRowFirstColumn="0" w:lastRowLastColumn="0"/>
            </w:pPr>
            <w:r>
              <w:t>76.8</w:t>
            </w:r>
          </w:p>
        </w:tc>
        <w:tc>
          <w:tcPr>
            <w:tcW w:w="964" w:type="dxa"/>
            <w:tcBorders>
              <w:bottom w:val="single" w:sz="6" w:space="0" w:color="auto"/>
            </w:tcBorders>
          </w:tcPr>
          <w:p w14:paraId="047554E3"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24463A38" w14:textId="77777777" w:rsidR="00824558" w:rsidRDefault="00824558">
            <w:pPr>
              <w:cnfStyle w:val="000000000000" w:firstRow="0" w:lastRow="0" w:firstColumn="0" w:lastColumn="0" w:oddVBand="0" w:evenVBand="0" w:oddHBand="0" w:evenHBand="0" w:firstRowFirstColumn="0" w:firstRowLastColumn="0" w:lastRowFirstColumn="0" w:lastRowLastColumn="0"/>
            </w:pPr>
            <w:r>
              <w:t>76.6</w:t>
            </w:r>
          </w:p>
        </w:tc>
      </w:tr>
      <w:tr w:rsidR="00824558" w:rsidRPr="00712860" w14:paraId="52287AA5" w14:textId="77777777" w:rsidTr="00763961">
        <w:tc>
          <w:tcPr>
            <w:cnfStyle w:val="001000000000" w:firstRow="0" w:lastRow="0" w:firstColumn="1" w:lastColumn="0" w:oddVBand="0" w:evenVBand="0" w:oddHBand="0" w:evenHBand="0" w:firstRowFirstColumn="0" w:firstRowLastColumn="0" w:lastRowFirstColumn="0" w:lastRowLastColumn="0"/>
            <w:tcW w:w="9639" w:type="dxa"/>
            <w:gridSpan w:val="6"/>
          </w:tcPr>
          <w:p w14:paraId="30B6069D" w14:textId="77777777" w:rsidR="00824558" w:rsidRPr="00712860" w:rsidRDefault="00824558">
            <w:pPr>
              <w:keepNext/>
              <w:rPr>
                <w:b/>
                <w:bCs/>
                <w:iCs/>
              </w:rPr>
            </w:pPr>
            <w:r w:rsidRPr="00712860">
              <w:rPr>
                <w:b/>
                <w:bCs/>
                <w:iCs/>
              </w:rPr>
              <w:t>Cost</w:t>
            </w:r>
          </w:p>
        </w:tc>
      </w:tr>
      <w:tr w:rsidR="00763961" w14:paraId="4ABFCC1D" w14:textId="77777777" w:rsidTr="00763961">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75F5DBF6" w14:textId="77777777" w:rsidR="00763961" w:rsidRDefault="00763961" w:rsidP="00763961">
            <w:pPr>
              <w:ind w:left="170"/>
            </w:pPr>
            <w:r>
              <w:t>Total output cost</w:t>
            </w:r>
          </w:p>
        </w:tc>
        <w:tc>
          <w:tcPr>
            <w:tcW w:w="964" w:type="dxa"/>
            <w:tcBorders>
              <w:bottom w:val="single" w:sz="12" w:space="0" w:color="auto"/>
            </w:tcBorders>
          </w:tcPr>
          <w:p w14:paraId="74046C44" w14:textId="77777777" w:rsidR="00763961" w:rsidRDefault="00763961" w:rsidP="00763961">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68BA6F4D" w14:textId="5942A8E5" w:rsidR="00763961" w:rsidRPr="00DE4970" w:rsidRDefault="00763961" w:rsidP="00763961">
            <w:pPr>
              <w:cnfStyle w:val="000000000000" w:firstRow="0" w:lastRow="0" w:firstColumn="0" w:lastColumn="0" w:oddVBand="0" w:evenVBand="0" w:oddHBand="0" w:evenHBand="0" w:firstRowFirstColumn="0" w:firstRowLastColumn="0" w:lastRowFirstColumn="0" w:lastRowLastColumn="0"/>
              <w:rPr>
                <w:highlight w:val="yellow"/>
              </w:rPr>
            </w:pPr>
            <w:r w:rsidRPr="0065445B">
              <w:t>333.7</w:t>
            </w:r>
          </w:p>
        </w:tc>
        <w:tc>
          <w:tcPr>
            <w:tcW w:w="964" w:type="dxa"/>
            <w:tcBorders>
              <w:bottom w:val="single" w:sz="12" w:space="0" w:color="auto"/>
            </w:tcBorders>
          </w:tcPr>
          <w:p w14:paraId="534CCDE4" w14:textId="1FD6813C" w:rsidR="00763961" w:rsidRPr="00DE4970" w:rsidRDefault="00763961" w:rsidP="00763961">
            <w:pPr>
              <w:cnfStyle w:val="000000000000" w:firstRow="0" w:lastRow="0" w:firstColumn="0" w:lastColumn="0" w:oddVBand="0" w:evenVBand="0" w:oddHBand="0" w:evenHBand="0" w:firstRowFirstColumn="0" w:firstRowLastColumn="0" w:lastRowFirstColumn="0" w:lastRowLastColumn="0"/>
              <w:rPr>
                <w:highlight w:val="yellow"/>
              </w:rPr>
            </w:pPr>
            <w:r w:rsidRPr="0065445B">
              <w:t>331.4</w:t>
            </w:r>
          </w:p>
        </w:tc>
        <w:tc>
          <w:tcPr>
            <w:tcW w:w="964" w:type="dxa"/>
            <w:tcBorders>
              <w:bottom w:val="single" w:sz="12" w:space="0" w:color="auto"/>
            </w:tcBorders>
          </w:tcPr>
          <w:p w14:paraId="44837367" w14:textId="48314AB8" w:rsidR="00763961" w:rsidRPr="00DE4970" w:rsidRDefault="00763961" w:rsidP="00763961">
            <w:pPr>
              <w:cnfStyle w:val="000000000000" w:firstRow="0" w:lastRow="0" w:firstColumn="0" w:lastColumn="0" w:oddVBand="0" w:evenVBand="0" w:oddHBand="0" w:evenHBand="0" w:firstRowFirstColumn="0" w:firstRowLastColumn="0" w:lastRowFirstColumn="0" w:lastRowLastColumn="0"/>
              <w:rPr>
                <w:highlight w:val="yellow"/>
              </w:rPr>
            </w:pPr>
            <w:r w:rsidRPr="0065445B">
              <w:t>339.8</w:t>
            </w:r>
          </w:p>
        </w:tc>
        <w:tc>
          <w:tcPr>
            <w:tcW w:w="964" w:type="dxa"/>
            <w:tcBorders>
              <w:bottom w:val="single" w:sz="12" w:space="0" w:color="auto"/>
            </w:tcBorders>
          </w:tcPr>
          <w:p w14:paraId="01EF0C84" w14:textId="41A0B356" w:rsidR="00763961" w:rsidRPr="00DE4970" w:rsidRDefault="00763961" w:rsidP="00763961">
            <w:pPr>
              <w:cnfStyle w:val="000000000000" w:firstRow="0" w:lastRow="0" w:firstColumn="0" w:lastColumn="0" w:oddVBand="0" w:evenVBand="0" w:oddHBand="0" w:evenHBand="0" w:firstRowFirstColumn="0" w:firstRowLastColumn="0" w:lastRowFirstColumn="0" w:lastRowLastColumn="0"/>
              <w:rPr>
                <w:highlight w:val="yellow"/>
              </w:rPr>
            </w:pPr>
            <w:r w:rsidRPr="0065445B">
              <w:t>313.9</w:t>
            </w:r>
          </w:p>
        </w:tc>
      </w:tr>
    </w:tbl>
    <w:p w14:paraId="3B065C2A" w14:textId="77777777" w:rsidR="00824558" w:rsidRDefault="00824558">
      <w:pPr>
        <w:pStyle w:val="Source"/>
      </w:pPr>
      <w:r>
        <w:t>Source: Department of Justice and Community Safety</w:t>
      </w:r>
    </w:p>
    <w:p w14:paraId="01B9101F" w14:textId="77777777" w:rsidR="00DE4970" w:rsidRDefault="00DE4970" w:rsidP="00DE4970"/>
    <w:p w14:paraId="7E0A89C0" w14:textId="77777777" w:rsidR="00824558" w:rsidRPr="00F46C76" w:rsidRDefault="00824558">
      <w:pPr>
        <w:pStyle w:val="ShadedBoxHeading"/>
      </w:pPr>
      <w:r w:rsidRPr="00F46C76">
        <w:t>Objective 2: Reduce the impact of</w:t>
      </w:r>
      <w:r>
        <w:t xml:space="preserve"> </w:t>
      </w:r>
      <w:r w:rsidRPr="00F46C76">
        <w:t>natural disasters and emergencies on people, infrastructure, the</w:t>
      </w:r>
      <w:r>
        <w:t> </w:t>
      </w:r>
      <w:r w:rsidRPr="00F46C76">
        <w:t>economy and environment</w:t>
      </w:r>
    </w:p>
    <w:p w14:paraId="75538A6D" w14:textId="77777777" w:rsidR="00824558" w:rsidRPr="00F46C76" w:rsidRDefault="00824558">
      <w:pPr>
        <w:pStyle w:val="ShadedBoxText"/>
      </w:pPr>
      <w:r w:rsidRPr="00F46C76">
        <w:t>This objective aims to deliver a coordinated, all</w:t>
      </w:r>
      <w:r>
        <w:t xml:space="preserve"> </w:t>
      </w:r>
      <w:r w:rsidRPr="00F46C76">
        <w:t>communities, all</w:t>
      </w:r>
      <w:r>
        <w:t xml:space="preserve"> </w:t>
      </w:r>
      <w:r w:rsidRPr="00F46C76">
        <w:t>emergencies approach to emergency management, focusing on risk mitigation and active partnership with the Victorian community.</w:t>
      </w:r>
    </w:p>
    <w:p w14:paraId="20F26538" w14:textId="77777777" w:rsidR="00824558" w:rsidRPr="00F46C76" w:rsidRDefault="00824558">
      <w:pPr>
        <w:pStyle w:val="ShadedBoxText"/>
      </w:pPr>
      <w:r w:rsidRPr="00F46C76">
        <w:t xml:space="preserve">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 </w:t>
      </w:r>
    </w:p>
    <w:p w14:paraId="0E21E54C" w14:textId="77777777" w:rsidR="00824558" w:rsidRPr="00F46C76" w:rsidRDefault="00824558">
      <w:pPr>
        <w:pStyle w:val="ShadedBoxText"/>
      </w:pPr>
      <w:r w:rsidRPr="00F46C76">
        <w:t>The departmental objective indicators are:</w:t>
      </w:r>
    </w:p>
    <w:p w14:paraId="456640D1" w14:textId="77777777" w:rsidR="00824558" w:rsidRPr="00877696" w:rsidRDefault="00824558">
      <w:pPr>
        <w:pStyle w:val="ShadedBoxBullet"/>
        <w:contextualSpacing/>
      </w:pPr>
      <w:r w:rsidRPr="00877696">
        <w:t>value of domestic fire insurance claims</w:t>
      </w:r>
    </w:p>
    <w:p w14:paraId="7ED17235" w14:textId="77777777" w:rsidR="00824558" w:rsidRDefault="00824558">
      <w:pPr>
        <w:pStyle w:val="ShadedBoxBullet"/>
        <w:contextualSpacing/>
      </w:pPr>
      <w:r w:rsidRPr="00877696">
        <w:t>rate of deaths from fire events.</w:t>
      </w:r>
    </w:p>
    <w:p w14:paraId="441744C1" w14:textId="77777777" w:rsidR="00824558" w:rsidRDefault="00824558">
      <w:pPr>
        <w:pStyle w:val="Heading3"/>
      </w:pPr>
      <w:r>
        <w:t>Outputs</w:t>
      </w:r>
    </w:p>
    <w:p w14:paraId="4BB5705C" w14:textId="04133D23" w:rsidR="00824558" w:rsidRDefault="00824558">
      <w:pPr>
        <w:pStyle w:val="Heading3"/>
      </w:pPr>
      <w:r>
        <w:t>Emergency Management Capability</w:t>
      </w:r>
      <w:r>
        <w:tab/>
        <w:t>(2026-27: $</w:t>
      </w:r>
      <w:r w:rsidR="0076697D">
        <w:t>1 982.7</w:t>
      </w:r>
      <w:r>
        <w:t xml:space="preserve"> million)</w:t>
      </w:r>
    </w:p>
    <w:p w14:paraId="0AA467DF" w14:textId="77777777" w:rsidR="00824558" w:rsidRPr="00790971" w:rsidRDefault="00824558">
      <w:pPr>
        <w:keepNext/>
        <w:spacing w:after="120"/>
      </w:pPr>
      <w:r w:rsidRPr="008D0D33">
        <w:t xml:space="preserve">This output provides for the management of emergencies by developing and adopting emergency prevention and mitigation strategies, providing fire suppression and road crash rescue services and supporting local government and communities in disaster mitigation and recovery. Key components of this output reduce the level of risk to the community of emergencies occurring and the adverse effects of emergency events, such as death and injury rates. This output covers the services provided by leading Victorian emergency management capability providers, such as the Victoria State Emergency Service (VICSES), Fire Rescue Victoria (FRV), the Country Fire Authority (CFA) and Triple Zero </w:t>
      </w:r>
      <w:r w:rsidRPr="004D74AE">
        <w:rPr>
          <w:color w:val="000000" w:themeColor="text1"/>
        </w:rPr>
        <w:t>Victoria (TZV).</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6D7370C1" w14:textId="77777777" w:rsidTr="005B2B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0317F72" w14:textId="77777777" w:rsidR="00824558" w:rsidRDefault="00824558">
            <w:r>
              <w:t>Performance measure</w:t>
            </w:r>
          </w:p>
        </w:tc>
        <w:tc>
          <w:tcPr>
            <w:tcW w:w="964" w:type="dxa"/>
          </w:tcPr>
          <w:p w14:paraId="65F32369"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BA25BA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EA397D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5061D4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69F044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68086B47"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Pr>
          <w:p w14:paraId="00B983F8" w14:textId="77777777" w:rsidR="00824558" w:rsidRPr="00712860" w:rsidRDefault="00824558">
            <w:pPr>
              <w:keepNext/>
              <w:rPr>
                <w:b/>
                <w:bCs/>
                <w:iCs/>
              </w:rPr>
            </w:pPr>
            <w:r w:rsidRPr="00712860">
              <w:rPr>
                <w:b/>
                <w:bCs/>
                <w:iCs/>
              </w:rPr>
              <w:t>Quantity</w:t>
            </w:r>
          </w:p>
        </w:tc>
      </w:tr>
      <w:tr w:rsidR="00824558" w14:paraId="1321059B"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260866C0" w14:textId="77777777" w:rsidR="00824558" w:rsidRDefault="00824558">
            <w:pPr>
              <w:keepNext/>
              <w:ind w:left="170"/>
            </w:pPr>
            <w:r>
              <w:t>Non-operational emergency services volunteers (Country Fire Authority and Victoria State Emergency Service)</w:t>
            </w:r>
          </w:p>
        </w:tc>
        <w:tc>
          <w:tcPr>
            <w:tcW w:w="964" w:type="dxa"/>
          </w:tcPr>
          <w:p w14:paraId="2B5A9E8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E808585" w14:textId="0ED875DE" w:rsidR="00824558" w:rsidRDefault="00824558">
            <w:pPr>
              <w:cnfStyle w:val="000000000000" w:firstRow="0" w:lastRow="0" w:firstColumn="0" w:lastColumn="0" w:oddVBand="0" w:evenVBand="0" w:oddHBand="0" w:evenHBand="0" w:firstRowFirstColumn="0" w:firstRowLastColumn="0" w:lastRowFirstColumn="0" w:lastRowLastColumn="0"/>
            </w:pPr>
            <w:r>
              <w:t>23 000</w:t>
            </w:r>
            <w:r w:rsidR="00DE4970">
              <w:t xml:space="preserve"> –</w:t>
            </w:r>
            <w:r>
              <w:t>24 000</w:t>
            </w:r>
          </w:p>
        </w:tc>
        <w:tc>
          <w:tcPr>
            <w:tcW w:w="964" w:type="dxa"/>
          </w:tcPr>
          <w:p w14:paraId="338F2F69" w14:textId="77777777" w:rsidR="00824558" w:rsidRDefault="00824558">
            <w:pPr>
              <w:cnfStyle w:val="000000000000" w:firstRow="0" w:lastRow="0" w:firstColumn="0" w:lastColumn="0" w:oddVBand="0" w:evenVBand="0" w:oddHBand="0" w:evenHBand="0" w:firstRowFirstColumn="0" w:firstRowLastColumn="0" w:lastRowFirstColumn="0" w:lastRowLastColumn="0"/>
            </w:pPr>
            <w:r>
              <w:t>23 066</w:t>
            </w:r>
          </w:p>
        </w:tc>
        <w:tc>
          <w:tcPr>
            <w:tcW w:w="964" w:type="dxa"/>
          </w:tcPr>
          <w:p w14:paraId="171A9ECC" w14:textId="2003CE00" w:rsidR="00824558" w:rsidRDefault="00824558">
            <w:pPr>
              <w:cnfStyle w:val="000000000000" w:firstRow="0" w:lastRow="0" w:firstColumn="0" w:lastColumn="0" w:oddVBand="0" w:evenVBand="0" w:oddHBand="0" w:evenHBand="0" w:firstRowFirstColumn="0" w:firstRowLastColumn="0" w:lastRowFirstColumn="0" w:lastRowLastColumn="0"/>
            </w:pPr>
            <w:r>
              <w:t>23 000</w:t>
            </w:r>
            <w:r w:rsidR="00DE4970">
              <w:t xml:space="preserve"> –</w:t>
            </w:r>
            <w:r>
              <w:t>24 000</w:t>
            </w:r>
          </w:p>
        </w:tc>
        <w:tc>
          <w:tcPr>
            <w:tcW w:w="964" w:type="dxa"/>
          </w:tcPr>
          <w:p w14:paraId="734AAECE" w14:textId="77777777" w:rsidR="00824558" w:rsidRDefault="00824558">
            <w:pPr>
              <w:cnfStyle w:val="000000000000" w:firstRow="0" w:lastRow="0" w:firstColumn="0" w:lastColumn="0" w:oddVBand="0" w:evenVBand="0" w:oddHBand="0" w:evenHBand="0" w:firstRowFirstColumn="0" w:firstRowLastColumn="0" w:lastRowFirstColumn="0" w:lastRowLastColumn="0"/>
            </w:pPr>
            <w:r>
              <w:t>23 356</w:t>
            </w:r>
          </w:p>
        </w:tc>
      </w:tr>
      <w:tr w:rsidR="00824558" w14:paraId="6F261E1E"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E0CD05" w14:textId="625BF7B7" w:rsidR="00824558" w:rsidRDefault="00824558">
            <w:pPr>
              <w:ind w:left="170"/>
            </w:pPr>
            <w:r>
              <w:rPr>
                <w:i/>
              </w:rPr>
              <w:t xml:space="preserve">This performance measure renames the 2025-26 performance measure </w:t>
            </w:r>
            <w:r w:rsidR="007942D1">
              <w:rPr>
                <w:i/>
              </w:rPr>
              <w:t>‘</w:t>
            </w:r>
            <w:r>
              <w:rPr>
                <w:i/>
              </w:rPr>
              <w:t>Volunteers</w:t>
            </w:r>
            <w:r w:rsidR="007942D1">
              <w:rPr>
                <w:i/>
              </w:rPr>
              <w:t xml:space="preserve"> – </w:t>
            </w:r>
            <w:r>
              <w:rPr>
                <w:i/>
              </w:rPr>
              <w:t>Support (Country Fire Authority and Victoria State Emergency Service)</w:t>
            </w:r>
            <w:r w:rsidR="007942D1">
              <w:rPr>
                <w:i/>
              </w:rPr>
              <w:t>’</w:t>
            </w:r>
            <w:r>
              <w:rPr>
                <w:i/>
              </w:rPr>
              <w:t>. The renamed measure reports on the same activity as the previous measure, however has been amended for increased clarity and consistency.</w:t>
            </w:r>
          </w:p>
        </w:tc>
      </w:tr>
      <w:tr w:rsidR="00824558" w14:paraId="06DF7318"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245E54EB" w14:textId="77777777" w:rsidR="00824558" w:rsidRDefault="00824558">
            <w:pPr>
              <w:keepNext/>
              <w:ind w:left="170"/>
            </w:pPr>
            <w:r>
              <w:t>Number of emergency calls answered (Triple Zero Victoria)</w:t>
            </w:r>
          </w:p>
        </w:tc>
        <w:tc>
          <w:tcPr>
            <w:tcW w:w="964" w:type="dxa"/>
          </w:tcPr>
          <w:p w14:paraId="51EC842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995A7C6" w14:textId="77777777" w:rsidR="00824558" w:rsidRDefault="00824558">
            <w:pPr>
              <w:cnfStyle w:val="000000000000" w:firstRow="0" w:lastRow="0" w:firstColumn="0" w:lastColumn="0" w:oddVBand="0" w:evenVBand="0" w:oddHBand="0" w:evenHBand="0" w:firstRowFirstColumn="0" w:firstRowLastColumn="0" w:lastRowFirstColumn="0" w:lastRowLastColumn="0"/>
            </w:pPr>
            <w:r>
              <w:t>2 950 000</w:t>
            </w:r>
          </w:p>
        </w:tc>
        <w:tc>
          <w:tcPr>
            <w:tcW w:w="964" w:type="dxa"/>
          </w:tcPr>
          <w:p w14:paraId="7D52433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7E8E77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D05E99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55B39F2"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4F1165" w14:textId="77777777" w:rsidR="00824558" w:rsidRDefault="00824558">
            <w:pPr>
              <w:ind w:left="170"/>
            </w:pPr>
            <w:r>
              <w:rPr>
                <w:i/>
              </w:rPr>
              <w:t>New performance measure for 2026-27 to capture the volume of emergency calls answered by Triple Zero Victoria.</w:t>
            </w:r>
          </w:p>
        </w:tc>
      </w:tr>
      <w:tr w:rsidR="00824558" w14:paraId="2EA47BB9"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7CA9BC2" w14:textId="77777777" w:rsidR="00824558" w:rsidRDefault="00824558">
            <w:pPr>
              <w:keepNext/>
              <w:ind w:left="170"/>
            </w:pPr>
            <w:r>
              <w:lastRenderedPageBreak/>
              <w:t>Number of events dispatched (Triple Zero Victoria)</w:t>
            </w:r>
          </w:p>
        </w:tc>
        <w:tc>
          <w:tcPr>
            <w:tcW w:w="964" w:type="dxa"/>
          </w:tcPr>
          <w:p w14:paraId="52C626B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6C7E7AA" w14:textId="77777777" w:rsidR="00824558" w:rsidRDefault="00824558">
            <w:pPr>
              <w:cnfStyle w:val="000000000000" w:firstRow="0" w:lastRow="0" w:firstColumn="0" w:lastColumn="0" w:oddVBand="0" w:evenVBand="0" w:oddHBand="0" w:evenHBand="0" w:firstRowFirstColumn="0" w:firstRowLastColumn="0" w:lastRowFirstColumn="0" w:lastRowLastColumn="0"/>
            </w:pPr>
            <w:r>
              <w:t>4 850 000</w:t>
            </w:r>
          </w:p>
        </w:tc>
        <w:tc>
          <w:tcPr>
            <w:tcW w:w="964" w:type="dxa"/>
          </w:tcPr>
          <w:p w14:paraId="0E0F2C8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72C846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1E0F85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502A5F33"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72B38AE" w14:textId="77777777" w:rsidR="00824558" w:rsidRDefault="00824558">
            <w:pPr>
              <w:ind w:left="170"/>
            </w:pPr>
            <w:r>
              <w:rPr>
                <w:i/>
              </w:rPr>
              <w:t>New performance measure for 2026-27 to capture the volume of events dispatched by Triple Zero Victoria.</w:t>
            </w:r>
          </w:p>
        </w:tc>
      </w:tr>
      <w:tr w:rsidR="00824558" w14:paraId="68987881"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04930844" w14:textId="77777777" w:rsidR="00824558" w:rsidRDefault="00824558">
            <w:pPr>
              <w:keepNext/>
              <w:ind w:left="170"/>
            </w:pPr>
            <w:r>
              <w:t>Number of State Recovery Coordination Committee meetings convened</w:t>
            </w:r>
          </w:p>
        </w:tc>
        <w:tc>
          <w:tcPr>
            <w:tcW w:w="964" w:type="dxa"/>
          </w:tcPr>
          <w:p w14:paraId="17B0B8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1B3139E"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7E048516"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0E72A464"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5F194C7E"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14:paraId="7802D624"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C53DAEF" w14:textId="21871D81" w:rsidR="00824558" w:rsidRDefault="00824558">
            <w:pPr>
              <w:ind w:left="170"/>
            </w:pPr>
            <w:r>
              <w:rPr>
                <w:i/>
              </w:rPr>
              <w:t xml:space="preserve">This performance measure renames the 2025-26 performance measure </w:t>
            </w:r>
            <w:r w:rsidR="007942D1">
              <w:rPr>
                <w:i/>
              </w:rPr>
              <w:t>‘</w:t>
            </w:r>
            <w:r>
              <w:rPr>
                <w:i/>
              </w:rPr>
              <w:t>Number of State Recovery Coordination Committee meetings convened (Emergency Recovery Victoria)</w:t>
            </w:r>
            <w:r w:rsidR="007942D1">
              <w:rPr>
                <w:i/>
              </w:rPr>
              <w:t>’</w:t>
            </w:r>
            <w:r>
              <w:rPr>
                <w:i/>
              </w:rPr>
              <w:t>. The renamed measure reports on the same activity as the previous measure, however, has been amended to reflect the amalgamation of Emergency Recovery Victoria (ERV) with Emergency Management Victoria (EMV).</w:t>
            </w:r>
          </w:p>
        </w:tc>
      </w:tr>
      <w:tr w:rsidR="00824558" w14:paraId="69573BF2"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FDE22AF" w14:textId="3C1ACF91" w:rsidR="00824558" w:rsidRDefault="00824558">
            <w:pPr>
              <w:keepNext/>
              <w:ind w:left="170"/>
            </w:pPr>
            <w:r>
              <w:t xml:space="preserve">Operational emergency services volunteers </w:t>
            </w:r>
            <w:r w:rsidR="003C72CB">
              <w:br/>
            </w:r>
            <w:r>
              <w:t>(Country Fire Authority and Victoria State Emergency Service)</w:t>
            </w:r>
          </w:p>
        </w:tc>
        <w:tc>
          <w:tcPr>
            <w:tcW w:w="964" w:type="dxa"/>
          </w:tcPr>
          <w:p w14:paraId="27E553F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D1F927" w14:textId="3344BF15" w:rsidR="00824558" w:rsidRDefault="00824558">
            <w:pPr>
              <w:cnfStyle w:val="000000000000" w:firstRow="0" w:lastRow="0" w:firstColumn="0" w:lastColumn="0" w:oddVBand="0" w:evenVBand="0" w:oddHBand="0" w:evenHBand="0" w:firstRowFirstColumn="0" w:firstRowLastColumn="0" w:lastRowFirstColumn="0" w:lastRowLastColumn="0"/>
            </w:pPr>
            <w:r>
              <w:t>38 500</w:t>
            </w:r>
            <w:r w:rsidR="00466B84">
              <w:t xml:space="preserve"> –</w:t>
            </w:r>
            <w:r>
              <w:t>39 500</w:t>
            </w:r>
          </w:p>
        </w:tc>
        <w:tc>
          <w:tcPr>
            <w:tcW w:w="964" w:type="dxa"/>
          </w:tcPr>
          <w:p w14:paraId="49501446" w14:textId="77777777" w:rsidR="00824558" w:rsidRDefault="00824558">
            <w:pPr>
              <w:cnfStyle w:val="000000000000" w:firstRow="0" w:lastRow="0" w:firstColumn="0" w:lastColumn="0" w:oddVBand="0" w:evenVBand="0" w:oddHBand="0" w:evenHBand="0" w:firstRowFirstColumn="0" w:firstRowLastColumn="0" w:lastRowFirstColumn="0" w:lastRowLastColumn="0"/>
            </w:pPr>
            <w:r>
              <w:t>32 905</w:t>
            </w:r>
          </w:p>
        </w:tc>
        <w:tc>
          <w:tcPr>
            <w:tcW w:w="964" w:type="dxa"/>
          </w:tcPr>
          <w:p w14:paraId="2026A9BB" w14:textId="64BFC64C" w:rsidR="00824558" w:rsidRDefault="00824558">
            <w:pPr>
              <w:cnfStyle w:val="000000000000" w:firstRow="0" w:lastRow="0" w:firstColumn="0" w:lastColumn="0" w:oddVBand="0" w:evenVBand="0" w:oddHBand="0" w:evenHBand="0" w:firstRowFirstColumn="0" w:firstRowLastColumn="0" w:lastRowFirstColumn="0" w:lastRowLastColumn="0"/>
            </w:pPr>
            <w:r>
              <w:t>38 500</w:t>
            </w:r>
            <w:r w:rsidR="00466B84">
              <w:t xml:space="preserve"> –</w:t>
            </w:r>
            <w:r>
              <w:t>39 500</w:t>
            </w:r>
          </w:p>
        </w:tc>
        <w:tc>
          <w:tcPr>
            <w:tcW w:w="964" w:type="dxa"/>
          </w:tcPr>
          <w:p w14:paraId="064A3EC8" w14:textId="77777777" w:rsidR="00824558" w:rsidRDefault="00824558">
            <w:pPr>
              <w:cnfStyle w:val="000000000000" w:firstRow="0" w:lastRow="0" w:firstColumn="0" w:lastColumn="0" w:oddVBand="0" w:evenVBand="0" w:oddHBand="0" w:evenHBand="0" w:firstRowFirstColumn="0" w:firstRowLastColumn="0" w:lastRowFirstColumn="0" w:lastRowLastColumn="0"/>
            </w:pPr>
            <w:r>
              <w:t>32 830</w:t>
            </w:r>
          </w:p>
        </w:tc>
      </w:tr>
      <w:tr w:rsidR="00824558" w14:paraId="1E1ED0D4"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A3A315" w14:textId="77777777" w:rsidR="00824558" w:rsidRDefault="00824558">
            <w:pPr>
              <w:ind w:left="170"/>
            </w:pPr>
            <w:r>
              <w:rPr>
                <w:i/>
              </w:rPr>
              <w:t>The 2025-26 expected outcome is lower than the 2025-26 target due to fluctuations in volunteer numbers, which is common across volunteer organisations as volunteers balance competing demands on their time.</w:t>
            </w:r>
          </w:p>
          <w:p w14:paraId="6AB4333E" w14:textId="200A7372" w:rsidR="00824558" w:rsidRDefault="00824558">
            <w:pPr>
              <w:ind w:left="170"/>
            </w:pPr>
            <w:r>
              <w:rPr>
                <w:i/>
              </w:rPr>
              <w:t xml:space="preserve">This performance measure renames the 2025-26 performance measure </w:t>
            </w:r>
            <w:r w:rsidR="007942D1">
              <w:rPr>
                <w:i/>
              </w:rPr>
              <w:t>‘</w:t>
            </w:r>
            <w:r>
              <w:rPr>
                <w:i/>
              </w:rPr>
              <w:t>Volunteers</w:t>
            </w:r>
            <w:r w:rsidR="007942D1">
              <w:rPr>
                <w:i/>
              </w:rPr>
              <w:t xml:space="preserve"> – </w:t>
            </w:r>
            <w:r>
              <w:rPr>
                <w:i/>
              </w:rPr>
              <w:t>Operational (Country Fire Authority and Victoria State Emergency Service)</w:t>
            </w:r>
            <w:r w:rsidR="007942D1">
              <w:rPr>
                <w:i/>
              </w:rPr>
              <w:t>’</w:t>
            </w:r>
            <w:r>
              <w:rPr>
                <w:i/>
              </w:rPr>
              <w:t>. The renamed measure reports on the same activity as the previous measure, however has been amended for increased clarity and consistency.</w:t>
            </w:r>
          </w:p>
        </w:tc>
      </w:tr>
      <w:tr w:rsidR="00824558" w14:paraId="65BA167A"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F3E1FCC" w14:textId="77777777" w:rsidR="00824558" w:rsidRDefault="00824558">
            <w:pPr>
              <w:keepNext/>
              <w:ind w:left="170"/>
            </w:pPr>
            <w:r>
              <w:t>Permanent non-operational full-time equivalent emergency services staff (Country Fire Authority, Victoria State Emergency Service and Fire Rescue Victoria)</w:t>
            </w:r>
          </w:p>
        </w:tc>
        <w:tc>
          <w:tcPr>
            <w:tcW w:w="964" w:type="dxa"/>
          </w:tcPr>
          <w:p w14:paraId="2D56933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D5AE1CC" w14:textId="77777777" w:rsidR="00824558" w:rsidRDefault="00824558">
            <w:pPr>
              <w:cnfStyle w:val="000000000000" w:firstRow="0" w:lastRow="0" w:firstColumn="0" w:lastColumn="0" w:oddVBand="0" w:evenVBand="0" w:oddHBand="0" w:evenHBand="0" w:firstRowFirstColumn="0" w:firstRowLastColumn="0" w:lastRowFirstColumn="0" w:lastRowLastColumn="0"/>
            </w:pPr>
            <w:r>
              <w:t>1 661</w:t>
            </w:r>
          </w:p>
        </w:tc>
        <w:tc>
          <w:tcPr>
            <w:tcW w:w="964" w:type="dxa"/>
          </w:tcPr>
          <w:p w14:paraId="5295451F" w14:textId="77777777" w:rsidR="00824558" w:rsidRDefault="00824558">
            <w:pPr>
              <w:cnfStyle w:val="000000000000" w:firstRow="0" w:lastRow="0" w:firstColumn="0" w:lastColumn="0" w:oddVBand="0" w:evenVBand="0" w:oddHBand="0" w:evenHBand="0" w:firstRowFirstColumn="0" w:firstRowLastColumn="0" w:lastRowFirstColumn="0" w:lastRowLastColumn="0"/>
            </w:pPr>
            <w:r>
              <w:t>1 656</w:t>
            </w:r>
          </w:p>
        </w:tc>
        <w:tc>
          <w:tcPr>
            <w:tcW w:w="964" w:type="dxa"/>
          </w:tcPr>
          <w:p w14:paraId="43899366" w14:textId="77777777" w:rsidR="00824558" w:rsidRDefault="00824558">
            <w:pPr>
              <w:cnfStyle w:val="000000000000" w:firstRow="0" w:lastRow="0" w:firstColumn="0" w:lastColumn="0" w:oddVBand="0" w:evenVBand="0" w:oddHBand="0" w:evenHBand="0" w:firstRowFirstColumn="0" w:firstRowLastColumn="0" w:lastRowFirstColumn="0" w:lastRowLastColumn="0"/>
            </w:pPr>
            <w:r>
              <w:t>1 653</w:t>
            </w:r>
          </w:p>
        </w:tc>
        <w:tc>
          <w:tcPr>
            <w:tcW w:w="964" w:type="dxa"/>
          </w:tcPr>
          <w:p w14:paraId="0FE8816E" w14:textId="77777777" w:rsidR="00824558" w:rsidRDefault="00824558">
            <w:pPr>
              <w:cnfStyle w:val="000000000000" w:firstRow="0" w:lastRow="0" w:firstColumn="0" w:lastColumn="0" w:oddVBand="0" w:evenVBand="0" w:oddHBand="0" w:evenHBand="0" w:firstRowFirstColumn="0" w:firstRowLastColumn="0" w:lastRowFirstColumn="0" w:lastRowLastColumn="0"/>
            </w:pPr>
            <w:r>
              <w:t>1 634</w:t>
            </w:r>
          </w:p>
        </w:tc>
      </w:tr>
      <w:tr w:rsidR="00824558" w14:paraId="40826E29"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FD2508" w14:textId="6EA827CE" w:rsidR="00824558" w:rsidRDefault="00824558">
            <w:pPr>
              <w:ind w:left="170"/>
            </w:pPr>
            <w:r>
              <w:rPr>
                <w:i/>
              </w:rPr>
              <w:t xml:space="preserve">This performance measure renames the 2025-26 performance measure </w:t>
            </w:r>
            <w:r w:rsidR="007942D1">
              <w:rPr>
                <w:i/>
              </w:rPr>
              <w:t>‘</w:t>
            </w:r>
            <w:r>
              <w:rPr>
                <w:i/>
              </w:rPr>
              <w:t>Permanent support staff (Country Fire Authority, Victoria State Emergency Service and Fire Rescue Victoria)</w:t>
            </w:r>
            <w:r w:rsidR="007942D1">
              <w:rPr>
                <w:i/>
              </w:rPr>
              <w:t>’</w:t>
            </w:r>
            <w:r>
              <w:rPr>
                <w:i/>
              </w:rPr>
              <w:t>. The renamed measure reports on the same activity as the previous measure, however has been amended for increased clarity and consistency. The higher 2026-27 target reflects anticipated workforce growth.</w:t>
            </w:r>
          </w:p>
        </w:tc>
      </w:tr>
      <w:tr w:rsidR="00824558" w14:paraId="517C58F5"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66C8F4F5" w14:textId="77777777" w:rsidR="00824558" w:rsidRDefault="00824558">
            <w:pPr>
              <w:keepNext/>
              <w:ind w:left="170"/>
            </w:pPr>
            <w:r>
              <w:t>Permanent operational full-time equivalent emergency services staff (Country Fire Authority, Victoria State Emergency Service and Fire Rescue Victoria)</w:t>
            </w:r>
          </w:p>
        </w:tc>
        <w:tc>
          <w:tcPr>
            <w:tcW w:w="964" w:type="dxa"/>
          </w:tcPr>
          <w:p w14:paraId="466A419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562BE27" w14:textId="77777777" w:rsidR="00824558" w:rsidRDefault="00824558">
            <w:pPr>
              <w:cnfStyle w:val="000000000000" w:firstRow="0" w:lastRow="0" w:firstColumn="0" w:lastColumn="0" w:oddVBand="0" w:evenVBand="0" w:oddHBand="0" w:evenHBand="0" w:firstRowFirstColumn="0" w:firstRowLastColumn="0" w:lastRowFirstColumn="0" w:lastRowLastColumn="0"/>
            </w:pPr>
            <w:r>
              <w:t>4 150</w:t>
            </w:r>
          </w:p>
        </w:tc>
        <w:tc>
          <w:tcPr>
            <w:tcW w:w="964" w:type="dxa"/>
          </w:tcPr>
          <w:p w14:paraId="6825D3E1" w14:textId="77777777" w:rsidR="00824558" w:rsidRDefault="00824558">
            <w:pPr>
              <w:cnfStyle w:val="000000000000" w:firstRow="0" w:lastRow="0" w:firstColumn="0" w:lastColumn="0" w:oddVBand="0" w:evenVBand="0" w:oddHBand="0" w:evenHBand="0" w:firstRowFirstColumn="0" w:firstRowLastColumn="0" w:lastRowFirstColumn="0" w:lastRowLastColumn="0"/>
            </w:pPr>
            <w:r>
              <w:t>4 150</w:t>
            </w:r>
          </w:p>
        </w:tc>
        <w:tc>
          <w:tcPr>
            <w:tcW w:w="964" w:type="dxa"/>
          </w:tcPr>
          <w:p w14:paraId="0E3E465E" w14:textId="77777777" w:rsidR="00824558" w:rsidRDefault="00824558">
            <w:pPr>
              <w:cnfStyle w:val="000000000000" w:firstRow="0" w:lastRow="0" w:firstColumn="0" w:lastColumn="0" w:oddVBand="0" w:evenVBand="0" w:oddHBand="0" w:evenHBand="0" w:firstRowFirstColumn="0" w:firstRowLastColumn="0" w:lastRowFirstColumn="0" w:lastRowLastColumn="0"/>
            </w:pPr>
            <w:r>
              <w:t>4 110</w:t>
            </w:r>
          </w:p>
        </w:tc>
        <w:tc>
          <w:tcPr>
            <w:tcW w:w="964" w:type="dxa"/>
          </w:tcPr>
          <w:p w14:paraId="061E3FA5" w14:textId="77777777" w:rsidR="00824558" w:rsidRDefault="00824558">
            <w:pPr>
              <w:cnfStyle w:val="000000000000" w:firstRow="0" w:lastRow="0" w:firstColumn="0" w:lastColumn="0" w:oddVBand="0" w:evenVBand="0" w:oddHBand="0" w:evenHBand="0" w:firstRowFirstColumn="0" w:firstRowLastColumn="0" w:lastRowFirstColumn="0" w:lastRowLastColumn="0"/>
            </w:pPr>
            <w:r>
              <w:t>4 120</w:t>
            </w:r>
          </w:p>
        </w:tc>
      </w:tr>
      <w:tr w:rsidR="00824558" w14:paraId="49FED76C"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6D9BCD" w14:textId="6A45F23A" w:rsidR="00824558" w:rsidRDefault="00824558">
            <w:pPr>
              <w:ind w:left="170"/>
            </w:pPr>
            <w:r>
              <w:rPr>
                <w:i/>
              </w:rPr>
              <w:t xml:space="preserve">This performance measure renames the 2025-26 performance measure </w:t>
            </w:r>
            <w:r w:rsidR="007942D1">
              <w:rPr>
                <w:i/>
              </w:rPr>
              <w:t>‘</w:t>
            </w:r>
            <w:r>
              <w:rPr>
                <w:i/>
              </w:rPr>
              <w:t>Permanent operational staff (Country Fire Authority, Victoria State Emergency Service and Fire Rescue Victoria)</w:t>
            </w:r>
            <w:r w:rsidR="007942D1">
              <w:rPr>
                <w:i/>
              </w:rPr>
              <w:t>’</w:t>
            </w:r>
            <w:r>
              <w:rPr>
                <w:i/>
              </w:rPr>
              <w:t xml:space="preserve">. The renamed measure reports on the same activity as the previous measure, however has been amended for increased clarity and consistency. </w:t>
            </w:r>
            <w:r w:rsidRPr="008A213E">
              <w:rPr>
                <w:i/>
              </w:rPr>
              <w:t>The higher 2026-27 target reflects anticipated workforce growth.</w:t>
            </w:r>
          </w:p>
        </w:tc>
      </w:tr>
      <w:tr w:rsidR="00824558" w:rsidRPr="00712860" w14:paraId="69ACEB1E"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Pr>
          <w:p w14:paraId="509B1CCE" w14:textId="77777777" w:rsidR="00824558" w:rsidRPr="00712860" w:rsidRDefault="00824558">
            <w:pPr>
              <w:keepNext/>
              <w:rPr>
                <w:b/>
                <w:bCs/>
                <w:iCs/>
              </w:rPr>
            </w:pPr>
            <w:r w:rsidRPr="00712860">
              <w:rPr>
                <w:b/>
                <w:bCs/>
                <w:iCs/>
              </w:rPr>
              <w:t>Quality</w:t>
            </w:r>
          </w:p>
        </w:tc>
      </w:tr>
      <w:tr w:rsidR="00824558" w14:paraId="290D0A64"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29C4C766" w14:textId="77777777" w:rsidR="00824558" w:rsidRDefault="00824558">
            <w:pPr>
              <w:keepNext/>
              <w:ind w:left="170"/>
            </w:pPr>
            <w:r>
              <w:t>Number of level 3 Incident Controller accredited staff and volunteers (Country Fire Authority, Victoria State Emergency Service and Fire Rescue Victoria)</w:t>
            </w:r>
          </w:p>
        </w:tc>
        <w:tc>
          <w:tcPr>
            <w:tcW w:w="964" w:type="dxa"/>
          </w:tcPr>
          <w:p w14:paraId="7D22644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B6ECC6B"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4A4F4D2"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5750EEDC"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6E84E34" w14:textId="77777777" w:rsidR="00824558" w:rsidRDefault="00824558">
            <w:pPr>
              <w:cnfStyle w:val="000000000000" w:firstRow="0" w:lastRow="0" w:firstColumn="0" w:lastColumn="0" w:oddVBand="0" w:evenVBand="0" w:oddHBand="0" w:evenHBand="0" w:firstRowFirstColumn="0" w:firstRowLastColumn="0" w:lastRowFirstColumn="0" w:lastRowLastColumn="0"/>
            </w:pPr>
            <w:r>
              <w:t>57</w:t>
            </w:r>
          </w:p>
        </w:tc>
      </w:tr>
      <w:tr w:rsidR="00824558" w14:paraId="64BEB3C7"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546E93" w14:textId="77777777" w:rsidR="00824558" w:rsidRDefault="00824558">
            <w:pPr>
              <w:ind w:left="170"/>
            </w:pPr>
            <w:r>
              <w:rPr>
                <w:i/>
              </w:rPr>
              <w:t xml:space="preserve">The 2025-26 expected outcome is lower than the 2025-26 target due to staff attrition and </w:t>
            </w:r>
            <w:r w:rsidRPr="00231D74">
              <w:rPr>
                <w:i/>
              </w:rPr>
              <w:t>timing of additional personnel completing accreditation processes</w:t>
            </w:r>
            <w:r>
              <w:rPr>
                <w:i/>
              </w:rPr>
              <w:t xml:space="preserve">. </w:t>
            </w:r>
          </w:p>
          <w:p w14:paraId="6622EBD8" w14:textId="7F49F661" w:rsidR="00824558" w:rsidRDefault="00824558">
            <w:pPr>
              <w:ind w:left="170"/>
            </w:pPr>
            <w:r>
              <w:rPr>
                <w:i/>
              </w:rPr>
              <w:t xml:space="preserve">This performance measure renames the 2025-26 performance measure </w:t>
            </w:r>
            <w:r w:rsidR="007942D1">
              <w:rPr>
                <w:i/>
              </w:rPr>
              <w:t>‘</w:t>
            </w:r>
            <w:r>
              <w:rPr>
                <w:i/>
              </w:rPr>
              <w:t>Level 3 Incident Controller accredited staff and volunteers (Country Fire Authority, Victoria State Emergency Service and Fire Rescue Victoria)</w:t>
            </w:r>
            <w:r w:rsidR="007942D1">
              <w:rPr>
                <w:i/>
              </w:rPr>
              <w:t>’</w:t>
            </w:r>
            <w:r>
              <w:rPr>
                <w:i/>
              </w:rPr>
              <w:t>. The renamed measure reports on the same activity as the previous measure, however has been amended for increased clarity and consistency.</w:t>
            </w:r>
          </w:p>
        </w:tc>
      </w:tr>
      <w:tr w:rsidR="00824558" w14:paraId="1C8CD4EB"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0303D23B" w14:textId="77777777" w:rsidR="00824558" w:rsidRDefault="00824558">
            <w:pPr>
              <w:keepNext/>
              <w:ind w:left="170"/>
            </w:pPr>
            <w:r>
              <w:t>Number of road accident rescue accredited brigades and units (Country Fire Authority, Victoria State Emergency Service and Fire Rescue Victoria)</w:t>
            </w:r>
          </w:p>
        </w:tc>
        <w:tc>
          <w:tcPr>
            <w:tcW w:w="964" w:type="dxa"/>
          </w:tcPr>
          <w:p w14:paraId="44A4DB5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37FF533" w14:textId="77777777" w:rsidR="00824558" w:rsidRDefault="00824558">
            <w:pPr>
              <w:cnfStyle w:val="000000000000" w:firstRow="0" w:lastRow="0" w:firstColumn="0" w:lastColumn="0" w:oddVBand="0" w:evenVBand="0" w:oddHBand="0" w:evenHBand="0" w:firstRowFirstColumn="0" w:firstRowLastColumn="0" w:lastRowFirstColumn="0" w:lastRowLastColumn="0"/>
            </w:pPr>
            <w:r>
              <w:t>132</w:t>
            </w:r>
          </w:p>
        </w:tc>
        <w:tc>
          <w:tcPr>
            <w:tcW w:w="964" w:type="dxa"/>
          </w:tcPr>
          <w:p w14:paraId="5EEE666A" w14:textId="77777777" w:rsidR="00824558" w:rsidRDefault="00824558">
            <w:pPr>
              <w:cnfStyle w:val="000000000000" w:firstRow="0" w:lastRow="0" w:firstColumn="0" w:lastColumn="0" w:oddVBand="0" w:evenVBand="0" w:oddHBand="0" w:evenHBand="0" w:firstRowFirstColumn="0" w:firstRowLastColumn="0" w:lastRowFirstColumn="0" w:lastRowLastColumn="0"/>
            </w:pPr>
            <w:r>
              <w:t>133</w:t>
            </w:r>
          </w:p>
        </w:tc>
        <w:tc>
          <w:tcPr>
            <w:tcW w:w="964" w:type="dxa"/>
          </w:tcPr>
          <w:p w14:paraId="7ADBD5E2" w14:textId="77777777" w:rsidR="00824558" w:rsidRDefault="00824558">
            <w:pPr>
              <w:cnfStyle w:val="000000000000" w:firstRow="0" w:lastRow="0" w:firstColumn="0" w:lastColumn="0" w:oddVBand="0" w:evenVBand="0" w:oddHBand="0" w:evenHBand="0" w:firstRowFirstColumn="0" w:firstRowLastColumn="0" w:lastRowFirstColumn="0" w:lastRowLastColumn="0"/>
            </w:pPr>
            <w:r>
              <w:t>132</w:t>
            </w:r>
          </w:p>
        </w:tc>
        <w:tc>
          <w:tcPr>
            <w:tcW w:w="964" w:type="dxa"/>
          </w:tcPr>
          <w:p w14:paraId="5EA93616" w14:textId="77777777" w:rsidR="00824558" w:rsidRDefault="00824558">
            <w:pPr>
              <w:cnfStyle w:val="000000000000" w:firstRow="0" w:lastRow="0" w:firstColumn="0" w:lastColumn="0" w:oddVBand="0" w:evenVBand="0" w:oddHBand="0" w:evenHBand="0" w:firstRowFirstColumn="0" w:firstRowLastColumn="0" w:lastRowFirstColumn="0" w:lastRowLastColumn="0"/>
            </w:pPr>
            <w:r>
              <w:t>133</w:t>
            </w:r>
          </w:p>
        </w:tc>
      </w:tr>
      <w:tr w:rsidR="00824558" w14:paraId="288FDF2F"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1D0F690" w14:textId="747F424C" w:rsidR="00824558" w:rsidRDefault="00824558">
            <w:pPr>
              <w:ind w:left="170"/>
            </w:pPr>
            <w:r>
              <w:rPr>
                <w:i/>
              </w:rPr>
              <w:t xml:space="preserve">This performance measure renames the 2025-26 performance measure </w:t>
            </w:r>
            <w:r w:rsidR="007942D1">
              <w:rPr>
                <w:i/>
              </w:rPr>
              <w:t>‘</w:t>
            </w:r>
            <w:r>
              <w:rPr>
                <w:i/>
              </w:rPr>
              <w:t>Road accident rescue accredited brigades/units (Country Fire Authority, Victoria State Emergency Service and Fire Rescue Victoria)</w:t>
            </w:r>
            <w:r w:rsidR="007942D1">
              <w:rPr>
                <w:i/>
              </w:rPr>
              <w:t>’</w:t>
            </w:r>
            <w:r>
              <w:rPr>
                <w:i/>
              </w:rPr>
              <w:t>. The renamed measure reports on the same activity as the previous measure, however has been amended for increased clarity and consistency.</w:t>
            </w:r>
          </w:p>
        </w:tc>
      </w:tr>
      <w:tr w:rsidR="00824558" w14:paraId="59C98812"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3271E4FE" w14:textId="77777777" w:rsidR="00824558" w:rsidRDefault="00824558">
            <w:pPr>
              <w:keepNext/>
              <w:ind w:left="170"/>
            </w:pPr>
            <w:r>
              <w:t>Percentage of event types accurately assigned by Triple Zero Victoria based on information provided by the caller</w:t>
            </w:r>
          </w:p>
        </w:tc>
        <w:tc>
          <w:tcPr>
            <w:tcW w:w="964" w:type="dxa"/>
          </w:tcPr>
          <w:p w14:paraId="566AB2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65743DD"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6CD35B4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360FB5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A974F4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38E0C7A"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76119A" w14:textId="77777777" w:rsidR="00824558" w:rsidRDefault="00824558">
            <w:pPr>
              <w:ind w:left="170"/>
            </w:pPr>
            <w:r>
              <w:rPr>
                <w:i/>
              </w:rPr>
              <w:t xml:space="preserve">New performance measure for 2026-27 to align with contemporary Triple Zero Victoria Performance Standards set by the Emergency Management Commissioner. </w:t>
            </w:r>
          </w:p>
        </w:tc>
      </w:tr>
      <w:tr w:rsidR="00824558" w14:paraId="7D78E519"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7B815B64" w14:textId="77777777" w:rsidR="00824558" w:rsidRDefault="00824558">
            <w:pPr>
              <w:keepNext/>
              <w:ind w:left="170"/>
            </w:pPr>
            <w:r>
              <w:t>Percentage of structural fires attended that were confined to the room of origin (Country Fire Authority and Fire Rescue Victoria)</w:t>
            </w:r>
          </w:p>
        </w:tc>
        <w:tc>
          <w:tcPr>
            <w:tcW w:w="964" w:type="dxa"/>
          </w:tcPr>
          <w:p w14:paraId="2C9BF89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69BF2F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7C41C0F" w14:textId="77777777" w:rsidR="00824558" w:rsidRDefault="00824558">
            <w:pPr>
              <w:cnfStyle w:val="000000000000" w:firstRow="0" w:lastRow="0" w:firstColumn="0" w:lastColumn="0" w:oddVBand="0" w:evenVBand="0" w:oddHBand="0" w:evenHBand="0" w:firstRowFirstColumn="0" w:firstRowLastColumn="0" w:lastRowFirstColumn="0" w:lastRowLastColumn="0"/>
            </w:pPr>
            <w:r>
              <w:t>80.5</w:t>
            </w:r>
          </w:p>
        </w:tc>
        <w:tc>
          <w:tcPr>
            <w:tcW w:w="964" w:type="dxa"/>
          </w:tcPr>
          <w:p w14:paraId="197545E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306F885" w14:textId="77777777" w:rsidR="00824558" w:rsidRDefault="00824558">
            <w:pPr>
              <w:cnfStyle w:val="000000000000" w:firstRow="0" w:lastRow="0" w:firstColumn="0" w:lastColumn="0" w:oddVBand="0" w:evenVBand="0" w:oddHBand="0" w:evenHBand="0" w:firstRowFirstColumn="0" w:firstRowLastColumn="0" w:lastRowFirstColumn="0" w:lastRowLastColumn="0"/>
            </w:pPr>
            <w:r>
              <w:t>79.1</w:t>
            </w:r>
          </w:p>
        </w:tc>
      </w:tr>
      <w:tr w:rsidR="00824558" w14:paraId="0B396111"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F9E7AB" w14:textId="53640E36" w:rsidR="00824558" w:rsidRDefault="00824558">
            <w:pPr>
              <w:ind w:left="170"/>
            </w:pPr>
            <w:r>
              <w:rPr>
                <w:i/>
              </w:rPr>
              <w:t xml:space="preserve">This performance measure renames the 2025-26 performance measure </w:t>
            </w:r>
            <w:r w:rsidR="007942D1">
              <w:rPr>
                <w:i/>
              </w:rPr>
              <w:t>‘</w:t>
            </w:r>
            <w:r>
              <w:rPr>
                <w:i/>
              </w:rPr>
              <w:t>Structural fire confined to room of origin (Country Fire Authority and Fire Rescue Victoria)</w:t>
            </w:r>
            <w:r w:rsidR="007942D1">
              <w:rPr>
                <w:i/>
              </w:rPr>
              <w:t>’</w:t>
            </w:r>
            <w:r>
              <w:rPr>
                <w:i/>
              </w:rPr>
              <w:t>. The renamed measure reports on the same activity as the previous measure, however has been amended for increased clarity and consistency.</w:t>
            </w:r>
          </w:p>
        </w:tc>
      </w:tr>
      <w:tr w:rsidR="00824558" w:rsidRPr="00712860" w14:paraId="40AAEDB5"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Pr>
          <w:p w14:paraId="334D89C4" w14:textId="77777777" w:rsidR="00824558" w:rsidRPr="00712860" w:rsidRDefault="00824558">
            <w:pPr>
              <w:keepNext/>
              <w:rPr>
                <w:b/>
                <w:bCs/>
                <w:iCs/>
              </w:rPr>
            </w:pPr>
            <w:r w:rsidRPr="00712860">
              <w:rPr>
                <w:b/>
                <w:bCs/>
                <w:iCs/>
              </w:rPr>
              <w:t>Timeliness</w:t>
            </w:r>
          </w:p>
        </w:tc>
      </w:tr>
      <w:tr w:rsidR="00824558" w14:paraId="5023FF71"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786E19DC" w14:textId="77777777" w:rsidR="00824558" w:rsidRDefault="00824558">
            <w:pPr>
              <w:keepNext/>
              <w:ind w:left="170"/>
            </w:pPr>
            <w:r>
              <w:t>Percentage of emergency calls for an ambulance answered within set benchmark (Triple Zero Victoria)</w:t>
            </w:r>
          </w:p>
        </w:tc>
        <w:tc>
          <w:tcPr>
            <w:tcW w:w="964" w:type="dxa"/>
          </w:tcPr>
          <w:p w14:paraId="32E2F6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8117DB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20F9C1B"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0BE4A97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E4675D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14:paraId="20148890"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00B6453" w14:textId="38E39777" w:rsidR="00824558" w:rsidRDefault="00824558">
            <w:pPr>
              <w:ind w:left="170"/>
            </w:pPr>
            <w:r>
              <w:rPr>
                <w:i/>
              </w:rPr>
              <w:t xml:space="preserve">This performance measure renames the 2025-26 performance measure </w:t>
            </w:r>
            <w:r w:rsidR="007942D1">
              <w:rPr>
                <w:i/>
              </w:rPr>
              <w:t>‘</w:t>
            </w:r>
            <w:r>
              <w:rPr>
                <w:i/>
              </w:rPr>
              <w:t>Emergency call answer speed meeting benchmark</w:t>
            </w:r>
            <w:r w:rsidR="007942D1">
              <w:rPr>
                <w:i/>
              </w:rPr>
              <w:t xml:space="preserve"> – </w:t>
            </w:r>
            <w:r>
              <w:rPr>
                <w:i/>
              </w:rPr>
              <w:t>Ambulance Victoria (Triple Zero Victoria)</w:t>
            </w:r>
            <w:r w:rsidR="007942D1">
              <w:rPr>
                <w:i/>
              </w:rPr>
              <w:t>’</w:t>
            </w:r>
            <w:r>
              <w:rPr>
                <w:i/>
              </w:rPr>
              <w:t>. The renamed measure reports on the same activity as the previous measure, however has been amended to align with contemporary Triple Zero Victoria Performance Standards set by the Emergency Management Commissioner.</w:t>
            </w:r>
          </w:p>
        </w:tc>
      </w:tr>
      <w:tr w:rsidR="00824558" w14:paraId="2D51CD88"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4EC7CFEF" w14:textId="77777777" w:rsidR="00824558" w:rsidRDefault="00824558">
            <w:pPr>
              <w:keepNext/>
              <w:ind w:left="170"/>
            </w:pPr>
            <w:r>
              <w:lastRenderedPageBreak/>
              <w:t>Percentage of emergency calls for Country Fire Authority answered within set benchmark (Triple Zero Victoria)</w:t>
            </w:r>
          </w:p>
        </w:tc>
        <w:tc>
          <w:tcPr>
            <w:tcW w:w="964" w:type="dxa"/>
          </w:tcPr>
          <w:p w14:paraId="6280D29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1B279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3C9E188" w14:textId="77777777" w:rsidR="00824558" w:rsidRDefault="00824558">
            <w:pPr>
              <w:cnfStyle w:val="000000000000" w:firstRow="0" w:lastRow="0" w:firstColumn="0" w:lastColumn="0" w:oddVBand="0" w:evenVBand="0" w:oddHBand="0" w:evenHBand="0" w:firstRowFirstColumn="0" w:firstRowLastColumn="0" w:lastRowFirstColumn="0" w:lastRowLastColumn="0"/>
            </w:pPr>
            <w:r>
              <w:t>96.9</w:t>
            </w:r>
          </w:p>
        </w:tc>
        <w:tc>
          <w:tcPr>
            <w:tcW w:w="964" w:type="dxa"/>
          </w:tcPr>
          <w:p w14:paraId="32DE01E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9FC40E2"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1F65088B"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46B36C" w14:textId="77777777" w:rsidR="00824558" w:rsidRDefault="00824558" w:rsidP="00CD2413">
            <w:pPr>
              <w:keepNext/>
              <w:ind w:left="170"/>
            </w:pPr>
            <w:r>
              <w:rPr>
                <w:i/>
              </w:rPr>
              <w:t>The 2025-26 expected outcome is higher than the 2025-26 target due to increased investment in operational staff and enhanced rostering practices.</w:t>
            </w:r>
          </w:p>
          <w:p w14:paraId="515E07FB" w14:textId="2EFA2A8B" w:rsidR="00824558" w:rsidRDefault="00824558">
            <w:pPr>
              <w:ind w:left="170"/>
            </w:pPr>
            <w:r>
              <w:rPr>
                <w:i/>
              </w:rPr>
              <w:t xml:space="preserve">This performance measure renames the 2025-26 performance measure </w:t>
            </w:r>
            <w:r w:rsidR="007942D1">
              <w:rPr>
                <w:i/>
              </w:rPr>
              <w:t>‘</w:t>
            </w:r>
            <w:r>
              <w:rPr>
                <w:i/>
              </w:rPr>
              <w:t>Emergency call answer speed meeting benchmark</w:t>
            </w:r>
            <w:r w:rsidR="007942D1">
              <w:rPr>
                <w:i/>
              </w:rPr>
              <w:t xml:space="preserve"> – </w:t>
            </w:r>
            <w:r>
              <w:rPr>
                <w:i/>
              </w:rPr>
              <w:t>Country Fire Authority (Triple Zero Victoria)</w:t>
            </w:r>
            <w:r w:rsidR="007942D1">
              <w:rPr>
                <w:i/>
              </w:rPr>
              <w:t>’</w:t>
            </w:r>
            <w:r>
              <w:rPr>
                <w:i/>
              </w:rPr>
              <w:t xml:space="preserve">. The renamed measure reports on the same activity as the previous measure, however has been amended to align with contemporary Triple Zero Victoria Performance Standards set by the Emergency Management Commissioner. </w:t>
            </w:r>
          </w:p>
        </w:tc>
      </w:tr>
      <w:tr w:rsidR="00824558" w14:paraId="76FA6E37"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0205869B" w14:textId="77777777" w:rsidR="00824558" w:rsidRDefault="00824558">
            <w:pPr>
              <w:keepNext/>
              <w:ind w:left="170"/>
            </w:pPr>
            <w:r>
              <w:t>Percentage of emergency calls for Fire Rescue Victoria answered within set benchmark (Triple Zero Victoria)</w:t>
            </w:r>
          </w:p>
        </w:tc>
        <w:tc>
          <w:tcPr>
            <w:tcW w:w="964" w:type="dxa"/>
          </w:tcPr>
          <w:p w14:paraId="29098E1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E9C375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A04A7B3"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Pr>
          <w:p w14:paraId="1FA271C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5F444A6" w14:textId="77777777" w:rsidR="00824558" w:rsidRDefault="00824558">
            <w:pPr>
              <w:cnfStyle w:val="000000000000" w:firstRow="0" w:lastRow="0" w:firstColumn="0" w:lastColumn="0" w:oddVBand="0" w:evenVBand="0" w:oddHBand="0" w:evenHBand="0" w:firstRowFirstColumn="0" w:firstRowLastColumn="0" w:lastRowFirstColumn="0" w:lastRowLastColumn="0"/>
            </w:pPr>
            <w:r>
              <w:t>95.9</w:t>
            </w:r>
          </w:p>
        </w:tc>
      </w:tr>
      <w:tr w:rsidR="00824558" w14:paraId="56EC7A66"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6332FD" w14:textId="77777777" w:rsidR="00824558" w:rsidRDefault="00824558">
            <w:pPr>
              <w:ind w:left="170"/>
            </w:pPr>
            <w:r>
              <w:rPr>
                <w:i/>
              </w:rPr>
              <w:t>The 2025-26 expected outcome is higher than the 2025-26 target due to proactive fire services rostering minimum staffing levels based on fire danger ratings, rather than solely on demand-driven requirements.</w:t>
            </w:r>
          </w:p>
          <w:p w14:paraId="78A7C2E3" w14:textId="1BA74D0B" w:rsidR="00824558" w:rsidRDefault="00824558">
            <w:pPr>
              <w:ind w:left="170"/>
            </w:pPr>
            <w:r>
              <w:rPr>
                <w:i/>
              </w:rPr>
              <w:t xml:space="preserve">This performance measure renames the 2025-26 performance measure </w:t>
            </w:r>
            <w:r w:rsidR="007942D1">
              <w:rPr>
                <w:i/>
              </w:rPr>
              <w:t>‘</w:t>
            </w:r>
            <w:r>
              <w:rPr>
                <w:i/>
              </w:rPr>
              <w:t>Emergency call answer speed meeting benchmark</w:t>
            </w:r>
            <w:r w:rsidR="007942D1">
              <w:rPr>
                <w:i/>
              </w:rPr>
              <w:t xml:space="preserve"> – </w:t>
            </w:r>
            <w:r>
              <w:rPr>
                <w:i/>
              </w:rPr>
              <w:t>Fire Rescue Victoria (Triple Zero Victoria)</w:t>
            </w:r>
            <w:r w:rsidR="007942D1">
              <w:rPr>
                <w:i/>
              </w:rPr>
              <w:t>’</w:t>
            </w:r>
            <w:r>
              <w:rPr>
                <w:i/>
              </w:rPr>
              <w:t xml:space="preserve">. The renamed measure reports on the same activity as the previous measure, however has been amended to align with contemporary Triple Zero Victoria Performance Standards set by the Emergency Management Commissioner. </w:t>
            </w:r>
          </w:p>
        </w:tc>
      </w:tr>
      <w:tr w:rsidR="00824558" w14:paraId="4B52036A"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49206D8D" w14:textId="77777777" w:rsidR="00824558" w:rsidRDefault="00824558">
            <w:pPr>
              <w:keepNext/>
              <w:ind w:left="170"/>
            </w:pPr>
            <w:r>
              <w:t>Percentage of emergency calls for police answered within set benchmark (Triple Zero Victoria)</w:t>
            </w:r>
          </w:p>
        </w:tc>
        <w:tc>
          <w:tcPr>
            <w:tcW w:w="964" w:type="dxa"/>
          </w:tcPr>
          <w:p w14:paraId="7C17938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F83DC6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0AAB846" w14:textId="77777777" w:rsidR="00824558" w:rsidRDefault="00824558">
            <w:pPr>
              <w:cnfStyle w:val="000000000000" w:firstRow="0" w:lastRow="0" w:firstColumn="0" w:lastColumn="0" w:oddVBand="0" w:evenVBand="0" w:oddHBand="0" w:evenHBand="0" w:firstRowFirstColumn="0" w:firstRowLastColumn="0" w:lastRowFirstColumn="0" w:lastRowLastColumn="0"/>
            </w:pPr>
            <w:r>
              <w:t>88.3</w:t>
            </w:r>
          </w:p>
        </w:tc>
        <w:tc>
          <w:tcPr>
            <w:tcW w:w="964" w:type="dxa"/>
          </w:tcPr>
          <w:p w14:paraId="606C4E5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6072638"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14:paraId="252888CC"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59E7E1" w14:textId="77777777" w:rsidR="00824558" w:rsidRDefault="00824558">
            <w:pPr>
              <w:ind w:left="170"/>
            </w:pPr>
            <w:r>
              <w:rPr>
                <w:i/>
              </w:rPr>
              <w:t xml:space="preserve">The 2025-26 expected outcome is higher than the 2025-26 target due to government investment in call taking capacity to respond to daily call activity and to meet spikes in community demand for policing and safety requests for assistance via TZV. </w:t>
            </w:r>
          </w:p>
          <w:p w14:paraId="28216B92" w14:textId="038AE790" w:rsidR="00824558" w:rsidRDefault="00824558">
            <w:pPr>
              <w:ind w:left="170"/>
            </w:pPr>
            <w:r>
              <w:rPr>
                <w:i/>
              </w:rPr>
              <w:t xml:space="preserve">This performance measure renames the 2025-26 performance measure </w:t>
            </w:r>
            <w:r w:rsidR="007942D1">
              <w:rPr>
                <w:i/>
              </w:rPr>
              <w:t>‘</w:t>
            </w:r>
            <w:r>
              <w:rPr>
                <w:i/>
              </w:rPr>
              <w:t>Emergency call answer speed meeting benchmark</w:t>
            </w:r>
            <w:r w:rsidR="007942D1">
              <w:rPr>
                <w:i/>
              </w:rPr>
              <w:t xml:space="preserve"> – </w:t>
            </w:r>
            <w:r>
              <w:rPr>
                <w:i/>
              </w:rPr>
              <w:t>Victoria Police (Triple Zero Victoria)</w:t>
            </w:r>
            <w:r w:rsidR="007942D1">
              <w:rPr>
                <w:i/>
              </w:rPr>
              <w:t>’</w:t>
            </w:r>
            <w:r>
              <w:rPr>
                <w:i/>
              </w:rPr>
              <w:t xml:space="preserve">. The renamed measure reports on the same activity as the previous measure, however has been amended to align with contemporary Triple Zero Victoria Performance Standards set by the Emergency Management Commissioner. </w:t>
            </w:r>
          </w:p>
        </w:tc>
      </w:tr>
      <w:tr w:rsidR="00824558" w14:paraId="0D4B3966"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F14BBE6" w14:textId="77777777" w:rsidR="00824558" w:rsidRDefault="00824558">
            <w:pPr>
              <w:keepNext/>
              <w:ind w:left="170"/>
            </w:pPr>
            <w:r>
              <w:t>Percentage of calls for Victoria State Emergency Service (132 500) answered within set benchmark (Triple Zero Victoria)</w:t>
            </w:r>
          </w:p>
        </w:tc>
        <w:tc>
          <w:tcPr>
            <w:tcW w:w="964" w:type="dxa"/>
          </w:tcPr>
          <w:p w14:paraId="79792C7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EDEDED" w:themeFill="accent3" w:themeFillTint="33"/>
          </w:tcPr>
          <w:p w14:paraId="38AB96C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9C3A643"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c>
          <w:tcPr>
            <w:tcW w:w="964" w:type="dxa"/>
          </w:tcPr>
          <w:p w14:paraId="51CE0FA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93ABC00" w14:textId="77777777" w:rsidR="00824558" w:rsidRDefault="00824558">
            <w:pPr>
              <w:cnfStyle w:val="000000000000" w:firstRow="0" w:lastRow="0" w:firstColumn="0" w:lastColumn="0" w:oddVBand="0" w:evenVBand="0" w:oddHBand="0" w:evenHBand="0" w:firstRowFirstColumn="0" w:firstRowLastColumn="0" w:lastRowFirstColumn="0" w:lastRowLastColumn="0"/>
            </w:pPr>
            <w:r>
              <w:t>85.6</w:t>
            </w:r>
          </w:p>
        </w:tc>
      </w:tr>
      <w:tr w:rsidR="00824558" w14:paraId="6F37B5B8"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E5B907" w14:textId="77777777" w:rsidR="00824558" w:rsidRDefault="00824558">
            <w:pPr>
              <w:ind w:left="170"/>
            </w:pPr>
            <w:r>
              <w:rPr>
                <w:i/>
              </w:rPr>
              <w:t>The 2025-26 expected outcome is lower than the 2025-26 target due to an increase in demand during the peak season driven by surge events.</w:t>
            </w:r>
          </w:p>
          <w:p w14:paraId="1CF7F326" w14:textId="05F9AA3F" w:rsidR="00824558" w:rsidRDefault="00824558">
            <w:pPr>
              <w:ind w:left="170"/>
            </w:pPr>
            <w:r>
              <w:rPr>
                <w:i/>
              </w:rPr>
              <w:t xml:space="preserve">This performance measure renames the 2025-26 performance measure </w:t>
            </w:r>
            <w:r w:rsidR="007942D1">
              <w:rPr>
                <w:i/>
              </w:rPr>
              <w:t>‘</w:t>
            </w:r>
            <w:r>
              <w:rPr>
                <w:i/>
              </w:rPr>
              <w:t>Emergency call answer speed meeting benchmark</w:t>
            </w:r>
            <w:r w:rsidR="007942D1">
              <w:rPr>
                <w:i/>
              </w:rPr>
              <w:t xml:space="preserve"> – </w:t>
            </w:r>
            <w:r>
              <w:rPr>
                <w:i/>
              </w:rPr>
              <w:t>Victoria State Emergency Service (Triple Zero Victoria)</w:t>
            </w:r>
            <w:r w:rsidR="007942D1">
              <w:rPr>
                <w:i/>
              </w:rPr>
              <w:t>’</w:t>
            </w:r>
            <w:r>
              <w:rPr>
                <w:i/>
              </w:rPr>
              <w:t xml:space="preserve">. The renamed measure reports on the same activity as the previous measure, however has been amended to align with contemporary Triple Zero Victoria Performance Standards set by the Emergency Management Commissioner. </w:t>
            </w:r>
          </w:p>
        </w:tc>
      </w:tr>
      <w:tr w:rsidR="00824558" w14:paraId="3A41C4EC"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47434788" w14:textId="77777777" w:rsidR="00824558" w:rsidRDefault="00824558">
            <w:pPr>
              <w:keepNext/>
              <w:ind w:left="170"/>
            </w:pPr>
            <w:r>
              <w:t>Percentage of emergency medical response incidents responded to within set benchmarks (Fire Rescue Victoria)</w:t>
            </w:r>
          </w:p>
        </w:tc>
        <w:tc>
          <w:tcPr>
            <w:tcW w:w="964" w:type="dxa"/>
          </w:tcPr>
          <w:p w14:paraId="7B1C17A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FC3528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342EE20"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9B601B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66BA265" w14:textId="77777777" w:rsidR="00824558" w:rsidRDefault="00824558">
            <w:pPr>
              <w:cnfStyle w:val="000000000000" w:firstRow="0" w:lastRow="0" w:firstColumn="0" w:lastColumn="0" w:oddVBand="0" w:evenVBand="0" w:oddHBand="0" w:evenHBand="0" w:firstRowFirstColumn="0" w:firstRowLastColumn="0" w:lastRowFirstColumn="0" w:lastRowLastColumn="0"/>
            </w:pPr>
            <w:r>
              <w:t>94.8</w:t>
            </w:r>
          </w:p>
        </w:tc>
      </w:tr>
      <w:tr w:rsidR="00824558" w14:paraId="141B0C9C"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2C6F79" w14:textId="17DD8EBE" w:rsidR="00824558" w:rsidRDefault="00824558">
            <w:pPr>
              <w:ind w:left="170"/>
            </w:pPr>
            <w:r>
              <w:rPr>
                <w:i/>
              </w:rPr>
              <w:t>The 2025-26 expected outcome is higher than the 2025-26 target due to response times exceeding performance benchmarks for Fire Rescue Victoria</w:t>
            </w:r>
            <w:r w:rsidR="007942D1">
              <w:rPr>
                <w:i/>
              </w:rPr>
              <w:t>’</w:t>
            </w:r>
            <w:r>
              <w:rPr>
                <w:i/>
              </w:rPr>
              <w:t>s emergency medical response during the reporting period.</w:t>
            </w:r>
          </w:p>
          <w:p w14:paraId="2BBD315A" w14:textId="5657A46E"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emergency medical response (Fire Rescue Victoria)</w:t>
            </w:r>
            <w:r w:rsidR="007942D1">
              <w:rPr>
                <w:i/>
              </w:rPr>
              <w:t>’</w:t>
            </w:r>
            <w:r>
              <w:rPr>
                <w:i/>
              </w:rPr>
              <w:t>. The renamed measure reports on the same activity as the previous measure, however has been amended for consistency.</w:t>
            </w:r>
          </w:p>
        </w:tc>
      </w:tr>
      <w:tr w:rsidR="00824558" w14:paraId="6385838B"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6CBF7803" w14:textId="77777777" w:rsidR="00824558" w:rsidRDefault="00824558">
            <w:pPr>
              <w:keepNext/>
              <w:ind w:left="170"/>
            </w:pPr>
            <w:r>
              <w:t>Percentage of Priority 0 ambulance events dispatched within set benchmark (Triple Zero Victoria)</w:t>
            </w:r>
          </w:p>
        </w:tc>
        <w:tc>
          <w:tcPr>
            <w:tcW w:w="964" w:type="dxa"/>
          </w:tcPr>
          <w:p w14:paraId="086C05E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32B174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729E18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CBCE75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604719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9755D3F"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144A5C" w14:textId="77777777" w:rsidR="00824558" w:rsidRDefault="00824558">
            <w:pPr>
              <w:ind w:left="170"/>
            </w:pPr>
            <w:r>
              <w:rPr>
                <w:i/>
              </w:rPr>
              <w:t>New performance measure for 2026-27 to capture the time taken for Triple Zero Victoria to dispatch Priority 0 events for an ambulance and to align with contemporary Triple Zero Victoria Performance Standards set by the Emergency Management Commissioner.</w:t>
            </w:r>
          </w:p>
        </w:tc>
      </w:tr>
      <w:tr w:rsidR="00824558" w14:paraId="0E8113F8"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56873212" w14:textId="77777777" w:rsidR="00824558" w:rsidRDefault="00824558">
            <w:pPr>
              <w:keepNext/>
              <w:ind w:left="170"/>
            </w:pPr>
            <w:r>
              <w:t>Percentage of Priority 0 emergency calls for an ambulance processed within set benchmark (Triple Zero Victoria)</w:t>
            </w:r>
          </w:p>
        </w:tc>
        <w:tc>
          <w:tcPr>
            <w:tcW w:w="964" w:type="dxa"/>
          </w:tcPr>
          <w:p w14:paraId="1B98C3D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E9EE1A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042D05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E3FF7F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719A94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E44A886"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8E7C386" w14:textId="77777777" w:rsidR="00824558" w:rsidRDefault="00824558">
            <w:pPr>
              <w:ind w:left="170"/>
            </w:pPr>
            <w:r>
              <w:rPr>
                <w:i/>
              </w:rPr>
              <w:t>New performance measure for 2026-27 to capture the time taken for Triple Zero Victoria to process Priority 0 emergency calls for an ambulance and to align with contemporary Triple Zero Victoria Performance Standards set by the Emergency Management Commissioner.</w:t>
            </w:r>
          </w:p>
        </w:tc>
      </w:tr>
      <w:tr w:rsidR="00824558" w14:paraId="5297B1D0"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6B01E309" w14:textId="77777777" w:rsidR="00824558" w:rsidRDefault="00824558">
            <w:pPr>
              <w:keepNext/>
              <w:ind w:left="170"/>
            </w:pPr>
            <w:r>
              <w:t>Percentage of Priority 1 ambulance events dispatched within set benchmark (Triple Zero Victoria)</w:t>
            </w:r>
          </w:p>
        </w:tc>
        <w:tc>
          <w:tcPr>
            <w:tcW w:w="964" w:type="dxa"/>
          </w:tcPr>
          <w:p w14:paraId="426FBF9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416C0E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7F23F3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3702C1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15986D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95422F1"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8D5720" w14:textId="77777777" w:rsidR="00824558" w:rsidRDefault="00824558">
            <w:pPr>
              <w:ind w:left="170"/>
            </w:pPr>
            <w:r>
              <w:rPr>
                <w:i/>
              </w:rPr>
              <w:t>New performance measure for 2026-27 to capture the time taken for Triple Zero Victoria to dispatch Priority 1 events for an ambulance and to align with contemporary Triple Zero Victoria Performance Standards set by the Emergency Management Commissioner.</w:t>
            </w:r>
          </w:p>
        </w:tc>
      </w:tr>
      <w:tr w:rsidR="00824558" w14:paraId="48B6ACDF"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5BCD59DB" w14:textId="77777777" w:rsidR="00824558" w:rsidRDefault="00824558">
            <w:pPr>
              <w:keepNext/>
              <w:ind w:left="170"/>
            </w:pPr>
            <w:r>
              <w:t>Percentage of Priority 1 emergency calls for an ambulance processed within set benchmark (Triple Zero Victoria)</w:t>
            </w:r>
          </w:p>
        </w:tc>
        <w:tc>
          <w:tcPr>
            <w:tcW w:w="964" w:type="dxa"/>
          </w:tcPr>
          <w:p w14:paraId="6FFD0C6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9D1060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2E1599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A37CDC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9DE1AC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0694949"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12B9A9" w14:textId="77777777" w:rsidR="00824558" w:rsidRDefault="00824558">
            <w:pPr>
              <w:ind w:left="170"/>
            </w:pPr>
            <w:r>
              <w:rPr>
                <w:i/>
              </w:rPr>
              <w:t>New performance measure for 2026-27 to capture the time taken for Triple Zero Victoria to process Priority 1 emergency calls for an ambulance and to align with contemporary Triple Zero Victoria Performance Standards set by the Emergency Management Commissioner.</w:t>
            </w:r>
          </w:p>
        </w:tc>
      </w:tr>
      <w:tr w:rsidR="00824558" w14:paraId="1305FF30"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022D348A" w14:textId="77777777" w:rsidR="00824558" w:rsidRDefault="00824558">
            <w:pPr>
              <w:keepNext/>
              <w:ind w:left="170"/>
            </w:pPr>
            <w:r>
              <w:t>Percentage of Priority 1 emergency calls for police processed within set benchmark (Triple Zero Victoria)</w:t>
            </w:r>
          </w:p>
        </w:tc>
        <w:tc>
          <w:tcPr>
            <w:tcW w:w="964" w:type="dxa"/>
          </w:tcPr>
          <w:p w14:paraId="1B453C6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A2AB34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32B96C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A45670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38D691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339EDAF"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81B87E9" w14:textId="77777777" w:rsidR="00824558" w:rsidRDefault="00824558">
            <w:pPr>
              <w:ind w:left="170"/>
            </w:pPr>
            <w:r>
              <w:rPr>
                <w:i/>
              </w:rPr>
              <w:t>New performance measure for 2026-27 to capture the time taken for Triple Zero Victoria to process Priority 1 emergency calls for Police response and to align with contemporary Triple Zero Victoria Performance Standards set by the Emergency Management Commissioner.</w:t>
            </w:r>
          </w:p>
        </w:tc>
      </w:tr>
      <w:tr w:rsidR="00824558" w14:paraId="2B44F4DF"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60600599" w14:textId="77777777" w:rsidR="00824558" w:rsidRDefault="00824558">
            <w:pPr>
              <w:keepNext/>
              <w:ind w:left="170"/>
            </w:pPr>
            <w:r>
              <w:lastRenderedPageBreak/>
              <w:t>Percentage of Priority 1 events for Country Fire Authority processed and dispatched within set benchmarks (Triple Zero Victoria)</w:t>
            </w:r>
          </w:p>
        </w:tc>
        <w:tc>
          <w:tcPr>
            <w:tcW w:w="964" w:type="dxa"/>
          </w:tcPr>
          <w:p w14:paraId="5EC3B32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4BD81B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52718EF" w14:textId="77777777" w:rsidR="00824558" w:rsidRDefault="00824558">
            <w:pPr>
              <w:cnfStyle w:val="000000000000" w:firstRow="0" w:lastRow="0" w:firstColumn="0" w:lastColumn="0" w:oddVBand="0" w:evenVBand="0" w:oddHBand="0" w:evenHBand="0" w:firstRowFirstColumn="0" w:firstRowLastColumn="0" w:lastRowFirstColumn="0" w:lastRowLastColumn="0"/>
            </w:pPr>
            <w:r>
              <w:t>93.4</w:t>
            </w:r>
          </w:p>
        </w:tc>
        <w:tc>
          <w:tcPr>
            <w:tcW w:w="964" w:type="dxa"/>
          </w:tcPr>
          <w:p w14:paraId="07F46A8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6A7B7DA" w14:textId="77777777" w:rsidR="00824558" w:rsidRDefault="00824558">
            <w:pPr>
              <w:cnfStyle w:val="000000000000" w:firstRow="0" w:lastRow="0" w:firstColumn="0" w:lastColumn="0" w:oddVBand="0" w:evenVBand="0" w:oddHBand="0" w:evenHBand="0" w:firstRowFirstColumn="0" w:firstRowLastColumn="0" w:lastRowFirstColumn="0" w:lastRowLastColumn="0"/>
            </w:pPr>
            <w:r>
              <w:t>92.8</w:t>
            </w:r>
          </w:p>
        </w:tc>
      </w:tr>
      <w:tr w:rsidR="00824558" w14:paraId="44C3973B"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F72DE37" w14:textId="6844FC3C" w:rsidR="00824558" w:rsidRDefault="00824558">
            <w:pPr>
              <w:ind w:left="170"/>
            </w:pPr>
            <w:r>
              <w:rPr>
                <w:i/>
              </w:rPr>
              <w:t xml:space="preserve">This performance measure renames the 2025-26 performance measure </w:t>
            </w:r>
            <w:r w:rsidR="007942D1">
              <w:rPr>
                <w:i/>
              </w:rPr>
              <w:t>‘</w:t>
            </w:r>
            <w:r>
              <w:rPr>
                <w:i/>
              </w:rPr>
              <w:t>Priority 1 dispatch performance meeting benchmarks</w:t>
            </w:r>
            <w:r w:rsidR="007942D1">
              <w:rPr>
                <w:i/>
              </w:rPr>
              <w:t xml:space="preserve"> – </w:t>
            </w:r>
            <w:r>
              <w:rPr>
                <w:i/>
              </w:rPr>
              <w:t>Country Fire Authority (Triple Zero Victoria)</w:t>
            </w:r>
            <w:r w:rsidR="007942D1">
              <w:rPr>
                <w:i/>
              </w:rPr>
              <w:t>’</w:t>
            </w:r>
            <w:r>
              <w:rPr>
                <w:i/>
              </w:rPr>
              <w:t xml:space="preserve">. The renamed measure reports on the same activity as the previous measure, however has been amended to align with contemporary Triple Zero Victoria Performance Standards set by the Emergency Management Commissioner. </w:t>
            </w:r>
          </w:p>
        </w:tc>
      </w:tr>
      <w:tr w:rsidR="00824558" w14:paraId="7009C54F"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E8D9591" w14:textId="77777777" w:rsidR="00824558" w:rsidRDefault="00824558">
            <w:pPr>
              <w:keepNext/>
              <w:ind w:left="170"/>
            </w:pPr>
            <w:r>
              <w:t>Percentage of Priority 1 events for Fire Rescue Victoria processed and dispatched within set benchmarks (Triple Zero Victoria)</w:t>
            </w:r>
          </w:p>
        </w:tc>
        <w:tc>
          <w:tcPr>
            <w:tcW w:w="964" w:type="dxa"/>
          </w:tcPr>
          <w:p w14:paraId="38AF9B1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3DCA84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330821D" w14:textId="77777777" w:rsidR="00824558" w:rsidRDefault="00824558">
            <w:pPr>
              <w:cnfStyle w:val="000000000000" w:firstRow="0" w:lastRow="0" w:firstColumn="0" w:lastColumn="0" w:oddVBand="0" w:evenVBand="0" w:oddHBand="0" w:evenHBand="0" w:firstRowFirstColumn="0" w:firstRowLastColumn="0" w:lastRowFirstColumn="0" w:lastRowLastColumn="0"/>
            </w:pPr>
            <w:r>
              <w:t>94.1</w:t>
            </w:r>
          </w:p>
        </w:tc>
        <w:tc>
          <w:tcPr>
            <w:tcW w:w="964" w:type="dxa"/>
          </w:tcPr>
          <w:p w14:paraId="76FC4F9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886A236" w14:textId="77777777" w:rsidR="00824558" w:rsidRDefault="00824558">
            <w:pPr>
              <w:cnfStyle w:val="000000000000" w:firstRow="0" w:lastRow="0" w:firstColumn="0" w:lastColumn="0" w:oddVBand="0" w:evenVBand="0" w:oddHBand="0" w:evenHBand="0" w:firstRowFirstColumn="0" w:firstRowLastColumn="0" w:lastRowFirstColumn="0" w:lastRowLastColumn="0"/>
            </w:pPr>
            <w:r>
              <w:t>93.4</w:t>
            </w:r>
          </w:p>
        </w:tc>
      </w:tr>
      <w:tr w:rsidR="00824558" w14:paraId="4B77C1B4"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E363C8" w14:textId="0A0DA2FD" w:rsidR="00824558" w:rsidRDefault="00824558">
            <w:pPr>
              <w:ind w:left="170"/>
            </w:pPr>
            <w:r>
              <w:rPr>
                <w:i/>
              </w:rPr>
              <w:t xml:space="preserve">This performance measure renames the 2025-26 performance measure </w:t>
            </w:r>
            <w:r w:rsidR="007942D1">
              <w:rPr>
                <w:i/>
              </w:rPr>
              <w:t>‘</w:t>
            </w:r>
            <w:r>
              <w:rPr>
                <w:i/>
              </w:rPr>
              <w:t>Priority 1 dispatch performance meeting benchmarks</w:t>
            </w:r>
            <w:r w:rsidR="007942D1">
              <w:rPr>
                <w:i/>
              </w:rPr>
              <w:t xml:space="preserve"> – </w:t>
            </w:r>
            <w:r>
              <w:rPr>
                <w:i/>
              </w:rPr>
              <w:t>Fire Rescue Victoria (Triple Zero Victoria)</w:t>
            </w:r>
            <w:r w:rsidR="007942D1">
              <w:rPr>
                <w:i/>
              </w:rPr>
              <w:t>’</w:t>
            </w:r>
            <w:r>
              <w:rPr>
                <w:i/>
              </w:rPr>
              <w:t xml:space="preserve">. The renamed measure reports on the same activity as the previous measure, however has been amended for increased clarity and align with contemporary Triple Zero Victoria Performance Standards set by the Emergency Management Commissioner. </w:t>
            </w:r>
          </w:p>
        </w:tc>
      </w:tr>
      <w:tr w:rsidR="00824558" w14:paraId="1A13A5E6"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4C4EEC42" w14:textId="77777777" w:rsidR="00824558" w:rsidRDefault="00824558">
            <w:pPr>
              <w:keepNext/>
              <w:ind w:left="170"/>
            </w:pPr>
            <w:r>
              <w:t>Percentage of Priority 1 police events dispatched within set benchmark (Triple Zero Victoria)</w:t>
            </w:r>
          </w:p>
        </w:tc>
        <w:tc>
          <w:tcPr>
            <w:tcW w:w="964" w:type="dxa"/>
          </w:tcPr>
          <w:p w14:paraId="0ACA7F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59BCDF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53A6A02" w14:textId="77777777" w:rsidR="00824558" w:rsidRDefault="00824558">
            <w:pPr>
              <w:cnfStyle w:val="000000000000" w:firstRow="0" w:lastRow="0" w:firstColumn="0" w:lastColumn="0" w:oddVBand="0" w:evenVBand="0" w:oddHBand="0" w:evenHBand="0" w:firstRowFirstColumn="0" w:firstRowLastColumn="0" w:lastRowFirstColumn="0" w:lastRowLastColumn="0"/>
            </w:pPr>
            <w:r>
              <w:t>94.2</w:t>
            </w:r>
          </w:p>
        </w:tc>
        <w:tc>
          <w:tcPr>
            <w:tcW w:w="964" w:type="dxa"/>
          </w:tcPr>
          <w:p w14:paraId="7D01954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0C9D596" w14:textId="77777777" w:rsidR="00824558" w:rsidRDefault="00824558">
            <w:pPr>
              <w:cnfStyle w:val="000000000000" w:firstRow="0" w:lastRow="0" w:firstColumn="0" w:lastColumn="0" w:oddVBand="0" w:evenVBand="0" w:oddHBand="0" w:evenHBand="0" w:firstRowFirstColumn="0" w:firstRowLastColumn="0" w:lastRowFirstColumn="0" w:lastRowLastColumn="0"/>
            </w:pPr>
            <w:r>
              <w:t>94.4</w:t>
            </w:r>
          </w:p>
        </w:tc>
      </w:tr>
      <w:tr w:rsidR="00824558" w14:paraId="07E0A492"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ED02A30" w14:textId="77777777" w:rsidR="00824558" w:rsidRDefault="00824558">
            <w:pPr>
              <w:ind w:left="170"/>
            </w:pPr>
            <w:r>
              <w:rPr>
                <w:i/>
              </w:rPr>
              <w:t xml:space="preserve">The 2025-26 expected outcome is higher than the 2025-26 target due to an increase in the number of police officers and protective services officers, ensuring the timely dispatch of Police to Priority 1 incidents. </w:t>
            </w:r>
          </w:p>
          <w:p w14:paraId="12EF7823" w14:textId="516A6A28" w:rsidR="00824558" w:rsidRDefault="00824558">
            <w:pPr>
              <w:ind w:left="170"/>
            </w:pPr>
            <w:r>
              <w:rPr>
                <w:i/>
              </w:rPr>
              <w:t xml:space="preserve">This performance measure renames the 2025-26 performance measure </w:t>
            </w:r>
            <w:r w:rsidR="007942D1">
              <w:rPr>
                <w:i/>
              </w:rPr>
              <w:t>‘</w:t>
            </w:r>
            <w:r>
              <w:rPr>
                <w:i/>
              </w:rPr>
              <w:t>Priority 1 dispatch performance meeting benchmarks</w:t>
            </w:r>
            <w:r w:rsidR="007942D1">
              <w:rPr>
                <w:i/>
              </w:rPr>
              <w:t xml:space="preserve"> – </w:t>
            </w:r>
            <w:r>
              <w:rPr>
                <w:i/>
              </w:rPr>
              <w:t>Victoria Police (Triple Zero Victoria)</w:t>
            </w:r>
            <w:r w:rsidR="007942D1">
              <w:rPr>
                <w:i/>
              </w:rPr>
              <w:t>’</w:t>
            </w:r>
            <w:r>
              <w:rPr>
                <w:i/>
              </w:rPr>
              <w:t>. The renamed measure reports on the same activity as the previous measure, however has been amended to align with contemporary Triple Zero Victoria Performance Standards set by the Emergency Management Commissioner.</w:t>
            </w:r>
          </w:p>
        </w:tc>
      </w:tr>
      <w:tr w:rsidR="00824558" w14:paraId="7114272C"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50161DF3" w14:textId="77777777" w:rsidR="00824558" w:rsidRDefault="00824558">
            <w:pPr>
              <w:keepNext/>
              <w:ind w:left="170"/>
            </w:pPr>
            <w:r>
              <w:t>Percentage of Priority 1 Victoria State Emergency Service assistance events dispatched within set benchmark (Triple Zero Victoria)</w:t>
            </w:r>
          </w:p>
        </w:tc>
        <w:tc>
          <w:tcPr>
            <w:tcW w:w="964" w:type="dxa"/>
          </w:tcPr>
          <w:p w14:paraId="7B87D3D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4D77DE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A06F99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8A1DF6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5058D8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9C4F831"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2FB1CE" w14:textId="77777777" w:rsidR="00824558" w:rsidRDefault="00824558">
            <w:pPr>
              <w:ind w:left="170"/>
            </w:pPr>
            <w:r w:rsidRPr="00287DB7">
              <w:rPr>
                <w:i/>
              </w:rPr>
              <w:t>New performance measure for 2026-27 to capture the time taken for Triple Zero Victoria to dispatch Priority 1 Victoria State Emergency Service events</w:t>
            </w:r>
            <w:r>
              <w:rPr>
                <w:i/>
              </w:rPr>
              <w:t xml:space="preserve">, and to align with contemporary Triple Zero Victoria Performance Standards set by the Emergency Management Commissioner. </w:t>
            </w:r>
          </w:p>
        </w:tc>
      </w:tr>
      <w:tr w:rsidR="00824558" w14:paraId="08547171"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347226CD" w14:textId="77777777" w:rsidR="00824558" w:rsidRDefault="00824558">
            <w:pPr>
              <w:keepNext/>
              <w:ind w:left="170"/>
            </w:pPr>
            <w:r>
              <w:t>Percentage of road accident rescue incidents responded to within set benchmark (Fire Rescue Victoria)</w:t>
            </w:r>
          </w:p>
        </w:tc>
        <w:tc>
          <w:tcPr>
            <w:tcW w:w="964" w:type="dxa"/>
          </w:tcPr>
          <w:p w14:paraId="1A47466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B641B7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A7F1D85"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99C370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8F70A57" w14:textId="77777777" w:rsidR="00824558" w:rsidRDefault="00824558">
            <w:pPr>
              <w:cnfStyle w:val="000000000000" w:firstRow="0" w:lastRow="0" w:firstColumn="0" w:lastColumn="0" w:oddVBand="0" w:evenVBand="0" w:oddHBand="0" w:evenHBand="0" w:firstRowFirstColumn="0" w:firstRowLastColumn="0" w:lastRowFirstColumn="0" w:lastRowLastColumn="0"/>
            </w:pPr>
            <w:r>
              <w:t>85.1</w:t>
            </w:r>
          </w:p>
        </w:tc>
      </w:tr>
      <w:tr w:rsidR="00824558" w14:paraId="6C7340B0"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90BA9E" w14:textId="21669A9C" w:rsidR="00824558" w:rsidRDefault="00824558">
            <w:pPr>
              <w:ind w:left="170"/>
            </w:pPr>
            <w:r>
              <w:rPr>
                <w:i/>
              </w:rPr>
              <w:t xml:space="preserve">The 2025-26 expected outcome is lower than the 2025-26 target due to </w:t>
            </w:r>
            <w:r w:rsidR="00526C3E">
              <w:rPr>
                <w:i/>
              </w:rPr>
              <w:t>a</w:t>
            </w:r>
            <w:r w:rsidR="00FA1B78">
              <w:rPr>
                <w:i/>
              </w:rPr>
              <w:t xml:space="preserve"> </w:t>
            </w:r>
            <w:r w:rsidR="00D240A0">
              <w:rPr>
                <w:i/>
              </w:rPr>
              <w:t xml:space="preserve">number of </w:t>
            </w:r>
            <w:r>
              <w:rPr>
                <w:i/>
              </w:rPr>
              <w:t>incidents occurring beyond the modelled travel time range of all Road Crash Rescue Principal Providers.</w:t>
            </w:r>
          </w:p>
          <w:p w14:paraId="0D540C94" w14:textId="3DEEACA7"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road accident rescue response (Fire Rescue Victoria)</w:t>
            </w:r>
            <w:r w:rsidR="007942D1">
              <w:rPr>
                <w:i/>
              </w:rPr>
              <w:t>’</w:t>
            </w:r>
            <w:r>
              <w:rPr>
                <w:i/>
              </w:rPr>
              <w:t>. The renamed measure reports on the same activity as the previous measure, however has been amended for consistency. The benchmarks are set by the State Road Crash Rescue Arrangements Victoria.</w:t>
            </w:r>
          </w:p>
        </w:tc>
      </w:tr>
      <w:tr w:rsidR="00824558" w14:paraId="4761D1D8"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1C857F40" w14:textId="77777777" w:rsidR="00824558" w:rsidRDefault="00824558">
            <w:pPr>
              <w:keepNext/>
              <w:ind w:left="170"/>
            </w:pPr>
            <w:r>
              <w:t>Percentage of road accident rescue incidents responded to within set benchmarks (Country Fire Authority)</w:t>
            </w:r>
          </w:p>
        </w:tc>
        <w:tc>
          <w:tcPr>
            <w:tcW w:w="964" w:type="dxa"/>
          </w:tcPr>
          <w:p w14:paraId="486F6F8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616472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FB3F34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589352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BC9CA4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14:paraId="3D798475"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EBC3353" w14:textId="77777777" w:rsidR="00824558" w:rsidRDefault="00824558">
            <w:pPr>
              <w:ind w:left="170"/>
            </w:pPr>
            <w:r>
              <w:rPr>
                <w:i/>
              </w:rPr>
              <w:t>The 2025-26 expected outcome is higher than the 2025-26 target due to response time performance exceeding performance benchmarks for Country Fire Authority road accident rescue incidents.</w:t>
            </w:r>
          </w:p>
          <w:p w14:paraId="6509A12F" w14:textId="7953EE6A"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road accident rescue response (Country Fire Authority)</w:t>
            </w:r>
            <w:r w:rsidR="007942D1">
              <w:rPr>
                <w:i/>
              </w:rPr>
              <w:t>’</w:t>
            </w:r>
            <w:r>
              <w:rPr>
                <w:i/>
              </w:rPr>
              <w:t>. The renamed measure reports on the same activity as the previous measure, however has been amended for consistency. The benchmarks are set by the State Road Crash Rescue Arrangements Victoria.</w:t>
            </w:r>
          </w:p>
        </w:tc>
      </w:tr>
      <w:tr w:rsidR="00824558" w14:paraId="732B39FB"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79DB440F" w14:textId="77777777" w:rsidR="00824558" w:rsidRDefault="00824558">
            <w:pPr>
              <w:keepNext/>
              <w:ind w:left="170"/>
            </w:pPr>
            <w:r>
              <w:t>Percentage of road accident rescue incidents responded to within set benchmarks (Victoria State Emergency Service)</w:t>
            </w:r>
          </w:p>
        </w:tc>
        <w:tc>
          <w:tcPr>
            <w:tcW w:w="964" w:type="dxa"/>
          </w:tcPr>
          <w:p w14:paraId="6BCEDF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A5562C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8BBF9A9"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Pr>
          <w:p w14:paraId="1E65A23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C0DA978"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5B13E5AE"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C5C46C5" w14:textId="37F3D846"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road accident rescue response (Victoria State Emergency Service)</w:t>
            </w:r>
            <w:r w:rsidR="007942D1">
              <w:rPr>
                <w:i/>
              </w:rPr>
              <w:t>’</w:t>
            </w:r>
            <w:r>
              <w:rPr>
                <w:i/>
              </w:rPr>
              <w:t>. The renamed measure reports on the same activity as the previous measure, however has been amended for consistency. The benchmarks are set by the State Road Crash Rescue Arrangements Victoria.</w:t>
            </w:r>
          </w:p>
        </w:tc>
      </w:tr>
      <w:tr w:rsidR="00824558" w14:paraId="391343C9"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255F368E" w14:textId="77777777" w:rsidR="00824558" w:rsidRDefault="00824558">
            <w:pPr>
              <w:keepNext/>
              <w:ind w:left="170"/>
            </w:pPr>
            <w:r>
              <w:t>Percentage of structural fires attended within set benchmark (Fire Rescue Victoria)</w:t>
            </w:r>
          </w:p>
        </w:tc>
        <w:tc>
          <w:tcPr>
            <w:tcW w:w="964" w:type="dxa"/>
          </w:tcPr>
          <w:p w14:paraId="50BCA01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F57005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7B46C28" w14:textId="77777777" w:rsidR="00824558" w:rsidRDefault="00824558">
            <w:pPr>
              <w:cnfStyle w:val="000000000000" w:firstRow="0" w:lastRow="0" w:firstColumn="0" w:lastColumn="0" w:oddVBand="0" w:evenVBand="0" w:oddHBand="0" w:evenHBand="0" w:firstRowFirstColumn="0" w:firstRowLastColumn="0" w:lastRowFirstColumn="0" w:lastRowLastColumn="0"/>
            </w:pPr>
            <w:r>
              <w:t>87.5</w:t>
            </w:r>
          </w:p>
        </w:tc>
        <w:tc>
          <w:tcPr>
            <w:tcW w:w="964" w:type="dxa"/>
          </w:tcPr>
          <w:p w14:paraId="5FA62C0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4F4A965" w14:textId="77777777" w:rsidR="00824558" w:rsidRDefault="00824558">
            <w:pPr>
              <w:cnfStyle w:val="000000000000" w:firstRow="0" w:lastRow="0" w:firstColumn="0" w:lastColumn="0" w:oddVBand="0" w:evenVBand="0" w:oddHBand="0" w:evenHBand="0" w:firstRowFirstColumn="0" w:firstRowLastColumn="0" w:lastRowFirstColumn="0" w:lastRowLastColumn="0"/>
            </w:pPr>
            <w:r>
              <w:t>87.2</w:t>
            </w:r>
          </w:p>
        </w:tc>
      </w:tr>
      <w:tr w:rsidR="00824558" w14:paraId="5E53520F"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31C436C" w14:textId="3CCD3C06"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structural fires (Fire Rescue Victoria)</w:t>
            </w:r>
            <w:r w:rsidR="007942D1">
              <w:rPr>
                <w:i/>
              </w:rPr>
              <w:t>’</w:t>
            </w:r>
            <w:r>
              <w:rPr>
                <w:i/>
              </w:rPr>
              <w:t>. The renamed measure reports on the same activity as the previous measure, however has been amended for consistency.</w:t>
            </w:r>
          </w:p>
        </w:tc>
      </w:tr>
      <w:tr w:rsidR="00824558" w14:paraId="030C5571"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3D8002C2" w14:textId="77777777" w:rsidR="00824558" w:rsidRDefault="00824558">
            <w:pPr>
              <w:keepNext/>
              <w:ind w:left="170"/>
            </w:pPr>
            <w:r>
              <w:t>Percentage of structural fires attended within set benchmarks (Country Fire Authority)</w:t>
            </w:r>
          </w:p>
        </w:tc>
        <w:tc>
          <w:tcPr>
            <w:tcW w:w="964" w:type="dxa"/>
          </w:tcPr>
          <w:p w14:paraId="72F6A93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BC75E0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A701149" w14:textId="77777777" w:rsidR="00824558" w:rsidRDefault="00824558">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2853DB0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406C6FB"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r>
      <w:tr w:rsidR="00824558" w14:paraId="7248D188"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3683C1" w14:textId="080D63A4" w:rsidR="00824558" w:rsidRDefault="00824558">
            <w:pPr>
              <w:ind w:left="170"/>
            </w:pPr>
            <w:r>
              <w:rPr>
                <w:i/>
              </w:rPr>
              <w:t>The 2025-26 expected outcome is lower than the 2025-26 target due to factors such as time of day, traffic congestion, roadworks and weather.</w:t>
            </w:r>
          </w:p>
          <w:p w14:paraId="45694354" w14:textId="37E45E27" w:rsidR="00824558" w:rsidRDefault="00824558">
            <w:pPr>
              <w:ind w:left="170"/>
            </w:pPr>
            <w:r>
              <w:rPr>
                <w:i/>
              </w:rPr>
              <w:t xml:space="preserve">This performance measure renames the 2025-26 performance measure </w:t>
            </w:r>
            <w:r w:rsidR="007942D1">
              <w:rPr>
                <w:i/>
              </w:rPr>
              <w:t>‘</w:t>
            </w:r>
            <w:r>
              <w:rPr>
                <w:i/>
              </w:rPr>
              <w:t>Emergency response times meeting benchmarks</w:t>
            </w:r>
            <w:r w:rsidR="007942D1">
              <w:rPr>
                <w:i/>
              </w:rPr>
              <w:t xml:space="preserve"> – </w:t>
            </w:r>
            <w:r>
              <w:rPr>
                <w:i/>
              </w:rPr>
              <w:t>structural fires (Country Fire Authority)</w:t>
            </w:r>
            <w:r w:rsidR="007942D1">
              <w:rPr>
                <w:i/>
              </w:rPr>
              <w:t>’</w:t>
            </w:r>
            <w:r>
              <w:rPr>
                <w:i/>
              </w:rPr>
              <w:t>. The renamed measure reports on the same activity as the previous measure, however has been amended for consistency. The benchmarks are set by the Country Fire Authority and are published on the website.</w:t>
            </w:r>
          </w:p>
        </w:tc>
      </w:tr>
      <w:tr w:rsidR="00824558" w:rsidRPr="00712860" w14:paraId="57AAA26A" w14:textId="77777777" w:rsidTr="005B2B0F">
        <w:tc>
          <w:tcPr>
            <w:cnfStyle w:val="001000000000" w:firstRow="0" w:lastRow="0" w:firstColumn="1" w:lastColumn="0" w:oddVBand="0" w:evenVBand="0" w:oddHBand="0" w:evenHBand="0" w:firstRowFirstColumn="0" w:firstRowLastColumn="0" w:lastRowFirstColumn="0" w:lastRowLastColumn="0"/>
            <w:tcW w:w="9639" w:type="dxa"/>
            <w:gridSpan w:val="6"/>
          </w:tcPr>
          <w:p w14:paraId="6E9B5221" w14:textId="77777777" w:rsidR="00824558" w:rsidRPr="00712860" w:rsidRDefault="00824558">
            <w:pPr>
              <w:keepNext/>
              <w:rPr>
                <w:b/>
                <w:bCs/>
                <w:iCs/>
              </w:rPr>
            </w:pPr>
            <w:r w:rsidRPr="00712860">
              <w:rPr>
                <w:b/>
                <w:bCs/>
                <w:iCs/>
              </w:rPr>
              <w:t>Cost</w:t>
            </w:r>
          </w:p>
        </w:tc>
      </w:tr>
      <w:tr w:rsidR="005B2B0F" w14:paraId="4A891F09" w14:textId="77777777" w:rsidTr="005B2B0F">
        <w:tc>
          <w:tcPr>
            <w:cnfStyle w:val="001000000000" w:firstRow="0" w:lastRow="0" w:firstColumn="1" w:lastColumn="0" w:oddVBand="0" w:evenVBand="0" w:oddHBand="0" w:evenHBand="0" w:firstRowFirstColumn="0" w:firstRowLastColumn="0" w:lastRowFirstColumn="0" w:lastRowLastColumn="0"/>
            <w:tcW w:w="4819" w:type="dxa"/>
          </w:tcPr>
          <w:p w14:paraId="4825A209" w14:textId="77777777" w:rsidR="005B2B0F" w:rsidRDefault="005B2B0F" w:rsidP="005B2B0F">
            <w:pPr>
              <w:ind w:left="170"/>
            </w:pPr>
            <w:r>
              <w:t>Total output cost</w:t>
            </w:r>
          </w:p>
        </w:tc>
        <w:tc>
          <w:tcPr>
            <w:tcW w:w="964" w:type="dxa"/>
          </w:tcPr>
          <w:p w14:paraId="66C611D4" w14:textId="77777777" w:rsidR="005B2B0F" w:rsidRDefault="005B2B0F" w:rsidP="005B2B0F">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7A6D4B2" w14:textId="6F2E938B" w:rsidR="005B2B0F" w:rsidRPr="00466B84" w:rsidRDefault="005B2B0F" w:rsidP="005B2B0F">
            <w:pPr>
              <w:cnfStyle w:val="000000000000" w:firstRow="0" w:lastRow="0" w:firstColumn="0" w:lastColumn="0" w:oddVBand="0" w:evenVBand="0" w:oddHBand="0" w:evenHBand="0" w:firstRowFirstColumn="0" w:firstRowLastColumn="0" w:lastRowFirstColumn="0" w:lastRowLastColumn="0"/>
              <w:rPr>
                <w:highlight w:val="yellow"/>
              </w:rPr>
            </w:pPr>
            <w:r w:rsidRPr="000720C2">
              <w:t>1</w:t>
            </w:r>
            <w:r>
              <w:t xml:space="preserve"> </w:t>
            </w:r>
            <w:r w:rsidRPr="000720C2">
              <w:t>982.7</w:t>
            </w:r>
          </w:p>
        </w:tc>
        <w:tc>
          <w:tcPr>
            <w:tcW w:w="964" w:type="dxa"/>
          </w:tcPr>
          <w:p w14:paraId="363A92F9" w14:textId="551F2980" w:rsidR="005B2B0F" w:rsidRPr="00466B84" w:rsidRDefault="005B2B0F" w:rsidP="005B2B0F">
            <w:pPr>
              <w:cnfStyle w:val="000000000000" w:firstRow="0" w:lastRow="0" w:firstColumn="0" w:lastColumn="0" w:oddVBand="0" w:evenVBand="0" w:oddHBand="0" w:evenHBand="0" w:firstRowFirstColumn="0" w:firstRowLastColumn="0" w:lastRowFirstColumn="0" w:lastRowLastColumn="0"/>
              <w:rPr>
                <w:highlight w:val="yellow"/>
              </w:rPr>
            </w:pPr>
            <w:r w:rsidRPr="000720C2">
              <w:t>2</w:t>
            </w:r>
            <w:r>
              <w:t xml:space="preserve"> </w:t>
            </w:r>
            <w:r w:rsidRPr="000720C2">
              <w:t>259.1</w:t>
            </w:r>
          </w:p>
        </w:tc>
        <w:tc>
          <w:tcPr>
            <w:tcW w:w="964" w:type="dxa"/>
          </w:tcPr>
          <w:p w14:paraId="002519ED" w14:textId="25E805ED" w:rsidR="005B2B0F" w:rsidRPr="00466B84" w:rsidRDefault="005B2B0F" w:rsidP="005B2B0F">
            <w:pPr>
              <w:cnfStyle w:val="000000000000" w:firstRow="0" w:lastRow="0" w:firstColumn="0" w:lastColumn="0" w:oddVBand="0" w:evenVBand="0" w:oddHBand="0" w:evenHBand="0" w:firstRowFirstColumn="0" w:firstRowLastColumn="0" w:lastRowFirstColumn="0" w:lastRowLastColumn="0"/>
              <w:rPr>
                <w:highlight w:val="yellow"/>
              </w:rPr>
            </w:pPr>
            <w:r w:rsidRPr="000720C2">
              <w:t>1</w:t>
            </w:r>
            <w:r>
              <w:t xml:space="preserve"> </w:t>
            </w:r>
            <w:r w:rsidRPr="000720C2">
              <w:t>973.2</w:t>
            </w:r>
          </w:p>
        </w:tc>
        <w:tc>
          <w:tcPr>
            <w:tcW w:w="964" w:type="dxa"/>
          </w:tcPr>
          <w:p w14:paraId="2A6046CE" w14:textId="4B9B6423" w:rsidR="005B2B0F" w:rsidRPr="00466B84" w:rsidRDefault="005B2B0F" w:rsidP="005B2B0F">
            <w:pPr>
              <w:cnfStyle w:val="000000000000" w:firstRow="0" w:lastRow="0" w:firstColumn="0" w:lastColumn="0" w:oddVBand="0" w:evenVBand="0" w:oddHBand="0" w:evenHBand="0" w:firstRowFirstColumn="0" w:firstRowLastColumn="0" w:lastRowFirstColumn="0" w:lastRowLastColumn="0"/>
              <w:rPr>
                <w:highlight w:val="yellow"/>
              </w:rPr>
            </w:pPr>
            <w:r w:rsidRPr="000720C2">
              <w:t>2</w:t>
            </w:r>
            <w:r>
              <w:t xml:space="preserve"> </w:t>
            </w:r>
            <w:r w:rsidRPr="000720C2">
              <w:t>307.</w:t>
            </w:r>
            <w:r w:rsidR="003B367C">
              <w:t>8</w:t>
            </w:r>
          </w:p>
        </w:tc>
      </w:tr>
      <w:tr w:rsidR="005B2B0F" w14:paraId="6CAAE32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8EBE487" w14:textId="525F9446" w:rsidR="005B2B0F" w:rsidRPr="000720C2" w:rsidRDefault="00E53B12" w:rsidP="00E53B12">
            <w:pPr>
              <w:ind w:left="170"/>
            </w:pPr>
            <w:r w:rsidRPr="00E53B12">
              <w:rPr>
                <w:i/>
              </w:rPr>
              <w:t>The 2025-26 expected outcome is higher than the 2025-26 target mainly due to the release of funding during 2025-26 to support Victoria</w:t>
            </w:r>
            <w:r w:rsidR="00AD4833">
              <w:rPr>
                <w:i/>
              </w:rPr>
              <w:t>’</w:t>
            </w:r>
            <w:r w:rsidRPr="00E53B12">
              <w:rPr>
                <w:i/>
              </w:rPr>
              <w:t>s Emergency Service Organisations.</w:t>
            </w:r>
          </w:p>
        </w:tc>
      </w:tr>
    </w:tbl>
    <w:p w14:paraId="0978681A" w14:textId="77777777" w:rsidR="00824558" w:rsidRDefault="00824558">
      <w:pPr>
        <w:pStyle w:val="Source"/>
      </w:pPr>
      <w:r>
        <w:t>Source: Department of Justice and Community Safety</w:t>
      </w:r>
    </w:p>
    <w:p w14:paraId="52109B4E" w14:textId="77777777" w:rsidR="00824558" w:rsidRPr="00026471" w:rsidRDefault="00824558" w:rsidP="00466B84">
      <w:pPr>
        <w:pStyle w:val="ShadedBoxHeading"/>
        <w:pageBreakBefore/>
      </w:pPr>
      <w:r w:rsidRPr="00026471">
        <w:lastRenderedPageBreak/>
        <w:t>Objective 3: Effective management of prisoners and offenders and provision of opportunities for rehabilitation and reparation</w:t>
      </w:r>
    </w:p>
    <w:p w14:paraId="6222D461" w14:textId="11A8A4CE" w:rsidR="00824558" w:rsidRPr="00026471" w:rsidRDefault="00824558">
      <w:pPr>
        <w:pStyle w:val="ShadedBoxText"/>
      </w:pPr>
      <w:r w:rsidRPr="00026471">
        <w:t xml:space="preserve">This objective relates to the management of the </w:t>
      </w:r>
      <w:r w:rsidR="002714C9">
        <w:t>S</w:t>
      </w:r>
      <w:r w:rsidRPr="00026471">
        <w:t>tate</w:t>
      </w:r>
      <w:r w:rsidR="007942D1">
        <w:t>’</w:t>
      </w:r>
      <w:r w:rsidRPr="00026471">
        <w:t xml:space="preserve">s adult correctional system. The overarching purpose of the correctional system is to promote community safety through community-based and custodial supervision of prisoners and offenders through effective management and services to provide opportunities for rehabilitation and reparation. </w:t>
      </w:r>
    </w:p>
    <w:p w14:paraId="6D3A6D4B" w14:textId="77777777" w:rsidR="00824558" w:rsidRPr="00026471" w:rsidRDefault="00824558">
      <w:pPr>
        <w:pStyle w:val="ShadedBoxText"/>
      </w:pPr>
      <w:r w:rsidRPr="00026471">
        <w:t>The departmental objective indicators are:</w:t>
      </w:r>
    </w:p>
    <w:p w14:paraId="757FD133" w14:textId="77777777" w:rsidR="00824558" w:rsidRPr="00877696" w:rsidRDefault="00824558">
      <w:pPr>
        <w:pStyle w:val="ShadedBoxBullet"/>
        <w:contextualSpacing/>
      </w:pPr>
      <w:r w:rsidRPr="00877696">
        <w:t>escapes from correctional facilities</w:t>
      </w:r>
    </w:p>
    <w:p w14:paraId="43899494" w14:textId="77777777" w:rsidR="00824558" w:rsidRPr="00877696" w:rsidRDefault="00824558">
      <w:pPr>
        <w:pStyle w:val="ShadedBoxBullet"/>
        <w:contextualSpacing/>
      </w:pPr>
      <w:r w:rsidRPr="00877696">
        <w:t>percentage of community corrections orders completed</w:t>
      </w:r>
    </w:p>
    <w:p w14:paraId="1015BFC5" w14:textId="77777777" w:rsidR="00824558" w:rsidRPr="00877696" w:rsidRDefault="00824558">
      <w:pPr>
        <w:pStyle w:val="ShadedBoxBullet"/>
        <w:contextualSpacing/>
      </w:pPr>
      <w:r w:rsidRPr="00877696">
        <w:t>rate of prisoner return to prison within two years</w:t>
      </w:r>
    </w:p>
    <w:p w14:paraId="2D6A9F6A" w14:textId="77777777" w:rsidR="00824558" w:rsidRPr="00097F6A" w:rsidRDefault="00824558">
      <w:pPr>
        <w:pStyle w:val="ShadedBoxBullet"/>
        <w:contextualSpacing/>
      </w:pPr>
      <w:r w:rsidRPr="00877696">
        <w:t>rate of offender return to corrective services within two years.</w:t>
      </w:r>
    </w:p>
    <w:p w14:paraId="6E727DD9" w14:textId="77777777" w:rsidR="00824558" w:rsidRDefault="00824558">
      <w:pPr>
        <w:pStyle w:val="Heading3"/>
      </w:pPr>
      <w:r>
        <w:t>Outputs</w:t>
      </w:r>
    </w:p>
    <w:p w14:paraId="3952CD97" w14:textId="3C064CE9" w:rsidR="00824558" w:rsidRDefault="00824558">
      <w:pPr>
        <w:pStyle w:val="Heading3"/>
      </w:pPr>
      <w:r>
        <w:t>Community-Based Offender Supervision</w:t>
      </w:r>
      <w:r>
        <w:tab/>
        <w:t>(2026-27: $</w:t>
      </w:r>
      <w:r w:rsidR="00BA5C2D">
        <w:t xml:space="preserve">274.4 </w:t>
      </w:r>
      <w:r>
        <w:t>million)</w:t>
      </w:r>
    </w:p>
    <w:p w14:paraId="38A5F917" w14:textId="77777777" w:rsidR="00824558" w:rsidRPr="008450AA" w:rsidRDefault="00824558">
      <w:pPr>
        <w:keepNext/>
        <w:spacing w:after="120"/>
      </w:pPr>
      <w:r w:rsidRPr="00AE63FA">
        <w:t>This output relates to the effective supervision of offenders in the community, including ensuring compliance with orders of the court and Adult Parole Board, engagement in programs to reduce reoffending and reparation to the community.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D29C6F0" w14:textId="77777777" w:rsidTr="001B69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251BC06" w14:textId="77777777" w:rsidR="00824558" w:rsidRDefault="00824558">
            <w:r>
              <w:t>Performance measure</w:t>
            </w:r>
          </w:p>
        </w:tc>
        <w:tc>
          <w:tcPr>
            <w:tcW w:w="964" w:type="dxa"/>
          </w:tcPr>
          <w:p w14:paraId="24A715C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8FA9CA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159739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FB41A0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B587FC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3DE4CE17"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Pr>
          <w:p w14:paraId="36C1A507" w14:textId="77777777" w:rsidR="00824558" w:rsidRPr="00712860" w:rsidRDefault="00824558">
            <w:pPr>
              <w:keepNext/>
              <w:rPr>
                <w:b/>
                <w:bCs/>
                <w:iCs/>
              </w:rPr>
            </w:pPr>
            <w:r w:rsidRPr="00712860">
              <w:rPr>
                <w:b/>
                <w:bCs/>
                <w:iCs/>
              </w:rPr>
              <w:t>Quantity</w:t>
            </w:r>
          </w:p>
        </w:tc>
      </w:tr>
      <w:tr w:rsidR="00824558" w14:paraId="1395540F"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0DC32C50" w14:textId="77777777" w:rsidR="00824558" w:rsidRDefault="00824558">
            <w:pPr>
              <w:keepNext/>
              <w:ind w:left="170"/>
            </w:pPr>
            <w:r>
              <w:t>Average daily offenders with reparation orders</w:t>
            </w:r>
          </w:p>
        </w:tc>
        <w:tc>
          <w:tcPr>
            <w:tcW w:w="964" w:type="dxa"/>
          </w:tcPr>
          <w:p w14:paraId="1387B86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8B9275F" w14:textId="380B04E4" w:rsidR="00824558" w:rsidRDefault="00824558">
            <w:pPr>
              <w:cnfStyle w:val="000000000000" w:firstRow="0" w:lastRow="0" w:firstColumn="0" w:lastColumn="0" w:oddVBand="0" w:evenVBand="0" w:oddHBand="0" w:evenHBand="0" w:firstRowFirstColumn="0" w:firstRowLastColumn="0" w:lastRowFirstColumn="0" w:lastRowLastColumn="0"/>
            </w:pPr>
            <w:r>
              <w:t>911</w:t>
            </w:r>
            <w:r w:rsidR="00466B84">
              <w:t xml:space="preserve"> – </w:t>
            </w:r>
            <w:r w:rsidR="00466B84">
              <w:br/>
            </w:r>
            <w:r>
              <w:t>1</w:t>
            </w:r>
            <w:r w:rsidR="00466B84">
              <w:t xml:space="preserve"> </w:t>
            </w:r>
            <w:r>
              <w:t>151</w:t>
            </w:r>
          </w:p>
        </w:tc>
        <w:tc>
          <w:tcPr>
            <w:tcW w:w="964" w:type="dxa"/>
          </w:tcPr>
          <w:p w14:paraId="522841F3" w14:textId="77777777" w:rsidR="00824558" w:rsidRDefault="00824558">
            <w:pPr>
              <w:cnfStyle w:val="000000000000" w:firstRow="0" w:lastRow="0" w:firstColumn="0" w:lastColumn="0" w:oddVBand="0" w:evenVBand="0" w:oddHBand="0" w:evenHBand="0" w:firstRowFirstColumn="0" w:firstRowLastColumn="0" w:lastRowFirstColumn="0" w:lastRowLastColumn="0"/>
            </w:pPr>
            <w:r>
              <w:t>1 066</w:t>
            </w:r>
          </w:p>
        </w:tc>
        <w:tc>
          <w:tcPr>
            <w:tcW w:w="964" w:type="dxa"/>
          </w:tcPr>
          <w:p w14:paraId="6D76EA55" w14:textId="77777777" w:rsidR="00824558" w:rsidRDefault="00824558">
            <w:pPr>
              <w:cnfStyle w:val="000000000000" w:firstRow="0" w:lastRow="0" w:firstColumn="0" w:lastColumn="0" w:oddVBand="0" w:evenVBand="0" w:oddHBand="0" w:evenHBand="0" w:firstRowFirstColumn="0" w:firstRowLastColumn="0" w:lastRowFirstColumn="0" w:lastRowLastColumn="0"/>
            </w:pPr>
            <w:r>
              <w:t>1 400</w:t>
            </w:r>
          </w:p>
        </w:tc>
        <w:tc>
          <w:tcPr>
            <w:tcW w:w="964" w:type="dxa"/>
          </w:tcPr>
          <w:p w14:paraId="06089DAB" w14:textId="77777777" w:rsidR="00824558" w:rsidRDefault="00824558">
            <w:pPr>
              <w:cnfStyle w:val="000000000000" w:firstRow="0" w:lastRow="0" w:firstColumn="0" w:lastColumn="0" w:oddVBand="0" w:evenVBand="0" w:oddHBand="0" w:evenHBand="0" w:firstRowFirstColumn="0" w:firstRowLastColumn="0" w:lastRowFirstColumn="0" w:lastRowLastColumn="0"/>
            </w:pPr>
            <w:r>
              <w:t>1 168</w:t>
            </w:r>
          </w:p>
        </w:tc>
      </w:tr>
      <w:tr w:rsidR="00824558" w14:paraId="6E8EDB78"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2C679FF" w14:textId="77777777" w:rsidR="00824558" w:rsidRDefault="00824558">
            <w:pPr>
              <w:ind w:left="170"/>
              <w:rPr>
                <w:i/>
              </w:rPr>
            </w:pPr>
            <w:r>
              <w:rPr>
                <w:i/>
              </w:rPr>
              <w:t>The 2025-26 expected outcome is lower than the 2025-26 target due to a reduction of reparation orders imposed by the courts.</w:t>
            </w:r>
          </w:p>
          <w:p w14:paraId="73430E77" w14:textId="77777777" w:rsidR="00824558" w:rsidRDefault="00824558">
            <w:pPr>
              <w:ind w:left="170"/>
              <w:rPr>
                <w:i/>
              </w:rPr>
            </w:pPr>
            <w:r>
              <w:rPr>
                <w:i/>
              </w:rPr>
              <w:t>The lower 2026-27 target reflects this change and has been updated to a range to reflect the number of reparation orders imposed by the courts.</w:t>
            </w:r>
          </w:p>
        </w:tc>
      </w:tr>
      <w:tr w:rsidR="00824558" w14:paraId="55F67879"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79868EB0" w14:textId="77777777" w:rsidR="00824558" w:rsidRDefault="00824558">
            <w:pPr>
              <w:keepNext/>
              <w:ind w:left="170"/>
            </w:pPr>
            <w:r>
              <w:t>Average daily offenders with supervised court orders</w:t>
            </w:r>
          </w:p>
        </w:tc>
        <w:tc>
          <w:tcPr>
            <w:tcW w:w="964" w:type="dxa"/>
          </w:tcPr>
          <w:p w14:paraId="3A1CFF2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574854F" w14:textId="3A1B3E08" w:rsidR="00824558" w:rsidRDefault="00824558">
            <w:pPr>
              <w:cnfStyle w:val="000000000000" w:firstRow="0" w:lastRow="0" w:firstColumn="0" w:lastColumn="0" w:oddVBand="0" w:evenVBand="0" w:oddHBand="0" w:evenHBand="0" w:firstRowFirstColumn="0" w:firstRowLastColumn="0" w:lastRowFirstColumn="0" w:lastRowLastColumn="0"/>
            </w:pPr>
            <w:r>
              <w:t>5</w:t>
            </w:r>
            <w:r w:rsidR="00466B84">
              <w:t> </w:t>
            </w:r>
            <w:r>
              <w:t>811</w:t>
            </w:r>
            <w:r w:rsidR="00466B84">
              <w:t xml:space="preserve"> –</w:t>
            </w:r>
            <w:r>
              <w:t>7</w:t>
            </w:r>
            <w:r w:rsidR="00466B84">
              <w:t> </w:t>
            </w:r>
            <w:r>
              <w:t>439</w:t>
            </w:r>
          </w:p>
        </w:tc>
        <w:tc>
          <w:tcPr>
            <w:tcW w:w="964" w:type="dxa"/>
          </w:tcPr>
          <w:p w14:paraId="622AE5E3"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6 507</w:t>
            </w:r>
          </w:p>
        </w:tc>
        <w:tc>
          <w:tcPr>
            <w:tcW w:w="964" w:type="dxa"/>
          </w:tcPr>
          <w:p w14:paraId="22C22C87" w14:textId="77777777" w:rsidR="00824558" w:rsidRDefault="00824558">
            <w:pPr>
              <w:cnfStyle w:val="000000000000" w:firstRow="0" w:lastRow="0" w:firstColumn="0" w:lastColumn="0" w:oddVBand="0" w:evenVBand="0" w:oddHBand="0" w:evenHBand="0" w:firstRowFirstColumn="0" w:firstRowLastColumn="0" w:lastRowFirstColumn="0" w:lastRowLastColumn="0"/>
            </w:pPr>
            <w:r>
              <w:t>9 000</w:t>
            </w:r>
          </w:p>
        </w:tc>
        <w:tc>
          <w:tcPr>
            <w:tcW w:w="964" w:type="dxa"/>
          </w:tcPr>
          <w:p w14:paraId="0E330293" w14:textId="77777777" w:rsidR="00824558" w:rsidRDefault="00824558">
            <w:pPr>
              <w:cnfStyle w:val="000000000000" w:firstRow="0" w:lastRow="0" w:firstColumn="0" w:lastColumn="0" w:oddVBand="0" w:evenVBand="0" w:oddHBand="0" w:evenHBand="0" w:firstRowFirstColumn="0" w:firstRowLastColumn="0" w:lastRowFirstColumn="0" w:lastRowLastColumn="0"/>
            </w:pPr>
            <w:r>
              <w:t>7 052</w:t>
            </w:r>
          </w:p>
        </w:tc>
      </w:tr>
      <w:tr w:rsidR="00824558" w14:paraId="0F0F55CE"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78A733" w14:textId="77777777" w:rsidR="00824558" w:rsidRDefault="00824558">
            <w:pPr>
              <w:ind w:left="170"/>
              <w:rPr>
                <w:i/>
              </w:rPr>
            </w:pPr>
            <w:r>
              <w:rPr>
                <w:i/>
              </w:rPr>
              <w:t>The 2025-26 expected outcome is lower than the 2025-26 target due to a reduction of community correction orders imposed by the courts.</w:t>
            </w:r>
          </w:p>
          <w:p w14:paraId="0EB3494A" w14:textId="77777777" w:rsidR="00824558" w:rsidRDefault="00824558">
            <w:pPr>
              <w:ind w:left="170"/>
            </w:pPr>
            <w:r>
              <w:rPr>
                <w:i/>
              </w:rPr>
              <w:t>The lower 2026-27 target reflects this change and has been updated to a range to reflect the number of supervised court orders being imposed by the courts.</w:t>
            </w:r>
          </w:p>
        </w:tc>
      </w:tr>
      <w:tr w:rsidR="00824558" w14:paraId="5F39953B"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5A5B82F8" w14:textId="77777777" w:rsidR="00824558" w:rsidRDefault="00824558">
            <w:pPr>
              <w:keepNext/>
              <w:ind w:left="170"/>
            </w:pPr>
            <w:r>
              <w:t>Average daily prisoners on parole</w:t>
            </w:r>
          </w:p>
        </w:tc>
        <w:tc>
          <w:tcPr>
            <w:tcW w:w="964" w:type="dxa"/>
          </w:tcPr>
          <w:p w14:paraId="03BC5AB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BF099D5" w14:textId="7FC192E5" w:rsidR="00824558" w:rsidRDefault="00824558">
            <w:pPr>
              <w:cnfStyle w:val="000000000000" w:firstRow="0" w:lastRow="0" w:firstColumn="0" w:lastColumn="0" w:oddVBand="0" w:evenVBand="0" w:oddHBand="0" w:evenHBand="0" w:firstRowFirstColumn="0" w:firstRowLastColumn="0" w:lastRowFirstColumn="0" w:lastRowLastColumn="0"/>
            </w:pPr>
            <w:r>
              <w:t>600</w:t>
            </w:r>
            <w:r w:rsidR="00466B84">
              <w:t xml:space="preserve"> – </w:t>
            </w:r>
            <w:r>
              <w:t>750</w:t>
            </w:r>
          </w:p>
        </w:tc>
        <w:tc>
          <w:tcPr>
            <w:tcW w:w="964" w:type="dxa"/>
          </w:tcPr>
          <w:p w14:paraId="084A768B" w14:textId="77777777" w:rsidR="00824558" w:rsidRDefault="00824558">
            <w:pPr>
              <w:cnfStyle w:val="000000000000" w:firstRow="0" w:lastRow="0" w:firstColumn="0" w:lastColumn="0" w:oddVBand="0" w:evenVBand="0" w:oddHBand="0" w:evenHBand="0" w:firstRowFirstColumn="0" w:firstRowLastColumn="0" w:lastRowFirstColumn="0" w:lastRowLastColumn="0"/>
            </w:pPr>
            <w:r>
              <w:t>710</w:t>
            </w:r>
          </w:p>
        </w:tc>
        <w:tc>
          <w:tcPr>
            <w:tcW w:w="964" w:type="dxa"/>
          </w:tcPr>
          <w:p w14:paraId="2BB27735" w14:textId="77777777" w:rsidR="00824558" w:rsidRDefault="00824558">
            <w:pPr>
              <w:cnfStyle w:val="000000000000" w:firstRow="0" w:lastRow="0" w:firstColumn="0" w:lastColumn="0" w:oddVBand="0" w:evenVBand="0" w:oddHBand="0" w:evenHBand="0" w:firstRowFirstColumn="0" w:firstRowLastColumn="0" w:lastRowFirstColumn="0" w:lastRowLastColumn="0"/>
            </w:pPr>
            <w:r>
              <w:t>850</w:t>
            </w:r>
          </w:p>
        </w:tc>
        <w:tc>
          <w:tcPr>
            <w:tcW w:w="964" w:type="dxa"/>
          </w:tcPr>
          <w:p w14:paraId="7893F561" w14:textId="77777777" w:rsidR="00824558" w:rsidRDefault="00824558">
            <w:pPr>
              <w:cnfStyle w:val="000000000000" w:firstRow="0" w:lastRow="0" w:firstColumn="0" w:lastColumn="0" w:oddVBand="0" w:evenVBand="0" w:oddHBand="0" w:evenHBand="0" w:firstRowFirstColumn="0" w:firstRowLastColumn="0" w:lastRowFirstColumn="0" w:lastRowLastColumn="0"/>
            </w:pPr>
            <w:r>
              <w:t>725</w:t>
            </w:r>
          </w:p>
        </w:tc>
      </w:tr>
      <w:tr w:rsidR="00824558" w14:paraId="56CBBEE5"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1ED02D" w14:textId="77777777" w:rsidR="00824558" w:rsidRDefault="00824558">
            <w:pPr>
              <w:ind w:left="170"/>
            </w:pPr>
            <w:r>
              <w:rPr>
                <w:i/>
              </w:rPr>
              <w:t>The 2025-26 expected outcome is lower than the 2025-26 target due to a decline in prisoners receiving parole eligible sentences, leading to a decrease in the average daily prisoners on parole.</w:t>
            </w:r>
          </w:p>
          <w:p w14:paraId="1C251CBA" w14:textId="77777777" w:rsidR="00824558" w:rsidRDefault="00824558">
            <w:pPr>
              <w:ind w:left="170"/>
              <w:rPr>
                <w:i/>
              </w:rPr>
            </w:pPr>
            <w:r w:rsidRPr="7FE520E2">
              <w:rPr>
                <w:i/>
                <w:iCs/>
              </w:rPr>
              <w:t>The lower 2026-27 target reflects this change and has been updated to a range to reflect the number of prisoners being granted parole by the Adult Parole Board.</w:t>
            </w:r>
          </w:p>
        </w:tc>
      </w:tr>
      <w:tr w:rsidR="00824558" w14:paraId="347C338C"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6167414A" w14:textId="77777777" w:rsidR="00824558" w:rsidRDefault="00824558">
            <w:pPr>
              <w:keepNext/>
              <w:ind w:left="170"/>
            </w:pPr>
            <w:r>
              <w:t>Community work hours performed</w:t>
            </w:r>
          </w:p>
        </w:tc>
        <w:tc>
          <w:tcPr>
            <w:tcW w:w="964" w:type="dxa"/>
          </w:tcPr>
          <w:p w14:paraId="5140958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Pr>
          <w:p w14:paraId="35B4B66E" w14:textId="0223F217" w:rsidR="00824558" w:rsidRDefault="00824558">
            <w:pPr>
              <w:cnfStyle w:val="000000000000" w:firstRow="0" w:lastRow="0" w:firstColumn="0" w:lastColumn="0" w:oddVBand="0" w:evenVBand="0" w:oddHBand="0" w:evenHBand="0" w:firstRowFirstColumn="0" w:firstRowLastColumn="0" w:lastRowFirstColumn="0" w:lastRowLastColumn="0"/>
            </w:pPr>
            <w:r>
              <w:t>350 000</w:t>
            </w:r>
            <w:r w:rsidR="00466B84">
              <w:t xml:space="preserve"> –</w:t>
            </w:r>
            <w:r>
              <w:t>400</w:t>
            </w:r>
            <w:r w:rsidR="00466B84">
              <w:t xml:space="preserve"> </w:t>
            </w:r>
            <w:r>
              <w:t>000</w:t>
            </w:r>
          </w:p>
        </w:tc>
        <w:tc>
          <w:tcPr>
            <w:tcW w:w="964" w:type="dxa"/>
          </w:tcPr>
          <w:p w14:paraId="70C76CC1" w14:textId="77777777" w:rsidR="00824558" w:rsidRDefault="00824558">
            <w:pPr>
              <w:cnfStyle w:val="000000000000" w:firstRow="0" w:lastRow="0" w:firstColumn="0" w:lastColumn="0" w:oddVBand="0" w:evenVBand="0" w:oddHBand="0" w:evenHBand="0" w:firstRowFirstColumn="0" w:firstRowLastColumn="0" w:lastRowFirstColumn="0" w:lastRowLastColumn="0"/>
            </w:pPr>
            <w:r>
              <w:t>354 419</w:t>
            </w:r>
          </w:p>
        </w:tc>
        <w:tc>
          <w:tcPr>
            <w:tcW w:w="964" w:type="dxa"/>
          </w:tcPr>
          <w:p w14:paraId="2DA41D4D" w14:textId="77777777" w:rsidR="00824558" w:rsidRDefault="00824558">
            <w:pPr>
              <w:cnfStyle w:val="000000000000" w:firstRow="0" w:lastRow="0" w:firstColumn="0" w:lastColumn="0" w:oddVBand="0" w:evenVBand="0" w:oddHBand="0" w:evenHBand="0" w:firstRowFirstColumn="0" w:firstRowLastColumn="0" w:lastRowFirstColumn="0" w:lastRowLastColumn="0"/>
            </w:pPr>
            <w:r>
              <w:t>450 000</w:t>
            </w:r>
          </w:p>
        </w:tc>
        <w:tc>
          <w:tcPr>
            <w:tcW w:w="964" w:type="dxa"/>
          </w:tcPr>
          <w:p w14:paraId="0C04F01D" w14:textId="77777777" w:rsidR="00824558" w:rsidRDefault="00824558">
            <w:pPr>
              <w:cnfStyle w:val="000000000000" w:firstRow="0" w:lastRow="0" w:firstColumn="0" w:lastColumn="0" w:oddVBand="0" w:evenVBand="0" w:oddHBand="0" w:evenHBand="0" w:firstRowFirstColumn="0" w:firstRowLastColumn="0" w:lastRowFirstColumn="0" w:lastRowLastColumn="0"/>
            </w:pPr>
            <w:r>
              <w:t>374 421</w:t>
            </w:r>
          </w:p>
        </w:tc>
      </w:tr>
      <w:tr w:rsidR="00824558" w14:paraId="114658C0"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BD23F61" w14:textId="4265A90E" w:rsidR="00824558" w:rsidRDefault="00824558">
            <w:pPr>
              <w:ind w:left="170"/>
              <w:rPr>
                <w:i/>
              </w:rPr>
            </w:pPr>
            <w:r>
              <w:rPr>
                <w:i/>
              </w:rPr>
              <w:t>The 2025-26 expected outcome is lower than the 2025-26 target due to fewer community correction orders with a community work condition being ordered by the courts</w:t>
            </w:r>
            <w:r w:rsidR="00E44A31">
              <w:rPr>
                <w:i/>
              </w:rPr>
              <w:t>.</w:t>
            </w:r>
            <w:r>
              <w:rPr>
                <w:i/>
              </w:rPr>
              <w:t xml:space="preserve"> </w:t>
            </w:r>
          </w:p>
          <w:p w14:paraId="6BD62495" w14:textId="77777777" w:rsidR="00824558" w:rsidRDefault="00824558">
            <w:pPr>
              <w:ind w:left="170"/>
            </w:pPr>
            <w:r>
              <w:rPr>
                <w:i/>
              </w:rPr>
              <w:t>The lower 2026-27 target reflects this change and has been updated to a range to reflect the number of community work hours being ordered by the courts.</w:t>
            </w:r>
          </w:p>
        </w:tc>
      </w:tr>
      <w:tr w:rsidR="00824558" w:rsidRPr="00712860" w14:paraId="485B0F3A"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Pr>
          <w:p w14:paraId="52C77186" w14:textId="77777777" w:rsidR="00824558" w:rsidRPr="00712860" w:rsidRDefault="00824558">
            <w:pPr>
              <w:keepNext/>
              <w:rPr>
                <w:b/>
                <w:bCs/>
                <w:iCs/>
              </w:rPr>
            </w:pPr>
            <w:r w:rsidRPr="00712860">
              <w:rPr>
                <w:b/>
                <w:bCs/>
                <w:iCs/>
              </w:rPr>
              <w:t>Quality</w:t>
            </w:r>
          </w:p>
        </w:tc>
      </w:tr>
      <w:tr w:rsidR="00824558" w14:paraId="099F8119"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6863ECF9" w14:textId="77777777" w:rsidR="00824558" w:rsidRDefault="00824558">
            <w:pPr>
              <w:keepNext/>
              <w:ind w:left="170"/>
            </w:pPr>
            <w:r>
              <w:t>Percentage of community work hours ordered that are completed</w:t>
            </w:r>
          </w:p>
        </w:tc>
        <w:tc>
          <w:tcPr>
            <w:tcW w:w="964" w:type="dxa"/>
          </w:tcPr>
          <w:p w14:paraId="5C87028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797287"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482B6B53" w14:textId="77777777" w:rsidR="00824558" w:rsidRDefault="00824558">
            <w:pPr>
              <w:cnfStyle w:val="000000000000" w:firstRow="0" w:lastRow="0" w:firstColumn="0" w:lastColumn="0" w:oddVBand="0" w:evenVBand="0" w:oddHBand="0" w:evenHBand="0" w:firstRowFirstColumn="0" w:firstRowLastColumn="0" w:lastRowFirstColumn="0" w:lastRowLastColumn="0"/>
            </w:pPr>
            <w:r>
              <w:t>66.3</w:t>
            </w:r>
          </w:p>
        </w:tc>
        <w:tc>
          <w:tcPr>
            <w:tcW w:w="964" w:type="dxa"/>
          </w:tcPr>
          <w:p w14:paraId="44C13787"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437C10DB" w14:textId="77777777" w:rsidR="00824558" w:rsidRDefault="00824558">
            <w:pPr>
              <w:cnfStyle w:val="000000000000" w:firstRow="0" w:lastRow="0" w:firstColumn="0" w:lastColumn="0" w:oddVBand="0" w:evenVBand="0" w:oddHBand="0" w:evenHBand="0" w:firstRowFirstColumn="0" w:firstRowLastColumn="0" w:lastRowFirstColumn="0" w:lastRowLastColumn="0"/>
            </w:pPr>
            <w:r>
              <w:t>67.9</w:t>
            </w:r>
          </w:p>
        </w:tc>
      </w:tr>
      <w:tr w:rsidR="00824558" w14:paraId="6E282DA6"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7283FE6" w14:textId="77777777" w:rsidR="00824558" w:rsidRDefault="00824558">
            <w:pPr>
              <w:ind w:left="170"/>
            </w:pPr>
            <w:r>
              <w:rPr>
                <w:i/>
              </w:rPr>
              <w:t>The 2025-26 expected outcome is lower than the 2025-26 target due to the reduced number of reparation orders and higher levels of complexity in the offender cohort than there have been historically, impacting hours completed.</w:t>
            </w:r>
          </w:p>
        </w:tc>
      </w:tr>
      <w:tr w:rsidR="00824558" w14:paraId="4764D99D"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166C2401" w14:textId="77777777" w:rsidR="00824558" w:rsidRDefault="00824558">
            <w:pPr>
              <w:keepNext/>
              <w:ind w:left="170"/>
            </w:pPr>
            <w:r>
              <w:t>Rate of return to corrective services within two years of discharge from a community corrections order</w:t>
            </w:r>
          </w:p>
        </w:tc>
        <w:tc>
          <w:tcPr>
            <w:tcW w:w="964" w:type="dxa"/>
          </w:tcPr>
          <w:p w14:paraId="4DAE070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84FF753"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1ED000F3"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c>
          <w:tcPr>
            <w:tcW w:w="964" w:type="dxa"/>
          </w:tcPr>
          <w:p w14:paraId="2CC11CEE"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c>
          <w:tcPr>
            <w:tcW w:w="964" w:type="dxa"/>
          </w:tcPr>
          <w:p w14:paraId="077FA836" w14:textId="77777777" w:rsidR="00824558" w:rsidRDefault="00824558">
            <w:pPr>
              <w:cnfStyle w:val="000000000000" w:firstRow="0" w:lastRow="0" w:firstColumn="0" w:lastColumn="0" w:oddVBand="0" w:evenVBand="0" w:oddHBand="0" w:evenHBand="0" w:firstRowFirstColumn="0" w:firstRowLastColumn="0" w:lastRowFirstColumn="0" w:lastRowLastColumn="0"/>
            </w:pPr>
            <w:r>
              <w:t>10.8</w:t>
            </w:r>
          </w:p>
        </w:tc>
      </w:tr>
      <w:tr w:rsidR="00824558" w14:paraId="44ACFF35"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FD2625" w14:textId="77777777" w:rsidR="00824558" w:rsidRDefault="00824558">
            <w:pPr>
              <w:ind w:left="170"/>
            </w:pPr>
            <w:r>
              <w:rPr>
                <w:i/>
              </w:rPr>
              <w:t>The 2025-26 expected outcome is lower than the 2025-26 target due to a decrease in recidivism. This result reflects fewer offenders returning to corrective services following the successful completion of their community corrections orders.</w:t>
            </w:r>
          </w:p>
        </w:tc>
      </w:tr>
      <w:tr w:rsidR="00824558" w14:paraId="261220C7" w14:textId="77777777" w:rsidTr="001B694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BC75CB6" w14:textId="77777777" w:rsidR="00824558" w:rsidRDefault="00824558">
            <w:pPr>
              <w:ind w:left="170"/>
            </w:pPr>
            <w:r>
              <w:t>Successful completion of parole orders</w:t>
            </w:r>
          </w:p>
        </w:tc>
        <w:tc>
          <w:tcPr>
            <w:tcW w:w="964" w:type="dxa"/>
            <w:tcBorders>
              <w:bottom w:val="single" w:sz="6" w:space="0" w:color="auto"/>
            </w:tcBorders>
          </w:tcPr>
          <w:p w14:paraId="6A3C956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3C3762"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6E256F75" w14:textId="77777777" w:rsidR="00824558" w:rsidRDefault="00824558">
            <w:pPr>
              <w:cnfStyle w:val="000000000000" w:firstRow="0" w:lastRow="0" w:firstColumn="0" w:lastColumn="0" w:oddVBand="0" w:evenVBand="0" w:oddHBand="0" w:evenHBand="0" w:firstRowFirstColumn="0" w:firstRowLastColumn="0" w:lastRowFirstColumn="0" w:lastRowLastColumn="0"/>
            </w:pPr>
            <w:r>
              <w:t>74.7</w:t>
            </w:r>
          </w:p>
        </w:tc>
        <w:tc>
          <w:tcPr>
            <w:tcW w:w="964" w:type="dxa"/>
            <w:tcBorders>
              <w:bottom w:val="single" w:sz="6" w:space="0" w:color="auto"/>
            </w:tcBorders>
          </w:tcPr>
          <w:p w14:paraId="2D31D8EF"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6C5C255C" w14:textId="77777777" w:rsidR="00824558" w:rsidRDefault="00824558">
            <w:pPr>
              <w:cnfStyle w:val="000000000000" w:firstRow="0" w:lastRow="0" w:firstColumn="0" w:lastColumn="0" w:oddVBand="0" w:evenVBand="0" w:oddHBand="0" w:evenHBand="0" w:firstRowFirstColumn="0" w:firstRowLastColumn="0" w:lastRowFirstColumn="0" w:lastRowLastColumn="0"/>
            </w:pPr>
            <w:r>
              <w:t>80.5</w:t>
            </w:r>
          </w:p>
        </w:tc>
      </w:tr>
      <w:tr w:rsidR="00824558" w14:paraId="5ADC22A5" w14:textId="77777777" w:rsidTr="001B694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0802A91" w14:textId="77777777" w:rsidR="00824558" w:rsidRDefault="00824558">
            <w:pPr>
              <w:ind w:left="170"/>
            </w:pPr>
            <w:r>
              <w:t>Successful completion of reparation orders</w:t>
            </w:r>
          </w:p>
        </w:tc>
        <w:tc>
          <w:tcPr>
            <w:tcW w:w="964" w:type="dxa"/>
            <w:tcBorders>
              <w:bottom w:val="single" w:sz="6" w:space="0" w:color="auto"/>
            </w:tcBorders>
          </w:tcPr>
          <w:p w14:paraId="6FEDBFF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EEA1E8E"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46A2ED80"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c>
          <w:tcPr>
            <w:tcW w:w="964" w:type="dxa"/>
            <w:tcBorders>
              <w:bottom w:val="single" w:sz="6" w:space="0" w:color="auto"/>
            </w:tcBorders>
          </w:tcPr>
          <w:p w14:paraId="737E1F03"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4878BC49" w14:textId="77777777" w:rsidR="00824558" w:rsidRDefault="00824558">
            <w:pPr>
              <w:cnfStyle w:val="000000000000" w:firstRow="0" w:lastRow="0" w:firstColumn="0" w:lastColumn="0" w:oddVBand="0" w:evenVBand="0" w:oddHBand="0" w:evenHBand="0" w:firstRowFirstColumn="0" w:firstRowLastColumn="0" w:lastRowFirstColumn="0" w:lastRowLastColumn="0"/>
            </w:pPr>
            <w:r>
              <w:t>62.7</w:t>
            </w:r>
          </w:p>
        </w:tc>
      </w:tr>
      <w:tr w:rsidR="00824558" w14:paraId="38EF2E58"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4A2A03E2" w14:textId="77777777" w:rsidR="00824558" w:rsidRDefault="00824558">
            <w:pPr>
              <w:keepNext/>
              <w:ind w:left="170"/>
            </w:pPr>
            <w:r>
              <w:lastRenderedPageBreak/>
              <w:t>Successful completion of supervised court orders</w:t>
            </w:r>
          </w:p>
        </w:tc>
        <w:tc>
          <w:tcPr>
            <w:tcW w:w="964" w:type="dxa"/>
          </w:tcPr>
          <w:p w14:paraId="48E3DD2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8A8ECA6"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338B8C53" w14:textId="77777777" w:rsidR="00824558" w:rsidRDefault="00824558">
            <w:pPr>
              <w:cnfStyle w:val="000000000000" w:firstRow="0" w:lastRow="0" w:firstColumn="0" w:lastColumn="0" w:oddVBand="0" w:evenVBand="0" w:oddHBand="0" w:evenHBand="0" w:firstRowFirstColumn="0" w:firstRowLastColumn="0" w:lastRowFirstColumn="0" w:lastRowLastColumn="0"/>
            </w:pPr>
            <w:r>
              <w:t>52.2</w:t>
            </w:r>
          </w:p>
        </w:tc>
        <w:tc>
          <w:tcPr>
            <w:tcW w:w="964" w:type="dxa"/>
          </w:tcPr>
          <w:p w14:paraId="0B9314D6"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24931090" w14:textId="77777777" w:rsidR="00824558" w:rsidRDefault="00824558">
            <w:pPr>
              <w:cnfStyle w:val="000000000000" w:firstRow="0" w:lastRow="0" w:firstColumn="0" w:lastColumn="0" w:oddVBand="0" w:evenVBand="0" w:oddHBand="0" w:evenHBand="0" w:firstRowFirstColumn="0" w:firstRowLastColumn="0" w:lastRowFirstColumn="0" w:lastRowLastColumn="0"/>
            </w:pPr>
            <w:r>
              <w:t>58.5</w:t>
            </w:r>
          </w:p>
        </w:tc>
      </w:tr>
      <w:tr w:rsidR="00824558" w14:paraId="689EDD90"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AD1AB21" w14:textId="77777777" w:rsidR="00824558" w:rsidRDefault="00824558">
            <w:pPr>
              <w:ind w:left="170"/>
            </w:pPr>
            <w:r>
              <w:rPr>
                <w:i/>
              </w:rPr>
              <w:t>The 2025-26 expected outcome is lower than the 2025-26 target due to a combination of factors including higher levels of complexity in the offender cohort than there has been historically, and strict monitoring and responsiveness to non-compliance affecting successful completions.</w:t>
            </w:r>
          </w:p>
        </w:tc>
      </w:tr>
      <w:tr w:rsidR="00824558" w14:paraId="719A4D68" w14:textId="77777777" w:rsidTr="001B6946">
        <w:tc>
          <w:tcPr>
            <w:cnfStyle w:val="001000000000" w:firstRow="0" w:lastRow="0" w:firstColumn="1" w:lastColumn="0" w:oddVBand="0" w:evenVBand="0" w:oddHBand="0" w:evenHBand="0" w:firstRowFirstColumn="0" w:firstRowLastColumn="0" w:lastRowFirstColumn="0" w:lastRowLastColumn="0"/>
            <w:tcW w:w="4819" w:type="dxa"/>
          </w:tcPr>
          <w:p w14:paraId="31A6CF94" w14:textId="77777777" w:rsidR="00824558" w:rsidRDefault="00824558">
            <w:pPr>
              <w:keepNext/>
              <w:ind w:left="170"/>
            </w:pPr>
            <w:r>
              <w:t>Successful completion of violence related programs for family violence offenders in community corrections</w:t>
            </w:r>
          </w:p>
        </w:tc>
        <w:tc>
          <w:tcPr>
            <w:tcW w:w="964" w:type="dxa"/>
          </w:tcPr>
          <w:p w14:paraId="67763AA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DB5FDDA"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9D86978" w14:textId="77777777" w:rsidR="00824558" w:rsidRDefault="00824558">
            <w:pPr>
              <w:cnfStyle w:val="000000000000" w:firstRow="0" w:lastRow="0" w:firstColumn="0" w:lastColumn="0" w:oddVBand="0" w:evenVBand="0" w:oddHBand="0" w:evenHBand="0" w:firstRowFirstColumn="0" w:firstRowLastColumn="0" w:lastRowFirstColumn="0" w:lastRowLastColumn="0"/>
            </w:pPr>
            <w:r>
              <w:t>91.3</w:t>
            </w:r>
          </w:p>
        </w:tc>
        <w:tc>
          <w:tcPr>
            <w:tcW w:w="964" w:type="dxa"/>
          </w:tcPr>
          <w:p w14:paraId="4E52C8D4"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8EF5B9C" w14:textId="77777777" w:rsidR="00824558" w:rsidRDefault="00824558">
            <w:pPr>
              <w:cnfStyle w:val="000000000000" w:firstRow="0" w:lastRow="0" w:firstColumn="0" w:lastColumn="0" w:oddVBand="0" w:evenVBand="0" w:oddHBand="0" w:evenHBand="0" w:firstRowFirstColumn="0" w:firstRowLastColumn="0" w:lastRowFirstColumn="0" w:lastRowLastColumn="0"/>
            </w:pPr>
            <w:r>
              <w:t>84.2</w:t>
            </w:r>
          </w:p>
        </w:tc>
      </w:tr>
      <w:tr w:rsidR="00824558" w14:paraId="3E487E32"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7987189" w14:textId="77777777" w:rsidR="00824558" w:rsidRDefault="00824558">
            <w:pPr>
              <w:ind w:left="170"/>
              <w:rPr>
                <w:i/>
              </w:rPr>
            </w:pPr>
            <w:r>
              <w:rPr>
                <w:i/>
              </w:rPr>
              <w:t xml:space="preserve">The 2025-26 expected outcome is higher than the 2025-26 target due to high number of successfully completed participations in family violence programs. </w:t>
            </w:r>
          </w:p>
        </w:tc>
      </w:tr>
      <w:tr w:rsidR="00824558" w:rsidRPr="00712860" w14:paraId="61F69A9D"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Pr>
          <w:p w14:paraId="7E1E0D71" w14:textId="77777777" w:rsidR="00824558" w:rsidRPr="00712860" w:rsidRDefault="00824558">
            <w:pPr>
              <w:keepNext/>
              <w:rPr>
                <w:b/>
                <w:bCs/>
                <w:iCs/>
              </w:rPr>
            </w:pPr>
            <w:r w:rsidRPr="00712860">
              <w:rPr>
                <w:b/>
                <w:bCs/>
                <w:iCs/>
              </w:rPr>
              <w:t>Timeliness</w:t>
            </w:r>
          </w:p>
        </w:tc>
      </w:tr>
      <w:tr w:rsidR="00824558" w14:paraId="2887D9E4" w14:textId="77777777" w:rsidTr="001B694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C966EE6" w14:textId="77777777" w:rsidR="00824558" w:rsidRDefault="00824558">
            <w:pPr>
              <w:ind w:left="170"/>
            </w:pPr>
            <w:r>
              <w:t>Offenders with a treatment or rehabilitation program condition who have been appropriately referred to a program</w:t>
            </w:r>
          </w:p>
        </w:tc>
        <w:tc>
          <w:tcPr>
            <w:tcW w:w="964" w:type="dxa"/>
            <w:tcBorders>
              <w:bottom w:val="single" w:sz="6" w:space="0" w:color="auto"/>
            </w:tcBorders>
          </w:tcPr>
          <w:p w14:paraId="42293CA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309B1D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5F905CF" w14:textId="77777777" w:rsidR="00824558" w:rsidRDefault="00824558">
            <w:pPr>
              <w:cnfStyle w:val="000000000000" w:firstRow="0" w:lastRow="0" w:firstColumn="0" w:lastColumn="0" w:oddVBand="0" w:evenVBand="0" w:oddHBand="0" w:evenHBand="0" w:firstRowFirstColumn="0" w:firstRowLastColumn="0" w:lastRowFirstColumn="0" w:lastRowLastColumn="0"/>
            </w:pPr>
            <w:r>
              <w:t>93.3</w:t>
            </w:r>
          </w:p>
        </w:tc>
        <w:tc>
          <w:tcPr>
            <w:tcW w:w="964" w:type="dxa"/>
            <w:tcBorders>
              <w:bottom w:val="single" w:sz="6" w:space="0" w:color="auto"/>
            </w:tcBorders>
          </w:tcPr>
          <w:p w14:paraId="1D60BB9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308ED64" w14:textId="77777777" w:rsidR="00824558" w:rsidRDefault="00824558">
            <w:pPr>
              <w:cnfStyle w:val="000000000000" w:firstRow="0" w:lastRow="0" w:firstColumn="0" w:lastColumn="0" w:oddVBand="0" w:evenVBand="0" w:oddHBand="0" w:evenHBand="0" w:firstRowFirstColumn="0" w:firstRowLastColumn="0" w:lastRowFirstColumn="0" w:lastRowLastColumn="0"/>
            </w:pPr>
            <w:r>
              <w:t>92.9</w:t>
            </w:r>
          </w:p>
        </w:tc>
      </w:tr>
      <w:tr w:rsidR="00824558" w:rsidRPr="00712860" w14:paraId="76199BAF" w14:textId="77777777" w:rsidTr="001B6946">
        <w:tc>
          <w:tcPr>
            <w:cnfStyle w:val="001000000000" w:firstRow="0" w:lastRow="0" w:firstColumn="1" w:lastColumn="0" w:oddVBand="0" w:evenVBand="0" w:oddHBand="0" w:evenHBand="0" w:firstRowFirstColumn="0" w:firstRowLastColumn="0" w:lastRowFirstColumn="0" w:lastRowLastColumn="0"/>
            <w:tcW w:w="9639" w:type="dxa"/>
            <w:gridSpan w:val="6"/>
          </w:tcPr>
          <w:p w14:paraId="7EBEBB05" w14:textId="77777777" w:rsidR="00824558" w:rsidRPr="00712860" w:rsidRDefault="00824558">
            <w:pPr>
              <w:keepNext/>
              <w:rPr>
                <w:b/>
                <w:bCs/>
                <w:iCs/>
              </w:rPr>
            </w:pPr>
            <w:r w:rsidRPr="00712860">
              <w:rPr>
                <w:b/>
                <w:bCs/>
                <w:iCs/>
              </w:rPr>
              <w:t>Cost</w:t>
            </w:r>
          </w:p>
        </w:tc>
      </w:tr>
      <w:tr w:rsidR="001B6946" w14:paraId="64429075" w14:textId="77777777" w:rsidTr="001B6946">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4F7685EE" w14:textId="77777777" w:rsidR="001B6946" w:rsidRDefault="001B6946" w:rsidP="001B6946">
            <w:pPr>
              <w:ind w:left="170"/>
            </w:pPr>
            <w:r>
              <w:t>Total output cost</w:t>
            </w:r>
          </w:p>
        </w:tc>
        <w:tc>
          <w:tcPr>
            <w:tcW w:w="964" w:type="dxa"/>
            <w:tcBorders>
              <w:bottom w:val="single" w:sz="12" w:space="0" w:color="auto"/>
            </w:tcBorders>
          </w:tcPr>
          <w:p w14:paraId="10FCD0F5" w14:textId="77777777" w:rsidR="001B6946" w:rsidRDefault="001B6946" w:rsidP="001B6946">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4DE90425" w14:textId="4AFF0B6B" w:rsidR="001B6946" w:rsidRPr="00466B84" w:rsidRDefault="001B6946" w:rsidP="001B6946">
            <w:pPr>
              <w:cnfStyle w:val="000000000000" w:firstRow="0" w:lastRow="0" w:firstColumn="0" w:lastColumn="0" w:oddVBand="0" w:evenVBand="0" w:oddHBand="0" w:evenHBand="0" w:firstRowFirstColumn="0" w:firstRowLastColumn="0" w:lastRowFirstColumn="0" w:lastRowLastColumn="0"/>
              <w:rPr>
                <w:highlight w:val="yellow"/>
              </w:rPr>
            </w:pPr>
            <w:r w:rsidRPr="005A3ADE">
              <w:t>274.4</w:t>
            </w:r>
          </w:p>
        </w:tc>
        <w:tc>
          <w:tcPr>
            <w:tcW w:w="964" w:type="dxa"/>
            <w:tcBorders>
              <w:bottom w:val="single" w:sz="12" w:space="0" w:color="auto"/>
            </w:tcBorders>
          </w:tcPr>
          <w:p w14:paraId="7F50E1AB" w14:textId="1FD03D75" w:rsidR="001B6946" w:rsidRPr="00466B84" w:rsidRDefault="001B6946" w:rsidP="001B6946">
            <w:pPr>
              <w:cnfStyle w:val="000000000000" w:firstRow="0" w:lastRow="0" w:firstColumn="0" w:lastColumn="0" w:oddVBand="0" w:evenVBand="0" w:oddHBand="0" w:evenHBand="0" w:firstRowFirstColumn="0" w:firstRowLastColumn="0" w:lastRowFirstColumn="0" w:lastRowLastColumn="0"/>
              <w:rPr>
                <w:highlight w:val="yellow"/>
              </w:rPr>
            </w:pPr>
            <w:r w:rsidRPr="005A3ADE">
              <w:t>267.3</w:t>
            </w:r>
          </w:p>
        </w:tc>
        <w:tc>
          <w:tcPr>
            <w:tcW w:w="964" w:type="dxa"/>
            <w:tcBorders>
              <w:bottom w:val="single" w:sz="12" w:space="0" w:color="auto"/>
            </w:tcBorders>
          </w:tcPr>
          <w:p w14:paraId="5CEE6258" w14:textId="2D89D692" w:rsidR="001B6946" w:rsidRPr="00466B84" w:rsidRDefault="001B6946" w:rsidP="001B6946">
            <w:pPr>
              <w:cnfStyle w:val="000000000000" w:firstRow="0" w:lastRow="0" w:firstColumn="0" w:lastColumn="0" w:oddVBand="0" w:evenVBand="0" w:oddHBand="0" w:evenHBand="0" w:firstRowFirstColumn="0" w:firstRowLastColumn="0" w:lastRowFirstColumn="0" w:lastRowLastColumn="0"/>
              <w:rPr>
                <w:highlight w:val="yellow"/>
              </w:rPr>
            </w:pPr>
            <w:r w:rsidRPr="005A3ADE">
              <w:t>279.0</w:t>
            </w:r>
          </w:p>
        </w:tc>
        <w:tc>
          <w:tcPr>
            <w:tcW w:w="964" w:type="dxa"/>
            <w:tcBorders>
              <w:bottom w:val="single" w:sz="12" w:space="0" w:color="auto"/>
            </w:tcBorders>
          </w:tcPr>
          <w:p w14:paraId="403FA24F" w14:textId="4B600FC4" w:rsidR="001B6946" w:rsidRPr="00466B84" w:rsidRDefault="001B6946" w:rsidP="001B6946">
            <w:pPr>
              <w:cnfStyle w:val="000000000000" w:firstRow="0" w:lastRow="0" w:firstColumn="0" w:lastColumn="0" w:oddVBand="0" w:evenVBand="0" w:oddHBand="0" w:evenHBand="0" w:firstRowFirstColumn="0" w:firstRowLastColumn="0" w:lastRowFirstColumn="0" w:lastRowLastColumn="0"/>
              <w:rPr>
                <w:highlight w:val="yellow"/>
              </w:rPr>
            </w:pPr>
            <w:r w:rsidRPr="005A3ADE">
              <w:t>287.1</w:t>
            </w:r>
          </w:p>
        </w:tc>
      </w:tr>
    </w:tbl>
    <w:p w14:paraId="68ACB796" w14:textId="77777777" w:rsidR="00824558" w:rsidRDefault="00824558">
      <w:pPr>
        <w:pStyle w:val="Source"/>
      </w:pPr>
      <w:r>
        <w:t>Source: Department of Justice and Community Safety</w:t>
      </w:r>
    </w:p>
    <w:p w14:paraId="450BE296" w14:textId="27E8E9DC" w:rsidR="00824558" w:rsidRDefault="00824558">
      <w:pPr>
        <w:pStyle w:val="Heading3"/>
      </w:pPr>
      <w:r>
        <w:t>Prisoner Supervision and Support</w:t>
      </w:r>
      <w:r>
        <w:tab/>
        <w:t>(2026-27: $</w:t>
      </w:r>
      <w:r w:rsidR="001B6946">
        <w:t>1 692.4</w:t>
      </w:r>
      <w:r>
        <w:t xml:space="preserve"> million)</w:t>
      </w:r>
    </w:p>
    <w:p w14:paraId="74008050" w14:textId="77777777" w:rsidR="00824558" w:rsidRPr="00252088" w:rsidRDefault="00824558">
      <w:pPr>
        <w:keepNext/>
        <w:spacing w:after="120"/>
      </w:pPr>
      <w:r w:rsidRPr="00AE63FA">
        <w:t>This output relates to the safe, secure and humane containment of prisoners as well as the delivery of programs and effective case management to engage prisoners in positive behavioural change.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54A8E21" w14:textId="77777777" w:rsidTr="007128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2476583" w14:textId="77777777" w:rsidR="00824558" w:rsidRDefault="00824558">
            <w:r>
              <w:t>Performance measure</w:t>
            </w:r>
          </w:p>
        </w:tc>
        <w:tc>
          <w:tcPr>
            <w:tcW w:w="964" w:type="dxa"/>
          </w:tcPr>
          <w:p w14:paraId="180E348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401BBA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189517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C05DFB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864923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712860" w14:paraId="58477DA5"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Pr>
          <w:p w14:paraId="383B5C0F" w14:textId="77777777" w:rsidR="00824558" w:rsidRPr="00712860" w:rsidRDefault="00824558">
            <w:pPr>
              <w:keepNext/>
              <w:rPr>
                <w:b/>
                <w:bCs/>
                <w:iCs/>
              </w:rPr>
            </w:pPr>
            <w:r w:rsidRPr="00712860">
              <w:rPr>
                <w:b/>
                <w:bCs/>
                <w:iCs/>
              </w:rPr>
              <w:t>Quantity</w:t>
            </w:r>
          </w:p>
        </w:tc>
      </w:tr>
      <w:tr w:rsidR="00824558" w14:paraId="2EF77636"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AC06BF" w14:textId="77777777" w:rsidR="00824558" w:rsidRDefault="00824558">
            <w:pPr>
              <w:keepNext/>
              <w:ind w:left="170"/>
            </w:pPr>
            <w:r>
              <w:t>Annual daily average number of female prisoners</w:t>
            </w:r>
          </w:p>
        </w:tc>
        <w:tc>
          <w:tcPr>
            <w:tcW w:w="964" w:type="dxa"/>
            <w:tcBorders>
              <w:bottom w:val="single" w:sz="6" w:space="0" w:color="auto"/>
            </w:tcBorders>
          </w:tcPr>
          <w:p w14:paraId="678BA52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34AB15C" w14:textId="24CB4430" w:rsidR="00824558" w:rsidRDefault="00824558">
            <w:pPr>
              <w:cnfStyle w:val="000000000000" w:firstRow="0" w:lastRow="0" w:firstColumn="0" w:lastColumn="0" w:oddVBand="0" w:evenVBand="0" w:oddHBand="0" w:evenHBand="0" w:firstRowFirstColumn="0" w:firstRowLastColumn="0" w:lastRowFirstColumn="0" w:lastRowLastColumn="0"/>
            </w:pPr>
            <w:r>
              <w:t>314</w:t>
            </w:r>
            <w:r w:rsidR="00F211C0">
              <w:t xml:space="preserve"> – </w:t>
            </w:r>
            <w:r>
              <w:t>517</w:t>
            </w:r>
          </w:p>
        </w:tc>
        <w:tc>
          <w:tcPr>
            <w:tcW w:w="964" w:type="dxa"/>
            <w:tcBorders>
              <w:bottom w:val="single" w:sz="6" w:space="0" w:color="auto"/>
            </w:tcBorders>
          </w:tcPr>
          <w:p w14:paraId="1383167A" w14:textId="77777777" w:rsidR="00824558" w:rsidRDefault="00824558">
            <w:pPr>
              <w:cnfStyle w:val="000000000000" w:firstRow="0" w:lastRow="0" w:firstColumn="0" w:lastColumn="0" w:oddVBand="0" w:evenVBand="0" w:oddHBand="0" w:evenHBand="0" w:firstRowFirstColumn="0" w:firstRowLastColumn="0" w:lastRowFirstColumn="0" w:lastRowLastColumn="0"/>
            </w:pPr>
            <w:r>
              <w:t>403</w:t>
            </w:r>
          </w:p>
        </w:tc>
        <w:tc>
          <w:tcPr>
            <w:tcW w:w="964" w:type="dxa"/>
            <w:tcBorders>
              <w:bottom w:val="single" w:sz="6" w:space="0" w:color="auto"/>
            </w:tcBorders>
          </w:tcPr>
          <w:p w14:paraId="27020A22" w14:textId="5262C75C" w:rsidR="00824558" w:rsidRDefault="00824558">
            <w:pPr>
              <w:cnfStyle w:val="000000000000" w:firstRow="0" w:lastRow="0" w:firstColumn="0" w:lastColumn="0" w:oddVBand="0" w:evenVBand="0" w:oddHBand="0" w:evenHBand="0" w:firstRowFirstColumn="0" w:firstRowLastColumn="0" w:lastRowFirstColumn="0" w:lastRowLastColumn="0"/>
            </w:pPr>
            <w:r>
              <w:t>314</w:t>
            </w:r>
            <w:r w:rsidR="00F211C0">
              <w:t xml:space="preserve"> – </w:t>
            </w:r>
            <w:r>
              <w:t>517</w:t>
            </w:r>
          </w:p>
        </w:tc>
        <w:tc>
          <w:tcPr>
            <w:tcW w:w="964" w:type="dxa"/>
            <w:tcBorders>
              <w:bottom w:val="single" w:sz="6" w:space="0" w:color="auto"/>
            </w:tcBorders>
          </w:tcPr>
          <w:p w14:paraId="144B7C97" w14:textId="77777777" w:rsidR="00824558" w:rsidRDefault="00824558">
            <w:pPr>
              <w:cnfStyle w:val="000000000000" w:firstRow="0" w:lastRow="0" w:firstColumn="0" w:lastColumn="0" w:oddVBand="0" w:evenVBand="0" w:oddHBand="0" w:evenHBand="0" w:firstRowFirstColumn="0" w:firstRowLastColumn="0" w:lastRowFirstColumn="0" w:lastRowLastColumn="0"/>
            </w:pPr>
            <w:r>
              <w:t>313</w:t>
            </w:r>
          </w:p>
        </w:tc>
      </w:tr>
      <w:tr w:rsidR="00824558" w14:paraId="35371113"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95F0078" w14:textId="77777777" w:rsidR="00824558" w:rsidRDefault="00824558">
            <w:pPr>
              <w:keepNext/>
              <w:ind w:left="170"/>
            </w:pPr>
            <w:r>
              <w:t>Annual daily average number of male prisoners</w:t>
            </w:r>
          </w:p>
        </w:tc>
        <w:tc>
          <w:tcPr>
            <w:tcW w:w="964" w:type="dxa"/>
            <w:tcBorders>
              <w:top w:val="single" w:sz="6" w:space="0" w:color="auto"/>
            </w:tcBorders>
          </w:tcPr>
          <w:p w14:paraId="3CA1CED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2688E061" w14:textId="4A661E1E" w:rsidR="00824558" w:rsidRDefault="00824558">
            <w:pPr>
              <w:cnfStyle w:val="000000000000" w:firstRow="0" w:lastRow="0" w:firstColumn="0" w:lastColumn="0" w:oddVBand="0" w:evenVBand="0" w:oddHBand="0" w:evenHBand="0" w:firstRowFirstColumn="0" w:firstRowLastColumn="0" w:lastRowFirstColumn="0" w:lastRowLastColumn="0"/>
            </w:pPr>
            <w:r>
              <w:t>6 418</w:t>
            </w:r>
            <w:r w:rsidR="007942D1">
              <w:t xml:space="preserve"> – </w:t>
            </w:r>
            <w:r>
              <w:t>7 273</w:t>
            </w:r>
          </w:p>
        </w:tc>
        <w:tc>
          <w:tcPr>
            <w:tcW w:w="964" w:type="dxa"/>
            <w:tcBorders>
              <w:top w:val="single" w:sz="6" w:space="0" w:color="auto"/>
            </w:tcBorders>
          </w:tcPr>
          <w:p w14:paraId="6C14ADA5" w14:textId="77777777" w:rsidR="00824558" w:rsidRDefault="00824558">
            <w:pPr>
              <w:cnfStyle w:val="000000000000" w:firstRow="0" w:lastRow="0" w:firstColumn="0" w:lastColumn="0" w:oddVBand="0" w:evenVBand="0" w:oddHBand="0" w:evenHBand="0" w:firstRowFirstColumn="0" w:firstRowLastColumn="0" w:lastRowFirstColumn="0" w:lastRowLastColumn="0"/>
            </w:pPr>
            <w:r>
              <w:t>6 524</w:t>
            </w:r>
          </w:p>
        </w:tc>
        <w:tc>
          <w:tcPr>
            <w:tcW w:w="964" w:type="dxa"/>
            <w:tcBorders>
              <w:top w:val="single" w:sz="6" w:space="0" w:color="auto"/>
            </w:tcBorders>
          </w:tcPr>
          <w:p w14:paraId="70568CEC" w14:textId="77777777" w:rsidR="00824558" w:rsidRDefault="00824558">
            <w:pPr>
              <w:cnfStyle w:val="000000000000" w:firstRow="0" w:lastRow="0" w:firstColumn="0" w:lastColumn="0" w:oddVBand="0" w:evenVBand="0" w:oddHBand="0" w:evenHBand="0" w:firstRowFirstColumn="0" w:firstRowLastColumn="0" w:lastRowFirstColumn="0" w:lastRowLastColumn="0"/>
            </w:pPr>
            <w:r>
              <w:t>5 890 – 6 745</w:t>
            </w:r>
          </w:p>
        </w:tc>
        <w:tc>
          <w:tcPr>
            <w:tcW w:w="964" w:type="dxa"/>
            <w:tcBorders>
              <w:top w:val="single" w:sz="6" w:space="0" w:color="auto"/>
            </w:tcBorders>
          </w:tcPr>
          <w:p w14:paraId="43692ED9" w14:textId="77777777" w:rsidR="00824558" w:rsidRDefault="00824558">
            <w:pPr>
              <w:cnfStyle w:val="000000000000" w:firstRow="0" w:lastRow="0" w:firstColumn="0" w:lastColumn="0" w:oddVBand="0" w:evenVBand="0" w:oddHBand="0" w:evenHBand="0" w:firstRowFirstColumn="0" w:firstRowLastColumn="0" w:lastRowFirstColumn="0" w:lastRowLastColumn="0"/>
            </w:pPr>
            <w:r>
              <w:t>5 853</w:t>
            </w:r>
          </w:p>
        </w:tc>
      </w:tr>
      <w:tr w:rsidR="00824558" w14:paraId="6376E92B"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96E25E" w14:textId="77777777" w:rsidR="00824558" w:rsidRDefault="00824558">
            <w:pPr>
              <w:ind w:left="170"/>
              <w:rPr>
                <w:i/>
                <w:highlight w:val="yellow"/>
              </w:rPr>
            </w:pPr>
            <w:r w:rsidRPr="1484607A">
              <w:rPr>
                <w:i/>
                <w:iCs/>
              </w:rPr>
              <w:t>The higher 2026-27 target reflects increased numbers of people in prison due to more offenders being remanded and sentenced to imprisonment.</w:t>
            </w:r>
          </w:p>
        </w:tc>
      </w:tr>
      <w:tr w:rsidR="00824558" w14:paraId="557735D7"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63DBF93A" w14:textId="77777777" w:rsidR="00824558" w:rsidRDefault="00824558">
            <w:pPr>
              <w:keepNext/>
              <w:ind w:left="170"/>
            </w:pPr>
            <w:r>
              <w:t>Average daily female prison utilisation rate of total female prison capacity</w:t>
            </w:r>
          </w:p>
        </w:tc>
        <w:tc>
          <w:tcPr>
            <w:tcW w:w="964" w:type="dxa"/>
          </w:tcPr>
          <w:p w14:paraId="08F5016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A43DCBB" w14:textId="33722EFD" w:rsidR="00824558" w:rsidRDefault="00824558">
            <w:pPr>
              <w:cnfStyle w:val="000000000000" w:firstRow="0" w:lastRow="0" w:firstColumn="0" w:lastColumn="0" w:oddVBand="0" w:evenVBand="0" w:oddHBand="0" w:evenHBand="0" w:firstRowFirstColumn="0" w:firstRowLastColumn="0" w:lastRowFirstColumn="0" w:lastRowLastColumn="0"/>
            </w:pPr>
            <w:r>
              <w:t>85</w:t>
            </w:r>
            <w:r w:rsidR="007942D1">
              <w:t xml:space="preserve"> – </w:t>
            </w:r>
            <w:r>
              <w:t>90</w:t>
            </w:r>
          </w:p>
        </w:tc>
        <w:tc>
          <w:tcPr>
            <w:tcW w:w="964" w:type="dxa"/>
          </w:tcPr>
          <w:p w14:paraId="5877C5A1"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05E58736" w14:textId="0753D5FF" w:rsidR="00824558" w:rsidRDefault="00824558">
            <w:pPr>
              <w:cnfStyle w:val="000000000000" w:firstRow="0" w:lastRow="0" w:firstColumn="0" w:lastColumn="0" w:oddVBand="0" w:evenVBand="0" w:oddHBand="0" w:evenHBand="0" w:firstRowFirstColumn="0" w:firstRowLastColumn="0" w:lastRowFirstColumn="0" w:lastRowLastColumn="0"/>
            </w:pPr>
            <w:r>
              <w:t>85</w:t>
            </w:r>
            <w:r w:rsidR="007942D1">
              <w:t xml:space="preserve"> – </w:t>
            </w:r>
            <w:r>
              <w:t>90</w:t>
            </w:r>
          </w:p>
        </w:tc>
        <w:tc>
          <w:tcPr>
            <w:tcW w:w="964" w:type="dxa"/>
          </w:tcPr>
          <w:p w14:paraId="5180CE4D" w14:textId="77777777" w:rsidR="00824558" w:rsidRDefault="00824558">
            <w:pPr>
              <w:cnfStyle w:val="000000000000" w:firstRow="0" w:lastRow="0" w:firstColumn="0" w:lastColumn="0" w:oddVBand="0" w:evenVBand="0" w:oddHBand="0" w:evenHBand="0" w:firstRowFirstColumn="0" w:firstRowLastColumn="0" w:lastRowFirstColumn="0" w:lastRowLastColumn="0"/>
            </w:pPr>
            <w:r>
              <w:t>49</w:t>
            </w:r>
          </w:p>
        </w:tc>
      </w:tr>
      <w:tr w:rsidR="00824558" w14:paraId="53BB94FB"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595916" w14:textId="2B270778" w:rsidR="00824558" w:rsidRDefault="00824558">
            <w:pPr>
              <w:ind w:left="170"/>
              <w:rPr>
                <w:i/>
              </w:rPr>
            </w:pPr>
            <w:r>
              <w:rPr>
                <w:i/>
              </w:rPr>
              <w:t>The 2025-26 expected outcome is lower than the 2025-26 target due to maintaining sufficient latent capacity in the women</w:t>
            </w:r>
            <w:r w:rsidR="007942D1">
              <w:rPr>
                <w:i/>
              </w:rPr>
              <w:t>’</w:t>
            </w:r>
            <w:r>
              <w:rPr>
                <w:i/>
              </w:rPr>
              <w:t>s prison system during the 2025-26 year to manage potential fluctuations in prisoner numbers. Utilisation does not factor in beds offline temporarily, which is monitored separately.</w:t>
            </w:r>
          </w:p>
        </w:tc>
      </w:tr>
      <w:tr w:rsidR="00824558" w14:paraId="6F17BA0A"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5E4F41EA" w14:textId="77777777" w:rsidR="00824558" w:rsidRDefault="00824558">
            <w:pPr>
              <w:keepNext/>
              <w:ind w:left="170"/>
            </w:pPr>
            <w:r>
              <w:t>Average daily male prison utilisation rate of total male prison capacity</w:t>
            </w:r>
          </w:p>
        </w:tc>
        <w:tc>
          <w:tcPr>
            <w:tcW w:w="964" w:type="dxa"/>
          </w:tcPr>
          <w:p w14:paraId="21A09AF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9656087" w14:textId="1B036D59" w:rsidR="00824558" w:rsidRDefault="00824558">
            <w:pPr>
              <w:cnfStyle w:val="000000000000" w:firstRow="0" w:lastRow="0" w:firstColumn="0" w:lastColumn="0" w:oddVBand="0" w:evenVBand="0" w:oddHBand="0" w:evenHBand="0" w:firstRowFirstColumn="0" w:firstRowLastColumn="0" w:lastRowFirstColumn="0" w:lastRowLastColumn="0"/>
            </w:pPr>
            <w:r>
              <w:t>85</w:t>
            </w:r>
            <w:r w:rsidR="007942D1">
              <w:t xml:space="preserve"> – </w:t>
            </w:r>
            <w:r>
              <w:t>90</w:t>
            </w:r>
          </w:p>
        </w:tc>
        <w:tc>
          <w:tcPr>
            <w:tcW w:w="964" w:type="dxa"/>
          </w:tcPr>
          <w:p w14:paraId="3134E560" w14:textId="77777777" w:rsidR="00824558" w:rsidRDefault="00824558">
            <w:pPr>
              <w:cnfStyle w:val="000000000000" w:firstRow="0" w:lastRow="0" w:firstColumn="0" w:lastColumn="0" w:oddVBand="0" w:evenVBand="0" w:oddHBand="0" w:evenHBand="0" w:firstRowFirstColumn="0" w:firstRowLastColumn="0" w:lastRowFirstColumn="0" w:lastRowLastColumn="0"/>
            </w:pPr>
            <w:r>
              <w:t>80.5</w:t>
            </w:r>
          </w:p>
        </w:tc>
        <w:tc>
          <w:tcPr>
            <w:tcW w:w="964" w:type="dxa"/>
          </w:tcPr>
          <w:p w14:paraId="55504E8B" w14:textId="639354AD" w:rsidR="00824558" w:rsidRDefault="00824558">
            <w:pPr>
              <w:cnfStyle w:val="000000000000" w:firstRow="0" w:lastRow="0" w:firstColumn="0" w:lastColumn="0" w:oddVBand="0" w:evenVBand="0" w:oddHBand="0" w:evenHBand="0" w:firstRowFirstColumn="0" w:firstRowLastColumn="0" w:lastRowFirstColumn="0" w:lastRowLastColumn="0"/>
            </w:pPr>
            <w:r>
              <w:t>85</w:t>
            </w:r>
            <w:r w:rsidR="007942D1">
              <w:t xml:space="preserve"> – </w:t>
            </w:r>
            <w:r>
              <w:t>90</w:t>
            </w:r>
          </w:p>
        </w:tc>
        <w:tc>
          <w:tcPr>
            <w:tcW w:w="964" w:type="dxa"/>
          </w:tcPr>
          <w:p w14:paraId="04E20CF5" w14:textId="77777777" w:rsidR="00824558" w:rsidRDefault="00824558">
            <w:pPr>
              <w:cnfStyle w:val="000000000000" w:firstRow="0" w:lastRow="0" w:firstColumn="0" w:lastColumn="0" w:oddVBand="0" w:evenVBand="0" w:oddHBand="0" w:evenHBand="0" w:firstRowFirstColumn="0" w:firstRowLastColumn="0" w:lastRowFirstColumn="0" w:lastRowLastColumn="0"/>
            </w:pPr>
            <w:r>
              <w:t>75.2</w:t>
            </w:r>
          </w:p>
        </w:tc>
      </w:tr>
      <w:tr w:rsidR="00824558" w14:paraId="1824889A"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C4903D2" w14:textId="73317A55" w:rsidR="00824558" w:rsidRDefault="00824558">
            <w:pPr>
              <w:ind w:left="170"/>
              <w:rPr>
                <w:i/>
              </w:rPr>
            </w:pPr>
            <w:r>
              <w:rPr>
                <w:i/>
              </w:rPr>
              <w:t>The 2025-26 expected outcome is lower than the 2025-26 target due to additional capacity operationalised in the men</w:t>
            </w:r>
            <w:r w:rsidR="007942D1">
              <w:rPr>
                <w:i/>
              </w:rPr>
              <w:t>’</w:t>
            </w:r>
            <w:r>
              <w:rPr>
                <w:i/>
              </w:rPr>
              <w:t>s system in line with changes in prisoner numbers. Utilisation does not factor in beds offline temporarily, which is monitored separately.</w:t>
            </w:r>
          </w:p>
        </w:tc>
      </w:tr>
      <w:tr w:rsidR="00824558" w14:paraId="0BAA6FF9"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4C99326B" w14:textId="77777777" w:rsidR="00824558" w:rsidRDefault="00824558">
            <w:pPr>
              <w:keepNext/>
              <w:ind w:left="170"/>
            </w:pPr>
            <w:r>
              <w:t>Number of active Integrated Care Plans in place for people in prison</w:t>
            </w:r>
          </w:p>
        </w:tc>
        <w:tc>
          <w:tcPr>
            <w:tcW w:w="964" w:type="dxa"/>
          </w:tcPr>
          <w:p w14:paraId="2C300E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AB2104C" w14:textId="77777777" w:rsidR="00824558" w:rsidRDefault="00824558">
            <w:pPr>
              <w:cnfStyle w:val="000000000000" w:firstRow="0" w:lastRow="0" w:firstColumn="0" w:lastColumn="0" w:oddVBand="0" w:evenVBand="0" w:oddHBand="0" w:evenHBand="0" w:firstRowFirstColumn="0" w:firstRowLastColumn="0" w:lastRowFirstColumn="0" w:lastRowLastColumn="0"/>
            </w:pPr>
            <w:r>
              <w:t>6 500</w:t>
            </w:r>
          </w:p>
        </w:tc>
        <w:tc>
          <w:tcPr>
            <w:tcW w:w="964" w:type="dxa"/>
          </w:tcPr>
          <w:p w14:paraId="2C2810D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81A20A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D62A03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9749F43"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966A31" w14:textId="66039B63" w:rsidR="00824558" w:rsidRDefault="00824558">
            <w:pPr>
              <w:ind w:left="170"/>
              <w:rPr>
                <w:i/>
              </w:rPr>
            </w:pPr>
            <w:r>
              <w:rPr>
                <w:i/>
              </w:rPr>
              <w:t xml:space="preserve">New performance measure for 2026-27 to reflect the provision of health services to prisoners. </w:t>
            </w:r>
          </w:p>
        </w:tc>
      </w:tr>
      <w:tr w:rsidR="00824558" w14:paraId="694ACAC6"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4A0E8F6D" w14:textId="77777777" w:rsidR="00824558" w:rsidRDefault="00824558">
            <w:pPr>
              <w:keepNext/>
              <w:ind w:left="170"/>
            </w:pPr>
            <w:r>
              <w:t>Number of reception and transfer health assessments completed within 24 hours on arrival to a prison location</w:t>
            </w:r>
          </w:p>
        </w:tc>
        <w:tc>
          <w:tcPr>
            <w:tcW w:w="964" w:type="dxa"/>
          </w:tcPr>
          <w:p w14:paraId="2BA12A6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0E3A6A6" w14:textId="77777777" w:rsidR="00824558" w:rsidRDefault="00824558">
            <w:pPr>
              <w:cnfStyle w:val="000000000000" w:firstRow="0" w:lastRow="0" w:firstColumn="0" w:lastColumn="0" w:oddVBand="0" w:evenVBand="0" w:oddHBand="0" w:evenHBand="0" w:firstRowFirstColumn="0" w:firstRowLastColumn="0" w:lastRowFirstColumn="0" w:lastRowLastColumn="0"/>
            </w:pPr>
            <w:r>
              <w:t>23 750</w:t>
            </w:r>
          </w:p>
        </w:tc>
        <w:tc>
          <w:tcPr>
            <w:tcW w:w="964" w:type="dxa"/>
          </w:tcPr>
          <w:p w14:paraId="187D1F3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3239D4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855A93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4462A71"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551F58D" w14:textId="77777777" w:rsidR="00824558" w:rsidRDefault="00824558">
            <w:pPr>
              <w:ind w:left="170"/>
              <w:rPr>
                <w:i/>
              </w:rPr>
            </w:pPr>
            <w:r>
              <w:rPr>
                <w:i/>
              </w:rPr>
              <w:t>New performance measure for 2026-27 to reflect the provision of health services to prisoners.</w:t>
            </w:r>
          </w:p>
        </w:tc>
      </w:tr>
      <w:tr w:rsidR="00824558" w14:paraId="46C9192B"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72D71394" w14:textId="77777777" w:rsidR="00824558" w:rsidRDefault="00824558">
            <w:pPr>
              <w:keepNext/>
              <w:ind w:left="170"/>
            </w:pPr>
            <w:r>
              <w:t>Total annual number of random drug tests undertaken</w:t>
            </w:r>
          </w:p>
        </w:tc>
        <w:tc>
          <w:tcPr>
            <w:tcW w:w="964" w:type="dxa"/>
          </w:tcPr>
          <w:p w14:paraId="40170F8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FBA695B" w14:textId="5C996DD8" w:rsidR="00824558" w:rsidRDefault="00824558">
            <w:pPr>
              <w:cnfStyle w:val="000000000000" w:firstRow="0" w:lastRow="0" w:firstColumn="0" w:lastColumn="0" w:oddVBand="0" w:evenVBand="0" w:oddHBand="0" w:evenHBand="0" w:firstRowFirstColumn="0" w:firstRowLastColumn="0" w:lastRowFirstColumn="0" w:lastRowLastColumn="0"/>
            </w:pPr>
            <w:r>
              <w:t>3 709</w:t>
            </w:r>
            <w:r w:rsidR="007942D1">
              <w:t xml:space="preserve"> – </w:t>
            </w:r>
            <w:r>
              <w:t>4 290</w:t>
            </w:r>
          </w:p>
        </w:tc>
        <w:tc>
          <w:tcPr>
            <w:tcW w:w="964" w:type="dxa"/>
          </w:tcPr>
          <w:p w14:paraId="3D68A951" w14:textId="77777777" w:rsidR="00824558" w:rsidRDefault="00824558">
            <w:pPr>
              <w:cnfStyle w:val="000000000000" w:firstRow="0" w:lastRow="0" w:firstColumn="0" w:lastColumn="0" w:oddVBand="0" w:evenVBand="0" w:oddHBand="0" w:evenHBand="0" w:firstRowFirstColumn="0" w:firstRowLastColumn="0" w:lastRowFirstColumn="0" w:lastRowLastColumn="0"/>
            </w:pPr>
            <w:r>
              <w:t>3 754</w:t>
            </w:r>
          </w:p>
        </w:tc>
        <w:tc>
          <w:tcPr>
            <w:tcW w:w="964" w:type="dxa"/>
          </w:tcPr>
          <w:p w14:paraId="7334596C" w14:textId="5C3A10F7" w:rsidR="00824558" w:rsidRDefault="00824558">
            <w:pPr>
              <w:cnfStyle w:val="000000000000" w:firstRow="0" w:lastRow="0" w:firstColumn="0" w:lastColumn="0" w:oddVBand="0" w:evenVBand="0" w:oddHBand="0" w:evenHBand="0" w:firstRowFirstColumn="0" w:firstRowLastColumn="0" w:lastRowFirstColumn="0" w:lastRowLastColumn="0"/>
            </w:pPr>
            <w:r>
              <w:t xml:space="preserve">3 255 </w:t>
            </w:r>
            <w:r w:rsidR="00BF4FDC">
              <w:t>–</w:t>
            </w:r>
            <w:r>
              <w:t>3 810</w:t>
            </w:r>
          </w:p>
        </w:tc>
        <w:tc>
          <w:tcPr>
            <w:tcW w:w="964" w:type="dxa"/>
          </w:tcPr>
          <w:p w14:paraId="3A576BA3" w14:textId="77777777" w:rsidR="00824558" w:rsidRDefault="00824558">
            <w:pPr>
              <w:cnfStyle w:val="000000000000" w:firstRow="0" w:lastRow="0" w:firstColumn="0" w:lastColumn="0" w:oddVBand="0" w:evenVBand="0" w:oddHBand="0" w:evenHBand="0" w:firstRowFirstColumn="0" w:firstRowLastColumn="0" w:lastRowFirstColumn="0" w:lastRowLastColumn="0"/>
            </w:pPr>
            <w:r>
              <w:t> 3 383</w:t>
            </w:r>
          </w:p>
        </w:tc>
      </w:tr>
      <w:tr w:rsidR="00824558" w14:paraId="7DFE9EAB"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D74F01" w14:textId="77777777" w:rsidR="00824558" w:rsidRDefault="00824558">
            <w:pPr>
              <w:ind w:left="170"/>
            </w:pPr>
            <w:r>
              <w:rPr>
                <w:i/>
              </w:rPr>
              <w:t>The higher 2026-27 target reflects an increase in prisoner numbers, as drug tests are conducted based on a percentage of the prisoner population.</w:t>
            </w:r>
          </w:p>
        </w:tc>
      </w:tr>
      <w:tr w:rsidR="00824558" w:rsidRPr="00712860" w14:paraId="7D8B4EA8"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Pr>
          <w:p w14:paraId="2C1A0700" w14:textId="77777777" w:rsidR="00824558" w:rsidRPr="00712860" w:rsidRDefault="00824558">
            <w:pPr>
              <w:keepNext/>
              <w:rPr>
                <w:b/>
                <w:bCs/>
                <w:iCs/>
              </w:rPr>
            </w:pPr>
            <w:r w:rsidRPr="00712860">
              <w:rPr>
                <w:b/>
                <w:bCs/>
                <w:iCs/>
              </w:rPr>
              <w:t>Quality</w:t>
            </w:r>
          </w:p>
        </w:tc>
      </w:tr>
      <w:tr w:rsidR="00824558" w14:paraId="4BAA609E"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55840E" w14:textId="0157AC40" w:rsidR="00824558" w:rsidRDefault="00824558">
            <w:pPr>
              <w:ind w:left="170"/>
            </w:pPr>
            <w:r>
              <w:t>Average daily out of cell hours</w:t>
            </w:r>
            <w:r w:rsidR="007942D1">
              <w:t xml:space="preserve"> – </w:t>
            </w:r>
            <w:r>
              <w:t>open prisons</w:t>
            </w:r>
          </w:p>
        </w:tc>
        <w:tc>
          <w:tcPr>
            <w:tcW w:w="964" w:type="dxa"/>
            <w:tcBorders>
              <w:bottom w:val="single" w:sz="6" w:space="0" w:color="auto"/>
            </w:tcBorders>
          </w:tcPr>
          <w:p w14:paraId="3FB805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1AC2F86"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c>
          <w:tcPr>
            <w:tcW w:w="964" w:type="dxa"/>
            <w:tcBorders>
              <w:bottom w:val="single" w:sz="6" w:space="0" w:color="auto"/>
            </w:tcBorders>
          </w:tcPr>
          <w:p w14:paraId="15A7F1C9" w14:textId="77777777" w:rsidR="00824558" w:rsidRDefault="00824558">
            <w:pPr>
              <w:cnfStyle w:val="000000000000" w:firstRow="0" w:lastRow="0" w:firstColumn="0" w:lastColumn="0" w:oddVBand="0" w:evenVBand="0" w:oddHBand="0" w:evenHBand="0" w:firstRowFirstColumn="0" w:firstRowLastColumn="0" w:lastRowFirstColumn="0" w:lastRowLastColumn="0"/>
            </w:pPr>
            <w:r>
              <w:t>13.8</w:t>
            </w:r>
          </w:p>
        </w:tc>
        <w:tc>
          <w:tcPr>
            <w:tcW w:w="964" w:type="dxa"/>
            <w:tcBorders>
              <w:bottom w:val="single" w:sz="6" w:space="0" w:color="auto"/>
            </w:tcBorders>
          </w:tcPr>
          <w:p w14:paraId="66F37825"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c>
          <w:tcPr>
            <w:tcW w:w="964" w:type="dxa"/>
            <w:tcBorders>
              <w:bottom w:val="single" w:sz="6" w:space="0" w:color="auto"/>
            </w:tcBorders>
          </w:tcPr>
          <w:p w14:paraId="25551243" w14:textId="77777777" w:rsidR="00824558" w:rsidRDefault="00824558">
            <w:pPr>
              <w:cnfStyle w:val="000000000000" w:firstRow="0" w:lastRow="0" w:firstColumn="0" w:lastColumn="0" w:oddVBand="0" w:evenVBand="0" w:oddHBand="0" w:evenHBand="0" w:firstRowFirstColumn="0" w:firstRowLastColumn="0" w:lastRowFirstColumn="0" w:lastRowLastColumn="0"/>
            </w:pPr>
            <w:r>
              <w:t>13.8</w:t>
            </w:r>
          </w:p>
        </w:tc>
      </w:tr>
      <w:tr w:rsidR="00824558" w14:paraId="09D9060C" w14:textId="77777777" w:rsidTr="003E3DEA">
        <w:tc>
          <w:tcPr>
            <w:cnfStyle w:val="001000000000" w:firstRow="0" w:lastRow="0" w:firstColumn="1" w:lastColumn="0" w:oddVBand="0" w:evenVBand="0" w:oddHBand="0" w:evenHBand="0" w:firstRowFirstColumn="0" w:firstRowLastColumn="0" w:lastRowFirstColumn="0" w:lastRowLastColumn="0"/>
            <w:tcW w:w="4819" w:type="dxa"/>
          </w:tcPr>
          <w:p w14:paraId="624963CA" w14:textId="5C12AA9F" w:rsidR="00824558" w:rsidRDefault="00824558">
            <w:pPr>
              <w:keepNext/>
              <w:ind w:left="170"/>
            </w:pPr>
            <w:r>
              <w:t>Average daily out of cell hours</w:t>
            </w:r>
            <w:r w:rsidR="007942D1">
              <w:t xml:space="preserve"> – </w:t>
            </w:r>
            <w:r>
              <w:t>secure prisons</w:t>
            </w:r>
          </w:p>
        </w:tc>
        <w:tc>
          <w:tcPr>
            <w:tcW w:w="964" w:type="dxa"/>
          </w:tcPr>
          <w:p w14:paraId="348626C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nil"/>
            </w:tcBorders>
            <w:shd w:val="clear" w:color="auto" w:fill="F0F0F0"/>
          </w:tcPr>
          <w:p w14:paraId="198A9DC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75D47E76"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74046F86"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69374EDB"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4C0F5F2A"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5C9AFB5" w14:textId="1A5D8CC0" w:rsidR="00824558" w:rsidRDefault="00824558">
            <w:pPr>
              <w:ind w:left="170"/>
            </w:pPr>
            <w:r>
              <w:rPr>
                <w:i/>
              </w:rPr>
              <w:t>The 2025-26 expected outcome is lower than the 2025-26 target due to operational pressures at specific prison locations during 2025</w:t>
            </w:r>
            <w:r w:rsidR="00BF4FDC">
              <w:rPr>
                <w:i/>
              </w:rPr>
              <w:noBreakHyphen/>
            </w:r>
            <w:r>
              <w:rPr>
                <w:i/>
              </w:rPr>
              <w:t>26.</w:t>
            </w:r>
          </w:p>
          <w:p w14:paraId="0566992F" w14:textId="77777777" w:rsidR="00824558" w:rsidRDefault="00824558">
            <w:pPr>
              <w:ind w:left="170"/>
            </w:pPr>
            <w:r>
              <w:rPr>
                <w:i/>
              </w:rPr>
              <w:t>The lower 2026-27 target reflects new out-of-cell hours in medium-security prisons, which commenced on 1 January 2026.</w:t>
            </w:r>
          </w:p>
        </w:tc>
      </w:tr>
      <w:tr w:rsidR="00824558" w14:paraId="1FF83E0E"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C2A5DA" w14:textId="77777777" w:rsidR="00824558" w:rsidRDefault="00824558">
            <w:pPr>
              <w:ind w:left="170"/>
            </w:pPr>
            <w:r>
              <w:t>Percentage of education modules successfully completed</w:t>
            </w:r>
          </w:p>
        </w:tc>
        <w:tc>
          <w:tcPr>
            <w:tcW w:w="964" w:type="dxa"/>
            <w:tcBorders>
              <w:bottom w:val="single" w:sz="6" w:space="0" w:color="auto"/>
            </w:tcBorders>
          </w:tcPr>
          <w:p w14:paraId="3A615CA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2B94C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6F7A601" w14:textId="77777777" w:rsidR="00824558" w:rsidRDefault="00824558">
            <w:pPr>
              <w:cnfStyle w:val="000000000000" w:firstRow="0" w:lastRow="0" w:firstColumn="0" w:lastColumn="0" w:oddVBand="0" w:evenVBand="0" w:oddHBand="0" w:evenHBand="0" w:firstRowFirstColumn="0" w:firstRowLastColumn="0" w:lastRowFirstColumn="0" w:lastRowLastColumn="0"/>
            </w:pPr>
            <w:r>
              <w:t>80.4</w:t>
            </w:r>
          </w:p>
        </w:tc>
        <w:tc>
          <w:tcPr>
            <w:tcW w:w="964" w:type="dxa"/>
            <w:tcBorders>
              <w:bottom w:val="single" w:sz="6" w:space="0" w:color="auto"/>
            </w:tcBorders>
          </w:tcPr>
          <w:p w14:paraId="75A85D0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70618F4" w14:textId="77777777" w:rsidR="00824558" w:rsidRDefault="00824558">
            <w:pPr>
              <w:cnfStyle w:val="000000000000" w:firstRow="0" w:lastRow="0" w:firstColumn="0" w:lastColumn="0" w:oddVBand="0" w:evenVBand="0" w:oddHBand="0" w:evenHBand="0" w:firstRowFirstColumn="0" w:firstRowLastColumn="0" w:lastRowFirstColumn="0" w:lastRowLastColumn="0"/>
            </w:pPr>
            <w:r>
              <w:t>82.6</w:t>
            </w:r>
          </w:p>
        </w:tc>
      </w:tr>
      <w:tr w:rsidR="00824558" w14:paraId="62F78A45"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11716AC4" w14:textId="77777777" w:rsidR="00824558" w:rsidRDefault="00824558">
            <w:pPr>
              <w:keepNext/>
              <w:ind w:left="170"/>
            </w:pPr>
            <w:r>
              <w:t>Percentage of positive random drug tests</w:t>
            </w:r>
          </w:p>
        </w:tc>
        <w:tc>
          <w:tcPr>
            <w:tcW w:w="964" w:type="dxa"/>
          </w:tcPr>
          <w:p w14:paraId="4719A63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E0A4A9F"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2BDD89E8"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c>
          <w:tcPr>
            <w:tcW w:w="964" w:type="dxa"/>
          </w:tcPr>
          <w:p w14:paraId="6D006272"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42CD8F19"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r>
      <w:tr w:rsidR="00824558" w14:paraId="53858B93"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D807140" w14:textId="77777777" w:rsidR="00824558" w:rsidRDefault="00824558">
            <w:pPr>
              <w:ind w:left="170"/>
            </w:pPr>
            <w:r>
              <w:rPr>
                <w:i/>
              </w:rPr>
              <w:t>The 2025-26 expected outcome is higher than the 2025-26 target due to an increase in the number of positive results and prisoner refusals.</w:t>
            </w:r>
          </w:p>
        </w:tc>
      </w:tr>
      <w:tr w:rsidR="00824558" w14:paraId="67523473" w14:textId="77777777" w:rsidTr="00712860">
        <w:tc>
          <w:tcPr>
            <w:cnfStyle w:val="001000000000" w:firstRow="0" w:lastRow="0" w:firstColumn="1" w:lastColumn="0" w:oddVBand="0" w:evenVBand="0" w:oddHBand="0" w:evenHBand="0" w:firstRowFirstColumn="0" w:firstRowLastColumn="0" w:lastRowFirstColumn="0" w:lastRowLastColumn="0"/>
            <w:tcW w:w="4819" w:type="dxa"/>
          </w:tcPr>
          <w:p w14:paraId="454872C0" w14:textId="77777777" w:rsidR="00824558" w:rsidRDefault="00824558">
            <w:pPr>
              <w:keepNext/>
              <w:ind w:left="170"/>
            </w:pPr>
            <w:r>
              <w:lastRenderedPageBreak/>
              <w:t>Proportion of benchmark measures in prison services agreement achieved</w:t>
            </w:r>
          </w:p>
        </w:tc>
        <w:tc>
          <w:tcPr>
            <w:tcW w:w="964" w:type="dxa"/>
          </w:tcPr>
          <w:p w14:paraId="0766FC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4E80E8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2582EEE5" w14:textId="77777777" w:rsidR="00824558" w:rsidRDefault="00824558">
            <w:pPr>
              <w:cnfStyle w:val="000000000000" w:firstRow="0" w:lastRow="0" w:firstColumn="0" w:lastColumn="0" w:oddVBand="0" w:evenVBand="0" w:oddHBand="0" w:evenHBand="0" w:firstRowFirstColumn="0" w:firstRowLastColumn="0" w:lastRowFirstColumn="0" w:lastRowLastColumn="0"/>
            </w:pPr>
            <w:r>
              <w:t>76.3</w:t>
            </w:r>
          </w:p>
        </w:tc>
        <w:tc>
          <w:tcPr>
            <w:tcW w:w="964" w:type="dxa"/>
          </w:tcPr>
          <w:p w14:paraId="2B139F7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AD9244C" w14:textId="77777777" w:rsidR="00824558" w:rsidRDefault="00824558">
            <w:pPr>
              <w:cnfStyle w:val="000000000000" w:firstRow="0" w:lastRow="0" w:firstColumn="0" w:lastColumn="0" w:oddVBand="0" w:evenVBand="0" w:oddHBand="0" w:evenHBand="0" w:firstRowFirstColumn="0" w:firstRowLastColumn="0" w:lastRowFirstColumn="0" w:lastRowLastColumn="0"/>
            </w:pPr>
            <w:r>
              <w:t>80.1</w:t>
            </w:r>
          </w:p>
        </w:tc>
      </w:tr>
      <w:tr w:rsidR="00824558" w14:paraId="33D66C60"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7B30C7F" w14:textId="77777777" w:rsidR="00824558" w:rsidRDefault="00824558">
            <w:pPr>
              <w:ind w:left="170"/>
            </w:pPr>
            <w:r>
              <w:rPr>
                <w:i/>
              </w:rPr>
              <w:t>The 2025-26 expected outcome is lower than the 2025-26 target due to the operational results of some prisons impacting Service Delivery Outcomes.</w:t>
            </w:r>
          </w:p>
          <w:p w14:paraId="0AF3537C" w14:textId="77777777" w:rsidR="00824558" w:rsidRDefault="00824558">
            <w:pPr>
              <w:ind w:left="170"/>
              <w:rPr>
                <w:i/>
              </w:rPr>
            </w:pPr>
            <w:r>
              <w:rPr>
                <w:i/>
              </w:rPr>
              <w:t xml:space="preserve">The lower 2026-27 target reflects the ongoing need to balance zero-tolerance measures, which account for approximately 30 per cent of the benchmarks, with stretch benchmarks that are intentionally challenging. </w:t>
            </w:r>
          </w:p>
        </w:tc>
      </w:tr>
      <w:tr w:rsidR="00824558" w14:paraId="2F5F4EA1"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4087EC9" w14:textId="77777777" w:rsidR="00824558" w:rsidRDefault="00824558">
            <w:pPr>
              <w:ind w:left="170"/>
            </w:pPr>
            <w:r>
              <w:t>Proportion of eligible prisoners in employment</w:t>
            </w:r>
          </w:p>
        </w:tc>
        <w:tc>
          <w:tcPr>
            <w:tcW w:w="964" w:type="dxa"/>
            <w:tcBorders>
              <w:bottom w:val="single" w:sz="6" w:space="0" w:color="auto"/>
            </w:tcBorders>
          </w:tcPr>
          <w:p w14:paraId="14F4ABA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96AF0B4"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66A0EF99" w14:textId="77777777" w:rsidR="00824558" w:rsidRDefault="00824558">
            <w:pPr>
              <w:cnfStyle w:val="000000000000" w:firstRow="0" w:lastRow="0" w:firstColumn="0" w:lastColumn="0" w:oddVBand="0" w:evenVBand="0" w:oddHBand="0" w:evenHBand="0" w:firstRowFirstColumn="0" w:firstRowLastColumn="0" w:lastRowFirstColumn="0" w:lastRowLastColumn="0"/>
            </w:pPr>
            <w:r>
              <w:t>93.4</w:t>
            </w:r>
          </w:p>
        </w:tc>
        <w:tc>
          <w:tcPr>
            <w:tcW w:w="964" w:type="dxa"/>
            <w:tcBorders>
              <w:bottom w:val="single" w:sz="6" w:space="0" w:color="auto"/>
            </w:tcBorders>
          </w:tcPr>
          <w:p w14:paraId="4714A1FD"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7D9745D7" w14:textId="77777777" w:rsidR="00824558" w:rsidRDefault="00824558">
            <w:pPr>
              <w:cnfStyle w:val="000000000000" w:firstRow="0" w:lastRow="0" w:firstColumn="0" w:lastColumn="0" w:oddVBand="0" w:evenVBand="0" w:oddHBand="0" w:evenHBand="0" w:firstRowFirstColumn="0" w:firstRowLastColumn="0" w:lastRowFirstColumn="0" w:lastRowLastColumn="0"/>
            </w:pPr>
            <w:r>
              <w:t>91.5</w:t>
            </w:r>
          </w:p>
        </w:tc>
      </w:tr>
      <w:tr w:rsidR="00824558" w14:paraId="47A4B679"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6584456" w14:textId="77777777" w:rsidR="00824558" w:rsidRDefault="00824558">
            <w:pPr>
              <w:ind w:left="170"/>
            </w:pPr>
            <w:r>
              <w:t>Rate of prisoner participation in education</w:t>
            </w:r>
          </w:p>
        </w:tc>
        <w:tc>
          <w:tcPr>
            <w:tcW w:w="964" w:type="dxa"/>
            <w:tcBorders>
              <w:bottom w:val="single" w:sz="6" w:space="0" w:color="auto"/>
            </w:tcBorders>
          </w:tcPr>
          <w:p w14:paraId="33428CE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B237479"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3A380C8A" w14:textId="77777777" w:rsidR="00824558" w:rsidRDefault="00824558">
            <w:pPr>
              <w:cnfStyle w:val="000000000000" w:firstRow="0" w:lastRow="0" w:firstColumn="0" w:lastColumn="0" w:oddVBand="0" w:evenVBand="0" w:oddHBand="0" w:evenHBand="0" w:firstRowFirstColumn="0" w:firstRowLastColumn="0" w:lastRowFirstColumn="0" w:lastRowLastColumn="0"/>
            </w:pPr>
            <w:r>
              <w:t>30.3</w:t>
            </w:r>
          </w:p>
        </w:tc>
        <w:tc>
          <w:tcPr>
            <w:tcW w:w="964" w:type="dxa"/>
            <w:tcBorders>
              <w:bottom w:val="single" w:sz="6" w:space="0" w:color="auto"/>
            </w:tcBorders>
          </w:tcPr>
          <w:p w14:paraId="1345E805"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7BE2D224" w14:textId="77777777" w:rsidR="00824558" w:rsidRDefault="00824558">
            <w:pPr>
              <w:cnfStyle w:val="000000000000" w:firstRow="0" w:lastRow="0" w:firstColumn="0" w:lastColumn="0" w:oddVBand="0" w:evenVBand="0" w:oddHBand="0" w:evenHBand="0" w:firstRowFirstColumn="0" w:firstRowLastColumn="0" w:lastRowFirstColumn="0" w:lastRowLastColumn="0"/>
            </w:pPr>
            <w:r>
              <w:t>28.7</w:t>
            </w:r>
          </w:p>
        </w:tc>
      </w:tr>
      <w:tr w:rsidR="00824558" w14:paraId="597F5F15"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4F9227E" w14:textId="77777777" w:rsidR="00824558" w:rsidRDefault="00824558">
            <w:pPr>
              <w:ind w:left="170"/>
            </w:pPr>
            <w:r>
              <w:t>Rate of return to prison within two years</w:t>
            </w:r>
          </w:p>
        </w:tc>
        <w:tc>
          <w:tcPr>
            <w:tcW w:w="964" w:type="dxa"/>
            <w:tcBorders>
              <w:bottom w:val="single" w:sz="6" w:space="0" w:color="auto"/>
            </w:tcBorders>
          </w:tcPr>
          <w:p w14:paraId="34ACE9C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891655C" w14:textId="77777777" w:rsidR="00824558" w:rsidRDefault="00824558">
            <w:pPr>
              <w:cnfStyle w:val="000000000000" w:firstRow="0" w:lastRow="0" w:firstColumn="0" w:lastColumn="0" w:oddVBand="0" w:evenVBand="0" w:oddHBand="0" w:evenHBand="0" w:firstRowFirstColumn="0" w:firstRowLastColumn="0" w:lastRowFirstColumn="0" w:lastRowLastColumn="0"/>
            </w:pPr>
            <w:r>
              <w:t>39</w:t>
            </w:r>
          </w:p>
        </w:tc>
        <w:tc>
          <w:tcPr>
            <w:tcW w:w="964" w:type="dxa"/>
            <w:tcBorders>
              <w:bottom w:val="single" w:sz="6" w:space="0" w:color="auto"/>
            </w:tcBorders>
          </w:tcPr>
          <w:p w14:paraId="2CEA741B" w14:textId="77777777" w:rsidR="00824558" w:rsidRDefault="00824558">
            <w:pPr>
              <w:cnfStyle w:val="000000000000" w:firstRow="0" w:lastRow="0" w:firstColumn="0" w:lastColumn="0" w:oddVBand="0" w:evenVBand="0" w:oddHBand="0" w:evenHBand="0" w:firstRowFirstColumn="0" w:firstRowLastColumn="0" w:lastRowFirstColumn="0" w:lastRowLastColumn="0"/>
            </w:pPr>
            <w:r>
              <w:t>37.6</w:t>
            </w:r>
          </w:p>
        </w:tc>
        <w:tc>
          <w:tcPr>
            <w:tcW w:w="964" w:type="dxa"/>
            <w:tcBorders>
              <w:bottom w:val="single" w:sz="6" w:space="0" w:color="auto"/>
            </w:tcBorders>
          </w:tcPr>
          <w:p w14:paraId="3975090D" w14:textId="77777777" w:rsidR="00824558" w:rsidRDefault="00824558">
            <w:pPr>
              <w:cnfStyle w:val="000000000000" w:firstRow="0" w:lastRow="0" w:firstColumn="0" w:lastColumn="0" w:oddVBand="0" w:evenVBand="0" w:oddHBand="0" w:evenHBand="0" w:firstRowFirstColumn="0" w:firstRowLastColumn="0" w:lastRowFirstColumn="0" w:lastRowLastColumn="0"/>
            </w:pPr>
            <w:r>
              <w:t>39</w:t>
            </w:r>
          </w:p>
        </w:tc>
        <w:tc>
          <w:tcPr>
            <w:tcW w:w="964" w:type="dxa"/>
            <w:tcBorders>
              <w:bottom w:val="single" w:sz="6" w:space="0" w:color="auto"/>
            </w:tcBorders>
          </w:tcPr>
          <w:p w14:paraId="59E8F803" w14:textId="77777777" w:rsidR="00824558" w:rsidRDefault="00824558">
            <w:pPr>
              <w:cnfStyle w:val="000000000000" w:firstRow="0" w:lastRow="0" w:firstColumn="0" w:lastColumn="0" w:oddVBand="0" w:evenVBand="0" w:oddHBand="0" w:evenHBand="0" w:firstRowFirstColumn="0" w:firstRowLastColumn="0" w:lastRowFirstColumn="0" w:lastRowLastColumn="0"/>
            </w:pPr>
            <w:r>
              <w:t>36.8</w:t>
            </w:r>
          </w:p>
        </w:tc>
      </w:tr>
      <w:tr w:rsidR="00824558" w:rsidRPr="000B4528" w14:paraId="027C3E46"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Pr>
          <w:p w14:paraId="066F9A39" w14:textId="77777777" w:rsidR="00824558" w:rsidRPr="000B4528" w:rsidRDefault="00824558">
            <w:pPr>
              <w:keepNext/>
              <w:rPr>
                <w:b/>
                <w:bCs/>
                <w:iCs/>
              </w:rPr>
            </w:pPr>
            <w:r w:rsidRPr="000B4528">
              <w:rPr>
                <w:b/>
                <w:bCs/>
                <w:iCs/>
              </w:rPr>
              <w:t>Timeliness</w:t>
            </w:r>
          </w:p>
        </w:tc>
      </w:tr>
      <w:tr w:rsidR="00824558" w14:paraId="11E3E617"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6DB46E" w14:textId="1203F15B" w:rsidR="00824558" w:rsidRDefault="00824558">
            <w:pPr>
              <w:ind w:left="170"/>
            </w:pPr>
            <w:r>
              <w:t xml:space="preserve">Assessment of prisoners </w:t>
            </w:r>
            <w:r w:rsidR="007942D1">
              <w:t>‘</w:t>
            </w:r>
            <w:r>
              <w:t>at risk</w:t>
            </w:r>
            <w:r w:rsidR="007942D1">
              <w:t>’</w:t>
            </w:r>
            <w:r>
              <w:t xml:space="preserve"> undertaken within two hours</w:t>
            </w:r>
          </w:p>
        </w:tc>
        <w:tc>
          <w:tcPr>
            <w:tcW w:w="964" w:type="dxa"/>
            <w:tcBorders>
              <w:bottom w:val="single" w:sz="6" w:space="0" w:color="auto"/>
            </w:tcBorders>
          </w:tcPr>
          <w:p w14:paraId="52AFD83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F06E1A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60B2FBE" w14:textId="77777777" w:rsidR="00824558" w:rsidRDefault="00824558">
            <w:pPr>
              <w:cnfStyle w:val="000000000000" w:firstRow="0" w:lastRow="0" w:firstColumn="0" w:lastColumn="0" w:oddVBand="0" w:evenVBand="0" w:oddHBand="0" w:evenHBand="0" w:firstRowFirstColumn="0" w:firstRowLastColumn="0" w:lastRowFirstColumn="0" w:lastRowLastColumn="0"/>
            </w:pPr>
            <w:r>
              <w:t>99.7</w:t>
            </w:r>
          </w:p>
        </w:tc>
        <w:tc>
          <w:tcPr>
            <w:tcW w:w="964" w:type="dxa"/>
            <w:tcBorders>
              <w:bottom w:val="single" w:sz="6" w:space="0" w:color="auto"/>
            </w:tcBorders>
          </w:tcPr>
          <w:p w14:paraId="7633335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5463820" w14:textId="77777777" w:rsidR="00824558" w:rsidRDefault="00824558">
            <w:pPr>
              <w:cnfStyle w:val="000000000000" w:firstRow="0" w:lastRow="0" w:firstColumn="0" w:lastColumn="0" w:oddVBand="0" w:evenVBand="0" w:oddHBand="0" w:evenHBand="0" w:firstRowFirstColumn="0" w:firstRowLastColumn="0" w:lastRowFirstColumn="0" w:lastRowLastColumn="0"/>
            </w:pPr>
            <w:r>
              <w:t>99.4</w:t>
            </w:r>
          </w:p>
        </w:tc>
      </w:tr>
      <w:tr w:rsidR="00824558" w14:paraId="02E4A867" w14:textId="77777777" w:rsidTr="0071286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EFEB840" w14:textId="77777777" w:rsidR="00824558" w:rsidRDefault="00824558">
            <w:pPr>
              <w:ind w:left="170"/>
            </w:pPr>
            <w:r>
              <w:t>Proportion of prisoner risk assessments completed within set timeframes</w:t>
            </w:r>
          </w:p>
        </w:tc>
        <w:tc>
          <w:tcPr>
            <w:tcW w:w="964" w:type="dxa"/>
            <w:tcBorders>
              <w:bottom w:val="single" w:sz="6" w:space="0" w:color="auto"/>
            </w:tcBorders>
          </w:tcPr>
          <w:p w14:paraId="3CEF5C6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5B967B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4CD8297" w14:textId="77777777" w:rsidR="00824558" w:rsidRDefault="00824558">
            <w:pPr>
              <w:cnfStyle w:val="000000000000" w:firstRow="0" w:lastRow="0" w:firstColumn="0" w:lastColumn="0" w:oddVBand="0" w:evenVBand="0" w:oddHBand="0" w:evenHBand="0" w:firstRowFirstColumn="0" w:firstRowLastColumn="0" w:lastRowFirstColumn="0" w:lastRowLastColumn="0"/>
            </w:pPr>
            <w:r>
              <w:t>97.6</w:t>
            </w:r>
          </w:p>
        </w:tc>
        <w:tc>
          <w:tcPr>
            <w:tcW w:w="964" w:type="dxa"/>
            <w:tcBorders>
              <w:bottom w:val="single" w:sz="6" w:space="0" w:color="auto"/>
            </w:tcBorders>
          </w:tcPr>
          <w:p w14:paraId="0B17DF4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DDC98F5" w14:textId="77777777" w:rsidR="00824558" w:rsidRDefault="00824558">
            <w:pPr>
              <w:cnfStyle w:val="000000000000" w:firstRow="0" w:lastRow="0" w:firstColumn="0" w:lastColumn="0" w:oddVBand="0" w:evenVBand="0" w:oddHBand="0" w:evenHBand="0" w:firstRowFirstColumn="0" w:firstRowLastColumn="0" w:lastRowFirstColumn="0" w:lastRowLastColumn="0"/>
            </w:pPr>
            <w:r>
              <w:t>96.7</w:t>
            </w:r>
          </w:p>
        </w:tc>
      </w:tr>
      <w:tr w:rsidR="00824558" w:rsidRPr="000B4528" w14:paraId="0FCC9BD1" w14:textId="77777777" w:rsidTr="00712860">
        <w:tc>
          <w:tcPr>
            <w:cnfStyle w:val="001000000000" w:firstRow="0" w:lastRow="0" w:firstColumn="1" w:lastColumn="0" w:oddVBand="0" w:evenVBand="0" w:oddHBand="0" w:evenHBand="0" w:firstRowFirstColumn="0" w:firstRowLastColumn="0" w:lastRowFirstColumn="0" w:lastRowLastColumn="0"/>
            <w:tcW w:w="9639" w:type="dxa"/>
            <w:gridSpan w:val="6"/>
          </w:tcPr>
          <w:p w14:paraId="191D3024" w14:textId="77777777" w:rsidR="00824558" w:rsidRPr="000B4528" w:rsidRDefault="00824558">
            <w:pPr>
              <w:keepNext/>
              <w:rPr>
                <w:b/>
                <w:bCs/>
                <w:iCs/>
              </w:rPr>
            </w:pPr>
            <w:r w:rsidRPr="000B4528">
              <w:rPr>
                <w:b/>
                <w:bCs/>
                <w:iCs/>
              </w:rPr>
              <w:t>Cost</w:t>
            </w:r>
          </w:p>
        </w:tc>
      </w:tr>
      <w:tr w:rsidR="00836E25" w14:paraId="3D7A3BB6" w14:textId="77777777" w:rsidTr="00836E25">
        <w:tc>
          <w:tcPr>
            <w:cnfStyle w:val="001000000000" w:firstRow="0" w:lastRow="0" w:firstColumn="1" w:lastColumn="0" w:oddVBand="0" w:evenVBand="0" w:oddHBand="0" w:evenHBand="0" w:firstRowFirstColumn="0" w:firstRowLastColumn="0" w:lastRowFirstColumn="0" w:lastRowLastColumn="0"/>
            <w:tcW w:w="4819" w:type="dxa"/>
          </w:tcPr>
          <w:p w14:paraId="37825706" w14:textId="77777777" w:rsidR="00836E25" w:rsidRDefault="00836E25" w:rsidP="00836E25">
            <w:pPr>
              <w:ind w:left="170"/>
            </w:pPr>
            <w:r>
              <w:t>Total output cost</w:t>
            </w:r>
          </w:p>
        </w:tc>
        <w:tc>
          <w:tcPr>
            <w:tcW w:w="964" w:type="dxa"/>
          </w:tcPr>
          <w:p w14:paraId="1E516091" w14:textId="77777777" w:rsidR="00836E25" w:rsidRDefault="00836E25" w:rsidP="00836E2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2F256EB" w14:textId="4F5436F5" w:rsidR="00836E25" w:rsidRPr="00F211C0" w:rsidRDefault="00836E25" w:rsidP="00836E25">
            <w:pPr>
              <w:cnfStyle w:val="000000000000" w:firstRow="0" w:lastRow="0" w:firstColumn="0" w:lastColumn="0" w:oddVBand="0" w:evenVBand="0" w:oddHBand="0" w:evenHBand="0" w:firstRowFirstColumn="0" w:firstRowLastColumn="0" w:lastRowFirstColumn="0" w:lastRowLastColumn="0"/>
              <w:rPr>
                <w:highlight w:val="yellow"/>
              </w:rPr>
            </w:pPr>
            <w:r w:rsidRPr="00622A8C">
              <w:t>1</w:t>
            </w:r>
            <w:r>
              <w:t xml:space="preserve"> </w:t>
            </w:r>
            <w:r w:rsidRPr="00622A8C">
              <w:t>692.4</w:t>
            </w:r>
          </w:p>
        </w:tc>
        <w:tc>
          <w:tcPr>
            <w:tcW w:w="964" w:type="dxa"/>
          </w:tcPr>
          <w:p w14:paraId="15FD50B6" w14:textId="1700C0D7" w:rsidR="00836E25" w:rsidRPr="00F211C0" w:rsidRDefault="00836E25" w:rsidP="00836E25">
            <w:pPr>
              <w:cnfStyle w:val="000000000000" w:firstRow="0" w:lastRow="0" w:firstColumn="0" w:lastColumn="0" w:oddVBand="0" w:evenVBand="0" w:oddHBand="0" w:evenHBand="0" w:firstRowFirstColumn="0" w:firstRowLastColumn="0" w:lastRowFirstColumn="0" w:lastRowLastColumn="0"/>
              <w:rPr>
                <w:highlight w:val="yellow"/>
              </w:rPr>
            </w:pPr>
            <w:r w:rsidRPr="00622A8C">
              <w:t>1</w:t>
            </w:r>
            <w:r>
              <w:t xml:space="preserve"> </w:t>
            </w:r>
            <w:r w:rsidRPr="00622A8C">
              <w:t>764.1</w:t>
            </w:r>
          </w:p>
        </w:tc>
        <w:tc>
          <w:tcPr>
            <w:tcW w:w="964" w:type="dxa"/>
          </w:tcPr>
          <w:p w14:paraId="320E19B4" w14:textId="060B9E02" w:rsidR="00836E25" w:rsidRPr="00F211C0" w:rsidRDefault="00836E25" w:rsidP="00836E25">
            <w:pPr>
              <w:cnfStyle w:val="000000000000" w:firstRow="0" w:lastRow="0" w:firstColumn="0" w:lastColumn="0" w:oddVBand="0" w:evenVBand="0" w:oddHBand="0" w:evenHBand="0" w:firstRowFirstColumn="0" w:firstRowLastColumn="0" w:lastRowFirstColumn="0" w:lastRowLastColumn="0"/>
              <w:rPr>
                <w:highlight w:val="yellow"/>
              </w:rPr>
            </w:pPr>
            <w:r w:rsidRPr="00622A8C">
              <w:t>1</w:t>
            </w:r>
            <w:r>
              <w:t xml:space="preserve"> </w:t>
            </w:r>
            <w:r w:rsidRPr="00622A8C">
              <w:t>627.7</w:t>
            </w:r>
          </w:p>
        </w:tc>
        <w:tc>
          <w:tcPr>
            <w:tcW w:w="964" w:type="dxa"/>
          </w:tcPr>
          <w:p w14:paraId="61FCE215" w14:textId="1033FA58" w:rsidR="00836E25" w:rsidRPr="00F211C0" w:rsidRDefault="00836E25" w:rsidP="00836E25">
            <w:pPr>
              <w:cnfStyle w:val="000000000000" w:firstRow="0" w:lastRow="0" w:firstColumn="0" w:lastColumn="0" w:oddVBand="0" w:evenVBand="0" w:oddHBand="0" w:evenHBand="0" w:firstRowFirstColumn="0" w:firstRowLastColumn="0" w:lastRowFirstColumn="0" w:lastRowLastColumn="0"/>
              <w:rPr>
                <w:highlight w:val="yellow"/>
              </w:rPr>
            </w:pPr>
            <w:r w:rsidRPr="00622A8C">
              <w:t>1</w:t>
            </w:r>
            <w:r>
              <w:t xml:space="preserve"> </w:t>
            </w:r>
            <w:r w:rsidRPr="00622A8C">
              <w:t>676.6</w:t>
            </w:r>
          </w:p>
        </w:tc>
      </w:tr>
      <w:tr w:rsidR="00836E25" w14:paraId="621BE1D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CBEE31F" w14:textId="374A892E" w:rsidR="00836E25" w:rsidRPr="00622A8C" w:rsidRDefault="007F1D49" w:rsidP="007F1D49">
            <w:pPr>
              <w:ind w:left="170"/>
            </w:pPr>
            <w:r w:rsidRPr="00774553">
              <w:rPr>
                <w:i/>
              </w:rPr>
              <w:t>The 2025-26 expected outcome is higher than the 2025-26 target, and the higher 2026-27 target</w:t>
            </w:r>
            <w:r>
              <w:rPr>
                <w:i/>
              </w:rPr>
              <w:t>,</w:t>
            </w:r>
            <w:r w:rsidRPr="00774553">
              <w:rPr>
                <w:i/>
              </w:rPr>
              <w:t xml:space="preserve"> is primarily due to additional funding for </w:t>
            </w:r>
            <w:r>
              <w:rPr>
                <w:i/>
              </w:rPr>
              <w:t xml:space="preserve">the </w:t>
            </w:r>
            <w:r w:rsidRPr="00774553">
              <w:rPr>
                <w:i/>
              </w:rPr>
              <w:t>Community Safety Package</w:t>
            </w:r>
          </w:p>
        </w:tc>
      </w:tr>
    </w:tbl>
    <w:p w14:paraId="1551872B" w14:textId="77777777" w:rsidR="00824558" w:rsidRDefault="00824558">
      <w:pPr>
        <w:pStyle w:val="Source"/>
      </w:pPr>
      <w:r>
        <w:t>Source: Department of Justice and Community Safety</w:t>
      </w:r>
    </w:p>
    <w:p w14:paraId="580B2DD4" w14:textId="77777777" w:rsidR="00BF4FDC" w:rsidRDefault="00BF4FDC" w:rsidP="00BF4FDC"/>
    <w:p w14:paraId="73BB2C1F" w14:textId="77777777" w:rsidR="00824558" w:rsidRPr="000332BF" w:rsidRDefault="00824558">
      <w:pPr>
        <w:pStyle w:val="ShadedBoxHeading"/>
      </w:pPr>
      <w:r w:rsidRPr="000332BF">
        <w:t>Objective 4: Effective supervision of children and young people through the provision of youth justice services promoting rehabilitation</w:t>
      </w:r>
    </w:p>
    <w:p w14:paraId="6E98A79B" w14:textId="77777777" w:rsidR="00824558" w:rsidRPr="000332BF" w:rsidRDefault="00824558">
      <w:pPr>
        <w:pStyle w:val="ShadedBoxText"/>
      </w:pPr>
      <w:r w:rsidRPr="000332BF">
        <w:t>This objective aims to promote opportunities for rehabilitation of children and young people in the youth justice system and contribute to the reduction of crime in the community by providing a range of services including diversion services, advice to courts, offence</w:t>
      </w:r>
      <w:r>
        <w:t>-</w:t>
      </w:r>
      <w:r w:rsidRPr="000332BF">
        <w:t>related programs, community</w:t>
      </w:r>
      <w:r>
        <w:t>-</w:t>
      </w:r>
      <w:r w:rsidRPr="000332BF">
        <w:t>based and custodial supervision.</w:t>
      </w:r>
    </w:p>
    <w:p w14:paraId="7162D95F" w14:textId="77777777" w:rsidR="00824558" w:rsidRPr="000332BF" w:rsidRDefault="00824558">
      <w:pPr>
        <w:pStyle w:val="ShadedBoxText"/>
      </w:pPr>
      <w:r w:rsidRPr="000332BF">
        <w:t>The departmental objective indicators are:</w:t>
      </w:r>
    </w:p>
    <w:p w14:paraId="7839F949" w14:textId="77777777" w:rsidR="00824558" w:rsidRPr="00877696" w:rsidRDefault="00824558">
      <w:pPr>
        <w:pStyle w:val="ShadedBoxBullet"/>
        <w:contextualSpacing/>
      </w:pPr>
      <w:r w:rsidRPr="00877696">
        <w:t>percentage of community-based orders successfully completed</w:t>
      </w:r>
    </w:p>
    <w:p w14:paraId="631D5563" w14:textId="77777777" w:rsidR="00824558" w:rsidRPr="00877696" w:rsidRDefault="00824558">
      <w:pPr>
        <w:pStyle w:val="ShadedBoxBullet"/>
        <w:contextualSpacing/>
      </w:pPr>
      <w:r w:rsidRPr="00877696">
        <w:t>young people in youth justice participating in community reintegration activities.</w:t>
      </w:r>
    </w:p>
    <w:p w14:paraId="77619825" w14:textId="77777777" w:rsidR="00824558" w:rsidRDefault="00824558">
      <w:pPr>
        <w:pStyle w:val="Heading3"/>
      </w:pPr>
      <w:r>
        <w:t>Outputs</w:t>
      </w:r>
    </w:p>
    <w:p w14:paraId="7616B3D5" w14:textId="3F8E9C7E" w:rsidR="00824558" w:rsidRDefault="00824558">
      <w:pPr>
        <w:pStyle w:val="Heading3"/>
      </w:pPr>
      <w:r>
        <w:t>Youth Justice Community-Based Services</w:t>
      </w:r>
      <w:r>
        <w:tab/>
        <w:t>(2026-27: $</w:t>
      </w:r>
      <w:r w:rsidR="00A7119B">
        <w:t xml:space="preserve">106.3 </w:t>
      </w:r>
      <w:r>
        <w:t>million)</w:t>
      </w:r>
    </w:p>
    <w:p w14:paraId="5FFDDDE6" w14:textId="77777777" w:rsidR="00824558" w:rsidRPr="00C3079E" w:rsidRDefault="00824558">
      <w:pPr>
        <w:keepNext/>
        <w:spacing w:after="120"/>
      </w:pPr>
      <w:r w:rsidRPr="006D7C03">
        <w:t>This output provides community statutory supervision and support to young people subject to community</w:t>
      </w:r>
      <w:r>
        <w:t>-</w:t>
      </w:r>
      <w:r w:rsidRPr="006D7C03">
        <w:t>based dispositions in order to divert young people from the youth justice system and minimise the likelihood of further offending.</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D4F6002" w14:textId="77777777" w:rsidTr="00A9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936B392" w14:textId="77777777" w:rsidR="00824558" w:rsidRDefault="00824558">
            <w:r>
              <w:t>Performance measure</w:t>
            </w:r>
          </w:p>
        </w:tc>
        <w:tc>
          <w:tcPr>
            <w:tcW w:w="964" w:type="dxa"/>
          </w:tcPr>
          <w:p w14:paraId="3293BAE9"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876526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E456BB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841AA2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A28E11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4DB1B204"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Pr>
          <w:p w14:paraId="7922F8DA" w14:textId="77777777" w:rsidR="00824558" w:rsidRPr="000B4528" w:rsidRDefault="00824558">
            <w:pPr>
              <w:keepNext/>
              <w:rPr>
                <w:b/>
                <w:bCs/>
                <w:iCs/>
              </w:rPr>
            </w:pPr>
            <w:r w:rsidRPr="000B4528">
              <w:rPr>
                <w:b/>
                <w:bCs/>
                <w:iCs/>
              </w:rPr>
              <w:t>Quantity</w:t>
            </w:r>
          </w:p>
        </w:tc>
      </w:tr>
      <w:tr w:rsidR="00824558" w14:paraId="17B5D530" w14:textId="77777777" w:rsidTr="00A976A2">
        <w:tc>
          <w:tcPr>
            <w:cnfStyle w:val="001000000000" w:firstRow="0" w:lastRow="0" w:firstColumn="1" w:lastColumn="0" w:oddVBand="0" w:evenVBand="0" w:oddHBand="0" w:evenHBand="0" w:firstRowFirstColumn="0" w:firstRowLastColumn="0" w:lastRowFirstColumn="0" w:lastRowLastColumn="0"/>
            <w:tcW w:w="4819" w:type="dxa"/>
          </w:tcPr>
          <w:p w14:paraId="35070FCE" w14:textId="77777777" w:rsidR="00824558" w:rsidRDefault="00824558">
            <w:pPr>
              <w:keepNext/>
              <w:ind w:left="170"/>
            </w:pPr>
            <w:r>
              <w:t>Average daily number of young people under community-based supervision</w:t>
            </w:r>
          </w:p>
        </w:tc>
        <w:tc>
          <w:tcPr>
            <w:tcW w:w="964" w:type="dxa"/>
          </w:tcPr>
          <w:p w14:paraId="6AF62F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17D7772" w14:textId="55911793" w:rsidR="00824558" w:rsidRDefault="00824558">
            <w:pPr>
              <w:cnfStyle w:val="000000000000" w:firstRow="0" w:lastRow="0" w:firstColumn="0" w:lastColumn="0" w:oddVBand="0" w:evenVBand="0" w:oddHBand="0" w:evenHBand="0" w:firstRowFirstColumn="0" w:firstRowLastColumn="0" w:lastRowFirstColumn="0" w:lastRowLastColumn="0"/>
            </w:pPr>
            <w:r>
              <w:t>500</w:t>
            </w:r>
            <w:r w:rsidR="007942D1">
              <w:t xml:space="preserve"> – </w:t>
            </w:r>
            <w:r>
              <w:t>560</w:t>
            </w:r>
          </w:p>
        </w:tc>
        <w:tc>
          <w:tcPr>
            <w:tcW w:w="964" w:type="dxa"/>
          </w:tcPr>
          <w:p w14:paraId="455C01A4" w14:textId="77777777" w:rsidR="00824558" w:rsidRDefault="00824558">
            <w:pPr>
              <w:cnfStyle w:val="000000000000" w:firstRow="0" w:lastRow="0" w:firstColumn="0" w:lastColumn="0" w:oddVBand="0" w:evenVBand="0" w:oddHBand="0" w:evenHBand="0" w:firstRowFirstColumn="0" w:firstRowLastColumn="0" w:lastRowFirstColumn="0" w:lastRowLastColumn="0"/>
            </w:pPr>
            <w:r>
              <w:t>520</w:t>
            </w:r>
          </w:p>
        </w:tc>
        <w:tc>
          <w:tcPr>
            <w:tcW w:w="964" w:type="dxa"/>
          </w:tcPr>
          <w:p w14:paraId="75B7D761" w14:textId="1BD9D381" w:rsidR="00824558" w:rsidRDefault="00824558">
            <w:pPr>
              <w:cnfStyle w:val="000000000000" w:firstRow="0" w:lastRow="0" w:firstColumn="0" w:lastColumn="0" w:oddVBand="0" w:evenVBand="0" w:oddHBand="0" w:evenHBand="0" w:firstRowFirstColumn="0" w:firstRowLastColumn="0" w:lastRowFirstColumn="0" w:lastRowLastColumn="0"/>
            </w:pPr>
            <w:r>
              <w:t>440</w:t>
            </w:r>
            <w:r w:rsidR="007942D1">
              <w:t xml:space="preserve"> – </w:t>
            </w:r>
            <w:r>
              <w:t>500</w:t>
            </w:r>
          </w:p>
        </w:tc>
        <w:tc>
          <w:tcPr>
            <w:tcW w:w="964" w:type="dxa"/>
          </w:tcPr>
          <w:p w14:paraId="28CE91A3" w14:textId="77777777" w:rsidR="00824558" w:rsidRDefault="00824558">
            <w:pPr>
              <w:cnfStyle w:val="000000000000" w:firstRow="0" w:lastRow="0" w:firstColumn="0" w:lastColumn="0" w:oddVBand="0" w:evenVBand="0" w:oddHBand="0" w:evenHBand="0" w:firstRowFirstColumn="0" w:firstRowLastColumn="0" w:lastRowFirstColumn="0" w:lastRowLastColumn="0"/>
            </w:pPr>
            <w:r>
              <w:t>417.8</w:t>
            </w:r>
          </w:p>
        </w:tc>
      </w:tr>
      <w:tr w:rsidR="00824558" w14:paraId="2BFF16EA"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5C0440A" w14:textId="38483E48" w:rsidR="00824558" w:rsidRDefault="00824558">
            <w:pPr>
              <w:ind w:left="170"/>
            </w:pPr>
            <w:r>
              <w:rPr>
                <w:i/>
              </w:rPr>
              <w:t xml:space="preserve">The higher 2026-27 target reflects an increasing trend of community-based supervision, driven by </w:t>
            </w:r>
            <w:r w:rsidR="00924C3F">
              <w:rPr>
                <w:i/>
              </w:rPr>
              <w:t xml:space="preserve">the </w:t>
            </w:r>
            <w:r>
              <w:rPr>
                <w:i/>
              </w:rPr>
              <w:t>Government</w:t>
            </w:r>
            <w:r w:rsidR="007942D1">
              <w:rPr>
                <w:i/>
              </w:rPr>
              <w:t>’</w:t>
            </w:r>
            <w:r>
              <w:rPr>
                <w:i/>
              </w:rPr>
              <w:t>s community safety reforms.</w:t>
            </w:r>
          </w:p>
        </w:tc>
      </w:tr>
      <w:tr w:rsidR="00824558" w14:paraId="40DC9303" w14:textId="77777777" w:rsidTr="00A976A2">
        <w:tc>
          <w:tcPr>
            <w:cnfStyle w:val="001000000000" w:firstRow="0" w:lastRow="0" w:firstColumn="1" w:lastColumn="0" w:oddVBand="0" w:evenVBand="0" w:oddHBand="0" w:evenHBand="0" w:firstRowFirstColumn="0" w:firstRowLastColumn="0" w:lastRowFirstColumn="0" w:lastRowLastColumn="0"/>
            <w:tcW w:w="4819" w:type="dxa"/>
          </w:tcPr>
          <w:p w14:paraId="741EDC55" w14:textId="3A802F95" w:rsidR="00824558" w:rsidRDefault="00824558">
            <w:pPr>
              <w:keepNext/>
              <w:ind w:left="170"/>
            </w:pPr>
            <w:r>
              <w:t>Number of Children</w:t>
            </w:r>
            <w:r w:rsidR="007942D1">
              <w:t>’</w:t>
            </w:r>
            <w:r>
              <w:t>s Court Youth Diversions</w:t>
            </w:r>
          </w:p>
        </w:tc>
        <w:tc>
          <w:tcPr>
            <w:tcW w:w="964" w:type="dxa"/>
          </w:tcPr>
          <w:p w14:paraId="5EF794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AF98096" w14:textId="5754F941" w:rsidR="00824558" w:rsidRDefault="00824558">
            <w:pPr>
              <w:cnfStyle w:val="000000000000" w:firstRow="0" w:lastRow="0" w:firstColumn="0" w:lastColumn="0" w:oddVBand="0" w:evenVBand="0" w:oddHBand="0" w:evenHBand="0" w:firstRowFirstColumn="0" w:firstRowLastColumn="0" w:lastRowFirstColumn="0" w:lastRowLastColumn="0"/>
            </w:pPr>
            <w:r>
              <w:t>900</w:t>
            </w:r>
            <w:r w:rsidR="007942D1">
              <w:t xml:space="preserve"> – </w:t>
            </w:r>
            <w:r>
              <w:t>1 100</w:t>
            </w:r>
          </w:p>
        </w:tc>
        <w:tc>
          <w:tcPr>
            <w:tcW w:w="964" w:type="dxa"/>
          </w:tcPr>
          <w:p w14:paraId="30C6DDD9"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5839A220" w14:textId="60F9136F" w:rsidR="00824558" w:rsidRDefault="00824558">
            <w:pPr>
              <w:cnfStyle w:val="000000000000" w:firstRow="0" w:lastRow="0" w:firstColumn="0" w:lastColumn="0" w:oddVBand="0" w:evenVBand="0" w:oddHBand="0" w:evenHBand="0" w:firstRowFirstColumn="0" w:firstRowLastColumn="0" w:lastRowFirstColumn="0" w:lastRowLastColumn="0"/>
            </w:pPr>
            <w:r>
              <w:t>1 100</w:t>
            </w:r>
            <w:r w:rsidR="007942D1">
              <w:t xml:space="preserve"> – </w:t>
            </w:r>
            <w:r>
              <w:t>1 300</w:t>
            </w:r>
          </w:p>
        </w:tc>
        <w:tc>
          <w:tcPr>
            <w:tcW w:w="964" w:type="dxa"/>
          </w:tcPr>
          <w:p w14:paraId="360D8CBA" w14:textId="77777777" w:rsidR="00824558" w:rsidRDefault="00824558">
            <w:pPr>
              <w:cnfStyle w:val="000000000000" w:firstRow="0" w:lastRow="0" w:firstColumn="0" w:lastColumn="0" w:oddVBand="0" w:evenVBand="0" w:oddHBand="0" w:evenHBand="0" w:firstRowFirstColumn="0" w:firstRowLastColumn="0" w:lastRowFirstColumn="0" w:lastRowLastColumn="0"/>
            </w:pPr>
            <w:r>
              <w:t>1 153</w:t>
            </w:r>
          </w:p>
        </w:tc>
      </w:tr>
      <w:tr w:rsidR="00824558" w14:paraId="5ADE24D0"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568488" w14:textId="70C9D963" w:rsidR="002F078F" w:rsidRDefault="002F078F">
            <w:pPr>
              <w:ind w:left="170"/>
              <w:rPr>
                <w:i/>
              </w:rPr>
            </w:pPr>
            <w:r>
              <w:rPr>
                <w:i/>
              </w:rPr>
              <w:t>The 2025-26 expected outcome is</w:t>
            </w:r>
            <w:r w:rsidR="00EC437B">
              <w:rPr>
                <w:i/>
              </w:rPr>
              <w:t xml:space="preserve"> lower than the 2025-26 target due to a reduction in the number of diversions ordered by the courts.</w:t>
            </w:r>
          </w:p>
          <w:p w14:paraId="6900B2F4" w14:textId="77777777" w:rsidR="00824558" w:rsidRDefault="00824558">
            <w:pPr>
              <w:ind w:left="170"/>
              <w:rPr>
                <w:i/>
              </w:rPr>
            </w:pPr>
            <w:r>
              <w:rPr>
                <w:i/>
              </w:rPr>
              <w:t>The lower 2026-27 target reflects a lower number of diversions expected to be ordered by the courts.</w:t>
            </w:r>
          </w:p>
        </w:tc>
      </w:tr>
      <w:tr w:rsidR="00824558" w14:paraId="325311BC" w14:textId="77777777" w:rsidTr="00A976A2">
        <w:tc>
          <w:tcPr>
            <w:cnfStyle w:val="001000000000" w:firstRow="0" w:lastRow="0" w:firstColumn="1" w:lastColumn="0" w:oddVBand="0" w:evenVBand="0" w:oddHBand="0" w:evenHBand="0" w:firstRowFirstColumn="0" w:firstRowLastColumn="0" w:lastRowFirstColumn="0" w:lastRowLastColumn="0"/>
            <w:tcW w:w="4819" w:type="dxa"/>
          </w:tcPr>
          <w:p w14:paraId="1737282A" w14:textId="77777777" w:rsidR="00824558" w:rsidRDefault="00824558">
            <w:pPr>
              <w:keepNext/>
              <w:ind w:left="170"/>
            </w:pPr>
            <w:r>
              <w:t>Proportion of young people in youth justice under community‑based supervision</w:t>
            </w:r>
          </w:p>
        </w:tc>
        <w:tc>
          <w:tcPr>
            <w:tcW w:w="964" w:type="dxa"/>
          </w:tcPr>
          <w:p w14:paraId="3A0C9C9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0E10635"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23B7EA8F"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1AE387A"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3B999ED" w14:textId="77777777" w:rsidR="00824558" w:rsidRDefault="00824558">
            <w:pPr>
              <w:cnfStyle w:val="000000000000" w:firstRow="0" w:lastRow="0" w:firstColumn="0" w:lastColumn="0" w:oddVBand="0" w:evenVBand="0" w:oddHBand="0" w:evenHBand="0" w:firstRowFirstColumn="0" w:firstRowLastColumn="0" w:lastRowFirstColumn="0" w:lastRowLastColumn="0"/>
            </w:pPr>
            <w:r>
              <w:t>76.7</w:t>
            </w:r>
          </w:p>
        </w:tc>
      </w:tr>
      <w:tr w:rsidR="00824558" w14:paraId="43791168"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7DC1DDB" w14:textId="77777777" w:rsidR="00824558" w:rsidRDefault="00824558">
            <w:pPr>
              <w:ind w:left="170"/>
              <w:rPr>
                <w:i/>
              </w:rPr>
            </w:pPr>
            <w:r>
              <w:rPr>
                <w:i/>
              </w:rPr>
              <w:t>The 2025-26 expected outcome is lower than the 2025-26 target due to a reduction in the proportion of community-based supervision ordered by the courts.</w:t>
            </w:r>
          </w:p>
          <w:p w14:paraId="12723C1E" w14:textId="4EDD3FD9" w:rsidR="00824558" w:rsidRDefault="00824558">
            <w:pPr>
              <w:ind w:left="170"/>
              <w:rPr>
                <w:i/>
              </w:rPr>
            </w:pPr>
            <w:r>
              <w:rPr>
                <w:i/>
              </w:rPr>
              <w:t xml:space="preserve">The lower 2026-27 target reflects a trend of community-based supervision increasing at a slower rate than custodial-based supervision, driven by </w:t>
            </w:r>
            <w:r w:rsidR="00EE431C">
              <w:rPr>
                <w:i/>
              </w:rPr>
              <w:t xml:space="preserve">the </w:t>
            </w:r>
            <w:r>
              <w:rPr>
                <w:i/>
              </w:rPr>
              <w:t>Government</w:t>
            </w:r>
            <w:r w:rsidR="007942D1">
              <w:rPr>
                <w:i/>
              </w:rPr>
              <w:t>’</w:t>
            </w:r>
            <w:r>
              <w:rPr>
                <w:i/>
              </w:rPr>
              <w:t>s community safety reforms.</w:t>
            </w:r>
          </w:p>
        </w:tc>
      </w:tr>
      <w:tr w:rsidR="00824558" w:rsidRPr="000B4528" w14:paraId="371E367A"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Pr>
          <w:p w14:paraId="169D99B3" w14:textId="77777777" w:rsidR="00824558" w:rsidRPr="000B4528" w:rsidRDefault="00824558">
            <w:pPr>
              <w:keepNext/>
              <w:rPr>
                <w:b/>
                <w:bCs/>
                <w:iCs/>
              </w:rPr>
            </w:pPr>
            <w:r w:rsidRPr="000B4528">
              <w:rPr>
                <w:b/>
                <w:bCs/>
                <w:iCs/>
              </w:rPr>
              <w:lastRenderedPageBreak/>
              <w:t>Quality</w:t>
            </w:r>
          </w:p>
        </w:tc>
      </w:tr>
      <w:tr w:rsidR="00824558" w14:paraId="21706A4F" w14:textId="77777777" w:rsidTr="00A976A2">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D1CC6FB" w14:textId="77777777" w:rsidR="00824558" w:rsidRDefault="00824558" w:rsidP="00FE70A7">
            <w:pPr>
              <w:keepNext/>
              <w:ind w:left="170"/>
            </w:pPr>
            <w:r>
              <w:t>Community-based orders completed successfully</w:t>
            </w:r>
          </w:p>
        </w:tc>
        <w:tc>
          <w:tcPr>
            <w:tcW w:w="964" w:type="dxa"/>
            <w:tcBorders>
              <w:bottom w:val="single" w:sz="6" w:space="0" w:color="auto"/>
            </w:tcBorders>
          </w:tcPr>
          <w:p w14:paraId="740A4AC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9E4561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7C886D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2EA3DC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F4FBF73" w14:textId="77777777" w:rsidR="00824558" w:rsidRDefault="00824558">
            <w:pPr>
              <w:cnfStyle w:val="000000000000" w:firstRow="0" w:lastRow="0" w:firstColumn="0" w:lastColumn="0" w:oddVBand="0" w:evenVBand="0" w:oddHBand="0" w:evenHBand="0" w:firstRowFirstColumn="0" w:firstRowLastColumn="0" w:lastRowFirstColumn="0" w:lastRowLastColumn="0"/>
            </w:pPr>
            <w:r>
              <w:t>91.1</w:t>
            </w:r>
          </w:p>
        </w:tc>
      </w:tr>
      <w:tr w:rsidR="00824558" w14:paraId="7A448EBC" w14:textId="77777777" w:rsidTr="00A976A2">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0AB0FC5" w14:textId="1B43CE50" w:rsidR="00824558" w:rsidRDefault="00824558">
            <w:pPr>
              <w:ind w:left="170"/>
            </w:pPr>
            <w:r>
              <w:t>Proportion of successfully completed Children</w:t>
            </w:r>
            <w:r w:rsidR="007942D1">
              <w:t>’</w:t>
            </w:r>
            <w:r>
              <w:t>s Court Youth</w:t>
            </w:r>
            <w:r w:rsidR="00553B48">
              <w:t> </w:t>
            </w:r>
            <w:r>
              <w:t>Diversions</w:t>
            </w:r>
          </w:p>
        </w:tc>
        <w:tc>
          <w:tcPr>
            <w:tcW w:w="964" w:type="dxa"/>
            <w:tcBorders>
              <w:bottom w:val="single" w:sz="6" w:space="0" w:color="auto"/>
            </w:tcBorders>
          </w:tcPr>
          <w:p w14:paraId="6D88E5C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7E5301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E736A0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CB76FC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448DCA0" w14:textId="77777777" w:rsidR="00824558" w:rsidRDefault="00824558">
            <w:pPr>
              <w:cnfStyle w:val="000000000000" w:firstRow="0" w:lastRow="0" w:firstColumn="0" w:lastColumn="0" w:oddVBand="0" w:evenVBand="0" w:oddHBand="0" w:evenHBand="0" w:firstRowFirstColumn="0" w:firstRowLastColumn="0" w:lastRowFirstColumn="0" w:lastRowLastColumn="0"/>
            </w:pPr>
            <w:r>
              <w:t>98.6</w:t>
            </w:r>
          </w:p>
        </w:tc>
      </w:tr>
      <w:tr w:rsidR="00824558" w:rsidRPr="000B4528" w14:paraId="211BDEB8"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Pr>
          <w:p w14:paraId="3324AD5F" w14:textId="77777777" w:rsidR="00824558" w:rsidRPr="000B4528" w:rsidRDefault="00824558">
            <w:pPr>
              <w:keepNext/>
              <w:rPr>
                <w:b/>
                <w:bCs/>
                <w:iCs/>
              </w:rPr>
            </w:pPr>
            <w:r w:rsidRPr="000B4528">
              <w:rPr>
                <w:b/>
                <w:bCs/>
                <w:iCs/>
              </w:rPr>
              <w:t>Timeliness</w:t>
            </w:r>
          </w:p>
        </w:tc>
      </w:tr>
      <w:tr w:rsidR="00824558" w14:paraId="1DC60AC1" w14:textId="77777777" w:rsidTr="00A976A2">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53BFE14" w14:textId="77777777" w:rsidR="00824558" w:rsidRDefault="00824558">
            <w:pPr>
              <w:ind w:left="170"/>
            </w:pPr>
            <w:r>
              <w:t>Young people on supervised orders who have a case plan completed within six weeks of the commencement of the order</w:t>
            </w:r>
          </w:p>
        </w:tc>
        <w:tc>
          <w:tcPr>
            <w:tcW w:w="964" w:type="dxa"/>
            <w:tcBorders>
              <w:bottom w:val="single" w:sz="6" w:space="0" w:color="auto"/>
            </w:tcBorders>
          </w:tcPr>
          <w:p w14:paraId="298F18D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1B7AB5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E35294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87C9E2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FCCC59D" w14:textId="77777777" w:rsidR="00824558" w:rsidRDefault="00824558">
            <w:pPr>
              <w:cnfStyle w:val="000000000000" w:firstRow="0" w:lastRow="0" w:firstColumn="0" w:lastColumn="0" w:oddVBand="0" w:evenVBand="0" w:oddHBand="0" w:evenHBand="0" w:firstRowFirstColumn="0" w:firstRowLastColumn="0" w:lastRowFirstColumn="0" w:lastRowLastColumn="0"/>
            </w:pPr>
            <w:r>
              <w:t>94.2</w:t>
            </w:r>
          </w:p>
        </w:tc>
      </w:tr>
      <w:tr w:rsidR="00824558" w:rsidRPr="000B4528" w14:paraId="33460952" w14:textId="77777777" w:rsidTr="00A976A2">
        <w:tc>
          <w:tcPr>
            <w:cnfStyle w:val="001000000000" w:firstRow="0" w:lastRow="0" w:firstColumn="1" w:lastColumn="0" w:oddVBand="0" w:evenVBand="0" w:oddHBand="0" w:evenHBand="0" w:firstRowFirstColumn="0" w:firstRowLastColumn="0" w:lastRowFirstColumn="0" w:lastRowLastColumn="0"/>
            <w:tcW w:w="9639" w:type="dxa"/>
            <w:gridSpan w:val="6"/>
          </w:tcPr>
          <w:p w14:paraId="5197452F" w14:textId="77777777" w:rsidR="00824558" w:rsidRPr="000B4528" w:rsidRDefault="00824558">
            <w:pPr>
              <w:keepNext/>
              <w:rPr>
                <w:b/>
                <w:bCs/>
                <w:iCs/>
              </w:rPr>
            </w:pPr>
            <w:r w:rsidRPr="000B4528">
              <w:rPr>
                <w:b/>
                <w:bCs/>
                <w:iCs/>
              </w:rPr>
              <w:t>Cost</w:t>
            </w:r>
          </w:p>
        </w:tc>
      </w:tr>
      <w:tr w:rsidR="00A976A2" w14:paraId="61FC3656" w14:textId="77777777" w:rsidTr="00A976A2">
        <w:tc>
          <w:tcPr>
            <w:cnfStyle w:val="001000000000" w:firstRow="0" w:lastRow="0" w:firstColumn="1" w:lastColumn="0" w:oddVBand="0" w:evenVBand="0" w:oddHBand="0" w:evenHBand="0" w:firstRowFirstColumn="0" w:firstRowLastColumn="0" w:lastRowFirstColumn="0" w:lastRowLastColumn="0"/>
            <w:tcW w:w="4819" w:type="dxa"/>
          </w:tcPr>
          <w:p w14:paraId="20E06230" w14:textId="77777777" w:rsidR="00A976A2" w:rsidRDefault="00A976A2" w:rsidP="00A976A2">
            <w:pPr>
              <w:ind w:left="170"/>
            </w:pPr>
            <w:r>
              <w:t>Total output cost</w:t>
            </w:r>
          </w:p>
        </w:tc>
        <w:tc>
          <w:tcPr>
            <w:tcW w:w="964" w:type="dxa"/>
          </w:tcPr>
          <w:p w14:paraId="5B238548" w14:textId="77777777" w:rsidR="00A976A2" w:rsidRDefault="00A976A2" w:rsidP="00A976A2">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CBCFDAF" w14:textId="720CE6EC" w:rsidR="00A976A2" w:rsidRPr="00BF4FDC" w:rsidRDefault="00A976A2" w:rsidP="00A976A2">
            <w:pPr>
              <w:cnfStyle w:val="000000000000" w:firstRow="0" w:lastRow="0" w:firstColumn="0" w:lastColumn="0" w:oddVBand="0" w:evenVBand="0" w:oddHBand="0" w:evenHBand="0" w:firstRowFirstColumn="0" w:firstRowLastColumn="0" w:lastRowFirstColumn="0" w:lastRowLastColumn="0"/>
              <w:rPr>
                <w:highlight w:val="yellow"/>
              </w:rPr>
            </w:pPr>
            <w:r w:rsidRPr="000523A7">
              <w:t>106.3</w:t>
            </w:r>
          </w:p>
        </w:tc>
        <w:tc>
          <w:tcPr>
            <w:tcW w:w="964" w:type="dxa"/>
          </w:tcPr>
          <w:p w14:paraId="795D1D4E" w14:textId="521DEEEF" w:rsidR="00A976A2" w:rsidRPr="00BF4FDC" w:rsidRDefault="00A976A2" w:rsidP="00A976A2">
            <w:pPr>
              <w:cnfStyle w:val="000000000000" w:firstRow="0" w:lastRow="0" w:firstColumn="0" w:lastColumn="0" w:oddVBand="0" w:evenVBand="0" w:oddHBand="0" w:evenHBand="0" w:firstRowFirstColumn="0" w:firstRowLastColumn="0" w:lastRowFirstColumn="0" w:lastRowLastColumn="0"/>
              <w:rPr>
                <w:highlight w:val="yellow"/>
              </w:rPr>
            </w:pPr>
            <w:r w:rsidRPr="000523A7">
              <w:t>110.6</w:t>
            </w:r>
          </w:p>
        </w:tc>
        <w:tc>
          <w:tcPr>
            <w:tcW w:w="964" w:type="dxa"/>
          </w:tcPr>
          <w:p w14:paraId="043A278F" w14:textId="5D39BDE8" w:rsidR="00A976A2" w:rsidRPr="00BF4FDC" w:rsidRDefault="00A976A2" w:rsidP="00A976A2">
            <w:pPr>
              <w:cnfStyle w:val="000000000000" w:firstRow="0" w:lastRow="0" w:firstColumn="0" w:lastColumn="0" w:oddVBand="0" w:evenVBand="0" w:oddHBand="0" w:evenHBand="0" w:firstRowFirstColumn="0" w:firstRowLastColumn="0" w:lastRowFirstColumn="0" w:lastRowLastColumn="0"/>
              <w:rPr>
                <w:highlight w:val="yellow"/>
              </w:rPr>
            </w:pPr>
            <w:r w:rsidRPr="000523A7">
              <w:t>89.1</w:t>
            </w:r>
          </w:p>
        </w:tc>
        <w:tc>
          <w:tcPr>
            <w:tcW w:w="964" w:type="dxa"/>
          </w:tcPr>
          <w:p w14:paraId="460C53EB" w14:textId="63B2F64B" w:rsidR="00A976A2" w:rsidRPr="00BF4FDC" w:rsidRDefault="00A976A2" w:rsidP="00A976A2">
            <w:pPr>
              <w:cnfStyle w:val="000000000000" w:firstRow="0" w:lastRow="0" w:firstColumn="0" w:lastColumn="0" w:oddVBand="0" w:evenVBand="0" w:oddHBand="0" w:evenHBand="0" w:firstRowFirstColumn="0" w:firstRowLastColumn="0" w:lastRowFirstColumn="0" w:lastRowLastColumn="0"/>
              <w:rPr>
                <w:highlight w:val="yellow"/>
              </w:rPr>
            </w:pPr>
            <w:r w:rsidRPr="000523A7">
              <w:t>90.4</w:t>
            </w:r>
          </w:p>
        </w:tc>
      </w:tr>
      <w:tr w:rsidR="004B0071" w14:paraId="6CB2873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85B2BF7" w14:textId="4CD31862" w:rsidR="004B0071" w:rsidRPr="006A3B58" w:rsidRDefault="006A3B58" w:rsidP="006A3B58">
            <w:pPr>
              <w:ind w:left="170"/>
              <w:rPr>
                <w:i/>
              </w:rPr>
            </w:pPr>
            <w:r w:rsidRPr="0036106B">
              <w:rPr>
                <w:i/>
              </w:rPr>
              <w:t xml:space="preserve">The 2025-26 expected outcome is higher than the 2025-26 target due to the release of funding for the Community Safety Package and Supporting a safe and effective </w:t>
            </w:r>
            <w:r>
              <w:rPr>
                <w:i/>
              </w:rPr>
              <w:t>y</w:t>
            </w:r>
            <w:r w:rsidRPr="0036106B">
              <w:rPr>
                <w:i/>
              </w:rPr>
              <w:t xml:space="preserve">outh </w:t>
            </w:r>
            <w:r>
              <w:rPr>
                <w:i/>
              </w:rPr>
              <w:t>j</w:t>
            </w:r>
            <w:r w:rsidRPr="0036106B">
              <w:rPr>
                <w:i/>
              </w:rPr>
              <w:t>ustice system initiatives.</w:t>
            </w:r>
          </w:p>
        </w:tc>
      </w:tr>
      <w:tr w:rsidR="00A976A2" w14:paraId="09D78AC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507DDDF" w14:textId="61FF4ECD" w:rsidR="00A976A2" w:rsidRPr="000523A7" w:rsidRDefault="004B0071" w:rsidP="006A3B58">
            <w:pPr>
              <w:ind w:left="170"/>
            </w:pPr>
            <w:r w:rsidRPr="0036106B">
              <w:rPr>
                <w:i/>
              </w:rPr>
              <w:t xml:space="preserve">The higher 2026-27 target reflects the release of funding for the Community Safety Package, and funding in the </w:t>
            </w:r>
            <w:r w:rsidRPr="00DC0C69">
              <w:t xml:space="preserve">2026-27 </w:t>
            </w:r>
            <w:r w:rsidR="00DC0C69" w:rsidRPr="00DC0C69">
              <w:rPr>
                <w:iCs/>
              </w:rPr>
              <w:t>Budget</w:t>
            </w:r>
            <w:r w:rsidRPr="0036106B">
              <w:rPr>
                <w:i/>
              </w:rPr>
              <w:t xml:space="preserve"> for </w:t>
            </w:r>
            <w:r w:rsidR="00FB637B">
              <w:rPr>
                <w:i/>
              </w:rPr>
              <w:t xml:space="preserve">new </w:t>
            </w:r>
            <w:r w:rsidRPr="0036106B">
              <w:rPr>
                <w:i/>
              </w:rPr>
              <w:t>initiative</w:t>
            </w:r>
            <w:r>
              <w:rPr>
                <w:i/>
              </w:rPr>
              <w:t>s.</w:t>
            </w:r>
          </w:p>
        </w:tc>
      </w:tr>
    </w:tbl>
    <w:p w14:paraId="23BD6486" w14:textId="77777777" w:rsidR="00824558" w:rsidRDefault="00824558">
      <w:pPr>
        <w:pStyle w:val="Source"/>
      </w:pPr>
      <w:r>
        <w:t>Source: Department of Justice and Community Safety</w:t>
      </w:r>
    </w:p>
    <w:p w14:paraId="33C63602" w14:textId="782DD3B4" w:rsidR="00824558" w:rsidRDefault="00824558">
      <w:pPr>
        <w:pStyle w:val="Heading3"/>
      </w:pPr>
      <w:r>
        <w:t>Youth Justice Custodial Services</w:t>
      </w:r>
      <w:r>
        <w:tab/>
        <w:t>(2026-27: $</w:t>
      </w:r>
      <w:r w:rsidR="00662BC4">
        <w:t xml:space="preserve">311.1 </w:t>
      </w:r>
      <w:r>
        <w:t>million)</w:t>
      </w:r>
    </w:p>
    <w:p w14:paraId="5612AF96" w14:textId="77777777" w:rsidR="00824558" w:rsidRPr="002B7C3A" w:rsidRDefault="00824558">
      <w:pPr>
        <w:keepNext/>
        <w:spacing w:after="120"/>
      </w:pPr>
      <w:r w:rsidRPr="00E77CFC">
        <w:t>This output provides supervision and rehabilitation, through the provision of case management, health and education services and the establishment of structured community supports, to assist young people to address offending behaviour, develop non</w:t>
      </w:r>
      <w:r w:rsidRPr="00E77CFC">
        <w:noBreakHyphen/>
        <w:t>offending lifestyles and support reintegration of young people into the community on their exit from custody.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C7DE9D5" w14:textId="77777777" w:rsidTr="000B45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5E6E490" w14:textId="77777777" w:rsidR="00824558" w:rsidRDefault="00824558">
            <w:r>
              <w:t>Performance measure</w:t>
            </w:r>
          </w:p>
        </w:tc>
        <w:tc>
          <w:tcPr>
            <w:tcW w:w="964" w:type="dxa"/>
          </w:tcPr>
          <w:p w14:paraId="25DB1E5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227A1A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57190C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0CB3D7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000DF2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4991C25D"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2580643A" w14:textId="77777777" w:rsidR="00824558" w:rsidRPr="000B4528" w:rsidRDefault="00824558">
            <w:pPr>
              <w:keepNext/>
              <w:rPr>
                <w:b/>
                <w:bCs/>
                <w:iCs/>
              </w:rPr>
            </w:pPr>
            <w:r w:rsidRPr="000B4528">
              <w:rPr>
                <w:b/>
                <w:bCs/>
                <w:iCs/>
              </w:rPr>
              <w:t>Quantity</w:t>
            </w:r>
          </w:p>
        </w:tc>
      </w:tr>
      <w:tr w:rsidR="00824558" w14:paraId="5269D599"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77DA3396" w14:textId="348ECD48" w:rsidR="00824558" w:rsidRDefault="00824558">
            <w:pPr>
              <w:keepNext/>
              <w:ind w:left="170"/>
            </w:pPr>
            <w:r>
              <w:t>Annual daily average number of young people in custody</w:t>
            </w:r>
            <w:r w:rsidR="007942D1">
              <w:t xml:space="preserve"> – </w:t>
            </w:r>
            <w:r w:rsidR="00FE70A7">
              <w:br/>
            </w:r>
            <w:r>
              <w:t>males (15 years plus)</w:t>
            </w:r>
          </w:p>
        </w:tc>
        <w:tc>
          <w:tcPr>
            <w:tcW w:w="964" w:type="dxa"/>
          </w:tcPr>
          <w:p w14:paraId="08F9FE7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9A440E5" w14:textId="775CFB6B" w:rsidR="00824558" w:rsidRDefault="00824558">
            <w:pPr>
              <w:cnfStyle w:val="000000000000" w:firstRow="0" w:lastRow="0" w:firstColumn="0" w:lastColumn="0" w:oddVBand="0" w:evenVBand="0" w:oddHBand="0" w:evenHBand="0" w:firstRowFirstColumn="0" w:firstRowLastColumn="0" w:lastRowFirstColumn="0" w:lastRowLastColumn="0"/>
            </w:pPr>
            <w:r>
              <w:t>160</w:t>
            </w:r>
            <w:r w:rsidR="007942D1">
              <w:t xml:space="preserve"> – </w:t>
            </w:r>
            <w:r>
              <w:t>200</w:t>
            </w:r>
          </w:p>
        </w:tc>
        <w:tc>
          <w:tcPr>
            <w:tcW w:w="964" w:type="dxa"/>
          </w:tcPr>
          <w:p w14:paraId="2D5A8256" w14:textId="77777777" w:rsidR="00824558" w:rsidRDefault="00824558">
            <w:pPr>
              <w:cnfStyle w:val="000000000000" w:firstRow="0" w:lastRow="0" w:firstColumn="0" w:lastColumn="0" w:oddVBand="0" w:evenVBand="0" w:oddHBand="0" w:evenHBand="0" w:firstRowFirstColumn="0" w:firstRowLastColumn="0" w:lastRowFirstColumn="0" w:lastRowLastColumn="0"/>
            </w:pPr>
            <w:r>
              <w:t>165</w:t>
            </w:r>
          </w:p>
        </w:tc>
        <w:tc>
          <w:tcPr>
            <w:tcW w:w="964" w:type="dxa"/>
          </w:tcPr>
          <w:p w14:paraId="0446DB83" w14:textId="64259AF6" w:rsidR="00824558" w:rsidRDefault="00824558">
            <w:pPr>
              <w:cnfStyle w:val="000000000000" w:firstRow="0" w:lastRow="0" w:firstColumn="0" w:lastColumn="0" w:oddVBand="0" w:evenVBand="0" w:oddHBand="0" w:evenHBand="0" w:firstRowFirstColumn="0" w:firstRowLastColumn="0" w:lastRowFirstColumn="0" w:lastRowLastColumn="0"/>
            </w:pPr>
            <w:r>
              <w:t>120</w:t>
            </w:r>
            <w:r w:rsidR="007942D1">
              <w:t xml:space="preserve"> – </w:t>
            </w:r>
            <w:r>
              <w:t>160</w:t>
            </w:r>
          </w:p>
        </w:tc>
        <w:tc>
          <w:tcPr>
            <w:tcW w:w="964" w:type="dxa"/>
          </w:tcPr>
          <w:p w14:paraId="2D5FE1E5" w14:textId="77777777" w:rsidR="00824558" w:rsidRDefault="00824558">
            <w:pPr>
              <w:cnfStyle w:val="000000000000" w:firstRow="0" w:lastRow="0" w:firstColumn="0" w:lastColumn="0" w:oddVBand="0" w:evenVBand="0" w:oddHBand="0" w:evenHBand="0" w:firstRowFirstColumn="0" w:firstRowLastColumn="0" w:lastRowFirstColumn="0" w:lastRowLastColumn="0"/>
            </w:pPr>
            <w:r>
              <w:t>117.9</w:t>
            </w:r>
          </w:p>
        </w:tc>
      </w:tr>
      <w:tr w:rsidR="00824558" w14:paraId="0997E20E"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342C64" w14:textId="0DA4C3D5" w:rsidR="00824558" w:rsidRDefault="00824558">
            <w:pPr>
              <w:ind w:left="170"/>
              <w:rPr>
                <w:i/>
              </w:rPr>
            </w:pPr>
            <w:r>
              <w:rPr>
                <w:i/>
              </w:rPr>
              <w:t>The higher 2026-27 target reflects an increasing trend of custodial-based supervision driven by the government</w:t>
            </w:r>
            <w:r w:rsidR="007942D1">
              <w:rPr>
                <w:i/>
              </w:rPr>
              <w:t>’</w:t>
            </w:r>
            <w:r>
              <w:rPr>
                <w:i/>
              </w:rPr>
              <w:t xml:space="preserve">s community safety reforms. </w:t>
            </w:r>
          </w:p>
        </w:tc>
      </w:tr>
      <w:tr w:rsidR="00824558" w14:paraId="1EC0A373"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2C7F1E1" w14:textId="656612E1" w:rsidR="00824558" w:rsidRDefault="00824558">
            <w:pPr>
              <w:ind w:left="170"/>
            </w:pPr>
            <w:r>
              <w:t>Annual daily average number of young people in custody</w:t>
            </w:r>
            <w:r w:rsidR="007942D1">
              <w:t xml:space="preserve"> – </w:t>
            </w:r>
            <w:r w:rsidR="00FE70A7">
              <w:br/>
            </w:r>
            <w:r>
              <w:t>males (under 15 years) and female</w:t>
            </w:r>
          </w:p>
        </w:tc>
        <w:tc>
          <w:tcPr>
            <w:tcW w:w="964" w:type="dxa"/>
            <w:tcBorders>
              <w:bottom w:val="single" w:sz="6" w:space="0" w:color="auto"/>
            </w:tcBorders>
          </w:tcPr>
          <w:p w14:paraId="6B97007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AF9596E" w14:textId="3E5D878E" w:rsidR="00824558" w:rsidRDefault="00824558">
            <w:pPr>
              <w:cnfStyle w:val="000000000000" w:firstRow="0" w:lastRow="0" w:firstColumn="0" w:lastColumn="0" w:oddVBand="0" w:evenVBand="0" w:oddHBand="0" w:evenHBand="0" w:firstRowFirstColumn="0" w:firstRowLastColumn="0" w:lastRowFirstColumn="0" w:lastRowLastColumn="0"/>
            </w:pPr>
            <w:r>
              <w:t>15</w:t>
            </w:r>
            <w:r w:rsidR="007942D1">
              <w:t xml:space="preserve"> – </w:t>
            </w:r>
            <w:r>
              <w:t>25</w:t>
            </w:r>
          </w:p>
        </w:tc>
        <w:tc>
          <w:tcPr>
            <w:tcW w:w="964" w:type="dxa"/>
            <w:tcBorders>
              <w:bottom w:val="single" w:sz="6" w:space="0" w:color="auto"/>
            </w:tcBorders>
          </w:tcPr>
          <w:p w14:paraId="6AE88B07"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Borders>
              <w:bottom w:val="single" w:sz="6" w:space="0" w:color="auto"/>
            </w:tcBorders>
          </w:tcPr>
          <w:p w14:paraId="762A82FA" w14:textId="41754672" w:rsidR="00824558" w:rsidRDefault="00824558">
            <w:pPr>
              <w:cnfStyle w:val="000000000000" w:firstRow="0" w:lastRow="0" w:firstColumn="0" w:lastColumn="0" w:oddVBand="0" w:evenVBand="0" w:oddHBand="0" w:evenHBand="0" w:firstRowFirstColumn="0" w:firstRowLastColumn="0" w:lastRowFirstColumn="0" w:lastRowLastColumn="0"/>
            </w:pPr>
            <w:r>
              <w:t>15</w:t>
            </w:r>
            <w:r w:rsidR="007942D1">
              <w:t xml:space="preserve"> – </w:t>
            </w:r>
            <w:r>
              <w:t>25</w:t>
            </w:r>
          </w:p>
        </w:tc>
        <w:tc>
          <w:tcPr>
            <w:tcW w:w="964" w:type="dxa"/>
            <w:tcBorders>
              <w:bottom w:val="single" w:sz="6" w:space="0" w:color="auto"/>
            </w:tcBorders>
          </w:tcPr>
          <w:p w14:paraId="57EF9F57"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01F14799"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F4B3A42" w14:textId="1B630A94" w:rsidR="00824558" w:rsidRDefault="00824558">
            <w:pPr>
              <w:ind w:left="170"/>
            </w:pPr>
            <w:r>
              <w:t>Average daily custodial centre utilisation rate of total centre capacity</w:t>
            </w:r>
            <w:r w:rsidR="007942D1">
              <w:t xml:space="preserve"> – </w:t>
            </w:r>
            <w:r>
              <w:t>males (15 years plus)</w:t>
            </w:r>
          </w:p>
        </w:tc>
        <w:tc>
          <w:tcPr>
            <w:tcW w:w="964" w:type="dxa"/>
            <w:tcBorders>
              <w:bottom w:val="single" w:sz="6" w:space="0" w:color="auto"/>
            </w:tcBorders>
          </w:tcPr>
          <w:p w14:paraId="6406DAC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0303B7" w14:textId="3CC20B5D" w:rsidR="00824558" w:rsidRDefault="00824558">
            <w:pPr>
              <w:cnfStyle w:val="000000000000" w:firstRow="0" w:lastRow="0" w:firstColumn="0" w:lastColumn="0" w:oddVBand="0" w:evenVBand="0" w:oddHBand="0" w:evenHBand="0" w:firstRowFirstColumn="0" w:firstRowLastColumn="0" w:lastRowFirstColumn="0" w:lastRowLastColumn="0"/>
            </w:pPr>
            <w:r>
              <w:t>80</w:t>
            </w:r>
            <w:r w:rsidR="007942D1">
              <w:t xml:space="preserve"> – </w:t>
            </w:r>
            <w:r>
              <w:t>85</w:t>
            </w:r>
          </w:p>
        </w:tc>
        <w:tc>
          <w:tcPr>
            <w:tcW w:w="964" w:type="dxa"/>
            <w:tcBorders>
              <w:bottom w:val="single" w:sz="6" w:space="0" w:color="auto"/>
            </w:tcBorders>
          </w:tcPr>
          <w:p w14:paraId="6CB2690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373505D" w14:textId="189FBA44" w:rsidR="00824558" w:rsidRDefault="00824558">
            <w:pPr>
              <w:cnfStyle w:val="000000000000" w:firstRow="0" w:lastRow="0" w:firstColumn="0" w:lastColumn="0" w:oddVBand="0" w:evenVBand="0" w:oddHBand="0" w:evenHBand="0" w:firstRowFirstColumn="0" w:firstRowLastColumn="0" w:lastRowFirstColumn="0" w:lastRowLastColumn="0"/>
            </w:pPr>
            <w:r>
              <w:t>80</w:t>
            </w:r>
            <w:r w:rsidR="007942D1">
              <w:t xml:space="preserve"> – </w:t>
            </w:r>
            <w:r>
              <w:t>85</w:t>
            </w:r>
          </w:p>
        </w:tc>
        <w:tc>
          <w:tcPr>
            <w:tcW w:w="964" w:type="dxa"/>
            <w:tcBorders>
              <w:bottom w:val="single" w:sz="6" w:space="0" w:color="auto"/>
            </w:tcBorders>
          </w:tcPr>
          <w:p w14:paraId="49DEC325" w14:textId="77777777" w:rsidR="00824558" w:rsidRDefault="00824558">
            <w:pPr>
              <w:cnfStyle w:val="000000000000" w:firstRow="0" w:lastRow="0" w:firstColumn="0" w:lastColumn="0" w:oddVBand="0" w:evenVBand="0" w:oddHBand="0" w:evenHBand="0" w:firstRowFirstColumn="0" w:firstRowLastColumn="0" w:lastRowFirstColumn="0" w:lastRowLastColumn="0"/>
            </w:pPr>
            <w:r>
              <w:t>78.6</w:t>
            </w:r>
          </w:p>
        </w:tc>
      </w:tr>
      <w:tr w:rsidR="00824558" w14:paraId="59759CFB"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054744D" w14:textId="62087C96" w:rsidR="00824558" w:rsidRDefault="00824558">
            <w:pPr>
              <w:ind w:left="170"/>
            </w:pPr>
            <w:r>
              <w:t>Average daily custodial centre utilisation rate of total centre capacity</w:t>
            </w:r>
            <w:r w:rsidR="007942D1">
              <w:t xml:space="preserve"> – </w:t>
            </w:r>
            <w:r>
              <w:t>males (under 15 years) and female</w:t>
            </w:r>
          </w:p>
        </w:tc>
        <w:tc>
          <w:tcPr>
            <w:tcW w:w="964" w:type="dxa"/>
            <w:tcBorders>
              <w:bottom w:val="single" w:sz="6" w:space="0" w:color="auto"/>
            </w:tcBorders>
          </w:tcPr>
          <w:p w14:paraId="62FE7EE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8570EA0" w14:textId="76E41FCE" w:rsidR="00824558" w:rsidRDefault="00824558">
            <w:pPr>
              <w:cnfStyle w:val="000000000000" w:firstRow="0" w:lastRow="0" w:firstColumn="0" w:lastColumn="0" w:oddVBand="0" w:evenVBand="0" w:oddHBand="0" w:evenHBand="0" w:firstRowFirstColumn="0" w:firstRowLastColumn="0" w:lastRowFirstColumn="0" w:lastRowLastColumn="0"/>
            </w:pPr>
            <w:r>
              <w:t>60</w:t>
            </w:r>
            <w:r w:rsidR="007942D1">
              <w:t xml:space="preserve"> – </w:t>
            </w:r>
            <w:r>
              <w:t>80</w:t>
            </w:r>
          </w:p>
        </w:tc>
        <w:tc>
          <w:tcPr>
            <w:tcW w:w="964" w:type="dxa"/>
            <w:tcBorders>
              <w:bottom w:val="single" w:sz="6" w:space="0" w:color="auto"/>
            </w:tcBorders>
          </w:tcPr>
          <w:p w14:paraId="1ED8FE7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05A816F9" w14:textId="609C3C73" w:rsidR="00824558" w:rsidRDefault="00824558">
            <w:pPr>
              <w:cnfStyle w:val="000000000000" w:firstRow="0" w:lastRow="0" w:firstColumn="0" w:lastColumn="0" w:oddVBand="0" w:evenVBand="0" w:oddHBand="0" w:evenHBand="0" w:firstRowFirstColumn="0" w:firstRowLastColumn="0" w:lastRowFirstColumn="0" w:lastRowLastColumn="0"/>
            </w:pPr>
            <w:r>
              <w:t>60</w:t>
            </w:r>
            <w:r w:rsidR="007942D1">
              <w:t xml:space="preserve"> – </w:t>
            </w:r>
            <w:r>
              <w:t>80</w:t>
            </w:r>
          </w:p>
        </w:tc>
        <w:tc>
          <w:tcPr>
            <w:tcW w:w="964" w:type="dxa"/>
            <w:tcBorders>
              <w:bottom w:val="single" w:sz="6" w:space="0" w:color="auto"/>
            </w:tcBorders>
          </w:tcPr>
          <w:p w14:paraId="1C85F0DA" w14:textId="77777777" w:rsidR="00824558" w:rsidRDefault="00824558">
            <w:pPr>
              <w:cnfStyle w:val="000000000000" w:firstRow="0" w:lastRow="0" w:firstColumn="0" w:lastColumn="0" w:oddVBand="0" w:evenVBand="0" w:oddHBand="0" w:evenHBand="0" w:firstRowFirstColumn="0" w:firstRowLastColumn="0" w:lastRowFirstColumn="0" w:lastRowLastColumn="0"/>
            </w:pPr>
            <w:r>
              <w:t>30.6</w:t>
            </w:r>
          </w:p>
        </w:tc>
      </w:tr>
      <w:tr w:rsidR="00824558" w14:paraId="5D9A4A07"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10143575" w14:textId="77777777" w:rsidR="00824558" w:rsidRDefault="00824558">
            <w:pPr>
              <w:keepNext/>
              <w:ind w:left="170"/>
            </w:pPr>
            <w:r>
              <w:t>Average daily number of Aboriginal children and young people (under 18 years) in custody</w:t>
            </w:r>
          </w:p>
        </w:tc>
        <w:tc>
          <w:tcPr>
            <w:tcW w:w="964" w:type="dxa"/>
            <w:tcBorders>
              <w:top w:val="single" w:sz="6" w:space="0" w:color="auto"/>
              <w:bottom w:val="single" w:sz="6" w:space="0" w:color="auto"/>
            </w:tcBorders>
          </w:tcPr>
          <w:p w14:paraId="72538F0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0AA33BB1" w14:textId="6A6AC45C" w:rsidR="00824558" w:rsidRPr="007E1D46" w:rsidRDefault="007E1D46">
            <w:pPr>
              <w:cnfStyle w:val="000000000000" w:firstRow="0" w:lastRow="0" w:firstColumn="0" w:lastColumn="0" w:oddVBand="0" w:evenVBand="0" w:oddHBand="0" w:evenHBand="0" w:firstRowFirstColumn="0" w:firstRowLastColumn="0" w:lastRowFirstColumn="0" w:lastRowLastColumn="0"/>
            </w:pPr>
            <w:r w:rsidRPr="007E1D46">
              <w:t xml:space="preserve">8 </w:t>
            </w:r>
            <w:r w:rsidR="00824558" w:rsidRPr="007E1D46">
              <w:t>–</w:t>
            </w:r>
            <w:r w:rsidRPr="007E1D46">
              <w:t xml:space="preserve"> </w:t>
            </w:r>
            <w:r w:rsidR="00824558" w:rsidRPr="007E1D46">
              <w:t>13</w:t>
            </w:r>
          </w:p>
        </w:tc>
        <w:tc>
          <w:tcPr>
            <w:tcW w:w="964" w:type="dxa"/>
            <w:tcBorders>
              <w:top w:val="single" w:sz="6" w:space="0" w:color="auto"/>
              <w:bottom w:val="single" w:sz="6" w:space="0" w:color="auto"/>
            </w:tcBorders>
          </w:tcPr>
          <w:p w14:paraId="3335ACAD"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c>
          <w:tcPr>
            <w:tcW w:w="964" w:type="dxa"/>
            <w:tcBorders>
              <w:top w:val="single" w:sz="6" w:space="0" w:color="auto"/>
              <w:bottom w:val="single" w:sz="6" w:space="0" w:color="auto"/>
            </w:tcBorders>
          </w:tcPr>
          <w:p w14:paraId="2D2E253E" w14:textId="6529C4EB" w:rsidR="00824558" w:rsidRDefault="00824558">
            <w:pPr>
              <w:cnfStyle w:val="000000000000" w:firstRow="0" w:lastRow="0" w:firstColumn="0" w:lastColumn="0" w:oddVBand="0" w:evenVBand="0" w:oddHBand="0" w:evenHBand="0" w:firstRowFirstColumn="0" w:firstRowLastColumn="0" w:lastRowFirstColumn="0" w:lastRowLastColumn="0"/>
            </w:pPr>
            <w:r>
              <w:t>8</w:t>
            </w:r>
            <w:r w:rsidR="007942D1">
              <w:t xml:space="preserve"> – </w:t>
            </w:r>
            <w:r>
              <w:t>13</w:t>
            </w:r>
          </w:p>
        </w:tc>
        <w:tc>
          <w:tcPr>
            <w:tcW w:w="964" w:type="dxa"/>
            <w:tcBorders>
              <w:top w:val="single" w:sz="6" w:space="0" w:color="auto"/>
              <w:bottom w:val="single" w:sz="6" w:space="0" w:color="auto"/>
            </w:tcBorders>
          </w:tcPr>
          <w:p w14:paraId="5E577E6F" w14:textId="77777777" w:rsidR="00824558" w:rsidRDefault="00824558">
            <w:pPr>
              <w:cnfStyle w:val="000000000000" w:firstRow="0" w:lastRow="0" w:firstColumn="0" w:lastColumn="0" w:oddVBand="0" w:evenVBand="0" w:oddHBand="0" w:evenHBand="0" w:firstRowFirstColumn="0" w:firstRowLastColumn="0" w:lastRowFirstColumn="0" w:lastRowLastColumn="0"/>
            </w:pPr>
            <w:r>
              <w:t>11.1</w:t>
            </w:r>
          </w:p>
        </w:tc>
      </w:tr>
      <w:tr w:rsidR="00824558" w14:paraId="52D0AD61"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8CC3BB8" w14:textId="77777777" w:rsidR="00824558" w:rsidRDefault="00824558">
            <w:pPr>
              <w:ind w:left="170"/>
            </w:pPr>
            <w:r>
              <w:t>Average daily number of young people (under 14 years) in custody</w:t>
            </w:r>
          </w:p>
        </w:tc>
        <w:tc>
          <w:tcPr>
            <w:tcW w:w="964" w:type="dxa"/>
            <w:tcBorders>
              <w:top w:val="single" w:sz="6" w:space="0" w:color="auto"/>
              <w:bottom w:val="single" w:sz="6" w:space="0" w:color="auto"/>
            </w:tcBorders>
          </w:tcPr>
          <w:p w14:paraId="1E1BA5B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25B1F75D" w14:textId="3286EE43" w:rsidR="00824558" w:rsidRDefault="00824558">
            <w:pPr>
              <w:cnfStyle w:val="000000000000" w:firstRow="0" w:lastRow="0" w:firstColumn="0" w:lastColumn="0" w:oddVBand="0" w:evenVBand="0" w:oddHBand="0" w:evenHBand="0" w:firstRowFirstColumn="0" w:firstRowLastColumn="0" w:lastRowFirstColumn="0" w:lastRowLastColumn="0"/>
            </w:pPr>
            <w:r>
              <w:t>&lt;</w:t>
            </w:r>
            <w:r w:rsidR="00F211C0">
              <w:t xml:space="preserve"> </w:t>
            </w:r>
            <w:r>
              <w:t>5</w:t>
            </w:r>
          </w:p>
        </w:tc>
        <w:tc>
          <w:tcPr>
            <w:tcW w:w="964" w:type="dxa"/>
            <w:tcBorders>
              <w:top w:val="single" w:sz="6" w:space="0" w:color="auto"/>
              <w:bottom w:val="single" w:sz="6" w:space="0" w:color="auto"/>
            </w:tcBorders>
          </w:tcPr>
          <w:p w14:paraId="376B6B00" w14:textId="7D6F5202" w:rsidR="00824558" w:rsidRDefault="00824558">
            <w:pPr>
              <w:cnfStyle w:val="000000000000" w:firstRow="0" w:lastRow="0" w:firstColumn="0" w:lastColumn="0" w:oddVBand="0" w:evenVBand="0" w:oddHBand="0" w:evenHBand="0" w:firstRowFirstColumn="0" w:firstRowLastColumn="0" w:lastRowFirstColumn="0" w:lastRowLastColumn="0"/>
            </w:pPr>
            <w:r>
              <w:t>&lt;</w:t>
            </w:r>
            <w:r w:rsidR="00F211C0">
              <w:t xml:space="preserve"> </w:t>
            </w:r>
            <w:r>
              <w:t>5</w:t>
            </w:r>
          </w:p>
        </w:tc>
        <w:tc>
          <w:tcPr>
            <w:tcW w:w="964" w:type="dxa"/>
            <w:tcBorders>
              <w:top w:val="single" w:sz="6" w:space="0" w:color="auto"/>
              <w:bottom w:val="single" w:sz="6" w:space="0" w:color="auto"/>
            </w:tcBorders>
          </w:tcPr>
          <w:p w14:paraId="2EF4AC07" w14:textId="32AA167B" w:rsidR="00824558" w:rsidRDefault="00824558">
            <w:pPr>
              <w:cnfStyle w:val="000000000000" w:firstRow="0" w:lastRow="0" w:firstColumn="0" w:lastColumn="0" w:oddVBand="0" w:evenVBand="0" w:oddHBand="0" w:evenHBand="0" w:firstRowFirstColumn="0" w:firstRowLastColumn="0" w:lastRowFirstColumn="0" w:lastRowLastColumn="0"/>
            </w:pPr>
            <w:r>
              <w:t>&lt;</w:t>
            </w:r>
            <w:r w:rsidR="00F211C0">
              <w:t xml:space="preserve"> </w:t>
            </w:r>
            <w:r>
              <w:t>5</w:t>
            </w:r>
          </w:p>
        </w:tc>
        <w:tc>
          <w:tcPr>
            <w:tcW w:w="964" w:type="dxa"/>
            <w:tcBorders>
              <w:top w:val="single" w:sz="6" w:space="0" w:color="auto"/>
              <w:bottom w:val="single" w:sz="6" w:space="0" w:color="auto"/>
            </w:tcBorders>
          </w:tcPr>
          <w:p w14:paraId="7B7857E4" w14:textId="77777777" w:rsidR="00824558" w:rsidRDefault="00824558">
            <w:pPr>
              <w:cnfStyle w:val="000000000000" w:firstRow="0" w:lastRow="0" w:firstColumn="0" w:lastColumn="0" w:oddVBand="0" w:evenVBand="0" w:oddHBand="0" w:evenHBand="0" w:firstRowFirstColumn="0" w:firstRowLastColumn="0" w:lastRowFirstColumn="0" w:lastRowLastColumn="0"/>
            </w:pPr>
            <w:r>
              <w:t>0.2</w:t>
            </w:r>
          </w:p>
        </w:tc>
      </w:tr>
      <w:tr w:rsidR="00824558" w:rsidRPr="000B4528" w14:paraId="2D739ADF"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2A983D47" w14:textId="77777777" w:rsidR="00824558" w:rsidRPr="000B4528" w:rsidRDefault="00824558">
            <w:pPr>
              <w:keepNext/>
              <w:rPr>
                <w:b/>
                <w:bCs/>
                <w:iCs/>
              </w:rPr>
            </w:pPr>
            <w:r w:rsidRPr="000B4528">
              <w:rPr>
                <w:b/>
                <w:bCs/>
                <w:iCs/>
              </w:rPr>
              <w:t>Quality</w:t>
            </w:r>
          </w:p>
        </w:tc>
      </w:tr>
      <w:tr w:rsidR="00824558" w14:paraId="5BC89D8C"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7091AD4" w14:textId="77777777" w:rsidR="00824558" w:rsidRDefault="00824558">
            <w:pPr>
              <w:ind w:left="170"/>
            </w:pPr>
            <w:r>
              <w:t>Young people in youth justice participating in community re‑integration activities</w:t>
            </w:r>
          </w:p>
        </w:tc>
        <w:tc>
          <w:tcPr>
            <w:tcW w:w="964" w:type="dxa"/>
            <w:tcBorders>
              <w:bottom w:val="single" w:sz="6" w:space="0" w:color="auto"/>
            </w:tcBorders>
          </w:tcPr>
          <w:p w14:paraId="43570B3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D56DCE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8667207"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D3128D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1F7D58F" w14:textId="77777777" w:rsidR="00824558" w:rsidRDefault="00824558">
            <w:pPr>
              <w:cnfStyle w:val="000000000000" w:firstRow="0" w:lastRow="0" w:firstColumn="0" w:lastColumn="0" w:oddVBand="0" w:evenVBand="0" w:oddHBand="0" w:evenHBand="0" w:firstRowFirstColumn="0" w:firstRowLastColumn="0" w:lastRowFirstColumn="0" w:lastRowLastColumn="0"/>
            </w:pPr>
            <w:r>
              <w:t>78.9</w:t>
            </w:r>
          </w:p>
        </w:tc>
      </w:tr>
      <w:tr w:rsidR="00824558" w:rsidRPr="000B4528" w14:paraId="4E7229E0"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3A50F274" w14:textId="77777777" w:rsidR="00824558" w:rsidRPr="000B4528" w:rsidRDefault="00824558">
            <w:pPr>
              <w:keepNext/>
              <w:rPr>
                <w:b/>
                <w:bCs/>
                <w:iCs/>
              </w:rPr>
            </w:pPr>
            <w:r w:rsidRPr="000B4528">
              <w:rPr>
                <w:b/>
                <w:bCs/>
                <w:iCs/>
              </w:rPr>
              <w:t>Timeliness</w:t>
            </w:r>
          </w:p>
        </w:tc>
      </w:tr>
      <w:tr w:rsidR="00824558" w14:paraId="72B4DFFF"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CBD5922" w14:textId="77777777" w:rsidR="00824558" w:rsidRDefault="00824558">
            <w:pPr>
              <w:ind w:left="170"/>
            </w:pPr>
            <w:r>
              <w:t>Young people on custodial orders who have a case plan completed within six weeks of the commencement of the order</w:t>
            </w:r>
          </w:p>
        </w:tc>
        <w:tc>
          <w:tcPr>
            <w:tcW w:w="964" w:type="dxa"/>
            <w:tcBorders>
              <w:bottom w:val="single" w:sz="6" w:space="0" w:color="auto"/>
            </w:tcBorders>
          </w:tcPr>
          <w:p w14:paraId="5711304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9755C0C"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6590CC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14D098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372B5CA" w14:textId="77777777" w:rsidR="00824558" w:rsidRDefault="00824558">
            <w:pPr>
              <w:cnfStyle w:val="000000000000" w:firstRow="0" w:lastRow="0" w:firstColumn="0" w:lastColumn="0" w:oddVBand="0" w:evenVBand="0" w:oddHBand="0" w:evenHBand="0" w:firstRowFirstColumn="0" w:firstRowLastColumn="0" w:lastRowFirstColumn="0" w:lastRowLastColumn="0"/>
            </w:pPr>
            <w:r>
              <w:t>96.3</w:t>
            </w:r>
          </w:p>
        </w:tc>
      </w:tr>
      <w:tr w:rsidR="00824558" w:rsidRPr="000B4528" w14:paraId="0C167109"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20021CC5" w14:textId="77777777" w:rsidR="00824558" w:rsidRPr="000B4528" w:rsidRDefault="00824558">
            <w:pPr>
              <w:keepNext/>
              <w:rPr>
                <w:b/>
                <w:bCs/>
                <w:iCs/>
              </w:rPr>
            </w:pPr>
            <w:r w:rsidRPr="000B4528">
              <w:rPr>
                <w:b/>
                <w:bCs/>
                <w:iCs/>
              </w:rPr>
              <w:t>Cost</w:t>
            </w:r>
          </w:p>
        </w:tc>
      </w:tr>
      <w:tr w:rsidR="007E1D46" w14:paraId="618759E5" w14:textId="77777777" w:rsidTr="007E1D46">
        <w:tc>
          <w:tcPr>
            <w:cnfStyle w:val="001000000000" w:firstRow="0" w:lastRow="0" w:firstColumn="1" w:lastColumn="0" w:oddVBand="0" w:evenVBand="0" w:oddHBand="0" w:evenHBand="0" w:firstRowFirstColumn="0" w:firstRowLastColumn="0" w:lastRowFirstColumn="0" w:lastRowLastColumn="0"/>
            <w:tcW w:w="4819" w:type="dxa"/>
          </w:tcPr>
          <w:p w14:paraId="53FB13FA" w14:textId="77777777" w:rsidR="007E1D46" w:rsidRDefault="007E1D46" w:rsidP="007E1D46">
            <w:pPr>
              <w:ind w:left="170"/>
            </w:pPr>
            <w:r>
              <w:t>Total output cost</w:t>
            </w:r>
          </w:p>
        </w:tc>
        <w:tc>
          <w:tcPr>
            <w:tcW w:w="964" w:type="dxa"/>
          </w:tcPr>
          <w:p w14:paraId="623A3004" w14:textId="77777777" w:rsidR="007E1D46" w:rsidRDefault="007E1D46" w:rsidP="007E1D46">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D50ED41" w14:textId="47FF27B0" w:rsidR="007E1D46" w:rsidRPr="00BF4FDC" w:rsidRDefault="007E1D46" w:rsidP="007E1D46">
            <w:pPr>
              <w:cnfStyle w:val="000000000000" w:firstRow="0" w:lastRow="0" w:firstColumn="0" w:lastColumn="0" w:oddVBand="0" w:evenVBand="0" w:oddHBand="0" w:evenHBand="0" w:firstRowFirstColumn="0" w:firstRowLastColumn="0" w:lastRowFirstColumn="0" w:lastRowLastColumn="0"/>
              <w:rPr>
                <w:highlight w:val="yellow"/>
              </w:rPr>
            </w:pPr>
            <w:r w:rsidRPr="00C1758B">
              <w:t>311.1</w:t>
            </w:r>
          </w:p>
        </w:tc>
        <w:tc>
          <w:tcPr>
            <w:tcW w:w="964" w:type="dxa"/>
          </w:tcPr>
          <w:p w14:paraId="54AAD4B7" w14:textId="49F5A3FE" w:rsidR="007E1D46" w:rsidRPr="00BF4FDC" w:rsidRDefault="007E1D46" w:rsidP="007E1D46">
            <w:pPr>
              <w:cnfStyle w:val="000000000000" w:firstRow="0" w:lastRow="0" w:firstColumn="0" w:lastColumn="0" w:oddVBand="0" w:evenVBand="0" w:oddHBand="0" w:evenHBand="0" w:firstRowFirstColumn="0" w:firstRowLastColumn="0" w:lastRowFirstColumn="0" w:lastRowLastColumn="0"/>
              <w:rPr>
                <w:highlight w:val="yellow"/>
              </w:rPr>
            </w:pPr>
            <w:r w:rsidRPr="00C1758B">
              <w:t>400.9</w:t>
            </w:r>
          </w:p>
        </w:tc>
        <w:tc>
          <w:tcPr>
            <w:tcW w:w="964" w:type="dxa"/>
          </w:tcPr>
          <w:p w14:paraId="38AF654B" w14:textId="136088A2" w:rsidR="007E1D46" w:rsidRPr="00BF4FDC" w:rsidRDefault="007E1D46" w:rsidP="007E1D46">
            <w:pPr>
              <w:cnfStyle w:val="000000000000" w:firstRow="0" w:lastRow="0" w:firstColumn="0" w:lastColumn="0" w:oddVBand="0" w:evenVBand="0" w:oddHBand="0" w:evenHBand="0" w:firstRowFirstColumn="0" w:firstRowLastColumn="0" w:lastRowFirstColumn="0" w:lastRowLastColumn="0"/>
              <w:rPr>
                <w:highlight w:val="yellow"/>
              </w:rPr>
            </w:pPr>
            <w:r w:rsidRPr="00C1758B">
              <w:t>274.2</w:t>
            </w:r>
          </w:p>
        </w:tc>
        <w:tc>
          <w:tcPr>
            <w:tcW w:w="964" w:type="dxa"/>
          </w:tcPr>
          <w:p w14:paraId="3BCDCEE7" w14:textId="68D3F6CE" w:rsidR="007E1D46" w:rsidRPr="00BF4FDC" w:rsidRDefault="007E1D46" w:rsidP="007E1D46">
            <w:pPr>
              <w:cnfStyle w:val="000000000000" w:firstRow="0" w:lastRow="0" w:firstColumn="0" w:lastColumn="0" w:oddVBand="0" w:evenVBand="0" w:oddHBand="0" w:evenHBand="0" w:firstRowFirstColumn="0" w:firstRowLastColumn="0" w:lastRowFirstColumn="0" w:lastRowLastColumn="0"/>
              <w:rPr>
                <w:highlight w:val="yellow"/>
              </w:rPr>
            </w:pPr>
            <w:r w:rsidRPr="00C1758B">
              <w:t>300.8</w:t>
            </w:r>
          </w:p>
        </w:tc>
      </w:tr>
      <w:tr w:rsidR="00E728BE" w14:paraId="7EA6062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46054E8" w14:textId="111FA504" w:rsidR="00E728BE" w:rsidRPr="00C6296C" w:rsidRDefault="00C6296C" w:rsidP="00C6296C">
            <w:pPr>
              <w:ind w:left="170"/>
              <w:rPr>
                <w:i/>
              </w:rPr>
            </w:pPr>
            <w:r w:rsidRPr="001563CC">
              <w:rPr>
                <w:i/>
              </w:rPr>
              <w:t xml:space="preserve">The 2025-26 expected outcome is higher than the 2025-26 target due to the release of funding for the Community Safety Package and the </w:t>
            </w:r>
            <w:r w:rsidR="00170F7B">
              <w:rPr>
                <w:i/>
              </w:rPr>
              <w:t>Maintaining</w:t>
            </w:r>
            <w:r w:rsidRPr="001563CC">
              <w:rPr>
                <w:i/>
              </w:rPr>
              <w:t xml:space="preserve"> a safe and </w:t>
            </w:r>
            <w:r w:rsidR="00170F7B">
              <w:rPr>
                <w:i/>
              </w:rPr>
              <w:t xml:space="preserve">stable </w:t>
            </w:r>
            <w:r w:rsidRPr="001563CC">
              <w:rPr>
                <w:i/>
              </w:rPr>
              <w:t xml:space="preserve">and effective </w:t>
            </w:r>
            <w:r>
              <w:rPr>
                <w:i/>
              </w:rPr>
              <w:t>y</w:t>
            </w:r>
            <w:r w:rsidRPr="001563CC">
              <w:rPr>
                <w:i/>
              </w:rPr>
              <w:t xml:space="preserve">outh </w:t>
            </w:r>
            <w:r>
              <w:rPr>
                <w:i/>
              </w:rPr>
              <w:t>j</w:t>
            </w:r>
            <w:r w:rsidRPr="001563CC">
              <w:rPr>
                <w:i/>
              </w:rPr>
              <w:t xml:space="preserve">ustice system initiatives. </w:t>
            </w:r>
          </w:p>
        </w:tc>
      </w:tr>
      <w:tr w:rsidR="007E1D46" w14:paraId="13CDCE1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654F1D1" w14:textId="43A437B7" w:rsidR="007E1D46" w:rsidRPr="00C1758B" w:rsidRDefault="00E728BE" w:rsidP="00C6296C">
            <w:pPr>
              <w:ind w:left="170"/>
            </w:pPr>
            <w:r w:rsidRPr="001563CC">
              <w:rPr>
                <w:i/>
              </w:rPr>
              <w:t xml:space="preserve">The higher 2026-27 target reflects the release of funding for the Community Safety Package and funding in the </w:t>
            </w:r>
            <w:r w:rsidRPr="00DC0C69">
              <w:t xml:space="preserve">2026-27 </w:t>
            </w:r>
            <w:r w:rsidR="00DC0C69" w:rsidRPr="00DC0C69">
              <w:rPr>
                <w:iCs/>
              </w:rPr>
              <w:t>Budget</w:t>
            </w:r>
            <w:r w:rsidRPr="001563CC">
              <w:rPr>
                <w:i/>
              </w:rPr>
              <w:t xml:space="preserve"> for </w:t>
            </w:r>
            <w:r w:rsidR="00FB637B">
              <w:rPr>
                <w:i/>
              </w:rPr>
              <w:t>new</w:t>
            </w:r>
            <w:r w:rsidRPr="001563CC" w:rsidDel="00D97658">
              <w:rPr>
                <w:i/>
              </w:rPr>
              <w:t xml:space="preserve"> </w:t>
            </w:r>
            <w:r w:rsidRPr="001563CC">
              <w:rPr>
                <w:i/>
              </w:rPr>
              <w:t>initiative</w:t>
            </w:r>
            <w:r w:rsidR="00FB637B">
              <w:rPr>
                <w:i/>
              </w:rPr>
              <w:t>s</w:t>
            </w:r>
            <w:r w:rsidRPr="001563CC">
              <w:rPr>
                <w:i/>
              </w:rPr>
              <w:t>.</w:t>
            </w:r>
          </w:p>
        </w:tc>
      </w:tr>
    </w:tbl>
    <w:p w14:paraId="20908833" w14:textId="77777777" w:rsidR="00824558" w:rsidRDefault="00824558">
      <w:pPr>
        <w:pStyle w:val="Source"/>
      </w:pPr>
      <w:r>
        <w:t>Source: Department of Justice and Community Safety</w:t>
      </w:r>
    </w:p>
    <w:p w14:paraId="63C5D67B" w14:textId="77777777" w:rsidR="00824558" w:rsidRPr="00910B91" w:rsidRDefault="00824558">
      <w:pPr>
        <w:pStyle w:val="ShadedBoxHeading"/>
        <w:pageBreakBefore/>
      </w:pPr>
      <w:r w:rsidRPr="00910B91">
        <w:lastRenderedPageBreak/>
        <w:t xml:space="preserve">Objective 5: A fair and accessible justice system </w:t>
      </w:r>
      <w:r w:rsidRPr="00DD5321">
        <w:t>where Victorians are protected with equal opportunities, rights and information freedoms</w:t>
      </w:r>
    </w:p>
    <w:p w14:paraId="37C2113D" w14:textId="77777777" w:rsidR="00824558" w:rsidRDefault="00824558">
      <w:pPr>
        <w:pStyle w:val="ShadedBoxText"/>
      </w:pPr>
      <w:r w:rsidRPr="002D5ABE">
        <w:t>This objective aims to protect the Victorian community through access to justice services, including legal assistance and education, prosecution services and use of expert forensic medical services in the justice system. This objective also supports the protection of human rights, privacy, information freedoms, equal opportunity, advocacy, guardianship and supporting victims of crime.</w:t>
      </w:r>
    </w:p>
    <w:p w14:paraId="2B1C21DC" w14:textId="77777777" w:rsidR="00824558" w:rsidRDefault="00824558">
      <w:pPr>
        <w:pStyle w:val="ShadedBoxText"/>
      </w:pPr>
      <w:r w:rsidRPr="002D5ABE">
        <w:t>Other services that contribute to this objective include integrity in government, law reform, legal and policy advice and initiatives focusing on crime prevention and supporting Aboriginal people in the criminal justice system.</w:t>
      </w:r>
    </w:p>
    <w:p w14:paraId="714BC072" w14:textId="77777777" w:rsidR="00824558" w:rsidRPr="002C6169" w:rsidRDefault="00824558">
      <w:pPr>
        <w:pStyle w:val="ShadedBoxText"/>
      </w:pPr>
      <w:r w:rsidRPr="002C6169">
        <w:t>The departmental objective indicators are:</w:t>
      </w:r>
    </w:p>
    <w:p w14:paraId="0222D938" w14:textId="77777777" w:rsidR="00824558" w:rsidRPr="00877696" w:rsidRDefault="00824558">
      <w:pPr>
        <w:pStyle w:val="ShadedBoxBullet"/>
        <w:contextualSpacing/>
      </w:pPr>
      <w:r w:rsidRPr="00877696">
        <w:t>prosecutions completed and returning guilty outcomes (OPP) (percentage of total case finalisations)</w:t>
      </w:r>
    </w:p>
    <w:p w14:paraId="0DF3D9F1" w14:textId="77777777" w:rsidR="00824558" w:rsidRPr="00877696" w:rsidRDefault="00824558">
      <w:pPr>
        <w:pStyle w:val="ShadedBoxBullet"/>
        <w:contextualSpacing/>
      </w:pPr>
      <w:r w:rsidRPr="00877696">
        <w:t>legal assistance</w:t>
      </w:r>
      <w:r>
        <w:t xml:space="preserve"> services</w:t>
      </w:r>
      <w:r w:rsidRPr="00877696">
        <w:t xml:space="preserve"> provided</w:t>
      </w:r>
      <w:r>
        <w:t xml:space="preserve"> to Victorians</w:t>
      </w:r>
      <w:r w:rsidRPr="00877696">
        <w:t xml:space="preserve"> (VLA)</w:t>
      </w:r>
    </w:p>
    <w:p w14:paraId="5EFCA68D" w14:textId="77777777" w:rsidR="00824558" w:rsidRPr="00877696" w:rsidRDefault="00824558">
      <w:pPr>
        <w:pStyle w:val="ShadedBoxBullet"/>
        <w:contextualSpacing/>
      </w:pPr>
      <w:r w:rsidRPr="00877696">
        <w:t>law reform publications completed (VLRC)</w:t>
      </w:r>
    </w:p>
    <w:p w14:paraId="1D8E6251" w14:textId="77777777" w:rsidR="00824558" w:rsidRPr="00877696" w:rsidRDefault="00824558">
      <w:pPr>
        <w:pStyle w:val="ShadedBoxBullet"/>
        <w:contextualSpacing/>
      </w:pPr>
      <w:r w:rsidRPr="00877696">
        <w:t>medico-legal death investigations (VIFM)</w:t>
      </w:r>
    </w:p>
    <w:p w14:paraId="7A5E70E6" w14:textId="77777777" w:rsidR="00824558" w:rsidRDefault="00824558">
      <w:pPr>
        <w:pStyle w:val="ShadedBoxBullet"/>
        <w:contextualSpacing/>
      </w:pPr>
      <w:r w:rsidRPr="00877696">
        <w:t>number of Sentencing Advisory Council publications (SAC)</w:t>
      </w:r>
      <w:r w:rsidRPr="000F5C31">
        <w:t xml:space="preserve"> </w:t>
      </w:r>
    </w:p>
    <w:p w14:paraId="141E1F98" w14:textId="77777777" w:rsidR="00824558" w:rsidRPr="00877696" w:rsidRDefault="00824558">
      <w:pPr>
        <w:pStyle w:val="ShadedBoxBullet"/>
        <w:contextualSpacing/>
      </w:pPr>
      <w:r w:rsidRPr="00877696">
        <w:t>conciliation and facilitation activities delivered by the Victorian Equal Opportunity and Human Rights Commission</w:t>
      </w:r>
    </w:p>
    <w:p w14:paraId="62AEBD65" w14:textId="77777777" w:rsidR="00824558" w:rsidRPr="00877696" w:rsidRDefault="00824558">
      <w:pPr>
        <w:pStyle w:val="ShadedBoxBullet"/>
        <w:contextualSpacing/>
      </w:pPr>
      <w:r w:rsidRPr="00877696">
        <w:t>people assisted through Public Advocate advice and education activities (OPA)</w:t>
      </w:r>
    </w:p>
    <w:p w14:paraId="64A4A7DA" w14:textId="77777777" w:rsidR="00824558" w:rsidRPr="00877696" w:rsidRDefault="00824558">
      <w:pPr>
        <w:pStyle w:val="ShadedBoxBullet"/>
        <w:contextualSpacing/>
      </w:pPr>
      <w:r>
        <w:t>p</w:t>
      </w:r>
      <w:r w:rsidRPr="000E04AC">
        <w:t>roportion of victim services and Financial Assistance Scheme clients who reported they felt treated with dignity and respect when accessing victim services</w:t>
      </w:r>
      <w:r w:rsidRPr="00877696">
        <w:t>.</w:t>
      </w:r>
    </w:p>
    <w:p w14:paraId="1BC84012" w14:textId="77777777" w:rsidR="00824558" w:rsidRDefault="00824558">
      <w:pPr>
        <w:pStyle w:val="Heading3"/>
      </w:pPr>
      <w:r>
        <w:rPr>
          <w:rFonts w:cs="Times New Roman"/>
          <w:szCs w:val="22"/>
        </w:rPr>
        <w:t>Outputs</w:t>
      </w:r>
    </w:p>
    <w:p w14:paraId="6C4EBF43" w14:textId="2496BC4A" w:rsidR="00824558" w:rsidRDefault="00824558">
      <w:pPr>
        <w:pStyle w:val="Heading3"/>
      </w:pPr>
      <w:r>
        <w:t>Public Prosecutions and Legal Assistance</w:t>
      </w:r>
      <w:r>
        <w:tab/>
        <w:t>(2026-27: $</w:t>
      </w:r>
      <w:r w:rsidR="00E9578A">
        <w:t xml:space="preserve">444.5 </w:t>
      </w:r>
      <w:r>
        <w:t>million)</w:t>
      </w:r>
    </w:p>
    <w:p w14:paraId="240C6D8B" w14:textId="1E357414" w:rsidR="00824558" w:rsidRPr="002C70ED" w:rsidRDefault="00824558">
      <w:pPr>
        <w:keepNext/>
        <w:spacing w:after="120"/>
      </w:pPr>
      <w:r>
        <w:t>This output delivers activities relating to Victoria</w:t>
      </w:r>
      <w:r w:rsidR="007942D1">
        <w:t>’</w:t>
      </w:r>
      <w:r>
        <w:t>s public prosecutions service and Victoria Legal Aid (VLA). The Office of Public Prosecutions (OPP) provides an independent, effective and efficient prosecutions service on behalf of the Director of Public Prosecutions (DPP). In addition to the prosecution of serious crimes, the OPP also provides professional support to prosecution witnesses and victims of crime involved in its cases. VLA is an independent statutory authority that provides a range of legal services for both Victorian and Commonwealth law matters. These services include legal representation, legal advice, advocacy and education services.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857CEF7" w14:textId="77777777" w:rsidTr="003E60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BD33F3F" w14:textId="77777777" w:rsidR="00824558" w:rsidRDefault="00824558">
            <w:r>
              <w:t>Performance measure</w:t>
            </w:r>
          </w:p>
        </w:tc>
        <w:tc>
          <w:tcPr>
            <w:tcW w:w="964" w:type="dxa"/>
          </w:tcPr>
          <w:p w14:paraId="422E0DE2"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BD7613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0B8FA6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36A4A0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FA7EDB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11D03F59"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Pr>
          <w:p w14:paraId="4BAB9DC4" w14:textId="77777777" w:rsidR="00824558" w:rsidRPr="000B4528" w:rsidRDefault="00824558">
            <w:pPr>
              <w:keepNext/>
              <w:rPr>
                <w:b/>
                <w:bCs/>
                <w:iCs/>
              </w:rPr>
            </w:pPr>
            <w:r w:rsidRPr="000B4528">
              <w:rPr>
                <w:b/>
                <w:bCs/>
                <w:iCs/>
              </w:rPr>
              <w:t>Quantity</w:t>
            </w:r>
          </w:p>
        </w:tc>
      </w:tr>
      <w:tr w:rsidR="00824558" w14:paraId="55538372"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7D1AF652" w14:textId="77777777" w:rsidR="00824558" w:rsidRDefault="00824558">
            <w:pPr>
              <w:keepNext/>
              <w:ind w:left="170"/>
            </w:pPr>
            <w:r>
              <w:t>Advocacy and client support services (Victoria Legal Aid)</w:t>
            </w:r>
          </w:p>
        </w:tc>
        <w:tc>
          <w:tcPr>
            <w:tcW w:w="964" w:type="dxa"/>
          </w:tcPr>
          <w:p w14:paraId="0E68A27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F2CD697" w14:textId="77777777" w:rsidR="00824558" w:rsidRDefault="00824558">
            <w:pPr>
              <w:cnfStyle w:val="000000000000" w:firstRow="0" w:lastRow="0" w:firstColumn="0" w:lastColumn="0" w:oddVBand="0" w:evenVBand="0" w:oddHBand="0" w:evenHBand="0" w:firstRowFirstColumn="0" w:firstRowLastColumn="0" w:lastRowFirstColumn="0" w:lastRowLastColumn="0"/>
            </w:pPr>
            <w:r>
              <w:t>113 000</w:t>
            </w:r>
          </w:p>
        </w:tc>
        <w:tc>
          <w:tcPr>
            <w:tcW w:w="964" w:type="dxa"/>
          </w:tcPr>
          <w:p w14:paraId="56313D44" w14:textId="77777777" w:rsidR="00824558" w:rsidRDefault="00824558">
            <w:pPr>
              <w:cnfStyle w:val="000000000000" w:firstRow="0" w:lastRow="0" w:firstColumn="0" w:lastColumn="0" w:oddVBand="0" w:evenVBand="0" w:oddHBand="0" w:evenHBand="0" w:firstRowFirstColumn="0" w:firstRowLastColumn="0" w:lastRowFirstColumn="0" w:lastRowLastColumn="0"/>
            </w:pPr>
            <w:r>
              <w:t>134 600</w:t>
            </w:r>
          </w:p>
        </w:tc>
        <w:tc>
          <w:tcPr>
            <w:tcW w:w="964" w:type="dxa"/>
          </w:tcPr>
          <w:p w14:paraId="3A082E73" w14:textId="77777777" w:rsidR="00824558" w:rsidRDefault="00824558">
            <w:pPr>
              <w:cnfStyle w:val="000000000000" w:firstRow="0" w:lastRow="0" w:firstColumn="0" w:lastColumn="0" w:oddVBand="0" w:evenVBand="0" w:oddHBand="0" w:evenHBand="0" w:firstRowFirstColumn="0" w:firstRowLastColumn="0" w:lastRowFirstColumn="0" w:lastRowLastColumn="0"/>
            </w:pPr>
            <w:r>
              <w:t>113 000</w:t>
            </w:r>
          </w:p>
        </w:tc>
        <w:tc>
          <w:tcPr>
            <w:tcW w:w="964" w:type="dxa"/>
          </w:tcPr>
          <w:p w14:paraId="66EAB5F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9EA1B16"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E68786" w14:textId="7F2FC554" w:rsidR="00824558" w:rsidRDefault="00824558">
            <w:pPr>
              <w:ind w:left="170"/>
            </w:pPr>
            <w:r>
              <w:rPr>
                <w:i/>
              </w:rPr>
              <w:t>The 2025-26 expected outcome is higher than the 2025-26 target due to the increased demand for Victoria Legal Aid</w:t>
            </w:r>
            <w:r w:rsidR="007942D1">
              <w:rPr>
                <w:i/>
              </w:rPr>
              <w:t>’</w:t>
            </w:r>
            <w:r>
              <w:rPr>
                <w:i/>
              </w:rPr>
              <w:t xml:space="preserve">s (VLA) Independent Family Advocacy and Support (IFAS) service. </w:t>
            </w:r>
          </w:p>
        </w:tc>
      </w:tr>
      <w:tr w:rsidR="00824558" w14:paraId="04250E06"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351DFB20" w14:textId="4ED978A5" w:rsidR="00824558" w:rsidRDefault="00824558">
            <w:pPr>
              <w:keepNext/>
              <w:ind w:left="170"/>
            </w:pPr>
            <w:r>
              <w:t xml:space="preserve">Community legal education and information services </w:t>
            </w:r>
            <w:r w:rsidR="00CD2413">
              <w:br/>
            </w:r>
            <w:r>
              <w:t>(Victoria Legal Aid)</w:t>
            </w:r>
          </w:p>
        </w:tc>
        <w:tc>
          <w:tcPr>
            <w:tcW w:w="964" w:type="dxa"/>
          </w:tcPr>
          <w:p w14:paraId="5A37D63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B20C7EE" w14:textId="77777777" w:rsidR="00824558" w:rsidRDefault="00824558">
            <w:pPr>
              <w:cnfStyle w:val="000000000000" w:firstRow="0" w:lastRow="0" w:firstColumn="0" w:lastColumn="0" w:oddVBand="0" w:evenVBand="0" w:oddHBand="0" w:evenHBand="0" w:firstRowFirstColumn="0" w:firstRowLastColumn="0" w:lastRowFirstColumn="0" w:lastRowLastColumn="0"/>
            </w:pPr>
            <w:r>
              <w:t>130 000</w:t>
            </w:r>
          </w:p>
        </w:tc>
        <w:tc>
          <w:tcPr>
            <w:tcW w:w="964" w:type="dxa"/>
          </w:tcPr>
          <w:p w14:paraId="23A2BCCB" w14:textId="77777777" w:rsidR="00824558" w:rsidRDefault="00824558">
            <w:pPr>
              <w:cnfStyle w:val="000000000000" w:firstRow="0" w:lastRow="0" w:firstColumn="0" w:lastColumn="0" w:oddVBand="0" w:evenVBand="0" w:oddHBand="0" w:evenHBand="0" w:firstRowFirstColumn="0" w:firstRowLastColumn="0" w:lastRowFirstColumn="0" w:lastRowLastColumn="0"/>
            </w:pPr>
            <w:r>
              <w:t>143 600</w:t>
            </w:r>
          </w:p>
        </w:tc>
        <w:tc>
          <w:tcPr>
            <w:tcW w:w="964" w:type="dxa"/>
          </w:tcPr>
          <w:p w14:paraId="35318E97" w14:textId="77777777" w:rsidR="00824558" w:rsidRDefault="00824558">
            <w:pPr>
              <w:cnfStyle w:val="000000000000" w:firstRow="0" w:lastRow="0" w:firstColumn="0" w:lastColumn="0" w:oddVBand="0" w:evenVBand="0" w:oddHBand="0" w:evenHBand="0" w:firstRowFirstColumn="0" w:firstRowLastColumn="0" w:lastRowFirstColumn="0" w:lastRowLastColumn="0"/>
            </w:pPr>
            <w:r>
              <w:t>130 000</w:t>
            </w:r>
          </w:p>
        </w:tc>
        <w:tc>
          <w:tcPr>
            <w:tcW w:w="964" w:type="dxa"/>
          </w:tcPr>
          <w:p w14:paraId="4937FE5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3FDDD67"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97BB6C" w14:textId="5CCA02A8" w:rsidR="00824558" w:rsidRDefault="00824558">
            <w:pPr>
              <w:ind w:left="170"/>
            </w:pPr>
            <w:r>
              <w:rPr>
                <w:i/>
              </w:rPr>
              <w:t>The 2025-26 expected outcome is higher than the 2025-26 target due to continued higher than anticipated demand for VLA</w:t>
            </w:r>
            <w:r w:rsidR="007942D1">
              <w:rPr>
                <w:i/>
              </w:rPr>
              <w:t>’</w:t>
            </w:r>
            <w:r>
              <w:rPr>
                <w:i/>
              </w:rPr>
              <w:t>s Legal Help services.</w:t>
            </w:r>
          </w:p>
        </w:tc>
      </w:tr>
      <w:tr w:rsidR="00824558" w14:paraId="4006EB57"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3D23709D" w14:textId="77777777" w:rsidR="00824558" w:rsidRDefault="00824558">
            <w:pPr>
              <w:keepNext/>
              <w:ind w:left="170"/>
            </w:pPr>
            <w:r>
              <w:t>Duty lawyer services (Victoria Legal Aid)</w:t>
            </w:r>
          </w:p>
        </w:tc>
        <w:tc>
          <w:tcPr>
            <w:tcW w:w="964" w:type="dxa"/>
          </w:tcPr>
          <w:p w14:paraId="13A419B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97B63CA" w14:textId="77777777" w:rsidR="00824558" w:rsidRDefault="00824558">
            <w:pPr>
              <w:cnfStyle w:val="000000000000" w:firstRow="0" w:lastRow="0" w:firstColumn="0" w:lastColumn="0" w:oddVBand="0" w:evenVBand="0" w:oddHBand="0" w:evenHBand="0" w:firstRowFirstColumn="0" w:firstRowLastColumn="0" w:lastRowFirstColumn="0" w:lastRowLastColumn="0"/>
            </w:pPr>
            <w:r>
              <w:t>91 000</w:t>
            </w:r>
          </w:p>
        </w:tc>
        <w:tc>
          <w:tcPr>
            <w:tcW w:w="964" w:type="dxa"/>
          </w:tcPr>
          <w:p w14:paraId="2DAFFBD9" w14:textId="77777777" w:rsidR="00824558" w:rsidRDefault="00824558">
            <w:pPr>
              <w:cnfStyle w:val="000000000000" w:firstRow="0" w:lastRow="0" w:firstColumn="0" w:lastColumn="0" w:oddVBand="0" w:evenVBand="0" w:oddHBand="0" w:evenHBand="0" w:firstRowFirstColumn="0" w:firstRowLastColumn="0" w:lastRowFirstColumn="0" w:lastRowLastColumn="0"/>
            </w:pPr>
            <w:r>
              <w:t>96 500</w:t>
            </w:r>
          </w:p>
        </w:tc>
        <w:tc>
          <w:tcPr>
            <w:tcW w:w="964" w:type="dxa"/>
          </w:tcPr>
          <w:p w14:paraId="535D87E7" w14:textId="77777777" w:rsidR="00824558" w:rsidRDefault="00824558">
            <w:pPr>
              <w:cnfStyle w:val="000000000000" w:firstRow="0" w:lastRow="0" w:firstColumn="0" w:lastColumn="0" w:oddVBand="0" w:evenVBand="0" w:oddHBand="0" w:evenHBand="0" w:firstRowFirstColumn="0" w:firstRowLastColumn="0" w:lastRowFirstColumn="0" w:lastRowLastColumn="0"/>
            </w:pPr>
            <w:r>
              <w:t>91 000</w:t>
            </w:r>
          </w:p>
        </w:tc>
        <w:tc>
          <w:tcPr>
            <w:tcW w:w="964" w:type="dxa"/>
          </w:tcPr>
          <w:p w14:paraId="46337B1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0D464B6"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47F4058" w14:textId="77777777" w:rsidR="00824558" w:rsidRDefault="00824558">
            <w:pPr>
              <w:ind w:left="170"/>
            </w:pPr>
            <w:r w:rsidRPr="004B7ED9">
              <w:rPr>
                <w:i/>
                <w:iCs/>
              </w:rPr>
              <w:t>The 2025-26 expected outcome is higher than the 2025-26 target due to current system demand drivers, including tougher bail laws and Adult Time for Violent Crime.</w:t>
            </w:r>
          </w:p>
        </w:tc>
      </w:tr>
      <w:tr w:rsidR="00824558" w14:paraId="3FAA7ACF"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F284D71" w14:textId="77777777" w:rsidR="00824558" w:rsidRDefault="00824558">
            <w:pPr>
              <w:ind w:left="170"/>
            </w:pPr>
            <w:r>
              <w:t>Grants of legal assistance (Victoria Legal Aid)</w:t>
            </w:r>
          </w:p>
        </w:tc>
        <w:tc>
          <w:tcPr>
            <w:tcW w:w="964" w:type="dxa"/>
            <w:tcBorders>
              <w:bottom w:val="single" w:sz="6" w:space="0" w:color="auto"/>
            </w:tcBorders>
          </w:tcPr>
          <w:p w14:paraId="782FD2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D9DE8F9" w14:textId="77777777" w:rsidR="00824558" w:rsidRDefault="00824558">
            <w:pPr>
              <w:cnfStyle w:val="000000000000" w:firstRow="0" w:lastRow="0" w:firstColumn="0" w:lastColumn="0" w:oddVBand="0" w:evenVBand="0" w:oddHBand="0" w:evenHBand="0" w:firstRowFirstColumn="0" w:firstRowLastColumn="0" w:lastRowFirstColumn="0" w:lastRowLastColumn="0"/>
            </w:pPr>
            <w:r>
              <w:t>42 000</w:t>
            </w:r>
          </w:p>
        </w:tc>
        <w:tc>
          <w:tcPr>
            <w:tcW w:w="964" w:type="dxa"/>
            <w:tcBorders>
              <w:bottom w:val="single" w:sz="6" w:space="0" w:color="auto"/>
            </w:tcBorders>
          </w:tcPr>
          <w:p w14:paraId="0DFF8B53" w14:textId="77777777" w:rsidR="00824558" w:rsidRDefault="00824558">
            <w:pPr>
              <w:cnfStyle w:val="000000000000" w:firstRow="0" w:lastRow="0" w:firstColumn="0" w:lastColumn="0" w:oddVBand="0" w:evenVBand="0" w:oddHBand="0" w:evenHBand="0" w:firstRowFirstColumn="0" w:firstRowLastColumn="0" w:lastRowFirstColumn="0" w:lastRowLastColumn="0"/>
            </w:pPr>
            <w:r>
              <w:t>42 700</w:t>
            </w:r>
          </w:p>
        </w:tc>
        <w:tc>
          <w:tcPr>
            <w:tcW w:w="964" w:type="dxa"/>
            <w:tcBorders>
              <w:bottom w:val="single" w:sz="6" w:space="0" w:color="auto"/>
            </w:tcBorders>
          </w:tcPr>
          <w:p w14:paraId="1F90B417" w14:textId="77777777" w:rsidR="00824558" w:rsidRDefault="00824558">
            <w:pPr>
              <w:cnfStyle w:val="000000000000" w:firstRow="0" w:lastRow="0" w:firstColumn="0" w:lastColumn="0" w:oddVBand="0" w:evenVBand="0" w:oddHBand="0" w:evenHBand="0" w:firstRowFirstColumn="0" w:firstRowLastColumn="0" w:lastRowFirstColumn="0" w:lastRowLastColumn="0"/>
            </w:pPr>
            <w:r>
              <w:t>42 000</w:t>
            </w:r>
          </w:p>
        </w:tc>
        <w:tc>
          <w:tcPr>
            <w:tcW w:w="964" w:type="dxa"/>
            <w:tcBorders>
              <w:bottom w:val="single" w:sz="6" w:space="0" w:color="auto"/>
            </w:tcBorders>
          </w:tcPr>
          <w:p w14:paraId="0D598E08"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A05700F"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A362FFE" w14:textId="6BD7BF79" w:rsidR="00824558" w:rsidRDefault="00824558">
            <w:pPr>
              <w:ind w:left="170"/>
            </w:pPr>
            <w:r>
              <w:t xml:space="preserve">Judicial Officer sitting days requiring prosecutors </w:t>
            </w:r>
            <w:r w:rsidR="00CD2413">
              <w:br/>
            </w:r>
            <w:r>
              <w:t>(Office of Public Prosecutions)</w:t>
            </w:r>
          </w:p>
        </w:tc>
        <w:tc>
          <w:tcPr>
            <w:tcW w:w="964" w:type="dxa"/>
            <w:tcBorders>
              <w:bottom w:val="single" w:sz="6" w:space="0" w:color="auto"/>
            </w:tcBorders>
          </w:tcPr>
          <w:p w14:paraId="5BDBE01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D31A542" w14:textId="21EE27FC" w:rsidR="00824558" w:rsidRDefault="00824558">
            <w:pPr>
              <w:cnfStyle w:val="000000000000" w:firstRow="0" w:lastRow="0" w:firstColumn="0" w:lastColumn="0" w:oddVBand="0" w:evenVBand="0" w:oddHBand="0" w:evenHBand="0" w:firstRowFirstColumn="0" w:firstRowLastColumn="0" w:lastRowFirstColumn="0" w:lastRowLastColumn="0"/>
            </w:pPr>
            <w:r>
              <w:t>13 500</w:t>
            </w:r>
            <w:r w:rsidR="007942D1">
              <w:t xml:space="preserve"> – </w:t>
            </w:r>
            <w:r>
              <w:t>15 500</w:t>
            </w:r>
          </w:p>
        </w:tc>
        <w:tc>
          <w:tcPr>
            <w:tcW w:w="964" w:type="dxa"/>
            <w:tcBorders>
              <w:bottom w:val="single" w:sz="6" w:space="0" w:color="auto"/>
            </w:tcBorders>
          </w:tcPr>
          <w:p w14:paraId="149D9DF6" w14:textId="77777777" w:rsidR="00824558" w:rsidRDefault="00824558">
            <w:pPr>
              <w:cnfStyle w:val="000000000000" w:firstRow="0" w:lastRow="0" w:firstColumn="0" w:lastColumn="0" w:oddVBand="0" w:evenVBand="0" w:oddHBand="0" w:evenHBand="0" w:firstRowFirstColumn="0" w:firstRowLastColumn="0" w:lastRowFirstColumn="0" w:lastRowLastColumn="0"/>
            </w:pPr>
            <w:r>
              <w:t>13 800</w:t>
            </w:r>
          </w:p>
        </w:tc>
        <w:tc>
          <w:tcPr>
            <w:tcW w:w="964" w:type="dxa"/>
            <w:tcBorders>
              <w:bottom w:val="single" w:sz="6" w:space="0" w:color="auto"/>
            </w:tcBorders>
          </w:tcPr>
          <w:p w14:paraId="7DC196B1" w14:textId="0AFCA489" w:rsidR="00824558" w:rsidRDefault="00824558">
            <w:pPr>
              <w:cnfStyle w:val="000000000000" w:firstRow="0" w:lastRow="0" w:firstColumn="0" w:lastColumn="0" w:oddVBand="0" w:evenVBand="0" w:oddHBand="0" w:evenHBand="0" w:firstRowFirstColumn="0" w:firstRowLastColumn="0" w:lastRowFirstColumn="0" w:lastRowLastColumn="0"/>
            </w:pPr>
            <w:r>
              <w:t>13 500</w:t>
            </w:r>
            <w:r w:rsidR="007942D1">
              <w:t xml:space="preserve"> – </w:t>
            </w:r>
            <w:r>
              <w:t>15 500</w:t>
            </w:r>
          </w:p>
        </w:tc>
        <w:tc>
          <w:tcPr>
            <w:tcW w:w="964" w:type="dxa"/>
            <w:tcBorders>
              <w:bottom w:val="single" w:sz="6" w:space="0" w:color="auto"/>
            </w:tcBorders>
          </w:tcPr>
          <w:p w14:paraId="06BF0A93" w14:textId="77777777" w:rsidR="00824558" w:rsidRDefault="00824558">
            <w:pPr>
              <w:cnfStyle w:val="000000000000" w:firstRow="0" w:lastRow="0" w:firstColumn="0" w:lastColumn="0" w:oddVBand="0" w:evenVBand="0" w:oddHBand="0" w:evenHBand="0" w:firstRowFirstColumn="0" w:firstRowLastColumn="0" w:lastRowFirstColumn="0" w:lastRowLastColumn="0"/>
            </w:pPr>
            <w:r>
              <w:t>13 706</w:t>
            </w:r>
          </w:p>
        </w:tc>
      </w:tr>
      <w:tr w:rsidR="00824558" w14:paraId="1A33B1B6"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6DA8D44D" w14:textId="77777777" w:rsidR="00824558" w:rsidRDefault="00824558">
            <w:pPr>
              <w:keepNext/>
              <w:ind w:left="170"/>
            </w:pPr>
            <w:r>
              <w:t>Legal advice and minor assistance (Victoria Legal Aid)</w:t>
            </w:r>
          </w:p>
        </w:tc>
        <w:tc>
          <w:tcPr>
            <w:tcW w:w="964" w:type="dxa"/>
          </w:tcPr>
          <w:p w14:paraId="00E57A8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E9B07F9" w14:textId="77777777" w:rsidR="00824558" w:rsidRDefault="00824558">
            <w:pPr>
              <w:cnfStyle w:val="000000000000" w:firstRow="0" w:lastRow="0" w:firstColumn="0" w:lastColumn="0" w:oddVBand="0" w:evenVBand="0" w:oddHBand="0" w:evenHBand="0" w:firstRowFirstColumn="0" w:firstRowLastColumn="0" w:lastRowFirstColumn="0" w:lastRowLastColumn="0"/>
            </w:pPr>
            <w:r>
              <w:t>35 000</w:t>
            </w:r>
          </w:p>
        </w:tc>
        <w:tc>
          <w:tcPr>
            <w:tcW w:w="964" w:type="dxa"/>
          </w:tcPr>
          <w:p w14:paraId="1C8DE7BA" w14:textId="77777777" w:rsidR="00824558" w:rsidRDefault="00824558">
            <w:pPr>
              <w:cnfStyle w:val="000000000000" w:firstRow="0" w:lastRow="0" w:firstColumn="0" w:lastColumn="0" w:oddVBand="0" w:evenVBand="0" w:oddHBand="0" w:evenHBand="0" w:firstRowFirstColumn="0" w:firstRowLastColumn="0" w:lastRowFirstColumn="0" w:lastRowLastColumn="0"/>
            </w:pPr>
            <w:r>
              <w:t>42 700</w:t>
            </w:r>
          </w:p>
        </w:tc>
        <w:tc>
          <w:tcPr>
            <w:tcW w:w="964" w:type="dxa"/>
          </w:tcPr>
          <w:p w14:paraId="0AFF8ACA" w14:textId="77777777" w:rsidR="00824558" w:rsidRDefault="00824558">
            <w:pPr>
              <w:cnfStyle w:val="000000000000" w:firstRow="0" w:lastRow="0" w:firstColumn="0" w:lastColumn="0" w:oddVBand="0" w:evenVBand="0" w:oddHBand="0" w:evenHBand="0" w:firstRowFirstColumn="0" w:firstRowLastColumn="0" w:lastRowFirstColumn="0" w:lastRowLastColumn="0"/>
            </w:pPr>
            <w:r>
              <w:t>35 000</w:t>
            </w:r>
          </w:p>
        </w:tc>
        <w:tc>
          <w:tcPr>
            <w:tcW w:w="964" w:type="dxa"/>
          </w:tcPr>
          <w:p w14:paraId="087C0E0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34F00F3A"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C35544E" w14:textId="77777777" w:rsidR="00824558" w:rsidRDefault="00824558">
            <w:pPr>
              <w:ind w:left="170"/>
            </w:pPr>
            <w:r w:rsidRPr="0057078D">
              <w:rPr>
                <w:i/>
                <w:iCs/>
              </w:rPr>
              <w:t>The 2025-26 expected outcome is higher than the 2025-26 target due to continued high demand for legal advice.</w:t>
            </w:r>
            <w:r>
              <w:rPr>
                <w:i/>
              </w:rPr>
              <w:t xml:space="preserve"> </w:t>
            </w:r>
          </w:p>
        </w:tc>
      </w:tr>
      <w:tr w:rsidR="00824558" w14:paraId="32FD8664"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884E435" w14:textId="1E0BC949" w:rsidR="00824558" w:rsidRDefault="00824558">
            <w:pPr>
              <w:ind w:left="170"/>
            </w:pPr>
            <w:r>
              <w:t xml:space="preserve">Number of briefs prepared and hearings attended </w:t>
            </w:r>
            <w:r w:rsidR="00CD2413">
              <w:br/>
            </w:r>
            <w:r>
              <w:t>(Office of Public Prosecutions)</w:t>
            </w:r>
          </w:p>
        </w:tc>
        <w:tc>
          <w:tcPr>
            <w:tcW w:w="964" w:type="dxa"/>
            <w:tcBorders>
              <w:bottom w:val="single" w:sz="6" w:space="0" w:color="auto"/>
            </w:tcBorders>
          </w:tcPr>
          <w:p w14:paraId="1D33B1A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3340D64" w14:textId="0149CDE6" w:rsidR="00824558" w:rsidRDefault="00824558">
            <w:pPr>
              <w:cnfStyle w:val="000000000000" w:firstRow="0" w:lastRow="0" w:firstColumn="0" w:lastColumn="0" w:oddVBand="0" w:evenVBand="0" w:oddHBand="0" w:evenHBand="0" w:firstRowFirstColumn="0" w:firstRowLastColumn="0" w:lastRowFirstColumn="0" w:lastRowLastColumn="0"/>
            </w:pPr>
            <w:r>
              <w:t xml:space="preserve">87 000 </w:t>
            </w:r>
            <w:r w:rsidR="002B7115">
              <w:t>–</w:t>
            </w:r>
            <w:r>
              <w:t>93 000</w:t>
            </w:r>
          </w:p>
        </w:tc>
        <w:tc>
          <w:tcPr>
            <w:tcW w:w="964" w:type="dxa"/>
            <w:tcBorders>
              <w:bottom w:val="single" w:sz="6" w:space="0" w:color="auto"/>
            </w:tcBorders>
          </w:tcPr>
          <w:p w14:paraId="5EF2A379" w14:textId="77777777" w:rsidR="00824558" w:rsidRDefault="00824558">
            <w:pPr>
              <w:cnfStyle w:val="000000000000" w:firstRow="0" w:lastRow="0" w:firstColumn="0" w:lastColumn="0" w:oddVBand="0" w:evenVBand="0" w:oddHBand="0" w:evenHBand="0" w:firstRowFirstColumn="0" w:firstRowLastColumn="0" w:lastRowFirstColumn="0" w:lastRowLastColumn="0"/>
            </w:pPr>
            <w:r>
              <w:t>90 000</w:t>
            </w:r>
          </w:p>
        </w:tc>
        <w:tc>
          <w:tcPr>
            <w:tcW w:w="964" w:type="dxa"/>
            <w:tcBorders>
              <w:bottom w:val="single" w:sz="6" w:space="0" w:color="auto"/>
            </w:tcBorders>
          </w:tcPr>
          <w:p w14:paraId="1D763340" w14:textId="6EEEAC4A" w:rsidR="00824558" w:rsidRDefault="00824558">
            <w:pPr>
              <w:cnfStyle w:val="000000000000" w:firstRow="0" w:lastRow="0" w:firstColumn="0" w:lastColumn="0" w:oddVBand="0" w:evenVBand="0" w:oddHBand="0" w:evenHBand="0" w:firstRowFirstColumn="0" w:firstRowLastColumn="0" w:lastRowFirstColumn="0" w:lastRowLastColumn="0"/>
            </w:pPr>
            <w:r>
              <w:t xml:space="preserve">87 000 </w:t>
            </w:r>
            <w:r w:rsidR="002B7115">
              <w:t>–</w:t>
            </w:r>
            <w:r>
              <w:t>93 000</w:t>
            </w:r>
          </w:p>
        </w:tc>
        <w:tc>
          <w:tcPr>
            <w:tcW w:w="964" w:type="dxa"/>
            <w:tcBorders>
              <w:bottom w:val="single" w:sz="6" w:space="0" w:color="auto"/>
            </w:tcBorders>
          </w:tcPr>
          <w:p w14:paraId="5A98CD01" w14:textId="77777777" w:rsidR="00824558" w:rsidRDefault="00824558">
            <w:pPr>
              <w:cnfStyle w:val="000000000000" w:firstRow="0" w:lastRow="0" w:firstColumn="0" w:lastColumn="0" w:oddVBand="0" w:evenVBand="0" w:oddHBand="0" w:evenHBand="0" w:firstRowFirstColumn="0" w:firstRowLastColumn="0" w:lastRowFirstColumn="0" w:lastRowLastColumn="0"/>
            </w:pPr>
            <w:r>
              <w:t>89 390</w:t>
            </w:r>
          </w:p>
        </w:tc>
      </w:tr>
      <w:tr w:rsidR="00824558" w14:paraId="383256E6"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3197ACD" w14:textId="302DE5DB" w:rsidR="00824558" w:rsidRDefault="00824558">
            <w:pPr>
              <w:ind w:left="170"/>
            </w:pPr>
            <w:r>
              <w:t xml:space="preserve">Number of victim and witness consultations </w:t>
            </w:r>
            <w:r w:rsidR="00CD2413">
              <w:br/>
            </w:r>
            <w:r>
              <w:t>(Office of Public Prosecutions)</w:t>
            </w:r>
          </w:p>
        </w:tc>
        <w:tc>
          <w:tcPr>
            <w:tcW w:w="964" w:type="dxa"/>
            <w:tcBorders>
              <w:bottom w:val="single" w:sz="6" w:space="0" w:color="auto"/>
            </w:tcBorders>
          </w:tcPr>
          <w:p w14:paraId="4388E77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6245D4D" w14:textId="0FEACF95" w:rsidR="00824558" w:rsidRDefault="00824558">
            <w:pPr>
              <w:cnfStyle w:val="000000000000" w:firstRow="0" w:lastRow="0" w:firstColumn="0" w:lastColumn="0" w:oddVBand="0" w:evenVBand="0" w:oddHBand="0" w:evenHBand="0" w:firstRowFirstColumn="0" w:firstRowLastColumn="0" w:lastRowFirstColumn="0" w:lastRowLastColumn="0"/>
            </w:pPr>
            <w:r>
              <w:t>42 000</w:t>
            </w:r>
            <w:r w:rsidR="002B7115">
              <w:t xml:space="preserve"> –</w:t>
            </w:r>
            <w:r>
              <w:t>46 000</w:t>
            </w:r>
          </w:p>
        </w:tc>
        <w:tc>
          <w:tcPr>
            <w:tcW w:w="964" w:type="dxa"/>
            <w:tcBorders>
              <w:bottom w:val="single" w:sz="6" w:space="0" w:color="auto"/>
            </w:tcBorders>
          </w:tcPr>
          <w:p w14:paraId="6C1C3F18" w14:textId="77777777" w:rsidR="00824558" w:rsidRDefault="00824558">
            <w:pPr>
              <w:cnfStyle w:val="000000000000" w:firstRow="0" w:lastRow="0" w:firstColumn="0" w:lastColumn="0" w:oddVBand="0" w:evenVBand="0" w:oddHBand="0" w:evenHBand="0" w:firstRowFirstColumn="0" w:firstRowLastColumn="0" w:lastRowFirstColumn="0" w:lastRowLastColumn="0"/>
            </w:pPr>
            <w:r>
              <w:t>44 000</w:t>
            </w:r>
          </w:p>
        </w:tc>
        <w:tc>
          <w:tcPr>
            <w:tcW w:w="964" w:type="dxa"/>
            <w:tcBorders>
              <w:bottom w:val="single" w:sz="6" w:space="0" w:color="auto"/>
            </w:tcBorders>
          </w:tcPr>
          <w:p w14:paraId="12AD59C2" w14:textId="2915AF35" w:rsidR="00824558" w:rsidRDefault="00824558">
            <w:pPr>
              <w:cnfStyle w:val="000000000000" w:firstRow="0" w:lastRow="0" w:firstColumn="0" w:lastColumn="0" w:oddVBand="0" w:evenVBand="0" w:oddHBand="0" w:evenHBand="0" w:firstRowFirstColumn="0" w:firstRowLastColumn="0" w:lastRowFirstColumn="0" w:lastRowLastColumn="0"/>
            </w:pPr>
            <w:r>
              <w:t xml:space="preserve">42 000 </w:t>
            </w:r>
            <w:r w:rsidR="002B7115">
              <w:t>–</w:t>
            </w:r>
            <w:r>
              <w:t>46 000</w:t>
            </w:r>
          </w:p>
        </w:tc>
        <w:tc>
          <w:tcPr>
            <w:tcW w:w="964" w:type="dxa"/>
            <w:tcBorders>
              <w:bottom w:val="single" w:sz="6" w:space="0" w:color="auto"/>
            </w:tcBorders>
          </w:tcPr>
          <w:p w14:paraId="1F591975" w14:textId="77777777" w:rsidR="00824558" w:rsidRDefault="00824558">
            <w:pPr>
              <w:cnfStyle w:val="000000000000" w:firstRow="0" w:lastRow="0" w:firstColumn="0" w:lastColumn="0" w:oddVBand="0" w:evenVBand="0" w:oddHBand="0" w:evenHBand="0" w:firstRowFirstColumn="0" w:firstRowLastColumn="0" w:lastRowFirstColumn="0" w:lastRowLastColumn="0"/>
            </w:pPr>
            <w:r>
              <w:t>44 240</w:t>
            </w:r>
          </w:p>
        </w:tc>
      </w:tr>
      <w:tr w:rsidR="00824558" w14:paraId="5AB6B3F0"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7E3C94A3" w14:textId="77777777" w:rsidR="00824558" w:rsidRDefault="00824558">
            <w:pPr>
              <w:keepNext/>
              <w:ind w:left="170"/>
            </w:pPr>
            <w:r>
              <w:lastRenderedPageBreak/>
              <w:t>Proportion of Victoria Legal Aid services provided where family violence is involved</w:t>
            </w:r>
          </w:p>
        </w:tc>
        <w:tc>
          <w:tcPr>
            <w:tcW w:w="964" w:type="dxa"/>
          </w:tcPr>
          <w:p w14:paraId="751F1E4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5DAA885"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c>
          <w:tcPr>
            <w:tcW w:w="964" w:type="dxa"/>
          </w:tcPr>
          <w:p w14:paraId="707FDED7" w14:textId="77777777" w:rsidR="00824558" w:rsidRDefault="00824558">
            <w:pPr>
              <w:cnfStyle w:val="000000000000" w:firstRow="0" w:lastRow="0" w:firstColumn="0" w:lastColumn="0" w:oddVBand="0" w:evenVBand="0" w:oddHBand="0" w:evenHBand="0" w:firstRowFirstColumn="0" w:firstRowLastColumn="0" w:lastRowFirstColumn="0" w:lastRowLastColumn="0"/>
            </w:pPr>
            <w:r>
              <w:t>33</w:t>
            </w:r>
          </w:p>
        </w:tc>
        <w:tc>
          <w:tcPr>
            <w:tcW w:w="964" w:type="dxa"/>
          </w:tcPr>
          <w:p w14:paraId="7494C6DA"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c>
          <w:tcPr>
            <w:tcW w:w="964" w:type="dxa"/>
          </w:tcPr>
          <w:p w14:paraId="0A9D970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6E74DFE"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E21EF55" w14:textId="77777777" w:rsidR="00824558" w:rsidRDefault="00824558">
            <w:pPr>
              <w:ind w:left="170"/>
            </w:pPr>
            <w:r>
              <w:rPr>
                <w:i/>
              </w:rPr>
              <w:t>The 2025-26 expected outcome is higher than the 2025-26 target due to sustained higher than expected demand for services, including grants of aid and legal advice for family violence matters, as well as support for clients affected by family violence.</w:t>
            </w:r>
          </w:p>
        </w:tc>
      </w:tr>
      <w:tr w:rsidR="00824558" w:rsidRPr="000B4528" w14:paraId="11165ACD"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Pr>
          <w:p w14:paraId="52A7F95E" w14:textId="77777777" w:rsidR="00824558" w:rsidRPr="000B4528" w:rsidRDefault="00824558">
            <w:pPr>
              <w:keepNext/>
              <w:rPr>
                <w:b/>
                <w:bCs/>
                <w:iCs/>
              </w:rPr>
            </w:pPr>
            <w:r w:rsidRPr="000B4528">
              <w:rPr>
                <w:b/>
                <w:bCs/>
                <w:iCs/>
              </w:rPr>
              <w:t>Quality</w:t>
            </w:r>
          </w:p>
        </w:tc>
      </w:tr>
      <w:tr w:rsidR="00824558" w14:paraId="508F23EA"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1A6212C" w14:textId="77777777" w:rsidR="00824558" w:rsidRDefault="00824558">
            <w:pPr>
              <w:ind w:left="170"/>
            </w:pPr>
            <w:r>
              <w:t>Client satisfaction with services provided by Victoria Legal Aid</w:t>
            </w:r>
          </w:p>
        </w:tc>
        <w:tc>
          <w:tcPr>
            <w:tcW w:w="964" w:type="dxa"/>
            <w:tcBorders>
              <w:bottom w:val="single" w:sz="6" w:space="0" w:color="auto"/>
            </w:tcBorders>
          </w:tcPr>
          <w:p w14:paraId="7D535F6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27F40F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6EC221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BE3B3F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97B76F3" w14:textId="77777777" w:rsidR="00824558" w:rsidRDefault="00824558">
            <w:pPr>
              <w:cnfStyle w:val="000000000000" w:firstRow="0" w:lastRow="0" w:firstColumn="0" w:lastColumn="0" w:oddVBand="0" w:evenVBand="0" w:oddHBand="0" w:evenHBand="0" w:firstRowFirstColumn="0" w:firstRowLastColumn="0" w:lastRowFirstColumn="0" w:lastRowLastColumn="0"/>
            </w:pPr>
            <w:r>
              <w:t>68</w:t>
            </w:r>
          </w:p>
        </w:tc>
      </w:tr>
      <w:tr w:rsidR="00824558" w14:paraId="07AD7206"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E61A778" w14:textId="77777777" w:rsidR="00824558" w:rsidRDefault="00824558">
            <w:pPr>
              <w:ind w:left="170"/>
            </w:pPr>
            <w:r>
              <w:t>Guilty outcomes (guilty pleas and trial convictions) as a percentage of case completions (Office of Public Prosecutions)</w:t>
            </w:r>
          </w:p>
        </w:tc>
        <w:tc>
          <w:tcPr>
            <w:tcW w:w="964" w:type="dxa"/>
            <w:tcBorders>
              <w:bottom w:val="single" w:sz="6" w:space="0" w:color="auto"/>
            </w:tcBorders>
          </w:tcPr>
          <w:p w14:paraId="236269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181DB0E"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3DBD6C0C"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26E6D889"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010DC0E3" w14:textId="77777777" w:rsidR="00824558" w:rsidRDefault="00824558">
            <w:pPr>
              <w:cnfStyle w:val="000000000000" w:firstRow="0" w:lastRow="0" w:firstColumn="0" w:lastColumn="0" w:oddVBand="0" w:evenVBand="0" w:oddHBand="0" w:evenHBand="0" w:firstRowFirstColumn="0" w:firstRowLastColumn="0" w:lastRowFirstColumn="0" w:lastRowLastColumn="0"/>
            </w:pPr>
            <w:r>
              <w:t>91.2</w:t>
            </w:r>
          </w:p>
        </w:tc>
      </w:tr>
      <w:tr w:rsidR="00824558" w:rsidRPr="000B4528" w14:paraId="18A9043D"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Pr>
          <w:p w14:paraId="23FC1471" w14:textId="77777777" w:rsidR="00824558" w:rsidRPr="000B4528" w:rsidRDefault="00824558">
            <w:pPr>
              <w:keepNext/>
              <w:rPr>
                <w:b/>
                <w:bCs/>
                <w:iCs/>
              </w:rPr>
            </w:pPr>
            <w:r w:rsidRPr="000B4528">
              <w:rPr>
                <w:b/>
                <w:bCs/>
                <w:iCs/>
              </w:rPr>
              <w:t>Timeliness</w:t>
            </w:r>
          </w:p>
        </w:tc>
      </w:tr>
      <w:tr w:rsidR="00824558" w14:paraId="24DC3B98"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7145770" w14:textId="77777777" w:rsidR="00824558" w:rsidRDefault="00824558">
            <w:pPr>
              <w:ind w:left="170"/>
            </w:pPr>
            <w:r>
              <w:t>Average minutes of wait time to Legal Help (Victoria Legal Aid)</w:t>
            </w:r>
          </w:p>
        </w:tc>
        <w:tc>
          <w:tcPr>
            <w:tcW w:w="964" w:type="dxa"/>
            <w:tcBorders>
              <w:bottom w:val="single" w:sz="6" w:space="0" w:color="auto"/>
            </w:tcBorders>
          </w:tcPr>
          <w:p w14:paraId="526B398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68A6CA1" w14:textId="422D3AFC" w:rsidR="00824558" w:rsidRDefault="00824558">
            <w:pPr>
              <w:cnfStyle w:val="000000000000" w:firstRow="0" w:lastRow="0" w:firstColumn="0" w:lastColumn="0" w:oddVBand="0" w:evenVBand="0" w:oddHBand="0" w:evenHBand="0" w:firstRowFirstColumn="0" w:firstRowLastColumn="0" w:lastRowFirstColumn="0" w:lastRowLastColumn="0"/>
            </w:pPr>
            <w:r>
              <w:t>&lt;</w:t>
            </w:r>
            <w:r w:rsidR="00F211C0">
              <w:t xml:space="preserve"> </w:t>
            </w:r>
            <w:r>
              <w:t>15</w:t>
            </w:r>
          </w:p>
        </w:tc>
        <w:tc>
          <w:tcPr>
            <w:tcW w:w="964" w:type="dxa"/>
            <w:tcBorders>
              <w:bottom w:val="single" w:sz="6" w:space="0" w:color="auto"/>
            </w:tcBorders>
          </w:tcPr>
          <w:p w14:paraId="377665C2" w14:textId="77777777" w:rsidR="00824558" w:rsidRDefault="00824558">
            <w:pPr>
              <w:cnfStyle w:val="000000000000" w:firstRow="0" w:lastRow="0" w:firstColumn="0" w:lastColumn="0" w:oddVBand="0" w:evenVBand="0" w:oddHBand="0" w:evenHBand="0" w:firstRowFirstColumn="0" w:firstRowLastColumn="0" w:lastRowFirstColumn="0" w:lastRowLastColumn="0"/>
            </w:pPr>
            <w:r>
              <w:t>13.9</w:t>
            </w:r>
          </w:p>
        </w:tc>
        <w:tc>
          <w:tcPr>
            <w:tcW w:w="964" w:type="dxa"/>
            <w:tcBorders>
              <w:bottom w:val="single" w:sz="6" w:space="0" w:color="auto"/>
            </w:tcBorders>
          </w:tcPr>
          <w:p w14:paraId="542A9453" w14:textId="5C3CA844" w:rsidR="00824558" w:rsidRDefault="00824558">
            <w:pPr>
              <w:cnfStyle w:val="000000000000" w:firstRow="0" w:lastRow="0" w:firstColumn="0" w:lastColumn="0" w:oddVBand="0" w:evenVBand="0" w:oddHBand="0" w:evenHBand="0" w:firstRowFirstColumn="0" w:firstRowLastColumn="0" w:lastRowFirstColumn="0" w:lastRowLastColumn="0"/>
            </w:pPr>
            <w:r>
              <w:t>&lt;</w:t>
            </w:r>
            <w:r w:rsidR="00F211C0">
              <w:t xml:space="preserve"> </w:t>
            </w:r>
            <w:r>
              <w:t>15</w:t>
            </w:r>
          </w:p>
        </w:tc>
        <w:tc>
          <w:tcPr>
            <w:tcW w:w="964" w:type="dxa"/>
            <w:tcBorders>
              <w:bottom w:val="single" w:sz="6" w:space="0" w:color="auto"/>
            </w:tcBorders>
          </w:tcPr>
          <w:p w14:paraId="00890D9F" w14:textId="77777777" w:rsidR="00824558" w:rsidRDefault="00824558">
            <w:pPr>
              <w:cnfStyle w:val="000000000000" w:firstRow="0" w:lastRow="0" w:firstColumn="0" w:lastColumn="0" w:oddVBand="0" w:evenVBand="0" w:oddHBand="0" w:evenHBand="0" w:firstRowFirstColumn="0" w:firstRowLastColumn="0" w:lastRowFirstColumn="0" w:lastRowLastColumn="0"/>
            </w:pPr>
            <w:r>
              <w:t>15.1</w:t>
            </w:r>
          </w:p>
        </w:tc>
      </w:tr>
      <w:tr w:rsidR="00824558" w14:paraId="35335A37" w14:textId="77777777" w:rsidTr="003E60DA">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FE6FDDA" w14:textId="77777777" w:rsidR="00824558" w:rsidRDefault="00824558">
            <w:pPr>
              <w:ind w:left="170"/>
            </w:pPr>
            <w:r>
              <w:t>Proportion of trials listed which did not proceed to adjournment on application of the Crown (Office of Public Prosecutions)</w:t>
            </w:r>
          </w:p>
        </w:tc>
        <w:tc>
          <w:tcPr>
            <w:tcW w:w="964" w:type="dxa"/>
            <w:tcBorders>
              <w:bottom w:val="single" w:sz="6" w:space="0" w:color="auto"/>
            </w:tcBorders>
          </w:tcPr>
          <w:p w14:paraId="4BA56C0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42EF45F"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861A0CD"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1462AC78"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287F42D3" w14:textId="77777777" w:rsidR="00824558" w:rsidRDefault="00824558">
            <w:pPr>
              <w:cnfStyle w:val="000000000000" w:firstRow="0" w:lastRow="0" w:firstColumn="0" w:lastColumn="0" w:oddVBand="0" w:evenVBand="0" w:oddHBand="0" w:evenHBand="0" w:firstRowFirstColumn="0" w:firstRowLastColumn="0" w:lastRowFirstColumn="0" w:lastRowLastColumn="0"/>
            </w:pPr>
            <w:r>
              <w:t>98.1</w:t>
            </w:r>
          </w:p>
        </w:tc>
      </w:tr>
      <w:tr w:rsidR="00824558" w:rsidRPr="000B4528" w14:paraId="67A4733A" w14:textId="77777777" w:rsidTr="003E60DA">
        <w:tc>
          <w:tcPr>
            <w:cnfStyle w:val="001000000000" w:firstRow="0" w:lastRow="0" w:firstColumn="1" w:lastColumn="0" w:oddVBand="0" w:evenVBand="0" w:oddHBand="0" w:evenHBand="0" w:firstRowFirstColumn="0" w:firstRowLastColumn="0" w:lastRowFirstColumn="0" w:lastRowLastColumn="0"/>
            <w:tcW w:w="9639" w:type="dxa"/>
            <w:gridSpan w:val="6"/>
          </w:tcPr>
          <w:p w14:paraId="0E18C75A" w14:textId="77777777" w:rsidR="00824558" w:rsidRPr="000B4528" w:rsidRDefault="00824558">
            <w:pPr>
              <w:keepNext/>
              <w:rPr>
                <w:b/>
                <w:bCs/>
                <w:iCs/>
              </w:rPr>
            </w:pPr>
            <w:r w:rsidRPr="000B4528">
              <w:rPr>
                <w:b/>
                <w:bCs/>
                <w:iCs/>
              </w:rPr>
              <w:t>Cost</w:t>
            </w:r>
          </w:p>
        </w:tc>
      </w:tr>
      <w:tr w:rsidR="003E60DA" w14:paraId="29F3422B" w14:textId="77777777" w:rsidTr="003E60DA">
        <w:tc>
          <w:tcPr>
            <w:cnfStyle w:val="001000000000" w:firstRow="0" w:lastRow="0" w:firstColumn="1" w:lastColumn="0" w:oddVBand="0" w:evenVBand="0" w:oddHBand="0" w:evenHBand="0" w:firstRowFirstColumn="0" w:firstRowLastColumn="0" w:lastRowFirstColumn="0" w:lastRowLastColumn="0"/>
            <w:tcW w:w="4819" w:type="dxa"/>
          </w:tcPr>
          <w:p w14:paraId="2AE5665E" w14:textId="77777777" w:rsidR="003E60DA" w:rsidRDefault="003E60DA" w:rsidP="003E60DA">
            <w:pPr>
              <w:ind w:left="170"/>
            </w:pPr>
            <w:r>
              <w:t>Total output cost</w:t>
            </w:r>
          </w:p>
        </w:tc>
        <w:tc>
          <w:tcPr>
            <w:tcW w:w="964" w:type="dxa"/>
          </w:tcPr>
          <w:p w14:paraId="3D94E603" w14:textId="77777777" w:rsidR="003E60DA" w:rsidRDefault="003E60DA" w:rsidP="003E60DA">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448CDF8" w14:textId="4F3D156A" w:rsidR="003E60DA" w:rsidRPr="00F211C0" w:rsidRDefault="003E60DA" w:rsidP="003E60DA">
            <w:pPr>
              <w:cnfStyle w:val="000000000000" w:firstRow="0" w:lastRow="0" w:firstColumn="0" w:lastColumn="0" w:oddVBand="0" w:evenVBand="0" w:oddHBand="0" w:evenHBand="0" w:firstRowFirstColumn="0" w:firstRowLastColumn="0" w:lastRowFirstColumn="0" w:lastRowLastColumn="0"/>
              <w:rPr>
                <w:highlight w:val="yellow"/>
              </w:rPr>
            </w:pPr>
            <w:r w:rsidRPr="00EB2D32">
              <w:t>444.5</w:t>
            </w:r>
          </w:p>
        </w:tc>
        <w:tc>
          <w:tcPr>
            <w:tcW w:w="964" w:type="dxa"/>
          </w:tcPr>
          <w:p w14:paraId="48126482" w14:textId="31B83EB7" w:rsidR="003E60DA" w:rsidRPr="00F211C0" w:rsidRDefault="003E60DA" w:rsidP="003E60DA">
            <w:pPr>
              <w:cnfStyle w:val="000000000000" w:firstRow="0" w:lastRow="0" w:firstColumn="0" w:lastColumn="0" w:oddVBand="0" w:evenVBand="0" w:oddHBand="0" w:evenHBand="0" w:firstRowFirstColumn="0" w:firstRowLastColumn="0" w:lastRowFirstColumn="0" w:lastRowLastColumn="0"/>
              <w:rPr>
                <w:highlight w:val="yellow"/>
              </w:rPr>
            </w:pPr>
            <w:r w:rsidRPr="00EB2D32">
              <w:t>434.0</w:t>
            </w:r>
          </w:p>
        </w:tc>
        <w:tc>
          <w:tcPr>
            <w:tcW w:w="964" w:type="dxa"/>
          </w:tcPr>
          <w:p w14:paraId="04A698A9" w14:textId="40F560D8" w:rsidR="003E60DA" w:rsidRPr="00F211C0" w:rsidRDefault="003E60DA" w:rsidP="003E60DA">
            <w:pPr>
              <w:cnfStyle w:val="000000000000" w:firstRow="0" w:lastRow="0" w:firstColumn="0" w:lastColumn="0" w:oddVBand="0" w:evenVBand="0" w:oddHBand="0" w:evenHBand="0" w:firstRowFirstColumn="0" w:firstRowLastColumn="0" w:lastRowFirstColumn="0" w:lastRowLastColumn="0"/>
              <w:rPr>
                <w:highlight w:val="yellow"/>
              </w:rPr>
            </w:pPr>
            <w:r w:rsidRPr="00EB2D32">
              <w:t>363.9</w:t>
            </w:r>
          </w:p>
        </w:tc>
        <w:tc>
          <w:tcPr>
            <w:tcW w:w="964" w:type="dxa"/>
          </w:tcPr>
          <w:p w14:paraId="063B3F2D" w14:textId="7B750850" w:rsidR="003E60DA" w:rsidRPr="00F211C0" w:rsidRDefault="003E60DA" w:rsidP="003E60DA">
            <w:pPr>
              <w:cnfStyle w:val="000000000000" w:firstRow="0" w:lastRow="0" w:firstColumn="0" w:lastColumn="0" w:oddVBand="0" w:evenVBand="0" w:oddHBand="0" w:evenHBand="0" w:firstRowFirstColumn="0" w:firstRowLastColumn="0" w:lastRowFirstColumn="0" w:lastRowLastColumn="0"/>
              <w:rPr>
                <w:highlight w:val="yellow"/>
              </w:rPr>
            </w:pPr>
            <w:r w:rsidRPr="00EB2D32">
              <w:t>406.8</w:t>
            </w:r>
          </w:p>
        </w:tc>
      </w:tr>
      <w:tr w:rsidR="008D3BDC" w14:paraId="78C342B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C31ACE9" w14:textId="5B4E678D" w:rsidR="008D3BDC" w:rsidRPr="008F622C" w:rsidRDefault="008F622C" w:rsidP="008F622C">
            <w:pPr>
              <w:ind w:left="170"/>
              <w:rPr>
                <w:i/>
              </w:rPr>
            </w:pPr>
            <w:r w:rsidRPr="0070611D">
              <w:rPr>
                <w:i/>
              </w:rPr>
              <w:t>The 2025-26 expected outcome and 2026-27 target are higher than the 2025-26 target due to the additional Commonwealth legal assistance funding under the National Access to Justice Partnership 2025-2028, and additional State funding following recent justice system changes, including tougher bail laws and Adult Time for Violent Crime, and the Victorian Legal Aid Enterprise Agreement.</w:t>
            </w:r>
          </w:p>
        </w:tc>
      </w:tr>
      <w:tr w:rsidR="003E60DA" w14:paraId="2A9A615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123EF27" w14:textId="6DB65BF0" w:rsidR="003E60DA" w:rsidRPr="00EB2D32" w:rsidRDefault="008D3BDC" w:rsidP="008F622C">
            <w:pPr>
              <w:ind w:left="170"/>
            </w:pPr>
            <w:r w:rsidRPr="002C18D2">
              <w:rPr>
                <w:i/>
              </w:rPr>
              <w:t xml:space="preserve">In addition, the 2026-27 target </w:t>
            </w:r>
            <w:r w:rsidRPr="002C18D2" w:rsidDel="00D77CB7">
              <w:rPr>
                <w:i/>
              </w:rPr>
              <w:t>increases</w:t>
            </w:r>
            <w:r w:rsidRPr="002C18D2">
              <w:rPr>
                <w:i/>
              </w:rPr>
              <w:t xml:space="preserve"> due to funding in the </w:t>
            </w:r>
            <w:r w:rsidRPr="00DC0C69">
              <w:t>2026-27 Budget</w:t>
            </w:r>
            <w:r w:rsidRPr="002C18D2">
              <w:rPr>
                <w:i/>
              </w:rPr>
              <w:t>, including for the Enhancing legal assistance for Victorians initiative.</w:t>
            </w:r>
          </w:p>
        </w:tc>
      </w:tr>
    </w:tbl>
    <w:p w14:paraId="743E3486" w14:textId="77777777" w:rsidR="00824558" w:rsidRDefault="00824558">
      <w:pPr>
        <w:pStyle w:val="Source"/>
      </w:pPr>
      <w:r>
        <w:t>Source: Department of Justice and Community Safety</w:t>
      </w:r>
    </w:p>
    <w:p w14:paraId="1171EEC5" w14:textId="13541B9B" w:rsidR="00824558" w:rsidRDefault="00824558">
      <w:pPr>
        <w:pStyle w:val="Heading3"/>
      </w:pPr>
      <w:r>
        <w:t>Forensic Justice Services</w:t>
      </w:r>
      <w:r>
        <w:tab/>
        <w:t xml:space="preserve">(2026-27: </w:t>
      </w:r>
      <w:r w:rsidRPr="00C56E48">
        <w:t>$</w:t>
      </w:r>
      <w:r w:rsidR="00C56E48" w:rsidRPr="00C56E48">
        <w:t>70</w:t>
      </w:r>
      <w:r w:rsidR="00C56E48">
        <w:t>.4</w:t>
      </w:r>
      <w:r>
        <w:t xml:space="preserve"> million)</w:t>
      </w:r>
    </w:p>
    <w:p w14:paraId="5AE1B93B" w14:textId="77777777" w:rsidR="00824558" w:rsidRPr="00D4716F" w:rsidRDefault="00824558">
      <w:pPr>
        <w:keepNext/>
        <w:spacing w:after="120"/>
      </w:pPr>
      <w:r w:rsidRPr="005558DF">
        <w:t>This output delivers forensic medical services and medico legal advice provided</w:t>
      </w:r>
      <w:r w:rsidRPr="00D31CB7">
        <w:t xml:space="preserve"> through the Victorian Institute of Forensic Medicine (VIFM)</w:t>
      </w:r>
      <w:r>
        <w:t xml:space="preserve">. </w:t>
      </w:r>
      <w:r w:rsidRPr="00EA6825">
        <w:t>The output reports on forensic pathology services to investigate deaths reported to the Coroner as well as clinical medical services, including the examination and testing of both victims of crime and alleged perpetrators.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A9235E5" w14:textId="77777777" w:rsidTr="009E61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08BF915" w14:textId="77777777" w:rsidR="00824558" w:rsidRDefault="00824558">
            <w:r>
              <w:t>Performance measure</w:t>
            </w:r>
          </w:p>
        </w:tc>
        <w:tc>
          <w:tcPr>
            <w:tcW w:w="964" w:type="dxa"/>
          </w:tcPr>
          <w:p w14:paraId="34DF5CA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7F1DA6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4540DD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7A4A18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1D6053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3EEAB7D9" w14:textId="77777777" w:rsidTr="009E61E6">
        <w:tc>
          <w:tcPr>
            <w:cnfStyle w:val="001000000000" w:firstRow="0" w:lastRow="0" w:firstColumn="1" w:lastColumn="0" w:oddVBand="0" w:evenVBand="0" w:oddHBand="0" w:evenHBand="0" w:firstRowFirstColumn="0" w:firstRowLastColumn="0" w:lastRowFirstColumn="0" w:lastRowLastColumn="0"/>
            <w:tcW w:w="9639" w:type="dxa"/>
            <w:gridSpan w:val="6"/>
          </w:tcPr>
          <w:p w14:paraId="262A46CC" w14:textId="77777777" w:rsidR="00824558" w:rsidRPr="000B4528" w:rsidRDefault="00824558">
            <w:pPr>
              <w:keepNext/>
              <w:rPr>
                <w:b/>
                <w:bCs/>
                <w:iCs/>
              </w:rPr>
            </w:pPr>
            <w:r w:rsidRPr="000B4528">
              <w:rPr>
                <w:b/>
                <w:bCs/>
                <w:iCs/>
              </w:rPr>
              <w:t>Quantity</w:t>
            </w:r>
          </w:p>
        </w:tc>
      </w:tr>
      <w:tr w:rsidR="00824558" w14:paraId="1B7CCE3F"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9BCFD1" w14:textId="77777777" w:rsidR="00824558" w:rsidRDefault="00824558">
            <w:pPr>
              <w:ind w:left="170"/>
            </w:pPr>
            <w:r>
              <w:t>Clinical forensic medical services by the Victorian Institute of Forensic Medicine</w:t>
            </w:r>
          </w:p>
        </w:tc>
        <w:tc>
          <w:tcPr>
            <w:tcW w:w="964" w:type="dxa"/>
            <w:tcBorders>
              <w:bottom w:val="single" w:sz="6" w:space="0" w:color="auto"/>
            </w:tcBorders>
          </w:tcPr>
          <w:p w14:paraId="6D806E1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30D9C5C" w14:textId="77E89D84" w:rsidR="00824558" w:rsidRDefault="00824558">
            <w:pPr>
              <w:cnfStyle w:val="000000000000" w:firstRow="0" w:lastRow="0" w:firstColumn="0" w:lastColumn="0" w:oddVBand="0" w:evenVBand="0" w:oddHBand="0" w:evenHBand="0" w:firstRowFirstColumn="0" w:firstRowLastColumn="0" w:lastRowFirstColumn="0" w:lastRowLastColumn="0"/>
            </w:pPr>
            <w:r>
              <w:t xml:space="preserve">2 600 </w:t>
            </w:r>
            <w:r w:rsidR="002B7115">
              <w:t>–</w:t>
            </w:r>
            <w:r>
              <w:t>3 000</w:t>
            </w:r>
          </w:p>
        </w:tc>
        <w:tc>
          <w:tcPr>
            <w:tcW w:w="964" w:type="dxa"/>
            <w:tcBorders>
              <w:bottom w:val="single" w:sz="6" w:space="0" w:color="auto"/>
            </w:tcBorders>
          </w:tcPr>
          <w:p w14:paraId="6C34746C" w14:textId="77777777" w:rsidR="00824558" w:rsidRDefault="00824558">
            <w:pPr>
              <w:cnfStyle w:val="000000000000" w:firstRow="0" w:lastRow="0" w:firstColumn="0" w:lastColumn="0" w:oddVBand="0" w:evenVBand="0" w:oddHBand="0" w:evenHBand="0" w:firstRowFirstColumn="0" w:firstRowLastColumn="0" w:lastRowFirstColumn="0" w:lastRowLastColumn="0"/>
            </w:pPr>
            <w:r>
              <w:t>2 700</w:t>
            </w:r>
          </w:p>
        </w:tc>
        <w:tc>
          <w:tcPr>
            <w:tcW w:w="964" w:type="dxa"/>
            <w:tcBorders>
              <w:bottom w:val="single" w:sz="6" w:space="0" w:color="auto"/>
            </w:tcBorders>
          </w:tcPr>
          <w:p w14:paraId="33634EF1" w14:textId="1A1BA405" w:rsidR="00824558" w:rsidRDefault="00824558">
            <w:pPr>
              <w:cnfStyle w:val="000000000000" w:firstRow="0" w:lastRow="0" w:firstColumn="0" w:lastColumn="0" w:oddVBand="0" w:evenVBand="0" w:oddHBand="0" w:evenHBand="0" w:firstRowFirstColumn="0" w:firstRowLastColumn="0" w:lastRowFirstColumn="0" w:lastRowLastColumn="0"/>
            </w:pPr>
            <w:r>
              <w:t>2 600</w:t>
            </w:r>
            <w:r w:rsidR="002B7115">
              <w:t xml:space="preserve"> –</w:t>
            </w:r>
            <w:r>
              <w:t>3 000</w:t>
            </w:r>
          </w:p>
        </w:tc>
        <w:tc>
          <w:tcPr>
            <w:tcW w:w="964" w:type="dxa"/>
            <w:tcBorders>
              <w:bottom w:val="single" w:sz="6" w:space="0" w:color="auto"/>
            </w:tcBorders>
          </w:tcPr>
          <w:p w14:paraId="03D84933" w14:textId="77777777" w:rsidR="00824558" w:rsidRDefault="00824558">
            <w:pPr>
              <w:cnfStyle w:val="000000000000" w:firstRow="0" w:lastRow="0" w:firstColumn="0" w:lastColumn="0" w:oddVBand="0" w:evenVBand="0" w:oddHBand="0" w:evenHBand="0" w:firstRowFirstColumn="0" w:firstRowLastColumn="0" w:lastRowFirstColumn="0" w:lastRowLastColumn="0"/>
            </w:pPr>
            <w:r>
              <w:t>2 742</w:t>
            </w:r>
          </w:p>
        </w:tc>
      </w:tr>
      <w:tr w:rsidR="00824558" w14:paraId="09D46B83"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E00FA84" w14:textId="77777777" w:rsidR="00824558" w:rsidRDefault="00824558">
            <w:pPr>
              <w:ind w:left="170"/>
            </w:pPr>
            <w:r>
              <w:t>Enquiries resolved by the Coronial Admissions and Enquiries Office of non-reportable deaths</w:t>
            </w:r>
          </w:p>
        </w:tc>
        <w:tc>
          <w:tcPr>
            <w:tcW w:w="964" w:type="dxa"/>
            <w:tcBorders>
              <w:bottom w:val="single" w:sz="6" w:space="0" w:color="auto"/>
            </w:tcBorders>
          </w:tcPr>
          <w:p w14:paraId="2697533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65F9CAD" w14:textId="345B5CD2" w:rsidR="00824558" w:rsidRDefault="00824558">
            <w:pPr>
              <w:cnfStyle w:val="000000000000" w:firstRow="0" w:lastRow="0" w:firstColumn="0" w:lastColumn="0" w:oddVBand="0" w:evenVBand="0" w:oddHBand="0" w:evenHBand="0" w:firstRowFirstColumn="0" w:firstRowLastColumn="0" w:lastRowFirstColumn="0" w:lastRowLastColumn="0"/>
            </w:pPr>
            <w:r>
              <w:t xml:space="preserve">5 000 </w:t>
            </w:r>
            <w:r w:rsidR="002B7115">
              <w:t>–</w:t>
            </w:r>
            <w:r>
              <w:t>5 500</w:t>
            </w:r>
          </w:p>
        </w:tc>
        <w:tc>
          <w:tcPr>
            <w:tcW w:w="964" w:type="dxa"/>
            <w:tcBorders>
              <w:bottom w:val="single" w:sz="6" w:space="0" w:color="auto"/>
            </w:tcBorders>
          </w:tcPr>
          <w:p w14:paraId="6D0A67D2" w14:textId="77777777" w:rsidR="00824558" w:rsidRDefault="00824558">
            <w:pPr>
              <w:cnfStyle w:val="000000000000" w:firstRow="0" w:lastRow="0" w:firstColumn="0" w:lastColumn="0" w:oddVBand="0" w:evenVBand="0" w:oddHBand="0" w:evenHBand="0" w:firstRowFirstColumn="0" w:firstRowLastColumn="0" w:lastRowFirstColumn="0" w:lastRowLastColumn="0"/>
            </w:pPr>
            <w:r>
              <w:t>5 200</w:t>
            </w:r>
          </w:p>
        </w:tc>
        <w:tc>
          <w:tcPr>
            <w:tcW w:w="964" w:type="dxa"/>
            <w:tcBorders>
              <w:bottom w:val="single" w:sz="6" w:space="0" w:color="auto"/>
            </w:tcBorders>
          </w:tcPr>
          <w:p w14:paraId="433DCE5D" w14:textId="3FF375B0" w:rsidR="00824558" w:rsidRDefault="00824558">
            <w:pPr>
              <w:cnfStyle w:val="000000000000" w:firstRow="0" w:lastRow="0" w:firstColumn="0" w:lastColumn="0" w:oddVBand="0" w:evenVBand="0" w:oddHBand="0" w:evenHBand="0" w:firstRowFirstColumn="0" w:firstRowLastColumn="0" w:lastRowFirstColumn="0" w:lastRowLastColumn="0"/>
            </w:pPr>
            <w:r>
              <w:t xml:space="preserve">5 000 </w:t>
            </w:r>
            <w:r w:rsidR="002B7115">
              <w:t>–</w:t>
            </w:r>
            <w:r>
              <w:t>5 500</w:t>
            </w:r>
          </w:p>
        </w:tc>
        <w:tc>
          <w:tcPr>
            <w:tcW w:w="964" w:type="dxa"/>
            <w:tcBorders>
              <w:bottom w:val="single" w:sz="6" w:space="0" w:color="auto"/>
            </w:tcBorders>
          </w:tcPr>
          <w:p w14:paraId="35228EFE" w14:textId="77777777" w:rsidR="00824558" w:rsidRDefault="00824558">
            <w:pPr>
              <w:cnfStyle w:val="000000000000" w:firstRow="0" w:lastRow="0" w:firstColumn="0" w:lastColumn="0" w:oddVBand="0" w:evenVBand="0" w:oddHBand="0" w:evenHBand="0" w:firstRowFirstColumn="0" w:firstRowLastColumn="0" w:lastRowFirstColumn="0" w:lastRowLastColumn="0"/>
            </w:pPr>
            <w:r>
              <w:t>4 869</w:t>
            </w:r>
          </w:p>
        </w:tc>
      </w:tr>
      <w:tr w:rsidR="00824558" w14:paraId="4D90E0EE"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4" w:space="0" w:color="auto"/>
            </w:tcBorders>
          </w:tcPr>
          <w:p w14:paraId="6B724988" w14:textId="77777777" w:rsidR="00824558" w:rsidRDefault="00824558">
            <w:pPr>
              <w:keepNext/>
              <w:ind w:left="170"/>
            </w:pPr>
            <w:r>
              <w:t>Medico legal death investigations (Victorian Institute of Forensic Medicine)</w:t>
            </w:r>
          </w:p>
          <w:p w14:paraId="352D2DC6" w14:textId="49CFFF91" w:rsidR="00824558" w:rsidRDefault="007004D9">
            <w:pPr>
              <w:keepNext/>
              <w:ind w:left="170"/>
            </w:pPr>
            <w:r>
              <w:t xml:space="preserve">The </w:t>
            </w:r>
            <w:r w:rsidR="00575906">
              <w:t>2025-26 expected outcome is higher than the 2025-26 target due to a higher number of deaths reported to the Coroner than previously anticipated</w:t>
            </w:r>
          </w:p>
        </w:tc>
        <w:tc>
          <w:tcPr>
            <w:tcW w:w="964" w:type="dxa"/>
            <w:tcBorders>
              <w:top w:val="single" w:sz="6" w:space="0" w:color="auto"/>
              <w:bottom w:val="single" w:sz="4" w:space="0" w:color="auto"/>
            </w:tcBorders>
          </w:tcPr>
          <w:p w14:paraId="2141CCB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4" w:space="0" w:color="auto"/>
            </w:tcBorders>
            <w:shd w:val="clear" w:color="auto" w:fill="F0F0F0"/>
          </w:tcPr>
          <w:p w14:paraId="74573C67" w14:textId="591A7377" w:rsidR="00824558" w:rsidRDefault="00824558">
            <w:pPr>
              <w:cnfStyle w:val="000000000000" w:firstRow="0" w:lastRow="0" w:firstColumn="0" w:lastColumn="0" w:oddVBand="0" w:evenVBand="0" w:oddHBand="0" w:evenHBand="0" w:firstRowFirstColumn="0" w:firstRowLastColumn="0" w:lastRowFirstColumn="0" w:lastRowLastColumn="0"/>
            </w:pPr>
            <w:r>
              <w:t xml:space="preserve">6 450 </w:t>
            </w:r>
            <w:r w:rsidR="002B7115">
              <w:t xml:space="preserve">– </w:t>
            </w:r>
            <w:r>
              <w:t>6</w:t>
            </w:r>
            <w:r w:rsidR="002B7115">
              <w:t> </w:t>
            </w:r>
            <w:r>
              <w:t>950</w:t>
            </w:r>
          </w:p>
        </w:tc>
        <w:tc>
          <w:tcPr>
            <w:tcW w:w="964" w:type="dxa"/>
            <w:tcBorders>
              <w:top w:val="single" w:sz="6" w:space="0" w:color="auto"/>
              <w:bottom w:val="single" w:sz="4" w:space="0" w:color="auto"/>
            </w:tcBorders>
          </w:tcPr>
          <w:p w14:paraId="51B536E6" w14:textId="77777777" w:rsidR="00824558" w:rsidRDefault="00824558">
            <w:pPr>
              <w:cnfStyle w:val="000000000000" w:firstRow="0" w:lastRow="0" w:firstColumn="0" w:lastColumn="0" w:oddVBand="0" w:evenVBand="0" w:oddHBand="0" w:evenHBand="0" w:firstRowFirstColumn="0" w:firstRowLastColumn="0" w:lastRowFirstColumn="0" w:lastRowLastColumn="0"/>
            </w:pPr>
            <w:r>
              <w:t>7 800</w:t>
            </w:r>
          </w:p>
        </w:tc>
        <w:tc>
          <w:tcPr>
            <w:tcW w:w="964" w:type="dxa"/>
            <w:tcBorders>
              <w:top w:val="single" w:sz="6" w:space="0" w:color="auto"/>
              <w:bottom w:val="single" w:sz="4" w:space="0" w:color="auto"/>
            </w:tcBorders>
          </w:tcPr>
          <w:p w14:paraId="3007FC95" w14:textId="500AC8F2" w:rsidR="00824558" w:rsidRDefault="00824558">
            <w:pPr>
              <w:cnfStyle w:val="000000000000" w:firstRow="0" w:lastRow="0" w:firstColumn="0" w:lastColumn="0" w:oddVBand="0" w:evenVBand="0" w:oddHBand="0" w:evenHBand="0" w:firstRowFirstColumn="0" w:firstRowLastColumn="0" w:lastRowFirstColumn="0" w:lastRowLastColumn="0"/>
            </w:pPr>
            <w:r>
              <w:t xml:space="preserve">6 450 </w:t>
            </w:r>
            <w:r w:rsidR="002B7115">
              <w:t>–</w:t>
            </w:r>
            <w:r>
              <w:t>6 950</w:t>
            </w:r>
          </w:p>
        </w:tc>
        <w:tc>
          <w:tcPr>
            <w:tcW w:w="964" w:type="dxa"/>
            <w:tcBorders>
              <w:top w:val="single" w:sz="6" w:space="0" w:color="auto"/>
              <w:bottom w:val="single" w:sz="4" w:space="0" w:color="auto"/>
            </w:tcBorders>
          </w:tcPr>
          <w:p w14:paraId="3D71B09A" w14:textId="77777777" w:rsidR="00824558" w:rsidRDefault="00824558">
            <w:pPr>
              <w:cnfStyle w:val="000000000000" w:firstRow="0" w:lastRow="0" w:firstColumn="0" w:lastColumn="0" w:oddVBand="0" w:evenVBand="0" w:oddHBand="0" w:evenHBand="0" w:firstRowFirstColumn="0" w:firstRowLastColumn="0" w:lastRowFirstColumn="0" w:lastRowLastColumn="0"/>
            </w:pPr>
            <w:r>
              <w:t>7 324</w:t>
            </w:r>
          </w:p>
        </w:tc>
      </w:tr>
      <w:tr w:rsidR="00824558" w14:paraId="5155C4AA"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bottom w:val="single" w:sz="6" w:space="0" w:color="auto"/>
            </w:tcBorders>
          </w:tcPr>
          <w:p w14:paraId="4A11F442" w14:textId="77777777" w:rsidR="00824558" w:rsidRDefault="00824558">
            <w:pPr>
              <w:ind w:left="170"/>
            </w:pPr>
            <w:r>
              <w:t>Peer reviewed research articles published</w:t>
            </w:r>
          </w:p>
        </w:tc>
        <w:tc>
          <w:tcPr>
            <w:tcW w:w="964" w:type="dxa"/>
            <w:tcBorders>
              <w:top w:val="single" w:sz="4" w:space="0" w:color="auto"/>
              <w:bottom w:val="single" w:sz="6" w:space="0" w:color="auto"/>
            </w:tcBorders>
          </w:tcPr>
          <w:p w14:paraId="2DD4741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4" w:space="0" w:color="auto"/>
              <w:bottom w:val="single" w:sz="6" w:space="0" w:color="auto"/>
            </w:tcBorders>
            <w:shd w:val="clear" w:color="auto" w:fill="F0F0F0"/>
          </w:tcPr>
          <w:p w14:paraId="4A76C10B"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4" w:space="0" w:color="auto"/>
              <w:bottom w:val="single" w:sz="6" w:space="0" w:color="auto"/>
            </w:tcBorders>
          </w:tcPr>
          <w:p w14:paraId="48D8944B"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4" w:space="0" w:color="auto"/>
              <w:bottom w:val="single" w:sz="6" w:space="0" w:color="auto"/>
            </w:tcBorders>
          </w:tcPr>
          <w:p w14:paraId="37BDDE2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top w:val="single" w:sz="4" w:space="0" w:color="auto"/>
              <w:bottom w:val="single" w:sz="6" w:space="0" w:color="auto"/>
            </w:tcBorders>
          </w:tcPr>
          <w:p w14:paraId="0A00875E"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r>
      <w:tr w:rsidR="00824558" w14:paraId="5B1CD18F"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2668B57" w14:textId="77777777" w:rsidR="00824558" w:rsidRDefault="00824558">
            <w:pPr>
              <w:ind w:left="170"/>
            </w:pPr>
            <w:r>
              <w:t>Provision of expert forensic medical and scientific evidence in court (Victorian Institute of Forensic Medicine)</w:t>
            </w:r>
          </w:p>
        </w:tc>
        <w:tc>
          <w:tcPr>
            <w:tcW w:w="964" w:type="dxa"/>
            <w:tcBorders>
              <w:bottom w:val="single" w:sz="6" w:space="0" w:color="auto"/>
            </w:tcBorders>
          </w:tcPr>
          <w:p w14:paraId="12FC83C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C58A788" w14:textId="65EB5A9A" w:rsidR="00824558" w:rsidRDefault="00824558">
            <w:pPr>
              <w:cnfStyle w:val="000000000000" w:firstRow="0" w:lastRow="0" w:firstColumn="0" w:lastColumn="0" w:oddVBand="0" w:evenVBand="0" w:oddHBand="0" w:evenHBand="0" w:firstRowFirstColumn="0" w:firstRowLastColumn="0" w:lastRowFirstColumn="0" w:lastRowLastColumn="0"/>
            </w:pPr>
            <w:r>
              <w:t>200</w:t>
            </w:r>
            <w:r w:rsidR="007942D1">
              <w:t xml:space="preserve"> – </w:t>
            </w:r>
            <w:r>
              <w:t>250</w:t>
            </w:r>
          </w:p>
        </w:tc>
        <w:tc>
          <w:tcPr>
            <w:tcW w:w="964" w:type="dxa"/>
            <w:tcBorders>
              <w:bottom w:val="single" w:sz="6" w:space="0" w:color="auto"/>
            </w:tcBorders>
          </w:tcPr>
          <w:p w14:paraId="702013B9" w14:textId="77777777" w:rsidR="00824558" w:rsidRDefault="00824558">
            <w:pPr>
              <w:cnfStyle w:val="000000000000" w:firstRow="0" w:lastRow="0" w:firstColumn="0" w:lastColumn="0" w:oddVBand="0" w:evenVBand="0" w:oddHBand="0" w:evenHBand="0" w:firstRowFirstColumn="0" w:firstRowLastColumn="0" w:lastRowFirstColumn="0" w:lastRowLastColumn="0"/>
            </w:pPr>
            <w:r>
              <w:t>225</w:t>
            </w:r>
          </w:p>
        </w:tc>
        <w:tc>
          <w:tcPr>
            <w:tcW w:w="964" w:type="dxa"/>
            <w:tcBorders>
              <w:bottom w:val="single" w:sz="6" w:space="0" w:color="auto"/>
            </w:tcBorders>
          </w:tcPr>
          <w:p w14:paraId="19A1A236" w14:textId="3AA747EC" w:rsidR="00824558" w:rsidRDefault="00824558">
            <w:pPr>
              <w:cnfStyle w:val="000000000000" w:firstRow="0" w:lastRow="0" w:firstColumn="0" w:lastColumn="0" w:oddVBand="0" w:evenVBand="0" w:oddHBand="0" w:evenHBand="0" w:firstRowFirstColumn="0" w:firstRowLastColumn="0" w:lastRowFirstColumn="0" w:lastRowLastColumn="0"/>
            </w:pPr>
            <w:r>
              <w:t>200</w:t>
            </w:r>
            <w:r w:rsidR="007942D1">
              <w:t xml:space="preserve"> – </w:t>
            </w:r>
            <w:r>
              <w:t>250</w:t>
            </w:r>
          </w:p>
        </w:tc>
        <w:tc>
          <w:tcPr>
            <w:tcW w:w="964" w:type="dxa"/>
            <w:tcBorders>
              <w:bottom w:val="single" w:sz="6" w:space="0" w:color="auto"/>
            </w:tcBorders>
          </w:tcPr>
          <w:p w14:paraId="68D8AAC9" w14:textId="77777777" w:rsidR="00824558" w:rsidRDefault="00824558">
            <w:pPr>
              <w:cnfStyle w:val="000000000000" w:firstRow="0" w:lastRow="0" w:firstColumn="0" w:lastColumn="0" w:oddVBand="0" w:evenVBand="0" w:oddHBand="0" w:evenHBand="0" w:firstRowFirstColumn="0" w:firstRowLastColumn="0" w:lastRowFirstColumn="0" w:lastRowLastColumn="0"/>
            </w:pPr>
            <w:r>
              <w:t>186</w:t>
            </w:r>
          </w:p>
        </w:tc>
      </w:tr>
      <w:tr w:rsidR="00824558" w:rsidRPr="000B4528" w14:paraId="50D3047A" w14:textId="77777777" w:rsidTr="009E61E6">
        <w:tc>
          <w:tcPr>
            <w:cnfStyle w:val="001000000000" w:firstRow="0" w:lastRow="0" w:firstColumn="1" w:lastColumn="0" w:oddVBand="0" w:evenVBand="0" w:oddHBand="0" w:evenHBand="0" w:firstRowFirstColumn="0" w:firstRowLastColumn="0" w:lastRowFirstColumn="0" w:lastRowLastColumn="0"/>
            <w:tcW w:w="9639" w:type="dxa"/>
            <w:gridSpan w:val="6"/>
          </w:tcPr>
          <w:p w14:paraId="7BA05468" w14:textId="77777777" w:rsidR="00824558" w:rsidRPr="000B4528" w:rsidRDefault="00824558">
            <w:pPr>
              <w:keepNext/>
              <w:rPr>
                <w:b/>
                <w:bCs/>
                <w:iCs/>
              </w:rPr>
            </w:pPr>
            <w:r w:rsidRPr="000B4528">
              <w:rPr>
                <w:b/>
                <w:bCs/>
                <w:iCs/>
              </w:rPr>
              <w:t>Quality</w:t>
            </w:r>
          </w:p>
        </w:tc>
      </w:tr>
      <w:tr w:rsidR="00824558" w14:paraId="53B61604"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A5FAF56" w14:textId="77777777" w:rsidR="00824558" w:rsidRDefault="00824558">
            <w:pPr>
              <w:ind w:left="170"/>
            </w:pPr>
            <w:r>
              <w:t>Audited medico legal death investigation reports with no significant diagnostic errors (Victorian Institute of Forensic Medicine)</w:t>
            </w:r>
          </w:p>
        </w:tc>
        <w:tc>
          <w:tcPr>
            <w:tcW w:w="964" w:type="dxa"/>
            <w:tcBorders>
              <w:bottom w:val="single" w:sz="6" w:space="0" w:color="auto"/>
            </w:tcBorders>
          </w:tcPr>
          <w:p w14:paraId="53D6491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EBFB354"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7B4F7687"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2831127"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6935E599" w14:textId="77777777" w:rsidR="00824558" w:rsidRDefault="00824558">
            <w:pPr>
              <w:cnfStyle w:val="000000000000" w:firstRow="0" w:lastRow="0" w:firstColumn="0" w:lastColumn="0" w:oddVBand="0" w:evenVBand="0" w:oddHBand="0" w:evenHBand="0" w:firstRowFirstColumn="0" w:firstRowLastColumn="0" w:lastRowFirstColumn="0" w:lastRowLastColumn="0"/>
            </w:pPr>
            <w:r>
              <w:t>98.4</w:t>
            </w:r>
          </w:p>
        </w:tc>
      </w:tr>
      <w:tr w:rsidR="00824558" w:rsidRPr="000B4528" w14:paraId="0355B87D" w14:textId="77777777" w:rsidTr="009E61E6">
        <w:tc>
          <w:tcPr>
            <w:cnfStyle w:val="001000000000" w:firstRow="0" w:lastRow="0" w:firstColumn="1" w:lastColumn="0" w:oddVBand="0" w:evenVBand="0" w:oddHBand="0" w:evenHBand="0" w:firstRowFirstColumn="0" w:firstRowLastColumn="0" w:lastRowFirstColumn="0" w:lastRowLastColumn="0"/>
            <w:tcW w:w="9639" w:type="dxa"/>
            <w:gridSpan w:val="6"/>
          </w:tcPr>
          <w:p w14:paraId="0B7785D3" w14:textId="77777777" w:rsidR="00824558" w:rsidRPr="000B4528" w:rsidRDefault="00824558">
            <w:pPr>
              <w:keepNext/>
              <w:rPr>
                <w:b/>
                <w:bCs/>
                <w:iCs/>
              </w:rPr>
            </w:pPr>
            <w:r w:rsidRPr="000B4528">
              <w:rPr>
                <w:b/>
                <w:bCs/>
                <w:iCs/>
              </w:rPr>
              <w:t>Timeliness</w:t>
            </w:r>
          </w:p>
        </w:tc>
      </w:tr>
      <w:tr w:rsidR="00824558" w14:paraId="77414132" w14:textId="77777777" w:rsidTr="009E61E6">
        <w:tc>
          <w:tcPr>
            <w:cnfStyle w:val="001000000000" w:firstRow="0" w:lastRow="0" w:firstColumn="1" w:lastColumn="0" w:oddVBand="0" w:evenVBand="0" w:oddHBand="0" w:evenHBand="0" w:firstRowFirstColumn="0" w:firstRowLastColumn="0" w:lastRowFirstColumn="0" w:lastRowLastColumn="0"/>
            <w:tcW w:w="4819" w:type="dxa"/>
          </w:tcPr>
          <w:p w14:paraId="0A9335CE" w14:textId="77777777" w:rsidR="00824558" w:rsidRDefault="00824558">
            <w:pPr>
              <w:keepNext/>
              <w:ind w:left="170"/>
            </w:pPr>
            <w:r>
              <w:t>Medical and scientific investigations on the body of the deceased completed within two days (Victorian Institute of Forensic Medicine)</w:t>
            </w:r>
          </w:p>
        </w:tc>
        <w:tc>
          <w:tcPr>
            <w:tcW w:w="964" w:type="dxa"/>
          </w:tcPr>
          <w:p w14:paraId="4C83E19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A737D08" w14:textId="2ACBE4FB" w:rsidR="00824558" w:rsidRDefault="00824558">
            <w:pPr>
              <w:cnfStyle w:val="000000000000" w:firstRow="0" w:lastRow="0" w:firstColumn="0" w:lastColumn="0" w:oddVBand="0" w:evenVBand="0" w:oddHBand="0" w:evenHBand="0" w:firstRowFirstColumn="0" w:firstRowLastColumn="0" w:lastRowFirstColumn="0" w:lastRowLastColumn="0"/>
            </w:pPr>
            <w:r>
              <w:t>75</w:t>
            </w:r>
            <w:r w:rsidR="007942D1">
              <w:t xml:space="preserve"> – </w:t>
            </w:r>
            <w:r>
              <w:t>85</w:t>
            </w:r>
          </w:p>
        </w:tc>
        <w:tc>
          <w:tcPr>
            <w:tcW w:w="964" w:type="dxa"/>
          </w:tcPr>
          <w:p w14:paraId="3B9087C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2B6B2E4" w14:textId="33524693" w:rsidR="00824558" w:rsidRDefault="00824558">
            <w:pPr>
              <w:cnfStyle w:val="000000000000" w:firstRow="0" w:lastRow="0" w:firstColumn="0" w:lastColumn="0" w:oddVBand="0" w:evenVBand="0" w:oddHBand="0" w:evenHBand="0" w:firstRowFirstColumn="0" w:firstRowLastColumn="0" w:lastRowFirstColumn="0" w:lastRowLastColumn="0"/>
            </w:pPr>
            <w:r>
              <w:t>75</w:t>
            </w:r>
            <w:r w:rsidR="007942D1">
              <w:t xml:space="preserve"> – </w:t>
            </w:r>
            <w:r>
              <w:t>85</w:t>
            </w:r>
          </w:p>
        </w:tc>
        <w:tc>
          <w:tcPr>
            <w:tcW w:w="964" w:type="dxa"/>
          </w:tcPr>
          <w:p w14:paraId="25F9B27E" w14:textId="77777777" w:rsidR="00824558" w:rsidRDefault="00824558">
            <w:pPr>
              <w:cnfStyle w:val="000000000000" w:firstRow="0" w:lastRow="0" w:firstColumn="0" w:lastColumn="0" w:oddVBand="0" w:evenVBand="0" w:oddHBand="0" w:evenHBand="0" w:firstRowFirstColumn="0" w:firstRowLastColumn="0" w:lastRowFirstColumn="0" w:lastRowLastColumn="0"/>
            </w:pPr>
            <w:r>
              <w:t>76</w:t>
            </w:r>
          </w:p>
        </w:tc>
      </w:tr>
      <w:tr w:rsidR="00824558" w14:paraId="47A83748" w14:textId="77777777" w:rsidTr="009E61E6">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6F0890" w14:textId="77777777" w:rsidR="00824558" w:rsidRDefault="00824558">
            <w:pPr>
              <w:ind w:left="170"/>
            </w:pPr>
            <w:r>
              <w:rPr>
                <w:i/>
              </w:rPr>
              <w:t>The 2025-26 expected outcome is lower than the 2025-26 target due to the higher number of medico-legal death investigations required following an increase in reports to the Coroner, impacting the timeliness of service delivery.</w:t>
            </w:r>
          </w:p>
        </w:tc>
      </w:tr>
      <w:tr w:rsidR="00824558" w14:paraId="329AFB4A"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B5D9D20" w14:textId="77777777" w:rsidR="00824558" w:rsidRDefault="00824558">
            <w:pPr>
              <w:ind w:left="170"/>
            </w:pPr>
            <w:r>
              <w:t>Medico-legal death investigation reports issued within agreed period (Victorian Institute of Forensic Medicine)</w:t>
            </w:r>
          </w:p>
        </w:tc>
        <w:tc>
          <w:tcPr>
            <w:tcW w:w="964" w:type="dxa"/>
            <w:tcBorders>
              <w:bottom w:val="single" w:sz="6" w:space="0" w:color="auto"/>
            </w:tcBorders>
          </w:tcPr>
          <w:p w14:paraId="716191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7194ED2" w14:textId="654CA7C4" w:rsidR="00824558" w:rsidRDefault="00824558">
            <w:pPr>
              <w:cnfStyle w:val="000000000000" w:firstRow="0" w:lastRow="0" w:firstColumn="0" w:lastColumn="0" w:oddVBand="0" w:evenVBand="0" w:oddHBand="0" w:evenHBand="0" w:firstRowFirstColumn="0" w:firstRowLastColumn="0" w:lastRowFirstColumn="0" w:lastRowLastColumn="0"/>
            </w:pPr>
            <w:r>
              <w:t>65</w:t>
            </w:r>
            <w:r w:rsidR="007942D1">
              <w:t xml:space="preserve"> – </w:t>
            </w:r>
            <w:r>
              <w:t>75</w:t>
            </w:r>
          </w:p>
        </w:tc>
        <w:tc>
          <w:tcPr>
            <w:tcW w:w="964" w:type="dxa"/>
            <w:tcBorders>
              <w:bottom w:val="single" w:sz="6" w:space="0" w:color="auto"/>
            </w:tcBorders>
          </w:tcPr>
          <w:p w14:paraId="30F1B983"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4466ADA8" w14:textId="799FB148" w:rsidR="00824558" w:rsidRDefault="00824558">
            <w:pPr>
              <w:cnfStyle w:val="000000000000" w:firstRow="0" w:lastRow="0" w:firstColumn="0" w:lastColumn="0" w:oddVBand="0" w:evenVBand="0" w:oddHBand="0" w:evenHBand="0" w:firstRowFirstColumn="0" w:firstRowLastColumn="0" w:lastRowFirstColumn="0" w:lastRowLastColumn="0"/>
            </w:pPr>
            <w:r>
              <w:t>65</w:t>
            </w:r>
            <w:r w:rsidR="007942D1">
              <w:t xml:space="preserve"> – </w:t>
            </w:r>
            <w:r>
              <w:t>75</w:t>
            </w:r>
          </w:p>
        </w:tc>
        <w:tc>
          <w:tcPr>
            <w:tcW w:w="964" w:type="dxa"/>
            <w:tcBorders>
              <w:bottom w:val="single" w:sz="6" w:space="0" w:color="auto"/>
            </w:tcBorders>
          </w:tcPr>
          <w:p w14:paraId="3220E26B" w14:textId="77777777" w:rsidR="00824558" w:rsidRDefault="00824558">
            <w:pPr>
              <w:cnfStyle w:val="000000000000" w:firstRow="0" w:lastRow="0" w:firstColumn="0" w:lastColumn="0" w:oddVBand="0" w:evenVBand="0" w:oddHBand="0" w:evenHBand="0" w:firstRowFirstColumn="0" w:firstRowLastColumn="0" w:lastRowFirstColumn="0" w:lastRowLastColumn="0"/>
            </w:pPr>
            <w:r>
              <w:t>68.2</w:t>
            </w:r>
          </w:p>
        </w:tc>
      </w:tr>
      <w:tr w:rsidR="00824558" w:rsidRPr="000B4528" w14:paraId="68A779D9" w14:textId="77777777" w:rsidTr="009E61E6">
        <w:tc>
          <w:tcPr>
            <w:cnfStyle w:val="001000000000" w:firstRow="0" w:lastRow="0" w:firstColumn="1" w:lastColumn="0" w:oddVBand="0" w:evenVBand="0" w:oddHBand="0" w:evenHBand="0" w:firstRowFirstColumn="0" w:firstRowLastColumn="0" w:lastRowFirstColumn="0" w:lastRowLastColumn="0"/>
            <w:tcW w:w="9639" w:type="dxa"/>
            <w:gridSpan w:val="6"/>
          </w:tcPr>
          <w:p w14:paraId="7EA7063E" w14:textId="77777777" w:rsidR="00824558" w:rsidRPr="000B4528" w:rsidRDefault="00824558">
            <w:pPr>
              <w:keepNext/>
              <w:rPr>
                <w:b/>
                <w:bCs/>
                <w:iCs/>
              </w:rPr>
            </w:pPr>
            <w:r w:rsidRPr="000B4528">
              <w:rPr>
                <w:b/>
                <w:bCs/>
                <w:iCs/>
              </w:rPr>
              <w:t>Cost</w:t>
            </w:r>
          </w:p>
        </w:tc>
      </w:tr>
      <w:tr w:rsidR="009E61E6" w14:paraId="0AD19F58" w14:textId="77777777" w:rsidTr="009E61E6">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7BFA6773" w14:textId="77777777" w:rsidR="009E61E6" w:rsidRDefault="009E61E6" w:rsidP="009E61E6">
            <w:pPr>
              <w:ind w:left="170"/>
            </w:pPr>
            <w:r>
              <w:t>Total output cost</w:t>
            </w:r>
          </w:p>
        </w:tc>
        <w:tc>
          <w:tcPr>
            <w:tcW w:w="964" w:type="dxa"/>
            <w:tcBorders>
              <w:bottom w:val="single" w:sz="12" w:space="0" w:color="auto"/>
            </w:tcBorders>
          </w:tcPr>
          <w:p w14:paraId="505F9D03" w14:textId="77777777" w:rsidR="009E61E6" w:rsidRDefault="009E61E6" w:rsidP="009E61E6">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7F176E34" w14:textId="07D8A45B" w:rsidR="009E61E6" w:rsidRPr="002B7115" w:rsidRDefault="009E61E6" w:rsidP="009E61E6">
            <w:pPr>
              <w:cnfStyle w:val="000000000000" w:firstRow="0" w:lastRow="0" w:firstColumn="0" w:lastColumn="0" w:oddVBand="0" w:evenVBand="0" w:oddHBand="0" w:evenHBand="0" w:firstRowFirstColumn="0" w:firstRowLastColumn="0" w:lastRowFirstColumn="0" w:lastRowLastColumn="0"/>
              <w:rPr>
                <w:highlight w:val="yellow"/>
              </w:rPr>
            </w:pPr>
            <w:r w:rsidRPr="00CF1755">
              <w:t>70.4</w:t>
            </w:r>
          </w:p>
        </w:tc>
        <w:tc>
          <w:tcPr>
            <w:tcW w:w="964" w:type="dxa"/>
            <w:tcBorders>
              <w:bottom w:val="single" w:sz="12" w:space="0" w:color="auto"/>
            </w:tcBorders>
          </w:tcPr>
          <w:p w14:paraId="40EBB33B" w14:textId="5335F4D8" w:rsidR="009E61E6" w:rsidRPr="002B7115" w:rsidRDefault="009E61E6" w:rsidP="009E61E6">
            <w:pPr>
              <w:cnfStyle w:val="000000000000" w:firstRow="0" w:lastRow="0" w:firstColumn="0" w:lastColumn="0" w:oddVBand="0" w:evenVBand="0" w:oddHBand="0" w:evenHBand="0" w:firstRowFirstColumn="0" w:firstRowLastColumn="0" w:lastRowFirstColumn="0" w:lastRowLastColumn="0"/>
              <w:rPr>
                <w:highlight w:val="yellow"/>
              </w:rPr>
            </w:pPr>
            <w:r w:rsidRPr="00CF1755">
              <w:t>67.9</w:t>
            </w:r>
          </w:p>
        </w:tc>
        <w:tc>
          <w:tcPr>
            <w:tcW w:w="964" w:type="dxa"/>
            <w:tcBorders>
              <w:bottom w:val="single" w:sz="12" w:space="0" w:color="auto"/>
            </w:tcBorders>
          </w:tcPr>
          <w:p w14:paraId="2D47BF78" w14:textId="6A44D29D" w:rsidR="009E61E6" w:rsidRPr="002B7115" w:rsidRDefault="009E61E6" w:rsidP="009E61E6">
            <w:pPr>
              <w:cnfStyle w:val="000000000000" w:firstRow="0" w:lastRow="0" w:firstColumn="0" w:lastColumn="0" w:oddVBand="0" w:evenVBand="0" w:oddHBand="0" w:evenHBand="0" w:firstRowFirstColumn="0" w:firstRowLastColumn="0" w:lastRowFirstColumn="0" w:lastRowLastColumn="0"/>
              <w:rPr>
                <w:highlight w:val="yellow"/>
              </w:rPr>
            </w:pPr>
            <w:r w:rsidRPr="00CF1755">
              <w:t>70.6</w:t>
            </w:r>
          </w:p>
        </w:tc>
        <w:tc>
          <w:tcPr>
            <w:tcW w:w="964" w:type="dxa"/>
            <w:tcBorders>
              <w:bottom w:val="single" w:sz="12" w:space="0" w:color="auto"/>
            </w:tcBorders>
          </w:tcPr>
          <w:p w14:paraId="34891AB0" w14:textId="50300611" w:rsidR="009E61E6" w:rsidRPr="002B7115" w:rsidRDefault="009E61E6" w:rsidP="009E61E6">
            <w:pPr>
              <w:cnfStyle w:val="000000000000" w:firstRow="0" w:lastRow="0" w:firstColumn="0" w:lastColumn="0" w:oddVBand="0" w:evenVBand="0" w:oddHBand="0" w:evenHBand="0" w:firstRowFirstColumn="0" w:firstRowLastColumn="0" w:lastRowFirstColumn="0" w:lastRowLastColumn="0"/>
              <w:rPr>
                <w:highlight w:val="yellow"/>
              </w:rPr>
            </w:pPr>
            <w:r w:rsidRPr="00CF1755">
              <w:t>70.9</w:t>
            </w:r>
          </w:p>
        </w:tc>
      </w:tr>
    </w:tbl>
    <w:p w14:paraId="26DA986F" w14:textId="77777777" w:rsidR="00824558" w:rsidRDefault="00824558">
      <w:pPr>
        <w:pStyle w:val="Source"/>
      </w:pPr>
      <w:r>
        <w:t>Source: Department of Justice and Community Safety</w:t>
      </w:r>
    </w:p>
    <w:p w14:paraId="2B16AD45" w14:textId="4DA9DA64" w:rsidR="00824558" w:rsidRDefault="00824558">
      <w:pPr>
        <w:pStyle w:val="Heading3"/>
      </w:pPr>
      <w:r>
        <w:lastRenderedPageBreak/>
        <w:t>Justice Policy, Services and Law Reform</w:t>
      </w:r>
      <w:r>
        <w:tab/>
        <w:t>(2026-27: $</w:t>
      </w:r>
      <w:r w:rsidR="001402A7">
        <w:t xml:space="preserve">254.1 </w:t>
      </w:r>
      <w:r>
        <w:t>million)</w:t>
      </w:r>
    </w:p>
    <w:p w14:paraId="20020CD4" w14:textId="4B18D45C" w:rsidR="00824558" w:rsidRPr="00CB60E9" w:rsidRDefault="00824558">
      <w:pPr>
        <w:keepNext/>
        <w:spacing w:after="120"/>
      </w:pPr>
      <w:r>
        <w:t>This output delivers a broad range of services including the provision of law reform and sentencing advisory information. It also includes practical legal solutions and strategic advice through the Victorian Government Solicitor</w:t>
      </w:r>
      <w:r w:rsidR="007942D1">
        <w:t>’</w:t>
      </w:r>
      <w:r>
        <w:t>s Office (VGSO). This output also reports on the activities of the Aboriginal Justice Group (AJG) which leads Victoria</w:t>
      </w:r>
      <w:r w:rsidR="007942D1">
        <w:t>’</w:t>
      </w:r>
      <w:r>
        <w:t>s commitment to the Aboriginal Justice Agreement and other initiatives focused on improving outcomes for Aboriginal people and reducing their over-representation in the criminal justice system.</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68CED71" w14:textId="77777777" w:rsidTr="00020F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9B2F5EA" w14:textId="77777777" w:rsidR="00824558" w:rsidRDefault="00824558">
            <w:r>
              <w:t>Performance measure</w:t>
            </w:r>
          </w:p>
        </w:tc>
        <w:tc>
          <w:tcPr>
            <w:tcW w:w="964" w:type="dxa"/>
          </w:tcPr>
          <w:p w14:paraId="3190BDC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8CCE50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77B8C8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9C9B22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9C3C5E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7E73117F"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Pr>
          <w:p w14:paraId="077DC173" w14:textId="77777777" w:rsidR="00824558" w:rsidRPr="000B4528" w:rsidRDefault="00824558">
            <w:pPr>
              <w:keepNext/>
              <w:rPr>
                <w:b/>
                <w:bCs/>
                <w:iCs/>
              </w:rPr>
            </w:pPr>
            <w:r w:rsidRPr="000B4528">
              <w:rPr>
                <w:b/>
                <w:bCs/>
                <w:iCs/>
              </w:rPr>
              <w:t>Quantity</w:t>
            </w:r>
          </w:p>
        </w:tc>
      </w:tr>
      <w:tr w:rsidR="00824558" w14:paraId="49F1865B"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F73223C" w14:textId="77777777" w:rsidR="00824558" w:rsidRDefault="00824558">
            <w:pPr>
              <w:ind w:left="170"/>
            </w:pPr>
            <w:r>
              <w:t>Community education sessions (in person or online) conducted by Victorian Law Reform Commission</w:t>
            </w:r>
          </w:p>
        </w:tc>
        <w:tc>
          <w:tcPr>
            <w:tcW w:w="964" w:type="dxa"/>
            <w:tcBorders>
              <w:bottom w:val="single" w:sz="6" w:space="0" w:color="auto"/>
            </w:tcBorders>
          </w:tcPr>
          <w:p w14:paraId="1EF51D4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C702F10"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36CA5A98"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0C0254A2"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50759568" w14:textId="77777777" w:rsidR="00824558" w:rsidRDefault="00824558">
            <w:pPr>
              <w:cnfStyle w:val="000000000000" w:firstRow="0" w:lastRow="0" w:firstColumn="0" w:lastColumn="0" w:oddVBand="0" w:evenVBand="0" w:oddHBand="0" w:evenHBand="0" w:firstRowFirstColumn="0" w:firstRowLastColumn="0" w:lastRowFirstColumn="0" w:lastRowLastColumn="0"/>
            </w:pPr>
            <w:r>
              <w:t>17</w:t>
            </w:r>
          </w:p>
        </w:tc>
      </w:tr>
      <w:tr w:rsidR="00824558" w14:paraId="118170DC"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1BC2727" w14:textId="77777777" w:rsidR="00824558" w:rsidRDefault="00824558">
            <w:pPr>
              <w:ind w:left="170"/>
            </w:pPr>
            <w:r>
              <w:t>Consultation sessions conducted by Victorian Law Reform Commission</w:t>
            </w:r>
          </w:p>
        </w:tc>
        <w:tc>
          <w:tcPr>
            <w:tcW w:w="964" w:type="dxa"/>
            <w:tcBorders>
              <w:bottom w:val="single" w:sz="6" w:space="0" w:color="auto"/>
            </w:tcBorders>
          </w:tcPr>
          <w:p w14:paraId="3A36D1B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4175AED"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6F0817F4"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248BCE06"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226B82B0"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r>
      <w:tr w:rsidR="00824558" w14:paraId="0F65D4BC"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DD35003" w14:textId="77777777" w:rsidR="00824558" w:rsidRDefault="00824558">
            <w:pPr>
              <w:ind w:left="170"/>
            </w:pPr>
            <w:r>
              <w:t>Law reform publications completed by Victorian Law Reform Commission</w:t>
            </w:r>
          </w:p>
        </w:tc>
        <w:tc>
          <w:tcPr>
            <w:tcW w:w="964" w:type="dxa"/>
            <w:tcBorders>
              <w:bottom w:val="single" w:sz="6" w:space="0" w:color="auto"/>
            </w:tcBorders>
          </w:tcPr>
          <w:p w14:paraId="1EB13D6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08CBE95"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027815C7"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53E816E2"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09C2C0A9"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6DC895C0"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09EF2C2" w14:textId="77777777" w:rsidR="00824558" w:rsidRDefault="00824558">
            <w:pPr>
              <w:ind w:left="170"/>
            </w:pPr>
            <w:r>
              <w:t>Number of Sentencing Advisory Council publications</w:t>
            </w:r>
          </w:p>
        </w:tc>
        <w:tc>
          <w:tcPr>
            <w:tcW w:w="964" w:type="dxa"/>
            <w:tcBorders>
              <w:bottom w:val="single" w:sz="6" w:space="0" w:color="auto"/>
            </w:tcBorders>
          </w:tcPr>
          <w:p w14:paraId="7CD3DA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67B4B77"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230B0719"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791C0F03"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4478EA7D"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14:paraId="55A45901"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325C682" w14:textId="77777777" w:rsidR="00824558" w:rsidRDefault="00824558">
            <w:pPr>
              <w:ind w:left="170"/>
            </w:pPr>
            <w:r>
              <w:t>Proportion of grant funding administered by the Koori Justice Unit that is provided to Aboriginal controlled organisations</w:t>
            </w:r>
          </w:p>
        </w:tc>
        <w:tc>
          <w:tcPr>
            <w:tcW w:w="964" w:type="dxa"/>
            <w:tcBorders>
              <w:bottom w:val="single" w:sz="6" w:space="0" w:color="auto"/>
            </w:tcBorders>
          </w:tcPr>
          <w:p w14:paraId="1B3D487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911AB8A"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5EE8A59"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B3E6188"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63307925" w14:textId="77777777" w:rsidR="00824558" w:rsidRDefault="00824558">
            <w:pPr>
              <w:cnfStyle w:val="000000000000" w:firstRow="0" w:lastRow="0" w:firstColumn="0" w:lastColumn="0" w:oddVBand="0" w:evenVBand="0" w:oddHBand="0" w:evenHBand="0" w:firstRowFirstColumn="0" w:firstRowLastColumn="0" w:lastRowFirstColumn="0" w:lastRowLastColumn="0"/>
            </w:pPr>
            <w:r>
              <w:t>96.5</w:t>
            </w:r>
          </w:p>
        </w:tc>
      </w:tr>
      <w:tr w:rsidR="00824558" w14:paraId="24CA2567" w14:textId="77777777" w:rsidTr="00020F7F">
        <w:tc>
          <w:tcPr>
            <w:cnfStyle w:val="001000000000" w:firstRow="0" w:lastRow="0" w:firstColumn="1" w:lastColumn="0" w:oddVBand="0" w:evenVBand="0" w:oddHBand="0" w:evenHBand="0" w:firstRowFirstColumn="0" w:firstRowLastColumn="0" w:lastRowFirstColumn="0" w:lastRowLastColumn="0"/>
            <w:tcW w:w="4819" w:type="dxa"/>
          </w:tcPr>
          <w:p w14:paraId="1CF77007" w14:textId="77777777" w:rsidR="00824558" w:rsidRDefault="00824558">
            <w:pPr>
              <w:keepNext/>
              <w:ind w:left="170"/>
            </w:pPr>
            <w:r>
              <w:t>Views of school curriculum related material on Victorian Law Reform Commission website</w:t>
            </w:r>
          </w:p>
        </w:tc>
        <w:tc>
          <w:tcPr>
            <w:tcW w:w="964" w:type="dxa"/>
          </w:tcPr>
          <w:p w14:paraId="5B918F4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A31EB8E" w14:textId="77777777" w:rsidR="00824558" w:rsidRDefault="00824558">
            <w:pPr>
              <w:cnfStyle w:val="000000000000" w:firstRow="0" w:lastRow="0" w:firstColumn="0" w:lastColumn="0" w:oddVBand="0" w:evenVBand="0" w:oddHBand="0" w:evenHBand="0" w:firstRowFirstColumn="0" w:firstRowLastColumn="0" w:lastRowFirstColumn="0" w:lastRowLastColumn="0"/>
            </w:pPr>
            <w:r>
              <w:t>4 000</w:t>
            </w:r>
          </w:p>
        </w:tc>
        <w:tc>
          <w:tcPr>
            <w:tcW w:w="964" w:type="dxa"/>
          </w:tcPr>
          <w:p w14:paraId="6826AE34"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4 100</w:t>
            </w:r>
          </w:p>
        </w:tc>
        <w:tc>
          <w:tcPr>
            <w:tcW w:w="964" w:type="dxa"/>
          </w:tcPr>
          <w:p w14:paraId="2EF5F867" w14:textId="77777777" w:rsidR="00824558" w:rsidRDefault="00824558">
            <w:pPr>
              <w:cnfStyle w:val="000000000000" w:firstRow="0" w:lastRow="0" w:firstColumn="0" w:lastColumn="0" w:oddVBand="0" w:evenVBand="0" w:oddHBand="0" w:evenHBand="0" w:firstRowFirstColumn="0" w:firstRowLastColumn="0" w:lastRowFirstColumn="0" w:lastRowLastColumn="0"/>
            </w:pPr>
            <w:r>
              <w:t>5 000</w:t>
            </w:r>
          </w:p>
        </w:tc>
        <w:tc>
          <w:tcPr>
            <w:tcW w:w="964" w:type="dxa"/>
          </w:tcPr>
          <w:p w14:paraId="2D475665" w14:textId="77777777" w:rsidR="00824558" w:rsidRDefault="00824558">
            <w:pPr>
              <w:cnfStyle w:val="000000000000" w:firstRow="0" w:lastRow="0" w:firstColumn="0" w:lastColumn="0" w:oddVBand="0" w:evenVBand="0" w:oddHBand="0" w:evenHBand="0" w:firstRowFirstColumn="0" w:firstRowLastColumn="0" w:lastRowFirstColumn="0" w:lastRowLastColumn="0"/>
            </w:pPr>
            <w:r>
              <w:t>4 266</w:t>
            </w:r>
          </w:p>
        </w:tc>
      </w:tr>
      <w:tr w:rsidR="00824558" w14:paraId="07E24728"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A09A98B" w14:textId="77777777" w:rsidR="00824558" w:rsidRDefault="00824558">
            <w:pPr>
              <w:ind w:left="170"/>
            </w:pPr>
            <w:r>
              <w:rPr>
                <w:i/>
              </w:rPr>
              <w:t>The 2025-26 expected outcome is lower than the 2025-26 target due to a shift in student engagement patterns. Views of school curriculum related material on the Victorian Law Reform Commission website increased significantly over the preceding two years and the target was increased during these years to reflect this trend. The most recent reporting period has shown a plateau in views, indicating that awareness of the resources has now reached the majority of legal studies students.</w:t>
            </w:r>
          </w:p>
          <w:p w14:paraId="5FBA447D" w14:textId="77777777" w:rsidR="00824558" w:rsidRDefault="00824558">
            <w:pPr>
              <w:ind w:left="170"/>
            </w:pPr>
            <w:r>
              <w:rPr>
                <w:i/>
              </w:rPr>
              <w:t>The lower 2026-27 target reflects this change.</w:t>
            </w:r>
          </w:p>
        </w:tc>
      </w:tr>
      <w:tr w:rsidR="00824558" w14:paraId="7E6405E1" w14:textId="77777777" w:rsidTr="00020F7F">
        <w:tc>
          <w:tcPr>
            <w:cnfStyle w:val="001000000000" w:firstRow="0" w:lastRow="0" w:firstColumn="1" w:lastColumn="0" w:oddVBand="0" w:evenVBand="0" w:oddHBand="0" w:evenHBand="0" w:firstRowFirstColumn="0" w:firstRowLastColumn="0" w:lastRowFirstColumn="0" w:lastRowLastColumn="0"/>
            <w:tcW w:w="4819" w:type="dxa"/>
          </w:tcPr>
          <w:p w14:paraId="0ED0718C" w14:textId="77777777" w:rsidR="00824558" w:rsidRDefault="00824558">
            <w:pPr>
              <w:keepNext/>
              <w:ind w:left="170"/>
            </w:pPr>
            <w:r>
              <w:t>Written submissions made to the Victorian Law Reform Commission website including online surveys</w:t>
            </w:r>
          </w:p>
        </w:tc>
        <w:tc>
          <w:tcPr>
            <w:tcW w:w="964" w:type="dxa"/>
          </w:tcPr>
          <w:p w14:paraId="6DA0BB2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A39E42C"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9F34D9E"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5F573D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646B2B2B" w14:textId="77777777" w:rsidR="00824558" w:rsidRDefault="00824558">
            <w:pPr>
              <w:cnfStyle w:val="000000000000" w:firstRow="0" w:lastRow="0" w:firstColumn="0" w:lastColumn="0" w:oddVBand="0" w:evenVBand="0" w:oddHBand="0" w:evenHBand="0" w:firstRowFirstColumn="0" w:firstRowLastColumn="0" w:lastRowFirstColumn="0" w:lastRowLastColumn="0"/>
            </w:pPr>
            <w:r>
              <w:t>42</w:t>
            </w:r>
          </w:p>
        </w:tc>
      </w:tr>
      <w:tr w:rsidR="00824558" w14:paraId="3B162581"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429334" w14:textId="77777777" w:rsidR="00824558" w:rsidRDefault="00824558">
            <w:pPr>
              <w:ind w:left="170"/>
            </w:pPr>
            <w:r>
              <w:rPr>
                <w:i/>
              </w:rPr>
              <w:t>The lower 2026-27 target reflects the expected workflow of written submissions in line with the varied nature of VLRC projects and the impact of external factors on timelines.</w:t>
            </w:r>
          </w:p>
        </w:tc>
      </w:tr>
      <w:tr w:rsidR="00824558" w:rsidRPr="000B4528" w14:paraId="16F01C17"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Pr>
          <w:p w14:paraId="5BA9AA1E" w14:textId="77777777" w:rsidR="00824558" w:rsidRPr="000B4528" w:rsidRDefault="00824558">
            <w:pPr>
              <w:keepNext/>
              <w:rPr>
                <w:b/>
                <w:bCs/>
                <w:iCs/>
              </w:rPr>
            </w:pPr>
            <w:r w:rsidRPr="000B4528">
              <w:rPr>
                <w:b/>
                <w:bCs/>
                <w:iCs/>
              </w:rPr>
              <w:t>Quality</w:t>
            </w:r>
          </w:p>
        </w:tc>
      </w:tr>
      <w:tr w:rsidR="00824558" w14:paraId="031EF795"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4725402" w14:textId="620383F6" w:rsidR="00824558" w:rsidRDefault="00824558">
            <w:pPr>
              <w:ind w:left="170"/>
            </w:pPr>
            <w:r>
              <w:t xml:space="preserve">Client satisfaction with quality of legal advice provided </w:t>
            </w:r>
            <w:r w:rsidR="00DC0C69">
              <w:br/>
            </w:r>
            <w:r>
              <w:t>(Victorian Government Solicitor</w:t>
            </w:r>
            <w:r w:rsidR="007942D1">
              <w:t>’</w:t>
            </w:r>
            <w:r>
              <w:t>s Office)</w:t>
            </w:r>
          </w:p>
        </w:tc>
        <w:tc>
          <w:tcPr>
            <w:tcW w:w="964" w:type="dxa"/>
            <w:tcBorders>
              <w:bottom w:val="single" w:sz="6" w:space="0" w:color="auto"/>
            </w:tcBorders>
          </w:tcPr>
          <w:p w14:paraId="010D864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EE60CF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A8B52A4"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c>
          <w:tcPr>
            <w:tcW w:w="964" w:type="dxa"/>
            <w:tcBorders>
              <w:bottom w:val="single" w:sz="6" w:space="0" w:color="auto"/>
            </w:tcBorders>
          </w:tcPr>
          <w:p w14:paraId="2DEE41E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8634370"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14:paraId="604604C2"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60CC514" w14:textId="77777777" w:rsidR="00824558" w:rsidRDefault="00824558">
            <w:pPr>
              <w:ind w:left="170"/>
            </w:pPr>
            <w:r>
              <w:t>Teachers and students who are satisfied with education programs delivered by Victorian Law Reform Commission website and the school curriculum related material provided on the VLRC website</w:t>
            </w:r>
          </w:p>
        </w:tc>
        <w:tc>
          <w:tcPr>
            <w:tcW w:w="964" w:type="dxa"/>
            <w:tcBorders>
              <w:bottom w:val="single" w:sz="6" w:space="0" w:color="auto"/>
            </w:tcBorders>
          </w:tcPr>
          <w:p w14:paraId="42F161B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13E84F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67FEF9E"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5184BDA"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022C0A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0B4528" w14:paraId="7B02FEA6"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Pr>
          <w:p w14:paraId="79317FDB" w14:textId="77777777" w:rsidR="00824558" w:rsidRPr="000B4528" w:rsidRDefault="00824558">
            <w:pPr>
              <w:keepNext/>
              <w:rPr>
                <w:b/>
                <w:bCs/>
                <w:iCs/>
              </w:rPr>
            </w:pPr>
            <w:r w:rsidRPr="000B4528">
              <w:rPr>
                <w:b/>
                <w:bCs/>
                <w:iCs/>
              </w:rPr>
              <w:t>Timeliness</w:t>
            </w:r>
          </w:p>
        </w:tc>
      </w:tr>
      <w:tr w:rsidR="00824558" w14:paraId="6EC69B4F"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F01D84" w14:textId="2BD1BEDC" w:rsidR="00824558" w:rsidRDefault="00824558">
            <w:pPr>
              <w:ind w:left="170"/>
            </w:pPr>
            <w:r>
              <w:t>Client satisfaction with timeliness of legal advice provided (Victorian Government Solicitor</w:t>
            </w:r>
            <w:r w:rsidR="007942D1">
              <w:t>’</w:t>
            </w:r>
            <w:r>
              <w:t>s Office)</w:t>
            </w:r>
          </w:p>
        </w:tc>
        <w:tc>
          <w:tcPr>
            <w:tcW w:w="964" w:type="dxa"/>
            <w:tcBorders>
              <w:bottom w:val="single" w:sz="6" w:space="0" w:color="auto"/>
            </w:tcBorders>
          </w:tcPr>
          <w:p w14:paraId="62A92A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ECFFFF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C9A5DB2" w14:textId="77777777" w:rsidR="00824558" w:rsidRDefault="00824558">
            <w:pPr>
              <w:cnfStyle w:val="000000000000" w:firstRow="0" w:lastRow="0" w:firstColumn="0" w:lastColumn="0" w:oddVBand="0" w:evenVBand="0" w:oddHBand="0" w:evenHBand="0" w:firstRowFirstColumn="0" w:firstRowLastColumn="0" w:lastRowFirstColumn="0" w:lastRowLastColumn="0"/>
            </w:pPr>
            <w:r>
              <w:t>78</w:t>
            </w:r>
          </w:p>
        </w:tc>
        <w:tc>
          <w:tcPr>
            <w:tcW w:w="964" w:type="dxa"/>
            <w:tcBorders>
              <w:bottom w:val="single" w:sz="6" w:space="0" w:color="auto"/>
            </w:tcBorders>
          </w:tcPr>
          <w:p w14:paraId="290968C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9048DF3"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r>
      <w:tr w:rsidR="00824558" w:rsidRPr="000B4528" w14:paraId="6246A170" w14:textId="77777777" w:rsidTr="00020F7F">
        <w:tc>
          <w:tcPr>
            <w:cnfStyle w:val="001000000000" w:firstRow="0" w:lastRow="0" w:firstColumn="1" w:lastColumn="0" w:oddVBand="0" w:evenVBand="0" w:oddHBand="0" w:evenHBand="0" w:firstRowFirstColumn="0" w:firstRowLastColumn="0" w:lastRowFirstColumn="0" w:lastRowLastColumn="0"/>
            <w:tcW w:w="9639" w:type="dxa"/>
            <w:gridSpan w:val="6"/>
          </w:tcPr>
          <w:p w14:paraId="54412573" w14:textId="77777777" w:rsidR="00824558" w:rsidRPr="000B4528" w:rsidRDefault="00824558">
            <w:pPr>
              <w:keepNext/>
              <w:rPr>
                <w:b/>
                <w:bCs/>
                <w:iCs/>
              </w:rPr>
            </w:pPr>
            <w:r w:rsidRPr="000B4528">
              <w:rPr>
                <w:b/>
                <w:bCs/>
                <w:iCs/>
              </w:rPr>
              <w:t>Cost</w:t>
            </w:r>
          </w:p>
        </w:tc>
      </w:tr>
      <w:tr w:rsidR="00020F7F" w14:paraId="422FCCEA" w14:textId="77777777" w:rsidTr="00020F7F">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4AAC3EC5" w14:textId="77777777" w:rsidR="00020F7F" w:rsidRDefault="00020F7F" w:rsidP="00020F7F">
            <w:pPr>
              <w:ind w:left="170"/>
            </w:pPr>
            <w:r>
              <w:t>Total output cost</w:t>
            </w:r>
          </w:p>
        </w:tc>
        <w:tc>
          <w:tcPr>
            <w:tcW w:w="964" w:type="dxa"/>
            <w:tcBorders>
              <w:bottom w:val="single" w:sz="12" w:space="0" w:color="auto"/>
            </w:tcBorders>
          </w:tcPr>
          <w:p w14:paraId="4CF0F9C9" w14:textId="77777777" w:rsidR="00020F7F" w:rsidRDefault="00020F7F" w:rsidP="00020F7F">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53AB7547" w14:textId="2BA20C9A" w:rsidR="00020F7F" w:rsidRPr="000B4528" w:rsidRDefault="00020F7F" w:rsidP="00020F7F">
            <w:pPr>
              <w:cnfStyle w:val="000000000000" w:firstRow="0" w:lastRow="0" w:firstColumn="0" w:lastColumn="0" w:oddVBand="0" w:evenVBand="0" w:oddHBand="0" w:evenHBand="0" w:firstRowFirstColumn="0" w:firstRowLastColumn="0" w:lastRowFirstColumn="0" w:lastRowLastColumn="0"/>
              <w:rPr>
                <w:highlight w:val="yellow"/>
              </w:rPr>
            </w:pPr>
            <w:r w:rsidRPr="004E73FC">
              <w:t>254.1</w:t>
            </w:r>
          </w:p>
        </w:tc>
        <w:tc>
          <w:tcPr>
            <w:tcW w:w="964" w:type="dxa"/>
            <w:tcBorders>
              <w:bottom w:val="single" w:sz="12" w:space="0" w:color="auto"/>
            </w:tcBorders>
          </w:tcPr>
          <w:p w14:paraId="73BEF5CA" w14:textId="207B6F5F" w:rsidR="00020F7F" w:rsidRPr="000B4528" w:rsidRDefault="00020F7F" w:rsidP="00020F7F">
            <w:pPr>
              <w:cnfStyle w:val="000000000000" w:firstRow="0" w:lastRow="0" w:firstColumn="0" w:lastColumn="0" w:oddVBand="0" w:evenVBand="0" w:oddHBand="0" w:evenHBand="0" w:firstRowFirstColumn="0" w:firstRowLastColumn="0" w:lastRowFirstColumn="0" w:lastRowLastColumn="0"/>
              <w:rPr>
                <w:highlight w:val="yellow"/>
              </w:rPr>
            </w:pPr>
            <w:r w:rsidRPr="004E73FC">
              <w:t>250.1</w:t>
            </w:r>
          </w:p>
        </w:tc>
        <w:tc>
          <w:tcPr>
            <w:tcW w:w="964" w:type="dxa"/>
            <w:tcBorders>
              <w:bottom w:val="single" w:sz="12" w:space="0" w:color="auto"/>
            </w:tcBorders>
          </w:tcPr>
          <w:p w14:paraId="7FE82DC8" w14:textId="6B7D1118" w:rsidR="00020F7F" w:rsidRPr="000B4528" w:rsidRDefault="00020F7F" w:rsidP="00020F7F">
            <w:pPr>
              <w:cnfStyle w:val="000000000000" w:firstRow="0" w:lastRow="0" w:firstColumn="0" w:lastColumn="0" w:oddVBand="0" w:evenVBand="0" w:oddHBand="0" w:evenHBand="0" w:firstRowFirstColumn="0" w:firstRowLastColumn="0" w:lastRowFirstColumn="0" w:lastRowLastColumn="0"/>
              <w:rPr>
                <w:highlight w:val="yellow"/>
              </w:rPr>
            </w:pPr>
            <w:r w:rsidRPr="004E73FC">
              <w:t>250.3</w:t>
            </w:r>
          </w:p>
        </w:tc>
        <w:tc>
          <w:tcPr>
            <w:tcW w:w="964" w:type="dxa"/>
            <w:tcBorders>
              <w:bottom w:val="single" w:sz="12" w:space="0" w:color="auto"/>
            </w:tcBorders>
          </w:tcPr>
          <w:p w14:paraId="093144F9" w14:textId="4CB84C3F" w:rsidR="00020F7F" w:rsidRPr="000B4528" w:rsidRDefault="00020F7F" w:rsidP="00020F7F">
            <w:pPr>
              <w:cnfStyle w:val="000000000000" w:firstRow="0" w:lastRow="0" w:firstColumn="0" w:lastColumn="0" w:oddVBand="0" w:evenVBand="0" w:oddHBand="0" w:evenHBand="0" w:firstRowFirstColumn="0" w:firstRowLastColumn="0" w:lastRowFirstColumn="0" w:lastRowLastColumn="0"/>
              <w:rPr>
                <w:highlight w:val="yellow"/>
              </w:rPr>
            </w:pPr>
            <w:r w:rsidRPr="004E73FC">
              <w:t>218.7</w:t>
            </w:r>
          </w:p>
        </w:tc>
      </w:tr>
    </w:tbl>
    <w:p w14:paraId="3ED4F949" w14:textId="77777777" w:rsidR="00824558" w:rsidRDefault="00824558">
      <w:pPr>
        <w:pStyle w:val="Source"/>
      </w:pPr>
      <w:r>
        <w:t>Source: Department of Justice and Community Safety</w:t>
      </w:r>
    </w:p>
    <w:p w14:paraId="0B6C3BEA" w14:textId="3EEEE150" w:rsidR="00824558" w:rsidRDefault="00824558">
      <w:pPr>
        <w:pStyle w:val="Heading3"/>
      </w:pPr>
      <w:r>
        <w:lastRenderedPageBreak/>
        <w:t>Advocacy, Human Rights and Victim Support</w:t>
      </w:r>
      <w:r>
        <w:tab/>
        <w:t>(2026-27: $</w:t>
      </w:r>
      <w:r w:rsidR="00D833D2">
        <w:t>143.</w:t>
      </w:r>
      <w:r w:rsidR="00D833D2" w:rsidDel="00D27785">
        <w:t>2</w:t>
      </w:r>
      <w:r>
        <w:t xml:space="preserve"> million)</w:t>
      </w:r>
    </w:p>
    <w:p w14:paraId="5243440B" w14:textId="77777777" w:rsidR="00824558" w:rsidRPr="00F5725D" w:rsidRDefault="00824558">
      <w:pPr>
        <w:keepNext/>
        <w:spacing w:after="120"/>
        <w:rPr>
          <w:bCs/>
        </w:rPr>
      </w:pPr>
      <w:r w:rsidRPr="00302DAC">
        <w:rPr>
          <w:bCs/>
        </w:rPr>
        <w:t>This output focuses on the delivery of services aimed at protecting people, supporting victims of crime and safeguarding human rights. DJCS provides support to victims of crime with practical assistance, counselling and support through the justice system and the Victims of Crime Financial Assistance Scheme (FAS) provides financial assistance to victims to help them recover from violent crimes. The work of the Office of the Public Advocate (OPA) protects the rights, interests and dignity of people with disability and mental illness and the Victorian Equal Opportunity and Human Rights Commission (VEOHRC) provides education and capacity building to protect and promote human rights in Victoria.</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A20A152" w14:textId="77777777" w:rsidTr="004C35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9963122" w14:textId="77777777" w:rsidR="00824558" w:rsidRDefault="00824558">
            <w:r>
              <w:t>Performance measure</w:t>
            </w:r>
          </w:p>
        </w:tc>
        <w:tc>
          <w:tcPr>
            <w:tcW w:w="964" w:type="dxa"/>
          </w:tcPr>
          <w:p w14:paraId="11E7EF1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9CB59F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947E73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67E44E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52651E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19BD1D9A"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Pr>
          <w:p w14:paraId="60D9AC8A" w14:textId="77777777" w:rsidR="00824558" w:rsidRPr="000B4528" w:rsidRDefault="00824558">
            <w:pPr>
              <w:keepNext/>
              <w:rPr>
                <w:b/>
                <w:bCs/>
                <w:iCs/>
              </w:rPr>
            </w:pPr>
            <w:r w:rsidRPr="000B4528">
              <w:rPr>
                <w:b/>
                <w:bCs/>
                <w:iCs/>
              </w:rPr>
              <w:t>Quantity</w:t>
            </w:r>
          </w:p>
        </w:tc>
      </w:tr>
      <w:tr w:rsidR="00824558" w14:paraId="6F1C5B88" w14:textId="77777777" w:rsidTr="004C35D0">
        <w:tc>
          <w:tcPr>
            <w:cnfStyle w:val="001000000000" w:firstRow="0" w:lastRow="0" w:firstColumn="1" w:lastColumn="0" w:oddVBand="0" w:evenVBand="0" w:oddHBand="0" w:evenHBand="0" w:firstRowFirstColumn="0" w:firstRowLastColumn="0" w:lastRowFirstColumn="0" w:lastRowLastColumn="0"/>
            <w:tcW w:w="4819" w:type="dxa"/>
          </w:tcPr>
          <w:p w14:paraId="07254CE7" w14:textId="77777777" w:rsidR="00824558" w:rsidRDefault="00824558">
            <w:pPr>
              <w:keepNext/>
              <w:ind w:left="170"/>
            </w:pPr>
            <w:r>
              <w:t>Advocacy matters opened by the Office of the Public Advocate</w:t>
            </w:r>
          </w:p>
        </w:tc>
        <w:tc>
          <w:tcPr>
            <w:tcW w:w="964" w:type="dxa"/>
          </w:tcPr>
          <w:p w14:paraId="3D03F6F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C26FCCF" w14:textId="6E373140" w:rsidR="00824558" w:rsidRDefault="00824558">
            <w:pPr>
              <w:cnfStyle w:val="000000000000" w:firstRow="0" w:lastRow="0" w:firstColumn="0" w:lastColumn="0" w:oddVBand="0" w:evenVBand="0" w:oddHBand="0" w:evenHBand="0" w:firstRowFirstColumn="0" w:firstRowLastColumn="0" w:lastRowFirstColumn="0" w:lastRowLastColumn="0"/>
            </w:pPr>
            <w:r>
              <w:t>300</w:t>
            </w:r>
            <w:r w:rsidR="007942D1">
              <w:t xml:space="preserve"> – </w:t>
            </w:r>
            <w:r>
              <w:t>340</w:t>
            </w:r>
          </w:p>
        </w:tc>
        <w:tc>
          <w:tcPr>
            <w:tcW w:w="964" w:type="dxa"/>
          </w:tcPr>
          <w:p w14:paraId="5EBD742E"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251EE087" w14:textId="24C3C1F1" w:rsidR="00824558" w:rsidRDefault="00824558">
            <w:pPr>
              <w:cnfStyle w:val="000000000000" w:firstRow="0" w:lastRow="0" w:firstColumn="0" w:lastColumn="0" w:oddVBand="0" w:evenVBand="0" w:oddHBand="0" w:evenHBand="0" w:firstRowFirstColumn="0" w:firstRowLastColumn="0" w:lastRowFirstColumn="0" w:lastRowLastColumn="0"/>
            </w:pPr>
            <w:r>
              <w:t>300</w:t>
            </w:r>
            <w:r w:rsidR="007942D1">
              <w:t xml:space="preserve"> – </w:t>
            </w:r>
            <w:r>
              <w:t>340</w:t>
            </w:r>
          </w:p>
        </w:tc>
        <w:tc>
          <w:tcPr>
            <w:tcW w:w="964" w:type="dxa"/>
          </w:tcPr>
          <w:p w14:paraId="2C987063" w14:textId="77777777" w:rsidR="00824558" w:rsidRDefault="00824558">
            <w:pPr>
              <w:cnfStyle w:val="000000000000" w:firstRow="0" w:lastRow="0" w:firstColumn="0" w:lastColumn="0" w:oddVBand="0" w:evenVBand="0" w:oddHBand="0" w:evenHBand="0" w:firstRowFirstColumn="0" w:firstRowLastColumn="0" w:lastRowFirstColumn="0" w:lastRowLastColumn="0"/>
            </w:pPr>
            <w:r>
              <w:t>255</w:t>
            </w:r>
          </w:p>
        </w:tc>
      </w:tr>
      <w:tr w:rsidR="00824558" w14:paraId="78DB47EC"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F05AE1" w14:textId="77777777" w:rsidR="00824558" w:rsidRDefault="00824558">
            <w:pPr>
              <w:ind w:left="170"/>
            </w:pPr>
            <w:r>
              <w:rPr>
                <w:i/>
              </w:rPr>
              <w:t>The 2025-26 expected outcome is higher than the 2025-26 target due to a temporary increase in the number of residential safeguarding matters resulting from changes in the residential housing sector and the continuing outflow of residents transitioning from end-of-life properties to new specialist disability accommodation.</w:t>
            </w:r>
          </w:p>
        </w:tc>
      </w:tr>
      <w:tr w:rsidR="00824558" w14:paraId="6D549216"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630EF1" w14:textId="77777777" w:rsidR="00824558" w:rsidRDefault="00824558">
            <w:pPr>
              <w:ind w:left="170"/>
            </w:pPr>
            <w:r>
              <w:t>Conciliation and facilitation activities delivered by the Victorian Equal Opportunity and Human Rights Commission</w:t>
            </w:r>
          </w:p>
        </w:tc>
        <w:tc>
          <w:tcPr>
            <w:tcW w:w="964" w:type="dxa"/>
            <w:tcBorders>
              <w:bottom w:val="single" w:sz="6" w:space="0" w:color="auto"/>
            </w:tcBorders>
          </w:tcPr>
          <w:p w14:paraId="6640DDB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1875940" w14:textId="77777777" w:rsidR="00824558" w:rsidRDefault="00824558">
            <w:pPr>
              <w:cnfStyle w:val="000000000000" w:firstRow="0" w:lastRow="0" w:firstColumn="0" w:lastColumn="0" w:oddVBand="0" w:evenVBand="0" w:oddHBand="0" w:evenHBand="0" w:firstRowFirstColumn="0" w:firstRowLastColumn="0" w:lastRowFirstColumn="0" w:lastRowLastColumn="0"/>
            </w:pPr>
            <w:r>
              <w:t>900 – 1 050</w:t>
            </w:r>
          </w:p>
        </w:tc>
        <w:tc>
          <w:tcPr>
            <w:tcW w:w="964" w:type="dxa"/>
            <w:tcBorders>
              <w:bottom w:val="single" w:sz="6" w:space="0" w:color="auto"/>
            </w:tcBorders>
          </w:tcPr>
          <w:p w14:paraId="2077D1EE" w14:textId="77777777" w:rsidR="00824558" w:rsidRDefault="00824558">
            <w:pPr>
              <w:cnfStyle w:val="000000000000" w:firstRow="0" w:lastRow="0" w:firstColumn="0" w:lastColumn="0" w:oddVBand="0" w:evenVBand="0" w:oddHBand="0" w:evenHBand="0" w:firstRowFirstColumn="0" w:firstRowLastColumn="0" w:lastRowFirstColumn="0" w:lastRowLastColumn="0"/>
            </w:pPr>
            <w:r>
              <w:t>1 050</w:t>
            </w:r>
          </w:p>
        </w:tc>
        <w:tc>
          <w:tcPr>
            <w:tcW w:w="964" w:type="dxa"/>
            <w:tcBorders>
              <w:bottom w:val="single" w:sz="6" w:space="0" w:color="auto"/>
            </w:tcBorders>
          </w:tcPr>
          <w:p w14:paraId="2FBD5D98" w14:textId="77777777" w:rsidR="00824558" w:rsidRDefault="00824558">
            <w:pPr>
              <w:cnfStyle w:val="000000000000" w:firstRow="0" w:lastRow="0" w:firstColumn="0" w:lastColumn="0" w:oddVBand="0" w:evenVBand="0" w:oddHBand="0" w:evenHBand="0" w:firstRowFirstColumn="0" w:firstRowLastColumn="0" w:lastRowFirstColumn="0" w:lastRowLastColumn="0"/>
            </w:pPr>
            <w:r>
              <w:t>900 – 1 050</w:t>
            </w:r>
          </w:p>
        </w:tc>
        <w:tc>
          <w:tcPr>
            <w:tcW w:w="964" w:type="dxa"/>
            <w:tcBorders>
              <w:bottom w:val="single" w:sz="6" w:space="0" w:color="auto"/>
            </w:tcBorders>
          </w:tcPr>
          <w:p w14:paraId="0EBC6AA9" w14:textId="77777777" w:rsidR="00824558" w:rsidRDefault="00824558">
            <w:pPr>
              <w:cnfStyle w:val="000000000000" w:firstRow="0" w:lastRow="0" w:firstColumn="0" w:lastColumn="0" w:oddVBand="0" w:evenVBand="0" w:oddHBand="0" w:evenHBand="0" w:firstRowFirstColumn="0" w:firstRowLastColumn="0" w:lastRowFirstColumn="0" w:lastRowLastColumn="0"/>
            </w:pPr>
            <w:r>
              <w:t>938</w:t>
            </w:r>
          </w:p>
        </w:tc>
      </w:tr>
      <w:tr w:rsidR="00824558" w14:paraId="679050E3"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7534C6" w14:textId="77777777" w:rsidR="00824558" w:rsidRDefault="00824558">
            <w:pPr>
              <w:ind w:left="170"/>
            </w:pPr>
            <w:r>
              <w:t>Decisions made by the Public Advocate under the</w:t>
            </w:r>
            <w:r w:rsidRPr="009C6C52">
              <w:rPr>
                <w:i/>
              </w:rPr>
              <w:t xml:space="preserve"> Medical Treatment Planning and Decisions Act 2016</w:t>
            </w:r>
            <w:r>
              <w:t xml:space="preserve"> (Office of the Public Advocate)</w:t>
            </w:r>
          </w:p>
        </w:tc>
        <w:tc>
          <w:tcPr>
            <w:tcW w:w="964" w:type="dxa"/>
            <w:tcBorders>
              <w:bottom w:val="single" w:sz="6" w:space="0" w:color="auto"/>
            </w:tcBorders>
          </w:tcPr>
          <w:p w14:paraId="0B76879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D3C88C4" w14:textId="1E4FA516" w:rsidR="00824558" w:rsidRDefault="00824558">
            <w:pPr>
              <w:cnfStyle w:val="000000000000" w:firstRow="0" w:lastRow="0" w:firstColumn="0" w:lastColumn="0" w:oddVBand="0" w:evenVBand="0" w:oddHBand="0" w:evenHBand="0" w:firstRowFirstColumn="0" w:firstRowLastColumn="0" w:lastRowFirstColumn="0" w:lastRowLastColumn="0"/>
            </w:pPr>
            <w:r>
              <w:t>464</w:t>
            </w:r>
            <w:r w:rsidR="007942D1">
              <w:t xml:space="preserve"> – </w:t>
            </w:r>
            <w:r>
              <w:t>533</w:t>
            </w:r>
          </w:p>
        </w:tc>
        <w:tc>
          <w:tcPr>
            <w:tcW w:w="964" w:type="dxa"/>
            <w:tcBorders>
              <w:bottom w:val="single" w:sz="6" w:space="0" w:color="auto"/>
            </w:tcBorders>
          </w:tcPr>
          <w:p w14:paraId="7657AA08"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1C22E527" w14:textId="068C0177" w:rsidR="00824558" w:rsidRDefault="00824558">
            <w:pPr>
              <w:cnfStyle w:val="000000000000" w:firstRow="0" w:lastRow="0" w:firstColumn="0" w:lastColumn="0" w:oddVBand="0" w:evenVBand="0" w:oddHBand="0" w:evenHBand="0" w:firstRowFirstColumn="0" w:firstRowLastColumn="0" w:lastRowFirstColumn="0" w:lastRowLastColumn="0"/>
            </w:pPr>
            <w:r>
              <w:t>464</w:t>
            </w:r>
            <w:r w:rsidR="007942D1">
              <w:t xml:space="preserve"> – </w:t>
            </w:r>
            <w:r>
              <w:t>533</w:t>
            </w:r>
          </w:p>
        </w:tc>
        <w:tc>
          <w:tcPr>
            <w:tcW w:w="964" w:type="dxa"/>
            <w:tcBorders>
              <w:bottom w:val="single" w:sz="6" w:space="0" w:color="auto"/>
            </w:tcBorders>
          </w:tcPr>
          <w:p w14:paraId="01BDC08B" w14:textId="77777777" w:rsidR="00824558" w:rsidRDefault="00824558">
            <w:pPr>
              <w:cnfStyle w:val="000000000000" w:firstRow="0" w:lastRow="0" w:firstColumn="0" w:lastColumn="0" w:oddVBand="0" w:evenVBand="0" w:oddHBand="0" w:evenHBand="0" w:firstRowFirstColumn="0" w:firstRowLastColumn="0" w:lastRowFirstColumn="0" w:lastRowLastColumn="0"/>
            </w:pPr>
            <w:r>
              <w:t>502</w:t>
            </w:r>
          </w:p>
        </w:tc>
      </w:tr>
      <w:tr w:rsidR="00824558" w14:paraId="7A002A6F" w14:textId="77777777" w:rsidTr="004C35D0">
        <w:tc>
          <w:tcPr>
            <w:cnfStyle w:val="001000000000" w:firstRow="0" w:lastRow="0" w:firstColumn="1" w:lastColumn="0" w:oddVBand="0" w:evenVBand="0" w:oddHBand="0" w:evenHBand="0" w:firstRowFirstColumn="0" w:firstRowLastColumn="0" w:lastRowFirstColumn="0" w:lastRowLastColumn="0"/>
            <w:tcW w:w="4819" w:type="dxa"/>
          </w:tcPr>
          <w:p w14:paraId="267BFDBE" w14:textId="77777777" w:rsidR="00824558" w:rsidRDefault="00824558">
            <w:pPr>
              <w:keepNext/>
              <w:ind w:left="170"/>
            </w:pPr>
            <w:r>
              <w:t>Education and information sessions delivered by the Victorian Equal Opportunity and Human Rights Commission</w:t>
            </w:r>
          </w:p>
        </w:tc>
        <w:tc>
          <w:tcPr>
            <w:tcW w:w="964" w:type="dxa"/>
          </w:tcPr>
          <w:p w14:paraId="7DC2345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E5FEBE4"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60E9597A" w14:textId="77777777" w:rsidR="00824558" w:rsidRDefault="00824558">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731A7A61" w14:textId="77777777" w:rsidR="00824558" w:rsidRDefault="00824558">
            <w:pPr>
              <w:cnfStyle w:val="000000000000" w:firstRow="0" w:lastRow="0" w:firstColumn="0" w:lastColumn="0" w:oddVBand="0" w:evenVBand="0" w:oddHBand="0" w:evenHBand="0" w:firstRowFirstColumn="0" w:firstRowLastColumn="0" w:lastRowFirstColumn="0" w:lastRowLastColumn="0"/>
            </w:pPr>
            <w:r>
              <w:t>1 500</w:t>
            </w:r>
          </w:p>
        </w:tc>
        <w:tc>
          <w:tcPr>
            <w:tcW w:w="964" w:type="dxa"/>
          </w:tcPr>
          <w:p w14:paraId="59D5CC01" w14:textId="77777777" w:rsidR="00824558" w:rsidRDefault="00824558">
            <w:pPr>
              <w:cnfStyle w:val="000000000000" w:firstRow="0" w:lastRow="0" w:firstColumn="0" w:lastColumn="0" w:oddVBand="0" w:evenVBand="0" w:oddHBand="0" w:evenHBand="0" w:firstRowFirstColumn="0" w:firstRowLastColumn="0" w:lastRowFirstColumn="0" w:lastRowLastColumn="0"/>
            </w:pPr>
            <w:r>
              <w:t>3 192</w:t>
            </w:r>
          </w:p>
        </w:tc>
      </w:tr>
      <w:tr w:rsidR="00824558" w14:paraId="6FB5EF37"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368EFFD" w14:textId="77777777" w:rsidR="00824558" w:rsidRDefault="00824558">
            <w:pPr>
              <w:ind w:left="170"/>
            </w:pPr>
            <w:r>
              <w:rPr>
                <w:i/>
              </w:rPr>
              <w:t>The 2025-26 expected outcome is higher than the 2025-26 target due to the sustained increase in demand for VEOHRC digital e</w:t>
            </w:r>
            <w:r>
              <w:rPr>
                <w:i/>
              </w:rPr>
              <w:noBreakHyphen/>
              <w:t>learning products.</w:t>
            </w:r>
          </w:p>
          <w:p w14:paraId="1BCBACEE" w14:textId="77777777" w:rsidR="00824558" w:rsidRDefault="00824558">
            <w:pPr>
              <w:ind w:left="170"/>
            </w:pPr>
            <w:r>
              <w:rPr>
                <w:i/>
              </w:rPr>
              <w:t>The higher 2026-27 target reflects this increased demand.</w:t>
            </w:r>
          </w:p>
        </w:tc>
      </w:tr>
      <w:tr w:rsidR="00824558" w14:paraId="66EADA36"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bottom w:val="nil"/>
            </w:tcBorders>
          </w:tcPr>
          <w:p w14:paraId="31A6F922" w14:textId="77777777" w:rsidR="00824558" w:rsidRPr="008A213E" w:rsidRDefault="00824558">
            <w:pPr>
              <w:keepNext/>
              <w:ind w:left="170"/>
            </w:pPr>
            <w:r w:rsidRPr="008A213E">
              <w:t>Inbound and outbound calls from the Victims of Crime Helpline</w:t>
            </w:r>
          </w:p>
        </w:tc>
        <w:tc>
          <w:tcPr>
            <w:tcW w:w="964" w:type="dxa"/>
            <w:tcBorders>
              <w:top w:val="single" w:sz="4" w:space="0" w:color="auto"/>
              <w:bottom w:val="nil"/>
            </w:tcBorders>
          </w:tcPr>
          <w:p w14:paraId="6DB0536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4" w:space="0" w:color="auto"/>
              <w:bottom w:val="nil"/>
            </w:tcBorders>
            <w:shd w:val="clear" w:color="auto" w:fill="F0F0F0"/>
          </w:tcPr>
          <w:p w14:paraId="207CB69E" w14:textId="77777777" w:rsidR="00824558" w:rsidRDefault="00824558">
            <w:pPr>
              <w:cnfStyle w:val="000000000000" w:firstRow="0" w:lastRow="0" w:firstColumn="0" w:lastColumn="0" w:oddVBand="0" w:evenVBand="0" w:oddHBand="0" w:evenHBand="0" w:firstRowFirstColumn="0" w:firstRowLastColumn="0" w:lastRowFirstColumn="0" w:lastRowLastColumn="0"/>
            </w:pPr>
            <w:r>
              <w:t>37 000</w:t>
            </w:r>
          </w:p>
        </w:tc>
        <w:tc>
          <w:tcPr>
            <w:tcW w:w="964" w:type="dxa"/>
            <w:tcBorders>
              <w:top w:val="single" w:sz="4" w:space="0" w:color="auto"/>
              <w:bottom w:val="nil"/>
            </w:tcBorders>
          </w:tcPr>
          <w:p w14:paraId="6B768C5C" w14:textId="77777777" w:rsidR="00824558" w:rsidRDefault="00824558">
            <w:pPr>
              <w:cnfStyle w:val="000000000000" w:firstRow="0" w:lastRow="0" w:firstColumn="0" w:lastColumn="0" w:oddVBand="0" w:evenVBand="0" w:oddHBand="0" w:evenHBand="0" w:firstRowFirstColumn="0" w:firstRowLastColumn="0" w:lastRowFirstColumn="0" w:lastRowLastColumn="0"/>
            </w:pPr>
            <w:r>
              <w:t>29 489</w:t>
            </w:r>
          </w:p>
        </w:tc>
        <w:tc>
          <w:tcPr>
            <w:tcW w:w="964" w:type="dxa"/>
            <w:tcBorders>
              <w:top w:val="single" w:sz="4" w:space="0" w:color="auto"/>
              <w:bottom w:val="nil"/>
            </w:tcBorders>
          </w:tcPr>
          <w:p w14:paraId="3DF391C5" w14:textId="77777777" w:rsidR="00824558" w:rsidRDefault="00824558">
            <w:pPr>
              <w:cnfStyle w:val="000000000000" w:firstRow="0" w:lastRow="0" w:firstColumn="0" w:lastColumn="0" w:oddVBand="0" w:evenVBand="0" w:oddHBand="0" w:evenHBand="0" w:firstRowFirstColumn="0" w:firstRowLastColumn="0" w:lastRowFirstColumn="0" w:lastRowLastColumn="0"/>
            </w:pPr>
            <w:r>
              <w:t>37 000</w:t>
            </w:r>
          </w:p>
        </w:tc>
        <w:tc>
          <w:tcPr>
            <w:tcW w:w="964" w:type="dxa"/>
            <w:tcBorders>
              <w:top w:val="single" w:sz="4" w:space="0" w:color="auto"/>
              <w:bottom w:val="nil"/>
            </w:tcBorders>
          </w:tcPr>
          <w:p w14:paraId="442BFF38"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9FB95F1"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4" w:space="0" w:color="auto"/>
            </w:tcBorders>
          </w:tcPr>
          <w:p w14:paraId="5AC245C6" w14:textId="77777777" w:rsidR="00824558" w:rsidRPr="008A213E" w:rsidRDefault="00824558">
            <w:pPr>
              <w:ind w:left="170"/>
            </w:pPr>
            <w:r w:rsidRPr="008A213E">
              <w:rPr>
                <w:i/>
              </w:rPr>
              <w:t>The 2025-26 expected outcome is lower than the 2025-26 target due to changes that occurred from the implementation of the Demand Management Plan in 2023-24</w:t>
            </w:r>
            <w:r w:rsidRPr="008A213E">
              <w:t>.</w:t>
            </w:r>
          </w:p>
        </w:tc>
      </w:tr>
      <w:tr w:rsidR="00824558" w14:paraId="722F9726"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tcBorders>
          </w:tcPr>
          <w:p w14:paraId="73B436A8" w14:textId="77777777" w:rsidR="00824558" w:rsidRDefault="00824558">
            <w:pPr>
              <w:keepNext/>
              <w:ind w:left="170"/>
            </w:pPr>
            <w:r>
              <w:t>Information and advice provided by the Office of the Public Advocate</w:t>
            </w:r>
          </w:p>
        </w:tc>
        <w:tc>
          <w:tcPr>
            <w:tcW w:w="964" w:type="dxa"/>
            <w:tcBorders>
              <w:top w:val="single" w:sz="4" w:space="0" w:color="auto"/>
            </w:tcBorders>
          </w:tcPr>
          <w:p w14:paraId="63A1D1C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4" w:space="0" w:color="auto"/>
            </w:tcBorders>
            <w:shd w:val="clear" w:color="auto" w:fill="F0F0F0"/>
          </w:tcPr>
          <w:p w14:paraId="51F8A35E" w14:textId="77777777" w:rsidR="00824558" w:rsidRDefault="00824558">
            <w:pPr>
              <w:cnfStyle w:val="000000000000" w:firstRow="0" w:lastRow="0" w:firstColumn="0" w:lastColumn="0" w:oddVBand="0" w:evenVBand="0" w:oddHBand="0" w:evenHBand="0" w:firstRowFirstColumn="0" w:firstRowLastColumn="0" w:lastRowFirstColumn="0" w:lastRowLastColumn="0"/>
            </w:pPr>
            <w:r>
              <w:t>10 500</w:t>
            </w:r>
          </w:p>
        </w:tc>
        <w:tc>
          <w:tcPr>
            <w:tcW w:w="964" w:type="dxa"/>
            <w:tcBorders>
              <w:top w:val="single" w:sz="4" w:space="0" w:color="auto"/>
            </w:tcBorders>
          </w:tcPr>
          <w:p w14:paraId="4AA02736" w14:textId="77777777" w:rsidR="00824558" w:rsidRDefault="00824558">
            <w:pPr>
              <w:cnfStyle w:val="000000000000" w:firstRow="0" w:lastRow="0" w:firstColumn="0" w:lastColumn="0" w:oddVBand="0" w:evenVBand="0" w:oddHBand="0" w:evenHBand="0" w:firstRowFirstColumn="0" w:firstRowLastColumn="0" w:lastRowFirstColumn="0" w:lastRowLastColumn="0"/>
            </w:pPr>
            <w:r>
              <w:t>13 500</w:t>
            </w:r>
          </w:p>
        </w:tc>
        <w:tc>
          <w:tcPr>
            <w:tcW w:w="964" w:type="dxa"/>
            <w:tcBorders>
              <w:top w:val="single" w:sz="4" w:space="0" w:color="auto"/>
            </w:tcBorders>
          </w:tcPr>
          <w:p w14:paraId="7D0D2931" w14:textId="77777777" w:rsidR="00824558" w:rsidRDefault="00824558">
            <w:pPr>
              <w:cnfStyle w:val="000000000000" w:firstRow="0" w:lastRow="0" w:firstColumn="0" w:lastColumn="0" w:oddVBand="0" w:evenVBand="0" w:oddHBand="0" w:evenHBand="0" w:firstRowFirstColumn="0" w:firstRowLastColumn="0" w:lastRowFirstColumn="0" w:lastRowLastColumn="0"/>
            </w:pPr>
            <w:r>
              <w:t>10 500</w:t>
            </w:r>
          </w:p>
        </w:tc>
        <w:tc>
          <w:tcPr>
            <w:tcW w:w="964" w:type="dxa"/>
            <w:tcBorders>
              <w:top w:val="single" w:sz="4" w:space="0" w:color="auto"/>
            </w:tcBorders>
          </w:tcPr>
          <w:p w14:paraId="7CF23030" w14:textId="77777777" w:rsidR="00824558" w:rsidRDefault="00824558">
            <w:pPr>
              <w:cnfStyle w:val="000000000000" w:firstRow="0" w:lastRow="0" w:firstColumn="0" w:lastColumn="0" w:oddVBand="0" w:evenVBand="0" w:oddHBand="0" w:evenHBand="0" w:firstRowFirstColumn="0" w:firstRowLastColumn="0" w:lastRowFirstColumn="0" w:lastRowLastColumn="0"/>
            </w:pPr>
            <w:r>
              <w:t>14 386</w:t>
            </w:r>
          </w:p>
        </w:tc>
      </w:tr>
      <w:tr w:rsidR="00824558" w14:paraId="266D81E5"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C6746F" w14:textId="77777777" w:rsidR="00824558" w:rsidRDefault="00824558">
            <w:pPr>
              <w:ind w:left="170"/>
            </w:pPr>
            <w:r>
              <w:rPr>
                <w:i/>
              </w:rPr>
              <w:t>The 2025-26 expected outcome is higher than the 2025-26 target due to higher than expected demand for the service largely driven by the delivery of a short-term education project.</w:t>
            </w:r>
          </w:p>
        </w:tc>
      </w:tr>
      <w:tr w:rsidR="00824558" w14:paraId="31579E1B"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521CF12D" w14:textId="77777777" w:rsidR="00824558" w:rsidRPr="008A213E" w:rsidRDefault="00824558">
            <w:pPr>
              <w:ind w:left="170"/>
            </w:pPr>
            <w:r w:rsidRPr="008A213E">
              <w:t>New and continuing registrations on the Victims Register</w:t>
            </w:r>
          </w:p>
        </w:tc>
        <w:tc>
          <w:tcPr>
            <w:tcW w:w="964" w:type="dxa"/>
            <w:tcBorders>
              <w:bottom w:val="nil"/>
            </w:tcBorders>
          </w:tcPr>
          <w:p w14:paraId="3B5D3406" w14:textId="77777777" w:rsidR="00824558" w:rsidRPr="008A213E" w:rsidRDefault="00824558">
            <w:pPr>
              <w:jc w:val="center"/>
              <w:cnfStyle w:val="000000000000" w:firstRow="0" w:lastRow="0" w:firstColumn="0" w:lastColumn="0" w:oddVBand="0" w:evenVBand="0" w:oddHBand="0" w:evenHBand="0" w:firstRowFirstColumn="0" w:firstRowLastColumn="0" w:lastRowFirstColumn="0" w:lastRowLastColumn="0"/>
            </w:pPr>
            <w:r w:rsidRPr="008A213E">
              <w:t>number</w:t>
            </w:r>
          </w:p>
        </w:tc>
        <w:tc>
          <w:tcPr>
            <w:tcW w:w="964" w:type="dxa"/>
            <w:tcBorders>
              <w:bottom w:val="nil"/>
            </w:tcBorders>
            <w:shd w:val="clear" w:color="auto" w:fill="F0F0F0"/>
          </w:tcPr>
          <w:p w14:paraId="01A19A82" w14:textId="77777777" w:rsidR="00824558" w:rsidRPr="008A213E" w:rsidRDefault="00824558">
            <w:pPr>
              <w:cnfStyle w:val="000000000000" w:firstRow="0" w:lastRow="0" w:firstColumn="0" w:lastColumn="0" w:oddVBand="0" w:evenVBand="0" w:oddHBand="0" w:evenHBand="0" w:firstRowFirstColumn="0" w:firstRowLastColumn="0" w:lastRowFirstColumn="0" w:lastRowLastColumn="0"/>
            </w:pPr>
            <w:r w:rsidRPr="008A213E">
              <w:t>1 500</w:t>
            </w:r>
          </w:p>
        </w:tc>
        <w:tc>
          <w:tcPr>
            <w:tcW w:w="964" w:type="dxa"/>
            <w:tcBorders>
              <w:bottom w:val="nil"/>
            </w:tcBorders>
          </w:tcPr>
          <w:p w14:paraId="2FB115EA" w14:textId="77777777" w:rsidR="00824558" w:rsidRPr="008A213E" w:rsidRDefault="00824558">
            <w:pPr>
              <w:cnfStyle w:val="000000000000" w:firstRow="0" w:lastRow="0" w:firstColumn="0" w:lastColumn="0" w:oddVBand="0" w:evenVBand="0" w:oddHBand="0" w:evenHBand="0" w:firstRowFirstColumn="0" w:firstRowLastColumn="0" w:lastRowFirstColumn="0" w:lastRowLastColumn="0"/>
            </w:pPr>
            <w:r w:rsidRPr="008A213E">
              <w:t>1 770</w:t>
            </w:r>
          </w:p>
        </w:tc>
        <w:tc>
          <w:tcPr>
            <w:tcW w:w="964" w:type="dxa"/>
            <w:tcBorders>
              <w:bottom w:val="nil"/>
            </w:tcBorders>
          </w:tcPr>
          <w:p w14:paraId="37A27DB0" w14:textId="77777777" w:rsidR="00824558" w:rsidRPr="008A213E" w:rsidRDefault="00824558">
            <w:pPr>
              <w:cnfStyle w:val="000000000000" w:firstRow="0" w:lastRow="0" w:firstColumn="0" w:lastColumn="0" w:oddVBand="0" w:evenVBand="0" w:oddHBand="0" w:evenHBand="0" w:firstRowFirstColumn="0" w:firstRowLastColumn="0" w:lastRowFirstColumn="0" w:lastRowLastColumn="0"/>
            </w:pPr>
            <w:r w:rsidRPr="008A213E">
              <w:t>1 500</w:t>
            </w:r>
          </w:p>
        </w:tc>
        <w:tc>
          <w:tcPr>
            <w:tcW w:w="964" w:type="dxa"/>
            <w:tcBorders>
              <w:bottom w:val="nil"/>
            </w:tcBorders>
          </w:tcPr>
          <w:p w14:paraId="6FBC9972" w14:textId="77777777" w:rsidR="00824558" w:rsidRPr="008A213E" w:rsidRDefault="00824558">
            <w:pPr>
              <w:cnfStyle w:val="000000000000" w:firstRow="0" w:lastRow="0" w:firstColumn="0" w:lastColumn="0" w:oddVBand="0" w:evenVBand="0" w:oddHBand="0" w:evenHBand="0" w:firstRowFirstColumn="0" w:firstRowLastColumn="0" w:lastRowFirstColumn="0" w:lastRowLastColumn="0"/>
            </w:pPr>
            <w:r w:rsidRPr="008A213E">
              <w:t>nm</w:t>
            </w:r>
          </w:p>
        </w:tc>
      </w:tr>
      <w:tr w:rsidR="00824558" w14:paraId="3E931530"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5936AC" w14:textId="77777777" w:rsidR="00824558" w:rsidRPr="008A213E" w:rsidRDefault="00824558">
            <w:pPr>
              <w:ind w:left="170"/>
            </w:pPr>
            <w:r w:rsidRPr="00BE08F1">
              <w:rPr>
                <w:i/>
              </w:rPr>
              <w:t>The 2025-26 expected outcome is higher than the 2025-26 target due to the continued work to increase awareness and accessibility of the service, including the expansion of accepted identification documents and enhancements to the online application form</w:t>
            </w:r>
            <w:r w:rsidRPr="008A213E">
              <w:t>.</w:t>
            </w:r>
          </w:p>
        </w:tc>
      </w:tr>
      <w:tr w:rsidR="00824558" w14:paraId="6824F04D"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2BA0AED3" w14:textId="77777777" w:rsidR="00824558" w:rsidRPr="008A213E" w:rsidRDefault="00824558">
            <w:pPr>
              <w:ind w:left="170"/>
            </w:pPr>
            <w:r w:rsidRPr="008A213E">
              <w:t>New and ongoing clients receiving a service from the Victims Assistance Program</w:t>
            </w:r>
          </w:p>
        </w:tc>
        <w:tc>
          <w:tcPr>
            <w:tcW w:w="964" w:type="dxa"/>
            <w:tcBorders>
              <w:top w:val="single" w:sz="6" w:space="0" w:color="auto"/>
              <w:bottom w:val="nil"/>
            </w:tcBorders>
          </w:tcPr>
          <w:p w14:paraId="4E5FAD1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nil"/>
            </w:tcBorders>
            <w:shd w:val="clear" w:color="auto" w:fill="F0F0F0"/>
          </w:tcPr>
          <w:p w14:paraId="477F4BE7"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Borders>
              <w:top w:val="single" w:sz="6" w:space="0" w:color="auto"/>
              <w:bottom w:val="nil"/>
            </w:tcBorders>
          </w:tcPr>
          <w:p w14:paraId="798FB7E1" w14:textId="77777777" w:rsidR="00824558" w:rsidRDefault="00824558">
            <w:pPr>
              <w:cnfStyle w:val="000000000000" w:firstRow="0" w:lastRow="0" w:firstColumn="0" w:lastColumn="0" w:oddVBand="0" w:evenVBand="0" w:oddHBand="0" w:evenHBand="0" w:firstRowFirstColumn="0" w:firstRowLastColumn="0" w:lastRowFirstColumn="0" w:lastRowLastColumn="0"/>
            </w:pPr>
            <w:r>
              <w:t>11 621</w:t>
            </w:r>
          </w:p>
        </w:tc>
        <w:tc>
          <w:tcPr>
            <w:tcW w:w="964" w:type="dxa"/>
            <w:tcBorders>
              <w:top w:val="single" w:sz="6" w:space="0" w:color="auto"/>
              <w:bottom w:val="nil"/>
            </w:tcBorders>
          </w:tcPr>
          <w:p w14:paraId="198E2036"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Borders>
              <w:top w:val="single" w:sz="6" w:space="0" w:color="auto"/>
              <w:bottom w:val="nil"/>
            </w:tcBorders>
          </w:tcPr>
          <w:p w14:paraId="7C7679A0" w14:textId="77777777" w:rsidR="00824558" w:rsidRDefault="00824558">
            <w:pPr>
              <w:cnfStyle w:val="000000000000" w:firstRow="0" w:lastRow="0" w:firstColumn="0" w:lastColumn="0" w:oddVBand="0" w:evenVBand="0" w:oddHBand="0" w:evenHBand="0" w:firstRowFirstColumn="0" w:firstRowLastColumn="0" w:lastRowFirstColumn="0" w:lastRowLastColumn="0"/>
            </w:pPr>
            <w:r>
              <w:t>11 378</w:t>
            </w:r>
          </w:p>
        </w:tc>
      </w:tr>
      <w:tr w:rsidR="00824558" w14:paraId="2CC4DA68"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nil"/>
            </w:tcBorders>
          </w:tcPr>
          <w:p w14:paraId="6C239981" w14:textId="77777777" w:rsidR="00824558" w:rsidRPr="008A213E" w:rsidRDefault="00824558">
            <w:pPr>
              <w:ind w:left="170"/>
            </w:pPr>
            <w:r w:rsidRPr="008A213E">
              <w:rPr>
                <w:i/>
              </w:rPr>
              <w:t>The 2025-26 expected outcome is higher than the 2025-26 target due to updated service model and contractual requirements introduced which mandate that Victims Assistance Program clients are supported until the completion of criminal justice processes, which can be protracted.</w:t>
            </w:r>
          </w:p>
        </w:tc>
      </w:tr>
      <w:tr w:rsidR="00824558" w14:paraId="4D772DD0"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6FB9B08" w14:textId="7F16A10F" w:rsidR="00824558" w:rsidRPr="008A213E" w:rsidRDefault="00824558">
            <w:pPr>
              <w:ind w:left="170"/>
              <w:rPr>
                <w:i/>
              </w:rPr>
            </w:pPr>
            <w:r w:rsidRPr="008A213E">
              <w:rPr>
                <w:i/>
              </w:rPr>
              <w:t xml:space="preserve">This performance measure renames the 2025-26 performance measure </w:t>
            </w:r>
            <w:r w:rsidR="007942D1">
              <w:rPr>
                <w:i/>
              </w:rPr>
              <w:t>‘</w:t>
            </w:r>
            <w:r w:rsidRPr="008A213E">
              <w:rPr>
                <w:i/>
              </w:rPr>
              <w:t>Victims receiving a service from the Victims Assistance Program</w:t>
            </w:r>
            <w:r w:rsidR="007942D1">
              <w:rPr>
                <w:i/>
              </w:rPr>
              <w:t>’</w:t>
            </w:r>
            <w:r w:rsidRPr="008A213E">
              <w:rPr>
                <w:i/>
              </w:rPr>
              <w:t>. The renamed measure has been amended to increase clarity and accuracy of the underlying data. This measure reports on the same activity as the previous measure.</w:t>
            </w:r>
          </w:p>
        </w:tc>
      </w:tr>
      <w:tr w:rsidR="00824558" w14:paraId="44019336"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0256F55" w14:textId="77777777" w:rsidR="00824558" w:rsidRDefault="00824558">
            <w:pPr>
              <w:ind w:left="170"/>
            </w:pPr>
            <w:r>
              <w:t>Information and advice provided by the Victorian Equal Opportunity and Human Rights Commission</w:t>
            </w:r>
          </w:p>
        </w:tc>
        <w:tc>
          <w:tcPr>
            <w:tcW w:w="964" w:type="dxa"/>
            <w:tcBorders>
              <w:top w:val="single" w:sz="6" w:space="0" w:color="auto"/>
              <w:bottom w:val="single" w:sz="6" w:space="0" w:color="auto"/>
            </w:tcBorders>
          </w:tcPr>
          <w:p w14:paraId="672D09D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45E03209"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7 500</w:t>
            </w:r>
          </w:p>
        </w:tc>
        <w:tc>
          <w:tcPr>
            <w:tcW w:w="964" w:type="dxa"/>
            <w:tcBorders>
              <w:top w:val="single" w:sz="6" w:space="0" w:color="auto"/>
              <w:bottom w:val="single" w:sz="6" w:space="0" w:color="auto"/>
            </w:tcBorders>
          </w:tcPr>
          <w:p w14:paraId="44EC5970"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7 500</w:t>
            </w:r>
          </w:p>
        </w:tc>
        <w:tc>
          <w:tcPr>
            <w:tcW w:w="964" w:type="dxa"/>
            <w:tcBorders>
              <w:top w:val="single" w:sz="6" w:space="0" w:color="auto"/>
              <w:bottom w:val="single" w:sz="6" w:space="0" w:color="auto"/>
            </w:tcBorders>
          </w:tcPr>
          <w:p w14:paraId="3A2FF32E" w14:textId="77777777" w:rsidR="00824558" w:rsidRDefault="00824558">
            <w:pPr>
              <w:cnfStyle w:val="000000000000" w:firstRow="0" w:lastRow="0" w:firstColumn="0" w:lastColumn="0" w:oddVBand="0" w:evenVBand="0" w:oddHBand="0" w:evenHBand="0" w:firstRowFirstColumn="0" w:firstRowLastColumn="0" w:lastRowFirstColumn="0" w:lastRowLastColumn="0"/>
            </w:pPr>
            <w:r>
              <w:t>7 500</w:t>
            </w:r>
          </w:p>
        </w:tc>
        <w:tc>
          <w:tcPr>
            <w:tcW w:w="964" w:type="dxa"/>
            <w:tcBorders>
              <w:top w:val="single" w:sz="6" w:space="0" w:color="auto"/>
              <w:bottom w:val="single" w:sz="6" w:space="0" w:color="auto"/>
            </w:tcBorders>
          </w:tcPr>
          <w:p w14:paraId="5C910F37" w14:textId="77777777" w:rsidR="00824558" w:rsidRDefault="00824558">
            <w:pPr>
              <w:cnfStyle w:val="000000000000" w:firstRow="0" w:lastRow="0" w:firstColumn="0" w:lastColumn="0" w:oddVBand="0" w:evenVBand="0" w:oddHBand="0" w:evenHBand="0" w:firstRowFirstColumn="0" w:firstRowLastColumn="0" w:lastRowFirstColumn="0" w:lastRowLastColumn="0"/>
            </w:pPr>
            <w:r>
              <w:t>5 945</w:t>
            </w:r>
          </w:p>
        </w:tc>
      </w:tr>
      <w:tr w:rsidR="00824558" w14:paraId="49C30605"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B795D7B" w14:textId="77777777" w:rsidR="00824558" w:rsidRDefault="00824558">
            <w:pPr>
              <w:ind w:left="170"/>
            </w:pPr>
            <w:r>
              <w:t>New guardianship and investigation orders of the Victorian Civil and Administrative Tribunal actioned by the Office of the Public Advocate</w:t>
            </w:r>
          </w:p>
        </w:tc>
        <w:tc>
          <w:tcPr>
            <w:tcW w:w="964" w:type="dxa"/>
            <w:tcBorders>
              <w:bottom w:val="single" w:sz="6" w:space="0" w:color="auto"/>
            </w:tcBorders>
          </w:tcPr>
          <w:p w14:paraId="4A03E98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322186A" w14:textId="77777777" w:rsidR="00824558" w:rsidRDefault="00824558">
            <w:pPr>
              <w:cnfStyle w:val="000000000000" w:firstRow="0" w:lastRow="0" w:firstColumn="0" w:lastColumn="0" w:oddVBand="0" w:evenVBand="0" w:oddHBand="0" w:evenHBand="0" w:firstRowFirstColumn="0" w:firstRowLastColumn="0" w:lastRowFirstColumn="0" w:lastRowLastColumn="0"/>
            </w:pPr>
            <w:r>
              <w:t>1 160 – 1 300</w:t>
            </w:r>
          </w:p>
        </w:tc>
        <w:tc>
          <w:tcPr>
            <w:tcW w:w="964" w:type="dxa"/>
            <w:tcBorders>
              <w:bottom w:val="single" w:sz="6" w:space="0" w:color="auto"/>
            </w:tcBorders>
          </w:tcPr>
          <w:p w14:paraId="1E0F5B79" w14:textId="77777777" w:rsidR="00824558" w:rsidRDefault="00824558">
            <w:pPr>
              <w:cnfStyle w:val="000000000000" w:firstRow="0" w:lastRow="0" w:firstColumn="0" w:lastColumn="0" w:oddVBand="0" w:evenVBand="0" w:oddHBand="0" w:evenHBand="0" w:firstRowFirstColumn="0" w:firstRowLastColumn="0" w:lastRowFirstColumn="0" w:lastRowLastColumn="0"/>
            </w:pPr>
            <w:r>
              <w:t>1 120</w:t>
            </w:r>
          </w:p>
        </w:tc>
        <w:tc>
          <w:tcPr>
            <w:tcW w:w="964" w:type="dxa"/>
            <w:tcBorders>
              <w:bottom w:val="single" w:sz="6" w:space="0" w:color="auto"/>
            </w:tcBorders>
          </w:tcPr>
          <w:p w14:paraId="4E34F6F1" w14:textId="5DD16727" w:rsidR="00824558" w:rsidRDefault="00824558">
            <w:pPr>
              <w:cnfStyle w:val="000000000000" w:firstRow="0" w:lastRow="0" w:firstColumn="0" w:lastColumn="0" w:oddVBand="0" w:evenVBand="0" w:oddHBand="0" w:evenHBand="0" w:firstRowFirstColumn="0" w:firstRowLastColumn="0" w:lastRowFirstColumn="0" w:lastRowLastColumn="0"/>
            </w:pPr>
            <w:r>
              <w:t xml:space="preserve">1 160 </w:t>
            </w:r>
            <w:r w:rsidR="000B4528">
              <w:t>–</w:t>
            </w:r>
            <w:r>
              <w:t>1 300</w:t>
            </w:r>
          </w:p>
        </w:tc>
        <w:tc>
          <w:tcPr>
            <w:tcW w:w="964" w:type="dxa"/>
            <w:tcBorders>
              <w:bottom w:val="single" w:sz="6" w:space="0" w:color="auto"/>
            </w:tcBorders>
          </w:tcPr>
          <w:p w14:paraId="60F2480D" w14:textId="77777777" w:rsidR="00824558" w:rsidRDefault="00824558">
            <w:pPr>
              <w:cnfStyle w:val="000000000000" w:firstRow="0" w:lastRow="0" w:firstColumn="0" w:lastColumn="0" w:oddVBand="0" w:evenVBand="0" w:oddHBand="0" w:evenHBand="0" w:firstRowFirstColumn="0" w:firstRowLastColumn="0" w:lastRowFirstColumn="0" w:lastRowLastColumn="0"/>
            </w:pPr>
            <w:r>
              <w:t>1 166</w:t>
            </w:r>
          </w:p>
        </w:tc>
      </w:tr>
      <w:tr w:rsidR="00824558" w14:paraId="39AB104E"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59CACBDA" w14:textId="77777777" w:rsidR="00824558" w:rsidRPr="008A213E" w:rsidRDefault="00824558">
            <w:pPr>
              <w:ind w:left="170"/>
            </w:pPr>
            <w:r w:rsidRPr="008A213E">
              <w:t>Number of applications lodged with the Victims of Crime Financial Assistance Scheme</w:t>
            </w:r>
          </w:p>
        </w:tc>
        <w:tc>
          <w:tcPr>
            <w:tcW w:w="964" w:type="dxa"/>
            <w:tcBorders>
              <w:bottom w:val="nil"/>
            </w:tcBorders>
          </w:tcPr>
          <w:p w14:paraId="53FB427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693181A8" w14:textId="0DBFD799" w:rsidR="00824558" w:rsidRDefault="00824558">
            <w:pPr>
              <w:cnfStyle w:val="000000000000" w:firstRow="0" w:lastRow="0" w:firstColumn="0" w:lastColumn="0" w:oddVBand="0" w:evenVBand="0" w:oddHBand="0" w:evenHBand="0" w:firstRowFirstColumn="0" w:firstRowLastColumn="0" w:lastRowFirstColumn="0" w:lastRowLastColumn="0"/>
            </w:pPr>
            <w:r>
              <w:t>20</w:t>
            </w:r>
            <w:r w:rsidR="000B4528">
              <w:t xml:space="preserve"> </w:t>
            </w:r>
            <w:r>
              <w:t>000</w:t>
            </w:r>
          </w:p>
        </w:tc>
        <w:tc>
          <w:tcPr>
            <w:tcW w:w="964" w:type="dxa"/>
            <w:tcBorders>
              <w:bottom w:val="nil"/>
            </w:tcBorders>
          </w:tcPr>
          <w:p w14:paraId="2B47ED3D" w14:textId="77777777" w:rsidR="00824558" w:rsidRDefault="00824558">
            <w:pPr>
              <w:cnfStyle w:val="000000000000" w:firstRow="0" w:lastRow="0" w:firstColumn="0" w:lastColumn="0" w:oddVBand="0" w:evenVBand="0" w:oddHBand="0" w:evenHBand="0" w:firstRowFirstColumn="0" w:firstRowLastColumn="0" w:lastRowFirstColumn="0" w:lastRowLastColumn="0"/>
            </w:pPr>
            <w:r>
              <w:t>17 850</w:t>
            </w:r>
          </w:p>
        </w:tc>
        <w:tc>
          <w:tcPr>
            <w:tcW w:w="964" w:type="dxa"/>
            <w:tcBorders>
              <w:bottom w:val="nil"/>
            </w:tcBorders>
          </w:tcPr>
          <w:p w14:paraId="01650386" w14:textId="15E2ACE7" w:rsidR="00824558" w:rsidRDefault="00824558">
            <w:pPr>
              <w:cnfStyle w:val="000000000000" w:firstRow="0" w:lastRow="0" w:firstColumn="0" w:lastColumn="0" w:oddVBand="0" w:evenVBand="0" w:oddHBand="0" w:evenHBand="0" w:firstRowFirstColumn="0" w:firstRowLastColumn="0" w:lastRowFirstColumn="0" w:lastRowLastColumn="0"/>
            </w:pPr>
            <w:r>
              <w:t xml:space="preserve"> 20</w:t>
            </w:r>
            <w:r w:rsidR="000B4528">
              <w:t xml:space="preserve"> </w:t>
            </w:r>
            <w:r>
              <w:t>000</w:t>
            </w:r>
          </w:p>
        </w:tc>
        <w:tc>
          <w:tcPr>
            <w:tcW w:w="964" w:type="dxa"/>
            <w:tcBorders>
              <w:bottom w:val="nil"/>
            </w:tcBorders>
          </w:tcPr>
          <w:p w14:paraId="1B44CE4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67B95DF"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29D4561" w14:textId="77777777" w:rsidR="00824558" w:rsidRPr="008A213E" w:rsidRDefault="00824558">
            <w:pPr>
              <w:ind w:left="170"/>
              <w:rPr>
                <w:i/>
              </w:rPr>
            </w:pPr>
            <w:r w:rsidRPr="008A213E">
              <w:rPr>
                <w:i/>
              </w:rPr>
              <w:t>The 2025-26 expected outcome is lower than the 2025-26 target due to assumptions in the original modelling, which was based on data from the previous Victims of Crime Assistance Tribunal (VOCAT) scheme. The modelling anticipated that the Financial Assistance Scheme (FAS), being largely online and designed for greater accessibility, would lead to increased application numbers and reduced reliance on legal representation. However, a large portion of FAS applicants continue to use lawyers resulting in lower than expected application numbers.</w:t>
            </w:r>
          </w:p>
        </w:tc>
      </w:tr>
      <w:tr w:rsidR="00824558" w14:paraId="3F1C7BF9"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1E315AC4" w14:textId="77777777" w:rsidR="00824558" w:rsidRDefault="00824558">
            <w:pPr>
              <w:keepNext/>
              <w:ind w:left="170"/>
            </w:pPr>
            <w:r>
              <w:t>Number of people supported to receive adoption information</w:t>
            </w:r>
          </w:p>
        </w:tc>
        <w:tc>
          <w:tcPr>
            <w:tcW w:w="964" w:type="dxa"/>
            <w:tcBorders>
              <w:top w:val="single" w:sz="6" w:space="0" w:color="auto"/>
            </w:tcBorders>
          </w:tcPr>
          <w:p w14:paraId="6673C10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01C03F39" w14:textId="77777777" w:rsidR="00824558" w:rsidRDefault="00824558">
            <w:pPr>
              <w:cnfStyle w:val="000000000000" w:firstRow="0" w:lastRow="0" w:firstColumn="0" w:lastColumn="0" w:oddVBand="0" w:evenVBand="0" w:oddHBand="0" w:evenHBand="0" w:firstRowFirstColumn="0" w:firstRowLastColumn="0" w:lastRowFirstColumn="0" w:lastRowLastColumn="0"/>
            </w:pPr>
            <w:r>
              <w:t>550</w:t>
            </w:r>
          </w:p>
        </w:tc>
        <w:tc>
          <w:tcPr>
            <w:tcW w:w="964" w:type="dxa"/>
            <w:tcBorders>
              <w:top w:val="single" w:sz="6" w:space="0" w:color="auto"/>
            </w:tcBorders>
          </w:tcPr>
          <w:p w14:paraId="47462AD9" w14:textId="77777777" w:rsidR="00824558" w:rsidRDefault="00824558">
            <w:pPr>
              <w:cnfStyle w:val="000000000000" w:firstRow="0" w:lastRow="0" w:firstColumn="0" w:lastColumn="0" w:oddVBand="0" w:evenVBand="0" w:oddHBand="0" w:evenHBand="0" w:firstRowFirstColumn="0" w:firstRowLastColumn="0" w:lastRowFirstColumn="0" w:lastRowLastColumn="0"/>
            </w:pPr>
            <w:r>
              <w:t>800</w:t>
            </w:r>
          </w:p>
        </w:tc>
        <w:tc>
          <w:tcPr>
            <w:tcW w:w="964" w:type="dxa"/>
            <w:tcBorders>
              <w:top w:val="single" w:sz="6" w:space="0" w:color="auto"/>
            </w:tcBorders>
          </w:tcPr>
          <w:p w14:paraId="69E6A910" w14:textId="77777777" w:rsidR="00824558" w:rsidRDefault="00824558">
            <w:pPr>
              <w:cnfStyle w:val="000000000000" w:firstRow="0" w:lastRow="0" w:firstColumn="0" w:lastColumn="0" w:oddVBand="0" w:evenVBand="0" w:oddHBand="0" w:evenHBand="0" w:firstRowFirstColumn="0" w:firstRowLastColumn="0" w:lastRowFirstColumn="0" w:lastRowLastColumn="0"/>
            </w:pPr>
            <w:r>
              <w:t>450</w:t>
            </w:r>
          </w:p>
        </w:tc>
        <w:tc>
          <w:tcPr>
            <w:tcW w:w="964" w:type="dxa"/>
            <w:tcBorders>
              <w:top w:val="single" w:sz="6" w:space="0" w:color="auto"/>
            </w:tcBorders>
          </w:tcPr>
          <w:p w14:paraId="50F0C0AD" w14:textId="77777777" w:rsidR="00824558" w:rsidRDefault="00824558">
            <w:pPr>
              <w:cnfStyle w:val="000000000000" w:firstRow="0" w:lastRow="0" w:firstColumn="0" w:lastColumn="0" w:oddVBand="0" w:evenVBand="0" w:oddHBand="0" w:evenHBand="0" w:firstRowFirstColumn="0" w:firstRowLastColumn="0" w:lastRowFirstColumn="0" w:lastRowLastColumn="0"/>
            </w:pPr>
            <w:r>
              <w:t>772</w:t>
            </w:r>
          </w:p>
        </w:tc>
      </w:tr>
      <w:tr w:rsidR="00824558" w14:paraId="4664900B"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2CCD21A" w14:textId="77777777" w:rsidR="00824558" w:rsidRDefault="00824558">
            <w:pPr>
              <w:ind w:left="170"/>
            </w:pPr>
            <w:r>
              <w:rPr>
                <w:i/>
              </w:rPr>
              <w:t>The 2025-26 expected outcome is higher than the 2025-26 target due to a change in legislation enabling greater access to adoption information to organisations and natural relatives, as well as increased demand related to the Historical Forced Adoption Scheme.</w:t>
            </w:r>
          </w:p>
          <w:p w14:paraId="46A516B2" w14:textId="77777777" w:rsidR="00824558" w:rsidRDefault="00824558">
            <w:pPr>
              <w:ind w:left="170"/>
            </w:pPr>
            <w:r>
              <w:rPr>
                <w:i/>
              </w:rPr>
              <w:t>The higher 2026-27 target reflects these changes.</w:t>
            </w:r>
          </w:p>
        </w:tc>
      </w:tr>
      <w:tr w:rsidR="00824558" w14:paraId="244A2AE9"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AF6C69F" w14:textId="77777777" w:rsidR="00824558" w:rsidRPr="00782A9A" w:rsidRDefault="00824558">
            <w:pPr>
              <w:ind w:left="170"/>
            </w:pPr>
            <w:r w:rsidRPr="00782A9A">
              <w:lastRenderedPageBreak/>
              <w:t>Public Advocate auspiced volunteer interventions for people with disability (Office of the Public Advocate)</w:t>
            </w:r>
          </w:p>
        </w:tc>
        <w:tc>
          <w:tcPr>
            <w:tcW w:w="964" w:type="dxa"/>
            <w:tcBorders>
              <w:bottom w:val="single" w:sz="6" w:space="0" w:color="auto"/>
            </w:tcBorders>
          </w:tcPr>
          <w:p w14:paraId="082E8653" w14:textId="77777777" w:rsidR="00824558" w:rsidRPr="00782A9A" w:rsidRDefault="00824558">
            <w:pPr>
              <w:jc w:val="center"/>
              <w:cnfStyle w:val="000000000000" w:firstRow="0" w:lastRow="0" w:firstColumn="0" w:lastColumn="0" w:oddVBand="0" w:evenVBand="0" w:oddHBand="0" w:evenHBand="0" w:firstRowFirstColumn="0" w:firstRowLastColumn="0" w:lastRowFirstColumn="0" w:lastRowLastColumn="0"/>
            </w:pPr>
            <w:r w:rsidRPr="00782A9A">
              <w:t>number</w:t>
            </w:r>
          </w:p>
        </w:tc>
        <w:tc>
          <w:tcPr>
            <w:tcW w:w="964" w:type="dxa"/>
            <w:tcBorders>
              <w:bottom w:val="single" w:sz="6" w:space="0" w:color="auto"/>
            </w:tcBorders>
            <w:shd w:val="clear" w:color="auto" w:fill="F0F0F0"/>
          </w:tcPr>
          <w:p w14:paraId="7BE3D958" w14:textId="1A9D2D36"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 xml:space="preserve">8 000 </w:t>
            </w:r>
            <w:r w:rsidR="000B4528" w:rsidRPr="00782A9A">
              <w:t>–</w:t>
            </w:r>
            <w:r w:rsidRPr="00782A9A">
              <w:t>9 000</w:t>
            </w:r>
          </w:p>
        </w:tc>
        <w:tc>
          <w:tcPr>
            <w:tcW w:w="964" w:type="dxa"/>
            <w:tcBorders>
              <w:bottom w:val="single" w:sz="6" w:space="0" w:color="auto"/>
            </w:tcBorders>
          </w:tcPr>
          <w:p w14:paraId="6F15F1D6"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9 000</w:t>
            </w:r>
          </w:p>
        </w:tc>
        <w:tc>
          <w:tcPr>
            <w:tcW w:w="964" w:type="dxa"/>
            <w:tcBorders>
              <w:bottom w:val="single" w:sz="6" w:space="0" w:color="auto"/>
            </w:tcBorders>
          </w:tcPr>
          <w:p w14:paraId="37EB9C19" w14:textId="3C7DE969"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8 000</w:t>
            </w:r>
            <w:r w:rsidR="007942D1" w:rsidRPr="00782A9A">
              <w:t xml:space="preserve"> – </w:t>
            </w:r>
            <w:r w:rsidRPr="00782A9A">
              <w:t>9 000</w:t>
            </w:r>
          </w:p>
        </w:tc>
        <w:tc>
          <w:tcPr>
            <w:tcW w:w="964" w:type="dxa"/>
            <w:tcBorders>
              <w:bottom w:val="single" w:sz="6" w:space="0" w:color="auto"/>
            </w:tcBorders>
          </w:tcPr>
          <w:p w14:paraId="64D04093"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8 485</w:t>
            </w:r>
          </w:p>
        </w:tc>
      </w:tr>
      <w:tr w:rsidR="00824558" w14:paraId="142D4394"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4C5CE883" w14:textId="77777777" w:rsidR="00824558" w:rsidRPr="00782A9A" w:rsidRDefault="00824558">
            <w:pPr>
              <w:ind w:left="170"/>
            </w:pPr>
            <w:r w:rsidRPr="00782A9A">
              <w:t>Referrals received by the Victims of Crime Helpline</w:t>
            </w:r>
          </w:p>
        </w:tc>
        <w:tc>
          <w:tcPr>
            <w:tcW w:w="964" w:type="dxa"/>
            <w:tcBorders>
              <w:top w:val="single" w:sz="6" w:space="0" w:color="auto"/>
              <w:bottom w:val="nil"/>
            </w:tcBorders>
          </w:tcPr>
          <w:p w14:paraId="2350C873" w14:textId="77777777" w:rsidR="00824558" w:rsidRPr="00782A9A" w:rsidRDefault="00824558">
            <w:pPr>
              <w:jc w:val="center"/>
              <w:cnfStyle w:val="000000000000" w:firstRow="0" w:lastRow="0" w:firstColumn="0" w:lastColumn="0" w:oddVBand="0" w:evenVBand="0" w:oddHBand="0" w:evenHBand="0" w:firstRowFirstColumn="0" w:firstRowLastColumn="0" w:lastRowFirstColumn="0" w:lastRowLastColumn="0"/>
            </w:pPr>
            <w:r w:rsidRPr="00782A9A">
              <w:t>number</w:t>
            </w:r>
          </w:p>
        </w:tc>
        <w:tc>
          <w:tcPr>
            <w:tcW w:w="964" w:type="dxa"/>
            <w:tcBorders>
              <w:top w:val="single" w:sz="6" w:space="0" w:color="auto"/>
              <w:bottom w:val="nil"/>
            </w:tcBorders>
            <w:shd w:val="clear" w:color="auto" w:fill="F0F0F0"/>
          </w:tcPr>
          <w:p w14:paraId="6D26BBF7"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27 000</w:t>
            </w:r>
          </w:p>
        </w:tc>
        <w:tc>
          <w:tcPr>
            <w:tcW w:w="964" w:type="dxa"/>
            <w:tcBorders>
              <w:top w:val="single" w:sz="6" w:space="0" w:color="auto"/>
              <w:bottom w:val="nil"/>
            </w:tcBorders>
          </w:tcPr>
          <w:p w14:paraId="0205EAEB"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34 584</w:t>
            </w:r>
          </w:p>
        </w:tc>
        <w:tc>
          <w:tcPr>
            <w:tcW w:w="964" w:type="dxa"/>
            <w:tcBorders>
              <w:top w:val="single" w:sz="6" w:space="0" w:color="auto"/>
              <w:bottom w:val="nil"/>
            </w:tcBorders>
          </w:tcPr>
          <w:p w14:paraId="3811FA56"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27 000</w:t>
            </w:r>
          </w:p>
        </w:tc>
        <w:tc>
          <w:tcPr>
            <w:tcW w:w="964" w:type="dxa"/>
            <w:tcBorders>
              <w:top w:val="single" w:sz="6" w:space="0" w:color="auto"/>
              <w:bottom w:val="nil"/>
            </w:tcBorders>
          </w:tcPr>
          <w:p w14:paraId="24BD7B3B" w14:textId="77777777" w:rsidR="00824558" w:rsidRPr="00782A9A" w:rsidRDefault="00824558">
            <w:pPr>
              <w:cnfStyle w:val="000000000000" w:firstRow="0" w:lastRow="0" w:firstColumn="0" w:lastColumn="0" w:oddVBand="0" w:evenVBand="0" w:oddHBand="0" w:evenHBand="0" w:firstRowFirstColumn="0" w:firstRowLastColumn="0" w:lastRowFirstColumn="0" w:lastRowLastColumn="0"/>
            </w:pPr>
            <w:r w:rsidRPr="00782A9A">
              <w:t>nm</w:t>
            </w:r>
          </w:p>
        </w:tc>
      </w:tr>
      <w:tr w:rsidR="00824558" w14:paraId="646A65B5"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278640A3" w14:textId="77777777" w:rsidR="00824558" w:rsidRPr="00782A9A" w:rsidRDefault="00824558">
            <w:pPr>
              <w:ind w:left="170"/>
            </w:pPr>
            <w:r w:rsidRPr="00782A9A">
              <w:rPr>
                <w:i/>
              </w:rPr>
              <w:t xml:space="preserve">The 2025-26 expected outcome is higher than the 2025-26 target due to enhancements in internal communication materials within Victoria Police that improved awareness of Helpline services and clarified referral pathways. </w:t>
            </w:r>
          </w:p>
        </w:tc>
      </w:tr>
      <w:tr w:rsidR="00824558" w:rsidRPr="000B4528" w14:paraId="2C39DB86"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Pr>
          <w:p w14:paraId="60CCCF4E" w14:textId="77777777" w:rsidR="00824558" w:rsidRPr="000B4528" w:rsidRDefault="00824558">
            <w:pPr>
              <w:keepNext/>
              <w:rPr>
                <w:b/>
                <w:bCs/>
                <w:iCs/>
              </w:rPr>
            </w:pPr>
            <w:r w:rsidRPr="000B4528">
              <w:rPr>
                <w:b/>
                <w:bCs/>
                <w:iCs/>
              </w:rPr>
              <w:t>Quality</w:t>
            </w:r>
          </w:p>
        </w:tc>
      </w:tr>
      <w:tr w:rsidR="00824558" w14:paraId="575A26F4"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42A764A5" w14:textId="77777777" w:rsidR="00824558" w:rsidRPr="008A213E" w:rsidRDefault="00824558">
            <w:pPr>
              <w:ind w:left="170"/>
            </w:pPr>
            <w:r w:rsidRPr="008A213E">
              <w:t>Client satisfaction with the Victims Assistance Program</w:t>
            </w:r>
          </w:p>
        </w:tc>
        <w:tc>
          <w:tcPr>
            <w:tcW w:w="964" w:type="dxa"/>
            <w:tcBorders>
              <w:bottom w:val="nil"/>
            </w:tcBorders>
          </w:tcPr>
          <w:p w14:paraId="2ACCD3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0EEAF79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672993E1" w14:textId="77777777" w:rsidR="00824558" w:rsidRDefault="00824558">
            <w:pPr>
              <w:cnfStyle w:val="000000000000" w:firstRow="0" w:lastRow="0" w:firstColumn="0" w:lastColumn="0" w:oddVBand="0" w:evenVBand="0" w:oddHBand="0" w:evenHBand="0" w:firstRowFirstColumn="0" w:firstRowLastColumn="0" w:lastRowFirstColumn="0" w:lastRowLastColumn="0"/>
            </w:pPr>
            <w:r>
              <w:t>62</w:t>
            </w:r>
          </w:p>
        </w:tc>
        <w:tc>
          <w:tcPr>
            <w:tcW w:w="964" w:type="dxa"/>
            <w:tcBorders>
              <w:bottom w:val="nil"/>
            </w:tcBorders>
          </w:tcPr>
          <w:p w14:paraId="411AFCC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43601032"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r>
      <w:tr w:rsidR="00824558" w14:paraId="510BE830"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9541D9" w14:textId="77777777" w:rsidR="00824558" w:rsidRPr="008A213E" w:rsidRDefault="00824558">
            <w:pPr>
              <w:ind w:left="170"/>
            </w:pPr>
            <w:r w:rsidRPr="008A213E">
              <w:rPr>
                <w:i/>
              </w:rPr>
              <w:t>The 2025-26 expected outcome is lower than the 2025-26 target due to low survey participation rates, as well as clients using the survey to provide general feedback on justice services, which has impacted results.</w:t>
            </w:r>
          </w:p>
        </w:tc>
      </w:tr>
      <w:tr w:rsidR="00824558" w14:paraId="46F0B066"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50D768C8" w14:textId="77777777" w:rsidR="00824558" w:rsidRDefault="00824558">
            <w:pPr>
              <w:ind w:left="170"/>
            </w:pPr>
            <w:r w:rsidRPr="008A213E">
              <w:t>Client satisfaction with the Victims of Crime Helpline and Victims Register</w:t>
            </w:r>
          </w:p>
        </w:tc>
        <w:tc>
          <w:tcPr>
            <w:tcW w:w="964" w:type="dxa"/>
            <w:tcBorders>
              <w:top w:val="single" w:sz="6" w:space="0" w:color="auto"/>
              <w:bottom w:val="nil"/>
            </w:tcBorders>
          </w:tcPr>
          <w:p w14:paraId="72DB975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xml:space="preserve">per cent </w:t>
            </w:r>
          </w:p>
        </w:tc>
        <w:tc>
          <w:tcPr>
            <w:tcW w:w="964" w:type="dxa"/>
            <w:tcBorders>
              <w:top w:val="single" w:sz="6" w:space="0" w:color="auto"/>
              <w:bottom w:val="nil"/>
            </w:tcBorders>
            <w:shd w:val="clear" w:color="auto" w:fill="F0F0F0"/>
          </w:tcPr>
          <w:p w14:paraId="6D4A113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nil"/>
            </w:tcBorders>
          </w:tcPr>
          <w:p w14:paraId="4D843E2E"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c>
          <w:tcPr>
            <w:tcW w:w="964" w:type="dxa"/>
            <w:tcBorders>
              <w:top w:val="single" w:sz="6" w:space="0" w:color="auto"/>
              <w:bottom w:val="nil"/>
            </w:tcBorders>
          </w:tcPr>
          <w:p w14:paraId="65524FA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nil"/>
            </w:tcBorders>
          </w:tcPr>
          <w:p w14:paraId="21C613C2" w14:textId="77777777" w:rsidR="00824558" w:rsidRDefault="00824558">
            <w:pPr>
              <w:cnfStyle w:val="000000000000" w:firstRow="0" w:lastRow="0" w:firstColumn="0" w:lastColumn="0" w:oddVBand="0" w:evenVBand="0" w:oddHBand="0" w:evenHBand="0" w:firstRowFirstColumn="0" w:firstRowLastColumn="0" w:lastRowFirstColumn="0" w:lastRowLastColumn="0"/>
            </w:pPr>
            <w:r>
              <w:t>74</w:t>
            </w:r>
          </w:p>
        </w:tc>
      </w:tr>
      <w:tr w:rsidR="00824558" w14:paraId="572F836C"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1AAC185E" w14:textId="77777777" w:rsidR="00824558" w:rsidRPr="008A213E" w:rsidRDefault="00824558">
            <w:pPr>
              <w:ind w:left="170"/>
              <w:rPr>
                <w:i/>
              </w:rPr>
            </w:pPr>
            <w:r w:rsidRPr="008A213E">
              <w:rPr>
                <w:i/>
              </w:rPr>
              <w:t xml:space="preserve">The 2025-26 expected outcome is lower than the 2025-26 target due to changes to the client satisfaction survey dispatch guidelines. </w:t>
            </w:r>
          </w:p>
        </w:tc>
      </w:tr>
      <w:tr w:rsidR="00824558" w14:paraId="234E65C3"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54D1A5B1" w14:textId="7C5D352F" w:rsidR="00824558" w:rsidRDefault="00824558">
            <w:pPr>
              <w:ind w:left="170"/>
            </w:pPr>
            <w:r>
              <w:t>Customer satisfaction rating</w:t>
            </w:r>
            <w:r w:rsidR="007942D1">
              <w:t xml:space="preserve"> – </w:t>
            </w:r>
            <w:r>
              <w:t>Conciliation and facilitation delivered by the Victorian Equal Opportunity and Human Rights Commission</w:t>
            </w:r>
          </w:p>
        </w:tc>
        <w:tc>
          <w:tcPr>
            <w:tcW w:w="964" w:type="dxa"/>
            <w:tcBorders>
              <w:top w:val="single" w:sz="6" w:space="0" w:color="auto"/>
              <w:bottom w:val="single" w:sz="6" w:space="0" w:color="auto"/>
            </w:tcBorders>
          </w:tcPr>
          <w:p w14:paraId="09CE60E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4D67489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0E58B32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7BDEBBE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2ADAB494"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344D261F"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1A2B512" w14:textId="68F56CB2" w:rsidR="00824558" w:rsidRDefault="00824558">
            <w:pPr>
              <w:ind w:left="170"/>
            </w:pPr>
            <w:r>
              <w:t>Customer satisfaction rating</w:t>
            </w:r>
            <w:r w:rsidR="007942D1">
              <w:t xml:space="preserve"> – </w:t>
            </w:r>
            <w:r>
              <w:t>Education and information sessions delivered by the Victorian Equal Opportunity and Human Rights Commission</w:t>
            </w:r>
          </w:p>
        </w:tc>
        <w:tc>
          <w:tcPr>
            <w:tcW w:w="964" w:type="dxa"/>
            <w:tcBorders>
              <w:bottom w:val="single" w:sz="6" w:space="0" w:color="auto"/>
            </w:tcBorders>
          </w:tcPr>
          <w:p w14:paraId="2A0935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E46FDD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483E676"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32D04C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11DEE56"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24F0FD6F"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BC34AD" w14:textId="77777777" w:rsidR="00824558" w:rsidRDefault="00824558">
            <w:pPr>
              <w:ind w:left="170"/>
            </w:pPr>
            <w:r w:rsidRPr="008A213E">
              <w:t>Proportion of applicants that are satisfied with the Victims of Crime Financial Assistance Scheme service and agree that their recovery needs are met</w:t>
            </w:r>
          </w:p>
        </w:tc>
        <w:tc>
          <w:tcPr>
            <w:tcW w:w="964" w:type="dxa"/>
            <w:tcBorders>
              <w:bottom w:val="single" w:sz="6" w:space="0" w:color="auto"/>
            </w:tcBorders>
          </w:tcPr>
          <w:p w14:paraId="653D9A4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7546FE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4D56EB01"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4" w:type="dxa"/>
            <w:tcBorders>
              <w:bottom w:val="single" w:sz="6" w:space="0" w:color="auto"/>
            </w:tcBorders>
          </w:tcPr>
          <w:p w14:paraId="1A8274A2"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19C13A9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EBA3E16" w14:textId="77777777" w:rsidTr="004C35D0">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4C37519B" w14:textId="77777777" w:rsidR="00824558" w:rsidRDefault="00824558">
            <w:pPr>
              <w:ind w:left="170"/>
            </w:pPr>
            <w:r w:rsidRPr="008A213E">
              <w:t>Proportion of Victims of Crime Financial Assistance Scheme decisions that are either amended or substituted following internal review</w:t>
            </w:r>
          </w:p>
        </w:tc>
        <w:tc>
          <w:tcPr>
            <w:tcW w:w="964" w:type="dxa"/>
            <w:tcBorders>
              <w:bottom w:val="nil"/>
            </w:tcBorders>
          </w:tcPr>
          <w:p w14:paraId="01428FB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718F0762"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Borders>
              <w:bottom w:val="nil"/>
            </w:tcBorders>
          </w:tcPr>
          <w:p w14:paraId="171B408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0B86444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38F6CA4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882F0F4" w14:textId="77777777" w:rsidTr="0036698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9ECB259" w14:textId="77777777" w:rsidR="00824558" w:rsidRDefault="00824558">
            <w:pPr>
              <w:ind w:left="170"/>
            </w:pPr>
            <w:r w:rsidRPr="008A213E">
              <w:rPr>
                <w:i/>
              </w:rPr>
              <w:t>New performance measure for 2026-27 to appropriately capture the quality of services delivered through the Victims of Crime Financial Assistance Scheme.</w:t>
            </w:r>
          </w:p>
        </w:tc>
      </w:tr>
      <w:tr w:rsidR="00824558" w14:paraId="2DB1BFCB" w14:textId="77777777" w:rsidTr="0036698A">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262746B" w14:textId="77777777" w:rsidR="00824558" w:rsidRDefault="00824558">
            <w:pPr>
              <w:ind w:left="170"/>
            </w:pPr>
            <w:r>
              <w:t>Settlement rate of conciliation and facilitation (Victorian Equal Opportunity and Human Rights Commission)</w:t>
            </w:r>
          </w:p>
        </w:tc>
        <w:tc>
          <w:tcPr>
            <w:tcW w:w="964" w:type="dxa"/>
            <w:tcBorders>
              <w:top w:val="single" w:sz="6" w:space="0" w:color="auto"/>
              <w:bottom w:val="single" w:sz="6" w:space="0" w:color="auto"/>
            </w:tcBorders>
          </w:tcPr>
          <w:p w14:paraId="3618F40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765785FD"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16BC3100"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4CB08AAA"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top w:val="single" w:sz="6" w:space="0" w:color="auto"/>
              <w:bottom w:val="single" w:sz="6" w:space="0" w:color="auto"/>
            </w:tcBorders>
          </w:tcPr>
          <w:p w14:paraId="2BC48868" w14:textId="77777777" w:rsidR="00824558" w:rsidRDefault="00824558">
            <w:pPr>
              <w:cnfStyle w:val="000000000000" w:firstRow="0" w:lastRow="0" w:firstColumn="0" w:lastColumn="0" w:oddVBand="0" w:evenVBand="0" w:oddHBand="0" w:evenHBand="0" w:firstRowFirstColumn="0" w:firstRowLastColumn="0" w:lastRowFirstColumn="0" w:lastRowLastColumn="0"/>
            </w:pPr>
            <w:r>
              <w:t>64</w:t>
            </w:r>
          </w:p>
        </w:tc>
      </w:tr>
      <w:tr w:rsidR="00824558" w:rsidRPr="000B4528" w14:paraId="01D0B27D"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Pr>
          <w:p w14:paraId="1717A990" w14:textId="77777777" w:rsidR="00824558" w:rsidRPr="000B4528" w:rsidRDefault="00824558">
            <w:pPr>
              <w:keepNext/>
              <w:rPr>
                <w:b/>
                <w:bCs/>
                <w:iCs/>
              </w:rPr>
            </w:pPr>
            <w:r w:rsidRPr="000B4528">
              <w:rPr>
                <w:b/>
                <w:bCs/>
                <w:iCs/>
              </w:rPr>
              <w:t>Timeliness</w:t>
            </w:r>
          </w:p>
        </w:tc>
      </w:tr>
      <w:tr w:rsidR="00824558" w14:paraId="633C5C5B" w14:textId="77777777" w:rsidTr="004C35D0">
        <w:tc>
          <w:tcPr>
            <w:cnfStyle w:val="001000000000" w:firstRow="0" w:lastRow="0" w:firstColumn="1" w:lastColumn="0" w:oddVBand="0" w:evenVBand="0" w:oddHBand="0" w:evenHBand="0" w:firstRowFirstColumn="0" w:firstRowLastColumn="0" w:lastRowFirstColumn="0" w:lastRowLastColumn="0"/>
            <w:tcW w:w="4819" w:type="dxa"/>
          </w:tcPr>
          <w:p w14:paraId="3E5C093A" w14:textId="50493D60" w:rsidR="00824558" w:rsidRDefault="00824558">
            <w:pPr>
              <w:keepNext/>
              <w:ind w:left="170"/>
            </w:pPr>
            <w:r>
              <w:t>Average number of days to initiate the process to identify the person</w:t>
            </w:r>
            <w:r w:rsidR="007942D1">
              <w:t>’</w:t>
            </w:r>
            <w:r>
              <w:t>s will and preferences following order from the Victorian Civil Administrative Tribunal (Office of the Public Advocate)</w:t>
            </w:r>
          </w:p>
        </w:tc>
        <w:tc>
          <w:tcPr>
            <w:tcW w:w="964" w:type="dxa"/>
          </w:tcPr>
          <w:p w14:paraId="6BDAC92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36451F5" w14:textId="07FDD04D" w:rsidR="00824558" w:rsidRDefault="00824558">
            <w:pPr>
              <w:cnfStyle w:val="000000000000" w:firstRow="0" w:lastRow="0" w:firstColumn="0" w:lastColumn="0" w:oddVBand="0" w:evenVBand="0" w:oddHBand="0" w:evenHBand="0" w:firstRowFirstColumn="0" w:firstRowLastColumn="0" w:lastRowFirstColumn="0" w:lastRowLastColumn="0"/>
            </w:pPr>
            <w:r>
              <w:t>21</w:t>
            </w:r>
            <w:r w:rsidR="007942D1">
              <w:t xml:space="preserve"> – </w:t>
            </w:r>
            <w:r>
              <w:t>24</w:t>
            </w:r>
          </w:p>
        </w:tc>
        <w:tc>
          <w:tcPr>
            <w:tcW w:w="964" w:type="dxa"/>
          </w:tcPr>
          <w:p w14:paraId="7AA90E06" w14:textId="77777777" w:rsidR="00824558" w:rsidRDefault="00824558">
            <w:pPr>
              <w:cnfStyle w:val="000000000000" w:firstRow="0" w:lastRow="0" w:firstColumn="0" w:lastColumn="0" w:oddVBand="0" w:evenVBand="0" w:oddHBand="0" w:evenHBand="0" w:firstRowFirstColumn="0" w:firstRowLastColumn="0" w:lastRowFirstColumn="0" w:lastRowLastColumn="0"/>
            </w:pPr>
            <w:r>
              <w:t>24</w:t>
            </w:r>
          </w:p>
        </w:tc>
        <w:tc>
          <w:tcPr>
            <w:tcW w:w="964" w:type="dxa"/>
          </w:tcPr>
          <w:p w14:paraId="428BFD35" w14:textId="645CABC0" w:rsidR="00824558" w:rsidRDefault="00824558">
            <w:pPr>
              <w:cnfStyle w:val="000000000000" w:firstRow="0" w:lastRow="0" w:firstColumn="0" w:lastColumn="0" w:oddVBand="0" w:evenVBand="0" w:oddHBand="0" w:evenHBand="0" w:firstRowFirstColumn="0" w:firstRowLastColumn="0" w:lastRowFirstColumn="0" w:lastRowLastColumn="0"/>
            </w:pPr>
            <w:r>
              <w:t>21</w:t>
            </w:r>
            <w:r w:rsidR="007942D1">
              <w:t xml:space="preserve"> – </w:t>
            </w:r>
            <w:r>
              <w:t>24</w:t>
            </w:r>
          </w:p>
        </w:tc>
        <w:tc>
          <w:tcPr>
            <w:tcW w:w="964" w:type="dxa"/>
          </w:tcPr>
          <w:p w14:paraId="0F7DAC0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3EAAA2D"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AFFF87" w14:textId="53FA4E34" w:rsidR="00824558" w:rsidRDefault="00824558">
            <w:pPr>
              <w:ind w:left="170"/>
            </w:pPr>
            <w:r>
              <w:rPr>
                <w:i/>
              </w:rPr>
              <w:t xml:space="preserve">This performance measure renames the 2025-26 performance measure </w:t>
            </w:r>
            <w:r w:rsidR="007942D1">
              <w:rPr>
                <w:i/>
              </w:rPr>
              <w:t>‘</w:t>
            </w:r>
            <w:r>
              <w:rPr>
                <w:i/>
              </w:rPr>
              <w:t>Average number of days to first contact with represented or proposed represented person (Office of the Public Advocate)</w:t>
            </w:r>
            <w:r w:rsidR="007942D1">
              <w:rPr>
                <w:i/>
              </w:rPr>
              <w:t>’</w:t>
            </w:r>
            <w:r>
              <w:rPr>
                <w:i/>
              </w:rPr>
              <w:t xml:space="preserve"> for increased clarity. The renamed measure reports on the same activity as the previous measure, however it has been amended to more accurately reflect the underlying data.</w:t>
            </w:r>
          </w:p>
        </w:tc>
      </w:tr>
      <w:tr w:rsidR="00824558" w14:paraId="1907B44C" w14:textId="77777777" w:rsidTr="004C35D0">
        <w:trPr>
          <w:trHeight w:val="662"/>
        </w:trPr>
        <w:tc>
          <w:tcPr>
            <w:cnfStyle w:val="001000000000" w:firstRow="0" w:lastRow="0" w:firstColumn="1" w:lastColumn="0" w:oddVBand="0" w:evenVBand="0" w:oddHBand="0" w:evenHBand="0" w:firstRowFirstColumn="0" w:firstRowLastColumn="0" w:lastRowFirstColumn="0" w:lastRowLastColumn="0"/>
            <w:tcW w:w="4819" w:type="dxa"/>
          </w:tcPr>
          <w:p w14:paraId="5C8F2270" w14:textId="77777777" w:rsidR="00824558" w:rsidRDefault="00824558">
            <w:pPr>
              <w:keepNext/>
              <w:ind w:left="170"/>
            </w:pPr>
            <w:r>
              <w:t>Victorian Equal Opportunity and Human Rights Commission complaints and reports of change or suppression practices finalised within six months</w:t>
            </w:r>
          </w:p>
        </w:tc>
        <w:tc>
          <w:tcPr>
            <w:tcW w:w="964" w:type="dxa"/>
          </w:tcPr>
          <w:p w14:paraId="7A29155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5240DE9"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33667C2"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7937353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601AAF1" w14:textId="77777777" w:rsidR="00824558" w:rsidRDefault="00824558">
            <w:pPr>
              <w:cnfStyle w:val="000000000000" w:firstRow="0" w:lastRow="0" w:firstColumn="0" w:lastColumn="0" w:oddVBand="0" w:evenVBand="0" w:oddHBand="0" w:evenHBand="0" w:firstRowFirstColumn="0" w:firstRowLastColumn="0" w:lastRowFirstColumn="0" w:lastRowLastColumn="0"/>
            </w:pPr>
            <w:r>
              <w:t>42</w:t>
            </w:r>
          </w:p>
        </w:tc>
      </w:tr>
      <w:tr w:rsidR="00824558" w14:paraId="7950ACC3"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BABCFD3" w14:textId="6CCFFD13" w:rsidR="00824558" w:rsidRDefault="00824558" w:rsidP="000B4528">
            <w:pPr>
              <w:ind w:left="170"/>
            </w:pPr>
            <w:r>
              <w:rPr>
                <w:i/>
              </w:rPr>
              <w:t>The 2025-26 expected outcome is lower than the 2025-26 target due to a continuing high demand for dispute resolution and an increasing complexity of complaints and reports.</w:t>
            </w:r>
          </w:p>
        </w:tc>
      </w:tr>
      <w:tr w:rsidR="00824558" w:rsidRPr="000B4528" w14:paraId="60764105" w14:textId="77777777" w:rsidTr="004C35D0">
        <w:tc>
          <w:tcPr>
            <w:cnfStyle w:val="001000000000" w:firstRow="0" w:lastRow="0" w:firstColumn="1" w:lastColumn="0" w:oddVBand="0" w:evenVBand="0" w:oddHBand="0" w:evenHBand="0" w:firstRowFirstColumn="0" w:firstRowLastColumn="0" w:lastRowFirstColumn="0" w:lastRowLastColumn="0"/>
            <w:tcW w:w="9639" w:type="dxa"/>
            <w:gridSpan w:val="6"/>
          </w:tcPr>
          <w:p w14:paraId="2700B040" w14:textId="77777777" w:rsidR="00824558" w:rsidRPr="000B4528" w:rsidRDefault="00824558">
            <w:pPr>
              <w:keepNext/>
              <w:rPr>
                <w:b/>
                <w:bCs/>
                <w:iCs/>
              </w:rPr>
            </w:pPr>
            <w:r w:rsidRPr="000B4528">
              <w:rPr>
                <w:b/>
                <w:bCs/>
                <w:iCs/>
              </w:rPr>
              <w:t>Cost</w:t>
            </w:r>
          </w:p>
        </w:tc>
      </w:tr>
      <w:tr w:rsidR="004C35D0" w14:paraId="07E72235" w14:textId="77777777" w:rsidTr="004C35D0">
        <w:tc>
          <w:tcPr>
            <w:cnfStyle w:val="001000000000" w:firstRow="0" w:lastRow="0" w:firstColumn="1" w:lastColumn="0" w:oddVBand="0" w:evenVBand="0" w:oddHBand="0" w:evenHBand="0" w:firstRowFirstColumn="0" w:firstRowLastColumn="0" w:lastRowFirstColumn="0" w:lastRowLastColumn="0"/>
            <w:tcW w:w="4819" w:type="dxa"/>
          </w:tcPr>
          <w:p w14:paraId="33A93861" w14:textId="77777777" w:rsidR="004C35D0" w:rsidRDefault="004C35D0" w:rsidP="004C35D0">
            <w:pPr>
              <w:ind w:left="170"/>
            </w:pPr>
            <w:r>
              <w:t>Total output cost</w:t>
            </w:r>
          </w:p>
        </w:tc>
        <w:tc>
          <w:tcPr>
            <w:tcW w:w="964" w:type="dxa"/>
          </w:tcPr>
          <w:p w14:paraId="7DE4B9BA" w14:textId="77777777" w:rsidR="004C35D0" w:rsidRDefault="004C35D0" w:rsidP="004C35D0">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AB60244" w14:textId="4D923F1A" w:rsidR="004C35D0" w:rsidRPr="000B4528" w:rsidRDefault="004C35D0" w:rsidP="004C35D0">
            <w:pPr>
              <w:cnfStyle w:val="000000000000" w:firstRow="0" w:lastRow="0" w:firstColumn="0" w:lastColumn="0" w:oddVBand="0" w:evenVBand="0" w:oddHBand="0" w:evenHBand="0" w:firstRowFirstColumn="0" w:firstRowLastColumn="0" w:lastRowFirstColumn="0" w:lastRowLastColumn="0"/>
              <w:rPr>
                <w:highlight w:val="yellow"/>
              </w:rPr>
            </w:pPr>
            <w:r w:rsidRPr="00A2052E">
              <w:t>143.2</w:t>
            </w:r>
          </w:p>
        </w:tc>
        <w:tc>
          <w:tcPr>
            <w:tcW w:w="964" w:type="dxa"/>
          </w:tcPr>
          <w:p w14:paraId="4381C18C" w14:textId="4DC69D3A" w:rsidR="004C35D0" w:rsidRPr="000B4528" w:rsidRDefault="004C35D0" w:rsidP="004C35D0">
            <w:pPr>
              <w:cnfStyle w:val="000000000000" w:firstRow="0" w:lastRow="0" w:firstColumn="0" w:lastColumn="0" w:oddVBand="0" w:evenVBand="0" w:oddHBand="0" w:evenHBand="0" w:firstRowFirstColumn="0" w:firstRowLastColumn="0" w:lastRowFirstColumn="0" w:lastRowLastColumn="0"/>
              <w:rPr>
                <w:highlight w:val="yellow"/>
              </w:rPr>
            </w:pPr>
            <w:r w:rsidRPr="00A2052E">
              <w:t>119.3</w:t>
            </w:r>
          </w:p>
        </w:tc>
        <w:tc>
          <w:tcPr>
            <w:tcW w:w="964" w:type="dxa"/>
          </w:tcPr>
          <w:p w14:paraId="63EADF57" w14:textId="797EAD24" w:rsidR="004C35D0" w:rsidRPr="000B4528" w:rsidRDefault="004C35D0" w:rsidP="004C35D0">
            <w:pPr>
              <w:cnfStyle w:val="000000000000" w:firstRow="0" w:lastRow="0" w:firstColumn="0" w:lastColumn="0" w:oddVBand="0" w:evenVBand="0" w:oddHBand="0" w:evenHBand="0" w:firstRowFirstColumn="0" w:firstRowLastColumn="0" w:lastRowFirstColumn="0" w:lastRowLastColumn="0"/>
              <w:rPr>
                <w:highlight w:val="yellow"/>
              </w:rPr>
            </w:pPr>
            <w:r w:rsidRPr="00A2052E">
              <w:t>196.2</w:t>
            </w:r>
          </w:p>
        </w:tc>
        <w:tc>
          <w:tcPr>
            <w:tcW w:w="964" w:type="dxa"/>
          </w:tcPr>
          <w:p w14:paraId="4486F162" w14:textId="29D357D1" w:rsidR="004C35D0" w:rsidRPr="000B4528" w:rsidRDefault="004C35D0" w:rsidP="004C35D0">
            <w:pPr>
              <w:cnfStyle w:val="000000000000" w:firstRow="0" w:lastRow="0" w:firstColumn="0" w:lastColumn="0" w:oddVBand="0" w:evenVBand="0" w:oddHBand="0" w:evenHBand="0" w:firstRowFirstColumn="0" w:firstRowLastColumn="0" w:lastRowFirstColumn="0" w:lastRowLastColumn="0"/>
              <w:rPr>
                <w:highlight w:val="yellow"/>
              </w:rPr>
            </w:pPr>
            <w:r w:rsidRPr="00A2052E">
              <w:t>318.8</w:t>
            </w:r>
          </w:p>
        </w:tc>
      </w:tr>
      <w:tr w:rsidR="004C35D0" w14:paraId="34AA9D54"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1960E2D" w14:textId="2D8CFC53" w:rsidR="004C35D0" w:rsidRPr="006F45BE" w:rsidRDefault="00A010C7" w:rsidP="006F45BE">
            <w:pPr>
              <w:ind w:left="170"/>
              <w:rPr>
                <w:i/>
              </w:rPr>
            </w:pPr>
            <w:r w:rsidRPr="00A33180">
              <w:rPr>
                <w:i/>
              </w:rPr>
              <w:t xml:space="preserve">The 2025-26 expected </w:t>
            </w:r>
            <w:r w:rsidR="00373765">
              <w:rPr>
                <w:i/>
              </w:rPr>
              <w:t>outcome</w:t>
            </w:r>
            <w:r w:rsidRPr="00A33180">
              <w:rPr>
                <w:i/>
              </w:rPr>
              <w:t xml:space="preserve"> </w:t>
            </w:r>
            <w:r>
              <w:rPr>
                <w:i/>
              </w:rPr>
              <w:t>reflects</w:t>
            </w:r>
            <w:r w:rsidRPr="00A33180">
              <w:rPr>
                <w:i/>
              </w:rPr>
              <w:t xml:space="preserve"> the bring</w:t>
            </w:r>
            <w:r>
              <w:rPr>
                <w:i/>
              </w:rPr>
              <w:t xml:space="preserve">ing </w:t>
            </w:r>
            <w:r w:rsidRPr="00A33180">
              <w:rPr>
                <w:i/>
              </w:rPr>
              <w:t>forward of funding from 2025</w:t>
            </w:r>
            <w:r w:rsidRPr="00A33180">
              <w:rPr>
                <w:i/>
              </w:rPr>
              <w:noBreakHyphen/>
              <w:t>26 into 2024-25 to align with the first-time recognition of provisional requirements for the financial assistance scheme.</w:t>
            </w:r>
          </w:p>
        </w:tc>
      </w:tr>
      <w:tr w:rsidR="00A010C7" w14:paraId="2A2B966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D7B9C65" w14:textId="745429E4" w:rsidR="00A010C7" w:rsidRPr="00A2052E" w:rsidRDefault="006F45BE" w:rsidP="006F45BE">
            <w:pPr>
              <w:ind w:left="170"/>
            </w:pPr>
            <w:r w:rsidRPr="00A33180">
              <w:rPr>
                <w:i/>
              </w:rPr>
              <w:t xml:space="preserve">The 2026-27 target </w:t>
            </w:r>
            <w:r>
              <w:rPr>
                <w:i/>
              </w:rPr>
              <w:t>reflects</w:t>
            </w:r>
            <w:r w:rsidR="004E7A5A">
              <w:rPr>
                <w:i/>
              </w:rPr>
              <w:t xml:space="preserve"> funding </w:t>
            </w:r>
            <w:r w:rsidRPr="00A33180">
              <w:rPr>
                <w:i/>
              </w:rPr>
              <w:t xml:space="preserve">in the </w:t>
            </w:r>
            <w:r w:rsidR="004E7A5A" w:rsidRPr="004877DA">
              <w:t xml:space="preserve">2026-27 </w:t>
            </w:r>
            <w:r w:rsidR="004E7A5A" w:rsidRPr="004877DA">
              <w:rPr>
                <w:iCs/>
              </w:rPr>
              <w:t>Budget</w:t>
            </w:r>
            <w:r>
              <w:rPr>
                <w:iCs/>
              </w:rPr>
              <w:t xml:space="preserve"> </w:t>
            </w:r>
            <w:r w:rsidRPr="00A33180">
              <w:rPr>
                <w:i/>
              </w:rPr>
              <w:t xml:space="preserve">for the Improving access to justice for vulnerable victims of crime and </w:t>
            </w:r>
            <w:r>
              <w:rPr>
                <w:i/>
              </w:rPr>
              <w:t>Delivery of</w:t>
            </w:r>
            <w:r w:rsidRPr="00A33180">
              <w:rPr>
                <w:i/>
              </w:rPr>
              <w:t xml:space="preserve"> the Victims of Crime Financial Assistance Scheme initiatives</w:t>
            </w:r>
            <w:r w:rsidR="00534340">
              <w:rPr>
                <w:i/>
              </w:rPr>
              <w:t xml:space="preserve"> and the bringing forward of funding from 2026-27 into 2023-24 to provision for expected future payments for the financial assistance scheme in line with accounting standards</w:t>
            </w:r>
            <w:r w:rsidRPr="00A33180">
              <w:rPr>
                <w:i/>
              </w:rPr>
              <w:t>.</w:t>
            </w:r>
          </w:p>
        </w:tc>
      </w:tr>
    </w:tbl>
    <w:p w14:paraId="49180A6B" w14:textId="77777777" w:rsidR="00824558" w:rsidRDefault="00824558">
      <w:pPr>
        <w:pStyle w:val="Source"/>
      </w:pPr>
      <w:r>
        <w:t>Source: Department of Justice and Community Safety</w:t>
      </w:r>
    </w:p>
    <w:p w14:paraId="3A54896E" w14:textId="6C778E25" w:rsidR="00824558" w:rsidRDefault="00824558">
      <w:pPr>
        <w:pStyle w:val="Heading3"/>
      </w:pPr>
      <w:r>
        <w:lastRenderedPageBreak/>
        <w:t>Public Sector and Local Government Integrity, Privacy</w:t>
      </w:r>
      <w:r>
        <w:tab/>
        <w:t>(2026-2</w:t>
      </w:r>
      <w:r w:rsidRPr="005A3E70">
        <w:t>7: $</w:t>
      </w:r>
      <w:r w:rsidR="005A3E70" w:rsidRPr="005A3E70">
        <w:t>18.</w:t>
      </w:r>
      <w:r w:rsidR="005A3E70">
        <w:t xml:space="preserve">1 </w:t>
      </w:r>
      <w:r>
        <w:t>million)</w:t>
      </w:r>
      <w:r w:rsidR="000B4528">
        <w:br/>
        <w:t>and Information Protection</w:t>
      </w:r>
    </w:p>
    <w:p w14:paraId="582923A4" w14:textId="3622A43E" w:rsidR="00824558" w:rsidRPr="00981B91" w:rsidRDefault="00824558" w:rsidP="007A6527">
      <w:pPr>
        <w:keepNext/>
        <w:spacing w:after="120"/>
      </w:pPr>
      <w:r>
        <w:t>This output provides for the function of the Victorian Information Commissioner, which has oversight of the Victorian Government</w:t>
      </w:r>
      <w:r w:rsidR="007942D1">
        <w:t>’</w:t>
      </w:r>
      <w:r>
        <w:t>s collection, use and disclosure of information. The Information Commissioner enhances the Victorian Government</w:t>
      </w:r>
      <w:r w:rsidR="007942D1">
        <w:t>’</w:t>
      </w:r>
      <w:r>
        <w:t xml:space="preserve">s transparency and openness and oversees the Victorian Protective Data Security regime. This output also includes the function of the Local Government Inspectorate, which contributes to public sector integrity by ensuring Victorian councils follow the </w:t>
      </w:r>
      <w:r w:rsidRPr="56633658">
        <w:rPr>
          <w:i/>
          <w:iCs/>
        </w:rPr>
        <w:t>Local Government Act 2020</w:t>
      </w:r>
      <w:r>
        <w: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94E5827" w14:textId="77777777" w:rsidTr="000B45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D492CE2" w14:textId="77777777" w:rsidR="00824558" w:rsidRDefault="00824558">
            <w:r>
              <w:t>Performance measure</w:t>
            </w:r>
          </w:p>
        </w:tc>
        <w:tc>
          <w:tcPr>
            <w:tcW w:w="964" w:type="dxa"/>
          </w:tcPr>
          <w:p w14:paraId="3B4BBFEE"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40EE18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9EEF09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E9127C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1AEC87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0EF962E0"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6D98837E" w14:textId="77777777" w:rsidR="00824558" w:rsidRPr="000B4528" w:rsidRDefault="00824558">
            <w:pPr>
              <w:keepNext/>
              <w:rPr>
                <w:b/>
                <w:bCs/>
                <w:iCs/>
              </w:rPr>
            </w:pPr>
            <w:r w:rsidRPr="000B4528">
              <w:rPr>
                <w:b/>
                <w:bCs/>
                <w:iCs/>
              </w:rPr>
              <w:t>Quantity</w:t>
            </w:r>
          </w:p>
        </w:tc>
      </w:tr>
      <w:tr w:rsidR="00824558" w14:paraId="18ABFB9A"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1052E6A6" w14:textId="77777777" w:rsidR="00824558" w:rsidRDefault="00824558">
            <w:pPr>
              <w:keepNext/>
              <w:ind w:left="170"/>
            </w:pPr>
            <w:r>
              <w:t>Education and training activities delivered by Office of the Victorian Information Commissioner</w:t>
            </w:r>
          </w:p>
        </w:tc>
        <w:tc>
          <w:tcPr>
            <w:tcW w:w="964" w:type="dxa"/>
          </w:tcPr>
          <w:p w14:paraId="5767156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8AD7CAB"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22947AF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53D730D"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11738B19" w14:textId="77777777" w:rsidR="00824558" w:rsidRDefault="00824558">
            <w:pPr>
              <w:cnfStyle w:val="000000000000" w:firstRow="0" w:lastRow="0" w:firstColumn="0" w:lastColumn="0" w:oddVBand="0" w:evenVBand="0" w:oddHBand="0" w:evenHBand="0" w:firstRowFirstColumn="0" w:firstRowLastColumn="0" w:lastRowFirstColumn="0" w:lastRowLastColumn="0"/>
            </w:pPr>
            <w:r>
              <w:t>114</w:t>
            </w:r>
          </w:p>
        </w:tc>
      </w:tr>
      <w:tr w:rsidR="00824558" w14:paraId="2D0FA691"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8DFFB4B" w14:textId="77777777" w:rsidR="00824558" w:rsidRDefault="00824558">
            <w:pPr>
              <w:ind w:left="170"/>
            </w:pPr>
            <w:r>
              <w:rPr>
                <w:i/>
              </w:rPr>
              <w:t>The 2025-26 expected outcome is higher than the 2025-26 target due to an increase in the number of communications regarding events and resources circulated to maximise reach and attendance.</w:t>
            </w:r>
          </w:p>
          <w:p w14:paraId="63B83680" w14:textId="77777777" w:rsidR="00824558" w:rsidRDefault="00824558">
            <w:pPr>
              <w:ind w:left="170"/>
            </w:pPr>
            <w:r>
              <w:rPr>
                <w:i/>
              </w:rPr>
              <w:t>The higher 2026-27 target reflects this change.</w:t>
            </w:r>
          </w:p>
        </w:tc>
      </w:tr>
      <w:tr w:rsidR="00824558" w14:paraId="5C3CB24F"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4C75C8E4" w14:textId="77777777" w:rsidR="00824558" w:rsidRDefault="00824558">
            <w:pPr>
              <w:keepNext/>
              <w:ind w:left="170"/>
            </w:pPr>
            <w:r>
              <w:t>Regulatory actions conducted: Examinations, reviews, audits or investigations (Office of the Victorian Information Commissioner)</w:t>
            </w:r>
          </w:p>
        </w:tc>
        <w:tc>
          <w:tcPr>
            <w:tcW w:w="964" w:type="dxa"/>
          </w:tcPr>
          <w:p w14:paraId="5DA89FD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90963E9"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684AA2D4"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1255A045"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79F23734" w14:textId="77777777" w:rsidR="00824558" w:rsidRDefault="00824558">
            <w:pPr>
              <w:cnfStyle w:val="000000000000" w:firstRow="0" w:lastRow="0" w:firstColumn="0" w:lastColumn="0" w:oddVBand="0" w:evenVBand="0" w:oddHBand="0" w:evenHBand="0" w:firstRowFirstColumn="0" w:firstRowLastColumn="0" w:lastRowFirstColumn="0" w:lastRowLastColumn="0"/>
            </w:pPr>
            <w:r>
              <w:t>11</w:t>
            </w:r>
          </w:p>
        </w:tc>
      </w:tr>
      <w:tr w:rsidR="00824558" w14:paraId="0B7B8E6F"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917A9C" w14:textId="77777777" w:rsidR="00824558" w:rsidRDefault="00824558">
            <w:pPr>
              <w:ind w:left="170"/>
              <w:rPr>
                <w:i/>
              </w:rPr>
            </w:pPr>
            <w:r>
              <w:rPr>
                <w:i/>
              </w:rPr>
              <w:t xml:space="preserve">The 2025-26 expected outcome is higher than the 2025-26 target due to the Office of the Victorian Information Commissioner (OVIC) shifting its approach to investigations and assurance work to enable greater agility in addressing a higher volume of matters. </w:t>
            </w:r>
          </w:p>
          <w:p w14:paraId="2B197A74" w14:textId="77777777" w:rsidR="00824558" w:rsidRDefault="00824558">
            <w:pPr>
              <w:ind w:left="170"/>
            </w:pPr>
            <w:r>
              <w:rPr>
                <w:i/>
              </w:rPr>
              <w:t>The higher 2026-27 target reflects this approach and the varied mix of work undertaken by OVIC.</w:t>
            </w:r>
          </w:p>
        </w:tc>
      </w:tr>
      <w:tr w:rsidR="00824558" w14:paraId="53A05FD4"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1E13E715" w14:textId="77777777" w:rsidR="00824558" w:rsidRDefault="00824558">
            <w:pPr>
              <w:keepNext/>
              <w:ind w:left="170"/>
            </w:pPr>
            <w:r>
              <w:t>Reviews and complaints closed by the Office of the Victorian Information Commissioner</w:t>
            </w:r>
          </w:p>
        </w:tc>
        <w:tc>
          <w:tcPr>
            <w:tcW w:w="964" w:type="dxa"/>
          </w:tcPr>
          <w:p w14:paraId="7C94D14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42DFAB7" w14:textId="77777777" w:rsidR="00824558" w:rsidRDefault="00824558">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22F841FB" w14:textId="77777777" w:rsidR="00824558" w:rsidRDefault="00824558">
            <w:pPr>
              <w:cnfStyle w:val="000000000000" w:firstRow="0" w:lastRow="0" w:firstColumn="0" w:lastColumn="0" w:oddVBand="0" w:evenVBand="0" w:oddHBand="0" w:evenHBand="0" w:firstRowFirstColumn="0" w:firstRowLastColumn="0" w:lastRowFirstColumn="0" w:lastRowLastColumn="0"/>
            </w:pPr>
            <w:r>
              <w:t>1 200</w:t>
            </w:r>
          </w:p>
        </w:tc>
        <w:tc>
          <w:tcPr>
            <w:tcW w:w="964" w:type="dxa"/>
          </w:tcPr>
          <w:p w14:paraId="29080BA2" w14:textId="77777777" w:rsidR="00824558" w:rsidRDefault="00824558">
            <w:pPr>
              <w:cnfStyle w:val="000000000000" w:firstRow="0" w:lastRow="0" w:firstColumn="0" w:lastColumn="0" w:oddVBand="0" w:evenVBand="0" w:oddHBand="0" w:evenHBand="0" w:firstRowFirstColumn="0" w:firstRowLastColumn="0" w:lastRowFirstColumn="0" w:lastRowLastColumn="0"/>
            </w:pPr>
            <w:r>
              <w:t>950</w:t>
            </w:r>
          </w:p>
        </w:tc>
        <w:tc>
          <w:tcPr>
            <w:tcW w:w="964" w:type="dxa"/>
          </w:tcPr>
          <w:p w14:paraId="34B30A56" w14:textId="77777777" w:rsidR="00824558" w:rsidRDefault="00824558">
            <w:pPr>
              <w:cnfStyle w:val="000000000000" w:firstRow="0" w:lastRow="0" w:firstColumn="0" w:lastColumn="0" w:oddVBand="0" w:evenVBand="0" w:oddHBand="0" w:evenHBand="0" w:firstRowFirstColumn="0" w:firstRowLastColumn="0" w:lastRowFirstColumn="0" w:lastRowLastColumn="0"/>
            </w:pPr>
            <w:r>
              <w:t>1 453</w:t>
            </w:r>
          </w:p>
        </w:tc>
      </w:tr>
      <w:tr w:rsidR="00824558" w14:paraId="3DE1A10A"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A893902" w14:textId="77777777" w:rsidR="00824558" w:rsidRDefault="00824558">
            <w:pPr>
              <w:ind w:left="170"/>
            </w:pPr>
            <w:r>
              <w:rPr>
                <w:i/>
              </w:rPr>
              <w:t>The 2025-26 expected outcome is higher than the 2025-26 target due to an increase in the number of reviews and complaints received, coupled with improved efficiencies in completion of cases.</w:t>
            </w:r>
          </w:p>
          <w:p w14:paraId="0D5CD846" w14:textId="77777777" w:rsidR="00824558" w:rsidRDefault="00824558">
            <w:pPr>
              <w:ind w:left="170"/>
            </w:pPr>
            <w:r>
              <w:rPr>
                <w:i/>
              </w:rPr>
              <w:t>The higher 2026-27 target reflects these changes.</w:t>
            </w:r>
          </w:p>
        </w:tc>
      </w:tr>
      <w:tr w:rsidR="00824558" w:rsidRPr="000B4528" w14:paraId="57EC0482"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13EBCB89" w14:textId="77777777" w:rsidR="00824558" w:rsidRPr="000B4528" w:rsidRDefault="00824558">
            <w:pPr>
              <w:keepNext/>
              <w:rPr>
                <w:b/>
                <w:bCs/>
                <w:iCs/>
              </w:rPr>
            </w:pPr>
            <w:r w:rsidRPr="000B4528">
              <w:rPr>
                <w:b/>
                <w:bCs/>
                <w:iCs/>
              </w:rPr>
              <w:t>Quality</w:t>
            </w:r>
          </w:p>
        </w:tc>
      </w:tr>
      <w:tr w:rsidR="00824558" w14:paraId="4468B00A"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475E2D8" w14:textId="77777777" w:rsidR="00824558" w:rsidRDefault="00824558">
            <w:pPr>
              <w:ind w:left="170"/>
            </w:pPr>
            <w:r>
              <w:t>Client satisfaction with education and training provided (Office of the Victorian Information Commissioner)</w:t>
            </w:r>
          </w:p>
        </w:tc>
        <w:tc>
          <w:tcPr>
            <w:tcW w:w="964" w:type="dxa"/>
            <w:tcBorders>
              <w:bottom w:val="single" w:sz="6" w:space="0" w:color="auto"/>
            </w:tcBorders>
          </w:tcPr>
          <w:p w14:paraId="098C365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30E429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51E36AF"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6324B38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2077D90" w14:textId="77777777" w:rsidR="00824558" w:rsidRDefault="00824558">
            <w:pPr>
              <w:cnfStyle w:val="000000000000" w:firstRow="0" w:lastRow="0" w:firstColumn="0" w:lastColumn="0" w:oddVBand="0" w:evenVBand="0" w:oddHBand="0" w:evenHBand="0" w:firstRowFirstColumn="0" w:firstRowLastColumn="0" w:lastRowFirstColumn="0" w:lastRowLastColumn="0"/>
            </w:pPr>
            <w:r>
              <w:t>95.1</w:t>
            </w:r>
          </w:p>
        </w:tc>
      </w:tr>
      <w:tr w:rsidR="00824558" w14:paraId="1C191A1E"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7F364858" w14:textId="77777777" w:rsidR="00824558" w:rsidRDefault="00824558">
            <w:pPr>
              <w:keepNext/>
              <w:ind w:left="170"/>
            </w:pPr>
            <w:r>
              <w:t>Percentage of Office of Victorian Information Commissioner recommendations accepted by agencies following information security assurance activities</w:t>
            </w:r>
          </w:p>
        </w:tc>
        <w:tc>
          <w:tcPr>
            <w:tcW w:w="964" w:type="dxa"/>
          </w:tcPr>
          <w:p w14:paraId="60825A9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D95D9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4E85FC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1AFC4D7"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F1F3AA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7CE43A94"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A0BAC78" w14:textId="2818A3C0" w:rsidR="00824558" w:rsidRDefault="00824558">
            <w:pPr>
              <w:ind w:left="170"/>
            </w:pPr>
            <w:r>
              <w:rPr>
                <w:i/>
              </w:rPr>
              <w:t>New performance measure for 2026-27 to enhance coverage of services and capture the quality of the Office of the Victorian Information Commissioner</w:t>
            </w:r>
            <w:r w:rsidR="007942D1">
              <w:rPr>
                <w:i/>
              </w:rPr>
              <w:t>’</w:t>
            </w:r>
            <w:r>
              <w:rPr>
                <w:i/>
              </w:rPr>
              <w:t>s information security recommendations made to agencies.</w:t>
            </w:r>
          </w:p>
        </w:tc>
      </w:tr>
      <w:tr w:rsidR="00824558" w:rsidRPr="000B4528" w14:paraId="00244774"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5AA82870" w14:textId="77777777" w:rsidR="00824558" w:rsidRPr="000B4528" w:rsidRDefault="00824558">
            <w:pPr>
              <w:keepNext/>
              <w:rPr>
                <w:b/>
                <w:bCs/>
                <w:iCs/>
              </w:rPr>
            </w:pPr>
            <w:r w:rsidRPr="000B4528">
              <w:rPr>
                <w:b/>
                <w:bCs/>
                <w:iCs/>
              </w:rPr>
              <w:t>Timeliness</w:t>
            </w:r>
          </w:p>
        </w:tc>
      </w:tr>
      <w:tr w:rsidR="00824558" w14:paraId="2B01478A"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0AD5DCCC" w14:textId="77777777" w:rsidR="00824558" w:rsidRDefault="00824558">
            <w:pPr>
              <w:keepNext/>
              <w:ind w:left="170"/>
            </w:pPr>
            <w:r>
              <w:t>Average number of days taken to close Freedom of Information review applications (Office of the Victorian Information Commissioner)</w:t>
            </w:r>
          </w:p>
        </w:tc>
        <w:tc>
          <w:tcPr>
            <w:tcW w:w="964" w:type="dxa"/>
          </w:tcPr>
          <w:p w14:paraId="498445A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27184E1" w14:textId="77777777" w:rsidR="00824558" w:rsidRDefault="00824558">
            <w:pPr>
              <w:cnfStyle w:val="000000000000" w:firstRow="0" w:lastRow="0" w:firstColumn="0" w:lastColumn="0" w:oddVBand="0" w:evenVBand="0" w:oddHBand="0" w:evenHBand="0" w:firstRowFirstColumn="0" w:firstRowLastColumn="0" w:lastRowFirstColumn="0" w:lastRowLastColumn="0"/>
            </w:pPr>
            <w:r>
              <w:t xml:space="preserve">120 </w:t>
            </w:r>
          </w:p>
        </w:tc>
        <w:tc>
          <w:tcPr>
            <w:tcW w:w="964" w:type="dxa"/>
          </w:tcPr>
          <w:p w14:paraId="08039F8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E0AE3C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2D0B01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E269405"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224E66" w14:textId="77777777" w:rsidR="00824558" w:rsidRDefault="00824558">
            <w:pPr>
              <w:ind w:left="170"/>
            </w:pPr>
            <w:r>
              <w:rPr>
                <w:i/>
              </w:rPr>
              <w:t>New performance measure for 2026-27 to enhance coverage of services and capture the timeliness of the Office of the Victorian Information Commissioner in responding to a range of Freedom of Information review applications.</w:t>
            </w:r>
          </w:p>
        </w:tc>
      </w:tr>
      <w:tr w:rsidR="00824558" w14:paraId="4DB2DD4A"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49094C1F" w14:textId="77777777" w:rsidR="00824558" w:rsidRDefault="00824558">
            <w:pPr>
              <w:keepNext/>
              <w:ind w:left="170"/>
            </w:pPr>
            <w:r>
              <w:t>Average number of days taken to close privacy complaints (Office of the Victorian Information Commissioner)</w:t>
            </w:r>
          </w:p>
        </w:tc>
        <w:tc>
          <w:tcPr>
            <w:tcW w:w="964" w:type="dxa"/>
          </w:tcPr>
          <w:p w14:paraId="04BA25F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44F535D" w14:textId="77777777" w:rsidR="00824558" w:rsidRDefault="00824558">
            <w:pPr>
              <w:cnfStyle w:val="000000000000" w:firstRow="0" w:lastRow="0" w:firstColumn="0" w:lastColumn="0" w:oddVBand="0" w:evenVBand="0" w:oddHBand="0" w:evenHBand="0" w:firstRowFirstColumn="0" w:firstRowLastColumn="0" w:lastRowFirstColumn="0" w:lastRowLastColumn="0"/>
            </w:pPr>
            <w:r>
              <w:t xml:space="preserve">120 </w:t>
            </w:r>
          </w:p>
        </w:tc>
        <w:tc>
          <w:tcPr>
            <w:tcW w:w="964" w:type="dxa"/>
          </w:tcPr>
          <w:p w14:paraId="223E007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FA380A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E8BA12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73B6ECFF"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1E044A9" w14:textId="77777777" w:rsidR="00824558" w:rsidRDefault="00824558">
            <w:pPr>
              <w:ind w:left="170"/>
            </w:pPr>
            <w:r>
              <w:rPr>
                <w:i/>
              </w:rPr>
              <w:t>New performance measure for 2026-27 to enhance coverage of services and capture the timeliness of the Office of the Victorian Information Commissioner in responding to a range of privacy complaint actions.</w:t>
            </w:r>
          </w:p>
        </w:tc>
      </w:tr>
      <w:tr w:rsidR="00824558" w14:paraId="40BBE50D" w14:textId="77777777" w:rsidTr="000B4528">
        <w:tc>
          <w:tcPr>
            <w:cnfStyle w:val="001000000000" w:firstRow="0" w:lastRow="0" w:firstColumn="1" w:lastColumn="0" w:oddVBand="0" w:evenVBand="0" w:oddHBand="0" w:evenHBand="0" w:firstRowFirstColumn="0" w:firstRowLastColumn="0" w:lastRowFirstColumn="0" w:lastRowLastColumn="0"/>
            <w:tcW w:w="4819" w:type="dxa"/>
          </w:tcPr>
          <w:p w14:paraId="4BAED82A" w14:textId="77777777" w:rsidR="00824558" w:rsidRDefault="00824558">
            <w:pPr>
              <w:keepNext/>
              <w:ind w:left="170"/>
            </w:pPr>
            <w:r>
              <w:t>Independent internal review requests processed within 30 days (Local Government Inspectorate)</w:t>
            </w:r>
          </w:p>
        </w:tc>
        <w:tc>
          <w:tcPr>
            <w:tcW w:w="964" w:type="dxa"/>
          </w:tcPr>
          <w:p w14:paraId="0DA7A1E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2FA917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1ABD382"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07DDE225"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6395698"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r>
      <w:tr w:rsidR="00824558" w14:paraId="75525F1D"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A36D9E8" w14:textId="73635C5D" w:rsidR="00824558" w:rsidRDefault="00824558" w:rsidP="000B4528">
            <w:pPr>
              <w:ind w:left="170"/>
              <w:rPr>
                <w:i/>
              </w:rPr>
            </w:pPr>
            <w:r>
              <w:rPr>
                <w:i/>
              </w:rPr>
              <w:t>The 2025-26 expected outcome is lower than the 2025-26 target due to an increase in the volume of internal review requests.</w:t>
            </w:r>
          </w:p>
        </w:tc>
      </w:tr>
      <w:tr w:rsidR="00824558" w14:paraId="0F27B0F9"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417D774" w14:textId="77777777" w:rsidR="00824558" w:rsidRDefault="00824558">
            <w:pPr>
              <w:keepNext/>
              <w:ind w:left="170"/>
            </w:pPr>
            <w:r>
              <w:t>Initial complaints assessed by the Local Government Inspectorate and a triage outcome communicated to the complainant within 10 business days</w:t>
            </w:r>
          </w:p>
        </w:tc>
        <w:tc>
          <w:tcPr>
            <w:tcW w:w="964" w:type="dxa"/>
            <w:tcBorders>
              <w:top w:val="single" w:sz="6" w:space="0" w:color="auto"/>
              <w:bottom w:val="single" w:sz="6" w:space="0" w:color="auto"/>
            </w:tcBorders>
          </w:tcPr>
          <w:p w14:paraId="51B17ED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215BE822"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top w:val="single" w:sz="6" w:space="0" w:color="auto"/>
              <w:bottom w:val="single" w:sz="6" w:space="0" w:color="auto"/>
            </w:tcBorders>
          </w:tcPr>
          <w:p w14:paraId="5DE514A6"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bottom w:val="single" w:sz="6" w:space="0" w:color="auto"/>
            </w:tcBorders>
          </w:tcPr>
          <w:p w14:paraId="38561C44"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top w:val="single" w:sz="6" w:space="0" w:color="auto"/>
              <w:bottom w:val="single" w:sz="6" w:space="0" w:color="auto"/>
            </w:tcBorders>
          </w:tcPr>
          <w:p w14:paraId="5A872F1F"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r>
      <w:tr w:rsidR="00824558" w14:paraId="01B04635" w14:textId="77777777" w:rsidTr="000B4528">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7E5679A5" w14:textId="77777777" w:rsidR="00824558" w:rsidRDefault="00824558">
            <w:pPr>
              <w:keepNext/>
              <w:ind w:left="170"/>
            </w:pPr>
            <w:r>
              <w:t>Investigations finalised by the Local Government Inspectorate within 6 months</w:t>
            </w:r>
          </w:p>
        </w:tc>
        <w:tc>
          <w:tcPr>
            <w:tcW w:w="964" w:type="dxa"/>
            <w:tcBorders>
              <w:top w:val="single" w:sz="6" w:space="0" w:color="auto"/>
            </w:tcBorders>
          </w:tcPr>
          <w:p w14:paraId="5685B37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tcBorders>
            <w:shd w:val="clear" w:color="auto" w:fill="F0F0F0"/>
          </w:tcPr>
          <w:p w14:paraId="6243A8A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58AB3F7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tcBorders>
          </w:tcPr>
          <w:p w14:paraId="3CAE24F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top w:val="single" w:sz="6" w:space="0" w:color="auto"/>
            </w:tcBorders>
          </w:tcPr>
          <w:p w14:paraId="7FCD4A8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3018C402"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281FECC" w14:textId="77777777" w:rsidR="00824558" w:rsidRDefault="00824558">
            <w:pPr>
              <w:ind w:left="170"/>
              <w:rPr>
                <w:i/>
              </w:rPr>
            </w:pPr>
            <w:r>
              <w:rPr>
                <w:i/>
              </w:rPr>
              <w:t xml:space="preserve">The 2025-26 expected outcome is lower than the 2025-26 target due to an increase in the complexity of investigations requiring specialist legal advice. </w:t>
            </w:r>
          </w:p>
        </w:tc>
      </w:tr>
      <w:tr w:rsidR="00824558" w:rsidRPr="000B4528" w14:paraId="2BA1D39D" w14:textId="77777777" w:rsidTr="000B4528">
        <w:tc>
          <w:tcPr>
            <w:cnfStyle w:val="001000000000" w:firstRow="0" w:lastRow="0" w:firstColumn="1" w:lastColumn="0" w:oddVBand="0" w:evenVBand="0" w:oddHBand="0" w:evenHBand="0" w:firstRowFirstColumn="0" w:firstRowLastColumn="0" w:lastRowFirstColumn="0" w:lastRowLastColumn="0"/>
            <w:tcW w:w="9639" w:type="dxa"/>
            <w:gridSpan w:val="6"/>
          </w:tcPr>
          <w:p w14:paraId="412460C9" w14:textId="77777777" w:rsidR="00824558" w:rsidRPr="000B4528" w:rsidRDefault="00824558">
            <w:pPr>
              <w:keepNext/>
              <w:rPr>
                <w:b/>
                <w:bCs/>
                <w:iCs/>
              </w:rPr>
            </w:pPr>
            <w:r w:rsidRPr="000B4528">
              <w:rPr>
                <w:b/>
                <w:bCs/>
                <w:iCs/>
              </w:rPr>
              <w:t>Cost</w:t>
            </w:r>
          </w:p>
        </w:tc>
      </w:tr>
      <w:tr w:rsidR="001947C2" w14:paraId="0A7A6A36" w14:textId="77777777" w:rsidTr="001947C2">
        <w:tc>
          <w:tcPr>
            <w:cnfStyle w:val="001000000000" w:firstRow="0" w:lastRow="0" w:firstColumn="1" w:lastColumn="0" w:oddVBand="0" w:evenVBand="0" w:oddHBand="0" w:evenHBand="0" w:firstRowFirstColumn="0" w:firstRowLastColumn="0" w:lastRowFirstColumn="0" w:lastRowLastColumn="0"/>
            <w:tcW w:w="4819" w:type="dxa"/>
          </w:tcPr>
          <w:p w14:paraId="7A400AA5" w14:textId="77777777" w:rsidR="001947C2" w:rsidRDefault="001947C2" w:rsidP="001947C2">
            <w:pPr>
              <w:ind w:left="170"/>
            </w:pPr>
            <w:r>
              <w:t>Total output cost</w:t>
            </w:r>
          </w:p>
        </w:tc>
        <w:tc>
          <w:tcPr>
            <w:tcW w:w="964" w:type="dxa"/>
          </w:tcPr>
          <w:p w14:paraId="05E54944" w14:textId="77777777" w:rsidR="001947C2" w:rsidRDefault="001947C2" w:rsidP="001947C2">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83869C7" w14:textId="4321C632" w:rsidR="001947C2" w:rsidRPr="000B4528" w:rsidRDefault="001947C2" w:rsidP="001947C2">
            <w:pPr>
              <w:cnfStyle w:val="000000000000" w:firstRow="0" w:lastRow="0" w:firstColumn="0" w:lastColumn="0" w:oddVBand="0" w:evenVBand="0" w:oddHBand="0" w:evenHBand="0" w:firstRowFirstColumn="0" w:firstRowLastColumn="0" w:lastRowFirstColumn="0" w:lastRowLastColumn="0"/>
              <w:rPr>
                <w:highlight w:val="yellow"/>
              </w:rPr>
            </w:pPr>
            <w:r w:rsidRPr="00890B01">
              <w:t>18.1</w:t>
            </w:r>
          </w:p>
        </w:tc>
        <w:tc>
          <w:tcPr>
            <w:tcW w:w="964" w:type="dxa"/>
          </w:tcPr>
          <w:p w14:paraId="373EDA59" w14:textId="5513C775" w:rsidR="001947C2" w:rsidRPr="000B4528" w:rsidRDefault="001947C2" w:rsidP="001947C2">
            <w:pPr>
              <w:cnfStyle w:val="000000000000" w:firstRow="0" w:lastRow="0" w:firstColumn="0" w:lastColumn="0" w:oddVBand="0" w:evenVBand="0" w:oddHBand="0" w:evenHBand="0" w:firstRowFirstColumn="0" w:firstRowLastColumn="0" w:lastRowFirstColumn="0" w:lastRowLastColumn="0"/>
              <w:rPr>
                <w:highlight w:val="yellow"/>
              </w:rPr>
            </w:pPr>
            <w:r w:rsidRPr="00890B01">
              <w:t>18.6</w:t>
            </w:r>
          </w:p>
        </w:tc>
        <w:tc>
          <w:tcPr>
            <w:tcW w:w="964" w:type="dxa"/>
          </w:tcPr>
          <w:p w14:paraId="014B671F" w14:textId="581C0664" w:rsidR="001947C2" w:rsidRPr="000B4528" w:rsidRDefault="001947C2" w:rsidP="001947C2">
            <w:pPr>
              <w:cnfStyle w:val="000000000000" w:firstRow="0" w:lastRow="0" w:firstColumn="0" w:lastColumn="0" w:oddVBand="0" w:evenVBand="0" w:oddHBand="0" w:evenHBand="0" w:firstRowFirstColumn="0" w:firstRowLastColumn="0" w:lastRowFirstColumn="0" w:lastRowLastColumn="0"/>
              <w:rPr>
                <w:highlight w:val="yellow"/>
              </w:rPr>
            </w:pPr>
            <w:r w:rsidRPr="00890B01">
              <w:t>17.4</w:t>
            </w:r>
          </w:p>
        </w:tc>
        <w:tc>
          <w:tcPr>
            <w:tcW w:w="964" w:type="dxa"/>
          </w:tcPr>
          <w:p w14:paraId="44BFBB1F" w14:textId="70B89C64" w:rsidR="001947C2" w:rsidRPr="000B4528" w:rsidRDefault="001947C2" w:rsidP="001947C2">
            <w:pPr>
              <w:cnfStyle w:val="000000000000" w:firstRow="0" w:lastRow="0" w:firstColumn="0" w:lastColumn="0" w:oddVBand="0" w:evenVBand="0" w:oddHBand="0" w:evenHBand="0" w:firstRowFirstColumn="0" w:firstRowLastColumn="0" w:lastRowFirstColumn="0" w:lastRowLastColumn="0"/>
              <w:rPr>
                <w:highlight w:val="yellow"/>
              </w:rPr>
            </w:pPr>
            <w:r w:rsidRPr="00890B01">
              <w:t>21.4</w:t>
            </w:r>
          </w:p>
        </w:tc>
      </w:tr>
      <w:tr w:rsidR="008520D9" w14:paraId="2BB8EE3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37C89A3" w14:textId="209D099B" w:rsidR="008520D9" w:rsidRPr="008D5054" w:rsidRDefault="008D5054" w:rsidP="008D5054">
            <w:pPr>
              <w:ind w:left="170"/>
              <w:rPr>
                <w:i/>
              </w:rPr>
            </w:pPr>
            <w:r w:rsidRPr="00A858CD">
              <w:rPr>
                <w:i/>
              </w:rPr>
              <w:t xml:space="preserve">The 2025-26 expected outcome and 2026-27 target are higher than the 2025-26 target due to funding for the Community Safety Package. </w:t>
            </w:r>
          </w:p>
        </w:tc>
      </w:tr>
      <w:tr w:rsidR="001947C2" w14:paraId="3EBBDD0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0A96CB3" w14:textId="596981F5" w:rsidR="001947C2" w:rsidRPr="00890B01" w:rsidRDefault="008520D9" w:rsidP="008D5054">
            <w:pPr>
              <w:ind w:left="170"/>
            </w:pPr>
            <w:r w:rsidRPr="00A858CD">
              <w:rPr>
                <w:i/>
              </w:rPr>
              <w:t xml:space="preserve">This is partly offset in the 2025-26 expected outcome by a transfer from output to capital funding for the Public Interest Monitor in accordance with section 30 of the </w:t>
            </w:r>
            <w:r w:rsidRPr="0032277D">
              <w:t>Financial Management Act 1994</w:t>
            </w:r>
            <w:r w:rsidRPr="00A858CD">
              <w:rPr>
                <w:i/>
              </w:rPr>
              <w:t>.</w:t>
            </w:r>
          </w:p>
        </w:tc>
      </w:tr>
    </w:tbl>
    <w:p w14:paraId="15493F4F" w14:textId="77777777" w:rsidR="00824558" w:rsidRDefault="00824558">
      <w:pPr>
        <w:pStyle w:val="Source"/>
      </w:pPr>
      <w:r>
        <w:t>Source: Department of Justice and Community Safety</w:t>
      </w:r>
    </w:p>
    <w:p w14:paraId="360E7B30" w14:textId="77777777" w:rsidR="00824558" w:rsidRPr="00577C53" w:rsidRDefault="00824558">
      <w:pPr>
        <w:pStyle w:val="ShadedBoxHeading"/>
      </w:pPr>
      <w:r w:rsidRPr="00577C53">
        <w:lastRenderedPageBreak/>
        <w:t xml:space="preserve">Objective </w:t>
      </w:r>
      <w:r>
        <w:t>6</w:t>
      </w:r>
      <w:r w:rsidRPr="00577C53">
        <w:t xml:space="preserve">: </w:t>
      </w:r>
      <w:r w:rsidRPr="00F5234D">
        <w:t>Promoting responsible liquor, tobacco and gambling industries and supporting a safe and sustainable racing sector</w:t>
      </w:r>
    </w:p>
    <w:p w14:paraId="6498B0D5" w14:textId="77777777" w:rsidR="00824558" w:rsidRPr="00577C53" w:rsidRDefault="00824558">
      <w:pPr>
        <w:pStyle w:val="ShadedBoxText"/>
      </w:pPr>
      <w:r w:rsidRPr="00577C53">
        <w:t>This objective relates to harm minimisation through the regulation of the gambling</w:t>
      </w:r>
      <w:r>
        <w:t>, tobacco</w:t>
      </w:r>
      <w:r w:rsidRPr="00577C53">
        <w:t xml:space="preserve"> and liquor industries, and also supports the development of the Victorian racing industry through strategic leadership, innovation and investment in the racing industry.</w:t>
      </w:r>
    </w:p>
    <w:p w14:paraId="50C4D7C2" w14:textId="77777777" w:rsidR="00824558" w:rsidRPr="00577C53" w:rsidRDefault="00824558">
      <w:pPr>
        <w:pStyle w:val="ShadedBoxText"/>
      </w:pPr>
      <w:r w:rsidRPr="00577C53">
        <w:t>The departmental objective indicators are:</w:t>
      </w:r>
      <w:r w:rsidRPr="00577C53">
        <w:rPr>
          <w:vertAlign w:val="superscript"/>
        </w:rPr>
        <w:t xml:space="preserve"> </w:t>
      </w:r>
    </w:p>
    <w:p w14:paraId="2A961B66" w14:textId="77777777" w:rsidR="00824558" w:rsidRPr="00034A6A" w:rsidRDefault="00824558">
      <w:pPr>
        <w:pStyle w:val="ShadedBoxBullet"/>
        <w:contextualSpacing/>
      </w:pPr>
      <w:r w:rsidRPr="00877696">
        <w:t>number of people registered or licensed in the Victorian Racing Industry</w:t>
      </w:r>
    </w:p>
    <w:p w14:paraId="5BA5DD70" w14:textId="77777777" w:rsidR="00824558" w:rsidRPr="00E5647E" w:rsidRDefault="00824558">
      <w:pPr>
        <w:pStyle w:val="ShadedBoxBullet"/>
        <w:contextualSpacing/>
      </w:pPr>
      <w:r>
        <w:t>p</w:t>
      </w:r>
      <w:r w:rsidRPr="00034A6A">
        <w:t>ercentage of Victorian survey participants that agree gambling is conducted fairly and can be truste</w:t>
      </w:r>
      <w:r>
        <w:t>d.</w:t>
      </w:r>
    </w:p>
    <w:p w14:paraId="052CF32C" w14:textId="77777777" w:rsidR="00824558" w:rsidRDefault="00824558">
      <w:pPr>
        <w:pStyle w:val="Heading3"/>
      </w:pPr>
      <w:r>
        <w:t>Outputs</w:t>
      </w:r>
    </w:p>
    <w:p w14:paraId="28799E86" w14:textId="514D9CDB" w:rsidR="00824558" w:rsidRDefault="00824558">
      <w:pPr>
        <w:pStyle w:val="Heading3"/>
      </w:pPr>
      <w:r>
        <w:t>Liquor, Tobacco, Gambling and Casino Regulation</w:t>
      </w:r>
      <w:r>
        <w:tab/>
        <w:t>(2026-27: $</w:t>
      </w:r>
      <w:r w:rsidR="00D80ACC">
        <w:t>83.3</w:t>
      </w:r>
      <w:r>
        <w:t xml:space="preserve"> million)</w:t>
      </w:r>
    </w:p>
    <w:p w14:paraId="5CC355B7" w14:textId="77777777" w:rsidR="00824558" w:rsidRPr="00054ABF" w:rsidRDefault="00824558" w:rsidP="00653160">
      <w:pPr>
        <w:spacing w:after="120"/>
      </w:pPr>
      <w:r w:rsidRPr="00586134">
        <w:t xml:space="preserve">This output provides monitoring and regulation of gambling, liquor </w:t>
      </w:r>
      <w:r w:rsidRPr="00C739BA">
        <w:t xml:space="preserve">and tobacco </w:t>
      </w:r>
      <w:r w:rsidRPr="00586134">
        <w:t xml:space="preserve">activities in Victoria, including the operations of the Victorian Gambling and Casino Control Commission (VGCCC) and Liquor Control Victoria (LCV). It provides leadership and strategic policy advice to the Minister for Casino, Gaming and Liquor Regulation on harm minimisation and regulation of the gambling, liquor </w:t>
      </w:r>
      <w:r w:rsidRPr="00C739BA">
        <w:t>and tobacco</w:t>
      </w:r>
      <w:r w:rsidRPr="00586134">
        <w:t xml:space="preserve"> industries.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7D85F628" w14:textId="77777777" w:rsidTr="000515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CBC41EB" w14:textId="77777777" w:rsidR="00824558" w:rsidRDefault="00824558">
            <w:r>
              <w:t>Performance measure</w:t>
            </w:r>
          </w:p>
        </w:tc>
        <w:tc>
          <w:tcPr>
            <w:tcW w:w="964" w:type="dxa"/>
          </w:tcPr>
          <w:p w14:paraId="6D39B88C"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A69CD7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7FB483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E0D0EA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5F75BB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4227C31D"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Pr>
          <w:p w14:paraId="174160B5" w14:textId="77777777" w:rsidR="00824558" w:rsidRPr="000B4528" w:rsidRDefault="00824558">
            <w:pPr>
              <w:keepNext/>
              <w:rPr>
                <w:b/>
                <w:bCs/>
                <w:iCs/>
              </w:rPr>
            </w:pPr>
            <w:r w:rsidRPr="000B4528">
              <w:rPr>
                <w:b/>
                <w:bCs/>
                <w:iCs/>
              </w:rPr>
              <w:t>Quantity</w:t>
            </w:r>
          </w:p>
        </w:tc>
      </w:tr>
      <w:tr w:rsidR="00824558" w14:paraId="40FC49F2"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A7514B1" w14:textId="77777777" w:rsidR="00824558" w:rsidRDefault="00824558">
            <w:pPr>
              <w:ind w:left="170"/>
            </w:pPr>
            <w:r>
              <w:t>Casino applications, monitoring and audit activities</w:t>
            </w:r>
          </w:p>
        </w:tc>
        <w:tc>
          <w:tcPr>
            <w:tcW w:w="964" w:type="dxa"/>
            <w:tcBorders>
              <w:bottom w:val="single" w:sz="6" w:space="0" w:color="auto"/>
            </w:tcBorders>
          </w:tcPr>
          <w:p w14:paraId="48A7860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DCD3EBD" w14:textId="77777777" w:rsidR="00824558" w:rsidRDefault="00824558">
            <w:pPr>
              <w:cnfStyle w:val="000000000000" w:firstRow="0" w:lastRow="0" w:firstColumn="0" w:lastColumn="0" w:oddVBand="0" w:evenVBand="0" w:oddHBand="0" w:evenHBand="0" w:firstRowFirstColumn="0" w:firstRowLastColumn="0" w:lastRowFirstColumn="0" w:lastRowLastColumn="0"/>
            </w:pPr>
            <w:r>
              <w:t>2 016</w:t>
            </w:r>
          </w:p>
        </w:tc>
        <w:tc>
          <w:tcPr>
            <w:tcW w:w="964" w:type="dxa"/>
            <w:tcBorders>
              <w:bottom w:val="single" w:sz="6" w:space="0" w:color="auto"/>
            </w:tcBorders>
          </w:tcPr>
          <w:p w14:paraId="25ECB918"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1 950</w:t>
            </w:r>
          </w:p>
        </w:tc>
        <w:tc>
          <w:tcPr>
            <w:tcW w:w="964" w:type="dxa"/>
            <w:tcBorders>
              <w:bottom w:val="single" w:sz="6" w:space="0" w:color="auto"/>
            </w:tcBorders>
          </w:tcPr>
          <w:p w14:paraId="05859ECC" w14:textId="77777777" w:rsidR="00824558" w:rsidRDefault="00824558">
            <w:pPr>
              <w:cnfStyle w:val="000000000000" w:firstRow="0" w:lastRow="0" w:firstColumn="0" w:lastColumn="0" w:oddVBand="0" w:evenVBand="0" w:oddHBand="0" w:evenHBand="0" w:firstRowFirstColumn="0" w:firstRowLastColumn="0" w:lastRowFirstColumn="0" w:lastRowLastColumn="0"/>
            </w:pPr>
            <w:r>
              <w:t>2 016</w:t>
            </w:r>
          </w:p>
        </w:tc>
        <w:tc>
          <w:tcPr>
            <w:tcW w:w="964" w:type="dxa"/>
            <w:tcBorders>
              <w:bottom w:val="single" w:sz="6" w:space="0" w:color="auto"/>
            </w:tcBorders>
          </w:tcPr>
          <w:p w14:paraId="722999C0" w14:textId="77777777" w:rsidR="00824558" w:rsidRDefault="00824558">
            <w:pPr>
              <w:cnfStyle w:val="000000000000" w:firstRow="0" w:lastRow="0" w:firstColumn="0" w:lastColumn="0" w:oddVBand="0" w:evenVBand="0" w:oddHBand="0" w:evenHBand="0" w:firstRowFirstColumn="0" w:firstRowLastColumn="0" w:lastRowFirstColumn="0" w:lastRowLastColumn="0"/>
            </w:pPr>
            <w:r>
              <w:t>1 807</w:t>
            </w:r>
          </w:p>
        </w:tc>
      </w:tr>
      <w:tr w:rsidR="00824558" w14:paraId="4C3F9663"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29AD91AC" w14:textId="77777777" w:rsidR="00824558" w:rsidRDefault="00824558">
            <w:pPr>
              <w:keepNext/>
              <w:ind w:left="170"/>
            </w:pPr>
            <w:r>
              <w:t>Gambling and Casino information and advice</w:t>
            </w:r>
          </w:p>
        </w:tc>
        <w:tc>
          <w:tcPr>
            <w:tcW w:w="964" w:type="dxa"/>
          </w:tcPr>
          <w:p w14:paraId="02BA354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C9A8457" w14:textId="77777777" w:rsidR="00824558" w:rsidRDefault="00824558">
            <w:pPr>
              <w:cnfStyle w:val="000000000000" w:firstRow="0" w:lastRow="0" w:firstColumn="0" w:lastColumn="0" w:oddVBand="0" w:evenVBand="0" w:oddHBand="0" w:evenHBand="0" w:firstRowFirstColumn="0" w:firstRowLastColumn="0" w:lastRowFirstColumn="0" w:lastRowLastColumn="0"/>
            </w:pPr>
            <w:r>
              <w:t>25 000</w:t>
            </w:r>
          </w:p>
        </w:tc>
        <w:tc>
          <w:tcPr>
            <w:tcW w:w="964" w:type="dxa"/>
          </w:tcPr>
          <w:p w14:paraId="0ED3C325" w14:textId="77777777" w:rsidR="00824558" w:rsidRDefault="00824558">
            <w:pPr>
              <w:cnfStyle w:val="000000000000" w:firstRow="0" w:lastRow="0" w:firstColumn="0" w:lastColumn="0" w:oddVBand="0" w:evenVBand="0" w:oddHBand="0" w:evenHBand="0" w:firstRowFirstColumn="0" w:firstRowLastColumn="0" w:lastRowFirstColumn="0" w:lastRowLastColumn="0"/>
            </w:pPr>
            <w:r>
              <w:t>22 500</w:t>
            </w:r>
          </w:p>
        </w:tc>
        <w:tc>
          <w:tcPr>
            <w:tcW w:w="964" w:type="dxa"/>
          </w:tcPr>
          <w:p w14:paraId="6CF21C22" w14:textId="77777777" w:rsidR="00824558" w:rsidRDefault="00824558">
            <w:pPr>
              <w:cnfStyle w:val="000000000000" w:firstRow="0" w:lastRow="0" w:firstColumn="0" w:lastColumn="0" w:oddVBand="0" w:evenVBand="0" w:oddHBand="0" w:evenHBand="0" w:firstRowFirstColumn="0" w:firstRowLastColumn="0" w:lastRowFirstColumn="0" w:lastRowLastColumn="0"/>
            </w:pPr>
            <w:r>
              <w:t>25 000</w:t>
            </w:r>
          </w:p>
        </w:tc>
        <w:tc>
          <w:tcPr>
            <w:tcW w:w="964" w:type="dxa"/>
          </w:tcPr>
          <w:p w14:paraId="1F2E3F50" w14:textId="77777777" w:rsidR="00824558" w:rsidRDefault="00824558">
            <w:pPr>
              <w:cnfStyle w:val="000000000000" w:firstRow="0" w:lastRow="0" w:firstColumn="0" w:lastColumn="0" w:oddVBand="0" w:evenVBand="0" w:oddHBand="0" w:evenHBand="0" w:firstRowFirstColumn="0" w:firstRowLastColumn="0" w:lastRowFirstColumn="0" w:lastRowLastColumn="0"/>
            </w:pPr>
            <w:r>
              <w:t>22 609</w:t>
            </w:r>
          </w:p>
        </w:tc>
      </w:tr>
      <w:tr w:rsidR="00824558" w14:paraId="0EC0D501"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815FE12" w14:textId="2B349153" w:rsidR="00824558" w:rsidRDefault="00824558" w:rsidP="000B4528">
            <w:pPr>
              <w:ind w:left="170"/>
            </w:pPr>
            <w:r>
              <w:rPr>
                <w:i/>
              </w:rPr>
              <w:t>The 2025-26 expected outcome is lower than the 2025-26 target due to fewer enquiries received from industry and the public than forecast.</w:t>
            </w:r>
          </w:p>
        </w:tc>
      </w:tr>
      <w:tr w:rsidR="00824558" w14:paraId="0D5202AD"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6B84063" w14:textId="77777777" w:rsidR="00824558" w:rsidRDefault="00824558">
            <w:pPr>
              <w:ind w:left="170"/>
            </w:pPr>
            <w:r>
              <w:t>Gambling applications, monitoring and audit activities</w:t>
            </w:r>
          </w:p>
        </w:tc>
        <w:tc>
          <w:tcPr>
            <w:tcW w:w="964" w:type="dxa"/>
            <w:tcBorders>
              <w:bottom w:val="single" w:sz="6" w:space="0" w:color="auto"/>
            </w:tcBorders>
          </w:tcPr>
          <w:p w14:paraId="358AD23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9AF1698" w14:textId="77777777" w:rsidR="00824558" w:rsidRDefault="00824558">
            <w:pPr>
              <w:cnfStyle w:val="000000000000" w:firstRow="0" w:lastRow="0" w:firstColumn="0" w:lastColumn="0" w:oddVBand="0" w:evenVBand="0" w:oddHBand="0" w:evenHBand="0" w:firstRowFirstColumn="0" w:firstRowLastColumn="0" w:lastRowFirstColumn="0" w:lastRowLastColumn="0"/>
            </w:pPr>
            <w:r>
              <w:t>10 814</w:t>
            </w:r>
          </w:p>
        </w:tc>
        <w:tc>
          <w:tcPr>
            <w:tcW w:w="964" w:type="dxa"/>
            <w:tcBorders>
              <w:bottom w:val="single" w:sz="6" w:space="0" w:color="auto"/>
            </w:tcBorders>
          </w:tcPr>
          <w:p w14:paraId="3D0288CE" w14:textId="77777777" w:rsidR="00824558" w:rsidRDefault="00824558">
            <w:pPr>
              <w:cnfStyle w:val="000000000000" w:firstRow="0" w:lastRow="0" w:firstColumn="0" w:lastColumn="0" w:oddVBand="0" w:evenVBand="0" w:oddHBand="0" w:evenHBand="0" w:firstRowFirstColumn="0" w:firstRowLastColumn="0" w:lastRowFirstColumn="0" w:lastRowLastColumn="0"/>
            </w:pPr>
            <w:r>
              <w:t>10 814</w:t>
            </w:r>
          </w:p>
        </w:tc>
        <w:tc>
          <w:tcPr>
            <w:tcW w:w="964" w:type="dxa"/>
            <w:tcBorders>
              <w:bottom w:val="single" w:sz="6" w:space="0" w:color="auto"/>
            </w:tcBorders>
          </w:tcPr>
          <w:p w14:paraId="25471A88" w14:textId="77777777" w:rsidR="00824558" w:rsidRDefault="00824558">
            <w:pPr>
              <w:cnfStyle w:val="000000000000" w:firstRow="0" w:lastRow="0" w:firstColumn="0" w:lastColumn="0" w:oddVBand="0" w:evenVBand="0" w:oddHBand="0" w:evenHBand="0" w:firstRowFirstColumn="0" w:firstRowLastColumn="0" w:lastRowFirstColumn="0" w:lastRowLastColumn="0"/>
            </w:pPr>
            <w:r>
              <w:t>10 814</w:t>
            </w:r>
          </w:p>
        </w:tc>
        <w:tc>
          <w:tcPr>
            <w:tcW w:w="964" w:type="dxa"/>
            <w:tcBorders>
              <w:bottom w:val="single" w:sz="6" w:space="0" w:color="auto"/>
            </w:tcBorders>
          </w:tcPr>
          <w:p w14:paraId="33D1A920" w14:textId="77777777" w:rsidR="00824558" w:rsidRDefault="00824558">
            <w:pPr>
              <w:cnfStyle w:val="000000000000" w:firstRow="0" w:lastRow="0" w:firstColumn="0" w:lastColumn="0" w:oddVBand="0" w:evenVBand="0" w:oddHBand="0" w:evenHBand="0" w:firstRowFirstColumn="0" w:firstRowLastColumn="0" w:lastRowFirstColumn="0" w:lastRowLastColumn="0"/>
            </w:pPr>
            <w:r>
              <w:t>12 211</w:t>
            </w:r>
          </w:p>
        </w:tc>
      </w:tr>
      <w:tr w:rsidR="00824558" w14:paraId="0F07822B"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E3D565B" w14:textId="77777777" w:rsidR="00824558" w:rsidRDefault="00824558">
            <w:pPr>
              <w:ind w:left="170"/>
            </w:pPr>
            <w:r>
              <w:t>Gambling audits completed</w:t>
            </w:r>
          </w:p>
        </w:tc>
        <w:tc>
          <w:tcPr>
            <w:tcW w:w="964" w:type="dxa"/>
            <w:tcBorders>
              <w:bottom w:val="single" w:sz="6" w:space="0" w:color="auto"/>
            </w:tcBorders>
          </w:tcPr>
          <w:p w14:paraId="32269AA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E08D2D7"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038D3C7B"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5C55DAE7"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1 600</w:t>
            </w:r>
          </w:p>
        </w:tc>
        <w:tc>
          <w:tcPr>
            <w:tcW w:w="964" w:type="dxa"/>
            <w:tcBorders>
              <w:bottom w:val="single" w:sz="6" w:space="0" w:color="auto"/>
            </w:tcBorders>
          </w:tcPr>
          <w:p w14:paraId="64BBADCD" w14:textId="77777777" w:rsidR="00824558" w:rsidRDefault="00824558">
            <w:pPr>
              <w:cnfStyle w:val="000000000000" w:firstRow="0" w:lastRow="0" w:firstColumn="0" w:lastColumn="0" w:oddVBand="0" w:evenVBand="0" w:oddHBand="0" w:evenHBand="0" w:firstRowFirstColumn="0" w:firstRowLastColumn="0" w:lastRowFirstColumn="0" w:lastRowLastColumn="0"/>
            </w:pPr>
            <w:r>
              <w:t>1 925</w:t>
            </w:r>
          </w:p>
        </w:tc>
      </w:tr>
      <w:tr w:rsidR="00824558" w14:paraId="4556B084"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E19664B" w14:textId="77777777" w:rsidR="00824558" w:rsidRDefault="00824558">
            <w:pPr>
              <w:ind w:left="170"/>
            </w:pPr>
            <w:r>
              <w:t>Liquor inspections completed</w:t>
            </w:r>
          </w:p>
        </w:tc>
        <w:tc>
          <w:tcPr>
            <w:tcW w:w="964" w:type="dxa"/>
            <w:tcBorders>
              <w:bottom w:val="single" w:sz="6" w:space="0" w:color="auto"/>
            </w:tcBorders>
          </w:tcPr>
          <w:p w14:paraId="1F7607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E046203"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4 100</w:t>
            </w:r>
          </w:p>
        </w:tc>
        <w:tc>
          <w:tcPr>
            <w:tcW w:w="964" w:type="dxa"/>
            <w:tcBorders>
              <w:bottom w:val="single" w:sz="6" w:space="0" w:color="auto"/>
            </w:tcBorders>
          </w:tcPr>
          <w:p w14:paraId="5930B28E" w14:textId="77777777" w:rsidR="00824558" w:rsidRDefault="00824558">
            <w:pPr>
              <w:cnfStyle w:val="000000000000" w:firstRow="0" w:lastRow="0" w:firstColumn="0" w:lastColumn="0" w:oddVBand="0" w:evenVBand="0" w:oddHBand="0" w:evenHBand="0" w:firstRowFirstColumn="0" w:firstRowLastColumn="0" w:lastRowFirstColumn="0" w:lastRowLastColumn="0"/>
            </w:pPr>
            <w:r>
              <w:t>4 300</w:t>
            </w:r>
          </w:p>
        </w:tc>
        <w:tc>
          <w:tcPr>
            <w:tcW w:w="964" w:type="dxa"/>
            <w:tcBorders>
              <w:bottom w:val="single" w:sz="6" w:space="0" w:color="auto"/>
            </w:tcBorders>
          </w:tcPr>
          <w:p w14:paraId="3C3EC488" w14:textId="77777777" w:rsidR="00824558" w:rsidRDefault="00824558">
            <w:pPr>
              <w:cnfStyle w:val="000000000000" w:firstRow="0" w:lastRow="0" w:firstColumn="0" w:lastColumn="0" w:oddVBand="0" w:evenVBand="0" w:oddHBand="0" w:evenHBand="0" w:firstRowFirstColumn="0" w:firstRowLastColumn="0" w:lastRowFirstColumn="0" w:lastRowLastColumn="0"/>
            </w:pPr>
            <w:r>
              <w:t>4 100</w:t>
            </w:r>
          </w:p>
        </w:tc>
        <w:tc>
          <w:tcPr>
            <w:tcW w:w="964" w:type="dxa"/>
            <w:tcBorders>
              <w:bottom w:val="single" w:sz="6" w:space="0" w:color="auto"/>
            </w:tcBorders>
          </w:tcPr>
          <w:p w14:paraId="4F06722B" w14:textId="77777777" w:rsidR="00824558" w:rsidRDefault="00824558">
            <w:pPr>
              <w:cnfStyle w:val="000000000000" w:firstRow="0" w:lastRow="0" w:firstColumn="0" w:lastColumn="0" w:oddVBand="0" w:evenVBand="0" w:oddHBand="0" w:evenHBand="0" w:firstRowFirstColumn="0" w:firstRowLastColumn="0" w:lastRowFirstColumn="0" w:lastRowLastColumn="0"/>
            </w:pPr>
            <w:r>
              <w:t>5 234</w:t>
            </w:r>
          </w:p>
        </w:tc>
      </w:tr>
      <w:tr w:rsidR="00824558" w14:paraId="1301E52A"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9BE8A14" w14:textId="77777777" w:rsidR="00824558" w:rsidRDefault="00824558">
            <w:pPr>
              <w:ind w:left="170"/>
            </w:pPr>
            <w:r>
              <w:t>Liquor licence applications processed</w:t>
            </w:r>
          </w:p>
        </w:tc>
        <w:tc>
          <w:tcPr>
            <w:tcW w:w="964" w:type="dxa"/>
            <w:tcBorders>
              <w:bottom w:val="single" w:sz="6" w:space="0" w:color="auto"/>
            </w:tcBorders>
          </w:tcPr>
          <w:p w14:paraId="0DC3D7B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D384986" w14:textId="77777777" w:rsidR="00824558" w:rsidRDefault="00824558">
            <w:pPr>
              <w:cnfStyle w:val="000000000000" w:firstRow="0" w:lastRow="0" w:firstColumn="0" w:lastColumn="0" w:oddVBand="0" w:evenVBand="0" w:oddHBand="0" w:evenHBand="0" w:firstRowFirstColumn="0" w:firstRowLastColumn="0" w:lastRowFirstColumn="0" w:lastRowLastColumn="0"/>
            </w:pPr>
            <w:r>
              <w:t>14 000</w:t>
            </w:r>
          </w:p>
        </w:tc>
        <w:tc>
          <w:tcPr>
            <w:tcW w:w="964" w:type="dxa"/>
            <w:tcBorders>
              <w:bottom w:val="single" w:sz="6" w:space="0" w:color="auto"/>
            </w:tcBorders>
          </w:tcPr>
          <w:p w14:paraId="636967AE" w14:textId="77777777" w:rsidR="00824558" w:rsidRDefault="00824558">
            <w:pPr>
              <w:cnfStyle w:val="000000000000" w:firstRow="0" w:lastRow="0" w:firstColumn="0" w:lastColumn="0" w:oddVBand="0" w:evenVBand="0" w:oddHBand="0" w:evenHBand="0" w:firstRowFirstColumn="0" w:firstRowLastColumn="0" w:lastRowFirstColumn="0" w:lastRowLastColumn="0"/>
            </w:pPr>
            <w:r>
              <w:t>13 330</w:t>
            </w:r>
          </w:p>
        </w:tc>
        <w:tc>
          <w:tcPr>
            <w:tcW w:w="964" w:type="dxa"/>
            <w:tcBorders>
              <w:bottom w:val="single" w:sz="6" w:space="0" w:color="auto"/>
            </w:tcBorders>
          </w:tcPr>
          <w:p w14:paraId="5DBB5B6C" w14:textId="77777777" w:rsidR="00824558" w:rsidRDefault="00824558">
            <w:pPr>
              <w:cnfStyle w:val="000000000000" w:firstRow="0" w:lastRow="0" w:firstColumn="0" w:lastColumn="0" w:oddVBand="0" w:evenVBand="0" w:oddHBand="0" w:evenHBand="0" w:firstRowFirstColumn="0" w:firstRowLastColumn="0" w:lastRowFirstColumn="0" w:lastRowLastColumn="0"/>
            </w:pPr>
            <w:r>
              <w:t>14 000</w:t>
            </w:r>
          </w:p>
        </w:tc>
        <w:tc>
          <w:tcPr>
            <w:tcW w:w="964" w:type="dxa"/>
            <w:tcBorders>
              <w:bottom w:val="single" w:sz="6" w:space="0" w:color="auto"/>
            </w:tcBorders>
          </w:tcPr>
          <w:p w14:paraId="77AF1692" w14:textId="77777777" w:rsidR="00824558" w:rsidRDefault="00824558">
            <w:pPr>
              <w:cnfStyle w:val="000000000000" w:firstRow="0" w:lastRow="0" w:firstColumn="0" w:lastColumn="0" w:oddVBand="0" w:evenVBand="0" w:oddHBand="0" w:evenHBand="0" w:firstRowFirstColumn="0" w:firstRowLastColumn="0" w:lastRowFirstColumn="0" w:lastRowLastColumn="0"/>
            </w:pPr>
            <w:r>
              <w:t>14 490</w:t>
            </w:r>
          </w:p>
        </w:tc>
      </w:tr>
      <w:tr w:rsidR="00824558" w14:paraId="1B8E36D2"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AC13521" w14:textId="77777777" w:rsidR="00824558" w:rsidRDefault="00824558">
            <w:pPr>
              <w:ind w:left="170"/>
            </w:pPr>
            <w:r>
              <w:t>Liquor licensing information and advice provided via phone and email</w:t>
            </w:r>
          </w:p>
        </w:tc>
        <w:tc>
          <w:tcPr>
            <w:tcW w:w="964" w:type="dxa"/>
            <w:tcBorders>
              <w:bottom w:val="single" w:sz="6" w:space="0" w:color="auto"/>
            </w:tcBorders>
          </w:tcPr>
          <w:p w14:paraId="712007A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4D29B9C" w14:textId="77777777" w:rsidR="00824558" w:rsidRDefault="00824558">
            <w:pPr>
              <w:cnfStyle w:val="000000000000" w:firstRow="0" w:lastRow="0" w:firstColumn="0" w:lastColumn="0" w:oddVBand="0" w:evenVBand="0" w:oddHBand="0" w:evenHBand="0" w:firstRowFirstColumn="0" w:firstRowLastColumn="0" w:lastRowFirstColumn="0" w:lastRowLastColumn="0"/>
            </w:pPr>
            <w:r>
              <w:t>102 400</w:t>
            </w:r>
          </w:p>
        </w:tc>
        <w:tc>
          <w:tcPr>
            <w:tcW w:w="964" w:type="dxa"/>
            <w:tcBorders>
              <w:bottom w:val="single" w:sz="6" w:space="0" w:color="auto"/>
            </w:tcBorders>
          </w:tcPr>
          <w:p w14:paraId="4EA898F2" w14:textId="77777777" w:rsidR="00824558" w:rsidRDefault="00824558">
            <w:pPr>
              <w:cnfStyle w:val="000000000000" w:firstRow="0" w:lastRow="0" w:firstColumn="0" w:lastColumn="0" w:oddVBand="0" w:evenVBand="0" w:oddHBand="0" w:evenHBand="0" w:firstRowFirstColumn="0" w:firstRowLastColumn="0" w:lastRowFirstColumn="0" w:lastRowLastColumn="0"/>
            </w:pPr>
            <w:r>
              <w:t>102 400</w:t>
            </w:r>
          </w:p>
        </w:tc>
        <w:tc>
          <w:tcPr>
            <w:tcW w:w="964" w:type="dxa"/>
            <w:tcBorders>
              <w:bottom w:val="single" w:sz="6" w:space="0" w:color="auto"/>
            </w:tcBorders>
          </w:tcPr>
          <w:p w14:paraId="35005DB2" w14:textId="77777777" w:rsidR="00824558" w:rsidRDefault="00824558">
            <w:pPr>
              <w:cnfStyle w:val="000000000000" w:firstRow="0" w:lastRow="0" w:firstColumn="0" w:lastColumn="0" w:oddVBand="0" w:evenVBand="0" w:oddHBand="0" w:evenHBand="0" w:firstRowFirstColumn="0" w:firstRowLastColumn="0" w:lastRowFirstColumn="0" w:lastRowLastColumn="0"/>
            </w:pPr>
            <w:r>
              <w:t>102 400</w:t>
            </w:r>
          </w:p>
        </w:tc>
        <w:tc>
          <w:tcPr>
            <w:tcW w:w="964" w:type="dxa"/>
            <w:tcBorders>
              <w:bottom w:val="single" w:sz="6" w:space="0" w:color="auto"/>
            </w:tcBorders>
          </w:tcPr>
          <w:p w14:paraId="6A175113" w14:textId="77777777" w:rsidR="00824558" w:rsidRDefault="00824558">
            <w:pPr>
              <w:cnfStyle w:val="000000000000" w:firstRow="0" w:lastRow="0" w:firstColumn="0" w:lastColumn="0" w:oddVBand="0" w:evenVBand="0" w:oddHBand="0" w:evenHBand="0" w:firstRowFirstColumn="0" w:firstRowLastColumn="0" w:lastRowFirstColumn="0" w:lastRowLastColumn="0"/>
            </w:pPr>
            <w:r>
              <w:t>123 264</w:t>
            </w:r>
          </w:p>
        </w:tc>
      </w:tr>
      <w:tr w:rsidR="00824558" w14:paraId="0289C013"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39D9E5DD" w14:textId="77777777" w:rsidR="00824558" w:rsidRDefault="00824558">
            <w:pPr>
              <w:keepNext/>
              <w:ind w:left="170"/>
            </w:pPr>
            <w:r>
              <w:t>Operations conducted with co-regulators to identify high harm liquor breaches</w:t>
            </w:r>
          </w:p>
        </w:tc>
        <w:tc>
          <w:tcPr>
            <w:tcW w:w="964" w:type="dxa"/>
          </w:tcPr>
          <w:p w14:paraId="7754256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22AC8C3"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6E64C877"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2B6B5F2A"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12E9151" w14:textId="77777777" w:rsidR="00824558" w:rsidRDefault="00824558">
            <w:pPr>
              <w:cnfStyle w:val="000000000000" w:firstRow="0" w:lastRow="0" w:firstColumn="0" w:lastColumn="0" w:oddVBand="0" w:evenVBand="0" w:oddHBand="0" w:evenHBand="0" w:firstRowFirstColumn="0" w:firstRowLastColumn="0" w:lastRowFirstColumn="0" w:lastRowLastColumn="0"/>
            </w:pPr>
            <w:r>
              <w:t>26</w:t>
            </w:r>
          </w:p>
        </w:tc>
      </w:tr>
      <w:tr w:rsidR="00824558" w14:paraId="2D65CE74"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99A3EBD" w14:textId="77777777" w:rsidR="00824558" w:rsidRDefault="00824558">
            <w:pPr>
              <w:ind w:left="170"/>
            </w:pPr>
            <w:r>
              <w:rPr>
                <w:i/>
              </w:rPr>
              <w:t>The higher 2026-27 target reflects increased activity in the inspection and investigations teams on high-priority operations that involve Victoria Police.</w:t>
            </w:r>
          </w:p>
        </w:tc>
      </w:tr>
      <w:tr w:rsidR="00824558" w14:paraId="2B77C600"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35ADF103" w14:textId="77777777" w:rsidR="00824558" w:rsidRDefault="00824558">
            <w:pPr>
              <w:keepNext/>
              <w:ind w:left="170"/>
            </w:pPr>
            <w:r>
              <w:t>Proof of age card applications processed</w:t>
            </w:r>
          </w:p>
        </w:tc>
        <w:tc>
          <w:tcPr>
            <w:tcW w:w="964" w:type="dxa"/>
          </w:tcPr>
          <w:p w14:paraId="6D03D4C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705FA0E" w14:textId="35D3384C" w:rsidR="00824558" w:rsidRDefault="00824558">
            <w:pPr>
              <w:cnfStyle w:val="000000000000" w:firstRow="0" w:lastRow="0" w:firstColumn="0" w:lastColumn="0" w:oddVBand="0" w:evenVBand="0" w:oddHBand="0" w:evenHBand="0" w:firstRowFirstColumn="0" w:firstRowLastColumn="0" w:lastRowFirstColumn="0" w:lastRowLastColumn="0"/>
            </w:pPr>
            <w:r>
              <w:t>2</w:t>
            </w:r>
            <w:r w:rsidR="00EB421F">
              <w:t>8</w:t>
            </w:r>
            <w:r>
              <w:t xml:space="preserve"> 000</w:t>
            </w:r>
          </w:p>
        </w:tc>
        <w:tc>
          <w:tcPr>
            <w:tcW w:w="964" w:type="dxa"/>
          </w:tcPr>
          <w:p w14:paraId="4B56D45C" w14:textId="77777777" w:rsidR="00824558" w:rsidRDefault="00824558">
            <w:pPr>
              <w:cnfStyle w:val="000000000000" w:firstRow="0" w:lastRow="0" w:firstColumn="0" w:lastColumn="0" w:oddVBand="0" w:evenVBand="0" w:oddHBand="0" w:evenHBand="0" w:firstRowFirstColumn="0" w:firstRowLastColumn="0" w:lastRowFirstColumn="0" w:lastRowLastColumn="0"/>
            </w:pPr>
            <w:r>
              <w:t>26 000</w:t>
            </w:r>
          </w:p>
        </w:tc>
        <w:tc>
          <w:tcPr>
            <w:tcW w:w="964" w:type="dxa"/>
          </w:tcPr>
          <w:p w14:paraId="5D1DAF20" w14:textId="77777777" w:rsidR="00824558" w:rsidRDefault="00824558">
            <w:pPr>
              <w:cnfStyle w:val="000000000000" w:firstRow="0" w:lastRow="0" w:firstColumn="0" w:lastColumn="0" w:oddVBand="0" w:evenVBand="0" w:oddHBand="0" w:evenHBand="0" w:firstRowFirstColumn="0" w:firstRowLastColumn="0" w:lastRowFirstColumn="0" w:lastRowLastColumn="0"/>
            </w:pPr>
            <w:r>
              <w:t>28 000</w:t>
            </w:r>
          </w:p>
        </w:tc>
        <w:tc>
          <w:tcPr>
            <w:tcW w:w="964" w:type="dxa"/>
          </w:tcPr>
          <w:p w14:paraId="56D4596E" w14:textId="77777777" w:rsidR="00824558" w:rsidRDefault="00824558">
            <w:pPr>
              <w:cnfStyle w:val="000000000000" w:firstRow="0" w:lastRow="0" w:firstColumn="0" w:lastColumn="0" w:oddVBand="0" w:evenVBand="0" w:oddHBand="0" w:evenHBand="0" w:firstRowFirstColumn="0" w:firstRowLastColumn="0" w:lastRowFirstColumn="0" w:lastRowLastColumn="0"/>
            </w:pPr>
            <w:r>
              <w:t>31 396</w:t>
            </w:r>
          </w:p>
        </w:tc>
      </w:tr>
      <w:tr w:rsidR="00824558" w14:paraId="3D207335"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AE2725" w14:textId="6A750B1C" w:rsidR="00824558" w:rsidRDefault="00824558">
            <w:pPr>
              <w:ind w:left="170"/>
            </w:pPr>
            <w:r>
              <w:rPr>
                <w:i/>
              </w:rPr>
              <w:t>The 2025-26 expected outcome is lower than the target due to the anticipated launch of a new product that will reduce demand for Liquor Control Victoria</w:t>
            </w:r>
            <w:r w:rsidR="007942D1">
              <w:rPr>
                <w:i/>
              </w:rPr>
              <w:t>’</w:t>
            </w:r>
            <w:r>
              <w:rPr>
                <w:i/>
              </w:rPr>
              <w:t>s proof of age card.</w:t>
            </w:r>
          </w:p>
        </w:tc>
      </w:tr>
      <w:tr w:rsidR="00824558" w14:paraId="52603C26"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0F09E02" w14:textId="77777777" w:rsidR="00824558" w:rsidRDefault="00824558">
            <w:pPr>
              <w:ind w:left="170"/>
            </w:pPr>
            <w:r>
              <w:t>Tobacco inspections completed</w:t>
            </w:r>
          </w:p>
        </w:tc>
        <w:tc>
          <w:tcPr>
            <w:tcW w:w="964" w:type="dxa"/>
            <w:tcBorders>
              <w:bottom w:val="single" w:sz="6" w:space="0" w:color="auto"/>
            </w:tcBorders>
          </w:tcPr>
          <w:p w14:paraId="49EA7FD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436BE55"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0330A650"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7C68FFF5"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4" w:type="dxa"/>
            <w:tcBorders>
              <w:bottom w:val="single" w:sz="6" w:space="0" w:color="auto"/>
            </w:tcBorders>
          </w:tcPr>
          <w:p w14:paraId="6330635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314DA3B"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50F07072" w14:textId="77777777" w:rsidR="00824558" w:rsidRDefault="00824558">
            <w:pPr>
              <w:keepNext/>
              <w:ind w:left="170"/>
            </w:pPr>
            <w:r>
              <w:t>Tobacco license applications reviewed and determined</w:t>
            </w:r>
          </w:p>
        </w:tc>
        <w:tc>
          <w:tcPr>
            <w:tcW w:w="964" w:type="dxa"/>
          </w:tcPr>
          <w:p w14:paraId="33169BC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564183D" w14:textId="77777777" w:rsidR="00824558" w:rsidRDefault="00824558">
            <w:pPr>
              <w:cnfStyle w:val="000000000000" w:firstRow="0" w:lastRow="0" w:firstColumn="0" w:lastColumn="0" w:oddVBand="0" w:evenVBand="0" w:oddHBand="0" w:evenHBand="0" w:firstRowFirstColumn="0" w:firstRowLastColumn="0" w:lastRowFirstColumn="0" w:lastRowLastColumn="0"/>
            </w:pPr>
            <w:r>
              <w:t>8 000</w:t>
            </w:r>
          </w:p>
        </w:tc>
        <w:tc>
          <w:tcPr>
            <w:tcW w:w="964" w:type="dxa"/>
          </w:tcPr>
          <w:p w14:paraId="6C028CF0"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Pr>
          <w:p w14:paraId="38E5B68B" w14:textId="77777777" w:rsidR="00824558" w:rsidRDefault="00824558">
            <w:pPr>
              <w:cnfStyle w:val="000000000000" w:firstRow="0" w:lastRow="0" w:firstColumn="0" w:lastColumn="0" w:oddVBand="0" w:evenVBand="0" w:oddHBand="0" w:evenHBand="0" w:firstRowFirstColumn="0" w:firstRowLastColumn="0" w:lastRowFirstColumn="0" w:lastRowLastColumn="0"/>
            </w:pPr>
            <w:r>
              <w:t>10 000</w:t>
            </w:r>
          </w:p>
        </w:tc>
        <w:tc>
          <w:tcPr>
            <w:tcW w:w="964" w:type="dxa"/>
          </w:tcPr>
          <w:p w14:paraId="5F98C6F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937DAB0"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04B245" w14:textId="40C5A2C8" w:rsidR="00824558" w:rsidRDefault="00824558">
            <w:pPr>
              <w:ind w:left="170"/>
            </w:pPr>
            <w:r>
              <w:rPr>
                <w:i/>
              </w:rPr>
              <w:t>The lower 2026-27 target reflects updated estimates for the size of the industry and the volume of tobacco license applications anticipated to be reviewed and determined. As the scheme began in 2025-26, the volume of tobacco license applications was not yet established and the forecast of 10</w:t>
            </w:r>
            <w:r w:rsidR="00F93920">
              <w:rPr>
                <w:i/>
              </w:rPr>
              <w:t> </w:t>
            </w:r>
            <w:r>
              <w:rPr>
                <w:i/>
              </w:rPr>
              <w:t>000 at that time was indicative only for the 2025-26 financial year.</w:t>
            </w:r>
          </w:p>
        </w:tc>
      </w:tr>
      <w:tr w:rsidR="00824558" w:rsidRPr="000B4528" w14:paraId="7303EFA7"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Pr>
          <w:p w14:paraId="0ECD3F59" w14:textId="77777777" w:rsidR="00824558" w:rsidRPr="000B4528" w:rsidRDefault="00824558">
            <w:pPr>
              <w:keepNext/>
              <w:rPr>
                <w:b/>
                <w:bCs/>
                <w:iCs/>
              </w:rPr>
            </w:pPr>
            <w:r w:rsidRPr="000B4528">
              <w:rPr>
                <w:b/>
                <w:bCs/>
                <w:iCs/>
              </w:rPr>
              <w:t>Quality</w:t>
            </w:r>
          </w:p>
        </w:tc>
      </w:tr>
      <w:tr w:rsidR="00824558" w14:paraId="38CB0B9F"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90DCDF4" w14:textId="292C8AA0" w:rsidR="00824558" w:rsidRDefault="00824558">
            <w:pPr>
              <w:ind w:left="170"/>
            </w:pPr>
            <w:r>
              <w:t>Gambling audits conducted at high</w:t>
            </w:r>
            <w:r w:rsidR="008C09EA">
              <w:t>-</w:t>
            </w:r>
            <w:r>
              <w:t>risk times</w:t>
            </w:r>
          </w:p>
        </w:tc>
        <w:tc>
          <w:tcPr>
            <w:tcW w:w="964" w:type="dxa"/>
            <w:tcBorders>
              <w:bottom w:val="single" w:sz="6" w:space="0" w:color="auto"/>
            </w:tcBorders>
          </w:tcPr>
          <w:p w14:paraId="21A3064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6337B6D"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0012C497"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6B0C8CF9"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5B892E88" w14:textId="77777777" w:rsidR="00824558" w:rsidRDefault="00824558">
            <w:pPr>
              <w:cnfStyle w:val="000000000000" w:firstRow="0" w:lastRow="0" w:firstColumn="0" w:lastColumn="0" w:oddVBand="0" w:evenVBand="0" w:oddHBand="0" w:evenHBand="0" w:firstRowFirstColumn="0" w:firstRowLastColumn="0" w:lastRowFirstColumn="0" w:lastRowLastColumn="0"/>
            </w:pPr>
            <w:r>
              <w:t>23.8</w:t>
            </w:r>
          </w:p>
        </w:tc>
      </w:tr>
      <w:tr w:rsidR="00824558" w14:paraId="0F1BED53"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89A209" w14:textId="77777777" w:rsidR="00824558" w:rsidRDefault="00824558">
            <w:pPr>
              <w:ind w:left="170"/>
            </w:pPr>
            <w:r>
              <w:t>Liquor licensing client satisfaction</w:t>
            </w:r>
          </w:p>
        </w:tc>
        <w:tc>
          <w:tcPr>
            <w:tcW w:w="964" w:type="dxa"/>
            <w:tcBorders>
              <w:bottom w:val="single" w:sz="6" w:space="0" w:color="auto"/>
            </w:tcBorders>
          </w:tcPr>
          <w:p w14:paraId="1B1A13D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278713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19BBE04"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c>
          <w:tcPr>
            <w:tcW w:w="964" w:type="dxa"/>
            <w:tcBorders>
              <w:bottom w:val="single" w:sz="6" w:space="0" w:color="auto"/>
            </w:tcBorders>
          </w:tcPr>
          <w:p w14:paraId="7ED58F6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1EAFDE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0BEA2F11"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D6C5189" w14:textId="77777777" w:rsidR="00824558" w:rsidRDefault="00824558">
            <w:pPr>
              <w:ind w:left="170"/>
            </w:pPr>
            <w:r>
              <w:t>Proportion of high harm gambling breaches resulting in regulatory action</w:t>
            </w:r>
          </w:p>
        </w:tc>
        <w:tc>
          <w:tcPr>
            <w:tcW w:w="964" w:type="dxa"/>
            <w:tcBorders>
              <w:bottom w:val="single" w:sz="6" w:space="0" w:color="auto"/>
            </w:tcBorders>
          </w:tcPr>
          <w:p w14:paraId="7F80BA1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86F6BC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5869B51"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8014D1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4F73CF4" w14:textId="77777777" w:rsidR="00824558" w:rsidRDefault="00824558">
            <w:pPr>
              <w:cnfStyle w:val="000000000000" w:firstRow="0" w:lastRow="0" w:firstColumn="0" w:lastColumn="0" w:oddVBand="0" w:evenVBand="0" w:oddHBand="0" w:evenHBand="0" w:firstRowFirstColumn="0" w:firstRowLastColumn="0" w:lastRowFirstColumn="0" w:lastRowLastColumn="0"/>
            </w:pPr>
            <w:r>
              <w:t>84.6</w:t>
            </w:r>
          </w:p>
        </w:tc>
      </w:tr>
      <w:tr w:rsidR="00824558" w14:paraId="311E216F"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21C4B29" w14:textId="77777777" w:rsidR="00824558" w:rsidRDefault="00824558">
            <w:pPr>
              <w:ind w:left="170"/>
            </w:pPr>
            <w:r>
              <w:t>Proportion of high harm liquor breaches resulting in regulatory action</w:t>
            </w:r>
          </w:p>
        </w:tc>
        <w:tc>
          <w:tcPr>
            <w:tcW w:w="964" w:type="dxa"/>
            <w:tcBorders>
              <w:bottom w:val="single" w:sz="6" w:space="0" w:color="auto"/>
            </w:tcBorders>
          </w:tcPr>
          <w:p w14:paraId="027C2F4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12E5FE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B22FC9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840F03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E4C5322"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640B8255"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6BF5703F" w14:textId="4227423C" w:rsidR="00824558" w:rsidRDefault="00824558">
            <w:pPr>
              <w:keepNext/>
              <w:ind w:left="170"/>
            </w:pPr>
            <w:r>
              <w:t>Proportion of liquor inspections conducted at hig</w:t>
            </w:r>
            <w:r w:rsidR="008C09EA">
              <w:t>h-</w:t>
            </w:r>
            <w:r>
              <w:t>risk times</w:t>
            </w:r>
          </w:p>
        </w:tc>
        <w:tc>
          <w:tcPr>
            <w:tcW w:w="964" w:type="dxa"/>
          </w:tcPr>
          <w:p w14:paraId="41E0015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99F77F0"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05C9012A" w14:textId="77777777" w:rsidR="00824558" w:rsidRDefault="0082455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0B3E6CF8"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74E72F39"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r>
      <w:tr w:rsidR="00824558" w14:paraId="4F2A35EC"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893F4FC" w14:textId="77777777" w:rsidR="00824558" w:rsidRDefault="00824558">
            <w:pPr>
              <w:ind w:left="170"/>
            </w:pPr>
            <w:r>
              <w:rPr>
                <w:i/>
              </w:rPr>
              <w:t>The 2025-26 expected outcome is higher than the 2025-26 target due to an increased focus on inspections at high-risk times.</w:t>
            </w:r>
          </w:p>
        </w:tc>
      </w:tr>
      <w:tr w:rsidR="00824558" w14:paraId="5555BA1E"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163786D" w14:textId="77777777" w:rsidR="00824558" w:rsidRDefault="00824558">
            <w:pPr>
              <w:ind w:left="170"/>
            </w:pPr>
            <w:r>
              <w:t>Proportion of tobacco inspections completed in accordance with compliance inspection plan</w:t>
            </w:r>
          </w:p>
        </w:tc>
        <w:tc>
          <w:tcPr>
            <w:tcW w:w="964" w:type="dxa"/>
            <w:tcBorders>
              <w:bottom w:val="single" w:sz="6" w:space="0" w:color="auto"/>
            </w:tcBorders>
          </w:tcPr>
          <w:p w14:paraId="000FB1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512EB8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1E1CE1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EAB42C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B2CEB9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0B4528" w14:paraId="17E45B45"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Pr>
          <w:p w14:paraId="54D203B0" w14:textId="77777777" w:rsidR="00824558" w:rsidRPr="000B4528" w:rsidRDefault="00824558">
            <w:pPr>
              <w:keepNext/>
              <w:rPr>
                <w:b/>
                <w:bCs/>
                <w:iCs/>
              </w:rPr>
            </w:pPr>
            <w:r w:rsidRPr="000B4528">
              <w:rPr>
                <w:b/>
                <w:bCs/>
                <w:iCs/>
              </w:rPr>
              <w:lastRenderedPageBreak/>
              <w:t>Timeliness</w:t>
            </w:r>
          </w:p>
        </w:tc>
      </w:tr>
      <w:tr w:rsidR="00824558" w14:paraId="13AAC7F8"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2E8E21DC" w14:textId="77777777" w:rsidR="00824558" w:rsidRDefault="00824558">
            <w:pPr>
              <w:keepNext/>
              <w:ind w:left="170"/>
            </w:pPr>
            <w:r>
              <w:t>Average number of days for liquor licence applications to be finalised</w:t>
            </w:r>
          </w:p>
        </w:tc>
        <w:tc>
          <w:tcPr>
            <w:tcW w:w="964" w:type="dxa"/>
          </w:tcPr>
          <w:p w14:paraId="1DB5CCD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27F23DF"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429019D2" w14:textId="77777777" w:rsidR="00824558" w:rsidRDefault="00824558">
            <w:pPr>
              <w:cnfStyle w:val="000000000000" w:firstRow="0" w:lastRow="0" w:firstColumn="0" w:lastColumn="0" w:oddVBand="0" w:evenVBand="0" w:oddHBand="0" w:evenHBand="0" w:firstRowFirstColumn="0" w:firstRowLastColumn="0" w:lastRowFirstColumn="0" w:lastRowLastColumn="0"/>
            </w:pPr>
            <w:r>
              <w:t>42</w:t>
            </w:r>
          </w:p>
        </w:tc>
        <w:tc>
          <w:tcPr>
            <w:tcW w:w="964" w:type="dxa"/>
          </w:tcPr>
          <w:p w14:paraId="2D3B7823" w14:textId="77777777" w:rsidR="00824558" w:rsidRDefault="0082455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5D7CB14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190C066"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C62546" w14:textId="77777777" w:rsidR="00824558" w:rsidRDefault="00824558">
            <w:pPr>
              <w:ind w:left="170"/>
            </w:pPr>
            <w:r>
              <w:rPr>
                <w:i/>
              </w:rPr>
              <w:t>The 2025-26 expected outcome is higher than the 2025-26 target due to the processing of aged and complex applications.</w:t>
            </w:r>
          </w:p>
        </w:tc>
      </w:tr>
      <w:tr w:rsidR="00824558" w14:paraId="6EB2D915"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931FE52" w14:textId="77777777" w:rsidR="00824558" w:rsidRDefault="00824558">
            <w:pPr>
              <w:ind w:left="170"/>
            </w:pPr>
            <w:r>
              <w:t>Calls to Victorian Gambling and Casino Control Commission client services answered within 60 seconds</w:t>
            </w:r>
          </w:p>
        </w:tc>
        <w:tc>
          <w:tcPr>
            <w:tcW w:w="964" w:type="dxa"/>
            <w:tcBorders>
              <w:bottom w:val="single" w:sz="6" w:space="0" w:color="auto"/>
            </w:tcBorders>
          </w:tcPr>
          <w:p w14:paraId="5DF64D8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D0927A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3433C4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56C97B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204D6D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r>
      <w:tr w:rsidR="00824558" w14:paraId="1EF71F17"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3EF8CE" w14:textId="77777777" w:rsidR="00824558" w:rsidRDefault="00824558">
            <w:pPr>
              <w:ind w:left="170"/>
            </w:pPr>
            <w:r>
              <w:t>Gambling approvals, licence, permit applications and variations completed within set time</w:t>
            </w:r>
          </w:p>
        </w:tc>
        <w:tc>
          <w:tcPr>
            <w:tcW w:w="964" w:type="dxa"/>
            <w:tcBorders>
              <w:bottom w:val="single" w:sz="6" w:space="0" w:color="auto"/>
            </w:tcBorders>
          </w:tcPr>
          <w:p w14:paraId="30DBF28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0F4941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1E11449"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2D412A1"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CDB9530" w14:textId="77777777" w:rsidR="00824558" w:rsidRDefault="00824558">
            <w:pPr>
              <w:cnfStyle w:val="000000000000" w:firstRow="0" w:lastRow="0" w:firstColumn="0" w:lastColumn="0" w:oddVBand="0" w:evenVBand="0" w:oddHBand="0" w:evenHBand="0" w:firstRowFirstColumn="0" w:firstRowLastColumn="0" w:lastRowFirstColumn="0" w:lastRowLastColumn="0"/>
            </w:pPr>
            <w:r>
              <w:t>76</w:t>
            </w:r>
          </w:p>
        </w:tc>
      </w:tr>
      <w:tr w:rsidR="00824558" w14:paraId="1299D5C4" w14:textId="77777777" w:rsidTr="000515E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970883B" w14:textId="77777777" w:rsidR="00824558" w:rsidRDefault="00824558">
            <w:pPr>
              <w:ind w:left="170"/>
            </w:pPr>
            <w:r>
              <w:t>Proportion of reviewable tobacco licensing decisions made within 28 days of receiving an application for internal review</w:t>
            </w:r>
          </w:p>
        </w:tc>
        <w:tc>
          <w:tcPr>
            <w:tcW w:w="964" w:type="dxa"/>
            <w:tcBorders>
              <w:bottom w:val="single" w:sz="6" w:space="0" w:color="auto"/>
            </w:tcBorders>
          </w:tcPr>
          <w:p w14:paraId="3D26EED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9A66D4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0BBF4B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5A81733"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C8EEFF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0B4528" w14:paraId="534987AC" w14:textId="77777777" w:rsidTr="000515EB">
        <w:tc>
          <w:tcPr>
            <w:cnfStyle w:val="001000000000" w:firstRow="0" w:lastRow="0" w:firstColumn="1" w:lastColumn="0" w:oddVBand="0" w:evenVBand="0" w:oddHBand="0" w:evenHBand="0" w:firstRowFirstColumn="0" w:firstRowLastColumn="0" w:lastRowFirstColumn="0" w:lastRowLastColumn="0"/>
            <w:tcW w:w="9639" w:type="dxa"/>
            <w:gridSpan w:val="6"/>
          </w:tcPr>
          <w:p w14:paraId="32AA88A9" w14:textId="77777777" w:rsidR="00824558" w:rsidRPr="000B4528" w:rsidRDefault="00824558">
            <w:pPr>
              <w:keepNext/>
              <w:rPr>
                <w:b/>
                <w:bCs/>
                <w:iCs/>
              </w:rPr>
            </w:pPr>
            <w:r w:rsidRPr="000B4528">
              <w:rPr>
                <w:b/>
                <w:bCs/>
                <w:iCs/>
              </w:rPr>
              <w:t>Cost</w:t>
            </w:r>
          </w:p>
        </w:tc>
      </w:tr>
      <w:tr w:rsidR="000515EB" w14:paraId="68815FF9" w14:textId="77777777" w:rsidTr="000515EB">
        <w:tc>
          <w:tcPr>
            <w:cnfStyle w:val="001000000000" w:firstRow="0" w:lastRow="0" w:firstColumn="1" w:lastColumn="0" w:oddVBand="0" w:evenVBand="0" w:oddHBand="0" w:evenHBand="0" w:firstRowFirstColumn="0" w:firstRowLastColumn="0" w:lastRowFirstColumn="0" w:lastRowLastColumn="0"/>
            <w:tcW w:w="4819" w:type="dxa"/>
          </w:tcPr>
          <w:p w14:paraId="46E6A7E0" w14:textId="77777777" w:rsidR="000515EB" w:rsidRDefault="000515EB" w:rsidP="000515EB">
            <w:pPr>
              <w:ind w:left="170"/>
            </w:pPr>
            <w:r>
              <w:t>Total output cost</w:t>
            </w:r>
          </w:p>
        </w:tc>
        <w:tc>
          <w:tcPr>
            <w:tcW w:w="964" w:type="dxa"/>
          </w:tcPr>
          <w:p w14:paraId="19C326C7" w14:textId="77777777" w:rsidR="000515EB" w:rsidRDefault="000515EB" w:rsidP="000515EB">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EB35112" w14:textId="4122D469" w:rsidR="000515EB" w:rsidRDefault="000515EB" w:rsidP="000515EB">
            <w:pPr>
              <w:cnfStyle w:val="000000000000" w:firstRow="0" w:lastRow="0" w:firstColumn="0" w:lastColumn="0" w:oddVBand="0" w:evenVBand="0" w:oddHBand="0" w:evenHBand="0" w:firstRowFirstColumn="0" w:firstRowLastColumn="0" w:lastRowFirstColumn="0" w:lastRowLastColumn="0"/>
            </w:pPr>
            <w:r w:rsidRPr="002608F9">
              <w:t>83.3</w:t>
            </w:r>
          </w:p>
        </w:tc>
        <w:tc>
          <w:tcPr>
            <w:tcW w:w="964" w:type="dxa"/>
          </w:tcPr>
          <w:p w14:paraId="703A02E4" w14:textId="36D4A9A5" w:rsidR="000515EB" w:rsidRDefault="000515EB" w:rsidP="000515EB">
            <w:pPr>
              <w:cnfStyle w:val="000000000000" w:firstRow="0" w:lastRow="0" w:firstColumn="0" w:lastColumn="0" w:oddVBand="0" w:evenVBand="0" w:oddHBand="0" w:evenHBand="0" w:firstRowFirstColumn="0" w:firstRowLastColumn="0" w:lastRowFirstColumn="0" w:lastRowLastColumn="0"/>
            </w:pPr>
            <w:r w:rsidRPr="002608F9">
              <w:t>72.3</w:t>
            </w:r>
          </w:p>
        </w:tc>
        <w:tc>
          <w:tcPr>
            <w:tcW w:w="964" w:type="dxa"/>
          </w:tcPr>
          <w:p w14:paraId="7C8DDFA2" w14:textId="30EADC1F" w:rsidR="000515EB" w:rsidRDefault="000515EB" w:rsidP="000515EB">
            <w:pPr>
              <w:cnfStyle w:val="000000000000" w:firstRow="0" w:lastRow="0" w:firstColumn="0" w:lastColumn="0" w:oddVBand="0" w:evenVBand="0" w:oddHBand="0" w:evenHBand="0" w:firstRowFirstColumn="0" w:firstRowLastColumn="0" w:lastRowFirstColumn="0" w:lastRowLastColumn="0"/>
            </w:pPr>
            <w:r w:rsidRPr="002608F9">
              <w:t>73.9</w:t>
            </w:r>
          </w:p>
        </w:tc>
        <w:tc>
          <w:tcPr>
            <w:tcW w:w="964" w:type="dxa"/>
          </w:tcPr>
          <w:p w14:paraId="69C93EF6" w14:textId="7921613C" w:rsidR="000515EB" w:rsidRDefault="000515EB" w:rsidP="000515EB">
            <w:pPr>
              <w:cnfStyle w:val="000000000000" w:firstRow="0" w:lastRow="0" w:firstColumn="0" w:lastColumn="0" w:oddVBand="0" w:evenVBand="0" w:oddHBand="0" w:evenHBand="0" w:firstRowFirstColumn="0" w:firstRowLastColumn="0" w:lastRowFirstColumn="0" w:lastRowLastColumn="0"/>
            </w:pPr>
            <w:r w:rsidRPr="002608F9">
              <w:t>117.4</w:t>
            </w:r>
          </w:p>
        </w:tc>
      </w:tr>
      <w:tr w:rsidR="00A44768" w14:paraId="7C817EF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25686E2" w14:textId="2FC878B3" w:rsidR="00A44768" w:rsidRPr="00B75043" w:rsidRDefault="00B75043" w:rsidP="00B75043">
            <w:pPr>
              <w:ind w:left="170"/>
              <w:rPr>
                <w:i/>
              </w:rPr>
            </w:pPr>
            <w:r w:rsidRPr="00F649BE">
              <w:rPr>
                <w:i/>
              </w:rPr>
              <w:t xml:space="preserve">The higher 2026-27 target reflects funding in the </w:t>
            </w:r>
            <w:r w:rsidRPr="004877DA">
              <w:t xml:space="preserve">2026-27 </w:t>
            </w:r>
            <w:r w:rsidR="004877DA" w:rsidRPr="004877DA">
              <w:rPr>
                <w:iCs/>
              </w:rPr>
              <w:t>B</w:t>
            </w:r>
            <w:r w:rsidRPr="004877DA">
              <w:rPr>
                <w:iCs/>
              </w:rPr>
              <w:t>udget</w:t>
            </w:r>
            <w:r w:rsidRPr="00F649BE">
              <w:rPr>
                <w:i/>
              </w:rPr>
              <w:t xml:space="preserve"> for the </w:t>
            </w:r>
            <w:r>
              <w:rPr>
                <w:i/>
              </w:rPr>
              <w:t>Strengthening Victoria’s</w:t>
            </w:r>
            <w:r w:rsidRPr="00F649BE">
              <w:rPr>
                <w:i/>
              </w:rPr>
              <w:t xml:space="preserve"> tobacco regulator initiative and incremental funding for initiatives announced in previous budgets</w:t>
            </w:r>
            <w:r>
              <w:rPr>
                <w:i/>
              </w:rPr>
              <w:t>,</w:t>
            </w:r>
            <w:r w:rsidRPr="00F649BE">
              <w:rPr>
                <w:i/>
              </w:rPr>
              <w:t xml:space="preserve"> including Preventing and addressing gambling harm and </w:t>
            </w:r>
            <w:r>
              <w:rPr>
                <w:i/>
              </w:rPr>
              <w:t>E</w:t>
            </w:r>
            <w:r w:rsidRPr="00F649BE">
              <w:rPr>
                <w:i/>
              </w:rPr>
              <w:t>stablishing a modern tobacco regulator and supporting effective liquor regulation.</w:t>
            </w:r>
          </w:p>
        </w:tc>
      </w:tr>
      <w:tr w:rsidR="000515EB" w14:paraId="0517179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A7BA934" w14:textId="4EC2CF33" w:rsidR="000515EB" w:rsidRPr="002608F9" w:rsidRDefault="00A44768" w:rsidP="00B75043">
            <w:pPr>
              <w:ind w:left="170"/>
            </w:pPr>
            <w:r w:rsidRPr="00C225C6">
              <w:rPr>
                <w:i/>
              </w:rPr>
              <w:t xml:space="preserve">The lower output </w:t>
            </w:r>
            <w:r w:rsidR="003724F7">
              <w:rPr>
                <w:i/>
              </w:rPr>
              <w:t>costs</w:t>
            </w:r>
            <w:r w:rsidRPr="00C225C6">
              <w:rPr>
                <w:i/>
              </w:rPr>
              <w:t xml:space="preserve"> for 2026-27 compared to</w:t>
            </w:r>
            <w:r>
              <w:rPr>
                <w:i/>
              </w:rPr>
              <w:t xml:space="preserve"> the</w:t>
            </w:r>
            <w:r w:rsidRPr="00C225C6">
              <w:rPr>
                <w:i/>
              </w:rPr>
              <w:t xml:space="preserve"> 202</w:t>
            </w:r>
            <w:r>
              <w:rPr>
                <w:i/>
              </w:rPr>
              <w:t>4</w:t>
            </w:r>
            <w:r w:rsidRPr="00C225C6">
              <w:rPr>
                <w:i/>
              </w:rPr>
              <w:t>-2</w:t>
            </w:r>
            <w:r>
              <w:rPr>
                <w:i/>
              </w:rPr>
              <w:t>5</w:t>
            </w:r>
            <w:r w:rsidRPr="00C225C6">
              <w:rPr>
                <w:i/>
              </w:rPr>
              <w:t xml:space="preserve"> </w:t>
            </w:r>
            <w:r>
              <w:rPr>
                <w:i/>
              </w:rPr>
              <w:t xml:space="preserve">actual </w:t>
            </w:r>
            <w:r w:rsidRPr="00C225C6">
              <w:rPr>
                <w:i/>
              </w:rPr>
              <w:t xml:space="preserve">reflects </w:t>
            </w:r>
            <w:r w:rsidR="003724F7">
              <w:rPr>
                <w:i/>
              </w:rPr>
              <w:t xml:space="preserve">the </w:t>
            </w:r>
            <w:r w:rsidR="003724F7" w:rsidRPr="00835D90">
              <w:rPr>
                <w:i/>
              </w:rPr>
              <w:t>Department of Health</w:t>
            </w:r>
            <w:r w:rsidR="003724F7">
              <w:rPr>
                <w:i/>
              </w:rPr>
              <w:t xml:space="preserve"> receiving the funds directly for </w:t>
            </w:r>
            <w:r w:rsidR="003724F7" w:rsidRPr="00835D90">
              <w:rPr>
                <w:i/>
                <w:iCs/>
              </w:rPr>
              <w:t xml:space="preserve">gambling harm prevention and program functions </w:t>
            </w:r>
            <w:r w:rsidR="003724F7">
              <w:rPr>
                <w:i/>
                <w:iCs/>
              </w:rPr>
              <w:t xml:space="preserve">and </w:t>
            </w:r>
            <w:r>
              <w:rPr>
                <w:i/>
              </w:rPr>
              <w:t xml:space="preserve">funding in 2024-25 to </w:t>
            </w:r>
            <w:r w:rsidR="003724F7">
              <w:rPr>
                <w:i/>
              </w:rPr>
              <w:t>support</w:t>
            </w:r>
            <w:r>
              <w:rPr>
                <w:i/>
              </w:rPr>
              <w:t xml:space="preserve"> the Victorian Gambling and Casino Control Commission</w:t>
            </w:r>
            <w:r w:rsidR="003724F7">
              <w:rPr>
                <w:i/>
              </w:rPr>
              <w:t>.</w:t>
            </w:r>
          </w:p>
        </w:tc>
      </w:tr>
    </w:tbl>
    <w:p w14:paraId="464BAFEB" w14:textId="77777777" w:rsidR="00824558" w:rsidRDefault="00824558">
      <w:pPr>
        <w:pStyle w:val="Source"/>
      </w:pPr>
      <w:r>
        <w:t>Source: Department of Justice and Community Safety</w:t>
      </w:r>
    </w:p>
    <w:p w14:paraId="418533B8" w14:textId="120EA586" w:rsidR="00824558" w:rsidRDefault="00824558">
      <w:pPr>
        <w:pStyle w:val="Heading3"/>
      </w:pPr>
      <w:r>
        <w:t>Racing Industry Support and Regulation</w:t>
      </w:r>
      <w:r>
        <w:tab/>
        <w:t>(2026-27: $</w:t>
      </w:r>
      <w:r w:rsidR="00512C73">
        <w:t>119.1</w:t>
      </w:r>
      <w:r>
        <w:t xml:space="preserve"> million)</w:t>
      </w:r>
    </w:p>
    <w:p w14:paraId="2E1DF52F" w14:textId="77777777" w:rsidR="00824558" w:rsidRPr="00CE4942" w:rsidRDefault="00824558" w:rsidP="00653160">
      <w:pPr>
        <w:spacing w:after="120"/>
      </w:pPr>
      <w:r w:rsidRPr="005D16FB">
        <w:t>This output provides monitoring and regulation of the racing industry and activities in Victoria. It provides leadership and strategic policy advice to the Minister for Racing on racing industry issues, regulation and the development of racing, training and community infrastructure.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F67831F" w14:textId="77777777" w:rsidTr="004D6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E53CFA9" w14:textId="77777777" w:rsidR="00824558" w:rsidRDefault="00824558">
            <w:r>
              <w:t>Performance measure</w:t>
            </w:r>
          </w:p>
        </w:tc>
        <w:tc>
          <w:tcPr>
            <w:tcW w:w="964" w:type="dxa"/>
          </w:tcPr>
          <w:p w14:paraId="00525A18"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256FA1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DC47CF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5FA5A9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072CE7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0B4528" w14:paraId="7AA190D9" w14:textId="77777777" w:rsidTr="004D617F">
        <w:tc>
          <w:tcPr>
            <w:cnfStyle w:val="001000000000" w:firstRow="0" w:lastRow="0" w:firstColumn="1" w:lastColumn="0" w:oddVBand="0" w:evenVBand="0" w:oddHBand="0" w:evenHBand="0" w:firstRowFirstColumn="0" w:firstRowLastColumn="0" w:lastRowFirstColumn="0" w:lastRowLastColumn="0"/>
            <w:tcW w:w="9639" w:type="dxa"/>
            <w:gridSpan w:val="6"/>
          </w:tcPr>
          <w:p w14:paraId="011E1894" w14:textId="77777777" w:rsidR="00824558" w:rsidRPr="000B4528" w:rsidRDefault="00824558">
            <w:pPr>
              <w:keepNext/>
              <w:rPr>
                <w:b/>
                <w:bCs/>
                <w:iCs/>
              </w:rPr>
            </w:pPr>
            <w:r w:rsidRPr="000B4528">
              <w:rPr>
                <w:b/>
                <w:bCs/>
                <w:iCs/>
              </w:rPr>
              <w:t>Quantity</w:t>
            </w:r>
          </w:p>
        </w:tc>
      </w:tr>
      <w:tr w:rsidR="00824558" w14:paraId="0B2479B3" w14:textId="77777777" w:rsidTr="004D61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3EBFAF" w14:textId="77777777" w:rsidR="00824558" w:rsidRDefault="00824558">
            <w:pPr>
              <w:ind w:left="170"/>
            </w:pPr>
            <w:r>
              <w:t>Racing industry development initiatives</w:t>
            </w:r>
          </w:p>
        </w:tc>
        <w:tc>
          <w:tcPr>
            <w:tcW w:w="964" w:type="dxa"/>
            <w:tcBorders>
              <w:bottom w:val="single" w:sz="6" w:space="0" w:color="auto"/>
            </w:tcBorders>
          </w:tcPr>
          <w:p w14:paraId="394C5C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17F3F2F"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49A7D626"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46CF551C"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1B00DCD4" w14:textId="77777777" w:rsidR="00824558" w:rsidRDefault="00824558">
            <w:pPr>
              <w:cnfStyle w:val="000000000000" w:firstRow="0" w:lastRow="0" w:firstColumn="0" w:lastColumn="0" w:oddVBand="0" w:evenVBand="0" w:oddHBand="0" w:evenHBand="0" w:firstRowFirstColumn="0" w:firstRowLastColumn="0" w:lastRowFirstColumn="0" w:lastRowLastColumn="0"/>
            </w:pPr>
            <w:r>
              <w:t>9</w:t>
            </w:r>
          </w:p>
        </w:tc>
      </w:tr>
      <w:tr w:rsidR="00824558" w14:paraId="664376FA" w14:textId="77777777" w:rsidTr="004D61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15D82D9" w14:textId="0E09BE8B" w:rsidR="00824558" w:rsidRDefault="00824558">
            <w:pPr>
              <w:ind w:left="170"/>
            </w:pPr>
            <w:r>
              <w:t xml:space="preserve">Racing matters processed </w:t>
            </w:r>
            <w:r w:rsidR="000D209E">
              <w:br/>
            </w:r>
            <w:r>
              <w:t>(including licences, permits and grant applications)</w:t>
            </w:r>
          </w:p>
        </w:tc>
        <w:tc>
          <w:tcPr>
            <w:tcW w:w="964" w:type="dxa"/>
            <w:tcBorders>
              <w:bottom w:val="single" w:sz="6" w:space="0" w:color="auto"/>
            </w:tcBorders>
          </w:tcPr>
          <w:p w14:paraId="4B7188D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D9C4B71"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Borders>
              <w:bottom w:val="single" w:sz="6" w:space="0" w:color="auto"/>
            </w:tcBorders>
          </w:tcPr>
          <w:p w14:paraId="500720FD"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Borders>
              <w:bottom w:val="single" w:sz="6" w:space="0" w:color="auto"/>
            </w:tcBorders>
          </w:tcPr>
          <w:p w14:paraId="3C897C2D"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Borders>
              <w:bottom w:val="single" w:sz="6" w:space="0" w:color="auto"/>
            </w:tcBorders>
          </w:tcPr>
          <w:p w14:paraId="016DA444" w14:textId="77777777" w:rsidR="00824558" w:rsidRDefault="00824558">
            <w:pPr>
              <w:cnfStyle w:val="000000000000" w:firstRow="0" w:lastRow="0" w:firstColumn="0" w:lastColumn="0" w:oddVBand="0" w:evenVBand="0" w:oddHBand="0" w:evenHBand="0" w:firstRowFirstColumn="0" w:firstRowLastColumn="0" w:lastRowFirstColumn="0" w:lastRowLastColumn="0"/>
            </w:pPr>
            <w:r>
              <w:t>287</w:t>
            </w:r>
          </w:p>
        </w:tc>
      </w:tr>
      <w:tr w:rsidR="00824558" w:rsidRPr="000B4528" w14:paraId="1C734C35" w14:textId="77777777" w:rsidTr="004D617F">
        <w:tc>
          <w:tcPr>
            <w:cnfStyle w:val="001000000000" w:firstRow="0" w:lastRow="0" w:firstColumn="1" w:lastColumn="0" w:oddVBand="0" w:evenVBand="0" w:oddHBand="0" w:evenHBand="0" w:firstRowFirstColumn="0" w:firstRowLastColumn="0" w:lastRowFirstColumn="0" w:lastRowLastColumn="0"/>
            <w:tcW w:w="9639" w:type="dxa"/>
            <w:gridSpan w:val="6"/>
          </w:tcPr>
          <w:p w14:paraId="45385074" w14:textId="77777777" w:rsidR="00824558" w:rsidRPr="000B4528" w:rsidRDefault="00824558">
            <w:pPr>
              <w:keepNext/>
              <w:rPr>
                <w:b/>
                <w:bCs/>
                <w:iCs/>
              </w:rPr>
            </w:pPr>
            <w:r w:rsidRPr="000B4528">
              <w:rPr>
                <w:b/>
                <w:bCs/>
                <w:iCs/>
              </w:rPr>
              <w:t>Quality</w:t>
            </w:r>
          </w:p>
        </w:tc>
      </w:tr>
      <w:tr w:rsidR="00824558" w14:paraId="5586E4C4" w14:textId="77777777" w:rsidTr="004D617F">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3F4D79" w14:textId="77777777" w:rsidR="00824558" w:rsidRDefault="00824558">
            <w:pPr>
              <w:ind w:left="170"/>
            </w:pPr>
            <w:r>
              <w:t>Proportion of racing grants that support regional economies</w:t>
            </w:r>
          </w:p>
        </w:tc>
        <w:tc>
          <w:tcPr>
            <w:tcW w:w="964" w:type="dxa"/>
            <w:tcBorders>
              <w:bottom w:val="single" w:sz="6" w:space="0" w:color="auto"/>
            </w:tcBorders>
          </w:tcPr>
          <w:p w14:paraId="2D8BC19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8FC01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6C9D9B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8B2691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F76A439"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rsidRPr="000B4528" w14:paraId="1623DBAA" w14:textId="77777777" w:rsidTr="004D617F">
        <w:tc>
          <w:tcPr>
            <w:cnfStyle w:val="001000000000" w:firstRow="0" w:lastRow="0" w:firstColumn="1" w:lastColumn="0" w:oddVBand="0" w:evenVBand="0" w:oddHBand="0" w:evenHBand="0" w:firstRowFirstColumn="0" w:firstRowLastColumn="0" w:lastRowFirstColumn="0" w:lastRowLastColumn="0"/>
            <w:tcW w:w="9639" w:type="dxa"/>
            <w:gridSpan w:val="6"/>
          </w:tcPr>
          <w:p w14:paraId="330306AD" w14:textId="77777777" w:rsidR="00824558" w:rsidRPr="000B4528" w:rsidRDefault="00824558">
            <w:pPr>
              <w:keepNext/>
              <w:rPr>
                <w:b/>
                <w:bCs/>
                <w:iCs/>
              </w:rPr>
            </w:pPr>
            <w:r w:rsidRPr="000B4528">
              <w:rPr>
                <w:b/>
                <w:bCs/>
                <w:iCs/>
              </w:rPr>
              <w:t>Timeliness</w:t>
            </w:r>
          </w:p>
        </w:tc>
      </w:tr>
      <w:tr w:rsidR="00824558" w14:paraId="40227E8C" w14:textId="77777777" w:rsidTr="004D617F">
        <w:tc>
          <w:tcPr>
            <w:cnfStyle w:val="001000000000" w:firstRow="0" w:lastRow="0" w:firstColumn="1" w:lastColumn="0" w:oddVBand="0" w:evenVBand="0" w:oddHBand="0" w:evenHBand="0" w:firstRowFirstColumn="0" w:firstRowLastColumn="0" w:lastRowFirstColumn="0" w:lastRowLastColumn="0"/>
            <w:tcW w:w="4819" w:type="dxa"/>
          </w:tcPr>
          <w:p w14:paraId="78AEC0CD" w14:textId="77777777" w:rsidR="00824558" w:rsidRDefault="00824558">
            <w:pPr>
              <w:keepNext/>
              <w:ind w:left="170"/>
            </w:pPr>
            <w:r>
              <w:t>Racing grant applications processed within 50 days</w:t>
            </w:r>
          </w:p>
        </w:tc>
        <w:tc>
          <w:tcPr>
            <w:tcW w:w="964" w:type="dxa"/>
          </w:tcPr>
          <w:p w14:paraId="6327739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B89DF6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34BC50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CD1DB3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9D449D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516346EC" w14:textId="77777777" w:rsidTr="004D617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65DA3D8" w14:textId="406362A1" w:rsidR="00824558" w:rsidRDefault="00824558">
            <w:pPr>
              <w:ind w:left="170"/>
            </w:pPr>
            <w:r>
              <w:rPr>
                <w:i/>
              </w:rPr>
              <w:t xml:space="preserve">This performance measure renames the 2025-26 performance measure </w:t>
            </w:r>
            <w:r w:rsidR="007942D1">
              <w:rPr>
                <w:i/>
              </w:rPr>
              <w:t>‘</w:t>
            </w:r>
            <w:r>
              <w:rPr>
                <w:i/>
              </w:rPr>
              <w:t>Racing grant applications processed within specified timelines</w:t>
            </w:r>
            <w:r w:rsidR="007942D1">
              <w:rPr>
                <w:i/>
              </w:rPr>
              <w:t>’</w:t>
            </w:r>
            <w:r>
              <w:rPr>
                <w:i/>
              </w:rPr>
              <w:t>. This measure has been renamed for increased clarity and reports on the same activity as the previous measure.</w:t>
            </w:r>
          </w:p>
        </w:tc>
      </w:tr>
      <w:tr w:rsidR="00824558" w:rsidRPr="000B4528" w14:paraId="0EC451D6" w14:textId="77777777" w:rsidTr="004D617F">
        <w:tc>
          <w:tcPr>
            <w:cnfStyle w:val="001000000000" w:firstRow="0" w:lastRow="0" w:firstColumn="1" w:lastColumn="0" w:oddVBand="0" w:evenVBand="0" w:oddHBand="0" w:evenHBand="0" w:firstRowFirstColumn="0" w:firstRowLastColumn="0" w:lastRowFirstColumn="0" w:lastRowLastColumn="0"/>
            <w:tcW w:w="9639" w:type="dxa"/>
            <w:gridSpan w:val="6"/>
          </w:tcPr>
          <w:p w14:paraId="68A4A113" w14:textId="77777777" w:rsidR="00824558" w:rsidRPr="000B4528" w:rsidRDefault="00824558">
            <w:pPr>
              <w:keepNext/>
              <w:rPr>
                <w:b/>
                <w:bCs/>
                <w:iCs/>
              </w:rPr>
            </w:pPr>
            <w:r w:rsidRPr="000B4528">
              <w:rPr>
                <w:b/>
                <w:bCs/>
                <w:iCs/>
              </w:rPr>
              <w:t>Cost</w:t>
            </w:r>
          </w:p>
        </w:tc>
      </w:tr>
      <w:tr w:rsidR="004D617F" w14:paraId="50A01201" w14:textId="77777777" w:rsidTr="004D617F">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1C8442DB" w14:textId="77777777" w:rsidR="004D617F" w:rsidRDefault="004D617F" w:rsidP="004D617F">
            <w:pPr>
              <w:ind w:left="170"/>
            </w:pPr>
            <w:r>
              <w:t>Total output cost</w:t>
            </w:r>
          </w:p>
        </w:tc>
        <w:tc>
          <w:tcPr>
            <w:tcW w:w="964" w:type="dxa"/>
            <w:tcBorders>
              <w:bottom w:val="single" w:sz="12" w:space="0" w:color="auto"/>
            </w:tcBorders>
          </w:tcPr>
          <w:p w14:paraId="1905834F" w14:textId="77777777" w:rsidR="004D617F" w:rsidRDefault="004D617F" w:rsidP="004D617F">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038B2693" w14:textId="1427FA29" w:rsidR="004D617F" w:rsidRPr="000B4528" w:rsidRDefault="004D617F" w:rsidP="004D617F">
            <w:pPr>
              <w:cnfStyle w:val="000000000000" w:firstRow="0" w:lastRow="0" w:firstColumn="0" w:lastColumn="0" w:oddVBand="0" w:evenVBand="0" w:oddHBand="0" w:evenHBand="0" w:firstRowFirstColumn="0" w:firstRowLastColumn="0" w:lastRowFirstColumn="0" w:lastRowLastColumn="0"/>
              <w:rPr>
                <w:highlight w:val="yellow"/>
              </w:rPr>
            </w:pPr>
            <w:r w:rsidRPr="001C322C">
              <w:t>119.1</w:t>
            </w:r>
          </w:p>
        </w:tc>
        <w:tc>
          <w:tcPr>
            <w:tcW w:w="964" w:type="dxa"/>
            <w:tcBorders>
              <w:bottom w:val="single" w:sz="12" w:space="0" w:color="auto"/>
            </w:tcBorders>
          </w:tcPr>
          <w:p w14:paraId="0C5383B6" w14:textId="19AB33AE" w:rsidR="004D617F" w:rsidRPr="000B4528" w:rsidRDefault="004D617F" w:rsidP="004D617F">
            <w:pPr>
              <w:cnfStyle w:val="000000000000" w:firstRow="0" w:lastRow="0" w:firstColumn="0" w:lastColumn="0" w:oddVBand="0" w:evenVBand="0" w:oddHBand="0" w:evenHBand="0" w:firstRowFirstColumn="0" w:firstRowLastColumn="0" w:lastRowFirstColumn="0" w:lastRowLastColumn="0"/>
              <w:rPr>
                <w:highlight w:val="yellow"/>
              </w:rPr>
            </w:pPr>
            <w:r w:rsidRPr="001C322C">
              <w:t>125.4</w:t>
            </w:r>
          </w:p>
        </w:tc>
        <w:tc>
          <w:tcPr>
            <w:tcW w:w="964" w:type="dxa"/>
            <w:tcBorders>
              <w:bottom w:val="single" w:sz="12" w:space="0" w:color="auto"/>
            </w:tcBorders>
          </w:tcPr>
          <w:p w14:paraId="7AF09A55" w14:textId="520F51FB" w:rsidR="004D617F" w:rsidRPr="000B4528" w:rsidRDefault="004D617F" w:rsidP="004D617F">
            <w:pPr>
              <w:cnfStyle w:val="000000000000" w:firstRow="0" w:lastRow="0" w:firstColumn="0" w:lastColumn="0" w:oddVBand="0" w:evenVBand="0" w:oddHBand="0" w:evenHBand="0" w:firstRowFirstColumn="0" w:firstRowLastColumn="0" w:lastRowFirstColumn="0" w:lastRowLastColumn="0"/>
              <w:rPr>
                <w:highlight w:val="yellow"/>
              </w:rPr>
            </w:pPr>
            <w:r w:rsidRPr="001C322C">
              <w:t>122.9</w:t>
            </w:r>
          </w:p>
        </w:tc>
        <w:tc>
          <w:tcPr>
            <w:tcW w:w="964" w:type="dxa"/>
            <w:tcBorders>
              <w:bottom w:val="single" w:sz="12" w:space="0" w:color="auto"/>
            </w:tcBorders>
          </w:tcPr>
          <w:p w14:paraId="7B5D9813" w14:textId="2684647B" w:rsidR="004D617F" w:rsidRPr="000B4528" w:rsidRDefault="004D617F" w:rsidP="004D617F">
            <w:pPr>
              <w:cnfStyle w:val="000000000000" w:firstRow="0" w:lastRow="0" w:firstColumn="0" w:lastColumn="0" w:oddVBand="0" w:evenVBand="0" w:oddHBand="0" w:evenHBand="0" w:firstRowFirstColumn="0" w:firstRowLastColumn="0" w:lastRowFirstColumn="0" w:lastRowLastColumn="0"/>
              <w:rPr>
                <w:highlight w:val="yellow"/>
              </w:rPr>
            </w:pPr>
            <w:r w:rsidRPr="001C322C">
              <w:t>125.9</w:t>
            </w:r>
          </w:p>
        </w:tc>
      </w:tr>
    </w:tbl>
    <w:p w14:paraId="27DF8901" w14:textId="77777777" w:rsidR="00824558" w:rsidRDefault="00824558">
      <w:pPr>
        <w:pStyle w:val="Source"/>
      </w:pPr>
      <w:r>
        <w:t>Source: Department of Justice and Community Safety</w:t>
      </w:r>
    </w:p>
    <w:p w14:paraId="4597C0A2" w14:textId="77777777" w:rsidR="00824558" w:rsidRDefault="00824558">
      <w:pPr>
        <w:pStyle w:val="Source"/>
      </w:pPr>
    </w:p>
    <w:p w14:paraId="757ECE5B" w14:textId="77777777" w:rsidR="000B33B2" w:rsidRDefault="000B33B2">
      <w:pPr>
        <w:pStyle w:val="Heading1"/>
        <w:sectPr w:rsidR="000B33B2" w:rsidSect="001F14A3">
          <w:footerReference w:type="even" r:id="rId32"/>
          <w:footerReference w:type="default" r:id="rId33"/>
          <w:pgSz w:w="11907" w:h="16840" w:code="9"/>
          <w:pgMar w:top="1138" w:right="1138" w:bottom="1138" w:left="1138" w:header="619" w:footer="562" w:gutter="0"/>
          <w:cols w:space="708"/>
          <w:docGrid w:linePitch="360"/>
        </w:sectPr>
      </w:pPr>
    </w:p>
    <w:p w14:paraId="4C318FC9" w14:textId="5CE84726" w:rsidR="000B33B2" w:rsidRDefault="000B33B2" w:rsidP="002E0B49">
      <w:pPr>
        <w:pStyle w:val="Heading1"/>
        <w:pageBreakBefore/>
        <w:spacing w:before="0"/>
      </w:pPr>
      <w:bookmarkStart w:id="14" w:name="_Toc228288102"/>
      <w:r w:rsidRPr="000B33B2">
        <w:lastRenderedPageBreak/>
        <w:t xml:space="preserve">Department of </w:t>
      </w:r>
      <w:r>
        <w:t>Premier and Cabinet</w:t>
      </w:r>
      <w:bookmarkEnd w:id="14"/>
    </w:p>
    <w:p w14:paraId="6926DC40" w14:textId="77777777" w:rsidR="00273C70" w:rsidRPr="00F26FF5" w:rsidRDefault="00273C70" w:rsidP="00273C70">
      <w:pPr>
        <w:keepNext/>
        <w:spacing w:before="240"/>
        <w:outlineLvl w:val="1"/>
        <w:rPr>
          <w:rFonts w:ascii="Calibri" w:eastAsia="MS Gothic" w:hAnsi="Calibri" w:cs="Calibri"/>
          <w:b/>
          <w:sz w:val="27"/>
          <w:szCs w:val="26"/>
        </w:rPr>
      </w:pPr>
      <w:r w:rsidRPr="00F26FF5">
        <w:rPr>
          <w:rFonts w:ascii="Calibri" w:eastAsia="MS Gothic" w:hAnsi="Calibri" w:cs="Calibri"/>
          <w:b/>
          <w:sz w:val="27"/>
          <w:szCs w:val="26"/>
        </w:rPr>
        <w:t>Ministerial portfolios</w:t>
      </w:r>
    </w:p>
    <w:p w14:paraId="12DC6F4D" w14:textId="7902B7CE" w:rsidR="00273C70" w:rsidRPr="007A6EE5" w:rsidRDefault="00273C70" w:rsidP="00273C70">
      <w:pPr>
        <w:shd w:val="clear" w:color="auto" w:fill="FFFFFF"/>
        <w:rPr>
          <w:rFonts w:eastAsia="Garamond" w:cs="Calibri"/>
          <w:szCs w:val="20"/>
        </w:rPr>
      </w:pPr>
      <w:bookmarkStart w:id="15" w:name="_Hlk133060939"/>
      <w:r w:rsidRPr="007A6EE5">
        <w:rPr>
          <w:rFonts w:eastAsia="Garamond" w:cs="Calibri"/>
          <w:szCs w:val="20"/>
        </w:rPr>
        <w:t xml:space="preserve">The </w:t>
      </w:r>
      <w:r w:rsidR="002826E3">
        <w:rPr>
          <w:rFonts w:eastAsia="Garamond" w:cs="Calibri"/>
          <w:szCs w:val="20"/>
        </w:rPr>
        <w:t>D</w:t>
      </w:r>
      <w:r w:rsidRPr="007A6EE5">
        <w:rPr>
          <w:rFonts w:eastAsia="Garamond" w:cs="Calibri"/>
          <w:szCs w:val="20"/>
        </w:rPr>
        <w:t xml:space="preserve">epartment supports the ministerial portfolios of the </w:t>
      </w:r>
      <w:r w:rsidRPr="007A6EE5">
        <w:rPr>
          <w:rFonts w:eastAsia="Garamond" w:cs="Calibri"/>
          <w:szCs w:val="20"/>
          <w:shd w:val="clear" w:color="auto" w:fill="FFFFFF"/>
        </w:rPr>
        <w:t xml:space="preserve">Premier, Deputy Premier, Multicultural </w:t>
      </w:r>
      <w:r w:rsidR="005E05A5">
        <w:rPr>
          <w:rFonts w:eastAsia="Garamond" w:cs="Calibri"/>
          <w:szCs w:val="20"/>
          <w:shd w:val="clear" w:color="auto" w:fill="FFFFFF"/>
        </w:rPr>
        <w:t>Affairs</w:t>
      </w:r>
      <w:r w:rsidRPr="007A6EE5">
        <w:rPr>
          <w:rFonts w:eastAsia="Garamond" w:cs="Calibri"/>
          <w:szCs w:val="20"/>
          <w:shd w:val="clear" w:color="auto" w:fill="FFFFFF"/>
        </w:rPr>
        <w:t xml:space="preserve">, and </w:t>
      </w:r>
      <w:r w:rsidR="005E05A5">
        <w:rPr>
          <w:rFonts w:eastAsia="Garamond" w:cs="Calibri"/>
          <w:szCs w:val="20"/>
          <w:shd w:val="clear" w:color="auto" w:fill="FFFFFF"/>
        </w:rPr>
        <w:t xml:space="preserve">Treaty and </w:t>
      </w:r>
      <w:r w:rsidRPr="007A6EE5">
        <w:rPr>
          <w:rFonts w:eastAsia="Garamond" w:cs="Calibri"/>
          <w:szCs w:val="20"/>
          <w:shd w:val="clear" w:color="auto" w:fill="FFFFFF"/>
        </w:rPr>
        <w:t>First Peoples</w:t>
      </w:r>
      <w:r w:rsidRPr="007A6EE5">
        <w:rPr>
          <w:rFonts w:eastAsia="Garamond" w:cs="Calibri"/>
          <w:szCs w:val="20"/>
        </w:rPr>
        <w:t>.</w:t>
      </w:r>
    </w:p>
    <w:bookmarkEnd w:id="15"/>
    <w:p w14:paraId="2DA68D9A" w14:textId="77777777" w:rsidR="00273C70" w:rsidRPr="00F26FF5" w:rsidRDefault="00273C70" w:rsidP="00273C70">
      <w:pPr>
        <w:keepNext/>
        <w:spacing w:before="240"/>
        <w:outlineLvl w:val="1"/>
        <w:rPr>
          <w:rFonts w:ascii="Calibri" w:eastAsia="MS Gothic" w:hAnsi="Calibri" w:cs="Calibri"/>
          <w:b/>
          <w:sz w:val="27"/>
          <w:szCs w:val="26"/>
        </w:rPr>
      </w:pPr>
      <w:r w:rsidRPr="00F26FF5">
        <w:rPr>
          <w:rFonts w:ascii="Calibri" w:eastAsia="MS Gothic" w:hAnsi="Calibri" w:cs="Calibri"/>
          <w:b/>
          <w:sz w:val="27"/>
          <w:szCs w:val="26"/>
        </w:rPr>
        <w:t>Departmental mission statement</w:t>
      </w:r>
    </w:p>
    <w:p w14:paraId="6993225D" w14:textId="7CD5D0EA" w:rsidR="00273C70" w:rsidRPr="007A6EE5" w:rsidRDefault="00273C70" w:rsidP="00273C70">
      <w:pPr>
        <w:rPr>
          <w:rFonts w:eastAsia="Garamond" w:cs="Calibri"/>
          <w:szCs w:val="20"/>
        </w:rPr>
      </w:pPr>
      <w:r w:rsidRPr="007A6EE5">
        <w:rPr>
          <w:rFonts w:eastAsia="Garamond" w:cs="Calibri"/>
          <w:szCs w:val="20"/>
        </w:rPr>
        <w:t>The Department of Premier and Cabinet’s mission is to support the people of Victoria by:</w:t>
      </w:r>
    </w:p>
    <w:p w14:paraId="4C9A2652" w14:textId="77777777" w:rsidR="00273C70" w:rsidRPr="007A6EE5" w:rsidRDefault="00273C70" w:rsidP="00273C70">
      <w:pPr>
        <w:pStyle w:val="ListParagraph"/>
        <w:numPr>
          <w:ilvl w:val="0"/>
          <w:numId w:val="41"/>
        </w:numPr>
        <w:spacing w:before="60" w:after="60"/>
        <w:contextualSpacing/>
        <w:rPr>
          <w:rFonts w:eastAsia="Garamond" w:cs="Calibri"/>
          <w:szCs w:val="20"/>
        </w:rPr>
      </w:pPr>
      <w:r w:rsidRPr="007A6EE5">
        <w:rPr>
          <w:rFonts w:eastAsia="Garamond" w:cs="Calibri"/>
          <w:szCs w:val="20"/>
        </w:rPr>
        <w:t>helping government achieve its strategic objectives</w:t>
      </w:r>
    </w:p>
    <w:p w14:paraId="50BCFE24" w14:textId="77777777" w:rsidR="00273C70" w:rsidRPr="007A6EE5" w:rsidRDefault="00273C70" w:rsidP="00273C70">
      <w:pPr>
        <w:pStyle w:val="ListParagraph"/>
        <w:numPr>
          <w:ilvl w:val="0"/>
          <w:numId w:val="41"/>
        </w:numPr>
        <w:spacing w:before="60" w:after="60"/>
        <w:contextualSpacing/>
        <w:rPr>
          <w:rFonts w:eastAsia="Garamond" w:cs="Calibri"/>
          <w:szCs w:val="20"/>
        </w:rPr>
      </w:pPr>
      <w:r w:rsidRPr="007A6EE5">
        <w:rPr>
          <w:rFonts w:eastAsia="Garamond" w:cs="Calibri"/>
          <w:szCs w:val="20"/>
        </w:rPr>
        <w:t>providing leadership to the public sector to improve its effectiveness</w:t>
      </w:r>
    </w:p>
    <w:p w14:paraId="7D6E898F" w14:textId="77777777" w:rsidR="00273C70" w:rsidRPr="007A6EE5" w:rsidRDefault="00273C70" w:rsidP="00273C70">
      <w:pPr>
        <w:pStyle w:val="ListParagraph"/>
        <w:numPr>
          <w:ilvl w:val="0"/>
          <w:numId w:val="41"/>
        </w:numPr>
        <w:spacing w:before="60" w:after="60"/>
        <w:contextualSpacing/>
        <w:rPr>
          <w:rFonts w:eastAsia="Garamond" w:cs="Calibri"/>
          <w:szCs w:val="20"/>
        </w:rPr>
      </w:pPr>
      <w:r w:rsidRPr="007A6EE5">
        <w:rPr>
          <w:rFonts w:eastAsia="Garamond" w:cs="Calibri"/>
          <w:szCs w:val="20"/>
        </w:rPr>
        <w:t>promoting collaboration across government to drive performance and improve outcomes.</w:t>
      </w:r>
    </w:p>
    <w:p w14:paraId="14A03507" w14:textId="77777777" w:rsidR="00273C70" w:rsidRPr="00F26FF5" w:rsidRDefault="00273C70" w:rsidP="00273C70">
      <w:pPr>
        <w:keepNext/>
        <w:spacing w:before="240"/>
        <w:outlineLvl w:val="1"/>
        <w:rPr>
          <w:rFonts w:ascii="Calibri" w:eastAsia="MS Gothic" w:hAnsi="Calibri" w:cs="Calibri"/>
          <w:b/>
          <w:sz w:val="27"/>
          <w:szCs w:val="26"/>
        </w:rPr>
      </w:pPr>
      <w:r w:rsidRPr="00F26FF5">
        <w:rPr>
          <w:rFonts w:ascii="Calibri" w:eastAsia="MS Gothic" w:hAnsi="Calibri" w:cs="Calibri"/>
          <w:b/>
          <w:sz w:val="27"/>
          <w:szCs w:val="26"/>
        </w:rPr>
        <w:t>Departmental objectives</w:t>
      </w:r>
    </w:p>
    <w:p w14:paraId="611F0D9B" w14:textId="77777777" w:rsidR="00273C70" w:rsidRPr="00F26FF5" w:rsidRDefault="00273C70" w:rsidP="00273C70">
      <w:pPr>
        <w:keepNext/>
        <w:tabs>
          <w:tab w:val="right" w:pos="9639"/>
        </w:tabs>
        <w:spacing w:before="240" w:after="60"/>
        <w:outlineLvl w:val="2"/>
        <w:rPr>
          <w:rFonts w:ascii="Calibri" w:eastAsia="MS Gothic" w:hAnsi="Calibri" w:cs="Calibri"/>
          <w:b/>
          <w:sz w:val="23"/>
          <w:szCs w:val="24"/>
          <w:vertAlign w:val="superscript"/>
        </w:rPr>
      </w:pPr>
      <w:r w:rsidRPr="00F26FF5">
        <w:rPr>
          <w:rFonts w:ascii="Calibri" w:eastAsia="MS Gothic" w:hAnsi="Calibri" w:cs="Calibri"/>
          <w:b/>
          <w:sz w:val="23"/>
          <w:szCs w:val="24"/>
        </w:rPr>
        <w:t>Stronger policy outcomes for Victoria</w:t>
      </w:r>
    </w:p>
    <w:p w14:paraId="7F59D8C2" w14:textId="77777777" w:rsidR="00273C70" w:rsidRPr="007A6EE5" w:rsidRDefault="00273C70" w:rsidP="00273C70">
      <w:pPr>
        <w:pStyle w:val="ListParagraph"/>
        <w:numPr>
          <w:ilvl w:val="0"/>
          <w:numId w:val="42"/>
        </w:numPr>
        <w:spacing w:before="60" w:after="60"/>
        <w:contextualSpacing/>
        <w:rPr>
          <w:rFonts w:eastAsia="Garamond" w:cs="Calibri"/>
          <w:szCs w:val="20"/>
        </w:rPr>
      </w:pPr>
      <w:r w:rsidRPr="007A6EE5">
        <w:rPr>
          <w:rFonts w:eastAsia="Garamond" w:cs="Calibri"/>
          <w:szCs w:val="20"/>
        </w:rPr>
        <w:t>Lead whole of government economic and social policy delivery and reform</w:t>
      </w:r>
    </w:p>
    <w:p w14:paraId="34DD886F" w14:textId="77777777" w:rsidR="00273C70" w:rsidRPr="007A6EE5" w:rsidRDefault="00273C70" w:rsidP="00273C70">
      <w:pPr>
        <w:pStyle w:val="ListParagraph"/>
        <w:numPr>
          <w:ilvl w:val="0"/>
          <w:numId w:val="42"/>
        </w:numPr>
        <w:spacing w:before="60" w:after="60"/>
        <w:contextualSpacing/>
        <w:rPr>
          <w:rFonts w:eastAsia="Garamond" w:cs="Calibri"/>
          <w:szCs w:val="20"/>
        </w:rPr>
      </w:pPr>
      <w:r w:rsidRPr="007A6EE5">
        <w:rPr>
          <w:rFonts w:eastAsia="Garamond" w:cs="Calibri"/>
          <w:szCs w:val="20"/>
        </w:rPr>
        <w:t>Lead the public sector response to significant state and Commonwealth issues, policy challenges and projects</w:t>
      </w:r>
    </w:p>
    <w:p w14:paraId="31C7CAD7" w14:textId="299BC7BB" w:rsidR="00273C70" w:rsidRPr="007A6EE5" w:rsidRDefault="00273C70" w:rsidP="00273C70">
      <w:pPr>
        <w:pStyle w:val="ListParagraph"/>
        <w:numPr>
          <w:ilvl w:val="0"/>
          <w:numId w:val="42"/>
        </w:numPr>
        <w:spacing w:before="60" w:after="60"/>
        <w:contextualSpacing/>
        <w:rPr>
          <w:rFonts w:eastAsia="Garamond" w:cs="Calibri"/>
          <w:szCs w:val="20"/>
        </w:rPr>
      </w:pPr>
      <w:r w:rsidRPr="007A6EE5">
        <w:rPr>
          <w:rFonts w:eastAsia="Garamond" w:cs="Calibri"/>
          <w:szCs w:val="20"/>
        </w:rPr>
        <w:t>Deliver policies and programs that promote fairness, inclusion and participation of Victoria’s culturally diverse communities.</w:t>
      </w:r>
    </w:p>
    <w:p w14:paraId="58BD5CA4" w14:textId="7AB0E5F1" w:rsidR="00273C70" w:rsidRPr="007A6EE5" w:rsidRDefault="00273C70" w:rsidP="00273C70">
      <w:pPr>
        <w:keepNext/>
        <w:tabs>
          <w:tab w:val="right" w:pos="9639"/>
        </w:tabs>
        <w:spacing w:before="240" w:after="60"/>
        <w:outlineLvl w:val="2"/>
        <w:rPr>
          <w:rFonts w:ascii="Calibri" w:eastAsia="MS Gothic" w:hAnsi="Calibri" w:cs="Calibri"/>
          <w:b/>
          <w:color w:val="000000" w:themeColor="text1"/>
          <w:sz w:val="23"/>
          <w:szCs w:val="24"/>
        </w:rPr>
      </w:pPr>
      <w:r w:rsidRPr="00F26FF5">
        <w:rPr>
          <w:rFonts w:ascii="Calibri" w:eastAsia="MS Gothic" w:hAnsi="Calibri" w:cs="Calibri"/>
          <w:b/>
          <w:sz w:val="23"/>
          <w:szCs w:val="24"/>
        </w:rPr>
        <w:t xml:space="preserve">First Peoples </w:t>
      </w:r>
      <w:r w:rsidRPr="007A6EE5">
        <w:rPr>
          <w:rFonts w:ascii="Calibri" w:eastAsia="MS Gothic" w:hAnsi="Calibri" w:cs="Calibri"/>
          <w:b/>
          <w:color w:val="000000" w:themeColor="text1"/>
          <w:sz w:val="23"/>
          <w:szCs w:val="24"/>
        </w:rPr>
        <w:t>in Victoria are strong and self-determining</w:t>
      </w:r>
      <w:r w:rsidR="003B1B6F">
        <w:rPr>
          <w:rFonts w:ascii="Calibri" w:eastAsia="MS Gothic" w:hAnsi="Calibri" w:cs="Calibri"/>
          <w:b/>
          <w:color w:val="000000" w:themeColor="text1"/>
          <w:sz w:val="23"/>
          <w:szCs w:val="24"/>
        </w:rPr>
        <w:t xml:space="preserve"> </w:t>
      </w:r>
      <w:r w:rsidRPr="007A6EE5">
        <w:rPr>
          <w:rFonts w:ascii="Calibri" w:eastAsia="MS Gothic" w:hAnsi="Calibri" w:cs="Calibri"/>
          <w:b/>
          <w:color w:val="000000" w:themeColor="text1"/>
          <w:sz w:val="23"/>
          <w:szCs w:val="24"/>
          <w:vertAlign w:val="superscript"/>
        </w:rPr>
        <w:t>(a)</w:t>
      </w:r>
    </w:p>
    <w:p w14:paraId="7397E4CE" w14:textId="77777777" w:rsidR="00273C70" w:rsidRPr="007A6EE5" w:rsidRDefault="00273C70" w:rsidP="00273C70">
      <w:pPr>
        <w:pStyle w:val="ListParagraph"/>
        <w:numPr>
          <w:ilvl w:val="0"/>
          <w:numId w:val="43"/>
        </w:numPr>
        <w:spacing w:before="60" w:after="60"/>
        <w:contextualSpacing/>
        <w:rPr>
          <w:rFonts w:eastAsia="Garamond" w:cs="Calibri"/>
          <w:color w:val="000000" w:themeColor="text1"/>
          <w:szCs w:val="20"/>
        </w:rPr>
      </w:pPr>
      <w:r w:rsidRPr="007A6EE5">
        <w:rPr>
          <w:rFonts w:eastAsia="Garamond" w:cs="Calibri"/>
          <w:color w:val="000000" w:themeColor="text1"/>
          <w:szCs w:val="20"/>
        </w:rPr>
        <w:t>Improve outcomes and services for First Peoples through prioritising actions to enable self-determination, including advancing treaty, protecting and promoting cultural rights, recognising land and native title rights, and supporting ongoing monitoring and implementation of Yoorrook Justice Commission recommendations</w:t>
      </w:r>
    </w:p>
    <w:p w14:paraId="25319BE3" w14:textId="2FAE273C" w:rsidR="00273C70" w:rsidRPr="007A6EE5" w:rsidDel="007A3199" w:rsidRDefault="00273C70" w:rsidP="00273C70">
      <w:pPr>
        <w:pStyle w:val="ListParagraph"/>
        <w:numPr>
          <w:ilvl w:val="0"/>
          <w:numId w:val="43"/>
        </w:numPr>
        <w:spacing w:before="60" w:after="60"/>
        <w:contextualSpacing/>
        <w:rPr>
          <w:rFonts w:eastAsia="Garamond" w:cs="Calibri"/>
          <w:strike/>
          <w:color w:val="000000" w:themeColor="text1"/>
          <w:szCs w:val="20"/>
        </w:rPr>
      </w:pPr>
      <w:r w:rsidRPr="007A6EE5">
        <w:rPr>
          <w:rFonts w:eastAsia="Garamond" w:cs="Calibri"/>
          <w:color w:val="000000" w:themeColor="text1"/>
        </w:rPr>
        <w:t xml:space="preserve">Deliver Victoria’s Treaty process through the implementation of the first Statewide Treaty, including the establishment of Gellung Warl, </w:t>
      </w:r>
      <w:r w:rsidRPr="007A6EE5">
        <w:rPr>
          <w:rFonts w:eastAsia="Garamond" w:cs="Calibri"/>
          <w:color w:val="000000" w:themeColor="text1"/>
          <w:szCs w:val="20"/>
        </w:rPr>
        <w:t xml:space="preserve">and preparing </w:t>
      </w:r>
      <w:r w:rsidRPr="007A6EE5">
        <w:rPr>
          <w:rFonts w:eastAsia="Garamond" w:cs="Calibri"/>
          <w:color w:val="000000" w:themeColor="text1"/>
        </w:rPr>
        <w:t>for Traditional Owner and ongoing Statewide</w:t>
      </w:r>
      <w:r w:rsidRPr="007A6EE5">
        <w:rPr>
          <w:rFonts w:eastAsia="Garamond" w:cs="Calibri"/>
          <w:b/>
          <w:bCs/>
          <w:color w:val="000000" w:themeColor="text1"/>
          <w:szCs w:val="20"/>
        </w:rPr>
        <w:t xml:space="preserve"> </w:t>
      </w:r>
      <w:r w:rsidRPr="007A6EE5">
        <w:rPr>
          <w:rFonts w:eastAsia="Garamond" w:cs="Calibri"/>
          <w:color w:val="000000" w:themeColor="text1"/>
        </w:rPr>
        <w:t>Treaties</w:t>
      </w:r>
    </w:p>
    <w:p w14:paraId="7B36206A" w14:textId="77777777" w:rsidR="00273C70" w:rsidRPr="007A6EE5" w:rsidRDefault="00273C70" w:rsidP="00273C70">
      <w:pPr>
        <w:pStyle w:val="ListParagraph"/>
        <w:numPr>
          <w:ilvl w:val="0"/>
          <w:numId w:val="43"/>
        </w:numPr>
        <w:spacing w:before="60" w:after="60"/>
        <w:contextualSpacing/>
        <w:rPr>
          <w:rFonts w:eastAsia="Garamond" w:cs="Calibri"/>
          <w:color w:val="000000" w:themeColor="text1"/>
          <w:szCs w:val="20"/>
        </w:rPr>
      </w:pPr>
      <w:r w:rsidRPr="007A6EE5">
        <w:rPr>
          <w:rFonts w:eastAsia="Garamond" w:cs="Calibri"/>
          <w:color w:val="000000" w:themeColor="text1"/>
          <w:szCs w:val="20"/>
        </w:rPr>
        <w:t>Provide culturally safe systems and services and transfer power and resources to communities.</w:t>
      </w:r>
    </w:p>
    <w:p w14:paraId="66867140" w14:textId="77777777" w:rsidR="00273C70" w:rsidRPr="007A6EE5" w:rsidRDefault="00273C70" w:rsidP="003B1B6F">
      <w:pPr>
        <w:pStyle w:val="Note"/>
        <w:rPr>
          <w:rFonts w:ascii="Calibri" w:eastAsia="Garamond" w:hAnsi="Calibri" w:cs="Calibri"/>
          <w:i w:val="0"/>
          <w:color w:val="000000" w:themeColor="text1"/>
          <w:szCs w:val="20"/>
        </w:rPr>
      </w:pPr>
      <w:r w:rsidRPr="007A6EE5">
        <w:t>Note:</w:t>
      </w:r>
    </w:p>
    <w:p w14:paraId="4EB39012" w14:textId="5B4ED63F" w:rsidR="00273C70" w:rsidRPr="000D209E" w:rsidRDefault="00273C70" w:rsidP="003B1B6F">
      <w:pPr>
        <w:pStyle w:val="Note"/>
        <w:rPr>
          <w:rFonts w:ascii="Calibri" w:eastAsia="Garamond" w:hAnsi="Calibri" w:cs="Calibri"/>
          <w:color w:val="000000" w:themeColor="text1"/>
          <w:szCs w:val="14"/>
        </w:rPr>
      </w:pPr>
      <w:r w:rsidRPr="007A6EE5">
        <w:rPr>
          <w:szCs w:val="14"/>
        </w:rPr>
        <w:t xml:space="preserve">(a) </w:t>
      </w:r>
      <w:r w:rsidR="003B1B6F">
        <w:rPr>
          <w:szCs w:val="14"/>
        </w:rPr>
        <w:tab/>
      </w:r>
      <w:r w:rsidRPr="007A6EE5">
        <w:rPr>
          <w:szCs w:val="14"/>
        </w:rPr>
        <w:t xml:space="preserve">This objective description has been amended to improve readability of the objective commentary, provide more information on Treaty within the </w:t>
      </w:r>
      <w:r w:rsidRPr="000D209E">
        <w:rPr>
          <w:rFonts w:ascii="Calibri" w:eastAsia="Garamond" w:hAnsi="Calibri" w:cs="Calibri"/>
          <w:color w:val="000000" w:themeColor="text1"/>
          <w:szCs w:val="14"/>
        </w:rPr>
        <w:t>‘First Peoples in Victoria are strong and self-determining’ objective as Treaty will become the mechanism through which self-determination is delivered, and reflect the changing nature of the State</w:t>
      </w:r>
      <w:r w:rsidR="00AD4833" w:rsidRPr="000D209E">
        <w:rPr>
          <w:rFonts w:ascii="Calibri" w:eastAsia="Garamond" w:hAnsi="Calibri" w:cs="Calibri"/>
          <w:color w:val="000000" w:themeColor="text1"/>
          <w:szCs w:val="14"/>
        </w:rPr>
        <w:t>’</w:t>
      </w:r>
      <w:r w:rsidRPr="000D209E">
        <w:rPr>
          <w:rFonts w:ascii="Calibri" w:eastAsia="Garamond" w:hAnsi="Calibri" w:cs="Calibri"/>
          <w:color w:val="000000" w:themeColor="text1"/>
          <w:szCs w:val="14"/>
        </w:rPr>
        <w:t>s work responding to the Yoorrook Justice Commission. The objective description ‘Address trauma, supporting healing and address systemic injustice’ has been deleted as it will not provide an accurate summary of the work performed in 2026-27 period.</w:t>
      </w:r>
    </w:p>
    <w:p w14:paraId="59AAEAFD" w14:textId="77777777" w:rsidR="00273C70" w:rsidRPr="00F26FF5" w:rsidRDefault="00273C70" w:rsidP="00273C70">
      <w:pPr>
        <w:keepNext/>
        <w:tabs>
          <w:tab w:val="right" w:pos="9639"/>
        </w:tabs>
        <w:spacing w:before="240" w:after="60"/>
        <w:outlineLvl w:val="2"/>
        <w:rPr>
          <w:rFonts w:ascii="Calibri" w:eastAsia="MS Gothic" w:hAnsi="Calibri" w:cs="Calibri"/>
          <w:b/>
          <w:sz w:val="23"/>
          <w:szCs w:val="24"/>
        </w:rPr>
      </w:pPr>
      <w:r w:rsidRPr="00F26FF5">
        <w:rPr>
          <w:rFonts w:ascii="Calibri" w:eastAsia="MS Gothic" w:hAnsi="Calibri" w:cs="Calibri"/>
          <w:b/>
          <w:sz w:val="23"/>
          <w:szCs w:val="24"/>
        </w:rPr>
        <w:t>Improved public administration and support for the Victorian public service</w:t>
      </w:r>
    </w:p>
    <w:p w14:paraId="0D05CDB2" w14:textId="77777777" w:rsidR="00273C70" w:rsidRPr="007A6EE5" w:rsidRDefault="00273C70" w:rsidP="00273C70">
      <w:pPr>
        <w:pStyle w:val="ListParagraph"/>
        <w:numPr>
          <w:ilvl w:val="0"/>
          <w:numId w:val="44"/>
        </w:numPr>
        <w:spacing w:before="60" w:after="60"/>
        <w:contextualSpacing/>
        <w:rPr>
          <w:rFonts w:eastAsia="Garamond" w:cs="Calibri"/>
          <w:szCs w:val="20"/>
        </w:rPr>
      </w:pPr>
      <w:r w:rsidRPr="007A6EE5">
        <w:rPr>
          <w:rFonts w:eastAsia="Garamond" w:cs="Calibri"/>
          <w:szCs w:val="20"/>
        </w:rPr>
        <w:t>Foster and promote a high performing public service</w:t>
      </w:r>
    </w:p>
    <w:p w14:paraId="32B0DAB7" w14:textId="77777777" w:rsidR="00273C70" w:rsidRPr="007A6EE5" w:rsidRDefault="00273C70" w:rsidP="00273C70">
      <w:pPr>
        <w:pStyle w:val="ListParagraph"/>
        <w:numPr>
          <w:ilvl w:val="0"/>
          <w:numId w:val="44"/>
        </w:numPr>
        <w:spacing w:before="60" w:after="60"/>
        <w:contextualSpacing/>
        <w:rPr>
          <w:rFonts w:eastAsia="Garamond" w:cs="Calibri"/>
          <w:szCs w:val="20"/>
        </w:rPr>
      </w:pPr>
      <w:r w:rsidRPr="007A6EE5">
        <w:rPr>
          <w:rFonts w:eastAsia="Garamond" w:cs="Calibri"/>
          <w:szCs w:val="20"/>
        </w:rPr>
        <w:t>Ensure effective whole of government performance and outcomes and support the effective administration of government</w:t>
      </w:r>
    </w:p>
    <w:p w14:paraId="45C36909" w14:textId="77777777" w:rsidR="00273C70" w:rsidRPr="007A6EE5" w:rsidRDefault="00273C70" w:rsidP="00273C70">
      <w:pPr>
        <w:pStyle w:val="ListParagraph"/>
        <w:numPr>
          <w:ilvl w:val="0"/>
          <w:numId w:val="44"/>
        </w:numPr>
        <w:spacing w:before="60" w:after="60"/>
        <w:contextualSpacing/>
        <w:rPr>
          <w:rFonts w:eastAsia="Garamond" w:cs="Calibri"/>
          <w:szCs w:val="20"/>
        </w:rPr>
      </w:pPr>
      <w:r w:rsidRPr="007A6EE5">
        <w:rPr>
          <w:rFonts w:eastAsia="Garamond" w:cs="Calibri"/>
          <w:szCs w:val="20"/>
        </w:rPr>
        <w:t>Protect and promote the values of good governance, integrity and accountability across the public service to foster and maintain public trust in government</w:t>
      </w:r>
    </w:p>
    <w:p w14:paraId="74A14DD7" w14:textId="77777777" w:rsidR="00273C70" w:rsidRPr="007A6EE5" w:rsidRDefault="00273C70" w:rsidP="00273C70">
      <w:pPr>
        <w:pStyle w:val="ListParagraph"/>
        <w:numPr>
          <w:ilvl w:val="0"/>
          <w:numId w:val="44"/>
        </w:numPr>
        <w:spacing w:before="60" w:after="60"/>
        <w:contextualSpacing/>
        <w:rPr>
          <w:rFonts w:eastAsia="Garamond" w:cs="Calibri"/>
          <w:szCs w:val="20"/>
        </w:rPr>
      </w:pPr>
      <w:bookmarkStart w:id="16" w:name="_Hlk132620209"/>
      <w:r w:rsidRPr="007A6EE5">
        <w:rPr>
          <w:rFonts w:eastAsia="Garamond" w:cs="Calibri"/>
          <w:szCs w:val="20"/>
        </w:rPr>
        <w:t>Maintain compliance with government advertising and communication guidelines to support effective financial management, probity, and accountability of government advertising.</w:t>
      </w:r>
      <w:bookmarkEnd w:id="16"/>
    </w:p>
    <w:p w14:paraId="09B00F0D" w14:textId="77777777" w:rsidR="002D3DC9" w:rsidRDefault="002D3DC9" w:rsidP="006E4BB7">
      <w:pPr>
        <w:pStyle w:val="Heading2"/>
        <w:rPr>
          <w:rFonts w:eastAsia="Times New Roman"/>
        </w:rPr>
      </w:pPr>
    </w:p>
    <w:p w14:paraId="0EA8DAD9" w14:textId="77777777" w:rsidR="003B1B6F" w:rsidRDefault="003B1B6F">
      <w:pPr>
        <w:keepLines w:val="0"/>
        <w:rPr>
          <w:rFonts w:asciiTheme="majorHAnsi" w:eastAsia="Times New Roman" w:hAnsiTheme="majorHAnsi" w:cstheme="majorBidi"/>
          <w:b/>
          <w:sz w:val="27"/>
          <w:szCs w:val="26"/>
        </w:rPr>
      </w:pPr>
      <w:r>
        <w:rPr>
          <w:rFonts w:eastAsia="Times New Roman"/>
        </w:rPr>
        <w:br w:type="page"/>
      </w:r>
    </w:p>
    <w:p w14:paraId="01E3C7DF" w14:textId="423E166D" w:rsidR="006E4BB7" w:rsidRDefault="006E4BB7" w:rsidP="006E4BB7">
      <w:pPr>
        <w:pStyle w:val="Heading2"/>
        <w:rPr>
          <w:rFonts w:eastAsia="Times New Roman"/>
          <w:spacing w:val="-2"/>
          <w:sz w:val="26"/>
        </w:rPr>
      </w:pPr>
      <w:r>
        <w:rPr>
          <w:rFonts w:eastAsia="Times New Roman"/>
        </w:rPr>
        <w:lastRenderedPageBreak/>
        <w:t>Output summary by departmental objectives</w:t>
      </w:r>
    </w:p>
    <w:p w14:paraId="1A77643F" w14:textId="54744773" w:rsidR="006E4BB7" w:rsidRDefault="006E4BB7" w:rsidP="006E4BB7">
      <w:pPr>
        <w:keepNext/>
        <w:rPr>
          <w:rFonts w:ascii="Garamond" w:eastAsia="Garamond" w:hAnsi="Garamond"/>
        </w:rPr>
      </w:pPr>
      <w:r>
        <w:rPr>
          <w:rFonts w:ascii="Garamond" w:eastAsia="Garamond" w:hAnsi="Garamond"/>
        </w:rPr>
        <w:t xml:space="preserve">The </w:t>
      </w:r>
      <w:r w:rsidR="007C3D9B">
        <w:rPr>
          <w:rFonts w:ascii="Garamond" w:eastAsia="Garamond" w:hAnsi="Garamond"/>
        </w:rPr>
        <w:t>D</w:t>
      </w:r>
      <w:r>
        <w:rPr>
          <w:rFonts w:ascii="Garamond" w:eastAsia="Garamond" w:hAnsi="Garamond"/>
        </w:rPr>
        <w:t>epartment’s outputs and funding are provided in the table below. Detailed descriptions of objectives and outputs are presented below.</w:t>
      </w:r>
    </w:p>
    <w:p w14:paraId="2561BEA6" w14:textId="2C6354F3" w:rsidR="006E4BB7" w:rsidRPr="00D06853" w:rsidRDefault="006E4BB7" w:rsidP="006E4BB7">
      <w:pPr>
        <w:pStyle w:val="TableHeading"/>
      </w:pPr>
      <w:r w:rsidRPr="00D06853">
        <w:t xml:space="preserve">Table </w:t>
      </w:r>
      <w:r w:rsidR="00653160">
        <w:t>22</w:t>
      </w:r>
      <w:r w:rsidRPr="00D06853">
        <w:t>:</w:t>
      </w:r>
      <w:r w:rsidRPr="00D06853">
        <w:tab/>
        <w:t>Output summary</w:t>
      </w:r>
      <w:r w:rsidRPr="00D06853">
        <w:tab/>
        <w:t>($ million)</w:t>
      </w:r>
    </w:p>
    <w:tbl>
      <w:tblPr>
        <w:tblStyle w:val="DTFTableNumeric"/>
        <w:tblW w:w="5000" w:type="pct"/>
        <w:tblLook w:val="06E0" w:firstRow="1" w:lastRow="1" w:firstColumn="1" w:lastColumn="0" w:noHBand="1" w:noVBand="1"/>
      </w:tblPr>
      <w:tblGrid>
        <w:gridCol w:w="5664"/>
        <w:gridCol w:w="992"/>
        <w:gridCol w:w="992"/>
        <w:gridCol w:w="991"/>
        <w:gridCol w:w="992"/>
      </w:tblGrid>
      <w:tr w:rsidR="001611CB" w:rsidRPr="00464531" w14:paraId="2CDE4B8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9A96C78" w14:textId="77777777" w:rsidR="001611CB" w:rsidRPr="00464531" w:rsidRDefault="001611CB">
            <w:pPr>
              <w:rPr>
                <w:lang w:eastAsia="en-AU"/>
              </w:rPr>
            </w:pPr>
          </w:p>
        </w:tc>
        <w:tc>
          <w:tcPr>
            <w:tcW w:w="992" w:type="dxa"/>
          </w:tcPr>
          <w:p w14:paraId="03B30D9E" w14:textId="77777777" w:rsidR="001611CB" w:rsidRPr="00464531" w:rsidRDefault="001611CB">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2025-26 budget</w:t>
            </w:r>
          </w:p>
        </w:tc>
        <w:tc>
          <w:tcPr>
            <w:tcW w:w="992" w:type="dxa"/>
          </w:tcPr>
          <w:p w14:paraId="071E0798" w14:textId="77777777" w:rsidR="001611CB" w:rsidRPr="00464531" w:rsidRDefault="001611CB">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2025-26 revised</w:t>
            </w:r>
          </w:p>
        </w:tc>
        <w:tc>
          <w:tcPr>
            <w:tcW w:w="991" w:type="dxa"/>
          </w:tcPr>
          <w:p w14:paraId="2616179B" w14:textId="77777777" w:rsidR="001611CB" w:rsidRPr="00464531" w:rsidRDefault="001611CB">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2026-27 budget</w:t>
            </w:r>
          </w:p>
        </w:tc>
        <w:tc>
          <w:tcPr>
            <w:tcW w:w="992" w:type="dxa"/>
            <w:noWrap/>
          </w:tcPr>
          <w:p w14:paraId="3894506E" w14:textId="4F8514BC" w:rsidR="001611CB" w:rsidRPr="00464531" w:rsidRDefault="001611CB">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Variation</w:t>
            </w:r>
            <w:r>
              <w:rPr>
                <w:lang w:eastAsia="en-AU"/>
              </w:rPr>
              <w:br/>
              <w:t>%</w:t>
            </w:r>
            <w:r w:rsidRPr="009953A7">
              <w:rPr>
                <w:vertAlign w:val="superscript"/>
                <w:lang w:eastAsia="en-AU"/>
              </w:rPr>
              <w:t xml:space="preserve"> (a)</w:t>
            </w:r>
          </w:p>
        </w:tc>
      </w:tr>
      <w:tr w:rsidR="001611CB" w:rsidRPr="00464531" w14:paraId="0402A436" w14:textId="77777777">
        <w:trPr>
          <w:trHeight w:val="227"/>
        </w:trPr>
        <w:tc>
          <w:tcPr>
            <w:cnfStyle w:val="001000000000" w:firstRow="0" w:lastRow="0" w:firstColumn="1" w:lastColumn="0" w:oddVBand="0" w:evenVBand="0" w:oddHBand="0" w:evenHBand="0" w:firstRowFirstColumn="0" w:firstRowLastColumn="0" w:lastRowFirstColumn="0" w:lastRowLastColumn="0"/>
            <w:tcW w:w="992" w:type="dxa"/>
            <w:gridSpan w:val="5"/>
            <w:noWrap/>
            <w:hideMark/>
          </w:tcPr>
          <w:p w14:paraId="67034889" w14:textId="3F79450B" w:rsidR="001611CB" w:rsidRPr="00464531" w:rsidRDefault="001611CB">
            <w:pPr>
              <w:rPr>
                <w:b/>
                <w:bCs/>
                <w:lang w:eastAsia="en-AU"/>
              </w:rPr>
            </w:pPr>
            <w:r w:rsidRPr="00464531">
              <w:rPr>
                <w:b/>
                <w:bCs/>
                <w:lang w:eastAsia="en-AU"/>
              </w:rPr>
              <w:t>Stronger policy outcomes for Victoria</w:t>
            </w:r>
          </w:p>
        </w:tc>
      </w:tr>
      <w:tr w:rsidR="001611CB" w:rsidRPr="00464531" w14:paraId="09FA1935"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7462696E" w14:textId="00A1C87C" w:rsidR="001611CB" w:rsidRPr="00464531" w:rsidRDefault="001611CB">
            <w:pPr>
              <w:rPr>
                <w:lang w:eastAsia="en-AU"/>
              </w:rPr>
            </w:pPr>
            <w:r w:rsidRPr="00464531">
              <w:rPr>
                <w:lang w:eastAsia="en-AU"/>
              </w:rPr>
              <w:t>Economic policy advice and support</w:t>
            </w:r>
            <w:r w:rsidRPr="00F82F96">
              <w:rPr>
                <w:vertAlign w:val="superscript"/>
                <w:lang w:eastAsia="en-AU"/>
              </w:rPr>
              <w:t xml:space="preserve"> (</w:t>
            </w:r>
            <w:r w:rsidR="00943476">
              <w:rPr>
                <w:vertAlign w:val="superscript"/>
                <w:lang w:eastAsia="en-AU"/>
              </w:rPr>
              <w:t>b</w:t>
            </w:r>
            <w:r w:rsidRPr="00F82F96">
              <w:rPr>
                <w:vertAlign w:val="superscript"/>
                <w:lang w:eastAsia="en-AU"/>
              </w:rPr>
              <w:t>)</w:t>
            </w:r>
          </w:p>
        </w:tc>
        <w:tc>
          <w:tcPr>
            <w:tcW w:w="992" w:type="dxa"/>
            <w:hideMark/>
          </w:tcPr>
          <w:p w14:paraId="7E739B8A"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20.1</w:t>
            </w:r>
          </w:p>
        </w:tc>
        <w:tc>
          <w:tcPr>
            <w:tcW w:w="992" w:type="dxa"/>
            <w:hideMark/>
          </w:tcPr>
          <w:p w14:paraId="342303A1"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18.4</w:t>
            </w:r>
          </w:p>
        </w:tc>
        <w:tc>
          <w:tcPr>
            <w:tcW w:w="991" w:type="dxa"/>
            <w:hideMark/>
          </w:tcPr>
          <w:p w14:paraId="3E4F1320"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13.2</w:t>
            </w:r>
          </w:p>
        </w:tc>
        <w:tc>
          <w:tcPr>
            <w:tcW w:w="992" w:type="dxa"/>
            <w:noWrap/>
            <w:hideMark/>
          </w:tcPr>
          <w:p w14:paraId="7A9D9215"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(34.3)</w:t>
            </w:r>
          </w:p>
        </w:tc>
      </w:tr>
      <w:tr w:rsidR="001611CB" w:rsidRPr="00464531" w14:paraId="17B9182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5AA5B72E" w14:textId="1D48C2E8" w:rsidR="001611CB" w:rsidRPr="00464531" w:rsidRDefault="001611CB">
            <w:pPr>
              <w:rPr>
                <w:lang w:eastAsia="en-AU"/>
              </w:rPr>
            </w:pPr>
            <w:r w:rsidRPr="00464531">
              <w:rPr>
                <w:lang w:eastAsia="en-AU"/>
              </w:rPr>
              <w:t>Social policy advice and intergovernmental relations</w:t>
            </w:r>
            <w:r w:rsidRPr="003F706A">
              <w:rPr>
                <w:vertAlign w:val="superscript"/>
                <w:lang w:eastAsia="en-AU"/>
              </w:rPr>
              <w:t xml:space="preserve"> (</w:t>
            </w:r>
            <w:r w:rsidR="00943476">
              <w:rPr>
                <w:vertAlign w:val="superscript"/>
                <w:lang w:eastAsia="en-AU"/>
              </w:rPr>
              <w:t>c</w:t>
            </w:r>
            <w:r w:rsidRPr="003F706A">
              <w:rPr>
                <w:vertAlign w:val="superscript"/>
                <w:lang w:eastAsia="en-AU"/>
              </w:rPr>
              <w:t>)</w:t>
            </w:r>
          </w:p>
        </w:tc>
        <w:tc>
          <w:tcPr>
            <w:tcW w:w="992" w:type="dxa"/>
            <w:hideMark/>
          </w:tcPr>
          <w:p w14:paraId="22715101"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22.4</w:t>
            </w:r>
          </w:p>
        </w:tc>
        <w:tc>
          <w:tcPr>
            <w:tcW w:w="992" w:type="dxa"/>
            <w:hideMark/>
          </w:tcPr>
          <w:p w14:paraId="703D5F6A"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28.1</w:t>
            </w:r>
          </w:p>
        </w:tc>
        <w:tc>
          <w:tcPr>
            <w:tcW w:w="991" w:type="dxa"/>
            <w:hideMark/>
          </w:tcPr>
          <w:p w14:paraId="7D824D5B"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18.6</w:t>
            </w:r>
          </w:p>
        </w:tc>
        <w:tc>
          <w:tcPr>
            <w:tcW w:w="992" w:type="dxa"/>
            <w:noWrap/>
            <w:hideMark/>
          </w:tcPr>
          <w:p w14:paraId="0ADE92F9"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(16.9)</w:t>
            </w:r>
          </w:p>
        </w:tc>
      </w:tr>
      <w:tr w:rsidR="001611CB" w:rsidRPr="00464531" w14:paraId="6C68A997"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32DF49E9" w14:textId="77777777" w:rsidR="001611CB" w:rsidRPr="00464531" w:rsidRDefault="001611CB">
            <w:pPr>
              <w:rPr>
                <w:lang w:eastAsia="en-AU"/>
              </w:rPr>
            </w:pPr>
            <w:r w:rsidRPr="00464531">
              <w:rPr>
                <w:lang w:eastAsia="en-AU"/>
              </w:rPr>
              <w:t>Multicultural affairs policy and programs</w:t>
            </w:r>
          </w:p>
        </w:tc>
        <w:tc>
          <w:tcPr>
            <w:tcW w:w="992" w:type="dxa"/>
            <w:hideMark/>
          </w:tcPr>
          <w:p w14:paraId="3B2331A8"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48.2</w:t>
            </w:r>
          </w:p>
        </w:tc>
        <w:tc>
          <w:tcPr>
            <w:tcW w:w="992" w:type="dxa"/>
            <w:hideMark/>
          </w:tcPr>
          <w:p w14:paraId="5034D4D8"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67.1</w:t>
            </w:r>
          </w:p>
        </w:tc>
        <w:tc>
          <w:tcPr>
            <w:tcW w:w="991" w:type="dxa"/>
            <w:hideMark/>
          </w:tcPr>
          <w:p w14:paraId="15D64201"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49.5</w:t>
            </w:r>
          </w:p>
        </w:tc>
        <w:tc>
          <w:tcPr>
            <w:tcW w:w="992" w:type="dxa"/>
            <w:noWrap/>
            <w:hideMark/>
          </w:tcPr>
          <w:p w14:paraId="57AEEA8B"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2.7</w:t>
            </w:r>
          </w:p>
        </w:tc>
      </w:tr>
      <w:tr w:rsidR="001611CB" w:rsidRPr="009953A7" w14:paraId="379F443D" w14:textId="77777777">
        <w:trPr>
          <w:trHeight w:val="227"/>
        </w:trPr>
        <w:tc>
          <w:tcPr>
            <w:cnfStyle w:val="001000000000" w:firstRow="0" w:lastRow="0" w:firstColumn="1" w:lastColumn="0" w:oddVBand="0" w:evenVBand="0" w:oddHBand="0" w:evenHBand="0" w:firstRowFirstColumn="0" w:firstRowLastColumn="0" w:lastRowFirstColumn="0" w:lastRowLastColumn="0"/>
            <w:tcW w:w="992" w:type="dxa"/>
            <w:gridSpan w:val="5"/>
            <w:noWrap/>
            <w:hideMark/>
          </w:tcPr>
          <w:p w14:paraId="063EF08F" w14:textId="77777777" w:rsidR="001611CB" w:rsidRPr="00464531" w:rsidRDefault="001611CB">
            <w:pPr>
              <w:rPr>
                <w:b/>
                <w:bCs/>
                <w:lang w:eastAsia="en-AU"/>
              </w:rPr>
            </w:pPr>
            <w:r w:rsidRPr="00464531">
              <w:rPr>
                <w:b/>
                <w:bCs/>
                <w:lang w:eastAsia="en-AU"/>
              </w:rPr>
              <w:t>First Peoples in Victoria are strong and self</w:t>
            </w:r>
            <w:r w:rsidRPr="00464531">
              <w:rPr>
                <w:b/>
                <w:bCs/>
                <w:lang w:eastAsia="en-AU"/>
              </w:rPr>
              <w:noBreakHyphen/>
              <w:t>determining</w:t>
            </w:r>
          </w:p>
        </w:tc>
      </w:tr>
      <w:tr w:rsidR="001611CB" w:rsidRPr="00464531" w14:paraId="1B33C0E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7409AB07" w14:textId="6687CD8C" w:rsidR="001611CB" w:rsidRPr="00464531" w:rsidRDefault="001611CB">
            <w:pPr>
              <w:rPr>
                <w:lang w:eastAsia="en-AU"/>
              </w:rPr>
            </w:pPr>
            <w:r w:rsidRPr="00464531">
              <w:rPr>
                <w:lang w:eastAsia="en-AU"/>
              </w:rPr>
              <w:t>Self</w:t>
            </w:r>
            <w:r w:rsidRPr="00464531">
              <w:rPr>
                <w:lang w:eastAsia="en-AU"/>
              </w:rPr>
              <w:noBreakHyphen/>
              <w:t>determination policy and reform advice and programs</w:t>
            </w:r>
            <w:r w:rsidRPr="003F706A">
              <w:rPr>
                <w:vertAlign w:val="superscript"/>
                <w:lang w:eastAsia="en-AU"/>
              </w:rPr>
              <w:t xml:space="preserve"> (</w:t>
            </w:r>
            <w:r w:rsidR="00943476">
              <w:rPr>
                <w:vertAlign w:val="superscript"/>
                <w:lang w:eastAsia="en-AU"/>
              </w:rPr>
              <w:t>d</w:t>
            </w:r>
            <w:r w:rsidRPr="003F706A">
              <w:rPr>
                <w:vertAlign w:val="superscript"/>
                <w:lang w:eastAsia="en-AU"/>
              </w:rPr>
              <w:t>)</w:t>
            </w:r>
          </w:p>
        </w:tc>
        <w:tc>
          <w:tcPr>
            <w:tcW w:w="992" w:type="dxa"/>
            <w:hideMark/>
          </w:tcPr>
          <w:p w14:paraId="31F327B3"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100.6</w:t>
            </w:r>
          </w:p>
        </w:tc>
        <w:tc>
          <w:tcPr>
            <w:tcW w:w="992" w:type="dxa"/>
            <w:hideMark/>
          </w:tcPr>
          <w:p w14:paraId="5846D71E"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98.0</w:t>
            </w:r>
          </w:p>
        </w:tc>
        <w:tc>
          <w:tcPr>
            <w:tcW w:w="991" w:type="dxa"/>
            <w:hideMark/>
          </w:tcPr>
          <w:p w14:paraId="30B7729D"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121.1</w:t>
            </w:r>
          </w:p>
        </w:tc>
        <w:tc>
          <w:tcPr>
            <w:tcW w:w="992" w:type="dxa"/>
            <w:noWrap/>
            <w:hideMark/>
          </w:tcPr>
          <w:p w14:paraId="08B4CD47"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20.4</w:t>
            </w:r>
          </w:p>
        </w:tc>
      </w:tr>
      <w:tr w:rsidR="001611CB" w:rsidRPr="00464531" w14:paraId="0D558F53"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2B7C7340" w14:textId="5E92A17C" w:rsidR="001611CB" w:rsidRPr="00464531" w:rsidRDefault="001611CB">
            <w:pPr>
              <w:rPr>
                <w:lang w:eastAsia="en-AU"/>
              </w:rPr>
            </w:pPr>
            <w:r w:rsidRPr="00464531">
              <w:rPr>
                <w:lang w:eastAsia="en-AU"/>
              </w:rPr>
              <w:t>Traditional owner engagement and cultural heritage management programs</w:t>
            </w:r>
            <w:r w:rsidRPr="003F706A">
              <w:rPr>
                <w:vertAlign w:val="superscript"/>
                <w:lang w:eastAsia="en-AU"/>
              </w:rPr>
              <w:t xml:space="preserve"> (</w:t>
            </w:r>
            <w:r w:rsidR="00943476">
              <w:rPr>
                <w:vertAlign w:val="superscript"/>
                <w:lang w:eastAsia="en-AU"/>
              </w:rPr>
              <w:t>e</w:t>
            </w:r>
            <w:r w:rsidRPr="003F706A">
              <w:rPr>
                <w:vertAlign w:val="superscript"/>
                <w:lang w:eastAsia="en-AU"/>
              </w:rPr>
              <w:t>)</w:t>
            </w:r>
          </w:p>
        </w:tc>
        <w:tc>
          <w:tcPr>
            <w:tcW w:w="992" w:type="dxa"/>
            <w:hideMark/>
          </w:tcPr>
          <w:p w14:paraId="605E3876"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35.7</w:t>
            </w:r>
          </w:p>
        </w:tc>
        <w:tc>
          <w:tcPr>
            <w:tcW w:w="992" w:type="dxa"/>
            <w:hideMark/>
          </w:tcPr>
          <w:p w14:paraId="19A8FB62"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49.6</w:t>
            </w:r>
          </w:p>
        </w:tc>
        <w:tc>
          <w:tcPr>
            <w:tcW w:w="991" w:type="dxa"/>
            <w:hideMark/>
          </w:tcPr>
          <w:p w14:paraId="02C0A364"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22.4</w:t>
            </w:r>
          </w:p>
        </w:tc>
        <w:tc>
          <w:tcPr>
            <w:tcW w:w="992" w:type="dxa"/>
            <w:noWrap/>
            <w:hideMark/>
          </w:tcPr>
          <w:p w14:paraId="3348DD10"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(37.4)</w:t>
            </w:r>
          </w:p>
        </w:tc>
      </w:tr>
      <w:tr w:rsidR="001611CB" w:rsidRPr="009953A7" w14:paraId="05666B91" w14:textId="77777777">
        <w:trPr>
          <w:trHeight w:val="227"/>
        </w:trPr>
        <w:tc>
          <w:tcPr>
            <w:cnfStyle w:val="001000000000" w:firstRow="0" w:lastRow="0" w:firstColumn="1" w:lastColumn="0" w:oddVBand="0" w:evenVBand="0" w:oddHBand="0" w:evenHBand="0" w:firstRowFirstColumn="0" w:firstRowLastColumn="0" w:lastRowFirstColumn="0" w:lastRowLastColumn="0"/>
            <w:tcW w:w="992" w:type="dxa"/>
            <w:gridSpan w:val="5"/>
          </w:tcPr>
          <w:p w14:paraId="26682BD6" w14:textId="77777777" w:rsidR="001611CB" w:rsidRPr="009953A7" w:rsidRDefault="001611CB">
            <w:pPr>
              <w:rPr>
                <w:b/>
                <w:bCs/>
              </w:rPr>
            </w:pPr>
            <w:r w:rsidRPr="00464531">
              <w:rPr>
                <w:b/>
                <w:bCs/>
                <w:lang w:eastAsia="en-AU"/>
              </w:rPr>
              <w:t>Improved public administration and support for the Victorian public service</w:t>
            </w:r>
          </w:p>
        </w:tc>
      </w:tr>
      <w:tr w:rsidR="001611CB" w:rsidRPr="00464531" w14:paraId="334CC0B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45393D57" w14:textId="3DDFB256" w:rsidR="001611CB" w:rsidRPr="00464531" w:rsidRDefault="001611CB">
            <w:pPr>
              <w:rPr>
                <w:lang w:eastAsia="en-AU"/>
              </w:rPr>
            </w:pPr>
            <w:r w:rsidRPr="00464531">
              <w:rPr>
                <w:lang w:eastAsia="en-AU"/>
              </w:rPr>
              <w:t>Executive government advice and services</w:t>
            </w:r>
            <w:r w:rsidRPr="003F706A">
              <w:rPr>
                <w:vertAlign w:val="superscript"/>
                <w:lang w:eastAsia="en-AU"/>
              </w:rPr>
              <w:t xml:space="preserve"> (</w:t>
            </w:r>
            <w:r w:rsidR="00943476">
              <w:rPr>
                <w:vertAlign w:val="superscript"/>
                <w:lang w:eastAsia="en-AU"/>
              </w:rPr>
              <w:t>f</w:t>
            </w:r>
            <w:r w:rsidRPr="003F706A">
              <w:rPr>
                <w:vertAlign w:val="superscript"/>
                <w:lang w:eastAsia="en-AU"/>
              </w:rPr>
              <w:t>)</w:t>
            </w:r>
          </w:p>
        </w:tc>
        <w:tc>
          <w:tcPr>
            <w:tcW w:w="992" w:type="dxa"/>
            <w:hideMark/>
          </w:tcPr>
          <w:p w14:paraId="3FF31E21"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111.6</w:t>
            </w:r>
          </w:p>
        </w:tc>
        <w:tc>
          <w:tcPr>
            <w:tcW w:w="992" w:type="dxa"/>
            <w:hideMark/>
          </w:tcPr>
          <w:p w14:paraId="6CD7A490"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148.8</w:t>
            </w:r>
          </w:p>
        </w:tc>
        <w:tc>
          <w:tcPr>
            <w:tcW w:w="991" w:type="dxa"/>
            <w:hideMark/>
          </w:tcPr>
          <w:p w14:paraId="27D11A94"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130.4</w:t>
            </w:r>
          </w:p>
        </w:tc>
        <w:tc>
          <w:tcPr>
            <w:tcW w:w="992" w:type="dxa"/>
            <w:noWrap/>
            <w:hideMark/>
          </w:tcPr>
          <w:p w14:paraId="1BF579C2"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16.8</w:t>
            </w:r>
          </w:p>
        </w:tc>
      </w:tr>
      <w:tr w:rsidR="001611CB" w:rsidRPr="00464531" w14:paraId="1C3955F8"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228A4A5B" w14:textId="6327E18A" w:rsidR="001611CB" w:rsidRPr="00464531" w:rsidRDefault="001611CB">
            <w:pPr>
              <w:rPr>
                <w:lang w:eastAsia="en-AU"/>
              </w:rPr>
            </w:pPr>
            <w:r w:rsidRPr="00464531">
              <w:rPr>
                <w:lang w:eastAsia="en-AU"/>
              </w:rPr>
              <w:t>Public sector administration advice and support</w:t>
            </w:r>
            <w:r w:rsidRPr="0013285D">
              <w:rPr>
                <w:vertAlign w:val="superscript"/>
                <w:lang w:eastAsia="en-AU"/>
              </w:rPr>
              <w:t xml:space="preserve"> (</w:t>
            </w:r>
            <w:r w:rsidR="00943476">
              <w:rPr>
                <w:vertAlign w:val="superscript"/>
                <w:lang w:eastAsia="en-AU"/>
              </w:rPr>
              <w:t>g</w:t>
            </w:r>
            <w:r w:rsidRPr="0013285D">
              <w:rPr>
                <w:vertAlign w:val="superscript"/>
                <w:lang w:eastAsia="en-AU"/>
              </w:rPr>
              <w:t>)</w:t>
            </w:r>
          </w:p>
        </w:tc>
        <w:tc>
          <w:tcPr>
            <w:tcW w:w="992" w:type="dxa"/>
            <w:hideMark/>
          </w:tcPr>
          <w:p w14:paraId="2E535409"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9.3</w:t>
            </w:r>
          </w:p>
        </w:tc>
        <w:tc>
          <w:tcPr>
            <w:tcW w:w="992" w:type="dxa"/>
            <w:hideMark/>
          </w:tcPr>
          <w:p w14:paraId="4DCBA1FA"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8.3</w:t>
            </w:r>
          </w:p>
        </w:tc>
        <w:tc>
          <w:tcPr>
            <w:tcW w:w="991" w:type="dxa"/>
            <w:hideMark/>
          </w:tcPr>
          <w:p w14:paraId="1811E351"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8.0</w:t>
            </w:r>
          </w:p>
        </w:tc>
        <w:tc>
          <w:tcPr>
            <w:tcW w:w="992" w:type="dxa"/>
            <w:noWrap/>
            <w:hideMark/>
          </w:tcPr>
          <w:p w14:paraId="014A58B2"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(14.2)</w:t>
            </w:r>
          </w:p>
        </w:tc>
      </w:tr>
      <w:tr w:rsidR="001611CB" w:rsidRPr="00464531" w14:paraId="462F1A5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5EA3D280" w14:textId="7ABCCD8F" w:rsidR="001611CB" w:rsidRPr="00464531" w:rsidRDefault="001611CB">
            <w:pPr>
              <w:rPr>
                <w:lang w:eastAsia="en-AU"/>
              </w:rPr>
            </w:pPr>
            <w:r w:rsidRPr="00464531">
              <w:rPr>
                <w:lang w:eastAsia="en-AU"/>
              </w:rPr>
              <w:t>Chief Parliamentary Counsel services</w:t>
            </w:r>
            <w:r w:rsidRPr="0013285D">
              <w:rPr>
                <w:vertAlign w:val="superscript"/>
                <w:lang w:eastAsia="en-AU"/>
              </w:rPr>
              <w:t xml:space="preserve"> (</w:t>
            </w:r>
            <w:r w:rsidR="00943476">
              <w:rPr>
                <w:vertAlign w:val="superscript"/>
                <w:lang w:eastAsia="en-AU"/>
              </w:rPr>
              <w:t>h</w:t>
            </w:r>
            <w:r w:rsidRPr="0013285D">
              <w:rPr>
                <w:vertAlign w:val="superscript"/>
                <w:lang w:eastAsia="en-AU"/>
              </w:rPr>
              <w:t>)</w:t>
            </w:r>
          </w:p>
        </w:tc>
        <w:tc>
          <w:tcPr>
            <w:tcW w:w="992" w:type="dxa"/>
            <w:hideMark/>
          </w:tcPr>
          <w:p w14:paraId="4DCF61D0"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9.3</w:t>
            </w:r>
          </w:p>
        </w:tc>
        <w:tc>
          <w:tcPr>
            <w:tcW w:w="992" w:type="dxa"/>
            <w:hideMark/>
          </w:tcPr>
          <w:p w14:paraId="27E83A89"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9.0</w:t>
            </w:r>
          </w:p>
        </w:tc>
        <w:tc>
          <w:tcPr>
            <w:tcW w:w="991" w:type="dxa"/>
            <w:hideMark/>
          </w:tcPr>
          <w:p w14:paraId="131A68AC"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8.9</w:t>
            </w:r>
          </w:p>
        </w:tc>
        <w:tc>
          <w:tcPr>
            <w:tcW w:w="992" w:type="dxa"/>
            <w:noWrap/>
            <w:hideMark/>
          </w:tcPr>
          <w:p w14:paraId="772E4C39"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(4.1)</w:t>
            </w:r>
          </w:p>
        </w:tc>
      </w:tr>
      <w:tr w:rsidR="001611CB" w:rsidRPr="00464531" w14:paraId="2A26B7D9" w14:textId="77777777" w:rsidTr="003B1B6F">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hideMark/>
          </w:tcPr>
          <w:p w14:paraId="1811A01F" w14:textId="20F8EBDF" w:rsidR="001611CB" w:rsidRPr="00464531" w:rsidRDefault="001611CB">
            <w:pPr>
              <w:rPr>
                <w:lang w:eastAsia="en-AU"/>
              </w:rPr>
            </w:pPr>
            <w:r w:rsidRPr="00464531">
              <w:rPr>
                <w:lang w:eastAsia="en-AU"/>
              </w:rPr>
              <w:t>State electoral roll and electoral events</w:t>
            </w:r>
            <w:r w:rsidRPr="00445F90">
              <w:rPr>
                <w:vertAlign w:val="superscript"/>
                <w:lang w:eastAsia="en-AU"/>
              </w:rPr>
              <w:t xml:space="preserve"> (</w:t>
            </w:r>
            <w:r w:rsidR="00943476">
              <w:rPr>
                <w:vertAlign w:val="superscript"/>
                <w:lang w:eastAsia="en-AU"/>
              </w:rPr>
              <w:t>i</w:t>
            </w:r>
            <w:r w:rsidRPr="00445F90">
              <w:rPr>
                <w:vertAlign w:val="superscript"/>
                <w:lang w:eastAsia="en-AU"/>
              </w:rPr>
              <w:t>)</w:t>
            </w:r>
          </w:p>
        </w:tc>
        <w:tc>
          <w:tcPr>
            <w:tcW w:w="992" w:type="dxa"/>
            <w:tcBorders>
              <w:bottom w:val="single" w:sz="6" w:space="0" w:color="auto"/>
            </w:tcBorders>
            <w:hideMark/>
          </w:tcPr>
          <w:p w14:paraId="7738810D"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42.3</w:t>
            </w:r>
          </w:p>
        </w:tc>
        <w:tc>
          <w:tcPr>
            <w:tcW w:w="992" w:type="dxa"/>
            <w:tcBorders>
              <w:bottom w:val="single" w:sz="6" w:space="0" w:color="auto"/>
            </w:tcBorders>
            <w:hideMark/>
          </w:tcPr>
          <w:p w14:paraId="4DBBCDFA"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 xml:space="preserve"> 85.3</w:t>
            </w:r>
          </w:p>
        </w:tc>
        <w:tc>
          <w:tcPr>
            <w:tcW w:w="991" w:type="dxa"/>
            <w:tcBorders>
              <w:bottom w:val="single" w:sz="6" w:space="0" w:color="auto"/>
            </w:tcBorders>
            <w:hideMark/>
          </w:tcPr>
          <w:p w14:paraId="38D9CC35"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122.7</w:t>
            </w:r>
          </w:p>
        </w:tc>
        <w:tc>
          <w:tcPr>
            <w:tcW w:w="992" w:type="dxa"/>
            <w:tcBorders>
              <w:bottom w:val="single" w:sz="6" w:space="0" w:color="auto"/>
            </w:tcBorders>
            <w:noWrap/>
            <w:hideMark/>
          </w:tcPr>
          <w:p w14:paraId="167BE5AC" w14:textId="77777777" w:rsidR="001611CB" w:rsidRPr="00464531" w:rsidRDefault="001611CB">
            <w:pPr>
              <w:cnfStyle w:val="000000000000" w:firstRow="0" w:lastRow="0" w:firstColumn="0" w:lastColumn="0" w:oddVBand="0" w:evenVBand="0" w:oddHBand="0" w:evenHBand="0" w:firstRowFirstColumn="0" w:firstRowLastColumn="0" w:lastRowFirstColumn="0" w:lastRowLastColumn="0"/>
              <w:rPr>
                <w:lang w:eastAsia="en-AU"/>
              </w:rPr>
            </w:pPr>
            <w:r w:rsidRPr="00464531">
              <w:rPr>
                <w:lang w:eastAsia="en-AU"/>
              </w:rPr>
              <w:t>190.0</w:t>
            </w:r>
          </w:p>
        </w:tc>
      </w:tr>
      <w:tr w:rsidR="001611CB" w:rsidRPr="00464531" w14:paraId="4040B4FC" w14:textId="77777777" w:rsidTr="003B1B6F">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hideMark/>
          </w:tcPr>
          <w:p w14:paraId="2A67DACC" w14:textId="77777777" w:rsidR="001611CB" w:rsidRPr="00464531" w:rsidRDefault="001611CB">
            <w:pPr>
              <w:rPr>
                <w:lang w:eastAsia="en-AU"/>
              </w:rPr>
            </w:pPr>
            <w:r w:rsidRPr="00464531">
              <w:rPr>
                <w:lang w:eastAsia="en-AU"/>
              </w:rPr>
              <w:t xml:space="preserve">Total </w:t>
            </w:r>
          </w:p>
        </w:tc>
        <w:tc>
          <w:tcPr>
            <w:tcW w:w="992" w:type="dxa"/>
            <w:hideMark/>
          </w:tcPr>
          <w:p w14:paraId="6D418B37" w14:textId="77777777" w:rsidR="001611CB" w:rsidRPr="00464531" w:rsidRDefault="001611CB">
            <w:pPr>
              <w:cnfStyle w:val="010000000000" w:firstRow="0" w:lastRow="1" w:firstColumn="0" w:lastColumn="0" w:oddVBand="0" w:evenVBand="0" w:oddHBand="0" w:evenHBand="0" w:firstRowFirstColumn="0" w:firstRowLastColumn="0" w:lastRowFirstColumn="0" w:lastRowLastColumn="0"/>
              <w:rPr>
                <w:lang w:eastAsia="en-AU"/>
              </w:rPr>
            </w:pPr>
            <w:r w:rsidRPr="00464531">
              <w:rPr>
                <w:lang w:eastAsia="en-AU"/>
              </w:rPr>
              <w:t xml:space="preserve"> 399.5</w:t>
            </w:r>
          </w:p>
        </w:tc>
        <w:tc>
          <w:tcPr>
            <w:tcW w:w="992" w:type="dxa"/>
            <w:hideMark/>
          </w:tcPr>
          <w:p w14:paraId="0686A549" w14:textId="77777777" w:rsidR="001611CB" w:rsidRPr="00464531" w:rsidRDefault="001611CB">
            <w:pPr>
              <w:cnfStyle w:val="010000000000" w:firstRow="0" w:lastRow="1" w:firstColumn="0" w:lastColumn="0" w:oddVBand="0" w:evenVBand="0" w:oddHBand="0" w:evenHBand="0" w:firstRowFirstColumn="0" w:firstRowLastColumn="0" w:lastRowFirstColumn="0" w:lastRowLastColumn="0"/>
              <w:rPr>
                <w:lang w:eastAsia="en-AU"/>
              </w:rPr>
            </w:pPr>
            <w:r w:rsidRPr="00464531">
              <w:rPr>
                <w:lang w:eastAsia="en-AU"/>
              </w:rPr>
              <w:t xml:space="preserve"> 512.5</w:t>
            </w:r>
          </w:p>
        </w:tc>
        <w:tc>
          <w:tcPr>
            <w:tcW w:w="991" w:type="dxa"/>
            <w:hideMark/>
          </w:tcPr>
          <w:p w14:paraId="767F8EFF" w14:textId="77777777" w:rsidR="001611CB" w:rsidRPr="00464531" w:rsidRDefault="001611CB">
            <w:pPr>
              <w:cnfStyle w:val="010000000000" w:firstRow="0" w:lastRow="1" w:firstColumn="0" w:lastColumn="0" w:oddVBand="0" w:evenVBand="0" w:oddHBand="0" w:evenHBand="0" w:firstRowFirstColumn="0" w:firstRowLastColumn="0" w:lastRowFirstColumn="0" w:lastRowLastColumn="0"/>
              <w:rPr>
                <w:lang w:eastAsia="en-AU"/>
              </w:rPr>
            </w:pPr>
            <w:r w:rsidRPr="00464531">
              <w:rPr>
                <w:lang w:eastAsia="en-AU"/>
              </w:rPr>
              <w:t>494.7</w:t>
            </w:r>
          </w:p>
        </w:tc>
        <w:tc>
          <w:tcPr>
            <w:tcW w:w="992" w:type="dxa"/>
            <w:hideMark/>
          </w:tcPr>
          <w:p w14:paraId="169DD6A8" w14:textId="77777777" w:rsidR="001611CB" w:rsidRPr="00464531" w:rsidRDefault="001611CB">
            <w:pPr>
              <w:cnfStyle w:val="010000000000" w:firstRow="0" w:lastRow="1" w:firstColumn="0" w:lastColumn="0" w:oddVBand="0" w:evenVBand="0" w:oddHBand="0" w:evenHBand="0" w:firstRowFirstColumn="0" w:firstRowLastColumn="0" w:lastRowFirstColumn="0" w:lastRowLastColumn="0"/>
              <w:rPr>
                <w:lang w:eastAsia="en-AU"/>
              </w:rPr>
            </w:pPr>
            <w:r w:rsidRPr="00464531">
              <w:rPr>
                <w:lang w:eastAsia="en-AU"/>
              </w:rPr>
              <w:t>23.8</w:t>
            </w:r>
          </w:p>
        </w:tc>
      </w:tr>
    </w:tbl>
    <w:p w14:paraId="0D6C0C1B" w14:textId="77777777" w:rsidR="001611CB" w:rsidRDefault="001611CB" w:rsidP="001611CB">
      <w:pPr>
        <w:pStyle w:val="Source"/>
      </w:pPr>
      <w:r>
        <w:t>Source: Department of Premier and Cabinet</w:t>
      </w:r>
    </w:p>
    <w:p w14:paraId="05191226" w14:textId="77777777" w:rsidR="001611CB" w:rsidRDefault="001611CB" w:rsidP="001611CB">
      <w:pPr>
        <w:pStyle w:val="Note"/>
      </w:pPr>
      <w:r w:rsidRPr="000F59CA">
        <w:t>Notes:</w:t>
      </w:r>
    </w:p>
    <w:p w14:paraId="43A9A2BA" w14:textId="206E26DE" w:rsidR="00943476" w:rsidRDefault="00943476" w:rsidP="00943476">
      <w:pPr>
        <w:pStyle w:val="Note"/>
      </w:pPr>
      <w:r>
        <w:t>(a)</w:t>
      </w:r>
      <w:r>
        <w:tab/>
      </w:r>
      <w:r w:rsidRPr="00784DBE">
        <w:t>Variation between 2025-26 budget and 2026-27 budget.</w:t>
      </w:r>
    </w:p>
    <w:p w14:paraId="2DD9E0F8" w14:textId="5FF59061" w:rsidR="001611CB" w:rsidRDefault="003B1B6F" w:rsidP="00943476">
      <w:pPr>
        <w:pStyle w:val="Note"/>
      </w:pPr>
      <w:r>
        <w:t>(</w:t>
      </w:r>
      <w:r w:rsidR="00943476">
        <w:t>b</w:t>
      </w:r>
      <w:r>
        <w:t>)</w:t>
      </w:r>
      <w:r>
        <w:tab/>
      </w:r>
      <w:r w:rsidR="001611CB" w:rsidRPr="00B26E83">
        <w:rPr>
          <w:lang w:eastAsia="en-AU"/>
        </w:rPr>
        <w:t>The lower 2026</w:t>
      </w:r>
      <w:r w:rsidR="00383570">
        <w:rPr>
          <w:lang w:eastAsia="en-AU"/>
        </w:rPr>
        <w:t>-</w:t>
      </w:r>
      <w:r w:rsidR="001611CB" w:rsidRPr="00B26E83">
        <w:rPr>
          <w:lang w:eastAsia="en-AU"/>
        </w:rPr>
        <w:t>27 target is predominantly due to</w:t>
      </w:r>
      <w:r w:rsidR="001611CB" w:rsidRPr="000F59CA">
        <w:t xml:space="preserve"> </w:t>
      </w:r>
      <w:r w:rsidR="001611CB" w:rsidRPr="00B26E83">
        <w:rPr>
          <w:lang w:eastAsia="en-AU"/>
        </w:rPr>
        <w:t>larger non-recurrent funding allocated in 2025</w:t>
      </w:r>
      <w:r w:rsidR="00383570">
        <w:rPr>
          <w:lang w:eastAsia="en-AU"/>
        </w:rPr>
        <w:t>-</w:t>
      </w:r>
      <w:r w:rsidR="001611CB" w:rsidRPr="00B26E83">
        <w:rPr>
          <w:lang w:eastAsia="en-AU"/>
        </w:rPr>
        <w:t>26 to implement the Economic Growth Statement ‘Yes to International Students Fund’ initiative</w:t>
      </w:r>
      <w:r w:rsidR="001611CB" w:rsidRPr="000F59CA">
        <w:t xml:space="preserve">, </w:t>
      </w:r>
      <w:r w:rsidR="001611CB" w:rsidRPr="00B26E83">
        <w:rPr>
          <w:lang w:eastAsia="en-AU"/>
        </w:rPr>
        <w:t>the impact of savings applied, and funding relinquished to DGS to centralise government accommodation management.</w:t>
      </w:r>
    </w:p>
    <w:p w14:paraId="1A986788" w14:textId="345AF071" w:rsidR="001611CB" w:rsidRDefault="003B1B6F" w:rsidP="003B1B6F">
      <w:pPr>
        <w:pStyle w:val="Note"/>
      </w:pPr>
      <w:r>
        <w:t>(</w:t>
      </w:r>
      <w:r w:rsidR="00943476">
        <w:t>c</w:t>
      </w:r>
      <w:r>
        <w:t>)</w:t>
      </w:r>
      <w:r>
        <w:tab/>
      </w:r>
      <w:r w:rsidR="001611CB">
        <w:t>The lower 2026</w:t>
      </w:r>
      <w:r w:rsidR="00383570">
        <w:t>-</w:t>
      </w:r>
      <w:r w:rsidR="001611CB">
        <w:t>27 target is primarily due to the impact of savings applied, and funding relinquished to DGS to centralise government accommodation management.</w:t>
      </w:r>
    </w:p>
    <w:p w14:paraId="63C89349" w14:textId="1CF19CF8" w:rsidR="001611CB" w:rsidRDefault="003B1B6F" w:rsidP="003B1B6F">
      <w:pPr>
        <w:pStyle w:val="Note"/>
      </w:pPr>
      <w:r>
        <w:t>(</w:t>
      </w:r>
      <w:r w:rsidR="00943476">
        <w:t>d</w:t>
      </w:r>
      <w:r>
        <w:t>)</w:t>
      </w:r>
      <w:r>
        <w:tab/>
      </w:r>
      <w:r w:rsidR="001611CB">
        <w:t>The higher 2026</w:t>
      </w:r>
      <w:r w:rsidR="00383570">
        <w:t>-</w:t>
      </w:r>
      <w:r w:rsidR="001611CB">
        <w:t xml:space="preserve">27 target is primarily due to funding announced in the </w:t>
      </w:r>
      <w:r w:rsidR="001611CB" w:rsidRPr="003B1B6F">
        <w:rPr>
          <w:i w:val="0"/>
        </w:rPr>
        <w:t>2026-27 Budget</w:t>
      </w:r>
      <w:r w:rsidR="001611CB">
        <w:t xml:space="preserve"> for Sustaining Municipal Essential Services and Strong Governance – Framlingham and Lake Tyers Aboriginal Trusts, and Gellung Warl (replaces the former First Peoples’ Assembly of Victoria) operations.</w:t>
      </w:r>
    </w:p>
    <w:p w14:paraId="20C75148" w14:textId="199F3885" w:rsidR="001611CB" w:rsidRDefault="003B1B6F" w:rsidP="003B1B6F">
      <w:pPr>
        <w:pStyle w:val="Note"/>
      </w:pPr>
      <w:r>
        <w:t>(</w:t>
      </w:r>
      <w:r w:rsidR="00943476">
        <w:t>e</w:t>
      </w:r>
      <w:r>
        <w:t>)</w:t>
      </w:r>
      <w:r>
        <w:tab/>
      </w:r>
      <w:r w:rsidR="001611CB">
        <w:t>The lower 2026</w:t>
      </w:r>
      <w:r w:rsidR="00383570">
        <w:t>-</w:t>
      </w:r>
      <w:r w:rsidR="001611CB">
        <w:t xml:space="preserve">27 target is predominantly due to changes in funding allocations. </w:t>
      </w:r>
    </w:p>
    <w:p w14:paraId="1985F101" w14:textId="595D25A5" w:rsidR="001611CB" w:rsidRDefault="003B1B6F" w:rsidP="003B1B6F">
      <w:pPr>
        <w:pStyle w:val="Note"/>
      </w:pPr>
      <w:r>
        <w:t>(</w:t>
      </w:r>
      <w:r w:rsidR="00943476">
        <w:t>f</w:t>
      </w:r>
      <w:r>
        <w:t>)</w:t>
      </w:r>
      <w:r>
        <w:tab/>
      </w:r>
      <w:r w:rsidR="001611CB">
        <w:t>The higher 2026</w:t>
      </w:r>
      <w:r w:rsidR="00383570">
        <w:t>-</w:t>
      </w:r>
      <w:r w:rsidR="001611CB">
        <w:t xml:space="preserve">27 target is predominantly due to funding to establish the Violence Reduction Unit, including funding announced in the </w:t>
      </w:r>
      <w:r w:rsidR="001611CB" w:rsidRPr="003B1B6F">
        <w:rPr>
          <w:i w:val="0"/>
        </w:rPr>
        <w:t>2026</w:t>
      </w:r>
      <w:r w:rsidR="00383570" w:rsidRPr="003B1B6F">
        <w:rPr>
          <w:i w:val="0"/>
        </w:rPr>
        <w:t>-</w:t>
      </w:r>
      <w:r w:rsidR="001611CB" w:rsidRPr="003B1B6F">
        <w:rPr>
          <w:i w:val="0"/>
        </w:rPr>
        <w:t>27 Budget</w:t>
      </w:r>
      <w:r w:rsidR="001611CB">
        <w:t xml:space="preserve"> for Local Crime Prevention Solutions, and  additional funding for operational priorities and activities.</w:t>
      </w:r>
    </w:p>
    <w:p w14:paraId="427B6F88" w14:textId="0CE420B1" w:rsidR="001611CB" w:rsidRDefault="003B1B6F" w:rsidP="003B1B6F">
      <w:pPr>
        <w:pStyle w:val="Note"/>
      </w:pPr>
      <w:r>
        <w:t>(</w:t>
      </w:r>
      <w:r w:rsidR="00943476">
        <w:t>g</w:t>
      </w:r>
      <w:r>
        <w:t>)</w:t>
      </w:r>
      <w:r>
        <w:tab/>
      </w:r>
      <w:r w:rsidR="001611CB" w:rsidRPr="001C50DC">
        <w:t>The lower 2026</w:t>
      </w:r>
      <w:r w:rsidR="00383570">
        <w:t>-</w:t>
      </w:r>
      <w:r w:rsidR="001611CB" w:rsidRPr="001C50DC">
        <w:t>27 target is primarily due to the impact of savings applied, and funding relinquished to DGS to centralise government accommodation management</w:t>
      </w:r>
      <w:r w:rsidR="001611CB">
        <w:t>.</w:t>
      </w:r>
    </w:p>
    <w:p w14:paraId="147288C7" w14:textId="29212462" w:rsidR="001611CB" w:rsidRDefault="003B1B6F" w:rsidP="003B1B6F">
      <w:pPr>
        <w:pStyle w:val="Note"/>
      </w:pPr>
      <w:r>
        <w:t>(</w:t>
      </w:r>
      <w:r w:rsidR="00943476">
        <w:t>h</w:t>
      </w:r>
      <w:r>
        <w:t>)</w:t>
      </w:r>
      <w:r>
        <w:tab/>
      </w:r>
      <w:r w:rsidR="001611CB" w:rsidRPr="00731D7C">
        <w:t>The lower 2026</w:t>
      </w:r>
      <w:r w:rsidR="00383570">
        <w:t>-</w:t>
      </w:r>
      <w:r w:rsidR="001611CB" w:rsidRPr="00731D7C">
        <w:t>27 target is predominantly due to funding relinquished to DGS to centralise government accommodation management.</w:t>
      </w:r>
    </w:p>
    <w:p w14:paraId="08F60201" w14:textId="569953E8" w:rsidR="001611CB" w:rsidRPr="001C50DC" w:rsidRDefault="003B1B6F" w:rsidP="003B1B6F">
      <w:pPr>
        <w:pStyle w:val="Note"/>
      </w:pPr>
      <w:r>
        <w:t>(</w:t>
      </w:r>
      <w:r w:rsidR="00943476">
        <w:t>i</w:t>
      </w:r>
      <w:r>
        <w:t>)</w:t>
      </w:r>
      <w:r>
        <w:tab/>
      </w:r>
      <w:r w:rsidR="001611CB" w:rsidRPr="001C50DC">
        <w:t>The higher 2026</w:t>
      </w:r>
      <w:r w:rsidR="00383570">
        <w:t>-</w:t>
      </w:r>
      <w:r w:rsidR="001611CB" w:rsidRPr="001C50DC">
        <w:t xml:space="preserve">27 target is predominantly for the delivery of the 2026 </w:t>
      </w:r>
      <w:r w:rsidR="00046FBA">
        <w:t>S</w:t>
      </w:r>
      <w:r w:rsidR="001611CB" w:rsidRPr="001C50DC">
        <w:t xml:space="preserve">tate </w:t>
      </w:r>
      <w:r w:rsidR="00046FBA">
        <w:t>E</w:t>
      </w:r>
      <w:r w:rsidR="001611CB" w:rsidRPr="001C50DC">
        <w:t>lection.</w:t>
      </w:r>
    </w:p>
    <w:p w14:paraId="33EC55F1" w14:textId="77777777" w:rsidR="006E4BB7" w:rsidRDefault="006E4BB7" w:rsidP="006E4BB7">
      <w:pPr>
        <w:pStyle w:val="Heading2"/>
        <w:rPr>
          <w:rFonts w:ascii="Calibri" w:eastAsia="Times New Roman" w:hAnsi="Calibri" w:cs="Times New Roman"/>
          <w:spacing w:val="-2"/>
          <w:sz w:val="26"/>
        </w:rPr>
      </w:pPr>
      <w:r>
        <w:rPr>
          <w:rFonts w:eastAsia="Times New Roman"/>
        </w:rPr>
        <w:t>Amounts available</w:t>
      </w:r>
    </w:p>
    <w:p w14:paraId="0CA9BE05" w14:textId="026E3669" w:rsidR="006E4BB7" w:rsidRDefault="006E4BB7" w:rsidP="006E4BB7">
      <w:pPr>
        <w:rPr>
          <w:rFonts w:ascii="Garamond" w:eastAsia="Garamond" w:hAnsi="Garamond"/>
        </w:rPr>
      </w:pPr>
      <w:r>
        <w:rPr>
          <w:rFonts w:ascii="Garamond" w:eastAsia="Garamond" w:hAnsi="Garamond"/>
        </w:rPr>
        <w:t xml:space="preserve">The following tables detail the amounts available to the </w:t>
      </w:r>
      <w:r w:rsidR="0019028C">
        <w:rPr>
          <w:rFonts w:ascii="Garamond" w:eastAsia="Garamond" w:hAnsi="Garamond"/>
        </w:rPr>
        <w:t>Department</w:t>
      </w:r>
      <w:r>
        <w:rPr>
          <w:rFonts w:ascii="Garamond" w:eastAsia="Garamond" w:hAnsi="Garamond"/>
        </w:rPr>
        <w:t xml:space="preserve"> from parliamentary authority and income generated through transactions.</w:t>
      </w:r>
    </w:p>
    <w:p w14:paraId="66EB7385" w14:textId="60F33773" w:rsidR="006E4BB7" w:rsidRDefault="006E4BB7" w:rsidP="006E4BB7">
      <w:pPr>
        <w:rPr>
          <w:rFonts w:ascii="Garamond" w:eastAsia="Garamond" w:hAnsi="Garamond"/>
        </w:rPr>
      </w:pPr>
      <w:r>
        <w:rPr>
          <w:rFonts w:ascii="Garamond" w:eastAsia="Garamond" w:hAnsi="Garamond"/>
        </w:rPr>
        <w:t>Table 2</w:t>
      </w:r>
      <w:r w:rsidR="0019028C">
        <w:rPr>
          <w:rFonts w:ascii="Garamond" w:eastAsia="Garamond" w:hAnsi="Garamond"/>
        </w:rPr>
        <w:t>3</w:t>
      </w:r>
      <w:r>
        <w:rPr>
          <w:rFonts w:ascii="Garamond" w:eastAsia="Garamond" w:hAnsi="Garamond"/>
        </w:rPr>
        <w:t xml:space="preserve"> outlines the </w:t>
      </w:r>
      <w:r w:rsidR="0019028C">
        <w:rPr>
          <w:rFonts w:ascii="Garamond" w:eastAsia="Garamond" w:hAnsi="Garamond"/>
        </w:rPr>
        <w:t>Department’s</w:t>
      </w:r>
      <w:r>
        <w:rPr>
          <w:rFonts w:ascii="Garamond" w:eastAsia="Garamond" w:hAnsi="Garamond"/>
        </w:rPr>
        <w:t xml:space="preserve"> income from transactions and Table </w:t>
      </w:r>
      <w:r w:rsidR="0019028C">
        <w:rPr>
          <w:rFonts w:ascii="Garamond" w:eastAsia="Garamond" w:hAnsi="Garamond"/>
        </w:rPr>
        <w:t>24</w:t>
      </w:r>
      <w:r>
        <w:rPr>
          <w:rFonts w:ascii="Garamond" w:eastAsia="Garamond" w:hAnsi="Garamond"/>
        </w:rPr>
        <w:t xml:space="preserve"> summarises the sources of parliamentary authority available to the </w:t>
      </w:r>
      <w:r w:rsidR="0019028C">
        <w:rPr>
          <w:rFonts w:ascii="Garamond" w:eastAsia="Garamond" w:hAnsi="Garamond"/>
        </w:rPr>
        <w:t>Department</w:t>
      </w:r>
      <w:r>
        <w:rPr>
          <w:rFonts w:ascii="Garamond" w:eastAsia="Garamond" w:hAnsi="Garamond"/>
        </w:rPr>
        <w:t xml:space="preserve"> to fund the provision of outputs, additions to the net asset base and payments made on behalf of the </w:t>
      </w:r>
      <w:r w:rsidR="0062091C">
        <w:rPr>
          <w:rFonts w:ascii="Garamond" w:eastAsia="Garamond" w:hAnsi="Garamond"/>
        </w:rPr>
        <w:t>S</w:t>
      </w:r>
      <w:r>
        <w:rPr>
          <w:rFonts w:ascii="Garamond" w:eastAsia="Garamond" w:hAnsi="Garamond"/>
        </w:rPr>
        <w:t xml:space="preserve">tate, and other sources expected to become available to the </w:t>
      </w:r>
      <w:r w:rsidR="0019028C">
        <w:rPr>
          <w:rFonts w:ascii="Garamond" w:eastAsia="Garamond" w:hAnsi="Garamond"/>
        </w:rPr>
        <w:t>Department</w:t>
      </w:r>
      <w:r>
        <w:rPr>
          <w:rFonts w:ascii="Garamond" w:eastAsia="Garamond" w:hAnsi="Garamond"/>
        </w:rPr>
        <w:t>.</w:t>
      </w:r>
    </w:p>
    <w:p w14:paraId="29F83D10" w14:textId="77777777" w:rsidR="006A6207" w:rsidRDefault="006A6207" w:rsidP="006A6207">
      <w:pPr>
        <w:pStyle w:val="TableHeading"/>
      </w:pPr>
      <w:r w:rsidRPr="006D14A9">
        <w:t xml:space="preserve">Table </w:t>
      </w:r>
      <w:r w:rsidRPr="006805BB">
        <w:t>2</w:t>
      </w:r>
      <w:r>
        <w:t>3</w:t>
      </w:r>
      <w:r w:rsidRPr="006D14A9">
        <w:t>:</w:t>
      </w:r>
      <w:r w:rsidRPr="006D14A9">
        <w:tab/>
        <w:t>Income from transactions</w:t>
      </w:r>
      <w:r w:rsidRPr="006D14A9">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477D98" w14:paraId="7EDFA74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2F07A" w14:textId="77777777" w:rsidR="00477D98" w:rsidRDefault="00477D98"/>
        </w:tc>
        <w:tc>
          <w:tcPr>
            <w:tcW w:w="851" w:type="dxa"/>
          </w:tcPr>
          <w:p w14:paraId="7F503562" w14:textId="77777777" w:rsidR="00477D98" w:rsidRDefault="00477D98">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431CF23A" w14:textId="77777777" w:rsidR="00477D98" w:rsidRDefault="00477D98">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48857E33" w14:textId="77777777" w:rsidR="00477D98" w:rsidRDefault="00477D98">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44475048" w14:textId="77777777" w:rsidR="00477D98" w:rsidRDefault="00477D98">
            <w:pPr>
              <w:cnfStyle w:val="100000000000" w:firstRow="1" w:lastRow="0" w:firstColumn="0" w:lastColumn="0" w:oddVBand="0" w:evenVBand="0" w:oddHBand="0" w:evenHBand="0" w:firstRowFirstColumn="0" w:firstRowLastColumn="0" w:lastRowFirstColumn="0" w:lastRowLastColumn="0"/>
            </w:pPr>
            <w:r>
              <w:t>2026-27 budget</w:t>
            </w:r>
          </w:p>
        </w:tc>
      </w:tr>
      <w:tr w:rsidR="00477D98" w:rsidRPr="00BF1534" w14:paraId="4D9E31E4"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520654B" w14:textId="77777777" w:rsidR="00477D98" w:rsidRPr="00BF1534" w:rsidRDefault="00477D98">
            <w:pPr>
              <w:rPr>
                <w:lang w:eastAsia="en-AU"/>
              </w:rPr>
            </w:pPr>
            <w:r w:rsidRPr="00BF1534">
              <w:rPr>
                <w:lang w:eastAsia="en-AU"/>
              </w:rPr>
              <w:t>Output appropriations</w:t>
            </w:r>
          </w:p>
        </w:tc>
        <w:tc>
          <w:tcPr>
            <w:tcW w:w="851" w:type="dxa"/>
            <w:noWrap/>
            <w:hideMark/>
          </w:tcPr>
          <w:p w14:paraId="26DAD1AE"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404.9</w:t>
            </w:r>
          </w:p>
        </w:tc>
        <w:tc>
          <w:tcPr>
            <w:tcW w:w="851" w:type="dxa"/>
            <w:noWrap/>
            <w:hideMark/>
          </w:tcPr>
          <w:p w14:paraId="33AAB51D"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318.1</w:t>
            </w:r>
          </w:p>
        </w:tc>
        <w:tc>
          <w:tcPr>
            <w:tcW w:w="851" w:type="dxa"/>
            <w:noWrap/>
            <w:hideMark/>
          </w:tcPr>
          <w:p w14:paraId="36F2D627"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374.1</w:t>
            </w:r>
          </w:p>
        </w:tc>
        <w:tc>
          <w:tcPr>
            <w:tcW w:w="851" w:type="dxa"/>
            <w:noWrap/>
            <w:hideMark/>
          </w:tcPr>
          <w:p w14:paraId="1D0E6DFD"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291.1</w:t>
            </w:r>
          </w:p>
        </w:tc>
      </w:tr>
      <w:tr w:rsidR="00477D98" w:rsidRPr="00BF1534" w14:paraId="1908BEA6"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CCD65" w14:textId="26E647C7" w:rsidR="00477D98" w:rsidRPr="00BF1534" w:rsidRDefault="00477D98">
            <w:pPr>
              <w:rPr>
                <w:lang w:eastAsia="en-AU"/>
              </w:rPr>
            </w:pPr>
            <w:r w:rsidRPr="00BF1534">
              <w:rPr>
                <w:lang w:eastAsia="en-AU"/>
              </w:rPr>
              <w:t>Special appropriations</w:t>
            </w:r>
          </w:p>
        </w:tc>
        <w:tc>
          <w:tcPr>
            <w:tcW w:w="851" w:type="dxa"/>
            <w:noWrap/>
            <w:hideMark/>
          </w:tcPr>
          <w:p w14:paraId="3F90862A"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146.8</w:t>
            </w:r>
          </w:p>
        </w:tc>
        <w:tc>
          <w:tcPr>
            <w:tcW w:w="851" w:type="dxa"/>
            <w:noWrap/>
            <w:hideMark/>
          </w:tcPr>
          <w:p w14:paraId="2677D75F"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86.9</w:t>
            </w:r>
          </w:p>
        </w:tc>
        <w:tc>
          <w:tcPr>
            <w:tcW w:w="851" w:type="dxa"/>
            <w:noWrap/>
            <w:hideMark/>
          </w:tcPr>
          <w:p w14:paraId="5E8E1061"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112.9</w:t>
            </w:r>
          </w:p>
        </w:tc>
        <w:tc>
          <w:tcPr>
            <w:tcW w:w="851" w:type="dxa"/>
            <w:noWrap/>
            <w:hideMark/>
          </w:tcPr>
          <w:p w14:paraId="0B175446"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188.3</w:t>
            </w:r>
          </w:p>
        </w:tc>
      </w:tr>
      <w:tr w:rsidR="00477D98" w:rsidRPr="00BF1534" w14:paraId="7F4D811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F86A923" w14:textId="77777777" w:rsidR="00477D98" w:rsidRPr="00BF1534" w:rsidRDefault="00477D98">
            <w:pPr>
              <w:rPr>
                <w:lang w:eastAsia="en-AU"/>
              </w:rPr>
            </w:pPr>
            <w:r w:rsidRPr="00BF1534">
              <w:rPr>
                <w:lang w:eastAsia="en-AU"/>
              </w:rPr>
              <w:t>Interest</w:t>
            </w:r>
          </w:p>
        </w:tc>
        <w:tc>
          <w:tcPr>
            <w:tcW w:w="851" w:type="dxa"/>
            <w:noWrap/>
            <w:hideMark/>
          </w:tcPr>
          <w:p w14:paraId="6C13A4D0"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0.1</w:t>
            </w:r>
          </w:p>
        </w:tc>
        <w:tc>
          <w:tcPr>
            <w:tcW w:w="851" w:type="dxa"/>
            <w:noWrap/>
            <w:hideMark/>
          </w:tcPr>
          <w:p w14:paraId="48A6BE91"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noWrap/>
            <w:hideMark/>
          </w:tcPr>
          <w:p w14:paraId="3FE99605"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noWrap/>
            <w:hideMark/>
          </w:tcPr>
          <w:p w14:paraId="7F2D1362"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477D98" w:rsidRPr="00BF1534" w14:paraId="07798FD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B5D9416" w14:textId="77777777" w:rsidR="00477D98" w:rsidRPr="00BF1534" w:rsidRDefault="00477D98">
            <w:pPr>
              <w:rPr>
                <w:lang w:eastAsia="en-AU"/>
              </w:rPr>
            </w:pPr>
            <w:r w:rsidRPr="00BF1534">
              <w:rPr>
                <w:lang w:eastAsia="en-AU"/>
              </w:rPr>
              <w:t>Sales of goods and services</w:t>
            </w:r>
          </w:p>
        </w:tc>
        <w:tc>
          <w:tcPr>
            <w:tcW w:w="851" w:type="dxa"/>
            <w:noWrap/>
            <w:hideMark/>
          </w:tcPr>
          <w:p w14:paraId="3006F645"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7.3</w:t>
            </w:r>
          </w:p>
        </w:tc>
        <w:tc>
          <w:tcPr>
            <w:tcW w:w="851" w:type="dxa"/>
            <w:noWrap/>
            <w:hideMark/>
          </w:tcPr>
          <w:p w14:paraId="16228C96"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9.8</w:t>
            </w:r>
          </w:p>
        </w:tc>
        <w:tc>
          <w:tcPr>
            <w:tcW w:w="851" w:type="dxa"/>
            <w:noWrap/>
            <w:hideMark/>
          </w:tcPr>
          <w:p w14:paraId="46780FF6"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9.8</w:t>
            </w:r>
          </w:p>
        </w:tc>
        <w:tc>
          <w:tcPr>
            <w:tcW w:w="851" w:type="dxa"/>
            <w:noWrap/>
            <w:hideMark/>
          </w:tcPr>
          <w:p w14:paraId="0709366C"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9.8</w:t>
            </w:r>
          </w:p>
        </w:tc>
      </w:tr>
      <w:tr w:rsidR="00477D98" w:rsidRPr="00BF1534" w14:paraId="25EB5555"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D903DAA" w14:textId="77777777" w:rsidR="00477D98" w:rsidRPr="00BF1534" w:rsidRDefault="00477D98">
            <w:pPr>
              <w:rPr>
                <w:lang w:eastAsia="en-AU"/>
              </w:rPr>
            </w:pPr>
            <w:r w:rsidRPr="00BF1534">
              <w:rPr>
                <w:lang w:eastAsia="en-AU"/>
              </w:rPr>
              <w:t>Grants</w:t>
            </w:r>
          </w:p>
        </w:tc>
        <w:tc>
          <w:tcPr>
            <w:tcW w:w="851" w:type="dxa"/>
            <w:noWrap/>
            <w:hideMark/>
          </w:tcPr>
          <w:p w14:paraId="019A87B1"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16.4</w:t>
            </w:r>
          </w:p>
        </w:tc>
        <w:tc>
          <w:tcPr>
            <w:tcW w:w="851" w:type="dxa"/>
            <w:noWrap/>
            <w:hideMark/>
          </w:tcPr>
          <w:p w14:paraId="2054381E"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16.0</w:t>
            </w:r>
          </w:p>
        </w:tc>
        <w:tc>
          <w:tcPr>
            <w:tcW w:w="851" w:type="dxa"/>
            <w:noWrap/>
            <w:hideMark/>
          </w:tcPr>
          <w:p w14:paraId="59F98DD2"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16.8</w:t>
            </w:r>
          </w:p>
        </w:tc>
        <w:tc>
          <w:tcPr>
            <w:tcW w:w="851" w:type="dxa"/>
            <w:noWrap/>
            <w:hideMark/>
          </w:tcPr>
          <w:p w14:paraId="55C29C19"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16.6</w:t>
            </w:r>
          </w:p>
        </w:tc>
      </w:tr>
      <w:tr w:rsidR="00477D98" w:rsidRPr="00BF1534" w14:paraId="3128E51F"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0356715" w14:textId="77777777" w:rsidR="00477D98" w:rsidRPr="00BF1534" w:rsidRDefault="00477D98">
            <w:pPr>
              <w:rPr>
                <w:lang w:eastAsia="en-AU"/>
              </w:rPr>
            </w:pPr>
            <w:r w:rsidRPr="00BF1534">
              <w:rPr>
                <w:lang w:eastAsia="en-AU"/>
              </w:rPr>
              <w:t>Fair value of assets and services received free of charge or for nominal consideration</w:t>
            </w:r>
          </w:p>
        </w:tc>
        <w:tc>
          <w:tcPr>
            <w:tcW w:w="851" w:type="dxa"/>
            <w:noWrap/>
            <w:hideMark/>
          </w:tcPr>
          <w:p w14:paraId="2BC07C3A"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11.5</w:t>
            </w:r>
          </w:p>
        </w:tc>
        <w:tc>
          <w:tcPr>
            <w:tcW w:w="851" w:type="dxa"/>
            <w:noWrap/>
            <w:hideMark/>
          </w:tcPr>
          <w:p w14:paraId="126A909E"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28.6</w:t>
            </w:r>
          </w:p>
        </w:tc>
        <w:tc>
          <w:tcPr>
            <w:tcW w:w="851" w:type="dxa"/>
            <w:noWrap/>
            <w:hideMark/>
          </w:tcPr>
          <w:p w14:paraId="1D3AC52F"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28.6</w:t>
            </w:r>
          </w:p>
        </w:tc>
        <w:tc>
          <w:tcPr>
            <w:tcW w:w="851" w:type="dxa"/>
            <w:noWrap/>
            <w:hideMark/>
          </w:tcPr>
          <w:p w14:paraId="72AB4FFF"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28.6</w:t>
            </w:r>
          </w:p>
        </w:tc>
      </w:tr>
      <w:tr w:rsidR="00477D98" w:rsidRPr="00BF1534" w14:paraId="3D684483" w14:textId="77777777" w:rsidTr="00FF1725">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08EA96EE" w14:textId="77777777" w:rsidR="00477D98" w:rsidRPr="00BF1534" w:rsidRDefault="00477D98">
            <w:pPr>
              <w:rPr>
                <w:lang w:eastAsia="en-AU"/>
              </w:rPr>
            </w:pPr>
            <w:r w:rsidRPr="00BF1534">
              <w:rPr>
                <w:lang w:eastAsia="en-AU"/>
              </w:rPr>
              <w:t>Other income</w:t>
            </w:r>
          </w:p>
        </w:tc>
        <w:tc>
          <w:tcPr>
            <w:tcW w:w="851" w:type="dxa"/>
            <w:tcBorders>
              <w:bottom w:val="single" w:sz="6" w:space="0" w:color="auto"/>
            </w:tcBorders>
            <w:noWrap/>
            <w:hideMark/>
          </w:tcPr>
          <w:p w14:paraId="2AACD293"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6.2</w:t>
            </w:r>
          </w:p>
        </w:tc>
        <w:tc>
          <w:tcPr>
            <w:tcW w:w="851" w:type="dxa"/>
            <w:tcBorders>
              <w:bottom w:val="single" w:sz="6" w:space="0" w:color="auto"/>
            </w:tcBorders>
            <w:noWrap/>
            <w:hideMark/>
          </w:tcPr>
          <w:p w14:paraId="43170806"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0.2</w:t>
            </w:r>
          </w:p>
        </w:tc>
        <w:tc>
          <w:tcPr>
            <w:tcW w:w="851" w:type="dxa"/>
            <w:tcBorders>
              <w:bottom w:val="single" w:sz="6" w:space="0" w:color="auto"/>
            </w:tcBorders>
            <w:noWrap/>
            <w:hideMark/>
          </w:tcPr>
          <w:p w14:paraId="659BB7FA"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0.3</w:t>
            </w:r>
          </w:p>
        </w:tc>
        <w:tc>
          <w:tcPr>
            <w:tcW w:w="851" w:type="dxa"/>
            <w:tcBorders>
              <w:bottom w:val="single" w:sz="6" w:space="0" w:color="auto"/>
            </w:tcBorders>
            <w:noWrap/>
            <w:hideMark/>
          </w:tcPr>
          <w:p w14:paraId="21EDDDF2" w14:textId="77777777" w:rsidR="00477D98" w:rsidRPr="00BF1534" w:rsidRDefault="00477D98">
            <w:pPr>
              <w:cnfStyle w:val="000000000000" w:firstRow="0" w:lastRow="0" w:firstColumn="0" w:lastColumn="0" w:oddVBand="0" w:evenVBand="0" w:oddHBand="0" w:evenHBand="0" w:firstRowFirstColumn="0" w:firstRowLastColumn="0" w:lastRowFirstColumn="0" w:lastRowLastColumn="0"/>
              <w:rPr>
                <w:lang w:eastAsia="en-AU"/>
              </w:rPr>
            </w:pPr>
            <w:r w:rsidRPr="00BF1534">
              <w:rPr>
                <w:lang w:eastAsia="en-AU"/>
              </w:rPr>
              <w:t>..</w:t>
            </w:r>
          </w:p>
        </w:tc>
      </w:tr>
      <w:tr w:rsidR="00477D98" w:rsidRPr="00BF1534" w14:paraId="74C19A3F" w14:textId="77777777" w:rsidTr="00FF1725">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41926E3" w14:textId="77777777" w:rsidR="00477D98" w:rsidRPr="00BF1534" w:rsidRDefault="00477D98">
            <w:pPr>
              <w:rPr>
                <w:lang w:eastAsia="en-AU"/>
              </w:rPr>
            </w:pPr>
            <w:r w:rsidRPr="00BF1534">
              <w:rPr>
                <w:lang w:eastAsia="en-AU"/>
              </w:rPr>
              <w:t>Total income from transactions</w:t>
            </w:r>
          </w:p>
        </w:tc>
        <w:tc>
          <w:tcPr>
            <w:tcW w:w="851" w:type="dxa"/>
            <w:noWrap/>
            <w:hideMark/>
          </w:tcPr>
          <w:p w14:paraId="33F5AF61" w14:textId="77777777" w:rsidR="00477D98" w:rsidRPr="00BF1534" w:rsidRDefault="00477D98">
            <w:pPr>
              <w:cnfStyle w:val="010000000000" w:firstRow="0" w:lastRow="1" w:firstColumn="0" w:lastColumn="0" w:oddVBand="0" w:evenVBand="0" w:oddHBand="0" w:evenHBand="0" w:firstRowFirstColumn="0" w:firstRowLastColumn="0" w:lastRowFirstColumn="0" w:lastRowLastColumn="0"/>
              <w:rPr>
                <w:lang w:eastAsia="en-AU"/>
              </w:rPr>
            </w:pPr>
            <w:r w:rsidRPr="00BF1534">
              <w:rPr>
                <w:lang w:eastAsia="en-AU"/>
              </w:rPr>
              <w:t>593.2</w:t>
            </w:r>
          </w:p>
        </w:tc>
        <w:tc>
          <w:tcPr>
            <w:tcW w:w="851" w:type="dxa"/>
            <w:noWrap/>
            <w:hideMark/>
          </w:tcPr>
          <w:p w14:paraId="7355D8B4" w14:textId="77777777" w:rsidR="00477D98" w:rsidRPr="00BF1534" w:rsidRDefault="00477D98">
            <w:pPr>
              <w:cnfStyle w:val="010000000000" w:firstRow="0" w:lastRow="1" w:firstColumn="0" w:lastColumn="0" w:oddVBand="0" w:evenVBand="0" w:oddHBand="0" w:evenHBand="0" w:firstRowFirstColumn="0" w:firstRowLastColumn="0" w:lastRowFirstColumn="0" w:lastRowLastColumn="0"/>
              <w:rPr>
                <w:lang w:eastAsia="en-AU"/>
              </w:rPr>
            </w:pPr>
            <w:r w:rsidRPr="00BF1534">
              <w:rPr>
                <w:lang w:eastAsia="en-AU"/>
              </w:rPr>
              <w:t>459.7</w:t>
            </w:r>
          </w:p>
        </w:tc>
        <w:tc>
          <w:tcPr>
            <w:tcW w:w="851" w:type="dxa"/>
            <w:noWrap/>
            <w:hideMark/>
          </w:tcPr>
          <w:p w14:paraId="3F6761A2" w14:textId="77777777" w:rsidR="00477D98" w:rsidRPr="00BF1534" w:rsidRDefault="00477D98">
            <w:pPr>
              <w:cnfStyle w:val="010000000000" w:firstRow="0" w:lastRow="1" w:firstColumn="0" w:lastColumn="0" w:oddVBand="0" w:evenVBand="0" w:oddHBand="0" w:evenHBand="0" w:firstRowFirstColumn="0" w:firstRowLastColumn="0" w:lastRowFirstColumn="0" w:lastRowLastColumn="0"/>
              <w:rPr>
                <w:lang w:eastAsia="en-AU"/>
              </w:rPr>
            </w:pPr>
            <w:r w:rsidRPr="00BF1534">
              <w:rPr>
                <w:lang w:eastAsia="en-AU"/>
              </w:rPr>
              <w:t>542.7</w:t>
            </w:r>
          </w:p>
        </w:tc>
        <w:tc>
          <w:tcPr>
            <w:tcW w:w="851" w:type="dxa"/>
            <w:noWrap/>
            <w:hideMark/>
          </w:tcPr>
          <w:p w14:paraId="7C196195" w14:textId="77777777" w:rsidR="00477D98" w:rsidRPr="00BF1534" w:rsidRDefault="00477D98">
            <w:pPr>
              <w:cnfStyle w:val="010000000000" w:firstRow="0" w:lastRow="1" w:firstColumn="0" w:lastColumn="0" w:oddVBand="0" w:evenVBand="0" w:oddHBand="0" w:evenHBand="0" w:firstRowFirstColumn="0" w:firstRowLastColumn="0" w:lastRowFirstColumn="0" w:lastRowLastColumn="0"/>
              <w:rPr>
                <w:lang w:eastAsia="en-AU"/>
              </w:rPr>
            </w:pPr>
            <w:r w:rsidRPr="00BF1534">
              <w:rPr>
                <w:lang w:eastAsia="en-AU"/>
              </w:rPr>
              <w:t>534.4</w:t>
            </w:r>
          </w:p>
        </w:tc>
      </w:tr>
    </w:tbl>
    <w:p w14:paraId="42474C50" w14:textId="77777777" w:rsidR="00477D98" w:rsidRDefault="00477D98" w:rsidP="00477D98">
      <w:pPr>
        <w:pStyle w:val="Source"/>
      </w:pPr>
      <w:r>
        <w:t>Source: Department of Premier and Cabinet</w:t>
      </w:r>
    </w:p>
    <w:p w14:paraId="2B0F66BF" w14:textId="77777777" w:rsidR="006A6207" w:rsidRDefault="006A6207" w:rsidP="006A6207"/>
    <w:p w14:paraId="3EAFFB86" w14:textId="77777777" w:rsidR="00FF1725" w:rsidRDefault="00FF1725">
      <w:pPr>
        <w:keepLines w:val="0"/>
        <w:rPr>
          <w:rFonts w:ascii="Calibri" w:eastAsia="Garamond" w:hAnsi="Calibri"/>
          <w:b/>
          <w:iCs/>
          <w:sz w:val="20"/>
          <w:szCs w:val="18"/>
        </w:rPr>
      </w:pPr>
      <w:r>
        <w:br w:type="page"/>
      </w:r>
    </w:p>
    <w:p w14:paraId="334B4669" w14:textId="77777777" w:rsidR="006A6207" w:rsidRPr="00154713" w:rsidRDefault="006A6207" w:rsidP="006A6207">
      <w:pPr>
        <w:pStyle w:val="TableHeading"/>
      </w:pPr>
      <w:r w:rsidRPr="00154713">
        <w:lastRenderedPageBreak/>
        <w:t xml:space="preserve">Table </w:t>
      </w:r>
      <w:r w:rsidRPr="006805BB">
        <w:t>2</w:t>
      </w:r>
      <w:r>
        <w:t>4</w:t>
      </w:r>
      <w:r w:rsidRPr="00154713">
        <w:t>:</w:t>
      </w:r>
      <w:r w:rsidRPr="00154713">
        <w:tab/>
        <w:t>Parliamentary authority for resources</w:t>
      </w:r>
      <w:r w:rsidRPr="00154713">
        <w:tab/>
        <w:t>($ million)</w:t>
      </w:r>
    </w:p>
    <w:tbl>
      <w:tblPr>
        <w:tblStyle w:val="DTFTableNumeric"/>
        <w:tblW w:w="5000" w:type="pct"/>
        <w:tblLook w:val="06E0" w:firstRow="1" w:lastRow="1" w:firstColumn="1" w:lastColumn="0" w:noHBand="1" w:noVBand="1"/>
      </w:tblPr>
      <w:tblGrid>
        <w:gridCol w:w="6658"/>
        <w:gridCol w:w="991"/>
        <w:gridCol w:w="991"/>
        <w:gridCol w:w="991"/>
      </w:tblGrid>
      <w:tr w:rsidR="00FF06E7" w14:paraId="28F7E2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0FE20" w14:textId="77777777" w:rsidR="00FF06E7" w:rsidRDefault="00FF06E7"/>
        </w:tc>
        <w:tc>
          <w:tcPr>
            <w:tcW w:w="992" w:type="dxa"/>
          </w:tcPr>
          <w:p w14:paraId="5F91E76B" w14:textId="77777777" w:rsidR="00FF06E7" w:rsidRDefault="00FF06E7">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7B67CCE2" w14:textId="77777777" w:rsidR="00FF06E7" w:rsidRDefault="00FF06E7">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582BF236" w14:textId="77777777" w:rsidR="00FF06E7" w:rsidRDefault="00FF06E7">
            <w:pPr>
              <w:cnfStyle w:val="100000000000" w:firstRow="1" w:lastRow="0" w:firstColumn="0" w:lastColumn="0" w:oddVBand="0" w:evenVBand="0" w:oddHBand="0" w:evenHBand="0" w:firstRowFirstColumn="0" w:firstRowLastColumn="0" w:lastRowFirstColumn="0" w:lastRowLastColumn="0"/>
            </w:pPr>
            <w:r>
              <w:t>2026-27 budget</w:t>
            </w:r>
          </w:p>
        </w:tc>
      </w:tr>
      <w:tr w:rsidR="00FF06E7" w:rsidRPr="0041440C" w14:paraId="11A90C17" w14:textId="77777777" w:rsidTr="00FF06E7">
        <w:trPr>
          <w:trHeight w:val="80"/>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8A7DDCB" w14:textId="77777777" w:rsidR="00FF06E7" w:rsidRPr="0041440C" w:rsidRDefault="00FF06E7">
            <w:pPr>
              <w:rPr>
                <w:b/>
                <w:bCs/>
                <w:lang w:eastAsia="en-AU"/>
              </w:rPr>
            </w:pPr>
            <w:r w:rsidRPr="0041440C">
              <w:rPr>
                <w:b/>
                <w:bCs/>
                <w:lang w:eastAsia="en-AU"/>
              </w:rPr>
              <w:t>Annual appropriations</w:t>
            </w:r>
          </w:p>
        </w:tc>
        <w:tc>
          <w:tcPr>
            <w:tcW w:w="992" w:type="dxa"/>
            <w:noWrap/>
            <w:hideMark/>
          </w:tcPr>
          <w:p w14:paraId="6AF4A31D"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318.1</w:t>
            </w:r>
          </w:p>
        </w:tc>
        <w:tc>
          <w:tcPr>
            <w:tcW w:w="992" w:type="dxa"/>
            <w:noWrap/>
            <w:hideMark/>
          </w:tcPr>
          <w:p w14:paraId="46227EBB"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370.7</w:t>
            </w:r>
          </w:p>
        </w:tc>
        <w:tc>
          <w:tcPr>
            <w:tcW w:w="992" w:type="dxa"/>
            <w:noWrap/>
            <w:hideMark/>
          </w:tcPr>
          <w:p w14:paraId="346494B1"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291.1</w:t>
            </w:r>
          </w:p>
        </w:tc>
      </w:tr>
      <w:tr w:rsidR="00FF06E7" w:rsidRPr="0041440C" w14:paraId="59BDD53C"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D419444" w14:textId="6B5C59D5" w:rsidR="00FF06E7" w:rsidRPr="0041440C" w:rsidRDefault="00FF06E7">
            <w:pPr>
              <w:rPr>
                <w:lang w:eastAsia="en-AU"/>
              </w:rPr>
            </w:pPr>
            <w:r w:rsidRPr="0041440C">
              <w:rPr>
                <w:lang w:eastAsia="en-AU"/>
              </w:rPr>
              <w:t>Provision of outputs</w:t>
            </w:r>
          </w:p>
        </w:tc>
        <w:tc>
          <w:tcPr>
            <w:tcW w:w="992" w:type="dxa"/>
            <w:noWrap/>
            <w:hideMark/>
          </w:tcPr>
          <w:p w14:paraId="77E1BA3C"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318.1</w:t>
            </w:r>
          </w:p>
        </w:tc>
        <w:tc>
          <w:tcPr>
            <w:tcW w:w="992" w:type="dxa"/>
            <w:noWrap/>
            <w:hideMark/>
          </w:tcPr>
          <w:p w14:paraId="29B27F38"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370.7</w:t>
            </w:r>
          </w:p>
        </w:tc>
        <w:tc>
          <w:tcPr>
            <w:tcW w:w="992" w:type="dxa"/>
            <w:noWrap/>
            <w:hideMark/>
          </w:tcPr>
          <w:p w14:paraId="3FC73EB7"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291.1</w:t>
            </w:r>
          </w:p>
        </w:tc>
      </w:tr>
      <w:tr w:rsidR="00FF06E7" w:rsidRPr="0041440C" w14:paraId="2D636EC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AA4812" w14:textId="77777777" w:rsidR="00FF06E7" w:rsidRPr="0041440C" w:rsidRDefault="00FF06E7">
            <w:pPr>
              <w:rPr>
                <w:b/>
                <w:bCs/>
                <w:lang w:eastAsia="en-AU"/>
              </w:rPr>
            </w:pPr>
            <w:r w:rsidRPr="0041440C">
              <w:rPr>
                <w:b/>
                <w:bCs/>
                <w:lang w:eastAsia="en-AU"/>
              </w:rPr>
              <w:t>Receipts credited to appropriations</w:t>
            </w:r>
          </w:p>
        </w:tc>
        <w:tc>
          <w:tcPr>
            <w:tcW w:w="992" w:type="dxa"/>
            <w:noWrap/>
            <w:hideMark/>
          </w:tcPr>
          <w:p w14:paraId="399BBC3F"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w:t>
            </w:r>
          </w:p>
        </w:tc>
        <w:tc>
          <w:tcPr>
            <w:tcW w:w="992" w:type="dxa"/>
            <w:noWrap/>
            <w:hideMark/>
          </w:tcPr>
          <w:p w14:paraId="26919155"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0.8</w:t>
            </w:r>
          </w:p>
        </w:tc>
        <w:tc>
          <w:tcPr>
            <w:tcW w:w="992" w:type="dxa"/>
            <w:noWrap/>
            <w:hideMark/>
          </w:tcPr>
          <w:p w14:paraId="3981388E"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w:t>
            </w:r>
          </w:p>
        </w:tc>
      </w:tr>
      <w:tr w:rsidR="00FF06E7" w:rsidRPr="0041440C" w14:paraId="7C020DF0"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A9DEEA2" w14:textId="77777777" w:rsidR="00FF06E7" w:rsidRPr="0041440C" w:rsidRDefault="00FF06E7">
            <w:pPr>
              <w:rPr>
                <w:b/>
                <w:bCs/>
                <w:lang w:eastAsia="en-AU"/>
              </w:rPr>
            </w:pPr>
            <w:r w:rsidRPr="0041440C">
              <w:rPr>
                <w:b/>
                <w:bCs/>
                <w:lang w:eastAsia="en-AU"/>
              </w:rPr>
              <w:t>Unapplied previous years appropriation</w:t>
            </w:r>
          </w:p>
        </w:tc>
        <w:tc>
          <w:tcPr>
            <w:tcW w:w="992" w:type="dxa"/>
            <w:noWrap/>
            <w:hideMark/>
          </w:tcPr>
          <w:p w14:paraId="77D89FFB"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w:t>
            </w:r>
          </w:p>
        </w:tc>
        <w:tc>
          <w:tcPr>
            <w:tcW w:w="992" w:type="dxa"/>
            <w:noWrap/>
            <w:hideMark/>
          </w:tcPr>
          <w:p w14:paraId="4C7E45F0"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2.6</w:t>
            </w:r>
          </w:p>
        </w:tc>
        <w:tc>
          <w:tcPr>
            <w:tcW w:w="992" w:type="dxa"/>
            <w:noWrap/>
            <w:hideMark/>
          </w:tcPr>
          <w:p w14:paraId="234DD571"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w:t>
            </w:r>
          </w:p>
        </w:tc>
      </w:tr>
      <w:tr w:rsidR="00FF06E7" w:rsidRPr="0041440C" w14:paraId="13AB6B14"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DDB1BC" w14:textId="77777777" w:rsidR="00FF06E7" w:rsidRPr="0041440C" w:rsidRDefault="00FF06E7">
            <w:pPr>
              <w:rPr>
                <w:lang w:eastAsia="en-AU"/>
              </w:rPr>
            </w:pPr>
            <w:r w:rsidRPr="0041440C">
              <w:rPr>
                <w:lang w:eastAsia="en-AU"/>
              </w:rPr>
              <w:t>Provision of outputs</w:t>
            </w:r>
          </w:p>
        </w:tc>
        <w:tc>
          <w:tcPr>
            <w:tcW w:w="992" w:type="dxa"/>
            <w:noWrap/>
            <w:hideMark/>
          </w:tcPr>
          <w:p w14:paraId="54F87BBF"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w:t>
            </w:r>
          </w:p>
        </w:tc>
        <w:tc>
          <w:tcPr>
            <w:tcW w:w="992" w:type="dxa"/>
            <w:noWrap/>
            <w:hideMark/>
          </w:tcPr>
          <w:p w14:paraId="5BB0315E"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2.6</w:t>
            </w:r>
          </w:p>
        </w:tc>
        <w:tc>
          <w:tcPr>
            <w:tcW w:w="992" w:type="dxa"/>
            <w:noWrap/>
            <w:hideMark/>
          </w:tcPr>
          <w:p w14:paraId="1162BAF8"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w:t>
            </w:r>
          </w:p>
        </w:tc>
      </w:tr>
      <w:tr w:rsidR="00FF06E7" w:rsidRPr="0041440C" w14:paraId="6845C8C8"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32378D79" w14:textId="77777777" w:rsidR="00FF06E7" w:rsidRPr="0041440C" w:rsidRDefault="00FF06E7">
            <w:pPr>
              <w:rPr>
                <w:b/>
                <w:bCs/>
                <w:lang w:eastAsia="en-AU"/>
              </w:rPr>
            </w:pPr>
            <w:r w:rsidRPr="0041440C">
              <w:rPr>
                <w:b/>
                <w:bCs/>
                <w:lang w:eastAsia="en-AU"/>
              </w:rPr>
              <w:t>Gross annual appropriation</w:t>
            </w:r>
          </w:p>
        </w:tc>
        <w:tc>
          <w:tcPr>
            <w:tcW w:w="992" w:type="dxa"/>
            <w:tcBorders>
              <w:top w:val="single" w:sz="6" w:space="0" w:color="auto"/>
            </w:tcBorders>
            <w:noWrap/>
            <w:hideMark/>
          </w:tcPr>
          <w:p w14:paraId="183B1F12"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318.1</w:t>
            </w:r>
          </w:p>
        </w:tc>
        <w:tc>
          <w:tcPr>
            <w:tcW w:w="992" w:type="dxa"/>
            <w:tcBorders>
              <w:top w:val="single" w:sz="6" w:space="0" w:color="auto"/>
            </w:tcBorders>
            <w:noWrap/>
            <w:hideMark/>
          </w:tcPr>
          <w:p w14:paraId="2F23AD49"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374.1</w:t>
            </w:r>
          </w:p>
        </w:tc>
        <w:tc>
          <w:tcPr>
            <w:tcW w:w="992" w:type="dxa"/>
            <w:tcBorders>
              <w:top w:val="single" w:sz="6" w:space="0" w:color="auto"/>
            </w:tcBorders>
            <w:noWrap/>
            <w:hideMark/>
          </w:tcPr>
          <w:p w14:paraId="06BBA8C2"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291.1</w:t>
            </w:r>
          </w:p>
        </w:tc>
      </w:tr>
      <w:tr w:rsidR="00FF06E7" w:rsidRPr="0041440C" w14:paraId="1585A73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834843C" w14:textId="77777777" w:rsidR="00FF06E7" w:rsidRPr="0041440C" w:rsidRDefault="00FF06E7">
            <w:pPr>
              <w:rPr>
                <w:b/>
                <w:bCs/>
                <w:lang w:eastAsia="en-AU"/>
              </w:rPr>
            </w:pPr>
            <w:r w:rsidRPr="0041440C">
              <w:rPr>
                <w:b/>
                <w:bCs/>
                <w:lang w:eastAsia="en-AU"/>
              </w:rPr>
              <w:t>Special appropriations</w:t>
            </w:r>
          </w:p>
        </w:tc>
        <w:tc>
          <w:tcPr>
            <w:tcW w:w="992" w:type="dxa"/>
            <w:noWrap/>
            <w:hideMark/>
          </w:tcPr>
          <w:p w14:paraId="71C1DAFE"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112.2</w:t>
            </w:r>
          </w:p>
        </w:tc>
        <w:tc>
          <w:tcPr>
            <w:tcW w:w="992" w:type="dxa"/>
            <w:noWrap/>
            <w:hideMark/>
          </w:tcPr>
          <w:p w14:paraId="34FB4360"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139.5</w:t>
            </w:r>
          </w:p>
        </w:tc>
        <w:tc>
          <w:tcPr>
            <w:tcW w:w="992" w:type="dxa"/>
            <w:noWrap/>
            <w:hideMark/>
          </w:tcPr>
          <w:p w14:paraId="26549284"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206.8</w:t>
            </w:r>
          </w:p>
        </w:tc>
      </w:tr>
      <w:tr w:rsidR="00FF06E7" w:rsidRPr="0041440C" w14:paraId="02E122A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36D044F" w14:textId="77777777" w:rsidR="00FF06E7" w:rsidRPr="0041440C" w:rsidRDefault="00FF06E7">
            <w:pPr>
              <w:rPr>
                <w:b/>
                <w:bCs/>
                <w:lang w:eastAsia="en-AU"/>
              </w:rPr>
            </w:pPr>
            <w:r w:rsidRPr="0041440C">
              <w:rPr>
                <w:b/>
                <w:bCs/>
                <w:lang w:eastAsia="en-AU"/>
              </w:rPr>
              <w:t>Trust funds</w:t>
            </w:r>
          </w:p>
        </w:tc>
        <w:tc>
          <w:tcPr>
            <w:tcW w:w="992" w:type="dxa"/>
            <w:noWrap/>
            <w:hideMark/>
          </w:tcPr>
          <w:p w14:paraId="484B12EE"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26.3</w:t>
            </w:r>
          </w:p>
        </w:tc>
        <w:tc>
          <w:tcPr>
            <w:tcW w:w="992" w:type="dxa"/>
            <w:noWrap/>
            <w:hideMark/>
          </w:tcPr>
          <w:p w14:paraId="03221233"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27.8</w:t>
            </w:r>
          </w:p>
        </w:tc>
        <w:tc>
          <w:tcPr>
            <w:tcW w:w="992" w:type="dxa"/>
            <w:noWrap/>
            <w:hideMark/>
          </w:tcPr>
          <w:p w14:paraId="4D20EAEB"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b/>
                <w:bCs/>
                <w:lang w:eastAsia="en-AU"/>
              </w:rPr>
            </w:pPr>
            <w:r w:rsidRPr="0041440C">
              <w:rPr>
                <w:b/>
                <w:bCs/>
                <w:lang w:eastAsia="en-AU"/>
              </w:rPr>
              <w:t>27.2</w:t>
            </w:r>
          </w:p>
        </w:tc>
      </w:tr>
      <w:tr w:rsidR="00FF06E7" w:rsidRPr="0041440C" w14:paraId="0A277F84"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1FB0CA7" w14:textId="1CD9536C" w:rsidR="00FF06E7" w:rsidRPr="0041440C" w:rsidRDefault="00FF06E7">
            <w:pPr>
              <w:rPr>
                <w:lang w:eastAsia="en-AU"/>
              </w:rPr>
            </w:pPr>
            <w:r w:rsidRPr="0041440C">
              <w:rPr>
                <w:lang w:eastAsia="en-AU"/>
              </w:rPr>
              <w:t>Departmental Suspense Account</w:t>
            </w:r>
            <w:r w:rsidR="00FF1725">
              <w:rPr>
                <w:lang w:eastAsia="en-AU"/>
              </w:rPr>
              <w:t xml:space="preserve"> </w:t>
            </w:r>
            <w:r w:rsidRPr="009B1F27">
              <w:rPr>
                <w:vertAlign w:val="superscript"/>
                <w:lang w:eastAsia="en-AU"/>
              </w:rPr>
              <w:t>(a)</w:t>
            </w:r>
          </w:p>
        </w:tc>
        <w:tc>
          <w:tcPr>
            <w:tcW w:w="992" w:type="dxa"/>
            <w:noWrap/>
            <w:hideMark/>
          </w:tcPr>
          <w:p w14:paraId="67212E0C"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10.0</w:t>
            </w:r>
          </w:p>
        </w:tc>
        <w:tc>
          <w:tcPr>
            <w:tcW w:w="992" w:type="dxa"/>
            <w:noWrap/>
            <w:hideMark/>
          </w:tcPr>
          <w:p w14:paraId="7EF068DC"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10.0</w:t>
            </w:r>
          </w:p>
        </w:tc>
        <w:tc>
          <w:tcPr>
            <w:tcW w:w="992" w:type="dxa"/>
            <w:noWrap/>
            <w:hideMark/>
          </w:tcPr>
          <w:p w14:paraId="67F3AC57"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10.0</w:t>
            </w:r>
          </w:p>
        </w:tc>
      </w:tr>
      <w:tr w:rsidR="00FF06E7" w:rsidRPr="0041440C" w14:paraId="0A5AE581" w14:textId="77777777" w:rsidTr="00FF1725">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2853B2BC" w14:textId="41E67480" w:rsidR="00FF06E7" w:rsidRPr="0041440C" w:rsidRDefault="00FF06E7">
            <w:pPr>
              <w:rPr>
                <w:lang w:eastAsia="en-AU"/>
              </w:rPr>
            </w:pPr>
            <w:r w:rsidRPr="0041440C">
              <w:rPr>
                <w:lang w:eastAsia="en-AU"/>
              </w:rPr>
              <w:t>Other</w:t>
            </w:r>
            <w:r w:rsidR="00FF1725">
              <w:rPr>
                <w:lang w:eastAsia="en-AU"/>
              </w:rPr>
              <w:t xml:space="preserve"> </w:t>
            </w:r>
            <w:r w:rsidRPr="009B1F27">
              <w:rPr>
                <w:vertAlign w:val="superscript"/>
                <w:lang w:eastAsia="en-AU"/>
              </w:rPr>
              <w:t>(b)</w:t>
            </w:r>
          </w:p>
        </w:tc>
        <w:tc>
          <w:tcPr>
            <w:tcW w:w="992" w:type="dxa"/>
            <w:tcBorders>
              <w:bottom w:val="single" w:sz="6" w:space="0" w:color="auto"/>
            </w:tcBorders>
            <w:noWrap/>
            <w:hideMark/>
          </w:tcPr>
          <w:p w14:paraId="2DFCB096"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16.3</w:t>
            </w:r>
          </w:p>
        </w:tc>
        <w:tc>
          <w:tcPr>
            <w:tcW w:w="992" w:type="dxa"/>
            <w:tcBorders>
              <w:bottom w:val="single" w:sz="6" w:space="0" w:color="auto"/>
            </w:tcBorders>
            <w:noWrap/>
            <w:hideMark/>
          </w:tcPr>
          <w:p w14:paraId="520F3F9C"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17.8</w:t>
            </w:r>
          </w:p>
        </w:tc>
        <w:tc>
          <w:tcPr>
            <w:tcW w:w="992" w:type="dxa"/>
            <w:tcBorders>
              <w:bottom w:val="single" w:sz="6" w:space="0" w:color="auto"/>
            </w:tcBorders>
            <w:noWrap/>
            <w:hideMark/>
          </w:tcPr>
          <w:p w14:paraId="2E082AB3" w14:textId="77777777" w:rsidR="00FF06E7" w:rsidRPr="0041440C" w:rsidRDefault="00FF06E7">
            <w:pPr>
              <w:cnfStyle w:val="000000000000" w:firstRow="0" w:lastRow="0" w:firstColumn="0" w:lastColumn="0" w:oddVBand="0" w:evenVBand="0" w:oddHBand="0" w:evenHBand="0" w:firstRowFirstColumn="0" w:firstRowLastColumn="0" w:lastRowFirstColumn="0" w:lastRowLastColumn="0"/>
              <w:rPr>
                <w:lang w:eastAsia="en-AU"/>
              </w:rPr>
            </w:pPr>
            <w:r w:rsidRPr="0041440C">
              <w:rPr>
                <w:lang w:eastAsia="en-AU"/>
              </w:rPr>
              <w:t>17.2</w:t>
            </w:r>
          </w:p>
        </w:tc>
      </w:tr>
      <w:tr w:rsidR="00FF06E7" w:rsidRPr="0041440C" w14:paraId="19EB753A" w14:textId="77777777" w:rsidTr="00FF1725">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C233C7C" w14:textId="77777777" w:rsidR="00FF06E7" w:rsidRPr="0041440C" w:rsidRDefault="00FF06E7">
            <w:pPr>
              <w:rPr>
                <w:lang w:eastAsia="en-AU"/>
              </w:rPr>
            </w:pPr>
            <w:r w:rsidRPr="0041440C">
              <w:rPr>
                <w:lang w:eastAsia="en-AU"/>
              </w:rPr>
              <w:t>Total parliamentary authority</w:t>
            </w:r>
          </w:p>
        </w:tc>
        <w:tc>
          <w:tcPr>
            <w:tcW w:w="992" w:type="dxa"/>
            <w:noWrap/>
            <w:hideMark/>
          </w:tcPr>
          <w:p w14:paraId="4ED44AD8" w14:textId="77777777" w:rsidR="00FF06E7" w:rsidRPr="0041440C" w:rsidRDefault="00FF06E7">
            <w:pPr>
              <w:cnfStyle w:val="010000000000" w:firstRow="0" w:lastRow="1" w:firstColumn="0" w:lastColumn="0" w:oddVBand="0" w:evenVBand="0" w:oddHBand="0" w:evenHBand="0" w:firstRowFirstColumn="0" w:firstRowLastColumn="0" w:lastRowFirstColumn="0" w:lastRowLastColumn="0"/>
              <w:rPr>
                <w:lang w:eastAsia="en-AU"/>
              </w:rPr>
            </w:pPr>
            <w:r w:rsidRPr="0041440C">
              <w:rPr>
                <w:lang w:eastAsia="en-AU"/>
              </w:rPr>
              <w:t>456.7</w:t>
            </w:r>
          </w:p>
        </w:tc>
        <w:tc>
          <w:tcPr>
            <w:tcW w:w="992" w:type="dxa"/>
            <w:noWrap/>
            <w:hideMark/>
          </w:tcPr>
          <w:p w14:paraId="41482C97" w14:textId="77777777" w:rsidR="00FF06E7" w:rsidRPr="0041440C" w:rsidRDefault="00FF06E7">
            <w:pPr>
              <w:cnfStyle w:val="010000000000" w:firstRow="0" w:lastRow="1" w:firstColumn="0" w:lastColumn="0" w:oddVBand="0" w:evenVBand="0" w:oddHBand="0" w:evenHBand="0" w:firstRowFirstColumn="0" w:firstRowLastColumn="0" w:lastRowFirstColumn="0" w:lastRowLastColumn="0"/>
              <w:rPr>
                <w:lang w:eastAsia="en-AU"/>
              </w:rPr>
            </w:pPr>
            <w:r w:rsidRPr="0041440C">
              <w:rPr>
                <w:lang w:eastAsia="en-AU"/>
              </w:rPr>
              <w:t>541.4</w:t>
            </w:r>
          </w:p>
        </w:tc>
        <w:tc>
          <w:tcPr>
            <w:tcW w:w="992" w:type="dxa"/>
            <w:noWrap/>
            <w:hideMark/>
          </w:tcPr>
          <w:p w14:paraId="08E37AD2" w14:textId="77777777" w:rsidR="00FF06E7" w:rsidRPr="0041440C" w:rsidRDefault="00FF06E7">
            <w:pPr>
              <w:cnfStyle w:val="010000000000" w:firstRow="0" w:lastRow="1" w:firstColumn="0" w:lastColumn="0" w:oddVBand="0" w:evenVBand="0" w:oddHBand="0" w:evenHBand="0" w:firstRowFirstColumn="0" w:firstRowLastColumn="0" w:lastRowFirstColumn="0" w:lastRowLastColumn="0"/>
              <w:rPr>
                <w:lang w:eastAsia="en-AU"/>
              </w:rPr>
            </w:pPr>
            <w:r w:rsidRPr="0041440C">
              <w:rPr>
                <w:lang w:eastAsia="en-AU"/>
              </w:rPr>
              <w:t>525.1</w:t>
            </w:r>
          </w:p>
        </w:tc>
      </w:tr>
    </w:tbl>
    <w:p w14:paraId="78FCE89D" w14:textId="77777777" w:rsidR="00FF06E7" w:rsidRDefault="00FF06E7" w:rsidP="00FF06E7">
      <w:pPr>
        <w:pStyle w:val="Source"/>
      </w:pPr>
      <w:r>
        <w:t>Source: Department of Premier and Cabinet</w:t>
      </w:r>
    </w:p>
    <w:p w14:paraId="1974D83B" w14:textId="77777777" w:rsidR="00FF06E7" w:rsidRDefault="00FF06E7" w:rsidP="00FF06E7">
      <w:pPr>
        <w:pStyle w:val="Note"/>
      </w:pPr>
      <w:r>
        <w:t>Notes:</w:t>
      </w:r>
    </w:p>
    <w:p w14:paraId="32981964" w14:textId="1CE5B8C0" w:rsidR="00FF06E7" w:rsidRDefault="00FF1725" w:rsidP="00FF1725">
      <w:pPr>
        <w:pStyle w:val="Note"/>
      </w:pPr>
      <w:r>
        <w:t>(a)</w:t>
      </w:r>
      <w:r>
        <w:tab/>
      </w:r>
      <w:r w:rsidR="00FF06E7">
        <w:t>This account is a departmental working account.</w:t>
      </w:r>
    </w:p>
    <w:p w14:paraId="1012CF86" w14:textId="2E0965CA" w:rsidR="00FF06E7" w:rsidRDefault="00FF1725" w:rsidP="00FF1725">
      <w:pPr>
        <w:pStyle w:val="Note"/>
      </w:pPr>
      <w:r>
        <w:t>(b)</w:t>
      </w:r>
      <w:r>
        <w:tab/>
      </w:r>
      <w:r w:rsidR="00FF06E7">
        <w:t>Includes interdepartmental transfers.</w:t>
      </w:r>
    </w:p>
    <w:p w14:paraId="34A1586A" w14:textId="77777777" w:rsidR="007806CA" w:rsidRDefault="007806CA" w:rsidP="000B33B2"/>
    <w:p w14:paraId="37276B1D" w14:textId="77777777" w:rsidR="002F6840" w:rsidRDefault="002F6840" w:rsidP="002F6840">
      <w:pPr>
        <w:pStyle w:val="Heading2"/>
      </w:pPr>
      <w:r>
        <w:t>Departmental performance statement</w:t>
      </w:r>
    </w:p>
    <w:p w14:paraId="7E44F5F2" w14:textId="77777777" w:rsidR="002F6840" w:rsidRPr="00F26FF5" w:rsidRDefault="002F6840" w:rsidP="002F6840">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cs="Calibri"/>
          <w:b/>
          <w:szCs w:val="20"/>
        </w:rPr>
      </w:pPr>
      <w:r w:rsidRPr="00F26FF5">
        <w:rPr>
          <w:rFonts w:ascii="Calibri" w:eastAsia="Garamond" w:hAnsi="Calibri" w:cs="Calibri"/>
          <w:b/>
          <w:szCs w:val="20"/>
        </w:rPr>
        <w:t>Objective 1: Stronger policy outcomes for Victoria</w:t>
      </w:r>
    </w:p>
    <w:p w14:paraId="369C50E2" w14:textId="28339BDC" w:rsidR="002F6840" w:rsidRPr="00181C1C" w:rsidRDefault="002F6840" w:rsidP="002F6840">
      <w:pPr>
        <w:pBdr>
          <w:top w:val="single" w:sz="6" w:space="3" w:color="auto"/>
          <w:left w:val="single" w:sz="6" w:space="4" w:color="auto"/>
          <w:bottom w:val="single" w:sz="6" w:space="3" w:color="auto"/>
          <w:right w:val="single" w:sz="6" w:space="4" w:color="auto"/>
        </w:pBdr>
        <w:shd w:val="clear" w:color="auto" w:fill="F2F2F2"/>
        <w:rPr>
          <w:rFonts w:eastAsia="Garamond" w:cs="Calibri"/>
          <w:szCs w:val="20"/>
        </w:rPr>
      </w:pPr>
      <w:r w:rsidRPr="00181C1C">
        <w:rPr>
          <w:rFonts w:eastAsia="Garamond" w:cs="Calibri"/>
          <w:szCs w:val="20"/>
        </w:rPr>
        <w:t xml:space="preserve">This objective leads whole of government economic and social policy delivery and reform. It leads the public sector response to significant state and Commonwealth issues, policy challenges and projects. It </w:t>
      </w:r>
      <w:r w:rsidRPr="00181C1C">
        <w:rPr>
          <w:rFonts w:eastAsia="Times New Roman" w:cs="Calibri"/>
          <w:szCs w:val="20"/>
        </w:rPr>
        <w:t>delivers policies and programs that promote fairness, inclusion and participation of Victoria’s culturally diverse communities.</w:t>
      </w:r>
    </w:p>
    <w:p w14:paraId="25D7AD45" w14:textId="77777777" w:rsidR="002F6840" w:rsidRPr="00181C1C" w:rsidRDefault="002F6840" w:rsidP="002F6840">
      <w:pPr>
        <w:pStyle w:val="ShadedBoxText"/>
      </w:pPr>
      <w:r w:rsidRPr="00181C1C">
        <w:t>The departmental objective indicators are:</w:t>
      </w:r>
    </w:p>
    <w:p w14:paraId="5E1EE843" w14:textId="78673489" w:rsidR="002F6840" w:rsidRPr="00181C1C" w:rsidRDefault="002F6840" w:rsidP="003D15E6">
      <w:pPr>
        <w:pStyle w:val="ShadedBoxBullet"/>
      </w:pPr>
      <w:r w:rsidRPr="00181C1C">
        <w:t>advice contributes to the achievement of government policies and priorities relating to economic and social outcomes, intergovernmental relations, and emergency management</w:t>
      </w:r>
    </w:p>
    <w:p w14:paraId="62C13505" w14:textId="77777777" w:rsidR="002F6840" w:rsidRPr="00181C1C" w:rsidRDefault="002F6840" w:rsidP="002F6840">
      <w:pPr>
        <w:pStyle w:val="ShadedBoxBullet"/>
        <w:numPr>
          <w:ilvl w:val="0"/>
          <w:numId w:val="9"/>
        </w:numPr>
        <w:shd w:val="clear" w:color="auto" w:fill="F2F2F2"/>
        <w:ind w:left="709" w:hanging="709"/>
        <w:contextualSpacing/>
      </w:pPr>
      <w:r w:rsidRPr="00181C1C">
        <w:t>decrease experiences of discrimination.</w:t>
      </w:r>
    </w:p>
    <w:p w14:paraId="291BE320" w14:textId="77777777" w:rsidR="002F6840" w:rsidRDefault="002F6840" w:rsidP="002F6840">
      <w:pPr>
        <w:pStyle w:val="Heading2"/>
      </w:pPr>
      <w:r>
        <w:t>Outputs</w:t>
      </w:r>
    </w:p>
    <w:p w14:paraId="2DE50217" w14:textId="77777777" w:rsidR="002F6840" w:rsidRDefault="002F6840" w:rsidP="002F6840">
      <w:pPr>
        <w:pStyle w:val="Heading3"/>
      </w:pPr>
      <w:r>
        <w:t>Economic Policy Advice and Support</w:t>
      </w:r>
      <w:r>
        <w:tab/>
        <w:t>(2026-27: $13.2 million)</w:t>
      </w:r>
    </w:p>
    <w:p w14:paraId="458E006D" w14:textId="0B913528" w:rsidR="002F6840" w:rsidRPr="00711F8E" w:rsidRDefault="002F6840" w:rsidP="002F6840">
      <w:pPr>
        <w:spacing w:after="120"/>
        <w:rPr>
          <w:rFonts w:eastAsia="Garamond" w:cs="Calibri"/>
          <w:szCs w:val="20"/>
        </w:rPr>
      </w:pPr>
      <w:r w:rsidRPr="00711F8E">
        <w:rPr>
          <w:rFonts w:eastAsia="Garamond" w:cs="Calibri"/>
          <w:szCs w:val="20"/>
        </w:rPr>
        <w:t>This output contributes to delivering strategic, timely and comprehensive analysis and advice on economic policy to support government decision</w:t>
      </w:r>
      <w:r w:rsidR="00B92C57">
        <w:rPr>
          <w:rFonts w:eastAsia="Garamond" w:cs="Calibri"/>
          <w:szCs w:val="20"/>
        </w:rPr>
        <w:t>-</w:t>
      </w:r>
      <w:r w:rsidRPr="00711F8E">
        <w:rPr>
          <w:rFonts w:eastAsia="Garamond" w:cs="Calibri"/>
          <w:szCs w:val="20"/>
        </w:rPr>
        <w:t>making.</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2F6840" w14:paraId="69C91A6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73B327CB" w14:textId="77777777" w:rsidR="002F6840" w:rsidRDefault="002F6840">
            <w:r>
              <w:t>Performance measure</w:t>
            </w:r>
          </w:p>
        </w:tc>
        <w:tc>
          <w:tcPr>
            <w:tcW w:w="964" w:type="dxa"/>
          </w:tcPr>
          <w:p w14:paraId="3B0A7A8D"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C0C4AF7"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EA4B41C"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F9E4980"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676773C"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3AAE8A7C"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307BB6F" w14:textId="77777777" w:rsidR="002F6840" w:rsidRPr="00CF2B77" w:rsidRDefault="002F6840">
            <w:pPr>
              <w:keepNext/>
              <w:rPr>
                <w:b/>
                <w:bCs/>
                <w:iCs/>
              </w:rPr>
            </w:pPr>
            <w:r w:rsidRPr="00CF2B77">
              <w:rPr>
                <w:b/>
                <w:bCs/>
                <w:iCs/>
              </w:rPr>
              <w:t>Quality</w:t>
            </w:r>
          </w:p>
        </w:tc>
      </w:tr>
      <w:tr w:rsidR="002F6840" w14:paraId="1A5D2417"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50385DF" w14:textId="77777777" w:rsidR="002F6840" w:rsidRDefault="002F6840">
            <w:pPr>
              <w:ind w:left="170"/>
            </w:pPr>
            <w:r>
              <w:t>Key stakeholder satisfaction with advice and support relating to economic policy</w:t>
            </w:r>
          </w:p>
        </w:tc>
        <w:tc>
          <w:tcPr>
            <w:tcW w:w="964" w:type="dxa"/>
            <w:tcBorders>
              <w:bottom w:val="single" w:sz="6" w:space="0" w:color="auto"/>
            </w:tcBorders>
          </w:tcPr>
          <w:p w14:paraId="03339927"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D87182D"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2B75A3A"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F0D58C7"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E13D848"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r>
      <w:tr w:rsidR="002F6840" w14:paraId="2A907748" w14:textId="77777777" w:rsidTr="00954A68">
        <w:tc>
          <w:tcPr>
            <w:cnfStyle w:val="001000000000" w:firstRow="0" w:lastRow="0" w:firstColumn="1" w:lastColumn="0" w:oddVBand="0" w:evenVBand="0" w:oddHBand="0" w:evenHBand="0" w:firstRowFirstColumn="0" w:firstRowLastColumn="0" w:lastRowFirstColumn="0" w:lastRowLastColumn="0"/>
            <w:tcW w:w="9640" w:type="dxa"/>
            <w:gridSpan w:val="6"/>
            <w:tcBorders>
              <w:bottom w:val="nil"/>
            </w:tcBorders>
          </w:tcPr>
          <w:p w14:paraId="023E4958" w14:textId="77777777" w:rsidR="002F6840" w:rsidRPr="00CF2B77" w:rsidRDefault="002F6840">
            <w:pPr>
              <w:keepNext/>
              <w:rPr>
                <w:b/>
                <w:bCs/>
                <w:iCs/>
              </w:rPr>
            </w:pPr>
            <w:r w:rsidRPr="00CF2B77">
              <w:rPr>
                <w:b/>
                <w:bCs/>
                <w:iCs/>
              </w:rPr>
              <w:t>Timeliness</w:t>
            </w:r>
          </w:p>
        </w:tc>
      </w:tr>
      <w:tr w:rsidR="002F6840" w14:paraId="26907FF3" w14:textId="77777777" w:rsidTr="00954A68">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33CD57C" w14:textId="77777777" w:rsidR="002F6840" w:rsidRDefault="002F6840">
            <w:pPr>
              <w:ind w:left="170"/>
            </w:pPr>
            <w:r>
              <w:t>Provision of economic policy briefings within agreed timeframes</w:t>
            </w:r>
          </w:p>
        </w:tc>
        <w:tc>
          <w:tcPr>
            <w:tcW w:w="964" w:type="dxa"/>
            <w:tcBorders>
              <w:bottom w:val="single" w:sz="6" w:space="0" w:color="auto"/>
            </w:tcBorders>
          </w:tcPr>
          <w:p w14:paraId="4FD6B5BC"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B06D645"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0571844"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84AC4A4"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7669C8C" w14:textId="77777777" w:rsidR="002F6840" w:rsidRDefault="002F6840">
            <w:pPr>
              <w:cnfStyle w:val="000000000000" w:firstRow="0" w:lastRow="0" w:firstColumn="0" w:lastColumn="0" w:oddVBand="0" w:evenVBand="0" w:oddHBand="0" w:evenHBand="0" w:firstRowFirstColumn="0" w:firstRowLastColumn="0" w:lastRowFirstColumn="0" w:lastRowLastColumn="0"/>
            </w:pPr>
            <w:r>
              <w:t>91</w:t>
            </w:r>
          </w:p>
        </w:tc>
      </w:tr>
      <w:tr w:rsidR="00E57820" w14:paraId="31B8390D" w14:textId="77777777" w:rsidTr="00954A68">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6EB1AFF5" w14:textId="2D61D845" w:rsidR="00E57820" w:rsidRPr="00CF2B77" w:rsidRDefault="00CF2B77">
            <w:pPr>
              <w:rPr>
                <w:b/>
                <w:bCs/>
              </w:rPr>
            </w:pPr>
            <w:r w:rsidRPr="00CF2B77">
              <w:rPr>
                <w:b/>
                <w:bCs/>
              </w:rPr>
              <w:t>Cost</w:t>
            </w:r>
          </w:p>
        </w:tc>
      </w:tr>
      <w:tr w:rsidR="00C006A2" w14:paraId="2FFED959" w14:textId="77777777" w:rsidTr="0079546D">
        <w:tc>
          <w:tcPr>
            <w:cnfStyle w:val="001000000000" w:firstRow="0" w:lastRow="0" w:firstColumn="1" w:lastColumn="0" w:oddVBand="0" w:evenVBand="0" w:oddHBand="0" w:evenHBand="0" w:firstRowFirstColumn="0" w:firstRowLastColumn="0" w:lastRowFirstColumn="0" w:lastRowLastColumn="0"/>
            <w:tcW w:w="4820" w:type="dxa"/>
          </w:tcPr>
          <w:p w14:paraId="24CFE872" w14:textId="0FD83C27" w:rsidR="00C006A2" w:rsidRDefault="00C006A2" w:rsidP="00C006A2">
            <w:pPr>
              <w:ind w:left="170"/>
            </w:pPr>
            <w:r>
              <w:t>Total output cost</w:t>
            </w:r>
          </w:p>
        </w:tc>
        <w:tc>
          <w:tcPr>
            <w:tcW w:w="964" w:type="dxa"/>
          </w:tcPr>
          <w:p w14:paraId="57151649" w14:textId="11726697" w:rsidR="00C006A2" w:rsidRDefault="00C006A2" w:rsidP="00C006A2">
            <w:pPr>
              <w:jc w:val="center"/>
              <w:cnfStyle w:val="000000000000" w:firstRow="0" w:lastRow="0" w:firstColumn="0" w:lastColumn="0" w:oddVBand="0" w:evenVBand="0" w:oddHBand="0" w:evenHBand="0" w:firstRowFirstColumn="0" w:firstRowLastColumn="0" w:lastRowFirstColumn="0" w:lastRowLastColumn="0"/>
            </w:pPr>
            <w:r w:rsidRPr="00432B64">
              <w:rPr>
                <w:color w:val="000000" w:themeColor="text1"/>
              </w:rPr>
              <w:t>$ million</w:t>
            </w:r>
          </w:p>
        </w:tc>
        <w:tc>
          <w:tcPr>
            <w:tcW w:w="964" w:type="dxa"/>
            <w:shd w:val="clear" w:color="auto" w:fill="F0F0F0"/>
          </w:tcPr>
          <w:p w14:paraId="5F04C330" w14:textId="6CD669D2" w:rsidR="00C006A2" w:rsidRDefault="00C006A2" w:rsidP="00C006A2">
            <w:pPr>
              <w:cnfStyle w:val="000000000000" w:firstRow="0" w:lastRow="0" w:firstColumn="0" w:lastColumn="0" w:oddVBand="0" w:evenVBand="0" w:oddHBand="0" w:evenHBand="0" w:firstRowFirstColumn="0" w:firstRowLastColumn="0" w:lastRowFirstColumn="0" w:lastRowLastColumn="0"/>
            </w:pPr>
            <w:r w:rsidRPr="00432B64">
              <w:rPr>
                <w:color w:val="000000" w:themeColor="text1"/>
              </w:rPr>
              <w:t>13.2</w:t>
            </w:r>
          </w:p>
        </w:tc>
        <w:tc>
          <w:tcPr>
            <w:tcW w:w="964" w:type="dxa"/>
          </w:tcPr>
          <w:p w14:paraId="54C0EC04" w14:textId="78A69B9D" w:rsidR="00C006A2" w:rsidRDefault="00C006A2" w:rsidP="00C006A2">
            <w:pPr>
              <w:cnfStyle w:val="000000000000" w:firstRow="0" w:lastRow="0" w:firstColumn="0" w:lastColumn="0" w:oddVBand="0" w:evenVBand="0" w:oddHBand="0" w:evenHBand="0" w:firstRowFirstColumn="0" w:firstRowLastColumn="0" w:lastRowFirstColumn="0" w:lastRowLastColumn="0"/>
            </w:pPr>
            <w:r w:rsidRPr="00432B64">
              <w:rPr>
                <w:color w:val="000000" w:themeColor="text1"/>
              </w:rPr>
              <w:t>18.4</w:t>
            </w:r>
          </w:p>
        </w:tc>
        <w:tc>
          <w:tcPr>
            <w:tcW w:w="964" w:type="dxa"/>
          </w:tcPr>
          <w:p w14:paraId="082B3EA8" w14:textId="2AACDFD4" w:rsidR="00C006A2" w:rsidRDefault="00C006A2" w:rsidP="00C006A2">
            <w:pPr>
              <w:cnfStyle w:val="000000000000" w:firstRow="0" w:lastRow="0" w:firstColumn="0" w:lastColumn="0" w:oddVBand="0" w:evenVBand="0" w:oddHBand="0" w:evenHBand="0" w:firstRowFirstColumn="0" w:firstRowLastColumn="0" w:lastRowFirstColumn="0" w:lastRowLastColumn="0"/>
            </w:pPr>
            <w:r w:rsidRPr="00432B64">
              <w:rPr>
                <w:color w:val="000000" w:themeColor="text1"/>
              </w:rPr>
              <w:t>20.1</w:t>
            </w:r>
          </w:p>
        </w:tc>
        <w:tc>
          <w:tcPr>
            <w:tcW w:w="964" w:type="dxa"/>
          </w:tcPr>
          <w:p w14:paraId="7E0F6767" w14:textId="4513A35A" w:rsidR="00C006A2" w:rsidRDefault="00C006A2" w:rsidP="00C006A2">
            <w:pPr>
              <w:cnfStyle w:val="000000000000" w:firstRow="0" w:lastRow="0" w:firstColumn="0" w:lastColumn="0" w:oddVBand="0" w:evenVBand="0" w:oddHBand="0" w:evenHBand="0" w:firstRowFirstColumn="0" w:firstRowLastColumn="0" w:lastRowFirstColumn="0" w:lastRowLastColumn="0"/>
            </w:pPr>
            <w:r w:rsidRPr="00432B64">
              <w:rPr>
                <w:color w:val="000000" w:themeColor="text1"/>
              </w:rPr>
              <w:t>23.3</w:t>
            </w:r>
          </w:p>
        </w:tc>
      </w:tr>
      <w:tr w:rsidR="00C006A2" w14:paraId="29BC0412" w14:textId="77777777" w:rsidTr="0079546D">
        <w:tc>
          <w:tcPr>
            <w:cnfStyle w:val="001000000000" w:firstRow="0" w:lastRow="0" w:firstColumn="1" w:lastColumn="0" w:oddVBand="0" w:evenVBand="0" w:oddHBand="0" w:evenHBand="0" w:firstRowFirstColumn="0" w:firstRowLastColumn="0" w:lastRowFirstColumn="0" w:lastRowLastColumn="0"/>
            <w:tcW w:w="9640" w:type="dxa"/>
            <w:gridSpan w:val="6"/>
          </w:tcPr>
          <w:p w14:paraId="698EE38A" w14:textId="07584F13" w:rsidR="00C006A2" w:rsidRPr="00267E78" w:rsidRDefault="00267E78" w:rsidP="00267E78">
            <w:pPr>
              <w:ind w:left="170"/>
              <w:rPr>
                <w:i/>
                <w:iCs/>
                <w:color w:val="000000" w:themeColor="text1"/>
                <w:szCs w:val="17"/>
              </w:rPr>
            </w:pPr>
            <w:r w:rsidRPr="00432B64">
              <w:rPr>
                <w:i/>
                <w:iCs/>
                <w:color w:val="000000" w:themeColor="text1"/>
                <w:szCs w:val="17"/>
              </w:rPr>
              <w:t>The 2025</w:t>
            </w:r>
            <w:r w:rsidR="00383570">
              <w:rPr>
                <w:i/>
                <w:iCs/>
                <w:color w:val="000000" w:themeColor="text1"/>
                <w:szCs w:val="17"/>
              </w:rPr>
              <w:t>-</w:t>
            </w:r>
            <w:r w:rsidRPr="00432B64">
              <w:rPr>
                <w:i/>
                <w:iCs/>
                <w:color w:val="000000" w:themeColor="text1"/>
                <w:szCs w:val="17"/>
              </w:rPr>
              <w:t>26 expected outcome is lower than the target primarily due to the impact of savings applied and funding relinquished to DGS to centralise government accommodation management.</w:t>
            </w:r>
          </w:p>
        </w:tc>
      </w:tr>
      <w:tr w:rsidR="00C006A2" w14:paraId="4C3DF9AD" w14:textId="77777777" w:rsidTr="00274FF4">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11718D14" w14:textId="0BB27EA3" w:rsidR="00C006A2" w:rsidRPr="0079546D" w:rsidRDefault="0079546D" w:rsidP="008322B4">
            <w:pPr>
              <w:ind w:left="170"/>
              <w:rPr>
                <w:i/>
                <w:color w:val="000000" w:themeColor="text1"/>
                <w:szCs w:val="17"/>
              </w:rPr>
            </w:pPr>
            <w:r w:rsidRPr="00432B64">
              <w:rPr>
                <w:i/>
                <w:iCs/>
                <w:color w:val="000000" w:themeColor="text1"/>
                <w:szCs w:val="17"/>
              </w:rPr>
              <w:t xml:space="preserve">The lower </w:t>
            </w:r>
            <w:r w:rsidRPr="00E2163E">
              <w:rPr>
                <w:i/>
              </w:rPr>
              <w:t>2026</w:t>
            </w:r>
            <w:r w:rsidR="00383570">
              <w:rPr>
                <w:i/>
              </w:rPr>
              <w:t>-</w:t>
            </w:r>
            <w:r>
              <w:rPr>
                <w:i/>
              </w:rPr>
              <w:t>27</w:t>
            </w:r>
            <w:r w:rsidRPr="00432B64">
              <w:rPr>
                <w:i/>
                <w:iCs/>
                <w:color w:val="000000" w:themeColor="text1"/>
                <w:szCs w:val="17"/>
              </w:rPr>
              <w:t xml:space="preserve"> target is predominantly due to</w:t>
            </w:r>
            <w:r w:rsidR="008322B4">
              <w:rPr>
                <w:i/>
                <w:iCs/>
                <w:color w:val="000000" w:themeColor="text1"/>
                <w:szCs w:val="17"/>
              </w:rPr>
              <w:t xml:space="preserve"> </w:t>
            </w:r>
            <w:r w:rsidRPr="00D468DF">
              <w:rPr>
                <w:i/>
              </w:rPr>
              <w:t>larger non-recurrent funding allocated in 2025</w:t>
            </w:r>
            <w:r w:rsidR="00383570" w:rsidRPr="00D468DF">
              <w:rPr>
                <w:i/>
              </w:rPr>
              <w:t>-</w:t>
            </w:r>
            <w:r w:rsidRPr="00D468DF">
              <w:rPr>
                <w:i/>
              </w:rPr>
              <w:t>26 to implement the Economic Growth Statement ‘Yes to International Students Fund’ initiative</w:t>
            </w:r>
            <w:r w:rsidR="008322B4">
              <w:rPr>
                <w:i/>
              </w:rPr>
              <w:t xml:space="preserve">, and </w:t>
            </w:r>
            <w:r w:rsidRPr="0079546D">
              <w:rPr>
                <w:i/>
              </w:rPr>
              <w:t>the impact of savings applied and funding relinquished to DGS to centralise government accommodation management.</w:t>
            </w:r>
          </w:p>
        </w:tc>
      </w:tr>
    </w:tbl>
    <w:p w14:paraId="52197511" w14:textId="77777777" w:rsidR="002F6840" w:rsidRPr="00432B64" w:rsidRDefault="002F6840" w:rsidP="002F6840">
      <w:pPr>
        <w:pStyle w:val="Source"/>
        <w:rPr>
          <w:color w:val="000000" w:themeColor="text1"/>
        </w:rPr>
      </w:pPr>
      <w:r w:rsidRPr="00432B64">
        <w:rPr>
          <w:color w:val="000000" w:themeColor="text1"/>
        </w:rPr>
        <w:t>Source: Department of Premier and Cabinet</w:t>
      </w:r>
    </w:p>
    <w:p w14:paraId="35ACFC26" w14:textId="77777777" w:rsidR="002F6840" w:rsidRDefault="002F6840" w:rsidP="002F6840">
      <w:pPr>
        <w:pStyle w:val="Heading3"/>
      </w:pPr>
      <w:r>
        <w:lastRenderedPageBreak/>
        <w:t>Social Policy Advice and Intergovernmental Relations</w:t>
      </w:r>
      <w:r>
        <w:tab/>
        <w:t>(2026-27: $18.6 million)</w:t>
      </w:r>
    </w:p>
    <w:p w14:paraId="485208A8" w14:textId="77777777" w:rsidR="002F6840" w:rsidRPr="00E802A3" w:rsidRDefault="002F6840" w:rsidP="002F6840">
      <w:pPr>
        <w:rPr>
          <w:rFonts w:eastAsia="Garamond" w:cs="Calibri"/>
          <w:szCs w:val="20"/>
        </w:rPr>
      </w:pPr>
      <w:r w:rsidRPr="00E802A3">
        <w:rPr>
          <w:rFonts w:eastAsia="Garamond" w:cs="Calibri"/>
          <w:szCs w:val="20"/>
        </w:rPr>
        <w:t>This output contributes to delivering strategic, timely and comprehensive analysis and advice on social policy and intergovernmental relations to support government decision making.</w:t>
      </w:r>
    </w:p>
    <w:p w14:paraId="6FD6344A" w14:textId="57EA1FDC" w:rsidR="002F6840" w:rsidRPr="00451272" w:rsidRDefault="002F6840" w:rsidP="00D468DF">
      <w:pPr>
        <w:keepNext/>
        <w:spacing w:after="120"/>
      </w:pPr>
      <w:r w:rsidRPr="00E802A3">
        <w:rPr>
          <w:rFonts w:eastAsia="Garamond" w:cs="Calibri"/>
          <w:szCs w:val="20"/>
        </w:rPr>
        <w:t>This output also contributes to the strategic coordination of emergency management strategies and planning across the Victorian public sector.</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38CF3572" w14:textId="77777777" w:rsidTr="007954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7A0F146" w14:textId="77777777" w:rsidR="002F6840" w:rsidRDefault="002F6840">
            <w:r>
              <w:t>Performance measure</w:t>
            </w:r>
          </w:p>
        </w:tc>
        <w:tc>
          <w:tcPr>
            <w:tcW w:w="964" w:type="dxa"/>
          </w:tcPr>
          <w:p w14:paraId="4454BD9B"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1FABF79"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B904879"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938F053"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8686A9F"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05FFE243" w14:textId="77777777" w:rsidTr="0079546D">
        <w:tc>
          <w:tcPr>
            <w:cnfStyle w:val="001000000000" w:firstRow="0" w:lastRow="0" w:firstColumn="1" w:lastColumn="0" w:oddVBand="0" w:evenVBand="0" w:oddHBand="0" w:evenHBand="0" w:firstRowFirstColumn="0" w:firstRowLastColumn="0" w:lastRowFirstColumn="0" w:lastRowLastColumn="0"/>
            <w:tcW w:w="9639" w:type="dxa"/>
            <w:gridSpan w:val="6"/>
          </w:tcPr>
          <w:p w14:paraId="00422E89" w14:textId="77777777" w:rsidR="002F6840" w:rsidRPr="0079546D" w:rsidRDefault="002F6840">
            <w:pPr>
              <w:keepNext/>
              <w:rPr>
                <w:b/>
                <w:bCs/>
                <w:iCs/>
              </w:rPr>
            </w:pPr>
            <w:r w:rsidRPr="0079546D">
              <w:rPr>
                <w:b/>
                <w:bCs/>
                <w:iCs/>
              </w:rPr>
              <w:t>Quantity</w:t>
            </w:r>
          </w:p>
        </w:tc>
      </w:tr>
      <w:tr w:rsidR="002F6840" w14:paraId="07A7AFAC" w14:textId="77777777" w:rsidTr="0079546D">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497E96D" w14:textId="77777777" w:rsidR="002F6840" w:rsidRDefault="002F6840">
            <w:pPr>
              <w:ind w:left="170"/>
            </w:pPr>
            <w:r>
              <w:t>Whole of government emergency management forums, meetings and exercises facilitated</w:t>
            </w:r>
          </w:p>
        </w:tc>
        <w:tc>
          <w:tcPr>
            <w:tcW w:w="964" w:type="dxa"/>
            <w:tcBorders>
              <w:bottom w:val="single" w:sz="6" w:space="0" w:color="auto"/>
            </w:tcBorders>
          </w:tcPr>
          <w:p w14:paraId="12E2CE95"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21BDE82"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2233D36E"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3942F143"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582E6A0F" w14:textId="77777777" w:rsidR="002F6840" w:rsidRDefault="002F6840">
            <w:pPr>
              <w:cnfStyle w:val="000000000000" w:firstRow="0" w:lastRow="0" w:firstColumn="0" w:lastColumn="0" w:oddVBand="0" w:evenVBand="0" w:oddHBand="0" w:evenHBand="0" w:firstRowFirstColumn="0" w:firstRowLastColumn="0" w:lastRowFirstColumn="0" w:lastRowLastColumn="0"/>
            </w:pPr>
            <w:r>
              <w:t>22</w:t>
            </w:r>
          </w:p>
        </w:tc>
      </w:tr>
      <w:tr w:rsidR="002F6840" w14:paraId="0F199E3D" w14:textId="77777777" w:rsidTr="0079546D">
        <w:tc>
          <w:tcPr>
            <w:cnfStyle w:val="001000000000" w:firstRow="0" w:lastRow="0" w:firstColumn="1" w:lastColumn="0" w:oddVBand="0" w:evenVBand="0" w:oddHBand="0" w:evenHBand="0" w:firstRowFirstColumn="0" w:firstRowLastColumn="0" w:lastRowFirstColumn="0" w:lastRowLastColumn="0"/>
            <w:tcW w:w="9639" w:type="dxa"/>
            <w:gridSpan w:val="6"/>
          </w:tcPr>
          <w:p w14:paraId="470B1461" w14:textId="77777777" w:rsidR="002F6840" w:rsidRPr="0079546D" w:rsidRDefault="002F6840">
            <w:pPr>
              <w:keepNext/>
              <w:rPr>
                <w:b/>
                <w:bCs/>
                <w:iCs/>
              </w:rPr>
            </w:pPr>
            <w:r w:rsidRPr="0079546D">
              <w:rPr>
                <w:b/>
                <w:bCs/>
                <w:iCs/>
              </w:rPr>
              <w:t>Quality</w:t>
            </w:r>
          </w:p>
        </w:tc>
      </w:tr>
      <w:tr w:rsidR="002F6840" w14:paraId="26605932" w14:textId="77777777" w:rsidTr="0079546D">
        <w:tc>
          <w:tcPr>
            <w:cnfStyle w:val="001000000000" w:firstRow="0" w:lastRow="0" w:firstColumn="1" w:lastColumn="0" w:oddVBand="0" w:evenVBand="0" w:oddHBand="0" w:evenHBand="0" w:firstRowFirstColumn="0" w:firstRowLastColumn="0" w:lastRowFirstColumn="0" w:lastRowLastColumn="0"/>
            <w:tcW w:w="4819" w:type="dxa"/>
          </w:tcPr>
          <w:p w14:paraId="64D84B32" w14:textId="77777777" w:rsidR="002F6840" w:rsidRDefault="002F6840">
            <w:pPr>
              <w:keepNext/>
              <w:ind w:left="170"/>
            </w:pPr>
            <w:r>
              <w:t>Key stakeholder satisfaction with advice and support relating to social policy</w:t>
            </w:r>
          </w:p>
        </w:tc>
        <w:tc>
          <w:tcPr>
            <w:tcW w:w="964" w:type="dxa"/>
          </w:tcPr>
          <w:p w14:paraId="58C9B07A"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C842710"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04DB7C7D"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3437B8F"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EE806F8"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r>
      <w:tr w:rsidR="002F6840" w14:paraId="20ADD31B" w14:textId="77777777" w:rsidTr="0079546D">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4AABCE" w14:textId="734CBF11" w:rsidR="002F6840" w:rsidRDefault="002F6840">
            <w:pPr>
              <w:ind w:left="170"/>
            </w:pPr>
            <w:r>
              <w:rPr>
                <w:i/>
              </w:rPr>
              <w:t>The unit of measure has been corrected from ‘number’ to ‘per cent’.</w:t>
            </w:r>
          </w:p>
        </w:tc>
      </w:tr>
      <w:tr w:rsidR="002F6840" w14:paraId="5AD96160" w14:textId="77777777" w:rsidTr="0079546D">
        <w:tc>
          <w:tcPr>
            <w:cnfStyle w:val="001000000000" w:firstRow="0" w:lastRow="0" w:firstColumn="1" w:lastColumn="0" w:oddVBand="0" w:evenVBand="0" w:oddHBand="0" w:evenHBand="0" w:firstRowFirstColumn="0" w:firstRowLastColumn="0" w:lastRowFirstColumn="0" w:lastRowLastColumn="0"/>
            <w:tcW w:w="9639" w:type="dxa"/>
            <w:gridSpan w:val="6"/>
          </w:tcPr>
          <w:p w14:paraId="47888169" w14:textId="77777777" w:rsidR="002F6840" w:rsidRPr="0079546D" w:rsidRDefault="002F6840">
            <w:pPr>
              <w:keepNext/>
              <w:rPr>
                <w:b/>
                <w:bCs/>
                <w:iCs/>
              </w:rPr>
            </w:pPr>
            <w:r w:rsidRPr="0079546D">
              <w:rPr>
                <w:b/>
                <w:bCs/>
                <w:iCs/>
              </w:rPr>
              <w:t>Timeliness</w:t>
            </w:r>
          </w:p>
        </w:tc>
      </w:tr>
      <w:tr w:rsidR="002F6840" w14:paraId="5ADEA326" w14:textId="77777777" w:rsidTr="0079546D">
        <w:tc>
          <w:tcPr>
            <w:cnfStyle w:val="001000000000" w:firstRow="0" w:lastRow="0" w:firstColumn="1" w:lastColumn="0" w:oddVBand="0" w:evenVBand="0" w:oddHBand="0" w:evenHBand="0" w:firstRowFirstColumn="0" w:firstRowLastColumn="0" w:lastRowFirstColumn="0" w:lastRowLastColumn="0"/>
            <w:tcW w:w="4819" w:type="dxa"/>
          </w:tcPr>
          <w:p w14:paraId="60797D9C" w14:textId="77777777" w:rsidR="002F6840" w:rsidRDefault="002F6840">
            <w:pPr>
              <w:ind w:left="170"/>
            </w:pPr>
            <w:r>
              <w:t>Provision of social policy briefings within agreed timeframes</w:t>
            </w:r>
          </w:p>
        </w:tc>
        <w:tc>
          <w:tcPr>
            <w:tcW w:w="964" w:type="dxa"/>
          </w:tcPr>
          <w:p w14:paraId="2FD4AC6E"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CE7BAE0"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0F8DEB8"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6850D49"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95B9E8F" w14:textId="77777777" w:rsidR="002F6840" w:rsidRDefault="002F6840">
            <w:pPr>
              <w:cnfStyle w:val="000000000000" w:firstRow="0" w:lastRow="0" w:firstColumn="0" w:lastColumn="0" w:oddVBand="0" w:evenVBand="0" w:oddHBand="0" w:evenHBand="0" w:firstRowFirstColumn="0" w:firstRowLastColumn="0" w:lastRowFirstColumn="0" w:lastRowLastColumn="0"/>
            </w:pPr>
            <w:r>
              <w:t>81</w:t>
            </w:r>
          </w:p>
        </w:tc>
      </w:tr>
      <w:tr w:rsidR="0079546D" w14:paraId="4E5B8FB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9376CF4" w14:textId="393658B5" w:rsidR="0079546D" w:rsidRPr="0079546D" w:rsidRDefault="0079546D">
            <w:pPr>
              <w:rPr>
                <w:b/>
                <w:bCs/>
              </w:rPr>
            </w:pPr>
            <w:r w:rsidRPr="0079546D">
              <w:rPr>
                <w:b/>
                <w:bCs/>
              </w:rPr>
              <w:t>Cost</w:t>
            </w:r>
          </w:p>
        </w:tc>
      </w:tr>
      <w:tr w:rsidR="00A6047D" w14:paraId="2441A4DD" w14:textId="77777777" w:rsidTr="0053686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7ADB6B7" w14:textId="0065FA8E" w:rsidR="00A6047D" w:rsidRDefault="00A6047D" w:rsidP="00A6047D">
            <w:pPr>
              <w:ind w:left="170"/>
            </w:pPr>
            <w:r>
              <w:t>Total output cost</w:t>
            </w:r>
          </w:p>
        </w:tc>
        <w:tc>
          <w:tcPr>
            <w:tcW w:w="964" w:type="dxa"/>
            <w:tcBorders>
              <w:bottom w:val="single" w:sz="6" w:space="0" w:color="auto"/>
            </w:tcBorders>
          </w:tcPr>
          <w:p w14:paraId="7E474C30" w14:textId="6349D467" w:rsidR="00A6047D" w:rsidRDefault="00A6047D" w:rsidP="00A6047D">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1042D91B" w14:textId="226663D0" w:rsidR="00A6047D" w:rsidRDefault="00A6047D" w:rsidP="00A6047D">
            <w:pPr>
              <w:cnfStyle w:val="000000000000" w:firstRow="0" w:lastRow="0" w:firstColumn="0" w:lastColumn="0" w:oddVBand="0" w:evenVBand="0" w:oddHBand="0" w:evenHBand="0" w:firstRowFirstColumn="0" w:firstRowLastColumn="0" w:lastRowFirstColumn="0" w:lastRowLastColumn="0"/>
            </w:pPr>
            <w:r>
              <w:t>18.6</w:t>
            </w:r>
          </w:p>
        </w:tc>
        <w:tc>
          <w:tcPr>
            <w:tcW w:w="964" w:type="dxa"/>
            <w:tcBorders>
              <w:bottom w:val="single" w:sz="6" w:space="0" w:color="auto"/>
            </w:tcBorders>
          </w:tcPr>
          <w:p w14:paraId="6F8FAA76" w14:textId="4D0FF61B" w:rsidR="00A6047D" w:rsidRDefault="00A6047D" w:rsidP="00A6047D">
            <w:pPr>
              <w:cnfStyle w:val="000000000000" w:firstRow="0" w:lastRow="0" w:firstColumn="0" w:lastColumn="0" w:oddVBand="0" w:evenVBand="0" w:oddHBand="0" w:evenHBand="0" w:firstRowFirstColumn="0" w:firstRowLastColumn="0" w:lastRowFirstColumn="0" w:lastRowLastColumn="0"/>
            </w:pPr>
            <w:r>
              <w:t>28.1</w:t>
            </w:r>
          </w:p>
        </w:tc>
        <w:tc>
          <w:tcPr>
            <w:tcW w:w="964" w:type="dxa"/>
            <w:tcBorders>
              <w:bottom w:val="single" w:sz="6" w:space="0" w:color="auto"/>
            </w:tcBorders>
          </w:tcPr>
          <w:p w14:paraId="758B5FE8" w14:textId="786157F3" w:rsidR="00A6047D" w:rsidRDefault="00A6047D" w:rsidP="00A6047D">
            <w:pPr>
              <w:cnfStyle w:val="000000000000" w:firstRow="0" w:lastRow="0" w:firstColumn="0" w:lastColumn="0" w:oddVBand="0" w:evenVBand="0" w:oddHBand="0" w:evenHBand="0" w:firstRowFirstColumn="0" w:firstRowLastColumn="0" w:lastRowFirstColumn="0" w:lastRowLastColumn="0"/>
            </w:pPr>
            <w:r>
              <w:t>22.4</w:t>
            </w:r>
          </w:p>
        </w:tc>
        <w:tc>
          <w:tcPr>
            <w:tcW w:w="964" w:type="dxa"/>
            <w:tcBorders>
              <w:bottom w:val="single" w:sz="6" w:space="0" w:color="auto"/>
            </w:tcBorders>
          </w:tcPr>
          <w:p w14:paraId="7EEB4EF9" w14:textId="497805EE" w:rsidR="00A6047D" w:rsidRDefault="00A6047D" w:rsidP="00A6047D">
            <w:pPr>
              <w:cnfStyle w:val="000000000000" w:firstRow="0" w:lastRow="0" w:firstColumn="0" w:lastColumn="0" w:oddVBand="0" w:evenVBand="0" w:oddHBand="0" w:evenHBand="0" w:firstRowFirstColumn="0" w:firstRowLastColumn="0" w:lastRowFirstColumn="0" w:lastRowLastColumn="0"/>
            </w:pPr>
            <w:r>
              <w:t>26.7</w:t>
            </w:r>
          </w:p>
        </w:tc>
      </w:tr>
      <w:tr w:rsidR="00A6047D" w14:paraId="0E975C3E" w14:textId="77777777" w:rsidTr="0053686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1561603" w14:textId="2C43E309" w:rsidR="00A6047D" w:rsidRDefault="00025002" w:rsidP="00025002">
            <w:pPr>
              <w:ind w:left="170"/>
            </w:pPr>
            <w:r w:rsidRPr="00612E9E">
              <w:rPr>
                <w:i/>
              </w:rPr>
              <w:t>The 2025</w:t>
            </w:r>
            <w:r w:rsidR="00383570">
              <w:rPr>
                <w:i/>
              </w:rPr>
              <w:t>-</w:t>
            </w:r>
            <w:r w:rsidRPr="00612E9E">
              <w:rPr>
                <w:i/>
              </w:rPr>
              <w:t xml:space="preserve">26 expected outcome is higher than the target primarily due to funding allocated for the Forum for Truth and Recognition following publication of the </w:t>
            </w:r>
            <w:r w:rsidRPr="00536865">
              <w:t>2025</w:t>
            </w:r>
            <w:r w:rsidR="00383570" w:rsidRPr="00536865">
              <w:t>-</w:t>
            </w:r>
            <w:r w:rsidRPr="00536865">
              <w:t>26 Budget</w:t>
            </w:r>
            <w:r w:rsidRPr="00612E9E">
              <w:rPr>
                <w:i/>
              </w:rPr>
              <w:t>.</w:t>
            </w:r>
          </w:p>
        </w:tc>
      </w:tr>
      <w:tr w:rsidR="00025002" w14:paraId="053CA0B6"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382351F" w14:textId="30E61705" w:rsidR="00025002" w:rsidRDefault="00612E9E" w:rsidP="00612E9E">
            <w:pPr>
              <w:ind w:left="170"/>
            </w:pPr>
            <w:r w:rsidRPr="00612E9E">
              <w:rPr>
                <w:i/>
              </w:rPr>
              <w:t>The lower 2026</w:t>
            </w:r>
            <w:r w:rsidR="00383570">
              <w:rPr>
                <w:i/>
              </w:rPr>
              <w:t>-</w:t>
            </w:r>
            <w:r w:rsidRPr="00612E9E">
              <w:rPr>
                <w:i/>
              </w:rPr>
              <w:t>27 target is primarily due to the impact of savings applied, and funding relinquished to DGS to centralise government accommodation management.</w:t>
            </w:r>
          </w:p>
        </w:tc>
      </w:tr>
    </w:tbl>
    <w:p w14:paraId="2A25C26C" w14:textId="77777777" w:rsidR="002F6840" w:rsidRDefault="002F6840" w:rsidP="002F6840">
      <w:pPr>
        <w:pStyle w:val="Source"/>
      </w:pPr>
      <w:r>
        <w:t>Source: Department of Premier and Cabinet</w:t>
      </w:r>
    </w:p>
    <w:p w14:paraId="7575F3C0" w14:textId="77777777" w:rsidR="002F6840" w:rsidRDefault="002F6840" w:rsidP="002F6840">
      <w:pPr>
        <w:pStyle w:val="Heading3"/>
      </w:pPr>
      <w:r>
        <w:t>Multicultural Affairs Policy and Programs</w:t>
      </w:r>
      <w:r>
        <w:tab/>
        <w:t>(2026-27: $49.5 million)</w:t>
      </w:r>
    </w:p>
    <w:p w14:paraId="49150037" w14:textId="6B5C9F96" w:rsidR="002F6840" w:rsidRPr="002C3DFE" w:rsidRDefault="002F6840" w:rsidP="002F6840">
      <w:pPr>
        <w:keepNext/>
        <w:shd w:val="clear" w:color="auto" w:fill="FFFFFF"/>
        <w:spacing w:after="120"/>
        <w:rPr>
          <w:rFonts w:eastAsia="Garamond" w:cs="Calibri"/>
          <w:szCs w:val="20"/>
        </w:rPr>
      </w:pPr>
      <w:r w:rsidRPr="002C3DFE">
        <w:rPr>
          <w:rFonts w:eastAsia="Garamond" w:cs="Calibri"/>
          <w:szCs w:val="20"/>
        </w:rPr>
        <w:t>This output provides policy advice on multicultural affairs and social cohesion in Victoria, including settlement coordination for newly arrived migrants and refugees, and delivers a range of programs to directly support Victoria’s multicultural communities. It also supports Victoria’s whole of government approach to multiculturalism. The output includes monitoring of government departments’ responsiveness to Victorians from culturally, linguistically and religiously diverse backgrounds.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0BA1C4DB" w14:textId="77777777" w:rsidTr="00D530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5B6145F" w14:textId="77777777" w:rsidR="002F6840" w:rsidRDefault="002F6840">
            <w:r>
              <w:t>Performance measure</w:t>
            </w:r>
          </w:p>
        </w:tc>
        <w:tc>
          <w:tcPr>
            <w:tcW w:w="964" w:type="dxa"/>
          </w:tcPr>
          <w:p w14:paraId="75386AE8"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06A43CA"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7B75973"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FEF6C0B"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F109E9E"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075FE7B4" w14:textId="77777777" w:rsidTr="00D530C1">
        <w:tc>
          <w:tcPr>
            <w:cnfStyle w:val="001000000000" w:firstRow="0" w:lastRow="0" w:firstColumn="1" w:lastColumn="0" w:oddVBand="0" w:evenVBand="0" w:oddHBand="0" w:evenHBand="0" w:firstRowFirstColumn="0" w:firstRowLastColumn="0" w:lastRowFirstColumn="0" w:lastRowLastColumn="0"/>
            <w:tcW w:w="9639" w:type="dxa"/>
            <w:gridSpan w:val="6"/>
          </w:tcPr>
          <w:p w14:paraId="5809B48A" w14:textId="77777777" w:rsidR="002F6840" w:rsidRPr="00D530C1" w:rsidRDefault="002F6840">
            <w:pPr>
              <w:keepNext/>
              <w:rPr>
                <w:b/>
                <w:bCs/>
                <w:iCs/>
              </w:rPr>
            </w:pPr>
            <w:r w:rsidRPr="00D530C1">
              <w:rPr>
                <w:b/>
                <w:bCs/>
                <w:iCs/>
              </w:rPr>
              <w:t>Quantity</w:t>
            </w:r>
          </w:p>
        </w:tc>
      </w:tr>
      <w:tr w:rsidR="002F6840" w14:paraId="35A2DF37" w14:textId="77777777" w:rsidTr="00D530C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548A881" w14:textId="77777777" w:rsidR="002F6840" w:rsidRDefault="002F6840">
            <w:pPr>
              <w:ind w:left="170"/>
            </w:pPr>
            <w:r>
              <w:t>Community participation in multicultural events (attendance at Multicultural Affairs events)</w:t>
            </w:r>
          </w:p>
        </w:tc>
        <w:tc>
          <w:tcPr>
            <w:tcW w:w="964" w:type="dxa"/>
            <w:tcBorders>
              <w:bottom w:val="single" w:sz="6" w:space="0" w:color="auto"/>
            </w:tcBorders>
          </w:tcPr>
          <w:p w14:paraId="4F75149C"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tcBorders>
              <w:bottom w:val="single" w:sz="6" w:space="0" w:color="auto"/>
            </w:tcBorders>
            <w:shd w:val="clear" w:color="auto" w:fill="F0F0F0"/>
          </w:tcPr>
          <w:p w14:paraId="59A483E8" w14:textId="77777777" w:rsidR="002F6840" w:rsidRDefault="002F6840">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17652FF4" w14:textId="77777777" w:rsidR="002F6840" w:rsidRDefault="002F6840">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1FED60DC" w14:textId="77777777" w:rsidR="002F6840" w:rsidRDefault="002F6840">
            <w:pPr>
              <w:cnfStyle w:val="000000000000" w:firstRow="0" w:lastRow="0" w:firstColumn="0" w:lastColumn="0" w:oddVBand="0" w:evenVBand="0" w:oddHBand="0" w:evenHBand="0" w:firstRowFirstColumn="0" w:firstRowLastColumn="0" w:lastRowFirstColumn="0" w:lastRowLastColumn="0"/>
            </w:pPr>
            <w:r>
              <w:t>1.3</w:t>
            </w:r>
          </w:p>
        </w:tc>
        <w:tc>
          <w:tcPr>
            <w:tcW w:w="964" w:type="dxa"/>
            <w:tcBorders>
              <w:bottom w:val="single" w:sz="6" w:space="0" w:color="auto"/>
            </w:tcBorders>
          </w:tcPr>
          <w:p w14:paraId="70A99AC1" w14:textId="098BB489" w:rsidR="002F6840" w:rsidRDefault="002F6840">
            <w:pPr>
              <w:cnfStyle w:val="000000000000" w:firstRow="0" w:lastRow="0" w:firstColumn="0" w:lastColumn="0" w:oddVBand="0" w:evenVBand="0" w:oddHBand="0" w:evenHBand="0" w:firstRowFirstColumn="0" w:firstRowLastColumn="0" w:lastRowFirstColumn="0" w:lastRowLastColumn="0"/>
            </w:pPr>
            <w:r>
              <w:t>1.6</w:t>
            </w:r>
          </w:p>
        </w:tc>
      </w:tr>
      <w:tr w:rsidR="002F6840" w14:paraId="24384449" w14:textId="77777777" w:rsidTr="00D530C1">
        <w:tc>
          <w:tcPr>
            <w:cnfStyle w:val="001000000000" w:firstRow="0" w:lastRow="0" w:firstColumn="1" w:lastColumn="0" w:oddVBand="0" w:evenVBand="0" w:oddHBand="0" w:evenHBand="0" w:firstRowFirstColumn="0" w:firstRowLastColumn="0" w:lastRowFirstColumn="0" w:lastRowLastColumn="0"/>
            <w:tcW w:w="4819" w:type="dxa"/>
          </w:tcPr>
          <w:p w14:paraId="445A199F" w14:textId="77777777" w:rsidR="002F6840" w:rsidRDefault="002F6840">
            <w:pPr>
              <w:keepNext/>
              <w:ind w:left="170"/>
            </w:pPr>
            <w:r>
              <w:t>Consultations with communities on issues relevant to multicultural and multifaith communities</w:t>
            </w:r>
          </w:p>
        </w:tc>
        <w:tc>
          <w:tcPr>
            <w:tcW w:w="964" w:type="dxa"/>
          </w:tcPr>
          <w:p w14:paraId="4F95BE08"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EA80782"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F34CE75" w14:textId="77777777" w:rsidR="002F6840" w:rsidRDefault="002F6840">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37E13C3D"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56D0D2EA" w14:textId="77777777" w:rsidR="002F6840" w:rsidRDefault="002F6840">
            <w:pPr>
              <w:cnfStyle w:val="000000000000" w:firstRow="0" w:lastRow="0" w:firstColumn="0" w:lastColumn="0" w:oddVBand="0" w:evenVBand="0" w:oddHBand="0" w:evenHBand="0" w:firstRowFirstColumn="0" w:firstRowLastColumn="0" w:lastRowFirstColumn="0" w:lastRowLastColumn="0"/>
            </w:pPr>
            <w:r>
              <w:t>188</w:t>
            </w:r>
          </w:p>
        </w:tc>
      </w:tr>
      <w:tr w:rsidR="002F6840" w14:paraId="2C8A75BB" w14:textId="77777777" w:rsidTr="00D530C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A05FDD" w14:textId="424F956D" w:rsidR="002F6840" w:rsidRDefault="002F6840">
            <w:pPr>
              <w:ind w:left="170"/>
            </w:pPr>
            <w:r>
              <w:rPr>
                <w:i/>
              </w:rPr>
              <w:t>The 2025-26 expected outcome is higher than the target due to the scale of multicultural consultations that were undertaken throughout the year, including through Victoria</w:t>
            </w:r>
            <w:r w:rsidR="00AD4833">
              <w:rPr>
                <w:i/>
              </w:rPr>
              <w:t>’</w:t>
            </w:r>
            <w:r>
              <w:rPr>
                <w:i/>
              </w:rPr>
              <w:t xml:space="preserve">s Multicultural Review. The scale of these consultations reflect the </w:t>
            </w:r>
            <w:r w:rsidR="00306A85">
              <w:rPr>
                <w:i/>
              </w:rPr>
              <w:t>G</w:t>
            </w:r>
            <w:r>
              <w:rPr>
                <w:i/>
              </w:rPr>
              <w:t>overnment</w:t>
            </w:r>
            <w:r w:rsidR="00AD4833">
              <w:rPr>
                <w:i/>
              </w:rPr>
              <w:t>’</w:t>
            </w:r>
            <w:r>
              <w:rPr>
                <w:i/>
              </w:rPr>
              <w:t>s commitments in the multicultural portfolio across the year.</w:t>
            </w:r>
          </w:p>
        </w:tc>
      </w:tr>
      <w:tr w:rsidR="002F6840" w14:paraId="3F28EE75" w14:textId="77777777" w:rsidTr="00D530C1">
        <w:tc>
          <w:tcPr>
            <w:cnfStyle w:val="001000000000" w:firstRow="0" w:lastRow="0" w:firstColumn="1" w:lastColumn="0" w:oddVBand="0" w:evenVBand="0" w:oddHBand="0" w:evenHBand="0" w:firstRowFirstColumn="0" w:firstRowLastColumn="0" w:lastRowFirstColumn="0" w:lastRowLastColumn="0"/>
            <w:tcW w:w="4819" w:type="dxa"/>
          </w:tcPr>
          <w:p w14:paraId="56D3559B" w14:textId="77777777" w:rsidR="002F6840" w:rsidRDefault="002F6840">
            <w:pPr>
              <w:keepNext/>
              <w:ind w:left="170"/>
            </w:pPr>
            <w:r>
              <w:t>Number of people engaged through Cultural Diversity Week events and engagement</w:t>
            </w:r>
          </w:p>
        </w:tc>
        <w:tc>
          <w:tcPr>
            <w:tcW w:w="964" w:type="dxa"/>
          </w:tcPr>
          <w:p w14:paraId="048810E0"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2FC14A0" w14:textId="77777777" w:rsidR="002F6840" w:rsidRDefault="002F6840">
            <w:pPr>
              <w:cnfStyle w:val="000000000000" w:firstRow="0" w:lastRow="0" w:firstColumn="0" w:lastColumn="0" w:oddVBand="0" w:evenVBand="0" w:oddHBand="0" w:evenHBand="0" w:firstRowFirstColumn="0" w:firstRowLastColumn="0" w:lastRowFirstColumn="0" w:lastRowLastColumn="0"/>
            </w:pPr>
            <w:r>
              <w:t>60 000</w:t>
            </w:r>
          </w:p>
        </w:tc>
        <w:tc>
          <w:tcPr>
            <w:tcW w:w="964" w:type="dxa"/>
          </w:tcPr>
          <w:p w14:paraId="4BB02141" w14:textId="77777777" w:rsidR="002F6840" w:rsidRDefault="002F6840">
            <w:pPr>
              <w:cnfStyle w:val="000000000000" w:firstRow="0" w:lastRow="0" w:firstColumn="0" w:lastColumn="0" w:oddVBand="0" w:evenVBand="0" w:oddHBand="0" w:evenHBand="0" w:firstRowFirstColumn="0" w:firstRowLastColumn="0" w:lastRowFirstColumn="0" w:lastRowLastColumn="0"/>
            </w:pPr>
            <w:r>
              <w:t>60 000</w:t>
            </w:r>
          </w:p>
        </w:tc>
        <w:tc>
          <w:tcPr>
            <w:tcW w:w="964" w:type="dxa"/>
          </w:tcPr>
          <w:p w14:paraId="3EF8A071" w14:textId="77777777" w:rsidR="002F6840" w:rsidRDefault="002F6840">
            <w:pPr>
              <w:cnfStyle w:val="000000000000" w:firstRow="0" w:lastRow="0" w:firstColumn="0" w:lastColumn="0" w:oddVBand="0" w:evenVBand="0" w:oddHBand="0" w:evenHBand="0" w:firstRowFirstColumn="0" w:firstRowLastColumn="0" w:lastRowFirstColumn="0" w:lastRowLastColumn="0"/>
            </w:pPr>
            <w:r>
              <w:t>50 000</w:t>
            </w:r>
          </w:p>
        </w:tc>
        <w:tc>
          <w:tcPr>
            <w:tcW w:w="964" w:type="dxa"/>
          </w:tcPr>
          <w:p w14:paraId="632FE31E" w14:textId="77777777" w:rsidR="002F6840" w:rsidRDefault="002F6840">
            <w:pPr>
              <w:cnfStyle w:val="000000000000" w:firstRow="0" w:lastRow="0" w:firstColumn="0" w:lastColumn="0" w:oddVBand="0" w:evenVBand="0" w:oddHBand="0" w:evenHBand="0" w:firstRowFirstColumn="0" w:firstRowLastColumn="0" w:lastRowFirstColumn="0" w:lastRowLastColumn="0"/>
            </w:pPr>
            <w:r>
              <w:t>59 727</w:t>
            </w:r>
          </w:p>
        </w:tc>
      </w:tr>
      <w:tr w:rsidR="002F6840" w14:paraId="5144656D" w14:textId="77777777" w:rsidTr="00D530C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050E250" w14:textId="0D728DDD" w:rsidR="002F6840" w:rsidRDefault="002F6840">
            <w:pPr>
              <w:ind w:left="170"/>
            </w:pPr>
            <w:r>
              <w:rPr>
                <w:i/>
              </w:rPr>
              <w:t>The 2025</w:t>
            </w:r>
            <w:r w:rsidR="003571F9">
              <w:rPr>
                <w:i/>
              </w:rPr>
              <w:t>-</w:t>
            </w:r>
            <w:r>
              <w:rPr>
                <w:i/>
              </w:rPr>
              <w:t xml:space="preserve">26 expected outcome is higher than the target due to increased community engagement with Cultural Diversity Week, including through the relaunch of the Victorian Multicultural Festival and a targeted digital campaign. </w:t>
            </w:r>
          </w:p>
          <w:p w14:paraId="5A06C870" w14:textId="7EB91B8B" w:rsidR="002F6840" w:rsidRDefault="002F6840">
            <w:pPr>
              <w:ind w:left="170"/>
            </w:pPr>
            <w:r>
              <w:rPr>
                <w:i/>
              </w:rPr>
              <w:t>The higher 2026</w:t>
            </w:r>
            <w:r w:rsidR="003571F9">
              <w:rPr>
                <w:i/>
              </w:rPr>
              <w:t>-</w:t>
            </w:r>
            <w:r>
              <w:rPr>
                <w:i/>
              </w:rPr>
              <w:t>27 target reflects the success of these initiatives.</w:t>
            </w:r>
          </w:p>
        </w:tc>
      </w:tr>
      <w:tr w:rsidR="002F6840" w14:paraId="405782D2" w14:textId="77777777" w:rsidTr="00D530C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7F3E049" w14:textId="77777777" w:rsidR="002F6840" w:rsidRDefault="002F6840">
            <w:pPr>
              <w:ind w:left="170"/>
            </w:pPr>
            <w:r>
              <w:t>Number of projects delivered in partnerships with multicultural and multifaith communities</w:t>
            </w:r>
          </w:p>
        </w:tc>
        <w:tc>
          <w:tcPr>
            <w:tcW w:w="964" w:type="dxa"/>
            <w:tcBorders>
              <w:bottom w:val="single" w:sz="6" w:space="0" w:color="auto"/>
            </w:tcBorders>
          </w:tcPr>
          <w:p w14:paraId="71F03A9E"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805A108" w14:textId="77777777" w:rsidR="002F6840" w:rsidRDefault="002F6840">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7AFF7D74" w14:textId="77777777" w:rsidR="002F6840" w:rsidRDefault="002F6840">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367CCB45" w14:textId="77777777" w:rsidR="002F6840" w:rsidRDefault="002F6840">
            <w:pPr>
              <w:cnfStyle w:val="000000000000" w:firstRow="0" w:lastRow="0" w:firstColumn="0" w:lastColumn="0" w:oddVBand="0" w:evenVBand="0" w:oddHBand="0" w:evenHBand="0" w:firstRowFirstColumn="0" w:firstRowLastColumn="0" w:lastRowFirstColumn="0" w:lastRowLastColumn="0"/>
            </w:pPr>
            <w:r>
              <w:t>30</w:t>
            </w:r>
          </w:p>
        </w:tc>
        <w:tc>
          <w:tcPr>
            <w:tcW w:w="964" w:type="dxa"/>
            <w:tcBorders>
              <w:bottom w:val="single" w:sz="6" w:space="0" w:color="auto"/>
            </w:tcBorders>
          </w:tcPr>
          <w:p w14:paraId="6C8EE0EB" w14:textId="77777777" w:rsidR="002F6840" w:rsidRDefault="002F6840">
            <w:pPr>
              <w:cnfStyle w:val="000000000000" w:firstRow="0" w:lastRow="0" w:firstColumn="0" w:lastColumn="0" w:oddVBand="0" w:evenVBand="0" w:oddHBand="0" w:evenHBand="0" w:firstRowFirstColumn="0" w:firstRowLastColumn="0" w:lastRowFirstColumn="0" w:lastRowLastColumn="0"/>
            </w:pPr>
            <w:r>
              <w:t>67</w:t>
            </w:r>
          </w:p>
        </w:tc>
      </w:tr>
      <w:tr w:rsidR="002F6840" w14:paraId="29044252"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7842780B" w14:textId="77777777" w:rsidR="002F6840" w:rsidRPr="00D530C1" w:rsidRDefault="002F6840">
            <w:pPr>
              <w:keepNext/>
              <w:rPr>
                <w:b/>
                <w:bCs/>
                <w:iCs/>
              </w:rPr>
            </w:pPr>
            <w:r w:rsidRPr="00D530C1">
              <w:rPr>
                <w:b/>
                <w:bCs/>
                <w:iCs/>
              </w:rPr>
              <w:t>Quality</w:t>
            </w:r>
          </w:p>
        </w:tc>
      </w:tr>
      <w:tr w:rsidR="002F6840" w14:paraId="61858B8A" w14:textId="77777777" w:rsidTr="00954A6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71153D" w14:textId="77777777" w:rsidR="002F6840" w:rsidRDefault="002F6840">
            <w:pPr>
              <w:ind w:left="170"/>
            </w:pPr>
            <w:r>
              <w:t>Proportion of approved grant funding provided to organisations in regional/rural areas</w:t>
            </w:r>
          </w:p>
        </w:tc>
        <w:tc>
          <w:tcPr>
            <w:tcW w:w="964" w:type="dxa"/>
            <w:tcBorders>
              <w:bottom w:val="single" w:sz="6" w:space="0" w:color="auto"/>
            </w:tcBorders>
          </w:tcPr>
          <w:p w14:paraId="444889A5"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DD55988"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6CD88108"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48DB0CD0" w14:textId="77777777" w:rsidR="002F6840" w:rsidRDefault="002F6840">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1687599D" w14:textId="77777777" w:rsidR="002F6840" w:rsidRDefault="002F6840">
            <w:pPr>
              <w:cnfStyle w:val="000000000000" w:firstRow="0" w:lastRow="0" w:firstColumn="0" w:lastColumn="0" w:oddVBand="0" w:evenVBand="0" w:oddHBand="0" w:evenHBand="0" w:firstRowFirstColumn="0" w:firstRowLastColumn="0" w:lastRowFirstColumn="0" w:lastRowLastColumn="0"/>
            </w:pPr>
            <w:r>
              <w:t>22</w:t>
            </w:r>
          </w:p>
        </w:tc>
      </w:tr>
      <w:tr w:rsidR="00D530C1" w14:paraId="5C42892E"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1BF8AF3" w14:textId="630BED40" w:rsidR="00D530C1" w:rsidRPr="00D530C1" w:rsidRDefault="00D530C1" w:rsidP="00702F97">
            <w:pPr>
              <w:keepNext/>
              <w:rPr>
                <w:b/>
                <w:bCs/>
              </w:rPr>
            </w:pPr>
            <w:r w:rsidRPr="00D530C1">
              <w:rPr>
                <w:b/>
                <w:bCs/>
              </w:rPr>
              <w:lastRenderedPageBreak/>
              <w:t>Cost</w:t>
            </w:r>
          </w:p>
        </w:tc>
      </w:tr>
      <w:tr w:rsidR="00516C13" w14:paraId="339A55AD" w14:textId="77777777" w:rsidTr="00D530C1">
        <w:tc>
          <w:tcPr>
            <w:cnfStyle w:val="001000000000" w:firstRow="0" w:lastRow="0" w:firstColumn="1" w:lastColumn="0" w:oddVBand="0" w:evenVBand="0" w:oddHBand="0" w:evenHBand="0" w:firstRowFirstColumn="0" w:firstRowLastColumn="0" w:lastRowFirstColumn="0" w:lastRowLastColumn="0"/>
            <w:tcW w:w="4819" w:type="dxa"/>
          </w:tcPr>
          <w:p w14:paraId="06E73EA5" w14:textId="02343EF4" w:rsidR="00516C13" w:rsidRDefault="00516C13" w:rsidP="00702F97">
            <w:pPr>
              <w:keepNext/>
              <w:ind w:left="170"/>
            </w:pPr>
            <w:r>
              <w:t>Total output cost</w:t>
            </w:r>
          </w:p>
        </w:tc>
        <w:tc>
          <w:tcPr>
            <w:tcW w:w="964" w:type="dxa"/>
          </w:tcPr>
          <w:p w14:paraId="705B034D" w14:textId="295FCCD1" w:rsidR="00516C13" w:rsidRDefault="00516C13" w:rsidP="00516C13">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E9A8620" w14:textId="5B412DEA" w:rsidR="00516C13" w:rsidRDefault="00516C13" w:rsidP="00516C13">
            <w:pPr>
              <w:cnfStyle w:val="000000000000" w:firstRow="0" w:lastRow="0" w:firstColumn="0" w:lastColumn="0" w:oddVBand="0" w:evenVBand="0" w:oddHBand="0" w:evenHBand="0" w:firstRowFirstColumn="0" w:firstRowLastColumn="0" w:lastRowFirstColumn="0" w:lastRowLastColumn="0"/>
            </w:pPr>
            <w:r>
              <w:t>49.5</w:t>
            </w:r>
          </w:p>
        </w:tc>
        <w:tc>
          <w:tcPr>
            <w:tcW w:w="964" w:type="dxa"/>
          </w:tcPr>
          <w:p w14:paraId="39185BDB" w14:textId="6E8B5F7E" w:rsidR="00516C13" w:rsidRDefault="00516C13" w:rsidP="00516C13">
            <w:pPr>
              <w:cnfStyle w:val="000000000000" w:firstRow="0" w:lastRow="0" w:firstColumn="0" w:lastColumn="0" w:oddVBand="0" w:evenVBand="0" w:oddHBand="0" w:evenHBand="0" w:firstRowFirstColumn="0" w:firstRowLastColumn="0" w:lastRowFirstColumn="0" w:lastRowLastColumn="0"/>
            </w:pPr>
            <w:r>
              <w:t>67.1</w:t>
            </w:r>
          </w:p>
        </w:tc>
        <w:tc>
          <w:tcPr>
            <w:tcW w:w="964" w:type="dxa"/>
          </w:tcPr>
          <w:p w14:paraId="7688BF7D" w14:textId="73DB5DC8" w:rsidR="00516C13" w:rsidRDefault="00516C13" w:rsidP="00516C13">
            <w:pPr>
              <w:cnfStyle w:val="000000000000" w:firstRow="0" w:lastRow="0" w:firstColumn="0" w:lastColumn="0" w:oddVBand="0" w:evenVBand="0" w:oddHBand="0" w:evenHBand="0" w:firstRowFirstColumn="0" w:firstRowLastColumn="0" w:lastRowFirstColumn="0" w:lastRowLastColumn="0"/>
            </w:pPr>
            <w:r>
              <w:t>48.2</w:t>
            </w:r>
          </w:p>
        </w:tc>
        <w:tc>
          <w:tcPr>
            <w:tcW w:w="964" w:type="dxa"/>
          </w:tcPr>
          <w:p w14:paraId="772723EE" w14:textId="41A9A8FC" w:rsidR="00516C13" w:rsidRDefault="00516C13" w:rsidP="00516C13">
            <w:pPr>
              <w:cnfStyle w:val="000000000000" w:firstRow="0" w:lastRow="0" w:firstColumn="0" w:lastColumn="0" w:oddVBand="0" w:evenVBand="0" w:oddHBand="0" w:evenHBand="0" w:firstRowFirstColumn="0" w:firstRowLastColumn="0" w:lastRowFirstColumn="0" w:lastRowLastColumn="0"/>
            </w:pPr>
            <w:r>
              <w:t>52.2</w:t>
            </w:r>
          </w:p>
        </w:tc>
      </w:tr>
      <w:tr w:rsidR="00516C13" w14:paraId="272CBC8F"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887A760" w14:textId="759B38EF" w:rsidR="00516C13" w:rsidRPr="00BE3A0C" w:rsidRDefault="00BE3A0C" w:rsidP="00DB5B3F">
            <w:pPr>
              <w:keepNext/>
              <w:ind w:left="170"/>
              <w:rPr>
                <w:i/>
              </w:rPr>
            </w:pPr>
            <w:r w:rsidRPr="00DD5724">
              <w:rPr>
                <w:i/>
                <w:iCs/>
              </w:rPr>
              <w:t>The 2025</w:t>
            </w:r>
            <w:r w:rsidR="00383570">
              <w:rPr>
                <w:i/>
                <w:iCs/>
              </w:rPr>
              <w:t>-</w:t>
            </w:r>
            <w:r w:rsidRPr="00DD5724">
              <w:rPr>
                <w:i/>
                <w:iCs/>
              </w:rPr>
              <w:t xml:space="preserve">26 expected outcome is higher than the target primarily due to the following factors arising since the publication of the </w:t>
            </w:r>
            <w:r w:rsidRPr="00702F97">
              <w:t>2025</w:t>
            </w:r>
            <w:r w:rsidR="00AA3A9C" w:rsidRPr="00702F97">
              <w:noBreakHyphen/>
            </w:r>
            <w:r w:rsidRPr="00702F97">
              <w:t>26 Budget</w:t>
            </w:r>
            <w:r w:rsidRPr="00DD5724">
              <w:rPr>
                <w:i/>
                <w:iCs/>
              </w:rPr>
              <w:t>:</w:t>
            </w:r>
            <w:r w:rsidR="00DB5B3F">
              <w:rPr>
                <w:i/>
                <w:iCs/>
              </w:rPr>
              <w:t xml:space="preserve"> </w:t>
            </w:r>
            <w:r w:rsidR="00BA17C6">
              <w:rPr>
                <w:i/>
                <w:iCs/>
              </w:rPr>
              <w:t>r</w:t>
            </w:r>
            <w:r w:rsidR="00BA17C6" w:rsidRPr="00DD5724">
              <w:rPr>
                <w:i/>
                <w:iCs/>
              </w:rPr>
              <w:t xml:space="preserve">elease </w:t>
            </w:r>
            <w:r w:rsidRPr="00DD5724">
              <w:rPr>
                <w:i/>
                <w:iCs/>
              </w:rPr>
              <w:t>of contingency funding for the Ensuring Victoria</w:t>
            </w:r>
            <w:r w:rsidR="00AD4833">
              <w:rPr>
                <w:i/>
                <w:iCs/>
              </w:rPr>
              <w:t>’</w:t>
            </w:r>
            <w:r w:rsidRPr="00DD5724">
              <w:rPr>
                <w:i/>
                <w:iCs/>
              </w:rPr>
              <w:t>s Multicultural Communities Live Harmoniously and Securely initiative</w:t>
            </w:r>
            <w:r w:rsidR="00DB5B3F">
              <w:rPr>
                <w:i/>
                <w:iCs/>
              </w:rPr>
              <w:t xml:space="preserve">; </w:t>
            </w:r>
            <w:r w:rsidR="00A2469E">
              <w:rPr>
                <w:i/>
                <w:iCs/>
              </w:rPr>
              <w:t>a</w:t>
            </w:r>
            <w:r w:rsidR="00A2469E" w:rsidRPr="00DD5724">
              <w:rPr>
                <w:i/>
                <w:iCs/>
              </w:rPr>
              <w:t xml:space="preserve">dditional </w:t>
            </w:r>
            <w:r w:rsidRPr="00DD5724">
              <w:rPr>
                <w:i/>
                <w:iCs/>
              </w:rPr>
              <w:t xml:space="preserve">funding provided for the Establish the Multicultural Community Capacity Building Program and </w:t>
            </w:r>
            <w:r w:rsidR="008C0D5B">
              <w:rPr>
                <w:i/>
                <w:iCs/>
              </w:rPr>
              <w:t xml:space="preserve">to provide supports to the </w:t>
            </w:r>
            <w:r w:rsidR="00B0360D">
              <w:rPr>
                <w:i/>
                <w:iCs/>
              </w:rPr>
              <w:t>Jewish community following the Bondi terror attac</w:t>
            </w:r>
            <w:r w:rsidR="00B205BF">
              <w:rPr>
                <w:i/>
                <w:iCs/>
              </w:rPr>
              <w:t>k</w:t>
            </w:r>
            <w:r w:rsidR="00B0360D">
              <w:rPr>
                <w:i/>
                <w:iCs/>
              </w:rPr>
              <w:t xml:space="preserve"> in December 2025</w:t>
            </w:r>
            <w:r w:rsidR="00DB5B3F">
              <w:rPr>
                <w:i/>
                <w:iCs/>
              </w:rPr>
              <w:t xml:space="preserve">; </w:t>
            </w:r>
            <w:r w:rsidR="00A2469E">
              <w:rPr>
                <w:i/>
                <w:iCs/>
              </w:rPr>
              <w:t>and f</w:t>
            </w:r>
            <w:r w:rsidRPr="00BE3A0C">
              <w:rPr>
                <w:i/>
                <w:iCs/>
              </w:rPr>
              <w:t>unding rephased from 2024</w:t>
            </w:r>
            <w:r w:rsidR="00383570">
              <w:rPr>
                <w:i/>
                <w:iCs/>
              </w:rPr>
              <w:t>-</w:t>
            </w:r>
            <w:r w:rsidRPr="00BE3A0C">
              <w:rPr>
                <w:i/>
                <w:iCs/>
              </w:rPr>
              <w:t>25 into 2025</w:t>
            </w:r>
            <w:r w:rsidR="00383570">
              <w:rPr>
                <w:i/>
                <w:iCs/>
              </w:rPr>
              <w:t>-</w:t>
            </w:r>
            <w:r w:rsidRPr="00BE3A0C">
              <w:rPr>
                <w:i/>
                <w:iCs/>
              </w:rPr>
              <w:t>26 to enable completion of project milestones for the Delivering commitments to Victoria’s Multicultural communities initiative.</w:t>
            </w:r>
          </w:p>
        </w:tc>
      </w:tr>
    </w:tbl>
    <w:p w14:paraId="5B470D1D" w14:textId="77777777" w:rsidR="002F6840" w:rsidRDefault="002F6840" w:rsidP="002F6840">
      <w:pPr>
        <w:pStyle w:val="Source"/>
      </w:pPr>
      <w:r>
        <w:t>Source: Department of Premier and Cabinet</w:t>
      </w:r>
    </w:p>
    <w:p w14:paraId="02FA38C7" w14:textId="77777777" w:rsidR="00D24590" w:rsidRPr="00D24590" w:rsidRDefault="00D24590" w:rsidP="00D24590"/>
    <w:p w14:paraId="4FCF0586" w14:textId="77777777" w:rsidR="002F6840" w:rsidRPr="00F26FF5" w:rsidRDefault="002F6840" w:rsidP="00D24590">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cs="Calibri"/>
          <w:b/>
          <w:szCs w:val="20"/>
        </w:rPr>
      </w:pPr>
      <w:r w:rsidRPr="00F26FF5">
        <w:rPr>
          <w:rFonts w:ascii="Calibri" w:eastAsia="Garamond" w:hAnsi="Calibri" w:cs="Calibri"/>
          <w:b/>
          <w:szCs w:val="20"/>
        </w:rPr>
        <w:t>Objective 2: First Peoples in Victoria are strong and self-determining</w:t>
      </w:r>
    </w:p>
    <w:p w14:paraId="5413C669" w14:textId="23E803C1" w:rsidR="002F6840" w:rsidRPr="00BA714B" w:rsidRDefault="002F6840" w:rsidP="002F6840">
      <w:pPr>
        <w:pBdr>
          <w:top w:val="single" w:sz="6" w:space="3" w:color="auto"/>
          <w:left w:val="single" w:sz="6" w:space="4" w:color="auto"/>
          <w:bottom w:val="single" w:sz="6" w:space="3" w:color="auto"/>
          <w:right w:val="single" w:sz="6" w:space="4" w:color="auto"/>
        </w:pBdr>
        <w:shd w:val="clear" w:color="auto" w:fill="F2F2F2"/>
        <w:rPr>
          <w:rFonts w:eastAsia="Garamond" w:cs="Calibri"/>
          <w:color w:val="000000" w:themeColor="text1"/>
          <w:szCs w:val="20"/>
        </w:rPr>
      </w:pPr>
      <w:r w:rsidRPr="00BA714B">
        <w:rPr>
          <w:rFonts w:eastAsia="Garamond" w:cs="Calibri"/>
          <w:szCs w:val="20"/>
        </w:rPr>
        <w:t xml:space="preserve">This objective focuses on improving outcomes and services for First Peoples through prioritising actions to </w:t>
      </w:r>
      <w:r w:rsidRPr="00BA714B">
        <w:rPr>
          <w:rFonts w:eastAsia="Garamond" w:cs="Calibri"/>
          <w:color w:val="000000" w:themeColor="text1"/>
          <w:szCs w:val="20"/>
        </w:rPr>
        <w:t>enable self-determination, including advancing treaty, protecting and promoting cultural rights, recognising land and native title rights, and supporting ongoing monitoring and implementation of Yoorrook Justice Commission recommendations. It provides culturally safe systems and services and transfers power and resources to communities. It also focuses on delivering Victoria’s Treaty process through the implementation of the first Statewide Treaty, including the establishment of Gellung Warl, and preparing for Traditional Owner and ongoing Statewide</w:t>
      </w:r>
      <w:r w:rsidRPr="00BA714B">
        <w:rPr>
          <w:rFonts w:eastAsia="Garamond" w:cs="Calibri"/>
          <w:b/>
          <w:bCs/>
          <w:color w:val="000000" w:themeColor="text1"/>
          <w:szCs w:val="20"/>
        </w:rPr>
        <w:t xml:space="preserve"> </w:t>
      </w:r>
      <w:r w:rsidRPr="00BA714B">
        <w:rPr>
          <w:rFonts w:eastAsia="Garamond" w:cs="Calibri"/>
          <w:color w:val="000000" w:themeColor="text1"/>
          <w:szCs w:val="20"/>
        </w:rPr>
        <w:t>Treaties.</w:t>
      </w:r>
      <w:r w:rsidRPr="00BA714B">
        <w:rPr>
          <w:rFonts w:eastAsia="Garamond" w:cs="Calibri"/>
          <w:color w:val="000000" w:themeColor="text1"/>
          <w:szCs w:val="20"/>
          <w:vertAlign w:val="superscript"/>
        </w:rPr>
        <w:t>(a)</w:t>
      </w:r>
    </w:p>
    <w:p w14:paraId="15AF9718" w14:textId="77777777" w:rsidR="002F6840" w:rsidRPr="00BA714B" w:rsidRDefault="002F6840" w:rsidP="002F6840">
      <w:pPr>
        <w:pBdr>
          <w:top w:val="single" w:sz="6" w:space="3" w:color="auto"/>
          <w:left w:val="single" w:sz="6" w:space="4" w:color="auto"/>
          <w:bottom w:val="single" w:sz="6" w:space="3" w:color="auto"/>
          <w:right w:val="single" w:sz="6" w:space="4" w:color="auto"/>
        </w:pBdr>
        <w:shd w:val="clear" w:color="auto" w:fill="F2F2F2"/>
        <w:rPr>
          <w:rFonts w:eastAsia="Garamond" w:cs="Calibri"/>
          <w:color w:val="000000" w:themeColor="text1"/>
          <w:szCs w:val="20"/>
        </w:rPr>
      </w:pPr>
      <w:r w:rsidRPr="00BA714B">
        <w:rPr>
          <w:rFonts w:eastAsia="Garamond" w:cs="Calibri"/>
          <w:color w:val="000000" w:themeColor="text1"/>
          <w:szCs w:val="20"/>
        </w:rPr>
        <w:t>The departmental objective indicator is:</w:t>
      </w:r>
    </w:p>
    <w:p w14:paraId="0C442B3E" w14:textId="77777777" w:rsidR="002F6840" w:rsidRPr="00BA714B" w:rsidRDefault="002F6840" w:rsidP="002F6840">
      <w:pPr>
        <w:pStyle w:val="ShadedBoxBullet"/>
        <w:numPr>
          <w:ilvl w:val="0"/>
          <w:numId w:val="9"/>
        </w:numPr>
        <w:shd w:val="clear" w:color="auto" w:fill="F2F2F2"/>
        <w:ind w:left="0" w:firstLine="0"/>
        <w:contextualSpacing/>
        <w:rPr>
          <w:rFonts w:cs="Calibri"/>
          <w:color w:val="000000" w:themeColor="text1"/>
        </w:rPr>
      </w:pPr>
      <w:r w:rsidRPr="00BA714B">
        <w:rPr>
          <w:rFonts w:cs="Calibri"/>
          <w:color w:val="000000" w:themeColor="text1"/>
        </w:rPr>
        <w:t>First Peoples in Victoria have increased control over decisions that impact their lives.</w:t>
      </w:r>
    </w:p>
    <w:p w14:paraId="2E3BB3DB" w14:textId="755F9F38" w:rsidR="002F6840" w:rsidRPr="00BA714B" w:rsidRDefault="002F6840" w:rsidP="00D24590">
      <w:pPr>
        <w:pStyle w:val="ShadedBoxNote"/>
      </w:pPr>
      <w:r w:rsidRPr="00BA714B">
        <w:t>Note:</w:t>
      </w:r>
    </w:p>
    <w:p w14:paraId="436F933A" w14:textId="3CF555E7" w:rsidR="002F6840" w:rsidRPr="00BA714B" w:rsidRDefault="002F6840" w:rsidP="00D24590">
      <w:pPr>
        <w:pStyle w:val="ShadedBoxNote"/>
        <w:rPr>
          <w:rFonts w:cs="Calibri"/>
          <w:color w:val="000000" w:themeColor="text1"/>
        </w:rPr>
      </w:pPr>
      <w:r w:rsidRPr="00BA714B">
        <w:t xml:space="preserve">(a) </w:t>
      </w:r>
      <w:r w:rsidR="00D24590">
        <w:tab/>
      </w:r>
      <w:r w:rsidRPr="00B664FF">
        <w:rPr>
          <w:i w:val="0"/>
          <w:iCs w:val="0"/>
        </w:rPr>
        <w:t xml:space="preserve">This objective description has been amended to improve readability of the objective commentary, provide more information on Treaty within the </w:t>
      </w:r>
      <w:r w:rsidRPr="00332AEB">
        <w:rPr>
          <w:rFonts w:eastAsia="Garamond" w:cs="Calibri"/>
          <w:i w:val="0"/>
          <w:iCs w:val="0"/>
          <w:color w:val="000000" w:themeColor="text1"/>
        </w:rPr>
        <w:t>‘First Peoples in Victoria are strong and self-determining’ objective as Treaty will become the mechanism through which self-determination is delivered, and reflect the changing nature of the State</w:t>
      </w:r>
      <w:r w:rsidR="00AD4833" w:rsidRPr="00332AEB">
        <w:rPr>
          <w:rFonts w:eastAsia="Garamond" w:cs="Calibri"/>
          <w:i w:val="0"/>
          <w:iCs w:val="0"/>
          <w:color w:val="000000" w:themeColor="text1"/>
        </w:rPr>
        <w:t>’</w:t>
      </w:r>
      <w:r w:rsidRPr="00332AEB">
        <w:rPr>
          <w:rFonts w:eastAsia="Garamond" w:cs="Calibri"/>
          <w:i w:val="0"/>
          <w:iCs w:val="0"/>
          <w:color w:val="000000" w:themeColor="text1"/>
        </w:rPr>
        <w:t>s work responding to the Yoorrook Justice Commission. The objective description ‘Address trauma, supporting healing and address systemic injustice’ has been deleted as it will not provide an accurate summary of the work performed in 2026</w:t>
      </w:r>
      <w:r w:rsidR="00383570" w:rsidRPr="00332AEB">
        <w:rPr>
          <w:rFonts w:eastAsia="Garamond" w:cs="Calibri"/>
          <w:i w:val="0"/>
          <w:iCs w:val="0"/>
          <w:color w:val="000000" w:themeColor="text1"/>
        </w:rPr>
        <w:t>-</w:t>
      </w:r>
      <w:r w:rsidRPr="00332AEB">
        <w:rPr>
          <w:rFonts w:eastAsia="Garamond" w:cs="Calibri"/>
          <w:i w:val="0"/>
          <w:iCs w:val="0"/>
          <w:color w:val="000000" w:themeColor="text1"/>
        </w:rPr>
        <w:t>27 period.</w:t>
      </w:r>
      <w:r w:rsidRPr="00BA714B">
        <w:rPr>
          <w:rFonts w:eastAsia="Garamond" w:cs="Calibri"/>
          <w:i w:val="0"/>
          <w:color w:val="000000" w:themeColor="text1"/>
        </w:rPr>
        <w:t xml:space="preserve"> </w:t>
      </w:r>
    </w:p>
    <w:p w14:paraId="2A6FFA87" w14:textId="77777777" w:rsidR="002F6840" w:rsidRDefault="002F6840" w:rsidP="002F6840">
      <w:pPr>
        <w:pStyle w:val="Heading2"/>
      </w:pPr>
      <w:r>
        <w:t>Outputs</w:t>
      </w:r>
    </w:p>
    <w:p w14:paraId="24EADA72" w14:textId="77777777" w:rsidR="002F6840" w:rsidRDefault="002F6840" w:rsidP="002F6840">
      <w:pPr>
        <w:pStyle w:val="Heading3"/>
      </w:pPr>
      <w:r>
        <w:t>Self-determination Policy and Reform Advice and Programs</w:t>
      </w:r>
      <w:r>
        <w:tab/>
        <w:t>(2026-27: $121.1 million)</w:t>
      </w:r>
    </w:p>
    <w:p w14:paraId="34045E16" w14:textId="5B903CEB" w:rsidR="00D24590" w:rsidRDefault="002F6840" w:rsidP="00D24590">
      <w:pPr>
        <w:keepNext/>
        <w:shd w:val="clear" w:color="auto" w:fill="FFFFFF"/>
        <w:spacing w:after="120"/>
        <w:rPr>
          <w:rFonts w:ascii="Calibri" w:eastAsia="Garamond" w:hAnsi="Calibri" w:cs="Calibri"/>
          <w:color w:val="000000" w:themeColor="text1"/>
          <w:szCs w:val="20"/>
        </w:rPr>
      </w:pPr>
      <w:r w:rsidRPr="00D510C7">
        <w:rPr>
          <w:rFonts w:eastAsia="Garamond" w:cs="Calibri"/>
          <w:color w:val="000000" w:themeColor="text1"/>
          <w:szCs w:val="20"/>
        </w:rPr>
        <w:t>This output supports the Victorian Government’s commitment to self-determination for First Peoples and to improving long-term social and economic outcomes. This includes implementation of the first Statewide Treaty and State preparations for Traditional Owner and ongoing Statewide Treaties; and work to reform government to enable self-determination, as well as undertaking outcomes-focused reporting across the portfolio.</w:t>
      </w:r>
      <w:r w:rsidRPr="00D510C7">
        <w:rPr>
          <w:rFonts w:eastAsia="Garamond" w:cs="Calibri"/>
          <w:color w:val="000000" w:themeColor="text1"/>
          <w:szCs w:val="20"/>
          <w:vertAlign w:val="superscript"/>
        </w:rPr>
        <w:t>(a)</w:t>
      </w:r>
    </w:p>
    <w:p w14:paraId="7198BFB6" w14:textId="77777777" w:rsidR="00D24590" w:rsidRDefault="002F6840" w:rsidP="00D24590">
      <w:pPr>
        <w:pStyle w:val="Note"/>
      </w:pPr>
      <w:r w:rsidRPr="00D510C7">
        <w:t>Note:</w:t>
      </w:r>
    </w:p>
    <w:p w14:paraId="60CB133D" w14:textId="0A332082" w:rsidR="002F6840" w:rsidRPr="00D510C7" w:rsidRDefault="002F6840" w:rsidP="00D24590">
      <w:pPr>
        <w:pStyle w:val="Note"/>
        <w:spacing w:after="120"/>
        <w:rPr>
          <w:rFonts w:ascii="Calibri" w:eastAsia="Garamond" w:hAnsi="Calibri" w:cs="Calibri"/>
          <w:i w:val="0"/>
          <w:color w:val="000000" w:themeColor="text1"/>
          <w:szCs w:val="20"/>
        </w:rPr>
      </w:pPr>
      <w:r w:rsidRPr="00D510C7">
        <w:t xml:space="preserve">(a) </w:t>
      </w:r>
      <w:r w:rsidR="00D24590">
        <w:tab/>
      </w:r>
      <w:r w:rsidRPr="00D510C7">
        <w:t>The output description has been amended for increased clarity.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2EE9A61E" w14:textId="77777777" w:rsidTr="0054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9AE0478" w14:textId="77777777" w:rsidR="002F6840" w:rsidRDefault="002F6840">
            <w:r>
              <w:t>Performance measure</w:t>
            </w:r>
          </w:p>
        </w:tc>
        <w:tc>
          <w:tcPr>
            <w:tcW w:w="964" w:type="dxa"/>
          </w:tcPr>
          <w:p w14:paraId="53EE4C5B"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7F413F3"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9AE49C3"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E509AAD"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54ABAB5"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3308CC83" w14:textId="77777777" w:rsidTr="00540481">
        <w:tc>
          <w:tcPr>
            <w:cnfStyle w:val="001000000000" w:firstRow="0" w:lastRow="0" w:firstColumn="1" w:lastColumn="0" w:oddVBand="0" w:evenVBand="0" w:oddHBand="0" w:evenHBand="0" w:firstRowFirstColumn="0" w:firstRowLastColumn="0" w:lastRowFirstColumn="0" w:lastRowLastColumn="0"/>
            <w:tcW w:w="9639" w:type="dxa"/>
            <w:gridSpan w:val="6"/>
          </w:tcPr>
          <w:p w14:paraId="5496AA1C" w14:textId="77777777" w:rsidR="002F6840" w:rsidRPr="005C36B9" w:rsidRDefault="002F6840">
            <w:pPr>
              <w:keepNext/>
              <w:rPr>
                <w:b/>
                <w:bCs/>
                <w:iCs/>
              </w:rPr>
            </w:pPr>
            <w:r w:rsidRPr="005C36B9">
              <w:rPr>
                <w:b/>
                <w:bCs/>
                <w:iCs/>
              </w:rPr>
              <w:t>Quantity</w:t>
            </w:r>
          </w:p>
        </w:tc>
      </w:tr>
      <w:tr w:rsidR="002F6840" w14:paraId="6723558F" w14:textId="77777777" w:rsidTr="00540481">
        <w:tc>
          <w:tcPr>
            <w:cnfStyle w:val="001000000000" w:firstRow="0" w:lastRow="0" w:firstColumn="1" w:lastColumn="0" w:oddVBand="0" w:evenVBand="0" w:oddHBand="0" w:evenHBand="0" w:firstRowFirstColumn="0" w:firstRowLastColumn="0" w:lastRowFirstColumn="0" w:lastRowLastColumn="0"/>
            <w:tcW w:w="4819" w:type="dxa"/>
          </w:tcPr>
          <w:p w14:paraId="739A9D58" w14:textId="77777777" w:rsidR="002F6840" w:rsidRDefault="002F6840">
            <w:pPr>
              <w:keepNext/>
              <w:ind w:left="170"/>
            </w:pPr>
            <w:r>
              <w:t>Meetings held to coordinate shared decision making with Aboriginal communities and WOVG implementation of the National Agreement on Closing the Gap priorities to improve outcomes for First Peoples</w:t>
            </w:r>
          </w:p>
        </w:tc>
        <w:tc>
          <w:tcPr>
            <w:tcW w:w="964" w:type="dxa"/>
          </w:tcPr>
          <w:p w14:paraId="0D933E6B"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4CE55AD" w14:textId="77777777" w:rsidR="002F6840" w:rsidRDefault="002F6840">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5AB9C0A3" w14:textId="77777777" w:rsidR="002F6840" w:rsidRDefault="002F6840">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2320118C" w14:textId="77777777" w:rsidR="002F6840" w:rsidRDefault="002F6840">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204DE3A8" w14:textId="77777777" w:rsidR="002F6840" w:rsidRDefault="002F6840">
            <w:pPr>
              <w:cnfStyle w:val="000000000000" w:firstRow="0" w:lastRow="0" w:firstColumn="0" w:lastColumn="0" w:oddVBand="0" w:evenVBand="0" w:oddHBand="0" w:evenHBand="0" w:firstRowFirstColumn="0" w:firstRowLastColumn="0" w:lastRowFirstColumn="0" w:lastRowLastColumn="0"/>
            </w:pPr>
            <w:r>
              <w:t>3</w:t>
            </w:r>
          </w:p>
        </w:tc>
      </w:tr>
      <w:tr w:rsidR="002F6840" w14:paraId="09067ACA" w14:textId="77777777" w:rsidTr="0054048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1962B43" w14:textId="45B7B692" w:rsidR="002F6840" w:rsidRDefault="002F6840">
            <w:pPr>
              <w:ind w:left="170"/>
            </w:pPr>
            <w:r>
              <w:rPr>
                <w:i/>
              </w:rPr>
              <w:t>The lower 2026</w:t>
            </w:r>
            <w:r w:rsidR="00DD4C6B">
              <w:rPr>
                <w:i/>
              </w:rPr>
              <w:t>-</w:t>
            </w:r>
            <w:r>
              <w:rPr>
                <w:i/>
              </w:rPr>
              <w:t xml:space="preserve">27 target reflects that </w:t>
            </w:r>
            <w:r w:rsidR="00810335">
              <w:rPr>
                <w:i/>
              </w:rPr>
              <w:t>three</w:t>
            </w:r>
            <w:r>
              <w:rPr>
                <w:i/>
              </w:rPr>
              <w:t xml:space="preserve"> meetings per year, which are of longer duration, is more desirable than </w:t>
            </w:r>
            <w:r w:rsidR="00810335">
              <w:rPr>
                <w:i/>
              </w:rPr>
              <w:t>four</w:t>
            </w:r>
            <w:r>
              <w:rPr>
                <w:i/>
              </w:rPr>
              <w:t xml:space="preserve"> shorter meetings. </w:t>
            </w:r>
          </w:p>
        </w:tc>
      </w:tr>
      <w:tr w:rsidR="002F6840" w14:paraId="265EE4AF" w14:textId="77777777" w:rsidTr="00540481">
        <w:tc>
          <w:tcPr>
            <w:cnfStyle w:val="001000000000" w:firstRow="0" w:lastRow="0" w:firstColumn="1" w:lastColumn="0" w:oddVBand="0" w:evenVBand="0" w:oddHBand="0" w:evenHBand="0" w:firstRowFirstColumn="0" w:firstRowLastColumn="0" w:lastRowFirstColumn="0" w:lastRowLastColumn="0"/>
            <w:tcW w:w="4819" w:type="dxa"/>
          </w:tcPr>
          <w:p w14:paraId="58A15BDE" w14:textId="4C10D602" w:rsidR="002F6840" w:rsidRDefault="002F6840">
            <w:pPr>
              <w:keepNext/>
              <w:ind w:left="170"/>
            </w:pPr>
            <w:r>
              <w:t>Number of meetings held between the First Peoples</w:t>
            </w:r>
            <w:r w:rsidR="00AD4833">
              <w:t>’</w:t>
            </w:r>
            <w:r>
              <w:t xml:space="preserve"> Assembly/Gellung Warl and the State of Victoria to support transition, establishment and implementation of obligations</w:t>
            </w:r>
          </w:p>
        </w:tc>
        <w:tc>
          <w:tcPr>
            <w:tcW w:w="964" w:type="dxa"/>
          </w:tcPr>
          <w:p w14:paraId="414E2E3D"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F50A4C9" w14:textId="77777777" w:rsidR="002F6840" w:rsidRDefault="002F6840">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03CEAFEE" w14:textId="77777777" w:rsidR="002F6840" w:rsidRDefault="002F6840">
            <w:pPr>
              <w:cnfStyle w:val="000000000000" w:firstRow="0" w:lastRow="0" w:firstColumn="0" w:lastColumn="0" w:oddVBand="0" w:evenVBand="0" w:oddHBand="0" w:evenHBand="0" w:firstRowFirstColumn="0" w:firstRowLastColumn="0" w:lastRowFirstColumn="0" w:lastRowLastColumn="0"/>
            </w:pPr>
            <w:r>
              <w:t>62</w:t>
            </w:r>
          </w:p>
        </w:tc>
        <w:tc>
          <w:tcPr>
            <w:tcW w:w="964" w:type="dxa"/>
          </w:tcPr>
          <w:p w14:paraId="2B3FE925" w14:textId="77777777" w:rsidR="002F6840" w:rsidRDefault="002F6840">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4DE0064F" w14:textId="77777777" w:rsidR="002F6840" w:rsidRDefault="002F6840">
            <w:pPr>
              <w:cnfStyle w:val="000000000000" w:firstRow="0" w:lastRow="0" w:firstColumn="0" w:lastColumn="0" w:oddVBand="0" w:evenVBand="0" w:oddHBand="0" w:evenHBand="0" w:firstRowFirstColumn="0" w:firstRowLastColumn="0" w:lastRowFirstColumn="0" w:lastRowLastColumn="0"/>
            </w:pPr>
            <w:r>
              <w:t>55</w:t>
            </w:r>
          </w:p>
        </w:tc>
      </w:tr>
      <w:tr w:rsidR="002F6840" w14:paraId="261314ED" w14:textId="77777777" w:rsidTr="0054048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77DB34" w14:textId="33E3D356" w:rsidR="002F6840" w:rsidRDefault="002F6840">
            <w:pPr>
              <w:ind w:left="170"/>
            </w:pPr>
            <w:r>
              <w:rPr>
                <w:i/>
              </w:rPr>
              <w:t>The 2025</w:t>
            </w:r>
            <w:r w:rsidR="00DD4C6B">
              <w:rPr>
                <w:i/>
              </w:rPr>
              <w:t>-</w:t>
            </w:r>
            <w:r>
              <w:rPr>
                <w:i/>
              </w:rPr>
              <w:t>26 expected outcome is higher than the target due to the increased volume of meetings required to reach agreement on the Statewide Treaty Bill, Statewide Treaty and related legislative matters in August 2025.</w:t>
            </w:r>
          </w:p>
          <w:p w14:paraId="0E211443" w14:textId="03D8A0BC" w:rsidR="002F6840" w:rsidRDefault="002F6840">
            <w:pPr>
              <w:ind w:left="170"/>
            </w:pPr>
            <w:r>
              <w:rPr>
                <w:i/>
              </w:rPr>
              <w:t>This measure renames the 2025</w:t>
            </w:r>
            <w:r w:rsidR="00DD4C6B">
              <w:rPr>
                <w:i/>
              </w:rPr>
              <w:t>-</w:t>
            </w:r>
            <w:r>
              <w:rPr>
                <w:i/>
              </w:rPr>
              <w:t>26 performance measure ‘Number of meetings between First Peoples</w:t>
            </w:r>
            <w:r w:rsidR="00AD4833">
              <w:rPr>
                <w:i/>
              </w:rPr>
              <w:t>’</w:t>
            </w:r>
            <w:r>
              <w:rPr>
                <w:i/>
              </w:rPr>
              <w:t xml:space="preserve"> negotiating parties and the State of Victoria for the purpose of negotiating or preparing for Treaty agreements’ as delivering Victoria’s Treaty process through the establishment of Gellung Warl, implementation of the first Statewide Treaty and State preparedness for Traditional Owner and ongoing Statewide Treaties will be the key objectives.</w:t>
            </w:r>
          </w:p>
        </w:tc>
      </w:tr>
      <w:tr w:rsidR="002F6840" w14:paraId="009E8A51" w14:textId="77777777" w:rsidTr="00540481">
        <w:tc>
          <w:tcPr>
            <w:cnfStyle w:val="001000000000" w:firstRow="0" w:lastRow="0" w:firstColumn="1" w:lastColumn="0" w:oddVBand="0" w:evenVBand="0" w:oddHBand="0" w:evenHBand="0" w:firstRowFirstColumn="0" w:firstRowLastColumn="0" w:lastRowFirstColumn="0" w:lastRowLastColumn="0"/>
            <w:tcW w:w="4819" w:type="dxa"/>
          </w:tcPr>
          <w:p w14:paraId="45167F9F" w14:textId="77777777" w:rsidR="002F6840" w:rsidRDefault="002F6840">
            <w:pPr>
              <w:keepNext/>
              <w:ind w:left="170"/>
            </w:pPr>
            <w:r>
              <w:lastRenderedPageBreak/>
              <w:t>Number of meetings with WOVG departments to support Statewide Treaty implementation, and readiness for and negotiation of Traditional Owner treaties and ongoing Statewide treaties</w:t>
            </w:r>
          </w:p>
        </w:tc>
        <w:tc>
          <w:tcPr>
            <w:tcW w:w="964" w:type="dxa"/>
          </w:tcPr>
          <w:p w14:paraId="0B2AC118"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23E7064" w14:textId="77777777" w:rsidR="002F6840" w:rsidRDefault="002F6840">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06A686C"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D34C4A2" w14:textId="77777777" w:rsidR="002F6840" w:rsidRDefault="002F6840">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6C68840B" w14:textId="77777777" w:rsidR="002F6840" w:rsidRDefault="002F6840">
            <w:pPr>
              <w:cnfStyle w:val="000000000000" w:firstRow="0" w:lastRow="0" w:firstColumn="0" w:lastColumn="0" w:oddVBand="0" w:evenVBand="0" w:oddHBand="0" w:evenHBand="0" w:firstRowFirstColumn="0" w:firstRowLastColumn="0" w:lastRowFirstColumn="0" w:lastRowLastColumn="0"/>
            </w:pPr>
            <w:r>
              <w:t>174</w:t>
            </w:r>
          </w:p>
        </w:tc>
      </w:tr>
      <w:tr w:rsidR="002F6840" w14:paraId="70DB20F6" w14:textId="77777777" w:rsidTr="0054048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D2D03B1" w14:textId="4770A196" w:rsidR="002F6840" w:rsidRDefault="002F6840">
            <w:pPr>
              <w:ind w:left="170"/>
            </w:pPr>
            <w:r>
              <w:rPr>
                <w:i/>
              </w:rPr>
              <w:t>The 2025</w:t>
            </w:r>
            <w:r w:rsidR="00DD4C6B">
              <w:rPr>
                <w:i/>
              </w:rPr>
              <w:t>-</w:t>
            </w:r>
            <w:r>
              <w:rPr>
                <w:i/>
              </w:rPr>
              <w:t>26 expected outcome is higher than the target as the first quarter of 2025</w:t>
            </w:r>
            <w:r w:rsidR="00DD4C6B">
              <w:rPr>
                <w:i/>
              </w:rPr>
              <w:t>-</w:t>
            </w:r>
            <w:r>
              <w:rPr>
                <w:i/>
              </w:rPr>
              <w:t>26 saw an increased number of departmental meetings due to the development of the Statewide Treaty Bill 2025. The number of meetings is anticipated to continue to reduce for the rest of the year.</w:t>
            </w:r>
          </w:p>
          <w:p w14:paraId="22F374F8" w14:textId="0B3D38B6" w:rsidR="002F6840" w:rsidRDefault="002F6840">
            <w:pPr>
              <w:ind w:left="170"/>
            </w:pPr>
            <w:r>
              <w:rPr>
                <w:i/>
              </w:rPr>
              <w:t>This measure renames the 2025</w:t>
            </w:r>
            <w:r w:rsidR="00DD4C6B">
              <w:rPr>
                <w:i/>
              </w:rPr>
              <w:t>-</w:t>
            </w:r>
            <w:r>
              <w:rPr>
                <w:i/>
              </w:rPr>
              <w:t>26 performance measure ‘Number of meetings held with departments to support WOVG coordination and engagement in Treaty negotiations’ as delivering Victoria’s Treaty process through the establishment of Gellung Warl, implementation of the first Statewide Treaty and State preparedness for Traditional Owner and ongoing Statewide Treaties will be the key objectives.</w:t>
            </w:r>
          </w:p>
        </w:tc>
      </w:tr>
      <w:tr w:rsidR="002F6840" w14:paraId="251EE2C5" w14:textId="77777777" w:rsidTr="00540481">
        <w:tc>
          <w:tcPr>
            <w:cnfStyle w:val="001000000000" w:firstRow="0" w:lastRow="0" w:firstColumn="1" w:lastColumn="0" w:oddVBand="0" w:evenVBand="0" w:oddHBand="0" w:evenHBand="0" w:firstRowFirstColumn="0" w:firstRowLastColumn="0" w:lastRowFirstColumn="0" w:lastRowLastColumn="0"/>
            <w:tcW w:w="9639" w:type="dxa"/>
            <w:gridSpan w:val="6"/>
          </w:tcPr>
          <w:p w14:paraId="218C7987" w14:textId="77777777" w:rsidR="002F6840" w:rsidRPr="005C36B9" w:rsidRDefault="002F6840">
            <w:pPr>
              <w:keepNext/>
              <w:rPr>
                <w:b/>
                <w:bCs/>
                <w:iCs/>
              </w:rPr>
            </w:pPr>
            <w:r w:rsidRPr="005C36B9">
              <w:rPr>
                <w:b/>
                <w:bCs/>
                <w:iCs/>
              </w:rPr>
              <w:t>Timeliness</w:t>
            </w:r>
          </w:p>
        </w:tc>
      </w:tr>
      <w:tr w:rsidR="002F6840" w14:paraId="0E92212A" w14:textId="77777777" w:rsidTr="00954A68">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2CEE7848" w14:textId="77777777" w:rsidR="002F6840" w:rsidRDefault="002F6840">
            <w:pPr>
              <w:keepNext/>
              <w:ind w:left="170"/>
            </w:pPr>
            <w:r>
              <w:t>Delivery of a public report on outcomes for Aboriginal Victorians to be tabled in parliament by 30 June each financial year</w:t>
            </w:r>
          </w:p>
        </w:tc>
        <w:tc>
          <w:tcPr>
            <w:tcW w:w="964" w:type="dxa"/>
            <w:tcBorders>
              <w:bottom w:val="nil"/>
            </w:tcBorders>
          </w:tcPr>
          <w:p w14:paraId="53893E64"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bottom w:val="nil"/>
            </w:tcBorders>
            <w:shd w:val="clear" w:color="auto" w:fill="F0F0F0"/>
          </w:tcPr>
          <w:p w14:paraId="532B732B" w14:textId="5B9F7E47" w:rsidR="002F6840" w:rsidRDefault="002F6840">
            <w:pPr>
              <w:cnfStyle w:val="000000000000" w:firstRow="0" w:lastRow="0" w:firstColumn="0" w:lastColumn="0" w:oddVBand="0" w:evenVBand="0" w:oddHBand="0" w:evenHBand="0" w:firstRowFirstColumn="0" w:firstRowLastColumn="0" w:lastRowFirstColumn="0" w:lastRowLastColumn="0"/>
            </w:pPr>
            <w:r>
              <w:t xml:space="preserve">30 Jun </w:t>
            </w:r>
            <w:r w:rsidR="00540BB2">
              <w:t>20</w:t>
            </w:r>
            <w:r>
              <w:t>26</w:t>
            </w:r>
          </w:p>
        </w:tc>
        <w:tc>
          <w:tcPr>
            <w:tcW w:w="964" w:type="dxa"/>
            <w:tcBorders>
              <w:bottom w:val="nil"/>
            </w:tcBorders>
          </w:tcPr>
          <w:p w14:paraId="44EE2797" w14:textId="77777777" w:rsidR="002F6840" w:rsidRDefault="002F6840">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nil"/>
            </w:tcBorders>
          </w:tcPr>
          <w:p w14:paraId="7F71A611" w14:textId="77777777" w:rsidR="002F6840" w:rsidRDefault="002F6840">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nil"/>
            </w:tcBorders>
          </w:tcPr>
          <w:p w14:paraId="45FCCEB0" w14:textId="77777777" w:rsidR="002F6840" w:rsidRDefault="002F6840">
            <w:pPr>
              <w:cnfStyle w:val="000000000000" w:firstRow="0" w:lastRow="0" w:firstColumn="0" w:lastColumn="0" w:oddVBand="0" w:evenVBand="0" w:oddHBand="0" w:evenHBand="0" w:firstRowFirstColumn="0" w:firstRowLastColumn="0" w:lastRowFirstColumn="0" w:lastRowLastColumn="0"/>
            </w:pPr>
            <w:r>
              <w:t>1</w:t>
            </w:r>
          </w:p>
        </w:tc>
      </w:tr>
      <w:tr w:rsidR="00540481" w14:paraId="23AAAF15"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268AE1" w14:textId="20E36F66" w:rsidR="00540481" w:rsidRDefault="00540481">
            <w:r w:rsidRPr="00540481">
              <w:rPr>
                <w:i/>
                <w:iCs/>
              </w:rPr>
              <w:t>The 2026</w:t>
            </w:r>
            <w:r w:rsidR="00383570">
              <w:rPr>
                <w:i/>
                <w:iCs/>
              </w:rPr>
              <w:t>-</w:t>
            </w:r>
            <w:r w:rsidRPr="00540481">
              <w:rPr>
                <w:i/>
                <w:iCs/>
              </w:rPr>
              <w:t>27 target and unit of measure have been revised to a date rather than a number, to align with the requirement that the annual report is delivered by 30 June each financial year and thereby a timeliness (rather than a numerical) target is more practical.</w:t>
            </w:r>
          </w:p>
        </w:tc>
      </w:tr>
      <w:tr w:rsidR="005C36B9" w14:paraId="150ADCB5"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70E922F" w14:textId="14CCC7CE" w:rsidR="005C36B9" w:rsidRPr="005C36B9" w:rsidRDefault="005C36B9">
            <w:pPr>
              <w:rPr>
                <w:b/>
                <w:bCs/>
              </w:rPr>
            </w:pPr>
            <w:r w:rsidRPr="005C36B9">
              <w:rPr>
                <w:b/>
                <w:bCs/>
              </w:rPr>
              <w:t>Cost</w:t>
            </w:r>
          </w:p>
        </w:tc>
      </w:tr>
      <w:tr w:rsidR="006C6429" w14:paraId="301184E6" w14:textId="77777777" w:rsidTr="00540481">
        <w:tc>
          <w:tcPr>
            <w:cnfStyle w:val="001000000000" w:firstRow="0" w:lastRow="0" w:firstColumn="1" w:lastColumn="0" w:oddVBand="0" w:evenVBand="0" w:oddHBand="0" w:evenHBand="0" w:firstRowFirstColumn="0" w:firstRowLastColumn="0" w:lastRowFirstColumn="0" w:lastRowLastColumn="0"/>
            <w:tcW w:w="4819" w:type="dxa"/>
          </w:tcPr>
          <w:p w14:paraId="1091BEE2" w14:textId="20546C31" w:rsidR="006C6429" w:rsidRDefault="006C6429" w:rsidP="006C6429">
            <w:pPr>
              <w:keepNext/>
              <w:ind w:left="170"/>
            </w:pPr>
            <w:r>
              <w:t>Total output cost</w:t>
            </w:r>
          </w:p>
        </w:tc>
        <w:tc>
          <w:tcPr>
            <w:tcW w:w="964" w:type="dxa"/>
          </w:tcPr>
          <w:p w14:paraId="42548D2A" w14:textId="61C75E81" w:rsidR="006C6429" w:rsidRDefault="006C6429" w:rsidP="006C6429">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0B84C6A" w14:textId="38815860" w:rsidR="006C6429" w:rsidRDefault="006C6429" w:rsidP="006C6429">
            <w:pPr>
              <w:cnfStyle w:val="000000000000" w:firstRow="0" w:lastRow="0" w:firstColumn="0" w:lastColumn="0" w:oddVBand="0" w:evenVBand="0" w:oddHBand="0" w:evenHBand="0" w:firstRowFirstColumn="0" w:firstRowLastColumn="0" w:lastRowFirstColumn="0" w:lastRowLastColumn="0"/>
            </w:pPr>
            <w:r>
              <w:t>121.1</w:t>
            </w:r>
          </w:p>
        </w:tc>
        <w:tc>
          <w:tcPr>
            <w:tcW w:w="964" w:type="dxa"/>
          </w:tcPr>
          <w:p w14:paraId="79585546" w14:textId="552828B9" w:rsidR="006C6429" w:rsidRDefault="006C6429" w:rsidP="006C6429">
            <w:pPr>
              <w:cnfStyle w:val="000000000000" w:firstRow="0" w:lastRow="0" w:firstColumn="0" w:lastColumn="0" w:oddVBand="0" w:evenVBand="0" w:oddHBand="0" w:evenHBand="0" w:firstRowFirstColumn="0" w:firstRowLastColumn="0" w:lastRowFirstColumn="0" w:lastRowLastColumn="0"/>
            </w:pPr>
            <w:r>
              <w:t>98.0</w:t>
            </w:r>
          </w:p>
        </w:tc>
        <w:tc>
          <w:tcPr>
            <w:tcW w:w="964" w:type="dxa"/>
          </w:tcPr>
          <w:p w14:paraId="4CCC454E" w14:textId="00AF36D9" w:rsidR="006C6429" w:rsidRDefault="006C6429" w:rsidP="006C6429">
            <w:pPr>
              <w:cnfStyle w:val="000000000000" w:firstRow="0" w:lastRow="0" w:firstColumn="0" w:lastColumn="0" w:oddVBand="0" w:evenVBand="0" w:oddHBand="0" w:evenHBand="0" w:firstRowFirstColumn="0" w:firstRowLastColumn="0" w:lastRowFirstColumn="0" w:lastRowLastColumn="0"/>
            </w:pPr>
            <w:r>
              <w:t>100.6</w:t>
            </w:r>
          </w:p>
        </w:tc>
        <w:tc>
          <w:tcPr>
            <w:tcW w:w="964" w:type="dxa"/>
          </w:tcPr>
          <w:p w14:paraId="538BAA4F" w14:textId="5CD7DD0D" w:rsidR="006C6429" w:rsidRDefault="006C6429" w:rsidP="006C6429">
            <w:pPr>
              <w:cnfStyle w:val="000000000000" w:firstRow="0" w:lastRow="0" w:firstColumn="0" w:lastColumn="0" w:oddVBand="0" w:evenVBand="0" w:oddHBand="0" w:evenHBand="0" w:firstRowFirstColumn="0" w:firstRowLastColumn="0" w:lastRowFirstColumn="0" w:lastRowLastColumn="0"/>
            </w:pPr>
            <w:r>
              <w:t>109</w:t>
            </w:r>
          </w:p>
        </w:tc>
      </w:tr>
      <w:tr w:rsidR="006C6429" w14:paraId="4DAEE86B"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3DE2E9D" w14:textId="33EB72B2" w:rsidR="006C6429" w:rsidRPr="00037EB6" w:rsidRDefault="00037EB6" w:rsidP="000A722B">
            <w:pPr>
              <w:ind w:left="170"/>
              <w:rPr>
                <w:i/>
              </w:rPr>
            </w:pPr>
            <w:r w:rsidRPr="00E82E2C">
              <w:rPr>
                <w:i/>
                <w:iCs/>
              </w:rPr>
              <w:t>The higher 2026</w:t>
            </w:r>
            <w:r w:rsidR="00383570">
              <w:rPr>
                <w:i/>
                <w:iCs/>
              </w:rPr>
              <w:t>-</w:t>
            </w:r>
            <w:r w:rsidRPr="00E82E2C">
              <w:rPr>
                <w:i/>
                <w:iCs/>
              </w:rPr>
              <w:t xml:space="preserve">27 target is primarily due to funding announced in the </w:t>
            </w:r>
            <w:r w:rsidRPr="00D24590">
              <w:t>2026-27 Budget</w:t>
            </w:r>
            <w:r w:rsidRPr="00E82E2C">
              <w:rPr>
                <w:i/>
                <w:iCs/>
              </w:rPr>
              <w:t xml:space="preserve"> for:</w:t>
            </w:r>
            <w:r w:rsidR="000A722B">
              <w:rPr>
                <w:i/>
                <w:iCs/>
              </w:rPr>
              <w:t xml:space="preserve"> </w:t>
            </w:r>
            <w:r w:rsidRPr="00E82E2C">
              <w:rPr>
                <w:i/>
                <w:iCs/>
              </w:rPr>
              <w:t>Sustaining Municipal Essential Services and Strong Governance – Framlingham and Lake Tyers Aboriginal Trusts</w:t>
            </w:r>
            <w:r w:rsidR="000A722B">
              <w:rPr>
                <w:i/>
                <w:iCs/>
              </w:rPr>
              <w:t xml:space="preserve">; </w:t>
            </w:r>
            <w:r w:rsidRPr="00037EB6">
              <w:rPr>
                <w:i/>
                <w:iCs/>
              </w:rPr>
              <w:t>Gellung Warl (replaces the former First Peoples’ Assembly of Victoria) operations.</w:t>
            </w:r>
          </w:p>
        </w:tc>
      </w:tr>
    </w:tbl>
    <w:p w14:paraId="0D88B188" w14:textId="77777777" w:rsidR="002F6840" w:rsidRDefault="002F6840" w:rsidP="002F6840">
      <w:pPr>
        <w:pStyle w:val="Source"/>
      </w:pPr>
      <w:r>
        <w:t>Source: Department of Premier and Cabinet</w:t>
      </w:r>
    </w:p>
    <w:p w14:paraId="500F6EC5" w14:textId="7929EBEC" w:rsidR="002F6840" w:rsidRDefault="002F6840" w:rsidP="002F6840">
      <w:pPr>
        <w:pStyle w:val="Heading3"/>
      </w:pPr>
      <w:r>
        <w:t>Traditional Owner Engagement and Cultural Heritage</w:t>
      </w:r>
      <w:r>
        <w:tab/>
        <w:t>(2026-27: $22.4 million)</w:t>
      </w:r>
      <w:r w:rsidR="00D24590">
        <w:br/>
        <w:t>Management Programs</w:t>
      </w:r>
    </w:p>
    <w:p w14:paraId="7B195687" w14:textId="793B8F7E" w:rsidR="002F6840" w:rsidRPr="00C87D31" w:rsidRDefault="002F6840" w:rsidP="00D24590">
      <w:pPr>
        <w:spacing w:after="120"/>
      </w:pPr>
      <w:r w:rsidRPr="003D101D">
        <w:t>This output supports the Government’s commitment to protecting Aboriginal cultural rights, including supporting Traditional Owners and First Peoples organisations to deliver self-determined initiatives for their communities. This includes the protection and management of Aboriginal cultural heritage and strengthening Aboriginal community organisations.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3CF71595" w14:textId="77777777" w:rsidTr="00584E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16196684" w14:textId="77777777" w:rsidR="002F6840" w:rsidRDefault="002F6840">
            <w:r>
              <w:t>Performance measure</w:t>
            </w:r>
          </w:p>
        </w:tc>
        <w:tc>
          <w:tcPr>
            <w:tcW w:w="964" w:type="dxa"/>
          </w:tcPr>
          <w:p w14:paraId="677E97F6"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E98B98A"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412E908"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482A22A"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293D8F5"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rsidRPr="00A47940" w14:paraId="213C47E2"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Pr>
          <w:p w14:paraId="6E03C227" w14:textId="77777777" w:rsidR="002F6840" w:rsidRPr="00A47940" w:rsidRDefault="002F6840">
            <w:pPr>
              <w:keepNext/>
              <w:rPr>
                <w:b/>
              </w:rPr>
            </w:pPr>
            <w:r w:rsidRPr="00A47940">
              <w:rPr>
                <w:b/>
              </w:rPr>
              <w:t>Quantity</w:t>
            </w:r>
          </w:p>
        </w:tc>
      </w:tr>
      <w:tr w:rsidR="002F6840" w14:paraId="099CBF66"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209E6A5E" w14:textId="77777777" w:rsidR="002F6840" w:rsidRDefault="002F6840">
            <w:pPr>
              <w:keepNext/>
              <w:ind w:left="170"/>
            </w:pPr>
            <w:r>
              <w:t>Average weekly hours of case management provided to members of the Stolen Generations</w:t>
            </w:r>
          </w:p>
        </w:tc>
        <w:tc>
          <w:tcPr>
            <w:tcW w:w="964" w:type="dxa"/>
          </w:tcPr>
          <w:p w14:paraId="786353A3"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58C9CF6"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E6E4FE0" w14:textId="77777777" w:rsidR="002F6840" w:rsidRDefault="002F6840">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8FB1B4A"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452DAB2" w14:textId="77777777" w:rsidR="002F6840" w:rsidRDefault="002F6840">
            <w:pPr>
              <w:cnfStyle w:val="000000000000" w:firstRow="0" w:lastRow="0" w:firstColumn="0" w:lastColumn="0" w:oddVBand="0" w:evenVBand="0" w:oddHBand="0" w:evenHBand="0" w:firstRowFirstColumn="0" w:firstRowLastColumn="0" w:lastRowFirstColumn="0" w:lastRowLastColumn="0"/>
            </w:pPr>
            <w:r>
              <w:t>109</w:t>
            </w:r>
          </w:p>
        </w:tc>
      </w:tr>
      <w:tr w:rsidR="002F6840" w14:paraId="442170C6"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D6772A3" w14:textId="08E83EFD" w:rsidR="002F6840" w:rsidRDefault="002F6840">
            <w:pPr>
              <w:ind w:left="170"/>
            </w:pPr>
            <w:r>
              <w:rPr>
                <w:i/>
              </w:rPr>
              <w:t>The 2025</w:t>
            </w:r>
            <w:r w:rsidR="00CE40AC">
              <w:rPr>
                <w:i/>
              </w:rPr>
              <w:t>-</w:t>
            </w:r>
            <w:r>
              <w:rPr>
                <w:i/>
              </w:rPr>
              <w:t>26 expected outcome is higher than the target as there has been increased demand for case management services due to implementing the Stolen Generations Reparations Package and Victorian Aboriginal Funeral Fund. The National Redress Scheme has also increased service demand. Connecting Home has increased its staffing from 1 July to 31 December 2025 to meet the increased demand and provide more case management services. Connecting Home</w:t>
            </w:r>
            <w:r w:rsidR="00AD4833">
              <w:rPr>
                <w:i/>
              </w:rPr>
              <w:t>’</w:t>
            </w:r>
            <w:r>
              <w:rPr>
                <w:i/>
              </w:rPr>
              <w:t>s staffing will return to standard levels from 1 January to 30</w:t>
            </w:r>
            <w:r w:rsidR="007B05C4">
              <w:rPr>
                <w:i/>
              </w:rPr>
              <w:t> </w:t>
            </w:r>
            <w:r>
              <w:rPr>
                <w:i/>
              </w:rPr>
              <w:t>June 2026 which will reduce its case management services. This is likely to reduce the average hours for the second half of 2025</w:t>
            </w:r>
            <w:r w:rsidR="00383570">
              <w:rPr>
                <w:i/>
              </w:rPr>
              <w:t>-</w:t>
            </w:r>
            <w:r>
              <w:rPr>
                <w:i/>
              </w:rPr>
              <w:t>26 when compared with the first half.</w:t>
            </w:r>
          </w:p>
          <w:p w14:paraId="64A5B519" w14:textId="37F0C75C" w:rsidR="002F6840" w:rsidRDefault="002F6840">
            <w:pPr>
              <w:ind w:left="170"/>
            </w:pPr>
            <w:r>
              <w:rPr>
                <w:i/>
              </w:rPr>
              <w:t>The higher 2026</w:t>
            </w:r>
            <w:r w:rsidR="00CE40AC">
              <w:rPr>
                <w:i/>
              </w:rPr>
              <w:t>-</w:t>
            </w:r>
            <w:r>
              <w:rPr>
                <w:i/>
              </w:rPr>
              <w:t>27 target reflects increased demand for case management services due to the implementation of the Victorian Government</w:t>
            </w:r>
            <w:r w:rsidR="00AD4833">
              <w:rPr>
                <w:i/>
              </w:rPr>
              <w:t>’</w:t>
            </w:r>
            <w:r>
              <w:rPr>
                <w:i/>
              </w:rPr>
              <w:t>s Redress for Historical Institutional Abuse.</w:t>
            </w:r>
          </w:p>
        </w:tc>
      </w:tr>
      <w:tr w:rsidR="002F6840" w14:paraId="6B19674F" w14:textId="77777777" w:rsidTr="00584E14">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1F03CF6" w14:textId="77777777" w:rsidR="002F6840" w:rsidRDefault="002F6840">
            <w:pPr>
              <w:ind w:left="170"/>
            </w:pPr>
            <w:r>
              <w:t>Capacity-building activities provided for Traditional Owners to support the management and protection of Aboriginal cultural and intangible heritage</w:t>
            </w:r>
          </w:p>
        </w:tc>
        <w:tc>
          <w:tcPr>
            <w:tcW w:w="964" w:type="dxa"/>
            <w:tcBorders>
              <w:bottom w:val="single" w:sz="6" w:space="0" w:color="auto"/>
            </w:tcBorders>
          </w:tcPr>
          <w:p w14:paraId="085F8BD4"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483EB0D" w14:textId="77777777" w:rsidR="002F6840" w:rsidRDefault="002F6840">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63DD43E9" w14:textId="77777777" w:rsidR="002F6840" w:rsidRDefault="002F6840">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3A833AF4" w14:textId="77777777" w:rsidR="002F6840" w:rsidRDefault="002F6840">
            <w:pPr>
              <w:cnfStyle w:val="000000000000" w:firstRow="0" w:lastRow="0" w:firstColumn="0" w:lastColumn="0" w:oddVBand="0" w:evenVBand="0" w:oddHBand="0" w:evenHBand="0" w:firstRowFirstColumn="0" w:firstRowLastColumn="0" w:lastRowFirstColumn="0" w:lastRowLastColumn="0"/>
            </w:pPr>
            <w:r>
              <w:t>16</w:t>
            </w:r>
          </w:p>
        </w:tc>
        <w:tc>
          <w:tcPr>
            <w:tcW w:w="964" w:type="dxa"/>
            <w:tcBorders>
              <w:bottom w:val="single" w:sz="6" w:space="0" w:color="auto"/>
            </w:tcBorders>
          </w:tcPr>
          <w:p w14:paraId="57797F67" w14:textId="77777777" w:rsidR="002F6840" w:rsidRDefault="002F6840">
            <w:pPr>
              <w:cnfStyle w:val="000000000000" w:firstRow="0" w:lastRow="0" w:firstColumn="0" w:lastColumn="0" w:oddVBand="0" w:evenVBand="0" w:oddHBand="0" w:evenHBand="0" w:firstRowFirstColumn="0" w:firstRowLastColumn="0" w:lastRowFirstColumn="0" w:lastRowLastColumn="0"/>
            </w:pPr>
            <w:r>
              <w:t>16</w:t>
            </w:r>
          </w:p>
        </w:tc>
      </w:tr>
      <w:tr w:rsidR="002F6840" w14:paraId="5463D7E5"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489D3A2F" w14:textId="77777777" w:rsidR="002F6840" w:rsidRDefault="002F6840">
            <w:pPr>
              <w:keepNext/>
              <w:ind w:left="170"/>
            </w:pPr>
            <w:r>
              <w:t>Number of family history investigations conducted by the Koorie Family History Service on behalf of members of the Stolen Generations and their descendants</w:t>
            </w:r>
          </w:p>
        </w:tc>
        <w:tc>
          <w:tcPr>
            <w:tcW w:w="964" w:type="dxa"/>
          </w:tcPr>
          <w:p w14:paraId="52CDF9E9"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2F93B82" w14:textId="77777777" w:rsidR="002F6840" w:rsidRDefault="002F6840">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6E6CB839" w14:textId="77777777" w:rsidR="002F6840" w:rsidRDefault="002F6840">
            <w:pPr>
              <w:cnfStyle w:val="000000000000" w:firstRow="0" w:lastRow="0" w:firstColumn="0" w:lastColumn="0" w:oddVBand="0" w:evenVBand="0" w:oddHBand="0" w:evenHBand="0" w:firstRowFirstColumn="0" w:firstRowLastColumn="0" w:lastRowFirstColumn="0" w:lastRowLastColumn="0"/>
            </w:pPr>
            <w:r>
              <w:t>580</w:t>
            </w:r>
          </w:p>
        </w:tc>
        <w:tc>
          <w:tcPr>
            <w:tcW w:w="964" w:type="dxa"/>
          </w:tcPr>
          <w:p w14:paraId="5BE46648" w14:textId="77777777" w:rsidR="002F6840" w:rsidRDefault="002F6840">
            <w:pPr>
              <w:cnfStyle w:val="000000000000" w:firstRow="0" w:lastRow="0" w:firstColumn="0" w:lastColumn="0" w:oddVBand="0" w:evenVBand="0" w:oddHBand="0" w:evenHBand="0" w:firstRowFirstColumn="0" w:firstRowLastColumn="0" w:lastRowFirstColumn="0" w:lastRowLastColumn="0"/>
            </w:pPr>
            <w:r>
              <w:t>400</w:t>
            </w:r>
          </w:p>
        </w:tc>
        <w:tc>
          <w:tcPr>
            <w:tcW w:w="964" w:type="dxa"/>
          </w:tcPr>
          <w:p w14:paraId="6434B07F" w14:textId="77777777" w:rsidR="002F6840" w:rsidRDefault="002F6840">
            <w:pPr>
              <w:cnfStyle w:val="000000000000" w:firstRow="0" w:lastRow="0" w:firstColumn="0" w:lastColumn="0" w:oddVBand="0" w:evenVBand="0" w:oddHBand="0" w:evenHBand="0" w:firstRowFirstColumn="0" w:firstRowLastColumn="0" w:lastRowFirstColumn="0" w:lastRowLastColumn="0"/>
            </w:pPr>
            <w:r>
              <w:t>574</w:t>
            </w:r>
          </w:p>
        </w:tc>
      </w:tr>
      <w:tr w:rsidR="002F6840" w14:paraId="45C66580"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5E4B47" w14:textId="0DEDA909" w:rsidR="002F6840" w:rsidRDefault="002F6840">
            <w:pPr>
              <w:ind w:left="170"/>
            </w:pPr>
            <w:r>
              <w:rPr>
                <w:i/>
              </w:rPr>
              <w:t>The 2025</w:t>
            </w:r>
            <w:r w:rsidR="00CE40AC">
              <w:rPr>
                <w:i/>
              </w:rPr>
              <w:t>-</w:t>
            </w:r>
            <w:r>
              <w:rPr>
                <w:i/>
              </w:rPr>
              <w:t xml:space="preserve">26 expected outcome is higher than the target as the number of investigations per year is dependent on the number of people requesting the service, and there has been a significant increase in referrals from external services, due to the </w:t>
            </w:r>
            <w:r w:rsidR="007E77A3">
              <w:rPr>
                <w:i/>
              </w:rPr>
              <w:t>G</w:t>
            </w:r>
            <w:r>
              <w:rPr>
                <w:i/>
              </w:rPr>
              <w:t>overnment</w:t>
            </w:r>
            <w:r w:rsidR="00AD4833">
              <w:rPr>
                <w:i/>
              </w:rPr>
              <w:t>’</w:t>
            </w:r>
            <w:r>
              <w:rPr>
                <w:i/>
              </w:rPr>
              <w:t>s Stolen Generations Reparations Package.</w:t>
            </w:r>
          </w:p>
          <w:p w14:paraId="5D7AA986" w14:textId="33B517AB" w:rsidR="002F6840" w:rsidRDefault="002F6840">
            <w:pPr>
              <w:ind w:left="170"/>
            </w:pPr>
            <w:r>
              <w:rPr>
                <w:i/>
              </w:rPr>
              <w:t>The higher 2026</w:t>
            </w:r>
            <w:r w:rsidR="00CE40AC">
              <w:rPr>
                <w:i/>
              </w:rPr>
              <w:t>-</w:t>
            </w:r>
            <w:r>
              <w:rPr>
                <w:i/>
              </w:rPr>
              <w:t>27 target reflects increased demand for family history investigations provided by the Koorie Family History Service.</w:t>
            </w:r>
          </w:p>
        </w:tc>
      </w:tr>
      <w:tr w:rsidR="002F6840" w14:paraId="352D2FDD"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6730C7F3" w14:textId="77777777" w:rsidR="002F6840" w:rsidRDefault="002F6840">
            <w:pPr>
              <w:keepNext/>
              <w:ind w:left="170"/>
            </w:pPr>
            <w:r>
              <w:t>Number of Recognition and Settlement Agreements that commence</w:t>
            </w:r>
          </w:p>
        </w:tc>
        <w:tc>
          <w:tcPr>
            <w:tcW w:w="964" w:type="dxa"/>
          </w:tcPr>
          <w:p w14:paraId="5573970F"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E76F5DC" w14:textId="77777777" w:rsidR="002F6840" w:rsidRDefault="002F6840">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44C2E9D7" w14:textId="77777777" w:rsidR="002F6840" w:rsidRDefault="002F6840">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0491ACAF" w14:textId="77777777" w:rsidR="002F6840" w:rsidRDefault="002F6840">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639A654D" w14:textId="77777777" w:rsidR="002F6840" w:rsidRDefault="002F6840">
            <w:pPr>
              <w:cnfStyle w:val="000000000000" w:firstRow="0" w:lastRow="0" w:firstColumn="0" w:lastColumn="0" w:oddVBand="0" w:evenVBand="0" w:oddHBand="0" w:evenHBand="0" w:firstRowFirstColumn="0" w:firstRowLastColumn="0" w:lastRowFirstColumn="0" w:lastRowLastColumn="0"/>
            </w:pPr>
            <w:r>
              <w:t>0</w:t>
            </w:r>
          </w:p>
        </w:tc>
      </w:tr>
      <w:tr w:rsidR="002F6840" w14:paraId="7712C6B6"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91F28D" w14:textId="4559CD65" w:rsidR="002F6840" w:rsidRDefault="002F6840">
            <w:pPr>
              <w:ind w:left="170"/>
            </w:pPr>
            <w:r>
              <w:rPr>
                <w:i/>
              </w:rPr>
              <w:t>The 2025</w:t>
            </w:r>
            <w:r w:rsidR="00CE40AC">
              <w:rPr>
                <w:i/>
              </w:rPr>
              <w:t>-</w:t>
            </w:r>
            <w:r>
              <w:rPr>
                <w:i/>
              </w:rPr>
              <w:t xml:space="preserve">26 expected outcome is lower than the target as the department is negotiating new or revised Recognition and Settlement Agreements with six Traditional Owner Groups under the </w:t>
            </w:r>
            <w:r w:rsidRPr="00BE08F1">
              <w:t>Traditional Owner Settlement Act 2010 (Vic)</w:t>
            </w:r>
            <w:r>
              <w:rPr>
                <w:i/>
              </w:rPr>
              <w:t>.</w:t>
            </w:r>
          </w:p>
        </w:tc>
      </w:tr>
      <w:tr w:rsidR="002F6840" w14:paraId="13C698C5" w14:textId="77777777" w:rsidTr="00584E14">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265E3CDD" w14:textId="77777777" w:rsidR="002F6840" w:rsidRDefault="002F6840">
            <w:pPr>
              <w:keepNext/>
              <w:ind w:left="170"/>
            </w:pPr>
            <w:r>
              <w:lastRenderedPageBreak/>
              <w:t>Removal of first mortgages on titles of property owned by Aboriginal Community Controlled Organisations</w:t>
            </w:r>
          </w:p>
        </w:tc>
        <w:tc>
          <w:tcPr>
            <w:tcW w:w="964" w:type="dxa"/>
            <w:tcBorders>
              <w:bottom w:val="nil"/>
            </w:tcBorders>
          </w:tcPr>
          <w:p w14:paraId="0851B0CC"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nil"/>
            </w:tcBorders>
            <w:shd w:val="clear" w:color="auto" w:fill="F0F0F0"/>
          </w:tcPr>
          <w:p w14:paraId="40F832AA" w14:textId="77777777" w:rsidR="002F6840" w:rsidRDefault="002F6840">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nil"/>
            </w:tcBorders>
          </w:tcPr>
          <w:p w14:paraId="0CBC7236" w14:textId="77777777" w:rsidR="002F6840" w:rsidRDefault="002F6840">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nil"/>
            </w:tcBorders>
          </w:tcPr>
          <w:p w14:paraId="34763BEA" w14:textId="77777777" w:rsidR="002F6840" w:rsidRDefault="002F6840">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nil"/>
            </w:tcBorders>
          </w:tcPr>
          <w:p w14:paraId="36E53F9F" w14:textId="77777777" w:rsidR="002F6840" w:rsidRDefault="002F6840">
            <w:pPr>
              <w:cnfStyle w:val="000000000000" w:firstRow="0" w:lastRow="0" w:firstColumn="0" w:lastColumn="0" w:oddVBand="0" w:evenVBand="0" w:oddHBand="0" w:evenHBand="0" w:firstRowFirstColumn="0" w:firstRowLastColumn="0" w:lastRowFirstColumn="0" w:lastRowLastColumn="0"/>
            </w:pPr>
            <w:r>
              <w:t>3</w:t>
            </w:r>
          </w:p>
        </w:tc>
      </w:tr>
      <w:tr w:rsidR="002F6840" w14:paraId="4E5EDDDF"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DF8785" w14:textId="6D0FC291" w:rsidR="002F6840" w:rsidRPr="006263F9" w:rsidRDefault="002F6840">
            <w:pPr>
              <w:ind w:left="170"/>
              <w:rPr>
                <w:i/>
                <w:iCs/>
              </w:rPr>
            </w:pPr>
            <w:r w:rsidRPr="00B559B0">
              <w:rPr>
                <w:i/>
                <w:iCs/>
              </w:rPr>
              <w:t xml:space="preserve">The lower 2026-27 target reflects the complex nature and reducing number of remaining first mortgages within the </w:t>
            </w:r>
            <w:r w:rsidR="00E604C5">
              <w:rPr>
                <w:i/>
                <w:iCs/>
              </w:rPr>
              <w:t xml:space="preserve">Treaty and </w:t>
            </w:r>
            <w:r w:rsidRPr="00B559B0">
              <w:rPr>
                <w:i/>
                <w:iCs/>
              </w:rPr>
              <w:t>First</w:t>
            </w:r>
            <w:r>
              <w:rPr>
                <w:i/>
                <w:iCs/>
              </w:rPr>
              <w:t> </w:t>
            </w:r>
            <w:r w:rsidRPr="00B559B0">
              <w:rPr>
                <w:i/>
                <w:iCs/>
              </w:rPr>
              <w:t>Peoples</w:t>
            </w:r>
            <w:r>
              <w:rPr>
                <w:i/>
                <w:iCs/>
              </w:rPr>
              <w:t> </w:t>
            </w:r>
            <w:r w:rsidRPr="00B559B0">
              <w:rPr>
                <w:i/>
                <w:iCs/>
              </w:rPr>
              <w:t>portfolio.</w:t>
            </w:r>
          </w:p>
        </w:tc>
      </w:tr>
      <w:tr w:rsidR="002F6840" w:rsidRPr="00A47940" w14:paraId="4C5A05A5"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87284B6" w14:textId="77777777" w:rsidR="002F6840" w:rsidRPr="00A47940" w:rsidRDefault="002F6840">
            <w:pPr>
              <w:keepNext/>
              <w:rPr>
                <w:b/>
              </w:rPr>
            </w:pPr>
            <w:r w:rsidRPr="00A47940">
              <w:rPr>
                <w:b/>
              </w:rPr>
              <w:t>Quality</w:t>
            </w:r>
          </w:p>
        </w:tc>
      </w:tr>
      <w:tr w:rsidR="002F6840" w14:paraId="204A6758" w14:textId="77777777" w:rsidTr="00584E14">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4976861" w14:textId="77777777" w:rsidR="002F6840" w:rsidRDefault="002F6840">
            <w:pPr>
              <w:ind w:left="170"/>
            </w:pPr>
            <w:r>
              <w:t>The service provision of the Office of the Victorian Aboriginal Heritage Council enables the Victorian Aboriginal Heritage Council to undertake its statutory responsibilities</w:t>
            </w:r>
          </w:p>
        </w:tc>
        <w:tc>
          <w:tcPr>
            <w:tcW w:w="964" w:type="dxa"/>
            <w:tcBorders>
              <w:bottom w:val="single" w:sz="6" w:space="0" w:color="auto"/>
            </w:tcBorders>
          </w:tcPr>
          <w:p w14:paraId="2F8C181F"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C8630A9"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3057D3E"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4A26FB0"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6A3ADAC" w14:textId="77777777" w:rsidR="002F6840" w:rsidRDefault="002F6840">
            <w:pPr>
              <w:cnfStyle w:val="000000000000" w:firstRow="0" w:lastRow="0" w:firstColumn="0" w:lastColumn="0" w:oddVBand="0" w:evenVBand="0" w:oddHBand="0" w:evenHBand="0" w:firstRowFirstColumn="0" w:firstRowLastColumn="0" w:lastRowFirstColumn="0" w:lastRowLastColumn="0"/>
            </w:pPr>
            <w:r>
              <w:t>89</w:t>
            </w:r>
          </w:p>
        </w:tc>
      </w:tr>
      <w:tr w:rsidR="002F6840" w:rsidRPr="00A47940" w14:paraId="6DC9D048"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Pr>
          <w:p w14:paraId="616B55DC" w14:textId="77777777" w:rsidR="002F6840" w:rsidRPr="00A47940" w:rsidRDefault="002F6840">
            <w:pPr>
              <w:keepNext/>
              <w:rPr>
                <w:b/>
              </w:rPr>
            </w:pPr>
            <w:r w:rsidRPr="00A47940">
              <w:rPr>
                <w:b/>
              </w:rPr>
              <w:t>Timeliness</w:t>
            </w:r>
          </w:p>
        </w:tc>
      </w:tr>
      <w:tr w:rsidR="002F6840" w14:paraId="42E6FF79" w14:textId="77777777" w:rsidTr="00584E14">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248418E" w14:textId="77777777" w:rsidR="002F6840" w:rsidRDefault="002F6840">
            <w:pPr>
              <w:ind w:left="170"/>
            </w:pPr>
            <w:r>
              <w:t>Assessments completed by First Peoples-State Relations within the legislative timeframe — cultural heritage management plans, cultural heritage permits, preliminary Aboriginal heritage tests</w:t>
            </w:r>
          </w:p>
        </w:tc>
        <w:tc>
          <w:tcPr>
            <w:tcW w:w="964" w:type="dxa"/>
            <w:tcBorders>
              <w:bottom w:val="single" w:sz="6" w:space="0" w:color="auto"/>
            </w:tcBorders>
          </w:tcPr>
          <w:p w14:paraId="5907D7E6"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CF28160"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E5A0C28"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F910A8F"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A4EFA58" w14:textId="77777777" w:rsidR="002F6840" w:rsidRDefault="002F6840">
            <w:pPr>
              <w:cnfStyle w:val="000000000000" w:firstRow="0" w:lastRow="0" w:firstColumn="0" w:lastColumn="0" w:oddVBand="0" w:evenVBand="0" w:oddHBand="0" w:evenHBand="0" w:firstRowFirstColumn="0" w:firstRowLastColumn="0" w:lastRowFirstColumn="0" w:lastRowLastColumn="0"/>
            </w:pPr>
            <w:r>
              <w:t>nm</w:t>
            </w:r>
          </w:p>
        </w:tc>
      </w:tr>
      <w:tr w:rsidR="002F6840" w14:paraId="2F6F5E17"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32E3A863" w14:textId="77777777" w:rsidR="002F6840" w:rsidRDefault="002F6840">
            <w:pPr>
              <w:keepNext/>
              <w:ind w:left="170"/>
            </w:pPr>
            <w:r>
              <w:t>Average days to process applications to register an Aboriginal Place (Cultural Heritage Management Plan related) on the Victorian Aboriginal Heritage Register meets or reduces days taken</w:t>
            </w:r>
          </w:p>
        </w:tc>
        <w:tc>
          <w:tcPr>
            <w:tcW w:w="964" w:type="dxa"/>
          </w:tcPr>
          <w:p w14:paraId="62BFB93A"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7031C90C" w14:textId="77777777" w:rsidR="002F6840" w:rsidRDefault="002F6840">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40FACF8A" w14:textId="77777777" w:rsidR="002F6840" w:rsidRDefault="002F6840">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0F8B679" w14:textId="77777777" w:rsidR="002F6840" w:rsidRDefault="002F6840">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107D3BE4" w14:textId="77777777" w:rsidR="002F6840" w:rsidRDefault="002F6840">
            <w:pPr>
              <w:cnfStyle w:val="000000000000" w:firstRow="0" w:lastRow="0" w:firstColumn="0" w:lastColumn="0" w:oddVBand="0" w:evenVBand="0" w:oddHBand="0" w:evenHBand="0" w:firstRowFirstColumn="0" w:firstRowLastColumn="0" w:lastRowFirstColumn="0" w:lastRowLastColumn="0"/>
            </w:pPr>
            <w:r>
              <w:t>57</w:t>
            </w:r>
          </w:p>
        </w:tc>
      </w:tr>
      <w:tr w:rsidR="002F6840" w14:paraId="71197C9F" w14:textId="77777777" w:rsidTr="00584E1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795E0A" w14:textId="2392F76E" w:rsidR="002F6840" w:rsidRDefault="002F6840">
            <w:pPr>
              <w:ind w:left="170"/>
            </w:pPr>
            <w:r>
              <w:rPr>
                <w:i/>
              </w:rPr>
              <w:t>This measure renames the 2025</w:t>
            </w:r>
            <w:r w:rsidR="00383570">
              <w:rPr>
                <w:i/>
              </w:rPr>
              <w:t>-</w:t>
            </w:r>
            <w:r>
              <w:rPr>
                <w:i/>
              </w:rPr>
              <w:t>26 measure ‘Average days to process applications, to register an Aboriginal Cultural Heritage Place (Cultural Heritage Management Plan related) on the Victorian Aboriginal Cultural Heritage Register, meets or reduces days taken’ for clarity and technical accuracy.</w:t>
            </w:r>
          </w:p>
        </w:tc>
      </w:tr>
      <w:tr w:rsidR="002F6840" w14:paraId="7F2B259F"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79CEDB8A" w14:textId="067AE652" w:rsidR="002F6840" w:rsidRDefault="002F6840">
            <w:pPr>
              <w:keepNext/>
              <w:ind w:left="170"/>
            </w:pPr>
            <w:r>
              <w:t>Average number of days for payments to be completed upon approval by DPC of funding recipients</w:t>
            </w:r>
            <w:r w:rsidR="00AD4833">
              <w:t>’</w:t>
            </w:r>
            <w:r>
              <w:t xml:space="preserve"> milestone reporting</w:t>
            </w:r>
          </w:p>
        </w:tc>
        <w:tc>
          <w:tcPr>
            <w:tcW w:w="964" w:type="dxa"/>
          </w:tcPr>
          <w:p w14:paraId="0FC94009"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36AA5956" w14:textId="10BC60A2" w:rsidR="002F6840" w:rsidRDefault="002F6840">
            <w:pPr>
              <w:cnfStyle w:val="000000000000" w:firstRow="0" w:lastRow="0" w:firstColumn="0" w:lastColumn="0" w:oddVBand="0" w:evenVBand="0" w:oddHBand="0" w:evenHBand="0" w:firstRowFirstColumn="0" w:firstRowLastColumn="0" w:lastRowFirstColumn="0" w:lastRowLastColumn="0"/>
            </w:pPr>
            <w:r>
              <w:t>&lt;</w:t>
            </w:r>
            <w:r w:rsidR="00540BB2">
              <w:t xml:space="preserve"> </w:t>
            </w:r>
            <w:r>
              <w:t>30</w:t>
            </w:r>
          </w:p>
        </w:tc>
        <w:tc>
          <w:tcPr>
            <w:tcW w:w="964" w:type="dxa"/>
          </w:tcPr>
          <w:p w14:paraId="4031F755" w14:textId="25D3DD7A" w:rsidR="002F6840" w:rsidRDefault="002F6840">
            <w:pPr>
              <w:cnfStyle w:val="000000000000" w:firstRow="0" w:lastRow="0" w:firstColumn="0" w:lastColumn="0" w:oddVBand="0" w:evenVBand="0" w:oddHBand="0" w:evenHBand="0" w:firstRowFirstColumn="0" w:firstRowLastColumn="0" w:lastRowFirstColumn="0" w:lastRowLastColumn="0"/>
            </w:pPr>
            <w:r>
              <w:t>&lt;</w:t>
            </w:r>
            <w:r w:rsidR="00540BB2">
              <w:t xml:space="preserve"> </w:t>
            </w:r>
            <w:r>
              <w:t>30</w:t>
            </w:r>
          </w:p>
        </w:tc>
        <w:tc>
          <w:tcPr>
            <w:tcW w:w="964" w:type="dxa"/>
          </w:tcPr>
          <w:p w14:paraId="57EA4F78" w14:textId="4BE454C1" w:rsidR="002F6840" w:rsidRDefault="002F6840">
            <w:pPr>
              <w:cnfStyle w:val="000000000000" w:firstRow="0" w:lastRow="0" w:firstColumn="0" w:lastColumn="0" w:oddVBand="0" w:evenVBand="0" w:oddHBand="0" w:evenHBand="0" w:firstRowFirstColumn="0" w:firstRowLastColumn="0" w:lastRowFirstColumn="0" w:lastRowLastColumn="0"/>
            </w:pPr>
            <w:r>
              <w:t>&lt;</w:t>
            </w:r>
            <w:r w:rsidR="00540BB2">
              <w:t xml:space="preserve"> </w:t>
            </w:r>
            <w:r>
              <w:t>30</w:t>
            </w:r>
          </w:p>
        </w:tc>
        <w:tc>
          <w:tcPr>
            <w:tcW w:w="964" w:type="dxa"/>
          </w:tcPr>
          <w:p w14:paraId="52F79565" w14:textId="77777777" w:rsidR="002F6840" w:rsidRDefault="002F6840">
            <w:pPr>
              <w:cnfStyle w:val="000000000000" w:firstRow="0" w:lastRow="0" w:firstColumn="0" w:lastColumn="0" w:oddVBand="0" w:evenVBand="0" w:oddHBand="0" w:evenHBand="0" w:firstRowFirstColumn="0" w:firstRowLastColumn="0" w:lastRowFirstColumn="0" w:lastRowLastColumn="0"/>
            </w:pPr>
            <w:r>
              <w:t>nm</w:t>
            </w:r>
          </w:p>
        </w:tc>
      </w:tr>
      <w:tr w:rsidR="002F6840" w14:paraId="5E000B25" w14:textId="77777777" w:rsidTr="00954A68">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354F2E1D" w14:textId="16B1CE1C" w:rsidR="002F6840" w:rsidRDefault="002F6840">
            <w:pPr>
              <w:keepNext/>
              <w:ind w:left="170"/>
            </w:pPr>
            <w:r>
              <w:t>Proportion of native title negotiations progressed in accordance with the department</w:t>
            </w:r>
            <w:r w:rsidR="00AD4833">
              <w:t>’</w:t>
            </w:r>
            <w:r>
              <w:t>s annual work plan and timeframes monitored by the Federal Court</w:t>
            </w:r>
          </w:p>
        </w:tc>
        <w:tc>
          <w:tcPr>
            <w:tcW w:w="964" w:type="dxa"/>
            <w:tcBorders>
              <w:bottom w:val="nil"/>
            </w:tcBorders>
          </w:tcPr>
          <w:p w14:paraId="39A8D0FF"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1C66A4E6"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28D0D25D"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nil"/>
            </w:tcBorders>
          </w:tcPr>
          <w:p w14:paraId="6E230636"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50B229F2"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r>
      <w:tr w:rsidR="00A92619" w14:paraId="46749C84"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D4E57D" w14:textId="18FC6C47" w:rsidR="00A92619" w:rsidRDefault="00A92619" w:rsidP="00A92619">
            <w:pPr>
              <w:ind w:left="170"/>
            </w:pPr>
            <w:r w:rsidRPr="00A92619">
              <w:rPr>
                <w:i/>
              </w:rPr>
              <w:t xml:space="preserve">The 2025-26 expected outcome is lower than the target. While the Department is expected to meet all Federal Court timeframes in 2025-26, two anticipated Recognition and Settlement Agreements with Traditional Owner Groups under the </w:t>
            </w:r>
            <w:r w:rsidRPr="00954A68">
              <w:t>Traditional Owner Settlement Act 2010</w:t>
            </w:r>
            <w:r w:rsidRPr="00A92619">
              <w:rPr>
                <w:i/>
              </w:rPr>
              <w:t xml:space="preserve"> (Vic) are not expected to be agreed and entered into during the financial year.</w:t>
            </w:r>
          </w:p>
        </w:tc>
      </w:tr>
      <w:tr w:rsidR="00A92619" w14:paraId="3E8736A6" w14:textId="77777777" w:rsidTr="00954A68">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E77A1CE" w14:textId="665230E5" w:rsidR="00A92619" w:rsidRPr="00A92619" w:rsidRDefault="00A92619">
            <w:pPr>
              <w:rPr>
                <w:b/>
                <w:bCs/>
              </w:rPr>
            </w:pPr>
            <w:r w:rsidRPr="00A92619">
              <w:rPr>
                <w:b/>
                <w:bCs/>
              </w:rPr>
              <w:t>Cost</w:t>
            </w:r>
          </w:p>
        </w:tc>
      </w:tr>
      <w:tr w:rsidR="00C9179B" w14:paraId="725FAB04" w14:textId="77777777" w:rsidTr="00584E14">
        <w:tc>
          <w:tcPr>
            <w:cnfStyle w:val="001000000000" w:firstRow="0" w:lastRow="0" w:firstColumn="1" w:lastColumn="0" w:oddVBand="0" w:evenVBand="0" w:oddHBand="0" w:evenHBand="0" w:firstRowFirstColumn="0" w:firstRowLastColumn="0" w:lastRowFirstColumn="0" w:lastRowLastColumn="0"/>
            <w:tcW w:w="4819" w:type="dxa"/>
          </w:tcPr>
          <w:p w14:paraId="0FE3BF9A" w14:textId="50EDB532" w:rsidR="00C9179B" w:rsidRDefault="00C9179B" w:rsidP="00C9179B">
            <w:pPr>
              <w:keepNext/>
              <w:ind w:left="170"/>
            </w:pPr>
            <w:r>
              <w:t>Total output cost</w:t>
            </w:r>
          </w:p>
        </w:tc>
        <w:tc>
          <w:tcPr>
            <w:tcW w:w="964" w:type="dxa"/>
          </w:tcPr>
          <w:p w14:paraId="2F3A2999" w14:textId="4A4D218B" w:rsidR="00C9179B" w:rsidRDefault="00C9179B" w:rsidP="00C9179B">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55AA454" w14:textId="0C0CBE4C" w:rsidR="00C9179B" w:rsidRDefault="00C9179B" w:rsidP="00C9179B">
            <w:pPr>
              <w:cnfStyle w:val="000000000000" w:firstRow="0" w:lastRow="0" w:firstColumn="0" w:lastColumn="0" w:oddVBand="0" w:evenVBand="0" w:oddHBand="0" w:evenHBand="0" w:firstRowFirstColumn="0" w:firstRowLastColumn="0" w:lastRowFirstColumn="0" w:lastRowLastColumn="0"/>
            </w:pPr>
            <w:r>
              <w:t>22.4</w:t>
            </w:r>
          </w:p>
        </w:tc>
        <w:tc>
          <w:tcPr>
            <w:tcW w:w="964" w:type="dxa"/>
          </w:tcPr>
          <w:p w14:paraId="615F0ADF" w14:textId="5FED1331" w:rsidR="00C9179B" w:rsidRDefault="00C9179B" w:rsidP="00C9179B">
            <w:pPr>
              <w:cnfStyle w:val="000000000000" w:firstRow="0" w:lastRow="0" w:firstColumn="0" w:lastColumn="0" w:oddVBand="0" w:evenVBand="0" w:oddHBand="0" w:evenHBand="0" w:firstRowFirstColumn="0" w:firstRowLastColumn="0" w:lastRowFirstColumn="0" w:lastRowLastColumn="0"/>
            </w:pPr>
            <w:r>
              <w:t>49.6</w:t>
            </w:r>
          </w:p>
        </w:tc>
        <w:tc>
          <w:tcPr>
            <w:tcW w:w="964" w:type="dxa"/>
          </w:tcPr>
          <w:p w14:paraId="1630FD7B" w14:textId="250637BD" w:rsidR="00C9179B" w:rsidRDefault="00C9179B" w:rsidP="00C9179B">
            <w:pPr>
              <w:cnfStyle w:val="000000000000" w:firstRow="0" w:lastRow="0" w:firstColumn="0" w:lastColumn="0" w:oddVBand="0" w:evenVBand="0" w:oddHBand="0" w:evenHBand="0" w:firstRowFirstColumn="0" w:firstRowLastColumn="0" w:lastRowFirstColumn="0" w:lastRowLastColumn="0"/>
            </w:pPr>
            <w:r>
              <w:t>35.7</w:t>
            </w:r>
          </w:p>
        </w:tc>
        <w:tc>
          <w:tcPr>
            <w:tcW w:w="964" w:type="dxa"/>
          </w:tcPr>
          <w:p w14:paraId="707923CF" w14:textId="7A950794" w:rsidR="00C9179B" w:rsidRDefault="00C9179B" w:rsidP="00C9179B">
            <w:pPr>
              <w:cnfStyle w:val="000000000000" w:firstRow="0" w:lastRow="0" w:firstColumn="0" w:lastColumn="0" w:oddVBand="0" w:evenVBand="0" w:oddHBand="0" w:evenHBand="0" w:firstRowFirstColumn="0" w:firstRowLastColumn="0" w:lastRowFirstColumn="0" w:lastRowLastColumn="0"/>
            </w:pPr>
            <w:r>
              <w:t>60.8</w:t>
            </w:r>
          </w:p>
        </w:tc>
      </w:tr>
      <w:tr w:rsidR="00C9179B" w14:paraId="2B845662"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6CCE32B" w14:textId="2AD9EACA" w:rsidR="0094401B" w:rsidRPr="00F40852" w:rsidRDefault="0094401B" w:rsidP="0094401B">
            <w:pPr>
              <w:ind w:left="170"/>
              <w:rPr>
                <w:i/>
                <w:iCs/>
              </w:rPr>
            </w:pPr>
            <w:r w:rsidRPr="00F40852">
              <w:rPr>
                <w:i/>
                <w:iCs/>
              </w:rPr>
              <w:t>The 2025</w:t>
            </w:r>
            <w:r w:rsidR="00383570">
              <w:rPr>
                <w:i/>
                <w:iCs/>
              </w:rPr>
              <w:t>-</w:t>
            </w:r>
            <w:r w:rsidRPr="00F40852">
              <w:rPr>
                <w:i/>
                <w:iCs/>
              </w:rPr>
              <w:t xml:space="preserve">26 expected outcome is higher than the target primarily due to the following factors arising since the publication of the </w:t>
            </w:r>
            <w:r w:rsidRPr="00D24590">
              <w:t>2025</w:t>
            </w:r>
            <w:r w:rsidR="00D24590" w:rsidRPr="00D24590">
              <w:noBreakHyphen/>
            </w:r>
            <w:r w:rsidRPr="00D24590">
              <w:t>26 Budget</w:t>
            </w:r>
            <w:r w:rsidRPr="00F40852">
              <w:rPr>
                <w:i/>
                <w:iCs/>
              </w:rPr>
              <w:t>:</w:t>
            </w:r>
          </w:p>
          <w:p w14:paraId="5D33DFFB" w14:textId="77777777" w:rsidR="0094401B" w:rsidRPr="00F40852" w:rsidRDefault="0094401B" w:rsidP="00D24590">
            <w:pPr>
              <w:pStyle w:val="ListBullet"/>
              <w:spacing w:after="0"/>
              <w:ind w:left="340" w:hanging="170"/>
              <w:rPr>
                <w:i/>
                <w:iCs/>
              </w:rPr>
            </w:pPr>
            <w:r w:rsidRPr="00F40852">
              <w:rPr>
                <w:i/>
                <w:iCs/>
              </w:rPr>
              <w:t>Release of contingency funding for the following initiatives:</w:t>
            </w:r>
          </w:p>
          <w:p w14:paraId="2A248796" w14:textId="77777777" w:rsidR="0094401B" w:rsidRPr="00540BB2" w:rsidRDefault="0094401B" w:rsidP="007A6527">
            <w:pPr>
              <w:pStyle w:val="Note2"/>
              <w:rPr>
                <w:sz w:val="17"/>
              </w:rPr>
            </w:pPr>
            <w:r w:rsidRPr="00540BB2">
              <w:rPr>
                <w:sz w:val="17"/>
              </w:rPr>
              <w:t>Cultural Heritage Review Implementation</w:t>
            </w:r>
          </w:p>
          <w:p w14:paraId="56725271" w14:textId="77777777" w:rsidR="0094401B" w:rsidRPr="00540BB2" w:rsidRDefault="0094401B" w:rsidP="007A6527">
            <w:pPr>
              <w:pStyle w:val="Note2"/>
              <w:rPr>
                <w:sz w:val="17"/>
              </w:rPr>
            </w:pPr>
            <w:r w:rsidRPr="00540BB2">
              <w:rPr>
                <w:sz w:val="17"/>
              </w:rPr>
              <w:t>Enabling Traditional Owner Participation in Recognition and Settlement Agreements</w:t>
            </w:r>
          </w:p>
          <w:p w14:paraId="7AD1A7CB" w14:textId="77777777" w:rsidR="0094401B" w:rsidRPr="00540BB2" w:rsidRDefault="0094401B" w:rsidP="007A6527">
            <w:pPr>
              <w:pStyle w:val="Note2"/>
              <w:rPr>
                <w:sz w:val="17"/>
              </w:rPr>
            </w:pPr>
            <w:r w:rsidRPr="00540BB2">
              <w:rPr>
                <w:sz w:val="17"/>
              </w:rPr>
              <w:t>Taungurung Negotiations</w:t>
            </w:r>
          </w:p>
          <w:p w14:paraId="581F026B" w14:textId="05112040" w:rsidR="0094401B" w:rsidRPr="00540BB2" w:rsidRDefault="0094401B" w:rsidP="007A6527">
            <w:pPr>
              <w:pStyle w:val="Note2"/>
              <w:rPr>
                <w:sz w:val="17"/>
              </w:rPr>
            </w:pPr>
            <w:r w:rsidRPr="00540BB2">
              <w:rPr>
                <w:sz w:val="17"/>
              </w:rPr>
              <w:t>Support Recognition and Settlement Agreement implementation and negotiation priorities</w:t>
            </w:r>
            <w:r w:rsidR="00D24590" w:rsidRPr="00540BB2">
              <w:rPr>
                <w:sz w:val="17"/>
              </w:rPr>
              <w:t>.</w:t>
            </w:r>
          </w:p>
          <w:p w14:paraId="38AC9D76" w14:textId="024A1EAD" w:rsidR="0094401B" w:rsidRPr="00F40852" w:rsidRDefault="0094401B" w:rsidP="00D24590">
            <w:pPr>
              <w:pStyle w:val="ListBullet"/>
              <w:spacing w:after="0"/>
              <w:ind w:left="340" w:hanging="170"/>
              <w:rPr>
                <w:i/>
                <w:iCs/>
              </w:rPr>
            </w:pPr>
            <w:r w:rsidRPr="00F40852">
              <w:rPr>
                <w:i/>
                <w:iCs/>
              </w:rPr>
              <w:t xml:space="preserve">Unapplied appropriations for </w:t>
            </w:r>
            <w:r w:rsidRPr="00E2163E">
              <w:t>Traditional Owner Settlement Act 2010</w:t>
            </w:r>
            <w:r w:rsidRPr="00F40852">
              <w:rPr>
                <w:i/>
                <w:iCs/>
              </w:rPr>
              <w:t xml:space="preserve"> (Vic) carried over from 2024</w:t>
            </w:r>
            <w:r w:rsidR="00383570">
              <w:rPr>
                <w:i/>
                <w:iCs/>
              </w:rPr>
              <w:t>-</w:t>
            </w:r>
            <w:r w:rsidRPr="00F40852">
              <w:rPr>
                <w:i/>
                <w:iCs/>
              </w:rPr>
              <w:t>25 into 2025</w:t>
            </w:r>
            <w:r w:rsidR="00383570">
              <w:rPr>
                <w:i/>
                <w:iCs/>
              </w:rPr>
              <w:t>-</w:t>
            </w:r>
            <w:r w:rsidRPr="00F40852">
              <w:rPr>
                <w:i/>
                <w:iCs/>
              </w:rPr>
              <w:t>26 to support delivery of remaining milestones.</w:t>
            </w:r>
          </w:p>
          <w:p w14:paraId="6BB2200C" w14:textId="13DDE1A6" w:rsidR="00C9179B" w:rsidRDefault="0094401B" w:rsidP="0094401B">
            <w:r w:rsidRPr="0A959748">
              <w:rPr>
                <w:i/>
                <w:iCs/>
              </w:rPr>
              <w:t>The lower 2026</w:t>
            </w:r>
            <w:r w:rsidR="00383570">
              <w:rPr>
                <w:i/>
                <w:iCs/>
              </w:rPr>
              <w:t>-</w:t>
            </w:r>
            <w:r w:rsidRPr="0A959748">
              <w:rPr>
                <w:i/>
                <w:iCs/>
              </w:rPr>
              <w:t xml:space="preserve">27 target is predominantly due to </w:t>
            </w:r>
            <w:r>
              <w:t>changes in funding allocations.</w:t>
            </w:r>
          </w:p>
        </w:tc>
      </w:tr>
    </w:tbl>
    <w:p w14:paraId="70CA2814" w14:textId="77777777" w:rsidR="002F6840" w:rsidRDefault="002F6840" w:rsidP="002F6840">
      <w:pPr>
        <w:pStyle w:val="Source"/>
      </w:pPr>
      <w:r>
        <w:t>Source: Department of Premier and Cabinet</w:t>
      </w:r>
    </w:p>
    <w:p w14:paraId="6CFB85CF" w14:textId="77777777" w:rsidR="00D24590" w:rsidRDefault="00D24590">
      <w:pPr>
        <w:keepLines w:val="0"/>
        <w:rPr>
          <w:rFonts w:ascii="Calibri" w:eastAsia="Garamond" w:hAnsi="Calibri" w:cs="Calibri"/>
          <w:b/>
          <w:szCs w:val="20"/>
        </w:rPr>
      </w:pPr>
      <w:r>
        <w:rPr>
          <w:rFonts w:ascii="Calibri" w:eastAsia="Garamond" w:hAnsi="Calibri" w:cs="Calibri"/>
          <w:b/>
          <w:szCs w:val="20"/>
        </w:rPr>
        <w:br w:type="page"/>
      </w:r>
    </w:p>
    <w:p w14:paraId="16706E98" w14:textId="77777777" w:rsidR="002F6840" w:rsidRPr="00F26FF5" w:rsidRDefault="002F6840" w:rsidP="002F6840">
      <w:pPr>
        <w:keepNext/>
        <w:pBdr>
          <w:top w:val="single" w:sz="6" w:space="3" w:color="auto"/>
          <w:left w:val="single" w:sz="6" w:space="4" w:color="auto"/>
          <w:bottom w:val="single" w:sz="6" w:space="3" w:color="auto"/>
          <w:right w:val="single" w:sz="6" w:space="4" w:color="auto"/>
        </w:pBdr>
        <w:shd w:val="clear" w:color="auto" w:fill="F2F2F2"/>
        <w:rPr>
          <w:rFonts w:ascii="Calibri" w:eastAsia="Garamond" w:hAnsi="Calibri" w:cs="Calibri"/>
          <w:b/>
          <w:szCs w:val="20"/>
        </w:rPr>
      </w:pPr>
      <w:r w:rsidRPr="00F26FF5">
        <w:rPr>
          <w:rFonts w:ascii="Calibri" w:eastAsia="Garamond" w:hAnsi="Calibri" w:cs="Calibri"/>
          <w:b/>
          <w:szCs w:val="20"/>
        </w:rPr>
        <w:lastRenderedPageBreak/>
        <w:t>Objective 3: Improved public administration and support for the Victorian public service</w:t>
      </w:r>
    </w:p>
    <w:p w14:paraId="724F8346" w14:textId="77777777" w:rsidR="002F6840" w:rsidRPr="00955641" w:rsidRDefault="002F6840" w:rsidP="002F6840">
      <w:pPr>
        <w:pBdr>
          <w:top w:val="single" w:sz="6" w:space="3" w:color="auto"/>
          <w:left w:val="single" w:sz="6" w:space="4" w:color="auto"/>
          <w:bottom w:val="single" w:sz="6" w:space="3" w:color="auto"/>
          <w:right w:val="single" w:sz="6" w:space="4" w:color="auto"/>
        </w:pBdr>
        <w:shd w:val="clear" w:color="auto" w:fill="F2F2F2"/>
        <w:rPr>
          <w:rFonts w:eastAsia="Garamond" w:cs="Calibri"/>
          <w:szCs w:val="20"/>
        </w:rPr>
      </w:pPr>
      <w:r w:rsidRPr="00955641">
        <w:rPr>
          <w:rFonts w:eastAsia="Garamond" w:cs="Calibri"/>
          <w:szCs w:val="20"/>
        </w:rPr>
        <w:t>This objective fosters and promotes a high-performing public service. It ensures effective whole of government performance and outcomes and supports the effective administration of government. It protects and promotes the values of good governance, integrity and accountability across the public service to foster and maintain public trust in government. It maintains compliance with government advertising and communication guidelines to support effective financial management, probity, and accountability of government advertising.</w:t>
      </w:r>
    </w:p>
    <w:p w14:paraId="6F6C0E43" w14:textId="77777777" w:rsidR="002F6840" w:rsidRPr="00955641" w:rsidRDefault="002F6840" w:rsidP="002F6840">
      <w:pPr>
        <w:pBdr>
          <w:top w:val="single" w:sz="6" w:space="3" w:color="auto"/>
          <w:left w:val="single" w:sz="6" w:space="4" w:color="auto"/>
          <w:bottom w:val="single" w:sz="6" w:space="3" w:color="auto"/>
          <w:right w:val="single" w:sz="6" w:space="4" w:color="auto"/>
        </w:pBdr>
        <w:shd w:val="clear" w:color="auto" w:fill="F2F2F2"/>
        <w:rPr>
          <w:rFonts w:eastAsia="Garamond" w:cs="Calibri"/>
          <w:szCs w:val="20"/>
        </w:rPr>
      </w:pPr>
      <w:r w:rsidRPr="00955641">
        <w:rPr>
          <w:rFonts w:eastAsia="Garamond" w:cs="Calibri"/>
          <w:szCs w:val="20"/>
        </w:rPr>
        <w:t>The departmental objective indicators are:</w:t>
      </w:r>
    </w:p>
    <w:p w14:paraId="1F6C07AB" w14:textId="77777777" w:rsidR="002F6840" w:rsidRPr="00955641" w:rsidRDefault="002F6840" w:rsidP="007A6527">
      <w:pPr>
        <w:pStyle w:val="ShadedBoxBullet"/>
      </w:pPr>
      <w:r w:rsidRPr="00955641">
        <w:t>support for Cabinet, committee members and Executive Council is valued and informs decision making</w:t>
      </w:r>
    </w:p>
    <w:p w14:paraId="0E6EF12F" w14:textId="77777777" w:rsidR="002F6840" w:rsidRPr="00955641" w:rsidRDefault="002F6840" w:rsidP="007A6527">
      <w:pPr>
        <w:pStyle w:val="ShadedBoxBullet"/>
      </w:pPr>
      <w:r w:rsidRPr="00955641">
        <w:t>agency compliance with government advertising and communication guidelines</w:t>
      </w:r>
    </w:p>
    <w:p w14:paraId="5127452E" w14:textId="3ADDC224" w:rsidR="002F6840" w:rsidRPr="00955641" w:rsidRDefault="002F6840" w:rsidP="007A6527">
      <w:pPr>
        <w:pStyle w:val="ShadedBoxBullet"/>
      </w:pPr>
      <w:r w:rsidRPr="00955641">
        <w:t>Victoria’s electoral system is supported by an accurate and secure electoral roll, electoral services and conduct of fair and impartial elections</w:t>
      </w:r>
    </w:p>
    <w:p w14:paraId="6A95DCE3" w14:textId="77777777" w:rsidR="002F6840" w:rsidRPr="00955641" w:rsidRDefault="002F6840" w:rsidP="007A6527">
      <w:pPr>
        <w:pStyle w:val="ShadedBoxBullet"/>
      </w:pPr>
      <w:r w:rsidRPr="00955641">
        <w:t>provision of high-quality legislative drafting and publication services</w:t>
      </w:r>
    </w:p>
    <w:p w14:paraId="1247CEE1" w14:textId="77777777" w:rsidR="002F6840" w:rsidRPr="00955641" w:rsidRDefault="002F6840" w:rsidP="007A6527">
      <w:pPr>
        <w:pStyle w:val="ShadedBoxBullet"/>
      </w:pPr>
      <w:r w:rsidRPr="00955641">
        <w:t>advice contributes to the achievement of government policies and priorities relating to public sector governance.</w:t>
      </w:r>
    </w:p>
    <w:p w14:paraId="67D83C1E" w14:textId="77777777" w:rsidR="002F6840" w:rsidRDefault="002F6840" w:rsidP="002F6840">
      <w:pPr>
        <w:pStyle w:val="Heading2"/>
      </w:pPr>
      <w:r>
        <w:t>Outputs</w:t>
      </w:r>
    </w:p>
    <w:p w14:paraId="6D873572" w14:textId="77777777" w:rsidR="002F6840" w:rsidRDefault="002F6840" w:rsidP="002F6840">
      <w:pPr>
        <w:pStyle w:val="Heading3"/>
      </w:pPr>
      <w:r>
        <w:t>Executive Government Advice and Services</w:t>
      </w:r>
      <w:r>
        <w:tab/>
        <w:t>(2026-27: $130.4 million)</w:t>
      </w:r>
    </w:p>
    <w:p w14:paraId="771A3B7D" w14:textId="77777777" w:rsidR="002F6840" w:rsidRPr="00B525CB" w:rsidRDefault="002F6840" w:rsidP="002F6840">
      <w:pPr>
        <w:rPr>
          <w:rFonts w:eastAsia="Garamond" w:cs="Calibri"/>
          <w:szCs w:val="20"/>
        </w:rPr>
      </w:pPr>
      <w:r w:rsidRPr="00B525CB">
        <w:rPr>
          <w:rFonts w:eastAsia="Garamond" w:cs="Calibri"/>
          <w:szCs w:val="20"/>
        </w:rPr>
        <w:t>This output contributes to:</w:t>
      </w:r>
    </w:p>
    <w:p w14:paraId="44692BF6" w14:textId="77777777" w:rsidR="002F6840" w:rsidRPr="00B525CB" w:rsidRDefault="002F6840" w:rsidP="007A6527">
      <w:pPr>
        <w:pStyle w:val="ListBullet"/>
      </w:pPr>
      <w:r w:rsidRPr="00B525CB">
        <w:t>providing strategic, timely and comprehensive support to Cabinet and Cabinet Committees</w:t>
      </w:r>
    </w:p>
    <w:p w14:paraId="11C85875" w14:textId="77777777" w:rsidR="002F6840" w:rsidRPr="00B525CB" w:rsidRDefault="002F6840" w:rsidP="007A6527">
      <w:pPr>
        <w:pStyle w:val="ListBullet"/>
      </w:pPr>
      <w:r w:rsidRPr="00B525CB">
        <w:t>providing support to the Governor and maintaining Government House and its collections as a heritage asset of national importance</w:t>
      </w:r>
    </w:p>
    <w:p w14:paraId="4DF63D0C" w14:textId="77777777" w:rsidR="002F6840" w:rsidRPr="00B525CB" w:rsidRDefault="002F6840" w:rsidP="007A6527">
      <w:pPr>
        <w:pStyle w:val="ListBullet"/>
      </w:pPr>
      <w:r w:rsidRPr="00B525CB">
        <w:t>delivering analysis and advice to support evidence-based decision making across the public sector</w:t>
      </w:r>
    </w:p>
    <w:p w14:paraId="7A90C634" w14:textId="77777777" w:rsidR="002F6840" w:rsidRPr="00B525CB" w:rsidRDefault="002F6840" w:rsidP="007A6527">
      <w:pPr>
        <w:pStyle w:val="ListBullet"/>
      </w:pPr>
      <w:r w:rsidRPr="00B525CB">
        <w:t>providing whole of government community engagement and communications activity.</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63DB9E29" w14:textId="77777777" w:rsidTr="009440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F8B402F" w14:textId="77777777" w:rsidR="002F6840" w:rsidRDefault="002F6840">
            <w:r>
              <w:t>Performance measure</w:t>
            </w:r>
          </w:p>
        </w:tc>
        <w:tc>
          <w:tcPr>
            <w:tcW w:w="964" w:type="dxa"/>
          </w:tcPr>
          <w:p w14:paraId="7C2A4701"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CF2DBD5"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BE87EEE"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15A305F"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BFEAA65"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31ACDCE4" w14:textId="77777777" w:rsidTr="0094401B">
        <w:tc>
          <w:tcPr>
            <w:cnfStyle w:val="001000000000" w:firstRow="0" w:lastRow="0" w:firstColumn="1" w:lastColumn="0" w:oddVBand="0" w:evenVBand="0" w:oddHBand="0" w:evenHBand="0" w:firstRowFirstColumn="0" w:firstRowLastColumn="0" w:lastRowFirstColumn="0" w:lastRowLastColumn="0"/>
            <w:tcW w:w="9639" w:type="dxa"/>
            <w:gridSpan w:val="6"/>
          </w:tcPr>
          <w:p w14:paraId="7B4F70F2" w14:textId="77777777" w:rsidR="002F6840" w:rsidRPr="0094401B" w:rsidRDefault="002F6840">
            <w:pPr>
              <w:keepNext/>
              <w:rPr>
                <w:b/>
                <w:bCs/>
                <w:iCs/>
              </w:rPr>
            </w:pPr>
            <w:r w:rsidRPr="0094401B">
              <w:rPr>
                <w:b/>
                <w:bCs/>
                <w:iCs/>
              </w:rPr>
              <w:t>Quantity</w:t>
            </w:r>
          </w:p>
        </w:tc>
      </w:tr>
      <w:tr w:rsidR="002F6840" w14:paraId="1C1BA3A5" w14:textId="77777777" w:rsidTr="0094401B">
        <w:tc>
          <w:tcPr>
            <w:cnfStyle w:val="001000000000" w:firstRow="0" w:lastRow="0" w:firstColumn="1" w:lastColumn="0" w:oddVBand="0" w:evenVBand="0" w:oddHBand="0" w:evenHBand="0" w:firstRowFirstColumn="0" w:firstRowLastColumn="0" w:lastRowFirstColumn="0" w:lastRowLastColumn="0"/>
            <w:tcW w:w="4819" w:type="dxa"/>
          </w:tcPr>
          <w:p w14:paraId="4FA2DCBC" w14:textId="77777777" w:rsidR="002F6840" w:rsidRDefault="002F6840">
            <w:pPr>
              <w:keepNext/>
              <w:ind w:left="170"/>
            </w:pPr>
            <w:r>
              <w:t>Number of briefs supporting Cabinet and Cabinet committee decision making</w:t>
            </w:r>
          </w:p>
        </w:tc>
        <w:tc>
          <w:tcPr>
            <w:tcW w:w="964" w:type="dxa"/>
          </w:tcPr>
          <w:p w14:paraId="35FB0432"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9DCBB37" w14:textId="77777777" w:rsidR="002F6840" w:rsidRDefault="002F6840">
            <w:pPr>
              <w:cnfStyle w:val="000000000000" w:firstRow="0" w:lastRow="0" w:firstColumn="0" w:lastColumn="0" w:oddVBand="0" w:evenVBand="0" w:oddHBand="0" w:evenHBand="0" w:firstRowFirstColumn="0" w:firstRowLastColumn="0" w:lastRowFirstColumn="0" w:lastRowLastColumn="0"/>
            </w:pPr>
            <w:r>
              <w:t>1 000</w:t>
            </w:r>
          </w:p>
        </w:tc>
        <w:tc>
          <w:tcPr>
            <w:tcW w:w="964" w:type="dxa"/>
          </w:tcPr>
          <w:p w14:paraId="24073102" w14:textId="77777777" w:rsidR="002F6840" w:rsidRDefault="002F6840">
            <w:pPr>
              <w:cnfStyle w:val="000000000000" w:firstRow="0" w:lastRow="0" w:firstColumn="0" w:lastColumn="0" w:oddVBand="0" w:evenVBand="0" w:oddHBand="0" w:evenHBand="0" w:firstRowFirstColumn="0" w:firstRowLastColumn="0" w:lastRowFirstColumn="0" w:lastRowLastColumn="0"/>
            </w:pPr>
            <w:r>
              <w:t>1 200</w:t>
            </w:r>
          </w:p>
        </w:tc>
        <w:tc>
          <w:tcPr>
            <w:tcW w:w="964" w:type="dxa"/>
          </w:tcPr>
          <w:p w14:paraId="42EFCF4D" w14:textId="77777777" w:rsidR="002F6840" w:rsidRDefault="002F6840">
            <w:pPr>
              <w:cnfStyle w:val="000000000000" w:firstRow="0" w:lastRow="0" w:firstColumn="0" w:lastColumn="0" w:oddVBand="0" w:evenVBand="0" w:oddHBand="0" w:evenHBand="0" w:firstRowFirstColumn="0" w:firstRowLastColumn="0" w:lastRowFirstColumn="0" w:lastRowLastColumn="0"/>
            </w:pPr>
            <w:r>
              <w:t>1 200</w:t>
            </w:r>
          </w:p>
        </w:tc>
        <w:tc>
          <w:tcPr>
            <w:tcW w:w="964" w:type="dxa"/>
          </w:tcPr>
          <w:p w14:paraId="04F091F2" w14:textId="77777777" w:rsidR="002F6840" w:rsidRDefault="002F6840">
            <w:pPr>
              <w:cnfStyle w:val="000000000000" w:firstRow="0" w:lastRow="0" w:firstColumn="0" w:lastColumn="0" w:oddVBand="0" w:evenVBand="0" w:oddHBand="0" w:evenHBand="0" w:firstRowFirstColumn="0" w:firstRowLastColumn="0" w:lastRowFirstColumn="0" w:lastRowLastColumn="0"/>
            </w:pPr>
            <w:r>
              <w:t>1 176</w:t>
            </w:r>
          </w:p>
        </w:tc>
      </w:tr>
      <w:tr w:rsidR="002F6840" w14:paraId="1BC2507C" w14:textId="77777777" w:rsidTr="0094401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B61A34A" w14:textId="2129771B" w:rsidR="002F6840" w:rsidRDefault="002F6840">
            <w:pPr>
              <w:ind w:left="170"/>
            </w:pPr>
            <w:r>
              <w:rPr>
                <w:i/>
              </w:rPr>
              <w:t>The lower 2026</w:t>
            </w:r>
            <w:r w:rsidR="00CE40AC">
              <w:rPr>
                <w:i/>
              </w:rPr>
              <w:t>-</w:t>
            </w:r>
            <w:r>
              <w:rPr>
                <w:i/>
              </w:rPr>
              <w:t xml:space="preserve">27 target reflects fewer Cabinet and Committee meetings associated with the November 2026 </w:t>
            </w:r>
            <w:r w:rsidR="00333756">
              <w:rPr>
                <w:i/>
              </w:rPr>
              <w:t>S</w:t>
            </w:r>
            <w:r>
              <w:rPr>
                <w:i/>
              </w:rPr>
              <w:t xml:space="preserve">tate </w:t>
            </w:r>
            <w:r w:rsidR="00333756">
              <w:rPr>
                <w:i/>
              </w:rPr>
              <w:t>E</w:t>
            </w:r>
            <w:r>
              <w:rPr>
                <w:i/>
              </w:rPr>
              <w:t>lection.</w:t>
            </w:r>
          </w:p>
        </w:tc>
      </w:tr>
      <w:tr w:rsidR="002F6840" w14:paraId="0503BD0F"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8966F9B" w14:textId="77777777" w:rsidR="002F6840" w:rsidRDefault="002F6840">
            <w:pPr>
              <w:ind w:left="170"/>
            </w:pPr>
            <w:r>
              <w:t>Office of the Governor: Increase in the annual number of guests and visitors to Government House</w:t>
            </w:r>
          </w:p>
        </w:tc>
        <w:tc>
          <w:tcPr>
            <w:tcW w:w="964" w:type="dxa"/>
            <w:tcBorders>
              <w:bottom w:val="single" w:sz="6" w:space="0" w:color="auto"/>
            </w:tcBorders>
          </w:tcPr>
          <w:p w14:paraId="0E443686"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9EC6268" w14:textId="77777777" w:rsidR="002F6840" w:rsidRDefault="002F6840">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2C8824AC" w14:textId="77777777" w:rsidR="002F6840" w:rsidRDefault="002F6840">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7DF39BBE" w14:textId="77777777" w:rsidR="002F6840" w:rsidRDefault="002F6840">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05AAD03F" w14:textId="77777777" w:rsidR="002F6840" w:rsidRDefault="002F6840">
            <w:pPr>
              <w:cnfStyle w:val="000000000000" w:firstRow="0" w:lastRow="0" w:firstColumn="0" w:lastColumn="0" w:oddVBand="0" w:evenVBand="0" w:oddHBand="0" w:evenHBand="0" w:firstRowFirstColumn="0" w:firstRowLastColumn="0" w:lastRowFirstColumn="0" w:lastRowLastColumn="0"/>
            </w:pPr>
            <w:r>
              <w:t>10</w:t>
            </w:r>
          </w:p>
        </w:tc>
      </w:tr>
      <w:tr w:rsidR="002F6840" w14:paraId="0521DE7D"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B789674" w14:textId="77777777" w:rsidR="002F6840" w:rsidRDefault="002F6840">
            <w:pPr>
              <w:ind w:left="170"/>
            </w:pPr>
            <w:r>
              <w:t>Whole of government forums, meetings and advisory groups chaired</w:t>
            </w:r>
          </w:p>
        </w:tc>
        <w:tc>
          <w:tcPr>
            <w:tcW w:w="964" w:type="dxa"/>
            <w:tcBorders>
              <w:bottom w:val="single" w:sz="6" w:space="0" w:color="auto"/>
            </w:tcBorders>
          </w:tcPr>
          <w:p w14:paraId="5C30CE35"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763C103"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8F0704D" w14:textId="77777777" w:rsidR="002F6840" w:rsidRDefault="002F6840">
            <w:pPr>
              <w:cnfStyle w:val="000000000000" w:firstRow="0" w:lastRow="0" w:firstColumn="0" w:lastColumn="0" w:oddVBand="0" w:evenVBand="0" w:oddHBand="0" w:evenHBand="0" w:firstRowFirstColumn="0" w:firstRowLastColumn="0" w:lastRowFirstColumn="0" w:lastRowLastColumn="0"/>
            </w:pPr>
            <w:r>
              <w:t>83</w:t>
            </w:r>
          </w:p>
        </w:tc>
        <w:tc>
          <w:tcPr>
            <w:tcW w:w="964" w:type="dxa"/>
            <w:tcBorders>
              <w:bottom w:val="single" w:sz="6" w:space="0" w:color="auto"/>
            </w:tcBorders>
          </w:tcPr>
          <w:p w14:paraId="2B10F624"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4BF9773" w14:textId="77777777" w:rsidR="002F6840" w:rsidRDefault="002F6840">
            <w:pPr>
              <w:cnfStyle w:val="000000000000" w:firstRow="0" w:lastRow="0" w:firstColumn="0" w:lastColumn="0" w:oddVBand="0" w:evenVBand="0" w:oddHBand="0" w:evenHBand="0" w:firstRowFirstColumn="0" w:firstRowLastColumn="0" w:lastRowFirstColumn="0" w:lastRowLastColumn="0"/>
            </w:pPr>
            <w:r>
              <w:t>86</w:t>
            </w:r>
          </w:p>
        </w:tc>
      </w:tr>
      <w:tr w:rsidR="002F6840" w14:paraId="49710563" w14:textId="77777777" w:rsidTr="0094401B">
        <w:tc>
          <w:tcPr>
            <w:cnfStyle w:val="001000000000" w:firstRow="0" w:lastRow="0" w:firstColumn="1" w:lastColumn="0" w:oddVBand="0" w:evenVBand="0" w:oddHBand="0" w:evenHBand="0" w:firstRowFirstColumn="0" w:firstRowLastColumn="0" w:lastRowFirstColumn="0" w:lastRowLastColumn="0"/>
            <w:tcW w:w="9639" w:type="dxa"/>
            <w:gridSpan w:val="6"/>
          </w:tcPr>
          <w:p w14:paraId="7F610E5D" w14:textId="77777777" w:rsidR="002F6840" w:rsidRPr="0094401B" w:rsidRDefault="002F6840">
            <w:pPr>
              <w:keepNext/>
              <w:rPr>
                <w:b/>
                <w:bCs/>
                <w:iCs/>
              </w:rPr>
            </w:pPr>
            <w:r w:rsidRPr="0094401B">
              <w:rPr>
                <w:b/>
                <w:bCs/>
                <w:iCs/>
              </w:rPr>
              <w:t>Quality</w:t>
            </w:r>
          </w:p>
        </w:tc>
      </w:tr>
      <w:tr w:rsidR="002F6840" w14:paraId="67261714"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E88DB2" w14:textId="77777777" w:rsidR="002F6840" w:rsidRDefault="002F6840">
            <w:pPr>
              <w:ind w:left="170"/>
            </w:pPr>
            <w:r>
              <w:t>Key stakeholder satisfaction with delivery of state events</w:t>
            </w:r>
          </w:p>
        </w:tc>
        <w:tc>
          <w:tcPr>
            <w:tcW w:w="964" w:type="dxa"/>
            <w:tcBorders>
              <w:bottom w:val="single" w:sz="6" w:space="0" w:color="auto"/>
            </w:tcBorders>
          </w:tcPr>
          <w:p w14:paraId="67909A43"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7AE9D0"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3689280"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DC90C58"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4EB6F9F"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2F6840" w14:paraId="779C64F7"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B503ED2" w14:textId="77777777" w:rsidR="002F6840" w:rsidRDefault="002F6840">
            <w:pPr>
              <w:ind w:left="170"/>
            </w:pPr>
            <w:r>
              <w:t>Office of the Governor: Government House accessibility and useability meets standards in asset management strategy</w:t>
            </w:r>
          </w:p>
        </w:tc>
        <w:tc>
          <w:tcPr>
            <w:tcW w:w="964" w:type="dxa"/>
            <w:tcBorders>
              <w:bottom w:val="single" w:sz="6" w:space="0" w:color="auto"/>
            </w:tcBorders>
          </w:tcPr>
          <w:p w14:paraId="1086CEFD"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EBF8B71" w14:textId="77777777" w:rsidR="002F6840" w:rsidRDefault="002F6840">
            <w:pPr>
              <w:cnfStyle w:val="000000000000" w:firstRow="0" w:lastRow="0" w:firstColumn="0" w:lastColumn="0" w:oddVBand="0" w:evenVBand="0" w:oddHBand="0" w:evenHBand="0" w:firstRowFirstColumn="0" w:firstRowLastColumn="0" w:lastRowFirstColumn="0" w:lastRowLastColumn="0"/>
            </w:pPr>
            <w:r>
              <w:t>79</w:t>
            </w:r>
          </w:p>
        </w:tc>
        <w:tc>
          <w:tcPr>
            <w:tcW w:w="964" w:type="dxa"/>
            <w:tcBorders>
              <w:bottom w:val="single" w:sz="6" w:space="0" w:color="auto"/>
            </w:tcBorders>
          </w:tcPr>
          <w:p w14:paraId="35552520" w14:textId="77777777" w:rsidR="002F6840" w:rsidRDefault="002F6840">
            <w:pPr>
              <w:cnfStyle w:val="000000000000" w:firstRow="0" w:lastRow="0" w:firstColumn="0" w:lastColumn="0" w:oddVBand="0" w:evenVBand="0" w:oddHBand="0" w:evenHBand="0" w:firstRowFirstColumn="0" w:firstRowLastColumn="0" w:lastRowFirstColumn="0" w:lastRowLastColumn="0"/>
            </w:pPr>
            <w:r>
              <w:t>79</w:t>
            </w:r>
          </w:p>
        </w:tc>
        <w:tc>
          <w:tcPr>
            <w:tcW w:w="964" w:type="dxa"/>
            <w:tcBorders>
              <w:bottom w:val="single" w:sz="6" w:space="0" w:color="auto"/>
            </w:tcBorders>
          </w:tcPr>
          <w:p w14:paraId="1E7E0382" w14:textId="77777777" w:rsidR="002F6840" w:rsidRDefault="002F6840">
            <w:pPr>
              <w:cnfStyle w:val="000000000000" w:firstRow="0" w:lastRow="0" w:firstColumn="0" w:lastColumn="0" w:oddVBand="0" w:evenVBand="0" w:oddHBand="0" w:evenHBand="0" w:firstRowFirstColumn="0" w:firstRowLastColumn="0" w:lastRowFirstColumn="0" w:lastRowLastColumn="0"/>
            </w:pPr>
            <w:r>
              <w:t>79</w:t>
            </w:r>
          </w:p>
        </w:tc>
        <w:tc>
          <w:tcPr>
            <w:tcW w:w="964" w:type="dxa"/>
            <w:tcBorders>
              <w:bottom w:val="single" w:sz="6" w:space="0" w:color="auto"/>
            </w:tcBorders>
          </w:tcPr>
          <w:p w14:paraId="6359659F" w14:textId="77777777" w:rsidR="002F6840" w:rsidRDefault="002F6840">
            <w:pPr>
              <w:cnfStyle w:val="000000000000" w:firstRow="0" w:lastRow="0" w:firstColumn="0" w:lastColumn="0" w:oddVBand="0" w:evenVBand="0" w:oddHBand="0" w:evenHBand="0" w:firstRowFirstColumn="0" w:firstRowLastColumn="0" w:lastRowFirstColumn="0" w:lastRowLastColumn="0"/>
            </w:pPr>
            <w:r>
              <w:t>79</w:t>
            </w:r>
          </w:p>
        </w:tc>
      </w:tr>
      <w:tr w:rsidR="002F6840" w14:paraId="16902369"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5DA60A0" w14:textId="77777777" w:rsidR="002F6840" w:rsidRDefault="002F6840">
            <w:pPr>
              <w:ind w:left="170"/>
            </w:pPr>
            <w:r>
              <w:t>Office of the Governor: Government House gardens and grounds meet standards in asset management strategy</w:t>
            </w:r>
          </w:p>
        </w:tc>
        <w:tc>
          <w:tcPr>
            <w:tcW w:w="964" w:type="dxa"/>
            <w:tcBorders>
              <w:bottom w:val="single" w:sz="6" w:space="0" w:color="auto"/>
            </w:tcBorders>
          </w:tcPr>
          <w:p w14:paraId="65B9AE91"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F6AE5B7"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2FB6CAE"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28528D3"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97C09C9"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r>
      <w:tr w:rsidR="002F6840" w14:paraId="638B02CC"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2AB403F" w14:textId="77777777" w:rsidR="002F6840" w:rsidRDefault="002F6840">
            <w:pPr>
              <w:ind w:left="170"/>
            </w:pPr>
            <w:r>
              <w:t>Relevant communication activity compliant with government advertising and communication guidelines</w:t>
            </w:r>
          </w:p>
        </w:tc>
        <w:tc>
          <w:tcPr>
            <w:tcW w:w="964" w:type="dxa"/>
            <w:tcBorders>
              <w:bottom w:val="single" w:sz="6" w:space="0" w:color="auto"/>
            </w:tcBorders>
          </w:tcPr>
          <w:p w14:paraId="6ECC8734"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76BB952"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AB15A21"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0DB6793"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C214619"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2F6840" w14:paraId="370C782F" w14:textId="77777777" w:rsidTr="0094401B">
        <w:tc>
          <w:tcPr>
            <w:cnfStyle w:val="001000000000" w:firstRow="0" w:lastRow="0" w:firstColumn="1" w:lastColumn="0" w:oddVBand="0" w:evenVBand="0" w:oddHBand="0" w:evenHBand="0" w:firstRowFirstColumn="0" w:firstRowLastColumn="0" w:lastRowFirstColumn="0" w:lastRowLastColumn="0"/>
            <w:tcW w:w="9639" w:type="dxa"/>
            <w:gridSpan w:val="6"/>
          </w:tcPr>
          <w:p w14:paraId="66F74484" w14:textId="77777777" w:rsidR="002F6840" w:rsidRPr="0094401B" w:rsidRDefault="002F6840">
            <w:pPr>
              <w:keepNext/>
              <w:rPr>
                <w:b/>
                <w:bCs/>
                <w:iCs/>
              </w:rPr>
            </w:pPr>
            <w:r w:rsidRPr="0094401B">
              <w:rPr>
                <w:b/>
                <w:bCs/>
                <w:iCs/>
              </w:rPr>
              <w:t>Timeliness</w:t>
            </w:r>
          </w:p>
        </w:tc>
      </w:tr>
      <w:tr w:rsidR="002F6840" w14:paraId="2A07E7C4" w14:textId="77777777" w:rsidTr="0094401B">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46B830E" w14:textId="5419C404" w:rsidR="002F6840" w:rsidRDefault="002F6840">
            <w:pPr>
              <w:ind w:left="170"/>
            </w:pPr>
            <w:r>
              <w:t>Office of the Governor: Support the Governor</w:t>
            </w:r>
            <w:r w:rsidR="00AD4833">
              <w:t>’</w:t>
            </w:r>
            <w:r>
              <w:t>s community engagement activities by arranging all internal and external events in a timely manner</w:t>
            </w:r>
          </w:p>
        </w:tc>
        <w:tc>
          <w:tcPr>
            <w:tcW w:w="964" w:type="dxa"/>
            <w:tcBorders>
              <w:bottom w:val="single" w:sz="6" w:space="0" w:color="auto"/>
            </w:tcBorders>
          </w:tcPr>
          <w:p w14:paraId="5B8FA413"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0964DA3"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12D2CCD"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D1C6BFF"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667DFF8"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2F6840" w14:paraId="7A09EA0A" w14:textId="77777777" w:rsidTr="008C4D7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C53064D" w14:textId="77777777" w:rsidR="002F6840" w:rsidRDefault="002F6840">
            <w:pPr>
              <w:ind w:left="170"/>
            </w:pPr>
            <w:r>
              <w:t>Timely delivery of State events and functions</w:t>
            </w:r>
          </w:p>
        </w:tc>
        <w:tc>
          <w:tcPr>
            <w:tcW w:w="964" w:type="dxa"/>
            <w:tcBorders>
              <w:top w:val="single" w:sz="6" w:space="0" w:color="auto"/>
              <w:bottom w:val="single" w:sz="6" w:space="0" w:color="auto"/>
            </w:tcBorders>
          </w:tcPr>
          <w:p w14:paraId="68255F02"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7CBAC1EA"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23AE2752"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6B272B42"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58B38533"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94401B" w14:paraId="399C8E66" w14:textId="77777777" w:rsidTr="008C4D7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20CB7D8F" w14:textId="0C92047C" w:rsidR="0094401B" w:rsidRPr="0094401B" w:rsidRDefault="0094401B" w:rsidP="00274FF4">
            <w:pPr>
              <w:keepNext/>
              <w:rPr>
                <w:b/>
                <w:bCs/>
              </w:rPr>
            </w:pPr>
            <w:r>
              <w:rPr>
                <w:b/>
                <w:bCs/>
              </w:rPr>
              <w:lastRenderedPageBreak/>
              <w:t>Cost</w:t>
            </w:r>
          </w:p>
        </w:tc>
      </w:tr>
      <w:tr w:rsidR="000123BC" w14:paraId="0640CDF0" w14:textId="77777777" w:rsidTr="0094401B">
        <w:tc>
          <w:tcPr>
            <w:cnfStyle w:val="001000000000" w:firstRow="0" w:lastRow="0" w:firstColumn="1" w:lastColumn="0" w:oddVBand="0" w:evenVBand="0" w:oddHBand="0" w:evenHBand="0" w:firstRowFirstColumn="0" w:firstRowLastColumn="0" w:lastRowFirstColumn="0" w:lastRowLastColumn="0"/>
            <w:tcW w:w="4819" w:type="dxa"/>
          </w:tcPr>
          <w:p w14:paraId="2DC8ADD2" w14:textId="7E2D233B" w:rsidR="000123BC" w:rsidRDefault="000123BC" w:rsidP="00D24590">
            <w:pPr>
              <w:keepNext/>
              <w:ind w:left="170"/>
            </w:pPr>
            <w:r>
              <w:t>Total output cost</w:t>
            </w:r>
          </w:p>
        </w:tc>
        <w:tc>
          <w:tcPr>
            <w:tcW w:w="964" w:type="dxa"/>
          </w:tcPr>
          <w:p w14:paraId="06C120A5" w14:textId="24AD9588" w:rsidR="000123BC" w:rsidRDefault="000123BC" w:rsidP="000123BC">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A0E0BC5" w14:textId="324E4911" w:rsidR="000123BC" w:rsidRDefault="000123BC" w:rsidP="000123BC">
            <w:pPr>
              <w:cnfStyle w:val="000000000000" w:firstRow="0" w:lastRow="0" w:firstColumn="0" w:lastColumn="0" w:oddVBand="0" w:evenVBand="0" w:oddHBand="0" w:evenHBand="0" w:firstRowFirstColumn="0" w:firstRowLastColumn="0" w:lastRowFirstColumn="0" w:lastRowLastColumn="0"/>
            </w:pPr>
            <w:r>
              <w:t>130.4</w:t>
            </w:r>
          </w:p>
        </w:tc>
        <w:tc>
          <w:tcPr>
            <w:tcW w:w="964" w:type="dxa"/>
          </w:tcPr>
          <w:p w14:paraId="47E65663" w14:textId="0055CFAC" w:rsidR="000123BC" w:rsidRDefault="000123BC" w:rsidP="000123BC">
            <w:pPr>
              <w:cnfStyle w:val="000000000000" w:firstRow="0" w:lastRow="0" w:firstColumn="0" w:lastColumn="0" w:oddVBand="0" w:evenVBand="0" w:oddHBand="0" w:evenHBand="0" w:firstRowFirstColumn="0" w:firstRowLastColumn="0" w:lastRowFirstColumn="0" w:lastRowLastColumn="0"/>
            </w:pPr>
            <w:r>
              <w:t>148.8</w:t>
            </w:r>
          </w:p>
        </w:tc>
        <w:tc>
          <w:tcPr>
            <w:tcW w:w="964" w:type="dxa"/>
          </w:tcPr>
          <w:p w14:paraId="6A8CFB4A" w14:textId="770C9953" w:rsidR="000123BC" w:rsidRDefault="000123BC" w:rsidP="000123BC">
            <w:pPr>
              <w:cnfStyle w:val="000000000000" w:firstRow="0" w:lastRow="0" w:firstColumn="0" w:lastColumn="0" w:oddVBand="0" w:evenVBand="0" w:oddHBand="0" w:evenHBand="0" w:firstRowFirstColumn="0" w:firstRowLastColumn="0" w:lastRowFirstColumn="0" w:lastRowLastColumn="0"/>
            </w:pPr>
            <w:r>
              <w:t>111.6</w:t>
            </w:r>
          </w:p>
        </w:tc>
        <w:tc>
          <w:tcPr>
            <w:tcW w:w="964" w:type="dxa"/>
          </w:tcPr>
          <w:p w14:paraId="3D91323B" w14:textId="39630CED" w:rsidR="000123BC" w:rsidRDefault="000123BC" w:rsidP="000123BC">
            <w:pPr>
              <w:cnfStyle w:val="000000000000" w:firstRow="0" w:lastRow="0" w:firstColumn="0" w:lastColumn="0" w:oddVBand="0" w:evenVBand="0" w:oddHBand="0" w:evenHBand="0" w:firstRowFirstColumn="0" w:firstRowLastColumn="0" w:lastRowFirstColumn="0" w:lastRowLastColumn="0"/>
            </w:pPr>
            <w:r>
              <w:t>139.6</w:t>
            </w:r>
          </w:p>
        </w:tc>
      </w:tr>
      <w:tr w:rsidR="000123BC" w14:paraId="1F58BA1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50080C5" w14:textId="6573AA5C" w:rsidR="000123BC" w:rsidRPr="00E95CD7" w:rsidRDefault="00504A64" w:rsidP="00D711B6">
            <w:pPr>
              <w:keepNext/>
              <w:ind w:left="170"/>
              <w:rPr>
                <w:i/>
                <w:szCs w:val="17"/>
              </w:rPr>
            </w:pPr>
            <w:r w:rsidRPr="00857911">
              <w:rPr>
                <w:i/>
                <w:iCs/>
                <w:szCs w:val="17"/>
              </w:rPr>
              <w:t>The 2025</w:t>
            </w:r>
            <w:r w:rsidR="00383570">
              <w:rPr>
                <w:i/>
                <w:iCs/>
                <w:szCs w:val="17"/>
              </w:rPr>
              <w:t>-</w:t>
            </w:r>
            <w:r w:rsidRPr="00857911">
              <w:rPr>
                <w:i/>
                <w:iCs/>
                <w:szCs w:val="17"/>
              </w:rPr>
              <w:t xml:space="preserve">26 expected outcome is higher than the target primarily due to the following factors arising since the publication of the </w:t>
            </w:r>
            <w:r w:rsidRPr="00D24590">
              <w:rPr>
                <w:szCs w:val="17"/>
              </w:rPr>
              <w:t>2025</w:t>
            </w:r>
            <w:r w:rsidR="00D24590" w:rsidRPr="00D24590">
              <w:rPr>
                <w:szCs w:val="17"/>
              </w:rPr>
              <w:noBreakHyphen/>
            </w:r>
            <w:r w:rsidRPr="00D24590">
              <w:rPr>
                <w:szCs w:val="17"/>
              </w:rPr>
              <w:t>26 Budget</w:t>
            </w:r>
            <w:r w:rsidRPr="00857911">
              <w:rPr>
                <w:i/>
                <w:iCs/>
                <w:szCs w:val="17"/>
              </w:rPr>
              <w:t>:</w:t>
            </w:r>
            <w:r w:rsidR="00D711B6">
              <w:rPr>
                <w:i/>
                <w:iCs/>
                <w:szCs w:val="17"/>
              </w:rPr>
              <w:t xml:space="preserve"> </w:t>
            </w:r>
            <w:r w:rsidRPr="0A959748">
              <w:rPr>
                <w:i/>
                <w:iCs/>
              </w:rPr>
              <w:t xml:space="preserve">funding to establish the Violence Reduction Unit, including funding announced in the </w:t>
            </w:r>
            <w:r w:rsidRPr="00D24590">
              <w:t>2026</w:t>
            </w:r>
            <w:r w:rsidR="00383570" w:rsidRPr="00D24590">
              <w:t>-</w:t>
            </w:r>
            <w:r w:rsidRPr="00D24590">
              <w:t>27 Budget</w:t>
            </w:r>
            <w:r w:rsidRPr="0A959748">
              <w:rPr>
                <w:i/>
                <w:iCs/>
              </w:rPr>
              <w:t xml:space="preserve"> for Local Crime Prevention Solutions</w:t>
            </w:r>
            <w:r w:rsidR="00E05000">
              <w:rPr>
                <w:i/>
                <w:iCs/>
              </w:rPr>
              <w:t xml:space="preserve">; </w:t>
            </w:r>
            <w:r w:rsidRPr="0A959748">
              <w:rPr>
                <w:i/>
                <w:iCs/>
              </w:rPr>
              <w:t>additional funding for operational priorities and activities</w:t>
            </w:r>
            <w:r w:rsidR="00D24590" w:rsidRPr="00D24590">
              <w:rPr>
                <w:i/>
                <w:iCs/>
              </w:rPr>
              <w:t>.</w:t>
            </w:r>
          </w:p>
        </w:tc>
      </w:tr>
      <w:tr w:rsidR="00504A64" w14:paraId="1F63A970"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BEF1E20" w14:textId="2F53AA81" w:rsidR="00504A64" w:rsidRPr="00E95CD7" w:rsidRDefault="00E95CD7" w:rsidP="00E05000">
            <w:pPr>
              <w:ind w:left="170"/>
              <w:rPr>
                <w:i/>
                <w:szCs w:val="17"/>
              </w:rPr>
            </w:pPr>
            <w:r w:rsidRPr="00857911">
              <w:rPr>
                <w:i/>
                <w:iCs/>
                <w:szCs w:val="17"/>
              </w:rPr>
              <w:t>The higher 2026</w:t>
            </w:r>
            <w:r w:rsidR="00383570">
              <w:rPr>
                <w:i/>
                <w:iCs/>
                <w:szCs w:val="17"/>
              </w:rPr>
              <w:t>-</w:t>
            </w:r>
            <w:r w:rsidRPr="00857911">
              <w:rPr>
                <w:i/>
                <w:iCs/>
                <w:szCs w:val="17"/>
              </w:rPr>
              <w:t>27 target is predominantly due to:</w:t>
            </w:r>
            <w:r w:rsidR="00E05000">
              <w:rPr>
                <w:i/>
                <w:iCs/>
                <w:szCs w:val="17"/>
              </w:rPr>
              <w:t xml:space="preserve"> </w:t>
            </w:r>
            <w:r w:rsidRPr="00857911">
              <w:rPr>
                <w:i/>
                <w:iCs/>
                <w:szCs w:val="17"/>
              </w:rPr>
              <w:t xml:space="preserve">funding to establish the Violence Reduction Unit, including funding announced in the </w:t>
            </w:r>
            <w:r w:rsidRPr="00D24590">
              <w:t>2026</w:t>
            </w:r>
            <w:r w:rsidR="00383570" w:rsidRPr="00D24590">
              <w:t>-</w:t>
            </w:r>
            <w:r w:rsidRPr="00D24590">
              <w:t>27 Budget</w:t>
            </w:r>
            <w:r w:rsidRPr="00857911">
              <w:rPr>
                <w:i/>
                <w:iCs/>
                <w:szCs w:val="17"/>
              </w:rPr>
              <w:t xml:space="preserve"> for Local Crime Prevention Solutions</w:t>
            </w:r>
            <w:r w:rsidR="00E05000">
              <w:rPr>
                <w:i/>
                <w:iCs/>
                <w:szCs w:val="17"/>
              </w:rPr>
              <w:t xml:space="preserve">; </w:t>
            </w:r>
            <w:r w:rsidRPr="00E95CD7">
              <w:rPr>
                <w:i/>
                <w:iCs/>
              </w:rPr>
              <w:t>additional funding for operational priorities and activities</w:t>
            </w:r>
            <w:r w:rsidR="00D24590" w:rsidRPr="00D24590">
              <w:rPr>
                <w:i/>
                <w:iCs/>
              </w:rPr>
              <w:t>.</w:t>
            </w:r>
          </w:p>
        </w:tc>
      </w:tr>
    </w:tbl>
    <w:p w14:paraId="69646CC7" w14:textId="77777777" w:rsidR="002F6840" w:rsidRDefault="002F6840" w:rsidP="002F6840">
      <w:pPr>
        <w:pStyle w:val="Source"/>
      </w:pPr>
      <w:r>
        <w:t>Source: Department of Premier and Cabinet</w:t>
      </w:r>
    </w:p>
    <w:p w14:paraId="4CAE04E7" w14:textId="77777777" w:rsidR="002F6840" w:rsidRDefault="002F6840" w:rsidP="002F6840">
      <w:pPr>
        <w:pStyle w:val="Heading3"/>
      </w:pPr>
      <w:r>
        <w:t>Public Sector Administration Advice and Support</w:t>
      </w:r>
      <w:r>
        <w:tab/>
        <w:t>(2026-27: $8.0 million)</w:t>
      </w:r>
    </w:p>
    <w:p w14:paraId="4AFF005D" w14:textId="77777777" w:rsidR="002F6840" w:rsidRPr="009C6AD9" w:rsidRDefault="002F6840" w:rsidP="002F6840">
      <w:pPr>
        <w:keepNext/>
        <w:spacing w:after="120"/>
        <w:rPr>
          <w:rFonts w:eastAsia="Garamond" w:cs="Calibri"/>
          <w:szCs w:val="20"/>
          <w:vertAlign w:val="superscript"/>
        </w:rPr>
      </w:pPr>
      <w:r w:rsidRPr="009C6AD9">
        <w:rPr>
          <w:rFonts w:eastAsia="Garamond" w:cs="Calibri"/>
          <w:szCs w:val="20"/>
        </w:rPr>
        <w:t>This output provides advice and support on issues relevant to public sector administration, governance, service delivery and workforce matters. It also addresses matters of public sector professionalism and integrity. This includes conducting related research, data collection and analysis, and reporting and disseminating findings.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4071242C" w14:textId="77777777" w:rsidTr="00E95C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3BDBF96" w14:textId="77777777" w:rsidR="002F6840" w:rsidRDefault="002F6840">
            <w:r>
              <w:t>Performance measure</w:t>
            </w:r>
          </w:p>
        </w:tc>
        <w:tc>
          <w:tcPr>
            <w:tcW w:w="964" w:type="dxa"/>
          </w:tcPr>
          <w:p w14:paraId="116BA221"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9378E26"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355308F"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6348EE1"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95A18AA"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52854924" w14:textId="77777777" w:rsidTr="00E95CD7">
        <w:tc>
          <w:tcPr>
            <w:cnfStyle w:val="001000000000" w:firstRow="0" w:lastRow="0" w:firstColumn="1" w:lastColumn="0" w:oddVBand="0" w:evenVBand="0" w:oddHBand="0" w:evenHBand="0" w:firstRowFirstColumn="0" w:firstRowLastColumn="0" w:lastRowFirstColumn="0" w:lastRowLastColumn="0"/>
            <w:tcW w:w="9639" w:type="dxa"/>
            <w:gridSpan w:val="6"/>
          </w:tcPr>
          <w:p w14:paraId="4F8593D6" w14:textId="77777777" w:rsidR="002F6840" w:rsidRPr="00B440BA" w:rsidRDefault="002F6840">
            <w:pPr>
              <w:keepNext/>
              <w:rPr>
                <w:b/>
                <w:bCs/>
                <w:iCs/>
              </w:rPr>
            </w:pPr>
            <w:r w:rsidRPr="00B440BA">
              <w:rPr>
                <w:b/>
                <w:bCs/>
                <w:iCs/>
              </w:rPr>
              <w:t>Quantity</w:t>
            </w:r>
          </w:p>
        </w:tc>
      </w:tr>
      <w:tr w:rsidR="002F6840" w14:paraId="7924D264" w14:textId="77777777" w:rsidTr="00E95CD7">
        <w:tc>
          <w:tcPr>
            <w:cnfStyle w:val="001000000000" w:firstRow="0" w:lastRow="0" w:firstColumn="1" w:lastColumn="0" w:oddVBand="0" w:evenVBand="0" w:oddHBand="0" w:evenHBand="0" w:firstRowFirstColumn="0" w:firstRowLastColumn="0" w:lastRowFirstColumn="0" w:lastRowLastColumn="0"/>
            <w:tcW w:w="4819" w:type="dxa"/>
          </w:tcPr>
          <w:p w14:paraId="5E53C018" w14:textId="77777777" w:rsidR="002F6840" w:rsidRDefault="002F6840">
            <w:pPr>
              <w:keepNext/>
              <w:ind w:left="170"/>
            </w:pPr>
            <w:r>
              <w:t>VPSC: Percentage of new-to-VPS executives participating in the induction program</w:t>
            </w:r>
          </w:p>
        </w:tc>
        <w:tc>
          <w:tcPr>
            <w:tcW w:w="964" w:type="dxa"/>
          </w:tcPr>
          <w:p w14:paraId="4DFD46A3"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88BC6F7" w14:textId="77777777" w:rsidR="002F6840" w:rsidRDefault="002F6840">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755CACD9" w14:textId="77777777" w:rsidR="002F6840" w:rsidRDefault="002F6840">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F5FE6BB" w14:textId="77777777" w:rsidR="002F6840" w:rsidRDefault="002F6840">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1D239556" w14:textId="77777777" w:rsidR="002F6840" w:rsidRDefault="002F6840">
            <w:pPr>
              <w:cnfStyle w:val="000000000000" w:firstRow="0" w:lastRow="0" w:firstColumn="0" w:lastColumn="0" w:oddVBand="0" w:evenVBand="0" w:oddHBand="0" w:evenHBand="0" w:firstRowFirstColumn="0" w:firstRowLastColumn="0" w:lastRowFirstColumn="0" w:lastRowLastColumn="0"/>
            </w:pPr>
            <w:r>
              <w:t>94</w:t>
            </w:r>
          </w:p>
        </w:tc>
      </w:tr>
      <w:tr w:rsidR="002F6840" w14:paraId="137EE592" w14:textId="77777777" w:rsidTr="00E95CD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A8317B" w14:textId="4ECB115D" w:rsidR="002F6840" w:rsidRDefault="002F6840">
            <w:pPr>
              <w:ind w:left="170"/>
            </w:pPr>
            <w:r>
              <w:rPr>
                <w:i/>
              </w:rPr>
              <w:t>The 2025</w:t>
            </w:r>
            <w:r w:rsidR="00CE40AC">
              <w:rPr>
                <w:i/>
              </w:rPr>
              <w:t>-</w:t>
            </w:r>
            <w:r>
              <w:rPr>
                <w:i/>
              </w:rPr>
              <w:t xml:space="preserve">26 expected outcome is lower than the target due to workforce transition across the VPS. </w:t>
            </w:r>
          </w:p>
        </w:tc>
      </w:tr>
      <w:tr w:rsidR="002F6840" w14:paraId="7471A70F" w14:textId="77777777" w:rsidTr="00E95CD7">
        <w:tc>
          <w:tcPr>
            <w:cnfStyle w:val="001000000000" w:firstRow="0" w:lastRow="0" w:firstColumn="1" w:lastColumn="0" w:oddVBand="0" w:evenVBand="0" w:oddHBand="0" w:evenHBand="0" w:firstRowFirstColumn="0" w:firstRowLastColumn="0" w:lastRowFirstColumn="0" w:lastRowLastColumn="0"/>
            <w:tcW w:w="9639" w:type="dxa"/>
            <w:gridSpan w:val="6"/>
          </w:tcPr>
          <w:p w14:paraId="0639DA20" w14:textId="77777777" w:rsidR="002F6840" w:rsidRPr="00B440BA" w:rsidRDefault="002F6840">
            <w:pPr>
              <w:keepNext/>
              <w:rPr>
                <w:b/>
                <w:bCs/>
                <w:iCs/>
              </w:rPr>
            </w:pPr>
            <w:r w:rsidRPr="00B440BA">
              <w:rPr>
                <w:b/>
                <w:bCs/>
                <w:iCs/>
              </w:rPr>
              <w:t>Quality</w:t>
            </w:r>
          </w:p>
        </w:tc>
      </w:tr>
      <w:tr w:rsidR="002F6840" w14:paraId="69B636D7" w14:textId="77777777" w:rsidTr="00E95C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722D572" w14:textId="77777777" w:rsidR="002F6840" w:rsidRDefault="002F6840">
            <w:pPr>
              <w:ind w:left="170"/>
            </w:pPr>
            <w:r>
              <w:t>VPSC: Overall satisfaction with engagement, consultation, and responsiveness in relation to the VPS graduate program</w:t>
            </w:r>
          </w:p>
        </w:tc>
        <w:tc>
          <w:tcPr>
            <w:tcW w:w="964" w:type="dxa"/>
            <w:tcBorders>
              <w:bottom w:val="single" w:sz="6" w:space="0" w:color="auto"/>
            </w:tcBorders>
          </w:tcPr>
          <w:p w14:paraId="1E635EF1"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3E05EF"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7769F7B"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CD0FC9D"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877DF17" w14:textId="77777777" w:rsidR="002F6840" w:rsidRDefault="002F6840">
            <w:pPr>
              <w:cnfStyle w:val="000000000000" w:firstRow="0" w:lastRow="0" w:firstColumn="0" w:lastColumn="0" w:oddVBand="0" w:evenVBand="0" w:oddHBand="0" w:evenHBand="0" w:firstRowFirstColumn="0" w:firstRowLastColumn="0" w:lastRowFirstColumn="0" w:lastRowLastColumn="0"/>
            </w:pPr>
            <w:r>
              <w:t>86</w:t>
            </w:r>
          </w:p>
        </w:tc>
      </w:tr>
      <w:tr w:rsidR="002F6840" w14:paraId="1BBAE2B4" w14:textId="77777777" w:rsidTr="00E95CD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62CCDF" w14:textId="77777777" w:rsidR="002F6840" w:rsidRDefault="002F6840">
            <w:pPr>
              <w:ind w:left="170"/>
            </w:pPr>
            <w:r>
              <w:t>Victorian Government agency stakeholder satisfaction with the quality of advice and support relating to public administration and whole of government governance</w:t>
            </w:r>
          </w:p>
        </w:tc>
        <w:tc>
          <w:tcPr>
            <w:tcW w:w="964" w:type="dxa"/>
            <w:tcBorders>
              <w:bottom w:val="single" w:sz="6" w:space="0" w:color="auto"/>
            </w:tcBorders>
          </w:tcPr>
          <w:p w14:paraId="7F5A36AA"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2F005AE" w14:textId="77777777" w:rsidR="002F6840" w:rsidRDefault="002F6840">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D16A9AC" w14:textId="77777777" w:rsidR="002F6840" w:rsidRDefault="002F6840">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977ED92" w14:textId="77777777" w:rsidR="002F6840" w:rsidRDefault="002F6840">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8E1DBD2" w14:textId="77777777" w:rsidR="002F6840" w:rsidRDefault="002F6840">
            <w:pPr>
              <w:cnfStyle w:val="000000000000" w:firstRow="0" w:lastRow="0" w:firstColumn="0" w:lastColumn="0" w:oddVBand="0" w:evenVBand="0" w:oddHBand="0" w:evenHBand="0" w:firstRowFirstColumn="0" w:firstRowLastColumn="0" w:lastRowFirstColumn="0" w:lastRowLastColumn="0"/>
            </w:pPr>
            <w:r>
              <w:t>98</w:t>
            </w:r>
          </w:p>
        </w:tc>
      </w:tr>
      <w:tr w:rsidR="002F6840" w14:paraId="3C2A5C7D" w14:textId="77777777" w:rsidTr="00E95CD7">
        <w:tc>
          <w:tcPr>
            <w:cnfStyle w:val="001000000000" w:firstRow="0" w:lastRow="0" w:firstColumn="1" w:lastColumn="0" w:oddVBand="0" w:evenVBand="0" w:oddHBand="0" w:evenHBand="0" w:firstRowFirstColumn="0" w:firstRowLastColumn="0" w:lastRowFirstColumn="0" w:lastRowLastColumn="0"/>
            <w:tcW w:w="9639" w:type="dxa"/>
            <w:gridSpan w:val="6"/>
          </w:tcPr>
          <w:p w14:paraId="6B97DDF1" w14:textId="77777777" w:rsidR="002F6840" w:rsidRPr="00B440BA" w:rsidRDefault="002F6840">
            <w:pPr>
              <w:keepNext/>
              <w:rPr>
                <w:b/>
                <w:bCs/>
                <w:iCs/>
              </w:rPr>
            </w:pPr>
            <w:r w:rsidRPr="00B440BA">
              <w:rPr>
                <w:b/>
                <w:bCs/>
                <w:iCs/>
              </w:rPr>
              <w:t>Timeliness</w:t>
            </w:r>
          </w:p>
        </w:tc>
      </w:tr>
      <w:tr w:rsidR="002F6840" w14:paraId="73662014" w14:textId="77777777" w:rsidTr="00E95CD7">
        <w:tc>
          <w:tcPr>
            <w:cnfStyle w:val="001000000000" w:firstRow="0" w:lastRow="0" w:firstColumn="1" w:lastColumn="0" w:oddVBand="0" w:evenVBand="0" w:oddHBand="0" w:evenHBand="0" w:firstRowFirstColumn="0" w:firstRowLastColumn="0" w:lastRowFirstColumn="0" w:lastRowLastColumn="0"/>
            <w:tcW w:w="4819" w:type="dxa"/>
          </w:tcPr>
          <w:p w14:paraId="402AFDA7" w14:textId="77777777" w:rsidR="002F6840" w:rsidRDefault="002F6840">
            <w:pPr>
              <w:keepNext/>
              <w:ind w:left="170"/>
            </w:pPr>
            <w:r>
              <w:t>VPSC: Percent of Victorian public sector annual workforce data collected and validated by the end of February each year</w:t>
            </w:r>
          </w:p>
        </w:tc>
        <w:tc>
          <w:tcPr>
            <w:tcW w:w="964" w:type="dxa"/>
          </w:tcPr>
          <w:p w14:paraId="4C51CC21"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910ED5E"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96F381F"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AC8B23C" w14:textId="77777777" w:rsidR="002F6840" w:rsidRDefault="002F6840">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606A91BE"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B440BA" w14:paraId="7874719D"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6C27D6F" w14:textId="77777777" w:rsidR="00B440BA" w:rsidRPr="00B440BA" w:rsidRDefault="00B440BA" w:rsidP="00B440BA">
            <w:pPr>
              <w:ind w:left="170"/>
              <w:rPr>
                <w:i/>
              </w:rPr>
            </w:pPr>
            <w:r w:rsidRPr="00B440BA">
              <w:rPr>
                <w:i/>
              </w:rPr>
              <w:t>The 2025-26 expected outcome is higher than the target due to historical performance and the ongoing improvement in processes.</w:t>
            </w:r>
          </w:p>
          <w:p w14:paraId="0BCDFD20" w14:textId="43967668" w:rsidR="00B440BA" w:rsidRDefault="00B440BA" w:rsidP="00274FF4">
            <w:pPr>
              <w:ind w:left="170"/>
            </w:pPr>
            <w:r w:rsidRPr="00B440BA">
              <w:rPr>
                <w:i/>
              </w:rPr>
              <w:t>The higher 2026-27 target is due to historical performance and ongoing improvements in processes.</w:t>
            </w:r>
          </w:p>
        </w:tc>
      </w:tr>
      <w:tr w:rsidR="00B440BA" w14:paraId="33854524"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41B39CD" w14:textId="10520720" w:rsidR="00B440BA" w:rsidRPr="00B440BA" w:rsidRDefault="00B440BA">
            <w:pPr>
              <w:rPr>
                <w:b/>
                <w:bCs/>
              </w:rPr>
            </w:pPr>
            <w:r w:rsidRPr="00B440BA">
              <w:rPr>
                <w:b/>
                <w:bCs/>
              </w:rPr>
              <w:t>Cost</w:t>
            </w:r>
          </w:p>
        </w:tc>
      </w:tr>
      <w:tr w:rsidR="00083E80" w14:paraId="73B25272" w14:textId="77777777" w:rsidTr="00B440BA">
        <w:tc>
          <w:tcPr>
            <w:cnfStyle w:val="001000000000" w:firstRow="0" w:lastRow="0" w:firstColumn="1" w:lastColumn="0" w:oddVBand="0" w:evenVBand="0" w:oddHBand="0" w:evenHBand="0" w:firstRowFirstColumn="0" w:firstRowLastColumn="0" w:lastRowFirstColumn="0" w:lastRowLastColumn="0"/>
            <w:tcW w:w="4819" w:type="dxa"/>
          </w:tcPr>
          <w:p w14:paraId="2F667067" w14:textId="0924F220" w:rsidR="00083E80" w:rsidRDefault="00083E80" w:rsidP="00083E80">
            <w:pPr>
              <w:keepNext/>
              <w:ind w:left="170"/>
            </w:pPr>
            <w:r>
              <w:t>Total output cost</w:t>
            </w:r>
          </w:p>
        </w:tc>
        <w:tc>
          <w:tcPr>
            <w:tcW w:w="964" w:type="dxa"/>
          </w:tcPr>
          <w:p w14:paraId="07F2ECF9" w14:textId="69697B88" w:rsidR="00083E80" w:rsidRDefault="00083E80" w:rsidP="00083E80">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D79BFDC" w14:textId="0EB4FC4E" w:rsidR="00083E80" w:rsidRDefault="00083E80" w:rsidP="00083E80">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2C225A1" w14:textId="50400564" w:rsidR="00083E80" w:rsidRDefault="00083E80" w:rsidP="00083E80">
            <w:pPr>
              <w:cnfStyle w:val="000000000000" w:firstRow="0" w:lastRow="0" w:firstColumn="0" w:lastColumn="0" w:oddVBand="0" w:evenVBand="0" w:oddHBand="0" w:evenHBand="0" w:firstRowFirstColumn="0" w:firstRowLastColumn="0" w:lastRowFirstColumn="0" w:lastRowLastColumn="0"/>
            </w:pPr>
            <w:r>
              <w:t>8.3</w:t>
            </w:r>
          </w:p>
        </w:tc>
        <w:tc>
          <w:tcPr>
            <w:tcW w:w="964" w:type="dxa"/>
          </w:tcPr>
          <w:p w14:paraId="3D2A48A3" w14:textId="431BAAFD" w:rsidR="00083E80" w:rsidRDefault="00083E80" w:rsidP="00083E80">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1A316311" w14:textId="177B87B3" w:rsidR="00083E80" w:rsidRDefault="00083E80" w:rsidP="00083E80">
            <w:pPr>
              <w:cnfStyle w:val="000000000000" w:firstRow="0" w:lastRow="0" w:firstColumn="0" w:lastColumn="0" w:oddVBand="0" w:evenVBand="0" w:oddHBand="0" w:evenHBand="0" w:firstRowFirstColumn="0" w:firstRowLastColumn="0" w:lastRowFirstColumn="0" w:lastRowLastColumn="0"/>
            </w:pPr>
            <w:r>
              <w:t>19.1</w:t>
            </w:r>
          </w:p>
        </w:tc>
      </w:tr>
      <w:tr w:rsidR="00083E80" w14:paraId="403C3CE9"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6B31BBF" w14:textId="64366F3E" w:rsidR="00083E80" w:rsidRDefault="00A23351" w:rsidP="00A23351">
            <w:pPr>
              <w:ind w:left="170"/>
            </w:pPr>
            <w:r w:rsidRPr="00A23351">
              <w:rPr>
                <w:i/>
              </w:rPr>
              <w:t>The lower 2025</w:t>
            </w:r>
            <w:r w:rsidR="00383570">
              <w:rPr>
                <w:i/>
              </w:rPr>
              <w:t>-</w:t>
            </w:r>
            <w:r w:rsidRPr="00A23351">
              <w:rPr>
                <w:i/>
              </w:rPr>
              <w:t>26 expected outcome and 2026</w:t>
            </w:r>
            <w:r w:rsidR="00383570">
              <w:rPr>
                <w:i/>
              </w:rPr>
              <w:t>-</w:t>
            </w:r>
            <w:r w:rsidRPr="00A23351">
              <w:rPr>
                <w:i/>
              </w:rPr>
              <w:t>27 target is primarily due to the impact of savings applied, and funding relinquished to DGS to centralise government accommodation management.</w:t>
            </w:r>
          </w:p>
        </w:tc>
      </w:tr>
    </w:tbl>
    <w:p w14:paraId="24D5DDCB" w14:textId="77777777" w:rsidR="002F6840" w:rsidRDefault="002F6840" w:rsidP="002F6840">
      <w:pPr>
        <w:pStyle w:val="Source"/>
      </w:pPr>
      <w:r>
        <w:t>Source: Department of Premier and Cabinet</w:t>
      </w:r>
    </w:p>
    <w:p w14:paraId="1758573F" w14:textId="77777777" w:rsidR="002F6840" w:rsidRDefault="002F6840" w:rsidP="002F6840">
      <w:pPr>
        <w:pStyle w:val="Heading3"/>
      </w:pPr>
      <w:r>
        <w:t>Chief Parliamentary Counsel Services</w:t>
      </w:r>
      <w:r>
        <w:tab/>
        <w:t>(2026-27: $8.9 million)</w:t>
      </w:r>
    </w:p>
    <w:p w14:paraId="3317D278" w14:textId="77777777" w:rsidR="002F6840" w:rsidRPr="00BF376F" w:rsidRDefault="002F6840" w:rsidP="002F6840">
      <w:pPr>
        <w:keepNext/>
        <w:shd w:val="clear" w:color="auto" w:fill="FFFFFF"/>
        <w:spacing w:after="120"/>
        <w:rPr>
          <w:rFonts w:eastAsia="Garamond" w:cs="Calibri"/>
          <w:szCs w:val="20"/>
        </w:rPr>
      </w:pPr>
      <w:r w:rsidRPr="00BF376F">
        <w:rPr>
          <w:rFonts w:eastAsia="Garamond" w:cs="Calibri"/>
          <w:szCs w:val="20"/>
        </w:rPr>
        <w:t>This output provides bills for introduction in Parliament, including providing quality and timely legislative drafting services; hard copy and electronic publication of Acts and statutory rules; and maintaining a database of Victorian legislation and legislative information at www.legislation.vic.gov.au.</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3A5A22A1" w14:textId="77777777" w:rsidTr="00A233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3F2237B" w14:textId="77777777" w:rsidR="002F6840" w:rsidRDefault="002F6840">
            <w:r>
              <w:t>Performance measure</w:t>
            </w:r>
          </w:p>
        </w:tc>
        <w:tc>
          <w:tcPr>
            <w:tcW w:w="964" w:type="dxa"/>
          </w:tcPr>
          <w:p w14:paraId="6B47F003"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1CF841F"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10C7BCB"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6F5EF1D"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3E3199C"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2E6BED39"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Pr>
          <w:p w14:paraId="2EEF53BB" w14:textId="77777777" w:rsidR="002F6840" w:rsidRPr="00A23351" w:rsidRDefault="002F6840">
            <w:pPr>
              <w:keepNext/>
              <w:rPr>
                <w:b/>
                <w:bCs/>
                <w:iCs/>
              </w:rPr>
            </w:pPr>
            <w:r w:rsidRPr="00A23351">
              <w:rPr>
                <w:b/>
                <w:bCs/>
                <w:iCs/>
              </w:rPr>
              <w:t>Quantity</w:t>
            </w:r>
          </w:p>
        </w:tc>
      </w:tr>
      <w:tr w:rsidR="002F6840" w14:paraId="1C055EBE" w14:textId="77777777" w:rsidTr="00A2335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D7877B3" w14:textId="77777777" w:rsidR="002F6840" w:rsidRDefault="002F6840">
            <w:pPr>
              <w:ind w:left="170"/>
            </w:pPr>
            <w:r>
              <w:t>Acts and statutory rules published electronically and in hard copy without error</w:t>
            </w:r>
          </w:p>
        </w:tc>
        <w:tc>
          <w:tcPr>
            <w:tcW w:w="964" w:type="dxa"/>
            <w:tcBorders>
              <w:bottom w:val="single" w:sz="6" w:space="0" w:color="auto"/>
            </w:tcBorders>
          </w:tcPr>
          <w:p w14:paraId="1194FF9F"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C1F3854" w14:textId="77777777" w:rsidR="002F6840" w:rsidRDefault="002F6840">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74C09F84" w14:textId="77777777" w:rsidR="002F6840" w:rsidRDefault="002F6840">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CB48337" w14:textId="77777777" w:rsidR="002F6840" w:rsidRDefault="002F6840">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541A9CFC" w14:textId="77777777" w:rsidR="002F6840" w:rsidRDefault="002F6840">
            <w:pPr>
              <w:cnfStyle w:val="000000000000" w:firstRow="0" w:lastRow="0" w:firstColumn="0" w:lastColumn="0" w:oddVBand="0" w:evenVBand="0" w:oddHBand="0" w:evenHBand="0" w:firstRowFirstColumn="0" w:firstRowLastColumn="0" w:lastRowFirstColumn="0" w:lastRowLastColumn="0"/>
            </w:pPr>
            <w:r>
              <w:t>97</w:t>
            </w:r>
          </w:p>
        </w:tc>
      </w:tr>
      <w:tr w:rsidR="002F6840" w14:paraId="64F8429C" w14:textId="77777777" w:rsidTr="00A23351">
        <w:tc>
          <w:tcPr>
            <w:cnfStyle w:val="001000000000" w:firstRow="0" w:lastRow="0" w:firstColumn="1" w:lastColumn="0" w:oddVBand="0" w:evenVBand="0" w:oddHBand="0" w:evenHBand="0" w:firstRowFirstColumn="0" w:firstRowLastColumn="0" w:lastRowFirstColumn="0" w:lastRowLastColumn="0"/>
            <w:tcW w:w="4819" w:type="dxa"/>
          </w:tcPr>
          <w:p w14:paraId="151067C8" w14:textId="77777777" w:rsidR="002F6840" w:rsidRDefault="002F6840">
            <w:pPr>
              <w:keepNext/>
              <w:ind w:left="170"/>
            </w:pPr>
            <w:r>
              <w:t>Formal advice provided on legislation</w:t>
            </w:r>
          </w:p>
        </w:tc>
        <w:tc>
          <w:tcPr>
            <w:tcW w:w="964" w:type="dxa"/>
          </w:tcPr>
          <w:p w14:paraId="316A2572"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02B4C52" w14:textId="77777777" w:rsidR="002F6840" w:rsidRDefault="002F6840">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281BD1B0" w14:textId="77777777" w:rsidR="002F6840" w:rsidRDefault="002F6840">
            <w:pPr>
              <w:cnfStyle w:val="000000000000" w:firstRow="0" w:lastRow="0" w:firstColumn="0" w:lastColumn="0" w:oddVBand="0" w:evenVBand="0" w:oddHBand="0" w:evenHBand="0" w:firstRowFirstColumn="0" w:firstRowLastColumn="0" w:lastRowFirstColumn="0" w:lastRowLastColumn="0"/>
            </w:pPr>
            <w:r>
              <w:t>750</w:t>
            </w:r>
          </w:p>
        </w:tc>
        <w:tc>
          <w:tcPr>
            <w:tcW w:w="964" w:type="dxa"/>
          </w:tcPr>
          <w:p w14:paraId="4E4815FE" w14:textId="77777777" w:rsidR="002F6840" w:rsidRDefault="002F6840">
            <w:pPr>
              <w:cnfStyle w:val="000000000000" w:firstRow="0" w:lastRow="0" w:firstColumn="0" w:lastColumn="0" w:oddVBand="0" w:evenVBand="0" w:oddHBand="0" w:evenHBand="0" w:firstRowFirstColumn="0" w:firstRowLastColumn="0" w:lastRowFirstColumn="0" w:lastRowLastColumn="0"/>
            </w:pPr>
            <w:r>
              <w:t>500</w:t>
            </w:r>
          </w:p>
        </w:tc>
        <w:tc>
          <w:tcPr>
            <w:tcW w:w="964" w:type="dxa"/>
          </w:tcPr>
          <w:p w14:paraId="3E808EEF" w14:textId="77777777" w:rsidR="002F6840" w:rsidRDefault="002F6840">
            <w:pPr>
              <w:cnfStyle w:val="000000000000" w:firstRow="0" w:lastRow="0" w:firstColumn="0" w:lastColumn="0" w:oddVBand="0" w:evenVBand="0" w:oddHBand="0" w:evenHBand="0" w:firstRowFirstColumn="0" w:firstRowLastColumn="0" w:lastRowFirstColumn="0" w:lastRowLastColumn="0"/>
            </w:pPr>
            <w:r>
              <w:t>698</w:t>
            </w:r>
          </w:p>
        </w:tc>
      </w:tr>
      <w:tr w:rsidR="002F6840" w14:paraId="28799582"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204812" w14:textId="3A9F3B87" w:rsidR="002F6840" w:rsidRDefault="002F6840">
            <w:pPr>
              <w:ind w:left="170"/>
            </w:pPr>
            <w:r>
              <w:rPr>
                <w:i/>
              </w:rPr>
              <w:t>The 2025</w:t>
            </w:r>
            <w:r w:rsidR="001A69B8">
              <w:rPr>
                <w:i/>
              </w:rPr>
              <w:t>-</w:t>
            </w:r>
            <w:r>
              <w:rPr>
                <w:i/>
              </w:rPr>
              <w:t>26 expected outcome is higher than the target due to a substantial increase in formal advice, specifically Drafting Instructions, for a number of large, complex and omnibus Bills, and an increase in House Amendments and Private Members</w:t>
            </w:r>
            <w:r w:rsidR="00AD4833">
              <w:rPr>
                <w:i/>
              </w:rPr>
              <w:t>’</w:t>
            </w:r>
            <w:r>
              <w:rPr>
                <w:i/>
              </w:rPr>
              <w:t xml:space="preserve"> Bills.</w:t>
            </w:r>
          </w:p>
        </w:tc>
      </w:tr>
      <w:tr w:rsidR="002F6840" w14:paraId="26DB9C1F" w14:textId="77777777" w:rsidTr="00A23351">
        <w:tc>
          <w:tcPr>
            <w:cnfStyle w:val="001000000000" w:firstRow="0" w:lastRow="0" w:firstColumn="1" w:lastColumn="0" w:oddVBand="0" w:evenVBand="0" w:oddHBand="0" w:evenHBand="0" w:firstRowFirstColumn="0" w:firstRowLastColumn="0" w:lastRowFirstColumn="0" w:lastRowLastColumn="0"/>
            <w:tcW w:w="4819" w:type="dxa"/>
          </w:tcPr>
          <w:p w14:paraId="5B697431" w14:textId="77777777" w:rsidR="002F6840" w:rsidRDefault="002F6840">
            <w:pPr>
              <w:keepNext/>
              <w:ind w:left="170"/>
            </w:pPr>
            <w:r>
              <w:t>Number of sets of House Amendments drafted for Members of Parliament</w:t>
            </w:r>
          </w:p>
        </w:tc>
        <w:tc>
          <w:tcPr>
            <w:tcW w:w="964" w:type="dxa"/>
          </w:tcPr>
          <w:p w14:paraId="779B5F14"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E9B75F5"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D08FCDD" w14:textId="77777777" w:rsidR="002F6840" w:rsidRDefault="002F6840">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6CD98159" w14:textId="77777777" w:rsidR="002F6840" w:rsidRDefault="002F6840">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F443614" w14:textId="77777777" w:rsidR="002F6840" w:rsidRDefault="002F6840">
            <w:pPr>
              <w:cnfStyle w:val="000000000000" w:firstRow="0" w:lastRow="0" w:firstColumn="0" w:lastColumn="0" w:oddVBand="0" w:evenVBand="0" w:oddHBand="0" w:evenHBand="0" w:firstRowFirstColumn="0" w:firstRowLastColumn="0" w:lastRowFirstColumn="0" w:lastRowLastColumn="0"/>
            </w:pPr>
            <w:r>
              <w:t>85</w:t>
            </w:r>
          </w:p>
        </w:tc>
      </w:tr>
      <w:tr w:rsidR="002F6840" w14:paraId="0F1C35EF"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0118AB" w14:textId="64295B83" w:rsidR="002F6840" w:rsidRDefault="002F6840">
            <w:pPr>
              <w:ind w:left="170"/>
            </w:pPr>
            <w:r>
              <w:rPr>
                <w:i/>
              </w:rPr>
              <w:t>The 2025</w:t>
            </w:r>
            <w:r w:rsidR="00CE40AC">
              <w:rPr>
                <w:i/>
              </w:rPr>
              <w:t>-</w:t>
            </w:r>
            <w:r>
              <w:rPr>
                <w:i/>
              </w:rPr>
              <w:t>26 expected outcome is higher than the target due to the numbers of House Amendments increasing during this period, including requests for multiple sets and an increase in requests due to a conscience vote.</w:t>
            </w:r>
          </w:p>
        </w:tc>
      </w:tr>
      <w:tr w:rsidR="002F6840" w14:paraId="39364DCA" w14:textId="77777777" w:rsidTr="00A23351">
        <w:tc>
          <w:tcPr>
            <w:cnfStyle w:val="001000000000" w:firstRow="0" w:lastRow="0" w:firstColumn="1" w:lastColumn="0" w:oddVBand="0" w:evenVBand="0" w:oddHBand="0" w:evenHBand="0" w:firstRowFirstColumn="0" w:firstRowLastColumn="0" w:lastRowFirstColumn="0" w:lastRowLastColumn="0"/>
            <w:tcW w:w="4819" w:type="dxa"/>
          </w:tcPr>
          <w:p w14:paraId="484DD52F" w14:textId="77777777" w:rsidR="002F6840" w:rsidRDefault="002F6840">
            <w:pPr>
              <w:keepNext/>
              <w:ind w:left="170"/>
            </w:pPr>
            <w:r>
              <w:lastRenderedPageBreak/>
              <w:t>Statutory Rules made and Bills prepared and introduced into Parliament</w:t>
            </w:r>
          </w:p>
        </w:tc>
        <w:tc>
          <w:tcPr>
            <w:tcW w:w="964" w:type="dxa"/>
          </w:tcPr>
          <w:p w14:paraId="6CF8513A"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D510028" w14:textId="77777777" w:rsidR="002F6840" w:rsidRDefault="002F6840">
            <w:pPr>
              <w:cnfStyle w:val="000000000000" w:firstRow="0" w:lastRow="0" w:firstColumn="0" w:lastColumn="0" w:oddVBand="0" w:evenVBand="0" w:oddHBand="0" w:evenHBand="0" w:firstRowFirstColumn="0" w:firstRowLastColumn="0" w:lastRowFirstColumn="0" w:lastRowLastColumn="0"/>
            </w:pPr>
            <w:r>
              <w:t>220</w:t>
            </w:r>
          </w:p>
        </w:tc>
        <w:tc>
          <w:tcPr>
            <w:tcW w:w="964" w:type="dxa"/>
          </w:tcPr>
          <w:p w14:paraId="777FA92A" w14:textId="77777777" w:rsidR="002F6840" w:rsidRDefault="002F6840">
            <w:pPr>
              <w:cnfStyle w:val="000000000000" w:firstRow="0" w:lastRow="0" w:firstColumn="0" w:lastColumn="0" w:oddVBand="0" w:evenVBand="0" w:oddHBand="0" w:evenHBand="0" w:firstRowFirstColumn="0" w:firstRowLastColumn="0" w:lastRowFirstColumn="0" w:lastRowLastColumn="0"/>
            </w:pPr>
            <w:r>
              <w:t>240</w:t>
            </w:r>
          </w:p>
        </w:tc>
        <w:tc>
          <w:tcPr>
            <w:tcW w:w="964" w:type="dxa"/>
          </w:tcPr>
          <w:p w14:paraId="778997A8" w14:textId="77777777" w:rsidR="002F6840" w:rsidRDefault="002F6840">
            <w:pPr>
              <w:cnfStyle w:val="000000000000" w:firstRow="0" w:lastRow="0" w:firstColumn="0" w:lastColumn="0" w:oddVBand="0" w:evenVBand="0" w:oddHBand="0" w:evenHBand="0" w:firstRowFirstColumn="0" w:firstRowLastColumn="0" w:lastRowFirstColumn="0" w:lastRowLastColumn="0"/>
            </w:pPr>
            <w:r>
              <w:t>220</w:t>
            </w:r>
          </w:p>
        </w:tc>
        <w:tc>
          <w:tcPr>
            <w:tcW w:w="964" w:type="dxa"/>
          </w:tcPr>
          <w:p w14:paraId="748BFB58" w14:textId="77777777" w:rsidR="002F6840" w:rsidRDefault="002F6840">
            <w:pPr>
              <w:cnfStyle w:val="000000000000" w:firstRow="0" w:lastRow="0" w:firstColumn="0" w:lastColumn="0" w:oddVBand="0" w:evenVBand="0" w:oddHBand="0" w:evenHBand="0" w:firstRowFirstColumn="0" w:firstRowLastColumn="0" w:lastRowFirstColumn="0" w:lastRowLastColumn="0"/>
            </w:pPr>
            <w:r>
              <w:t>195</w:t>
            </w:r>
          </w:p>
        </w:tc>
      </w:tr>
      <w:tr w:rsidR="002F6840" w14:paraId="53CFABA8"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3530ABB" w14:textId="21A8A57B" w:rsidR="002F6840" w:rsidRDefault="002F6840">
            <w:pPr>
              <w:ind w:left="170"/>
            </w:pPr>
            <w:r>
              <w:rPr>
                <w:i/>
              </w:rPr>
              <w:t>The 2025</w:t>
            </w:r>
            <w:r w:rsidR="00CE40AC">
              <w:rPr>
                <w:i/>
              </w:rPr>
              <w:t>-</w:t>
            </w:r>
            <w:r>
              <w:rPr>
                <w:i/>
              </w:rPr>
              <w:t>26 expected outcome is higher than the target due to the numbers of Bills and Statutory Rules increasing.</w:t>
            </w:r>
          </w:p>
        </w:tc>
      </w:tr>
      <w:tr w:rsidR="002F6840" w14:paraId="531197F5"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Pr>
          <w:p w14:paraId="60F93275" w14:textId="77777777" w:rsidR="002F6840" w:rsidRPr="00A23351" w:rsidRDefault="002F6840">
            <w:pPr>
              <w:keepNext/>
              <w:rPr>
                <w:b/>
                <w:bCs/>
                <w:iCs/>
              </w:rPr>
            </w:pPr>
            <w:r w:rsidRPr="00A23351">
              <w:rPr>
                <w:b/>
                <w:bCs/>
                <w:iCs/>
              </w:rPr>
              <w:t>Quality</w:t>
            </w:r>
          </w:p>
        </w:tc>
      </w:tr>
      <w:tr w:rsidR="002F6840" w14:paraId="27BD3F5C" w14:textId="77777777" w:rsidTr="00A2335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FF6998" w14:textId="77777777" w:rsidR="002F6840" w:rsidRDefault="002F6840">
            <w:pPr>
              <w:ind w:left="170"/>
            </w:pPr>
            <w:r>
              <w:t>Bills and Statutory Rules drafted or settled which meet required standard</w:t>
            </w:r>
          </w:p>
        </w:tc>
        <w:tc>
          <w:tcPr>
            <w:tcW w:w="964" w:type="dxa"/>
            <w:tcBorders>
              <w:bottom w:val="single" w:sz="6" w:space="0" w:color="auto"/>
            </w:tcBorders>
          </w:tcPr>
          <w:p w14:paraId="3582D305"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E648BF" w14:textId="77777777" w:rsidR="002F6840" w:rsidRDefault="002F6840">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7B81B0BC" w14:textId="77777777" w:rsidR="002F6840" w:rsidRDefault="002F6840">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966051F" w14:textId="77777777" w:rsidR="002F6840" w:rsidRDefault="002F6840">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19DF5499" w14:textId="77777777" w:rsidR="002F6840" w:rsidRDefault="002F6840">
            <w:pPr>
              <w:cnfStyle w:val="000000000000" w:firstRow="0" w:lastRow="0" w:firstColumn="0" w:lastColumn="0" w:oddVBand="0" w:evenVBand="0" w:oddHBand="0" w:evenHBand="0" w:firstRowFirstColumn="0" w:firstRowLastColumn="0" w:lastRowFirstColumn="0" w:lastRowLastColumn="0"/>
            </w:pPr>
            <w:r>
              <w:t>99</w:t>
            </w:r>
          </w:p>
        </w:tc>
      </w:tr>
      <w:tr w:rsidR="002F6840" w14:paraId="516EE846" w14:textId="77777777" w:rsidTr="00A23351">
        <w:tc>
          <w:tcPr>
            <w:cnfStyle w:val="001000000000" w:firstRow="0" w:lastRow="0" w:firstColumn="1" w:lastColumn="0" w:oddVBand="0" w:evenVBand="0" w:oddHBand="0" w:evenHBand="0" w:firstRowFirstColumn="0" w:firstRowLastColumn="0" w:lastRowFirstColumn="0" w:lastRowLastColumn="0"/>
            <w:tcW w:w="9639" w:type="dxa"/>
            <w:gridSpan w:val="6"/>
          </w:tcPr>
          <w:p w14:paraId="223474BB" w14:textId="77777777" w:rsidR="002F6840" w:rsidRPr="00A23351" w:rsidRDefault="002F6840">
            <w:pPr>
              <w:keepNext/>
              <w:rPr>
                <w:b/>
                <w:bCs/>
                <w:iCs/>
              </w:rPr>
            </w:pPr>
            <w:r w:rsidRPr="00A23351">
              <w:rPr>
                <w:b/>
                <w:bCs/>
                <w:iCs/>
              </w:rPr>
              <w:t>Timeliness</w:t>
            </w:r>
          </w:p>
        </w:tc>
      </w:tr>
      <w:tr w:rsidR="002F6840" w14:paraId="47BCAFDE" w14:textId="77777777" w:rsidTr="00A2335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6D1A411" w14:textId="77777777" w:rsidR="002F6840" w:rsidRDefault="002F6840">
            <w:pPr>
              <w:ind w:left="170"/>
            </w:pPr>
            <w:r>
              <w:t>Bills and statutory rules drafted or settled within required timeframe</w:t>
            </w:r>
          </w:p>
        </w:tc>
        <w:tc>
          <w:tcPr>
            <w:tcW w:w="964" w:type="dxa"/>
            <w:tcBorders>
              <w:bottom w:val="single" w:sz="6" w:space="0" w:color="auto"/>
            </w:tcBorders>
          </w:tcPr>
          <w:p w14:paraId="538FE376"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216040D" w14:textId="77777777" w:rsidR="002F6840" w:rsidRDefault="002F6840">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31A64CED" w14:textId="77777777" w:rsidR="002F6840" w:rsidRDefault="002F6840">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3E1F0A5" w14:textId="77777777" w:rsidR="002F6840" w:rsidRDefault="002F6840">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1DD9CDE6"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2F6840" w14:paraId="12B4D3EA" w14:textId="77777777" w:rsidTr="008C4D7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CB3C425" w14:textId="77777777" w:rsidR="002F6840" w:rsidRDefault="002F6840">
            <w:pPr>
              <w:ind w:left="170"/>
            </w:pPr>
            <w:r>
              <w:t>Electronically published versions of Principal Acts and Statutory Rules published within three business days of coming into operation and new Acts and Statutory Rules published within 24 hours of making</w:t>
            </w:r>
          </w:p>
        </w:tc>
        <w:tc>
          <w:tcPr>
            <w:tcW w:w="964" w:type="dxa"/>
            <w:tcBorders>
              <w:top w:val="single" w:sz="6" w:space="0" w:color="auto"/>
              <w:bottom w:val="single" w:sz="6" w:space="0" w:color="auto"/>
            </w:tcBorders>
          </w:tcPr>
          <w:p w14:paraId="077899E2"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38B42FCB" w14:textId="77777777" w:rsidR="002F6840" w:rsidRDefault="002F6840">
            <w:pPr>
              <w:cnfStyle w:val="000000000000" w:firstRow="0" w:lastRow="0" w:firstColumn="0" w:lastColumn="0" w:oddVBand="0" w:evenVBand="0" w:oddHBand="0" w:evenHBand="0" w:firstRowFirstColumn="0" w:firstRowLastColumn="0" w:lastRowFirstColumn="0" w:lastRowLastColumn="0"/>
            </w:pPr>
            <w:r>
              <w:t>96</w:t>
            </w:r>
          </w:p>
        </w:tc>
        <w:tc>
          <w:tcPr>
            <w:tcW w:w="964" w:type="dxa"/>
            <w:tcBorders>
              <w:top w:val="single" w:sz="6" w:space="0" w:color="auto"/>
              <w:bottom w:val="single" w:sz="6" w:space="0" w:color="auto"/>
            </w:tcBorders>
          </w:tcPr>
          <w:p w14:paraId="739A5D87" w14:textId="77777777" w:rsidR="002F6840" w:rsidRDefault="002F6840">
            <w:pPr>
              <w:cnfStyle w:val="000000000000" w:firstRow="0" w:lastRow="0" w:firstColumn="0" w:lastColumn="0" w:oddVBand="0" w:evenVBand="0" w:oddHBand="0" w:evenHBand="0" w:firstRowFirstColumn="0" w:firstRowLastColumn="0" w:lastRowFirstColumn="0" w:lastRowLastColumn="0"/>
            </w:pPr>
            <w:r>
              <w:t>98</w:t>
            </w:r>
          </w:p>
        </w:tc>
        <w:tc>
          <w:tcPr>
            <w:tcW w:w="964" w:type="dxa"/>
            <w:tcBorders>
              <w:top w:val="single" w:sz="6" w:space="0" w:color="auto"/>
              <w:bottom w:val="single" w:sz="6" w:space="0" w:color="auto"/>
            </w:tcBorders>
          </w:tcPr>
          <w:p w14:paraId="0402FBA2" w14:textId="77777777" w:rsidR="002F6840" w:rsidRDefault="002F6840">
            <w:pPr>
              <w:cnfStyle w:val="000000000000" w:firstRow="0" w:lastRow="0" w:firstColumn="0" w:lastColumn="0" w:oddVBand="0" w:evenVBand="0" w:oddHBand="0" w:evenHBand="0" w:firstRowFirstColumn="0" w:firstRowLastColumn="0" w:lastRowFirstColumn="0" w:lastRowLastColumn="0"/>
            </w:pPr>
            <w:r>
              <w:t>96</w:t>
            </w:r>
          </w:p>
        </w:tc>
        <w:tc>
          <w:tcPr>
            <w:tcW w:w="964" w:type="dxa"/>
            <w:tcBorders>
              <w:top w:val="single" w:sz="6" w:space="0" w:color="auto"/>
              <w:bottom w:val="single" w:sz="6" w:space="0" w:color="auto"/>
            </w:tcBorders>
          </w:tcPr>
          <w:p w14:paraId="017C256F" w14:textId="77777777" w:rsidR="002F6840" w:rsidRDefault="002F6840">
            <w:pPr>
              <w:cnfStyle w:val="000000000000" w:firstRow="0" w:lastRow="0" w:firstColumn="0" w:lastColumn="0" w:oddVBand="0" w:evenVBand="0" w:oddHBand="0" w:evenHBand="0" w:firstRowFirstColumn="0" w:firstRowLastColumn="0" w:lastRowFirstColumn="0" w:lastRowLastColumn="0"/>
            </w:pPr>
            <w:r>
              <w:t>100</w:t>
            </w:r>
          </w:p>
        </w:tc>
      </w:tr>
      <w:tr w:rsidR="00A23351" w14:paraId="78437DF4" w14:textId="77777777" w:rsidTr="008C4D7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786FE8D0" w14:textId="0A856A02" w:rsidR="00A23351" w:rsidRPr="00A23351" w:rsidRDefault="00A23351">
            <w:pPr>
              <w:rPr>
                <w:b/>
                <w:bCs/>
              </w:rPr>
            </w:pPr>
            <w:r>
              <w:rPr>
                <w:b/>
                <w:bCs/>
              </w:rPr>
              <w:t>Cost</w:t>
            </w:r>
          </w:p>
        </w:tc>
      </w:tr>
      <w:tr w:rsidR="00130DDC" w14:paraId="623D0DC6" w14:textId="77777777" w:rsidTr="00274FF4">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72010916" w14:textId="70A7EF31" w:rsidR="00130DDC" w:rsidRDefault="00130DDC" w:rsidP="00130DDC">
            <w:pPr>
              <w:ind w:left="170"/>
            </w:pPr>
            <w:r>
              <w:t>Total output cost</w:t>
            </w:r>
          </w:p>
        </w:tc>
        <w:tc>
          <w:tcPr>
            <w:tcW w:w="964" w:type="dxa"/>
            <w:tcBorders>
              <w:bottom w:val="single" w:sz="12" w:space="0" w:color="auto"/>
            </w:tcBorders>
          </w:tcPr>
          <w:p w14:paraId="2CC67446" w14:textId="759026A8" w:rsidR="00130DDC" w:rsidRDefault="00130DDC" w:rsidP="00130DDC">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12" w:space="0" w:color="auto"/>
            </w:tcBorders>
            <w:shd w:val="clear" w:color="auto" w:fill="F0F0F0"/>
          </w:tcPr>
          <w:p w14:paraId="54676ED4" w14:textId="3627DE9D" w:rsidR="00130DDC" w:rsidRDefault="00130DDC" w:rsidP="00130DDC">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12" w:space="0" w:color="auto"/>
            </w:tcBorders>
          </w:tcPr>
          <w:p w14:paraId="1F13AD35" w14:textId="3293EFF3" w:rsidR="00130DDC" w:rsidRDefault="00130DDC" w:rsidP="00130DDC">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12" w:space="0" w:color="auto"/>
            </w:tcBorders>
          </w:tcPr>
          <w:p w14:paraId="50E89D33" w14:textId="7068F89E" w:rsidR="00130DDC" w:rsidRDefault="00130DDC" w:rsidP="00130DDC">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12" w:space="0" w:color="auto"/>
            </w:tcBorders>
          </w:tcPr>
          <w:p w14:paraId="06E38A4B" w14:textId="0616C036" w:rsidR="00130DDC" w:rsidRDefault="00130DDC" w:rsidP="00130DDC">
            <w:pPr>
              <w:cnfStyle w:val="000000000000" w:firstRow="0" w:lastRow="0" w:firstColumn="0" w:lastColumn="0" w:oddVBand="0" w:evenVBand="0" w:oddHBand="0" w:evenHBand="0" w:firstRowFirstColumn="0" w:firstRowLastColumn="0" w:lastRowFirstColumn="0" w:lastRowLastColumn="0"/>
            </w:pPr>
            <w:r>
              <w:t>8.8</w:t>
            </w:r>
          </w:p>
        </w:tc>
      </w:tr>
    </w:tbl>
    <w:p w14:paraId="3E328184" w14:textId="77777777" w:rsidR="002F6840" w:rsidRDefault="002F6840" w:rsidP="002F6840">
      <w:pPr>
        <w:pStyle w:val="Source"/>
      </w:pPr>
      <w:r>
        <w:t>Source: Department of Premier and Cabinet</w:t>
      </w:r>
    </w:p>
    <w:p w14:paraId="329F6B33" w14:textId="77777777" w:rsidR="002F6840" w:rsidRDefault="002F6840" w:rsidP="002F6840">
      <w:pPr>
        <w:pStyle w:val="Heading3"/>
      </w:pPr>
      <w:r>
        <w:t>State Electoral Roll and Electoral Events</w:t>
      </w:r>
      <w:r>
        <w:tab/>
        <w:t>(2026-27: $122.7 million)</w:t>
      </w:r>
    </w:p>
    <w:p w14:paraId="28E05533" w14:textId="77777777" w:rsidR="002F6840" w:rsidRPr="00BF376F" w:rsidRDefault="002F6840" w:rsidP="00274FF4">
      <w:pPr>
        <w:spacing w:after="120"/>
      </w:pPr>
      <w:r w:rsidRPr="00575F02">
        <w:t>This output provides a high-quality electoral system that supports democracy in Victoria through administering an accurate and secure electoral roll, electoral services to ensure fair and equitable representation, the conduct of fair and impartial elections and encouraging greater participation in civic life through education and awareness activities and improving ease of access.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2F6840" w14:paraId="387B3780" w14:textId="77777777" w:rsidTr="00130D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1315EEB" w14:textId="77777777" w:rsidR="002F6840" w:rsidRDefault="002F6840">
            <w:r>
              <w:t>Performance measure</w:t>
            </w:r>
          </w:p>
        </w:tc>
        <w:tc>
          <w:tcPr>
            <w:tcW w:w="964" w:type="dxa"/>
          </w:tcPr>
          <w:p w14:paraId="1E132B99" w14:textId="77777777" w:rsidR="002F6840" w:rsidRDefault="002F6840">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07C5855" w14:textId="77777777" w:rsidR="002F6840" w:rsidRDefault="002F6840">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D55A739"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9FCF039" w14:textId="77777777" w:rsidR="002F6840" w:rsidRDefault="002F6840">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798B596" w14:textId="77777777" w:rsidR="002F6840" w:rsidRDefault="002F6840">
            <w:pPr>
              <w:cnfStyle w:val="100000000000" w:firstRow="1" w:lastRow="0" w:firstColumn="0" w:lastColumn="0" w:oddVBand="0" w:evenVBand="0" w:oddHBand="0" w:evenHBand="0" w:firstRowFirstColumn="0" w:firstRowLastColumn="0" w:lastRowFirstColumn="0" w:lastRowLastColumn="0"/>
            </w:pPr>
            <w:r>
              <w:t>2024-25 actual</w:t>
            </w:r>
          </w:p>
        </w:tc>
      </w:tr>
      <w:tr w:rsidR="002F6840" w14:paraId="0E128BA1" w14:textId="77777777" w:rsidTr="00130DDC">
        <w:tc>
          <w:tcPr>
            <w:cnfStyle w:val="001000000000" w:firstRow="0" w:lastRow="0" w:firstColumn="1" w:lastColumn="0" w:oddVBand="0" w:evenVBand="0" w:oddHBand="0" w:evenHBand="0" w:firstRowFirstColumn="0" w:firstRowLastColumn="0" w:lastRowFirstColumn="0" w:lastRowLastColumn="0"/>
            <w:tcW w:w="9639" w:type="dxa"/>
            <w:gridSpan w:val="6"/>
          </w:tcPr>
          <w:p w14:paraId="6A0CF4A7" w14:textId="77777777" w:rsidR="002F6840" w:rsidRPr="008B7514" w:rsidRDefault="002F6840">
            <w:pPr>
              <w:keepNext/>
              <w:rPr>
                <w:b/>
                <w:bCs/>
                <w:iCs/>
              </w:rPr>
            </w:pPr>
            <w:r w:rsidRPr="008B7514">
              <w:rPr>
                <w:b/>
                <w:bCs/>
                <w:iCs/>
              </w:rPr>
              <w:t>Quantity</w:t>
            </w:r>
          </w:p>
        </w:tc>
      </w:tr>
      <w:tr w:rsidR="002F6840" w14:paraId="262A55C4" w14:textId="77777777" w:rsidTr="00130DDC">
        <w:tc>
          <w:tcPr>
            <w:cnfStyle w:val="001000000000" w:firstRow="0" w:lastRow="0" w:firstColumn="1" w:lastColumn="0" w:oddVBand="0" w:evenVBand="0" w:oddHBand="0" w:evenHBand="0" w:firstRowFirstColumn="0" w:firstRowLastColumn="0" w:lastRowFirstColumn="0" w:lastRowLastColumn="0"/>
            <w:tcW w:w="4819" w:type="dxa"/>
          </w:tcPr>
          <w:p w14:paraId="7883549C" w14:textId="77777777" w:rsidR="002F6840" w:rsidRDefault="002F6840">
            <w:pPr>
              <w:keepNext/>
              <w:ind w:left="170"/>
            </w:pPr>
            <w:r>
              <w:t>Election events conducted by the Victorian Electoral Commission, including State elections and by-elections, local government elections, by-elections and countbacks, and statutory elections or polls</w:t>
            </w:r>
          </w:p>
        </w:tc>
        <w:tc>
          <w:tcPr>
            <w:tcW w:w="964" w:type="dxa"/>
          </w:tcPr>
          <w:p w14:paraId="6151DC8E"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C872568" w14:textId="77777777" w:rsidR="002F6840" w:rsidRDefault="002F6840">
            <w:pPr>
              <w:cnfStyle w:val="000000000000" w:firstRow="0" w:lastRow="0" w:firstColumn="0" w:lastColumn="0" w:oddVBand="0" w:evenVBand="0" w:oddHBand="0" w:evenHBand="0" w:firstRowFirstColumn="0" w:firstRowLastColumn="0" w:lastRowFirstColumn="0" w:lastRowLastColumn="0"/>
            </w:pPr>
            <w:r>
              <w:t>126</w:t>
            </w:r>
          </w:p>
        </w:tc>
        <w:tc>
          <w:tcPr>
            <w:tcW w:w="964" w:type="dxa"/>
          </w:tcPr>
          <w:p w14:paraId="07B2B6E4" w14:textId="77777777" w:rsidR="002F6840" w:rsidRDefault="002F6840">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6E1EED77" w14:textId="77777777" w:rsidR="002F6840" w:rsidRDefault="002F6840">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3388E79E" w14:textId="77777777" w:rsidR="002F6840" w:rsidRDefault="002F6840">
            <w:pPr>
              <w:cnfStyle w:val="000000000000" w:firstRow="0" w:lastRow="0" w:firstColumn="0" w:lastColumn="0" w:oddVBand="0" w:evenVBand="0" w:oddHBand="0" w:evenHBand="0" w:firstRowFirstColumn="0" w:firstRowLastColumn="0" w:lastRowFirstColumn="0" w:lastRowLastColumn="0"/>
            </w:pPr>
            <w:r>
              <w:t>474</w:t>
            </w:r>
          </w:p>
        </w:tc>
      </w:tr>
      <w:tr w:rsidR="002F6840" w14:paraId="5D4111BD" w14:textId="77777777" w:rsidTr="00130DD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2910FA" w14:textId="20B9C5C6" w:rsidR="002F6840" w:rsidRDefault="002F6840">
            <w:pPr>
              <w:ind w:left="170"/>
            </w:pPr>
            <w:r>
              <w:rPr>
                <w:i/>
              </w:rPr>
              <w:t>The 2025</w:t>
            </w:r>
            <w:r w:rsidR="004D0992">
              <w:rPr>
                <w:i/>
              </w:rPr>
              <w:t>-</w:t>
            </w:r>
            <w:r>
              <w:rPr>
                <w:i/>
              </w:rPr>
              <w:t>26 expected outcome is lower than the target due to fewer local councillor resignations than forecast resulting in fewer by</w:t>
            </w:r>
            <w:r w:rsidR="004D0992">
              <w:rPr>
                <w:i/>
              </w:rPr>
              <w:noBreakHyphen/>
            </w:r>
            <w:r>
              <w:rPr>
                <w:i/>
              </w:rPr>
              <w:t>elections and countbacks than originally anticipated.</w:t>
            </w:r>
          </w:p>
          <w:p w14:paraId="5F7D1951" w14:textId="182F48B6" w:rsidR="002F6840" w:rsidRDefault="002F6840">
            <w:pPr>
              <w:ind w:left="170"/>
            </w:pPr>
            <w:r>
              <w:rPr>
                <w:i/>
              </w:rPr>
              <w:t>The higher 2026</w:t>
            </w:r>
            <w:r w:rsidR="004D0992">
              <w:rPr>
                <w:i/>
              </w:rPr>
              <w:t>-</w:t>
            </w:r>
            <w:r>
              <w:rPr>
                <w:i/>
              </w:rPr>
              <w:t xml:space="preserve">27 target reflects the number of </w:t>
            </w:r>
            <w:r w:rsidR="00CE40AC">
              <w:rPr>
                <w:i/>
              </w:rPr>
              <w:t>s</w:t>
            </w:r>
            <w:r>
              <w:rPr>
                <w:i/>
              </w:rPr>
              <w:t>tate elections that will be delivered in November 2026 (88 Districts and 8 Regions) and an estimate of the number of local government by-elections and countbacks likely to occur based on historical trends (30).</w:t>
            </w:r>
          </w:p>
        </w:tc>
      </w:tr>
      <w:tr w:rsidR="002F6840" w14:paraId="09373309" w14:textId="77777777" w:rsidTr="00130DDC">
        <w:tc>
          <w:tcPr>
            <w:cnfStyle w:val="001000000000" w:firstRow="0" w:lastRow="0" w:firstColumn="1" w:lastColumn="0" w:oddVBand="0" w:evenVBand="0" w:oddHBand="0" w:evenHBand="0" w:firstRowFirstColumn="0" w:firstRowLastColumn="0" w:lastRowFirstColumn="0" w:lastRowLastColumn="0"/>
            <w:tcW w:w="9639" w:type="dxa"/>
            <w:gridSpan w:val="6"/>
          </w:tcPr>
          <w:p w14:paraId="24526D48" w14:textId="77777777" w:rsidR="002F6840" w:rsidRPr="008B7514" w:rsidRDefault="002F6840">
            <w:pPr>
              <w:keepNext/>
              <w:rPr>
                <w:b/>
                <w:bCs/>
                <w:iCs/>
              </w:rPr>
            </w:pPr>
            <w:r w:rsidRPr="008B7514">
              <w:rPr>
                <w:b/>
                <w:bCs/>
                <w:iCs/>
              </w:rPr>
              <w:t>Quality</w:t>
            </w:r>
          </w:p>
        </w:tc>
      </w:tr>
      <w:tr w:rsidR="002F6840" w14:paraId="7EA8E86B" w14:textId="77777777" w:rsidTr="00130DD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AD8583" w14:textId="78499795" w:rsidR="002F6840" w:rsidRDefault="002F6840">
            <w:pPr>
              <w:ind w:left="170"/>
            </w:pPr>
            <w:r>
              <w:t>Election events invalidated by a court of disputed returns as a result of a proven claim against the Victorian Electoral Commission</w:t>
            </w:r>
            <w:r w:rsidR="00AD4833">
              <w:t>’</w:t>
            </w:r>
            <w:r>
              <w:t>s conduct of that event</w:t>
            </w:r>
          </w:p>
        </w:tc>
        <w:tc>
          <w:tcPr>
            <w:tcW w:w="964" w:type="dxa"/>
            <w:tcBorders>
              <w:bottom w:val="single" w:sz="6" w:space="0" w:color="auto"/>
            </w:tcBorders>
          </w:tcPr>
          <w:p w14:paraId="0CE7B0A2"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F6FF99D" w14:textId="77777777" w:rsidR="002F6840" w:rsidRDefault="002F6840">
            <w:pPr>
              <w:cnfStyle w:val="000000000000" w:firstRow="0" w:lastRow="0" w:firstColumn="0" w:lastColumn="0" w:oddVBand="0" w:evenVBand="0" w:oddHBand="0" w:evenHBand="0" w:firstRowFirstColumn="0" w:firstRowLastColumn="0" w:lastRowFirstColumn="0" w:lastRowLastColumn="0"/>
            </w:pPr>
            <w:r>
              <w:t>0</w:t>
            </w:r>
          </w:p>
        </w:tc>
        <w:tc>
          <w:tcPr>
            <w:tcW w:w="964" w:type="dxa"/>
            <w:tcBorders>
              <w:bottom w:val="single" w:sz="6" w:space="0" w:color="auto"/>
            </w:tcBorders>
          </w:tcPr>
          <w:p w14:paraId="75C7CFCD" w14:textId="77777777" w:rsidR="002F6840" w:rsidRDefault="002F6840">
            <w:pPr>
              <w:cnfStyle w:val="000000000000" w:firstRow="0" w:lastRow="0" w:firstColumn="0" w:lastColumn="0" w:oddVBand="0" w:evenVBand="0" w:oddHBand="0" w:evenHBand="0" w:firstRowFirstColumn="0" w:firstRowLastColumn="0" w:lastRowFirstColumn="0" w:lastRowLastColumn="0"/>
            </w:pPr>
            <w:r>
              <w:t>0</w:t>
            </w:r>
          </w:p>
        </w:tc>
        <w:tc>
          <w:tcPr>
            <w:tcW w:w="964" w:type="dxa"/>
            <w:tcBorders>
              <w:bottom w:val="single" w:sz="6" w:space="0" w:color="auto"/>
            </w:tcBorders>
          </w:tcPr>
          <w:p w14:paraId="0D7BEE87" w14:textId="77777777" w:rsidR="002F6840" w:rsidRDefault="002F6840">
            <w:pPr>
              <w:cnfStyle w:val="000000000000" w:firstRow="0" w:lastRow="0" w:firstColumn="0" w:lastColumn="0" w:oddVBand="0" w:evenVBand="0" w:oddHBand="0" w:evenHBand="0" w:firstRowFirstColumn="0" w:firstRowLastColumn="0" w:lastRowFirstColumn="0" w:lastRowLastColumn="0"/>
            </w:pPr>
            <w:r>
              <w:t>0</w:t>
            </w:r>
          </w:p>
        </w:tc>
        <w:tc>
          <w:tcPr>
            <w:tcW w:w="964" w:type="dxa"/>
            <w:tcBorders>
              <w:bottom w:val="single" w:sz="6" w:space="0" w:color="auto"/>
            </w:tcBorders>
          </w:tcPr>
          <w:p w14:paraId="667A58AE" w14:textId="77777777" w:rsidR="002F6840" w:rsidRDefault="002F6840">
            <w:pPr>
              <w:cnfStyle w:val="000000000000" w:firstRow="0" w:lastRow="0" w:firstColumn="0" w:lastColumn="0" w:oddVBand="0" w:evenVBand="0" w:oddHBand="0" w:evenHBand="0" w:firstRowFirstColumn="0" w:firstRowLastColumn="0" w:lastRowFirstColumn="0" w:lastRowLastColumn="0"/>
            </w:pPr>
            <w:r>
              <w:t>0</w:t>
            </w:r>
          </w:p>
        </w:tc>
      </w:tr>
      <w:tr w:rsidR="002F6840" w14:paraId="5A39CC0F" w14:textId="77777777" w:rsidTr="00130DD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E94F93" w14:textId="2464A4BB" w:rsidR="002F6840" w:rsidRDefault="002F6840">
            <w:pPr>
              <w:ind w:left="170"/>
            </w:pPr>
            <w:r>
              <w:t>The VEC is trusted to deliver electoral services with integrity and high quality, as measured by the VEC</w:t>
            </w:r>
            <w:r w:rsidR="00AD4833">
              <w:t>’</w:t>
            </w:r>
            <w:r>
              <w:t>s reputation index score</w:t>
            </w:r>
          </w:p>
        </w:tc>
        <w:tc>
          <w:tcPr>
            <w:tcW w:w="964" w:type="dxa"/>
            <w:tcBorders>
              <w:bottom w:val="single" w:sz="6" w:space="0" w:color="auto"/>
            </w:tcBorders>
          </w:tcPr>
          <w:p w14:paraId="019E9A3D"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C8FD5DA"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50BCECE"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109AC7F" w14:textId="77777777" w:rsidR="002F6840" w:rsidRDefault="002F6840">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B2B611F" w14:textId="77777777" w:rsidR="002F6840" w:rsidRDefault="002F6840">
            <w:pPr>
              <w:cnfStyle w:val="000000000000" w:firstRow="0" w:lastRow="0" w:firstColumn="0" w:lastColumn="0" w:oddVBand="0" w:evenVBand="0" w:oddHBand="0" w:evenHBand="0" w:firstRowFirstColumn="0" w:firstRowLastColumn="0" w:lastRowFirstColumn="0" w:lastRowLastColumn="0"/>
            </w:pPr>
            <w:r>
              <w:t>80.6</w:t>
            </w:r>
          </w:p>
        </w:tc>
      </w:tr>
      <w:tr w:rsidR="002F6840" w14:paraId="670489FF" w14:textId="77777777" w:rsidTr="00130DDC">
        <w:tc>
          <w:tcPr>
            <w:cnfStyle w:val="001000000000" w:firstRow="0" w:lastRow="0" w:firstColumn="1" w:lastColumn="0" w:oddVBand="0" w:evenVBand="0" w:oddHBand="0" w:evenHBand="0" w:firstRowFirstColumn="0" w:firstRowLastColumn="0" w:lastRowFirstColumn="0" w:lastRowLastColumn="0"/>
            <w:tcW w:w="9639" w:type="dxa"/>
            <w:gridSpan w:val="6"/>
          </w:tcPr>
          <w:p w14:paraId="76564791" w14:textId="77777777" w:rsidR="002F6840" w:rsidRPr="008B7514" w:rsidRDefault="002F6840">
            <w:pPr>
              <w:keepNext/>
              <w:rPr>
                <w:b/>
                <w:bCs/>
                <w:iCs/>
              </w:rPr>
            </w:pPr>
            <w:r w:rsidRPr="008B7514">
              <w:rPr>
                <w:b/>
                <w:bCs/>
                <w:iCs/>
              </w:rPr>
              <w:t>Timeliness</w:t>
            </w:r>
          </w:p>
        </w:tc>
      </w:tr>
      <w:tr w:rsidR="002F6840" w14:paraId="42A73EF1" w14:textId="77777777" w:rsidTr="00130DDC">
        <w:tc>
          <w:tcPr>
            <w:cnfStyle w:val="001000000000" w:firstRow="0" w:lastRow="0" w:firstColumn="1" w:lastColumn="0" w:oddVBand="0" w:evenVBand="0" w:oddHBand="0" w:evenHBand="0" w:firstRowFirstColumn="0" w:firstRowLastColumn="0" w:lastRowFirstColumn="0" w:lastRowLastColumn="0"/>
            <w:tcW w:w="4819" w:type="dxa"/>
          </w:tcPr>
          <w:p w14:paraId="342EF373" w14:textId="77777777" w:rsidR="002F6840" w:rsidRDefault="002F6840">
            <w:pPr>
              <w:keepNext/>
              <w:ind w:left="170"/>
            </w:pPr>
            <w:r>
              <w:t>Meets timeframes for all enrolment and close of roll activity in the maintenance and accuracy of the register of electors</w:t>
            </w:r>
          </w:p>
        </w:tc>
        <w:tc>
          <w:tcPr>
            <w:tcW w:w="964" w:type="dxa"/>
          </w:tcPr>
          <w:p w14:paraId="083E4744" w14:textId="77777777" w:rsidR="002F6840" w:rsidRDefault="002F6840">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840AFED" w14:textId="77777777" w:rsidR="002F6840" w:rsidRDefault="002F6840">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4AA0817" w14:textId="77777777" w:rsidR="002F6840" w:rsidRDefault="002F6840">
            <w:pPr>
              <w:cnfStyle w:val="000000000000" w:firstRow="0" w:lastRow="0" w:firstColumn="0" w:lastColumn="0" w:oddVBand="0" w:evenVBand="0" w:oddHBand="0" w:evenHBand="0" w:firstRowFirstColumn="0" w:firstRowLastColumn="0" w:lastRowFirstColumn="0" w:lastRowLastColumn="0"/>
            </w:pPr>
            <w:r>
              <w:t>99.8</w:t>
            </w:r>
          </w:p>
        </w:tc>
        <w:tc>
          <w:tcPr>
            <w:tcW w:w="964" w:type="dxa"/>
          </w:tcPr>
          <w:p w14:paraId="4A0530E6" w14:textId="77777777" w:rsidR="002F6840" w:rsidRDefault="002F6840">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431B987" w14:textId="77777777" w:rsidR="002F6840" w:rsidRDefault="002F6840">
            <w:pPr>
              <w:cnfStyle w:val="000000000000" w:firstRow="0" w:lastRow="0" w:firstColumn="0" w:lastColumn="0" w:oddVBand="0" w:evenVBand="0" w:oddHBand="0" w:evenHBand="0" w:firstRowFirstColumn="0" w:firstRowLastColumn="0" w:lastRowFirstColumn="0" w:lastRowLastColumn="0"/>
            </w:pPr>
            <w:r>
              <w:t>99.8</w:t>
            </w:r>
          </w:p>
        </w:tc>
      </w:tr>
      <w:tr w:rsidR="00130DDC" w14:paraId="583FD173" w14:textId="77777777" w:rsidTr="008C4D72">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7C6C0D1B" w14:textId="703B8242" w:rsidR="00130DDC" w:rsidRDefault="00130DDC" w:rsidP="008B7514">
            <w:pPr>
              <w:ind w:left="170"/>
            </w:pPr>
            <w:r w:rsidRPr="008B7514">
              <w:rPr>
                <w:i/>
              </w:rPr>
              <w:t>The 2025</w:t>
            </w:r>
            <w:r w:rsidR="00383570">
              <w:rPr>
                <w:i/>
              </w:rPr>
              <w:t>-</w:t>
            </w:r>
            <w:r w:rsidRPr="008B7514">
              <w:rPr>
                <w:i/>
              </w:rPr>
              <w:t>26 expected outcome is higher than the target due to an anticipated lower overall enrolment transaction rate for the financial year. As there are no planned statewide electoral events in the period, transaction volumes should remain consistent and timeframe delays are unlikely.</w:t>
            </w:r>
          </w:p>
        </w:tc>
      </w:tr>
      <w:tr w:rsidR="008B7514" w14:paraId="5372CE69" w14:textId="77777777" w:rsidTr="008C4D7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4663E3" w14:textId="65D547B3" w:rsidR="008B7514" w:rsidRPr="008B7514" w:rsidRDefault="008B7514" w:rsidP="008B7514">
            <w:pPr>
              <w:ind w:left="170"/>
              <w:rPr>
                <w:i/>
              </w:rPr>
            </w:pPr>
            <w:r w:rsidRPr="008B7514">
              <w:rPr>
                <w:i/>
              </w:rPr>
              <w:t xml:space="preserve">This performance measure renames the 2025-26 performance measure </w:t>
            </w:r>
            <w:r w:rsidR="00AD4833">
              <w:rPr>
                <w:i/>
              </w:rPr>
              <w:t>‘</w:t>
            </w:r>
            <w:r w:rsidRPr="008B7514">
              <w:rPr>
                <w:i/>
              </w:rPr>
              <w:t>Meets timeframes for application of elector-initiated enrolment, direct enrolment and close of roll enrolment activity in the maintenance and accuracy of the register of electors</w:t>
            </w:r>
            <w:r w:rsidR="00AD4833">
              <w:rPr>
                <w:i/>
              </w:rPr>
              <w:t>’</w:t>
            </w:r>
            <w:r w:rsidRPr="008B7514">
              <w:rPr>
                <w:i/>
              </w:rPr>
              <w:t xml:space="preserve">. </w:t>
            </w:r>
            <w:r w:rsidR="008C4D72">
              <w:rPr>
                <w:i/>
              </w:rPr>
              <w:br/>
            </w:r>
            <w:r w:rsidRPr="008B7514">
              <w:rPr>
                <w:i/>
              </w:rPr>
              <w:t>The new measure reports on the same activity as the previous measure however it has been amended for increased clarity.</w:t>
            </w:r>
          </w:p>
        </w:tc>
      </w:tr>
      <w:tr w:rsidR="008B7514" w14:paraId="2BD4ABC0" w14:textId="77777777" w:rsidTr="008C4D7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4D901724" w14:textId="6EBF2489" w:rsidR="008B7514" w:rsidRPr="008B7514" w:rsidRDefault="008B7514">
            <w:pPr>
              <w:rPr>
                <w:b/>
                <w:bCs/>
              </w:rPr>
            </w:pPr>
            <w:r w:rsidRPr="008B7514">
              <w:rPr>
                <w:b/>
                <w:bCs/>
              </w:rPr>
              <w:t>Cost</w:t>
            </w:r>
          </w:p>
        </w:tc>
      </w:tr>
      <w:tr w:rsidR="00593414" w14:paraId="7F314A95" w14:textId="77777777" w:rsidTr="00130DDC">
        <w:tc>
          <w:tcPr>
            <w:cnfStyle w:val="001000000000" w:firstRow="0" w:lastRow="0" w:firstColumn="1" w:lastColumn="0" w:oddVBand="0" w:evenVBand="0" w:oddHBand="0" w:evenHBand="0" w:firstRowFirstColumn="0" w:firstRowLastColumn="0" w:lastRowFirstColumn="0" w:lastRowLastColumn="0"/>
            <w:tcW w:w="4819" w:type="dxa"/>
          </w:tcPr>
          <w:p w14:paraId="16E9BEE0" w14:textId="3E690F99" w:rsidR="00593414" w:rsidRDefault="00593414" w:rsidP="00593414">
            <w:pPr>
              <w:keepNext/>
              <w:ind w:left="170"/>
            </w:pPr>
            <w:r>
              <w:t>Total output cost</w:t>
            </w:r>
          </w:p>
        </w:tc>
        <w:tc>
          <w:tcPr>
            <w:tcW w:w="964" w:type="dxa"/>
          </w:tcPr>
          <w:p w14:paraId="204C423C" w14:textId="5F882909" w:rsidR="00593414" w:rsidRDefault="00593414" w:rsidP="00593414">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895CDBE" w14:textId="059B30EA" w:rsidR="00593414" w:rsidRDefault="00593414" w:rsidP="00593414">
            <w:pPr>
              <w:cnfStyle w:val="000000000000" w:firstRow="0" w:lastRow="0" w:firstColumn="0" w:lastColumn="0" w:oddVBand="0" w:evenVBand="0" w:oddHBand="0" w:evenHBand="0" w:firstRowFirstColumn="0" w:firstRowLastColumn="0" w:lastRowFirstColumn="0" w:lastRowLastColumn="0"/>
            </w:pPr>
            <w:r>
              <w:t>122.7</w:t>
            </w:r>
          </w:p>
        </w:tc>
        <w:tc>
          <w:tcPr>
            <w:tcW w:w="964" w:type="dxa"/>
          </w:tcPr>
          <w:p w14:paraId="1602B29D" w14:textId="2DB0310A" w:rsidR="00593414" w:rsidRDefault="00593414" w:rsidP="00593414">
            <w:pPr>
              <w:cnfStyle w:val="000000000000" w:firstRow="0" w:lastRow="0" w:firstColumn="0" w:lastColumn="0" w:oddVBand="0" w:evenVBand="0" w:oddHBand="0" w:evenHBand="0" w:firstRowFirstColumn="0" w:firstRowLastColumn="0" w:lastRowFirstColumn="0" w:lastRowLastColumn="0"/>
            </w:pPr>
            <w:r>
              <w:t>85.3</w:t>
            </w:r>
          </w:p>
        </w:tc>
        <w:tc>
          <w:tcPr>
            <w:tcW w:w="964" w:type="dxa"/>
          </w:tcPr>
          <w:p w14:paraId="008AFA8B" w14:textId="5B5610AB" w:rsidR="00593414" w:rsidRDefault="00593414" w:rsidP="00593414">
            <w:pPr>
              <w:cnfStyle w:val="000000000000" w:firstRow="0" w:lastRow="0" w:firstColumn="0" w:lastColumn="0" w:oddVBand="0" w:evenVBand="0" w:oddHBand="0" w:evenHBand="0" w:firstRowFirstColumn="0" w:firstRowLastColumn="0" w:lastRowFirstColumn="0" w:lastRowLastColumn="0"/>
            </w:pPr>
            <w:r>
              <w:t>42.3</w:t>
            </w:r>
          </w:p>
        </w:tc>
        <w:tc>
          <w:tcPr>
            <w:tcW w:w="964" w:type="dxa"/>
          </w:tcPr>
          <w:p w14:paraId="6EBA613D" w14:textId="0FCA4744" w:rsidR="00593414" w:rsidRDefault="00593414" w:rsidP="00593414">
            <w:pPr>
              <w:cnfStyle w:val="000000000000" w:firstRow="0" w:lastRow="0" w:firstColumn="0" w:lastColumn="0" w:oddVBand="0" w:evenVBand="0" w:oddHBand="0" w:evenHBand="0" w:firstRowFirstColumn="0" w:firstRowLastColumn="0" w:lastRowFirstColumn="0" w:lastRowLastColumn="0"/>
            </w:pPr>
            <w:r>
              <w:t>136.7</w:t>
            </w:r>
          </w:p>
        </w:tc>
      </w:tr>
      <w:tr w:rsidR="00593414" w14:paraId="24CE5714"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6D3C236" w14:textId="4264E5A4" w:rsidR="00593414" w:rsidRPr="00E81C8D" w:rsidRDefault="00B80C06" w:rsidP="00E81C8D">
            <w:pPr>
              <w:ind w:left="170"/>
              <w:rPr>
                <w:i/>
              </w:rPr>
            </w:pPr>
            <w:r w:rsidRPr="00E81C8D">
              <w:rPr>
                <w:i/>
              </w:rPr>
              <w:t>The 2025</w:t>
            </w:r>
            <w:r w:rsidR="00383570">
              <w:rPr>
                <w:i/>
              </w:rPr>
              <w:t>-</w:t>
            </w:r>
            <w:r w:rsidRPr="00E81C8D">
              <w:rPr>
                <w:i/>
              </w:rPr>
              <w:t xml:space="preserve">26 expected outcome is higher than the target primarily due to additional funding allocated since the publication of the </w:t>
            </w:r>
            <w:r w:rsidRPr="0024602D">
              <w:t>2025</w:t>
            </w:r>
            <w:r w:rsidR="00274FF4" w:rsidRPr="0024602D">
              <w:noBreakHyphen/>
            </w:r>
            <w:r w:rsidRPr="0024602D">
              <w:t>26 Budget</w:t>
            </w:r>
            <w:r w:rsidRPr="00E81C8D">
              <w:rPr>
                <w:i/>
              </w:rPr>
              <w:t xml:space="preserve"> to cover operational cost pressures, 2026 </w:t>
            </w:r>
            <w:r w:rsidR="00DF14EC">
              <w:rPr>
                <w:i/>
              </w:rPr>
              <w:t>S</w:t>
            </w:r>
            <w:r w:rsidRPr="00E81C8D">
              <w:rPr>
                <w:i/>
              </w:rPr>
              <w:t xml:space="preserve">tate </w:t>
            </w:r>
            <w:r w:rsidR="00DF14EC">
              <w:rPr>
                <w:i/>
              </w:rPr>
              <w:t>E</w:t>
            </w:r>
            <w:r w:rsidRPr="00E81C8D">
              <w:rPr>
                <w:i/>
              </w:rPr>
              <w:t>lection preparation activities, and by-election requirements.</w:t>
            </w:r>
          </w:p>
        </w:tc>
      </w:tr>
      <w:tr w:rsidR="00593414" w14:paraId="79B44577" w14:textId="77777777" w:rsidTr="00274FF4">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F285791" w14:textId="6DFB4735" w:rsidR="00593414" w:rsidRPr="00E81C8D" w:rsidRDefault="00E81C8D" w:rsidP="00E81C8D">
            <w:pPr>
              <w:ind w:left="170"/>
              <w:rPr>
                <w:i/>
              </w:rPr>
            </w:pPr>
            <w:r w:rsidRPr="00E81C8D">
              <w:rPr>
                <w:i/>
              </w:rPr>
              <w:t>The higher 2026</w:t>
            </w:r>
            <w:r w:rsidR="00383570">
              <w:rPr>
                <w:i/>
              </w:rPr>
              <w:t>-</w:t>
            </w:r>
            <w:r w:rsidRPr="00E81C8D">
              <w:rPr>
                <w:i/>
              </w:rPr>
              <w:t xml:space="preserve">27 target is predominantly for the delivery of the 2026 </w:t>
            </w:r>
            <w:r w:rsidR="00DF14EC">
              <w:rPr>
                <w:i/>
              </w:rPr>
              <w:t>S</w:t>
            </w:r>
            <w:r w:rsidRPr="00E81C8D">
              <w:rPr>
                <w:i/>
              </w:rPr>
              <w:t xml:space="preserve">tate </w:t>
            </w:r>
            <w:r w:rsidR="00DF14EC">
              <w:rPr>
                <w:i/>
              </w:rPr>
              <w:t>E</w:t>
            </w:r>
            <w:r w:rsidRPr="00E81C8D">
              <w:rPr>
                <w:i/>
              </w:rPr>
              <w:t>lection.</w:t>
            </w:r>
          </w:p>
        </w:tc>
      </w:tr>
    </w:tbl>
    <w:p w14:paraId="3BC72AF7" w14:textId="77777777" w:rsidR="002F6840" w:rsidRDefault="002F6840" w:rsidP="002F6840">
      <w:pPr>
        <w:pStyle w:val="Source"/>
      </w:pPr>
      <w:r>
        <w:t>Source: Department of Premier and Cabinet</w:t>
      </w:r>
    </w:p>
    <w:p w14:paraId="35BA6A2C" w14:textId="77777777" w:rsidR="00AE3BBD" w:rsidRDefault="00AE3BBD" w:rsidP="002F6840">
      <w:pPr>
        <w:pStyle w:val="Source"/>
        <w:sectPr w:rsidR="00AE3BBD" w:rsidSect="0091589A">
          <w:footerReference w:type="even" r:id="rId34"/>
          <w:footerReference w:type="default" r:id="rId35"/>
          <w:pgSz w:w="11907" w:h="16840" w:code="9"/>
          <w:pgMar w:top="1138" w:right="1138" w:bottom="1138" w:left="1138" w:header="619" w:footer="562" w:gutter="0"/>
          <w:cols w:space="708"/>
          <w:docGrid w:linePitch="360"/>
        </w:sectPr>
      </w:pPr>
    </w:p>
    <w:p w14:paraId="06C1EF82" w14:textId="7109BCE6" w:rsidR="002D3DC9" w:rsidRPr="00763E6F" w:rsidRDefault="0091589A" w:rsidP="002E0B49">
      <w:pPr>
        <w:pStyle w:val="Heading1"/>
        <w:pageBreakBefore/>
        <w:spacing w:before="0"/>
      </w:pPr>
      <w:bookmarkStart w:id="17" w:name="_Toc228288103"/>
      <w:r w:rsidRPr="000B33B2">
        <w:lastRenderedPageBreak/>
        <w:t xml:space="preserve">Department of </w:t>
      </w:r>
      <w:r>
        <w:t>Transport and Planning</w:t>
      </w:r>
      <w:bookmarkEnd w:id="17"/>
    </w:p>
    <w:p w14:paraId="10A305CE" w14:textId="77777777" w:rsidR="00C306A8" w:rsidRDefault="00C306A8" w:rsidP="00C306A8">
      <w:pPr>
        <w:pStyle w:val="Heading2"/>
      </w:pPr>
      <w:r>
        <w:t>Ministerial portfolios</w:t>
      </w:r>
    </w:p>
    <w:p w14:paraId="5922602A" w14:textId="77777777" w:rsidR="00C306A8" w:rsidRDefault="00C306A8" w:rsidP="00C306A8">
      <w:r>
        <w:t>The Department supports the ministerial portfolios of Transport Infrastructure, Public and Active Transport, Planning, Suburban Rail Loop, Development Victoria and Precincts, Housing and Building, Roads and Road Safety and Ports and Freight.</w:t>
      </w:r>
    </w:p>
    <w:p w14:paraId="16D00B2B" w14:textId="77777777" w:rsidR="00C306A8" w:rsidRDefault="00C306A8" w:rsidP="00C306A8">
      <w:r>
        <w:t>The Department supports the Health Infrastructure portfolio with the Department of Health remaining responsible for the Health Infrastructure budget. The Department also supports the Minister for Finance in managing crown and freehold land.</w:t>
      </w:r>
    </w:p>
    <w:p w14:paraId="46493747" w14:textId="77777777" w:rsidR="00C306A8" w:rsidRDefault="00C306A8" w:rsidP="00C306A8">
      <w:pPr>
        <w:pStyle w:val="Heading2"/>
      </w:pPr>
      <w:r>
        <w:t>Departmental mission statement</w:t>
      </w:r>
    </w:p>
    <w:p w14:paraId="01DA83A7" w14:textId="491DA391" w:rsidR="00C306A8" w:rsidRDefault="00C306A8" w:rsidP="00C306A8">
      <w:r>
        <w:t>The Department of Transport and Planning’s mission is to integrate Victoria’s transport, land and planning system to create an inclusive, productive and sustainable state.</w:t>
      </w:r>
    </w:p>
    <w:p w14:paraId="36F93D83" w14:textId="77777777" w:rsidR="00C306A8" w:rsidRDefault="00C306A8" w:rsidP="00C306A8">
      <w:r>
        <w:t>The Department and its agencies:</w:t>
      </w:r>
    </w:p>
    <w:p w14:paraId="12B9AC01" w14:textId="77777777" w:rsidR="00C306A8" w:rsidRDefault="00C306A8" w:rsidP="00C306A8">
      <w:pPr>
        <w:pStyle w:val="ListBullet"/>
      </w:pPr>
      <w:r>
        <w:t>plan, build and operate a transport network that keeps people and freight moving now and into the future</w:t>
      </w:r>
    </w:p>
    <w:p w14:paraId="78084B92" w14:textId="77777777" w:rsidR="00C306A8" w:rsidRDefault="00C306A8" w:rsidP="00C306A8">
      <w:pPr>
        <w:pStyle w:val="ListBullet"/>
      </w:pPr>
      <w:r>
        <w:t>manage precinct and policy functions, and the land, planning, building and heritage systems to shape places and communities</w:t>
      </w:r>
    </w:p>
    <w:p w14:paraId="71481C7E" w14:textId="77777777" w:rsidR="00C306A8" w:rsidRDefault="00C306A8" w:rsidP="00C306A8">
      <w:pPr>
        <w:pStyle w:val="ListBullet"/>
      </w:pPr>
      <w:r>
        <w:t>understand the social, economic, and physical needs of communities to support the development of connected, sustainable and thriving local places</w:t>
      </w:r>
    </w:p>
    <w:p w14:paraId="767A02BC" w14:textId="77777777" w:rsidR="00C306A8" w:rsidRDefault="00C306A8" w:rsidP="00C306A8">
      <w:pPr>
        <w:pStyle w:val="ListBullet"/>
      </w:pPr>
      <w:r>
        <w:t>oversee the delivery of the major transport infrastructure program to build a better transport future for Victoria.</w:t>
      </w:r>
    </w:p>
    <w:p w14:paraId="41C7D4F7" w14:textId="77777777" w:rsidR="00C306A8" w:rsidRDefault="00C306A8" w:rsidP="00C306A8">
      <w:pPr>
        <w:pStyle w:val="Heading2"/>
      </w:pPr>
      <w:r>
        <w:t>Departmental objectives</w:t>
      </w:r>
    </w:p>
    <w:p w14:paraId="2A41EC83" w14:textId="77777777" w:rsidR="00C306A8" w:rsidRDefault="00C306A8" w:rsidP="00C306A8">
      <w:pPr>
        <w:pStyle w:val="Heading3"/>
      </w:pPr>
      <w:r>
        <w:t>Reliable and people-focused transport services</w:t>
      </w:r>
    </w:p>
    <w:p w14:paraId="3E1B1CD4" w14:textId="77777777" w:rsidR="00C306A8" w:rsidRDefault="00C306A8" w:rsidP="00C306A8">
      <w:r>
        <w:t>This objective group enhances liveability by providing Victorians with a transport system that connects people and places, taking them where they want to go, when they want to go.</w:t>
      </w:r>
    </w:p>
    <w:p w14:paraId="312DD68B" w14:textId="77777777" w:rsidR="00C306A8" w:rsidRDefault="00C306A8" w:rsidP="00C306A8">
      <w:r>
        <w:t>The Bus Services, Tram Services and Train Services outputs contribute to the objective by delivering safe, inclusive, reliable and cost-effective public transport services across Victoria and infrastructure investments. This includes services delivered through contractual arrangements with private operators.</w:t>
      </w:r>
    </w:p>
    <w:p w14:paraId="468C710E" w14:textId="77777777" w:rsidR="00C306A8" w:rsidRDefault="00C306A8" w:rsidP="00C306A8">
      <w:r>
        <w:t>The Road Operations output contributes to this objective by delivering initiatives that provide more predictable and reliable journeys, improve safety and meet the service quality expected from transport users.</w:t>
      </w:r>
    </w:p>
    <w:p w14:paraId="14DA08C5" w14:textId="01246308" w:rsidR="00C306A8" w:rsidRDefault="00C306A8" w:rsidP="00C306A8">
      <w:r>
        <w:t xml:space="preserve">The Road Asset Management output contributes to the objective by delivering programs and initiatives to maintain Victoria’s freeways and arterial roads. </w:t>
      </w:r>
    </w:p>
    <w:p w14:paraId="0B8F2983" w14:textId="77777777" w:rsidR="00C306A8" w:rsidRDefault="00C306A8" w:rsidP="00C306A8">
      <w:r>
        <w:t>The departmental objective indicators are:</w:t>
      </w:r>
    </w:p>
    <w:p w14:paraId="0E38460F" w14:textId="77777777" w:rsidR="00C306A8" w:rsidRDefault="00C306A8" w:rsidP="00C306A8">
      <w:pPr>
        <w:pStyle w:val="ListBullet"/>
      </w:pPr>
      <w:r>
        <w:t>user satisfaction with the transport system</w:t>
      </w:r>
    </w:p>
    <w:p w14:paraId="1FE45B28" w14:textId="77777777" w:rsidR="00C306A8" w:rsidRDefault="00C306A8" w:rsidP="00C306A8">
      <w:pPr>
        <w:pStyle w:val="ListBullet"/>
      </w:pPr>
      <w:r>
        <w:t>reliable travel.</w:t>
      </w:r>
    </w:p>
    <w:p w14:paraId="1689DFBB" w14:textId="77777777" w:rsidR="00C306A8" w:rsidRDefault="00C306A8" w:rsidP="00C306A8">
      <w:pPr>
        <w:pStyle w:val="Heading3"/>
      </w:pPr>
      <w:r>
        <w:t>Safe and well-regulated transport services</w:t>
      </w:r>
    </w:p>
    <w:p w14:paraId="4258C660" w14:textId="77777777" w:rsidR="00C306A8" w:rsidRDefault="00C306A8" w:rsidP="00C306A8">
      <w:r>
        <w:t>The Department focuses on helping Victorians arrive safely, whether they are travelling by road, rail or water.</w:t>
      </w:r>
    </w:p>
    <w:p w14:paraId="62BF289D" w14:textId="77777777" w:rsidR="00C306A8" w:rsidRDefault="00C306A8" w:rsidP="00C306A8">
      <w:r>
        <w:t>The Regulation of Commercial Passenger Vehicle Services output contributes to this objective by delivering a commercial passenger vehicle industry that is customer-focused, safe, accessible and competitive through the regulation of commercial passenger vehicles, booking service providers and drivers.</w:t>
      </w:r>
    </w:p>
    <w:p w14:paraId="5A8603C6" w14:textId="1F3CA70B" w:rsidR="00C306A8" w:rsidRDefault="00C306A8" w:rsidP="00C306A8">
      <w:r>
        <w:t>The Transport Safety and Security output contributes to this objective by delivering initiatives and regulatory activities that will improve safety and security on Victoria’s transport network.</w:t>
      </w:r>
    </w:p>
    <w:p w14:paraId="624B9C9E" w14:textId="77777777" w:rsidR="00C306A8" w:rsidRDefault="00C306A8" w:rsidP="00C306A8">
      <w:r>
        <w:t>The departmental objective indicator is:</w:t>
      </w:r>
    </w:p>
    <w:p w14:paraId="09C44380" w14:textId="77777777" w:rsidR="00C306A8" w:rsidRDefault="00C306A8" w:rsidP="00C306A8">
      <w:pPr>
        <w:pStyle w:val="ListBullet"/>
      </w:pPr>
      <w:r>
        <w:t>safety of the transport system.</w:t>
      </w:r>
    </w:p>
    <w:p w14:paraId="495E40C5" w14:textId="77777777" w:rsidR="00C306A8" w:rsidRDefault="00C306A8" w:rsidP="00C306A8">
      <w:pPr>
        <w:pStyle w:val="Heading3"/>
      </w:pPr>
      <w:r>
        <w:lastRenderedPageBreak/>
        <w:t>A safe and quality-built environment</w:t>
      </w:r>
    </w:p>
    <w:p w14:paraId="3FE7930B" w14:textId="77777777" w:rsidR="00C306A8" w:rsidRDefault="00C306A8" w:rsidP="00C306A8">
      <w:r>
        <w:t xml:space="preserve">This objective plans for the transformation of cities and regions to deliver more homes for more Victorians close to transport, jobs and services in thriving, liveable and sustainable neighbourhoods, and provides leadership and advice on heritage protection and the built environment. It delivers streamlined, fair and transparent planning, building and heritage systems. </w:t>
      </w:r>
    </w:p>
    <w:p w14:paraId="3200DFCB" w14:textId="7AF07F89" w:rsidR="00C306A8" w:rsidRDefault="00C306A8" w:rsidP="00C306A8">
      <w:r>
        <w:t>The Planning and Heritage output contributes to this objective by delivering programs to improve housing affordability and choice, opportunities to live in attractive and well-designed neighbourhoods with access to transport, jobs and services across the State’s cities and regions.</w:t>
      </w:r>
    </w:p>
    <w:p w14:paraId="66963D92" w14:textId="4434F8E5" w:rsidR="00C306A8" w:rsidRPr="006E5DF4" w:rsidRDefault="00C306A8" w:rsidP="00C306A8">
      <w:r w:rsidRPr="006E5DF4">
        <w:t>The Building output contributes to this objective by ensuring Victoria’s building system delivers safe, high</w:t>
      </w:r>
      <w:r w:rsidR="00940F94">
        <w:noBreakHyphen/>
      </w:r>
      <w:r w:rsidRPr="006E5DF4">
        <w:t>quality and affordable homes which are protected by a strong, consumer-focused regulatory framework.</w:t>
      </w:r>
    </w:p>
    <w:p w14:paraId="2CC4E72D" w14:textId="77777777" w:rsidR="00C306A8" w:rsidRDefault="00C306A8" w:rsidP="00C306A8">
      <w:r>
        <w:t>The departmental objective indicators are:</w:t>
      </w:r>
    </w:p>
    <w:p w14:paraId="18E57AB9" w14:textId="77777777" w:rsidR="00C306A8" w:rsidRDefault="00C306A8" w:rsidP="00C306A8">
      <w:pPr>
        <w:pStyle w:val="ListBullet"/>
      </w:pPr>
      <w:r>
        <w:t>improved liveability, sustainability and inclusiveness of public spaces and neighbourhoods</w:t>
      </w:r>
    </w:p>
    <w:p w14:paraId="36A1C8B9" w14:textId="77777777" w:rsidR="00C306A8" w:rsidRDefault="00C306A8" w:rsidP="00C306A8">
      <w:pPr>
        <w:pStyle w:val="ListBullet"/>
      </w:pPr>
      <w:r>
        <w:t>effective protection of cultural and natural heritage.</w:t>
      </w:r>
    </w:p>
    <w:p w14:paraId="779E3FEA" w14:textId="2E5243C9" w:rsidR="00C306A8" w:rsidRDefault="00C306A8" w:rsidP="00C306A8">
      <w:pPr>
        <w:pStyle w:val="Heading3"/>
      </w:pPr>
      <w:r>
        <w:t>Effective management of Victoria’s land assets</w:t>
      </w:r>
    </w:p>
    <w:p w14:paraId="0D06E4A1" w14:textId="77777777" w:rsidR="00C306A8" w:rsidRDefault="00C306A8" w:rsidP="00C306A8">
      <w:r>
        <w:t xml:space="preserve">This objective facilitates better use of land in Victoria through authoritative, comprehensive and easily accessible services. </w:t>
      </w:r>
    </w:p>
    <w:p w14:paraId="5C7DA843" w14:textId="073CFA46" w:rsidR="00C306A8" w:rsidRDefault="00C306A8" w:rsidP="00C306A8">
      <w:r>
        <w:t xml:space="preserve">The Land Services output delivers high-quality and authoritative land administration and property information services, including the registration of land titles, survey, valuation and land information services. Land Services also incorporates the State’s foundational spatial data services and government land policies. The probity of the Government’s property transactions is overseen by the Government Land Monitor. </w:t>
      </w:r>
    </w:p>
    <w:p w14:paraId="5BACFFE2" w14:textId="77777777" w:rsidR="00C306A8" w:rsidRDefault="00C306A8" w:rsidP="00C306A8">
      <w:r>
        <w:t xml:space="preserve">The departmental objective indicator is: </w:t>
      </w:r>
    </w:p>
    <w:p w14:paraId="16E1705F" w14:textId="1F30D8CE" w:rsidR="00C306A8" w:rsidRDefault="00C306A8" w:rsidP="00C306A8">
      <w:pPr>
        <w:pStyle w:val="ListBullet"/>
      </w:pPr>
      <w:r>
        <w:t>increase in utilisation of Land Use Victoria’s mapping and spatial data products relative to 2016-17.</w:t>
      </w:r>
    </w:p>
    <w:p w14:paraId="61A0BC3C" w14:textId="77777777" w:rsidR="00C306A8" w:rsidRDefault="00C306A8" w:rsidP="00C306A8">
      <w:pPr>
        <w:pStyle w:val="Heading3"/>
      </w:pPr>
      <w:r>
        <w:t>Build prosperous and connected communities</w:t>
      </w:r>
    </w:p>
    <w:p w14:paraId="6E622DD3" w14:textId="2AC89E6E" w:rsidR="00C306A8" w:rsidRDefault="00C306A8" w:rsidP="00C306A8">
      <w:r>
        <w:t>This objective seeks to ensure that Victoria’s precincts and transport infrastructure are developed to support well-connected, prosperous, vibrant and diverse communities.</w:t>
      </w:r>
    </w:p>
    <w:p w14:paraId="4784E44C" w14:textId="77777777" w:rsidR="00C306A8" w:rsidRDefault="00C306A8" w:rsidP="00C306A8">
      <w:r>
        <w:t>The Transport Infrastructure output contributes to this objective by delivering strategic transport infrastructure and planning initiatives to improve the transport system and transform the way that Victorians travel, to create more productive and liveable cities and regions.</w:t>
      </w:r>
    </w:p>
    <w:p w14:paraId="50372022" w14:textId="77777777" w:rsidR="00C306A8" w:rsidRDefault="00C306A8" w:rsidP="00C306A8">
      <w:r>
        <w:t xml:space="preserve">The Ports and Freight output contributes to this objective by delivering a range of capital initiatives and programs to increase the capacity, efficiency and safety of the ports, freight and logistics network. </w:t>
      </w:r>
    </w:p>
    <w:p w14:paraId="6DD8A119" w14:textId="46F3DED1" w:rsidR="00C306A8" w:rsidRDefault="00C306A8" w:rsidP="00C306A8">
      <w:r>
        <w:t>The Precincts and Suburbs output contributes to this objective by delivering activities to build vibrant and prosperous communities that drive economic growth, create jobs and improve liveability for all Victorians. The Department works collaboratively with government, industry, local councils, business, community organisations and other stakeholders to identify opportunities for the development and delivery of infrastructure, services and initiatives.</w:t>
      </w:r>
    </w:p>
    <w:p w14:paraId="2AA939BD" w14:textId="77777777" w:rsidR="00C306A8" w:rsidRDefault="00C306A8" w:rsidP="00C306A8">
      <w:r>
        <w:t xml:space="preserve">The departmental objective indicators are: </w:t>
      </w:r>
    </w:p>
    <w:p w14:paraId="3918D2AA" w14:textId="77777777" w:rsidR="00C306A8" w:rsidRDefault="00C306A8" w:rsidP="00C306A8">
      <w:pPr>
        <w:pStyle w:val="ListBullet"/>
      </w:pPr>
      <w:r>
        <w:t>Improved transport infrastructure and delivery</w:t>
      </w:r>
    </w:p>
    <w:p w14:paraId="085696C8" w14:textId="77777777" w:rsidR="00C306A8" w:rsidRDefault="00C306A8" w:rsidP="00C306A8">
      <w:pPr>
        <w:pStyle w:val="ListBullet"/>
      </w:pPr>
      <w:r>
        <w:t>Precincts developed and delivered.</w:t>
      </w:r>
    </w:p>
    <w:p w14:paraId="7CE33405" w14:textId="77777777" w:rsidR="00C306A8" w:rsidRDefault="00C306A8" w:rsidP="00C306A8"/>
    <w:p w14:paraId="334F9AF4" w14:textId="77777777" w:rsidR="00C306A8" w:rsidRDefault="00C306A8" w:rsidP="00C306A8">
      <w:pPr>
        <w:keepLines w:val="0"/>
      </w:pPr>
      <w:r>
        <w:br w:type="page"/>
      </w:r>
    </w:p>
    <w:p w14:paraId="0FF8554A" w14:textId="77777777" w:rsidR="00C306A8" w:rsidRDefault="00C306A8" w:rsidP="00C306A8">
      <w:pPr>
        <w:pStyle w:val="Heading2"/>
      </w:pPr>
      <w:r>
        <w:lastRenderedPageBreak/>
        <w:t>Output summary by departmental objectives</w:t>
      </w:r>
    </w:p>
    <w:p w14:paraId="44ECB8C5" w14:textId="6103CE09" w:rsidR="00C306A8" w:rsidRDefault="00C306A8" w:rsidP="00C306A8">
      <w:r w:rsidRPr="00F23B15">
        <w:t>The Department’s outputs and funding are provided in the table below. Detailed descriptions of objectives and outputs are presented below.</w:t>
      </w:r>
    </w:p>
    <w:p w14:paraId="487942F2" w14:textId="6E50325E" w:rsidR="00C306A8" w:rsidRPr="00D109B3" w:rsidRDefault="00C306A8" w:rsidP="00C306A8">
      <w:pPr>
        <w:pStyle w:val="TableHeading"/>
        <w:tabs>
          <w:tab w:val="clear" w:pos="9639"/>
          <w:tab w:val="right" w:pos="9631"/>
        </w:tabs>
      </w:pPr>
      <w:r w:rsidRPr="0036771E">
        <w:t xml:space="preserve">Table </w:t>
      </w:r>
      <w:r w:rsidR="003E3A69" w:rsidRPr="0036771E">
        <w:t>25</w:t>
      </w:r>
      <w:r w:rsidRPr="0036771E">
        <w:t>:</w:t>
      </w:r>
      <w:r w:rsidRPr="0036771E">
        <w:tab/>
        <w:t>Output summary</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TP_Summary|TableGroup:OutputSummary"/>
      </w:tblPr>
      <w:tblGrid>
        <w:gridCol w:w="5954"/>
        <w:gridCol w:w="921"/>
        <w:gridCol w:w="921"/>
        <w:gridCol w:w="921"/>
        <w:gridCol w:w="922"/>
      </w:tblGrid>
      <w:tr w:rsidR="00EF36F5" w:rsidRPr="00D06853" w14:paraId="1B535D2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04425C25" w14:textId="77777777" w:rsidR="00EF36F5" w:rsidRPr="00D06853" w:rsidRDefault="00EF36F5">
            <w:pPr>
              <w:keepNext/>
            </w:pPr>
          </w:p>
        </w:tc>
        <w:tc>
          <w:tcPr>
            <w:tcW w:w="921" w:type="dxa"/>
          </w:tcPr>
          <w:p w14:paraId="00D5B4F6" w14:textId="77777777" w:rsidR="00EF36F5" w:rsidRPr="00D06853" w:rsidRDefault="00EF36F5">
            <w:pPr>
              <w:keepNext/>
              <w:cnfStyle w:val="100000000000" w:firstRow="1" w:lastRow="0" w:firstColumn="0" w:lastColumn="0" w:oddVBand="0" w:evenVBand="0" w:oddHBand="0" w:evenHBand="0" w:firstRowFirstColumn="0" w:firstRowLastColumn="0" w:lastRowFirstColumn="0" w:lastRowLastColumn="0"/>
            </w:pPr>
            <w:r w:rsidRPr="00D06853">
              <w:t>202</w:t>
            </w:r>
            <w:r>
              <w:t>5</w:t>
            </w:r>
            <w:r w:rsidRPr="00D06853">
              <w:noBreakHyphen/>
            </w:r>
            <w:r>
              <w:t>26</w:t>
            </w:r>
            <w:r w:rsidRPr="00D06853">
              <w:t xml:space="preserve"> budget</w:t>
            </w:r>
          </w:p>
        </w:tc>
        <w:tc>
          <w:tcPr>
            <w:tcW w:w="921" w:type="dxa"/>
          </w:tcPr>
          <w:p w14:paraId="218BF9B7" w14:textId="77777777" w:rsidR="00EF36F5" w:rsidRPr="00D06853" w:rsidRDefault="00EF36F5">
            <w:pPr>
              <w:keepNext/>
              <w:cnfStyle w:val="100000000000" w:firstRow="1" w:lastRow="0" w:firstColumn="0" w:lastColumn="0" w:oddVBand="0" w:evenVBand="0" w:oddHBand="0" w:evenHBand="0" w:firstRowFirstColumn="0" w:firstRowLastColumn="0" w:lastRowFirstColumn="0" w:lastRowLastColumn="0"/>
            </w:pPr>
            <w:r w:rsidRPr="00D06853">
              <w:t>202</w:t>
            </w:r>
            <w:r>
              <w:t>5</w:t>
            </w:r>
            <w:r w:rsidRPr="00D06853">
              <w:noBreakHyphen/>
              <w:t>2</w:t>
            </w:r>
            <w:r>
              <w:t>6</w:t>
            </w:r>
            <w:r w:rsidRPr="00D06853">
              <w:t xml:space="preserve"> revised</w:t>
            </w:r>
          </w:p>
        </w:tc>
        <w:tc>
          <w:tcPr>
            <w:tcW w:w="921" w:type="dxa"/>
          </w:tcPr>
          <w:p w14:paraId="11F7ABBD" w14:textId="77777777" w:rsidR="00EF36F5" w:rsidRPr="00D06853" w:rsidRDefault="00EF36F5">
            <w:pPr>
              <w:keepNext/>
              <w:cnfStyle w:val="100000000000" w:firstRow="1" w:lastRow="0" w:firstColumn="0" w:lastColumn="0" w:oddVBand="0" w:evenVBand="0" w:oddHBand="0" w:evenHBand="0" w:firstRowFirstColumn="0" w:firstRowLastColumn="0" w:lastRowFirstColumn="0" w:lastRowLastColumn="0"/>
            </w:pPr>
            <w:r w:rsidRPr="00D06853">
              <w:t>202</w:t>
            </w:r>
            <w:r>
              <w:t>6</w:t>
            </w:r>
            <w:r w:rsidRPr="00D06853">
              <w:noBreakHyphen/>
              <w:t>2</w:t>
            </w:r>
            <w:r>
              <w:t>7</w:t>
            </w:r>
            <w:r w:rsidRPr="00D06853">
              <w:t xml:space="preserve"> budget</w:t>
            </w:r>
          </w:p>
        </w:tc>
        <w:tc>
          <w:tcPr>
            <w:tcW w:w="922" w:type="dxa"/>
          </w:tcPr>
          <w:p w14:paraId="658430DC" w14:textId="77777777" w:rsidR="00EF36F5" w:rsidRPr="00D06853" w:rsidRDefault="00EF36F5">
            <w:pPr>
              <w:keepNext/>
              <w:cnfStyle w:val="100000000000" w:firstRow="1" w:lastRow="0" w:firstColumn="0" w:lastColumn="0" w:oddVBand="0" w:evenVBand="0" w:oddHBand="0" w:evenHBand="0" w:firstRowFirstColumn="0" w:firstRowLastColumn="0" w:lastRowFirstColumn="0" w:lastRowLastColumn="0"/>
            </w:pPr>
            <w:r w:rsidRPr="00D06853">
              <w:t>Variation</w:t>
            </w:r>
            <w:r>
              <w:br/>
            </w:r>
            <w:r w:rsidRPr="00D06853">
              <w:t xml:space="preserve"> %</w:t>
            </w:r>
            <w:r>
              <w:t xml:space="preserve"> </w:t>
            </w:r>
            <w:r>
              <w:rPr>
                <w:vertAlign w:val="superscript"/>
              </w:rPr>
              <w:t>(a)</w:t>
            </w:r>
            <w:r w:rsidRPr="00D06853">
              <w:rPr>
                <w:vertAlign w:val="superscript"/>
              </w:rPr>
              <w:t xml:space="preserve"> </w:t>
            </w:r>
          </w:p>
        </w:tc>
      </w:tr>
      <w:tr w:rsidR="00EF36F5" w:rsidRPr="008E1CFE" w14:paraId="12C6C4F5" w14:textId="77777777">
        <w:tc>
          <w:tcPr>
            <w:cnfStyle w:val="001000000000" w:firstRow="0" w:lastRow="0" w:firstColumn="1" w:lastColumn="0" w:oddVBand="0" w:evenVBand="0" w:oddHBand="0" w:evenHBand="0" w:firstRowFirstColumn="0" w:firstRowLastColumn="0" w:lastRowFirstColumn="0" w:lastRowLastColumn="0"/>
            <w:tcW w:w="9639" w:type="dxa"/>
            <w:gridSpan w:val="5"/>
          </w:tcPr>
          <w:p w14:paraId="68294847" w14:textId="77777777" w:rsidR="00EF36F5" w:rsidRPr="00BE453E" w:rsidRDefault="00EF36F5">
            <w:pPr>
              <w:rPr>
                <w:b/>
                <w:bCs/>
              </w:rPr>
            </w:pPr>
            <w:r w:rsidRPr="00BE453E">
              <w:rPr>
                <w:b/>
                <w:bCs/>
              </w:rPr>
              <w:t>Reliable and people-focused transport services</w:t>
            </w:r>
          </w:p>
        </w:tc>
      </w:tr>
      <w:tr w:rsidR="00EF36F5" w:rsidRPr="008E1CFE" w14:paraId="0824E5D6" w14:textId="77777777">
        <w:tc>
          <w:tcPr>
            <w:cnfStyle w:val="001000000000" w:firstRow="0" w:lastRow="0" w:firstColumn="1" w:lastColumn="0" w:oddVBand="0" w:evenVBand="0" w:oddHBand="0" w:evenHBand="0" w:firstRowFirstColumn="0" w:firstRowLastColumn="0" w:lastRowFirstColumn="0" w:lastRowLastColumn="0"/>
            <w:tcW w:w="5954" w:type="dxa"/>
          </w:tcPr>
          <w:p w14:paraId="6E7E9376" w14:textId="77777777" w:rsidR="00EF36F5" w:rsidRPr="008F5D32" w:rsidRDefault="00EF36F5">
            <w:pPr>
              <w:rPr>
                <w:vertAlign w:val="superscript"/>
              </w:rPr>
            </w:pPr>
            <w:r w:rsidRPr="00845C50">
              <w:t>Bus Services</w:t>
            </w:r>
            <w:r>
              <w:rPr>
                <w:vertAlign w:val="superscript"/>
              </w:rPr>
              <w:t xml:space="preserve"> </w:t>
            </w:r>
          </w:p>
        </w:tc>
        <w:tc>
          <w:tcPr>
            <w:tcW w:w="921" w:type="dxa"/>
          </w:tcPr>
          <w:p w14:paraId="08EC195F"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1 614.3</w:t>
            </w:r>
          </w:p>
        </w:tc>
        <w:tc>
          <w:tcPr>
            <w:tcW w:w="921" w:type="dxa"/>
          </w:tcPr>
          <w:p w14:paraId="6495FC98"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1 670.7</w:t>
            </w:r>
          </w:p>
        </w:tc>
        <w:tc>
          <w:tcPr>
            <w:tcW w:w="921" w:type="dxa"/>
          </w:tcPr>
          <w:p w14:paraId="69083E10"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1 685.6</w:t>
            </w:r>
          </w:p>
        </w:tc>
        <w:tc>
          <w:tcPr>
            <w:tcW w:w="922" w:type="dxa"/>
          </w:tcPr>
          <w:p w14:paraId="7C41ECC3"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4.4</w:t>
            </w:r>
          </w:p>
        </w:tc>
      </w:tr>
      <w:tr w:rsidR="00EF36F5" w:rsidRPr="008E1CFE" w14:paraId="77CA86F6" w14:textId="77777777">
        <w:tc>
          <w:tcPr>
            <w:cnfStyle w:val="001000000000" w:firstRow="0" w:lastRow="0" w:firstColumn="1" w:lastColumn="0" w:oddVBand="0" w:evenVBand="0" w:oddHBand="0" w:evenHBand="0" w:firstRowFirstColumn="0" w:firstRowLastColumn="0" w:lastRowFirstColumn="0" w:lastRowLastColumn="0"/>
            <w:tcW w:w="5954" w:type="dxa"/>
          </w:tcPr>
          <w:p w14:paraId="0A91F2ED" w14:textId="77777777" w:rsidR="00EF36F5" w:rsidRPr="008F5D32" w:rsidRDefault="00EF36F5">
            <w:pPr>
              <w:rPr>
                <w:vertAlign w:val="superscript"/>
              </w:rPr>
            </w:pPr>
            <w:r w:rsidRPr="00845C50">
              <w:t>Road Asset Management</w:t>
            </w:r>
            <w:r w:rsidRPr="00B746EB">
              <w:rPr>
                <w:vertAlign w:val="superscript"/>
              </w:rPr>
              <w:t xml:space="preserve"> </w:t>
            </w:r>
          </w:p>
        </w:tc>
        <w:tc>
          <w:tcPr>
            <w:tcW w:w="921" w:type="dxa"/>
          </w:tcPr>
          <w:p w14:paraId="1C2119B5"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723.5</w:t>
            </w:r>
          </w:p>
        </w:tc>
        <w:tc>
          <w:tcPr>
            <w:tcW w:w="921" w:type="dxa"/>
          </w:tcPr>
          <w:p w14:paraId="3CE403A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769.7</w:t>
            </w:r>
          </w:p>
        </w:tc>
        <w:tc>
          <w:tcPr>
            <w:tcW w:w="921" w:type="dxa"/>
          </w:tcPr>
          <w:p w14:paraId="126D01C6"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756.0</w:t>
            </w:r>
          </w:p>
        </w:tc>
        <w:tc>
          <w:tcPr>
            <w:tcW w:w="922" w:type="dxa"/>
          </w:tcPr>
          <w:p w14:paraId="7AE9D62D"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4.5</w:t>
            </w:r>
          </w:p>
        </w:tc>
      </w:tr>
      <w:tr w:rsidR="00EF36F5" w:rsidRPr="008E1CFE" w14:paraId="3D4B4873" w14:textId="77777777">
        <w:tc>
          <w:tcPr>
            <w:cnfStyle w:val="001000000000" w:firstRow="0" w:lastRow="0" w:firstColumn="1" w:lastColumn="0" w:oddVBand="0" w:evenVBand="0" w:oddHBand="0" w:evenHBand="0" w:firstRowFirstColumn="0" w:firstRowLastColumn="0" w:lastRowFirstColumn="0" w:lastRowLastColumn="0"/>
            <w:tcW w:w="5954" w:type="dxa"/>
          </w:tcPr>
          <w:p w14:paraId="2FA88D12" w14:textId="77777777" w:rsidR="00EF36F5" w:rsidRPr="00845C50" w:rsidRDefault="00EF36F5">
            <w:r w:rsidRPr="00845C50">
              <w:t>Road Operations</w:t>
            </w:r>
            <w:r>
              <w:rPr>
                <w:vertAlign w:val="superscript"/>
              </w:rPr>
              <w:t xml:space="preserve"> </w:t>
            </w:r>
            <w:r w:rsidRPr="006D2D58">
              <w:rPr>
                <w:vertAlign w:val="superscript"/>
              </w:rPr>
              <w:t>(b)</w:t>
            </w:r>
          </w:p>
        </w:tc>
        <w:tc>
          <w:tcPr>
            <w:tcW w:w="921" w:type="dxa"/>
          </w:tcPr>
          <w:p w14:paraId="7038AF3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2 300.1</w:t>
            </w:r>
          </w:p>
        </w:tc>
        <w:tc>
          <w:tcPr>
            <w:tcW w:w="921" w:type="dxa"/>
          </w:tcPr>
          <w:p w14:paraId="49A61231"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2 791.5</w:t>
            </w:r>
          </w:p>
        </w:tc>
        <w:tc>
          <w:tcPr>
            <w:tcW w:w="921" w:type="dxa"/>
          </w:tcPr>
          <w:p w14:paraId="0314B38D"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2 929.1</w:t>
            </w:r>
          </w:p>
        </w:tc>
        <w:tc>
          <w:tcPr>
            <w:tcW w:w="922" w:type="dxa"/>
          </w:tcPr>
          <w:p w14:paraId="4C38E23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27.3</w:t>
            </w:r>
          </w:p>
        </w:tc>
      </w:tr>
      <w:tr w:rsidR="00EF36F5" w:rsidRPr="008E1CFE" w14:paraId="7FDC70AC" w14:textId="77777777">
        <w:tc>
          <w:tcPr>
            <w:cnfStyle w:val="001000000000" w:firstRow="0" w:lastRow="0" w:firstColumn="1" w:lastColumn="0" w:oddVBand="0" w:evenVBand="0" w:oddHBand="0" w:evenHBand="0" w:firstRowFirstColumn="0" w:firstRowLastColumn="0" w:lastRowFirstColumn="0" w:lastRowLastColumn="0"/>
            <w:tcW w:w="5954" w:type="dxa"/>
          </w:tcPr>
          <w:p w14:paraId="0C2746E9" w14:textId="77777777" w:rsidR="00EF36F5" w:rsidRPr="008F5D32" w:rsidRDefault="00EF36F5">
            <w:pPr>
              <w:rPr>
                <w:vertAlign w:val="superscript"/>
              </w:rPr>
            </w:pPr>
            <w:r w:rsidRPr="00845C50">
              <w:t>Train Services</w:t>
            </w:r>
            <w:r>
              <w:rPr>
                <w:vertAlign w:val="superscript"/>
              </w:rPr>
              <w:t xml:space="preserve"> </w:t>
            </w:r>
            <w:r w:rsidRPr="006D2D58">
              <w:rPr>
                <w:vertAlign w:val="superscript"/>
              </w:rPr>
              <w:t>(c)</w:t>
            </w:r>
          </w:p>
        </w:tc>
        <w:tc>
          <w:tcPr>
            <w:tcW w:w="921" w:type="dxa"/>
          </w:tcPr>
          <w:p w14:paraId="59D81808"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2 940.5</w:t>
            </w:r>
          </w:p>
        </w:tc>
        <w:tc>
          <w:tcPr>
            <w:tcW w:w="921" w:type="dxa"/>
          </w:tcPr>
          <w:p w14:paraId="521EDE5F"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3 074.8</w:t>
            </w:r>
          </w:p>
        </w:tc>
        <w:tc>
          <w:tcPr>
            <w:tcW w:w="921" w:type="dxa"/>
          </w:tcPr>
          <w:p w14:paraId="0545B8D5"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3 306.8</w:t>
            </w:r>
          </w:p>
        </w:tc>
        <w:tc>
          <w:tcPr>
            <w:tcW w:w="922" w:type="dxa"/>
          </w:tcPr>
          <w:p w14:paraId="5ED0807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12.5</w:t>
            </w:r>
          </w:p>
        </w:tc>
      </w:tr>
      <w:tr w:rsidR="00EF36F5" w:rsidRPr="008E1CFE" w14:paraId="04AECFE7" w14:textId="77777777">
        <w:tc>
          <w:tcPr>
            <w:cnfStyle w:val="001000000000" w:firstRow="0" w:lastRow="0" w:firstColumn="1" w:lastColumn="0" w:oddVBand="0" w:evenVBand="0" w:oddHBand="0" w:evenHBand="0" w:firstRowFirstColumn="0" w:firstRowLastColumn="0" w:lastRowFirstColumn="0" w:lastRowLastColumn="0"/>
            <w:tcW w:w="5954" w:type="dxa"/>
          </w:tcPr>
          <w:p w14:paraId="46DB7FD4" w14:textId="77777777" w:rsidR="00EF36F5" w:rsidRPr="008F5D32" w:rsidRDefault="00EF36F5">
            <w:pPr>
              <w:rPr>
                <w:vertAlign w:val="superscript"/>
              </w:rPr>
            </w:pPr>
            <w:r w:rsidRPr="00845C50">
              <w:t>Tram</w:t>
            </w:r>
            <w:r>
              <w:t xml:space="preserve"> Services</w:t>
            </w:r>
            <w:r w:rsidRPr="00B746EB">
              <w:rPr>
                <w:vertAlign w:val="superscript"/>
              </w:rPr>
              <w:t xml:space="preserve"> </w:t>
            </w:r>
            <w:r w:rsidRPr="006D2D58">
              <w:rPr>
                <w:vertAlign w:val="superscript"/>
              </w:rPr>
              <w:t>(</w:t>
            </w:r>
            <w:r>
              <w:rPr>
                <w:vertAlign w:val="superscript"/>
              </w:rPr>
              <w:t>d</w:t>
            </w:r>
            <w:r w:rsidRPr="006D2D58">
              <w:rPr>
                <w:vertAlign w:val="superscript"/>
              </w:rPr>
              <w:t>)</w:t>
            </w:r>
          </w:p>
        </w:tc>
        <w:tc>
          <w:tcPr>
            <w:tcW w:w="921" w:type="dxa"/>
          </w:tcPr>
          <w:p w14:paraId="6DC3BFE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775.7</w:t>
            </w:r>
          </w:p>
        </w:tc>
        <w:tc>
          <w:tcPr>
            <w:tcW w:w="921" w:type="dxa"/>
          </w:tcPr>
          <w:p w14:paraId="09A60399"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771.8</w:t>
            </w:r>
          </w:p>
        </w:tc>
        <w:tc>
          <w:tcPr>
            <w:tcW w:w="921" w:type="dxa"/>
          </w:tcPr>
          <w:p w14:paraId="40E4AFAB"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784.7</w:t>
            </w:r>
          </w:p>
        </w:tc>
        <w:tc>
          <w:tcPr>
            <w:tcW w:w="922" w:type="dxa"/>
          </w:tcPr>
          <w:p w14:paraId="2033F79C"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7B59FC">
              <w:t xml:space="preserve"> 1.2</w:t>
            </w:r>
          </w:p>
        </w:tc>
      </w:tr>
      <w:tr w:rsidR="00EF36F5" w:rsidRPr="008E1CFE" w14:paraId="2C1E629E" w14:textId="77777777">
        <w:tc>
          <w:tcPr>
            <w:cnfStyle w:val="001000000000" w:firstRow="0" w:lastRow="0" w:firstColumn="1" w:lastColumn="0" w:oddVBand="0" w:evenVBand="0" w:oddHBand="0" w:evenHBand="0" w:firstRowFirstColumn="0" w:firstRowLastColumn="0" w:lastRowFirstColumn="0" w:lastRowLastColumn="0"/>
            <w:tcW w:w="9639" w:type="dxa"/>
            <w:gridSpan w:val="5"/>
          </w:tcPr>
          <w:p w14:paraId="416A752F" w14:textId="77777777" w:rsidR="00EF36F5" w:rsidRPr="000F0A14" w:rsidRDefault="00EF36F5">
            <w:r w:rsidRPr="00BE453E">
              <w:rPr>
                <w:b/>
                <w:bCs/>
              </w:rPr>
              <w:t>Safe and well-regulated transport services</w:t>
            </w:r>
          </w:p>
        </w:tc>
      </w:tr>
      <w:tr w:rsidR="00EF36F5" w:rsidRPr="008E1CFE" w14:paraId="709A154C" w14:textId="77777777">
        <w:tc>
          <w:tcPr>
            <w:cnfStyle w:val="001000000000" w:firstRow="0" w:lastRow="0" w:firstColumn="1" w:lastColumn="0" w:oddVBand="0" w:evenVBand="0" w:oddHBand="0" w:evenHBand="0" w:firstRowFirstColumn="0" w:firstRowLastColumn="0" w:lastRowFirstColumn="0" w:lastRowLastColumn="0"/>
            <w:tcW w:w="5954" w:type="dxa"/>
          </w:tcPr>
          <w:p w14:paraId="24BA195F" w14:textId="77777777" w:rsidR="00EF36F5" w:rsidRPr="008F5D32" w:rsidRDefault="00EF36F5">
            <w:pPr>
              <w:rPr>
                <w:vertAlign w:val="superscript"/>
              </w:rPr>
            </w:pPr>
            <w:r w:rsidRPr="00845C50">
              <w:t>Regulation of Commercial Passenger Vehicle Services</w:t>
            </w:r>
          </w:p>
        </w:tc>
        <w:tc>
          <w:tcPr>
            <w:tcW w:w="921" w:type="dxa"/>
          </w:tcPr>
          <w:p w14:paraId="126C206A"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117.1</w:t>
            </w:r>
          </w:p>
        </w:tc>
        <w:tc>
          <w:tcPr>
            <w:tcW w:w="921" w:type="dxa"/>
          </w:tcPr>
          <w:p w14:paraId="5924403F"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170.1</w:t>
            </w:r>
          </w:p>
        </w:tc>
        <w:tc>
          <w:tcPr>
            <w:tcW w:w="921" w:type="dxa"/>
          </w:tcPr>
          <w:p w14:paraId="5EC1A480"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116.8</w:t>
            </w:r>
          </w:p>
        </w:tc>
        <w:tc>
          <w:tcPr>
            <w:tcW w:w="922" w:type="dxa"/>
          </w:tcPr>
          <w:p w14:paraId="45D0A6C1"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(0.3)</w:t>
            </w:r>
          </w:p>
        </w:tc>
      </w:tr>
      <w:tr w:rsidR="00EF36F5" w:rsidRPr="008E1CFE" w14:paraId="504EBDDA" w14:textId="77777777">
        <w:tc>
          <w:tcPr>
            <w:cnfStyle w:val="001000000000" w:firstRow="0" w:lastRow="0" w:firstColumn="1" w:lastColumn="0" w:oddVBand="0" w:evenVBand="0" w:oddHBand="0" w:evenHBand="0" w:firstRowFirstColumn="0" w:firstRowLastColumn="0" w:lastRowFirstColumn="0" w:lastRowLastColumn="0"/>
            <w:tcW w:w="5954" w:type="dxa"/>
          </w:tcPr>
          <w:p w14:paraId="623006FC" w14:textId="1912549A" w:rsidR="00EF36F5" w:rsidRPr="00047C20" w:rsidRDefault="00EF36F5">
            <w:r w:rsidRPr="00845C50">
              <w:t>Transport Safety and Security</w:t>
            </w:r>
            <w:r w:rsidR="003E3A69">
              <w:t xml:space="preserve"> </w:t>
            </w:r>
            <w:r w:rsidRPr="006D2D58">
              <w:rPr>
                <w:vertAlign w:val="superscript"/>
              </w:rPr>
              <w:t>(</w:t>
            </w:r>
            <w:r>
              <w:rPr>
                <w:vertAlign w:val="superscript"/>
              </w:rPr>
              <w:t>e</w:t>
            </w:r>
            <w:r w:rsidRPr="006D2D58">
              <w:rPr>
                <w:vertAlign w:val="superscript"/>
              </w:rPr>
              <w:t>)</w:t>
            </w:r>
          </w:p>
        </w:tc>
        <w:tc>
          <w:tcPr>
            <w:tcW w:w="921" w:type="dxa"/>
          </w:tcPr>
          <w:p w14:paraId="6788CD7B"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27.7</w:t>
            </w:r>
          </w:p>
        </w:tc>
        <w:tc>
          <w:tcPr>
            <w:tcW w:w="921" w:type="dxa"/>
          </w:tcPr>
          <w:p w14:paraId="063FE305"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27.8</w:t>
            </w:r>
          </w:p>
        </w:tc>
        <w:tc>
          <w:tcPr>
            <w:tcW w:w="921" w:type="dxa"/>
          </w:tcPr>
          <w:p w14:paraId="5BF4E98B"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D1B9F">
              <w:t xml:space="preserve"> 26.8</w:t>
            </w:r>
          </w:p>
        </w:tc>
        <w:tc>
          <w:tcPr>
            <w:tcW w:w="922" w:type="dxa"/>
          </w:tcPr>
          <w:p w14:paraId="5DB05236"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t>(3.3)</w:t>
            </w:r>
          </w:p>
        </w:tc>
      </w:tr>
      <w:tr w:rsidR="00EF36F5" w:rsidRPr="008E1CFE" w14:paraId="7223593C" w14:textId="77777777">
        <w:tc>
          <w:tcPr>
            <w:cnfStyle w:val="001000000000" w:firstRow="0" w:lastRow="0" w:firstColumn="1" w:lastColumn="0" w:oddVBand="0" w:evenVBand="0" w:oddHBand="0" w:evenHBand="0" w:firstRowFirstColumn="0" w:firstRowLastColumn="0" w:lastRowFirstColumn="0" w:lastRowLastColumn="0"/>
            <w:tcW w:w="9639" w:type="dxa"/>
            <w:gridSpan w:val="5"/>
          </w:tcPr>
          <w:p w14:paraId="77D64509" w14:textId="77777777" w:rsidR="00EF36F5" w:rsidRPr="007538DD" w:rsidRDefault="00EF36F5">
            <w:pPr>
              <w:rPr>
                <w:b/>
                <w:bCs/>
              </w:rPr>
            </w:pPr>
            <w:r w:rsidRPr="007538DD">
              <w:rPr>
                <w:b/>
                <w:bCs/>
              </w:rPr>
              <w:t>A safe and quality-built environment</w:t>
            </w:r>
          </w:p>
        </w:tc>
      </w:tr>
      <w:tr w:rsidR="00EF36F5" w:rsidRPr="008E1CFE" w14:paraId="0F0A34F7"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51235373" w14:textId="77777777" w:rsidR="00EF36F5" w:rsidRPr="008F5D32" w:rsidRDefault="00EF36F5">
            <w:pPr>
              <w:rPr>
                <w:vertAlign w:val="superscript"/>
              </w:rPr>
            </w:pPr>
            <w:r w:rsidRPr="00845C50">
              <w:t>Building</w:t>
            </w:r>
            <w:r>
              <w:rPr>
                <w:vertAlign w:val="superscript"/>
              </w:rPr>
              <w:t xml:space="preserve"> (f</w:t>
            </w:r>
            <w:r w:rsidRPr="00F82505">
              <w:rPr>
                <w:vertAlign w:val="superscript"/>
              </w:rPr>
              <w:t>)</w:t>
            </w:r>
          </w:p>
        </w:tc>
        <w:tc>
          <w:tcPr>
            <w:tcW w:w="921" w:type="dxa"/>
            <w:tcBorders>
              <w:bottom w:val="nil"/>
            </w:tcBorders>
          </w:tcPr>
          <w:p w14:paraId="534537F8"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45.6</w:t>
            </w:r>
          </w:p>
        </w:tc>
        <w:tc>
          <w:tcPr>
            <w:tcW w:w="921" w:type="dxa"/>
            <w:tcBorders>
              <w:bottom w:val="nil"/>
            </w:tcBorders>
          </w:tcPr>
          <w:p w14:paraId="2181131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91.7</w:t>
            </w:r>
          </w:p>
        </w:tc>
        <w:tc>
          <w:tcPr>
            <w:tcW w:w="921" w:type="dxa"/>
            <w:tcBorders>
              <w:bottom w:val="nil"/>
            </w:tcBorders>
          </w:tcPr>
          <w:p w14:paraId="6FC625B4"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75.5</w:t>
            </w:r>
          </w:p>
        </w:tc>
        <w:tc>
          <w:tcPr>
            <w:tcW w:w="922" w:type="dxa"/>
            <w:tcBorders>
              <w:bottom w:val="nil"/>
            </w:tcBorders>
          </w:tcPr>
          <w:p w14:paraId="1FA16E1E" w14:textId="14B7E446"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65.</w:t>
            </w:r>
            <w:r w:rsidR="00A91307">
              <w:t>6</w:t>
            </w:r>
          </w:p>
        </w:tc>
      </w:tr>
      <w:tr w:rsidR="00EF36F5" w:rsidRPr="008E1CFE" w14:paraId="278F5DE2"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159EA6D3" w14:textId="77777777" w:rsidR="00EF36F5" w:rsidRPr="00047C20" w:rsidRDefault="00EF36F5">
            <w:r w:rsidRPr="00845C50">
              <w:t>Planning and Heritage</w:t>
            </w:r>
          </w:p>
        </w:tc>
        <w:tc>
          <w:tcPr>
            <w:tcW w:w="921" w:type="dxa"/>
            <w:tcBorders>
              <w:bottom w:val="nil"/>
            </w:tcBorders>
          </w:tcPr>
          <w:p w14:paraId="02729DE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166.1</w:t>
            </w:r>
          </w:p>
        </w:tc>
        <w:tc>
          <w:tcPr>
            <w:tcW w:w="921" w:type="dxa"/>
            <w:tcBorders>
              <w:bottom w:val="nil"/>
            </w:tcBorders>
          </w:tcPr>
          <w:p w14:paraId="021FA78B"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153.2</w:t>
            </w:r>
          </w:p>
        </w:tc>
        <w:tc>
          <w:tcPr>
            <w:tcW w:w="921" w:type="dxa"/>
            <w:tcBorders>
              <w:bottom w:val="nil"/>
            </w:tcBorders>
          </w:tcPr>
          <w:p w14:paraId="136B3B1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 xml:space="preserve"> 165.7</w:t>
            </w:r>
          </w:p>
        </w:tc>
        <w:tc>
          <w:tcPr>
            <w:tcW w:w="922" w:type="dxa"/>
            <w:tcBorders>
              <w:bottom w:val="nil"/>
            </w:tcBorders>
          </w:tcPr>
          <w:p w14:paraId="13C5D52A"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0E51B8">
              <w:t>(0.2)</w:t>
            </w:r>
          </w:p>
        </w:tc>
      </w:tr>
      <w:tr w:rsidR="00EF36F5" w:rsidRPr="008E1CFE" w14:paraId="2F09C6AC" w14:textId="77777777">
        <w:tc>
          <w:tcPr>
            <w:cnfStyle w:val="001000000000" w:firstRow="0" w:lastRow="0" w:firstColumn="1" w:lastColumn="0" w:oddVBand="0" w:evenVBand="0" w:oddHBand="0" w:evenHBand="0" w:firstRowFirstColumn="0" w:firstRowLastColumn="0" w:lastRowFirstColumn="0" w:lastRowLastColumn="0"/>
            <w:tcW w:w="9639" w:type="dxa"/>
            <w:gridSpan w:val="5"/>
            <w:tcBorders>
              <w:bottom w:val="nil"/>
            </w:tcBorders>
          </w:tcPr>
          <w:p w14:paraId="42115C2B" w14:textId="3D30CB8B" w:rsidR="00EF36F5" w:rsidRPr="000F0A14" w:rsidRDefault="00EF36F5">
            <w:r w:rsidRPr="00BE453E">
              <w:rPr>
                <w:b/>
                <w:bCs/>
              </w:rPr>
              <w:t>Effective management of Victoria’s land assets</w:t>
            </w:r>
          </w:p>
        </w:tc>
      </w:tr>
      <w:tr w:rsidR="00EF36F5" w:rsidRPr="008E1CFE" w14:paraId="1A983234"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2517814A" w14:textId="77777777" w:rsidR="00EF36F5" w:rsidRPr="00047C20" w:rsidRDefault="00EF36F5">
            <w:r w:rsidRPr="00845C50">
              <w:t>Land Services</w:t>
            </w:r>
            <w:r>
              <w:rPr>
                <w:vertAlign w:val="superscript"/>
              </w:rPr>
              <w:t xml:space="preserve"> (g</w:t>
            </w:r>
            <w:r w:rsidRPr="00F82505">
              <w:rPr>
                <w:vertAlign w:val="superscript"/>
              </w:rPr>
              <w:t>)</w:t>
            </w:r>
          </w:p>
        </w:tc>
        <w:tc>
          <w:tcPr>
            <w:tcW w:w="921" w:type="dxa"/>
            <w:tcBorders>
              <w:bottom w:val="nil"/>
            </w:tcBorders>
          </w:tcPr>
          <w:p w14:paraId="11C7AE54"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B56F33">
              <w:t xml:space="preserve"> 352.8</w:t>
            </w:r>
          </w:p>
        </w:tc>
        <w:tc>
          <w:tcPr>
            <w:tcW w:w="921" w:type="dxa"/>
            <w:tcBorders>
              <w:bottom w:val="nil"/>
            </w:tcBorders>
          </w:tcPr>
          <w:p w14:paraId="34779A11"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B56F33">
              <w:t xml:space="preserve"> 396.5</w:t>
            </w:r>
          </w:p>
        </w:tc>
        <w:tc>
          <w:tcPr>
            <w:tcW w:w="921" w:type="dxa"/>
            <w:tcBorders>
              <w:bottom w:val="nil"/>
            </w:tcBorders>
          </w:tcPr>
          <w:p w14:paraId="6B5E57F0"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B56F33">
              <w:t xml:space="preserve"> 400.0</w:t>
            </w:r>
          </w:p>
        </w:tc>
        <w:tc>
          <w:tcPr>
            <w:tcW w:w="922" w:type="dxa"/>
            <w:tcBorders>
              <w:bottom w:val="nil"/>
            </w:tcBorders>
          </w:tcPr>
          <w:p w14:paraId="1D60834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B56F33">
              <w:t xml:space="preserve"> 13.4</w:t>
            </w:r>
          </w:p>
        </w:tc>
      </w:tr>
      <w:tr w:rsidR="00EF36F5" w:rsidRPr="008E1CFE" w14:paraId="07E9587D" w14:textId="77777777">
        <w:tc>
          <w:tcPr>
            <w:cnfStyle w:val="001000000000" w:firstRow="0" w:lastRow="0" w:firstColumn="1" w:lastColumn="0" w:oddVBand="0" w:evenVBand="0" w:oddHBand="0" w:evenHBand="0" w:firstRowFirstColumn="0" w:firstRowLastColumn="0" w:lastRowFirstColumn="0" w:lastRowLastColumn="0"/>
            <w:tcW w:w="9639" w:type="dxa"/>
            <w:gridSpan w:val="5"/>
            <w:tcBorders>
              <w:bottom w:val="nil"/>
            </w:tcBorders>
          </w:tcPr>
          <w:p w14:paraId="5BCAA358" w14:textId="77777777" w:rsidR="00EF36F5" w:rsidRPr="000F0A14" w:rsidRDefault="00EF36F5">
            <w:r w:rsidRPr="00BE453E">
              <w:rPr>
                <w:b/>
                <w:bCs/>
              </w:rPr>
              <w:t>Build prosperous and connected communities</w:t>
            </w:r>
          </w:p>
        </w:tc>
      </w:tr>
      <w:tr w:rsidR="00EF36F5" w:rsidRPr="008E1CFE" w14:paraId="036ABD46"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1DF46E02" w14:textId="77777777" w:rsidR="00EF36F5" w:rsidRPr="00047C20" w:rsidRDefault="00EF36F5">
            <w:r w:rsidRPr="00845C50">
              <w:t>Ports and Freight</w:t>
            </w:r>
            <w:r>
              <w:rPr>
                <w:vertAlign w:val="superscript"/>
              </w:rPr>
              <w:t xml:space="preserve"> (h</w:t>
            </w:r>
            <w:r w:rsidRPr="00F82505">
              <w:rPr>
                <w:vertAlign w:val="superscript"/>
              </w:rPr>
              <w:t>)</w:t>
            </w:r>
          </w:p>
        </w:tc>
        <w:tc>
          <w:tcPr>
            <w:tcW w:w="921" w:type="dxa"/>
            <w:tcBorders>
              <w:bottom w:val="nil"/>
            </w:tcBorders>
          </w:tcPr>
          <w:p w14:paraId="452CF7DA"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85.3</w:t>
            </w:r>
          </w:p>
        </w:tc>
        <w:tc>
          <w:tcPr>
            <w:tcW w:w="921" w:type="dxa"/>
            <w:tcBorders>
              <w:bottom w:val="nil"/>
            </w:tcBorders>
          </w:tcPr>
          <w:p w14:paraId="692D37B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84.9</w:t>
            </w:r>
          </w:p>
        </w:tc>
        <w:tc>
          <w:tcPr>
            <w:tcW w:w="921" w:type="dxa"/>
            <w:tcBorders>
              <w:bottom w:val="nil"/>
            </w:tcBorders>
          </w:tcPr>
          <w:p w14:paraId="06BF594D"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104.6</w:t>
            </w:r>
          </w:p>
        </w:tc>
        <w:tc>
          <w:tcPr>
            <w:tcW w:w="922" w:type="dxa"/>
            <w:tcBorders>
              <w:bottom w:val="nil"/>
            </w:tcBorders>
          </w:tcPr>
          <w:p w14:paraId="75D18F13"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22.7</w:t>
            </w:r>
          </w:p>
        </w:tc>
      </w:tr>
      <w:tr w:rsidR="00EF36F5" w:rsidRPr="008E1CFE" w14:paraId="6B778B34"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30EBD32A" w14:textId="77777777" w:rsidR="00EF36F5" w:rsidRPr="00047C20" w:rsidRDefault="00EF36F5">
            <w:r w:rsidRPr="00845C50">
              <w:t>Precincts and Suburbs</w:t>
            </w:r>
            <w:r>
              <w:rPr>
                <w:vertAlign w:val="superscript"/>
              </w:rPr>
              <w:t xml:space="preserve"> (i</w:t>
            </w:r>
            <w:r w:rsidRPr="00F82505">
              <w:rPr>
                <w:vertAlign w:val="superscript"/>
              </w:rPr>
              <w:t>)</w:t>
            </w:r>
          </w:p>
        </w:tc>
        <w:tc>
          <w:tcPr>
            <w:tcW w:w="921" w:type="dxa"/>
            <w:tcBorders>
              <w:bottom w:val="nil"/>
            </w:tcBorders>
          </w:tcPr>
          <w:p w14:paraId="6210B697"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125.1</w:t>
            </w:r>
          </w:p>
        </w:tc>
        <w:tc>
          <w:tcPr>
            <w:tcW w:w="921" w:type="dxa"/>
            <w:tcBorders>
              <w:bottom w:val="nil"/>
            </w:tcBorders>
          </w:tcPr>
          <w:p w14:paraId="3639B1DF"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100.0</w:t>
            </w:r>
          </w:p>
        </w:tc>
        <w:tc>
          <w:tcPr>
            <w:tcW w:w="921" w:type="dxa"/>
            <w:tcBorders>
              <w:bottom w:val="nil"/>
            </w:tcBorders>
          </w:tcPr>
          <w:p w14:paraId="5E698AE2"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74.3</w:t>
            </w:r>
          </w:p>
        </w:tc>
        <w:tc>
          <w:tcPr>
            <w:tcW w:w="922" w:type="dxa"/>
            <w:tcBorders>
              <w:bottom w:val="nil"/>
            </w:tcBorders>
          </w:tcPr>
          <w:p w14:paraId="1201D5E6"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(40.6)</w:t>
            </w:r>
          </w:p>
        </w:tc>
      </w:tr>
      <w:tr w:rsidR="00EF36F5" w:rsidRPr="008E1CFE" w14:paraId="292DAA92" w14:textId="77777777">
        <w:tc>
          <w:tcPr>
            <w:cnfStyle w:val="001000000000" w:firstRow="0" w:lastRow="0" w:firstColumn="1" w:lastColumn="0" w:oddVBand="0" w:evenVBand="0" w:oddHBand="0" w:evenHBand="0" w:firstRowFirstColumn="0" w:firstRowLastColumn="0" w:lastRowFirstColumn="0" w:lastRowLastColumn="0"/>
            <w:tcW w:w="5954" w:type="dxa"/>
            <w:tcBorders>
              <w:bottom w:val="nil"/>
            </w:tcBorders>
          </w:tcPr>
          <w:p w14:paraId="64244200" w14:textId="77777777" w:rsidR="00EF36F5" w:rsidRPr="00047C20" w:rsidRDefault="00EF36F5">
            <w:r w:rsidRPr="00845C50">
              <w:t>Transport Infrastructure</w:t>
            </w:r>
            <w:r>
              <w:rPr>
                <w:vertAlign w:val="superscript"/>
              </w:rPr>
              <w:t xml:space="preserve"> (j</w:t>
            </w:r>
            <w:r w:rsidRPr="00F82505">
              <w:rPr>
                <w:vertAlign w:val="superscript"/>
              </w:rPr>
              <w:t>)</w:t>
            </w:r>
          </w:p>
        </w:tc>
        <w:tc>
          <w:tcPr>
            <w:tcW w:w="921" w:type="dxa"/>
            <w:tcBorders>
              <w:bottom w:val="nil"/>
            </w:tcBorders>
          </w:tcPr>
          <w:p w14:paraId="5E04DA6E"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347.3</w:t>
            </w:r>
          </w:p>
        </w:tc>
        <w:tc>
          <w:tcPr>
            <w:tcW w:w="921" w:type="dxa"/>
            <w:tcBorders>
              <w:bottom w:val="nil"/>
            </w:tcBorders>
          </w:tcPr>
          <w:p w14:paraId="7B3CA565"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613.9</w:t>
            </w:r>
          </w:p>
        </w:tc>
        <w:tc>
          <w:tcPr>
            <w:tcW w:w="921" w:type="dxa"/>
            <w:tcBorders>
              <w:bottom w:val="nil"/>
            </w:tcBorders>
          </w:tcPr>
          <w:p w14:paraId="60A2020F"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 xml:space="preserve"> 75.0</w:t>
            </w:r>
          </w:p>
        </w:tc>
        <w:tc>
          <w:tcPr>
            <w:tcW w:w="922" w:type="dxa"/>
            <w:tcBorders>
              <w:bottom w:val="nil"/>
            </w:tcBorders>
          </w:tcPr>
          <w:p w14:paraId="4235E8B8" w14:textId="77777777" w:rsidR="00EF36F5" w:rsidRPr="000F0A14" w:rsidRDefault="00EF36F5">
            <w:pPr>
              <w:cnfStyle w:val="000000000000" w:firstRow="0" w:lastRow="0" w:firstColumn="0" w:lastColumn="0" w:oddVBand="0" w:evenVBand="0" w:oddHBand="0" w:evenHBand="0" w:firstRowFirstColumn="0" w:firstRowLastColumn="0" w:lastRowFirstColumn="0" w:lastRowLastColumn="0"/>
            </w:pPr>
            <w:r w:rsidRPr="00E23FB0">
              <w:t>(78.4)</w:t>
            </w:r>
          </w:p>
        </w:tc>
      </w:tr>
      <w:tr w:rsidR="00EF36F5" w:rsidRPr="008E1CFE" w14:paraId="2D57F260"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57F560B4" w14:textId="77777777" w:rsidR="00EF36F5" w:rsidRPr="007968C2" w:rsidRDefault="00EF36F5">
            <w:pPr>
              <w:rPr>
                <w:b/>
              </w:rPr>
            </w:pPr>
            <w:r w:rsidRPr="00047C20">
              <w:rPr>
                <w:b/>
              </w:rPr>
              <w:t>Total</w:t>
            </w:r>
          </w:p>
        </w:tc>
        <w:tc>
          <w:tcPr>
            <w:tcW w:w="921" w:type="dxa"/>
            <w:tcBorders>
              <w:top w:val="single" w:sz="6" w:space="0" w:color="auto"/>
              <w:bottom w:val="single" w:sz="12" w:space="0" w:color="auto"/>
            </w:tcBorders>
          </w:tcPr>
          <w:p w14:paraId="7B8BC609" w14:textId="6DBD1DEE" w:rsidR="00EF36F5" w:rsidRPr="007968C2" w:rsidRDefault="00EF36F5">
            <w:pPr>
              <w:cnfStyle w:val="000000000000" w:firstRow="0" w:lastRow="0" w:firstColumn="0" w:lastColumn="0" w:oddVBand="0" w:evenVBand="0" w:oddHBand="0" w:evenHBand="0" w:firstRowFirstColumn="0" w:firstRowLastColumn="0" w:lastRowFirstColumn="0" w:lastRowLastColumn="0"/>
              <w:rPr>
                <w:b/>
              </w:rPr>
            </w:pPr>
            <w:r w:rsidRPr="00D76F41">
              <w:t>9</w:t>
            </w:r>
            <w:r w:rsidR="00007E0E">
              <w:t xml:space="preserve"> </w:t>
            </w:r>
            <w:r w:rsidRPr="00D76F41">
              <w:t>621.1</w:t>
            </w:r>
          </w:p>
        </w:tc>
        <w:tc>
          <w:tcPr>
            <w:tcW w:w="921" w:type="dxa"/>
            <w:tcBorders>
              <w:top w:val="single" w:sz="6" w:space="0" w:color="auto"/>
              <w:bottom w:val="single" w:sz="12" w:space="0" w:color="auto"/>
            </w:tcBorders>
          </w:tcPr>
          <w:p w14:paraId="3C392FA5" w14:textId="0B321EC3" w:rsidR="00EF36F5" w:rsidRPr="007968C2" w:rsidRDefault="00EF36F5">
            <w:pPr>
              <w:cnfStyle w:val="000000000000" w:firstRow="0" w:lastRow="0" w:firstColumn="0" w:lastColumn="0" w:oddVBand="0" w:evenVBand="0" w:oddHBand="0" w:evenHBand="0" w:firstRowFirstColumn="0" w:firstRowLastColumn="0" w:lastRowFirstColumn="0" w:lastRowLastColumn="0"/>
              <w:rPr>
                <w:b/>
              </w:rPr>
            </w:pPr>
            <w:r w:rsidRPr="00D76F41">
              <w:t>10</w:t>
            </w:r>
            <w:r w:rsidR="00007E0E">
              <w:t xml:space="preserve"> </w:t>
            </w:r>
            <w:r w:rsidRPr="00D76F41">
              <w:t>716.6</w:t>
            </w:r>
          </w:p>
        </w:tc>
        <w:tc>
          <w:tcPr>
            <w:tcW w:w="921" w:type="dxa"/>
            <w:tcBorders>
              <w:top w:val="single" w:sz="6" w:space="0" w:color="auto"/>
              <w:bottom w:val="single" w:sz="12" w:space="0" w:color="auto"/>
            </w:tcBorders>
          </w:tcPr>
          <w:p w14:paraId="78E5A7D4" w14:textId="1CD2D684" w:rsidR="00EF36F5" w:rsidRPr="007968C2" w:rsidRDefault="00EF36F5">
            <w:pPr>
              <w:cnfStyle w:val="000000000000" w:firstRow="0" w:lastRow="0" w:firstColumn="0" w:lastColumn="0" w:oddVBand="0" w:evenVBand="0" w:oddHBand="0" w:evenHBand="0" w:firstRowFirstColumn="0" w:firstRowLastColumn="0" w:lastRowFirstColumn="0" w:lastRowLastColumn="0"/>
              <w:rPr>
                <w:b/>
              </w:rPr>
            </w:pPr>
            <w:r w:rsidRPr="00D76F41">
              <w:t>10</w:t>
            </w:r>
            <w:r w:rsidR="00007E0E">
              <w:t xml:space="preserve"> </w:t>
            </w:r>
            <w:r w:rsidRPr="00D76F41">
              <w:t>500.9</w:t>
            </w:r>
          </w:p>
        </w:tc>
        <w:tc>
          <w:tcPr>
            <w:tcW w:w="922" w:type="dxa"/>
            <w:tcBorders>
              <w:top w:val="single" w:sz="6" w:space="0" w:color="auto"/>
              <w:bottom w:val="single" w:sz="12" w:space="0" w:color="auto"/>
            </w:tcBorders>
          </w:tcPr>
          <w:p w14:paraId="1D645685" w14:textId="77777777" w:rsidR="00EF36F5" w:rsidRPr="007968C2" w:rsidRDefault="00EF36F5">
            <w:pPr>
              <w:cnfStyle w:val="000000000000" w:firstRow="0" w:lastRow="0" w:firstColumn="0" w:lastColumn="0" w:oddVBand="0" w:evenVBand="0" w:oddHBand="0" w:evenHBand="0" w:firstRowFirstColumn="0" w:firstRowLastColumn="0" w:lastRowFirstColumn="0" w:lastRowLastColumn="0"/>
              <w:rPr>
                <w:b/>
              </w:rPr>
            </w:pPr>
            <w:r w:rsidRPr="00D76F41">
              <w:t>9.1</w:t>
            </w:r>
          </w:p>
        </w:tc>
      </w:tr>
    </w:tbl>
    <w:p w14:paraId="21FA2059" w14:textId="77777777" w:rsidR="00EF36F5" w:rsidRDefault="00EF36F5" w:rsidP="00EF36F5">
      <w:pPr>
        <w:pStyle w:val="Source"/>
        <w:rPr>
          <w:color w:val="000000" w:themeColor="text1"/>
          <w:lang w:eastAsia="en-AU"/>
        </w:rPr>
      </w:pPr>
      <w:r w:rsidRPr="00E03EA6">
        <w:rPr>
          <w:color w:val="000000" w:themeColor="text1"/>
          <w:lang w:eastAsia="en-AU"/>
        </w:rPr>
        <w:t>Source: Department of Transport and Planning</w:t>
      </w:r>
    </w:p>
    <w:p w14:paraId="13B7B726" w14:textId="77777777" w:rsidR="00EF36F5" w:rsidRDefault="00EF36F5" w:rsidP="00EF36F5">
      <w:pPr>
        <w:pStyle w:val="Note"/>
        <w:rPr>
          <w:lang w:eastAsia="en-AU"/>
        </w:rPr>
      </w:pPr>
      <w:r>
        <w:rPr>
          <w:lang w:eastAsia="en-AU"/>
        </w:rPr>
        <w:t>Notes:</w:t>
      </w:r>
    </w:p>
    <w:p w14:paraId="09F9E4DB" w14:textId="2B89F8A7" w:rsidR="00EF36F5" w:rsidRDefault="003E3A69" w:rsidP="003E3A69">
      <w:pPr>
        <w:pStyle w:val="Note"/>
        <w:rPr>
          <w:lang w:eastAsia="en-AU"/>
        </w:rPr>
      </w:pPr>
      <w:r>
        <w:rPr>
          <w:lang w:eastAsia="en-AU"/>
        </w:rPr>
        <w:t>(a)</w:t>
      </w:r>
      <w:r>
        <w:rPr>
          <w:lang w:eastAsia="en-AU"/>
        </w:rPr>
        <w:tab/>
      </w:r>
      <w:r w:rsidR="00EF36F5" w:rsidRPr="00B134B2">
        <w:rPr>
          <w:lang w:eastAsia="en-AU"/>
        </w:rPr>
        <w:t xml:space="preserve">Variation between 2025-26 budget and 2026-27 budget. </w:t>
      </w:r>
    </w:p>
    <w:p w14:paraId="52CD53F0" w14:textId="5F7C37DB" w:rsidR="00EF36F5" w:rsidRDefault="003E3A69" w:rsidP="003E3A69">
      <w:pPr>
        <w:pStyle w:val="Note"/>
        <w:rPr>
          <w:lang w:eastAsia="en-AU"/>
        </w:rPr>
      </w:pPr>
      <w:r>
        <w:rPr>
          <w:lang w:eastAsia="en-AU"/>
        </w:rPr>
        <w:t>(b)</w:t>
      </w:r>
      <w:r>
        <w:rPr>
          <w:lang w:eastAsia="en-AU"/>
        </w:rPr>
        <w:tab/>
      </w:r>
      <w:r w:rsidR="00EF36F5" w:rsidRPr="006C59A9">
        <w:rPr>
          <w:lang w:eastAsia="en-AU"/>
        </w:rPr>
        <w:t>The higher 2026</w:t>
      </w:r>
      <w:r w:rsidR="00EF36F5" w:rsidRPr="006C59A9">
        <w:rPr>
          <w:rFonts w:ascii="Cambria Math" w:hAnsi="Cambria Math" w:cs="Cambria Math"/>
          <w:lang w:eastAsia="en-AU"/>
        </w:rPr>
        <w:t>‑</w:t>
      </w:r>
      <w:r w:rsidR="00EF36F5" w:rsidRPr="006C59A9">
        <w:rPr>
          <w:lang w:eastAsia="en-AU"/>
        </w:rPr>
        <w:t xml:space="preserve">27 target reflects </w:t>
      </w:r>
      <w:r w:rsidR="00362F9E">
        <w:t>the increased depreciation from the West Gate Tunnel being complete and operational</w:t>
      </w:r>
      <w:r w:rsidR="00362F9E" w:rsidRPr="00EB34EA">
        <w:t xml:space="preserve"> and the revaluation of road infrastructure assets</w:t>
      </w:r>
      <w:r w:rsidR="00EF36F5" w:rsidRPr="006C59A9">
        <w:rPr>
          <w:lang w:eastAsia="en-AU"/>
        </w:rPr>
        <w:t>.</w:t>
      </w:r>
    </w:p>
    <w:p w14:paraId="2A1A08BD" w14:textId="638244EA" w:rsidR="00EF36F5" w:rsidRDefault="003E3A69" w:rsidP="003E3A69">
      <w:pPr>
        <w:pStyle w:val="Note"/>
        <w:rPr>
          <w:lang w:eastAsia="en-AU"/>
        </w:rPr>
      </w:pPr>
      <w:r>
        <w:rPr>
          <w:lang w:eastAsia="en-AU"/>
        </w:rPr>
        <w:t>(c)</w:t>
      </w:r>
      <w:r>
        <w:tab/>
      </w:r>
      <w:r w:rsidR="00EF36F5" w:rsidRPr="00EB30ED">
        <w:rPr>
          <w:lang w:eastAsia="en-AU"/>
        </w:rPr>
        <w:t xml:space="preserve">The higher 2026-27 target primarily reflects the completion of the Metro Tunnel which is now operational and additional funding for discounted </w:t>
      </w:r>
      <w:r w:rsidR="00EF36F5">
        <w:rPr>
          <w:lang w:eastAsia="en-AU"/>
        </w:rPr>
        <w:t>p</w:t>
      </w:r>
      <w:r w:rsidR="00EF36F5" w:rsidRPr="00EB30ED">
        <w:rPr>
          <w:lang w:eastAsia="en-AU"/>
        </w:rPr>
        <w:t xml:space="preserve">ublic </w:t>
      </w:r>
      <w:r w:rsidR="00EF36F5">
        <w:rPr>
          <w:lang w:eastAsia="en-AU"/>
        </w:rPr>
        <w:t>t</w:t>
      </w:r>
      <w:r w:rsidR="00EF36F5" w:rsidRPr="00EB30ED">
        <w:rPr>
          <w:lang w:eastAsia="en-AU"/>
        </w:rPr>
        <w:t>ransport</w:t>
      </w:r>
      <w:r w:rsidR="63394B71" w:rsidRPr="28281DFF">
        <w:rPr>
          <w:lang w:eastAsia="en-AU"/>
        </w:rPr>
        <w:t xml:space="preserve"> fares</w:t>
      </w:r>
      <w:r w:rsidR="00EF36F5" w:rsidRPr="00EB30ED">
        <w:rPr>
          <w:lang w:eastAsia="en-AU"/>
        </w:rPr>
        <w:t>.</w:t>
      </w:r>
    </w:p>
    <w:p w14:paraId="43CDF960" w14:textId="780F2A89" w:rsidR="00EF36F5" w:rsidRDefault="003E3A69" w:rsidP="003E3A69">
      <w:pPr>
        <w:pStyle w:val="Note"/>
        <w:rPr>
          <w:lang w:eastAsia="en-AU"/>
        </w:rPr>
      </w:pPr>
      <w:r>
        <w:rPr>
          <w:lang w:eastAsia="en-AU"/>
        </w:rPr>
        <w:t>(d)</w:t>
      </w:r>
      <w:r>
        <w:rPr>
          <w:lang w:eastAsia="en-AU"/>
        </w:rPr>
        <w:tab/>
      </w:r>
      <w:r w:rsidR="00EF36F5" w:rsidRPr="00CC0428">
        <w:rPr>
          <w:lang w:eastAsia="en-AU"/>
        </w:rPr>
        <w:t xml:space="preserve">The </w:t>
      </w:r>
      <w:r w:rsidR="00EF36F5">
        <w:rPr>
          <w:lang w:eastAsia="en-AU"/>
        </w:rPr>
        <w:t xml:space="preserve">higher </w:t>
      </w:r>
      <w:r w:rsidR="00EF36F5" w:rsidRPr="00CC0428">
        <w:rPr>
          <w:lang w:eastAsia="en-AU"/>
        </w:rPr>
        <w:t xml:space="preserve">2026-27 target </w:t>
      </w:r>
      <w:r w:rsidR="00E84E1F">
        <w:rPr>
          <w:lang w:eastAsia="en-AU"/>
        </w:rPr>
        <w:t xml:space="preserve">reflects </w:t>
      </w:r>
      <w:r w:rsidR="00E84E1F" w:rsidRPr="009F496D">
        <w:rPr>
          <w:lang w:eastAsia="en-AU"/>
        </w:rPr>
        <w:t>additional investment in new and improved tram services</w:t>
      </w:r>
      <w:r w:rsidR="00EF36F5" w:rsidRPr="00CC0428">
        <w:rPr>
          <w:lang w:eastAsia="en-AU"/>
        </w:rPr>
        <w:t>.</w:t>
      </w:r>
    </w:p>
    <w:p w14:paraId="4FE4B2FD" w14:textId="3968C8D4" w:rsidR="00EF36F5" w:rsidRDefault="003E3A69" w:rsidP="003E3A69">
      <w:pPr>
        <w:pStyle w:val="Note"/>
        <w:rPr>
          <w:lang w:eastAsia="en-AU"/>
        </w:rPr>
      </w:pPr>
      <w:r>
        <w:rPr>
          <w:lang w:eastAsia="en-AU"/>
        </w:rPr>
        <w:t>(e)</w:t>
      </w:r>
      <w:r>
        <w:rPr>
          <w:lang w:eastAsia="en-AU"/>
        </w:rPr>
        <w:tab/>
      </w:r>
      <w:r w:rsidR="00EF36F5" w:rsidRPr="00CC0428">
        <w:rPr>
          <w:lang w:eastAsia="en-AU"/>
        </w:rPr>
        <w:t xml:space="preserve">The </w:t>
      </w:r>
      <w:r w:rsidR="00F41B51">
        <w:rPr>
          <w:lang w:eastAsia="en-AU"/>
        </w:rPr>
        <w:t>lower</w:t>
      </w:r>
      <w:r w:rsidR="00EF36F5">
        <w:rPr>
          <w:lang w:eastAsia="en-AU"/>
        </w:rPr>
        <w:t xml:space="preserve"> </w:t>
      </w:r>
      <w:r w:rsidR="00EF36F5" w:rsidRPr="00CC0428">
        <w:rPr>
          <w:lang w:eastAsia="en-AU"/>
        </w:rPr>
        <w:t>2026-27 target represents a small variation from the 2025-26 target.</w:t>
      </w:r>
      <w:r w:rsidR="00EF36F5">
        <w:rPr>
          <w:lang w:eastAsia="en-AU"/>
        </w:rPr>
        <w:t xml:space="preserve"> </w:t>
      </w:r>
      <w:r w:rsidR="00EF36F5" w:rsidRPr="009D5865">
        <w:rPr>
          <w:lang w:eastAsia="en-AU"/>
        </w:rPr>
        <w:t>The Transport Safety and Security output is primarily focused on the regulatory activities of Safe Transport Victoria. This does not include the Additional 50 PSOs on the transport network, an investment of $44 million</w:t>
      </w:r>
      <w:r w:rsidR="00EF36F5">
        <w:rPr>
          <w:lang w:eastAsia="en-AU"/>
        </w:rPr>
        <w:t>.</w:t>
      </w:r>
    </w:p>
    <w:p w14:paraId="13B368F5" w14:textId="47295446" w:rsidR="00EF36F5" w:rsidRPr="00A14EC2" w:rsidRDefault="003E3A69" w:rsidP="003E3A69">
      <w:pPr>
        <w:pStyle w:val="Note"/>
        <w:rPr>
          <w:lang w:eastAsia="en-AU"/>
        </w:rPr>
      </w:pPr>
      <w:r>
        <w:rPr>
          <w:lang w:eastAsia="en-AU"/>
        </w:rPr>
        <w:t>(f)</w:t>
      </w:r>
      <w:r>
        <w:rPr>
          <w:lang w:eastAsia="en-AU"/>
        </w:rPr>
        <w:tab/>
      </w:r>
      <w:r w:rsidR="00EF36F5" w:rsidRPr="00A14EC2">
        <w:rPr>
          <w:lang w:eastAsia="en-AU"/>
        </w:rPr>
        <w:t>The higher 2026-27 target primarily reflects the establishment of the Building and Plumbing Commission as integrated regulator as well as additional funding for Building Policy and Reform</w:t>
      </w:r>
      <w:r w:rsidR="00EF36F5">
        <w:rPr>
          <w:lang w:eastAsia="en-AU"/>
        </w:rPr>
        <w:t>,</w:t>
      </w:r>
      <w:r w:rsidR="00EF36F5" w:rsidRPr="00A14EC2">
        <w:rPr>
          <w:lang w:eastAsia="en-AU"/>
        </w:rPr>
        <w:t xml:space="preserve"> and Trade Registration and Licensing Implementation which introduces registration and licensing requirements for building trades.</w:t>
      </w:r>
    </w:p>
    <w:p w14:paraId="64CE38B2" w14:textId="4D0028B9" w:rsidR="00EF36F5" w:rsidRDefault="003E3A69" w:rsidP="003E3A69">
      <w:pPr>
        <w:pStyle w:val="Note"/>
        <w:rPr>
          <w:lang w:eastAsia="en-AU"/>
        </w:rPr>
      </w:pPr>
      <w:r>
        <w:rPr>
          <w:lang w:eastAsia="en-AU"/>
        </w:rPr>
        <w:t>(g)</w:t>
      </w:r>
      <w:r>
        <w:rPr>
          <w:lang w:eastAsia="en-AU"/>
        </w:rPr>
        <w:tab/>
      </w:r>
      <w:r w:rsidR="00EF36F5" w:rsidRPr="006F2C49">
        <w:rPr>
          <w:lang w:eastAsia="en-AU"/>
        </w:rPr>
        <w:t xml:space="preserve">The higher 2026-27 target primarily reflects </w:t>
      </w:r>
      <w:r w:rsidR="00EF36F5">
        <w:rPr>
          <w:lang w:eastAsia="en-AU"/>
        </w:rPr>
        <w:t>the funding profile of land services</w:t>
      </w:r>
      <w:r w:rsidR="00EF36F5" w:rsidRPr="006F2C49">
        <w:rPr>
          <w:lang w:eastAsia="en-AU"/>
        </w:rPr>
        <w:t>.</w:t>
      </w:r>
    </w:p>
    <w:p w14:paraId="5661FF9F" w14:textId="43020339" w:rsidR="00EF36F5" w:rsidRDefault="003E3A69" w:rsidP="003E3A69">
      <w:pPr>
        <w:pStyle w:val="Note"/>
        <w:rPr>
          <w:lang w:eastAsia="en-AU"/>
        </w:rPr>
      </w:pPr>
      <w:r>
        <w:rPr>
          <w:lang w:eastAsia="en-AU"/>
        </w:rPr>
        <w:t>(h)</w:t>
      </w:r>
      <w:r>
        <w:rPr>
          <w:lang w:eastAsia="en-AU"/>
        </w:rPr>
        <w:tab/>
      </w:r>
      <w:r w:rsidR="00EF36F5" w:rsidRPr="00892BF5">
        <w:rPr>
          <w:lang w:eastAsia="en-AU"/>
        </w:rPr>
        <w:t xml:space="preserve">The higher 2026-27 target reflects new funding in the </w:t>
      </w:r>
      <w:r w:rsidR="00EF36F5" w:rsidRPr="00FC7B24">
        <w:rPr>
          <w:i w:val="0"/>
          <w:iCs/>
          <w:lang w:eastAsia="en-AU"/>
        </w:rPr>
        <w:t>2026-27 Budget</w:t>
      </w:r>
      <w:r w:rsidR="00EF36F5" w:rsidRPr="00892BF5">
        <w:rPr>
          <w:lang w:eastAsia="en-AU"/>
        </w:rPr>
        <w:t xml:space="preserve"> for Regional Rail Freight Infrastructure Maintenance which sustains network performance and enables continued modal shift from road to rail.</w:t>
      </w:r>
    </w:p>
    <w:p w14:paraId="08985360" w14:textId="237DDD3C" w:rsidR="00EF36F5" w:rsidRDefault="003E3A69" w:rsidP="003E3A69">
      <w:pPr>
        <w:pStyle w:val="Note"/>
        <w:rPr>
          <w:lang w:eastAsia="en-AU"/>
        </w:rPr>
      </w:pPr>
      <w:r>
        <w:rPr>
          <w:lang w:eastAsia="en-AU"/>
        </w:rPr>
        <w:t>(i)</w:t>
      </w:r>
      <w:r>
        <w:tab/>
      </w:r>
      <w:r w:rsidR="00EF36F5" w:rsidRPr="00E32AA6">
        <w:rPr>
          <w:lang w:eastAsia="en-AU"/>
        </w:rPr>
        <w:t>The lower 2026</w:t>
      </w:r>
      <w:r w:rsidR="00383570">
        <w:rPr>
          <w:lang w:eastAsia="en-AU"/>
        </w:rPr>
        <w:t>-</w:t>
      </w:r>
      <w:r w:rsidR="00EF36F5" w:rsidRPr="00E32AA6">
        <w:rPr>
          <w:lang w:eastAsia="en-AU"/>
        </w:rPr>
        <w:t xml:space="preserve">27 target reflects the funding profile of Commonwealth Housing Support Package works and the revised funding profile of </w:t>
      </w:r>
      <w:r w:rsidR="00EF36F5">
        <w:rPr>
          <w:lang w:eastAsia="en-AU"/>
        </w:rPr>
        <w:t xml:space="preserve">the </w:t>
      </w:r>
      <w:r w:rsidR="00EF36F5" w:rsidRPr="00E32AA6">
        <w:rPr>
          <w:lang w:eastAsia="en-AU"/>
        </w:rPr>
        <w:t>Pick My Park program</w:t>
      </w:r>
      <w:r w:rsidR="390CB18E" w:rsidRPr="0378346C">
        <w:rPr>
          <w:lang w:eastAsia="en-AU"/>
        </w:rPr>
        <w:t xml:space="preserve"> </w:t>
      </w:r>
      <w:r w:rsidR="00EF36F5" w:rsidRPr="00E32AA6">
        <w:rPr>
          <w:lang w:eastAsia="en-AU"/>
        </w:rPr>
        <w:t>in line with the completion of key deliverables in the project.</w:t>
      </w:r>
    </w:p>
    <w:p w14:paraId="56C350D5" w14:textId="58163310" w:rsidR="00EF36F5" w:rsidRDefault="003E3A69" w:rsidP="003E3A69">
      <w:pPr>
        <w:pStyle w:val="Note"/>
        <w:rPr>
          <w:lang w:eastAsia="en-AU"/>
        </w:rPr>
      </w:pPr>
      <w:r>
        <w:rPr>
          <w:lang w:eastAsia="en-AU"/>
        </w:rPr>
        <w:t>(j)</w:t>
      </w:r>
      <w:r>
        <w:rPr>
          <w:lang w:eastAsia="en-AU"/>
        </w:rPr>
        <w:tab/>
      </w:r>
      <w:r w:rsidR="00EF36F5" w:rsidRPr="001403B5">
        <w:rPr>
          <w:lang w:eastAsia="en-AU"/>
        </w:rPr>
        <w:t xml:space="preserve">The lower 2026-27 target reflects the completion of the Metro Tunnel and the West Gate Tunnel </w:t>
      </w:r>
      <w:r w:rsidR="00EF36F5">
        <w:rPr>
          <w:lang w:eastAsia="en-AU"/>
        </w:rPr>
        <w:t>p</w:t>
      </w:r>
      <w:r w:rsidR="00EF36F5" w:rsidRPr="001403B5">
        <w:rPr>
          <w:lang w:eastAsia="en-AU"/>
        </w:rPr>
        <w:t>rojects in 2025-26</w:t>
      </w:r>
      <w:r w:rsidR="00EF36F5">
        <w:rPr>
          <w:lang w:eastAsia="en-AU"/>
        </w:rPr>
        <w:t>.</w:t>
      </w:r>
    </w:p>
    <w:p w14:paraId="531C4E61" w14:textId="77777777" w:rsidR="00C306A8" w:rsidRDefault="00C306A8" w:rsidP="003E3A69">
      <w:pPr>
        <w:pStyle w:val="Note"/>
      </w:pPr>
    </w:p>
    <w:p w14:paraId="7FF7C763" w14:textId="77777777" w:rsidR="00C306A8" w:rsidRDefault="00C306A8" w:rsidP="00C306A8">
      <w:pPr>
        <w:keepLines w:val="0"/>
        <w:rPr>
          <w:rFonts w:asciiTheme="majorHAnsi" w:eastAsiaTheme="majorEastAsia" w:hAnsiTheme="majorHAnsi" w:cstheme="majorBidi"/>
          <w:b/>
          <w:sz w:val="27"/>
          <w:szCs w:val="26"/>
        </w:rPr>
      </w:pPr>
      <w:r>
        <w:br w:type="page"/>
      </w:r>
    </w:p>
    <w:p w14:paraId="5FA90D3C" w14:textId="77777777" w:rsidR="00C306A8" w:rsidRDefault="00C306A8" w:rsidP="00C306A8">
      <w:pPr>
        <w:pStyle w:val="Heading2"/>
      </w:pPr>
      <w:r>
        <w:lastRenderedPageBreak/>
        <w:t>Amounts available</w:t>
      </w:r>
    </w:p>
    <w:p w14:paraId="736DA2C4" w14:textId="484FE37A" w:rsidR="00C306A8" w:rsidRDefault="00C306A8" w:rsidP="00C306A8">
      <w:r>
        <w:t xml:space="preserve">The following tables detail the amounts available to the </w:t>
      </w:r>
      <w:r w:rsidR="00607F54">
        <w:t>D</w:t>
      </w:r>
      <w:r>
        <w:t xml:space="preserve">epartment from parliamentary authority and income generated through transactions. </w:t>
      </w:r>
    </w:p>
    <w:p w14:paraId="500A2F97" w14:textId="7CBFC941" w:rsidR="00C306A8" w:rsidRDefault="00C306A8" w:rsidP="00C306A8">
      <w:r>
        <w:t xml:space="preserve">Table 26 outlines the </w:t>
      </w:r>
      <w:r w:rsidR="00607F54">
        <w:t>D</w:t>
      </w:r>
      <w:r>
        <w:t xml:space="preserve">epartment’s income from transactions and Table 27 summarises the sources of parliamentary authority available to the </w:t>
      </w:r>
      <w:r w:rsidR="00D23E5B">
        <w:t>D</w:t>
      </w:r>
      <w:r>
        <w:t xml:space="preserve">epartment to fund the provision of outputs, additions to the net asset base and payments made on behalf of the </w:t>
      </w:r>
      <w:r w:rsidR="0062091C">
        <w:t>S</w:t>
      </w:r>
      <w:r>
        <w:t>tate, and other sources expected to become available to the department.</w:t>
      </w:r>
    </w:p>
    <w:p w14:paraId="31D08D65" w14:textId="7449F3E4" w:rsidR="00C306A8" w:rsidRDefault="00C306A8" w:rsidP="00C306A8">
      <w:pPr>
        <w:pStyle w:val="TableHeading"/>
      </w:pPr>
      <w:r>
        <w:t xml:space="preserve">Table </w:t>
      </w:r>
      <w:r w:rsidR="003E3A69">
        <w:t>26</w:t>
      </w:r>
      <w:r>
        <w:t>:</w:t>
      </w:r>
      <w:r w:rsidR="000C2403">
        <w:tab/>
      </w:r>
      <w:r>
        <w:t>Income from transactions</w:t>
      </w:r>
      <w:r>
        <w:tab/>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41713B" w14:paraId="0E2692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A8FF6" w14:textId="77777777" w:rsidR="0041713B" w:rsidRDefault="0041713B"/>
        </w:tc>
        <w:tc>
          <w:tcPr>
            <w:tcW w:w="851" w:type="dxa"/>
          </w:tcPr>
          <w:p w14:paraId="3381A6E9" w14:textId="77777777" w:rsidR="0041713B" w:rsidRDefault="0041713B">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0FED0A9F" w14:textId="77777777" w:rsidR="0041713B" w:rsidRDefault="0041713B">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13BD1E4D" w14:textId="77777777" w:rsidR="0041713B" w:rsidRDefault="0041713B">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59402DB6" w14:textId="77777777" w:rsidR="0041713B" w:rsidRDefault="0041713B">
            <w:pPr>
              <w:cnfStyle w:val="100000000000" w:firstRow="1" w:lastRow="0" w:firstColumn="0" w:lastColumn="0" w:oddVBand="0" w:evenVBand="0" w:oddHBand="0" w:evenHBand="0" w:firstRowFirstColumn="0" w:firstRowLastColumn="0" w:lastRowFirstColumn="0" w:lastRowLastColumn="0"/>
            </w:pPr>
            <w:r>
              <w:t>2026-27 budget</w:t>
            </w:r>
          </w:p>
        </w:tc>
      </w:tr>
      <w:tr w:rsidR="0041713B" w:rsidRPr="000429F5" w14:paraId="4A536D8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8D7F42F" w14:textId="77777777" w:rsidR="0041713B" w:rsidRPr="000429F5" w:rsidRDefault="0041713B">
            <w:pPr>
              <w:rPr>
                <w:lang w:eastAsia="en-AU"/>
              </w:rPr>
            </w:pPr>
            <w:r w:rsidRPr="000429F5">
              <w:rPr>
                <w:lang w:eastAsia="en-AU"/>
              </w:rPr>
              <w:t>Output appropriations</w:t>
            </w:r>
          </w:p>
        </w:tc>
        <w:tc>
          <w:tcPr>
            <w:tcW w:w="851" w:type="dxa"/>
            <w:noWrap/>
            <w:hideMark/>
          </w:tcPr>
          <w:p w14:paraId="0FBFB0A1"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6 589.4</w:t>
            </w:r>
          </w:p>
        </w:tc>
        <w:tc>
          <w:tcPr>
            <w:tcW w:w="851" w:type="dxa"/>
            <w:noWrap/>
            <w:hideMark/>
          </w:tcPr>
          <w:p w14:paraId="47E7C636"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6 324.2</w:t>
            </w:r>
          </w:p>
        </w:tc>
        <w:tc>
          <w:tcPr>
            <w:tcW w:w="851" w:type="dxa"/>
            <w:noWrap/>
            <w:hideMark/>
          </w:tcPr>
          <w:p w14:paraId="21ABE886"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7 216.6</w:t>
            </w:r>
          </w:p>
        </w:tc>
        <w:tc>
          <w:tcPr>
            <w:tcW w:w="851" w:type="dxa"/>
            <w:noWrap/>
            <w:hideMark/>
          </w:tcPr>
          <w:p w14:paraId="5B042D87"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6 818.1</w:t>
            </w:r>
          </w:p>
        </w:tc>
      </w:tr>
      <w:tr w:rsidR="0041713B" w:rsidRPr="000429F5" w14:paraId="7E42A28A"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D9CE96B" w14:textId="77777777" w:rsidR="0041713B" w:rsidRPr="000429F5" w:rsidRDefault="0041713B">
            <w:pPr>
              <w:rPr>
                <w:lang w:eastAsia="en-AU"/>
              </w:rPr>
            </w:pPr>
            <w:r w:rsidRPr="000429F5">
              <w:rPr>
                <w:lang w:eastAsia="en-AU"/>
              </w:rPr>
              <w:t>Special appropriations</w:t>
            </w:r>
          </w:p>
        </w:tc>
        <w:tc>
          <w:tcPr>
            <w:tcW w:w="851" w:type="dxa"/>
            <w:noWrap/>
            <w:hideMark/>
          </w:tcPr>
          <w:p w14:paraId="07B39BDF"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633.0</w:t>
            </w:r>
          </w:p>
        </w:tc>
        <w:tc>
          <w:tcPr>
            <w:tcW w:w="851" w:type="dxa"/>
            <w:noWrap/>
            <w:hideMark/>
          </w:tcPr>
          <w:p w14:paraId="106F6001"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848.7</w:t>
            </w:r>
          </w:p>
        </w:tc>
        <w:tc>
          <w:tcPr>
            <w:tcW w:w="851" w:type="dxa"/>
            <w:noWrap/>
            <w:hideMark/>
          </w:tcPr>
          <w:p w14:paraId="1BC2BD5D"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737.7</w:t>
            </w:r>
          </w:p>
        </w:tc>
        <w:tc>
          <w:tcPr>
            <w:tcW w:w="851" w:type="dxa"/>
            <w:noWrap/>
            <w:hideMark/>
          </w:tcPr>
          <w:p w14:paraId="18E758B4"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873.8</w:t>
            </w:r>
          </w:p>
        </w:tc>
      </w:tr>
      <w:tr w:rsidR="0041713B" w:rsidRPr="000429F5" w14:paraId="54BD1482"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D628E54" w14:textId="77777777" w:rsidR="0041713B" w:rsidRPr="000429F5" w:rsidRDefault="0041713B">
            <w:pPr>
              <w:rPr>
                <w:lang w:eastAsia="en-AU"/>
              </w:rPr>
            </w:pPr>
            <w:r w:rsidRPr="000429F5">
              <w:rPr>
                <w:lang w:eastAsia="en-AU"/>
              </w:rPr>
              <w:t>Interest</w:t>
            </w:r>
          </w:p>
        </w:tc>
        <w:tc>
          <w:tcPr>
            <w:tcW w:w="851" w:type="dxa"/>
            <w:noWrap/>
            <w:hideMark/>
          </w:tcPr>
          <w:p w14:paraId="28FB12A5"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38.8</w:t>
            </w:r>
          </w:p>
        </w:tc>
        <w:tc>
          <w:tcPr>
            <w:tcW w:w="851" w:type="dxa"/>
            <w:noWrap/>
            <w:hideMark/>
          </w:tcPr>
          <w:p w14:paraId="43070D85"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10.6</w:t>
            </w:r>
          </w:p>
        </w:tc>
        <w:tc>
          <w:tcPr>
            <w:tcW w:w="851" w:type="dxa"/>
            <w:noWrap/>
            <w:hideMark/>
          </w:tcPr>
          <w:p w14:paraId="009E8F65"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28.9</w:t>
            </w:r>
          </w:p>
        </w:tc>
        <w:tc>
          <w:tcPr>
            <w:tcW w:w="851" w:type="dxa"/>
            <w:noWrap/>
            <w:hideMark/>
          </w:tcPr>
          <w:p w14:paraId="5DEFD4A1"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29.2</w:t>
            </w:r>
          </w:p>
        </w:tc>
      </w:tr>
      <w:tr w:rsidR="0041713B" w:rsidRPr="000429F5" w14:paraId="2E4AA90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8935E" w14:textId="77777777" w:rsidR="0041713B" w:rsidRPr="000429F5" w:rsidRDefault="0041713B">
            <w:pPr>
              <w:rPr>
                <w:lang w:eastAsia="en-AU"/>
              </w:rPr>
            </w:pPr>
            <w:r w:rsidRPr="000429F5">
              <w:rPr>
                <w:lang w:eastAsia="en-AU"/>
              </w:rPr>
              <w:t>Sales of goods and services</w:t>
            </w:r>
          </w:p>
        </w:tc>
        <w:tc>
          <w:tcPr>
            <w:tcW w:w="851" w:type="dxa"/>
            <w:noWrap/>
            <w:hideMark/>
          </w:tcPr>
          <w:p w14:paraId="4DCA7CAD"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740.0</w:t>
            </w:r>
          </w:p>
        </w:tc>
        <w:tc>
          <w:tcPr>
            <w:tcW w:w="851" w:type="dxa"/>
            <w:noWrap/>
            <w:hideMark/>
          </w:tcPr>
          <w:p w14:paraId="6C1DD8AE"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790.7</w:t>
            </w:r>
          </w:p>
        </w:tc>
        <w:tc>
          <w:tcPr>
            <w:tcW w:w="851" w:type="dxa"/>
            <w:noWrap/>
            <w:hideMark/>
          </w:tcPr>
          <w:p w14:paraId="500E7143"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684.1</w:t>
            </w:r>
          </w:p>
        </w:tc>
        <w:tc>
          <w:tcPr>
            <w:tcW w:w="851" w:type="dxa"/>
            <w:noWrap/>
            <w:hideMark/>
          </w:tcPr>
          <w:p w14:paraId="551C0077"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684.4</w:t>
            </w:r>
          </w:p>
        </w:tc>
      </w:tr>
      <w:tr w:rsidR="0041713B" w:rsidRPr="000429F5" w14:paraId="223B3DEA"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14241B1" w14:textId="77777777" w:rsidR="0041713B" w:rsidRPr="000429F5" w:rsidRDefault="0041713B">
            <w:pPr>
              <w:rPr>
                <w:lang w:eastAsia="en-AU"/>
              </w:rPr>
            </w:pPr>
            <w:r w:rsidRPr="000429F5">
              <w:rPr>
                <w:lang w:eastAsia="en-AU"/>
              </w:rPr>
              <w:t>Grants</w:t>
            </w:r>
          </w:p>
        </w:tc>
        <w:tc>
          <w:tcPr>
            <w:tcW w:w="851" w:type="dxa"/>
            <w:noWrap/>
            <w:hideMark/>
          </w:tcPr>
          <w:p w14:paraId="65DECADC"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348.3</w:t>
            </w:r>
          </w:p>
        </w:tc>
        <w:tc>
          <w:tcPr>
            <w:tcW w:w="851" w:type="dxa"/>
            <w:noWrap/>
            <w:hideMark/>
          </w:tcPr>
          <w:p w14:paraId="2F195688"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447.4</w:t>
            </w:r>
          </w:p>
        </w:tc>
        <w:tc>
          <w:tcPr>
            <w:tcW w:w="851" w:type="dxa"/>
            <w:noWrap/>
            <w:hideMark/>
          </w:tcPr>
          <w:p w14:paraId="7A1960F7"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410.1</w:t>
            </w:r>
          </w:p>
        </w:tc>
        <w:tc>
          <w:tcPr>
            <w:tcW w:w="851" w:type="dxa"/>
            <w:noWrap/>
            <w:hideMark/>
          </w:tcPr>
          <w:p w14:paraId="3AA9E176"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445.1</w:t>
            </w:r>
          </w:p>
        </w:tc>
      </w:tr>
      <w:tr w:rsidR="0041713B" w:rsidRPr="000429F5" w14:paraId="1EDAD6DC"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5C30FE0" w14:textId="77777777" w:rsidR="0041713B" w:rsidRPr="000429F5" w:rsidRDefault="0041713B">
            <w:pPr>
              <w:rPr>
                <w:lang w:eastAsia="en-AU"/>
              </w:rPr>
            </w:pPr>
            <w:r w:rsidRPr="000429F5">
              <w:rPr>
                <w:lang w:eastAsia="en-AU"/>
              </w:rPr>
              <w:t>Fair value of assets and services received free of charge or for nominal consideration</w:t>
            </w:r>
          </w:p>
        </w:tc>
        <w:tc>
          <w:tcPr>
            <w:tcW w:w="851" w:type="dxa"/>
            <w:noWrap/>
            <w:hideMark/>
          </w:tcPr>
          <w:p w14:paraId="3744E45C"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561.6</w:t>
            </w:r>
          </w:p>
        </w:tc>
        <w:tc>
          <w:tcPr>
            <w:tcW w:w="851" w:type="dxa"/>
            <w:noWrap/>
            <w:hideMark/>
          </w:tcPr>
          <w:p w14:paraId="68F96B0C"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23.7</w:t>
            </w:r>
          </w:p>
        </w:tc>
        <w:tc>
          <w:tcPr>
            <w:tcW w:w="851" w:type="dxa"/>
            <w:noWrap/>
            <w:hideMark/>
          </w:tcPr>
          <w:p w14:paraId="438C8C18"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157.2</w:t>
            </w:r>
          </w:p>
        </w:tc>
        <w:tc>
          <w:tcPr>
            <w:tcW w:w="851" w:type="dxa"/>
            <w:noWrap/>
            <w:hideMark/>
          </w:tcPr>
          <w:p w14:paraId="01E73B4E"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w:t>
            </w:r>
          </w:p>
        </w:tc>
      </w:tr>
      <w:tr w:rsidR="0041713B" w:rsidRPr="000429F5" w14:paraId="29CD6D2F" w14:textId="77777777" w:rsidTr="003E3A69">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4C718041" w14:textId="77777777" w:rsidR="0041713B" w:rsidRPr="000429F5" w:rsidRDefault="0041713B">
            <w:pPr>
              <w:rPr>
                <w:lang w:eastAsia="en-AU"/>
              </w:rPr>
            </w:pPr>
            <w:r w:rsidRPr="000429F5">
              <w:rPr>
                <w:lang w:eastAsia="en-AU"/>
              </w:rPr>
              <w:t>Other income</w:t>
            </w:r>
          </w:p>
        </w:tc>
        <w:tc>
          <w:tcPr>
            <w:tcW w:w="851" w:type="dxa"/>
            <w:tcBorders>
              <w:bottom w:val="single" w:sz="6" w:space="0" w:color="auto"/>
            </w:tcBorders>
            <w:noWrap/>
            <w:hideMark/>
          </w:tcPr>
          <w:p w14:paraId="39520F49"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358.6</w:t>
            </w:r>
          </w:p>
        </w:tc>
        <w:tc>
          <w:tcPr>
            <w:tcW w:w="851" w:type="dxa"/>
            <w:tcBorders>
              <w:bottom w:val="single" w:sz="6" w:space="0" w:color="auto"/>
            </w:tcBorders>
            <w:noWrap/>
            <w:hideMark/>
          </w:tcPr>
          <w:p w14:paraId="1C213CE9"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532.2</w:t>
            </w:r>
          </w:p>
        </w:tc>
        <w:tc>
          <w:tcPr>
            <w:tcW w:w="851" w:type="dxa"/>
            <w:tcBorders>
              <w:bottom w:val="single" w:sz="6" w:space="0" w:color="auto"/>
            </w:tcBorders>
            <w:noWrap/>
            <w:hideMark/>
          </w:tcPr>
          <w:p w14:paraId="422A84DF"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542.8</w:t>
            </w:r>
          </w:p>
        </w:tc>
        <w:tc>
          <w:tcPr>
            <w:tcW w:w="851" w:type="dxa"/>
            <w:tcBorders>
              <w:bottom w:val="single" w:sz="6" w:space="0" w:color="auto"/>
            </w:tcBorders>
            <w:noWrap/>
            <w:hideMark/>
          </w:tcPr>
          <w:p w14:paraId="74382AC3" w14:textId="77777777" w:rsidR="0041713B" w:rsidRPr="000429F5" w:rsidRDefault="0041713B">
            <w:pPr>
              <w:cnfStyle w:val="000000000000" w:firstRow="0" w:lastRow="0" w:firstColumn="0" w:lastColumn="0" w:oddVBand="0" w:evenVBand="0" w:oddHBand="0" w:evenHBand="0" w:firstRowFirstColumn="0" w:firstRowLastColumn="0" w:lastRowFirstColumn="0" w:lastRowLastColumn="0"/>
              <w:rPr>
                <w:lang w:eastAsia="en-AU"/>
              </w:rPr>
            </w:pPr>
            <w:r w:rsidRPr="000429F5">
              <w:rPr>
                <w:lang w:eastAsia="en-AU"/>
              </w:rPr>
              <w:t>732.8</w:t>
            </w:r>
          </w:p>
        </w:tc>
      </w:tr>
      <w:tr w:rsidR="0041713B" w:rsidRPr="000429F5" w14:paraId="0461A590" w14:textId="77777777" w:rsidTr="003E3A6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E25EBE" w14:textId="77777777" w:rsidR="0041713B" w:rsidRPr="000429F5" w:rsidRDefault="0041713B">
            <w:pPr>
              <w:rPr>
                <w:lang w:eastAsia="en-AU"/>
              </w:rPr>
            </w:pPr>
            <w:r w:rsidRPr="000429F5">
              <w:rPr>
                <w:lang w:eastAsia="en-AU"/>
              </w:rPr>
              <w:t>Total income from transactions</w:t>
            </w:r>
          </w:p>
        </w:tc>
        <w:tc>
          <w:tcPr>
            <w:tcW w:w="851" w:type="dxa"/>
            <w:noWrap/>
            <w:hideMark/>
          </w:tcPr>
          <w:p w14:paraId="2F59817B" w14:textId="77777777" w:rsidR="0041713B" w:rsidRPr="000429F5" w:rsidRDefault="0041713B">
            <w:pPr>
              <w:cnfStyle w:val="010000000000" w:firstRow="0" w:lastRow="1" w:firstColumn="0" w:lastColumn="0" w:oddVBand="0" w:evenVBand="0" w:oddHBand="0" w:evenHBand="0" w:firstRowFirstColumn="0" w:firstRowLastColumn="0" w:lastRowFirstColumn="0" w:lastRowLastColumn="0"/>
              <w:rPr>
                <w:lang w:eastAsia="en-AU"/>
              </w:rPr>
            </w:pPr>
            <w:r w:rsidRPr="000429F5">
              <w:rPr>
                <w:lang w:eastAsia="en-AU"/>
              </w:rPr>
              <w:t>9 269.7</w:t>
            </w:r>
          </w:p>
        </w:tc>
        <w:tc>
          <w:tcPr>
            <w:tcW w:w="851" w:type="dxa"/>
            <w:noWrap/>
            <w:hideMark/>
          </w:tcPr>
          <w:p w14:paraId="17C91916" w14:textId="77777777" w:rsidR="0041713B" w:rsidRPr="000429F5" w:rsidRDefault="0041713B">
            <w:pPr>
              <w:cnfStyle w:val="010000000000" w:firstRow="0" w:lastRow="1" w:firstColumn="0" w:lastColumn="0" w:oddVBand="0" w:evenVBand="0" w:oddHBand="0" w:evenHBand="0" w:firstRowFirstColumn="0" w:firstRowLastColumn="0" w:lastRowFirstColumn="0" w:lastRowLastColumn="0"/>
              <w:rPr>
                <w:lang w:eastAsia="en-AU"/>
              </w:rPr>
            </w:pPr>
            <w:r w:rsidRPr="000429F5">
              <w:rPr>
                <w:lang w:eastAsia="en-AU"/>
              </w:rPr>
              <w:t>8 977.6</w:t>
            </w:r>
          </w:p>
        </w:tc>
        <w:tc>
          <w:tcPr>
            <w:tcW w:w="851" w:type="dxa"/>
            <w:noWrap/>
            <w:hideMark/>
          </w:tcPr>
          <w:p w14:paraId="18D42CD3" w14:textId="77777777" w:rsidR="0041713B" w:rsidRPr="000429F5" w:rsidRDefault="0041713B">
            <w:pPr>
              <w:cnfStyle w:val="010000000000" w:firstRow="0" w:lastRow="1" w:firstColumn="0" w:lastColumn="0" w:oddVBand="0" w:evenVBand="0" w:oddHBand="0" w:evenHBand="0" w:firstRowFirstColumn="0" w:firstRowLastColumn="0" w:lastRowFirstColumn="0" w:lastRowLastColumn="0"/>
              <w:rPr>
                <w:lang w:eastAsia="en-AU"/>
              </w:rPr>
            </w:pPr>
            <w:r w:rsidRPr="000429F5">
              <w:rPr>
                <w:lang w:eastAsia="en-AU"/>
              </w:rPr>
              <w:t>9 777.2</w:t>
            </w:r>
          </w:p>
        </w:tc>
        <w:tc>
          <w:tcPr>
            <w:tcW w:w="851" w:type="dxa"/>
            <w:noWrap/>
            <w:hideMark/>
          </w:tcPr>
          <w:p w14:paraId="1EC8473D" w14:textId="77777777" w:rsidR="0041713B" w:rsidRPr="000429F5" w:rsidRDefault="0041713B">
            <w:pPr>
              <w:cnfStyle w:val="010000000000" w:firstRow="0" w:lastRow="1" w:firstColumn="0" w:lastColumn="0" w:oddVBand="0" w:evenVBand="0" w:oddHBand="0" w:evenHBand="0" w:firstRowFirstColumn="0" w:firstRowLastColumn="0" w:lastRowFirstColumn="0" w:lastRowLastColumn="0"/>
              <w:rPr>
                <w:lang w:eastAsia="en-AU"/>
              </w:rPr>
            </w:pPr>
            <w:r w:rsidRPr="000429F5">
              <w:rPr>
                <w:lang w:eastAsia="en-AU"/>
              </w:rPr>
              <w:t>9 583.4</w:t>
            </w:r>
          </w:p>
        </w:tc>
      </w:tr>
    </w:tbl>
    <w:p w14:paraId="311933D8" w14:textId="77777777" w:rsidR="0041713B" w:rsidRDefault="0041713B" w:rsidP="0041713B">
      <w:pPr>
        <w:pStyle w:val="Source"/>
      </w:pPr>
      <w:r>
        <w:t>Source: Department of Transport and Planning</w:t>
      </w:r>
    </w:p>
    <w:p w14:paraId="02EB0AF6" w14:textId="77777777" w:rsidR="00C306A8" w:rsidRDefault="00C306A8" w:rsidP="00C306A8"/>
    <w:p w14:paraId="0E1023B6" w14:textId="541E5DA6" w:rsidR="00C306A8" w:rsidRDefault="00C306A8" w:rsidP="00C306A8">
      <w:pPr>
        <w:pStyle w:val="TableHeading"/>
      </w:pPr>
      <w:r w:rsidRPr="00524853">
        <w:t xml:space="preserve">Table </w:t>
      </w:r>
      <w:r w:rsidR="003E3A69">
        <w:t>27</w:t>
      </w:r>
      <w:r w:rsidRPr="00524853">
        <w:t>:</w:t>
      </w:r>
      <w:r w:rsidR="000C2403">
        <w:tab/>
      </w:r>
      <w:r w:rsidRPr="00524853">
        <w:t>Parliamentary authority for resources</w:t>
      </w:r>
      <w:r w:rsidRPr="00524853">
        <w:tab/>
        <w:t>($ million)</w:t>
      </w:r>
    </w:p>
    <w:tbl>
      <w:tblPr>
        <w:tblStyle w:val="DTFTableNumeric"/>
        <w:tblW w:w="5000" w:type="pct"/>
        <w:tblLook w:val="06E0" w:firstRow="1" w:lastRow="1" w:firstColumn="1" w:lastColumn="0" w:noHBand="1" w:noVBand="1"/>
      </w:tblPr>
      <w:tblGrid>
        <w:gridCol w:w="6658"/>
        <w:gridCol w:w="991"/>
        <w:gridCol w:w="991"/>
        <w:gridCol w:w="991"/>
      </w:tblGrid>
      <w:tr w:rsidR="000C53CF" w14:paraId="2B9CCC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442C9" w14:textId="77777777" w:rsidR="000C53CF" w:rsidRDefault="000C53CF"/>
        </w:tc>
        <w:tc>
          <w:tcPr>
            <w:tcW w:w="992" w:type="dxa"/>
          </w:tcPr>
          <w:p w14:paraId="4632FF85" w14:textId="77777777" w:rsidR="000C53CF" w:rsidRDefault="000C53CF">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2D817DBD" w14:textId="77777777" w:rsidR="000C53CF" w:rsidRDefault="000C53CF">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5BC18F21" w14:textId="77777777" w:rsidR="000C53CF" w:rsidRDefault="000C53CF">
            <w:pPr>
              <w:cnfStyle w:val="100000000000" w:firstRow="1" w:lastRow="0" w:firstColumn="0" w:lastColumn="0" w:oddVBand="0" w:evenVBand="0" w:oddHBand="0" w:evenHBand="0" w:firstRowFirstColumn="0" w:firstRowLastColumn="0" w:lastRowFirstColumn="0" w:lastRowLastColumn="0"/>
            </w:pPr>
            <w:r>
              <w:t>2026-27 budget</w:t>
            </w:r>
          </w:p>
        </w:tc>
      </w:tr>
      <w:tr w:rsidR="000C53CF" w:rsidRPr="00B61242" w14:paraId="38D4945C"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5145AB" w14:textId="77777777" w:rsidR="000C53CF" w:rsidRPr="00B61242" w:rsidRDefault="000C53CF">
            <w:pPr>
              <w:rPr>
                <w:b/>
                <w:bCs/>
                <w:lang w:eastAsia="en-AU"/>
              </w:rPr>
            </w:pPr>
            <w:r w:rsidRPr="00B61242">
              <w:rPr>
                <w:b/>
                <w:bCs/>
                <w:lang w:eastAsia="en-AU"/>
              </w:rPr>
              <w:t>Annual appropriations</w:t>
            </w:r>
          </w:p>
        </w:tc>
        <w:tc>
          <w:tcPr>
            <w:tcW w:w="992" w:type="dxa"/>
            <w:noWrap/>
            <w:hideMark/>
          </w:tcPr>
          <w:p w14:paraId="7DEA85DD"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16 280.7</w:t>
            </w:r>
          </w:p>
        </w:tc>
        <w:tc>
          <w:tcPr>
            <w:tcW w:w="992" w:type="dxa"/>
            <w:noWrap/>
            <w:hideMark/>
          </w:tcPr>
          <w:p w14:paraId="291E59D6"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 xml:space="preserve">15 </w:t>
            </w:r>
            <w:r>
              <w:rPr>
                <w:b/>
                <w:bCs/>
                <w:lang w:eastAsia="en-AU"/>
              </w:rPr>
              <w:t>676.1</w:t>
            </w:r>
          </w:p>
        </w:tc>
        <w:tc>
          <w:tcPr>
            <w:tcW w:w="992" w:type="dxa"/>
            <w:noWrap/>
            <w:hideMark/>
          </w:tcPr>
          <w:p w14:paraId="0C69259C"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15 08</w:t>
            </w:r>
            <w:r>
              <w:rPr>
                <w:b/>
                <w:bCs/>
                <w:lang w:eastAsia="en-AU"/>
              </w:rPr>
              <w:t>8</w:t>
            </w:r>
            <w:r w:rsidRPr="00B61242">
              <w:rPr>
                <w:b/>
                <w:bCs/>
                <w:lang w:eastAsia="en-AU"/>
              </w:rPr>
              <w:t>.</w:t>
            </w:r>
            <w:r>
              <w:rPr>
                <w:b/>
                <w:bCs/>
                <w:lang w:eastAsia="en-AU"/>
              </w:rPr>
              <w:t>5</w:t>
            </w:r>
          </w:p>
        </w:tc>
      </w:tr>
      <w:tr w:rsidR="000C53CF" w:rsidRPr="00B61242" w14:paraId="1ACE2F32"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E4C5A39" w14:textId="77777777" w:rsidR="000C53CF" w:rsidRPr="00B61242" w:rsidRDefault="000C53CF">
            <w:pPr>
              <w:rPr>
                <w:lang w:eastAsia="en-AU"/>
              </w:rPr>
            </w:pPr>
            <w:r w:rsidRPr="00B61242">
              <w:rPr>
                <w:lang w:eastAsia="en-AU"/>
              </w:rPr>
              <w:t>Provision of outputs</w:t>
            </w:r>
          </w:p>
        </w:tc>
        <w:tc>
          <w:tcPr>
            <w:tcW w:w="992" w:type="dxa"/>
            <w:noWrap/>
            <w:hideMark/>
          </w:tcPr>
          <w:p w14:paraId="622E1D83"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5 908.3</w:t>
            </w:r>
          </w:p>
        </w:tc>
        <w:tc>
          <w:tcPr>
            <w:tcW w:w="992" w:type="dxa"/>
            <w:noWrap/>
            <w:hideMark/>
          </w:tcPr>
          <w:p w14:paraId="1E2F1E82"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 xml:space="preserve">6 </w:t>
            </w:r>
            <w:r>
              <w:rPr>
                <w:lang w:eastAsia="en-AU"/>
              </w:rPr>
              <w:t>642.3</w:t>
            </w:r>
          </w:p>
        </w:tc>
        <w:tc>
          <w:tcPr>
            <w:tcW w:w="992" w:type="dxa"/>
            <w:noWrap/>
            <w:hideMark/>
          </w:tcPr>
          <w:p w14:paraId="10B214A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6 41</w:t>
            </w:r>
            <w:r>
              <w:rPr>
                <w:lang w:eastAsia="en-AU"/>
              </w:rPr>
              <w:t>9</w:t>
            </w:r>
            <w:r w:rsidRPr="00B61242">
              <w:rPr>
                <w:lang w:eastAsia="en-AU"/>
              </w:rPr>
              <w:t>.</w:t>
            </w:r>
            <w:r>
              <w:rPr>
                <w:lang w:eastAsia="en-AU"/>
              </w:rPr>
              <w:t>8</w:t>
            </w:r>
          </w:p>
        </w:tc>
      </w:tr>
      <w:tr w:rsidR="000C53CF" w:rsidRPr="00B61242" w14:paraId="22BEF790"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2F5484F" w14:textId="77777777" w:rsidR="000C53CF" w:rsidRPr="00B61242" w:rsidRDefault="000C53CF">
            <w:pPr>
              <w:rPr>
                <w:lang w:eastAsia="en-AU"/>
              </w:rPr>
            </w:pPr>
            <w:r w:rsidRPr="00B61242">
              <w:rPr>
                <w:lang w:eastAsia="en-AU"/>
              </w:rPr>
              <w:t>Additions to the net asset base</w:t>
            </w:r>
          </w:p>
        </w:tc>
        <w:tc>
          <w:tcPr>
            <w:tcW w:w="992" w:type="dxa"/>
            <w:noWrap/>
            <w:hideMark/>
          </w:tcPr>
          <w:p w14:paraId="46E3F2EA"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10 221.1</w:t>
            </w:r>
          </w:p>
        </w:tc>
        <w:tc>
          <w:tcPr>
            <w:tcW w:w="992" w:type="dxa"/>
            <w:noWrap/>
            <w:hideMark/>
          </w:tcPr>
          <w:p w14:paraId="31EACA5C"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8 884.2</w:t>
            </w:r>
          </w:p>
        </w:tc>
        <w:tc>
          <w:tcPr>
            <w:tcW w:w="992" w:type="dxa"/>
            <w:noWrap/>
            <w:hideMark/>
          </w:tcPr>
          <w:p w14:paraId="1761EC9D"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8 538.1</w:t>
            </w:r>
          </w:p>
        </w:tc>
      </w:tr>
      <w:tr w:rsidR="000C53CF" w:rsidRPr="00B61242" w14:paraId="0AD008FA"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32C0F74" w14:textId="77777777" w:rsidR="000C53CF" w:rsidRPr="00B61242" w:rsidRDefault="000C53CF">
            <w:pPr>
              <w:rPr>
                <w:lang w:eastAsia="en-AU"/>
              </w:rPr>
            </w:pPr>
            <w:r w:rsidRPr="00B61242">
              <w:rPr>
                <w:lang w:eastAsia="en-AU"/>
              </w:rPr>
              <w:t>Payments made on behalf of the State</w:t>
            </w:r>
          </w:p>
        </w:tc>
        <w:tc>
          <w:tcPr>
            <w:tcW w:w="992" w:type="dxa"/>
            <w:noWrap/>
            <w:hideMark/>
          </w:tcPr>
          <w:p w14:paraId="1C599B33"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151.2</w:t>
            </w:r>
          </w:p>
        </w:tc>
        <w:tc>
          <w:tcPr>
            <w:tcW w:w="992" w:type="dxa"/>
            <w:noWrap/>
            <w:hideMark/>
          </w:tcPr>
          <w:p w14:paraId="34A3C70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149.5</w:t>
            </w:r>
          </w:p>
        </w:tc>
        <w:tc>
          <w:tcPr>
            <w:tcW w:w="992" w:type="dxa"/>
            <w:noWrap/>
            <w:hideMark/>
          </w:tcPr>
          <w:p w14:paraId="0A160BD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130.6</w:t>
            </w:r>
          </w:p>
        </w:tc>
      </w:tr>
      <w:tr w:rsidR="000C53CF" w:rsidRPr="00B61242" w14:paraId="088E7D8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9F50D33" w14:textId="77777777" w:rsidR="000C53CF" w:rsidRPr="00B61242" w:rsidRDefault="000C53CF">
            <w:pPr>
              <w:rPr>
                <w:b/>
                <w:bCs/>
                <w:lang w:eastAsia="en-AU"/>
              </w:rPr>
            </w:pPr>
            <w:r w:rsidRPr="00B61242">
              <w:rPr>
                <w:b/>
                <w:bCs/>
                <w:lang w:eastAsia="en-AU"/>
              </w:rPr>
              <w:t>Receipts credited to appropriations</w:t>
            </w:r>
          </w:p>
        </w:tc>
        <w:tc>
          <w:tcPr>
            <w:tcW w:w="992" w:type="dxa"/>
            <w:noWrap/>
            <w:hideMark/>
          </w:tcPr>
          <w:p w14:paraId="79084812"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1 739.4</w:t>
            </w:r>
          </w:p>
        </w:tc>
        <w:tc>
          <w:tcPr>
            <w:tcW w:w="992" w:type="dxa"/>
            <w:noWrap/>
            <w:hideMark/>
          </w:tcPr>
          <w:p w14:paraId="4DC1E5F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3 478.3</w:t>
            </w:r>
          </w:p>
        </w:tc>
        <w:tc>
          <w:tcPr>
            <w:tcW w:w="992" w:type="dxa"/>
            <w:noWrap/>
            <w:hideMark/>
          </w:tcPr>
          <w:p w14:paraId="22A0A96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2 919.0</w:t>
            </w:r>
          </w:p>
        </w:tc>
      </w:tr>
      <w:tr w:rsidR="000C53CF" w:rsidRPr="00B61242" w14:paraId="509BD39C"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D72599D" w14:textId="77777777" w:rsidR="000C53CF" w:rsidRPr="00B61242" w:rsidRDefault="000C53CF">
            <w:pPr>
              <w:rPr>
                <w:b/>
                <w:bCs/>
                <w:lang w:eastAsia="en-AU"/>
              </w:rPr>
            </w:pPr>
            <w:r w:rsidRPr="00B61242">
              <w:rPr>
                <w:b/>
                <w:bCs/>
                <w:lang w:eastAsia="en-AU"/>
              </w:rPr>
              <w:t>Unapplied previous years appropriation</w:t>
            </w:r>
          </w:p>
        </w:tc>
        <w:tc>
          <w:tcPr>
            <w:tcW w:w="992" w:type="dxa"/>
            <w:noWrap/>
            <w:hideMark/>
          </w:tcPr>
          <w:p w14:paraId="06E4D75F"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w:t>
            </w:r>
          </w:p>
        </w:tc>
        <w:tc>
          <w:tcPr>
            <w:tcW w:w="992" w:type="dxa"/>
            <w:noWrap/>
            <w:hideMark/>
          </w:tcPr>
          <w:p w14:paraId="14270A3E"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864.5</w:t>
            </w:r>
          </w:p>
        </w:tc>
        <w:tc>
          <w:tcPr>
            <w:tcW w:w="992" w:type="dxa"/>
            <w:noWrap/>
            <w:hideMark/>
          </w:tcPr>
          <w:p w14:paraId="38C09EE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1.1</w:t>
            </w:r>
          </w:p>
        </w:tc>
      </w:tr>
      <w:tr w:rsidR="000C53CF" w:rsidRPr="00B61242" w14:paraId="226B65EE"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511F885" w14:textId="77777777" w:rsidR="000C53CF" w:rsidRPr="00B61242" w:rsidRDefault="000C53CF">
            <w:pPr>
              <w:rPr>
                <w:lang w:eastAsia="en-AU"/>
              </w:rPr>
            </w:pPr>
            <w:r w:rsidRPr="00B61242">
              <w:rPr>
                <w:lang w:eastAsia="en-AU"/>
              </w:rPr>
              <w:t>Provision of outputs</w:t>
            </w:r>
          </w:p>
        </w:tc>
        <w:tc>
          <w:tcPr>
            <w:tcW w:w="992" w:type="dxa"/>
            <w:noWrap/>
            <w:hideMark/>
          </w:tcPr>
          <w:p w14:paraId="1D77A89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w:t>
            </w:r>
          </w:p>
        </w:tc>
        <w:tc>
          <w:tcPr>
            <w:tcW w:w="992" w:type="dxa"/>
            <w:noWrap/>
            <w:hideMark/>
          </w:tcPr>
          <w:p w14:paraId="128A502A"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111.2</w:t>
            </w:r>
          </w:p>
        </w:tc>
        <w:tc>
          <w:tcPr>
            <w:tcW w:w="992" w:type="dxa"/>
            <w:noWrap/>
            <w:hideMark/>
          </w:tcPr>
          <w:p w14:paraId="5F322968"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1.1</w:t>
            </w:r>
          </w:p>
        </w:tc>
      </w:tr>
      <w:tr w:rsidR="000C53CF" w:rsidRPr="00B61242" w14:paraId="44366F9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0D322B90" w14:textId="77777777" w:rsidR="000C53CF" w:rsidRPr="00B61242" w:rsidRDefault="000C53CF">
            <w:pPr>
              <w:rPr>
                <w:lang w:eastAsia="en-AU"/>
              </w:rPr>
            </w:pPr>
            <w:r w:rsidRPr="00B61242">
              <w:rPr>
                <w:lang w:eastAsia="en-AU"/>
              </w:rPr>
              <w:t>Additions to the net asset base</w:t>
            </w:r>
          </w:p>
        </w:tc>
        <w:tc>
          <w:tcPr>
            <w:tcW w:w="992" w:type="dxa"/>
            <w:tcBorders>
              <w:bottom w:val="nil"/>
            </w:tcBorders>
            <w:noWrap/>
            <w:hideMark/>
          </w:tcPr>
          <w:p w14:paraId="58BDED75"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w:t>
            </w:r>
          </w:p>
        </w:tc>
        <w:tc>
          <w:tcPr>
            <w:tcW w:w="992" w:type="dxa"/>
            <w:tcBorders>
              <w:bottom w:val="nil"/>
            </w:tcBorders>
            <w:noWrap/>
            <w:hideMark/>
          </w:tcPr>
          <w:p w14:paraId="094B798C"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753.3</w:t>
            </w:r>
          </w:p>
        </w:tc>
        <w:tc>
          <w:tcPr>
            <w:tcW w:w="992" w:type="dxa"/>
            <w:tcBorders>
              <w:bottom w:val="nil"/>
            </w:tcBorders>
            <w:noWrap/>
            <w:hideMark/>
          </w:tcPr>
          <w:p w14:paraId="2F82B3BF"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w:t>
            </w:r>
          </w:p>
        </w:tc>
      </w:tr>
      <w:tr w:rsidR="000C53CF" w:rsidRPr="00B61242" w14:paraId="10FFA75D"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7763DF73" w14:textId="77777777" w:rsidR="000C53CF" w:rsidRPr="00B61242" w:rsidRDefault="000C53CF">
            <w:pPr>
              <w:rPr>
                <w:b/>
                <w:bCs/>
                <w:lang w:eastAsia="en-AU"/>
              </w:rPr>
            </w:pPr>
            <w:r w:rsidRPr="00B61242">
              <w:rPr>
                <w:b/>
                <w:bCs/>
                <w:lang w:eastAsia="en-AU"/>
              </w:rPr>
              <w:t>Gross annual appropriation</w:t>
            </w:r>
          </w:p>
        </w:tc>
        <w:tc>
          <w:tcPr>
            <w:tcW w:w="992" w:type="dxa"/>
            <w:tcBorders>
              <w:top w:val="single" w:sz="6" w:space="0" w:color="auto"/>
            </w:tcBorders>
            <w:noWrap/>
            <w:hideMark/>
          </w:tcPr>
          <w:p w14:paraId="4D8038AF"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18 020.0</w:t>
            </w:r>
          </w:p>
        </w:tc>
        <w:tc>
          <w:tcPr>
            <w:tcW w:w="992" w:type="dxa"/>
            <w:tcBorders>
              <w:top w:val="single" w:sz="6" w:space="0" w:color="auto"/>
            </w:tcBorders>
            <w:noWrap/>
            <w:hideMark/>
          </w:tcPr>
          <w:p w14:paraId="4B0B7FC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20 018.9</w:t>
            </w:r>
          </w:p>
        </w:tc>
        <w:tc>
          <w:tcPr>
            <w:tcW w:w="992" w:type="dxa"/>
            <w:tcBorders>
              <w:top w:val="single" w:sz="6" w:space="0" w:color="auto"/>
            </w:tcBorders>
            <w:noWrap/>
            <w:hideMark/>
          </w:tcPr>
          <w:p w14:paraId="13327002"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18 00</w:t>
            </w:r>
            <w:r>
              <w:rPr>
                <w:b/>
                <w:bCs/>
                <w:lang w:eastAsia="en-AU"/>
              </w:rPr>
              <w:t>8</w:t>
            </w:r>
            <w:r w:rsidRPr="00B61242">
              <w:rPr>
                <w:b/>
                <w:bCs/>
                <w:lang w:eastAsia="en-AU"/>
              </w:rPr>
              <w:t>.</w:t>
            </w:r>
            <w:r>
              <w:rPr>
                <w:b/>
                <w:bCs/>
                <w:lang w:eastAsia="en-AU"/>
              </w:rPr>
              <w:t>6</w:t>
            </w:r>
          </w:p>
        </w:tc>
      </w:tr>
      <w:tr w:rsidR="000C53CF" w:rsidRPr="00B61242" w14:paraId="77AD6E2F"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AC45BD3" w14:textId="77777777" w:rsidR="000C53CF" w:rsidRPr="00B61242" w:rsidRDefault="000C53CF">
            <w:pPr>
              <w:rPr>
                <w:b/>
                <w:bCs/>
                <w:lang w:eastAsia="en-AU"/>
              </w:rPr>
            </w:pPr>
            <w:r w:rsidRPr="00B61242">
              <w:rPr>
                <w:b/>
                <w:bCs/>
                <w:lang w:eastAsia="en-AU"/>
              </w:rPr>
              <w:t>Special appropriations</w:t>
            </w:r>
          </w:p>
        </w:tc>
        <w:tc>
          <w:tcPr>
            <w:tcW w:w="992" w:type="dxa"/>
            <w:noWrap/>
            <w:hideMark/>
          </w:tcPr>
          <w:p w14:paraId="1A037A9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899.9</w:t>
            </w:r>
          </w:p>
        </w:tc>
        <w:tc>
          <w:tcPr>
            <w:tcW w:w="992" w:type="dxa"/>
            <w:noWrap/>
            <w:hideMark/>
          </w:tcPr>
          <w:p w14:paraId="128354B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840.6</w:t>
            </w:r>
          </w:p>
        </w:tc>
        <w:tc>
          <w:tcPr>
            <w:tcW w:w="992" w:type="dxa"/>
            <w:noWrap/>
            <w:hideMark/>
          </w:tcPr>
          <w:p w14:paraId="5354CF9C"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996.8</w:t>
            </w:r>
          </w:p>
        </w:tc>
      </w:tr>
      <w:tr w:rsidR="000C53CF" w:rsidRPr="00B61242" w14:paraId="464AF562"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368EB19" w14:textId="77777777" w:rsidR="000C53CF" w:rsidRPr="00B61242" w:rsidRDefault="000C53CF">
            <w:pPr>
              <w:rPr>
                <w:b/>
                <w:bCs/>
                <w:lang w:eastAsia="en-AU"/>
              </w:rPr>
            </w:pPr>
            <w:r w:rsidRPr="00B61242">
              <w:rPr>
                <w:b/>
                <w:bCs/>
                <w:lang w:eastAsia="en-AU"/>
              </w:rPr>
              <w:t>Trust funds</w:t>
            </w:r>
          </w:p>
        </w:tc>
        <w:tc>
          <w:tcPr>
            <w:tcW w:w="992" w:type="dxa"/>
            <w:noWrap/>
            <w:hideMark/>
          </w:tcPr>
          <w:p w14:paraId="7B0FF8D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1 893.9</w:t>
            </w:r>
          </w:p>
        </w:tc>
        <w:tc>
          <w:tcPr>
            <w:tcW w:w="992" w:type="dxa"/>
            <w:noWrap/>
            <w:hideMark/>
          </w:tcPr>
          <w:p w14:paraId="2EC968D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1 7</w:t>
            </w:r>
            <w:r>
              <w:rPr>
                <w:b/>
                <w:bCs/>
                <w:lang w:eastAsia="en-AU"/>
              </w:rPr>
              <w:t>01.3</w:t>
            </w:r>
          </w:p>
        </w:tc>
        <w:tc>
          <w:tcPr>
            <w:tcW w:w="992" w:type="dxa"/>
            <w:noWrap/>
            <w:hideMark/>
          </w:tcPr>
          <w:p w14:paraId="7FC8680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b/>
                <w:bCs/>
                <w:lang w:eastAsia="en-AU"/>
              </w:rPr>
            </w:pPr>
            <w:r w:rsidRPr="00B61242">
              <w:rPr>
                <w:b/>
                <w:bCs/>
                <w:lang w:eastAsia="en-AU"/>
              </w:rPr>
              <w:t>1 837.9</w:t>
            </w:r>
          </w:p>
        </w:tc>
      </w:tr>
      <w:tr w:rsidR="000C53CF" w:rsidRPr="00B61242" w14:paraId="3916C478"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B496BB" w14:textId="77777777" w:rsidR="000C53CF" w:rsidRPr="00B61242" w:rsidRDefault="000C53CF">
            <w:pPr>
              <w:rPr>
                <w:lang w:eastAsia="en-AU"/>
              </w:rPr>
            </w:pPr>
            <w:r w:rsidRPr="00B61242">
              <w:rPr>
                <w:lang w:eastAsia="en-AU"/>
              </w:rPr>
              <w:t>Land Registry Commercialisation Trust Account</w:t>
            </w:r>
            <w:r>
              <w:rPr>
                <w:vertAlign w:val="superscript"/>
                <w:lang w:eastAsia="en-AU"/>
              </w:rPr>
              <w:t xml:space="preserve"> (</w:t>
            </w:r>
            <w:r w:rsidRPr="00B61242">
              <w:rPr>
                <w:vertAlign w:val="superscript"/>
                <w:lang w:eastAsia="en-AU"/>
              </w:rPr>
              <w:t>a)</w:t>
            </w:r>
          </w:p>
        </w:tc>
        <w:tc>
          <w:tcPr>
            <w:tcW w:w="992" w:type="dxa"/>
            <w:noWrap/>
            <w:hideMark/>
          </w:tcPr>
          <w:p w14:paraId="5F074D83"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461.3</w:t>
            </w:r>
          </w:p>
        </w:tc>
        <w:tc>
          <w:tcPr>
            <w:tcW w:w="992" w:type="dxa"/>
            <w:noWrap/>
            <w:hideMark/>
          </w:tcPr>
          <w:p w14:paraId="363582A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461.3</w:t>
            </w:r>
          </w:p>
        </w:tc>
        <w:tc>
          <w:tcPr>
            <w:tcW w:w="992" w:type="dxa"/>
            <w:noWrap/>
            <w:hideMark/>
          </w:tcPr>
          <w:p w14:paraId="3DE2991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493.0</w:t>
            </w:r>
          </w:p>
        </w:tc>
      </w:tr>
      <w:tr w:rsidR="000C53CF" w:rsidRPr="00B61242" w14:paraId="55E303D1"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97BF846" w14:textId="77777777" w:rsidR="000C53CF" w:rsidRPr="00B61242" w:rsidRDefault="000C53CF">
            <w:pPr>
              <w:rPr>
                <w:lang w:eastAsia="en-AU"/>
              </w:rPr>
            </w:pPr>
            <w:r w:rsidRPr="00B61242">
              <w:rPr>
                <w:lang w:eastAsia="en-AU"/>
              </w:rPr>
              <w:t>Public Transport Fund</w:t>
            </w:r>
            <w:r>
              <w:rPr>
                <w:vertAlign w:val="superscript"/>
                <w:lang w:eastAsia="en-AU"/>
              </w:rPr>
              <w:t xml:space="preserve"> (</w:t>
            </w:r>
            <w:r w:rsidRPr="00B61242">
              <w:rPr>
                <w:vertAlign w:val="superscript"/>
                <w:lang w:eastAsia="en-AU"/>
              </w:rPr>
              <w:t>b)</w:t>
            </w:r>
          </w:p>
        </w:tc>
        <w:tc>
          <w:tcPr>
            <w:tcW w:w="992" w:type="dxa"/>
            <w:noWrap/>
            <w:hideMark/>
          </w:tcPr>
          <w:p w14:paraId="63F0769C"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561.7</w:t>
            </w:r>
          </w:p>
        </w:tc>
        <w:tc>
          <w:tcPr>
            <w:tcW w:w="992" w:type="dxa"/>
            <w:noWrap/>
            <w:hideMark/>
          </w:tcPr>
          <w:p w14:paraId="1B032F1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6</w:t>
            </w:r>
            <w:r>
              <w:rPr>
                <w:lang w:eastAsia="en-AU"/>
              </w:rPr>
              <w:t>70.1</w:t>
            </w:r>
          </w:p>
        </w:tc>
        <w:tc>
          <w:tcPr>
            <w:tcW w:w="992" w:type="dxa"/>
            <w:noWrap/>
            <w:hideMark/>
          </w:tcPr>
          <w:p w14:paraId="64316455"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659.2</w:t>
            </w:r>
          </w:p>
        </w:tc>
      </w:tr>
      <w:tr w:rsidR="000C53CF" w:rsidRPr="00B61242" w14:paraId="0567BB3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1165B32" w14:textId="77777777" w:rsidR="000C53CF" w:rsidRPr="00B61242" w:rsidRDefault="000C53CF">
            <w:pPr>
              <w:rPr>
                <w:lang w:eastAsia="en-AU"/>
              </w:rPr>
            </w:pPr>
            <w:r w:rsidRPr="00B61242">
              <w:rPr>
                <w:lang w:eastAsia="en-AU"/>
              </w:rPr>
              <w:t>Road Safety Fund</w:t>
            </w:r>
            <w:r>
              <w:rPr>
                <w:vertAlign w:val="superscript"/>
                <w:lang w:eastAsia="en-AU"/>
              </w:rPr>
              <w:t xml:space="preserve"> (</w:t>
            </w:r>
            <w:r w:rsidRPr="00B61242">
              <w:rPr>
                <w:vertAlign w:val="superscript"/>
                <w:lang w:eastAsia="en-AU"/>
              </w:rPr>
              <w:t>c)</w:t>
            </w:r>
          </w:p>
        </w:tc>
        <w:tc>
          <w:tcPr>
            <w:tcW w:w="992" w:type="dxa"/>
            <w:noWrap/>
            <w:hideMark/>
          </w:tcPr>
          <w:p w14:paraId="51B540B7"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180.7</w:t>
            </w:r>
          </w:p>
        </w:tc>
        <w:tc>
          <w:tcPr>
            <w:tcW w:w="992" w:type="dxa"/>
            <w:noWrap/>
            <w:hideMark/>
          </w:tcPr>
          <w:p w14:paraId="3180851F"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105.5</w:t>
            </w:r>
          </w:p>
        </w:tc>
        <w:tc>
          <w:tcPr>
            <w:tcW w:w="992" w:type="dxa"/>
            <w:noWrap/>
            <w:hideMark/>
          </w:tcPr>
          <w:p w14:paraId="2A7FD6FF"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174.1</w:t>
            </w:r>
          </w:p>
        </w:tc>
      </w:tr>
      <w:tr w:rsidR="000C53CF" w:rsidRPr="00B61242" w14:paraId="3C5D68DE"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786313A" w14:textId="77777777" w:rsidR="000C53CF" w:rsidRPr="00B61242" w:rsidRDefault="000C53CF">
            <w:pPr>
              <w:rPr>
                <w:lang w:eastAsia="en-AU"/>
              </w:rPr>
            </w:pPr>
            <w:r w:rsidRPr="00B61242">
              <w:rPr>
                <w:lang w:eastAsia="en-AU"/>
              </w:rPr>
              <w:t>Roads Fund Trust Account</w:t>
            </w:r>
            <w:r>
              <w:rPr>
                <w:vertAlign w:val="superscript"/>
                <w:lang w:eastAsia="en-AU"/>
              </w:rPr>
              <w:t xml:space="preserve"> (</w:t>
            </w:r>
            <w:r w:rsidRPr="00B61242">
              <w:rPr>
                <w:vertAlign w:val="superscript"/>
                <w:lang w:eastAsia="en-AU"/>
              </w:rPr>
              <w:t>d)</w:t>
            </w:r>
          </w:p>
        </w:tc>
        <w:tc>
          <w:tcPr>
            <w:tcW w:w="992" w:type="dxa"/>
            <w:noWrap/>
            <w:hideMark/>
          </w:tcPr>
          <w:p w14:paraId="721B6EC2"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322.5</w:t>
            </w:r>
          </w:p>
        </w:tc>
        <w:tc>
          <w:tcPr>
            <w:tcW w:w="992" w:type="dxa"/>
            <w:noWrap/>
            <w:hideMark/>
          </w:tcPr>
          <w:p w14:paraId="21750FE0"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322.5</w:t>
            </w:r>
          </w:p>
        </w:tc>
        <w:tc>
          <w:tcPr>
            <w:tcW w:w="992" w:type="dxa"/>
            <w:noWrap/>
            <w:hideMark/>
          </w:tcPr>
          <w:p w14:paraId="22EEC08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365.1</w:t>
            </w:r>
          </w:p>
        </w:tc>
      </w:tr>
      <w:tr w:rsidR="000C53CF" w:rsidRPr="00B61242" w14:paraId="0C2D2E75" w14:textId="77777777" w:rsidTr="003E3A69">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668CD45A" w14:textId="77777777" w:rsidR="000C53CF" w:rsidRPr="00B61242" w:rsidRDefault="000C53CF">
            <w:pPr>
              <w:rPr>
                <w:lang w:eastAsia="en-AU"/>
              </w:rPr>
            </w:pPr>
            <w:r w:rsidRPr="00B61242">
              <w:rPr>
                <w:lang w:eastAsia="en-AU"/>
              </w:rPr>
              <w:t>Other</w:t>
            </w:r>
            <w:r>
              <w:rPr>
                <w:vertAlign w:val="superscript"/>
                <w:lang w:eastAsia="en-AU"/>
              </w:rPr>
              <w:t xml:space="preserve"> (</w:t>
            </w:r>
            <w:r w:rsidRPr="00B61242">
              <w:rPr>
                <w:vertAlign w:val="superscript"/>
                <w:lang w:eastAsia="en-AU"/>
              </w:rPr>
              <w:t>e)</w:t>
            </w:r>
          </w:p>
        </w:tc>
        <w:tc>
          <w:tcPr>
            <w:tcW w:w="992" w:type="dxa"/>
            <w:tcBorders>
              <w:bottom w:val="single" w:sz="6" w:space="0" w:color="auto"/>
            </w:tcBorders>
            <w:noWrap/>
            <w:hideMark/>
          </w:tcPr>
          <w:p w14:paraId="43BB7A61"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367.8</w:t>
            </w:r>
          </w:p>
        </w:tc>
        <w:tc>
          <w:tcPr>
            <w:tcW w:w="992" w:type="dxa"/>
            <w:tcBorders>
              <w:bottom w:val="single" w:sz="6" w:space="0" w:color="auto"/>
            </w:tcBorders>
            <w:noWrap/>
            <w:hideMark/>
          </w:tcPr>
          <w:p w14:paraId="0A52B47B"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142.0</w:t>
            </w:r>
          </w:p>
        </w:tc>
        <w:tc>
          <w:tcPr>
            <w:tcW w:w="992" w:type="dxa"/>
            <w:tcBorders>
              <w:bottom w:val="single" w:sz="6" w:space="0" w:color="auto"/>
            </w:tcBorders>
            <w:noWrap/>
            <w:hideMark/>
          </w:tcPr>
          <w:p w14:paraId="21E292F9" w14:textId="77777777" w:rsidR="000C53CF" w:rsidRPr="00B61242" w:rsidRDefault="000C53CF">
            <w:pPr>
              <w:cnfStyle w:val="000000000000" w:firstRow="0" w:lastRow="0" w:firstColumn="0" w:lastColumn="0" w:oddVBand="0" w:evenVBand="0" w:oddHBand="0" w:evenHBand="0" w:firstRowFirstColumn="0" w:firstRowLastColumn="0" w:lastRowFirstColumn="0" w:lastRowLastColumn="0"/>
              <w:rPr>
                <w:lang w:eastAsia="en-AU"/>
              </w:rPr>
            </w:pPr>
            <w:r w:rsidRPr="00B61242">
              <w:rPr>
                <w:lang w:eastAsia="en-AU"/>
              </w:rPr>
              <w:t>146.5</w:t>
            </w:r>
          </w:p>
        </w:tc>
      </w:tr>
      <w:tr w:rsidR="000C53CF" w:rsidRPr="00B61242" w14:paraId="1E1CCCAA" w14:textId="77777777" w:rsidTr="003E3A6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C5BE35F" w14:textId="77777777" w:rsidR="000C53CF" w:rsidRPr="00B61242" w:rsidRDefault="000C53CF">
            <w:pPr>
              <w:rPr>
                <w:lang w:eastAsia="en-AU"/>
              </w:rPr>
            </w:pPr>
            <w:r w:rsidRPr="00B61242">
              <w:rPr>
                <w:lang w:eastAsia="en-AU"/>
              </w:rPr>
              <w:t>Total parliamentary authority</w:t>
            </w:r>
          </w:p>
        </w:tc>
        <w:tc>
          <w:tcPr>
            <w:tcW w:w="992" w:type="dxa"/>
            <w:noWrap/>
            <w:hideMark/>
          </w:tcPr>
          <w:p w14:paraId="2C2E7513" w14:textId="77777777" w:rsidR="000C53CF" w:rsidRPr="00B61242" w:rsidRDefault="000C53CF">
            <w:pPr>
              <w:cnfStyle w:val="010000000000" w:firstRow="0" w:lastRow="1" w:firstColumn="0" w:lastColumn="0" w:oddVBand="0" w:evenVBand="0" w:oddHBand="0" w:evenHBand="0" w:firstRowFirstColumn="0" w:firstRowLastColumn="0" w:lastRowFirstColumn="0" w:lastRowLastColumn="0"/>
              <w:rPr>
                <w:lang w:eastAsia="en-AU"/>
              </w:rPr>
            </w:pPr>
            <w:r w:rsidRPr="00B61242">
              <w:rPr>
                <w:lang w:eastAsia="en-AU"/>
              </w:rPr>
              <w:t>20 813.9</w:t>
            </w:r>
          </w:p>
        </w:tc>
        <w:tc>
          <w:tcPr>
            <w:tcW w:w="992" w:type="dxa"/>
            <w:noWrap/>
            <w:hideMark/>
          </w:tcPr>
          <w:p w14:paraId="0D4E3146" w14:textId="77777777" w:rsidR="000C53CF" w:rsidRPr="00B61242" w:rsidRDefault="000C53CF">
            <w:pPr>
              <w:cnfStyle w:val="010000000000" w:firstRow="0" w:lastRow="1" w:firstColumn="0" w:lastColumn="0" w:oddVBand="0" w:evenVBand="0" w:oddHBand="0" w:evenHBand="0" w:firstRowFirstColumn="0" w:firstRowLastColumn="0" w:lastRowFirstColumn="0" w:lastRowLastColumn="0"/>
              <w:rPr>
                <w:lang w:eastAsia="en-AU"/>
              </w:rPr>
            </w:pPr>
            <w:r w:rsidRPr="00B61242">
              <w:rPr>
                <w:lang w:eastAsia="en-AU"/>
              </w:rPr>
              <w:t>22 5</w:t>
            </w:r>
            <w:r>
              <w:rPr>
                <w:lang w:eastAsia="en-AU"/>
              </w:rPr>
              <w:t>60</w:t>
            </w:r>
            <w:r w:rsidRPr="00B61242">
              <w:rPr>
                <w:lang w:eastAsia="en-AU"/>
              </w:rPr>
              <w:t>.</w:t>
            </w:r>
            <w:r>
              <w:rPr>
                <w:lang w:eastAsia="en-AU"/>
              </w:rPr>
              <w:t>9</w:t>
            </w:r>
          </w:p>
        </w:tc>
        <w:tc>
          <w:tcPr>
            <w:tcW w:w="992" w:type="dxa"/>
            <w:noWrap/>
            <w:hideMark/>
          </w:tcPr>
          <w:p w14:paraId="0BC4F5F7" w14:textId="77777777" w:rsidR="000C53CF" w:rsidRPr="00B61242" w:rsidRDefault="000C53CF">
            <w:pPr>
              <w:cnfStyle w:val="010000000000" w:firstRow="0" w:lastRow="1" w:firstColumn="0" w:lastColumn="0" w:oddVBand="0" w:evenVBand="0" w:oddHBand="0" w:evenHBand="0" w:firstRowFirstColumn="0" w:firstRowLastColumn="0" w:lastRowFirstColumn="0" w:lastRowLastColumn="0"/>
              <w:rPr>
                <w:lang w:eastAsia="en-AU"/>
              </w:rPr>
            </w:pPr>
            <w:r w:rsidRPr="00B61242">
              <w:rPr>
                <w:lang w:eastAsia="en-AU"/>
              </w:rPr>
              <w:t>20 8</w:t>
            </w:r>
            <w:r>
              <w:rPr>
                <w:lang w:eastAsia="en-AU"/>
              </w:rPr>
              <w:t>43</w:t>
            </w:r>
            <w:r w:rsidRPr="00B61242">
              <w:rPr>
                <w:lang w:eastAsia="en-AU"/>
              </w:rPr>
              <w:t>.</w:t>
            </w:r>
            <w:r>
              <w:rPr>
                <w:lang w:eastAsia="en-AU"/>
              </w:rPr>
              <w:t>3</w:t>
            </w:r>
          </w:p>
        </w:tc>
      </w:tr>
    </w:tbl>
    <w:p w14:paraId="51E4579E" w14:textId="77777777" w:rsidR="000C53CF" w:rsidRDefault="000C53CF" w:rsidP="000C53CF">
      <w:pPr>
        <w:pStyle w:val="Source"/>
      </w:pPr>
      <w:r>
        <w:t>Source: Department of Transport and Planning</w:t>
      </w:r>
    </w:p>
    <w:p w14:paraId="40023BA3" w14:textId="77777777" w:rsidR="000C53CF" w:rsidRDefault="000C53CF" w:rsidP="000C53CF">
      <w:pPr>
        <w:pStyle w:val="Note"/>
      </w:pPr>
      <w:r>
        <w:t>Notes:</w:t>
      </w:r>
    </w:p>
    <w:p w14:paraId="30B6C3FE" w14:textId="5428D5A7" w:rsidR="000C53CF" w:rsidRDefault="003E3A69" w:rsidP="003E3A69">
      <w:pPr>
        <w:pStyle w:val="Note"/>
      </w:pPr>
      <w:r>
        <w:t>(a)</w:t>
      </w:r>
      <w:r>
        <w:tab/>
      </w:r>
      <w:r w:rsidR="000C53CF" w:rsidRPr="00A9783D">
        <w:t>The purpose of this trust primarily relates to holding funds collected by the Victorian Land Registry Services from customers following commercialisation of part of the state</w:t>
      </w:r>
      <w:r w:rsidR="00AD4833">
        <w:t>’</w:t>
      </w:r>
      <w:r w:rsidR="000C53CF" w:rsidRPr="00A9783D">
        <w:t xml:space="preserve">s land titles and registry functions, as per section 19(1) of the </w:t>
      </w:r>
      <w:r w:rsidR="000C53CF" w:rsidRPr="00A9783D">
        <w:rPr>
          <w:i w:val="0"/>
          <w:iCs/>
        </w:rPr>
        <w:t>Financial Management Act 1994</w:t>
      </w:r>
      <w:r w:rsidR="000C53CF" w:rsidRPr="00A9783D">
        <w:t>.</w:t>
      </w:r>
    </w:p>
    <w:p w14:paraId="6E89B0B3" w14:textId="413024E7" w:rsidR="000C53CF" w:rsidRDefault="003E3A69" w:rsidP="003E3A69">
      <w:pPr>
        <w:pStyle w:val="Note"/>
      </w:pPr>
      <w:r>
        <w:t>(b)</w:t>
      </w:r>
      <w:r>
        <w:tab/>
      </w:r>
      <w:r w:rsidR="000C53CF">
        <w:t xml:space="preserve">The purpose of this trust primarily relates to public transport functions of the Head, Transport for Victoria, as per section 39A of the </w:t>
      </w:r>
      <w:r w:rsidR="000C53CF" w:rsidRPr="00414E3D">
        <w:rPr>
          <w:i w:val="0"/>
          <w:iCs/>
        </w:rPr>
        <w:t>Transport Integration Act 2010</w:t>
      </w:r>
      <w:r w:rsidR="000C53CF">
        <w:t>.</w:t>
      </w:r>
    </w:p>
    <w:p w14:paraId="334CC388" w14:textId="45732CC4" w:rsidR="000C53CF" w:rsidRDefault="003E3A69" w:rsidP="003E3A69">
      <w:pPr>
        <w:pStyle w:val="Note"/>
      </w:pPr>
      <w:r>
        <w:t>(c)</w:t>
      </w:r>
      <w:r>
        <w:tab/>
      </w:r>
      <w:r w:rsidR="000C53CF">
        <w:t>The purpose of this trust primarily relates to the income received and payments made for the road system and road functions of the Head, Transport for Victoria and the Secretary of the Department. The majority of the funds from the Transport Accident Commission will be receipted here.</w:t>
      </w:r>
    </w:p>
    <w:p w14:paraId="22F5FFAA" w14:textId="23A87F6F" w:rsidR="000C53CF" w:rsidRDefault="003E3A69" w:rsidP="003E3A69">
      <w:pPr>
        <w:pStyle w:val="Note"/>
      </w:pPr>
      <w:r>
        <w:t>(d)</w:t>
      </w:r>
      <w:r>
        <w:tab/>
      </w:r>
      <w:r w:rsidR="000C53CF" w:rsidRPr="00414E3D">
        <w:t xml:space="preserve">The purpose of this trust primarily relates to the income received and payments made for roads functions of the Head, Transport for Victoria, as per section 39B of the </w:t>
      </w:r>
      <w:r w:rsidR="000C53CF" w:rsidRPr="00414E3D">
        <w:rPr>
          <w:i w:val="0"/>
          <w:iCs/>
        </w:rPr>
        <w:t>Transport Integration Act 2010</w:t>
      </w:r>
      <w:r w:rsidR="000C53CF" w:rsidRPr="00414E3D">
        <w:t>.</w:t>
      </w:r>
    </w:p>
    <w:p w14:paraId="525DECA1" w14:textId="0A64A0F9" w:rsidR="000C53CF" w:rsidRDefault="003E3A69" w:rsidP="003E3A69">
      <w:pPr>
        <w:pStyle w:val="Note"/>
      </w:pPr>
      <w:r>
        <w:t>(e)</w:t>
      </w:r>
      <w:r>
        <w:tab/>
      </w:r>
      <w:r w:rsidR="000C53CF">
        <w:t>Includes interdepartmental transfers.</w:t>
      </w:r>
    </w:p>
    <w:p w14:paraId="784BCE73" w14:textId="77777777" w:rsidR="000C53CF" w:rsidRDefault="000C53CF" w:rsidP="000C53CF">
      <w:r>
        <w:br w:type="page"/>
      </w:r>
    </w:p>
    <w:p w14:paraId="493E530C" w14:textId="77777777" w:rsidR="00C306A8" w:rsidRDefault="00C306A8" w:rsidP="00C306A8">
      <w:pPr>
        <w:pStyle w:val="Heading2"/>
      </w:pPr>
      <w:r>
        <w:lastRenderedPageBreak/>
        <w:t>Departmental objectives and outputs</w:t>
      </w:r>
    </w:p>
    <w:p w14:paraId="7704CE05" w14:textId="77777777" w:rsidR="00C306A8" w:rsidRDefault="00C306A8" w:rsidP="00C306A8">
      <w:pPr>
        <w:pStyle w:val="ShadedBoxHeading"/>
      </w:pPr>
      <w:r>
        <w:t>Objective 1: Reliable and people focused transport services</w:t>
      </w:r>
    </w:p>
    <w:p w14:paraId="0E608DC8" w14:textId="77777777" w:rsidR="00C306A8" w:rsidRDefault="00C306A8" w:rsidP="00C306A8">
      <w:pPr>
        <w:pStyle w:val="ShadedBoxText"/>
      </w:pPr>
      <w:r>
        <w:t>This objective group enhances liveability by providing Victorians with a transport system that connects people and places, taking them where they want to go, when they want to go.</w:t>
      </w:r>
    </w:p>
    <w:p w14:paraId="292BDDCA" w14:textId="77777777" w:rsidR="00C306A8" w:rsidRDefault="00C306A8" w:rsidP="00C306A8">
      <w:pPr>
        <w:pStyle w:val="ShadedBoxText"/>
      </w:pPr>
      <w:r>
        <w:t>The departmental objective indicators are:</w:t>
      </w:r>
    </w:p>
    <w:p w14:paraId="12E867B3" w14:textId="77777777" w:rsidR="00C306A8" w:rsidRDefault="00C306A8" w:rsidP="00C306A8">
      <w:pPr>
        <w:pStyle w:val="ShadedBoxBullet"/>
      </w:pPr>
      <w:r>
        <w:t>user satisfaction with the transport system</w:t>
      </w:r>
    </w:p>
    <w:p w14:paraId="78DF0548" w14:textId="77777777" w:rsidR="00C306A8" w:rsidRPr="00257A57" w:rsidRDefault="00C306A8" w:rsidP="00C306A8">
      <w:pPr>
        <w:pStyle w:val="ShadedBoxBullet"/>
      </w:pPr>
      <w:r>
        <w:t>reliable travel.</w:t>
      </w:r>
    </w:p>
    <w:p w14:paraId="1EDA9165" w14:textId="77777777" w:rsidR="00C306A8" w:rsidRPr="00EA465C" w:rsidRDefault="00C306A8" w:rsidP="00C306A8">
      <w:pPr>
        <w:pStyle w:val="Heading2"/>
      </w:pPr>
      <w:r>
        <w:t>Outputs</w:t>
      </w:r>
    </w:p>
    <w:p w14:paraId="42089B72" w14:textId="325ACF27" w:rsidR="00C306A8" w:rsidRDefault="00C306A8" w:rsidP="00C306A8">
      <w:pPr>
        <w:pStyle w:val="Heading3"/>
      </w:pPr>
      <w:r>
        <w:t>Bus Services</w:t>
      </w:r>
      <w:r>
        <w:tab/>
        <w:t>(2026-27: $</w:t>
      </w:r>
      <w:r w:rsidR="00195F8B" w:rsidRPr="007B59FC">
        <w:t>1 685.6</w:t>
      </w:r>
      <w:r w:rsidR="00195F8B">
        <w:t xml:space="preserve"> </w:t>
      </w:r>
      <w:r>
        <w:t>million)</w:t>
      </w:r>
    </w:p>
    <w:p w14:paraId="5F403064" w14:textId="77777777" w:rsidR="00C306A8" w:rsidRPr="003775FE" w:rsidRDefault="00C306A8" w:rsidP="00C306A8">
      <w:pPr>
        <w:spacing w:after="120"/>
      </w:pPr>
      <w:r w:rsidRPr="003775FE">
        <w:t>This output delivers reliable and cost-effective statewide bus services and infrastructure investments, including services delivered through contractual arrangements with private operators.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C306A8" w14:paraId="489A40D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C8D4D36" w14:textId="77777777" w:rsidR="00C306A8" w:rsidRDefault="00C306A8">
            <w:r>
              <w:t>Performance measure</w:t>
            </w:r>
          </w:p>
        </w:tc>
        <w:tc>
          <w:tcPr>
            <w:tcW w:w="964" w:type="dxa"/>
          </w:tcPr>
          <w:p w14:paraId="13D7E524"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C7E455B"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337A57F"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8D4F97D"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D74101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14:paraId="09320BB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B61C98" w14:textId="79FD68C6" w:rsidR="00C306A8" w:rsidRDefault="00436906">
            <w:pPr>
              <w:keepNext/>
              <w:rPr>
                <w:b/>
                <w:bCs/>
                <w:iCs/>
              </w:rPr>
            </w:pPr>
            <w:r>
              <w:rPr>
                <w:b/>
                <w:bCs/>
                <w:iCs/>
              </w:rPr>
              <w:t>BUS SERVICES – METROPOLITAN</w:t>
            </w:r>
          </w:p>
          <w:p w14:paraId="4573DEAA" w14:textId="77777777" w:rsidR="00C306A8" w:rsidRPr="00222666" w:rsidRDefault="00C306A8">
            <w:pPr>
              <w:keepNext/>
            </w:pPr>
            <w:r>
              <w:rPr>
                <w:iCs/>
              </w:rPr>
              <w:t>This sub-output reports on bus services delivered in metropolitan Melbourne.</w:t>
            </w:r>
          </w:p>
        </w:tc>
      </w:tr>
      <w:tr w:rsidR="00C306A8" w:rsidRPr="00674005" w14:paraId="680E948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5FF8D4F5" w14:textId="77777777" w:rsidR="00C306A8" w:rsidRPr="00674005" w:rsidRDefault="00C306A8">
            <w:pPr>
              <w:keepNext/>
              <w:rPr>
                <w:b/>
              </w:rPr>
            </w:pPr>
            <w:r w:rsidRPr="00674005">
              <w:rPr>
                <w:b/>
              </w:rPr>
              <w:t>Quantity</w:t>
            </w:r>
          </w:p>
        </w:tc>
      </w:tr>
      <w:tr w:rsidR="00C306A8" w14:paraId="3AD2576F" w14:textId="77777777">
        <w:tc>
          <w:tcPr>
            <w:cnfStyle w:val="001000000000" w:firstRow="0" w:lastRow="0" w:firstColumn="1" w:lastColumn="0" w:oddVBand="0" w:evenVBand="0" w:oddHBand="0" w:evenHBand="0" w:firstRowFirstColumn="0" w:firstRowLastColumn="0" w:lastRowFirstColumn="0" w:lastRowLastColumn="0"/>
            <w:tcW w:w="4819" w:type="dxa"/>
          </w:tcPr>
          <w:p w14:paraId="126574A9" w14:textId="77777777" w:rsidR="00C306A8" w:rsidRDefault="00C306A8">
            <w:pPr>
              <w:keepNext/>
              <w:ind w:left="170"/>
            </w:pPr>
            <w:r>
              <w:t>Payments made for: metropolitan bus services</w:t>
            </w:r>
          </w:p>
        </w:tc>
        <w:tc>
          <w:tcPr>
            <w:tcW w:w="964" w:type="dxa"/>
          </w:tcPr>
          <w:p w14:paraId="59393AE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395A303" w14:textId="77777777" w:rsidR="00C306A8" w:rsidRDefault="00C306A8">
            <w:pPr>
              <w:cnfStyle w:val="000000000000" w:firstRow="0" w:lastRow="0" w:firstColumn="0" w:lastColumn="0" w:oddVBand="0" w:evenVBand="0" w:oddHBand="0" w:evenHBand="0" w:firstRowFirstColumn="0" w:firstRowLastColumn="0" w:lastRowFirstColumn="0" w:lastRowLastColumn="0"/>
            </w:pPr>
            <w:r>
              <w:t>990.3</w:t>
            </w:r>
          </w:p>
        </w:tc>
        <w:tc>
          <w:tcPr>
            <w:tcW w:w="964" w:type="dxa"/>
          </w:tcPr>
          <w:p w14:paraId="1E9B5D91" w14:textId="77777777" w:rsidR="00C306A8" w:rsidRDefault="00C306A8">
            <w:pPr>
              <w:cnfStyle w:val="000000000000" w:firstRow="0" w:lastRow="0" w:firstColumn="0" w:lastColumn="0" w:oddVBand="0" w:evenVBand="0" w:oddHBand="0" w:evenHBand="0" w:firstRowFirstColumn="0" w:firstRowLastColumn="0" w:lastRowFirstColumn="0" w:lastRowLastColumn="0"/>
            </w:pPr>
            <w:r>
              <w:t>944.4</w:t>
            </w:r>
          </w:p>
        </w:tc>
        <w:tc>
          <w:tcPr>
            <w:tcW w:w="964" w:type="dxa"/>
          </w:tcPr>
          <w:p w14:paraId="49615559" w14:textId="77777777" w:rsidR="00C306A8" w:rsidRDefault="00C306A8">
            <w:pPr>
              <w:cnfStyle w:val="000000000000" w:firstRow="0" w:lastRow="0" w:firstColumn="0" w:lastColumn="0" w:oddVBand="0" w:evenVBand="0" w:oddHBand="0" w:evenHBand="0" w:firstRowFirstColumn="0" w:firstRowLastColumn="0" w:lastRowFirstColumn="0" w:lastRowLastColumn="0"/>
            </w:pPr>
            <w:r>
              <w:t>944.4</w:t>
            </w:r>
          </w:p>
        </w:tc>
        <w:tc>
          <w:tcPr>
            <w:tcW w:w="964" w:type="dxa"/>
          </w:tcPr>
          <w:p w14:paraId="361410B9" w14:textId="77777777" w:rsidR="00C306A8" w:rsidRDefault="00C306A8">
            <w:pPr>
              <w:cnfStyle w:val="000000000000" w:firstRow="0" w:lastRow="0" w:firstColumn="0" w:lastColumn="0" w:oddVBand="0" w:evenVBand="0" w:oddHBand="0" w:evenHBand="0" w:firstRowFirstColumn="0" w:firstRowLastColumn="0" w:lastRowFirstColumn="0" w:lastRowLastColumn="0"/>
            </w:pPr>
            <w:r>
              <w:t>887.1</w:t>
            </w:r>
          </w:p>
        </w:tc>
      </w:tr>
      <w:tr w:rsidR="00C306A8" w14:paraId="3576103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2710914" w14:textId="03ED4AC1" w:rsidR="00C306A8" w:rsidRDefault="00C306A8">
            <w:pPr>
              <w:ind w:left="170"/>
            </w:pPr>
            <w:r>
              <w:rPr>
                <w:i/>
              </w:rPr>
              <w:t>The higher 2026-27 target primarily reflects additional investment for new and improved metropolitan bus services.</w:t>
            </w:r>
          </w:p>
        </w:tc>
      </w:tr>
      <w:tr w:rsidR="00C306A8" w14:paraId="521703D9" w14:textId="77777777">
        <w:tc>
          <w:tcPr>
            <w:cnfStyle w:val="001000000000" w:firstRow="0" w:lastRow="0" w:firstColumn="1" w:lastColumn="0" w:oddVBand="0" w:evenVBand="0" w:oddHBand="0" w:evenHBand="0" w:firstRowFirstColumn="0" w:firstRowLastColumn="0" w:lastRowFirstColumn="0" w:lastRowLastColumn="0"/>
            <w:tcW w:w="4819" w:type="dxa"/>
          </w:tcPr>
          <w:p w14:paraId="0D59FB69" w14:textId="77777777" w:rsidR="00C306A8" w:rsidRDefault="00C306A8">
            <w:pPr>
              <w:keepNext/>
              <w:ind w:left="170"/>
            </w:pPr>
            <w:r w:rsidRPr="00DC4531">
              <w:t>Passengers carried</w:t>
            </w:r>
            <w:r>
              <w:t>: metropolitan bus</w:t>
            </w:r>
            <w:r w:rsidRPr="00DC4531">
              <w:t xml:space="preserve"> services</w:t>
            </w:r>
          </w:p>
        </w:tc>
        <w:tc>
          <w:tcPr>
            <w:tcW w:w="964" w:type="dxa"/>
          </w:tcPr>
          <w:p w14:paraId="500E994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r>
              <w:br/>
              <w:t>(million)</w:t>
            </w:r>
          </w:p>
        </w:tc>
        <w:tc>
          <w:tcPr>
            <w:tcW w:w="964" w:type="dxa"/>
            <w:shd w:val="clear" w:color="auto" w:fill="F0F0F0"/>
          </w:tcPr>
          <w:p w14:paraId="5B1BF49D" w14:textId="77777777" w:rsidR="00C306A8" w:rsidRDefault="00C306A8">
            <w:pPr>
              <w:cnfStyle w:val="000000000000" w:firstRow="0" w:lastRow="0" w:firstColumn="0" w:lastColumn="0" w:oddVBand="0" w:evenVBand="0" w:oddHBand="0" w:evenHBand="0" w:firstRowFirstColumn="0" w:firstRowLastColumn="0" w:lastRowFirstColumn="0" w:lastRowLastColumn="0"/>
            </w:pPr>
            <w:r>
              <w:t>120</w:t>
            </w:r>
          </w:p>
        </w:tc>
        <w:tc>
          <w:tcPr>
            <w:tcW w:w="964" w:type="dxa"/>
          </w:tcPr>
          <w:p w14:paraId="5A841C7A" w14:textId="77777777" w:rsidR="00C306A8" w:rsidRDefault="00C306A8">
            <w:pPr>
              <w:cnfStyle w:val="000000000000" w:firstRow="0" w:lastRow="0" w:firstColumn="0" w:lastColumn="0" w:oddVBand="0" w:evenVBand="0" w:oddHBand="0" w:evenHBand="0" w:firstRowFirstColumn="0" w:firstRowLastColumn="0" w:lastRowFirstColumn="0" w:lastRowLastColumn="0"/>
            </w:pPr>
            <w:r>
              <w:t>115.1</w:t>
            </w:r>
          </w:p>
        </w:tc>
        <w:tc>
          <w:tcPr>
            <w:tcW w:w="964" w:type="dxa"/>
          </w:tcPr>
          <w:p w14:paraId="19454E50" w14:textId="77777777" w:rsidR="00C306A8" w:rsidRDefault="00C306A8">
            <w:pPr>
              <w:cnfStyle w:val="000000000000" w:firstRow="0" w:lastRow="0" w:firstColumn="0" w:lastColumn="0" w:oddVBand="0" w:evenVBand="0" w:oddHBand="0" w:evenHBand="0" w:firstRowFirstColumn="0" w:firstRowLastColumn="0" w:lastRowFirstColumn="0" w:lastRowLastColumn="0"/>
            </w:pPr>
            <w:r>
              <w:t>116.6</w:t>
            </w:r>
          </w:p>
        </w:tc>
        <w:tc>
          <w:tcPr>
            <w:tcW w:w="964" w:type="dxa"/>
          </w:tcPr>
          <w:p w14:paraId="12DA0C50" w14:textId="77777777" w:rsidR="00C306A8" w:rsidRDefault="00C306A8">
            <w:pPr>
              <w:cnfStyle w:val="000000000000" w:firstRow="0" w:lastRow="0" w:firstColumn="0" w:lastColumn="0" w:oddVBand="0" w:evenVBand="0" w:oddHBand="0" w:evenHBand="0" w:firstRowFirstColumn="0" w:firstRowLastColumn="0" w:lastRowFirstColumn="0" w:lastRowLastColumn="0"/>
            </w:pPr>
            <w:r>
              <w:t>114.9</w:t>
            </w:r>
          </w:p>
        </w:tc>
      </w:tr>
      <w:tr w:rsidR="00C306A8" w14:paraId="633D4BE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7FB6ACE" w14:textId="77777777" w:rsidR="00C306A8" w:rsidRDefault="00C306A8">
            <w:pPr>
              <w:ind w:left="170"/>
            </w:pPr>
            <w:r w:rsidRPr="000E2110">
              <w:rPr>
                <w:i/>
                <w:iCs/>
              </w:rPr>
              <w:t>The higher 2026-27 target reflects forecasted travel patterns following the introduction of initiatives such as youth Myki, free weekend travel for some cohorts, and half-price travel for all Victorians, and also incorporates changes in methodology for recording patronage across public transport modes.</w:t>
            </w:r>
          </w:p>
        </w:tc>
      </w:tr>
      <w:tr w:rsidR="00C306A8" w14:paraId="5EA6BCE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195F2C6" w14:textId="77777777" w:rsidR="00C306A8" w:rsidRDefault="00C306A8">
            <w:pPr>
              <w:ind w:left="170"/>
            </w:pPr>
            <w:r>
              <w:t>Scheduled services delivered: metropolitan bus</w:t>
            </w:r>
          </w:p>
        </w:tc>
        <w:tc>
          <w:tcPr>
            <w:tcW w:w="964" w:type="dxa"/>
            <w:tcBorders>
              <w:bottom w:val="single" w:sz="6" w:space="0" w:color="auto"/>
            </w:tcBorders>
          </w:tcPr>
          <w:p w14:paraId="308F7A8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B5D979E" w14:textId="77777777" w:rsidR="00C306A8" w:rsidRDefault="00C306A8">
            <w:pPr>
              <w:cnfStyle w:val="000000000000" w:firstRow="0" w:lastRow="0" w:firstColumn="0" w:lastColumn="0" w:oddVBand="0" w:evenVBand="0" w:oddHBand="0" w:evenHBand="0" w:firstRowFirstColumn="0" w:firstRowLastColumn="0" w:lastRowFirstColumn="0" w:lastRowLastColumn="0"/>
            </w:pPr>
            <w:r>
              <w:t>99.9</w:t>
            </w:r>
          </w:p>
        </w:tc>
        <w:tc>
          <w:tcPr>
            <w:tcW w:w="964" w:type="dxa"/>
            <w:tcBorders>
              <w:bottom w:val="single" w:sz="6" w:space="0" w:color="auto"/>
            </w:tcBorders>
          </w:tcPr>
          <w:p w14:paraId="208E4FCF" w14:textId="77777777" w:rsidR="00C306A8" w:rsidRDefault="00C306A8">
            <w:pPr>
              <w:cnfStyle w:val="000000000000" w:firstRow="0" w:lastRow="0" w:firstColumn="0" w:lastColumn="0" w:oddVBand="0" w:evenVBand="0" w:oddHBand="0" w:evenHBand="0" w:firstRowFirstColumn="0" w:firstRowLastColumn="0" w:lastRowFirstColumn="0" w:lastRowLastColumn="0"/>
            </w:pPr>
            <w:r>
              <w:t>99.9</w:t>
            </w:r>
          </w:p>
        </w:tc>
        <w:tc>
          <w:tcPr>
            <w:tcW w:w="964" w:type="dxa"/>
            <w:tcBorders>
              <w:bottom w:val="single" w:sz="6" w:space="0" w:color="auto"/>
            </w:tcBorders>
          </w:tcPr>
          <w:p w14:paraId="0E986FA6" w14:textId="77777777" w:rsidR="00C306A8" w:rsidRDefault="00C306A8">
            <w:pPr>
              <w:cnfStyle w:val="000000000000" w:firstRow="0" w:lastRow="0" w:firstColumn="0" w:lastColumn="0" w:oddVBand="0" w:evenVBand="0" w:oddHBand="0" w:evenHBand="0" w:firstRowFirstColumn="0" w:firstRowLastColumn="0" w:lastRowFirstColumn="0" w:lastRowLastColumn="0"/>
            </w:pPr>
            <w:r>
              <w:t>99.9</w:t>
            </w:r>
          </w:p>
        </w:tc>
        <w:tc>
          <w:tcPr>
            <w:tcW w:w="964" w:type="dxa"/>
            <w:tcBorders>
              <w:bottom w:val="single" w:sz="6" w:space="0" w:color="auto"/>
            </w:tcBorders>
          </w:tcPr>
          <w:p w14:paraId="08FFF6AB"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r>
      <w:tr w:rsidR="00C306A8" w14:paraId="2229F559" w14:textId="77777777">
        <w:tc>
          <w:tcPr>
            <w:cnfStyle w:val="001000000000" w:firstRow="0" w:lastRow="0" w:firstColumn="1" w:lastColumn="0" w:oddVBand="0" w:evenVBand="0" w:oddHBand="0" w:evenHBand="0" w:firstRowFirstColumn="0" w:firstRowLastColumn="0" w:lastRowFirstColumn="0" w:lastRowLastColumn="0"/>
            <w:tcW w:w="4819" w:type="dxa"/>
          </w:tcPr>
          <w:p w14:paraId="3DAA18BA" w14:textId="77777777" w:rsidR="00C306A8" w:rsidRDefault="00C306A8">
            <w:pPr>
              <w:keepNext/>
              <w:ind w:left="170"/>
            </w:pPr>
            <w:r>
              <w:t>Total kilometres scheduled: metropolitan bus</w:t>
            </w:r>
          </w:p>
        </w:tc>
        <w:tc>
          <w:tcPr>
            <w:tcW w:w="964" w:type="dxa"/>
          </w:tcPr>
          <w:p w14:paraId="4183687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shd w:val="clear" w:color="auto" w:fill="F0F0F0"/>
          </w:tcPr>
          <w:p w14:paraId="694C8A34" w14:textId="77777777" w:rsidR="00C306A8" w:rsidRDefault="00C306A8">
            <w:pPr>
              <w:cnfStyle w:val="000000000000" w:firstRow="0" w:lastRow="0" w:firstColumn="0" w:lastColumn="0" w:oddVBand="0" w:evenVBand="0" w:oddHBand="0" w:evenHBand="0" w:firstRowFirstColumn="0" w:firstRowLastColumn="0" w:lastRowFirstColumn="0" w:lastRowLastColumn="0"/>
            </w:pPr>
            <w:r>
              <w:t>135</w:t>
            </w:r>
          </w:p>
        </w:tc>
        <w:tc>
          <w:tcPr>
            <w:tcW w:w="964" w:type="dxa"/>
          </w:tcPr>
          <w:p w14:paraId="385EE454" w14:textId="77777777" w:rsidR="00C306A8" w:rsidRDefault="00C306A8">
            <w:pPr>
              <w:cnfStyle w:val="000000000000" w:firstRow="0" w:lastRow="0" w:firstColumn="0" w:lastColumn="0" w:oddVBand="0" w:evenVBand="0" w:oddHBand="0" w:evenHBand="0" w:firstRowFirstColumn="0" w:firstRowLastColumn="0" w:lastRowFirstColumn="0" w:lastRowLastColumn="0"/>
            </w:pPr>
            <w:r>
              <w:t>134.1</w:t>
            </w:r>
          </w:p>
        </w:tc>
        <w:tc>
          <w:tcPr>
            <w:tcW w:w="964" w:type="dxa"/>
          </w:tcPr>
          <w:p w14:paraId="2B6A3286" w14:textId="77777777" w:rsidR="00C306A8" w:rsidRDefault="00C306A8">
            <w:pPr>
              <w:cnfStyle w:val="000000000000" w:firstRow="0" w:lastRow="0" w:firstColumn="0" w:lastColumn="0" w:oddVBand="0" w:evenVBand="0" w:oddHBand="0" w:evenHBand="0" w:firstRowFirstColumn="0" w:firstRowLastColumn="0" w:lastRowFirstColumn="0" w:lastRowLastColumn="0"/>
            </w:pPr>
            <w:r>
              <w:t>133</w:t>
            </w:r>
          </w:p>
        </w:tc>
        <w:tc>
          <w:tcPr>
            <w:tcW w:w="964" w:type="dxa"/>
          </w:tcPr>
          <w:p w14:paraId="24210783" w14:textId="77777777" w:rsidR="00C306A8" w:rsidRDefault="00C306A8">
            <w:pPr>
              <w:cnfStyle w:val="000000000000" w:firstRow="0" w:lastRow="0" w:firstColumn="0" w:lastColumn="0" w:oddVBand="0" w:evenVBand="0" w:oddHBand="0" w:evenHBand="0" w:firstRowFirstColumn="0" w:firstRowLastColumn="0" w:lastRowFirstColumn="0" w:lastRowLastColumn="0"/>
            </w:pPr>
            <w:r>
              <w:t>133</w:t>
            </w:r>
          </w:p>
        </w:tc>
      </w:tr>
      <w:tr w:rsidR="00C306A8" w14:paraId="6AEE802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B6191F" w14:textId="77777777" w:rsidR="00C306A8" w:rsidRDefault="00C306A8">
            <w:pPr>
              <w:ind w:left="170"/>
            </w:pPr>
            <w:r w:rsidRPr="589716DC">
              <w:rPr>
                <w:i/>
                <w:iCs/>
              </w:rPr>
              <w:t>The higher 2026-27 target reflects scheduled service changes as a result of additional investment in new and improved metropolitan bus services.</w:t>
            </w:r>
          </w:p>
        </w:tc>
      </w:tr>
      <w:tr w:rsidR="00C306A8" w:rsidRPr="00674005" w14:paraId="5ABA005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AB7DD84" w14:textId="77777777" w:rsidR="00C306A8" w:rsidRPr="00674005" w:rsidRDefault="00C306A8">
            <w:pPr>
              <w:keepNext/>
              <w:rPr>
                <w:b/>
              </w:rPr>
            </w:pPr>
            <w:r w:rsidRPr="00674005">
              <w:rPr>
                <w:b/>
              </w:rPr>
              <w:t>Quality</w:t>
            </w:r>
          </w:p>
        </w:tc>
      </w:tr>
      <w:tr w:rsidR="00C306A8" w14:paraId="04C79EF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CAD1A2C" w14:textId="77777777" w:rsidR="00C306A8" w:rsidRDefault="00C306A8">
            <w:pPr>
              <w:ind w:left="170"/>
            </w:pPr>
            <w:r>
              <w:t>Customer experience index: metropolitan bus services</w:t>
            </w:r>
          </w:p>
        </w:tc>
        <w:tc>
          <w:tcPr>
            <w:tcW w:w="964" w:type="dxa"/>
            <w:tcBorders>
              <w:bottom w:val="single" w:sz="6" w:space="0" w:color="auto"/>
            </w:tcBorders>
          </w:tcPr>
          <w:p w14:paraId="07D1E5C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bottom w:val="single" w:sz="6" w:space="0" w:color="auto"/>
            </w:tcBorders>
            <w:shd w:val="clear" w:color="auto" w:fill="F0F0F0"/>
          </w:tcPr>
          <w:p w14:paraId="1A68A3F7"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bottom w:val="single" w:sz="6" w:space="0" w:color="auto"/>
            </w:tcBorders>
          </w:tcPr>
          <w:p w14:paraId="3B66F5B3" w14:textId="77777777" w:rsidR="00C306A8" w:rsidRDefault="00C306A8">
            <w:pPr>
              <w:cnfStyle w:val="000000000000" w:firstRow="0" w:lastRow="0" w:firstColumn="0" w:lastColumn="0" w:oddVBand="0" w:evenVBand="0" w:oddHBand="0" w:evenHBand="0" w:firstRowFirstColumn="0" w:firstRowLastColumn="0" w:lastRowFirstColumn="0" w:lastRowLastColumn="0"/>
            </w:pPr>
            <w:r>
              <w:t>79</w:t>
            </w:r>
          </w:p>
        </w:tc>
        <w:tc>
          <w:tcPr>
            <w:tcW w:w="964" w:type="dxa"/>
            <w:tcBorders>
              <w:bottom w:val="single" w:sz="6" w:space="0" w:color="auto"/>
            </w:tcBorders>
          </w:tcPr>
          <w:p w14:paraId="77ECABFD"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bottom w:val="single" w:sz="6" w:space="0" w:color="auto"/>
            </w:tcBorders>
          </w:tcPr>
          <w:p w14:paraId="4D8F128E" w14:textId="77777777" w:rsidR="00C306A8" w:rsidRDefault="00C306A8">
            <w:pPr>
              <w:cnfStyle w:val="000000000000" w:firstRow="0" w:lastRow="0" w:firstColumn="0" w:lastColumn="0" w:oddVBand="0" w:evenVBand="0" w:oddHBand="0" w:evenHBand="0" w:firstRowFirstColumn="0" w:firstRowLastColumn="0" w:lastRowFirstColumn="0" w:lastRowLastColumn="0"/>
            </w:pPr>
            <w:r>
              <w:t>76.7</w:t>
            </w:r>
          </w:p>
        </w:tc>
      </w:tr>
      <w:tr w:rsidR="00C306A8" w14:paraId="6231765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92B1BBC" w14:textId="77777777" w:rsidR="00C306A8" w:rsidRDefault="00C306A8">
            <w:pPr>
              <w:ind w:left="170"/>
            </w:pPr>
            <w:r>
              <w:t>Metropolitan fare compliance rate: bus services</w:t>
            </w:r>
          </w:p>
        </w:tc>
        <w:tc>
          <w:tcPr>
            <w:tcW w:w="964" w:type="dxa"/>
            <w:tcBorders>
              <w:bottom w:val="single" w:sz="6" w:space="0" w:color="auto"/>
            </w:tcBorders>
          </w:tcPr>
          <w:p w14:paraId="05D3F49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F5BBB25" w14:textId="77777777" w:rsidR="00C306A8" w:rsidRDefault="00C306A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6D27564D" w14:textId="77777777" w:rsidR="00C306A8" w:rsidRDefault="00C306A8">
            <w:pPr>
              <w:cnfStyle w:val="000000000000" w:firstRow="0" w:lastRow="0" w:firstColumn="0" w:lastColumn="0" w:oddVBand="0" w:evenVBand="0" w:oddHBand="0" w:evenHBand="0" w:firstRowFirstColumn="0" w:firstRowLastColumn="0" w:lastRowFirstColumn="0" w:lastRowLastColumn="0"/>
            </w:pPr>
            <w:r>
              <w:t>91.9</w:t>
            </w:r>
          </w:p>
        </w:tc>
        <w:tc>
          <w:tcPr>
            <w:tcW w:w="964" w:type="dxa"/>
            <w:tcBorders>
              <w:bottom w:val="single" w:sz="6" w:space="0" w:color="auto"/>
            </w:tcBorders>
          </w:tcPr>
          <w:p w14:paraId="1926BC57" w14:textId="77777777" w:rsidR="00C306A8" w:rsidRDefault="00C306A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7E140C86" w14:textId="77777777" w:rsidR="00C306A8" w:rsidRDefault="00C306A8">
            <w:pPr>
              <w:cnfStyle w:val="000000000000" w:firstRow="0" w:lastRow="0" w:firstColumn="0" w:lastColumn="0" w:oddVBand="0" w:evenVBand="0" w:oddHBand="0" w:evenHBand="0" w:firstRowFirstColumn="0" w:firstRowLastColumn="0" w:lastRowFirstColumn="0" w:lastRowLastColumn="0"/>
            </w:pPr>
            <w:r>
              <w:t>94.3</w:t>
            </w:r>
          </w:p>
        </w:tc>
      </w:tr>
      <w:tr w:rsidR="00C306A8" w:rsidRPr="00674005" w14:paraId="03AF3A5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E963656" w14:textId="77777777" w:rsidR="00C306A8" w:rsidRPr="00674005" w:rsidRDefault="00C306A8">
            <w:pPr>
              <w:keepNext/>
              <w:rPr>
                <w:b/>
              </w:rPr>
            </w:pPr>
            <w:r w:rsidRPr="00674005">
              <w:rPr>
                <w:b/>
              </w:rPr>
              <w:t>Timeliness</w:t>
            </w:r>
          </w:p>
        </w:tc>
      </w:tr>
      <w:tr w:rsidR="00C306A8" w14:paraId="0A2BF1B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45DDED0" w14:textId="77777777" w:rsidR="00C306A8" w:rsidRDefault="00C306A8">
            <w:pPr>
              <w:ind w:left="170"/>
            </w:pPr>
            <w:r>
              <w:t>Service punctuality for: metropolitan bus services</w:t>
            </w:r>
          </w:p>
        </w:tc>
        <w:tc>
          <w:tcPr>
            <w:tcW w:w="964" w:type="dxa"/>
            <w:tcBorders>
              <w:bottom w:val="single" w:sz="6" w:space="0" w:color="auto"/>
            </w:tcBorders>
          </w:tcPr>
          <w:p w14:paraId="5039CF2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4CC8267" w14:textId="77777777" w:rsidR="00C306A8" w:rsidRDefault="00C306A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44B37997" w14:textId="77777777" w:rsidR="00C306A8" w:rsidRDefault="00C306A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344C7D55" w14:textId="77777777" w:rsidR="00C306A8" w:rsidRDefault="00C306A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7570F9CC" w14:textId="77777777" w:rsidR="00C306A8" w:rsidRDefault="00C306A8">
            <w:pPr>
              <w:cnfStyle w:val="000000000000" w:firstRow="0" w:lastRow="0" w:firstColumn="0" w:lastColumn="0" w:oddVBand="0" w:evenVBand="0" w:oddHBand="0" w:evenHBand="0" w:firstRowFirstColumn="0" w:firstRowLastColumn="0" w:lastRowFirstColumn="0" w:lastRowLastColumn="0"/>
            </w:pPr>
            <w:r>
              <w:t>89.6</w:t>
            </w:r>
          </w:p>
        </w:tc>
      </w:tr>
      <w:tr w:rsidR="00C306A8" w:rsidRPr="00674005" w14:paraId="49481A0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2E57F0E" w14:textId="77777777" w:rsidR="00C306A8" w:rsidRPr="00674005" w:rsidRDefault="00C306A8">
            <w:pPr>
              <w:keepNext/>
              <w:rPr>
                <w:b/>
              </w:rPr>
            </w:pPr>
            <w:r w:rsidRPr="00674005">
              <w:rPr>
                <w:b/>
              </w:rPr>
              <w:t>Cost</w:t>
            </w:r>
          </w:p>
        </w:tc>
      </w:tr>
      <w:tr w:rsidR="00C306A8" w14:paraId="04091767" w14:textId="77777777">
        <w:tc>
          <w:tcPr>
            <w:cnfStyle w:val="001000000000" w:firstRow="0" w:lastRow="0" w:firstColumn="1" w:lastColumn="0" w:oddVBand="0" w:evenVBand="0" w:oddHBand="0" w:evenHBand="0" w:firstRowFirstColumn="0" w:firstRowLastColumn="0" w:lastRowFirstColumn="0" w:lastRowLastColumn="0"/>
            <w:tcW w:w="4819" w:type="dxa"/>
          </w:tcPr>
          <w:p w14:paraId="6E1C0FA7" w14:textId="5F8F6DF1" w:rsidR="00C306A8" w:rsidRDefault="00C306A8">
            <w:pPr>
              <w:keepNext/>
              <w:ind w:left="170"/>
            </w:pPr>
            <w:r>
              <w:t xml:space="preserve">Sub-output cost </w:t>
            </w:r>
            <w:r w:rsidR="00AD4833">
              <w:t>–</w:t>
            </w:r>
            <w:r>
              <w:t xml:space="preserve"> metropolitan</w:t>
            </w:r>
          </w:p>
        </w:tc>
        <w:tc>
          <w:tcPr>
            <w:tcW w:w="964" w:type="dxa"/>
          </w:tcPr>
          <w:p w14:paraId="45917CF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9730C61" w14:textId="77777777" w:rsidR="00C306A8" w:rsidRDefault="00C306A8">
            <w:pPr>
              <w:cnfStyle w:val="000000000000" w:firstRow="0" w:lastRow="0" w:firstColumn="0" w:lastColumn="0" w:oddVBand="0" w:evenVBand="0" w:oddHBand="0" w:evenHBand="0" w:firstRowFirstColumn="0" w:firstRowLastColumn="0" w:lastRowFirstColumn="0" w:lastRowLastColumn="0"/>
            </w:pPr>
            <w:r>
              <w:t>1 144.9</w:t>
            </w:r>
          </w:p>
        </w:tc>
        <w:tc>
          <w:tcPr>
            <w:tcW w:w="964" w:type="dxa"/>
          </w:tcPr>
          <w:p w14:paraId="4DAED57B" w14:textId="41598A81" w:rsidR="00C306A8" w:rsidRDefault="00C306A8">
            <w:pPr>
              <w:cnfStyle w:val="000000000000" w:firstRow="0" w:lastRow="0" w:firstColumn="0" w:lastColumn="0" w:oddVBand="0" w:evenVBand="0" w:oddHBand="0" w:evenHBand="0" w:firstRowFirstColumn="0" w:firstRowLastColumn="0" w:lastRowFirstColumn="0" w:lastRowLastColumn="0"/>
            </w:pPr>
            <w:r>
              <w:t>1</w:t>
            </w:r>
            <w:r w:rsidR="00D94E85">
              <w:t xml:space="preserve"> </w:t>
            </w:r>
            <w:r>
              <w:t>155.3</w:t>
            </w:r>
          </w:p>
        </w:tc>
        <w:tc>
          <w:tcPr>
            <w:tcW w:w="964" w:type="dxa"/>
          </w:tcPr>
          <w:p w14:paraId="4740AD6B" w14:textId="77777777" w:rsidR="00C306A8" w:rsidRDefault="00C306A8">
            <w:pPr>
              <w:cnfStyle w:val="000000000000" w:firstRow="0" w:lastRow="0" w:firstColumn="0" w:lastColumn="0" w:oddVBand="0" w:evenVBand="0" w:oddHBand="0" w:evenHBand="0" w:firstRowFirstColumn="0" w:firstRowLastColumn="0" w:lastRowFirstColumn="0" w:lastRowLastColumn="0"/>
            </w:pPr>
            <w:r>
              <w:t>1 093.8</w:t>
            </w:r>
          </w:p>
        </w:tc>
        <w:tc>
          <w:tcPr>
            <w:tcW w:w="964" w:type="dxa"/>
          </w:tcPr>
          <w:p w14:paraId="1749C4A1" w14:textId="77777777" w:rsidR="00C306A8" w:rsidRDefault="00C306A8">
            <w:pPr>
              <w:cnfStyle w:val="000000000000" w:firstRow="0" w:lastRow="0" w:firstColumn="0" w:lastColumn="0" w:oddVBand="0" w:evenVBand="0" w:oddHBand="0" w:evenHBand="0" w:firstRowFirstColumn="0" w:firstRowLastColumn="0" w:lastRowFirstColumn="0" w:lastRowLastColumn="0"/>
            </w:pPr>
            <w:r>
              <w:t>1 008.2</w:t>
            </w:r>
          </w:p>
        </w:tc>
      </w:tr>
      <w:tr w:rsidR="00C306A8" w14:paraId="4490E545" w14:textId="77777777" w:rsidTr="0067400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3BD2B89" w14:textId="23236024" w:rsidR="00434A39" w:rsidRPr="00444BFE" w:rsidRDefault="00434A39" w:rsidP="00434A39">
            <w:pPr>
              <w:ind w:left="170"/>
              <w:rPr>
                <w:i/>
              </w:rPr>
            </w:pPr>
            <w:r w:rsidRPr="00444BFE">
              <w:rPr>
                <w:i/>
              </w:rPr>
              <w:t>The 2025-26 expected outcome is higher than the 2025-26 target due to release of funding for the Metropolitan Zero Emission Bus Franchises, and additional investment in new and improved bus services.</w:t>
            </w:r>
          </w:p>
          <w:p w14:paraId="2CBF5E49" w14:textId="2B3BE8B5" w:rsidR="00C306A8" w:rsidRPr="00D068C5" w:rsidRDefault="00434A39" w:rsidP="00434A39">
            <w:pPr>
              <w:ind w:left="170"/>
              <w:rPr>
                <w:i/>
                <w:iCs/>
              </w:rPr>
            </w:pPr>
            <w:r w:rsidRPr="00444BFE">
              <w:rPr>
                <w:i/>
              </w:rPr>
              <w:t>The higher 2026-27 target is also the result of the investment in these new and improved bus services.</w:t>
            </w:r>
          </w:p>
        </w:tc>
      </w:tr>
      <w:tr w:rsidR="00C306A8" w:rsidRPr="00222666" w14:paraId="6C7F6F63" w14:textId="77777777" w:rsidTr="0067400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05B85E3D" w14:textId="5658CF79" w:rsidR="00C306A8" w:rsidRDefault="00674005" w:rsidP="00674005">
            <w:pPr>
              <w:keepNext/>
              <w:spacing w:before="60"/>
              <w:rPr>
                <w:b/>
                <w:bCs/>
                <w:iCs/>
              </w:rPr>
            </w:pPr>
            <w:r>
              <w:rPr>
                <w:b/>
                <w:bCs/>
                <w:iCs/>
              </w:rPr>
              <w:t>BUS SERVICES – REGIONAL</w:t>
            </w:r>
          </w:p>
          <w:p w14:paraId="0D03F94B" w14:textId="77777777" w:rsidR="00C306A8" w:rsidRPr="00222666" w:rsidRDefault="00C306A8">
            <w:pPr>
              <w:keepNext/>
              <w:rPr>
                <w:iCs/>
              </w:rPr>
            </w:pPr>
            <w:r>
              <w:rPr>
                <w:iCs/>
              </w:rPr>
              <w:t>This sub-output reports on bus services delivered in regional Victoria.</w:t>
            </w:r>
          </w:p>
        </w:tc>
      </w:tr>
      <w:tr w:rsidR="00C306A8" w:rsidRPr="00674005" w14:paraId="27775C1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6FE10B31" w14:textId="77777777" w:rsidR="00C306A8" w:rsidRPr="00674005" w:rsidRDefault="00C306A8">
            <w:pPr>
              <w:keepNext/>
              <w:rPr>
                <w:b/>
              </w:rPr>
            </w:pPr>
            <w:r w:rsidRPr="00674005">
              <w:rPr>
                <w:b/>
              </w:rPr>
              <w:t>Quantity</w:t>
            </w:r>
          </w:p>
        </w:tc>
      </w:tr>
      <w:tr w:rsidR="00C306A8" w14:paraId="7F524E69" w14:textId="77777777">
        <w:tc>
          <w:tcPr>
            <w:cnfStyle w:val="001000000000" w:firstRow="0" w:lastRow="0" w:firstColumn="1" w:lastColumn="0" w:oddVBand="0" w:evenVBand="0" w:oddHBand="0" w:evenHBand="0" w:firstRowFirstColumn="0" w:firstRowLastColumn="0" w:lastRowFirstColumn="0" w:lastRowLastColumn="0"/>
            <w:tcW w:w="4819" w:type="dxa"/>
          </w:tcPr>
          <w:p w14:paraId="29150A51" w14:textId="77777777" w:rsidR="00C306A8" w:rsidRDefault="00C306A8">
            <w:pPr>
              <w:keepNext/>
              <w:ind w:left="170"/>
            </w:pPr>
            <w:r>
              <w:t>Payments made for: regional bus services</w:t>
            </w:r>
          </w:p>
        </w:tc>
        <w:tc>
          <w:tcPr>
            <w:tcW w:w="964" w:type="dxa"/>
          </w:tcPr>
          <w:p w14:paraId="27399A1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7D96E4C" w14:textId="77777777" w:rsidR="00C306A8" w:rsidRDefault="00C306A8">
            <w:pPr>
              <w:cnfStyle w:val="000000000000" w:firstRow="0" w:lastRow="0" w:firstColumn="0" w:lastColumn="0" w:oddVBand="0" w:evenVBand="0" w:oddHBand="0" w:evenHBand="0" w:firstRowFirstColumn="0" w:firstRowLastColumn="0" w:lastRowFirstColumn="0" w:lastRowLastColumn="0"/>
            </w:pPr>
            <w:r>
              <w:t>185.1</w:t>
            </w:r>
          </w:p>
        </w:tc>
        <w:tc>
          <w:tcPr>
            <w:tcW w:w="964" w:type="dxa"/>
          </w:tcPr>
          <w:p w14:paraId="1B6942D0" w14:textId="77777777" w:rsidR="00C306A8" w:rsidRDefault="00C306A8">
            <w:pPr>
              <w:cnfStyle w:val="000000000000" w:firstRow="0" w:lastRow="0" w:firstColumn="0" w:lastColumn="0" w:oddVBand="0" w:evenVBand="0" w:oddHBand="0" w:evenHBand="0" w:firstRowFirstColumn="0" w:firstRowLastColumn="0" w:lastRowFirstColumn="0" w:lastRowLastColumn="0"/>
            </w:pPr>
            <w:r>
              <w:t>175.6</w:t>
            </w:r>
          </w:p>
        </w:tc>
        <w:tc>
          <w:tcPr>
            <w:tcW w:w="964" w:type="dxa"/>
          </w:tcPr>
          <w:p w14:paraId="3034D9F0" w14:textId="77777777" w:rsidR="00C306A8" w:rsidRDefault="00C306A8">
            <w:pPr>
              <w:cnfStyle w:val="000000000000" w:firstRow="0" w:lastRow="0" w:firstColumn="0" w:lastColumn="0" w:oddVBand="0" w:evenVBand="0" w:oddHBand="0" w:evenHBand="0" w:firstRowFirstColumn="0" w:firstRowLastColumn="0" w:lastRowFirstColumn="0" w:lastRowLastColumn="0"/>
            </w:pPr>
            <w:r>
              <w:t>175.6</w:t>
            </w:r>
          </w:p>
        </w:tc>
        <w:tc>
          <w:tcPr>
            <w:tcW w:w="964" w:type="dxa"/>
          </w:tcPr>
          <w:p w14:paraId="7699A4C0" w14:textId="77777777" w:rsidR="00C306A8" w:rsidRDefault="00C306A8">
            <w:pPr>
              <w:cnfStyle w:val="000000000000" w:firstRow="0" w:lastRow="0" w:firstColumn="0" w:lastColumn="0" w:oddVBand="0" w:evenVBand="0" w:oddHBand="0" w:evenHBand="0" w:firstRowFirstColumn="0" w:firstRowLastColumn="0" w:lastRowFirstColumn="0" w:lastRowLastColumn="0"/>
            </w:pPr>
            <w:r>
              <w:t>170</w:t>
            </w:r>
          </w:p>
        </w:tc>
      </w:tr>
      <w:tr w:rsidR="00C306A8" w14:paraId="24997E3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3970B4E" w14:textId="77777777" w:rsidR="00C306A8" w:rsidRDefault="00C306A8">
            <w:pPr>
              <w:ind w:left="170"/>
            </w:pPr>
            <w:r>
              <w:rPr>
                <w:i/>
              </w:rPr>
              <w:t>The higher 2026-27 target primarily reflects indexation uplift and additional investment in new and improved regional bus services.</w:t>
            </w:r>
          </w:p>
        </w:tc>
      </w:tr>
      <w:tr w:rsidR="00C306A8" w14:paraId="386CB253" w14:textId="77777777">
        <w:tc>
          <w:tcPr>
            <w:cnfStyle w:val="001000000000" w:firstRow="0" w:lastRow="0" w:firstColumn="1" w:lastColumn="0" w:oddVBand="0" w:evenVBand="0" w:oddHBand="0" w:evenHBand="0" w:firstRowFirstColumn="0" w:firstRowLastColumn="0" w:lastRowFirstColumn="0" w:lastRowLastColumn="0"/>
            <w:tcW w:w="4819" w:type="dxa"/>
          </w:tcPr>
          <w:p w14:paraId="2F8CA7E7" w14:textId="77777777" w:rsidR="00C306A8" w:rsidRDefault="00C306A8">
            <w:pPr>
              <w:keepNext/>
              <w:ind w:left="170"/>
            </w:pPr>
            <w:r w:rsidRPr="00DC4531">
              <w:t xml:space="preserve">Passengers carried: </w:t>
            </w:r>
            <w:r>
              <w:t>regional</w:t>
            </w:r>
            <w:r w:rsidRPr="00DC4531">
              <w:t xml:space="preserve"> bus services</w:t>
            </w:r>
          </w:p>
        </w:tc>
        <w:tc>
          <w:tcPr>
            <w:tcW w:w="964" w:type="dxa"/>
          </w:tcPr>
          <w:p w14:paraId="4212162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r>
              <w:br/>
              <w:t>(million)</w:t>
            </w:r>
          </w:p>
        </w:tc>
        <w:tc>
          <w:tcPr>
            <w:tcW w:w="964" w:type="dxa"/>
            <w:shd w:val="clear" w:color="auto" w:fill="F0F0F0"/>
          </w:tcPr>
          <w:p w14:paraId="4AE953E0" w14:textId="77777777" w:rsidR="00C306A8" w:rsidRDefault="00C306A8">
            <w:pPr>
              <w:cnfStyle w:val="000000000000" w:firstRow="0" w:lastRow="0" w:firstColumn="0" w:lastColumn="0" w:oddVBand="0" w:evenVBand="0" w:oddHBand="0" w:evenHBand="0" w:firstRowFirstColumn="0" w:firstRowLastColumn="0" w:lastRowFirstColumn="0" w:lastRowLastColumn="0"/>
            </w:pPr>
            <w:r>
              <w:t>11.7</w:t>
            </w:r>
          </w:p>
        </w:tc>
        <w:tc>
          <w:tcPr>
            <w:tcW w:w="964" w:type="dxa"/>
          </w:tcPr>
          <w:p w14:paraId="7443938F" w14:textId="77777777" w:rsidR="00C306A8" w:rsidRDefault="00C306A8">
            <w:pPr>
              <w:cnfStyle w:val="000000000000" w:firstRow="0" w:lastRow="0" w:firstColumn="0" w:lastColumn="0" w:oddVBand="0" w:evenVBand="0" w:oddHBand="0" w:evenHBand="0" w:firstRowFirstColumn="0" w:firstRowLastColumn="0" w:lastRowFirstColumn="0" w:lastRowLastColumn="0"/>
            </w:pPr>
            <w:r>
              <w:t>11.6</w:t>
            </w:r>
          </w:p>
        </w:tc>
        <w:tc>
          <w:tcPr>
            <w:tcW w:w="964" w:type="dxa"/>
          </w:tcPr>
          <w:p w14:paraId="5F80D753" w14:textId="77777777" w:rsidR="00C306A8" w:rsidRDefault="00C306A8">
            <w:pPr>
              <w:cnfStyle w:val="000000000000" w:firstRow="0" w:lastRow="0" w:firstColumn="0" w:lastColumn="0" w:oddVBand="0" w:evenVBand="0" w:oddHBand="0" w:evenHBand="0" w:firstRowFirstColumn="0" w:firstRowLastColumn="0" w:lastRowFirstColumn="0" w:lastRowLastColumn="0"/>
            </w:pPr>
            <w:r>
              <w:t>12.3</w:t>
            </w:r>
          </w:p>
        </w:tc>
        <w:tc>
          <w:tcPr>
            <w:tcW w:w="964" w:type="dxa"/>
          </w:tcPr>
          <w:p w14:paraId="6CD16716" w14:textId="77777777" w:rsidR="00C306A8" w:rsidRDefault="00C306A8">
            <w:pPr>
              <w:cnfStyle w:val="000000000000" w:firstRow="0" w:lastRow="0" w:firstColumn="0" w:lastColumn="0" w:oddVBand="0" w:evenVBand="0" w:oddHBand="0" w:evenHBand="0" w:firstRowFirstColumn="0" w:firstRowLastColumn="0" w:lastRowFirstColumn="0" w:lastRowLastColumn="0"/>
            </w:pPr>
            <w:r>
              <w:t>12.3</w:t>
            </w:r>
          </w:p>
        </w:tc>
      </w:tr>
      <w:tr w:rsidR="00C306A8" w14:paraId="3BCE562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D01F364" w14:textId="7E8F59AB" w:rsidR="00C306A8" w:rsidRDefault="00C306A8">
            <w:pPr>
              <w:ind w:left="170"/>
              <w:rPr>
                <w:i/>
              </w:rPr>
            </w:pPr>
            <w:r w:rsidRPr="009E7529">
              <w:rPr>
                <w:i/>
              </w:rPr>
              <w:t>The 2025-26 expected outcome is lower than the 2025</w:t>
            </w:r>
            <w:r w:rsidR="00383570">
              <w:rPr>
                <w:i/>
              </w:rPr>
              <w:t>-</w:t>
            </w:r>
            <w:r w:rsidRPr="009E7529">
              <w:rPr>
                <w:i/>
              </w:rPr>
              <w:t xml:space="preserve">26 target due to </w:t>
            </w:r>
            <w:r w:rsidRPr="7C96164F">
              <w:rPr>
                <w:i/>
                <w:iCs/>
              </w:rPr>
              <w:t>changes in forecasting methodology</w:t>
            </w:r>
            <w:r>
              <w:rPr>
                <w:i/>
                <w:iCs/>
              </w:rPr>
              <w:t>.</w:t>
            </w:r>
          </w:p>
          <w:p w14:paraId="0EE329FC" w14:textId="77777777" w:rsidR="00C306A8" w:rsidRDefault="00C306A8">
            <w:pPr>
              <w:ind w:left="170"/>
            </w:pPr>
            <w:r w:rsidRPr="00CE5F96">
              <w:rPr>
                <w:i/>
              </w:rPr>
              <w:t xml:space="preserve">The </w:t>
            </w:r>
            <w:r>
              <w:rPr>
                <w:i/>
              </w:rPr>
              <w:t>lower</w:t>
            </w:r>
            <w:r w:rsidRPr="00CE5F96">
              <w:rPr>
                <w:i/>
              </w:rPr>
              <w:t xml:space="preserve"> 2026-27 target reflects </w:t>
            </w:r>
            <w:r>
              <w:rPr>
                <w:i/>
              </w:rPr>
              <w:t>these changes</w:t>
            </w:r>
            <w:r w:rsidRPr="00CE5F96">
              <w:rPr>
                <w:i/>
              </w:rPr>
              <w:t>.</w:t>
            </w:r>
          </w:p>
        </w:tc>
      </w:tr>
      <w:tr w:rsidR="00C306A8" w14:paraId="111DBB4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5CCEDF0" w14:textId="77777777" w:rsidR="00C306A8" w:rsidRDefault="00C306A8">
            <w:pPr>
              <w:ind w:left="170"/>
            </w:pPr>
            <w:r>
              <w:t>Scheduled services delivered: regional bus</w:t>
            </w:r>
          </w:p>
        </w:tc>
        <w:tc>
          <w:tcPr>
            <w:tcW w:w="964" w:type="dxa"/>
            <w:tcBorders>
              <w:bottom w:val="single" w:sz="6" w:space="0" w:color="auto"/>
            </w:tcBorders>
          </w:tcPr>
          <w:p w14:paraId="51D0F81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8CB47FA"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9951AB0"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82D95C0"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7D6A8FD" w14:textId="77777777" w:rsidR="00C306A8" w:rsidRDefault="00C306A8">
            <w:pPr>
              <w:cnfStyle w:val="000000000000" w:firstRow="0" w:lastRow="0" w:firstColumn="0" w:lastColumn="0" w:oddVBand="0" w:evenVBand="0" w:oddHBand="0" w:evenHBand="0" w:firstRowFirstColumn="0" w:firstRowLastColumn="0" w:lastRowFirstColumn="0" w:lastRowLastColumn="0"/>
            </w:pPr>
            <w:r>
              <w:t>99.9</w:t>
            </w:r>
          </w:p>
        </w:tc>
      </w:tr>
      <w:tr w:rsidR="00C306A8" w14:paraId="11C9891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CA5F2E0" w14:textId="77777777" w:rsidR="00C306A8" w:rsidRDefault="00C306A8">
            <w:pPr>
              <w:ind w:left="170"/>
            </w:pPr>
            <w:r>
              <w:t>Total kilometres scheduled: regional bus</w:t>
            </w:r>
          </w:p>
        </w:tc>
        <w:tc>
          <w:tcPr>
            <w:tcW w:w="964" w:type="dxa"/>
            <w:tcBorders>
              <w:bottom w:val="single" w:sz="6" w:space="0" w:color="auto"/>
            </w:tcBorders>
          </w:tcPr>
          <w:p w14:paraId="456346A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tcBorders>
              <w:bottom w:val="single" w:sz="6" w:space="0" w:color="auto"/>
            </w:tcBorders>
            <w:shd w:val="clear" w:color="auto" w:fill="F0F0F0"/>
          </w:tcPr>
          <w:p w14:paraId="0C9B49BF" w14:textId="77777777" w:rsidR="00C306A8" w:rsidRDefault="00C306A8">
            <w:pPr>
              <w:cnfStyle w:val="000000000000" w:firstRow="0" w:lastRow="0" w:firstColumn="0" w:lastColumn="0" w:oddVBand="0" w:evenVBand="0" w:oddHBand="0" w:evenHBand="0" w:firstRowFirstColumn="0" w:firstRowLastColumn="0" w:lastRowFirstColumn="0" w:lastRowLastColumn="0"/>
            </w:pPr>
            <w:r>
              <w:t>29.2</w:t>
            </w:r>
          </w:p>
        </w:tc>
        <w:tc>
          <w:tcPr>
            <w:tcW w:w="964" w:type="dxa"/>
            <w:tcBorders>
              <w:bottom w:val="single" w:sz="6" w:space="0" w:color="auto"/>
            </w:tcBorders>
          </w:tcPr>
          <w:p w14:paraId="3C68D145" w14:textId="77777777" w:rsidR="00C306A8" w:rsidRDefault="00C306A8">
            <w:pPr>
              <w:cnfStyle w:val="000000000000" w:firstRow="0" w:lastRow="0" w:firstColumn="0" w:lastColumn="0" w:oddVBand="0" w:evenVBand="0" w:oddHBand="0" w:evenHBand="0" w:firstRowFirstColumn="0" w:firstRowLastColumn="0" w:lastRowFirstColumn="0" w:lastRowLastColumn="0"/>
            </w:pPr>
            <w:r>
              <w:t>29</w:t>
            </w:r>
          </w:p>
        </w:tc>
        <w:tc>
          <w:tcPr>
            <w:tcW w:w="964" w:type="dxa"/>
            <w:tcBorders>
              <w:bottom w:val="single" w:sz="6" w:space="0" w:color="auto"/>
            </w:tcBorders>
          </w:tcPr>
          <w:p w14:paraId="1C311657" w14:textId="77777777" w:rsidR="00C306A8" w:rsidRDefault="00C306A8">
            <w:pPr>
              <w:cnfStyle w:val="000000000000" w:firstRow="0" w:lastRow="0" w:firstColumn="0" w:lastColumn="0" w:oddVBand="0" w:evenVBand="0" w:oddHBand="0" w:evenHBand="0" w:firstRowFirstColumn="0" w:firstRowLastColumn="0" w:lastRowFirstColumn="0" w:lastRowLastColumn="0"/>
            </w:pPr>
            <w:r>
              <w:t>29.2</w:t>
            </w:r>
          </w:p>
        </w:tc>
        <w:tc>
          <w:tcPr>
            <w:tcW w:w="964" w:type="dxa"/>
            <w:tcBorders>
              <w:bottom w:val="single" w:sz="6" w:space="0" w:color="auto"/>
            </w:tcBorders>
          </w:tcPr>
          <w:p w14:paraId="2232CC04" w14:textId="77777777" w:rsidR="00C306A8" w:rsidRDefault="00C306A8">
            <w:pPr>
              <w:cnfStyle w:val="000000000000" w:firstRow="0" w:lastRow="0" w:firstColumn="0" w:lastColumn="0" w:oddVBand="0" w:evenVBand="0" w:oddHBand="0" w:evenHBand="0" w:firstRowFirstColumn="0" w:firstRowLastColumn="0" w:lastRowFirstColumn="0" w:lastRowLastColumn="0"/>
            </w:pPr>
            <w:r>
              <w:t>29.3</w:t>
            </w:r>
          </w:p>
        </w:tc>
      </w:tr>
      <w:tr w:rsidR="00C306A8" w:rsidRPr="00674005" w14:paraId="3B0118D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B9C6CA6" w14:textId="77777777" w:rsidR="00C306A8" w:rsidRPr="00674005" w:rsidRDefault="00C306A8">
            <w:pPr>
              <w:keepNext/>
              <w:rPr>
                <w:b/>
              </w:rPr>
            </w:pPr>
            <w:r w:rsidRPr="00674005">
              <w:rPr>
                <w:b/>
              </w:rPr>
              <w:t>Quality</w:t>
            </w:r>
          </w:p>
        </w:tc>
      </w:tr>
      <w:tr w:rsidR="00C306A8" w14:paraId="33FD202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4229F63" w14:textId="77777777" w:rsidR="00C306A8" w:rsidRDefault="00C306A8" w:rsidP="00B14B19">
            <w:pPr>
              <w:keepNext/>
              <w:ind w:left="170"/>
            </w:pPr>
            <w:r>
              <w:t>Customer experience index: regional coach services</w:t>
            </w:r>
          </w:p>
        </w:tc>
        <w:tc>
          <w:tcPr>
            <w:tcW w:w="964" w:type="dxa"/>
            <w:tcBorders>
              <w:bottom w:val="single" w:sz="6" w:space="0" w:color="auto"/>
            </w:tcBorders>
          </w:tcPr>
          <w:p w14:paraId="2F49640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bottom w:val="single" w:sz="6" w:space="0" w:color="auto"/>
            </w:tcBorders>
            <w:shd w:val="clear" w:color="auto" w:fill="F0F0F0"/>
          </w:tcPr>
          <w:p w14:paraId="2D8FD3FD" w14:textId="77777777" w:rsidR="00C306A8" w:rsidRDefault="00C306A8">
            <w:pPr>
              <w:cnfStyle w:val="000000000000" w:firstRow="0" w:lastRow="0" w:firstColumn="0" w:lastColumn="0" w:oddVBand="0" w:evenVBand="0" w:oddHBand="0" w:evenHBand="0" w:firstRowFirstColumn="0" w:firstRowLastColumn="0" w:lastRowFirstColumn="0" w:lastRowLastColumn="0"/>
            </w:pPr>
            <w:r>
              <w:t>78</w:t>
            </w:r>
          </w:p>
        </w:tc>
        <w:tc>
          <w:tcPr>
            <w:tcW w:w="964" w:type="dxa"/>
            <w:tcBorders>
              <w:bottom w:val="single" w:sz="6" w:space="0" w:color="auto"/>
            </w:tcBorders>
          </w:tcPr>
          <w:p w14:paraId="01C44A29" w14:textId="77777777" w:rsidR="00C306A8" w:rsidRDefault="00C306A8">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625DB1AD" w14:textId="77777777" w:rsidR="00C306A8" w:rsidRDefault="00C306A8">
            <w:pPr>
              <w:cnfStyle w:val="000000000000" w:firstRow="0" w:lastRow="0" w:firstColumn="0" w:lastColumn="0" w:oddVBand="0" w:evenVBand="0" w:oddHBand="0" w:evenHBand="0" w:firstRowFirstColumn="0" w:firstRowLastColumn="0" w:lastRowFirstColumn="0" w:lastRowLastColumn="0"/>
            </w:pPr>
            <w:r>
              <w:t>78</w:t>
            </w:r>
          </w:p>
        </w:tc>
        <w:tc>
          <w:tcPr>
            <w:tcW w:w="964" w:type="dxa"/>
            <w:tcBorders>
              <w:bottom w:val="single" w:sz="6" w:space="0" w:color="auto"/>
            </w:tcBorders>
          </w:tcPr>
          <w:p w14:paraId="3F762F30" w14:textId="77777777" w:rsidR="00C306A8" w:rsidRDefault="00C306A8">
            <w:pPr>
              <w:cnfStyle w:val="000000000000" w:firstRow="0" w:lastRow="0" w:firstColumn="0" w:lastColumn="0" w:oddVBand="0" w:evenVBand="0" w:oddHBand="0" w:evenHBand="0" w:firstRowFirstColumn="0" w:firstRowLastColumn="0" w:lastRowFirstColumn="0" w:lastRowLastColumn="0"/>
            </w:pPr>
            <w:r>
              <w:t>80.6</w:t>
            </w:r>
          </w:p>
        </w:tc>
      </w:tr>
      <w:tr w:rsidR="00C306A8" w14:paraId="11137550" w14:textId="77777777" w:rsidTr="00EB1EA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10C7383C" w14:textId="77777777" w:rsidR="00C306A8" w:rsidRDefault="00C306A8">
            <w:pPr>
              <w:ind w:left="170"/>
            </w:pPr>
            <w:r>
              <w:t>Customer experience index: regional town bus</w:t>
            </w:r>
          </w:p>
        </w:tc>
        <w:tc>
          <w:tcPr>
            <w:tcW w:w="964" w:type="dxa"/>
            <w:tcBorders>
              <w:top w:val="single" w:sz="6" w:space="0" w:color="auto"/>
              <w:bottom w:val="single" w:sz="6" w:space="0" w:color="auto"/>
            </w:tcBorders>
          </w:tcPr>
          <w:p w14:paraId="45C514E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top w:val="single" w:sz="6" w:space="0" w:color="auto"/>
              <w:bottom w:val="single" w:sz="6" w:space="0" w:color="auto"/>
            </w:tcBorders>
            <w:shd w:val="clear" w:color="auto" w:fill="F0F0F0"/>
          </w:tcPr>
          <w:p w14:paraId="34BF200F"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top w:val="single" w:sz="6" w:space="0" w:color="auto"/>
              <w:bottom w:val="single" w:sz="6" w:space="0" w:color="auto"/>
            </w:tcBorders>
          </w:tcPr>
          <w:p w14:paraId="233D9FE4"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single" w:sz="6" w:space="0" w:color="auto"/>
            </w:tcBorders>
          </w:tcPr>
          <w:p w14:paraId="0E2BA966"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top w:val="single" w:sz="6" w:space="0" w:color="auto"/>
              <w:bottom w:val="single" w:sz="6" w:space="0" w:color="auto"/>
            </w:tcBorders>
          </w:tcPr>
          <w:p w14:paraId="3C0E710B" w14:textId="77777777" w:rsidR="00C306A8" w:rsidRDefault="00C306A8">
            <w:pPr>
              <w:cnfStyle w:val="000000000000" w:firstRow="0" w:lastRow="0" w:firstColumn="0" w:lastColumn="0" w:oddVBand="0" w:evenVBand="0" w:oddHBand="0" w:evenHBand="0" w:firstRowFirstColumn="0" w:firstRowLastColumn="0" w:lastRowFirstColumn="0" w:lastRowLastColumn="0"/>
            </w:pPr>
            <w:r>
              <w:t>79.4</w:t>
            </w:r>
          </w:p>
        </w:tc>
      </w:tr>
      <w:tr w:rsidR="00C306A8" w:rsidRPr="00674005" w14:paraId="2C743D3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2882806" w14:textId="77777777" w:rsidR="00C306A8" w:rsidRPr="00674005" w:rsidRDefault="00C306A8">
            <w:pPr>
              <w:keepNext/>
              <w:rPr>
                <w:b/>
              </w:rPr>
            </w:pPr>
            <w:r w:rsidRPr="00674005">
              <w:rPr>
                <w:b/>
              </w:rPr>
              <w:lastRenderedPageBreak/>
              <w:t>Timeliness</w:t>
            </w:r>
          </w:p>
        </w:tc>
      </w:tr>
      <w:tr w:rsidR="00C306A8" w14:paraId="6CE96A1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25DCC1E" w14:textId="77777777" w:rsidR="00C306A8" w:rsidRDefault="00C306A8">
            <w:pPr>
              <w:ind w:left="170"/>
            </w:pPr>
            <w:r>
              <w:t>Service punctuality for: regional bus services</w:t>
            </w:r>
          </w:p>
        </w:tc>
        <w:tc>
          <w:tcPr>
            <w:tcW w:w="964" w:type="dxa"/>
            <w:tcBorders>
              <w:bottom w:val="single" w:sz="6" w:space="0" w:color="auto"/>
            </w:tcBorders>
          </w:tcPr>
          <w:p w14:paraId="636C398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9E86E80"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74E40FA5"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6C392367"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67100700" w14:textId="77777777" w:rsidR="00C306A8" w:rsidRDefault="00C306A8">
            <w:pPr>
              <w:cnfStyle w:val="000000000000" w:firstRow="0" w:lastRow="0" w:firstColumn="0" w:lastColumn="0" w:oddVBand="0" w:evenVBand="0" w:oddHBand="0" w:evenHBand="0" w:firstRowFirstColumn="0" w:firstRowLastColumn="0" w:lastRowFirstColumn="0" w:lastRowLastColumn="0"/>
            </w:pPr>
            <w:r>
              <w:t>90.6</w:t>
            </w:r>
          </w:p>
        </w:tc>
      </w:tr>
      <w:tr w:rsidR="00C306A8" w:rsidRPr="00674005" w14:paraId="3F31690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19794B9" w14:textId="77777777" w:rsidR="00C306A8" w:rsidRPr="00674005" w:rsidRDefault="00C306A8">
            <w:pPr>
              <w:keepNext/>
              <w:rPr>
                <w:b/>
              </w:rPr>
            </w:pPr>
            <w:r w:rsidRPr="00674005">
              <w:rPr>
                <w:b/>
              </w:rPr>
              <w:t>Cost</w:t>
            </w:r>
          </w:p>
        </w:tc>
      </w:tr>
      <w:tr w:rsidR="00C306A8" w14:paraId="138B22F0" w14:textId="77777777">
        <w:tc>
          <w:tcPr>
            <w:cnfStyle w:val="001000000000" w:firstRow="0" w:lastRow="0" w:firstColumn="1" w:lastColumn="0" w:oddVBand="0" w:evenVBand="0" w:oddHBand="0" w:evenHBand="0" w:firstRowFirstColumn="0" w:firstRowLastColumn="0" w:lastRowFirstColumn="0" w:lastRowLastColumn="0"/>
            <w:tcW w:w="4819" w:type="dxa"/>
          </w:tcPr>
          <w:p w14:paraId="659719FE" w14:textId="7E96BEA5" w:rsidR="00C306A8" w:rsidRDefault="00C306A8">
            <w:pPr>
              <w:keepNext/>
              <w:ind w:left="170"/>
            </w:pPr>
            <w:r>
              <w:t xml:space="preserve">Sub-output cost </w:t>
            </w:r>
            <w:r w:rsidR="00AD4833">
              <w:t>–</w:t>
            </w:r>
            <w:r>
              <w:t xml:space="preserve"> regional</w:t>
            </w:r>
          </w:p>
        </w:tc>
        <w:tc>
          <w:tcPr>
            <w:tcW w:w="964" w:type="dxa"/>
          </w:tcPr>
          <w:p w14:paraId="70CD070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4947F81" w14:textId="77777777" w:rsidR="00C306A8" w:rsidRDefault="00C306A8">
            <w:pPr>
              <w:cnfStyle w:val="000000000000" w:firstRow="0" w:lastRow="0" w:firstColumn="0" w:lastColumn="0" w:oddVBand="0" w:evenVBand="0" w:oddHBand="0" w:evenHBand="0" w:firstRowFirstColumn="0" w:firstRowLastColumn="0" w:lastRowFirstColumn="0" w:lastRowLastColumn="0"/>
            </w:pPr>
            <w:r>
              <w:t>179.9</w:t>
            </w:r>
          </w:p>
        </w:tc>
        <w:tc>
          <w:tcPr>
            <w:tcW w:w="964" w:type="dxa"/>
          </w:tcPr>
          <w:p w14:paraId="4FEC1C0E" w14:textId="77777777" w:rsidR="00C306A8" w:rsidRDefault="00C306A8">
            <w:pPr>
              <w:cnfStyle w:val="000000000000" w:firstRow="0" w:lastRow="0" w:firstColumn="0" w:lastColumn="0" w:oddVBand="0" w:evenVBand="0" w:oddHBand="0" w:evenHBand="0" w:firstRowFirstColumn="0" w:firstRowLastColumn="0" w:lastRowFirstColumn="0" w:lastRowLastColumn="0"/>
            </w:pPr>
            <w:r>
              <w:t>169.9</w:t>
            </w:r>
          </w:p>
        </w:tc>
        <w:tc>
          <w:tcPr>
            <w:tcW w:w="964" w:type="dxa"/>
          </w:tcPr>
          <w:p w14:paraId="2FFD14A9" w14:textId="77777777" w:rsidR="00C306A8" w:rsidRDefault="00C306A8">
            <w:pPr>
              <w:cnfStyle w:val="000000000000" w:firstRow="0" w:lastRow="0" w:firstColumn="0" w:lastColumn="0" w:oddVBand="0" w:evenVBand="0" w:oddHBand="0" w:evenHBand="0" w:firstRowFirstColumn="0" w:firstRowLastColumn="0" w:lastRowFirstColumn="0" w:lastRowLastColumn="0"/>
            </w:pPr>
            <w:r>
              <w:t>167.5</w:t>
            </w:r>
          </w:p>
        </w:tc>
        <w:tc>
          <w:tcPr>
            <w:tcW w:w="964" w:type="dxa"/>
          </w:tcPr>
          <w:p w14:paraId="1B0E6D7D" w14:textId="77777777" w:rsidR="00C306A8" w:rsidRDefault="00C306A8">
            <w:pPr>
              <w:cnfStyle w:val="000000000000" w:firstRow="0" w:lastRow="0" w:firstColumn="0" w:lastColumn="0" w:oddVBand="0" w:evenVBand="0" w:oddHBand="0" w:evenHBand="0" w:firstRowFirstColumn="0" w:firstRowLastColumn="0" w:lastRowFirstColumn="0" w:lastRowLastColumn="0"/>
            </w:pPr>
            <w:r>
              <w:t>163</w:t>
            </w:r>
          </w:p>
        </w:tc>
      </w:tr>
      <w:tr w:rsidR="00C306A8" w14:paraId="2578A7A3"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BC81273" w14:textId="0E1D6BF0" w:rsidR="00C306A8" w:rsidRPr="00C25996" w:rsidRDefault="00B5341E">
            <w:pPr>
              <w:ind w:left="170"/>
              <w:rPr>
                <w:i/>
              </w:rPr>
            </w:pPr>
            <w:r w:rsidRPr="00C25996">
              <w:rPr>
                <w:i/>
              </w:rPr>
              <w:t>The higher 2026-27 target reflects indexation on bus contracts and additional investment in new and improved regional bus services.</w:t>
            </w:r>
          </w:p>
        </w:tc>
      </w:tr>
      <w:tr w:rsidR="00C306A8" w:rsidRPr="00222666" w14:paraId="265B4F62"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20C3D43C" w14:textId="3D7C70DC" w:rsidR="00C306A8" w:rsidRDefault="00674005" w:rsidP="00674005">
            <w:pPr>
              <w:keepNext/>
              <w:spacing w:before="60"/>
              <w:rPr>
                <w:b/>
                <w:bCs/>
                <w:iCs/>
              </w:rPr>
            </w:pPr>
            <w:r>
              <w:rPr>
                <w:b/>
                <w:bCs/>
                <w:iCs/>
              </w:rPr>
              <w:t>BUS SERVICES – STATEWIDE</w:t>
            </w:r>
          </w:p>
          <w:p w14:paraId="13B1C83C" w14:textId="77777777" w:rsidR="00C306A8" w:rsidRPr="00222666" w:rsidRDefault="00C306A8">
            <w:pPr>
              <w:keepNext/>
              <w:rPr>
                <w:iCs/>
              </w:rPr>
            </w:pPr>
            <w:r>
              <w:rPr>
                <w:iCs/>
              </w:rPr>
              <w:t>This sub-output reports on upgrades and school bus services delivered statewide.</w:t>
            </w:r>
          </w:p>
        </w:tc>
      </w:tr>
      <w:tr w:rsidR="00C306A8" w:rsidRPr="00674005" w14:paraId="0161B94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tcBorders>
          </w:tcPr>
          <w:p w14:paraId="1801352D" w14:textId="77777777" w:rsidR="00C306A8" w:rsidRPr="00674005" w:rsidRDefault="00C306A8">
            <w:pPr>
              <w:keepNext/>
              <w:rPr>
                <w:b/>
              </w:rPr>
            </w:pPr>
            <w:r w:rsidRPr="00674005">
              <w:rPr>
                <w:b/>
              </w:rPr>
              <w:t>Quantity</w:t>
            </w:r>
          </w:p>
        </w:tc>
      </w:tr>
      <w:tr w:rsidR="00C306A8" w14:paraId="0256C076" w14:textId="77777777">
        <w:tc>
          <w:tcPr>
            <w:cnfStyle w:val="001000000000" w:firstRow="0" w:lastRow="0" w:firstColumn="1" w:lastColumn="0" w:oddVBand="0" w:evenVBand="0" w:oddHBand="0" w:evenHBand="0" w:firstRowFirstColumn="0" w:firstRowLastColumn="0" w:lastRowFirstColumn="0" w:lastRowLastColumn="0"/>
            <w:tcW w:w="4819" w:type="dxa"/>
          </w:tcPr>
          <w:p w14:paraId="1D0D4F34" w14:textId="77777777" w:rsidR="00C306A8" w:rsidRDefault="00C306A8">
            <w:pPr>
              <w:keepNext/>
              <w:ind w:left="170"/>
            </w:pPr>
            <w:r w:rsidRPr="00603BD3">
              <w:t>Number</w:t>
            </w:r>
            <w:r>
              <w:t xml:space="preserve"> of bus routes upgraded</w:t>
            </w:r>
          </w:p>
        </w:tc>
        <w:tc>
          <w:tcPr>
            <w:tcW w:w="964" w:type="dxa"/>
          </w:tcPr>
          <w:p w14:paraId="22A44E2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4568EAA" w14:textId="77777777" w:rsidR="00C306A8" w:rsidRDefault="00C306A8">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57ABC7D7" w14:textId="77777777" w:rsidR="00C306A8" w:rsidRDefault="00C306A8">
            <w:pPr>
              <w:cnfStyle w:val="000000000000" w:firstRow="0" w:lastRow="0" w:firstColumn="0" w:lastColumn="0" w:oddVBand="0" w:evenVBand="0" w:oddHBand="0" w:evenHBand="0" w:firstRowFirstColumn="0" w:firstRowLastColumn="0" w:lastRowFirstColumn="0" w:lastRowLastColumn="0"/>
            </w:pPr>
            <w:r>
              <w:t>31</w:t>
            </w:r>
          </w:p>
        </w:tc>
        <w:tc>
          <w:tcPr>
            <w:tcW w:w="964" w:type="dxa"/>
          </w:tcPr>
          <w:p w14:paraId="741E6E83"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4E829339"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r>
      <w:tr w:rsidR="00C306A8" w14:paraId="1D2A4E5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5221EAC" w14:textId="77777777" w:rsidR="00C306A8" w:rsidRDefault="00C306A8">
            <w:pPr>
              <w:ind w:left="170"/>
            </w:pPr>
            <w:r>
              <w:rPr>
                <w:i/>
              </w:rPr>
              <w:t>The 2025-26 expected outcome is higher than the 2025-26 target due to the identification and delivery of additional works.</w:t>
            </w:r>
          </w:p>
          <w:p w14:paraId="18FF81FC" w14:textId="77777777" w:rsidR="00C306A8" w:rsidRDefault="00C306A8">
            <w:pPr>
              <w:ind w:left="170"/>
            </w:pPr>
            <w:r>
              <w:rPr>
                <w:i/>
              </w:rPr>
              <w:t>The higher 2026-27 target reflects the number of projects scheduled for completion in 2026-27.</w:t>
            </w:r>
          </w:p>
        </w:tc>
      </w:tr>
      <w:tr w:rsidR="00C306A8" w14:paraId="05506D1D" w14:textId="77777777">
        <w:tc>
          <w:tcPr>
            <w:cnfStyle w:val="001000000000" w:firstRow="0" w:lastRow="0" w:firstColumn="1" w:lastColumn="0" w:oddVBand="0" w:evenVBand="0" w:oddHBand="0" w:evenHBand="0" w:firstRowFirstColumn="0" w:firstRowLastColumn="0" w:lastRowFirstColumn="0" w:lastRowLastColumn="0"/>
            <w:tcW w:w="4819" w:type="dxa"/>
          </w:tcPr>
          <w:p w14:paraId="7B0BC5AD" w14:textId="77777777" w:rsidR="00C306A8" w:rsidRDefault="00C306A8">
            <w:pPr>
              <w:keepNext/>
              <w:ind w:left="170"/>
            </w:pPr>
            <w:r w:rsidRPr="00603BD3">
              <w:t>Number</w:t>
            </w:r>
            <w:r>
              <w:t xml:space="preserve"> of new zero emission buses added to the network</w:t>
            </w:r>
          </w:p>
        </w:tc>
        <w:tc>
          <w:tcPr>
            <w:tcW w:w="964" w:type="dxa"/>
          </w:tcPr>
          <w:p w14:paraId="0DAB83E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7EFC063" w14:textId="77777777" w:rsidR="00C306A8" w:rsidRDefault="00C306A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13B4416D" w14:textId="77777777" w:rsidR="00C306A8" w:rsidRDefault="00C306A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053EB390" w14:textId="77777777" w:rsidR="00C306A8" w:rsidRDefault="00C306A8">
            <w:pPr>
              <w:cnfStyle w:val="000000000000" w:firstRow="0" w:lastRow="0" w:firstColumn="0" w:lastColumn="0" w:oddVBand="0" w:evenVBand="0" w:oddHBand="0" w:evenHBand="0" w:firstRowFirstColumn="0" w:firstRowLastColumn="0" w:lastRowFirstColumn="0" w:lastRowLastColumn="0"/>
            </w:pPr>
            <w:r>
              <w:t>74</w:t>
            </w:r>
          </w:p>
        </w:tc>
        <w:tc>
          <w:tcPr>
            <w:tcW w:w="964" w:type="dxa"/>
          </w:tcPr>
          <w:p w14:paraId="517B614B"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5A42F7A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976B677" w14:textId="3E612825" w:rsidR="00C306A8" w:rsidRDefault="00C306A8">
            <w:pPr>
              <w:ind w:left="170"/>
            </w:pPr>
            <w:r>
              <w:rPr>
                <w:i/>
              </w:rPr>
              <w:t>The 2025-26 expected outcome is lower than the 2025-26 target</w:t>
            </w:r>
            <w:r w:rsidRPr="7C96164F">
              <w:rPr>
                <w:i/>
                <w:iCs/>
              </w:rPr>
              <w:t>, and the 2026-27 target is lower than the 2025-26 target</w:t>
            </w:r>
            <w:r>
              <w:rPr>
                <w:i/>
                <w:iCs/>
              </w:rPr>
              <w:t xml:space="preserve"> </w:t>
            </w:r>
            <w:r>
              <w:rPr>
                <w:i/>
              </w:rPr>
              <w:t>due to re</w:t>
            </w:r>
            <w:r w:rsidR="00C25996">
              <w:rPr>
                <w:i/>
              </w:rPr>
              <w:noBreakHyphen/>
            </w:r>
            <w:r>
              <w:rPr>
                <w:i/>
              </w:rPr>
              <w:t>phasing of the program’s delivery schedule within the contractual delivery dates. The lower 2026-27 target reflects the delivery schedules and order sizes.</w:t>
            </w:r>
          </w:p>
        </w:tc>
      </w:tr>
      <w:tr w:rsidR="00C306A8" w14:paraId="4F8FFA5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622B3D4" w14:textId="77777777" w:rsidR="00C306A8" w:rsidRDefault="00C306A8">
            <w:pPr>
              <w:ind w:left="170"/>
            </w:pPr>
            <w:r w:rsidRPr="00603BD3">
              <w:t>Scheduled</w:t>
            </w:r>
            <w:r>
              <w:t xml:space="preserve"> services delivered: school bus</w:t>
            </w:r>
          </w:p>
        </w:tc>
        <w:tc>
          <w:tcPr>
            <w:tcW w:w="964" w:type="dxa"/>
            <w:tcBorders>
              <w:bottom w:val="single" w:sz="6" w:space="0" w:color="auto"/>
            </w:tcBorders>
          </w:tcPr>
          <w:p w14:paraId="0C59AB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71FAA03"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4CA222F"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198E50E6"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3C249A5"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r>
      <w:tr w:rsidR="00C306A8" w14:paraId="398BAF08"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18476D5" w14:textId="77777777" w:rsidR="00C306A8" w:rsidRDefault="00C306A8">
            <w:pPr>
              <w:ind w:left="170"/>
            </w:pPr>
            <w:r w:rsidRPr="00603BD3">
              <w:t>Total</w:t>
            </w:r>
            <w:r>
              <w:t xml:space="preserve"> kilometres scheduled: school bus</w:t>
            </w:r>
          </w:p>
        </w:tc>
        <w:tc>
          <w:tcPr>
            <w:tcW w:w="964" w:type="dxa"/>
            <w:tcBorders>
              <w:bottom w:val="single" w:sz="6" w:space="0" w:color="auto"/>
            </w:tcBorders>
          </w:tcPr>
          <w:p w14:paraId="31CFBA4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tcBorders>
              <w:bottom w:val="single" w:sz="6" w:space="0" w:color="auto"/>
            </w:tcBorders>
            <w:shd w:val="clear" w:color="auto" w:fill="F0F0F0"/>
          </w:tcPr>
          <w:p w14:paraId="092AC530" w14:textId="77777777" w:rsidR="00C306A8" w:rsidRDefault="00C306A8">
            <w:pPr>
              <w:cnfStyle w:val="000000000000" w:firstRow="0" w:lastRow="0" w:firstColumn="0" w:lastColumn="0" w:oddVBand="0" w:evenVBand="0" w:oddHBand="0" w:evenHBand="0" w:firstRowFirstColumn="0" w:firstRowLastColumn="0" w:lastRowFirstColumn="0" w:lastRowLastColumn="0"/>
            </w:pPr>
            <w:r>
              <w:t>31.2</w:t>
            </w:r>
          </w:p>
        </w:tc>
        <w:tc>
          <w:tcPr>
            <w:tcW w:w="964" w:type="dxa"/>
            <w:tcBorders>
              <w:bottom w:val="single" w:sz="6" w:space="0" w:color="auto"/>
            </w:tcBorders>
          </w:tcPr>
          <w:p w14:paraId="48DB722B" w14:textId="77777777" w:rsidR="00C306A8" w:rsidRDefault="00C306A8">
            <w:pPr>
              <w:cnfStyle w:val="000000000000" w:firstRow="0" w:lastRow="0" w:firstColumn="0" w:lastColumn="0" w:oddVBand="0" w:evenVBand="0" w:oddHBand="0" w:evenHBand="0" w:firstRowFirstColumn="0" w:firstRowLastColumn="0" w:lastRowFirstColumn="0" w:lastRowLastColumn="0"/>
            </w:pPr>
            <w:r>
              <w:t>31.2</w:t>
            </w:r>
          </w:p>
        </w:tc>
        <w:tc>
          <w:tcPr>
            <w:tcW w:w="964" w:type="dxa"/>
            <w:tcBorders>
              <w:bottom w:val="single" w:sz="6" w:space="0" w:color="auto"/>
            </w:tcBorders>
          </w:tcPr>
          <w:p w14:paraId="25B7AA26" w14:textId="77777777" w:rsidR="00C306A8" w:rsidRDefault="00C306A8">
            <w:pPr>
              <w:cnfStyle w:val="000000000000" w:firstRow="0" w:lastRow="0" w:firstColumn="0" w:lastColumn="0" w:oddVBand="0" w:evenVBand="0" w:oddHBand="0" w:evenHBand="0" w:firstRowFirstColumn="0" w:firstRowLastColumn="0" w:lastRowFirstColumn="0" w:lastRowLastColumn="0"/>
            </w:pPr>
            <w:r>
              <w:t>31.2</w:t>
            </w:r>
          </w:p>
        </w:tc>
        <w:tc>
          <w:tcPr>
            <w:tcW w:w="964" w:type="dxa"/>
            <w:tcBorders>
              <w:bottom w:val="single" w:sz="6" w:space="0" w:color="auto"/>
            </w:tcBorders>
          </w:tcPr>
          <w:p w14:paraId="12073512" w14:textId="77777777" w:rsidR="00C306A8" w:rsidRDefault="00C306A8">
            <w:pPr>
              <w:cnfStyle w:val="000000000000" w:firstRow="0" w:lastRow="0" w:firstColumn="0" w:lastColumn="0" w:oddVBand="0" w:evenVBand="0" w:oddHBand="0" w:evenHBand="0" w:firstRowFirstColumn="0" w:firstRowLastColumn="0" w:lastRowFirstColumn="0" w:lastRowLastColumn="0"/>
            </w:pPr>
            <w:r>
              <w:t>29.2</w:t>
            </w:r>
          </w:p>
        </w:tc>
      </w:tr>
      <w:tr w:rsidR="00C306A8" w:rsidRPr="00674005" w14:paraId="6632E55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EC6A84A" w14:textId="77777777" w:rsidR="00C306A8" w:rsidRPr="00674005" w:rsidRDefault="00C306A8">
            <w:pPr>
              <w:keepNext/>
              <w:rPr>
                <w:b/>
              </w:rPr>
            </w:pPr>
            <w:r w:rsidRPr="00674005">
              <w:rPr>
                <w:b/>
              </w:rPr>
              <w:t>Quality</w:t>
            </w:r>
          </w:p>
        </w:tc>
      </w:tr>
      <w:tr w:rsidR="00C306A8" w14:paraId="0383B880" w14:textId="77777777">
        <w:tc>
          <w:tcPr>
            <w:cnfStyle w:val="001000000000" w:firstRow="0" w:lastRow="0" w:firstColumn="1" w:lastColumn="0" w:oddVBand="0" w:evenVBand="0" w:oddHBand="0" w:evenHBand="0" w:firstRowFirstColumn="0" w:firstRowLastColumn="0" w:lastRowFirstColumn="0" w:lastRowLastColumn="0"/>
            <w:tcW w:w="4819" w:type="dxa"/>
          </w:tcPr>
          <w:p w14:paraId="49942460" w14:textId="2BFB91D5" w:rsidR="00C306A8" w:rsidRDefault="00C306A8">
            <w:pPr>
              <w:keepNext/>
              <w:ind w:left="170"/>
            </w:pPr>
            <w:r>
              <w:t xml:space="preserve">Myki: Fare payment device speed </w:t>
            </w:r>
            <w:r w:rsidR="00AD4833">
              <w:t>–</w:t>
            </w:r>
            <w:r>
              <w:t xml:space="preserve"> </w:t>
            </w:r>
            <w:r w:rsidR="000C2403">
              <w:br/>
            </w:r>
            <w:r>
              <w:t>number of touch on/offs per minute (Bus/Tram)</w:t>
            </w:r>
          </w:p>
        </w:tc>
        <w:tc>
          <w:tcPr>
            <w:tcW w:w="964" w:type="dxa"/>
          </w:tcPr>
          <w:p w14:paraId="5344497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DC27AB2" w14:textId="77777777" w:rsidR="00C306A8" w:rsidRDefault="00C306A8">
            <w:pPr>
              <w:cnfStyle w:val="000000000000" w:firstRow="0" w:lastRow="0" w:firstColumn="0" w:lastColumn="0" w:oddVBand="0" w:evenVBand="0" w:oddHBand="0" w:evenHBand="0" w:firstRowFirstColumn="0" w:firstRowLastColumn="0" w:lastRowFirstColumn="0" w:lastRowLastColumn="0"/>
            </w:pPr>
            <w:r>
              <w:t>37</w:t>
            </w:r>
          </w:p>
        </w:tc>
        <w:tc>
          <w:tcPr>
            <w:tcW w:w="964" w:type="dxa"/>
          </w:tcPr>
          <w:p w14:paraId="28E9E82A" w14:textId="77777777" w:rsidR="00C306A8" w:rsidRDefault="00C306A8">
            <w:pPr>
              <w:cnfStyle w:val="000000000000" w:firstRow="0" w:lastRow="0" w:firstColumn="0" w:lastColumn="0" w:oddVBand="0" w:evenVBand="0" w:oddHBand="0" w:evenHBand="0" w:firstRowFirstColumn="0" w:firstRowLastColumn="0" w:lastRowFirstColumn="0" w:lastRowLastColumn="0"/>
            </w:pPr>
            <w:r>
              <w:t>34.5</w:t>
            </w:r>
          </w:p>
        </w:tc>
        <w:tc>
          <w:tcPr>
            <w:tcW w:w="964" w:type="dxa"/>
          </w:tcPr>
          <w:p w14:paraId="307C6382" w14:textId="77777777" w:rsidR="00C306A8" w:rsidRDefault="00C306A8">
            <w:pPr>
              <w:cnfStyle w:val="000000000000" w:firstRow="0" w:lastRow="0" w:firstColumn="0" w:lastColumn="0" w:oddVBand="0" w:evenVBand="0" w:oddHBand="0" w:evenHBand="0" w:firstRowFirstColumn="0" w:firstRowLastColumn="0" w:lastRowFirstColumn="0" w:lastRowLastColumn="0"/>
            </w:pPr>
            <w:r>
              <w:t>28</w:t>
            </w:r>
          </w:p>
        </w:tc>
        <w:tc>
          <w:tcPr>
            <w:tcW w:w="964" w:type="dxa"/>
          </w:tcPr>
          <w:p w14:paraId="2F023A4F" w14:textId="77777777" w:rsidR="00C306A8" w:rsidRDefault="00C306A8">
            <w:pPr>
              <w:cnfStyle w:val="000000000000" w:firstRow="0" w:lastRow="0" w:firstColumn="0" w:lastColumn="0" w:oddVBand="0" w:evenVBand="0" w:oddHBand="0" w:evenHBand="0" w:firstRowFirstColumn="0" w:firstRowLastColumn="0" w:lastRowFirstColumn="0" w:lastRowLastColumn="0"/>
            </w:pPr>
            <w:r>
              <w:t>38.5</w:t>
            </w:r>
          </w:p>
        </w:tc>
      </w:tr>
      <w:tr w:rsidR="00C306A8" w14:paraId="6D87DD3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F49CB22" w14:textId="77777777" w:rsidR="00C306A8" w:rsidRDefault="00C306A8">
            <w:pPr>
              <w:ind w:left="170"/>
            </w:pPr>
            <w:r>
              <w:rPr>
                <w:i/>
              </w:rPr>
              <w:t>The 2025-26 expected outcome is higher than the 2025-26 target due to ongoing maintenance changes implemented to improve reader hardware and software performance.</w:t>
            </w:r>
          </w:p>
          <w:p w14:paraId="7D02BFE0" w14:textId="77777777" w:rsidR="00C306A8" w:rsidRDefault="00C306A8">
            <w:pPr>
              <w:ind w:left="170"/>
            </w:pPr>
            <w:r>
              <w:rPr>
                <w:i/>
              </w:rPr>
              <w:t>The higher 2026-27 target reflects the installation of newer ticketing technology across bus, tram and rail services.</w:t>
            </w:r>
          </w:p>
        </w:tc>
      </w:tr>
      <w:tr w:rsidR="00C306A8" w:rsidRPr="00674005" w14:paraId="2DC2AB2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03DCBDE" w14:textId="77777777" w:rsidR="00C306A8" w:rsidRPr="00674005" w:rsidRDefault="00C306A8">
            <w:pPr>
              <w:keepNext/>
              <w:rPr>
                <w:b/>
              </w:rPr>
            </w:pPr>
            <w:r w:rsidRPr="00674005">
              <w:rPr>
                <w:b/>
              </w:rPr>
              <w:t>Cost</w:t>
            </w:r>
          </w:p>
        </w:tc>
      </w:tr>
      <w:tr w:rsidR="00C306A8" w14:paraId="779FFF55" w14:textId="77777777">
        <w:tc>
          <w:tcPr>
            <w:cnfStyle w:val="001000000000" w:firstRow="0" w:lastRow="0" w:firstColumn="1" w:lastColumn="0" w:oddVBand="0" w:evenVBand="0" w:oddHBand="0" w:evenHBand="0" w:firstRowFirstColumn="0" w:firstRowLastColumn="0" w:lastRowFirstColumn="0" w:lastRowLastColumn="0"/>
            <w:tcW w:w="4819" w:type="dxa"/>
          </w:tcPr>
          <w:p w14:paraId="202C2CFE" w14:textId="1DEBA300" w:rsidR="00C306A8" w:rsidRDefault="00C306A8">
            <w:pPr>
              <w:keepNext/>
              <w:ind w:left="170"/>
            </w:pPr>
            <w:r>
              <w:t xml:space="preserve">Sub-output cost </w:t>
            </w:r>
            <w:r w:rsidR="00AD4833">
              <w:t>–</w:t>
            </w:r>
            <w:r>
              <w:t xml:space="preserve"> statewide</w:t>
            </w:r>
          </w:p>
        </w:tc>
        <w:tc>
          <w:tcPr>
            <w:tcW w:w="964" w:type="dxa"/>
          </w:tcPr>
          <w:p w14:paraId="59C6C67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9B9AEC9" w14:textId="77777777" w:rsidR="00C306A8" w:rsidRDefault="00C306A8">
            <w:pPr>
              <w:cnfStyle w:val="000000000000" w:firstRow="0" w:lastRow="0" w:firstColumn="0" w:lastColumn="0" w:oddVBand="0" w:evenVBand="0" w:oddHBand="0" w:evenHBand="0" w:firstRowFirstColumn="0" w:firstRowLastColumn="0" w:lastRowFirstColumn="0" w:lastRowLastColumn="0"/>
            </w:pPr>
            <w:r>
              <w:t>360.8</w:t>
            </w:r>
          </w:p>
        </w:tc>
        <w:tc>
          <w:tcPr>
            <w:tcW w:w="964" w:type="dxa"/>
          </w:tcPr>
          <w:p w14:paraId="237314C9" w14:textId="22A9BF7F" w:rsidR="00C306A8" w:rsidRDefault="00C306A8">
            <w:pPr>
              <w:cnfStyle w:val="000000000000" w:firstRow="0" w:lastRow="0" w:firstColumn="0" w:lastColumn="0" w:oddVBand="0" w:evenVBand="0" w:oddHBand="0" w:evenHBand="0" w:firstRowFirstColumn="0" w:firstRowLastColumn="0" w:lastRowFirstColumn="0" w:lastRowLastColumn="0"/>
            </w:pPr>
            <w:r>
              <w:t>345.</w:t>
            </w:r>
            <w:r w:rsidR="001E096C">
              <w:t>5</w:t>
            </w:r>
          </w:p>
        </w:tc>
        <w:tc>
          <w:tcPr>
            <w:tcW w:w="964" w:type="dxa"/>
          </w:tcPr>
          <w:p w14:paraId="10F12C9A" w14:textId="77777777" w:rsidR="00C306A8" w:rsidRDefault="00C306A8">
            <w:pPr>
              <w:cnfStyle w:val="000000000000" w:firstRow="0" w:lastRow="0" w:firstColumn="0" w:lastColumn="0" w:oddVBand="0" w:evenVBand="0" w:oddHBand="0" w:evenHBand="0" w:firstRowFirstColumn="0" w:firstRowLastColumn="0" w:lastRowFirstColumn="0" w:lastRowLastColumn="0"/>
            </w:pPr>
            <w:r>
              <w:t>352.9</w:t>
            </w:r>
          </w:p>
        </w:tc>
        <w:tc>
          <w:tcPr>
            <w:tcW w:w="964" w:type="dxa"/>
          </w:tcPr>
          <w:p w14:paraId="0F48D1A9" w14:textId="77777777" w:rsidR="00C306A8" w:rsidRDefault="00C306A8">
            <w:pPr>
              <w:cnfStyle w:val="000000000000" w:firstRow="0" w:lastRow="0" w:firstColumn="0" w:lastColumn="0" w:oddVBand="0" w:evenVBand="0" w:oddHBand="0" w:evenHBand="0" w:firstRowFirstColumn="0" w:firstRowLastColumn="0" w:lastRowFirstColumn="0" w:lastRowLastColumn="0"/>
            </w:pPr>
            <w:r>
              <w:t>343.8</w:t>
            </w:r>
          </w:p>
        </w:tc>
      </w:tr>
      <w:tr w:rsidR="00C306A8" w14:paraId="0FECF350" w14:textId="77777777" w:rsidTr="009713D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0134FE5" w14:textId="384CD810" w:rsidR="00C306A8" w:rsidRPr="00B2380D" w:rsidRDefault="00C306A8">
            <w:pPr>
              <w:ind w:left="170"/>
              <w:rPr>
                <w:i/>
              </w:rPr>
            </w:pPr>
            <w:r w:rsidRPr="00B2380D">
              <w:rPr>
                <w:i/>
              </w:rPr>
              <w:t>The</w:t>
            </w:r>
            <w:r w:rsidR="00FF5292">
              <w:rPr>
                <w:i/>
              </w:rPr>
              <w:t xml:space="preserve"> higher</w:t>
            </w:r>
            <w:r w:rsidRPr="00B2380D">
              <w:rPr>
                <w:i/>
              </w:rPr>
              <w:t xml:space="preserve"> 2026-27 target </w:t>
            </w:r>
            <w:r w:rsidR="00191EFB">
              <w:rPr>
                <w:i/>
              </w:rPr>
              <w:t>reflects additional investment in Victoria’s bus network</w:t>
            </w:r>
            <w:r w:rsidRPr="00B2380D">
              <w:rPr>
                <w:i/>
              </w:rPr>
              <w:t>.</w:t>
            </w:r>
          </w:p>
        </w:tc>
      </w:tr>
    </w:tbl>
    <w:p w14:paraId="103F05DA" w14:textId="77777777" w:rsidR="00C306A8" w:rsidRDefault="00C306A8" w:rsidP="00C306A8">
      <w:pPr>
        <w:pStyle w:val="Source"/>
      </w:pPr>
      <w:r>
        <w:t>Source: Department of Transport and Planning</w:t>
      </w:r>
    </w:p>
    <w:p w14:paraId="5CD0421A" w14:textId="3A7E20C2" w:rsidR="00C306A8" w:rsidRDefault="00C306A8" w:rsidP="00C306A8">
      <w:pPr>
        <w:pStyle w:val="Heading3"/>
      </w:pPr>
      <w:r>
        <w:t>Road Asset Management</w:t>
      </w:r>
      <w:r>
        <w:tab/>
        <w:t>(2026-27: $756</w:t>
      </w:r>
      <w:r w:rsidR="001E096C">
        <w:t>.0</w:t>
      </w:r>
      <w:r>
        <w:t xml:space="preserve"> million)</w:t>
      </w:r>
    </w:p>
    <w:p w14:paraId="3C84CB58" w14:textId="48F748F0" w:rsidR="00C306A8" w:rsidRPr="003A085D" w:rsidRDefault="00C306A8" w:rsidP="00C306A8">
      <w:pPr>
        <w:spacing w:after="120"/>
      </w:pPr>
      <w:r w:rsidRPr="003A085D">
        <w:t>This output delivers programs and initiatives to maintain Victoria’s freeways and arterial roads.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C306A8" w14:paraId="4542B20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D79B806" w14:textId="77777777" w:rsidR="00C306A8" w:rsidRDefault="00C306A8">
            <w:r>
              <w:t>Performance measure</w:t>
            </w:r>
          </w:p>
        </w:tc>
        <w:tc>
          <w:tcPr>
            <w:tcW w:w="964" w:type="dxa"/>
          </w:tcPr>
          <w:p w14:paraId="51959BD7"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38862E4"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246B239"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D301609"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8CA5599"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B14B19" w14:paraId="554B77AD"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AB3F85B" w14:textId="77777777" w:rsidR="00C306A8" w:rsidRPr="00B14B19" w:rsidRDefault="00C306A8">
            <w:pPr>
              <w:keepNext/>
              <w:rPr>
                <w:b/>
              </w:rPr>
            </w:pPr>
            <w:r w:rsidRPr="00B14B19">
              <w:rPr>
                <w:b/>
              </w:rPr>
              <w:t>Quantity</w:t>
            </w:r>
          </w:p>
        </w:tc>
      </w:tr>
      <w:tr w:rsidR="00C306A8" w14:paraId="1B34EE44" w14:textId="77777777">
        <w:tc>
          <w:tcPr>
            <w:cnfStyle w:val="001000000000" w:firstRow="0" w:lastRow="0" w:firstColumn="1" w:lastColumn="0" w:oddVBand="0" w:evenVBand="0" w:oddHBand="0" w:evenHBand="0" w:firstRowFirstColumn="0" w:firstRowLastColumn="0" w:lastRowFirstColumn="0" w:lastRowLastColumn="0"/>
            <w:tcW w:w="4819" w:type="dxa"/>
          </w:tcPr>
          <w:p w14:paraId="4B3AFFAA" w14:textId="77777777" w:rsidR="00C306A8" w:rsidRDefault="00C306A8">
            <w:pPr>
              <w:keepNext/>
              <w:ind w:left="170"/>
            </w:pPr>
            <w:r>
              <w:t>Bridges maintained: metropolitan</w:t>
            </w:r>
          </w:p>
        </w:tc>
        <w:tc>
          <w:tcPr>
            <w:tcW w:w="964" w:type="dxa"/>
          </w:tcPr>
          <w:p w14:paraId="316EF21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4AA504"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1 037</w:t>
            </w:r>
          </w:p>
        </w:tc>
        <w:tc>
          <w:tcPr>
            <w:tcW w:w="964" w:type="dxa"/>
          </w:tcPr>
          <w:p w14:paraId="32A94E90"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1 037</w:t>
            </w:r>
          </w:p>
        </w:tc>
        <w:tc>
          <w:tcPr>
            <w:tcW w:w="964" w:type="dxa"/>
          </w:tcPr>
          <w:p w14:paraId="2437C86D" w14:textId="77777777" w:rsidR="00C306A8" w:rsidRDefault="00C306A8">
            <w:pPr>
              <w:cnfStyle w:val="000000000000" w:firstRow="0" w:lastRow="0" w:firstColumn="0" w:lastColumn="0" w:oddVBand="0" w:evenVBand="0" w:oddHBand="0" w:evenHBand="0" w:firstRowFirstColumn="0" w:firstRowLastColumn="0" w:lastRowFirstColumn="0" w:lastRowLastColumn="0"/>
            </w:pPr>
            <w:r>
              <w:t>983</w:t>
            </w:r>
          </w:p>
        </w:tc>
        <w:tc>
          <w:tcPr>
            <w:tcW w:w="964" w:type="dxa"/>
          </w:tcPr>
          <w:p w14:paraId="0B10B679" w14:textId="77777777" w:rsidR="00C306A8" w:rsidRDefault="00C306A8">
            <w:pPr>
              <w:cnfStyle w:val="000000000000" w:firstRow="0" w:lastRow="0" w:firstColumn="0" w:lastColumn="0" w:oddVBand="0" w:evenVBand="0" w:oddHBand="0" w:evenHBand="0" w:firstRowFirstColumn="0" w:firstRowLastColumn="0" w:lastRowFirstColumn="0" w:lastRowLastColumn="0"/>
            </w:pPr>
            <w:r>
              <w:t>989</w:t>
            </w:r>
          </w:p>
        </w:tc>
      </w:tr>
      <w:tr w:rsidR="00C306A8" w14:paraId="315016C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8A563EB" w14:textId="77777777" w:rsidR="00C306A8" w:rsidRDefault="00C306A8">
            <w:pPr>
              <w:ind w:left="170"/>
            </w:pPr>
            <w:r w:rsidRPr="0081604A">
              <w:rPr>
                <w:i/>
              </w:rPr>
              <w:t>The 2025-26 expected outcome is higher than the 2025-26 target due to the completion of metropolitan bridges that have been added to the system.</w:t>
            </w:r>
          </w:p>
          <w:p w14:paraId="5BF71792" w14:textId="77777777" w:rsidR="00C306A8" w:rsidRDefault="00C306A8">
            <w:pPr>
              <w:ind w:left="170"/>
            </w:pPr>
            <w:r w:rsidRPr="00424641">
              <w:rPr>
                <w:i/>
              </w:rPr>
              <w:t>The higher 2026-27 target reflects the completion of metropolitan bridges that have been added to the system.</w:t>
            </w:r>
          </w:p>
        </w:tc>
      </w:tr>
      <w:tr w:rsidR="00C306A8" w14:paraId="1A7E82F1" w14:textId="77777777">
        <w:tc>
          <w:tcPr>
            <w:cnfStyle w:val="001000000000" w:firstRow="0" w:lastRow="0" w:firstColumn="1" w:lastColumn="0" w:oddVBand="0" w:evenVBand="0" w:oddHBand="0" w:evenHBand="0" w:firstRowFirstColumn="0" w:firstRowLastColumn="0" w:lastRowFirstColumn="0" w:lastRowLastColumn="0"/>
            <w:tcW w:w="4819" w:type="dxa"/>
          </w:tcPr>
          <w:p w14:paraId="6886A8DB" w14:textId="77777777" w:rsidR="00C306A8" w:rsidRDefault="00C306A8">
            <w:pPr>
              <w:keepNext/>
              <w:ind w:left="170"/>
            </w:pPr>
            <w:r>
              <w:t>Bridges maintained: regional</w:t>
            </w:r>
          </w:p>
        </w:tc>
        <w:tc>
          <w:tcPr>
            <w:tcW w:w="964" w:type="dxa"/>
          </w:tcPr>
          <w:p w14:paraId="1108CE3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9DC336E" w14:textId="77777777" w:rsidR="00C306A8" w:rsidRDefault="00C306A8">
            <w:pPr>
              <w:cnfStyle w:val="000000000000" w:firstRow="0" w:lastRow="0" w:firstColumn="0" w:lastColumn="0" w:oddVBand="0" w:evenVBand="0" w:oddHBand="0" w:evenHBand="0" w:firstRowFirstColumn="0" w:firstRowLastColumn="0" w:lastRowFirstColumn="0" w:lastRowLastColumn="0"/>
            </w:pPr>
            <w:r>
              <w:t>2 233</w:t>
            </w:r>
          </w:p>
        </w:tc>
        <w:tc>
          <w:tcPr>
            <w:tcW w:w="964" w:type="dxa"/>
          </w:tcPr>
          <w:p w14:paraId="2FADCAD2" w14:textId="77777777" w:rsidR="00C306A8" w:rsidRDefault="00C306A8">
            <w:pPr>
              <w:cnfStyle w:val="000000000000" w:firstRow="0" w:lastRow="0" w:firstColumn="0" w:lastColumn="0" w:oddVBand="0" w:evenVBand="0" w:oddHBand="0" w:evenHBand="0" w:firstRowFirstColumn="0" w:firstRowLastColumn="0" w:lastRowFirstColumn="0" w:lastRowLastColumn="0"/>
            </w:pPr>
            <w:r>
              <w:t>2 233</w:t>
            </w:r>
          </w:p>
        </w:tc>
        <w:tc>
          <w:tcPr>
            <w:tcW w:w="964" w:type="dxa"/>
          </w:tcPr>
          <w:p w14:paraId="394A952F" w14:textId="77777777" w:rsidR="00C306A8" w:rsidRDefault="00C306A8">
            <w:pPr>
              <w:cnfStyle w:val="000000000000" w:firstRow="0" w:lastRow="0" w:firstColumn="0" w:lastColumn="0" w:oddVBand="0" w:evenVBand="0" w:oddHBand="0" w:evenHBand="0" w:firstRowFirstColumn="0" w:firstRowLastColumn="0" w:lastRowFirstColumn="0" w:lastRowLastColumn="0"/>
            </w:pPr>
            <w:r>
              <w:t>2 231</w:t>
            </w:r>
          </w:p>
        </w:tc>
        <w:tc>
          <w:tcPr>
            <w:tcW w:w="964" w:type="dxa"/>
          </w:tcPr>
          <w:p w14:paraId="7D49FD11" w14:textId="77777777" w:rsidR="00C306A8" w:rsidRDefault="00C306A8">
            <w:pPr>
              <w:cnfStyle w:val="000000000000" w:firstRow="0" w:lastRow="0" w:firstColumn="0" w:lastColumn="0" w:oddVBand="0" w:evenVBand="0" w:oddHBand="0" w:evenHBand="0" w:firstRowFirstColumn="0" w:firstRowLastColumn="0" w:lastRowFirstColumn="0" w:lastRowLastColumn="0"/>
            </w:pPr>
            <w:r>
              <w:t>2 232</w:t>
            </w:r>
          </w:p>
        </w:tc>
      </w:tr>
      <w:tr w:rsidR="00C306A8" w14:paraId="6FEF313E" w14:textId="77777777" w:rsidTr="00C14988">
        <w:tc>
          <w:tcPr>
            <w:cnfStyle w:val="001000000000" w:firstRow="0" w:lastRow="0" w:firstColumn="1" w:lastColumn="0" w:oddVBand="0" w:evenVBand="0" w:oddHBand="0" w:evenHBand="0" w:firstRowFirstColumn="0" w:firstRowLastColumn="0" w:lastRowFirstColumn="0" w:lastRowLastColumn="0"/>
            <w:tcW w:w="9639" w:type="dxa"/>
            <w:gridSpan w:val="6"/>
            <w:tcBorders>
              <w:bottom w:val="nil"/>
            </w:tcBorders>
          </w:tcPr>
          <w:p w14:paraId="02722482" w14:textId="77777777" w:rsidR="00C306A8" w:rsidRDefault="00C306A8">
            <w:pPr>
              <w:ind w:left="170"/>
            </w:pPr>
            <w:r w:rsidRPr="0090344C">
              <w:t>The higher 2026-27 target reflects the completion of regional bridges that have been added to the system.</w:t>
            </w:r>
          </w:p>
        </w:tc>
      </w:tr>
      <w:tr w:rsidR="00C306A8" w14:paraId="0D840B5E" w14:textId="77777777" w:rsidTr="00EB1EA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6410333" w14:textId="46C42002" w:rsidR="00C306A8" w:rsidRDefault="00C306A8">
            <w:pPr>
              <w:keepNext/>
              <w:ind w:left="170"/>
            </w:pPr>
            <w:r>
              <w:t xml:space="preserve">Road area major patched: </w:t>
            </w:r>
            <w:r w:rsidR="001E3B04">
              <w:br/>
            </w:r>
            <w:r>
              <w:t>roads in inner metropolitan Melbourne</w:t>
            </w:r>
          </w:p>
        </w:tc>
        <w:tc>
          <w:tcPr>
            <w:tcW w:w="964" w:type="dxa"/>
            <w:tcBorders>
              <w:bottom w:val="single" w:sz="6" w:space="0" w:color="auto"/>
            </w:tcBorders>
          </w:tcPr>
          <w:p w14:paraId="472486A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D70EC0">
              <w:rPr>
                <w:vertAlign w:val="superscript"/>
              </w:rPr>
              <w:t>2</w:t>
            </w:r>
            <w:r>
              <w:t xml:space="preserve"> (thousand)</w:t>
            </w:r>
          </w:p>
        </w:tc>
        <w:tc>
          <w:tcPr>
            <w:tcW w:w="964" w:type="dxa"/>
            <w:tcBorders>
              <w:bottom w:val="single" w:sz="6" w:space="0" w:color="auto"/>
            </w:tcBorders>
            <w:shd w:val="clear" w:color="auto" w:fill="F0F0F0"/>
          </w:tcPr>
          <w:p w14:paraId="5F4FA22B"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0D0D271D"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4CA22EB2"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Borders>
              <w:bottom w:val="single" w:sz="6" w:space="0" w:color="auto"/>
            </w:tcBorders>
          </w:tcPr>
          <w:p w14:paraId="04E62E1F" w14:textId="77777777" w:rsidR="00C306A8" w:rsidRDefault="00C306A8">
            <w:pPr>
              <w:cnfStyle w:val="000000000000" w:firstRow="0" w:lastRow="0" w:firstColumn="0" w:lastColumn="0" w:oddVBand="0" w:evenVBand="0" w:oddHBand="0" w:evenHBand="0" w:firstRowFirstColumn="0" w:firstRowLastColumn="0" w:lastRowFirstColumn="0" w:lastRowLastColumn="0"/>
            </w:pPr>
            <w:r>
              <w:t>8</w:t>
            </w:r>
          </w:p>
        </w:tc>
      </w:tr>
      <w:tr w:rsidR="00C306A8" w14:paraId="2810505F" w14:textId="77777777" w:rsidTr="00EB1EA1">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1DB4E027" w14:textId="6D0CC9A3" w:rsidR="00C306A8" w:rsidRDefault="00C306A8">
            <w:pPr>
              <w:keepNext/>
              <w:ind w:left="170"/>
            </w:pPr>
            <w:r>
              <w:t xml:space="preserve">Road area major patched: </w:t>
            </w:r>
            <w:r w:rsidR="001E3B04">
              <w:br/>
            </w:r>
            <w:r>
              <w:t>roads in outer metropolitan Melbourne</w:t>
            </w:r>
          </w:p>
        </w:tc>
        <w:tc>
          <w:tcPr>
            <w:tcW w:w="964" w:type="dxa"/>
            <w:tcBorders>
              <w:top w:val="single" w:sz="6" w:space="0" w:color="auto"/>
            </w:tcBorders>
          </w:tcPr>
          <w:p w14:paraId="3F080B3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tcBorders>
              <w:top w:val="single" w:sz="6" w:space="0" w:color="auto"/>
            </w:tcBorders>
            <w:shd w:val="clear" w:color="auto" w:fill="F0F0F0"/>
          </w:tcPr>
          <w:p w14:paraId="32A2142B"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c>
          <w:tcPr>
            <w:tcW w:w="964" w:type="dxa"/>
            <w:tcBorders>
              <w:top w:val="single" w:sz="6" w:space="0" w:color="auto"/>
            </w:tcBorders>
          </w:tcPr>
          <w:p w14:paraId="0EEC8666" w14:textId="77777777" w:rsidR="00C306A8" w:rsidRDefault="00C306A8">
            <w:pPr>
              <w:cnfStyle w:val="000000000000" w:firstRow="0" w:lastRow="0" w:firstColumn="0" w:lastColumn="0" w:oddVBand="0" w:evenVBand="0" w:oddHBand="0" w:evenHBand="0" w:firstRowFirstColumn="0" w:firstRowLastColumn="0" w:lastRowFirstColumn="0" w:lastRowLastColumn="0"/>
            </w:pPr>
            <w:r>
              <w:t>27</w:t>
            </w:r>
          </w:p>
        </w:tc>
        <w:tc>
          <w:tcPr>
            <w:tcW w:w="964" w:type="dxa"/>
            <w:tcBorders>
              <w:top w:val="single" w:sz="6" w:space="0" w:color="auto"/>
            </w:tcBorders>
          </w:tcPr>
          <w:p w14:paraId="22ECA331"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c>
          <w:tcPr>
            <w:tcW w:w="964" w:type="dxa"/>
            <w:tcBorders>
              <w:top w:val="single" w:sz="6" w:space="0" w:color="auto"/>
            </w:tcBorders>
          </w:tcPr>
          <w:p w14:paraId="6B3D41C0" w14:textId="77777777" w:rsidR="00C306A8" w:rsidRDefault="00C306A8">
            <w:pPr>
              <w:cnfStyle w:val="000000000000" w:firstRow="0" w:lastRow="0" w:firstColumn="0" w:lastColumn="0" w:oddVBand="0" w:evenVBand="0" w:oddHBand="0" w:evenHBand="0" w:firstRowFirstColumn="0" w:firstRowLastColumn="0" w:lastRowFirstColumn="0" w:lastRowLastColumn="0"/>
            </w:pPr>
            <w:r>
              <w:t>35</w:t>
            </w:r>
          </w:p>
        </w:tc>
      </w:tr>
      <w:tr w:rsidR="00C306A8" w14:paraId="2798AD7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4E81C77" w14:textId="77777777" w:rsidR="00C306A8" w:rsidRDefault="00C306A8">
            <w:pPr>
              <w:ind w:left="170"/>
            </w:pPr>
            <w:r>
              <w:rPr>
                <w:i/>
              </w:rPr>
              <w:t>The 2025-26 expected outcome is higher than the 2025-26 target due to tendered unit rates resulting in more road area treated</w:t>
            </w:r>
            <w:r>
              <w:t>.</w:t>
            </w:r>
          </w:p>
        </w:tc>
      </w:tr>
      <w:tr w:rsidR="00C306A8" w14:paraId="1FCA55B7" w14:textId="77777777">
        <w:tc>
          <w:tcPr>
            <w:cnfStyle w:val="001000000000" w:firstRow="0" w:lastRow="0" w:firstColumn="1" w:lastColumn="0" w:oddVBand="0" w:evenVBand="0" w:oddHBand="0" w:evenHBand="0" w:firstRowFirstColumn="0" w:firstRowLastColumn="0" w:lastRowFirstColumn="0" w:lastRowLastColumn="0"/>
            <w:tcW w:w="4819" w:type="dxa"/>
          </w:tcPr>
          <w:p w14:paraId="274281F9" w14:textId="77777777" w:rsidR="00C306A8" w:rsidRDefault="00C306A8">
            <w:pPr>
              <w:keepNext/>
              <w:ind w:left="170"/>
            </w:pPr>
            <w:r>
              <w:t>Road area major patched: roads in regional Victoria</w:t>
            </w:r>
          </w:p>
        </w:tc>
        <w:tc>
          <w:tcPr>
            <w:tcW w:w="964" w:type="dxa"/>
          </w:tcPr>
          <w:p w14:paraId="3D80F09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shd w:val="clear" w:color="auto" w:fill="F0F0F0"/>
          </w:tcPr>
          <w:p w14:paraId="169AC778" w14:textId="77777777" w:rsidR="00C306A8" w:rsidRDefault="00C306A8">
            <w:pPr>
              <w:cnfStyle w:val="000000000000" w:firstRow="0" w:lastRow="0" w:firstColumn="0" w:lastColumn="0" w:oddVBand="0" w:evenVBand="0" w:oddHBand="0" w:evenHBand="0" w:firstRowFirstColumn="0" w:firstRowLastColumn="0" w:lastRowFirstColumn="0" w:lastRowLastColumn="0"/>
            </w:pPr>
            <w:r>
              <w:t>74</w:t>
            </w:r>
          </w:p>
        </w:tc>
        <w:tc>
          <w:tcPr>
            <w:tcW w:w="964" w:type="dxa"/>
          </w:tcPr>
          <w:p w14:paraId="4AE30EAD"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03B6D2A6"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17BBEEF1" w14:textId="77777777" w:rsidR="00C306A8" w:rsidRDefault="00C306A8">
            <w:pPr>
              <w:cnfStyle w:val="000000000000" w:firstRow="0" w:lastRow="0" w:firstColumn="0" w:lastColumn="0" w:oddVBand="0" w:evenVBand="0" w:oddHBand="0" w:evenHBand="0" w:firstRowFirstColumn="0" w:firstRowLastColumn="0" w:lastRowFirstColumn="0" w:lastRowLastColumn="0"/>
            </w:pPr>
            <w:r>
              <w:t>566</w:t>
            </w:r>
          </w:p>
        </w:tc>
      </w:tr>
      <w:tr w:rsidR="00C306A8" w14:paraId="61D07E7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0470FDE" w14:textId="77777777" w:rsidR="00C306A8" w:rsidRDefault="00C306A8">
            <w:pPr>
              <w:ind w:left="170"/>
            </w:pPr>
            <w:r>
              <w:rPr>
                <w:i/>
              </w:rPr>
              <w:t>The 2025-26 expected outcome is higher than the 2025-26 target due to cost-effective treatments at some locations resulting in more road area treated.</w:t>
            </w:r>
          </w:p>
          <w:p w14:paraId="31388EF1" w14:textId="77777777" w:rsidR="00C306A8" w:rsidRDefault="00C306A8">
            <w:pPr>
              <w:ind w:left="170"/>
            </w:pPr>
            <w:r>
              <w:rPr>
                <w:i/>
              </w:rPr>
              <w:t>The higher 2026-27 target reflects road area scheduled for treatment, based on unit costs to complete maintenance works.</w:t>
            </w:r>
          </w:p>
        </w:tc>
      </w:tr>
      <w:tr w:rsidR="00C306A8" w14:paraId="188116C9" w14:textId="77777777">
        <w:tc>
          <w:tcPr>
            <w:cnfStyle w:val="001000000000" w:firstRow="0" w:lastRow="0" w:firstColumn="1" w:lastColumn="0" w:oddVBand="0" w:evenVBand="0" w:oddHBand="0" w:evenHBand="0" w:firstRowFirstColumn="0" w:firstRowLastColumn="0" w:lastRowFirstColumn="0" w:lastRowLastColumn="0"/>
            <w:tcW w:w="4819" w:type="dxa"/>
          </w:tcPr>
          <w:p w14:paraId="169100BD" w14:textId="07EB7751" w:rsidR="00C306A8" w:rsidRDefault="00C306A8">
            <w:pPr>
              <w:keepNext/>
              <w:ind w:left="170"/>
            </w:pPr>
            <w:r>
              <w:t xml:space="preserve">Road area resurfaced or rehabilitated: </w:t>
            </w:r>
            <w:r w:rsidR="001E3B04">
              <w:br/>
            </w:r>
            <w:r>
              <w:t>roads in inner metropolitan Melbourne</w:t>
            </w:r>
          </w:p>
        </w:tc>
        <w:tc>
          <w:tcPr>
            <w:tcW w:w="964" w:type="dxa"/>
          </w:tcPr>
          <w:p w14:paraId="53D6142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shd w:val="clear" w:color="auto" w:fill="F0F0F0"/>
          </w:tcPr>
          <w:p w14:paraId="56CFC634" w14:textId="5A2C06DC" w:rsidR="00C306A8" w:rsidRDefault="00C306A8">
            <w:pPr>
              <w:cnfStyle w:val="000000000000" w:firstRow="0" w:lastRow="0" w:firstColumn="0" w:lastColumn="0" w:oddVBand="0" w:evenVBand="0" w:oddHBand="0" w:evenHBand="0" w:firstRowFirstColumn="0" w:firstRowLastColumn="0" w:lastRowFirstColumn="0" w:lastRowLastColumn="0"/>
            </w:pPr>
            <w:r>
              <w:t>262</w:t>
            </w:r>
          </w:p>
        </w:tc>
        <w:tc>
          <w:tcPr>
            <w:tcW w:w="964" w:type="dxa"/>
          </w:tcPr>
          <w:p w14:paraId="7BF38EE8" w14:textId="77777777" w:rsidR="00C306A8" w:rsidRDefault="00C306A8">
            <w:pPr>
              <w:cnfStyle w:val="000000000000" w:firstRow="0" w:lastRow="0" w:firstColumn="0" w:lastColumn="0" w:oddVBand="0" w:evenVBand="0" w:oddHBand="0" w:evenHBand="0" w:firstRowFirstColumn="0" w:firstRowLastColumn="0" w:lastRowFirstColumn="0" w:lastRowLastColumn="0"/>
            </w:pPr>
            <w:r>
              <w:t>262</w:t>
            </w:r>
          </w:p>
        </w:tc>
        <w:tc>
          <w:tcPr>
            <w:tcW w:w="964" w:type="dxa"/>
          </w:tcPr>
          <w:p w14:paraId="49BE4833" w14:textId="77777777" w:rsidR="00C306A8" w:rsidRDefault="00C306A8">
            <w:pPr>
              <w:cnfStyle w:val="000000000000" w:firstRow="0" w:lastRow="0" w:firstColumn="0" w:lastColumn="0" w:oddVBand="0" w:evenVBand="0" w:oddHBand="0" w:evenHBand="0" w:firstRowFirstColumn="0" w:firstRowLastColumn="0" w:lastRowFirstColumn="0" w:lastRowLastColumn="0"/>
            </w:pPr>
            <w:r>
              <w:t>330</w:t>
            </w:r>
          </w:p>
        </w:tc>
        <w:tc>
          <w:tcPr>
            <w:tcW w:w="964" w:type="dxa"/>
          </w:tcPr>
          <w:p w14:paraId="23E4B85A" w14:textId="77777777" w:rsidR="00C306A8" w:rsidRDefault="00C306A8">
            <w:pPr>
              <w:cnfStyle w:val="000000000000" w:firstRow="0" w:lastRow="0" w:firstColumn="0" w:lastColumn="0" w:oddVBand="0" w:evenVBand="0" w:oddHBand="0" w:evenHBand="0" w:firstRowFirstColumn="0" w:firstRowLastColumn="0" w:lastRowFirstColumn="0" w:lastRowLastColumn="0"/>
            </w:pPr>
            <w:r>
              <w:t>342</w:t>
            </w:r>
          </w:p>
        </w:tc>
      </w:tr>
      <w:tr w:rsidR="00C306A8" w14:paraId="4AA31C1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3CC502E" w14:textId="77777777" w:rsidR="00B45DD0" w:rsidRDefault="00C306A8">
            <w:pPr>
              <w:ind w:left="170"/>
              <w:rPr>
                <w:i/>
              </w:rPr>
            </w:pPr>
            <w:r w:rsidRPr="00CC4465">
              <w:rPr>
                <w:i/>
              </w:rPr>
              <w:t>The 2025-26 expected outcome is lower than the 2025-26 target due to the increase in unit costs to complete maintenance work.</w:t>
            </w:r>
            <w:r>
              <w:rPr>
                <w:i/>
              </w:rPr>
              <w:t xml:space="preserve"> </w:t>
            </w:r>
          </w:p>
          <w:p w14:paraId="2B53D870" w14:textId="12D72C54" w:rsidR="00C306A8" w:rsidRDefault="00C306A8">
            <w:pPr>
              <w:ind w:left="170"/>
            </w:pPr>
            <w:r>
              <w:rPr>
                <w:i/>
              </w:rPr>
              <w:t>The lower 2026-27 target reflects the increase in unit costs to complete maintenance works.</w:t>
            </w:r>
          </w:p>
        </w:tc>
      </w:tr>
      <w:tr w:rsidR="00C306A8" w14:paraId="668EC179" w14:textId="77777777">
        <w:tc>
          <w:tcPr>
            <w:cnfStyle w:val="001000000000" w:firstRow="0" w:lastRow="0" w:firstColumn="1" w:lastColumn="0" w:oddVBand="0" w:evenVBand="0" w:oddHBand="0" w:evenHBand="0" w:firstRowFirstColumn="0" w:firstRowLastColumn="0" w:lastRowFirstColumn="0" w:lastRowLastColumn="0"/>
            <w:tcW w:w="4819" w:type="dxa"/>
          </w:tcPr>
          <w:p w14:paraId="6E79DBFF" w14:textId="5C618CD3" w:rsidR="00C306A8" w:rsidRDefault="00C306A8">
            <w:pPr>
              <w:keepNext/>
              <w:ind w:left="170"/>
            </w:pPr>
            <w:r>
              <w:lastRenderedPageBreak/>
              <w:t xml:space="preserve">Road area resurfaced or rehabilitated: </w:t>
            </w:r>
            <w:r w:rsidR="001E3B04">
              <w:br/>
            </w:r>
            <w:r>
              <w:t>roads in outer suburban Melbourne</w:t>
            </w:r>
          </w:p>
        </w:tc>
        <w:tc>
          <w:tcPr>
            <w:tcW w:w="964" w:type="dxa"/>
          </w:tcPr>
          <w:p w14:paraId="53F9BB9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shd w:val="clear" w:color="auto" w:fill="F0F0F0"/>
          </w:tcPr>
          <w:p w14:paraId="2E9DCCA5" w14:textId="77777777" w:rsidR="00C306A8" w:rsidRDefault="00C306A8">
            <w:pPr>
              <w:cnfStyle w:val="000000000000" w:firstRow="0" w:lastRow="0" w:firstColumn="0" w:lastColumn="0" w:oddVBand="0" w:evenVBand="0" w:oddHBand="0" w:evenHBand="0" w:firstRowFirstColumn="0" w:firstRowLastColumn="0" w:lastRowFirstColumn="0" w:lastRowLastColumn="0"/>
            </w:pPr>
            <w:r>
              <w:t>496</w:t>
            </w:r>
          </w:p>
        </w:tc>
        <w:tc>
          <w:tcPr>
            <w:tcW w:w="964" w:type="dxa"/>
          </w:tcPr>
          <w:p w14:paraId="76C0B266" w14:textId="77777777" w:rsidR="00C306A8" w:rsidRDefault="00C306A8">
            <w:pPr>
              <w:cnfStyle w:val="000000000000" w:firstRow="0" w:lastRow="0" w:firstColumn="0" w:lastColumn="0" w:oddVBand="0" w:evenVBand="0" w:oddHBand="0" w:evenHBand="0" w:firstRowFirstColumn="0" w:firstRowLastColumn="0" w:lastRowFirstColumn="0" w:lastRowLastColumn="0"/>
            </w:pPr>
            <w:r>
              <w:t>557</w:t>
            </w:r>
          </w:p>
        </w:tc>
        <w:tc>
          <w:tcPr>
            <w:tcW w:w="964" w:type="dxa"/>
          </w:tcPr>
          <w:p w14:paraId="5988F8CD" w14:textId="77777777" w:rsidR="00C306A8" w:rsidRDefault="00C306A8">
            <w:pPr>
              <w:cnfStyle w:val="000000000000" w:firstRow="0" w:lastRow="0" w:firstColumn="0" w:lastColumn="0" w:oddVBand="0" w:evenVBand="0" w:oddHBand="0" w:evenHBand="0" w:firstRowFirstColumn="0" w:firstRowLastColumn="0" w:lastRowFirstColumn="0" w:lastRowLastColumn="0"/>
            </w:pPr>
            <w:r>
              <w:t>496</w:t>
            </w:r>
          </w:p>
        </w:tc>
        <w:tc>
          <w:tcPr>
            <w:tcW w:w="964" w:type="dxa"/>
          </w:tcPr>
          <w:p w14:paraId="76BDB326" w14:textId="77777777" w:rsidR="00C306A8" w:rsidRDefault="00C306A8">
            <w:pPr>
              <w:cnfStyle w:val="000000000000" w:firstRow="0" w:lastRow="0" w:firstColumn="0" w:lastColumn="0" w:oddVBand="0" w:evenVBand="0" w:oddHBand="0" w:evenHBand="0" w:firstRowFirstColumn="0" w:firstRowLastColumn="0" w:lastRowFirstColumn="0" w:lastRowLastColumn="0"/>
            </w:pPr>
            <w:r>
              <w:t>802</w:t>
            </w:r>
          </w:p>
        </w:tc>
      </w:tr>
      <w:tr w:rsidR="00C306A8" w14:paraId="7A0D071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DA124CA" w14:textId="77777777" w:rsidR="00C306A8" w:rsidRDefault="00C306A8">
            <w:pPr>
              <w:ind w:left="170"/>
            </w:pPr>
            <w:r>
              <w:rPr>
                <w:i/>
              </w:rPr>
              <w:t>The 2025-26 expected outcome is higher than the 2025-26 target due to resurfacing projects with significant preparation works being reprioritised as future rehabilitation projects.</w:t>
            </w:r>
          </w:p>
        </w:tc>
      </w:tr>
      <w:tr w:rsidR="00C306A8" w14:paraId="42A95F48" w14:textId="77777777">
        <w:tc>
          <w:tcPr>
            <w:cnfStyle w:val="001000000000" w:firstRow="0" w:lastRow="0" w:firstColumn="1" w:lastColumn="0" w:oddVBand="0" w:evenVBand="0" w:oddHBand="0" w:evenHBand="0" w:firstRowFirstColumn="0" w:firstRowLastColumn="0" w:lastRowFirstColumn="0" w:lastRowLastColumn="0"/>
            <w:tcW w:w="4819" w:type="dxa"/>
          </w:tcPr>
          <w:p w14:paraId="60D5CF8D" w14:textId="1615837C" w:rsidR="00C306A8" w:rsidRDefault="00C306A8">
            <w:pPr>
              <w:keepNext/>
              <w:ind w:left="170"/>
            </w:pPr>
            <w:r>
              <w:t xml:space="preserve">Road area resurfaced or rehabilitated: </w:t>
            </w:r>
            <w:r w:rsidR="001E3B04">
              <w:br/>
            </w:r>
            <w:r>
              <w:t>roads in regional Victoria</w:t>
            </w:r>
          </w:p>
        </w:tc>
        <w:tc>
          <w:tcPr>
            <w:tcW w:w="964" w:type="dxa"/>
          </w:tcPr>
          <w:p w14:paraId="0588381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shd w:val="clear" w:color="auto" w:fill="F0F0F0"/>
          </w:tcPr>
          <w:p w14:paraId="55DD1C27" w14:textId="77777777" w:rsidR="00C306A8" w:rsidRDefault="00C306A8">
            <w:pPr>
              <w:cnfStyle w:val="000000000000" w:firstRow="0" w:lastRow="0" w:firstColumn="0" w:lastColumn="0" w:oddVBand="0" w:evenVBand="0" w:oddHBand="0" w:evenHBand="0" w:firstRowFirstColumn="0" w:firstRowLastColumn="0" w:lastRowFirstColumn="0" w:lastRowLastColumn="0"/>
            </w:pPr>
            <w:r>
              <w:t>2 859</w:t>
            </w:r>
          </w:p>
        </w:tc>
        <w:tc>
          <w:tcPr>
            <w:tcW w:w="964" w:type="dxa"/>
          </w:tcPr>
          <w:p w14:paraId="1E8DF4CA" w14:textId="77777777" w:rsidR="00C306A8" w:rsidRDefault="00C306A8">
            <w:pPr>
              <w:cnfStyle w:val="000000000000" w:firstRow="0" w:lastRow="0" w:firstColumn="0" w:lastColumn="0" w:oddVBand="0" w:evenVBand="0" w:oddHBand="0" w:evenHBand="0" w:firstRowFirstColumn="0" w:firstRowLastColumn="0" w:lastRowFirstColumn="0" w:lastRowLastColumn="0"/>
            </w:pPr>
            <w:r>
              <w:t>3 574</w:t>
            </w:r>
          </w:p>
        </w:tc>
        <w:tc>
          <w:tcPr>
            <w:tcW w:w="964" w:type="dxa"/>
          </w:tcPr>
          <w:p w14:paraId="46F49D15" w14:textId="77777777" w:rsidR="00C306A8" w:rsidRDefault="00C306A8">
            <w:pPr>
              <w:cnfStyle w:val="000000000000" w:firstRow="0" w:lastRow="0" w:firstColumn="0" w:lastColumn="0" w:oddVBand="0" w:evenVBand="0" w:oddHBand="0" w:evenHBand="0" w:firstRowFirstColumn="0" w:firstRowLastColumn="0" w:lastRowFirstColumn="0" w:lastRowLastColumn="0"/>
            </w:pPr>
            <w:r>
              <w:t>2 707</w:t>
            </w:r>
          </w:p>
        </w:tc>
        <w:tc>
          <w:tcPr>
            <w:tcW w:w="964" w:type="dxa"/>
          </w:tcPr>
          <w:p w14:paraId="313B1535" w14:textId="77777777" w:rsidR="00C306A8" w:rsidRDefault="00C306A8">
            <w:pPr>
              <w:cnfStyle w:val="000000000000" w:firstRow="0" w:lastRow="0" w:firstColumn="0" w:lastColumn="0" w:oddVBand="0" w:evenVBand="0" w:oddHBand="0" w:evenHBand="0" w:firstRowFirstColumn="0" w:firstRowLastColumn="0" w:lastRowFirstColumn="0" w:lastRowLastColumn="0"/>
            </w:pPr>
            <w:r>
              <w:t>3 290</w:t>
            </w:r>
          </w:p>
        </w:tc>
      </w:tr>
      <w:tr w:rsidR="00C306A8" w14:paraId="03BD858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6B91C81" w14:textId="77777777" w:rsidR="00C306A8" w:rsidRDefault="00C306A8">
            <w:pPr>
              <w:ind w:left="170"/>
            </w:pPr>
            <w:r>
              <w:rPr>
                <w:i/>
              </w:rPr>
              <w:t>The 2025-26 expected outcome is higher than the 2025-26 target due to resurfacing projects with significant preparation works being reprioritised as future rehabilitation projects.</w:t>
            </w:r>
          </w:p>
          <w:p w14:paraId="3687686A" w14:textId="77777777" w:rsidR="00C306A8" w:rsidRDefault="00C306A8">
            <w:pPr>
              <w:ind w:left="170"/>
            </w:pPr>
            <w:r w:rsidRPr="00653B35">
              <w:rPr>
                <w:i/>
              </w:rPr>
              <w:t>The higher 2026-27 target reflects works for completion in 2026-27. </w:t>
            </w:r>
          </w:p>
        </w:tc>
      </w:tr>
      <w:tr w:rsidR="00C306A8" w14:paraId="3114B85E" w14:textId="77777777">
        <w:tc>
          <w:tcPr>
            <w:cnfStyle w:val="001000000000" w:firstRow="0" w:lastRow="0" w:firstColumn="1" w:lastColumn="0" w:oddVBand="0" w:evenVBand="0" w:oddHBand="0" w:evenHBand="0" w:firstRowFirstColumn="0" w:firstRowLastColumn="0" w:lastRowFirstColumn="0" w:lastRowLastColumn="0"/>
            <w:tcW w:w="4819" w:type="dxa"/>
          </w:tcPr>
          <w:p w14:paraId="18B919F0" w14:textId="77777777" w:rsidR="00C306A8" w:rsidRDefault="00C306A8">
            <w:pPr>
              <w:keepNext/>
              <w:ind w:left="170"/>
            </w:pPr>
            <w:r>
              <w:t>Road network maintained: inner metropolitan</w:t>
            </w:r>
          </w:p>
        </w:tc>
        <w:tc>
          <w:tcPr>
            <w:tcW w:w="964" w:type="dxa"/>
          </w:tcPr>
          <w:p w14:paraId="1024CA0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shd w:val="clear" w:color="auto" w:fill="F0F0F0"/>
          </w:tcPr>
          <w:p w14:paraId="6E665C95" w14:textId="77777777" w:rsidR="00C306A8" w:rsidRDefault="00C306A8">
            <w:pPr>
              <w:cnfStyle w:val="000000000000" w:firstRow="0" w:lastRow="0" w:firstColumn="0" w:lastColumn="0" w:oddVBand="0" w:evenVBand="0" w:oddHBand="0" w:evenHBand="0" w:firstRowFirstColumn="0" w:firstRowLastColumn="0" w:lastRowFirstColumn="0" w:lastRowLastColumn="0"/>
            </w:pPr>
            <w:r>
              <w:t>24 293</w:t>
            </w:r>
          </w:p>
        </w:tc>
        <w:tc>
          <w:tcPr>
            <w:tcW w:w="964" w:type="dxa"/>
          </w:tcPr>
          <w:p w14:paraId="67FAA043" w14:textId="77777777" w:rsidR="00C306A8" w:rsidRDefault="00C306A8">
            <w:pPr>
              <w:cnfStyle w:val="000000000000" w:firstRow="0" w:lastRow="0" w:firstColumn="0" w:lastColumn="0" w:oddVBand="0" w:evenVBand="0" w:oddHBand="0" w:evenHBand="0" w:firstRowFirstColumn="0" w:firstRowLastColumn="0" w:lastRowFirstColumn="0" w:lastRowLastColumn="0"/>
            </w:pPr>
            <w:r>
              <w:t>24 293</w:t>
            </w:r>
          </w:p>
        </w:tc>
        <w:tc>
          <w:tcPr>
            <w:tcW w:w="964" w:type="dxa"/>
          </w:tcPr>
          <w:p w14:paraId="14E305FB" w14:textId="77777777" w:rsidR="00C306A8" w:rsidRDefault="00C306A8">
            <w:pPr>
              <w:cnfStyle w:val="000000000000" w:firstRow="0" w:lastRow="0" w:firstColumn="0" w:lastColumn="0" w:oddVBand="0" w:evenVBand="0" w:oddHBand="0" w:evenHBand="0" w:firstRowFirstColumn="0" w:firstRowLastColumn="0" w:lastRowFirstColumn="0" w:lastRowLastColumn="0"/>
            </w:pPr>
            <w:r>
              <w:t>24 135</w:t>
            </w:r>
          </w:p>
        </w:tc>
        <w:tc>
          <w:tcPr>
            <w:tcW w:w="964" w:type="dxa"/>
          </w:tcPr>
          <w:p w14:paraId="64692747" w14:textId="77777777" w:rsidR="00C306A8" w:rsidRDefault="00C306A8">
            <w:pPr>
              <w:cnfStyle w:val="000000000000" w:firstRow="0" w:lastRow="0" w:firstColumn="0" w:lastColumn="0" w:oddVBand="0" w:evenVBand="0" w:oddHBand="0" w:evenHBand="0" w:firstRowFirstColumn="0" w:firstRowLastColumn="0" w:lastRowFirstColumn="0" w:lastRowLastColumn="0"/>
            </w:pPr>
            <w:r>
              <w:t>24 135</w:t>
            </w:r>
          </w:p>
        </w:tc>
      </w:tr>
      <w:tr w:rsidR="00C306A8" w14:paraId="102D6B1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2F1C55E" w14:textId="77777777" w:rsidR="00C306A8" w:rsidRDefault="00C306A8">
            <w:pPr>
              <w:ind w:left="170"/>
            </w:pPr>
            <w:r>
              <w:rPr>
                <w:i/>
              </w:rPr>
              <w:t>The 2026-27 target reflects the increase in network due to the completion of major projects.</w:t>
            </w:r>
          </w:p>
        </w:tc>
      </w:tr>
      <w:tr w:rsidR="00C306A8" w14:paraId="70BAD3E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972E159" w14:textId="77777777" w:rsidR="00C306A8" w:rsidRDefault="00C306A8">
            <w:pPr>
              <w:ind w:left="170"/>
            </w:pPr>
            <w:r>
              <w:t>Road network maintained: outer suburban</w:t>
            </w:r>
          </w:p>
        </w:tc>
        <w:tc>
          <w:tcPr>
            <w:tcW w:w="964" w:type="dxa"/>
            <w:tcBorders>
              <w:bottom w:val="single" w:sz="6" w:space="0" w:color="auto"/>
            </w:tcBorders>
          </w:tcPr>
          <w:p w14:paraId="073BEB7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tcBorders>
              <w:bottom w:val="single" w:sz="6" w:space="0" w:color="auto"/>
            </w:tcBorders>
            <w:shd w:val="clear" w:color="auto" w:fill="F0F0F0"/>
          </w:tcPr>
          <w:p w14:paraId="20C465A2" w14:textId="77777777" w:rsidR="00C306A8" w:rsidRDefault="00C306A8">
            <w:pPr>
              <w:cnfStyle w:val="000000000000" w:firstRow="0" w:lastRow="0" w:firstColumn="0" w:lastColumn="0" w:oddVBand="0" w:evenVBand="0" w:oddHBand="0" w:evenHBand="0" w:firstRowFirstColumn="0" w:firstRowLastColumn="0" w:lastRowFirstColumn="0" w:lastRowLastColumn="0"/>
            </w:pPr>
            <w:r>
              <w:t>32 130</w:t>
            </w:r>
          </w:p>
        </w:tc>
        <w:tc>
          <w:tcPr>
            <w:tcW w:w="964" w:type="dxa"/>
            <w:tcBorders>
              <w:bottom w:val="single" w:sz="6" w:space="0" w:color="auto"/>
            </w:tcBorders>
          </w:tcPr>
          <w:p w14:paraId="297BBCF0" w14:textId="77777777" w:rsidR="00C306A8" w:rsidRDefault="00C306A8">
            <w:pPr>
              <w:cnfStyle w:val="000000000000" w:firstRow="0" w:lastRow="0" w:firstColumn="0" w:lastColumn="0" w:oddVBand="0" w:evenVBand="0" w:oddHBand="0" w:evenHBand="0" w:firstRowFirstColumn="0" w:firstRowLastColumn="0" w:lastRowFirstColumn="0" w:lastRowLastColumn="0"/>
            </w:pPr>
            <w:r>
              <w:t>32 130</w:t>
            </w:r>
          </w:p>
        </w:tc>
        <w:tc>
          <w:tcPr>
            <w:tcW w:w="964" w:type="dxa"/>
            <w:tcBorders>
              <w:bottom w:val="single" w:sz="6" w:space="0" w:color="auto"/>
            </w:tcBorders>
          </w:tcPr>
          <w:p w14:paraId="0B0C08CD" w14:textId="77777777" w:rsidR="00C306A8" w:rsidRDefault="00C306A8">
            <w:pPr>
              <w:cnfStyle w:val="000000000000" w:firstRow="0" w:lastRow="0" w:firstColumn="0" w:lastColumn="0" w:oddVBand="0" w:evenVBand="0" w:oddHBand="0" w:evenHBand="0" w:firstRowFirstColumn="0" w:firstRowLastColumn="0" w:lastRowFirstColumn="0" w:lastRowLastColumn="0"/>
            </w:pPr>
            <w:r>
              <w:t>32 130</w:t>
            </w:r>
          </w:p>
        </w:tc>
        <w:tc>
          <w:tcPr>
            <w:tcW w:w="964" w:type="dxa"/>
            <w:tcBorders>
              <w:bottom w:val="single" w:sz="6" w:space="0" w:color="auto"/>
            </w:tcBorders>
          </w:tcPr>
          <w:p w14:paraId="67BA4A21" w14:textId="77777777" w:rsidR="00C306A8" w:rsidRDefault="00C306A8">
            <w:pPr>
              <w:cnfStyle w:val="000000000000" w:firstRow="0" w:lastRow="0" w:firstColumn="0" w:lastColumn="0" w:oddVBand="0" w:evenVBand="0" w:oddHBand="0" w:evenHBand="0" w:firstRowFirstColumn="0" w:firstRowLastColumn="0" w:lastRowFirstColumn="0" w:lastRowLastColumn="0"/>
            </w:pPr>
            <w:r>
              <w:t>32 130</w:t>
            </w:r>
          </w:p>
        </w:tc>
      </w:tr>
      <w:tr w:rsidR="00C306A8" w14:paraId="16CC86A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A5FADFD" w14:textId="77777777" w:rsidR="00C306A8" w:rsidRDefault="00C306A8">
            <w:pPr>
              <w:ind w:left="170"/>
            </w:pPr>
            <w:r>
              <w:t>Road network maintained: regional</w:t>
            </w:r>
          </w:p>
        </w:tc>
        <w:tc>
          <w:tcPr>
            <w:tcW w:w="964" w:type="dxa"/>
            <w:tcBorders>
              <w:bottom w:val="single" w:sz="6" w:space="0" w:color="auto"/>
            </w:tcBorders>
          </w:tcPr>
          <w:p w14:paraId="53A2ACE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w:t>
            </w:r>
            <w:r w:rsidRPr="001734E9">
              <w:rPr>
                <w:vertAlign w:val="superscript"/>
              </w:rPr>
              <w:t>2</w:t>
            </w:r>
            <w:r>
              <w:t xml:space="preserve"> (thousand)</w:t>
            </w:r>
          </w:p>
        </w:tc>
        <w:tc>
          <w:tcPr>
            <w:tcW w:w="964" w:type="dxa"/>
            <w:tcBorders>
              <w:bottom w:val="single" w:sz="6" w:space="0" w:color="auto"/>
            </w:tcBorders>
            <w:shd w:val="clear" w:color="auto" w:fill="F0F0F0"/>
          </w:tcPr>
          <w:p w14:paraId="22D1277D" w14:textId="77777777" w:rsidR="00C306A8" w:rsidRDefault="00C306A8">
            <w:pPr>
              <w:cnfStyle w:val="000000000000" w:firstRow="0" w:lastRow="0" w:firstColumn="0" w:lastColumn="0" w:oddVBand="0" w:evenVBand="0" w:oddHBand="0" w:evenHBand="0" w:firstRowFirstColumn="0" w:firstRowLastColumn="0" w:lastRowFirstColumn="0" w:lastRowLastColumn="0"/>
            </w:pPr>
            <w:r>
              <w:t>173 660</w:t>
            </w:r>
          </w:p>
        </w:tc>
        <w:tc>
          <w:tcPr>
            <w:tcW w:w="964" w:type="dxa"/>
            <w:tcBorders>
              <w:bottom w:val="single" w:sz="6" w:space="0" w:color="auto"/>
            </w:tcBorders>
          </w:tcPr>
          <w:p w14:paraId="4CE4B802" w14:textId="77777777" w:rsidR="00C306A8" w:rsidRDefault="00C306A8">
            <w:pPr>
              <w:cnfStyle w:val="000000000000" w:firstRow="0" w:lastRow="0" w:firstColumn="0" w:lastColumn="0" w:oddVBand="0" w:evenVBand="0" w:oddHBand="0" w:evenHBand="0" w:firstRowFirstColumn="0" w:firstRowLastColumn="0" w:lastRowFirstColumn="0" w:lastRowLastColumn="0"/>
            </w:pPr>
            <w:r>
              <w:t>173 660</w:t>
            </w:r>
          </w:p>
        </w:tc>
        <w:tc>
          <w:tcPr>
            <w:tcW w:w="964" w:type="dxa"/>
            <w:tcBorders>
              <w:bottom w:val="single" w:sz="6" w:space="0" w:color="auto"/>
            </w:tcBorders>
          </w:tcPr>
          <w:p w14:paraId="7D73F725" w14:textId="77777777" w:rsidR="00C306A8" w:rsidRDefault="00C306A8">
            <w:pPr>
              <w:cnfStyle w:val="000000000000" w:firstRow="0" w:lastRow="0" w:firstColumn="0" w:lastColumn="0" w:oddVBand="0" w:evenVBand="0" w:oddHBand="0" w:evenHBand="0" w:firstRowFirstColumn="0" w:firstRowLastColumn="0" w:lastRowFirstColumn="0" w:lastRowLastColumn="0"/>
            </w:pPr>
            <w:r>
              <w:t>173 660</w:t>
            </w:r>
          </w:p>
        </w:tc>
        <w:tc>
          <w:tcPr>
            <w:tcW w:w="964" w:type="dxa"/>
            <w:tcBorders>
              <w:bottom w:val="single" w:sz="6" w:space="0" w:color="auto"/>
            </w:tcBorders>
          </w:tcPr>
          <w:p w14:paraId="64DD3F26" w14:textId="77777777" w:rsidR="00C306A8" w:rsidRDefault="00C306A8">
            <w:pPr>
              <w:cnfStyle w:val="000000000000" w:firstRow="0" w:lastRow="0" w:firstColumn="0" w:lastColumn="0" w:oddVBand="0" w:evenVBand="0" w:oddHBand="0" w:evenHBand="0" w:firstRowFirstColumn="0" w:firstRowLastColumn="0" w:lastRowFirstColumn="0" w:lastRowLastColumn="0"/>
            </w:pPr>
            <w:r>
              <w:t>173 660</w:t>
            </w:r>
          </w:p>
        </w:tc>
      </w:tr>
      <w:tr w:rsidR="00C306A8" w:rsidRPr="00B14B19" w14:paraId="48269A7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F55583B" w14:textId="77777777" w:rsidR="00C306A8" w:rsidRPr="00B14B19" w:rsidRDefault="00C306A8">
            <w:pPr>
              <w:keepNext/>
              <w:rPr>
                <w:b/>
              </w:rPr>
            </w:pPr>
            <w:r w:rsidRPr="00B14B19">
              <w:rPr>
                <w:b/>
              </w:rPr>
              <w:t>Quality</w:t>
            </w:r>
          </w:p>
        </w:tc>
      </w:tr>
      <w:tr w:rsidR="00C306A8" w14:paraId="7E38EB5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BFF8DB6" w14:textId="77777777" w:rsidR="00C306A8" w:rsidRDefault="00C306A8">
            <w:pPr>
              <w:ind w:left="170"/>
            </w:pPr>
            <w:r>
              <w:t>Bridges that are acceptable for legal load vehicles: metropolitan</w:t>
            </w:r>
          </w:p>
        </w:tc>
        <w:tc>
          <w:tcPr>
            <w:tcW w:w="964" w:type="dxa"/>
            <w:tcBorders>
              <w:bottom w:val="single" w:sz="6" w:space="0" w:color="auto"/>
            </w:tcBorders>
          </w:tcPr>
          <w:p w14:paraId="65EC3C7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2D931D2"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c>
          <w:tcPr>
            <w:tcW w:w="964" w:type="dxa"/>
            <w:tcBorders>
              <w:bottom w:val="single" w:sz="6" w:space="0" w:color="auto"/>
            </w:tcBorders>
          </w:tcPr>
          <w:p w14:paraId="515917C9"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c>
          <w:tcPr>
            <w:tcW w:w="964" w:type="dxa"/>
            <w:tcBorders>
              <w:bottom w:val="single" w:sz="6" w:space="0" w:color="auto"/>
            </w:tcBorders>
          </w:tcPr>
          <w:p w14:paraId="61F25355"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c>
          <w:tcPr>
            <w:tcW w:w="964" w:type="dxa"/>
            <w:tcBorders>
              <w:bottom w:val="single" w:sz="6" w:space="0" w:color="auto"/>
            </w:tcBorders>
          </w:tcPr>
          <w:p w14:paraId="2873D180"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r>
      <w:tr w:rsidR="00C306A8" w14:paraId="2C1392A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8AA8D7A" w14:textId="77777777" w:rsidR="00C306A8" w:rsidRDefault="00C306A8">
            <w:pPr>
              <w:ind w:left="170"/>
            </w:pPr>
            <w:r>
              <w:t>Bridges that are acceptable for legal load vehicles: regional</w:t>
            </w:r>
          </w:p>
        </w:tc>
        <w:tc>
          <w:tcPr>
            <w:tcW w:w="964" w:type="dxa"/>
            <w:tcBorders>
              <w:bottom w:val="single" w:sz="6" w:space="0" w:color="auto"/>
            </w:tcBorders>
          </w:tcPr>
          <w:p w14:paraId="720265C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1083333"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12A1218B"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4A908832"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25C5B092"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r>
      <w:tr w:rsidR="00C306A8" w14:paraId="4E0172B3" w14:textId="77777777">
        <w:tc>
          <w:tcPr>
            <w:cnfStyle w:val="001000000000" w:firstRow="0" w:lastRow="0" w:firstColumn="1" w:lastColumn="0" w:oddVBand="0" w:evenVBand="0" w:oddHBand="0" w:evenHBand="0" w:firstRowFirstColumn="0" w:firstRowLastColumn="0" w:lastRowFirstColumn="0" w:lastRowLastColumn="0"/>
            <w:tcW w:w="4819" w:type="dxa"/>
          </w:tcPr>
          <w:p w14:paraId="05EED530" w14:textId="77777777" w:rsidR="00C306A8" w:rsidRDefault="00C306A8">
            <w:pPr>
              <w:keepNext/>
              <w:ind w:left="170"/>
            </w:pPr>
            <w:r>
              <w:t>Road inspections completed: roads in metropolitan Melbourne</w:t>
            </w:r>
          </w:p>
        </w:tc>
        <w:tc>
          <w:tcPr>
            <w:tcW w:w="964" w:type="dxa"/>
          </w:tcPr>
          <w:p w14:paraId="367539D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A392880" w14:textId="77777777" w:rsidR="00C306A8" w:rsidRDefault="00C306A8">
            <w:pPr>
              <w:cnfStyle w:val="000000000000" w:firstRow="0" w:lastRow="0" w:firstColumn="0" w:lastColumn="0" w:oddVBand="0" w:evenVBand="0" w:oddHBand="0" w:evenHBand="0" w:firstRowFirstColumn="0" w:firstRowLastColumn="0" w:lastRowFirstColumn="0" w:lastRowLastColumn="0"/>
            </w:pPr>
            <w:r>
              <w:t>320 090</w:t>
            </w:r>
          </w:p>
        </w:tc>
        <w:tc>
          <w:tcPr>
            <w:tcW w:w="964" w:type="dxa"/>
          </w:tcPr>
          <w:p w14:paraId="0DD39B35"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9F5F887"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C4C1654"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3C465EF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89A233B" w14:textId="77777777" w:rsidR="00C306A8" w:rsidRDefault="00C306A8">
            <w:pPr>
              <w:ind w:left="170"/>
            </w:pPr>
            <w:r>
              <w:rPr>
                <w:i/>
              </w:rPr>
              <w:t>New performance measure for 2026-27 to provide visibility of proactive network monitoring across both metropolitan and regional areas.</w:t>
            </w:r>
          </w:p>
        </w:tc>
      </w:tr>
      <w:tr w:rsidR="00C306A8" w14:paraId="09ED6A0E" w14:textId="77777777">
        <w:tc>
          <w:tcPr>
            <w:cnfStyle w:val="001000000000" w:firstRow="0" w:lastRow="0" w:firstColumn="1" w:lastColumn="0" w:oddVBand="0" w:evenVBand="0" w:oddHBand="0" w:evenHBand="0" w:firstRowFirstColumn="0" w:firstRowLastColumn="0" w:lastRowFirstColumn="0" w:lastRowLastColumn="0"/>
            <w:tcW w:w="4819" w:type="dxa"/>
          </w:tcPr>
          <w:p w14:paraId="72B6A723" w14:textId="77777777" w:rsidR="00C306A8" w:rsidRDefault="00C306A8">
            <w:pPr>
              <w:keepNext/>
              <w:ind w:left="170"/>
            </w:pPr>
            <w:r>
              <w:t>Road inspections completed: roads in regional Victoria</w:t>
            </w:r>
          </w:p>
        </w:tc>
        <w:tc>
          <w:tcPr>
            <w:tcW w:w="964" w:type="dxa"/>
          </w:tcPr>
          <w:p w14:paraId="6436CF6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5BF1BE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100 820</w:t>
            </w:r>
          </w:p>
        </w:tc>
        <w:tc>
          <w:tcPr>
            <w:tcW w:w="964" w:type="dxa"/>
          </w:tcPr>
          <w:p w14:paraId="2F9E27F6"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16FE74D"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D095422"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4C88840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0A5C6C" w14:textId="77777777" w:rsidR="00C306A8" w:rsidRDefault="00C306A8">
            <w:pPr>
              <w:ind w:left="170"/>
            </w:pPr>
            <w:r>
              <w:rPr>
                <w:i/>
              </w:rPr>
              <w:t>New performance measure for 2026-27 to provide visibility of proactive network monitoring across both metropolitan and regional areas.</w:t>
            </w:r>
          </w:p>
        </w:tc>
      </w:tr>
      <w:tr w:rsidR="00C306A8" w14:paraId="71167DBD"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C3F11C9" w14:textId="77777777" w:rsidR="00C306A8" w:rsidRDefault="00C306A8">
            <w:pPr>
              <w:keepNext/>
              <w:ind w:left="170"/>
            </w:pPr>
            <w:r>
              <w:t>Road length meeting cracking standard: metropolitan</w:t>
            </w:r>
          </w:p>
        </w:tc>
        <w:tc>
          <w:tcPr>
            <w:tcW w:w="964" w:type="dxa"/>
            <w:tcBorders>
              <w:bottom w:val="single" w:sz="6" w:space="0" w:color="auto"/>
            </w:tcBorders>
          </w:tcPr>
          <w:p w14:paraId="0A9A19C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4DC6F6A" w14:textId="77777777" w:rsidR="00C306A8" w:rsidRDefault="00C306A8">
            <w:pPr>
              <w:cnfStyle w:val="000000000000" w:firstRow="0" w:lastRow="0" w:firstColumn="0" w:lastColumn="0" w:oddVBand="0" w:evenVBand="0" w:oddHBand="0" w:evenHBand="0" w:firstRowFirstColumn="0" w:firstRowLastColumn="0" w:lastRowFirstColumn="0" w:lastRowLastColumn="0"/>
            </w:pPr>
            <w:r>
              <w:t>84.5</w:t>
            </w:r>
          </w:p>
        </w:tc>
        <w:tc>
          <w:tcPr>
            <w:tcW w:w="964" w:type="dxa"/>
            <w:tcBorders>
              <w:bottom w:val="single" w:sz="6" w:space="0" w:color="auto"/>
            </w:tcBorders>
          </w:tcPr>
          <w:p w14:paraId="27AB1A37" w14:textId="77777777" w:rsidR="00C306A8" w:rsidRDefault="00C306A8">
            <w:pPr>
              <w:cnfStyle w:val="000000000000" w:firstRow="0" w:lastRow="0" w:firstColumn="0" w:lastColumn="0" w:oddVBand="0" w:evenVBand="0" w:oddHBand="0" w:evenHBand="0" w:firstRowFirstColumn="0" w:firstRowLastColumn="0" w:lastRowFirstColumn="0" w:lastRowLastColumn="0"/>
            </w:pPr>
            <w:r>
              <w:t>84.9</w:t>
            </w:r>
          </w:p>
        </w:tc>
        <w:tc>
          <w:tcPr>
            <w:tcW w:w="964" w:type="dxa"/>
            <w:tcBorders>
              <w:bottom w:val="single" w:sz="6" w:space="0" w:color="auto"/>
            </w:tcBorders>
          </w:tcPr>
          <w:p w14:paraId="6A196840" w14:textId="77777777" w:rsidR="00C306A8" w:rsidRDefault="00C306A8">
            <w:pPr>
              <w:cnfStyle w:val="000000000000" w:firstRow="0" w:lastRow="0" w:firstColumn="0" w:lastColumn="0" w:oddVBand="0" w:evenVBand="0" w:oddHBand="0" w:evenHBand="0" w:firstRowFirstColumn="0" w:firstRowLastColumn="0" w:lastRowFirstColumn="0" w:lastRowLastColumn="0"/>
            </w:pPr>
            <w:r>
              <w:t>84.5</w:t>
            </w:r>
          </w:p>
        </w:tc>
        <w:tc>
          <w:tcPr>
            <w:tcW w:w="964" w:type="dxa"/>
            <w:tcBorders>
              <w:bottom w:val="single" w:sz="6" w:space="0" w:color="auto"/>
            </w:tcBorders>
          </w:tcPr>
          <w:p w14:paraId="6BC148E6" w14:textId="77777777" w:rsidR="00C306A8" w:rsidRDefault="00C306A8">
            <w:pPr>
              <w:cnfStyle w:val="000000000000" w:firstRow="0" w:lastRow="0" w:firstColumn="0" w:lastColumn="0" w:oddVBand="0" w:evenVBand="0" w:oddHBand="0" w:evenHBand="0" w:firstRowFirstColumn="0" w:firstRowLastColumn="0" w:lastRowFirstColumn="0" w:lastRowLastColumn="0"/>
            </w:pPr>
            <w:r>
              <w:t>87.6</w:t>
            </w:r>
          </w:p>
        </w:tc>
      </w:tr>
      <w:tr w:rsidR="00C306A8" w14:paraId="34C67E4B"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6E2A1F1" w14:textId="77777777" w:rsidR="00C306A8" w:rsidRDefault="00C306A8">
            <w:pPr>
              <w:keepNext/>
              <w:ind w:left="170"/>
            </w:pPr>
            <w:r>
              <w:t>Road length meeting cracking standard: regional</w:t>
            </w:r>
          </w:p>
        </w:tc>
        <w:tc>
          <w:tcPr>
            <w:tcW w:w="964" w:type="dxa"/>
            <w:tcBorders>
              <w:top w:val="single" w:sz="6" w:space="0" w:color="auto"/>
              <w:bottom w:val="single" w:sz="6" w:space="0" w:color="auto"/>
            </w:tcBorders>
          </w:tcPr>
          <w:p w14:paraId="3F6B4B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1246F819" w14:textId="77777777" w:rsidR="00C306A8" w:rsidRDefault="00C306A8">
            <w:pPr>
              <w:tabs>
                <w:tab w:val="center" w:pos="425"/>
                <w:tab w:val="right" w:pos="850"/>
              </w:tabs>
              <w:jc w:val="left"/>
              <w:cnfStyle w:val="000000000000" w:firstRow="0" w:lastRow="0" w:firstColumn="0" w:lastColumn="0" w:oddVBand="0" w:evenVBand="0" w:oddHBand="0" w:evenHBand="0" w:firstRowFirstColumn="0" w:firstRowLastColumn="0" w:lastRowFirstColumn="0" w:lastRowLastColumn="0"/>
            </w:pPr>
            <w:r>
              <w:tab/>
            </w:r>
            <w:r>
              <w:tab/>
              <w:t>98</w:t>
            </w:r>
          </w:p>
        </w:tc>
        <w:tc>
          <w:tcPr>
            <w:tcW w:w="964" w:type="dxa"/>
            <w:tcBorders>
              <w:top w:val="single" w:sz="6" w:space="0" w:color="auto"/>
              <w:bottom w:val="single" w:sz="6" w:space="0" w:color="auto"/>
            </w:tcBorders>
          </w:tcPr>
          <w:p w14:paraId="47A892A6"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top w:val="single" w:sz="6" w:space="0" w:color="auto"/>
              <w:bottom w:val="single" w:sz="6" w:space="0" w:color="auto"/>
            </w:tcBorders>
          </w:tcPr>
          <w:p w14:paraId="290ED3A8"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top w:val="single" w:sz="6" w:space="0" w:color="auto"/>
              <w:bottom w:val="single" w:sz="6" w:space="0" w:color="auto"/>
            </w:tcBorders>
          </w:tcPr>
          <w:p w14:paraId="38DA9658" w14:textId="77777777" w:rsidR="00C306A8" w:rsidRDefault="00C306A8">
            <w:pPr>
              <w:cnfStyle w:val="000000000000" w:firstRow="0" w:lastRow="0" w:firstColumn="0" w:lastColumn="0" w:oddVBand="0" w:evenVBand="0" w:oddHBand="0" w:evenHBand="0" w:firstRowFirstColumn="0" w:firstRowLastColumn="0" w:lastRowFirstColumn="0" w:lastRowLastColumn="0"/>
            </w:pPr>
            <w:r>
              <w:t>98.4</w:t>
            </w:r>
          </w:p>
        </w:tc>
      </w:tr>
      <w:tr w:rsidR="00C306A8" w14:paraId="1A371C51"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3DE7D24C" w14:textId="77777777" w:rsidR="00C306A8" w:rsidRDefault="00C306A8">
            <w:pPr>
              <w:keepNext/>
              <w:ind w:left="170"/>
            </w:pPr>
            <w:r>
              <w:t>Road length meeting roughness standard: metropolitan</w:t>
            </w:r>
          </w:p>
        </w:tc>
        <w:tc>
          <w:tcPr>
            <w:tcW w:w="964" w:type="dxa"/>
            <w:tcBorders>
              <w:top w:val="single" w:sz="6" w:space="0" w:color="auto"/>
              <w:bottom w:val="single" w:sz="6" w:space="0" w:color="auto"/>
            </w:tcBorders>
          </w:tcPr>
          <w:p w14:paraId="017B794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78E8D0E3" w14:textId="77777777" w:rsidR="00C306A8" w:rsidRDefault="00C306A8">
            <w:pPr>
              <w:cnfStyle w:val="000000000000" w:firstRow="0" w:lastRow="0" w:firstColumn="0" w:lastColumn="0" w:oddVBand="0" w:evenVBand="0" w:oddHBand="0" w:evenHBand="0" w:firstRowFirstColumn="0" w:firstRowLastColumn="0" w:lastRowFirstColumn="0" w:lastRowLastColumn="0"/>
            </w:pPr>
            <w:r>
              <w:t>91.2</w:t>
            </w:r>
          </w:p>
        </w:tc>
        <w:tc>
          <w:tcPr>
            <w:tcW w:w="964" w:type="dxa"/>
            <w:tcBorders>
              <w:top w:val="single" w:sz="6" w:space="0" w:color="auto"/>
              <w:bottom w:val="single" w:sz="6" w:space="0" w:color="auto"/>
            </w:tcBorders>
          </w:tcPr>
          <w:p w14:paraId="16A29FD6" w14:textId="77777777" w:rsidR="00C306A8" w:rsidRDefault="00C306A8">
            <w:pPr>
              <w:cnfStyle w:val="000000000000" w:firstRow="0" w:lastRow="0" w:firstColumn="0" w:lastColumn="0" w:oddVBand="0" w:evenVBand="0" w:oddHBand="0" w:evenHBand="0" w:firstRowFirstColumn="0" w:firstRowLastColumn="0" w:lastRowFirstColumn="0" w:lastRowLastColumn="0"/>
            </w:pPr>
            <w:r>
              <w:t>91.5</w:t>
            </w:r>
          </w:p>
        </w:tc>
        <w:tc>
          <w:tcPr>
            <w:tcW w:w="964" w:type="dxa"/>
            <w:tcBorders>
              <w:top w:val="single" w:sz="6" w:space="0" w:color="auto"/>
              <w:bottom w:val="single" w:sz="6" w:space="0" w:color="auto"/>
            </w:tcBorders>
          </w:tcPr>
          <w:p w14:paraId="77DA8E0F" w14:textId="77777777" w:rsidR="00C306A8" w:rsidRDefault="00C306A8">
            <w:pPr>
              <w:cnfStyle w:val="000000000000" w:firstRow="0" w:lastRow="0" w:firstColumn="0" w:lastColumn="0" w:oddVBand="0" w:evenVBand="0" w:oddHBand="0" w:evenHBand="0" w:firstRowFirstColumn="0" w:firstRowLastColumn="0" w:lastRowFirstColumn="0" w:lastRowLastColumn="0"/>
            </w:pPr>
            <w:r>
              <w:t>91.2</w:t>
            </w:r>
          </w:p>
        </w:tc>
        <w:tc>
          <w:tcPr>
            <w:tcW w:w="964" w:type="dxa"/>
            <w:tcBorders>
              <w:top w:val="single" w:sz="6" w:space="0" w:color="auto"/>
              <w:bottom w:val="single" w:sz="6" w:space="0" w:color="auto"/>
            </w:tcBorders>
          </w:tcPr>
          <w:p w14:paraId="1688D3EE" w14:textId="77777777" w:rsidR="00C306A8" w:rsidRDefault="00C306A8">
            <w:pPr>
              <w:cnfStyle w:val="000000000000" w:firstRow="0" w:lastRow="0" w:firstColumn="0" w:lastColumn="0" w:oddVBand="0" w:evenVBand="0" w:oddHBand="0" w:evenHBand="0" w:firstRowFirstColumn="0" w:firstRowLastColumn="0" w:lastRowFirstColumn="0" w:lastRowLastColumn="0"/>
            </w:pPr>
            <w:r>
              <w:t>92.3</w:t>
            </w:r>
          </w:p>
        </w:tc>
      </w:tr>
      <w:tr w:rsidR="00C306A8" w14:paraId="5E14651A"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F461482" w14:textId="77777777" w:rsidR="00C306A8" w:rsidRDefault="00C306A8">
            <w:pPr>
              <w:keepNext/>
              <w:ind w:left="170"/>
            </w:pPr>
            <w:r>
              <w:t>Road length meeting roughness standard: regional</w:t>
            </w:r>
          </w:p>
        </w:tc>
        <w:tc>
          <w:tcPr>
            <w:tcW w:w="964" w:type="dxa"/>
            <w:tcBorders>
              <w:top w:val="single" w:sz="6" w:space="0" w:color="auto"/>
              <w:bottom w:val="single" w:sz="6" w:space="0" w:color="auto"/>
            </w:tcBorders>
          </w:tcPr>
          <w:p w14:paraId="4E8DAB3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2BED938D"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544261C3"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11AD5201"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top w:val="single" w:sz="6" w:space="0" w:color="auto"/>
              <w:bottom w:val="single" w:sz="6" w:space="0" w:color="auto"/>
            </w:tcBorders>
          </w:tcPr>
          <w:p w14:paraId="412FB3E0" w14:textId="77777777" w:rsidR="00C306A8" w:rsidRDefault="00C306A8">
            <w:pPr>
              <w:cnfStyle w:val="000000000000" w:firstRow="0" w:lastRow="0" w:firstColumn="0" w:lastColumn="0" w:oddVBand="0" w:evenVBand="0" w:oddHBand="0" w:evenHBand="0" w:firstRowFirstColumn="0" w:firstRowLastColumn="0" w:lastRowFirstColumn="0" w:lastRowLastColumn="0"/>
            </w:pPr>
            <w:r>
              <w:t>95.3</w:t>
            </w:r>
          </w:p>
        </w:tc>
      </w:tr>
      <w:tr w:rsidR="00C306A8" w14:paraId="7BA54F5F"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F777049" w14:textId="77777777" w:rsidR="00C306A8" w:rsidRDefault="00C306A8">
            <w:pPr>
              <w:keepNext/>
              <w:ind w:left="170"/>
            </w:pPr>
            <w:r>
              <w:t>Road length meeting rutting standard: metropolitan</w:t>
            </w:r>
          </w:p>
        </w:tc>
        <w:tc>
          <w:tcPr>
            <w:tcW w:w="964" w:type="dxa"/>
            <w:tcBorders>
              <w:top w:val="single" w:sz="6" w:space="0" w:color="auto"/>
              <w:bottom w:val="single" w:sz="6" w:space="0" w:color="auto"/>
            </w:tcBorders>
          </w:tcPr>
          <w:p w14:paraId="341B723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1BF89B31" w14:textId="77777777" w:rsidR="00C306A8" w:rsidRDefault="00C306A8">
            <w:pPr>
              <w:tabs>
                <w:tab w:val="center" w:pos="425"/>
                <w:tab w:val="right" w:pos="850"/>
              </w:tabs>
              <w:jc w:val="left"/>
              <w:cnfStyle w:val="000000000000" w:firstRow="0" w:lastRow="0" w:firstColumn="0" w:lastColumn="0" w:oddVBand="0" w:evenVBand="0" w:oddHBand="0" w:evenHBand="0" w:firstRowFirstColumn="0" w:firstRowLastColumn="0" w:lastRowFirstColumn="0" w:lastRowLastColumn="0"/>
            </w:pPr>
            <w:r>
              <w:tab/>
            </w:r>
            <w:r>
              <w:tab/>
              <w:t>96.8</w:t>
            </w:r>
          </w:p>
        </w:tc>
        <w:tc>
          <w:tcPr>
            <w:tcW w:w="964" w:type="dxa"/>
            <w:tcBorders>
              <w:top w:val="single" w:sz="6" w:space="0" w:color="auto"/>
              <w:bottom w:val="single" w:sz="6" w:space="0" w:color="auto"/>
            </w:tcBorders>
          </w:tcPr>
          <w:p w14:paraId="2B667507" w14:textId="77777777" w:rsidR="00C306A8" w:rsidRDefault="00C306A8">
            <w:pPr>
              <w:cnfStyle w:val="000000000000" w:firstRow="0" w:lastRow="0" w:firstColumn="0" w:lastColumn="0" w:oddVBand="0" w:evenVBand="0" w:oddHBand="0" w:evenHBand="0" w:firstRowFirstColumn="0" w:firstRowLastColumn="0" w:lastRowFirstColumn="0" w:lastRowLastColumn="0"/>
            </w:pPr>
            <w:r>
              <w:t>96.7</w:t>
            </w:r>
          </w:p>
        </w:tc>
        <w:tc>
          <w:tcPr>
            <w:tcW w:w="964" w:type="dxa"/>
            <w:tcBorders>
              <w:top w:val="single" w:sz="6" w:space="0" w:color="auto"/>
              <w:bottom w:val="single" w:sz="6" w:space="0" w:color="auto"/>
            </w:tcBorders>
          </w:tcPr>
          <w:p w14:paraId="14A4594C" w14:textId="77777777" w:rsidR="00C306A8" w:rsidRDefault="00C306A8">
            <w:pPr>
              <w:cnfStyle w:val="000000000000" w:firstRow="0" w:lastRow="0" w:firstColumn="0" w:lastColumn="0" w:oddVBand="0" w:evenVBand="0" w:oddHBand="0" w:evenHBand="0" w:firstRowFirstColumn="0" w:firstRowLastColumn="0" w:lastRowFirstColumn="0" w:lastRowLastColumn="0"/>
            </w:pPr>
            <w:r>
              <w:t>96.8</w:t>
            </w:r>
          </w:p>
        </w:tc>
        <w:tc>
          <w:tcPr>
            <w:tcW w:w="964" w:type="dxa"/>
            <w:tcBorders>
              <w:top w:val="single" w:sz="6" w:space="0" w:color="auto"/>
              <w:bottom w:val="single" w:sz="6" w:space="0" w:color="auto"/>
            </w:tcBorders>
          </w:tcPr>
          <w:p w14:paraId="00028497" w14:textId="77777777" w:rsidR="00C306A8" w:rsidRDefault="00C306A8">
            <w:pPr>
              <w:cnfStyle w:val="000000000000" w:firstRow="0" w:lastRow="0" w:firstColumn="0" w:lastColumn="0" w:oddVBand="0" w:evenVBand="0" w:oddHBand="0" w:evenHBand="0" w:firstRowFirstColumn="0" w:firstRowLastColumn="0" w:lastRowFirstColumn="0" w:lastRowLastColumn="0"/>
            </w:pPr>
            <w:r>
              <w:t>97.8</w:t>
            </w:r>
          </w:p>
        </w:tc>
      </w:tr>
      <w:tr w:rsidR="00C306A8" w14:paraId="715F72D2"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0FE2EA66" w14:textId="77777777" w:rsidR="00C306A8" w:rsidRDefault="00C306A8">
            <w:pPr>
              <w:keepNext/>
              <w:ind w:left="170"/>
            </w:pPr>
            <w:r>
              <w:t>Road length meeting rutting standard: regional</w:t>
            </w:r>
          </w:p>
        </w:tc>
        <w:tc>
          <w:tcPr>
            <w:tcW w:w="964" w:type="dxa"/>
            <w:tcBorders>
              <w:top w:val="single" w:sz="6" w:space="0" w:color="auto"/>
              <w:bottom w:val="single" w:sz="6" w:space="0" w:color="auto"/>
            </w:tcBorders>
          </w:tcPr>
          <w:p w14:paraId="0F47084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33152844" w14:textId="77777777" w:rsidR="00C306A8" w:rsidRDefault="00C306A8">
            <w:pPr>
              <w:cnfStyle w:val="000000000000" w:firstRow="0" w:lastRow="0" w:firstColumn="0" w:lastColumn="0" w:oddVBand="0" w:evenVBand="0" w:oddHBand="0" w:evenHBand="0" w:firstRowFirstColumn="0" w:firstRowLastColumn="0" w:lastRowFirstColumn="0" w:lastRowLastColumn="0"/>
            </w:pPr>
            <w:r>
              <w:t>97.3</w:t>
            </w:r>
          </w:p>
        </w:tc>
        <w:tc>
          <w:tcPr>
            <w:tcW w:w="964" w:type="dxa"/>
            <w:tcBorders>
              <w:top w:val="single" w:sz="6" w:space="0" w:color="auto"/>
              <w:bottom w:val="single" w:sz="6" w:space="0" w:color="auto"/>
            </w:tcBorders>
          </w:tcPr>
          <w:p w14:paraId="4DB69371" w14:textId="77777777" w:rsidR="00C306A8" w:rsidRDefault="00C306A8">
            <w:pPr>
              <w:cnfStyle w:val="000000000000" w:firstRow="0" w:lastRow="0" w:firstColumn="0" w:lastColumn="0" w:oddVBand="0" w:evenVBand="0" w:oddHBand="0" w:evenHBand="0" w:firstRowFirstColumn="0" w:firstRowLastColumn="0" w:lastRowFirstColumn="0" w:lastRowLastColumn="0"/>
            </w:pPr>
            <w:r>
              <w:t>97.3</w:t>
            </w:r>
          </w:p>
        </w:tc>
        <w:tc>
          <w:tcPr>
            <w:tcW w:w="964" w:type="dxa"/>
            <w:tcBorders>
              <w:top w:val="single" w:sz="6" w:space="0" w:color="auto"/>
              <w:bottom w:val="single" w:sz="6" w:space="0" w:color="auto"/>
            </w:tcBorders>
          </w:tcPr>
          <w:p w14:paraId="70432E9D" w14:textId="77777777" w:rsidR="00C306A8" w:rsidRDefault="00C306A8">
            <w:pPr>
              <w:cnfStyle w:val="000000000000" w:firstRow="0" w:lastRow="0" w:firstColumn="0" w:lastColumn="0" w:oddVBand="0" w:evenVBand="0" w:oddHBand="0" w:evenHBand="0" w:firstRowFirstColumn="0" w:firstRowLastColumn="0" w:lastRowFirstColumn="0" w:lastRowLastColumn="0"/>
            </w:pPr>
            <w:r>
              <w:t>97.3</w:t>
            </w:r>
          </w:p>
        </w:tc>
        <w:tc>
          <w:tcPr>
            <w:tcW w:w="964" w:type="dxa"/>
            <w:tcBorders>
              <w:top w:val="single" w:sz="6" w:space="0" w:color="auto"/>
              <w:bottom w:val="single" w:sz="6" w:space="0" w:color="auto"/>
            </w:tcBorders>
          </w:tcPr>
          <w:p w14:paraId="5C6031B2" w14:textId="77777777" w:rsidR="00C306A8" w:rsidRDefault="00C306A8">
            <w:pPr>
              <w:cnfStyle w:val="000000000000" w:firstRow="0" w:lastRow="0" w:firstColumn="0" w:lastColumn="0" w:oddVBand="0" w:evenVBand="0" w:oddHBand="0" w:evenHBand="0" w:firstRowFirstColumn="0" w:firstRowLastColumn="0" w:lastRowFirstColumn="0" w:lastRowLastColumn="0"/>
            </w:pPr>
            <w:r>
              <w:t>97.7</w:t>
            </w:r>
          </w:p>
        </w:tc>
      </w:tr>
      <w:tr w:rsidR="00C306A8" w14:paraId="11400738"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75C4D779" w14:textId="77777777" w:rsidR="00C306A8" w:rsidRDefault="00C306A8">
            <w:pPr>
              <w:ind w:left="170"/>
            </w:pPr>
            <w:r>
              <w:t>Traffic Signal Operational Availability</w:t>
            </w:r>
          </w:p>
        </w:tc>
        <w:tc>
          <w:tcPr>
            <w:tcW w:w="964" w:type="dxa"/>
            <w:tcBorders>
              <w:top w:val="single" w:sz="6" w:space="0" w:color="auto"/>
              <w:bottom w:val="single" w:sz="6" w:space="0" w:color="auto"/>
            </w:tcBorders>
          </w:tcPr>
          <w:p w14:paraId="1B8B407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483499F3" w14:textId="77777777" w:rsidR="00C306A8" w:rsidRDefault="00C306A8">
            <w:pPr>
              <w:cnfStyle w:val="000000000000" w:firstRow="0" w:lastRow="0" w:firstColumn="0" w:lastColumn="0" w:oddVBand="0" w:evenVBand="0" w:oddHBand="0" w:evenHBand="0" w:firstRowFirstColumn="0" w:firstRowLastColumn="0" w:lastRowFirstColumn="0" w:lastRowLastColumn="0"/>
            </w:pPr>
            <w:r>
              <w:t>99.96</w:t>
            </w:r>
          </w:p>
        </w:tc>
        <w:tc>
          <w:tcPr>
            <w:tcW w:w="964" w:type="dxa"/>
            <w:tcBorders>
              <w:top w:val="single" w:sz="6" w:space="0" w:color="auto"/>
              <w:bottom w:val="single" w:sz="6" w:space="0" w:color="auto"/>
            </w:tcBorders>
          </w:tcPr>
          <w:p w14:paraId="2502EA21" w14:textId="77777777" w:rsidR="00C306A8" w:rsidRDefault="00C306A8">
            <w:pPr>
              <w:cnfStyle w:val="000000000000" w:firstRow="0" w:lastRow="0" w:firstColumn="0" w:lastColumn="0" w:oddVBand="0" w:evenVBand="0" w:oddHBand="0" w:evenHBand="0" w:firstRowFirstColumn="0" w:firstRowLastColumn="0" w:lastRowFirstColumn="0" w:lastRowLastColumn="0"/>
            </w:pPr>
            <w:r>
              <w:t>99.96</w:t>
            </w:r>
          </w:p>
        </w:tc>
        <w:tc>
          <w:tcPr>
            <w:tcW w:w="964" w:type="dxa"/>
            <w:tcBorders>
              <w:top w:val="single" w:sz="6" w:space="0" w:color="auto"/>
              <w:bottom w:val="single" w:sz="6" w:space="0" w:color="auto"/>
            </w:tcBorders>
          </w:tcPr>
          <w:p w14:paraId="7BDCA836" w14:textId="77777777" w:rsidR="00C306A8" w:rsidRDefault="00C306A8">
            <w:pPr>
              <w:cnfStyle w:val="000000000000" w:firstRow="0" w:lastRow="0" w:firstColumn="0" w:lastColumn="0" w:oddVBand="0" w:evenVBand="0" w:oddHBand="0" w:evenHBand="0" w:firstRowFirstColumn="0" w:firstRowLastColumn="0" w:lastRowFirstColumn="0" w:lastRowLastColumn="0"/>
            </w:pPr>
            <w:r>
              <w:t>99.96</w:t>
            </w:r>
          </w:p>
        </w:tc>
        <w:tc>
          <w:tcPr>
            <w:tcW w:w="964" w:type="dxa"/>
            <w:tcBorders>
              <w:top w:val="single" w:sz="6" w:space="0" w:color="auto"/>
              <w:bottom w:val="single" w:sz="6" w:space="0" w:color="auto"/>
            </w:tcBorders>
          </w:tcPr>
          <w:p w14:paraId="5B2E109C" w14:textId="77777777" w:rsidR="00C306A8" w:rsidRDefault="00C306A8">
            <w:pPr>
              <w:cnfStyle w:val="000000000000" w:firstRow="0" w:lastRow="0" w:firstColumn="0" w:lastColumn="0" w:oddVBand="0" w:evenVBand="0" w:oddHBand="0" w:evenHBand="0" w:firstRowFirstColumn="0" w:firstRowLastColumn="0" w:lastRowFirstColumn="0" w:lastRowLastColumn="0"/>
            </w:pPr>
            <w:r>
              <w:t>99.95</w:t>
            </w:r>
          </w:p>
        </w:tc>
      </w:tr>
      <w:tr w:rsidR="00C306A8" w14:paraId="4B84286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619AF3" w14:textId="37524970" w:rsidR="00C306A8" w:rsidRDefault="00C306A8">
            <w:pPr>
              <w:ind w:left="170"/>
            </w:pPr>
            <w:r>
              <w:t>Traffic signal performance – communications (‘DA Alarm</w:t>
            </w:r>
            <w:r w:rsidR="00AD4833">
              <w:t>’</w:t>
            </w:r>
            <w:r>
              <w:t>): vehicle detector connectivity to signals</w:t>
            </w:r>
          </w:p>
        </w:tc>
        <w:tc>
          <w:tcPr>
            <w:tcW w:w="964" w:type="dxa"/>
            <w:tcBorders>
              <w:bottom w:val="single" w:sz="6" w:space="0" w:color="auto"/>
            </w:tcBorders>
          </w:tcPr>
          <w:p w14:paraId="1B82518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17EFF3C"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3012946A" w14:textId="77777777" w:rsidR="00C306A8" w:rsidRDefault="00C306A8">
            <w:pPr>
              <w:cnfStyle w:val="000000000000" w:firstRow="0" w:lastRow="0" w:firstColumn="0" w:lastColumn="0" w:oddVBand="0" w:evenVBand="0" w:oddHBand="0" w:evenHBand="0" w:firstRowFirstColumn="0" w:firstRowLastColumn="0" w:lastRowFirstColumn="0" w:lastRowLastColumn="0"/>
            </w:pPr>
            <w:r>
              <w:t>98.9</w:t>
            </w:r>
          </w:p>
        </w:tc>
        <w:tc>
          <w:tcPr>
            <w:tcW w:w="964" w:type="dxa"/>
            <w:tcBorders>
              <w:bottom w:val="single" w:sz="6" w:space="0" w:color="auto"/>
            </w:tcBorders>
          </w:tcPr>
          <w:p w14:paraId="53D46479"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161F581E" w14:textId="77777777" w:rsidR="00C306A8" w:rsidRDefault="00C306A8">
            <w:pPr>
              <w:cnfStyle w:val="000000000000" w:firstRow="0" w:lastRow="0" w:firstColumn="0" w:lastColumn="0" w:oddVBand="0" w:evenVBand="0" w:oddHBand="0" w:evenHBand="0" w:firstRowFirstColumn="0" w:firstRowLastColumn="0" w:lastRowFirstColumn="0" w:lastRowLastColumn="0"/>
            </w:pPr>
            <w:r>
              <w:t>92.22</w:t>
            </w:r>
          </w:p>
        </w:tc>
      </w:tr>
      <w:tr w:rsidR="00C306A8" w14:paraId="4BDC57A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80FB9E9" w14:textId="4A08327E" w:rsidR="00C306A8" w:rsidRDefault="00C306A8">
            <w:pPr>
              <w:ind w:left="170"/>
            </w:pPr>
            <w:r>
              <w:t>Traffic signal performance – communications (‘Stop Talk</w:t>
            </w:r>
            <w:r w:rsidR="00AD4833">
              <w:t>’</w:t>
            </w:r>
            <w:r>
              <w:t>): connectivity between different traffic signals</w:t>
            </w:r>
          </w:p>
        </w:tc>
        <w:tc>
          <w:tcPr>
            <w:tcW w:w="964" w:type="dxa"/>
            <w:tcBorders>
              <w:bottom w:val="single" w:sz="6" w:space="0" w:color="auto"/>
            </w:tcBorders>
          </w:tcPr>
          <w:p w14:paraId="7E5BF11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83CEA34"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43F1A7A1"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28B8A40E"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c>
          <w:tcPr>
            <w:tcW w:w="964" w:type="dxa"/>
            <w:tcBorders>
              <w:bottom w:val="single" w:sz="6" w:space="0" w:color="auto"/>
            </w:tcBorders>
          </w:tcPr>
          <w:p w14:paraId="4E7A7B63" w14:textId="77777777" w:rsidR="00C306A8" w:rsidRDefault="00C306A8">
            <w:pPr>
              <w:cnfStyle w:val="000000000000" w:firstRow="0" w:lastRow="0" w:firstColumn="0" w:lastColumn="0" w:oddVBand="0" w:evenVBand="0" w:oddHBand="0" w:evenHBand="0" w:firstRowFirstColumn="0" w:firstRowLastColumn="0" w:lastRowFirstColumn="0" w:lastRowLastColumn="0"/>
            </w:pPr>
            <w:r>
              <w:t>99.61</w:t>
            </w:r>
          </w:p>
        </w:tc>
      </w:tr>
      <w:tr w:rsidR="00C306A8" w:rsidRPr="00B14B19" w14:paraId="6D69C70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F1CC2CB" w14:textId="77777777" w:rsidR="00C306A8" w:rsidRPr="00B14B19" w:rsidRDefault="00C306A8">
            <w:pPr>
              <w:keepNext/>
              <w:rPr>
                <w:b/>
              </w:rPr>
            </w:pPr>
            <w:r w:rsidRPr="00B14B19">
              <w:rPr>
                <w:b/>
              </w:rPr>
              <w:t>Timeliness</w:t>
            </w:r>
          </w:p>
        </w:tc>
      </w:tr>
      <w:tr w:rsidR="00C306A8" w14:paraId="16325102"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04425D" w14:textId="77777777" w:rsidR="00C306A8" w:rsidRDefault="00C306A8">
            <w:pPr>
              <w:ind w:left="170"/>
            </w:pPr>
            <w:r>
              <w:t>Annual road maintenance program completed within agreed timeframes: metropolitan</w:t>
            </w:r>
          </w:p>
        </w:tc>
        <w:tc>
          <w:tcPr>
            <w:tcW w:w="964" w:type="dxa"/>
            <w:tcBorders>
              <w:bottom w:val="single" w:sz="6" w:space="0" w:color="auto"/>
            </w:tcBorders>
          </w:tcPr>
          <w:p w14:paraId="5472AAE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E130D79"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BF8C59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1C0AAD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765C48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1350F80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5A6FE7" w14:textId="77777777" w:rsidR="00C306A8" w:rsidRDefault="00C306A8">
            <w:pPr>
              <w:ind w:left="170"/>
            </w:pPr>
            <w:r>
              <w:t>Annual road maintenance program completed within agreed timeframes: regional</w:t>
            </w:r>
          </w:p>
        </w:tc>
        <w:tc>
          <w:tcPr>
            <w:tcW w:w="964" w:type="dxa"/>
            <w:tcBorders>
              <w:bottom w:val="single" w:sz="6" w:space="0" w:color="auto"/>
            </w:tcBorders>
          </w:tcPr>
          <w:p w14:paraId="5F83B0E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A2692C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4D944E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E35AB6F"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BFEA6C8"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787F42C7"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24483FA6" w14:textId="1FD35751" w:rsidR="00C306A8" w:rsidRDefault="00C306A8">
            <w:pPr>
              <w:ind w:left="170"/>
            </w:pPr>
            <w:r>
              <w:t xml:space="preserve">Road hazards rectified within agreed timeframes: </w:t>
            </w:r>
            <w:r w:rsidR="001E3B04">
              <w:br/>
            </w:r>
            <w:r>
              <w:t>roads in metropolitan Melbourne</w:t>
            </w:r>
          </w:p>
        </w:tc>
        <w:tc>
          <w:tcPr>
            <w:tcW w:w="964" w:type="dxa"/>
            <w:tcBorders>
              <w:bottom w:val="nil"/>
            </w:tcBorders>
          </w:tcPr>
          <w:p w14:paraId="02BE76A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5FD9E896"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45BCA420"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70F1441A"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72CE8989"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22FD703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31CFCB" w14:textId="77777777" w:rsidR="00C306A8" w:rsidRDefault="00C306A8" w:rsidP="00540BB2">
            <w:pPr>
              <w:ind w:left="170"/>
            </w:pPr>
            <w:r>
              <w:rPr>
                <w:i/>
              </w:rPr>
              <w:t>New performance measure for 2026-27 to report on the timeliness of hazard rectification through road maintenance activities.</w:t>
            </w:r>
          </w:p>
        </w:tc>
      </w:tr>
      <w:tr w:rsidR="00C306A8" w14:paraId="71B68BB0" w14:textId="77777777" w:rsidTr="00540BB2">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6FC5F2A5" w14:textId="294A3B58" w:rsidR="00C306A8" w:rsidRDefault="00C306A8">
            <w:pPr>
              <w:ind w:left="170"/>
            </w:pPr>
            <w:r>
              <w:t xml:space="preserve">Road hazards rectified within agreed timeframes: </w:t>
            </w:r>
            <w:r w:rsidR="001E3B04">
              <w:br/>
            </w:r>
            <w:r>
              <w:t>roads in regional Victoria</w:t>
            </w:r>
          </w:p>
        </w:tc>
        <w:tc>
          <w:tcPr>
            <w:tcW w:w="964" w:type="dxa"/>
            <w:tcBorders>
              <w:bottom w:val="nil"/>
            </w:tcBorders>
          </w:tcPr>
          <w:p w14:paraId="17FAA4E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0594AFE6"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342CC1B4"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340FE43E"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Borders>
              <w:bottom w:val="nil"/>
            </w:tcBorders>
          </w:tcPr>
          <w:p w14:paraId="60B3EDC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35890D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319E450" w14:textId="77777777" w:rsidR="00C306A8" w:rsidRDefault="00C306A8" w:rsidP="00540BB2">
            <w:pPr>
              <w:ind w:left="170"/>
            </w:pPr>
            <w:r>
              <w:rPr>
                <w:i/>
              </w:rPr>
              <w:t>New performance measure for 2026-27 to report on the timeliness of hazard rectification through road maintenance activities.</w:t>
            </w:r>
          </w:p>
        </w:tc>
      </w:tr>
      <w:tr w:rsidR="00C306A8" w:rsidRPr="00B14B19" w14:paraId="1A406C4D"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7B8DE99" w14:textId="77777777" w:rsidR="00C306A8" w:rsidRPr="00B14B19" w:rsidRDefault="00C306A8">
            <w:pPr>
              <w:keepNext/>
              <w:rPr>
                <w:b/>
              </w:rPr>
            </w:pPr>
            <w:r w:rsidRPr="00B14B19">
              <w:rPr>
                <w:b/>
              </w:rPr>
              <w:t>Cost</w:t>
            </w:r>
          </w:p>
        </w:tc>
      </w:tr>
      <w:tr w:rsidR="00C306A8" w14:paraId="7F12596A" w14:textId="77777777">
        <w:tc>
          <w:tcPr>
            <w:cnfStyle w:val="001000000000" w:firstRow="0" w:lastRow="0" w:firstColumn="1" w:lastColumn="0" w:oddVBand="0" w:evenVBand="0" w:oddHBand="0" w:evenHBand="0" w:firstRowFirstColumn="0" w:firstRowLastColumn="0" w:lastRowFirstColumn="0" w:lastRowLastColumn="0"/>
            <w:tcW w:w="4819" w:type="dxa"/>
          </w:tcPr>
          <w:p w14:paraId="34877BD9" w14:textId="77777777" w:rsidR="00C306A8" w:rsidRDefault="00C306A8">
            <w:pPr>
              <w:keepNext/>
              <w:ind w:left="170"/>
            </w:pPr>
            <w:r>
              <w:t>Total output cost</w:t>
            </w:r>
          </w:p>
        </w:tc>
        <w:tc>
          <w:tcPr>
            <w:tcW w:w="964" w:type="dxa"/>
          </w:tcPr>
          <w:p w14:paraId="4CA6FE4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D770BAB" w14:textId="77777777" w:rsidR="00C306A8" w:rsidRDefault="00C306A8">
            <w:pPr>
              <w:cnfStyle w:val="000000000000" w:firstRow="0" w:lastRow="0" w:firstColumn="0" w:lastColumn="0" w:oddVBand="0" w:evenVBand="0" w:oddHBand="0" w:evenHBand="0" w:firstRowFirstColumn="0" w:firstRowLastColumn="0" w:lastRowFirstColumn="0" w:lastRowLastColumn="0"/>
            </w:pPr>
            <w:r>
              <w:t>756.0</w:t>
            </w:r>
          </w:p>
        </w:tc>
        <w:tc>
          <w:tcPr>
            <w:tcW w:w="964" w:type="dxa"/>
          </w:tcPr>
          <w:p w14:paraId="1B077956" w14:textId="77777777" w:rsidR="00C306A8" w:rsidRDefault="00C306A8">
            <w:pPr>
              <w:cnfStyle w:val="000000000000" w:firstRow="0" w:lastRow="0" w:firstColumn="0" w:lastColumn="0" w:oddVBand="0" w:evenVBand="0" w:oddHBand="0" w:evenHBand="0" w:firstRowFirstColumn="0" w:firstRowLastColumn="0" w:lastRowFirstColumn="0" w:lastRowLastColumn="0"/>
            </w:pPr>
            <w:r>
              <w:t>769.7</w:t>
            </w:r>
          </w:p>
        </w:tc>
        <w:tc>
          <w:tcPr>
            <w:tcW w:w="964" w:type="dxa"/>
          </w:tcPr>
          <w:p w14:paraId="08C6A665" w14:textId="77777777" w:rsidR="00C306A8" w:rsidRDefault="00C306A8">
            <w:pPr>
              <w:cnfStyle w:val="000000000000" w:firstRow="0" w:lastRow="0" w:firstColumn="0" w:lastColumn="0" w:oddVBand="0" w:evenVBand="0" w:oddHBand="0" w:evenHBand="0" w:firstRowFirstColumn="0" w:firstRowLastColumn="0" w:lastRowFirstColumn="0" w:lastRowLastColumn="0"/>
            </w:pPr>
            <w:r>
              <w:t>723.5</w:t>
            </w:r>
          </w:p>
        </w:tc>
        <w:tc>
          <w:tcPr>
            <w:tcW w:w="964" w:type="dxa"/>
          </w:tcPr>
          <w:p w14:paraId="47EA357A" w14:textId="77777777" w:rsidR="00C306A8" w:rsidRDefault="00C306A8">
            <w:pPr>
              <w:cnfStyle w:val="000000000000" w:firstRow="0" w:lastRow="0" w:firstColumn="0" w:lastColumn="0" w:oddVBand="0" w:evenVBand="0" w:oddHBand="0" w:evenHBand="0" w:firstRowFirstColumn="0" w:firstRowLastColumn="0" w:lastRowFirstColumn="0" w:lastRowLastColumn="0"/>
            </w:pPr>
            <w:r>
              <w:t>692.3</w:t>
            </w:r>
          </w:p>
        </w:tc>
      </w:tr>
      <w:tr w:rsidR="00C306A8" w14:paraId="290B791E" w14:textId="77777777" w:rsidTr="009713D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DFD3E60" w14:textId="24CB3093" w:rsidR="00DE2C89" w:rsidRDefault="00DE2C89" w:rsidP="008843EA">
            <w:pPr>
              <w:keepNext/>
              <w:ind w:left="170"/>
            </w:pPr>
            <w:r>
              <w:rPr>
                <w:i/>
              </w:rPr>
              <w:t>The 2025-26 expected outcome is higher than the 2025-26 target due to the State</w:t>
            </w:r>
            <w:r w:rsidR="00AD4833">
              <w:rPr>
                <w:i/>
              </w:rPr>
              <w:t>’</w:t>
            </w:r>
            <w:r>
              <w:rPr>
                <w:i/>
              </w:rPr>
              <w:t xml:space="preserve">s emergency response and recovery including repairs to the road network following the Victorian Bushfire Event Recovery Summer of 2025-26 and the Victorian Flood Event Recovery Great Ocean Road January 2026. </w:t>
            </w:r>
          </w:p>
          <w:p w14:paraId="774EE747" w14:textId="38AEF8E3" w:rsidR="00C306A8" w:rsidRDefault="00313C8B">
            <w:pPr>
              <w:ind w:left="170"/>
            </w:pPr>
            <w:r>
              <w:rPr>
                <w:i/>
              </w:rPr>
              <w:t xml:space="preserve">The higher 2026-27 target primarily reflects the additional funding received for routine road maintenance. This funding allows for addressing high risk defects on the network and increased coverage of resurfacing works. The total Road Asset Management investment including capital is </w:t>
            </w:r>
            <w:r w:rsidDel="004E329A">
              <w:rPr>
                <w:i/>
              </w:rPr>
              <w:t>$1.</w:t>
            </w:r>
            <w:r>
              <w:rPr>
                <w:i/>
              </w:rPr>
              <w:t>041 billion in 2026-27.</w:t>
            </w:r>
          </w:p>
        </w:tc>
      </w:tr>
    </w:tbl>
    <w:p w14:paraId="38324426" w14:textId="77777777" w:rsidR="00C306A8" w:rsidRDefault="00C306A8" w:rsidP="00C306A8">
      <w:pPr>
        <w:pStyle w:val="Source"/>
      </w:pPr>
      <w:r>
        <w:t>Source: Department of Transport and Planning</w:t>
      </w:r>
    </w:p>
    <w:p w14:paraId="7B6D2DE2" w14:textId="3406C8DF" w:rsidR="00C306A8" w:rsidRDefault="00C306A8" w:rsidP="00C306A8">
      <w:pPr>
        <w:pStyle w:val="Heading3"/>
      </w:pPr>
      <w:r>
        <w:lastRenderedPageBreak/>
        <w:t>Road Operations</w:t>
      </w:r>
      <w:r>
        <w:tab/>
        <w:t>(2026-27: $</w:t>
      </w:r>
      <w:r w:rsidR="00910719">
        <w:t xml:space="preserve">2 929.1 </w:t>
      </w:r>
      <w:r>
        <w:t>million)</w:t>
      </w:r>
    </w:p>
    <w:p w14:paraId="26862D44" w14:textId="77777777" w:rsidR="00C306A8" w:rsidRPr="003A085D" w:rsidRDefault="00C306A8" w:rsidP="00C306A8">
      <w:pPr>
        <w:spacing w:after="120"/>
      </w:pPr>
      <w:r w:rsidRPr="006E15FD">
        <w:t>This output operates the road network by managing access and use, and delivering initiatives that provide more predictable and reliable journeys, improve safety and meet the service quality expected from transport users.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C306A8" w14:paraId="43E41316" w14:textId="77777777" w:rsidTr="000A24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4834E6B" w14:textId="77777777" w:rsidR="00C306A8" w:rsidRDefault="00C306A8">
            <w:r>
              <w:t>Performance measure</w:t>
            </w:r>
          </w:p>
        </w:tc>
        <w:tc>
          <w:tcPr>
            <w:tcW w:w="964" w:type="dxa"/>
          </w:tcPr>
          <w:p w14:paraId="3C6401A3"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39FAED7"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0036C24"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E58422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AED7D13"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14:paraId="30D6D1F3"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BD1899" w14:textId="7DB33B9E" w:rsidR="00C306A8" w:rsidRDefault="008843EA">
            <w:pPr>
              <w:rPr>
                <w:b/>
                <w:bCs/>
                <w:iCs/>
              </w:rPr>
            </w:pPr>
            <w:r>
              <w:rPr>
                <w:b/>
                <w:bCs/>
                <w:iCs/>
              </w:rPr>
              <w:t>REGISTRATION AND LICENSING</w:t>
            </w:r>
          </w:p>
          <w:p w14:paraId="346564BF" w14:textId="77777777" w:rsidR="00C306A8" w:rsidRDefault="00C306A8">
            <w:pPr>
              <w:rPr>
                <w:i/>
              </w:rPr>
            </w:pPr>
            <w:r>
              <w:rPr>
                <w:iCs/>
              </w:rPr>
              <w:t>This sub-output reports on the operations of the registration and licensing services in Victoria.</w:t>
            </w:r>
          </w:p>
        </w:tc>
      </w:tr>
      <w:tr w:rsidR="00C306A8" w:rsidRPr="008843EA" w14:paraId="27999087"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3C411398" w14:textId="77777777" w:rsidR="00C306A8" w:rsidRPr="008843EA" w:rsidRDefault="00C306A8">
            <w:pPr>
              <w:keepNext/>
              <w:rPr>
                <w:b/>
              </w:rPr>
            </w:pPr>
            <w:r w:rsidRPr="008843EA">
              <w:rPr>
                <w:b/>
              </w:rPr>
              <w:t>Quantity</w:t>
            </w:r>
          </w:p>
        </w:tc>
      </w:tr>
      <w:tr w:rsidR="00C306A8" w14:paraId="0AF04BF3"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94A4A82" w14:textId="77777777" w:rsidR="00C306A8" w:rsidRDefault="00C306A8">
            <w:pPr>
              <w:keepNext/>
              <w:ind w:left="170"/>
            </w:pPr>
            <w:r w:rsidRPr="002E737D">
              <w:t>Road</w:t>
            </w:r>
            <w:r>
              <w:t xml:space="preserve"> vehicle and driver regulation: driver licences renewed</w:t>
            </w:r>
          </w:p>
        </w:tc>
        <w:tc>
          <w:tcPr>
            <w:tcW w:w="964" w:type="dxa"/>
          </w:tcPr>
          <w:p w14:paraId="4219314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5B8502CE"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1 030</w:t>
            </w:r>
          </w:p>
        </w:tc>
        <w:tc>
          <w:tcPr>
            <w:tcW w:w="964" w:type="dxa"/>
          </w:tcPr>
          <w:p w14:paraId="18C97CA5"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1 030</w:t>
            </w:r>
          </w:p>
        </w:tc>
        <w:tc>
          <w:tcPr>
            <w:tcW w:w="964" w:type="dxa"/>
          </w:tcPr>
          <w:p w14:paraId="04BF7753"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1 030</w:t>
            </w:r>
          </w:p>
        </w:tc>
        <w:tc>
          <w:tcPr>
            <w:tcW w:w="964" w:type="dxa"/>
          </w:tcPr>
          <w:p w14:paraId="4051532A" w14:textId="77777777" w:rsidR="00C306A8" w:rsidRDefault="00C306A8">
            <w:pPr>
              <w:cnfStyle w:val="000000000000" w:firstRow="0" w:lastRow="0" w:firstColumn="0" w:lastColumn="0" w:oddVBand="0" w:evenVBand="0" w:oddHBand="0" w:evenHBand="0" w:firstRowFirstColumn="0" w:firstRowLastColumn="0" w:lastRowFirstColumn="0" w:lastRowLastColumn="0"/>
            </w:pPr>
            <w:r>
              <w:t>1 013</w:t>
            </w:r>
          </w:p>
        </w:tc>
      </w:tr>
      <w:tr w:rsidR="00C306A8" w14:paraId="5E82C8AF"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F9E6D03" w14:textId="77777777" w:rsidR="00C306A8" w:rsidRDefault="00C306A8">
            <w:pPr>
              <w:ind w:left="170"/>
            </w:pPr>
            <w:r w:rsidRPr="002E737D">
              <w:t>Road</w:t>
            </w:r>
            <w:r>
              <w:t xml:space="preserve"> vehicle and driver regulation: new driver licences issued</w:t>
            </w:r>
          </w:p>
        </w:tc>
        <w:tc>
          <w:tcPr>
            <w:tcW w:w="964" w:type="dxa"/>
            <w:tcBorders>
              <w:bottom w:val="single" w:sz="6" w:space="0" w:color="auto"/>
            </w:tcBorders>
          </w:tcPr>
          <w:p w14:paraId="3BC8EDB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26549FAF" w14:textId="77777777" w:rsidR="00C306A8" w:rsidRDefault="00C306A8">
            <w:pPr>
              <w:cnfStyle w:val="000000000000" w:firstRow="0" w:lastRow="0" w:firstColumn="0" w:lastColumn="0" w:oddVBand="0" w:evenVBand="0" w:oddHBand="0" w:evenHBand="0" w:firstRowFirstColumn="0" w:firstRowLastColumn="0" w:lastRowFirstColumn="0" w:lastRowLastColumn="0"/>
            </w:pPr>
            <w:r>
              <w:t>235</w:t>
            </w:r>
          </w:p>
        </w:tc>
        <w:tc>
          <w:tcPr>
            <w:tcW w:w="964" w:type="dxa"/>
            <w:tcBorders>
              <w:bottom w:val="single" w:sz="6" w:space="0" w:color="auto"/>
            </w:tcBorders>
          </w:tcPr>
          <w:p w14:paraId="177ECF5F" w14:textId="77777777" w:rsidR="00C306A8" w:rsidRDefault="00C306A8">
            <w:pPr>
              <w:cnfStyle w:val="000000000000" w:firstRow="0" w:lastRow="0" w:firstColumn="0" w:lastColumn="0" w:oddVBand="0" w:evenVBand="0" w:oddHBand="0" w:evenHBand="0" w:firstRowFirstColumn="0" w:firstRowLastColumn="0" w:lastRowFirstColumn="0" w:lastRowLastColumn="0"/>
            </w:pPr>
            <w:r>
              <w:t>230</w:t>
            </w:r>
          </w:p>
        </w:tc>
        <w:tc>
          <w:tcPr>
            <w:tcW w:w="964" w:type="dxa"/>
            <w:tcBorders>
              <w:bottom w:val="single" w:sz="6" w:space="0" w:color="auto"/>
            </w:tcBorders>
          </w:tcPr>
          <w:p w14:paraId="76E63E55" w14:textId="77777777" w:rsidR="00C306A8" w:rsidRDefault="00C306A8">
            <w:pPr>
              <w:cnfStyle w:val="000000000000" w:firstRow="0" w:lastRow="0" w:firstColumn="0" w:lastColumn="0" w:oddVBand="0" w:evenVBand="0" w:oddHBand="0" w:evenHBand="0" w:firstRowFirstColumn="0" w:firstRowLastColumn="0" w:lastRowFirstColumn="0" w:lastRowLastColumn="0"/>
            </w:pPr>
            <w:r>
              <w:t>235</w:t>
            </w:r>
          </w:p>
        </w:tc>
        <w:tc>
          <w:tcPr>
            <w:tcW w:w="964" w:type="dxa"/>
            <w:tcBorders>
              <w:bottom w:val="single" w:sz="6" w:space="0" w:color="auto"/>
            </w:tcBorders>
          </w:tcPr>
          <w:p w14:paraId="79F24660" w14:textId="77777777" w:rsidR="00C306A8" w:rsidRDefault="00C306A8">
            <w:pPr>
              <w:cnfStyle w:val="000000000000" w:firstRow="0" w:lastRow="0" w:firstColumn="0" w:lastColumn="0" w:oddVBand="0" w:evenVBand="0" w:oddHBand="0" w:evenHBand="0" w:firstRowFirstColumn="0" w:firstRowLastColumn="0" w:lastRowFirstColumn="0" w:lastRowLastColumn="0"/>
            </w:pPr>
            <w:r>
              <w:t>227</w:t>
            </w:r>
          </w:p>
        </w:tc>
      </w:tr>
      <w:tr w:rsidR="00C306A8" w14:paraId="5B6998F6"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59CC7F" w14:textId="77777777" w:rsidR="00C306A8" w:rsidRDefault="00C306A8">
            <w:pPr>
              <w:ind w:left="170"/>
            </w:pPr>
            <w:r w:rsidRPr="002E737D">
              <w:t>Road</w:t>
            </w:r>
            <w:r>
              <w:t xml:space="preserve"> vehicle and driver regulation: new vehicle registrations issued</w:t>
            </w:r>
          </w:p>
        </w:tc>
        <w:tc>
          <w:tcPr>
            <w:tcW w:w="964" w:type="dxa"/>
            <w:tcBorders>
              <w:bottom w:val="single" w:sz="6" w:space="0" w:color="auto"/>
            </w:tcBorders>
          </w:tcPr>
          <w:p w14:paraId="420705B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tcBorders>
              <w:bottom w:val="single" w:sz="6" w:space="0" w:color="auto"/>
            </w:tcBorders>
            <w:shd w:val="clear" w:color="auto" w:fill="F0F0F0"/>
          </w:tcPr>
          <w:p w14:paraId="2272442C" w14:textId="77777777" w:rsidR="00C306A8" w:rsidRDefault="00C306A8">
            <w:pPr>
              <w:cnfStyle w:val="000000000000" w:firstRow="0" w:lastRow="0" w:firstColumn="0" w:lastColumn="0" w:oddVBand="0" w:evenVBand="0" w:oddHBand="0" w:evenHBand="0" w:firstRowFirstColumn="0" w:firstRowLastColumn="0" w:lastRowFirstColumn="0" w:lastRowLastColumn="0"/>
            </w:pPr>
            <w:r>
              <w:t>650</w:t>
            </w:r>
          </w:p>
        </w:tc>
        <w:tc>
          <w:tcPr>
            <w:tcW w:w="964" w:type="dxa"/>
            <w:tcBorders>
              <w:bottom w:val="single" w:sz="6" w:space="0" w:color="auto"/>
            </w:tcBorders>
          </w:tcPr>
          <w:p w14:paraId="14AE22E7" w14:textId="77777777" w:rsidR="00C306A8" w:rsidRDefault="00C306A8">
            <w:pPr>
              <w:cnfStyle w:val="000000000000" w:firstRow="0" w:lastRow="0" w:firstColumn="0" w:lastColumn="0" w:oddVBand="0" w:evenVBand="0" w:oddHBand="0" w:evenHBand="0" w:firstRowFirstColumn="0" w:firstRowLastColumn="0" w:lastRowFirstColumn="0" w:lastRowLastColumn="0"/>
            </w:pPr>
            <w:r>
              <w:t>622</w:t>
            </w:r>
          </w:p>
        </w:tc>
        <w:tc>
          <w:tcPr>
            <w:tcW w:w="964" w:type="dxa"/>
            <w:tcBorders>
              <w:bottom w:val="single" w:sz="6" w:space="0" w:color="auto"/>
            </w:tcBorders>
          </w:tcPr>
          <w:p w14:paraId="777DC65D" w14:textId="77777777" w:rsidR="00C306A8" w:rsidRDefault="00C306A8">
            <w:pPr>
              <w:cnfStyle w:val="000000000000" w:firstRow="0" w:lastRow="0" w:firstColumn="0" w:lastColumn="0" w:oddVBand="0" w:evenVBand="0" w:oddHBand="0" w:evenHBand="0" w:firstRowFirstColumn="0" w:firstRowLastColumn="0" w:lastRowFirstColumn="0" w:lastRowLastColumn="0"/>
            </w:pPr>
            <w:r>
              <w:t>650</w:t>
            </w:r>
          </w:p>
        </w:tc>
        <w:tc>
          <w:tcPr>
            <w:tcW w:w="964" w:type="dxa"/>
            <w:tcBorders>
              <w:bottom w:val="single" w:sz="6" w:space="0" w:color="auto"/>
            </w:tcBorders>
          </w:tcPr>
          <w:p w14:paraId="2F2FE4CF" w14:textId="77777777" w:rsidR="00C306A8" w:rsidRDefault="00C306A8">
            <w:pPr>
              <w:cnfStyle w:val="000000000000" w:firstRow="0" w:lastRow="0" w:firstColumn="0" w:lastColumn="0" w:oddVBand="0" w:evenVBand="0" w:oddHBand="0" w:evenHBand="0" w:firstRowFirstColumn="0" w:firstRowLastColumn="0" w:lastRowFirstColumn="0" w:lastRowLastColumn="0"/>
            </w:pPr>
            <w:r>
              <w:t>618</w:t>
            </w:r>
          </w:p>
        </w:tc>
      </w:tr>
      <w:tr w:rsidR="00C306A8" w14:paraId="142DB95C"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7D1E054F" w14:textId="77777777" w:rsidR="00C306A8" w:rsidRDefault="00C306A8">
            <w:pPr>
              <w:keepNext/>
              <w:ind w:left="170"/>
            </w:pPr>
            <w:r w:rsidRPr="002E737D">
              <w:t>Road</w:t>
            </w:r>
            <w:r>
              <w:t xml:space="preserve"> vehicle and driver regulation: vehicle and driver information requests, including toll operator and council requests, processed</w:t>
            </w:r>
          </w:p>
        </w:tc>
        <w:tc>
          <w:tcPr>
            <w:tcW w:w="964" w:type="dxa"/>
          </w:tcPr>
          <w:p w14:paraId="03BE8F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409E844F" w14:textId="77777777" w:rsidR="00C306A8" w:rsidRDefault="00C306A8">
            <w:pPr>
              <w:cnfStyle w:val="000000000000" w:firstRow="0" w:lastRow="0" w:firstColumn="0" w:lastColumn="0" w:oddVBand="0" w:evenVBand="0" w:oddHBand="0" w:evenHBand="0" w:firstRowFirstColumn="0" w:firstRowLastColumn="0" w:lastRowFirstColumn="0" w:lastRowLastColumn="0"/>
            </w:pPr>
            <w:r>
              <w:t>3 450</w:t>
            </w:r>
          </w:p>
        </w:tc>
        <w:tc>
          <w:tcPr>
            <w:tcW w:w="964" w:type="dxa"/>
          </w:tcPr>
          <w:p w14:paraId="1C469B53" w14:textId="77777777" w:rsidR="00C306A8" w:rsidRDefault="00C306A8">
            <w:pPr>
              <w:cnfStyle w:val="000000000000" w:firstRow="0" w:lastRow="0" w:firstColumn="0" w:lastColumn="0" w:oddVBand="0" w:evenVBand="0" w:oddHBand="0" w:evenHBand="0" w:firstRowFirstColumn="0" w:firstRowLastColumn="0" w:lastRowFirstColumn="0" w:lastRowLastColumn="0"/>
            </w:pPr>
            <w:r>
              <w:t>3 490</w:t>
            </w:r>
          </w:p>
        </w:tc>
        <w:tc>
          <w:tcPr>
            <w:tcW w:w="964" w:type="dxa"/>
          </w:tcPr>
          <w:p w14:paraId="5BC183B6" w14:textId="77777777" w:rsidR="00C306A8" w:rsidRDefault="00C306A8">
            <w:pPr>
              <w:cnfStyle w:val="000000000000" w:firstRow="0" w:lastRow="0" w:firstColumn="0" w:lastColumn="0" w:oddVBand="0" w:evenVBand="0" w:oddHBand="0" w:evenHBand="0" w:firstRowFirstColumn="0" w:firstRowLastColumn="0" w:lastRowFirstColumn="0" w:lastRowLastColumn="0"/>
            </w:pPr>
            <w:r>
              <w:t>3 700</w:t>
            </w:r>
          </w:p>
        </w:tc>
        <w:tc>
          <w:tcPr>
            <w:tcW w:w="964" w:type="dxa"/>
          </w:tcPr>
          <w:p w14:paraId="29E6BEAD" w14:textId="77777777" w:rsidR="00C306A8" w:rsidRDefault="00C306A8">
            <w:pPr>
              <w:cnfStyle w:val="000000000000" w:firstRow="0" w:lastRow="0" w:firstColumn="0" w:lastColumn="0" w:oddVBand="0" w:evenVBand="0" w:oddHBand="0" w:evenHBand="0" w:firstRowFirstColumn="0" w:firstRowLastColumn="0" w:lastRowFirstColumn="0" w:lastRowLastColumn="0"/>
            </w:pPr>
            <w:r>
              <w:t>3 560</w:t>
            </w:r>
          </w:p>
        </w:tc>
      </w:tr>
      <w:tr w:rsidR="00C306A8" w14:paraId="2522E6BA"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2CAEFA" w14:textId="77777777" w:rsidR="00C306A8" w:rsidRDefault="00C306A8">
            <w:pPr>
              <w:ind w:left="170"/>
            </w:pPr>
            <w:r>
              <w:rPr>
                <w:i/>
              </w:rPr>
              <w:t>The 2025-26 expected outcome is lower than the 2025-26 target due to demand in vehicle and driver information requests.</w:t>
            </w:r>
          </w:p>
          <w:p w14:paraId="02417B46" w14:textId="77777777" w:rsidR="00C306A8" w:rsidRDefault="00C306A8">
            <w:pPr>
              <w:ind w:left="170"/>
            </w:pPr>
            <w:r>
              <w:rPr>
                <w:i/>
              </w:rPr>
              <w:t>The lower 2026-27 target is due to decreased demand in vehicle and driver information requests.</w:t>
            </w:r>
          </w:p>
        </w:tc>
      </w:tr>
      <w:tr w:rsidR="00C306A8" w14:paraId="4619D7B7"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6FA2D30" w14:textId="77777777" w:rsidR="00C306A8" w:rsidRDefault="00C306A8">
            <w:pPr>
              <w:keepNext/>
              <w:ind w:left="170"/>
            </w:pPr>
            <w:r w:rsidRPr="002E737D">
              <w:t>Road</w:t>
            </w:r>
            <w:r>
              <w:t xml:space="preserve"> vehicle and driver regulation: vehicle registration transfers</w:t>
            </w:r>
          </w:p>
        </w:tc>
        <w:tc>
          <w:tcPr>
            <w:tcW w:w="964" w:type="dxa"/>
          </w:tcPr>
          <w:p w14:paraId="06A45D1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6A93D5E1" w14:textId="77777777" w:rsidR="00C306A8" w:rsidRDefault="00C306A8">
            <w:pPr>
              <w:cnfStyle w:val="000000000000" w:firstRow="0" w:lastRow="0" w:firstColumn="0" w:lastColumn="0" w:oddVBand="0" w:evenVBand="0" w:oddHBand="0" w:evenHBand="0" w:firstRowFirstColumn="0" w:firstRowLastColumn="0" w:lastRowFirstColumn="0" w:lastRowLastColumn="0"/>
            </w:pPr>
            <w:r>
              <w:t>964</w:t>
            </w:r>
          </w:p>
        </w:tc>
        <w:tc>
          <w:tcPr>
            <w:tcW w:w="964" w:type="dxa"/>
          </w:tcPr>
          <w:p w14:paraId="4480FE1E" w14:textId="77777777" w:rsidR="00C306A8" w:rsidRDefault="00C306A8">
            <w:pPr>
              <w:cnfStyle w:val="000000000000" w:firstRow="0" w:lastRow="0" w:firstColumn="0" w:lastColumn="0" w:oddVBand="0" w:evenVBand="0" w:oddHBand="0" w:evenHBand="0" w:firstRowFirstColumn="0" w:firstRowLastColumn="0" w:lastRowFirstColumn="0" w:lastRowLastColumn="0"/>
            </w:pPr>
            <w:r>
              <w:t>935</w:t>
            </w:r>
          </w:p>
        </w:tc>
        <w:tc>
          <w:tcPr>
            <w:tcW w:w="964" w:type="dxa"/>
          </w:tcPr>
          <w:p w14:paraId="23A19586" w14:textId="77777777" w:rsidR="00C306A8" w:rsidRDefault="00C306A8">
            <w:pPr>
              <w:cnfStyle w:val="000000000000" w:firstRow="0" w:lastRow="0" w:firstColumn="0" w:lastColumn="0" w:oddVBand="0" w:evenVBand="0" w:oddHBand="0" w:evenHBand="0" w:firstRowFirstColumn="0" w:firstRowLastColumn="0" w:lastRowFirstColumn="0" w:lastRowLastColumn="0"/>
            </w:pPr>
            <w:r>
              <w:t>935</w:t>
            </w:r>
          </w:p>
        </w:tc>
        <w:tc>
          <w:tcPr>
            <w:tcW w:w="964" w:type="dxa"/>
          </w:tcPr>
          <w:p w14:paraId="08F1FA3E" w14:textId="77777777" w:rsidR="00C306A8" w:rsidRDefault="00C306A8">
            <w:pPr>
              <w:cnfStyle w:val="000000000000" w:firstRow="0" w:lastRow="0" w:firstColumn="0" w:lastColumn="0" w:oddVBand="0" w:evenVBand="0" w:oddHBand="0" w:evenHBand="0" w:firstRowFirstColumn="0" w:firstRowLastColumn="0" w:lastRowFirstColumn="0" w:lastRowLastColumn="0"/>
            </w:pPr>
            <w:r>
              <w:t>905</w:t>
            </w:r>
          </w:p>
        </w:tc>
      </w:tr>
      <w:tr w:rsidR="00C306A8" w14:paraId="7CFD779C"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8757459" w14:textId="77777777" w:rsidR="00C306A8" w:rsidRDefault="00C306A8">
            <w:pPr>
              <w:ind w:left="170"/>
            </w:pPr>
            <w:r>
              <w:rPr>
                <w:i/>
              </w:rPr>
              <w:t>The higher 2026-27 target reflects an increased demand for vehicle registration transfers due to a rise in used vehicle sales.</w:t>
            </w:r>
          </w:p>
        </w:tc>
      </w:tr>
      <w:tr w:rsidR="00C306A8" w14:paraId="620E7803"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22E2907D" w14:textId="77777777" w:rsidR="00C306A8" w:rsidRDefault="00C306A8">
            <w:pPr>
              <w:keepNext/>
              <w:ind w:left="170"/>
            </w:pPr>
            <w:r w:rsidRPr="002E737D">
              <w:t>Road</w:t>
            </w:r>
            <w:r>
              <w:t xml:space="preserve"> vehicle and driver regulation: vehicle registrations renewed</w:t>
            </w:r>
          </w:p>
        </w:tc>
        <w:tc>
          <w:tcPr>
            <w:tcW w:w="964" w:type="dxa"/>
          </w:tcPr>
          <w:p w14:paraId="68CDC5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3929503D" w14:textId="77777777" w:rsidR="00C306A8" w:rsidRDefault="00C306A8">
            <w:pPr>
              <w:cnfStyle w:val="000000000000" w:firstRow="0" w:lastRow="0" w:firstColumn="0" w:lastColumn="0" w:oddVBand="0" w:evenVBand="0" w:oddHBand="0" w:evenHBand="0" w:firstRowFirstColumn="0" w:firstRowLastColumn="0" w:lastRowFirstColumn="0" w:lastRowLastColumn="0"/>
            </w:pPr>
            <w:r>
              <w:t>12 000</w:t>
            </w:r>
          </w:p>
        </w:tc>
        <w:tc>
          <w:tcPr>
            <w:tcW w:w="964" w:type="dxa"/>
          </w:tcPr>
          <w:p w14:paraId="00F8120D" w14:textId="77777777" w:rsidR="00C306A8" w:rsidRDefault="00C306A8">
            <w:pPr>
              <w:cnfStyle w:val="000000000000" w:firstRow="0" w:lastRow="0" w:firstColumn="0" w:lastColumn="0" w:oddVBand="0" w:evenVBand="0" w:oddHBand="0" w:evenHBand="0" w:firstRowFirstColumn="0" w:firstRowLastColumn="0" w:lastRowFirstColumn="0" w:lastRowLastColumn="0"/>
            </w:pPr>
            <w:r>
              <w:t>11 085</w:t>
            </w:r>
          </w:p>
        </w:tc>
        <w:tc>
          <w:tcPr>
            <w:tcW w:w="964" w:type="dxa"/>
          </w:tcPr>
          <w:p w14:paraId="47D920B0" w14:textId="77777777" w:rsidR="00C306A8" w:rsidRDefault="00C306A8">
            <w:pPr>
              <w:cnfStyle w:val="000000000000" w:firstRow="0" w:lastRow="0" w:firstColumn="0" w:lastColumn="0" w:oddVBand="0" w:evenVBand="0" w:oddHBand="0" w:evenHBand="0" w:firstRowFirstColumn="0" w:firstRowLastColumn="0" w:lastRowFirstColumn="0" w:lastRowLastColumn="0"/>
            </w:pPr>
            <w:r>
              <w:t>11 200</w:t>
            </w:r>
          </w:p>
        </w:tc>
        <w:tc>
          <w:tcPr>
            <w:tcW w:w="964" w:type="dxa"/>
          </w:tcPr>
          <w:p w14:paraId="6FC7E0F8" w14:textId="77777777" w:rsidR="00C306A8" w:rsidRDefault="00C306A8">
            <w:pPr>
              <w:cnfStyle w:val="000000000000" w:firstRow="0" w:lastRow="0" w:firstColumn="0" w:lastColumn="0" w:oddVBand="0" w:evenVBand="0" w:oddHBand="0" w:evenHBand="0" w:firstRowFirstColumn="0" w:firstRowLastColumn="0" w:lastRowFirstColumn="0" w:lastRowLastColumn="0"/>
            </w:pPr>
            <w:r>
              <w:t>10 935</w:t>
            </w:r>
          </w:p>
        </w:tc>
      </w:tr>
      <w:tr w:rsidR="00C306A8" w14:paraId="1EF33119"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1EF6E9" w14:textId="77777777" w:rsidR="00C306A8" w:rsidRDefault="00C306A8">
            <w:pPr>
              <w:ind w:left="170"/>
            </w:pPr>
            <w:r>
              <w:rPr>
                <w:i/>
              </w:rPr>
              <w:t>The higher 2026-27 target reflects an increase in demand for vehicle registration renewals due to a greater uptake of shorter registration renewal periods.</w:t>
            </w:r>
          </w:p>
        </w:tc>
      </w:tr>
      <w:tr w:rsidR="00C306A8" w:rsidRPr="008843EA" w14:paraId="4956D4EA"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72AF477F" w14:textId="77777777" w:rsidR="00C306A8" w:rsidRPr="008843EA" w:rsidRDefault="00C306A8">
            <w:pPr>
              <w:keepNext/>
              <w:rPr>
                <w:b/>
              </w:rPr>
            </w:pPr>
            <w:r w:rsidRPr="008843EA">
              <w:rPr>
                <w:b/>
              </w:rPr>
              <w:t>Quality</w:t>
            </w:r>
          </w:p>
        </w:tc>
      </w:tr>
      <w:tr w:rsidR="00C306A8" w14:paraId="6F5CDC21"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32DF90" w14:textId="77777777" w:rsidR="00C306A8" w:rsidRDefault="00C306A8">
            <w:pPr>
              <w:ind w:left="170"/>
            </w:pPr>
            <w:r w:rsidRPr="002E737D">
              <w:t>Road</w:t>
            </w:r>
            <w:r>
              <w:t xml:space="preserve"> vehicle and driver regulation: currency of vehicle registration and driver licensing records</w:t>
            </w:r>
          </w:p>
        </w:tc>
        <w:tc>
          <w:tcPr>
            <w:tcW w:w="964" w:type="dxa"/>
            <w:tcBorders>
              <w:bottom w:val="single" w:sz="6" w:space="0" w:color="auto"/>
            </w:tcBorders>
          </w:tcPr>
          <w:p w14:paraId="71B766E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3F2E88F"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8D0848D"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279DD74"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83188E1"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r>
      <w:tr w:rsidR="00C306A8" w14:paraId="38EB1EAD"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75C743" w14:textId="77777777" w:rsidR="00C306A8" w:rsidRDefault="00C306A8">
            <w:pPr>
              <w:ind w:left="170"/>
            </w:pPr>
            <w:r w:rsidRPr="002E737D">
              <w:t>Road</w:t>
            </w:r>
            <w:r>
              <w:t xml:space="preserve"> vehicle and driver regulation: per cent of customers served at registration and licencing call centres within 240 seconds</w:t>
            </w:r>
          </w:p>
        </w:tc>
        <w:tc>
          <w:tcPr>
            <w:tcW w:w="964" w:type="dxa"/>
            <w:tcBorders>
              <w:bottom w:val="single" w:sz="6" w:space="0" w:color="auto"/>
            </w:tcBorders>
          </w:tcPr>
          <w:p w14:paraId="396A371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AD17BAD"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11826668"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529F4CFE"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4459825E" w14:textId="77777777" w:rsidR="00C306A8" w:rsidRDefault="00C306A8">
            <w:pPr>
              <w:cnfStyle w:val="000000000000" w:firstRow="0" w:lastRow="0" w:firstColumn="0" w:lastColumn="0" w:oddVBand="0" w:evenVBand="0" w:oddHBand="0" w:evenHBand="0" w:firstRowFirstColumn="0" w:firstRowLastColumn="0" w:lastRowFirstColumn="0" w:lastRowLastColumn="0"/>
            </w:pPr>
            <w:r>
              <w:t>56.8</w:t>
            </w:r>
          </w:p>
        </w:tc>
      </w:tr>
      <w:tr w:rsidR="00C306A8" w14:paraId="5470B2C5"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F04941D" w14:textId="77777777" w:rsidR="00C306A8" w:rsidRDefault="00C306A8">
            <w:pPr>
              <w:ind w:left="170"/>
            </w:pPr>
            <w:r w:rsidRPr="002E737D">
              <w:t>Road</w:t>
            </w:r>
            <w:r>
              <w:t xml:space="preserve"> vehicle and driver regulation: user satisfaction with vehicle registration and driver licensing</w:t>
            </w:r>
          </w:p>
        </w:tc>
        <w:tc>
          <w:tcPr>
            <w:tcW w:w="964" w:type="dxa"/>
            <w:tcBorders>
              <w:bottom w:val="single" w:sz="6" w:space="0" w:color="auto"/>
            </w:tcBorders>
          </w:tcPr>
          <w:p w14:paraId="5DB2D80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1666ED"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3775888"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48C295B"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01B5AA2" w14:textId="77777777" w:rsidR="00C306A8" w:rsidRDefault="00C306A8">
            <w:pPr>
              <w:cnfStyle w:val="000000000000" w:firstRow="0" w:lastRow="0" w:firstColumn="0" w:lastColumn="0" w:oddVBand="0" w:evenVBand="0" w:oddHBand="0" w:evenHBand="0" w:firstRowFirstColumn="0" w:firstRowLastColumn="0" w:lastRowFirstColumn="0" w:lastRowLastColumn="0"/>
            </w:pPr>
            <w:r>
              <w:t>89</w:t>
            </w:r>
          </w:p>
        </w:tc>
      </w:tr>
      <w:tr w:rsidR="00C306A8" w:rsidRPr="008843EA" w14:paraId="13D9716D"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02871912" w14:textId="77777777" w:rsidR="00C306A8" w:rsidRPr="008843EA" w:rsidRDefault="00C306A8">
            <w:pPr>
              <w:keepNext/>
              <w:rPr>
                <w:b/>
              </w:rPr>
            </w:pPr>
            <w:r w:rsidRPr="008843EA">
              <w:rPr>
                <w:b/>
              </w:rPr>
              <w:t>Timeliness</w:t>
            </w:r>
          </w:p>
        </w:tc>
      </w:tr>
      <w:tr w:rsidR="00C306A8" w14:paraId="088946DC"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7E12AAF" w14:textId="77777777" w:rsidR="00C306A8" w:rsidRDefault="00C306A8">
            <w:pPr>
              <w:ind w:left="170"/>
            </w:pPr>
            <w:r w:rsidRPr="002E737D">
              <w:t>Road</w:t>
            </w:r>
            <w:r>
              <w:t xml:space="preserve"> vehicle and driver regulation: customers served within 10 minutes in registration and licensing customer service centres</w:t>
            </w:r>
          </w:p>
        </w:tc>
        <w:tc>
          <w:tcPr>
            <w:tcW w:w="964" w:type="dxa"/>
            <w:tcBorders>
              <w:bottom w:val="single" w:sz="6" w:space="0" w:color="auto"/>
            </w:tcBorders>
          </w:tcPr>
          <w:p w14:paraId="342F3C0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31E2106"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5E5A62B"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62481EE"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1997E26" w14:textId="77777777" w:rsidR="00C306A8" w:rsidRDefault="00C306A8">
            <w:pPr>
              <w:cnfStyle w:val="000000000000" w:firstRow="0" w:lastRow="0" w:firstColumn="0" w:lastColumn="0" w:oddVBand="0" w:evenVBand="0" w:oddHBand="0" w:evenHBand="0" w:firstRowFirstColumn="0" w:firstRowLastColumn="0" w:lastRowFirstColumn="0" w:lastRowLastColumn="0"/>
            </w:pPr>
            <w:r>
              <w:t>72.4</w:t>
            </w:r>
          </w:p>
        </w:tc>
      </w:tr>
      <w:tr w:rsidR="00C306A8" w:rsidRPr="008843EA" w14:paraId="066BE82C"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15700B3D" w14:textId="77777777" w:rsidR="00C306A8" w:rsidRPr="008843EA" w:rsidRDefault="00C306A8">
            <w:pPr>
              <w:keepNext/>
              <w:rPr>
                <w:b/>
              </w:rPr>
            </w:pPr>
            <w:r w:rsidRPr="008843EA">
              <w:rPr>
                <w:b/>
              </w:rPr>
              <w:t>Cost</w:t>
            </w:r>
          </w:p>
        </w:tc>
      </w:tr>
      <w:tr w:rsidR="00C306A8" w14:paraId="3779FD27"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74B69E9F" w14:textId="63BC3B16" w:rsidR="00C306A8" w:rsidRDefault="00C306A8">
            <w:pPr>
              <w:keepNext/>
              <w:ind w:left="170"/>
            </w:pPr>
            <w:r w:rsidRPr="002E737D">
              <w:t>Sub</w:t>
            </w:r>
            <w:r>
              <w:t xml:space="preserve">-output cost </w:t>
            </w:r>
            <w:r w:rsidR="00AD4833">
              <w:t>–</w:t>
            </w:r>
            <w:r>
              <w:t xml:space="preserve"> Registration and Licencing</w:t>
            </w:r>
          </w:p>
        </w:tc>
        <w:tc>
          <w:tcPr>
            <w:tcW w:w="964" w:type="dxa"/>
          </w:tcPr>
          <w:p w14:paraId="1CF0344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612144E" w14:textId="77777777" w:rsidR="00C306A8" w:rsidRDefault="00C306A8">
            <w:pPr>
              <w:cnfStyle w:val="000000000000" w:firstRow="0" w:lastRow="0" w:firstColumn="0" w:lastColumn="0" w:oddVBand="0" w:evenVBand="0" w:oddHBand="0" w:evenHBand="0" w:firstRowFirstColumn="0" w:firstRowLastColumn="0" w:lastRowFirstColumn="0" w:lastRowLastColumn="0"/>
            </w:pPr>
            <w:r>
              <w:t>688.5</w:t>
            </w:r>
          </w:p>
        </w:tc>
        <w:tc>
          <w:tcPr>
            <w:tcW w:w="964" w:type="dxa"/>
          </w:tcPr>
          <w:p w14:paraId="3EA1DAFD" w14:textId="77777777" w:rsidR="00C306A8" w:rsidRDefault="00C306A8">
            <w:pPr>
              <w:cnfStyle w:val="000000000000" w:firstRow="0" w:lastRow="0" w:firstColumn="0" w:lastColumn="0" w:oddVBand="0" w:evenVBand="0" w:oddHBand="0" w:evenHBand="0" w:firstRowFirstColumn="0" w:firstRowLastColumn="0" w:lastRowFirstColumn="0" w:lastRowLastColumn="0"/>
            </w:pPr>
            <w:r>
              <w:t>632.8</w:t>
            </w:r>
          </w:p>
        </w:tc>
        <w:tc>
          <w:tcPr>
            <w:tcW w:w="964" w:type="dxa"/>
          </w:tcPr>
          <w:p w14:paraId="625AEFE7" w14:textId="77777777" w:rsidR="00C306A8" w:rsidRDefault="00C306A8">
            <w:pPr>
              <w:cnfStyle w:val="000000000000" w:firstRow="0" w:lastRow="0" w:firstColumn="0" w:lastColumn="0" w:oddVBand="0" w:evenVBand="0" w:oddHBand="0" w:evenHBand="0" w:firstRowFirstColumn="0" w:firstRowLastColumn="0" w:lastRowFirstColumn="0" w:lastRowLastColumn="0"/>
            </w:pPr>
            <w:r>
              <w:t>625.5</w:t>
            </w:r>
          </w:p>
        </w:tc>
        <w:tc>
          <w:tcPr>
            <w:tcW w:w="964" w:type="dxa"/>
          </w:tcPr>
          <w:p w14:paraId="55B26282" w14:textId="77777777" w:rsidR="00C306A8" w:rsidRDefault="00C306A8">
            <w:pPr>
              <w:cnfStyle w:val="000000000000" w:firstRow="0" w:lastRow="0" w:firstColumn="0" w:lastColumn="0" w:oddVBand="0" w:evenVBand="0" w:oddHBand="0" w:evenHBand="0" w:firstRowFirstColumn="0" w:firstRowLastColumn="0" w:lastRowFirstColumn="0" w:lastRowLastColumn="0"/>
            </w:pPr>
            <w:r>
              <w:t>577.1</w:t>
            </w:r>
          </w:p>
        </w:tc>
      </w:tr>
      <w:tr w:rsidR="00C306A8" w14:paraId="187591AB"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DF19888" w14:textId="77777777" w:rsidR="00C306A8" w:rsidRDefault="00462B9D">
            <w:pPr>
              <w:ind w:left="170"/>
            </w:pPr>
            <w:r>
              <w:rPr>
                <w:i/>
              </w:rPr>
              <w:t>The higher 2026‑27 target reflects indexation and increased volumes of registration and licensing activities delivered by VicRoads.</w:t>
            </w:r>
          </w:p>
        </w:tc>
      </w:tr>
      <w:tr w:rsidR="00C306A8" w14:paraId="3E75E63B"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bottom w:val="single" w:sz="6" w:space="0" w:color="auto"/>
            </w:tcBorders>
          </w:tcPr>
          <w:p w14:paraId="7162150D" w14:textId="7F97AC12" w:rsidR="00C306A8" w:rsidRDefault="008843EA" w:rsidP="009B635C">
            <w:pPr>
              <w:pageBreakBefore/>
              <w:spacing w:before="60"/>
              <w:rPr>
                <w:b/>
                <w:bCs/>
                <w:iCs/>
              </w:rPr>
            </w:pPr>
            <w:r>
              <w:rPr>
                <w:b/>
                <w:bCs/>
                <w:iCs/>
              </w:rPr>
              <w:lastRenderedPageBreak/>
              <w:t>ROAD NETWORK PERFORMANCE</w:t>
            </w:r>
          </w:p>
          <w:p w14:paraId="5ACE7BF2" w14:textId="77777777" w:rsidR="00C306A8" w:rsidRDefault="00C306A8">
            <w:pPr>
              <w:rPr>
                <w:i/>
              </w:rPr>
            </w:pPr>
            <w:r>
              <w:rPr>
                <w:iCs/>
              </w:rPr>
              <w:t>This sub-output reports on the operations of the road network in Victoria and initiatives to improve network performance.</w:t>
            </w:r>
          </w:p>
        </w:tc>
      </w:tr>
      <w:tr w:rsidR="00C306A8" w:rsidRPr="008843EA" w14:paraId="5700703C"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4C0E2DD0" w14:textId="77777777" w:rsidR="00C306A8" w:rsidRPr="008843EA" w:rsidRDefault="00C306A8">
            <w:pPr>
              <w:keepNext/>
              <w:rPr>
                <w:b/>
              </w:rPr>
            </w:pPr>
            <w:r w:rsidRPr="008843EA">
              <w:rPr>
                <w:b/>
              </w:rPr>
              <w:t>Quantity</w:t>
            </w:r>
          </w:p>
        </w:tc>
      </w:tr>
      <w:tr w:rsidR="00C306A8" w14:paraId="152C788E"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6DE884F" w14:textId="77777777" w:rsidR="00C306A8" w:rsidRDefault="00C306A8">
            <w:pPr>
              <w:keepNext/>
              <w:ind w:left="170"/>
            </w:pPr>
            <w:r w:rsidRPr="002E737D">
              <w:t>Active</w:t>
            </w:r>
            <w:r>
              <w:t xml:space="preserve"> transport projects completed</w:t>
            </w:r>
          </w:p>
        </w:tc>
        <w:tc>
          <w:tcPr>
            <w:tcW w:w="964" w:type="dxa"/>
          </w:tcPr>
          <w:p w14:paraId="622028B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6C71BE0" w14:textId="77777777" w:rsidR="00C306A8" w:rsidRDefault="00C306A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1F850B9C" w14:textId="77777777" w:rsidR="00C306A8" w:rsidRDefault="00C306A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4E1B3218" w14:textId="77777777" w:rsidR="00C306A8" w:rsidRDefault="00C306A8">
            <w:pPr>
              <w:cnfStyle w:val="000000000000" w:firstRow="0" w:lastRow="0" w:firstColumn="0" w:lastColumn="0" w:oddVBand="0" w:evenVBand="0" w:oddHBand="0" w:evenHBand="0" w:firstRowFirstColumn="0" w:firstRowLastColumn="0" w:lastRowFirstColumn="0" w:lastRowLastColumn="0"/>
            </w:pPr>
            <w:r>
              <w:t>21</w:t>
            </w:r>
          </w:p>
        </w:tc>
        <w:tc>
          <w:tcPr>
            <w:tcW w:w="964" w:type="dxa"/>
          </w:tcPr>
          <w:p w14:paraId="045D9512" w14:textId="77777777" w:rsidR="00C306A8" w:rsidRDefault="00C306A8">
            <w:pPr>
              <w:cnfStyle w:val="000000000000" w:firstRow="0" w:lastRow="0" w:firstColumn="0" w:lastColumn="0" w:oddVBand="0" w:evenVBand="0" w:oddHBand="0" w:evenHBand="0" w:firstRowFirstColumn="0" w:firstRowLastColumn="0" w:lastRowFirstColumn="0" w:lastRowLastColumn="0"/>
            </w:pPr>
            <w:r>
              <w:t>3</w:t>
            </w:r>
          </w:p>
        </w:tc>
      </w:tr>
      <w:tr w:rsidR="00C306A8" w14:paraId="025EAE1F"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19AF15" w14:textId="77777777" w:rsidR="00C306A8" w:rsidRDefault="00C306A8">
            <w:pPr>
              <w:ind w:left="170"/>
            </w:pPr>
            <w:r>
              <w:rPr>
                <w:i/>
              </w:rPr>
              <w:t>The lower 2026-27 target reflects the number of projects scheduled for completion in 2026-27.</w:t>
            </w:r>
          </w:p>
        </w:tc>
      </w:tr>
      <w:tr w:rsidR="00C306A8" w14:paraId="0BD1FA52" w14:textId="77777777" w:rsidTr="000A2471">
        <w:trPr>
          <w:trHeight w:val="600"/>
        </w:trPr>
        <w:tc>
          <w:tcPr>
            <w:cnfStyle w:val="001000000000" w:firstRow="0" w:lastRow="0" w:firstColumn="1" w:lastColumn="0" w:oddVBand="0" w:evenVBand="0" w:oddHBand="0" w:evenHBand="0" w:firstRowFirstColumn="0" w:firstRowLastColumn="0" w:lastRowFirstColumn="0" w:lastRowLastColumn="0"/>
            <w:tcW w:w="4819" w:type="dxa"/>
          </w:tcPr>
          <w:p w14:paraId="054A878C" w14:textId="77777777" w:rsidR="00C306A8" w:rsidRDefault="00C306A8">
            <w:pPr>
              <w:keepNext/>
              <w:ind w:left="170"/>
            </w:pPr>
            <w:r w:rsidRPr="002E737D">
              <w:t>Bridge</w:t>
            </w:r>
            <w:r>
              <w:t xml:space="preserve"> strengthening and replacement projects completed: metropolitan</w:t>
            </w:r>
          </w:p>
        </w:tc>
        <w:tc>
          <w:tcPr>
            <w:tcW w:w="964" w:type="dxa"/>
          </w:tcPr>
          <w:p w14:paraId="173EC6C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E5B89C2"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Pr>
          <w:p w14:paraId="78C0B625" w14:textId="77777777" w:rsidR="00C306A8" w:rsidRDefault="00C306A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1418A9B9"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1133D07D" w14:textId="77777777" w:rsidR="00C306A8" w:rsidRDefault="00C306A8">
            <w:pPr>
              <w:cnfStyle w:val="000000000000" w:firstRow="0" w:lastRow="0" w:firstColumn="0" w:lastColumn="0" w:oddVBand="0" w:evenVBand="0" w:oddHBand="0" w:evenHBand="0" w:firstRowFirstColumn="0" w:firstRowLastColumn="0" w:lastRowFirstColumn="0" w:lastRowLastColumn="0"/>
            </w:pPr>
            <w:r>
              <w:t>3</w:t>
            </w:r>
          </w:p>
        </w:tc>
      </w:tr>
      <w:tr w:rsidR="00C306A8" w14:paraId="105271AB"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7CC407" w14:textId="77777777" w:rsidR="00C306A8" w:rsidRDefault="00C306A8">
            <w:pPr>
              <w:ind w:left="170"/>
            </w:pPr>
            <w:r>
              <w:rPr>
                <w:i/>
              </w:rPr>
              <w:t>The 2025-26 expected outcome is higher than the 2025-26 target due to the early completion of the West Gate Bridge project.</w:t>
            </w:r>
          </w:p>
          <w:p w14:paraId="7A7908C5" w14:textId="77777777" w:rsidR="00C306A8" w:rsidRDefault="00C306A8">
            <w:pPr>
              <w:ind w:left="170"/>
            </w:pPr>
            <w:r>
              <w:rPr>
                <w:i/>
              </w:rPr>
              <w:t>The lower 2026-27 target reflects the number of projects scheduled for completion in 2026-27.</w:t>
            </w:r>
          </w:p>
        </w:tc>
      </w:tr>
      <w:tr w:rsidR="00C306A8" w14:paraId="4A56D9B9"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5DF6997" w14:textId="77777777" w:rsidR="00C306A8" w:rsidRDefault="00C306A8">
            <w:pPr>
              <w:keepNext/>
              <w:ind w:left="170"/>
            </w:pPr>
            <w:r w:rsidRPr="002E737D">
              <w:t>Bridge</w:t>
            </w:r>
            <w:r>
              <w:t xml:space="preserve"> strengthening and replacement projects completed: regional</w:t>
            </w:r>
          </w:p>
        </w:tc>
        <w:tc>
          <w:tcPr>
            <w:tcW w:w="964" w:type="dxa"/>
          </w:tcPr>
          <w:p w14:paraId="26E28FB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CB0FCE2" w14:textId="55E909C1" w:rsidR="00C306A8" w:rsidRDefault="002A5C6D">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0CE23EED"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E94AEE3" w14:textId="77777777" w:rsidR="00C306A8" w:rsidRDefault="00C306A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09061B6D" w14:textId="77777777" w:rsidR="00C306A8" w:rsidRDefault="00C306A8">
            <w:pPr>
              <w:cnfStyle w:val="000000000000" w:firstRow="0" w:lastRow="0" w:firstColumn="0" w:lastColumn="0" w:oddVBand="0" w:evenVBand="0" w:oddHBand="0" w:evenHBand="0" w:firstRowFirstColumn="0" w:firstRowLastColumn="0" w:lastRowFirstColumn="0" w:lastRowLastColumn="0"/>
            </w:pPr>
            <w:r>
              <w:t>10</w:t>
            </w:r>
          </w:p>
        </w:tc>
      </w:tr>
      <w:tr w:rsidR="00C306A8" w14:paraId="66E6306E"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0EB5FBC" w14:textId="77777777" w:rsidR="00C306A8" w:rsidRDefault="00C306A8">
            <w:pPr>
              <w:ind w:left="170"/>
            </w:pPr>
            <w:r>
              <w:rPr>
                <w:i/>
              </w:rPr>
              <w:t>The 2025-26 expected outcome is lower than the 2025-26 target due to delays caused by environmental effects, community consultation processes, and utility service works.</w:t>
            </w:r>
          </w:p>
          <w:p w14:paraId="60C45462" w14:textId="77777777" w:rsidR="00C306A8" w:rsidRDefault="00C306A8">
            <w:pPr>
              <w:ind w:left="170"/>
            </w:pPr>
            <w:r>
              <w:rPr>
                <w:i/>
              </w:rPr>
              <w:t>The lower 2026-27 target reflects the number of projects scheduled for completion in 2026-27.</w:t>
            </w:r>
          </w:p>
        </w:tc>
      </w:tr>
      <w:tr w:rsidR="00C306A8" w14:paraId="17747179"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27DCE8CB" w14:textId="77777777" w:rsidR="00C306A8" w:rsidRDefault="00C306A8">
            <w:pPr>
              <w:keepNext/>
              <w:ind w:left="170"/>
            </w:pPr>
            <w:r w:rsidRPr="002E737D">
              <w:t>Congestion</w:t>
            </w:r>
            <w:r>
              <w:t xml:space="preserve"> management and minor road improvements completed: metropolitan</w:t>
            </w:r>
          </w:p>
        </w:tc>
        <w:tc>
          <w:tcPr>
            <w:tcW w:w="964" w:type="dxa"/>
          </w:tcPr>
          <w:p w14:paraId="60DB7EB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F9A5EC5"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40328F4C"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6EB02761" w14:textId="77777777" w:rsidR="00C306A8" w:rsidRDefault="00C306A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76E3AD18"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r>
      <w:tr w:rsidR="00C306A8" w14:paraId="14745DE3"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931FD41" w14:textId="77777777" w:rsidR="00C306A8" w:rsidRDefault="00C306A8">
            <w:pPr>
              <w:ind w:left="170"/>
            </w:pPr>
            <w:r>
              <w:rPr>
                <w:i/>
              </w:rPr>
              <w:t>The 2025-26 expected outcome is higher than the 2025-26 target due to the identification and delivery of additional works.</w:t>
            </w:r>
          </w:p>
          <w:p w14:paraId="3DCD9FB3" w14:textId="77777777" w:rsidR="00C306A8" w:rsidRDefault="00C306A8">
            <w:pPr>
              <w:ind w:left="170"/>
            </w:pPr>
            <w:r>
              <w:rPr>
                <w:i/>
              </w:rPr>
              <w:t>The lower 2026-27 target reflects the number of projects scheduled for completion in 2026-27.</w:t>
            </w:r>
          </w:p>
        </w:tc>
      </w:tr>
      <w:tr w:rsidR="00C306A8" w14:paraId="1450BF13"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F42885C" w14:textId="77777777" w:rsidR="00C306A8" w:rsidRDefault="00C306A8">
            <w:pPr>
              <w:keepNext/>
              <w:ind w:left="170"/>
            </w:pPr>
            <w:r w:rsidRPr="002E737D">
              <w:t>Congestion</w:t>
            </w:r>
            <w:r>
              <w:t xml:space="preserve"> management and minor road improvements completed: regional</w:t>
            </w:r>
          </w:p>
        </w:tc>
        <w:tc>
          <w:tcPr>
            <w:tcW w:w="964" w:type="dxa"/>
          </w:tcPr>
          <w:p w14:paraId="4676026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847AA46" w14:textId="77777777" w:rsidR="00C306A8" w:rsidRDefault="00C306A8">
            <w:pPr>
              <w:cnfStyle w:val="000000000000" w:firstRow="0" w:lastRow="0" w:firstColumn="0" w:lastColumn="0" w:oddVBand="0" w:evenVBand="0" w:oddHBand="0" w:evenHBand="0" w:firstRowFirstColumn="0" w:firstRowLastColumn="0" w:lastRowFirstColumn="0" w:lastRowLastColumn="0"/>
            </w:pPr>
            <w:r>
              <w:t>11</w:t>
            </w:r>
          </w:p>
        </w:tc>
        <w:tc>
          <w:tcPr>
            <w:tcW w:w="964" w:type="dxa"/>
          </w:tcPr>
          <w:p w14:paraId="305C0C62" w14:textId="77777777" w:rsidR="00C306A8" w:rsidRDefault="00C306A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653D3FB" w14:textId="77777777" w:rsidR="00C306A8" w:rsidRDefault="00C306A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68F82FDA"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r>
      <w:tr w:rsidR="00C306A8" w14:paraId="24417592"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BEFF8F" w14:textId="77777777" w:rsidR="00C306A8" w:rsidRDefault="00C306A8">
            <w:pPr>
              <w:ind w:left="170"/>
            </w:pPr>
            <w:r>
              <w:rPr>
                <w:i/>
              </w:rPr>
              <w:t>The 2025-26 expected outcome is higher than the 2025-26 target due to identification and delivery of additional works.</w:t>
            </w:r>
          </w:p>
          <w:p w14:paraId="525F11FA" w14:textId="77777777" w:rsidR="00C306A8" w:rsidRDefault="00C306A8">
            <w:pPr>
              <w:ind w:left="170"/>
            </w:pPr>
            <w:r>
              <w:rPr>
                <w:i/>
              </w:rPr>
              <w:t>The higher 2026-27 target reflects the number of projects scheduled for completion in 2026-27.</w:t>
            </w:r>
          </w:p>
        </w:tc>
      </w:tr>
      <w:tr w:rsidR="00C306A8" w:rsidRPr="008843EA" w14:paraId="2F684F60"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7E481C08" w14:textId="77777777" w:rsidR="00C306A8" w:rsidRPr="008843EA" w:rsidRDefault="00C306A8">
            <w:pPr>
              <w:keepNext/>
              <w:rPr>
                <w:b/>
              </w:rPr>
            </w:pPr>
            <w:r w:rsidRPr="008843EA">
              <w:rPr>
                <w:b/>
              </w:rPr>
              <w:t>Quality</w:t>
            </w:r>
          </w:p>
        </w:tc>
      </w:tr>
      <w:tr w:rsidR="00C306A8" w14:paraId="651564E0"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FB9E214" w14:textId="77777777" w:rsidR="00C306A8" w:rsidRDefault="00C306A8">
            <w:pPr>
              <w:ind w:left="170"/>
            </w:pPr>
            <w:r w:rsidRPr="002E737D">
              <w:t>Road</w:t>
            </w:r>
            <w:r>
              <w:t xml:space="preserve"> projects completed within agreed scope and standards: metropolitan</w:t>
            </w:r>
          </w:p>
        </w:tc>
        <w:tc>
          <w:tcPr>
            <w:tcW w:w="964" w:type="dxa"/>
            <w:tcBorders>
              <w:bottom w:val="single" w:sz="6" w:space="0" w:color="auto"/>
            </w:tcBorders>
          </w:tcPr>
          <w:p w14:paraId="2922E8B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B45967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7A9DD4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A9A86F1"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537B48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21C65DA8"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CBCA4F" w14:textId="77777777" w:rsidR="00C306A8" w:rsidRDefault="00C306A8">
            <w:pPr>
              <w:ind w:left="170"/>
            </w:pPr>
            <w:r w:rsidRPr="002E737D">
              <w:t>Road</w:t>
            </w:r>
            <w:r>
              <w:t xml:space="preserve"> projects completed within agreed scope and standards: regional</w:t>
            </w:r>
          </w:p>
        </w:tc>
        <w:tc>
          <w:tcPr>
            <w:tcW w:w="964" w:type="dxa"/>
            <w:tcBorders>
              <w:bottom w:val="single" w:sz="6" w:space="0" w:color="auto"/>
            </w:tcBorders>
          </w:tcPr>
          <w:p w14:paraId="251CDF8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FB781E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DFE593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1B04A5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3201B5C"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rsidRPr="008843EA" w14:paraId="7658FA8B"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5203C993" w14:textId="77777777" w:rsidR="00C306A8" w:rsidRPr="008843EA" w:rsidRDefault="00C306A8">
            <w:pPr>
              <w:keepNext/>
              <w:rPr>
                <w:b/>
              </w:rPr>
            </w:pPr>
            <w:r w:rsidRPr="008843EA">
              <w:rPr>
                <w:b/>
              </w:rPr>
              <w:t>Timeliness</w:t>
            </w:r>
          </w:p>
        </w:tc>
      </w:tr>
      <w:tr w:rsidR="00C306A8" w14:paraId="4946838F"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4E90A726" w14:textId="77777777" w:rsidR="00C306A8" w:rsidRDefault="00C306A8">
            <w:pPr>
              <w:keepNext/>
              <w:ind w:left="170"/>
            </w:pPr>
            <w:r w:rsidRPr="002E737D">
              <w:t>Average</w:t>
            </w:r>
            <w:r>
              <w:t xml:space="preserve"> incident response time within agreed timeframes: metropolitan</w:t>
            </w:r>
          </w:p>
        </w:tc>
        <w:tc>
          <w:tcPr>
            <w:tcW w:w="964" w:type="dxa"/>
          </w:tcPr>
          <w:p w14:paraId="1E69320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4AFF1A2"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2CD5A034"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A6FC841"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D622587" w14:textId="77777777" w:rsidR="00C306A8" w:rsidRDefault="00C306A8">
            <w:pPr>
              <w:cnfStyle w:val="000000000000" w:firstRow="0" w:lastRow="0" w:firstColumn="0" w:lastColumn="0" w:oddVBand="0" w:evenVBand="0" w:oddHBand="0" w:evenHBand="0" w:firstRowFirstColumn="0" w:firstRowLastColumn="0" w:lastRowFirstColumn="0" w:lastRowLastColumn="0"/>
            </w:pPr>
            <w:r>
              <w:t>90.2</w:t>
            </w:r>
          </w:p>
        </w:tc>
      </w:tr>
      <w:tr w:rsidR="00C306A8" w14:paraId="6222B2B5"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31E4C9" w14:textId="77777777" w:rsidR="00C306A8" w:rsidRDefault="00C306A8">
            <w:pPr>
              <w:ind w:left="170"/>
            </w:pPr>
            <w:r>
              <w:rPr>
                <w:i/>
              </w:rPr>
              <w:t>The 2025-26 expected outcome is higher than the 2025-26 target due to operational efficiencies realised through a patrol- and monitoring-based model.</w:t>
            </w:r>
          </w:p>
        </w:tc>
      </w:tr>
      <w:tr w:rsidR="00C306A8" w14:paraId="79A42149"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682EB2BA" w14:textId="77777777" w:rsidR="00C306A8" w:rsidRDefault="00C306A8">
            <w:pPr>
              <w:keepNext/>
              <w:ind w:left="170"/>
            </w:pPr>
            <w:r w:rsidRPr="002E737D">
              <w:t>Programmed</w:t>
            </w:r>
            <w:r>
              <w:t xml:space="preserve"> works completed within agreed timeframes: metropolitan</w:t>
            </w:r>
          </w:p>
        </w:tc>
        <w:tc>
          <w:tcPr>
            <w:tcW w:w="964" w:type="dxa"/>
          </w:tcPr>
          <w:p w14:paraId="628B75C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B31C522"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F647687" w14:textId="77777777" w:rsidR="00C306A8" w:rsidRDefault="00C306A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2C23F655"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AADD3D2" w14:textId="77777777" w:rsidR="00C306A8" w:rsidRDefault="00C306A8">
            <w:pPr>
              <w:cnfStyle w:val="000000000000" w:firstRow="0" w:lastRow="0" w:firstColumn="0" w:lastColumn="0" w:oddVBand="0" w:evenVBand="0" w:oddHBand="0" w:evenHBand="0" w:firstRowFirstColumn="0" w:firstRowLastColumn="0" w:lastRowFirstColumn="0" w:lastRowLastColumn="0"/>
            </w:pPr>
            <w:r>
              <w:t>92.3</w:t>
            </w:r>
          </w:p>
        </w:tc>
      </w:tr>
      <w:tr w:rsidR="00C306A8" w14:paraId="4E901A20"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89DF36B" w14:textId="77777777" w:rsidR="00C306A8" w:rsidRDefault="00C306A8">
            <w:pPr>
              <w:ind w:left="170"/>
            </w:pPr>
            <w:r>
              <w:rPr>
                <w:i/>
              </w:rPr>
              <w:t>The 2025-26 expected outcome is higher than the 2025-26 target due to the identification and delivery of additional works.</w:t>
            </w:r>
          </w:p>
        </w:tc>
      </w:tr>
      <w:tr w:rsidR="00C306A8" w14:paraId="4CE64354"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094717B1" w14:textId="77777777" w:rsidR="00C306A8" w:rsidRDefault="00C306A8">
            <w:pPr>
              <w:keepNext/>
              <w:ind w:left="170"/>
            </w:pPr>
            <w:r w:rsidRPr="002E737D">
              <w:t>Programmed</w:t>
            </w:r>
            <w:r>
              <w:t xml:space="preserve"> works completed within agreed timeframes: regional</w:t>
            </w:r>
          </w:p>
        </w:tc>
        <w:tc>
          <w:tcPr>
            <w:tcW w:w="964" w:type="dxa"/>
          </w:tcPr>
          <w:p w14:paraId="0764A18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A9511FB"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3DF9989" w14:textId="77777777" w:rsidR="00C306A8" w:rsidRDefault="00C306A8">
            <w:pPr>
              <w:cnfStyle w:val="000000000000" w:firstRow="0" w:lastRow="0" w:firstColumn="0" w:lastColumn="0" w:oddVBand="0" w:evenVBand="0" w:oddHBand="0" w:evenHBand="0" w:firstRowFirstColumn="0" w:firstRowLastColumn="0" w:lastRowFirstColumn="0" w:lastRowLastColumn="0"/>
            </w:pPr>
            <w:r>
              <w:t>104</w:t>
            </w:r>
          </w:p>
        </w:tc>
        <w:tc>
          <w:tcPr>
            <w:tcW w:w="964" w:type="dxa"/>
          </w:tcPr>
          <w:p w14:paraId="3411DDF5"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2C7CDAE5" w14:textId="77777777" w:rsidR="00C306A8" w:rsidRDefault="00C306A8">
            <w:pPr>
              <w:cnfStyle w:val="000000000000" w:firstRow="0" w:lastRow="0" w:firstColumn="0" w:lastColumn="0" w:oddVBand="0" w:evenVBand="0" w:oddHBand="0" w:evenHBand="0" w:firstRowFirstColumn="0" w:firstRowLastColumn="0" w:lastRowFirstColumn="0" w:lastRowLastColumn="0"/>
            </w:pPr>
            <w:r>
              <w:t>60.8</w:t>
            </w:r>
          </w:p>
        </w:tc>
      </w:tr>
      <w:tr w:rsidR="00C306A8" w14:paraId="1A029FA9"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B1D9F0" w14:textId="77777777" w:rsidR="00C306A8" w:rsidRDefault="00C306A8">
            <w:pPr>
              <w:ind w:left="170"/>
            </w:pPr>
            <w:r>
              <w:rPr>
                <w:i/>
              </w:rPr>
              <w:t>The 2025-26 expected outcome is higher than the 2025-26 target due to the identification and delivery of additional works.</w:t>
            </w:r>
          </w:p>
        </w:tc>
      </w:tr>
      <w:tr w:rsidR="00C306A8" w:rsidRPr="008843EA" w14:paraId="1B53EAAB"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71B3D734" w14:textId="77777777" w:rsidR="00C306A8" w:rsidRPr="008843EA" w:rsidRDefault="00C306A8">
            <w:pPr>
              <w:keepNext/>
              <w:rPr>
                <w:b/>
              </w:rPr>
            </w:pPr>
            <w:r w:rsidRPr="008843EA">
              <w:rPr>
                <w:b/>
              </w:rPr>
              <w:t>Cost</w:t>
            </w:r>
          </w:p>
        </w:tc>
      </w:tr>
      <w:tr w:rsidR="000A2471" w14:paraId="2C5E2C34"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7D5E5080" w14:textId="22403146" w:rsidR="000A2471" w:rsidRDefault="000A2471" w:rsidP="000A2471">
            <w:pPr>
              <w:keepNext/>
              <w:ind w:left="170"/>
            </w:pPr>
            <w:r w:rsidRPr="002E737D">
              <w:t>Sub</w:t>
            </w:r>
            <w:r>
              <w:t xml:space="preserve">-output cost </w:t>
            </w:r>
            <w:r w:rsidR="00AD4833">
              <w:t>–</w:t>
            </w:r>
            <w:r>
              <w:t xml:space="preserve"> Road Network Performance</w:t>
            </w:r>
          </w:p>
        </w:tc>
        <w:tc>
          <w:tcPr>
            <w:tcW w:w="964" w:type="dxa"/>
          </w:tcPr>
          <w:p w14:paraId="2643290D" w14:textId="34338E35" w:rsidR="000A2471" w:rsidRDefault="000A2471" w:rsidP="000A2471">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98A9696" w14:textId="023F535E" w:rsidR="000A2471" w:rsidRDefault="000A2471" w:rsidP="000A2471">
            <w:pPr>
              <w:cnfStyle w:val="000000000000" w:firstRow="0" w:lastRow="0" w:firstColumn="0" w:lastColumn="0" w:oddVBand="0" w:evenVBand="0" w:oddHBand="0" w:evenHBand="0" w:firstRowFirstColumn="0" w:firstRowLastColumn="0" w:lastRowFirstColumn="0" w:lastRowLastColumn="0"/>
            </w:pPr>
            <w:r>
              <w:t>2 138.0</w:t>
            </w:r>
          </w:p>
        </w:tc>
        <w:tc>
          <w:tcPr>
            <w:tcW w:w="964" w:type="dxa"/>
          </w:tcPr>
          <w:p w14:paraId="54BFE18A" w14:textId="5BE65C21" w:rsidR="000A2471" w:rsidRDefault="000A2471" w:rsidP="000A2471">
            <w:pPr>
              <w:cnfStyle w:val="000000000000" w:firstRow="0" w:lastRow="0" w:firstColumn="0" w:lastColumn="0" w:oddVBand="0" w:evenVBand="0" w:oddHBand="0" w:evenHBand="0" w:firstRowFirstColumn="0" w:firstRowLastColumn="0" w:lastRowFirstColumn="0" w:lastRowLastColumn="0"/>
            </w:pPr>
            <w:r>
              <w:t>2 068.7</w:t>
            </w:r>
          </w:p>
        </w:tc>
        <w:tc>
          <w:tcPr>
            <w:tcW w:w="964" w:type="dxa"/>
          </w:tcPr>
          <w:p w14:paraId="603C5E72" w14:textId="751C1454" w:rsidR="000A2471" w:rsidRDefault="000A2471" w:rsidP="000A2471">
            <w:pPr>
              <w:cnfStyle w:val="000000000000" w:firstRow="0" w:lastRow="0" w:firstColumn="0" w:lastColumn="0" w:oddVBand="0" w:evenVBand="0" w:oddHBand="0" w:evenHBand="0" w:firstRowFirstColumn="0" w:firstRowLastColumn="0" w:lastRowFirstColumn="0" w:lastRowLastColumn="0"/>
            </w:pPr>
            <w:r>
              <w:t>1 52</w:t>
            </w:r>
            <w:r w:rsidDel="009102C1">
              <w:t>6.</w:t>
            </w:r>
            <w:r>
              <w:t>8</w:t>
            </w:r>
          </w:p>
        </w:tc>
        <w:tc>
          <w:tcPr>
            <w:tcW w:w="964" w:type="dxa"/>
          </w:tcPr>
          <w:p w14:paraId="07002A29" w14:textId="574010C5" w:rsidR="000A2471" w:rsidRDefault="000A2471" w:rsidP="000A2471">
            <w:pPr>
              <w:cnfStyle w:val="000000000000" w:firstRow="0" w:lastRow="0" w:firstColumn="0" w:lastColumn="0" w:oddVBand="0" w:evenVBand="0" w:oddHBand="0" w:evenHBand="0" w:firstRowFirstColumn="0" w:firstRowLastColumn="0" w:lastRowFirstColumn="0" w:lastRowLastColumn="0"/>
            </w:pPr>
            <w:r>
              <w:t>1 530.1</w:t>
            </w:r>
          </w:p>
        </w:tc>
      </w:tr>
      <w:tr w:rsidR="00C306A8" w14:paraId="79DD87B6" w14:textId="77777777" w:rsidTr="008843E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09C173B" w14:textId="77777777" w:rsidR="008D0B92" w:rsidRPr="00E02375" w:rsidRDefault="008D0B92" w:rsidP="008D0B92">
            <w:pPr>
              <w:ind w:left="170"/>
              <w:rPr>
                <w:i/>
              </w:rPr>
            </w:pPr>
            <w:r>
              <w:rPr>
                <w:i/>
              </w:rPr>
              <w:t>The 2025</w:t>
            </w:r>
            <w:r w:rsidRPr="00E02375">
              <w:rPr>
                <w:i/>
              </w:rPr>
              <w:noBreakHyphen/>
            </w:r>
            <w:r>
              <w:rPr>
                <w:i/>
              </w:rPr>
              <w:t>26 expected outcome is higher than the 2025</w:t>
            </w:r>
            <w:r w:rsidRPr="00E02375">
              <w:rPr>
                <w:i/>
              </w:rPr>
              <w:noBreakHyphen/>
            </w:r>
            <w:r>
              <w:rPr>
                <w:i/>
              </w:rPr>
              <w:t xml:space="preserve">26 target, primarily reflecting increased depreciation from the </w:t>
            </w:r>
            <w:r w:rsidRPr="00E02375">
              <w:rPr>
                <w:i/>
              </w:rPr>
              <w:t>expansion and uplift in the value of the road network, including</w:t>
            </w:r>
            <w:r>
              <w:rPr>
                <w:i/>
              </w:rPr>
              <w:t xml:space="preserve"> the West Gate Tunnel being complete and operational</w:t>
            </w:r>
            <w:r w:rsidRPr="00E02375">
              <w:rPr>
                <w:i/>
              </w:rPr>
              <w:t xml:space="preserve"> and the revaluation of road infrastructure assets.</w:t>
            </w:r>
          </w:p>
          <w:p w14:paraId="3286D671" w14:textId="77777777" w:rsidR="00C306A8" w:rsidRDefault="00C306A8">
            <w:pPr>
              <w:ind w:left="170"/>
            </w:pPr>
            <w:r>
              <w:rPr>
                <w:i/>
              </w:rPr>
              <w:t>The higher 2026-27 target reflects the increased depreciation from the West Gate Tunnel being complete and operational and the revaluation of road infrastructure assets.</w:t>
            </w:r>
          </w:p>
        </w:tc>
      </w:tr>
      <w:tr w:rsidR="00C306A8" w14:paraId="4B195027" w14:textId="77777777" w:rsidTr="008843EA">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42AC4914" w14:textId="30251BE8" w:rsidR="00C306A8" w:rsidRDefault="008843EA" w:rsidP="008843EA">
            <w:pPr>
              <w:spacing w:before="60"/>
              <w:rPr>
                <w:b/>
                <w:bCs/>
                <w:iCs/>
              </w:rPr>
            </w:pPr>
            <w:r>
              <w:rPr>
                <w:b/>
                <w:bCs/>
                <w:iCs/>
              </w:rPr>
              <w:t>ROAD SAFETY</w:t>
            </w:r>
          </w:p>
          <w:p w14:paraId="667C56C2" w14:textId="77777777" w:rsidR="00C306A8" w:rsidRDefault="00C306A8">
            <w:pPr>
              <w:rPr>
                <w:i/>
              </w:rPr>
            </w:pPr>
            <w:r>
              <w:rPr>
                <w:iCs/>
              </w:rPr>
              <w:t>This sub-output reports on the safety of the road network in Victoria and initiatives to improve road safety.</w:t>
            </w:r>
          </w:p>
        </w:tc>
      </w:tr>
      <w:tr w:rsidR="00C306A8" w:rsidRPr="008843EA" w14:paraId="112A7642"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2524D5CA" w14:textId="77777777" w:rsidR="00C306A8" w:rsidRPr="008843EA" w:rsidRDefault="00C306A8">
            <w:pPr>
              <w:keepNext/>
              <w:rPr>
                <w:b/>
              </w:rPr>
            </w:pPr>
            <w:r w:rsidRPr="008843EA">
              <w:rPr>
                <w:b/>
              </w:rPr>
              <w:t>Quantity</w:t>
            </w:r>
          </w:p>
        </w:tc>
      </w:tr>
      <w:tr w:rsidR="00C306A8" w14:paraId="1E597250"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25078D95" w14:textId="77777777" w:rsidR="00C306A8" w:rsidRDefault="00C306A8">
            <w:pPr>
              <w:keepNext/>
              <w:ind w:left="170"/>
            </w:pPr>
            <w:r w:rsidRPr="002E737D">
              <w:t>High</w:t>
            </w:r>
            <w:r>
              <w:t xml:space="preserve"> risk driver reviews completed</w:t>
            </w:r>
          </w:p>
        </w:tc>
        <w:tc>
          <w:tcPr>
            <w:tcW w:w="964" w:type="dxa"/>
          </w:tcPr>
          <w:p w14:paraId="2DCF4B2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048399C0" w14:textId="77777777" w:rsidR="00C306A8" w:rsidRDefault="00C306A8">
            <w:pPr>
              <w:cnfStyle w:val="000000000000" w:firstRow="0" w:lastRow="0" w:firstColumn="0" w:lastColumn="0" w:oddVBand="0" w:evenVBand="0" w:oddHBand="0" w:evenHBand="0" w:firstRowFirstColumn="0" w:firstRowLastColumn="0" w:lastRowFirstColumn="0" w:lastRowLastColumn="0"/>
            </w:pPr>
            <w:r>
              <w:t>142</w:t>
            </w:r>
          </w:p>
        </w:tc>
        <w:tc>
          <w:tcPr>
            <w:tcW w:w="964" w:type="dxa"/>
          </w:tcPr>
          <w:p w14:paraId="47AE0828" w14:textId="77777777" w:rsidR="00C306A8" w:rsidRDefault="00C306A8">
            <w:pPr>
              <w:cnfStyle w:val="000000000000" w:firstRow="0" w:lastRow="0" w:firstColumn="0" w:lastColumn="0" w:oddVBand="0" w:evenVBand="0" w:oddHBand="0" w:evenHBand="0" w:firstRowFirstColumn="0" w:firstRowLastColumn="0" w:lastRowFirstColumn="0" w:lastRowLastColumn="0"/>
            </w:pPr>
            <w:r>
              <w:t>142</w:t>
            </w:r>
          </w:p>
        </w:tc>
        <w:tc>
          <w:tcPr>
            <w:tcW w:w="964" w:type="dxa"/>
          </w:tcPr>
          <w:p w14:paraId="7A7BC337" w14:textId="77777777" w:rsidR="00C306A8" w:rsidRDefault="00C306A8">
            <w:pPr>
              <w:cnfStyle w:val="000000000000" w:firstRow="0" w:lastRow="0" w:firstColumn="0" w:lastColumn="0" w:oddVBand="0" w:evenVBand="0" w:oddHBand="0" w:evenHBand="0" w:firstRowFirstColumn="0" w:firstRowLastColumn="0" w:lastRowFirstColumn="0" w:lastRowLastColumn="0"/>
            </w:pPr>
            <w:r>
              <w:t>131</w:t>
            </w:r>
          </w:p>
        </w:tc>
        <w:tc>
          <w:tcPr>
            <w:tcW w:w="964" w:type="dxa"/>
          </w:tcPr>
          <w:p w14:paraId="78FD0944" w14:textId="77777777" w:rsidR="00C306A8" w:rsidRDefault="00C306A8">
            <w:pPr>
              <w:cnfStyle w:val="000000000000" w:firstRow="0" w:lastRow="0" w:firstColumn="0" w:lastColumn="0" w:oddVBand="0" w:evenVBand="0" w:oddHBand="0" w:evenHBand="0" w:firstRowFirstColumn="0" w:firstRowLastColumn="0" w:lastRowFirstColumn="0" w:lastRowLastColumn="0"/>
            </w:pPr>
            <w:r>
              <w:t>117</w:t>
            </w:r>
          </w:p>
        </w:tc>
      </w:tr>
      <w:tr w:rsidR="00C306A8" w14:paraId="3039294A"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8831D3C" w14:textId="77777777" w:rsidR="00C306A8" w:rsidRDefault="00C306A8">
            <w:pPr>
              <w:ind w:left="170"/>
            </w:pPr>
            <w:r>
              <w:rPr>
                <w:i/>
              </w:rPr>
              <w:t>The 2025-26 expected outcome is higher than the 2025-26 target due to an increased volume of reviews and operational improvements.</w:t>
            </w:r>
          </w:p>
          <w:p w14:paraId="09056D27" w14:textId="77777777" w:rsidR="00C306A8" w:rsidRDefault="00C306A8">
            <w:pPr>
              <w:ind w:left="170"/>
            </w:pPr>
            <w:r>
              <w:rPr>
                <w:i/>
              </w:rPr>
              <w:t>The higher 2026-27 target reflects improved processing time as a result of system enhancements.</w:t>
            </w:r>
          </w:p>
        </w:tc>
      </w:tr>
      <w:tr w:rsidR="00C306A8" w14:paraId="5E3AFB2C"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1BF1D799" w14:textId="77777777" w:rsidR="00C306A8" w:rsidRDefault="00C306A8">
            <w:pPr>
              <w:keepNext/>
              <w:ind w:left="170"/>
            </w:pPr>
            <w:r w:rsidRPr="002E737D">
              <w:t>Road</w:t>
            </w:r>
            <w:r>
              <w:t xml:space="preserve"> safety initiatives completed</w:t>
            </w:r>
          </w:p>
        </w:tc>
        <w:tc>
          <w:tcPr>
            <w:tcW w:w="964" w:type="dxa"/>
          </w:tcPr>
          <w:p w14:paraId="27E8C8A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8664765" w14:textId="77777777" w:rsidR="00C306A8" w:rsidRDefault="00C306A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76CDC548" w14:textId="77777777" w:rsidR="00C306A8" w:rsidRDefault="00C306A8">
            <w:pPr>
              <w:cnfStyle w:val="000000000000" w:firstRow="0" w:lastRow="0" w:firstColumn="0" w:lastColumn="0" w:oddVBand="0" w:evenVBand="0" w:oddHBand="0" w:evenHBand="0" w:firstRowFirstColumn="0" w:firstRowLastColumn="0" w:lastRowFirstColumn="0" w:lastRowLastColumn="0"/>
            </w:pPr>
            <w:r>
              <w:t>52</w:t>
            </w:r>
          </w:p>
        </w:tc>
        <w:tc>
          <w:tcPr>
            <w:tcW w:w="964" w:type="dxa"/>
          </w:tcPr>
          <w:p w14:paraId="4F1641F5" w14:textId="77777777" w:rsidR="00C306A8" w:rsidRDefault="00C306A8">
            <w:pPr>
              <w:cnfStyle w:val="000000000000" w:firstRow="0" w:lastRow="0" w:firstColumn="0" w:lastColumn="0" w:oddVBand="0" w:evenVBand="0" w:oddHBand="0" w:evenHBand="0" w:firstRowFirstColumn="0" w:firstRowLastColumn="0" w:lastRowFirstColumn="0" w:lastRowLastColumn="0"/>
            </w:pPr>
            <w:r>
              <w:t>52</w:t>
            </w:r>
          </w:p>
        </w:tc>
        <w:tc>
          <w:tcPr>
            <w:tcW w:w="964" w:type="dxa"/>
          </w:tcPr>
          <w:p w14:paraId="23ED35F0" w14:textId="77777777" w:rsidR="00C306A8" w:rsidRDefault="00C306A8">
            <w:pPr>
              <w:cnfStyle w:val="000000000000" w:firstRow="0" w:lastRow="0" w:firstColumn="0" w:lastColumn="0" w:oddVBand="0" w:evenVBand="0" w:oddHBand="0" w:evenHBand="0" w:firstRowFirstColumn="0" w:firstRowLastColumn="0" w:lastRowFirstColumn="0" w:lastRowLastColumn="0"/>
            </w:pPr>
            <w:r>
              <w:t>54</w:t>
            </w:r>
          </w:p>
        </w:tc>
      </w:tr>
      <w:tr w:rsidR="00C306A8" w14:paraId="22D9B6B8"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7C2AFA9" w14:textId="77777777" w:rsidR="00C306A8" w:rsidRDefault="00C306A8">
            <w:pPr>
              <w:ind w:left="170"/>
            </w:pPr>
            <w:r>
              <w:rPr>
                <w:i/>
              </w:rPr>
              <w:t>The lower 2026-27 target reflects the number of projects scheduled for completion in 2026-27.</w:t>
            </w:r>
          </w:p>
        </w:tc>
      </w:tr>
      <w:tr w:rsidR="00C306A8" w14:paraId="6558AD17"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15437FE5" w14:textId="77777777" w:rsidR="00C306A8" w:rsidRDefault="00C306A8">
            <w:pPr>
              <w:keepNext/>
              <w:ind w:left="170"/>
            </w:pPr>
            <w:r w:rsidRPr="002E737D">
              <w:lastRenderedPageBreak/>
              <w:t>Road</w:t>
            </w:r>
            <w:r>
              <w:t xml:space="preserve"> vehicle safety certificates issued</w:t>
            </w:r>
          </w:p>
        </w:tc>
        <w:tc>
          <w:tcPr>
            <w:tcW w:w="964" w:type="dxa"/>
          </w:tcPr>
          <w:p w14:paraId="598E3FD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41351305" w14:textId="77777777" w:rsidR="00C306A8" w:rsidRDefault="00C306A8">
            <w:pPr>
              <w:cnfStyle w:val="000000000000" w:firstRow="0" w:lastRow="0" w:firstColumn="0" w:lastColumn="0" w:oddVBand="0" w:evenVBand="0" w:oddHBand="0" w:evenHBand="0" w:firstRowFirstColumn="0" w:firstRowLastColumn="0" w:lastRowFirstColumn="0" w:lastRowLastColumn="0"/>
            </w:pPr>
            <w:r>
              <w:t>860</w:t>
            </w:r>
          </w:p>
        </w:tc>
        <w:tc>
          <w:tcPr>
            <w:tcW w:w="964" w:type="dxa"/>
          </w:tcPr>
          <w:p w14:paraId="2C278BD2" w14:textId="77777777" w:rsidR="00C306A8" w:rsidRDefault="00C306A8">
            <w:pPr>
              <w:cnfStyle w:val="000000000000" w:firstRow="0" w:lastRow="0" w:firstColumn="0" w:lastColumn="0" w:oddVBand="0" w:evenVBand="0" w:oddHBand="0" w:evenHBand="0" w:firstRowFirstColumn="0" w:firstRowLastColumn="0" w:lastRowFirstColumn="0" w:lastRowLastColumn="0"/>
            </w:pPr>
            <w:r>
              <w:t>860</w:t>
            </w:r>
          </w:p>
        </w:tc>
        <w:tc>
          <w:tcPr>
            <w:tcW w:w="964" w:type="dxa"/>
          </w:tcPr>
          <w:p w14:paraId="042BCB70" w14:textId="77777777" w:rsidR="00C306A8" w:rsidRDefault="00C306A8">
            <w:pPr>
              <w:cnfStyle w:val="000000000000" w:firstRow="0" w:lastRow="0" w:firstColumn="0" w:lastColumn="0" w:oddVBand="0" w:evenVBand="0" w:oddHBand="0" w:evenHBand="0" w:firstRowFirstColumn="0" w:firstRowLastColumn="0" w:lastRowFirstColumn="0" w:lastRowLastColumn="0"/>
            </w:pPr>
            <w:r>
              <w:t>845</w:t>
            </w:r>
          </w:p>
        </w:tc>
        <w:tc>
          <w:tcPr>
            <w:tcW w:w="964" w:type="dxa"/>
          </w:tcPr>
          <w:p w14:paraId="1F283A7E" w14:textId="77777777" w:rsidR="00C306A8" w:rsidRDefault="00C306A8">
            <w:pPr>
              <w:cnfStyle w:val="000000000000" w:firstRow="0" w:lastRow="0" w:firstColumn="0" w:lastColumn="0" w:oddVBand="0" w:evenVBand="0" w:oddHBand="0" w:evenHBand="0" w:firstRowFirstColumn="0" w:firstRowLastColumn="0" w:lastRowFirstColumn="0" w:lastRowLastColumn="0"/>
            </w:pPr>
            <w:r>
              <w:t>854</w:t>
            </w:r>
          </w:p>
        </w:tc>
      </w:tr>
      <w:tr w:rsidR="00C306A8" w14:paraId="7E1E6198"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F549D6" w14:textId="77777777" w:rsidR="00C306A8" w:rsidRDefault="00C306A8">
            <w:pPr>
              <w:ind w:left="170"/>
            </w:pPr>
            <w:r>
              <w:rPr>
                <w:i/>
              </w:rPr>
              <w:t>The higher 2026-27 target reflects an increase in demand for vehicle safety certificates.</w:t>
            </w:r>
          </w:p>
        </w:tc>
      </w:tr>
      <w:tr w:rsidR="00C306A8" w14:paraId="31DBA931"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E92EFAA" w14:textId="77777777" w:rsidR="00C306A8" w:rsidRDefault="00C306A8">
            <w:pPr>
              <w:ind w:left="170"/>
            </w:pPr>
            <w:r w:rsidRPr="002E737D">
              <w:t>Vehicle</w:t>
            </w:r>
            <w:r>
              <w:t xml:space="preserve"> safety inspections</w:t>
            </w:r>
          </w:p>
        </w:tc>
        <w:tc>
          <w:tcPr>
            <w:tcW w:w="964" w:type="dxa"/>
            <w:tcBorders>
              <w:bottom w:val="single" w:sz="6" w:space="0" w:color="auto"/>
            </w:tcBorders>
          </w:tcPr>
          <w:p w14:paraId="160138E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7EFEDC6" w14:textId="77777777" w:rsidR="00C306A8" w:rsidRDefault="00C306A8">
            <w:pPr>
              <w:cnfStyle w:val="000000000000" w:firstRow="0" w:lastRow="0" w:firstColumn="0" w:lastColumn="0" w:oddVBand="0" w:evenVBand="0" w:oddHBand="0" w:evenHBand="0" w:firstRowFirstColumn="0" w:firstRowLastColumn="0" w:lastRowFirstColumn="0" w:lastRowLastColumn="0"/>
            </w:pPr>
            <w:r>
              <w:t>1 350</w:t>
            </w:r>
          </w:p>
        </w:tc>
        <w:tc>
          <w:tcPr>
            <w:tcW w:w="964" w:type="dxa"/>
            <w:tcBorders>
              <w:bottom w:val="single" w:sz="6" w:space="0" w:color="auto"/>
            </w:tcBorders>
          </w:tcPr>
          <w:p w14:paraId="5A819D32" w14:textId="77777777" w:rsidR="00C306A8" w:rsidRDefault="00C306A8">
            <w:pPr>
              <w:cnfStyle w:val="000000000000" w:firstRow="0" w:lastRow="0" w:firstColumn="0" w:lastColumn="0" w:oddVBand="0" w:evenVBand="0" w:oddHBand="0" w:evenHBand="0" w:firstRowFirstColumn="0" w:firstRowLastColumn="0" w:lastRowFirstColumn="0" w:lastRowLastColumn="0"/>
            </w:pPr>
            <w:r>
              <w:t>1 350</w:t>
            </w:r>
          </w:p>
        </w:tc>
        <w:tc>
          <w:tcPr>
            <w:tcW w:w="964" w:type="dxa"/>
            <w:tcBorders>
              <w:bottom w:val="single" w:sz="6" w:space="0" w:color="auto"/>
            </w:tcBorders>
          </w:tcPr>
          <w:p w14:paraId="39785FF4" w14:textId="77777777" w:rsidR="00C306A8" w:rsidRDefault="00C306A8">
            <w:pPr>
              <w:cnfStyle w:val="000000000000" w:firstRow="0" w:lastRow="0" w:firstColumn="0" w:lastColumn="0" w:oddVBand="0" w:evenVBand="0" w:oddHBand="0" w:evenHBand="0" w:firstRowFirstColumn="0" w:firstRowLastColumn="0" w:lastRowFirstColumn="0" w:lastRowLastColumn="0"/>
            </w:pPr>
            <w:r>
              <w:t>1 350</w:t>
            </w:r>
          </w:p>
        </w:tc>
        <w:tc>
          <w:tcPr>
            <w:tcW w:w="964" w:type="dxa"/>
            <w:tcBorders>
              <w:bottom w:val="single" w:sz="6" w:space="0" w:color="auto"/>
            </w:tcBorders>
          </w:tcPr>
          <w:p w14:paraId="5A05F6D8" w14:textId="77777777" w:rsidR="00C306A8" w:rsidRDefault="00C306A8">
            <w:pPr>
              <w:cnfStyle w:val="000000000000" w:firstRow="0" w:lastRow="0" w:firstColumn="0" w:lastColumn="0" w:oddVBand="0" w:evenVBand="0" w:oddHBand="0" w:evenHBand="0" w:firstRowFirstColumn="0" w:firstRowLastColumn="0" w:lastRowFirstColumn="0" w:lastRowLastColumn="0"/>
            </w:pPr>
            <w:r>
              <w:t>1 551</w:t>
            </w:r>
          </w:p>
        </w:tc>
      </w:tr>
      <w:tr w:rsidR="00C306A8" w:rsidRPr="008843EA" w14:paraId="56772059"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52F685C8" w14:textId="77777777" w:rsidR="00C306A8" w:rsidRPr="008843EA" w:rsidRDefault="00C306A8">
            <w:pPr>
              <w:keepNext/>
              <w:rPr>
                <w:b/>
              </w:rPr>
            </w:pPr>
            <w:r w:rsidRPr="008843EA">
              <w:rPr>
                <w:b/>
              </w:rPr>
              <w:t>Quality</w:t>
            </w:r>
          </w:p>
        </w:tc>
      </w:tr>
      <w:tr w:rsidR="00C306A8" w14:paraId="7B97E90D" w14:textId="77777777" w:rsidTr="000A247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320D63E" w14:textId="77777777" w:rsidR="00C306A8" w:rsidRDefault="00C306A8">
            <w:pPr>
              <w:ind w:left="170"/>
            </w:pPr>
            <w:r w:rsidRPr="002E737D">
              <w:t>Road</w:t>
            </w:r>
            <w:r>
              <w:t xml:space="preserve"> safety projects completed within agreed scope and standards</w:t>
            </w:r>
          </w:p>
        </w:tc>
        <w:tc>
          <w:tcPr>
            <w:tcW w:w="964" w:type="dxa"/>
            <w:tcBorders>
              <w:bottom w:val="single" w:sz="6" w:space="0" w:color="auto"/>
            </w:tcBorders>
          </w:tcPr>
          <w:p w14:paraId="0DC7CF2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563FC9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7DD0CE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6441B82"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DE02929"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rsidRPr="008843EA" w14:paraId="2E0385CC"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0DD48BCA" w14:textId="77777777" w:rsidR="00C306A8" w:rsidRPr="008843EA" w:rsidRDefault="00C306A8">
            <w:pPr>
              <w:keepNext/>
              <w:rPr>
                <w:b/>
              </w:rPr>
            </w:pPr>
            <w:r w:rsidRPr="008843EA">
              <w:rPr>
                <w:b/>
              </w:rPr>
              <w:t>Timeliness</w:t>
            </w:r>
          </w:p>
        </w:tc>
      </w:tr>
      <w:tr w:rsidR="00C306A8" w14:paraId="53E2D3FC"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5830AC8A" w14:textId="77777777" w:rsidR="00C306A8" w:rsidRDefault="00C306A8">
            <w:pPr>
              <w:keepNext/>
              <w:ind w:left="170"/>
            </w:pPr>
            <w:r w:rsidRPr="002E737D">
              <w:t>Road</w:t>
            </w:r>
            <w:r>
              <w:t xml:space="preserve"> safety programmed works completed within agreed timeframes</w:t>
            </w:r>
          </w:p>
        </w:tc>
        <w:tc>
          <w:tcPr>
            <w:tcW w:w="964" w:type="dxa"/>
          </w:tcPr>
          <w:p w14:paraId="5E58044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1A8B89C"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0BF27F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06C1859"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DEEF967" w14:textId="77777777" w:rsidR="00C306A8" w:rsidRDefault="00C306A8">
            <w:pPr>
              <w:cnfStyle w:val="000000000000" w:firstRow="0" w:lastRow="0" w:firstColumn="0" w:lastColumn="0" w:oddVBand="0" w:evenVBand="0" w:oddHBand="0" w:evenHBand="0" w:firstRowFirstColumn="0" w:firstRowLastColumn="0" w:lastRowFirstColumn="0" w:lastRowLastColumn="0"/>
            </w:pPr>
            <w:r>
              <w:t>108</w:t>
            </w:r>
          </w:p>
        </w:tc>
      </w:tr>
      <w:tr w:rsidR="00C306A8" w14:paraId="42577CDB"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EB5638" w14:textId="77777777" w:rsidR="00C306A8" w:rsidRDefault="00C306A8">
            <w:pPr>
              <w:ind w:left="170"/>
            </w:pPr>
            <w:r>
              <w:rPr>
                <w:i/>
              </w:rPr>
              <w:t>The 2025-26 expected outcome is higher than the 2025-26 target due to the identification and delivery of additional works.</w:t>
            </w:r>
          </w:p>
        </w:tc>
      </w:tr>
      <w:tr w:rsidR="00C306A8" w:rsidRPr="008843EA" w14:paraId="75BE79CA" w14:textId="77777777" w:rsidTr="000A2471">
        <w:tc>
          <w:tcPr>
            <w:cnfStyle w:val="001000000000" w:firstRow="0" w:lastRow="0" w:firstColumn="1" w:lastColumn="0" w:oddVBand="0" w:evenVBand="0" w:oddHBand="0" w:evenHBand="0" w:firstRowFirstColumn="0" w:firstRowLastColumn="0" w:lastRowFirstColumn="0" w:lastRowLastColumn="0"/>
            <w:tcW w:w="9639" w:type="dxa"/>
            <w:gridSpan w:val="6"/>
          </w:tcPr>
          <w:p w14:paraId="315DC795" w14:textId="77777777" w:rsidR="00C306A8" w:rsidRPr="008843EA" w:rsidRDefault="00C306A8">
            <w:pPr>
              <w:keepNext/>
              <w:rPr>
                <w:b/>
              </w:rPr>
            </w:pPr>
            <w:r w:rsidRPr="008843EA">
              <w:rPr>
                <w:b/>
              </w:rPr>
              <w:t>Cost</w:t>
            </w:r>
          </w:p>
        </w:tc>
      </w:tr>
      <w:tr w:rsidR="00C306A8" w14:paraId="7FFD128C" w14:textId="77777777" w:rsidTr="000A2471">
        <w:tc>
          <w:tcPr>
            <w:cnfStyle w:val="001000000000" w:firstRow="0" w:lastRow="0" w:firstColumn="1" w:lastColumn="0" w:oddVBand="0" w:evenVBand="0" w:oddHBand="0" w:evenHBand="0" w:firstRowFirstColumn="0" w:firstRowLastColumn="0" w:lastRowFirstColumn="0" w:lastRowLastColumn="0"/>
            <w:tcW w:w="4819" w:type="dxa"/>
          </w:tcPr>
          <w:p w14:paraId="27533258" w14:textId="4062C480" w:rsidR="00C306A8" w:rsidRDefault="00C306A8">
            <w:pPr>
              <w:keepNext/>
              <w:ind w:left="170"/>
            </w:pPr>
            <w:r w:rsidRPr="002E737D">
              <w:t>Sub</w:t>
            </w:r>
            <w:r>
              <w:t xml:space="preserve">-output cost </w:t>
            </w:r>
            <w:r w:rsidR="00AD4833">
              <w:t>–</w:t>
            </w:r>
            <w:r>
              <w:t xml:space="preserve"> Road Safety</w:t>
            </w:r>
          </w:p>
        </w:tc>
        <w:tc>
          <w:tcPr>
            <w:tcW w:w="964" w:type="dxa"/>
          </w:tcPr>
          <w:p w14:paraId="3DBF2C7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A19AA8B" w14:textId="77777777" w:rsidR="00C306A8" w:rsidRDefault="00C306A8">
            <w:pPr>
              <w:cnfStyle w:val="000000000000" w:firstRow="0" w:lastRow="0" w:firstColumn="0" w:lastColumn="0" w:oddVBand="0" w:evenVBand="0" w:oddHBand="0" w:evenHBand="0" w:firstRowFirstColumn="0" w:firstRowLastColumn="0" w:lastRowFirstColumn="0" w:lastRowLastColumn="0"/>
            </w:pPr>
            <w:r>
              <w:t>102.6</w:t>
            </w:r>
          </w:p>
        </w:tc>
        <w:tc>
          <w:tcPr>
            <w:tcW w:w="964" w:type="dxa"/>
          </w:tcPr>
          <w:p w14:paraId="75B0841D" w14:textId="771820FE" w:rsidR="00C306A8" w:rsidRDefault="00C306A8">
            <w:pPr>
              <w:cnfStyle w:val="000000000000" w:firstRow="0" w:lastRow="0" w:firstColumn="0" w:lastColumn="0" w:oddVBand="0" w:evenVBand="0" w:oddHBand="0" w:evenHBand="0" w:firstRowFirstColumn="0" w:firstRowLastColumn="0" w:lastRowFirstColumn="0" w:lastRowLastColumn="0"/>
            </w:pPr>
            <w:r>
              <w:t>90</w:t>
            </w:r>
            <w:r w:rsidR="00633F96">
              <w:t>.0</w:t>
            </w:r>
          </w:p>
        </w:tc>
        <w:tc>
          <w:tcPr>
            <w:tcW w:w="964" w:type="dxa"/>
          </w:tcPr>
          <w:p w14:paraId="0FC942C6" w14:textId="77777777" w:rsidR="00C306A8" w:rsidRDefault="00C306A8">
            <w:pPr>
              <w:cnfStyle w:val="000000000000" w:firstRow="0" w:lastRow="0" w:firstColumn="0" w:lastColumn="0" w:oddVBand="0" w:evenVBand="0" w:oddHBand="0" w:evenHBand="0" w:firstRowFirstColumn="0" w:firstRowLastColumn="0" w:lastRowFirstColumn="0" w:lastRowLastColumn="0"/>
            </w:pPr>
            <w:r>
              <w:t>147.7</w:t>
            </w:r>
          </w:p>
        </w:tc>
        <w:tc>
          <w:tcPr>
            <w:tcW w:w="964" w:type="dxa"/>
          </w:tcPr>
          <w:p w14:paraId="371371AF" w14:textId="77777777" w:rsidR="00C306A8" w:rsidRDefault="00C306A8">
            <w:pPr>
              <w:cnfStyle w:val="000000000000" w:firstRow="0" w:lastRow="0" w:firstColumn="0" w:lastColumn="0" w:oddVBand="0" w:evenVBand="0" w:oddHBand="0" w:evenHBand="0" w:firstRowFirstColumn="0" w:firstRowLastColumn="0" w:lastRowFirstColumn="0" w:lastRowLastColumn="0"/>
            </w:pPr>
            <w:r>
              <w:t>75.9</w:t>
            </w:r>
          </w:p>
        </w:tc>
      </w:tr>
      <w:tr w:rsidR="00C306A8" w14:paraId="64AC9807" w14:textId="77777777" w:rsidTr="009713D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21730FE" w14:textId="2B8EEBD1" w:rsidR="003737BE" w:rsidRDefault="003737BE" w:rsidP="003737BE">
            <w:pPr>
              <w:ind w:left="170"/>
            </w:pPr>
            <w:r>
              <w:rPr>
                <w:i/>
              </w:rPr>
              <w:t>The 2025-26 expected outcome is lower than the 2025-26 target due to the revised delivery schedule of the Black Spot program, a</w:t>
            </w:r>
            <w:r w:rsidR="003B3E7D">
              <w:rPr>
                <w:i/>
              </w:rPr>
              <w:t> </w:t>
            </w:r>
            <w:r>
              <w:rPr>
                <w:i/>
              </w:rPr>
              <w:t>Commonwealth grant program under which payments to councils are made upon the completion of milestones, and due to rephasing of funding to better align with the scheduled program of works for other road safety programs.</w:t>
            </w:r>
          </w:p>
          <w:p w14:paraId="44B4BC67" w14:textId="4797BDD8" w:rsidR="00C306A8" w:rsidRDefault="00ED2D5F">
            <w:pPr>
              <w:ind w:left="170"/>
            </w:pPr>
            <w:r>
              <w:rPr>
                <w:i/>
              </w:rPr>
              <w:t>The lower 2026</w:t>
            </w:r>
            <w:r w:rsidR="00383570">
              <w:rPr>
                <w:i/>
              </w:rPr>
              <w:t>-</w:t>
            </w:r>
            <w:r>
              <w:rPr>
                <w:i/>
              </w:rPr>
              <w:t>27 target reflects the revised delivery schedule of the Black Spot Program, a Commonwealth grant program under which funding is provided to councils upon the achievement of project milestones, and the financial completion of projects under Tranches 1, 2 and 3 of the Commonwealth Road Safety Program.</w:t>
            </w:r>
          </w:p>
        </w:tc>
      </w:tr>
    </w:tbl>
    <w:p w14:paraId="4C5131DD" w14:textId="77777777" w:rsidR="00C306A8" w:rsidRDefault="00C306A8" w:rsidP="00C306A8">
      <w:pPr>
        <w:pStyle w:val="Source"/>
      </w:pPr>
      <w:r>
        <w:t>Source: Department of Transport and Planning</w:t>
      </w:r>
    </w:p>
    <w:p w14:paraId="61F2C5A6" w14:textId="4956516E" w:rsidR="00C306A8" w:rsidRDefault="00C306A8" w:rsidP="00C306A8">
      <w:pPr>
        <w:pStyle w:val="Heading3"/>
      </w:pPr>
      <w:r>
        <w:t>Train Services</w:t>
      </w:r>
      <w:r>
        <w:tab/>
        <w:t>(2026-27: $3 306.8</w:t>
      </w:r>
      <w:r w:rsidR="00ED2D5F">
        <w:t xml:space="preserve"> </w:t>
      </w:r>
      <w:r>
        <w:t>million)</w:t>
      </w:r>
    </w:p>
    <w:p w14:paraId="39954D64" w14:textId="77777777" w:rsidR="00C306A8" w:rsidRPr="006E15FD" w:rsidRDefault="00C306A8" w:rsidP="00C306A8">
      <w:pPr>
        <w:keepNext/>
        <w:spacing w:after="120"/>
      </w:pPr>
      <w:r w:rsidRPr="001A464A">
        <w:t>This output delivers reliable and cost-effective train services and infrastructure investments across the Victorian rail network, including services delivered through contractual arrangements with private operators.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C306A8" w14:paraId="774EA689" w14:textId="77777777" w:rsidTr="00FC5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FC6D83C" w14:textId="77777777" w:rsidR="00C306A8" w:rsidRDefault="00C306A8">
            <w:r>
              <w:t>Performance measure</w:t>
            </w:r>
          </w:p>
        </w:tc>
        <w:tc>
          <w:tcPr>
            <w:tcW w:w="964" w:type="dxa"/>
          </w:tcPr>
          <w:p w14:paraId="7A6246A4"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73D016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A6BC81F"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3E94931"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7A9C746"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14:paraId="505C0A60"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57DB5E" w14:textId="6486FF90" w:rsidR="00C306A8" w:rsidRPr="003A318E" w:rsidRDefault="008843EA">
            <w:pPr>
              <w:rPr>
                <w:b/>
                <w:bCs/>
                <w:iCs/>
              </w:rPr>
            </w:pPr>
            <w:r w:rsidRPr="003A318E">
              <w:rPr>
                <w:b/>
                <w:bCs/>
                <w:iCs/>
              </w:rPr>
              <w:t xml:space="preserve">TRAIN SERVICES – METROPOLITAN </w:t>
            </w:r>
          </w:p>
          <w:p w14:paraId="088779E5" w14:textId="77777777" w:rsidR="00C306A8" w:rsidRPr="003A318E" w:rsidRDefault="00C306A8">
            <w:r w:rsidRPr="003A318E">
              <w:rPr>
                <w:iCs/>
              </w:rPr>
              <w:t>This sub-output reports on train services and maintenance works in metropolitan Melbourne</w:t>
            </w:r>
          </w:p>
        </w:tc>
      </w:tr>
      <w:tr w:rsidR="00C306A8" w:rsidRPr="009B635C" w14:paraId="024A10C2"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7606E9F3" w14:textId="1348DA2C" w:rsidR="00C306A8" w:rsidRPr="009B635C" w:rsidRDefault="00C306A8">
            <w:pPr>
              <w:keepNext/>
              <w:rPr>
                <w:b/>
              </w:rPr>
            </w:pPr>
            <w:r w:rsidRPr="009B635C">
              <w:rPr>
                <w:b/>
              </w:rPr>
              <w:t>Quantity</w:t>
            </w:r>
          </w:p>
        </w:tc>
      </w:tr>
      <w:tr w:rsidR="00C306A8" w14:paraId="4ADAE0B6"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6E719128" w14:textId="77777777" w:rsidR="00C306A8" w:rsidRDefault="00C306A8">
            <w:pPr>
              <w:keepNext/>
              <w:ind w:left="170"/>
            </w:pPr>
            <w:r>
              <w:t>Number of new metropolitan trains added to the network</w:t>
            </w:r>
          </w:p>
        </w:tc>
        <w:tc>
          <w:tcPr>
            <w:tcW w:w="964" w:type="dxa"/>
          </w:tcPr>
          <w:p w14:paraId="15DA8B9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C2A0B86" w14:textId="77777777" w:rsidR="00C306A8" w:rsidRDefault="00C306A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7409148E" w14:textId="77777777" w:rsidR="00C306A8" w:rsidRDefault="00C306A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1B66759D" w14:textId="77777777" w:rsidR="00C306A8" w:rsidRDefault="00C306A8">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44BABC69"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r>
      <w:tr w:rsidR="00C306A8" w14:paraId="68DDFF97"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9EB746B" w14:textId="77777777" w:rsidR="00C306A8" w:rsidRDefault="00C306A8">
            <w:pPr>
              <w:ind w:left="170"/>
            </w:pPr>
            <w:r>
              <w:rPr>
                <w:i/>
              </w:rPr>
              <w:t>The higher 2026-27 target reflects rolling stock delivery schedules and order sizes.</w:t>
            </w:r>
          </w:p>
        </w:tc>
      </w:tr>
      <w:tr w:rsidR="00C306A8" w14:paraId="1E67B8A5" w14:textId="77777777" w:rsidTr="00227328">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27A33214" w14:textId="77777777" w:rsidR="00C306A8" w:rsidRDefault="00C306A8">
            <w:pPr>
              <w:keepNext/>
              <w:ind w:left="170"/>
            </w:pPr>
            <w:r w:rsidRPr="0017060D">
              <w:t>Passengers carried: metropolitan train services</w:t>
            </w:r>
          </w:p>
        </w:tc>
        <w:tc>
          <w:tcPr>
            <w:tcW w:w="964" w:type="dxa"/>
            <w:tcBorders>
              <w:bottom w:val="nil"/>
            </w:tcBorders>
          </w:tcPr>
          <w:p w14:paraId="3AC4E42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r>
              <w:br/>
              <w:t>(million)</w:t>
            </w:r>
          </w:p>
        </w:tc>
        <w:tc>
          <w:tcPr>
            <w:tcW w:w="964" w:type="dxa"/>
            <w:tcBorders>
              <w:bottom w:val="nil"/>
            </w:tcBorders>
            <w:shd w:val="clear" w:color="auto" w:fill="F0F0F0"/>
          </w:tcPr>
          <w:p w14:paraId="2E71C9E5" w14:textId="77777777" w:rsidR="00C306A8" w:rsidRDefault="00C306A8">
            <w:pPr>
              <w:cnfStyle w:val="000000000000" w:firstRow="0" w:lastRow="0" w:firstColumn="0" w:lastColumn="0" w:oddVBand="0" w:evenVBand="0" w:oddHBand="0" w:evenHBand="0" w:firstRowFirstColumn="0" w:firstRowLastColumn="0" w:lastRowFirstColumn="0" w:lastRowLastColumn="0"/>
            </w:pPr>
            <w:r>
              <w:t>206.8</w:t>
            </w:r>
          </w:p>
        </w:tc>
        <w:tc>
          <w:tcPr>
            <w:tcW w:w="964" w:type="dxa"/>
            <w:tcBorders>
              <w:bottom w:val="nil"/>
            </w:tcBorders>
          </w:tcPr>
          <w:p w14:paraId="5E5B173A" w14:textId="77777777" w:rsidR="00C306A8" w:rsidRDefault="00C306A8">
            <w:pPr>
              <w:cnfStyle w:val="000000000000" w:firstRow="0" w:lastRow="0" w:firstColumn="0" w:lastColumn="0" w:oddVBand="0" w:evenVBand="0" w:oddHBand="0" w:evenHBand="0" w:firstRowFirstColumn="0" w:firstRowLastColumn="0" w:lastRowFirstColumn="0" w:lastRowLastColumn="0"/>
            </w:pPr>
            <w:r>
              <w:t>201.8</w:t>
            </w:r>
          </w:p>
        </w:tc>
        <w:tc>
          <w:tcPr>
            <w:tcW w:w="964" w:type="dxa"/>
            <w:tcBorders>
              <w:bottom w:val="nil"/>
            </w:tcBorders>
          </w:tcPr>
          <w:p w14:paraId="6796FF62" w14:textId="77777777" w:rsidR="00C306A8" w:rsidRDefault="00C306A8">
            <w:pPr>
              <w:cnfStyle w:val="000000000000" w:firstRow="0" w:lastRow="0" w:firstColumn="0" w:lastColumn="0" w:oddVBand="0" w:evenVBand="0" w:oddHBand="0" w:evenHBand="0" w:firstRowFirstColumn="0" w:firstRowLastColumn="0" w:lastRowFirstColumn="0" w:lastRowLastColumn="0"/>
            </w:pPr>
            <w:r>
              <w:t>192.9</w:t>
            </w:r>
          </w:p>
        </w:tc>
        <w:tc>
          <w:tcPr>
            <w:tcW w:w="964" w:type="dxa"/>
            <w:tcBorders>
              <w:bottom w:val="nil"/>
            </w:tcBorders>
          </w:tcPr>
          <w:p w14:paraId="26D04159" w14:textId="77777777" w:rsidR="00C306A8" w:rsidRDefault="00C306A8">
            <w:pPr>
              <w:cnfStyle w:val="000000000000" w:firstRow="0" w:lastRow="0" w:firstColumn="0" w:lastColumn="0" w:oddVBand="0" w:evenVBand="0" w:oddHBand="0" w:evenHBand="0" w:firstRowFirstColumn="0" w:firstRowLastColumn="0" w:lastRowFirstColumn="0" w:lastRowLastColumn="0"/>
            </w:pPr>
            <w:r>
              <w:t>187.4</w:t>
            </w:r>
          </w:p>
        </w:tc>
      </w:tr>
      <w:tr w:rsidR="00C306A8" w14:paraId="4044CA61" w14:textId="77777777" w:rsidTr="0042424F">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C234618" w14:textId="77777777" w:rsidR="00C306A8" w:rsidRDefault="00C306A8">
            <w:pPr>
              <w:ind w:left="170"/>
            </w:pPr>
            <w:r w:rsidRPr="062A25EA">
              <w:rPr>
                <w:i/>
                <w:iCs/>
              </w:rPr>
              <w:t>The higher 2026-27 target reflects forecasted travel patterns, and this target also incorporates changes in methodology for recording patronage across public transport modes.</w:t>
            </w:r>
          </w:p>
        </w:tc>
      </w:tr>
      <w:tr w:rsidR="00B664FF" w14:paraId="788CED71" w14:textId="77777777" w:rsidTr="0042424F">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35D67D77" w14:textId="1260B4FD" w:rsidR="00A95B5A" w:rsidRDefault="00A53E32">
            <w:pPr>
              <w:keepNext/>
              <w:ind w:left="170"/>
            </w:pPr>
            <w:r>
              <w:t>Payments made for</w:t>
            </w:r>
            <w:r w:rsidR="00A95B5A" w:rsidRPr="0017060D">
              <w:t>: metropolitan train services</w:t>
            </w:r>
          </w:p>
        </w:tc>
        <w:tc>
          <w:tcPr>
            <w:tcW w:w="964" w:type="dxa"/>
            <w:tcBorders>
              <w:top w:val="single" w:sz="6" w:space="0" w:color="auto"/>
              <w:bottom w:val="nil"/>
            </w:tcBorders>
          </w:tcPr>
          <w:p w14:paraId="00981946" w14:textId="54391864" w:rsidR="00A95B5A" w:rsidRDefault="00A53E32">
            <w:pPr>
              <w:jc w:val="center"/>
              <w:cnfStyle w:val="000000000000" w:firstRow="0" w:lastRow="0" w:firstColumn="0" w:lastColumn="0" w:oddVBand="0" w:evenVBand="0" w:oddHBand="0" w:evenHBand="0" w:firstRowFirstColumn="0" w:firstRowLastColumn="0" w:lastRowFirstColumn="0" w:lastRowLastColumn="0"/>
            </w:pPr>
            <w:r>
              <w:t xml:space="preserve">$ </w:t>
            </w:r>
            <w:r w:rsidR="00A95B5A">
              <w:t>number</w:t>
            </w:r>
          </w:p>
        </w:tc>
        <w:tc>
          <w:tcPr>
            <w:tcW w:w="964" w:type="dxa"/>
            <w:tcBorders>
              <w:top w:val="single" w:sz="6" w:space="0" w:color="auto"/>
              <w:bottom w:val="nil"/>
            </w:tcBorders>
            <w:shd w:val="clear" w:color="auto" w:fill="F0F0F0"/>
          </w:tcPr>
          <w:p w14:paraId="660E3A24" w14:textId="7B51350B" w:rsidR="00A95B5A" w:rsidRDefault="0081481F">
            <w:pPr>
              <w:cnfStyle w:val="000000000000" w:firstRow="0" w:lastRow="0" w:firstColumn="0" w:lastColumn="0" w:oddVBand="0" w:evenVBand="0" w:oddHBand="0" w:evenHBand="0" w:firstRowFirstColumn="0" w:firstRowLastColumn="0" w:lastRowFirstColumn="0" w:lastRowLastColumn="0"/>
            </w:pPr>
            <w:r>
              <w:t>1 328.9</w:t>
            </w:r>
          </w:p>
        </w:tc>
        <w:tc>
          <w:tcPr>
            <w:tcW w:w="964" w:type="dxa"/>
            <w:tcBorders>
              <w:top w:val="single" w:sz="6" w:space="0" w:color="auto"/>
              <w:bottom w:val="nil"/>
            </w:tcBorders>
          </w:tcPr>
          <w:p w14:paraId="4AD95B42" w14:textId="5CF76348" w:rsidR="00A95B5A" w:rsidRDefault="00D33176">
            <w:pPr>
              <w:cnfStyle w:val="000000000000" w:firstRow="0" w:lastRow="0" w:firstColumn="0" w:lastColumn="0" w:oddVBand="0" w:evenVBand="0" w:oddHBand="0" w:evenHBand="0" w:firstRowFirstColumn="0" w:firstRowLastColumn="0" w:lastRowFirstColumn="0" w:lastRowLastColumn="0"/>
            </w:pPr>
            <w:r>
              <w:t>1 417.2</w:t>
            </w:r>
          </w:p>
        </w:tc>
        <w:tc>
          <w:tcPr>
            <w:tcW w:w="964" w:type="dxa"/>
            <w:tcBorders>
              <w:top w:val="single" w:sz="6" w:space="0" w:color="auto"/>
              <w:bottom w:val="nil"/>
            </w:tcBorders>
          </w:tcPr>
          <w:p w14:paraId="0F8ED2AA" w14:textId="7750FD39" w:rsidR="00A95B5A" w:rsidRDefault="00D33176">
            <w:pPr>
              <w:cnfStyle w:val="000000000000" w:firstRow="0" w:lastRow="0" w:firstColumn="0" w:lastColumn="0" w:oddVBand="0" w:evenVBand="0" w:oddHBand="0" w:evenHBand="0" w:firstRowFirstColumn="0" w:firstRowLastColumn="0" w:lastRowFirstColumn="0" w:lastRowLastColumn="0"/>
            </w:pPr>
            <w:r>
              <w:t>1 305.0</w:t>
            </w:r>
          </w:p>
        </w:tc>
        <w:tc>
          <w:tcPr>
            <w:tcW w:w="964" w:type="dxa"/>
            <w:tcBorders>
              <w:top w:val="single" w:sz="6" w:space="0" w:color="auto"/>
              <w:bottom w:val="nil"/>
            </w:tcBorders>
          </w:tcPr>
          <w:p w14:paraId="75347582" w14:textId="64A42AD3" w:rsidR="00A95B5A" w:rsidRDefault="002F2D30">
            <w:pPr>
              <w:cnfStyle w:val="000000000000" w:firstRow="0" w:lastRow="0" w:firstColumn="0" w:lastColumn="0" w:oddVBand="0" w:evenVBand="0" w:oddHBand="0" w:evenHBand="0" w:firstRowFirstColumn="0" w:firstRowLastColumn="0" w:lastRowFirstColumn="0" w:lastRowLastColumn="0"/>
            </w:pPr>
            <w:r>
              <w:t>1 390.0</w:t>
            </w:r>
          </w:p>
        </w:tc>
      </w:tr>
      <w:tr w:rsidR="005E5BB6" w14:paraId="65CA07CE" w14:textId="77777777" w:rsidTr="0042424F">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67547BC3" w14:textId="77777777" w:rsidR="005E5BB6" w:rsidRPr="004A6BD0" w:rsidRDefault="0034207C" w:rsidP="00227328">
            <w:pPr>
              <w:ind w:left="170"/>
              <w:rPr>
                <w:i/>
                <w:iCs/>
              </w:rPr>
            </w:pPr>
            <w:r w:rsidRPr="004A6BD0">
              <w:rPr>
                <w:i/>
                <w:iCs/>
              </w:rPr>
              <w:t>The 2025-26 expected outcome is higher than the 2025-26 target due to revenue reset payments that occurred in 2025-26.</w:t>
            </w:r>
          </w:p>
          <w:p w14:paraId="7CABCC50" w14:textId="1E33B5B0" w:rsidR="005E5BB6" w:rsidRDefault="0034207C" w:rsidP="00227328">
            <w:pPr>
              <w:ind w:left="170"/>
            </w:pPr>
            <w:r w:rsidRPr="004A6BD0">
              <w:rPr>
                <w:i/>
                <w:iCs/>
              </w:rPr>
              <w:t>The higher 2026-27 target reflects adjustments arising from indexation movements</w:t>
            </w:r>
            <w:r w:rsidR="00290342" w:rsidRPr="006A3216">
              <w:rPr>
                <w:i/>
                <w:iCs/>
              </w:rPr>
              <w:t>.</w:t>
            </w:r>
          </w:p>
        </w:tc>
      </w:tr>
      <w:tr w:rsidR="00C306A8" w14:paraId="4542C8E6" w14:textId="77777777" w:rsidTr="0042424F">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A14C5E7" w14:textId="77777777" w:rsidR="00C306A8" w:rsidRDefault="00C306A8">
            <w:pPr>
              <w:ind w:left="170"/>
            </w:pPr>
            <w:r>
              <w:t>Scheduled services delivered: metropolitan train</w:t>
            </w:r>
          </w:p>
        </w:tc>
        <w:tc>
          <w:tcPr>
            <w:tcW w:w="964" w:type="dxa"/>
            <w:tcBorders>
              <w:top w:val="single" w:sz="6" w:space="0" w:color="auto"/>
              <w:bottom w:val="single" w:sz="6" w:space="0" w:color="auto"/>
            </w:tcBorders>
          </w:tcPr>
          <w:p w14:paraId="79F9008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60959A5F"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top w:val="single" w:sz="6" w:space="0" w:color="auto"/>
              <w:bottom w:val="single" w:sz="6" w:space="0" w:color="auto"/>
            </w:tcBorders>
          </w:tcPr>
          <w:p w14:paraId="66502738"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top w:val="single" w:sz="6" w:space="0" w:color="auto"/>
              <w:bottom w:val="single" w:sz="6" w:space="0" w:color="auto"/>
            </w:tcBorders>
          </w:tcPr>
          <w:p w14:paraId="2BFD8116"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top w:val="single" w:sz="6" w:space="0" w:color="auto"/>
              <w:bottom w:val="single" w:sz="6" w:space="0" w:color="auto"/>
            </w:tcBorders>
          </w:tcPr>
          <w:p w14:paraId="374DF87E" w14:textId="77777777" w:rsidR="00C306A8" w:rsidRDefault="00C306A8">
            <w:pPr>
              <w:cnfStyle w:val="000000000000" w:firstRow="0" w:lastRow="0" w:firstColumn="0" w:lastColumn="0" w:oddVBand="0" w:evenVBand="0" w:oddHBand="0" w:evenHBand="0" w:firstRowFirstColumn="0" w:firstRowLastColumn="0" w:lastRowFirstColumn="0" w:lastRowLastColumn="0"/>
            </w:pPr>
            <w:r>
              <w:t>98.8</w:t>
            </w:r>
          </w:p>
        </w:tc>
      </w:tr>
      <w:tr w:rsidR="00C306A8" w14:paraId="2D776448"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2E21F234" w14:textId="77777777" w:rsidR="00C306A8" w:rsidRDefault="00C306A8">
            <w:pPr>
              <w:keepNext/>
              <w:ind w:left="170"/>
            </w:pPr>
            <w:r>
              <w:t>Total kilometres scheduled: metropolitan train</w:t>
            </w:r>
          </w:p>
        </w:tc>
        <w:tc>
          <w:tcPr>
            <w:tcW w:w="964" w:type="dxa"/>
          </w:tcPr>
          <w:p w14:paraId="675575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shd w:val="clear" w:color="auto" w:fill="F0F0F0"/>
          </w:tcPr>
          <w:p w14:paraId="549438AC" w14:textId="77777777" w:rsidR="00C306A8" w:rsidRDefault="00C306A8">
            <w:pPr>
              <w:cnfStyle w:val="000000000000" w:firstRow="0" w:lastRow="0" w:firstColumn="0" w:lastColumn="0" w:oddVBand="0" w:evenVBand="0" w:oddHBand="0" w:evenHBand="0" w:firstRowFirstColumn="0" w:firstRowLastColumn="0" w:lastRowFirstColumn="0" w:lastRowLastColumn="0"/>
            </w:pPr>
            <w:r>
              <w:t>27.4</w:t>
            </w:r>
          </w:p>
        </w:tc>
        <w:tc>
          <w:tcPr>
            <w:tcW w:w="964" w:type="dxa"/>
          </w:tcPr>
          <w:p w14:paraId="554EEF1B" w14:textId="77777777" w:rsidR="00C306A8" w:rsidRDefault="00C306A8">
            <w:pPr>
              <w:cnfStyle w:val="000000000000" w:firstRow="0" w:lastRow="0" w:firstColumn="0" w:lastColumn="0" w:oddVBand="0" w:evenVBand="0" w:oddHBand="0" w:evenHBand="0" w:firstRowFirstColumn="0" w:firstRowLastColumn="0" w:lastRowFirstColumn="0" w:lastRowLastColumn="0"/>
            </w:pPr>
            <w:r>
              <w:t>25.9</w:t>
            </w:r>
          </w:p>
        </w:tc>
        <w:tc>
          <w:tcPr>
            <w:tcW w:w="964" w:type="dxa"/>
          </w:tcPr>
          <w:p w14:paraId="5037C9BB" w14:textId="77777777" w:rsidR="00C306A8" w:rsidRDefault="00C306A8">
            <w:pPr>
              <w:cnfStyle w:val="000000000000" w:firstRow="0" w:lastRow="0" w:firstColumn="0" w:lastColumn="0" w:oddVBand="0" w:evenVBand="0" w:oddHBand="0" w:evenHBand="0" w:firstRowFirstColumn="0" w:firstRowLastColumn="0" w:lastRowFirstColumn="0" w:lastRowLastColumn="0"/>
            </w:pPr>
            <w:r>
              <w:t>25.9</w:t>
            </w:r>
          </w:p>
        </w:tc>
        <w:tc>
          <w:tcPr>
            <w:tcW w:w="964" w:type="dxa"/>
          </w:tcPr>
          <w:p w14:paraId="0742EC7E" w14:textId="77777777" w:rsidR="00C306A8" w:rsidRDefault="00C306A8">
            <w:pPr>
              <w:cnfStyle w:val="000000000000" w:firstRow="0" w:lastRow="0" w:firstColumn="0" w:lastColumn="0" w:oddVBand="0" w:evenVBand="0" w:oddHBand="0" w:evenHBand="0" w:firstRowFirstColumn="0" w:firstRowLastColumn="0" w:lastRowFirstColumn="0" w:lastRowLastColumn="0"/>
            </w:pPr>
            <w:r>
              <w:t>25.2</w:t>
            </w:r>
          </w:p>
        </w:tc>
      </w:tr>
      <w:tr w:rsidR="00C306A8" w14:paraId="681CA85A"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84EF512" w14:textId="77777777" w:rsidR="00C306A8" w:rsidRDefault="00C306A8">
            <w:pPr>
              <w:ind w:left="170"/>
            </w:pPr>
            <w:r>
              <w:rPr>
                <w:i/>
              </w:rPr>
              <w:t>The higher 2026-27 target reflects scheduled service changes.</w:t>
            </w:r>
          </w:p>
        </w:tc>
      </w:tr>
      <w:tr w:rsidR="00C306A8" w:rsidRPr="009B635C" w14:paraId="1C0413AD"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2E73655B" w14:textId="77777777" w:rsidR="00C306A8" w:rsidRPr="009B635C" w:rsidRDefault="00C306A8">
            <w:pPr>
              <w:keepNext/>
              <w:rPr>
                <w:b/>
              </w:rPr>
            </w:pPr>
            <w:r w:rsidRPr="009B635C">
              <w:rPr>
                <w:b/>
              </w:rPr>
              <w:t>Quality</w:t>
            </w:r>
          </w:p>
        </w:tc>
      </w:tr>
      <w:tr w:rsidR="00C306A8" w14:paraId="1A038044"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738F7D" w14:textId="77777777" w:rsidR="00C306A8" w:rsidRDefault="00C306A8">
            <w:pPr>
              <w:ind w:left="170"/>
            </w:pPr>
            <w:r>
              <w:t>Availability of rolling stock: metropolitan trains</w:t>
            </w:r>
          </w:p>
        </w:tc>
        <w:tc>
          <w:tcPr>
            <w:tcW w:w="964" w:type="dxa"/>
            <w:tcBorders>
              <w:bottom w:val="single" w:sz="6" w:space="0" w:color="auto"/>
            </w:tcBorders>
          </w:tcPr>
          <w:p w14:paraId="63549EB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05A2A20" w14:textId="77777777" w:rsidR="00C306A8" w:rsidRDefault="00C306A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5E0EDE52" w14:textId="77777777" w:rsidR="00C306A8" w:rsidRDefault="00C306A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7B73E1AD" w14:textId="77777777" w:rsidR="00C306A8" w:rsidRDefault="00C306A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27A5ADA6" w14:textId="77777777" w:rsidR="00C306A8" w:rsidRDefault="00C306A8">
            <w:pPr>
              <w:cnfStyle w:val="000000000000" w:firstRow="0" w:lastRow="0" w:firstColumn="0" w:lastColumn="0" w:oddVBand="0" w:evenVBand="0" w:oddHBand="0" w:evenHBand="0" w:firstRowFirstColumn="0" w:firstRowLastColumn="0" w:lastRowFirstColumn="0" w:lastRowLastColumn="0"/>
            </w:pPr>
            <w:r>
              <w:t>94.2</w:t>
            </w:r>
          </w:p>
        </w:tc>
      </w:tr>
      <w:tr w:rsidR="00C306A8" w14:paraId="32B571D2"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35C64B5" w14:textId="77777777" w:rsidR="00C306A8" w:rsidRDefault="00C306A8">
            <w:pPr>
              <w:ind w:left="170"/>
            </w:pPr>
            <w:r>
              <w:t>Customer experience index: metropolitan train services</w:t>
            </w:r>
          </w:p>
        </w:tc>
        <w:tc>
          <w:tcPr>
            <w:tcW w:w="964" w:type="dxa"/>
            <w:tcBorders>
              <w:bottom w:val="single" w:sz="6" w:space="0" w:color="auto"/>
            </w:tcBorders>
          </w:tcPr>
          <w:p w14:paraId="5A90297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bottom w:val="single" w:sz="6" w:space="0" w:color="auto"/>
            </w:tcBorders>
            <w:shd w:val="clear" w:color="auto" w:fill="F0F0F0"/>
          </w:tcPr>
          <w:p w14:paraId="67941039"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bottom w:val="single" w:sz="6" w:space="0" w:color="auto"/>
            </w:tcBorders>
          </w:tcPr>
          <w:p w14:paraId="363F51EB"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6367DD6" w14:textId="77777777" w:rsidR="00C306A8" w:rsidRDefault="00C306A8">
            <w:pPr>
              <w:cnfStyle w:val="000000000000" w:firstRow="0" w:lastRow="0" w:firstColumn="0" w:lastColumn="0" w:oddVBand="0" w:evenVBand="0" w:oddHBand="0" w:evenHBand="0" w:firstRowFirstColumn="0" w:firstRowLastColumn="0" w:lastRowFirstColumn="0" w:lastRowLastColumn="0"/>
            </w:pPr>
            <w:r>
              <w:t>77.5</w:t>
            </w:r>
          </w:p>
        </w:tc>
        <w:tc>
          <w:tcPr>
            <w:tcW w:w="964" w:type="dxa"/>
            <w:tcBorders>
              <w:bottom w:val="single" w:sz="6" w:space="0" w:color="auto"/>
            </w:tcBorders>
          </w:tcPr>
          <w:p w14:paraId="63864FEF" w14:textId="77777777" w:rsidR="00C306A8" w:rsidRDefault="00C306A8">
            <w:pPr>
              <w:cnfStyle w:val="000000000000" w:firstRow="0" w:lastRow="0" w:firstColumn="0" w:lastColumn="0" w:oddVBand="0" w:evenVBand="0" w:oddHBand="0" w:evenHBand="0" w:firstRowFirstColumn="0" w:firstRowLastColumn="0" w:lastRowFirstColumn="0" w:lastRowLastColumn="0"/>
            </w:pPr>
            <w:r>
              <w:t>78.7</w:t>
            </w:r>
          </w:p>
        </w:tc>
      </w:tr>
      <w:tr w:rsidR="00C306A8" w14:paraId="76759546"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5DC51A3" w14:textId="77777777" w:rsidR="00C306A8" w:rsidRDefault="00C306A8">
            <w:pPr>
              <w:ind w:left="170"/>
            </w:pPr>
            <w:r>
              <w:t>Metropolitan fare compliance rate: train services</w:t>
            </w:r>
          </w:p>
        </w:tc>
        <w:tc>
          <w:tcPr>
            <w:tcW w:w="964" w:type="dxa"/>
            <w:tcBorders>
              <w:bottom w:val="single" w:sz="6" w:space="0" w:color="auto"/>
            </w:tcBorders>
          </w:tcPr>
          <w:p w14:paraId="2034DDF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33269E"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705D3A7C" w14:textId="77777777" w:rsidR="00C306A8" w:rsidRDefault="00C306A8">
            <w:pPr>
              <w:cnfStyle w:val="000000000000" w:firstRow="0" w:lastRow="0" w:firstColumn="0" w:lastColumn="0" w:oddVBand="0" w:evenVBand="0" w:oddHBand="0" w:evenHBand="0" w:firstRowFirstColumn="0" w:firstRowLastColumn="0" w:lastRowFirstColumn="0" w:lastRowLastColumn="0"/>
            </w:pPr>
            <w:r>
              <w:t>96.3</w:t>
            </w:r>
          </w:p>
        </w:tc>
        <w:tc>
          <w:tcPr>
            <w:tcW w:w="964" w:type="dxa"/>
            <w:tcBorders>
              <w:bottom w:val="single" w:sz="6" w:space="0" w:color="auto"/>
            </w:tcBorders>
          </w:tcPr>
          <w:p w14:paraId="4399A500"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785BD7E0" w14:textId="77777777" w:rsidR="00C306A8" w:rsidRDefault="00C306A8">
            <w:pPr>
              <w:cnfStyle w:val="000000000000" w:firstRow="0" w:lastRow="0" w:firstColumn="0" w:lastColumn="0" w:oddVBand="0" w:evenVBand="0" w:oddHBand="0" w:evenHBand="0" w:firstRowFirstColumn="0" w:firstRowLastColumn="0" w:lastRowFirstColumn="0" w:lastRowLastColumn="0"/>
            </w:pPr>
            <w:r>
              <w:t>96.6</w:t>
            </w:r>
          </w:p>
        </w:tc>
      </w:tr>
      <w:tr w:rsidR="00C306A8" w:rsidRPr="009B635C" w14:paraId="6783AD27"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17EC83A9" w14:textId="77777777" w:rsidR="00C306A8" w:rsidRPr="009B635C" w:rsidRDefault="00C306A8">
            <w:pPr>
              <w:keepNext/>
              <w:rPr>
                <w:b/>
              </w:rPr>
            </w:pPr>
            <w:r w:rsidRPr="009B635C">
              <w:rPr>
                <w:b/>
              </w:rPr>
              <w:t>Timeliness</w:t>
            </w:r>
          </w:p>
        </w:tc>
      </w:tr>
      <w:tr w:rsidR="00C306A8" w14:paraId="6C777DD3"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196AB4D" w14:textId="77777777" w:rsidR="00C306A8" w:rsidRDefault="00C306A8">
            <w:pPr>
              <w:ind w:left="170"/>
            </w:pPr>
            <w:r>
              <w:t>Major periodic maintenance works completed against plan: metropolitan train network</w:t>
            </w:r>
          </w:p>
        </w:tc>
        <w:tc>
          <w:tcPr>
            <w:tcW w:w="964" w:type="dxa"/>
            <w:tcBorders>
              <w:bottom w:val="single" w:sz="6" w:space="0" w:color="auto"/>
            </w:tcBorders>
          </w:tcPr>
          <w:p w14:paraId="4C3685A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2B27251"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2D88A0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834315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556C2B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677282E8"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F230814" w14:textId="77777777" w:rsidR="00C306A8" w:rsidRDefault="00C306A8">
            <w:pPr>
              <w:ind w:left="170"/>
            </w:pPr>
            <w:r>
              <w:t>Service punctuality for: metropolitan train services</w:t>
            </w:r>
          </w:p>
        </w:tc>
        <w:tc>
          <w:tcPr>
            <w:tcW w:w="964" w:type="dxa"/>
            <w:tcBorders>
              <w:bottom w:val="single" w:sz="6" w:space="0" w:color="auto"/>
            </w:tcBorders>
          </w:tcPr>
          <w:p w14:paraId="3DF9CDF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360643D"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13F23F45"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4F71FC01"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62DD8635" w14:textId="77777777" w:rsidR="00C306A8" w:rsidRDefault="00C306A8">
            <w:pPr>
              <w:cnfStyle w:val="000000000000" w:firstRow="0" w:lastRow="0" w:firstColumn="0" w:lastColumn="0" w:oddVBand="0" w:evenVBand="0" w:oddHBand="0" w:evenHBand="0" w:firstRowFirstColumn="0" w:firstRowLastColumn="0" w:lastRowFirstColumn="0" w:lastRowLastColumn="0"/>
            </w:pPr>
            <w:r>
              <w:t>93.5</w:t>
            </w:r>
          </w:p>
        </w:tc>
      </w:tr>
      <w:tr w:rsidR="00C306A8" w:rsidRPr="009B635C" w14:paraId="510C8865"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2F14EE73" w14:textId="77777777" w:rsidR="00C306A8" w:rsidRPr="009B635C" w:rsidRDefault="00C306A8">
            <w:pPr>
              <w:keepNext/>
              <w:rPr>
                <w:b/>
              </w:rPr>
            </w:pPr>
            <w:r w:rsidRPr="009B635C">
              <w:rPr>
                <w:b/>
              </w:rPr>
              <w:t>Cost</w:t>
            </w:r>
          </w:p>
        </w:tc>
      </w:tr>
      <w:tr w:rsidR="00FC5BE5" w14:paraId="63B7A7F3"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68D963A1" w14:textId="67EB0CC8" w:rsidR="00FC5BE5" w:rsidRDefault="00FC5BE5" w:rsidP="00FC5BE5">
            <w:pPr>
              <w:keepNext/>
              <w:ind w:left="170"/>
            </w:pPr>
            <w:r>
              <w:t xml:space="preserve">Sub-output cost </w:t>
            </w:r>
            <w:r w:rsidR="00AD4833">
              <w:t>–</w:t>
            </w:r>
            <w:r>
              <w:t xml:space="preserve"> metropolitan</w:t>
            </w:r>
          </w:p>
        </w:tc>
        <w:tc>
          <w:tcPr>
            <w:tcW w:w="964" w:type="dxa"/>
          </w:tcPr>
          <w:p w14:paraId="76D008A1" w14:textId="77777777" w:rsidR="00FC5BE5" w:rsidRDefault="00FC5BE5" w:rsidP="00FC5BE5">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5E7ECF8" w14:textId="7E887DD3" w:rsidR="00FC5BE5" w:rsidRDefault="00FC5BE5" w:rsidP="00FC5BE5">
            <w:pPr>
              <w:cnfStyle w:val="000000000000" w:firstRow="0" w:lastRow="0" w:firstColumn="0" w:lastColumn="0" w:oddVBand="0" w:evenVBand="0" w:oddHBand="0" w:evenHBand="0" w:firstRowFirstColumn="0" w:firstRowLastColumn="0" w:lastRowFirstColumn="0" w:lastRowLastColumn="0"/>
            </w:pPr>
            <w:r>
              <w:t>2 023.0</w:t>
            </w:r>
          </w:p>
        </w:tc>
        <w:tc>
          <w:tcPr>
            <w:tcW w:w="964" w:type="dxa"/>
          </w:tcPr>
          <w:p w14:paraId="4D7AAFE6" w14:textId="24F9721E" w:rsidR="00FC5BE5" w:rsidRDefault="00FC5BE5" w:rsidP="00FC5BE5">
            <w:pPr>
              <w:cnfStyle w:val="000000000000" w:firstRow="0" w:lastRow="0" w:firstColumn="0" w:lastColumn="0" w:oddVBand="0" w:evenVBand="0" w:oddHBand="0" w:evenHBand="0" w:firstRowFirstColumn="0" w:firstRowLastColumn="0" w:lastRowFirstColumn="0" w:lastRowLastColumn="0"/>
            </w:pPr>
            <w:r>
              <w:t xml:space="preserve">1 </w:t>
            </w:r>
            <w:r w:rsidR="00E84048">
              <w:t>821</w:t>
            </w:r>
            <w:r>
              <w:t>.0</w:t>
            </w:r>
          </w:p>
        </w:tc>
        <w:tc>
          <w:tcPr>
            <w:tcW w:w="964" w:type="dxa"/>
          </w:tcPr>
          <w:p w14:paraId="76BAE12B" w14:textId="77777777" w:rsidR="00FC5BE5" w:rsidRDefault="00FC5BE5" w:rsidP="00FC5BE5">
            <w:pPr>
              <w:cnfStyle w:val="000000000000" w:firstRow="0" w:lastRow="0" w:firstColumn="0" w:lastColumn="0" w:oddVBand="0" w:evenVBand="0" w:oddHBand="0" w:evenHBand="0" w:firstRowFirstColumn="0" w:firstRowLastColumn="0" w:lastRowFirstColumn="0" w:lastRowLastColumn="0"/>
            </w:pPr>
            <w:r>
              <w:t>1 720.3</w:t>
            </w:r>
          </w:p>
        </w:tc>
        <w:tc>
          <w:tcPr>
            <w:tcW w:w="964" w:type="dxa"/>
          </w:tcPr>
          <w:p w14:paraId="7A5D2DEC" w14:textId="77777777" w:rsidR="00FC5BE5" w:rsidRDefault="00FC5BE5" w:rsidP="00FC5BE5">
            <w:pPr>
              <w:cnfStyle w:val="000000000000" w:firstRow="0" w:lastRow="0" w:firstColumn="0" w:lastColumn="0" w:oddVBand="0" w:evenVBand="0" w:oddHBand="0" w:evenHBand="0" w:firstRowFirstColumn="0" w:firstRowLastColumn="0" w:lastRowFirstColumn="0" w:lastRowLastColumn="0"/>
            </w:pPr>
            <w:r>
              <w:t>1 533.1</w:t>
            </w:r>
          </w:p>
        </w:tc>
      </w:tr>
      <w:tr w:rsidR="00C306A8" w14:paraId="32270FA0"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0550452" w14:textId="77777777" w:rsidR="00EE5248" w:rsidRPr="002C3A32" w:rsidRDefault="00EE5248" w:rsidP="00EE5248">
            <w:pPr>
              <w:ind w:left="170"/>
              <w:rPr>
                <w:i/>
              </w:rPr>
            </w:pPr>
            <w:r w:rsidRPr="002C3A32">
              <w:rPr>
                <w:i/>
                <w:iCs/>
              </w:rPr>
              <w:t>The 2025-26 expected outcome is higher than the 2025-26 target due to the completion of the Metro Tunnel which is now operational, and additional funding for discounted public transport fares.</w:t>
            </w:r>
          </w:p>
          <w:p w14:paraId="4932850D" w14:textId="18225A14" w:rsidR="00C306A8" w:rsidRDefault="000A2B97">
            <w:pPr>
              <w:ind w:left="170"/>
            </w:pPr>
            <w:r w:rsidRPr="002C3A32">
              <w:rPr>
                <w:i/>
                <w:iCs/>
              </w:rPr>
              <w:t>The higher 2026-27 target primarily reflects the additional operational expenditure associated with the completion of the Metro Tunnel, and additional funding for discounted public transport fares.</w:t>
            </w:r>
          </w:p>
        </w:tc>
      </w:tr>
      <w:tr w:rsidR="00C306A8" w14:paraId="184709B3"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8F470B" w14:textId="6465FFE3" w:rsidR="00C306A8" w:rsidRPr="00EC656D" w:rsidRDefault="009B635C" w:rsidP="009B635C">
            <w:pPr>
              <w:keepNext/>
              <w:rPr>
                <w:b/>
                <w:bCs/>
              </w:rPr>
            </w:pPr>
            <w:r w:rsidRPr="00EC656D">
              <w:rPr>
                <w:b/>
                <w:bCs/>
              </w:rPr>
              <w:lastRenderedPageBreak/>
              <w:t xml:space="preserve">TRAIN SERVICES – REGIONAL </w:t>
            </w:r>
          </w:p>
          <w:p w14:paraId="56A52346" w14:textId="77777777" w:rsidR="00C306A8" w:rsidRDefault="00C306A8">
            <w:r w:rsidRPr="00EC656D">
              <w:t>This sub-output reports on train services and maintenance works in regional Victoria.</w:t>
            </w:r>
          </w:p>
        </w:tc>
      </w:tr>
      <w:tr w:rsidR="00C306A8" w:rsidRPr="009B635C" w14:paraId="12DB76B9"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784BE6A0" w14:textId="77777777" w:rsidR="00C306A8" w:rsidRPr="009B635C" w:rsidRDefault="00C306A8">
            <w:pPr>
              <w:keepNext/>
              <w:rPr>
                <w:b/>
              </w:rPr>
            </w:pPr>
            <w:r w:rsidRPr="009B635C">
              <w:rPr>
                <w:b/>
              </w:rPr>
              <w:t>Quantity</w:t>
            </w:r>
          </w:p>
        </w:tc>
      </w:tr>
      <w:tr w:rsidR="00C306A8" w14:paraId="5BA08B5E"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08664E95" w14:textId="77777777" w:rsidR="00C306A8" w:rsidRDefault="00C306A8">
            <w:pPr>
              <w:keepNext/>
              <w:ind w:left="170"/>
            </w:pPr>
            <w:r>
              <w:t>Number of new regional trains added to the network</w:t>
            </w:r>
          </w:p>
        </w:tc>
        <w:tc>
          <w:tcPr>
            <w:tcW w:w="964" w:type="dxa"/>
          </w:tcPr>
          <w:p w14:paraId="57E1668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D26E596"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Pr>
          <w:p w14:paraId="5842B390"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11EF6FC3"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299F3427" w14:textId="77777777" w:rsidR="00C306A8" w:rsidRDefault="00C306A8">
            <w:pPr>
              <w:cnfStyle w:val="000000000000" w:firstRow="0" w:lastRow="0" w:firstColumn="0" w:lastColumn="0" w:oddVBand="0" w:evenVBand="0" w:oddHBand="0" w:evenHBand="0" w:firstRowFirstColumn="0" w:firstRowLastColumn="0" w:lastRowFirstColumn="0" w:lastRowLastColumn="0"/>
            </w:pPr>
            <w:r>
              <w:t>13</w:t>
            </w:r>
          </w:p>
        </w:tc>
      </w:tr>
      <w:tr w:rsidR="00C306A8" w14:paraId="201911F9"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0F6EC3" w14:textId="549A48D3" w:rsidR="00C306A8" w:rsidRDefault="00C306A8">
            <w:pPr>
              <w:ind w:left="170"/>
              <w:rPr>
                <w:i/>
              </w:rPr>
            </w:pPr>
            <w:r>
              <w:rPr>
                <w:i/>
              </w:rPr>
              <w:t xml:space="preserve">The lower 2026-27 target reflects rolling stock delivery schedules </w:t>
            </w:r>
            <w:r w:rsidRPr="00D36314">
              <w:rPr>
                <w:i/>
              </w:rPr>
              <w:t>with the completion of the Victorian Government</w:t>
            </w:r>
            <w:r w:rsidR="00AD4833">
              <w:rPr>
                <w:i/>
              </w:rPr>
              <w:t>’</w:t>
            </w:r>
            <w:r w:rsidRPr="00D36314">
              <w:rPr>
                <w:i/>
              </w:rPr>
              <w:t xml:space="preserve">s delivery of 23 new VLocity trains, funded in the </w:t>
            </w:r>
            <w:r w:rsidRPr="005314E1">
              <w:rPr>
                <w:i/>
              </w:rPr>
              <w:t>2023-24 Budget</w:t>
            </w:r>
            <w:r>
              <w:rPr>
                <w:i/>
              </w:rPr>
              <w:t>.</w:t>
            </w:r>
          </w:p>
        </w:tc>
      </w:tr>
      <w:tr w:rsidR="00C306A8" w14:paraId="4CE42F83"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7CD33CD8" w14:textId="77777777" w:rsidR="00C306A8" w:rsidRDefault="00C306A8">
            <w:pPr>
              <w:keepNext/>
              <w:ind w:left="170"/>
            </w:pPr>
            <w:r w:rsidRPr="0017060D">
              <w:t xml:space="preserve">Passengers carried: </w:t>
            </w:r>
            <w:r>
              <w:t>regional</w:t>
            </w:r>
            <w:r w:rsidRPr="0017060D">
              <w:t xml:space="preserve"> train </w:t>
            </w:r>
            <w:r w:rsidRPr="00455E55">
              <w:t xml:space="preserve">and coach </w:t>
            </w:r>
            <w:r w:rsidRPr="0017060D">
              <w:t>services</w:t>
            </w:r>
          </w:p>
        </w:tc>
        <w:tc>
          <w:tcPr>
            <w:tcW w:w="964" w:type="dxa"/>
          </w:tcPr>
          <w:p w14:paraId="4ED21DE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r>
              <w:br/>
              <w:t>(million)</w:t>
            </w:r>
          </w:p>
        </w:tc>
        <w:tc>
          <w:tcPr>
            <w:tcW w:w="964" w:type="dxa"/>
            <w:shd w:val="clear" w:color="auto" w:fill="F0F0F0"/>
          </w:tcPr>
          <w:p w14:paraId="6DD33037" w14:textId="77777777" w:rsidR="00C306A8" w:rsidRDefault="00C306A8">
            <w:pPr>
              <w:cnfStyle w:val="000000000000" w:firstRow="0" w:lastRow="0" w:firstColumn="0" w:lastColumn="0" w:oddVBand="0" w:evenVBand="0" w:oddHBand="0" w:evenHBand="0" w:firstRowFirstColumn="0" w:firstRowLastColumn="0" w:lastRowFirstColumn="0" w:lastRowLastColumn="0"/>
            </w:pPr>
            <w:r>
              <w:t>29.6</w:t>
            </w:r>
          </w:p>
        </w:tc>
        <w:tc>
          <w:tcPr>
            <w:tcW w:w="964" w:type="dxa"/>
          </w:tcPr>
          <w:p w14:paraId="59ED9861" w14:textId="77777777" w:rsidR="00C306A8" w:rsidRDefault="00C306A8">
            <w:pPr>
              <w:cnfStyle w:val="000000000000" w:firstRow="0" w:lastRow="0" w:firstColumn="0" w:lastColumn="0" w:oddVBand="0" w:evenVBand="0" w:oddHBand="0" w:evenHBand="0" w:firstRowFirstColumn="0" w:firstRowLastColumn="0" w:lastRowFirstColumn="0" w:lastRowLastColumn="0"/>
            </w:pPr>
            <w:r>
              <w:t>29.1</w:t>
            </w:r>
          </w:p>
        </w:tc>
        <w:tc>
          <w:tcPr>
            <w:tcW w:w="964" w:type="dxa"/>
          </w:tcPr>
          <w:p w14:paraId="0AFB9862" w14:textId="77777777" w:rsidR="00C306A8" w:rsidRDefault="00C306A8">
            <w:pPr>
              <w:cnfStyle w:val="000000000000" w:firstRow="0" w:lastRow="0" w:firstColumn="0" w:lastColumn="0" w:oddVBand="0" w:evenVBand="0" w:oddHBand="0" w:evenHBand="0" w:firstRowFirstColumn="0" w:firstRowLastColumn="0" w:lastRowFirstColumn="0" w:lastRowLastColumn="0"/>
            </w:pPr>
            <w:r>
              <w:t>27.5</w:t>
            </w:r>
          </w:p>
        </w:tc>
        <w:tc>
          <w:tcPr>
            <w:tcW w:w="964" w:type="dxa"/>
          </w:tcPr>
          <w:p w14:paraId="7111A497" w14:textId="77777777" w:rsidR="00C306A8" w:rsidRDefault="00C306A8">
            <w:pPr>
              <w:cnfStyle w:val="000000000000" w:firstRow="0" w:lastRow="0" w:firstColumn="0" w:lastColumn="0" w:oddVBand="0" w:evenVBand="0" w:oddHBand="0" w:evenHBand="0" w:firstRowFirstColumn="0" w:firstRowLastColumn="0" w:lastRowFirstColumn="0" w:lastRowLastColumn="0"/>
            </w:pPr>
            <w:r>
              <w:t>26.4</w:t>
            </w:r>
          </w:p>
        </w:tc>
      </w:tr>
      <w:tr w:rsidR="00C306A8" w14:paraId="09AA37C8"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8FF9BC4" w14:textId="4CB35374" w:rsidR="00C306A8" w:rsidRDefault="00C306A8">
            <w:pPr>
              <w:ind w:left="170"/>
              <w:rPr>
                <w:i/>
                <w:iCs/>
              </w:rPr>
            </w:pPr>
            <w:r w:rsidRPr="062A25EA">
              <w:rPr>
                <w:i/>
                <w:iCs/>
              </w:rPr>
              <w:t>The 2025-26 expected outcome is higher than the 2025</w:t>
            </w:r>
            <w:r w:rsidR="00383570">
              <w:rPr>
                <w:i/>
                <w:iCs/>
              </w:rPr>
              <w:t>-</w:t>
            </w:r>
            <w:r w:rsidRPr="062A25EA">
              <w:rPr>
                <w:i/>
                <w:iCs/>
              </w:rPr>
              <w:t>26 target due to travel behaviour patterns.</w:t>
            </w:r>
          </w:p>
          <w:p w14:paraId="31078C9D" w14:textId="77777777" w:rsidR="00C306A8" w:rsidRDefault="00C306A8">
            <w:pPr>
              <w:ind w:left="170"/>
            </w:pPr>
            <w:r w:rsidRPr="062A25EA">
              <w:rPr>
                <w:i/>
                <w:iCs/>
              </w:rPr>
              <w:t>The higher 2026-27 target also reflects forecasted travel patterns and incorporates changes to forecasting methodology.</w:t>
            </w:r>
          </w:p>
        </w:tc>
      </w:tr>
      <w:tr w:rsidR="00C306A8" w14:paraId="0D865D03"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622AB7D7" w14:textId="77777777" w:rsidR="00C306A8" w:rsidRDefault="00C306A8">
            <w:pPr>
              <w:keepNext/>
              <w:ind w:left="170"/>
            </w:pPr>
            <w:r>
              <w:t>Payments made for: regional train and coach services</w:t>
            </w:r>
          </w:p>
        </w:tc>
        <w:tc>
          <w:tcPr>
            <w:tcW w:w="964" w:type="dxa"/>
          </w:tcPr>
          <w:p w14:paraId="1BDB983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26A1E30" w14:textId="46EB59DC" w:rsidR="00C306A8" w:rsidRDefault="00DF7658">
            <w:pPr>
              <w:cnfStyle w:val="000000000000" w:firstRow="0" w:lastRow="0" w:firstColumn="0" w:lastColumn="0" w:oddVBand="0" w:evenVBand="0" w:oddHBand="0" w:evenHBand="0" w:firstRowFirstColumn="0" w:firstRowLastColumn="0" w:lastRowFirstColumn="0" w:lastRowLastColumn="0"/>
            </w:pPr>
            <w:r>
              <w:t>924.5</w:t>
            </w:r>
          </w:p>
        </w:tc>
        <w:tc>
          <w:tcPr>
            <w:tcW w:w="964" w:type="dxa"/>
          </w:tcPr>
          <w:p w14:paraId="4C14EC7B" w14:textId="6C468A77" w:rsidR="00C306A8" w:rsidRDefault="00C306A8">
            <w:pPr>
              <w:cnfStyle w:val="000000000000" w:firstRow="0" w:lastRow="0" w:firstColumn="0" w:lastColumn="0" w:oddVBand="0" w:evenVBand="0" w:oddHBand="0" w:evenHBand="0" w:firstRowFirstColumn="0" w:firstRowLastColumn="0" w:lastRowFirstColumn="0" w:lastRowLastColumn="0"/>
            </w:pPr>
            <w:r>
              <w:t>911.8</w:t>
            </w:r>
          </w:p>
        </w:tc>
        <w:tc>
          <w:tcPr>
            <w:tcW w:w="964" w:type="dxa"/>
          </w:tcPr>
          <w:p w14:paraId="59C10ABE" w14:textId="77777777" w:rsidR="00C306A8" w:rsidRDefault="00C306A8">
            <w:pPr>
              <w:cnfStyle w:val="000000000000" w:firstRow="0" w:lastRow="0" w:firstColumn="0" w:lastColumn="0" w:oddVBand="0" w:evenVBand="0" w:oddHBand="0" w:evenHBand="0" w:firstRowFirstColumn="0" w:firstRowLastColumn="0" w:lastRowFirstColumn="0" w:lastRowLastColumn="0"/>
            </w:pPr>
            <w:r>
              <w:t>911.8</w:t>
            </w:r>
          </w:p>
        </w:tc>
        <w:tc>
          <w:tcPr>
            <w:tcW w:w="964" w:type="dxa"/>
          </w:tcPr>
          <w:p w14:paraId="5DC5EF9E" w14:textId="77777777" w:rsidR="00C306A8" w:rsidRDefault="00C306A8">
            <w:pPr>
              <w:cnfStyle w:val="000000000000" w:firstRow="0" w:lastRow="0" w:firstColumn="0" w:lastColumn="0" w:oddVBand="0" w:evenVBand="0" w:oddHBand="0" w:evenHBand="0" w:firstRowFirstColumn="0" w:firstRowLastColumn="0" w:lastRowFirstColumn="0" w:lastRowLastColumn="0"/>
            </w:pPr>
            <w:r>
              <w:t>876</w:t>
            </w:r>
          </w:p>
        </w:tc>
      </w:tr>
      <w:tr w:rsidR="00C306A8" w14:paraId="19A0BDBA"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6AB030B" w14:textId="77777777" w:rsidR="00C306A8" w:rsidRDefault="00C306A8">
            <w:pPr>
              <w:ind w:left="170"/>
              <w:rPr>
                <w:i/>
              </w:rPr>
            </w:pPr>
            <w:r>
              <w:rPr>
                <w:i/>
              </w:rPr>
              <w:t xml:space="preserve">The </w:t>
            </w:r>
            <w:r>
              <w:rPr>
                <w:i/>
                <w:iCs/>
              </w:rPr>
              <w:t>higher</w:t>
            </w:r>
            <w:r w:rsidRPr="05FD56A3">
              <w:rPr>
                <w:i/>
                <w:iCs/>
              </w:rPr>
              <w:t xml:space="preserve"> </w:t>
            </w:r>
            <w:r>
              <w:rPr>
                <w:i/>
              </w:rPr>
              <w:t xml:space="preserve">2026-27 target </w:t>
            </w:r>
            <w:r>
              <w:rPr>
                <w:i/>
                <w:iCs/>
              </w:rPr>
              <w:t xml:space="preserve">reflects additional </w:t>
            </w:r>
            <w:r>
              <w:rPr>
                <w:i/>
              </w:rPr>
              <w:t xml:space="preserve">funding for </w:t>
            </w:r>
            <w:r>
              <w:rPr>
                <w:i/>
                <w:iCs/>
              </w:rPr>
              <w:t xml:space="preserve">regional train services and </w:t>
            </w:r>
            <w:r>
              <w:rPr>
                <w:i/>
              </w:rPr>
              <w:t>freight maintenance.</w:t>
            </w:r>
          </w:p>
        </w:tc>
      </w:tr>
      <w:tr w:rsidR="00C306A8" w14:paraId="569C8A3B"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69B3E72" w14:textId="77777777" w:rsidR="00C306A8" w:rsidRDefault="00C306A8">
            <w:pPr>
              <w:ind w:left="170"/>
            </w:pPr>
            <w:r>
              <w:t>Scheduled services delivered: regional train</w:t>
            </w:r>
          </w:p>
        </w:tc>
        <w:tc>
          <w:tcPr>
            <w:tcW w:w="964" w:type="dxa"/>
            <w:tcBorders>
              <w:bottom w:val="single" w:sz="6" w:space="0" w:color="auto"/>
            </w:tcBorders>
          </w:tcPr>
          <w:p w14:paraId="4CB765E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2CCCACC"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bottom w:val="single" w:sz="6" w:space="0" w:color="auto"/>
            </w:tcBorders>
          </w:tcPr>
          <w:p w14:paraId="758CCE52" w14:textId="77777777" w:rsidR="00C306A8" w:rsidRDefault="00C306A8">
            <w:pPr>
              <w:cnfStyle w:val="000000000000" w:firstRow="0" w:lastRow="0" w:firstColumn="0" w:lastColumn="0" w:oddVBand="0" w:evenVBand="0" w:oddHBand="0" w:evenHBand="0" w:firstRowFirstColumn="0" w:firstRowLastColumn="0" w:lastRowFirstColumn="0" w:lastRowLastColumn="0"/>
            </w:pPr>
            <w:r>
              <w:t>96.5</w:t>
            </w:r>
          </w:p>
        </w:tc>
        <w:tc>
          <w:tcPr>
            <w:tcW w:w="964" w:type="dxa"/>
            <w:tcBorders>
              <w:bottom w:val="single" w:sz="6" w:space="0" w:color="auto"/>
            </w:tcBorders>
          </w:tcPr>
          <w:p w14:paraId="35D4144E"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bottom w:val="single" w:sz="6" w:space="0" w:color="auto"/>
            </w:tcBorders>
          </w:tcPr>
          <w:p w14:paraId="241BB932" w14:textId="77777777" w:rsidR="00C306A8" w:rsidRDefault="00C306A8">
            <w:pPr>
              <w:cnfStyle w:val="000000000000" w:firstRow="0" w:lastRow="0" w:firstColumn="0" w:lastColumn="0" w:oddVBand="0" w:evenVBand="0" w:oddHBand="0" w:evenHBand="0" w:firstRowFirstColumn="0" w:firstRowLastColumn="0" w:lastRowFirstColumn="0" w:lastRowLastColumn="0"/>
            </w:pPr>
            <w:r>
              <w:t>97.5</w:t>
            </w:r>
          </w:p>
        </w:tc>
      </w:tr>
      <w:tr w:rsidR="00C306A8" w14:paraId="14870F56"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4E6FD5D2" w14:textId="77777777" w:rsidR="00C306A8" w:rsidRDefault="00C306A8">
            <w:pPr>
              <w:keepNext/>
              <w:ind w:left="170"/>
            </w:pPr>
            <w:r>
              <w:t>Total kilometres scheduled: regional train and coach</w:t>
            </w:r>
          </w:p>
        </w:tc>
        <w:tc>
          <w:tcPr>
            <w:tcW w:w="964" w:type="dxa"/>
          </w:tcPr>
          <w:p w14:paraId="336AB1B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shd w:val="clear" w:color="auto" w:fill="F0F0F0"/>
          </w:tcPr>
          <w:p w14:paraId="1F302D1F" w14:textId="77777777" w:rsidR="00C306A8" w:rsidRDefault="00C306A8">
            <w:pPr>
              <w:cnfStyle w:val="000000000000" w:firstRow="0" w:lastRow="0" w:firstColumn="0" w:lastColumn="0" w:oddVBand="0" w:evenVBand="0" w:oddHBand="0" w:evenHBand="0" w:firstRowFirstColumn="0" w:firstRowLastColumn="0" w:lastRowFirstColumn="0" w:lastRowLastColumn="0"/>
            </w:pPr>
            <w:r>
              <w:t>30.3</w:t>
            </w:r>
          </w:p>
        </w:tc>
        <w:tc>
          <w:tcPr>
            <w:tcW w:w="964" w:type="dxa"/>
          </w:tcPr>
          <w:p w14:paraId="163FB2DD" w14:textId="77777777" w:rsidR="00C306A8" w:rsidRDefault="00C306A8">
            <w:pPr>
              <w:cnfStyle w:val="000000000000" w:firstRow="0" w:lastRow="0" w:firstColumn="0" w:lastColumn="0" w:oddVBand="0" w:evenVBand="0" w:oddHBand="0" w:evenHBand="0" w:firstRowFirstColumn="0" w:firstRowLastColumn="0" w:lastRowFirstColumn="0" w:lastRowLastColumn="0"/>
            </w:pPr>
            <w:r>
              <w:t>28</w:t>
            </w:r>
          </w:p>
        </w:tc>
        <w:tc>
          <w:tcPr>
            <w:tcW w:w="964" w:type="dxa"/>
          </w:tcPr>
          <w:p w14:paraId="24BD8F65" w14:textId="77777777" w:rsidR="00C306A8" w:rsidRDefault="00C306A8">
            <w:pPr>
              <w:cnfStyle w:val="000000000000" w:firstRow="0" w:lastRow="0" w:firstColumn="0" w:lastColumn="0" w:oddVBand="0" w:evenVBand="0" w:oddHBand="0" w:evenHBand="0" w:firstRowFirstColumn="0" w:firstRowLastColumn="0" w:lastRowFirstColumn="0" w:lastRowLastColumn="0"/>
            </w:pPr>
            <w:r>
              <w:t>28.1</w:t>
            </w:r>
          </w:p>
        </w:tc>
        <w:tc>
          <w:tcPr>
            <w:tcW w:w="964" w:type="dxa"/>
          </w:tcPr>
          <w:p w14:paraId="1732D7A2" w14:textId="77777777" w:rsidR="00C306A8" w:rsidRDefault="00C306A8">
            <w:pPr>
              <w:cnfStyle w:val="000000000000" w:firstRow="0" w:lastRow="0" w:firstColumn="0" w:lastColumn="0" w:oddVBand="0" w:evenVBand="0" w:oddHBand="0" w:evenHBand="0" w:firstRowFirstColumn="0" w:firstRowLastColumn="0" w:lastRowFirstColumn="0" w:lastRowLastColumn="0"/>
            </w:pPr>
            <w:r>
              <w:t>28</w:t>
            </w:r>
          </w:p>
        </w:tc>
      </w:tr>
      <w:tr w:rsidR="00C306A8" w14:paraId="464E3893"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641389" w14:textId="77777777" w:rsidR="00C306A8" w:rsidRDefault="00C306A8">
            <w:pPr>
              <w:ind w:left="170"/>
            </w:pPr>
            <w:r>
              <w:rPr>
                <w:i/>
              </w:rPr>
              <w:t>The higher 2026-27 target reflects scheduled service changes.</w:t>
            </w:r>
          </w:p>
        </w:tc>
      </w:tr>
      <w:tr w:rsidR="00C306A8" w:rsidRPr="009B635C" w14:paraId="5E6E36C1"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41DD3605" w14:textId="77777777" w:rsidR="00C306A8" w:rsidRPr="009B635C" w:rsidRDefault="00C306A8">
            <w:pPr>
              <w:keepNext/>
              <w:rPr>
                <w:b/>
              </w:rPr>
            </w:pPr>
            <w:r w:rsidRPr="009B635C">
              <w:rPr>
                <w:b/>
              </w:rPr>
              <w:t>Quality</w:t>
            </w:r>
          </w:p>
        </w:tc>
      </w:tr>
      <w:tr w:rsidR="00C306A8" w14:paraId="536B7B1C"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5377B41" w14:textId="77777777" w:rsidR="00C306A8" w:rsidRDefault="00C306A8">
            <w:pPr>
              <w:ind w:left="170"/>
            </w:pPr>
            <w:r>
              <w:t>Availability of rolling stock: VLocity fleet</w:t>
            </w:r>
          </w:p>
        </w:tc>
        <w:tc>
          <w:tcPr>
            <w:tcW w:w="964" w:type="dxa"/>
            <w:tcBorders>
              <w:bottom w:val="single" w:sz="6" w:space="0" w:color="auto"/>
            </w:tcBorders>
          </w:tcPr>
          <w:p w14:paraId="7C80511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1B3CF72" w14:textId="77777777" w:rsidR="00C306A8" w:rsidRDefault="00C306A8">
            <w:pPr>
              <w:cnfStyle w:val="000000000000" w:firstRow="0" w:lastRow="0" w:firstColumn="0" w:lastColumn="0" w:oddVBand="0" w:evenVBand="0" w:oddHBand="0" w:evenHBand="0" w:firstRowFirstColumn="0" w:firstRowLastColumn="0" w:lastRowFirstColumn="0" w:lastRowLastColumn="0"/>
            </w:pPr>
            <w:r>
              <w:t>92.5</w:t>
            </w:r>
          </w:p>
        </w:tc>
        <w:tc>
          <w:tcPr>
            <w:tcW w:w="964" w:type="dxa"/>
            <w:tcBorders>
              <w:bottom w:val="single" w:sz="6" w:space="0" w:color="auto"/>
            </w:tcBorders>
          </w:tcPr>
          <w:p w14:paraId="4A2A3E6D" w14:textId="77777777" w:rsidR="00C306A8" w:rsidRDefault="00C306A8">
            <w:pPr>
              <w:cnfStyle w:val="000000000000" w:firstRow="0" w:lastRow="0" w:firstColumn="0" w:lastColumn="0" w:oddVBand="0" w:evenVBand="0" w:oddHBand="0" w:evenHBand="0" w:firstRowFirstColumn="0" w:firstRowLastColumn="0" w:lastRowFirstColumn="0" w:lastRowLastColumn="0"/>
            </w:pPr>
            <w:r>
              <w:t>94.4</w:t>
            </w:r>
          </w:p>
        </w:tc>
        <w:tc>
          <w:tcPr>
            <w:tcW w:w="964" w:type="dxa"/>
            <w:tcBorders>
              <w:bottom w:val="single" w:sz="6" w:space="0" w:color="auto"/>
            </w:tcBorders>
          </w:tcPr>
          <w:p w14:paraId="51A9B8A8" w14:textId="77777777" w:rsidR="00C306A8" w:rsidRDefault="00C306A8">
            <w:pPr>
              <w:cnfStyle w:val="000000000000" w:firstRow="0" w:lastRow="0" w:firstColumn="0" w:lastColumn="0" w:oddVBand="0" w:evenVBand="0" w:oddHBand="0" w:evenHBand="0" w:firstRowFirstColumn="0" w:firstRowLastColumn="0" w:lastRowFirstColumn="0" w:lastRowLastColumn="0"/>
            </w:pPr>
            <w:r>
              <w:t>92.5</w:t>
            </w:r>
          </w:p>
        </w:tc>
        <w:tc>
          <w:tcPr>
            <w:tcW w:w="964" w:type="dxa"/>
            <w:tcBorders>
              <w:bottom w:val="single" w:sz="6" w:space="0" w:color="auto"/>
            </w:tcBorders>
          </w:tcPr>
          <w:p w14:paraId="771DF5CC" w14:textId="77777777" w:rsidR="00C306A8" w:rsidRDefault="00C306A8">
            <w:pPr>
              <w:cnfStyle w:val="000000000000" w:firstRow="0" w:lastRow="0" w:firstColumn="0" w:lastColumn="0" w:oddVBand="0" w:evenVBand="0" w:oddHBand="0" w:evenHBand="0" w:firstRowFirstColumn="0" w:firstRowLastColumn="0" w:lastRowFirstColumn="0" w:lastRowLastColumn="0"/>
            </w:pPr>
            <w:r>
              <w:t>93.8</w:t>
            </w:r>
          </w:p>
        </w:tc>
      </w:tr>
      <w:tr w:rsidR="00C306A8" w14:paraId="2771C4CF"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D5EBF81" w14:textId="77777777" w:rsidR="00C306A8" w:rsidRDefault="00C306A8">
            <w:pPr>
              <w:ind w:left="170"/>
            </w:pPr>
            <w:r>
              <w:t>Customer experience index: regional train services</w:t>
            </w:r>
          </w:p>
        </w:tc>
        <w:tc>
          <w:tcPr>
            <w:tcW w:w="964" w:type="dxa"/>
            <w:tcBorders>
              <w:bottom w:val="single" w:sz="6" w:space="0" w:color="auto"/>
            </w:tcBorders>
          </w:tcPr>
          <w:p w14:paraId="16E5AC0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bottom w:val="single" w:sz="6" w:space="0" w:color="auto"/>
            </w:tcBorders>
            <w:shd w:val="clear" w:color="auto" w:fill="F0F0F0"/>
          </w:tcPr>
          <w:p w14:paraId="04046AAC"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87D06D3"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F7BAB4A"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666F92B" w14:textId="77777777" w:rsidR="00C306A8" w:rsidRDefault="00C306A8">
            <w:pPr>
              <w:cnfStyle w:val="000000000000" w:firstRow="0" w:lastRow="0" w:firstColumn="0" w:lastColumn="0" w:oddVBand="0" w:evenVBand="0" w:oddHBand="0" w:evenHBand="0" w:firstRowFirstColumn="0" w:firstRowLastColumn="0" w:lastRowFirstColumn="0" w:lastRowLastColumn="0"/>
            </w:pPr>
            <w:r>
              <w:t>78.3</w:t>
            </w:r>
          </w:p>
        </w:tc>
      </w:tr>
      <w:tr w:rsidR="00C306A8" w14:paraId="53368EA0"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297F90A" w14:textId="77777777" w:rsidR="00C306A8" w:rsidRDefault="00C306A8">
            <w:pPr>
              <w:ind w:left="170"/>
            </w:pPr>
            <w:r>
              <w:t>Regional fare compliance rate: V/line train services</w:t>
            </w:r>
          </w:p>
        </w:tc>
        <w:tc>
          <w:tcPr>
            <w:tcW w:w="964" w:type="dxa"/>
            <w:tcBorders>
              <w:bottom w:val="single" w:sz="6" w:space="0" w:color="auto"/>
            </w:tcBorders>
          </w:tcPr>
          <w:p w14:paraId="2B39C52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24E59AA" w14:textId="77777777" w:rsidR="00C306A8" w:rsidRDefault="00C306A8">
            <w:pPr>
              <w:cnfStyle w:val="000000000000" w:firstRow="0" w:lastRow="0" w:firstColumn="0" w:lastColumn="0" w:oddVBand="0" w:evenVBand="0" w:oddHBand="0" w:evenHBand="0" w:firstRowFirstColumn="0" w:firstRowLastColumn="0" w:lastRowFirstColumn="0" w:lastRowLastColumn="0"/>
            </w:pPr>
            <w:r>
              <w:t>95.5</w:t>
            </w:r>
          </w:p>
        </w:tc>
        <w:tc>
          <w:tcPr>
            <w:tcW w:w="964" w:type="dxa"/>
            <w:tcBorders>
              <w:bottom w:val="single" w:sz="6" w:space="0" w:color="auto"/>
            </w:tcBorders>
          </w:tcPr>
          <w:p w14:paraId="72D2B46F" w14:textId="77777777" w:rsidR="00C306A8" w:rsidRDefault="00C306A8">
            <w:pPr>
              <w:cnfStyle w:val="000000000000" w:firstRow="0" w:lastRow="0" w:firstColumn="0" w:lastColumn="0" w:oddVBand="0" w:evenVBand="0" w:oddHBand="0" w:evenHBand="0" w:firstRowFirstColumn="0" w:firstRowLastColumn="0" w:lastRowFirstColumn="0" w:lastRowLastColumn="0"/>
            </w:pPr>
            <w:r>
              <w:t>96.7</w:t>
            </w:r>
          </w:p>
        </w:tc>
        <w:tc>
          <w:tcPr>
            <w:tcW w:w="964" w:type="dxa"/>
            <w:tcBorders>
              <w:bottom w:val="single" w:sz="6" w:space="0" w:color="auto"/>
            </w:tcBorders>
          </w:tcPr>
          <w:p w14:paraId="1860F2D3" w14:textId="77777777" w:rsidR="00C306A8" w:rsidRDefault="00C306A8">
            <w:pPr>
              <w:cnfStyle w:val="000000000000" w:firstRow="0" w:lastRow="0" w:firstColumn="0" w:lastColumn="0" w:oddVBand="0" w:evenVBand="0" w:oddHBand="0" w:evenHBand="0" w:firstRowFirstColumn="0" w:firstRowLastColumn="0" w:lastRowFirstColumn="0" w:lastRowLastColumn="0"/>
            </w:pPr>
            <w:r>
              <w:t>95.5</w:t>
            </w:r>
          </w:p>
        </w:tc>
        <w:tc>
          <w:tcPr>
            <w:tcW w:w="964" w:type="dxa"/>
            <w:tcBorders>
              <w:bottom w:val="single" w:sz="6" w:space="0" w:color="auto"/>
            </w:tcBorders>
          </w:tcPr>
          <w:p w14:paraId="5A503CBA" w14:textId="77777777" w:rsidR="00C306A8" w:rsidRDefault="00C306A8">
            <w:pPr>
              <w:cnfStyle w:val="000000000000" w:firstRow="0" w:lastRow="0" w:firstColumn="0" w:lastColumn="0" w:oddVBand="0" w:evenVBand="0" w:oddHBand="0" w:evenHBand="0" w:firstRowFirstColumn="0" w:firstRowLastColumn="0" w:lastRowFirstColumn="0" w:lastRowLastColumn="0"/>
            </w:pPr>
            <w:r>
              <w:t>96.4</w:t>
            </w:r>
          </w:p>
        </w:tc>
      </w:tr>
      <w:tr w:rsidR="00C306A8" w14:paraId="19E8EBC4"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F0A6EE8" w14:textId="77777777" w:rsidR="00C306A8" w:rsidRDefault="00C306A8">
            <w:pPr>
              <w:ind w:left="170"/>
            </w:pPr>
            <w:r>
              <w:t>Scheduled services not delayed by infrastructure faults: regional train network</w:t>
            </w:r>
          </w:p>
        </w:tc>
        <w:tc>
          <w:tcPr>
            <w:tcW w:w="964" w:type="dxa"/>
            <w:tcBorders>
              <w:bottom w:val="single" w:sz="6" w:space="0" w:color="auto"/>
            </w:tcBorders>
          </w:tcPr>
          <w:p w14:paraId="7E4DB1D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5AD6798"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686BF2E1"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0519894"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25571C64" w14:textId="77777777" w:rsidR="00C306A8" w:rsidRDefault="00C306A8">
            <w:pPr>
              <w:cnfStyle w:val="000000000000" w:firstRow="0" w:lastRow="0" w:firstColumn="0" w:lastColumn="0" w:oddVBand="0" w:evenVBand="0" w:oddHBand="0" w:evenHBand="0" w:firstRowFirstColumn="0" w:firstRowLastColumn="0" w:lastRowFirstColumn="0" w:lastRowLastColumn="0"/>
            </w:pPr>
            <w:r>
              <w:t>98.7</w:t>
            </w:r>
          </w:p>
        </w:tc>
      </w:tr>
      <w:tr w:rsidR="00C306A8" w:rsidRPr="009B635C" w14:paraId="5D385253"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17A983F7" w14:textId="77777777" w:rsidR="00C306A8" w:rsidRPr="009B635C" w:rsidRDefault="00C306A8">
            <w:pPr>
              <w:keepNext/>
              <w:rPr>
                <w:b/>
              </w:rPr>
            </w:pPr>
            <w:r w:rsidRPr="009B635C">
              <w:rPr>
                <w:b/>
              </w:rPr>
              <w:t>Timeliness</w:t>
            </w:r>
          </w:p>
        </w:tc>
      </w:tr>
      <w:tr w:rsidR="00C306A8" w14:paraId="178F1987"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4BB31D0" w14:textId="77777777" w:rsidR="00C306A8" w:rsidRDefault="00C306A8">
            <w:pPr>
              <w:ind w:left="170"/>
            </w:pPr>
            <w:r>
              <w:t>Major periodic maintenance works completed against plan: regional train network</w:t>
            </w:r>
          </w:p>
        </w:tc>
        <w:tc>
          <w:tcPr>
            <w:tcW w:w="964" w:type="dxa"/>
            <w:tcBorders>
              <w:bottom w:val="single" w:sz="6" w:space="0" w:color="auto"/>
            </w:tcBorders>
          </w:tcPr>
          <w:p w14:paraId="2C72D57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C7465C9"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871C04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EE9A7E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4DC03EA" w14:textId="77777777" w:rsidR="00C306A8" w:rsidRDefault="00C306A8">
            <w:pPr>
              <w:cnfStyle w:val="000000000000" w:firstRow="0" w:lastRow="0" w:firstColumn="0" w:lastColumn="0" w:oddVBand="0" w:evenVBand="0" w:oddHBand="0" w:evenHBand="0" w:firstRowFirstColumn="0" w:firstRowLastColumn="0" w:lastRowFirstColumn="0" w:lastRowLastColumn="0"/>
            </w:pPr>
            <w:r>
              <w:t>83</w:t>
            </w:r>
          </w:p>
        </w:tc>
      </w:tr>
      <w:tr w:rsidR="00C306A8" w14:paraId="3F16BEFC"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7D30AA3" w14:textId="77777777" w:rsidR="00C306A8" w:rsidRDefault="00C306A8">
            <w:pPr>
              <w:ind w:left="170"/>
            </w:pPr>
            <w:r>
              <w:t>Service punctuality for: regional train services</w:t>
            </w:r>
          </w:p>
        </w:tc>
        <w:tc>
          <w:tcPr>
            <w:tcW w:w="964" w:type="dxa"/>
            <w:tcBorders>
              <w:bottom w:val="single" w:sz="6" w:space="0" w:color="auto"/>
            </w:tcBorders>
          </w:tcPr>
          <w:p w14:paraId="264BEAB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977CCEA"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13FCF877" w14:textId="77777777" w:rsidR="00C306A8" w:rsidRDefault="00C306A8">
            <w:pPr>
              <w:cnfStyle w:val="000000000000" w:firstRow="0" w:lastRow="0" w:firstColumn="0" w:lastColumn="0" w:oddVBand="0" w:evenVBand="0" w:oddHBand="0" w:evenHBand="0" w:firstRowFirstColumn="0" w:firstRowLastColumn="0" w:lastRowFirstColumn="0" w:lastRowLastColumn="0"/>
            </w:pPr>
            <w:r>
              <w:t>89</w:t>
            </w:r>
          </w:p>
        </w:tc>
        <w:tc>
          <w:tcPr>
            <w:tcW w:w="964" w:type="dxa"/>
            <w:tcBorders>
              <w:bottom w:val="single" w:sz="6" w:space="0" w:color="auto"/>
            </w:tcBorders>
          </w:tcPr>
          <w:p w14:paraId="6AD49D55"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79A4B73E" w14:textId="77777777" w:rsidR="00C306A8" w:rsidRDefault="00C306A8">
            <w:pPr>
              <w:cnfStyle w:val="000000000000" w:firstRow="0" w:lastRow="0" w:firstColumn="0" w:lastColumn="0" w:oddVBand="0" w:evenVBand="0" w:oddHBand="0" w:evenHBand="0" w:firstRowFirstColumn="0" w:firstRowLastColumn="0" w:lastRowFirstColumn="0" w:lastRowLastColumn="0"/>
            </w:pPr>
            <w:r>
              <w:t>88.5</w:t>
            </w:r>
          </w:p>
        </w:tc>
      </w:tr>
      <w:tr w:rsidR="00C306A8" w:rsidRPr="009B635C" w14:paraId="11B7C3A1"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66A98DF4" w14:textId="77777777" w:rsidR="00C306A8" w:rsidRPr="009B635C" w:rsidRDefault="00C306A8">
            <w:pPr>
              <w:keepNext/>
              <w:rPr>
                <w:b/>
              </w:rPr>
            </w:pPr>
            <w:r w:rsidRPr="009B635C">
              <w:rPr>
                <w:b/>
              </w:rPr>
              <w:t>Cost</w:t>
            </w:r>
          </w:p>
        </w:tc>
      </w:tr>
      <w:tr w:rsidR="00C306A8" w14:paraId="3684A3B6"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51D89FE0" w14:textId="6911867F" w:rsidR="00C306A8" w:rsidRDefault="00C306A8">
            <w:pPr>
              <w:keepNext/>
              <w:ind w:left="170"/>
            </w:pPr>
            <w:r>
              <w:t xml:space="preserve">Sub-output cost </w:t>
            </w:r>
            <w:r w:rsidR="00AD4833">
              <w:t>–</w:t>
            </w:r>
            <w:r>
              <w:t xml:space="preserve"> regional</w:t>
            </w:r>
          </w:p>
        </w:tc>
        <w:tc>
          <w:tcPr>
            <w:tcW w:w="964" w:type="dxa"/>
          </w:tcPr>
          <w:p w14:paraId="7E7A2A8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FBEEBFE" w14:textId="77777777" w:rsidR="00C306A8" w:rsidRDefault="00C306A8">
            <w:pPr>
              <w:cnfStyle w:val="000000000000" w:firstRow="0" w:lastRow="0" w:firstColumn="0" w:lastColumn="0" w:oddVBand="0" w:evenVBand="0" w:oddHBand="0" w:evenHBand="0" w:firstRowFirstColumn="0" w:firstRowLastColumn="0" w:lastRowFirstColumn="0" w:lastRowLastColumn="0"/>
            </w:pPr>
            <w:r>
              <w:t>1 099.3</w:t>
            </w:r>
          </w:p>
        </w:tc>
        <w:tc>
          <w:tcPr>
            <w:tcW w:w="964" w:type="dxa"/>
          </w:tcPr>
          <w:p w14:paraId="4A702C7D" w14:textId="7A5566C1" w:rsidR="00C306A8" w:rsidRDefault="00C306A8">
            <w:pPr>
              <w:cnfStyle w:val="000000000000" w:firstRow="0" w:lastRow="0" w:firstColumn="0" w:lastColumn="0" w:oddVBand="0" w:evenVBand="0" w:oddHBand="0" w:evenHBand="0" w:firstRowFirstColumn="0" w:firstRowLastColumn="0" w:lastRowFirstColumn="0" w:lastRowLastColumn="0"/>
            </w:pPr>
            <w:r>
              <w:t>1</w:t>
            </w:r>
            <w:r w:rsidR="0036113A">
              <w:t xml:space="preserve"> </w:t>
            </w:r>
            <w:r>
              <w:t>076.5</w:t>
            </w:r>
          </w:p>
        </w:tc>
        <w:tc>
          <w:tcPr>
            <w:tcW w:w="964" w:type="dxa"/>
          </w:tcPr>
          <w:p w14:paraId="4C67A09C" w14:textId="77777777" w:rsidR="00C306A8" w:rsidRDefault="00C306A8">
            <w:pPr>
              <w:cnfStyle w:val="000000000000" w:firstRow="0" w:lastRow="0" w:firstColumn="0" w:lastColumn="0" w:oddVBand="0" w:evenVBand="0" w:oddHBand="0" w:evenHBand="0" w:firstRowFirstColumn="0" w:firstRowLastColumn="0" w:lastRowFirstColumn="0" w:lastRowLastColumn="0"/>
            </w:pPr>
            <w:r>
              <w:t>1 039.3</w:t>
            </w:r>
          </w:p>
        </w:tc>
        <w:tc>
          <w:tcPr>
            <w:tcW w:w="964" w:type="dxa"/>
          </w:tcPr>
          <w:p w14:paraId="3E895B69" w14:textId="77777777" w:rsidR="00C306A8" w:rsidRDefault="00C306A8">
            <w:pPr>
              <w:cnfStyle w:val="000000000000" w:firstRow="0" w:lastRow="0" w:firstColumn="0" w:lastColumn="0" w:oddVBand="0" w:evenVBand="0" w:oddHBand="0" w:evenHBand="0" w:firstRowFirstColumn="0" w:firstRowLastColumn="0" w:lastRowFirstColumn="0" w:lastRowLastColumn="0"/>
            </w:pPr>
            <w:r>
              <w:t>950.4</w:t>
            </w:r>
          </w:p>
        </w:tc>
      </w:tr>
      <w:tr w:rsidR="00C306A8" w14:paraId="431F1A98"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9894B6C" w14:textId="06C1B26A" w:rsidR="00C306A8" w:rsidRDefault="00441257">
            <w:pPr>
              <w:ind w:left="170"/>
              <w:rPr>
                <w:i/>
              </w:rPr>
            </w:pPr>
            <w:r w:rsidRPr="006D58E7">
              <w:rPr>
                <w:i/>
                <w:iCs/>
              </w:rPr>
              <w:t xml:space="preserve">The higher 2026-27 target is primarily driven by the additional funding in the </w:t>
            </w:r>
            <w:r w:rsidR="00031CA0">
              <w:rPr>
                <w:i/>
                <w:iCs/>
              </w:rPr>
              <w:t>2026-27</w:t>
            </w:r>
            <w:r w:rsidRPr="006D58E7">
              <w:rPr>
                <w:i/>
                <w:iCs/>
              </w:rPr>
              <w:t xml:space="preserve"> Budget for rail maintenance </w:t>
            </w:r>
            <w:r>
              <w:rPr>
                <w:i/>
                <w:iCs/>
              </w:rPr>
              <w:t xml:space="preserve">via the Regional Rail Sustainability initiative </w:t>
            </w:r>
            <w:r w:rsidRPr="006D58E7">
              <w:rPr>
                <w:i/>
                <w:iCs/>
              </w:rPr>
              <w:t>and to operate new rail assets associated with the Regional Rail Revival.</w:t>
            </w:r>
          </w:p>
        </w:tc>
      </w:tr>
      <w:tr w:rsidR="00C306A8" w14:paraId="0FCF50E5" w14:textId="77777777" w:rsidTr="009B635C">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bottom w:val="single" w:sz="6" w:space="0" w:color="auto"/>
            </w:tcBorders>
          </w:tcPr>
          <w:p w14:paraId="1B4C0114" w14:textId="766919FC" w:rsidR="00C306A8" w:rsidRPr="00EC656D" w:rsidRDefault="009B635C" w:rsidP="005F0937">
            <w:pPr>
              <w:spacing w:before="60"/>
              <w:rPr>
                <w:b/>
                <w:bCs/>
              </w:rPr>
            </w:pPr>
            <w:r w:rsidRPr="00EC656D">
              <w:rPr>
                <w:b/>
                <w:bCs/>
              </w:rPr>
              <w:t xml:space="preserve">TRAIN SERVICES – </w:t>
            </w:r>
            <w:r w:rsidRPr="00802EA3">
              <w:rPr>
                <w:b/>
                <w:bCs/>
              </w:rPr>
              <w:t>STATEWIDE</w:t>
            </w:r>
            <w:r w:rsidRPr="00EC656D">
              <w:rPr>
                <w:b/>
                <w:bCs/>
              </w:rPr>
              <w:t xml:space="preserve"> </w:t>
            </w:r>
          </w:p>
          <w:p w14:paraId="4DD21729" w14:textId="77777777" w:rsidR="00C306A8" w:rsidRDefault="00C306A8">
            <w:r w:rsidRPr="00EC656D">
              <w:t xml:space="preserve">This sub-output reports on train services and </w:t>
            </w:r>
            <w:r w:rsidRPr="00802EA3">
              <w:t>network improvements delivered statewide</w:t>
            </w:r>
            <w:r w:rsidRPr="00EC656D">
              <w:t>.</w:t>
            </w:r>
          </w:p>
        </w:tc>
      </w:tr>
      <w:tr w:rsidR="00C306A8" w:rsidRPr="005F0937" w14:paraId="1FB0FE63"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1F5F223B" w14:textId="77777777" w:rsidR="00C306A8" w:rsidRPr="005F0937" w:rsidRDefault="00C306A8">
            <w:pPr>
              <w:keepNext/>
              <w:rPr>
                <w:b/>
              </w:rPr>
            </w:pPr>
            <w:r w:rsidRPr="005F0937">
              <w:rPr>
                <w:b/>
              </w:rPr>
              <w:t>Quantity</w:t>
            </w:r>
          </w:p>
        </w:tc>
      </w:tr>
      <w:tr w:rsidR="00C306A8" w14:paraId="00688561"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641BE458" w14:textId="77777777" w:rsidR="00C306A8" w:rsidRDefault="00C306A8">
            <w:pPr>
              <w:keepNext/>
              <w:ind w:left="170"/>
            </w:pPr>
            <w:r>
              <w:t>Minor public transport network improvement projects completed</w:t>
            </w:r>
          </w:p>
        </w:tc>
        <w:tc>
          <w:tcPr>
            <w:tcW w:w="964" w:type="dxa"/>
          </w:tcPr>
          <w:p w14:paraId="1D13EFA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0DD4118"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6316F961" w14:textId="77777777" w:rsidR="00C306A8" w:rsidRDefault="00C306A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0369D8E8"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c>
          <w:tcPr>
            <w:tcW w:w="964" w:type="dxa"/>
          </w:tcPr>
          <w:p w14:paraId="0EB2E785" w14:textId="77777777" w:rsidR="00C306A8" w:rsidRDefault="00C306A8">
            <w:pPr>
              <w:cnfStyle w:val="000000000000" w:firstRow="0" w:lastRow="0" w:firstColumn="0" w:lastColumn="0" w:oddVBand="0" w:evenVBand="0" w:oddHBand="0" w:evenHBand="0" w:firstRowFirstColumn="0" w:firstRowLastColumn="0" w:lastRowFirstColumn="0" w:lastRowLastColumn="0"/>
            </w:pPr>
            <w:r>
              <w:t>9</w:t>
            </w:r>
          </w:p>
        </w:tc>
      </w:tr>
      <w:tr w:rsidR="00C306A8" w14:paraId="4F049DE0"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4D18639" w14:textId="77777777" w:rsidR="00C306A8" w:rsidRDefault="00C306A8">
            <w:pPr>
              <w:spacing w:line="259" w:lineRule="auto"/>
              <w:ind w:left="170"/>
            </w:pPr>
            <w:r>
              <w:rPr>
                <w:i/>
              </w:rPr>
              <w:t>The 2025-26 expected outcome is lower than the 2025-26 target due to reset delivery timeframes</w:t>
            </w:r>
            <w:r w:rsidRPr="062A25EA">
              <w:rPr>
                <w:i/>
                <w:iCs/>
              </w:rPr>
              <w:t xml:space="preserve"> to align with other projects.</w:t>
            </w:r>
          </w:p>
          <w:p w14:paraId="35170416" w14:textId="77777777" w:rsidR="00C306A8" w:rsidRDefault="00C306A8">
            <w:pPr>
              <w:ind w:left="170"/>
            </w:pPr>
            <w:r>
              <w:rPr>
                <w:i/>
              </w:rPr>
              <w:t>The higher 2026-27 target reflects the number of projects scheduled for completion in 2026-27.</w:t>
            </w:r>
          </w:p>
        </w:tc>
      </w:tr>
      <w:tr w:rsidR="00C306A8" w14:paraId="15CB9FD4"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7F298B10" w14:textId="77777777" w:rsidR="00C306A8" w:rsidRDefault="00C306A8">
            <w:pPr>
              <w:keepNext/>
              <w:ind w:left="170"/>
            </w:pPr>
            <w:r>
              <w:t>Public railway crossings upgraded</w:t>
            </w:r>
          </w:p>
        </w:tc>
        <w:tc>
          <w:tcPr>
            <w:tcW w:w="964" w:type="dxa"/>
          </w:tcPr>
          <w:p w14:paraId="77C8EC3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21A8FC8"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000AE678" w14:textId="77777777" w:rsidR="00C306A8" w:rsidRDefault="00C306A8">
            <w:pPr>
              <w:cnfStyle w:val="000000000000" w:firstRow="0" w:lastRow="0" w:firstColumn="0" w:lastColumn="0" w:oddVBand="0" w:evenVBand="0" w:oddHBand="0" w:evenHBand="0" w:firstRowFirstColumn="0" w:firstRowLastColumn="0" w:lastRowFirstColumn="0" w:lastRowLastColumn="0"/>
            </w:pPr>
            <w:r>
              <w:t>21</w:t>
            </w:r>
          </w:p>
        </w:tc>
        <w:tc>
          <w:tcPr>
            <w:tcW w:w="964" w:type="dxa"/>
          </w:tcPr>
          <w:p w14:paraId="3D3831FB" w14:textId="77777777" w:rsidR="00C306A8" w:rsidRDefault="00C306A8">
            <w:pPr>
              <w:cnfStyle w:val="000000000000" w:firstRow="0" w:lastRow="0" w:firstColumn="0" w:lastColumn="0" w:oddVBand="0" w:evenVBand="0" w:oddHBand="0" w:evenHBand="0" w:firstRowFirstColumn="0" w:firstRowLastColumn="0" w:lastRowFirstColumn="0" w:lastRowLastColumn="0"/>
            </w:pPr>
            <w:r>
              <w:t>22</w:t>
            </w:r>
          </w:p>
        </w:tc>
        <w:tc>
          <w:tcPr>
            <w:tcW w:w="964" w:type="dxa"/>
          </w:tcPr>
          <w:p w14:paraId="2FE2405B"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r>
      <w:tr w:rsidR="00C306A8" w14:paraId="28232DE2"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BF4768" w14:textId="77777777" w:rsidR="00C306A8" w:rsidRDefault="00C306A8">
            <w:pPr>
              <w:ind w:left="170"/>
            </w:pPr>
            <w:r>
              <w:rPr>
                <w:i/>
              </w:rPr>
              <w:t>The higher 2026-27 target reflects the number of projects scheduled for completion in 2026-27.</w:t>
            </w:r>
          </w:p>
        </w:tc>
      </w:tr>
      <w:tr w:rsidR="00C306A8" w:rsidRPr="005F0937" w14:paraId="78A3A54C"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68A40D6B" w14:textId="77777777" w:rsidR="00C306A8" w:rsidRPr="005F0937" w:rsidRDefault="00C306A8">
            <w:pPr>
              <w:keepNext/>
              <w:rPr>
                <w:b/>
              </w:rPr>
            </w:pPr>
            <w:r w:rsidRPr="005F0937">
              <w:rPr>
                <w:b/>
              </w:rPr>
              <w:t>Quality</w:t>
            </w:r>
          </w:p>
        </w:tc>
      </w:tr>
      <w:tr w:rsidR="00C306A8" w14:paraId="560C27C4"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909563C" w14:textId="77777777" w:rsidR="00C306A8" w:rsidRDefault="00C306A8">
            <w:pPr>
              <w:ind w:left="170"/>
            </w:pPr>
            <w:r>
              <w:t>Minor public transport network improvement projects completed within agreed scope and standards</w:t>
            </w:r>
          </w:p>
        </w:tc>
        <w:tc>
          <w:tcPr>
            <w:tcW w:w="964" w:type="dxa"/>
            <w:tcBorders>
              <w:bottom w:val="single" w:sz="6" w:space="0" w:color="auto"/>
            </w:tcBorders>
          </w:tcPr>
          <w:p w14:paraId="363E1EE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8354FD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0452B4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89AD8EC"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780DF8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5E8E7EAF"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B5E6F5C" w14:textId="77777777" w:rsidR="00C306A8" w:rsidRDefault="00C306A8">
            <w:pPr>
              <w:ind w:left="170"/>
            </w:pPr>
            <w:r>
              <w:t>Myki device availability</w:t>
            </w:r>
          </w:p>
        </w:tc>
        <w:tc>
          <w:tcPr>
            <w:tcW w:w="964" w:type="dxa"/>
            <w:tcBorders>
              <w:bottom w:val="single" w:sz="6" w:space="0" w:color="auto"/>
            </w:tcBorders>
          </w:tcPr>
          <w:p w14:paraId="60E2D82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98AADFF" w14:textId="77777777" w:rsidR="00C306A8" w:rsidRDefault="00C306A8">
            <w:pPr>
              <w:cnfStyle w:val="000000000000" w:firstRow="0" w:lastRow="0" w:firstColumn="0" w:lastColumn="0" w:oddVBand="0" w:evenVBand="0" w:oddHBand="0" w:evenHBand="0" w:firstRowFirstColumn="0" w:firstRowLastColumn="0" w:lastRowFirstColumn="0" w:lastRowLastColumn="0"/>
            </w:pPr>
            <w:r>
              <w:t>99.5</w:t>
            </w:r>
          </w:p>
        </w:tc>
        <w:tc>
          <w:tcPr>
            <w:tcW w:w="964" w:type="dxa"/>
            <w:tcBorders>
              <w:bottom w:val="single" w:sz="6" w:space="0" w:color="auto"/>
            </w:tcBorders>
          </w:tcPr>
          <w:p w14:paraId="5842166E" w14:textId="77777777" w:rsidR="00C306A8" w:rsidRDefault="00C306A8">
            <w:pPr>
              <w:cnfStyle w:val="000000000000" w:firstRow="0" w:lastRow="0" w:firstColumn="0" w:lastColumn="0" w:oddVBand="0" w:evenVBand="0" w:oddHBand="0" w:evenHBand="0" w:firstRowFirstColumn="0" w:firstRowLastColumn="0" w:lastRowFirstColumn="0" w:lastRowLastColumn="0"/>
            </w:pPr>
            <w:r>
              <w:t>99.3</w:t>
            </w:r>
          </w:p>
        </w:tc>
        <w:tc>
          <w:tcPr>
            <w:tcW w:w="964" w:type="dxa"/>
            <w:tcBorders>
              <w:bottom w:val="single" w:sz="6" w:space="0" w:color="auto"/>
            </w:tcBorders>
          </w:tcPr>
          <w:p w14:paraId="7A637178" w14:textId="77777777" w:rsidR="00C306A8" w:rsidRDefault="00C306A8">
            <w:pPr>
              <w:cnfStyle w:val="000000000000" w:firstRow="0" w:lastRow="0" w:firstColumn="0" w:lastColumn="0" w:oddVBand="0" w:evenVBand="0" w:oddHBand="0" w:evenHBand="0" w:firstRowFirstColumn="0" w:firstRowLastColumn="0" w:lastRowFirstColumn="0" w:lastRowLastColumn="0"/>
            </w:pPr>
            <w:r>
              <w:t>99.5</w:t>
            </w:r>
          </w:p>
        </w:tc>
        <w:tc>
          <w:tcPr>
            <w:tcW w:w="964" w:type="dxa"/>
            <w:tcBorders>
              <w:bottom w:val="single" w:sz="6" w:space="0" w:color="auto"/>
            </w:tcBorders>
          </w:tcPr>
          <w:p w14:paraId="5404FDEE" w14:textId="77777777" w:rsidR="00C306A8" w:rsidRDefault="00C306A8">
            <w:pPr>
              <w:cnfStyle w:val="000000000000" w:firstRow="0" w:lastRow="0" w:firstColumn="0" w:lastColumn="0" w:oddVBand="0" w:evenVBand="0" w:oddHBand="0" w:evenHBand="0" w:firstRowFirstColumn="0" w:firstRowLastColumn="0" w:lastRowFirstColumn="0" w:lastRowLastColumn="0"/>
            </w:pPr>
            <w:r>
              <w:t>99.5</w:t>
            </w:r>
          </w:p>
        </w:tc>
      </w:tr>
      <w:tr w:rsidR="00C306A8" w14:paraId="110E9DF6"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1B9ED6A5" w14:textId="65C51B4E" w:rsidR="00C306A8" w:rsidRDefault="00C306A8">
            <w:pPr>
              <w:keepNext/>
              <w:ind w:left="170"/>
            </w:pPr>
            <w:r>
              <w:t xml:space="preserve">Myki: Fare payment device speed </w:t>
            </w:r>
            <w:r w:rsidR="00AD4833">
              <w:t>–</w:t>
            </w:r>
            <w:r>
              <w:t xml:space="preserve"> </w:t>
            </w:r>
            <w:r w:rsidR="005F0937">
              <w:br/>
            </w:r>
            <w:r>
              <w:t>number of touch on/offs per minute (Train)</w:t>
            </w:r>
          </w:p>
        </w:tc>
        <w:tc>
          <w:tcPr>
            <w:tcW w:w="964" w:type="dxa"/>
          </w:tcPr>
          <w:p w14:paraId="379D2DF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3F93526" w14:textId="77777777" w:rsidR="00C306A8" w:rsidRDefault="00C306A8">
            <w:pPr>
              <w:cnfStyle w:val="000000000000" w:firstRow="0" w:lastRow="0" w:firstColumn="0" w:lastColumn="0" w:oddVBand="0" w:evenVBand="0" w:oddHBand="0" w:evenHBand="0" w:firstRowFirstColumn="0" w:firstRowLastColumn="0" w:lastRowFirstColumn="0" w:lastRowLastColumn="0"/>
            </w:pPr>
            <w:r>
              <w:t>37</w:t>
            </w:r>
          </w:p>
        </w:tc>
        <w:tc>
          <w:tcPr>
            <w:tcW w:w="964" w:type="dxa"/>
          </w:tcPr>
          <w:p w14:paraId="2A78B32B" w14:textId="77777777" w:rsidR="00C306A8" w:rsidRDefault="00C306A8">
            <w:pPr>
              <w:cnfStyle w:val="000000000000" w:firstRow="0" w:lastRow="0" w:firstColumn="0" w:lastColumn="0" w:oddVBand="0" w:evenVBand="0" w:oddHBand="0" w:evenHBand="0" w:firstRowFirstColumn="0" w:firstRowLastColumn="0" w:lastRowFirstColumn="0" w:lastRowLastColumn="0"/>
            </w:pPr>
            <w:r>
              <w:t>48.8</w:t>
            </w:r>
          </w:p>
        </w:tc>
        <w:tc>
          <w:tcPr>
            <w:tcW w:w="964" w:type="dxa"/>
          </w:tcPr>
          <w:p w14:paraId="737E5395" w14:textId="77777777" w:rsidR="00C306A8" w:rsidRDefault="00C306A8">
            <w:pPr>
              <w:cnfStyle w:val="000000000000" w:firstRow="0" w:lastRow="0" w:firstColumn="0" w:lastColumn="0" w:oddVBand="0" w:evenVBand="0" w:oddHBand="0" w:evenHBand="0" w:firstRowFirstColumn="0" w:firstRowLastColumn="0" w:lastRowFirstColumn="0" w:lastRowLastColumn="0"/>
            </w:pPr>
            <w:r>
              <w:t>37</w:t>
            </w:r>
          </w:p>
        </w:tc>
        <w:tc>
          <w:tcPr>
            <w:tcW w:w="964" w:type="dxa"/>
          </w:tcPr>
          <w:p w14:paraId="50596899" w14:textId="77777777" w:rsidR="00C306A8" w:rsidRDefault="00C306A8">
            <w:pPr>
              <w:cnfStyle w:val="000000000000" w:firstRow="0" w:lastRow="0" w:firstColumn="0" w:lastColumn="0" w:oddVBand="0" w:evenVBand="0" w:oddHBand="0" w:evenHBand="0" w:firstRowFirstColumn="0" w:firstRowLastColumn="0" w:lastRowFirstColumn="0" w:lastRowLastColumn="0"/>
            </w:pPr>
            <w:r>
              <w:t>50.8</w:t>
            </w:r>
          </w:p>
        </w:tc>
      </w:tr>
      <w:tr w:rsidR="00C306A8" w14:paraId="29162376"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CE9AD0" w14:textId="77777777" w:rsidR="00C306A8" w:rsidRDefault="00C306A8">
            <w:pPr>
              <w:ind w:left="170"/>
            </w:pPr>
            <w:r>
              <w:rPr>
                <w:i/>
              </w:rPr>
              <w:t>The 2025-26 expected outcome is higher than the 2025-26 target due to ongoing maintenance changes implemented to improve reader hardware and software performance.</w:t>
            </w:r>
          </w:p>
        </w:tc>
      </w:tr>
      <w:tr w:rsidR="00C306A8" w:rsidRPr="005F0937" w14:paraId="3251EF54"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515B301F" w14:textId="77777777" w:rsidR="00C306A8" w:rsidRPr="005F0937" w:rsidRDefault="00C306A8">
            <w:pPr>
              <w:keepNext/>
              <w:rPr>
                <w:b/>
              </w:rPr>
            </w:pPr>
            <w:r w:rsidRPr="005F0937">
              <w:rPr>
                <w:b/>
              </w:rPr>
              <w:t>Timeliness</w:t>
            </w:r>
          </w:p>
        </w:tc>
      </w:tr>
      <w:tr w:rsidR="00C306A8" w14:paraId="5BA0D74E" w14:textId="77777777" w:rsidTr="00FC5BE5">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C5729BC" w14:textId="188B904F" w:rsidR="00C306A8" w:rsidRDefault="00C306A8">
            <w:pPr>
              <w:ind w:left="170"/>
            </w:pPr>
            <w:r>
              <w:t>Calls to the public transport call centre answered within 30</w:t>
            </w:r>
            <w:r w:rsidR="009713D2">
              <w:t> </w:t>
            </w:r>
            <w:r>
              <w:t>seconds</w:t>
            </w:r>
          </w:p>
        </w:tc>
        <w:tc>
          <w:tcPr>
            <w:tcW w:w="964" w:type="dxa"/>
            <w:tcBorders>
              <w:bottom w:val="single" w:sz="6" w:space="0" w:color="auto"/>
            </w:tcBorders>
          </w:tcPr>
          <w:p w14:paraId="06E8B7F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8E627B8"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08E7F09"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5AC30CC"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9D8C240"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r>
      <w:tr w:rsidR="00C306A8" w14:paraId="590AFB55"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4470C52B" w14:textId="77777777" w:rsidR="00C306A8" w:rsidRDefault="00C306A8">
            <w:pPr>
              <w:keepNext/>
              <w:ind w:left="170"/>
            </w:pPr>
            <w:r>
              <w:t>Minor public transport network improvement projects completed within agreed timeframes</w:t>
            </w:r>
          </w:p>
        </w:tc>
        <w:tc>
          <w:tcPr>
            <w:tcW w:w="964" w:type="dxa"/>
          </w:tcPr>
          <w:p w14:paraId="3548E9C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93E1585"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DCC640F" w14:textId="77777777" w:rsidR="00C306A8" w:rsidRDefault="00C306A8">
            <w:pPr>
              <w:cnfStyle w:val="000000000000" w:firstRow="0" w:lastRow="0" w:firstColumn="0" w:lastColumn="0" w:oddVBand="0" w:evenVBand="0" w:oddHBand="0" w:evenHBand="0" w:firstRowFirstColumn="0" w:firstRowLastColumn="0" w:lastRowFirstColumn="0" w:lastRowLastColumn="0"/>
            </w:pPr>
            <w:r>
              <w:t>67</w:t>
            </w:r>
          </w:p>
        </w:tc>
        <w:tc>
          <w:tcPr>
            <w:tcW w:w="964" w:type="dxa"/>
          </w:tcPr>
          <w:p w14:paraId="55277DFF"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71984DD" w14:textId="77777777" w:rsidR="00C306A8" w:rsidRDefault="00C306A8">
            <w:pPr>
              <w:cnfStyle w:val="000000000000" w:firstRow="0" w:lastRow="0" w:firstColumn="0" w:lastColumn="0" w:oddVBand="0" w:evenVBand="0" w:oddHBand="0" w:evenHBand="0" w:firstRowFirstColumn="0" w:firstRowLastColumn="0" w:lastRowFirstColumn="0" w:lastRowLastColumn="0"/>
            </w:pPr>
            <w:r>
              <w:t>56</w:t>
            </w:r>
          </w:p>
        </w:tc>
      </w:tr>
      <w:tr w:rsidR="00C306A8" w14:paraId="0D7189CF"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558DF0C" w14:textId="77777777" w:rsidR="00C306A8" w:rsidRDefault="00C306A8">
            <w:pPr>
              <w:ind w:left="170"/>
            </w:pPr>
            <w:r>
              <w:rPr>
                <w:i/>
              </w:rPr>
              <w:t>The 2025-26 expected outcome is lower than the 2025-26 target due to reset delivery timeframes</w:t>
            </w:r>
            <w:r w:rsidRPr="062A25EA">
              <w:rPr>
                <w:i/>
                <w:iCs/>
              </w:rPr>
              <w:t xml:space="preserve"> to align with other projects.</w:t>
            </w:r>
          </w:p>
        </w:tc>
      </w:tr>
      <w:tr w:rsidR="00C306A8" w:rsidRPr="005F0937" w14:paraId="0CCABCBB" w14:textId="77777777" w:rsidTr="00FC5BE5">
        <w:tc>
          <w:tcPr>
            <w:cnfStyle w:val="001000000000" w:firstRow="0" w:lastRow="0" w:firstColumn="1" w:lastColumn="0" w:oddVBand="0" w:evenVBand="0" w:oddHBand="0" w:evenHBand="0" w:firstRowFirstColumn="0" w:firstRowLastColumn="0" w:lastRowFirstColumn="0" w:lastRowLastColumn="0"/>
            <w:tcW w:w="9639" w:type="dxa"/>
            <w:gridSpan w:val="6"/>
          </w:tcPr>
          <w:p w14:paraId="57C07163" w14:textId="77777777" w:rsidR="00C306A8" w:rsidRPr="005F0937" w:rsidRDefault="00C306A8">
            <w:pPr>
              <w:keepNext/>
              <w:rPr>
                <w:b/>
              </w:rPr>
            </w:pPr>
            <w:r w:rsidRPr="005F0937">
              <w:rPr>
                <w:b/>
              </w:rPr>
              <w:t>Cost</w:t>
            </w:r>
          </w:p>
        </w:tc>
      </w:tr>
      <w:tr w:rsidR="00C306A8" w14:paraId="10C86F54" w14:textId="77777777" w:rsidTr="00FC5BE5">
        <w:tc>
          <w:tcPr>
            <w:cnfStyle w:val="001000000000" w:firstRow="0" w:lastRow="0" w:firstColumn="1" w:lastColumn="0" w:oddVBand="0" w:evenVBand="0" w:oddHBand="0" w:evenHBand="0" w:firstRowFirstColumn="0" w:firstRowLastColumn="0" w:lastRowFirstColumn="0" w:lastRowLastColumn="0"/>
            <w:tcW w:w="4819" w:type="dxa"/>
          </w:tcPr>
          <w:p w14:paraId="58B71CA3" w14:textId="005F15D9" w:rsidR="00C306A8" w:rsidRDefault="00C306A8">
            <w:pPr>
              <w:keepNext/>
              <w:ind w:left="170"/>
            </w:pPr>
            <w:r>
              <w:t xml:space="preserve">Sub-output cost </w:t>
            </w:r>
            <w:r w:rsidR="00AD4833">
              <w:t>–</w:t>
            </w:r>
            <w:r>
              <w:t xml:space="preserve"> statewide</w:t>
            </w:r>
          </w:p>
        </w:tc>
        <w:tc>
          <w:tcPr>
            <w:tcW w:w="964" w:type="dxa"/>
          </w:tcPr>
          <w:p w14:paraId="03D276B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C218B6C" w14:textId="77777777" w:rsidR="00C306A8" w:rsidRDefault="00C306A8">
            <w:pPr>
              <w:cnfStyle w:val="000000000000" w:firstRow="0" w:lastRow="0" w:firstColumn="0" w:lastColumn="0" w:oddVBand="0" w:evenVBand="0" w:oddHBand="0" w:evenHBand="0" w:firstRowFirstColumn="0" w:firstRowLastColumn="0" w:lastRowFirstColumn="0" w:lastRowLastColumn="0"/>
            </w:pPr>
            <w:r>
              <w:t>184.5</w:t>
            </w:r>
          </w:p>
        </w:tc>
        <w:tc>
          <w:tcPr>
            <w:tcW w:w="964" w:type="dxa"/>
          </w:tcPr>
          <w:p w14:paraId="6DEE7D82" w14:textId="77777777" w:rsidR="00C306A8" w:rsidRDefault="00C306A8">
            <w:pPr>
              <w:cnfStyle w:val="000000000000" w:firstRow="0" w:lastRow="0" w:firstColumn="0" w:lastColumn="0" w:oddVBand="0" w:evenVBand="0" w:oddHBand="0" w:evenHBand="0" w:firstRowFirstColumn="0" w:firstRowLastColumn="0" w:lastRowFirstColumn="0" w:lastRowLastColumn="0"/>
            </w:pPr>
            <w:r>
              <w:t>177.3</w:t>
            </w:r>
          </w:p>
        </w:tc>
        <w:tc>
          <w:tcPr>
            <w:tcW w:w="964" w:type="dxa"/>
          </w:tcPr>
          <w:p w14:paraId="7151C4CE" w14:textId="77777777" w:rsidR="00C306A8" w:rsidRDefault="00C306A8">
            <w:pPr>
              <w:cnfStyle w:val="000000000000" w:firstRow="0" w:lastRow="0" w:firstColumn="0" w:lastColumn="0" w:oddVBand="0" w:evenVBand="0" w:oddHBand="0" w:evenHBand="0" w:firstRowFirstColumn="0" w:firstRowLastColumn="0" w:lastRowFirstColumn="0" w:lastRowLastColumn="0"/>
            </w:pPr>
            <w:r>
              <w:t>180.9</w:t>
            </w:r>
          </w:p>
        </w:tc>
        <w:tc>
          <w:tcPr>
            <w:tcW w:w="964" w:type="dxa"/>
          </w:tcPr>
          <w:p w14:paraId="68F81848" w14:textId="77777777" w:rsidR="00C306A8" w:rsidRDefault="00C306A8">
            <w:pPr>
              <w:cnfStyle w:val="000000000000" w:firstRow="0" w:lastRow="0" w:firstColumn="0" w:lastColumn="0" w:oddVBand="0" w:evenVBand="0" w:oddHBand="0" w:evenHBand="0" w:firstRowFirstColumn="0" w:firstRowLastColumn="0" w:lastRowFirstColumn="0" w:lastRowLastColumn="0"/>
            </w:pPr>
            <w:r>
              <w:t>169.7</w:t>
            </w:r>
          </w:p>
        </w:tc>
      </w:tr>
      <w:tr w:rsidR="00C306A8" w14:paraId="3047C2E2" w14:textId="77777777" w:rsidTr="009713D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463B5F1" w14:textId="336D09F8" w:rsidR="00C306A8" w:rsidRPr="003951B1" w:rsidRDefault="00C306A8">
            <w:pPr>
              <w:ind w:left="170"/>
              <w:rPr>
                <w:i/>
              </w:rPr>
            </w:pPr>
            <w:r w:rsidRPr="003951B1">
              <w:rPr>
                <w:i/>
              </w:rPr>
              <w:t>The 2026-27 target represents a small variation from the 2025</w:t>
            </w:r>
            <w:r w:rsidR="004D27E8" w:rsidRPr="004D27E8">
              <w:rPr>
                <w:i/>
              </w:rPr>
              <w:t>—</w:t>
            </w:r>
            <w:r w:rsidRPr="003951B1">
              <w:rPr>
                <w:i/>
              </w:rPr>
              <w:t>26 target.</w:t>
            </w:r>
          </w:p>
        </w:tc>
      </w:tr>
    </w:tbl>
    <w:p w14:paraId="4C0C13F8" w14:textId="77777777" w:rsidR="00C306A8" w:rsidRDefault="00C306A8" w:rsidP="00C306A8">
      <w:pPr>
        <w:pStyle w:val="Source"/>
      </w:pPr>
      <w:r>
        <w:t>Source: Department of Transport and Planning</w:t>
      </w:r>
    </w:p>
    <w:p w14:paraId="0666EFF5" w14:textId="77777777" w:rsidR="00C306A8" w:rsidRDefault="00C306A8" w:rsidP="00C306A8">
      <w:pPr>
        <w:pStyle w:val="Heading3"/>
      </w:pPr>
      <w:r>
        <w:lastRenderedPageBreak/>
        <w:t>Tram Services</w:t>
      </w:r>
      <w:r>
        <w:tab/>
        <w:t>(2026-27: $784.7 million)</w:t>
      </w:r>
    </w:p>
    <w:p w14:paraId="36103BD5" w14:textId="77777777" w:rsidR="00C306A8" w:rsidRPr="001A464A" w:rsidRDefault="00C306A8" w:rsidP="00C306A8">
      <w:pPr>
        <w:spacing w:after="120"/>
      </w:pPr>
      <w:r w:rsidRPr="00396B48">
        <w:t>This output delivers reliable and cost-effective tram services and infrastructure investments, including public transport services delivered through contractual arrangements with private operators.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C306A8" w14:paraId="4965513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7D42C34" w14:textId="77777777" w:rsidR="00C306A8" w:rsidRDefault="00C306A8">
            <w:r>
              <w:t>Performance measure</w:t>
            </w:r>
          </w:p>
        </w:tc>
        <w:tc>
          <w:tcPr>
            <w:tcW w:w="964" w:type="dxa"/>
          </w:tcPr>
          <w:p w14:paraId="11B087DB"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C58A28B"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F607B0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35B73F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67B75DD"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735CFC" w14:paraId="4732CF4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EE8773A" w14:textId="77777777" w:rsidR="00C306A8" w:rsidRPr="00735CFC" w:rsidRDefault="00C306A8">
            <w:pPr>
              <w:keepNext/>
              <w:rPr>
                <w:b/>
              </w:rPr>
            </w:pPr>
            <w:r w:rsidRPr="00735CFC">
              <w:rPr>
                <w:b/>
              </w:rPr>
              <w:t>Quantity</w:t>
            </w:r>
          </w:p>
        </w:tc>
      </w:tr>
      <w:tr w:rsidR="00C306A8" w14:paraId="3CDEADE6" w14:textId="77777777">
        <w:tc>
          <w:tcPr>
            <w:cnfStyle w:val="001000000000" w:firstRow="0" w:lastRow="0" w:firstColumn="1" w:lastColumn="0" w:oddVBand="0" w:evenVBand="0" w:oddHBand="0" w:evenHBand="0" w:firstRowFirstColumn="0" w:firstRowLastColumn="0" w:lastRowFirstColumn="0" w:lastRowLastColumn="0"/>
            <w:tcW w:w="4819" w:type="dxa"/>
          </w:tcPr>
          <w:p w14:paraId="03469D28" w14:textId="77777777" w:rsidR="00C306A8" w:rsidRDefault="00C306A8">
            <w:pPr>
              <w:keepNext/>
              <w:ind w:left="170"/>
            </w:pPr>
            <w:r>
              <w:t>Number of new trams added to the network</w:t>
            </w:r>
          </w:p>
        </w:tc>
        <w:tc>
          <w:tcPr>
            <w:tcW w:w="964" w:type="dxa"/>
          </w:tcPr>
          <w:p w14:paraId="4707AA2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C174A81" w14:textId="77777777" w:rsidR="00C306A8" w:rsidRDefault="00C306A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7491E10C"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Pr>
          <w:p w14:paraId="1B736D51" w14:textId="77777777" w:rsidR="00C306A8" w:rsidRDefault="00C306A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36357BE4"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EE1365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5C222C0" w14:textId="693AD736" w:rsidR="00C306A8" w:rsidRDefault="00C306A8">
            <w:pPr>
              <w:ind w:left="170"/>
            </w:pPr>
            <w:r>
              <w:rPr>
                <w:i/>
              </w:rPr>
              <w:t xml:space="preserve">The 2025-26 expected outcome is lower than the 2025-26 </w:t>
            </w:r>
            <w:r w:rsidR="002B02C3">
              <w:rPr>
                <w:i/>
              </w:rPr>
              <w:t>target,</w:t>
            </w:r>
            <w:r>
              <w:rPr>
                <w:i/>
              </w:rPr>
              <w:t xml:space="preserve"> reflect</w:t>
            </w:r>
            <w:r w:rsidR="002B02C3">
              <w:rPr>
                <w:i/>
              </w:rPr>
              <w:t>ing</w:t>
            </w:r>
            <w:r>
              <w:rPr>
                <w:i/>
              </w:rPr>
              <w:t xml:space="preserve"> the testing and validation program.</w:t>
            </w:r>
          </w:p>
          <w:p w14:paraId="43BC038E" w14:textId="77777777" w:rsidR="00C306A8" w:rsidRDefault="00C306A8">
            <w:pPr>
              <w:ind w:left="170"/>
            </w:pPr>
            <w:r>
              <w:rPr>
                <w:i/>
              </w:rPr>
              <w:t>The higher 2026-27 target reflects rolling stock delivery schedules and order size.</w:t>
            </w:r>
          </w:p>
        </w:tc>
      </w:tr>
      <w:tr w:rsidR="00C306A8" w14:paraId="589C8793" w14:textId="77777777">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0EE02E4" w14:textId="77777777" w:rsidR="00C306A8" w:rsidRDefault="00C306A8">
            <w:pPr>
              <w:keepNext/>
              <w:ind w:left="170"/>
            </w:pPr>
            <w:r>
              <w:t>Number of tram routes upgraded</w:t>
            </w:r>
          </w:p>
        </w:tc>
        <w:tc>
          <w:tcPr>
            <w:tcW w:w="964" w:type="dxa"/>
            <w:tcBorders>
              <w:top w:val="single" w:sz="6" w:space="0" w:color="auto"/>
              <w:bottom w:val="single" w:sz="6" w:space="0" w:color="auto"/>
            </w:tcBorders>
          </w:tcPr>
          <w:p w14:paraId="05F1BE8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2626B80E"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366FAC5B"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7533EC88"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64061690"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r>
      <w:tr w:rsidR="00C306A8" w14:paraId="4BB06C83" w14:textId="77777777">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0809F683" w14:textId="77777777" w:rsidR="00C306A8" w:rsidRDefault="00C306A8">
            <w:pPr>
              <w:keepNext/>
              <w:ind w:left="170"/>
            </w:pPr>
            <w:r w:rsidRPr="00555838">
              <w:t>Passengers carried: tram services</w:t>
            </w:r>
          </w:p>
        </w:tc>
        <w:tc>
          <w:tcPr>
            <w:tcW w:w="964" w:type="dxa"/>
            <w:tcBorders>
              <w:top w:val="single" w:sz="6" w:space="0" w:color="auto"/>
            </w:tcBorders>
          </w:tcPr>
          <w:p w14:paraId="0142A67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(million)</w:t>
            </w:r>
          </w:p>
        </w:tc>
        <w:tc>
          <w:tcPr>
            <w:tcW w:w="964" w:type="dxa"/>
            <w:tcBorders>
              <w:top w:val="single" w:sz="6" w:space="0" w:color="auto"/>
            </w:tcBorders>
            <w:shd w:val="clear" w:color="auto" w:fill="F0F0F0"/>
          </w:tcPr>
          <w:p w14:paraId="74F97A92" w14:textId="77777777" w:rsidR="00C306A8" w:rsidRDefault="00C306A8">
            <w:pPr>
              <w:cnfStyle w:val="000000000000" w:firstRow="0" w:lastRow="0" w:firstColumn="0" w:lastColumn="0" w:oddVBand="0" w:evenVBand="0" w:oddHBand="0" w:evenHBand="0" w:firstRowFirstColumn="0" w:firstRowLastColumn="0" w:lastRowFirstColumn="0" w:lastRowLastColumn="0"/>
            </w:pPr>
            <w:r>
              <w:t>156.1</w:t>
            </w:r>
          </w:p>
        </w:tc>
        <w:tc>
          <w:tcPr>
            <w:tcW w:w="964" w:type="dxa"/>
            <w:tcBorders>
              <w:top w:val="single" w:sz="6" w:space="0" w:color="auto"/>
            </w:tcBorders>
          </w:tcPr>
          <w:p w14:paraId="21E03498" w14:textId="77777777" w:rsidR="00C306A8" w:rsidRDefault="00C306A8">
            <w:pPr>
              <w:cnfStyle w:val="000000000000" w:firstRow="0" w:lastRow="0" w:firstColumn="0" w:lastColumn="0" w:oddVBand="0" w:evenVBand="0" w:oddHBand="0" w:evenHBand="0" w:firstRowFirstColumn="0" w:firstRowLastColumn="0" w:lastRowFirstColumn="0" w:lastRowLastColumn="0"/>
            </w:pPr>
            <w:r>
              <w:t>153.0</w:t>
            </w:r>
          </w:p>
        </w:tc>
        <w:tc>
          <w:tcPr>
            <w:tcW w:w="964" w:type="dxa"/>
            <w:tcBorders>
              <w:top w:val="single" w:sz="6" w:space="0" w:color="auto"/>
            </w:tcBorders>
          </w:tcPr>
          <w:p w14:paraId="314E6C7C" w14:textId="77777777" w:rsidR="00C306A8" w:rsidRDefault="00C306A8">
            <w:pPr>
              <w:cnfStyle w:val="000000000000" w:firstRow="0" w:lastRow="0" w:firstColumn="0" w:lastColumn="0" w:oddVBand="0" w:evenVBand="0" w:oddHBand="0" w:evenHBand="0" w:firstRowFirstColumn="0" w:firstRowLastColumn="0" w:lastRowFirstColumn="0" w:lastRowLastColumn="0"/>
            </w:pPr>
            <w:r>
              <w:t>166.6</w:t>
            </w:r>
          </w:p>
        </w:tc>
        <w:tc>
          <w:tcPr>
            <w:tcW w:w="964" w:type="dxa"/>
            <w:tcBorders>
              <w:top w:val="single" w:sz="6" w:space="0" w:color="auto"/>
            </w:tcBorders>
          </w:tcPr>
          <w:p w14:paraId="28A48C8B" w14:textId="77777777" w:rsidR="00C306A8" w:rsidRDefault="00C306A8">
            <w:pPr>
              <w:cnfStyle w:val="000000000000" w:firstRow="0" w:lastRow="0" w:firstColumn="0" w:lastColumn="0" w:oddVBand="0" w:evenVBand="0" w:oddHBand="0" w:evenHBand="0" w:firstRowFirstColumn="0" w:firstRowLastColumn="0" w:lastRowFirstColumn="0" w:lastRowLastColumn="0"/>
            </w:pPr>
            <w:r>
              <w:t>160.2</w:t>
            </w:r>
          </w:p>
        </w:tc>
      </w:tr>
      <w:tr w:rsidR="00C306A8" w14:paraId="0C4407E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A3FCA63" w14:textId="4E146A30" w:rsidR="00C306A8" w:rsidRDefault="00C306A8">
            <w:pPr>
              <w:ind w:left="170"/>
            </w:pPr>
            <w:r w:rsidRPr="00F77DF8">
              <w:rPr>
                <w:i/>
              </w:rPr>
              <w:t>The 2025</w:t>
            </w:r>
            <w:r w:rsidR="00383570">
              <w:rPr>
                <w:i/>
              </w:rPr>
              <w:t>-</w:t>
            </w:r>
            <w:r w:rsidRPr="00F77DF8">
              <w:rPr>
                <w:i/>
              </w:rPr>
              <w:t>26 expected outcome is lower than the 2025</w:t>
            </w:r>
            <w:r w:rsidR="00383570">
              <w:rPr>
                <w:i/>
              </w:rPr>
              <w:t>-</w:t>
            </w:r>
            <w:r w:rsidRPr="00F77DF8">
              <w:rPr>
                <w:i/>
              </w:rPr>
              <w:t>26 target</w:t>
            </w:r>
            <w:r w:rsidRPr="46880878">
              <w:rPr>
                <w:i/>
                <w:iCs/>
              </w:rPr>
              <w:t>, and the 2026-27</w:t>
            </w:r>
            <w:r w:rsidRPr="46880878" w:rsidDel="118A22D7">
              <w:rPr>
                <w:i/>
                <w:iCs/>
              </w:rPr>
              <w:t xml:space="preserve"> </w:t>
            </w:r>
            <w:r w:rsidRPr="46880878">
              <w:rPr>
                <w:i/>
                <w:iCs/>
              </w:rPr>
              <w:t>target is lower than the 2025-26 target,</w:t>
            </w:r>
            <w:r w:rsidRPr="00F77DF8">
              <w:rPr>
                <w:i/>
              </w:rPr>
              <w:t xml:space="preserve"> due to </w:t>
            </w:r>
            <w:r w:rsidRPr="5F519B58">
              <w:rPr>
                <w:i/>
                <w:iCs/>
              </w:rPr>
              <w:t xml:space="preserve">changes </w:t>
            </w:r>
            <w:r w:rsidRPr="577C6165">
              <w:rPr>
                <w:i/>
                <w:iCs/>
              </w:rPr>
              <w:t xml:space="preserve">in </w:t>
            </w:r>
            <w:r w:rsidRPr="5F519B58">
              <w:rPr>
                <w:i/>
                <w:iCs/>
              </w:rPr>
              <w:t>forecasting methodology</w:t>
            </w:r>
            <w:r>
              <w:rPr>
                <w:i/>
                <w:iCs/>
              </w:rPr>
              <w:t>.</w:t>
            </w:r>
          </w:p>
        </w:tc>
      </w:tr>
      <w:tr w:rsidR="00C306A8" w14:paraId="0DEF0B75" w14:textId="77777777">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8F06E95" w14:textId="77777777" w:rsidR="00C306A8" w:rsidRDefault="00C306A8">
            <w:pPr>
              <w:keepNext/>
              <w:ind w:left="170"/>
            </w:pPr>
            <w:r>
              <w:t>Payments made for: tram services</w:t>
            </w:r>
          </w:p>
        </w:tc>
        <w:tc>
          <w:tcPr>
            <w:tcW w:w="964" w:type="dxa"/>
            <w:tcBorders>
              <w:top w:val="single" w:sz="6" w:space="0" w:color="auto"/>
            </w:tcBorders>
          </w:tcPr>
          <w:p w14:paraId="2ACF040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top w:val="single" w:sz="6" w:space="0" w:color="auto"/>
            </w:tcBorders>
            <w:shd w:val="clear" w:color="auto" w:fill="F0F0F0"/>
          </w:tcPr>
          <w:p w14:paraId="62DB29DB" w14:textId="77777777" w:rsidR="00C306A8" w:rsidRDefault="00C306A8">
            <w:pPr>
              <w:cnfStyle w:val="000000000000" w:firstRow="0" w:lastRow="0" w:firstColumn="0" w:lastColumn="0" w:oddVBand="0" w:evenVBand="0" w:oddHBand="0" w:evenHBand="0" w:firstRowFirstColumn="0" w:firstRowLastColumn="0" w:lastRowFirstColumn="0" w:lastRowLastColumn="0"/>
            </w:pPr>
            <w:r>
              <w:t>720.5</w:t>
            </w:r>
          </w:p>
        </w:tc>
        <w:tc>
          <w:tcPr>
            <w:tcW w:w="964" w:type="dxa"/>
            <w:tcBorders>
              <w:top w:val="single" w:sz="6" w:space="0" w:color="auto"/>
            </w:tcBorders>
          </w:tcPr>
          <w:p w14:paraId="0CE1AD2C" w14:textId="77777777" w:rsidR="00C306A8" w:rsidRDefault="00C306A8">
            <w:pPr>
              <w:cnfStyle w:val="000000000000" w:firstRow="0" w:lastRow="0" w:firstColumn="0" w:lastColumn="0" w:oddVBand="0" w:evenVBand="0" w:oddHBand="0" w:evenHBand="0" w:firstRowFirstColumn="0" w:firstRowLastColumn="0" w:lastRowFirstColumn="0" w:lastRowLastColumn="0"/>
            </w:pPr>
            <w:r>
              <w:t>739.6</w:t>
            </w:r>
          </w:p>
        </w:tc>
        <w:tc>
          <w:tcPr>
            <w:tcW w:w="964" w:type="dxa"/>
            <w:tcBorders>
              <w:top w:val="single" w:sz="6" w:space="0" w:color="auto"/>
            </w:tcBorders>
          </w:tcPr>
          <w:p w14:paraId="48BD3911" w14:textId="77777777" w:rsidR="00C306A8" w:rsidRDefault="00C306A8">
            <w:pPr>
              <w:cnfStyle w:val="000000000000" w:firstRow="0" w:lastRow="0" w:firstColumn="0" w:lastColumn="0" w:oddVBand="0" w:evenVBand="0" w:oddHBand="0" w:evenHBand="0" w:firstRowFirstColumn="0" w:firstRowLastColumn="0" w:lastRowFirstColumn="0" w:lastRowLastColumn="0"/>
            </w:pPr>
            <w:r>
              <w:t>739.6</w:t>
            </w:r>
          </w:p>
        </w:tc>
        <w:tc>
          <w:tcPr>
            <w:tcW w:w="964" w:type="dxa"/>
            <w:tcBorders>
              <w:top w:val="single" w:sz="6" w:space="0" w:color="auto"/>
            </w:tcBorders>
          </w:tcPr>
          <w:p w14:paraId="1E4310FA" w14:textId="77777777" w:rsidR="00C306A8" w:rsidRDefault="00C306A8">
            <w:pPr>
              <w:cnfStyle w:val="000000000000" w:firstRow="0" w:lastRow="0" w:firstColumn="0" w:lastColumn="0" w:oddVBand="0" w:evenVBand="0" w:oddHBand="0" w:evenHBand="0" w:firstRowFirstColumn="0" w:firstRowLastColumn="0" w:lastRowFirstColumn="0" w:lastRowLastColumn="0"/>
            </w:pPr>
            <w:r>
              <w:t>571.3</w:t>
            </w:r>
          </w:p>
        </w:tc>
      </w:tr>
      <w:tr w:rsidR="00C306A8" w14:paraId="14F1E78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9749AB" w14:textId="3CF31EBD" w:rsidR="00C306A8" w:rsidRDefault="00C306A8">
            <w:pPr>
              <w:ind w:left="170"/>
            </w:pPr>
            <w:r>
              <w:rPr>
                <w:i/>
              </w:rPr>
              <w:t xml:space="preserve">The lower 2026-27 target reflects </w:t>
            </w:r>
            <w:r w:rsidR="003F12E9">
              <w:rPr>
                <w:i/>
                <w:iCs/>
              </w:rPr>
              <w:t>the con</w:t>
            </w:r>
            <w:r w:rsidR="002D502A">
              <w:rPr>
                <w:i/>
                <w:iCs/>
              </w:rPr>
              <w:t>clusion of additional works performed related to rolling stock projects in 2025-26</w:t>
            </w:r>
            <w:r>
              <w:rPr>
                <w:i/>
              </w:rPr>
              <w:t>.</w:t>
            </w:r>
          </w:p>
        </w:tc>
      </w:tr>
      <w:tr w:rsidR="00C306A8" w14:paraId="36DA6870" w14:textId="77777777">
        <w:tc>
          <w:tcPr>
            <w:cnfStyle w:val="001000000000" w:firstRow="0" w:lastRow="0" w:firstColumn="1" w:lastColumn="0" w:oddVBand="0" w:evenVBand="0" w:oddHBand="0" w:evenHBand="0" w:firstRowFirstColumn="0" w:firstRowLastColumn="0" w:lastRowFirstColumn="0" w:lastRowLastColumn="0"/>
            <w:tcW w:w="4819" w:type="dxa"/>
          </w:tcPr>
          <w:p w14:paraId="1F4B3D85" w14:textId="77777777" w:rsidR="00C306A8" w:rsidRDefault="00C306A8">
            <w:pPr>
              <w:keepNext/>
              <w:ind w:left="170"/>
            </w:pPr>
            <w:r>
              <w:t>Public transport accessibility: level access tram stops upgraded</w:t>
            </w:r>
          </w:p>
        </w:tc>
        <w:tc>
          <w:tcPr>
            <w:tcW w:w="964" w:type="dxa"/>
          </w:tcPr>
          <w:p w14:paraId="2483E23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28B56F0"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66931D09"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34CDD92F"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58119DAA"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r>
      <w:tr w:rsidR="00C306A8" w14:paraId="07FD12B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3E556D1" w14:textId="77777777" w:rsidR="00C306A8" w:rsidRDefault="00C306A8">
            <w:pPr>
              <w:ind w:left="170"/>
            </w:pPr>
            <w:r>
              <w:rPr>
                <w:i/>
              </w:rPr>
              <w:t>The 2025-26 expected outcome is higher than the 2025-26 target due to the delivery of additional level access stops.</w:t>
            </w:r>
          </w:p>
          <w:p w14:paraId="404090BA" w14:textId="77777777" w:rsidR="00C306A8" w:rsidRDefault="00C306A8">
            <w:pPr>
              <w:ind w:left="170"/>
            </w:pPr>
            <w:r>
              <w:rPr>
                <w:i/>
              </w:rPr>
              <w:t>The higher 2026-27 target reflects the number of projects scheduled for completion in 2026-27.</w:t>
            </w:r>
          </w:p>
        </w:tc>
      </w:tr>
      <w:tr w:rsidR="00C306A8" w14:paraId="66F7865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2C342C8" w14:textId="77777777" w:rsidR="00C306A8" w:rsidRDefault="00C306A8">
            <w:pPr>
              <w:ind w:left="170"/>
            </w:pPr>
            <w:r>
              <w:t>Scheduled services delivered: tram</w:t>
            </w:r>
          </w:p>
        </w:tc>
        <w:tc>
          <w:tcPr>
            <w:tcW w:w="964" w:type="dxa"/>
            <w:tcBorders>
              <w:bottom w:val="single" w:sz="6" w:space="0" w:color="auto"/>
            </w:tcBorders>
          </w:tcPr>
          <w:p w14:paraId="67E5BFC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3FA4BCB"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bottom w:val="single" w:sz="6" w:space="0" w:color="auto"/>
            </w:tcBorders>
          </w:tcPr>
          <w:p w14:paraId="643A8E2D"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bottom w:val="single" w:sz="6" w:space="0" w:color="auto"/>
            </w:tcBorders>
          </w:tcPr>
          <w:p w14:paraId="356D2FB0" w14:textId="77777777" w:rsidR="00C306A8" w:rsidRDefault="00C306A8">
            <w:pPr>
              <w:cnfStyle w:val="000000000000" w:firstRow="0" w:lastRow="0" w:firstColumn="0" w:lastColumn="0" w:oddVBand="0" w:evenVBand="0" w:oddHBand="0" w:evenHBand="0" w:firstRowFirstColumn="0" w:firstRowLastColumn="0" w:lastRowFirstColumn="0" w:lastRowLastColumn="0"/>
            </w:pPr>
            <w:r>
              <w:t>98.5</w:t>
            </w:r>
          </w:p>
        </w:tc>
        <w:tc>
          <w:tcPr>
            <w:tcW w:w="964" w:type="dxa"/>
            <w:tcBorders>
              <w:bottom w:val="single" w:sz="6" w:space="0" w:color="auto"/>
            </w:tcBorders>
          </w:tcPr>
          <w:p w14:paraId="38CB3686" w14:textId="77777777" w:rsidR="00C306A8" w:rsidRDefault="00C306A8">
            <w:pPr>
              <w:cnfStyle w:val="000000000000" w:firstRow="0" w:lastRow="0" w:firstColumn="0" w:lastColumn="0" w:oddVBand="0" w:evenVBand="0" w:oddHBand="0" w:evenHBand="0" w:firstRowFirstColumn="0" w:firstRowLastColumn="0" w:lastRowFirstColumn="0" w:lastRowLastColumn="0"/>
            </w:pPr>
            <w:r>
              <w:t>98.3</w:t>
            </w:r>
          </w:p>
        </w:tc>
      </w:tr>
      <w:tr w:rsidR="00C306A8" w14:paraId="35165B9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0EAE698" w14:textId="77777777" w:rsidR="00C306A8" w:rsidRDefault="00C306A8">
            <w:pPr>
              <w:ind w:left="170"/>
            </w:pPr>
            <w:r>
              <w:t>Total kilometres scheduled: tram</w:t>
            </w:r>
          </w:p>
        </w:tc>
        <w:tc>
          <w:tcPr>
            <w:tcW w:w="964" w:type="dxa"/>
            <w:tcBorders>
              <w:bottom w:val="single" w:sz="6" w:space="0" w:color="auto"/>
            </w:tcBorders>
          </w:tcPr>
          <w:p w14:paraId="0E9D274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km (million)</w:t>
            </w:r>
          </w:p>
        </w:tc>
        <w:tc>
          <w:tcPr>
            <w:tcW w:w="964" w:type="dxa"/>
            <w:tcBorders>
              <w:bottom w:val="single" w:sz="6" w:space="0" w:color="auto"/>
            </w:tcBorders>
            <w:shd w:val="clear" w:color="auto" w:fill="F0F0F0"/>
          </w:tcPr>
          <w:p w14:paraId="3DF83192" w14:textId="77777777" w:rsidR="00C306A8" w:rsidRDefault="00C306A8">
            <w:pPr>
              <w:cnfStyle w:val="000000000000" w:firstRow="0" w:lastRow="0" w:firstColumn="0" w:lastColumn="0" w:oddVBand="0" w:evenVBand="0" w:oddHBand="0" w:evenHBand="0" w:firstRowFirstColumn="0" w:firstRowLastColumn="0" w:lastRowFirstColumn="0" w:lastRowLastColumn="0"/>
            </w:pPr>
            <w:r>
              <w:t>24.3</w:t>
            </w:r>
          </w:p>
        </w:tc>
        <w:tc>
          <w:tcPr>
            <w:tcW w:w="964" w:type="dxa"/>
            <w:tcBorders>
              <w:bottom w:val="single" w:sz="6" w:space="0" w:color="auto"/>
            </w:tcBorders>
          </w:tcPr>
          <w:p w14:paraId="75928E05" w14:textId="77777777" w:rsidR="00C306A8" w:rsidRDefault="00C306A8">
            <w:pPr>
              <w:cnfStyle w:val="000000000000" w:firstRow="0" w:lastRow="0" w:firstColumn="0" w:lastColumn="0" w:oddVBand="0" w:evenVBand="0" w:oddHBand="0" w:evenHBand="0" w:firstRowFirstColumn="0" w:firstRowLastColumn="0" w:lastRowFirstColumn="0" w:lastRowLastColumn="0"/>
            </w:pPr>
            <w:r>
              <w:t>24.3</w:t>
            </w:r>
          </w:p>
        </w:tc>
        <w:tc>
          <w:tcPr>
            <w:tcW w:w="964" w:type="dxa"/>
            <w:tcBorders>
              <w:bottom w:val="single" w:sz="6" w:space="0" w:color="auto"/>
            </w:tcBorders>
          </w:tcPr>
          <w:p w14:paraId="125F49CF" w14:textId="77777777" w:rsidR="00C306A8" w:rsidRDefault="00C306A8">
            <w:pPr>
              <w:cnfStyle w:val="000000000000" w:firstRow="0" w:lastRow="0" w:firstColumn="0" w:lastColumn="0" w:oddVBand="0" w:evenVBand="0" w:oddHBand="0" w:evenHBand="0" w:firstRowFirstColumn="0" w:firstRowLastColumn="0" w:lastRowFirstColumn="0" w:lastRowLastColumn="0"/>
            </w:pPr>
            <w:r>
              <w:t>24.3</w:t>
            </w:r>
          </w:p>
        </w:tc>
        <w:tc>
          <w:tcPr>
            <w:tcW w:w="964" w:type="dxa"/>
            <w:tcBorders>
              <w:bottom w:val="single" w:sz="6" w:space="0" w:color="auto"/>
            </w:tcBorders>
          </w:tcPr>
          <w:p w14:paraId="6C9F4491" w14:textId="77777777" w:rsidR="00C306A8" w:rsidRDefault="00C306A8">
            <w:pPr>
              <w:cnfStyle w:val="000000000000" w:firstRow="0" w:lastRow="0" w:firstColumn="0" w:lastColumn="0" w:oddVBand="0" w:evenVBand="0" w:oddHBand="0" w:evenHBand="0" w:firstRowFirstColumn="0" w:firstRowLastColumn="0" w:lastRowFirstColumn="0" w:lastRowLastColumn="0"/>
            </w:pPr>
            <w:r>
              <w:t>24.4</w:t>
            </w:r>
          </w:p>
        </w:tc>
      </w:tr>
      <w:tr w:rsidR="00C306A8" w:rsidRPr="00735CFC" w14:paraId="7E822A5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5C5C0CC" w14:textId="77777777" w:rsidR="00C306A8" w:rsidRPr="00735CFC" w:rsidRDefault="00C306A8">
            <w:pPr>
              <w:keepNext/>
              <w:rPr>
                <w:b/>
              </w:rPr>
            </w:pPr>
            <w:r w:rsidRPr="00735CFC">
              <w:rPr>
                <w:b/>
              </w:rPr>
              <w:t>Quality</w:t>
            </w:r>
          </w:p>
        </w:tc>
      </w:tr>
      <w:tr w:rsidR="00C306A8" w14:paraId="6AD0989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2A07DAA" w14:textId="77777777" w:rsidR="00C306A8" w:rsidRDefault="00C306A8">
            <w:pPr>
              <w:ind w:left="170"/>
            </w:pPr>
            <w:r>
              <w:t>Availability of rolling stock: trams</w:t>
            </w:r>
          </w:p>
        </w:tc>
        <w:tc>
          <w:tcPr>
            <w:tcW w:w="964" w:type="dxa"/>
            <w:tcBorders>
              <w:bottom w:val="single" w:sz="6" w:space="0" w:color="auto"/>
            </w:tcBorders>
          </w:tcPr>
          <w:p w14:paraId="4201C60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9173AF5"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6B3DB439"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937EC23"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16AD741"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7266D55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F7B2A6E" w14:textId="77777777" w:rsidR="00C306A8" w:rsidRDefault="00C306A8">
            <w:pPr>
              <w:ind w:left="170"/>
            </w:pPr>
            <w:r>
              <w:t>Customer experience index: tram services</w:t>
            </w:r>
          </w:p>
        </w:tc>
        <w:tc>
          <w:tcPr>
            <w:tcW w:w="964" w:type="dxa"/>
            <w:tcBorders>
              <w:bottom w:val="single" w:sz="6" w:space="0" w:color="auto"/>
            </w:tcBorders>
          </w:tcPr>
          <w:p w14:paraId="131799C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score</w:t>
            </w:r>
          </w:p>
        </w:tc>
        <w:tc>
          <w:tcPr>
            <w:tcW w:w="964" w:type="dxa"/>
            <w:tcBorders>
              <w:bottom w:val="single" w:sz="6" w:space="0" w:color="auto"/>
            </w:tcBorders>
            <w:shd w:val="clear" w:color="auto" w:fill="F0F0F0"/>
          </w:tcPr>
          <w:p w14:paraId="0B7221C9" w14:textId="77777777" w:rsidR="00C306A8" w:rsidRDefault="00C306A8">
            <w:pPr>
              <w:cnfStyle w:val="000000000000" w:firstRow="0" w:lastRow="0" w:firstColumn="0" w:lastColumn="0" w:oddVBand="0" w:evenVBand="0" w:oddHBand="0" w:evenHBand="0" w:firstRowFirstColumn="0" w:firstRowLastColumn="0" w:lastRowFirstColumn="0" w:lastRowLastColumn="0"/>
            </w:pPr>
            <w:r>
              <w:t>78</w:t>
            </w:r>
          </w:p>
        </w:tc>
        <w:tc>
          <w:tcPr>
            <w:tcW w:w="964" w:type="dxa"/>
            <w:tcBorders>
              <w:bottom w:val="single" w:sz="6" w:space="0" w:color="auto"/>
            </w:tcBorders>
          </w:tcPr>
          <w:p w14:paraId="3486D6FD" w14:textId="77777777" w:rsidR="00C306A8" w:rsidRDefault="00C306A8">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33F27FE1" w14:textId="77777777" w:rsidR="00C306A8" w:rsidRDefault="00C306A8">
            <w:pPr>
              <w:cnfStyle w:val="000000000000" w:firstRow="0" w:lastRow="0" w:firstColumn="0" w:lastColumn="0" w:oddVBand="0" w:evenVBand="0" w:oddHBand="0" w:evenHBand="0" w:firstRowFirstColumn="0" w:firstRowLastColumn="0" w:lastRowFirstColumn="0" w:lastRowLastColumn="0"/>
            </w:pPr>
            <w:r>
              <w:t>78</w:t>
            </w:r>
          </w:p>
        </w:tc>
        <w:tc>
          <w:tcPr>
            <w:tcW w:w="964" w:type="dxa"/>
            <w:tcBorders>
              <w:bottom w:val="single" w:sz="6" w:space="0" w:color="auto"/>
            </w:tcBorders>
          </w:tcPr>
          <w:p w14:paraId="792097A7" w14:textId="77777777" w:rsidR="00C306A8" w:rsidRDefault="00C306A8">
            <w:pPr>
              <w:cnfStyle w:val="000000000000" w:firstRow="0" w:lastRow="0" w:firstColumn="0" w:lastColumn="0" w:oddVBand="0" w:evenVBand="0" w:oddHBand="0" w:evenHBand="0" w:firstRowFirstColumn="0" w:firstRowLastColumn="0" w:lastRowFirstColumn="0" w:lastRowLastColumn="0"/>
            </w:pPr>
            <w:r>
              <w:t>79.2</w:t>
            </w:r>
          </w:p>
        </w:tc>
      </w:tr>
      <w:tr w:rsidR="00C306A8" w14:paraId="7A61D1D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E13EF47" w14:textId="77777777" w:rsidR="00C306A8" w:rsidRDefault="00C306A8">
            <w:pPr>
              <w:ind w:left="170"/>
            </w:pPr>
            <w:r>
              <w:t>Metropolitan fare compliance rate: tram services</w:t>
            </w:r>
          </w:p>
        </w:tc>
        <w:tc>
          <w:tcPr>
            <w:tcW w:w="964" w:type="dxa"/>
            <w:tcBorders>
              <w:bottom w:val="single" w:sz="6" w:space="0" w:color="auto"/>
            </w:tcBorders>
          </w:tcPr>
          <w:p w14:paraId="0DCF744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AAD6B09" w14:textId="77777777" w:rsidR="00C306A8" w:rsidRDefault="00C306A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19F039E6" w14:textId="77777777" w:rsidR="00C306A8" w:rsidRDefault="00C306A8">
            <w:pPr>
              <w:cnfStyle w:val="000000000000" w:firstRow="0" w:lastRow="0" w:firstColumn="0" w:lastColumn="0" w:oddVBand="0" w:evenVBand="0" w:oddHBand="0" w:evenHBand="0" w:firstRowFirstColumn="0" w:firstRowLastColumn="0" w:lastRowFirstColumn="0" w:lastRowLastColumn="0"/>
            </w:pPr>
            <w:r>
              <w:t>93.4</w:t>
            </w:r>
          </w:p>
        </w:tc>
        <w:tc>
          <w:tcPr>
            <w:tcW w:w="964" w:type="dxa"/>
            <w:tcBorders>
              <w:bottom w:val="single" w:sz="6" w:space="0" w:color="auto"/>
            </w:tcBorders>
          </w:tcPr>
          <w:p w14:paraId="2FE9E92C" w14:textId="77777777" w:rsidR="00C306A8" w:rsidRDefault="00C306A8">
            <w:pPr>
              <w:cnfStyle w:val="000000000000" w:firstRow="0" w:lastRow="0" w:firstColumn="0" w:lastColumn="0" w:oddVBand="0" w:evenVBand="0" w:oddHBand="0" w:evenHBand="0" w:firstRowFirstColumn="0" w:firstRowLastColumn="0" w:lastRowFirstColumn="0" w:lastRowLastColumn="0"/>
            </w:pPr>
            <w:r>
              <w:t>96</w:t>
            </w:r>
          </w:p>
        </w:tc>
        <w:tc>
          <w:tcPr>
            <w:tcW w:w="964" w:type="dxa"/>
            <w:tcBorders>
              <w:bottom w:val="single" w:sz="6" w:space="0" w:color="auto"/>
            </w:tcBorders>
          </w:tcPr>
          <w:p w14:paraId="3BA314CD" w14:textId="77777777" w:rsidR="00C306A8" w:rsidRDefault="00C306A8">
            <w:pPr>
              <w:cnfStyle w:val="000000000000" w:firstRow="0" w:lastRow="0" w:firstColumn="0" w:lastColumn="0" w:oddVBand="0" w:evenVBand="0" w:oddHBand="0" w:evenHBand="0" w:firstRowFirstColumn="0" w:firstRowLastColumn="0" w:lastRowFirstColumn="0" w:lastRowLastColumn="0"/>
            </w:pPr>
            <w:r>
              <w:t>95.9</w:t>
            </w:r>
          </w:p>
        </w:tc>
      </w:tr>
      <w:tr w:rsidR="00C306A8" w:rsidRPr="00735CFC" w14:paraId="450E106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5BB147F" w14:textId="77777777" w:rsidR="00C306A8" w:rsidRPr="00735CFC" w:rsidRDefault="00C306A8">
            <w:pPr>
              <w:keepNext/>
              <w:rPr>
                <w:b/>
              </w:rPr>
            </w:pPr>
            <w:r w:rsidRPr="00735CFC">
              <w:rPr>
                <w:b/>
              </w:rPr>
              <w:t>Timeliness</w:t>
            </w:r>
          </w:p>
        </w:tc>
      </w:tr>
      <w:tr w:rsidR="00C306A8" w14:paraId="772EE70F" w14:textId="77777777">
        <w:tc>
          <w:tcPr>
            <w:cnfStyle w:val="001000000000" w:firstRow="0" w:lastRow="0" w:firstColumn="1" w:lastColumn="0" w:oddVBand="0" w:evenVBand="0" w:oddHBand="0" w:evenHBand="0" w:firstRowFirstColumn="0" w:firstRowLastColumn="0" w:lastRowFirstColumn="0" w:lastRowLastColumn="0"/>
            <w:tcW w:w="4819" w:type="dxa"/>
          </w:tcPr>
          <w:p w14:paraId="4797DEBD" w14:textId="77777777" w:rsidR="00C306A8" w:rsidRDefault="00C306A8">
            <w:pPr>
              <w:keepNext/>
              <w:ind w:left="170"/>
            </w:pPr>
            <w:r>
              <w:t>Major periodic maintenance works completed against plan: tram network</w:t>
            </w:r>
          </w:p>
        </w:tc>
        <w:tc>
          <w:tcPr>
            <w:tcW w:w="964" w:type="dxa"/>
          </w:tcPr>
          <w:p w14:paraId="2848CFA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C530F1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69769B87" w14:textId="77777777" w:rsidR="00C306A8" w:rsidRDefault="00C306A8">
            <w:pPr>
              <w:cnfStyle w:val="000000000000" w:firstRow="0" w:lastRow="0" w:firstColumn="0" w:lastColumn="0" w:oddVBand="0" w:evenVBand="0" w:oddHBand="0" w:evenHBand="0" w:firstRowFirstColumn="0" w:firstRowLastColumn="0" w:lastRowFirstColumn="0" w:lastRowLastColumn="0"/>
            </w:pPr>
            <w:r>
              <w:t>77</w:t>
            </w:r>
          </w:p>
        </w:tc>
        <w:tc>
          <w:tcPr>
            <w:tcW w:w="964" w:type="dxa"/>
          </w:tcPr>
          <w:p w14:paraId="06397066"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6499B12D" w14:textId="77777777" w:rsidR="00C306A8" w:rsidRDefault="00C306A8">
            <w:pPr>
              <w:cnfStyle w:val="000000000000" w:firstRow="0" w:lastRow="0" w:firstColumn="0" w:lastColumn="0" w:oddVBand="0" w:evenVBand="0" w:oddHBand="0" w:evenHBand="0" w:firstRowFirstColumn="0" w:firstRowLastColumn="0" w:lastRowFirstColumn="0" w:lastRowLastColumn="0"/>
            </w:pPr>
            <w:r>
              <w:t>87</w:t>
            </w:r>
          </w:p>
        </w:tc>
      </w:tr>
      <w:tr w:rsidR="00C306A8" w14:paraId="3C8B46E7"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D6310E0" w14:textId="77777777" w:rsidR="00C306A8" w:rsidRDefault="00C306A8">
            <w:pPr>
              <w:ind w:left="170"/>
            </w:pPr>
            <w:r>
              <w:rPr>
                <w:i/>
              </w:rPr>
              <w:t>The 2025-26 expected outcome is lower than the 2025-26 target to reschedule program to better align with capital works program and reduce customer impacts from network disruptions.</w:t>
            </w:r>
          </w:p>
        </w:tc>
      </w:tr>
      <w:tr w:rsidR="00C306A8" w14:paraId="70AF61F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62BEA7A" w14:textId="77777777" w:rsidR="00C306A8" w:rsidRDefault="00C306A8">
            <w:pPr>
              <w:ind w:left="170"/>
            </w:pPr>
            <w:r>
              <w:t>Service punctuality for: tram services</w:t>
            </w:r>
          </w:p>
        </w:tc>
        <w:tc>
          <w:tcPr>
            <w:tcW w:w="964" w:type="dxa"/>
            <w:tcBorders>
              <w:bottom w:val="single" w:sz="6" w:space="0" w:color="auto"/>
            </w:tcBorders>
          </w:tcPr>
          <w:p w14:paraId="1DCF2D0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FFE3B4F" w14:textId="77777777" w:rsidR="00C306A8" w:rsidRDefault="00C306A8">
            <w:pPr>
              <w:cnfStyle w:val="000000000000" w:firstRow="0" w:lastRow="0" w:firstColumn="0" w:lastColumn="0" w:oddVBand="0" w:evenVBand="0" w:oddHBand="0" w:evenHBand="0" w:firstRowFirstColumn="0" w:firstRowLastColumn="0" w:lastRowFirstColumn="0" w:lastRowLastColumn="0"/>
            </w:pPr>
            <w:r>
              <w:t>82</w:t>
            </w:r>
          </w:p>
        </w:tc>
        <w:tc>
          <w:tcPr>
            <w:tcW w:w="964" w:type="dxa"/>
            <w:tcBorders>
              <w:bottom w:val="single" w:sz="6" w:space="0" w:color="auto"/>
            </w:tcBorders>
          </w:tcPr>
          <w:p w14:paraId="4736052A" w14:textId="77777777" w:rsidR="00C306A8" w:rsidRDefault="00C306A8">
            <w:pPr>
              <w:cnfStyle w:val="000000000000" w:firstRow="0" w:lastRow="0" w:firstColumn="0" w:lastColumn="0" w:oddVBand="0" w:evenVBand="0" w:oddHBand="0" w:evenHBand="0" w:firstRowFirstColumn="0" w:firstRowLastColumn="0" w:lastRowFirstColumn="0" w:lastRowLastColumn="0"/>
            </w:pPr>
            <w:r>
              <w:t>82</w:t>
            </w:r>
          </w:p>
        </w:tc>
        <w:tc>
          <w:tcPr>
            <w:tcW w:w="964" w:type="dxa"/>
            <w:tcBorders>
              <w:bottom w:val="single" w:sz="6" w:space="0" w:color="auto"/>
            </w:tcBorders>
          </w:tcPr>
          <w:p w14:paraId="7E70F053" w14:textId="77777777" w:rsidR="00C306A8" w:rsidRDefault="00C306A8">
            <w:pPr>
              <w:cnfStyle w:val="000000000000" w:firstRow="0" w:lastRow="0" w:firstColumn="0" w:lastColumn="0" w:oddVBand="0" w:evenVBand="0" w:oddHBand="0" w:evenHBand="0" w:firstRowFirstColumn="0" w:firstRowLastColumn="0" w:lastRowFirstColumn="0" w:lastRowLastColumn="0"/>
            </w:pPr>
            <w:r>
              <w:t>82</w:t>
            </w:r>
          </w:p>
        </w:tc>
        <w:tc>
          <w:tcPr>
            <w:tcW w:w="964" w:type="dxa"/>
            <w:tcBorders>
              <w:bottom w:val="single" w:sz="6" w:space="0" w:color="auto"/>
            </w:tcBorders>
          </w:tcPr>
          <w:p w14:paraId="4DC098B6" w14:textId="77777777" w:rsidR="00C306A8" w:rsidRDefault="00C306A8">
            <w:pPr>
              <w:cnfStyle w:val="000000000000" w:firstRow="0" w:lastRow="0" w:firstColumn="0" w:lastColumn="0" w:oddVBand="0" w:evenVBand="0" w:oddHBand="0" w:evenHBand="0" w:firstRowFirstColumn="0" w:firstRowLastColumn="0" w:lastRowFirstColumn="0" w:lastRowLastColumn="0"/>
            </w:pPr>
            <w:r>
              <w:t>82.7</w:t>
            </w:r>
          </w:p>
        </w:tc>
      </w:tr>
      <w:tr w:rsidR="00C306A8" w:rsidRPr="00735CFC" w14:paraId="6516EA9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34F5259" w14:textId="77777777" w:rsidR="00C306A8" w:rsidRPr="00735CFC" w:rsidRDefault="00C306A8">
            <w:pPr>
              <w:keepNext/>
              <w:rPr>
                <w:b/>
              </w:rPr>
            </w:pPr>
            <w:r w:rsidRPr="00735CFC">
              <w:rPr>
                <w:b/>
              </w:rPr>
              <w:t>Cost</w:t>
            </w:r>
          </w:p>
        </w:tc>
      </w:tr>
      <w:tr w:rsidR="00C306A8" w14:paraId="614F86C0" w14:textId="77777777">
        <w:tc>
          <w:tcPr>
            <w:cnfStyle w:val="001000000000" w:firstRow="0" w:lastRow="0" w:firstColumn="1" w:lastColumn="0" w:oddVBand="0" w:evenVBand="0" w:oddHBand="0" w:evenHBand="0" w:firstRowFirstColumn="0" w:firstRowLastColumn="0" w:lastRowFirstColumn="0" w:lastRowLastColumn="0"/>
            <w:tcW w:w="4819" w:type="dxa"/>
          </w:tcPr>
          <w:p w14:paraId="3B32568E" w14:textId="77777777" w:rsidR="00C306A8" w:rsidRDefault="00C306A8">
            <w:pPr>
              <w:keepNext/>
              <w:ind w:left="170"/>
            </w:pPr>
            <w:r>
              <w:t>Total output cost</w:t>
            </w:r>
          </w:p>
        </w:tc>
        <w:tc>
          <w:tcPr>
            <w:tcW w:w="964" w:type="dxa"/>
          </w:tcPr>
          <w:p w14:paraId="152F6C2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7555448" w14:textId="77777777" w:rsidR="00C306A8" w:rsidRDefault="00C306A8">
            <w:pPr>
              <w:cnfStyle w:val="000000000000" w:firstRow="0" w:lastRow="0" w:firstColumn="0" w:lastColumn="0" w:oddVBand="0" w:evenVBand="0" w:oddHBand="0" w:evenHBand="0" w:firstRowFirstColumn="0" w:firstRowLastColumn="0" w:lastRowFirstColumn="0" w:lastRowLastColumn="0"/>
            </w:pPr>
            <w:r>
              <w:t>784.7</w:t>
            </w:r>
          </w:p>
        </w:tc>
        <w:tc>
          <w:tcPr>
            <w:tcW w:w="964" w:type="dxa"/>
          </w:tcPr>
          <w:p w14:paraId="7F8F43DD" w14:textId="571076AE" w:rsidR="00C306A8" w:rsidRDefault="00C306A8">
            <w:pPr>
              <w:cnfStyle w:val="000000000000" w:firstRow="0" w:lastRow="0" w:firstColumn="0" w:lastColumn="0" w:oddVBand="0" w:evenVBand="0" w:oddHBand="0" w:evenHBand="0" w:firstRowFirstColumn="0" w:firstRowLastColumn="0" w:lastRowFirstColumn="0" w:lastRowLastColumn="0"/>
            </w:pPr>
            <w:r>
              <w:t>771.</w:t>
            </w:r>
            <w:r w:rsidR="00D353FB">
              <w:t>8</w:t>
            </w:r>
          </w:p>
        </w:tc>
        <w:tc>
          <w:tcPr>
            <w:tcW w:w="964" w:type="dxa"/>
          </w:tcPr>
          <w:p w14:paraId="362B8333" w14:textId="77777777" w:rsidR="00C306A8" w:rsidRDefault="00C306A8">
            <w:pPr>
              <w:cnfStyle w:val="000000000000" w:firstRow="0" w:lastRow="0" w:firstColumn="0" w:lastColumn="0" w:oddVBand="0" w:evenVBand="0" w:oddHBand="0" w:evenHBand="0" w:firstRowFirstColumn="0" w:firstRowLastColumn="0" w:lastRowFirstColumn="0" w:lastRowLastColumn="0"/>
            </w:pPr>
            <w:r>
              <w:t>775.7</w:t>
            </w:r>
          </w:p>
        </w:tc>
        <w:tc>
          <w:tcPr>
            <w:tcW w:w="964" w:type="dxa"/>
          </w:tcPr>
          <w:p w14:paraId="3E551691" w14:textId="77777777" w:rsidR="00C306A8" w:rsidRDefault="00C306A8">
            <w:pPr>
              <w:cnfStyle w:val="000000000000" w:firstRow="0" w:lastRow="0" w:firstColumn="0" w:lastColumn="0" w:oddVBand="0" w:evenVBand="0" w:oddHBand="0" w:evenHBand="0" w:firstRowFirstColumn="0" w:firstRowLastColumn="0" w:lastRowFirstColumn="0" w:lastRowLastColumn="0"/>
            </w:pPr>
            <w:r>
              <w:t>606.3</w:t>
            </w:r>
          </w:p>
        </w:tc>
      </w:tr>
      <w:tr w:rsidR="00C306A8" w14:paraId="3FC719AE" w14:textId="77777777" w:rsidTr="009713D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2F157EE" w14:textId="55EEFEB8" w:rsidR="00C306A8" w:rsidRPr="00DC417D" w:rsidRDefault="00C306A8">
            <w:pPr>
              <w:ind w:left="170"/>
              <w:rPr>
                <w:i/>
              </w:rPr>
            </w:pPr>
            <w:r w:rsidRPr="00DC417D">
              <w:rPr>
                <w:i/>
              </w:rPr>
              <w:t>The</w:t>
            </w:r>
            <w:r w:rsidR="00632736">
              <w:rPr>
                <w:i/>
              </w:rPr>
              <w:t xml:space="preserve"> higher</w:t>
            </w:r>
            <w:r w:rsidRPr="00DC417D">
              <w:rPr>
                <w:i/>
              </w:rPr>
              <w:t xml:space="preserve"> 2026-27 target </w:t>
            </w:r>
            <w:r w:rsidR="0068412D">
              <w:rPr>
                <w:i/>
              </w:rPr>
              <w:t>reflects additional investment in new and improved tram services</w:t>
            </w:r>
            <w:r w:rsidRPr="00DC417D">
              <w:rPr>
                <w:i/>
              </w:rPr>
              <w:t>.</w:t>
            </w:r>
          </w:p>
        </w:tc>
      </w:tr>
    </w:tbl>
    <w:p w14:paraId="54310858" w14:textId="77777777" w:rsidR="00C306A8" w:rsidRDefault="00C306A8" w:rsidP="00C306A8">
      <w:pPr>
        <w:pStyle w:val="Source"/>
      </w:pPr>
      <w:r>
        <w:t>Source: Department of Transport and Planning</w:t>
      </w:r>
    </w:p>
    <w:p w14:paraId="4113C12D" w14:textId="45A96A41" w:rsidR="00C306A8" w:rsidRDefault="00C306A8" w:rsidP="00C306A8">
      <w:pPr>
        <w:keepLines w:val="0"/>
      </w:pPr>
    </w:p>
    <w:p w14:paraId="2312A68E" w14:textId="77777777" w:rsidR="00735CFC" w:rsidRDefault="00735CFC">
      <w:pPr>
        <w:keepLines w:val="0"/>
        <w:rPr>
          <w:rFonts w:asciiTheme="majorHAnsi" w:hAnsiTheme="majorHAnsi" w:cstheme="minorBidi"/>
          <w:b/>
          <w:sz w:val="20"/>
        </w:rPr>
      </w:pPr>
      <w:r>
        <w:br w:type="page"/>
      </w:r>
    </w:p>
    <w:p w14:paraId="2DE6C513" w14:textId="77777777" w:rsidR="00C306A8" w:rsidRDefault="00C306A8" w:rsidP="00C306A8">
      <w:pPr>
        <w:pStyle w:val="ShadedBoxHeading"/>
      </w:pPr>
      <w:r>
        <w:lastRenderedPageBreak/>
        <w:t>Objective 2: Safe and well-regulated transport services</w:t>
      </w:r>
    </w:p>
    <w:p w14:paraId="092328B2" w14:textId="77777777" w:rsidR="00C306A8" w:rsidRDefault="00C306A8" w:rsidP="00C306A8">
      <w:pPr>
        <w:pStyle w:val="ShadedBoxText"/>
      </w:pPr>
      <w:r>
        <w:t xml:space="preserve">This objective focuses on helping Victorians arrive safely, whether they are travelling by road, rail or water. </w:t>
      </w:r>
    </w:p>
    <w:p w14:paraId="24DCF062" w14:textId="77777777" w:rsidR="00C306A8" w:rsidRDefault="00C306A8" w:rsidP="00C306A8">
      <w:pPr>
        <w:pStyle w:val="ShadedBoxText"/>
      </w:pPr>
      <w:r>
        <w:t>The departmental objective indicator is:</w:t>
      </w:r>
    </w:p>
    <w:p w14:paraId="4AFEB086" w14:textId="77777777" w:rsidR="00C306A8" w:rsidRDefault="00C306A8" w:rsidP="00C306A8">
      <w:pPr>
        <w:pStyle w:val="ShadedBoxBullet"/>
      </w:pPr>
      <w:r>
        <w:t>safety of the transport system.</w:t>
      </w:r>
    </w:p>
    <w:p w14:paraId="27C6E51D" w14:textId="77777777" w:rsidR="00C306A8" w:rsidRDefault="00C306A8" w:rsidP="00C306A8">
      <w:pPr>
        <w:pStyle w:val="Heading2"/>
      </w:pPr>
      <w:r>
        <w:t>Outputs</w:t>
      </w:r>
    </w:p>
    <w:p w14:paraId="14505A9C" w14:textId="77777777" w:rsidR="00C306A8" w:rsidRDefault="00C306A8" w:rsidP="00C306A8">
      <w:pPr>
        <w:pStyle w:val="Heading3"/>
      </w:pPr>
      <w:r>
        <w:t>Regulation of Commercial Passenger Vehicle Services</w:t>
      </w:r>
      <w:r>
        <w:tab/>
        <w:t>(2026-27: $116.8 million)</w:t>
      </w:r>
    </w:p>
    <w:p w14:paraId="69B0DAAD" w14:textId="77777777" w:rsidR="00C306A8" w:rsidRPr="00396B48" w:rsidRDefault="00C306A8" w:rsidP="00C306A8">
      <w:pPr>
        <w:spacing w:after="120"/>
      </w:pPr>
      <w:r w:rsidRPr="00D1637B">
        <w:t>This output delivers a commercial passenger vehicle industry that is customer-focused, safe, accessible and competitive in metropolitan and regional Victoria through regulating commercial passenger vehicles, booking service providers, and drivers.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18F5DDD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40C20E0B" w14:textId="77777777" w:rsidR="00C306A8" w:rsidRDefault="00C306A8">
            <w:r>
              <w:t>Performance measure</w:t>
            </w:r>
          </w:p>
        </w:tc>
        <w:tc>
          <w:tcPr>
            <w:tcW w:w="964" w:type="dxa"/>
          </w:tcPr>
          <w:p w14:paraId="6FA184C0"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26EA1E7"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945E0FB"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8D4AA4A"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195C00E"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735CFC" w14:paraId="4745054E"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2B4D15AB" w14:textId="77777777" w:rsidR="00C306A8" w:rsidRPr="00735CFC" w:rsidRDefault="00C306A8">
            <w:pPr>
              <w:keepNext/>
              <w:rPr>
                <w:b/>
              </w:rPr>
            </w:pPr>
            <w:r w:rsidRPr="00735CFC">
              <w:rPr>
                <w:b/>
              </w:rPr>
              <w:t>Quantity</w:t>
            </w:r>
          </w:p>
        </w:tc>
      </w:tr>
      <w:tr w:rsidR="00C306A8" w14:paraId="2A3B16CF" w14:textId="77777777">
        <w:tc>
          <w:tcPr>
            <w:cnfStyle w:val="001000000000" w:firstRow="0" w:lastRow="0" w:firstColumn="1" w:lastColumn="0" w:oddVBand="0" w:evenVBand="0" w:oddHBand="0" w:evenHBand="0" w:firstRowFirstColumn="0" w:firstRowLastColumn="0" w:lastRowFirstColumn="0" w:lastRowLastColumn="0"/>
            <w:tcW w:w="4820" w:type="dxa"/>
          </w:tcPr>
          <w:p w14:paraId="3DE9666A" w14:textId="77777777" w:rsidR="00C306A8" w:rsidRDefault="00C306A8">
            <w:pPr>
              <w:keepNext/>
              <w:ind w:left="170"/>
            </w:pPr>
            <w:r>
              <w:t>Completed driver accreditation applications processed</w:t>
            </w:r>
          </w:p>
        </w:tc>
        <w:tc>
          <w:tcPr>
            <w:tcW w:w="964" w:type="dxa"/>
          </w:tcPr>
          <w:p w14:paraId="3E0ACB9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F3267CE" w14:textId="77777777" w:rsidR="00C306A8" w:rsidRDefault="00C306A8">
            <w:pPr>
              <w:cnfStyle w:val="000000000000" w:firstRow="0" w:lastRow="0" w:firstColumn="0" w:lastColumn="0" w:oddVBand="0" w:evenVBand="0" w:oddHBand="0" w:evenHBand="0" w:firstRowFirstColumn="0" w:firstRowLastColumn="0" w:lastRowFirstColumn="0" w:lastRowLastColumn="0"/>
            </w:pPr>
            <w:r>
              <w:t>30 000</w:t>
            </w:r>
          </w:p>
        </w:tc>
        <w:tc>
          <w:tcPr>
            <w:tcW w:w="964" w:type="dxa"/>
          </w:tcPr>
          <w:p w14:paraId="0BC529E6" w14:textId="77777777" w:rsidR="00C306A8" w:rsidRDefault="00C306A8">
            <w:pPr>
              <w:cnfStyle w:val="000000000000" w:firstRow="0" w:lastRow="0" w:firstColumn="0" w:lastColumn="0" w:oddVBand="0" w:evenVBand="0" w:oddHBand="0" w:evenHBand="0" w:firstRowFirstColumn="0" w:firstRowLastColumn="0" w:lastRowFirstColumn="0" w:lastRowLastColumn="0"/>
            </w:pPr>
            <w:r>
              <w:t>29 000</w:t>
            </w:r>
          </w:p>
        </w:tc>
        <w:tc>
          <w:tcPr>
            <w:tcW w:w="964" w:type="dxa"/>
          </w:tcPr>
          <w:p w14:paraId="25E50ACA" w14:textId="77777777" w:rsidR="00C306A8" w:rsidRDefault="00C306A8">
            <w:pPr>
              <w:cnfStyle w:val="000000000000" w:firstRow="0" w:lastRow="0" w:firstColumn="0" w:lastColumn="0" w:oddVBand="0" w:evenVBand="0" w:oddHBand="0" w:evenHBand="0" w:firstRowFirstColumn="0" w:firstRowLastColumn="0" w:lastRowFirstColumn="0" w:lastRowLastColumn="0"/>
            </w:pPr>
            <w:r>
              <w:t>35 000</w:t>
            </w:r>
          </w:p>
        </w:tc>
        <w:tc>
          <w:tcPr>
            <w:tcW w:w="964" w:type="dxa"/>
          </w:tcPr>
          <w:p w14:paraId="5EDB9DA1" w14:textId="77777777" w:rsidR="00C306A8" w:rsidRDefault="00C306A8">
            <w:pPr>
              <w:cnfStyle w:val="000000000000" w:firstRow="0" w:lastRow="0" w:firstColumn="0" w:lastColumn="0" w:oddVBand="0" w:evenVBand="0" w:oddHBand="0" w:evenHBand="0" w:firstRowFirstColumn="0" w:firstRowLastColumn="0" w:lastRowFirstColumn="0" w:lastRowLastColumn="0"/>
            </w:pPr>
            <w:r>
              <w:t>29 903</w:t>
            </w:r>
          </w:p>
        </w:tc>
      </w:tr>
      <w:tr w:rsidR="00C306A8" w14:paraId="4BAB60F6"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7E6DD90" w14:textId="77777777" w:rsidR="00C306A8" w:rsidRDefault="00C306A8">
            <w:pPr>
              <w:ind w:left="170"/>
            </w:pPr>
            <w:r>
              <w:rPr>
                <w:i/>
              </w:rPr>
              <w:t>The 2025-26 expected outcome is lower than the 2025-26 target due to reduced demand for driver accreditation applications.</w:t>
            </w:r>
          </w:p>
          <w:p w14:paraId="2ECEB967" w14:textId="77777777" w:rsidR="00C306A8" w:rsidRDefault="00C306A8">
            <w:pPr>
              <w:ind w:left="170"/>
            </w:pPr>
            <w:r>
              <w:rPr>
                <w:i/>
              </w:rPr>
              <w:t>The lower 2026-27 target is due to reduced demand for driver accreditation applications.</w:t>
            </w:r>
          </w:p>
        </w:tc>
      </w:tr>
      <w:tr w:rsidR="00C306A8" w14:paraId="0C531A18" w14:textId="77777777">
        <w:tc>
          <w:tcPr>
            <w:cnfStyle w:val="001000000000" w:firstRow="0" w:lastRow="0" w:firstColumn="1" w:lastColumn="0" w:oddVBand="0" w:evenVBand="0" w:oddHBand="0" w:evenHBand="0" w:firstRowFirstColumn="0" w:firstRowLastColumn="0" w:lastRowFirstColumn="0" w:lastRowLastColumn="0"/>
            <w:tcW w:w="4820" w:type="dxa"/>
          </w:tcPr>
          <w:p w14:paraId="08B38E38" w14:textId="77777777" w:rsidR="00C306A8" w:rsidRDefault="00C306A8">
            <w:pPr>
              <w:keepNext/>
              <w:ind w:left="170"/>
            </w:pPr>
            <w:r>
              <w:t>Multi-Purpose Taxi Program: number of trips subsidised</w:t>
            </w:r>
          </w:p>
        </w:tc>
        <w:tc>
          <w:tcPr>
            <w:tcW w:w="964" w:type="dxa"/>
          </w:tcPr>
          <w:p w14:paraId="6B63AD7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6A01C39B" w14:textId="77777777" w:rsidR="00C306A8" w:rsidRDefault="00C306A8">
            <w:pPr>
              <w:cnfStyle w:val="000000000000" w:firstRow="0" w:lastRow="0" w:firstColumn="0" w:lastColumn="0" w:oddVBand="0" w:evenVBand="0" w:oddHBand="0" w:evenHBand="0" w:firstRowFirstColumn="0" w:firstRowLastColumn="0" w:lastRowFirstColumn="0" w:lastRowLastColumn="0"/>
            </w:pPr>
            <w:r>
              <w:t>5 000</w:t>
            </w:r>
          </w:p>
        </w:tc>
        <w:tc>
          <w:tcPr>
            <w:tcW w:w="964" w:type="dxa"/>
          </w:tcPr>
          <w:p w14:paraId="60B9FF60" w14:textId="77777777" w:rsidR="00C306A8" w:rsidRDefault="00C306A8">
            <w:pPr>
              <w:cnfStyle w:val="000000000000" w:firstRow="0" w:lastRow="0" w:firstColumn="0" w:lastColumn="0" w:oddVBand="0" w:evenVBand="0" w:oddHBand="0" w:evenHBand="0" w:firstRowFirstColumn="0" w:firstRowLastColumn="0" w:lastRowFirstColumn="0" w:lastRowLastColumn="0"/>
            </w:pPr>
            <w:r>
              <w:t>5 500</w:t>
            </w:r>
          </w:p>
        </w:tc>
        <w:tc>
          <w:tcPr>
            <w:tcW w:w="964" w:type="dxa"/>
          </w:tcPr>
          <w:p w14:paraId="5A86FF8F" w14:textId="77777777" w:rsidR="00C306A8" w:rsidRDefault="00C306A8">
            <w:pPr>
              <w:cnfStyle w:val="000000000000" w:firstRow="0" w:lastRow="0" w:firstColumn="0" w:lastColumn="0" w:oddVBand="0" w:evenVBand="0" w:oddHBand="0" w:evenHBand="0" w:firstRowFirstColumn="0" w:firstRowLastColumn="0" w:lastRowFirstColumn="0" w:lastRowLastColumn="0"/>
            </w:pPr>
            <w:r>
              <w:t>5 000</w:t>
            </w:r>
          </w:p>
        </w:tc>
        <w:tc>
          <w:tcPr>
            <w:tcW w:w="964" w:type="dxa"/>
          </w:tcPr>
          <w:p w14:paraId="0806EA31" w14:textId="77777777" w:rsidR="00C306A8" w:rsidRDefault="00C306A8">
            <w:pPr>
              <w:cnfStyle w:val="000000000000" w:firstRow="0" w:lastRow="0" w:firstColumn="0" w:lastColumn="0" w:oddVBand="0" w:evenVBand="0" w:oddHBand="0" w:evenHBand="0" w:firstRowFirstColumn="0" w:firstRowLastColumn="0" w:lastRowFirstColumn="0" w:lastRowLastColumn="0"/>
            </w:pPr>
            <w:r>
              <w:t>5 246</w:t>
            </w:r>
          </w:p>
        </w:tc>
      </w:tr>
      <w:tr w:rsidR="00C306A8" w14:paraId="47D91FEC"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B1CB859" w14:textId="77777777" w:rsidR="00C306A8" w:rsidRDefault="00C306A8">
            <w:pPr>
              <w:ind w:left="170"/>
            </w:pPr>
            <w:r>
              <w:rPr>
                <w:i/>
              </w:rPr>
              <w:t>The 2025-26 expected outcome is higher than the 2025-26 target due to higher demand for subsidised trips.</w:t>
            </w:r>
          </w:p>
        </w:tc>
      </w:tr>
      <w:tr w:rsidR="00C306A8" w14:paraId="5D3A8C94" w14:textId="77777777">
        <w:tc>
          <w:tcPr>
            <w:cnfStyle w:val="001000000000" w:firstRow="0" w:lastRow="0" w:firstColumn="1" w:lastColumn="0" w:oddVBand="0" w:evenVBand="0" w:oddHBand="0" w:evenHBand="0" w:firstRowFirstColumn="0" w:firstRowLastColumn="0" w:lastRowFirstColumn="0" w:lastRowLastColumn="0"/>
            <w:tcW w:w="4820" w:type="dxa"/>
          </w:tcPr>
          <w:p w14:paraId="6FAA88A8" w14:textId="77777777" w:rsidR="00C306A8" w:rsidRDefault="00C306A8">
            <w:pPr>
              <w:keepNext/>
              <w:ind w:left="170"/>
            </w:pPr>
            <w:r>
              <w:t>Multi-Purpose Taxi Program: number of wheelchair and scooter lifting fees paid</w:t>
            </w:r>
          </w:p>
        </w:tc>
        <w:tc>
          <w:tcPr>
            <w:tcW w:w="964" w:type="dxa"/>
          </w:tcPr>
          <w:p w14:paraId="7C4992C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2D9014E3" w14:textId="77777777" w:rsidR="00C306A8" w:rsidRDefault="00C306A8">
            <w:pPr>
              <w:cnfStyle w:val="000000000000" w:firstRow="0" w:lastRow="0" w:firstColumn="0" w:lastColumn="0" w:oddVBand="0" w:evenVBand="0" w:oddHBand="0" w:evenHBand="0" w:firstRowFirstColumn="0" w:firstRowLastColumn="0" w:lastRowFirstColumn="0" w:lastRowLastColumn="0"/>
            </w:pPr>
            <w:r>
              <w:t>1 750</w:t>
            </w:r>
          </w:p>
        </w:tc>
        <w:tc>
          <w:tcPr>
            <w:tcW w:w="964" w:type="dxa"/>
          </w:tcPr>
          <w:p w14:paraId="0B7E1E69" w14:textId="77777777" w:rsidR="00C306A8" w:rsidRDefault="00C306A8">
            <w:pPr>
              <w:cnfStyle w:val="000000000000" w:firstRow="0" w:lastRow="0" w:firstColumn="0" w:lastColumn="0" w:oddVBand="0" w:evenVBand="0" w:oddHBand="0" w:evenHBand="0" w:firstRowFirstColumn="0" w:firstRowLastColumn="0" w:lastRowFirstColumn="0" w:lastRowLastColumn="0"/>
            </w:pPr>
            <w:r>
              <w:t>2 100</w:t>
            </w:r>
          </w:p>
        </w:tc>
        <w:tc>
          <w:tcPr>
            <w:tcW w:w="964" w:type="dxa"/>
          </w:tcPr>
          <w:p w14:paraId="006162BD" w14:textId="77777777" w:rsidR="00C306A8" w:rsidRDefault="00C306A8">
            <w:pPr>
              <w:cnfStyle w:val="000000000000" w:firstRow="0" w:lastRow="0" w:firstColumn="0" w:lastColumn="0" w:oddVBand="0" w:evenVBand="0" w:oddHBand="0" w:evenHBand="0" w:firstRowFirstColumn="0" w:firstRowLastColumn="0" w:lastRowFirstColumn="0" w:lastRowLastColumn="0"/>
            </w:pPr>
            <w:r>
              <w:t>1 750</w:t>
            </w:r>
          </w:p>
        </w:tc>
        <w:tc>
          <w:tcPr>
            <w:tcW w:w="964" w:type="dxa"/>
          </w:tcPr>
          <w:p w14:paraId="33158FCD" w14:textId="77777777" w:rsidR="00C306A8" w:rsidRDefault="00C306A8">
            <w:pPr>
              <w:cnfStyle w:val="000000000000" w:firstRow="0" w:lastRow="0" w:firstColumn="0" w:lastColumn="0" w:oddVBand="0" w:evenVBand="0" w:oddHBand="0" w:evenHBand="0" w:firstRowFirstColumn="0" w:firstRowLastColumn="0" w:lastRowFirstColumn="0" w:lastRowLastColumn="0"/>
            </w:pPr>
            <w:r>
              <w:t>1 938</w:t>
            </w:r>
          </w:p>
        </w:tc>
      </w:tr>
      <w:tr w:rsidR="00C306A8" w14:paraId="0EB94F41"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A300194" w14:textId="77777777" w:rsidR="00C306A8" w:rsidRDefault="00C306A8">
            <w:pPr>
              <w:ind w:left="170"/>
            </w:pPr>
            <w:r>
              <w:rPr>
                <w:i/>
              </w:rPr>
              <w:t>The 2025-26 expected outcome is higher than the 2025-26 target due to higher demand for subsidised wheelchair trips.</w:t>
            </w:r>
          </w:p>
        </w:tc>
      </w:tr>
      <w:tr w:rsidR="00C306A8" w:rsidRPr="00735CFC" w14:paraId="16EC16BD"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762224D6" w14:textId="77777777" w:rsidR="00C306A8" w:rsidRPr="00735CFC" w:rsidRDefault="00C306A8">
            <w:pPr>
              <w:keepNext/>
              <w:rPr>
                <w:b/>
              </w:rPr>
            </w:pPr>
            <w:r w:rsidRPr="00735CFC">
              <w:rPr>
                <w:b/>
              </w:rPr>
              <w:t>Quality</w:t>
            </w:r>
          </w:p>
        </w:tc>
      </w:tr>
      <w:tr w:rsidR="00C306A8" w14:paraId="5DD895FD" w14:textId="77777777">
        <w:tc>
          <w:tcPr>
            <w:cnfStyle w:val="001000000000" w:firstRow="0" w:lastRow="0" w:firstColumn="1" w:lastColumn="0" w:oddVBand="0" w:evenVBand="0" w:oddHBand="0" w:evenHBand="0" w:firstRowFirstColumn="0" w:firstRowLastColumn="0" w:lastRowFirstColumn="0" w:lastRowLastColumn="0"/>
            <w:tcW w:w="4820" w:type="dxa"/>
          </w:tcPr>
          <w:p w14:paraId="7A3100D6" w14:textId="77777777" w:rsidR="00C306A8" w:rsidRDefault="00C306A8">
            <w:pPr>
              <w:keepNext/>
              <w:ind w:left="170"/>
            </w:pPr>
            <w:r>
              <w:t>Average wait time for conventional commercial passenger vehicles booked to arrive during daytime periods of demand</w:t>
            </w:r>
          </w:p>
        </w:tc>
        <w:tc>
          <w:tcPr>
            <w:tcW w:w="964" w:type="dxa"/>
          </w:tcPr>
          <w:p w14:paraId="44FA0A1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minutes</w:t>
            </w:r>
          </w:p>
        </w:tc>
        <w:tc>
          <w:tcPr>
            <w:tcW w:w="964" w:type="dxa"/>
            <w:shd w:val="clear" w:color="auto" w:fill="F0F0F0"/>
          </w:tcPr>
          <w:p w14:paraId="47617051" w14:textId="77777777" w:rsidR="00C306A8" w:rsidRDefault="00C306A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001E9F1C" w14:textId="77777777" w:rsidR="00C306A8" w:rsidRDefault="00C306A8">
            <w:pPr>
              <w:cnfStyle w:val="000000000000" w:firstRow="0" w:lastRow="0" w:firstColumn="0" w:lastColumn="0" w:oddVBand="0" w:evenVBand="0" w:oddHBand="0" w:evenHBand="0" w:firstRowFirstColumn="0" w:firstRowLastColumn="0" w:lastRowFirstColumn="0" w:lastRowLastColumn="0"/>
            </w:pPr>
            <w:r>
              <w:t>5.8</w:t>
            </w:r>
          </w:p>
        </w:tc>
        <w:tc>
          <w:tcPr>
            <w:tcW w:w="964" w:type="dxa"/>
          </w:tcPr>
          <w:p w14:paraId="31CA93D2" w14:textId="77777777" w:rsidR="00C306A8" w:rsidRDefault="00C306A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43959DEE" w14:textId="77777777" w:rsidR="00C306A8" w:rsidRDefault="00C306A8">
            <w:pPr>
              <w:cnfStyle w:val="000000000000" w:firstRow="0" w:lastRow="0" w:firstColumn="0" w:lastColumn="0" w:oddVBand="0" w:evenVBand="0" w:oddHBand="0" w:evenHBand="0" w:firstRowFirstColumn="0" w:firstRowLastColumn="0" w:lastRowFirstColumn="0" w:lastRowLastColumn="0"/>
            </w:pPr>
            <w:r>
              <w:t>5.6</w:t>
            </w:r>
          </w:p>
        </w:tc>
      </w:tr>
      <w:tr w:rsidR="00C306A8" w14:paraId="4A8852A6"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8FF05A4" w14:textId="77777777" w:rsidR="00C306A8" w:rsidRDefault="00C306A8">
            <w:pPr>
              <w:ind w:left="170"/>
            </w:pPr>
            <w:r w:rsidRPr="062A25EA">
              <w:rPr>
                <w:i/>
                <w:iCs/>
              </w:rPr>
              <w:t>The 2025-26 expected outcome is better than the 2025-26 target due to strong supply of vehicles which resulted in shorter observed wait times.</w:t>
            </w:r>
          </w:p>
        </w:tc>
      </w:tr>
      <w:tr w:rsidR="00C306A8" w14:paraId="0C0989CB" w14:textId="77777777">
        <w:tc>
          <w:tcPr>
            <w:cnfStyle w:val="001000000000" w:firstRow="0" w:lastRow="0" w:firstColumn="1" w:lastColumn="0" w:oddVBand="0" w:evenVBand="0" w:oddHBand="0" w:evenHBand="0" w:firstRowFirstColumn="0" w:firstRowLastColumn="0" w:lastRowFirstColumn="0" w:lastRowLastColumn="0"/>
            <w:tcW w:w="4820" w:type="dxa"/>
          </w:tcPr>
          <w:p w14:paraId="6AD77D9F" w14:textId="77777777" w:rsidR="00C306A8" w:rsidRDefault="00C306A8">
            <w:pPr>
              <w:keepNext/>
              <w:ind w:left="170"/>
            </w:pPr>
            <w:r>
              <w:t>Average wait time for wheelchair accessible commercial passenger vehicles booked to arrive during daytime periods of demand</w:t>
            </w:r>
          </w:p>
        </w:tc>
        <w:tc>
          <w:tcPr>
            <w:tcW w:w="964" w:type="dxa"/>
          </w:tcPr>
          <w:p w14:paraId="67FB3C5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minutes</w:t>
            </w:r>
          </w:p>
        </w:tc>
        <w:tc>
          <w:tcPr>
            <w:tcW w:w="964" w:type="dxa"/>
            <w:shd w:val="clear" w:color="auto" w:fill="F0F0F0"/>
          </w:tcPr>
          <w:p w14:paraId="2C47A283" w14:textId="77777777" w:rsidR="00C306A8" w:rsidRDefault="00C306A8">
            <w:pPr>
              <w:cnfStyle w:val="000000000000" w:firstRow="0" w:lastRow="0" w:firstColumn="0" w:lastColumn="0" w:oddVBand="0" w:evenVBand="0" w:oddHBand="0" w:evenHBand="0" w:firstRowFirstColumn="0" w:firstRowLastColumn="0" w:lastRowFirstColumn="0" w:lastRowLastColumn="0"/>
            </w:pPr>
            <w:r>
              <w:t>10.1</w:t>
            </w:r>
          </w:p>
        </w:tc>
        <w:tc>
          <w:tcPr>
            <w:tcW w:w="964" w:type="dxa"/>
          </w:tcPr>
          <w:p w14:paraId="5332568D"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4D2F4CB1" w14:textId="77777777" w:rsidR="00C306A8" w:rsidRDefault="00C306A8">
            <w:pPr>
              <w:cnfStyle w:val="000000000000" w:firstRow="0" w:lastRow="0" w:firstColumn="0" w:lastColumn="0" w:oddVBand="0" w:evenVBand="0" w:oddHBand="0" w:evenHBand="0" w:firstRowFirstColumn="0" w:firstRowLastColumn="0" w:lastRowFirstColumn="0" w:lastRowLastColumn="0"/>
            </w:pPr>
            <w:r>
              <w:t>10.1</w:t>
            </w:r>
          </w:p>
        </w:tc>
        <w:tc>
          <w:tcPr>
            <w:tcW w:w="964" w:type="dxa"/>
          </w:tcPr>
          <w:p w14:paraId="2A9E0A9A"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r>
      <w:tr w:rsidR="00C306A8" w14:paraId="1673BF71"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4F7EE09" w14:textId="77777777" w:rsidR="00C306A8" w:rsidRDefault="00C306A8">
            <w:pPr>
              <w:ind w:left="170"/>
            </w:pPr>
            <w:r w:rsidRPr="062A25EA">
              <w:rPr>
                <w:i/>
                <w:iCs/>
              </w:rPr>
              <w:t>The 2025-26 expected outcome is better than the 2025-26 target due to strong supply of vehicles which resulted in shorter observed wait times.</w:t>
            </w:r>
          </w:p>
        </w:tc>
      </w:tr>
      <w:tr w:rsidR="00C306A8" w14:paraId="56C9235C" w14:textId="77777777">
        <w:tc>
          <w:tcPr>
            <w:cnfStyle w:val="001000000000" w:firstRow="0" w:lastRow="0" w:firstColumn="1" w:lastColumn="0" w:oddVBand="0" w:evenVBand="0" w:oddHBand="0" w:evenHBand="0" w:firstRowFirstColumn="0" w:firstRowLastColumn="0" w:lastRowFirstColumn="0" w:lastRowLastColumn="0"/>
            <w:tcW w:w="4820" w:type="dxa"/>
          </w:tcPr>
          <w:p w14:paraId="7184024D" w14:textId="77777777" w:rsidR="00C306A8" w:rsidRDefault="00C306A8">
            <w:pPr>
              <w:keepNext/>
              <w:ind w:left="170"/>
            </w:pPr>
            <w:r>
              <w:t>Calls to Safe Transport Victoria resolved at the first point of contact</w:t>
            </w:r>
          </w:p>
        </w:tc>
        <w:tc>
          <w:tcPr>
            <w:tcW w:w="964" w:type="dxa"/>
          </w:tcPr>
          <w:p w14:paraId="7059434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B76C5A6"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6893678" w14:textId="77777777" w:rsidR="00C306A8" w:rsidRDefault="00C306A8">
            <w:pPr>
              <w:cnfStyle w:val="000000000000" w:firstRow="0" w:lastRow="0" w:firstColumn="0" w:lastColumn="0" w:oddVBand="0" w:evenVBand="0" w:oddHBand="0" w:evenHBand="0" w:firstRowFirstColumn="0" w:firstRowLastColumn="0" w:lastRowFirstColumn="0" w:lastRowLastColumn="0"/>
            </w:pPr>
            <w:r>
              <w:t>92.4</w:t>
            </w:r>
          </w:p>
        </w:tc>
        <w:tc>
          <w:tcPr>
            <w:tcW w:w="964" w:type="dxa"/>
          </w:tcPr>
          <w:p w14:paraId="58FB3FCE"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9CBB41A"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r>
      <w:tr w:rsidR="00C306A8" w14:paraId="278B9015"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D5E590F" w14:textId="77777777" w:rsidR="00C306A8" w:rsidRDefault="00C306A8">
            <w:pPr>
              <w:ind w:left="170"/>
            </w:pPr>
            <w:r>
              <w:rPr>
                <w:i/>
              </w:rPr>
              <w:t>The 2025-26 expected outcome is higher than the 2025-26 target due to continued improvement in rostering and cross-functional training for staff members.</w:t>
            </w:r>
          </w:p>
        </w:tc>
      </w:tr>
      <w:tr w:rsidR="00C306A8" w14:paraId="5130341B" w14:textId="77777777">
        <w:tc>
          <w:tcPr>
            <w:cnfStyle w:val="001000000000" w:firstRow="0" w:lastRow="0" w:firstColumn="1" w:lastColumn="0" w:oddVBand="0" w:evenVBand="0" w:oddHBand="0" w:evenHBand="0" w:firstRowFirstColumn="0" w:firstRowLastColumn="0" w:lastRowFirstColumn="0" w:lastRowLastColumn="0"/>
            <w:tcW w:w="4820" w:type="dxa"/>
          </w:tcPr>
          <w:p w14:paraId="30234461" w14:textId="77777777" w:rsidR="00C306A8" w:rsidRDefault="00C306A8">
            <w:pPr>
              <w:keepNext/>
              <w:ind w:left="170"/>
            </w:pPr>
            <w:r>
              <w:t>Overall satisfaction with level of commercial passenger vehicle regulatory service provided by Safe Transport Victoria</w:t>
            </w:r>
          </w:p>
        </w:tc>
        <w:tc>
          <w:tcPr>
            <w:tcW w:w="964" w:type="dxa"/>
          </w:tcPr>
          <w:p w14:paraId="5403136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50C5247"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4BD2AF0"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824F50E"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CD9F8F1" w14:textId="77777777" w:rsidR="00C306A8" w:rsidRDefault="00C306A8">
            <w:pPr>
              <w:cnfStyle w:val="000000000000" w:firstRow="0" w:lastRow="0" w:firstColumn="0" w:lastColumn="0" w:oddVBand="0" w:evenVBand="0" w:oddHBand="0" w:evenHBand="0" w:firstRowFirstColumn="0" w:firstRowLastColumn="0" w:lastRowFirstColumn="0" w:lastRowLastColumn="0"/>
            </w:pPr>
            <w:r>
              <w:t>71</w:t>
            </w:r>
          </w:p>
        </w:tc>
      </w:tr>
      <w:tr w:rsidR="00C306A8" w14:paraId="125304B0"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414BC1B5" w14:textId="77777777" w:rsidR="00C306A8" w:rsidRDefault="00C306A8">
            <w:pPr>
              <w:ind w:left="170"/>
            </w:pPr>
            <w:r w:rsidRPr="062A25EA">
              <w:rPr>
                <w:i/>
                <w:iCs/>
              </w:rPr>
              <w:t>The 2025-26 expected outcome is lower than the 2025-26 target due to increased regulatory activities, including following the recent commercial passenger vehicle sector reforms.</w:t>
            </w:r>
          </w:p>
        </w:tc>
      </w:tr>
      <w:tr w:rsidR="00C306A8" w14:paraId="1263CF75" w14:textId="77777777">
        <w:tc>
          <w:tcPr>
            <w:cnfStyle w:val="001000000000" w:firstRow="0" w:lastRow="0" w:firstColumn="1" w:lastColumn="0" w:oddVBand="0" w:evenVBand="0" w:oddHBand="0" w:evenHBand="0" w:firstRowFirstColumn="0" w:firstRowLastColumn="0" w:lastRowFirstColumn="0" w:lastRowLastColumn="0"/>
            <w:tcW w:w="4820" w:type="dxa"/>
          </w:tcPr>
          <w:p w14:paraId="15E795CD" w14:textId="1F761E0D" w:rsidR="00C306A8" w:rsidRDefault="00C306A8">
            <w:pPr>
              <w:keepNext/>
              <w:ind w:left="170"/>
            </w:pPr>
            <w:r>
              <w:t>Safety audits and vehicle inspections of commercial passenger vehicle operators conducted in accordance with safety requirements under Safe Transport Victoria</w:t>
            </w:r>
            <w:r w:rsidR="00AD4833">
              <w:t>’</w:t>
            </w:r>
            <w:r>
              <w:t>s risk-based plan</w:t>
            </w:r>
          </w:p>
        </w:tc>
        <w:tc>
          <w:tcPr>
            <w:tcW w:w="964" w:type="dxa"/>
          </w:tcPr>
          <w:p w14:paraId="706AA65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67C8C1C"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317D7AD"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4B9E8F5"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B2AC210"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06D4FA2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A1A87B5" w14:textId="389EF38C" w:rsidR="00C306A8" w:rsidRDefault="00C306A8">
            <w:pPr>
              <w:ind w:left="170"/>
            </w:pPr>
            <w:r>
              <w:rPr>
                <w:i/>
              </w:rPr>
              <w:t xml:space="preserve">This performance measure is proposed to replace the 2024-25 performance measure </w:t>
            </w:r>
            <w:r w:rsidR="00AD4833">
              <w:rPr>
                <w:i/>
              </w:rPr>
              <w:t>‘</w:t>
            </w:r>
            <w:r>
              <w:rPr>
                <w:i/>
              </w:rPr>
              <w:t>Commercial passenger vehicle service providers that meet expected safety requirements</w:t>
            </w:r>
            <w:r w:rsidR="00AD4833">
              <w:rPr>
                <w:i/>
              </w:rPr>
              <w:t>’</w:t>
            </w:r>
            <w:r>
              <w:rPr>
                <w:i/>
              </w:rPr>
              <w:t xml:space="preserve">, and the measure </w:t>
            </w:r>
            <w:r w:rsidR="00AD4833">
              <w:rPr>
                <w:i/>
              </w:rPr>
              <w:t>‘</w:t>
            </w:r>
            <w:r>
              <w:rPr>
                <w:i/>
              </w:rPr>
              <w:t>Commercial passenger vehicles inspected by Safe Transport Victoria that meet safety standards</w:t>
            </w:r>
            <w:r w:rsidR="00AD4833">
              <w:rPr>
                <w:i/>
              </w:rPr>
              <w:t>’</w:t>
            </w:r>
            <w:r>
              <w:rPr>
                <w:i/>
              </w:rPr>
              <w:t>. They are being replaced to reflect Safe Transport Victoria</w:t>
            </w:r>
            <w:r w:rsidR="00AD4833">
              <w:rPr>
                <w:i/>
              </w:rPr>
              <w:t>’</w:t>
            </w:r>
            <w:r>
              <w:rPr>
                <w:i/>
              </w:rPr>
              <w:t>s operations as a single multi-modal transport safety regulator.</w:t>
            </w:r>
          </w:p>
        </w:tc>
      </w:tr>
      <w:tr w:rsidR="00C306A8" w:rsidRPr="00735CFC" w14:paraId="7CA5E169"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38E7EDE" w14:textId="77777777" w:rsidR="00C306A8" w:rsidRPr="00735CFC" w:rsidRDefault="00C306A8" w:rsidP="009C3723">
            <w:pPr>
              <w:keepNext/>
              <w:rPr>
                <w:b/>
              </w:rPr>
            </w:pPr>
            <w:r w:rsidRPr="00735CFC">
              <w:rPr>
                <w:b/>
              </w:rPr>
              <w:t>Timeliness</w:t>
            </w:r>
          </w:p>
        </w:tc>
      </w:tr>
      <w:tr w:rsidR="00C306A8" w14:paraId="43428E2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2C58663" w14:textId="77777777" w:rsidR="00C306A8" w:rsidRDefault="00C306A8">
            <w:pPr>
              <w:ind w:left="170"/>
            </w:pPr>
            <w:r>
              <w:t>Commercial passenger vehicle service complaints and intelligence reports investigated and closed within 45 days</w:t>
            </w:r>
          </w:p>
        </w:tc>
        <w:tc>
          <w:tcPr>
            <w:tcW w:w="964" w:type="dxa"/>
            <w:tcBorders>
              <w:bottom w:val="single" w:sz="6" w:space="0" w:color="auto"/>
            </w:tcBorders>
          </w:tcPr>
          <w:p w14:paraId="6EC1469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7BD619B"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07562698"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F1339F0" w14:textId="77777777" w:rsidR="00C306A8" w:rsidRDefault="00C306A8">
            <w:pPr>
              <w:cnfStyle w:val="000000000000" w:firstRow="0" w:lastRow="0" w:firstColumn="0" w:lastColumn="0" w:oddVBand="0" w:evenVBand="0" w:oddHBand="0" w:evenHBand="0" w:firstRowFirstColumn="0" w:firstRowLastColumn="0" w:lastRowFirstColumn="0" w:lastRowLastColumn="0"/>
            </w:pPr>
            <w:r>
              <w:t>92</w:t>
            </w:r>
          </w:p>
        </w:tc>
        <w:tc>
          <w:tcPr>
            <w:tcW w:w="964" w:type="dxa"/>
            <w:tcBorders>
              <w:bottom w:val="single" w:sz="6" w:space="0" w:color="auto"/>
            </w:tcBorders>
          </w:tcPr>
          <w:p w14:paraId="6FA25FCF" w14:textId="77777777" w:rsidR="00C306A8" w:rsidRDefault="00C306A8">
            <w:pPr>
              <w:cnfStyle w:val="000000000000" w:firstRow="0" w:lastRow="0" w:firstColumn="0" w:lastColumn="0" w:oddVBand="0" w:evenVBand="0" w:oddHBand="0" w:evenHBand="0" w:firstRowFirstColumn="0" w:firstRowLastColumn="0" w:lastRowFirstColumn="0" w:lastRowLastColumn="0"/>
            </w:pPr>
            <w:r>
              <w:t>91</w:t>
            </w:r>
          </w:p>
        </w:tc>
      </w:tr>
      <w:tr w:rsidR="00C306A8" w14:paraId="39F5D8A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B54FF21" w14:textId="77777777" w:rsidR="00C306A8" w:rsidRDefault="00C306A8">
            <w:pPr>
              <w:ind w:left="170"/>
            </w:pPr>
            <w:r>
              <w:t>Multi-Purpose Taxi Program: applications assessed and completed within 14 days</w:t>
            </w:r>
          </w:p>
        </w:tc>
        <w:tc>
          <w:tcPr>
            <w:tcW w:w="964" w:type="dxa"/>
            <w:tcBorders>
              <w:bottom w:val="single" w:sz="6" w:space="0" w:color="auto"/>
            </w:tcBorders>
          </w:tcPr>
          <w:p w14:paraId="36CC8A5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FE37D60"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354DA2F1"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c>
          <w:tcPr>
            <w:tcW w:w="964" w:type="dxa"/>
            <w:tcBorders>
              <w:bottom w:val="single" w:sz="6" w:space="0" w:color="auto"/>
            </w:tcBorders>
          </w:tcPr>
          <w:p w14:paraId="7E70D3EF" w14:textId="77777777" w:rsidR="00C306A8" w:rsidRDefault="00C306A8">
            <w:pPr>
              <w:cnfStyle w:val="000000000000" w:firstRow="0" w:lastRow="0" w:firstColumn="0" w:lastColumn="0" w:oddVBand="0" w:evenVBand="0" w:oddHBand="0" w:evenHBand="0" w:firstRowFirstColumn="0" w:firstRowLastColumn="0" w:lastRowFirstColumn="0" w:lastRowLastColumn="0"/>
            </w:pPr>
            <w:r>
              <w:t>97</w:t>
            </w:r>
          </w:p>
        </w:tc>
        <w:tc>
          <w:tcPr>
            <w:tcW w:w="964" w:type="dxa"/>
            <w:tcBorders>
              <w:bottom w:val="single" w:sz="6" w:space="0" w:color="auto"/>
            </w:tcBorders>
          </w:tcPr>
          <w:p w14:paraId="497F769A" w14:textId="77777777" w:rsidR="00C306A8" w:rsidRDefault="00C306A8">
            <w:pPr>
              <w:cnfStyle w:val="000000000000" w:firstRow="0" w:lastRow="0" w:firstColumn="0" w:lastColumn="0" w:oddVBand="0" w:evenVBand="0" w:oddHBand="0" w:evenHBand="0" w:firstRowFirstColumn="0" w:firstRowLastColumn="0" w:lastRowFirstColumn="0" w:lastRowLastColumn="0"/>
            </w:pPr>
            <w:r>
              <w:t>93</w:t>
            </w:r>
          </w:p>
        </w:tc>
      </w:tr>
      <w:tr w:rsidR="00C306A8" w14:paraId="79052621"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7861973" w14:textId="77777777" w:rsidR="00C306A8" w:rsidRDefault="00C306A8" w:rsidP="009C3723">
            <w:pPr>
              <w:keepNext/>
              <w:ind w:left="170"/>
            </w:pPr>
            <w:r>
              <w:lastRenderedPageBreak/>
              <w:t>Road vehicle and driver regulation: new and renewed driving instructor authority applications processed within 20 business days</w:t>
            </w:r>
          </w:p>
        </w:tc>
        <w:tc>
          <w:tcPr>
            <w:tcW w:w="964" w:type="dxa"/>
            <w:tcBorders>
              <w:bottom w:val="single" w:sz="6" w:space="0" w:color="auto"/>
            </w:tcBorders>
          </w:tcPr>
          <w:p w14:paraId="5E8B17E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9202168"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0AE4044" w14:textId="77777777" w:rsidR="00C306A8" w:rsidRDefault="00C306A8">
            <w:pPr>
              <w:cnfStyle w:val="000000000000" w:firstRow="0" w:lastRow="0" w:firstColumn="0" w:lastColumn="0" w:oddVBand="0" w:evenVBand="0" w:oddHBand="0" w:evenHBand="0" w:firstRowFirstColumn="0" w:firstRowLastColumn="0" w:lastRowFirstColumn="0" w:lastRowLastColumn="0"/>
            </w:pPr>
            <w:r>
              <w:t>85.8</w:t>
            </w:r>
          </w:p>
        </w:tc>
        <w:tc>
          <w:tcPr>
            <w:tcW w:w="964" w:type="dxa"/>
            <w:tcBorders>
              <w:bottom w:val="single" w:sz="6" w:space="0" w:color="auto"/>
            </w:tcBorders>
          </w:tcPr>
          <w:p w14:paraId="37E42DFF"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7C55971" w14:textId="77777777" w:rsidR="00C306A8" w:rsidRDefault="00C306A8">
            <w:pPr>
              <w:cnfStyle w:val="000000000000" w:firstRow="0" w:lastRow="0" w:firstColumn="0" w:lastColumn="0" w:oddVBand="0" w:evenVBand="0" w:oddHBand="0" w:evenHBand="0" w:firstRowFirstColumn="0" w:firstRowLastColumn="0" w:lastRowFirstColumn="0" w:lastRowLastColumn="0"/>
            </w:pPr>
            <w:r>
              <w:t>86</w:t>
            </w:r>
          </w:p>
        </w:tc>
      </w:tr>
      <w:tr w:rsidR="00C306A8" w14:paraId="0097B48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594B746" w14:textId="77777777" w:rsidR="00C306A8" w:rsidRDefault="00C306A8">
            <w:pPr>
              <w:ind w:left="170"/>
            </w:pPr>
            <w:r>
              <w:t>Valid driver accreditation applications determined within 20 business days in accordance with statutory requirements</w:t>
            </w:r>
          </w:p>
        </w:tc>
        <w:tc>
          <w:tcPr>
            <w:tcW w:w="964" w:type="dxa"/>
            <w:tcBorders>
              <w:bottom w:val="single" w:sz="6" w:space="0" w:color="auto"/>
            </w:tcBorders>
          </w:tcPr>
          <w:p w14:paraId="4547D8DD"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057675B"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424FC6D" w14:textId="77777777" w:rsidR="00C306A8" w:rsidRDefault="00C306A8">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79F4D0DD"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FFDA45F" w14:textId="77777777" w:rsidR="00C306A8" w:rsidRDefault="00C306A8">
            <w:pPr>
              <w:cnfStyle w:val="000000000000" w:firstRow="0" w:lastRow="0" w:firstColumn="0" w:lastColumn="0" w:oddVBand="0" w:evenVBand="0" w:oddHBand="0" w:evenHBand="0" w:firstRowFirstColumn="0" w:firstRowLastColumn="0" w:lastRowFirstColumn="0" w:lastRowLastColumn="0"/>
            </w:pPr>
            <w:r>
              <w:t>81</w:t>
            </w:r>
          </w:p>
        </w:tc>
      </w:tr>
      <w:tr w:rsidR="00C306A8" w:rsidRPr="00735CFC" w14:paraId="363C00AC"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6F5FEC7" w14:textId="77777777" w:rsidR="00C306A8" w:rsidRPr="00735CFC" w:rsidRDefault="00C306A8">
            <w:pPr>
              <w:keepNext/>
              <w:rPr>
                <w:b/>
              </w:rPr>
            </w:pPr>
            <w:r w:rsidRPr="00735CFC">
              <w:rPr>
                <w:b/>
              </w:rPr>
              <w:t>Cost</w:t>
            </w:r>
          </w:p>
        </w:tc>
      </w:tr>
      <w:tr w:rsidR="00C306A8" w14:paraId="40DB6AE9" w14:textId="77777777">
        <w:tc>
          <w:tcPr>
            <w:cnfStyle w:val="001000000000" w:firstRow="0" w:lastRow="0" w:firstColumn="1" w:lastColumn="0" w:oddVBand="0" w:evenVBand="0" w:oddHBand="0" w:evenHBand="0" w:firstRowFirstColumn="0" w:firstRowLastColumn="0" w:lastRowFirstColumn="0" w:lastRowLastColumn="0"/>
            <w:tcW w:w="4820" w:type="dxa"/>
          </w:tcPr>
          <w:p w14:paraId="36F28666" w14:textId="77777777" w:rsidR="00C306A8" w:rsidRDefault="00C306A8">
            <w:pPr>
              <w:keepNext/>
              <w:ind w:left="170"/>
            </w:pPr>
            <w:r>
              <w:t>Total output cost</w:t>
            </w:r>
          </w:p>
        </w:tc>
        <w:tc>
          <w:tcPr>
            <w:tcW w:w="964" w:type="dxa"/>
          </w:tcPr>
          <w:p w14:paraId="111ACE9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C7396DF" w14:textId="77777777" w:rsidR="00C306A8" w:rsidRDefault="00C306A8">
            <w:pPr>
              <w:cnfStyle w:val="000000000000" w:firstRow="0" w:lastRow="0" w:firstColumn="0" w:lastColumn="0" w:oddVBand="0" w:evenVBand="0" w:oddHBand="0" w:evenHBand="0" w:firstRowFirstColumn="0" w:firstRowLastColumn="0" w:lastRowFirstColumn="0" w:lastRowLastColumn="0"/>
            </w:pPr>
            <w:r>
              <w:t>116.8</w:t>
            </w:r>
          </w:p>
        </w:tc>
        <w:tc>
          <w:tcPr>
            <w:tcW w:w="964" w:type="dxa"/>
          </w:tcPr>
          <w:p w14:paraId="096FCF11" w14:textId="77777777" w:rsidR="00C306A8" w:rsidRDefault="00C306A8">
            <w:pPr>
              <w:cnfStyle w:val="000000000000" w:firstRow="0" w:lastRow="0" w:firstColumn="0" w:lastColumn="0" w:oddVBand="0" w:evenVBand="0" w:oddHBand="0" w:evenHBand="0" w:firstRowFirstColumn="0" w:firstRowLastColumn="0" w:lastRowFirstColumn="0" w:lastRowLastColumn="0"/>
            </w:pPr>
            <w:r>
              <w:t>170.1</w:t>
            </w:r>
          </w:p>
        </w:tc>
        <w:tc>
          <w:tcPr>
            <w:tcW w:w="964" w:type="dxa"/>
          </w:tcPr>
          <w:p w14:paraId="216781CA" w14:textId="77777777" w:rsidR="00C306A8" w:rsidRDefault="00C306A8">
            <w:pPr>
              <w:cnfStyle w:val="000000000000" w:firstRow="0" w:lastRow="0" w:firstColumn="0" w:lastColumn="0" w:oddVBand="0" w:evenVBand="0" w:oddHBand="0" w:evenHBand="0" w:firstRowFirstColumn="0" w:firstRowLastColumn="0" w:lastRowFirstColumn="0" w:lastRowLastColumn="0"/>
            </w:pPr>
            <w:r>
              <w:t>117.1</w:t>
            </w:r>
          </w:p>
        </w:tc>
        <w:tc>
          <w:tcPr>
            <w:tcW w:w="964" w:type="dxa"/>
          </w:tcPr>
          <w:p w14:paraId="1AEAE838" w14:textId="081FB2BF" w:rsidR="00C306A8" w:rsidRDefault="00C306A8">
            <w:pPr>
              <w:cnfStyle w:val="000000000000" w:firstRow="0" w:lastRow="0" w:firstColumn="0" w:lastColumn="0" w:oddVBand="0" w:evenVBand="0" w:oddHBand="0" w:evenHBand="0" w:firstRowFirstColumn="0" w:firstRowLastColumn="0" w:lastRowFirstColumn="0" w:lastRowLastColumn="0"/>
            </w:pPr>
            <w:r>
              <w:t>171</w:t>
            </w:r>
            <w:r w:rsidR="00D24442">
              <w:t>.1</w:t>
            </w:r>
          </w:p>
        </w:tc>
      </w:tr>
      <w:tr w:rsidR="00C306A8" w14:paraId="378688B6" w14:textId="77777777" w:rsidTr="00237AE0">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3CA139D2" w14:textId="77777777" w:rsidR="00C306A8" w:rsidRDefault="00C306A8">
            <w:pPr>
              <w:ind w:left="170"/>
              <w:rPr>
                <w:i/>
              </w:rPr>
            </w:pPr>
            <w:r>
              <w:rPr>
                <w:i/>
              </w:rPr>
              <w:t>The 2025-26 expected outcome is higher than the 2025-26 target due to an increase in demand relating to the Multi-purpose Taxi Program and increases in the wheelchair accessible vehicle lifting fee.</w:t>
            </w:r>
          </w:p>
          <w:p w14:paraId="10340A94" w14:textId="77777777" w:rsidR="00C306A8" w:rsidRPr="00237AE0" w:rsidRDefault="00C306A8">
            <w:pPr>
              <w:ind w:left="170"/>
              <w:rPr>
                <w:i/>
              </w:rPr>
            </w:pPr>
            <w:r w:rsidRPr="00237AE0">
              <w:rPr>
                <w:i/>
              </w:rPr>
              <w:t>The 2026-27 target represents a small variation from the 2025-26 target.</w:t>
            </w:r>
          </w:p>
        </w:tc>
      </w:tr>
    </w:tbl>
    <w:p w14:paraId="3F3789C1" w14:textId="77777777" w:rsidR="00C306A8" w:rsidRDefault="00C306A8" w:rsidP="00C306A8">
      <w:pPr>
        <w:pStyle w:val="Source"/>
      </w:pPr>
      <w:r>
        <w:t>Source: Department of Transport and Planning</w:t>
      </w:r>
    </w:p>
    <w:p w14:paraId="50AC9092" w14:textId="77777777" w:rsidR="00C306A8" w:rsidRDefault="00C306A8" w:rsidP="00C306A8">
      <w:pPr>
        <w:pStyle w:val="Heading3"/>
      </w:pPr>
      <w:r>
        <w:t>Transport Safety and Security</w:t>
      </w:r>
      <w:r>
        <w:tab/>
        <w:t>(2026-27: $26.8 million)</w:t>
      </w:r>
    </w:p>
    <w:p w14:paraId="07331A9E" w14:textId="1540492C" w:rsidR="00C306A8" w:rsidRPr="00D1637B" w:rsidRDefault="00C306A8" w:rsidP="00C306A8">
      <w:pPr>
        <w:spacing w:after="120"/>
      </w:pPr>
      <w:r w:rsidRPr="006329A2">
        <w:t>This output contributes to this objective by delivering initiatives and regulatory activities that will improve safety and security on Victoria’s transport network.</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C306A8" w14:paraId="3DD75ACA" w14:textId="77777777" w:rsidTr="00531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E90D040" w14:textId="77777777" w:rsidR="00C306A8" w:rsidRDefault="00C306A8">
            <w:r>
              <w:t>Performance measure</w:t>
            </w:r>
          </w:p>
        </w:tc>
        <w:tc>
          <w:tcPr>
            <w:tcW w:w="964" w:type="dxa"/>
          </w:tcPr>
          <w:p w14:paraId="24921193"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2B90494"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EF162E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D6B25A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29088A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9C3723" w14:paraId="127F6245"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Pr>
          <w:p w14:paraId="09C2D559" w14:textId="77777777" w:rsidR="00C306A8" w:rsidRPr="009C3723" w:rsidRDefault="00C306A8">
            <w:pPr>
              <w:keepNext/>
              <w:rPr>
                <w:b/>
              </w:rPr>
            </w:pPr>
            <w:r w:rsidRPr="009C3723">
              <w:rPr>
                <w:b/>
              </w:rPr>
              <w:t>Quantity</w:t>
            </w:r>
          </w:p>
        </w:tc>
      </w:tr>
      <w:tr w:rsidR="00C306A8" w14:paraId="55514899"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BE9A79D" w14:textId="77777777" w:rsidR="00C306A8" w:rsidRDefault="00C306A8">
            <w:pPr>
              <w:ind w:left="170"/>
            </w:pPr>
            <w:r>
              <w:t>Resilience Improvement Cycle exercises reviewed by the Department</w:t>
            </w:r>
          </w:p>
        </w:tc>
        <w:tc>
          <w:tcPr>
            <w:tcW w:w="964" w:type="dxa"/>
            <w:tcBorders>
              <w:bottom w:val="single" w:sz="6" w:space="0" w:color="auto"/>
            </w:tcBorders>
          </w:tcPr>
          <w:p w14:paraId="0DD014D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2BD5288"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3413E2A1"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79EA0F4E" w14:textId="77777777" w:rsidR="00C306A8" w:rsidRDefault="00C306A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235A2BDB"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5527D3B8"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A5AFFD5" w14:textId="77777777" w:rsidR="00C306A8" w:rsidRDefault="00C306A8">
            <w:pPr>
              <w:ind w:left="170"/>
            </w:pPr>
            <w:r>
              <w:t>Safety audits of bus safety duty holders conducted in accordance with risk-based plan</w:t>
            </w:r>
          </w:p>
        </w:tc>
        <w:tc>
          <w:tcPr>
            <w:tcW w:w="964" w:type="dxa"/>
            <w:tcBorders>
              <w:bottom w:val="single" w:sz="6" w:space="0" w:color="auto"/>
            </w:tcBorders>
          </w:tcPr>
          <w:p w14:paraId="0015579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DCDDABA"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D4CE51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9FE8551"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44D50F6"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2ED4BCD5"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F2187A" w14:textId="77777777" w:rsidR="00C306A8" w:rsidRDefault="00C306A8">
            <w:pPr>
              <w:ind w:left="170"/>
            </w:pPr>
            <w:r>
              <w:t>Sector Resilience Plans developed</w:t>
            </w:r>
          </w:p>
        </w:tc>
        <w:tc>
          <w:tcPr>
            <w:tcW w:w="964" w:type="dxa"/>
            <w:tcBorders>
              <w:bottom w:val="single" w:sz="6" w:space="0" w:color="auto"/>
            </w:tcBorders>
          </w:tcPr>
          <w:p w14:paraId="29A1E9F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399AD6E"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799F22BC"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690474F7"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6B080C82"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E23FFE1" w14:textId="77777777" w:rsidTr="005314E1">
        <w:tc>
          <w:tcPr>
            <w:cnfStyle w:val="001000000000" w:firstRow="0" w:lastRow="0" w:firstColumn="1" w:lastColumn="0" w:oddVBand="0" w:evenVBand="0" w:oddHBand="0" w:evenHBand="0" w:firstRowFirstColumn="0" w:firstRowLastColumn="0" w:lastRowFirstColumn="0" w:lastRowLastColumn="0"/>
            <w:tcW w:w="4819" w:type="dxa"/>
          </w:tcPr>
          <w:p w14:paraId="325CF68B" w14:textId="77777777" w:rsidR="00C306A8" w:rsidRDefault="00C306A8">
            <w:pPr>
              <w:ind w:left="170"/>
            </w:pPr>
            <w:r>
              <w:t>Transport and marine safety investigations: proportion of notified accidents with passenger fatalities and/or multiple serious passenger injuries investigated</w:t>
            </w:r>
          </w:p>
        </w:tc>
        <w:tc>
          <w:tcPr>
            <w:tcW w:w="964" w:type="dxa"/>
          </w:tcPr>
          <w:p w14:paraId="336B110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D7A28C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27AC982"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B91660D"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404FB29" w14:textId="3A75A8B6" w:rsidR="00C306A8" w:rsidRDefault="00C306A8">
            <w:pPr>
              <w:cnfStyle w:val="000000000000" w:firstRow="0" w:lastRow="0" w:firstColumn="0" w:lastColumn="0" w:oddVBand="0" w:evenVBand="0" w:oddHBand="0" w:evenHBand="0" w:firstRowFirstColumn="0" w:firstRowLastColumn="0" w:lastRowFirstColumn="0" w:lastRowLastColumn="0"/>
            </w:pPr>
            <w:r>
              <w:t>n.a.</w:t>
            </w:r>
          </w:p>
        </w:tc>
      </w:tr>
      <w:tr w:rsidR="003F3CC9" w14:paraId="5BEE118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8CADA3" w14:textId="6D2E4704" w:rsidR="003F3CC9" w:rsidRPr="005314E1" w:rsidRDefault="003F3CC9" w:rsidP="005314E1">
            <w:pPr>
              <w:ind w:left="170"/>
              <w:rPr>
                <w:i/>
              </w:rPr>
            </w:pPr>
            <w:r w:rsidRPr="005314E1">
              <w:rPr>
                <w:i/>
              </w:rPr>
              <w:t>The 2024</w:t>
            </w:r>
            <w:r w:rsidR="000F51DA">
              <w:rPr>
                <w:i/>
              </w:rPr>
              <w:t>-</w:t>
            </w:r>
            <w:r w:rsidRPr="005314E1">
              <w:rPr>
                <w:i/>
              </w:rPr>
              <w:t>25 result reflects no notifications of passenger fatalities and/or multiple serious injuries.</w:t>
            </w:r>
          </w:p>
        </w:tc>
      </w:tr>
      <w:tr w:rsidR="00C306A8" w:rsidRPr="009C3723" w14:paraId="60EF1C65"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Pr>
          <w:p w14:paraId="661C261D" w14:textId="77777777" w:rsidR="00C306A8" w:rsidRPr="009C3723" w:rsidRDefault="00C306A8">
            <w:pPr>
              <w:keepNext/>
              <w:rPr>
                <w:b/>
              </w:rPr>
            </w:pPr>
            <w:r w:rsidRPr="009C3723">
              <w:rPr>
                <w:b/>
              </w:rPr>
              <w:t>Quality</w:t>
            </w:r>
          </w:p>
        </w:tc>
      </w:tr>
      <w:tr w:rsidR="00C306A8" w14:paraId="478F7685"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021442E" w14:textId="77777777" w:rsidR="00C306A8" w:rsidRDefault="00C306A8">
            <w:pPr>
              <w:ind w:left="170"/>
            </w:pPr>
            <w:r>
              <w:t>Compliance inspections of commercial maritime duty holders other than vessel owners and operators audited in accordance with legislative requirements and timelines</w:t>
            </w:r>
          </w:p>
        </w:tc>
        <w:tc>
          <w:tcPr>
            <w:tcW w:w="964" w:type="dxa"/>
            <w:tcBorders>
              <w:bottom w:val="single" w:sz="6" w:space="0" w:color="auto"/>
            </w:tcBorders>
          </w:tcPr>
          <w:p w14:paraId="27416B5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3C0695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794E11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58B8CE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5A8CB6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17867955" w14:textId="77777777" w:rsidTr="005314E1">
        <w:tc>
          <w:tcPr>
            <w:cnfStyle w:val="001000000000" w:firstRow="0" w:lastRow="0" w:firstColumn="1" w:lastColumn="0" w:oddVBand="0" w:evenVBand="0" w:oddHBand="0" w:evenHBand="0" w:firstRowFirstColumn="0" w:firstRowLastColumn="0" w:lastRowFirstColumn="0" w:lastRowLastColumn="0"/>
            <w:tcW w:w="4819" w:type="dxa"/>
          </w:tcPr>
          <w:p w14:paraId="65C2B92F" w14:textId="77777777" w:rsidR="00C306A8" w:rsidRDefault="00C306A8">
            <w:pPr>
              <w:keepNext/>
              <w:ind w:left="170"/>
            </w:pPr>
            <w:r>
              <w:t>Prosecutions that meet model litigant guidelines and court procedures and requirements</w:t>
            </w:r>
          </w:p>
        </w:tc>
        <w:tc>
          <w:tcPr>
            <w:tcW w:w="964" w:type="dxa"/>
          </w:tcPr>
          <w:p w14:paraId="7A473D5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A099A8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D794DF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1B09CF3"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5F81F45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36F485DB"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E9644F" w14:textId="77777777" w:rsidR="00C306A8" w:rsidRDefault="00C306A8">
            <w:pPr>
              <w:ind w:left="170"/>
            </w:pPr>
            <w:r>
              <w:rPr>
                <w:i/>
              </w:rPr>
              <w:t xml:space="preserve">The 2025-26 expected outcome is higher than the 2025-26 target due to all prosecutions meeting model litigant guidelines and court requirements. </w:t>
            </w:r>
          </w:p>
          <w:p w14:paraId="40B9E78B" w14:textId="77777777" w:rsidR="00C306A8" w:rsidRDefault="00C306A8">
            <w:pPr>
              <w:ind w:left="170"/>
            </w:pPr>
            <w:r>
              <w:rPr>
                <w:i/>
              </w:rPr>
              <w:t xml:space="preserve">The higher 2026-27 target reflects Safe Transport Victoria continuing to meet model litigant guidelines. </w:t>
            </w:r>
          </w:p>
        </w:tc>
      </w:tr>
      <w:tr w:rsidR="00C306A8" w:rsidRPr="009C3723" w14:paraId="26BBE3D4"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Pr>
          <w:p w14:paraId="5DBFEB8A" w14:textId="77777777" w:rsidR="00C306A8" w:rsidRPr="009C3723" w:rsidRDefault="00C306A8">
            <w:pPr>
              <w:keepNext/>
              <w:rPr>
                <w:b/>
              </w:rPr>
            </w:pPr>
            <w:r w:rsidRPr="009C3723">
              <w:rPr>
                <w:b/>
              </w:rPr>
              <w:t>Timeliness</w:t>
            </w:r>
          </w:p>
        </w:tc>
      </w:tr>
      <w:tr w:rsidR="00C306A8" w14:paraId="108E9811"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11FF590" w14:textId="77777777" w:rsidR="00C306A8" w:rsidRDefault="00C306A8">
            <w:pPr>
              <w:ind w:left="170"/>
            </w:pPr>
            <w:r>
              <w:t xml:space="preserve">Applications for bus operator accreditation processed on time in accordance with </w:t>
            </w:r>
            <w:r w:rsidRPr="00B664FF">
              <w:rPr>
                <w:i/>
                <w:iCs/>
              </w:rPr>
              <w:t>Bus Safety Act 2009</w:t>
            </w:r>
            <w:r>
              <w:t xml:space="preserve"> requirements</w:t>
            </w:r>
          </w:p>
        </w:tc>
        <w:tc>
          <w:tcPr>
            <w:tcW w:w="964" w:type="dxa"/>
            <w:tcBorders>
              <w:bottom w:val="single" w:sz="6" w:space="0" w:color="auto"/>
            </w:tcBorders>
          </w:tcPr>
          <w:p w14:paraId="121C5BF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011DF2"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6E6B97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C66AB7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9CC6013"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r>
      <w:tr w:rsidR="00C306A8" w14:paraId="5343CE88"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96C6B83" w14:textId="77777777" w:rsidR="00C306A8" w:rsidRDefault="00C306A8">
            <w:pPr>
              <w:ind w:left="170"/>
            </w:pPr>
            <w:r>
              <w:t>Initiate marine pollution response action within 60 minutes of incident notification</w:t>
            </w:r>
          </w:p>
        </w:tc>
        <w:tc>
          <w:tcPr>
            <w:tcW w:w="964" w:type="dxa"/>
            <w:tcBorders>
              <w:bottom w:val="single" w:sz="6" w:space="0" w:color="auto"/>
            </w:tcBorders>
          </w:tcPr>
          <w:p w14:paraId="5F65684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05EC7B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F20490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49DE542"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87107C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73B20FE9" w14:textId="77777777" w:rsidTr="005314E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B57198F" w14:textId="77777777" w:rsidR="00C306A8" w:rsidRDefault="00C306A8">
            <w:pPr>
              <w:ind w:left="170"/>
            </w:pPr>
            <w:r>
              <w:t>Transport and marine safety investigations: accidents/incidents assessed within two days of notification to determine need for detailed investigation</w:t>
            </w:r>
          </w:p>
        </w:tc>
        <w:tc>
          <w:tcPr>
            <w:tcW w:w="964" w:type="dxa"/>
            <w:tcBorders>
              <w:bottom w:val="single" w:sz="6" w:space="0" w:color="auto"/>
            </w:tcBorders>
          </w:tcPr>
          <w:p w14:paraId="077C813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E75844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D607036"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7BD87F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D16832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426F112A" w14:textId="77777777" w:rsidTr="005314E1">
        <w:tc>
          <w:tcPr>
            <w:cnfStyle w:val="001000000000" w:firstRow="0" w:lastRow="0" w:firstColumn="1" w:lastColumn="0" w:oddVBand="0" w:evenVBand="0" w:oddHBand="0" w:evenHBand="0" w:firstRowFirstColumn="0" w:firstRowLastColumn="0" w:lastRowFirstColumn="0" w:lastRowLastColumn="0"/>
            <w:tcW w:w="4819" w:type="dxa"/>
          </w:tcPr>
          <w:p w14:paraId="111945F3" w14:textId="77777777" w:rsidR="00C306A8" w:rsidRDefault="00C306A8">
            <w:pPr>
              <w:keepNext/>
              <w:ind w:left="170"/>
            </w:pPr>
            <w:r>
              <w:t>Transport and marine safety investigations: Investigations completed within agreed timeframes</w:t>
            </w:r>
          </w:p>
        </w:tc>
        <w:tc>
          <w:tcPr>
            <w:tcW w:w="964" w:type="dxa"/>
          </w:tcPr>
          <w:p w14:paraId="119D28C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5317E21" w14:textId="77777777" w:rsidR="00C306A8" w:rsidRDefault="00C306A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6C0A827" w14:textId="77777777" w:rsidR="00C306A8" w:rsidRDefault="00C306A8">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07FFDD27" w14:textId="77777777" w:rsidR="00C306A8" w:rsidRDefault="00C306A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7DD3D3BE" w14:textId="77777777" w:rsidR="00C306A8" w:rsidRDefault="00C306A8">
            <w:pPr>
              <w:cnfStyle w:val="000000000000" w:firstRow="0" w:lastRow="0" w:firstColumn="0" w:lastColumn="0" w:oddVBand="0" w:evenVBand="0" w:oddHBand="0" w:evenHBand="0" w:firstRowFirstColumn="0" w:firstRowLastColumn="0" w:lastRowFirstColumn="0" w:lastRowLastColumn="0"/>
            </w:pPr>
            <w:r>
              <w:t>60</w:t>
            </w:r>
          </w:p>
        </w:tc>
      </w:tr>
      <w:tr w:rsidR="00C306A8" w14:paraId="21E24822"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F25CE3" w14:textId="77777777" w:rsidR="00C306A8" w:rsidRDefault="00C306A8">
            <w:pPr>
              <w:ind w:left="170"/>
            </w:pPr>
            <w:r>
              <w:rPr>
                <w:i/>
              </w:rPr>
              <w:t>The 2025-26 expected outcome is lower than the 2025-26 target due to complex systemic investigations requiring more time to complete.</w:t>
            </w:r>
          </w:p>
        </w:tc>
      </w:tr>
      <w:tr w:rsidR="00C306A8" w:rsidRPr="009C3723" w14:paraId="79947B49"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Pr>
          <w:p w14:paraId="00F607C3" w14:textId="77777777" w:rsidR="00C306A8" w:rsidRPr="009C3723" w:rsidRDefault="00C306A8">
            <w:pPr>
              <w:keepNext/>
              <w:rPr>
                <w:b/>
              </w:rPr>
            </w:pPr>
            <w:r w:rsidRPr="009C3723">
              <w:rPr>
                <w:b/>
              </w:rPr>
              <w:t>Cost</w:t>
            </w:r>
          </w:p>
        </w:tc>
      </w:tr>
      <w:tr w:rsidR="00C306A8" w14:paraId="259F0537" w14:textId="77777777" w:rsidTr="005314E1">
        <w:tc>
          <w:tcPr>
            <w:cnfStyle w:val="001000000000" w:firstRow="0" w:lastRow="0" w:firstColumn="1" w:lastColumn="0" w:oddVBand="0" w:evenVBand="0" w:oddHBand="0" w:evenHBand="0" w:firstRowFirstColumn="0" w:firstRowLastColumn="0" w:lastRowFirstColumn="0" w:lastRowLastColumn="0"/>
            <w:tcW w:w="4819" w:type="dxa"/>
          </w:tcPr>
          <w:p w14:paraId="504A893E" w14:textId="77777777" w:rsidR="00C306A8" w:rsidRDefault="00C306A8">
            <w:pPr>
              <w:keepNext/>
              <w:ind w:left="170"/>
            </w:pPr>
            <w:r>
              <w:t>Total output cost</w:t>
            </w:r>
          </w:p>
        </w:tc>
        <w:tc>
          <w:tcPr>
            <w:tcW w:w="964" w:type="dxa"/>
          </w:tcPr>
          <w:p w14:paraId="5680004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797FEE3" w14:textId="77777777" w:rsidR="00C306A8" w:rsidRDefault="00C306A8">
            <w:pPr>
              <w:cnfStyle w:val="000000000000" w:firstRow="0" w:lastRow="0" w:firstColumn="0" w:lastColumn="0" w:oddVBand="0" w:evenVBand="0" w:oddHBand="0" w:evenHBand="0" w:firstRowFirstColumn="0" w:firstRowLastColumn="0" w:lastRowFirstColumn="0" w:lastRowLastColumn="0"/>
            </w:pPr>
            <w:r>
              <w:t>26.8</w:t>
            </w:r>
          </w:p>
        </w:tc>
        <w:tc>
          <w:tcPr>
            <w:tcW w:w="964" w:type="dxa"/>
          </w:tcPr>
          <w:p w14:paraId="6D1A026F" w14:textId="77777777" w:rsidR="00C306A8" w:rsidRDefault="00C306A8">
            <w:pPr>
              <w:cnfStyle w:val="000000000000" w:firstRow="0" w:lastRow="0" w:firstColumn="0" w:lastColumn="0" w:oddVBand="0" w:evenVBand="0" w:oddHBand="0" w:evenHBand="0" w:firstRowFirstColumn="0" w:firstRowLastColumn="0" w:lastRowFirstColumn="0" w:lastRowLastColumn="0"/>
            </w:pPr>
            <w:r>
              <w:t>27.8</w:t>
            </w:r>
          </w:p>
        </w:tc>
        <w:tc>
          <w:tcPr>
            <w:tcW w:w="964" w:type="dxa"/>
          </w:tcPr>
          <w:p w14:paraId="19DC5077" w14:textId="77777777" w:rsidR="00C306A8" w:rsidRDefault="00C306A8">
            <w:pPr>
              <w:cnfStyle w:val="000000000000" w:firstRow="0" w:lastRow="0" w:firstColumn="0" w:lastColumn="0" w:oddVBand="0" w:evenVBand="0" w:oddHBand="0" w:evenHBand="0" w:firstRowFirstColumn="0" w:firstRowLastColumn="0" w:lastRowFirstColumn="0" w:lastRowLastColumn="0"/>
            </w:pPr>
            <w:r>
              <w:t>27.7</w:t>
            </w:r>
          </w:p>
        </w:tc>
        <w:tc>
          <w:tcPr>
            <w:tcW w:w="964" w:type="dxa"/>
          </w:tcPr>
          <w:p w14:paraId="3407ADB0" w14:textId="77777777" w:rsidR="00C306A8" w:rsidRDefault="00C306A8">
            <w:pPr>
              <w:cnfStyle w:val="000000000000" w:firstRow="0" w:lastRow="0" w:firstColumn="0" w:lastColumn="0" w:oddVBand="0" w:evenVBand="0" w:oddHBand="0" w:evenHBand="0" w:firstRowFirstColumn="0" w:firstRowLastColumn="0" w:lastRowFirstColumn="0" w:lastRowLastColumn="0"/>
            </w:pPr>
            <w:r>
              <w:t>29.2</w:t>
            </w:r>
          </w:p>
        </w:tc>
      </w:tr>
      <w:tr w:rsidR="00C306A8" w14:paraId="3E4757E9" w14:textId="77777777" w:rsidTr="005314E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097E55F" w14:textId="33C0E0B8" w:rsidR="00C306A8" w:rsidRDefault="00012B26" w:rsidP="00012B26">
            <w:pPr>
              <w:ind w:left="170"/>
            </w:pPr>
            <w:r w:rsidRPr="00012B26">
              <w:rPr>
                <w:i/>
              </w:rPr>
              <w:t>The 2026-27 target represents a small variation from the 2025-26 target. The Transport Safety and Security output is primarily focused on the regulatory activities of Safe Transport Victoria. This does not include the Additional 50 PSOs on the transport network, an investment of $44 million.</w:t>
            </w:r>
          </w:p>
        </w:tc>
      </w:tr>
    </w:tbl>
    <w:p w14:paraId="52045CC9" w14:textId="4CE7EF52" w:rsidR="00C306A8" w:rsidRDefault="00C306A8" w:rsidP="00C306A8">
      <w:pPr>
        <w:pStyle w:val="Source"/>
      </w:pPr>
      <w:r>
        <w:t>Source: Department of Transport and Planning</w:t>
      </w:r>
    </w:p>
    <w:p w14:paraId="1C70D6E3" w14:textId="77777777" w:rsidR="00B352D7" w:rsidRPr="00B352D7" w:rsidRDefault="00B352D7" w:rsidP="00B352D7"/>
    <w:p w14:paraId="0C686E61" w14:textId="77777777" w:rsidR="00C306A8" w:rsidRDefault="00C306A8" w:rsidP="00C306A8">
      <w:pPr>
        <w:pStyle w:val="ShadedBoxHeading"/>
        <w:tabs>
          <w:tab w:val="left" w:pos="7590"/>
        </w:tabs>
      </w:pPr>
      <w:r>
        <w:lastRenderedPageBreak/>
        <w:t>Objective 3: A safe and quality-built environment</w:t>
      </w:r>
      <w:r>
        <w:tab/>
      </w:r>
    </w:p>
    <w:p w14:paraId="1D5F2D2C" w14:textId="77777777" w:rsidR="00C306A8" w:rsidRDefault="00C306A8" w:rsidP="00C306A8">
      <w:pPr>
        <w:pStyle w:val="ShadedBoxText"/>
      </w:pPr>
      <w:r>
        <w:t xml:space="preserve">This objective plans for the transformation of cities and regions to deliver more homes for more Victorians close to transport, jobs and services in thriving, liveable and sustainable neighbourhoods, and provides leadership and advice on heritage protection and the built environment. It delivers streamlined, fair and transparent planning, building and heritage systems. </w:t>
      </w:r>
    </w:p>
    <w:p w14:paraId="6754B1B8" w14:textId="21212213" w:rsidR="00C306A8" w:rsidRDefault="00C306A8" w:rsidP="00C306A8">
      <w:pPr>
        <w:pStyle w:val="ShadedBoxText"/>
      </w:pPr>
      <w:r>
        <w:t xml:space="preserve">The </w:t>
      </w:r>
      <w:r w:rsidR="00393D33">
        <w:t>D</w:t>
      </w:r>
      <w:r>
        <w:t>epartment recognises the link between the natural and built environment in the quality of our lives and works to accommodate population needs while maintaining world class liveability and protecting our heritage for future generations.</w:t>
      </w:r>
    </w:p>
    <w:p w14:paraId="3732DDA6" w14:textId="77777777" w:rsidR="00C306A8" w:rsidRDefault="00C306A8" w:rsidP="00C306A8">
      <w:pPr>
        <w:pStyle w:val="ShadedBoxText"/>
      </w:pPr>
      <w:r>
        <w:t>The departmental objective indicators are:</w:t>
      </w:r>
    </w:p>
    <w:p w14:paraId="356E022C" w14:textId="77777777" w:rsidR="00C306A8" w:rsidRDefault="00C306A8" w:rsidP="00C306A8">
      <w:pPr>
        <w:pStyle w:val="ShadedBoxBullet"/>
      </w:pPr>
      <w:r>
        <w:t>improved liveability, sustainability and inclusiveness of public spaces and neighbourhoods</w:t>
      </w:r>
    </w:p>
    <w:p w14:paraId="585615CB" w14:textId="77777777" w:rsidR="00C306A8" w:rsidRPr="00836964" w:rsidRDefault="00C306A8" w:rsidP="00C306A8">
      <w:pPr>
        <w:pStyle w:val="ShadedBoxBullet"/>
      </w:pPr>
      <w:r>
        <w:t>effective protection of cultural and natural heritage.</w:t>
      </w:r>
    </w:p>
    <w:p w14:paraId="798EF558" w14:textId="77777777" w:rsidR="00C306A8" w:rsidRDefault="00C306A8" w:rsidP="00C306A8">
      <w:pPr>
        <w:pStyle w:val="Heading2"/>
      </w:pPr>
      <w:r w:rsidRPr="00F35D78">
        <w:t>Outputs</w:t>
      </w:r>
    </w:p>
    <w:p w14:paraId="7C6720AF" w14:textId="77777777" w:rsidR="00C306A8" w:rsidRDefault="00C306A8" w:rsidP="00C306A8">
      <w:pPr>
        <w:pStyle w:val="Heading3"/>
      </w:pPr>
      <w:r>
        <w:t>Building</w:t>
      </w:r>
      <w:r>
        <w:tab/>
        <w:t>(2026-27: $75.5 million)</w:t>
      </w:r>
    </w:p>
    <w:p w14:paraId="1B5DD32F" w14:textId="69989C6F" w:rsidR="00C306A8" w:rsidRPr="00C64746" w:rsidRDefault="00C306A8" w:rsidP="00C306A8">
      <w:pPr>
        <w:spacing w:after="120"/>
      </w:pPr>
      <w:r w:rsidRPr="00C64746">
        <w:t>This output addresses risks associated with Victoria’s building, plumbing and architecture industries and ensures that they deliver safe, high-quality and affordable homes. It also provides strategic leadership, oversight and advice on the built environment and relevant industry policies and reform initiatives. Through this output, the Department administers the statutory responsibilities of the Minister for Housing and Building and maintains a strong consumer-focused regulatory framework.</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0C4A716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797B846B" w14:textId="77777777" w:rsidR="00C306A8" w:rsidRDefault="00C306A8">
            <w:r>
              <w:t>Performance measure</w:t>
            </w:r>
          </w:p>
        </w:tc>
        <w:tc>
          <w:tcPr>
            <w:tcW w:w="964" w:type="dxa"/>
          </w:tcPr>
          <w:p w14:paraId="1293EE9E"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035CCAF"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AFA32A3"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B75619F"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12ED266"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9C3723" w14:paraId="7F04EF1C"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1EECD71B" w14:textId="77777777" w:rsidR="00C306A8" w:rsidRPr="009C3723" w:rsidRDefault="00C306A8">
            <w:pPr>
              <w:keepNext/>
              <w:rPr>
                <w:b/>
              </w:rPr>
            </w:pPr>
            <w:r w:rsidRPr="009C3723">
              <w:rPr>
                <w:b/>
              </w:rPr>
              <w:t>Quantity</w:t>
            </w:r>
          </w:p>
        </w:tc>
      </w:tr>
      <w:tr w:rsidR="00C306A8" w14:paraId="23D93C63"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B56103C" w14:textId="77777777" w:rsidR="00C306A8" w:rsidRDefault="00C306A8">
            <w:pPr>
              <w:ind w:left="170"/>
            </w:pPr>
            <w:r>
              <w:t>Formal advice issued by the Office of the Victorian Government Architect on significant projects in the built environment</w:t>
            </w:r>
          </w:p>
        </w:tc>
        <w:tc>
          <w:tcPr>
            <w:tcW w:w="964" w:type="dxa"/>
            <w:tcBorders>
              <w:bottom w:val="single" w:sz="6" w:space="0" w:color="auto"/>
            </w:tcBorders>
          </w:tcPr>
          <w:p w14:paraId="2FB9D2C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6D89F79"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3F6AA3BF"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7918B877"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single" w:sz="6" w:space="0" w:color="auto"/>
            </w:tcBorders>
          </w:tcPr>
          <w:p w14:paraId="4469A484" w14:textId="77777777" w:rsidR="00C306A8" w:rsidRDefault="00C306A8">
            <w:pPr>
              <w:cnfStyle w:val="000000000000" w:firstRow="0" w:lastRow="0" w:firstColumn="0" w:lastColumn="0" w:oddVBand="0" w:evenVBand="0" w:oddHBand="0" w:evenHBand="0" w:firstRowFirstColumn="0" w:firstRowLastColumn="0" w:lastRowFirstColumn="0" w:lastRowLastColumn="0"/>
            </w:pPr>
            <w:r>
              <w:t>101</w:t>
            </w:r>
          </w:p>
        </w:tc>
      </w:tr>
      <w:tr w:rsidR="00C306A8" w14:paraId="083EAD4C" w14:textId="77777777">
        <w:tc>
          <w:tcPr>
            <w:cnfStyle w:val="001000000000" w:firstRow="0" w:lastRow="0" w:firstColumn="1" w:lastColumn="0" w:oddVBand="0" w:evenVBand="0" w:oddHBand="0" w:evenHBand="0" w:firstRowFirstColumn="0" w:firstRowLastColumn="0" w:lastRowFirstColumn="0" w:lastRowLastColumn="0"/>
            <w:tcW w:w="4820" w:type="dxa"/>
          </w:tcPr>
          <w:p w14:paraId="5FEE7309" w14:textId="185C3934" w:rsidR="00C306A8" w:rsidRDefault="00C306A8">
            <w:pPr>
              <w:keepNext/>
              <w:ind w:left="170"/>
            </w:pPr>
            <w:r>
              <w:t>Number of sites with detected high or medium risk non</w:t>
            </w:r>
            <w:r w:rsidR="009C3723">
              <w:noBreakHyphen/>
            </w:r>
            <w:r>
              <w:t>compliances addressed through inspection activities</w:t>
            </w:r>
          </w:p>
        </w:tc>
        <w:tc>
          <w:tcPr>
            <w:tcW w:w="964" w:type="dxa"/>
          </w:tcPr>
          <w:p w14:paraId="59C00EA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7FE7269" w14:textId="77777777" w:rsidR="00C306A8" w:rsidRDefault="00C306A8">
            <w:pPr>
              <w:cnfStyle w:val="000000000000" w:firstRow="0" w:lastRow="0" w:firstColumn="0" w:lastColumn="0" w:oddVBand="0" w:evenVBand="0" w:oddHBand="0" w:evenHBand="0" w:firstRowFirstColumn="0" w:firstRowLastColumn="0" w:lastRowFirstColumn="0" w:lastRowLastColumn="0"/>
            </w:pPr>
            <w:r>
              <w:t>2 600</w:t>
            </w:r>
          </w:p>
        </w:tc>
        <w:tc>
          <w:tcPr>
            <w:tcW w:w="964" w:type="dxa"/>
          </w:tcPr>
          <w:p w14:paraId="3777EEE7" w14:textId="77777777" w:rsidR="00C306A8" w:rsidRDefault="00C306A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0F14D5B5" w14:textId="77777777" w:rsidR="00C306A8" w:rsidRDefault="00C306A8">
            <w:pPr>
              <w:cnfStyle w:val="000000000000" w:firstRow="0" w:lastRow="0" w:firstColumn="0" w:lastColumn="0" w:oddVBand="0" w:evenVBand="0" w:oddHBand="0" w:evenHBand="0" w:firstRowFirstColumn="0" w:firstRowLastColumn="0" w:lastRowFirstColumn="0" w:lastRowLastColumn="0"/>
            </w:pPr>
            <w:r>
              <w:t>2 500</w:t>
            </w:r>
          </w:p>
        </w:tc>
        <w:tc>
          <w:tcPr>
            <w:tcW w:w="964" w:type="dxa"/>
          </w:tcPr>
          <w:p w14:paraId="2D5746AA"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55A56AA2"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78ADF4D" w14:textId="77777777" w:rsidR="00C306A8" w:rsidRDefault="00C306A8">
            <w:pPr>
              <w:ind w:left="170"/>
            </w:pPr>
            <w:r>
              <w:rPr>
                <w:i/>
              </w:rPr>
              <w:t>The higher 2026-27 target reflects an increase in the detection of high and medium risk non-compliances due to targeted enforcement activities.</w:t>
            </w:r>
          </w:p>
        </w:tc>
      </w:tr>
      <w:tr w:rsidR="00C306A8" w:rsidRPr="009C3723" w14:paraId="6ED0EE9C"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5F8A4A4" w14:textId="77777777" w:rsidR="00C306A8" w:rsidRPr="009C3723" w:rsidRDefault="00C306A8">
            <w:pPr>
              <w:keepNext/>
              <w:rPr>
                <w:b/>
              </w:rPr>
            </w:pPr>
            <w:r w:rsidRPr="009C3723">
              <w:rPr>
                <w:b/>
              </w:rPr>
              <w:t>Quality</w:t>
            </w:r>
          </w:p>
        </w:tc>
      </w:tr>
      <w:tr w:rsidR="00C306A8" w14:paraId="790D0763"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05EB801" w14:textId="77777777" w:rsidR="00C306A8" w:rsidRDefault="00C306A8">
            <w:pPr>
              <w:ind w:left="170"/>
            </w:pPr>
            <w:r>
              <w:t>Consumer building and plumbing enquiries resolved at first point of contact</w:t>
            </w:r>
          </w:p>
        </w:tc>
        <w:tc>
          <w:tcPr>
            <w:tcW w:w="964" w:type="dxa"/>
            <w:tcBorders>
              <w:bottom w:val="single" w:sz="6" w:space="0" w:color="auto"/>
            </w:tcBorders>
          </w:tcPr>
          <w:p w14:paraId="2CC5D66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CBF17AB"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9FBC454"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AA78FC1"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9428C4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6023948" w14:textId="77777777">
        <w:tc>
          <w:tcPr>
            <w:cnfStyle w:val="001000000000" w:firstRow="0" w:lastRow="0" w:firstColumn="1" w:lastColumn="0" w:oddVBand="0" w:evenVBand="0" w:oddHBand="0" w:evenHBand="0" w:firstRowFirstColumn="0" w:firstRowLastColumn="0" w:lastRowFirstColumn="0" w:lastRowLastColumn="0"/>
            <w:tcW w:w="4820" w:type="dxa"/>
          </w:tcPr>
          <w:p w14:paraId="03E1619F" w14:textId="77777777" w:rsidR="00C306A8" w:rsidRDefault="00C306A8">
            <w:pPr>
              <w:keepNext/>
              <w:ind w:left="170"/>
            </w:pPr>
            <w:r>
              <w:t>Percentage of non-compliant plumbing work rectified</w:t>
            </w:r>
          </w:p>
        </w:tc>
        <w:tc>
          <w:tcPr>
            <w:tcW w:w="964" w:type="dxa"/>
          </w:tcPr>
          <w:p w14:paraId="786ABF9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244F1DA"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9FF048D"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75E4C38"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79EE69F"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62F5382D"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E5C38A0" w14:textId="77777777" w:rsidR="00C306A8" w:rsidRDefault="00C306A8">
            <w:pPr>
              <w:ind w:left="170"/>
            </w:pPr>
            <w:r>
              <w:rPr>
                <w:i/>
              </w:rPr>
              <w:t>New performance measure for 2026-27 to reflect activities delivered by the Building and Plumbing Commission.</w:t>
            </w:r>
          </w:p>
        </w:tc>
      </w:tr>
      <w:tr w:rsidR="00C306A8" w14:paraId="79872B0C" w14:textId="77777777">
        <w:tc>
          <w:tcPr>
            <w:cnfStyle w:val="001000000000" w:firstRow="0" w:lastRow="0" w:firstColumn="1" w:lastColumn="0" w:oddVBand="0" w:evenVBand="0" w:oddHBand="0" w:evenHBand="0" w:firstRowFirstColumn="0" w:firstRowLastColumn="0" w:lastRowFirstColumn="0" w:lastRowLastColumn="0"/>
            <w:tcW w:w="4820" w:type="dxa"/>
          </w:tcPr>
          <w:p w14:paraId="7478FF78" w14:textId="77777777" w:rsidR="00C306A8" w:rsidRDefault="00C306A8">
            <w:pPr>
              <w:keepNext/>
              <w:ind w:left="170"/>
            </w:pPr>
            <w:r>
              <w:t>Settlement rate of domestic building dispute cases</w:t>
            </w:r>
          </w:p>
        </w:tc>
        <w:tc>
          <w:tcPr>
            <w:tcW w:w="964" w:type="dxa"/>
          </w:tcPr>
          <w:p w14:paraId="60ED98B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608F469" w14:textId="77777777" w:rsidR="00C306A8" w:rsidRDefault="00C306A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09515A4"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26C28F2"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A6B82D7"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6CEF41F4"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18B6D5C" w14:textId="77777777" w:rsidR="00C306A8" w:rsidRDefault="00C306A8">
            <w:pPr>
              <w:ind w:left="170"/>
            </w:pPr>
            <w:r>
              <w:rPr>
                <w:i/>
              </w:rPr>
              <w:t>New performance measure for 2026-27 to reflect activities delivered by the Building and Plumbing Commission.</w:t>
            </w:r>
          </w:p>
        </w:tc>
      </w:tr>
      <w:tr w:rsidR="00C306A8" w:rsidRPr="009C3723" w14:paraId="7F0CC451"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1C21E2F" w14:textId="77777777" w:rsidR="00C306A8" w:rsidRPr="009C3723" w:rsidRDefault="00C306A8">
            <w:pPr>
              <w:keepNext/>
              <w:rPr>
                <w:b/>
              </w:rPr>
            </w:pPr>
            <w:r w:rsidRPr="009C3723">
              <w:rPr>
                <w:b/>
              </w:rPr>
              <w:t>Timeliness</w:t>
            </w:r>
          </w:p>
        </w:tc>
      </w:tr>
      <w:tr w:rsidR="00C306A8" w14:paraId="6B041D2E" w14:textId="77777777">
        <w:tc>
          <w:tcPr>
            <w:cnfStyle w:val="001000000000" w:firstRow="0" w:lastRow="0" w:firstColumn="1" w:lastColumn="0" w:oddVBand="0" w:evenVBand="0" w:oddHBand="0" w:evenHBand="0" w:firstRowFirstColumn="0" w:firstRowLastColumn="0" w:lastRowFirstColumn="0" w:lastRowLastColumn="0"/>
            <w:tcW w:w="4820" w:type="dxa"/>
          </w:tcPr>
          <w:p w14:paraId="27D45010" w14:textId="77777777" w:rsidR="00C306A8" w:rsidRDefault="00C306A8">
            <w:pPr>
              <w:keepNext/>
              <w:ind w:left="170"/>
            </w:pPr>
            <w:r>
              <w:t>Domestic Building Insurance claims decided within 90 days</w:t>
            </w:r>
          </w:p>
        </w:tc>
        <w:tc>
          <w:tcPr>
            <w:tcW w:w="964" w:type="dxa"/>
          </w:tcPr>
          <w:p w14:paraId="17103A6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49C3011"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56ECE90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9B54846"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AA29A3F"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3F76906"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7E053B1" w14:textId="77777777" w:rsidR="00C306A8" w:rsidRDefault="00C306A8">
            <w:pPr>
              <w:ind w:left="170"/>
            </w:pPr>
            <w:r>
              <w:rPr>
                <w:i/>
              </w:rPr>
              <w:t>New performance measure for 2026-27 to reflect activities delivered by the Building and Plumbing Commission.</w:t>
            </w:r>
          </w:p>
        </w:tc>
      </w:tr>
      <w:tr w:rsidR="00C306A8" w14:paraId="590F806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584B5BE" w14:textId="77777777" w:rsidR="00C306A8" w:rsidRDefault="00C306A8">
            <w:pPr>
              <w:ind w:left="170"/>
            </w:pPr>
            <w:r>
              <w:t>Formal advice issued by the Office of the Victorian Government Architect on significant projects in the built environment within 10 business days after design review on typical projects</w:t>
            </w:r>
          </w:p>
        </w:tc>
        <w:tc>
          <w:tcPr>
            <w:tcW w:w="964" w:type="dxa"/>
            <w:tcBorders>
              <w:bottom w:val="single" w:sz="6" w:space="0" w:color="auto"/>
            </w:tcBorders>
          </w:tcPr>
          <w:p w14:paraId="1F3CF41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06D0DCC"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2B6ECC0"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6EA570F1"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5BEAC835" w14:textId="77777777" w:rsidR="00C306A8" w:rsidRDefault="00C306A8">
            <w:pPr>
              <w:cnfStyle w:val="000000000000" w:firstRow="0" w:lastRow="0" w:firstColumn="0" w:lastColumn="0" w:oddVBand="0" w:evenVBand="0" w:oddHBand="0" w:evenHBand="0" w:firstRowFirstColumn="0" w:firstRowLastColumn="0" w:lastRowFirstColumn="0" w:lastRowLastColumn="0"/>
            </w:pPr>
            <w:r>
              <w:t>85.1</w:t>
            </w:r>
          </w:p>
        </w:tc>
      </w:tr>
      <w:tr w:rsidR="00C306A8" w14:paraId="6FE5AC93" w14:textId="77777777">
        <w:tc>
          <w:tcPr>
            <w:cnfStyle w:val="001000000000" w:firstRow="0" w:lastRow="0" w:firstColumn="1" w:lastColumn="0" w:oddVBand="0" w:evenVBand="0" w:oddHBand="0" w:evenHBand="0" w:firstRowFirstColumn="0" w:firstRowLastColumn="0" w:lastRowFirstColumn="0" w:lastRowLastColumn="0"/>
            <w:tcW w:w="4820" w:type="dxa"/>
          </w:tcPr>
          <w:p w14:paraId="42BEDA5F" w14:textId="77777777" w:rsidR="00C306A8" w:rsidRDefault="00C306A8">
            <w:pPr>
              <w:keepNext/>
              <w:ind w:left="170"/>
            </w:pPr>
            <w:r>
              <w:t>New accredited Building Surveyor registration applications completed within 40 days</w:t>
            </w:r>
          </w:p>
        </w:tc>
        <w:tc>
          <w:tcPr>
            <w:tcW w:w="964" w:type="dxa"/>
          </w:tcPr>
          <w:p w14:paraId="2ECC434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D3CFF29"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815ACF9"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299A7A5"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BC140F3"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687FAB54"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91A7ECF" w14:textId="77777777" w:rsidR="00C306A8" w:rsidRDefault="00C306A8">
            <w:pPr>
              <w:ind w:left="170"/>
            </w:pPr>
            <w:r>
              <w:rPr>
                <w:i/>
              </w:rPr>
              <w:t>New performance measure for 2026-27 to reflect activities delivered by the Building and Plumbing Commission.</w:t>
            </w:r>
          </w:p>
        </w:tc>
      </w:tr>
      <w:tr w:rsidR="00C306A8" w:rsidRPr="009C3723" w14:paraId="2276428B"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04DCB772" w14:textId="77777777" w:rsidR="00C306A8" w:rsidRPr="009C3723" w:rsidRDefault="00C306A8">
            <w:pPr>
              <w:keepNext/>
              <w:rPr>
                <w:b/>
              </w:rPr>
            </w:pPr>
            <w:r w:rsidRPr="009C3723">
              <w:rPr>
                <w:b/>
              </w:rPr>
              <w:t>Cost</w:t>
            </w:r>
          </w:p>
        </w:tc>
      </w:tr>
      <w:tr w:rsidR="00C306A8" w14:paraId="5B7CF27E" w14:textId="77777777">
        <w:tc>
          <w:tcPr>
            <w:cnfStyle w:val="001000000000" w:firstRow="0" w:lastRow="0" w:firstColumn="1" w:lastColumn="0" w:oddVBand="0" w:evenVBand="0" w:oddHBand="0" w:evenHBand="0" w:firstRowFirstColumn="0" w:firstRowLastColumn="0" w:lastRowFirstColumn="0" w:lastRowLastColumn="0"/>
            <w:tcW w:w="4820" w:type="dxa"/>
          </w:tcPr>
          <w:p w14:paraId="2DE395D4" w14:textId="77777777" w:rsidR="00C306A8" w:rsidRDefault="00C306A8">
            <w:pPr>
              <w:keepNext/>
              <w:ind w:left="170"/>
            </w:pPr>
            <w:r>
              <w:t>Total output cost</w:t>
            </w:r>
          </w:p>
        </w:tc>
        <w:tc>
          <w:tcPr>
            <w:tcW w:w="964" w:type="dxa"/>
          </w:tcPr>
          <w:p w14:paraId="0EF7BCD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1150B67" w14:textId="77777777" w:rsidR="00C306A8" w:rsidRDefault="00C306A8">
            <w:pPr>
              <w:cnfStyle w:val="000000000000" w:firstRow="0" w:lastRow="0" w:firstColumn="0" w:lastColumn="0" w:oddVBand="0" w:evenVBand="0" w:oddHBand="0" w:evenHBand="0" w:firstRowFirstColumn="0" w:firstRowLastColumn="0" w:lastRowFirstColumn="0" w:lastRowLastColumn="0"/>
            </w:pPr>
            <w:r>
              <w:t>75.5</w:t>
            </w:r>
          </w:p>
        </w:tc>
        <w:tc>
          <w:tcPr>
            <w:tcW w:w="964" w:type="dxa"/>
          </w:tcPr>
          <w:p w14:paraId="2F635333" w14:textId="77777777" w:rsidR="00C306A8" w:rsidRDefault="00C306A8">
            <w:pPr>
              <w:cnfStyle w:val="000000000000" w:firstRow="0" w:lastRow="0" w:firstColumn="0" w:lastColumn="0" w:oddVBand="0" w:evenVBand="0" w:oddHBand="0" w:evenHBand="0" w:firstRowFirstColumn="0" w:firstRowLastColumn="0" w:lastRowFirstColumn="0" w:lastRowLastColumn="0"/>
            </w:pPr>
            <w:r>
              <w:t>91.7</w:t>
            </w:r>
          </w:p>
        </w:tc>
        <w:tc>
          <w:tcPr>
            <w:tcW w:w="964" w:type="dxa"/>
          </w:tcPr>
          <w:p w14:paraId="107B8AC5" w14:textId="77777777" w:rsidR="00C306A8" w:rsidRDefault="00C306A8">
            <w:pPr>
              <w:cnfStyle w:val="000000000000" w:firstRow="0" w:lastRow="0" w:firstColumn="0" w:lastColumn="0" w:oddVBand="0" w:evenVBand="0" w:oddHBand="0" w:evenHBand="0" w:firstRowFirstColumn="0" w:firstRowLastColumn="0" w:lastRowFirstColumn="0" w:lastRowLastColumn="0"/>
            </w:pPr>
            <w:r>
              <w:t>45.6</w:t>
            </w:r>
          </w:p>
        </w:tc>
        <w:tc>
          <w:tcPr>
            <w:tcW w:w="964" w:type="dxa"/>
          </w:tcPr>
          <w:p w14:paraId="6E8766BA" w14:textId="77777777" w:rsidR="00C306A8" w:rsidRDefault="00C306A8">
            <w:pPr>
              <w:cnfStyle w:val="000000000000" w:firstRow="0" w:lastRow="0" w:firstColumn="0" w:lastColumn="0" w:oddVBand="0" w:evenVBand="0" w:oddHBand="0" w:evenHBand="0" w:firstRowFirstColumn="0" w:firstRowLastColumn="0" w:lastRowFirstColumn="0" w:lastRowLastColumn="0"/>
            </w:pPr>
            <w:r>
              <w:t>54.7</w:t>
            </w:r>
          </w:p>
        </w:tc>
      </w:tr>
      <w:tr w:rsidR="00C306A8" w14:paraId="27E72106" w14:textId="77777777" w:rsidTr="00B352D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70489F42" w14:textId="6106F97A" w:rsidR="000C2D32" w:rsidRDefault="000C2D32" w:rsidP="000C2D32">
            <w:pPr>
              <w:ind w:left="170"/>
            </w:pPr>
            <w:r>
              <w:rPr>
                <w:i/>
              </w:rPr>
              <w:t xml:space="preserve">The 2025-26 expected outcome is higher than the 2025-26 target due to the establishment of the Building and Plumbing Commission (BPC) as </w:t>
            </w:r>
            <w:r w:rsidR="00BF3B11">
              <w:rPr>
                <w:i/>
              </w:rPr>
              <w:t>a consumer-focused</w:t>
            </w:r>
            <w:r>
              <w:rPr>
                <w:i/>
              </w:rPr>
              <w:t xml:space="preserve"> regulator, which consolidates key building dispute and insurance functions. This includes the introduction of the Trusted Regulator program, supporting increased </w:t>
            </w:r>
            <w:r w:rsidR="00DF7158">
              <w:rPr>
                <w:i/>
              </w:rPr>
              <w:t>enforcement to protect consumers most at risk of harm.</w:t>
            </w:r>
          </w:p>
          <w:p w14:paraId="4E8A3A30" w14:textId="42D0E4C9" w:rsidR="00C306A8" w:rsidRDefault="00636A50">
            <w:pPr>
              <w:ind w:left="170"/>
            </w:pPr>
            <w:r>
              <w:rPr>
                <w:i/>
              </w:rPr>
              <w:t xml:space="preserve">The higher 2026-27 target primarily reflects the establishment of the Building and Plumbing Commission as </w:t>
            </w:r>
            <w:r w:rsidR="00F140F0">
              <w:rPr>
                <w:i/>
              </w:rPr>
              <w:t xml:space="preserve">a consumer-focused </w:t>
            </w:r>
            <w:r>
              <w:rPr>
                <w:i/>
              </w:rPr>
              <w:t>regulator as well as additional funding for Building Policy and Reform</w:t>
            </w:r>
            <w:r w:rsidR="00F140F0">
              <w:rPr>
                <w:i/>
              </w:rPr>
              <w:t>.</w:t>
            </w:r>
            <w:r w:rsidDel="00120AF9">
              <w:rPr>
                <w:i/>
              </w:rPr>
              <w:t xml:space="preserve"> </w:t>
            </w:r>
            <w:r w:rsidR="006E0DAB">
              <w:rPr>
                <w:i/>
              </w:rPr>
              <w:t xml:space="preserve">This includes funding for modernising Victoria’s </w:t>
            </w:r>
            <w:r>
              <w:rPr>
                <w:i/>
              </w:rPr>
              <w:t>Trade</w:t>
            </w:r>
            <w:r w:rsidR="00B60CDA">
              <w:rPr>
                <w:i/>
              </w:rPr>
              <w:t>s</w:t>
            </w:r>
            <w:r>
              <w:rPr>
                <w:i/>
              </w:rPr>
              <w:t xml:space="preserve"> Registration and Licensing </w:t>
            </w:r>
            <w:r w:rsidR="00B60CDA">
              <w:rPr>
                <w:i/>
              </w:rPr>
              <w:t>system</w:t>
            </w:r>
            <w:r w:rsidR="005531CA">
              <w:rPr>
                <w:i/>
              </w:rPr>
              <w:t>.</w:t>
            </w:r>
          </w:p>
        </w:tc>
      </w:tr>
    </w:tbl>
    <w:p w14:paraId="68EAB7FF" w14:textId="77777777" w:rsidR="00C306A8" w:rsidRDefault="00C306A8" w:rsidP="00C306A8">
      <w:pPr>
        <w:pStyle w:val="Source"/>
      </w:pPr>
      <w:r>
        <w:t>Source: Department of Transport and Planning</w:t>
      </w:r>
    </w:p>
    <w:p w14:paraId="0FA1A328" w14:textId="77777777" w:rsidR="00C306A8" w:rsidRDefault="00C306A8" w:rsidP="00C306A8">
      <w:pPr>
        <w:pStyle w:val="Heading3"/>
      </w:pPr>
      <w:r>
        <w:lastRenderedPageBreak/>
        <w:t>Planning and Heritage</w:t>
      </w:r>
      <w:r>
        <w:tab/>
        <w:t>(2026-27: $165.7 million)</w:t>
      </w:r>
    </w:p>
    <w:p w14:paraId="46FCF020" w14:textId="77777777" w:rsidR="00C306A8" w:rsidRPr="00951C9F" w:rsidRDefault="00C306A8" w:rsidP="00C306A8">
      <w:pPr>
        <w:spacing w:after="120"/>
      </w:pPr>
      <w:r w:rsidRPr="003F6D91">
        <w:t>This output delivers programs to address development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and heritage systems.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6668144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7094D71C" w14:textId="77777777" w:rsidR="00C306A8" w:rsidRDefault="00C306A8">
            <w:r>
              <w:t>Performance measure</w:t>
            </w:r>
          </w:p>
        </w:tc>
        <w:tc>
          <w:tcPr>
            <w:tcW w:w="964" w:type="dxa"/>
          </w:tcPr>
          <w:p w14:paraId="190D450F"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D1F1BE7"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D7E4363"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FEBF7F9"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A94B81D"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9C3723" w14:paraId="071C2BD2"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1DE457A" w14:textId="77777777" w:rsidR="00C306A8" w:rsidRPr="009C3723" w:rsidRDefault="00C306A8">
            <w:pPr>
              <w:keepNext/>
              <w:rPr>
                <w:b/>
              </w:rPr>
            </w:pPr>
            <w:r w:rsidRPr="009C3723">
              <w:rPr>
                <w:b/>
              </w:rPr>
              <w:t>Quantity</w:t>
            </w:r>
          </w:p>
        </w:tc>
      </w:tr>
      <w:tr w:rsidR="00C306A8" w14:paraId="132274B7"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5EC9CA3D" w14:textId="77777777" w:rsidR="00C306A8" w:rsidRDefault="00C306A8">
            <w:pPr>
              <w:ind w:left="170"/>
            </w:pPr>
            <w:r>
              <w:t>Metropolitan Precinct Structure Plans where preparation of the plan is completed annually</w:t>
            </w:r>
          </w:p>
        </w:tc>
        <w:tc>
          <w:tcPr>
            <w:tcW w:w="964" w:type="dxa"/>
            <w:tcBorders>
              <w:bottom w:val="single" w:sz="6" w:space="0" w:color="auto"/>
            </w:tcBorders>
          </w:tcPr>
          <w:p w14:paraId="7E6073C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5468F87"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0EFD2029"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1FC790E0"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460D9BE5"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0D6002BA" w14:textId="77777777">
        <w:tc>
          <w:tcPr>
            <w:cnfStyle w:val="001000000000" w:firstRow="0" w:lastRow="0" w:firstColumn="1" w:lastColumn="0" w:oddVBand="0" w:evenVBand="0" w:oddHBand="0" w:evenHBand="0" w:firstRowFirstColumn="0" w:firstRowLastColumn="0" w:lastRowFirstColumn="0" w:lastRowLastColumn="0"/>
            <w:tcW w:w="4820" w:type="dxa"/>
          </w:tcPr>
          <w:p w14:paraId="2BE43FC3" w14:textId="77777777" w:rsidR="00C306A8" w:rsidRDefault="00C306A8">
            <w:pPr>
              <w:keepNext/>
              <w:ind w:left="170"/>
            </w:pPr>
            <w:r>
              <w:t>Places or objects assessed for the Victorian Heritage Register</w:t>
            </w:r>
          </w:p>
        </w:tc>
        <w:tc>
          <w:tcPr>
            <w:tcW w:w="964" w:type="dxa"/>
          </w:tcPr>
          <w:p w14:paraId="6E6EE6E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F9D9F5C"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4CF76C1B"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4AFB1FED" w14:textId="77777777" w:rsidR="00C306A8" w:rsidRDefault="00C306A8">
            <w:pPr>
              <w:cnfStyle w:val="000000000000" w:firstRow="0" w:lastRow="0" w:firstColumn="0" w:lastColumn="0" w:oddVBand="0" w:evenVBand="0" w:oddHBand="0" w:evenHBand="0" w:firstRowFirstColumn="0" w:firstRowLastColumn="0" w:lastRowFirstColumn="0" w:lastRowLastColumn="0"/>
            </w:pPr>
            <w:r>
              <w:t>40</w:t>
            </w:r>
          </w:p>
        </w:tc>
        <w:tc>
          <w:tcPr>
            <w:tcW w:w="964" w:type="dxa"/>
          </w:tcPr>
          <w:p w14:paraId="1F0491F4" w14:textId="77777777" w:rsidR="00C306A8" w:rsidRDefault="00C306A8">
            <w:pPr>
              <w:cnfStyle w:val="000000000000" w:firstRow="0" w:lastRow="0" w:firstColumn="0" w:lastColumn="0" w:oddVBand="0" w:evenVBand="0" w:oddHBand="0" w:evenHBand="0" w:firstRowFirstColumn="0" w:firstRowLastColumn="0" w:lastRowFirstColumn="0" w:lastRowLastColumn="0"/>
            </w:pPr>
            <w:r>
              <w:t>32</w:t>
            </w:r>
          </w:p>
        </w:tc>
      </w:tr>
      <w:tr w:rsidR="00C306A8" w14:paraId="383400D6"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7555F2E" w14:textId="77777777" w:rsidR="00C306A8" w:rsidRDefault="00C306A8">
            <w:pPr>
              <w:ind w:left="170"/>
            </w:pPr>
            <w:r>
              <w:rPr>
                <w:i/>
              </w:rPr>
              <w:t>The 2025-26 expected outcome is lower than the 2025-26 target due to the complexity of assessments.</w:t>
            </w:r>
          </w:p>
          <w:p w14:paraId="613137BC" w14:textId="77777777" w:rsidR="00C306A8" w:rsidRDefault="00C306A8">
            <w:pPr>
              <w:ind w:left="170"/>
            </w:pPr>
            <w:r>
              <w:rPr>
                <w:i/>
              </w:rPr>
              <w:t>The lower 2026-27 target is due to the complexity of assessments.</w:t>
            </w:r>
          </w:p>
        </w:tc>
      </w:tr>
      <w:tr w:rsidR="00C306A8" w14:paraId="02CF5E97"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E10EDE8" w14:textId="77777777" w:rsidR="00C306A8" w:rsidRDefault="00C306A8">
            <w:pPr>
              <w:ind w:left="170"/>
            </w:pPr>
            <w:r>
              <w:t>Regional Precinct Structure Plans where preparation of the plan is completed annually</w:t>
            </w:r>
          </w:p>
        </w:tc>
        <w:tc>
          <w:tcPr>
            <w:tcW w:w="964" w:type="dxa"/>
            <w:tcBorders>
              <w:bottom w:val="single" w:sz="6" w:space="0" w:color="auto"/>
            </w:tcBorders>
          </w:tcPr>
          <w:p w14:paraId="2A83A0C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6BC587A"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529AF3CC"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1D87AAC9"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78AF940B"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rsidRPr="009C3723" w14:paraId="228178DE"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86C6C3E" w14:textId="77777777" w:rsidR="00C306A8" w:rsidRPr="009C3723" w:rsidRDefault="00C306A8">
            <w:pPr>
              <w:keepNext/>
              <w:rPr>
                <w:b/>
              </w:rPr>
            </w:pPr>
            <w:r w:rsidRPr="009C3723">
              <w:rPr>
                <w:b/>
              </w:rPr>
              <w:t>Quality</w:t>
            </w:r>
          </w:p>
        </w:tc>
      </w:tr>
      <w:tr w:rsidR="00C306A8" w14:paraId="29B2194F" w14:textId="77777777">
        <w:tc>
          <w:tcPr>
            <w:cnfStyle w:val="001000000000" w:firstRow="0" w:lastRow="0" w:firstColumn="1" w:lastColumn="0" w:oddVBand="0" w:evenVBand="0" w:oddHBand="0" w:evenHBand="0" w:firstRowFirstColumn="0" w:firstRowLastColumn="0" w:lastRowFirstColumn="0" w:lastRowLastColumn="0"/>
            <w:tcW w:w="4820" w:type="dxa"/>
          </w:tcPr>
          <w:p w14:paraId="5C06AE2B" w14:textId="77777777" w:rsidR="00C306A8" w:rsidRDefault="00C306A8">
            <w:pPr>
              <w:keepNext/>
              <w:ind w:left="170"/>
            </w:pPr>
            <w:r>
              <w:t>Environment Effects Statements, Environment Reports, Referrals, and Assessments are completed effectively and within Ministerial Guidelines timeframes, aligned with Economic Growth Statement commitments</w:t>
            </w:r>
          </w:p>
        </w:tc>
        <w:tc>
          <w:tcPr>
            <w:tcW w:w="964" w:type="dxa"/>
          </w:tcPr>
          <w:p w14:paraId="0754997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38F3427"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7D0AD89" w14:textId="77777777" w:rsidR="00C306A8" w:rsidRDefault="00C306A8">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5B9E33CA"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5F35B01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790FEF1"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081BE32" w14:textId="77777777" w:rsidR="00C306A8" w:rsidRDefault="00C306A8">
            <w:pPr>
              <w:ind w:left="170"/>
            </w:pPr>
            <w:r>
              <w:rPr>
                <w:i/>
              </w:rPr>
              <w:t>The 2025-26 expected outcome is lower than the 2025-26 target due to increased training and resource allocation to support long-term improvements, including development of a new digital system and other initiatives arising from the Economic Growth Statement.</w:t>
            </w:r>
          </w:p>
          <w:p w14:paraId="7C6A5D7A" w14:textId="2A328C29" w:rsidR="00C306A8" w:rsidRDefault="00C306A8">
            <w:pPr>
              <w:ind w:left="170"/>
            </w:pPr>
            <w:r>
              <w:rPr>
                <w:i/>
              </w:rPr>
              <w:t xml:space="preserve">This performance measure renames the 2025-26 performance measure </w:t>
            </w:r>
            <w:r w:rsidR="00AD4833">
              <w:rPr>
                <w:i/>
              </w:rPr>
              <w:t>‘</w:t>
            </w:r>
            <w:r>
              <w:rPr>
                <w:i/>
              </w:rPr>
              <w:t>Environment effects statements, referrals, and assessments are completed effectively and within timeframes necessary to meet targets in the Ministerial Guidelines</w:t>
            </w:r>
            <w:r w:rsidR="00AD4833">
              <w:rPr>
                <w:i/>
              </w:rPr>
              <w:t>’</w:t>
            </w:r>
            <w:r>
              <w:rPr>
                <w:i/>
              </w:rPr>
              <w:t>. The renamed measure reports on the same activity as the previous measure, however, has been amended to include the departments</w:t>
            </w:r>
            <w:r w:rsidR="00AD4833">
              <w:rPr>
                <w:i/>
              </w:rPr>
              <w:t>’</w:t>
            </w:r>
            <w:r>
              <w:rPr>
                <w:i/>
              </w:rPr>
              <w:t xml:space="preserve"> alignment with the Economic Growth Statement commitments.</w:t>
            </w:r>
          </w:p>
        </w:tc>
      </w:tr>
      <w:tr w:rsidR="00C306A8" w:rsidRPr="009C3723" w14:paraId="4D718812"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0913380" w14:textId="77777777" w:rsidR="00C306A8" w:rsidRPr="009C3723" w:rsidRDefault="00C306A8">
            <w:pPr>
              <w:keepNext/>
              <w:rPr>
                <w:b/>
              </w:rPr>
            </w:pPr>
            <w:r w:rsidRPr="009C3723">
              <w:rPr>
                <w:b/>
              </w:rPr>
              <w:t>Timeliness</w:t>
            </w:r>
          </w:p>
        </w:tc>
      </w:tr>
      <w:tr w:rsidR="00C306A8" w14:paraId="690C430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77DFAD3" w14:textId="77777777" w:rsidR="00C306A8" w:rsidRDefault="00C306A8">
            <w:pPr>
              <w:ind w:left="170"/>
            </w:pPr>
            <w:r>
              <w:t>Average number of days to issue an archaeological consent</w:t>
            </w:r>
          </w:p>
        </w:tc>
        <w:tc>
          <w:tcPr>
            <w:tcW w:w="964" w:type="dxa"/>
            <w:tcBorders>
              <w:bottom w:val="single" w:sz="6" w:space="0" w:color="auto"/>
            </w:tcBorders>
          </w:tcPr>
          <w:p w14:paraId="570C33C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tcBorders>
              <w:bottom w:val="single" w:sz="6" w:space="0" w:color="auto"/>
            </w:tcBorders>
            <w:shd w:val="clear" w:color="auto" w:fill="F0F0F0"/>
          </w:tcPr>
          <w:p w14:paraId="0A2B9CA2"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4624BAEF" w14:textId="77777777" w:rsidR="00C306A8" w:rsidRDefault="00C306A8">
            <w:pPr>
              <w:cnfStyle w:val="000000000000" w:firstRow="0" w:lastRow="0" w:firstColumn="0" w:lastColumn="0" w:oddVBand="0" w:evenVBand="0" w:oddHBand="0" w:evenHBand="0" w:firstRowFirstColumn="0" w:firstRowLastColumn="0" w:lastRowFirstColumn="0" w:lastRowLastColumn="0"/>
            </w:pPr>
            <w:r>
              <w:t>20.5</w:t>
            </w:r>
          </w:p>
        </w:tc>
        <w:tc>
          <w:tcPr>
            <w:tcW w:w="964" w:type="dxa"/>
            <w:tcBorders>
              <w:bottom w:val="single" w:sz="6" w:space="0" w:color="auto"/>
            </w:tcBorders>
          </w:tcPr>
          <w:p w14:paraId="0A2432A0"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29B6E8C3" w14:textId="77777777" w:rsidR="00C306A8" w:rsidRDefault="00C306A8">
            <w:pPr>
              <w:cnfStyle w:val="000000000000" w:firstRow="0" w:lastRow="0" w:firstColumn="0" w:lastColumn="0" w:oddVBand="0" w:evenVBand="0" w:oddHBand="0" w:evenHBand="0" w:firstRowFirstColumn="0" w:firstRowLastColumn="0" w:lastRowFirstColumn="0" w:lastRowLastColumn="0"/>
            </w:pPr>
            <w:r>
              <w:t>25.4</w:t>
            </w:r>
          </w:p>
        </w:tc>
      </w:tr>
      <w:tr w:rsidR="00C306A8" w14:paraId="5595DBFA"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6733FC1" w14:textId="77777777" w:rsidR="00C306A8" w:rsidRDefault="00C306A8">
            <w:pPr>
              <w:ind w:left="170"/>
            </w:pPr>
            <w:r>
              <w:t>Average number of days to issue heritage certificates</w:t>
            </w:r>
          </w:p>
        </w:tc>
        <w:tc>
          <w:tcPr>
            <w:tcW w:w="964" w:type="dxa"/>
            <w:tcBorders>
              <w:bottom w:val="single" w:sz="6" w:space="0" w:color="auto"/>
            </w:tcBorders>
          </w:tcPr>
          <w:p w14:paraId="5E61800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tcBorders>
              <w:bottom w:val="single" w:sz="6" w:space="0" w:color="auto"/>
            </w:tcBorders>
            <w:shd w:val="clear" w:color="auto" w:fill="F0F0F0"/>
          </w:tcPr>
          <w:p w14:paraId="5D79F0EC"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2A1C8027"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226D19A8"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4E7E126E"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r>
      <w:tr w:rsidR="00C306A8" w14:paraId="7760802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124F3BD" w14:textId="77777777" w:rsidR="00C306A8" w:rsidRDefault="00C306A8">
            <w:pPr>
              <w:ind w:left="170"/>
            </w:pPr>
            <w:r>
              <w:t>Heritage permits issued within statutory timeframes</w:t>
            </w:r>
          </w:p>
        </w:tc>
        <w:tc>
          <w:tcPr>
            <w:tcW w:w="964" w:type="dxa"/>
            <w:tcBorders>
              <w:bottom w:val="single" w:sz="6" w:space="0" w:color="auto"/>
            </w:tcBorders>
          </w:tcPr>
          <w:p w14:paraId="31A7856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2B5C86B"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2D657FD" w14:textId="77777777" w:rsidR="00C306A8" w:rsidRDefault="00C306A8">
            <w:pPr>
              <w:cnfStyle w:val="000000000000" w:firstRow="0" w:lastRow="0" w:firstColumn="0" w:lastColumn="0" w:oddVBand="0" w:evenVBand="0" w:oddHBand="0" w:evenHBand="0" w:firstRowFirstColumn="0" w:firstRowLastColumn="0" w:lastRowFirstColumn="0" w:lastRowLastColumn="0"/>
            </w:pPr>
            <w:r>
              <w:t>88</w:t>
            </w:r>
          </w:p>
        </w:tc>
        <w:tc>
          <w:tcPr>
            <w:tcW w:w="964" w:type="dxa"/>
            <w:tcBorders>
              <w:bottom w:val="single" w:sz="6" w:space="0" w:color="auto"/>
            </w:tcBorders>
          </w:tcPr>
          <w:p w14:paraId="43FA3158"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043E2CB"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r>
      <w:tr w:rsidR="00C306A8" w14:paraId="7D89E779"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C22370F" w14:textId="77777777" w:rsidR="00C306A8" w:rsidRDefault="00C306A8">
            <w:pPr>
              <w:ind w:left="170"/>
            </w:pPr>
            <w:r>
              <w:t>Median number of days taken by the Department to assess a planning scheme amendment</w:t>
            </w:r>
          </w:p>
        </w:tc>
        <w:tc>
          <w:tcPr>
            <w:tcW w:w="964" w:type="dxa"/>
            <w:tcBorders>
              <w:bottom w:val="single" w:sz="6" w:space="0" w:color="auto"/>
            </w:tcBorders>
          </w:tcPr>
          <w:p w14:paraId="57A705E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tcBorders>
              <w:bottom w:val="single" w:sz="6" w:space="0" w:color="auto"/>
            </w:tcBorders>
            <w:shd w:val="clear" w:color="auto" w:fill="F0F0F0"/>
          </w:tcPr>
          <w:p w14:paraId="3D9A4563" w14:textId="77777777" w:rsidR="00C306A8" w:rsidRDefault="00C306A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6264B1F7" w14:textId="77777777" w:rsidR="00C306A8" w:rsidRDefault="00C306A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4C0C4A1D" w14:textId="77777777" w:rsidR="00C306A8" w:rsidRDefault="00C306A8">
            <w:pPr>
              <w:cnfStyle w:val="000000000000" w:firstRow="0" w:lastRow="0" w:firstColumn="0" w:lastColumn="0" w:oddVBand="0" w:evenVBand="0" w:oddHBand="0" w:evenHBand="0" w:firstRowFirstColumn="0" w:firstRowLastColumn="0" w:lastRowFirstColumn="0" w:lastRowLastColumn="0"/>
            </w:pPr>
            <w:r>
              <w:t>40</w:t>
            </w:r>
          </w:p>
        </w:tc>
        <w:tc>
          <w:tcPr>
            <w:tcW w:w="964" w:type="dxa"/>
            <w:tcBorders>
              <w:bottom w:val="single" w:sz="6" w:space="0" w:color="auto"/>
            </w:tcBorders>
          </w:tcPr>
          <w:p w14:paraId="0E841E45" w14:textId="77777777" w:rsidR="00C306A8" w:rsidRDefault="00C306A8">
            <w:pPr>
              <w:cnfStyle w:val="000000000000" w:firstRow="0" w:lastRow="0" w:firstColumn="0" w:lastColumn="0" w:oddVBand="0" w:evenVBand="0" w:oddHBand="0" w:evenHBand="0" w:firstRowFirstColumn="0" w:firstRowLastColumn="0" w:lastRowFirstColumn="0" w:lastRowLastColumn="0"/>
            </w:pPr>
            <w:r>
              <w:t>37</w:t>
            </w:r>
          </w:p>
        </w:tc>
      </w:tr>
      <w:tr w:rsidR="00C306A8" w14:paraId="0DF95519"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nil"/>
            </w:tcBorders>
          </w:tcPr>
          <w:p w14:paraId="2E8205D1" w14:textId="77777777" w:rsidR="00C306A8" w:rsidRDefault="00C306A8">
            <w:pPr>
              <w:keepNext/>
              <w:ind w:left="170"/>
            </w:pPr>
            <w:r>
              <w:t>Planning permit applications for energy generation, storage and transmission projects (excluding call ins) are prepared for determination within 45 days of the completion of public notice or receipt of council response to public notice</w:t>
            </w:r>
          </w:p>
        </w:tc>
        <w:tc>
          <w:tcPr>
            <w:tcW w:w="964" w:type="dxa"/>
            <w:tcBorders>
              <w:bottom w:val="nil"/>
            </w:tcBorders>
          </w:tcPr>
          <w:p w14:paraId="4D25FC5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454D7DA7"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nil"/>
            </w:tcBorders>
          </w:tcPr>
          <w:p w14:paraId="48DA3B6C" w14:textId="77777777" w:rsidR="00C306A8" w:rsidRDefault="00C306A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nil"/>
            </w:tcBorders>
          </w:tcPr>
          <w:p w14:paraId="77266A35" w14:textId="77777777" w:rsidR="00C306A8" w:rsidRDefault="00C306A8">
            <w:pPr>
              <w:cnfStyle w:val="000000000000" w:firstRow="0" w:lastRow="0" w:firstColumn="0" w:lastColumn="0" w:oddVBand="0" w:evenVBand="0" w:oddHBand="0" w:evenHBand="0" w:firstRowFirstColumn="0" w:firstRowLastColumn="0" w:lastRowFirstColumn="0" w:lastRowLastColumn="0"/>
            </w:pPr>
            <w:r>
              <w:t>70</w:t>
            </w:r>
          </w:p>
        </w:tc>
        <w:tc>
          <w:tcPr>
            <w:tcW w:w="964" w:type="dxa"/>
            <w:tcBorders>
              <w:bottom w:val="nil"/>
            </w:tcBorders>
          </w:tcPr>
          <w:p w14:paraId="17C57A81"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58F6C1D6" w14:textId="77777777">
        <w:trPr>
          <w:trHeight w:val="303"/>
        </w:trPr>
        <w:tc>
          <w:tcPr>
            <w:cnfStyle w:val="001000000000" w:firstRow="0" w:lastRow="0" w:firstColumn="1" w:lastColumn="0" w:oddVBand="0" w:evenVBand="0" w:oddHBand="0" w:evenHBand="0" w:firstRowFirstColumn="0" w:firstRowLastColumn="0" w:lastRowFirstColumn="0" w:lastRowLastColumn="0"/>
            <w:tcW w:w="9640" w:type="dxa"/>
            <w:gridSpan w:val="6"/>
            <w:tcBorders>
              <w:top w:val="nil"/>
              <w:bottom w:val="single" w:sz="6" w:space="0" w:color="auto"/>
            </w:tcBorders>
          </w:tcPr>
          <w:p w14:paraId="31425655" w14:textId="7C066DBC" w:rsidR="00C306A8" w:rsidRDefault="00C306A8">
            <w:pPr>
              <w:ind w:left="170"/>
            </w:pPr>
            <w:r>
              <w:rPr>
                <w:i/>
              </w:rPr>
              <w:t>The 2025</w:t>
            </w:r>
            <w:r w:rsidR="00383570">
              <w:rPr>
                <w:i/>
              </w:rPr>
              <w:t>-</w:t>
            </w:r>
            <w:r>
              <w:rPr>
                <w:i/>
              </w:rPr>
              <w:t>26 expected outcome is higher than the 2025</w:t>
            </w:r>
            <w:r w:rsidR="00383570">
              <w:rPr>
                <w:i/>
              </w:rPr>
              <w:t>-</w:t>
            </w:r>
            <w:r>
              <w:rPr>
                <w:i/>
              </w:rPr>
              <w:t>26 target due to improved operational performance and staffing stability, supporting timely preparation of energy applications.</w:t>
            </w:r>
          </w:p>
        </w:tc>
      </w:tr>
      <w:tr w:rsidR="00C306A8" w14:paraId="42662FE1"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0D77091C" w14:textId="77777777" w:rsidR="00C306A8" w:rsidRDefault="00C306A8">
            <w:pPr>
              <w:keepNext/>
              <w:ind w:left="170"/>
            </w:pPr>
            <w:r>
              <w:t>State population projections completed to inform State Budget delivery</w:t>
            </w:r>
          </w:p>
        </w:tc>
        <w:tc>
          <w:tcPr>
            <w:tcW w:w="964" w:type="dxa"/>
            <w:tcBorders>
              <w:top w:val="single" w:sz="6" w:space="0" w:color="auto"/>
              <w:bottom w:val="single" w:sz="6" w:space="0" w:color="auto"/>
            </w:tcBorders>
          </w:tcPr>
          <w:p w14:paraId="2AA52CE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top w:val="single" w:sz="6" w:space="0" w:color="auto"/>
              <w:bottom w:val="single" w:sz="6" w:space="0" w:color="auto"/>
            </w:tcBorders>
            <w:shd w:val="clear" w:color="auto" w:fill="F0F0F0"/>
          </w:tcPr>
          <w:p w14:paraId="1DB83019" w14:textId="2CB5A372" w:rsidR="00C306A8" w:rsidRDefault="00C306A8">
            <w:pPr>
              <w:cnfStyle w:val="000000000000" w:firstRow="0" w:lastRow="0" w:firstColumn="0" w:lastColumn="0" w:oddVBand="0" w:evenVBand="0" w:oddHBand="0" w:evenHBand="0" w:firstRowFirstColumn="0" w:firstRowLastColumn="0" w:lastRowFirstColumn="0" w:lastRowLastColumn="0"/>
            </w:pPr>
            <w:r>
              <w:t xml:space="preserve">Feb </w:t>
            </w:r>
            <w:r w:rsidR="00540BB2">
              <w:t>20</w:t>
            </w:r>
            <w:r>
              <w:t>27</w:t>
            </w:r>
          </w:p>
        </w:tc>
        <w:tc>
          <w:tcPr>
            <w:tcW w:w="964" w:type="dxa"/>
            <w:tcBorders>
              <w:top w:val="single" w:sz="6" w:space="0" w:color="auto"/>
              <w:bottom w:val="single" w:sz="6" w:space="0" w:color="auto"/>
            </w:tcBorders>
          </w:tcPr>
          <w:p w14:paraId="3E19FFEE" w14:textId="36AC6590" w:rsidR="00C306A8" w:rsidRDefault="00C306A8">
            <w:pPr>
              <w:cnfStyle w:val="000000000000" w:firstRow="0" w:lastRow="0" w:firstColumn="0" w:lastColumn="0" w:oddVBand="0" w:evenVBand="0" w:oddHBand="0" w:evenHBand="0" w:firstRowFirstColumn="0" w:firstRowLastColumn="0" w:lastRowFirstColumn="0" w:lastRowLastColumn="0"/>
            </w:pPr>
            <w:r>
              <w:t xml:space="preserve">Feb </w:t>
            </w:r>
            <w:r w:rsidR="00540BB2">
              <w:t>20</w:t>
            </w:r>
            <w:r>
              <w:t>26</w:t>
            </w:r>
          </w:p>
        </w:tc>
        <w:tc>
          <w:tcPr>
            <w:tcW w:w="964" w:type="dxa"/>
            <w:tcBorders>
              <w:top w:val="single" w:sz="6" w:space="0" w:color="auto"/>
              <w:bottom w:val="single" w:sz="6" w:space="0" w:color="auto"/>
            </w:tcBorders>
          </w:tcPr>
          <w:p w14:paraId="067C26EE" w14:textId="6E09BCE5" w:rsidR="00C306A8" w:rsidRDefault="00C306A8">
            <w:pPr>
              <w:cnfStyle w:val="000000000000" w:firstRow="0" w:lastRow="0" w:firstColumn="0" w:lastColumn="0" w:oddVBand="0" w:evenVBand="0" w:oddHBand="0" w:evenHBand="0" w:firstRowFirstColumn="0" w:firstRowLastColumn="0" w:lastRowFirstColumn="0" w:lastRowLastColumn="0"/>
            </w:pPr>
            <w:r>
              <w:t xml:space="preserve">Feb </w:t>
            </w:r>
            <w:r w:rsidR="00540BB2">
              <w:t>20</w:t>
            </w:r>
            <w:r>
              <w:t>26</w:t>
            </w:r>
          </w:p>
        </w:tc>
        <w:tc>
          <w:tcPr>
            <w:tcW w:w="964" w:type="dxa"/>
            <w:tcBorders>
              <w:top w:val="single" w:sz="6" w:space="0" w:color="auto"/>
              <w:bottom w:val="single" w:sz="6" w:space="0" w:color="auto"/>
            </w:tcBorders>
          </w:tcPr>
          <w:p w14:paraId="63EE274A" w14:textId="755BB613" w:rsidR="00C306A8" w:rsidRDefault="00C306A8">
            <w:pPr>
              <w:cnfStyle w:val="000000000000" w:firstRow="0" w:lastRow="0" w:firstColumn="0" w:lastColumn="0" w:oddVBand="0" w:evenVBand="0" w:oddHBand="0" w:evenHBand="0" w:firstRowFirstColumn="0" w:firstRowLastColumn="0" w:lastRowFirstColumn="0" w:lastRowLastColumn="0"/>
            </w:pPr>
            <w:r>
              <w:t xml:space="preserve">Feb </w:t>
            </w:r>
            <w:r w:rsidR="00540BB2">
              <w:t>20</w:t>
            </w:r>
            <w:r>
              <w:t>25</w:t>
            </w:r>
          </w:p>
        </w:tc>
      </w:tr>
      <w:tr w:rsidR="00C306A8" w14:paraId="2BD73EE6"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65479717" w14:textId="77777777" w:rsidR="00C306A8" w:rsidRDefault="00C306A8">
            <w:pPr>
              <w:keepNext/>
              <w:ind w:left="170"/>
            </w:pPr>
            <w:r>
              <w:t>Urban Development Program Report on analysis of supply, consumption and adequacy of residential and industrial land completed</w:t>
            </w:r>
          </w:p>
        </w:tc>
        <w:tc>
          <w:tcPr>
            <w:tcW w:w="964" w:type="dxa"/>
            <w:tcBorders>
              <w:top w:val="single" w:sz="6" w:space="0" w:color="auto"/>
              <w:bottom w:val="single" w:sz="6" w:space="0" w:color="auto"/>
            </w:tcBorders>
          </w:tcPr>
          <w:p w14:paraId="067C2AB8"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top w:val="single" w:sz="6" w:space="0" w:color="auto"/>
              <w:bottom w:val="single" w:sz="6" w:space="0" w:color="auto"/>
            </w:tcBorders>
            <w:shd w:val="clear" w:color="auto" w:fill="F0F0F0"/>
          </w:tcPr>
          <w:p w14:paraId="647F94C1" w14:textId="1A90612C"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27</w:t>
            </w:r>
          </w:p>
        </w:tc>
        <w:tc>
          <w:tcPr>
            <w:tcW w:w="964" w:type="dxa"/>
            <w:tcBorders>
              <w:top w:val="single" w:sz="6" w:space="0" w:color="auto"/>
              <w:bottom w:val="single" w:sz="6" w:space="0" w:color="auto"/>
            </w:tcBorders>
          </w:tcPr>
          <w:p w14:paraId="0D7AADFF" w14:textId="210BB5E5"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26</w:t>
            </w:r>
          </w:p>
        </w:tc>
        <w:tc>
          <w:tcPr>
            <w:tcW w:w="964" w:type="dxa"/>
            <w:tcBorders>
              <w:top w:val="single" w:sz="6" w:space="0" w:color="auto"/>
              <w:bottom w:val="single" w:sz="6" w:space="0" w:color="auto"/>
            </w:tcBorders>
          </w:tcPr>
          <w:p w14:paraId="3671C91C" w14:textId="5A2AA45E"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26</w:t>
            </w:r>
          </w:p>
        </w:tc>
        <w:tc>
          <w:tcPr>
            <w:tcW w:w="964" w:type="dxa"/>
            <w:tcBorders>
              <w:top w:val="single" w:sz="6" w:space="0" w:color="auto"/>
              <w:bottom w:val="single" w:sz="6" w:space="0" w:color="auto"/>
            </w:tcBorders>
          </w:tcPr>
          <w:p w14:paraId="463CF6DC" w14:textId="3B97D3ED"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25</w:t>
            </w:r>
          </w:p>
        </w:tc>
      </w:tr>
      <w:tr w:rsidR="00C306A8" w14:paraId="37D38F3E" w14:textId="77777777" w:rsidTr="00261C8D">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7B94C362" w14:textId="77777777" w:rsidR="00C306A8" w:rsidRDefault="00C306A8">
            <w:pPr>
              <w:keepNext/>
              <w:ind w:left="170"/>
            </w:pPr>
            <w:r>
              <w:t>Victoria in Future population projection data to support infrastructure and service delivery planning completed</w:t>
            </w:r>
          </w:p>
        </w:tc>
        <w:tc>
          <w:tcPr>
            <w:tcW w:w="964" w:type="dxa"/>
            <w:tcBorders>
              <w:top w:val="single" w:sz="6" w:space="0" w:color="auto"/>
              <w:bottom w:val="single" w:sz="6" w:space="0" w:color="auto"/>
            </w:tcBorders>
          </w:tcPr>
          <w:p w14:paraId="151891E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top w:val="single" w:sz="6" w:space="0" w:color="auto"/>
              <w:bottom w:val="single" w:sz="6" w:space="0" w:color="auto"/>
            </w:tcBorders>
            <w:shd w:val="clear" w:color="auto" w:fill="F0F0F0"/>
          </w:tcPr>
          <w:p w14:paraId="6AA1CB71" w14:textId="209224A9"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27</w:t>
            </w:r>
          </w:p>
        </w:tc>
        <w:tc>
          <w:tcPr>
            <w:tcW w:w="964" w:type="dxa"/>
            <w:tcBorders>
              <w:top w:val="single" w:sz="6" w:space="0" w:color="auto"/>
              <w:bottom w:val="single" w:sz="6" w:space="0" w:color="auto"/>
            </w:tcBorders>
          </w:tcPr>
          <w:p w14:paraId="5C06924E" w14:textId="749B7BFC"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26</w:t>
            </w:r>
          </w:p>
        </w:tc>
        <w:tc>
          <w:tcPr>
            <w:tcW w:w="964" w:type="dxa"/>
            <w:tcBorders>
              <w:top w:val="single" w:sz="6" w:space="0" w:color="auto"/>
              <w:bottom w:val="single" w:sz="6" w:space="0" w:color="auto"/>
            </w:tcBorders>
          </w:tcPr>
          <w:p w14:paraId="03279587" w14:textId="21BCC984"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26</w:t>
            </w:r>
          </w:p>
        </w:tc>
        <w:tc>
          <w:tcPr>
            <w:tcW w:w="964" w:type="dxa"/>
            <w:tcBorders>
              <w:top w:val="single" w:sz="6" w:space="0" w:color="auto"/>
              <w:bottom w:val="single" w:sz="6" w:space="0" w:color="auto"/>
            </w:tcBorders>
          </w:tcPr>
          <w:p w14:paraId="20A011B2" w14:textId="219076AC" w:rsidR="00C306A8" w:rsidRDefault="00C306A8">
            <w:pPr>
              <w:cnfStyle w:val="000000000000" w:firstRow="0" w:lastRow="0" w:firstColumn="0" w:lastColumn="0" w:oddVBand="0" w:evenVBand="0" w:oddHBand="0" w:evenHBand="0" w:firstRowFirstColumn="0" w:firstRowLastColumn="0" w:lastRowFirstColumn="0" w:lastRowLastColumn="0"/>
            </w:pPr>
            <w:r>
              <w:t xml:space="preserve">Jun </w:t>
            </w:r>
            <w:r w:rsidR="00540BB2">
              <w:t>20</w:t>
            </w:r>
            <w:r>
              <w:t>25</w:t>
            </w:r>
          </w:p>
        </w:tc>
      </w:tr>
      <w:tr w:rsidR="00C306A8" w:rsidRPr="009C3723" w14:paraId="6F23FF5F" w14:textId="77777777" w:rsidTr="00261C8D">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bottom w:val="nil"/>
            </w:tcBorders>
          </w:tcPr>
          <w:p w14:paraId="4A2B0322" w14:textId="77777777" w:rsidR="00C306A8" w:rsidRPr="009C3723" w:rsidRDefault="00C306A8">
            <w:pPr>
              <w:keepNext/>
              <w:rPr>
                <w:b/>
              </w:rPr>
            </w:pPr>
            <w:r w:rsidRPr="009C3723">
              <w:rPr>
                <w:b/>
              </w:rPr>
              <w:t>Cost</w:t>
            </w:r>
          </w:p>
        </w:tc>
      </w:tr>
      <w:tr w:rsidR="00C306A8" w14:paraId="679BD367" w14:textId="77777777">
        <w:tc>
          <w:tcPr>
            <w:cnfStyle w:val="001000000000" w:firstRow="0" w:lastRow="0" w:firstColumn="1" w:lastColumn="0" w:oddVBand="0" w:evenVBand="0" w:oddHBand="0" w:evenHBand="0" w:firstRowFirstColumn="0" w:firstRowLastColumn="0" w:lastRowFirstColumn="0" w:lastRowLastColumn="0"/>
            <w:tcW w:w="4820" w:type="dxa"/>
          </w:tcPr>
          <w:p w14:paraId="5308DF6A" w14:textId="77777777" w:rsidR="00C306A8" w:rsidRDefault="00C306A8">
            <w:pPr>
              <w:keepNext/>
              <w:ind w:left="170"/>
            </w:pPr>
            <w:r>
              <w:t>Total output cost</w:t>
            </w:r>
          </w:p>
        </w:tc>
        <w:tc>
          <w:tcPr>
            <w:tcW w:w="964" w:type="dxa"/>
          </w:tcPr>
          <w:p w14:paraId="166FC1BF"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586886DD" w14:textId="77777777" w:rsidR="00C306A8" w:rsidRDefault="00C306A8">
            <w:pPr>
              <w:cnfStyle w:val="000000000000" w:firstRow="0" w:lastRow="0" w:firstColumn="0" w:lastColumn="0" w:oddVBand="0" w:evenVBand="0" w:oddHBand="0" w:evenHBand="0" w:firstRowFirstColumn="0" w:firstRowLastColumn="0" w:lastRowFirstColumn="0" w:lastRowLastColumn="0"/>
            </w:pPr>
            <w:r>
              <w:t>165.7</w:t>
            </w:r>
          </w:p>
        </w:tc>
        <w:tc>
          <w:tcPr>
            <w:tcW w:w="964" w:type="dxa"/>
          </w:tcPr>
          <w:p w14:paraId="3D0ABB41" w14:textId="489D5853" w:rsidR="00C306A8" w:rsidRDefault="00C306A8">
            <w:pPr>
              <w:cnfStyle w:val="000000000000" w:firstRow="0" w:lastRow="0" w:firstColumn="0" w:lastColumn="0" w:oddVBand="0" w:evenVBand="0" w:oddHBand="0" w:evenHBand="0" w:firstRowFirstColumn="0" w:firstRowLastColumn="0" w:lastRowFirstColumn="0" w:lastRowLastColumn="0"/>
            </w:pPr>
            <w:r>
              <w:t>153.</w:t>
            </w:r>
            <w:r w:rsidR="001F07A7">
              <w:t>2</w:t>
            </w:r>
          </w:p>
        </w:tc>
        <w:tc>
          <w:tcPr>
            <w:tcW w:w="964" w:type="dxa"/>
          </w:tcPr>
          <w:p w14:paraId="5FBE86D3" w14:textId="77777777" w:rsidR="00C306A8" w:rsidRDefault="00C306A8">
            <w:pPr>
              <w:cnfStyle w:val="000000000000" w:firstRow="0" w:lastRow="0" w:firstColumn="0" w:lastColumn="0" w:oddVBand="0" w:evenVBand="0" w:oddHBand="0" w:evenHBand="0" w:firstRowFirstColumn="0" w:firstRowLastColumn="0" w:lastRowFirstColumn="0" w:lastRowLastColumn="0"/>
            </w:pPr>
            <w:r>
              <w:t>166.1</w:t>
            </w:r>
          </w:p>
        </w:tc>
        <w:tc>
          <w:tcPr>
            <w:tcW w:w="964" w:type="dxa"/>
          </w:tcPr>
          <w:p w14:paraId="2B47412B" w14:textId="77777777" w:rsidR="00C306A8" w:rsidRDefault="00C306A8">
            <w:pPr>
              <w:cnfStyle w:val="000000000000" w:firstRow="0" w:lastRow="0" w:firstColumn="0" w:lastColumn="0" w:oddVBand="0" w:evenVBand="0" w:oddHBand="0" w:evenHBand="0" w:firstRowFirstColumn="0" w:firstRowLastColumn="0" w:lastRowFirstColumn="0" w:lastRowLastColumn="0"/>
            </w:pPr>
            <w:r>
              <w:t>305.4</w:t>
            </w:r>
          </w:p>
        </w:tc>
      </w:tr>
      <w:tr w:rsidR="00C306A8" w14:paraId="2C52ECEE" w14:textId="77777777" w:rsidTr="00C13A3D">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21B5A560" w14:textId="18BA9B4D" w:rsidR="00905EF7" w:rsidRDefault="00905EF7" w:rsidP="00905EF7">
            <w:pPr>
              <w:ind w:left="170"/>
            </w:pPr>
            <w:r>
              <w:rPr>
                <w:i/>
              </w:rPr>
              <w:t xml:space="preserve">The 2025-26 expected outcome is lower than the 2025-26 target which primarily reflects a reprioritisation from the Building New Communities Fund </w:t>
            </w:r>
            <w:r w:rsidR="006919B7">
              <w:rPr>
                <w:i/>
              </w:rPr>
              <w:t>to</w:t>
            </w:r>
            <w:r>
              <w:rPr>
                <w:i/>
              </w:rPr>
              <w:t xml:space="preserve"> new schools</w:t>
            </w:r>
            <w:r w:rsidR="00CD1AA5">
              <w:rPr>
                <w:i/>
              </w:rPr>
              <w:t xml:space="preserve"> construction</w:t>
            </w:r>
            <w:r>
              <w:rPr>
                <w:i/>
              </w:rPr>
              <w:t>.</w:t>
            </w:r>
          </w:p>
          <w:p w14:paraId="7C9CF43E" w14:textId="19D4449D" w:rsidR="00C306A8" w:rsidRDefault="00C306A8">
            <w:pPr>
              <w:ind w:left="170"/>
            </w:pPr>
            <w:r>
              <w:rPr>
                <w:i/>
              </w:rPr>
              <w:t>The 2026-27 target represents a small variation from the 2025-26 target.</w:t>
            </w:r>
          </w:p>
        </w:tc>
      </w:tr>
    </w:tbl>
    <w:p w14:paraId="04582A6D" w14:textId="77777777" w:rsidR="00C306A8" w:rsidRDefault="00C306A8" w:rsidP="00C306A8">
      <w:pPr>
        <w:pStyle w:val="Source"/>
      </w:pPr>
      <w:r>
        <w:t>Source: Department of Transport and Planning</w:t>
      </w:r>
    </w:p>
    <w:p w14:paraId="752E77B5" w14:textId="77777777" w:rsidR="00C306A8" w:rsidRPr="00F029FE" w:rsidRDefault="00C306A8" w:rsidP="00C306A8"/>
    <w:p w14:paraId="29D423D1" w14:textId="77777777" w:rsidR="009C3723" w:rsidRDefault="009C3723">
      <w:pPr>
        <w:keepLines w:val="0"/>
        <w:rPr>
          <w:rFonts w:asciiTheme="majorHAnsi" w:hAnsiTheme="majorHAnsi" w:cstheme="minorBidi"/>
          <w:b/>
          <w:sz w:val="20"/>
        </w:rPr>
      </w:pPr>
      <w:r>
        <w:br w:type="page"/>
      </w:r>
    </w:p>
    <w:p w14:paraId="06EA20D1" w14:textId="2995B28F" w:rsidR="00C306A8" w:rsidRDefault="00C306A8" w:rsidP="00C306A8">
      <w:pPr>
        <w:pStyle w:val="ShadedBoxHeading"/>
      </w:pPr>
      <w:r>
        <w:lastRenderedPageBreak/>
        <w:t>Objective 4: Effective management of Victoria</w:t>
      </w:r>
      <w:r w:rsidR="00AD4833">
        <w:t>’</w:t>
      </w:r>
      <w:r>
        <w:t>s land assets</w:t>
      </w:r>
    </w:p>
    <w:p w14:paraId="5EF9B79C" w14:textId="77777777" w:rsidR="00C306A8" w:rsidRDefault="00C306A8" w:rsidP="00C306A8">
      <w:pPr>
        <w:pStyle w:val="ShadedBoxText"/>
      </w:pPr>
      <w:r>
        <w:t>This objective facilitates better use of land in Victoria through authoritative, comprehensive and easily accessible services. It delivers high-quality and authoritative land administration and property information services, including the registration of land titles, survey, valuation and land information services.</w:t>
      </w:r>
    </w:p>
    <w:p w14:paraId="2D05B2AA" w14:textId="77777777" w:rsidR="00C306A8" w:rsidRDefault="00C306A8" w:rsidP="00C306A8">
      <w:pPr>
        <w:pStyle w:val="ShadedBoxText"/>
      </w:pPr>
      <w:r>
        <w:t xml:space="preserve">The departmental objective indicator is: </w:t>
      </w:r>
    </w:p>
    <w:p w14:paraId="4EA3F92D" w14:textId="012ADCF6" w:rsidR="00C306A8" w:rsidRPr="00276998" w:rsidRDefault="00C306A8" w:rsidP="00C306A8">
      <w:pPr>
        <w:pStyle w:val="ShadedBoxBullet"/>
      </w:pPr>
      <w:r>
        <w:t>increase in utilisation of Land Use Victoria’s mapping and spatial data products relative to 2016-17.</w:t>
      </w:r>
    </w:p>
    <w:p w14:paraId="039B0FE3" w14:textId="77777777" w:rsidR="00C306A8" w:rsidRDefault="00C306A8" w:rsidP="00C306A8">
      <w:pPr>
        <w:pStyle w:val="Heading2"/>
      </w:pPr>
      <w:r>
        <w:t>Outputs</w:t>
      </w:r>
    </w:p>
    <w:p w14:paraId="6EBD3773" w14:textId="30CCC0F0" w:rsidR="00C306A8" w:rsidRDefault="00C306A8" w:rsidP="00C306A8">
      <w:pPr>
        <w:pStyle w:val="Heading3"/>
      </w:pPr>
      <w:r>
        <w:t>Land Services</w:t>
      </w:r>
      <w:r>
        <w:tab/>
        <w:t>(2026-27: $400</w:t>
      </w:r>
      <w:r w:rsidR="00905EF7">
        <w:t>.0</w:t>
      </w:r>
      <w:r>
        <w:t xml:space="preserve"> million)</w:t>
      </w:r>
    </w:p>
    <w:p w14:paraId="6C053B9F" w14:textId="00E892CD" w:rsidR="00C306A8" w:rsidRPr="00156FDD" w:rsidRDefault="00C306A8" w:rsidP="00C306A8">
      <w:pPr>
        <w:spacing w:after="120"/>
      </w:pPr>
      <w:r w:rsidRPr="00156FDD">
        <w:t>This output delivers high-quality and authoritative land administration and property information services, including the registration of land titles, survey, valuation and land information services. Land Use Victoria also incorporates the State’s foundational spatial data services and government land policies. The probity of the Government’s property transactions is overseen by the Government Land Monitor.</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741C094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1FCD44EA" w14:textId="77777777" w:rsidR="00C306A8" w:rsidRDefault="00C306A8">
            <w:r>
              <w:t>Performance measure</w:t>
            </w:r>
          </w:p>
        </w:tc>
        <w:tc>
          <w:tcPr>
            <w:tcW w:w="964" w:type="dxa"/>
          </w:tcPr>
          <w:p w14:paraId="20D98C1E"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4E11CD6"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B1C1196"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EDB8B25"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775FA9C"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261C8D" w14:paraId="14004D82"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729D34D2" w14:textId="77777777" w:rsidR="00C306A8" w:rsidRPr="00261C8D" w:rsidRDefault="00C306A8">
            <w:pPr>
              <w:keepNext/>
              <w:rPr>
                <w:b/>
              </w:rPr>
            </w:pPr>
            <w:r w:rsidRPr="00261C8D">
              <w:rPr>
                <w:b/>
              </w:rPr>
              <w:t>Quantity</w:t>
            </w:r>
          </w:p>
        </w:tc>
      </w:tr>
      <w:tr w:rsidR="00C306A8" w14:paraId="60118976" w14:textId="77777777">
        <w:tc>
          <w:tcPr>
            <w:cnfStyle w:val="001000000000" w:firstRow="0" w:lastRow="0" w:firstColumn="1" w:lastColumn="0" w:oddVBand="0" w:evenVBand="0" w:oddHBand="0" w:evenHBand="0" w:firstRowFirstColumn="0" w:firstRowLastColumn="0" w:lastRowFirstColumn="0" w:lastRowLastColumn="0"/>
            <w:tcW w:w="4820" w:type="dxa"/>
          </w:tcPr>
          <w:p w14:paraId="6AAA3962" w14:textId="77777777" w:rsidR="00C306A8" w:rsidRDefault="00C306A8">
            <w:pPr>
              <w:keepNext/>
              <w:ind w:left="170"/>
            </w:pPr>
            <w:r>
              <w:t>Advice provided on government infrastructure and housing projects with land requirements</w:t>
            </w:r>
          </w:p>
        </w:tc>
        <w:tc>
          <w:tcPr>
            <w:tcW w:w="964" w:type="dxa"/>
          </w:tcPr>
          <w:p w14:paraId="1F68578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0F33B67"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0E3A91F9" w14:textId="77777777" w:rsidR="00C306A8" w:rsidRDefault="00C306A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7FEAFBB" w14:textId="77777777" w:rsidR="00C306A8" w:rsidRDefault="00C306A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00A8A012" w14:textId="77777777" w:rsidR="00C306A8" w:rsidRDefault="00C306A8">
            <w:pPr>
              <w:cnfStyle w:val="000000000000" w:firstRow="0" w:lastRow="0" w:firstColumn="0" w:lastColumn="0" w:oddVBand="0" w:evenVBand="0" w:oddHBand="0" w:evenHBand="0" w:firstRowFirstColumn="0" w:firstRowLastColumn="0" w:lastRowFirstColumn="0" w:lastRowLastColumn="0"/>
            </w:pPr>
            <w:r>
              <w:t>88</w:t>
            </w:r>
          </w:p>
        </w:tc>
      </w:tr>
      <w:tr w:rsidR="00C306A8" w14:paraId="152ACC74"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BD3532E" w14:textId="77777777" w:rsidR="00C306A8" w:rsidRDefault="00C306A8">
            <w:pPr>
              <w:ind w:left="170"/>
            </w:pPr>
            <w:r>
              <w:rPr>
                <w:i/>
              </w:rPr>
              <w:t>The 2025-26 expected outcome is higher than the 2025-26 target due to increased engagement across government, leading to the identification of several surplus or underutilised sites.</w:t>
            </w:r>
          </w:p>
        </w:tc>
      </w:tr>
      <w:tr w:rsidR="00C306A8" w14:paraId="75483BB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5F22F38" w14:textId="04648606" w:rsidR="00C306A8" w:rsidRDefault="00C306A8">
            <w:pPr>
              <w:ind w:left="170"/>
            </w:pPr>
            <w:r>
              <w:t>Revenue from sale of surplus Government land including Crown</w:t>
            </w:r>
            <w:r w:rsidR="00D10C89">
              <w:t> </w:t>
            </w:r>
            <w:r>
              <w:t>land</w:t>
            </w:r>
          </w:p>
        </w:tc>
        <w:tc>
          <w:tcPr>
            <w:tcW w:w="964" w:type="dxa"/>
            <w:tcBorders>
              <w:bottom w:val="single" w:sz="6" w:space="0" w:color="auto"/>
            </w:tcBorders>
          </w:tcPr>
          <w:p w14:paraId="570A503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single" w:sz="6" w:space="0" w:color="auto"/>
            </w:tcBorders>
            <w:shd w:val="clear" w:color="auto" w:fill="F0F0F0"/>
          </w:tcPr>
          <w:p w14:paraId="41B3EB6D" w14:textId="77777777" w:rsidR="00C306A8" w:rsidRDefault="00C306A8">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2E5B9D33" w14:textId="77777777" w:rsidR="00C306A8" w:rsidRDefault="00C306A8">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0BAA76E3" w14:textId="77777777" w:rsidR="00C306A8" w:rsidRDefault="00C306A8">
            <w:pPr>
              <w:cnfStyle w:val="000000000000" w:firstRow="0" w:lastRow="0" w:firstColumn="0" w:lastColumn="0" w:oddVBand="0" w:evenVBand="0" w:oddHBand="0" w:evenHBand="0" w:firstRowFirstColumn="0" w:firstRowLastColumn="0" w:lastRowFirstColumn="0" w:lastRowLastColumn="0"/>
            </w:pPr>
            <w:r>
              <w:t>150</w:t>
            </w:r>
          </w:p>
        </w:tc>
        <w:tc>
          <w:tcPr>
            <w:tcW w:w="964" w:type="dxa"/>
            <w:tcBorders>
              <w:bottom w:val="single" w:sz="6" w:space="0" w:color="auto"/>
            </w:tcBorders>
          </w:tcPr>
          <w:p w14:paraId="259F8F46" w14:textId="77777777" w:rsidR="00C306A8" w:rsidRDefault="00C306A8">
            <w:pPr>
              <w:cnfStyle w:val="000000000000" w:firstRow="0" w:lastRow="0" w:firstColumn="0" w:lastColumn="0" w:oddVBand="0" w:evenVBand="0" w:oddHBand="0" w:evenHBand="0" w:firstRowFirstColumn="0" w:firstRowLastColumn="0" w:lastRowFirstColumn="0" w:lastRowLastColumn="0"/>
            </w:pPr>
            <w:r>
              <w:t>107.4</w:t>
            </w:r>
          </w:p>
        </w:tc>
      </w:tr>
      <w:tr w:rsidR="00C306A8" w14:paraId="1F55AC8F"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F2863D3" w14:textId="77777777" w:rsidR="00C306A8" w:rsidRDefault="00C306A8">
            <w:pPr>
              <w:ind w:left="170"/>
            </w:pPr>
            <w:r>
              <w:t>Strategic government land assessments completed</w:t>
            </w:r>
          </w:p>
        </w:tc>
        <w:tc>
          <w:tcPr>
            <w:tcW w:w="964" w:type="dxa"/>
            <w:tcBorders>
              <w:bottom w:val="single" w:sz="6" w:space="0" w:color="auto"/>
            </w:tcBorders>
          </w:tcPr>
          <w:p w14:paraId="7B8A8F4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DA6CFB0"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537A5E64"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1883F8CC"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Borders>
              <w:bottom w:val="single" w:sz="6" w:space="0" w:color="auto"/>
            </w:tcBorders>
          </w:tcPr>
          <w:p w14:paraId="19EC751E" w14:textId="77777777" w:rsidR="00C306A8" w:rsidRDefault="00C306A8">
            <w:pPr>
              <w:cnfStyle w:val="000000000000" w:firstRow="0" w:lastRow="0" w:firstColumn="0" w:lastColumn="0" w:oddVBand="0" w:evenVBand="0" w:oddHBand="0" w:evenHBand="0" w:firstRowFirstColumn="0" w:firstRowLastColumn="0" w:lastRowFirstColumn="0" w:lastRowLastColumn="0"/>
            </w:pPr>
            <w:r>
              <w:t>26</w:t>
            </w:r>
          </w:p>
        </w:tc>
      </w:tr>
      <w:tr w:rsidR="00C306A8" w:rsidRPr="00261C8D" w14:paraId="37249F33"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34C9A751" w14:textId="77777777" w:rsidR="00C306A8" w:rsidRPr="00261C8D" w:rsidRDefault="00C306A8">
            <w:pPr>
              <w:keepNext/>
              <w:rPr>
                <w:b/>
              </w:rPr>
            </w:pPr>
            <w:r w:rsidRPr="00261C8D">
              <w:rPr>
                <w:b/>
              </w:rPr>
              <w:t>Quality</w:t>
            </w:r>
          </w:p>
        </w:tc>
      </w:tr>
      <w:tr w:rsidR="00C306A8" w14:paraId="3EC28B7E"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2FC3A07" w14:textId="77777777" w:rsidR="00C306A8" w:rsidRDefault="00C306A8">
            <w:pPr>
              <w:ind w:left="170"/>
            </w:pPr>
            <w:r>
              <w:t>Audited Vicmap digital map base not requiring correction</w:t>
            </w:r>
          </w:p>
        </w:tc>
        <w:tc>
          <w:tcPr>
            <w:tcW w:w="964" w:type="dxa"/>
            <w:tcBorders>
              <w:bottom w:val="single" w:sz="6" w:space="0" w:color="auto"/>
            </w:tcBorders>
          </w:tcPr>
          <w:p w14:paraId="714AD17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E53BC64"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4D6F3EA4"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FC2EC26"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3EA4E17" w14:textId="77777777" w:rsidR="00C306A8" w:rsidRDefault="00C306A8">
            <w:pPr>
              <w:cnfStyle w:val="000000000000" w:firstRow="0" w:lastRow="0" w:firstColumn="0" w:lastColumn="0" w:oddVBand="0" w:evenVBand="0" w:oddHBand="0" w:evenHBand="0" w:firstRowFirstColumn="0" w:firstRowLastColumn="0" w:lastRowFirstColumn="0" w:lastRowLastColumn="0"/>
            </w:pPr>
            <w:r>
              <w:t>98.6</w:t>
            </w:r>
          </w:p>
        </w:tc>
      </w:tr>
      <w:tr w:rsidR="00C306A8" w14:paraId="53673DCE" w14:textId="77777777">
        <w:tc>
          <w:tcPr>
            <w:cnfStyle w:val="001000000000" w:firstRow="0" w:lastRow="0" w:firstColumn="1" w:lastColumn="0" w:oddVBand="0" w:evenVBand="0" w:oddHBand="0" w:evenHBand="0" w:firstRowFirstColumn="0" w:firstRowLastColumn="0" w:lastRowFirstColumn="0" w:lastRowLastColumn="0"/>
            <w:tcW w:w="4820" w:type="dxa"/>
          </w:tcPr>
          <w:p w14:paraId="486E3105" w14:textId="3DA3E1F2" w:rsidR="00C306A8" w:rsidRDefault="00C306A8">
            <w:pPr>
              <w:keepNext/>
              <w:ind w:left="170"/>
            </w:pPr>
            <w:r>
              <w:t>Government-owned properties sold, bought or leased within 10</w:t>
            </w:r>
            <w:r w:rsidR="009C3723">
              <w:t> </w:t>
            </w:r>
            <w:r>
              <w:t>per cent of valuation</w:t>
            </w:r>
          </w:p>
        </w:tc>
        <w:tc>
          <w:tcPr>
            <w:tcW w:w="964" w:type="dxa"/>
          </w:tcPr>
          <w:p w14:paraId="465B7B43"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E948924"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35DEEB6"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59BA4A5"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F081054" w14:textId="77777777" w:rsidR="00C306A8" w:rsidRDefault="00C306A8">
            <w:pPr>
              <w:cnfStyle w:val="000000000000" w:firstRow="0" w:lastRow="0" w:firstColumn="0" w:lastColumn="0" w:oddVBand="0" w:evenVBand="0" w:oddHBand="0" w:evenHBand="0" w:firstRowFirstColumn="0" w:firstRowLastColumn="0" w:lastRowFirstColumn="0" w:lastRowLastColumn="0"/>
            </w:pPr>
            <w:r>
              <w:t>87</w:t>
            </w:r>
          </w:p>
        </w:tc>
      </w:tr>
      <w:tr w:rsidR="00C306A8" w14:paraId="31F4330B"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3ABAF921" w14:textId="77777777" w:rsidR="00C306A8" w:rsidRDefault="00C306A8">
            <w:pPr>
              <w:ind w:left="170"/>
            </w:pPr>
            <w:r>
              <w:rPr>
                <w:i/>
              </w:rPr>
              <w:t>The 2025-26 expected outcome is higher than the 2025-26 target due to increased capability and enhanced data quality supporting more accurate valuations.</w:t>
            </w:r>
          </w:p>
        </w:tc>
      </w:tr>
      <w:tr w:rsidR="00C306A8" w14:paraId="36F2C7E1"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056EE7D" w14:textId="77777777" w:rsidR="00C306A8" w:rsidRDefault="00C306A8">
            <w:pPr>
              <w:ind w:left="170"/>
            </w:pPr>
            <w:r>
              <w:t>Land dealings accurately registered</w:t>
            </w:r>
          </w:p>
        </w:tc>
        <w:tc>
          <w:tcPr>
            <w:tcW w:w="964" w:type="dxa"/>
            <w:tcBorders>
              <w:bottom w:val="single" w:sz="6" w:space="0" w:color="auto"/>
            </w:tcBorders>
          </w:tcPr>
          <w:p w14:paraId="2207DB7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27A7A6F"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FB7CA44"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58D779A7"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5D62EB89" w14:textId="77777777" w:rsidR="00C306A8" w:rsidRDefault="00C306A8">
            <w:pPr>
              <w:cnfStyle w:val="000000000000" w:firstRow="0" w:lastRow="0" w:firstColumn="0" w:lastColumn="0" w:oddVBand="0" w:evenVBand="0" w:oddHBand="0" w:evenHBand="0" w:firstRowFirstColumn="0" w:firstRowLastColumn="0" w:lastRowFirstColumn="0" w:lastRowLastColumn="0"/>
            </w:pPr>
            <w:r>
              <w:t>99.8</w:t>
            </w:r>
          </w:p>
        </w:tc>
      </w:tr>
      <w:tr w:rsidR="00C306A8" w14:paraId="003AA3E6" w14:textId="77777777">
        <w:tc>
          <w:tcPr>
            <w:cnfStyle w:val="001000000000" w:firstRow="0" w:lastRow="0" w:firstColumn="1" w:lastColumn="0" w:oddVBand="0" w:evenVBand="0" w:oddHBand="0" w:evenHBand="0" w:firstRowFirstColumn="0" w:firstRowLastColumn="0" w:lastRowFirstColumn="0" w:lastRowLastColumn="0"/>
            <w:tcW w:w="4820" w:type="dxa"/>
          </w:tcPr>
          <w:p w14:paraId="1AEAC5CD" w14:textId="77777777" w:rsidR="00C306A8" w:rsidRDefault="00C306A8">
            <w:pPr>
              <w:keepNext/>
              <w:ind w:left="170"/>
            </w:pPr>
            <w:r>
              <w:t>Percentage of property valuations within median sales tolerance</w:t>
            </w:r>
          </w:p>
        </w:tc>
        <w:tc>
          <w:tcPr>
            <w:tcW w:w="964" w:type="dxa"/>
          </w:tcPr>
          <w:p w14:paraId="3BB312C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FE34250"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C73ECDA"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76522F59"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9EF6676"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0F8C4EC0"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4AE58AA" w14:textId="4138C59D" w:rsidR="00C306A8" w:rsidRDefault="00C306A8">
            <w:pPr>
              <w:ind w:left="170"/>
            </w:pPr>
            <w:r>
              <w:rPr>
                <w:i/>
              </w:rPr>
              <w:t>This performance measure is proposed to replace the 2025-26</w:t>
            </w:r>
            <w:r w:rsidDel="00F6635E">
              <w:rPr>
                <w:i/>
              </w:rPr>
              <w:t xml:space="preserve"> </w:t>
            </w:r>
            <w:r>
              <w:rPr>
                <w:i/>
              </w:rPr>
              <w:t xml:space="preserve">performance measure </w:t>
            </w:r>
            <w:r w:rsidR="00AD4833">
              <w:rPr>
                <w:i/>
              </w:rPr>
              <w:t>‘</w:t>
            </w:r>
            <w:r>
              <w:rPr>
                <w:i/>
              </w:rPr>
              <w:t>Successful objection rate for rating authority valuations</w:t>
            </w:r>
            <w:r w:rsidR="00AD4833">
              <w:rPr>
                <w:i/>
              </w:rPr>
              <w:t>’</w:t>
            </w:r>
            <w:r>
              <w:rPr>
                <w:i/>
              </w:rPr>
              <w:t xml:space="preserve"> to better reflect outputs delivered by Valuer-General Victoria. </w:t>
            </w:r>
          </w:p>
        </w:tc>
      </w:tr>
      <w:tr w:rsidR="00C306A8" w:rsidRPr="00261C8D" w14:paraId="1CA82395"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14B5C736" w14:textId="77777777" w:rsidR="00C306A8" w:rsidRPr="00261C8D" w:rsidRDefault="00C306A8">
            <w:pPr>
              <w:keepNext/>
              <w:rPr>
                <w:b/>
              </w:rPr>
            </w:pPr>
            <w:r w:rsidRPr="00261C8D">
              <w:rPr>
                <w:b/>
              </w:rPr>
              <w:t>Timeliness</w:t>
            </w:r>
          </w:p>
        </w:tc>
      </w:tr>
      <w:tr w:rsidR="00C306A8" w14:paraId="477E231B" w14:textId="77777777">
        <w:tc>
          <w:tcPr>
            <w:cnfStyle w:val="001000000000" w:firstRow="0" w:lastRow="0" w:firstColumn="1" w:lastColumn="0" w:oddVBand="0" w:evenVBand="0" w:oddHBand="0" w:evenHBand="0" w:firstRowFirstColumn="0" w:firstRowLastColumn="0" w:lastRowFirstColumn="0" w:lastRowLastColumn="0"/>
            <w:tcW w:w="4820" w:type="dxa"/>
          </w:tcPr>
          <w:p w14:paraId="7969D11C" w14:textId="77777777" w:rsidR="00C306A8" w:rsidRDefault="00C306A8">
            <w:pPr>
              <w:keepNext/>
              <w:ind w:left="170"/>
            </w:pPr>
            <w:r>
              <w:t>Crown land survey plans examined and approved within 60 days</w:t>
            </w:r>
          </w:p>
        </w:tc>
        <w:tc>
          <w:tcPr>
            <w:tcW w:w="964" w:type="dxa"/>
          </w:tcPr>
          <w:p w14:paraId="6B88120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E28CEA4"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E8C4EA8"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7B25E25"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0D2867D"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505E2707"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4D159767" w14:textId="4A310BC2" w:rsidR="00C306A8" w:rsidRDefault="00C306A8">
            <w:pPr>
              <w:ind w:left="170"/>
            </w:pPr>
            <w:r>
              <w:rPr>
                <w:i/>
              </w:rPr>
              <w:t xml:space="preserve">This performance measure is proposed to replace the 2025-26 performance measure </w:t>
            </w:r>
            <w:r w:rsidR="00AD4833">
              <w:rPr>
                <w:i/>
              </w:rPr>
              <w:t>‘</w:t>
            </w:r>
            <w:r>
              <w:rPr>
                <w:i/>
              </w:rPr>
              <w:t>Surveying plan requests processed within 90 days from lodgement</w:t>
            </w:r>
            <w:r w:rsidR="00AD4833">
              <w:rPr>
                <w:i/>
              </w:rPr>
              <w:t>’</w:t>
            </w:r>
            <w:r>
              <w:rPr>
                <w:i/>
              </w:rPr>
              <w:t xml:space="preserve"> to improve clarity and accurately reflect current requirements. </w:t>
            </w:r>
          </w:p>
        </w:tc>
      </w:tr>
      <w:tr w:rsidR="00C306A8" w14:paraId="0B2062D9" w14:textId="77777777">
        <w:tc>
          <w:tcPr>
            <w:cnfStyle w:val="001000000000" w:firstRow="0" w:lastRow="0" w:firstColumn="1" w:lastColumn="0" w:oddVBand="0" w:evenVBand="0" w:oddHBand="0" w:evenHBand="0" w:firstRowFirstColumn="0" w:firstRowLastColumn="0" w:lastRowFirstColumn="0" w:lastRowLastColumn="0"/>
            <w:tcW w:w="4820" w:type="dxa"/>
          </w:tcPr>
          <w:p w14:paraId="470C24DD" w14:textId="77777777" w:rsidR="00C306A8" w:rsidRDefault="00C306A8">
            <w:pPr>
              <w:keepNext/>
              <w:ind w:left="170"/>
            </w:pPr>
            <w:r>
              <w:t>Decisions made on submissions to the Victorian Government Land Monitor are within 7 business days for compensation and 10 business days for all other submissions.</w:t>
            </w:r>
          </w:p>
        </w:tc>
        <w:tc>
          <w:tcPr>
            <w:tcW w:w="964" w:type="dxa"/>
          </w:tcPr>
          <w:p w14:paraId="37EF0CA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8C51864"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C45973B"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44C7A9A5"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AC3F87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15E78482"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47CE257" w14:textId="77777777" w:rsidR="00C306A8" w:rsidRDefault="00C306A8">
            <w:pPr>
              <w:ind w:left="170"/>
            </w:pPr>
            <w:r>
              <w:rPr>
                <w:i/>
              </w:rPr>
              <w:t>The 2025-26 expected outcome is higher than the 2025-26 target due to operational improvements.</w:t>
            </w:r>
          </w:p>
          <w:p w14:paraId="760416B1" w14:textId="77777777" w:rsidR="00C306A8" w:rsidRDefault="00C306A8">
            <w:pPr>
              <w:ind w:left="170"/>
            </w:pPr>
            <w:r>
              <w:rPr>
                <w:i/>
              </w:rPr>
              <w:t>The higher 2026-27 target is due to operational improvements.</w:t>
            </w:r>
          </w:p>
        </w:tc>
      </w:tr>
      <w:tr w:rsidR="00C306A8" w14:paraId="09A849E2"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DD31A9C" w14:textId="77777777" w:rsidR="00C306A8" w:rsidRDefault="00C306A8">
            <w:pPr>
              <w:ind w:left="170"/>
            </w:pPr>
            <w:r>
              <w:t>Delivery of updated Vicmap foundation data within 5 business days</w:t>
            </w:r>
          </w:p>
        </w:tc>
        <w:tc>
          <w:tcPr>
            <w:tcW w:w="964" w:type="dxa"/>
            <w:tcBorders>
              <w:bottom w:val="single" w:sz="6" w:space="0" w:color="auto"/>
            </w:tcBorders>
          </w:tcPr>
          <w:p w14:paraId="56B0B307"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3D10429"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49972F6"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DDC0794"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D1BAC27" w14:textId="77777777" w:rsidR="00C306A8" w:rsidRDefault="00C306A8">
            <w:pPr>
              <w:cnfStyle w:val="000000000000" w:firstRow="0" w:lastRow="0" w:firstColumn="0" w:lastColumn="0" w:oddVBand="0" w:evenVBand="0" w:oddHBand="0" w:evenHBand="0" w:firstRowFirstColumn="0" w:firstRowLastColumn="0" w:lastRowFirstColumn="0" w:lastRowLastColumn="0"/>
            </w:pPr>
            <w:r>
              <w:t>99.4</w:t>
            </w:r>
          </w:p>
        </w:tc>
      </w:tr>
      <w:tr w:rsidR="00C306A8" w14:paraId="70B5D8F6"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827244B" w14:textId="77777777" w:rsidR="00C306A8" w:rsidRDefault="00C306A8">
            <w:pPr>
              <w:ind w:left="170"/>
            </w:pPr>
            <w:r>
              <w:t>Land dealings registered within five business days</w:t>
            </w:r>
          </w:p>
        </w:tc>
        <w:tc>
          <w:tcPr>
            <w:tcW w:w="964" w:type="dxa"/>
            <w:tcBorders>
              <w:bottom w:val="single" w:sz="6" w:space="0" w:color="auto"/>
            </w:tcBorders>
          </w:tcPr>
          <w:p w14:paraId="30A805C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8F23D12"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01DA199"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BCD3E0D" w14:textId="77777777" w:rsidR="00C306A8" w:rsidRDefault="00C306A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1BD25FE7" w14:textId="77777777" w:rsidR="00C306A8" w:rsidRDefault="00C306A8">
            <w:pPr>
              <w:cnfStyle w:val="000000000000" w:firstRow="0" w:lastRow="0" w:firstColumn="0" w:lastColumn="0" w:oddVBand="0" w:evenVBand="0" w:oddHBand="0" w:evenHBand="0" w:firstRowFirstColumn="0" w:firstRowLastColumn="0" w:lastRowFirstColumn="0" w:lastRowLastColumn="0"/>
            </w:pPr>
            <w:r>
              <w:t>99.6</w:t>
            </w:r>
          </w:p>
        </w:tc>
      </w:tr>
      <w:tr w:rsidR="00C306A8" w14:paraId="40083BE9"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B51507A" w14:textId="77777777" w:rsidR="00C306A8" w:rsidRDefault="00C306A8">
            <w:pPr>
              <w:ind w:left="170"/>
            </w:pPr>
            <w:r>
              <w:t>New titles (subdivisions) created within 15 business days</w:t>
            </w:r>
          </w:p>
        </w:tc>
        <w:tc>
          <w:tcPr>
            <w:tcW w:w="964" w:type="dxa"/>
            <w:tcBorders>
              <w:bottom w:val="single" w:sz="6" w:space="0" w:color="auto"/>
            </w:tcBorders>
          </w:tcPr>
          <w:p w14:paraId="49891C9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C1A45D0"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6F5138F"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2FC0402" w14:textId="77777777" w:rsidR="00C306A8" w:rsidRDefault="00C306A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93276E7" w14:textId="77777777" w:rsidR="00C306A8" w:rsidRDefault="00C306A8">
            <w:pPr>
              <w:cnfStyle w:val="000000000000" w:firstRow="0" w:lastRow="0" w:firstColumn="0" w:lastColumn="0" w:oddVBand="0" w:evenVBand="0" w:oddHBand="0" w:evenHBand="0" w:firstRowFirstColumn="0" w:firstRowLastColumn="0" w:lastRowFirstColumn="0" w:lastRowLastColumn="0"/>
            </w:pPr>
            <w:r>
              <w:t>97.4</w:t>
            </w:r>
          </w:p>
        </w:tc>
      </w:tr>
      <w:tr w:rsidR="00C306A8" w14:paraId="187119A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6EF28C6" w14:textId="77777777" w:rsidR="00C306A8" w:rsidRDefault="00C306A8">
            <w:pPr>
              <w:ind w:left="170"/>
            </w:pPr>
            <w:r>
              <w:t>Update transactions for the Vicmap digital map base processed within the required timeframes</w:t>
            </w:r>
          </w:p>
        </w:tc>
        <w:tc>
          <w:tcPr>
            <w:tcW w:w="964" w:type="dxa"/>
            <w:tcBorders>
              <w:bottom w:val="single" w:sz="6" w:space="0" w:color="auto"/>
            </w:tcBorders>
          </w:tcPr>
          <w:p w14:paraId="6FFBE036"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CD55EDF"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0A5502E"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101ACE9" w14:textId="77777777" w:rsidR="00C306A8" w:rsidRDefault="00C306A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285322F7" w14:textId="77777777" w:rsidR="00C306A8" w:rsidRDefault="00C306A8">
            <w:pPr>
              <w:cnfStyle w:val="000000000000" w:firstRow="0" w:lastRow="0" w:firstColumn="0" w:lastColumn="0" w:oddVBand="0" w:evenVBand="0" w:oddHBand="0" w:evenHBand="0" w:firstRowFirstColumn="0" w:firstRowLastColumn="0" w:lastRowFirstColumn="0" w:lastRowLastColumn="0"/>
            </w:pPr>
            <w:r>
              <w:t>99.4</w:t>
            </w:r>
          </w:p>
        </w:tc>
      </w:tr>
      <w:tr w:rsidR="00C306A8" w:rsidRPr="00261C8D" w14:paraId="0CEEEE23"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5F2C150" w14:textId="77777777" w:rsidR="00C306A8" w:rsidRPr="00261C8D" w:rsidRDefault="00C306A8">
            <w:pPr>
              <w:keepNext/>
              <w:rPr>
                <w:b/>
              </w:rPr>
            </w:pPr>
            <w:r w:rsidRPr="00261C8D">
              <w:rPr>
                <w:b/>
              </w:rPr>
              <w:t>Cost</w:t>
            </w:r>
          </w:p>
        </w:tc>
      </w:tr>
      <w:tr w:rsidR="00C306A8" w14:paraId="059A553A" w14:textId="77777777" w:rsidTr="00D10C89">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4532608C" w14:textId="77777777" w:rsidR="00C306A8" w:rsidRDefault="00C306A8">
            <w:pPr>
              <w:keepNext/>
              <w:ind w:left="170"/>
            </w:pPr>
            <w:r>
              <w:t>Total output cost</w:t>
            </w:r>
          </w:p>
        </w:tc>
        <w:tc>
          <w:tcPr>
            <w:tcW w:w="964" w:type="dxa"/>
            <w:tcBorders>
              <w:bottom w:val="nil"/>
            </w:tcBorders>
          </w:tcPr>
          <w:p w14:paraId="38AEBEA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22D55780" w14:textId="7BB6932E" w:rsidR="00C306A8" w:rsidRDefault="00C306A8">
            <w:pPr>
              <w:cnfStyle w:val="000000000000" w:firstRow="0" w:lastRow="0" w:firstColumn="0" w:lastColumn="0" w:oddVBand="0" w:evenVBand="0" w:oddHBand="0" w:evenHBand="0" w:firstRowFirstColumn="0" w:firstRowLastColumn="0" w:lastRowFirstColumn="0" w:lastRowLastColumn="0"/>
            </w:pPr>
            <w:r>
              <w:t>400</w:t>
            </w:r>
            <w:r w:rsidR="00905EF7">
              <w:t>.0</w:t>
            </w:r>
          </w:p>
        </w:tc>
        <w:tc>
          <w:tcPr>
            <w:tcW w:w="964" w:type="dxa"/>
            <w:tcBorders>
              <w:bottom w:val="nil"/>
            </w:tcBorders>
          </w:tcPr>
          <w:p w14:paraId="6D8A97DF" w14:textId="4DE5C96F" w:rsidR="00C306A8" w:rsidRDefault="00C306A8">
            <w:pPr>
              <w:cnfStyle w:val="000000000000" w:firstRow="0" w:lastRow="0" w:firstColumn="0" w:lastColumn="0" w:oddVBand="0" w:evenVBand="0" w:oddHBand="0" w:evenHBand="0" w:firstRowFirstColumn="0" w:firstRowLastColumn="0" w:lastRowFirstColumn="0" w:lastRowLastColumn="0"/>
            </w:pPr>
            <w:r>
              <w:t>39</w:t>
            </w:r>
            <w:r w:rsidR="00905EF7">
              <w:t>6.5</w:t>
            </w:r>
          </w:p>
        </w:tc>
        <w:tc>
          <w:tcPr>
            <w:tcW w:w="964" w:type="dxa"/>
            <w:tcBorders>
              <w:bottom w:val="nil"/>
            </w:tcBorders>
          </w:tcPr>
          <w:p w14:paraId="78F14610" w14:textId="77777777" w:rsidR="00C306A8" w:rsidRDefault="00C306A8">
            <w:pPr>
              <w:cnfStyle w:val="000000000000" w:firstRow="0" w:lastRow="0" w:firstColumn="0" w:lastColumn="0" w:oddVBand="0" w:evenVBand="0" w:oddHBand="0" w:evenHBand="0" w:firstRowFirstColumn="0" w:firstRowLastColumn="0" w:lastRowFirstColumn="0" w:lastRowLastColumn="0"/>
            </w:pPr>
            <w:r>
              <w:t>352.8</w:t>
            </w:r>
          </w:p>
        </w:tc>
        <w:tc>
          <w:tcPr>
            <w:tcW w:w="964" w:type="dxa"/>
            <w:tcBorders>
              <w:bottom w:val="nil"/>
            </w:tcBorders>
          </w:tcPr>
          <w:p w14:paraId="5B19BDFC" w14:textId="77777777" w:rsidR="00C306A8" w:rsidRDefault="00C306A8">
            <w:pPr>
              <w:cnfStyle w:val="000000000000" w:firstRow="0" w:lastRow="0" w:firstColumn="0" w:lastColumn="0" w:oddVBand="0" w:evenVBand="0" w:oddHBand="0" w:evenHBand="0" w:firstRowFirstColumn="0" w:firstRowLastColumn="0" w:lastRowFirstColumn="0" w:lastRowLastColumn="0"/>
            </w:pPr>
            <w:r>
              <w:t>383.5</w:t>
            </w:r>
          </w:p>
        </w:tc>
      </w:tr>
      <w:tr w:rsidR="00C306A8" w14:paraId="2DCCFBAF" w14:textId="77777777" w:rsidTr="00D10C89">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0698E30E" w14:textId="77777777" w:rsidR="00B40907" w:rsidRDefault="00B40907" w:rsidP="00B40907">
            <w:pPr>
              <w:ind w:left="170"/>
            </w:pPr>
            <w:r>
              <w:rPr>
                <w:i/>
              </w:rPr>
              <w:t xml:space="preserve">The 2025-26 expected outcome is higher than the 2025-26 target due to </w:t>
            </w:r>
            <w:r w:rsidRPr="000E46FF">
              <w:rPr>
                <w:i/>
              </w:rPr>
              <w:t xml:space="preserve">a change in </w:t>
            </w:r>
            <w:r>
              <w:rPr>
                <w:i/>
              </w:rPr>
              <w:t xml:space="preserve">the </w:t>
            </w:r>
            <w:r w:rsidRPr="000E46FF">
              <w:rPr>
                <w:i/>
              </w:rPr>
              <w:t xml:space="preserve">invoicing for </w:t>
            </w:r>
            <w:r>
              <w:rPr>
                <w:i/>
              </w:rPr>
              <w:t xml:space="preserve">government </w:t>
            </w:r>
            <w:r w:rsidRPr="000E46FF">
              <w:rPr>
                <w:i/>
              </w:rPr>
              <w:t>accommodation tenancy fees and the carryover of the maintenance budget from the prior year</w:t>
            </w:r>
            <w:r>
              <w:rPr>
                <w:i/>
              </w:rPr>
              <w:t>.</w:t>
            </w:r>
          </w:p>
          <w:p w14:paraId="5F3FCDF4" w14:textId="054FAA9C" w:rsidR="00C306A8" w:rsidRDefault="008A7282">
            <w:pPr>
              <w:ind w:left="170"/>
            </w:pPr>
            <w:r w:rsidRPr="00BE5AF9">
              <w:rPr>
                <w:i/>
              </w:rPr>
              <w:t xml:space="preserve">The higher 2026-27 target primarily reflects </w:t>
            </w:r>
            <w:r w:rsidRPr="00FC7B24">
              <w:rPr>
                <w:i/>
                <w:lang w:eastAsia="en-AU"/>
              </w:rPr>
              <w:t>the funding profile of land services.</w:t>
            </w:r>
          </w:p>
        </w:tc>
      </w:tr>
    </w:tbl>
    <w:p w14:paraId="2BE02D96" w14:textId="77777777" w:rsidR="00C306A8" w:rsidRDefault="00C306A8" w:rsidP="00D95543">
      <w:pPr>
        <w:pStyle w:val="Source"/>
      </w:pPr>
      <w:r>
        <w:t>Source: Department of Transport and Planning</w:t>
      </w:r>
    </w:p>
    <w:p w14:paraId="52419222" w14:textId="77777777" w:rsidR="00C306A8" w:rsidRDefault="00C306A8" w:rsidP="00C306A8">
      <w:pPr>
        <w:pStyle w:val="ShadedBoxHeading"/>
      </w:pPr>
      <w:r>
        <w:lastRenderedPageBreak/>
        <w:t>Objective 5: Build prosperous and connected communities</w:t>
      </w:r>
    </w:p>
    <w:p w14:paraId="388FF67F" w14:textId="600D10CA" w:rsidR="00C306A8" w:rsidRPr="00C87FFB" w:rsidRDefault="00C306A8" w:rsidP="00C306A8">
      <w:pPr>
        <w:pStyle w:val="ShadedBoxText"/>
      </w:pPr>
      <w:r w:rsidRPr="00C87FFB">
        <w:t>This objective seeks to plan and deliver major transport infrastructure projects, and to plan and deliver precincts, to transform the way Victorian’s travel and experience inclusive, prosperous and sustainable communities.</w:t>
      </w:r>
    </w:p>
    <w:p w14:paraId="05F03F4E" w14:textId="77777777" w:rsidR="00C306A8" w:rsidRPr="00C87FFB" w:rsidRDefault="00C306A8" w:rsidP="00C306A8">
      <w:pPr>
        <w:pStyle w:val="ShadedBoxText"/>
      </w:pPr>
      <w:r w:rsidRPr="00C87FFB">
        <w:t xml:space="preserve">The departmental objective indicators are: </w:t>
      </w:r>
    </w:p>
    <w:p w14:paraId="6CB94CA7" w14:textId="77777777" w:rsidR="00C306A8" w:rsidRPr="00C87FFB" w:rsidRDefault="00C306A8" w:rsidP="00C306A8">
      <w:pPr>
        <w:pStyle w:val="ShadedBoxBullet"/>
      </w:pPr>
      <w:r w:rsidRPr="00C87FFB">
        <w:t>Improved transport infrastructure planning and delivery</w:t>
      </w:r>
    </w:p>
    <w:p w14:paraId="1BBEA126" w14:textId="77777777" w:rsidR="00C306A8" w:rsidRPr="00C87FFB" w:rsidRDefault="00C306A8" w:rsidP="00C306A8">
      <w:pPr>
        <w:pStyle w:val="ShadedBoxBullet"/>
      </w:pPr>
      <w:r w:rsidRPr="00C87FFB">
        <w:t>Precincts developed and delivered.</w:t>
      </w:r>
    </w:p>
    <w:p w14:paraId="7B38F9A8" w14:textId="77777777" w:rsidR="00C306A8" w:rsidRDefault="00C306A8" w:rsidP="00C306A8">
      <w:pPr>
        <w:pStyle w:val="Heading2"/>
      </w:pPr>
      <w:r>
        <w:t>Outputs</w:t>
      </w:r>
    </w:p>
    <w:p w14:paraId="53CE8D7A" w14:textId="77777777" w:rsidR="00C306A8" w:rsidRDefault="00C306A8" w:rsidP="00C306A8">
      <w:pPr>
        <w:pStyle w:val="Heading3"/>
      </w:pPr>
      <w:r>
        <w:t>Ports and Freight</w:t>
      </w:r>
      <w:r>
        <w:tab/>
        <w:t>(2026-27: $104.6 million)</w:t>
      </w:r>
    </w:p>
    <w:p w14:paraId="36166D71" w14:textId="77777777" w:rsidR="00C306A8" w:rsidRPr="00734AA4" w:rsidRDefault="00C306A8" w:rsidP="00C306A8">
      <w:pPr>
        <w:spacing w:after="120"/>
      </w:pPr>
      <w:r w:rsidRPr="008B6E25">
        <w:t>This output delivers a range of capital initiatives and programs to increase the capacity, efficiency and safety of the ports, freight and logistics network.</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605820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15716604" w14:textId="77777777" w:rsidR="00C306A8" w:rsidRDefault="00C306A8">
            <w:r>
              <w:t>Performance measure</w:t>
            </w:r>
          </w:p>
        </w:tc>
        <w:tc>
          <w:tcPr>
            <w:tcW w:w="964" w:type="dxa"/>
          </w:tcPr>
          <w:p w14:paraId="3A635263"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F5C7CE1"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A2F8034"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B563B22"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62764EF"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261C8D" w14:paraId="752B13B1"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2FD0B7E2" w14:textId="77777777" w:rsidR="00C306A8" w:rsidRPr="00261C8D" w:rsidRDefault="00C306A8">
            <w:pPr>
              <w:keepNext/>
              <w:rPr>
                <w:b/>
              </w:rPr>
            </w:pPr>
            <w:r w:rsidRPr="00261C8D">
              <w:rPr>
                <w:b/>
              </w:rPr>
              <w:t>Quantity</w:t>
            </w:r>
          </w:p>
        </w:tc>
      </w:tr>
      <w:tr w:rsidR="00C306A8" w14:paraId="60915039"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09F6F28" w14:textId="77777777" w:rsidR="00C306A8" w:rsidRDefault="00C306A8">
            <w:pPr>
              <w:ind w:left="170"/>
            </w:pPr>
            <w:r>
              <w:t>Accessible local ports</w:t>
            </w:r>
          </w:p>
        </w:tc>
        <w:tc>
          <w:tcPr>
            <w:tcW w:w="964" w:type="dxa"/>
            <w:tcBorders>
              <w:bottom w:val="single" w:sz="6" w:space="0" w:color="auto"/>
            </w:tcBorders>
          </w:tcPr>
          <w:p w14:paraId="4F77FCC4"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928BDA0"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c>
          <w:tcPr>
            <w:tcW w:w="964" w:type="dxa"/>
            <w:tcBorders>
              <w:bottom w:val="single" w:sz="6" w:space="0" w:color="auto"/>
            </w:tcBorders>
          </w:tcPr>
          <w:p w14:paraId="3AFF7579"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c>
          <w:tcPr>
            <w:tcW w:w="964" w:type="dxa"/>
            <w:tcBorders>
              <w:bottom w:val="single" w:sz="6" w:space="0" w:color="auto"/>
            </w:tcBorders>
          </w:tcPr>
          <w:p w14:paraId="754A6E55"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c>
          <w:tcPr>
            <w:tcW w:w="964" w:type="dxa"/>
            <w:tcBorders>
              <w:bottom w:val="single" w:sz="6" w:space="0" w:color="auto"/>
            </w:tcBorders>
          </w:tcPr>
          <w:p w14:paraId="4377A8BE" w14:textId="77777777" w:rsidR="00C306A8" w:rsidRDefault="00C306A8">
            <w:pPr>
              <w:cnfStyle w:val="000000000000" w:firstRow="0" w:lastRow="0" w:firstColumn="0" w:lastColumn="0" w:oddVBand="0" w:evenVBand="0" w:oddHBand="0" w:evenHBand="0" w:firstRowFirstColumn="0" w:firstRowLastColumn="0" w:lastRowFirstColumn="0" w:lastRowLastColumn="0"/>
            </w:pPr>
            <w:r>
              <w:t>14</w:t>
            </w:r>
          </w:p>
        </w:tc>
      </w:tr>
      <w:tr w:rsidR="00C306A8" w14:paraId="51B4E974" w14:textId="77777777">
        <w:tc>
          <w:tcPr>
            <w:cnfStyle w:val="001000000000" w:firstRow="0" w:lastRow="0" w:firstColumn="1" w:lastColumn="0" w:oddVBand="0" w:evenVBand="0" w:oddHBand="0" w:evenHBand="0" w:firstRowFirstColumn="0" w:firstRowLastColumn="0" w:lastRowFirstColumn="0" w:lastRowLastColumn="0"/>
            <w:tcW w:w="4820" w:type="dxa"/>
          </w:tcPr>
          <w:p w14:paraId="41BF7452" w14:textId="6B338C82" w:rsidR="00C306A8" w:rsidRDefault="00C306A8">
            <w:pPr>
              <w:keepNext/>
              <w:ind w:left="170"/>
            </w:pPr>
            <w:r>
              <w:t xml:space="preserve">Progress with delivery of a Port Rail Shuttle – </w:t>
            </w:r>
            <w:r w:rsidR="00E54309">
              <w:br/>
            </w:r>
            <w:r>
              <w:t>percentage of project funding expended</w:t>
            </w:r>
          </w:p>
        </w:tc>
        <w:tc>
          <w:tcPr>
            <w:tcW w:w="964" w:type="dxa"/>
          </w:tcPr>
          <w:p w14:paraId="68DE50EB"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3D32D20" w14:textId="77777777" w:rsidR="00C306A8" w:rsidRDefault="00C306A8">
            <w:pPr>
              <w:cnfStyle w:val="000000000000" w:firstRow="0" w:lastRow="0" w:firstColumn="0" w:lastColumn="0" w:oddVBand="0" w:evenVBand="0" w:oddHBand="0" w:evenHBand="0" w:firstRowFirstColumn="0" w:firstRowLastColumn="0" w:lastRowFirstColumn="0" w:lastRowLastColumn="0"/>
            </w:pPr>
            <w:r>
              <w:t>87</w:t>
            </w:r>
          </w:p>
        </w:tc>
        <w:tc>
          <w:tcPr>
            <w:tcW w:w="964" w:type="dxa"/>
          </w:tcPr>
          <w:p w14:paraId="4776F1BA" w14:textId="77777777" w:rsidR="00C306A8" w:rsidRDefault="00C306A8">
            <w:pPr>
              <w:cnfStyle w:val="000000000000" w:firstRow="0" w:lastRow="0" w:firstColumn="0" w:lastColumn="0" w:oddVBand="0" w:evenVBand="0" w:oddHBand="0" w:evenHBand="0" w:firstRowFirstColumn="0" w:firstRowLastColumn="0" w:lastRowFirstColumn="0" w:lastRowLastColumn="0"/>
            </w:pPr>
            <w:r>
              <w:t>82</w:t>
            </w:r>
          </w:p>
        </w:tc>
        <w:tc>
          <w:tcPr>
            <w:tcW w:w="964" w:type="dxa"/>
          </w:tcPr>
          <w:p w14:paraId="392442E3" w14:textId="77777777" w:rsidR="00C306A8" w:rsidRDefault="00C306A8">
            <w:pPr>
              <w:cnfStyle w:val="000000000000" w:firstRow="0" w:lastRow="0" w:firstColumn="0" w:lastColumn="0" w:oddVBand="0" w:evenVBand="0" w:oddHBand="0" w:evenHBand="0" w:firstRowFirstColumn="0" w:firstRowLastColumn="0" w:lastRowFirstColumn="0" w:lastRowLastColumn="0"/>
            </w:pPr>
            <w:r>
              <w:t>89</w:t>
            </w:r>
          </w:p>
        </w:tc>
        <w:tc>
          <w:tcPr>
            <w:tcW w:w="964" w:type="dxa"/>
          </w:tcPr>
          <w:p w14:paraId="3F26E1E5" w14:textId="77777777" w:rsidR="00C306A8" w:rsidRDefault="00C306A8">
            <w:pPr>
              <w:cnfStyle w:val="000000000000" w:firstRow="0" w:lastRow="0" w:firstColumn="0" w:lastColumn="0" w:oddVBand="0" w:evenVBand="0" w:oddHBand="0" w:evenHBand="0" w:firstRowFirstColumn="0" w:firstRowLastColumn="0" w:lastRowFirstColumn="0" w:lastRowLastColumn="0"/>
            </w:pPr>
            <w:r>
              <w:t>67</w:t>
            </w:r>
          </w:p>
        </w:tc>
      </w:tr>
      <w:tr w:rsidR="00C306A8" w14:paraId="213DF79C"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46CEA1F" w14:textId="77777777" w:rsidR="00C306A8" w:rsidRDefault="00C306A8">
            <w:pPr>
              <w:ind w:left="170"/>
            </w:pPr>
            <w:r>
              <w:rPr>
                <w:i/>
              </w:rPr>
              <w:t>The 2025-26 expected outcome is lower than the 2025-26 target due to adjustments to contractual payments to third parties in response to their expected timing for project delivery, noting that government has completed its obligations for project delivery.</w:t>
            </w:r>
          </w:p>
          <w:p w14:paraId="015E7F15" w14:textId="77777777" w:rsidR="00C306A8" w:rsidRDefault="00C306A8">
            <w:pPr>
              <w:ind w:left="170"/>
            </w:pPr>
            <w:r>
              <w:rPr>
                <w:i/>
              </w:rPr>
              <w:t>The lower 2026-27 target reflects adjustments to contractual payments to third parties in response to their expected timing for project delivery, noting that government has completed its obligations for delivery.</w:t>
            </w:r>
          </w:p>
        </w:tc>
      </w:tr>
      <w:tr w:rsidR="00C306A8" w14:paraId="6A47330E" w14:textId="77777777">
        <w:tc>
          <w:tcPr>
            <w:cnfStyle w:val="001000000000" w:firstRow="0" w:lastRow="0" w:firstColumn="1" w:lastColumn="0" w:oddVBand="0" w:evenVBand="0" w:oddHBand="0" w:evenHBand="0" w:firstRowFirstColumn="0" w:firstRowLastColumn="0" w:lastRowFirstColumn="0" w:lastRowLastColumn="0"/>
            <w:tcW w:w="4820" w:type="dxa"/>
          </w:tcPr>
          <w:p w14:paraId="6150F13D" w14:textId="77777777" w:rsidR="00C306A8" w:rsidRDefault="00C306A8">
            <w:pPr>
              <w:keepNext/>
              <w:ind w:left="170"/>
            </w:pPr>
            <w:r>
              <w:t>Structures assessed using the Heavy Vehicle Structural Assessment Permit System for Class 1 and Class 2 Heavy Vehicle Applications</w:t>
            </w:r>
          </w:p>
        </w:tc>
        <w:tc>
          <w:tcPr>
            <w:tcW w:w="964" w:type="dxa"/>
          </w:tcPr>
          <w:p w14:paraId="7943A72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36FB026"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EC571C0"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57A9CBAF" w14:textId="77777777" w:rsidR="00C306A8" w:rsidRDefault="00C306A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27F7D8D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3B68191C"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487E96B2" w14:textId="008F8453" w:rsidR="00C306A8" w:rsidRDefault="00C306A8">
            <w:pPr>
              <w:ind w:left="170"/>
            </w:pPr>
            <w:r>
              <w:rPr>
                <w:i/>
              </w:rPr>
              <w:t xml:space="preserve">This performance measure renames the 2025-26 performance measure </w:t>
            </w:r>
            <w:r w:rsidR="00AD4833">
              <w:rPr>
                <w:i/>
              </w:rPr>
              <w:t>‘</w:t>
            </w:r>
            <w:r>
              <w:rPr>
                <w:i/>
              </w:rPr>
              <w:t>Structures assessed by new automated system for Class 1 Heavy Vehicle Applications</w:t>
            </w:r>
            <w:r w:rsidR="00AD4833">
              <w:rPr>
                <w:i/>
              </w:rPr>
              <w:t>’</w:t>
            </w:r>
            <w:r>
              <w:rPr>
                <w:i/>
              </w:rPr>
              <w:t>. The renamed measure reports on the same activity as the previous measure, however, has been amended to include Class 2 Heavy Vehicles.</w:t>
            </w:r>
          </w:p>
        </w:tc>
      </w:tr>
      <w:tr w:rsidR="00C306A8" w:rsidRPr="00261C8D" w14:paraId="1CB61318"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239816F9" w14:textId="77777777" w:rsidR="00C306A8" w:rsidRPr="00261C8D" w:rsidRDefault="00C306A8">
            <w:pPr>
              <w:keepNext/>
              <w:rPr>
                <w:b/>
              </w:rPr>
            </w:pPr>
            <w:r w:rsidRPr="00261C8D">
              <w:rPr>
                <w:b/>
              </w:rPr>
              <w:t>Quality</w:t>
            </w:r>
          </w:p>
        </w:tc>
      </w:tr>
      <w:tr w:rsidR="00C306A8" w14:paraId="2B120FAD"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00741E2" w14:textId="77777777" w:rsidR="00C306A8" w:rsidRDefault="00C306A8">
            <w:pPr>
              <w:ind w:left="170"/>
            </w:pPr>
            <w:r>
              <w:t>Road network permitted for use by high productivity freight vehicles</w:t>
            </w:r>
          </w:p>
        </w:tc>
        <w:tc>
          <w:tcPr>
            <w:tcW w:w="964" w:type="dxa"/>
            <w:tcBorders>
              <w:bottom w:val="single" w:sz="6" w:space="0" w:color="auto"/>
            </w:tcBorders>
          </w:tcPr>
          <w:p w14:paraId="01773D7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67EBBB3" w14:textId="77777777" w:rsidR="00C306A8" w:rsidRDefault="00C306A8">
            <w:pPr>
              <w:cnfStyle w:val="000000000000" w:firstRow="0" w:lastRow="0" w:firstColumn="0" w:lastColumn="0" w:oddVBand="0" w:evenVBand="0" w:oddHBand="0" w:evenHBand="0" w:firstRowFirstColumn="0" w:firstRowLastColumn="0" w:lastRowFirstColumn="0" w:lastRowLastColumn="0"/>
            </w:pPr>
            <w:r>
              <w:t>34</w:t>
            </w:r>
          </w:p>
        </w:tc>
        <w:tc>
          <w:tcPr>
            <w:tcW w:w="964" w:type="dxa"/>
            <w:tcBorders>
              <w:bottom w:val="single" w:sz="6" w:space="0" w:color="auto"/>
            </w:tcBorders>
          </w:tcPr>
          <w:p w14:paraId="56F3B352" w14:textId="77777777" w:rsidR="00C306A8" w:rsidRDefault="00C306A8">
            <w:pPr>
              <w:cnfStyle w:val="000000000000" w:firstRow="0" w:lastRow="0" w:firstColumn="0" w:lastColumn="0" w:oddVBand="0" w:evenVBand="0" w:oddHBand="0" w:evenHBand="0" w:firstRowFirstColumn="0" w:firstRowLastColumn="0" w:lastRowFirstColumn="0" w:lastRowLastColumn="0"/>
            </w:pPr>
            <w:r>
              <w:t>34</w:t>
            </w:r>
          </w:p>
        </w:tc>
        <w:tc>
          <w:tcPr>
            <w:tcW w:w="964" w:type="dxa"/>
            <w:tcBorders>
              <w:bottom w:val="single" w:sz="6" w:space="0" w:color="auto"/>
            </w:tcBorders>
          </w:tcPr>
          <w:p w14:paraId="5E33284E" w14:textId="77777777" w:rsidR="00C306A8" w:rsidRDefault="00C306A8">
            <w:pPr>
              <w:cnfStyle w:val="000000000000" w:firstRow="0" w:lastRow="0" w:firstColumn="0" w:lastColumn="0" w:oddVBand="0" w:evenVBand="0" w:oddHBand="0" w:evenHBand="0" w:firstRowFirstColumn="0" w:firstRowLastColumn="0" w:lastRowFirstColumn="0" w:lastRowLastColumn="0"/>
            </w:pPr>
            <w:r>
              <w:t>34</w:t>
            </w:r>
          </w:p>
        </w:tc>
        <w:tc>
          <w:tcPr>
            <w:tcW w:w="964" w:type="dxa"/>
            <w:tcBorders>
              <w:bottom w:val="single" w:sz="6" w:space="0" w:color="auto"/>
            </w:tcBorders>
          </w:tcPr>
          <w:p w14:paraId="6B9E182B" w14:textId="77777777" w:rsidR="00C306A8" w:rsidRDefault="00C306A8">
            <w:pPr>
              <w:cnfStyle w:val="000000000000" w:firstRow="0" w:lastRow="0" w:firstColumn="0" w:lastColumn="0" w:oddVBand="0" w:evenVBand="0" w:oddHBand="0" w:evenHBand="0" w:firstRowFirstColumn="0" w:firstRowLastColumn="0" w:lastRowFirstColumn="0" w:lastRowLastColumn="0"/>
            </w:pPr>
            <w:r>
              <w:t>34</w:t>
            </w:r>
          </w:p>
        </w:tc>
      </w:tr>
      <w:tr w:rsidR="00C306A8" w:rsidRPr="00261C8D" w14:paraId="0D6C8E72"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EF0229B" w14:textId="77777777" w:rsidR="00C306A8" w:rsidRPr="00261C8D" w:rsidRDefault="00C306A8">
            <w:pPr>
              <w:keepNext/>
              <w:rPr>
                <w:b/>
              </w:rPr>
            </w:pPr>
            <w:r w:rsidRPr="00261C8D">
              <w:rPr>
                <w:b/>
              </w:rPr>
              <w:t>Cost</w:t>
            </w:r>
          </w:p>
        </w:tc>
      </w:tr>
      <w:tr w:rsidR="00C306A8" w14:paraId="26D18F20" w14:textId="77777777">
        <w:tc>
          <w:tcPr>
            <w:cnfStyle w:val="001000000000" w:firstRow="0" w:lastRow="0" w:firstColumn="1" w:lastColumn="0" w:oddVBand="0" w:evenVBand="0" w:oddHBand="0" w:evenHBand="0" w:firstRowFirstColumn="0" w:firstRowLastColumn="0" w:lastRowFirstColumn="0" w:lastRowLastColumn="0"/>
            <w:tcW w:w="4820" w:type="dxa"/>
          </w:tcPr>
          <w:p w14:paraId="18A161E4" w14:textId="77777777" w:rsidR="00C306A8" w:rsidRDefault="00C306A8">
            <w:pPr>
              <w:keepNext/>
              <w:ind w:left="170"/>
            </w:pPr>
            <w:r>
              <w:t>Total output cost</w:t>
            </w:r>
          </w:p>
        </w:tc>
        <w:tc>
          <w:tcPr>
            <w:tcW w:w="964" w:type="dxa"/>
          </w:tcPr>
          <w:p w14:paraId="02351D55"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AB2ED84" w14:textId="77777777" w:rsidR="00C306A8" w:rsidRDefault="00C306A8">
            <w:pPr>
              <w:cnfStyle w:val="000000000000" w:firstRow="0" w:lastRow="0" w:firstColumn="0" w:lastColumn="0" w:oddVBand="0" w:evenVBand="0" w:oddHBand="0" w:evenHBand="0" w:firstRowFirstColumn="0" w:firstRowLastColumn="0" w:lastRowFirstColumn="0" w:lastRowLastColumn="0"/>
            </w:pPr>
            <w:r>
              <w:t>104.6</w:t>
            </w:r>
          </w:p>
        </w:tc>
        <w:tc>
          <w:tcPr>
            <w:tcW w:w="964" w:type="dxa"/>
          </w:tcPr>
          <w:p w14:paraId="4D4EBE2A" w14:textId="77777777" w:rsidR="00C306A8" w:rsidRDefault="00C306A8">
            <w:pPr>
              <w:cnfStyle w:val="000000000000" w:firstRow="0" w:lastRow="0" w:firstColumn="0" w:lastColumn="0" w:oddVBand="0" w:evenVBand="0" w:oddHBand="0" w:evenHBand="0" w:firstRowFirstColumn="0" w:firstRowLastColumn="0" w:lastRowFirstColumn="0" w:lastRowLastColumn="0"/>
            </w:pPr>
            <w:r>
              <w:t>84.9</w:t>
            </w:r>
          </w:p>
        </w:tc>
        <w:tc>
          <w:tcPr>
            <w:tcW w:w="964" w:type="dxa"/>
          </w:tcPr>
          <w:p w14:paraId="60E24099" w14:textId="77777777" w:rsidR="00C306A8" w:rsidRDefault="00C306A8">
            <w:pPr>
              <w:cnfStyle w:val="000000000000" w:firstRow="0" w:lastRow="0" w:firstColumn="0" w:lastColumn="0" w:oddVBand="0" w:evenVBand="0" w:oddHBand="0" w:evenHBand="0" w:firstRowFirstColumn="0" w:firstRowLastColumn="0" w:lastRowFirstColumn="0" w:lastRowLastColumn="0"/>
            </w:pPr>
            <w:r>
              <w:t>85.3</w:t>
            </w:r>
          </w:p>
        </w:tc>
        <w:tc>
          <w:tcPr>
            <w:tcW w:w="964" w:type="dxa"/>
          </w:tcPr>
          <w:p w14:paraId="62D52AA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100.8</w:t>
            </w:r>
          </w:p>
        </w:tc>
      </w:tr>
      <w:tr w:rsidR="00C306A8" w14:paraId="6E420002" w14:textId="77777777" w:rsidTr="00261C8D">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506C8548" w14:textId="1B7CC77C" w:rsidR="00C306A8" w:rsidRDefault="0044149C">
            <w:pPr>
              <w:ind w:left="170"/>
            </w:pPr>
            <w:r>
              <w:rPr>
                <w:i/>
              </w:rPr>
              <w:t xml:space="preserve">The higher 2026-27 target reflects new funding in the </w:t>
            </w:r>
            <w:r w:rsidRPr="00E54309">
              <w:t>2026-27 Budget</w:t>
            </w:r>
            <w:r>
              <w:rPr>
                <w:i/>
              </w:rPr>
              <w:t xml:space="preserve"> for Regional Rail Freight Infrastructure Maintenance which sustains network performance and enables continued modal shift from road to rail.</w:t>
            </w:r>
          </w:p>
        </w:tc>
      </w:tr>
    </w:tbl>
    <w:p w14:paraId="7507394B" w14:textId="77777777" w:rsidR="00C306A8" w:rsidRDefault="00C306A8" w:rsidP="00C306A8">
      <w:pPr>
        <w:pStyle w:val="Source"/>
      </w:pPr>
      <w:r>
        <w:t>Source: Department of Transport and Planning</w:t>
      </w:r>
    </w:p>
    <w:p w14:paraId="312DFA18" w14:textId="77777777" w:rsidR="00C306A8" w:rsidRDefault="00C306A8" w:rsidP="00C306A8">
      <w:pPr>
        <w:pStyle w:val="Heading3"/>
      </w:pPr>
      <w:r>
        <w:t>Precincts and Suburbs</w:t>
      </w:r>
      <w:r>
        <w:tab/>
        <w:t>(2026-27: $74.3 million)</w:t>
      </w:r>
    </w:p>
    <w:p w14:paraId="4BE02A55" w14:textId="77777777" w:rsidR="00C306A8" w:rsidRPr="009A08AD" w:rsidRDefault="00C306A8" w:rsidP="00C306A8">
      <w:pPr>
        <w:spacing w:after="120"/>
      </w:pPr>
      <w:r w:rsidRPr="009A08AD">
        <w:t>This output delivers activities to build vibrant and prosperous communities that drive economic growth, create jobs and improve liveability for all Victorians. The Department works collaboratively with government, industry, local councils, business, community organisations and other stakeholders to identify opportunities for the development and delivery of infrastructure, services and initiatives.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5E333A4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71C4E0E2" w14:textId="77777777" w:rsidR="00C306A8" w:rsidRDefault="00C306A8">
            <w:r>
              <w:t>Performance measure</w:t>
            </w:r>
          </w:p>
        </w:tc>
        <w:tc>
          <w:tcPr>
            <w:tcW w:w="964" w:type="dxa"/>
          </w:tcPr>
          <w:p w14:paraId="28F42E6C"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AA5A38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F7E3D2A"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8FD620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BA6846E"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14:paraId="0F993878"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E5009EA" w14:textId="77777777" w:rsidR="00C306A8" w:rsidRPr="00261C8D" w:rsidRDefault="00C306A8">
            <w:pPr>
              <w:keepNext/>
              <w:rPr>
                <w:b/>
              </w:rPr>
            </w:pPr>
            <w:r w:rsidRPr="00261C8D">
              <w:rPr>
                <w:b/>
              </w:rPr>
              <w:t>Quantity</w:t>
            </w:r>
          </w:p>
        </w:tc>
      </w:tr>
      <w:tr w:rsidR="00C306A8" w14:paraId="42F93FD3" w14:textId="77777777">
        <w:tc>
          <w:tcPr>
            <w:cnfStyle w:val="001000000000" w:firstRow="0" w:lastRow="0" w:firstColumn="1" w:lastColumn="0" w:oddVBand="0" w:evenVBand="0" w:oddHBand="0" w:evenHBand="0" w:firstRowFirstColumn="0" w:firstRowLastColumn="0" w:lastRowFirstColumn="0" w:lastRowLastColumn="0"/>
            <w:tcW w:w="4820" w:type="dxa"/>
          </w:tcPr>
          <w:p w14:paraId="0417FAC9" w14:textId="77777777" w:rsidR="00C306A8" w:rsidRDefault="00C306A8">
            <w:pPr>
              <w:keepNext/>
              <w:ind w:left="170"/>
            </w:pPr>
            <w:r>
              <w:t>Precincts in the design or delivery phase</w:t>
            </w:r>
          </w:p>
        </w:tc>
        <w:tc>
          <w:tcPr>
            <w:tcW w:w="964" w:type="dxa"/>
          </w:tcPr>
          <w:p w14:paraId="26FCA46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53C8DF0"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3F1E0DB3"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7F0059E0"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c>
          <w:tcPr>
            <w:tcW w:w="964" w:type="dxa"/>
          </w:tcPr>
          <w:p w14:paraId="4B84DC03" w14:textId="77777777" w:rsidR="00C306A8" w:rsidRDefault="00C306A8">
            <w:pPr>
              <w:cnfStyle w:val="000000000000" w:firstRow="0" w:lastRow="0" w:firstColumn="0" w:lastColumn="0" w:oddVBand="0" w:evenVBand="0" w:oddHBand="0" w:evenHBand="0" w:firstRowFirstColumn="0" w:firstRowLastColumn="0" w:lastRowFirstColumn="0" w:lastRowLastColumn="0"/>
            </w:pPr>
            <w:r>
              <w:t>7</w:t>
            </w:r>
          </w:p>
        </w:tc>
      </w:tr>
      <w:tr w:rsidR="00C306A8" w14:paraId="2B6A03A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6F12483B" w14:textId="7DFD3209" w:rsidR="00C306A8" w:rsidRDefault="00C306A8">
            <w:pPr>
              <w:ind w:left="170"/>
            </w:pPr>
            <w:r>
              <w:rPr>
                <w:i/>
              </w:rPr>
              <w:t>The lower 2026-27 target reflects the number of projects scheduled for completion</w:t>
            </w:r>
            <w:r w:rsidR="20FF10AA" w:rsidRPr="51F0B12A">
              <w:rPr>
                <w:i/>
                <w:iCs/>
              </w:rPr>
              <w:t>.</w:t>
            </w:r>
            <w:r>
              <w:rPr>
                <w:i/>
              </w:rPr>
              <w:t xml:space="preserve"> </w:t>
            </w:r>
          </w:p>
        </w:tc>
      </w:tr>
      <w:tr w:rsidR="00C306A8" w14:paraId="38F5809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D1C1AFB" w14:textId="77777777" w:rsidR="00C306A8" w:rsidRDefault="00C306A8">
            <w:pPr>
              <w:ind w:left="170"/>
            </w:pPr>
            <w:r>
              <w:t>Projects completed in accordance with approved milestones within the Growing Suburbs Fund funding agreements</w:t>
            </w:r>
          </w:p>
        </w:tc>
        <w:tc>
          <w:tcPr>
            <w:tcW w:w="964" w:type="dxa"/>
            <w:tcBorders>
              <w:bottom w:val="single" w:sz="6" w:space="0" w:color="auto"/>
            </w:tcBorders>
          </w:tcPr>
          <w:p w14:paraId="5A43D0D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6AEE69F"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ED255E7"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636475F"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B5CFA26" w14:textId="77777777" w:rsidR="00C306A8" w:rsidRDefault="00C306A8">
            <w:pPr>
              <w:cnfStyle w:val="000000000000" w:firstRow="0" w:lastRow="0" w:firstColumn="0" w:lastColumn="0" w:oddVBand="0" w:evenVBand="0" w:oddHBand="0" w:evenHBand="0" w:firstRowFirstColumn="0" w:firstRowLastColumn="0" w:lastRowFirstColumn="0" w:lastRowLastColumn="0"/>
            </w:pPr>
            <w:r>
              <w:t>80</w:t>
            </w:r>
          </w:p>
        </w:tc>
      </w:tr>
      <w:tr w:rsidR="00C306A8" w:rsidRPr="00261C8D" w14:paraId="6C877F8F"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7E506033" w14:textId="77777777" w:rsidR="00C306A8" w:rsidRPr="00261C8D" w:rsidRDefault="00C306A8">
            <w:pPr>
              <w:keepNext/>
              <w:rPr>
                <w:b/>
              </w:rPr>
            </w:pPr>
            <w:r w:rsidRPr="00261C8D">
              <w:rPr>
                <w:b/>
              </w:rPr>
              <w:t>Timeliness</w:t>
            </w:r>
          </w:p>
        </w:tc>
      </w:tr>
      <w:tr w:rsidR="00C306A8" w14:paraId="55205728" w14:textId="77777777">
        <w:tc>
          <w:tcPr>
            <w:cnfStyle w:val="001000000000" w:firstRow="0" w:lastRow="0" w:firstColumn="1" w:lastColumn="0" w:oddVBand="0" w:evenVBand="0" w:oddHBand="0" w:evenHBand="0" w:firstRowFirstColumn="0" w:firstRowLastColumn="0" w:lastRowFirstColumn="0" w:lastRowLastColumn="0"/>
            <w:tcW w:w="4820" w:type="dxa"/>
          </w:tcPr>
          <w:p w14:paraId="253574AE" w14:textId="77777777" w:rsidR="00C306A8" w:rsidRDefault="00C306A8">
            <w:pPr>
              <w:keepNext/>
              <w:ind w:left="170"/>
            </w:pPr>
            <w:r>
              <w:t>Delivery of financial obligations for departmental Public Private Partnership projects in accordance with contractual timelines</w:t>
            </w:r>
          </w:p>
        </w:tc>
        <w:tc>
          <w:tcPr>
            <w:tcW w:w="964" w:type="dxa"/>
          </w:tcPr>
          <w:p w14:paraId="0ECA081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7A400E9"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69C3E633"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1B632099" w14:textId="77777777" w:rsidR="00C306A8" w:rsidRDefault="00C306A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4E660E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5E8E5F11"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54BC802F" w14:textId="2A3C6A48" w:rsidR="00C306A8" w:rsidRDefault="00C306A8">
            <w:pPr>
              <w:ind w:left="170"/>
            </w:pPr>
            <w:r>
              <w:rPr>
                <w:i/>
              </w:rPr>
              <w:t>The 2025</w:t>
            </w:r>
            <w:r w:rsidR="00383570">
              <w:rPr>
                <w:i/>
              </w:rPr>
              <w:t>-</w:t>
            </w:r>
            <w:r>
              <w:rPr>
                <w:i/>
              </w:rPr>
              <w:t>26 expected outcome is higher than the 2025</w:t>
            </w:r>
            <w:r w:rsidR="00383570">
              <w:rPr>
                <w:i/>
              </w:rPr>
              <w:t>-</w:t>
            </w:r>
            <w:r>
              <w:rPr>
                <w:i/>
              </w:rPr>
              <w:t>26 target due to reduced complexity in the payment validation process.</w:t>
            </w:r>
          </w:p>
        </w:tc>
      </w:tr>
      <w:tr w:rsidR="00C306A8" w14:paraId="23949B15" w14:textId="77777777">
        <w:tc>
          <w:tcPr>
            <w:cnfStyle w:val="001000000000" w:firstRow="0" w:lastRow="0" w:firstColumn="1" w:lastColumn="0" w:oddVBand="0" w:evenVBand="0" w:oddHBand="0" w:evenHBand="0" w:firstRowFirstColumn="0" w:firstRowLastColumn="0" w:lastRowFirstColumn="0" w:lastRowLastColumn="0"/>
            <w:tcW w:w="4820" w:type="dxa"/>
          </w:tcPr>
          <w:p w14:paraId="16E200C5" w14:textId="77777777" w:rsidR="00C306A8" w:rsidRDefault="00C306A8">
            <w:pPr>
              <w:keepNext/>
              <w:ind w:left="170"/>
            </w:pPr>
            <w:r>
              <w:lastRenderedPageBreak/>
              <w:t>Percentage of Pick my Park grant agreements issued within 90 days of approval</w:t>
            </w:r>
          </w:p>
        </w:tc>
        <w:tc>
          <w:tcPr>
            <w:tcW w:w="964" w:type="dxa"/>
          </w:tcPr>
          <w:p w14:paraId="7744472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169945C" w14:textId="77777777" w:rsidR="00C306A8" w:rsidRDefault="00C306A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A6D391C"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B3496AD"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B854AD4" w14:textId="77777777" w:rsidR="00C306A8" w:rsidRDefault="00C306A8">
            <w:pPr>
              <w:cnfStyle w:val="000000000000" w:firstRow="0" w:lastRow="0" w:firstColumn="0" w:lastColumn="0" w:oddVBand="0" w:evenVBand="0" w:oddHBand="0" w:evenHBand="0" w:firstRowFirstColumn="0" w:firstRowLastColumn="0" w:lastRowFirstColumn="0" w:lastRowLastColumn="0"/>
            </w:pPr>
            <w:r>
              <w:t>nm</w:t>
            </w:r>
          </w:p>
        </w:tc>
      </w:tr>
      <w:tr w:rsidR="00C306A8" w14:paraId="17392D8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70E35F8" w14:textId="529D0507" w:rsidR="00C306A8" w:rsidRDefault="00C306A8">
            <w:pPr>
              <w:ind w:left="170"/>
            </w:pPr>
            <w:r>
              <w:rPr>
                <w:i/>
              </w:rPr>
              <w:t xml:space="preserve">New performance measure for 2026-27 to reflect activities </w:t>
            </w:r>
            <w:r w:rsidR="52144D35" w:rsidRPr="2D30CCF6">
              <w:rPr>
                <w:i/>
                <w:iCs/>
              </w:rPr>
              <w:t xml:space="preserve">to be </w:t>
            </w:r>
            <w:r>
              <w:rPr>
                <w:i/>
              </w:rPr>
              <w:t>delivered under the Pick my Park program.</w:t>
            </w:r>
          </w:p>
        </w:tc>
      </w:tr>
      <w:tr w:rsidR="00C306A8" w:rsidRPr="00261C8D" w14:paraId="0D3011A5"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07957ED9" w14:textId="77777777" w:rsidR="00C306A8" w:rsidRPr="00261C8D" w:rsidRDefault="00C306A8">
            <w:pPr>
              <w:keepNext/>
              <w:rPr>
                <w:b/>
              </w:rPr>
            </w:pPr>
            <w:r w:rsidRPr="00261C8D">
              <w:rPr>
                <w:b/>
              </w:rPr>
              <w:t>Cost</w:t>
            </w:r>
          </w:p>
        </w:tc>
      </w:tr>
      <w:tr w:rsidR="00C306A8" w14:paraId="32A6B10C" w14:textId="77777777" w:rsidTr="00BE22E7">
        <w:tc>
          <w:tcPr>
            <w:cnfStyle w:val="001000000000" w:firstRow="0" w:lastRow="0" w:firstColumn="1" w:lastColumn="0" w:oddVBand="0" w:evenVBand="0" w:oddHBand="0" w:evenHBand="0" w:firstRowFirstColumn="0" w:firstRowLastColumn="0" w:lastRowFirstColumn="0" w:lastRowLastColumn="0"/>
            <w:tcW w:w="4820" w:type="dxa"/>
          </w:tcPr>
          <w:p w14:paraId="08218D02" w14:textId="77777777" w:rsidR="00C306A8" w:rsidRDefault="00C306A8">
            <w:pPr>
              <w:keepNext/>
              <w:ind w:left="170"/>
            </w:pPr>
            <w:r>
              <w:t>Total output cost</w:t>
            </w:r>
          </w:p>
        </w:tc>
        <w:tc>
          <w:tcPr>
            <w:tcW w:w="964" w:type="dxa"/>
          </w:tcPr>
          <w:p w14:paraId="0A2B43B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8D0BF75" w14:textId="77777777" w:rsidR="00C306A8" w:rsidRDefault="00C306A8">
            <w:pPr>
              <w:cnfStyle w:val="000000000000" w:firstRow="0" w:lastRow="0" w:firstColumn="0" w:lastColumn="0" w:oddVBand="0" w:evenVBand="0" w:oddHBand="0" w:evenHBand="0" w:firstRowFirstColumn="0" w:firstRowLastColumn="0" w:lastRowFirstColumn="0" w:lastRowLastColumn="0"/>
            </w:pPr>
            <w:r>
              <w:t>74.3</w:t>
            </w:r>
          </w:p>
        </w:tc>
        <w:tc>
          <w:tcPr>
            <w:tcW w:w="964" w:type="dxa"/>
          </w:tcPr>
          <w:p w14:paraId="3B4DC365" w14:textId="0604848A" w:rsidR="00C306A8" w:rsidRDefault="00C306A8">
            <w:pPr>
              <w:cnfStyle w:val="000000000000" w:firstRow="0" w:lastRow="0" w:firstColumn="0" w:lastColumn="0" w:oddVBand="0" w:evenVBand="0" w:oddHBand="0" w:evenHBand="0" w:firstRowFirstColumn="0" w:firstRowLastColumn="0" w:lastRowFirstColumn="0" w:lastRowLastColumn="0"/>
            </w:pPr>
            <w:r>
              <w:t>100</w:t>
            </w:r>
            <w:r w:rsidR="0044149C">
              <w:t>.0</w:t>
            </w:r>
          </w:p>
        </w:tc>
        <w:tc>
          <w:tcPr>
            <w:tcW w:w="964" w:type="dxa"/>
          </w:tcPr>
          <w:p w14:paraId="314DD601" w14:textId="77777777" w:rsidR="00C306A8" w:rsidRDefault="00C306A8">
            <w:pPr>
              <w:cnfStyle w:val="000000000000" w:firstRow="0" w:lastRow="0" w:firstColumn="0" w:lastColumn="0" w:oddVBand="0" w:evenVBand="0" w:oddHBand="0" w:evenHBand="0" w:firstRowFirstColumn="0" w:firstRowLastColumn="0" w:lastRowFirstColumn="0" w:lastRowLastColumn="0"/>
            </w:pPr>
            <w:r>
              <w:t>125.1</w:t>
            </w:r>
          </w:p>
        </w:tc>
        <w:tc>
          <w:tcPr>
            <w:tcW w:w="964" w:type="dxa"/>
          </w:tcPr>
          <w:p w14:paraId="1217B5D0" w14:textId="77777777" w:rsidR="00C306A8" w:rsidRDefault="00C306A8">
            <w:pPr>
              <w:cnfStyle w:val="000000000000" w:firstRow="0" w:lastRow="0" w:firstColumn="0" w:lastColumn="0" w:oddVBand="0" w:evenVBand="0" w:oddHBand="0" w:evenHBand="0" w:firstRowFirstColumn="0" w:firstRowLastColumn="0" w:lastRowFirstColumn="0" w:lastRowLastColumn="0"/>
            </w:pPr>
            <w:r>
              <w:t>44.8</w:t>
            </w:r>
          </w:p>
        </w:tc>
      </w:tr>
      <w:tr w:rsidR="00BE22E7" w14:paraId="5401B467" w14:textId="77777777" w:rsidTr="00D10C89">
        <w:tc>
          <w:tcPr>
            <w:cnfStyle w:val="001000000000" w:firstRow="0" w:lastRow="0" w:firstColumn="1" w:lastColumn="0" w:oddVBand="0" w:evenVBand="0" w:oddHBand="0" w:evenHBand="0" w:firstRowFirstColumn="0" w:firstRowLastColumn="0" w:lastRowFirstColumn="0" w:lastRowLastColumn="0"/>
            <w:tcW w:w="9640" w:type="dxa"/>
            <w:gridSpan w:val="6"/>
            <w:tcBorders>
              <w:bottom w:val="nil"/>
            </w:tcBorders>
          </w:tcPr>
          <w:p w14:paraId="78F46CE0" w14:textId="0370B423" w:rsidR="00BE22E7" w:rsidRDefault="00BE22E7" w:rsidP="00BE22E7">
            <w:pPr>
              <w:ind w:left="170"/>
              <w:rPr>
                <w:i/>
              </w:rPr>
            </w:pPr>
            <w:r w:rsidRPr="00F5556A">
              <w:rPr>
                <w:i/>
              </w:rPr>
              <w:t>The 2025-26 expected outcome is lower than the 2025-26 target due to the revised funding profile of Commonwealth Housing Support Package works</w:t>
            </w:r>
            <w:r>
              <w:rPr>
                <w:i/>
              </w:rPr>
              <w:t>,</w:t>
            </w:r>
            <w:r w:rsidRPr="00F5556A">
              <w:rPr>
                <w:i/>
              </w:rPr>
              <w:t xml:space="preserve"> which funds critical infrastructure works for housing supply</w:t>
            </w:r>
            <w:r>
              <w:rPr>
                <w:i/>
              </w:rPr>
              <w:t>,</w:t>
            </w:r>
            <w:r w:rsidRPr="00F5556A">
              <w:rPr>
                <w:i/>
              </w:rPr>
              <w:t xml:space="preserve"> and Pick My Park program</w:t>
            </w:r>
            <w:r w:rsidR="22901BBA" w:rsidRPr="246858F8">
              <w:rPr>
                <w:i/>
                <w:iCs/>
              </w:rPr>
              <w:t>.</w:t>
            </w:r>
            <w:r w:rsidRPr="00F5556A">
              <w:rPr>
                <w:i/>
              </w:rPr>
              <w:t xml:space="preserve"> </w:t>
            </w:r>
          </w:p>
        </w:tc>
      </w:tr>
      <w:tr w:rsidR="00C306A8" w14:paraId="00B57BE9" w14:textId="77777777" w:rsidTr="00D10C89">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3FE2F3F3" w14:textId="4FA9DEAE" w:rsidR="00C306A8" w:rsidRDefault="00DE2A61">
            <w:pPr>
              <w:ind w:left="170"/>
            </w:pPr>
            <w:r>
              <w:rPr>
                <w:i/>
              </w:rPr>
              <w:t>The lower 2026</w:t>
            </w:r>
            <w:r w:rsidR="00383570">
              <w:rPr>
                <w:i/>
              </w:rPr>
              <w:t>-</w:t>
            </w:r>
            <w:r>
              <w:rPr>
                <w:i/>
              </w:rPr>
              <w:t>27 target reflects the funding profile of Commonwealth Housing Support Package works and the revised funding profile of the Pick My Park program.</w:t>
            </w:r>
          </w:p>
        </w:tc>
      </w:tr>
    </w:tbl>
    <w:p w14:paraId="4D5F49D3" w14:textId="77777777" w:rsidR="00C306A8" w:rsidRDefault="00C306A8" w:rsidP="00C306A8">
      <w:pPr>
        <w:pStyle w:val="Source"/>
      </w:pPr>
      <w:r>
        <w:t>Source: Department of Transport and Planning</w:t>
      </w:r>
    </w:p>
    <w:p w14:paraId="5B9FF5A0" w14:textId="1715A2B1" w:rsidR="00C306A8" w:rsidRDefault="00C306A8" w:rsidP="00C306A8">
      <w:pPr>
        <w:pStyle w:val="Heading3"/>
      </w:pPr>
      <w:r>
        <w:t>Transport Infrastructure</w:t>
      </w:r>
      <w:r>
        <w:tab/>
        <w:t>(2026-27: $75</w:t>
      </w:r>
      <w:r w:rsidR="00141819">
        <w:t>.0</w:t>
      </w:r>
      <w:r>
        <w:t xml:space="preserve"> million)</w:t>
      </w:r>
    </w:p>
    <w:p w14:paraId="229ED57E" w14:textId="77777777" w:rsidR="00C306A8" w:rsidRPr="009A08AD" w:rsidRDefault="00C306A8" w:rsidP="00C306A8">
      <w:pPr>
        <w:spacing w:after="120"/>
      </w:pPr>
      <w:r w:rsidRPr="005E1D75">
        <w:t>This output delivers strategic transport infrastructure and planning initiatives to improve the transport system and transform the way that Victorians travel, to create more productive and liveable cities and regions.</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C306A8" w14:paraId="0B0E959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4270F87F" w14:textId="77777777" w:rsidR="00C306A8" w:rsidRDefault="00C306A8">
            <w:r>
              <w:t>Performance measure</w:t>
            </w:r>
          </w:p>
        </w:tc>
        <w:tc>
          <w:tcPr>
            <w:tcW w:w="964" w:type="dxa"/>
          </w:tcPr>
          <w:p w14:paraId="02FA030C" w14:textId="77777777" w:rsidR="00C306A8" w:rsidRDefault="00C306A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C538DD8" w14:textId="77777777" w:rsidR="00C306A8" w:rsidRDefault="00C306A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C7570F0"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07A6D06" w14:textId="77777777" w:rsidR="00C306A8" w:rsidRDefault="00C306A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3B53DBE" w14:textId="77777777" w:rsidR="00C306A8" w:rsidRDefault="00C306A8">
            <w:pPr>
              <w:cnfStyle w:val="100000000000" w:firstRow="1" w:lastRow="0" w:firstColumn="0" w:lastColumn="0" w:oddVBand="0" w:evenVBand="0" w:oddHBand="0" w:evenHBand="0" w:firstRowFirstColumn="0" w:firstRowLastColumn="0" w:lastRowFirstColumn="0" w:lastRowLastColumn="0"/>
            </w:pPr>
            <w:r>
              <w:t>2024-25 actual</w:t>
            </w:r>
          </w:p>
        </w:tc>
      </w:tr>
      <w:tr w:rsidR="00C306A8" w:rsidRPr="00261C8D" w14:paraId="329B82FA"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498C9E23" w14:textId="77777777" w:rsidR="00C306A8" w:rsidRPr="00261C8D" w:rsidRDefault="00C306A8">
            <w:pPr>
              <w:keepNext/>
              <w:rPr>
                <w:b/>
              </w:rPr>
            </w:pPr>
            <w:r w:rsidRPr="00261C8D">
              <w:rPr>
                <w:b/>
              </w:rPr>
              <w:t>Quantity</w:t>
            </w:r>
          </w:p>
        </w:tc>
      </w:tr>
      <w:tr w:rsidR="00C306A8" w14:paraId="51AE4B76" w14:textId="77777777">
        <w:tc>
          <w:tcPr>
            <w:cnfStyle w:val="001000000000" w:firstRow="0" w:lastRow="0" w:firstColumn="1" w:lastColumn="0" w:oddVBand="0" w:evenVBand="0" w:oddHBand="0" w:evenHBand="0" w:firstRowFirstColumn="0" w:firstRowLastColumn="0" w:lastRowFirstColumn="0" w:lastRowLastColumn="0"/>
            <w:tcW w:w="4820" w:type="dxa"/>
          </w:tcPr>
          <w:p w14:paraId="12FC77A1" w14:textId="77777777" w:rsidR="00C306A8" w:rsidRDefault="00C306A8">
            <w:pPr>
              <w:keepNext/>
              <w:ind w:left="170"/>
            </w:pPr>
            <w:r>
              <w:t>Major rail improvement projects completed: regional</w:t>
            </w:r>
          </w:p>
        </w:tc>
        <w:tc>
          <w:tcPr>
            <w:tcW w:w="964" w:type="dxa"/>
          </w:tcPr>
          <w:p w14:paraId="7A8627E9"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7B62057"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Pr>
          <w:p w14:paraId="71036578"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2A58B1D1"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27AA7745"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r>
      <w:tr w:rsidR="00C306A8" w14:paraId="6F06EF55"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2691CCF4" w14:textId="77777777" w:rsidR="00C306A8" w:rsidRDefault="00C306A8" w:rsidP="00E54309">
            <w:pPr>
              <w:keepNext/>
              <w:ind w:left="170"/>
            </w:pPr>
            <w:r>
              <w:rPr>
                <w:i/>
              </w:rPr>
              <w:t>The 2025-26 expected outcome is higher than the 2025-26 target due to the identification and delivery of additional works.</w:t>
            </w:r>
          </w:p>
          <w:p w14:paraId="42707360" w14:textId="77777777" w:rsidR="00C306A8" w:rsidRDefault="00C306A8">
            <w:pPr>
              <w:ind w:left="170"/>
            </w:pPr>
            <w:r>
              <w:rPr>
                <w:i/>
              </w:rPr>
              <w:t>The lower 2026-27 target reflects the number of projects scheduled for completion in 2026-27.</w:t>
            </w:r>
          </w:p>
        </w:tc>
      </w:tr>
      <w:tr w:rsidR="00C306A8" w14:paraId="20EE9684" w14:textId="77777777">
        <w:tc>
          <w:tcPr>
            <w:cnfStyle w:val="001000000000" w:firstRow="0" w:lastRow="0" w:firstColumn="1" w:lastColumn="0" w:oddVBand="0" w:evenVBand="0" w:oddHBand="0" w:evenHBand="0" w:firstRowFirstColumn="0" w:firstRowLastColumn="0" w:lastRowFirstColumn="0" w:lastRowLastColumn="0"/>
            <w:tcW w:w="4820" w:type="dxa"/>
          </w:tcPr>
          <w:p w14:paraId="78187853" w14:textId="77777777" w:rsidR="00C306A8" w:rsidRDefault="00C306A8">
            <w:pPr>
              <w:keepNext/>
              <w:ind w:left="170"/>
            </w:pPr>
            <w:r>
              <w:t>Major road improvement projects completed: metropolitan</w:t>
            </w:r>
          </w:p>
        </w:tc>
        <w:tc>
          <w:tcPr>
            <w:tcW w:w="964" w:type="dxa"/>
          </w:tcPr>
          <w:p w14:paraId="5DCD107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EFCCED7" w14:textId="77777777" w:rsidR="00C306A8" w:rsidRDefault="00C306A8">
            <w:pPr>
              <w:cnfStyle w:val="000000000000" w:firstRow="0" w:lastRow="0" w:firstColumn="0" w:lastColumn="0" w:oddVBand="0" w:evenVBand="0" w:oddHBand="0" w:evenHBand="0" w:firstRowFirstColumn="0" w:firstRowLastColumn="0" w:lastRowFirstColumn="0" w:lastRowLastColumn="0"/>
            </w:pPr>
            <w:r>
              <w:t>6</w:t>
            </w:r>
          </w:p>
        </w:tc>
        <w:tc>
          <w:tcPr>
            <w:tcW w:w="964" w:type="dxa"/>
          </w:tcPr>
          <w:p w14:paraId="6397D762" w14:textId="77777777" w:rsidR="00C306A8" w:rsidRDefault="00C306A8">
            <w:pPr>
              <w:cnfStyle w:val="000000000000" w:firstRow="0" w:lastRow="0" w:firstColumn="0" w:lastColumn="0" w:oddVBand="0" w:evenVBand="0" w:oddHBand="0" w:evenHBand="0" w:firstRowFirstColumn="0" w:firstRowLastColumn="0" w:lastRowFirstColumn="0" w:lastRowLastColumn="0"/>
            </w:pPr>
            <w:r>
              <w:t>1</w:t>
            </w:r>
          </w:p>
        </w:tc>
        <w:tc>
          <w:tcPr>
            <w:tcW w:w="964" w:type="dxa"/>
          </w:tcPr>
          <w:p w14:paraId="532EBD2B"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431BEA0C" w14:textId="77777777" w:rsidR="00C306A8" w:rsidRDefault="00C306A8">
            <w:pPr>
              <w:cnfStyle w:val="000000000000" w:firstRow="0" w:lastRow="0" w:firstColumn="0" w:lastColumn="0" w:oddVBand="0" w:evenVBand="0" w:oddHBand="0" w:evenHBand="0" w:firstRowFirstColumn="0" w:firstRowLastColumn="0" w:lastRowFirstColumn="0" w:lastRowLastColumn="0"/>
            </w:pPr>
            <w:r>
              <w:t>2</w:t>
            </w:r>
          </w:p>
        </w:tc>
      </w:tr>
      <w:tr w:rsidR="00C306A8" w14:paraId="69ED6CD1"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C111CB7" w14:textId="7E4AD98A" w:rsidR="00C306A8" w:rsidRDefault="00C306A8">
            <w:pPr>
              <w:ind w:left="170"/>
            </w:pPr>
            <w:r>
              <w:rPr>
                <w:i/>
              </w:rPr>
              <w:t>The 2025</w:t>
            </w:r>
            <w:r w:rsidR="00383570">
              <w:rPr>
                <w:i/>
              </w:rPr>
              <w:t>-</w:t>
            </w:r>
            <w:r>
              <w:rPr>
                <w:i/>
              </w:rPr>
              <w:t>26 expected outcome is lower than the 2025</w:t>
            </w:r>
            <w:r w:rsidR="00383570">
              <w:rPr>
                <w:i/>
              </w:rPr>
              <w:t>-</w:t>
            </w:r>
            <w:r>
              <w:rPr>
                <w:i/>
              </w:rPr>
              <w:t xml:space="preserve">26 target due to scoping and schedule changes. </w:t>
            </w:r>
          </w:p>
          <w:p w14:paraId="3787A5B9" w14:textId="77777777" w:rsidR="00C306A8" w:rsidRDefault="00C306A8">
            <w:pPr>
              <w:ind w:left="170"/>
            </w:pPr>
            <w:r>
              <w:rPr>
                <w:i/>
              </w:rPr>
              <w:t>The higher 2026-27 target reflects the number of projects scheduled for completion in 2026-27.</w:t>
            </w:r>
          </w:p>
        </w:tc>
      </w:tr>
      <w:tr w:rsidR="00C306A8" w14:paraId="6330504D"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54747A1F" w14:textId="77777777" w:rsidR="00C306A8" w:rsidRDefault="00C306A8">
            <w:pPr>
              <w:keepNext/>
              <w:ind w:left="170"/>
            </w:pPr>
            <w:r>
              <w:t>Major road improvement projects completed: regional</w:t>
            </w:r>
          </w:p>
        </w:tc>
        <w:tc>
          <w:tcPr>
            <w:tcW w:w="964" w:type="dxa"/>
            <w:tcBorders>
              <w:top w:val="single" w:sz="6" w:space="0" w:color="auto"/>
              <w:bottom w:val="single" w:sz="6" w:space="0" w:color="auto"/>
            </w:tcBorders>
          </w:tcPr>
          <w:p w14:paraId="137DDC31"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bottom w:val="single" w:sz="6" w:space="0" w:color="auto"/>
            </w:tcBorders>
            <w:shd w:val="clear" w:color="auto" w:fill="F0F0F0"/>
          </w:tcPr>
          <w:p w14:paraId="5E7510FA"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4C19241B"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7B8AFF1D"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c>
          <w:tcPr>
            <w:tcW w:w="964" w:type="dxa"/>
            <w:tcBorders>
              <w:top w:val="single" w:sz="6" w:space="0" w:color="auto"/>
              <w:bottom w:val="single" w:sz="6" w:space="0" w:color="auto"/>
            </w:tcBorders>
          </w:tcPr>
          <w:p w14:paraId="1E69FD8A" w14:textId="77777777" w:rsidR="00C306A8" w:rsidRDefault="00C306A8">
            <w:pPr>
              <w:cnfStyle w:val="000000000000" w:firstRow="0" w:lastRow="0" w:firstColumn="0" w:lastColumn="0" w:oddVBand="0" w:evenVBand="0" w:oddHBand="0" w:evenHBand="0" w:firstRowFirstColumn="0" w:firstRowLastColumn="0" w:lastRowFirstColumn="0" w:lastRowLastColumn="0"/>
            </w:pPr>
            <w:r>
              <w:t>0</w:t>
            </w:r>
          </w:p>
        </w:tc>
      </w:tr>
      <w:tr w:rsidR="00C306A8" w14:paraId="7693C66E" w14:textId="77777777">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tcBorders>
          </w:tcPr>
          <w:p w14:paraId="4F858A84" w14:textId="77777777" w:rsidR="00C306A8" w:rsidRDefault="00C306A8">
            <w:pPr>
              <w:keepNext/>
              <w:ind w:left="170"/>
            </w:pPr>
            <w:r>
              <w:t>Planning projects for other major transport infrastructure</w:t>
            </w:r>
          </w:p>
        </w:tc>
        <w:tc>
          <w:tcPr>
            <w:tcW w:w="964" w:type="dxa"/>
            <w:tcBorders>
              <w:top w:val="single" w:sz="6" w:space="0" w:color="auto"/>
            </w:tcBorders>
          </w:tcPr>
          <w:p w14:paraId="511FBD0C"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49A4600F"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Borders>
              <w:top w:val="single" w:sz="6" w:space="0" w:color="auto"/>
            </w:tcBorders>
          </w:tcPr>
          <w:p w14:paraId="4205EC1A" w14:textId="77777777" w:rsidR="00C306A8" w:rsidRDefault="00C306A8">
            <w:pPr>
              <w:cnfStyle w:val="000000000000" w:firstRow="0" w:lastRow="0" w:firstColumn="0" w:lastColumn="0" w:oddVBand="0" w:evenVBand="0" w:oddHBand="0" w:evenHBand="0" w:firstRowFirstColumn="0" w:firstRowLastColumn="0" w:lastRowFirstColumn="0" w:lastRowLastColumn="0"/>
            </w:pPr>
            <w:r>
              <w:t>5</w:t>
            </w:r>
          </w:p>
        </w:tc>
        <w:tc>
          <w:tcPr>
            <w:tcW w:w="964" w:type="dxa"/>
            <w:tcBorders>
              <w:top w:val="single" w:sz="6" w:space="0" w:color="auto"/>
            </w:tcBorders>
          </w:tcPr>
          <w:p w14:paraId="783F7450"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c>
          <w:tcPr>
            <w:tcW w:w="964" w:type="dxa"/>
            <w:tcBorders>
              <w:top w:val="single" w:sz="6" w:space="0" w:color="auto"/>
            </w:tcBorders>
          </w:tcPr>
          <w:p w14:paraId="355E1D38" w14:textId="77777777" w:rsidR="00C306A8" w:rsidRDefault="00C306A8">
            <w:pPr>
              <w:cnfStyle w:val="000000000000" w:firstRow="0" w:lastRow="0" w:firstColumn="0" w:lastColumn="0" w:oddVBand="0" w:evenVBand="0" w:oddHBand="0" w:evenHBand="0" w:firstRowFirstColumn="0" w:firstRowLastColumn="0" w:lastRowFirstColumn="0" w:lastRowLastColumn="0"/>
            </w:pPr>
            <w:r>
              <w:t>4</w:t>
            </w:r>
          </w:p>
        </w:tc>
      </w:tr>
      <w:tr w:rsidR="00C306A8" w14:paraId="423A80DF"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1E30690B" w14:textId="77777777" w:rsidR="00C306A8" w:rsidRDefault="00C306A8">
            <w:pPr>
              <w:ind w:left="170"/>
            </w:pPr>
            <w:r>
              <w:rPr>
                <w:i/>
              </w:rPr>
              <w:t>The 2025-26 expected outcome is higher than the 2025-26 target due to the identification and delivery of additional works.</w:t>
            </w:r>
          </w:p>
        </w:tc>
      </w:tr>
      <w:tr w:rsidR="00C306A8" w:rsidRPr="00261C8D" w14:paraId="07356B62"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96EB57D" w14:textId="77777777" w:rsidR="00C306A8" w:rsidRPr="00261C8D" w:rsidRDefault="00C306A8">
            <w:pPr>
              <w:keepNext/>
              <w:rPr>
                <w:b/>
              </w:rPr>
            </w:pPr>
            <w:r w:rsidRPr="00261C8D">
              <w:rPr>
                <w:b/>
              </w:rPr>
              <w:t>Quality</w:t>
            </w:r>
          </w:p>
        </w:tc>
      </w:tr>
      <w:tr w:rsidR="00C306A8" w14:paraId="7CCB1D6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7654274" w14:textId="77777777" w:rsidR="00C306A8" w:rsidRDefault="00C306A8">
            <w:pPr>
              <w:ind w:left="170"/>
            </w:pPr>
            <w:r>
              <w:t>Level Crossing Removal Project: Milestones delivered in accordance with agreed budget and timelines</w:t>
            </w:r>
          </w:p>
        </w:tc>
        <w:tc>
          <w:tcPr>
            <w:tcW w:w="964" w:type="dxa"/>
            <w:tcBorders>
              <w:bottom w:val="single" w:sz="6" w:space="0" w:color="auto"/>
            </w:tcBorders>
          </w:tcPr>
          <w:p w14:paraId="72B32A4A"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E6A4407"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DC0B728"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53F419C"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6C4F3D5"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40C9684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732D467" w14:textId="77777777" w:rsidR="00C306A8" w:rsidRDefault="00C306A8">
            <w:pPr>
              <w:ind w:left="170"/>
            </w:pPr>
            <w:r>
              <w:t>North East Link and associated major projects – milestones delivered in accordance with agreed budget and timelines</w:t>
            </w:r>
          </w:p>
        </w:tc>
        <w:tc>
          <w:tcPr>
            <w:tcW w:w="964" w:type="dxa"/>
            <w:tcBorders>
              <w:bottom w:val="single" w:sz="6" w:space="0" w:color="auto"/>
            </w:tcBorders>
          </w:tcPr>
          <w:p w14:paraId="140B35E2"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D1ED70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32AE1CE"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F258EA0"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EDD7474"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14:paraId="018BDCA5"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9B303A7" w14:textId="77777777" w:rsidR="00C306A8" w:rsidRDefault="00C306A8">
            <w:pPr>
              <w:ind w:left="170"/>
            </w:pPr>
            <w:r>
              <w:t>Suburban Rail Loop Initial and Early Works: Milestones delivered in accordance with agreed budget and timelines</w:t>
            </w:r>
          </w:p>
        </w:tc>
        <w:tc>
          <w:tcPr>
            <w:tcW w:w="964" w:type="dxa"/>
            <w:tcBorders>
              <w:bottom w:val="single" w:sz="6" w:space="0" w:color="auto"/>
            </w:tcBorders>
          </w:tcPr>
          <w:p w14:paraId="339FE18E"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79CCDC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58FA9FA"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378D5BB"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DAC2ECA" w14:textId="77777777" w:rsidR="00C306A8" w:rsidRDefault="00C306A8">
            <w:pPr>
              <w:cnfStyle w:val="000000000000" w:firstRow="0" w:lastRow="0" w:firstColumn="0" w:lastColumn="0" w:oddVBand="0" w:evenVBand="0" w:oddHBand="0" w:evenHBand="0" w:firstRowFirstColumn="0" w:firstRowLastColumn="0" w:lastRowFirstColumn="0" w:lastRowLastColumn="0"/>
            </w:pPr>
            <w:r>
              <w:t>100</w:t>
            </w:r>
          </w:p>
        </w:tc>
      </w:tr>
      <w:tr w:rsidR="00C306A8" w:rsidRPr="00261C8D" w14:paraId="20D1BE8C"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6D9C50B9" w14:textId="77777777" w:rsidR="00C306A8" w:rsidRPr="00261C8D" w:rsidRDefault="00C306A8">
            <w:pPr>
              <w:keepNext/>
              <w:rPr>
                <w:b/>
              </w:rPr>
            </w:pPr>
            <w:r w:rsidRPr="00261C8D">
              <w:rPr>
                <w:b/>
              </w:rPr>
              <w:t>Cost</w:t>
            </w:r>
          </w:p>
        </w:tc>
      </w:tr>
      <w:tr w:rsidR="00C306A8" w14:paraId="5467BFF4" w14:textId="77777777" w:rsidTr="00D10C89">
        <w:tc>
          <w:tcPr>
            <w:cnfStyle w:val="001000000000" w:firstRow="0" w:lastRow="0" w:firstColumn="1" w:lastColumn="0" w:oddVBand="0" w:evenVBand="0" w:oddHBand="0" w:evenHBand="0" w:firstRowFirstColumn="0" w:firstRowLastColumn="0" w:lastRowFirstColumn="0" w:lastRowLastColumn="0"/>
            <w:tcW w:w="4820" w:type="dxa"/>
            <w:tcBorders>
              <w:bottom w:val="nil"/>
            </w:tcBorders>
          </w:tcPr>
          <w:p w14:paraId="2987D11C" w14:textId="77777777" w:rsidR="00C306A8" w:rsidRDefault="00C306A8">
            <w:pPr>
              <w:keepNext/>
              <w:ind w:left="170"/>
            </w:pPr>
            <w:r>
              <w:t>Total output cost</w:t>
            </w:r>
          </w:p>
        </w:tc>
        <w:tc>
          <w:tcPr>
            <w:tcW w:w="964" w:type="dxa"/>
            <w:tcBorders>
              <w:bottom w:val="nil"/>
            </w:tcBorders>
          </w:tcPr>
          <w:p w14:paraId="5A6DE740" w14:textId="77777777" w:rsidR="00C306A8" w:rsidRDefault="00C306A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tcBorders>
              <w:bottom w:val="nil"/>
            </w:tcBorders>
            <w:shd w:val="clear" w:color="auto" w:fill="F0F0F0"/>
          </w:tcPr>
          <w:p w14:paraId="454D7869" w14:textId="7C7423C5" w:rsidR="00C306A8" w:rsidRDefault="00C306A8">
            <w:pPr>
              <w:cnfStyle w:val="000000000000" w:firstRow="0" w:lastRow="0" w:firstColumn="0" w:lastColumn="0" w:oddVBand="0" w:evenVBand="0" w:oddHBand="0" w:evenHBand="0" w:firstRowFirstColumn="0" w:firstRowLastColumn="0" w:lastRowFirstColumn="0" w:lastRowLastColumn="0"/>
            </w:pPr>
            <w:r>
              <w:t>75</w:t>
            </w:r>
            <w:r w:rsidR="00141819">
              <w:t>.0</w:t>
            </w:r>
          </w:p>
        </w:tc>
        <w:tc>
          <w:tcPr>
            <w:tcW w:w="964" w:type="dxa"/>
            <w:tcBorders>
              <w:bottom w:val="nil"/>
            </w:tcBorders>
          </w:tcPr>
          <w:p w14:paraId="48113F24" w14:textId="77777777" w:rsidR="00C306A8" w:rsidRDefault="00C306A8">
            <w:pPr>
              <w:cnfStyle w:val="000000000000" w:firstRow="0" w:lastRow="0" w:firstColumn="0" w:lastColumn="0" w:oddVBand="0" w:evenVBand="0" w:oddHBand="0" w:evenHBand="0" w:firstRowFirstColumn="0" w:firstRowLastColumn="0" w:lastRowFirstColumn="0" w:lastRowLastColumn="0"/>
            </w:pPr>
            <w:r>
              <w:t>613.9</w:t>
            </w:r>
          </w:p>
        </w:tc>
        <w:tc>
          <w:tcPr>
            <w:tcW w:w="964" w:type="dxa"/>
            <w:tcBorders>
              <w:bottom w:val="nil"/>
            </w:tcBorders>
          </w:tcPr>
          <w:p w14:paraId="58B0309A" w14:textId="77777777" w:rsidR="00C306A8" w:rsidRDefault="00C306A8">
            <w:pPr>
              <w:cnfStyle w:val="000000000000" w:firstRow="0" w:lastRow="0" w:firstColumn="0" w:lastColumn="0" w:oddVBand="0" w:evenVBand="0" w:oddHBand="0" w:evenHBand="0" w:firstRowFirstColumn="0" w:firstRowLastColumn="0" w:lastRowFirstColumn="0" w:lastRowLastColumn="0"/>
            </w:pPr>
            <w:r>
              <w:t>347.3</w:t>
            </w:r>
          </w:p>
        </w:tc>
        <w:tc>
          <w:tcPr>
            <w:tcW w:w="964" w:type="dxa"/>
            <w:tcBorders>
              <w:bottom w:val="nil"/>
            </w:tcBorders>
          </w:tcPr>
          <w:p w14:paraId="7A456CB1" w14:textId="77777777" w:rsidR="00C306A8" w:rsidRDefault="00C306A8">
            <w:pPr>
              <w:cnfStyle w:val="000000000000" w:firstRow="0" w:lastRow="0" w:firstColumn="0" w:lastColumn="0" w:oddVBand="0" w:evenVBand="0" w:oddHBand="0" w:evenHBand="0" w:firstRowFirstColumn="0" w:firstRowLastColumn="0" w:lastRowFirstColumn="0" w:lastRowLastColumn="0"/>
            </w:pPr>
            <w:r>
              <w:t>755.6</w:t>
            </w:r>
          </w:p>
        </w:tc>
      </w:tr>
      <w:tr w:rsidR="00C306A8" w14:paraId="669F931D" w14:textId="77777777" w:rsidTr="00D10C89">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2B3BE502" w14:textId="77777777" w:rsidR="00285C88" w:rsidRDefault="00285C88" w:rsidP="00285C88">
            <w:pPr>
              <w:ind w:left="170"/>
            </w:pPr>
            <w:r>
              <w:rPr>
                <w:i/>
              </w:rPr>
              <w:t xml:space="preserve">The 2025-26 expected outcome is higher than the 2025-26 target due to </w:t>
            </w:r>
            <w:r w:rsidRPr="00694232">
              <w:rPr>
                <w:i/>
                <w:iCs/>
              </w:rPr>
              <w:t xml:space="preserve">the release of planned </w:t>
            </w:r>
            <w:r>
              <w:rPr>
                <w:i/>
              </w:rPr>
              <w:t>funding for main works on the Suburban Rail Loop, the contract award for the North East Link Project, Metro Tunnel readiness activities, and development of future infrastructure plans.</w:t>
            </w:r>
          </w:p>
          <w:p w14:paraId="33CD50C0" w14:textId="77777777" w:rsidR="00C306A8" w:rsidRDefault="007B14B4">
            <w:pPr>
              <w:ind w:left="170"/>
            </w:pPr>
            <w:r>
              <w:rPr>
                <w:i/>
              </w:rPr>
              <w:t>The lower 2026-27 target reflects the completion of the Metro Tunnel and the West Gate Tunnel Projects in 2025-26.</w:t>
            </w:r>
          </w:p>
        </w:tc>
      </w:tr>
    </w:tbl>
    <w:p w14:paraId="12DBB6AD" w14:textId="77777777" w:rsidR="00C306A8" w:rsidRDefault="00C306A8" w:rsidP="00C306A8">
      <w:pPr>
        <w:pStyle w:val="Source"/>
      </w:pPr>
      <w:r>
        <w:t>Source: Department of Transport and Planning</w:t>
      </w:r>
    </w:p>
    <w:p w14:paraId="11FBB6FC" w14:textId="77777777" w:rsidR="00C306A8" w:rsidRDefault="00C306A8" w:rsidP="00C306A8"/>
    <w:p w14:paraId="00A79481" w14:textId="77777777" w:rsidR="00C306A8" w:rsidRDefault="00C306A8" w:rsidP="00C306A8"/>
    <w:p w14:paraId="5A097BCD" w14:textId="77777777" w:rsidR="0091589A" w:rsidRPr="000B33B2" w:rsidRDefault="0091589A" w:rsidP="0091589A">
      <w:pPr>
        <w:sectPr w:rsidR="0091589A" w:rsidRPr="000B33B2" w:rsidSect="0091589A">
          <w:footerReference w:type="even" r:id="rId36"/>
          <w:footerReference w:type="default" r:id="rId37"/>
          <w:pgSz w:w="11907" w:h="16840" w:code="9"/>
          <w:pgMar w:top="1138" w:right="1138" w:bottom="1138" w:left="1138" w:header="619" w:footer="562" w:gutter="0"/>
          <w:cols w:space="708"/>
          <w:docGrid w:linePitch="360"/>
        </w:sectPr>
      </w:pPr>
    </w:p>
    <w:p w14:paraId="30CE772F" w14:textId="7D7BC9B0" w:rsidR="00824558" w:rsidRDefault="00824558" w:rsidP="002E0B49">
      <w:pPr>
        <w:pStyle w:val="Heading1"/>
        <w:pageBreakBefore/>
        <w:spacing w:before="0"/>
      </w:pPr>
      <w:bookmarkStart w:id="18" w:name="_Toc228288104"/>
      <w:r>
        <w:lastRenderedPageBreak/>
        <w:t>Department of Treasury and Finance</w:t>
      </w:r>
      <w:bookmarkEnd w:id="18"/>
    </w:p>
    <w:p w14:paraId="7BBF2468" w14:textId="77777777" w:rsidR="00824558" w:rsidRPr="00DD057C" w:rsidRDefault="00824558">
      <w:pPr>
        <w:pStyle w:val="Heading2"/>
      </w:pPr>
      <w:r w:rsidRPr="00DD057C">
        <w:t>Ministerial portfolios</w:t>
      </w:r>
    </w:p>
    <w:p w14:paraId="6EE4AC4E" w14:textId="77777777" w:rsidR="00824558" w:rsidRPr="00DD057C" w:rsidRDefault="00824558">
      <w:r w:rsidRPr="00DD057C">
        <w:t>The Department supports the ministerial portfolios of the Treasurer, Finance, Industrial Relations, and WorkSafe and the TAC.</w:t>
      </w:r>
    </w:p>
    <w:p w14:paraId="55B3165C" w14:textId="77777777" w:rsidR="00824558" w:rsidRPr="00DD057C" w:rsidRDefault="00824558">
      <w:pPr>
        <w:pStyle w:val="Heading2"/>
      </w:pPr>
      <w:r w:rsidRPr="00DD057C">
        <w:t>Departmental mission statement</w:t>
      </w:r>
    </w:p>
    <w:p w14:paraId="526DA229" w14:textId="11F13244" w:rsidR="00824558" w:rsidRPr="000A0320" w:rsidRDefault="00824558" w:rsidP="000A0320">
      <w:r w:rsidRPr="000A0320">
        <w:t>The Department of Treasury and Finance</w:t>
      </w:r>
      <w:r w:rsidR="007942D1" w:rsidRPr="000A0320">
        <w:t>’</w:t>
      </w:r>
      <w:r w:rsidRPr="000A0320">
        <w:t>s mission is to provide economic, commercial, financial, infrastructure, industrial relations and resource management advice to help the Victorian Government deliver its policies.</w:t>
      </w:r>
    </w:p>
    <w:p w14:paraId="52F2D775" w14:textId="77777777" w:rsidR="00824558" w:rsidRPr="00DD057C" w:rsidRDefault="00824558">
      <w:pPr>
        <w:pStyle w:val="Heading2"/>
      </w:pPr>
      <w:r w:rsidRPr="00DD057C">
        <w:t>Departmental objectives</w:t>
      </w:r>
    </w:p>
    <w:p w14:paraId="4940982B" w14:textId="4E34E011" w:rsidR="00824558" w:rsidRPr="00DD057C" w:rsidRDefault="00824558">
      <w:pPr>
        <w:pStyle w:val="Heading3"/>
      </w:pPr>
      <w:r w:rsidRPr="00DD057C">
        <w:t>Optimise Victoria</w:t>
      </w:r>
      <w:r w:rsidR="007942D1">
        <w:t>’</w:t>
      </w:r>
      <w:r w:rsidRPr="00DD057C">
        <w:t>s fiscal resources</w:t>
      </w:r>
    </w:p>
    <w:p w14:paraId="4E1A7C57" w14:textId="77777777" w:rsidR="00824558" w:rsidRPr="00DD057C" w:rsidRDefault="00824558">
      <w:r w:rsidRPr="00DD057C">
        <w:t>The Department of Treasury and Finance has the central role in providing high-quality advice to Government on sustainable financial, resource and performance management policy and other key policy priorities; overseeing related frameworks; as well as leading the production of the State budget papers and reports of both financial and non-financial performance in the Victorian public sector.</w:t>
      </w:r>
    </w:p>
    <w:p w14:paraId="692103D3" w14:textId="77777777" w:rsidR="00824558" w:rsidRPr="00DD057C" w:rsidRDefault="00824558">
      <w:r w:rsidRPr="00DD057C">
        <w:t>The Budget and Financial Advice output contributes to this objective by providing strategic, timely and comprehensive analysis and information to Government to support decision-making and reporting.</w:t>
      </w:r>
    </w:p>
    <w:p w14:paraId="329C96E9" w14:textId="77777777" w:rsidR="00824558" w:rsidRPr="00DD057C" w:rsidRDefault="00824558">
      <w:r w:rsidRPr="00DD057C">
        <w:t>The Revenue Management and Administrative Services to Government output contributes to this objective by providing revenue management and administration services across the various state-based taxes for the benefit of all Victorians.</w:t>
      </w:r>
    </w:p>
    <w:p w14:paraId="3C5639A4" w14:textId="4CD7F4A8" w:rsidR="00824558" w:rsidRPr="00DD057C" w:rsidRDefault="00824558">
      <w:pPr>
        <w:pStyle w:val="Heading3"/>
      </w:pPr>
      <w:r w:rsidRPr="00DD057C">
        <w:t>Strengthen Victoria</w:t>
      </w:r>
      <w:r w:rsidR="007942D1">
        <w:t>’</w:t>
      </w:r>
      <w:r w:rsidRPr="00DD057C">
        <w:t>s economic performance</w:t>
      </w:r>
    </w:p>
    <w:p w14:paraId="52EE2FFA" w14:textId="77777777" w:rsidR="00824558" w:rsidRPr="00DD057C" w:rsidRDefault="00824558">
      <w:r w:rsidRPr="00DD057C">
        <w:t>The Department of Treasury and Finance provides the</w:t>
      </w:r>
      <w:r w:rsidRPr="00DD057C" w:rsidDel="00A95F35">
        <w:t xml:space="preserve"> </w:t>
      </w:r>
      <w:r w:rsidRPr="00DD057C" w:rsidDel="00790EC4">
        <w:t xml:space="preserve">Government </w:t>
      </w:r>
      <w:r w:rsidRPr="00DD057C">
        <w:t>with advice on key economic matters and policies to increase economic productivity, competitiveness and equity across the Victorian economy.</w:t>
      </w:r>
    </w:p>
    <w:p w14:paraId="16B37D23" w14:textId="77777777" w:rsidR="00824558" w:rsidRPr="00DD057C" w:rsidRDefault="00824558">
      <w:r w:rsidRPr="00DD057C">
        <w:t>The Economic and Policy Advice output contributes to this objective by providing strategic, timely and comprehensive analysis and information to Government to support decision-making and reporting.</w:t>
      </w:r>
    </w:p>
    <w:p w14:paraId="7ED47018" w14:textId="77777777" w:rsidR="00824558" w:rsidRPr="00DD057C" w:rsidRDefault="00824558">
      <w:r w:rsidRPr="00DD057C">
        <w:t xml:space="preserve">The Economic Regulatory Services output contributes to this objective by providing economic regulation of utilities and other specified markets in Victoria to protect the long-term interests of Victorian consumers with regard to price, quality and reliability of essential services. </w:t>
      </w:r>
    </w:p>
    <w:p w14:paraId="36DD3464" w14:textId="77777777" w:rsidR="00824558" w:rsidRPr="00DD057C" w:rsidRDefault="00824558">
      <w:pPr>
        <w:pStyle w:val="Heading3"/>
      </w:pPr>
      <w:r w:rsidRPr="00DD057C">
        <w:t>Improve how Government manages its balance sheet, commercial activities and public sector infrastructure</w:t>
      </w:r>
    </w:p>
    <w:p w14:paraId="5F2FBAEA" w14:textId="6BD492DB" w:rsidR="00824558" w:rsidRPr="00DD057C" w:rsidRDefault="00824558">
      <w:pPr>
        <w:spacing w:before="80"/>
      </w:pPr>
      <w:r w:rsidRPr="00DD057C">
        <w:t>The Department of Treasury and Finance develops and applies prudent financial and commercial principles and practices to influence and help deliver government policies focused on overseeing the State</w:t>
      </w:r>
      <w:r w:rsidR="007942D1">
        <w:t>’</w:t>
      </w:r>
      <w:r w:rsidRPr="00DD057C">
        <w:t>s balance sheet, major infrastructure and government business enterprises (in the public non-financial corporations (PNFC) sector and public financial corporations (PFC) sector).</w:t>
      </w:r>
    </w:p>
    <w:p w14:paraId="45229400" w14:textId="77777777" w:rsidR="00824558" w:rsidRPr="00DD057C" w:rsidRDefault="00824558">
      <w:pPr>
        <w:spacing w:before="80"/>
      </w:pPr>
      <w:r w:rsidRPr="00DD057C">
        <w:t xml:space="preserve">The Commercial and Infrastructure Advice output contributes to this objective by providing strategic, timely and comprehensive analysis and information to the </w:t>
      </w:r>
      <w:r w:rsidRPr="00DD057C" w:rsidDel="00790EC4">
        <w:t xml:space="preserve">Government </w:t>
      </w:r>
      <w:r w:rsidRPr="00DD057C">
        <w:t>to support decision-making and reporting.</w:t>
      </w:r>
    </w:p>
    <w:p w14:paraId="5A949A8A" w14:textId="69053E10" w:rsidR="00824558" w:rsidRPr="00DD057C" w:rsidRDefault="00824558">
      <w:pPr>
        <w:spacing w:before="80"/>
      </w:pPr>
      <w:r w:rsidRPr="00DD057C">
        <w:t xml:space="preserve">The Infrastructure Victoria output provides independent and transparent advice to </w:t>
      </w:r>
      <w:r w:rsidR="00225A0E">
        <w:t>G</w:t>
      </w:r>
      <w:r w:rsidRPr="00DD057C">
        <w:t>overnment on infrastructure priorities and sets a long-term strategy for infrastructure investment.</w:t>
      </w:r>
    </w:p>
    <w:p w14:paraId="11F99879" w14:textId="4E0FEA66" w:rsidR="00824558" w:rsidRPr="00DD057C" w:rsidRDefault="00824558">
      <w:pPr>
        <w:pStyle w:val="Heading3"/>
      </w:pPr>
      <w:r w:rsidRPr="00DD057C">
        <w:t>Strengthen Victoria</w:t>
      </w:r>
      <w:r w:rsidR="007942D1">
        <w:t>’</w:t>
      </w:r>
      <w:r w:rsidRPr="00DD057C">
        <w:t>s economic performance through fair, equitable and productive workplaces</w:t>
      </w:r>
    </w:p>
    <w:p w14:paraId="2F5B027F" w14:textId="77777777" w:rsidR="00824558" w:rsidRPr="00DD057C" w:rsidRDefault="00824558">
      <w:r w:rsidRPr="00DD057C">
        <w:t>The Department of Treasury and Finance delivers strategic industrial relations legislative, policy and technical advice to the Government and departments. The Department develops and reviews regulatory frameworks to support a positive industrial relations environment and promotes fair and productive workplaces, secure work and gender pay equity.</w:t>
      </w:r>
    </w:p>
    <w:p w14:paraId="517B7FE0" w14:textId="427A8DF1" w:rsidR="00824558" w:rsidRDefault="00824558">
      <w:r w:rsidRPr="00DD057C">
        <w:t>The Industrial Relations output contributes to this objective by providing oversight of enterprise bargaining across the Victorian public sector and supporting Victoria</w:t>
      </w:r>
      <w:r w:rsidR="007942D1">
        <w:t>’</w:t>
      </w:r>
      <w:r w:rsidRPr="00DD057C">
        <w:t>s participation in the national workplace relations system.</w:t>
      </w:r>
      <w:r>
        <w:t xml:space="preserve"> </w:t>
      </w:r>
    </w:p>
    <w:p w14:paraId="09E5A7FE" w14:textId="77777777" w:rsidR="00824558" w:rsidRPr="00206384" w:rsidRDefault="00824558">
      <w:pPr>
        <w:pStyle w:val="Heading2"/>
      </w:pPr>
      <w:r w:rsidRPr="00206384">
        <w:t xml:space="preserve">Output summary </w:t>
      </w:r>
      <w:r w:rsidRPr="00D91A32">
        <w:t>by</w:t>
      </w:r>
      <w:r w:rsidRPr="00206384">
        <w:t xml:space="preserve"> departmental objectives</w:t>
      </w:r>
    </w:p>
    <w:p w14:paraId="4A6A792A" w14:textId="1D717A11" w:rsidR="00824558" w:rsidRDefault="00824558">
      <w:pPr>
        <w:keepNext/>
      </w:pPr>
      <w:r>
        <w:t>The Department</w:t>
      </w:r>
      <w:r w:rsidR="007942D1">
        <w:t>’</w:t>
      </w:r>
      <w:r>
        <w:t xml:space="preserve">s outputs and funding are provided in the table below. Detailed descriptions of objectives and outputs are </w:t>
      </w:r>
      <w:r w:rsidRPr="56633658">
        <w:rPr>
          <w:rFonts w:ascii="Garamond" w:eastAsia="Garamond" w:hAnsi="Garamond"/>
        </w:rPr>
        <w:t xml:space="preserve">presented </w:t>
      </w:r>
      <w:r>
        <w:rPr>
          <w:rFonts w:ascii="Garamond" w:eastAsia="Garamond" w:hAnsi="Garamond"/>
        </w:rPr>
        <w:t>below</w:t>
      </w:r>
      <w:r>
        <w:t>.</w:t>
      </w:r>
    </w:p>
    <w:p w14:paraId="7562E0F9" w14:textId="6FAD15C1" w:rsidR="00557877" w:rsidRPr="00D06853" w:rsidRDefault="00557877" w:rsidP="00557877">
      <w:pPr>
        <w:pStyle w:val="TableHeading"/>
      </w:pPr>
      <w:r w:rsidRPr="00D06853">
        <w:t xml:space="preserve">Table </w:t>
      </w:r>
      <w:r w:rsidR="00854200">
        <w:t>28</w:t>
      </w:r>
      <w:r w:rsidRPr="00D06853">
        <w:t>:</w:t>
      </w:r>
      <w:r w:rsidRPr="00D06853">
        <w:tab/>
        <w:t>Output summary</w:t>
      </w:r>
      <w:r w:rsidRPr="00D06853">
        <w:tab/>
        <w:t>($ million)</w:t>
      </w:r>
    </w:p>
    <w:tbl>
      <w:tblPr>
        <w:tblStyle w:val="DTFTableNumeric"/>
        <w:tblW w:w="9649"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DTF_Summary|TableGroup:OutputSummary"/>
      </w:tblPr>
      <w:tblGrid>
        <w:gridCol w:w="5953"/>
        <w:gridCol w:w="924"/>
        <w:gridCol w:w="924"/>
        <w:gridCol w:w="924"/>
        <w:gridCol w:w="924"/>
      </w:tblGrid>
      <w:tr w:rsidR="00CE70C1" w14:paraId="6657556A" w14:textId="77777777" w:rsidTr="00D802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3" w:type="dxa"/>
          </w:tcPr>
          <w:p w14:paraId="3F9F892D" w14:textId="77777777" w:rsidR="00CE70C1" w:rsidRDefault="00CE70C1">
            <w:pPr>
              <w:keepNext/>
            </w:pPr>
          </w:p>
        </w:tc>
        <w:tc>
          <w:tcPr>
            <w:tcW w:w="924" w:type="dxa"/>
          </w:tcPr>
          <w:p w14:paraId="665E46C8" w14:textId="77777777" w:rsidR="00CE70C1" w:rsidRDefault="00CE70C1">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24" w:type="dxa"/>
          </w:tcPr>
          <w:p w14:paraId="49CE52C7" w14:textId="77777777" w:rsidR="00CE70C1" w:rsidRDefault="00CE70C1">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24" w:type="dxa"/>
          </w:tcPr>
          <w:p w14:paraId="4340E0E9" w14:textId="77777777" w:rsidR="00CE70C1" w:rsidRDefault="00CE70C1">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24" w:type="dxa"/>
          </w:tcPr>
          <w:p w14:paraId="2B01278F" w14:textId="4309FF73" w:rsidR="00CE70C1" w:rsidRDefault="00CE70C1">
            <w:pPr>
              <w:keepNext/>
              <w:cnfStyle w:val="100000000000" w:firstRow="1" w:lastRow="0" w:firstColumn="0" w:lastColumn="0" w:oddVBand="0" w:evenVBand="0" w:oddHBand="0" w:evenHBand="0" w:firstRowFirstColumn="0" w:firstRowLastColumn="0" w:lastRowFirstColumn="0" w:lastRowLastColumn="0"/>
            </w:pPr>
            <w:r>
              <w:t xml:space="preserve">Variation </w:t>
            </w:r>
            <w:r w:rsidR="00917871">
              <w:br/>
            </w:r>
            <w:r>
              <w:t>%</w:t>
            </w:r>
            <w:r>
              <w:rPr>
                <w:vertAlign w:val="superscript"/>
              </w:rPr>
              <w:t xml:space="preserve"> (a)</w:t>
            </w:r>
          </w:p>
        </w:tc>
      </w:tr>
      <w:tr w:rsidR="00CE70C1" w14:paraId="0A882420"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3F74B3C0" w14:textId="1FEF316D" w:rsidR="00CE70C1" w:rsidRDefault="00CE70C1">
            <w:r>
              <w:rPr>
                <w:b/>
              </w:rPr>
              <w:t>Optimise Victoria’s fiscal resources</w:t>
            </w:r>
          </w:p>
        </w:tc>
        <w:tc>
          <w:tcPr>
            <w:tcW w:w="924" w:type="dxa"/>
          </w:tcPr>
          <w:p w14:paraId="7B20AA55"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2F337A10"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47531EB0"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5ACD216C"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r>
      <w:tr w:rsidR="00CE70C1" w14:paraId="59066821"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23DE84B7" w14:textId="1F895C85" w:rsidR="00CE70C1" w:rsidRDefault="00CE70C1">
            <w:r>
              <w:t>Budget and Financial Advice</w:t>
            </w:r>
            <w:r w:rsidR="00E54309">
              <w:t xml:space="preserve"> </w:t>
            </w:r>
            <w:r w:rsidRPr="00A7185F">
              <w:rPr>
                <w:vertAlign w:val="superscript"/>
              </w:rPr>
              <w:t>(b)</w:t>
            </w:r>
          </w:p>
        </w:tc>
        <w:tc>
          <w:tcPr>
            <w:tcW w:w="924" w:type="dxa"/>
          </w:tcPr>
          <w:p w14:paraId="2A9636F3" w14:textId="77777777" w:rsidR="00CE70C1" w:rsidRDefault="00CE70C1">
            <w:pPr>
              <w:cnfStyle w:val="000000000000" w:firstRow="0" w:lastRow="0" w:firstColumn="0" w:lastColumn="0" w:oddVBand="0" w:evenVBand="0" w:oddHBand="0" w:evenHBand="0" w:firstRowFirstColumn="0" w:firstRowLastColumn="0" w:lastRowFirstColumn="0" w:lastRowLastColumn="0"/>
            </w:pPr>
            <w:r>
              <w:t>42.2</w:t>
            </w:r>
          </w:p>
        </w:tc>
        <w:tc>
          <w:tcPr>
            <w:tcW w:w="924" w:type="dxa"/>
          </w:tcPr>
          <w:p w14:paraId="5FC6D347" w14:textId="77777777" w:rsidR="00CE70C1" w:rsidRDefault="00CE70C1">
            <w:pPr>
              <w:cnfStyle w:val="000000000000" w:firstRow="0" w:lastRow="0" w:firstColumn="0" w:lastColumn="0" w:oddVBand="0" w:evenVBand="0" w:oddHBand="0" w:evenHBand="0" w:firstRowFirstColumn="0" w:firstRowLastColumn="0" w:lastRowFirstColumn="0" w:lastRowLastColumn="0"/>
            </w:pPr>
            <w:r>
              <w:t>43.8</w:t>
            </w:r>
          </w:p>
        </w:tc>
        <w:tc>
          <w:tcPr>
            <w:tcW w:w="924" w:type="dxa"/>
          </w:tcPr>
          <w:p w14:paraId="5DD85613" w14:textId="77777777" w:rsidR="00CE70C1" w:rsidRDefault="00CE70C1">
            <w:pPr>
              <w:cnfStyle w:val="000000000000" w:firstRow="0" w:lastRow="0" w:firstColumn="0" w:lastColumn="0" w:oddVBand="0" w:evenVBand="0" w:oddHBand="0" w:evenHBand="0" w:firstRowFirstColumn="0" w:firstRowLastColumn="0" w:lastRowFirstColumn="0" w:lastRowLastColumn="0"/>
            </w:pPr>
            <w:r>
              <w:t>37.8</w:t>
            </w:r>
          </w:p>
        </w:tc>
        <w:tc>
          <w:tcPr>
            <w:tcW w:w="924" w:type="dxa"/>
          </w:tcPr>
          <w:p w14:paraId="4F6B0E0A" w14:textId="77777777" w:rsidR="00CE70C1" w:rsidRDefault="00CE70C1">
            <w:pPr>
              <w:cnfStyle w:val="000000000000" w:firstRow="0" w:lastRow="0" w:firstColumn="0" w:lastColumn="0" w:oddVBand="0" w:evenVBand="0" w:oddHBand="0" w:evenHBand="0" w:firstRowFirstColumn="0" w:firstRowLastColumn="0" w:lastRowFirstColumn="0" w:lastRowLastColumn="0"/>
            </w:pPr>
            <w:r>
              <w:t>(10.4)</w:t>
            </w:r>
          </w:p>
        </w:tc>
      </w:tr>
      <w:tr w:rsidR="00CE70C1" w14:paraId="055D76DF"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65D5934D" w14:textId="286DCBFC" w:rsidR="00CE70C1" w:rsidRDefault="00CE70C1">
            <w:r>
              <w:t>Revenue Management and Administrative Services to Government</w:t>
            </w:r>
            <w:r w:rsidR="00E54309">
              <w:t xml:space="preserve"> </w:t>
            </w:r>
            <w:r w:rsidRPr="00A7185F">
              <w:rPr>
                <w:vertAlign w:val="superscript"/>
              </w:rPr>
              <w:t>(c)</w:t>
            </w:r>
          </w:p>
        </w:tc>
        <w:tc>
          <w:tcPr>
            <w:tcW w:w="924" w:type="dxa"/>
          </w:tcPr>
          <w:p w14:paraId="4D80DE98" w14:textId="77777777" w:rsidR="00CE70C1" w:rsidRDefault="00CE70C1">
            <w:pPr>
              <w:cnfStyle w:val="000000000000" w:firstRow="0" w:lastRow="0" w:firstColumn="0" w:lastColumn="0" w:oddVBand="0" w:evenVBand="0" w:oddHBand="0" w:evenHBand="0" w:firstRowFirstColumn="0" w:firstRowLastColumn="0" w:lastRowFirstColumn="0" w:lastRowLastColumn="0"/>
            </w:pPr>
            <w:r>
              <w:t>235.7</w:t>
            </w:r>
          </w:p>
        </w:tc>
        <w:tc>
          <w:tcPr>
            <w:tcW w:w="924" w:type="dxa"/>
          </w:tcPr>
          <w:p w14:paraId="63E83D17" w14:textId="77777777" w:rsidR="00CE70C1" w:rsidRDefault="00CE70C1">
            <w:pPr>
              <w:cnfStyle w:val="000000000000" w:firstRow="0" w:lastRow="0" w:firstColumn="0" w:lastColumn="0" w:oddVBand="0" w:evenVBand="0" w:oddHBand="0" w:evenHBand="0" w:firstRowFirstColumn="0" w:firstRowLastColumn="0" w:lastRowFirstColumn="0" w:lastRowLastColumn="0"/>
            </w:pPr>
            <w:r>
              <w:t>246.5</w:t>
            </w:r>
          </w:p>
        </w:tc>
        <w:tc>
          <w:tcPr>
            <w:tcW w:w="924" w:type="dxa"/>
          </w:tcPr>
          <w:p w14:paraId="48466731" w14:textId="77777777" w:rsidR="00CE70C1" w:rsidRDefault="00CE70C1">
            <w:pPr>
              <w:cnfStyle w:val="000000000000" w:firstRow="0" w:lastRow="0" w:firstColumn="0" w:lastColumn="0" w:oddVBand="0" w:evenVBand="0" w:oddHBand="0" w:evenHBand="0" w:firstRowFirstColumn="0" w:firstRowLastColumn="0" w:lastRowFirstColumn="0" w:lastRowLastColumn="0"/>
            </w:pPr>
            <w:r>
              <w:t>255.4</w:t>
            </w:r>
          </w:p>
        </w:tc>
        <w:tc>
          <w:tcPr>
            <w:tcW w:w="924" w:type="dxa"/>
          </w:tcPr>
          <w:p w14:paraId="4FF1ABED" w14:textId="77777777" w:rsidR="00CE70C1" w:rsidRDefault="00CE70C1">
            <w:pPr>
              <w:cnfStyle w:val="000000000000" w:firstRow="0" w:lastRow="0" w:firstColumn="0" w:lastColumn="0" w:oddVBand="0" w:evenVBand="0" w:oddHBand="0" w:evenHBand="0" w:firstRowFirstColumn="0" w:firstRowLastColumn="0" w:lastRowFirstColumn="0" w:lastRowLastColumn="0"/>
            </w:pPr>
            <w:r>
              <w:t>8.4</w:t>
            </w:r>
          </w:p>
        </w:tc>
      </w:tr>
      <w:tr w:rsidR="00CE70C1" w14:paraId="4C33C652"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6DA5FF55" w14:textId="7F7BCB16" w:rsidR="00CE70C1" w:rsidRDefault="00CE70C1">
            <w:r>
              <w:rPr>
                <w:b/>
              </w:rPr>
              <w:t>Strengthen Victoria’s economic performance</w:t>
            </w:r>
          </w:p>
        </w:tc>
        <w:tc>
          <w:tcPr>
            <w:tcW w:w="924" w:type="dxa"/>
          </w:tcPr>
          <w:p w14:paraId="1441542C"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2946CBDE"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6F6DB3C5"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5E966F2C"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r>
      <w:tr w:rsidR="00CE70C1" w14:paraId="2F9319C0"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794C21BC" w14:textId="73AF2145" w:rsidR="00CE70C1" w:rsidRDefault="00CE70C1">
            <w:r>
              <w:t>Economic and Policy Advice</w:t>
            </w:r>
            <w:r w:rsidR="00E54309">
              <w:t xml:space="preserve"> </w:t>
            </w:r>
            <w:r w:rsidRPr="00A7185F">
              <w:rPr>
                <w:vertAlign w:val="superscript"/>
              </w:rPr>
              <w:t>(d)</w:t>
            </w:r>
          </w:p>
        </w:tc>
        <w:tc>
          <w:tcPr>
            <w:tcW w:w="924" w:type="dxa"/>
          </w:tcPr>
          <w:p w14:paraId="78B7235A" w14:textId="77777777" w:rsidR="00CE70C1" w:rsidRDefault="00CE70C1">
            <w:pPr>
              <w:cnfStyle w:val="000000000000" w:firstRow="0" w:lastRow="0" w:firstColumn="0" w:lastColumn="0" w:oddVBand="0" w:evenVBand="0" w:oddHBand="0" w:evenHBand="0" w:firstRowFirstColumn="0" w:firstRowLastColumn="0" w:lastRowFirstColumn="0" w:lastRowLastColumn="0"/>
            </w:pPr>
            <w:r>
              <w:t>81.4</w:t>
            </w:r>
          </w:p>
        </w:tc>
        <w:tc>
          <w:tcPr>
            <w:tcW w:w="924" w:type="dxa"/>
          </w:tcPr>
          <w:p w14:paraId="24D42FDA" w14:textId="77777777" w:rsidR="00CE70C1" w:rsidRDefault="00CE70C1">
            <w:pPr>
              <w:cnfStyle w:val="000000000000" w:firstRow="0" w:lastRow="0" w:firstColumn="0" w:lastColumn="0" w:oddVBand="0" w:evenVBand="0" w:oddHBand="0" w:evenHBand="0" w:firstRowFirstColumn="0" w:firstRowLastColumn="0" w:lastRowFirstColumn="0" w:lastRowLastColumn="0"/>
            </w:pPr>
            <w:r>
              <w:t>76.2</w:t>
            </w:r>
          </w:p>
        </w:tc>
        <w:tc>
          <w:tcPr>
            <w:tcW w:w="924" w:type="dxa"/>
          </w:tcPr>
          <w:p w14:paraId="5E84A43C" w14:textId="77777777" w:rsidR="00CE70C1" w:rsidRDefault="00CE70C1">
            <w:pPr>
              <w:cnfStyle w:val="000000000000" w:firstRow="0" w:lastRow="0" w:firstColumn="0" w:lastColumn="0" w:oddVBand="0" w:evenVBand="0" w:oddHBand="0" w:evenHBand="0" w:firstRowFirstColumn="0" w:firstRowLastColumn="0" w:lastRowFirstColumn="0" w:lastRowLastColumn="0"/>
            </w:pPr>
            <w:r>
              <w:t>70.4</w:t>
            </w:r>
          </w:p>
        </w:tc>
        <w:tc>
          <w:tcPr>
            <w:tcW w:w="924" w:type="dxa"/>
          </w:tcPr>
          <w:p w14:paraId="219D6E09" w14:textId="77777777" w:rsidR="00CE70C1" w:rsidRDefault="00CE70C1">
            <w:pPr>
              <w:cnfStyle w:val="000000000000" w:firstRow="0" w:lastRow="0" w:firstColumn="0" w:lastColumn="0" w:oddVBand="0" w:evenVBand="0" w:oddHBand="0" w:evenHBand="0" w:firstRowFirstColumn="0" w:firstRowLastColumn="0" w:lastRowFirstColumn="0" w:lastRowLastColumn="0"/>
            </w:pPr>
            <w:r>
              <w:t>(13.5)</w:t>
            </w:r>
          </w:p>
        </w:tc>
      </w:tr>
      <w:tr w:rsidR="00CE70C1" w14:paraId="1924B778"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394FA35B" w14:textId="209C54CC" w:rsidR="00CE70C1" w:rsidRDefault="00CE70C1">
            <w:r>
              <w:t>Economic Regulatory Services</w:t>
            </w:r>
            <w:r w:rsidR="00E54309">
              <w:t xml:space="preserve"> </w:t>
            </w:r>
            <w:r w:rsidRPr="00A7185F">
              <w:rPr>
                <w:vertAlign w:val="superscript"/>
              </w:rPr>
              <w:t>(e)</w:t>
            </w:r>
          </w:p>
        </w:tc>
        <w:tc>
          <w:tcPr>
            <w:tcW w:w="924" w:type="dxa"/>
          </w:tcPr>
          <w:p w14:paraId="3F3AB446" w14:textId="77777777" w:rsidR="00CE70C1" w:rsidRDefault="00CE70C1">
            <w:pPr>
              <w:cnfStyle w:val="000000000000" w:firstRow="0" w:lastRow="0" w:firstColumn="0" w:lastColumn="0" w:oddVBand="0" w:evenVBand="0" w:oddHBand="0" w:evenHBand="0" w:firstRowFirstColumn="0" w:firstRowLastColumn="0" w:lastRowFirstColumn="0" w:lastRowLastColumn="0"/>
            </w:pPr>
            <w:r>
              <w:t>6.9</w:t>
            </w:r>
          </w:p>
        </w:tc>
        <w:tc>
          <w:tcPr>
            <w:tcW w:w="924" w:type="dxa"/>
          </w:tcPr>
          <w:p w14:paraId="4A22AF94" w14:textId="77777777" w:rsidR="00CE70C1" w:rsidRDefault="00CE70C1">
            <w:pPr>
              <w:cnfStyle w:val="000000000000" w:firstRow="0" w:lastRow="0" w:firstColumn="0" w:lastColumn="0" w:oddVBand="0" w:evenVBand="0" w:oddHBand="0" w:evenHBand="0" w:firstRowFirstColumn="0" w:firstRowLastColumn="0" w:lastRowFirstColumn="0" w:lastRowLastColumn="0"/>
            </w:pPr>
            <w:r>
              <w:t>7.3</w:t>
            </w:r>
          </w:p>
        </w:tc>
        <w:tc>
          <w:tcPr>
            <w:tcW w:w="924" w:type="dxa"/>
          </w:tcPr>
          <w:p w14:paraId="0DEE001C" w14:textId="77777777" w:rsidR="00CE70C1" w:rsidRDefault="00CE70C1">
            <w:pPr>
              <w:cnfStyle w:val="000000000000" w:firstRow="0" w:lastRow="0" w:firstColumn="0" w:lastColumn="0" w:oddVBand="0" w:evenVBand="0" w:oddHBand="0" w:evenHBand="0" w:firstRowFirstColumn="0" w:firstRowLastColumn="0" w:lastRowFirstColumn="0" w:lastRowLastColumn="0"/>
            </w:pPr>
            <w:r>
              <w:t>6.3</w:t>
            </w:r>
          </w:p>
        </w:tc>
        <w:tc>
          <w:tcPr>
            <w:tcW w:w="924" w:type="dxa"/>
          </w:tcPr>
          <w:p w14:paraId="7E86EC50" w14:textId="77777777" w:rsidR="00CE70C1" w:rsidRDefault="00CE70C1">
            <w:pPr>
              <w:cnfStyle w:val="000000000000" w:firstRow="0" w:lastRow="0" w:firstColumn="0" w:lastColumn="0" w:oddVBand="0" w:evenVBand="0" w:oddHBand="0" w:evenHBand="0" w:firstRowFirstColumn="0" w:firstRowLastColumn="0" w:lastRowFirstColumn="0" w:lastRowLastColumn="0"/>
            </w:pPr>
            <w:r>
              <w:t>(8.5)</w:t>
            </w:r>
          </w:p>
        </w:tc>
      </w:tr>
      <w:tr w:rsidR="00CE70C1" w14:paraId="36BEC5DB"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309F3A8E" w14:textId="77777777" w:rsidR="00CE70C1" w:rsidRDefault="00CE70C1">
            <w:r>
              <w:rPr>
                <w:b/>
              </w:rPr>
              <w:t>Improve how the Government manages its balance sheet, commercial activities and public sector infrastructure</w:t>
            </w:r>
          </w:p>
        </w:tc>
        <w:tc>
          <w:tcPr>
            <w:tcW w:w="924" w:type="dxa"/>
          </w:tcPr>
          <w:p w14:paraId="679629C2"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06CCDEF5"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09ABFA93"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25B89F2A"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r>
      <w:tr w:rsidR="00CE70C1" w14:paraId="4FBD3C99"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4FB933DB" w14:textId="77777777" w:rsidR="00CE70C1" w:rsidRDefault="00CE70C1">
            <w:r>
              <w:t xml:space="preserve">Commercial and Infrastructure Advice </w:t>
            </w:r>
            <w:r w:rsidRPr="003B1254">
              <w:rPr>
                <w:vertAlign w:val="superscript"/>
              </w:rPr>
              <w:t>(</w:t>
            </w:r>
            <w:r>
              <w:rPr>
                <w:vertAlign w:val="superscript"/>
              </w:rPr>
              <w:t>f</w:t>
            </w:r>
            <w:r w:rsidRPr="003B1254">
              <w:rPr>
                <w:vertAlign w:val="superscript"/>
              </w:rPr>
              <w:t>)</w:t>
            </w:r>
            <w:r>
              <w:t xml:space="preserve"> </w:t>
            </w:r>
          </w:p>
        </w:tc>
        <w:tc>
          <w:tcPr>
            <w:tcW w:w="924" w:type="dxa"/>
          </w:tcPr>
          <w:p w14:paraId="0F073579" w14:textId="77777777" w:rsidR="00CE70C1" w:rsidRDefault="00CE70C1">
            <w:pPr>
              <w:cnfStyle w:val="000000000000" w:firstRow="0" w:lastRow="0" w:firstColumn="0" w:lastColumn="0" w:oddVBand="0" w:evenVBand="0" w:oddHBand="0" w:evenHBand="0" w:firstRowFirstColumn="0" w:firstRowLastColumn="0" w:lastRowFirstColumn="0" w:lastRowLastColumn="0"/>
            </w:pPr>
            <w:r>
              <w:t>92.1</w:t>
            </w:r>
          </w:p>
        </w:tc>
        <w:tc>
          <w:tcPr>
            <w:tcW w:w="924" w:type="dxa"/>
          </w:tcPr>
          <w:p w14:paraId="229B1F6D" w14:textId="77777777" w:rsidR="00CE70C1" w:rsidRDefault="00CE70C1">
            <w:pPr>
              <w:cnfStyle w:val="000000000000" w:firstRow="0" w:lastRow="0" w:firstColumn="0" w:lastColumn="0" w:oddVBand="0" w:evenVBand="0" w:oddHBand="0" w:evenHBand="0" w:firstRowFirstColumn="0" w:firstRowLastColumn="0" w:lastRowFirstColumn="0" w:lastRowLastColumn="0"/>
            </w:pPr>
            <w:r>
              <w:t>89.6</w:t>
            </w:r>
          </w:p>
        </w:tc>
        <w:tc>
          <w:tcPr>
            <w:tcW w:w="924" w:type="dxa"/>
          </w:tcPr>
          <w:p w14:paraId="19FBBFE9" w14:textId="77777777" w:rsidR="00CE70C1" w:rsidRDefault="00CE70C1">
            <w:pPr>
              <w:cnfStyle w:val="000000000000" w:firstRow="0" w:lastRow="0" w:firstColumn="0" w:lastColumn="0" w:oddVBand="0" w:evenVBand="0" w:oddHBand="0" w:evenHBand="0" w:firstRowFirstColumn="0" w:firstRowLastColumn="0" w:lastRowFirstColumn="0" w:lastRowLastColumn="0"/>
            </w:pPr>
            <w:r>
              <w:t>95.5</w:t>
            </w:r>
          </w:p>
        </w:tc>
        <w:tc>
          <w:tcPr>
            <w:tcW w:w="924" w:type="dxa"/>
          </w:tcPr>
          <w:p w14:paraId="69FDFC19" w14:textId="77777777" w:rsidR="00CE70C1" w:rsidRDefault="00CE70C1">
            <w:pPr>
              <w:cnfStyle w:val="000000000000" w:firstRow="0" w:lastRow="0" w:firstColumn="0" w:lastColumn="0" w:oddVBand="0" w:evenVBand="0" w:oddHBand="0" w:evenHBand="0" w:firstRowFirstColumn="0" w:firstRowLastColumn="0" w:lastRowFirstColumn="0" w:lastRowLastColumn="0"/>
            </w:pPr>
            <w:r>
              <w:t>3.7</w:t>
            </w:r>
          </w:p>
        </w:tc>
      </w:tr>
      <w:tr w:rsidR="00CE70C1" w14:paraId="2C327C8B"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29CA9A8A" w14:textId="17374D07" w:rsidR="00CE70C1" w:rsidRDefault="00CE70C1">
            <w:r>
              <w:t>Infrastructure Victoria</w:t>
            </w:r>
            <w:r w:rsidR="00E54309">
              <w:t xml:space="preserve"> </w:t>
            </w:r>
            <w:r w:rsidRPr="00A7185F">
              <w:rPr>
                <w:vertAlign w:val="superscript"/>
              </w:rPr>
              <w:t>(</w:t>
            </w:r>
            <w:r>
              <w:rPr>
                <w:vertAlign w:val="superscript"/>
              </w:rPr>
              <w:t>g</w:t>
            </w:r>
            <w:r w:rsidRPr="00A7185F">
              <w:rPr>
                <w:vertAlign w:val="superscript"/>
              </w:rPr>
              <w:t>)</w:t>
            </w:r>
          </w:p>
        </w:tc>
        <w:tc>
          <w:tcPr>
            <w:tcW w:w="924" w:type="dxa"/>
          </w:tcPr>
          <w:p w14:paraId="5C977B9E" w14:textId="77777777" w:rsidR="00CE70C1" w:rsidRDefault="00CE70C1">
            <w:pPr>
              <w:cnfStyle w:val="000000000000" w:firstRow="0" w:lastRow="0" w:firstColumn="0" w:lastColumn="0" w:oddVBand="0" w:evenVBand="0" w:oddHBand="0" w:evenHBand="0" w:firstRowFirstColumn="0" w:firstRowLastColumn="0" w:lastRowFirstColumn="0" w:lastRowLastColumn="0"/>
            </w:pPr>
            <w:r>
              <w:t>9.3</w:t>
            </w:r>
          </w:p>
        </w:tc>
        <w:tc>
          <w:tcPr>
            <w:tcW w:w="924" w:type="dxa"/>
          </w:tcPr>
          <w:p w14:paraId="3A6E5449" w14:textId="77777777" w:rsidR="00CE70C1" w:rsidRDefault="00CE70C1">
            <w:pPr>
              <w:cnfStyle w:val="000000000000" w:firstRow="0" w:lastRow="0" w:firstColumn="0" w:lastColumn="0" w:oddVBand="0" w:evenVBand="0" w:oddHBand="0" w:evenHBand="0" w:firstRowFirstColumn="0" w:firstRowLastColumn="0" w:lastRowFirstColumn="0" w:lastRowLastColumn="0"/>
            </w:pPr>
            <w:r>
              <w:t>9.5</w:t>
            </w:r>
          </w:p>
        </w:tc>
        <w:tc>
          <w:tcPr>
            <w:tcW w:w="924" w:type="dxa"/>
          </w:tcPr>
          <w:p w14:paraId="793709EC" w14:textId="77777777" w:rsidR="00CE70C1" w:rsidRDefault="00CE70C1">
            <w:pPr>
              <w:cnfStyle w:val="000000000000" w:firstRow="0" w:lastRow="0" w:firstColumn="0" w:lastColumn="0" w:oddVBand="0" w:evenVBand="0" w:oddHBand="0" w:evenHBand="0" w:firstRowFirstColumn="0" w:firstRowLastColumn="0" w:lastRowFirstColumn="0" w:lastRowLastColumn="0"/>
            </w:pPr>
            <w:r>
              <w:t>7.4</w:t>
            </w:r>
          </w:p>
        </w:tc>
        <w:tc>
          <w:tcPr>
            <w:tcW w:w="924" w:type="dxa"/>
          </w:tcPr>
          <w:p w14:paraId="4F84941A" w14:textId="77777777" w:rsidR="00CE70C1" w:rsidRDefault="00CE70C1">
            <w:pPr>
              <w:cnfStyle w:val="000000000000" w:firstRow="0" w:lastRow="0" w:firstColumn="0" w:lastColumn="0" w:oddVBand="0" w:evenVBand="0" w:oddHBand="0" w:evenHBand="0" w:firstRowFirstColumn="0" w:firstRowLastColumn="0" w:lastRowFirstColumn="0" w:lastRowLastColumn="0"/>
            </w:pPr>
            <w:r>
              <w:t>(20.2)</w:t>
            </w:r>
          </w:p>
        </w:tc>
      </w:tr>
      <w:tr w:rsidR="00CE70C1" w14:paraId="092E4EB9" w14:textId="77777777" w:rsidTr="00D802BB">
        <w:tc>
          <w:tcPr>
            <w:cnfStyle w:val="001000000000" w:firstRow="0" w:lastRow="0" w:firstColumn="1" w:lastColumn="0" w:oddVBand="0" w:evenVBand="0" w:oddHBand="0" w:evenHBand="0" w:firstRowFirstColumn="0" w:firstRowLastColumn="0" w:lastRowFirstColumn="0" w:lastRowLastColumn="0"/>
            <w:tcW w:w="5953" w:type="dxa"/>
          </w:tcPr>
          <w:p w14:paraId="27E0A4D5" w14:textId="4A73B047" w:rsidR="00CE70C1" w:rsidRDefault="00CE70C1">
            <w:r>
              <w:rPr>
                <w:b/>
              </w:rPr>
              <w:t>Strengthen Victoria’s economic performance through fair, equitable and productive workplaces</w:t>
            </w:r>
          </w:p>
        </w:tc>
        <w:tc>
          <w:tcPr>
            <w:tcW w:w="924" w:type="dxa"/>
          </w:tcPr>
          <w:p w14:paraId="70204C07"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2211A1C7"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313955C0"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c>
          <w:tcPr>
            <w:tcW w:w="924" w:type="dxa"/>
          </w:tcPr>
          <w:p w14:paraId="7F9B7040" w14:textId="77777777" w:rsidR="00CE70C1" w:rsidRDefault="00CE70C1">
            <w:pPr>
              <w:cnfStyle w:val="000000000000" w:firstRow="0" w:lastRow="0" w:firstColumn="0" w:lastColumn="0" w:oddVBand="0" w:evenVBand="0" w:oddHBand="0" w:evenHBand="0" w:firstRowFirstColumn="0" w:firstRowLastColumn="0" w:lastRowFirstColumn="0" w:lastRowLastColumn="0"/>
            </w:pPr>
          </w:p>
        </w:tc>
      </w:tr>
      <w:tr w:rsidR="00CE70C1" w14:paraId="21B95B77" w14:textId="77777777" w:rsidTr="00D802BB">
        <w:tc>
          <w:tcPr>
            <w:cnfStyle w:val="001000000000" w:firstRow="0" w:lastRow="0" w:firstColumn="1" w:lastColumn="0" w:oddVBand="0" w:evenVBand="0" w:oddHBand="0" w:evenHBand="0" w:firstRowFirstColumn="0" w:firstRowLastColumn="0" w:lastRowFirstColumn="0" w:lastRowLastColumn="0"/>
            <w:tcW w:w="5953" w:type="dxa"/>
            <w:tcBorders>
              <w:bottom w:val="single" w:sz="6" w:space="0" w:color="auto"/>
            </w:tcBorders>
          </w:tcPr>
          <w:p w14:paraId="508ED244" w14:textId="3F92CE26" w:rsidR="00CE70C1" w:rsidRDefault="00CE70C1">
            <w:r>
              <w:t>Industrial relations</w:t>
            </w:r>
            <w:r w:rsidR="00E54309">
              <w:t xml:space="preserve"> </w:t>
            </w:r>
            <w:r w:rsidRPr="00A7185F">
              <w:rPr>
                <w:vertAlign w:val="superscript"/>
              </w:rPr>
              <w:t>(</w:t>
            </w:r>
            <w:r>
              <w:rPr>
                <w:vertAlign w:val="superscript"/>
              </w:rPr>
              <w:t>h</w:t>
            </w:r>
            <w:r w:rsidRPr="00A7185F">
              <w:rPr>
                <w:vertAlign w:val="superscript"/>
              </w:rPr>
              <w:t>)</w:t>
            </w:r>
          </w:p>
        </w:tc>
        <w:tc>
          <w:tcPr>
            <w:tcW w:w="924" w:type="dxa"/>
            <w:tcBorders>
              <w:bottom w:val="single" w:sz="6" w:space="0" w:color="auto"/>
            </w:tcBorders>
          </w:tcPr>
          <w:p w14:paraId="12256A59" w14:textId="77777777" w:rsidR="00CE70C1" w:rsidRDefault="00CE70C1">
            <w:pPr>
              <w:cnfStyle w:val="000000000000" w:firstRow="0" w:lastRow="0" w:firstColumn="0" w:lastColumn="0" w:oddVBand="0" w:evenVBand="0" w:oddHBand="0" w:evenHBand="0" w:firstRowFirstColumn="0" w:firstRowLastColumn="0" w:lastRowFirstColumn="0" w:lastRowLastColumn="0"/>
            </w:pPr>
            <w:r>
              <w:t>33.1</w:t>
            </w:r>
          </w:p>
        </w:tc>
        <w:tc>
          <w:tcPr>
            <w:tcW w:w="924" w:type="dxa"/>
            <w:tcBorders>
              <w:bottom w:val="single" w:sz="6" w:space="0" w:color="auto"/>
            </w:tcBorders>
          </w:tcPr>
          <w:p w14:paraId="406DA489" w14:textId="77777777" w:rsidR="00CE70C1" w:rsidRDefault="00CE70C1">
            <w:pPr>
              <w:cnfStyle w:val="000000000000" w:firstRow="0" w:lastRow="0" w:firstColumn="0" w:lastColumn="0" w:oddVBand="0" w:evenVBand="0" w:oddHBand="0" w:evenHBand="0" w:firstRowFirstColumn="0" w:firstRowLastColumn="0" w:lastRowFirstColumn="0" w:lastRowLastColumn="0"/>
            </w:pPr>
            <w:r>
              <w:t>31.8</w:t>
            </w:r>
          </w:p>
        </w:tc>
        <w:tc>
          <w:tcPr>
            <w:tcW w:w="924" w:type="dxa"/>
            <w:tcBorders>
              <w:bottom w:val="single" w:sz="6" w:space="0" w:color="auto"/>
            </w:tcBorders>
          </w:tcPr>
          <w:p w14:paraId="4D44A552" w14:textId="77777777" w:rsidR="00CE70C1" w:rsidRDefault="00CE70C1">
            <w:pPr>
              <w:cnfStyle w:val="000000000000" w:firstRow="0" w:lastRow="0" w:firstColumn="0" w:lastColumn="0" w:oddVBand="0" w:evenVBand="0" w:oddHBand="0" w:evenHBand="0" w:firstRowFirstColumn="0" w:firstRowLastColumn="0" w:lastRowFirstColumn="0" w:lastRowLastColumn="0"/>
            </w:pPr>
            <w:r>
              <w:t>23.3</w:t>
            </w:r>
          </w:p>
        </w:tc>
        <w:tc>
          <w:tcPr>
            <w:tcW w:w="924" w:type="dxa"/>
            <w:tcBorders>
              <w:bottom w:val="single" w:sz="6" w:space="0" w:color="auto"/>
            </w:tcBorders>
          </w:tcPr>
          <w:p w14:paraId="5D87118E" w14:textId="77777777" w:rsidR="00CE70C1" w:rsidRDefault="00CE70C1">
            <w:pPr>
              <w:cnfStyle w:val="000000000000" w:firstRow="0" w:lastRow="0" w:firstColumn="0" w:lastColumn="0" w:oddVBand="0" w:evenVBand="0" w:oddHBand="0" w:evenHBand="0" w:firstRowFirstColumn="0" w:firstRowLastColumn="0" w:lastRowFirstColumn="0" w:lastRowLastColumn="0"/>
            </w:pPr>
            <w:r>
              <w:t>(29.8)</w:t>
            </w:r>
          </w:p>
        </w:tc>
      </w:tr>
      <w:tr w:rsidR="00CE70C1" w14:paraId="7D7EC7F7" w14:textId="77777777" w:rsidTr="00D802BB">
        <w:tc>
          <w:tcPr>
            <w:cnfStyle w:val="001000000000" w:firstRow="0" w:lastRow="0" w:firstColumn="1" w:lastColumn="0" w:oddVBand="0" w:evenVBand="0" w:oddHBand="0" w:evenHBand="0" w:firstRowFirstColumn="0" w:firstRowLastColumn="0" w:lastRowFirstColumn="0" w:lastRowLastColumn="0"/>
            <w:tcW w:w="5953" w:type="dxa"/>
            <w:tcBorders>
              <w:top w:val="single" w:sz="6" w:space="0" w:color="auto"/>
              <w:bottom w:val="single" w:sz="12" w:space="0" w:color="auto"/>
            </w:tcBorders>
          </w:tcPr>
          <w:p w14:paraId="5EF6A6C4" w14:textId="77777777" w:rsidR="00CE70C1" w:rsidRDefault="00CE70C1">
            <w:r>
              <w:rPr>
                <w:b/>
              </w:rPr>
              <w:t>Total</w:t>
            </w:r>
          </w:p>
        </w:tc>
        <w:tc>
          <w:tcPr>
            <w:tcW w:w="924" w:type="dxa"/>
            <w:tcBorders>
              <w:top w:val="single" w:sz="6" w:space="0" w:color="auto"/>
              <w:bottom w:val="single" w:sz="12" w:space="0" w:color="auto"/>
            </w:tcBorders>
          </w:tcPr>
          <w:p w14:paraId="3768926F" w14:textId="77777777" w:rsidR="00CE70C1" w:rsidRDefault="00CE70C1">
            <w:pPr>
              <w:cnfStyle w:val="000000000000" w:firstRow="0" w:lastRow="0" w:firstColumn="0" w:lastColumn="0" w:oddVBand="0" w:evenVBand="0" w:oddHBand="0" w:evenHBand="0" w:firstRowFirstColumn="0" w:firstRowLastColumn="0" w:lastRowFirstColumn="0" w:lastRowLastColumn="0"/>
            </w:pPr>
            <w:r>
              <w:rPr>
                <w:b/>
              </w:rPr>
              <w:t>500.7</w:t>
            </w:r>
          </w:p>
        </w:tc>
        <w:tc>
          <w:tcPr>
            <w:tcW w:w="924" w:type="dxa"/>
            <w:tcBorders>
              <w:top w:val="single" w:sz="6" w:space="0" w:color="auto"/>
              <w:bottom w:val="single" w:sz="12" w:space="0" w:color="auto"/>
            </w:tcBorders>
          </w:tcPr>
          <w:p w14:paraId="41C66F03" w14:textId="77777777" w:rsidR="00CE70C1" w:rsidRDefault="00CE70C1">
            <w:pPr>
              <w:cnfStyle w:val="000000000000" w:firstRow="0" w:lastRow="0" w:firstColumn="0" w:lastColumn="0" w:oddVBand="0" w:evenVBand="0" w:oddHBand="0" w:evenHBand="0" w:firstRowFirstColumn="0" w:firstRowLastColumn="0" w:lastRowFirstColumn="0" w:lastRowLastColumn="0"/>
            </w:pPr>
            <w:r>
              <w:rPr>
                <w:b/>
              </w:rPr>
              <w:t>504.5</w:t>
            </w:r>
          </w:p>
        </w:tc>
        <w:tc>
          <w:tcPr>
            <w:tcW w:w="924" w:type="dxa"/>
            <w:tcBorders>
              <w:top w:val="single" w:sz="6" w:space="0" w:color="auto"/>
              <w:bottom w:val="single" w:sz="12" w:space="0" w:color="auto"/>
            </w:tcBorders>
          </w:tcPr>
          <w:p w14:paraId="5C1915A2" w14:textId="77777777" w:rsidR="00CE70C1" w:rsidRDefault="00CE70C1">
            <w:pPr>
              <w:cnfStyle w:val="000000000000" w:firstRow="0" w:lastRow="0" w:firstColumn="0" w:lastColumn="0" w:oddVBand="0" w:evenVBand="0" w:oddHBand="0" w:evenHBand="0" w:firstRowFirstColumn="0" w:firstRowLastColumn="0" w:lastRowFirstColumn="0" w:lastRowLastColumn="0"/>
            </w:pPr>
            <w:r>
              <w:rPr>
                <w:b/>
              </w:rPr>
              <w:t>496.2</w:t>
            </w:r>
          </w:p>
        </w:tc>
        <w:tc>
          <w:tcPr>
            <w:tcW w:w="924" w:type="dxa"/>
            <w:tcBorders>
              <w:top w:val="single" w:sz="6" w:space="0" w:color="auto"/>
              <w:bottom w:val="single" w:sz="12" w:space="0" w:color="auto"/>
            </w:tcBorders>
          </w:tcPr>
          <w:p w14:paraId="495FDBC4" w14:textId="77777777" w:rsidR="00CE70C1" w:rsidRDefault="00CE70C1">
            <w:pPr>
              <w:cnfStyle w:val="000000000000" w:firstRow="0" w:lastRow="0" w:firstColumn="0" w:lastColumn="0" w:oddVBand="0" w:evenVBand="0" w:oddHBand="0" w:evenHBand="0" w:firstRowFirstColumn="0" w:firstRowLastColumn="0" w:lastRowFirstColumn="0" w:lastRowLastColumn="0"/>
            </w:pPr>
            <w:r>
              <w:rPr>
                <w:b/>
              </w:rPr>
              <w:t>(0.9)</w:t>
            </w:r>
          </w:p>
        </w:tc>
      </w:tr>
    </w:tbl>
    <w:p w14:paraId="4FB8B97F" w14:textId="77777777" w:rsidR="00CE70C1" w:rsidRDefault="00CE70C1" w:rsidP="00CE70C1">
      <w:pPr>
        <w:pStyle w:val="Source"/>
        <w:rPr>
          <w:lang w:eastAsia="en-AU"/>
        </w:rPr>
      </w:pPr>
      <w:r>
        <w:rPr>
          <w:lang w:eastAsia="en-AU"/>
        </w:rPr>
        <w:t>Source: Department of Treasury and Finance</w:t>
      </w:r>
    </w:p>
    <w:p w14:paraId="34745C55" w14:textId="5E09AEDE" w:rsidR="00CE70C1" w:rsidRPr="00557877" w:rsidRDefault="00CE70C1" w:rsidP="00CE70C1">
      <w:pPr>
        <w:pStyle w:val="Note"/>
      </w:pPr>
      <w:r w:rsidRPr="00557877">
        <w:t>Notes:</w:t>
      </w:r>
    </w:p>
    <w:p w14:paraId="37B74B7C" w14:textId="0ADB723F" w:rsidR="00CE70C1" w:rsidRDefault="00E54309" w:rsidP="00E54309">
      <w:pPr>
        <w:pStyle w:val="Note"/>
        <w:rPr>
          <w:lang w:eastAsia="en-AU"/>
        </w:rPr>
      </w:pPr>
      <w:r>
        <w:t>(a)</w:t>
      </w:r>
      <w:r>
        <w:tab/>
      </w:r>
      <w:r w:rsidR="00CE70C1" w:rsidRPr="00B134B2">
        <w:rPr>
          <w:lang w:eastAsia="en-AU"/>
        </w:rPr>
        <w:t xml:space="preserve">Variation between 2025-26 budget and 2026-27 budget. </w:t>
      </w:r>
    </w:p>
    <w:p w14:paraId="5AEE64BB" w14:textId="63420B2C" w:rsidR="00361D98" w:rsidRDefault="00E54309" w:rsidP="00E54309">
      <w:pPr>
        <w:pStyle w:val="Note"/>
        <w:rPr>
          <w:iCs/>
          <w:lang w:eastAsia="en-AU"/>
        </w:rPr>
      </w:pPr>
      <w:r>
        <w:t>(b)</w:t>
      </w:r>
      <w:r>
        <w:tab/>
      </w:r>
      <w:r w:rsidR="00CE70C1" w:rsidRPr="00D4711D">
        <w:rPr>
          <w:iCs/>
          <w:lang w:eastAsia="en-AU"/>
        </w:rPr>
        <w:t xml:space="preserve">The lower 2026-27 target </w:t>
      </w:r>
      <w:r w:rsidR="00EE768A">
        <w:rPr>
          <w:iCs/>
          <w:lang w:eastAsia="en-AU"/>
        </w:rPr>
        <w:t xml:space="preserve">reflects </w:t>
      </w:r>
      <w:r w:rsidR="007725C8">
        <w:rPr>
          <w:iCs/>
          <w:lang w:eastAsia="en-AU"/>
        </w:rPr>
        <w:t>tapering</w:t>
      </w:r>
      <w:r w:rsidR="00EE768A">
        <w:rPr>
          <w:iCs/>
          <w:lang w:eastAsia="en-AU"/>
        </w:rPr>
        <w:t xml:space="preserve"> funding and savings from the</w:t>
      </w:r>
      <w:r w:rsidR="00CE70C1" w:rsidRPr="00D4711D">
        <w:rPr>
          <w:iCs/>
          <w:lang w:eastAsia="en-AU"/>
        </w:rPr>
        <w:t xml:space="preserve"> Independent Review of the Victorian Public Service </w:t>
      </w:r>
      <w:r w:rsidR="00EE768A">
        <w:rPr>
          <w:iCs/>
          <w:lang w:eastAsia="en-AU"/>
        </w:rPr>
        <w:t xml:space="preserve">attributable </w:t>
      </w:r>
      <w:r w:rsidR="00CE70C1" w:rsidRPr="00D4711D">
        <w:rPr>
          <w:iCs/>
          <w:lang w:eastAsia="en-AU"/>
        </w:rPr>
        <w:t xml:space="preserve">to this output. </w:t>
      </w:r>
    </w:p>
    <w:p w14:paraId="0DD79F34" w14:textId="589D3DC8" w:rsidR="00CE70C1" w:rsidRDefault="00361D98" w:rsidP="00E54309">
      <w:pPr>
        <w:pStyle w:val="Note"/>
        <w:rPr>
          <w:lang w:eastAsia="en-AU"/>
        </w:rPr>
      </w:pPr>
      <w:r>
        <w:rPr>
          <w:iCs/>
          <w:lang w:eastAsia="en-AU"/>
        </w:rPr>
        <w:t>(c)</w:t>
      </w:r>
      <w:r>
        <w:rPr>
          <w:iCs/>
          <w:lang w:eastAsia="en-AU"/>
        </w:rPr>
        <w:tab/>
      </w:r>
      <w:r w:rsidR="00CE70C1">
        <w:rPr>
          <w:lang w:eastAsia="en-AU"/>
        </w:rPr>
        <w:t>The higher 2026-27 target in part reflects funding rephased from the prior year.</w:t>
      </w:r>
    </w:p>
    <w:p w14:paraId="240353F3" w14:textId="0A5BC8EA" w:rsidR="00CE70C1" w:rsidRDefault="00E54309" w:rsidP="00E54309">
      <w:pPr>
        <w:pStyle w:val="Note"/>
        <w:rPr>
          <w:lang w:eastAsia="en-AU"/>
        </w:rPr>
      </w:pPr>
      <w:r>
        <w:t>(</w:t>
      </w:r>
      <w:r w:rsidR="00361D98">
        <w:t>d</w:t>
      </w:r>
      <w:r>
        <w:t>)</w:t>
      </w:r>
      <w:r>
        <w:tab/>
      </w:r>
      <w:r w:rsidR="00CE70C1" w:rsidRPr="73E08E62">
        <w:rPr>
          <w:lang w:eastAsia="en-AU"/>
        </w:rPr>
        <w:t xml:space="preserve">The lower 2026-27 target mainly reflects a tapering down of initiatives as they reach their conclusion, as well as the estimated share of the savings from the Independent Review of the Victorian Public Service. This is partly offset by funding rephased from the prior year to 2026-27. </w:t>
      </w:r>
    </w:p>
    <w:p w14:paraId="70E5B743" w14:textId="66D11634" w:rsidR="00361D98" w:rsidRDefault="00E54309" w:rsidP="00E54309">
      <w:pPr>
        <w:pStyle w:val="Note"/>
        <w:rPr>
          <w:lang w:eastAsia="en-AU"/>
        </w:rPr>
      </w:pPr>
      <w:r>
        <w:t>(</w:t>
      </w:r>
      <w:r w:rsidR="00361D98">
        <w:t>e</w:t>
      </w:r>
      <w:r>
        <w:t>)</w:t>
      </w:r>
      <w:r>
        <w:tab/>
      </w:r>
      <w:r w:rsidR="00CE70C1">
        <w:rPr>
          <w:lang w:eastAsia="en-AU"/>
        </w:rPr>
        <w:t>T</w:t>
      </w:r>
      <w:r w:rsidR="00CE70C1" w:rsidRPr="006E0FBA">
        <w:rPr>
          <w:lang w:eastAsia="en-AU"/>
        </w:rPr>
        <w:t>he lower 2026-27 target reflects lower grant funding from DTF</w:t>
      </w:r>
      <w:r w:rsidR="00CE70C1">
        <w:rPr>
          <w:lang w:eastAsia="en-AU"/>
        </w:rPr>
        <w:t xml:space="preserve">. </w:t>
      </w:r>
    </w:p>
    <w:p w14:paraId="2EB864C0" w14:textId="59808763" w:rsidR="00CE70C1" w:rsidRDefault="00361D98" w:rsidP="00E54309">
      <w:pPr>
        <w:pStyle w:val="Note"/>
        <w:rPr>
          <w:lang w:eastAsia="en-AU"/>
        </w:rPr>
      </w:pPr>
      <w:r>
        <w:rPr>
          <w:lang w:eastAsia="en-AU"/>
        </w:rPr>
        <w:t>(f)</w:t>
      </w:r>
      <w:r>
        <w:rPr>
          <w:lang w:eastAsia="en-AU"/>
        </w:rPr>
        <w:tab/>
      </w:r>
      <w:r w:rsidR="00CE70C1" w:rsidRPr="00C10D94">
        <w:rPr>
          <w:lang w:eastAsia="en-AU"/>
        </w:rPr>
        <w:t>The higher 2026-27 target primarily reflects the funding received for Boosting return to work support and delivering safer workplaces for Victorians.</w:t>
      </w:r>
    </w:p>
    <w:p w14:paraId="72FDDA8F" w14:textId="7E4DADF7" w:rsidR="00CE70C1" w:rsidRDefault="00E54309" w:rsidP="00E54309">
      <w:pPr>
        <w:pStyle w:val="Note"/>
        <w:rPr>
          <w:lang w:eastAsia="en-AU"/>
        </w:rPr>
      </w:pPr>
      <w:r>
        <w:t>(</w:t>
      </w:r>
      <w:r w:rsidR="00E134A9">
        <w:t>g</w:t>
      </w:r>
      <w:r>
        <w:t>)</w:t>
      </w:r>
      <w:r>
        <w:tab/>
      </w:r>
      <w:r w:rsidR="00CE70C1" w:rsidRPr="007D05A9">
        <w:rPr>
          <w:lang w:eastAsia="en-AU"/>
        </w:rPr>
        <w:t>The lower 2026-27 target mainly reflects the impact of savings from the Independent Review of the Victorian Public Service.</w:t>
      </w:r>
    </w:p>
    <w:p w14:paraId="0FB6A4BA" w14:textId="0517DE36" w:rsidR="00CE70C1" w:rsidRPr="002062DA" w:rsidRDefault="00E54309" w:rsidP="00E54309">
      <w:pPr>
        <w:pStyle w:val="Note"/>
        <w:rPr>
          <w:lang w:eastAsia="en-AU"/>
        </w:rPr>
      </w:pPr>
      <w:r>
        <w:t>(</w:t>
      </w:r>
      <w:r w:rsidR="00E134A9">
        <w:t>h</w:t>
      </w:r>
      <w:r>
        <w:t>)</w:t>
      </w:r>
      <w:r>
        <w:tab/>
      </w:r>
      <w:r w:rsidR="00CE70C1" w:rsidRPr="00967CFC">
        <w:rPr>
          <w:lang w:eastAsia="en-AU"/>
        </w:rPr>
        <w:t>The lower 2026-27 target primarily reflects the transfer of funding for Gender Equality in the VPS to other departments, and funding rephased from prior years to 2025-26 for various projects. This is partly offset by funding rephased from 2025-26 to 2026-27.</w:t>
      </w:r>
    </w:p>
    <w:p w14:paraId="2ECA4C2B" w14:textId="77777777" w:rsidR="00D36A97" w:rsidRPr="001A0689" w:rsidRDefault="00D36A97" w:rsidP="001A0689">
      <w:r>
        <w:br w:type="page"/>
      </w:r>
    </w:p>
    <w:p w14:paraId="18A4C06E" w14:textId="77777777" w:rsidR="00824558" w:rsidRPr="00206384" w:rsidRDefault="00824558">
      <w:pPr>
        <w:pStyle w:val="Heading2"/>
      </w:pPr>
      <w:r w:rsidRPr="00206384">
        <w:t>Amounts available</w:t>
      </w:r>
    </w:p>
    <w:p w14:paraId="0376F18A" w14:textId="77777777" w:rsidR="00824558" w:rsidRPr="00206384" w:rsidRDefault="00824558">
      <w:r w:rsidRPr="00206384">
        <w:t xml:space="preserve">The following tables detail the amounts available to the </w:t>
      </w:r>
      <w:r>
        <w:t>D</w:t>
      </w:r>
      <w:r w:rsidRPr="00206384">
        <w:t xml:space="preserve">epartment from </w:t>
      </w:r>
      <w:r>
        <w:t>p</w:t>
      </w:r>
      <w:r w:rsidRPr="00206384">
        <w:t>arliamentary authority and income generated through transactions.</w:t>
      </w:r>
    </w:p>
    <w:p w14:paraId="051CE9BE" w14:textId="1C571928" w:rsidR="00824558" w:rsidRDefault="00824558">
      <w:r>
        <w:t>Table 29 outlines the Department</w:t>
      </w:r>
      <w:r w:rsidR="007942D1">
        <w:t>’</w:t>
      </w:r>
      <w:r>
        <w:t>s income from transactions and Table 30 summarises the sources of parliamentary authority available to the department to fund the provision of outputs, additions to the net asset base</w:t>
      </w:r>
      <w:r w:rsidR="0026555D">
        <w:t xml:space="preserve"> and</w:t>
      </w:r>
      <w:r>
        <w:t xml:space="preserve"> payments made on behalf of the State, and other sources expected to become available to the Department.</w:t>
      </w:r>
    </w:p>
    <w:p w14:paraId="187A5FA2" w14:textId="318888DB" w:rsidR="00854200" w:rsidRDefault="00854200" w:rsidP="00854200">
      <w:pPr>
        <w:pStyle w:val="TableHeading"/>
      </w:pPr>
      <w:r w:rsidRPr="0006066C">
        <w:t xml:space="preserve">Table </w:t>
      </w:r>
      <w:r>
        <w:t>29</w:t>
      </w:r>
      <w:r w:rsidRPr="0006066C">
        <w:t>:</w:t>
      </w:r>
      <w:r w:rsidRPr="0006066C">
        <w:tab/>
        <w:t xml:space="preserve">Income from transactions </w:t>
      </w:r>
      <w:r w:rsidRPr="0006066C">
        <w:tab/>
      </w:r>
      <w:r w:rsidR="002A0BF6" w:rsidDel="002A0BF6">
        <w:t xml:space="preserve"> </w:t>
      </w:r>
      <w:r w:rsidRPr="0006066C">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C91DC2" w14:paraId="29F05D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A279B" w14:textId="77777777" w:rsidR="00C91DC2" w:rsidRDefault="00C91DC2"/>
        </w:tc>
        <w:tc>
          <w:tcPr>
            <w:tcW w:w="851" w:type="dxa"/>
          </w:tcPr>
          <w:p w14:paraId="3C7E0EE5" w14:textId="77777777" w:rsidR="00C91DC2" w:rsidRDefault="00C91DC2">
            <w:pPr>
              <w:cnfStyle w:val="100000000000" w:firstRow="1" w:lastRow="0" w:firstColumn="0" w:lastColumn="0" w:oddVBand="0" w:evenVBand="0" w:oddHBand="0" w:evenHBand="0" w:firstRowFirstColumn="0" w:firstRowLastColumn="0" w:lastRowFirstColumn="0" w:lastRowLastColumn="0"/>
            </w:pPr>
            <w:r>
              <w:t>2024-25 budget</w:t>
            </w:r>
          </w:p>
        </w:tc>
        <w:tc>
          <w:tcPr>
            <w:tcW w:w="851" w:type="dxa"/>
          </w:tcPr>
          <w:p w14:paraId="4B0E39C3" w14:textId="77777777" w:rsidR="00C91DC2" w:rsidRDefault="00C91DC2">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7BCACE1F" w14:textId="77777777" w:rsidR="00C91DC2" w:rsidRDefault="00C91DC2">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2E5264C3" w14:textId="77777777" w:rsidR="00C91DC2" w:rsidRDefault="00C91DC2">
            <w:pPr>
              <w:cnfStyle w:val="100000000000" w:firstRow="1" w:lastRow="0" w:firstColumn="0" w:lastColumn="0" w:oddVBand="0" w:evenVBand="0" w:oddHBand="0" w:evenHBand="0" w:firstRowFirstColumn="0" w:firstRowLastColumn="0" w:lastRowFirstColumn="0" w:lastRowLastColumn="0"/>
            </w:pPr>
            <w:r>
              <w:t>2026-27 budget</w:t>
            </w:r>
          </w:p>
        </w:tc>
      </w:tr>
      <w:tr w:rsidR="00C91DC2" w:rsidRPr="00840D66" w14:paraId="0DC05B78"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5300371" w14:textId="77777777" w:rsidR="00C91DC2" w:rsidRPr="00840D66" w:rsidRDefault="00C91DC2">
            <w:pPr>
              <w:rPr>
                <w:lang w:eastAsia="en-AU"/>
              </w:rPr>
            </w:pPr>
            <w:r w:rsidRPr="00840D66">
              <w:rPr>
                <w:lang w:eastAsia="en-AU"/>
              </w:rPr>
              <w:t>Output appropriations</w:t>
            </w:r>
          </w:p>
        </w:tc>
        <w:tc>
          <w:tcPr>
            <w:tcW w:w="851" w:type="dxa"/>
            <w:noWrap/>
            <w:hideMark/>
          </w:tcPr>
          <w:p w14:paraId="1E00AF7D"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455.2</w:t>
            </w:r>
          </w:p>
        </w:tc>
        <w:tc>
          <w:tcPr>
            <w:tcW w:w="851" w:type="dxa"/>
            <w:noWrap/>
            <w:hideMark/>
          </w:tcPr>
          <w:p w14:paraId="1B59130C"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470.9</w:t>
            </w:r>
          </w:p>
        </w:tc>
        <w:tc>
          <w:tcPr>
            <w:tcW w:w="851" w:type="dxa"/>
            <w:noWrap/>
            <w:hideMark/>
          </w:tcPr>
          <w:p w14:paraId="433C7585"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475.0</w:t>
            </w:r>
          </w:p>
        </w:tc>
        <w:tc>
          <w:tcPr>
            <w:tcW w:w="851" w:type="dxa"/>
            <w:noWrap/>
            <w:hideMark/>
          </w:tcPr>
          <w:p w14:paraId="01755812"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464.5</w:t>
            </w:r>
          </w:p>
        </w:tc>
      </w:tr>
      <w:tr w:rsidR="00C91DC2" w:rsidRPr="00840D66" w14:paraId="419FDF95"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781D586" w14:textId="77777777" w:rsidR="00C91DC2" w:rsidRPr="00840D66" w:rsidRDefault="00C91DC2">
            <w:pPr>
              <w:rPr>
                <w:lang w:eastAsia="en-AU"/>
              </w:rPr>
            </w:pPr>
            <w:r w:rsidRPr="00840D66">
              <w:rPr>
                <w:lang w:eastAsia="en-AU"/>
              </w:rPr>
              <w:t>Sales of goods and services</w:t>
            </w:r>
          </w:p>
        </w:tc>
        <w:tc>
          <w:tcPr>
            <w:tcW w:w="851" w:type="dxa"/>
            <w:noWrap/>
            <w:hideMark/>
          </w:tcPr>
          <w:p w14:paraId="3AE94D3C"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1.7</w:t>
            </w:r>
          </w:p>
        </w:tc>
        <w:tc>
          <w:tcPr>
            <w:tcW w:w="851" w:type="dxa"/>
            <w:noWrap/>
            <w:hideMark/>
          </w:tcPr>
          <w:p w14:paraId="2344C6EF"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1.0</w:t>
            </w:r>
          </w:p>
        </w:tc>
        <w:tc>
          <w:tcPr>
            <w:tcW w:w="851" w:type="dxa"/>
            <w:noWrap/>
            <w:hideMark/>
          </w:tcPr>
          <w:p w14:paraId="20908F99"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1.0</w:t>
            </w:r>
          </w:p>
        </w:tc>
        <w:tc>
          <w:tcPr>
            <w:tcW w:w="851" w:type="dxa"/>
            <w:noWrap/>
            <w:hideMark/>
          </w:tcPr>
          <w:p w14:paraId="64E1B313"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1.0</w:t>
            </w:r>
          </w:p>
        </w:tc>
      </w:tr>
      <w:tr w:rsidR="00C91DC2" w:rsidRPr="00840D66" w14:paraId="0EFB99E1"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D511E63" w14:textId="77777777" w:rsidR="00C91DC2" w:rsidRPr="00840D66" w:rsidRDefault="00C91DC2">
            <w:pPr>
              <w:rPr>
                <w:lang w:eastAsia="en-AU"/>
              </w:rPr>
            </w:pPr>
            <w:r w:rsidRPr="00840D66">
              <w:rPr>
                <w:lang w:eastAsia="en-AU"/>
              </w:rPr>
              <w:t>Grants</w:t>
            </w:r>
          </w:p>
        </w:tc>
        <w:tc>
          <w:tcPr>
            <w:tcW w:w="851" w:type="dxa"/>
            <w:noWrap/>
            <w:hideMark/>
          </w:tcPr>
          <w:p w14:paraId="1C078BD7"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0.7</w:t>
            </w:r>
          </w:p>
        </w:tc>
        <w:tc>
          <w:tcPr>
            <w:tcW w:w="851" w:type="dxa"/>
            <w:noWrap/>
            <w:hideMark/>
          </w:tcPr>
          <w:p w14:paraId="688C82B5"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2.6</w:t>
            </w:r>
          </w:p>
        </w:tc>
        <w:tc>
          <w:tcPr>
            <w:tcW w:w="851" w:type="dxa"/>
            <w:noWrap/>
            <w:hideMark/>
          </w:tcPr>
          <w:p w14:paraId="717F3E28"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2.0</w:t>
            </w:r>
          </w:p>
        </w:tc>
        <w:tc>
          <w:tcPr>
            <w:tcW w:w="851" w:type="dxa"/>
            <w:noWrap/>
            <w:hideMark/>
          </w:tcPr>
          <w:p w14:paraId="39806DA8"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1.9</w:t>
            </w:r>
          </w:p>
        </w:tc>
      </w:tr>
      <w:tr w:rsidR="00C91DC2" w:rsidRPr="00840D66" w14:paraId="60A9C8AA"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B0A07" w14:textId="77777777" w:rsidR="00C91DC2" w:rsidRPr="00840D66" w:rsidRDefault="00C91DC2">
            <w:pPr>
              <w:rPr>
                <w:lang w:eastAsia="en-AU"/>
              </w:rPr>
            </w:pPr>
            <w:r w:rsidRPr="00840D66">
              <w:rPr>
                <w:lang w:eastAsia="en-AU"/>
              </w:rPr>
              <w:t>Fair value of assets and services received free of charge or for nominal consideration</w:t>
            </w:r>
          </w:p>
        </w:tc>
        <w:tc>
          <w:tcPr>
            <w:tcW w:w="851" w:type="dxa"/>
            <w:noWrap/>
            <w:hideMark/>
          </w:tcPr>
          <w:p w14:paraId="0ACC9EB7"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7.7</w:t>
            </w:r>
          </w:p>
        </w:tc>
        <w:tc>
          <w:tcPr>
            <w:tcW w:w="851" w:type="dxa"/>
            <w:noWrap/>
            <w:hideMark/>
          </w:tcPr>
          <w:p w14:paraId="66F182BB"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25.1</w:t>
            </w:r>
          </w:p>
        </w:tc>
        <w:tc>
          <w:tcPr>
            <w:tcW w:w="851" w:type="dxa"/>
            <w:noWrap/>
            <w:hideMark/>
          </w:tcPr>
          <w:p w14:paraId="5A313F3C"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25.1</w:t>
            </w:r>
          </w:p>
        </w:tc>
        <w:tc>
          <w:tcPr>
            <w:tcW w:w="851" w:type="dxa"/>
            <w:noWrap/>
            <w:hideMark/>
          </w:tcPr>
          <w:p w14:paraId="2E53D1F1"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27.4</w:t>
            </w:r>
          </w:p>
        </w:tc>
      </w:tr>
      <w:tr w:rsidR="00C91DC2" w:rsidRPr="00840D66" w14:paraId="1D3E2D24" w14:textId="77777777" w:rsidTr="00E54309">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6C8411D9" w14:textId="77777777" w:rsidR="00C91DC2" w:rsidRPr="00840D66" w:rsidRDefault="00C91DC2">
            <w:pPr>
              <w:rPr>
                <w:lang w:eastAsia="en-AU"/>
              </w:rPr>
            </w:pPr>
            <w:r w:rsidRPr="00840D66">
              <w:rPr>
                <w:lang w:eastAsia="en-AU"/>
              </w:rPr>
              <w:t>Other income</w:t>
            </w:r>
          </w:p>
        </w:tc>
        <w:tc>
          <w:tcPr>
            <w:tcW w:w="851" w:type="dxa"/>
            <w:tcBorders>
              <w:bottom w:val="single" w:sz="6" w:space="0" w:color="auto"/>
            </w:tcBorders>
            <w:noWrap/>
            <w:hideMark/>
          </w:tcPr>
          <w:p w14:paraId="21ADA7D9"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0.4</w:t>
            </w:r>
          </w:p>
        </w:tc>
        <w:tc>
          <w:tcPr>
            <w:tcW w:w="851" w:type="dxa"/>
            <w:tcBorders>
              <w:bottom w:val="single" w:sz="6" w:space="0" w:color="auto"/>
            </w:tcBorders>
            <w:noWrap/>
            <w:hideMark/>
          </w:tcPr>
          <w:p w14:paraId="1E0CE69B"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1.1</w:t>
            </w:r>
          </w:p>
        </w:tc>
        <w:tc>
          <w:tcPr>
            <w:tcW w:w="851" w:type="dxa"/>
            <w:tcBorders>
              <w:bottom w:val="single" w:sz="6" w:space="0" w:color="auto"/>
            </w:tcBorders>
            <w:noWrap/>
            <w:hideMark/>
          </w:tcPr>
          <w:p w14:paraId="6FF799AE"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1.4</w:t>
            </w:r>
          </w:p>
        </w:tc>
        <w:tc>
          <w:tcPr>
            <w:tcW w:w="851" w:type="dxa"/>
            <w:tcBorders>
              <w:bottom w:val="single" w:sz="6" w:space="0" w:color="auto"/>
            </w:tcBorders>
            <w:noWrap/>
            <w:hideMark/>
          </w:tcPr>
          <w:p w14:paraId="08CF8C18" w14:textId="77777777" w:rsidR="00C91DC2" w:rsidRPr="00840D66" w:rsidRDefault="00C91DC2">
            <w:pPr>
              <w:cnfStyle w:val="000000000000" w:firstRow="0" w:lastRow="0" w:firstColumn="0" w:lastColumn="0" w:oddVBand="0" w:evenVBand="0" w:oddHBand="0" w:evenHBand="0" w:firstRowFirstColumn="0" w:firstRowLastColumn="0" w:lastRowFirstColumn="0" w:lastRowLastColumn="0"/>
              <w:rPr>
                <w:lang w:eastAsia="en-AU"/>
              </w:rPr>
            </w:pPr>
            <w:r w:rsidRPr="00840D66">
              <w:rPr>
                <w:lang w:eastAsia="en-AU"/>
              </w:rPr>
              <w:t>1.4</w:t>
            </w:r>
          </w:p>
        </w:tc>
      </w:tr>
      <w:tr w:rsidR="00C91DC2" w:rsidRPr="00840D66" w14:paraId="002D6F88" w14:textId="77777777" w:rsidTr="00E5430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5568F4C" w14:textId="77777777" w:rsidR="00C91DC2" w:rsidRPr="00840D66" w:rsidRDefault="00C91DC2">
            <w:pPr>
              <w:rPr>
                <w:lang w:eastAsia="en-AU"/>
              </w:rPr>
            </w:pPr>
            <w:r w:rsidRPr="00840D66">
              <w:rPr>
                <w:lang w:eastAsia="en-AU"/>
              </w:rPr>
              <w:t>Total income from transactions</w:t>
            </w:r>
          </w:p>
        </w:tc>
        <w:tc>
          <w:tcPr>
            <w:tcW w:w="851" w:type="dxa"/>
            <w:noWrap/>
            <w:hideMark/>
          </w:tcPr>
          <w:p w14:paraId="14C452EB" w14:textId="77777777" w:rsidR="00C91DC2" w:rsidRPr="00840D66" w:rsidRDefault="00C91DC2">
            <w:pPr>
              <w:cnfStyle w:val="010000000000" w:firstRow="0" w:lastRow="1" w:firstColumn="0" w:lastColumn="0" w:oddVBand="0" w:evenVBand="0" w:oddHBand="0" w:evenHBand="0" w:firstRowFirstColumn="0" w:firstRowLastColumn="0" w:lastRowFirstColumn="0" w:lastRowLastColumn="0"/>
              <w:rPr>
                <w:lang w:eastAsia="en-AU"/>
              </w:rPr>
            </w:pPr>
            <w:r w:rsidRPr="00840D66">
              <w:rPr>
                <w:lang w:eastAsia="en-AU"/>
              </w:rPr>
              <w:t>465.7</w:t>
            </w:r>
          </w:p>
        </w:tc>
        <w:tc>
          <w:tcPr>
            <w:tcW w:w="851" w:type="dxa"/>
            <w:noWrap/>
            <w:hideMark/>
          </w:tcPr>
          <w:p w14:paraId="4AADC209" w14:textId="77777777" w:rsidR="00C91DC2" w:rsidRPr="00840D66" w:rsidRDefault="00C91DC2">
            <w:pPr>
              <w:cnfStyle w:val="010000000000" w:firstRow="0" w:lastRow="1" w:firstColumn="0" w:lastColumn="0" w:oddVBand="0" w:evenVBand="0" w:oddHBand="0" w:evenHBand="0" w:firstRowFirstColumn="0" w:firstRowLastColumn="0" w:lastRowFirstColumn="0" w:lastRowLastColumn="0"/>
              <w:rPr>
                <w:lang w:eastAsia="en-AU"/>
              </w:rPr>
            </w:pPr>
            <w:r w:rsidRPr="00840D66">
              <w:rPr>
                <w:lang w:eastAsia="en-AU"/>
              </w:rPr>
              <w:t>500.6</w:t>
            </w:r>
          </w:p>
        </w:tc>
        <w:tc>
          <w:tcPr>
            <w:tcW w:w="851" w:type="dxa"/>
            <w:noWrap/>
            <w:hideMark/>
          </w:tcPr>
          <w:p w14:paraId="06F9A3BF" w14:textId="77777777" w:rsidR="00C91DC2" w:rsidRPr="00840D66" w:rsidRDefault="00C91DC2">
            <w:pPr>
              <w:cnfStyle w:val="010000000000" w:firstRow="0" w:lastRow="1" w:firstColumn="0" w:lastColumn="0" w:oddVBand="0" w:evenVBand="0" w:oddHBand="0" w:evenHBand="0" w:firstRowFirstColumn="0" w:firstRowLastColumn="0" w:lastRowFirstColumn="0" w:lastRowLastColumn="0"/>
              <w:rPr>
                <w:lang w:eastAsia="en-AU"/>
              </w:rPr>
            </w:pPr>
            <w:r w:rsidRPr="00840D66">
              <w:rPr>
                <w:lang w:eastAsia="en-AU"/>
              </w:rPr>
              <w:t>504.5</w:t>
            </w:r>
          </w:p>
        </w:tc>
        <w:tc>
          <w:tcPr>
            <w:tcW w:w="851" w:type="dxa"/>
            <w:noWrap/>
            <w:hideMark/>
          </w:tcPr>
          <w:p w14:paraId="320B8D03" w14:textId="77777777" w:rsidR="00C91DC2" w:rsidRPr="00840D66" w:rsidRDefault="00C91DC2">
            <w:pPr>
              <w:cnfStyle w:val="010000000000" w:firstRow="0" w:lastRow="1" w:firstColumn="0" w:lastColumn="0" w:oddVBand="0" w:evenVBand="0" w:oddHBand="0" w:evenHBand="0" w:firstRowFirstColumn="0" w:firstRowLastColumn="0" w:lastRowFirstColumn="0" w:lastRowLastColumn="0"/>
              <w:rPr>
                <w:lang w:eastAsia="en-AU"/>
              </w:rPr>
            </w:pPr>
            <w:r w:rsidRPr="00840D66">
              <w:rPr>
                <w:lang w:eastAsia="en-AU"/>
              </w:rPr>
              <w:t>496.2</w:t>
            </w:r>
          </w:p>
        </w:tc>
      </w:tr>
    </w:tbl>
    <w:p w14:paraId="6A1C53CD" w14:textId="77777777" w:rsidR="00C91DC2" w:rsidRDefault="00C91DC2" w:rsidP="00C91DC2">
      <w:pPr>
        <w:pStyle w:val="Source"/>
      </w:pPr>
      <w:r>
        <w:t>Source: Department of Treasury and Finance</w:t>
      </w:r>
    </w:p>
    <w:p w14:paraId="45C836BD" w14:textId="77777777" w:rsidR="00854200" w:rsidRDefault="00854200" w:rsidP="00854200"/>
    <w:p w14:paraId="29B37A2F" w14:textId="77777777" w:rsidR="00854200" w:rsidRDefault="00854200" w:rsidP="00854200">
      <w:pPr>
        <w:pStyle w:val="TableHeading"/>
      </w:pPr>
      <w:r w:rsidRPr="002F73A0">
        <w:t>Table 3</w:t>
      </w:r>
      <w:r>
        <w:t>0</w:t>
      </w:r>
      <w:r w:rsidRPr="002F73A0">
        <w:t>:</w:t>
      </w:r>
      <w:r w:rsidRPr="002F73A0">
        <w:tab/>
        <w:t>Parliamentary authority for resources</w:t>
      </w:r>
      <w:r w:rsidRPr="002F73A0">
        <w:tab/>
        <w:t>($ million)</w:t>
      </w:r>
    </w:p>
    <w:tbl>
      <w:tblPr>
        <w:tblStyle w:val="DTFTableNumeric"/>
        <w:tblW w:w="9637" w:type="dxa"/>
        <w:tblLook w:val="06E0" w:firstRow="1" w:lastRow="1" w:firstColumn="1" w:lastColumn="0" w:noHBand="1" w:noVBand="1"/>
      </w:tblPr>
      <w:tblGrid>
        <w:gridCol w:w="6663"/>
        <w:gridCol w:w="992"/>
        <w:gridCol w:w="992"/>
        <w:gridCol w:w="990"/>
      </w:tblGrid>
      <w:tr w:rsidR="001B46A9" w14:paraId="4878D8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40B8110A" w14:textId="77777777" w:rsidR="001B46A9" w:rsidRDefault="001B46A9"/>
        </w:tc>
        <w:tc>
          <w:tcPr>
            <w:tcW w:w="992" w:type="dxa"/>
          </w:tcPr>
          <w:p w14:paraId="7072880B" w14:textId="77777777" w:rsidR="001B46A9" w:rsidRDefault="001B46A9">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74D9FEE9" w14:textId="77777777" w:rsidR="001B46A9" w:rsidRDefault="001B46A9">
            <w:pPr>
              <w:cnfStyle w:val="100000000000" w:firstRow="1" w:lastRow="0" w:firstColumn="0" w:lastColumn="0" w:oddVBand="0" w:evenVBand="0" w:oddHBand="0" w:evenHBand="0" w:firstRowFirstColumn="0" w:firstRowLastColumn="0" w:lastRowFirstColumn="0" w:lastRowLastColumn="0"/>
            </w:pPr>
            <w:r>
              <w:t>2025-26 revised</w:t>
            </w:r>
          </w:p>
        </w:tc>
        <w:tc>
          <w:tcPr>
            <w:tcW w:w="990" w:type="dxa"/>
          </w:tcPr>
          <w:p w14:paraId="6A1526A8" w14:textId="77777777" w:rsidR="001B46A9" w:rsidRDefault="001B46A9">
            <w:pPr>
              <w:cnfStyle w:val="100000000000" w:firstRow="1" w:lastRow="0" w:firstColumn="0" w:lastColumn="0" w:oddVBand="0" w:evenVBand="0" w:oddHBand="0" w:evenHBand="0" w:firstRowFirstColumn="0" w:firstRowLastColumn="0" w:lastRowFirstColumn="0" w:lastRowLastColumn="0"/>
            </w:pPr>
            <w:r>
              <w:t>2026-27 budget</w:t>
            </w:r>
          </w:p>
        </w:tc>
      </w:tr>
      <w:tr w:rsidR="001B46A9" w:rsidRPr="00D07D06" w14:paraId="71B24B56"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F09BAFE" w14:textId="30F085B6" w:rsidR="001B46A9" w:rsidRPr="006D1EC9" w:rsidRDefault="001B46A9">
            <w:pPr>
              <w:rPr>
                <w:b/>
                <w:bCs/>
                <w:vertAlign w:val="superscript"/>
                <w:lang w:eastAsia="en-AU"/>
              </w:rPr>
            </w:pPr>
            <w:r w:rsidRPr="00D07D06">
              <w:rPr>
                <w:b/>
                <w:bCs/>
                <w:lang w:eastAsia="en-AU"/>
              </w:rPr>
              <w:t>Annual appropriations</w:t>
            </w:r>
            <w:r w:rsidR="00540BB2">
              <w:rPr>
                <w:b/>
                <w:bCs/>
                <w:lang w:eastAsia="en-AU"/>
              </w:rPr>
              <w:t xml:space="preserve"> </w:t>
            </w:r>
            <w:r>
              <w:rPr>
                <w:b/>
                <w:bCs/>
                <w:vertAlign w:val="superscript"/>
                <w:lang w:eastAsia="en-AU"/>
              </w:rPr>
              <w:t>(a)</w:t>
            </w:r>
          </w:p>
        </w:tc>
        <w:tc>
          <w:tcPr>
            <w:tcW w:w="992" w:type="dxa"/>
            <w:noWrap/>
            <w:hideMark/>
          </w:tcPr>
          <w:p w14:paraId="13578628"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22 467.3</w:t>
            </w:r>
          </w:p>
        </w:tc>
        <w:tc>
          <w:tcPr>
            <w:tcW w:w="992" w:type="dxa"/>
            <w:noWrap/>
            <w:hideMark/>
          </w:tcPr>
          <w:p w14:paraId="1FC264E1"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12 584.8</w:t>
            </w:r>
          </w:p>
        </w:tc>
        <w:tc>
          <w:tcPr>
            <w:tcW w:w="990" w:type="dxa"/>
            <w:noWrap/>
            <w:hideMark/>
          </w:tcPr>
          <w:p w14:paraId="7FA4D5FD"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24 556.5</w:t>
            </w:r>
          </w:p>
        </w:tc>
      </w:tr>
      <w:tr w:rsidR="001B46A9" w:rsidRPr="00D07D06" w14:paraId="630B9283"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00108F8" w14:textId="77777777" w:rsidR="001B46A9" w:rsidRPr="00D07D06" w:rsidRDefault="001B46A9">
            <w:pPr>
              <w:rPr>
                <w:lang w:eastAsia="en-AU"/>
              </w:rPr>
            </w:pPr>
            <w:r w:rsidRPr="00D07D06">
              <w:rPr>
                <w:lang w:eastAsia="en-AU"/>
              </w:rPr>
              <w:t>Provision of outputs</w:t>
            </w:r>
          </w:p>
        </w:tc>
        <w:tc>
          <w:tcPr>
            <w:tcW w:w="992" w:type="dxa"/>
            <w:noWrap/>
            <w:hideMark/>
          </w:tcPr>
          <w:p w14:paraId="22C1ED22"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466.2</w:t>
            </w:r>
          </w:p>
        </w:tc>
        <w:tc>
          <w:tcPr>
            <w:tcW w:w="992" w:type="dxa"/>
            <w:noWrap/>
            <w:hideMark/>
          </w:tcPr>
          <w:p w14:paraId="04B2FF6E"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441.2</w:t>
            </w:r>
          </w:p>
        </w:tc>
        <w:tc>
          <w:tcPr>
            <w:tcW w:w="990" w:type="dxa"/>
            <w:noWrap/>
            <w:hideMark/>
          </w:tcPr>
          <w:p w14:paraId="61FDDCC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459.8</w:t>
            </w:r>
          </w:p>
        </w:tc>
      </w:tr>
      <w:tr w:rsidR="001B46A9" w:rsidRPr="00D07D06" w14:paraId="65F72A7F"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E008BB9" w14:textId="77777777" w:rsidR="001B46A9" w:rsidRPr="00D07D06" w:rsidRDefault="001B46A9">
            <w:pPr>
              <w:rPr>
                <w:lang w:eastAsia="en-AU"/>
              </w:rPr>
            </w:pPr>
            <w:r w:rsidRPr="00D07D06">
              <w:rPr>
                <w:lang w:eastAsia="en-AU"/>
              </w:rPr>
              <w:t>Additions to the net asset base</w:t>
            </w:r>
          </w:p>
        </w:tc>
        <w:tc>
          <w:tcPr>
            <w:tcW w:w="992" w:type="dxa"/>
            <w:noWrap/>
            <w:hideMark/>
          </w:tcPr>
          <w:p w14:paraId="05FD13C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12.6</w:t>
            </w:r>
          </w:p>
        </w:tc>
        <w:tc>
          <w:tcPr>
            <w:tcW w:w="992" w:type="dxa"/>
            <w:noWrap/>
            <w:hideMark/>
          </w:tcPr>
          <w:p w14:paraId="58EC450E"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598.6</w:t>
            </w:r>
          </w:p>
        </w:tc>
        <w:tc>
          <w:tcPr>
            <w:tcW w:w="990" w:type="dxa"/>
            <w:noWrap/>
            <w:hideMark/>
          </w:tcPr>
          <w:p w14:paraId="7B2217C7"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6.5</w:t>
            </w:r>
          </w:p>
        </w:tc>
      </w:tr>
      <w:tr w:rsidR="001B46A9" w:rsidRPr="00D07D06" w14:paraId="2A92BAB1"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626380E" w14:textId="77777777" w:rsidR="001B46A9" w:rsidRPr="00D07D06" w:rsidRDefault="001B46A9">
            <w:pPr>
              <w:rPr>
                <w:lang w:eastAsia="en-AU"/>
              </w:rPr>
            </w:pPr>
            <w:r w:rsidRPr="00D07D06">
              <w:rPr>
                <w:lang w:eastAsia="en-AU"/>
              </w:rPr>
              <w:t>Payments made on behalf of the State</w:t>
            </w:r>
          </w:p>
        </w:tc>
        <w:tc>
          <w:tcPr>
            <w:tcW w:w="992" w:type="dxa"/>
            <w:noWrap/>
            <w:hideMark/>
          </w:tcPr>
          <w:p w14:paraId="13415CD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21 988.5</w:t>
            </w:r>
          </w:p>
        </w:tc>
        <w:tc>
          <w:tcPr>
            <w:tcW w:w="992" w:type="dxa"/>
            <w:noWrap/>
            <w:hideMark/>
          </w:tcPr>
          <w:p w14:paraId="4D9338DC"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11 544.9</w:t>
            </w:r>
          </w:p>
        </w:tc>
        <w:tc>
          <w:tcPr>
            <w:tcW w:w="990" w:type="dxa"/>
            <w:noWrap/>
            <w:hideMark/>
          </w:tcPr>
          <w:p w14:paraId="23F935D4"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24 090.2</w:t>
            </w:r>
          </w:p>
        </w:tc>
      </w:tr>
      <w:tr w:rsidR="001B46A9" w:rsidRPr="00D07D06" w14:paraId="1F72652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5A10E660" w14:textId="77777777" w:rsidR="001B46A9" w:rsidRPr="00D07D06" w:rsidRDefault="001B46A9">
            <w:pPr>
              <w:rPr>
                <w:b/>
                <w:bCs/>
                <w:lang w:eastAsia="en-AU"/>
              </w:rPr>
            </w:pPr>
            <w:r w:rsidRPr="00D07D06">
              <w:rPr>
                <w:b/>
                <w:bCs/>
                <w:lang w:eastAsia="en-AU"/>
              </w:rPr>
              <w:t>Receipts credited to appropriations</w:t>
            </w:r>
          </w:p>
        </w:tc>
        <w:tc>
          <w:tcPr>
            <w:tcW w:w="992" w:type="dxa"/>
            <w:noWrap/>
            <w:hideMark/>
          </w:tcPr>
          <w:p w14:paraId="5562D50E" w14:textId="77777777" w:rsidR="001B46A9" w:rsidRPr="00D47F6E"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47F6E">
              <w:rPr>
                <w:b/>
                <w:bCs/>
                <w:lang w:eastAsia="en-AU"/>
              </w:rPr>
              <w:t>4.7</w:t>
            </w:r>
          </w:p>
        </w:tc>
        <w:tc>
          <w:tcPr>
            <w:tcW w:w="992" w:type="dxa"/>
            <w:noWrap/>
            <w:hideMark/>
          </w:tcPr>
          <w:p w14:paraId="4B944E4E" w14:textId="77777777" w:rsidR="001B46A9" w:rsidRPr="00D47F6E"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47F6E">
              <w:rPr>
                <w:b/>
                <w:bCs/>
                <w:lang w:eastAsia="en-AU"/>
              </w:rPr>
              <w:t>5.6</w:t>
            </w:r>
          </w:p>
        </w:tc>
        <w:tc>
          <w:tcPr>
            <w:tcW w:w="990" w:type="dxa"/>
            <w:noWrap/>
            <w:hideMark/>
          </w:tcPr>
          <w:p w14:paraId="138CE679" w14:textId="77777777" w:rsidR="001B46A9" w:rsidRPr="00D47F6E"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47F6E">
              <w:rPr>
                <w:b/>
                <w:bCs/>
                <w:lang w:eastAsia="en-AU"/>
              </w:rPr>
              <w:t>4.7</w:t>
            </w:r>
          </w:p>
        </w:tc>
      </w:tr>
      <w:tr w:rsidR="001B46A9" w:rsidRPr="00D07D06" w14:paraId="445C01E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29F8807" w14:textId="77777777" w:rsidR="001B46A9" w:rsidRPr="00D07D06" w:rsidRDefault="001B46A9">
            <w:pPr>
              <w:rPr>
                <w:b/>
                <w:bCs/>
                <w:lang w:eastAsia="en-AU"/>
              </w:rPr>
            </w:pPr>
            <w:r w:rsidRPr="00D07D06">
              <w:rPr>
                <w:b/>
                <w:bCs/>
                <w:lang w:eastAsia="en-AU"/>
              </w:rPr>
              <w:t>Unapplied previous years appropriation</w:t>
            </w:r>
          </w:p>
        </w:tc>
        <w:tc>
          <w:tcPr>
            <w:tcW w:w="992" w:type="dxa"/>
            <w:noWrap/>
            <w:hideMark/>
          </w:tcPr>
          <w:p w14:paraId="3D321583"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w:t>
            </w:r>
          </w:p>
        </w:tc>
        <w:tc>
          <w:tcPr>
            <w:tcW w:w="992" w:type="dxa"/>
            <w:noWrap/>
            <w:hideMark/>
          </w:tcPr>
          <w:p w14:paraId="4570196F"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30.0</w:t>
            </w:r>
          </w:p>
        </w:tc>
        <w:tc>
          <w:tcPr>
            <w:tcW w:w="990" w:type="dxa"/>
            <w:noWrap/>
            <w:hideMark/>
          </w:tcPr>
          <w:p w14:paraId="788C95CE"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w:t>
            </w:r>
          </w:p>
        </w:tc>
      </w:tr>
      <w:tr w:rsidR="001B46A9" w:rsidRPr="00D07D06" w14:paraId="595ABECB"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18C22E13" w14:textId="77777777" w:rsidR="001B46A9" w:rsidRPr="00D07D06" w:rsidRDefault="001B46A9">
            <w:pPr>
              <w:rPr>
                <w:lang w:eastAsia="en-AU"/>
              </w:rPr>
            </w:pPr>
            <w:r w:rsidRPr="00D07D06">
              <w:rPr>
                <w:lang w:eastAsia="en-AU"/>
              </w:rPr>
              <w:t>Provision of outputs</w:t>
            </w:r>
          </w:p>
        </w:tc>
        <w:tc>
          <w:tcPr>
            <w:tcW w:w="992" w:type="dxa"/>
            <w:tcBorders>
              <w:bottom w:val="nil"/>
            </w:tcBorders>
            <w:noWrap/>
            <w:hideMark/>
          </w:tcPr>
          <w:p w14:paraId="6C6E4DFD"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w:t>
            </w:r>
          </w:p>
        </w:tc>
        <w:tc>
          <w:tcPr>
            <w:tcW w:w="992" w:type="dxa"/>
            <w:tcBorders>
              <w:bottom w:val="nil"/>
            </w:tcBorders>
            <w:noWrap/>
            <w:hideMark/>
          </w:tcPr>
          <w:p w14:paraId="5EB2E0DD"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28.2</w:t>
            </w:r>
          </w:p>
        </w:tc>
        <w:tc>
          <w:tcPr>
            <w:tcW w:w="990" w:type="dxa"/>
            <w:tcBorders>
              <w:bottom w:val="nil"/>
            </w:tcBorders>
            <w:noWrap/>
            <w:hideMark/>
          </w:tcPr>
          <w:p w14:paraId="0F69652A"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w:t>
            </w:r>
          </w:p>
        </w:tc>
      </w:tr>
      <w:tr w:rsidR="001B46A9" w:rsidRPr="00D07D06" w14:paraId="35713E3F" w14:textId="77777777" w:rsidTr="00D10C89">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95656FA" w14:textId="77777777" w:rsidR="001B46A9" w:rsidRPr="00D07D06" w:rsidRDefault="001B46A9">
            <w:pPr>
              <w:rPr>
                <w:lang w:eastAsia="en-AU"/>
              </w:rPr>
            </w:pPr>
            <w:r w:rsidRPr="00D07D06">
              <w:rPr>
                <w:lang w:eastAsia="en-AU"/>
              </w:rPr>
              <w:t>Additions to the net asset base</w:t>
            </w:r>
          </w:p>
        </w:tc>
        <w:tc>
          <w:tcPr>
            <w:tcW w:w="992" w:type="dxa"/>
            <w:tcBorders>
              <w:bottom w:val="single" w:sz="6" w:space="0" w:color="auto"/>
            </w:tcBorders>
            <w:noWrap/>
            <w:hideMark/>
          </w:tcPr>
          <w:p w14:paraId="50537781"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w:t>
            </w:r>
          </w:p>
        </w:tc>
        <w:tc>
          <w:tcPr>
            <w:tcW w:w="992" w:type="dxa"/>
            <w:tcBorders>
              <w:bottom w:val="single" w:sz="6" w:space="0" w:color="auto"/>
            </w:tcBorders>
            <w:noWrap/>
            <w:hideMark/>
          </w:tcPr>
          <w:p w14:paraId="2D1C8308"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1.9</w:t>
            </w:r>
          </w:p>
        </w:tc>
        <w:tc>
          <w:tcPr>
            <w:tcW w:w="990" w:type="dxa"/>
            <w:tcBorders>
              <w:bottom w:val="single" w:sz="6" w:space="0" w:color="auto"/>
            </w:tcBorders>
            <w:noWrap/>
            <w:hideMark/>
          </w:tcPr>
          <w:p w14:paraId="39DB845A"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w:t>
            </w:r>
          </w:p>
        </w:tc>
      </w:tr>
      <w:tr w:rsidR="001B46A9" w:rsidRPr="00D07D06" w14:paraId="1A95B52F" w14:textId="77777777" w:rsidTr="00D10C89">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546DD0A6" w14:textId="77777777" w:rsidR="001B46A9" w:rsidRPr="00D07D06" w:rsidRDefault="001B46A9">
            <w:pPr>
              <w:rPr>
                <w:b/>
                <w:bCs/>
                <w:lang w:eastAsia="en-AU"/>
              </w:rPr>
            </w:pPr>
            <w:r w:rsidRPr="00D07D06">
              <w:rPr>
                <w:b/>
                <w:bCs/>
                <w:lang w:eastAsia="en-AU"/>
              </w:rPr>
              <w:t>Gross annual appropriation</w:t>
            </w:r>
          </w:p>
        </w:tc>
        <w:tc>
          <w:tcPr>
            <w:tcW w:w="992" w:type="dxa"/>
            <w:tcBorders>
              <w:top w:val="single" w:sz="6" w:space="0" w:color="auto"/>
            </w:tcBorders>
            <w:noWrap/>
            <w:hideMark/>
          </w:tcPr>
          <w:p w14:paraId="13EA6160"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22 472.0</w:t>
            </w:r>
          </w:p>
        </w:tc>
        <w:tc>
          <w:tcPr>
            <w:tcW w:w="992" w:type="dxa"/>
            <w:tcBorders>
              <w:top w:val="single" w:sz="6" w:space="0" w:color="auto"/>
            </w:tcBorders>
            <w:noWrap/>
            <w:hideMark/>
          </w:tcPr>
          <w:p w14:paraId="21A6570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12 620.4</w:t>
            </w:r>
          </w:p>
        </w:tc>
        <w:tc>
          <w:tcPr>
            <w:tcW w:w="990" w:type="dxa"/>
            <w:tcBorders>
              <w:top w:val="single" w:sz="6" w:space="0" w:color="auto"/>
            </w:tcBorders>
            <w:noWrap/>
            <w:hideMark/>
          </w:tcPr>
          <w:p w14:paraId="05654F09"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24 561.2</w:t>
            </w:r>
          </w:p>
        </w:tc>
      </w:tr>
      <w:tr w:rsidR="001B46A9" w:rsidRPr="00D07D06" w14:paraId="654DE305"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C54864A" w14:textId="77777777" w:rsidR="001B46A9" w:rsidRPr="00D07D06" w:rsidRDefault="001B46A9">
            <w:pPr>
              <w:rPr>
                <w:b/>
                <w:bCs/>
                <w:lang w:eastAsia="en-AU"/>
              </w:rPr>
            </w:pPr>
            <w:r w:rsidRPr="00D07D06">
              <w:rPr>
                <w:b/>
                <w:bCs/>
                <w:lang w:eastAsia="en-AU"/>
              </w:rPr>
              <w:t>Special appropriations</w:t>
            </w:r>
          </w:p>
        </w:tc>
        <w:tc>
          <w:tcPr>
            <w:tcW w:w="992" w:type="dxa"/>
            <w:noWrap/>
            <w:hideMark/>
          </w:tcPr>
          <w:p w14:paraId="51B0CA41"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1 874.8</w:t>
            </w:r>
          </w:p>
        </w:tc>
        <w:tc>
          <w:tcPr>
            <w:tcW w:w="992" w:type="dxa"/>
            <w:noWrap/>
            <w:hideMark/>
          </w:tcPr>
          <w:p w14:paraId="064C05BF"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2 557.5</w:t>
            </w:r>
          </w:p>
        </w:tc>
        <w:tc>
          <w:tcPr>
            <w:tcW w:w="990" w:type="dxa"/>
            <w:noWrap/>
            <w:hideMark/>
          </w:tcPr>
          <w:p w14:paraId="2D85139B"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2 682.2</w:t>
            </w:r>
          </w:p>
        </w:tc>
      </w:tr>
      <w:tr w:rsidR="001B46A9" w:rsidRPr="00D07D06" w14:paraId="2277A134"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0B1C1E" w14:textId="77777777" w:rsidR="001B46A9" w:rsidRPr="00D07D06" w:rsidRDefault="001B46A9">
            <w:pPr>
              <w:rPr>
                <w:b/>
                <w:bCs/>
                <w:lang w:eastAsia="en-AU"/>
              </w:rPr>
            </w:pPr>
            <w:r w:rsidRPr="00D07D06">
              <w:rPr>
                <w:b/>
                <w:bCs/>
                <w:lang w:eastAsia="en-AU"/>
              </w:rPr>
              <w:t>Trust funds</w:t>
            </w:r>
          </w:p>
        </w:tc>
        <w:tc>
          <w:tcPr>
            <w:tcW w:w="992" w:type="dxa"/>
            <w:noWrap/>
            <w:hideMark/>
          </w:tcPr>
          <w:p w14:paraId="5D429AEA"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6 202.0</w:t>
            </w:r>
          </w:p>
        </w:tc>
        <w:tc>
          <w:tcPr>
            <w:tcW w:w="992" w:type="dxa"/>
            <w:noWrap/>
            <w:hideMark/>
          </w:tcPr>
          <w:p w14:paraId="5F3DF220"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6 755.1</w:t>
            </w:r>
          </w:p>
        </w:tc>
        <w:tc>
          <w:tcPr>
            <w:tcW w:w="990" w:type="dxa"/>
            <w:noWrap/>
            <w:hideMark/>
          </w:tcPr>
          <w:p w14:paraId="667E9DC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b/>
                <w:bCs/>
                <w:lang w:eastAsia="en-AU"/>
              </w:rPr>
            </w:pPr>
            <w:r w:rsidRPr="00D07D06">
              <w:rPr>
                <w:b/>
                <w:bCs/>
                <w:lang w:eastAsia="en-AU"/>
              </w:rPr>
              <w:t>6 705.2</w:t>
            </w:r>
          </w:p>
        </w:tc>
      </w:tr>
      <w:tr w:rsidR="001B46A9" w:rsidRPr="00D07D06" w14:paraId="3413D82F"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2700D6C" w14:textId="61A1A46E" w:rsidR="001B46A9" w:rsidRPr="00D07D06" w:rsidRDefault="001B46A9">
            <w:pPr>
              <w:rPr>
                <w:lang w:eastAsia="en-AU"/>
              </w:rPr>
            </w:pPr>
            <w:r w:rsidRPr="00D07D06">
              <w:rPr>
                <w:lang w:eastAsia="en-AU"/>
              </w:rPr>
              <w:t>Commonwealth Treasury Trust Fund</w:t>
            </w:r>
            <w:r w:rsidR="00E54309">
              <w:rPr>
                <w:lang w:eastAsia="en-AU"/>
              </w:rPr>
              <w:t xml:space="preserve"> </w:t>
            </w:r>
            <w:r w:rsidRPr="003D3EA7">
              <w:rPr>
                <w:vertAlign w:val="superscript"/>
                <w:lang w:eastAsia="en-AU"/>
              </w:rPr>
              <w:t>(</w:t>
            </w:r>
            <w:r>
              <w:rPr>
                <w:vertAlign w:val="superscript"/>
                <w:lang w:eastAsia="en-AU"/>
              </w:rPr>
              <w:t>b</w:t>
            </w:r>
            <w:r w:rsidRPr="003D3EA7">
              <w:rPr>
                <w:vertAlign w:val="superscript"/>
                <w:lang w:eastAsia="en-AU"/>
              </w:rPr>
              <w:t>)</w:t>
            </w:r>
          </w:p>
        </w:tc>
        <w:tc>
          <w:tcPr>
            <w:tcW w:w="992" w:type="dxa"/>
            <w:noWrap/>
            <w:hideMark/>
          </w:tcPr>
          <w:p w14:paraId="7FBFD7A6"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5 594.6</w:t>
            </w:r>
          </w:p>
        </w:tc>
        <w:tc>
          <w:tcPr>
            <w:tcW w:w="992" w:type="dxa"/>
            <w:noWrap/>
            <w:hideMark/>
          </w:tcPr>
          <w:p w14:paraId="7DC0FF53"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5 773.9</w:t>
            </w:r>
          </w:p>
        </w:tc>
        <w:tc>
          <w:tcPr>
            <w:tcW w:w="990" w:type="dxa"/>
            <w:noWrap/>
            <w:hideMark/>
          </w:tcPr>
          <w:p w14:paraId="70101573"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5 976.8</w:t>
            </w:r>
          </w:p>
        </w:tc>
      </w:tr>
      <w:tr w:rsidR="001B46A9" w:rsidRPr="00D07D06" w14:paraId="613ECE83"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8596334" w14:textId="112DFC63" w:rsidR="001B46A9" w:rsidRPr="00D07D06" w:rsidRDefault="001B46A9">
            <w:pPr>
              <w:rPr>
                <w:lang w:eastAsia="en-AU"/>
              </w:rPr>
            </w:pPr>
            <w:r w:rsidRPr="00D07D06">
              <w:rPr>
                <w:lang w:eastAsia="en-AU"/>
              </w:rPr>
              <w:t>Victorian Future Fund</w:t>
            </w:r>
            <w:r w:rsidR="00E54309">
              <w:rPr>
                <w:lang w:eastAsia="en-AU"/>
              </w:rPr>
              <w:t xml:space="preserve"> </w:t>
            </w:r>
            <w:r w:rsidRPr="00F06A97">
              <w:rPr>
                <w:vertAlign w:val="superscript"/>
                <w:lang w:eastAsia="en-AU"/>
              </w:rPr>
              <w:t>(</w:t>
            </w:r>
            <w:r>
              <w:rPr>
                <w:vertAlign w:val="superscript"/>
                <w:lang w:eastAsia="en-AU"/>
              </w:rPr>
              <w:t>c</w:t>
            </w:r>
            <w:r w:rsidRPr="00F06A97">
              <w:rPr>
                <w:vertAlign w:val="superscript"/>
                <w:lang w:eastAsia="en-AU"/>
              </w:rPr>
              <w:t>)</w:t>
            </w:r>
          </w:p>
        </w:tc>
        <w:tc>
          <w:tcPr>
            <w:tcW w:w="992" w:type="dxa"/>
            <w:noWrap/>
            <w:hideMark/>
          </w:tcPr>
          <w:p w14:paraId="183FC3D2"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468.6</w:t>
            </w:r>
          </w:p>
        </w:tc>
        <w:tc>
          <w:tcPr>
            <w:tcW w:w="992" w:type="dxa"/>
            <w:noWrap/>
            <w:hideMark/>
          </w:tcPr>
          <w:p w14:paraId="61480190"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745.5</w:t>
            </w:r>
          </w:p>
        </w:tc>
        <w:tc>
          <w:tcPr>
            <w:tcW w:w="990" w:type="dxa"/>
            <w:noWrap/>
            <w:hideMark/>
          </w:tcPr>
          <w:p w14:paraId="2270ECF2"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572.0</w:t>
            </w:r>
          </w:p>
        </w:tc>
      </w:tr>
      <w:tr w:rsidR="001B46A9" w:rsidRPr="00D07D06" w14:paraId="22B814CB" w14:textId="77777777" w:rsidTr="00E54309">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4185662F" w14:textId="2C380F13" w:rsidR="001B46A9" w:rsidRPr="00D07D06" w:rsidRDefault="001B46A9">
            <w:pPr>
              <w:rPr>
                <w:lang w:eastAsia="en-AU"/>
              </w:rPr>
            </w:pPr>
            <w:r w:rsidRPr="00D07D06">
              <w:rPr>
                <w:lang w:eastAsia="en-AU"/>
              </w:rPr>
              <w:t>Other</w:t>
            </w:r>
            <w:r w:rsidR="00E54309">
              <w:rPr>
                <w:lang w:eastAsia="en-AU"/>
              </w:rPr>
              <w:t xml:space="preserve"> </w:t>
            </w:r>
            <w:r w:rsidRPr="00F06A97">
              <w:rPr>
                <w:vertAlign w:val="superscript"/>
                <w:lang w:eastAsia="en-AU"/>
              </w:rPr>
              <w:t>(</w:t>
            </w:r>
            <w:r>
              <w:rPr>
                <w:vertAlign w:val="superscript"/>
                <w:lang w:eastAsia="en-AU"/>
              </w:rPr>
              <w:t>d</w:t>
            </w:r>
            <w:r w:rsidRPr="00F06A97">
              <w:rPr>
                <w:vertAlign w:val="superscript"/>
                <w:lang w:eastAsia="en-AU"/>
              </w:rPr>
              <w:t>)</w:t>
            </w:r>
          </w:p>
        </w:tc>
        <w:tc>
          <w:tcPr>
            <w:tcW w:w="992" w:type="dxa"/>
            <w:tcBorders>
              <w:bottom w:val="single" w:sz="6" w:space="0" w:color="auto"/>
            </w:tcBorders>
            <w:noWrap/>
            <w:hideMark/>
          </w:tcPr>
          <w:p w14:paraId="35ADF6CF"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138.7</w:t>
            </w:r>
          </w:p>
        </w:tc>
        <w:tc>
          <w:tcPr>
            <w:tcW w:w="992" w:type="dxa"/>
            <w:tcBorders>
              <w:bottom w:val="single" w:sz="6" w:space="0" w:color="auto"/>
            </w:tcBorders>
            <w:noWrap/>
            <w:hideMark/>
          </w:tcPr>
          <w:p w14:paraId="6DE245F4"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235.6</w:t>
            </w:r>
          </w:p>
        </w:tc>
        <w:tc>
          <w:tcPr>
            <w:tcW w:w="990" w:type="dxa"/>
            <w:tcBorders>
              <w:bottom w:val="single" w:sz="6" w:space="0" w:color="auto"/>
            </w:tcBorders>
            <w:noWrap/>
            <w:hideMark/>
          </w:tcPr>
          <w:p w14:paraId="1CA28AEB" w14:textId="77777777" w:rsidR="001B46A9" w:rsidRPr="00D07D06" w:rsidRDefault="001B46A9">
            <w:pPr>
              <w:cnfStyle w:val="000000000000" w:firstRow="0" w:lastRow="0" w:firstColumn="0" w:lastColumn="0" w:oddVBand="0" w:evenVBand="0" w:oddHBand="0" w:evenHBand="0" w:firstRowFirstColumn="0" w:firstRowLastColumn="0" w:lastRowFirstColumn="0" w:lastRowLastColumn="0"/>
              <w:rPr>
                <w:lang w:eastAsia="en-AU"/>
              </w:rPr>
            </w:pPr>
            <w:r w:rsidRPr="00D07D06">
              <w:rPr>
                <w:lang w:eastAsia="en-AU"/>
              </w:rPr>
              <w:t>156.3</w:t>
            </w:r>
          </w:p>
        </w:tc>
      </w:tr>
      <w:tr w:rsidR="001B46A9" w:rsidRPr="00D07D06" w14:paraId="7A0AA9CC" w14:textId="77777777" w:rsidTr="00E5430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0264CD" w14:textId="77777777" w:rsidR="001B46A9" w:rsidRPr="00D07D06" w:rsidRDefault="001B46A9">
            <w:pPr>
              <w:rPr>
                <w:lang w:eastAsia="en-AU"/>
              </w:rPr>
            </w:pPr>
            <w:r w:rsidRPr="00D07D06">
              <w:rPr>
                <w:lang w:eastAsia="en-AU"/>
              </w:rPr>
              <w:t>Total parliamentary authority</w:t>
            </w:r>
          </w:p>
        </w:tc>
        <w:tc>
          <w:tcPr>
            <w:tcW w:w="992" w:type="dxa"/>
            <w:noWrap/>
            <w:hideMark/>
          </w:tcPr>
          <w:p w14:paraId="75E1B0A9" w14:textId="77777777" w:rsidR="001B46A9" w:rsidRPr="00D07D06" w:rsidRDefault="001B46A9">
            <w:pPr>
              <w:cnfStyle w:val="010000000000" w:firstRow="0" w:lastRow="1" w:firstColumn="0" w:lastColumn="0" w:oddVBand="0" w:evenVBand="0" w:oddHBand="0" w:evenHBand="0" w:firstRowFirstColumn="0" w:firstRowLastColumn="0" w:lastRowFirstColumn="0" w:lastRowLastColumn="0"/>
              <w:rPr>
                <w:lang w:eastAsia="en-AU"/>
              </w:rPr>
            </w:pPr>
            <w:r w:rsidRPr="00D07D06">
              <w:rPr>
                <w:lang w:eastAsia="en-AU"/>
              </w:rPr>
              <w:t>30 548.8</w:t>
            </w:r>
          </w:p>
        </w:tc>
        <w:tc>
          <w:tcPr>
            <w:tcW w:w="992" w:type="dxa"/>
            <w:noWrap/>
            <w:hideMark/>
          </w:tcPr>
          <w:p w14:paraId="6E433954" w14:textId="77777777" w:rsidR="001B46A9" w:rsidRPr="00D07D06" w:rsidRDefault="001B46A9">
            <w:pPr>
              <w:cnfStyle w:val="010000000000" w:firstRow="0" w:lastRow="1" w:firstColumn="0" w:lastColumn="0" w:oddVBand="0" w:evenVBand="0" w:oddHBand="0" w:evenHBand="0" w:firstRowFirstColumn="0" w:firstRowLastColumn="0" w:lastRowFirstColumn="0" w:lastRowLastColumn="0"/>
              <w:rPr>
                <w:lang w:eastAsia="en-AU"/>
              </w:rPr>
            </w:pPr>
            <w:r>
              <w:rPr>
                <w:lang w:eastAsia="en-AU"/>
              </w:rPr>
              <w:t>21 933.0</w:t>
            </w:r>
          </w:p>
        </w:tc>
        <w:tc>
          <w:tcPr>
            <w:tcW w:w="990" w:type="dxa"/>
            <w:noWrap/>
            <w:hideMark/>
          </w:tcPr>
          <w:p w14:paraId="23FB4820" w14:textId="77777777" w:rsidR="001B46A9" w:rsidRPr="00D07D06" w:rsidRDefault="001B46A9">
            <w:pPr>
              <w:cnfStyle w:val="010000000000" w:firstRow="0" w:lastRow="1" w:firstColumn="0" w:lastColumn="0" w:oddVBand="0" w:evenVBand="0" w:oddHBand="0" w:evenHBand="0" w:firstRowFirstColumn="0" w:firstRowLastColumn="0" w:lastRowFirstColumn="0" w:lastRowLastColumn="0"/>
              <w:rPr>
                <w:lang w:eastAsia="en-AU"/>
              </w:rPr>
            </w:pPr>
            <w:r>
              <w:rPr>
                <w:lang w:eastAsia="en-AU"/>
              </w:rPr>
              <w:t>33 948.6</w:t>
            </w:r>
          </w:p>
        </w:tc>
      </w:tr>
    </w:tbl>
    <w:p w14:paraId="0620DD77" w14:textId="77777777" w:rsidR="001B46A9" w:rsidRDefault="001B46A9" w:rsidP="001B46A9">
      <w:pPr>
        <w:pStyle w:val="Source"/>
      </w:pPr>
      <w:r>
        <w:t>Source: Department of Treasury and Finance</w:t>
      </w:r>
    </w:p>
    <w:p w14:paraId="35DCD681" w14:textId="77777777" w:rsidR="001B46A9" w:rsidRDefault="001B46A9" w:rsidP="001B46A9">
      <w:pPr>
        <w:pStyle w:val="Note"/>
      </w:pPr>
      <w:r>
        <w:t>Notes:</w:t>
      </w:r>
    </w:p>
    <w:p w14:paraId="741DD625" w14:textId="1A4E2B2F" w:rsidR="001B46A9" w:rsidRDefault="00E54309" w:rsidP="00E54309">
      <w:pPr>
        <w:pStyle w:val="Note"/>
      </w:pPr>
      <w:r>
        <w:t>(a)</w:t>
      </w:r>
      <w:r>
        <w:tab/>
      </w:r>
      <w:r w:rsidR="000C7DA8" w:rsidRPr="000C7DA8">
        <w:t>Payments made on behalf of the State</w:t>
      </w:r>
      <w:r w:rsidR="001B46A9" w:rsidRPr="000431A6">
        <w:t xml:space="preserve"> appropriation reduces between the </w:t>
      </w:r>
      <w:r w:rsidR="00856B5F">
        <w:t>2025-26 published</w:t>
      </w:r>
      <w:r w:rsidR="001B46A9" w:rsidRPr="000431A6">
        <w:t xml:space="preserve"> budget and the revised budget as TA appropriation is allocated in</w:t>
      </w:r>
      <w:r w:rsidR="00D10C89">
        <w:noBreakHyphen/>
      </w:r>
      <w:r w:rsidR="001B46A9" w:rsidRPr="000431A6">
        <w:t xml:space="preserve">principle to departments during the year. Final approval of </w:t>
      </w:r>
      <w:r w:rsidR="00856B5F">
        <w:t>TA</w:t>
      </w:r>
      <w:r w:rsidR="001B46A9" w:rsidRPr="000431A6">
        <w:t xml:space="preserve"> occurs later in the financial year.</w:t>
      </w:r>
    </w:p>
    <w:p w14:paraId="37AD4DFE" w14:textId="2337CC20" w:rsidR="001B46A9" w:rsidRDefault="00E54309" w:rsidP="00E54309">
      <w:pPr>
        <w:pStyle w:val="Note"/>
      </w:pPr>
      <w:r>
        <w:t>(b)</w:t>
      </w:r>
      <w:r>
        <w:tab/>
      </w:r>
      <w:r w:rsidR="001B46A9">
        <w:t>The purpose of this trust primarily relates to the receipt of Commonwealth Government grants to be on-passed to relevant departments.</w:t>
      </w:r>
    </w:p>
    <w:p w14:paraId="0E95C931" w14:textId="637614CD" w:rsidR="001B46A9" w:rsidRPr="00F45B9A" w:rsidRDefault="00E54309" w:rsidP="00E54309">
      <w:pPr>
        <w:pStyle w:val="Note"/>
      </w:pPr>
      <w:r>
        <w:t>(c)</w:t>
      </w:r>
      <w:r>
        <w:tab/>
      </w:r>
      <w:r w:rsidR="001B46A9" w:rsidRPr="00F45B9A">
        <w:t>The purpose of the Fund is to help manage the fiscal impact of the COVID-19 pandemic and deliver positive outcomes for Victorians by reducing the debt burden on future generations.</w:t>
      </w:r>
    </w:p>
    <w:p w14:paraId="23540DF5" w14:textId="55A6C7A0" w:rsidR="001B46A9" w:rsidRDefault="00E54309" w:rsidP="00E54309">
      <w:pPr>
        <w:pStyle w:val="Note"/>
      </w:pPr>
      <w:r>
        <w:t>(d)</w:t>
      </w:r>
      <w:r>
        <w:tab/>
      </w:r>
      <w:r w:rsidR="001B46A9">
        <w:t>Includes interdepartmental transfers.</w:t>
      </w:r>
    </w:p>
    <w:p w14:paraId="771EC9F2" w14:textId="77777777" w:rsidR="00854200" w:rsidRPr="00854200" w:rsidRDefault="00854200" w:rsidP="00854200"/>
    <w:p w14:paraId="19D2846E" w14:textId="77777777" w:rsidR="00D36A97" w:rsidRDefault="00D36A97">
      <w:pPr>
        <w:keepLines w:val="0"/>
        <w:rPr>
          <w:rFonts w:asciiTheme="majorHAnsi" w:eastAsiaTheme="majorEastAsia" w:hAnsiTheme="majorHAnsi" w:cstheme="majorBidi"/>
          <w:b/>
          <w:sz w:val="27"/>
          <w:szCs w:val="26"/>
        </w:rPr>
      </w:pPr>
      <w:r>
        <w:br w:type="page"/>
      </w:r>
    </w:p>
    <w:p w14:paraId="039D3114" w14:textId="77777777" w:rsidR="00824558" w:rsidRDefault="00824558">
      <w:pPr>
        <w:pStyle w:val="Heading2"/>
      </w:pPr>
      <w:r>
        <w:t>Departmental objectives and outputs</w:t>
      </w:r>
    </w:p>
    <w:p w14:paraId="40706E82" w14:textId="6DFB73CC" w:rsidR="00824558" w:rsidRPr="005E15A8" w:rsidRDefault="00824558">
      <w:pPr>
        <w:pStyle w:val="ShadedBoxHeading"/>
      </w:pPr>
      <w:r w:rsidRPr="005E15A8">
        <w:t>Objective 1: Optimise Victoria</w:t>
      </w:r>
      <w:r w:rsidR="007942D1">
        <w:t>’</w:t>
      </w:r>
      <w:r w:rsidRPr="005E15A8">
        <w:t>s fiscal resources</w:t>
      </w:r>
    </w:p>
    <w:p w14:paraId="344C4B71" w14:textId="3D350080" w:rsidR="00824558" w:rsidRPr="005E15A8" w:rsidRDefault="00824558">
      <w:pPr>
        <w:pStyle w:val="ShadedBoxText"/>
        <w:spacing w:before="80"/>
      </w:pPr>
      <w:r w:rsidRPr="005E15A8">
        <w:t>Under this objective, the Department provides analysis and advice to the Government on the management of Victoria</w:t>
      </w:r>
      <w:r w:rsidR="007942D1">
        <w:t>’</w:t>
      </w:r>
      <w:r w:rsidRPr="005E15A8">
        <w:t>s fiscal resources to support decision-making and reporting for the benefit of all Victorians.</w:t>
      </w:r>
    </w:p>
    <w:p w14:paraId="6DF6FC33" w14:textId="68474F3B" w:rsidR="00824558" w:rsidRPr="005E15A8" w:rsidRDefault="00824558">
      <w:pPr>
        <w:pStyle w:val="ShadedBoxText"/>
        <w:spacing w:before="80"/>
      </w:pPr>
      <w:r w:rsidRPr="005E15A8">
        <w:t>The Department leads the development of financial policy advice to the Government and the Victorian public sector through detailed analysis of key policy priorities including resource allocation, financial risk and government service performance, financial reporting frameworks, and the State</w:t>
      </w:r>
      <w:r w:rsidR="007942D1">
        <w:t>’</w:t>
      </w:r>
      <w:r w:rsidRPr="005E15A8">
        <w:t>s budget position to inform and support the publication of key whole</w:t>
      </w:r>
      <w:r>
        <w:t>-</w:t>
      </w:r>
      <w:r w:rsidRPr="005E15A8">
        <w:t>of</w:t>
      </w:r>
      <w:r>
        <w:t>-</w:t>
      </w:r>
      <w:r w:rsidRPr="005E15A8">
        <w:t xml:space="preserve">state financial reports. </w:t>
      </w:r>
    </w:p>
    <w:p w14:paraId="37361BAD" w14:textId="77777777" w:rsidR="00824558" w:rsidRPr="005E15A8" w:rsidRDefault="00824558">
      <w:pPr>
        <w:pStyle w:val="ShadedBoxText"/>
        <w:spacing w:before="80"/>
      </w:pPr>
      <w:r w:rsidRPr="005E15A8">
        <w:t>The departmental objective indicators that support the Government to achieve its fiscal objectives are:</w:t>
      </w:r>
    </w:p>
    <w:p w14:paraId="31D08C19" w14:textId="77777777" w:rsidR="00824558" w:rsidRPr="005E15A8" w:rsidRDefault="00824558">
      <w:pPr>
        <w:pStyle w:val="ShadedBoxBullet"/>
        <w:spacing w:before="40" w:after="40"/>
        <w:contextualSpacing/>
      </w:pPr>
      <w:r w:rsidRPr="005E15A8">
        <w:t>general government net debt as a percentage of gross state product (GSP) to stabilise and reduce in the medium term</w:t>
      </w:r>
    </w:p>
    <w:p w14:paraId="289B632A" w14:textId="77777777" w:rsidR="00824558" w:rsidRPr="005E15A8" w:rsidRDefault="00824558">
      <w:pPr>
        <w:pStyle w:val="ShadedBoxBullet"/>
        <w:spacing w:before="40" w:after="40"/>
        <w:contextualSpacing/>
      </w:pPr>
      <w:r w:rsidRPr="005E15A8">
        <w:t>fully fund the unfunded superannuation liability by 2035</w:t>
      </w:r>
    </w:p>
    <w:p w14:paraId="6C38120E" w14:textId="77777777" w:rsidR="00824558" w:rsidRPr="005E15A8" w:rsidRDefault="00824558">
      <w:pPr>
        <w:pStyle w:val="ShadedBoxBullet"/>
        <w:spacing w:before="40" w:after="40"/>
        <w:contextualSpacing/>
      </w:pPr>
      <w:r w:rsidRPr="005E15A8">
        <w:t>a net operating cash surplus consistent with maintaining general government net debt at a sustainable level</w:t>
      </w:r>
    </w:p>
    <w:p w14:paraId="3E198E15" w14:textId="77777777" w:rsidR="00824558" w:rsidRPr="005E15A8" w:rsidRDefault="00824558">
      <w:pPr>
        <w:pStyle w:val="ShadedBoxBullet"/>
        <w:spacing w:before="40" w:after="40"/>
        <w:contextualSpacing/>
      </w:pPr>
      <w:r w:rsidRPr="005E15A8">
        <w:t>general government interest expense as a percentage of revenue to stabilise in the medium term</w:t>
      </w:r>
    </w:p>
    <w:p w14:paraId="756CA427" w14:textId="77777777" w:rsidR="00824558" w:rsidRPr="005E15A8" w:rsidRDefault="00824558">
      <w:pPr>
        <w:pStyle w:val="ShadedBoxBullet"/>
        <w:spacing w:before="40" w:after="40"/>
        <w:contextualSpacing/>
      </w:pPr>
      <w:r w:rsidRPr="005E15A8">
        <w:t xml:space="preserve">agency compliance with the Standing Directions under the </w:t>
      </w:r>
      <w:r w:rsidRPr="005E15A8">
        <w:rPr>
          <w:i/>
          <w:iCs/>
        </w:rPr>
        <w:t>Financial Management Act 1994</w:t>
      </w:r>
    </w:p>
    <w:p w14:paraId="63E254EA" w14:textId="227FECBB" w:rsidR="00824558" w:rsidRPr="005E15A8" w:rsidRDefault="00824558">
      <w:pPr>
        <w:pStyle w:val="ShadedBoxBullet"/>
        <w:spacing w:before="40" w:after="40"/>
        <w:contextualSpacing/>
      </w:pPr>
      <w:r w:rsidRPr="005E15A8">
        <w:t>advice contributes to the achievement of Government policies and priorities relating to optimising Victoria</w:t>
      </w:r>
      <w:r w:rsidR="007942D1">
        <w:t>’</w:t>
      </w:r>
      <w:r w:rsidRPr="005E15A8">
        <w:t>s fiscal resources.</w:t>
      </w:r>
    </w:p>
    <w:p w14:paraId="7CE092CF" w14:textId="77777777" w:rsidR="00824558" w:rsidRDefault="00824558">
      <w:pPr>
        <w:pStyle w:val="Heading2"/>
      </w:pPr>
      <w:r>
        <w:t>Outputs</w:t>
      </w:r>
    </w:p>
    <w:p w14:paraId="4E6D0E6D" w14:textId="51727631" w:rsidR="00824558" w:rsidRDefault="00824558">
      <w:pPr>
        <w:pStyle w:val="Heading3"/>
      </w:pPr>
      <w:r>
        <w:t>Budget and Financial Advice</w:t>
      </w:r>
      <w:r>
        <w:tab/>
        <w:t>(2026-27</w:t>
      </w:r>
      <w:r w:rsidRPr="003C1C1C">
        <w:t>: $</w:t>
      </w:r>
      <w:r w:rsidR="003C1C1C" w:rsidRPr="003C1C1C">
        <w:t>37</w:t>
      </w:r>
      <w:r w:rsidR="003C1C1C">
        <w:t>.8</w:t>
      </w:r>
      <w:r>
        <w:t xml:space="preserve"> million)</w:t>
      </w:r>
    </w:p>
    <w:p w14:paraId="48CF55EC" w14:textId="77777777" w:rsidR="00824558" w:rsidRPr="005E15A8" w:rsidRDefault="00824558">
      <w:r w:rsidRPr="005E15A8">
        <w:t xml:space="preserve">This output contributes to the provision of strategic, timely and comprehensive analysis and advice to Ministers, Cabinet and Cabinet Subcommittees on: </w:t>
      </w:r>
    </w:p>
    <w:p w14:paraId="55200EE8" w14:textId="77777777" w:rsidR="00824558" w:rsidRPr="005E15A8" w:rsidRDefault="00824558">
      <w:pPr>
        <w:pStyle w:val="ListBullet"/>
        <w:tabs>
          <w:tab w:val="clear" w:pos="360"/>
        </w:tabs>
        <w:spacing w:before="40" w:after="40"/>
        <w:ind w:left="340" w:hanging="340"/>
      </w:pPr>
      <w:r w:rsidRPr="005E15A8">
        <w:t>Victorian public sector resource allocation</w:t>
      </w:r>
    </w:p>
    <w:p w14:paraId="49E8C1C2" w14:textId="225D140C" w:rsidR="00824558" w:rsidRPr="005E15A8" w:rsidRDefault="00824558">
      <w:pPr>
        <w:pStyle w:val="ListBullet"/>
        <w:tabs>
          <w:tab w:val="clear" w:pos="360"/>
        </w:tabs>
        <w:spacing w:before="40" w:after="40"/>
        <w:ind w:left="340" w:hanging="340"/>
      </w:pPr>
      <w:r w:rsidRPr="005E15A8">
        <w:t>departmental financial, output and asset delivery performance to support government in making decisions on the allocation of the State</w:t>
      </w:r>
      <w:r w:rsidR="007942D1">
        <w:t>’</w:t>
      </w:r>
      <w:r w:rsidRPr="005E15A8">
        <w:t xml:space="preserve">s fiscal resources </w:t>
      </w:r>
    </w:p>
    <w:p w14:paraId="015E0367" w14:textId="77777777" w:rsidR="00824558" w:rsidRPr="005E15A8" w:rsidRDefault="00824558">
      <w:pPr>
        <w:pStyle w:val="ListBullet"/>
        <w:tabs>
          <w:tab w:val="clear" w:pos="360"/>
        </w:tabs>
        <w:spacing w:before="40" w:after="40"/>
        <w:ind w:left="340" w:hanging="340"/>
      </w:pPr>
      <w:r w:rsidRPr="005E15A8" w:rsidDel="00352C06">
        <w:t xml:space="preserve">departmental and agency funding </w:t>
      </w:r>
      <w:r w:rsidRPr="005E15A8">
        <w:t>reviews.</w:t>
      </w:r>
    </w:p>
    <w:p w14:paraId="0EB52451" w14:textId="77777777" w:rsidR="00824558" w:rsidRPr="005E15A8" w:rsidRDefault="00824558">
      <w:pPr>
        <w:keepNext/>
      </w:pPr>
      <w:r w:rsidRPr="005E15A8">
        <w:t>This output maintains the integrity of systems and information for financial planning, management, monitoring and reporting of the State of Victoria via:</w:t>
      </w:r>
    </w:p>
    <w:p w14:paraId="563EFD1C" w14:textId="77777777" w:rsidR="00824558" w:rsidRPr="005E15A8" w:rsidRDefault="00824558">
      <w:pPr>
        <w:pStyle w:val="ListBullet"/>
        <w:tabs>
          <w:tab w:val="clear" w:pos="360"/>
        </w:tabs>
        <w:spacing w:before="40" w:after="40"/>
        <w:ind w:left="340" w:hanging="340"/>
      </w:pPr>
      <w:r w:rsidRPr="005E15A8">
        <w:t>a best practice financial reporting framework, and whole</w:t>
      </w:r>
      <w:r>
        <w:t>-</w:t>
      </w:r>
      <w:r w:rsidRPr="005E15A8">
        <w:t>of</w:t>
      </w:r>
      <w:r>
        <w:t>-</w:t>
      </w:r>
      <w:r w:rsidRPr="005E15A8">
        <w:t>state management information systems, supporting financial reporting across the Victorian public sector</w:t>
      </w:r>
    </w:p>
    <w:p w14:paraId="4980FDAA" w14:textId="77777777" w:rsidR="00824558" w:rsidRPr="005E15A8" w:rsidRDefault="00824558">
      <w:pPr>
        <w:pStyle w:val="ListBullet"/>
        <w:tabs>
          <w:tab w:val="clear" w:pos="360"/>
        </w:tabs>
        <w:spacing w:before="40" w:after="40"/>
        <w:ind w:left="340" w:hanging="340"/>
      </w:pPr>
      <w:r w:rsidRPr="005E15A8">
        <w:t>publication of the State budget and financial reports, including quarterly, mid-year, annual and estimated financial reports</w:t>
      </w:r>
    </w:p>
    <w:p w14:paraId="749046DC" w14:textId="77777777" w:rsidR="00824558" w:rsidRPr="005E15A8" w:rsidRDefault="00824558">
      <w:pPr>
        <w:pStyle w:val="ListBullet"/>
        <w:tabs>
          <w:tab w:val="clear" w:pos="360"/>
        </w:tabs>
        <w:spacing w:before="40" w:after="40"/>
        <w:ind w:left="340" w:hanging="340"/>
      </w:pPr>
      <w:r w:rsidRPr="005E15A8">
        <w:t>publication of non-financial performance in the Victorian public sector.</w:t>
      </w:r>
    </w:p>
    <w:p w14:paraId="5DFB5989" w14:textId="77777777" w:rsidR="00824558" w:rsidRPr="005E15A8" w:rsidRDefault="00824558">
      <w:r w:rsidRPr="005E15A8">
        <w:t xml:space="preserve">This output develops and maintains cohesive financial and resource management frameworks that drive sound financial and resource management practices in the Victorian public sector by: </w:t>
      </w:r>
    </w:p>
    <w:p w14:paraId="0EA6C11A" w14:textId="77777777" w:rsidR="00824558" w:rsidRPr="005E15A8" w:rsidRDefault="00824558">
      <w:pPr>
        <w:pStyle w:val="ListBullet"/>
        <w:tabs>
          <w:tab w:val="clear" w:pos="360"/>
        </w:tabs>
        <w:ind w:left="340" w:hanging="340"/>
      </w:pPr>
      <w:r w:rsidRPr="005E15A8">
        <w:t>enhancing key frameworks to drive performance</w:t>
      </w:r>
    </w:p>
    <w:p w14:paraId="2E4ABE3D" w14:textId="397668A0" w:rsidR="00824558" w:rsidRPr="005E15A8" w:rsidRDefault="00824558">
      <w:pPr>
        <w:pStyle w:val="ListBullet"/>
        <w:tabs>
          <w:tab w:val="clear" w:pos="360"/>
        </w:tabs>
        <w:ind w:left="340" w:hanging="340"/>
      </w:pPr>
      <w:r w:rsidRPr="005E15A8">
        <w:t xml:space="preserve">monitoring </w:t>
      </w:r>
      <w:bookmarkStart w:id="19" w:name="_Hlk71569422"/>
      <w:r w:rsidRPr="005E15A8">
        <w:t>Victorian Public Sector (VPS) agencies</w:t>
      </w:r>
      <w:r w:rsidR="007942D1">
        <w:t>’</w:t>
      </w:r>
      <w:r w:rsidRPr="005E15A8">
        <w:t xml:space="preserve"> </w:t>
      </w:r>
      <w:bookmarkEnd w:id="19"/>
      <w:r w:rsidRPr="005E15A8">
        <w:t>compliance</w:t>
      </w:r>
    </w:p>
    <w:p w14:paraId="0471020E" w14:textId="77777777" w:rsidR="00824558" w:rsidRPr="005E15A8" w:rsidRDefault="00824558">
      <w:pPr>
        <w:pStyle w:val="ListBullet"/>
        <w:tabs>
          <w:tab w:val="clear" w:pos="360"/>
        </w:tabs>
        <w:ind w:left="340" w:hanging="340"/>
      </w:pPr>
      <w:r w:rsidRPr="005E15A8">
        <w:t>advising government and key stakeholders on financial and resource management and compliance issues</w:t>
      </w:r>
    </w:p>
    <w:p w14:paraId="7E688908" w14:textId="77777777" w:rsidR="00824558" w:rsidRPr="005E15A8" w:rsidRDefault="00824558">
      <w:pPr>
        <w:pStyle w:val="ListBullet"/>
        <w:tabs>
          <w:tab w:val="clear" w:pos="360"/>
        </w:tabs>
        <w:ind w:left="340" w:hanging="340"/>
      </w:pPr>
      <w:r w:rsidRPr="005E15A8">
        <w:t>ensuring that financial and resource management frameworks are established and complied with</w:t>
      </w:r>
    </w:p>
    <w:p w14:paraId="0B5DEFB8" w14:textId="77777777" w:rsidR="00824558" w:rsidRPr="005E15A8" w:rsidRDefault="00824558">
      <w:pPr>
        <w:pStyle w:val="ListBullet"/>
        <w:tabs>
          <w:tab w:val="clear" w:pos="360"/>
        </w:tabs>
        <w:ind w:left="340" w:hanging="340"/>
      </w:pPr>
      <w:r w:rsidRPr="005E15A8">
        <w:t>promoting continuous improvement in VPS resource allocation and management through regular reviews and updates to ensure the frameworks represent good practice</w:t>
      </w:r>
    </w:p>
    <w:p w14:paraId="2DC22A68" w14:textId="77777777" w:rsidR="00824558" w:rsidRPr="005E15A8" w:rsidRDefault="00824558">
      <w:pPr>
        <w:pStyle w:val="ListBullet"/>
        <w:tabs>
          <w:tab w:val="clear" w:pos="360"/>
        </w:tabs>
        <w:ind w:left="340" w:hanging="340"/>
      </w:pPr>
      <w:r w:rsidRPr="005E15A8">
        <w:t>promoting awareness of financial management accountabilities and roles.</w:t>
      </w:r>
    </w:p>
    <w:p w14:paraId="0CE192FA" w14:textId="0A3F091B" w:rsidR="00824558" w:rsidRPr="003C27A3" w:rsidRDefault="00824558">
      <w:pPr>
        <w:spacing w:after="120"/>
      </w:pPr>
      <w:r w:rsidRPr="005E15A8">
        <w:t>This output contributes to the Department</w:t>
      </w:r>
      <w:r w:rsidR="007942D1">
        <w:t>’</w:t>
      </w:r>
      <w:r w:rsidRPr="005E15A8">
        <w:t>s objective to optimise Victoria</w:t>
      </w:r>
      <w:r w:rsidR="007942D1">
        <w:t>’</w:t>
      </w:r>
      <w:r w:rsidRPr="005E15A8">
        <w:t>s fiscal resources.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5455ED5" w14:textId="77777777" w:rsidTr="00587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4D04754" w14:textId="77777777" w:rsidR="00824558" w:rsidRDefault="00824558">
            <w:r>
              <w:t>Performance measure</w:t>
            </w:r>
          </w:p>
        </w:tc>
        <w:tc>
          <w:tcPr>
            <w:tcW w:w="964" w:type="dxa"/>
          </w:tcPr>
          <w:p w14:paraId="054D387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E7AC8C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775349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66F449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5A8515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1C2DDE" w14:paraId="59824B63" w14:textId="77777777" w:rsidTr="00587F18">
        <w:tc>
          <w:tcPr>
            <w:cnfStyle w:val="001000000000" w:firstRow="0" w:lastRow="0" w:firstColumn="1" w:lastColumn="0" w:oddVBand="0" w:evenVBand="0" w:oddHBand="0" w:evenHBand="0" w:firstRowFirstColumn="0" w:firstRowLastColumn="0" w:lastRowFirstColumn="0" w:lastRowLastColumn="0"/>
            <w:tcW w:w="9639" w:type="dxa"/>
            <w:gridSpan w:val="6"/>
          </w:tcPr>
          <w:p w14:paraId="1153DE42" w14:textId="77777777" w:rsidR="00824558" w:rsidRPr="001C2DDE" w:rsidRDefault="00824558">
            <w:pPr>
              <w:keepNext/>
              <w:rPr>
                <w:b/>
                <w:bCs/>
                <w:iCs/>
              </w:rPr>
            </w:pPr>
            <w:r w:rsidRPr="001C2DDE">
              <w:rPr>
                <w:b/>
                <w:bCs/>
                <w:iCs/>
              </w:rPr>
              <w:t>Quantity</w:t>
            </w:r>
          </w:p>
        </w:tc>
      </w:tr>
      <w:tr w:rsidR="00824558" w14:paraId="28AFC843"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69304C1" w14:textId="77777777" w:rsidR="00824558" w:rsidRDefault="00824558" w:rsidP="00D36A97">
            <w:pPr>
              <w:keepNext/>
              <w:ind w:left="170"/>
            </w:pPr>
            <w:r>
              <w:t>Number of funding reviews contributed to by DTF</w:t>
            </w:r>
          </w:p>
        </w:tc>
        <w:tc>
          <w:tcPr>
            <w:tcW w:w="964" w:type="dxa"/>
            <w:tcBorders>
              <w:bottom w:val="single" w:sz="6" w:space="0" w:color="auto"/>
            </w:tcBorders>
          </w:tcPr>
          <w:p w14:paraId="012A609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1C954A8"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33C180E8"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217B1B5A"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0AD501B9"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14:paraId="493092F6"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AA272B3" w14:textId="77777777" w:rsidR="00824558" w:rsidRDefault="00824558">
            <w:pPr>
              <w:ind w:left="170"/>
            </w:pPr>
            <w:r>
              <w:t>Number of periodic portfolio performance reports provided to Government</w:t>
            </w:r>
          </w:p>
        </w:tc>
        <w:tc>
          <w:tcPr>
            <w:tcW w:w="964" w:type="dxa"/>
            <w:tcBorders>
              <w:bottom w:val="single" w:sz="6" w:space="0" w:color="auto"/>
            </w:tcBorders>
          </w:tcPr>
          <w:p w14:paraId="45173E5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7BFF051"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0973234E"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211E0C94"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18D547C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1C2DDE" w14:paraId="1D520A67" w14:textId="77777777" w:rsidTr="00587F18">
        <w:tc>
          <w:tcPr>
            <w:cnfStyle w:val="001000000000" w:firstRow="0" w:lastRow="0" w:firstColumn="1" w:lastColumn="0" w:oddVBand="0" w:evenVBand="0" w:oddHBand="0" w:evenHBand="0" w:firstRowFirstColumn="0" w:firstRowLastColumn="0" w:lastRowFirstColumn="0" w:lastRowLastColumn="0"/>
            <w:tcW w:w="9639" w:type="dxa"/>
            <w:gridSpan w:val="6"/>
          </w:tcPr>
          <w:p w14:paraId="6782BB23" w14:textId="77777777" w:rsidR="00824558" w:rsidRPr="001C2DDE" w:rsidRDefault="00824558">
            <w:pPr>
              <w:keepNext/>
              <w:rPr>
                <w:b/>
                <w:bCs/>
                <w:iCs/>
              </w:rPr>
            </w:pPr>
            <w:r w:rsidRPr="001C2DDE">
              <w:rPr>
                <w:b/>
                <w:bCs/>
                <w:iCs/>
              </w:rPr>
              <w:t>Quality</w:t>
            </w:r>
          </w:p>
        </w:tc>
      </w:tr>
      <w:tr w:rsidR="00824558" w14:paraId="41F42080" w14:textId="77777777" w:rsidTr="00587F18">
        <w:tc>
          <w:tcPr>
            <w:cnfStyle w:val="001000000000" w:firstRow="0" w:lastRow="0" w:firstColumn="1" w:lastColumn="0" w:oddVBand="0" w:evenVBand="0" w:oddHBand="0" w:evenHBand="0" w:firstRowFirstColumn="0" w:firstRowLastColumn="0" w:lastRowFirstColumn="0" w:lastRowLastColumn="0"/>
            <w:tcW w:w="4819" w:type="dxa"/>
          </w:tcPr>
          <w:p w14:paraId="6F65DF57" w14:textId="77777777" w:rsidR="00824558" w:rsidRDefault="00824558">
            <w:pPr>
              <w:keepNext/>
              <w:ind w:left="170"/>
            </w:pPr>
            <w:r>
              <w:t>Percentage of attendees at Gender Responsive Budgeting (GRB) and Gender Impact Assessment (GIA) information sessions who indicated the session helped improve their understanding of associated requirements</w:t>
            </w:r>
          </w:p>
        </w:tc>
        <w:tc>
          <w:tcPr>
            <w:tcW w:w="964" w:type="dxa"/>
          </w:tcPr>
          <w:p w14:paraId="3236093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E0C392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15F97386"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Pr>
          <w:p w14:paraId="1DD193CE"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0C1FFB30"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1CF76F3C" w14:textId="77777777" w:rsidTr="00587F1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D8FB3F4" w14:textId="5448CC39"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because the results to mid-year are already higher than the target. Information sessions are provided in the first half of the year in the lead-up to the annual budget process. The mid-year actual result therefore represents the results for all information sessions that will be conducted in </w:t>
            </w:r>
            <w:r w:rsidR="008F7A05">
              <w:rPr>
                <w:i/>
              </w:rPr>
              <w:t>2025-26</w:t>
            </w:r>
            <w:r>
              <w:rPr>
                <w:i/>
              </w:rPr>
              <w:t>.</w:t>
            </w:r>
          </w:p>
        </w:tc>
      </w:tr>
      <w:tr w:rsidR="00824558" w14:paraId="3AEB44CE"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B73113C" w14:textId="77777777" w:rsidR="00824558" w:rsidRDefault="00824558">
            <w:pPr>
              <w:ind w:left="170"/>
            </w:pPr>
            <w:r>
              <w:t>Percentage of VPS stakeholder feedback indicating that the advice and sessions provided supported understanding of the financial reporting and financial management frameworks across the VPS.</w:t>
            </w:r>
          </w:p>
        </w:tc>
        <w:tc>
          <w:tcPr>
            <w:tcW w:w="964" w:type="dxa"/>
            <w:tcBorders>
              <w:bottom w:val="single" w:sz="6" w:space="0" w:color="auto"/>
            </w:tcBorders>
          </w:tcPr>
          <w:p w14:paraId="68690CB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11A24E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307340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66480A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8A988A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7117DDF6"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EBB7524" w14:textId="77777777" w:rsidR="00824558" w:rsidRDefault="00824558">
            <w:pPr>
              <w:ind w:left="170"/>
            </w:pPr>
            <w:r>
              <w:t>Unqualified audit reports/reviews for the State of Victoria Financial Report and Estimated Financial Statements</w:t>
            </w:r>
          </w:p>
        </w:tc>
        <w:tc>
          <w:tcPr>
            <w:tcW w:w="964" w:type="dxa"/>
            <w:tcBorders>
              <w:bottom w:val="single" w:sz="6" w:space="0" w:color="auto"/>
            </w:tcBorders>
          </w:tcPr>
          <w:p w14:paraId="2889CBE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4960576D"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1006C9C4"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6F771D85"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47B475CC"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54130788"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BAB11D1" w14:textId="77777777" w:rsidR="00824558" w:rsidRDefault="00824558">
            <w:pPr>
              <w:ind w:left="170"/>
            </w:pPr>
            <w:r>
              <w:t>Variance of the revised estimate of general government budget expenditure</w:t>
            </w:r>
          </w:p>
        </w:tc>
        <w:tc>
          <w:tcPr>
            <w:tcW w:w="964" w:type="dxa"/>
            <w:tcBorders>
              <w:bottom w:val="single" w:sz="6" w:space="0" w:color="auto"/>
            </w:tcBorders>
          </w:tcPr>
          <w:p w14:paraId="2CD744A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972CB88" w14:textId="16466F9C" w:rsidR="00824558" w:rsidRDefault="00824558">
            <w:pPr>
              <w:cnfStyle w:val="000000000000" w:firstRow="0" w:lastRow="0" w:firstColumn="0" w:lastColumn="0" w:oddVBand="0" w:evenVBand="0" w:oddHBand="0" w:evenHBand="0" w:firstRowFirstColumn="0" w:firstRowLastColumn="0" w:lastRowFirstColumn="0" w:lastRowLastColumn="0"/>
            </w:pPr>
            <w:r>
              <w:t>≤</w:t>
            </w:r>
            <w:r w:rsidR="00540BB2">
              <w:t xml:space="preserve"> </w:t>
            </w:r>
            <w:r>
              <w:t>5.0</w:t>
            </w:r>
          </w:p>
        </w:tc>
        <w:tc>
          <w:tcPr>
            <w:tcW w:w="964" w:type="dxa"/>
            <w:tcBorders>
              <w:bottom w:val="single" w:sz="6" w:space="0" w:color="auto"/>
            </w:tcBorders>
          </w:tcPr>
          <w:p w14:paraId="23F71812" w14:textId="27347B01" w:rsidR="00824558" w:rsidRDefault="00824558">
            <w:pPr>
              <w:cnfStyle w:val="000000000000" w:firstRow="0" w:lastRow="0" w:firstColumn="0" w:lastColumn="0" w:oddVBand="0" w:evenVBand="0" w:oddHBand="0" w:evenHBand="0" w:firstRowFirstColumn="0" w:firstRowLastColumn="0" w:lastRowFirstColumn="0" w:lastRowLastColumn="0"/>
            </w:pPr>
            <w:r>
              <w:t>≤</w:t>
            </w:r>
            <w:r w:rsidR="00540BB2">
              <w:t xml:space="preserve"> </w:t>
            </w:r>
            <w:r>
              <w:t>5.0</w:t>
            </w:r>
          </w:p>
        </w:tc>
        <w:tc>
          <w:tcPr>
            <w:tcW w:w="964" w:type="dxa"/>
            <w:tcBorders>
              <w:bottom w:val="single" w:sz="6" w:space="0" w:color="auto"/>
            </w:tcBorders>
          </w:tcPr>
          <w:p w14:paraId="59632116" w14:textId="235FAC35" w:rsidR="00824558" w:rsidRDefault="00824558">
            <w:pPr>
              <w:cnfStyle w:val="000000000000" w:firstRow="0" w:lastRow="0" w:firstColumn="0" w:lastColumn="0" w:oddVBand="0" w:evenVBand="0" w:oddHBand="0" w:evenHBand="0" w:firstRowFirstColumn="0" w:firstRowLastColumn="0" w:lastRowFirstColumn="0" w:lastRowLastColumn="0"/>
            </w:pPr>
            <w:r>
              <w:t>≤</w:t>
            </w:r>
            <w:r w:rsidR="00540BB2">
              <w:t xml:space="preserve"> </w:t>
            </w:r>
            <w:r>
              <w:t>5.0</w:t>
            </w:r>
          </w:p>
        </w:tc>
        <w:tc>
          <w:tcPr>
            <w:tcW w:w="964" w:type="dxa"/>
            <w:tcBorders>
              <w:bottom w:val="single" w:sz="6" w:space="0" w:color="auto"/>
            </w:tcBorders>
          </w:tcPr>
          <w:p w14:paraId="4AF92BD2" w14:textId="285E34BD" w:rsidR="00824558" w:rsidRDefault="00824558">
            <w:pPr>
              <w:cnfStyle w:val="000000000000" w:firstRow="0" w:lastRow="0" w:firstColumn="0" w:lastColumn="0" w:oddVBand="0" w:evenVBand="0" w:oddHBand="0" w:evenHBand="0" w:firstRowFirstColumn="0" w:firstRowLastColumn="0" w:lastRowFirstColumn="0" w:lastRowLastColumn="0"/>
            </w:pPr>
            <w:r>
              <w:t>≤</w:t>
            </w:r>
            <w:r w:rsidR="00540BB2">
              <w:t xml:space="preserve"> </w:t>
            </w:r>
            <w:r>
              <w:t>5.0</w:t>
            </w:r>
          </w:p>
        </w:tc>
      </w:tr>
      <w:tr w:rsidR="00824558" w:rsidRPr="001C2DDE" w14:paraId="2D95EA18" w14:textId="77777777" w:rsidTr="00587F18">
        <w:tc>
          <w:tcPr>
            <w:cnfStyle w:val="001000000000" w:firstRow="0" w:lastRow="0" w:firstColumn="1" w:lastColumn="0" w:oddVBand="0" w:evenVBand="0" w:oddHBand="0" w:evenHBand="0" w:firstRowFirstColumn="0" w:firstRowLastColumn="0" w:lastRowFirstColumn="0" w:lastRowLastColumn="0"/>
            <w:tcW w:w="9639" w:type="dxa"/>
            <w:gridSpan w:val="6"/>
          </w:tcPr>
          <w:p w14:paraId="7914C9FD" w14:textId="77777777" w:rsidR="00824558" w:rsidRPr="001C2DDE" w:rsidRDefault="00824558">
            <w:pPr>
              <w:keepNext/>
              <w:rPr>
                <w:b/>
                <w:bCs/>
                <w:iCs/>
              </w:rPr>
            </w:pPr>
            <w:r w:rsidRPr="001C2DDE">
              <w:rPr>
                <w:b/>
                <w:bCs/>
                <w:iCs/>
              </w:rPr>
              <w:t>Timeliness</w:t>
            </w:r>
          </w:p>
        </w:tc>
      </w:tr>
      <w:tr w:rsidR="00824558" w14:paraId="6940E4EA"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B4265DF" w14:textId="77777777" w:rsidR="00824558" w:rsidRDefault="00824558">
            <w:pPr>
              <w:ind w:left="170"/>
            </w:pPr>
            <w:r>
              <w:t>Annual Budget published by date agreed by Treasurer</w:t>
            </w:r>
          </w:p>
        </w:tc>
        <w:tc>
          <w:tcPr>
            <w:tcW w:w="964" w:type="dxa"/>
            <w:tcBorders>
              <w:bottom w:val="single" w:sz="6" w:space="0" w:color="auto"/>
            </w:tcBorders>
          </w:tcPr>
          <w:p w14:paraId="6D4AFC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bottom w:val="single" w:sz="6" w:space="0" w:color="auto"/>
            </w:tcBorders>
            <w:shd w:val="clear" w:color="auto" w:fill="F0F0F0"/>
          </w:tcPr>
          <w:p w14:paraId="70D791BA" w14:textId="5C121A4C"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8C09EA">
              <w:t>20</w:t>
            </w:r>
            <w:r>
              <w:t>27</w:t>
            </w:r>
          </w:p>
        </w:tc>
        <w:tc>
          <w:tcPr>
            <w:tcW w:w="964" w:type="dxa"/>
            <w:tcBorders>
              <w:bottom w:val="single" w:sz="6" w:space="0" w:color="auto"/>
            </w:tcBorders>
          </w:tcPr>
          <w:p w14:paraId="18FE9278" w14:textId="1B96071B"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8C09EA">
              <w:t>20</w:t>
            </w:r>
            <w:r>
              <w:t>26</w:t>
            </w:r>
          </w:p>
        </w:tc>
        <w:tc>
          <w:tcPr>
            <w:tcW w:w="964" w:type="dxa"/>
            <w:tcBorders>
              <w:bottom w:val="single" w:sz="6" w:space="0" w:color="auto"/>
            </w:tcBorders>
          </w:tcPr>
          <w:p w14:paraId="7945CFD8" w14:textId="111BE897"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8C09EA">
              <w:t>20</w:t>
            </w:r>
            <w:r>
              <w:t>26</w:t>
            </w:r>
          </w:p>
        </w:tc>
        <w:tc>
          <w:tcPr>
            <w:tcW w:w="964" w:type="dxa"/>
            <w:tcBorders>
              <w:bottom w:val="single" w:sz="6" w:space="0" w:color="auto"/>
            </w:tcBorders>
          </w:tcPr>
          <w:p w14:paraId="064391E6" w14:textId="5A471021" w:rsidR="00824558" w:rsidRDefault="00824558">
            <w:pPr>
              <w:cnfStyle w:val="000000000000" w:firstRow="0" w:lastRow="0" w:firstColumn="0" w:lastColumn="0" w:oddVBand="0" w:evenVBand="0" w:oddHBand="0" w:evenHBand="0" w:firstRowFirstColumn="0" w:firstRowLastColumn="0" w:lastRowFirstColumn="0" w:lastRowLastColumn="0"/>
            </w:pPr>
            <w:r>
              <w:t xml:space="preserve">May </w:t>
            </w:r>
            <w:r w:rsidR="008C09EA">
              <w:t>20</w:t>
            </w:r>
            <w:r>
              <w:t>25</w:t>
            </w:r>
          </w:p>
        </w:tc>
      </w:tr>
      <w:tr w:rsidR="00824558" w14:paraId="40156435"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99AE655" w14:textId="77777777" w:rsidR="00824558" w:rsidRDefault="00824558">
            <w:pPr>
              <w:ind w:left="170"/>
            </w:pPr>
            <w:r>
              <w:t>Annual financial management compliance report for the previous financial year is submitted to the Minister for Finance</w:t>
            </w:r>
          </w:p>
        </w:tc>
        <w:tc>
          <w:tcPr>
            <w:tcW w:w="964" w:type="dxa"/>
            <w:tcBorders>
              <w:bottom w:val="single" w:sz="6" w:space="0" w:color="auto"/>
            </w:tcBorders>
          </w:tcPr>
          <w:p w14:paraId="468338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date</w:t>
            </w:r>
          </w:p>
        </w:tc>
        <w:tc>
          <w:tcPr>
            <w:tcW w:w="964" w:type="dxa"/>
            <w:tcBorders>
              <w:bottom w:val="single" w:sz="6" w:space="0" w:color="auto"/>
            </w:tcBorders>
            <w:shd w:val="clear" w:color="auto" w:fill="F0F0F0"/>
          </w:tcPr>
          <w:p w14:paraId="331596B5" w14:textId="09CC4A7E" w:rsidR="00824558" w:rsidRDefault="00824558">
            <w:pPr>
              <w:cnfStyle w:val="000000000000" w:firstRow="0" w:lastRow="0" w:firstColumn="0" w:lastColumn="0" w:oddVBand="0" w:evenVBand="0" w:oddHBand="0" w:evenHBand="0" w:firstRowFirstColumn="0" w:firstRowLastColumn="0" w:lastRowFirstColumn="0" w:lastRowLastColumn="0"/>
            </w:pPr>
            <w:r>
              <w:t xml:space="preserve">By </w:t>
            </w:r>
            <w:r w:rsidR="008C09EA">
              <w:br/>
            </w:r>
            <w:r>
              <w:t>15 Feb 2027</w:t>
            </w:r>
          </w:p>
        </w:tc>
        <w:tc>
          <w:tcPr>
            <w:tcW w:w="964" w:type="dxa"/>
            <w:tcBorders>
              <w:bottom w:val="single" w:sz="6" w:space="0" w:color="auto"/>
            </w:tcBorders>
          </w:tcPr>
          <w:p w14:paraId="5E437891" w14:textId="7D5267A9" w:rsidR="00824558" w:rsidRDefault="00824558">
            <w:pPr>
              <w:cnfStyle w:val="000000000000" w:firstRow="0" w:lastRow="0" w:firstColumn="0" w:lastColumn="0" w:oddVBand="0" w:evenVBand="0" w:oddHBand="0" w:evenHBand="0" w:firstRowFirstColumn="0" w:firstRowLastColumn="0" w:lastRowFirstColumn="0" w:lastRowLastColumn="0"/>
            </w:pPr>
            <w:r>
              <w:t xml:space="preserve">By </w:t>
            </w:r>
            <w:r w:rsidR="008C09EA">
              <w:br/>
            </w:r>
            <w:r>
              <w:t>15 Feb 2026</w:t>
            </w:r>
          </w:p>
        </w:tc>
        <w:tc>
          <w:tcPr>
            <w:tcW w:w="964" w:type="dxa"/>
            <w:tcBorders>
              <w:bottom w:val="single" w:sz="6" w:space="0" w:color="auto"/>
            </w:tcBorders>
          </w:tcPr>
          <w:p w14:paraId="5D753235" w14:textId="5D5FBED2" w:rsidR="00824558" w:rsidRDefault="00824558">
            <w:pPr>
              <w:cnfStyle w:val="000000000000" w:firstRow="0" w:lastRow="0" w:firstColumn="0" w:lastColumn="0" w:oddVBand="0" w:evenVBand="0" w:oddHBand="0" w:evenHBand="0" w:firstRowFirstColumn="0" w:firstRowLastColumn="0" w:lastRowFirstColumn="0" w:lastRowLastColumn="0"/>
            </w:pPr>
            <w:r>
              <w:t xml:space="preserve">By </w:t>
            </w:r>
            <w:r w:rsidR="008C09EA">
              <w:br/>
            </w:r>
            <w:r>
              <w:t>15 Feb 2026</w:t>
            </w:r>
          </w:p>
        </w:tc>
        <w:tc>
          <w:tcPr>
            <w:tcW w:w="964" w:type="dxa"/>
            <w:tcBorders>
              <w:bottom w:val="single" w:sz="6" w:space="0" w:color="auto"/>
            </w:tcBorders>
          </w:tcPr>
          <w:p w14:paraId="74140BCB" w14:textId="77777777" w:rsidR="00824558" w:rsidRDefault="00824558">
            <w:pPr>
              <w:cnfStyle w:val="000000000000" w:firstRow="0" w:lastRow="0" w:firstColumn="0" w:lastColumn="0" w:oddVBand="0" w:evenVBand="0" w:oddHBand="0" w:evenHBand="0" w:firstRowFirstColumn="0" w:firstRowLastColumn="0" w:lastRowFirstColumn="0" w:lastRowLastColumn="0"/>
            </w:pPr>
            <w:r>
              <w:t>12 Feb 2025</w:t>
            </w:r>
          </w:p>
        </w:tc>
      </w:tr>
      <w:tr w:rsidR="00824558" w14:paraId="33C4E56A" w14:textId="77777777" w:rsidTr="00587F1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B209AB" w14:textId="77777777" w:rsidR="00824558" w:rsidRDefault="00824558">
            <w:pPr>
              <w:ind w:left="170"/>
            </w:pPr>
            <w:r>
              <w:t>Budget Update, Financial Report for the State of Victoria, Mid‑Year Financial Report, and Quarterly Financial Reports are transmitted by legislated timelines</w:t>
            </w:r>
          </w:p>
        </w:tc>
        <w:tc>
          <w:tcPr>
            <w:tcW w:w="964" w:type="dxa"/>
            <w:tcBorders>
              <w:bottom w:val="single" w:sz="6" w:space="0" w:color="auto"/>
            </w:tcBorders>
          </w:tcPr>
          <w:p w14:paraId="3C29926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1E161F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E78FD1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291BDC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C299EF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1C2DDE" w14:paraId="16DBD858" w14:textId="77777777" w:rsidTr="00587F18">
        <w:tc>
          <w:tcPr>
            <w:cnfStyle w:val="001000000000" w:firstRow="0" w:lastRow="0" w:firstColumn="1" w:lastColumn="0" w:oddVBand="0" w:evenVBand="0" w:oddHBand="0" w:evenHBand="0" w:firstRowFirstColumn="0" w:firstRowLastColumn="0" w:lastRowFirstColumn="0" w:lastRowLastColumn="0"/>
            <w:tcW w:w="9639" w:type="dxa"/>
            <w:gridSpan w:val="6"/>
          </w:tcPr>
          <w:p w14:paraId="23A1F25E" w14:textId="77777777" w:rsidR="00824558" w:rsidRPr="001C2DDE" w:rsidRDefault="00824558">
            <w:pPr>
              <w:keepNext/>
              <w:rPr>
                <w:b/>
                <w:bCs/>
                <w:iCs/>
              </w:rPr>
            </w:pPr>
            <w:r w:rsidRPr="001C2DDE">
              <w:rPr>
                <w:b/>
                <w:bCs/>
                <w:iCs/>
              </w:rPr>
              <w:t>Cost</w:t>
            </w:r>
          </w:p>
        </w:tc>
      </w:tr>
      <w:tr w:rsidR="00587F18" w14:paraId="226545DB" w14:textId="77777777" w:rsidTr="00587F18">
        <w:tc>
          <w:tcPr>
            <w:cnfStyle w:val="001000000000" w:firstRow="0" w:lastRow="0" w:firstColumn="1" w:lastColumn="0" w:oddVBand="0" w:evenVBand="0" w:oddHBand="0" w:evenHBand="0" w:firstRowFirstColumn="0" w:firstRowLastColumn="0" w:lastRowFirstColumn="0" w:lastRowLastColumn="0"/>
            <w:tcW w:w="4819" w:type="dxa"/>
          </w:tcPr>
          <w:p w14:paraId="0B07536E" w14:textId="77777777" w:rsidR="00587F18" w:rsidRDefault="00587F18" w:rsidP="00587F18">
            <w:pPr>
              <w:ind w:left="170"/>
            </w:pPr>
            <w:r>
              <w:t>Total output cost</w:t>
            </w:r>
          </w:p>
        </w:tc>
        <w:tc>
          <w:tcPr>
            <w:tcW w:w="964" w:type="dxa"/>
          </w:tcPr>
          <w:p w14:paraId="331863ED" w14:textId="77777777" w:rsidR="00587F18" w:rsidRDefault="00587F18" w:rsidP="00587F1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9BE4115" w14:textId="497BD679" w:rsidR="00587F18" w:rsidRPr="008C09EA" w:rsidRDefault="00587F18" w:rsidP="00587F18">
            <w:pPr>
              <w:cnfStyle w:val="000000000000" w:firstRow="0" w:lastRow="0" w:firstColumn="0" w:lastColumn="0" w:oddVBand="0" w:evenVBand="0" w:oddHBand="0" w:evenHBand="0" w:firstRowFirstColumn="0" w:firstRowLastColumn="0" w:lastRowFirstColumn="0" w:lastRowLastColumn="0"/>
              <w:rPr>
                <w:highlight w:val="yellow"/>
              </w:rPr>
            </w:pPr>
            <w:r>
              <w:t>37.8</w:t>
            </w:r>
          </w:p>
        </w:tc>
        <w:tc>
          <w:tcPr>
            <w:tcW w:w="964" w:type="dxa"/>
          </w:tcPr>
          <w:p w14:paraId="22D38F22" w14:textId="580A173A" w:rsidR="00587F18" w:rsidRDefault="00587F18" w:rsidP="00587F18">
            <w:pPr>
              <w:cnfStyle w:val="000000000000" w:firstRow="0" w:lastRow="0" w:firstColumn="0" w:lastColumn="0" w:oddVBand="0" w:evenVBand="0" w:oddHBand="0" w:evenHBand="0" w:firstRowFirstColumn="0" w:firstRowLastColumn="0" w:lastRowFirstColumn="0" w:lastRowLastColumn="0"/>
            </w:pPr>
            <w:r>
              <w:t>43.8</w:t>
            </w:r>
          </w:p>
        </w:tc>
        <w:tc>
          <w:tcPr>
            <w:tcW w:w="964" w:type="dxa"/>
          </w:tcPr>
          <w:p w14:paraId="2926D04A" w14:textId="77777777" w:rsidR="00587F18" w:rsidRDefault="00587F18" w:rsidP="00587F18">
            <w:pPr>
              <w:cnfStyle w:val="000000000000" w:firstRow="0" w:lastRow="0" w:firstColumn="0" w:lastColumn="0" w:oddVBand="0" w:evenVBand="0" w:oddHBand="0" w:evenHBand="0" w:firstRowFirstColumn="0" w:firstRowLastColumn="0" w:lastRowFirstColumn="0" w:lastRowLastColumn="0"/>
            </w:pPr>
            <w:r>
              <w:t>42.2</w:t>
            </w:r>
          </w:p>
        </w:tc>
        <w:tc>
          <w:tcPr>
            <w:tcW w:w="964" w:type="dxa"/>
          </w:tcPr>
          <w:p w14:paraId="51115E8E" w14:textId="77777777" w:rsidR="00587F18" w:rsidRDefault="00587F18" w:rsidP="00587F18">
            <w:pPr>
              <w:cnfStyle w:val="000000000000" w:firstRow="0" w:lastRow="0" w:firstColumn="0" w:lastColumn="0" w:oddVBand="0" w:evenVBand="0" w:oddHBand="0" w:evenHBand="0" w:firstRowFirstColumn="0" w:firstRowLastColumn="0" w:lastRowFirstColumn="0" w:lastRowLastColumn="0"/>
            </w:pPr>
            <w:r>
              <w:t>46.3</w:t>
            </w:r>
          </w:p>
        </w:tc>
      </w:tr>
      <w:tr w:rsidR="00587F18" w14:paraId="2DFCA87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30E1306" w14:textId="089645FB" w:rsidR="00587F18" w:rsidRDefault="004C1E5B" w:rsidP="00830EC1">
            <w:pPr>
              <w:ind w:left="170"/>
            </w:pPr>
            <w:r w:rsidRPr="004C1E5B">
              <w:rPr>
                <w:i/>
              </w:rPr>
              <w:t>The lower 2026-27 target reflects tapering</w:t>
            </w:r>
            <w:r>
              <w:rPr>
                <w:i/>
              </w:rPr>
              <w:t xml:space="preserve"> </w:t>
            </w:r>
            <w:r w:rsidRPr="004C1E5B">
              <w:rPr>
                <w:i/>
              </w:rPr>
              <w:t>funding and savings from the Independent Review of the Victorian Public Service attributable to this output.</w:t>
            </w:r>
          </w:p>
        </w:tc>
      </w:tr>
    </w:tbl>
    <w:p w14:paraId="223594FD" w14:textId="77777777" w:rsidR="00824558" w:rsidRDefault="00824558">
      <w:pPr>
        <w:pStyle w:val="Source"/>
      </w:pPr>
      <w:r>
        <w:t>Source: Department of Treasury and Finance</w:t>
      </w:r>
    </w:p>
    <w:p w14:paraId="7CA16AC0" w14:textId="38ABD26D" w:rsidR="00824558" w:rsidRDefault="00824558">
      <w:pPr>
        <w:pStyle w:val="Heading3"/>
      </w:pPr>
      <w:r>
        <w:t>Revenue Management and Administrative Services to Government</w:t>
      </w:r>
      <w:r>
        <w:tab/>
        <w:t>(2026-27: $</w:t>
      </w:r>
      <w:r w:rsidR="00830EC1">
        <w:t>255.4</w:t>
      </w:r>
      <w:r>
        <w:t xml:space="preserve"> million)</w:t>
      </w:r>
    </w:p>
    <w:p w14:paraId="57893478" w14:textId="1DD42E6E" w:rsidR="00824558" w:rsidRPr="000C61F9" w:rsidRDefault="00824558">
      <w:pPr>
        <w:keepNext/>
        <w:spacing w:after="120"/>
      </w:pPr>
      <w:r w:rsidRPr="005E15A8">
        <w:rPr>
          <w:lang w:eastAsia="en-AU"/>
        </w:rPr>
        <w:t>This output provides revenue management and administrative services across the various state</w:t>
      </w:r>
      <w:r w:rsidRPr="005E15A8">
        <w:rPr>
          <w:lang w:eastAsia="en-AU"/>
        </w:rPr>
        <w:noBreakHyphen/>
        <w:t>based taxes in a fair and efficient manner for the benefit of all Victorians. By administering Victoria</w:t>
      </w:r>
      <w:r w:rsidR="007942D1">
        <w:rPr>
          <w:lang w:eastAsia="en-AU"/>
        </w:rPr>
        <w:t>’</w:t>
      </w:r>
      <w:r w:rsidRPr="005E15A8">
        <w:rPr>
          <w:lang w:eastAsia="en-AU"/>
        </w:rPr>
        <w:t>s taxation legislation and collecting a range of taxes, duties and levies, this output contributes to the Department</w:t>
      </w:r>
      <w:r w:rsidR="007942D1">
        <w:rPr>
          <w:lang w:eastAsia="en-AU"/>
        </w:rPr>
        <w:t>’</w:t>
      </w:r>
      <w:r w:rsidRPr="005E15A8">
        <w:rPr>
          <w:lang w:eastAsia="en-AU"/>
        </w:rPr>
        <w:t>s objective to optimise Victoria</w:t>
      </w:r>
      <w:r w:rsidR="007942D1">
        <w:rPr>
          <w:lang w:eastAsia="en-AU"/>
        </w:rPr>
        <w:t>’</w:t>
      </w:r>
      <w:r w:rsidRPr="005E15A8">
        <w:rPr>
          <w:lang w:eastAsia="en-AU"/>
        </w:rPr>
        <w:t xml:space="preserve">s fiscal resources. </w:t>
      </w:r>
    </w:p>
    <w:tbl>
      <w:tblPr>
        <w:tblStyle w:val="DTFTableNumeric"/>
        <w:tblW w:w="9640" w:type="dxa"/>
        <w:tblLayout w:type="fixed"/>
        <w:tblLook w:val="04A0" w:firstRow="1" w:lastRow="0" w:firstColumn="1" w:lastColumn="0" w:noHBand="0" w:noVBand="1"/>
      </w:tblPr>
      <w:tblGrid>
        <w:gridCol w:w="4820"/>
        <w:gridCol w:w="964"/>
        <w:gridCol w:w="964"/>
        <w:gridCol w:w="964"/>
        <w:gridCol w:w="964"/>
        <w:gridCol w:w="964"/>
      </w:tblGrid>
      <w:tr w:rsidR="00824558" w14:paraId="3293607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45AECF03" w14:textId="77777777" w:rsidR="00824558" w:rsidRDefault="00824558">
            <w:r>
              <w:t>Performance measure</w:t>
            </w:r>
          </w:p>
        </w:tc>
        <w:tc>
          <w:tcPr>
            <w:tcW w:w="964" w:type="dxa"/>
          </w:tcPr>
          <w:p w14:paraId="5E4883C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EF3388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3CCCD2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2E7A59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BC869E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1C2DDE" w14:paraId="01C8E137"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5AE79841" w14:textId="77777777" w:rsidR="00824558" w:rsidRPr="001C2DDE" w:rsidRDefault="00824558">
            <w:pPr>
              <w:keepNext/>
              <w:rPr>
                <w:b/>
                <w:bCs/>
                <w:iCs/>
              </w:rPr>
            </w:pPr>
            <w:r w:rsidRPr="001C2DDE">
              <w:rPr>
                <w:b/>
                <w:bCs/>
                <w:iCs/>
              </w:rPr>
              <w:t>Quantity</w:t>
            </w:r>
          </w:p>
        </w:tc>
      </w:tr>
      <w:tr w:rsidR="00824558" w14:paraId="35D35AF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1274A82A" w14:textId="77777777" w:rsidR="00824558" w:rsidRDefault="00824558">
            <w:pPr>
              <w:ind w:left="170"/>
            </w:pPr>
            <w:r>
              <w:t>Compliance revenue assessed meets target</w:t>
            </w:r>
          </w:p>
        </w:tc>
        <w:tc>
          <w:tcPr>
            <w:tcW w:w="964" w:type="dxa"/>
            <w:tcBorders>
              <w:bottom w:val="single" w:sz="6" w:space="0" w:color="auto"/>
            </w:tcBorders>
          </w:tcPr>
          <w:p w14:paraId="20641B0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B6E3FED" w14:textId="77777777" w:rsidR="00824558" w:rsidRDefault="00824558">
            <w:pPr>
              <w:cnfStyle w:val="000000000000" w:firstRow="0" w:lastRow="0" w:firstColumn="0" w:lastColumn="0" w:oddVBand="0" w:evenVBand="0" w:oddHBand="0" w:evenHBand="0" w:firstRowFirstColumn="0" w:firstRowLastColumn="0" w:lastRowFirstColumn="0" w:lastRowLastColumn="0"/>
            </w:pPr>
            <w:r>
              <w:t>≥ 95</w:t>
            </w:r>
          </w:p>
        </w:tc>
        <w:tc>
          <w:tcPr>
            <w:tcW w:w="964" w:type="dxa"/>
            <w:tcBorders>
              <w:bottom w:val="single" w:sz="6" w:space="0" w:color="auto"/>
            </w:tcBorders>
          </w:tcPr>
          <w:p w14:paraId="0F973327" w14:textId="77777777" w:rsidR="00824558" w:rsidRDefault="00824558">
            <w:pPr>
              <w:cnfStyle w:val="000000000000" w:firstRow="0" w:lastRow="0" w:firstColumn="0" w:lastColumn="0" w:oddVBand="0" w:evenVBand="0" w:oddHBand="0" w:evenHBand="0" w:firstRowFirstColumn="0" w:firstRowLastColumn="0" w:lastRowFirstColumn="0" w:lastRowLastColumn="0"/>
            </w:pPr>
            <w:r>
              <w:t>≥ 95</w:t>
            </w:r>
          </w:p>
        </w:tc>
        <w:tc>
          <w:tcPr>
            <w:tcW w:w="964" w:type="dxa"/>
            <w:tcBorders>
              <w:bottom w:val="single" w:sz="6" w:space="0" w:color="auto"/>
            </w:tcBorders>
          </w:tcPr>
          <w:p w14:paraId="369220A8" w14:textId="77777777" w:rsidR="00824558" w:rsidRDefault="00824558">
            <w:pPr>
              <w:cnfStyle w:val="000000000000" w:firstRow="0" w:lastRow="0" w:firstColumn="0" w:lastColumn="0" w:oddVBand="0" w:evenVBand="0" w:oddHBand="0" w:evenHBand="0" w:firstRowFirstColumn="0" w:firstRowLastColumn="0" w:lastRowFirstColumn="0" w:lastRowLastColumn="0"/>
            </w:pPr>
            <w:r>
              <w:t>≥ 95</w:t>
            </w:r>
          </w:p>
        </w:tc>
        <w:tc>
          <w:tcPr>
            <w:tcW w:w="964" w:type="dxa"/>
            <w:tcBorders>
              <w:bottom w:val="single" w:sz="6" w:space="0" w:color="auto"/>
            </w:tcBorders>
          </w:tcPr>
          <w:p w14:paraId="1EFB9D6F" w14:textId="77777777" w:rsidR="00824558" w:rsidRDefault="00824558">
            <w:pPr>
              <w:cnfStyle w:val="000000000000" w:firstRow="0" w:lastRow="0" w:firstColumn="0" w:lastColumn="0" w:oddVBand="0" w:evenVBand="0" w:oddHBand="0" w:evenHBand="0" w:firstRowFirstColumn="0" w:firstRowLastColumn="0" w:lastRowFirstColumn="0" w:lastRowLastColumn="0"/>
            </w:pPr>
            <w:r>
              <w:t>108</w:t>
            </w:r>
          </w:p>
        </w:tc>
      </w:tr>
      <w:tr w:rsidR="00824558" w14:paraId="45E8C44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085616BE" w14:textId="77777777" w:rsidR="00824558" w:rsidRDefault="00824558">
            <w:pPr>
              <w:ind w:left="170"/>
            </w:pPr>
            <w:r>
              <w:t>Revenue accrued as a percentage of State Budget forecast</w:t>
            </w:r>
          </w:p>
        </w:tc>
        <w:tc>
          <w:tcPr>
            <w:tcW w:w="964" w:type="dxa"/>
            <w:tcBorders>
              <w:bottom w:val="single" w:sz="6" w:space="0" w:color="auto"/>
            </w:tcBorders>
          </w:tcPr>
          <w:p w14:paraId="69B33C6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C214344" w14:textId="77777777" w:rsidR="00824558" w:rsidRDefault="00824558">
            <w:pPr>
              <w:cnfStyle w:val="000000000000" w:firstRow="0" w:lastRow="0" w:firstColumn="0" w:lastColumn="0" w:oddVBand="0" w:evenVBand="0" w:oddHBand="0" w:evenHBand="0" w:firstRowFirstColumn="0" w:firstRowLastColumn="0" w:lastRowFirstColumn="0" w:lastRowLastColumn="0"/>
            </w:pPr>
            <w:r>
              <w:t>≥ 99</w:t>
            </w:r>
          </w:p>
        </w:tc>
        <w:tc>
          <w:tcPr>
            <w:tcW w:w="964" w:type="dxa"/>
            <w:tcBorders>
              <w:bottom w:val="single" w:sz="6" w:space="0" w:color="auto"/>
            </w:tcBorders>
          </w:tcPr>
          <w:p w14:paraId="431E473E" w14:textId="77777777" w:rsidR="00824558" w:rsidRDefault="00824558">
            <w:pPr>
              <w:cnfStyle w:val="000000000000" w:firstRow="0" w:lastRow="0" w:firstColumn="0" w:lastColumn="0" w:oddVBand="0" w:evenVBand="0" w:oddHBand="0" w:evenHBand="0" w:firstRowFirstColumn="0" w:firstRowLastColumn="0" w:lastRowFirstColumn="0" w:lastRowLastColumn="0"/>
            </w:pPr>
            <w:r>
              <w:t>≥ 99</w:t>
            </w:r>
          </w:p>
        </w:tc>
        <w:tc>
          <w:tcPr>
            <w:tcW w:w="964" w:type="dxa"/>
            <w:tcBorders>
              <w:bottom w:val="single" w:sz="6" w:space="0" w:color="auto"/>
            </w:tcBorders>
          </w:tcPr>
          <w:p w14:paraId="7B9FF08F" w14:textId="77777777" w:rsidR="00824558" w:rsidRDefault="00824558">
            <w:pPr>
              <w:cnfStyle w:val="000000000000" w:firstRow="0" w:lastRow="0" w:firstColumn="0" w:lastColumn="0" w:oddVBand="0" w:evenVBand="0" w:oddHBand="0" w:evenHBand="0" w:firstRowFirstColumn="0" w:firstRowLastColumn="0" w:lastRowFirstColumn="0" w:lastRowLastColumn="0"/>
            </w:pPr>
            <w:r>
              <w:t>≥ 99</w:t>
            </w:r>
          </w:p>
        </w:tc>
        <w:tc>
          <w:tcPr>
            <w:tcW w:w="964" w:type="dxa"/>
            <w:tcBorders>
              <w:bottom w:val="single" w:sz="6" w:space="0" w:color="auto"/>
            </w:tcBorders>
          </w:tcPr>
          <w:p w14:paraId="41DC9263" w14:textId="77777777" w:rsidR="00824558" w:rsidRDefault="00824558">
            <w:pPr>
              <w:cnfStyle w:val="000000000000" w:firstRow="0" w:lastRow="0" w:firstColumn="0" w:lastColumn="0" w:oddVBand="0" w:evenVBand="0" w:oddHBand="0" w:evenHBand="0" w:firstRowFirstColumn="0" w:firstRowLastColumn="0" w:lastRowFirstColumn="0" w:lastRowLastColumn="0"/>
            </w:pPr>
            <w:r>
              <w:t>104</w:t>
            </w:r>
          </w:p>
        </w:tc>
      </w:tr>
      <w:tr w:rsidR="00824558" w:rsidRPr="001C2DDE" w14:paraId="7FEF6E4E"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0DBF5368" w14:textId="77777777" w:rsidR="00824558" w:rsidRPr="001C2DDE" w:rsidRDefault="00824558">
            <w:pPr>
              <w:keepNext/>
              <w:rPr>
                <w:b/>
                <w:bCs/>
                <w:iCs/>
              </w:rPr>
            </w:pPr>
            <w:r w:rsidRPr="001C2DDE">
              <w:rPr>
                <w:b/>
                <w:bCs/>
                <w:iCs/>
              </w:rPr>
              <w:t>Quality</w:t>
            </w:r>
          </w:p>
        </w:tc>
      </w:tr>
      <w:tr w:rsidR="00824558" w14:paraId="4FA130D2" w14:textId="77777777">
        <w:tc>
          <w:tcPr>
            <w:cnfStyle w:val="001000000000" w:firstRow="0" w:lastRow="0" w:firstColumn="1" w:lastColumn="0" w:oddVBand="0" w:evenVBand="0" w:oddHBand="0" w:evenHBand="0" w:firstRowFirstColumn="0" w:firstRowLastColumn="0" w:lastRowFirstColumn="0" w:lastRowLastColumn="0"/>
            <w:tcW w:w="4820" w:type="dxa"/>
          </w:tcPr>
          <w:p w14:paraId="1F67A903" w14:textId="77777777" w:rsidR="00824558" w:rsidRDefault="00824558">
            <w:pPr>
              <w:keepNext/>
              <w:ind w:left="170"/>
            </w:pPr>
            <w:r>
              <w:t>Average cases of debt over 12 months overdue as a percentage of average total cases of overdue debt</w:t>
            </w:r>
          </w:p>
        </w:tc>
        <w:tc>
          <w:tcPr>
            <w:tcW w:w="964" w:type="dxa"/>
          </w:tcPr>
          <w:p w14:paraId="66CBA98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E33D79E" w14:textId="6D1A19C6" w:rsidR="00824558" w:rsidRDefault="00824558">
            <w:pPr>
              <w:cnfStyle w:val="000000000000" w:firstRow="0" w:lastRow="0" w:firstColumn="0" w:lastColumn="0" w:oddVBand="0" w:evenVBand="0" w:oddHBand="0" w:evenHBand="0" w:firstRowFirstColumn="0" w:firstRowLastColumn="0" w:lastRowFirstColumn="0" w:lastRowLastColumn="0"/>
            </w:pPr>
            <w:r>
              <w:t>≤</w:t>
            </w:r>
            <w:r w:rsidR="001E77BA">
              <w:t xml:space="preserve"> </w:t>
            </w:r>
            <w:r>
              <w:t>30</w:t>
            </w:r>
          </w:p>
        </w:tc>
        <w:tc>
          <w:tcPr>
            <w:tcW w:w="964" w:type="dxa"/>
          </w:tcPr>
          <w:p w14:paraId="15E3A2F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8F08E8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F991AA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62B2908A"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75DAB730" w14:textId="657073E9" w:rsidR="00824558" w:rsidRDefault="00824558">
            <w:pPr>
              <w:ind w:left="170"/>
            </w:pPr>
            <w:r>
              <w:rPr>
                <w:i/>
              </w:rPr>
              <w:t xml:space="preserve">This performance measure is proposed to replace the discontinued </w:t>
            </w:r>
            <w:r w:rsidR="008F7A05">
              <w:rPr>
                <w:i/>
              </w:rPr>
              <w:t>2025-26</w:t>
            </w:r>
            <w:r>
              <w:rPr>
                <w:i/>
              </w:rPr>
              <w:t xml:space="preserve"> performance measure </w:t>
            </w:r>
            <w:r w:rsidR="007942D1">
              <w:rPr>
                <w:i/>
              </w:rPr>
              <w:t>‘</w:t>
            </w:r>
            <w:r>
              <w:rPr>
                <w:i/>
              </w:rPr>
              <w:t>Average debt over 12 months overdue as a percentage of overdue debt</w:t>
            </w:r>
            <w:r w:rsidR="007942D1">
              <w:rPr>
                <w:i/>
              </w:rPr>
              <w:t>’</w:t>
            </w:r>
            <w:r>
              <w:rPr>
                <w:i/>
              </w:rPr>
              <w:t xml:space="preserve">. It will measure the volume of aged tax debts to encourage resolution across both high and low value debts to ensure all taxpayers are treated fairly and equitably and encourage innovation and continuous improvement. </w:t>
            </w:r>
          </w:p>
        </w:tc>
      </w:tr>
      <w:tr w:rsidR="00824558" w14:paraId="46E38F8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775FF1BE" w14:textId="77777777" w:rsidR="00824558" w:rsidRDefault="00824558">
            <w:pPr>
              <w:ind w:left="170"/>
            </w:pPr>
            <w:r>
              <w:t>Business processes maintained to retain ISO 9001 (Quality Management Systems) Certification</w:t>
            </w:r>
          </w:p>
        </w:tc>
        <w:tc>
          <w:tcPr>
            <w:tcW w:w="964" w:type="dxa"/>
            <w:tcBorders>
              <w:bottom w:val="single" w:sz="6" w:space="0" w:color="auto"/>
            </w:tcBorders>
          </w:tcPr>
          <w:p w14:paraId="36CA10A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0ED3EE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89380F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DC70AB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7F2564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375E42AB"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2306AD7A" w14:textId="77777777" w:rsidR="00824558" w:rsidRDefault="00824558">
            <w:pPr>
              <w:ind w:left="170"/>
            </w:pPr>
            <w:r>
              <w:t>Customer satisfaction level</w:t>
            </w:r>
          </w:p>
        </w:tc>
        <w:tc>
          <w:tcPr>
            <w:tcW w:w="964" w:type="dxa"/>
            <w:tcBorders>
              <w:bottom w:val="single" w:sz="6" w:space="0" w:color="auto"/>
            </w:tcBorders>
          </w:tcPr>
          <w:p w14:paraId="5239DC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0DEB9B0"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Borders>
              <w:bottom w:val="single" w:sz="6" w:space="0" w:color="auto"/>
            </w:tcBorders>
          </w:tcPr>
          <w:p w14:paraId="4B865321"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B2FE9AF"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Borders>
              <w:bottom w:val="single" w:sz="6" w:space="0" w:color="auto"/>
            </w:tcBorders>
          </w:tcPr>
          <w:p w14:paraId="7824D076"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r>
      <w:tr w:rsidR="00824558" w14:paraId="64B9CE70"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6306114" w14:textId="77777777" w:rsidR="00824558" w:rsidRDefault="00824558">
            <w:pPr>
              <w:ind w:left="170"/>
            </w:pPr>
            <w:r>
              <w:t>Litigated success rate</w:t>
            </w:r>
          </w:p>
        </w:tc>
        <w:tc>
          <w:tcPr>
            <w:tcW w:w="964" w:type="dxa"/>
            <w:tcBorders>
              <w:bottom w:val="single" w:sz="6" w:space="0" w:color="auto"/>
            </w:tcBorders>
          </w:tcPr>
          <w:p w14:paraId="790916A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CB5FA93" w14:textId="77777777" w:rsidR="00824558" w:rsidRDefault="00824558">
            <w:pPr>
              <w:cnfStyle w:val="000000000000" w:firstRow="0" w:lastRow="0" w:firstColumn="0" w:lastColumn="0" w:oddVBand="0" w:evenVBand="0" w:oddHBand="0" w:evenHBand="0" w:firstRowFirstColumn="0" w:firstRowLastColumn="0" w:lastRowFirstColumn="0" w:lastRowLastColumn="0"/>
            </w:pPr>
            <w:r>
              <w:t>≥ 70</w:t>
            </w:r>
          </w:p>
        </w:tc>
        <w:tc>
          <w:tcPr>
            <w:tcW w:w="964" w:type="dxa"/>
            <w:tcBorders>
              <w:bottom w:val="single" w:sz="6" w:space="0" w:color="auto"/>
            </w:tcBorders>
          </w:tcPr>
          <w:p w14:paraId="1C5ABC63" w14:textId="77777777" w:rsidR="00824558" w:rsidRDefault="00824558">
            <w:pPr>
              <w:cnfStyle w:val="000000000000" w:firstRow="0" w:lastRow="0" w:firstColumn="0" w:lastColumn="0" w:oddVBand="0" w:evenVBand="0" w:oddHBand="0" w:evenHBand="0" w:firstRowFirstColumn="0" w:firstRowLastColumn="0" w:lastRowFirstColumn="0" w:lastRowLastColumn="0"/>
            </w:pPr>
            <w:r>
              <w:t>≥ 70</w:t>
            </w:r>
          </w:p>
        </w:tc>
        <w:tc>
          <w:tcPr>
            <w:tcW w:w="964" w:type="dxa"/>
            <w:tcBorders>
              <w:bottom w:val="single" w:sz="6" w:space="0" w:color="auto"/>
            </w:tcBorders>
          </w:tcPr>
          <w:p w14:paraId="5FF9D37E" w14:textId="77777777" w:rsidR="00824558" w:rsidRDefault="00824558">
            <w:pPr>
              <w:cnfStyle w:val="000000000000" w:firstRow="0" w:lastRow="0" w:firstColumn="0" w:lastColumn="0" w:oddVBand="0" w:evenVBand="0" w:oddHBand="0" w:evenHBand="0" w:firstRowFirstColumn="0" w:firstRowLastColumn="0" w:lastRowFirstColumn="0" w:lastRowLastColumn="0"/>
            </w:pPr>
            <w:r>
              <w:t>≥ 70</w:t>
            </w:r>
          </w:p>
        </w:tc>
        <w:tc>
          <w:tcPr>
            <w:tcW w:w="964" w:type="dxa"/>
            <w:tcBorders>
              <w:bottom w:val="single" w:sz="6" w:space="0" w:color="auto"/>
            </w:tcBorders>
          </w:tcPr>
          <w:p w14:paraId="0E336517" w14:textId="77777777" w:rsidR="00824558" w:rsidRDefault="00824558">
            <w:pPr>
              <w:cnfStyle w:val="000000000000" w:firstRow="0" w:lastRow="0" w:firstColumn="0" w:lastColumn="0" w:oddVBand="0" w:evenVBand="0" w:oddHBand="0" w:evenHBand="0" w:firstRowFirstColumn="0" w:firstRowLastColumn="0" w:lastRowFirstColumn="0" w:lastRowLastColumn="0"/>
            </w:pPr>
            <w:r>
              <w:t>82</w:t>
            </w:r>
          </w:p>
        </w:tc>
      </w:tr>
      <w:tr w:rsidR="00824558" w14:paraId="2724A03C"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7318989" w14:textId="77777777" w:rsidR="00824558" w:rsidRDefault="00824558">
            <w:pPr>
              <w:ind w:left="170"/>
            </w:pPr>
            <w:r>
              <w:t>Objections received to assessments issued as a result of compliance projects</w:t>
            </w:r>
          </w:p>
        </w:tc>
        <w:tc>
          <w:tcPr>
            <w:tcW w:w="964" w:type="dxa"/>
            <w:tcBorders>
              <w:bottom w:val="single" w:sz="6" w:space="0" w:color="auto"/>
            </w:tcBorders>
          </w:tcPr>
          <w:p w14:paraId="5276275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9D0BF0E" w14:textId="77777777" w:rsidR="00824558" w:rsidRDefault="00824558">
            <w:pPr>
              <w:cnfStyle w:val="000000000000" w:firstRow="0" w:lastRow="0" w:firstColumn="0" w:lastColumn="0" w:oddVBand="0" w:evenVBand="0" w:oddHBand="0" w:evenHBand="0" w:firstRowFirstColumn="0" w:firstRowLastColumn="0" w:lastRowFirstColumn="0" w:lastRowLastColumn="0"/>
            </w:pPr>
            <w:r>
              <w:t>&lt; 3</w:t>
            </w:r>
          </w:p>
        </w:tc>
        <w:tc>
          <w:tcPr>
            <w:tcW w:w="964" w:type="dxa"/>
            <w:tcBorders>
              <w:bottom w:val="single" w:sz="6" w:space="0" w:color="auto"/>
            </w:tcBorders>
          </w:tcPr>
          <w:p w14:paraId="783E2C43" w14:textId="77777777" w:rsidR="00824558" w:rsidRDefault="00824558">
            <w:pPr>
              <w:cnfStyle w:val="000000000000" w:firstRow="0" w:lastRow="0" w:firstColumn="0" w:lastColumn="0" w:oddVBand="0" w:evenVBand="0" w:oddHBand="0" w:evenHBand="0" w:firstRowFirstColumn="0" w:firstRowLastColumn="0" w:lastRowFirstColumn="0" w:lastRowLastColumn="0"/>
            </w:pPr>
            <w:r>
              <w:t>&lt; 3</w:t>
            </w:r>
          </w:p>
        </w:tc>
        <w:tc>
          <w:tcPr>
            <w:tcW w:w="964" w:type="dxa"/>
            <w:tcBorders>
              <w:bottom w:val="single" w:sz="6" w:space="0" w:color="auto"/>
            </w:tcBorders>
          </w:tcPr>
          <w:p w14:paraId="0434FEAE" w14:textId="77777777" w:rsidR="00824558" w:rsidRDefault="00824558">
            <w:pPr>
              <w:cnfStyle w:val="000000000000" w:firstRow="0" w:lastRow="0" w:firstColumn="0" w:lastColumn="0" w:oddVBand="0" w:evenVBand="0" w:oddHBand="0" w:evenHBand="0" w:firstRowFirstColumn="0" w:firstRowLastColumn="0" w:lastRowFirstColumn="0" w:lastRowLastColumn="0"/>
            </w:pPr>
            <w:r>
              <w:t>&lt; 3</w:t>
            </w:r>
          </w:p>
        </w:tc>
        <w:tc>
          <w:tcPr>
            <w:tcW w:w="964" w:type="dxa"/>
            <w:tcBorders>
              <w:bottom w:val="single" w:sz="6" w:space="0" w:color="auto"/>
            </w:tcBorders>
          </w:tcPr>
          <w:p w14:paraId="001B01E7"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r>
      <w:tr w:rsidR="00824558" w14:paraId="23632A43"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4323E2CF" w14:textId="77777777" w:rsidR="00824558" w:rsidRDefault="00824558">
            <w:pPr>
              <w:ind w:left="170"/>
            </w:pPr>
            <w:r>
              <w:t>Ratio of outstanding debt to total revenue (monthly average)</w:t>
            </w:r>
          </w:p>
        </w:tc>
        <w:tc>
          <w:tcPr>
            <w:tcW w:w="964" w:type="dxa"/>
            <w:tcBorders>
              <w:bottom w:val="single" w:sz="6" w:space="0" w:color="auto"/>
            </w:tcBorders>
          </w:tcPr>
          <w:p w14:paraId="52C0EC3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E333C6B" w14:textId="77777777" w:rsidR="00824558" w:rsidRDefault="00824558">
            <w:pPr>
              <w:cnfStyle w:val="000000000000" w:firstRow="0" w:lastRow="0" w:firstColumn="0" w:lastColumn="0" w:oddVBand="0" w:evenVBand="0" w:oddHBand="0" w:evenHBand="0" w:firstRowFirstColumn="0" w:firstRowLastColumn="0" w:lastRowFirstColumn="0" w:lastRowLastColumn="0"/>
            </w:pPr>
            <w:r>
              <w:t>&lt; 2</w:t>
            </w:r>
          </w:p>
        </w:tc>
        <w:tc>
          <w:tcPr>
            <w:tcW w:w="964" w:type="dxa"/>
            <w:tcBorders>
              <w:bottom w:val="single" w:sz="6" w:space="0" w:color="auto"/>
            </w:tcBorders>
          </w:tcPr>
          <w:p w14:paraId="1EA1BC6D" w14:textId="77777777" w:rsidR="00824558" w:rsidRDefault="00824558">
            <w:pPr>
              <w:cnfStyle w:val="000000000000" w:firstRow="0" w:lastRow="0" w:firstColumn="0" w:lastColumn="0" w:oddVBand="0" w:evenVBand="0" w:oddHBand="0" w:evenHBand="0" w:firstRowFirstColumn="0" w:firstRowLastColumn="0" w:lastRowFirstColumn="0" w:lastRowLastColumn="0"/>
            </w:pPr>
            <w:r>
              <w:t>&lt; 2</w:t>
            </w:r>
          </w:p>
        </w:tc>
        <w:tc>
          <w:tcPr>
            <w:tcW w:w="964" w:type="dxa"/>
            <w:tcBorders>
              <w:bottom w:val="single" w:sz="6" w:space="0" w:color="auto"/>
            </w:tcBorders>
          </w:tcPr>
          <w:p w14:paraId="3DC6561F" w14:textId="77777777" w:rsidR="00824558" w:rsidRDefault="00824558">
            <w:pPr>
              <w:cnfStyle w:val="000000000000" w:firstRow="0" w:lastRow="0" w:firstColumn="0" w:lastColumn="0" w:oddVBand="0" w:evenVBand="0" w:oddHBand="0" w:evenHBand="0" w:firstRowFirstColumn="0" w:firstRowLastColumn="0" w:lastRowFirstColumn="0" w:lastRowLastColumn="0"/>
            </w:pPr>
            <w:r>
              <w:t>&lt; 2</w:t>
            </w:r>
          </w:p>
        </w:tc>
        <w:tc>
          <w:tcPr>
            <w:tcW w:w="964" w:type="dxa"/>
            <w:tcBorders>
              <w:bottom w:val="single" w:sz="6" w:space="0" w:color="auto"/>
            </w:tcBorders>
          </w:tcPr>
          <w:p w14:paraId="7CE2C9C3"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rsidRPr="001C2DDE" w14:paraId="2C290F3F" w14:textId="77777777">
        <w:tc>
          <w:tcPr>
            <w:cnfStyle w:val="001000000000" w:firstRow="0" w:lastRow="0" w:firstColumn="1" w:lastColumn="0" w:oddVBand="0" w:evenVBand="0" w:oddHBand="0" w:evenHBand="0" w:firstRowFirstColumn="0" w:firstRowLastColumn="0" w:lastRowFirstColumn="0" w:lastRowLastColumn="0"/>
            <w:tcW w:w="9640" w:type="dxa"/>
            <w:gridSpan w:val="6"/>
          </w:tcPr>
          <w:p w14:paraId="2E591FE3" w14:textId="77777777" w:rsidR="00824558" w:rsidRPr="001C2DDE" w:rsidRDefault="00824558">
            <w:pPr>
              <w:keepNext/>
              <w:rPr>
                <w:b/>
                <w:bCs/>
                <w:iCs/>
              </w:rPr>
            </w:pPr>
            <w:r w:rsidRPr="001C2DDE">
              <w:rPr>
                <w:b/>
                <w:bCs/>
                <w:iCs/>
              </w:rPr>
              <w:t>Timeliness</w:t>
            </w:r>
          </w:p>
        </w:tc>
      </w:tr>
      <w:tr w:rsidR="00824558" w14:paraId="2921808A" w14:textId="77777777">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3E3ABE2D" w14:textId="77777777" w:rsidR="00824558" w:rsidRDefault="00824558">
            <w:pPr>
              <w:ind w:left="170"/>
            </w:pPr>
            <w:r>
              <w:t>Achievement of scheduled milestones in the Advanced Revenue Management Program</w:t>
            </w:r>
          </w:p>
        </w:tc>
        <w:tc>
          <w:tcPr>
            <w:tcW w:w="964" w:type="dxa"/>
            <w:tcBorders>
              <w:bottom w:val="single" w:sz="6" w:space="0" w:color="auto"/>
            </w:tcBorders>
          </w:tcPr>
          <w:p w14:paraId="6E9E997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5725142" w14:textId="77777777" w:rsidR="00824558" w:rsidRDefault="00824558">
            <w:pPr>
              <w:cnfStyle w:val="000000000000" w:firstRow="0" w:lastRow="0" w:firstColumn="0" w:lastColumn="0" w:oddVBand="0" w:evenVBand="0" w:oddHBand="0" w:evenHBand="0" w:firstRowFirstColumn="0" w:firstRowLastColumn="0" w:lastRowFirstColumn="0" w:lastRowLastColumn="0"/>
            </w:pPr>
            <w:r>
              <w:t>&gt; 85</w:t>
            </w:r>
          </w:p>
        </w:tc>
        <w:tc>
          <w:tcPr>
            <w:tcW w:w="964" w:type="dxa"/>
            <w:tcBorders>
              <w:bottom w:val="single" w:sz="6" w:space="0" w:color="auto"/>
            </w:tcBorders>
          </w:tcPr>
          <w:p w14:paraId="1DA42187" w14:textId="77777777" w:rsidR="00824558" w:rsidRDefault="00824558">
            <w:pPr>
              <w:cnfStyle w:val="000000000000" w:firstRow="0" w:lastRow="0" w:firstColumn="0" w:lastColumn="0" w:oddVBand="0" w:evenVBand="0" w:oddHBand="0" w:evenHBand="0" w:firstRowFirstColumn="0" w:firstRowLastColumn="0" w:lastRowFirstColumn="0" w:lastRowLastColumn="0"/>
            </w:pPr>
            <w:r>
              <w:t>&gt; 85</w:t>
            </w:r>
          </w:p>
        </w:tc>
        <w:tc>
          <w:tcPr>
            <w:tcW w:w="964" w:type="dxa"/>
            <w:tcBorders>
              <w:bottom w:val="single" w:sz="6" w:space="0" w:color="auto"/>
            </w:tcBorders>
          </w:tcPr>
          <w:p w14:paraId="3CA6F5A2" w14:textId="77777777" w:rsidR="00824558" w:rsidRDefault="00824558">
            <w:pPr>
              <w:cnfStyle w:val="000000000000" w:firstRow="0" w:lastRow="0" w:firstColumn="0" w:lastColumn="0" w:oddVBand="0" w:evenVBand="0" w:oddHBand="0" w:evenHBand="0" w:firstRowFirstColumn="0" w:firstRowLastColumn="0" w:lastRowFirstColumn="0" w:lastRowLastColumn="0"/>
            </w:pPr>
            <w:r>
              <w:t>&gt; 85</w:t>
            </w:r>
          </w:p>
        </w:tc>
        <w:tc>
          <w:tcPr>
            <w:tcW w:w="964" w:type="dxa"/>
            <w:tcBorders>
              <w:bottom w:val="single" w:sz="6" w:space="0" w:color="auto"/>
            </w:tcBorders>
          </w:tcPr>
          <w:p w14:paraId="6C2A2D87"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33227114" w14:textId="77777777">
        <w:tc>
          <w:tcPr>
            <w:cnfStyle w:val="001000000000" w:firstRow="0" w:lastRow="0" w:firstColumn="1" w:lastColumn="0" w:oddVBand="0" w:evenVBand="0" w:oddHBand="0" w:evenHBand="0" w:firstRowFirstColumn="0" w:firstRowLastColumn="0" w:lastRowFirstColumn="0" w:lastRowLastColumn="0"/>
            <w:tcW w:w="4820" w:type="dxa"/>
          </w:tcPr>
          <w:p w14:paraId="054D0893" w14:textId="77777777" w:rsidR="00824558" w:rsidRDefault="00824558">
            <w:pPr>
              <w:keepNext/>
              <w:ind w:left="170"/>
            </w:pPr>
            <w:r>
              <w:t xml:space="preserve">Timely handling of </w:t>
            </w:r>
            <w:r w:rsidDel="00A80E3C">
              <w:t xml:space="preserve">objections </w:t>
            </w:r>
            <w:r>
              <w:t>(within 90 days)</w:t>
            </w:r>
          </w:p>
        </w:tc>
        <w:tc>
          <w:tcPr>
            <w:tcW w:w="964" w:type="dxa"/>
          </w:tcPr>
          <w:p w14:paraId="774EAC1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02CF381"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Pr>
          <w:p w14:paraId="77866D28"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7B169ACD"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Pr>
          <w:p w14:paraId="2D3DB3AB" w14:textId="77777777" w:rsidR="00824558" w:rsidRDefault="00824558">
            <w:pPr>
              <w:cnfStyle w:val="000000000000" w:firstRow="0" w:lastRow="0" w:firstColumn="0" w:lastColumn="0" w:oddVBand="0" w:evenVBand="0" w:oddHBand="0" w:evenHBand="0" w:firstRowFirstColumn="0" w:firstRowLastColumn="0" w:lastRowFirstColumn="0" w:lastRowLastColumn="0"/>
            </w:pPr>
            <w:r>
              <w:t>76</w:t>
            </w:r>
          </w:p>
        </w:tc>
      </w:tr>
      <w:tr w:rsidR="00824558" w14:paraId="285BBB34" w14:textId="77777777" w:rsidTr="005D3A4A">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6" w:space="0" w:color="auto"/>
            </w:tcBorders>
          </w:tcPr>
          <w:p w14:paraId="4B58CA75" w14:textId="092AE4C0" w:rsidR="00824558" w:rsidRDefault="00824558">
            <w:pPr>
              <w:ind w:left="170"/>
            </w:pPr>
            <w:r>
              <w:rPr>
                <w:i/>
              </w:rPr>
              <w:t xml:space="preserve">The </w:t>
            </w:r>
            <w:r w:rsidR="008F7A05">
              <w:rPr>
                <w:i/>
              </w:rPr>
              <w:t>2025-26</w:t>
            </w:r>
            <w:r>
              <w:rPr>
                <w:i/>
              </w:rPr>
              <w:t xml:space="preserve"> expected outcome is lower than the </w:t>
            </w:r>
            <w:r w:rsidR="008F7A05">
              <w:rPr>
                <w:i/>
              </w:rPr>
              <w:t>2025-26</w:t>
            </w:r>
            <w:r>
              <w:rPr>
                <w:i/>
              </w:rPr>
              <w:t xml:space="preserve"> target due to the receipt of higher-levels of objections. Additional resources are being added to assist.</w:t>
            </w:r>
          </w:p>
        </w:tc>
      </w:tr>
      <w:tr w:rsidR="00824558" w14:paraId="002EA86A" w14:textId="77777777" w:rsidTr="00830EC1">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6" w:space="0" w:color="auto"/>
            </w:tcBorders>
          </w:tcPr>
          <w:p w14:paraId="6229856B" w14:textId="77777777" w:rsidR="00824558" w:rsidRDefault="00824558">
            <w:pPr>
              <w:ind w:left="170"/>
            </w:pPr>
            <w:r>
              <w:t xml:space="preserve">Timely handling of private </w:t>
            </w:r>
            <w:r w:rsidDel="00A80E3C">
              <w:t xml:space="preserve">rulings </w:t>
            </w:r>
            <w:r>
              <w:t>(within 90 days)</w:t>
            </w:r>
          </w:p>
        </w:tc>
        <w:tc>
          <w:tcPr>
            <w:tcW w:w="964" w:type="dxa"/>
            <w:tcBorders>
              <w:top w:val="single" w:sz="6" w:space="0" w:color="auto"/>
              <w:bottom w:val="single" w:sz="6" w:space="0" w:color="auto"/>
            </w:tcBorders>
          </w:tcPr>
          <w:p w14:paraId="6DF0374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33869895"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Borders>
              <w:top w:val="single" w:sz="6" w:space="0" w:color="auto"/>
              <w:bottom w:val="single" w:sz="6" w:space="0" w:color="auto"/>
            </w:tcBorders>
          </w:tcPr>
          <w:p w14:paraId="4D985FA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top w:val="single" w:sz="6" w:space="0" w:color="auto"/>
              <w:bottom w:val="single" w:sz="6" w:space="0" w:color="auto"/>
            </w:tcBorders>
          </w:tcPr>
          <w:p w14:paraId="699B37A0" w14:textId="77777777" w:rsidR="00824558" w:rsidRDefault="00824558">
            <w:pPr>
              <w:cnfStyle w:val="000000000000" w:firstRow="0" w:lastRow="0" w:firstColumn="0" w:lastColumn="0" w:oddVBand="0" w:evenVBand="0" w:oddHBand="0" w:evenHBand="0" w:firstRowFirstColumn="0" w:firstRowLastColumn="0" w:lastRowFirstColumn="0" w:lastRowLastColumn="0"/>
            </w:pPr>
            <w:r>
              <w:t>≥ 80</w:t>
            </w:r>
          </w:p>
        </w:tc>
        <w:tc>
          <w:tcPr>
            <w:tcW w:w="964" w:type="dxa"/>
            <w:tcBorders>
              <w:top w:val="single" w:sz="6" w:space="0" w:color="auto"/>
              <w:bottom w:val="single" w:sz="6" w:space="0" w:color="auto"/>
            </w:tcBorders>
          </w:tcPr>
          <w:p w14:paraId="02B1F5C8"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r>
      <w:tr w:rsidR="00830EC1" w14:paraId="4C9D6FB8" w14:textId="77777777" w:rsidTr="00C501E3">
        <w:tc>
          <w:tcPr>
            <w:cnfStyle w:val="001000000000" w:firstRow="0" w:lastRow="0" w:firstColumn="1" w:lastColumn="0" w:oddVBand="0" w:evenVBand="0" w:oddHBand="0" w:evenHBand="0" w:firstRowFirstColumn="0" w:firstRowLastColumn="0" w:lastRowFirstColumn="0" w:lastRowLastColumn="0"/>
            <w:tcW w:w="9640" w:type="dxa"/>
            <w:gridSpan w:val="6"/>
            <w:tcBorders>
              <w:top w:val="single" w:sz="6" w:space="0" w:color="auto"/>
            </w:tcBorders>
          </w:tcPr>
          <w:p w14:paraId="1B41F695" w14:textId="5B76316D" w:rsidR="00830EC1" w:rsidRPr="00830EC1" w:rsidRDefault="00830EC1">
            <w:pPr>
              <w:rPr>
                <w:b/>
                <w:bCs/>
              </w:rPr>
            </w:pPr>
            <w:r w:rsidRPr="00830EC1">
              <w:rPr>
                <w:b/>
                <w:bCs/>
              </w:rPr>
              <w:t>Cost</w:t>
            </w:r>
          </w:p>
        </w:tc>
      </w:tr>
      <w:tr w:rsidR="002B53F1" w14:paraId="4336A787" w14:textId="77777777" w:rsidTr="00C501E3">
        <w:tc>
          <w:tcPr>
            <w:cnfStyle w:val="001000000000" w:firstRow="0" w:lastRow="0" w:firstColumn="1" w:lastColumn="0" w:oddVBand="0" w:evenVBand="0" w:oddHBand="0" w:evenHBand="0" w:firstRowFirstColumn="0" w:firstRowLastColumn="0" w:lastRowFirstColumn="0" w:lastRowLastColumn="0"/>
            <w:tcW w:w="4820" w:type="dxa"/>
          </w:tcPr>
          <w:p w14:paraId="3A1E5A6B" w14:textId="1062F8EF" w:rsidR="002B53F1" w:rsidRDefault="002B53F1" w:rsidP="002B53F1">
            <w:pPr>
              <w:ind w:left="170"/>
            </w:pPr>
            <w:r>
              <w:t>Total output cost</w:t>
            </w:r>
          </w:p>
        </w:tc>
        <w:tc>
          <w:tcPr>
            <w:tcW w:w="964" w:type="dxa"/>
          </w:tcPr>
          <w:p w14:paraId="397F9B01" w14:textId="3FF49EEC" w:rsidR="002B53F1" w:rsidRDefault="002B53F1" w:rsidP="002B53F1">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F6A50EC" w14:textId="2681A31F" w:rsidR="002B53F1" w:rsidRDefault="002B53F1" w:rsidP="002B53F1">
            <w:pPr>
              <w:cnfStyle w:val="000000000000" w:firstRow="0" w:lastRow="0" w:firstColumn="0" w:lastColumn="0" w:oddVBand="0" w:evenVBand="0" w:oddHBand="0" w:evenHBand="0" w:firstRowFirstColumn="0" w:firstRowLastColumn="0" w:lastRowFirstColumn="0" w:lastRowLastColumn="0"/>
            </w:pPr>
            <w:r>
              <w:t>255.4</w:t>
            </w:r>
          </w:p>
        </w:tc>
        <w:tc>
          <w:tcPr>
            <w:tcW w:w="964" w:type="dxa"/>
          </w:tcPr>
          <w:p w14:paraId="5CAF6C96" w14:textId="565B9881" w:rsidR="002B53F1" w:rsidRDefault="002B53F1" w:rsidP="002B53F1">
            <w:pPr>
              <w:cnfStyle w:val="000000000000" w:firstRow="0" w:lastRow="0" w:firstColumn="0" w:lastColumn="0" w:oddVBand="0" w:evenVBand="0" w:oddHBand="0" w:evenHBand="0" w:firstRowFirstColumn="0" w:firstRowLastColumn="0" w:lastRowFirstColumn="0" w:lastRowLastColumn="0"/>
            </w:pPr>
            <w:r>
              <w:t>246.5</w:t>
            </w:r>
          </w:p>
        </w:tc>
        <w:tc>
          <w:tcPr>
            <w:tcW w:w="964" w:type="dxa"/>
          </w:tcPr>
          <w:p w14:paraId="50E5A443" w14:textId="12F66834" w:rsidR="002B53F1" w:rsidRDefault="002B53F1" w:rsidP="002B53F1">
            <w:pPr>
              <w:cnfStyle w:val="000000000000" w:firstRow="0" w:lastRow="0" w:firstColumn="0" w:lastColumn="0" w:oddVBand="0" w:evenVBand="0" w:oddHBand="0" w:evenHBand="0" w:firstRowFirstColumn="0" w:firstRowLastColumn="0" w:lastRowFirstColumn="0" w:lastRowLastColumn="0"/>
            </w:pPr>
            <w:r>
              <w:t>235.7</w:t>
            </w:r>
          </w:p>
        </w:tc>
        <w:tc>
          <w:tcPr>
            <w:tcW w:w="964" w:type="dxa"/>
          </w:tcPr>
          <w:p w14:paraId="14DB7C27" w14:textId="1208567B" w:rsidR="002B53F1" w:rsidRDefault="002B53F1" w:rsidP="002B53F1">
            <w:pPr>
              <w:cnfStyle w:val="000000000000" w:firstRow="0" w:lastRow="0" w:firstColumn="0" w:lastColumn="0" w:oddVBand="0" w:evenVBand="0" w:oddHBand="0" w:evenHBand="0" w:firstRowFirstColumn="0" w:firstRowLastColumn="0" w:lastRowFirstColumn="0" w:lastRowLastColumn="0"/>
            </w:pPr>
            <w:r>
              <w:t>242.7</w:t>
            </w:r>
          </w:p>
        </w:tc>
      </w:tr>
      <w:tr w:rsidR="002B53F1" w14:paraId="3FA48328" w14:textId="77777777">
        <w:tc>
          <w:tcPr>
            <w:cnfStyle w:val="001000000000" w:firstRow="0" w:lastRow="0" w:firstColumn="1" w:lastColumn="0" w:oddVBand="0" w:evenVBand="0" w:oddHBand="0" w:evenHBand="0" w:firstRowFirstColumn="0" w:firstRowLastColumn="0" w:lastRowFirstColumn="0" w:lastRowLastColumn="0"/>
            <w:tcW w:w="9640" w:type="dxa"/>
            <w:gridSpan w:val="6"/>
            <w:tcBorders>
              <w:bottom w:val="single" w:sz="12" w:space="0" w:color="auto"/>
            </w:tcBorders>
          </w:tcPr>
          <w:p w14:paraId="48F02411" w14:textId="138FC110" w:rsidR="002B53F1" w:rsidRDefault="00BC7830" w:rsidP="00BC7830">
            <w:pPr>
              <w:ind w:left="170"/>
            </w:pPr>
            <w:r w:rsidRPr="00B0754C">
              <w:rPr>
                <w:i/>
              </w:rPr>
              <w:t>The higher 2026-27 target in part reflects funding rephased from the prior year.</w:t>
            </w:r>
          </w:p>
        </w:tc>
      </w:tr>
    </w:tbl>
    <w:p w14:paraId="18FFAB2D" w14:textId="77777777" w:rsidR="00824558" w:rsidRDefault="00824558">
      <w:pPr>
        <w:pStyle w:val="Source"/>
      </w:pPr>
      <w:r>
        <w:t>Source: Department of Treasury and Finance</w:t>
      </w:r>
    </w:p>
    <w:p w14:paraId="54BF59C4" w14:textId="77777777" w:rsidR="00854200" w:rsidRDefault="00854200" w:rsidP="00854200"/>
    <w:p w14:paraId="23569E75" w14:textId="0CED8141" w:rsidR="00824558" w:rsidRPr="005E15A8" w:rsidRDefault="00824558" w:rsidP="00854200">
      <w:pPr>
        <w:pStyle w:val="ShadedBoxHeading"/>
      </w:pPr>
      <w:r w:rsidRPr="005E15A8">
        <w:t>Objective 2: Strengthen Victoria</w:t>
      </w:r>
      <w:r w:rsidR="007942D1">
        <w:t>’</w:t>
      </w:r>
      <w:r w:rsidRPr="005E15A8">
        <w:t>s economic performance</w:t>
      </w:r>
    </w:p>
    <w:p w14:paraId="4D09B22A" w14:textId="77777777" w:rsidR="00824558" w:rsidRPr="005E15A8" w:rsidRDefault="00824558">
      <w:pPr>
        <w:pStyle w:val="ShadedBoxText"/>
        <w:spacing w:before="80"/>
      </w:pPr>
      <w:r w:rsidRPr="005E15A8">
        <w:t>Under this objective, the Department delivers advice on economic policy, forecasts, legislation and frameworks. It also supports the Government by administering economic regulation of utilities and other specified markets in Victoria to protect the long-term interests of Victorian consumers with regard to price, quality, efficiency and reliability of essential services.</w:t>
      </w:r>
    </w:p>
    <w:p w14:paraId="0804CFED" w14:textId="02F42E35" w:rsidR="00824558" w:rsidRPr="005E15A8" w:rsidRDefault="00824558">
      <w:pPr>
        <w:pStyle w:val="ShadedBoxText"/>
        <w:spacing w:before="80"/>
      </w:pPr>
      <w:r w:rsidRPr="005E15A8">
        <w:t>The Department leads the development of advice to the Government on key economic and financial strategies including regulatory reform, tax policy and intergovernmental relations to drive improvements in Victoria</w:t>
      </w:r>
      <w:r w:rsidR="007942D1">
        <w:t>’</w:t>
      </w:r>
      <w:r w:rsidRPr="005E15A8">
        <w:t>s productive and efficient resource allocation, competitiveness and equity across the Victorian economy.</w:t>
      </w:r>
    </w:p>
    <w:p w14:paraId="3BA96255" w14:textId="77777777" w:rsidR="00824558" w:rsidRPr="005E15A8" w:rsidRDefault="00824558">
      <w:pPr>
        <w:pStyle w:val="ShadedBoxText"/>
        <w:spacing w:before="80"/>
      </w:pPr>
      <w:r w:rsidRPr="005E15A8">
        <w:t>The departmental objective indicators are:</w:t>
      </w:r>
    </w:p>
    <w:p w14:paraId="6C2E294C" w14:textId="77777777" w:rsidR="00824558" w:rsidRPr="005E15A8" w:rsidRDefault="00824558">
      <w:pPr>
        <w:pStyle w:val="ShadedBoxBullet"/>
        <w:contextualSpacing/>
      </w:pPr>
      <w:r w:rsidRPr="005E15A8">
        <w:t>economic growth to exceed population growth as expressed by GSP per capita increasing in real terms (annual percentage change)</w:t>
      </w:r>
    </w:p>
    <w:p w14:paraId="41F34152" w14:textId="77777777" w:rsidR="00824558" w:rsidRPr="005E15A8" w:rsidRDefault="00824558">
      <w:pPr>
        <w:pStyle w:val="ShadedBoxBullet"/>
        <w:contextualSpacing/>
      </w:pPr>
      <w:r w:rsidRPr="005E15A8">
        <w:t>total Victorian employment to grow each year (annual percentage change)</w:t>
      </w:r>
    </w:p>
    <w:p w14:paraId="2C1DB23E" w14:textId="77777777" w:rsidR="00824558" w:rsidRPr="005E15A8" w:rsidRDefault="00824558">
      <w:pPr>
        <w:pStyle w:val="ShadedBoxBullet"/>
        <w:contextualSpacing/>
      </w:pPr>
      <w:r w:rsidRPr="005E15A8">
        <w:t>advice contributes to the achievement of government policies and priorities relating to economic and social outcomes.</w:t>
      </w:r>
    </w:p>
    <w:p w14:paraId="0A4BCAFF" w14:textId="77777777" w:rsidR="00824558" w:rsidRDefault="00824558">
      <w:pPr>
        <w:pStyle w:val="Heading2"/>
      </w:pPr>
      <w:r>
        <w:t>Outputs</w:t>
      </w:r>
    </w:p>
    <w:p w14:paraId="18B73D48" w14:textId="443A736F" w:rsidR="00824558" w:rsidRDefault="00824558" w:rsidP="00977816">
      <w:pPr>
        <w:pStyle w:val="Heading3"/>
        <w:spacing w:before="180"/>
      </w:pPr>
      <w:r>
        <w:t>Economic and Policy Advice</w:t>
      </w:r>
      <w:r>
        <w:tab/>
        <w:t>(2026-27: $</w:t>
      </w:r>
      <w:r w:rsidR="00BC7830">
        <w:t>70.4</w:t>
      </w:r>
      <w:r>
        <w:t xml:space="preserve"> million)</w:t>
      </w:r>
    </w:p>
    <w:p w14:paraId="48B69FD0" w14:textId="6A38DA6B" w:rsidR="00824558" w:rsidRPr="005E15A8" w:rsidRDefault="00824558">
      <w:pPr>
        <w:suppressAutoHyphens/>
        <w:spacing w:before="80" w:line="276" w:lineRule="auto"/>
        <w:rPr>
          <w:rFonts w:eastAsia="Droid Sans Fallback" w:cs="Calibri"/>
        </w:rPr>
      </w:pPr>
      <w:r w:rsidRPr="005E15A8">
        <w:rPr>
          <w:rFonts w:eastAsia="Droid Sans Fallback" w:cs="Calibri"/>
        </w:rPr>
        <w:t>This output contributes to strengthen</w:t>
      </w:r>
      <w:r>
        <w:rPr>
          <w:rFonts w:eastAsia="Droid Sans Fallback" w:cs="Calibri"/>
        </w:rPr>
        <w:t>ing</w:t>
      </w:r>
      <w:r w:rsidRPr="005E15A8">
        <w:rPr>
          <w:rFonts w:eastAsia="Droid Sans Fallback" w:cs="Calibri"/>
        </w:rPr>
        <w:t xml:space="preserve"> Victoria</w:t>
      </w:r>
      <w:r w:rsidR="007942D1">
        <w:rPr>
          <w:rFonts w:eastAsia="Droid Sans Fallback" w:cs="Calibri"/>
        </w:rPr>
        <w:t>’</w:t>
      </w:r>
      <w:r w:rsidRPr="005E15A8">
        <w:rPr>
          <w:rFonts w:eastAsia="Droid Sans Fallback" w:cs="Calibri"/>
        </w:rPr>
        <w:t xml:space="preserve">s economic performance </w:t>
      </w:r>
      <w:r>
        <w:rPr>
          <w:rFonts w:eastAsia="Droid Sans Fallback" w:cs="Calibri"/>
        </w:rPr>
        <w:t xml:space="preserve">and improving the lives and prosperity of Victorians </w:t>
      </w:r>
      <w:r w:rsidRPr="005E15A8">
        <w:rPr>
          <w:rFonts w:eastAsia="Droid Sans Fallback" w:cs="Calibri"/>
        </w:rPr>
        <w:t>by providing evidence, advice and engagement on:</w:t>
      </w:r>
      <w:r w:rsidRPr="002501E9">
        <w:rPr>
          <w:vertAlign w:val="superscript"/>
        </w:rPr>
        <w:t xml:space="preserve"> </w:t>
      </w:r>
    </w:p>
    <w:p w14:paraId="211DD24B" w14:textId="46F7B70F" w:rsidR="00824558" w:rsidRPr="005E15A8" w:rsidRDefault="00824558" w:rsidP="00977816">
      <w:pPr>
        <w:pStyle w:val="ListBullet"/>
        <w:tabs>
          <w:tab w:val="clear" w:pos="360"/>
        </w:tabs>
        <w:spacing w:before="40" w:after="20"/>
        <w:ind w:left="340" w:hanging="340"/>
      </w:pPr>
      <w:r w:rsidRPr="005E15A8">
        <w:t>strengthen</w:t>
      </w:r>
      <w:r>
        <w:t>ing</w:t>
      </w:r>
      <w:r w:rsidRPr="005E15A8">
        <w:t xml:space="preserve"> productivity, </w:t>
      </w:r>
      <w:r>
        <w:t>workforce</w:t>
      </w:r>
      <w:r w:rsidRPr="005E15A8">
        <w:t xml:space="preserve"> participation</w:t>
      </w:r>
      <w:r>
        <w:t>, living standards</w:t>
      </w:r>
      <w:r w:rsidRPr="005E15A8">
        <w:t xml:space="preserve"> and the State</w:t>
      </w:r>
      <w:r w:rsidR="007942D1">
        <w:t>’</w:t>
      </w:r>
      <w:r w:rsidRPr="005E15A8">
        <w:t>s overall competitiveness</w:t>
      </w:r>
    </w:p>
    <w:p w14:paraId="10195806" w14:textId="77777777" w:rsidR="00824558" w:rsidRPr="005E15A8" w:rsidRDefault="00824558" w:rsidP="00977816">
      <w:pPr>
        <w:pStyle w:val="ListBullet"/>
        <w:tabs>
          <w:tab w:val="clear" w:pos="360"/>
        </w:tabs>
        <w:spacing w:before="40" w:after="20"/>
        <w:ind w:left="340" w:hanging="340"/>
      </w:pPr>
      <w:r w:rsidRPr="005E15A8">
        <w:t xml:space="preserve">State tax and revenue policy (including development and implementation of major </w:t>
      </w:r>
      <w:r>
        <w:t>s</w:t>
      </w:r>
      <w:r w:rsidRPr="005E15A8">
        <w:t>tate tax reforms)</w:t>
      </w:r>
    </w:p>
    <w:p w14:paraId="37528A50" w14:textId="77777777" w:rsidR="00824558" w:rsidRPr="005E15A8" w:rsidRDefault="00824558" w:rsidP="00977816">
      <w:pPr>
        <w:pStyle w:val="ListBullet"/>
        <w:tabs>
          <w:tab w:val="clear" w:pos="360"/>
        </w:tabs>
        <w:spacing w:before="40" w:after="20"/>
        <w:ind w:left="340" w:hanging="340"/>
      </w:pPr>
      <w:r w:rsidRPr="005E15A8">
        <w:t>intergovernmental relations, including the distribution of Commonwealth funding to states and territories</w:t>
      </w:r>
    </w:p>
    <w:p w14:paraId="7490F860" w14:textId="77777777" w:rsidR="00824558" w:rsidRPr="005E15A8" w:rsidRDefault="00824558" w:rsidP="00977816">
      <w:pPr>
        <w:pStyle w:val="ListBullet"/>
        <w:tabs>
          <w:tab w:val="clear" w:pos="360"/>
        </w:tabs>
        <w:spacing w:before="40" w:after="20"/>
        <w:ind w:left="340" w:hanging="340"/>
      </w:pPr>
      <w:r w:rsidRPr="005E15A8">
        <w:t>production of the economic and revenue forecasts that underpin the State budget</w:t>
      </w:r>
    </w:p>
    <w:p w14:paraId="7895687E" w14:textId="77777777" w:rsidR="00824558" w:rsidRPr="005E15A8" w:rsidRDefault="00824558" w:rsidP="00977816">
      <w:pPr>
        <w:pStyle w:val="ListBullet"/>
        <w:tabs>
          <w:tab w:val="clear" w:pos="360"/>
        </w:tabs>
        <w:spacing w:before="40" w:after="20"/>
        <w:ind w:left="340" w:hanging="340"/>
      </w:pPr>
      <w:r w:rsidRPr="005E15A8">
        <w:t>economic cost</w:t>
      </w:r>
      <w:r>
        <w:t>-</w:t>
      </w:r>
      <w:r w:rsidRPr="005E15A8">
        <w:t xml:space="preserve">benefit analysis, </w:t>
      </w:r>
      <w:r>
        <w:t>economic and financial modelling of early intervention proposals,</w:t>
      </w:r>
      <w:r w:rsidRPr="005E15A8">
        <w:t xml:space="preserve"> and evaluation of best</w:t>
      </w:r>
      <w:r>
        <w:t>-</w:t>
      </w:r>
      <w:r w:rsidRPr="005E15A8">
        <w:t>practice regulatory frameworks</w:t>
      </w:r>
    </w:p>
    <w:p w14:paraId="16D6A017" w14:textId="77777777" w:rsidR="00824558" w:rsidRPr="005E15A8" w:rsidRDefault="00824558" w:rsidP="00977816">
      <w:pPr>
        <w:pStyle w:val="ListBullet"/>
        <w:tabs>
          <w:tab w:val="clear" w:pos="360"/>
        </w:tabs>
        <w:spacing w:before="40" w:after="20"/>
        <w:ind w:left="340" w:hanging="340"/>
      </w:pPr>
      <w:r w:rsidRPr="005E15A8">
        <w:t>approaches for innovative, effective and efficient delivery of government services</w:t>
      </w:r>
      <w:r>
        <w:t xml:space="preserve"> and regulation</w:t>
      </w:r>
    </w:p>
    <w:p w14:paraId="42C83EA3" w14:textId="77777777" w:rsidR="00824558" w:rsidRPr="005E15A8" w:rsidRDefault="00824558" w:rsidP="00977816">
      <w:pPr>
        <w:pStyle w:val="ListBullet"/>
        <w:tabs>
          <w:tab w:val="clear" w:pos="360"/>
        </w:tabs>
        <w:spacing w:before="40" w:after="20"/>
        <w:ind w:left="340" w:hanging="340"/>
      </w:pPr>
      <w:r>
        <w:t>whole of government risk and pricing frameworks</w:t>
      </w:r>
      <w:r w:rsidRPr="005E15A8">
        <w:t>.</w:t>
      </w:r>
    </w:p>
    <w:p w14:paraId="1717DA78" w14:textId="77777777" w:rsidR="00824558" w:rsidRPr="005E15A8" w:rsidRDefault="00824558">
      <w:pPr>
        <w:rPr>
          <w:lang w:eastAsia="en-AU"/>
        </w:rPr>
      </w:pPr>
      <w:r w:rsidRPr="005E15A8">
        <w:rPr>
          <w:lang w:eastAsia="en-AU"/>
        </w:rPr>
        <w:t xml:space="preserve">This output also includes advice on ways the Government can improve the business environment by the Commissioner for Economic Growth and Better Regulation, </w:t>
      </w:r>
      <w:r w:rsidRPr="005E15A8">
        <w:rPr>
          <w:i/>
          <w:lang w:eastAsia="en-AU"/>
        </w:rPr>
        <w:t>inter alia</w:t>
      </w:r>
      <w:r w:rsidRPr="005E15A8">
        <w:rPr>
          <w:lang w:eastAsia="en-AU"/>
        </w:rPr>
        <w:t xml:space="preserve">: </w:t>
      </w:r>
    </w:p>
    <w:p w14:paraId="0924EC9D" w14:textId="77777777" w:rsidR="00824558" w:rsidRPr="005E15A8" w:rsidRDefault="00824558" w:rsidP="00977816">
      <w:pPr>
        <w:pStyle w:val="ListBullet"/>
        <w:tabs>
          <w:tab w:val="clear" w:pos="360"/>
        </w:tabs>
        <w:spacing w:before="40" w:after="20"/>
        <w:ind w:left="340" w:hanging="340"/>
      </w:pPr>
      <w:r w:rsidRPr="005E15A8">
        <w:t>reviewing Regulatory Impact Statements, Legislative Impact Assessments, and providing advice for Regulatory Change Measurements</w:t>
      </w:r>
    </w:p>
    <w:p w14:paraId="6895ED4B" w14:textId="77777777" w:rsidR="00824558" w:rsidRPr="005E15A8" w:rsidRDefault="00824558" w:rsidP="00977816">
      <w:pPr>
        <w:pStyle w:val="ListBullet"/>
        <w:tabs>
          <w:tab w:val="clear" w:pos="360"/>
        </w:tabs>
        <w:spacing w:before="40" w:after="20"/>
        <w:ind w:left="340" w:hanging="340"/>
      </w:pPr>
      <w:r w:rsidRPr="005E15A8">
        <w:t>assisting agencies to improve the quality of regulation in Victoria and undertaking research into matters referred to it by the Government</w:t>
      </w:r>
    </w:p>
    <w:p w14:paraId="5ABD412B" w14:textId="53A6CCBD" w:rsidR="00824558" w:rsidRPr="005E15A8" w:rsidRDefault="00824558" w:rsidP="00977816">
      <w:pPr>
        <w:pStyle w:val="ListBullet"/>
        <w:tabs>
          <w:tab w:val="clear" w:pos="360"/>
        </w:tabs>
        <w:spacing w:before="40" w:after="20"/>
        <w:ind w:left="340" w:hanging="340"/>
      </w:pPr>
      <w:r w:rsidRPr="005E15A8">
        <w:t>operating Victoria</w:t>
      </w:r>
      <w:r w:rsidR="007942D1">
        <w:t>’</w:t>
      </w:r>
      <w:r w:rsidRPr="005E15A8">
        <w:t>s competitive neutrality unit</w:t>
      </w:r>
    </w:p>
    <w:p w14:paraId="2979F02E" w14:textId="77777777" w:rsidR="00824558" w:rsidRPr="000E78A6" w:rsidRDefault="00824558" w:rsidP="00977816">
      <w:pPr>
        <w:pStyle w:val="ListBullet"/>
        <w:tabs>
          <w:tab w:val="clear" w:pos="360"/>
        </w:tabs>
        <w:spacing w:before="40" w:after="20"/>
        <w:ind w:left="340" w:hanging="340"/>
      </w:pPr>
      <w:r w:rsidRPr="005E15A8">
        <w:t>working with businesses and not-for-profit organisations to identify and solve red tape issues.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3FB3C2B" w14:textId="77777777" w:rsidTr="000812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5FFDB38" w14:textId="77777777" w:rsidR="00824558" w:rsidRDefault="00824558">
            <w:r>
              <w:t>Performance measure</w:t>
            </w:r>
          </w:p>
        </w:tc>
        <w:tc>
          <w:tcPr>
            <w:tcW w:w="964" w:type="dxa"/>
          </w:tcPr>
          <w:p w14:paraId="0389CA4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8213AC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DD9380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147BD9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841EBA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1C2DDE" w14:paraId="59AC2B42"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Pr>
          <w:p w14:paraId="483FFBD0" w14:textId="77777777" w:rsidR="00824558" w:rsidRPr="001C2DDE" w:rsidRDefault="00824558">
            <w:pPr>
              <w:keepNext/>
              <w:rPr>
                <w:b/>
                <w:bCs/>
                <w:iCs/>
              </w:rPr>
            </w:pPr>
            <w:r w:rsidRPr="001C2DDE">
              <w:rPr>
                <w:b/>
                <w:bCs/>
                <w:iCs/>
              </w:rPr>
              <w:t>Quantity</w:t>
            </w:r>
          </w:p>
        </w:tc>
      </w:tr>
      <w:tr w:rsidR="00824558" w14:paraId="4CDC7AA4" w14:textId="77777777" w:rsidTr="0008120C">
        <w:tc>
          <w:tcPr>
            <w:cnfStyle w:val="001000000000" w:firstRow="0" w:lastRow="0" w:firstColumn="1" w:lastColumn="0" w:oddVBand="0" w:evenVBand="0" w:oddHBand="0" w:evenHBand="0" w:firstRowFirstColumn="0" w:firstRowLastColumn="0" w:lastRowFirstColumn="0" w:lastRowLastColumn="0"/>
            <w:tcW w:w="4819" w:type="dxa"/>
          </w:tcPr>
          <w:p w14:paraId="3D0474DE" w14:textId="77777777" w:rsidR="00824558" w:rsidRDefault="00824558">
            <w:pPr>
              <w:keepNext/>
              <w:ind w:left="170"/>
            </w:pPr>
            <w:r>
              <w:t>Economic research projects and papers completed that contribute to deeper understanding of economic issues and development of government policy</w:t>
            </w:r>
          </w:p>
        </w:tc>
        <w:tc>
          <w:tcPr>
            <w:tcW w:w="964" w:type="dxa"/>
          </w:tcPr>
          <w:p w14:paraId="6F04461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20180E1"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EB9E4EB"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1C8FF985"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A64173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r>
      <w:tr w:rsidR="00824558" w14:paraId="2D0B26C8"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159CC9B" w14:textId="6CF7015F"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additional research that has been conducted in </w:t>
            </w:r>
            <w:r w:rsidR="008F7A05">
              <w:rPr>
                <w:i/>
              </w:rPr>
              <w:t>2025-26</w:t>
            </w:r>
            <w:r>
              <w:rPr>
                <w:i/>
              </w:rPr>
              <w:t xml:space="preserve"> to support government priorities. Additional research projects and papers are planned for </w:t>
            </w:r>
            <w:r w:rsidR="008F7A05">
              <w:rPr>
                <w:i/>
              </w:rPr>
              <w:t>2025-26</w:t>
            </w:r>
            <w:r>
              <w:rPr>
                <w:i/>
              </w:rPr>
              <w:t xml:space="preserve"> to support and inform regulation and revenue policy.</w:t>
            </w:r>
          </w:p>
        </w:tc>
      </w:tr>
      <w:tr w:rsidR="00824558" w14:paraId="020F6B24" w14:textId="77777777" w:rsidTr="0008120C">
        <w:tc>
          <w:tcPr>
            <w:cnfStyle w:val="001000000000" w:firstRow="0" w:lastRow="0" w:firstColumn="1" w:lastColumn="0" w:oddVBand="0" w:evenVBand="0" w:oddHBand="0" w:evenHBand="0" w:firstRowFirstColumn="0" w:firstRowLastColumn="0" w:lastRowFirstColumn="0" w:lastRowLastColumn="0"/>
            <w:tcW w:w="4819" w:type="dxa"/>
          </w:tcPr>
          <w:p w14:paraId="1FDBA3A5" w14:textId="77777777" w:rsidR="00824558" w:rsidRDefault="00824558">
            <w:pPr>
              <w:keepNext/>
              <w:ind w:left="170"/>
            </w:pPr>
            <w:r>
              <w:t>Facilitation of roundtables and information sessions that inform government policy and contribute to public policy debate</w:t>
            </w:r>
          </w:p>
        </w:tc>
        <w:tc>
          <w:tcPr>
            <w:tcW w:w="964" w:type="dxa"/>
          </w:tcPr>
          <w:p w14:paraId="4821B46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011B2FF"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20CBE99" w14:textId="77777777" w:rsidR="00824558" w:rsidRDefault="00824558">
            <w:pPr>
              <w:cnfStyle w:val="000000000000" w:firstRow="0" w:lastRow="0" w:firstColumn="0" w:lastColumn="0" w:oddVBand="0" w:evenVBand="0" w:oddHBand="0" w:evenHBand="0" w:firstRowFirstColumn="0" w:firstRowLastColumn="0" w:lastRowFirstColumn="0" w:lastRowLastColumn="0"/>
            </w:pPr>
            <w:r>
              <w:t>23</w:t>
            </w:r>
          </w:p>
        </w:tc>
        <w:tc>
          <w:tcPr>
            <w:tcW w:w="964" w:type="dxa"/>
          </w:tcPr>
          <w:p w14:paraId="4DF8C4E1"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5BA5C8A6" w14:textId="77777777" w:rsidR="00824558" w:rsidRDefault="00824558">
            <w:pPr>
              <w:cnfStyle w:val="000000000000" w:firstRow="0" w:lastRow="0" w:firstColumn="0" w:lastColumn="0" w:oddVBand="0" w:evenVBand="0" w:oddHBand="0" w:evenHBand="0" w:firstRowFirstColumn="0" w:firstRowLastColumn="0" w:lastRowFirstColumn="0" w:lastRowLastColumn="0"/>
            </w:pPr>
            <w:r>
              <w:t>54</w:t>
            </w:r>
          </w:p>
        </w:tc>
      </w:tr>
      <w:tr w:rsidR="00824558" w14:paraId="72FA8FCE"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48DE799" w14:textId="098F8123"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engagement with businesses and industry to discuss regulatory reform, and consultation on revenue policy and implementation.</w:t>
            </w:r>
          </w:p>
        </w:tc>
      </w:tr>
      <w:tr w:rsidR="00824558" w14:paraId="1A2D2444"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16BBDA9" w14:textId="77777777" w:rsidR="00824558" w:rsidRDefault="00824558">
            <w:pPr>
              <w:ind w:left="170"/>
            </w:pPr>
            <w:r>
              <w:t>Regulation reviews completed</w:t>
            </w:r>
          </w:p>
        </w:tc>
        <w:tc>
          <w:tcPr>
            <w:tcW w:w="964" w:type="dxa"/>
            <w:tcBorders>
              <w:bottom w:val="single" w:sz="6" w:space="0" w:color="auto"/>
            </w:tcBorders>
          </w:tcPr>
          <w:p w14:paraId="6D57BE8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A363656"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6CCF58AE"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698A0A70"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6FBF5502" w14:textId="77777777" w:rsidR="00824558" w:rsidRDefault="00824558">
            <w:pPr>
              <w:cnfStyle w:val="000000000000" w:firstRow="0" w:lastRow="0" w:firstColumn="0" w:lastColumn="0" w:oddVBand="0" w:evenVBand="0" w:oddHBand="0" w:evenHBand="0" w:firstRowFirstColumn="0" w:firstRowLastColumn="0" w:lastRowFirstColumn="0" w:lastRowLastColumn="0"/>
            </w:pPr>
            <w:r>
              <w:t>8</w:t>
            </w:r>
          </w:p>
        </w:tc>
      </w:tr>
      <w:tr w:rsidR="00824558" w:rsidRPr="009C0A3D" w14:paraId="1752B697"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Pr>
          <w:p w14:paraId="50D505F7" w14:textId="77777777" w:rsidR="00824558" w:rsidRPr="009C0A3D" w:rsidRDefault="00824558">
            <w:pPr>
              <w:keepNext/>
              <w:rPr>
                <w:b/>
                <w:bCs/>
                <w:iCs/>
              </w:rPr>
            </w:pPr>
            <w:r w:rsidRPr="009C0A3D">
              <w:rPr>
                <w:b/>
                <w:bCs/>
                <w:iCs/>
              </w:rPr>
              <w:t>Quality</w:t>
            </w:r>
          </w:p>
        </w:tc>
      </w:tr>
      <w:tr w:rsidR="00824558" w14:paraId="2EB487CF"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B337ADF" w14:textId="77777777" w:rsidR="00824558" w:rsidRDefault="00824558">
            <w:pPr>
              <w:ind w:left="170"/>
            </w:pPr>
            <w:r>
              <w:t>Accuracy of estimating state taxation revenue in the State budget</w:t>
            </w:r>
          </w:p>
        </w:tc>
        <w:tc>
          <w:tcPr>
            <w:tcW w:w="964" w:type="dxa"/>
            <w:tcBorders>
              <w:bottom w:val="single" w:sz="6" w:space="0" w:color="auto"/>
            </w:tcBorders>
          </w:tcPr>
          <w:p w14:paraId="60FDA9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percentage variance</w:t>
            </w:r>
          </w:p>
        </w:tc>
        <w:tc>
          <w:tcPr>
            <w:tcW w:w="964" w:type="dxa"/>
            <w:tcBorders>
              <w:bottom w:val="single" w:sz="6" w:space="0" w:color="auto"/>
            </w:tcBorders>
            <w:shd w:val="clear" w:color="auto" w:fill="F0F0F0"/>
          </w:tcPr>
          <w:p w14:paraId="7E683A25" w14:textId="58302E05"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5.0</w:t>
            </w:r>
          </w:p>
        </w:tc>
        <w:tc>
          <w:tcPr>
            <w:tcW w:w="964" w:type="dxa"/>
            <w:tcBorders>
              <w:bottom w:val="single" w:sz="6" w:space="0" w:color="auto"/>
            </w:tcBorders>
          </w:tcPr>
          <w:p w14:paraId="7F8B965F" w14:textId="15407596"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5.0</w:t>
            </w:r>
          </w:p>
        </w:tc>
        <w:tc>
          <w:tcPr>
            <w:tcW w:w="964" w:type="dxa"/>
            <w:tcBorders>
              <w:bottom w:val="single" w:sz="6" w:space="0" w:color="auto"/>
            </w:tcBorders>
          </w:tcPr>
          <w:p w14:paraId="2914C14F" w14:textId="41DAA3CC"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5.0</w:t>
            </w:r>
          </w:p>
        </w:tc>
        <w:tc>
          <w:tcPr>
            <w:tcW w:w="964" w:type="dxa"/>
            <w:tcBorders>
              <w:bottom w:val="single" w:sz="6" w:space="0" w:color="auto"/>
            </w:tcBorders>
          </w:tcPr>
          <w:p w14:paraId="1C48C4D9" w14:textId="7BCAB1C8"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5.0</w:t>
            </w:r>
          </w:p>
        </w:tc>
      </w:tr>
      <w:tr w:rsidR="00824558" w14:paraId="46253789"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ECAD4E8" w14:textId="77777777" w:rsidR="00824558" w:rsidRDefault="00824558">
            <w:pPr>
              <w:ind w:left="170"/>
            </w:pPr>
            <w:r>
              <w:t>Accuracy of estimating the employment growth rate in the State budget</w:t>
            </w:r>
          </w:p>
        </w:tc>
        <w:tc>
          <w:tcPr>
            <w:tcW w:w="964" w:type="dxa"/>
            <w:tcBorders>
              <w:bottom w:val="single" w:sz="6" w:space="0" w:color="auto"/>
            </w:tcBorders>
          </w:tcPr>
          <w:p w14:paraId="2656B7C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percentage point variance</w:t>
            </w:r>
          </w:p>
        </w:tc>
        <w:tc>
          <w:tcPr>
            <w:tcW w:w="964" w:type="dxa"/>
            <w:tcBorders>
              <w:bottom w:val="single" w:sz="6" w:space="0" w:color="auto"/>
            </w:tcBorders>
            <w:shd w:val="clear" w:color="auto" w:fill="F0F0F0"/>
          </w:tcPr>
          <w:p w14:paraId="67D50B8E" w14:textId="4B624D68"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1.0</w:t>
            </w:r>
          </w:p>
        </w:tc>
        <w:tc>
          <w:tcPr>
            <w:tcW w:w="964" w:type="dxa"/>
            <w:tcBorders>
              <w:bottom w:val="single" w:sz="6" w:space="0" w:color="auto"/>
            </w:tcBorders>
          </w:tcPr>
          <w:p w14:paraId="7329449D" w14:textId="64EBB70F"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1.0</w:t>
            </w:r>
          </w:p>
        </w:tc>
        <w:tc>
          <w:tcPr>
            <w:tcW w:w="964" w:type="dxa"/>
            <w:tcBorders>
              <w:bottom w:val="single" w:sz="6" w:space="0" w:color="auto"/>
            </w:tcBorders>
          </w:tcPr>
          <w:p w14:paraId="113A28CF" w14:textId="4119F513" w:rsidR="00824558" w:rsidRDefault="00824558">
            <w:pPr>
              <w:cnfStyle w:val="000000000000" w:firstRow="0" w:lastRow="0" w:firstColumn="0" w:lastColumn="0" w:oddVBand="0" w:evenVBand="0" w:oddHBand="0" w:evenHBand="0" w:firstRowFirstColumn="0" w:firstRowLastColumn="0" w:lastRowFirstColumn="0" w:lastRowLastColumn="0"/>
            </w:pPr>
            <w:r>
              <w:t>≤</w:t>
            </w:r>
            <w:r w:rsidR="00540BB2">
              <w:t xml:space="preserve"> </w:t>
            </w:r>
            <w:r>
              <w:t>1.0</w:t>
            </w:r>
          </w:p>
        </w:tc>
        <w:tc>
          <w:tcPr>
            <w:tcW w:w="964" w:type="dxa"/>
            <w:tcBorders>
              <w:bottom w:val="single" w:sz="6" w:space="0" w:color="auto"/>
            </w:tcBorders>
          </w:tcPr>
          <w:p w14:paraId="7F3C44B8"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r>
      <w:tr w:rsidR="00824558" w14:paraId="44542BA7"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CD063CE" w14:textId="77777777" w:rsidR="00824558" w:rsidRDefault="00824558">
            <w:pPr>
              <w:ind w:left="170"/>
            </w:pPr>
            <w:r>
              <w:t>Accuracy of estimating the gross state product growth rate in the State budget</w:t>
            </w:r>
          </w:p>
        </w:tc>
        <w:tc>
          <w:tcPr>
            <w:tcW w:w="964" w:type="dxa"/>
            <w:tcBorders>
              <w:bottom w:val="single" w:sz="6" w:space="0" w:color="auto"/>
            </w:tcBorders>
          </w:tcPr>
          <w:p w14:paraId="019191E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percentage point variance</w:t>
            </w:r>
          </w:p>
        </w:tc>
        <w:tc>
          <w:tcPr>
            <w:tcW w:w="964" w:type="dxa"/>
            <w:tcBorders>
              <w:bottom w:val="single" w:sz="6" w:space="0" w:color="auto"/>
            </w:tcBorders>
            <w:shd w:val="clear" w:color="auto" w:fill="F0F0F0"/>
          </w:tcPr>
          <w:p w14:paraId="489824DD" w14:textId="2A133C58"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1</w:t>
            </w:r>
          </w:p>
        </w:tc>
        <w:tc>
          <w:tcPr>
            <w:tcW w:w="964" w:type="dxa"/>
            <w:tcBorders>
              <w:bottom w:val="single" w:sz="6" w:space="0" w:color="auto"/>
            </w:tcBorders>
          </w:tcPr>
          <w:p w14:paraId="0FCAFE1E" w14:textId="3EFECB05"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1</w:t>
            </w:r>
          </w:p>
        </w:tc>
        <w:tc>
          <w:tcPr>
            <w:tcW w:w="964" w:type="dxa"/>
            <w:tcBorders>
              <w:bottom w:val="single" w:sz="6" w:space="0" w:color="auto"/>
            </w:tcBorders>
          </w:tcPr>
          <w:p w14:paraId="79837CF1" w14:textId="4FBF4A7E" w:rsidR="00824558" w:rsidRDefault="00824558">
            <w:pPr>
              <w:cnfStyle w:val="000000000000" w:firstRow="0" w:lastRow="0" w:firstColumn="0" w:lastColumn="0" w:oddVBand="0" w:evenVBand="0" w:oddHBand="0" w:evenHBand="0" w:firstRowFirstColumn="0" w:firstRowLastColumn="0" w:lastRowFirstColumn="0" w:lastRowLastColumn="0"/>
            </w:pPr>
            <w:r>
              <w:t>≤</w:t>
            </w:r>
            <w:r w:rsidR="001C2DDE">
              <w:t xml:space="preserve"> </w:t>
            </w:r>
            <w:r>
              <w:t>1</w:t>
            </w:r>
          </w:p>
        </w:tc>
        <w:tc>
          <w:tcPr>
            <w:tcW w:w="964" w:type="dxa"/>
            <w:tcBorders>
              <w:bottom w:val="single" w:sz="6" w:space="0" w:color="auto"/>
            </w:tcBorders>
          </w:tcPr>
          <w:p w14:paraId="445D24A8" w14:textId="77777777" w:rsidR="00824558" w:rsidRDefault="00824558">
            <w:pPr>
              <w:cnfStyle w:val="000000000000" w:firstRow="0" w:lastRow="0" w:firstColumn="0" w:lastColumn="0" w:oddVBand="0" w:evenVBand="0" w:oddHBand="0" w:evenHBand="0" w:firstRowFirstColumn="0" w:firstRowLastColumn="0" w:lastRowFirstColumn="0" w:lastRowLastColumn="0"/>
            </w:pPr>
            <w:r>
              <w:t>1.4</w:t>
            </w:r>
          </w:p>
        </w:tc>
      </w:tr>
      <w:tr w:rsidR="00824558" w14:paraId="4745A90C"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1B91B6" w14:textId="77777777" w:rsidR="00824558" w:rsidRDefault="00824558">
            <w:pPr>
              <w:ind w:left="170"/>
            </w:pPr>
            <w:r>
              <w:t>Benefit to business (including through red tape savings) as a ratio of grant funding from the Business Acceleration Fund</w:t>
            </w:r>
          </w:p>
        </w:tc>
        <w:tc>
          <w:tcPr>
            <w:tcW w:w="964" w:type="dxa"/>
            <w:tcBorders>
              <w:bottom w:val="single" w:sz="6" w:space="0" w:color="auto"/>
            </w:tcBorders>
          </w:tcPr>
          <w:p w14:paraId="78B1F07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ratio</w:t>
            </w:r>
          </w:p>
        </w:tc>
        <w:tc>
          <w:tcPr>
            <w:tcW w:w="964" w:type="dxa"/>
            <w:tcBorders>
              <w:bottom w:val="single" w:sz="6" w:space="0" w:color="auto"/>
            </w:tcBorders>
            <w:shd w:val="clear" w:color="auto" w:fill="F0F0F0"/>
          </w:tcPr>
          <w:p w14:paraId="5D632773"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3FED4A5B"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0D4A6E43"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c>
          <w:tcPr>
            <w:tcW w:w="964" w:type="dxa"/>
            <w:tcBorders>
              <w:bottom w:val="single" w:sz="6" w:space="0" w:color="auto"/>
            </w:tcBorders>
          </w:tcPr>
          <w:p w14:paraId="7B74B4B6" w14:textId="77777777" w:rsidR="00824558" w:rsidRDefault="00824558">
            <w:pPr>
              <w:cnfStyle w:val="000000000000" w:firstRow="0" w:lastRow="0" w:firstColumn="0" w:lastColumn="0" w:oddVBand="0" w:evenVBand="0" w:oddHBand="0" w:evenHBand="0" w:firstRowFirstColumn="0" w:firstRowLastColumn="0" w:lastRowFirstColumn="0" w:lastRowLastColumn="0"/>
            </w:pPr>
            <w:r>
              <w:t>2:1</w:t>
            </w:r>
          </w:p>
        </w:tc>
      </w:tr>
      <w:tr w:rsidR="00824558" w14:paraId="775578BF"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672FFCF" w14:textId="1F6B02EE" w:rsidR="00824558" w:rsidRDefault="00824558">
            <w:pPr>
              <w:ind w:left="170"/>
            </w:pPr>
            <w:r>
              <w:t>Better Regulation Victoria</w:t>
            </w:r>
            <w:r w:rsidR="007942D1">
              <w:t>’</w:t>
            </w:r>
            <w:r>
              <w:t>s support for preparing Regulatory Impact Statements or Legislative Impact Assessments was valuable overall, as assessed by departments</w:t>
            </w:r>
          </w:p>
        </w:tc>
        <w:tc>
          <w:tcPr>
            <w:tcW w:w="964" w:type="dxa"/>
            <w:tcBorders>
              <w:bottom w:val="single" w:sz="6" w:space="0" w:color="auto"/>
            </w:tcBorders>
          </w:tcPr>
          <w:p w14:paraId="14CC88D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5AB1F8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0E5ACC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622183F"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5090D7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7B0BCB8C"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06295B" w14:textId="77777777" w:rsidR="00824558" w:rsidRDefault="00824558">
            <w:pPr>
              <w:ind w:left="170"/>
            </w:pPr>
            <w:r>
              <w:t>Conduct an annual survey to assess the impact of changes to Victorian regulations on business</w:t>
            </w:r>
          </w:p>
        </w:tc>
        <w:tc>
          <w:tcPr>
            <w:tcW w:w="964" w:type="dxa"/>
            <w:tcBorders>
              <w:bottom w:val="single" w:sz="6" w:space="0" w:color="auto"/>
            </w:tcBorders>
          </w:tcPr>
          <w:p w14:paraId="786D462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329F615"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4BD22CEA"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5911EA11" w14:textId="77777777" w:rsidR="00824558" w:rsidRDefault="00824558">
            <w:pPr>
              <w:cnfStyle w:val="000000000000" w:firstRow="0" w:lastRow="0" w:firstColumn="0" w:lastColumn="0" w:oddVBand="0" w:evenVBand="0" w:oddHBand="0" w:evenHBand="0" w:firstRowFirstColumn="0" w:firstRowLastColumn="0" w:lastRowFirstColumn="0" w:lastRowLastColumn="0"/>
            </w:pPr>
            <w:r>
              <w:t>1</w:t>
            </w:r>
          </w:p>
        </w:tc>
        <w:tc>
          <w:tcPr>
            <w:tcW w:w="964" w:type="dxa"/>
            <w:tcBorders>
              <w:bottom w:val="single" w:sz="6" w:space="0" w:color="auto"/>
            </w:tcBorders>
          </w:tcPr>
          <w:p w14:paraId="1F4D7EF2" w14:textId="77777777" w:rsidR="00824558" w:rsidRDefault="00824558">
            <w:pPr>
              <w:cnfStyle w:val="000000000000" w:firstRow="0" w:lastRow="0" w:firstColumn="0" w:lastColumn="0" w:oddVBand="0" w:evenVBand="0" w:oddHBand="0" w:evenHBand="0" w:firstRowFirstColumn="0" w:firstRowLastColumn="0" w:lastRowFirstColumn="0" w:lastRowLastColumn="0"/>
            </w:pPr>
            <w:r>
              <w:t>0</w:t>
            </w:r>
          </w:p>
        </w:tc>
      </w:tr>
      <w:tr w:rsidR="00824558" w14:paraId="7A51800E"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8CBE90" w14:textId="3EB529C3" w:rsidR="00824558" w:rsidRDefault="00824558">
            <w:pPr>
              <w:ind w:left="170"/>
            </w:pPr>
            <w:r>
              <w:t>Proportion of stakeholders that found Better Regulation Victoria</w:t>
            </w:r>
            <w:r w:rsidR="007942D1">
              <w:t>’</w:t>
            </w:r>
            <w:r>
              <w:t xml:space="preserve">s </w:t>
            </w:r>
            <w:r w:rsidR="007942D1">
              <w:t>‘</w:t>
            </w:r>
            <w:r>
              <w:t>regulatory helpdesk service</w:t>
            </w:r>
            <w:r w:rsidR="007942D1">
              <w:t>’</w:t>
            </w:r>
            <w:r>
              <w:t xml:space="preserve"> responsive to their needs</w:t>
            </w:r>
          </w:p>
        </w:tc>
        <w:tc>
          <w:tcPr>
            <w:tcW w:w="964" w:type="dxa"/>
            <w:tcBorders>
              <w:bottom w:val="single" w:sz="6" w:space="0" w:color="auto"/>
            </w:tcBorders>
          </w:tcPr>
          <w:p w14:paraId="487741C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22424C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FA293F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B13701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3C07B93" w14:textId="77777777" w:rsidR="00824558" w:rsidRDefault="00824558">
            <w:pPr>
              <w:cnfStyle w:val="000000000000" w:firstRow="0" w:lastRow="0" w:firstColumn="0" w:lastColumn="0" w:oddVBand="0" w:evenVBand="0" w:oddHBand="0" w:evenHBand="0" w:firstRowFirstColumn="0" w:firstRowLastColumn="0" w:lastRowFirstColumn="0" w:lastRowLastColumn="0"/>
            </w:pPr>
            <w:r>
              <w:t>83</w:t>
            </w:r>
          </w:p>
        </w:tc>
      </w:tr>
      <w:tr w:rsidR="00824558" w14:paraId="44FD2CCE"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AA8822" w14:textId="4778C418" w:rsidR="00824558" w:rsidRDefault="00824558">
            <w:pPr>
              <w:ind w:left="170"/>
            </w:pPr>
            <w:r>
              <w:t>Satisfaction of key stakeholders, including Members of Parliament, public sector employers and elected local government officials, with the Remuneration Tribunal</w:t>
            </w:r>
            <w:r w:rsidR="007942D1">
              <w:t>’</w:t>
            </w:r>
            <w:r>
              <w:t>s process regarding determinations, reviews and advice</w:t>
            </w:r>
          </w:p>
        </w:tc>
        <w:tc>
          <w:tcPr>
            <w:tcW w:w="964" w:type="dxa"/>
            <w:tcBorders>
              <w:bottom w:val="single" w:sz="6" w:space="0" w:color="auto"/>
            </w:tcBorders>
          </w:tcPr>
          <w:p w14:paraId="60353B5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53190C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98B1F6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940331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EF4EB8B"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rsidRPr="001C2DDE" w14:paraId="600F1D58"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Pr>
          <w:p w14:paraId="3FACB7AC" w14:textId="77777777" w:rsidR="00824558" w:rsidRPr="001C2DDE" w:rsidRDefault="00824558">
            <w:pPr>
              <w:keepNext/>
              <w:rPr>
                <w:b/>
                <w:bCs/>
                <w:iCs/>
              </w:rPr>
            </w:pPr>
            <w:r w:rsidRPr="001C2DDE">
              <w:rPr>
                <w:b/>
                <w:bCs/>
                <w:iCs/>
              </w:rPr>
              <w:t>Timeliness</w:t>
            </w:r>
          </w:p>
        </w:tc>
      </w:tr>
      <w:tr w:rsidR="00824558" w14:paraId="43C34523"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E5AD55" w14:textId="63EF4939" w:rsidR="00824558" w:rsidRDefault="00824558">
            <w:pPr>
              <w:ind w:left="170"/>
            </w:pPr>
            <w:r>
              <w:t>Better Regulation Victoria</w:t>
            </w:r>
            <w:r w:rsidR="007942D1">
              <w:t>’</w:t>
            </w:r>
            <w:r>
              <w:t>s advice on Regulatory Impact Statements or Legislative Impact Assessments was timely, as assessed by departments</w:t>
            </w:r>
          </w:p>
        </w:tc>
        <w:tc>
          <w:tcPr>
            <w:tcW w:w="964" w:type="dxa"/>
            <w:tcBorders>
              <w:bottom w:val="single" w:sz="6" w:space="0" w:color="auto"/>
            </w:tcBorders>
          </w:tcPr>
          <w:p w14:paraId="0C37731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64711B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F7EB96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B9C435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4CF6786"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007494FA"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540382A" w14:textId="77777777" w:rsidR="00824558" w:rsidRDefault="00824558">
            <w:pPr>
              <w:ind w:left="170"/>
            </w:pPr>
            <w:r>
              <w:t>Briefings on key Australian Bureau of Statistics economic data on the day of release</w:t>
            </w:r>
          </w:p>
        </w:tc>
        <w:tc>
          <w:tcPr>
            <w:tcW w:w="964" w:type="dxa"/>
            <w:tcBorders>
              <w:bottom w:val="single" w:sz="6" w:space="0" w:color="auto"/>
            </w:tcBorders>
          </w:tcPr>
          <w:p w14:paraId="7BB7850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A77AC0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C1012E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FB26A9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AAFAC5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71E5E456" w14:textId="77777777" w:rsidTr="0008120C">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383F3D8" w14:textId="77777777" w:rsidR="00824558" w:rsidRDefault="00824558">
            <w:pPr>
              <w:ind w:left="170"/>
            </w:pPr>
            <w:r>
              <w:t>Regulation reviews completed by scheduled date</w:t>
            </w:r>
          </w:p>
        </w:tc>
        <w:tc>
          <w:tcPr>
            <w:tcW w:w="964" w:type="dxa"/>
            <w:tcBorders>
              <w:bottom w:val="single" w:sz="6" w:space="0" w:color="auto"/>
            </w:tcBorders>
          </w:tcPr>
          <w:p w14:paraId="482E61B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66769F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858AE4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D229E3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41C048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1C2DDE" w14:paraId="0D81685F"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Pr>
          <w:p w14:paraId="1B75B3DA" w14:textId="77777777" w:rsidR="00824558" w:rsidRPr="001C2DDE" w:rsidRDefault="00824558">
            <w:pPr>
              <w:keepNext/>
              <w:rPr>
                <w:b/>
                <w:bCs/>
                <w:iCs/>
              </w:rPr>
            </w:pPr>
            <w:r w:rsidRPr="001C2DDE">
              <w:rPr>
                <w:b/>
                <w:bCs/>
                <w:iCs/>
              </w:rPr>
              <w:t>Cost</w:t>
            </w:r>
          </w:p>
        </w:tc>
      </w:tr>
      <w:tr w:rsidR="0008120C" w14:paraId="5421E9BF" w14:textId="77777777" w:rsidTr="0008120C">
        <w:tc>
          <w:tcPr>
            <w:cnfStyle w:val="001000000000" w:firstRow="0" w:lastRow="0" w:firstColumn="1" w:lastColumn="0" w:oddVBand="0" w:evenVBand="0" w:oddHBand="0" w:evenHBand="0" w:firstRowFirstColumn="0" w:firstRowLastColumn="0" w:lastRowFirstColumn="0" w:lastRowLastColumn="0"/>
            <w:tcW w:w="4819" w:type="dxa"/>
          </w:tcPr>
          <w:p w14:paraId="388DC480" w14:textId="77777777" w:rsidR="0008120C" w:rsidRDefault="0008120C" w:rsidP="0008120C">
            <w:pPr>
              <w:keepNext/>
              <w:ind w:left="170"/>
            </w:pPr>
            <w:r>
              <w:t>Total output cost</w:t>
            </w:r>
          </w:p>
        </w:tc>
        <w:tc>
          <w:tcPr>
            <w:tcW w:w="964" w:type="dxa"/>
          </w:tcPr>
          <w:p w14:paraId="31B840FC" w14:textId="77777777" w:rsidR="0008120C" w:rsidRDefault="0008120C" w:rsidP="0008120C">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4A1DF43" w14:textId="656A9382" w:rsidR="0008120C" w:rsidRPr="001C2DDE" w:rsidRDefault="0008120C" w:rsidP="0008120C">
            <w:pPr>
              <w:cnfStyle w:val="000000000000" w:firstRow="0" w:lastRow="0" w:firstColumn="0" w:lastColumn="0" w:oddVBand="0" w:evenVBand="0" w:oddHBand="0" w:evenHBand="0" w:firstRowFirstColumn="0" w:firstRowLastColumn="0" w:lastRowFirstColumn="0" w:lastRowLastColumn="0"/>
              <w:rPr>
                <w:highlight w:val="yellow"/>
              </w:rPr>
            </w:pPr>
            <w:r>
              <w:t>70.4</w:t>
            </w:r>
          </w:p>
        </w:tc>
        <w:tc>
          <w:tcPr>
            <w:tcW w:w="964" w:type="dxa"/>
          </w:tcPr>
          <w:p w14:paraId="50FECD67" w14:textId="3EA94976" w:rsidR="0008120C" w:rsidRDefault="0008120C" w:rsidP="0008120C">
            <w:pPr>
              <w:cnfStyle w:val="000000000000" w:firstRow="0" w:lastRow="0" w:firstColumn="0" w:lastColumn="0" w:oddVBand="0" w:evenVBand="0" w:oddHBand="0" w:evenHBand="0" w:firstRowFirstColumn="0" w:firstRowLastColumn="0" w:lastRowFirstColumn="0" w:lastRowLastColumn="0"/>
            </w:pPr>
            <w:r>
              <w:t>76.2</w:t>
            </w:r>
          </w:p>
        </w:tc>
        <w:tc>
          <w:tcPr>
            <w:tcW w:w="964" w:type="dxa"/>
          </w:tcPr>
          <w:p w14:paraId="5A1ACDDF" w14:textId="77777777" w:rsidR="0008120C" w:rsidRDefault="0008120C" w:rsidP="0008120C">
            <w:pPr>
              <w:cnfStyle w:val="000000000000" w:firstRow="0" w:lastRow="0" w:firstColumn="0" w:lastColumn="0" w:oddVBand="0" w:evenVBand="0" w:oddHBand="0" w:evenHBand="0" w:firstRowFirstColumn="0" w:firstRowLastColumn="0" w:lastRowFirstColumn="0" w:lastRowLastColumn="0"/>
            </w:pPr>
            <w:r>
              <w:t>81.4</w:t>
            </w:r>
          </w:p>
        </w:tc>
        <w:tc>
          <w:tcPr>
            <w:tcW w:w="964" w:type="dxa"/>
          </w:tcPr>
          <w:p w14:paraId="5158BB9A" w14:textId="125F3556" w:rsidR="0008120C" w:rsidRDefault="0008120C" w:rsidP="0008120C">
            <w:pPr>
              <w:cnfStyle w:val="000000000000" w:firstRow="0" w:lastRow="0" w:firstColumn="0" w:lastColumn="0" w:oddVBand="0" w:evenVBand="0" w:oddHBand="0" w:evenHBand="0" w:firstRowFirstColumn="0" w:firstRowLastColumn="0" w:lastRowFirstColumn="0" w:lastRowLastColumn="0"/>
            </w:pPr>
            <w:r>
              <w:t>60.8</w:t>
            </w:r>
          </w:p>
        </w:tc>
      </w:tr>
      <w:tr w:rsidR="00824558" w14:paraId="10F7DAC7"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Pr>
          <w:p w14:paraId="34112652" w14:textId="56DCCB13" w:rsidR="00824558" w:rsidRPr="004213EA" w:rsidRDefault="000F4143" w:rsidP="004213EA">
            <w:pPr>
              <w:ind w:left="170"/>
              <w:rPr>
                <w:i/>
              </w:rPr>
            </w:pPr>
            <w:r w:rsidRPr="00CE4FB4">
              <w:rPr>
                <w:i/>
              </w:rPr>
              <w:t xml:space="preserve">The 2025-26 expected outcome is lower </w:t>
            </w:r>
            <w:r>
              <w:rPr>
                <w:i/>
              </w:rPr>
              <w:t xml:space="preserve">than the 2025-26 target </w:t>
            </w:r>
            <w:r w:rsidRPr="00CE4FB4">
              <w:rPr>
                <w:i/>
              </w:rPr>
              <w:t>primarily due to funding rephases into future years for various projects such as Halving the number of regulators by 2030, and the transfer of part of the funding from the Business Acceleration Fund to the Department of Jobs, Skills, Industry and Regions. This is partly offset by funding carried over from the prior year and funding released from contingency.</w:t>
            </w:r>
          </w:p>
        </w:tc>
      </w:tr>
      <w:tr w:rsidR="0008120C" w14:paraId="08CE8D6E" w14:textId="77777777" w:rsidTr="0008120C">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7CFC53D" w14:textId="5DF70084" w:rsidR="0008120C" w:rsidRDefault="004213EA">
            <w:pPr>
              <w:ind w:left="170"/>
              <w:rPr>
                <w:i/>
              </w:rPr>
            </w:pPr>
            <w:r w:rsidRPr="73E08E62">
              <w:rPr>
                <w:i/>
                <w:iCs/>
              </w:rPr>
              <w:t xml:space="preserve">The lower 2026-27 target mainly reflects </w:t>
            </w:r>
            <w:r w:rsidR="00AB0345">
              <w:rPr>
                <w:i/>
                <w:iCs/>
              </w:rPr>
              <w:t>a</w:t>
            </w:r>
            <w:r w:rsidRPr="73E08E62">
              <w:rPr>
                <w:i/>
                <w:iCs/>
              </w:rPr>
              <w:t xml:space="preserve"> tapering down of initiatives as they reach their conclusion, as well as the estimated share of the savings from the Independent Review of the Victorian Public Service. This is partly offset by funding rephased from the prior year to 2026-27.</w:t>
            </w:r>
          </w:p>
        </w:tc>
      </w:tr>
    </w:tbl>
    <w:p w14:paraId="0F90C69C" w14:textId="77777777" w:rsidR="00824558" w:rsidRDefault="00824558">
      <w:pPr>
        <w:pStyle w:val="Source"/>
      </w:pPr>
      <w:r>
        <w:t>Source: Department of Treasury and Finance</w:t>
      </w:r>
    </w:p>
    <w:p w14:paraId="401FF8A2" w14:textId="149A306A" w:rsidR="00824558" w:rsidRDefault="00824558">
      <w:pPr>
        <w:pStyle w:val="Heading3"/>
      </w:pPr>
      <w:r>
        <w:t>Economic Regulatory Services</w:t>
      </w:r>
      <w:r>
        <w:tab/>
        <w:t xml:space="preserve">(2026-27: </w:t>
      </w:r>
      <w:r w:rsidRPr="008F6889">
        <w:t>$</w:t>
      </w:r>
      <w:r w:rsidR="008F6889" w:rsidRPr="008F6889">
        <w:t>6.</w:t>
      </w:r>
      <w:r w:rsidR="008F6889">
        <w:t xml:space="preserve">3 </w:t>
      </w:r>
      <w:r>
        <w:t>million)</w:t>
      </w:r>
    </w:p>
    <w:p w14:paraId="25922DE7" w14:textId="3772DB4A" w:rsidR="00824558" w:rsidRPr="00286FEF" w:rsidRDefault="00824558">
      <w:pPr>
        <w:keepNext/>
        <w:spacing w:after="120"/>
      </w:pPr>
      <w:r w:rsidRPr="00D71BC7">
        <w:t>This output provides economic regulation of utilities and other specified markets in Victoria to protect the long</w:t>
      </w:r>
      <w:r>
        <w:noBreakHyphen/>
      </w:r>
      <w:r w:rsidRPr="00D71BC7">
        <w:t xml:space="preserve">term interests of Victorian consumers with regard to price, quality, reliability and efficiency of essential services. By providing these services, this output contributes to the </w:t>
      </w:r>
      <w:r>
        <w:t>d</w:t>
      </w:r>
      <w:r w:rsidRPr="00D71BC7">
        <w:t>epartmental objective to strengthen Victoria</w:t>
      </w:r>
      <w:r w:rsidR="007942D1">
        <w:t>’</w:t>
      </w:r>
      <w:r w:rsidRPr="00D71BC7">
        <w:t>s economic performance.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3A774B90" w14:textId="77777777" w:rsidTr="00C947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3F7C298" w14:textId="77777777" w:rsidR="00824558" w:rsidRDefault="00824558">
            <w:r>
              <w:t>Performance measure</w:t>
            </w:r>
          </w:p>
        </w:tc>
        <w:tc>
          <w:tcPr>
            <w:tcW w:w="964" w:type="dxa"/>
          </w:tcPr>
          <w:p w14:paraId="02F12C98"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794881E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DAD88F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56B4B4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034F3B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1C2DDE" w14:paraId="01CF0465"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Pr>
          <w:p w14:paraId="0D9AAC41" w14:textId="77777777" w:rsidR="00824558" w:rsidRPr="001C2DDE" w:rsidRDefault="00824558">
            <w:pPr>
              <w:keepNext/>
              <w:rPr>
                <w:b/>
                <w:bCs/>
                <w:iCs/>
              </w:rPr>
            </w:pPr>
            <w:r w:rsidRPr="001C2DDE">
              <w:rPr>
                <w:b/>
                <w:bCs/>
                <w:iCs/>
              </w:rPr>
              <w:t>Quantity</w:t>
            </w:r>
          </w:p>
        </w:tc>
      </w:tr>
      <w:tr w:rsidR="00824558" w14:paraId="3F21EA07" w14:textId="77777777" w:rsidTr="00C947E7">
        <w:tc>
          <w:tcPr>
            <w:cnfStyle w:val="001000000000" w:firstRow="0" w:lastRow="0" w:firstColumn="1" w:lastColumn="0" w:oddVBand="0" w:evenVBand="0" w:oddHBand="0" w:evenHBand="0" w:firstRowFirstColumn="0" w:firstRowLastColumn="0" w:lastRowFirstColumn="0" w:lastRowLastColumn="0"/>
            <w:tcW w:w="4819" w:type="dxa"/>
          </w:tcPr>
          <w:p w14:paraId="7DE854CE" w14:textId="77777777" w:rsidR="00824558" w:rsidRDefault="00824558">
            <w:pPr>
              <w:keepNext/>
              <w:ind w:left="170"/>
            </w:pPr>
            <w:r>
              <w:t>Compliance and enforcement activities – Energy</w:t>
            </w:r>
          </w:p>
        </w:tc>
        <w:tc>
          <w:tcPr>
            <w:tcW w:w="964" w:type="dxa"/>
          </w:tcPr>
          <w:p w14:paraId="550A52E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81C5B31"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42E31B67" w14:textId="1D5BB7B2" w:rsidR="00824558" w:rsidRDefault="00824558">
            <w:pPr>
              <w:cnfStyle w:val="000000000000" w:firstRow="0" w:lastRow="0" w:firstColumn="0" w:lastColumn="0" w:oddVBand="0" w:evenVBand="0" w:oddHBand="0" w:evenHBand="0" w:firstRowFirstColumn="0" w:firstRowLastColumn="0" w:lastRowFirstColumn="0" w:lastRowLastColumn="0"/>
            </w:pPr>
            <w:r>
              <w:t>&gt;</w:t>
            </w:r>
            <w:r w:rsidR="001E77BA">
              <w:t xml:space="preserve"> </w:t>
            </w:r>
            <w:r>
              <w:t>250</w:t>
            </w:r>
          </w:p>
        </w:tc>
        <w:tc>
          <w:tcPr>
            <w:tcW w:w="964" w:type="dxa"/>
          </w:tcPr>
          <w:p w14:paraId="1D9F0587" w14:textId="77777777" w:rsidR="00824558" w:rsidRDefault="00824558">
            <w:pPr>
              <w:cnfStyle w:val="000000000000" w:firstRow="0" w:lastRow="0" w:firstColumn="0" w:lastColumn="0" w:oddVBand="0" w:evenVBand="0" w:oddHBand="0" w:evenHBand="0" w:firstRowFirstColumn="0" w:firstRowLastColumn="0" w:lastRowFirstColumn="0" w:lastRowLastColumn="0"/>
            </w:pPr>
            <w:r>
              <w:t>150</w:t>
            </w:r>
          </w:p>
        </w:tc>
        <w:tc>
          <w:tcPr>
            <w:tcW w:w="964" w:type="dxa"/>
          </w:tcPr>
          <w:p w14:paraId="78A3CDFA" w14:textId="77777777" w:rsidR="00824558" w:rsidRDefault="00824558">
            <w:pPr>
              <w:cnfStyle w:val="000000000000" w:firstRow="0" w:lastRow="0" w:firstColumn="0" w:lastColumn="0" w:oddVBand="0" w:evenVBand="0" w:oddHBand="0" w:evenHBand="0" w:firstRowFirstColumn="0" w:firstRowLastColumn="0" w:lastRowFirstColumn="0" w:lastRowLastColumn="0"/>
            </w:pPr>
            <w:r>
              <w:t>208</w:t>
            </w:r>
          </w:p>
        </w:tc>
      </w:tr>
      <w:tr w:rsidR="00824558" w14:paraId="322A3834"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31BF247" w14:textId="378ECDF4" w:rsidR="00824558" w:rsidRDefault="00824558">
            <w:pPr>
              <w:ind w:left="170"/>
            </w:pPr>
            <w:r>
              <w:rPr>
                <w:i/>
              </w:rPr>
              <w:t>The 2025-26 expected outcome is higher than the 2025-26 target as the target was modelled on previous years</w:t>
            </w:r>
            <w:r w:rsidR="007942D1">
              <w:rPr>
                <w:i/>
              </w:rPr>
              <w:t>’</w:t>
            </w:r>
            <w:r>
              <w:rPr>
                <w:i/>
              </w:rPr>
              <w:t xml:space="preserve"> outcomes. Since then, the Essential Services Commission (ESC) has placed a stronger focus on program integrity, supported by strengthened enforcement capability and a deliberate emphasis on compliance outcomes. </w:t>
            </w:r>
          </w:p>
        </w:tc>
      </w:tr>
      <w:tr w:rsidR="00824558" w14:paraId="36A3175F" w14:textId="77777777" w:rsidTr="00C947E7">
        <w:tc>
          <w:tcPr>
            <w:cnfStyle w:val="001000000000" w:firstRow="0" w:lastRow="0" w:firstColumn="1" w:lastColumn="0" w:oddVBand="0" w:evenVBand="0" w:oddHBand="0" w:evenHBand="0" w:firstRowFirstColumn="0" w:firstRowLastColumn="0" w:lastRowFirstColumn="0" w:lastRowLastColumn="0"/>
            <w:tcW w:w="4819" w:type="dxa"/>
          </w:tcPr>
          <w:p w14:paraId="18BAF564" w14:textId="77777777" w:rsidR="00824558" w:rsidRDefault="00824558">
            <w:pPr>
              <w:keepNext/>
              <w:ind w:left="170"/>
            </w:pPr>
            <w:r>
              <w:t>Compliance and enforcement activities – Victorian Energy Upgrades</w:t>
            </w:r>
          </w:p>
        </w:tc>
        <w:tc>
          <w:tcPr>
            <w:tcW w:w="964" w:type="dxa"/>
          </w:tcPr>
          <w:p w14:paraId="5764B04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CCB816A"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36308F62" w14:textId="62A2D764" w:rsidR="00824558" w:rsidRDefault="00824558">
            <w:pPr>
              <w:cnfStyle w:val="000000000000" w:firstRow="0" w:lastRow="0" w:firstColumn="0" w:lastColumn="0" w:oddVBand="0" w:evenVBand="0" w:oddHBand="0" w:evenHBand="0" w:firstRowFirstColumn="0" w:firstRowLastColumn="0" w:lastRowFirstColumn="0" w:lastRowLastColumn="0"/>
            </w:pPr>
            <w:r>
              <w:t>&gt;</w:t>
            </w:r>
            <w:r w:rsidR="001E77BA">
              <w:t xml:space="preserve"> </w:t>
            </w:r>
            <w:r>
              <w:t>1 000</w:t>
            </w:r>
          </w:p>
        </w:tc>
        <w:tc>
          <w:tcPr>
            <w:tcW w:w="964" w:type="dxa"/>
          </w:tcPr>
          <w:p w14:paraId="7FF96E33"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1F05A54C" w14:textId="77777777" w:rsidR="00824558" w:rsidRDefault="00824558">
            <w:pPr>
              <w:cnfStyle w:val="000000000000" w:firstRow="0" w:lastRow="0" w:firstColumn="0" w:lastColumn="0" w:oddVBand="0" w:evenVBand="0" w:oddHBand="0" w:evenHBand="0" w:firstRowFirstColumn="0" w:firstRowLastColumn="0" w:lastRowFirstColumn="0" w:lastRowLastColumn="0"/>
            </w:pPr>
            <w:r>
              <w:t>226</w:t>
            </w:r>
          </w:p>
        </w:tc>
      </w:tr>
      <w:tr w:rsidR="00824558" w14:paraId="6F5485D7"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C46B49" w14:textId="4F248FED"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as the target was modelled on previous years</w:t>
            </w:r>
            <w:r w:rsidR="007942D1">
              <w:rPr>
                <w:i/>
              </w:rPr>
              <w:t>’</w:t>
            </w:r>
            <w:r>
              <w:rPr>
                <w:i/>
              </w:rPr>
              <w:t xml:space="preserve"> outcomes. Since then, the ESC has placed a stronger focus on program integrity, supported by strengthened enforcement capability and a deliberate emphasis on compliance outcomes. </w:t>
            </w:r>
          </w:p>
        </w:tc>
      </w:tr>
      <w:tr w:rsidR="00824558" w14:paraId="7965B24A" w14:textId="77777777" w:rsidTr="00C947E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89F7D66" w14:textId="77777777" w:rsidR="00824558" w:rsidRDefault="00824558">
            <w:pPr>
              <w:ind w:left="170"/>
            </w:pPr>
            <w:r>
              <w:t>Performance and compliance reports issued about regulated industries</w:t>
            </w:r>
          </w:p>
        </w:tc>
        <w:tc>
          <w:tcPr>
            <w:tcW w:w="964" w:type="dxa"/>
            <w:tcBorders>
              <w:bottom w:val="single" w:sz="6" w:space="0" w:color="auto"/>
            </w:tcBorders>
          </w:tcPr>
          <w:p w14:paraId="399A61E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2ABEA48"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4847D1E7"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064C6D9A"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3D1568E3"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r>
      <w:tr w:rsidR="00824558" w14:paraId="4D317D50" w14:textId="77777777" w:rsidTr="00C947E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75BB51" w14:textId="77777777" w:rsidR="00824558" w:rsidRDefault="00824558">
            <w:pPr>
              <w:ind w:left="170"/>
            </w:pPr>
            <w:r>
              <w:t>Price determinations of regulated businesses</w:t>
            </w:r>
          </w:p>
        </w:tc>
        <w:tc>
          <w:tcPr>
            <w:tcW w:w="964" w:type="dxa"/>
            <w:tcBorders>
              <w:bottom w:val="single" w:sz="6" w:space="0" w:color="auto"/>
            </w:tcBorders>
          </w:tcPr>
          <w:p w14:paraId="389FE4C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9184B4E" w14:textId="388AA2A4" w:rsidR="00824558" w:rsidRDefault="00824558">
            <w:pPr>
              <w:cnfStyle w:val="000000000000" w:firstRow="0" w:lastRow="0" w:firstColumn="0" w:lastColumn="0" w:oddVBand="0" w:evenVBand="0" w:oddHBand="0" w:evenHBand="0" w:firstRowFirstColumn="0" w:firstRowLastColumn="0" w:lastRowFirstColumn="0" w:lastRowLastColumn="0"/>
            </w:pPr>
            <w:r>
              <w:t>18</w:t>
            </w:r>
            <w:r w:rsidR="001E77BA">
              <w:t xml:space="preserve"> – </w:t>
            </w:r>
            <w:r>
              <w:t>21</w:t>
            </w:r>
          </w:p>
        </w:tc>
        <w:tc>
          <w:tcPr>
            <w:tcW w:w="964" w:type="dxa"/>
            <w:tcBorders>
              <w:bottom w:val="single" w:sz="6" w:space="0" w:color="auto"/>
            </w:tcBorders>
          </w:tcPr>
          <w:p w14:paraId="640DE532" w14:textId="77777777" w:rsidR="00824558" w:rsidRDefault="00824558">
            <w:pPr>
              <w:cnfStyle w:val="000000000000" w:firstRow="0" w:lastRow="0" w:firstColumn="0" w:lastColumn="0" w:oddVBand="0" w:evenVBand="0" w:oddHBand="0" w:evenHBand="0" w:firstRowFirstColumn="0" w:firstRowLastColumn="0" w:lastRowFirstColumn="0" w:lastRowLastColumn="0"/>
            </w:pPr>
            <w:r>
              <w:t>19</w:t>
            </w:r>
          </w:p>
        </w:tc>
        <w:tc>
          <w:tcPr>
            <w:tcW w:w="964" w:type="dxa"/>
            <w:tcBorders>
              <w:bottom w:val="single" w:sz="6" w:space="0" w:color="auto"/>
            </w:tcBorders>
          </w:tcPr>
          <w:p w14:paraId="041EA4A8" w14:textId="28BC142D" w:rsidR="00824558" w:rsidRDefault="00824558">
            <w:pPr>
              <w:cnfStyle w:val="000000000000" w:firstRow="0" w:lastRow="0" w:firstColumn="0" w:lastColumn="0" w:oddVBand="0" w:evenVBand="0" w:oddHBand="0" w:evenHBand="0" w:firstRowFirstColumn="0" w:firstRowLastColumn="0" w:lastRowFirstColumn="0" w:lastRowLastColumn="0"/>
            </w:pPr>
            <w:r>
              <w:t>18</w:t>
            </w:r>
            <w:r w:rsidR="001E77BA">
              <w:t xml:space="preserve"> – </w:t>
            </w:r>
            <w:r>
              <w:t>21</w:t>
            </w:r>
          </w:p>
        </w:tc>
        <w:tc>
          <w:tcPr>
            <w:tcW w:w="964" w:type="dxa"/>
            <w:tcBorders>
              <w:bottom w:val="single" w:sz="6" w:space="0" w:color="auto"/>
            </w:tcBorders>
          </w:tcPr>
          <w:p w14:paraId="269F6D51"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r>
      <w:tr w:rsidR="00824558" w14:paraId="5EFC8D97" w14:textId="77777777" w:rsidTr="00C947E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EA14B70" w14:textId="77777777" w:rsidR="00824558" w:rsidRDefault="00824558">
            <w:pPr>
              <w:ind w:left="170"/>
            </w:pPr>
            <w:r>
              <w:t>Setting of regulated price and tariffs in the energy sector</w:t>
            </w:r>
          </w:p>
        </w:tc>
        <w:tc>
          <w:tcPr>
            <w:tcW w:w="964" w:type="dxa"/>
            <w:tcBorders>
              <w:bottom w:val="single" w:sz="6" w:space="0" w:color="auto"/>
            </w:tcBorders>
          </w:tcPr>
          <w:p w14:paraId="0CD7FEA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551F768"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Borders>
              <w:bottom w:val="single" w:sz="6" w:space="0" w:color="auto"/>
            </w:tcBorders>
          </w:tcPr>
          <w:p w14:paraId="448D3257"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Borders>
              <w:bottom w:val="single" w:sz="6" w:space="0" w:color="auto"/>
            </w:tcBorders>
          </w:tcPr>
          <w:p w14:paraId="77D0FA1C" w14:textId="77777777" w:rsidR="00824558" w:rsidRDefault="00824558">
            <w:pPr>
              <w:cnfStyle w:val="000000000000" w:firstRow="0" w:lastRow="0" w:firstColumn="0" w:lastColumn="0" w:oddVBand="0" w:evenVBand="0" w:oddHBand="0" w:evenHBand="0" w:firstRowFirstColumn="0" w:firstRowLastColumn="0" w:lastRowFirstColumn="0" w:lastRowLastColumn="0"/>
            </w:pPr>
            <w:r>
              <w:t>15</w:t>
            </w:r>
          </w:p>
        </w:tc>
        <w:tc>
          <w:tcPr>
            <w:tcW w:w="964" w:type="dxa"/>
            <w:tcBorders>
              <w:bottom w:val="single" w:sz="6" w:space="0" w:color="auto"/>
            </w:tcBorders>
          </w:tcPr>
          <w:p w14:paraId="27180174" w14:textId="77777777" w:rsidR="00824558" w:rsidRDefault="00824558">
            <w:pPr>
              <w:cnfStyle w:val="000000000000" w:firstRow="0" w:lastRow="0" w:firstColumn="0" w:lastColumn="0" w:oddVBand="0" w:evenVBand="0" w:oddHBand="0" w:evenHBand="0" w:firstRowFirstColumn="0" w:firstRowLastColumn="0" w:lastRowFirstColumn="0" w:lastRowLastColumn="0"/>
            </w:pPr>
            <w:r>
              <w:t>16</w:t>
            </w:r>
          </w:p>
        </w:tc>
      </w:tr>
      <w:tr w:rsidR="00824558" w14:paraId="2555EC94" w14:textId="77777777" w:rsidTr="00C947E7">
        <w:tc>
          <w:tcPr>
            <w:cnfStyle w:val="001000000000" w:firstRow="0" w:lastRow="0" w:firstColumn="1" w:lastColumn="0" w:oddVBand="0" w:evenVBand="0" w:oddHBand="0" w:evenHBand="0" w:firstRowFirstColumn="0" w:firstRowLastColumn="0" w:lastRowFirstColumn="0" w:lastRowLastColumn="0"/>
            <w:tcW w:w="4819" w:type="dxa"/>
          </w:tcPr>
          <w:p w14:paraId="19D0BA84" w14:textId="77777777" w:rsidR="00824558" w:rsidRDefault="00824558">
            <w:pPr>
              <w:keepNext/>
              <w:ind w:left="170"/>
            </w:pPr>
            <w:r>
              <w:t>Victorian Energy Upgrades program approvals and refusals</w:t>
            </w:r>
          </w:p>
        </w:tc>
        <w:tc>
          <w:tcPr>
            <w:tcW w:w="964" w:type="dxa"/>
          </w:tcPr>
          <w:p w14:paraId="7790199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E31B1AE" w14:textId="77777777" w:rsidR="00824558" w:rsidRDefault="00824558">
            <w:pPr>
              <w:cnfStyle w:val="000000000000" w:firstRow="0" w:lastRow="0" w:firstColumn="0" w:lastColumn="0" w:oddVBand="0" w:evenVBand="0" w:oddHBand="0" w:evenHBand="0" w:firstRowFirstColumn="0" w:firstRowLastColumn="0" w:lastRowFirstColumn="0" w:lastRowLastColumn="0"/>
            </w:pPr>
            <w:r>
              <w:t>1 100</w:t>
            </w:r>
          </w:p>
        </w:tc>
        <w:tc>
          <w:tcPr>
            <w:tcW w:w="964" w:type="dxa"/>
          </w:tcPr>
          <w:p w14:paraId="037A5088" w14:textId="525EC57C" w:rsidR="00824558" w:rsidRDefault="00824558">
            <w:pPr>
              <w:cnfStyle w:val="000000000000" w:firstRow="0" w:lastRow="0" w:firstColumn="0" w:lastColumn="0" w:oddVBand="0" w:evenVBand="0" w:oddHBand="0" w:evenHBand="0" w:firstRowFirstColumn="0" w:firstRowLastColumn="0" w:lastRowFirstColumn="0" w:lastRowLastColumn="0"/>
            </w:pPr>
            <w:r>
              <w:t>&gt;</w:t>
            </w:r>
            <w:r w:rsidR="001E77BA">
              <w:t xml:space="preserve"> </w:t>
            </w:r>
            <w:r>
              <w:t>1 300</w:t>
            </w:r>
          </w:p>
        </w:tc>
        <w:tc>
          <w:tcPr>
            <w:tcW w:w="964" w:type="dxa"/>
          </w:tcPr>
          <w:p w14:paraId="06702FAD" w14:textId="77777777" w:rsidR="00824558" w:rsidRDefault="00824558">
            <w:pPr>
              <w:cnfStyle w:val="000000000000" w:firstRow="0" w:lastRow="0" w:firstColumn="0" w:lastColumn="0" w:oddVBand="0" w:evenVBand="0" w:oddHBand="0" w:evenHBand="0" w:firstRowFirstColumn="0" w:firstRowLastColumn="0" w:lastRowFirstColumn="0" w:lastRowLastColumn="0"/>
            </w:pPr>
            <w:r>
              <w:t>1 100</w:t>
            </w:r>
          </w:p>
        </w:tc>
        <w:tc>
          <w:tcPr>
            <w:tcW w:w="964" w:type="dxa"/>
          </w:tcPr>
          <w:p w14:paraId="18E1B127" w14:textId="77777777" w:rsidR="00824558" w:rsidRDefault="00824558">
            <w:pPr>
              <w:cnfStyle w:val="000000000000" w:firstRow="0" w:lastRow="0" w:firstColumn="0" w:lastColumn="0" w:oddVBand="0" w:evenVBand="0" w:oddHBand="0" w:evenHBand="0" w:firstRowFirstColumn="0" w:firstRowLastColumn="0" w:lastRowFirstColumn="0" w:lastRowLastColumn="0"/>
            </w:pPr>
            <w:r>
              <w:t>1 197</w:t>
            </w:r>
          </w:p>
        </w:tc>
      </w:tr>
      <w:tr w:rsidR="00824558" w14:paraId="78727E57"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C61A136" w14:textId="3BF5DBD1"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increased program activity and demand, along with a higher volume of applications requiring assessment</w:t>
            </w:r>
            <w:r w:rsidRPr="1C8F050B">
              <w:rPr>
                <w:i/>
                <w:iCs/>
              </w:rPr>
              <w:t xml:space="preserve"> and</w:t>
            </w:r>
            <w:r>
              <w:rPr>
                <w:i/>
              </w:rPr>
              <w:t xml:space="preserve"> strengthened integrity and assurance processes</w:t>
            </w:r>
            <w:r w:rsidRPr="1C8F050B">
              <w:rPr>
                <w:i/>
                <w:iCs/>
              </w:rPr>
              <w:t>.</w:t>
            </w:r>
            <w:r>
              <w:rPr>
                <w:i/>
              </w:rPr>
              <w:t xml:space="preserve"> </w:t>
            </w:r>
          </w:p>
        </w:tc>
      </w:tr>
      <w:tr w:rsidR="00824558" w:rsidRPr="001C2DDE" w14:paraId="67D73880"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Pr>
          <w:p w14:paraId="5B65B4D5" w14:textId="77777777" w:rsidR="00824558" w:rsidRPr="001C2DDE" w:rsidRDefault="00824558">
            <w:pPr>
              <w:keepNext/>
              <w:rPr>
                <w:b/>
                <w:bCs/>
                <w:iCs/>
              </w:rPr>
            </w:pPr>
            <w:r w:rsidRPr="001C2DDE">
              <w:rPr>
                <w:b/>
                <w:bCs/>
                <w:iCs/>
              </w:rPr>
              <w:t>Quality</w:t>
            </w:r>
          </w:p>
        </w:tc>
      </w:tr>
      <w:tr w:rsidR="00824558" w14:paraId="28CCA364" w14:textId="77777777" w:rsidTr="00C947E7">
        <w:tc>
          <w:tcPr>
            <w:cnfStyle w:val="001000000000" w:firstRow="0" w:lastRow="0" w:firstColumn="1" w:lastColumn="0" w:oddVBand="0" w:evenVBand="0" w:oddHBand="0" w:evenHBand="0" w:firstRowFirstColumn="0" w:firstRowLastColumn="0" w:lastRowFirstColumn="0" w:lastRowLastColumn="0"/>
            <w:tcW w:w="4819" w:type="dxa"/>
          </w:tcPr>
          <w:p w14:paraId="469F80A2" w14:textId="77777777" w:rsidR="00824558" w:rsidRDefault="00824558">
            <w:pPr>
              <w:keepNext/>
              <w:ind w:left="170"/>
            </w:pPr>
            <w:r>
              <w:t>Stakeholder Perceptions Survey</w:t>
            </w:r>
          </w:p>
        </w:tc>
        <w:tc>
          <w:tcPr>
            <w:tcW w:w="964" w:type="dxa"/>
          </w:tcPr>
          <w:p w14:paraId="7016A38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F8CB30F" w14:textId="18CAF64C" w:rsidR="00824558" w:rsidRDefault="00824558">
            <w:pPr>
              <w:cnfStyle w:val="000000000000" w:firstRow="0" w:lastRow="0" w:firstColumn="0" w:lastColumn="0" w:oddVBand="0" w:evenVBand="0" w:oddHBand="0" w:evenHBand="0" w:firstRowFirstColumn="0" w:firstRowLastColumn="0" w:lastRowFirstColumn="0" w:lastRowLastColumn="0"/>
            </w:pPr>
            <w:r>
              <w:t>≥</w:t>
            </w:r>
            <w:r w:rsidR="001E77BA">
              <w:t xml:space="preserve"> </w:t>
            </w:r>
            <w:r>
              <w:t>65</w:t>
            </w:r>
          </w:p>
        </w:tc>
        <w:tc>
          <w:tcPr>
            <w:tcW w:w="964" w:type="dxa"/>
          </w:tcPr>
          <w:p w14:paraId="43BE1CB1"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c>
          <w:tcPr>
            <w:tcW w:w="964" w:type="dxa"/>
          </w:tcPr>
          <w:p w14:paraId="6F5F8EC2" w14:textId="3D5789B1" w:rsidR="00824558" w:rsidRDefault="00824558">
            <w:pPr>
              <w:cnfStyle w:val="000000000000" w:firstRow="0" w:lastRow="0" w:firstColumn="0" w:lastColumn="0" w:oddVBand="0" w:evenVBand="0" w:oddHBand="0" w:evenHBand="0" w:firstRowFirstColumn="0" w:firstRowLastColumn="0" w:lastRowFirstColumn="0" w:lastRowLastColumn="0"/>
            </w:pPr>
            <w:r>
              <w:t>≥</w:t>
            </w:r>
            <w:r w:rsidR="001E77BA">
              <w:t xml:space="preserve"> </w:t>
            </w:r>
            <w:r>
              <w:t>65</w:t>
            </w:r>
          </w:p>
        </w:tc>
        <w:tc>
          <w:tcPr>
            <w:tcW w:w="964" w:type="dxa"/>
          </w:tcPr>
          <w:p w14:paraId="3FF4AE39" w14:textId="77777777" w:rsidR="00824558" w:rsidRDefault="00824558">
            <w:pPr>
              <w:cnfStyle w:val="000000000000" w:firstRow="0" w:lastRow="0" w:firstColumn="0" w:lastColumn="0" w:oddVBand="0" w:evenVBand="0" w:oddHBand="0" w:evenHBand="0" w:firstRowFirstColumn="0" w:firstRowLastColumn="0" w:lastRowFirstColumn="0" w:lastRowLastColumn="0"/>
            </w:pPr>
            <w:r>
              <w:t>68</w:t>
            </w:r>
          </w:p>
        </w:tc>
      </w:tr>
      <w:tr w:rsidR="00824558" w14:paraId="4B7C0FE5"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DA4EF45" w14:textId="7E223E79"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a rise in stakeholder satisfaction with the ESC</w:t>
            </w:r>
            <w:r w:rsidR="007942D1">
              <w:rPr>
                <w:i/>
              </w:rPr>
              <w:t>’</w:t>
            </w:r>
            <w:r>
              <w:rPr>
                <w:i/>
              </w:rPr>
              <w:t xml:space="preserve">s performance as a regulator. </w:t>
            </w:r>
          </w:p>
        </w:tc>
      </w:tr>
      <w:tr w:rsidR="00824558" w:rsidRPr="001C2DDE" w14:paraId="0730148A"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Pr>
          <w:p w14:paraId="717A9842" w14:textId="77777777" w:rsidR="00824558" w:rsidRPr="001C2DDE" w:rsidRDefault="00824558">
            <w:pPr>
              <w:keepNext/>
              <w:rPr>
                <w:b/>
                <w:bCs/>
                <w:iCs/>
              </w:rPr>
            </w:pPr>
            <w:r w:rsidRPr="001C2DDE">
              <w:rPr>
                <w:b/>
                <w:bCs/>
                <w:iCs/>
              </w:rPr>
              <w:t>Timeliness</w:t>
            </w:r>
          </w:p>
        </w:tc>
      </w:tr>
      <w:tr w:rsidR="00824558" w14:paraId="54B6D961" w14:textId="77777777" w:rsidTr="00C947E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90AFA6" w14:textId="77777777" w:rsidR="00824558" w:rsidRDefault="00824558">
            <w:pPr>
              <w:ind w:left="170"/>
            </w:pPr>
            <w:r>
              <w:t>Delivery of major milestones within agreed timelines</w:t>
            </w:r>
          </w:p>
        </w:tc>
        <w:tc>
          <w:tcPr>
            <w:tcW w:w="964" w:type="dxa"/>
            <w:tcBorders>
              <w:bottom w:val="single" w:sz="6" w:space="0" w:color="auto"/>
            </w:tcBorders>
          </w:tcPr>
          <w:p w14:paraId="7BAF520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FEA2DB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5E852E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CC0E25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EB945C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1C2DDE" w14:paraId="6F011759" w14:textId="77777777" w:rsidTr="00C947E7">
        <w:tc>
          <w:tcPr>
            <w:cnfStyle w:val="001000000000" w:firstRow="0" w:lastRow="0" w:firstColumn="1" w:lastColumn="0" w:oddVBand="0" w:evenVBand="0" w:oddHBand="0" w:evenHBand="0" w:firstRowFirstColumn="0" w:firstRowLastColumn="0" w:lastRowFirstColumn="0" w:lastRowLastColumn="0"/>
            <w:tcW w:w="9639" w:type="dxa"/>
            <w:gridSpan w:val="6"/>
          </w:tcPr>
          <w:p w14:paraId="05BE4245" w14:textId="77777777" w:rsidR="00824558" w:rsidRPr="001C2DDE" w:rsidRDefault="00824558">
            <w:pPr>
              <w:keepNext/>
              <w:rPr>
                <w:b/>
                <w:bCs/>
                <w:iCs/>
              </w:rPr>
            </w:pPr>
            <w:r w:rsidRPr="001C2DDE">
              <w:rPr>
                <w:b/>
                <w:bCs/>
                <w:iCs/>
              </w:rPr>
              <w:t>Cost</w:t>
            </w:r>
          </w:p>
        </w:tc>
      </w:tr>
      <w:tr w:rsidR="00C947E7" w14:paraId="2EB70028" w14:textId="77777777" w:rsidTr="00C947E7">
        <w:tc>
          <w:tcPr>
            <w:cnfStyle w:val="001000000000" w:firstRow="0" w:lastRow="0" w:firstColumn="1" w:lastColumn="0" w:oddVBand="0" w:evenVBand="0" w:oddHBand="0" w:evenHBand="0" w:firstRowFirstColumn="0" w:firstRowLastColumn="0" w:lastRowFirstColumn="0" w:lastRowLastColumn="0"/>
            <w:tcW w:w="4819" w:type="dxa"/>
          </w:tcPr>
          <w:p w14:paraId="17E999B6" w14:textId="77777777" w:rsidR="00C947E7" w:rsidRDefault="00C947E7" w:rsidP="00C947E7">
            <w:pPr>
              <w:ind w:left="170"/>
            </w:pPr>
            <w:r>
              <w:t>Total output cost</w:t>
            </w:r>
          </w:p>
        </w:tc>
        <w:tc>
          <w:tcPr>
            <w:tcW w:w="964" w:type="dxa"/>
          </w:tcPr>
          <w:p w14:paraId="77BA8FA4" w14:textId="77777777" w:rsidR="00C947E7" w:rsidRDefault="00C947E7" w:rsidP="00C947E7">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B256D14" w14:textId="0F45F6A9" w:rsidR="00C947E7" w:rsidRPr="001C2DDE" w:rsidRDefault="00C947E7" w:rsidP="00C947E7">
            <w:pPr>
              <w:cnfStyle w:val="000000000000" w:firstRow="0" w:lastRow="0" w:firstColumn="0" w:lastColumn="0" w:oddVBand="0" w:evenVBand="0" w:oddHBand="0" w:evenHBand="0" w:firstRowFirstColumn="0" w:firstRowLastColumn="0" w:lastRowFirstColumn="0" w:lastRowLastColumn="0"/>
              <w:rPr>
                <w:highlight w:val="yellow"/>
              </w:rPr>
            </w:pPr>
            <w:r>
              <w:t>6.3</w:t>
            </w:r>
          </w:p>
        </w:tc>
        <w:tc>
          <w:tcPr>
            <w:tcW w:w="964" w:type="dxa"/>
          </w:tcPr>
          <w:p w14:paraId="75D684AF" w14:textId="4D4E9B16" w:rsidR="00C947E7" w:rsidRDefault="00C947E7" w:rsidP="00C947E7">
            <w:pPr>
              <w:cnfStyle w:val="000000000000" w:firstRow="0" w:lastRow="0" w:firstColumn="0" w:lastColumn="0" w:oddVBand="0" w:evenVBand="0" w:oddHBand="0" w:evenHBand="0" w:firstRowFirstColumn="0" w:firstRowLastColumn="0" w:lastRowFirstColumn="0" w:lastRowLastColumn="0"/>
            </w:pPr>
            <w:r>
              <w:t>7.3</w:t>
            </w:r>
          </w:p>
        </w:tc>
        <w:tc>
          <w:tcPr>
            <w:tcW w:w="964" w:type="dxa"/>
          </w:tcPr>
          <w:p w14:paraId="41AD2768" w14:textId="77777777" w:rsidR="00C947E7" w:rsidRDefault="00C947E7" w:rsidP="00C947E7">
            <w:pPr>
              <w:cnfStyle w:val="000000000000" w:firstRow="0" w:lastRow="0" w:firstColumn="0" w:lastColumn="0" w:oddVBand="0" w:evenVBand="0" w:oddHBand="0" w:evenHBand="0" w:firstRowFirstColumn="0" w:firstRowLastColumn="0" w:lastRowFirstColumn="0" w:lastRowLastColumn="0"/>
            </w:pPr>
            <w:r>
              <w:t>6.9</w:t>
            </w:r>
          </w:p>
        </w:tc>
        <w:tc>
          <w:tcPr>
            <w:tcW w:w="964" w:type="dxa"/>
          </w:tcPr>
          <w:p w14:paraId="2ACDA81C" w14:textId="1598C0D5" w:rsidR="00C947E7" w:rsidRDefault="00C947E7" w:rsidP="00C947E7">
            <w:pPr>
              <w:cnfStyle w:val="000000000000" w:firstRow="0" w:lastRow="0" w:firstColumn="0" w:lastColumn="0" w:oddVBand="0" w:evenVBand="0" w:oddHBand="0" w:evenHBand="0" w:firstRowFirstColumn="0" w:firstRowLastColumn="0" w:lastRowFirstColumn="0" w:lastRowLastColumn="0"/>
            </w:pPr>
            <w:r>
              <w:t>10.2</w:t>
            </w:r>
          </w:p>
        </w:tc>
      </w:tr>
      <w:tr w:rsidR="00D1183E" w14:paraId="529508E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E1DA6CD" w14:textId="5B3356D7" w:rsidR="00D1183E" w:rsidRPr="00A604A6" w:rsidRDefault="00A604A6" w:rsidP="00A242A3">
            <w:pPr>
              <w:keepNext/>
              <w:ind w:left="170"/>
              <w:rPr>
                <w:i/>
              </w:rPr>
            </w:pPr>
            <w:r w:rsidRPr="00F93ED4">
              <w:rPr>
                <w:i/>
              </w:rPr>
              <w:t xml:space="preserve">The 2025-26 expected outcome is higher </w:t>
            </w:r>
            <w:r>
              <w:rPr>
                <w:i/>
              </w:rPr>
              <w:t xml:space="preserve">than the 2025-26 target, </w:t>
            </w:r>
            <w:r w:rsidRPr="00F93ED4">
              <w:rPr>
                <w:i/>
              </w:rPr>
              <w:t>mainly due to funding received to implement the Streamlining of regulation across essential services initiative.</w:t>
            </w:r>
          </w:p>
        </w:tc>
      </w:tr>
      <w:tr w:rsidR="00C947E7" w14:paraId="19FE6DD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440EE30" w14:textId="1B7402DB" w:rsidR="00C947E7" w:rsidRDefault="00D1183E" w:rsidP="00A604A6">
            <w:pPr>
              <w:ind w:left="170"/>
            </w:pPr>
            <w:r w:rsidRPr="00A604A6">
              <w:rPr>
                <w:i/>
              </w:rPr>
              <w:t xml:space="preserve">The lower 2026-27 target </w:t>
            </w:r>
            <w:r w:rsidR="00244768">
              <w:rPr>
                <w:i/>
              </w:rPr>
              <w:t>primarily</w:t>
            </w:r>
            <w:r w:rsidRPr="00A604A6">
              <w:rPr>
                <w:i/>
              </w:rPr>
              <w:t xml:space="preserve"> reflects lower grant funding from DTF.</w:t>
            </w:r>
          </w:p>
        </w:tc>
      </w:tr>
    </w:tbl>
    <w:p w14:paraId="3D8DCB09" w14:textId="77777777" w:rsidR="00824558" w:rsidRDefault="00824558">
      <w:pPr>
        <w:pStyle w:val="Source"/>
      </w:pPr>
      <w:r>
        <w:t>Source: Department of Treasury and Finance</w:t>
      </w:r>
    </w:p>
    <w:p w14:paraId="4FFE7914" w14:textId="77777777" w:rsidR="001E77BA" w:rsidRDefault="001E77BA">
      <w:pPr>
        <w:keepLines w:val="0"/>
        <w:rPr>
          <w:rFonts w:asciiTheme="majorHAnsi" w:hAnsiTheme="majorHAnsi" w:cstheme="minorBidi"/>
          <w:b/>
          <w:sz w:val="20"/>
        </w:rPr>
      </w:pPr>
    </w:p>
    <w:p w14:paraId="03B2DD35" w14:textId="77777777" w:rsidR="00824558" w:rsidRPr="00D71BC7" w:rsidRDefault="00824558" w:rsidP="001E77BA">
      <w:pPr>
        <w:pStyle w:val="ShadedBoxHeading"/>
      </w:pPr>
      <w:r w:rsidRPr="00D71BC7">
        <w:t>Objective 3: Improve how the Government manages its balance sheet, commercial activities and public sector infrastructure</w:t>
      </w:r>
    </w:p>
    <w:p w14:paraId="7FDCF1EC" w14:textId="30C4F500" w:rsidR="00824558" w:rsidRPr="00D71BC7" w:rsidRDefault="00824558">
      <w:pPr>
        <w:pStyle w:val="ShadedBoxText"/>
      </w:pPr>
      <w:r w:rsidRPr="00D71BC7">
        <w:t>Under this objective, the Department delivers Government</w:t>
      </w:r>
      <w:r w:rsidR="007942D1">
        <w:t>’</w:t>
      </w:r>
      <w:r w:rsidRPr="00D71BC7">
        <w:t>s policies focused on overseeing the State</w:t>
      </w:r>
      <w:r w:rsidR="007942D1">
        <w:t>’</w:t>
      </w:r>
      <w:r w:rsidRPr="00D71BC7">
        <w:t xml:space="preserve">s balance sheet, major infrastructure and Government Business Enterprises by the delivery and application of prudent financial and commercial principles and practices. </w:t>
      </w:r>
    </w:p>
    <w:p w14:paraId="5A39E95D" w14:textId="551A8135" w:rsidR="00824558" w:rsidRPr="00D71BC7" w:rsidRDefault="00824558">
      <w:pPr>
        <w:pStyle w:val="ShadedBoxText"/>
      </w:pPr>
      <w:r w:rsidRPr="00D71BC7">
        <w:t>The Department leads the development of strategic commercial and financial advice to Government to support key decisions regarding the State</w:t>
      </w:r>
      <w:r w:rsidR="007942D1">
        <w:t>’</w:t>
      </w:r>
      <w:r w:rsidRPr="00D71BC7">
        <w:t xml:space="preserve">s financial assets and liabilities and infrastructure investment to drive improvement in public sector commercial </w:t>
      </w:r>
      <w:r>
        <w:t xml:space="preserve">activities </w:t>
      </w:r>
      <w:r w:rsidRPr="00D71BC7">
        <w:t>and asset management and the delivery of infrastructure for the State of Victoria.</w:t>
      </w:r>
    </w:p>
    <w:p w14:paraId="7ABA6DB9" w14:textId="77777777" w:rsidR="00824558" w:rsidRPr="00D71BC7" w:rsidRDefault="00824558">
      <w:pPr>
        <w:pStyle w:val="ShadedBoxText"/>
      </w:pPr>
      <w:r w:rsidRPr="00D71BC7">
        <w:t>The departmental objective indicators are:</w:t>
      </w:r>
    </w:p>
    <w:p w14:paraId="5D104359" w14:textId="77777777" w:rsidR="00824558" w:rsidRPr="00D71BC7" w:rsidRDefault="00824558">
      <w:pPr>
        <w:pStyle w:val="ShadedBoxBullet"/>
        <w:contextualSpacing/>
      </w:pPr>
      <w:r w:rsidRPr="00D71BC7">
        <w:t>High</w:t>
      </w:r>
      <w:r>
        <w:t xml:space="preserve"> </w:t>
      </w:r>
      <w:r w:rsidRPr="00D71BC7">
        <w:t>Value High</w:t>
      </w:r>
      <w:r>
        <w:t xml:space="preserve"> </w:t>
      </w:r>
      <w:r w:rsidRPr="00D71BC7">
        <w:t>Risk (HVHR) projects have had risks identified and managed through tailored project assurance, policy advice, governance and oversight to increase the likelihood that projects are completed within agreed timeframes, budget and scope</w:t>
      </w:r>
    </w:p>
    <w:p w14:paraId="53F491F6" w14:textId="77777777" w:rsidR="00824558" w:rsidRPr="00D71BC7" w:rsidRDefault="00824558">
      <w:pPr>
        <w:pStyle w:val="ShadedBoxBullet"/>
        <w:contextualSpacing/>
      </w:pPr>
      <w:r w:rsidRPr="00D71BC7">
        <w:t>Government Business Enterprises performing against agreed financial and non</w:t>
      </w:r>
      <w:r w:rsidRPr="00D71BC7">
        <w:noBreakHyphen/>
        <w:t>financial indicators</w:t>
      </w:r>
    </w:p>
    <w:p w14:paraId="68906208" w14:textId="2CAC5149" w:rsidR="00824558" w:rsidRPr="00D71BC7" w:rsidRDefault="00824558">
      <w:pPr>
        <w:pStyle w:val="ShadedBoxBullet"/>
        <w:contextualSpacing/>
      </w:pPr>
      <w:r w:rsidRPr="00D71BC7">
        <w:t>advice contributes to the achievement of government policies and priorities relating to Victoria</w:t>
      </w:r>
      <w:r w:rsidR="007942D1">
        <w:t>’</w:t>
      </w:r>
      <w:r w:rsidRPr="00D71BC7">
        <w:t>s balance sheet, commercial activities and public sector infrastructure</w:t>
      </w:r>
    </w:p>
    <w:p w14:paraId="060DBAAE" w14:textId="77777777" w:rsidR="00824558" w:rsidRPr="00D71BC7" w:rsidRDefault="00824558">
      <w:pPr>
        <w:pStyle w:val="ShadedBoxBullet"/>
        <w:contextualSpacing/>
      </w:pPr>
      <w:r w:rsidRPr="00D71BC7">
        <w:t>quality infrastructure drives economic growth activity in Victoria.</w:t>
      </w:r>
    </w:p>
    <w:p w14:paraId="57BF5CA8" w14:textId="77777777" w:rsidR="00824558" w:rsidRDefault="00824558">
      <w:pPr>
        <w:pStyle w:val="Heading2"/>
      </w:pPr>
      <w:r>
        <w:t>Outputs</w:t>
      </w:r>
    </w:p>
    <w:p w14:paraId="635282C1" w14:textId="39AD1209" w:rsidR="00824558" w:rsidRDefault="00824558">
      <w:pPr>
        <w:pStyle w:val="Heading3"/>
      </w:pPr>
      <w:r>
        <w:t>Commercial and Infrastructure Advice</w:t>
      </w:r>
      <w:r>
        <w:tab/>
        <w:t>(2026-27: $</w:t>
      </w:r>
      <w:r w:rsidR="00344B0E">
        <w:t>95.5</w:t>
      </w:r>
      <w:r>
        <w:t xml:space="preserve"> million)</w:t>
      </w:r>
    </w:p>
    <w:p w14:paraId="6F6F0B44" w14:textId="31E837B8" w:rsidR="00824558" w:rsidRPr="00612B1B" w:rsidRDefault="00824558">
      <w:r w:rsidRPr="00612B1B">
        <w:t>This output contributes to the Department</w:t>
      </w:r>
      <w:r w:rsidR="007942D1">
        <w:t>’</w:t>
      </w:r>
      <w:r w:rsidRPr="00612B1B">
        <w:t>s objective to improve how the Government manages its balance sheet, commercial activities and public sector infrastructure by:</w:t>
      </w:r>
      <w:r w:rsidR="00A242A3">
        <w:t xml:space="preserve"> </w:t>
      </w:r>
      <w:r>
        <w:rPr>
          <w:vertAlign w:val="superscript"/>
        </w:rPr>
        <w:t>(a)</w:t>
      </w:r>
    </w:p>
    <w:p w14:paraId="121011CA" w14:textId="77777777" w:rsidR="00824558" w:rsidRPr="00EC32E6" w:rsidRDefault="00824558">
      <w:pPr>
        <w:pStyle w:val="ListBullet"/>
        <w:tabs>
          <w:tab w:val="clear" w:pos="360"/>
        </w:tabs>
        <w:ind w:left="340" w:hanging="340"/>
      </w:pPr>
      <w:r w:rsidRPr="00EC32E6">
        <w:t>providing advice to the Government and guidance to departments on infrastructure investment and other major commercial projects</w:t>
      </w:r>
    </w:p>
    <w:p w14:paraId="0D871D05" w14:textId="3D4DD181" w:rsidR="00824558" w:rsidRPr="00EC32E6" w:rsidRDefault="00824558">
      <w:pPr>
        <w:pStyle w:val="ListBullet"/>
        <w:tabs>
          <w:tab w:val="clear" w:pos="360"/>
        </w:tabs>
        <w:ind w:left="340" w:hanging="340"/>
      </w:pPr>
      <w:r w:rsidRPr="00EC32E6">
        <w:t>providing advice and reports on the State</w:t>
      </w:r>
      <w:r w:rsidR="007942D1">
        <w:t>’</w:t>
      </w:r>
      <w:r w:rsidRPr="00EC32E6">
        <w:t>s financial assets and liabilities and associated financial risks, including the State</w:t>
      </w:r>
      <w:r w:rsidR="007942D1">
        <w:t>’</w:t>
      </w:r>
      <w:r w:rsidRPr="00EC32E6">
        <w:t xml:space="preserve">s investments, debts, unfunded superannuation, </w:t>
      </w:r>
      <w:r>
        <w:t xml:space="preserve">and </w:t>
      </w:r>
      <w:r w:rsidRPr="00EC32E6">
        <w:t>insurance claims liabilities</w:t>
      </w:r>
    </w:p>
    <w:p w14:paraId="137109DB" w14:textId="77777777" w:rsidR="00824558" w:rsidRPr="00907CFD" w:rsidRDefault="00824558">
      <w:pPr>
        <w:pStyle w:val="ListBullet"/>
        <w:tabs>
          <w:tab w:val="clear" w:pos="360"/>
        </w:tabs>
        <w:ind w:left="340" w:hanging="340"/>
      </w:pPr>
      <w:r w:rsidRPr="00EC32E6">
        <w:t>providing commercial, financial and risk management advice to the Government and guidance to departments regarding infrastructure projects including Partnerships Victoria projects, administration of the Market-led Proposals Guideli</w:t>
      </w:r>
      <w:r w:rsidRPr="00907CFD">
        <w:t>nes and managing major commercial activities on behalf of the Government</w:t>
      </w:r>
    </w:p>
    <w:p w14:paraId="7293E382" w14:textId="3E217BF2" w:rsidR="00824558" w:rsidRPr="00907CFD" w:rsidRDefault="00824558">
      <w:pPr>
        <w:pStyle w:val="ListBullet"/>
        <w:tabs>
          <w:tab w:val="clear" w:pos="360"/>
        </w:tabs>
        <w:ind w:left="340" w:hanging="340"/>
      </w:pPr>
      <w:r w:rsidRPr="00907CFD">
        <w:t>providing project advice on technical, scope, cost and scheduling matters at key milestones in a project</w:t>
      </w:r>
      <w:r w:rsidR="007942D1">
        <w:t>’</w:t>
      </w:r>
      <w:r w:rsidRPr="00907CFD">
        <w:t>s lifecycle to complement the economic, financial, contractual and risk advice provided by the Department</w:t>
      </w:r>
    </w:p>
    <w:p w14:paraId="2E8BE0F9" w14:textId="0C2B50FF" w:rsidR="00824558" w:rsidRPr="00907CFD" w:rsidRDefault="00824558">
      <w:pPr>
        <w:pStyle w:val="ListBullet"/>
        <w:tabs>
          <w:tab w:val="clear" w:pos="360"/>
        </w:tabs>
        <w:ind w:left="340" w:hanging="340"/>
      </w:pPr>
      <w:r w:rsidRPr="00907CFD">
        <w:t>overseeing the governance and financial management of the State</w:t>
      </w:r>
      <w:r w:rsidR="007942D1">
        <w:t>’</w:t>
      </w:r>
      <w:r w:rsidRPr="00907CFD">
        <w:t>s government business enterprises, including the preparation of budget and financial reporting data for government business enterprise sectors</w:t>
      </w:r>
    </w:p>
    <w:p w14:paraId="474275EA" w14:textId="418C5128" w:rsidR="00824558" w:rsidRPr="00907CFD" w:rsidRDefault="00824558">
      <w:pPr>
        <w:pStyle w:val="ListBullet"/>
        <w:tabs>
          <w:tab w:val="clear" w:pos="360"/>
        </w:tabs>
        <w:ind w:left="340" w:hanging="340"/>
      </w:pPr>
      <w:r w:rsidRPr="00907CFD">
        <w:t>overseeing the prudential supervision framework for the State</w:t>
      </w:r>
      <w:r w:rsidR="007942D1">
        <w:t>’</w:t>
      </w:r>
      <w:r w:rsidRPr="00907CFD">
        <w:t>s public financial corporations</w:t>
      </w:r>
    </w:p>
    <w:p w14:paraId="5BB27A75" w14:textId="77777777" w:rsidR="00824558" w:rsidRPr="00907CFD" w:rsidRDefault="00824558">
      <w:pPr>
        <w:pStyle w:val="ListBullet"/>
        <w:tabs>
          <w:tab w:val="clear" w:pos="360"/>
        </w:tabs>
        <w:ind w:left="340" w:hanging="340"/>
      </w:pPr>
      <w:r w:rsidRPr="00907CFD">
        <w:t>managing Public Account operations</w:t>
      </w:r>
    </w:p>
    <w:p w14:paraId="6910BC48" w14:textId="77777777" w:rsidR="00824558" w:rsidRPr="00907CFD" w:rsidRDefault="00824558">
      <w:pPr>
        <w:pStyle w:val="ListBullet"/>
        <w:tabs>
          <w:tab w:val="clear" w:pos="360"/>
        </w:tabs>
        <w:ind w:left="340" w:hanging="340"/>
      </w:pPr>
      <w:r w:rsidRPr="00907CFD">
        <w:t>overseeing potential commercialisation opportunities</w:t>
      </w:r>
    </w:p>
    <w:p w14:paraId="421417EF" w14:textId="77777777" w:rsidR="00824558" w:rsidRPr="00907CFD" w:rsidRDefault="00824558">
      <w:pPr>
        <w:pStyle w:val="ListBullet"/>
        <w:tabs>
          <w:tab w:val="clear" w:pos="360"/>
        </w:tabs>
        <w:ind w:left="340" w:hanging="340"/>
      </w:pPr>
      <w:r w:rsidRPr="00907CFD">
        <w:t>supporting the implementation and delivery of government priorities related to social and affordable housing</w:t>
      </w:r>
    </w:p>
    <w:p w14:paraId="17E6F661" w14:textId="77777777" w:rsidR="00824558" w:rsidRPr="004D645C" w:rsidRDefault="00824558">
      <w:pPr>
        <w:pStyle w:val="ListBullet"/>
        <w:tabs>
          <w:tab w:val="clear" w:pos="360"/>
        </w:tabs>
        <w:ind w:left="340" w:hanging="340"/>
      </w:pPr>
      <w:r w:rsidRPr="004D645C">
        <w:t>overseeing the registration and regulation of community housing agencies</w:t>
      </w:r>
    </w:p>
    <w:p w14:paraId="1286B6D1" w14:textId="3D3B0552" w:rsidR="00824558" w:rsidRPr="004D645C" w:rsidRDefault="00824558">
      <w:pPr>
        <w:pStyle w:val="ListBullet"/>
        <w:tabs>
          <w:tab w:val="clear" w:pos="360"/>
        </w:tabs>
        <w:ind w:left="340" w:hanging="340"/>
      </w:pPr>
      <w:r w:rsidRPr="004D645C">
        <w:t>providing advice and reports on the financial and non-financial performance of the State</w:t>
      </w:r>
      <w:r w:rsidR="007942D1">
        <w:t>’</w:t>
      </w:r>
      <w:r w:rsidRPr="004D645C">
        <w:t>s insurers.</w:t>
      </w:r>
    </w:p>
    <w:p w14:paraId="55201FA7" w14:textId="77777777" w:rsidR="00824558" w:rsidRDefault="00824558">
      <w:pPr>
        <w:pStyle w:val="Note"/>
      </w:pPr>
      <w:bookmarkStart w:id="20" w:name="_Hlk197545241"/>
      <w:r w:rsidRPr="004D645C">
        <w:t>Note:</w:t>
      </w:r>
    </w:p>
    <w:p w14:paraId="494BB536" w14:textId="687F7291" w:rsidR="00824558" w:rsidRPr="001E77BA" w:rsidRDefault="00A242A3" w:rsidP="00B64FD1">
      <w:pPr>
        <w:pStyle w:val="Note"/>
        <w:spacing w:after="120"/>
      </w:pPr>
      <w:r>
        <w:t>(a)</w:t>
      </w:r>
      <w:r>
        <w:tab/>
      </w:r>
      <w:r w:rsidR="00824558" w:rsidRPr="004D645C">
        <w:t>The output description has been updated to reflect current Commercial Division focal areas.</w:t>
      </w:r>
      <w:bookmarkEnd w:id="20"/>
    </w:p>
    <w:tbl>
      <w:tblPr>
        <w:tblStyle w:val="DTFTableNumeric"/>
        <w:tblW w:w="9639" w:type="dxa"/>
        <w:tblLayout w:type="fixed"/>
        <w:tblLook w:val="04A0" w:firstRow="1" w:lastRow="0" w:firstColumn="1" w:lastColumn="0" w:noHBand="0" w:noVBand="1"/>
      </w:tblPr>
      <w:tblGrid>
        <w:gridCol w:w="4844"/>
        <w:gridCol w:w="968"/>
        <w:gridCol w:w="935"/>
        <w:gridCol w:w="966"/>
        <w:gridCol w:w="966"/>
        <w:gridCol w:w="960"/>
      </w:tblGrid>
      <w:tr w:rsidR="00824558" w14:paraId="5B34AD9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4" w:type="dxa"/>
          </w:tcPr>
          <w:p w14:paraId="7873BA78" w14:textId="77777777" w:rsidR="00824558" w:rsidRDefault="00824558">
            <w:r>
              <w:t>Performance measure</w:t>
            </w:r>
          </w:p>
        </w:tc>
        <w:tc>
          <w:tcPr>
            <w:tcW w:w="968" w:type="dxa"/>
          </w:tcPr>
          <w:p w14:paraId="0AC5965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35" w:type="dxa"/>
          </w:tcPr>
          <w:p w14:paraId="59254E1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6" w:type="dxa"/>
          </w:tcPr>
          <w:p w14:paraId="0732857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6" w:type="dxa"/>
          </w:tcPr>
          <w:p w14:paraId="3836819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0" w:type="dxa"/>
          </w:tcPr>
          <w:p w14:paraId="1E165E8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2CF6848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EF375AF" w14:textId="77777777" w:rsidR="00824558" w:rsidRPr="009C0A3D" w:rsidRDefault="00824558">
            <w:pPr>
              <w:keepNext/>
              <w:rPr>
                <w:b/>
                <w:bCs/>
                <w:iCs/>
              </w:rPr>
            </w:pPr>
            <w:r w:rsidRPr="009C0A3D">
              <w:rPr>
                <w:b/>
                <w:bCs/>
                <w:iCs/>
              </w:rPr>
              <w:t>Quantity</w:t>
            </w:r>
          </w:p>
        </w:tc>
      </w:tr>
      <w:tr w:rsidR="00824558" w14:paraId="1642464C"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0847139A" w14:textId="77777777" w:rsidR="00824558" w:rsidRDefault="00824558">
            <w:pPr>
              <w:ind w:left="170"/>
            </w:pPr>
            <w:r>
              <w:t>Assurance and gateway reviews undertaken</w:t>
            </w:r>
          </w:p>
        </w:tc>
        <w:tc>
          <w:tcPr>
            <w:tcW w:w="968" w:type="dxa"/>
            <w:tcBorders>
              <w:bottom w:val="single" w:sz="6" w:space="0" w:color="auto"/>
            </w:tcBorders>
          </w:tcPr>
          <w:p w14:paraId="29C7A54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6B1C86AF"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6" w:type="dxa"/>
            <w:tcBorders>
              <w:bottom w:val="single" w:sz="6" w:space="0" w:color="auto"/>
            </w:tcBorders>
          </w:tcPr>
          <w:p w14:paraId="4067C503"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6" w:type="dxa"/>
            <w:tcBorders>
              <w:bottom w:val="single" w:sz="6" w:space="0" w:color="auto"/>
            </w:tcBorders>
          </w:tcPr>
          <w:p w14:paraId="67FDCB0B"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0" w:type="dxa"/>
            <w:tcBorders>
              <w:bottom w:val="single" w:sz="6" w:space="0" w:color="auto"/>
            </w:tcBorders>
          </w:tcPr>
          <w:p w14:paraId="0E6365BA"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r>
      <w:tr w:rsidR="00824558" w14:paraId="5E35BA28"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078F8E28" w14:textId="77777777" w:rsidR="00824558" w:rsidRDefault="00824558">
            <w:pPr>
              <w:ind w:left="170"/>
            </w:pPr>
            <w:r>
              <w:t>Develop and implement policy guidance and infrastructure investment frameworks to govern and build capability to deliver infrastructure</w:t>
            </w:r>
          </w:p>
        </w:tc>
        <w:tc>
          <w:tcPr>
            <w:tcW w:w="968" w:type="dxa"/>
            <w:tcBorders>
              <w:bottom w:val="single" w:sz="6" w:space="0" w:color="auto"/>
            </w:tcBorders>
          </w:tcPr>
          <w:p w14:paraId="294D3F0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137755EC"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6" w:type="dxa"/>
            <w:tcBorders>
              <w:bottom w:val="single" w:sz="6" w:space="0" w:color="auto"/>
            </w:tcBorders>
          </w:tcPr>
          <w:p w14:paraId="6427ED90"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6" w:type="dxa"/>
            <w:tcBorders>
              <w:bottom w:val="single" w:sz="6" w:space="0" w:color="auto"/>
            </w:tcBorders>
          </w:tcPr>
          <w:p w14:paraId="6AD19B4E" w14:textId="77777777" w:rsidR="00824558" w:rsidRDefault="00824558">
            <w:pPr>
              <w:cnfStyle w:val="000000000000" w:firstRow="0" w:lastRow="0" w:firstColumn="0" w:lastColumn="0" w:oddVBand="0" w:evenVBand="0" w:oddHBand="0" w:evenHBand="0" w:firstRowFirstColumn="0" w:firstRowLastColumn="0" w:lastRowFirstColumn="0" w:lastRowLastColumn="0"/>
            </w:pPr>
            <w:r>
              <w:t>58</w:t>
            </w:r>
          </w:p>
        </w:tc>
        <w:tc>
          <w:tcPr>
            <w:tcW w:w="960" w:type="dxa"/>
            <w:tcBorders>
              <w:bottom w:val="single" w:sz="6" w:space="0" w:color="auto"/>
            </w:tcBorders>
          </w:tcPr>
          <w:p w14:paraId="063FF20E"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r>
      <w:tr w:rsidR="00824558" w14:paraId="00E84D4B" w14:textId="77777777">
        <w:tc>
          <w:tcPr>
            <w:cnfStyle w:val="001000000000" w:firstRow="0" w:lastRow="0" w:firstColumn="1" w:lastColumn="0" w:oddVBand="0" w:evenVBand="0" w:oddHBand="0" w:evenHBand="0" w:firstRowFirstColumn="0" w:firstRowLastColumn="0" w:lastRowFirstColumn="0" w:lastRowLastColumn="0"/>
            <w:tcW w:w="4844" w:type="dxa"/>
          </w:tcPr>
          <w:p w14:paraId="4E337DC7" w14:textId="77777777" w:rsidR="00824558" w:rsidRDefault="00824558">
            <w:pPr>
              <w:keepNext/>
              <w:ind w:left="170"/>
            </w:pPr>
            <w:r>
              <w:t>Develop and implement training to build capability to deliver infrastructure</w:t>
            </w:r>
          </w:p>
        </w:tc>
        <w:tc>
          <w:tcPr>
            <w:tcW w:w="968" w:type="dxa"/>
          </w:tcPr>
          <w:p w14:paraId="286D0E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shd w:val="clear" w:color="auto" w:fill="F0F0F0"/>
          </w:tcPr>
          <w:p w14:paraId="7AD9562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Pr>
          <w:p w14:paraId="7ECAABF8"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6" w:type="dxa"/>
          </w:tcPr>
          <w:p w14:paraId="403443E7"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0" w:type="dxa"/>
          </w:tcPr>
          <w:p w14:paraId="301DC3AB" w14:textId="77777777" w:rsidR="00824558" w:rsidRDefault="00824558">
            <w:pPr>
              <w:cnfStyle w:val="000000000000" w:firstRow="0" w:lastRow="0" w:firstColumn="0" w:lastColumn="0" w:oddVBand="0" w:evenVBand="0" w:oddHBand="0" w:evenHBand="0" w:firstRowFirstColumn="0" w:firstRowLastColumn="0" w:lastRowFirstColumn="0" w:lastRowLastColumn="0"/>
            </w:pPr>
            <w:r>
              <w:t>35</w:t>
            </w:r>
          </w:p>
        </w:tc>
      </w:tr>
      <w:tr w:rsidR="00824558" w14:paraId="7B1DB20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AE9E560" w14:textId="74FF84CD" w:rsidR="00824558" w:rsidRDefault="00824558">
            <w:pPr>
              <w:ind w:left="170"/>
            </w:pPr>
            <w:r>
              <w:rPr>
                <w:i/>
              </w:rPr>
              <w:t xml:space="preserve">The </w:t>
            </w:r>
            <w:r w:rsidR="008F7A05">
              <w:rPr>
                <w:i/>
              </w:rPr>
              <w:t>2025-26</w:t>
            </w:r>
            <w:r>
              <w:rPr>
                <w:i/>
              </w:rPr>
              <w:t xml:space="preserve"> expected outcome is lower than the </w:t>
            </w:r>
            <w:r w:rsidR="008F7A05">
              <w:rPr>
                <w:i/>
              </w:rPr>
              <w:t>2025-26</w:t>
            </w:r>
            <w:r>
              <w:rPr>
                <w:i/>
              </w:rPr>
              <w:t xml:space="preserve"> target due to the retendering of a major capability program (Australian Major Projects Leadership Academy). On completion of the procurement process, it was determined that no proposal presented an acceptable value for money proposition and no contract was awarded. Alternative delivery methods such as partnering with suppliers to provide existing intellectual content are being explored for capability delivery. </w:t>
            </w:r>
          </w:p>
          <w:p w14:paraId="2A117762" w14:textId="37F7843D" w:rsidR="00824558" w:rsidRDefault="00824558">
            <w:pPr>
              <w:ind w:left="170"/>
            </w:pPr>
            <w:r>
              <w:rPr>
                <w:i/>
              </w:rPr>
              <w:t xml:space="preserve">The higher </w:t>
            </w:r>
            <w:r w:rsidR="002B57CA">
              <w:rPr>
                <w:i/>
              </w:rPr>
              <w:t>2026-27</w:t>
            </w:r>
            <w:r>
              <w:rPr>
                <w:i/>
              </w:rPr>
              <w:t xml:space="preserve"> target reflects a change from count of training days delivered to count of the number of people trained. The change in methodology for this measure more accurately reflects scale and impact of training programs delivered.</w:t>
            </w:r>
          </w:p>
        </w:tc>
      </w:tr>
      <w:tr w:rsidR="00824558" w14:paraId="536FFE97"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3D42D48A" w14:textId="77777777" w:rsidR="00824558" w:rsidRDefault="00824558">
            <w:pPr>
              <w:ind w:left="170"/>
            </w:pPr>
            <w:r>
              <w:t>Develop Department action plans to identify and implement priority measures to manage psychological health risks</w:t>
            </w:r>
          </w:p>
        </w:tc>
        <w:tc>
          <w:tcPr>
            <w:tcW w:w="968" w:type="dxa"/>
            <w:tcBorders>
              <w:bottom w:val="single" w:sz="6" w:space="0" w:color="auto"/>
            </w:tcBorders>
          </w:tcPr>
          <w:p w14:paraId="47E0757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090847E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6" w:type="dxa"/>
            <w:tcBorders>
              <w:bottom w:val="single" w:sz="6" w:space="0" w:color="auto"/>
            </w:tcBorders>
          </w:tcPr>
          <w:p w14:paraId="1DBC312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6" w:type="dxa"/>
            <w:tcBorders>
              <w:bottom w:val="single" w:sz="6" w:space="0" w:color="auto"/>
            </w:tcBorders>
          </w:tcPr>
          <w:p w14:paraId="57B782A2"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0" w:type="dxa"/>
            <w:tcBorders>
              <w:bottom w:val="single" w:sz="6" w:space="0" w:color="auto"/>
            </w:tcBorders>
          </w:tcPr>
          <w:p w14:paraId="361B6149" w14:textId="77777777" w:rsidR="00824558" w:rsidRDefault="00824558">
            <w:pPr>
              <w:cnfStyle w:val="000000000000" w:firstRow="0" w:lastRow="0" w:firstColumn="0" w:lastColumn="0" w:oddVBand="0" w:evenVBand="0" w:oddHBand="0" w:evenHBand="0" w:firstRowFirstColumn="0" w:firstRowLastColumn="0" w:lastRowFirstColumn="0" w:lastRowLastColumn="0"/>
            </w:pPr>
            <w:r>
              <w:t>0</w:t>
            </w:r>
          </w:p>
        </w:tc>
      </w:tr>
      <w:tr w:rsidR="00824558" w14:paraId="63887427"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0A86D53A" w14:textId="77777777" w:rsidR="00824558" w:rsidRDefault="00824558">
            <w:pPr>
              <w:ind w:left="170"/>
            </w:pPr>
            <w:r>
              <w:t>Dwellings supported by Affordable Housing Investment Partnerships</w:t>
            </w:r>
          </w:p>
        </w:tc>
        <w:tc>
          <w:tcPr>
            <w:tcW w:w="968" w:type="dxa"/>
            <w:tcBorders>
              <w:bottom w:val="single" w:sz="6" w:space="0" w:color="auto"/>
            </w:tcBorders>
          </w:tcPr>
          <w:p w14:paraId="71AEDAE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5C1098AC"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6" w:type="dxa"/>
            <w:tcBorders>
              <w:bottom w:val="single" w:sz="6" w:space="0" w:color="auto"/>
            </w:tcBorders>
          </w:tcPr>
          <w:p w14:paraId="03BDE6B7"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6" w:type="dxa"/>
            <w:tcBorders>
              <w:bottom w:val="single" w:sz="6" w:space="0" w:color="auto"/>
            </w:tcBorders>
          </w:tcPr>
          <w:p w14:paraId="2748A0FF" w14:textId="77777777" w:rsidR="00824558" w:rsidRDefault="00824558">
            <w:pPr>
              <w:cnfStyle w:val="000000000000" w:firstRow="0" w:lastRow="0" w:firstColumn="0" w:lastColumn="0" w:oddVBand="0" w:evenVBand="0" w:oddHBand="0" w:evenHBand="0" w:firstRowFirstColumn="0" w:firstRowLastColumn="0" w:lastRowFirstColumn="0" w:lastRowLastColumn="0"/>
            </w:pPr>
            <w:r>
              <w:t>500</w:t>
            </w:r>
          </w:p>
        </w:tc>
        <w:tc>
          <w:tcPr>
            <w:tcW w:w="960" w:type="dxa"/>
            <w:tcBorders>
              <w:bottom w:val="single" w:sz="6" w:space="0" w:color="auto"/>
            </w:tcBorders>
          </w:tcPr>
          <w:p w14:paraId="2855180D" w14:textId="77777777" w:rsidR="00824558" w:rsidRDefault="00824558">
            <w:pPr>
              <w:cnfStyle w:val="000000000000" w:firstRow="0" w:lastRow="0" w:firstColumn="0" w:lastColumn="0" w:oddVBand="0" w:evenVBand="0" w:oddHBand="0" w:evenHBand="0" w:firstRowFirstColumn="0" w:firstRowLastColumn="0" w:lastRowFirstColumn="0" w:lastRowLastColumn="0"/>
            </w:pPr>
            <w:r>
              <w:t>584</w:t>
            </w:r>
          </w:p>
        </w:tc>
      </w:tr>
      <w:tr w:rsidR="00824558" w14:paraId="46A56F01" w14:textId="77777777" w:rsidTr="00C14988">
        <w:tc>
          <w:tcPr>
            <w:cnfStyle w:val="001000000000" w:firstRow="0" w:lastRow="0" w:firstColumn="1" w:lastColumn="0" w:oddVBand="0" w:evenVBand="0" w:oddHBand="0" w:evenHBand="0" w:firstRowFirstColumn="0" w:firstRowLastColumn="0" w:lastRowFirstColumn="0" w:lastRowLastColumn="0"/>
            <w:tcW w:w="4844" w:type="dxa"/>
            <w:tcBorders>
              <w:bottom w:val="nil"/>
            </w:tcBorders>
          </w:tcPr>
          <w:p w14:paraId="04DCD650" w14:textId="77777777" w:rsidR="00824558" w:rsidRDefault="00824558">
            <w:pPr>
              <w:ind w:left="170"/>
            </w:pPr>
            <w:r>
              <w:t>Number of HVHR project assurance plans in place</w:t>
            </w:r>
          </w:p>
        </w:tc>
        <w:tc>
          <w:tcPr>
            <w:tcW w:w="968" w:type="dxa"/>
            <w:tcBorders>
              <w:bottom w:val="nil"/>
            </w:tcBorders>
          </w:tcPr>
          <w:p w14:paraId="27165BE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nil"/>
            </w:tcBorders>
            <w:shd w:val="clear" w:color="auto" w:fill="F0F0F0"/>
          </w:tcPr>
          <w:p w14:paraId="1FCFB602" w14:textId="67DBA251" w:rsidR="00824558" w:rsidRDefault="00431384">
            <w:pPr>
              <w:cnfStyle w:val="000000000000" w:firstRow="0" w:lastRow="0" w:firstColumn="0" w:lastColumn="0" w:oddVBand="0" w:evenVBand="0" w:oddHBand="0" w:evenHBand="0" w:firstRowFirstColumn="0" w:firstRowLastColumn="0" w:lastRowFirstColumn="0" w:lastRowLastColumn="0"/>
            </w:pPr>
            <w:r>
              <w:t>4</w:t>
            </w:r>
          </w:p>
        </w:tc>
        <w:tc>
          <w:tcPr>
            <w:tcW w:w="966" w:type="dxa"/>
            <w:tcBorders>
              <w:bottom w:val="nil"/>
            </w:tcBorders>
          </w:tcPr>
          <w:p w14:paraId="7E863A72"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6" w:type="dxa"/>
            <w:tcBorders>
              <w:bottom w:val="nil"/>
            </w:tcBorders>
          </w:tcPr>
          <w:p w14:paraId="7E7D31CE"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0" w:type="dxa"/>
            <w:tcBorders>
              <w:bottom w:val="nil"/>
            </w:tcBorders>
          </w:tcPr>
          <w:p w14:paraId="23EC988F"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r>
      <w:tr w:rsidR="00E408C9" w14:paraId="7107D561" w14:textId="77777777" w:rsidTr="00C1498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4" w:space="0" w:color="auto"/>
            </w:tcBorders>
          </w:tcPr>
          <w:p w14:paraId="4E7EC992" w14:textId="6FC57E67" w:rsidR="00E408C9" w:rsidRPr="00C14988" w:rsidRDefault="00E408C9" w:rsidP="00C14988">
            <w:pPr>
              <w:ind w:left="170"/>
              <w:rPr>
                <w:i/>
              </w:rPr>
            </w:pPr>
            <w:r w:rsidRPr="00C14988">
              <w:rPr>
                <w:i/>
              </w:rPr>
              <w:t xml:space="preserve">The 2026-27 target is lower than the 2025-26 target due to the number of new HVHR projects approved in the </w:t>
            </w:r>
            <w:r w:rsidRPr="00540BB2">
              <w:t>2026-27 Budget</w:t>
            </w:r>
            <w:r w:rsidRPr="00C14988">
              <w:rPr>
                <w:i/>
              </w:rPr>
              <w:t>.</w:t>
            </w:r>
          </w:p>
        </w:tc>
      </w:tr>
      <w:tr w:rsidR="00824558" w14:paraId="37821A18" w14:textId="77777777" w:rsidTr="00C14988">
        <w:tc>
          <w:tcPr>
            <w:cnfStyle w:val="001000000000" w:firstRow="0" w:lastRow="0" w:firstColumn="1" w:lastColumn="0" w:oddVBand="0" w:evenVBand="0" w:oddHBand="0" w:evenHBand="0" w:firstRowFirstColumn="0" w:firstRowLastColumn="0" w:lastRowFirstColumn="0" w:lastRowLastColumn="0"/>
            <w:tcW w:w="4844" w:type="dxa"/>
            <w:tcBorders>
              <w:top w:val="single" w:sz="4" w:space="0" w:color="auto"/>
              <w:bottom w:val="single" w:sz="6" w:space="0" w:color="auto"/>
            </w:tcBorders>
          </w:tcPr>
          <w:p w14:paraId="53A05706" w14:textId="77777777" w:rsidR="00824558" w:rsidRDefault="00824558">
            <w:pPr>
              <w:ind w:left="170"/>
            </w:pPr>
            <w:r>
              <w:t>Percentage of registered housing agencies assessed annually against performance standards</w:t>
            </w:r>
          </w:p>
        </w:tc>
        <w:tc>
          <w:tcPr>
            <w:tcW w:w="968" w:type="dxa"/>
            <w:tcBorders>
              <w:top w:val="single" w:sz="4" w:space="0" w:color="auto"/>
              <w:bottom w:val="single" w:sz="6" w:space="0" w:color="auto"/>
            </w:tcBorders>
          </w:tcPr>
          <w:p w14:paraId="49375CF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top w:val="single" w:sz="4" w:space="0" w:color="auto"/>
              <w:bottom w:val="single" w:sz="6" w:space="0" w:color="auto"/>
            </w:tcBorders>
            <w:shd w:val="clear" w:color="auto" w:fill="F0F0F0"/>
          </w:tcPr>
          <w:p w14:paraId="6BF65D2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top w:val="single" w:sz="4" w:space="0" w:color="auto"/>
              <w:bottom w:val="single" w:sz="6" w:space="0" w:color="auto"/>
            </w:tcBorders>
          </w:tcPr>
          <w:p w14:paraId="655F75F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top w:val="single" w:sz="4" w:space="0" w:color="auto"/>
              <w:bottom w:val="single" w:sz="6" w:space="0" w:color="auto"/>
            </w:tcBorders>
          </w:tcPr>
          <w:p w14:paraId="1A3D100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0" w:type="dxa"/>
            <w:tcBorders>
              <w:top w:val="single" w:sz="4" w:space="0" w:color="auto"/>
              <w:bottom w:val="single" w:sz="6" w:space="0" w:color="auto"/>
            </w:tcBorders>
          </w:tcPr>
          <w:p w14:paraId="339D603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22351FBD"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152FCFF5" w14:textId="77777777" w:rsidR="00824558" w:rsidRDefault="00824558">
            <w:pPr>
              <w:ind w:left="170"/>
            </w:pPr>
            <w:r>
              <w:t>Provide effective monitoring of the delivery of HVHR public infrastructure commitments through quarterly reporting</w:t>
            </w:r>
          </w:p>
        </w:tc>
        <w:tc>
          <w:tcPr>
            <w:tcW w:w="968" w:type="dxa"/>
            <w:tcBorders>
              <w:bottom w:val="single" w:sz="6" w:space="0" w:color="auto"/>
            </w:tcBorders>
          </w:tcPr>
          <w:p w14:paraId="6649972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3039D438"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6" w:type="dxa"/>
            <w:tcBorders>
              <w:bottom w:val="single" w:sz="6" w:space="0" w:color="auto"/>
            </w:tcBorders>
          </w:tcPr>
          <w:p w14:paraId="358F42A2"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6" w:type="dxa"/>
            <w:tcBorders>
              <w:bottom w:val="single" w:sz="6" w:space="0" w:color="auto"/>
            </w:tcBorders>
          </w:tcPr>
          <w:p w14:paraId="53FC15F8"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0" w:type="dxa"/>
            <w:tcBorders>
              <w:bottom w:val="single" w:sz="6" w:space="0" w:color="auto"/>
            </w:tcBorders>
          </w:tcPr>
          <w:p w14:paraId="08E3B220"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r>
      <w:tr w:rsidR="00824558" w14:paraId="20542327"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6B0F4C48" w14:textId="77777777" w:rsidR="00824558" w:rsidRDefault="00824558">
            <w:pPr>
              <w:ind w:left="170"/>
            </w:pPr>
            <w:r>
              <w:t>Provision of PNFC/PFC financial estimates and actuals, along with commentary and analysis, for the State budget papers and financial reports</w:t>
            </w:r>
          </w:p>
        </w:tc>
        <w:tc>
          <w:tcPr>
            <w:tcW w:w="968" w:type="dxa"/>
            <w:tcBorders>
              <w:bottom w:val="single" w:sz="6" w:space="0" w:color="auto"/>
            </w:tcBorders>
          </w:tcPr>
          <w:p w14:paraId="44EE4FF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bottom w:val="single" w:sz="6" w:space="0" w:color="auto"/>
            </w:tcBorders>
            <w:shd w:val="clear" w:color="auto" w:fill="F0F0F0"/>
          </w:tcPr>
          <w:p w14:paraId="057E2FC4"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6" w:type="dxa"/>
            <w:tcBorders>
              <w:bottom w:val="single" w:sz="6" w:space="0" w:color="auto"/>
            </w:tcBorders>
          </w:tcPr>
          <w:p w14:paraId="54FB29CD"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6" w:type="dxa"/>
            <w:tcBorders>
              <w:bottom w:val="single" w:sz="6" w:space="0" w:color="auto"/>
            </w:tcBorders>
          </w:tcPr>
          <w:p w14:paraId="427F6EC5"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0" w:type="dxa"/>
            <w:tcBorders>
              <w:bottom w:val="single" w:sz="6" w:space="0" w:color="auto"/>
            </w:tcBorders>
          </w:tcPr>
          <w:p w14:paraId="2DC9587B"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14:paraId="49C2088B" w14:textId="77777777">
        <w:tc>
          <w:tcPr>
            <w:cnfStyle w:val="001000000000" w:firstRow="0" w:lastRow="0" w:firstColumn="1" w:lastColumn="0" w:oddVBand="0" w:evenVBand="0" w:oddHBand="0" w:evenHBand="0" w:firstRowFirstColumn="0" w:firstRowLastColumn="0" w:lastRowFirstColumn="0" w:lastRowLastColumn="0"/>
            <w:tcW w:w="4844" w:type="dxa"/>
            <w:tcBorders>
              <w:top w:val="single" w:sz="6" w:space="0" w:color="auto"/>
              <w:bottom w:val="nil"/>
            </w:tcBorders>
          </w:tcPr>
          <w:p w14:paraId="56D5590C" w14:textId="77777777" w:rsidR="00824558" w:rsidRDefault="00824558" w:rsidP="00540BB2">
            <w:pPr>
              <w:keepNext/>
              <w:ind w:left="170"/>
            </w:pPr>
            <w:r w:rsidRPr="00E22AEB">
              <w:t>Social and Affordable Housing dwellings committed by the Social Housing Growth Fund</w:t>
            </w:r>
          </w:p>
        </w:tc>
        <w:tc>
          <w:tcPr>
            <w:tcW w:w="968" w:type="dxa"/>
            <w:tcBorders>
              <w:top w:val="single" w:sz="6" w:space="0" w:color="auto"/>
              <w:bottom w:val="nil"/>
            </w:tcBorders>
          </w:tcPr>
          <w:p w14:paraId="51C5FEF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35" w:type="dxa"/>
            <w:tcBorders>
              <w:top w:val="single" w:sz="6" w:space="0" w:color="auto"/>
              <w:bottom w:val="nil"/>
            </w:tcBorders>
            <w:shd w:val="clear" w:color="auto" w:fill="F0F0F0"/>
          </w:tcPr>
          <w:p w14:paraId="33D25EBC" w14:textId="77777777" w:rsidR="00824558" w:rsidRDefault="00824558">
            <w:pPr>
              <w:cnfStyle w:val="000000000000" w:firstRow="0" w:lastRow="0" w:firstColumn="0" w:lastColumn="0" w:oddVBand="0" w:evenVBand="0" w:oddHBand="0" w:evenHBand="0" w:firstRowFirstColumn="0" w:firstRowLastColumn="0" w:lastRowFirstColumn="0" w:lastRowLastColumn="0"/>
            </w:pPr>
            <w:r>
              <w:t>600</w:t>
            </w:r>
          </w:p>
        </w:tc>
        <w:tc>
          <w:tcPr>
            <w:tcW w:w="966" w:type="dxa"/>
            <w:tcBorders>
              <w:top w:val="single" w:sz="6" w:space="0" w:color="auto"/>
              <w:bottom w:val="nil"/>
            </w:tcBorders>
          </w:tcPr>
          <w:p w14:paraId="28891D74"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6" w:type="dxa"/>
            <w:tcBorders>
              <w:top w:val="single" w:sz="6" w:space="0" w:color="auto"/>
              <w:bottom w:val="nil"/>
            </w:tcBorders>
          </w:tcPr>
          <w:p w14:paraId="2F3BA5B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0" w:type="dxa"/>
            <w:tcBorders>
              <w:top w:val="single" w:sz="6" w:space="0" w:color="auto"/>
              <w:bottom w:val="nil"/>
            </w:tcBorders>
          </w:tcPr>
          <w:p w14:paraId="1E51F8C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0113BF" w14:paraId="15424BB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33CE87F3" w14:textId="77777777" w:rsidR="00824558" w:rsidRPr="000113BF" w:rsidRDefault="00824558">
            <w:pPr>
              <w:ind w:left="170"/>
              <w:rPr>
                <w:i/>
                <w:iCs/>
              </w:rPr>
            </w:pPr>
            <w:r w:rsidRPr="000113BF">
              <w:rPr>
                <w:i/>
                <w:iCs/>
              </w:rPr>
              <w:t>New performance measure for 2026</w:t>
            </w:r>
            <w:r>
              <w:rPr>
                <w:i/>
                <w:iCs/>
              </w:rPr>
              <w:t>-</w:t>
            </w:r>
            <w:r w:rsidRPr="000113BF">
              <w:rPr>
                <w:i/>
                <w:iCs/>
              </w:rPr>
              <w:t xml:space="preserve">27 to reflect the Social Housing Growth Fund expansion initiative funded in the </w:t>
            </w:r>
            <w:r w:rsidRPr="000113BF">
              <w:t>2026</w:t>
            </w:r>
            <w:r>
              <w:noBreakHyphen/>
            </w:r>
            <w:r w:rsidRPr="000113BF">
              <w:t>27 Budget</w:t>
            </w:r>
            <w:r w:rsidRPr="000113BF">
              <w:rPr>
                <w:i/>
                <w:iCs/>
              </w:rPr>
              <w:t>.</w:t>
            </w:r>
          </w:p>
        </w:tc>
      </w:tr>
      <w:tr w:rsidR="00824558" w:rsidRPr="009C0A3D" w14:paraId="364F345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B60A964" w14:textId="77777777" w:rsidR="00824558" w:rsidRPr="009C0A3D" w:rsidRDefault="00824558">
            <w:pPr>
              <w:keepNext/>
              <w:rPr>
                <w:b/>
                <w:bCs/>
                <w:iCs/>
              </w:rPr>
            </w:pPr>
            <w:r w:rsidRPr="009C0A3D">
              <w:rPr>
                <w:b/>
                <w:bCs/>
                <w:iCs/>
              </w:rPr>
              <w:t>Quality</w:t>
            </w:r>
          </w:p>
        </w:tc>
      </w:tr>
      <w:tr w:rsidR="00824558" w14:paraId="0BA2B4CE"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17981E10" w14:textId="77777777" w:rsidR="00824558" w:rsidRDefault="00824558">
            <w:pPr>
              <w:ind w:left="170"/>
            </w:pPr>
            <w:r>
              <w:t>Credit agencies agree that the presentation and information provided support annual assessment</w:t>
            </w:r>
          </w:p>
        </w:tc>
        <w:tc>
          <w:tcPr>
            <w:tcW w:w="968" w:type="dxa"/>
            <w:tcBorders>
              <w:bottom w:val="single" w:sz="6" w:space="0" w:color="auto"/>
            </w:tcBorders>
          </w:tcPr>
          <w:p w14:paraId="41C61C9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bottom w:val="single" w:sz="6" w:space="0" w:color="auto"/>
            </w:tcBorders>
            <w:shd w:val="clear" w:color="auto" w:fill="F0F0F0"/>
          </w:tcPr>
          <w:p w14:paraId="684378F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6" w:type="dxa"/>
            <w:tcBorders>
              <w:bottom w:val="single" w:sz="6" w:space="0" w:color="auto"/>
            </w:tcBorders>
          </w:tcPr>
          <w:p w14:paraId="7F855B3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6" w:type="dxa"/>
            <w:tcBorders>
              <w:bottom w:val="single" w:sz="6" w:space="0" w:color="auto"/>
            </w:tcBorders>
          </w:tcPr>
          <w:p w14:paraId="3A09875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0" w:type="dxa"/>
            <w:tcBorders>
              <w:bottom w:val="single" w:sz="6" w:space="0" w:color="auto"/>
            </w:tcBorders>
          </w:tcPr>
          <w:p w14:paraId="1A99717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35320E5A" w14:textId="77777777">
        <w:tc>
          <w:tcPr>
            <w:cnfStyle w:val="001000000000" w:firstRow="0" w:lastRow="0" w:firstColumn="1" w:lastColumn="0" w:oddVBand="0" w:evenVBand="0" w:oddHBand="0" w:evenHBand="0" w:firstRowFirstColumn="0" w:firstRowLastColumn="0" w:lastRowFirstColumn="0" w:lastRowLastColumn="0"/>
            <w:tcW w:w="4844" w:type="dxa"/>
            <w:tcBorders>
              <w:bottom w:val="nil"/>
            </w:tcBorders>
          </w:tcPr>
          <w:p w14:paraId="7BFEFCC1" w14:textId="77777777" w:rsidR="00824558" w:rsidRDefault="00824558">
            <w:pPr>
              <w:ind w:left="170"/>
            </w:pPr>
            <w:r w:rsidRPr="00DF4AB7">
              <w:t>Family satisfaction with independent support services provided as part of family support pilot</w:t>
            </w:r>
          </w:p>
        </w:tc>
        <w:tc>
          <w:tcPr>
            <w:tcW w:w="968" w:type="dxa"/>
            <w:tcBorders>
              <w:bottom w:val="nil"/>
            </w:tcBorders>
          </w:tcPr>
          <w:p w14:paraId="0033619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bottom w:val="nil"/>
            </w:tcBorders>
            <w:shd w:val="clear" w:color="auto" w:fill="F0F0F0"/>
          </w:tcPr>
          <w:p w14:paraId="4E349448"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6" w:type="dxa"/>
            <w:tcBorders>
              <w:bottom w:val="nil"/>
            </w:tcBorders>
          </w:tcPr>
          <w:p w14:paraId="52297C9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6" w:type="dxa"/>
            <w:tcBorders>
              <w:bottom w:val="nil"/>
            </w:tcBorders>
          </w:tcPr>
          <w:p w14:paraId="1C9DFE2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0" w:type="dxa"/>
            <w:tcBorders>
              <w:bottom w:val="nil"/>
            </w:tcBorders>
          </w:tcPr>
          <w:p w14:paraId="742B1E3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2E0C61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C5D505C" w14:textId="5D7238D3" w:rsidR="00824558" w:rsidRPr="00DE1E73" w:rsidRDefault="00824558">
            <w:pPr>
              <w:ind w:left="170"/>
              <w:rPr>
                <w:i/>
                <w:iCs/>
              </w:rPr>
            </w:pPr>
            <w:r w:rsidRPr="00DE1E73">
              <w:rPr>
                <w:i/>
                <w:iCs/>
              </w:rPr>
              <w:t xml:space="preserve">New performance measure for </w:t>
            </w:r>
            <w:r w:rsidR="002B57CA">
              <w:rPr>
                <w:i/>
                <w:iCs/>
              </w:rPr>
              <w:t>2026-27</w:t>
            </w:r>
            <w:r w:rsidRPr="00DE1E73">
              <w:rPr>
                <w:i/>
                <w:iCs/>
              </w:rPr>
              <w:t xml:space="preserve"> associated with the Boosting return to work support and delivering safer workplaces for Victorians funded in the </w:t>
            </w:r>
            <w:r w:rsidR="002B57CA">
              <w:t>2026-27</w:t>
            </w:r>
            <w:r w:rsidRPr="00AB4D70">
              <w:t xml:space="preserve"> Budget</w:t>
            </w:r>
            <w:r w:rsidRPr="00DE1E73">
              <w:rPr>
                <w:i/>
                <w:iCs/>
              </w:rPr>
              <w:t>.</w:t>
            </w:r>
          </w:p>
        </w:tc>
      </w:tr>
      <w:tr w:rsidR="00824558" w14:paraId="45083FEC"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041B628E" w14:textId="77777777" w:rsidR="00824558" w:rsidRDefault="00824558">
            <w:pPr>
              <w:ind w:left="170"/>
            </w:pPr>
            <w:r>
              <w:t>Senior responsible owner agrees Gateway review was beneficial and would impact positively on project outcomes</w:t>
            </w:r>
          </w:p>
        </w:tc>
        <w:tc>
          <w:tcPr>
            <w:tcW w:w="968" w:type="dxa"/>
            <w:tcBorders>
              <w:bottom w:val="single" w:sz="6" w:space="0" w:color="auto"/>
            </w:tcBorders>
          </w:tcPr>
          <w:p w14:paraId="29A0960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bottom w:val="single" w:sz="6" w:space="0" w:color="auto"/>
            </w:tcBorders>
            <w:shd w:val="clear" w:color="auto" w:fill="F0F0F0"/>
          </w:tcPr>
          <w:p w14:paraId="10A8CDC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6" w:type="dxa"/>
            <w:tcBorders>
              <w:bottom w:val="single" w:sz="6" w:space="0" w:color="auto"/>
            </w:tcBorders>
          </w:tcPr>
          <w:p w14:paraId="36EBE35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6" w:type="dxa"/>
            <w:tcBorders>
              <w:bottom w:val="single" w:sz="6" w:space="0" w:color="auto"/>
            </w:tcBorders>
          </w:tcPr>
          <w:p w14:paraId="127D42B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0" w:type="dxa"/>
            <w:tcBorders>
              <w:bottom w:val="single" w:sz="6" w:space="0" w:color="auto"/>
            </w:tcBorders>
          </w:tcPr>
          <w:p w14:paraId="6A75D20E"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rsidRPr="009C0A3D" w14:paraId="6F1AE794"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8891C98" w14:textId="77777777" w:rsidR="00824558" w:rsidRPr="009C0A3D" w:rsidRDefault="00824558">
            <w:pPr>
              <w:keepNext/>
              <w:rPr>
                <w:b/>
                <w:bCs/>
                <w:iCs/>
              </w:rPr>
            </w:pPr>
            <w:r w:rsidRPr="009C0A3D">
              <w:rPr>
                <w:b/>
                <w:bCs/>
                <w:iCs/>
              </w:rPr>
              <w:t>Timeliness</w:t>
            </w:r>
          </w:p>
        </w:tc>
      </w:tr>
      <w:tr w:rsidR="00824558" w14:paraId="7D3896C8"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76331C56" w14:textId="77777777" w:rsidR="00824558" w:rsidRDefault="00824558">
            <w:pPr>
              <w:ind w:left="170"/>
            </w:pPr>
            <w:r>
              <w:t>Advice provided to enable the Treasurer to make a dividend and/or capital repatriation determination</w:t>
            </w:r>
          </w:p>
        </w:tc>
        <w:tc>
          <w:tcPr>
            <w:tcW w:w="968" w:type="dxa"/>
            <w:tcBorders>
              <w:bottom w:val="single" w:sz="6" w:space="0" w:color="auto"/>
            </w:tcBorders>
          </w:tcPr>
          <w:p w14:paraId="21D30DF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bottom w:val="single" w:sz="6" w:space="0" w:color="auto"/>
            </w:tcBorders>
            <w:shd w:val="clear" w:color="auto" w:fill="F0F0F0"/>
          </w:tcPr>
          <w:p w14:paraId="38CADCC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bottom w:val="single" w:sz="6" w:space="0" w:color="auto"/>
            </w:tcBorders>
          </w:tcPr>
          <w:p w14:paraId="5983717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bottom w:val="single" w:sz="6" w:space="0" w:color="auto"/>
            </w:tcBorders>
          </w:tcPr>
          <w:p w14:paraId="22A3BEA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0" w:type="dxa"/>
            <w:tcBorders>
              <w:bottom w:val="single" w:sz="6" w:space="0" w:color="auto"/>
            </w:tcBorders>
          </w:tcPr>
          <w:p w14:paraId="7ED6459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CDB640F" w14:textId="77777777">
        <w:tc>
          <w:tcPr>
            <w:cnfStyle w:val="001000000000" w:firstRow="0" w:lastRow="0" w:firstColumn="1" w:lastColumn="0" w:oddVBand="0" w:evenVBand="0" w:oddHBand="0" w:evenHBand="0" w:firstRowFirstColumn="0" w:firstRowLastColumn="0" w:lastRowFirstColumn="0" w:lastRowLastColumn="0"/>
            <w:tcW w:w="4844" w:type="dxa"/>
            <w:tcBorders>
              <w:bottom w:val="single" w:sz="6" w:space="0" w:color="auto"/>
            </w:tcBorders>
          </w:tcPr>
          <w:p w14:paraId="7EFD6A44" w14:textId="77777777" w:rsidR="00824558" w:rsidRDefault="00824558">
            <w:pPr>
              <w:ind w:left="170"/>
            </w:pPr>
            <w:r>
              <w:t>Advice provided to Government on board appointments at least three months prior to upcoming board vacancies</w:t>
            </w:r>
          </w:p>
        </w:tc>
        <w:tc>
          <w:tcPr>
            <w:tcW w:w="968" w:type="dxa"/>
            <w:tcBorders>
              <w:bottom w:val="single" w:sz="6" w:space="0" w:color="auto"/>
            </w:tcBorders>
          </w:tcPr>
          <w:p w14:paraId="5AE2BD6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tcBorders>
              <w:bottom w:val="single" w:sz="6" w:space="0" w:color="auto"/>
            </w:tcBorders>
            <w:shd w:val="clear" w:color="auto" w:fill="F0F0F0"/>
          </w:tcPr>
          <w:p w14:paraId="4788ADE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bottom w:val="single" w:sz="6" w:space="0" w:color="auto"/>
            </w:tcBorders>
          </w:tcPr>
          <w:p w14:paraId="6185159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6" w:type="dxa"/>
            <w:tcBorders>
              <w:bottom w:val="single" w:sz="6" w:space="0" w:color="auto"/>
            </w:tcBorders>
          </w:tcPr>
          <w:p w14:paraId="499A406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0" w:type="dxa"/>
            <w:tcBorders>
              <w:bottom w:val="single" w:sz="6" w:space="0" w:color="auto"/>
            </w:tcBorders>
          </w:tcPr>
          <w:p w14:paraId="3DA5CDF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59AAEB9D" w14:textId="77777777">
        <w:tc>
          <w:tcPr>
            <w:cnfStyle w:val="001000000000" w:firstRow="0" w:lastRow="0" w:firstColumn="1" w:lastColumn="0" w:oddVBand="0" w:evenVBand="0" w:oddHBand="0" w:evenHBand="0" w:firstRowFirstColumn="0" w:firstRowLastColumn="0" w:lastRowFirstColumn="0" w:lastRowLastColumn="0"/>
            <w:tcW w:w="4844" w:type="dxa"/>
          </w:tcPr>
          <w:p w14:paraId="279A596F" w14:textId="77777777" w:rsidR="00824558" w:rsidRDefault="00824558">
            <w:pPr>
              <w:keepNext/>
              <w:ind w:left="170"/>
            </w:pPr>
            <w:r>
              <w:t>Analysis and review of corporate plans within two months of receipt</w:t>
            </w:r>
          </w:p>
        </w:tc>
        <w:tc>
          <w:tcPr>
            <w:tcW w:w="968" w:type="dxa"/>
          </w:tcPr>
          <w:p w14:paraId="6765C3D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35" w:type="dxa"/>
            <w:shd w:val="clear" w:color="auto" w:fill="F0F0F0"/>
          </w:tcPr>
          <w:p w14:paraId="461660F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6" w:type="dxa"/>
          </w:tcPr>
          <w:p w14:paraId="6392284F" w14:textId="77777777" w:rsidR="00824558" w:rsidRDefault="00824558">
            <w:pPr>
              <w:cnfStyle w:val="000000000000" w:firstRow="0" w:lastRow="0" w:firstColumn="0" w:lastColumn="0" w:oddVBand="0" w:evenVBand="0" w:oddHBand="0" w:evenHBand="0" w:firstRowFirstColumn="0" w:firstRowLastColumn="0" w:lastRowFirstColumn="0" w:lastRowLastColumn="0"/>
            </w:pPr>
            <w:r>
              <w:t>45</w:t>
            </w:r>
          </w:p>
        </w:tc>
        <w:tc>
          <w:tcPr>
            <w:tcW w:w="966" w:type="dxa"/>
          </w:tcPr>
          <w:p w14:paraId="79215D53"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0" w:type="dxa"/>
          </w:tcPr>
          <w:p w14:paraId="1006384F"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r>
      <w:tr w:rsidR="00824558" w14:paraId="4D36796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D1DD9BA" w14:textId="77777777" w:rsidR="00824558" w:rsidRPr="009B0184" w:rsidRDefault="00824558">
            <w:pPr>
              <w:ind w:left="170"/>
              <w:rPr>
                <w:i/>
              </w:rPr>
            </w:pPr>
            <w:r w:rsidRPr="00C91F47">
              <w:rPr>
                <w:i/>
                <w:lang w:val="en-US"/>
              </w:rPr>
              <w:t>The 2025</w:t>
            </w:r>
            <w:r w:rsidRPr="00802E3C">
              <w:rPr>
                <w:i/>
                <w:iCs/>
                <w:lang w:val="en-US"/>
              </w:rPr>
              <w:t>-</w:t>
            </w:r>
            <w:r w:rsidRPr="00C91F47">
              <w:rPr>
                <w:i/>
                <w:lang w:val="en-US"/>
              </w:rPr>
              <w:t xml:space="preserve">26 expected outcome is lower than the target due to </w:t>
            </w:r>
            <w:r w:rsidRPr="00802E3C">
              <w:rPr>
                <w:i/>
                <w:iCs/>
                <w:lang w:val="en-US"/>
              </w:rPr>
              <w:t>introduction of new processes to review and analyse</w:t>
            </w:r>
            <w:r w:rsidRPr="00C91F47">
              <w:rPr>
                <w:i/>
                <w:lang w:val="en-US"/>
              </w:rPr>
              <w:t xml:space="preserve"> corporate </w:t>
            </w:r>
            <w:r w:rsidRPr="00802E3C">
              <w:rPr>
                <w:i/>
                <w:iCs/>
                <w:lang w:val="en-US"/>
              </w:rPr>
              <w:t xml:space="preserve">plans for the PNFC sector. </w:t>
            </w:r>
          </w:p>
        </w:tc>
      </w:tr>
      <w:tr w:rsidR="00824558" w:rsidRPr="009C0A3D" w14:paraId="6D2110ED"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DDD4807" w14:textId="77777777" w:rsidR="00824558" w:rsidRPr="009C0A3D" w:rsidRDefault="00824558">
            <w:pPr>
              <w:keepNext/>
              <w:rPr>
                <w:b/>
                <w:bCs/>
                <w:iCs/>
              </w:rPr>
            </w:pPr>
            <w:r w:rsidRPr="009C0A3D">
              <w:rPr>
                <w:b/>
                <w:bCs/>
                <w:iCs/>
              </w:rPr>
              <w:t>Cost</w:t>
            </w:r>
          </w:p>
        </w:tc>
      </w:tr>
      <w:tr w:rsidR="00C320E5" w14:paraId="5C2B90E7" w14:textId="77777777" w:rsidTr="005D3A4A">
        <w:tc>
          <w:tcPr>
            <w:cnfStyle w:val="001000000000" w:firstRow="0" w:lastRow="0" w:firstColumn="1" w:lastColumn="0" w:oddVBand="0" w:evenVBand="0" w:oddHBand="0" w:evenHBand="0" w:firstRowFirstColumn="0" w:firstRowLastColumn="0" w:lastRowFirstColumn="0" w:lastRowLastColumn="0"/>
            <w:tcW w:w="4844" w:type="dxa"/>
          </w:tcPr>
          <w:p w14:paraId="289352E1" w14:textId="77777777" w:rsidR="00C320E5" w:rsidRDefault="00C320E5" w:rsidP="00C320E5">
            <w:pPr>
              <w:keepNext/>
              <w:ind w:left="170"/>
            </w:pPr>
            <w:r>
              <w:t>Total output cost</w:t>
            </w:r>
          </w:p>
        </w:tc>
        <w:tc>
          <w:tcPr>
            <w:tcW w:w="968" w:type="dxa"/>
          </w:tcPr>
          <w:p w14:paraId="36DF421A" w14:textId="77777777" w:rsidR="00C320E5" w:rsidRDefault="00C320E5" w:rsidP="00C320E5">
            <w:pPr>
              <w:jc w:val="center"/>
              <w:cnfStyle w:val="000000000000" w:firstRow="0" w:lastRow="0" w:firstColumn="0" w:lastColumn="0" w:oddVBand="0" w:evenVBand="0" w:oddHBand="0" w:evenHBand="0" w:firstRowFirstColumn="0" w:firstRowLastColumn="0" w:lastRowFirstColumn="0" w:lastRowLastColumn="0"/>
            </w:pPr>
            <w:r>
              <w:t>$ million</w:t>
            </w:r>
          </w:p>
        </w:tc>
        <w:tc>
          <w:tcPr>
            <w:tcW w:w="935" w:type="dxa"/>
            <w:shd w:val="clear" w:color="auto" w:fill="F0F0F0"/>
          </w:tcPr>
          <w:p w14:paraId="2DF7BA69" w14:textId="18A2AC07" w:rsidR="00C320E5" w:rsidRDefault="00C320E5" w:rsidP="00C320E5">
            <w:pPr>
              <w:cnfStyle w:val="000000000000" w:firstRow="0" w:lastRow="0" w:firstColumn="0" w:lastColumn="0" w:oddVBand="0" w:evenVBand="0" w:oddHBand="0" w:evenHBand="0" w:firstRowFirstColumn="0" w:firstRowLastColumn="0" w:lastRowFirstColumn="0" w:lastRowLastColumn="0"/>
            </w:pPr>
            <w:r>
              <w:t>95.5</w:t>
            </w:r>
          </w:p>
        </w:tc>
        <w:tc>
          <w:tcPr>
            <w:tcW w:w="966" w:type="dxa"/>
          </w:tcPr>
          <w:p w14:paraId="13B71541" w14:textId="3ECB5748" w:rsidR="00C320E5" w:rsidRDefault="00C320E5" w:rsidP="00C320E5">
            <w:pPr>
              <w:cnfStyle w:val="000000000000" w:firstRow="0" w:lastRow="0" w:firstColumn="0" w:lastColumn="0" w:oddVBand="0" w:evenVBand="0" w:oddHBand="0" w:evenHBand="0" w:firstRowFirstColumn="0" w:firstRowLastColumn="0" w:lastRowFirstColumn="0" w:lastRowLastColumn="0"/>
            </w:pPr>
            <w:r>
              <w:t>89.6</w:t>
            </w:r>
          </w:p>
        </w:tc>
        <w:tc>
          <w:tcPr>
            <w:tcW w:w="966" w:type="dxa"/>
          </w:tcPr>
          <w:p w14:paraId="71B7208C" w14:textId="77777777" w:rsidR="00C320E5" w:rsidRDefault="00C320E5" w:rsidP="00C320E5">
            <w:pPr>
              <w:cnfStyle w:val="000000000000" w:firstRow="0" w:lastRow="0" w:firstColumn="0" w:lastColumn="0" w:oddVBand="0" w:evenVBand="0" w:oddHBand="0" w:evenHBand="0" w:firstRowFirstColumn="0" w:firstRowLastColumn="0" w:lastRowFirstColumn="0" w:lastRowLastColumn="0"/>
            </w:pPr>
            <w:r>
              <w:t>92.1</w:t>
            </w:r>
          </w:p>
        </w:tc>
        <w:tc>
          <w:tcPr>
            <w:tcW w:w="960" w:type="dxa"/>
          </w:tcPr>
          <w:p w14:paraId="19689512" w14:textId="4D4FBD24" w:rsidR="00C320E5" w:rsidRDefault="00C320E5" w:rsidP="00C320E5">
            <w:pPr>
              <w:cnfStyle w:val="000000000000" w:firstRow="0" w:lastRow="0" w:firstColumn="0" w:lastColumn="0" w:oddVBand="0" w:evenVBand="0" w:oddHBand="0" w:evenHBand="0" w:firstRowFirstColumn="0" w:firstRowLastColumn="0" w:lastRowFirstColumn="0" w:lastRowLastColumn="0"/>
            </w:pPr>
            <w:r>
              <w:t>69.9</w:t>
            </w:r>
          </w:p>
        </w:tc>
      </w:tr>
      <w:tr w:rsidR="00824558" w14:paraId="02FA1C96"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E62E50F" w14:textId="00F21F1D" w:rsidR="00824558" w:rsidRDefault="005572F1">
            <w:pPr>
              <w:ind w:left="170"/>
            </w:pPr>
            <w:r w:rsidRPr="006D1EC9">
              <w:rPr>
                <w:i/>
                <w:iCs/>
              </w:rPr>
              <w:t>The higher 2026-27 target primarily reflects the funding received for Boosting return to work support and delivering safer workplaces for Victorians.</w:t>
            </w:r>
          </w:p>
        </w:tc>
      </w:tr>
    </w:tbl>
    <w:p w14:paraId="50275971" w14:textId="77777777" w:rsidR="00824558" w:rsidRDefault="00824558">
      <w:pPr>
        <w:pStyle w:val="Source"/>
      </w:pPr>
      <w:r>
        <w:t>Source: Department of Treasury and Finance</w:t>
      </w:r>
    </w:p>
    <w:p w14:paraId="109F31AD" w14:textId="73A50C47" w:rsidR="00824558" w:rsidRDefault="00824558">
      <w:pPr>
        <w:pStyle w:val="Heading3"/>
      </w:pPr>
      <w:r>
        <w:t>Infrastructure Victoria</w:t>
      </w:r>
      <w:r>
        <w:tab/>
        <w:t>(2026-27: $</w:t>
      </w:r>
      <w:r w:rsidR="005572F1">
        <w:t>7.4</w:t>
      </w:r>
      <w:r>
        <w:t xml:space="preserve"> million)</w:t>
      </w:r>
    </w:p>
    <w:p w14:paraId="46417A5C" w14:textId="77777777" w:rsidR="00824558" w:rsidRDefault="00824558">
      <w:pPr>
        <w:keepNext/>
        <w:spacing w:after="120"/>
      </w:pPr>
      <w:r w:rsidRPr="005955D6">
        <w:t>This output provides independent and transparent advice to government on infrastructure priorities and sets a long-term strategy for infrastructure investment.</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4DD0AAFB" w14:textId="77777777" w:rsidTr="00557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9000452" w14:textId="77777777" w:rsidR="00824558" w:rsidRDefault="00824558">
            <w:r>
              <w:t>Performance measure</w:t>
            </w:r>
          </w:p>
        </w:tc>
        <w:tc>
          <w:tcPr>
            <w:tcW w:w="964" w:type="dxa"/>
          </w:tcPr>
          <w:p w14:paraId="70B2A304"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024B98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BED56D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B28584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25D0942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77951F24" w14:textId="77777777" w:rsidTr="005572F1">
        <w:tc>
          <w:tcPr>
            <w:cnfStyle w:val="001000000000" w:firstRow="0" w:lastRow="0" w:firstColumn="1" w:lastColumn="0" w:oddVBand="0" w:evenVBand="0" w:oddHBand="0" w:evenHBand="0" w:firstRowFirstColumn="0" w:firstRowLastColumn="0" w:lastRowFirstColumn="0" w:lastRowLastColumn="0"/>
            <w:tcW w:w="9639" w:type="dxa"/>
            <w:gridSpan w:val="6"/>
          </w:tcPr>
          <w:p w14:paraId="593C40F7" w14:textId="77777777" w:rsidR="00824558" w:rsidRPr="009C0A3D" w:rsidRDefault="00824558">
            <w:pPr>
              <w:keepNext/>
              <w:rPr>
                <w:b/>
                <w:bCs/>
                <w:iCs/>
              </w:rPr>
            </w:pPr>
            <w:r w:rsidRPr="009C0A3D">
              <w:rPr>
                <w:b/>
                <w:bCs/>
                <w:iCs/>
              </w:rPr>
              <w:t>Quantity</w:t>
            </w:r>
          </w:p>
        </w:tc>
      </w:tr>
      <w:tr w:rsidR="00824558" w14:paraId="48FB1AAC" w14:textId="77777777" w:rsidTr="005572F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ED898FF" w14:textId="77777777" w:rsidR="00824558" w:rsidRDefault="00824558">
            <w:pPr>
              <w:ind w:left="170"/>
            </w:pPr>
            <w:r>
              <w:t>Number of publications or discussion papers released</w:t>
            </w:r>
          </w:p>
        </w:tc>
        <w:tc>
          <w:tcPr>
            <w:tcW w:w="964" w:type="dxa"/>
            <w:tcBorders>
              <w:bottom w:val="single" w:sz="6" w:space="0" w:color="auto"/>
            </w:tcBorders>
          </w:tcPr>
          <w:p w14:paraId="46723E4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7CC5395"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64AF4588"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330B5A68"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c>
          <w:tcPr>
            <w:tcW w:w="964" w:type="dxa"/>
            <w:tcBorders>
              <w:bottom w:val="single" w:sz="6" w:space="0" w:color="auto"/>
            </w:tcBorders>
          </w:tcPr>
          <w:p w14:paraId="5598261D" w14:textId="77777777" w:rsidR="00824558" w:rsidRDefault="00824558">
            <w:pPr>
              <w:cnfStyle w:val="000000000000" w:firstRow="0" w:lastRow="0" w:firstColumn="0" w:lastColumn="0" w:oddVBand="0" w:evenVBand="0" w:oddHBand="0" w:evenHBand="0" w:firstRowFirstColumn="0" w:firstRowLastColumn="0" w:lastRowFirstColumn="0" w:lastRowLastColumn="0"/>
            </w:pPr>
            <w:r>
              <w:t>6</w:t>
            </w:r>
          </w:p>
        </w:tc>
      </w:tr>
      <w:tr w:rsidR="00824558" w:rsidRPr="009C0A3D" w14:paraId="4C59E7DF" w14:textId="77777777" w:rsidTr="005572F1">
        <w:tc>
          <w:tcPr>
            <w:cnfStyle w:val="001000000000" w:firstRow="0" w:lastRow="0" w:firstColumn="1" w:lastColumn="0" w:oddVBand="0" w:evenVBand="0" w:oddHBand="0" w:evenHBand="0" w:firstRowFirstColumn="0" w:firstRowLastColumn="0" w:lastRowFirstColumn="0" w:lastRowLastColumn="0"/>
            <w:tcW w:w="9639" w:type="dxa"/>
            <w:gridSpan w:val="6"/>
          </w:tcPr>
          <w:p w14:paraId="643B2727" w14:textId="77777777" w:rsidR="00824558" w:rsidRPr="009C0A3D" w:rsidRDefault="00824558">
            <w:pPr>
              <w:keepNext/>
              <w:rPr>
                <w:b/>
                <w:bCs/>
                <w:iCs/>
              </w:rPr>
            </w:pPr>
            <w:r w:rsidRPr="009C0A3D">
              <w:rPr>
                <w:b/>
                <w:bCs/>
                <w:iCs/>
              </w:rPr>
              <w:t>Quality</w:t>
            </w:r>
          </w:p>
        </w:tc>
      </w:tr>
      <w:tr w:rsidR="00824558" w14:paraId="2F63DE6C" w14:textId="77777777" w:rsidTr="005572F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2134A6" w14:textId="77777777" w:rsidR="00824558" w:rsidRDefault="00824558">
            <w:pPr>
              <w:ind w:left="170"/>
            </w:pPr>
            <w:r>
              <w:t>Stakeholder satisfaction with consultation process</w:t>
            </w:r>
          </w:p>
        </w:tc>
        <w:tc>
          <w:tcPr>
            <w:tcW w:w="964" w:type="dxa"/>
            <w:tcBorders>
              <w:bottom w:val="single" w:sz="6" w:space="0" w:color="auto"/>
            </w:tcBorders>
          </w:tcPr>
          <w:p w14:paraId="04ED879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778A0B"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2FF787D6"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4622ED4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44F613D6"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r>
      <w:tr w:rsidR="00824558" w:rsidRPr="009C0A3D" w14:paraId="534D3F96" w14:textId="77777777" w:rsidTr="005572F1">
        <w:tc>
          <w:tcPr>
            <w:cnfStyle w:val="001000000000" w:firstRow="0" w:lastRow="0" w:firstColumn="1" w:lastColumn="0" w:oddVBand="0" w:evenVBand="0" w:oddHBand="0" w:evenHBand="0" w:firstRowFirstColumn="0" w:firstRowLastColumn="0" w:lastRowFirstColumn="0" w:lastRowLastColumn="0"/>
            <w:tcW w:w="9639" w:type="dxa"/>
            <w:gridSpan w:val="6"/>
          </w:tcPr>
          <w:p w14:paraId="25589B5F" w14:textId="77777777" w:rsidR="00824558" w:rsidRPr="009C0A3D" w:rsidRDefault="00824558">
            <w:pPr>
              <w:keepNext/>
              <w:rPr>
                <w:b/>
                <w:bCs/>
                <w:iCs/>
              </w:rPr>
            </w:pPr>
            <w:r w:rsidRPr="009C0A3D">
              <w:rPr>
                <w:b/>
                <w:bCs/>
                <w:iCs/>
              </w:rPr>
              <w:t>Timeliness</w:t>
            </w:r>
          </w:p>
        </w:tc>
      </w:tr>
      <w:tr w:rsidR="00824558" w14:paraId="61B3E989" w14:textId="77777777" w:rsidTr="005572F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58D408C" w14:textId="77777777" w:rsidR="00824558" w:rsidRDefault="00824558">
            <w:pPr>
              <w:ind w:left="170"/>
            </w:pPr>
            <w:r>
              <w:t>Delivery of research, advisory or infrastructure strategies within agreed timelines</w:t>
            </w:r>
          </w:p>
        </w:tc>
        <w:tc>
          <w:tcPr>
            <w:tcW w:w="964" w:type="dxa"/>
            <w:tcBorders>
              <w:bottom w:val="single" w:sz="6" w:space="0" w:color="auto"/>
            </w:tcBorders>
          </w:tcPr>
          <w:p w14:paraId="26F219A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0CEA02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1E3413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649287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FA2C03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4F60CD42" w14:textId="77777777" w:rsidTr="005572F1">
        <w:tc>
          <w:tcPr>
            <w:cnfStyle w:val="001000000000" w:firstRow="0" w:lastRow="0" w:firstColumn="1" w:lastColumn="0" w:oddVBand="0" w:evenVBand="0" w:oddHBand="0" w:evenHBand="0" w:firstRowFirstColumn="0" w:firstRowLastColumn="0" w:lastRowFirstColumn="0" w:lastRowLastColumn="0"/>
            <w:tcW w:w="9639" w:type="dxa"/>
            <w:gridSpan w:val="6"/>
          </w:tcPr>
          <w:p w14:paraId="4E132434" w14:textId="77777777" w:rsidR="00824558" w:rsidRPr="009C0A3D" w:rsidRDefault="00824558">
            <w:pPr>
              <w:keepNext/>
              <w:rPr>
                <w:b/>
                <w:bCs/>
                <w:iCs/>
              </w:rPr>
            </w:pPr>
            <w:r w:rsidRPr="009C0A3D">
              <w:rPr>
                <w:b/>
                <w:bCs/>
                <w:iCs/>
              </w:rPr>
              <w:t>Cost</w:t>
            </w:r>
          </w:p>
        </w:tc>
      </w:tr>
      <w:tr w:rsidR="00824558" w14:paraId="5EE2CAC2" w14:textId="77777777" w:rsidTr="005572F1">
        <w:tc>
          <w:tcPr>
            <w:cnfStyle w:val="001000000000" w:firstRow="0" w:lastRow="0" w:firstColumn="1" w:lastColumn="0" w:oddVBand="0" w:evenVBand="0" w:oddHBand="0" w:evenHBand="0" w:firstRowFirstColumn="0" w:firstRowLastColumn="0" w:lastRowFirstColumn="0" w:lastRowLastColumn="0"/>
            <w:tcW w:w="4819" w:type="dxa"/>
          </w:tcPr>
          <w:p w14:paraId="4FAF4C2B" w14:textId="77777777" w:rsidR="00824558" w:rsidRDefault="00824558">
            <w:pPr>
              <w:ind w:left="170"/>
            </w:pPr>
            <w:r>
              <w:t>Total output cost</w:t>
            </w:r>
          </w:p>
        </w:tc>
        <w:tc>
          <w:tcPr>
            <w:tcW w:w="964" w:type="dxa"/>
          </w:tcPr>
          <w:p w14:paraId="1309FCB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0131C6D1" w14:textId="01610E14" w:rsidR="00824558" w:rsidRPr="005572F1" w:rsidRDefault="005572F1">
            <w:pPr>
              <w:cnfStyle w:val="000000000000" w:firstRow="0" w:lastRow="0" w:firstColumn="0" w:lastColumn="0" w:oddVBand="0" w:evenVBand="0" w:oddHBand="0" w:evenHBand="0" w:firstRowFirstColumn="0" w:firstRowLastColumn="0" w:lastRowFirstColumn="0" w:lastRowLastColumn="0"/>
            </w:pPr>
            <w:r w:rsidRPr="005572F1">
              <w:t>7.4</w:t>
            </w:r>
          </w:p>
        </w:tc>
        <w:tc>
          <w:tcPr>
            <w:tcW w:w="964" w:type="dxa"/>
          </w:tcPr>
          <w:p w14:paraId="6DA4DF78" w14:textId="77777777" w:rsidR="00824558" w:rsidRPr="005572F1" w:rsidRDefault="00824558">
            <w:pPr>
              <w:cnfStyle w:val="000000000000" w:firstRow="0" w:lastRow="0" w:firstColumn="0" w:lastColumn="0" w:oddVBand="0" w:evenVBand="0" w:oddHBand="0" w:evenHBand="0" w:firstRowFirstColumn="0" w:firstRowLastColumn="0" w:lastRowFirstColumn="0" w:lastRowLastColumn="0"/>
            </w:pPr>
            <w:r w:rsidRPr="005572F1">
              <w:t>9.5</w:t>
            </w:r>
          </w:p>
        </w:tc>
        <w:tc>
          <w:tcPr>
            <w:tcW w:w="964" w:type="dxa"/>
          </w:tcPr>
          <w:p w14:paraId="691DEA7D"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3BB9B85E" w14:textId="29C35A97" w:rsidR="00824558" w:rsidRDefault="00824558">
            <w:pPr>
              <w:cnfStyle w:val="000000000000" w:firstRow="0" w:lastRow="0" w:firstColumn="0" w:lastColumn="0" w:oddVBand="0" w:evenVBand="0" w:oddHBand="0" w:evenHBand="0" w:firstRowFirstColumn="0" w:firstRowLastColumn="0" w:lastRowFirstColumn="0" w:lastRowLastColumn="0"/>
            </w:pPr>
            <w:r>
              <w:t>9</w:t>
            </w:r>
            <w:r w:rsidR="005572F1">
              <w:t>.4</w:t>
            </w:r>
          </w:p>
        </w:tc>
      </w:tr>
      <w:tr w:rsidR="005572F1" w14:paraId="003BED34"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AAA3EE6" w14:textId="65999E2A" w:rsidR="005572F1" w:rsidRDefault="00377038" w:rsidP="00377038">
            <w:pPr>
              <w:ind w:left="170"/>
            </w:pPr>
            <w:r w:rsidRPr="006D1EC9">
              <w:rPr>
                <w:i/>
                <w:iCs/>
              </w:rPr>
              <w:t>The lower 2026-27 target mainly reflects the impact of savings from the Independent Review of the Victorian Public Service.</w:t>
            </w:r>
          </w:p>
        </w:tc>
      </w:tr>
    </w:tbl>
    <w:p w14:paraId="3D8961CC" w14:textId="77777777" w:rsidR="00824558" w:rsidRDefault="00824558">
      <w:pPr>
        <w:pStyle w:val="Source"/>
      </w:pPr>
      <w:r>
        <w:t>Source: Department of Treasury and Finance</w:t>
      </w:r>
    </w:p>
    <w:p w14:paraId="5A79A979" w14:textId="77777777" w:rsidR="00824558" w:rsidRDefault="00824558">
      <w:pPr>
        <w:keepLines w:val="0"/>
        <w:rPr>
          <w:rFonts w:asciiTheme="majorHAnsi" w:hAnsiTheme="majorHAnsi" w:cstheme="minorBidi"/>
          <w:b/>
          <w:sz w:val="20"/>
        </w:rPr>
      </w:pPr>
    </w:p>
    <w:p w14:paraId="41480843" w14:textId="77777777" w:rsidR="00B64FD1" w:rsidRDefault="00B64FD1">
      <w:pPr>
        <w:keepLines w:val="0"/>
        <w:rPr>
          <w:rFonts w:asciiTheme="majorHAnsi" w:hAnsiTheme="majorHAnsi" w:cstheme="minorBidi"/>
          <w:b/>
          <w:sz w:val="20"/>
        </w:rPr>
      </w:pPr>
      <w:r>
        <w:br w:type="page"/>
      </w:r>
    </w:p>
    <w:p w14:paraId="0867630C" w14:textId="0CA67703" w:rsidR="00824558" w:rsidRPr="004D3B50" w:rsidRDefault="00824558" w:rsidP="00A242A3">
      <w:pPr>
        <w:pStyle w:val="ShadedBoxHeading"/>
      </w:pPr>
      <w:r w:rsidRPr="004D3B50">
        <w:t xml:space="preserve">Objective 4: </w:t>
      </w:r>
      <w:bookmarkStart w:id="21" w:name="_Hlk163476831"/>
      <w:r w:rsidRPr="004D3B50">
        <w:t>Strengthen Victoria</w:t>
      </w:r>
      <w:r w:rsidR="007942D1">
        <w:t>’</w:t>
      </w:r>
      <w:r w:rsidRPr="004D3B50">
        <w:t>s economic performance through fair, equitable and productive workplaces</w:t>
      </w:r>
      <w:bookmarkEnd w:id="21"/>
    </w:p>
    <w:p w14:paraId="014F7FE8" w14:textId="77777777" w:rsidR="00824558" w:rsidRPr="004D3B50" w:rsidRDefault="00824558">
      <w:pPr>
        <w:pStyle w:val="ShadedBoxText"/>
      </w:pPr>
      <w:bookmarkStart w:id="22" w:name="_Hlk160461123"/>
      <w:r w:rsidRPr="004D3B50">
        <w:t>Under this objective, the Department delivers strategic industrial relations legislative, policy and technical advice to the Government and departments. The Department develops and reviews regulatory frameworks to support a positive industrial relations environment and promotes fair and productive workplaces, secure work and gender pay equity.</w:t>
      </w:r>
    </w:p>
    <w:bookmarkEnd w:id="22"/>
    <w:p w14:paraId="61EA91C4" w14:textId="77777777" w:rsidR="00824558" w:rsidRPr="004D3B50" w:rsidRDefault="00824558">
      <w:pPr>
        <w:pStyle w:val="ShadedBoxText"/>
      </w:pPr>
      <w:r w:rsidRPr="004D3B50">
        <w:t>The departmental objective indicator is</w:t>
      </w:r>
      <w:r>
        <w:t xml:space="preserve"> </w:t>
      </w:r>
      <w:r w:rsidRPr="004D3B50">
        <w:t>advice contribut</w:t>
      </w:r>
      <w:r>
        <w:t>ing</w:t>
      </w:r>
      <w:r w:rsidRPr="004D3B50">
        <w:t xml:space="preserve"> to the achievement of government policies and priorities relating to industrial relations outcomes.</w:t>
      </w:r>
    </w:p>
    <w:p w14:paraId="7EE6E5AA" w14:textId="77777777" w:rsidR="00824558" w:rsidRDefault="00824558">
      <w:pPr>
        <w:pStyle w:val="Heading2"/>
      </w:pPr>
      <w:r>
        <w:t>Outputs</w:t>
      </w:r>
    </w:p>
    <w:p w14:paraId="7B05B1C6" w14:textId="00E0B22A" w:rsidR="00824558" w:rsidRDefault="00824558">
      <w:pPr>
        <w:pStyle w:val="Heading3"/>
      </w:pPr>
      <w:r>
        <w:t>Industrial Relations</w:t>
      </w:r>
      <w:r>
        <w:tab/>
        <w:t>(2026-</w:t>
      </w:r>
      <w:r w:rsidRPr="00377038">
        <w:t>27: $</w:t>
      </w:r>
      <w:r w:rsidR="00377038" w:rsidRPr="00377038">
        <w:t>23.</w:t>
      </w:r>
      <w:r w:rsidR="00377038">
        <w:t>3</w:t>
      </w:r>
      <w:r>
        <w:t xml:space="preserve"> million)</w:t>
      </w:r>
    </w:p>
    <w:p w14:paraId="2482056C" w14:textId="01AE373F" w:rsidR="00824558" w:rsidRPr="003F0BBA" w:rsidRDefault="00824558">
      <w:pPr>
        <w:keepNext/>
        <w:spacing w:after="120"/>
      </w:pPr>
      <w:r w:rsidRPr="005955D6">
        <w:t xml:space="preserve">This output contributes to the promotion of fair jobs and a positive industrial relations environment through sound industrial relations policy and advice to </w:t>
      </w:r>
      <w:r w:rsidR="00F53A76">
        <w:t>G</w:t>
      </w:r>
      <w:r w:rsidRPr="005955D6">
        <w:t>overnment. This includes oversight of enterprise bargaining across the Victorian public sector and support for Victoria</w:t>
      </w:r>
      <w:r w:rsidR="007942D1">
        <w:t>’</w:t>
      </w:r>
      <w:r w:rsidRPr="005955D6">
        <w:t>s participation in the national workplace relations system.</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089AA2E4" w14:textId="77777777" w:rsidTr="005F67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B16C9E4" w14:textId="77777777" w:rsidR="00824558" w:rsidRDefault="00824558">
            <w:r>
              <w:t>Performance measure</w:t>
            </w:r>
          </w:p>
        </w:tc>
        <w:tc>
          <w:tcPr>
            <w:tcW w:w="964" w:type="dxa"/>
          </w:tcPr>
          <w:p w14:paraId="244BF88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189746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143AA2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BE4458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F4B58C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8C09EA" w14:paraId="3B32C1B2"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Pr>
          <w:p w14:paraId="2F67C664" w14:textId="77777777" w:rsidR="00824558" w:rsidRPr="008C09EA" w:rsidRDefault="00824558">
            <w:pPr>
              <w:keepNext/>
              <w:rPr>
                <w:b/>
                <w:bCs/>
                <w:iCs/>
              </w:rPr>
            </w:pPr>
            <w:r w:rsidRPr="008C09EA">
              <w:rPr>
                <w:b/>
                <w:bCs/>
                <w:iCs/>
              </w:rPr>
              <w:t>Quantity</w:t>
            </w:r>
          </w:p>
        </w:tc>
      </w:tr>
      <w:tr w:rsidR="00824558" w14:paraId="07AB1341" w14:textId="77777777" w:rsidTr="005F67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3D9B90" w14:textId="77777777" w:rsidR="00824558" w:rsidRDefault="00824558">
            <w:pPr>
              <w:ind w:left="170"/>
            </w:pPr>
            <w:r>
              <w:t>Public sector agreements renewed and approved within current enterprise bargaining framework</w:t>
            </w:r>
          </w:p>
        </w:tc>
        <w:tc>
          <w:tcPr>
            <w:tcW w:w="964" w:type="dxa"/>
            <w:tcBorders>
              <w:bottom w:val="single" w:sz="6" w:space="0" w:color="auto"/>
            </w:tcBorders>
          </w:tcPr>
          <w:p w14:paraId="4785AB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E0751B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9D7FFA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E76850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3DB1B1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4EE03CA8" w14:textId="77777777" w:rsidTr="005F6728">
        <w:tc>
          <w:tcPr>
            <w:cnfStyle w:val="001000000000" w:firstRow="0" w:lastRow="0" w:firstColumn="1" w:lastColumn="0" w:oddVBand="0" w:evenVBand="0" w:oddHBand="0" w:evenHBand="0" w:firstRowFirstColumn="0" w:firstRowLastColumn="0" w:lastRowFirstColumn="0" w:lastRowLastColumn="0"/>
            <w:tcW w:w="4819" w:type="dxa"/>
          </w:tcPr>
          <w:p w14:paraId="490E6C8B" w14:textId="77777777" w:rsidR="00824558" w:rsidRDefault="00824558">
            <w:pPr>
              <w:keepNext/>
              <w:ind w:left="170"/>
            </w:pPr>
            <w:r>
              <w:t>Workforce Inspectorate Victoria: Child employment investigations and compliance activities completed</w:t>
            </w:r>
          </w:p>
        </w:tc>
        <w:tc>
          <w:tcPr>
            <w:tcW w:w="964" w:type="dxa"/>
          </w:tcPr>
          <w:p w14:paraId="4966F8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E609E16"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2B9D7368"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52612636" w14:textId="77777777" w:rsidR="00824558" w:rsidRDefault="00824558">
            <w:pPr>
              <w:cnfStyle w:val="000000000000" w:firstRow="0" w:lastRow="0" w:firstColumn="0" w:lastColumn="0" w:oddVBand="0" w:evenVBand="0" w:oddHBand="0" w:evenHBand="0" w:firstRowFirstColumn="0" w:firstRowLastColumn="0" w:lastRowFirstColumn="0" w:lastRowLastColumn="0"/>
            </w:pPr>
            <w:r>
              <w:t>200</w:t>
            </w:r>
          </w:p>
        </w:tc>
        <w:tc>
          <w:tcPr>
            <w:tcW w:w="964" w:type="dxa"/>
          </w:tcPr>
          <w:p w14:paraId="7403BFC1" w14:textId="77777777" w:rsidR="00824558" w:rsidRDefault="00824558">
            <w:pPr>
              <w:cnfStyle w:val="000000000000" w:firstRow="0" w:lastRow="0" w:firstColumn="0" w:lastColumn="0" w:oddVBand="0" w:evenVBand="0" w:oddHBand="0" w:evenHBand="0" w:firstRowFirstColumn="0" w:firstRowLastColumn="0" w:lastRowFirstColumn="0" w:lastRowLastColumn="0"/>
            </w:pPr>
            <w:r>
              <w:t>280</w:t>
            </w:r>
          </w:p>
        </w:tc>
      </w:tr>
      <w:tr w:rsidR="00824558" w14:paraId="5E796170"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83E874" w14:textId="03B9D372" w:rsidR="00824558" w:rsidRDefault="00824558">
            <w:pPr>
              <w:ind w:left="170"/>
            </w:pPr>
            <w:r>
              <w:rPr>
                <w:i/>
              </w:rPr>
              <w:t xml:space="preserve">This performance measure renames the </w:t>
            </w:r>
            <w:r w:rsidR="008F7A05">
              <w:rPr>
                <w:i/>
              </w:rPr>
              <w:t>2025-26</w:t>
            </w:r>
            <w:r>
              <w:rPr>
                <w:i/>
              </w:rPr>
              <w:t xml:space="preserve"> performance measure </w:t>
            </w:r>
            <w:r w:rsidR="007942D1">
              <w:rPr>
                <w:i/>
              </w:rPr>
              <w:t>‘</w:t>
            </w:r>
            <w:r>
              <w:rPr>
                <w:i/>
              </w:rPr>
              <w:t>Wage Inspectorate Victoria: Child employment investigations and compliance activities completed</w:t>
            </w:r>
            <w:r w:rsidR="007942D1">
              <w:rPr>
                <w:i/>
              </w:rPr>
              <w:t>’</w:t>
            </w:r>
            <w:r>
              <w:rPr>
                <w:i/>
              </w:rPr>
              <w:t>. The new measure reports on the same activity as the previous measure, however has been updated to reflect the renaming of the body to Workforce Inspectorate Victoria in December 2025.</w:t>
            </w:r>
          </w:p>
        </w:tc>
      </w:tr>
      <w:tr w:rsidR="00824558" w:rsidRPr="008C09EA" w14:paraId="0425CC5B"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Pr>
          <w:p w14:paraId="719BE179" w14:textId="77777777" w:rsidR="00824558" w:rsidRPr="008C09EA" w:rsidRDefault="00824558">
            <w:pPr>
              <w:keepNext/>
              <w:rPr>
                <w:b/>
                <w:bCs/>
                <w:iCs/>
              </w:rPr>
            </w:pPr>
            <w:r w:rsidRPr="008C09EA">
              <w:rPr>
                <w:b/>
                <w:bCs/>
                <w:iCs/>
              </w:rPr>
              <w:t>Quality</w:t>
            </w:r>
          </w:p>
        </w:tc>
      </w:tr>
      <w:tr w:rsidR="00824558" w14:paraId="6E0A9711" w14:textId="77777777" w:rsidTr="005F672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91D7A07" w14:textId="77777777" w:rsidR="00824558" w:rsidRDefault="00824558">
            <w:pPr>
              <w:ind w:left="170"/>
            </w:pPr>
            <w:r>
              <w:t>Victoria represented in major industrial relations cases and inquiries</w:t>
            </w:r>
          </w:p>
        </w:tc>
        <w:tc>
          <w:tcPr>
            <w:tcW w:w="964" w:type="dxa"/>
            <w:tcBorders>
              <w:bottom w:val="single" w:sz="6" w:space="0" w:color="auto"/>
            </w:tcBorders>
          </w:tcPr>
          <w:p w14:paraId="3ADF368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03AFC82"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1F5D48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EE8107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7CBBC7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8C09EA" w14:paraId="1F1E285F"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Pr>
          <w:p w14:paraId="275265F5" w14:textId="77777777" w:rsidR="00824558" w:rsidRPr="008C09EA" w:rsidRDefault="00824558">
            <w:pPr>
              <w:keepNext/>
              <w:rPr>
                <w:b/>
                <w:bCs/>
                <w:iCs/>
              </w:rPr>
            </w:pPr>
            <w:r w:rsidRPr="008C09EA">
              <w:rPr>
                <w:b/>
                <w:bCs/>
                <w:iCs/>
              </w:rPr>
              <w:t>Timeliness</w:t>
            </w:r>
          </w:p>
        </w:tc>
      </w:tr>
      <w:tr w:rsidR="00824558" w14:paraId="10EB9246" w14:textId="77777777" w:rsidTr="005F6728">
        <w:tc>
          <w:tcPr>
            <w:cnfStyle w:val="001000000000" w:firstRow="0" w:lastRow="0" w:firstColumn="1" w:lastColumn="0" w:oddVBand="0" w:evenVBand="0" w:oddHBand="0" w:evenHBand="0" w:firstRowFirstColumn="0" w:firstRowLastColumn="0" w:lastRowFirstColumn="0" w:lastRowLastColumn="0"/>
            <w:tcW w:w="4819" w:type="dxa"/>
          </w:tcPr>
          <w:p w14:paraId="62FF791C" w14:textId="77777777" w:rsidR="00824558" w:rsidRDefault="00824558">
            <w:pPr>
              <w:keepNext/>
              <w:ind w:left="170"/>
            </w:pPr>
            <w:r>
              <w:t>Review and assessment of submitted proposed public sector enterprise bargaining agreements completed and submitted for approval within four weeks following verification of associated enterprise agreement costings</w:t>
            </w:r>
          </w:p>
        </w:tc>
        <w:tc>
          <w:tcPr>
            <w:tcW w:w="964" w:type="dxa"/>
          </w:tcPr>
          <w:p w14:paraId="7DD614A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E2BFE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DE7EE9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5B8ADC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28EFC1D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489A1E58"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8573A02" w14:textId="2270F020" w:rsidR="00824558" w:rsidRDefault="00824558">
            <w:pPr>
              <w:ind w:left="170"/>
            </w:pPr>
            <w:r>
              <w:rPr>
                <w:i/>
              </w:rPr>
              <w:t xml:space="preserve">The </w:t>
            </w:r>
            <w:r w:rsidR="008F7A05">
              <w:rPr>
                <w:i/>
              </w:rPr>
              <w:t>2025-26</w:t>
            </w:r>
            <w:r>
              <w:rPr>
                <w:i/>
              </w:rPr>
              <w:t xml:space="preserve"> expected outcome is higher than the </w:t>
            </w:r>
            <w:r w:rsidR="008F7A05">
              <w:rPr>
                <w:i/>
              </w:rPr>
              <w:t>2025-26</w:t>
            </w:r>
            <w:r>
              <w:rPr>
                <w:i/>
              </w:rPr>
              <w:t xml:space="preserve"> target due to preparatory work undertaken in consultation with departmental and portfolio stakeholders. This enables the progress of all the agreement approvals to be completed and submitted within four weeks.</w:t>
            </w:r>
          </w:p>
          <w:p w14:paraId="05592982" w14:textId="5A7D1F76" w:rsidR="00824558" w:rsidRDefault="00824558">
            <w:pPr>
              <w:ind w:left="170"/>
            </w:pPr>
            <w:r>
              <w:rPr>
                <w:i/>
              </w:rPr>
              <w:t xml:space="preserve">This performance measure renames the 2025-26 performance measure </w:t>
            </w:r>
            <w:r w:rsidR="007942D1">
              <w:rPr>
                <w:i/>
              </w:rPr>
              <w:t>‘</w:t>
            </w:r>
            <w:r>
              <w:rPr>
                <w:i/>
              </w:rPr>
              <w:t>Review and assessment of submitted public sector enterprise bargaining costings and proposed agreements completed and submitted for approval within four weeks</w:t>
            </w:r>
            <w:r w:rsidR="007942D1">
              <w:rPr>
                <w:i/>
              </w:rPr>
              <w:t>’</w:t>
            </w:r>
            <w:r>
              <w:rPr>
                <w:i/>
              </w:rPr>
              <w:t>. The new measure reports on the same activity as the previous measure, however has been amended to better reflect the role and deliverables of Industrial Relations Victoria.</w:t>
            </w:r>
          </w:p>
        </w:tc>
      </w:tr>
      <w:tr w:rsidR="00824558" w14:paraId="31F2E2BC" w14:textId="77777777" w:rsidTr="005F6728">
        <w:tc>
          <w:tcPr>
            <w:cnfStyle w:val="001000000000" w:firstRow="0" w:lastRow="0" w:firstColumn="1" w:lastColumn="0" w:oddVBand="0" w:evenVBand="0" w:oddHBand="0" w:evenHBand="0" w:firstRowFirstColumn="0" w:firstRowLastColumn="0" w:lastRowFirstColumn="0" w:lastRowLastColumn="0"/>
            <w:tcW w:w="4819" w:type="dxa"/>
          </w:tcPr>
          <w:p w14:paraId="5B8ADFB2" w14:textId="77777777" w:rsidR="00824558" w:rsidRDefault="00824558">
            <w:pPr>
              <w:keepNext/>
              <w:ind w:left="170"/>
            </w:pPr>
            <w:r>
              <w:t>Workforce Inspectorate Victoria: Long Service leave investigations completed within 90 days of lodgement</w:t>
            </w:r>
          </w:p>
        </w:tc>
        <w:tc>
          <w:tcPr>
            <w:tcW w:w="964" w:type="dxa"/>
          </w:tcPr>
          <w:p w14:paraId="79B4A5A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244BAE9"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1C34733"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7B8F3F19"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1749E8A" w14:textId="77777777" w:rsidR="00824558" w:rsidRDefault="00824558">
            <w:pPr>
              <w:cnfStyle w:val="000000000000" w:firstRow="0" w:lastRow="0" w:firstColumn="0" w:lastColumn="0" w:oddVBand="0" w:evenVBand="0" w:oddHBand="0" w:evenHBand="0" w:firstRowFirstColumn="0" w:firstRowLastColumn="0" w:lastRowFirstColumn="0" w:lastRowLastColumn="0"/>
            </w:pPr>
            <w:r>
              <w:t>74.42</w:t>
            </w:r>
          </w:p>
        </w:tc>
      </w:tr>
      <w:tr w:rsidR="00824558" w14:paraId="33C72EC8"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DF10E87" w14:textId="6CD0953B" w:rsidR="00824558" w:rsidRDefault="00824558">
            <w:pPr>
              <w:ind w:left="170"/>
            </w:pPr>
            <w:r>
              <w:rPr>
                <w:i/>
              </w:rPr>
              <w:t xml:space="preserve">This performance measure renames the </w:t>
            </w:r>
            <w:r w:rsidR="008F7A05">
              <w:rPr>
                <w:i/>
              </w:rPr>
              <w:t>2025-26</w:t>
            </w:r>
            <w:r>
              <w:rPr>
                <w:i/>
              </w:rPr>
              <w:t xml:space="preserve"> performance measure </w:t>
            </w:r>
            <w:r w:rsidR="007942D1">
              <w:rPr>
                <w:i/>
              </w:rPr>
              <w:t>‘</w:t>
            </w:r>
            <w:r>
              <w:rPr>
                <w:i/>
              </w:rPr>
              <w:t>Wage Inspectorate Victoria: Long Service leave investigations completed within 90 days of lodgement</w:t>
            </w:r>
            <w:r w:rsidR="007942D1">
              <w:rPr>
                <w:i/>
              </w:rPr>
              <w:t>’</w:t>
            </w:r>
            <w:r>
              <w:rPr>
                <w:i/>
              </w:rPr>
              <w:t>. The new measure reports on the same activity as the previous measure, however has been updated to reflect the renaming of the body to Workforce Inspectorate Victoria in December 2025.</w:t>
            </w:r>
          </w:p>
        </w:tc>
      </w:tr>
      <w:tr w:rsidR="00824558" w:rsidRPr="008C09EA" w14:paraId="56C994A2"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Pr>
          <w:p w14:paraId="7B5A6B0C" w14:textId="77777777" w:rsidR="00824558" w:rsidRPr="008C09EA" w:rsidRDefault="00824558">
            <w:pPr>
              <w:keepNext/>
              <w:rPr>
                <w:b/>
                <w:bCs/>
                <w:iCs/>
              </w:rPr>
            </w:pPr>
            <w:r w:rsidRPr="008C09EA">
              <w:rPr>
                <w:b/>
                <w:bCs/>
                <w:iCs/>
              </w:rPr>
              <w:t>Cost</w:t>
            </w:r>
          </w:p>
        </w:tc>
      </w:tr>
      <w:tr w:rsidR="005F6728" w14:paraId="4EC79DD9" w14:textId="77777777" w:rsidTr="005F6728">
        <w:tc>
          <w:tcPr>
            <w:cnfStyle w:val="001000000000" w:firstRow="0" w:lastRow="0" w:firstColumn="1" w:lastColumn="0" w:oddVBand="0" w:evenVBand="0" w:oddHBand="0" w:evenHBand="0" w:firstRowFirstColumn="0" w:firstRowLastColumn="0" w:lastRowFirstColumn="0" w:lastRowLastColumn="0"/>
            <w:tcW w:w="4819" w:type="dxa"/>
          </w:tcPr>
          <w:p w14:paraId="0E57ECA3" w14:textId="77777777" w:rsidR="005F6728" w:rsidRDefault="005F6728" w:rsidP="005F6728">
            <w:pPr>
              <w:keepNext/>
              <w:ind w:left="170"/>
            </w:pPr>
            <w:r>
              <w:t>Total output cost</w:t>
            </w:r>
          </w:p>
        </w:tc>
        <w:tc>
          <w:tcPr>
            <w:tcW w:w="964" w:type="dxa"/>
          </w:tcPr>
          <w:p w14:paraId="5E1DDE43" w14:textId="77777777" w:rsidR="005F6728" w:rsidRDefault="005F6728" w:rsidP="005F672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AE4A142" w14:textId="0FE47615" w:rsidR="005F6728" w:rsidRPr="009C0A3D" w:rsidRDefault="005F6728" w:rsidP="005F6728">
            <w:pPr>
              <w:cnfStyle w:val="000000000000" w:firstRow="0" w:lastRow="0" w:firstColumn="0" w:lastColumn="0" w:oddVBand="0" w:evenVBand="0" w:oddHBand="0" w:evenHBand="0" w:firstRowFirstColumn="0" w:firstRowLastColumn="0" w:lastRowFirstColumn="0" w:lastRowLastColumn="0"/>
              <w:rPr>
                <w:highlight w:val="yellow"/>
              </w:rPr>
            </w:pPr>
            <w:r>
              <w:t>23.3</w:t>
            </w:r>
          </w:p>
        </w:tc>
        <w:tc>
          <w:tcPr>
            <w:tcW w:w="964" w:type="dxa"/>
          </w:tcPr>
          <w:p w14:paraId="700B308C" w14:textId="7B16E680" w:rsidR="005F6728" w:rsidRDefault="005F6728" w:rsidP="005F6728">
            <w:pPr>
              <w:cnfStyle w:val="000000000000" w:firstRow="0" w:lastRow="0" w:firstColumn="0" w:lastColumn="0" w:oddVBand="0" w:evenVBand="0" w:oddHBand="0" w:evenHBand="0" w:firstRowFirstColumn="0" w:firstRowLastColumn="0" w:lastRowFirstColumn="0" w:lastRowLastColumn="0"/>
            </w:pPr>
            <w:r>
              <w:t>31.8</w:t>
            </w:r>
          </w:p>
        </w:tc>
        <w:tc>
          <w:tcPr>
            <w:tcW w:w="964" w:type="dxa"/>
          </w:tcPr>
          <w:p w14:paraId="78526750" w14:textId="77777777" w:rsidR="005F6728" w:rsidRDefault="005F6728" w:rsidP="005F6728">
            <w:pPr>
              <w:cnfStyle w:val="000000000000" w:firstRow="0" w:lastRow="0" w:firstColumn="0" w:lastColumn="0" w:oddVBand="0" w:evenVBand="0" w:oddHBand="0" w:evenHBand="0" w:firstRowFirstColumn="0" w:firstRowLastColumn="0" w:lastRowFirstColumn="0" w:lastRowLastColumn="0"/>
            </w:pPr>
            <w:r>
              <w:t>33.1</w:t>
            </w:r>
          </w:p>
        </w:tc>
        <w:tc>
          <w:tcPr>
            <w:tcW w:w="964" w:type="dxa"/>
          </w:tcPr>
          <w:p w14:paraId="0C525D07" w14:textId="4487A0FF" w:rsidR="005F6728" w:rsidRDefault="005F6728" w:rsidP="005F6728">
            <w:pPr>
              <w:cnfStyle w:val="000000000000" w:firstRow="0" w:lastRow="0" w:firstColumn="0" w:lastColumn="0" w:oddVBand="0" w:evenVBand="0" w:oddHBand="0" w:evenHBand="0" w:firstRowFirstColumn="0" w:firstRowLastColumn="0" w:lastRowFirstColumn="0" w:lastRowLastColumn="0"/>
            </w:pPr>
            <w:r>
              <w:t>20.1</w:t>
            </w:r>
          </w:p>
        </w:tc>
      </w:tr>
      <w:tr w:rsidR="00824558" w14:paraId="14D9D068" w14:textId="77777777" w:rsidTr="005F672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AFF7289" w14:textId="1F9A91B2" w:rsidR="00824558" w:rsidRDefault="001875EC">
            <w:pPr>
              <w:ind w:left="170"/>
            </w:pPr>
            <w:r w:rsidRPr="73E08E62">
              <w:rPr>
                <w:i/>
                <w:iCs/>
              </w:rPr>
              <w:t>The lower 2026-27 target primarily reflects the transfer of funding for Gender Equality in the VPS to other departments, and funding rephased from prior years to 2025-26 for various projects. This is partly offset by funding rephased from 2025-26 to 2026-27</w:t>
            </w:r>
            <w:r>
              <w:t>.</w:t>
            </w:r>
          </w:p>
        </w:tc>
      </w:tr>
    </w:tbl>
    <w:p w14:paraId="031CE912" w14:textId="77777777" w:rsidR="00824558" w:rsidRDefault="00824558">
      <w:pPr>
        <w:pStyle w:val="Source"/>
      </w:pPr>
      <w:r>
        <w:t>Source: Department of Treasury and Finance</w:t>
      </w:r>
    </w:p>
    <w:p w14:paraId="08220BD8" w14:textId="77777777" w:rsidR="0091110D" w:rsidRDefault="0091110D">
      <w:pPr>
        <w:pStyle w:val="Source"/>
      </w:pPr>
    </w:p>
    <w:p w14:paraId="035813EA" w14:textId="77777777" w:rsidR="0091110D" w:rsidRDefault="0091110D">
      <w:pPr>
        <w:pStyle w:val="Source"/>
        <w:sectPr w:rsidR="0091110D" w:rsidSect="001F14A3">
          <w:footerReference w:type="even" r:id="rId38"/>
          <w:footerReference w:type="default" r:id="rId39"/>
          <w:pgSz w:w="11907" w:h="16840" w:code="9"/>
          <w:pgMar w:top="1138" w:right="1138" w:bottom="1138" w:left="1138" w:header="619" w:footer="562" w:gutter="0"/>
          <w:cols w:space="708"/>
          <w:docGrid w:linePitch="360"/>
        </w:sectPr>
      </w:pPr>
      <w:bookmarkStart w:id="23" w:name="_Hlk198040033"/>
    </w:p>
    <w:p w14:paraId="5B4320AF" w14:textId="456E9D72" w:rsidR="00824558" w:rsidRPr="00713312" w:rsidRDefault="00824558" w:rsidP="0075271E">
      <w:pPr>
        <w:pStyle w:val="Heading1"/>
        <w:pageBreakBefore/>
        <w:spacing w:before="0"/>
        <w:ind w:right="1134"/>
        <w:rPr>
          <w:sz w:val="22"/>
          <w:szCs w:val="24"/>
        </w:rPr>
      </w:pPr>
      <w:bookmarkStart w:id="24" w:name="_Toc228288105"/>
      <w:r w:rsidRPr="00713312">
        <w:rPr>
          <w:szCs w:val="27"/>
        </w:rPr>
        <w:t>Parliament</w:t>
      </w:r>
      <w:r w:rsidRPr="00713312">
        <w:rPr>
          <w:szCs w:val="27"/>
        </w:rPr>
        <w:br/>
      </w:r>
      <w:r w:rsidRPr="00713312">
        <w:rPr>
          <w:sz w:val="22"/>
          <w:szCs w:val="24"/>
        </w:rPr>
        <w:t>(Including the Victorian Auditor-General</w:t>
      </w:r>
      <w:r w:rsidR="007942D1">
        <w:rPr>
          <w:sz w:val="22"/>
          <w:szCs w:val="24"/>
        </w:rPr>
        <w:t>’</w:t>
      </w:r>
      <w:r w:rsidRPr="00713312">
        <w:rPr>
          <w:sz w:val="22"/>
          <w:szCs w:val="24"/>
        </w:rPr>
        <w:t>s Office,</w:t>
      </w:r>
      <w:r>
        <w:rPr>
          <w:sz w:val="22"/>
          <w:szCs w:val="24"/>
        </w:rPr>
        <w:t xml:space="preserve"> </w:t>
      </w:r>
      <w:r w:rsidRPr="00713312">
        <w:rPr>
          <w:sz w:val="22"/>
          <w:szCs w:val="24"/>
        </w:rPr>
        <w:t>Parliamentary Budget Office, and the integrity agencies)</w:t>
      </w:r>
      <w:bookmarkEnd w:id="24"/>
    </w:p>
    <w:p w14:paraId="3949C53F" w14:textId="77777777" w:rsidR="00824558" w:rsidRPr="00713312" w:rsidRDefault="00824558">
      <w:r w:rsidRPr="00713312">
        <w:t>The Parliament of Victoria is an independent body that, through its elected representatives, is accountable to the Victorian community for the provision and conduct of representative government in the interests of Victorians.</w:t>
      </w:r>
    </w:p>
    <w:p w14:paraId="5E20DC66" w14:textId="77777777" w:rsidR="00824558" w:rsidRPr="00713312" w:rsidRDefault="00824558">
      <w:r w:rsidRPr="00713312">
        <w:t xml:space="preserve">The Parliament has three administrative departments: the Department of the Legislative Council, the Department of the Legislative Assembly and the Department of Parliamentary Services. </w:t>
      </w:r>
    </w:p>
    <w:p w14:paraId="2DB41F14" w14:textId="38AB3658" w:rsidR="00824558" w:rsidRPr="00713312" w:rsidRDefault="00824558">
      <w:r w:rsidRPr="00713312">
        <w:t>The vision of the parliamentary departments is to deliver apolitical, professional and innovative services that support Victoria</w:t>
      </w:r>
      <w:r w:rsidR="007942D1">
        <w:t>’</w:t>
      </w:r>
      <w:r w:rsidRPr="00713312">
        <w:t>s elected representatives and the Parliament as an institution to ensure the proper, effective and independent functioning of the Parliament.</w:t>
      </w:r>
    </w:p>
    <w:p w14:paraId="72191CED" w14:textId="434DF1A7" w:rsidR="00824558" w:rsidRDefault="00824558">
      <w:pPr>
        <w:pStyle w:val="Heading3"/>
      </w:pPr>
      <w:r w:rsidRPr="00904E74">
        <w:t>Parliamentary Budget Office</w:t>
      </w:r>
    </w:p>
    <w:p w14:paraId="4877A80F" w14:textId="77777777" w:rsidR="00824558" w:rsidRPr="00A90ADB" w:rsidRDefault="00824558">
      <w:pPr>
        <w:rPr>
          <w:color w:val="000000" w:themeColor="text1"/>
        </w:rPr>
      </w:pPr>
      <w:r w:rsidRPr="00A90ADB">
        <w:rPr>
          <w:color w:val="000000" w:themeColor="text1"/>
        </w:rPr>
        <w:t xml:space="preserve">The Parliamentary Budget Office is an independent body that informs policy choices by providing trusted economic, fiscal and financial advice to Members of Parliament. </w:t>
      </w:r>
      <w:r w:rsidRPr="00A90ADB">
        <w:rPr>
          <w:rFonts w:ascii="Times New Roman" w:hAnsi="Times New Roman"/>
          <w:color w:val="000000" w:themeColor="text1"/>
        </w:rPr>
        <w:t> </w:t>
      </w:r>
    </w:p>
    <w:p w14:paraId="317719F2" w14:textId="7FC6E76E" w:rsidR="00824558" w:rsidRPr="00F35C95" w:rsidRDefault="00824558">
      <w:pPr>
        <w:pStyle w:val="Heading3"/>
        <w:rPr>
          <w:rFonts w:eastAsia="Calibri"/>
        </w:rPr>
      </w:pPr>
      <w:r>
        <w:rPr>
          <w:rFonts w:eastAsia="Calibri"/>
        </w:rPr>
        <w:t>Victorian Auditor-General</w:t>
      </w:r>
      <w:r w:rsidR="007942D1">
        <w:rPr>
          <w:rFonts w:eastAsia="Calibri"/>
        </w:rPr>
        <w:t>’</w:t>
      </w:r>
      <w:r>
        <w:rPr>
          <w:rFonts w:eastAsia="Calibri"/>
        </w:rPr>
        <w:t>s Office</w:t>
      </w:r>
    </w:p>
    <w:p w14:paraId="412B323B" w14:textId="3136F03D" w:rsidR="00824558" w:rsidRPr="00A90ADB" w:rsidRDefault="00824558">
      <w:pPr>
        <w:shd w:val="clear" w:color="auto" w:fill="FFFFFF" w:themeFill="background1"/>
        <w:rPr>
          <w:color w:val="000000" w:themeColor="text1"/>
        </w:rPr>
      </w:pPr>
      <w:r w:rsidRPr="00A90ADB">
        <w:rPr>
          <w:color w:val="000000" w:themeColor="text1"/>
        </w:rPr>
        <w:t>Victoria</w:t>
      </w:r>
      <w:r w:rsidR="007942D1">
        <w:rPr>
          <w:color w:val="000000" w:themeColor="text1"/>
        </w:rPr>
        <w:t>’</w:t>
      </w:r>
      <w:r w:rsidRPr="00A90ADB">
        <w:rPr>
          <w:color w:val="000000" w:themeColor="text1"/>
        </w:rPr>
        <w:t xml:space="preserve">s </w:t>
      </w:r>
      <w:r w:rsidRPr="00A90ADB">
        <w:rPr>
          <w:i/>
          <w:iCs/>
          <w:color w:val="000000" w:themeColor="text1"/>
        </w:rPr>
        <w:t>Constitution Act 1975</w:t>
      </w:r>
      <w:r w:rsidRPr="00A90ADB">
        <w:rPr>
          <w:color w:val="000000" w:themeColor="text1"/>
        </w:rPr>
        <w:t xml:space="preserve"> provides that the Auditor-General is an independent officer of Parliament. For</w:t>
      </w:r>
      <w:r w:rsidR="000D209E">
        <w:rPr>
          <w:color w:val="000000" w:themeColor="text1"/>
        </w:rPr>
        <w:t> </w:t>
      </w:r>
      <w:r w:rsidRPr="00A90ADB">
        <w:rPr>
          <w:color w:val="000000" w:themeColor="text1"/>
        </w:rPr>
        <w:t>budgetary purposes, the Victorian Auditor-General</w:t>
      </w:r>
      <w:r w:rsidR="007942D1">
        <w:rPr>
          <w:color w:val="000000" w:themeColor="text1"/>
        </w:rPr>
        <w:t>’</w:t>
      </w:r>
      <w:r w:rsidRPr="00A90ADB">
        <w:rPr>
          <w:color w:val="000000" w:themeColor="text1"/>
        </w:rPr>
        <w:t>s Office is included as an output classification within Parliament.</w:t>
      </w:r>
    </w:p>
    <w:p w14:paraId="3132C8B1" w14:textId="7B76756D" w:rsidR="00824558" w:rsidRPr="00A90ADB" w:rsidRDefault="00824558">
      <w:pPr>
        <w:shd w:val="clear" w:color="auto" w:fill="FFFFFF" w:themeFill="background1"/>
        <w:rPr>
          <w:color w:val="000000" w:themeColor="text1"/>
        </w:rPr>
      </w:pPr>
      <w:r w:rsidRPr="00A90ADB">
        <w:rPr>
          <w:color w:val="000000" w:themeColor="text1"/>
        </w:rPr>
        <w:t>The main purpose of the Victorian Auditor-General</w:t>
      </w:r>
      <w:r w:rsidR="007942D1">
        <w:rPr>
          <w:color w:val="000000" w:themeColor="text1"/>
        </w:rPr>
        <w:t>’</w:t>
      </w:r>
      <w:r w:rsidRPr="00A90ADB">
        <w:rPr>
          <w:color w:val="000000" w:themeColor="text1"/>
        </w:rPr>
        <w:t>s Office is to provide assurance to Parliament on the accountability and performance of the Victorian public sector.</w:t>
      </w:r>
    </w:p>
    <w:p w14:paraId="0449FE2E" w14:textId="02C9940C" w:rsidR="00824558" w:rsidRPr="00D31FD8" w:rsidRDefault="00824558">
      <w:pPr>
        <w:pStyle w:val="Heading3"/>
      </w:pPr>
      <w:r w:rsidRPr="00D31FD8">
        <w:t>Independent Broad-based Anti-corruption Commission</w:t>
      </w:r>
    </w:p>
    <w:p w14:paraId="25A8CFF4" w14:textId="008654C5" w:rsidR="00824558" w:rsidRPr="00D10DFC" w:rsidRDefault="00824558">
      <w:pPr>
        <w:rPr>
          <w:rFonts w:cstheme="majorHAnsi"/>
          <w:color w:val="000000" w:themeColor="text1"/>
        </w:rPr>
      </w:pPr>
      <w:r w:rsidRPr="00D10DFC">
        <w:rPr>
          <w:rFonts w:cstheme="majorHAnsi"/>
          <w:color w:val="000000" w:themeColor="text1"/>
        </w:rPr>
        <w:t>The Independent Broad-based Anti-corruption Commission (IBAC) is Victoria</w:t>
      </w:r>
      <w:r w:rsidR="007942D1">
        <w:rPr>
          <w:rFonts w:cstheme="majorHAnsi"/>
          <w:color w:val="000000" w:themeColor="text1"/>
        </w:rPr>
        <w:t>’</w:t>
      </w:r>
      <w:r w:rsidRPr="00D10DFC">
        <w:rPr>
          <w:rFonts w:cstheme="majorHAnsi"/>
          <w:color w:val="000000" w:themeColor="text1"/>
        </w:rPr>
        <w:t>s independent anti-corruption agency responsible for investigating, exposing and preventing public sector corruption and police misconduct, and monitoring and overseeing the use of police powers through applicable legislative frameworks. Its jurisdiction covers state and local government, police, parliament and the judiciary.</w:t>
      </w:r>
    </w:p>
    <w:p w14:paraId="583E81AE" w14:textId="77777777" w:rsidR="00824558" w:rsidRPr="00D10DFC" w:rsidRDefault="00824558">
      <w:pPr>
        <w:rPr>
          <w:rFonts w:cstheme="majorHAnsi"/>
          <w:color w:val="000000" w:themeColor="text1"/>
        </w:rPr>
      </w:pPr>
      <w:r w:rsidRPr="00D10DFC">
        <w:rPr>
          <w:rFonts w:cstheme="majorHAnsi"/>
          <w:color w:val="000000" w:themeColor="text1"/>
        </w:rPr>
        <w:t xml:space="preserve">The Commissioner is appointed by the Governor in Council and holds office for a term of five years. </w:t>
      </w:r>
      <w:bookmarkStart w:id="25" w:name="_Hlk54695393"/>
      <w:r w:rsidRPr="00D10DFC">
        <w:rPr>
          <w:rFonts w:cstheme="majorHAnsi"/>
          <w:color w:val="000000" w:themeColor="text1"/>
        </w:rPr>
        <w:t xml:space="preserve">For budgetary purposes, IBAC is included as an output classification within Parliament. </w:t>
      </w:r>
      <w:bookmarkEnd w:id="25"/>
      <w:r w:rsidRPr="00D10DFC">
        <w:rPr>
          <w:rFonts w:cstheme="majorHAnsi"/>
          <w:color w:val="000000" w:themeColor="text1"/>
        </w:rPr>
        <w:t>IBAC reports direct to Parliament.</w:t>
      </w:r>
    </w:p>
    <w:p w14:paraId="7101D955" w14:textId="0017B802" w:rsidR="00824558" w:rsidRPr="00D10DFC" w:rsidRDefault="00824558">
      <w:pPr>
        <w:rPr>
          <w:rFonts w:cstheme="majorHAnsi"/>
          <w:color w:val="000000" w:themeColor="text1"/>
        </w:rPr>
      </w:pPr>
      <w:r w:rsidRPr="00D10DFC">
        <w:rPr>
          <w:rFonts w:cstheme="majorHAnsi"/>
          <w:color w:val="000000" w:themeColor="text1"/>
        </w:rPr>
        <w:t xml:space="preserve">Under the General Order, the </w:t>
      </w:r>
      <w:r>
        <w:rPr>
          <w:rFonts w:cstheme="majorHAnsi"/>
          <w:color w:val="000000" w:themeColor="text1"/>
        </w:rPr>
        <w:t>Special Minister of State</w:t>
      </w:r>
      <w:r w:rsidRPr="00D10DFC">
        <w:rPr>
          <w:rFonts w:cstheme="majorHAnsi"/>
          <w:color w:val="000000" w:themeColor="text1"/>
        </w:rPr>
        <w:t xml:space="preserve"> is responsible for overseeing IBAC</w:t>
      </w:r>
      <w:r w:rsidR="007942D1">
        <w:rPr>
          <w:rFonts w:cstheme="majorHAnsi"/>
          <w:color w:val="000000" w:themeColor="text1"/>
        </w:rPr>
        <w:t>’</w:t>
      </w:r>
      <w:r w:rsidRPr="00D10DFC">
        <w:rPr>
          <w:rFonts w:cstheme="majorHAnsi"/>
          <w:color w:val="000000" w:themeColor="text1"/>
        </w:rPr>
        <w:t>s legislation.</w:t>
      </w:r>
    </w:p>
    <w:p w14:paraId="6EFB8C02" w14:textId="77777777" w:rsidR="00824558" w:rsidRDefault="00824558">
      <w:pPr>
        <w:keepLines w:val="0"/>
        <w:rPr>
          <w:rFonts w:asciiTheme="majorHAnsi" w:eastAsia="Calibri" w:hAnsiTheme="majorHAnsi" w:cstheme="majorBidi"/>
          <w:b/>
          <w:sz w:val="23"/>
          <w:szCs w:val="24"/>
        </w:rPr>
      </w:pPr>
      <w:r>
        <w:rPr>
          <w:rFonts w:eastAsia="Calibri"/>
        </w:rPr>
        <w:br w:type="page"/>
      </w:r>
    </w:p>
    <w:p w14:paraId="43372BED" w14:textId="0A41354D" w:rsidR="00824558" w:rsidRPr="00F35C95" w:rsidRDefault="00824558">
      <w:pPr>
        <w:pStyle w:val="Heading3"/>
        <w:rPr>
          <w:rFonts w:eastAsia="Calibri"/>
        </w:rPr>
      </w:pPr>
      <w:r w:rsidRPr="0048403E">
        <w:rPr>
          <w:rFonts w:eastAsia="Calibri"/>
        </w:rPr>
        <w:t>Integrity Oversight Victoria</w:t>
      </w:r>
    </w:p>
    <w:p w14:paraId="369CFF09" w14:textId="39A9426A" w:rsidR="00824558" w:rsidRDefault="00824558">
      <w:pPr>
        <w:rPr>
          <w:rFonts w:cstheme="minorHAnsi"/>
        </w:rPr>
      </w:pPr>
      <w:r>
        <w:t>The Chief Integrity Inspector is appointed by the Governor in Council. As an Independent Officer of the Parliament, the Chief Integrity Inspector reports directly to Parliament and does not report to any Minister. For</w:t>
      </w:r>
      <w:r w:rsidR="00540BB2">
        <w:t> </w:t>
      </w:r>
      <w:r>
        <w:t xml:space="preserve">budgetary purposes, Integrity Oversight Victoria is included as an output classification within Parliament. Integrity Oversight Victoria (formerly known as the Victorian Inspectorate), was established in 2013 by the </w:t>
      </w:r>
      <w:r w:rsidRPr="008605C8">
        <w:rPr>
          <w:i/>
          <w:iCs/>
        </w:rPr>
        <w:t>Integrity Oversight Victoria Act 201</w:t>
      </w:r>
      <w:r>
        <w:rPr>
          <w:i/>
          <w:iCs/>
        </w:rPr>
        <w:t>1</w:t>
      </w:r>
      <w:r>
        <w:t xml:space="preserve"> (formerly the </w:t>
      </w:r>
      <w:r w:rsidRPr="00904E74">
        <w:rPr>
          <w:i/>
        </w:rPr>
        <w:t>Victorian Inspectorate Act 2011</w:t>
      </w:r>
      <w:r>
        <w:rPr>
          <w:i/>
        </w:rPr>
        <w:t>)</w:t>
      </w:r>
      <w:r>
        <w:t>, to provide oversight of other integrity, accountability or investigatory bodies and their officers</w:t>
      </w:r>
      <w:r w:rsidRPr="00904E74">
        <w:rPr>
          <w:rFonts w:cstheme="minorHAnsi"/>
        </w:rPr>
        <w:t>.</w:t>
      </w:r>
      <w:r>
        <w:rPr>
          <w:rFonts w:cstheme="minorHAnsi"/>
        </w:rPr>
        <w:t xml:space="preserve"> On 10 February 2025 the </w:t>
      </w:r>
      <w:r w:rsidRPr="0040629D">
        <w:rPr>
          <w:rFonts w:cstheme="minorHAnsi"/>
        </w:rPr>
        <w:t xml:space="preserve">former Victorian Inspectorate was renamed to Integrity Oversight Victoria following proclamation of the </w:t>
      </w:r>
      <w:r w:rsidRPr="0040629D">
        <w:rPr>
          <w:rFonts w:cstheme="minorHAnsi"/>
          <w:i/>
          <w:iCs/>
        </w:rPr>
        <w:t>Justice Legislation Amendment (Integrity, Defamation and Other Matters) Act 2024</w:t>
      </w:r>
      <w:r>
        <w:rPr>
          <w:rFonts w:cstheme="minorHAnsi"/>
        </w:rPr>
        <w:t>.</w:t>
      </w:r>
    </w:p>
    <w:p w14:paraId="3FF0D13D" w14:textId="77777777" w:rsidR="00824558" w:rsidRPr="00DB2667" w:rsidRDefault="00824558">
      <w:pPr>
        <w:pStyle w:val="Heading4"/>
      </w:pPr>
      <w:r w:rsidRPr="00DB2667">
        <w:rPr>
          <w:rFonts w:eastAsia="Garamond"/>
        </w:rPr>
        <w:t>Vision</w:t>
      </w:r>
    </w:p>
    <w:p w14:paraId="1497EA41" w14:textId="77777777" w:rsidR="00824558" w:rsidRPr="00DB2667" w:rsidRDefault="00824558">
      <w:pPr>
        <w:rPr>
          <w:rFonts w:ascii="Garamond" w:eastAsia="Garamond" w:hAnsi="Garamond" w:cs="Garamond"/>
        </w:rPr>
      </w:pPr>
      <w:r w:rsidRPr="00DB2667">
        <w:rPr>
          <w:rFonts w:ascii="Garamond" w:eastAsia="Garamond" w:hAnsi="Garamond" w:cs="Garamond"/>
        </w:rPr>
        <w:t>An integrity system that is robust and trusted.</w:t>
      </w:r>
    </w:p>
    <w:p w14:paraId="230271F8" w14:textId="77777777" w:rsidR="00824558" w:rsidRPr="00DB2667" w:rsidRDefault="00824558">
      <w:pPr>
        <w:pStyle w:val="Heading4"/>
        <w:rPr>
          <w:rFonts w:eastAsia="Garamond"/>
        </w:rPr>
      </w:pPr>
      <w:r w:rsidRPr="00DB2667">
        <w:rPr>
          <w:rFonts w:eastAsia="Garamond"/>
        </w:rPr>
        <w:t>Aspirations</w:t>
      </w:r>
    </w:p>
    <w:p w14:paraId="2FDAECF8" w14:textId="3AC94E9E" w:rsidR="00824558" w:rsidRPr="00DB2667" w:rsidRDefault="00824558">
      <w:pPr>
        <w:pStyle w:val="Heading5"/>
        <w:rPr>
          <w:rFonts w:eastAsia="Garamond"/>
        </w:rPr>
      </w:pPr>
      <w:r w:rsidRPr="00DB2667">
        <w:rPr>
          <w:rFonts w:eastAsia="Garamond"/>
        </w:rPr>
        <w:t>Public confidence and trust in Victoria</w:t>
      </w:r>
      <w:r w:rsidR="007942D1">
        <w:rPr>
          <w:rFonts w:eastAsia="Garamond"/>
        </w:rPr>
        <w:t>’</w:t>
      </w:r>
      <w:r w:rsidRPr="00DB2667">
        <w:rPr>
          <w:rFonts w:eastAsia="Garamond"/>
        </w:rPr>
        <w:t xml:space="preserve">s integrity system </w:t>
      </w:r>
    </w:p>
    <w:p w14:paraId="7CC1B092" w14:textId="77777777" w:rsidR="00824558" w:rsidRPr="00DB2667" w:rsidRDefault="00824558">
      <w:pPr>
        <w:pStyle w:val="ListBullet"/>
        <w:keepNext/>
        <w:tabs>
          <w:tab w:val="clear" w:pos="360"/>
        </w:tabs>
        <w:ind w:left="357" w:hanging="357"/>
      </w:pPr>
      <w:r w:rsidRPr="00DB2667">
        <w:t>The right checks and balances are in place</w:t>
      </w:r>
    </w:p>
    <w:p w14:paraId="2D9FC002" w14:textId="77777777" w:rsidR="00824558" w:rsidRPr="00DB2667" w:rsidRDefault="00824558">
      <w:pPr>
        <w:pStyle w:val="ListBullet"/>
        <w:tabs>
          <w:tab w:val="clear" w:pos="360"/>
        </w:tabs>
        <w:ind w:left="340" w:hanging="340"/>
      </w:pPr>
      <w:r w:rsidRPr="00DB2667">
        <w:t>Participants understand rights and responsibilities in the integrity system</w:t>
      </w:r>
    </w:p>
    <w:p w14:paraId="6495E703" w14:textId="77777777" w:rsidR="00824558" w:rsidRPr="00DB2667" w:rsidRDefault="00824558">
      <w:pPr>
        <w:pStyle w:val="ListBullet"/>
        <w:tabs>
          <w:tab w:val="clear" w:pos="360"/>
        </w:tabs>
        <w:ind w:left="340" w:hanging="340"/>
      </w:pPr>
      <w:r w:rsidRPr="00DB2667">
        <w:t>The community knows when to come to Integrity Oversight Victoria to protect their rights.</w:t>
      </w:r>
    </w:p>
    <w:p w14:paraId="65CC5992" w14:textId="77777777" w:rsidR="00824558" w:rsidRPr="00F3745A" w:rsidRDefault="00824558">
      <w:pPr>
        <w:pStyle w:val="Heading5"/>
        <w:rPr>
          <w:rFonts w:eastAsia="Garamond"/>
        </w:rPr>
      </w:pPr>
      <w:r w:rsidRPr="00F3745A">
        <w:rPr>
          <w:rFonts w:eastAsia="Garamond"/>
        </w:rPr>
        <w:t xml:space="preserve">A robust Victorian integrity system </w:t>
      </w:r>
    </w:p>
    <w:p w14:paraId="6B951D10" w14:textId="77777777" w:rsidR="00824558" w:rsidRPr="00F3745A" w:rsidRDefault="00824558">
      <w:pPr>
        <w:pStyle w:val="ListBullet"/>
        <w:tabs>
          <w:tab w:val="clear" w:pos="360"/>
        </w:tabs>
        <w:spacing w:before="40" w:after="40"/>
        <w:ind w:left="340" w:hanging="340"/>
      </w:pPr>
      <w:r w:rsidRPr="00F3745A">
        <w:t>Parliament and integrity agencies have confidence in Integrity Oversight Victoria</w:t>
      </w:r>
    </w:p>
    <w:p w14:paraId="5288E5A6" w14:textId="77777777" w:rsidR="00824558" w:rsidRPr="00F3745A" w:rsidRDefault="00824558">
      <w:pPr>
        <w:pStyle w:val="ListBullet"/>
        <w:tabs>
          <w:tab w:val="clear" w:pos="360"/>
        </w:tabs>
        <w:spacing w:before="40" w:after="40"/>
        <w:ind w:left="340" w:hanging="340"/>
      </w:pPr>
      <w:r w:rsidRPr="00F3745A">
        <w:t>Integrity Oversight Victoria is positively influencing integrity agencies</w:t>
      </w:r>
    </w:p>
    <w:p w14:paraId="68DEEE70" w14:textId="77777777" w:rsidR="00824558" w:rsidRPr="008064B1" w:rsidRDefault="00824558">
      <w:pPr>
        <w:pStyle w:val="ListBullet"/>
        <w:tabs>
          <w:tab w:val="clear" w:pos="360"/>
        </w:tabs>
        <w:spacing w:before="40" w:after="40"/>
        <w:ind w:left="340" w:hanging="340"/>
      </w:pPr>
      <w:r w:rsidRPr="008064B1">
        <w:t>Intrusive and coercive powers are exercised lawfully</w:t>
      </w:r>
    </w:p>
    <w:p w14:paraId="4B6E366C" w14:textId="77777777" w:rsidR="00824558" w:rsidRPr="008064B1" w:rsidRDefault="00824558">
      <w:pPr>
        <w:pStyle w:val="ListBullet"/>
        <w:tabs>
          <w:tab w:val="clear" w:pos="360"/>
        </w:tabs>
        <w:spacing w:before="0" w:after="40"/>
        <w:ind w:left="340" w:hanging="340"/>
        <w:rPr>
          <w:rFonts w:cstheme="minorHAnsi"/>
        </w:rPr>
      </w:pPr>
      <w:r w:rsidRPr="008064B1">
        <w:t>The public sector is being held to account.</w:t>
      </w:r>
    </w:p>
    <w:p w14:paraId="5E2AB11D" w14:textId="77777777" w:rsidR="00824558" w:rsidRPr="008064B1" w:rsidRDefault="00824558">
      <w:pPr>
        <w:spacing w:before="0"/>
      </w:pPr>
    </w:p>
    <w:p w14:paraId="26D9843F" w14:textId="02A69382" w:rsidR="00824558" w:rsidRPr="008064B1" w:rsidRDefault="00824558">
      <w:pPr>
        <w:pStyle w:val="Heading3"/>
        <w:spacing w:before="0"/>
      </w:pPr>
      <w:r w:rsidRPr="008064B1">
        <w:t>Victorian Ombudsman</w:t>
      </w:r>
    </w:p>
    <w:p w14:paraId="01B32F25" w14:textId="77777777" w:rsidR="00824558" w:rsidRPr="008064B1" w:rsidRDefault="00824558">
      <w:pPr>
        <w:rPr>
          <w:rFonts w:ascii="Garamond" w:hAnsi="Garamond"/>
        </w:rPr>
      </w:pPr>
      <w:r w:rsidRPr="008064B1">
        <w:rPr>
          <w:rFonts w:ascii="Garamond" w:hAnsi="Garamond"/>
        </w:rPr>
        <w:t>The Victorian Ombudsman is a constitutionally independent officer of the Victorian Parliament and does not report to any Minister. It provides a service essential to promoting public confidence in the integrity of government through:</w:t>
      </w:r>
    </w:p>
    <w:p w14:paraId="52245224" w14:textId="77777777" w:rsidR="00824558" w:rsidRPr="008064B1" w:rsidRDefault="00824558">
      <w:pPr>
        <w:pStyle w:val="ListBullet"/>
        <w:tabs>
          <w:tab w:val="clear" w:pos="360"/>
        </w:tabs>
        <w:spacing w:before="40" w:after="40"/>
        <w:ind w:left="340" w:hanging="340"/>
      </w:pPr>
      <w:r w:rsidRPr="008064B1">
        <w:t>facilitating, enquiring into, conciliating and investigating complaints about an action or decision made by Victorian public bodies</w:t>
      </w:r>
    </w:p>
    <w:p w14:paraId="567015A8" w14:textId="77777777" w:rsidR="00824558" w:rsidRPr="008064B1" w:rsidRDefault="00824558">
      <w:pPr>
        <w:pStyle w:val="ListBullet"/>
        <w:tabs>
          <w:tab w:val="clear" w:pos="360"/>
        </w:tabs>
        <w:spacing w:before="40" w:after="40"/>
        <w:ind w:left="340" w:hanging="340"/>
      </w:pPr>
      <w:r w:rsidRPr="008064B1">
        <w:t xml:space="preserve">proactively assisting public bodies to improve their administration and complaint handling practices, to prevent maladministration and improper conduct, and to educate the community and public sector about matters related to its work. </w:t>
      </w:r>
    </w:p>
    <w:p w14:paraId="24FBB210" w14:textId="5899A668" w:rsidR="00824558" w:rsidRPr="008064B1" w:rsidRDefault="00824558">
      <w:pPr>
        <w:rPr>
          <w:rFonts w:ascii="Garamond" w:hAnsi="Garamond"/>
        </w:rPr>
      </w:pPr>
      <w:r w:rsidRPr="008064B1">
        <w:rPr>
          <w:rFonts w:ascii="Garamond" w:hAnsi="Garamond"/>
        </w:rPr>
        <w:t>The Victorian Ombudsman</w:t>
      </w:r>
      <w:r w:rsidR="007942D1">
        <w:rPr>
          <w:rFonts w:ascii="Garamond" w:hAnsi="Garamond"/>
        </w:rPr>
        <w:t>’</w:t>
      </w:r>
      <w:r w:rsidRPr="008064B1">
        <w:rPr>
          <w:rFonts w:ascii="Garamond" w:hAnsi="Garamond"/>
        </w:rPr>
        <w:t xml:space="preserve">s vision is </w:t>
      </w:r>
      <w:r w:rsidRPr="008064B1">
        <w:rPr>
          <w:rFonts w:ascii="Garamond" w:hAnsi="Garamond"/>
          <w:i/>
          <w:iCs/>
        </w:rPr>
        <w:t>Victoria is fair</w:t>
      </w:r>
      <w:r w:rsidRPr="008064B1">
        <w:rPr>
          <w:rFonts w:ascii="Garamond" w:hAnsi="Garamond"/>
        </w:rPr>
        <w:t xml:space="preserve"> where people are kept at the centre of decision</w:t>
      </w:r>
      <w:r>
        <w:rPr>
          <w:rFonts w:ascii="Garamond" w:hAnsi="Garamond"/>
        </w:rPr>
        <w:t>-</w:t>
      </w:r>
      <w:r w:rsidRPr="008064B1">
        <w:rPr>
          <w:rFonts w:ascii="Garamond" w:hAnsi="Garamond"/>
        </w:rPr>
        <w:t>making, human rights are protected and promoted, and public bodies are open and accountable. Our mission therefore is to remain focused on fairness, by directing and organising our work to have a lasting impact on fairness, equity and human rights in Victoria. In doing so, the Ombudsman strives to be open, transparent, evidence-based, sensitive to the circumstances of individuals and communities with specific needs and centred on practical and meaningful outcomes to address injustice.</w:t>
      </w:r>
    </w:p>
    <w:p w14:paraId="66EAD618" w14:textId="203C71A1" w:rsidR="00824558" w:rsidRPr="008064B1" w:rsidRDefault="00824558" w:rsidP="00540BB2">
      <w:pPr>
        <w:pStyle w:val="Heading3"/>
        <w:pageBreakBefore/>
      </w:pPr>
      <w:r w:rsidRPr="008064B1">
        <w:t>Parliamentary Workplace Standards and Integrity Commission</w:t>
      </w:r>
    </w:p>
    <w:p w14:paraId="5A243F18" w14:textId="77777777" w:rsidR="00824558" w:rsidRPr="008064B1" w:rsidRDefault="00824558">
      <w:r w:rsidRPr="008064B1">
        <w:t>The Parliamentary Workplace Standards and Integrity Commission (PWSIC) commenced on 31 December 2024 as the independent body responsible for investigating allegations of parliamentary misconduct involving members of parliament, including ministers and parliamentary secretaries.</w:t>
      </w:r>
    </w:p>
    <w:p w14:paraId="3B955688" w14:textId="1802DE39" w:rsidR="00824558" w:rsidRPr="008064B1" w:rsidRDefault="00824558">
      <w:r w:rsidRPr="008064B1">
        <w:rPr>
          <w:rFonts w:ascii="Garamond" w:hAnsi="Garamond" w:cstheme="majorBidi"/>
        </w:rPr>
        <w:t xml:space="preserve">Commissioners are appointed by the Governor in Council and hold office for a term of five years. </w:t>
      </w:r>
      <w:r w:rsidRPr="008064B1">
        <w:t>As Independent Officers of the Parliament, PWSIC reports directly to Parliament and does not report to any Minister. For budgetary purposes, PWSIC is included as an output classification within Parliament.</w:t>
      </w:r>
      <w:r w:rsidR="00320220">
        <w:t xml:space="preserve"> </w:t>
      </w:r>
      <w:r w:rsidRPr="008064B1">
        <w:rPr>
          <w:vertAlign w:val="superscript"/>
        </w:rPr>
        <w:t>(a)</w:t>
      </w:r>
    </w:p>
    <w:p w14:paraId="6B257EF0" w14:textId="77777777" w:rsidR="00824558" w:rsidRPr="008064B1" w:rsidRDefault="00824558">
      <w:r w:rsidRPr="008064B1">
        <w:t>The PWSIC vision is a parliament that acts with the highest levels of integrity and workplace standards. The PWSIC objectives are to support the integrity of the Victorian Parliament, maintain public confidence in the institution of parliament, and promote a respectful and safe parliamentary workplace. PWSIC does this by receiving, managing, and resolving allegations of parliamentary misconduct and providing guidance, education and training for Members of Parliament on their code of conduct and ethical obligations.</w:t>
      </w:r>
    </w:p>
    <w:p w14:paraId="1883ADBC" w14:textId="77777777" w:rsidR="00824558" w:rsidRPr="008064B1" w:rsidRDefault="00824558">
      <w:pPr>
        <w:pStyle w:val="Note"/>
      </w:pPr>
      <w:r w:rsidRPr="008064B1">
        <w:t>Note:</w:t>
      </w:r>
    </w:p>
    <w:p w14:paraId="0EACB22F" w14:textId="77777777" w:rsidR="00824558" w:rsidRPr="008064B1" w:rsidRDefault="00824558" w:rsidP="0057778B">
      <w:pPr>
        <w:pStyle w:val="Note"/>
        <w:numPr>
          <w:ilvl w:val="0"/>
          <w:numId w:val="28"/>
        </w:numPr>
      </w:pPr>
      <w:r w:rsidRPr="008064B1">
        <w:t>As a new entity, 2026-27 is the first year that PWSIC is included in the Department Performance Statement.</w:t>
      </w:r>
    </w:p>
    <w:p w14:paraId="316167F5" w14:textId="77777777" w:rsidR="00824558" w:rsidRPr="001A05E9" w:rsidRDefault="00824558">
      <w:pPr>
        <w:pStyle w:val="Heading2"/>
        <w:spacing w:before="180"/>
      </w:pPr>
      <w:r w:rsidRPr="001A05E9">
        <w:t>Departmental objectives</w:t>
      </w:r>
    </w:p>
    <w:p w14:paraId="00DDF5A1" w14:textId="49DFFEC9" w:rsidR="00824558" w:rsidRPr="001A05E9" w:rsidRDefault="00824558">
      <w:pPr>
        <w:pStyle w:val="Heading3"/>
        <w:rPr>
          <w:rFonts w:cstheme="majorHAnsi"/>
          <w:sz w:val="26"/>
          <w:szCs w:val="26"/>
        </w:rPr>
      </w:pPr>
      <w:r w:rsidRPr="001A05E9">
        <w:t>Parliament</w:t>
      </w:r>
    </w:p>
    <w:p w14:paraId="5E24C9E0" w14:textId="77777777" w:rsidR="00824558" w:rsidRPr="001A05E9" w:rsidRDefault="00824558">
      <w:pPr>
        <w:keepLines w:val="0"/>
      </w:pPr>
      <w:r w:rsidRPr="001A05E9">
        <w:t>The Presiding Officers have approved the following strategic priorities for Parliament:</w:t>
      </w:r>
    </w:p>
    <w:p w14:paraId="44616C8B" w14:textId="77777777" w:rsidR="00824558" w:rsidRPr="001A05E9" w:rsidRDefault="00824558">
      <w:pPr>
        <w:pStyle w:val="ListBullet"/>
        <w:tabs>
          <w:tab w:val="clear" w:pos="360"/>
        </w:tabs>
        <w:spacing w:before="40" w:after="40"/>
        <w:ind w:left="340" w:hanging="340"/>
      </w:pPr>
      <w:r w:rsidRPr="001A05E9">
        <w:t>supporting members</w:t>
      </w:r>
    </w:p>
    <w:p w14:paraId="688DF173" w14:textId="77777777" w:rsidR="00824558" w:rsidRPr="001A05E9" w:rsidRDefault="00824558">
      <w:pPr>
        <w:pStyle w:val="ListBullet"/>
        <w:tabs>
          <w:tab w:val="clear" w:pos="360"/>
        </w:tabs>
        <w:spacing w:before="40" w:after="40"/>
        <w:ind w:left="340" w:hanging="340"/>
      </w:pPr>
      <w:r w:rsidRPr="001A05E9">
        <w:t>parliament for the people</w:t>
      </w:r>
    </w:p>
    <w:p w14:paraId="2874CAA1" w14:textId="77777777" w:rsidR="00824558" w:rsidRPr="001A05E9" w:rsidRDefault="00824558">
      <w:pPr>
        <w:pStyle w:val="ListBullet"/>
        <w:tabs>
          <w:tab w:val="clear" w:pos="360"/>
        </w:tabs>
        <w:spacing w:before="40" w:after="40"/>
        <w:ind w:left="340" w:hanging="340"/>
      </w:pPr>
      <w:r w:rsidRPr="001A05E9">
        <w:t>First Nations focus</w:t>
      </w:r>
    </w:p>
    <w:p w14:paraId="238E5403" w14:textId="77777777" w:rsidR="00824558" w:rsidRPr="001A05E9" w:rsidRDefault="00824558">
      <w:pPr>
        <w:pStyle w:val="ListBullet"/>
        <w:tabs>
          <w:tab w:val="clear" w:pos="360"/>
        </w:tabs>
        <w:spacing w:before="40" w:after="40"/>
        <w:ind w:left="340" w:hanging="340"/>
      </w:pPr>
      <w:r w:rsidRPr="001A05E9">
        <w:t>a contemporary workplace.</w:t>
      </w:r>
    </w:p>
    <w:p w14:paraId="2639C28B" w14:textId="313E41EF" w:rsidR="00824558" w:rsidRPr="004F7F41" w:rsidRDefault="00824558">
      <w:pPr>
        <w:pStyle w:val="Heading3"/>
      </w:pPr>
      <w:r w:rsidRPr="004F7F41">
        <w:t>Parliamentary Budget Office</w:t>
      </w:r>
    </w:p>
    <w:p w14:paraId="10E924F7" w14:textId="77777777" w:rsidR="00824558" w:rsidRPr="004F7F41" w:rsidRDefault="00824558">
      <w:pPr>
        <w:rPr>
          <w:color w:val="000000" w:themeColor="text1"/>
        </w:rPr>
      </w:pPr>
      <w:r w:rsidRPr="004F7F41">
        <w:rPr>
          <w:color w:val="000000" w:themeColor="text1"/>
        </w:rPr>
        <w:t>The Parliamentary Budget Office:</w:t>
      </w:r>
    </w:p>
    <w:p w14:paraId="5B3BE2BB" w14:textId="77777777" w:rsidR="00824558" w:rsidRPr="004F7F41" w:rsidRDefault="00824558">
      <w:pPr>
        <w:pStyle w:val="ListBullet"/>
        <w:tabs>
          <w:tab w:val="clear" w:pos="360"/>
        </w:tabs>
        <w:spacing w:before="40" w:after="40"/>
        <w:ind w:left="340" w:hanging="340"/>
      </w:pPr>
      <w:r w:rsidRPr="004F7F41">
        <w:t>provides members of parliament with ongoing, authoritative, independent and credible policy costing and advisory reports</w:t>
      </w:r>
    </w:p>
    <w:p w14:paraId="23761952" w14:textId="77777777" w:rsidR="00824558" w:rsidRPr="004F7F41" w:rsidRDefault="00824558">
      <w:pPr>
        <w:pStyle w:val="ListBullet"/>
        <w:tabs>
          <w:tab w:val="clear" w:pos="360"/>
        </w:tabs>
        <w:spacing w:before="40" w:after="40"/>
        <w:ind w:left="340" w:hanging="340"/>
      </w:pPr>
      <w:r w:rsidRPr="004F7F41">
        <w:t>ensures all services are delivered in a timely, relevant, and readily understandable manner</w:t>
      </w:r>
    </w:p>
    <w:p w14:paraId="04B61C29" w14:textId="77777777" w:rsidR="00824558" w:rsidRPr="004F7F41" w:rsidRDefault="00824558">
      <w:pPr>
        <w:pStyle w:val="ListBullet"/>
        <w:tabs>
          <w:tab w:val="clear" w:pos="360"/>
        </w:tabs>
        <w:spacing w:before="40" w:after="40"/>
        <w:ind w:left="340" w:hanging="340"/>
      </w:pPr>
      <w:r w:rsidRPr="004F7F41">
        <w:t>informs policy development and public debate in the parliament and the community.</w:t>
      </w:r>
    </w:p>
    <w:p w14:paraId="5962FB4D" w14:textId="065557C0" w:rsidR="00824558" w:rsidRPr="00A90ADB" w:rsidRDefault="00824558">
      <w:pPr>
        <w:pStyle w:val="Heading3"/>
      </w:pPr>
      <w:r w:rsidRPr="00A90ADB">
        <w:t>Victorian Auditor-General</w:t>
      </w:r>
      <w:r w:rsidR="007942D1">
        <w:t>’</w:t>
      </w:r>
      <w:r w:rsidRPr="00A90ADB">
        <w:t xml:space="preserve">s Office </w:t>
      </w:r>
    </w:p>
    <w:p w14:paraId="454FB1D5" w14:textId="02C0991C" w:rsidR="00824558" w:rsidRPr="008064B1" w:rsidRDefault="00824558">
      <w:pPr>
        <w:keepLines w:val="0"/>
      </w:pPr>
      <w:r w:rsidRPr="008064B1">
        <w:t>Victorian Auditor-General</w:t>
      </w:r>
      <w:r w:rsidR="007942D1">
        <w:t>’</w:t>
      </w:r>
      <w:r w:rsidRPr="008064B1">
        <w:t>s Office (VAGO) seeks to achieve two outcomes:</w:t>
      </w:r>
    </w:p>
    <w:p w14:paraId="1D6611B2" w14:textId="77777777" w:rsidR="00824558" w:rsidRPr="008064B1" w:rsidRDefault="00824558" w:rsidP="0057778B">
      <w:pPr>
        <w:pStyle w:val="ListParagraph"/>
        <w:keepLines w:val="0"/>
        <w:numPr>
          <w:ilvl w:val="0"/>
          <w:numId w:val="29"/>
        </w:numPr>
      </w:pPr>
      <w:r w:rsidRPr="008064B1">
        <w:t>a more accountable and transparent public sector</w:t>
      </w:r>
    </w:p>
    <w:p w14:paraId="6FC1A0EB" w14:textId="77777777" w:rsidR="00824558" w:rsidRPr="008064B1" w:rsidRDefault="00824558" w:rsidP="0057778B">
      <w:pPr>
        <w:pStyle w:val="ListParagraph"/>
        <w:keepLines w:val="0"/>
        <w:numPr>
          <w:ilvl w:val="0"/>
          <w:numId w:val="29"/>
        </w:numPr>
      </w:pPr>
      <w:r w:rsidRPr="008064B1">
        <w:t>better public services.</w:t>
      </w:r>
    </w:p>
    <w:p w14:paraId="72474D9B" w14:textId="74D873F1" w:rsidR="00824558" w:rsidRPr="008064B1" w:rsidRDefault="00824558">
      <w:pPr>
        <w:keepLines w:val="0"/>
      </w:pPr>
      <w:r w:rsidRPr="008064B1">
        <w:t>VAGO</w:t>
      </w:r>
      <w:r w:rsidR="007942D1">
        <w:t>’</w:t>
      </w:r>
      <w:r w:rsidRPr="008064B1">
        <w:t xml:space="preserve">s Strategic Plan 2025-29 provides a roadmap for where </w:t>
      </w:r>
      <w:r w:rsidRPr="0033383E">
        <w:t>VAGO is heading as an organisation and how it will respond to the coming challenges and opportunities, in order to continue</w:t>
      </w:r>
      <w:r w:rsidRPr="008064B1">
        <w:t xml:space="preserve"> to achieve these outcomes in the most efficient and effective way. In this plan, VAGO is focused on achieving:</w:t>
      </w:r>
    </w:p>
    <w:p w14:paraId="3479256D" w14:textId="77777777" w:rsidR="00824558" w:rsidRPr="008064B1" w:rsidRDefault="00824558" w:rsidP="0057778B">
      <w:pPr>
        <w:pStyle w:val="ListParagraph"/>
        <w:keepLines w:val="0"/>
        <w:numPr>
          <w:ilvl w:val="0"/>
          <w:numId w:val="30"/>
        </w:numPr>
      </w:pPr>
      <w:r w:rsidRPr="008064B1">
        <w:t>more open, accountable government</w:t>
      </w:r>
    </w:p>
    <w:p w14:paraId="269D92A7" w14:textId="77777777" w:rsidR="00824558" w:rsidRPr="008064B1" w:rsidRDefault="00824558" w:rsidP="0057778B">
      <w:pPr>
        <w:pStyle w:val="ListParagraph"/>
        <w:keepLines w:val="0"/>
        <w:numPr>
          <w:ilvl w:val="0"/>
          <w:numId w:val="30"/>
        </w:numPr>
      </w:pPr>
      <w:r w:rsidRPr="008064B1">
        <w:t xml:space="preserve">a modern fit-for-purpose audit office </w:t>
      </w:r>
    </w:p>
    <w:p w14:paraId="060FD229" w14:textId="77777777" w:rsidR="00824558" w:rsidRPr="008064B1" w:rsidRDefault="00824558" w:rsidP="0057778B">
      <w:pPr>
        <w:pStyle w:val="ListParagraph"/>
        <w:keepLines w:val="0"/>
        <w:numPr>
          <w:ilvl w:val="0"/>
          <w:numId w:val="30"/>
        </w:numPr>
      </w:pPr>
      <w:r w:rsidRPr="008064B1">
        <w:t xml:space="preserve">a future-ready agile workforce </w:t>
      </w:r>
    </w:p>
    <w:p w14:paraId="27FE18EE" w14:textId="77777777" w:rsidR="00824558" w:rsidRPr="008064B1" w:rsidRDefault="00824558" w:rsidP="001D6B84">
      <w:pPr>
        <w:pStyle w:val="ListBullet"/>
      </w:pPr>
      <w:r w:rsidRPr="008064B1">
        <w:t>with the ultimate goal of better public services and lives for Victorians.</w:t>
      </w:r>
    </w:p>
    <w:p w14:paraId="5A0F387A" w14:textId="19F2A249" w:rsidR="00824558" w:rsidRPr="008064B1" w:rsidRDefault="00824558">
      <w:pPr>
        <w:keepLines w:val="0"/>
        <w:rPr>
          <w:rFonts w:asciiTheme="majorHAnsi" w:eastAsiaTheme="majorEastAsia" w:hAnsiTheme="majorHAnsi" w:cstheme="majorBidi"/>
          <w:b/>
          <w:sz w:val="23"/>
          <w:szCs w:val="24"/>
        </w:rPr>
      </w:pPr>
      <w:r w:rsidRPr="008064B1">
        <w:t xml:space="preserve">The </w:t>
      </w:r>
      <w:r>
        <w:t>nine</w:t>
      </w:r>
      <w:r w:rsidRPr="008064B1">
        <w:t xml:space="preserve"> strategies underpinning the plan can be found in VAGO</w:t>
      </w:r>
      <w:r w:rsidR="007942D1">
        <w:t>’</w:t>
      </w:r>
      <w:r w:rsidRPr="008064B1">
        <w:t>s</w:t>
      </w:r>
      <w:r w:rsidRPr="00BE08F1">
        <w:rPr>
          <w:i/>
        </w:rPr>
        <w:t xml:space="preserve"> Strategic Plan 2025-29</w:t>
      </w:r>
      <w:r w:rsidRPr="008064B1">
        <w:t>.</w:t>
      </w:r>
      <w:r w:rsidRPr="008064B1">
        <w:br w:type="page"/>
      </w:r>
    </w:p>
    <w:p w14:paraId="14F68E3E" w14:textId="4B75A61A" w:rsidR="00824558" w:rsidRPr="00A90ADB" w:rsidRDefault="00824558">
      <w:pPr>
        <w:pStyle w:val="Heading3"/>
        <w:rPr>
          <w:sz w:val="26"/>
          <w:szCs w:val="26"/>
        </w:rPr>
      </w:pPr>
      <w:r w:rsidRPr="00A90ADB">
        <w:t xml:space="preserve">Independent Broad-based Anti-corruption Commission </w:t>
      </w:r>
    </w:p>
    <w:bookmarkEnd w:id="23"/>
    <w:p w14:paraId="51BBA5E8" w14:textId="4DA375C4" w:rsidR="00824558" w:rsidRPr="003239AE" w:rsidRDefault="00824558">
      <w:pPr>
        <w:rPr>
          <w:rFonts w:ascii="Garamond" w:hAnsi="Garamond"/>
          <w:color w:val="000000" w:themeColor="text1"/>
          <w:vertAlign w:val="superscript"/>
        </w:rPr>
      </w:pPr>
      <w:r w:rsidRPr="00A90ADB">
        <w:rPr>
          <w:rFonts w:ascii="Garamond" w:hAnsi="Garamond"/>
          <w:color w:val="000000" w:themeColor="text1"/>
        </w:rPr>
        <w:t>The Independent Broad-based Anti-corruption Commission</w:t>
      </w:r>
      <w:r w:rsidR="007942D1">
        <w:rPr>
          <w:rFonts w:ascii="Garamond" w:hAnsi="Garamond"/>
          <w:color w:val="000000" w:themeColor="text1"/>
        </w:rPr>
        <w:t>’</w:t>
      </w:r>
      <w:r w:rsidRPr="00A90ADB">
        <w:rPr>
          <w:rFonts w:ascii="Garamond" w:hAnsi="Garamond"/>
          <w:color w:val="000000" w:themeColor="text1"/>
        </w:rPr>
        <w:t>s mission is strengthening Victoria</w:t>
      </w:r>
      <w:r w:rsidR="007942D1">
        <w:rPr>
          <w:rFonts w:ascii="Garamond" w:hAnsi="Garamond"/>
          <w:color w:val="000000" w:themeColor="text1"/>
        </w:rPr>
        <w:t>’</w:t>
      </w:r>
      <w:r w:rsidRPr="00A90ADB">
        <w:rPr>
          <w:rFonts w:ascii="Garamond" w:hAnsi="Garamond"/>
          <w:color w:val="000000" w:themeColor="text1"/>
        </w:rPr>
        <w:t xml:space="preserve">s </w:t>
      </w:r>
      <w:r w:rsidRPr="00A90ADB" w:rsidDel="001325B7">
        <w:rPr>
          <w:rFonts w:ascii="Garamond" w:hAnsi="Garamond"/>
          <w:color w:val="000000" w:themeColor="text1"/>
        </w:rPr>
        <w:t xml:space="preserve">integrity. </w:t>
      </w:r>
      <w:r w:rsidRPr="00A90ADB">
        <w:rPr>
          <w:rFonts w:ascii="Garamond" w:hAnsi="Garamond"/>
          <w:color w:val="000000" w:themeColor="text1"/>
        </w:rPr>
        <w:t>The</w:t>
      </w:r>
      <w:r>
        <w:rPr>
          <w:rFonts w:ascii="Garamond" w:hAnsi="Garamond"/>
          <w:color w:val="000000" w:themeColor="text1"/>
        </w:rPr>
        <w:t> </w:t>
      </w:r>
      <w:r w:rsidRPr="00A90ADB">
        <w:rPr>
          <w:rFonts w:ascii="Garamond" w:hAnsi="Garamond"/>
          <w:color w:val="000000" w:themeColor="text1"/>
        </w:rPr>
        <w:t>objectives of the Independent Broad-based Anti-corruption Commission are to</w:t>
      </w:r>
      <w:r w:rsidRPr="4D10860B">
        <w:rPr>
          <w:rFonts w:ascii="Garamond" w:hAnsi="Garamond"/>
          <w:color w:val="000000" w:themeColor="text1"/>
        </w:rPr>
        <w:t xml:space="preserve">: </w:t>
      </w:r>
    </w:p>
    <w:p w14:paraId="26D896C4" w14:textId="77777777" w:rsidR="00824558" w:rsidRDefault="00824558">
      <w:pPr>
        <w:pStyle w:val="ListBullet"/>
        <w:tabs>
          <w:tab w:val="clear" w:pos="360"/>
        </w:tabs>
        <w:ind w:left="340" w:hanging="340"/>
      </w:pPr>
      <w:r>
        <w:t>educate the public sector, police and community about the harm caused by corruption and police misconduct</w:t>
      </w:r>
    </w:p>
    <w:p w14:paraId="5E1C9CBE" w14:textId="77777777" w:rsidR="00824558" w:rsidRDefault="00824558">
      <w:pPr>
        <w:pStyle w:val="ListBullet"/>
        <w:tabs>
          <w:tab w:val="clear" w:pos="360"/>
        </w:tabs>
        <w:ind w:left="340" w:hanging="340"/>
      </w:pPr>
      <w:r>
        <w:t>identify, investigate and expose public sector corruption and police misconduct</w:t>
      </w:r>
    </w:p>
    <w:p w14:paraId="0AB60011" w14:textId="77777777" w:rsidR="00824558" w:rsidRDefault="00824558">
      <w:pPr>
        <w:pStyle w:val="ListBullet"/>
        <w:tabs>
          <w:tab w:val="clear" w:pos="360"/>
        </w:tabs>
        <w:ind w:left="340" w:hanging="340"/>
      </w:pPr>
      <w:r>
        <w:t>assist improving public sector and police capability to prevent corruption and police misconduct</w:t>
      </w:r>
    </w:p>
    <w:p w14:paraId="032D33E4" w14:textId="77777777" w:rsidR="00824558" w:rsidRPr="00EC32E6" w:rsidRDefault="00824558">
      <w:pPr>
        <w:pStyle w:val="ListBullet"/>
        <w:tabs>
          <w:tab w:val="clear" w:pos="360"/>
        </w:tabs>
        <w:spacing w:after="120"/>
        <w:ind w:left="340" w:hanging="340"/>
      </w:pPr>
      <w:r w:rsidRPr="00EC32E6">
        <w:t xml:space="preserve">monitor and oversight use of police powers through </w:t>
      </w:r>
      <w:r>
        <w:t>applicable</w:t>
      </w:r>
      <w:r w:rsidRPr="00EC32E6">
        <w:t xml:space="preserve"> legislative frameworks</w:t>
      </w:r>
      <w:r>
        <w:t>.</w:t>
      </w:r>
    </w:p>
    <w:p w14:paraId="782C6FA4" w14:textId="7B7213C1" w:rsidR="00824558" w:rsidRPr="00A90FD6" w:rsidRDefault="00824558">
      <w:pPr>
        <w:pStyle w:val="Heading3"/>
        <w:rPr>
          <w:rFonts w:cstheme="majorHAnsi"/>
          <w:bCs/>
          <w:szCs w:val="23"/>
        </w:rPr>
      </w:pPr>
      <w:r w:rsidRPr="00A90FD6">
        <w:t>Integrity Oversight Victoria</w:t>
      </w:r>
    </w:p>
    <w:p w14:paraId="5BC3E129" w14:textId="60E04845" w:rsidR="00824558" w:rsidRPr="00A90FD6" w:rsidRDefault="00824558">
      <w:r w:rsidRPr="00A90FD6">
        <w:rPr>
          <w:b/>
          <w:bCs/>
        </w:rPr>
        <w:t>Objective 1:</w:t>
      </w:r>
      <w:r w:rsidRPr="00A90FD6">
        <w:t xml:space="preserve"> Ensuring other integrity, accountability or investigatory bodies and their officers, which together with Integrity Oversight Victoria collectively constitute Victoria</w:t>
      </w:r>
      <w:r w:rsidR="007942D1">
        <w:t>’</w:t>
      </w:r>
      <w:r w:rsidRPr="00A90FD6">
        <w:t xml:space="preserve">s </w:t>
      </w:r>
      <w:r w:rsidR="007942D1">
        <w:t>‘</w:t>
      </w:r>
      <w:r w:rsidRPr="00A90FD6">
        <w:t>integrity system</w:t>
      </w:r>
      <w:r w:rsidR="007942D1">
        <w:t>’</w:t>
      </w:r>
      <w:r w:rsidRPr="00A90FD6">
        <w:t>, act lawfully and properly in the performance of their functions.</w:t>
      </w:r>
    </w:p>
    <w:p w14:paraId="04A1D91C" w14:textId="77777777" w:rsidR="00824558" w:rsidRPr="00A90FD6" w:rsidRDefault="00824558">
      <w:pPr>
        <w:rPr>
          <w:rFonts w:cstheme="minorHAnsi"/>
        </w:rPr>
      </w:pPr>
      <w:r w:rsidRPr="00A90FD6">
        <w:rPr>
          <w:rFonts w:cstheme="minorHAnsi"/>
        </w:rPr>
        <w:t xml:space="preserve">This objective aims to provide the Parliament and the people of Victoria with independent assurance </w:t>
      </w:r>
      <w:r w:rsidRPr="00A90FD6" w:rsidDel="001173F8">
        <w:rPr>
          <w:rFonts w:cstheme="minorHAnsi"/>
        </w:rPr>
        <w:t>that</w:t>
      </w:r>
      <w:r w:rsidRPr="00A90FD6">
        <w:rPr>
          <w:rFonts w:cstheme="minorHAnsi"/>
        </w:rPr>
        <w:t xml:space="preserve"> the right checks and balances are in place and that </w:t>
      </w:r>
      <w:r w:rsidRPr="00A90FD6">
        <w:t>Integrity Oversight Victoria</w:t>
      </w:r>
      <w:r w:rsidRPr="00A90FD6">
        <w:rPr>
          <w:rFonts w:cstheme="minorHAnsi"/>
        </w:rPr>
        <w:t xml:space="preserve"> is positively influencing integrity agencies to lawfully exercise intrusive and coercive powers. The objective indicators are:</w:t>
      </w:r>
    </w:p>
    <w:p w14:paraId="5012BA46" w14:textId="77777777" w:rsidR="00824558" w:rsidRPr="00A90FD6" w:rsidRDefault="00824558">
      <w:pPr>
        <w:pStyle w:val="ListBullet"/>
        <w:tabs>
          <w:tab w:val="clear" w:pos="360"/>
        </w:tabs>
        <w:ind w:left="340" w:hanging="340"/>
      </w:pPr>
      <w:r w:rsidRPr="00A90FD6">
        <w:t>systemic improvements by agencies to support compliance in the integrity system</w:t>
      </w:r>
    </w:p>
    <w:p w14:paraId="7980E49F" w14:textId="77777777" w:rsidR="00824558" w:rsidRPr="00A90FD6" w:rsidRDefault="00824558">
      <w:pPr>
        <w:pStyle w:val="ListBullet"/>
        <w:tabs>
          <w:tab w:val="clear" w:pos="360"/>
        </w:tabs>
        <w:ind w:left="340" w:hanging="340"/>
      </w:pPr>
      <w:r w:rsidRPr="00A90FD6">
        <w:t xml:space="preserve">percentage of recommendations by Integrity Oversight Victoria that are accepted by integrity </w:t>
      </w:r>
      <w:r w:rsidRPr="00A90FD6" w:rsidDel="000461BB">
        <w:t>agencies</w:t>
      </w:r>
      <w:r w:rsidRPr="00A90FD6">
        <w:t>.</w:t>
      </w:r>
    </w:p>
    <w:p w14:paraId="60CF95C1" w14:textId="7E91DBEF" w:rsidR="00824558" w:rsidRPr="00A90FD6" w:rsidRDefault="00824558">
      <w:pPr>
        <w:rPr>
          <w:rFonts w:cstheme="minorHAnsi"/>
        </w:rPr>
      </w:pPr>
      <w:r w:rsidRPr="00A90FD6">
        <w:rPr>
          <w:rFonts w:cstheme="minorHAnsi"/>
          <w:b/>
          <w:bCs/>
        </w:rPr>
        <w:t>Objective 2:</w:t>
      </w:r>
      <w:r w:rsidRPr="00A90FD6">
        <w:rPr>
          <w:rFonts w:cstheme="minorHAnsi"/>
        </w:rPr>
        <w:t xml:space="preserve"> Ensuring the community understands their rights and responsibilities in the integrity system and has access to </w:t>
      </w:r>
      <w:r w:rsidRPr="00A90FD6">
        <w:t>Integrity Oversight Victoria</w:t>
      </w:r>
      <w:r w:rsidRPr="00A90FD6">
        <w:rPr>
          <w:rFonts w:cstheme="minorHAnsi"/>
        </w:rPr>
        <w:t>.</w:t>
      </w:r>
    </w:p>
    <w:p w14:paraId="16B0FFD5" w14:textId="77777777" w:rsidR="00824558" w:rsidRPr="00A90FD6" w:rsidRDefault="00824558">
      <w:r w:rsidRPr="00A90FD6">
        <w:rPr>
          <w:rFonts w:cstheme="minorHAnsi"/>
        </w:rPr>
        <w:t xml:space="preserve">This objective aims to build public confidence and trust in the integrity system by ensuring the community knows when to come to </w:t>
      </w:r>
      <w:r w:rsidRPr="00A90FD6">
        <w:t xml:space="preserve">Integrity Oversight Victoria </w:t>
      </w:r>
      <w:r w:rsidRPr="00A90FD6">
        <w:rPr>
          <w:rFonts w:cstheme="minorHAnsi"/>
        </w:rPr>
        <w:t>to protect their rights. The objective indicators are the timeliness measures relating to complaints and investigations, as well as:</w:t>
      </w:r>
    </w:p>
    <w:p w14:paraId="1F534561" w14:textId="410AED4F" w:rsidR="00824558" w:rsidRPr="00A90FD6" w:rsidRDefault="00824558">
      <w:pPr>
        <w:pStyle w:val="ListBullet"/>
        <w:tabs>
          <w:tab w:val="clear" w:pos="360"/>
        </w:tabs>
        <w:ind w:left="340" w:hanging="340"/>
      </w:pPr>
      <w:r w:rsidRPr="00A90FD6">
        <w:t>educational activities to improve community access and explain rights, responsibilities and Integrity Oversight Victoria</w:t>
      </w:r>
      <w:r w:rsidR="007942D1">
        <w:t>’</w:t>
      </w:r>
      <w:r w:rsidRPr="00A90FD6">
        <w:t>s role</w:t>
      </w:r>
    </w:p>
    <w:p w14:paraId="58995A27" w14:textId="77777777" w:rsidR="00824558" w:rsidRPr="007F4D8F" w:rsidRDefault="00824558">
      <w:pPr>
        <w:pStyle w:val="ListBullet"/>
        <w:tabs>
          <w:tab w:val="clear" w:pos="360"/>
        </w:tabs>
        <w:ind w:left="340" w:hanging="340"/>
      </w:pPr>
      <w:r w:rsidRPr="00A90FD6">
        <w:t>reasons for decisions provided for complaint outcomes.</w:t>
      </w:r>
    </w:p>
    <w:p w14:paraId="0E2461B0" w14:textId="77777777" w:rsidR="00824558" w:rsidRDefault="00824558">
      <w:pPr>
        <w:keepLines w:val="0"/>
        <w:rPr>
          <w:rFonts w:asciiTheme="majorHAnsi" w:eastAsiaTheme="majorEastAsia" w:hAnsiTheme="majorHAnsi" w:cstheme="majorBidi"/>
          <w:b/>
          <w:sz w:val="23"/>
          <w:szCs w:val="24"/>
        </w:rPr>
      </w:pPr>
      <w:r>
        <w:br w:type="page"/>
      </w:r>
    </w:p>
    <w:p w14:paraId="24C45669" w14:textId="051BAEEE" w:rsidR="00824558" w:rsidRPr="000523DA" w:rsidRDefault="00824558">
      <w:pPr>
        <w:pStyle w:val="Heading3"/>
      </w:pPr>
      <w:r w:rsidRPr="000523DA">
        <w:t>Victorian Ombudsman</w:t>
      </w:r>
    </w:p>
    <w:p w14:paraId="1B33B9D6" w14:textId="77777777" w:rsidR="00824558" w:rsidRPr="0033383E" w:rsidRDefault="00824558">
      <w:r w:rsidRPr="0033383E">
        <w:t>The objectives of the Victorian Ombudsman are:</w:t>
      </w:r>
    </w:p>
    <w:p w14:paraId="2A6D095B" w14:textId="77777777" w:rsidR="00824558" w:rsidRPr="0033383E" w:rsidRDefault="00824558">
      <w:r w:rsidRPr="0033383E">
        <w:rPr>
          <w:b/>
          <w:bCs/>
        </w:rPr>
        <w:t>Objective 1:</w:t>
      </w:r>
      <w:r w:rsidRPr="0033383E">
        <w:t xml:space="preserve"> To provide a timely, efficient, effective, flexible, and independent means of resolving complaints about administrative action of authorities.</w:t>
      </w:r>
    </w:p>
    <w:p w14:paraId="340CADE5" w14:textId="77777777" w:rsidR="00824558" w:rsidRPr="0033383E" w:rsidRDefault="00824558">
      <w:r w:rsidRPr="0033383E">
        <w:t>Objective indicators:</w:t>
      </w:r>
    </w:p>
    <w:p w14:paraId="6577E8C1" w14:textId="77777777" w:rsidR="00824558" w:rsidRPr="0033383E" w:rsidRDefault="00824558">
      <w:pPr>
        <w:pStyle w:val="ListBullet"/>
        <w:tabs>
          <w:tab w:val="clear" w:pos="360"/>
        </w:tabs>
        <w:ind w:left="340" w:hanging="340"/>
      </w:pPr>
      <w:r w:rsidRPr="0033383E">
        <w:t>Triage and allocation of high priority complaints made within five business days of receipt</w:t>
      </w:r>
    </w:p>
    <w:p w14:paraId="442927A7" w14:textId="77777777" w:rsidR="00824558" w:rsidRPr="0033383E" w:rsidRDefault="00824558">
      <w:pPr>
        <w:pStyle w:val="ListBullet"/>
        <w:tabs>
          <w:tab w:val="clear" w:pos="360"/>
        </w:tabs>
        <w:ind w:left="340" w:hanging="340"/>
      </w:pPr>
      <w:r w:rsidRPr="0033383E">
        <w:t>Percentage of complaints closed versus received</w:t>
      </w:r>
    </w:p>
    <w:p w14:paraId="79E30EF3" w14:textId="77777777" w:rsidR="00824558" w:rsidRPr="0033383E" w:rsidRDefault="00824558">
      <w:pPr>
        <w:pStyle w:val="ListBullet"/>
        <w:tabs>
          <w:tab w:val="clear" w:pos="360"/>
        </w:tabs>
        <w:ind w:left="340" w:hanging="340"/>
      </w:pPr>
      <w:r w:rsidRPr="0033383E">
        <w:t>Priority complaints where the complainant or respondent has agreed to take action</w:t>
      </w:r>
    </w:p>
    <w:p w14:paraId="16C185F4" w14:textId="77777777" w:rsidR="00824558" w:rsidRPr="0033383E" w:rsidRDefault="00824558">
      <w:pPr>
        <w:pStyle w:val="ListBullet"/>
        <w:tabs>
          <w:tab w:val="clear" w:pos="360"/>
        </w:tabs>
        <w:ind w:left="340" w:hanging="340"/>
      </w:pPr>
      <w:r w:rsidRPr="0033383E">
        <w:t xml:space="preserve">Number of complaints conciliated </w:t>
      </w:r>
    </w:p>
    <w:p w14:paraId="193C96EB" w14:textId="21D4F252" w:rsidR="00824558" w:rsidRPr="0033383E" w:rsidRDefault="00824558">
      <w:pPr>
        <w:pStyle w:val="ListBullet"/>
        <w:tabs>
          <w:tab w:val="clear" w:pos="360"/>
        </w:tabs>
        <w:ind w:left="340" w:hanging="340"/>
      </w:pPr>
      <w:r w:rsidRPr="0033383E">
        <w:t xml:space="preserve">Stakeholders who feel </w:t>
      </w:r>
      <w:r w:rsidR="007942D1">
        <w:t>‘</w:t>
      </w:r>
      <w:r w:rsidRPr="0033383E">
        <w:t>impartial</w:t>
      </w:r>
      <w:r w:rsidR="007942D1">
        <w:t>’</w:t>
      </w:r>
      <w:r w:rsidRPr="0033383E">
        <w:t xml:space="preserve"> describes the Victorian Ombudsman well or very well. </w:t>
      </w:r>
    </w:p>
    <w:p w14:paraId="44766E77" w14:textId="77777777" w:rsidR="00824558" w:rsidRPr="0033383E" w:rsidRDefault="00824558">
      <w:r w:rsidRPr="0033383E">
        <w:rPr>
          <w:b/>
          <w:bCs/>
        </w:rPr>
        <w:t xml:space="preserve">Objective 2: </w:t>
      </w:r>
      <w:r w:rsidRPr="0033383E">
        <w:t>To provide for, or assist in, the identification, investigation, exposure and prevention of maladministration and improper conduct.</w:t>
      </w:r>
    </w:p>
    <w:p w14:paraId="0E78B4CF" w14:textId="77777777" w:rsidR="00824558" w:rsidRPr="0033383E" w:rsidRDefault="00824558">
      <w:r w:rsidRPr="0033383E">
        <w:t>Objective indicators:</w:t>
      </w:r>
    </w:p>
    <w:p w14:paraId="47BD1A0D" w14:textId="77777777" w:rsidR="00824558" w:rsidRPr="0033383E" w:rsidRDefault="00824558">
      <w:pPr>
        <w:pStyle w:val="ListBullet"/>
        <w:tabs>
          <w:tab w:val="clear" w:pos="360"/>
        </w:tabs>
        <w:ind w:left="340" w:hanging="340"/>
      </w:pPr>
      <w:r w:rsidRPr="0033383E">
        <w:t>Finalised assessable Public Interest Disclosures notified to IBAC</w:t>
      </w:r>
    </w:p>
    <w:p w14:paraId="3C9D4F0C" w14:textId="77777777" w:rsidR="00824558" w:rsidRPr="0033383E" w:rsidRDefault="00824558">
      <w:pPr>
        <w:pStyle w:val="ListBullet"/>
        <w:tabs>
          <w:tab w:val="clear" w:pos="360"/>
        </w:tabs>
        <w:ind w:left="340" w:hanging="340"/>
      </w:pPr>
      <w:r w:rsidRPr="0033383E">
        <w:t xml:space="preserve">Complaints enquired into where an authority agrees to take action to resolve the matter </w:t>
      </w:r>
    </w:p>
    <w:p w14:paraId="79EE4F88" w14:textId="77777777" w:rsidR="00824558" w:rsidRPr="0033383E" w:rsidRDefault="00824558">
      <w:pPr>
        <w:pStyle w:val="ListBullet"/>
        <w:tabs>
          <w:tab w:val="clear" w:pos="360"/>
        </w:tabs>
        <w:ind w:left="340" w:hanging="340"/>
      </w:pPr>
      <w:r w:rsidRPr="0033383E">
        <w:t>Administrative action identified as engaging human rights</w:t>
      </w:r>
    </w:p>
    <w:p w14:paraId="466DFBE2" w14:textId="77777777" w:rsidR="00824558" w:rsidRPr="0033383E" w:rsidRDefault="00824558">
      <w:pPr>
        <w:pStyle w:val="ListBullet"/>
        <w:tabs>
          <w:tab w:val="clear" w:pos="360"/>
        </w:tabs>
        <w:ind w:left="340" w:hanging="340"/>
      </w:pPr>
      <w:r w:rsidRPr="0033383E">
        <w:t>Jurisdictional cases selected for enquiry/investigation</w:t>
      </w:r>
    </w:p>
    <w:p w14:paraId="0464E11A" w14:textId="77777777" w:rsidR="00824558" w:rsidRPr="0033383E" w:rsidRDefault="00824558">
      <w:pPr>
        <w:pStyle w:val="ListBullet"/>
        <w:tabs>
          <w:tab w:val="clear" w:pos="360"/>
        </w:tabs>
        <w:ind w:left="340" w:hanging="340"/>
      </w:pPr>
      <w:r w:rsidRPr="0033383E">
        <w:t xml:space="preserve">External communications, including reports, policy papers, submissions and presentations that seek to expose and/or prevent maladministration or improper conduct. </w:t>
      </w:r>
    </w:p>
    <w:p w14:paraId="2D1C4750" w14:textId="77777777" w:rsidR="00824558" w:rsidRPr="0033383E" w:rsidRDefault="00824558">
      <w:r w:rsidRPr="0033383E">
        <w:rPr>
          <w:b/>
          <w:bCs/>
        </w:rPr>
        <w:t xml:space="preserve">Objective 3: </w:t>
      </w:r>
      <w:r w:rsidRPr="0033383E">
        <w:t xml:space="preserve">To assist in improving the quality of administration and complaint handling practices and procedures of authorities. </w:t>
      </w:r>
    </w:p>
    <w:p w14:paraId="30E889A0" w14:textId="77777777" w:rsidR="00824558" w:rsidRPr="0033383E" w:rsidRDefault="00824558">
      <w:r w:rsidRPr="0033383E">
        <w:t>Objective indicators:</w:t>
      </w:r>
    </w:p>
    <w:p w14:paraId="63F4967D" w14:textId="77777777" w:rsidR="00824558" w:rsidRPr="0033383E" w:rsidRDefault="00824558">
      <w:pPr>
        <w:pStyle w:val="ListBullet"/>
        <w:tabs>
          <w:tab w:val="clear" w:pos="360"/>
        </w:tabs>
        <w:ind w:left="340" w:hanging="340"/>
      </w:pPr>
      <w:r w:rsidRPr="0033383E">
        <w:t xml:space="preserve">Participants who report feeling more confident in complaint handling, decision-making or dealing with complex behaviour as a result of attending a Victorian Ombudsman workshop </w:t>
      </w:r>
    </w:p>
    <w:p w14:paraId="393E31AC" w14:textId="77777777" w:rsidR="00824558" w:rsidRPr="0033383E" w:rsidRDefault="00824558">
      <w:pPr>
        <w:pStyle w:val="ListBullet"/>
        <w:tabs>
          <w:tab w:val="clear" w:pos="360"/>
        </w:tabs>
        <w:ind w:left="340" w:hanging="340"/>
      </w:pPr>
      <w:r w:rsidRPr="0033383E">
        <w:t>External communications, including reports, policy papers, good practice guides, presentations, and other advice on aspects of public administration</w:t>
      </w:r>
    </w:p>
    <w:p w14:paraId="22045B6B" w14:textId="000A710F" w:rsidR="00824558" w:rsidRPr="0033383E" w:rsidRDefault="00824558">
      <w:pPr>
        <w:pStyle w:val="ListBullet"/>
        <w:tabs>
          <w:tab w:val="clear" w:pos="360"/>
        </w:tabs>
        <w:ind w:left="340" w:hanging="340"/>
      </w:pPr>
      <w:r w:rsidRPr="0033383E">
        <w:t>Fewer complaints about complaint handling requiring enquiry/investigation involving authorities</w:t>
      </w:r>
      <w:r w:rsidR="007942D1">
        <w:t>’</w:t>
      </w:r>
      <w:r w:rsidRPr="0033383E">
        <w:t xml:space="preserve"> who have participated in a complaint system review </w:t>
      </w:r>
    </w:p>
    <w:p w14:paraId="1C33D9BC" w14:textId="77777777" w:rsidR="00824558" w:rsidRPr="0033383E" w:rsidRDefault="00824558">
      <w:pPr>
        <w:pStyle w:val="ListBullet"/>
        <w:tabs>
          <w:tab w:val="clear" w:pos="360"/>
        </w:tabs>
        <w:ind w:left="340" w:hanging="340"/>
      </w:pPr>
      <w:r w:rsidRPr="0033383E">
        <w:t xml:space="preserve">Number of complaints resolved where authorities agree to review or change a policy or practice. </w:t>
      </w:r>
    </w:p>
    <w:p w14:paraId="0C34CE2D" w14:textId="77777777" w:rsidR="00824558" w:rsidRPr="0033383E" w:rsidRDefault="00824558">
      <w:r w:rsidRPr="0033383E">
        <w:rPr>
          <w:b/>
          <w:bCs/>
        </w:rPr>
        <w:t>Objective 4:</w:t>
      </w:r>
      <w:r w:rsidRPr="0033383E">
        <w:t xml:space="preserve"> To facilitate the education of the public sector and community about matters relating to the functions of the Ombudsman.</w:t>
      </w:r>
    </w:p>
    <w:p w14:paraId="60D655C2" w14:textId="77777777" w:rsidR="00824558" w:rsidRPr="0033383E" w:rsidRDefault="00824558">
      <w:r w:rsidRPr="0033383E">
        <w:t>Objective indicators:</w:t>
      </w:r>
    </w:p>
    <w:p w14:paraId="19A4E346" w14:textId="311387D6" w:rsidR="00824558" w:rsidRPr="0033383E" w:rsidRDefault="00824558">
      <w:pPr>
        <w:pStyle w:val="ListBullet"/>
        <w:tabs>
          <w:tab w:val="clear" w:pos="360"/>
        </w:tabs>
        <w:ind w:left="340" w:hanging="340"/>
      </w:pPr>
      <w:r w:rsidRPr="0033383E">
        <w:t>Public sector stakeholders who feel very or extremely aware of the Victorian Ombudsman</w:t>
      </w:r>
      <w:r w:rsidR="007942D1">
        <w:t>’</w:t>
      </w:r>
      <w:r w:rsidRPr="0033383E">
        <w:t xml:space="preserve">s role </w:t>
      </w:r>
    </w:p>
    <w:p w14:paraId="65AFA834" w14:textId="4DB49DA3" w:rsidR="00824558" w:rsidRPr="0033383E" w:rsidRDefault="00824558">
      <w:pPr>
        <w:pStyle w:val="ListBullet"/>
        <w:tabs>
          <w:tab w:val="clear" w:pos="360"/>
        </w:tabs>
        <w:ind w:left="340" w:hanging="340"/>
      </w:pPr>
      <w:r w:rsidRPr="0033383E">
        <w:t>Community stakeholders who feel very or extremely aware of the Victorian Ombudsman</w:t>
      </w:r>
      <w:r w:rsidR="007942D1">
        <w:t>’</w:t>
      </w:r>
      <w:r w:rsidRPr="0033383E">
        <w:t>s role</w:t>
      </w:r>
    </w:p>
    <w:p w14:paraId="1ED4C070" w14:textId="7F3D8AD9" w:rsidR="00824558" w:rsidRPr="0033383E" w:rsidRDefault="00824558">
      <w:pPr>
        <w:pStyle w:val="ListBullet"/>
        <w:tabs>
          <w:tab w:val="clear" w:pos="360"/>
        </w:tabs>
        <w:ind w:left="340" w:hanging="340"/>
      </w:pPr>
      <w:r w:rsidRPr="0033383E">
        <w:t>Public sector education initiatives, including engagement activity and resources available on Victorian Ombudsman</w:t>
      </w:r>
      <w:r w:rsidR="007942D1">
        <w:t>’</w:t>
      </w:r>
      <w:r w:rsidRPr="0033383E">
        <w:t>s website</w:t>
      </w:r>
    </w:p>
    <w:p w14:paraId="62E75197" w14:textId="073E44D1" w:rsidR="00824558" w:rsidRPr="0033383E" w:rsidRDefault="00824558">
      <w:pPr>
        <w:pStyle w:val="ListBullet"/>
        <w:tabs>
          <w:tab w:val="clear" w:pos="360"/>
        </w:tabs>
        <w:ind w:left="340" w:hanging="340"/>
      </w:pPr>
      <w:r w:rsidRPr="0033383E">
        <w:t>Community education initiatives, including engagement activity and resources available on Victorian Ombudsman</w:t>
      </w:r>
      <w:r w:rsidR="007942D1">
        <w:t>’</w:t>
      </w:r>
      <w:r w:rsidRPr="0033383E">
        <w:t>s website.</w:t>
      </w:r>
    </w:p>
    <w:p w14:paraId="5F3203F1" w14:textId="77777777" w:rsidR="00824558" w:rsidRPr="0033383E" w:rsidRDefault="00824558">
      <w:pPr>
        <w:keepLines w:val="0"/>
      </w:pPr>
      <w:r w:rsidRPr="0033383E">
        <w:br w:type="page"/>
      </w:r>
    </w:p>
    <w:p w14:paraId="1CCE1895" w14:textId="23AB132D" w:rsidR="00824558" w:rsidRPr="0033383E" w:rsidRDefault="00824558">
      <w:pPr>
        <w:pStyle w:val="Heading3"/>
      </w:pPr>
      <w:r w:rsidRPr="0033383E">
        <w:t>Parliamentary Workplace Standards and Integrity Commission</w:t>
      </w:r>
      <w:r w:rsidR="000D209E">
        <w:t xml:space="preserve"> </w:t>
      </w:r>
      <w:r w:rsidRPr="0033383E">
        <w:rPr>
          <w:vertAlign w:val="superscript"/>
        </w:rPr>
        <w:t>(a)</w:t>
      </w:r>
    </w:p>
    <w:p w14:paraId="2991D26A" w14:textId="77777777" w:rsidR="00824558" w:rsidRPr="00EF5D64" w:rsidRDefault="00824558" w:rsidP="000D209E">
      <w:pPr>
        <w:pStyle w:val="Heading4"/>
        <w:spacing w:before="120"/>
      </w:pPr>
      <w:r w:rsidRPr="00EF5D64">
        <w:t>Awareness</w:t>
      </w:r>
    </w:p>
    <w:p w14:paraId="5A41EE85" w14:textId="68E95F54" w:rsidR="00824558" w:rsidRPr="00EE4F36" w:rsidRDefault="00824558">
      <w:pPr>
        <w:pStyle w:val="ListBullet"/>
        <w:tabs>
          <w:tab w:val="clear" w:pos="360"/>
        </w:tabs>
        <w:spacing w:before="40" w:after="40"/>
        <w:ind w:left="340" w:hanging="340"/>
      </w:pPr>
      <w:r w:rsidRPr="00EE4F36">
        <w:t>Raise awareness of the Commission</w:t>
      </w:r>
      <w:r w:rsidR="007942D1">
        <w:t>’</w:t>
      </w:r>
      <w:r w:rsidRPr="00EE4F36">
        <w:t>s purpose, functions and remit</w:t>
      </w:r>
      <w:r w:rsidR="008F7A05">
        <w:t>.</w:t>
      </w:r>
    </w:p>
    <w:p w14:paraId="2E683F22" w14:textId="77777777" w:rsidR="00824558" w:rsidRPr="00EF5D64" w:rsidRDefault="00824558" w:rsidP="000D209E">
      <w:pPr>
        <w:pStyle w:val="Heading4"/>
        <w:spacing w:before="120"/>
      </w:pPr>
      <w:r w:rsidRPr="00EF5D64">
        <w:t>Utilisation</w:t>
      </w:r>
    </w:p>
    <w:p w14:paraId="704AB485" w14:textId="13517BCA" w:rsidR="00824558" w:rsidRPr="00EE4F36" w:rsidRDefault="00824558">
      <w:pPr>
        <w:pStyle w:val="ListBullet"/>
        <w:tabs>
          <w:tab w:val="clear" w:pos="360"/>
        </w:tabs>
        <w:spacing w:before="40" w:after="40"/>
        <w:ind w:left="340" w:hanging="340"/>
      </w:pPr>
      <w:r w:rsidRPr="00EE4F36">
        <w:t>Develop a system to receive referrals of parliamentary misconduct</w:t>
      </w:r>
      <w:r w:rsidR="008F7A05">
        <w:t>.</w:t>
      </w:r>
    </w:p>
    <w:p w14:paraId="7CFC42DB" w14:textId="77777777" w:rsidR="00824558" w:rsidRPr="00EF5D64" w:rsidRDefault="00824558" w:rsidP="000D209E">
      <w:pPr>
        <w:pStyle w:val="Heading4"/>
        <w:spacing w:before="120"/>
        <w:rPr>
          <w:i w:val="0"/>
          <w:iCs w:val="0"/>
        </w:rPr>
      </w:pPr>
      <w:r w:rsidRPr="00EF5D64">
        <w:t>Effectiveness</w:t>
      </w:r>
    </w:p>
    <w:p w14:paraId="749DC52A" w14:textId="3806BCEA" w:rsidR="00824558" w:rsidRPr="00EE4F36" w:rsidRDefault="00824558">
      <w:pPr>
        <w:pStyle w:val="ListBullet"/>
        <w:tabs>
          <w:tab w:val="clear" w:pos="360"/>
        </w:tabs>
        <w:spacing w:before="40" w:after="40"/>
        <w:ind w:left="340" w:hanging="340"/>
      </w:pPr>
      <w:r w:rsidRPr="00EE4F36">
        <w:t>Manage and resolve allegations of parliamentary misconduct in a timely, impartial, and fair manner</w:t>
      </w:r>
      <w:r w:rsidR="008F7A05">
        <w:t>.</w:t>
      </w:r>
    </w:p>
    <w:p w14:paraId="63A1D4F7" w14:textId="77777777" w:rsidR="00824558" w:rsidRPr="00EF5D64" w:rsidRDefault="00824558" w:rsidP="000D209E">
      <w:pPr>
        <w:pStyle w:val="Heading4"/>
        <w:spacing w:before="120"/>
        <w:rPr>
          <w:i w:val="0"/>
          <w:iCs w:val="0"/>
        </w:rPr>
      </w:pPr>
      <w:r w:rsidRPr="00EF5D64">
        <w:t>Education and information provision</w:t>
      </w:r>
    </w:p>
    <w:p w14:paraId="5273F98C" w14:textId="77777777" w:rsidR="00824558" w:rsidRPr="00EE4F36" w:rsidRDefault="00824558">
      <w:pPr>
        <w:pStyle w:val="ListBullet"/>
        <w:tabs>
          <w:tab w:val="clear" w:pos="360"/>
        </w:tabs>
        <w:spacing w:before="40" w:after="40"/>
        <w:ind w:left="340" w:hanging="340"/>
      </w:pPr>
      <w:r w:rsidRPr="00EE4F36">
        <w:t>Support Members of Parliament to uphold their ethical obligations and adhere to parliamentary standards through providing education, training and resources, and supporting the Parliamentary Integrity Adviser and Parliamentary Ethics Committee.</w:t>
      </w:r>
    </w:p>
    <w:p w14:paraId="46394654" w14:textId="77777777" w:rsidR="00824558" w:rsidRDefault="00824558" w:rsidP="001E07DD">
      <w:pPr>
        <w:pStyle w:val="Note"/>
        <w:rPr>
          <w:rFonts w:cstheme="majorHAnsi"/>
          <w:i w:val="0"/>
          <w:iCs/>
          <w:szCs w:val="12"/>
        </w:rPr>
      </w:pPr>
      <w:r w:rsidRPr="0033383E">
        <w:t>Note:</w:t>
      </w:r>
    </w:p>
    <w:p w14:paraId="1E4BCF85" w14:textId="2C109474" w:rsidR="00824558" w:rsidRPr="000D209E" w:rsidRDefault="00824558" w:rsidP="001E07DD">
      <w:pPr>
        <w:pStyle w:val="Note"/>
        <w:rPr>
          <w:rFonts w:cstheme="majorHAnsi"/>
          <w:szCs w:val="12"/>
        </w:rPr>
      </w:pPr>
      <w:r w:rsidRPr="00EF5D64">
        <w:t xml:space="preserve">(a) </w:t>
      </w:r>
      <w:r w:rsidR="001E07DD">
        <w:tab/>
      </w:r>
      <w:r>
        <w:t>A</w:t>
      </w:r>
      <w:r w:rsidRPr="000D209E">
        <w:rPr>
          <w:rFonts w:cstheme="majorHAnsi"/>
        </w:rPr>
        <w:t>ll objectives are new for 2026-27 as it is the first time Parliamentary Workplace Standards and Integrity Commission is included in the Department Performance Statement since its establishment in 2024.</w:t>
      </w:r>
    </w:p>
    <w:p w14:paraId="0DBD4E32" w14:textId="77777777" w:rsidR="00F9720F" w:rsidRDefault="00F9720F" w:rsidP="004F120A">
      <w:pPr>
        <w:spacing w:before="0"/>
      </w:pPr>
    </w:p>
    <w:p w14:paraId="5D64F456" w14:textId="326D973A" w:rsidR="00824558" w:rsidRPr="00952390" w:rsidRDefault="00824558">
      <w:pPr>
        <w:pStyle w:val="Heading2"/>
        <w:spacing w:before="0"/>
      </w:pPr>
      <w:r w:rsidRPr="00952390">
        <w:t>Changes to the output structure</w:t>
      </w:r>
    </w:p>
    <w:p w14:paraId="04FE6AFA" w14:textId="77777777" w:rsidR="00824558" w:rsidRPr="00952390" w:rsidRDefault="00824558">
      <w:pPr>
        <w:spacing w:after="120"/>
      </w:pPr>
      <w:r w:rsidRPr="00952390">
        <w:t>The Department has made changes to its output structure for 2026-27 as shown in the table below.</w:t>
      </w:r>
    </w:p>
    <w:tbl>
      <w:tblPr>
        <w:tblStyle w:val="DTFTableText"/>
        <w:tblW w:w="9639" w:type="dxa"/>
        <w:tblLook w:val="0620" w:firstRow="1" w:lastRow="0" w:firstColumn="0" w:lastColumn="0" w:noHBand="1" w:noVBand="1"/>
      </w:tblPr>
      <w:tblGrid>
        <w:gridCol w:w="2246"/>
        <w:gridCol w:w="4133"/>
        <w:gridCol w:w="3260"/>
      </w:tblGrid>
      <w:tr w:rsidR="00824558" w:rsidRPr="00952390" w14:paraId="1D20108D" w14:textId="77777777" w:rsidTr="00540BB2">
        <w:trPr>
          <w:cnfStyle w:val="100000000000" w:firstRow="1" w:lastRow="0" w:firstColumn="0" w:lastColumn="0" w:oddVBand="0" w:evenVBand="0" w:oddHBand="0" w:evenHBand="0" w:firstRowFirstColumn="0" w:firstRowLastColumn="0" w:lastRowFirstColumn="0" w:lastRowLastColumn="0"/>
        </w:trPr>
        <w:tc>
          <w:tcPr>
            <w:tcW w:w="2246" w:type="dxa"/>
            <w:hideMark/>
          </w:tcPr>
          <w:p w14:paraId="2F5AA33B" w14:textId="77777777" w:rsidR="00824558" w:rsidRPr="00952390" w:rsidRDefault="00824558">
            <w:r w:rsidRPr="00952390">
              <w:t>2025-26 outputs</w:t>
            </w:r>
          </w:p>
        </w:tc>
        <w:tc>
          <w:tcPr>
            <w:tcW w:w="4133" w:type="dxa"/>
            <w:hideMark/>
          </w:tcPr>
          <w:p w14:paraId="4334E0EE" w14:textId="77777777" w:rsidR="00824558" w:rsidRPr="00952390" w:rsidRDefault="00824558">
            <w:r w:rsidRPr="00952390">
              <w:t>Reason</w:t>
            </w:r>
          </w:p>
        </w:tc>
        <w:tc>
          <w:tcPr>
            <w:tcW w:w="3260" w:type="dxa"/>
            <w:hideMark/>
          </w:tcPr>
          <w:p w14:paraId="5EA5E3C6" w14:textId="77777777" w:rsidR="00824558" w:rsidRPr="00952390" w:rsidRDefault="00824558">
            <w:r w:rsidRPr="00952390">
              <w:t>2026-27 outputs</w:t>
            </w:r>
          </w:p>
        </w:tc>
      </w:tr>
      <w:tr w:rsidR="00824558" w:rsidRPr="00952390" w14:paraId="0F25E7E5" w14:textId="77777777" w:rsidTr="00540BB2">
        <w:trPr>
          <w:trHeight w:val="438"/>
        </w:trPr>
        <w:tc>
          <w:tcPr>
            <w:tcW w:w="2246" w:type="dxa"/>
          </w:tcPr>
          <w:p w14:paraId="7227C118" w14:textId="3A24E998" w:rsidR="00824558" w:rsidRPr="00952390" w:rsidRDefault="00AE317E">
            <w:r>
              <w:t>n.a.</w:t>
            </w:r>
          </w:p>
        </w:tc>
        <w:tc>
          <w:tcPr>
            <w:tcW w:w="4133" w:type="dxa"/>
          </w:tcPr>
          <w:p w14:paraId="7A27A7AE" w14:textId="45D5360A" w:rsidR="00824558" w:rsidRPr="00952390" w:rsidRDefault="00A31469">
            <w:r w:rsidRPr="00A31469">
              <w:t>New output based on the Commission</w:t>
            </w:r>
            <w:r w:rsidR="00AD4833">
              <w:t>’</w:t>
            </w:r>
            <w:r w:rsidRPr="00A31469">
              <w:t>s appropriation funding.</w:t>
            </w:r>
          </w:p>
        </w:tc>
        <w:tc>
          <w:tcPr>
            <w:tcW w:w="3260" w:type="dxa"/>
          </w:tcPr>
          <w:p w14:paraId="5E58C90D" w14:textId="5624174B" w:rsidR="00824558" w:rsidRPr="00952390" w:rsidRDefault="008C1163">
            <w:r w:rsidRPr="008C1163">
              <w:t>Parliamentary Workplace Standards and Integrity Commission</w:t>
            </w:r>
          </w:p>
        </w:tc>
      </w:tr>
    </w:tbl>
    <w:p w14:paraId="3C3DEC72" w14:textId="700AC973" w:rsidR="00824558" w:rsidRPr="00952390" w:rsidRDefault="00824558">
      <w:pPr>
        <w:pStyle w:val="Source"/>
        <w:ind w:left="0" w:firstLine="0"/>
      </w:pPr>
      <w:r w:rsidRPr="00952390">
        <w:t xml:space="preserve">Source: </w:t>
      </w:r>
      <w:r w:rsidRPr="00E839B3">
        <w:t>Parliamentary Workplace Standards and Integrity Commission</w:t>
      </w:r>
      <w:r w:rsidRPr="00952390">
        <w:t>.</w:t>
      </w:r>
    </w:p>
    <w:p w14:paraId="7E282FD5" w14:textId="77777777" w:rsidR="00824558" w:rsidRPr="00952390" w:rsidRDefault="00824558">
      <w:pPr>
        <w:pStyle w:val="Heading2"/>
      </w:pPr>
      <w:r w:rsidRPr="00952390">
        <w:t>Output summary by departmental objectives</w:t>
      </w:r>
    </w:p>
    <w:p w14:paraId="66C00938" w14:textId="1951DD4D" w:rsidR="00824558" w:rsidRPr="00952390" w:rsidRDefault="00824558">
      <w:pPr>
        <w:keepNext/>
        <w:spacing w:after="120"/>
        <w:rPr>
          <w:rFonts w:ascii="Garamond" w:hAnsi="Garamond"/>
        </w:rPr>
      </w:pPr>
      <w:r w:rsidRPr="00952390">
        <w:rPr>
          <w:rFonts w:ascii="Garamond" w:hAnsi="Garamond"/>
        </w:rPr>
        <w:t>The Department</w:t>
      </w:r>
      <w:r w:rsidR="007942D1">
        <w:rPr>
          <w:rFonts w:ascii="Garamond" w:hAnsi="Garamond"/>
        </w:rPr>
        <w:t>’</w:t>
      </w:r>
      <w:r w:rsidRPr="00952390">
        <w:rPr>
          <w:rFonts w:ascii="Garamond" w:hAnsi="Garamond"/>
        </w:rPr>
        <w:t xml:space="preserve">s outputs and funding are provided in the table below. Detailed descriptions of objectives, outputs, are </w:t>
      </w:r>
      <w:r w:rsidRPr="00952390">
        <w:rPr>
          <w:rFonts w:ascii="Garamond" w:eastAsia="Garamond" w:hAnsi="Garamond"/>
        </w:rPr>
        <w:t>presented below</w:t>
      </w:r>
      <w:r w:rsidRPr="00952390">
        <w:rPr>
          <w:rFonts w:ascii="Garamond" w:hAnsi="Garamond"/>
        </w:rPr>
        <w:t>.</w:t>
      </w:r>
    </w:p>
    <w:p w14:paraId="702E9982" w14:textId="20218C49" w:rsidR="00824558" w:rsidRPr="00952390" w:rsidRDefault="00824558">
      <w:pPr>
        <w:pStyle w:val="TableHeading"/>
      </w:pPr>
      <w:r w:rsidRPr="00952390">
        <w:t>Table 31:</w:t>
      </w:r>
      <w:r w:rsidRPr="00952390">
        <w:tab/>
        <w:t>Output summary</w:t>
      </w:r>
      <w:r w:rsidRPr="00952390">
        <w:tab/>
        <w:t>($ million)</w:t>
      </w:r>
    </w:p>
    <w:tbl>
      <w:tblPr>
        <w:tblStyle w:val="DTFTableNumeric"/>
        <w:tblW w:w="9638" w:type="dxa"/>
        <w:tblLayout w:type="fixed"/>
        <w:tblLook w:val="06E0" w:firstRow="1" w:lastRow="1" w:firstColumn="1" w:lastColumn="0" w:noHBand="1" w:noVBand="1"/>
        <w:tblDescription w:val="Type:DtfTable|Workbook:https://vicgov.sharepoint.com/sites/VG002735/Department%20Performance%20Statement/001.%20Admin/Financial%20tables/Output%20summary/2026-27/2026-27%20Output%20costs.xlsx|Table:Parl_Summary|TableGroup:OutputSummary"/>
      </w:tblPr>
      <w:tblGrid>
        <w:gridCol w:w="6010"/>
        <w:gridCol w:w="907"/>
        <w:gridCol w:w="907"/>
        <w:gridCol w:w="907"/>
        <w:gridCol w:w="907"/>
      </w:tblGrid>
      <w:tr w:rsidR="00AD1115" w14:paraId="5A4C9C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A1A0955" w14:textId="77777777" w:rsidR="00AD1115" w:rsidRDefault="00AD1115">
            <w:pPr>
              <w:keepNext/>
            </w:pPr>
          </w:p>
        </w:tc>
        <w:tc>
          <w:tcPr>
            <w:tcW w:w="907" w:type="dxa"/>
          </w:tcPr>
          <w:p w14:paraId="33E4EF20" w14:textId="77777777" w:rsidR="00AD1115" w:rsidRDefault="00AD1115">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70B67204" w14:textId="77777777" w:rsidR="00AD1115" w:rsidRDefault="00AD1115">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22410A07" w14:textId="77777777" w:rsidR="00AD1115" w:rsidRDefault="00AD1115">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342A6AB6" w14:textId="77777777" w:rsidR="00AD1115" w:rsidRDefault="00AD1115">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AD1115" w14:paraId="768A962B" w14:textId="77777777">
        <w:tc>
          <w:tcPr>
            <w:cnfStyle w:val="001000000000" w:firstRow="0" w:lastRow="0" w:firstColumn="1" w:lastColumn="0" w:oddVBand="0" w:evenVBand="0" w:oddHBand="0" w:evenHBand="0" w:firstRowFirstColumn="0" w:firstRowLastColumn="0" w:lastRowFirstColumn="0" w:lastRowLastColumn="0"/>
            <w:tcW w:w="6010" w:type="dxa"/>
          </w:tcPr>
          <w:p w14:paraId="481C2F1E" w14:textId="343574C9" w:rsidR="00AD1115" w:rsidRDefault="00AD1115">
            <w:r>
              <w:t>Legislative Council</w:t>
            </w:r>
            <w:r w:rsidR="00F67C41">
              <w:t xml:space="preserve"> </w:t>
            </w:r>
            <w:r w:rsidR="006B7035" w:rsidRPr="00A7185F">
              <w:rPr>
                <w:vertAlign w:val="superscript"/>
              </w:rPr>
              <w:t>(b)</w:t>
            </w:r>
          </w:p>
        </w:tc>
        <w:tc>
          <w:tcPr>
            <w:tcW w:w="907" w:type="dxa"/>
          </w:tcPr>
          <w:p w14:paraId="7C486537" w14:textId="77777777" w:rsidR="00AD1115" w:rsidRDefault="00AD1115">
            <w:pPr>
              <w:cnfStyle w:val="000000000000" w:firstRow="0" w:lastRow="0" w:firstColumn="0" w:lastColumn="0" w:oddVBand="0" w:evenVBand="0" w:oddHBand="0" w:evenHBand="0" w:firstRowFirstColumn="0" w:firstRowLastColumn="0" w:lastRowFirstColumn="0" w:lastRowLastColumn="0"/>
            </w:pPr>
            <w:r>
              <w:t>25.4</w:t>
            </w:r>
          </w:p>
        </w:tc>
        <w:tc>
          <w:tcPr>
            <w:tcW w:w="907" w:type="dxa"/>
          </w:tcPr>
          <w:p w14:paraId="005FEE96" w14:textId="77777777" w:rsidR="00AD1115" w:rsidRDefault="00AD1115">
            <w:pPr>
              <w:cnfStyle w:val="000000000000" w:firstRow="0" w:lastRow="0" w:firstColumn="0" w:lastColumn="0" w:oddVBand="0" w:evenVBand="0" w:oddHBand="0" w:evenHBand="0" w:firstRowFirstColumn="0" w:firstRowLastColumn="0" w:lastRowFirstColumn="0" w:lastRowLastColumn="0"/>
            </w:pPr>
            <w:r>
              <w:t>26.4</w:t>
            </w:r>
          </w:p>
        </w:tc>
        <w:tc>
          <w:tcPr>
            <w:tcW w:w="907" w:type="dxa"/>
          </w:tcPr>
          <w:p w14:paraId="7B50B0DA" w14:textId="77777777" w:rsidR="00AD1115" w:rsidRDefault="00AD1115">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619D9C85" w14:textId="77777777" w:rsidR="00AD1115" w:rsidRDefault="00AD1115">
            <w:pPr>
              <w:cnfStyle w:val="000000000000" w:firstRow="0" w:lastRow="0" w:firstColumn="0" w:lastColumn="0" w:oddVBand="0" w:evenVBand="0" w:oddHBand="0" w:evenHBand="0" w:firstRowFirstColumn="0" w:firstRowLastColumn="0" w:lastRowFirstColumn="0" w:lastRowLastColumn="0"/>
            </w:pPr>
            <w:r>
              <w:t>3.5</w:t>
            </w:r>
          </w:p>
        </w:tc>
      </w:tr>
      <w:tr w:rsidR="00AD1115" w14:paraId="3D4DA647" w14:textId="77777777">
        <w:tc>
          <w:tcPr>
            <w:cnfStyle w:val="001000000000" w:firstRow="0" w:lastRow="0" w:firstColumn="1" w:lastColumn="0" w:oddVBand="0" w:evenVBand="0" w:oddHBand="0" w:evenHBand="0" w:firstRowFirstColumn="0" w:firstRowLastColumn="0" w:lastRowFirstColumn="0" w:lastRowLastColumn="0"/>
            <w:tcW w:w="6010" w:type="dxa"/>
          </w:tcPr>
          <w:p w14:paraId="3DAFF97D" w14:textId="2D37D97E" w:rsidR="00AD1115" w:rsidRDefault="00AD1115">
            <w:r>
              <w:t>Legislative Assembly</w:t>
            </w:r>
            <w:r w:rsidR="00F67C41">
              <w:t xml:space="preserve"> </w:t>
            </w:r>
            <w:r w:rsidR="006B7035" w:rsidRPr="00A7185F">
              <w:rPr>
                <w:vertAlign w:val="superscript"/>
              </w:rPr>
              <w:t>(c)</w:t>
            </w:r>
          </w:p>
        </w:tc>
        <w:tc>
          <w:tcPr>
            <w:tcW w:w="907" w:type="dxa"/>
          </w:tcPr>
          <w:p w14:paraId="230312A5" w14:textId="77777777" w:rsidR="00AD1115" w:rsidRDefault="00AD1115">
            <w:pPr>
              <w:cnfStyle w:val="000000000000" w:firstRow="0" w:lastRow="0" w:firstColumn="0" w:lastColumn="0" w:oddVBand="0" w:evenVBand="0" w:oddHBand="0" w:evenHBand="0" w:firstRowFirstColumn="0" w:firstRowLastColumn="0" w:lastRowFirstColumn="0" w:lastRowLastColumn="0"/>
            </w:pPr>
            <w:r>
              <w:t>49.2</w:t>
            </w:r>
          </w:p>
        </w:tc>
        <w:tc>
          <w:tcPr>
            <w:tcW w:w="907" w:type="dxa"/>
          </w:tcPr>
          <w:p w14:paraId="47EEFC70" w14:textId="77777777" w:rsidR="00AD1115" w:rsidRDefault="00AD1115">
            <w:pPr>
              <w:cnfStyle w:val="000000000000" w:firstRow="0" w:lastRow="0" w:firstColumn="0" w:lastColumn="0" w:oddVBand="0" w:evenVBand="0" w:oddHBand="0" w:evenHBand="0" w:firstRowFirstColumn="0" w:firstRowLastColumn="0" w:lastRowFirstColumn="0" w:lastRowLastColumn="0"/>
            </w:pPr>
            <w:r>
              <w:t>50.5</w:t>
            </w:r>
          </w:p>
        </w:tc>
        <w:tc>
          <w:tcPr>
            <w:tcW w:w="907" w:type="dxa"/>
          </w:tcPr>
          <w:p w14:paraId="36572CE1" w14:textId="77777777" w:rsidR="00AD1115" w:rsidRDefault="00AD1115">
            <w:pPr>
              <w:cnfStyle w:val="000000000000" w:firstRow="0" w:lastRow="0" w:firstColumn="0" w:lastColumn="0" w:oddVBand="0" w:evenVBand="0" w:oddHBand="0" w:evenHBand="0" w:firstRowFirstColumn="0" w:firstRowLastColumn="0" w:lastRowFirstColumn="0" w:lastRowLastColumn="0"/>
            </w:pPr>
            <w:r>
              <w:t>50.8</w:t>
            </w:r>
          </w:p>
        </w:tc>
        <w:tc>
          <w:tcPr>
            <w:tcW w:w="907" w:type="dxa"/>
          </w:tcPr>
          <w:p w14:paraId="4961858F" w14:textId="77777777" w:rsidR="00AD1115" w:rsidRDefault="00AD1115">
            <w:pPr>
              <w:cnfStyle w:val="000000000000" w:firstRow="0" w:lastRow="0" w:firstColumn="0" w:lastColumn="0" w:oddVBand="0" w:evenVBand="0" w:oddHBand="0" w:evenHBand="0" w:firstRowFirstColumn="0" w:firstRowLastColumn="0" w:lastRowFirstColumn="0" w:lastRowLastColumn="0"/>
            </w:pPr>
            <w:r>
              <w:t>3.3</w:t>
            </w:r>
          </w:p>
        </w:tc>
      </w:tr>
      <w:tr w:rsidR="00AD1115" w14:paraId="18142FED" w14:textId="77777777">
        <w:tc>
          <w:tcPr>
            <w:cnfStyle w:val="001000000000" w:firstRow="0" w:lastRow="0" w:firstColumn="1" w:lastColumn="0" w:oddVBand="0" w:evenVBand="0" w:oddHBand="0" w:evenHBand="0" w:firstRowFirstColumn="0" w:firstRowLastColumn="0" w:lastRowFirstColumn="0" w:lastRowLastColumn="0"/>
            <w:tcW w:w="6010" w:type="dxa"/>
          </w:tcPr>
          <w:p w14:paraId="66F0B7C6" w14:textId="77777777" w:rsidR="00AD1115" w:rsidRDefault="00AD1115">
            <w:r>
              <w:t>Parliamentary Investigatory Committees</w:t>
            </w:r>
          </w:p>
        </w:tc>
        <w:tc>
          <w:tcPr>
            <w:tcW w:w="907" w:type="dxa"/>
          </w:tcPr>
          <w:p w14:paraId="3BC719CC" w14:textId="77777777" w:rsidR="00AD1115" w:rsidRDefault="00AD1115">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60356C0B" w14:textId="77777777" w:rsidR="00AD1115" w:rsidRDefault="00AD1115">
            <w:pPr>
              <w:cnfStyle w:val="000000000000" w:firstRow="0" w:lastRow="0" w:firstColumn="0" w:lastColumn="0" w:oddVBand="0" w:evenVBand="0" w:oddHBand="0" w:evenHBand="0" w:firstRowFirstColumn="0" w:firstRowLastColumn="0" w:lastRowFirstColumn="0" w:lastRowLastColumn="0"/>
            </w:pPr>
            <w:r>
              <w:t>6.1</w:t>
            </w:r>
          </w:p>
        </w:tc>
        <w:tc>
          <w:tcPr>
            <w:tcW w:w="907" w:type="dxa"/>
          </w:tcPr>
          <w:p w14:paraId="7C7EC007" w14:textId="77777777" w:rsidR="00AD1115" w:rsidRDefault="00AD1115">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2599CB2C" w14:textId="77777777" w:rsidR="00AD1115" w:rsidRDefault="00AD1115">
            <w:pPr>
              <w:cnfStyle w:val="000000000000" w:firstRow="0" w:lastRow="0" w:firstColumn="0" w:lastColumn="0" w:oddVBand="0" w:evenVBand="0" w:oddHBand="0" w:evenHBand="0" w:firstRowFirstColumn="0" w:firstRowLastColumn="0" w:lastRowFirstColumn="0" w:lastRowLastColumn="0"/>
            </w:pPr>
            <w:r>
              <w:t>4.8</w:t>
            </w:r>
          </w:p>
        </w:tc>
      </w:tr>
      <w:tr w:rsidR="00AD1115" w14:paraId="2A1D3B00" w14:textId="77777777">
        <w:tc>
          <w:tcPr>
            <w:cnfStyle w:val="001000000000" w:firstRow="0" w:lastRow="0" w:firstColumn="1" w:lastColumn="0" w:oddVBand="0" w:evenVBand="0" w:oddHBand="0" w:evenHBand="0" w:firstRowFirstColumn="0" w:firstRowLastColumn="0" w:lastRowFirstColumn="0" w:lastRowLastColumn="0"/>
            <w:tcW w:w="6010" w:type="dxa"/>
          </w:tcPr>
          <w:p w14:paraId="597F61E0" w14:textId="77777777" w:rsidR="00AD1115" w:rsidRDefault="00AD1115">
            <w:r>
              <w:t>Parliamentary Services</w:t>
            </w:r>
          </w:p>
        </w:tc>
        <w:tc>
          <w:tcPr>
            <w:tcW w:w="907" w:type="dxa"/>
          </w:tcPr>
          <w:p w14:paraId="06DAB2DC" w14:textId="77777777" w:rsidR="00AD1115" w:rsidRDefault="00AD1115">
            <w:pPr>
              <w:cnfStyle w:val="000000000000" w:firstRow="0" w:lastRow="0" w:firstColumn="0" w:lastColumn="0" w:oddVBand="0" w:evenVBand="0" w:oddHBand="0" w:evenHBand="0" w:firstRowFirstColumn="0" w:firstRowLastColumn="0" w:lastRowFirstColumn="0" w:lastRowLastColumn="0"/>
            </w:pPr>
            <w:r>
              <w:t>155.6</w:t>
            </w:r>
          </w:p>
        </w:tc>
        <w:tc>
          <w:tcPr>
            <w:tcW w:w="907" w:type="dxa"/>
          </w:tcPr>
          <w:p w14:paraId="0F0C454B" w14:textId="77777777" w:rsidR="00AD1115" w:rsidRDefault="00AD1115">
            <w:pPr>
              <w:cnfStyle w:val="000000000000" w:firstRow="0" w:lastRow="0" w:firstColumn="0" w:lastColumn="0" w:oddVBand="0" w:evenVBand="0" w:oddHBand="0" w:evenHBand="0" w:firstRowFirstColumn="0" w:firstRowLastColumn="0" w:lastRowFirstColumn="0" w:lastRowLastColumn="0"/>
            </w:pPr>
            <w:r>
              <w:t>148.0</w:t>
            </w:r>
          </w:p>
        </w:tc>
        <w:tc>
          <w:tcPr>
            <w:tcW w:w="907" w:type="dxa"/>
          </w:tcPr>
          <w:p w14:paraId="64CAF788" w14:textId="77777777" w:rsidR="00AD1115" w:rsidRDefault="00AD1115">
            <w:pPr>
              <w:cnfStyle w:val="000000000000" w:firstRow="0" w:lastRow="0" w:firstColumn="0" w:lastColumn="0" w:oddVBand="0" w:evenVBand="0" w:oddHBand="0" w:evenHBand="0" w:firstRowFirstColumn="0" w:firstRowLastColumn="0" w:lastRowFirstColumn="0" w:lastRowLastColumn="0"/>
            </w:pPr>
            <w:r>
              <w:t>160.9</w:t>
            </w:r>
          </w:p>
        </w:tc>
        <w:tc>
          <w:tcPr>
            <w:tcW w:w="907" w:type="dxa"/>
          </w:tcPr>
          <w:p w14:paraId="5986F977" w14:textId="77777777" w:rsidR="00AD1115" w:rsidRDefault="00AD1115">
            <w:pPr>
              <w:cnfStyle w:val="000000000000" w:firstRow="0" w:lastRow="0" w:firstColumn="0" w:lastColumn="0" w:oddVBand="0" w:evenVBand="0" w:oddHBand="0" w:evenHBand="0" w:firstRowFirstColumn="0" w:firstRowLastColumn="0" w:lastRowFirstColumn="0" w:lastRowLastColumn="0"/>
            </w:pPr>
            <w:r>
              <w:t>3.4</w:t>
            </w:r>
          </w:p>
        </w:tc>
      </w:tr>
      <w:tr w:rsidR="00AD1115" w14:paraId="06B190EC" w14:textId="77777777">
        <w:tc>
          <w:tcPr>
            <w:cnfStyle w:val="001000000000" w:firstRow="0" w:lastRow="0" w:firstColumn="1" w:lastColumn="0" w:oddVBand="0" w:evenVBand="0" w:oddHBand="0" w:evenHBand="0" w:firstRowFirstColumn="0" w:firstRowLastColumn="0" w:lastRowFirstColumn="0" w:lastRowLastColumn="0"/>
            <w:tcW w:w="6010" w:type="dxa"/>
          </w:tcPr>
          <w:p w14:paraId="3E6D30A3" w14:textId="3CAF68DE" w:rsidR="00AD1115" w:rsidRDefault="00AD1115">
            <w:r>
              <w:t>Parliamentary Budget Office</w:t>
            </w:r>
            <w:r w:rsidR="006D6140">
              <w:t xml:space="preserve"> </w:t>
            </w:r>
            <w:r w:rsidRPr="00A7185F">
              <w:rPr>
                <w:vertAlign w:val="superscript"/>
              </w:rPr>
              <w:t>(</w:t>
            </w:r>
            <w:r w:rsidR="0070501A">
              <w:rPr>
                <w:vertAlign w:val="superscript"/>
              </w:rPr>
              <w:t>d</w:t>
            </w:r>
            <w:r w:rsidRPr="00A7185F">
              <w:rPr>
                <w:vertAlign w:val="superscript"/>
              </w:rPr>
              <w:t>)</w:t>
            </w:r>
          </w:p>
        </w:tc>
        <w:tc>
          <w:tcPr>
            <w:tcW w:w="907" w:type="dxa"/>
          </w:tcPr>
          <w:p w14:paraId="7DEFBB8C" w14:textId="77777777" w:rsidR="00AD1115" w:rsidRDefault="00AD1115">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70FADDFF" w14:textId="77777777" w:rsidR="00AD1115" w:rsidRDefault="00AD1115">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63236E74" w14:textId="77777777" w:rsidR="00AD1115" w:rsidRDefault="00AD1115">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61514ADB" w14:textId="77777777" w:rsidR="00AD1115" w:rsidRDefault="00AD1115">
            <w:pPr>
              <w:cnfStyle w:val="000000000000" w:firstRow="0" w:lastRow="0" w:firstColumn="0" w:lastColumn="0" w:oddVBand="0" w:evenVBand="0" w:oddHBand="0" w:evenHBand="0" w:firstRowFirstColumn="0" w:firstRowLastColumn="0" w:lastRowFirstColumn="0" w:lastRowLastColumn="0"/>
            </w:pPr>
            <w:r>
              <w:t>10.3</w:t>
            </w:r>
          </w:p>
        </w:tc>
      </w:tr>
      <w:tr w:rsidR="00AD1115" w14:paraId="6CD9FE77" w14:textId="77777777">
        <w:tc>
          <w:tcPr>
            <w:cnfStyle w:val="001000000000" w:firstRow="0" w:lastRow="0" w:firstColumn="1" w:lastColumn="0" w:oddVBand="0" w:evenVBand="0" w:oddHBand="0" w:evenHBand="0" w:firstRowFirstColumn="0" w:firstRowLastColumn="0" w:lastRowFirstColumn="0" w:lastRowLastColumn="0"/>
            <w:tcW w:w="6010" w:type="dxa"/>
          </w:tcPr>
          <w:p w14:paraId="65116DA5" w14:textId="43D39422" w:rsidR="00AD1115" w:rsidRDefault="00AD1115">
            <w:r>
              <w:t>Victorian Auditor</w:t>
            </w:r>
            <w:r>
              <w:noBreakHyphen/>
              <w:t>General’s Office</w:t>
            </w:r>
          </w:p>
        </w:tc>
        <w:tc>
          <w:tcPr>
            <w:tcW w:w="907" w:type="dxa"/>
          </w:tcPr>
          <w:p w14:paraId="68A850D2" w14:textId="77777777" w:rsidR="00AD1115" w:rsidRDefault="00AD1115">
            <w:pPr>
              <w:cnfStyle w:val="000000000000" w:firstRow="0" w:lastRow="0" w:firstColumn="0" w:lastColumn="0" w:oddVBand="0" w:evenVBand="0" w:oddHBand="0" w:evenHBand="0" w:firstRowFirstColumn="0" w:firstRowLastColumn="0" w:lastRowFirstColumn="0" w:lastRowLastColumn="0"/>
            </w:pPr>
            <w:r>
              <w:t>61.7</w:t>
            </w:r>
          </w:p>
        </w:tc>
        <w:tc>
          <w:tcPr>
            <w:tcW w:w="907" w:type="dxa"/>
          </w:tcPr>
          <w:p w14:paraId="1C316820" w14:textId="77777777" w:rsidR="00AD1115" w:rsidRDefault="00AD1115">
            <w:pPr>
              <w:cnfStyle w:val="000000000000" w:firstRow="0" w:lastRow="0" w:firstColumn="0" w:lastColumn="0" w:oddVBand="0" w:evenVBand="0" w:oddHBand="0" w:evenHBand="0" w:firstRowFirstColumn="0" w:firstRowLastColumn="0" w:lastRowFirstColumn="0" w:lastRowLastColumn="0"/>
            </w:pPr>
            <w:r>
              <w:t>63.5</w:t>
            </w:r>
          </w:p>
        </w:tc>
        <w:tc>
          <w:tcPr>
            <w:tcW w:w="907" w:type="dxa"/>
          </w:tcPr>
          <w:p w14:paraId="2E745351" w14:textId="77777777" w:rsidR="00AD1115" w:rsidRDefault="00AD1115">
            <w:pPr>
              <w:cnfStyle w:val="000000000000" w:firstRow="0" w:lastRow="0" w:firstColumn="0" w:lastColumn="0" w:oddVBand="0" w:evenVBand="0" w:oddHBand="0" w:evenHBand="0" w:firstRowFirstColumn="0" w:firstRowLastColumn="0" w:lastRowFirstColumn="0" w:lastRowLastColumn="0"/>
            </w:pPr>
            <w:r>
              <w:t>63.5</w:t>
            </w:r>
          </w:p>
        </w:tc>
        <w:tc>
          <w:tcPr>
            <w:tcW w:w="907" w:type="dxa"/>
          </w:tcPr>
          <w:p w14:paraId="3FAD0D0A" w14:textId="77777777" w:rsidR="00AD1115" w:rsidRDefault="00AD1115">
            <w:pPr>
              <w:cnfStyle w:val="000000000000" w:firstRow="0" w:lastRow="0" w:firstColumn="0" w:lastColumn="0" w:oddVBand="0" w:evenVBand="0" w:oddHBand="0" w:evenHBand="0" w:firstRowFirstColumn="0" w:firstRowLastColumn="0" w:lastRowFirstColumn="0" w:lastRowLastColumn="0"/>
            </w:pPr>
            <w:r>
              <w:t>2.9</w:t>
            </w:r>
          </w:p>
        </w:tc>
      </w:tr>
      <w:tr w:rsidR="00AD1115" w14:paraId="55B1FA84" w14:textId="77777777">
        <w:tc>
          <w:tcPr>
            <w:cnfStyle w:val="001000000000" w:firstRow="0" w:lastRow="0" w:firstColumn="1" w:lastColumn="0" w:oddVBand="0" w:evenVBand="0" w:oddHBand="0" w:evenHBand="0" w:firstRowFirstColumn="0" w:firstRowLastColumn="0" w:lastRowFirstColumn="0" w:lastRowLastColumn="0"/>
            <w:tcW w:w="6010" w:type="dxa"/>
          </w:tcPr>
          <w:p w14:paraId="0204002A" w14:textId="3056EF08" w:rsidR="00AD1115" w:rsidRDefault="00AD1115">
            <w:r>
              <w:t>Independent Broad</w:t>
            </w:r>
            <w:r>
              <w:noBreakHyphen/>
              <w:t>based Anti</w:t>
            </w:r>
            <w:r>
              <w:noBreakHyphen/>
              <w:t>corruption Commission</w:t>
            </w:r>
            <w:r w:rsidR="006D6140">
              <w:t xml:space="preserve"> </w:t>
            </w:r>
            <w:r w:rsidRPr="00A7185F">
              <w:rPr>
                <w:vertAlign w:val="superscript"/>
              </w:rPr>
              <w:t>(</w:t>
            </w:r>
            <w:r w:rsidR="0070501A">
              <w:rPr>
                <w:vertAlign w:val="superscript"/>
              </w:rPr>
              <w:t>e</w:t>
            </w:r>
            <w:r w:rsidRPr="00A7185F">
              <w:rPr>
                <w:vertAlign w:val="superscript"/>
              </w:rPr>
              <w:t>)</w:t>
            </w:r>
          </w:p>
        </w:tc>
        <w:tc>
          <w:tcPr>
            <w:tcW w:w="907" w:type="dxa"/>
          </w:tcPr>
          <w:p w14:paraId="6E86F225" w14:textId="77777777" w:rsidR="00AD1115" w:rsidRDefault="00AD1115">
            <w:pPr>
              <w:cnfStyle w:val="000000000000" w:firstRow="0" w:lastRow="0" w:firstColumn="0" w:lastColumn="0" w:oddVBand="0" w:evenVBand="0" w:oddHBand="0" w:evenHBand="0" w:firstRowFirstColumn="0" w:firstRowLastColumn="0" w:lastRowFirstColumn="0" w:lastRowLastColumn="0"/>
            </w:pPr>
            <w:r>
              <w:t>65.6</w:t>
            </w:r>
          </w:p>
        </w:tc>
        <w:tc>
          <w:tcPr>
            <w:tcW w:w="907" w:type="dxa"/>
          </w:tcPr>
          <w:p w14:paraId="4A0459B3" w14:textId="77777777" w:rsidR="00AD1115" w:rsidRDefault="00AD1115">
            <w:pPr>
              <w:cnfStyle w:val="000000000000" w:firstRow="0" w:lastRow="0" w:firstColumn="0" w:lastColumn="0" w:oddVBand="0" w:evenVBand="0" w:oddHBand="0" w:evenHBand="0" w:firstRowFirstColumn="0" w:firstRowLastColumn="0" w:lastRowFirstColumn="0" w:lastRowLastColumn="0"/>
            </w:pPr>
            <w:r>
              <w:t>65.9</w:t>
            </w:r>
          </w:p>
        </w:tc>
        <w:tc>
          <w:tcPr>
            <w:tcW w:w="907" w:type="dxa"/>
          </w:tcPr>
          <w:p w14:paraId="23F1F3EF" w14:textId="77777777" w:rsidR="00AD1115" w:rsidRDefault="00AD1115">
            <w:pPr>
              <w:cnfStyle w:val="000000000000" w:firstRow="0" w:lastRow="0" w:firstColumn="0" w:lastColumn="0" w:oddVBand="0" w:evenVBand="0" w:oddHBand="0" w:evenHBand="0" w:firstRowFirstColumn="0" w:firstRowLastColumn="0" w:lastRowFirstColumn="0" w:lastRowLastColumn="0"/>
            </w:pPr>
            <w:r>
              <w:t>69.2</w:t>
            </w:r>
          </w:p>
        </w:tc>
        <w:tc>
          <w:tcPr>
            <w:tcW w:w="907" w:type="dxa"/>
          </w:tcPr>
          <w:p w14:paraId="1427CB61" w14:textId="77777777" w:rsidR="00AD1115" w:rsidRDefault="00AD1115">
            <w:pPr>
              <w:cnfStyle w:val="000000000000" w:firstRow="0" w:lastRow="0" w:firstColumn="0" w:lastColumn="0" w:oddVBand="0" w:evenVBand="0" w:oddHBand="0" w:evenHBand="0" w:firstRowFirstColumn="0" w:firstRowLastColumn="0" w:lastRowFirstColumn="0" w:lastRowLastColumn="0"/>
            </w:pPr>
            <w:r>
              <w:t>5.5</w:t>
            </w:r>
          </w:p>
        </w:tc>
      </w:tr>
      <w:tr w:rsidR="00AD1115" w14:paraId="113816DD" w14:textId="77777777">
        <w:tc>
          <w:tcPr>
            <w:cnfStyle w:val="001000000000" w:firstRow="0" w:lastRow="0" w:firstColumn="1" w:lastColumn="0" w:oddVBand="0" w:evenVBand="0" w:oddHBand="0" w:evenHBand="0" w:firstRowFirstColumn="0" w:firstRowLastColumn="0" w:lastRowFirstColumn="0" w:lastRowLastColumn="0"/>
            <w:tcW w:w="6010" w:type="dxa"/>
          </w:tcPr>
          <w:p w14:paraId="27E46F39" w14:textId="77777777" w:rsidR="00AD1115" w:rsidRDefault="00AD1115">
            <w:r>
              <w:t>Integrity Oversight Victoria</w:t>
            </w:r>
          </w:p>
        </w:tc>
        <w:tc>
          <w:tcPr>
            <w:tcW w:w="907" w:type="dxa"/>
          </w:tcPr>
          <w:p w14:paraId="018BAC50" w14:textId="77777777" w:rsidR="00AD1115" w:rsidRDefault="00AD1115">
            <w:pPr>
              <w:cnfStyle w:val="000000000000" w:firstRow="0" w:lastRow="0" w:firstColumn="0" w:lastColumn="0" w:oddVBand="0" w:evenVBand="0" w:oddHBand="0" w:evenHBand="0" w:firstRowFirstColumn="0" w:firstRowLastColumn="0" w:lastRowFirstColumn="0" w:lastRowLastColumn="0"/>
            </w:pPr>
            <w:r>
              <w:t>9.0</w:t>
            </w:r>
          </w:p>
        </w:tc>
        <w:tc>
          <w:tcPr>
            <w:tcW w:w="907" w:type="dxa"/>
          </w:tcPr>
          <w:p w14:paraId="665E1AEE" w14:textId="77777777" w:rsidR="00AD1115" w:rsidRDefault="00AD1115">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433BFA33" w14:textId="77777777" w:rsidR="00AD1115" w:rsidRDefault="00AD1115">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6EFA3E62" w14:textId="77777777" w:rsidR="00AD1115" w:rsidRDefault="00AD1115">
            <w:pPr>
              <w:cnfStyle w:val="000000000000" w:firstRow="0" w:lastRow="0" w:firstColumn="0" w:lastColumn="0" w:oddVBand="0" w:evenVBand="0" w:oddHBand="0" w:evenHBand="0" w:firstRowFirstColumn="0" w:firstRowLastColumn="0" w:lastRowFirstColumn="0" w:lastRowLastColumn="0"/>
            </w:pPr>
            <w:r>
              <w:t>1.1</w:t>
            </w:r>
          </w:p>
        </w:tc>
      </w:tr>
      <w:tr w:rsidR="00AD1115" w14:paraId="22602F63" w14:textId="77777777">
        <w:tc>
          <w:tcPr>
            <w:cnfStyle w:val="001000000000" w:firstRow="0" w:lastRow="0" w:firstColumn="1" w:lastColumn="0" w:oddVBand="0" w:evenVBand="0" w:oddHBand="0" w:evenHBand="0" w:firstRowFirstColumn="0" w:firstRowLastColumn="0" w:lastRowFirstColumn="0" w:lastRowLastColumn="0"/>
            <w:tcW w:w="6010" w:type="dxa"/>
          </w:tcPr>
          <w:p w14:paraId="2FD1C712" w14:textId="121CCC58" w:rsidR="00AD1115" w:rsidRDefault="00AD1115">
            <w:r>
              <w:t>Victorian Ombudsman</w:t>
            </w:r>
            <w:r w:rsidR="006D6140">
              <w:t xml:space="preserve"> </w:t>
            </w:r>
            <w:r w:rsidRPr="00A7185F">
              <w:rPr>
                <w:vertAlign w:val="superscript"/>
              </w:rPr>
              <w:t>(</w:t>
            </w:r>
            <w:r w:rsidR="0070501A">
              <w:rPr>
                <w:vertAlign w:val="superscript"/>
              </w:rPr>
              <w:t>f</w:t>
            </w:r>
            <w:r w:rsidRPr="00A7185F">
              <w:rPr>
                <w:vertAlign w:val="superscript"/>
              </w:rPr>
              <w:t>)</w:t>
            </w:r>
          </w:p>
        </w:tc>
        <w:tc>
          <w:tcPr>
            <w:tcW w:w="907" w:type="dxa"/>
          </w:tcPr>
          <w:p w14:paraId="1DCECC84" w14:textId="77777777" w:rsidR="00AD1115" w:rsidRDefault="00AD1115">
            <w:pPr>
              <w:cnfStyle w:val="000000000000" w:firstRow="0" w:lastRow="0" w:firstColumn="0" w:lastColumn="0" w:oddVBand="0" w:evenVBand="0" w:oddHBand="0" w:evenHBand="0" w:firstRowFirstColumn="0" w:firstRowLastColumn="0" w:lastRowFirstColumn="0" w:lastRowLastColumn="0"/>
            </w:pPr>
            <w:r>
              <w:t>22.7</w:t>
            </w:r>
          </w:p>
        </w:tc>
        <w:tc>
          <w:tcPr>
            <w:tcW w:w="907" w:type="dxa"/>
          </w:tcPr>
          <w:p w14:paraId="2188A8AA" w14:textId="77777777" w:rsidR="00AD1115" w:rsidRDefault="00AD1115">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12BB4AE4" w14:textId="77777777" w:rsidR="00AD1115" w:rsidRDefault="00AD1115">
            <w:pP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3634CB18" w14:textId="77777777" w:rsidR="00AD1115" w:rsidRDefault="00AD1115">
            <w:pPr>
              <w:cnfStyle w:val="000000000000" w:firstRow="0" w:lastRow="0" w:firstColumn="0" w:lastColumn="0" w:oddVBand="0" w:evenVBand="0" w:oddHBand="0" w:evenHBand="0" w:firstRowFirstColumn="0" w:firstRowLastColumn="0" w:lastRowFirstColumn="0" w:lastRowLastColumn="0"/>
            </w:pPr>
            <w:r>
              <w:t>7.5</w:t>
            </w:r>
          </w:p>
        </w:tc>
      </w:tr>
      <w:tr w:rsidR="00AD1115" w14:paraId="716D4ABA" w14:textId="77777777" w:rsidTr="006D614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F06B05F" w14:textId="75D7F58D" w:rsidR="00AD1115" w:rsidRDefault="00AD1115">
            <w:r>
              <w:t>Parliamentary Workplace Standards and Integrity Commission</w:t>
            </w:r>
            <w:r>
              <w:rPr>
                <w:vertAlign w:val="superscript"/>
              </w:rPr>
              <w:t xml:space="preserve"> (</w:t>
            </w:r>
            <w:r w:rsidR="0070501A">
              <w:rPr>
                <w:vertAlign w:val="superscript"/>
              </w:rPr>
              <w:t>g</w:t>
            </w:r>
            <w:r>
              <w:rPr>
                <w:vertAlign w:val="superscript"/>
              </w:rPr>
              <w:t>)</w:t>
            </w:r>
          </w:p>
        </w:tc>
        <w:tc>
          <w:tcPr>
            <w:tcW w:w="907" w:type="dxa"/>
            <w:tcBorders>
              <w:bottom w:val="single" w:sz="6" w:space="0" w:color="auto"/>
            </w:tcBorders>
          </w:tcPr>
          <w:p w14:paraId="1EA90A53" w14:textId="77777777" w:rsidR="00AD1115" w:rsidRDefault="00AD1115">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6" w:space="0" w:color="auto"/>
            </w:tcBorders>
          </w:tcPr>
          <w:p w14:paraId="55FDD583" w14:textId="77777777" w:rsidR="00AD1115" w:rsidRDefault="00AD1115">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6" w:space="0" w:color="auto"/>
            </w:tcBorders>
          </w:tcPr>
          <w:p w14:paraId="05F4E7BF" w14:textId="77777777" w:rsidR="00AD1115" w:rsidRDefault="00AD1115">
            <w:pPr>
              <w:cnfStyle w:val="000000000000" w:firstRow="0" w:lastRow="0" w:firstColumn="0" w:lastColumn="0" w:oddVBand="0" w:evenVBand="0" w:oddHBand="0" w:evenHBand="0" w:firstRowFirstColumn="0" w:firstRowLastColumn="0" w:lastRowFirstColumn="0" w:lastRowLastColumn="0"/>
            </w:pPr>
            <w:r>
              <w:t>3.0</w:t>
            </w:r>
          </w:p>
        </w:tc>
        <w:tc>
          <w:tcPr>
            <w:tcW w:w="907" w:type="dxa"/>
            <w:tcBorders>
              <w:bottom w:val="single" w:sz="6" w:space="0" w:color="auto"/>
            </w:tcBorders>
          </w:tcPr>
          <w:p w14:paraId="1F6B461B" w14:textId="77777777" w:rsidR="00AD1115" w:rsidRDefault="00AD1115">
            <w:pPr>
              <w:cnfStyle w:val="000000000000" w:firstRow="0" w:lastRow="0" w:firstColumn="0" w:lastColumn="0" w:oddVBand="0" w:evenVBand="0" w:oddHBand="0" w:evenHBand="0" w:firstRowFirstColumn="0" w:firstRowLastColumn="0" w:lastRowFirstColumn="0" w:lastRowLastColumn="0"/>
            </w:pPr>
            <w:r>
              <w:t>n.a.</w:t>
            </w:r>
          </w:p>
        </w:tc>
      </w:tr>
      <w:tr w:rsidR="00AD1115" w14:paraId="7D3D6C39" w14:textId="77777777" w:rsidTr="006D61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8D8C85F" w14:textId="1B110FA0" w:rsidR="00AD1115" w:rsidRDefault="00AD1115">
            <w:r>
              <w:t>Total</w:t>
            </w:r>
          </w:p>
        </w:tc>
        <w:tc>
          <w:tcPr>
            <w:tcW w:w="907" w:type="dxa"/>
          </w:tcPr>
          <w:p w14:paraId="7F8B8F4B" w14:textId="77777777" w:rsidR="00AD1115" w:rsidRDefault="00AD1115">
            <w:pPr>
              <w:cnfStyle w:val="010000000000" w:firstRow="0" w:lastRow="1" w:firstColumn="0" w:lastColumn="0" w:oddVBand="0" w:evenVBand="0" w:oddHBand="0" w:evenHBand="0" w:firstRowFirstColumn="0" w:firstRowLastColumn="0" w:lastRowFirstColumn="0" w:lastRowLastColumn="0"/>
            </w:pPr>
            <w:r>
              <w:t>399.1</w:t>
            </w:r>
          </w:p>
        </w:tc>
        <w:tc>
          <w:tcPr>
            <w:tcW w:w="907" w:type="dxa"/>
          </w:tcPr>
          <w:p w14:paraId="28052596" w14:textId="77777777" w:rsidR="00AD1115" w:rsidRDefault="00AD1115">
            <w:pPr>
              <w:cnfStyle w:val="010000000000" w:firstRow="0" w:lastRow="1" w:firstColumn="0" w:lastColumn="0" w:oddVBand="0" w:evenVBand="0" w:oddHBand="0" w:evenHBand="0" w:firstRowFirstColumn="0" w:firstRowLastColumn="0" w:lastRowFirstColumn="0" w:lastRowLastColumn="0"/>
            </w:pPr>
            <w:r>
              <w:t>395.6</w:t>
            </w:r>
          </w:p>
        </w:tc>
        <w:tc>
          <w:tcPr>
            <w:tcW w:w="907" w:type="dxa"/>
          </w:tcPr>
          <w:p w14:paraId="687FB059" w14:textId="77777777" w:rsidR="00AD1115" w:rsidRDefault="00AD1115">
            <w:pPr>
              <w:cnfStyle w:val="010000000000" w:firstRow="0" w:lastRow="1" w:firstColumn="0" w:lastColumn="0" w:oddVBand="0" w:evenVBand="0" w:oddHBand="0" w:evenHBand="0" w:firstRowFirstColumn="0" w:firstRowLastColumn="0" w:lastRowFirstColumn="0" w:lastRowLastColumn="0"/>
            </w:pPr>
            <w:r>
              <w:t>417.9</w:t>
            </w:r>
          </w:p>
        </w:tc>
        <w:tc>
          <w:tcPr>
            <w:tcW w:w="907" w:type="dxa"/>
          </w:tcPr>
          <w:p w14:paraId="059D43C4" w14:textId="77777777" w:rsidR="00AD1115" w:rsidRDefault="00AD1115">
            <w:pPr>
              <w:cnfStyle w:val="010000000000" w:firstRow="0" w:lastRow="1" w:firstColumn="0" w:lastColumn="0" w:oddVBand="0" w:evenVBand="0" w:oddHBand="0" w:evenHBand="0" w:firstRowFirstColumn="0" w:firstRowLastColumn="0" w:lastRowFirstColumn="0" w:lastRowLastColumn="0"/>
            </w:pPr>
            <w:r>
              <w:t>4.7</w:t>
            </w:r>
          </w:p>
        </w:tc>
      </w:tr>
    </w:tbl>
    <w:p w14:paraId="386DC57D" w14:textId="7DD6B13A" w:rsidR="00AD1115" w:rsidRPr="002B1820" w:rsidRDefault="00AD1115" w:rsidP="006D6140">
      <w:pPr>
        <w:pStyle w:val="Source"/>
        <w:ind w:left="567" w:hanging="567"/>
      </w:pPr>
      <w:r>
        <w:t xml:space="preserve">Sources: </w:t>
      </w:r>
      <w:r w:rsidR="006D6140">
        <w:tab/>
      </w:r>
      <w:r w:rsidRPr="002B1820">
        <w:t>Parliament of Victoria, Parliamentary Budget Office, Victorian Auditor-General’s Office, Independent Broad-based Anti-corruption Commission, Integrity</w:t>
      </w:r>
      <w:r w:rsidR="006D6140">
        <w:t> </w:t>
      </w:r>
      <w:r w:rsidRPr="002B1820">
        <w:t>Oversight Victoria, Victorian Ombudsman, and Parliamentary Workplace Standards and Integrity Commission</w:t>
      </w:r>
    </w:p>
    <w:p w14:paraId="663E0CC6" w14:textId="77777777" w:rsidR="00AD1115" w:rsidRDefault="00AD1115" w:rsidP="00AD1115">
      <w:pPr>
        <w:pStyle w:val="Note"/>
      </w:pPr>
      <w:r w:rsidRPr="002B1820">
        <w:t>Note</w:t>
      </w:r>
      <w:r>
        <w:t>s</w:t>
      </w:r>
      <w:r w:rsidRPr="002B1820">
        <w:t xml:space="preserve">: </w:t>
      </w:r>
    </w:p>
    <w:p w14:paraId="2AD02593" w14:textId="1726DE81" w:rsidR="00AD1115" w:rsidRDefault="006D6140" w:rsidP="006D6140">
      <w:pPr>
        <w:pStyle w:val="Note"/>
      </w:pPr>
      <w:r>
        <w:t>(a)</w:t>
      </w:r>
      <w:r>
        <w:tab/>
      </w:r>
      <w:r w:rsidR="00AD1115" w:rsidRPr="002B1820">
        <w:t>Variation between 2025-26 budget and 2026-27 budget.</w:t>
      </w:r>
    </w:p>
    <w:p w14:paraId="248872CF" w14:textId="2807FA2B" w:rsidR="00C96A9C" w:rsidRDefault="00C96A9C" w:rsidP="00C96A9C">
      <w:pPr>
        <w:pStyle w:val="Note"/>
        <w:numPr>
          <w:ilvl w:val="0"/>
          <w:numId w:val="28"/>
        </w:numPr>
      </w:pPr>
      <w:r>
        <w:t xml:space="preserve">  </w:t>
      </w:r>
      <w:r w:rsidRPr="002404B5">
        <w:t xml:space="preserve">The </w:t>
      </w:r>
      <w:r w:rsidRPr="003D15E6">
        <w:rPr>
          <w:i w:val="0"/>
        </w:rPr>
        <w:t>2026-27 Budget</w:t>
      </w:r>
      <w:r w:rsidRPr="002404B5">
        <w:t xml:space="preserve"> includes special appropriation funding of $16.</w:t>
      </w:r>
      <w:r>
        <w:t>7</w:t>
      </w:r>
      <w:r w:rsidRPr="002404B5">
        <w:t xml:space="preserve"> million for members’ salaries and allowances, special appropriation funding of $0.2 million for the department, output funding of $1.</w:t>
      </w:r>
      <w:r>
        <w:t>8</w:t>
      </w:r>
      <w:r w:rsidRPr="002404B5">
        <w:t xml:space="preserve"> million for members’ salary on-costs, </w:t>
      </w:r>
      <w:r>
        <w:t>s29 revenue of $0.1</w:t>
      </w:r>
      <w:r w:rsidR="00095A45">
        <w:t xml:space="preserve"> </w:t>
      </w:r>
      <w:r>
        <w:t xml:space="preserve">million </w:t>
      </w:r>
      <w:r w:rsidRPr="002404B5">
        <w:t>and output funding of $7.</w:t>
      </w:r>
      <w:r>
        <w:t>5</w:t>
      </w:r>
      <w:r w:rsidRPr="002404B5">
        <w:t xml:space="preserve"> million for the Department of Legislative Council.</w:t>
      </w:r>
    </w:p>
    <w:p w14:paraId="31341B3E" w14:textId="1D8F8487" w:rsidR="00387804" w:rsidRDefault="009A4516" w:rsidP="005314E1">
      <w:pPr>
        <w:pStyle w:val="Note"/>
        <w:numPr>
          <w:ilvl w:val="0"/>
          <w:numId w:val="28"/>
        </w:numPr>
      </w:pPr>
      <w:r>
        <w:t>T</w:t>
      </w:r>
      <w:r w:rsidRPr="002404B5">
        <w:t xml:space="preserve">he </w:t>
      </w:r>
      <w:r w:rsidRPr="00095A45">
        <w:rPr>
          <w:i w:val="0"/>
        </w:rPr>
        <w:t>2026-27 Budget</w:t>
      </w:r>
      <w:r w:rsidRPr="002404B5">
        <w:t xml:space="preserve"> includes special appropriation funding of $3</w:t>
      </w:r>
      <w:r>
        <w:t>7.3</w:t>
      </w:r>
      <w:r w:rsidRPr="002404B5">
        <w:t xml:space="preserve"> million for members’ salaries and allowances, special appropriation funding of $0.6 million for the department, output funding of $4.</w:t>
      </w:r>
      <w:r>
        <w:t>3</w:t>
      </w:r>
      <w:r w:rsidRPr="002404B5">
        <w:t xml:space="preserve"> million for members’ salary on-costs, </w:t>
      </w:r>
      <w:r>
        <w:t>s29 revenue of $0.1</w:t>
      </w:r>
      <w:r w:rsidR="00095A45">
        <w:t xml:space="preserve"> </w:t>
      </w:r>
      <w:r>
        <w:t xml:space="preserve">million </w:t>
      </w:r>
      <w:r w:rsidRPr="002404B5">
        <w:t>and output funding of $8.</w:t>
      </w:r>
      <w:r>
        <w:t>5</w:t>
      </w:r>
      <w:r w:rsidRPr="002404B5">
        <w:t xml:space="preserve"> million for the Department of Legislative Assembly.</w:t>
      </w:r>
    </w:p>
    <w:p w14:paraId="5319324C" w14:textId="044523AD" w:rsidR="00AD1115" w:rsidRDefault="006D6140" w:rsidP="006D6140">
      <w:pPr>
        <w:pStyle w:val="Note"/>
      </w:pPr>
      <w:r>
        <w:t>(</w:t>
      </w:r>
      <w:r w:rsidR="0070501A">
        <w:t>d</w:t>
      </w:r>
      <w:r>
        <w:t>)</w:t>
      </w:r>
      <w:r>
        <w:tab/>
      </w:r>
      <w:r w:rsidR="00AD1115" w:rsidRPr="00E22613">
        <w:t>The higher 2026-27 target reflects the PBO</w:t>
      </w:r>
      <w:r w:rsidR="00AD4833">
        <w:t>’</w:t>
      </w:r>
      <w:r w:rsidR="00AD1115" w:rsidRPr="00E22613">
        <w:t xml:space="preserve">s surge funding for the 2026 </w:t>
      </w:r>
      <w:r w:rsidR="00546581">
        <w:t>State Election</w:t>
      </w:r>
      <w:r w:rsidR="00AD1115" w:rsidRPr="00E22613">
        <w:t>.</w:t>
      </w:r>
    </w:p>
    <w:p w14:paraId="08AB75FD" w14:textId="50A5FFB2" w:rsidR="00AD1115" w:rsidRDefault="006D6140" w:rsidP="006D6140">
      <w:pPr>
        <w:pStyle w:val="Note"/>
      </w:pPr>
      <w:r>
        <w:t>(</w:t>
      </w:r>
      <w:r w:rsidR="0070501A">
        <w:t>e</w:t>
      </w:r>
      <w:r>
        <w:t>)</w:t>
      </w:r>
      <w:r>
        <w:tab/>
      </w:r>
      <w:r w:rsidR="00AD1115" w:rsidRPr="001F38D5">
        <w:t xml:space="preserve">The </w:t>
      </w:r>
      <w:r w:rsidR="00AD1115">
        <w:t xml:space="preserve">higher </w:t>
      </w:r>
      <w:r w:rsidR="00AD1115" w:rsidRPr="001F38D5">
        <w:t xml:space="preserve">2026-27 target mainly reflects additional funding received as part of the </w:t>
      </w:r>
      <w:r w:rsidR="00AD1115" w:rsidRPr="006D6140">
        <w:rPr>
          <w:i w:val="0"/>
        </w:rPr>
        <w:t>2026-27 Budget</w:t>
      </w:r>
      <w:r w:rsidR="00AD1115" w:rsidRPr="001F38D5">
        <w:t xml:space="preserve"> for initiatives ‘Supporting the operations of the Independent Broad-based Anti-corruption Commission’ and ‘Oversight of new police powers’.</w:t>
      </w:r>
    </w:p>
    <w:p w14:paraId="34DA1F5C" w14:textId="06535FB7" w:rsidR="00AD1115" w:rsidRDefault="006D6140" w:rsidP="006D6140">
      <w:pPr>
        <w:pStyle w:val="Note"/>
      </w:pPr>
      <w:r>
        <w:t>(</w:t>
      </w:r>
      <w:r w:rsidR="0070501A">
        <w:t>f</w:t>
      </w:r>
      <w:r>
        <w:t>)</w:t>
      </w:r>
      <w:r>
        <w:tab/>
      </w:r>
      <w:r w:rsidR="00AD1115" w:rsidRPr="009C26E5">
        <w:t xml:space="preserve">The higher 2026-27 target reflects new funding provided via the Community Safety Package and </w:t>
      </w:r>
      <w:r w:rsidR="00AD1115" w:rsidRPr="004E1A02">
        <w:rPr>
          <w:i w:val="0"/>
        </w:rPr>
        <w:t>2026-27 Budget</w:t>
      </w:r>
      <w:r w:rsidR="00AD1115" w:rsidRPr="009C26E5">
        <w:t xml:space="preserve"> initiative Supporting the operations of the Victorian Ombudsman.</w:t>
      </w:r>
      <w:r w:rsidR="00AD1115">
        <w:t xml:space="preserve"> </w:t>
      </w:r>
    </w:p>
    <w:p w14:paraId="2EF1EBF5" w14:textId="478BB431" w:rsidR="00AD1115" w:rsidRDefault="006D6140" w:rsidP="006D6140">
      <w:pPr>
        <w:pStyle w:val="Note"/>
      </w:pPr>
      <w:r>
        <w:t>(</w:t>
      </w:r>
      <w:r w:rsidR="0070501A">
        <w:t>g</w:t>
      </w:r>
      <w:r>
        <w:t>)</w:t>
      </w:r>
      <w:r>
        <w:tab/>
      </w:r>
      <w:r w:rsidR="00AD1115" w:rsidRPr="00FD6D75">
        <w:t xml:space="preserve">The </w:t>
      </w:r>
      <w:r w:rsidR="00AD1115">
        <w:t>Parliamentary Workplace Standards and Integrity Commission</w:t>
      </w:r>
      <w:r w:rsidR="00AD1115" w:rsidRPr="00FD6D75">
        <w:t xml:space="preserve"> appears in the </w:t>
      </w:r>
      <w:r w:rsidR="00AD1115" w:rsidRPr="006D6140">
        <w:rPr>
          <w:i w:val="0"/>
        </w:rPr>
        <w:t>2026-27 Department Performance Statement</w:t>
      </w:r>
      <w:r w:rsidR="00AD1115">
        <w:t xml:space="preserve"> as its own entity</w:t>
      </w:r>
      <w:r w:rsidR="00AD1115" w:rsidRPr="00FD6D75">
        <w:t xml:space="preserve"> for the first time following its establishment in the </w:t>
      </w:r>
      <w:r w:rsidR="00AD1115">
        <w:t>2024-25</w:t>
      </w:r>
      <w:r w:rsidR="00AD1115" w:rsidRPr="00FD6D75">
        <w:t xml:space="preserve"> financial year.</w:t>
      </w:r>
    </w:p>
    <w:p w14:paraId="771BE9F7" w14:textId="77777777" w:rsidR="00824558" w:rsidRPr="00952390" w:rsidRDefault="00824558">
      <w:pPr>
        <w:pStyle w:val="Heading2"/>
      </w:pPr>
      <w:r w:rsidRPr="00952390">
        <w:t>Amounts available</w:t>
      </w:r>
    </w:p>
    <w:p w14:paraId="04EBAA10" w14:textId="77777777" w:rsidR="00824558" w:rsidRPr="00952390" w:rsidRDefault="00824558">
      <w:pPr>
        <w:rPr>
          <w:rFonts w:ascii="Garamond" w:hAnsi="Garamond"/>
        </w:rPr>
      </w:pPr>
      <w:r w:rsidRPr="00952390">
        <w:rPr>
          <w:rFonts w:ascii="Garamond" w:hAnsi="Garamond"/>
        </w:rPr>
        <w:t xml:space="preserve">The following tables detail the amounts available to the </w:t>
      </w:r>
      <w:r>
        <w:rPr>
          <w:rFonts w:ascii="Garamond" w:hAnsi="Garamond"/>
        </w:rPr>
        <w:t>D</w:t>
      </w:r>
      <w:r w:rsidRPr="00952390">
        <w:rPr>
          <w:rFonts w:ascii="Garamond" w:hAnsi="Garamond"/>
        </w:rPr>
        <w:t>epartment from parliamentary authority and income generated through transactions.</w:t>
      </w:r>
    </w:p>
    <w:p w14:paraId="5FE7C8B4" w14:textId="76B30EA3" w:rsidR="00824558" w:rsidRPr="00952390" w:rsidRDefault="00824558">
      <w:pPr>
        <w:rPr>
          <w:rFonts w:ascii="Garamond" w:hAnsi="Garamond"/>
        </w:rPr>
      </w:pPr>
      <w:r w:rsidRPr="00952390">
        <w:rPr>
          <w:rFonts w:ascii="Garamond" w:hAnsi="Garamond"/>
        </w:rPr>
        <w:t xml:space="preserve">Table 32 outlines the </w:t>
      </w:r>
      <w:r w:rsidR="007149A6" w:rsidRPr="00952390">
        <w:rPr>
          <w:rFonts w:ascii="Garamond" w:hAnsi="Garamond"/>
        </w:rPr>
        <w:t>Department</w:t>
      </w:r>
      <w:r w:rsidR="007149A6">
        <w:rPr>
          <w:rFonts w:ascii="Garamond" w:hAnsi="Garamond"/>
        </w:rPr>
        <w:t>’</w:t>
      </w:r>
      <w:r w:rsidR="007149A6" w:rsidRPr="00952390">
        <w:rPr>
          <w:rFonts w:ascii="Garamond" w:hAnsi="Garamond"/>
        </w:rPr>
        <w:t>s</w:t>
      </w:r>
      <w:r w:rsidRPr="00952390">
        <w:rPr>
          <w:rFonts w:ascii="Garamond" w:hAnsi="Garamond"/>
        </w:rPr>
        <w:t xml:space="preserve"> income from transactions and Table 33 summarises the sources of parliamentary authority available to the </w:t>
      </w:r>
      <w:r>
        <w:rPr>
          <w:rFonts w:ascii="Garamond" w:hAnsi="Garamond"/>
        </w:rPr>
        <w:t>D</w:t>
      </w:r>
      <w:r w:rsidRPr="00952390">
        <w:rPr>
          <w:rFonts w:ascii="Garamond" w:hAnsi="Garamond"/>
        </w:rPr>
        <w:t xml:space="preserve">epartment to fund the provision of outputs, additions to the net asset base, payments made on behalf of the </w:t>
      </w:r>
      <w:r w:rsidR="0062091C">
        <w:rPr>
          <w:rFonts w:ascii="Garamond" w:hAnsi="Garamond"/>
        </w:rPr>
        <w:t>S</w:t>
      </w:r>
      <w:r w:rsidRPr="00952390">
        <w:rPr>
          <w:rFonts w:ascii="Garamond" w:hAnsi="Garamond"/>
        </w:rPr>
        <w:t xml:space="preserve">tate, and other sources expected to become available to the </w:t>
      </w:r>
      <w:r>
        <w:rPr>
          <w:rFonts w:ascii="Garamond" w:hAnsi="Garamond"/>
        </w:rPr>
        <w:t>D</w:t>
      </w:r>
      <w:r w:rsidRPr="00952390">
        <w:rPr>
          <w:rFonts w:ascii="Garamond" w:hAnsi="Garamond"/>
        </w:rPr>
        <w:t>epartment.</w:t>
      </w:r>
    </w:p>
    <w:p w14:paraId="5A0B97A0" w14:textId="20B9E1A6" w:rsidR="00824558" w:rsidRPr="00952390" w:rsidRDefault="00824558">
      <w:pPr>
        <w:pStyle w:val="TableHeading"/>
      </w:pPr>
      <w:r w:rsidRPr="00952390">
        <w:t>Table 32:</w:t>
      </w:r>
      <w:r w:rsidRPr="00952390">
        <w:tab/>
        <w:t xml:space="preserve">Income from transactions </w:t>
      </w:r>
      <w:r w:rsidRPr="00952390">
        <w:tab/>
        <w:t>($ million)</w:t>
      </w:r>
    </w:p>
    <w:tbl>
      <w:tblPr>
        <w:tblStyle w:val="DTFTableNumeric"/>
        <w:tblW w:w="5000" w:type="pct"/>
        <w:tblLook w:val="06E0" w:firstRow="1" w:lastRow="1" w:firstColumn="1" w:lastColumn="0" w:noHBand="1" w:noVBand="1"/>
      </w:tblPr>
      <w:tblGrid>
        <w:gridCol w:w="6188"/>
        <w:gridCol w:w="851"/>
        <w:gridCol w:w="851"/>
        <w:gridCol w:w="851"/>
        <w:gridCol w:w="890"/>
      </w:tblGrid>
      <w:tr w:rsidR="008A3A4D" w14:paraId="35F68A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AC5DC" w14:textId="77777777" w:rsidR="008A3A4D" w:rsidRDefault="008A3A4D"/>
        </w:tc>
        <w:tc>
          <w:tcPr>
            <w:tcW w:w="851" w:type="dxa"/>
          </w:tcPr>
          <w:p w14:paraId="059552BC" w14:textId="77777777" w:rsidR="008A3A4D" w:rsidRDefault="008A3A4D">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4C939731" w14:textId="77777777" w:rsidR="008A3A4D" w:rsidRDefault="008A3A4D">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551C02AC" w14:textId="77777777" w:rsidR="008A3A4D" w:rsidRDefault="008A3A4D">
            <w:pPr>
              <w:cnfStyle w:val="100000000000" w:firstRow="1" w:lastRow="0" w:firstColumn="0" w:lastColumn="0" w:oddVBand="0" w:evenVBand="0" w:oddHBand="0" w:evenHBand="0" w:firstRowFirstColumn="0" w:firstRowLastColumn="0" w:lastRowFirstColumn="0" w:lastRowLastColumn="0"/>
            </w:pPr>
            <w:r>
              <w:t>2025-26 revised</w:t>
            </w:r>
          </w:p>
        </w:tc>
        <w:tc>
          <w:tcPr>
            <w:tcW w:w="890" w:type="dxa"/>
          </w:tcPr>
          <w:p w14:paraId="2E9F7274" w14:textId="77777777" w:rsidR="008A3A4D" w:rsidRDefault="008A3A4D">
            <w:pPr>
              <w:cnfStyle w:val="100000000000" w:firstRow="1" w:lastRow="0" w:firstColumn="0" w:lastColumn="0" w:oddVBand="0" w:evenVBand="0" w:oddHBand="0" w:evenHBand="0" w:firstRowFirstColumn="0" w:firstRowLastColumn="0" w:lastRowFirstColumn="0" w:lastRowLastColumn="0"/>
            </w:pPr>
            <w:r>
              <w:t>2026-27 budget</w:t>
            </w:r>
          </w:p>
        </w:tc>
      </w:tr>
      <w:tr w:rsidR="008A3A4D" w:rsidRPr="00FB7499" w14:paraId="3819B474"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E1FEFD6" w14:textId="77777777" w:rsidR="008A3A4D" w:rsidRPr="00FB7499" w:rsidRDefault="008A3A4D">
            <w:pPr>
              <w:rPr>
                <w:lang w:eastAsia="en-AU"/>
              </w:rPr>
            </w:pPr>
            <w:r w:rsidRPr="00FB7499">
              <w:rPr>
                <w:lang w:eastAsia="en-AU"/>
              </w:rPr>
              <w:t>Output appropriations</w:t>
            </w:r>
          </w:p>
        </w:tc>
        <w:tc>
          <w:tcPr>
            <w:tcW w:w="851" w:type="dxa"/>
            <w:noWrap/>
            <w:hideMark/>
          </w:tcPr>
          <w:p w14:paraId="3A40B883"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332.6</w:t>
            </w:r>
          </w:p>
        </w:tc>
        <w:tc>
          <w:tcPr>
            <w:tcW w:w="851" w:type="dxa"/>
            <w:noWrap/>
            <w:hideMark/>
          </w:tcPr>
          <w:p w14:paraId="5FF35646"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344.1</w:t>
            </w:r>
          </w:p>
        </w:tc>
        <w:tc>
          <w:tcPr>
            <w:tcW w:w="851" w:type="dxa"/>
            <w:noWrap/>
            <w:hideMark/>
          </w:tcPr>
          <w:p w14:paraId="1541AFB9"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336.9</w:t>
            </w:r>
          </w:p>
        </w:tc>
        <w:tc>
          <w:tcPr>
            <w:tcW w:w="890" w:type="dxa"/>
            <w:noWrap/>
            <w:hideMark/>
          </w:tcPr>
          <w:p w14:paraId="13FEFC17"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362.</w:t>
            </w:r>
            <w:r w:rsidRPr="00FB7499">
              <w:rPr>
                <w:lang w:eastAsia="en-AU"/>
              </w:rPr>
              <w:t>6</w:t>
            </w:r>
          </w:p>
        </w:tc>
      </w:tr>
      <w:tr w:rsidR="008A3A4D" w:rsidRPr="00FB7499" w14:paraId="7A51BB73"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D2CA586" w14:textId="77777777" w:rsidR="008A3A4D" w:rsidRPr="00FB7499" w:rsidRDefault="008A3A4D">
            <w:pPr>
              <w:rPr>
                <w:lang w:eastAsia="en-AU"/>
              </w:rPr>
            </w:pPr>
            <w:r w:rsidRPr="00FB7499">
              <w:rPr>
                <w:lang w:eastAsia="en-AU"/>
              </w:rPr>
              <w:t>Special appropriations</w:t>
            </w:r>
          </w:p>
        </w:tc>
        <w:tc>
          <w:tcPr>
            <w:tcW w:w="851" w:type="dxa"/>
            <w:noWrap/>
            <w:hideMark/>
          </w:tcPr>
          <w:p w14:paraId="44D6E849"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51.2</w:t>
            </w:r>
          </w:p>
        </w:tc>
        <w:tc>
          <w:tcPr>
            <w:tcW w:w="851" w:type="dxa"/>
            <w:noWrap/>
            <w:hideMark/>
          </w:tcPr>
          <w:p w14:paraId="039A13DC"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54.6</w:t>
            </w:r>
          </w:p>
        </w:tc>
        <w:tc>
          <w:tcPr>
            <w:tcW w:w="851" w:type="dxa"/>
            <w:noWrap/>
            <w:hideMark/>
          </w:tcPr>
          <w:p w14:paraId="48F8A282"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56.2</w:t>
            </w:r>
          </w:p>
        </w:tc>
        <w:tc>
          <w:tcPr>
            <w:tcW w:w="890" w:type="dxa"/>
            <w:noWrap/>
            <w:hideMark/>
          </w:tcPr>
          <w:p w14:paraId="057F28ED"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56.2</w:t>
            </w:r>
          </w:p>
        </w:tc>
      </w:tr>
      <w:tr w:rsidR="008A3A4D" w:rsidRPr="00FB7499" w14:paraId="4A00BC79"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C912330" w14:textId="77777777" w:rsidR="008A3A4D" w:rsidRPr="00FB7499" w:rsidRDefault="008A3A4D">
            <w:pPr>
              <w:rPr>
                <w:lang w:eastAsia="en-AU"/>
              </w:rPr>
            </w:pPr>
            <w:r w:rsidRPr="00FB7499">
              <w:rPr>
                <w:lang w:eastAsia="en-AU"/>
              </w:rPr>
              <w:t>Sales of goods and services</w:t>
            </w:r>
          </w:p>
        </w:tc>
        <w:tc>
          <w:tcPr>
            <w:tcW w:w="851" w:type="dxa"/>
            <w:noWrap/>
            <w:hideMark/>
          </w:tcPr>
          <w:p w14:paraId="56FFBE61"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1.5</w:t>
            </w:r>
          </w:p>
        </w:tc>
        <w:tc>
          <w:tcPr>
            <w:tcW w:w="851" w:type="dxa"/>
            <w:noWrap/>
            <w:hideMark/>
          </w:tcPr>
          <w:p w14:paraId="2C377631"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w:t>
            </w:r>
          </w:p>
        </w:tc>
        <w:tc>
          <w:tcPr>
            <w:tcW w:w="851" w:type="dxa"/>
            <w:noWrap/>
            <w:hideMark/>
          </w:tcPr>
          <w:p w14:paraId="66BDFF4E"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sidRPr="00FB7499">
              <w:rPr>
                <w:lang w:eastAsia="en-AU"/>
              </w:rPr>
              <w:t>..</w:t>
            </w:r>
          </w:p>
        </w:tc>
        <w:tc>
          <w:tcPr>
            <w:tcW w:w="890" w:type="dxa"/>
            <w:noWrap/>
            <w:hideMark/>
          </w:tcPr>
          <w:p w14:paraId="21F83472"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8A3A4D" w:rsidRPr="00FB7499" w14:paraId="75AD4AA3" w14:textId="77777777" w:rsidTr="006D6140">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tcPr>
          <w:p w14:paraId="194B5D9A" w14:textId="77777777" w:rsidR="008A3A4D" w:rsidRPr="00FB7499" w:rsidRDefault="008A3A4D">
            <w:pPr>
              <w:rPr>
                <w:lang w:eastAsia="en-AU"/>
              </w:rPr>
            </w:pPr>
            <w:r>
              <w:rPr>
                <w:lang w:eastAsia="en-AU"/>
              </w:rPr>
              <w:t>Grants</w:t>
            </w:r>
          </w:p>
        </w:tc>
        <w:tc>
          <w:tcPr>
            <w:tcW w:w="851" w:type="dxa"/>
            <w:tcBorders>
              <w:bottom w:val="single" w:sz="6" w:space="0" w:color="auto"/>
            </w:tcBorders>
            <w:noWrap/>
          </w:tcPr>
          <w:p w14:paraId="7B52A925"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tcBorders>
              <w:bottom w:val="single" w:sz="6" w:space="0" w:color="auto"/>
            </w:tcBorders>
            <w:noWrap/>
          </w:tcPr>
          <w:p w14:paraId="2D2FE63B"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51" w:type="dxa"/>
            <w:tcBorders>
              <w:bottom w:val="single" w:sz="6" w:space="0" w:color="auto"/>
            </w:tcBorders>
            <w:noWrap/>
          </w:tcPr>
          <w:p w14:paraId="21A02D97" w14:textId="77777777" w:rsidR="008A3A4D" w:rsidRPr="00FB7499"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3.7</w:t>
            </w:r>
          </w:p>
        </w:tc>
        <w:tc>
          <w:tcPr>
            <w:tcW w:w="890" w:type="dxa"/>
            <w:tcBorders>
              <w:bottom w:val="single" w:sz="6" w:space="0" w:color="auto"/>
            </w:tcBorders>
            <w:noWrap/>
          </w:tcPr>
          <w:p w14:paraId="1901D0A0" w14:textId="77777777" w:rsidR="008A3A4D" w:rsidRDefault="008A3A4D">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8A3A4D" w:rsidRPr="00FB7499" w14:paraId="4CE7C729" w14:textId="77777777" w:rsidTr="006D6140">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5381E" w14:textId="77777777" w:rsidR="008A3A4D" w:rsidRPr="00FB7499" w:rsidRDefault="008A3A4D">
            <w:pPr>
              <w:rPr>
                <w:lang w:eastAsia="en-AU"/>
              </w:rPr>
            </w:pPr>
            <w:r w:rsidRPr="00FB7499">
              <w:rPr>
                <w:lang w:eastAsia="en-AU"/>
              </w:rPr>
              <w:t>Total income from transactions</w:t>
            </w:r>
          </w:p>
        </w:tc>
        <w:tc>
          <w:tcPr>
            <w:tcW w:w="851" w:type="dxa"/>
            <w:noWrap/>
            <w:hideMark/>
          </w:tcPr>
          <w:p w14:paraId="0D1695C4" w14:textId="77777777" w:rsidR="008A3A4D" w:rsidRPr="00FB7499" w:rsidRDefault="008A3A4D">
            <w:pPr>
              <w:cnfStyle w:val="010000000000" w:firstRow="0" w:lastRow="1" w:firstColumn="0" w:lastColumn="0" w:oddVBand="0" w:evenVBand="0" w:oddHBand="0" w:evenHBand="0" w:firstRowFirstColumn="0" w:firstRowLastColumn="0" w:lastRowFirstColumn="0" w:lastRowLastColumn="0"/>
              <w:rPr>
                <w:lang w:eastAsia="en-AU"/>
              </w:rPr>
            </w:pPr>
            <w:r w:rsidRPr="00FB7499">
              <w:rPr>
                <w:lang w:eastAsia="en-AU"/>
              </w:rPr>
              <w:t>385.4</w:t>
            </w:r>
          </w:p>
        </w:tc>
        <w:tc>
          <w:tcPr>
            <w:tcW w:w="851" w:type="dxa"/>
            <w:noWrap/>
            <w:hideMark/>
          </w:tcPr>
          <w:p w14:paraId="367C42E4" w14:textId="77777777" w:rsidR="008A3A4D" w:rsidRPr="00FB7499" w:rsidRDefault="008A3A4D">
            <w:pPr>
              <w:cnfStyle w:val="010000000000" w:firstRow="0" w:lastRow="1" w:firstColumn="0" w:lastColumn="0" w:oddVBand="0" w:evenVBand="0" w:oddHBand="0" w:evenHBand="0" w:firstRowFirstColumn="0" w:firstRowLastColumn="0" w:lastRowFirstColumn="0" w:lastRowLastColumn="0"/>
              <w:rPr>
                <w:lang w:eastAsia="en-AU"/>
              </w:rPr>
            </w:pPr>
            <w:r w:rsidRPr="00FB7499">
              <w:rPr>
                <w:lang w:eastAsia="en-AU"/>
              </w:rPr>
              <w:t>398.7</w:t>
            </w:r>
          </w:p>
        </w:tc>
        <w:tc>
          <w:tcPr>
            <w:tcW w:w="851" w:type="dxa"/>
            <w:noWrap/>
            <w:hideMark/>
          </w:tcPr>
          <w:p w14:paraId="581EF1A1" w14:textId="77777777" w:rsidR="008A3A4D" w:rsidRPr="00FB7499" w:rsidRDefault="008A3A4D">
            <w:pPr>
              <w:cnfStyle w:val="010000000000" w:firstRow="0" w:lastRow="1" w:firstColumn="0" w:lastColumn="0" w:oddVBand="0" w:evenVBand="0" w:oddHBand="0" w:evenHBand="0" w:firstRowFirstColumn="0" w:firstRowLastColumn="0" w:lastRowFirstColumn="0" w:lastRowLastColumn="0"/>
              <w:rPr>
                <w:lang w:eastAsia="en-AU"/>
              </w:rPr>
            </w:pPr>
            <w:r>
              <w:rPr>
                <w:lang w:eastAsia="en-AU"/>
              </w:rPr>
              <w:t>396.</w:t>
            </w:r>
            <w:r w:rsidRPr="2D57CEC9">
              <w:rPr>
                <w:lang w:eastAsia="en-AU"/>
              </w:rPr>
              <w:t>8</w:t>
            </w:r>
          </w:p>
        </w:tc>
        <w:tc>
          <w:tcPr>
            <w:tcW w:w="890" w:type="dxa"/>
            <w:noWrap/>
            <w:hideMark/>
          </w:tcPr>
          <w:p w14:paraId="36288E4C" w14:textId="77777777" w:rsidR="008A3A4D" w:rsidRPr="00FB7499" w:rsidRDefault="008A3A4D">
            <w:pPr>
              <w:cnfStyle w:val="010000000000" w:firstRow="0" w:lastRow="1" w:firstColumn="0" w:lastColumn="0" w:oddVBand="0" w:evenVBand="0" w:oddHBand="0" w:evenHBand="0" w:firstRowFirstColumn="0" w:firstRowLastColumn="0" w:lastRowFirstColumn="0" w:lastRowLastColumn="0"/>
              <w:rPr>
                <w:lang w:eastAsia="en-AU"/>
              </w:rPr>
            </w:pPr>
            <w:r>
              <w:rPr>
                <w:lang w:eastAsia="en-AU"/>
              </w:rPr>
              <w:t>418.</w:t>
            </w:r>
            <w:r w:rsidRPr="00FB7499">
              <w:rPr>
                <w:lang w:eastAsia="en-AU"/>
              </w:rPr>
              <w:t>9</w:t>
            </w:r>
          </w:p>
        </w:tc>
      </w:tr>
    </w:tbl>
    <w:p w14:paraId="72D049A8" w14:textId="59514E54" w:rsidR="008A3A4D" w:rsidRDefault="008A3A4D" w:rsidP="006D6140">
      <w:pPr>
        <w:pStyle w:val="Source"/>
        <w:ind w:left="567" w:hanging="567"/>
      </w:pPr>
      <w:r>
        <w:t xml:space="preserve">Sources: </w:t>
      </w:r>
      <w:r w:rsidR="006D6140">
        <w:tab/>
      </w:r>
      <w:r>
        <w:t>Parliament of Victoria, Parliamentary Budget Office, Victorian Auditor-General’s Office, Independent Broad-based Anti-corruption Commission, Integrity</w:t>
      </w:r>
      <w:r w:rsidR="006D6140">
        <w:t> </w:t>
      </w:r>
      <w:r>
        <w:t>Oversight Victoria, Victorian Ombudsman, and Parliamentary Workplace Standards and Integrity Commission</w:t>
      </w:r>
    </w:p>
    <w:p w14:paraId="54614848" w14:textId="77777777" w:rsidR="00824558" w:rsidRPr="00952390" w:rsidRDefault="00824558"/>
    <w:p w14:paraId="331EC58D" w14:textId="0225383A" w:rsidR="00824558" w:rsidRPr="00952390" w:rsidRDefault="00824558">
      <w:pPr>
        <w:pStyle w:val="TableHeading"/>
      </w:pPr>
      <w:r w:rsidRPr="00952390">
        <w:t>Table 33:</w:t>
      </w:r>
      <w:r w:rsidRPr="00952390">
        <w:tab/>
        <w:t>Parliamentary authority for resources</w:t>
      </w:r>
      <w:r w:rsidRPr="00952390">
        <w:tab/>
        <w:t>($ million)</w:t>
      </w:r>
    </w:p>
    <w:tbl>
      <w:tblPr>
        <w:tblStyle w:val="DTFTableNumeric"/>
        <w:tblW w:w="5000" w:type="pct"/>
        <w:tblLook w:val="06E0" w:firstRow="1" w:lastRow="1" w:firstColumn="1" w:lastColumn="0" w:noHBand="1" w:noVBand="1"/>
      </w:tblPr>
      <w:tblGrid>
        <w:gridCol w:w="6658"/>
        <w:gridCol w:w="991"/>
        <w:gridCol w:w="991"/>
        <w:gridCol w:w="991"/>
      </w:tblGrid>
      <w:tr w:rsidR="007E2DDC" w14:paraId="45034F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AA706C" w14:textId="77777777" w:rsidR="007E2DDC" w:rsidRDefault="007E2DDC"/>
        </w:tc>
        <w:tc>
          <w:tcPr>
            <w:tcW w:w="992" w:type="dxa"/>
          </w:tcPr>
          <w:p w14:paraId="33A7C477" w14:textId="77777777" w:rsidR="007E2DDC" w:rsidRDefault="007E2DDC">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4628CBEB" w14:textId="77777777" w:rsidR="007E2DDC" w:rsidRDefault="007E2DDC">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2623C32D" w14:textId="77777777" w:rsidR="007E2DDC" w:rsidRDefault="007E2DDC">
            <w:pPr>
              <w:cnfStyle w:val="100000000000" w:firstRow="1" w:lastRow="0" w:firstColumn="0" w:lastColumn="0" w:oddVBand="0" w:evenVBand="0" w:oddHBand="0" w:evenHBand="0" w:firstRowFirstColumn="0" w:firstRowLastColumn="0" w:lastRowFirstColumn="0" w:lastRowLastColumn="0"/>
            </w:pPr>
            <w:r>
              <w:t>2026-27 budget</w:t>
            </w:r>
          </w:p>
        </w:tc>
      </w:tr>
      <w:tr w:rsidR="007E2DDC" w:rsidRPr="006E5ACF" w14:paraId="0A748285"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B18EC4C" w14:textId="77777777" w:rsidR="007E2DDC" w:rsidRPr="006E5ACF" w:rsidRDefault="007E2DDC">
            <w:pPr>
              <w:rPr>
                <w:b/>
                <w:bCs/>
                <w:lang w:eastAsia="en-AU"/>
              </w:rPr>
            </w:pPr>
            <w:r w:rsidRPr="006E5ACF">
              <w:rPr>
                <w:b/>
                <w:bCs/>
                <w:lang w:eastAsia="en-AU"/>
              </w:rPr>
              <w:t>Annual appropriations</w:t>
            </w:r>
          </w:p>
        </w:tc>
        <w:tc>
          <w:tcPr>
            <w:tcW w:w="992" w:type="dxa"/>
            <w:noWrap/>
            <w:hideMark/>
          </w:tcPr>
          <w:p w14:paraId="762DF95F"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297.2</w:t>
            </w:r>
          </w:p>
        </w:tc>
        <w:tc>
          <w:tcPr>
            <w:tcW w:w="992" w:type="dxa"/>
            <w:noWrap/>
            <w:hideMark/>
          </w:tcPr>
          <w:p w14:paraId="5CC4A294"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294.2</w:t>
            </w:r>
          </w:p>
        </w:tc>
        <w:tc>
          <w:tcPr>
            <w:tcW w:w="992" w:type="dxa"/>
            <w:noWrap/>
            <w:hideMark/>
          </w:tcPr>
          <w:p w14:paraId="7E9DE559"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313.7</w:t>
            </w:r>
          </w:p>
        </w:tc>
      </w:tr>
      <w:tr w:rsidR="007E2DDC" w:rsidRPr="006E5ACF" w14:paraId="14209F1C"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2BFCD1B" w14:textId="77777777" w:rsidR="007E2DDC" w:rsidRPr="006E5ACF" w:rsidRDefault="007E2DDC">
            <w:pPr>
              <w:rPr>
                <w:lang w:eastAsia="en-AU"/>
              </w:rPr>
            </w:pPr>
            <w:r w:rsidRPr="006E5ACF">
              <w:rPr>
                <w:lang w:eastAsia="en-AU"/>
              </w:rPr>
              <w:t>Provision of outputs</w:t>
            </w:r>
          </w:p>
        </w:tc>
        <w:tc>
          <w:tcPr>
            <w:tcW w:w="992" w:type="dxa"/>
            <w:noWrap/>
            <w:hideMark/>
          </w:tcPr>
          <w:p w14:paraId="032C65C5"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296.0</w:t>
            </w:r>
          </w:p>
        </w:tc>
        <w:tc>
          <w:tcPr>
            <w:tcW w:w="992" w:type="dxa"/>
            <w:noWrap/>
            <w:hideMark/>
          </w:tcPr>
          <w:p w14:paraId="5948EBB0"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291.8</w:t>
            </w:r>
          </w:p>
        </w:tc>
        <w:tc>
          <w:tcPr>
            <w:tcW w:w="992" w:type="dxa"/>
            <w:noWrap/>
            <w:hideMark/>
          </w:tcPr>
          <w:p w14:paraId="5D86B6D3"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311.5</w:t>
            </w:r>
          </w:p>
        </w:tc>
      </w:tr>
      <w:tr w:rsidR="007E2DDC" w:rsidRPr="006E5ACF" w14:paraId="3BA2BDC4"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284C293" w14:textId="77777777" w:rsidR="007E2DDC" w:rsidRPr="006E5ACF" w:rsidRDefault="007E2DDC">
            <w:pPr>
              <w:rPr>
                <w:lang w:eastAsia="en-AU"/>
              </w:rPr>
            </w:pPr>
            <w:r w:rsidRPr="006E5ACF">
              <w:rPr>
                <w:lang w:eastAsia="en-AU"/>
              </w:rPr>
              <w:t>Additions to the net asset base</w:t>
            </w:r>
          </w:p>
        </w:tc>
        <w:tc>
          <w:tcPr>
            <w:tcW w:w="992" w:type="dxa"/>
            <w:noWrap/>
            <w:hideMark/>
          </w:tcPr>
          <w:p w14:paraId="7A294D3A"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1.2</w:t>
            </w:r>
          </w:p>
        </w:tc>
        <w:tc>
          <w:tcPr>
            <w:tcW w:w="992" w:type="dxa"/>
            <w:noWrap/>
            <w:hideMark/>
          </w:tcPr>
          <w:p w14:paraId="1D84A362"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2.4</w:t>
            </w:r>
          </w:p>
        </w:tc>
        <w:tc>
          <w:tcPr>
            <w:tcW w:w="992" w:type="dxa"/>
            <w:noWrap/>
            <w:hideMark/>
          </w:tcPr>
          <w:p w14:paraId="047C9D14"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2.2</w:t>
            </w:r>
          </w:p>
        </w:tc>
      </w:tr>
      <w:tr w:rsidR="007E2DDC" w:rsidRPr="006E5ACF" w14:paraId="10D05A61"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D56D633" w14:textId="77777777" w:rsidR="007E2DDC" w:rsidRPr="006E5ACF" w:rsidRDefault="007E2DDC">
            <w:pPr>
              <w:rPr>
                <w:b/>
                <w:bCs/>
                <w:lang w:eastAsia="en-AU"/>
              </w:rPr>
            </w:pPr>
            <w:r w:rsidRPr="006E5ACF">
              <w:rPr>
                <w:b/>
                <w:bCs/>
                <w:lang w:eastAsia="en-AU"/>
              </w:rPr>
              <w:t>Receipts credited to appropriations</w:t>
            </w:r>
          </w:p>
        </w:tc>
        <w:tc>
          <w:tcPr>
            <w:tcW w:w="992" w:type="dxa"/>
            <w:noWrap/>
            <w:hideMark/>
          </w:tcPr>
          <w:p w14:paraId="3764661A"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39.8</w:t>
            </w:r>
          </w:p>
        </w:tc>
        <w:tc>
          <w:tcPr>
            <w:tcW w:w="992" w:type="dxa"/>
            <w:noWrap/>
            <w:hideMark/>
          </w:tcPr>
          <w:p w14:paraId="21ADCBCA"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39.3</w:t>
            </w:r>
          </w:p>
        </w:tc>
        <w:tc>
          <w:tcPr>
            <w:tcW w:w="992" w:type="dxa"/>
            <w:noWrap/>
            <w:hideMark/>
          </w:tcPr>
          <w:p w14:paraId="236FBDC8"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42.5</w:t>
            </w:r>
          </w:p>
        </w:tc>
      </w:tr>
      <w:tr w:rsidR="007E2DDC" w:rsidRPr="006E5ACF" w14:paraId="37D208EF"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42801F9" w14:textId="77777777" w:rsidR="007E2DDC" w:rsidRPr="006E5ACF" w:rsidRDefault="007E2DDC">
            <w:pPr>
              <w:rPr>
                <w:b/>
                <w:bCs/>
                <w:lang w:eastAsia="en-AU"/>
              </w:rPr>
            </w:pPr>
            <w:r w:rsidRPr="006E5ACF">
              <w:rPr>
                <w:b/>
                <w:bCs/>
                <w:lang w:eastAsia="en-AU"/>
              </w:rPr>
              <w:t>Unapplied previous years appropriation</w:t>
            </w:r>
          </w:p>
        </w:tc>
        <w:tc>
          <w:tcPr>
            <w:tcW w:w="992" w:type="dxa"/>
            <w:noWrap/>
            <w:hideMark/>
          </w:tcPr>
          <w:p w14:paraId="2DE072EB"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8.3</w:t>
            </w:r>
          </w:p>
        </w:tc>
        <w:tc>
          <w:tcPr>
            <w:tcW w:w="992" w:type="dxa"/>
            <w:noWrap/>
            <w:hideMark/>
          </w:tcPr>
          <w:p w14:paraId="16A56376"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7.4</w:t>
            </w:r>
          </w:p>
        </w:tc>
        <w:tc>
          <w:tcPr>
            <w:tcW w:w="992" w:type="dxa"/>
            <w:noWrap/>
            <w:hideMark/>
          </w:tcPr>
          <w:p w14:paraId="61E56149"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8.6</w:t>
            </w:r>
          </w:p>
        </w:tc>
      </w:tr>
      <w:tr w:rsidR="007E2DDC" w:rsidRPr="006E5ACF" w14:paraId="151FD23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0FAD8362" w14:textId="77777777" w:rsidR="007E2DDC" w:rsidRPr="006E5ACF" w:rsidRDefault="007E2DDC">
            <w:pPr>
              <w:rPr>
                <w:lang w:eastAsia="en-AU"/>
              </w:rPr>
            </w:pPr>
            <w:r w:rsidRPr="006E5ACF">
              <w:rPr>
                <w:lang w:eastAsia="en-AU"/>
              </w:rPr>
              <w:t>Provision of outputs</w:t>
            </w:r>
          </w:p>
        </w:tc>
        <w:tc>
          <w:tcPr>
            <w:tcW w:w="992" w:type="dxa"/>
            <w:tcBorders>
              <w:bottom w:val="nil"/>
            </w:tcBorders>
            <w:noWrap/>
            <w:hideMark/>
          </w:tcPr>
          <w:p w14:paraId="0E95EFD1"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8.3</w:t>
            </w:r>
          </w:p>
        </w:tc>
        <w:tc>
          <w:tcPr>
            <w:tcW w:w="992" w:type="dxa"/>
            <w:tcBorders>
              <w:bottom w:val="nil"/>
            </w:tcBorders>
            <w:noWrap/>
            <w:hideMark/>
          </w:tcPr>
          <w:p w14:paraId="291DD4A8"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5.8</w:t>
            </w:r>
          </w:p>
        </w:tc>
        <w:tc>
          <w:tcPr>
            <w:tcW w:w="992" w:type="dxa"/>
            <w:tcBorders>
              <w:bottom w:val="nil"/>
            </w:tcBorders>
            <w:noWrap/>
            <w:hideMark/>
          </w:tcPr>
          <w:p w14:paraId="7873FF8E"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8.6</w:t>
            </w:r>
          </w:p>
        </w:tc>
      </w:tr>
      <w:tr w:rsidR="007E2DDC" w:rsidRPr="006E5ACF" w14:paraId="00F3944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0D0438D" w14:textId="77777777" w:rsidR="007E2DDC" w:rsidRPr="006E5ACF" w:rsidRDefault="007E2DDC">
            <w:pPr>
              <w:rPr>
                <w:lang w:eastAsia="en-AU"/>
              </w:rPr>
            </w:pPr>
            <w:r w:rsidRPr="006E5ACF">
              <w:rPr>
                <w:lang w:eastAsia="en-AU"/>
              </w:rPr>
              <w:t>Additions to the net asset base</w:t>
            </w:r>
          </w:p>
        </w:tc>
        <w:tc>
          <w:tcPr>
            <w:tcW w:w="992" w:type="dxa"/>
            <w:tcBorders>
              <w:bottom w:val="single" w:sz="6" w:space="0" w:color="auto"/>
            </w:tcBorders>
            <w:noWrap/>
            <w:hideMark/>
          </w:tcPr>
          <w:p w14:paraId="50BC3B35"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w:t>
            </w:r>
          </w:p>
        </w:tc>
        <w:tc>
          <w:tcPr>
            <w:tcW w:w="992" w:type="dxa"/>
            <w:tcBorders>
              <w:bottom w:val="single" w:sz="6" w:space="0" w:color="auto"/>
            </w:tcBorders>
            <w:noWrap/>
            <w:hideMark/>
          </w:tcPr>
          <w:p w14:paraId="603848EE"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1.6</w:t>
            </w:r>
          </w:p>
        </w:tc>
        <w:tc>
          <w:tcPr>
            <w:tcW w:w="992" w:type="dxa"/>
            <w:tcBorders>
              <w:bottom w:val="single" w:sz="6" w:space="0" w:color="auto"/>
            </w:tcBorders>
            <w:noWrap/>
            <w:hideMark/>
          </w:tcPr>
          <w:p w14:paraId="6A52AE3F"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lang w:eastAsia="en-AU"/>
              </w:rPr>
            </w:pPr>
            <w:r w:rsidRPr="006E5ACF">
              <w:rPr>
                <w:lang w:eastAsia="en-AU"/>
              </w:rPr>
              <w:t>..</w:t>
            </w:r>
          </w:p>
        </w:tc>
      </w:tr>
      <w:tr w:rsidR="007E2DDC" w:rsidRPr="006E5ACF" w14:paraId="393DBDCE"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1B8C6F7E" w14:textId="77777777" w:rsidR="007E2DDC" w:rsidRPr="006E5ACF" w:rsidRDefault="007E2DDC">
            <w:pPr>
              <w:rPr>
                <w:b/>
                <w:bCs/>
                <w:lang w:eastAsia="en-AU"/>
              </w:rPr>
            </w:pPr>
            <w:r w:rsidRPr="006E5ACF">
              <w:rPr>
                <w:b/>
                <w:bCs/>
                <w:lang w:eastAsia="en-AU"/>
              </w:rPr>
              <w:t>Gross annual appropriation</w:t>
            </w:r>
          </w:p>
        </w:tc>
        <w:tc>
          <w:tcPr>
            <w:tcW w:w="992" w:type="dxa"/>
            <w:tcBorders>
              <w:top w:val="single" w:sz="6" w:space="0" w:color="auto"/>
            </w:tcBorders>
            <w:noWrap/>
            <w:hideMark/>
          </w:tcPr>
          <w:p w14:paraId="759DE660"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345.3</w:t>
            </w:r>
          </w:p>
        </w:tc>
        <w:tc>
          <w:tcPr>
            <w:tcW w:w="992" w:type="dxa"/>
            <w:tcBorders>
              <w:top w:val="single" w:sz="6" w:space="0" w:color="auto"/>
            </w:tcBorders>
            <w:noWrap/>
            <w:hideMark/>
          </w:tcPr>
          <w:p w14:paraId="459BDFA8"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340.9</w:t>
            </w:r>
          </w:p>
        </w:tc>
        <w:tc>
          <w:tcPr>
            <w:tcW w:w="992" w:type="dxa"/>
            <w:tcBorders>
              <w:top w:val="single" w:sz="6" w:space="0" w:color="auto"/>
            </w:tcBorders>
            <w:noWrap/>
            <w:hideMark/>
          </w:tcPr>
          <w:p w14:paraId="07E00C1F"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364.8</w:t>
            </w:r>
          </w:p>
        </w:tc>
      </w:tr>
      <w:tr w:rsidR="007E2DDC" w:rsidRPr="006E5ACF" w14:paraId="3A05938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0A758B0" w14:textId="77777777" w:rsidR="007E2DDC" w:rsidRPr="006E5ACF" w:rsidRDefault="007E2DDC">
            <w:pPr>
              <w:rPr>
                <w:b/>
                <w:bCs/>
                <w:lang w:eastAsia="en-AU"/>
              </w:rPr>
            </w:pPr>
            <w:r w:rsidRPr="006E5ACF">
              <w:rPr>
                <w:b/>
                <w:bCs/>
                <w:lang w:eastAsia="en-AU"/>
              </w:rPr>
              <w:t>Special appropriations</w:t>
            </w:r>
          </w:p>
        </w:tc>
        <w:tc>
          <w:tcPr>
            <w:tcW w:w="992" w:type="dxa"/>
            <w:noWrap/>
            <w:hideMark/>
          </w:tcPr>
          <w:p w14:paraId="7F020B09"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63.2</w:t>
            </w:r>
          </w:p>
        </w:tc>
        <w:tc>
          <w:tcPr>
            <w:tcW w:w="992" w:type="dxa"/>
            <w:noWrap/>
            <w:hideMark/>
          </w:tcPr>
          <w:p w14:paraId="0C6E53D4"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69.5</w:t>
            </w:r>
          </w:p>
        </w:tc>
        <w:tc>
          <w:tcPr>
            <w:tcW w:w="992" w:type="dxa"/>
            <w:noWrap/>
            <w:hideMark/>
          </w:tcPr>
          <w:p w14:paraId="7F92B3B8"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57.5</w:t>
            </w:r>
          </w:p>
        </w:tc>
      </w:tr>
      <w:tr w:rsidR="007E2DDC" w:rsidRPr="006E5ACF" w14:paraId="5A861D8D" w14:textId="77777777" w:rsidTr="006D6140">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02F97B49" w14:textId="77777777" w:rsidR="007E2DDC" w:rsidRPr="006E5ACF" w:rsidRDefault="007E2DDC">
            <w:pPr>
              <w:rPr>
                <w:b/>
                <w:bCs/>
                <w:lang w:eastAsia="en-AU"/>
              </w:rPr>
            </w:pPr>
            <w:r w:rsidRPr="006E5ACF">
              <w:rPr>
                <w:b/>
                <w:bCs/>
                <w:lang w:eastAsia="en-AU"/>
              </w:rPr>
              <w:t>Trust funds</w:t>
            </w:r>
          </w:p>
        </w:tc>
        <w:tc>
          <w:tcPr>
            <w:tcW w:w="992" w:type="dxa"/>
            <w:tcBorders>
              <w:bottom w:val="single" w:sz="6" w:space="0" w:color="auto"/>
            </w:tcBorders>
            <w:noWrap/>
            <w:hideMark/>
          </w:tcPr>
          <w:p w14:paraId="37FB5FCF"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w:t>
            </w:r>
          </w:p>
        </w:tc>
        <w:tc>
          <w:tcPr>
            <w:tcW w:w="992" w:type="dxa"/>
            <w:tcBorders>
              <w:bottom w:val="single" w:sz="6" w:space="0" w:color="auto"/>
            </w:tcBorders>
            <w:noWrap/>
            <w:hideMark/>
          </w:tcPr>
          <w:p w14:paraId="41975C32"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sidRPr="006E5ACF">
              <w:rPr>
                <w:b/>
                <w:bCs/>
                <w:lang w:eastAsia="en-AU"/>
              </w:rPr>
              <w:t>3.7</w:t>
            </w:r>
          </w:p>
        </w:tc>
        <w:tc>
          <w:tcPr>
            <w:tcW w:w="992" w:type="dxa"/>
            <w:tcBorders>
              <w:bottom w:val="single" w:sz="6" w:space="0" w:color="auto"/>
            </w:tcBorders>
            <w:noWrap/>
            <w:hideMark/>
          </w:tcPr>
          <w:p w14:paraId="66B8CC65" w14:textId="77777777" w:rsidR="007E2DDC" w:rsidRPr="006E5ACF" w:rsidRDefault="007E2DDC">
            <w:pPr>
              <w:cnfStyle w:val="000000000000" w:firstRow="0" w:lastRow="0" w:firstColumn="0" w:lastColumn="0" w:oddVBand="0" w:evenVBand="0" w:oddHBand="0" w:evenHBand="0" w:firstRowFirstColumn="0" w:firstRowLastColumn="0" w:lastRowFirstColumn="0" w:lastRowLastColumn="0"/>
              <w:rPr>
                <w:b/>
                <w:bCs/>
                <w:lang w:eastAsia="en-AU"/>
              </w:rPr>
            </w:pPr>
            <w:r>
              <w:rPr>
                <w:b/>
                <w:bCs/>
                <w:lang w:eastAsia="en-AU"/>
              </w:rPr>
              <w:t>..</w:t>
            </w:r>
          </w:p>
        </w:tc>
      </w:tr>
      <w:tr w:rsidR="007E2DDC" w:rsidRPr="006E5ACF" w14:paraId="4CB80DA4" w14:textId="77777777" w:rsidTr="006D6140">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66288269" w14:textId="77777777" w:rsidR="007E2DDC" w:rsidRPr="006E5ACF" w:rsidRDefault="007E2DDC">
            <w:pPr>
              <w:rPr>
                <w:lang w:eastAsia="en-AU"/>
              </w:rPr>
            </w:pPr>
            <w:r w:rsidRPr="006E5ACF">
              <w:rPr>
                <w:lang w:eastAsia="en-AU"/>
              </w:rPr>
              <w:t>Total parliamentary authority</w:t>
            </w:r>
          </w:p>
        </w:tc>
        <w:tc>
          <w:tcPr>
            <w:tcW w:w="992" w:type="dxa"/>
            <w:noWrap/>
            <w:hideMark/>
          </w:tcPr>
          <w:p w14:paraId="3B1FEE55" w14:textId="77777777" w:rsidR="007E2DDC" w:rsidRPr="006E5ACF" w:rsidRDefault="007E2DDC">
            <w:pPr>
              <w:cnfStyle w:val="010000000000" w:firstRow="0" w:lastRow="1" w:firstColumn="0" w:lastColumn="0" w:oddVBand="0" w:evenVBand="0" w:oddHBand="0" w:evenHBand="0" w:firstRowFirstColumn="0" w:firstRowLastColumn="0" w:lastRowFirstColumn="0" w:lastRowLastColumn="0"/>
              <w:rPr>
                <w:lang w:eastAsia="en-AU"/>
              </w:rPr>
            </w:pPr>
            <w:r w:rsidRPr="006E5ACF">
              <w:rPr>
                <w:lang w:eastAsia="en-AU"/>
              </w:rPr>
              <w:t>408.5</w:t>
            </w:r>
          </w:p>
        </w:tc>
        <w:tc>
          <w:tcPr>
            <w:tcW w:w="992" w:type="dxa"/>
            <w:noWrap/>
            <w:hideMark/>
          </w:tcPr>
          <w:p w14:paraId="5306F3D7" w14:textId="77777777" w:rsidR="007E2DDC" w:rsidRPr="006E5ACF" w:rsidRDefault="007E2DDC">
            <w:pPr>
              <w:cnfStyle w:val="010000000000" w:firstRow="0" w:lastRow="1" w:firstColumn="0" w:lastColumn="0" w:oddVBand="0" w:evenVBand="0" w:oddHBand="0" w:evenHBand="0" w:firstRowFirstColumn="0" w:firstRowLastColumn="0" w:lastRowFirstColumn="0" w:lastRowLastColumn="0"/>
              <w:rPr>
                <w:lang w:eastAsia="en-AU"/>
              </w:rPr>
            </w:pPr>
            <w:r w:rsidRPr="006E5ACF">
              <w:rPr>
                <w:lang w:eastAsia="en-AU"/>
              </w:rPr>
              <w:t>414.1</w:t>
            </w:r>
          </w:p>
        </w:tc>
        <w:tc>
          <w:tcPr>
            <w:tcW w:w="992" w:type="dxa"/>
            <w:noWrap/>
            <w:hideMark/>
          </w:tcPr>
          <w:p w14:paraId="4CC56B74" w14:textId="77777777" w:rsidR="007E2DDC" w:rsidRPr="006E5ACF" w:rsidRDefault="007E2DDC">
            <w:pPr>
              <w:cnfStyle w:val="010000000000" w:firstRow="0" w:lastRow="1" w:firstColumn="0" w:lastColumn="0" w:oddVBand="0" w:evenVBand="0" w:oddHBand="0" w:evenHBand="0" w:firstRowFirstColumn="0" w:firstRowLastColumn="0" w:lastRowFirstColumn="0" w:lastRowLastColumn="0"/>
              <w:rPr>
                <w:lang w:eastAsia="en-AU"/>
              </w:rPr>
            </w:pPr>
            <w:r w:rsidRPr="006E5ACF">
              <w:rPr>
                <w:lang w:eastAsia="en-AU"/>
              </w:rPr>
              <w:t>422.3</w:t>
            </w:r>
          </w:p>
        </w:tc>
      </w:tr>
    </w:tbl>
    <w:p w14:paraId="4BF037E0" w14:textId="137E4192" w:rsidR="007E2DDC" w:rsidRDefault="007E2DDC" w:rsidP="006D6140">
      <w:pPr>
        <w:pStyle w:val="Source"/>
        <w:ind w:left="567" w:hanging="567"/>
      </w:pPr>
      <w:r>
        <w:t xml:space="preserve">Sources: </w:t>
      </w:r>
      <w:r w:rsidR="006D6140">
        <w:tab/>
      </w:r>
      <w:r>
        <w:t>Parliament of Victoria, Parliamentary Budget Office, Victorian Auditor-General’s Office, Independent Broad-based Anti-corruption Commission, Integrity</w:t>
      </w:r>
      <w:r w:rsidR="006D6140">
        <w:t> </w:t>
      </w:r>
      <w:r>
        <w:t>Oversight Victoria, Victorian Ombudsman, and Parliamentary Workplace Standards and Integrity Commission.</w:t>
      </w:r>
    </w:p>
    <w:p w14:paraId="5EE5A0C5" w14:textId="77777777" w:rsidR="00824558" w:rsidRDefault="00824558">
      <w:pPr>
        <w:keepLines w:val="0"/>
        <w:rPr>
          <w:rFonts w:asciiTheme="majorHAnsi" w:eastAsiaTheme="majorEastAsia" w:hAnsiTheme="majorHAnsi" w:cstheme="majorBidi"/>
          <w:b/>
          <w:sz w:val="27"/>
          <w:szCs w:val="26"/>
        </w:rPr>
      </w:pPr>
      <w:r>
        <w:br w:type="page"/>
      </w:r>
    </w:p>
    <w:p w14:paraId="2E3EDC5C" w14:textId="4F874920" w:rsidR="00824558" w:rsidRDefault="00824558">
      <w:pPr>
        <w:pStyle w:val="Heading2"/>
      </w:pPr>
      <w:r>
        <w:t>Parliament</w:t>
      </w:r>
    </w:p>
    <w:p w14:paraId="3C98739D" w14:textId="501C8912" w:rsidR="00824558" w:rsidRDefault="00824558" w:rsidP="008227D5">
      <w:pPr>
        <w:pStyle w:val="Heading3"/>
        <w:spacing w:before="180"/>
      </w:pPr>
      <w:r>
        <w:t>Legislative Council</w:t>
      </w:r>
      <w:r>
        <w:tab/>
        <w:t>(2026-27: $26.</w:t>
      </w:r>
      <w:r w:rsidR="007E2DDC">
        <w:t>3</w:t>
      </w:r>
      <w:r>
        <w:t xml:space="preserve"> million)</w:t>
      </w:r>
    </w:p>
    <w:p w14:paraId="3F981EBC" w14:textId="77777777" w:rsidR="00824558" w:rsidRPr="0042226E" w:rsidRDefault="00824558">
      <w:pPr>
        <w:spacing w:after="120"/>
        <w:rPr>
          <w:rFonts w:cstheme="minorBidi"/>
          <w:color w:val="000000" w:themeColor="text1"/>
          <w:kern w:val="2"/>
          <w:szCs w:val="20"/>
          <w14:ligatures w14:val="standardContextual"/>
        </w:rPr>
      </w:pPr>
      <w:r w:rsidRPr="0042226E">
        <w:rPr>
          <w:rFonts w:cstheme="minorBidi"/>
          <w:color w:val="000000" w:themeColor="text1"/>
          <w:kern w:val="2"/>
          <w:szCs w:val="20"/>
          <w14:ligatures w14:val="standardContextual"/>
        </w:rPr>
        <w:t>This output involves the provision of procedural advice to Members of the Legislative Council including: processing of legislation; preparation of the records of the proceedings and documentation required for the sittings of the Council; providing assistance to Parliamentary Committees; providing information relating to the proceedings of the Council; and the enhancement of public awareness of Parliament.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10412A3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9DFDDD3" w14:textId="77777777" w:rsidR="00824558" w:rsidRDefault="00824558">
            <w:r>
              <w:t>Performance measure</w:t>
            </w:r>
          </w:p>
        </w:tc>
        <w:tc>
          <w:tcPr>
            <w:tcW w:w="964" w:type="dxa"/>
          </w:tcPr>
          <w:p w14:paraId="2C4DC517"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E8ECA3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6F1598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4057CC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1915A4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693DC4F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EFE34D6" w14:textId="77777777" w:rsidR="00824558" w:rsidRPr="009C0A3D" w:rsidRDefault="00824558">
            <w:pPr>
              <w:keepNext/>
              <w:rPr>
                <w:b/>
                <w:bCs/>
                <w:iCs/>
              </w:rPr>
            </w:pPr>
            <w:r w:rsidRPr="009C0A3D">
              <w:rPr>
                <w:b/>
                <w:bCs/>
                <w:iCs/>
              </w:rPr>
              <w:t>Quantity</w:t>
            </w:r>
          </w:p>
        </w:tc>
      </w:tr>
      <w:tr w:rsidR="00824558" w14:paraId="086652B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1B92B2B" w14:textId="77777777" w:rsidR="00824558" w:rsidRDefault="00824558">
            <w:pPr>
              <w:ind w:left="170"/>
            </w:pPr>
            <w:r>
              <w:t>Procedural References – updates published biannually</w:t>
            </w:r>
          </w:p>
        </w:tc>
        <w:tc>
          <w:tcPr>
            <w:tcW w:w="964" w:type="dxa"/>
            <w:tcBorders>
              <w:bottom w:val="single" w:sz="6" w:space="0" w:color="auto"/>
            </w:tcBorders>
          </w:tcPr>
          <w:p w14:paraId="37B9CD6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E0934B8"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72385AF2"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7705E986"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38DCC45F"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092773E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8121E2" w14:textId="77777777" w:rsidR="00824558" w:rsidRDefault="00824558">
            <w:pPr>
              <w:ind w:left="170"/>
              <w:rPr>
                <w:i/>
              </w:rPr>
            </w:pPr>
            <w:r>
              <w:t xml:space="preserve">Quarterly allowance reports published in accordance with </w:t>
            </w:r>
            <w:r w:rsidRPr="00B86E8B">
              <w:rPr>
                <w:i/>
              </w:rPr>
              <w:t>Victorian Independent Remuneration Tribunal and Improving Parliamentary Standards Act 2019</w:t>
            </w:r>
            <w:r>
              <w:rPr>
                <w:i/>
              </w:rPr>
              <w:t>.</w:t>
            </w:r>
          </w:p>
        </w:tc>
        <w:tc>
          <w:tcPr>
            <w:tcW w:w="964" w:type="dxa"/>
            <w:tcBorders>
              <w:bottom w:val="single" w:sz="6" w:space="0" w:color="auto"/>
            </w:tcBorders>
          </w:tcPr>
          <w:p w14:paraId="6CFDB34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5BD41611"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725F7180"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529227D8"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4C0F7C7C"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r>
      <w:tr w:rsidR="00824558" w:rsidRPr="009C0A3D" w14:paraId="3A56284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996D42A" w14:textId="77777777" w:rsidR="00824558" w:rsidRPr="009C0A3D" w:rsidRDefault="00824558">
            <w:pPr>
              <w:keepNext/>
              <w:rPr>
                <w:b/>
                <w:bCs/>
                <w:iCs/>
              </w:rPr>
            </w:pPr>
            <w:r w:rsidRPr="009C0A3D">
              <w:rPr>
                <w:b/>
                <w:bCs/>
                <w:iCs/>
              </w:rPr>
              <w:t>Quality</w:t>
            </w:r>
          </w:p>
        </w:tc>
      </w:tr>
      <w:tr w:rsidR="00824558" w14:paraId="0D83D54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653D72E" w14:textId="77777777" w:rsidR="00824558" w:rsidRDefault="00824558">
            <w:pPr>
              <w:ind w:left="170"/>
            </w:pPr>
            <w:r>
              <w:t>Bills and amendments processed accurately through all relevant stages and other business of the House conducted according to law, Standing and Sessional Orders</w:t>
            </w:r>
          </w:p>
        </w:tc>
        <w:tc>
          <w:tcPr>
            <w:tcW w:w="964" w:type="dxa"/>
            <w:tcBorders>
              <w:bottom w:val="single" w:sz="6" w:space="0" w:color="auto"/>
            </w:tcBorders>
          </w:tcPr>
          <w:p w14:paraId="2972B9B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4B1ED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9EBAA0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0E77D2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BBA19F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4F7182D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59AD560" w14:textId="77777777" w:rsidR="00824558" w:rsidRDefault="00824558">
            <w:pPr>
              <w:ind w:left="170"/>
            </w:pPr>
            <w:r>
              <w:t>Council standing committee members satisfied that advice about procedure, research and administration is responsive, clear, objective and prompt</w:t>
            </w:r>
          </w:p>
        </w:tc>
        <w:tc>
          <w:tcPr>
            <w:tcW w:w="964" w:type="dxa"/>
            <w:tcBorders>
              <w:bottom w:val="single" w:sz="6" w:space="0" w:color="auto"/>
            </w:tcBorders>
          </w:tcPr>
          <w:p w14:paraId="6FF874A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9A00E0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C46D09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3BE58C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78617FD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824558" w14:paraId="5942155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0B54D25" w14:textId="77777777" w:rsidR="00824558" w:rsidRDefault="00824558">
            <w:pPr>
              <w:ind w:left="170"/>
            </w:pPr>
            <w:r>
              <w:t>Member satisfaction with accuracy, clarity and timeliness of advice</w:t>
            </w:r>
          </w:p>
        </w:tc>
        <w:tc>
          <w:tcPr>
            <w:tcW w:w="964" w:type="dxa"/>
            <w:tcBorders>
              <w:bottom w:val="single" w:sz="6" w:space="0" w:color="auto"/>
            </w:tcBorders>
          </w:tcPr>
          <w:p w14:paraId="565D528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533762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247CA9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733232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FD92A8C"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rsidRPr="009C0A3D" w14:paraId="6314146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739E507" w14:textId="77777777" w:rsidR="00824558" w:rsidRPr="009C0A3D" w:rsidRDefault="00824558">
            <w:pPr>
              <w:keepNext/>
              <w:rPr>
                <w:b/>
                <w:bCs/>
                <w:iCs/>
              </w:rPr>
            </w:pPr>
            <w:r w:rsidRPr="009C0A3D">
              <w:rPr>
                <w:b/>
                <w:bCs/>
                <w:iCs/>
              </w:rPr>
              <w:t>Timeliness</w:t>
            </w:r>
          </w:p>
        </w:tc>
      </w:tr>
      <w:tr w:rsidR="00824558" w14:paraId="565A518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45EE173" w14:textId="77777777" w:rsidR="00824558" w:rsidRDefault="00824558">
            <w:pPr>
              <w:ind w:left="170"/>
            </w:pPr>
            <w:r>
              <w:t>Documents tabled within time guidelines</w:t>
            </w:r>
          </w:p>
        </w:tc>
        <w:tc>
          <w:tcPr>
            <w:tcW w:w="964" w:type="dxa"/>
            <w:tcBorders>
              <w:bottom w:val="single" w:sz="6" w:space="0" w:color="auto"/>
            </w:tcBorders>
          </w:tcPr>
          <w:p w14:paraId="16FBB7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1AFB86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D422CF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EC31E7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E74EAA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32CED1D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1F64124" w14:textId="77777777" w:rsidR="00824558" w:rsidRDefault="00824558">
            <w:pPr>
              <w:ind w:left="170"/>
            </w:pPr>
            <w:r>
              <w:t>House documents and other sitting related information available one day after sitting day</w:t>
            </w:r>
          </w:p>
        </w:tc>
        <w:tc>
          <w:tcPr>
            <w:tcW w:w="964" w:type="dxa"/>
            <w:tcBorders>
              <w:bottom w:val="single" w:sz="6" w:space="0" w:color="auto"/>
            </w:tcBorders>
          </w:tcPr>
          <w:p w14:paraId="3F2DFC8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23CFFC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92DA5D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73F676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66E5C1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79749F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355F562" w14:textId="77777777" w:rsidR="00824558" w:rsidRDefault="00824558">
            <w:pPr>
              <w:ind w:left="170"/>
            </w:pPr>
            <w:r>
              <w:t>Online information relating to bills updated within one day</w:t>
            </w:r>
          </w:p>
        </w:tc>
        <w:tc>
          <w:tcPr>
            <w:tcW w:w="964" w:type="dxa"/>
            <w:tcBorders>
              <w:bottom w:val="single" w:sz="6" w:space="0" w:color="auto"/>
            </w:tcBorders>
          </w:tcPr>
          <w:p w14:paraId="53B3923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AFDD54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6EBB13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AFACCE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2934A5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5D88289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1FD4D38" w14:textId="77777777" w:rsidR="00824558" w:rsidRPr="009C0A3D" w:rsidRDefault="00824558">
            <w:pPr>
              <w:keepNext/>
              <w:rPr>
                <w:b/>
                <w:bCs/>
                <w:iCs/>
              </w:rPr>
            </w:pPr>
            <w:r w:rsidRPr="009C0A3D">
              <w:rPr>
                <w:b/>
                <w:bCs/>
                <w:iCs/>
              </w:rPr>
              <w:t>Cost</w:t>
            </w:r>
          </w:p>
        </w:tc>
      </w:tr>
      <w:tr w:rsidR="00824558" w14:paraId="03FFCD77"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4B8950F7" w14:textId="77777777" w:rsidR="00824558" w:rsidRDefault="00824558">
            <w:pPr>
              <w:keepNext/>
              <w:ind w:left="170"/>
            </w:pPr>
            <w:r>
              <w:t>Total output cost</w:t>
            </w:r>
          </w:p>
        </w:tc>
        <w:tc>
          <w:tcPr>
            <w:tcW w:w="964" w:type="dxa"/>
          </w:tcPr>
          <w:p w14:paraId="6DF3EB1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18EEFFB" w14:textId="69D233A2" w:rsidR="00824558" w:rsidRDefault="00824558">
            <w:pPr>
              <w:cnfStyle w:val="000000000000" w:firstRow="0" w:lastRow="0" w:firstColumn="0" w:lastColumn="0" w:oddVBand="0" w:evenVBand="0" w:oddHBand="0" w:evenHBand="0" w:firstRowFirstColumn="0" w:firstRowLastColumn="0" w:lastRowFirstColumn="0" w:lastRowLastColumn="0"/>
            </w:pPr>
            <w:r>
              <w:t>26.</w:t>
            </w:r>
            <w:r w:rsidR="007E2DDC">
              <w:t>3</w:t>
            </w:r>
          </w:p>
        </w:tc>
        <w:tc>
          <w:tcPr>
            <w:tcW w:w="964" w:type="dxa"/>
          </w:tcPr>
          <w:p w14:paraId="23993831" w14:textId="77777777" w:rsidR="00824558" w:rsidRDefault="00824558">
            <w:pPr>
              <w:cnfStyle w:val="000000000000" w:firstRow="0" w:lastRow="0" w:firstColumn="0" w:lastColumn="0" w:oddVBand="0" w:evenVBand="0" w:oddHBand="0" w:evenHBand="0" w:firstRowFirstColumn="0" w:firstRowLastColumn="0" w:lastRowFirstColumn="0" w:lastRowLastColumn="0"/>
            </w:pPr>
            <w:r>
              <w:t>26.4</w:t>
            </w:r>
          </w:p>
        </w:tc>
        <w:tc>
          <w:tcPr>
            <w:tcW w:w="964" w:type="dxa"/>
          </w:tcPr>
          <w:p w14:paraId="480D78A2" w14:textId="77777777" w:rsidR="00824558" w:rsidRDefault="00824558">
            <w:pPr>
              <w:cnfStyle w:val="000000000000" w:firstRow="0" w:lastRow="0" w:firstColumn="0" w:lastColumn="0" w:oddVBand="0" w:evenVBand="0" w:oddHBand="0" w:evenHBand="0" w:firstRowFirstColumn="0" w:firstRowLastColumn="0" w:lastRowFirstColumn="0" w:lastRowLastColumn="0"/>
            </w:pPr>
            <w:r>
              <w:t>25.4</w:t>
            </w:r>
          </w:p>
        </w:tc>
        <w:tc>
          <w:tcPr>
            <w:tcW w:w="964" w:type="dxa"/>
          </w:tcPr>
          <w:p w14:paraId="47D9A79B" w14:textId="77777777" w:rsidR="00824558" w:rsidRDefault="00824558">
            <w:pPr>
              <w:cnfStyle w:val="000000000000" w:firstRow="0" w:lastRow="0" w:firstColumn="0" w:lastColumn="0" w:oddVBand="0" w:evenVBand="0" w:oddHBand="0" w:evenHBand="0" w:firstRowFirstColumn="0" w:firstRowLastColumn="0" w:lastRowFirstColumn="0" w:lastRowLastColumn="0"/>
            </w:pPr>
            <w:r>
              <w:t>23.6</w:t>
            </w:r>
          </w:p>
        </w:tc>
      </w:tr>
      <w:tr w:rsidR="00824558" w14:paraId="6BA3B0D3"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779EDC7" w14:textId="043DB981" w:rsidR="00824558" w:rsidRDefault="00824558">
            <w:pPr>
              <w:ind w:left="170"/>
            </w:pPr>
            <w:r>
              <w:rPr>
                <w:i/>
              </w:rPr>
              <w:t>The higher 2026-27 target reflects member remuneration under the Members of Parliament (Victoria) Annual Adjustment Determination 2025 issued by Victorian Independent Remuneration Tribunal, and the indexation of the 2025-26 target.</w:t>
            </w:r>
          </w:p>
        </w:tc>
      </w:tr>
    </w:tbl>
    <w:p w14:paraId="01C37E13" w14:textId="77777777" w:rsidR="00824558" w:rsidRDefault="00824558">
      <w:pPr>
        <w:pStyle w:val="Source"/>
      </w:pPr>
      <w:r>
        <w:t>Source: Parliament</w:t>
      </w:r>
    </w:p>
    <w:p w14:paraId="43C85646" w14:textId="1AAAB024" w:rsidR="00824558" w:rsidRDefault="00824558" w:rsidP="008227D5">
      <w:pPr>
        <w:pStyle w:val="Heading3"/>
        <w:spacing w:before="180"/>
      </w:pPr>
      <w:r>
        <w:t>Legislative Assembly</w:t>
      </w:r>
      <w:r>
        <w:tab/>
        <w:t>(2026-27: $50.</w:t>
      </w:r>
      <w:r w:rsidR="007B0F52">
        <w:t>8</w:t>
      </w:r>
      <w:r>
        <w:t xml:space="preserve"> million)</w:t>
      </w:r>
    </w:p>
    <w:p w14:paraId="77A29E2F" w14:textId="77777777" w:rsidR="00824558" w:rsidRPr="00AA68A2" w:rsidRDefault="00824558">
      <w:pPr>
        <w:keepNext/>
        <w:spacing w:after="120"/>
        <w:rPr>
          <w:rFonts w:cstheme="minorBidi"/>
          <w:color w:val="000000" w:themeColor="text1"/>
          <w:kern w:val="2"/>
          <w:szCs w:val="20"/>
          <w14:ligatures w14:val="standardContextual"/>
        </w:rPr>
      </w:pPr>
      <w:r w:rsidRPr="00AA68A2">
        <w:rPr>
          <w:rFonts w:cstheme="minorBidi"/>
          <w:color w:val="000000" w:themeColor="text1"/>
          <w:kern w:val="2"/>
          <w:szCs w:val="20"/>
          <w14:ligatures w14:val="standardContextual"/>
        </w:rPr>
        <w:t xml:space="preserve">This output involves the provision of procedural advice to Members of the Legislative Assembly including: processing legislation; preparing records of the proceedings and </w:t>
      </w:r>
      <w:r w:rsidRPr="00AA68A2">
        <w:rPr>
          <w:rFonts w:cstheme="minorBidi"/>
          <w:kern w:val="2"/>
          <w:szCs w:val="20"/>
          <w14:ligatures w14:val="standardContextual"/>
        </w:rPr>
        <w:t>documentation</w:t>
      </w:r>
      <w:r w:rsidRPr="00AA68A2">
        <w:rPr>
          <w:rFonts w:cstheme="minorBidi"/>
          <w:color w:val="000000" w:themeColor="text1"/>
          <w:kern w:val="2"/>
          <w:szCs w:val="20"/>
          <w14:ligatures w14:val="standardContextual"/>
        </w:rPr>
        <w:t xml:space="preserve"> required for the sittings of the Assembly; providing assistance to Parliamentary Committees; providing information relating to the proceedings of the Assembly; and the enhancement of public awareness of Parliament.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04029F5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49B715A" w14:textId="77777777" w:rsidR="00824558" w:rsidRDefault="00824558">
            <w:r>
              <w:t>Performance measure</w:t>
            </w:r>
          </w:p>
        </w:tc>
        <w:tc>
          <w:tcPr>
            <w:tcW w:w="964" w:type="dxa"/>
          </w:tcPr>
          <w:p w14:paraId="4A58625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BC1528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2873A3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8D0320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61C3AA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7CDDCC4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3A78673" w14:textId="77777777" w:rsidR="00824558" w:rsidRPr="009C0A3D" w:rsidRDefault="00824558">
            <w:pPr>
              <w:keepNext/>
              <w:rPr>
                <w:b/>
                <w:bCs/>
                <w:iCs/>
              </w:rPr>
            </w:pPr>
            <w:r w:rsidRPr="009C0A3D">
              <w:rPr>
                <w:b/>
                <w:bCs/>
                <w:iCs/>
              </w:rPr>
              <w:t>Quantity</w:t>
            </w:r>
          </w:p>
        </w:tc>
      </w:tr>
      <w:tr w:rsidR="00824558" w14:paraId="6B14598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F3C724" w14:textId="77777777" w:rsidR="00824558" w:rsidRDefault="00824558">
            <w:pPr>
              <w:ind w:left="170"/>
            </w:pPr>
            <w:r>
              <w:t>Procedural References – updates published biannually</w:t>
            </w:r>
          </w:p>
        </w:tc>
        <w:tc>
          <w:tcPr>
            <w:tcW w:w="964" w:type="dxa"/>
            <w:tcBorders>
              <w:bottom w:val="single" w:sz="6" w:space="0" w:color="auto"/>
            </w:tcBorders>
          </w:tcPr>
          <w:p w14:paraId="1A2BA53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76D1EF9"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5049E596"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3DF98EFF"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c>
          <w:tcPr>
            <w:tcW w:w="964" w:type="dxa"/>
            <w:tcBorders>
              <w:bottom w:val="single" w:sz="6" w:space="0" w:color="auto"/>
            </w:tcBorders>
          </w:tcPr>
          <w:p w14:paraId="29EFAEDF" w14:textId="77777777" w:rsidR="00824558" w:rsidRDefault="00824558">
            <w:pPr>
              <w:cnfStyle w:val="000000000000" w:firstRow="0" w:lastRow="0" w:firstColumn="0" w:lastColumn="0" w:oddVBand="0" w:evenVBand="0" w:oddHBand="0" w:evenHBand="0" w:firstRowFirstColumn="0" w:firstRowLastColumn="0" w:lastRowFirstColumn="0" w:lastRowLastColumn="0"/>
            </w:pPr>
            <w:r>
              <w:t>2</w:t>
            </w:r>
          </w:p>
        </w:tc>
      </w:tr>
      <w:tr w:rsidR="00824558" w14:paraId="19AE336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6BAA86C" w14:textId="77777777" w:rsidR="00824558" w:rsidRDefault="00824558">
            <w:pPr>
              <w:ind w:left="170"/>
              <w:rPr>
                <w:i/>
              </w:rPr>
            </w:pPr>
            <w:r>
              <w:t xml:space="preserve">Quarterly allowance reports published in accordance with </w:t>
            </w:r>
            <w:r w:rsidRPr="00B86E8B">
              <w:rPr>
                <w:i/>
              </w:rPr>
              <w:t>Victorian Independent Remuneration Tribunal and Improving Parliamentary Standards Act 2019</w:t>
            </w:r>
          </w:p>
        </w:tc>
        <w:tc>
          <w:tcPr>
            <w:tcW w:w="964" w:type="dxa"/>
            <w:tcBorders>
              <w:bottom w:val="single" w:sz="6" w:space="0" w:color="auto"/>
            </w:tcBorders>
          </w:tcPr>
          <w:p w14:paraId="41DBE2C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2B976780"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6A6A5B5C"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0D3FCBAA"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6374FA2B"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r>
      <w:tr w:rsidR="00824558" w14:paraId="3A40EC8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AF743A5" w14:textId="77777777" w:rsidR="00824558" w:rsidRDefault="00824558">
            <w:pPr>
              <w:ind w:left="170"/>
            </w:pPr>
            <w:r>
              <w:t>Regional visits to schools to conduct Parliamentary role plays</w:t>
            </w:r>
          </w:p>
        </w:tc>
        <w:tc>
          <w:tcPr>
            <w:tcW w:w="964" w:type="dxa"/>
            <w:tcBorders>
              <w:bottom w:val="single" w:sz="6" w:space="0" w:color="auto"/>
            </w:tcBorders>
          </w:tcPr>
          <w:p w14:paraId="0AEAFE7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431CA50"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352B5527"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5A6E76D5"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5AD1B606"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r>
      <w:tr w:rsidR="00824558" w:rsidRPr="009C0A3D" w14:paraId="46C3CE9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7BFDE66" w14:textId="77777777" w:rsidR="00824558" w:rsidRPr="009C0A3D" w:rsidRDefault="00824558">
            <w:pPr>
              <w:keepNext/>
              <w:rPr>
                <w:b/>
                <w:bCs/>
                <w:iCs/>
              </w:rPr>
            </w:pPr>
            <w:r w:rsidRPr="009C0A3D">
              <w:rPr>
                <w:b/>
                <w:bCs/>
                <w:iCs/>
              </w:rPr>
              <w:t>Quality</w:t>
            </w:r>
          </w:p>
        </w:tc>
      </w:tr>
      <w:tr w:rsidR="00824558" w14:paraId="696C133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D94108" w14:textId="77777777" w:rsidR="00824558" w:rsidRDefault="00824558">
            <w:pPr>
              <w:ind w:left="170"/>
            </w:pPr>
            <w:r>
              <w:t>Assembly standing committee members satisfied that advice about procedure, research and administration is responsive, clear, objective and prompt</w:t>
            </w:r>
          </w:p>
        </w:tc>
        <w:tc>
          <w:tcPr>
            <w:tcW w:w="964" w:type="dxa"/>
            <w:tcBorders>
              <w:bottom w:val="single" w:sz="6" w:space="0" w:color="auto"/>
            </w:tcBorders>
          </w:tcPr>
          <w:p w14:paraId="09A0C95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859DF7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ADF64B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726F9F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D50A23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29ACFCB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22ADD47" w14:textId="77777777" w:rsidR="00824558" w:rsidRDefault="00824558">
            <w:pPr>
              <w:ind w:left="170"/>
            </w:pPr>
            <w:r>
              <w:t>Bills and amendments processed accurately through all relevant stages in compliance with constitutional requirements and standing orders</w:t>
            </w:r>
          </w:p>
        </w:tc>
        <w:tc>
          <w:tcPr>
            <w:tcW w:w="964" w:type="dxa"/>
            <w:tcBorders>
              <w:bottom w:val="single" w:sz="6" w:space="0" w:color="auto"/>
            </w:tcBorders>
          </w:tcPr>
          <w:p w14:paraId="7177EFF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13EBF3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F3A4FA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B0EE67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5ABC4E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B135D8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683140" w14:textId="77777777" w:rsidR="00824558" w:rsidRDefault="00824558">
            <w:pPr>
              <w:ind w:left="170"/>
            </w:pPr>
            <w:r>
              <w:t>Member satisfaction that advice is responsive, prompt, clear and objective</w:t>
            </w:r>
          </w:p>
        </w:tc>
        <w:tc>
          <w:tcPr>
            <w:tcW w:w="964" w:type="dxa"/>
            <w:tcBorders>
              <w:bottom w:val="single" w:sz="6" w:space="0" w:color="auto"/>
            </w:tcBorders>
          </w:tcPr>
          <w:p w14:paraId="7436619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4B4CC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4CE380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64933E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159BF7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8A7EEF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0F7ABFB" w14:textId="77777777" w:rsidR="00824558" w:rsidRDefault="00824558">
            <w:pPr>
              <w:ind w:left="170"/>
            </w:pPr>
            <w:r>
              <w:t>Teacher satisfaction with school tours and outreach programs</w:t>
            </w:r>
          </w:p>
        </w:tc>
        <w:tc>
          <w:tcPr>
            <w:tcW w:w="964" w:type="dxa"/>
            <w:tcBorders>
              <w:bottom w:val="single" w:sz="6" w:space="0" w:color="auto"/>
            </w:tcBorders>
          </w:tcPr>
          <w:p w14:paraId="188D9A8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B6DAE1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9BC970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2FAA5E3"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4BAADB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1F85DD4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D86981A" w14:textId="77777777" w:rsidR="00824558" w:rsidRPr="009C0A3D" w:rsidRDefault="00824558">
            <w:pPr>
              <w:keepNext/>
              <w:rPr>
                <w:b/>
                <w:bCs/>
                <w:iCs/>
              </w:rPr>
            </w:pPr>
            <w:r w:rsidRPr="009C0A3D">
              <w:rPr>
                <w:b/>
                <w:bCs/>
                <w:iCs/>
              </w:rPr>
              <w:t>Timeliness</w:t>
            </w:r>
          </w:p>
        </w:tc>
      </w:tr>
      <w:tr w:rsidR="00824558" w14:paraId="6F0B980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D870A11" w14:textId="77777777" w:rsidR="00824558" w:rsidRDefault="00824558">
            <w:pPr>
              <w:ind w:left="170"/>
            </w:pPr>
            <w:r>
              <w:t>Documents tabled within time guidelines</w:t>
            </w:r>
          </w:p>
        </w:tc>
        <w:tc>
          <w:tcPr>
            <w:tcW w:w="964" w:type="dxa"/>
            <w:tcBorders>
              <w:bottom w:val="single" w:sz="6" w:space="0" w:color="auto"/>
            </w:tcBorders>
          </w:tcPr>
          <w:p w14:paraId="709A122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1B661D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2CD3631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48C82B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D7F131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15325B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AD3C2AC" w14:textId="77777777" w:rsidR="00824558" w:rsidRDefault="00824558">
            <w:pPr>
              <w:ind w:left="170"/>
            </w:pPr>
            <w:r>
              <w:t>House documents available one day after sitting day</w:t>
            </w:r>
          </w:p>
        </w:tc>
        <w:tc>
          <w:tcPr>
            <w:tcW w:w="964" w:type="dxa"/>
            <w:tcBorders>
              <w:bottom w:val="single" w:sz="6" w:space="0" w:color="auto"/>
            </w:tcBorders>
          </w:tcPr>
          <w:p w14:paraId="18E005A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545578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03B553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6F411F4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058FF9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0A0FEC7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DDBBF97" w14:textId="77777777" w:rsidR="00824558" w:rsidRDefault="00824558">
            <w:pPr>
              <w:ind w:left="170"/>
            </w:pPr>
            <w:r>
              <w:t>Online information relating to bills updated within one day</w:t>
            </w:r>
          </w:p>
        </w:tc>
        <w:tc>
          <w:tcPr>
            <w:tcW w:w="964" w:type="dxa"/>
            <w:tcBorders>
              <w:bottom w:val="single" w:sz="6" w:space="0" w:color="auto"/>
            </w:tcBorders>
          </w:tcPr>
          <w:p w14:paraId="0251EE5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C30EAA1"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BA5DB5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4DD441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78A273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338E661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FEF1F3F" w14:textId="77777777" w:rsidR="00824558" w:rsidRPr="009C0A3D" w:rsidRDefault="00824558">
            <w:pPr>
              <w:keepNext/>
              <w:rPr>
                <w:b/>
                <w:bCs/>
                <w:iCs/>
              </w:rPr>
            </w:pPr>
            <w:r w:rsidRPr="009C0A3D">
              <w:rPr>
                <w:b/>
                <w:bCs/>
                <w:iCs/>
              </w:rPr>
              <w:t>Cost</w:t>
            </w:r>
          </w:p>
        </w:tc>
      </w:tr>
      <w:tr w:rsidR="00824558" w14:paraId="7A86B31F"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78EF4EA7" w14:textId="77777777" w:rsidR="00824558" w:rsidRDefault="00824558">
            <w:pPr>
              <w:keepNext/>
              <w:ind w:left="170"/>
            </w:pPr>
            <w:r>
              <w:t>Total output cost</w:t>
            </w:r>
          </w:p>
        </w:tc>
        <w:tc>
          <w:tcPr>
            <w:tcW w:w="964" w:type="dxa"/>
          </w:tcPr>
          <w:p w14:paraId="0FA955C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6E4B94F8" w14:textId="22F59C49" w:rsidR="00824558" w:rsidRDefault="00824558">
            <w:pPr>
              <w:cnfStyle w:val="000000000000" w:firstRow="0" w:lastRow="0" w:firstColumn="0" w:lastColumn="0" w:oddVBand="0" w:evenVBand="0" w:oddHBand="0" w:evenHBand="0" w:firstRowFirstColumn="0" w:firstRowLastColumn="0" w:lastRowFirstColumn="0" w:lastRowLastColumn="0"/>
            </w:pPr>
            <w:r>
              <w:t>50.</w:t>
            </w:r>
            <w:r w:rsidR="007B0F52">
              <w:t>8</w:t>
            </w:r>
          </w:p>
        </w:tc>
        <w:tc>
          <w:tcPr>
            <w:tcW w:w="964" w:type="dxa"/>
          </w:tcPr>
          <w:p w14:paraId="649ECF59" w14:textId="77777777" w:rsidR="00824558" w:rsidRDefault="00824558">
            <w:pPr>
              <w:cnfStyle w:val="000000000000" w:firstRow="0" w:lastRow="0" w:firstColumn="0" w:lastColumn="0" w:oddVBand="0" w:evenVBand="0" w:oddHBand="0" w:evenHBand="0" w:firstRowFirstColumn="0" w:firstRowLastColumn="0" w:lastRowFirstColumn="0" w:lastRowLastColumn="0"/>
            </w:pPr>
            <w:r>
              <w:t>50.5</w:t>
            </w:r>
          </w:p>
        </w:tc>
        <w:tc>
          <w:tcPr>
            <w:tcW w:w="964" w:type="dxa"/>
          </w:tcPr>
          <w:p w14:paraId="3B8580D8" w14:textId="77777777" w:rsidR="00824558" w:rsidRDefault="00824558">
            <w:pPr>
              <w:cnfStyle w:val="000000000000" w:firstRow="0" w:lastRow="0" w:firstColumn="0" w:lastColumn="0" w:oddVBand="0" w:evenVBand="0" w:oddHBand="0" w:evenHBand="0" w:firstRowFirstColumn="0" w:firstRowLastColumn="0" w:lastRowFirstColumn="0" w:lastRowLastColumn="0"/>
            </w:pPr>
            <w:r>
              <w:t>49.2</w:t>
            </w:r>
          </w:p>
        </w:tc>
        <w:tc>
          <w:tcPr>
            <w:tcW w:w="964" w:type="dxa"/>
          </w:tcPr>
          <w:p w14:paraId="0BACAD72" w14:textId="77777777" w:rsidR="00824558" w:rsidRDefault="00824558">
            <w:pPr>
              <w:cnfStyle w:val="000000000000" w:firstRow="0" w:lastRow="0" w:firstColumn="0" w:lastColumn="0" w:oddVBand="0" w:evenVBand="0" w:oddHBand="0" w:evenHBand="0" w:firstRowFirstColumn="0" w:firstRowLastColumn="0" w:lastRowFirstColumn="0" w:lastRowLastColumn="0"/>
            </w:pPr>
            <w:r>
              <w:t>44.7</w:t>
            </w:r>
          </w:p>
        </w:tc>
      </w:tr>
      <w:tr w:rsidR="00824558" w14:paraId="3F6E1FBE"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C929BC2" w14:textId="27527D54" w:rsidR="00824558" w:rsidRDefault="009E0798">
            <w:pPr>
              <w:ind w:left="170"/>
            </w:pPr>
            <w:r>
              <w:rPr>
                <w:i/>
              </w:rPr>
              <w:t>The higher 2026-27 target reflects member remuneration under the Members of Parliament (Victoria) Annual Adjustment Determination 2025 issued by Victorian Independent Remuneration Tribunal, and the indexation of the 2025-26 target.</w:t>
            </w:r>
          </w:p>
        </w:tc>
      </w:tr>
    </w:tbl>
    <w:p w14:paraId="7EC493B0" w14:textId="77777777" w:rsidR="00824558" w:rsidRDefault="00824558">
      <w:pPr>
        <w:pStyle w:val="Source"/>
      </w:pPr>
      <w:r>
        <w:t>Source: Parliament</w:t>
      </w:r>
    </w:p>
    <w:p w14:paraId="5662B4B5" w14:textId="60C3BC78" w:rsidR="00824558" w:rsidRDefault="00824558">
      <w:pPr>
        <w:pStyle w:val="Heading3"/>
      </w:pPr>
      <w:r>
        <w:t>Parliamentary Investigatory Committees</w:t>
      </w:r>
      <w:r>
        <w:tab/>
        <w:t>(2026-27: $6.</w:t>
      </w:r>
      <w:r w:rsidR="009E0798">
        <w:t>6</w:t>
      </w:r>
      <w:r>
        <w:t xml:space="preserve"> million)</w:t>
      </w:r>
    </w:p>
    <w:p w14:paraId="23BB61A4" w14:textId="77777777" w:rsidR="00824558" w:rsidRPr="002A736F" w:rsidRDefault="00824558">
      <w:pPr>
        <w:spacing w:after="120"/>
        <w:rPr>
          <w:rFonts w:cstheme="minorBidi"/>
          <w:color w:val="000000" w:themeColor="text1"/>
          <w:kern w:val="2"/>
          <w:szCs w:val="20"/>
          <w14:ligatures w14:val="standardContextual"/>
        </w:rPr>
      </w:pPr>
      <w:r w:rsidRPr="002A736F">
        <w:rPr>
          <w:rFonts w:cstheme="minorBidi"/>
          <w:color w:val="000000" w:themeColor="text1"/>
          <w:kern w:val="2"/>
          <w:szCs w:val="20"/>
          <w14:ligatures w14:val="standardContextual"/>
        </w:rPr>
        <w:t xml:space="preserve">Joint Investigatory </w:t>
      </w:r>
      <w:r w:rsidRPr="002A736F">
        <w:rPr>
          <w:rFonts w:cstheme="minorBidi"/>
          <w:kern w:val="2"/>
          <w:szCs w:val="20"/>
          <w14:ligatures w14:val="standardContextual"/>
        </w:rPr>
        <w:t>Committees</w:t>
      </w:r>
      <w:r w:rsidRPr="002A736F">
        <w:rPr>
          <w:rFonts w:cstheme="minorBidi"/>
          <w:color w:val="000000" w:themeColor="text1"/>
          <w:kern w:val="2"/>
          <w:szCs w:val="20"/>
          <w14:ligatures w14:val="standardContextual"/>
        </w:rPr>
        <w:t xml:space="preserve"> are appointed pursuant to the </w:t>
      </w:r>
      <w:r w:rsidRPr="002A736F">
        <w:rPr>
          <w:rFonts w:cstheme="minorBidi"/>
          <w:i/>
          <w:iCs/>
          <w:color w:val="000000" w:themeColor="text1"/>
          <w:kern w:val="2"/>
          <w:szCs w:val="20"/>
          <w14:ligatures w14:val="standardContextual"/>
        </w:rPr>
        <w:t>Parliamentary Committees Act 2003</w:t>
      </w:r>
      <w:r w:rsidRPr="002A736F">
        <w:rPr>
          <w:rFonts w:cstheme="minorBidi"/>
          <w:color w:val="000000" w:themeColor="text1"/>
          <w:kern w:val="2"/>
          <w:szCs w:val="20"/>
          <w14:ligatures w14:val="standardContextual"/>
        </w:rPr>
        <w:t xml:space="preserve"> to inquire into and report on matters referred by either House or the Governor in Council, or which may be self-generated by a committee.</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137F3CBA" w14:textId="77777777" w:rsidTr="009E07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69D9AE8" w14:textId="77777777" w:rsidR="00824558" w:rsidRDefault="00824558">
            <w:r>
              <w:t>Performance measure</w:t>
            </w:r>
          </w:p>
        </w:tc>
        <w:tc>
          <w:tcPr>
            <w:tcW w:w="964" w:type="dxa"/>
          </w:tcPr>
          <w:p w14:paraId="474C975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055BA8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53E14DB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56F57A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B83346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00126992" w14:textId="77777777" w:rsidTr="009E0798">
        <w:tc>
          <w:tcPr>
            <w:cnfStyle w:val="001000000000" w:firstRow="0" w:lastRow="0" w:firstColumn="1" w:lastColumn="0" w:oddVBand="0" w:evenVBand="0" w:oddHBand="0" w:evenHBand="0" w:firstRowFirstColumn="0" w:firstRowLastColumn="0" w:lastRowFirstColumn="0" w:lastRowLastColumn="0"/>
            <w:tcW w:w="9639" w:type="dxa"/>
            <w:gridSpan w:val="6"/>
          </w:tcPr>
          <w:p w14:paraId="13495A1B" w14:textId="77777777" w:rsidR="00824558" w:rsidRPr="009C0A3D" w:rsidRDefault="00824558">
            <w:pPr>
              <w:keepNext/>
              <w:rPr>
                <w:b/>
                <w:bCs/>
                <w:iCs/>
              </w:rPr>
            </w:pPr>
            <w:r w:rsidRPr="009C0A3D">
              <w:rPr>
                <w:b/>
                <w:bCs/>
                <w:iCs/>
              </w:rPr>
              <w:t>Quantity</w:t>
            </w:r>
          </w:p>
        </w:tc>
      </w:tr>
      <w:tr w:rsidR="00824558" w14:paraId="64F38978" w14:textId="77777777" w:rsidTr="009E0798">
        <w:tc>
          <w:tcPr>
            <w:cnfStyle w:val="001000000000" w:firstRow="0" w:lastRow="0" w:firstColumn="1" w:lastColumn="0" w:oddVBand="0" w:evenVBand="0" w:oddHBand="0" w:evenHBand="0" w:firstRowFirstColumn="0" w:firstRowLastColumn="0" w:lastRowFirstColumn="0" w:lastRowLastColumn="0"/>
            <w:tcW w:w="4819" w:type="dxa"/>
          </w:tcPr>
          <w:p w14:paraId="5D68BC83" w14:textId="77777777" w:rsidR="00824558" w:rsidRDefault="00824558">
            <w:pPr>
              <w:keepNext/>
              <w:ind w:left="170"/>
            </w:pPr>
            <w:r>
              <w:t>Reports tabled per annum</w:t>
            </w:r>
          </w:p>
        </w:tc>
        <w:tc>
          <w:tcPr>
            <w:tcW w:w="964" w:type="dxa"/>
          </w:tcPr>
          <w:p w14:paraId="1614C97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68142C7"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17EBABC1"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4728CE53" w14:textId="77777777" w:rsidR="00824558" w:rsidRDefault="00824558">
            <w:pPr>
              <w:cnfStyle w:val="000000000000" w:firstRow="0" w:lastRow="0" w:firstColumn="0" w:lastColumn="0" w:oddVBand="0" w:evenVBand="0" w:oddHBand="0" w:evenHBand="0" w:firstRowFirstColumn="0" w:firstRowLastColumn="0" w:lastRowFirstColumn="0" w:lastRowLastColumn="0"/>
            </w:pPr>
            <w:r>
              <w:t>20</w:t>
            </w:r>
          </w:p>
        </w:tc>
        <w:tc>
          <w:tcPr>
            <w:tcW w:w="964" w:type="dxa"/>
          </w:tcPr>
          <w:p w14:paraId="03801D5F" w14:textId="77777777" w:rsidR="00824558" w:rsidRDefault="00824558">
            <w:pPr>
              <w:cnfStyle w:val="000000000000" w:firstRow="0" w:lastRow="0" w:firstColumn="0" w:lastColumn="0" w:oddVBand="0" w:evenVBand="0" w:oddHBand="0" w:evenHBand="0" w:firstRowFirstColumn="0" w:firstRowLastColumn="0" w:lastRowFirstColumn="0" w:lastRowLastColumn="0"/>
            </w:pPr>
            <w:r>
              <w:t>22</w:t>
            </w:r>
          </w:p>
        </w:tc>
      </w:tr>
      <w:tr w:rsidR="00824558" w14:paraId="53975477" w14:textId="77777777" w:rsidTr="009E0798">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DEDB721" w14:textId="558C84EE" w:rsidR="00824558" w:rsidRDefault="00824558">
            <w:pPr>
              <w:ind w:left="170"/>
              <w:rPr>
                <w:i/>
              </w:rPr>
            </w:pPr>
            <w:r>
              <w:rPr>
                <w:i/>
              </w:rPr>
              <w:t xml:space="preserve">The 2026-27 target has been reduced as the number of committee inquiries completed in 2026-27 will be lower because the Parliament expires in the lead-up to </w:t>
            </w:r>
            <w:r w:rsidR="00F90E2F">
              <w:rPr>
                <w:i/>
              </w:rPr>
              <w:t xml:space="preserve">2026 </w:t>
            </w:r>
            <w:r>
              <w:rPr>
                <w:i/>
              </w:rPr>
              <w:t xml:space="preserve">State </w:t>
            </w:r>
            <w:r w:rsidR="00F90E2F">
              <w:rPr>
                <w:i/>
              </w:rPr>
              <w:t>E</w:t>
            </w:r>
            <w:r>
              <w:rPr>
                <w:i/>
              </w:rPr>
              <w:t>lection in November. After the election, it is customary for there to be a delay in re-establishing committees and starting new inquiries.</w:t>
            </w:r>
          </w:p>
        </w:tc>
      </w:tr>
      <w:tr w:rsidR="00824558" w:rsidRPr="009C0A3D" w14:paraId="0923D54D" w14:textId="77777777" w:rsidTr="009E0798">
        <w:tc>
          <w:tcPr>
            <w:cnfStyle w:val="001000000000" w:firstRow="0" w:lastRow="0" w:firstColumn="1" w:lastColumn="0" w:oddVBand="0" w:evenVBand="0" w:oddHBand="0" w:evenHBand="0" w:firstRowFirstColumn="0" w:firstRowLastColumn="0" w:lastRowFirstColumn="0" w:lastRowLastColumn="0"/>
            <w:tcW w:w="9639" w:type="dxa"/>
            <w:gridSpan w:val="6"/>
          </w:tcPr>
          <w:p w14:paraId="6F902D39" w14:textId="77777777" w:rsidR="00824558" w:rsidRPr="009C0A3D" w:rsidRDefault="00824558">
            <w:pPr>
              <w:keepNext/>
              <w:rPr>
                <w:b/>
                <w:bCs/>
                <w:iCs/>
              </w:rPr>
            </w:pPr>
            <w:r w:rsidRPr="009C0A3D">
              <w:rPr>
                <w:b/>
                <w:bCs/>
                <w:iCs/>
              </w:rPr>
              <w:t>Quality</w:t>
            </w:r>
          </w:p>
        </w:tc>
      </w:tr>
      <w:tr w:rsidR="00824558" w14:paraId="45C60E84" w14:textId="77777777" w:rsidTr="009E079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BAAC89" w14:textId="77777777" w:rsidR="00824558" w:rsidRDefault="00824558">
            <w:pPr>
              <w:ind w:left="170"/>
            </w:pPr>
            <w:r>
              <w:t>Committee members satisfied that advice about procedure, research and administration is responsive, clear, objective and prompt</w:t>
            </w:r>
          </w:p>
        </w:tc>
        <w:tc>
          <w:tcPr>
            <w:tcW w:w="964" w:type="dxa"/>
            <w:tcBorders>
              <w:bottom w:val="single" w:sz="6" w:space="0" w:color="auto"/>
            </w:tcBorders>
          </w:tcPr>
          <w:p w14:paraId="1A79DB2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FD89F9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47011F7"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A6E18F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CC03BE2"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34BF8952" w14:textId="77777777" w:rsidTr="009E079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A27A762" w14:textId="77777777" w:rsidR="00824558" w:rsidRDefault="00824558">
            <w:pPr>
              <w:ind w:left="170"/>
            </w:pPr>
            <w:r>
              <w:t>Inquiries conducted and reports produced in compliance with procedural and legislative requirements</w:t>
            </w:r>
          </w:p>
        </w:tc>
        <w:tc>
          <w:tcPr>
            <w:tcW w:w="964" w:type="dxa"/>
            <w:tcBorders>
              <w:bottom w:val="single" w:sz="6" w:space="0" w:color="auto"/>
            </w:tcBorders>
          </w:tcPr>
          <w:p w14:paraId="3E4D34B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2ED243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E92CE2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0FBCA9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698F36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35797742" w14:textId="77777777" w:rsidTr="009E0798">
        <w:tc>
          <w:tcPr>
            <w:cnfStyle w:val="001000000000" w:firstRow="0" w:lastRow="0" w:firstColumn="1" w:lastColumn="0" w:oddVBand="0" w:evenVBand="0" w:oddHBand="0" w:evenHBand="0" w:firstRowFirstColumn="0" w:firstRowLastColumn="0" w:lastRowFirstColumn="0" w:lastRowLastColumn="0"/>
            <w:tcW w:w="9639" w:type="dxa"/>
            <w:gridSpan w:val="6"/>
          </w:tcPr>
          <w:p w14:paraId="3303D7C5" w14:textId="77777777" w:rsidR="00824558" w:rsidRPr="009C0A3D" w:rsidRDefault="00824558">
            <w:pPr>
              <w:keepNext/>
              <w:rPr>
                <w:b/>
                <w:bCs/>
                <w:iCs/>
              </w:rPr>
            </w:pPr>
            <w:r w:rsidRPr="009C0A3D">
              <w:rPr>
                <w:b/>
                <w:bCs/>
                <w:iCs/>
              </w:rPr>
              <w:t>Timeliness</w:t>
            </w:r>
          </w:p>
        </w:tc>
      </w:tr>
      <w:tr w:rsidR="00824558" w14:paraId="488D6977" w14:textId="77777777" w:rsidTr="009E0798">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FE0FEE3" w14:textId="77777777" w:rsidR="00824558" w:rsidRDefault="00824558">
            <w:pPr>
              <w:ind w:left="170"/>
            </w:pPr>
            <w:r>
              <w:t>Reports tabled in compliance with procedural and legislative deadlines</w:t>
            </w:r>
          </w:p>
        </w:tc>
        <w:tc>
          <w:tcPr>
            <w:tcW w:w="964" w:type="dxa"/>
            <w:tcBorders>
              <w:bottom w:val="single" w:sz="6" w:space="0" w:color="auto"/>
            </w:tcBorders>
          </w:tcPr>
          <w:p w14:paraId="459F111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260B71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35DC01B"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E9FAD3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EC50CE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rsidRPr="009C0A3D" w14:paraId="36097BBD" w14:textId="77777777" w:rsidTr="009E0798">
        <w:tc>
          <w:tcPr>
            <w:cnfStyle w:val="001000000000" w:firstRow="0" w:lastRow="0" w:firstColumn="1" w:lastColumn="0" w:oddVBand="0" w:evenVBand="0" w:oddHBand="0" w:evenHBand="0" w:firstRowFirstColumn="0" w:firstRowLastColumn="0" w:lastRowFirstColumn="0" w:lastRowLastColumn="0"/>
            <w:tcW w:w="9639" w:type="dxa"/>
            <w:gridSpan w:val="6"/>
          </w:tcPr>
          <w:p w14:paraId="7413C8C1" w14:textId="77777777" w:rsidR="00824558" w:rsidRPr="009C0A3D" w:rsidRDefault="00824558">
            <w:pPr>
              <w:keepNext/>
              <w:rPr>
                <w:b/>
                <w:bCs/>
                <w:iCs/>
              </w:rPr>
            </w:pPr>
            <w:r w:rsidRPr="009C0A3D">
              <w:rPr>
                <w:b/>
                <w:bCs/>
                <w:iCs/>
              </w:rPr>
              <w:t>Cost</w:t>
            </w:r>
          </w:p>
        </w:tc>
      </w:tr>
      <w:tr w:rsidR="00824558" w14:paraId="2DFD886E" w14:textId="77777777" w:rsidTr="009E0798">
        <w:tc>
          <w:tcPr>
            <w:cnfStyle w:val="001000000000" w:firstRow="0" w:lastRow="0" w:firstColumn="1" w:lastColumn="0" w:oddVBand="0" w:evenVBand="0" w:oddHBand="0" w:evenHBand="0" w:firstRowFirstColumn="0" w:firstRowLastColumn="0" w:lastRowFirstColumn="0" w:lastRowLastColumn="0"/>
            <w:tcW w:w="4819" w:type="dxa"/>
          </w:tcPr>
          <w:p w14:paraId="24DCE398" w14:textId="77777777" w:rsidR="00824558" w:rsidRDefault="00824558">
            <w:pPr>
              <w:ind w:left="170"/>
            </w:pPr>
            <w:r>
              <w:t>Total output cost</w:t>
            </w:r>
          </w:p>
        </w:tc>
        <w:tc>
          <w:tcPr>
            <w:tcW w:w="964" w:type="dxa"/>
          </w:tcPr>
          <w:p w14:paraId="4914013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F7F1091" w14:textId="205C8C5A" w:rsidR="00824558" w:rsidRDefault="00824558">
            <w:pPr>
              <w:cnfStyle w:val="000000000000" w:firstRow="0" w:lastRow="0" w:firstColumn="0" w:lastColumn="0" w:oddVBand="0" w:evenVBand="0" w:oddHBand="0" w:evenHBand="0" w:firstRowFirstColumn="0" w:firstRowLastColumn="0" w:lastRowFirstColumn="0" w:lastRowLastColumn="0"/>
            </w:pPr>
            <w:r>
              <w:t>6.</w:t>
            </w:r>
            <w:r w:rsidR="009E0798">
              <w:t>6</w:t>
            </w:r>
          </w:p>
        </w:tc>
        <w:tc>
          <w:tcPr>
            <w:tcW w:w="964" w:type="dxa"/>
          </w:tcPr>
          <w:p w14:paraId="68AB5AFF"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c>
          <w:tcPr>
            <w:tcW w:w="964" w:type="dxa"/>
          </w:tcPr>
          <w:p w14:paraId="10CEDE0D"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6B296466" w14:textId="77777777" w:rsidR="00824558" w:rsidRDefault="00824558">
            <w:pPr>
              <w:cnfStyle w:val="000000000000" w:firstRow="0" w:lastRow="0" w:firstColumn="0" w:lastColumn="0" w:oddVBand="0" w:evenVBand="0" w:oddHBand="0" w:evenHBand="0" w:firstRowFirstColumn="0" w:firstRowLastColumn="0" w:lastRowFirstColumn="0" w:lastRowLastColumn="0"/>
            </w:pPr>
            <w:r>
              <w:t>5.1</w:t>
            </w:r>
          </w:p>
        </w:tc>
      </w:tr>
      <w:tr w:rsidR="009E0798" w14:paraId="7F0CABC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7C015AE" w14:textId="6A91AE0F" w:rsidR="009E0798" w:rsidRDefault="00405075" w:rsidP="00405075">
            <w:pPr>
              <w:ind w:left="170"/>
            </w:pPr>
            <w:r>
              <w:rPr>
                <w:i/>
              </w:rPr>
              <w:t>The higher 2026-27 target mainly reflects the indexation of the 2025-26 target.</w:t>
            </w:r>
          </w:p>
        </w:tc>
      </w:tr>
    </w:tbl>
    <w:p w14:paraId="7267A2AC" w14:textId="77777777" w:rsidR="00824558" w:rsidRDefault="00824558">
      <w:pPr>
        <w:pStyle w:val="Source"/>
      </w:pPr>
      <w:r>
        <w:t>Source: Parliament</w:t>
      </w:r>
    </w:p>
    <w:p w14:paraId="0CD8A1F7" w14:textId="0C84EFC7" w:rsidR="00824558" w:rsidRDefault="00824558">
      <w:pPr>
        <w:pStyle w:val="Heading3"/>
      </w:pPr>
      <w:r>
        <w:t>Parliamentary Services</w:t>
      </w:r>
      <w:r>
        <w:tab/>
        <w:t>(2026-27: $1</w:t>
      </w:r>
      <w:r w:rsidR="00405075">
        <w:t>60.9</w:t>
      </w:r>
      <w:r>
        <w:t xml:space="preserve"> million)</w:t>
      </w:r>
    </w:p>
    <w:p w14:paraId="6DCA2F69" w14:textId="77777777" w:rsidR="00824558" w:rsidRPr="00F7058F" w:rsidRDefault="00824558">
      <w:pPr>
        <w:spacing w:after="120"/>
        <w:rPr>
          <w:rFonts w:cstheme="minorBidi"/>
          <w:color w:val="000000" w:themeColor="text1"/>
          <w:kern w:val="2"/>
          <w:szCs w:val="20"/>
          <w14:ligatures w14:val="standardContextual"/>
        </w:rPr>
      </w:pPr>
      <w:r w:rsidRPr="00F7058F">
        <w:rPr>
          <w:rFonts w:cstheme="minorBidi"/>
          <w:color w:val="000000" w:themeColor="text1"/>
          <w:kern w:val="2"/>
          <w:szCs w:val="20"/>
          <w14:ligatures w14:val="standardContextual"/>
        </w:rPr>
        <w:t xml:space="preserve">The Department of Parliamentary Services supplies and supports technology, buildings including electorate offices, information </w:t>
      </w:r>
      <w:r w:rsidRPr="00F7058F">
        <w:rPr>
          <w:rFonts w:cstheme="minorBidi"/>
          <w:kern w:val="2"/>
          <w:szCs w:val="20"/>
          <w14:ligatures w14:val="standardContextual"/>
        </w:rPr>
        <w:t>services</w:t>
      </w:r>
      <w:r w:rsidRPr="00F7058F">
        <w:rPr>
          <w:rFonts w:cstheme="minorBidi"/>
          <w:color w:val="000000" w:themeColor="text1"/>
          <w:kern w:val="2"/>
          <w:szCs w:val="20"/>
          <w14:ligatures w14:val="standardContextual"/>
        </w:rPr>
        <w:t>, human resources, catering facilities, security and financial management, maintenance, grounds and facilities along with planning, implementation and management of capital projects, for the Parliament of Victoria.</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1EA2EA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089AF35" w14:textId="77777777" w:rsidR="00824558" w:rsidRDefault="00824558">
            <w:r>
              <w:t>Performance measure</w:t>
            </w:r>
          </w:p>
        </w:tc>
        <w:tc>
          <w:tcPr>
            <w:tcW w:w="964" w:type="dxa"/>
          </w:tcPr>
          <w:p w14:paraId="3D1332A3"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48A5B6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AE1489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FAAE8A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AAD1F9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7376D2D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B068059" w14:textId="77777777" w:rsidR="00824558" w:rsidRPr="009C0A3D" w:rsidRDefault="00824558">
            <w:pPr>
              <w:keepNext/>
              <w:rPr>
                <w:b/>
                <w:bCs/>
                <w:iCs/>
              </w:rPr>
            </w:pPr>
            <w:r w:rsidRPr="009C0A3D">
              <w:rPr>
                <w:b/>
                <w:bCs/>
                <w:iCs/>
              </w:rPr>
              <w:t>Quantity</w:t>
            </w:r>
          </w:p>
        </w:tc>
      </w:tr>
      <w:tr w:rsidR="00824558" w14:paraId="14F3B7A1"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0843DEE" w14:textId="77777777" w:rsidR="00824558" w:rsidRDefault="00824558">
            <w:pPr>
              <w:ind w:left="170"/>
            </w:pPr>
            <w:r>
              <w:t>Percentage of chamber proceedings available to MPs and Electorate Officers through Video on Demand</w:t>
            </w:r>
          </w:p>
        </w:tc>
        <w:tc>
          <w:tcPr>
            <w:tcW w:w="964" w:type="dxa"/>
            <w:tcBorders>
              <w:bottom w:val="single" w:sz="6" w:space="0" w:color="auto"/>
            </w:tcBorders>
          </w:tcPr>
          <w:p w14:paraId="5C489E9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8F9CDFD"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526064C3"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57065E5C"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2A5EE13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16E22A5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4D8667D" w14:textId="77777777" w:rsidR="00824558" w:rsidRDefault="00824558">
            <w:pPr>
              <w:ind w:left="170"/>
            </w:pPr>
            <w:r>
              <w:t>Provide MPs with an approved standard electorate office</w:t>
            </w:r>
          </w:p>
        </w:tc>
        <w:tc>
          <w:tcPr>
            <w:tcW w:w="964" w:type="dxa"/>
            <w:tcBorders>
              <w:bottom w:val="single" w:sz="6" w:space="0" w:color="auto"/>
            </w:tcBorders>
          </w:tcPr>
          <w:p w14:paraId="5CE0C2C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59DC97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1471E19"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05A5138"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3EA844C"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7B229B0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D8036B4" w14:textId="73846277" w:rsidR="00824558" w:rsidRDefault="00824558">
            <w:pPr>
              <w:ind w:left="170"/>
              <w:rPr>
                <w:i/>
              </w:rPr>
            </w:pPr>
            <w:r>
              <w:t xml:space="preserve">Quarterly budget reports published in accordance with </w:t>
            </w:r>
            <w:r w:rsidRPr="00B86E8B">
              <w:rPr>
                <w:i/>
              </w:rPr>
              <w:t>Victorian</w:t>
            </w:r>
            <w:r w:rsidR="00AD6BE5">
              <w:rPr>
                <w:i/>
              </w:rPr>
              <w:t> </w:t>
            </w:r>
            <w:r w:rsidRPr="00B86E8B">
              <w:rPr>
                <w:i/>
              </w:rPr>
              <w:t>Independent Remuneration Tribunal and Improving Parliamentary Standards Act 2019</w:t>
            </w:r>
          </w:p>
        </w:tc>
        <w:tc>
          <w:tcPr>
            <w:tcW w:w="964" w:type="dxa"/>
            <w:tcBorders>
              <w:bottom w:val="single" w:sz="6" w:space="0" w:color="auto"/>
            </w:tcBorders>
          </w:tcPr>
          <w:p w14:paraId="3ABFA06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47AA4B4"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500D7A30"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30155363"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c>
          <w:tcPr>
            <w:tcW w:w="964" w:type="dxa"/>
            <w:tcBorders>
              <w:bottom w:val="single" w:sz="6" w:space="0" w:color="auto"/>
            </w:tcBorders>
          </w:tcPr>
          <w:p w14:paraId="3D2CCF89" w14:textId="77777777" w:rsidR="00824558" w:rsidRDefault="00824558">
            <w:pPr>
              <w:cnfStyle w:val="000000000000" w:firstRow="0" w:lastRow="0" w:firstColumn="0" w:lastColumn="0" w:oddVBand="0" w:evenVBand="0" w:oddHBand="0" w:evenHBand="0" w:firstRowFirstColumn="0" w:firstRowLastColumn="0" w:lastRowFirstColumn="0" w:lastRowLastColumn="0"/>
            </w:pPr>
            <w:r>
              <w:t>4</w:t>
            </w:r>
          </w:p>
        </w:tc>
      </w:tr>
      <w:tr w:rsidR="00824558" w:rsidRPr="009C0A3D" w14:paraId="03BDF9F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9A32B38" w14:textId="77777777" w:rsidR="00824558" w:rsidRPr="009C0A3D" w:rsidRDefault="00824558" w:rsidP="00132E0F">
            <w:pPr>
              <w:keepNext/>
              <w:pageBreakBefore/>
              <w:rPr>
                <w:b/>
                <w:bCs/>
                <w:iCs/>
              </w:rPr>
            </w:pPr>
            <w:r w:rsidRPr="009C0A3D">
              <w:rPr>
                <w:b/>
                <w:bCs/>
                <w:iCs/>
              </w:rPr>
              <w:t>Quality</w:t>
            </w:r>
          </w:p>
        </w:tc>
      </w:tr>
      <w:tr w:rsidR="00824558" w14:paraId="70DCF5E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A2AF429" w14:textId="0DC0B9CE" w:rsidR="00824558" w:rsidRDefault="00824558">
            <w:pPr>
              <w:ind w:left="170"/>
            </w:pPr>
            <w:r>
              <w:t>Clients satisfied with quality of information provided by library</w:t>
            </w:r>
            <w:r w:rsidR="00132E0F">
              <w:t> </w:t>
            </w:r>
            <w:r>
              <w:t>staff</w:t>
            </w:r>
          </w:p>
        </w:tc>
        <w:tc>
          <w:tcPr>
            <w:tcW w:w="964" w:type="dxa"/>
            <w:tcBorders>
              <w:bottom w:val="single" w:sz="6" w:space="0" w:color="auto"/>
            </w:tcBorders>
          </w:tcPr>
          <w:p w14:paraId="4CE59FA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02AFD4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C4328F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78770F6"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1205500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14:paraId="2BB00F8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7D1E645" w14:textId="0F060826" w:rsidR="00824558" w:rsidRDefault="00824558">
            <w:pPr>
              <w:ind w:left="170"/>
            </w:pPr>
            <w:r>
              <w:t>Legislative activities at Parliament House undisrupted by service</w:t>
            </w:r>
            <w:r w:rsidR="00132E0F">
              <w:t> </w:t>
            </w:r>
            <w:r>
              <w:t>interruptions or security incidents</w:t>
            </w:r>
          </w:p>
        </w:tc>
        <w:tc>
          <w:tcPr>
            <w:tcW w:w="964" w:type="dxa"/>
            <w:tcBorders>
              <w:bottom w:val="single" w:sz="6" w:space="0" w:color="auto"/>
            </w:tcBorders>
          </w:tcPr>
          <w:p w14:paraId="7A7BD8F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C3FEEF2"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3BBEAB22"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CB7FC83"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95EFA2A"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14:paraId="60165E6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C506199" w14:textId="77777777" w:rsidR="00824558" w:rsidRDefault="00824558">
            <w:pPr>
              <w:ind w:left="170"/>
            </w:pPr>
            <w:r>
              <w:t>MP Offices visited by a member of DPS staff during the year</w:t>
            </w:r>
          </w:p>
        </w:tc>
        <w:tc>
          <w:tcPr>
            <w:tcW w:w="964" w:type="dxa"/>
            <w:tcBorders>
              <w:bottom w:val="single" w:sz="6" w:space="0" w:color="auto"/>
            </w:tcBorders>
          </w:tcPr>
          <w:p w14:paraId="52BCDCD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271B931"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FDA5B6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06F146A7"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1302C0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181B495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52FE563" w14:textId="2C47856C" w:rsidR="00824558" w:rsidRDefault="00824558">
            <w:pPr>
              <w:ind w:left="170"/>
            </w:pPr>
            <w:r>
              <w:t xml:space="preserve">Scheduled availability of IT systems </w:t>
            </w:r>
            <w:r w:rsidR="00132E0F">
              <w:br/>
            </w:r>
            <w:r>
              <w:t>(network, email, and windows file and print)</w:t>
            </w:r>
          </w:p>
        </w:tc>
        <w:tc>
          <w:tcPr>
            <w:tcW w:w="964" w:type="dxa"/>
            <w:tcBorders>
              <w:bottom w:val="single" w:sz="6" w:space="0" w:color="auto"/>
            </w:tcBorders>
          </w:tcPr>
          <w:p w14:paraId="297FF69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D248AE0"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6DF082CC"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3ED6BAA1"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4EC28954"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rsidRPr="009C0A3D" w14:paraId="72EB1121"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9DA3333" w14:textId="77777777" w:rsidR="00824558" w:rsidRPr="009C0A3D" w:rsidRDefault="00824558">
            <w:pPr>
              <w:keepNext/>
              <w:rPr>
                <w:b/>
                <w:bCs/>
                <w:iCs/>
              </w:rPr>
            </w:pPr>
            <w:r w:rsidRPr="009C0A3D">
              <w:rPr>
                <w:b/>
                <w:bCs/>
                <w:iCs/>
              </w:rPr>
              <w:t>Timeliness</w:t>
            </w:r>
          </w:p>
        </w:tc>
      </w:tr>
      <w:tr w:rsidR="00824558" w14:paraId="5BE2EFF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FD0484" w14:textId="77777777" w:rsidR="00824558" w:rsidRDefault="00824558">
            <w:pPr>
              <w:ind w:left="170"/>
            </w:pPr>
            <w:r>
              <w:t>Indexes, records, speeches, video and transcripts available within published timeframes</w:t>
            </w:r>
          </w:p>
        </w:tc>
        <w:tc>
          <w:tcPr>
            <w:tcW w:w="964" w:type="dxa"/>
            <w:tcBorders>
              <w:bottom w:val="single" w:sz="6" w:space="0" w:color="auto"/>
            </w:tcBorders>
          </w:tcPr>
          <w:p w14:paraId="0BA31A9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B3FD625"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2B070144"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46C84D8B"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0D539E0C" w14:textId="77777777" w:rsidR="00824558" w:rsidRDefault="00824558">
            <w:pPr>
              <w:cnfStyle w:val="000000000000" w:firstRow="0" w:lastRow="0" w:firstColumn="0" w:lastColumn="0" w:oddVBand="0" w:evenVBand="0" w:oddHBand="0" w:evenHBand="0" w:firstRowFirstColumn="0" w:firstRowLastColumn="0" w:lastRowFirstColumn="0" w:lastRowLastColumn="0"/>
            </w:pPr>
            <w:r>
              <w:t>84</w:t>
            </w:r>
          </w:p>
        </w:tc>
      </w:tr>
      <w:tr w:rsidR="00824558" w14:paraId="2EBE429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C1C22F5" w14:textId="77777777" w:rsidR="00824558" w:rsidRDefault="00824558">
            <w:pPr>
              <w:ind w:left="170"/>
            </w:pPr>
            <w:r>
              <w:t>Monthly budget management reports to MPs and departments within five business days after closing monthly accounts</w:t>
            </w:r>
          </w:p>
        </w:tc>
        <w:tc>
          <w:tcPr>
            <w:tcW w:w="964" w:type="dxa"/>
            <w:tcBorders>
              <w:bottom w:val="single" w:sz="6" w:space="0" w:color="auto"/>
            </w:tcBorders>
          </w:tcPr>
          <w:p w14:paraId="4E75D72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19CB3428"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239C9F3A"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4A952C7E"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c>
          <w:tcPr>
            <w:tcW w:w="964" w:type="dxa"/>
            <w:tcBorders>
              <w:bottom w:val="single" w:sz="6" w:space="0" w:color="auto"/>
            </w:tcBorders>
          </w:tcPr>
          <w:p w14:paraId="57D8AEFF" w14:textId="77777777" w:rsidR="00824558" w:rsidRDefault="00824558">
            <w:pPr>
              <w:cnfStyle w:val="000000000000" w:firstRow="0" w:lastRow="0" w:firstColumn="0" w:lastColumn="0" w:oddVBand="0" w:evenVBand="0" w:oddHBand="0" w:evenHBand="0" w:firstRowFirstColumn="0" w:firstRowLastColumn="0" w:lastRowFirstColumn="0" w:lastRowLastColumn="0"/>
            </w:pPr>
            <w:r>
              <w:t>12</w:t>
            </w:r>
          </w:p>
        </w:tc>
      </w:tr>
      <w:tr w:rsidR="00824558" w14:paraId="6F223B2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40D0EB7" w14:textId="77777777" w:rsidR="00824558" w:rsidRDefault="00824558">
            <w:pPr>
              <w:ind w:left="170"/>
            </w:pPr>
            <w:r>
              <w:t>Payroll processing completed accurately and within agreed timeframes</w:t>
            </w:r>
          </w:p>
        </w:tc>
        <w:tc>
          <w:tcPr>
            <w:tcW w:w="964" w:type="dxa"/>
            <w:tcBorders>
              <w:bottom w:val="single" w:sz="6" w:space="0" w:color="auto"/>
            </w:tcBorders>
          </w:tcPr>
          <w:p w14:paraId="13FA725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A01A171"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7B9B2F1C"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0B6B34D2"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Borders>
              <w:bottom w:val="single" w:sz="6" w:space="0" w:color="auto"/>
            </w:tcBorders>
          </w:tcPr>
          <w:p w14:paraId="2AD60248"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r>
      <w:tr w:rsidR="00824558" w:rsidRPr="009C0A3D" w14:paraId="45904601"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F442D73" w14:textId="77777777" w:rsidR="00824558" w:rsidRPr="009C0A3D" w:rsidRDefault="00824558">
            <w:pPr>
              <w:keepNext/>
              <w:rPr>
                <w:b/>
                <w:bCs/>
                <w:iCs/>
              </w:rPr>
            </w:pPr>
            <w:r w:rsidRPr="009C0A3D">
              <w:rPr>
                <w:b/>
                <w:bCs/>
                <w:iCs/>
              </w:rPr>
              <w:t>Cost</w:t>
            </w:r>
          </w:p>
        </w:tc>
      </w:tr>
      <w:tr w:rsidR="00824558" w14:paraId="52BBE60B"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4ADA7B2A" w14:textId="77777777" w:rsidR="00824558" w:rsidRDefault="00824558">
            <w:pPr>
              <w:keepNext/>
              <w:ind w:left="170"/>
            </w:pPr>
            <w:r>
              <w:t>Total output cost</w:t>
            </w:r>
          </w:p>
        </w:tc>
        <w:tc>
          <w:tcPr>
            <w:tcW w:w="964" w:type="dxa"/>
          </w:tcPr>
          <w:p w14:paraId="3AB3DC3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11306CA" w14:textId="79464CF4" w:rsidR="00824558" w:rsidRDefault="00824558">
            <w:pPr>
              <w:cnfStyle w:val="000000000000" w:firstRow="0" w:lastRow="0" w:firstColumn="0" w:lastColumn="0" w:oddVBand="0" w:evenVBand="0" w:oddHBand="0" w:evenHBand="0" w:firstRowFirstColumn="0" w:firstRowLastColumn="0" w:lastRowFirstColumn="0" w:lastRowLastColumn="0"/>
            </w:pPr>
            <w:r>
              <w:t>1</w:t>
            </w:r>
            <w:r w:rsidR="00405075">
              <w:t>60.9</w:t>
            </w:r>
          </w:p>
        </w:tc>
        <w:tc>
          <w:tcPr>
            <w:tcW w:w="964" w:type="dxa"/>
          </w:tcPr>
          <w:p w14:paraId="71F835B1" w14:textId="77777777" w:rsidR="00824558" w:rsidRDefault="00824558">
            <w:pPr>
              <w:cnfStyle w:val="000000000000" w:firstRow="0" w:lastRow="0" w:firstColumn="0" w:lastColumn="0" w:oddVBand="0" w:evenVBand="0" w:oddHBand="0" w:evenHBand="0" w:firstRowFirstColumn="0" w:firstRowLastColumn="0" w:lastRowFirstColumn="0" w:lastRowLastColumn="0"/>
            </w:pPr>
            <w:r>
              <w:t>148.0</w:t>
            </w:r>
          </w:p>
        </w:tc>
        <w:tc>
          <w:tcPr>
            <w:tcW w:w="964" w:type="dxa"/>
          </w:tcPr>
          <w:p w14:paraId="5A30BDFC" w14:textId="77777777" w:rsidR="00824558" w:rsidRDefault="00824558">
            <w:pPr>
              <w:cnfStyle w:val="000000000000" w:firstRow="0" w:lastRow="0" w:firstColumn="0" w:lastColumn="0" w:oddVBand="0" w:evenVBand="0" w:oddHBand="0" w:evenHBand="0" w:firstRowFirstColumn="0" w:firstRowLastColumn="0" w:lastRowFirstColumn="0" w:lastRowLastColumn="0"/>
            </w:pPr>
            <w:r>
              <w:t>155.6</w:t>
            </w:r>
          </w:p>
        </w:tc>
        <w:tc>
          <w:tcPr>
            <w:tcW w:w="964" w:type="dxa"/>
          </w:tcPr>
          <w:p w14:paraId="1AF561F6" w14:textId="77777777" w:rsidR="00824558" w:rsidRDefault="00824558">
            <w:pPr>
              <w:cnfStyle w:val="000000000000" w:firstRow="0" w:lastRow="0" w:firstColumn="0" w:lastColumn="0" w:oddVBand="0" w:evenVBand="0" w:oddHBand="0" w:evenHBand="0" w:firstRowFirstColumn="0" w:firstRowLastColumn="0" w:lastRowFirstColumn="0" w:lastRowLastColumn="0"/>
            </w:pPr>
            <w:r>
              <w:t>145.4</w:t>
            </w:r>
          </w:p>
        </w:tc>
      </w:tr>
      <w:tr w:rsidR="00824558" w14:paraId="61413E26"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D751F5F" w14:textId="77777777" w:rsidR="00824558" w:rsidRDefault="00824558">
            <w:pPr>
              <w:ind w:left="170"/>
            </w:pPr>
            <w:r>
              <w:rPr>
                <w:i/>
              </w:rPr>
              <w:t>The higher 2026-27 target mainly reflects the indexation of the 2025-26 target.</w:t>
            </w:r>
          </w:p>
        </w:tc>
      </w:tr>
    </w:tbl>
    <w:p w14:paraId="1EFA3251" w14:textId="77777777" w:rsidR="00824558" w:rsidRDefault="00824558">
      <w:pPr>
        <w:pStyle w:val="Source"/>
      </w:pPr>
      <w:r>
        <w:t>Source: Parliament</w:t>
      </w:r>
    </w:p>
    <w:p w14:paraId="7F690039" w14:textId="140D2E37" w:rsidR="00824558" w:rsidRDefault="00824558">
      <w:pPr>
        <w:pStyle w:val="Heading3"/>
      </w:pPr>
      <w:r>
        <w:t>Parliamentary Budget Office</w:t>
      </w:r>
      <w:r>
        <w:tab/>
        <w:t>(2026-27: $4.3 million)</w:t>
      </w:r>
    </w:p>
    <w:p w14:paraId="7A3A90C0" w14:textId="77777777" w:rsidR="00824558" w:rsidRPr="00874F97" w:rsidRDefault="00824558">
      <w:pPr>
        <w:spacing w:after="120"/>
        <w:rPr>
          <w:color w:val="000000" w:themeColor="text1"/>
        </w:rPr>
      </w:pPr>
      <w:r w:rsidRPr="004F7F41">
        <w:rPr>
          <w:color w:val="000000" w:themeColor="text1"/>
        </w:rPr>
        <w:t>The Parliamentary Budget Office provides independent and confidential policy costing and advisory services to all members of parliament.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595D2C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3D0144E" w14:textId="77777777" w:rsidR="00824558" w:rsidRDefault="00824558">
            <w:r>
              <w:t>Performance measure</w:t>
            </w:r>
          </w:p>
        </w:tc>
        <w:tc>
          <w:tcPr>
            <w:tcW w:w="964" w:type="dxa"/>
          </w:tcPr>
          <w:p w14:paraId="50A7C63B"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F6CB3BA"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837CEC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00534FD"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2CE8F5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7756603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6842A44" w14:textId="77777777" w:rsidR="00824558" w:rsidRPr="009C0A3D" w:rsidRDefault="00824558">
            <w:pPr>
              <w:keepNext/>
              <w:rPr>
                <w:b/>
                <w:bCs/>
                <w:iCs/>
              </w:rPr>
            </w:pPr>
            <w:r w:rsidRPr="009C0A3D">
              <w:rPr>
                <w:b/>
                <w:bCs/>
                <w:iCs/>
              </w:rPr>
              <w:t>Quantity</w:t>
            </w:r>
          </w:p>
        </w:tc>
      </w:tr>
      <w:tr w:rsidR="00824558" w14:paraId="33A44391" w14:textId="77777777">
        <w:tc>
          <w:tcPr>
            <w:cnfStyle w:val="001000000000" w:firstRow="0" w:lastRow="0" w:firstColumn="1" w:lastColumn="0" w:oddVBand="0" w:evenVBand="0" w:oddHBand="0" w:evenHBand="0" w:firstRowFirstColumn="0" w:firstRowLastColumn="0" w:lastRowFirstColumn="0" w:lastRowLastColumn="0"/>
            <w:tcW w:w="4819" w:type="dxa"/>
          </w:tcPr>
          <w:p w14:paraId="47B74028" w14:textId="77777777" w:rsidR="00824558" w:rsidRDefault="00824558">
            <w:pPr>
              <w:keepNext/>
              <w:ind w:left="170"/>
            </w:pPr>
            <w:r>
              <w:t>Request completion rate</w:t>
            </w:r>
          </w:p>
        </w:tc>
        <w:tc>
          <w:tcPr>
            <w:tcW w:w="964" w:type="dxa"/>
          </w:tcPr>
          <w:p w14:paraId="5C250E5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4A3978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2F8651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6E4BF24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29AB1CF"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14:paraId="6615444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FC0E4C6" w14:textId="77777777" w:rsidR="00824558" w:rsidRDefault="00824558">
            <w:pPr>
              <w:ind w:left="170"/>
            </w:pPr>
            <w:r>
              <w:rPr>
                <w:i/>
              </w:rPr>
              <w:t>The 2025-26 expected outcome is higher than the target, reflecting strong delivery against demand and completion of a substantial number of requests that remained active at the end of the previous financial year.</w:t>
            </w:r>
          </w:p>
        </w:tc>
      </w:tr>
      <w:tr w:rsidR="00824558" w14:paraId="1C9DC8E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8E8B15B" w14:textId="77777777" w:rsidR="00824558" w:rsidRDefault="00824558">
            <w:pPr>
              <w:ind w:left="170"/>
            </w:pPr>
            <w:r>
              <w:t>Requests received by the PBO</w:t>
            </w:r>
          </w:p>
        </w:tc>
        <w:tc>
          <w:tcPr>
            <w:tcW w:w="964" w:type="dxa"/>
            <w:tcBorders>
              <w:bottom w:val="single" w:sz="6" w:space="0" w:color="auto"/>
            </w:tcBorders>
          </w:tcPr>
          <w:p w14:paraId="71E8C2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098AFA42"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33AF68B4"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6B509A1A" w14:textId="77777777" w:rsidR="00824558" w:rsidRDefault="00824558">
            <w:pPr>
              <w:cnfStyle w:val="000000000000" w:firstRow="0" w:lastRow="0" w:firstColumn="0" w:lastColumn="0" w:oddVBand="0" w:evenVBand="0" w:oddHBand="0" w:evenHBand="0" w:firstRowFirstColumn="0" w:firstRowLastColumn="0" w:lastRowFirstColumn="0" w:lastRowLastColumn="0"/>
            </w:pPr>
            <w:r>
              <w:t>210</w:t>
            </w:r>
          </w:p>
        </w:tc>
        <w:tc>
          <w:tcPr>
            <w:tcW w:w="964" w:type="dxa"/>
            <w:tcBorders>
              <w:bottom w:val="single" w:sz="6" w:space="0" w:color="auto"/>
            </w:tcBorders>
          </w:tcPr>
          <w:p w14:paraId="0E34DA0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9C0A3D" w14:paraId="4351923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C318894" w14:textId="77777777" w:rsidR="00824558" w:rsidRPr="009C0A3D" w:rsidRDefault="00824558">
            <w:pPr>
              <w:keepNext/>
              <w:rPr>
                <w:b/>
                <w:bCs/>
                <w:iCs/>
              </w:rPr>
            </w:pPr>
            <w:r w:rsidRPr="009C0A3D">
              <w:rPr>
                <w:b/>
                <w:bCs/>
                <w:iCs/>
              </w:rPr>
              <w:t>Quality</w:t>
            </w:r>
          </w:p>
        </w:tc>
      </w:tr>
      <w:tr w:rsidR="00824558" w14:paraId="12EDFCC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B63634F" w14:textId="77777777" w:rsidR="00824558" w:rsidRDefault="00824558">
            <w:pPr>
              <w:ind w:left="170"/>
            </w:pPr>
            <w:r>
              <w:t>Parliamentary stakeholder satisfaction</w:t>
            </w:r>
          </w:p>
        </w:tc>
        <w:tc>
          <w:tcPr>
            <w:tcW w:w="964" w:type="dxa"/>
            <w:tcBorders>
              <w:bottom w:val="single" w:sz="6" w:space="0" w:color="auto"/>
            </w:tcBorders>
          </w:tcPr>
          <w:p w14:paraId="1EE595E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8B5A93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C28C5E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33DB1A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0D4E8A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rsidRPr="009C0A3D" w14:paraId="3916C4C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F06206D" w14:textId="77777777" w:rsidR="00824558" w:rsidRPr="009C0A3D" w:rsidRDefault="00824558">
            <w:pPr>
              <w:keepNext/>
              <w:rPr>
                <w:b/>
                <w:bCs/>
                <w:iCs/>
              </w:rPr>
            </w:pPr>
            <w:r w:rsidRPr="009C0A3D">
              <w:rPr>
                <w:b/>
                <w:bCs/>
                <w:iCs/>
              </w:rPr>
              <w:t>Timeliness</w:t>
            </w:r>
          </w:p>
        </w:tc>
      </w:tr>
      <w:tr w:rsidR="00824558" w14:paraId="1820D684" w14:textId="77777777">
        <w:tc>
          <w:tcPr>
            <w:cnfStyle w:val="001000000000" w:firstRow="0" w:lastRow="0" w:firstColumn="1" w:lastColumn="0" w:oddVBand="0" w:evenVBand="0" w:oddHBand="0" w:evenHBand="0" w:firstRowFirstColumn="0" w:firstRowLastColumn="0" w:lastRowFirstColumn="0" w:lastRowLastColumn="0"/>
            <w:tcW w:w="4819" w:type="dxa"/>
          </w:tcPr>
          <w:p w14:paraId="39889FB9" w14:textId="77777777" w:rsidR="00824558" w:rsidRDefault="00824558">
            <w:pPr>
              <w:keepNext/>
              <w:ind w:left="170"/>
            </w:pPr>
            <w:r>
              <w:t>Requests responded to by due date</w:t>
            </w:r>
          </w:p>
        </w:tc>
        <w:tc>
          <w:tcPr>
            <w:tcW w:w="964" w:type="dxa"/>
          </w:tcPr>
          <w:p w14:paraId="49645F5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AAA4BFF"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23242BC"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3D3722F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745B441"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2350B2D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ED24292" w14:textId="77777777" w:rsidR="00824558" w:rsidRDefault="00824558">
            <w:pPr>
              <w:ind w:left="170"/>
            </w:pPr>
            <w:r>
              <w:rPr>
                <w:i/>
              </w:rPr>
              <w:t xml:space="preserve">The 2025-26 outcome is expected to be higher than the target. This reflects effective use of stakeholder relations and internal prioritisation frameworks to manage expectations and to set deadlines that accurately reflect client needs. </w:t>
            </w:r>
          </w:p>
        </w:tc>
      </w:tr>
      <w:tr w:rsidR="00824558" w:rsidRPr="009C0A3D" w14:paraId="5D2E837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9EA50E6" w14:textId="77777777" w:rsidR="00824558" w:rsidRPr="009C0A3D" w:rsidRDefault="00824558">
            <w:pPr>
              <w:keepNext/>
              <w:rPr>
                <w:b/>
                <w:bCs/>
                <w:iCs/>
              </w:rPr>
            </w:pPr>
            <w:r w:rsidRPr="009C0A3D">
              <w:rPr>
                <w:b/>
                <w:bCs/>
                <w:iCs/>
              </w:rPr>
              <w:t>Cost</w:t>
            </w:r>
          </w:p>
        </w:tc>
      </w:tr>
      <w:tr w:rsidR="00824558" w14:paraId="172B8D94"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5C771685" w14:textId="77777777" w:rsidR="00824558" w:rsidRDefault="00824558">
            <w:pPr>
              <w:keepNext/>
              <w:ind w:left="170"/>
            </w:pPr>
            <w:r>
              <w:t>Total output cost</w:t>
            </w:r>
          </w:p>
        </w:tc>
        <w:tc>
          <w:tcPr>
            <w:tcW w:w="964" w:type="dxa"/>
          </w:tcPr>
          <w:p w14:paraId="5FA7CA6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430D96D5" w14:textId="77777777" w:rsidR="00824558" w:rsidRDefault="00824558">
            <w:pPr>
              <w:cnfStyle w:val="000000000000" w:firstRow="0" w:lastRow="0" w:firstColumn="0" w:lastColumn="0" w:oddVBand="0" w:evenVBand="0" w:oddHBand="0" w:evenHBand="0" w:firstRowFirstColumn="0" w:firstRowLastColumn="0" w:lastRowFirstColumn="0" w:lastRowLastColumn="0"/>
            </w:pPr>
            <w:r>
              <w:t>4.3</w:t>
            </w:r>
          </w:p>
        </w:tc>
        <w:tc>
          <w:tcPr>
            <w:tcW w:w="964" w:type="dxa"/>
          </w:tcPr>
          <w:p w14:paraId="7B603E0B" w14:textId="77777777" w:rsidR="00824558" w:rsidRDefault="00824558">
            <w:pPr>
              <w:cnfStyle w:val="000000000000" w:firstRow="0" w:lastRow="0" w:firstColumn="0" w:lastColumn="0" w:oddVBand="0" w:evenVBand="0" w:oddHBand="0" w:evenHBand="0" w:firstRowFirstColumn="0" w:firstRowLastColumn="0" w:lastRowFirstColumn="0" w:lastRowLastColumn="0"/>
            </w:pPr>
            <w:r>
              <w:t>3.9</w:t>
            </w:r>
          </w:p>
        </w:tc>
        <w:tc>
          <w:tcPr>
            <w:tcW w:w="964" w:type="dxa"/>
          </w:tcPr>
          <w:p w14:paraId="363935F1" w14:textId="77777777" w:rsidR="00824558" w:rsidRDefault="00824558">
            <w:pPr>
              <w:cnfStyle w:val="000000000000" w:firstRow="0" w:lastRow="0" w:firstColumn="0" w:lastColumn="0" w:oddVBand="0" w:evenVBand="0" w:oddHBand="0" w:evenHBand="0" w:firstRowFirstColumn="0" w:firstRowLastColumn="0" w:lastRowFirstColumn="0" w:lastRowLastColumn="0"/>
            </w:pPr>
            <w:r>
              <w:t>3.9</w:t>
            </w:r>
          </w:p>
        </w:tc>
        <w:tc>
          <w:tcPr>
            <w:tcW w:w="964" w:type="dxa"/>
          </w:tcPr>
          <w:p w14:paraId="4BD72176" w14:textId="77777777" w:rsidR="00824558" w:rsidRDefault="00824558">
            <w:pPr>
              <w:cnfStyle w:val="000000000000" w:firstRow="0" w:lastRow="0" w:firstColumn="0" w:lastColumn="0" w:oddVBand="0" w:evenVBand="0" w:oddHBand="0" w:evenHBand="0" w:firstRowFirstColumn="0" w:firstRowLastColumn="0" w:lastRowFirstColumn="0" w:lastRowLastColumn="0"/>
            </w:pPr>
            <w:r>
              <w:t>3.6</w:t>
            </w:r>
          </w:p>
        </w:tc>
      </w:tr>
      <w:tr w:rsidR="00824558" w14:paraId="2EA39782"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CE314D8" w14:textId="1BE60534" w:rsidR="00824558" w:rsidRDefault="00824558">
            <w:pPr>
              <w:ind w:left="170"/>
            </w:pPr>
            <w:r>
              <w:rPr>
                <w:i/>
              </w:rPr>
              <w:t>The higher 2026-27 target reflects the PBO</w:t>
            </w:r>
            <w:r w:rsidR="007942D1">
              <w:rPr>
                <w:i/>
              </w:rPr>
              <w:t>’</w:t>
            </w:r>
            <w:r>
              <w:rPr>
                <w:i/>
              </w:rPr>
              <w:t xml:space="preserve">s surge funding for the 2026 </w:t>
            </w:r>
            <w:r w:rsidR="003F35C5">
              <w:rPr>
                <w:i/>
              </w:rPr>
              <w:t>State Election.</w:t>
            </w:r>
          </w:p>
        </w:tc>
      </w:tr>
    </w:tbl>
    <w:p w14:paraId="54F82593" w14:textId="77777777" w:rsidR="00824558" w:rsidRDefault="00824558">
      <w:pPr>
        <w:pStyle w:val="Source"/>
      </w:pPr>
      <w:r>
        <w:t>Source: Parliamentary Budget Office</w:t>
      </w:r>
    </w:p>
    <w:p w14:paraId="2122C9D8" w14:textId="77777777" w:rsidR="00EB3823" w:rsidRDefault="00EB3823">
      <w:pPr>
        <w:keepLines w:val="0"/>
        <w:rPr>
          <w:rFonts w:asciiTheme="majorHAnsi" w:eastAsiaTheme="majorEastAsia" w:hAnsiTheme="majorHAnsi" w:cstheme="majorBidi"/>
          <w:b/>
          <w:sz w:val="23"/>
          <w:szCs w:val="24"/>
        </w:rPr>
      </w:pPr>
      <w:r>
        <w:br w:type="page"/>
      </w:r>
    </w:p>
    <w:p w14:paraId="2B5BEE88" w14:textId="7531A547" w:rsidR="00824558" w:rsidRDefault="00824558">
      <w:pPr>
        <w:pStyle w:val="Heading3"/>
      </w:pPr>
      <w:r>
        <w:t>Victorian Auditor-General</w:t>
      </w:r>
      <w:r w:rsidR="007942D1">
        <w:t>’</w:t>
      </w:r>
      <w:r>
        <w:t>s Office</w:t>
      </w:r>
      <w:r>
        <w:tab/>
        <w:t>(2026-27: $63.5 million)</w:t>
      </w:r>
    </w:p>
    <w:p w14:paraId="00DA978D" w14:textId="37FDEC75" w:rsidR="00824558" w:rsidRPr="005B20D2" w:rsidRDefault="00824558" w:rsidP="004F120A">
      <w:pPr>
        <w:spacing w:after="120"/>
        <w:ind w:right="-170"/>
        <w:rPr>
          <w:rFonts w:cstheme="minorBidi"/>
          <w:color w:val="000000" w:themeColor="text1"/>
          <w:kern w:val="2"/>
          <w:szCs w:val="20"/>
          <w:highlight w:val="yellow"/>
          <w14:ligatures w14:val="standardContextual"/>
        </w:rPr>
      </w:pPr>
      <w:r w:rsidRPr="005B20D2">
        <w:rPr>
          <w:rFonts w:cstheme="minorBidi"/>
          <w:color w:val="000000" w:themeColor="text1"/>
          <w:kern w:val="2"/>
          <w:szCs w:val="20"/>
          <w14:ligatures w14:val="standardContextual"/>
        </w:rPr>
        <w:t>The purpose of the Victorian Auditor-General</w:t>
      </w:r>
      <w:r w:rsidR="007942D1">
        <w:rPr>
          <w:rFonts w:cstheme="minorBidi"/>
          <w:color w:val="000000" w:themeColor="text1"/>
          <w:kern w:val="2"/>
          <w:szCs w:val="20"/>
          <w14:ligatures w14:val="standardContextual"/>
        </w:rPr>
        <w:t>’</w:t>
      </w:r>
      <w:r w:rsidRPr="005B20D2">
        <w:rPr>
          <w:rFonts w:cstheme="minorBidi"/>
          <w:color w:val="000000" w:themeColor="text1"/>
          <w:kern w:val="2"/>
          <w:szCs w:val="20"/>
          <w14:ligatures w14:val="standardContextual"/>
        </w:rPr>
        <w:t xml:space="preserve">s Office is to help the Parliament hold government to account and help the public sector to improve its performance. Under the </w:t>
      </w:r>
      <w:r w:rsidRPr="005B20D2">
        <w:rPr>
          <w:rFonts w:cstheme="minorBidi"/>
          <w:i/>
          <w:iCs/>
          <w:color w:val="000000" w:themeColor="text1"/>
          <w:kern w:val="2"/>
          <w:szCs w:val="20"/>
          <w14:ligatures w14:val="standardContextual"/>
        </w:rPr>
        <w:t>Audit Act 1994</w:t>
      </w:r>
      <w:r w:rsidRPr="005B20D2">
        <w:rPr>
          <w:rFonts w:cstheme="minorBidi"/>
          <w:color w:val="000000" w:themeColor="text1"/>
          <w:kern w:val="2"/>
          <w:szCs w:val="20"/>
          <w14:ligatures w14:val="standardContextual"/>
        </w:rPr>
        <w:t xml:space="preserve">, the Auditor-General </w:t>
      </w:r>
      <w:r w:rsidRPr="005B20D2">
        <w:rPr>
          <w:rFonts w:cstheme="minorBidi"/>
          <w:kern w:val="2"/>
          <w:szCs w:val="20"/>
          <w14:ligatures w14:val="standardContextual"/>
        </w:rPr>
        <w:t>audits</w:t>
      </w:r>
      <w:r w:rsidRPr="005B20D2">
        <w:rPr>
          <w:rFonts w:cstheme="minorBidi"/>
          <w:color w:val="000000" w:themeColor="text1"/>
          <w:kern w:val="2"/>
          <w:szCs w:val="20"/>
          <w14:ligatures w14:val="standardContextual"/>
        </w:rPr>
        <w:t xml:space="preserve"> financial statements prepared by Victorian public sector agencies and issues audit reports. In addition, the Auditor-General carries out performance audits and assurance reviews to determine whether authorities, operations or activities are operating effectively, economically and efficiently in compliance with all relevant Acts.</w:t>
      </w:r>
    </w:p>
    <w:p w14:paraId="5CF49BEA" w14:textId="77777777" w:rsidR="00824558" w:rsidRDefault="00824558" w:rsidP="004F120A">
      <w:pPr>
        <w:pStyle w:val="Heading3"/>
        <w:spacing w:before="120"/>
      </w:pPr>
      <w:r>
        <w:t>Audit opinions on financial and performance statements</w:t>
      </w:r>
      <w:r>
        <w:tab/>
        <w:t>(2026-27: $42.1 million)</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5DAE7D1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F0E59D8" w14:textId="77777777" w:rsidR="00824558" w:rsidRDefault="00824558">
            <w:r>
              <w:t>Performance measure</w:t>
            </w:r>
          </w:p>
        </w:tc>
        <w:tc>
          <w:tcPr>
            <w:tcW w:w="964" w:type="dxa"/>
          </w:tcPr>
          <w:p w14:paraId="54997FBF"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FC698C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20DFF4B2"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ABB017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3332F6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698EF9C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A012902" w14:textId="77777777" w:rsidR="00824558" w:rsidRPr="009C0A3D" w:rsidRDefault="00824558">
            <w:pPr>
              <w:keepNext/>
              <w:rPr>
                <w:b/>
                <w:bCs/>
                <w:iCs/>
              </w:rPr>
            </w:pPr>
            <w:r w:rsidRPr="009C0A3D">
              <w:rPr>
                <w:b/>
                <w:bCs/>
                <w:iCs/>
              </w:rPr>
              <w:t>Quantity</w:t>
            </w:r>
          </w:p>
        </w:tc>
      </w:tr>
      <w:tr w:rsidR="00824558" w14:paraId="07C79C4F" w14:textId="77777777">
        <w:tc>
          <w:tcPr>
            <w:cnfStyle w:val="001000000000" w:firstRow="0" w:lastRow="0" w:firstColumn="1" w:lastColumn="0" w:oddVBand="0" w:evenVBand="0" w:oddHBand="0" w:evenHBand="0" w:firstRowFirstColumn="0" w:firstRowLastColumn="0" w:lastRowFirstColumn="0" w:lastRowLastColumn="0"/>
            <w:tcW w:w="4819" w:type="dxa"/>
          </w:tcPr>
          <w:p w14:paraId="2D124A00" w14:textId="77777777" w:rsidR="00824558" w:rsidRDefault="00824558">
            <w:pPr>
              <w:keepNext/>
              <w:ind w:left="170"/>
            </w:pPr>
            <w:r>
              <w:t>Average fee of audit opinions issued on performance statements</w:t>
            </w:r>
          </w:p>
        </w:tc>
        <w:tc>
          <w:tcPr>
            <w:tcW w:w="964" w:type="dxa"/>
          </w:tcPr>
          <w:p w14:paraId="31ADA6A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thousand</w:t>
            </w:r>
          </w:p>
        </w:tc>
        <w:tc>
          <w:tcPr>
            <w:tcW w:w="964" w:type="dxa"/>
            <w:shd w:val="clear" w:color="auto" w:fill="F0F0F0"/>
          </w:tcPr>
          <w:p w14:paraId="6DDE7D60" w14:textId="77777777" w:rsidR="00824558" w:rsidRDefault="00824558">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0B7CB4A1"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c>
          <w:tcPr>
            <w:tcW w:w="964" w:type="dxa"/>
          </w:tcPr>
          <w:p w14:paraId="4A2A3591"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c>
          <w:tcPr>
            <w:tcW w:w="964" w:type="dxa"/>
          </w:tcPr>
          <w:p w14:paraId="5055D48A" w14:textId="77777777" w:rsidR="00824558" w:rsidRDefault="00824558">
            <w:pPr>
              <w:cnfStyle w:val="000000000000" w:firstRow="0" w:lastRow="0" w:firstColumn="0" w:lastColumn="0" w:oddVBand="0" w:evenVBand="0" w:oddHBand="0" w:evenHBand="0" w:firstRowFirstColumn="0" w:firstRowLastColumn="0" w:lastRowFirstColumn="0" w:lastRowLastColumn="0"/>
            </w:pPr>
            <w:r>
              <w:t>5.6</w:t>
            </w:r>
          </w:p>
        </w:tc>
      </w:tr>
      <w:tr w:rsidR="00824558" w14:paraId="7795748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FC444F0" w14:textId="77777777" w:rsidR="00824558" w:rsidRDefault="00824558">
            <w:pPr>
              <w:ind w:left="170"/>
            </w:pPr>
            <w:r>
              <w:rPr>
                <w:i/>
              </w:rPr>
              <w:t>The higher 2026-27 target reflects indexation of the 2025-26 target, based on the Wage Price Index, Victoria, Public Sector.</w:t>
            </w:r>
          </w:p>
        </w:tc>
      </w:tr>
      <w:tr w:rsidR="00824558" w14:paraId="7F152AB5" w14:textId="77777777">
        <w:tc>
          <w:tcPr>
            <w:cnfStyle w:val="001000000000" w:firstRow="0" w:lastRow="0" w:firstColumn="1" w:lastColumn="0" w:oddVBand="0" w:evenVBand="0" w:oddHBand="0" w:evenHBand="0" w:firstRowFirstColumn="0" w:firstRowLastColumn="0" w:lastRowFirstColumn="0" w:lastRowLastColumn="0"/>
            <w:tcW w:w="4819" w:type="dxa"/>
          </w:tcPr>
          <w:p w14:paraId="3BA4CBAB" w14:textId="77777777" w:rsidR="00824558" w:rsidRDefault="00824558">
            <w:pPr>
              <w:keepNext/>
              <w:ind w:left="170"/>
            </w:pPr>
            <w:r>
              <w:t>Average fee of audit opinions issued on the financial statements of agencies</w:t>
            </w:r>
          </w:p>
        </w:tc>
        <w:tc>
          <w:tcPr>
            <w:tcW w:w="964" w:type="dxa"/>
          </w:tcPr>
          <w:p w14:paraId="3C262A9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thousand</w:t>
            </w:r>
          </w:p>
        </w:tc>
        <w:tc>
          <w:tcPr>
            <w:tcW w:w="964" w:type="dxa"/>
            <w:shd w:val="clear" w:color="auto" w:fill="F0F0F0"/>
          </w:tcPr>
          <w:p w14:paraId="1F3C1FDF" w14:textId="77777777" w:rsidR="00824558" w:rsidRDefault="00824558">
            <w:pPr>
              <w:cnfStyle w:val="000000000000" w:firstRow="0" w:lastRow="0" w:firstColumn="0" w:lastColumn="0" w:oddVBand="0" w:evenVBand="0" w:oddHBand="0" w:evenHBand="0" w:firstRowFirstColumn="0" w:firstRowLastColumn="0" w:lastRowFirstColumn="0" w:lastRowLastColumn="0"/>
            </w:pPr>
            <w:r>
              <w:t>66.4</w:t>
            </w:r>
          </w:p>
        </w:tc>
        <w:tc>
          <w:tcPr>
            <w:tcW w:w="964" w:type="dxa"/>
          </w:tcPr>
          <w:p w14:paraId="609F7903" w14:textId="77777777" w:rsidR="00824558" w:rsidRDefault="00824558">
            <w:pPr>
              <w:cnfStyle w:val="000000000000" w:firstRow="0" w:lastRow="0" w:firstColumn="0" w:lastColumn="0" w:oddVBand="0" w:evenVBand="0" w:oddHBand="0" w:evenHBand="0" w:firstRowFirstColumn="0" w:firstRowLastColumn="0" w:lastRowFirstColumn="0" w:lastRowLastColumn="0"/>
            </w:pPr>
            <w:r>
              <w:t>66.7</w:t>
            </w:r>
          </w:p>
        </w:tc>
        <w:tc>
          <w:tcPr>
            <w:tcW w:w="964" w:type="dxa"/>
          </w:tcPr>
          <w:p w14:paraId="60F26179" w14:textId="77777777" w:rsidR="00824558" w:rsidRDefault="00824558">
            <w:pPr>
              <w:cnfStyle w:val="000000000000" w:firstRow="0" w:lastRow="0" w:firstColumn="0" w:lastColumn="0" w:oddVBand="0" w:evenVBand="0" w:oddHBand="0" w:evenHBand="0" w:firstRowFirstColumn="0" w:firstRowLastColumn="0" w:lastRowFirstColumn="0" w:lastRowLastColumn="0"/>
            </w:pPr>
            <w:r>
              <w:t>64.5</w:t>
            </w:r>
          </w:p>
        </w:tc>
        <w:tc>
          <w:tcPr>
            <w:tcW w:w="964" w:type="dxa"/>
          </w:tcPr>
          <w:p w14:paraId="4D9242B0" w14:textId="77777777" w:rsidR="00824558" w:rsidRDefault="00824558">
            <w:pPr>
              <w:cnfStyle w:val="000000000000" w:firstRow="0" w:lastRow="0" w:firstColumn="0" w:lastColumn="0" w:oddVBand="0" w:evenVBand="0" w:oddHBand="0" w:evenHBand="0" w:firstRowFirstColumn="0" w:firstRowLastColumn="0" w:lastRowFirstColumn="0" w:lastRowLastColumn="0"/>
            </w:pPr>
            <w:r>
              <w:t>62</w:t>
            </w:r>
          </w:p>
        </w:tc>
      </w:tr>
      <w:tr w:rsidR="00824558" w14:paraId="29E5126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A145A9C" w14:textId="77777777" w:rsidR="00824558" w:rsidRDefault="00824558">
            <w:pPr>
              <w:ind w:left="170"/>
            </w:pPr>
            <w:r>
              <w:rPr>
                <w:i/>
              </w:rPr>
              <w:t>The higher 2026-27 target reflects indexation of the 2025-26 target, based on the Wage Price Index, Victoria, Public Sector.</w:t>
            </w:r>
          </w:p>
        </w:tc>
      </w:tr>
      <w:tr w:rsidR="00824558" w:rsidRPr="009C0A3D" w14:paraId="3919436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400ADD2" w14:textId="77777777" w:rsidR="00824558" w:rsidRPr="009C0A3D" w:rsidRDefault="00824558">
            <w:pPr>
              <w:keepNext/>
              <w:rPr>
                <w:b/>
                <w:bCs/>
                <w:iCs/>
              </w:rPr>
            </w:pPr>
            <w:r w:rsidRPr="009C0A3D">
              <w:rPr>
                <w:b/>
                <w:bCs/>
                <w:iCs/>
              </w:rPr>
              <w:t>Quality</w:t>
            </w:r>
          </w:p>
        </w:tc>
      </w:tr>
      <w:tr w:rsidR="00824558" w14:paraId="26A6C13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93BB8C3" w14:textId="77777777" w:rsidR="00824558" w:rsidRDefault="00824558">
            <w:pPr>
              <w:ind w:left="170"/>
            </w:pPr>
            <w:r>
              <w:t>Proportion of agencies disclosing prior period material errors in financial statements</w:t>
            </w:r>
          </w:p>
        </w:tc>
        <w:tc>
          <w:tcPr>
            <w:tcW w:w="964" w:type="dxa"/>
            <w:tcBorders>
              <w:bottom w:val="single" w:sz="6" w:space="0" w:color="auto"/>
            </w:tcBorders>
          </w:tcPr>
          <w:p w14:paraId="232BCB5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2255CF0"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4E6B5F31" w14:textId="77777777" w:rsidR="00824558" w:rsidRDefault="00824558">
            <w:pPr>
              <w:cnfStyle w:val="000000000000" w:firstRow="0" w:lastRow="0" w:firstColumn="0" w:lastColumn="0" w:oddVBand="0" w:evenVBand="0" w:oddHBand="0" w:evenHBand="0" w:firstRowFirstColumn="0" w:firstRowLastColumn="0" w:lastRowFirstColumn="0" w:lastRowLastColumn="0"/>
            </w:pPr>
            <w:r>
              <w:t>0.7</w:t>
            </w:r>
          </w:p>
        </w:tc>
        <w:tc>
          <w:tcPr>
            <w:tcW w:w="964" w:type="dxa"/>
            <w:tcBorders>
              <w:bottom w:val="single" w:sz="6" w:space="0" w:color="auto"/>
            </w:tcBorders>
          </w:tcPr>
          <w:p w14:paraId="082FCC3F"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Borders>
              <w:bottom w:val="single" w:sz="6" w:space="0" w:color="auto"/>
            </w:tcBorders>
          </w:tcPr>
          <w:p w14:paraId="2CBB4084" w14:textId="77777777" w:rsidR="00824558" w:rsidRDefault="00824558">
            <w:pPr>
              <w:cnfStyle w:val="000000000000" w:firstRow="0" w:lastRow="0" w:firstColumn="0" w:lastColumn="0" w:oddVBand="0" w:evenVBand="0" w:oddHBand="0" w:evenHBand="0" w:firstRowFirstColumn="0" w:firstRowLastColumn="0" w:lastRowFirstColumn="0" w:lastRowLastColumn="0"/>
            </w:pPr>
            <w:r>
              <w:t>2.2</w:t>
            </w:r>
          </w:p>
        </w:tc>
      </w:tr>
      <w:tr w:rsidR="00824558" w:rsidRPr="009C0A3D" w14:paraId="6F5DC5D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64E92AC" w14:textId="77777777" w:rsidR="00824558" w:rsidRPr="009C0A3D" w:rsidRDefault="00824558">
            <w:pPr>
              <w:keepNext/>
              <w:rPr>
                <w:b/>
                <w:bCs/>
                <w:iCs/>
              </w:rPr>
            </w:pPr>
            <w:r w:rsidRPr="009C0A3D">
              <w:rPr>
                <w:b/>
                <w:bCs/>
                <w:iCs/>
              </w:rPr>
              <w:t>Timeliness</w:t>
            </w:r>
          </w:p>
        </w:tc>
      </w:tr>
      <w:tr w:rsidR="00824558" w14:paraId="432EC445"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B7AF45C" w14:textId="77777777" w:rsidR="00824558" w:rsidRDefault="00824558">
            <w:pPr>
              <w:ind w:left="170"/>
            </w:pPr>
            <w:r>
              <w:t>Audit opinions issued within statutory deadlines</w:t>
            </w:r>
          </w:p>
        </w:tc>
        <w:tc>
          <w:tcPr>
            <w:tcW w:w="964" w:type="dxa"/>
            <w:tcBorders>
              <w:bottom w:val="single" w:sz="6" w:space="0" w:color="auto"/>
            </w:tcBorders>
          </w:tcPr>
          <w:p w14:paraId="36FD5CF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0E54195"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6611CBA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3BE3C9A"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4427BA9C" w14:textId="77777777" w:rsidR="00824558" w:rsidRDefault="00824558">
            <w:pPr>
              <w:cnfStyle w:val="000000000000" w:firstRow="0" w:lastRow="0" w:firstColumn="0" w:lastColumn="0" w:oddVBand="0" w:evenVBand="0" w:oddHBand="0" w:evenHBand="0" w:firstRowFirstColumn="0" w:firstRowLastColumn="0" w:lastRowFirstColumn="0" w:lastRowLastColumn="0"/>
            </w:pPr>
            <w:r>
              <w:t>98.5</w:t>
            </w:r>
          </w:p>
        </w:tc>
      </w:tr>
      <w:tr w:rsidR="00824558" w14:paraId="2CD4BEC3" w14:textId="77777777">
        <w:tc>
          <w:tcPr>
            <w:cnfStyle w:val="001000000000" w:firstRow="0" w:lastRow="0" w:firstColumn="1" w:lastColumn="0" w:oddVBand="0" w:evenVBand="0" w:oddHBand="0" w:evenHBand="0" w:firstRowFirstColumn="0" w:firstRowLastColumn="0" w:lastRowFirstColumn="0" w:lastRowLastColumn="0"/>
            <w:tcW w:w="4819" w:type="dxa"/>
          </w:tcPr>
          <w:p w14:paraId="742C5D7C" w14:textId="77777777" w:rsidR="00824558" w:rsidRDefault="00824558">
            <w:pPr>
              <w:keepNext/>
              <w:ind w:left="170"/>
            </w:pPr>
            <w:r>
              <w:t>Management letters to agencies issued within established timeframes</w:t>
            </w:r>
          </w:p>
        </w:tc>
        <w:tc>
          <w:tcPr>
            <w:tcW w:w="964" w:type="dxa"/>
          </w:tcPr>
          <w:p w14:paraId="650B56C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F0C1BE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E984FEE"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Pr>
          <w:p w14:paraId="043F289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605EFFF" w14:textId="77777777" w:rsidR="00824558" w:rsidRDefault="00824558">
            <w:pPr>
              <w:cnfStyle w:val="000000000000" w:firstRow="0" w:lastRow="0" w:firstColumn="0" w:lastColumn="0" w:oddVBand="0" w:evenVBand="0" w:oddHBand="0" w:evenHBand="0" w:firstRowFirstColumn="0" w:firstRowLastColumn="0" w:lastRowFirstColumn="0" w:lastRowLastColumn="0"/>
            </w:pPr>
            <w:r>
              <w:t>96.5</w:t>
            </w:r>
          </w:p>
        </w:tc>
      </w:tr>
      <w:tr w:rsidR="00824558" w14:paraId="3C2B8B3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A7105C" w14:textId="77777777" w:rsidR="00824558" w:rsidRDefault="00824558">
            <w:pPr>
              <w:ind w:left="170"/>
            </w:pPr>
            <w:r>
              <w:rPr>
                <w:i/>
              </w:rPr>
              <w:t>The 2025-26 expected outcome is higher than the 2025-26 target, this reflects the efficiency of process to issue management letters.</w:t>
            </w:r>
          </w:p>
        </w:tc>
      </w:tr>
      <w:tr w:rsidR="00824558" w:rsidRPr="009C0A3D" w14:paraId="4E0EC05D"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D8979B3" w14:textId="77777777" w:rsidR="00824558" w:rsidRPr="009C0A3D" w:rsidRDefault="00824558">
            <w:pPr>
              <w:keepNext/>
              <w:rPr>
                <w:b/>
                <w:bCs/>
                <w:iCs/>
              </w:rPr>
            </w:pPr>
            <w:r w:rsidRPr="009C0A3D">
              <w:rPr>
                <w:b/>
                <w:bCs/>
                <w:iCs/>
              </w:rPr>
              <w:t>Cost</w:t>
            </w:r>
          </w:p>
        </w:tc>
      </w:tr>
      <w:tr w:rsidR="00824558" w14:paraId="0E2C62A2"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26F67ED6" w14:textId="77777777" w:rsidR="00824558" w:rsidRDefault="00824558">
            <w:pPr>
              <w:keepNext/>
              <w:ind w:left="170"/>
            </w:pPr>
            <w:r>
              <w:t>Total output cost</w:t>
            </w:r>
          </w:p>
        </w:tc>
        <w:tc>
          <w:tcPr>
            <w:tcW w:w="964" w:type="dxa"/>
          </w:tcPr>
          <w:p w14:paraId="596CA36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7C62B3F" w14:textId="77777777" w:rsidR="00824558" w:rsidRDefault="00824558">
            <w:pPr>
              <w:cnfStyle w:val="000000000000" w:firstRow="0" w:lastRow="0" w:firstColumn="0" w:lastColumn="0" w:oddVBand="0" w:evenVBand="0" w:oddHBand="0" w:evenHBand="0" w:firstRowFirstColumn="0" w:firstRowLastColumn="0" w:lastRowFirstColumn="0" w:lastRowLastColumn="0"/>
            </w:pPr>
            <w:r>
              <w:t>42.1</w:t>
            </w:r>
          </w:p>
        </w:tc>
        <w:tc>
          <w:tcPr>
            <w:tcW w:w="964" w:type="dxa"/>
          </w:tcPr>
          <w:p w14:paraId="4875CE87" w14:textId="77777777" w:rsidR="00824558" w:rsidRDefault="00824558">
            <w:pPr>
              <w:cnfStyle w:val="000000000000" w:firstRow="0" w:lastRow="0" w:firstColumn="0" w:lastColumn="0" w:oddVBand="0" w:evenVBand="0" w:oddHBand="0" w:evenHBand="0" w:firstRowFirstColumn="0" w:firstRowLastColumn="0" w:lastRowFirstColumn="0" w:lastRowLastColumn="0"/>
            </w:pPr>
            <w:r>
              <w:t>42.9</w:t>
            </w:r>
          </w:p>
        </w:tc>
        <w:tc>
          <w:tcPr>
            <w:tcW w:w="964" w:type="dxa"/>
          </w:tcPr>
          <w:p w14:paraId="6A80E52F" w14:textId="77777777" w:rsidR="00824558" w:rsidRDefault="00824558">
            <w:pPr>
              <w:cnfStyle w:val="000000000000" w:firstRow="0" w:lastRow="0" w:firstColumn="0" w:lastColumn="0" w:oddVBand="0" w:evenVBand="0" w:oddHBand="0" w:evenHBand="0" w:firstRowFirstColumn="0" w:firstRowLastColumn="0" w:lastRowFirstColumn="0" w:lastRowLastColumn="0"/>
            </w:pPr>
            <w:r>
              <w:t>40.9</w:t>
            </w:r>
          </w:p>
        </w:tc>
        <w:tc>
          <w:tcPr>
            <w:tcW w:w="964" w:type="dxa"/>
          </w:tcPr>
          <w:p w14:paraId="6DE53B9A" w14:textId="77777777" w:rsidR="00824558" w:rsidRDefault="00824558">
            <w:pPr>
              <w:cnfStyle w:val="000000000000" w:firstRow="0" w:lastRow="0" w:firstColumn="0" w:lastColumn="0" w:oddVBand="0" w:evenVBand="0" w:oddHBand="0" w:evenHBand="0" w:firstRowFirstColumn="0" w:firstRowLastColumn="0" w:lastRowFirstColumn="0" w:lastRowLastColumn="0"/>
            </w:pPr>
            <w:r>
              <w:t>40.5</w:t>
            </w:r>
          </w:p>
        </w:tc>
      </w:tr>
      <w:tr w:rsidR="00824558" w14:paraId="7797EF08"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7D092AE" w14:textId="77777777" w:rsidR="00824558" w:rsidRDefault="00824558">
            <w:pPr>
              <w:ind w:left="170"/>
            </w:pPr>
            <w:r>
              <w:rPr>
                <w:i/>
              </w:rPr>
              <w:t>The higher 2026-27 target reflects indexation of the 2025-26 target, based on the Wage Price Index, Victoria, Public Sector.</w:t>
            </w:r>
          </w:p>
        </w:tc>
      </w:tr>
    </w:tbl>
    <w:p w14:paraId="1AB9ED3C" w14:textId="7833142F" w:rsidR="00824558" w:rsidRDefault="00824558">
      <w:pPr>
        <w:pStyle w:val="Source"/>
      </w:pPr>
      <w:r>
        <w:t>Source: Victorian Auditor-General</w:t>
      </w:r>
      <w:r w:rsidR="007942D1">
        <w:t>’</w:t>
      </w:r>
      <w:r>
        <w:t>s Office</w:t>
      </w:r>
    </w:p>
    <w:p w14:paraId="69CEDCDA" w14:textId="77777777" w:rsidR="00824558" w:rsidRDefault="00824558">
      <w:pPr>
        <w:pStyle w:val="Heading3"/>
      </w:pPr>
      <w:r>
        <w:t>Parliamentary reports and services</w:t>
      </w:r>
      <w:r>
        <w:tab/>
        <w:t>(2026-27: $21.4 million)</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6881E41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FFB9107" w14:textId="77777777" w:rsidR="00824558" w:rsidRDefault="00824558">
            <w:r>
              <w:t>Performance measure</w:t>
            </w:r>
          </w:p>
        </w:tc>
        <w:tc>
          <w:tcPr>
            <w:tcW w:w="964" w:type="dxa"/>
          </w:tcPr>
          <w:p w14:paraId="30F7A0B8"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6DD914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1D1A3F5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12FD709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FD5CF6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58A0BEC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A17A84F" w14:textId="77777777" w:rsidR="00824558" w:rsidRPr="009C0A3D" w:rsidRDefault="00824558">
            <w:pPr>
              <w:keepNext/>
              <w:rPr>
                <w:b/>
                <w:bCs/>
                <w:iCs/>
              </w:rPr>
            </w:pPr>
            <w:r w:rsidRPr="009C0A3D">
              <w:rPr>
                <w:b/>
                <w:bCs/>
                <w:iCs/>
              </w:rPr>
              <w:t>Quantity</w:t>
            </w:r>
          </w:p>
        </w:tc>
      </w:tr>
      <w:tr w:rsidR="00824558" w14:paraId="6D26F757" w14:textId="77777777">
        <w:tc>
          <w:tcPr>
            <w:cnfStyle w:val="001000000000" w:firstRow="0" w:lastRow="0" w:firstColumn="1" w:lastColumn="0" w:oddVBand="0" w:evenVBand="0" w:oddHBand="0" w:evenHBand="0" w:firstRowFirstColumn="0" w:firstRowLastColumn="0" w:lastRowFirstColumn="0" w:lastRowLastColumn="0"/>
            <w:tcW w:w="4819" w:type="dxa"/>
          </w:tcPr>
          <w:p w14:paraId="29C2ED13" w14:textId="77777777" w:rsidR="00824558" w:rsidRDefault="00824558">
            <w:pPr>
              <w:keepNext/>
              <w:ind w:left="170"/>
            </w:pPr>
            <w:r>
              <w:t>Average appropriation applied for financial audit parliamentary reports</w:t>
            </w:r>
          </w:p>
        </w:tc>
        <w:tc>
          <w:tcPr>
            <w:tcW w:w="964" w:type="dxa"/>
          </w:tcPr>
          <w:p w14:paraId="360DA82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thousand</w:t>
            </w:r>
          </w:p>
        </w:tc>
        <w:tc>
          <w:tcPr>
            <w:tcW w:w="964" w:type="dxa"/>
            <w:shd w:val="clear" w:color="auto" w:fill="F0F0F0"/>
          </w:tcPr>
          <w:p w14:paraId="44F8A720" w14:textId="77777777" w:rsidR="00824558" w:rsidRDefault="00824558">
            <w:pPr>
              <w:cnfStyle w:val="000000000000" w:firstRow="0" w:lastRow="0" w:firstColumn="0" w:lastColumn="0" w:oddVBand="0" w:evenVBand="0" w:oddHBand="0" w:evenHBand="0" w:firstRowFirstColumn="0" w:firstRowLastColumn="0" w:lastRowFirstColumn="0" w:lastRowLastColumn="0"/>
            </w:pPr>
            <w:r>
              <w:t>283</w:t>
            </w:r>
          </w:p>
        </w:tc>
        <w:tc>
          <w:tcPr>
            <w:tcW w:w="964" w:type="dxa"/>
          </w:tcPr>
          <w:p w14:paraId="123050FE" w14:textId="77777777" w:rsidR="00824558" w:rsidRDefault="00824558">
            <w:pPr>
              <w:cnfStyle w:val="000000000000" w:firstRow="0" w:lastRow="0" w:firstColumn="0" w:lastColumn="0" w:oddVBand="0" w:evenVBand="0" w:oddHBand="0" w:evenHBand="0" w:firstRowFirstColumn="0" w:firstRowLastColumn="0" w:lastRowFirstColumn="0" w:lastRowLastColumn="0"/>
            </w:pPr>
            <w:r>
              <w:t>345</w:t>
            </w:r>
          </w:p>
        </w:tc>
        <w:tc>
          <w:tcPr>
            <w:tcW w:w="964" w:type="dxa"/>
          </w:tcPr>
          <w:p w14:paraId="629FD5FF" w14:textId="77777777" w:rsidR="00824558" w:rsidRDefault="00824558">
            <w:pPr>
              <w:cnfStyle w:val="000000000000" w:firstRow="0" w:lastRow="0" w:firstColumn="0" w:lastColumn="0" w:oddVBand="0" w:evenVBand="0" w:oddHBand="0" w:evenHBand="0" w:firstRowFirstColumn="0" w:firstRowLastColumn="0" w:lastRowFirstColumn="0" w:lastRowLastColumn="0"/>
            </w:pPr>
            <w:r>
              <w:t>275</w:t>
            </w:r>
          </w:p>
        </w:tc>
        <w:tc>
          <w:tcPr>
            <w:tcW w:w="964" w:type="dxa"/>
          </w:tcPr>
          <w:p w14:paraId="28E17A8B"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335594B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AEBC470" w14:textId="77777777" w:rsidR="00824558" w:rsidRDefault="00824558">
            <w:pPr>
              <w:ind w:left="170"/>
            </w:pPr>
            <w:r>
              <w:rPr>
                <w:i/>
              </w:rPr>
              <w:t>The 2025-26 expected outcome is higher than the 2025-26 target due to the additional complexity and breadth of analysis required for the independent audit of the Annual Financial Report.</w:t>
            </w:r>
          </w:p>
          <w:p w14:paraId="11DBABAC" w14:textId="77777777" w:rsidR="00824558" w:rsidRDefault="00824558">
            <w:pPr>
              <w:ind w:left="170"/>
            </w:pPr>
            <w:r>
              <w:rPr>
                <w:i/>
              </w:rPr>
              <w:t>The higher 2026-27 target reflects indexation of the 2025-26 target, based on the Wage Price Index, Victoria, Public Sector.</w:t>
            </w:r>
          </w:p>
        </w:tc>
      </w:tr>
      <w:tr w:rsidR="00824558" w14:paraId="24AC22F8" w14:textId="77777777">
        <w:tc>
          <w:tcPr>
            <w:cnfStyle w:val="001000000000" w:firstRow="0" w:lastRow="0" w:firstColumn="1" w:lastColumn="0" w:oddVBand="0" w:evenVBand="0" w:oddHBand="0" w:evenHBand="0" w:firstRowFirstColumn="0" w:firstRowLastColumn="0" w:lastRowFirstColumn="0" w:lastRowLastColumn="0"/>
            <w:tcW w:w="4819" w:type="dxa"/>
          </w:tcPr>
          <w:p w14:paraId="75360E68" w14:textId="77777777" w:rsidR="00824558" w:rsidRDefault="00824558">
            <w:pPr>
              <w:keepNext/>
              <w:ind w:left="170"/>
            </w:pPr>
            <w:r>
              <w:t>Average appropriation applied for performance assurance review parliamentary reports</w:t>
            </w:r>
          </w:p>
        </w:tc>
        <w:tc>
          <w:tcPr>
            <w:tcW w:w="964" w:type="dxa"/>
          </w:tcPr>
          <w:p w14:paraId="35D3B04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thousand</w:t>
            </w:r>
          </w:p>
        </w:tc>
        <w:tc>
          <w:tcPr>
            <w:tcW w:w="964" w:type="dxa"/>
            <w:shd w:val="clear" w:color="auto" w:fill="F0F0F0"/>
          </w:tcPr>
          <w:p w14:paraId="151D8CDA" w14:textId="77777777" w:rsidR="00824558" w:rsidRDefault="00824558">
            <w:pPr>
              <w:cnfStyle w:val="000000000000" w:firstRow="0" w:lastRow="0" w:firstColumn="0" w:lastColumn="0" w:oddVBand="0" w:evenVBand="0" w:oddHBand="0" w:evenHBand="0" w:firstRowFirstColumn="0" w:firstRowLastColumn="0" w:lastRowFirstColumn="0" w:lastRowLastColumn="0"/>
            </w:pPr>
            <w:r>
              <w:t>308.7</w:t>
            </w:r>
          </w:p>
        </w:tc>
        <w:tc>
          <w:tcPr>
            <w:tcW w:w="964" w:type="dxa"/>
          </w:tcPr>
          <w:p w14:paraId="29B13581" w14:textId="77777777" w:rsidR="00824558" w:rsidRDefault="00824558">
            <w:pPr>
              <w:cnfStyle w:val="000000000000" w:firstRow="0" w:lastRow="0" w:firstColumn="0" w:lastColumn="0" w:oddVBand="0" w:evenVBand="0" w:oddHBand="0" w:evenHBand="0" w:firstRowFirstColumn="0" w:firstRowLastColumn="0" w:lastRowFirstColumn="0" w:lastRowLastColumn="0"/>
            </w:pPr>
            <w:r>
              <w:t>439</w:t>
            </w:r>
          </w:p>
        </w:tc>
        <w:tc>
          <w:tcPr>
            <w:tcW w:w="964" w:type="dxa"/>
          </w:tcPr>
          <w:p w14:paraId="0E5E5315" w14:textId="77777777" w:rsidR="00824558" w:rsidRDefault="00824558">
            <w:pPr>
              <w:cnfStyle w:val="000000000000" w:firstRow="0" w:lastRow="0" w:firstColumn="0" w:lastColumn="0" w:oddVBand="0" w:evenVBand="0" w:oddHBand="0" w:evenHBand="0" w:firstRowFirstColumn="0" w:firstRowLastColumn="0" w:lastRowFirstColumn="0" w:lastRowLastColumn="0"/>
            </w:pPr>
            <w:r>
              <w:t>300</w:t>
            </w:r>
          </w:p>
        </w:tc>
        <w:tc>
          <w:tcPr>
            <w:tcW w:w="964" w:type="dxa"/>
          </w:tcPr>
          <w:p w14:paraId="53A60F77"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1C91B87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AC65CA8" w14:textId="77777777" w:rsidR="00824558" w:rsidRDefault="00824558">
            <w:pPr>
              <w:ind w:left="170"/>
            </w:pPr>
            <w:r>
              <w:rPr>
                <w:i/>
              </w:rPr>
              <w:t>The 2025-26 expected outcome is higher than the 2025-26 target, this reflects the responsiveness of auditees, and additional time spent addressing auditee feedback to ensure fair and accurate reporting.</w:t>
            </w:r>
          </w:p>
          <w:p w14:paraId="26DD8DB2" w14:textId="77777777" w:rsidR="00824558" w:rsidRDefault="00824558">
            <w:pPr>
              <w:ind w:left="170"/>
            </w:pPr>
            <w:r>
              <w:rPr>
                <w:i/>
              </w:rPr>
              <w:t>The higher 2026-27 target reflects indexation of the 2025-26 target, based on the Wage Price Index, Victoria, Public Sector.</w:t>
            </w:r>
          </w:p>
        </w:tc>
      </w:tr>
      <w:tr w:rsidR="00824558" w14:paraId="74057CFA" w14:textId="77777777">
        <w:tc>
          <w:tcPr>
            <w:cnfStyle w:val="001000000000" w:firstRow="0" w:lastRow="0" w:firstColumn="1" w:lastColumn="0" w:oddVBand="0" w:evenVBand="0" w:oddHBand="0" w:evenHBand="0" w:firstRowFirstColumn="0" w:firstRowLastColumn="0" w:lastRowFirstColumn="0" w:lastRowLastColumn="0"/>
            <w:tcW w:w="4819" w:type="dxa"/>
          </w:tcPr>
          <w:p w14:paraId="1D5E55B2" w14:textId="77777777" w:rsidR="00824558" w:rsidRDefault="00824558">
            <w:pPr>
              <w:keepNext/>
              <w:ind w:left="170"/>
            </w:pPr>
            <w:r>
              <w:t>Average appropriation applied for performance audit engagement parliamentary reports</w:t>
            </w:r>
          </w:p>
        </w:tc>
        <w:tc>
          <w:tcPr>
            <w:tcW w:w="964" w:type="dxa"/>
          </w:tcPr>
          <w:p w14:paraId="470A447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thousand</w:t>
            </w:r>
          </w:p>
        </w:tc>
        <w:tc>
          <w:tcPr>
            <w:tcW w:w="964" w:type="dxa"/>
            <w:shd w:val="clear" w:color="auto" w:fill="F0F0F0"/>
          </w:tcPr>
          <w:p w14:paraId="6FF04E0F" w14:textId="77777777" w:rsidR="00824558" w:rsidRDefault="00824558">
            <w:pPr>
              <w:cnfStyle w:val="000000000000" w:firstRow="0" w:lastRow="0" w:firstColumn="0" w:lastColumn="0" w:oddVBand="0" w:evenVBand="0" w:oddHBand="0" w:evenHBand="0" w:firstRowFirstColumn="0" w:firstRowLastColumn="0" w:lastRowFirstColumn="0" w:lastRowLastColumn="0"/>
            </w:pPr>
            <w:r>
              <w:t>668.9</w:t>
            </w:r>
          </w:p>
        </w:tc>
        <w:tc>
          <w:tcPr>
            <w:tcW w:w="964" w:type="dxa"/>
          </w:tcPr>
          <w:p w14:paraId="70EF7953" w14:textId="77777777" w:rsidR="00824558" w:rsidRDefault="00824558">
            <w:pPr>
              <w:cnfStyle w:val="000000000000" w:firstRow="0" w:lastRow="0" w:firstColumn="0" w:lastColumn="0" w:oddVBand="0" w:evenVBand="0" w:oddHBand="0" w:evenHBand="0" w:firstRowFirstColumn="0" w:firstRowLastColumn="0" w:lastRowFirstColumn="0" w:lastRowLastColumn="0"/>
            </w:pPr>
            <w:r>
              <w:t>818</w:t>
            </w:r>
          </w:p>
        </w:tc>
        <w:tc>
          <w:tcPr>
            <w:tcW w:w="964" w:type="dxa"/>
          </w:tcPr>
          <w:p w14:paraId="2E0E6A4D" w14:textId="77777777" w:rsidR="00824558" w:rsidRDefault="00824558">
            <w:pPr>
              <w:cnfStyle w:val="000000000000" w:firstRow="0" w:lastRow="0" w:firstColumn="0" w:lastColumn="0" w:oddVBand="0" w:evenVBand="0" w:oddHBand="0" w:evenHBand="0" w:firstRowFirstColumn="0" w:firstRowLastColumn="0" w:lastRowFirstColumn="0" w:lastRowLastColumn="0"/>
            </w:pPr>
            <w:r>
              <w:t>650</w:t>
            </w:r>
          </w:p>
        </w:tc>
        <w:tc>
          <w:tcPr>
            <w:tcW w:w="964" w:type="dxa"/>
          </w:tcPr>
          <w:p w14:paraId="7A10DD44"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42F9955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9865A7" w14:textId="77777777" w:rsidR="00824558" w:rsidRDefault="00824558">
            <w:pPr>
              <w:ind w:left="170"/>
            </w:pPr>
            <w:r>
              <w:rPr>
                <w:i/>
              </w:rPr>
              <w:t>The 2025-26 expected outcome is higher than the 2025-26 target due to the broad scope and complexity of Parliamentary reports.</w:t>
            </w:r>
          </w:p>
          <w:p w14:paraId="1E8081A0" w14:textId="77777777" w:rsidR="00824558" w:rsidRDefault="00824558">
            <w:pPr>
              <w:ind w:left="170"/>
            </w:pPr>
            <w:r>
              <w:rPr>
                <w:i/>
              </w:rPr>
              <w:t>The higher 2026-27 target reflects indexation of the 2025-26 target, based on the Wage Price Index, Victoria, Public Sector.</w:t>
            </w:r>
          </w:p>
        </w:tc>
      </w:tr>
      <w:tr w:rsidR="00824558" w:rsidRPr="009C0A3D" w14:paraId="2B51382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BE2151F" w14:textId="77777777" w:rsidR="00824558" w:rsidRPr="009C0A3D" w:rsidRDefault="00824558">
            <w:pPr>
              <w:keepNext/>
              <w:rPr>
                <w:b/>
                <w:bCs/>
                <w:iCs/>
              </w:rPr>
            </w:pPr>
            <w:r w:rsidRPr="009C0A3D">
              <w:rPr>
                <w:b/>
                <w:bCs/>
                <w:iCs/>
              </w:rPr>
              <w:t>Quality</w:t>
            </w:r>
          </w:p>
        </w:tc>
      </w:tr>
      <w:tr w:rsidR="00824558" w14:paraId="4973FA0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5E40D9A" w14:textId="77777777" w:rsidR="00824558" w:rsidRDefault="00824558">
            <w:pPr>
              <w:ind w:left="170"/>
            </w:pPr>
            <w:r>
              <w:t>Overall level of external satisfaction with parliamentary reports–parliamentarians</w:t>
            </w:r>
          </w:p>
        </w:tc>
        <w:tc>
          <w:tcPr>
            <w:tcW w:w="964" w:type="dxa"/>
            <w:tcBorders>
              <w:bottom w:val="single" w:sz="6" w:space="0" w:color="auto"/>
            </w:tcBorders>
          </w:tcPr>
          <w:p w14:paraId="78EABA3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FF5BD3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1680772"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3EF289EA"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Borders>
              <w:bottom w:val="single" w:sz="6" w:space="0" w:color="auto"/>
            </w:tcBorders>
          </w:tcPr>
          <w:p w14:paraId="79A1A641" w14:textId="77777777" w:rsidR="00824558" w:rsidRDefault="00824558">
            <w:pPr>
              <w:cnfStyle w:val="000000000000" w:firstRow="0" w:lastRow="0" w:firstColumn="0" w:lastColumn="0" w:oddVBand="0" w:evenVBand="0" w:oddHBand="0" w:evenHBand="0" w:firstRowFirstColumn="0" w:firstRowLastColumn="0" w:lastRowFirstColumn="0" w:lastRowLastColumn="0"/>
            </w:pPr>
            <w:r>
              <w:t>78.8</w:t>
            </w:r>
          </w:p>
        </w:tc>
      </w:tr>
      <w:tr w:rsidR="00824558" w14:paraId="09759D8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14CE167" w14:textId="77777777" w:rsidR="00824558" w:rsidRDefault="00824558">
            <w:pPr>
              <w:ind w:left="170"/>
            </w:pPr>
            <w:r>
              <w:t>Percentage of financial audit recommendations accepted which are reported as implemented by audited agencies</w:t>
            </w:r>
          </w:p>
        </w:tc>
        <w:tc>
          <w:tcPr>
            <w:tcW w:w="964" w:type="dxa"/>
            <w:tcBorders>
              <w:bottom w:val="single" w:sz="6" w:space="0" w:color="auto"/>
            </w:tcBorders>
          </w:tcPr>
          <w:p w14:paraId="7D6FD89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6D65269"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72454E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7D9AB5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48FBDEB"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62D78F3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0288CD3" w14:textId="77777777" w:rsidR="00824558" w:rsidRDefault="00824558">
            <w:pPr>
              <w:ind w:left="170"/>
            </w:pPr>
            <w:r>
              <w:t>Percentage of performance assurance review recommendations accepted which are reported as implemented by audited agencies</w:t>
            </w:r>
          </w:p>
        </w:tc>
        <w:tc>
          <w:tcPr>
            <w:tcW w:w="964" w:type="dxa"/>
            <w:tcBorders>
              <w:bottom w:val="single" w:sz="6" w:space="0" w:color="auto"/>
            </w:tcBorders>
          </w:tcPr>
          <w:p w14:paraId="2EAF332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24A110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E7AE6D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BF6CF0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670075F"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1D59F4EA"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29E2AAB" w14:textId="77777777" w:rsidR="00824558" w:rsidRDefault="00824558">
            <w:pPr>
              <w:ind w:left="170"/>
            </w:pPr>
            <w:r>
              <w:t>Percentage of performance audit engagement recommendations accepted which are reported as implemented by audited agencies</w:t>
            </w:r>
          </w:p>
        </w:tc>
        <w:tc>
          <w:tcPr>
            <w:tcW w:w="964" w:type="dxa"/>
            <w:tcBorders>
              <w:bottom w:val="single" w:sz="6" w:space="0" w:color="auto"/>
            </w:tcBorders>
          </w:tcPr>
          <w:p w14:paraId="08D7950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17BE14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87EBEE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16D4A40"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8C65FE6"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rsidRPr="009C0A3D" w14:paraId="16E565B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F15803D" w14:textId="77777777" w:rsidR="00824558" w:rsidRPr="009C0A3D" w:rsidRDefault="00824558">
            <w:pPr>
              <w:keepNext/>
              <w:rPr>
                <w:b/>
                <w:bCs/>
                <w:iCs/>
              </w:rPr>
            </w:pPr>
            <w:r w:rsidRPr="009C0A3D">
              <w:rPr>
                <w:b/>
                <w:bCs/>
                <w:iCs/>
              </w:rPr>
              <w:t>Timeliness</w:t>
            </w:r>
          </w:p>
        </w:tc>
      </w:tr>
      <w:tr w:rsidR="00824558" w14:paraId="136F7FB1" w14:textId="77777777">
        <w:tc>
          <w:tcPr>
            <w:cnfStyle w:val="001000000000" w:firstRow="0" w:lastRow="0" w:firstColumn="1" w:lastColumn="0" w:oddVBand="0" w:evenVBand="0" w:oddHBand="0" w:evenHBand="0" w:firstRowFirstColumn="0" w:firstRowLastColumn="0" w:lastRowFirstColumn="0" w:lastRowLastColumn="0"/>
            <w:tcW w:w="4819" w:type="dxa"/>
          </w:tcPr>
          <w:p w14:paraId="797C4192" w14:textId="77777777" w:rsidR="00824558" w:rsidRDefault="00824558">
            <w:pPr>
              <w:keepNext/>
              <w:ind w:left="170"/>
            </w:pPr>
            <w:r>
              <w:t>Average duration taken to finalise responses to inquiries from Members of Parliament</w:t>
            </w:r>
          </w:p>
        </w:tc>
        <w:tc>
          <w:tcPr>
            <w:tcW w:w="964" w:type="dxa"/>
          </w:tcPr>
          <w:p w14:paraId="2EEC764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40832FFB" w14:textId="34A780C6"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20</w:t>
            </w:r>
          </w:p>
        </w:tc>
        <w:tc>
          <w:tcPr>
            <w:tcW w:w="964" w:type="dxa"/>
          </w:tcPr>
          <w:p w14:paraId="03D47905" w14:textId="77777777" w:rsidR="00824558" w:rsidRDefault="00824558">
            <w:pPr>
              <w:cnfStyle w:val="000000000000" w:firstRow="0" w:lastRow="0" w:firstColumn="0" w:lastColumn="0" w:oddVBand="0" w:evenVBand="0" w:oddHBand="0" w:evenHBand="0" w:firstRowFirstColumn="0" w:firstRowLastColumn="0" w:lastRowFirstColumn="0" w:lastRowLastColumn="0"/>
            </w:pPr>
            <w:r>
              <w:t>14.8</w:t>
            </w:r>
          </w:p>
        </w:tc>
        <w:tc>
          <w:tcPr>
            <w:tcW w:w="964" w:type="dxa"/>
          </w:tcPr>
          <w:p w14:paraId="09335736" w14:textId="2A127C5B"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20</w:t>
            </w:r>
          </w:p>
        </w:tc>
        <w:tc>
          <w:tcPr>
            <w:tcW w:w="964" w:type="dxa"/>
          </w:tcPr>
          <w:p w14:paraId="11A57468" w14:textId="77777777" w:rsidR="00824558" w:rsidRDefault="00824558">
            <w:pPr>
              <w:cnfStyle w:val="000000000000" w:firstRow="0" w:lastRow="0" w:firstColumn="0" w:lastColumn="0" w:oddVBand="0" w:evenVBand="0" w:oddHBand="0" w:evenHBand="0" w:firstRowFirstColumn="0" w:firstRowLastColumn="0" w:lastRowFirstColumn="0" w:lastRowLastColumn="0"/>
            </w:pPr>
            <w:r>
              <w:t>11.7</w:t>
            </w:r>
          </w:p>
        </w:tc>
      </w:tr>
      <w:tr w:rsidR="00824558" w14:paraId="21E2D0C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7826ED6" w14:textId="77777777" w:rsidR="00824558" w:rsidRDefault="00824558">
            <w:pPr>
              <w:ind w:left="170"/>
            </w:pPr>
            <w:r>
              <w:rPr>
                <w:i/>
              </w:rPr>
              <w:t xml:space="preserve">The 2025-26 expected outcome is lower than the 2025-26 target due to increased capacity to process responses. </w:t>
            </w:r>
          </w:p>
        </w:tc>
      </w:tr>
      <w:tr w:rsidR="00824558" w14:paraId="1EF25ADB" w14:textId="77777777">
        <w:tc>
          <w:tcPr>
            <w:cnfStyle w:val="001000000000" w:firstRow="0" w:lastRow="0" w:firstColumn="1" w:lastColumn="0" w:oddVBand="0" w:evenVBand="0" w:oddHBand="0" w:evenHBand="0" w:firstRowFirstColumn="0" w:firstRowLastColumn="0" w:lastRowFirstColumn="0" w:lastRowLastColumn="0"/>
            <w:tcW w:w="4819" w:type="dxa"/>
          </w:tcPr>
          <w:p w14:paraId="1570FFC6" w14:textId="77777777" w:rsidR="00824558" w:rsidRDefault="00824558">
            <w:pPr>
              <w:keepNext/>
              <w:ind w:left="170"/>
            </w:pPr>
            <w:r>
              <w:t>Average duration taken to produce financial audit parliamentary reports after balance date</w:t>
            </w:r>
          </w:p>
        </w:tc>
        <w:tc>
          <w:tcPr>
            <w:tcW w:w="964" w:type="dxa"/>
          </w:tcPr>
          <w:p w14:paraId="2B11045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shd w:val="clear" w:color="auto" w:fill="F0F0F0"/>
          </w:tcPr>
          <w:p w14:paraId="46E0DE17" w14:textId="1903F86F"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5</w:t>
            </w:r>
          </w:p>
        </w:tc>
        <w:tc>
          <w:tcPr>
            <w:tcW w:w="964" w:type="dxa"/>
          </w:tcPr>
          <w:p w14:paraId="3BB4F9B0" w14:textId="77777777" w:rsidR="00824558" w:rsidRDefault="00824558">
            <w:pPr>
              <w:cnfStyle w:val="000000000000" w:firstRow="0" w:lastRow="0" w:firstColumn="0" w:lastColumn="0" w:oddVBand="0" w:evenVBand="0" w:oddHBand="0" w:evenHBand="0" w:firstRowFirstColumn="0" w:firstRowLastColumn="0" w:lastRowFirstColumn="0" w:lastRowLastColumn="0"/>
            </w:pPr>
            <w:r>
              <w:t>6.1</w:t>
            </w:r>
          </w:p>
        </w:tc>
        <w:tc>
          <w:tcPr>
            <w:tcW w:w="964" w:type="dxa"/>
          </w:tcPr>
          <w:p w14:paraId="28DBACE8" w14:textId="77777777" w:rsidR="00824558" w:rsidRDefault="00824558">
            <w:pPr>
              <w:cnfStyle w:val="000000000000" w:firstRow="0" w:lastRow="0" w:firstColumn="0" w:lastColumn="0" w:oddVBand="0" w:evenVBand="0" w:oddHBand="0" w:evenHBand="0" w:firstRowFirstColumn="0" w:firstRowLastColumn="0" w:lastRowFirstColumn="0" w:lastRowLastColumn="0"/>
            </w:pPr>
            <w:r>
              <w:t>≤5</w:t>
            </w:r>
          </w:p>
        </w:tc>
        <w:tc>
          <w:tcPr>
            <w:tcW w:w="964" w:type="dxa"/>
          </w:tcPr>
          <w:p w14:paraId="0E84FD34" w14:textId="77777777" w:rsidR="00824558" w:rsidRDefault="00824558">
            <w:pPr>
              <w:cnfStyle w:val="000000000000" w:firstRow="0" w:lastRow="0" w:firstColumn="0" w:lastColumn="0" w:oddVBand="0" w:evenVBand="0" w:oddHBand="0" w:evenHBand="0" w:firstRowFirstColumn="0" w:firstRowLastColumn="0" w:lastRowFirstColumn="0" w:lastRowLastColumn="0"/>
            </w:pPr>
            <w:r>
              <w:t>6.6</w:t>
            </w:r>
          </w:p>
        </w:tc>
      </w:tr>
      <w:tr w:rsidR="00824558" w14:paraId="1DAB07F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294486B" w14:textId="35D477BA" w:rsidR="00824558" w:rsidRDefault="00824558">
            <w:pPr>
              <w:ind w:left="170"/>
            </w:pPr>
            <w:r>
              <w:rPr>
                <w:i/>
              </w:rPr>
              <w:t xml:space="preserve">The </w:t>
            </w:r>
            <w:r w:rsidR="008F7A05">
              <w:rPr>
                <w:i/>
              </w:rPr>
              <w:t>2025-26</w:t>
            </w:r>
            <w:r>
              <w:rPr>
                <w:i/>
              </w:rPr>
              <w:t xml:space="preserve"> expected outcome exceeds the </w:t>
            </w:r>
            <w:r w:rsidR="008F7A05">
              <w:rPr>
                <w:i/>
              </w:rPr>
              <w:t>2025-26</w:t>
            </w:r>
            <w:r>
              <w:rPr>
                <w:i/>
              </w:rPr>
              <w:t xml:space="preserve"> target due to reporting process delays.</w:t>
            </w:r>
          </w:p>
        </w:tc>
      </w:tr>
      <w:tr w:rsidR="00824558" w14:paraId="1591EDE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55C5E93" w14:textId="77777777" w:rsidR="00824558" w:rsidRDefault="00824558">
            <w:pPr>
              <w:ind w:left="170"/>
            </w:pPr>
            <w:r>
              <w:t>Average duration taken to produce performance assurance review parliamentary reports</w:t>
            </w:r>
          </w:p>
        </w:tc>
        <w:tc>
          <w:tcPr>
            <w:tcW w:w="964" w:type="dxa"/>
            <w:tcBorders>
              <w:bottom w:val="single" w:sz="6" w:space="0" w:color="auto"/>
            </w:tcBorders>
          </w:tcPr>
          <w:p w14:paraId="03A505D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tcBorders>
              <w:bottom w:val="single" w:sz="6" w:space="0" w:color="auto"/>
            </w:tcBorders>
            <w:shd w:val="clear" w:color="auto" w:fill="F0F0F0"/>
          </w:tcPr>
          <w:p w14:paraId="6CDD09A6" w14:textId="485E7F42"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7</w:t>
            </w:r>
          </w:p>
        </w:tc>
        <w:tc>
          <w:tcPr>
            <w:tcW w:w="964" w:type="dxa"/>
            <w:tcBorders>
              <w:bottom w:val="single" w:sz="6" w:space="0" w:color="auto"/>
            </w:tcBorders>
          </w:tcPr>
          <w:p w14:paraId="76C826A1" w14:textId="77777777" w:rsidR="00824558" w:rsidRDefault="00824558">
            <w:pPr>
              <w:cnfStyle w:val="000000000000" w:firstRow="0" w:lastRow="0" w:firstColumn="0" w:lastColumn="0" w:oddVBand="0" w:evenVBand="0" w:oddHBand="0" w:evenHBand="0" w:firstRowFirstColumn="0" w:firstRowLastColumn="0" w:lastRowFirstColumn="0" w:lastRowLastColumn="0"/>
            </w:pPr>
            <w:r>
              <w:t>6.7</w:t>
            </w:r>
          </w:p>
        </w:tc>
        <w:tc>
          <w:tcPr>
            <w:tcW w:w="964" w:type="dxa"/>
            <w:tcBorders>
              <w:bottom w:val="single" w:sz="6" w:space="0" w:color="auto"/>
            </w:tcBorders>
          </w:tcPr>
          <w:p w14:paraId="777EDC1B" w14:textId="22398800"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7</w:t>
            </w:r>
          </w:p>
        </w:tc>
        <w:tc>
          <w:tcPr>
            <w:tcW w:w="964" w:type="dxa"/>
            <w:tcBorders>
              <w:bottom w:val="single" w:sz="6" w:space="0" w:color="auto"/>
            </w:tcBorders>
          </w:tcPr>
          <w:p w14:paraId="58CEEE1F"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3AAB75EC" w14:textId="77777777">
        <w:tc>
          <w:tcPr>
            <w:cnfStyle w:val="001000000000" w:firstRow="0" w:lastRow="0" w:firstColumn="1" w:lastColumn="0" w:oddVBand="0" w:evenVBand="0" w:oddHBand="0" w:evenHBand="0" w:firstRowFirstColumn="0" w:firstRowLastColumn="0" w:lastRowFirstColumn="0" w:lastRowLastColumn="0"/>
            <w:tcW w:w="4819" w:type="dxa"/>
          </w:tcPr>
          <w:p w14:paraId="1A60C489" w14:textId="77777777" w:rsidR="00824558" w:rsidRDefault="00824558">
            <w:pPr>
              <w:keepNext/>
              <w:ind w:left="170"/>
            </w:pPr>
            <w:r>
              <w:t>Average duration taken to produce performance audit engagement parliamentary reports</w:t>
            </w:r>
          </w:p>
        </w:tc>
        <w:tc>
          <w:tcPr>
            <w:tcW w:w="964" w:type="dxa"/>
          </w:tcPr>
          <w:p w14:paraId="0D607AC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months</w:t>
            </w:r>
          </w:p>
        </w:tc>
        <w:tc>
          <w:tcPr>
            <w:tcW w:w="964" w:type="dxa"/>
            <w:shd w:val="clear" w:color="auto" w:fill="F0F0F0"/>
          </w:tcPr>
          <w:p w14:paraId="495341A4" w14:textId="6C44E502"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10</w:t>
            </w:r>
          </w:p>
        </w:tc>
        <w:tc>
          <w:tcPr>
            <w:tcW w:w="964" w:type="dxa"/>
          </w:tcPr>
          <w:p w14:paraId="1A0A1B81" w14:textId="77777777" w:rsidR="00824558" w:rsidRDefault="00824558">
            <w:pPr>
              <w:cnfStyle w:val="000000000000" w:firstRow="0" w:lastRow="0" w:firstColumn="0" w:lastColumn="0" w:oddVBand="0" w:evenVBand="0" w:oddHBand="0" w:evenHBand="0" w:firstRowFirstColumn="0" w:firstRowLastColumn="0" w:lastRowFirstColumn="0" w:lastRowLastColumn="0"/>
            </w:pPr>
            <w:r>
              <w:t>11.6</w:t>
            </w:r>
          </w:p>
        </w:tc>
        <w:tc>
          <w:tcPr>
            <w:tcW w:w="964" w:type="dxa"/>
          </w:tcPr>
          <w:p w14:paraId="10CDDF0F" w14:textId="142332C8" w:rsidR="00824558" w:rsidRDefault="00824558">
            <w:pPr>
              <w:cnfStyle w:val="000000000000" w:firstRow="0" w:lastRow="0" w:firstColumn="0" w:lastColumn="0" w:oddVBand="0" w:evenVBand="0" w:oddHBand="0" w:evenHBand="0" w:firstRowFirstColumn="0" w:firstRowLastColumn="0" w:lastRowFirstColumn="0" w:lastRowLastColumn="0"/>
            </w:pPr>
            <w:r>
              <w:t>≤</w:t>
            </w:r>
            <w:r w:rsidR="009C0A3D">
              <w:t xml:space="preserve"> </w:t>
            </w:r>
            <w:r>
              <w:t>10</w:t>
            </w:r>
          </w:p>
        </w:tc>
        <w:tc>
          <w:tcPr>
            <w:tcW w:w="964" w:type="dxa"/>
          </w:tcPr>
          <w:p w14:paraId="44F308F5" w14:textId="77777777" w:rsidR="00824558" w:rsidRDefault="00824558">
            <w:pPr>
              <w:cnfStyle w:val="000000000000" w:firstRow="0" w:lastRow="0" w:firstColumn="0" w:lastColumn="0" w:oddVBand="0" w:evenVBand="0" w:oddHBand="0" w:evenHBand="0" w:firstRowFirstColumn="0" w:firstRowLastColumn="0" w:lastRowFirstColumn="0" w:lastRowLastColumn="0"/>
            </w:pPr>
            <w:r>
              <w:t>n.a.</w:t>
            </w:r>
          </w:p>
        </w:tc>
      </w:tr>
      <w:tr w:rsidR="00824558" w14:paraId="131BC4B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ED7AD2F" w14:textId="6BE21F22" w:rsidR="00824558" w:rsidRDefault="00824558">
            <w:pPr>
              <w:ind w:left="170"/>
            </w:pPr>
            <w:r>
              <w:rPr>
                <w:i/>
              </w:rPr>
              <w:t xml:space="preserve">The </w:t>
            </w:r>
            <w:r w:rsidR="008F7A05">
              <w:rPr>
                <w:i/>
              </w:rPr>
              <w:t>2025-26</w:t>
            </w:r>
            <w:r>
              <w:rPr>
                <w:i/>
              </w:rPr>
              <w:t xml:space="preserve"> expected outcome is higher than the 2025-26 target due to the broad scope of some reports.</w:t>
            </w:r>
          </w:p>
        </w:tc>
      </w:tr>
      <w:tr w:rsidR="00824558" w:rsidRPr="009C0A3D" w14:paraId="48700FA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B571FEA" w14:textId="77777777" w:rsidR="00824558" w:rsidRPr="009C0A3D" w:rsidRDefault="00824558">
            <w:pPr>
              <w:keepNext/>
              <w:rPr>
                <w:b/>
                <w:bCs/>
                <w:iCs/>
              </w:rPr>
            </w:pPr>
            <w:r w:rsidRPr="009C0A3D">
              <w:rPr>
                <w:b/>
                <w:bCs/>
                <w:iCs/>
              </w:rPr>
              <w:t>Cost</w:t>
            </w:r>
          </w:p>
        </w:tc>
      </w:tr>
      <w:tr w:rsidR="00824558" w14:paraId="6D1F8F10"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0E1543A0" w14:textId="77777777" w:rsidR="00824558" w:rsidRDefault="00824558">
            <w:pPr>
              <w:keepNext/>
              <w:ind w:left="170"/>
            </w:pPr>
            <w:r>
              <w:t>Total output cost</w:t>
            </w:r>
          </w:p>
        </w:tc>
        <w:tc>
          <w:tcPr>
            <w:tcW w:w="964" w:type="dxa"/>
          </w:tcPr>
          <w:p w14:paraId="60D00F5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8E86720" w14:textId="77777777" w:rsidR="00824558" w:rsidRDefault="00824558">
            <w:pPr>
              <w:cnfStyle w:val="000000000000" w:firstRow="0" w:lastRow="0" w:firstColumn="0" w:lastColumn="0" w:oddVBand="0" w:evenVBand="0" w:oddHBand="0" w:evenHBand="0" w:firstRowFirstColumn="0" w:firstRowLastColumn="0" w:lastRowFirstColumn="0" w:lastRowLastColumn="0"/>
            </w:pPr>
            <w:r>
              <w:t>21.4</w:t>
            </w:r>
          </w:p>
        </w:tc>
        <w:tc>
          <w:tcPr>
            <w:tcW w:w="964" w:type="dxa"/>
          </w:tcPr>
          <w:p w14:paraId="76C90226" w14:textId="77777777" w:rsidR="00824558" w:rsidRDefault="00824558">
            <w:pPr>
              <w:cnfStyle w:val="000000000000" w:firstRow="0" w:lastRow="0" w:firstColumn="0" w:lastColumn="0" w:oddVBand="0" w:evenVBand="0" w:oddHBand="0" w:evenHBand="0" w:firstRowFirstColumn="0" w:firstRowLastColumn="0" w:lastRowFirstColumn="0" w:lastRowLastColumn="0"/>
            </w:pPr>
            <w:r>
              <w:t>20.6</w:t>
            </w:r>
          </w:p>
        </w:tc>
        <w:tc>
          <w:tcPr>
            <w:tcW w:w="964" w:type="dxa"/>
          </w:tcPr>
          <w:p w14:paraId="18646F9B" w14:textId="77777777" w:rsidR="00824558" w:rsidRDefault="00824558">
            <w:pPr>
              <w:cnfStyle w:val="000000000000" w:firstRow="0" w:lastRow="0" w:firstColumn="0" w:lastColumn="0" w:oddVBand="0" w:evenVBand="0" w:oddHBand="0" w:evenHBand="0" w:firstRowFirstColumn="0" w:firstRowLastColumn="0" w:lastRowFirstColumn="0" w:lastRowLastColumn="0"/>
            </w:pPr>
            <w:r>
              <w:t>20.8</w:t>
            </w:r>
          </w:p>
        </w:tc>
        <w:tc>
          <w:tcPr>
            <w:tcW w:w="964" w:type="dxa"/>
          </w:tcPr>
          <w:p w14:paraId="601A5444" w14:textId="77777777" w:rsidR="00824558" w:rsidRDefault="00824558">
            <w:pPr>
              <w:cnfStyle w:val="000000000000" w:firstRow="0" w:lastRow="0" w:firstColumn="0" w:lastColumn="0" w:oddVBand="0" w:evenVBand="0" w:oddHBand="0" w:evenHBand="0" w:firstRowFirstColumn="0" w:firstRowLastColumn="0" w:lastRowFirstColumn="0" w:lastRowLastColumn="0"/>
            </w:pPr>
            <w:r>
              <w:t>19.6</w:t>
            </w:r>
          </w:p>
        </w:tc>
      </w:tr>
      <w:tr w:rsidR="00824558" w14:paraId="6479FC51"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EC05B43" w14:textId="77777777" w:rsidR="00824558" w:rsidRDefault="00824558">
            <w:pPr>
              <w:ind w:left="170"/>
            </w:pPr>
            <w:r>
              <w:rPr>
                <w:i/>
              </w:rPr>
              <w:t>The higher 2026-27 target reflects indexation of the 2025-26 target, based on the Wage Price Index, Victoria, Public Sector.</w:t>
            </w:r>
          </w:p>
        </w:tc>
      </w:tr>
    </w:tbl>
    <w:p w14:paraId="36D1ADAE" w14:textId="69792FA6" w:rsidR="00824558" w:rsidRDefault="00824558">
      <w:pPr>
        <w:pStyle w:val="Source"/>
      </w:pPr>
      <w:r>
        <w:t>Source: Victorian Auditor-General</w:t>
      </w:r>
      <w:r w:rsidR="007942D1">
        <w:t>’</w:t>
      </w:r>
      <w:r>
        <w:t>s Office</w:t>
      </w:r>
    </w:p>
    <w:p w14:paraId="2500C886" w14:textId="2403568D" w:rsidR="00824558" w:rsidRDefault="00824558">
      <w:pPr>
        <w:pStyle w:val="Heading3"/>
      </w:pPr>
      <w:r>
        <w:t>Independent Broad-based Anti-corruption Commission</w:t>
      </w:r>
      <w:r>
        <w:tab/>
        <w:t>(2026-27: $69.2 million)</w:t>
      </w:r>
    </w:p>
    <w:p w14:paraId="2A198E21" w14:textId="77777777" w:rsidR="00824558" w:rsidRPr="00152F1D" w:rsidRDefault="00824558">
      <w:pPr>
        <w:keepNext/>
        <w:rPr>
          <w:rFonts w:eastAsiaTheme="majorEastAsia" w:cstheme="majorBidi"/>
          <w:bCs/>
          <w:color w:val="000000" w:themeColor="text1"/>
          <w:sz w:val="23"/>
          <w:szCs w:val="23"/>
        </w:rPr>
      </w:pPr>
      <w:r w:rsidRPr="00152F1D">
        <w:rPr>
          <w:rFonts w:eastAsiaTheme="majorEastAsia" w:cstheme="majorBidi"/>
          <w:bCs/>
          <w:color w:val="000000" w:themeColor="text1"/>
          <w:sz w:val="23"/>
          <w:szCs w:val="23"/>
        </w:rPr>
        <w:t xml:space="preserve">IBAC aims to prevent and expose public sector corruption and police misconduct in Victoria </w:t>
      </w:r>
      <w:r w:rsidRPr="00152F1D">
        <w:t>by</w:t>
      </w:r>
      <w:r w:rsidRPr="00152F1D">
        <w:rPr>
          <w:rFonts w:eastAsiaTheme="majorEastAsia" w:cstheme="majorBidi"/>
          <w:bCs/>
          <w:color w:val="000000" w:themeColor="text1"/>
          <w:sz w:val="23"/>
          <w:szCs w:val="23"/>
        </w:rPr>
        <w:t xml:space="preserve">: </w:t>
      </w:r>
    </w:p>
    <w:p w14:paraId="316E4C79" w14:textId="77777777" w:rsidR="00824558" w:rsidRPr="00152F1D" w:rsidRDefault="00824558">
      <w:pPr>
        <w:pStyle w:val="ListBullet"/>
        <w:tabs>
          <w:tab w:val="clear" w:pos="360"/>
        </w:tabs>
        <w:ind w:left="340" w:hanging="340"/>
      </w:pPr>
      <w:r w:rsidRPr="00152F1D">
        <w:t xml:space="preserve">receiving and assessing complaints and notifications, including assessing all complaints to see if they qualify as public interest disclosures </w:t>
      </w:r>
    </w:p>
    <w:p w14:paraId="6F78988B" w14:textId="77777777" w:rsidR="00824558" w:rsidRPr="007A4BAA" w:rsidRDefault="00824558">
      <w:pPr>
        <w:pStyle w:val="ListBullet"/>
        <w:tabs>
          <w:tab w:val="clear" w:pos="360"/>
        </w:tabs>
        <w:ind w:left="340" w:hanging="340"/>
      </w:pPr>
      <w:r w:rsidRPr="007A4BAA">
        <w:t xml:space="preserve">referring matters to other appropriate agencies (such as public sector bodies and integrity agencies) for action </w:t>
      </w:r>
      <w:r w:rsidRPr="00717F3C">
        <w:t>and reviewing Police and Public sector investigations to assess if they are thorough, impartial and timely</w:t>
      </w:r>
    </w:p>
    <w:p w14:paraId="0080FD7E" w14:textId="77777777" w:rsidR="00824558" w:rsidRDefault="00824558">
      <w:pPr>
        <w:pStyle w:val="ListBullet"/>
        <w:tabs>
          <w:tab w:val="clear" w:pos="360"/>
        </w:tabs>
        <w:ind w:left="340" w:hanging="340"/>
      </w:pPr>
      <w:r w:rsidRPr="007A4BAA">
        <w:t>investigating allegations of serious or systemic corruption and police misconduct</w:t>
      </w:r>
    </w:p>
    <w:p w14:paraId="6F897AF3" w14:textId="77777777" w:rsidR="00824558" w:rsidRPr="007A4BAA" w:rsidRDefault="00824558">
      <w:pPr>
        <w:pStyle w:val="ListBullet"/>
        <w:tabs>
          <w:tab w:val="clear" w:pos="360"/>
        </w:tabs>
        <w:ind w:left="340" w:hanging="340"/>
      </w:pPr>
      <w:r w:rsidRPr="00717F3C">
        <w:t xml:space="preserve">making recommendations to the public sector and Victoria </w:t>
      </w:r>
      <w:r>
        <w:t>P</w:t>
      </w:r>
      <w:r w:rsidRPr="00717F3C">
        <w:t>olice to strengthen integrity and prevent corruption and police misconduct</w:t>
      </w:r>
    </w:p>
    <w:p w14:paraId="083EB49E" w14:textId="77777777" w:rsidR="00824558" w:rsidRPr="007A4BAA" w:rsidRDefault="00824558">
      <w:pPr>
        <w:pStyle w:val="ListBullet"/>
        <w:tabs>
          <w:tab w:val="clear" w:pos="360"/>
        </w:tabs>
        <w:ind w:left="340" w:hanging="340"/>
      </w:pPr>
      <w:r w:rsidRPr="007A4BAA">
        <w:t>monitor</w:t>
      </w:r>
      <w:r>
        <w:t>ing</w:t>
      </w:r>
      <w:r w:rsidRPr="007A4BAA">
        <w:t xml:space="preserve"> and overs</w:t>
      </w:r>
      <w:r>
        <w:t>eeing</w:t>
      </w:r>
      <w:r w:rsidRPr="007A4BAA">
        <w:t xml:space="preserve"> use of police powers as required by </w:t>
      </w:r>
      <w:r>
        <w:t>applicable</w:t>
      </w:r>
      <w:r w:rsidRPr="007A4BAA">
        <w:t xml:space="preserve"> legislative frameworks </w:t>
      </w:r>
    </w:p>
    <w:p w14:paraId="68A3C579" w14:textId="77777777" w:rsidR="00824558" w:rsidRPr="006F1700" w:rsidRDefault="00824558">
      <w:pPr>
        <w:pStyle w:val="ListBullet"/>
        <w:tabs>
          <w:tab w:val="clear" w:pos="360"/>
        </w:tabs>
        <w:spacing w:after="120"/>
        <w:ind w:left="340" w:hanging="340"/>
      </w:pPr>
      <w:r w:rsidRPr="007A4BAA">
        <w:t>undertaking strategic research and other initiatives to inform the public sector, police and the community of the detrimental impacts of corruption and how it can be prevented.</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283EB28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DDB9602" w14:textId="77777777" w:rsidR="00824558" w:rsidRDefault="00824558">
            <w:r>
              <w:t>Performance measure</w:t>
            </w:r>
          </w:p>
        </w:tc>
        <w:tc>
          <w:tcPr>
            <w:tcW w:w="964" w:type="dxa"/>
          </w:tcPr>
          <w:p w14:paraId="1C16CFE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323195A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347C466"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6346398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8199390"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1A8D9A0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8540698" w14:textId="77777777" w:rsidR="00824558" w:rsidRPr="009C0A3D" w:rsidRDefault="00824558">
            <w:pPr>
              <w:keepNext/>
              <w:rPr>
                <w:b/>
                <w:bCs/>
                <w:iCs/>
              </w:rPr>
            </w:pPr>
            <w:r w:rsidRPr="009C0A3D">
              <w:rPr>
                <w:b/>
                <w:bCs/>
                <w:iCs/>
              </w:rPr>
              <w:t>Quantity</w:t>
            </w:r>
          </w:p>
        </w:tc>
      </w:tr>
      <w:tr w:rsidR="00824558" w14:paraId="219D8D15" w14:textId="77777777">
        <w:tc>
          <w:tcPr>
            <w:cnfStyle w:val="001000000000" w:firstRow="0" w:lastRow="0" w:firstColumn="1" w:lastColumn="0" w:oddVBand="0" w:evenVBand="0" w:oddHBand="0" w:evenHBand="0" w:firstRowFirstColumn="0" w:firstRowLastColumn="0" w:lastRowFirstColumn="0" w:lastRowLastColumn="0"/>
            <w:tcW w:w="4819" w:type="dxa"/>
          </w:tcPr>
          <w:p w14:paraId="455A1FAF" w14:textId="77777777" w:rsidR="00824558" w:rsidRDefault="00824558">
            <w:pPr>
              <w:keepNext/>
              <w:ind w:left="170"/>
            </w:pPr>
            <w:r>
              <w:t>Number of corruption prevention initiatives and activities delivered by IBAC, including reports, prevention resources, campaigns, forums and events</w:t>
            </w:r>
          </w:p>
        </w:tc>
        <w:tc>
          <w:tcPr>
            <w:tcW w:w="964" w:type="dxa"/>
          </w:tcPr>
          <w:p w14:paraId="2D7E581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3052F55" w14:textId="77777777" w:rsidR="00824558" w:rsidRDefault="00824558">
            <w:pPr>
              <w:cnfStyle w:val="000000000000" w:firstRow="0" w:lastRow="0" w:firstColumn="0" w:lastColumn="0" w:oddVBand="0" w:evenVBand="0" w:oddHBand="0" w:evenHBand="0" w:firstRowFirstColumn="0" w:firstRowLastColumn="0" w:lastRowFirstColumn="0" w:lastRowLastColumn="0"/>
            </w:pPr>
            <w:r>
              <w:t>120</w:t>
            </w:r>
          </w:p>
        </w:tc>
        <w:tc>
          <w:tcPr>
            <w:tcW w:w="964" w:type="dxa"/>
          </w:tcPr>
          <w:p w14:paraId="58F5C1B2" w14:textId="77777777" w:rsidR="00824558" w:rsidRDefault="00824558">
            <w:pPr>
              <w:cnfStyle w:val="000000000000" w:firstRow="0" w:lastRow="0" w:firstColumn="0" w:lastColumn="0" w:oddVBand="0" w:evenVBand="0" w:oddHBand="0" w:evenHBand="0" w:firstRowFirstColumn="0" w:firstRowLastColumn="0" w:lastRowFirstColumn="0" w:lastRowLastColumn="0"/>
            </w:pPr>
            <w:r>
              <w:t>141</w:t>
            </w:r>
          </w:p>
        </w:tc>
        <w:tc>
          <w:tcPr>
            <w:tcW w:w="964" w:type="dxa"/>
          </w:tcPr>
          <w:p w14:paraId="6714A021" w14:textId="77777777" w:rsidR="00824558" w:rsidRDefault="00824558">
            <w:pPr>
              <w:cnfStyle w:val="000000000000" w:firstRow="0" w:lastRow="0" w:firstColumn="0" w:lastColumn="0" w:oddVBand="0" w:evenVBand="0" w:oddHBand="0" w:evenHBand="0" w:firstRowFirstColumn="0" w:firstRowLastColumn="0" w:lastRowFirstColumn="0" w:lastRowLastColumn="0"/>
            </w:pPr>
            <w:r>
              <w:t>120</w:t>
            </w:r>
          </w:p>
        </w:tc>
        <w:tc>
          <w:tcPr>
            <w:tcW w:w="964" w:type="dxa"/>
          </w:tcPr>
          <w:p w14:paraId="1D50035B" w14:textId="77777777" w:rsidR="00824558" w:rsidRDefault="00824558">
            <w:pPr>
              <w:cnfStyle w:val="000000000000" w:firstRow="0" w:lastRow="0" w:firstColumn="0" w:lastColumn="0" w:oddVBand="0" w:evenVBand="0" w:oddHBand="0" w:evenHBand="0" w:firstRowFirstColumn="0" w:firstRowLastColumn="0" w:lastRowFirstColumn="0" w:lastRowLastColumn="0"/>
            </w:pPr>
            <w:r>
              <w:t>161</w:t>
            </w:r>
          </w:p>
        </w:tc>
      </w:tr>
      <w:tr w:rsidR="00824558" w14:paraId="3450D66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43A1BFF" w14:textId="77777777" w:rsidR="00824558" w:rsidRDefault="00824558">
            <w:pPr>
              <w:ind w:left="170"/>
            </w:pPr>
            <w:r>
              <w:rPr>
                <w:i/>
              </w:rPr>
              <w:t xml:space="preserve">The 2025-26 expected outcome is higher than the 2025-26 target as IBAC facilitated additional training events for Victoria Police in 2025. </w:t>
            </w:r>
          </w:p>
        </w:tc>
      </w:tr>
      <w:tr w:rsidR="00824558" w14:paraId="66206CB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C3E4CA5" w14:textId="36411D9F" w:rsidR="00824558" w:rsidRDefault="00824558">
            <w:pPr>
              <w:ind w:left="170"/>
            </w:pPr>
            <w:r>
              <w:t xml:space="preserve">Number of police oversight and investigative activities </w:t>
            </w:r>
            <w:r w:rsidR="00D82715">
              <w:br/>
            </w:r>
            <w:r>
              <w:t xml:space="preserve">(including preliminary inquiries, investigations, active </w:t>
            </w:r>
            <w:r w:rsidR="00D82715">
              <w:br/>
            </w:r>
            <w:r>
              <w:t>monitoring and reviews) completed</w:t>
            </w:r>
          </w:p>
        </w:tc>
        <w:tc>
          <w:tcPr>
            <w:tcW w:w="964" w:type="dxa"/>
            <w:tcBorders>
              <w:bottom w:val="single" w:sz="6" w:space="0" w:color="auto"/>
            </w:tcBorders>
          </w:tcPr>
          <w:p w14:paraId="1D0F08E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64D50072" w14:textId="77777777" w:rsidR="00824558" w:rsidRDefault="00824558">
            <w:pPr>
              <w:cnfStyle w:val="000000000000" w:firstRow="0" w:lastRow="0" w:firstColumn="0" w:lastColumn="0" w:oddVBand="0" w:evenVBand="0" w:oddHBand="0" w:evenHBand="0" w:firstRowFirstColumn="0" w:firstRowLastColumn="0" w:lastRowFirstColumn="0" w:lastRowLastColumn="0"/>
            </w:pPr>
            <w:r>
              <w:t>242</w:t>
            </w:r>
          </w:p>
        </w:tc>
        <w:tc>
          <w:tcPr>
            <w:tcW w:w="964" w:type="dxa"/>
            <w:tcBorders>
              <w:bottom w:val="single" w:sz="6" w:space="0" w:color="auto"/>
            </w:tcBorders>
          </w:tcPr>
          <w:p w14:paraId="5A7F0BA6" w14:textId="77777777" w:rsidR="00824558" w:rsidRDefault="00824558">
            <w:pPr>
              <w:cnfStyle w:val="000000000000" w:firstRow="0" w:lastRow="0" w:firstColumn="0" w:lastColumn="0" w:oddVBand="0" w:evenVBand="0" w:oddHBand="0" w:evenHBand="0" w:firstRowFirstColumn="0" w:firstRowLastColumn="0" w:lastRowFirstColumn="0" w:lastRowLastColumn="0"/>
            </w:pPr>
            <w:r>
              <w:t>242</w:t>
            </w:r>
          </w:p>
        </w:tc>
        <w:tc>
          <w:tcPr>
            <w:tcW w:w="964" w:type="dxa"/>
            <w:tcBorders>
              <w:bottom w:val="single" w:sz="6" w:space="0" w:color="auto"/>
            </w:tcBorders>
          </w:tcPr>
          <w:p w14:paraId="56EED145" w14:textId="77777777" w:rsidR="00824558" w:rsidRDefault="00824558">
            <w:pPr>
              <w:cnfStyle w:val="000000000000" w:firstRow="0" w:lastRow="0" w:firstColumn="0" w:lastColumn="0" w:oddVBand="0" w:evenVBand="0" w:oddHBand="0" w:evenHBand="0" w:firstRowFirstColumn="0" w:firstRowLastColumn="0" w:lastRowFirstColumn="0" w:lastRowLastColumn="0"/>
            </w:pPr>
            <w:r>
              <w:t>242</w:t>
            </w:r>
          </w:p>
        </w:tc>
        <w:tc>
          <w:tcPr>
            <w:tcW w:w="964" w:type="dxa"/>
            <w:tcBorders>
              <w:bottom w:val="single" w:sz="6" w:space="0" w:color="auto"/>
            </w:tcBorders>
          </w:tcPr>
          <w:p w14:paraId="22DF2879" w14:textId="77777777" w:rsidR="00824558" w:rsidRDefault="00824558">
            <w:pPr>
              <w:cnfStyle w:val="000000000000" w:firstRow="0" w:lastRow="0" w:firstColumn="0" w:lastColumn="0" w:oddVBand="0" w:evenVBand="0" w:oddHBand="0" w:evenHBand="0" w:firstRowFirstColumn="0" w:firstRowLastColumn="0" w:lastRowFirstColumn="0" w:lastRowLastColumn="0"/>
            </w:pPr>
            <w:r>
              <w:t>254</w:t>
            </w:r>
          </w:p>
        </w:tc>
      </w:tr>
      <w:tr w:rsidR="00824558" w14:paraId="74B14EB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F7A29E" w14:textId="77777777" w:rsidR="00824558" w:rsidRDefault="00824558">
            <w:pPr>
              <w:ind w:left="170"/>
            </w:pPr>
            <w:r>
              <w:t>Number of public sector oversight and investigative activities (including preliminary inquiries, investigations and reviews) completed</w:t>
            </w:r>
          </w:p>
        </w:tc>
        <w:tc>
          <w:tcPr>
            <w:tcW w:w="964" w:type="dxa"/>
            <w:tcBorders>
              <w:bottom w:val="single" w:sz="6" w:space="0" w:color="auto"/>
            </w:tcBorders>
          </w:tcPr>
          <w:p w14:paraId="2B263DB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751AB021" w14:textId="77777777" w:rsidR="00824558" w:rsidRDefault="00824558">
            <w:pPr>
              <w:cnfStyle w:val="000000000000" w:firstRow="0" w:lastRow="0" w:firstColumn="0" w:lastColumn="0" w:oddVBand="0" w:evenVBand="0" w:oddHBand="0" w:evenHBand="0" w:firstRowFirstColumn="0" w:firstRowLastColumn="0" w:lastRowFirstColumn="0" w:lastRowLastColumn="0"/>
            </w:pPr>
            <w:r>
              <w:t>32</w:t>
            </w:r>
          </w:p>
        </w:tc>
        <w:tc>
          <w:tcPr>
            <w:tcW w:w="964" w:type="dxa"/>
            <w:tcBorders>
              <w:bottom w:val="single" w:sz="6" w:space="0" w:color="auto"/>
            </w:tcBorders>
          </w:tcPr>
          <w:p w14:paraId="1BE3DE99" w14:textId="77777777" w:rsidR="00824558" w:rsidRDefault="00824558">
            <w:pPr>
              <w:cnfStyle w:val="000000000000" w:firstRow="0" w:lastRow="0" w:firstColumn="0" w:lastColumn="0" w:oddVBand="0" w:evenVBand="0" w:oddHBand="0" w:evenHBand="0" w:firstRowFirstColumn="0" w:firstRowLastColumn="0" w:lastRowFirstColumn="0" w:lastRowLastColumn="0"/>
            </w:pPr>
            <w:r>
              <w:t>32</w:t>
            </w:r>
          </w:p>
        </w:tc>
        <w:tc>
          <w:tcPr>
            <w:tcW w:w="964" w:type="dxa"/>
            <w:tcBorders>
              <w:bottom w:val="single" w:sz="6" w:space="0" w:color="auto"/>
            </w:tcBorders>
          </w:tcPr>
          <w:p w14:paraId="0FDF49C2" w14:textId="77777777" w:rsidR="00824558" w:rsidRDefault="00824558">
            <w:pPr>
              <w:cnfStyle w:val="000000000000" w:firstRow="0" w:lastRow="0" w:firstColumn="0" w:lastColumn="0" w:oddVBand="0" w:evenVBand="0" w:oddHBand="0" w:evenHBand="0" w:firstRowFirstColumn="0" w:firstRowLastColumn="0" w:lastRowFirstColumn="0" w:lastRowLastColumn="0"/>
            </w:pPr>
            <w:r>
              <w:t>32</w:t>
            </w:r>
          </w:p>
        </w:tc>
        <w:tc>
          <w:tcPr>
            <w:tcW w:w="964" w:type="dxa"/>
            <w:tcBorders>
              <w:bottom w:val="single" w:sz="6" w:space="0" w:color="auto"/>
            </w:tcBorders>
          </w:tcPr>
          <w:p w14:paraId="041D5778" w14:textId="77777777" w:rsidR="00824558" w:rsidRDefault="00824558">
            <w:pPr>
              <w:cnfStyle w:val="000000000000" w:firstRow="0" w:lastRow="0" w:firstColumn="0" w:lastColumn="0" w:oddVBand="0" w:evenVBand="0" w:oddHBand="0" w:evenHBand="0" w:firstRowFirstColumn="0" w:firstRowLastColumn="0" w:lastRowFirstColumn="0" w:lastRowLastColumn="0"/>
            </w:pPr>
            <w:r>
              <w:t>13</w:t>
            </w:r>
          </w:p>
        </w:tc>
      </w:tr>
      <w:tr w:rsidR="00824558" w:rsidRPr="009C0A3D" w14:paraId="2B32A43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1259E31" w14:textId="77777777" w:rsidR="00824558" w:rsidRPr="009C0A3D" w:rsidRDefault="00824558">
            <w:pPr>
              <w:keepNext/>
              <w:rPr>
                <w:b/>
                <w:bCs/>
                <w:iCs/>
              </w:rPr>
            </w:pPr>
            <w:r w:rsidRPr="009C0A3D">
              <w:rPr>
                <w:b/>
                <w:bCs/>
                <w:iCs/>
              </w:rPr>
              <w:t>Quality</w:t>
            </w:r>
          </w:p>
        </w:tc>
      </w:tr>
      <w:tr w:rsidR="00824558" w14:paraId="5A2BB4F0" w14:textId="77777777">
        <w:tc>
          <w:tcPr>
            <w:cnfStyle w:val="001000000000" w:firstRow="0" w:lastRow="0" w:firstColumn="1" w:lastColumn="0" w:oddVBand="0" w:evenVBand="0" w:oddHBand="0" w:evenHBand="0" w:firstRowFirstColumn="0" w:firstRowLastColumn="0" w:lastRowFirstColumn="0" w:lastRowLastColumn="0"/>
            <w:tcW w:w="4819" w:type="dxa"/>
          </w:tcPr>
          <w:p w14:paraId="50D32A86" w14:textId="77777777" w:rsidR="00824558" w:rsidRDefault="00824558">
            <w:pPr>
              <w:keepNext/>
              <w:ind w:left="170"/>
            </w:pPr>
            <w:r>
              <w:t>Average satisfaction with corruption prevention forums and events delivered by IBAC for a community audience</w:t>
            </w:r>
          </w:p>
        </w:tc>
        <w:tc>
          <w:tcPr>
            <w:tcW w:w="964" w:type="dxa"/>
          </w:tcPr>
          <w:p w14:paraId="50132E4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AE2F3DF"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3FB26D9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B22B01E"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3CCB3136"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r>
      <w:tr w:rsidR="00824558" w14:paraId="1B25EFA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C95099" w14:textId="77777777" w:rsidR="00824558" w:rsidRDefault="00824558">
            <w:pPr>
              <w:ind w:left="170"/>
            </w:pPr>
            <w:r>
              <w:rPr>
                <w:i/>
              </w:rPr>
              <w:t>The 2025-26 expected outcome is higher than the 2025-26 target due to surveyed attendees experiencing higher than expected satisfaction with events and forums IBAC delivered this financial year.</w:t>
            </w:r>
          </w:p>
        </w:tc>
      </w:tr>
      <w:tr w:rsidR="00824558" w14:paraId="784C5B6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9669223" w14:textId="77777777" w:rsidR="00824558" w:rsidRDefault="00824558">
            <w:pPr>
              <w:ind w:left="170"/>
            </w:pPr>
            <w:r>
              <w:t>Average satisfaction with corruption prevention forums and events delivered by IBAC for a public sector (including police) audience</w:t>
            </w:r>
          </w:p>
        </w:tc>
        <w:tc>
          <w:tcPr>
            <w:tcW w:w="964" w:type="dxa"/>
            <w:tcBorders>
              <w:bottom w:val="single" w:sz="6" w:space="0" w:color="auto"/>
            </w:tcBorders>
          </w:tcPr>
          <w:p w14:paraId="0F01075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584023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4555E0F" w14:textId="77777777" w:rsidR="00824558" w:rsidRDefault="00824558">
            <w:pPr>
              <w:cnfStyle w:val="000000000000" w:firstRow="0" w:lastRow="0" w:firstColumn="0" w:lastColumn="0" w:oddVBand="0" w:evenVBand="0" w:oddHBand="0" w:evenHBand="0" w:firstRowFirstColumn="0" w:firstRowLastColumn="0" w:lastRowFirstColumn="0" w:lastRowLastColumn="0"/>
            </w:pPr>
            <w:r>
              <w:t>91</w:t>
            </w:r>
          </w:p>
        </w:tc>
        <w:tc>
          <w:tcPr>
            <w:tcW w:w="964" w:type="dxa"/>
            <w:tcBorders>
              <w:bottom w:val="single" w:sz="6" w:space="0" w:color="auto"/>
            </w:tcBorders>
          </w:tcPr>
          <w:p w14:paraId="7A061EC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7D743AE"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r>
      <w:tr w:rsidR="00824558" w14:paraId="56DF752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45C500C" w14:textId="77777777" w:rsidR="00824558" w:rsidRDefault="00824558">
            <w:pPr>
              <w:ind w:left="170"/>
            </w:pPr>
            <w:r>
              <w:t>Percentage of assessments that meet quality standards</w:t>
            </w:r>
          </w:p>
        </w:tc>
        <w:tc>
          <w:tcPr>
            <w:tcW w:w="964" w:type="dxa"/>
            <w:tcBorders>
              <w:bottom w:val="single" w:sz="6" w:space="0" w:color="auto"/>
            </w:tcBorders>
          </w:tcPr>
          <w:p w14:paraId="0477A21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C9336DB"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36AC6738"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0F00AC5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7DFFC5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9C0A3D" w14:paraId="5FB3AC91"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59F6A09" w14:textId="77777777" w:rsidR="00824558" w:rsidRPr="009C0A3D" w:rsidRDefault="00824558">
            <w:pPr>
              <w:keepNext/>
              <w:rPr>
                <w:b/>
                <w:bCs/>
                <w:iCs/>
              </w:rPr>
            </w:pPr>
            <w:r w:rsidRPr="009C0A3D">
              <w:rPr>
                <w:b/>
                <w:bCs/>
                <w:iCs/>
              </w:rPr>
              <w:t>Timeliness</w:t>
            </w:r>
          </w:p>
        </w:tc>
      </w:tr>
      <w:tr w:rsidR="00824558" w14:paraId="4596AB78" w14:textId="77777777">
        <w:tc>
          <w:tcPr>
            <w:cnfStyle w:val="001000000000" w:firstRow="0" w:lastRow="0" w:firstColumn="1" w:lastColumn="0" w:oddVBand="0" w:evenVBand="0" w:oddHBand="0" w:evenHBand="0" w:firstRowFirstColumn="0" w:firstRowLastColumn="0" w:lastRowFirstColumn="0" w:lastRowLastColumn="0"/>
            <w:tcW w:w="4819" w:type="dxa"/>
          </w:tcPr>
          <w:p w14:paraId="0AF01397" w14:textId="77777777" w:rsidR="00824558" w:rsidRDefault="00824558">
            <w:pPr>
              <w:keepNext/>
              <w:ind w:left="170"/>
            </w:pPr>
            <w:r>
              <w:t>Complaints or notifications about police personnel conduct and police personnel corrupt conduct assessed by IBAC within 45 days</w:t>
            </w:r>
          </w:p>
        </w:tc>
        <w:tc>
          <w:tcPr>
            <w:tcW w:w="964" w:type="dxa"/>
          </w:tcPr>
          <w:p w14:paraId="372C445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845EE08"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6DC9867D" w14:textId="77777777" w:rsidR="00824558" w:rsidRDefault="00824558">
            <w:pPr>
              <w:cnfStyle w:val="000000000000" w:firstRow="0" w:lastRow="0" w:firstColumn="0" w:lastColumn="0" w:oddVBand="0" w:evenVBand="0" w:oddHBand="0" w:evenHBand="0" w:firstRowFirstColumn="0" w:firstRowLastColumn="0" w:lastRowFirstColumn="0" w:lastRowLastColumn="0"/>
            </w:pPr>
            <w:r>
              <w:t>38</w:t>
            </w:r>
          </w:p>
        </w:tc>
        <w:tc>
          <w:tcPr>
            <w:tcW w:w="964" w:type="dxa"/>
          </w:tcPr>
          <w:p w14:paraId="67396497"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1FD4E660"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r>
      <w:tr w:rsidR="00824558" w14:paraId="7DB9552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3CF615" w14:textId="77777777" w:rsidR="00824558" w:rsidRDefault="00824558">
            <w:pPr>
              <w:ind w:left="170"/>
            </w:pPr>
            <w:r>
              <w:rPr>
                <w:i/>
              </w:rPr>
              <w:t>The 2025-26 expected outcome is lower than the 2025-26 target. Several projects are underway to streamline processes to reduce a backlog of un-assessed complaints. It is anticipated these new processes will reduce the backlog and improve results in future years.</w:t>
            </w:r>
          </w:p>
        </w:tc>
      </w:tr>
      <w:tr w:rsidR="00824558" w14:paraId="0E9728B2" w14:textId="77777777">
        <w:tc>
          <w:tcPr>
            <w:cnfStyle w:val="001000000000" w:firstRow="0" w:lastRow="0" w:firstColumn="1" w:lastColumn="0" w:oddVBand="0" w:evenVBand="0" w:oddHBand="0" w:evenHBand="0" w:firstRowFirstColumn="0" w:firstRowLastColumn="0" w:lastRowFirstColumn="0" w:lastRowLastColumn="0"/>
            <w:tcW w:w="4819" w:type="dxa"/>
          </w:tcPr>
          <w:p w14:paraId="4A04849F" w14:textId="77777777" w:rsidR="00824558" w:rsidRDefault="00824558">
            <w:pPr>
              <w:keepNext/>
              <w:ind w:left="170"/>
            </w:pPr>
            <w:r>
              <w:t>Complaints or notifications about public sector corrupt conduct (excluding police personnel conduct and police personnel corrupt conduct) assessed by IBAC within 45 days</w:t>
            </w:r>
          </w:p>
        </w:tc>
        <w:tc>
          <w:tcPr>
            <w:tcW w:w="964" w:type="dxa"/>
          </w:tcPr>
          <w:p w14:paraId="2A609E4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7A5E84E"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12CDED9A" w14:textId="77777777" w:rsidR="00824558" w:rsidRDefault="00824558">
            <w:pPr>
              <w:cnfStyle w:val="000000000000" w:firstRow="0" w:lastRow="0" w:firstColumn="0" w:lastColumn="0" w:oddVBand="0" w:evenVBand="0" w:oddHBand="0" w:evenHBand="0" w:firstRowFirstColumn="0" w:firstRowLastColumn="0" w:lastRowFirstColumn="0" w:lastRowLastColumn="0"/>
            </w:pPr>
            <w:r>
              <w:t>54</w:t>
            </w:r>
          </w:p>
        </w:tc>
        <w:tc>
          <w:tcPr>
            <w:tcW w:w="964" w:type="dxa"/>
          </w:tcPr>
          <w:p w14:paraId="0120EAB1"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66D82F30" w14:textId="77777777" w:rsidR="00824558" w:rsidRDefault="00824558">
            <w:pPr>
              <w:cnfStyle w:val="000000000000" w:firstRow="0" w:lastRow="0" w:firstColumn="0" w:lastColumn="0" w:oddVBand="0" w:evenVBand="0" w:oddHBand="0" w:evenHBand="0" w:firstRowFirstColumn="0" w:firstRowLastColumn="0" w:lastRowFirstColumn="0" w:lastRowLastColumn="0"/>
            </w:pPr>
            <w:r>
              <w:t>66</w:t>
            </w:r>
          </w:p>
        </w:tc>
      </w:tr>
      <w:tr w:rsidR="00824558" w14:paraId="37C208A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800F4F4" w14:textId="77777777" w:rsidR="00824558" w:rsidRDefault="00824558">
            <w:pPr>
              <w:ind w:left="170"/>
            </w:pPr>
            <w:r>
              <w:rPr>
                <w:i/>
              </w:rPr>
              <w:t>The 2025-26 expected outcome is lower than the 2025-26 target. Several projects are underway to streamline processes to reduce a backlog of un-assessed complaints. It is anticipated these new processes will reduce the backlog and improve results in future years.</w:t>
            </w:r>
          </w:p>
        </w:tc>
      </w:tr>
      <w:tr w:rsidR="00824558" w14:paraId="67A542E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9D22072" w14:textId="77777777" w:rsidR="00824558" w:rsidRDefault="00824558">
            <w:pPr>
              <w:ind w:left="170"/>
            </w:pPr>
            <w:r>
              <w:t>Proportion of complex IBAC investigations completed within 540 days</w:t>
            </w:r>
          </w:p>
        </w:tc>
        <w:tc>
          <w:tcPr>
            <w:tcW w:w="964" w:type="dxa"/>
            <w:tcBorders>
              <w:bottom w:val="single" w:sz="6" w:space="0" w:color="auto"/>
            </w:tcBorders>
          </w:tcPr>
          <w:p w14:paraId="7D3376F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A682C30"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4973FF7C"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021D0DEB"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Borders>
              <w:bottom w:val="single" w:sz="6" w:space="0" w:color="auto"/>
            </w:tcBorders>
          </w:tcPr>
          <w:p w14:paraId="2FABA9FE" w14:textId="77777777" w:rsidR="00824558" w:rsidRDefault="00824558">
            <w:pPr>
              <w:cnfStyle w:val="000000000000" w:firstRow="0" w:lastRow="0" w:firstColumn="0" w:lastColumn="0" w:oddVBand="0" w:evenVBand="0" w:oddHBand="0" w:evenHBand="0" w:firstRowFirstColumn="0" w:firstRowLastColumn="0" w:lastRowFirstColumn="0" w:lastRowLastColumn="0"/>
            </w:pPr>
            <w:r>
              <w:t>25</w:t>
            </w:r>
          </w:p>
        </w:tc>
      </w:tr>
      <w:tr w:rsidR="00824558" w14:paraId="6050F2BC" w14:textId="77777777">
        <w:tc>
          <w:tcPr>
            <w:cnfStyle w:val="001000000000" w:firstRow="0" w:lastRow="0" w:firstColumn="1" w:lastColumn="0" w:oddVBand="0" w:evenVBand="0" w:oddHBand="0" w:evenHBand="0" w:firstRowFirstColumn="0" w:firstRowLastColumn="0" w:lastRowFirstColumn="0" w:lastRowLastColumn="0"/>
            <w:tcW w:w="4819" w:type="dxa"/>
          </w:tcPr>
          <w:p w14:paraId="4A04694A" w14:textId="77777777" w:rsidR="00824558" w:rsidRDefault="00824558">
            <w:pPr>
              <w:keepNext/>
              <w:ind w:left="170"/>
            </w:pPr>
            <w:r>
              <w:t>Proportion of standard IBAC investigations completed within 270 days</w:t>
            </w:r>
          </w:p>
        </w:tc>
        <w:tc>
          <w:tcPr>
            <w:tcW w:w="964" w:type="dxa"/>
          </w:tcPr>
          <w:p w14:paraId="26481FC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7F75A8D"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27599D7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3FB2B63"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45BC352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0442904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7D0C03" w14:textId="6D52528C" w:rsidR="00824558" w:rsidRDefault="00824558">
            <w:pPr>
              <w:ind w:left="170"/>
            </w:pPr>
            <w:r>
              <w:rPr>
                <w:i/>
              </w:rPr>
              <w:t>The 2025-26 expected outcome is higher that than the 2025-26 target arising from continued improvements in IBAC</w:t>
            </w:r>
            <w:r w:rsidR="007942D1">
              <w:rPr>
                <w:i/>
              </w:rPr>
              <w:t>’</w:t>
            </w:r>
            <w:r>
              <w:rPr>
                <w:i/>
              </w:rPr>
              <w:t>s approach to its operational activity, including the resolution of a number of legacy matters, and the outcomes of the Focused Police Complaints Team investigations, which comprise a substantial proportion of standard investigations.</w:t>
            </w:r>
          </w:p>
        </w:tc>
      </w:tr>
      <w:tr w:rsidR="00824558" w14:paraId="63643F3A" w14:textId="77777777">
        <w:tc>
          <w:tcPr>
            <w:cnfStyle w:val="001000000000" w:firstRow="0" w:lastRow="0" w:firstColumn="1" w:lastColumn="0" w:oddVBand="0" w:evenVBand="0" w:oddHBand="0" w:evenHBand="0" w:firstRowFirstColumn="0" w:firstRowLastColumn="0" w:lastRowFirstColumn="0" w:lastRowLastColumn="0"/>
            <w:tcW w:w="4819" w:type="dxa"/>
          </w:tcPr>
          <w:p w14:paraId="08A5CEAF" w14:textId="77777777" w:rsidR="00824558" w:rsidRDefault="00824558">
            <w:pPr>
              <w:keepNext/>
              <w:ind w:left="170"/>
            </w:pPr>
            <w:r>
              <w:t>Public Interest Disclosures (PID) complaints and notifications assessed within 30 days</w:t>
            </w:r>
          </w:p>
        </w:tc>
        <w:tc>
          <w:tcPr>
            <w:tcW w:w="964" w:type="dxa"/>
          </w:tcPr>
          <w:p w14:paraId="5BF6CFB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68B658A"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4CC3329A" w14:textId="77777777" w:rsidR="00824558" w:rsidRDefault="00824558">
            <w:pPr>
              <w:cnfStyle w:val="000000000000" w:firstRow="0" w:lastRow="0" w:firstColumn="0" w:lastColumn="0" w:oddVBand="0" w:evenVBand="0" w:oddHBand="0" w:evenHBand="0" w:firstRowFirstColumn="0" w:firstRowLastColumn="0" w:lastRowFirstColumn="0" w:lastRowLastColumn="0"/>
            </w:pPr>
            <w:r>
              <w:t>43</w:t>
            </w:r>
          </w:p>
        </w:tc>
        <w:tc>
          <w:tcPr>
            <w:tcW w:w="964" w:type="dxa"/>
          </w:tcPr>
          <w:p w14:paraId="7779251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7D91F4AB" w14:textId="77777777" w:rsidR="00824558" w:rsidRDefault="00824558">
            <w:pPr>
              <w:cnfStyle w:val="000000000000" w:firstRow="0" w:lastRow="0" w:firstColumn="0" w:lastColumn="0" w:oddVBand="0" w:evenVBand="0" w:oddHBand="0" w:evenHBand="0" w:firstRowFirstColumn="0" w:firstRowLastColumn="0" w:lastRowFirstColumn="0" w:lastRowLastColumn="0"/>
            </w:pPr>
            <w:r>
              <w:t>59</w:t>
            </w:r>
          </w:p>
        </w:tc>
      </w:tr>
      <w:tr w:rsidR="00824558" w14:paraId="343B385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7DA7EB2" w14:textId="0AD48318" w:rsidR="00824558" w:rsidRDefault="00824558">
            <w:pPr>
              <w:ind w:left="170"/>
            </w:pPr>
            <w:r>
              <w:rPr>
                <w:i/>
              </w:rPr>
              <w:t>The 2025-26 expected outcome is lower than the 2025-26 target due to a smaller number of PID matters being referred to IBAC, along with a greater concentration of PID matters with higher complexity and seriousness being notified.</w:t>
            </w:r>
          </w:p>
        </w:tc>
      </w:tr>
      <w:tr w:rsidR="00824558" w:rsidRPr="009C0A3D" w14:paraId="5920969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EED8552" w14:textId="77777777" w:rsidR="00824558" w:rsidRPr="009C0A3D" w:rsidRDefault="00824558">
            <w:pPr>
              <w:keepNext/>
              <w:rPr>
                <w:b/>
                <w:bCs/>
                <w:iCs/>
              </w:rPr>
            </w:pPr>
            <w:r w:rsidRPr="009C0A3D">
              <w:rPr>
                <w:b/>
                <w:bCs/>
                <w:iCs/>
              </w:rPr>
              <w:t>Cost</w:t>
            </w:r>
          </w:p>
        </w:tc>
      </w:tr>
      <w:tr w:rsidR="00824558" w14:paraId="19D46BEE"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523D3B93" w14:textId="77777777" w:rsidR="00824558" w:rsidRDefault="00824558">
            <w:pPr>
              <w:ind w:left="170"/>
            </w:pPr>
            <w:r>
              <w:t>Total output cost</w:t>
            </w:r>
          </w:p>
        </w:tc>
        <w:tc>
          <w:tcPr>
            <w:tcW w:w="964" w:type="dxa"/>
          </w:tcPr>
          <w:p w14:paraId="12235CC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71AA3698" w14:textId="77777777" w:rsidR="00824558" w:rsidRDefault="00824558">
            <w:pPr>
              <w:cnfStyle w:val="000000000000" w:firstRow="0" w:lastRow="0" w:firstColumn="0" w:lastColumn="0" w:oddVBand="0" w:evenVBand="0" w:oddHBand="0" w:evenHBand="0" w:firstRowFirstColumn="0" w:firstRowLastColumn="0" w:lastRowFirstColumn="0" w:lastRowLastColumn="0"/>
            </w:pPr>
            <w:r>
              <w:t>69.2</w:t>
            </w:r>
          </w:p>
        </w:tc>
        <w:tc>
          <w:tcPr>
            <w:tcW w:w="964" w:type="dxa"/>
          </w:tcPr>
          <w:p w14:paraId="29FD674C" w14:textId="77777777" w:rsidR="00824558" w:rsidRDefault="00824558">
            <w:pPr>
              <w:cnfStyle w:val="000000000000" w:firstRow="0" w:lastRow="0" w:firstColumn="0" w:lastColumn="0" w:oddVBand="0" w:evenVBand="0" w:oddHBand="0" w:evenHBand="0" w:firstRowFirstColumn="0" w:firstRowLastColumn="0" w:lastRowFirstColumn="0" w:lastRowLastColumn="0"/>
            </w:pPr>
            <w:r>
              <w:t>65.9</w:t>
            </w:r>
          </w:p>
        </w:tc>
        <w:tc>
          <w:tcPr>
            <w:tcW w:w="964" w:type="dxa"/>
          </w:tcPr>
          <w:p w14:paraId="79708EAB" w14:textId="77777777" w:rsidR="00824558" w:rsidRDefault="00824558">
            <w:pPr>
              <w:cnfStyle w:val="000000000000" w:firstRow="0" w:lastRow="0" w:firstColumn="0" w:lastColumn="0" w:oddVBand="0" w:evenVBand="0" w:oddHBand="0" w:evenHBand="0" w:firstRowFirstColumn="0" w:firstRowLastColumn="0" w:lastRowFirstColumn="0" w:lastRowLastColumn="0"/>
            </w:pPr>
            <w:r>
              <w:t>65.6</w:t>
            </w:r>
          </w:p>
        </w:tc>
        <w:tc>
          <w:tcPr>
            <w:tcW w:w="964" w:type="dxa"/>
          </w:tcPr>
          <w:p w14:paraId="6E1E41EF" w14:textId="77777777" w:rsidR="00824558" w:rsidRDefault="00824558">
            <w:pPr>
              <w:cnfStyle w:val="000000000000" w:firstRow="0" w:lastRow="0" w:firstColumn="0" w:lastColumn="0" w:oddVBand="0" w:evenVBand="0" w:oddHBand="0" w:evenHBand="0" w:firstRowFirstColumn="0" w:firstRowLastColumn="0" w:lastRowFirstColumn="0" w:lastRowLastColumn="0"/>
            </w:pPr>
            <w:r>
              <w:t>66.9</w:t>
            </w:r>
          </w:p>
        </w:tc>
      </w:tr>
      <w:tr w:rsidR="00824558" w:rsidRPr="001B0A6D" w14:paraId="1D62664E"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53D57EA" w14:textId="69216EAE" w:rsidR="00824558" w:rsidRPr="00E62719" w:rsidRDefault="00824558">
            <w:pPr>
              <w:ind w:left="170"/>
              <w:rPr>
                <w:i/>
              </w:rPr>
            </w:pPr>
            <w:r w:rsidRPr="00E24138">
              <w:rPr>
                <w:i/>
                <w:iCs/>
              </w:rPr>
              <w:t xml:space="preserve">The 2026-27 target is higher than the 2025-26 target as it mainly reflects additional funding received </w:t>
            </w:r>
            <w:r>
              <w:rPr>
                <w:i/>
                <w:iCs/>
              </w:rPr>
              <w:t xml:space="preserve">as part of the </w:t>
            </w:r>
            <w:r w:rsidRPr="00BE08F1">
              <w:t>2026-27 Budget</w:t>
            </w:r>
            <w:r>
              <w:rPr>
                <w:i/>
                <w:iCs/>
              </w:rPr>
              <w:t xml:space="preserve"> </w:t>
            </w:r>
            <w:r w:rsidRPr="00E24138">
              <w:rPr>
                <w:i/>
                <w:iCs/>
              </w:rPr>
              <w:t xml:space="preserve">for </w:t>
            </w:r>
            <w:r>
              <w:rPr>
                <w:i/>
                <w:iCs/>
              </w:rPr>
              <w:t xml:space="preserve">initiatives </w:t>
            </w:r>
            <w:r w:rsidR="007942D1">
              <w:rPr>
                <w:i/>
                <w:iCs/>
              </w:rPr>
              <w:t>‘</w:t>
            </w:r>
            <w:r>
              <w:rPr>
                <w:i/>
                <w:iCs/>
              </w:rPr>
              <w:t xml:space="preserve">Supporting the operations of the </w:t>
            </w:r>
            <w:r w:rsidRPr="00806105">
              <w:rPr>
                <w:i/>
                <w:iCs/>
              </w:rPr>
              <w:t>Independent Broad-based Anti-corruption Commission</w:t>
            </w:r>
            <w:r w:rsidR="007942D1">
              <w:rPr>
                <w:i/>
                <w:iCs/>
              </w:rPr>
              <w:t>’</w:t>
            </w:r>
            <w:r w:rsidRPr="00E24138">
              <w:rPr>
                <w:i/>
                <w:iCs/>
              </w:rPr>
              <w:t xml:space="preserve"> </w:t>
            </w:r>
            <w:r>
              <w:rPr>
                <w:i/>
                <w:iCs/>
              </w:rPr>
              <w:t xml:space="preserve">and </w:t>
            </w:r>
            <w:r w:rsidR="007942D1">
              <w:rPr>
                <w:i/>
                <w:iCs/>
              </w:rPr>
              <w:t>‘</w:t>
            </w:r>
            <w:r>
              <w:rPr>
                <w:i/>
                <w:iCs/>
              </w:rPr>
              <w:t>Oversight of new police powers</w:t>
            </w:r>
            <w:r w:rsidR="007942D1">
              <w:rPr>
                <w:i/>
                <w:iCs/>
              </w:rPr>
              <w:t>’</w:t>
            </w:r>
            <w:r>
              <w:rPr>
                <w:i/>
                <w:iCs/>
              </w:rPr>
              <w:t>.</w:t>
            </w:r>
          </w:p>
        </w:tc>
      </w:tr>
    </w:tbl>
    <w:p w14:paraId="62FB7DF3" w14:textId="77777777" w:rsidR="00824558" w:rsidRDefault="00824558">
      <w:pPr>
        <w:pStyle w:val="Source"/>
      </w:pPr>
      <w:r>
        <w:t>Source: Independent Broad-based Anti-corruption Commission</w:t>
      </w:r>
    </w:p>
    <w:p w14:paraId="651BB548" w14:textId="63A72775" w:rsidR="00824558" w:rsidRDefault="00824558">
      <w:pPr>
        <w:pStyle w:val="Heading3"/>
      </w:pPr>
      <w:r>
        <w:t>Integrity Oversight Victoria</w:t>
      </w:r>
      <w:r>
        <w:tab/>
        <w:t>(2026-27: $8.9 million)</w:t>
      </w:r>
    </w:p>
    <w:p w14:paraId="73067B79" w14:textId="2B54E74F" w:rsidR="00824558" w:rsidRPr="00E147D4" w:rsidRDefault="00824558">
      <w:pPr>
        <w:keepNext/>
        <w:spacing w:after="120"/>
        <w:rPr>
          <w:highlight w:val="yellow"/>
        </w:rPr>
      </w:pPr>
      <w:r w:rsidRPr="00FC3406">
        <w:t xml:space="preserve">The purpose of Integrity Oversight Victoria is to provide oversight of other integrity, accountability or investigatory bodies and their officers. Integrity Oversight Victoria is committed to providing the Parliament and </w:t>
      </w:r>
      <w:r w:rsidRPr="00A74193">
        <w:t>the people of Victoria with independent assurance that these bodies, which collectively constitute Victoria</w:t>
      </w:r>
      <w:r w:rsidR="007942D1">
        <w:t>’</w:t>
      </w:r>
      <w:r w:rsidRPr="00A74193">
        <w:t xml:space="preserve">s </w:t>
      </w:r>
      <w:r w:rsidR="007942D1">
        <w:t>‘</w:t>
      </w:r>
      <w:r w:rsidRPr="00A74193">
        <w:t>integrity system</w:t>
      </w:r>
      <w:r w:rsidR="007942D1">
        <w:t>’</w:t>
      </w:r>
      <w:r w:rsidRPr="00A74193">
        <w:t xml:space="preserve">, act lawfully and properly in the performance of their functions. Under the </w:t>
      </w:r>
      <w:r w:rsidRPr="00A74193">
        <w:rPr>
          <w:i/>
          <w:iCs/>
        </w:rPr>
        <w:t>Integrity Oversight Victoria Act 2011</w:t>
      </w:r>
      <w:r w:rsidRPr="00A74193">
        <w:t xml:space="preserve">, Integrity Oversight Victoria receives and investigates complaints, monitors how bodies use their coercive powers and inspects records of bodies that use covert powers including the conduct of controlled operations and the use of surveillance devices and police counter-terrorism powers. In addition, Integrity Oversight Victoria has a key function under the </w:t>
      </w:r>
      <w:r w:rsidRPr="00A74193">
        <w:rPr>
          <w:i/>
          <w:iCs/>
        </w:rPr>
        <w:t>Public Interest Disclosures Act 2012</w:t>
      </w:r>
      <w:r w:rsidRPr="00A74193">
        <w:t xml:space="preserve"> to receive disclosures and to assess and investigate some public interest complaints.</w:t>
      </w:r>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824558" w14:paraId="26E4F27A" w14:textId="77777777" w:rsidTr="00597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ABBB582" w14:textId="77777777" w:rsidR="00824558" w:rsidRDefault="00824558">
            <w:r>
              <w:t>Performance measure</w:t>
            </w:r>
          </w:p>
        </w:tc>
        <w:tc>
          <w:tcPr>
            <w:tcW w:w="964" w:type="dxa"/>
          </w:tcPr>
          <w:p w14:paraId="6E2F336F"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3D52927"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398928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4F398128"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C1CC60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14:paraId="2DE98B79" w14:textId="77777777" w:rsidTr="00597731">
        <w:tc>
          <w:tcPr>
            <w:cnfStyle w:val="001000000000" w:firstRow="0" w:lastRow="0" w:firstColumn="1" w:lastColumn="0" w:oddVBand="0" w:evenVBand="0" w:oddHBand="0" w:evenHBand="0" w:firstRowFirstColumn="0" w:firstRowLastColumn="0" w:lastRowFirstColumn="0" w:lastRowLastColumn="0"/>
            <w:tcW w:w="9639" w:type="dxa"/>
            <w:gridSpan w:val="6"/>
          </w:tcPr>
          <w:p w14:paraId="3836EB31" w14:textId="77777777" w:rsidR="00824558" w:rsidRPr="009C0A3D" w:rsidRDefault="00824558">
            <w:pPr>
              <w:keepNext/>
              <w:rPr>
                <w:b/>
                <w:bCs/>
                <w:iCs/>
              </w:rPr>
            </w:pPr>
            <w:r w:rsidRPr="009C0A3D">
              <w:rPr>
                <w:b/>
                <w:bCs/>
                <w:iCs/>
              </w:rPr>
              <w:t>Quantity</w:t>
            </w:r>
          </w:p>
        </w:tc>
      </w:tr>
      <w:tr w:rsidR="00824558" w14:paraId="0C820B2B"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985E2C" w14:textId="26F876A4" w:rsidR="00824558" w:rsidRDefault="00824558">
            <w:pPr>
              <w:ind w:left="170"/>
            </w:pPr>
            <w:r>
              <w:t>Educational activities to improve community access and explain rights, responsibilities and Integrity Oversight Victoria</w:t>
            </w:r>
            <w:r w:rsidR="007942D1">
              <w:t>’</w:t>
            </w:r>
            <w:r>
              <w:t>s role</w:t>
            </w:r>
          </w:p>
        </w:tc>
        <w:tc>
          <w:tcPr>
            <w:tcW w:w="964" w:type="dxa"/>
            <w:tcBorders>
              <w:bottom w:val="single" w:sz="6" w:space="0" w:color="auto"/>
            </w:tcBorders>
          </w:tcPr>
          <w:p w14:paraId="3761A72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85790D0"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125B5421"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54B7444A"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c>
          <w:tcPr>
            <w:tcW w:w="964" w:type="dxa"/>
            <w:tcBorders>
              <w:bottom w:val="single" w:sz="6" w:space="0" w:color="auto"/>
            </w:tcBorders>
          </w:tcPr>
          <w:p w14:paraId="15C39D9B" w14:textId="77777777" w:rsidR="00824558" w:rsidRDefault="00824558">
            <w:pPr>
              <w:cnfStyle w:val="000000000000" w:firstRow="0" w:lastRow="0" w:firstColumn="0" w:lastColumn="0" w:oddVBand="0" w:evenVBand="0" w:oddHBand="0" w:evenHBand="0" w:firstRowFirstColumn="0" w:firstRowLastColumn="0" w:lastRowFirstColumn="0" w:lastRowLastColumn="0"/>
            </w:pPr>
            <w:r>
              <w:t>3</w:t>
            </w:r>
          </w:p>
        </w:tc>
      </w:tr>
      <w:tr w:rsidR="00824558" w14:paraId="588A0559"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3F32B83" w14:textId="77777777" w:rsidR="00824558" w:rsidRDefault="00824558">
            <w:pPr>
              <w:ind w:left="170"/>
            </w:pPr>
            <w:r>
              <w:t>Reasons for decisions provided to complainants within one month of complaint outcomes</w:t>
            </w:r>
          </w:p>
        </w:tc>
        <w:tc>
          <w:tcPr>
            <w:tcW w:w="964" w:type="dxa"/>
            <w:tcBorders>
              <w:bottom w:val="single" w:sz="6" w:space="0" w:color="auto"/>
            </w:tcBorders>
          </w:tcPr>
          <w:p w14:paraId="52D937F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2444CC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41415C0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3748989"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28CCEC17"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3681B522"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1FBFCC0" w14:textId="77777777" w:rsidR="00824558" w:rsidRDefault="00824558">
            <w:pPr>
              <w:ind w:left="170"/>
            </w:pPr>
            <w:r>
              <w:t>Recommendations of Integrity Oversight Victoria accepted by the agencies</w:t>
            </w:r>
          </w:p>
        </w:tc>
        <w:tc>
          <w:tcPr>
            <w:tcW w:w="964" w:type="dxa"/>
            <w:tcBorders>
              <w:bottom w:val="single" w:sz="6" w:space="0" w:color="auto"/>
            </w:tcBorders>
          </w:tcPr>
          <w:p w14:paraId="7B1C2E4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3288CE0"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45B125A5"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37FE1498"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2968DA0C"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rsidRPr="009C0A3D" w14:paraId="32B85F16" w14:textId="77777777" w:rsidTr="00597731">
        <w:tc>
          <w:tcPr>
            <w:cnfStyle w:val="001000000000" w:firstRow="0" w:lastRow="0" w:firstColumn="1" w:lastColumn="0" w:oddVBand="0" w:evenVBand="0" w:oddHBand="0" w:evenHBand="0" w:firstRowFirstColumn="0" w:firstRowLastColumn="0" w:lastRowFirstColumn="0" w:lastRowLastColumn="0"/>
            <w:tcW w:w="9639" w:type="dxa"/>
            <w:gridSpan w:val="6"/>
          </w:tcPr>
          <w:p w14:paraId="290EAABA" w14:textId="77777777" w:rsidR="00824558" w:rsidRPr="009C0A3D" w:rsidRDefault="00824558">
            <w:pPr>
              <w:keepNext/>
              <w:rPr>
                <w:b/>
                <w:bCs/>
                <w:iCs/>
              </w:rPr>
            </w:pPr>
            <w:r w:rsidRPr="009C0A3D">
              <w:rPr>
                <w:b/>
                <w:bCs/>
                <w:iCs/>
              </w:rPr>
              <w:t>Quality</w:t>
            </w:r>
          </w:p>
        </w:tc>
      </w:tr>
      <w:tr w:rsidR="00824558" w14:paraId="21825F2A"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624ADB3" w14:textId="77777777" w:rsidR="00824558" w:rsidRDefault="00824558">
            <w:pPr>
              <w:ind w:left="170"/>
            </w:pPr>
            <w:r>
              <w:t>Systemic improvements by agencies to support compliance in the integrity system</w:t>
            </w:r>
          </w:p>
        </w:tc>
        <w:tc>
          <w:tcPr>
            <w:tcW w:w="964" w:type="dxa"/>
            <w:tcBorders>
              <w:bottom w:val="single" w:sz="6" w:space="0" w:color="auto"/>
            </w:tcBorders>
          </w:tcPr>
          <w:p w14:paraId="28289CA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bottom w:val="single" w:sz="6" w:space="0" w:color="auto"/>
            </w:tcBorders>
            <w:shd w:val="clear" w:color="auto" w:fill="F0F0F0"/>
          </w:tcPr>
          <w:p w14:paraId="390E4002"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72BA4CF0"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70268693"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c>
          <w:tcPr>
            <w:tcW w:w="964" w:type="dxa"/>
            <w:tcBorders>
              <w:bottom w:val="single" w:sz="6" w:space="0" w:color="auto"/>
            </w:tcBorders>
          </w:tcPr>
          <w:p w14:paraId="1105AB1E" w14:textId="77777777" w:rsidR="00824558" w:rsidRDefault="00824558">
            <w:pPr>
              <w:cnfStyle w:val="000000000000" w:firstRow="0" w:lastRow="0" w:firstColumn="0" w:lastColumn="0" w:oddVBand="0" w:evenVBand="0" w:oddHBand="0" w:evenHBand="0" w:firstRowFirstColumn="0" w:firstRowLastColumn="0" w:lastRowFirstColumn="0" w:lastRowLastColumn="0"/>
            </w:pPr>
            <w:r>
              <w:t>7</w:t>
            </w:r>
          </w:p>
        </w:tc>
      </w:tr>
      <w:tr w:rsidR="00824558" w:rsidRPr="009C0A3D" w14:paraId="34766D22" w14:textId="77777777" w:rsidTr="00597731">
        <w:tc>
          <w:tcPr>
            <w:cnfStyle w:val="001000000000" w:firstRow="0" w:lastRow="0" w:firstColumn="1" w:lastColumn="0" w:oddVBand="0" w:evenVBand="0" w:oddHBand="0" w:evenHBand="0" w:firstRowFirstColumn="0" w:firstRowLastColumn="0" w:lastRowFirstColumn="0" w:lastRowLastColumn="0"/>
            <w:tcW w:w="9639" w:type="dxa"/>
            <w:gridSpan w:val="6"/>
          </w:tcPr>
          <w:p w14:paraId="218989C1" w14:textId="77777777" w:rsidR="00824558" w:rsidRPr="009C0A3D" w:rsidRDefault="00824558">
            <w:pPr>
              <w:keepNext/>
              <w:rPr>
                <w:b/>
                <w:bCs/>
                <w:iCs/>
              </w:rPr>
            </w:pPr>
            <w:r w:rsidRPr="009C0A3D">
              <w:rPr>
                <w:b/>
                <w:bCs/>
                <w:iCs/>
              </w:rPr>
              <w:t>Timeliness</w:t>
            </w:r>
          </w:p>
        </w:tc>
      </w:tr>
      <w:tr w:rsidR="00824558" w14:paraId="182C0807"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4577C9" w14:textId="77777777" w:rsidR="00824558" w:rsidRDefault="00824558">
            <w:pPr>
              <w:ind w:left="170"/>
            </w:pPr>
            <w:r>
              <w:t>Acknowledge receipt of new complaints within 5 business days</w:t>
            </w:r>
          </w:p>
        </w:tc>
        <w:tc>
          <w:tcPr>
            <w:tcW w:w="964" w:type="dxa"/>
            <w:tcBorders>
              <w:bottom w:val="single" w:sz="6" w:space="0" w:color="auto"/>
            </w:tcBorders>
          </w:tcPr>
          <w:p w14:paraId="0A1129F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F83E1A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1175170B"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5401C42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62CE1C99"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r>
      <w:tr w:rsidR="00824558" w14:paraId="0CD24B11"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C3CC457" w14:textId="77777777" w:rsidR="00824558" w:rsidRDefault="00824558">
            <w:pPr>
              <w:ind w:left="170"/>
            </w:pPr>
            <w:r>
              <w:t>Proportion of low and medium complexity investigations completed within 12 months</w:t>
            </w:r>
          </w:p>
        </w:tc>
        <w:tc>
          <w:tcPr>
            <w:tcW w:w="964" w:type="dxa"/>
            <w:tcBorders>
              <w:bottom w:val="single" w:sz="6" w:space="0" w:color="auto"/>
            </w:tcBorders>
          </w:tcPr>
          <w:p w14:paraId="7245289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2338478"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6D6DD86A" w14:textId="77777777" w:rsidR="00824558" w:rsidRDefault="00824558">
            <w:pPr>
              <w:cnfStyle w:val="000000000000" w:firstRow="0" w:lastRow="0" w:firstColumn="0" w:lastColumn="0" w:oddVBand="0" w:evenVBand="0" w:oddHBand="0" w:evenHBand="0" w:firstRowFirstColumn="0" w:firstRowLastColumn="0" w:lastRowFirstColumn="0" w:lastRowLastColumn="0"/>
            </w:pPr>
            <w:r>
              <w:t>66</w:t>
            </w:r>
          </w:p>
        </w:tc>
        <w:tc>
          <w:tcPr>
            <w:tcW w:w="964" w:type="dxa"/>
            <w:tcBorders>
              <w:bottom w:val="single" w:sz="6" w:space="0" w:color="auto"/>
            </w:tcBorders>
          </w:tcPr>
          <w:p w14:paraId="2A145F22"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6A92624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3BEAEB64"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A9680E5" w14:textId="1511F777" w:rsidR="00824558" w:rsidRDefault="00824558">
            <w:pPr>
              <w:ind w:left="170"/>
            </w:pPr>
            <w:r>
              <w:t>Proportion of low complexity complaints completed within 2</w:t>
            </w:r>
            <w:r w:rsidR="00D82715">
              <w:t> </w:t>
            </w:r>
            <w:r>
              <w:t>months</w:t>
            </w:r>
          </w:p>
        </w:tc>
        <w:tc>
          <w:tcPr>
            <w:tcW w:w="964" w:type="dxa"/>
            <w:tcBorders>
              <w:bottom w:val="single" w:sz="6" w:space="0" w:color="auto"/>
            </w:tcBorders>
          </w:tcPr>
          <w:p w14:paraId="7ADBDA7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F58B1B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68A69305"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596302F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Borders>
              <w:bottom w:val="single" w:sz="6" w:space="0" w:color="auto"/>
            </w:tcBorders>
          </w:tcPr>
          <w:p w14:paraId="46761AB2"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r>
      <w:tr w:rsidR="00824558" w14:paraId="60B20950" w14:textId="77777777" w:rsidTr="00597731">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55352B" w14:textId="1718AF15" w:rsidR="00824558" w:rsidRDefault="00824558">
            <w:pPr>
              <w:ind w:left="170"/>
            </w:pPr>
            <w:r>
              <w:t>Proportion of medium complexity complaints completed within 5</w:t>
            </w:r>
            <w:r w:rsidR="00D82715">
              <w:t> </w:t>
            </w:r>
            <w:r>
              <w:t>months</w:t>
            </w:r>
          </w:p>
        </w:tc>
        <w:tc>
          <w:tcPr>
            <w:tcW w:w="964" w:type="dxa"/>
            <w:tcBorders>
              <w:bottom w:val="single" w:sz="6" w:space="0" w:color="auto"/>
            </w:tcBorders>
          </w:tcPr>
          <w:p w14:paraId="65E5844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110AA3"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75D1DD70"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0F2903CE" w14:textId="77777777" w:rsidR="00824558" w:rsidRDefault="00824558">
            <w:pPr>
              <w:cnfStyle w:val="000000000000" w:firstRow="0" w:lastRow="0" w:firstColumn="0" w:lastColumn="0" w:oddVBand="0" w:evenVBand="0" w:oddHBand="0" w:evenHBand="0" w:firstRowFirstColumn="0" w:firstRowLastColumn="0" w:lastRowFirstColumn="0" w:lastRowLastColumn="0"/>
            </w:pPr>
            <w:r>
              <w:t>65</w:t>
            </w:r>
          </w:p>
        </w:tc>
        <w:tc>
          <w:tcPr>
            <w:tcW w:w="964" w:type="dxa"/>
            <w:tcBorders>
              <w:bottom w:val="single" w:sz="6" w:space="0" w:color="auto"/>
            </w:tcBorders>
          </w:tcPr>
          <w:p w14:paraId="3383C1E4" w14:textId="77777777" w:rsidR="00824558" w:rsidRDefault="00824558">
            <w:pPr>
              <w:cnfStyle w:val="000000000000" w:firstRow="0" w:lastRow="0" w:firstColumn="0" w:lastColumn="0" w:oddVBand="0" w:evenVBand="0" w:oddHBand="0" w:evenHBand="0" w:firstRowFirstColumn="0" w:firstRowLastColumn="0" w:lastRowFirstColumn="0" w:lastRowLastColumn="0"/>
            </w:pPr>
            <w:r>
              <w:t>69</w:t>
            </w:r>
          </w:p>
        </w:tc>
      </w:tr>
      <w:tr w:rsidR="00824558" w:rsidRPr="009C0A3D" w14:paraId="3ABCCCAC" w14:textId="77777777" w:rsidTr="00597731">
        <w:tc>
          <w:tcPr>
            <w:cnfStyle w:val="001000000000" w:firstRow="0" w:lastRow="0" w:firstColumn="1" w:lastColumn="0" w:oddVBand="0" w:evenVBand="0" w:oddHBand="0" w:evenHBand="0" w:firstRowFirstColumn="0" w:firstRowLastColumn="0" w:lastRowFirstColumn="0" w:lastRowLastColumn="0"/>
            <w:tcW w:w="9639" w:type="dxa"/>
            <w:gridSpan w:val="6"/>
          </w:tcPr>
          <w:p w14:paraId="291C38D3" w14:textId="77777777" w:rsidR="00824558" w:rsidRPr="009C0A3D" w:rsidRDefault="00824558">
            <w:pPr>
              <w:keepNext/>
              <w:rPr>
                <w:b/>
                <w:bCs/>
                <w:iCs/>
              </w:rPr>
            </w:pPr>
            <w:r w:rsidRPr="009C0A3D">
              <w:rPr>
                <w:b/>
                <w:bCs/>
                <w:iCs/>
              </w:rPr>
              <w:t>Cost</w:t>
            </w:r>
          </w:p>
        </w:tc>
      </w:tr>
      <w:tr w:rsidR="00824558" w14:paraId="75E66566" w14:textId="77777777" w:rsidTr="00597731">
        <w:tc>
          <w:tcPr>
            <w:cnfStyle w:val="001000000000" w:firstRow="0" w:lastRow="0" w:firstColumn="1" w:lastColumn="0" w:oddVBand="0" w:evenVBand="0" w:oddHBand="0" w:evenHBand="0" w:firstRowFirstColumn="0" w:firstRowLastColumn="0" w:lastRowFirstColumn="0" w:lastRowLastColumn="0"/>
            <w:tcW w:w="4819" w:type="dxa"/>
          </w:tcPr>
          <w:p w14:paraId="7804AA0A" w14:textId="77777777" w:rsidR="00824558" w:rsidRDefault="00824558">
            <w:pPr>
              <w:ind w:left="170"/>
            </w:pPr>
            <w:r>
              <w:t>Total output cost</w:t>
            </w:r>
          </w:p>
        </w:tc>
        <w:tc>
          <w:tcPr>
            <w:tcW w:w="964" w:type="dxa"/>
          </w:tcPr>
          <w:p w14:paraId="65FC2D6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1665C3DF"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c>
          <w:tcPr>
            <w:tcW w:w="964" w:type="dxa"/>
          </w:tcPr>
          <w:p w14:paraId="59180F7D"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0B170136"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C961D15" w14:textId="77777777" w:rsidR="00824558" w:rsidRDefault="00824558">
            <w:pPr>
              <w:cnfStyle w:val="000000000000" w:firstRow="0" w:lastRow="0" w:firstColumn="0" w:lastColumn="0" w:oddVBand="0" w:evenVBand="0" w:oddHBand="0" w:evenHBand="0" w:firstRowFirstColumn="0" w:firstRowLastColumn="0" w:lastRowFirstColumn="0" w:lastRowLastColumn="0"/>
            </w:pPr>
            <w:r>
              <w:t>7.7</w:t>
            </w:r>
          </w:p>
        </w:tc>
      </w:tr>
      <w:tr w:rsidR="00597731" w14:paraId="2D84D7C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0EC8A5D" w14:textId="5902D667" w:rsidR="00597731" w:rsidRDefault="00CF438A" w:rsidP="00CF438A">
            <w:pPr>
              <w:ind w:left="170"/>
            </w:pPr>
            <w:r w:rsidRPr="00CF438A">
              <w:rPr>
                <w:i/>
              </w:rPr>
              <w:t>The 2026-27 target is lower than the 2025-26 target as a result of one-off parental leave and critical ICT expenses in 2025-26.</w:t>
            </w:r>
          </w:p>
        </w:tc>
      </w:tr>
    </w:tbl>
    <w:p w14:paraId="22CCF1CB" w14:textId="77777777" w:rsidR="00824558" w:rsidRDefault="00824558">
      <w:pPr>
        <w:pStyle w:val="Source"/>
      </w:pPr>
      <w:r>
        <w:t>Source: Integrity Oversight Victoria</w:t>
      </w:r>
    </w:p>
    <w:p w14:paraId="2B64B66A" w14:textId="1EA18C4C" w:rsidR="00824558" w:rsidRDefault="00824558">
      <w:pPr>
        <w:pStyle w:val="Heading3"/>
      </w:pPr>
      <w:r>
        <w:t>Victorian Ombudsman</w:t>
      </w:r>
      <w:r>
        <w:tab/>
        <w:t>(2026-27: $24.4 million)</w:t>
      </w:r>
    </w:p>
    <w:p w14:paraId="51B6C6CA" w14:textId="2EECA6EA" w:rsidR="00824558" w:rsidRPr="006809AB" w:rsidRDefault="00824558">
      <w:pPr>
        <w:keepNext/>
        <w:spacing w:after="120"/>
        <w:rPr>
          <w:rFonts w:ascii="Garamond" w:hAnsi="Garamond" w:cs="Garamond"/>
        </w:rPr>
      </w:pPr>
      <w:r w:rsidRPr="006809AB">
        <w:rPr>
          <w:rFonts w:ascii="Garamond" w:hAnsi="Garamond" w:cs="Garamond"/>
        </w:rPr>
        <w:t>The Ombudsman is an independent officer of Parliament and plays a key role in Victoria</w:t>
      </w:r>
      <w:r w:rsidR="007942D1">
        <w:rPr>
          <w:rFonts w:ascii="Garamond" w:hAnsi="Garamond" w:cs="Garamond"/>
        </w:rPr>
        <w:t>’</w:t>
      </w:r>
      <w:r w:rsidRPr="006809AB">
        <w:rPr>
          <w:rFonts w:ascii="Garamond" w:hAnsi="Garamond" w:cs="Garamond"/>
        </w:rPr>
        <w:t>s integrity system. Under the</w:t>
      </w:r>
      <w:r w:rsidRPr="006809AB">
        <w:rPr>
          <w:i/>
        </w:rPr>
        <w:t xml:space="preserve"> Ombudsman Act 1973</w:t>
      </w:r>
      <w:r w:rsidRPr="006809AB">
        <w:rPr>
          <w:rFonts w:ascii="Garamond" w:hAnsi="Garamond" w:cs="Garamond"/>
        </w:rPr>
        <w:t>, the Ombudsman resolves and investigates complaints, protected disclosure complaints and </w:t>
      </w:r>
      <w:r w:rsidR="00324555">
        <w:rPr>
          <w:rFonts w:ascii="Garamond" w:hAnsi="Garamond" w:cs="Garamond"/>
        </w:rPr>
        <w:t>‘</w:t>
      </w:r>
      <w:r w:rsidRPr="006809AB">
        <w:rPr>
          <w:rFonts w:ascii="Garamond" w:hAnsi="Garamond" w:cs="Garamond"/>
        </w:rPr>
        <w:t>own motion</w:t>
      </w:r>
      <w:r w:rsidR="007942D1">
        <w:rPr>
          <w:rFonts w:ascii="Garamond" w:hAnsi="Garamond" w:cs="Garamond"/>
        </w:rPr>
        <w:t>’</w:t>
      </w:r>
      <w:r w:rsidRPr="006809AB">
        <w:rPr>
          <w:rFonts w:ascii="Garamond" w:hAnsi="Garamond" w:cs="Garamond"/>
        </w:rPr>
        <w:t xml:space="preserve"> matters related to the administrative actions of government and public service authorities and makes recommendations to improve and promote the trust of the Victorian community in Government institutions. The Ombudsman also seeks to identify and prevent maladministration, including proactively reviewing complaints systems and providing education and training to the public sector and Victorian community about its functions.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61D920B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BF51BC1" w14:textId="77777777" w:rsidR="00824558" w:rsidRDefault="00824558">
            <w:r>
              <w:t>Performance measure</w:t>
            </w:r>
          </w:p>
        </w:tc>
        <w:tc>
          <w:tcPr>
            <w:tcW w:w="964" w:type="dxa"/>
          </w:tcPr>
          <w:p w14:paraId="3536BC4A"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0FE2426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61ACD0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D393ED1"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82BC2B4"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7E1A0C24"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1C92EEC" w14:textId="77777777" w:rsidR="00824558" w:rsidRPr="009C0A3D" w:rsidRDefault="00824558">
            <w:pPr>
              <w:keepNext/>
              <w:rPr>
                <w:b/>
                <w:bCs/>
                <w:iCs/>
              </w:rPr>
            </w:pPr>
            <w:r w:rsidRPr="009C0A3D">
              <w:rPr>
                <w:b/>
                <w:bCs/>
                <w:iCs/>
              </w:rPr>
              <w:t>Quantity</w:t>
            </w:r>
          </w:p>
        </w:tc>
      </w:tr>
      <w:tr w:rsidR="00824558" w14:paraId="38A925E7"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850BD4F" w14:textId="77777777" w:rsidR="00824558" w:rsidRDefault="00824558">
            <w:pPr>
              <w:ind w:left="170"/>
            </w:pPr>
            <w:r>
              <w:t>Jurisdictional cases selected for enquiry/investigation</w:t>
            </w:r>
          </w:p>
        </w:tc>
        <w:tc>
          <w:tcPr>
            <w:tcW w:w="964" w:type="dxa"/>
            <w:tcBorders>
              <w:bottom w:val="single" w:sz="6" w:space="0" w:color="auto"/>
            </w:tcBorders>
          </w:tcPr>
          <w:p w14:paraId="5C7B5FD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41849F2"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c>
          <w:tcPr>
            <w:tcW w:w="964" w:type="dxa"/>
            <w:tcBorders>
              <w:bottom w:val="single" w:sz="6" w:space="0" w:color="auto"/>
            </w:tcBorders>
          </w:tcPr>
          <w:p w14:paraId="32D97B0B" w14:textId="77777777" w:rsidR="00824558" w:rsidRDefault="00824558">
            <w:pPr>
              <w:cnfStyle w:val="000000000000" w:firstRow="0" w:lastRow="0" w:firstColumn="0" w:lastColumn="0" w:oddVBand="0" w:evenVBand="0" w:oddHBand="0" w:evenHBand="0" w:firstRowFirstColumn="0" w:firstRowLastColumn="0" w:lastRowFirstColumn="0" w:lastRowLastColumn="0"/>
            </w:pPr>
            <w:r>
              <w:t>26</w:t>
            </w:r>
          </w:p>
        </w:tc>
        <w:tc>
          <w:tcPr>
            <w:tcW w:w="964" w:type="dxa"/>
            <w:tcBorders>
              <w:bottom w:val="single" w:sz="6" w:space="0" w:color="auto"/>
            </w:tcBorders>
          </w:tcPr>
          <w:p w14:paraId="5C521C54" w14:textId="77777777" w:rsidR="00824558" w:rsidRDefault="00824558">
            <w:pPr>
              <w:cnfStyle w:val="000000000000" w:firstRow="0" w:lastRow="0" w:firstColumn="0" w:lastColumn="0" w:oddVBand="0" w:evenVBand="0" w:oddHBand="0" w:evenHBand="0" w:firstRowFirstColumn="0" w:firstRowLastColumn="0" w:lastRowFirstColumn="0" w:lastRowLastColumn="0"/>
            </w:pPr>
            <w:r>
              <w:t>27</w:t>
            </w:r>
          </w:p>
        </w:tc>
        <w:tc>
          <w:tcPr>
            <w:tcW w:w="964" w:type="dxa"/>
            <w:tcBorders>
              <w:bottom w:val="single" w:sz="6" w:space="0" w:color="auto"/>
            </w:tcBorders>
          </w:tcPr>
          <w:p w14:paraId="5515995B" w14:textId="77777777" w:rsidR="00824558" w:rsidRDefault="00824558">
            <w:pPr>
              <w:cnfStyle w:val="000000000000" w:firstRow="0" w:lastRow="0" w:firstColumn="0" w:lastColumn="0" w:oddVBand="0" w:evenVBand="0" w:oddHBand="0" w:evenHBand="0" w:firstRowFirstColumn="0" w:firstRowLastColumn="0" w:lastRowFirstColumn="0" w:lastRowLastColumn="0"/>
            </w:pPr>
            <w:r>
              <w:t>26</w:t>
            </w:r>
          </w:p>
        </w:tc>
      </w:tr>
      <w:tr w:rsidR="00824558" w14:paraId="5A73FFA9" w14:textId="77777777">
        <w:tc>
          <w:tcPr>
            <w:cnfStyle w:val="001000000000" w:firstRow="0" w:lastRow="0" w:firstColumn="1" w:lastColumn="0" w:oddVBand="0" w:evenVBand="0" w:oddHBand="0" w:evenHBand="0" w:firstRowFirstColumn="0" w:firstRowLastColumn="0" w:lastRowFirstColumn="0" w:lastRowLastColumn="0"/>
            <w:tcW w:w="4819" w:type="dxa"/>
          </w:tcPr>
          <w:p w14:paraId="4C1FF3B2" w14:textId="77777777" w:rsidR="00824558" w:rsidRDefault="00824558">
            <w:pPr>
              <w:keepNext/>
              <w:ind w:left="170"/>
            </w:pPr>
            <w:r>
              <w:t>Number of participants in public sector prevention initiatives, including formal training workshops, presentations and speeches and other education programs</w:t>
            </w:r>
          </w:p>
        </w:tc>
        <w:tc>
          <w:tcPr>
            <w:tcW w:w="964" w:type="dxa"/>
          </w:tcPr>
          <w:p w14:paraId="00D4D94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09FEB3C" w14:textId="77777777" w:rsidR="00824558" w:rsidRDefault="00824558">
            <w:pPr>
              <w:cnfStyle w:val="000000000000" w:firstRow="0" w:lastRow="0" w:firstColumn="0" w:lastColumn="0" w:oddVBand="0" w:evenVBand="0" w:oddHBand="0" w:evenHBand="0" w:firstRowFirstColumn="0" w:firstRowLastColumn="0" w:lastRowFirstColumn="0" w:lastRowLastColumn="0"/>
            </w:pPr>
            <w:r>
              <w:t>1 250</w:t>
            </w:r>
          </w:p>
        </w:tc>
        <w:tc>
          <w:tcPr>
            <w:tcW w:w="964" w:type="dxa"/>
          </w:tcPr>
          <w:p w14:paraId="121014FF" w14:textId="77777777" w:rsidR="00824558" w:rsidRDefault="00824558">
            <w:pPr>
              <w:cnfStyle w:val="000000000000" w:firstRow="0" w:lastRow="0" w:firstColumn="0" w:lastColumn="0" w:oddVBand="0" w:evenVBand="0" w:oddHBand="0" w:evenHBand="0" w:firstRowFirstColumn="0" w:firstRowLastColumn="0" w:lastRowFirstColumn="0" w:lastRowLastColumn="0"/>
            </w:pPr>
            <w:r>
              <w:t>716</w:t>
            </w:r>
          </w:p>
        </w:tc>
        <w:tc>
          <w:tcPr>
            <w:tcW w:w="964" w:type="dxa"/>
          </w:tcPr>
          <w:p w14:paraId="0E024275" w14:textId="77777777" w:rsidR="00824558" w:rsidRDefault="00824558">
            <w:pPr>
              <w:cnfStyle w:val="000000000000" w:firstRow="0" w:lastRow="0" w:firstColumn="0" w:lastColumn="0" w:oddVBand="0" w:evenVBand="0" w:oddHBand="0" w:evenHBand="0" w:firstRowFirstColumn="0" w:firstRowLastColumn="0" w:lastRowFirstColumn="0" w:lastRowLastColumn="0"/>
            </w:pPr>
            <w:r>
              <w:t>750</w:t>
            </w:r>
          </w:p>
        </w:tc>
        <w:tc>
          <w:tcPr>
            <w:tcW w:w="964" w:type="dxa"/>
          </w:tcPr>
          <w:p w14:paraId="07BC3619" w14:textId="77777777" w:rsidR="00824558" w:rsidRDefault="00824558">
            <w:pPr>
              <w:cnfStyle w:val="000000000000" w:firstRow="0" w:lastRow="0" w:firstColumn="0" w:lastColumn="0" w:oddVBand="0" w:evenVBand="0" w:oddHBand="0" w:evenHBand="0" w:firstRowFirstColumn="0" w:firstRowLastColumn="0" w:lastRowFirstColumn="0" w:lastRowLastColumn="0"/>
            </w:pPr>
            <w:r>
              <w:t>484</w:t>
            </w:r>
          </w:p>
        </w:tc>
      </w:tr>
      <w:tr w:rsidR="00824558" w14:paraId="0DD9D9D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23DCC9" w14:textId="4DD5CF10" w:rsidR="00824558" w:rsidRDefault="00824558">
            <w:pPr>
              <w:ind w:left="170"/>
            </w:pPr>
            <w:r>
              <w:rPr>
                <w:i/>
              </w:rPr>
              <w:t xml:space="preserve">This performance measure is proposed to replace the 2025-26 performance measure </w:t>
            </w:r>
            <w:r w:rsidR="007942D1">
              <w:rPr>
                <w:i/>
              </w:rPr>
              <w:t>‘</w:t>
            </w:r>
            <w:r>
              <w:rPr>
                <w:i/>
              </w:rPr>
              <w:t>Number of participants engaged in education and training programs</w:t>
            </w:r>
            <w:r w:rsidR="007942D1">
              <w:rPr>
                <w:i/>
              </w:rPr>
              <w:t>’</w:t>
            </w:r>
            <w:r>
              <w:rPr>
                <w:i/>
              </w:rPr>
              <w:t>. It has been replaced to more accurately reflect the reach of the Victorian Ombudsman</w:t>
            </w:r>
            <w:r w:rsidR="007942D1">
              <w:rPr>
                <w:i/>
              </w:rPr>
              <w:t>’</w:t>
            </w:r>
            <w:r>
              <w:rPr>
                <w:i/>
              </w:rPr>
              <w:t>s public sector prevention initiatives.</w:t>
            </w:r>
          </w:p>
        </w:tc>
      </w:tr>
      <w:tr w:rsidR="00824558" w14:paraId="57B41A5D" w14:textId="77777777">
        <w:tc>
          <w:tcPr>
            <w:cnfStyle w:val="001000000000" w:firstRow="0" w:lastRow="0" w:firstColumn="1" w:lastColumn="0" w:oddVBand="0" w:evenVBand="0" w:oddHBand="0" w:evenHBand="0" w:firstRowFirstColumn="0" w:firstRowLastColumn="0" w:lastRowFirstColumn="0" w:lastRowLastColumn="0"/>
            <w:tcW w:w="4819" w:type="dxa"/>
          </w:tcPr>
          <w:p w14:paraId="7987109A" w14:textId="77777777" w:rsidR="00824558" w:rsidRDefault="00824558">
            <w:pPr>
              <w:keepNext/>
              <w:ind w:left="170"/>
            </w:pPr>
            <w:r>
              <w:t>Percentage of complaints closed versus received</w:t>
            </w:r>
          </w:p>
        </w:tc>
        <w:tc>
          <w:tcPr>
            <w:tcW w:w="964" w:type="dxa"/>
          </w:tcPr>
          <w:p w14:paraId="4D94DBA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BC863D"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7576BEC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782CD3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0076B8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A191AB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3644E35" w14:textId="19497307" w:rsidR="00824558" w:rsidRDefault="00824558">
            <w:pPr>
              <w:ind w:left="170"/>
            </w:pPr>
            <w:r>
              <w:rPr>
                <w:i/>
              </w:rPr>
              <w:t>New performance measure for 2026-27 to reflect a rising need to demonstrate the Victorian Ombudsman</w:t>
            </w:r>
            <w:r w:rsidR="007942D1">
              <w:rPr>
                <w:i/>
              </w:rPr>
              <w:t>’</w:t>
            </w:r>
            <w:r>
              <w:rPr>
                <w:i/>
              </w:rPr>
              <w:t>s service delivery efficiency.</w:t>
            </w:r>
          </w:p>
        </w:tc>
      </w:tr>
      <w:tr w:rsidR="00824558" w14:paraId="0A4E321E" w14:textId="77777777">
        <w:tc>
          <w:tcPr>
            <w:cnfStyle w:val="001000000000" w:firstRow="0" w:lastRow="0" w:firstColumn="1" w:lastColumn="0" w:oddVBand="0" w:evenVBand="0" w:oddHBand="0" w:evenHBand="0" w:firstRowFirstColumn="0" w:firstRowLastColumn="0" w:lastRowFirstColumn="0" w:lastRowLastColumn="0"/>
            <w:tcW w:w="4819" w:type="dxa"/>
          </w:tcPr>
          <w:p w14:paraId="20231263" w14:textId="77777777" w:rsidR="00824558" w:rsidRDefault="00824558">
            <w:pPr>
              <w:keepNext/>
              <w:ind w:left="170"/>
            </w:pPr>
            <w:r>
              <w:t>Percentage of Public Interest Complaints closed versus received</w:t>
            </w:r>
          </w:p>
        </w:tc>
        <w:tc>
          <w:tcPr>
            <w:tcW w:w="964" w:type="dxa"/>
          </w:tcPr>
          <w:p w14:paraId="7C85180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F6FFD6" w14:textId="77777777" w:rsidR="00824558" w:rsidRDefault="00824558">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56C1790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74BE10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505605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E7D1BE5"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4E55F12" w14:textId="5A3B86B4" w:rsidR="00824558" w:rsidRDefault="00824558">
            <w:pPr>
              <w:ind w:left="170"/>
            </w:pPr>
            <w:r>
              <w:rPr>
                <w:i/>
              </w:rPr>
              <w:t>New performance measure for 2026-27 to reflect a rising need to demonstrate the Victorian Ombudsman</w:t>
            </w:r>
            <w:r w:rsidR="007942D1">
              <w:rPr>
                <w:i/>
              </w:rPr>
              <w:t>’</w:t>
            </w:r>
            <w:r>
              <w:rPr>
                <w:i/>
              </w:rPr>
              <w:t>s service delivery efficiency.</w:t>
            </w:r>
          </w:p>
        </w:tc>
      </w:tr>
      <w:tr w:rsidR="00824558" w:rsidRPr="009C0A3D" w14:paraId="68B41084"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0A3D876" w14:textId="77777777" w:rsidR="00824558" w:rsidRPr="009C0A3D" w:rsidRDefault="00824558">
            <w:pPr>
              <w:keepNext/>
              <w:rPr>
                <w:b/>
                <w:bCs/>
                <w:iCs/>
              </w:rPr>
            </w:pPr>
            <w:r w:rsidRPr="009C0A3D">
              <w:rPr>
                <w:b/>
                <w:bCs/>
                <w:iCs/>
              </w:rPr>
              <w:t>Quality</w:t>
            </w:r>
          </w:p>
        </w:tc>
      </w:tr>
      <w:tr w:rsidR="00824558" w14:paraId="32579E08" w14:textId="77777777">
        <w:tc>
          <w:tcPr>
            <w:cnfStyle w:val="001000000000" w:firstRow="0" w:lastRow="0" w:firstColumn="1" w:lastColumn="0" w:oddVBand="0" w:evenVBand="0" w:oddHBand="0" w:evenHBand="0" w:firstRowFirstColumn="0" w:firstRowLastColumn="0" w:lastRowFirstColumn="0" w:lastRowLastColumn="0"/>
            <w:tcW w:w="4819" w:type="dxa"/>
          </w:tcPr>
          <w:p w14:paraId="5EEA7623" w14:textId="77777777" w:rsidR="00824558" w:rsidRDefault="00824558">
            <w:pPr>
              <w:keepNext/>
              <w:ind w:left="170"/>
            </w:pPr>
            <w:r>
              <w:t>Percentage of investigation recommendations made that were accepted</w:t>
            </w:r>
          </w:p>
        </w:tc>
        <w:tc>
          <w:tcPr>
            <w:tcW w:w="964" w:type="dxa"/>
          </w:tcPr>
          <w:p w14:paraId="63C302E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B53C1EB"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6743385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18D4ADD5"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321D8A8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191EAD5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6565599" w14:textId="77777777" w:rsidR="00824558" w:rsidRDefault="00824558">
            <w:pPr>
              <w:ind w:left="170"/>
            </w:pPr>
            <w:r>
              <w:rPr>
                <w:i/>
              </w:rPr>
              <w:t>New performance measure for 2026-27 to reflect a desire to introduce a quality measure for investigations.</w:t>
            </w:r>
          </w:p>
        </w:tc>
      </w:tr>
      <w:tr w:rsidR="00824558" w14:paraId="3EEA5F7D" w14:textId="77777777">
        <w:tc>
          <w:tcPr>
            <w:cnfStyle w:val="001000000000" w:firstRow="0" w:lastRow="0" w:firstColumn="1" w:lastColumn="0" w:oddVBand="0" w:evenVBand="0" w:oddHBand="0" w:evenHBand="0" w:firstRowFirstColumn="0" w:firstRowLastColumn="0" w:lastRowFirstColumn="0" w:lastRowLastColumn="0"/>
            <w:tcW w:w="4819" w:type="dxa"/>
          </w:tcPr>
          <w:p w14:paraId="48EDC05F" w14:textId="77777777" w:rsidR="00824558" w:rsidRDefault="00824558">
            <w:pPr>
              <w:keepNext/>
              <w:ind w:left="170"/>
            </w:pPr>
            <w:r>
              <w:t>Proportion of complainants who felt they were treated with respect and given the opportunity to explain their complaint</w:t>
            </w:r>
          </w:p>
        </w:tc>
        <w:tc>
          <w:tcPr>
            <w:tcW w:w="964" w:type="dxa"/>
          </w:tcPr>
          <w:p w14:paraId="63F9D27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20B9319"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1116C93A" w14:textId="77777777" w:rsidR="00824558" w:rsidRDefault="00824558">
            <w:pPr>
              <w:cnfStyle w:val="000000000000" w:firstRow="0" w:lastRow="0" w:firstColumn="0" w:lastColumn="0" w:oddVBand="0" w:evenVBand="0" w:oddHBand="0" w:evenHBand="0" w:firstRowFirstColumn="0" w:firstRowLastColumn="0" w:lastRowFirstColumn="0" w:lastRowLastColumn="0"/>
            </w:pPr>
            <w:r>
              <w:t>46</w:t>
            </w:r>
          </w:p>
        </w:tc>
        <w:tc>
          <w:tcPr>
            <w:tcW w:w="964" w:type="dxa"/>
          </w:tcPr>
          <w:p w14:paraId="323270D1" w14:textId="77777777" w:rsidR="00824558" w:rsidRDefault="00824558">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541EDBFD" w14:textId="77777777" w:rsidR="00824558" w:rsidRDefault="00824558">
            <w:pPr>
              <w:cnfStyle w:val="000000000000" w:firstRow="0" w:lastRow="0" w:firstColumn="0" w:lastColumn="0" w:oddVBand="0" w:evenVBand="0" w:oddHBand="0" w:evenHBand="0" w:firstRowFirstColumn="0" w:firstRowLastColumn="0" w:lastRowFirstColumn="0" w:lastRowLastColumn="0"/>
            </w:pPr>
            <w:r>
              <w:t>50</w:t>
            </w:r>
          </w:p>
        </w:tc>
      </w:tr>
      <w:tr w:rsidR="00824558" w14:paraId="06541BD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05E0B70" w14:textId="578DFB06" w:rsidR="00824558" w:rsidRDefault="00824558">
            <w:pPr>
              <w:ind w:left="170"/>
            </w:pPr>
            <w:r>
              <w:rPr>
                <w:i/>
              </w:rPr>
              <w:t>The 2025-26 expected outcome is lower than the 2025-26 target. VO complainant satisfaction data reflects the decline in satisfaction associated with other government services and is generally consistent with the results of other Parliamentary Ombudsman. The VO continues to review and refine operational processes and systems to ensure online complainants</w:t>
            </w:r>
            <w:r w:rsidR="007942D1">
              <w:rPr>
                <w:i/>
              </w:rPr>
              <w:t>’</w:t>
            </w:r>
            <w:r>
              <w:rPr>
                <w:i/>
              </w:rPr>
              <w:t xml:space="preserve"> interactions with the office meet the complainants</w:t>
            </w:r>
            <w:r w:rsidR="007942D1">
              <w:rPr>
                <w:i/>
              </w:rPr>
              <w:t>’</w:t>
            </w:r>
            <w:r>
              <w:rPr>
                <w:i/>
              </w:rPr>
              <w:t xml:space="preserve"> needs and expectations.</w:t>
            </w:r>
          </w:p>
          <w:p w14:paraId="72E99709" w14:textId="584FDE36" w:rsidR="00824558" w:rsidRDefault="00824558">
            <w:pPr>
              <w:ind w:left="170"/>
            </w:pPr>
            <w:r>
              <w:rPr>
                <w:i/>
              </w:rPr>
              <w:t xml:space="preserve">This performance measure is proposed to replace the 2025-26 performance measure </w:t>
            </w:r>
            <w:r w:rsidR="007942D1">
              <w:rPr>
                <w:i/>
              </w:rPr>
              <w:t>‘</w:t>
            </w:r>
            <w:r>
              <w:rPr>
                <w:i/>
              </w:rPr>
              <w:t>User satisfaction with complaint services</w:t>
            </w:r>
            <w:r w:rsidR="007942D1">
              <w:rPr>
                <w:i/>
              </w:rPr>
              <w:t>’</w:t>
            </w:r>
            <w:r>
              <w:rPr>
                <w:i/>
              </w:rPr>
              <w:t>. It has been amended to focus on the fairness of complaint services in line with the Victorian Ombudsman</w:t>
            </w:r>
            <w:r w:rsidR="007942D1">
              <w:rPr>
                <w:i/>
              </w:rPr>
              <w:t>’</w:t>
            </w:r>
            <w:r>
              <w:rPr>
                <w:i/>
              </w:rPr>
              <w:t>s strategic priorities.</w:t>
            </w:r>
          </w:p>
        </w:tc>
      </w:tr>
      <w:tr w:rsidR="00824558" w14:paraId="778E171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BC2253" w14:textId="77777777" w:rsidR="00824558" w:rsidRDefault="00824558">
            <w:pPr>
              <w:ind w:left="170"/>
            </w:pPr>
            <w:r>
              <w:t>Public sector education program satisfaction rate</w:t>
            </w:r>
          </w:p>
        </w:tc>
        <w:tc>
          <w:tcPr>
            <w:tcW w:w="964" w:type="dxa"/>
            <w:tcBorders>
              <w:bottom w:val="single" w:sz="6" w:space="0" w:color="auto"/>
            </w:tcBorders>
          </w:tcPr>
          <w:p w14:paraId="437DBE9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A058B0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1B3AC7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4ED178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6AD0B0F"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rsidRPr="009C0A3D" w14:paraId="4923A2E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118A2A0" w14:textId="77777777" w:rsidR="00824558" w:rsidRPr="009C0A3D" w:rsidRDefault="00824558">
            <w:pPr>
              <w:keepNext/>
              <w:rPr>
                <w:b/>
                <w:bCs/>
                <w:iCs/>
              </w:rPr>
            </w:pPr>
            <w:r w:rsidRPr="009C0A3D">
              <w:rPr>
                <w:b/>
                <w:bCs/>
                <w:iCs/>
              </w:rPr>
              <w:t>Timeliness</w:t>
            </w:r>
          </w:p>
        </w:tc>
      </w:tr>
      <w:tr w:rsidR="00824558" w14:paraId="0BE9DAA0" w14:textId="77777777">
        <w:tc>
          <w:tcPr>
            <w:cnfStyle w:val="001000000000" w:firstRow="0" w:lastRow="0" w:firstColumn="1" w:lastColumn="0" w:oddVBand="0" w:evenVBand="0" w:oddHBand="0" w:evenHBand="0" w:firstRowFirstColumn="0" w:firstRowLastColumn="0" w:lastRowFirstColumn="0" w:lastRowLastColumn="0"/>
            <w:tcW w:w="4819" w:type="dxa"/>
          </w:tcPr>
          <w:p w14:paraId="772C418A" w14:textId="77777777" w:rsidR="00824558" w:rsidRDefault="00824558">
            <w:pPr>
              <w:keepNext/>
              <w:ind w:left="170"/>
            </w:pPr>
            <w:r>
              <w:t>Complex investigations closed within 18 months</w:t>
            </w:r>
          </w:p>
        </w:tc>
        <w:tc>
          <w:tcPr>
            <w:tcW w:w="964" w:type="dxa"/>
          </w:tcPr>
          <w:p w14:paraId="77DB46F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23F3B7E" w14:textId="77777777" w:rsidR="00824558" w:rsidRDefault="00824558">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EDA13A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F320248"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C8E589A"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E1ABAF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574D4F6" w14:textId="77777777" w:rsidR="00824558" w:rsidRDefault="00824558">
            <w:pPr>
              <w:ind w:left="170"/>
            </w:pPr>
            <w:r>
              <w:rPr>
                <w:i/>
              </w:rPr>
              <w:t>New performance measure for 2026-27 to introduce investigation complexity as a key factor affecting investigation timeliness.</w:t>
            </w:r>
          </w:p>
        </w:tc>
      </w:tr>
      <w:tr w:rsidR="00824558" w14:paraId="7837DCFB" w14:textId="77777777">
        <w:tc>
          <w:tcPr>
            <w:cnfStyle w:val="001000000000" w:firstRow="0" w:lastRow="0" w:firstColumn="1" w:lastColumn="0" w:oddVBand="0" w:evenVBand="0" w:oddHBand="0" w:evenHBand="0" w:firstRowFirstColumn="0" w:firstRowLastColumn="0" w:lastRowFirstColumn="0" w:lastRowLastColumn="0"/>
            <w:tcW w:w="4819" w:type="dxa"/>
          </w:tcPr>
          <w:p w14:paraId="32841251" w14:textId="77777777" w:rsidR="00824558" w:rsidRDefault="00824558">
            <w:pPr>
              <w:keepNext/>
              <w:ind w:left="170"/>
            </w:pPr>
            <w:r>
              <w:t>Standard investigations closed within 12 months</w:t>
            </w:r>
          </w:p>
        </w:tc>
        <w:tc>
          <w:tcPr>
            <w:tcW w:w="964" w:type="dxa"/>
          </w:tcPr>
          <w:p w14:paraId="0FBF6CD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DBE5B07"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AB6F1DC" w14:textId="77777777" w:rsidR="00824558" w:rsidRDefault="00824558">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6769685A"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51D51FF5" w14:textId="77777777" w:rsidR="00824558" w:rsidRDefault="00824558">
            <w:pPr>
              <w:cnfStyle w:val="000000000000" w:firstRow="0" w:lastRow="0" w:firstColumn="0" w:lastColumn="0" w:oddVBand="0" w:evenVBand="0" w:oddHBand="0" w:evenHBand="0" w:firstRowFirstColumn="0" w:firstRowLastColumn="0" w:lastRowFirstColumn="0" w:lastRowLastColumn="0"/>
            </w:pPr>
            <w:r>
              <w:t>47</w:t>
            </w:r>
          </w:p>
        </w:tc>
      </w:tr>
      <w:tr w:rsidR="00824558" w14:paraId="44C6D02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225875E" w14:textId="54BE1282" w:rsidR="00824558" w:rsidRDefault="00824558">
            <w:pPr>
              <w:ind w:left="170"/>
            </w:pPr>
            <w:r>
              <w:rPr>
                <w:i/>
              </w:rPr>
              <w:t xml:space="preserve">This performance measure is proposed to replace the 2025-26 performance measure </w:t>
            </w:r>
            <w:r w:rsidR="007942D1">
              <w:rPr>
                <w:i/>
              </w:rPr>
              <w:t>‘</w:t>
            </w:r>
            <w:r>
              <w:rPr>
                <w:i/>
              </w:rPr>
              <w:t>Investigations closed within 12 months</w:t>
            </w:r>
            <w:r w:rsidR="007942D1">
              <w:rPr>
                <w:i/>
              </w:rPr>
              <w:t>’</w:t>
            </w:r>
            <w:r>
              <w:rPr>
                <w:i/>
              </w:rPr>
              <w:t>. It has been replaced to introduce investigation complexity as a key factor affecting investigation timeliness.</w:t>
            </w:r>
          </w:p>
        </w:tc>
      </w:tr>
      <w:tr w:rsidR="00824558" w14:paraId="2076E10A" w14:textId="77777777">
        <w:tc>
          <w:tcPr>
            <w:cnfStyle w:val="001000000000" w:firstRow="0" w:lastRow="0" w:firstColumn="1" w:lastColumn="0" w:oddVBand="0" w:evenVBand="0" w:oddHBand="0" w:evenHBand="0" w:firstRowFirstColumn="0" w:firstRowLastColumn="0" w:lastRowFirstColumn="0" w:lastRowLastColumn="0"/>
            <w:tcW w:w="4819" w:type="dxa"/>
          </w:tcPr>
          <w:p w14:paraId="1A2B578F" w14:textId="77777777" w:rsidR="00824558" w:rsidRDefault="00824558">
            <w:pPr>
              <w:keepNext/>
              <w:ind w:left="170"/>
            </w:pPr>
            <w:r>
              <w:t>Triage and allocation of high priority complaints made within five business days of receipt</w:t>
            </w:r>
          </w:p>
        </w:tc>
        <w:tc>
          <w:tcPr>
            <w:tcW w:w="964" w:type="dxa"/>
          </w:tcPr>
          <w:p w14:paraId="0BCACD1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E29968E"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C81CB30"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3A5C9ED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0E45A27A"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r>
      <w:tr w:rsidR="00824558" w14:paraId="2B7011A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A3F163" w14:textId="148DA8B0" w:rsidR="00824558" w:rsidRDefault="00824558">
            <w:pPr>
              <w:ind w:left="170"/>
            </w:pPr>
            <w:r>
              <w:rPr>
                <w:i/>
              </w:rPr>
              <w:t xml:space="preserve">This performance measure is proposed to replace the 2025-26 performance measure </w:t>
            </w:r>
            <w:r w:rsidR="007942D1">
              <w:rPr>
                <w:i/>
              </w:rPr>
              <w:t>‘</w:t>
            </w:r>
            <w:r>
              <w:rPr>
                <w:i/>
              </w:rPr>
              <w:t>Complaints closed within 30 days</w:t>
            </w:r>
            <w:r w:rsidR="007942D1">
              <w:rPr>
                <w:i/>
              </w:rPr>
              <w:t>’</w:t>
            </w:r>
            <w:r>
              <w:rPr>
                <w:i/>
              </w:rPr>
              <w:t>. It has been replaced to help prioritise service effort on complaints assessed as likely to have the most individual, community or systemic impact.</w:t>
            </w:r>
          </w:p>
        </w:tc>
      </w:tr>
      <w:tr w:rsidR="00824558" w:rsidRPr="009C0A3D" w14:paraId="131C1F9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561C701" w14:textId="77777777" w:rsidR="00824558" w:rsidRPr="009C0A3D" w:rsidRDefault="00824558">
            <w:pPr>
              <w:keepNext/>
              <w:rPr>
                <w:b/>
                <w:bCs/>
                <w:iCs/>
              </w:rPr>
            </w:pPr>
            <w:r w:rsidRPr="009C0A3D">
              <w:rPr>
                <w:b/>
                <w:bCs/>
                <w:iCs/>
              </w:rPr>
              <w:t>Cost</w:t>
            </w:r>
          </w:p>
        </w:tc>
      </w:tr>
      <w:tr w:rsidR="00824558" w14:paraId="6ED4436C"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38F4E6D5" w14:textId="77777777" w:rsidR="00824558" w:rsidRDefault="00824558" w:rsidP="009C0A3D">
            <w:pPr>
              <w:keepNext/>
              <w:ind w:left="170"/>
            </w:pPr>
            <w:r>
              <w:t>Total output cost</w:t>
            </w:r>
          </w:p>
        </w:tc>
        <w:tc>
          <w:tcPr>
            <w:tcW w:w="964" w:type="dxa"/>
          </w:tcPr>
          <w:p w14:paraId="264840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3CD8FD9B" w14:textId="77777777" w:rsidR="00824558" w:rsidRDefault="00824558">
            <w:pPr>
              <w:cnfStyle w:val="000000000000" w:firstRow="0" w:lastRow="0" w:firstColumn="0" w:lastColumn="0" w:oddVBand="0" w:evenVBand="0" w:oddHBand="0" w:evenHBand="0" w:firstRowFirstColumn="0" w:firstRowLastColumn="0" w:lastRowFirstColumn="0" w:lastRowLastColumn="0"/>
            </w:pPr>
            <w:r>
              <w:t>24.4</w:t>
            </w:r>
          </w:p>
        </w:tc>
        <w:tc>
          <w:tcPr>
            <w:tcW w:w="964" w:type="dxa"/>
          </w:tcPr>
          <w:p w14:paraId="6B85FF65" w14:textId="77777777" w:rsidR="00824558" w:rsidRDefault="00824558">
            <w:pPr>
              <w:cnfStyle w:val="000000000000" w:firstRow="0" w:lastRow="0" w:firstColumn="0" w:lastColumn="0" w:oddVBand="0" w:evenVBand="0" w:oddHBand="0" w:evenHBand="0" w:firstRowFirstColumn="0" w:firstRowLastColumn="0" w:lastRowFirstColumn="0" w:lastRowLastColumn="0"/>
            </w:pPr>
            <w:r>
              <w:t>22.9</w:t>
            </w:r>
          </w:p>
        </w:tc>
        <w:tc>
          <w:tcPr>
            <w:tcW w:w="964" w:type="dxa"/>
          </w:tcPr>
          <w:p w14:paraId="0EA3A89A" w14:textId="77777777" w:rsidR="00824558" w:rsidRDefault="00824558">
            <w:pPr>
              <w:cnfStyle w:val="000000000000" w:firstRow="0" w:lastRow="0" w:firstColumn="0" w:lastColumn="0" w:oddVBand="0" w:evenVBand="0" w:oddHBand="0" w:evenHBand="0" w:firstRowFirstColumn="0" w:firstRowLastColumn="0" w:lastRowFirstColumn="0" w:lastRowLastColumn="0"/>
            </w:pPr>
            <w:r>
              <w:t>22.7</w:t>
            </w:r>
          </w:p>
        </w:tc>
        <w:tc>
          <w:tcPr>
            <w:tcW w:w="964" w:type="dxa"/>
          </w:tcPr>
          <w:p w14:paraId="3787C66E" w14:textId="77777777" w:rsidR="00824558" w:rsidRDefault="00824558">
            <w:pPr>
              <w:cnfStyle w:val="000000000000" w:firstRow="0" w:lastRow="0" w:firstColumn="0" w:lastColumn="0" w:oddVBand="0" w:evenVBand="0" w:oddHBand="0" w:evenHBand="0" w:firstRowFirstColumn="0" w:firstRowLastColumn="0" w:lastRowFirstColumn="0" w:lastRowLastColumn="0"/>
            </w:pPr>
            <w:r>
              <w:t>22.6</w:t>
            </w:r>
          </w:p>
        </w:tc>
      </w:tr>
      <w:tr w:rsidR="00824558" w14:paraId="001F1075"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02B81CA" w14:textId="7C23D23C" w:rsidR="00824558" w:rsidRPr="004F0400" w:rsidRDefault="00824558" w:rsidP="00D82715">
            <w:pPr>
              <w:ind w:left="170"/>
              <w:rPr>
                <w:i/>
                <w:iCs/>
              </w:rPr>
            </w:pPr>
            <w:r w:rsidRPr="007624D7">
              <w:rPr>
                <w:i/>
                <w:iCs/>
              </w:rPr>
              <w:t xml:space="preserve">The higher 2026-27 target reflects new funding provided via the Community Safety Package and </w:t>
            </w:r>
            <w:r w:rsidRPr="00BE08F1">
              <w:t>2026-27 Budget</w:t>
            </w:r>
            <w:r w:rsidRPr="007624D7">
              <w:rPr>
                <w:i/>
                <w:iCs/>
              </w:rPr>
              <w:t xml:space="preserve"> initiative </w:t>
            </w:r>
            <w:r w:rsidR="007942D1">
              <w:rPr>
                <w:i/>
                <w:iCs/>
              </w:rPr>
              <w:t>‘</w:t>
            </w:r>
            <w:r w:rsidRPr="007624D7">
              <w:rPr>
                <w:i/>
                <w:iCs/>
              </w:rPr>
              <w:t>Supporting the operations of the Victorian Ombudsman</w:t>
            </w:r>
            <w:r w:rsidR="007942D1">
              <w:rPr>
                <w:i/>
                <w:iCs/>
              </w:rPr>
              <w:t>’</w:t>
            </w:r>
            <w:r w:rsidRPr="007624D7">
              <w:rPr>
                <w:i/>
                <w:iCs/>
              </w:rPr>
              <w:t>.</w:t>
            </w:r>
          </w:p>
        </w:tc>
      </w:tr>
    </w:tbl>
    <w:p w14:paraId="42C70576" w14:textId="77777777" w:rsidR="00824558" w:rsidRDefault="00824558">
      <w:pPr>
        <w:pStyle w:val="Source"/>
      </w:pPr>
      <w:r>
        <w:t>Source: Victorian Ombudsman</w:t>
      </w:r>
    </w:p>
    <w:p w14:paraId="6829591B" w14:textId="58B2A26F" w:rsidR="00824558" w:rsidRDefault="00824558">
      <w:pPr>
        <w:pStyle w:val="Heading3"/>
      </w:pPr>
      <w:r>
        <w:t>Parliamentary Workplace Standards and Integrity Commission</w:t>
      </w:r>
      <w:r>
        <w:tab/>
        <w:t>(2026-27: $3.0 million)</w:t>
      </w:r>
    </w:p>
    <w:p w14:paraId="154C55D9" w14:textId="77777777" w:rsidR="00824558" w:rsidRPr="009A7C70" w:rsidRDefault="00824558">
      <w:pPr>
        <w:keepNext/>
        <w:spacing w:after="120"/>
        <w:rPr>
          <w:rFonts w:ascii="Garamond" w:hAnsi="Garamond" w:cs="Garamond"/>
        </w:rPr>
      </w:pPr>
      <w:r w:rsidRPr="009A7C70">
        <w:rPr>
          <w:rFonts w:ascii="Garamond" w:hAnsi="Garamond" w:cs="Garamond"/>
        </w:rPr>
        <w:t>The Parliamentary Workplace Standards and Integrity Commission provides independent management of allegations and reporting of parliamentary misconduct involving Victorian members of parliament, ministers, and parliamentary secretaries.</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77846A1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C863508" w14:textId="77777777" w:rsidR="00824558" w:rsidRDefault="00824558">
            <w:r>
              <w:t>Performance measure</w:t>
            </w:r>
          </w:p>
        </w:tc>
        <w:tc>
          <w:tcPr>
            <w:tcW w:w="964" w:type="dxa"/>
          </w:tcPr>
          <w:p w14:paraId="33AD4D86"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A83CA73"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CFA5D2B"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BD507B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76961A85"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9C0A3D" w14:paraId="2779584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DE78F83" w14:textId="77777777" w:rsidR="00824558" w:rsidRPr="009C0A3D" w:rsidRDefault="00824558">
            <w:pPr>
              <w:keepNext/>
              <w:rPr>
                <w:b/>
                <w:bCs/>
                <w:iCs/>
              </w:rPr>
            </w:pPr>
            <w:r w:rsidRPr="009C0A3D">
              <w:rPr>
                <w:b/>
                <w:bCs/>
                <w:iCs/>
              </w:rPr>
              <w:t>Quantity</w:t>
            </w:r>
          </w:p>
        </w:tc>
      </w:tr>
      <w:tr w:rsidR="00824558" w14:paraId="217B1490" w14:textId="77777777">
        <w:tc>
          <w:tcPr>
            <w:cnfStyle w:val="001000000000" w:firstRow="0" w:lastRow="0" w:firstColumn="1" w:lastColumn="0" w:oddVBand="0" w:evenVBand="0" w:oddHBand="0" w:evenHBand="0" w:firstRowFirstColumn="0" w:firstRowLastColumn="0" w:lastRowFirstColumn="0" w:lastRowLastColumn="0"/>
            <w:tcW w:w="4819" w:type="dxa"/>
          </w:tcPr>
          <w:p w14:paraId="753B69E9" w14:textId="77777777" w:rsidR="00824558" w:rsidRDefault="00824558">
            <w:pPr>
              <w:keepNext/>
              <w:ind w:left="170"/>
            </w:pPr>
            <w:r>
              <w:t>Education and/or training activities to key stakeholders.</w:t>
            </w:r>
          </w:p>
        </w:tc>
        <w:tc>
          <w:tcPr>
            <w:tcW w:w="964" w:type="dxa"/>
          </w:tcPr>
          <w:p w14:paraId="035B079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63F97CE" w14:textId="77777777" w:rsidR="00824558" w:rsidRDefault="00824558">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60AF932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AAD066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ADC5378"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227C3B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9D0966F" w14:textId="4C610B56" w:rsidR="00824558" w:rsidRDefault="00824558">
            <w:pPr>
              <w:ind w:left="170"/>
            </w:pPr>
            <w:r>
              <w:rPr>
                <w:i/>
              </w:rPr>
              <w:t>New performance measure to assess the Commission</w:t>
            </w:r>
            <w:r w:rsidR="007942D1">
              <w:rPr>
                <w:i/>
              </w:rPr>
              <w:t>’</w:t>
            </w:r>
            <w:r>
              <w:rPr>
                <w:i/>
              </w:rPr>
              <w:t xml:space="preserve">s education and training functions. </w:t>
            </w:r>
          </w:p>
        </w:tc>
      </w:tr>
      <w:tr w:rsidR="00824558" w:rsidRPr="009C0A3D" w14:paraId="7848435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A8B2CF3" w14:textId="77777777" w:rsidR="00824558" w:rsidRPr="009C0A3D" w:rsidRDefault="00824558">
            <w:pPr>
              <w:keepNext/>
              <w:rPr>
                <w:b/>
                <w:bCs/>
                <w:iCs/>
              </w:rPr>
            </w:pPr>
            <w:r w:rsidRPr="009C0A3D">
              <w:rPr>
                <w:b/>
                <w:bCs/>
                <w:iCs/>
              </w:rPr>
              <w:t>Timeliness</w:t>
            </w:r>
          </w:p>
        </w:tc>
      </w:tr>
      <w:tr w:rsidR="00824558" w14:paraId="32F56A5C" w14:textId="77777777">
        <w:tc>
          <w:tcPr>
            <w:cnfStyle w:val="001000000000" w:firstRow="0" w:lastRow="0" w:firstColumn="1" w:lastColumn="0" w:oddVBand="0" w:evenVBand="0" w:oddHBand="0" w:evenHBand="0" w:firstRowFirstColumn="0" w:firstRowLastColumn="0" w:lastRowFirstColumn="0" w:lastRowLastColumn="0"/>
            <w:tcW w:w="4819" w:type="dxa"/>
          </w:tcPr>
          <w:p w14:paraId="074C2B03" w14:textId="77777777" w:rsidR="00824558" w:rsidRDefault="00824558">
            <w:pPr>
              <w:keepNext/>
              <w:ind w:left="170"/>
            </w:pPr>
            <w:r>
              <w:t>Acknowledge receipt of a new referral of parliamentary misconduct within five business days</w:t>
            </w:r>
          </w:p>
        </w:tc>
        <w:tc>
          <w:tcPr>
            <w:tcW w:w="964" w:type="dxa"/>
          </w:tcPr>
          <w:p w14:paraId="101AD3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03C44C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53274FF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632E609"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9AFA90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CDD500F"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BFE10F5" w14:textId="168371EB" w:rsidR="00824558" w:rsidRDefault="00824558">
            <w:pPr>
              <w:ind w:left="170"/>
            </w:pPr>
            <w:r>
              <w:rPr>
                <w:i/>
              </w:rPr>
              <w:t>New performance measure to assess the Commission</w:t>
            </w:r>
            <w:r w:rsidR="007942D1">
              <w:rPr>
                <w:i/>
              </w:rPr>
              <w:t>’</w:t>
            </w:r>
            <w:r>
              <w:rPr>
                <w:i/>
              </w:rPr>
              <w:t xml:space="preserve">s responsiveness in relation to acknowledging referrals of parliamentary misconduct. </w:t>
            </w:r>
          </w:p>
        </w:tc>
      </w:tr>
      <w:tr w:rsidR="00824558" w14:paraId="2F44785A" w14:textId="77777777">
        <w:tc>
          <w:tcPr>
            <w:cnfStyle w:val="001000000000" w:firstRow="0" w:lastRow="0" w:firstColumn="1" w:lastColumn="0" w:oddVBand="0" w:evenVBand="0" w:oddHBand="0" w:evenHBand="0" w:firstRowFirstColumn="0" w:firstRowLastColumn="0" w:lastRowFirstColumn="0" w:lastRowLastColumn="0"/>
            <w:tcW w:w="4819" w:type="dxa"/>
          </w:tcPr>
          <w:p w14:paraId="41552D1C" w14:textId="77777777" w:rsidR="00824558" w:rsidRDefault="00824558">
            <w:pPr>
              <w:keepNext/>
              <w:ind w:left="170"/>
            </w:pPr>
            <w:r>
              <w:t>Decision issued within 45 days of a referral of parliamentary misconduct being received, provided there is sufficient information from the referrer</w:t>
            </w:r>
          </w:p>
        </w:tc>
        <w:tc>
          <w:tcPr>
            <w:tcW w:w="964" w:type="dxa"/>
          </w:tcPr>
          <w:p w14:paraId="7BB066F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96AB26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D4AD46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AC2B1E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2A30DAB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AABF3A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0C9D98D" w14:textId="1FACE91A" w:rsidR="00824558" w:rsidRDefault="00824558">
            <w:pPr>
              <w:ind w:left="170"/>
            </w:pPr>
            <w:r>
              <w:rPr>
                <w:i/>
              </w:rPr>
              <w:t>New performance measure to assess the Commission</w:t>
            </w:r>
            <w:r w:rsidR="007942D1">
              <w:rPr>
                <w:i/>
              </w:rPr>
              <w:t>’</w:t>
            </w:r>
            <w:r>
              <w:rPr>
                <w:i/>
              </w:rPr>
              <w:t xml:space="preserve">s timeliness in making a decision in relation to referrals of parliamentary misconduct. </w:t>
            </w:r>
          </w:p>
        </w:tc>
      </w:tr>
      <w:tr w:rsidR="00824558" w14:paraId="764721A3" w14:textId="77777777">
        <w:tc>
          <w:tcPr>
            <w:cnfStyle w:val="001000000000" w:firstRow="0" w:lastRow="0" w:firstColumn="1" w:lastColumn="0" w:oddVBand="0" w:evenVBand="0" w:oddHBand="0" w:evenHBand="0" w:firstRowFirstColumn="0" w:firstRowLastColumn="0" w:lastRowFirstColumn="0" w:lastRowLastColumn="0"/>
            <w:tcW w:w="4819" w:type="dxa"/>
          </w:tcPr>
          <w:p w14:paraId="01AF2A35" w14:textId="77777777" w:rsidR="00824558" w:rsidRDefault="00824558">
            <w:pPr>
              <w:keepNext/>
              <w:ind w:left="170"/>
            </w:pPr>
            <w:r>
              <w:t>Proportion of dispute resolution processes completed within four months</w:t>
            </w:r>
          </w:p>
        </w:tc>
        <w:tc>
          <w:tcPr>
            <w:tcW w:w="964" w:type="dxa"/>
          </w:tcPr>
          <w:p w14:paraId="37F2F33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E6A700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5457EF71"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C899F7C"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6B8454B"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70DB18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E270CA" w14:textId="4497F805" w:rsidR="00824558" w:rsidRDefault="00824558">
            <w:pPr>
              <w:ind w:left="170"/>
            </w:pPr>
            <w:r>
              <w:rPr>
                <w:i/>
              </w:rPr>
              <w:t>New performance measure to assess the Commission</w:t>
            </w:r>
            <w:r w:rsidR="007942D1">
              <w:rPr>
                <w:i/>
              </w:rPr>
              <w:t>’</w:t>
            </w:r>
            <w:r>
              <w:rPr>
                <w:i/>
              </w:rPr>
              <w:t xml:space="preserve">s timeliness in completing dispute resolution processes. </w:t>
            </w:r>
          </w:p>
        </w:tc>
      </w:tr>
      <w:tr w:rsidR="00824558" w14:paraId="52454688" w14:textId="77777777">
        <w:tc>
          <w:tcPr>
            <w:cnfStyle w:val="001000000000" w:firstRow="0" w:lastRow="0" w:firstColumn="1" w:lastColumn="0" w:oddVBand="0" w:evenVBand="0" w:oddHBand="0" w:evenHBand="0" w:firstRowFirstColumn="0" w:firstRowLastColumn="0" w:lastRowFirstColumn="0" w:lastRowLastColumn="0"/>
            <w:tcW w:w="4819" w:type="dxa"/>
          </w:tcPr>
          <w:p w14:paraId="33614298" w14:textId="77777777" w:rsidR="00824558" w:rsidRDefault="00824558">
            <w:pPr>
              <w:keepNext/>
              <w:ind w:left="170"/>
            </w:pPr>
            <w:r>
              <w:t>Proportion of investigations completed within six months</w:t>
            </w:r>
          </w:p>
        </w:tc>
        <w:tc>
          <w:tcPr>
            <w:tcW w:w="964" w:type="dxa"/>
          </w:tcPr>
          <w:p w14:paraId="354488E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145BF6C"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BCD451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5CE129D2"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450E57A6"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5E190F3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AFB755" w14:textId="074AC1D2" w:rsidR="00824558" w:rsidRDefault="00824558">
            <w:pPr>
              <w:ind w:left="170"/>
            </w:pPr>
            <w:r>
              <w:rPr>
                <w:i/>
              </w:rPr>
              <w:t>New performance measure to assess the Commission</w:t>
            </w:r>
            <w:r w:rsidR="007942D1">
              <w:rPr>
                <w:i/>
              </w:rPr>
              <w:t>’</w:t>
            </w:r>
            <w:r>
              <w:rPr>
                <w:i/>
              </w:rPr>
              <w:t xml:space="preserve">s timeliness in completing investigations. </w:t>
            </w:r>
          </w:p>
        </w:tc>
      </w:tr>
      <w:tr w:rsidR="00824558" w:rsidRPr="009C0A3D" w14:paraId="52CCA7F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26AB5CA" w14:textId="77777777" w:rsidR="00824558" w:rsidRPr="009C0A3D" w:rsidRDefault="00824558">
            <w:pPr>
              <w:keepNext/>
              <w:rPr>
                <w:b/>
                <w:bCs/>
                <w:iCs/>
              </w:rPr>
            </w:pPr>
            <w:r w:rsidRPr="009C0A3D">
              <w:rPr>
                <w:b/>
                <w:bCs/>
                <w:iCs/>
              </w:rPr>
              <w:t>Cost</w:t>
            </w:r>
          </w:p>
        </w:tc>
      </w:tr>
      <w:tr w:rsidR="00824558" w14:paraId="232E4541"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1053FD82" w14:textId="77777777" w:rsidR="00824558" w:rsidRDefault="00824558">
            <w:pPr>
              <w:keepNext/>
              <w:ind w:left="170"/>
            </w:pPr>
            <w:r>
              <w:t>Total output cost</w:t>
            </w:r>
          </w:p>
        </w:tc>
        <w:tc>
          <w:tcPr>
            <w:tcW w:w="964" w:type="dxa"/>
          </w:tcPr>
          <w:p w14:paraId="013121B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xml:space="preserve">$ million </w:t>
            </w:r>
          </w:p>
        </w:tc>
        <w:tc>
          <w:tcPr>
            <w:tcW w:w="964" w:type="dxa"/>
            <w:shd w:val="clear" w:color="auto" w:fill="F0F0F0"/>
          </w:tcPr>
          <w:p w14:paraId="54E854BB" w14:textId="77777777" w:rsidR="00824558" w:rsidRDefault="00824558">
            <w:pPr>
              <w:cnfStyle w:val="000000000000" w:firstRow="0" w:lastRow="0" w:firstColumn="0" w:lastColumn="0" w:oddVBand="0" w:evenVBand="0" w:oddHBand="0" w:evenHBand="0" w:firstRowFirstColumn="0" w:firstRowLastColumn="0" w:lastRowFirstColumn="0" w:lastRowLastColumn="0"/>
            </w:pPr>
            <w:r>
              <w:t>3.0</w:t>
            </w:r>
          </w:p>
        </w:tc>
        <w:tc>
          <w:tcPr>
            <w:tcW w:w="964" w:type="dxa"/>
          </w:tcPr>
          <w:p w14:paraId="70077A8D"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69F558C0"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c>
          <w:tcPr>
            <w:tcW w:w="964" w:type="dxa"/>
          </w:tcPr>
          <w:p w14:paraId="045A9C6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0AE93688"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123866F" w14:textId="73D46135" w:rsidR="00824558" w:rsidRDefault="009008B9">
            <w:pPr>
              <w:ind w:left="170"/>
            </w:pPr>
            <w:r>
              <w:rPr>
                <w:i/>
              </w:rPr>
              <w:t xml:space="preserve">New performance measure based on the </w:t>
            </w:r>
            <w:r w:rsidRPr="00601E17">
              <w:rPr>
                <w:i/>
              </w:rPr>
              <w:t xml:space="preserve">Parliamentary Workplace Standards and Integrity </w:t>
            </w:r>
            <w:r>
              <w:rPr>
                <w:i/>
              </w:rPr>
              <w:t>Commission</w:t>
            </w:r>
            <w:r w:rsidR="00AD4833">
              <w:rPr>
                <w:i/>
              </w:rPr>
              <w:t>’</w:t>
            </w:r>
            <w:r>
              <w:rPr>
                <w:i/>
              </w:rPr>
              <w:t xml:space="preserve">s </w:t>
            </w:r>
            <w:r w:rsidRPr="00601E17">
              <w:rPr>
                <w:i/>
              </w:rPr>
              <w:t xml:space="preserve">(PWSIC) </w:t>
            </w:r>
            <w:r>
              <w:rPr>
                <w:i/>
              </w:rPr>
              <w:t>appropriation funding.</w:t>
            </w:r>
            <w:r w:rsidRPr="00601E17">
              <w:rPr>
                <w:i/>
              </w:rPr>
              <w:t xml:space="preserve"> The PWSIC appears in the 2026-27 Department Performance Statement</w:t>
            </w:r>
            <w:r>
              <w:rPr>
                <w:i/>
              </w:rPr>
              <w:t>, as its own entity</w:t>
            </w:r>
            <w:r w:rsidRPr="00601E17">
              <w:rPr>
                <w:i/>
              </w:rPr>
              <w:t xml:space="preserve"> for the first time following its establishment in the </w:t>
            </w:r>
            <w:r>
              <w:rPr>
                <w:i/>
              </w:rPr>
              <w:t xml:space="preserve">2024-25 </w:t>
            </w:r>
            <w:r w:rsidRPr="00601E17">
              <w:rPr>
                <w:i/>
              </w:rPr>
              <w:t>financial year</w:t>
            </w:r>
            <w:r>
              <w:rPr>
                <w:i/>
              </w:rPr>
              <w:t>.</w:t>
            </w:r>
          </w:p>
        </w:tc>
      </w:tr>
    </w:tbl>
    <w:p w14:paraId="2FDDA998" w14:textId="77777777" w:rsidR="00824558" w:rsidRDefault="00824558">
      <w:pPr>
        <w:pStyle w:val="Source"/>
      </w:pPr>
      <w:r>
        <w:t>Source: Parliamentary Workplace and Standards Integrity Commission</w:t>
      </w:r>
    </w:p>
    <w:p w14:paraId="12E71B32" w14:textId="77777777" w:rsidR="00824558" w:rsidRPr="00E54FD5" w:rsidRDefault="00824558"/>
    <w:p w14:paraId="605CE867" w14:textId="77777777" w:rsidR="009C0A3D" w:rsidRDefault="009C0A3D" w:rsidP="00127EF6">
      <w:pPr>
        <w:sectPr w:rsidR="009C0A3D" w:rsidSect="001F14A3">
          <w:footerReference w:type="even" r:id="rId40"/>
          <w:footerReference w:type="default" r:id="rId41"/>
          <w:pgSz w:w="11907" w:h="16840" w:code="9"/>
          <w:pgMar w:top="1138" w:right="1138" w:bottom="1138" w:left="1138" w:header="619" w:footer="562" w:gutter="0"/>
          <w:cols w:space="708"/>
          <w:docGrid w:linePitch="360"/>
        </w:sectPr>
      </w:pPr>
      <w:bookmarkStart w:id="26" w:name="_Toc165224305"/>
    </w:p>
    <w:p w14:paraId="7D3999C6" w14:textId="1E01F603" w:rsidR="00824558" w:rsidRPr="00FB2004" w:rsidRDefault="00824558">
      <w:pPr>
        <w:pStyle w:val="Heading1"/>
        <w:spacing w:before="0"/>
      </w:pPr>
      <w:bookmarkStart w:id="27" w:name="_Toc228288106"/>
      <w:r w:rsidRPr="00FB2004">
        <w:t>Court Services Victoria</w:t>
      </w:r>
      <w:bookmarkEnd w:id="26"/>
      <w:bookmarkEnd w:id="27"/>
    </w:p>
    <w:p w14:paraId="25CD2FC0" w14:textId="77777777" w:rsidR="00824558" w:rsidRPr="00FB2004" w:rsidRDefault="00824558">
      <w:pPr>
        <w:pStyle w:val="Heading2"/>
      </w:pPr>
      <w:r w:rsidRPr="00FB2004">
        <w:t>Ministerial portfolios</w:t>
      </w:r>
    </w:p>
    <w:p w14:paraId="4BADA51A" w14:textId="26031C89" w:rsidR="00824558" w:rsidRPr="00FB2004" w:rsidRDefault="00824558">
      <w:r w:rsidRPr="00FB2004">
        <w:t>Victoria</w:t>
      </w:r>
      <w:r w:rsidR="007942D1">
        <w:t>’</w:t>
      </w:r>
      <w:r w:rsidRPr="00FB2004">
        <w:t>s courts and tribunals are part of the ministerial portfolio of the Attorney-General.</w:t>
      </w:r>
    </w:p>
    <w:p w14:paraId="5FA3B3CE" w14:textId="77777777" w:rsidR="00824558" w:rsidRPr="00FB2004" w:rsidRDefault="00824558">
      <w:pPr>
        <w:pStyle w:val="Heading2"/>
      </w:pPr>
      <w:r w:rsidRPr="00FB2004">
        <w:t>Departmental mission statement</w:t>
      </w:r>
    </w:p>
    <w:p w14:paraId="2635CC1D" w14:textId="66213E69" w:rsidR="00824558" w:rsidRPr="00FB2004" w:rsidRDefault="00824558">
      <w:r w:rsidRPr="00FB2004">
        <w:t>Victoria</w:t>
      </w:r>
      <w:r w:rsidR="007942D1">
        <w:t>’</w:t>
      </w:r>
      <w:r w:rsidRPr="00FB2004">
        <w:t>s courts and tribunals</w:t>
      </w:r>
      <w:r w:rsidR="007942D1">
        <w:t>’</w:t>
      </w:r>
      <w:r w:rsidRPr="00FB2004">
        <w:t xml:space="preserve"> mission is to safeguard and maintain the rule of law through the fair, timely and efficient </w:t>
      </w:r>
      <w:r>
        <w:t>administration</w:t>
      </w:r>
      <w:r w:rsidRPr="00FB2004">
        <w:t xml:space="preserve"> of justice.</w:t>
      </w:r>
    </w:p>
    <w:p w14:paraId="78E44C0C" w14:textId="32136761" w:rsidR="00824558" w:rsidRPr="00FB2004" w:rsidRDefault="00824558">
      <w:r w:rsidRPr="00FB2004">
        <w:t>Victoria</w:t>
      </w:r>
      <w:r w:rsidR="007942D1">
        <w:t>’</w:t>
      </w:r>
      <w:r w:rsidRPr="00FB2004">
        <w:t xml:space="preserve">s courts and tribunals are supported by Court Services Victoria, which is an independent statutory body established to provide administrative services and facilities to support Victorian courts, the Victorian Civil and Administrative Tribunal, the Judicial College of Victoria and the Judicial Commission of Victoria. </w:t>
      </w:r>
    </w:p>
    <w:p w14:paraId="69466E8E" w14:textId="77777777" w:rsidR="00824558" w:rsidRPr="00FB2004" w:rsidRDefault="00824558">
      <w:pPr>
        <w:pStyle w:val="Heading2"/>
      </w:pPr>
      <w:r w:rsidRPr="00FB2004">
        <w:t>Departmental objectives</w:t>
      </w:r>
    </w:p>
    <w:p w14:paraId="4E0C23B6" w14:textId="77777777" w:rsidR="00824558" w:rsidRPr="00FB2004" w:rsidRDefault="00824558">
      <w:pPr>
        <w:pStyle w:val="Heading3"/>
      </w:pPr>
      <w:r w:rsidRPr="00FB2004">
        <w:t>The fair, timely and efficient dispensing of justice</w:t>
      </w:r>
    </w:p>
    <w:p w14:paraId="42C2ED0F" w14:textId="022C84BE" w:rsidR="00824558" w:rsidRPr="00FB2004" w:rsidRDefault="00824558">
      <w:r w:rsidRPr="00FB2004">
        <w:t>Victoria</w:t>
      </w:r>
      <w:r w:rsidR="007942D1">
        <w:t>’</w:t>
      </w:r>
      <w:r w:rsidRPr="00FB2004">
        <w:t>s courts and tribunals aim to:</w:t>
      </w:r>
    </w:p>
    <w:p w14:paraId="4B0D4086" w14:textId="77777777" w:rsidR="00824558" w:rsidRPr="007A4BAA" w:rsidRDefault="00824558">
      <w:pPr>
        <w:pStyle w:val="ListBullet"/>
        <w:tabs>
          <w:tab w:val="clear" w:pos="360"/>
        </w:tabs>
        <w:ind w:left="340" w:hanging="340"/>
      </w:pPr>
      <w:r w:rsidRPr="007A4BAA">
        <w:t>provide equal access to justice</w:t>
      </w:r>
    </w:p>
    <w:p w14:paraId="567139FB" w14:textId="77777777" w:rsidR="00824558" w:rsidRPr="007A4BAA" w:rsidRDefault="00824558">
      <w:pPr>
        <w:pStyle w:val="ListBullet"/>
        <w:tabs>
          <w:tab w:val="clear" w:pos="360"/>
        </w:tabs>
        <w:ind w:left="340" w:hanging="340"/>
      </w:pPr>
      <w:r w:rsidRPr="007A4BAA">
        <w:t>ensure fairness, impartiality and independence in decision making</w:t>
      </w:r>
    </w:p>
    <w:p w14:paraId="50CA4233" w14:textId="77777777" w:rsidR="00824558" w:rsidRPr="007A4BAA" w:rsidRDefault="00824558">
      <w:pPr>
        <w:pStyle w:val="ListBullet"/>
        <w:tabs>
          <w:tab w:val="clear" w:pos="360"/>
        </w:tabs>
        <w:ind w:left="340" w:hanging="340"/>
      </w:pPr>
      <w:r w:rsidRPr="007A4BAA">
        <w:t>follow processes that are transparent, timely and certain</w:t>
      </w:r>
    </w:p>
    <w:p w14:paraId="7A5A8D91" w14:textId="77777777" w:rsidR="00824558" w:rsidRPr="007A4BAA" w:rsidRDefault="00824558">
      <w:pPr>
        <w:pStyle w:val="ListBullet"/>
        <w:tabs>
          <w:tab w:val="clear" w:pos="360"/>
        </w:tabs>
        <w:ind w:left="340" w:hanging="340"/>
      </w:pPr>
      <w:r w:rsidRPr="007A4BAA">
        <w:t>strive for leadership and best practice in court administration</w:t>
      </w:r>
    </w:p>
    <w:p w14:paraId="7EF5FB38" w14:textId="77777777" w:rsidR="00824558" w:rsidRPr="007A4BAA" w:rsidRDefault="00824558">
      <w:pPr>
        <w:pStyle w:val="ListBullet"/>
        <w:tabs>
          <w:tab w:val="clear" w:pos="360"/>
        </w:tabs>
        <w:ind w:left="340" w:hanging="340"/>
      </w:pPr>
      <w:r w:rsidRPr="007A4BAA">
        <w:t>strengthen links with the community.</w:t>
      </w:r>
    </w:p>
    <w:p w14:paraId="3DB383D0" w14:textId="77777777" w:rsidR="00824558" w:rsidRDefault="00824558">
      <w:r w:rsidRPr="00FB2004">
        <w:t xml:space="preserve">The Courts output contributes to this objective by delivering court and tribunal services, which provide access to the highest standard of justice for the community and inspire public confidence in the rule of law. </w:t>
      </w:r>
    </w:p>
    <w:p w14:paraId="78A9718B" w14:textId="77777777" w:rsidR="007942D1" w:rsidRPr="00D06853" w:rsidRDefault="007942D1" w:rsidP="007942D1">
      <w:pPr>
        <w:pStyle w:val="Heading2"/>
        <w:rPr>
          <w:rFonts w:eastAsia="Times New Roman"/>
          <w:spacing w:val="-2"/>
          <w:sz w:val="26"/>
        </w:rPr>
      </w:pPr>
      <w:r w:rsidRPr="00D06853">
        <w:rPr>
          <w:rFonts w:eastAsia="Times New Roman"/>
        </w:rPr>
        <w:t>Output summary by departmental objectives</w:t>
      </w:r>
    </w:p>
    <w:p w14:paraId="1775CB86" w14:textId="24F33571" w:rsidR="007942D1" w:rsidRDefault="007942D1" w:rsidP="007942D1">
      <w:pPr>
        <w:keepNext/>
        <w:rPr>
          <w:rFonts w:ascii="Garamond" w:eastAsia="Garamond" w:hAnsi="Garamond"/>
        </w:rPr>
      </w:pPr>
      <w:r w:rsidRPr="00D06853">
        <w:rPr>
          <w:rFonts w:ascii="Garamond" w:eastAsia="Garamond" w:hAnsi="Garamond"/>
        </w:rPr>
        <w:t>The department</w:t>
      </w:r>
      <w:r>
        <w:rPr>
          <w:rFonts w:ascii="Garamond" w:eastAsia="Garamond" w:hAnsi="Garamond"/>
        </w:rPr>
        <w:t>’</w:t>
      </w:r>
      <w:r w:rsidRPr="00D06853">
        <w:rPr>
          <w:rFonts w:ascii="Garamond" w:eastAsia="Garamond" w:hAnsi="Garamond"/>
        </w:rPr>
        <w:t>s outputs and funding are provided in the table below. Detailed descriptions of objectives and outputs are presented below.</w:t>
      </w:r>
    </w:p>
    <w:p w14:paraId="27F79DBE" w14:textId="6737728D" w:rsidR="00505A7F" w:rsidRPr="00D06853" w:rsidRDefault="00505A7F" w:rsidP="00505A7F">
      <w:pPr>
        <w:pStyle w:val="TableHeading"/>
      </w:pPr>
      <w:r w:rsidRPr="00D06853">
        <w:t xml:space="preserve">Table </w:t>
      </w:r>
      <w:r w:rsidR="00744E9E">
        <w:t>34</w:t>
      </w:r>
      <w:r w:rsidRPr="00D06853">
        <w:t>:</w:t>
      </w:r>
      <w:r w:rsidRPr="00D06853">
        <w:tab/>
        <w:t>Output summary</w:t>
      </w:r>
      <w:r w:rsidRPr="00D06853">
        <w:tab/>
        <w:t>($ million)</w:t>
      </w:r>
    </w:p>
    <w:tbl>
      <w:tblPr>
        <w:tblStyle w:val="DTFTableNumeric"/>
        <w:tblW w:w="9638" w:type="dxa"/>
        <w:tblLayout w:type="fixed"/>
        <w:tblLook w:val="06A0" w:firstRow="1" w:lastRow="0" w:firstColumn="1" w:lastColumn="0" w:noHBand="1" w:noVBand="1"/>
        <w:tblDescription w:val="Type:DtfTable|Workbook:https://vicgov.sharepoint.com/sites/VG002735/Department%20Performance%20Statement/001.%20Admin/Financial%20tables/Output%20summary/2026-27/2026-27%20Output%20costs.xlsx|Table:CSV_Summary|TableGroup:OutputSummary"/>
      </w:tblPr>
      <w:tblGrid>
        <w:gridCol w:w="6010"/>
        <w:gridCol w:w="907"/>
        <w:gridCol w:w="907"/>
        <w:gridCol w:w="907"/>
        <w:gridCol w:w="907"/>
      </w:tblGrid>
      <w:tr w:rsidR="00460BD2" w14:paraId="2F2DB23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B868DBB" w14:textId="77777777" w:rsidR="00460BD2" w:rsidRDefault="00460BD2">
            <w:pPr>
              <w:keepNext/>
            </w:pPr>
          </w:p>
        </w:tc>
        <w:tc>
          <w:tcPr>
            <w:tcW w:w="907" w:type="dxa"/>
          </w:tcPr>
          <w:p w14:paraId="13F7EFF1" w14:textId="77777777" w:rsidR="00460BD2" w:rsidRDefault="00460BD2">
            <w:pPr>
              <w:keepNext/>
              <w:cnfStyle w:val="100000000000" w:firstRow="1" w:lastRow="0" w:firstColumn="0" w:lastColumn="0" w:oddVBand="0" w:evenVBand="0" w:oddHBand="0" w:evenHBand="0" w:firstRowFirstColumn="0" w:firstRowLastColumn="0" w:lastRowFirstColumn="0" w:lastRowLastColumn="0"/>
            </w:pPr>
            <w:r>
              <w:t>2025</w:t>
            </w:r>
            <w:r>
              <w:noBreakHyphen/>
              <w:t>26 budget</w:t>
            </w:r>
          </w:p>
        </w:tc>
        <w:tc>
          <w:tcPr>
            <w:tcW w:w="907" w:type="dxa"/>
          </w:tcPr>
          <w:p w14:paraId="29BC9C16" w14:textId="77777777" w:rsidR="00460BD2" w:rsidRDefault="00460BD2">
            <w:pPr>
              <w:keepNext/>
              <w:cnfStyle w:val="100000000000" w:firstRow="1" w:lastRow="0" w:firstColumn="0" w:lastColumn="0" w:oddVBand="0" w:evenVBand="0" w:oddHBand="0" w:evenHBand="0" w:firstRowFirstColumn="0" w:firstRowLastColumn="0" w:lastRowFirstColumn="0" w:lastRowLastColumn="0"/>
            </w:pPr>
            <w:r>
              <w:t>2025</w:t>
            </w:r>
            <w:r>
              <w:noBreakHyphen/>
              <w:t>26 revised</w:t>
            </w:r>
          </w:p>
        </w:tc>
        <w:tc>
          <w:tcPr>
            <w:tcW w:w="907" w:type="dxa"/>
          </w:tcPr>
          <w:p w14:paraId="43BCBFEC" w14:textId="77777777" w:rsidR="00460BD2" w:rsidRDefault="00460BD2">
            <w:pPr>
              <w:keepNext/>
              <w:cnfStyle w:val="100000000000" w:firstRow="1" w:lastRow="0" w:firstColumn="0" w:lastColumn="0" w:oddVBand="0" w:evenVBand="0" w:oddHBand="0" w:evenHBand="0" w:firstRowFirstColumn="0" w:firstRowLastColumn="0" w:lastRowFirstColumn="0" w:lastRowLastColumn="0"/>
            </w:pPr>
            <w:r>
              <w:t>2026</w:t>
            </w:r>
            <w:r>
              <w:noBreakHyphen/>
              <w:t>27 budget</w:t>
            </w:r>
          </w:p>
        </w:tc>
        <w:tc>
          <w:tcPr>
            <w:tcW w:w="907" w:type="dxa"/>
          </w:tcPr>
          <w:p w14:paraId="3B1BA8F6" w14:textId="77777777" w:rsidR="00460BD2" w:rsidRDefault="00460BD2">
            <w:pPr>
              <w:keepNext/>
              <w:cnfStyle w:val="100000000000" w:firstRow="1" w:lastRow="0" w:firstColumn="0" w:lastColumn="0" w:oddVBand="0" w:evenVBand="0" w:oddHBand="0" w:evenHBand="0" w:firstRowFirstColumn="0" w:firstRowLastColumn="0" w:lastRowFirstColumn="0" w:lastRowLastColumn="0"/>
            </w:pPr>
            <w:r>
              <w:t>Variation %</w:t>
            </w:r>
            <w:r>
              <w:rPr>
                <w:vertAlign w:val="superscript"/>
              </w:rPr>
              <w:t xml:space="preserve"> (a)</w:t>
            </w:r>
          </w:p>
        </w:tc>
      </w:tr>
      <w:tr w:rsidR="00460BD2" w14:paraId="5828E9B3" w14:textId="77777777">
        <w:tc>
          <w:tcPr>
            <w:cnfStyle w:val="001000000000" w:firstRow="0" w:lastRow="0" w:firstColumn="1" w:lastColumn="0" w:oddVBand="0" w:evenVBand="0" w:oddHBand="0" w:evenHBand="0" w:firstRowFirstColumn="0" w:firstRowLastColumn="0" w:lastRowFirstColumn="0" w:lastRowLastColumn="0"/>
            <w:tcW w:w="6010" w:type="dxa"/>
          </w:tcPr>
          <w:p w14:paraId="071BDC4E" w14:textId="7AAC43DB" w:rsidR="00460BD2" w:rsidRDefault="00460BD2">
            <w:r>
              <w:rPr>
                <w:b/>
              </w:rPr>
              <w:t>The fair, timely and efficient dispensing of justice</w:t>
            </w:r>
          </w:p>
        </w:tc>
        <w:tc>
          <w:tcPr>
            <w:tcW w:w="907" w:type="dxa"/>
          </w:tcPr>
          <w:p w14:paraId="52DF3F67" w14:textId="77777777" w:rsidR="00460BD2" w:rsidRDefault="00460BD2">
            <w:pPr>
              <w:cnfStyle w:val="000000000000" w:firstRow="0" w:lastRow="0" w:firstColumn="0" w:lastColumn="0" w:oddVBand="0" w:evenVBand="0" w:oddHBand="0" w:evenHBand="0" w:firstRowFirstColumn="0" w:firstRowLastColumn="0" w:lastRowFirstColumn="0" w:lastRowLastColumn="0"/>
            </w:pPr>
          </w:p>
        </w:tc>
        <w:tc>
          <w:tcPr>
            <w:tcW w:w="907" w:type="dxa"/>
          </w:tcPr>
          <w:p w14:paraId="59902C8E" w14:textId="77777777" w:rsidR="00460BD2" w:rsidRDefault="00460BD2">
            <w:pPr>
              <w:cnfStyle w:val="000000000000" w:firstRow="0" w:lastRow="0" w:firstColumn="0" w:lastColumn="0" w:oddVBand="0" w:evenVBand="0" w:oddHBand="0" w:evenHBand="0" w:firstRowFirstColumn="0" w:firstRowLastColumn="0" w:lastRowFirstColumn="0" w:lastRowLastColumn="0"/>
            </w:pPr>
          </w:p>
        </w:tc>
        <w:tc>
          <w:tcPr>
            <w:tcW w:w="907" w:type="dxa"/>
          </w:tcPr>
          <w:p w14:paraId="0B0A3122" w14:textId="77777777" w:rsidR="00460BD2" w:rsidRDefault="00460BD2">
            <w:pPr>
              <w:cnfStyle w:val="000000000000" w:firstRow="0" w:lastRow="0" w:firstColumn="0" w:lastColumn="0" w:oddVBand="0" w:evenVBand="0" w:oddHBand="0" w:evenHBand="0" w:firstRowFirstColumn="0" w:firstRowLastColumn="0" w:lastRowFirstColumn="0" w:lastRowLastColumn="0"/>
            </w:pPr>
          </w:p>
        </w:tc>
        <w:tc>
          <w:tcPr>
            <w:tcW w:w="907" w:type="dxa"/>
          </w:tcPr>
          <w:p w14:paraId="210BAE42" w14:textId="77777777" w:rsidR="00460BD2" w:rsidRDefault="00460BD2">
            <w:pPr>
              <w:cnfStyle w:val="000000000000" w:firstRow="0" w:lastRow="0" w:firstColumn="0" w:lastColumn="0" w:oddVBand="0" w:evenVBand="0" w:oddHBand="0" w:evenHBand="0" w:firstRowFirstColumn="0" w:firstRowLastColumn="0" w:lastRowFirstColumn="0" w:lastRowLastColumn="0"/>
            </w:pPr>
          </w:p>
        </w:tc>
      </w:tr>
      <w:tr w:rsidR="00460BD2" w14:paraId="5D9052CD"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49A5C0F" w14:textId="781026B7" w:rsidR="00460BD2" w:rsidRDefault="00460BD2">
            <w:r>
              <w:t>Courts</w:t>
            </w:r>
            <w:r w:rsidR="00DF24E1">
              <w:t xml:space="preserve"> </w:t>
            </w:r>
            <w:r w:rsidRPr="00862E27">
              <w:rPr>
                <w:vertAlign w:val="superscript"/>
              </w:rPr>
              <w:t>(b)</w:t>
            </w:r>
            <w:r w:rsidR="00ED00DC">
              <w:rPr>
                <w:vertAlign w:val="superscript"/>
              </w:rPr>
              <w:t>(c</w:t>
            </w:r>
            <w:r w:rsidRPr="00862E27">
              <w:rPr>
                <w:vertAlign w:val="superscript"/>
              </w:rPr>
              <w:t>)</w:t>
            </w:r>
          </w:p>
        </w:tc>
        <w:tc>
          <w:tcPr>
            <w:tcW w:w="907" w:type="dxa"/>
            <w:tcBorders>
              <w:bottom w:val="single" w:sz="6" w:space="0" w:color="auto"/>
            </w:tcBorders>
          </w:tcPr>
          <w:p w14:paraId="20CA71BC" w14:textId="77777777" w:rsidR="00460BD2" w:rsidRDefault="00460BD2">
            <w:pPr>
              <w:cnfStyle w:val="000000000000" w:firstRow="0" w:lastRow="0" w:firstColumn="0" w:lastColumn="0" w:oddVBand="0" w:evenVBand="0" w:oddHBand="0" w:evenHBand="0" w:firstRowFirstColumn="0" w:firstRowLastColumn="0" w:lastRowFirstColumn="0" w:lastRowLastColumn="0"/>
            </w:pPr>
            <w:r>
              <w:t>834.2</w:t>
            </w:r>
          </w:p>
        </w:tc>
        <w:tc>
          <w:tcPr>
            <w:tcW w:w="907" w:type="dxa"/>
            <w:tcBorders>
              <w:bottom w:val="single" w:sz="6" w:space="0" w:color="auto"/>
            </w:tcBorders>
          </w:tcPr>
          <w:p w14:paraId="1179FB50" w14:textId="77777777" w:rsidR="00460BD2" w:rsidRDefault="00460BD2">
            <w:pPr>
              <w:cnfStyle w:val="000000000000" w:firstRow="0" w:lastRow="0" w:firstColumn="0" w:lastColumn="0" w:oddVBand="0" w:evenVBand="0" w:oddHBand="0" w:evenHBand="0" w:firstRowFirstColumn="0" w:firstRowLastColumn="0" w:lastRowFirstColumn="0" w:lastRowLastColumn="0"/>
            </w:pPr>
            <w:r>
              <w:t>897.3</w:t>
            </w:r>
          </w:p>
        </w:tc>
        <w:tc>
          <w:tcPr>
            <w:tcW w:w="907" w:type="dxa"/>
            <w:tcBorders>
              <w:bottom w:val="single" w:sz="6" w:space="0" w:color="auto"/>
            </w:tcBorders>
          </w:tcPr>
          <w:p w14:paraId="0FAAE084" w14:textId="77777777" w:rsidR="00460BD2" w:rsidRDefault="00460BD2">
            <w:pPr>
              <w:cnfStyle w:val="000000000000" w:firstRow="0" w:lastRow="0" w:firstColumn="0" w:lastColumn="0" w:oddVBand="0" w:evenVBand="0" w:oddHBand="0" w:evenHBand="0" w:firstRowFirstColumn="0" w:firstRowLastColumn="0" w:lastRowFirstColumn="0" w:lastRowLastColumn="0"/>
            </w:pPr>
            <w:r>
              <w:t>894.7</w:t>
            </w:r>
          </w:p>
        </w:tc>
        <w:tc>
          <w:tcPr>
            <w:tcW w:w="907" w:type="dxa"/>
            <w:tcBorders>
              <w:bottom w:val="single" w:sz="6" w:space="0" w:color="auto"/>
            </w:tcBorders>
          </w:tcPr>
          <w:p w14:paraId="2973E120" w14:textId="77777777" w:rsidR="00460BD2" w:rsidRDefault="00460BD2">
            <w:pPr>
              <w:cnfStyle w:val="000000000000" w:firstRow="0" w:lastRow="0" w:firstColumn="0" w:lastColumn="0" w:oddVBand="0" w:evenVBand="0" w:oddHBand="0" w:evenHBand="0" w:firstRowFirstColumn="0" w:firstRowLastColumn="0" w:lastRowFirstColumn="0" w:lastRowLastColumn="0"/>
            </w:pPr>
            <w:r>
              <w:t>7.3</w:t>
            </w:r>
          </w:p>
        </w:tc>
      </w:tr>
      <w:tr w:rsidR="00460BD2" w14:paraId="1ECF8C97"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4C57BEF" w14:textId="77777777" w:rsidR="00460BD2" w:rsidRDefault="00460BD2">
            <w:r>
              <w:rPr>
                <w:b/>
              </w:rPr>
              <w:t>Total</w:t>
            </w:r>
          </w:p>
        </w:tc>
        <w:tc>
          <w:tcPr>
            <w:tcW w:w="907" w:type="dxa"/>
            <w:tcBorders>
              <w:top w:val="single" w:sz="6" w:space="0" w:color="auto"/>
              <w:bottom w:val="single" w:sz="12" w:space="0" w:color="auto"/>
            </w:tcBorders>
          </w:tcPr>
          <w:p w14:paraId="27304429" w14:textId="77777777" w:rsidR="00460BD2" w:rsidRDefault="00460BD2">
            <w:pPr>
              <w:cnfStyle w:val="000000000000" w:firstRow="0" w:lastRow="0" w:firstColumn="0" w:lastColumn="0" w:oddVBand="0" w:evenVBand="0" w:oddHBand="0" w:evenHBand="0" w:firstRowFirstColumn="0" w:firstRowLastColumn="0" w:lastRowFirstColumn="0" w:lastRowLastColumn="0"/>
            </w:pPr>
            <w:r>
              <w:rPr>
                <w:b/>
              </w:rPr>
              <w:t>834.2</w:t>
            </w:r>
          </w:p>
        </w:tc>
        <w:tc>
          <w:tcPr>
            <w:tcW w:w="907" w:type="dxa"/>
            <w:tcBorders>
              <w:top w:val="single" w:sz="6" w:space="0" w:color="auto"/>
              <w:bottom w:val="single" w:sz="12" w:space="0" w:color="auto"/>
            </w:tcBorders>
          </w:tcPr>
          <w:p w14:paraId="01B3A58D" w14:textId="77777777" w:rsidR="00460BD2" w:rsidRDefault="00460BD2">
            <w:pPr>
              <w:cnfStyle w:val="000000000000" w:firstRow="0" w:lastRow="0" w:firstColumn="0" w:lastColumn="0" w:oddVBand="0" w:evenVBand="0" w:oddHBand="0" w:evenHBand="0" w:firstRowFirstColumn="0" w:firstRowLastColumn="0" w:lastRowFirstColumn="0" w:lastRowLastColumn="0"/>
            </w:pPr>
            <w:r>
              <w:rPr>
                <w:b/>
              </w:rPr>
              <w:t>897.3</w:t>
            </w:r>
          </w:p>
        </w:tc>
        <w:tc>
          <w:tcPr>
            <w:tcW w:w="907" w:type="dxa"/>
            <w:tcBorders>
              <w:top w:val="single" w:sz="6" w:space="0" w:color="auto"/>
              <w:bottom w:val="single" w:sz="12" w:space="0" w:color="auto"/>
            </w:tcBorders>
          </w:tcPr>
          <w:p w14:paraId="63E2BEBA" w14:textId="77777777" w:rsidR="00460BD2" w:rsidRDefault="00460BD2">
            <w:pPr>
              <w:cnfStyle w:val="000000000000" w:firstRow="0" w:lastRow="0" w:firstColumn="0" w:lastColumn="0" w:oddVBand="0" w:evenVBand="0" w:oddHBand="0" w:evenHBand="0" w:firstRowFirstColumn="0" w:firstRowLastColumn="0" w:lastRowFirstColumn="0" w:lastRowLastColumn="0"/>
            </w:pPr>
            <w:r>
              <w:rPr>
                <w:b/>
              </w:rPr>
              <w:t>894.7</w:t>
            </w:r>
          </w:p>
        </w:tc>
        <w:tc>
          <w:tcPr>
            <w:tcW w:w="907" w:type="dxa"/>
            <w:tcBorders>
              <w:top w:val="single" w:sz="6" w:space="0" w:color="auto"/>
              <w:bottom w:val="single" w:sz="12" w:space="0" w:color="auto"/>
            </w:tcBorders>
          </w:tcPr>
          <w:p w14:paraId="0CBBE1BB" w14:textId="77777777" w:rsidR="00460BD2" w:rsidRDefault="00460BD2">
            <w:pPr>
              <w:cnfStyle w:val="000000000000" w:firstRow="0" w:lastRow="0" w:firstColumn="0" w:lastColumn="0" w:oddVBand="0" w:evenVBand="0" w:oddHBand="0" w:evenHBand="0" w:firstRowFirstColumn="0" w:firstRowLastColumn="0" w:lastRowFirstColumn="0" w:lastRowLastColumn="0"/>
            </w:pPr>
            <w:r>
              <w:rPr>
                <w:b/>
              </w:rPr>
              <w:t>7.3</w:t>
            </w:r>
          </w:p>
        </w:tc>
      </w:tr>
    </w:tbl>
    <w:p w14:paraId="1B51458A" w14:textId="77777777" w:rsidR="00460BD2" w:rsidRDefault="00460BD2" w:rsidP="00460BD2">
      <w:pPr>
        <w:pStyle w:val="Source"/>
      </w:pPr>
      <w:r>
        <w:t>Source: Courts Service Victoria</w:t>
      </w:r>
    </w:p>
    <w:p w14:paraId="17E579F4" w14:textId="77777777" w:rsidR="00460BD2" w:rsidRDefault="00460BD2" w:rsidP="00460BD2">
      <w:pPr>
        <w:pStyle w:val="Note"/>
      </w:pPr>
      <w:r>
        <w:t xml:space="preserve">Notes: </w:t>
      </w:r>
    </w:p>
    <w:p w14:paraId="59844FAB" w14:textId="5A71FB5A" w:rsidR="00460BD2" w:rsidRDefault="00DF24E1" w:rsidP="00DF24E1">
      <w:pPr>
        <w:pStyle w:val="Note"/>
      </w:pPr>
      <w:r>
        <w:t>(a)</w:t>
      </w:r>
      <w:r>
        <w:tab/>
      </w:r>
      <w:r w:rsidR="00460BD2" w:rsidRPr="009D0F65">
        <w:t>Variation between 2025-26 budget and 2026-27 budget.</w:t>
      </w:r>
    </w:p>
    <w:p w14:paraId="645A6159" w14:textId="77777777" w:rsidR="00ED00DC" w:rsidRDefault="00DF24E1" w:rsidP="00DF24E1">
      <w:pPr>
        <w:pStyle w:val="Note"/>
        <w:rPr>
          <w:iCs/>
        </w:rPr>
      </w:pPr>
      <w:r>
        <w:t>(b)</w:t>
      </w:r>
      <w:r>
        <w:tab/>
      </w:r>
      <w:r w:rsidR="00460BD2" w:rsidRPr="00AE3836">
        <w:rPr>
          <w:iCs/>
        </w:rPr>
        <w:t xml:space="preserve">The </w:t>
      </w:r>
      <w:r w:rsidR="00AE3836" w:rsidRPr="00AE3836">
        <w:rPr>
          <w:iCs/>
        </w:rPr>
        <w:t xml:space="preserve">2025-26 </w:t>
      </w:r>
      <w:r w:rsidR="00460BD2" w:rsidRPr="00AE3836">
        <w:rPr>
          <w:iCs/>
        </w:rPr>
        <w:t xml:space="preserve">estimate is primarily due to new funding </w:t>
      </w:r>
      <w:r w:rsidR="00AE3836" w:rsidRPr="00AE3836">
        <w:rPr>
          <w:iCs/>
        </w:rPr>
        <w:t>following the</w:t>
      </w:r>
      <w:r w:rsidR="00460BD2" w:rsidRPr="00AE3836">
        <w:rPr>
          <w:iCs/>
        </w:rPr>
        <w:t xml:space="preserve"> 2025-26 </w:t>
      </w:r>
      <w:r w:rsidR="000E3D9F" w:rsidRPr="00AE3836">
        <w:rPr>
          <w:iCs/>
        </w:rPr>
        <w:t>B</w:t>
      </w:r>
      <w:r w:rsidR="00460BD2" w:rsidRPr="00AE3836">
        <w:rPr>
          <w:iCs/>
        </w:rPr>
        <w:t>udget for tougher bail laws and Adult Time for Violent Crime</w:t>
      </w:r>
      <w:r w:rsidR="00AE3836" w:rsidRPr="00AE3836">
        <w:rPr>
          <w:iCs/>
        </w:rPr>
        <w:t>.</w:t>
      </w:r>
    </w:p>
    <w:p w14:paraId="43F13EA5" w14:textId="7924433C" w:rsidR="00460BD2" w:rsidRDefault="00ED00DC" w:rsidP="00DF24E1">
      <w:pPr>
        <w:pStyle w:val="Note"/>
      </w:pPr>
      <w:r>
        <w:rPr>
          <w:iCs/>
        </w:rPr>
        <w:t xml:space="preserve">(c)    </w:t>
      </w:r>
      <w:r w:rsidRPr="00ED00DC">
        <w:rPr>
          <w:iCs/>
        </w:rPr>
        <w:t>The higher 2026-27 target reflects funding for tougher bail laws and Adult Time for Violent Crime</w:t>
      </w:r>
      <w:r w:rsidR="00460BD2" w:rsidRPr="00ED00DC">
        <w:rPr>
          <w:iCs/>
        </w:rPr>
        <w:t xml:space="preserve"> and new initiatives funded in the 2026-27 Budget</w:t>
      </w:r>
      <w:r w:rsidR="00DF24E1" w:rsidRPr="00ED00DC">
        <w:rPr>
          <w:iCs/>
        </w:rPr>
        <w:t>.</w:t>
      </w:r>
      <w:r w:rsidRPr="00ED00DC" w:rsidDel="00AE3836">
        <w:t xml:space="preserve"> </w:t>
      </w:r>
    </w:p>
    <w:p w14:paraId="19020589" w14:textId="77777777" w:rsidR="00DF24E1" w:rsidRDefault="00DF24E1">
      <w:pPr>
        <w:keepLines w:val="0"/>
        <w:rPr>
          <w:rFonts w:asciiTheme="majorHAnsi" w:eastAsia="Times New Roman" w:hAnsiTheme="majorHAnsi" w:cstheme="majorBidi"/>
          <w:b/>
          <w:sz w:val="27"/>
          <w:szCs w:val="26"/>
        </w:rPr>
      </w:pPr>
      <w:r>
        <w:rPr>
          <w:rFonts w:eastAsia="Times New Roman"/>
        </w:rPr>
        <w:br w:type="page"/>
      </w:r>
    </w:p>
    <w:p w14:paraId="1D0D880F" w14:textId="77777777" w:rsidR="007942D1" w:rsidRPr="00D27E59" w:rsidRDefault="007942D1" w:rsidP="007942D1">
      <w:pPr>
        <w:pStyle w:val="Heading2"/>
        <w:rPr>
          <w:rFonts w:ascii="Calibri" w:eastAsia="Times New Roman" w:hAnsi="Calibri" w:cs="Times New Roman"/>
          <w:spacing w:val="-2"/>
          <w:sz w:val="26"/>
        </w:rPr>
      </w:pPr>
      <w:r w:rsidRPr="00D27E59">
        <w:rPr>
          <w:rFonts w:eastAsia="Times New Roman"/>
        </w:rPr>
        <w:t>Amounts available</w:t>
      </w:r>
    </w:p>
    <w:p w14:paraId="2B2959A7" w14:textId="1E19FCF5" w:rsidR="007942D1" w:rsidRPr="00D27E59" w:rsidRDefault="007942D1" w:rsidP="007942D1">
      <w:pPr>
        <w:rPr>
          <w:rFonts w:ascii="Garamond" w:eastAsia="Garamond" w:hAnsi="Garamond"/>
        </w:rPr>
      </w:pPr>
      <w:r w:rsidRPr="00D27E59">
        <w:rPr>
          <w:rFonts w:ascii="Garamond" w:eastAsia="Garamond" w:hAnsi="Garamond"/>
        </w:rPr>
        <w:t xml:space="preserve">The following tables detail the amounts available to the </w:t>
      </w:r>
      <w:r w:rsidR="007149A6" w:rsidRPr="00D27E59">
        <w:rPr>
          <w:rFonts w:ascii="Garamond" w:eastAsia="Garamond" w:hAnsi="Garamond"/>
        </w:rPr>
        <w:t>Department</w:t>
      </w:r>
      <w:r w:rsidRPr="00D27E59">
        <w:rPr>
          <w:rFonts w:ascii="Garamond" w:eastAsia="Garamond" w:hAnsi="Garamond"/>
        </w:rPr>
        <w:t xml:space="preserve"> from parliamentary authority and income generated through transactions.</w:t>
      </w:r>
    </w:p>
    <w:p w14:paraId="6C6129F7" w14:textId="7AE31DB7" w:rsidR="007942D1" w:rsidRDefault="007942D1" w:rsidP="007942D1">
      <w:pPr>
        <w:rPr>
          <w:rFonts w:ascii="Garamond" w:eastAsia="Garamond" w:hAnsi="Garamond"/>
        </w:rPr>
      </w:pPr>
      <w:r w:rsidRPr="56633658">
        <w:rPr>
          <w:rFonts w:ascii="Garamond" w:eastAsia="Garamond" w:hAnsi="Garamond"/>
        </w:rPr>
        <w:t xml:space="preserve">Table </w:t>
      </w:r>
      <w:r w:rsidR="007149A6">
        <w:rPr>
          <w:rFonts w:ascii="Garamond" w:eastAsia="Garamond" w:hAnsi="Garamond"/>
        </w:rPr>
        <w:t>35</w:t>
      </w:r>
      <w:r w:rsidRPr="56633658">
        <w:rPr>
          <w:rFonts w:ascii="Garamond" w:eastAsia="Garamond" w:hAnsi="Garamond"/>
        </w:rPr>
        <w:t xml:space="preserve"> outlines the </w:t>
      </w:r>
      <w:r w:rsidR="007149A6" w:rsidRPr="56633658">
        <w:rPr>
          <w:rFonts w:ascii="Garamond" w:eastAsia="Garamond" w:hAnsi="Garamond"/>
        </w:rPr>
        <w:t>Department</w:t>
      </w:r>
      <w:r w:rsidR="007149A6">
        <w:rPr>
          <w:rFonts w:ascii="Garamond" w:eastAsia="Garamond" w:hAnsi="Garamond"/>
        </w:rPr>
        <w:t>’</w:t>
      </w:r>
      <w:r w:rsidR="007149A6" w:rsidRPr="56633658">
        <w:rPr>
          <w:rFonts w:ascii="Garamond" w:eastAsia="Garamond" w:hAnsi="Garamond"/>
        </w:rPr>
        <w:t>s</w:t>
      </w:r>
      <w:r w:rsidRPr="56633658">
        <w:rPr>
          <w:rFonts w:ascii="Garamond" w:eastAsia="Garamond" w:hAnsi="Garamond"/>
        </w:rPr>
        <w:t xml:space="preserve"> income from transactions and Table </w:t>
      </w:r>
      <w:r>
        <w:rPr>
          <w:rFonts w:ascii="Garamond" w:eastAsia="Garamond" w:hAnsi="Garamond"/>
        </w:rPr>
        <w:t>3</w:t>
      </w:r>
      <w:r w:rsidR="007149A6">
        <w:rPr>
          <w:rFonts w:ascii="Garamond" w:eastAsia="Garamond" w:hAnsi="Garamond"/>
        </w:rPr>
        <w:t>6</w:t>
      </w:r>
      <w:r w:rsidRPr="56633658">
        <w:rPr>
          <w:rFonts w:ascii="Garamond" w:eastAsia="Garamond" w:hAnsi="Garamond"/>
        </w:rPr>
        <w:t xml:space="preserve"> summarises the sources of parliamentary authority available to the </w:t>
      </w:r>
      <w:r w:rsidR="007149A6" w:rsidRPr="56633658">
        <w:rPr>
          <w:rFonts w:ascii="Garamond" w:eastAsia="Garamond" w:hAnsi="Garamond"/>
        </w:rPr>
        <w:t>Department</w:t>
      </w:r>
      <w:r w:rsidRPr="56633658">
        <w:rPr>
          <w:rFonts w:ascii="Garamond" w:eastAsia="Garamond" w:hAnsi="Garamond"/>
        </w:rPr>
        <w:t xml:space="preserve"> to fund the provision of outputs, additions to the net asset base and payments made on behalf of the </w:t>
      </w:r>
      <w:r w:rsidR="0062091C">
        <w:rPr>
          <w:rFonts w:ascii="Garamond" w:eastAsia="Garamond" w:hAnsi="Garamond"/>
        </w:rPr>
        <w:t>S</w:t>
      </w:r>
      <w:r w:rsidRPr="56633658">
        <w:rPr>
          <w:rFonts w:ascii="Garamond" w:eastAsia="Garamond" w:hAnsi="Garamond"/>
        </w:rPr>
        <w:t xml:space="preserve">tate, and other sources expected to become available to the </w:t>
      </w:r>
      <w:r w:rsidR="007149A6" w:rsidRPr="56633658">
        <w:rPr>
          <w:rFonts w:ascii="Garamond" w:eastAsia="Garamond" w:hAnsi="Garamond"/>
        </w:rPr>
        <w:t>Department</w:t>
      </w:r>
      <w:r w:rsidRPr="56633658">
        <w:rPr>
          <w:rFonts w:ascii="Garamond" w:eastAsia="Garamond" w:hAnsi="Garamond"/>
        </w:rPr>
        <w:t>.</w:t>
      </w:r>
    </w:p>
    <w:p w14:paraId="4745312E" w14:textId="3B550CA3" w:rsidR="00B56A80" w:rsidRDefault="00B56A80" w:rsidP="00B56A80">
      <w:pPr>
        <w:pStyle w:val="TableHeading"/>
      </w:pPr>
      <w:r w:rsidRPr="02841915">
        <w:t xml:space="preserve">Table </w:t>
      </w:r>
      <w:r w:rsidRPr="00825E22">
        <w:t>3</w:t>
      </w:r>
      <w:r>
        <w:t>5</w:t>
      </w:r>
      <w:r w:rsidRPr="02841915">
        <w:t>:</w:t>
      </w:r>
      <w:r>
        <w:tab/>
      </w:r>
      <w:r w:rsidRPr="02841915">
        <w:t>Income from transactions</w:t>
      </w:r>
      <w:r>
        <w:tab/>
      </w:r>
      <w:r w:rsidRPr="02841915">
        <w:t>($ million)</w:t>
      </w:r>
    </w:p>
    <w:tbl>
      <w:tblPr>
        <w:tblStyle w:val="DTFTableNumeric"/>
        <w:tblW w:w="5000" w:type="pct"/>
        <w:tblLook w:val="06E0" w:firstRow="1" w:lastRow="1" w:firstColumn="1" w:lastColumn="0" w:noHBand="1" w:noVBand="1"/>
      </w:tblPr>
      <w:tblGrid>
        <w:gridCol w:w="6227"/>
        <w:gridCol w:w="851"/>
        <w:gridCol w:w="851"/>
        <w:gridCol w:w="851"/>
        <w:gridCol w:w="851"/>
      </w:tblGrid>
      <w:tr w:rsidR="000A089E" w14:paraId="798E32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04041" w14:textId="77777777" w:rsidR="000A089E" w:rsidRDefault="000A089E"/>
        </w:tc>
        <w:tc>
          <w:tcPr>
            <w:tcW w:w="851" w:type="dxa"/>
          </w:tcPr>
          <w:p w14:paraId="684DE576" w14:textId="77777777" w:rsidR="000A089E" w:rsidRDefault="000A089E">
            <w:pPr>
              <w:cnfStyle w:val="100000000000" w:firstRow="1" w:lastRow="0" w:firstColumn="0" w:lastColumn="0" w:oddVBand="0" w:evenVBand="0" w:oddHBand="0" w:evenHBand="0" w:firstRowFirstColumn="0" w:firstRowLastColumn="0" w:lastRowFirstColumn="0" w:lastRowLastColumn="0"/>
            </w:pPr>
            <w:r>
              <w:t>2024-25 actual</w:t>
            </w:r>
          </w:p>
        </w:tc>
        <w:tc>
          <w:tcPr>
            <w:tcW w:w="851" w:type="dxa"/>
          </w:tcPr>
          <w:p w14:paraId="0F68D6A2" w14:textId="77777777" w:rsidR="000A089E" w:rsidRDefault="000A089E">
            <w:pPr>
              <w:cnfStyle w:val="100000000000" w:firstRow="1" w:lastRow="0" w:firstColumn="0" w:lastColumn="0" w:oddVBand="0" w:evenVBand="0" w:oddHBand="0" w:evenHBand="0" w:firstRowFirstColumn="0" w:firstRowLastColumn="0" w:lastRowFirstColumn="0" w:lastRowLastColumn="0"/>
            </w:pPr>
            <w:r>
              <w:t>2025-26 budget</w:t>
            </w:r>
          </w:p>
        </w:tc>
        <w:tc>
          <w:tcPr>
            <w:tcW w:w="851" w:type="dxa"/>
          </w:tcPr>
          <w:p w14:paraId="43FEB482" w14:textId="77777777" w:rsidR="000A089E" w:rsidRDefault="000A089E">
            <w:pPr>
              <w:cnfStyle w:val="100000000000" w:firstRow="1" w:lastRow="0" w:firstColumn="0" w:lastColumn="0" w:oddVBand="0" w:evenVBand="0" w:oddHBand="0" w:evenHBand="0" w:firstRowFirstColumn="0" w:firstRowLastColumn="0" w:lastRowFirstColumn="0" w:lastRowLastColumn="0"/>
            </w:pPr>
            <w:r>
              <w:t>2025-26 revised</w:t>
            </w:r>
          </w:p>
        </w:tc>
        <w:tc>
          <w:tcPr>
            <w:tcW w:w="851" w:type="dxa"/>
          </w:tcPr>
          <w:p w14:paraId="1D5FA6C9" w14:textId="77777777" w:rsidR="000A089E" w:rsidRDefault="000A089E">
            <w:pPr>
              <w:cnfStyle w:val="100000000000" w:firstRow="1" w:lastRow="0" w:firstColumn="0" w:lastColumn="0" w:oddVBand="0" w:evenVBand="0" w:oddHBand="0" w:evenHBand="0" w:firstRowFirstColumn="0" w:firstRowLastColumn="0" w:lastRowFirstColumn="0" w:lastRowLastColumn="0"/>
            </w:pPr>
            <w:r>
              <w:t>2026-27 budget</w:t>
            </w:r>
          </w:p>
        </w:tc>
      </w:tr>
      <w:tr w:rsidR="000A089E" w:rsidRPr="00DA0C6B" w14:paraId="0A16A0F0"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F307AE6" w14:textId="77777777" w:rsidR="000A089E" w:rsidRPr="00DA0C6B" w:rsidRDefault="000A089E">
            <w:pPr>
              <w:rPr>
                <w:lang w:eastAsia="en-AU"/>
              </w:rPr>
            </w:pPr>
            <w:r w:rsidRPr="00DA0C6B">
              <w:rPr>
                <w:lang w:eastAsia="en-AU"/>
              </w:rPr>
              <w:t>Output appropriations</w:t>
            </w:r>
          </w:p>
        </w:tc>
        <w:tc>
          <w:tcPr>
            <w:tcW w:w="851" w:type="dxa"/>
            <w:noWrap/>
            <w:hideMark/>
          </w:tcPr>
          <w:p w14:paraId="61E7AF88"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622.2</w:t>
            </w:r>
          </w:p>
        </w:tc>
        <w:tc>
          <w:tcPr>
            <w:tcW w:w="851" w:type="dxa"/>
            <w:noWrap/>
            <w:hideMark/>
          </w:tcPr>
          <w:p w14:paraId="1045D66A"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580.9</w:t>
            </w:r>
          </w:p>
        </w:tc>
        <w:tc>
          <w:tcPr>
            <w:tcW w:w="851" w:type="dxa"/>
            <w:noWrap/>
            <w:hideMark/>
          </w:tcPr>
          <w:p w14:paraId="623F6A76"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599.0</w:t>
            </w:r>
          </w:p>
        </w:tc>
        <w:tc>
          <w:tcPr>
            <w:tcW w:w="851" w:type="dxa"/>
            <w:noWrap/>
            <w:hideMark/>
          </w:tcPr>
          <w:p w14:paraId="35E4156C"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617.1</w:t>
            </w:r>
          </w:p>
        </w:tc>
      </w:tr>
      <w:tr w:rsidR="000A089E" w:rsidRPr="00DA0C6B" w14:paraId="6A348141"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128BC5B" w14:textId="77777777" w:rsidR="000A089E" w:rsidRPr="00DA0C6B" w:rsidRDefault="000A089E">
            <w:pPr>
              <w:rPr>
                <w:lang w:eastAsia="en-AU"/>
              </w:rPr>
            </w:pPr>
            <w:r w:rsidRPr="00DA0C6B">
              <w:rPr>
                <w:lang w:eastAsia="en-AU"/>
              </w:rPr>
              <w:t>Special appropriations</w:t>
            </w:r>
          </w:p>
        </w:tc>
        <w:tc>
          <w:tcPr>
            <w:tcW w:w="851" w:type="dxa"/>
            <w:noWrap/>
            <w:hideMark/>
          </w:tcPr>
          <w:p w14:paraId="32CEA622"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202.8</w:t>
            </w:r>
          </w:p>
        </w:tc>
        <w:tc>
          <w:tcPr>
            <w:tcW w:w="851" w:type="dxa"/>
            <w:noWrap/>
            <w:hideMark/>
          </w:tcPr>
          <w:p w14:paraId="3CC82D3C"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226.7</w:t>
            </w:r>
          </w:p>
        </w:tc>
        <w:tc>
          <w:tcPr>
            <w:tcW w:w="851" w:type="dxa"/>
            <w:noWrap/>
            <w:hideMark/>
          </w:tcPr>
          <w:p w14:paraId="667C2A31"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233.8</w:t>
            </w:r>
          </w:p>
        </w:tc>
        <w:tc>
          <w:tcPr>
            <w:tcW w:w="851" w:type="dxa"/>
            <w:noWrap/>
            <w:hideMark/>
          </w:tcPr>
          <w:p w14:paraId="446B7A02"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250.5</w:t>
            </w:r>
          </w:p>
        </w:tc>
      </w:tr>
      <w:tr w:rsidR="000A089E" w:rsidRPr="00DA0C6B" w14:paraId="24F10087" w14:textId="77777777">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B4F9558" w14:textId="77777777" w:rsidR="000A089E" w:rsidRPr="00DA0C6B" w:rsidRDefault="000A089E">
            <w:pPr>
              <w:rPr>
                <w:lang w:eastAsia="en-AU"/>
              </w:rPr>
            </w:pPr>
            <w:r w:rsidRPr="00DA0C6B">
              <w:rPr>
                <w:lang w:eastAsia="en-AU"/>
              </w:rPr>
              <w:t>Grants</w:t>
            </w:r>
          </w:p>
        </w:tc>
        <w:tc>
          <w:tcPr>
            <w:tcW w:w="851" w:type="dxa"/>
            <w:noWrap/>
            <w:hideMark/>
          </w:tcPr>
          <w:p w14:paraId="37213F0A"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71.2</w:t>
            </w:r>
          </w:p>
        </w:tc>
        <w:tc>
          <w:tcPr>
            <w:tcW w:w="851" w:type="dxa"/>
            <w:noWrap/>
            <w:hideMark/>
          </w:tcPr>
          <w:p w14:paraId="117C3608"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26.5</w:t>
            </w:r>
          </w:p>
        </w:tc>
        <w:tc>
          <w:tcPr>
            <w:tcW w:w="851" w:type="dxa"/>
            <w:noWrap/>
            <w:hideMark/>
          </w:tcPr>
          <w:p w14:paraId="65318AC0"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64.5</w:t>
            </w:r>
          </w:p>
        </w:tc>
        <w:tc>
          <w:tcPr>
            <w:tcW w:w="851" w:type="dxa"/>
            <w:noWrap/>
            <w:hideMark/>
          </w:tcPr>
          <w:p w14:paraId="38A4CA48"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27.1</w:t>
            </w:r>
          </w:p>
        </w:tc>
      </w:tr>
      <w:tr w:rsidR="000A089E" w:rsidRPr="00DA0C6B" w14:paraId="54CC02DF" w14:textId="77777777" w:rsidTr="00DF24E1">
        <w:trPr>
          <w:trHeight w:val="227"/>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noWrap/>
            <w:hideMark/>
          </w:tcPr>
          <w:p w14:paraId="4CAE02C0" w14:textId="77777777" w:rsidR="000A089E" w:rsidRPr="00DA0C6B" w:rsidRDefault="000A089E">
            <w:pPr>
              <w:rPr>
                <w:lang w:eastAsia="en-AU"/>
              </w:rPr>
            </w:pPr>
            <w:r w:rsidRPr="00DA0C6B">
              <w:rPr>
                <w:lang w:eastAsia="en-AU"/>
              </w:rPr>
              <w:t>Other income</w:t>
            </w:r>
          </w:p>
        </w:tc>
        <w:tc>
          <w:tcPr>
            <w:tcW w:w="851" w:type="dxa"/>
            <w:tcBorders>
              <w:bottom w:val="single" w:sz="6" w:space="0" w:color="auto"/>
            </w:tcBorders>
            <w:noWrap/>
            <w:hideMark/>
          </w:tcPr>
          <w:p w14:paraId="4AAC5312"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(3.8)</w:t>
            </w:r>
          </w:p>
        </w:tc>
        <w:tc>
          <w:tcPr>
            <w:tcW w:w="851" w:type="dxa"/>
            <w:tcBorders>
              <w:bottom w:val="single" w:sz="6" w:space="0" w:color="auto"/>
            </w:tcBorders>
            <w:noWrap/>
            <w:hideMark/>
          </w:tcPr>
          <w:p w14:paraId="4FFBB2C7"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w:t>
            </w:r>
          </w:p>
        </w:tc>
        <w:tc>
          <w:tcPr>
            <w:tcW w:w="851" w:type="dxa"/>
            <w:tcBorders>
              <w:bottom w:val="single" w:sz="6" w:space="0" w:color="auto"/>
            </w:tcBorders>
            <w:noWrap/>
            <w:hideMark/>
          </w:tcPr>
          <w:p w14:paraId="060662F3"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sidRPr="00DA0C6B">
              <w:rPr>
                <w:lang w:eastAsia="en-AU"/>
              </w:rPr>
              <w:t>..</w:t>
            </w:r>
          </w:p>
        </w:tc>
        <w:tc>
          <w:tcPr>
            <w:tcW w:w="851" w:type="dxa"/>
            <w:tcBorders>
              <w:bottom w:val="single" w:sz="6" w:space="0" w:color="auto"/>
            </w:tcBorders>
            <w:noWrap/>
            <w:hideMark/>
          </w:tcPr>
          <w:p w14:paraId="3E0EB1E9" w14:textId="77777777" w:rsidR="000A089E" w:rsidRPr="00DA0C6B" w:rsidRDefault="000A089E">
            <w:pP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0A089E" w:rsidRPr="00DA0C6B" w14:paraId="66931F4F" w14:textId="77777777" w:rsidTr="00DF24E1">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1970CF0" w14:textId="77777777" w:rsidR="000A089E" w:rsidRPr="00DA0C6B" w:rsidRDefault="000A089E">
            <w:pPr>
              <w:rPr>
                <w:lang w:eastAsia="en-AU"/>
              </w:rPr>
            </w:pPr>
            <w:r w:rsidRPr="00DA0C6B">
              <w:rPr>
                <w:lang w:eastAsia="en-AU"/>
              </w:rPr>
              <w:t>Total income from transactions</w:t>
            </w:r>
          </w:p>
        </w:tc>
        <w:tc>
          <w:tcPr>
            <w:tcW w:w="851" w:type="dxa"/>
            <w:noWrap/>
            <w:hideMark/>
          </w:tcPr>
          <w:p w14:paraId="0AD82A8F" w14:textId="77777777" w:rsidR="000A089E" w:rsidRPr="00DA0C6B" w:rsidRDefault="000A089E">
            <w:pPr>
              <w:cnfStyle w:val="010000000000" w:firstRow="0" w:lastRow="1" w:firstColumn="0" w:lastColumn="0" w:oddVBand="0" w:evenVBand="0" w:oddHBand="0" w:evenHBand="0" w:firstRowFirstColumn="0" w:firstRowLastColumn="0" w:lastRowFirstColumn="0" w:lastRowLastColumn="0"/>
              <w:rPr>
                <w:lang w:eastAsia="en-AU"/>
              </w:rPr>
            </w:pPr>
            <w:r w:rsidRPr="00DA0C6B">
              <w:rPr>
                <w:lang w:eastAsia="en-AU"/>
              </w:rPr>
              <w:t>892.4</w:t>
            </w:r>
          </w:p>
        </w:tc>
        <w:tc>
          <w:tcPr>
            <w:tcW w:w="851" w:type="dxa"/>
            <w:noWrap/>
            <w:hideMark/>
          </w:tcPr>
          <w:p w14:paraId="21E55B7C" w14:textId="77777777" w:rsidR="000A089E" w:rsidRPr="00DA0C6B" w:rsidRDefault="000A089E">
            <w:pPr>
              <w:cnfStyle w:val="010000000000" w:firstRow="0" w:lastRow="1" w:firstColumn="0" w:lastColumn="0" w:oddVBand="0" w:evenVBand="0" w:oddHBand="0" w:evenHBand="0" w:firstRowFirstColumn="0" w:firstRowLastColumn="0" w:lastRowFirstColumn="0" w:lastRowLastColumn="0"/>
              <w:rPr>
                <w:lang w:eastAsia="en-AU"/>
              </w:rPr>
            </w:pPr>
            <w:r w:rsidRPr="00DA0C6B">
              <w:rPr>
                <w:lang w:eastAsia="en-AU"/>
              </w:rPr>
              <w:t>834.2</w:t>
            </w:r>
          </w:p>
        </w:tc>
        <w:tc>
          <w:tcPr>
            <w:tcW w:w="851" w:type="dxa"/>
            <w:noWrap/>
            <w:hideMark/>
          </w:tcPr>
          <w:p w14:paraId="76F36BFA" w14:textId="77777777" w:rsidR="000A089E" w:rsidRPr="00DA0C6B" w:rsidRDefault="000A089E">
            <w:pPr>
              <w:cnfStyle w:val="010000000000" w:firstRow="0" w:lastRow="1" w:firstColumn="0" w:lastColumn="0" w:oddVBand="0" w:evenVBand="0" w:oddHBand="0" w:evenHBand="0" w:firstRowFirstColumn="0" w:firstRowLastColumn="0" w:lastRowFirstColumn="0" w:lastRowLastColumn="0"/>
              <w:rPr>
                <w:lang w:eastAsia="en-AU"/>
              </w:rPr>
            </w:pPr>
            <w:r w:rsidRPr="00DA0C6B">
              <w:rPr>
                <w:lang w:eastAsia="en-AU"/>
              </w:rPr>
              <w:t>897.3</w:t>
            </w:r>
          </w:p>
        </w:tc>
        <w:tc>
          <w:tcPr>
            <w:tcW w:w="851" w:type="dxa"/>
            <w:noWrap/>
            <w:hideMark/>
          </w:tcPr>
          <w:p w14:paraId="73823E0B" w14:textId="77777777" w:rsidR="000A089E" w:rsidRPr="00DA0C6B" w:rsidRDefault="000A089E">
            <w:pPr>
              <w:cnfStyle w:val="010000000000" w:firstRow="0" w:lastRow="1" w:firstColumn="0" w:lastColumn="0" w:oddVBand="0" w:evenVBand="0" w:oddHBand="0" w:evenHBand="0" w:firstRowFirstColumn="0" w:firstRowLastColumn="0" w:lastRowFirstColumn="0" w:lastRowLastColumn="0"/>
              <w:rPr>
                <w:lang w:eastAsia="en-AU"/>
              </w:rPr>
            </w:pPr>
            <w:r w:rsidRPr="00DA0C6B">
              <w:rPr>
                <w:lang w:eastAsia="en-AU"/>
              </w:rPr>
              <w:t>894.7</w:t>
            </w:r>
          </w:p>
        </w:tc>
      </w:tr>
    </w:tbl>
    <w:p w14:paraId="35250885" w14:textId="77777777" w:rsidR="000A089E" w:rsidRDefault="000A089E" w:rsidP="000A089E">
      <w:pPr>
        <w:pStyle w:val="Source"/>
      </w:pPr>
      <w:r>
        <w:t>Source: Court Services Victoria</w:t>
      </w:r>
    </w:p>
    <w:p w14:paraId="40050325" w14:textId="77777777" w:rsidR="00B56A80" w:rsidRDefault="00B56A80" w:rsidP="00B56A80"/>
    <w:p w14:paraId="5F60AE09" w14:textId="77777777" w:rsidR="00B56A80" w:rsidRPr="00B56A80" w:rsidRDefault="00B56A80" w:rsidP="00B56A80"/>
    <w:p w14:paraId="447C7DC3" w14:textId="77777777" w:rsidR="00B56A80" w:rsidRPr="009A0061" w:rsidRDefault="00B56A80" w:rsidP="00B56A80">
      <w:pPr>
        <w:pStyle w:val="TableHeading"/>
      </w:pPr>
      <w:r w:rsidRPr="009A0061">
        <w:t xml:space="preserve">Table </w:t>
      </w:r>
      <w:r w:rsidRPr="00825E22">
        <w:t>3</w:t>
      </w:r>
      <w:r>
        <w:t>6</w:t>
      </w:r>
      <w:r w:rsidRPr="009A0061">
        <w:t>:</w:t>
      </w:r>
      <w:r>
        <w:tab/>
      </w:r>
      <w:r w:rsidRPr="009A0061">
        <w:t xml:space="preserve">Parliamentary </w:t>
      </w:r>
      <w:r w:rsidRPr="008C149B">
        <w:t>authority</w:t>
      </w:r>
      <w:r w:rsidRPr="009A0061">
        <w:t xml:space="preserve"> for resources</w:t>
      </w:r>
      <w:r w:rsidRPr="009A0061">
        <w:tab/>
        <w:t>($ million)</w:t>
      </w:r>
    </w:p>
    <w:tbl>
      <w:tblPr>
        <w:tblStyle w:val="DTFTableNumeric"/>
        <w:tblW w:w="5000" w:type="pct"/>
        <w:tblLook w:val="06E0" w:firstRow="1" w:lastRow="1" w:firstColumn="1" w:lastColumn="0" w:noHBand="1" w:noVBand="1"/>
      </w:tblPr>
      <w:tblGrid>
        <w:gridCol w:w="6658"/>
        <w:gridCol w:w="991"/>
        <w:gridCol w:w="991"/>
        <w:gridCol w:w="991"/>
      </w:tblGrid>
      <w:tr w:rsidR="00904DCE" w14:paraId="35A77C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712D90" w14:textId="77777777" w:rsidR="00904DCE" w:rsidRDefault="00904DCE"/>
        </w:tc>
        <w:tc>
          <w:tcPr>
            <w:tcW w:w="992" w:type="dxa"/>
          </w:tcPr>
          <w:p w14:paraId="5EEDB757" w14:textId="77777777" w:rsidR="00904DCE" w:rsidRDefault="00904DCE">
            <w:pPr>
              <w:cnfStyle w:val="100000000000" w:firstRow="1" w:lastRow="0" w:firstColumn="0" w:lastColumn="0" w:oddVBand="0" w:evenVBand="0" w:oddHBand="0" w:evenHBand="0" w:firstRowFirstColumn="0" w:firstRowLastColumn="0" w:lastRowFirstColumn="0" w:lastRowLastColumn="0"/>
            </w:pPr>
            <w:r>
              <w:t>2025-26 budget</w:t>
            </w:r>
          </w:p>
        </w:tc>
        <w:tc>
          <w:tcPr>
            <w:tcW w:w="992" w:type="dxa"/>
          </w:tcPr>
          <w:p w14:paraId="609F7020" w14:textId="77777777" w:rsidR="00904DCE" w:rsidRDefault="00904DCE">
            <w:pPr>
              <w:cnfStyle w:val="100000000000" w:firstRow="1" w:lastRow="0" w:firstColumn="0" w:lastColumn="0" w:oddVBand="0" w:evenVBand="0" w:oddHBand="0" w:evenHBand="0" w:firstRowFirstColumn="0" w:firstRowLastColumn="0" w:lastRowFirstColumn="0" w:lastRowLastColumn="0"/>
            </w:pPr>
            <w:r>
              <w:t>2025-26 revised</w:t>
            </w:r>
          </w:p>
        </w:tc>
        <w:tc>
          <w:tcPr>
            <w:tcW w:w="992" w:type="dxa"/>
          </w:tcPr>
          <w:p w14:paraId="5F9D6E90" w14:textId="77777777" w:rsidR="00904DCE" w:rsidRDefault="00904DCE">
            <w:pPr>
              <w:cnfStyle w:val="100000000000" w:firstRow="1" w:lastRow="0" w:firstColumn="0" w:lastColumn="0" w:oddVBand="0" w:evenVBand="0" w:oddHBand="0" w:evenHBand="0" w:firstRowFirstColumn="0" w:firstRowLastColumn="0" w:lastRowFirstColumn="0" w:lastRowLastColumn="0"/>
            </w:pPr>
            <w:r>
              <w:t>2026-27 budget</w:t>
            </w:r>
          </w:p>
        </w:tc>
      </w:tr>
      <w:tr w:rsidR="00904DCE" w:rsidRPr="00D74DF1" w14:paraId="10E4CE60"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756313AD" w14:textId="44FF61D4" w:rsidR="00904DCE" w:rsidRPr="00D74DF1" w:rsidRDefault="00904DCE">
            <w:pPr>
              <w:rPr>
                <w:b/>
                <w:bCs/>
                <w:lang w:eastAsia="en-AU"/>
              </w:rPr>
            </w:pPr>
            <w:r w:rsidRPr="00D74DF1">
              <w:rPr>
                <w:b/>
                <w:bCs/>
                <w:lang w:eastAsia="en-AU"/>
              </w:rPr>
              <w:t>Annual appropriations</w:t>
            </w:r>
          </w:p>
        </w:tc>
        <w:tc>
          <w:tcPr>
            <w:tcW w:w="992" w:type="dxa"/>
            <w:noWrap/>
            <w:hideMark/>
          </w:tcPr>
          <w:p w14:paraId="74F6D2D9"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625.6</w:t>
            </w:r>
          </w:p>
        </w:tc>
        <w:tc>
          <w:tcPr>
            <w:tcW w:w="992" w:type="dxa"/>
            <w:noWrap/>
            <w:hideMark/>
          </w:tcPr>
          <w:p w14:paraId="3C03CA8A"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627.0</w:t>
            </w:r>
          </w:p>
        </w:tc>
        <w:tc>
          <w:tcPr>
            <w:tcW w:w="992" w:type="dxa"/>
            <w:noWrap/>
            <w:hideMark/>
          </w:tcPr>
          <w:p w14:paraId="787DE5C6"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573.4</w:t>
            </w:r>
          </w:p>
        </w:tc>
      </w:tr>
      <w:tr w:rsidR="00904DCE" w:rsidRPr="00D74DF1" w14:paraId="594DD7A6"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34CDECA7" w14:textId="77777777" w:rsidR="00904DCE" w:rsidRPr="00D74DF1" w:rsidRDefault="00904DCE">
            <w:pPr>
              <w:rPr>
                <w:lang w:eastAsia="en-AU"/>
              </w:rPr>
            </w:pPr>
            <w:r w:rsidRPr="00D74DF1">
              <w:rPr>
                <w:lang w:eastAsia="en-AU"/>
              </w:rPr>
              <w:t>Provision of outputs</w:t>
            </w:r>
          </w:p>
        </w:tc>
        <w:tc>
          <w:tcPr>
            <w:tcW w:w="992" w:type="dxa"/>
            <w:noWrap/>
            <w:hideMark/>
          </w:tcPr>
          <w:p w14:paraId="5AFC89D9"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495.3</w:t>
            </w:r>
          </w:p>
        </w:tc>
        <w:tc>
          <w:tcPr>
            <w:tcW w:w="992" w:type="dxa"/>
            <w:noWrap/>
            <w:hideMark/>
          </w:tcPr>
          <w:p w14:paraId="2541391A"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506.4</w:t>
            </w:r>
          </w:p>
        </w:tc>
        <w:tc>
          <w:tcPr>
            <w:tcW w:w="992" w:type="dxa"/>
            <w:noWrap/>
            <w:hideMark/>
          </w:tcPr>
          <w:p w14:paraId="52386A2B"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521.3</w:t>
            </w:r>
          </w:p>
        </w:tc>
      </w:tr>
      <w:tr w:rsidR="00904DCE" w:rsidRPr="00D74DF1" w14:paraId="3FCD5E9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A56E7F4" w14:textId="77777777" w:rsidR="00904DCE" w:rsidRPr="00D74DF1" w:rsidRDefault="00904DCE">
            <w:pPr>
              <w:rPr>
                <w:lang w:eastAsia="en-AU"/>
              </w:rPr>
            </w:pPr>
            <w:r w:rsidRPr="00D74DF1">
              <w:rPr>
                <w:lang w:eastAsia="en-AU"/>
              </w:rPr>
              <w:t>Additions to the net asset base</w:t>
            </w:r>
          </w:p>
        </w:tc>
        <w:tc>
          <w:tcPr>
            <w:tcW w:w="992" w:type="dxa"/>
            <w:noWrap/>
            <w:hideMark/>
          </w:tcPr>
          <w:p w14:paraId="130D3DA8"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130.3</w:t>
            </w:r>
          </w:p>
        </w:tc>
        <w:tc>
          <w:tcPr>
            <w:tcW w:w="992" w:type="dxa"/>
            <w:noWrap/>
            <w:hideMark/>
          </w:tcPr>
          <w:p w14:paraId="7E030A7A"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120.5</w:t>
            </w:r>
          </w:p>
        </w:tc>
        <w:tc>
          <w:tcPr>
            <w:tcW w:w="992" w:type="dxa"/>
            <w:noWrap/>
            <w:hideMark/>
          </w:tcPr>
          <w:p w14:paraId="55B5F037"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52.1</w:t>
            </w:r>
          </w:p>
        </w:tc>
      </w:tr>
      <w:tr w:rsidR="00904DCE" w:rsidRPr="00D74DF1" w14:paraId="4B511DFA"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44B2EDA5" w14:textId="77777777" w:rsidR="00904DCE" w:rsidRPr="00D74DF1" w:rsidRDefault="00904DCE">
            <w:pPr>
              <w:rPr>
                <w:b/>
                <w:bCs/>
                <w:lang w:eastAsia="en-AU"/>
              </w:rPr>
            </w:pPr>
            <w:r w:rsidRPr="00D74DF1">
              <w:rPr>
                <w:b/>
                <w:bCs/>
                <w:lang w:eastAsia="en-AU"/>
              </w:rPr>
              <w:t>Receipts credited to appropriations</w:t>
            </w:r>
          </w:p>
        </w:tc>
        <w:tc>
          <w:tcPr>
            <w:tcW w:w="992" w:type="dxa"/>
            <w:noWrap/>
            <w:hideMark/>
          </w:tcPr>
          <w:p w14:paraId="1F53B985"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85.6</w:t>
            </w:r>
          </w:p>
        </w:tc>
        <w:tc>
          <w:tcPr>
            <w:tcW w:w="992" w:type="dxa"/>
            <w:noWrap/>
            <w:hideMark/>
          </w:tcPr>
          <w:p w14:paraId="6A00F057"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91.8</w:t>
            </w:r>
          </w:p>
        </w:tc>
        <w:tc>
          <w:tcPr>
            <w:tcW w:w="992" w:type="dxa"/>
            <w:noWrap/>
            <w:hideMark/>
          </w:tcPr>
          <w:p w14:paraId="41112F51"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95.8</w:t>
            </w:r>
          </w:p>
        </w:tc>
      </w:tr>
      <w:tr w:rsidR="00904DCE" w:rsidRPr="00D74DF1" w14:paraId="361E4022"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1F7DAB6" w14:textId="77777777" w:rsidR="00904DCE" w:rsidRPr="00D74DF1" w:rsidRDefault="00904DCE">
            <w:pPr>
              <w:rPr>
                <w:b/>
                <w:bCs/>
                <w:lang w:eastAsia="en-AU"/>
              </w:rPr>
            </w:pPr>
            <w:r w:rsidRPr="00D74DF1">
              <w:rPr>
                <w:b/>
                <w:bCs/>
                <w:lang w:eastAsia="en-AU"/>
              </w:rPr>
              <w:t>Unapplied previous years appropriation</w:t>
            </w:r>
          </w:p>
        </w:tc>
        <w:tc>
          <w:tcPr>
            <w:tcW w:w="992" w:type="dxa"/>
            <w:noWrap/>
            <w:hideMark/>
          </w:tcPr>
          <w:p w14:paraId="1C8E3842"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w:t>
            </w:r>
          </w:p>
        </w:tc>
        <w:tc>
          <w:tcPr>
            <w:tcW w:w="992" w:type="dxa"/>
            <w:noWrap/>
            <w:hideMark/>
          </w:tcPr>
          <w:p w14:paraId="1711020A"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4.3</w:t>
            </w:r>
          </w:p>
        </w:tc>
        <w:tc>
          <w:tcPr>
            <w:tcW w:w="992" w:type="dxa"/>
            <w:noWrap/>
            <w:hideMark/>
          </w:tcPr>
          <w:p w14:paraId="0287FDBF"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w:t>
            </w:r>
          </w:p>
        </w:tc>
      </w:tr>
      <w:tr w:rsidR="00904DCE" w:rsidRPr="00D74DF1" w14:paraId="0BCEC099"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nil"/>
            </w:tcBorders>
            <w:noWrap/>
            <w:hideMark/>
          </w:tcPr>
          <w:p w14:paraId="418F3797" w14:textId="77777777" w:rsidR="00904DCE" w:rsidRPr="00D74DF1" w:rsidRDefault="00904DCE">
            <w:pPr>
              <w:rPr>
                <w:lang w:eastAsia="en-AU"/>
              </w:rPr>
            </w:pPr>
            <w:r w:rsidRPr="00D74DF1">
              <w:rPr>
                <w:lang w:eastAsia="en-AU"/>
              </w:rPr>
              <w:t>Provision of outputs</w:t>
            </w:r>
          </w:p>
        </w:tc>
        <w:tc>
          <w:tcPr>
            <w:tcW w:w="992" w:type="dxa"/>
            <w:tcBorders>
              <w:bottom w:val="nil"/>
            </w:tcBorders>
            <w:noWrap/>
            <w:hideMark/>
          </w:tcPr>
          <w:p w14:paraId="2E54612A"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w:t>
            </w:r>
          </w:p>
        </w:tc>
        <w:tc>
          <w:tcPr>
            <w:tcW w:w="992" w:type="dxa"/>
            <w:tcBorders>
              <w:bottom w:val="nil"/>
            </w:tcBorders>
            <w:noWrap/>
            <w:hideMark/>
          </w:tcPr>
          <w:p w14:paraId="762062C5"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0.8</w:t>
            </w:r>
          </w:p>
        </w:tc>
        <w:tc>
          <w:tcPr>
            <w:tcW w:w="992" w:type="dxa"/>
            <w:tcBorders>
              <w:bottom w:val="nil"/>
            </w:tcBorders>
            <w:noWrap/>
            <w:hideMark/>
          </w:tcPr>
          <w:p w14:paraId="537A0997"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w:t>
            </w:r>
          </w:p>
        </w:tc>
      </w:tr>
      <w:tr w:rsidR="00904DCE" w:rsidRPr="00D74DF1" w14:paraId="025147AD"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15BF5FC9" w14:textId="77777777" w:rsidR="00904DCE" w:rsidRPr="00D74DF1" w:rsidRDefault="00904DCE">
            <w:pPr>
              <w:rPr>
                <w:lang w:eastAsia="en-AU"/>
              </w:rPr>
            </w:pPr>
            <w:r w:rsidRPr="00D74DF1">
              <w:rPr>
                <w:lang w:eastAsia="en-AU"/>
              </w:rPr>
              <w:t>Additions to the net asset base</w:t>
            </w:r>
          </w:p>
        </w:tc>
        <w:tc>
          <w:tcPr>
            <w:tcW w:w="992" w:type="dxa"/>
            <w:tcBorders>
              <w:bottom w:val="single" w:sz="6" w:space="0" w:color="auto"/>
            </w:tcBorders>
            <w:noWrap/>
            <w:hideMark/>
          </w:tcPr>
          <w:p w14:paraId="69CA7051"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w:t>
            </w:r>
          </w:p>
        </w:tc>
        <w:tc>
          <w:tcPr>
            <w:tcW w:w="992" w:type="dxa"/>
            <w:tcBorders>
              <w:bottom w:val="single" w:sz="6" w:space="0" w:color="auto"/>
            </w:tcBorders>
            <w:noWrap/>
            <w:hideMark/>
          </w:tcPr>
          <w:p w14:paraId="1643CC83"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3.5</w:t>
            </w:r>
          </w:p>
        </w:tc>
        <w:tc>
          <w:tcPr>
            <w:tcW w:w="992" w:type="dxa"/>
            <w:tcBorders>
              <w:bottom w:val="single" w:sz="6" w:space="0" w:color="auto"/>
            </w:tcBorders>
            <w:noWrap/>
            <w:hideMark/>
          </w:tcPr>
          <w:p w14:paraId="42098572"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w:t>
            </w:r>
          </w:p>
        </w:tc>
      </w:tr>
      <w:tr w:rsidR="00904DCE" w:rsidRPr="00D74DF1" w14:paraId="120FD881"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noWrap/>
            <w:hideMark/>
          </w:tcPr>
          <w:p w14:paraId="0337627C" w14:textId="77777777" w:rsidR="00904DCE" w:rsidRPr="00D74DF1" w:rsidRDefault="00904DCE">
            <w:pPr>
              <w:rPr>
                <w:b/>
                <w:bCs/>
                <w:lang w:eastAsia="en-AU"/>
              </w:rPr>
            </w:pPr>
            <w:r w:rsidRPr="00D74DF1">
              <w:rPr>
                <w:b/>
                <w:bCs/>
                <w:lang w:eastAsia="en-AU"/>
              </w:rPr>
              <w:t>Gross annual appropriation</w:t>
            </w:r>
          </w:p>
        </w:tc>
        <w:tc>
          <w:tcPr>
            <w:tcW w:w="992" w:type="dxa"/>
            <w:tcBorders>
              <w:top w:val="single" w:sz="6" w:space="0" w:color="auto"/>
            </w:tcBorders>
            <w:noWrap/>
            <w:hideMark/>
          </w:tcPr>
          <w:p w14:paraId="7EC9F015"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711.1</w:t>
            </w:r>
          </w:p>
        </w:tc>
        <w:tc>
          <w:tcPr>
            <w:tcW w:w="992" w:type="dxa"/>
            <w:tcBorders>
              <w:top w:val="single" w:sz="6" w:space="0" w:color="auto"/>
            </w:tcBorders>
            <w:noWrap/>
            <w:hideMark/>
          </w:tcPr>
          <w:p w14:paraId="240C5FF2"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723.0</w:t>
            </w:r>
          </w:p>
        </w:tc>
        <w:tc>
          <w:tcPr>
            <w:tcW w:w="992" w:type="dxa"/>
            <w:tcBorders>
              <w:top w:val="single" w:sz="6" w:space="0" w:color="auto"/>
            </w:tcBorders>
            <w:noWrap/>
            <w:hideMark/>
          </w:tcPr>
          <w:p w14:paraId="09C97EBD"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669.2</w:t>
            </w:r>
          </w:p>
        </w:tc>
      </w:tr>
      <w:tr w:rsidR="00904DCE" w:rsidRPr="00D74DF1" w14:paraId="7C98C4F7"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4F1770D" w14:textId="77777777" w:rsidR="00904DCE" w:rsidRPr="00D74DF1" w:rsidRDefault="00904DCE">
            <w:pPr>
              <w:rPr>
                <w:b/>
                <w:bCs/>
                <w:lang w:eastAsia="en-AU"/>
              </w:rPr>
            </w:pPr>
            <w:r w:rsidRPr="00D74DF1">
              <w:rPr>
                <w:b/>
                <w:bCs/>
                <w:lang w:eastAsia="en-AU"/>
              </w:rPr>
              <w:t>Special appropriations</w:t>
            </w:r>
          </w:p>
        </w:tc>
        <w:tc>
          <w:tcPr>
            <w:tcW w:w="992" w:type="dxa"/>
            <w:noWrap/>
            <w:hideMark/>
          </w:tcPr>
          <w:p w14:paraId="3E70EB50"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233.9</w:t>
            </w:r>
          </w:p>
        </w:tc>
        <w:tc>
          <w:tcPr>
            <w:tcW w:w="992" w:type="dxa"/>
            <w:noWrap/>
            <w:hideMark/>
          </w:tcPr>
          <w:p w14:paraId="0D0041BE"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241.0</w:t>
            </w:r>
          </w:p>
        </w:tc>
        <w:tc>
          <w:tcPr>
            <w:tcW w:w="992" w:type="dxa"/>
            <w:noWrap/>
            <w:hideMark/>
          </w:tcPr>
          <w:p w14:paraId="5DE6DC28"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261.2</w:t>
            </w:r>
          </w:p>
        </w:tc>
      </w:tr>
      <w:tr w:rsidR="00904DCE" w:rsidRPr="00D74DF1" w14:paraId="485C3C9C"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0BC94127" w14:textId="77777777" w:rsidR="00904DCE" w:rsidRPr="00D74DF1" w:rsidRDefault="00904DCE">
            <w:pPr>
              <w:rPr>
                <w:b/>
                <w:bCs/>
                <w:lang w:eastAsia="en-AU"/>
              </w:rPr>
            </w:pPr>
            <w:r w:rsidRPr="00D74DF1">
              <w:rPr>
                <w:b/>
                <w:bCs/>
                <w:lang w:eastAsia="en-AU"/>
              </w:rPr>
              <w:t>Trust funds</w:t>
            </w:r>
          </w:p>
        </w:tc>
        <w:tc>
          <w:tcPr>
            <w:tcW w:w="992" w:type="dxa"/>
            <w:noWrap/>
            <w:hideMark/>
          </w:tcPr>
          <w:p w14:paraId="42D52DBD"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26.5</w:t>
            </w:r>
          </w:p>
        </w:tc>
        <w:tc>
          <w:tcPr>
            <w:tcW w:w="992" w:type="dxa"/>
            <w:noWrap/>
            <w:hideMark/>
          </w:tcPr>
          <w:p w14:paraId="07488AD3"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64.5</w:t>
            </w:r>
          </w:p>
        </w:tc>
        <w:tc>
          <w:tcPr>
            <w:tcW w:w="992" w:type="dxa"/>
            <w:noWrap/>
            <w:hideMark/>
          </w:tcPr>
          <w:p w14:paraId="050267FE"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b/>
                <w:bCs/>
                <w:lang w:eastAsia="en-AU"/>
              </w:rPr>
            </w:pPr>
            <w:r w:rsidRPr="00D74DF1">
              <w:rPr>
                <w:b/>
                <w:bCs/>
                <w:lang w:eastAsia="en-AU"/>
              </w:rPr>
              <w:t>27.1</w:t>
            </w:r>
          </w:p>
        </w:tc>
      </w:tr>
      <w:tr w:rsidR="00904DCE" w:rsidRPr="00D74DF1" w14:paraId="656E9672" w14:textId="77777777">
        <w:trPr>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158E1580" w14:textId="54AE8E49" w:rsidR="00904DCE" w:rsidRPr="00D74DF1" w:rsidRDefault="00904DCE">
            <w:pPr>
              <w:rPr>
                <w:lang w:eastAsia="en-AU"/>
              </w:rPr>
            </w:pPr>
            <w:r w:rsidRPr="00D74DF1">
              <w:rPr>
                <w:lang w:eastAsia="en-AU"/>
              </w:rPr>
              <w:t>Victorian Civil and Administrative Tribunal Trust</w:t>
            </w:r>
            <w:r w:rsidR="00DF24E1">
              <w:rPr>
                <w:lang w:eastAsia="en-AU"/>
              </w:rPr>
              <w:t xml:space="preserve"> </w:t>
            </w:r>
            <w:r w:rsidRPr="00772B3B">
              <w:rPr>
                <w:vertAlign w:val="superscript"/>
                <w:lang w:eastAsia="en-AU"/>
              </w:rPr>
              <w:t>(a)</w:t>
            </w:r>
          </w:p>
        </w:tc>
        <w:tc>
          <w:tcPr>
            <w:tcW w:w="992" w:type="dxa"/>
            <w:noWrap/>
            <w:hideMark/>
          </w:tcPr>
          <w:p w14:paraId="06DB8766"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22.0</w:t>
            </w:r>
          </w:p>
        </w:tc>
        <w:tc>
          <w:tcPr>
            <w:tcW w:w="992" w:type="dxa"/>
            <w:noWrap/>
            <w:hideMark/>
          </w:tcPr>
          <w:p w14:paraId="2EE61ADD"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56.8</w:t>
            </w:r>
          </w:p>
        </w:tc>
        <w:tc>
          <w:tcPr>
            <w:tcW w:w="992" w:type="dxa"/>
            <w:noWrap/>
            <w:hideMark/>
          </w:tcPr>
          <w:p w14:paraId="4CA15CB6"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19.2</w:t>
            </w:r>
          </w:p>
        </w:tc>
      </w:tr>
      <w:tr w:rsidR="00904DCE" w:rsidRPr="00D74DF1" w14:paraId="60EE09B9" w14:textId="77777777" w:rsidTr="00DF24E1">
        <w:trPr>
          <w:trHeight w:val="227"/>
        </w:trPr>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noWrap/>
            <w:hideMark/>
          </w:tcPr>
          <w:p w14:paraId="5E8E7592" w14:textId="7D9B1143" w:rsidR="00904DCE" w:rsidRPr="00D74DF1" w:rsidRDefault="00904DCE">
            <w:pPr>
              <w:rPr>
                <w:lang w:eastAsia="en-AU"/>
              </w:rPr>
            </w:pPr>
            <w:r w:rsidRPr="00D74DF1">
              <w:rPr>
                <w:lang w:eastAsia="en-AU"/>
              </w:rPr>
              <w:t>Other</w:t>
            </w:r>
            <w:r w:rsidR="00DF24E1">
              <w:rPr>
                <w:lang w:eastAsia="en-AU"/>
              </w:rPr>
              <w:t xml:space="preserve"> </w:t>
            </w:r>
            <w:r w:rsidRPr="00772B3B">
              <w:rPr>
                <w:vertAlign w:val="superscript"/>
                <w:lang w:eastAsia="en-AU"/>
              </w:rPr>
              <w:t>(b)</w:t>
            </w:r>
          </w:p>
        </w:tc>
        <w:tc>
          <w:tcPr>
            <w:tcW w:w="992" w:type="dxa"/>
            <w:tcBorders>
              <w:bottom w:val="single" w:sz="6" w:space="0" w:color="auto"/>
            </w:tcBorders>
            <w:noWrap/>
            <w:hideMark/>
          </w:tcPr>
          <w:p w14:paraId="1A4139EF"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4.6</w:t>
            </w:r>
          </w:p>
        </w:tc>
        <w:tc>
          <w:tcPr>
            <w:tcW w:w="992" w:type="dxa"/>
            <w:tcBorders>
              <w:bottom w:val="single" w:sz="6" w:space="0" w:color="auto"/>
            </w:tcBorders>
            <w:noWrap/>
            <w:hideMark/>
          </w:tcPr>
          <w:p w14:paraId="53583BC6"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7.7</w:t>
            </w:r>
          </w:p>
        </w:tc>
        <w:tc>
          <w:tcPr>
            <w:tcW w:w="992" w:type="dxa"/>
            <w:tcBorders>
              <w:bottom w:val="single" w:sz="6" w:space="0" w:color="auto"/>
            </w:tcBorders>
            <w:noWrap/>
            <w:hideMark/>
          </w:tcPr>
          <w:p w14:paraId="7AF9EC60" w14:textId="77777777" w:rsidR="00904DCE" w:rsidRPr="00D74DF1" w:rsidRDefault="00904DCE">
            <w:pPr>
              <w:cnfStyle w:val="000000000000" w:firstRow="0" w:lastRow="0" w:firstColumn="0" w:lastColumn="0" w:oddVBand="0" w:evenVBand="0" w:oddHBand="0" w:evenHBand="0" w:firstRowFirstColumn="0" w:firstRowLastColumn="0" w:lastRowFirstColumn="0" w:lastRowLastColumn="0"/>
              <w:rPr>
                <w:lang w:eastAsia="en-AU"/>
              </w:rPr>
            </w:pPr>
            <w:r w:rsidRPr="00D74DF1">
              <w:rPr>
                <w:lang w:eastAsia="en-AU"/>
              </w:rPr>
              <w:t>7.9</w:t>
            </w:r>
          </w:p>
        </w:tc>
      </w:tr>
      <w:tr w:rsidR="00904DCE" w:rsidRPr="00D74DF1" w14:paraId="1FA29CED" w14:textId="77777777" w:rsidTr="00DF24E1">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663" w:type="dxa"/>
            <w:noWrap/>
            <w:hideMark/>
          </w:tcPr>
          <w:p w14:paraId="26F7D8F2" w14:textId="77777777" w:rsidR="00904DCE" w:rsidRPr="00D74DF1" w:rsidRDefault="00904DCE">
            <w:pPr>
              <w:rPr>
                <w:lang w:eastAsia="en-AU"/>
              </w:rPr>
            </w:pPr>
            <w:r w:rsidRPr="00D74DF1">
              <w:rPr>
                <w:lang w:eastAsia="en-AU"/>
              </w:rPr>
              <w:t>Total parliamentary authority</w:t>
            </w:r>
          </w:p>
        </w:tc>
        <w:tc>
          <w:tcPr>
            <w:tcW w:w="992" w:type="dxa"/>
            <w:noWrap/>
            <w:hideMark/>
          </w:tcPr>
          <w:p w14:paraId="0D4A947C" w14:textId="77777777" w:rsidR="00904DCE" w:rsidRPr="00D74DF1" w:rsidRDefault="00904DCE">
            <w:pPr>
              <w:cnfStyle w:val="010000000000" w:firstRow="0" w:lastRow="1" w:firstColumn="0" w:lastColumn="0" w:oddVBand="0" w:evenVBand="0" w:oddHBand="0" w:evenHBand="0" w:firstRowFirstColumn="0" w:firstRowLastColumn="0" w:lastRowFirstColumn="0" w:lastRowLastColumn="0"/>
              <w:rPr>
                <w:lang w:eastAsia="en-AU"/>
              </w:rPr>
            </w:pPr>
            <w:r w:rsidRPr="00D74DF1">
              <w:rPr>
                <w:lang w:eastAsia="en-AU"/>
              </w:rPr>
              <w:t>971.6</w:t>
            </w:r>
          </w:p>
        </w:tc>
        <w:tc>
          <w:tcPr>
            <w:tcW w:w="992" w:type="dxa"/>
            <w:noWrap/>
            <w:hideMark/>
          </w:tcPr>
          <w:p w14:paraId="012F00FD" w14:textId="77777777" w:rsidR="00904DCE" w:rsidRPr="00D74DF1" w:rsidRDefault="00904DCE">
            <w:pPr>
              <w:cnfStyle w:val="010000000000" w:firstRow="0" w:lastRow="1" w:firstColumn="0" w:lastColumn="0" w:oddVBand="0" w:evenVBand="0" w:oddHBand="0" w:evenHBand="0" w:firstRowFirstColumn="0" w:firstRowLastColumn="0" w:lastRowFirstColumn="0" w:lastRowLastColumn="0"/>
              <w:rPr>
                <w:lang w:eastAsia="en-AU"/>
              </w:rPr>
            </w:pPr>
            <w:r w:rsidRPr="00D74DF1">
              <w:rPr>
                <w:lang w:eastAsia="en-AU"/>
              </w:rPr>
              <w:t>1 028.5</w:t>
            </w:r>
          </w:p>
        </w:tc>
        <w:tc>
          <w:tcPr>
            <w:tcW w:w="992" w:type="dxa"/>
            <w:noWrap/>
            <w:hideMark/>
          </w:tcPr>
          <w:p w14:paraId="03459646" w14:textId="77777777" w:rsidR="00904DCE" w:rsidRPr="00D74DF1" w:rsidRDefault="00904DCE">
            <w:pPr>
              <w:cnfStyle w:val="010000000000" w:firstRow="0" w:lastRow="1" w:firstColumn="0" w:lastColumn="0" w:oddVBand="0" w:evenVBand="0" w:oddHBand="0" w:evenHBand="0" w:firstRowFirstColumn="0" w:firstRowLastColumn="0" w:lastRowFirstColumn="0" w:lastRowLastColumn="0"/>
              <w:rPr>
                <w:lang w:eastAsia="en-AU"/>
              </w:rPr>
            </w:pPr>
            <w:r w:rsidRPr="00D74DF1">
              <w:rPr>
                <w:lang w:eastAsia="en-AU"/>
              </w:rPr>
              <w:t>957.5</w:t>
            </w:r>
          </w:p>
        </w:tc>
      </w:tr>
    </w:tbl>
    <w:p w14:paraId="3C6AF67E" w14:textId="77777777" w:rsidR="00904DCE" w:rsidRDefault="00904DCE" w:rsidP="00904DCE">
      <w:pPr>
        <w:pStyle w:val="Source"/>
      </w:pPr>
      <w:r>
        <w:t>Source: Court Services Victoria</w:t>
      </w:r>
    </w:p>
    <w:p w14:paraId="6E7F086A" w14:textId="77777777" w:rsidR="00904DCE" w:rsidRDefault="00904DCE" w:rsidP="00904DCE">
      <w:pPr>
        <w:pStyle w:val="Note"/>
      </w:pPr>
      <w:r>
        <w:t>Notes:</w:t>
      </w:r>
    </w:p>
    <w:p w14:paraId="1A72BB5A" w14:textId="455273F1" w:rsidR="00904DCE" w:rsidRDefault="00DF24E1" w:rsidP="00DF24E1">
      <w:pPr>
        <w:pStyle w:val="Note"/>
      </w:pPr>
      <w:r>
        <w:t>(a)</w:t>
      </w:r>
      <w:r>
        <w:tab/>
      </w:r>
      <w:r w:rsidR="00904DCE">
        <w:t>The purpose of this trust relates to funding the Victorian Administrative Tribunal’s Owners Corporation, Domestic Building, and Residential Tenancies lists.</w:t>
      </w:r>
    </w:p>
    <w:p w14:paraId="3E8A3473" w14:textId="2E1FD5D9" w:rsidR="00904DCE" w:rsidRDefault="00DF24E1" w:rsidP="00DF24E1">
      <w:pPr>
        <w:pStyle w:val="Note"/>
      </w:pPr>
      <w:r>
        <w:t>(B)</w:t>
      </w:r>
      <w:r>
        <w:tab/>
      </w:r>
      <w:r w:rsidR="00904DCE">
        <w:t>Includes interdepartmental transfers.</w:t>
      </w:r>
    </w:p>
    <w:p w14:paraId="207F1B40" w14:textId="77777777" w:rsidR="00824558" w:rsidRDefault="00824558"/>
    <w:p w14:paraId="3C051CA5" w14:textId="77777777" w:rsidR="00824558" w:rsidRPr="00FB2004" w:rsidRDefault="00824558" w:rsidP="004D53CA">
      <w:pPr>
        <w:pStyle w:val="ShadedBoxHeading"/>
        <w:pageBreakBefore/>
      </w:pPr>
      <w:r w:rsidRPr="00FB2004">
        <w:t xml:space="preserve">Objective 1: The fair, timely and efficient </w:t>
      </w:r>
      <w:r>
        <w:t>administration</w:t>
      </w:r>
      <w:r w:rsidRPr="00FB2004">
        <w:t xml:space="preserve"> of justice</w:t>
      </w:r>
    </w:p>
    <w:p w14:paraId="2B28BCB6" w14:textId="77777777" w:rsidR="00824558" w:rsidRPr="00FB2004" w:rsidRDefault="00824558">
      <w:pPr>
        <w:pStyle w:val="ShadedBoxText"/>
      </w:pPr>
      <w:r w:rsidRPr="00FB2004">
        <w:t xml:space="preserve">This objective delivers the fair, timely and efficient </w:t>
      </w:r>
      <w:r>
        <w:t>administration</w:t>
      </w:r>
      <w:r w:rsidRPr="00FB2004">
        <w:t xml:space="preserve"> of justice for Victorians. It</w:t>
      </w:r>
      <w:r>
        <w:t> </w:t>
      </w:r>
      <w:r w:rsidRPr="00FB2004">
        <w:t xml:space="preserve">aims to provide equal access to justice for all, and ensure fairness, impartiality and independence in decision making. All processes followed by courts and tribunals are transparent, timely and certain for all parties. The delivery of this objective requires courts and tribunals to strive for leadership and best practice in court administration </w:t>
      </w:r>
      <w:r>
        <w:t>of</w:t>
      </w:r>
      <w:r w:rsidRPr="00FB2004">
        <w:t xml:space="preserve"> justice for Victorians and engage with the community to strengthen their understanding of court procedure and confidence in the rule of law. </w:t>
      </w:r>
    </w:p>
    <w:p w14:paraId="54DC52A1" w14:textId="77777777" w:rsidR="00824558" w:rsidRPr="00FB2004" w:rsidRDefault="00824558">
      <w:pPr>
        <w:pStyle w:val="ShadedBoxText"/>
      </w:pPr>
      <w:r w:rsidRPr="00FB2004">
        <w:t>The departmental objective indicators are:</w:t>
      </w:r>
    </w:p>
    <w:p w14:paraId="235AD364" w14:textId="77777777" w:rsidR="00824558" w:rsidRPr="00FB2004" w:rsidRDefault="00824558" w:rsidP="00824558">
      <w:pPr>
        <w:pStyle w:val="ShadedBoxBullet"/>
        <w:numPr>
          <w:ilvl w:val="0"/>
          <w:numId w:val="1"/>
        </w:numPr>
      </w:pPr>
      <w:r w:rsidRPr="00FB2004">
        <w:t>clearance of criminal caseload (finalisations/lodgements)</w:t>
      </w:r>
    </w:p>
    <w:p w14:paraId="6E6C6231" w14:textId="77777777" w:rsidR="00824558" w:rsidRPr="0068170C" w:rsidRDefault="00824558" w:rsidP="00824558">
      <w:pPr>
        <w:pStyle w:val="ShadedBoxBullet"/>
        <w:numPr>
          <w:ilvl w:val="0"/>
          <w:numId w:val="1"/>
        </w:numPr>
      </w:pPr>
      <w:r w:rsidRPr="00FB2004">
        <w:t>clearance of civil caseload (finalisations/lodgements).</w:t>
      </w:r>
    </w:p>
    <w:p w14:paraId="4EFFDADA" w14:textId="77777777" w:rsidR="00824558" w:rsidRDefault="00824558">
      <w:pPr>
        <w:pStyle w:val="Heading3"/>
      </w:pPr>
      <w:r>
        <w:t>Outputs</w:t>
      </w:r>
    </w:p>
    <w:p w14:paraId="487BAA25" w14:textId="77777777" w:rsidR="00824558" w:rsidRDefault="00824558">
      <w:pPr>
        <w:pStyle w:val="Heading3"/>
      </w:pPr>
      <w:r>
        <w:t>Courts</w:t>
      </w:r>
      <w:r>
        <w:tab/>
        <w:t>(2026-27: $894.7 million)</w:t>
      </w:r>
    </w:p>
    <w:p w14:paraId="4B3B3C2F" w14:textId="77777777" w:rsidR="00824558" w:rsidRPr="00FB2004" w:rsidRDefault="00824558">
      <w:r w:rsidRPr="00FB2004">
        <w:t xml:space="preserve">This output </w:t>
      </w:r>
      <w:r w:rsidRPr="001C0F19">
        <w:t>delivers</w:t>
      </w:r>
      <w:r w:rsidRPr="00FB2004">
        <w:t xml:space="preserve"> impartial and independent dispensing of justice across six jurisdictions:</w:t>
      </w:r>
    </w:p>
    <w:p w14:paraId="3A80C2BF" w14:textId="77777777" w:rsidR="00824558" w:rsidRPr="007A4BAA" w:rsidRDefault="00824558">
      <w:pPr>
        <w:pStyle w:val="ListBullet"/>
        <w:tabs>
          <w:tab w:val="clear" w:pos="360"/>
        </w:tabs>
        <w:ind w:left="340" w:hanging="340"/>
      </w:pPr>
      <w:r w:rsidRPr="007A4BAA">
        <w:t>Supreme Court of Victoria</w:t>
      </w:r>
    </w:p>
    <w:p w14:paraId="78BBF3E6" w14:textId="77777777" w:rsidR="00824558" w:rsidRPr="007A4BAA" w:rsidRDefault="00824558">
      <w:pPr>
        <w:pStyle w:val="ListBullet"/>
        <w:tabs>
          <w:tab w:val="clear" w:pos="360"/>
        </w:tabs>
        <w:ind w:left="340" w:hanging="340"/>
      </w:pPr>
      <w:r w:rsidRPr="007A4BAA">
        <w:t>County Court of Victoria</w:t>
      </w:r>
    </w:p>
    <w:p w14:paraId="5D88A894" w14:textId="5B1309E9" w:rsidR="00824558" w:rsidRPr="007A4BAA" w:rsidRDefault="00824558">
      <w:pPr>
        <w:pStyle w:val="ListBullet"/>
        <w:tabs>
          <w:tab w:val="clear" w:pos="360"/>
        </w:tabs>
        <w:ind w:left="340" w:hanging="340"/>
      </w:pPr>
      <w:r w:rsidRPr="007A4BAA">
        <w:t>Magistrates</w:t>
      </w:r>
      <w:r w:rsidR="007942D1">
        <w:t>’</w:t>
      </w:r>
      <w:r w:rsidRPr="007A4BAA">
        <w:t xml:space="preserve"> Court of Victoria</w:t>
      </w:r>
    </w:p>
    <w:p w14:paraId="5EB81081" w14:textId="5CA9835E" w:rsidR="00824558" w:rsidRPr="007A4BAA" w:rsidRDefault="00824558">
      <w:pPr>
        <w:pStyle w:val="ListBullet"/>
        <w:tabs>
          <w:tab w:val="clear" w:pos="360"/>
        </w:tabs>
        <w:ind w:left="340" w:hanging="340"/>
      </w:pPr>
      <w:r w:rsidRPr="007A4BAA">
        <w:t>Children</w:t>
      </w:r>
      <w:r w:rsidR="007942D1">
        <w:t>’</w:t>
      </w:r>
      <w:r w:rsidRPr="007A4BAA">
        <w:t>s Court of Victoria</w:t>
      </w:r>
    </w:p>
    <w:p w14:paraId="565DFD6D" w14:textId="77777777" w:rsidR="00824558" w:rsidRPr="007A4BAA" w:rsidRDefault="00824558">
      <w:pPr>
        <w:pStyle w:val="ListBullet"/>
        <w:tabs>
          <w:tab w:val="clear" w:pos="360"/>
        </w:tabs>
        <w:ind w:left="340" w:hanging="340"/>
      </w:pPr>
      <w:r w:rsidRPr="007A4BAA">
        <w:t>Coroners Court of Victoria</w:t>
      </w:r>
    </w:p>
    <w:p w14:paraId="6ED03342" w14:textId="77777777" w:rsidR="00824558" w:rsidRPr="007A4BAA" w:rsidRDefault="00824558">
      <w:pPr>
        <w:pStyle w:val="ListBullet"/>
        <w:tabs>
          <w:tab w:val="clear" w:pos="360"/>
        </w:tabs>
        <w:ind w:left="340" w:hanging="340"/>
      </w:pPr>
      <w:r w:rsidRPr="007A4BAA">
        <w:t>Victorian Civil and Administrative Tribunal.</w:t>
      </w:r>
    </w:p>
    <w:p w14:paraId="444B6410" w14:textId="77777777" w:rsidR="00824558" w:rsidRPr="00FB2004" w:rsidRDefault="00824558">
      <w:r w:rsidRPr="00FB2004">
        <w:t xml:space="preserve">Other </w:t>
      </w:r>
      <w:r w:rsidRPr="001C0F19">
        <w:t>areas</w:t>
      </w:r>
      <w:r w:rsidRPr="00FB2004">
        <w:t xml:space="preserve"> that contribute to the achievement of this objective include functions that support the operation of each jurisdiction. These include:</w:t>
      </w:r>
    </w:p>
    <w:p w14:paraId="1B4A81AC" w14:textId="77777777" w:rsidR="00824558" w:rsidRPr="007A4BAA" w:rsidRDefault="00824558">
      <w:pPr>
        <w:pStyle w:val="ListBullet"/>
        <w:tabs>
          <w:tab w:val="clear" w:pos="360"/>
        </w:tabs>
        <w:ind w:left="340" w:hanging="340"/>
      </w:pPr>
      <w:r w:rsidRPr="007A4BAA">
        <w:t>corporate and service functions delivered by Court Services Victoria</w:t>
      </w:r>
    </w:p>
    <w:p w14:paraId="145D5E62" w14:textId="77777777" w:rsidR="00824558" w:rsidRPr="007A4BAA" w:rsidRDefault="00824558">
      <w:pPr>
        <w:pStyle w:val="ListBullet"/>
        <w:tabs>
          <w:tab w:val="clear" w:pos="360"/>
        </w:tabs>
        <w:ind w:left="340" w:hanging="340"/>
      </w:pPr>
      <w:r w:rsidRPr="007A4BAA">
        <w:t>criminal recording and transcription services delivered by the Victorian Government Reporting Service</w:t>
      </w:r>
    </w:p>
    <w:p w14:paraId="5CFA803C" w14:textId="77777777" w:rsidR="00824558" w:rsidRPr="007A4BAA" w:rsidRDefault="00824558">
      <w:pPr>
        <w:pStyle w:val="ListBullet"/>
        <w:tabs>
          <w:tab w:val="clear" w:pos="360"/>
        </w:tabs>
        <w:ind w:left="340" w:hanging="340"/>
      </w:pPr>
      <w:r w:rsidRPr="007A4BAA">
        <w:t>judicial training and education delivered by the Judicial College of Victoria</w:t>
      </w:r>
    </w:p>
    <w:p w14:paraId="11166533" w14:textId="5B3D6FE1" w:rsidR="00824558" w:rsidRPr="0082650A" w:rsidRDefault="00824558" w:rsidP="00740245">
      <w:pPr>
        <w:pStyle w:val="ListBullet"/>
        <w:spacing w:after="120"/>
        <w:ind w:left="357" w:hanging="357"/>
      </w:pPr>
      <w:r w:rsidRPr="007A4BAA">
        <w:t>investigative and other functions of the Judicial Commission of Victoria</w:t>
      </w:r>
      <w:r w:rsidR="00740245">
        <w:t>.</w:t>
      </w:r>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824558" w14:paraId="2465EDD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2335227B" w14:textId="77777777" w:rsidR="00824558" w:rsidRDefault="00824558">
            <w:r>
              <w:t>Performance measure</w:t>
            </w:r>
          </w:p>
        </w:tc>
        <w:tc>
          <w:tcPr>
            <w:tcW w:w="964" w:type="dxa"/>
          </w:tcPr>
          <w:p w14:paraId="48789110" w14:textId="77777777" w:rsidR="00824558" w:rsidRDefault="0082455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461FE7C" w14:textId="77777777" w:rsidR="00824558" w:rsidRDefault="0082455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E6CB58F"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3B7E18F9" w14:textId="77777777" w:rsidR="00824558" w:rsidRDefault="0082455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6F90E31E" w14:textId="77777777" w:rsidR="00824558" w:rsidRDefault="00824558">
            <w:pPr>
              <w:cnfStyle w:val="100000000000" w:firstRow="1" w:lastRow="0" w:firstColumn="0" w:lastColumn="0" w:oddVBand="0" w:evenVBand="0" w:oddHBand="0" w:evenHBand="0" w:firstRowFirstColumn="0" w:firstRowLastColumn="0" w:lastRowFirstColumn="0" w:lastRowLastColumn="0"/>
            </w:pPr>
            <w:r>
              <w:t>2024-25 actual</w:t>
            </w:r>
          </w:p>
        </w:tc>
      </w:tr>
      <w:tr w:rsidR="00824558" w:rsidRPr="00171F37" w14:paraId="6DBB592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7562E36A" w14:textId="77777777" w:rsidR="00824558" w:rsidRPr="00171F37" w:rsidRDefault="00824558">
            <w:pPr>
              <w:keepNext/>
              <w:rPr>
                <w:b/>
                <w:bCs/>
                <w:iCs/>
              </w:rPr>
            </w:pPr>
            <w:r w:rsidRPr="00171F37">
              <w:rPr>
                <w:b/>
                <w:bCs/>
                <w:iCs/>
              </w:rPr>
              <w:t>Quantity</w:t>
            </w:r>
          </w:p>
        </w:tc>
      </w:tr>
      <w:tr w:rsidR="00824558" w14:paraId="66F63BC7" w14:textId="77777777">
        <w:tc>
          <w:tcPr>
            <w:cnfStyle w:val="001000000000" w:firstRow="0" w:lastRow="0" w:firstColumn="1" w:lastColumn="0" w:oddVBand="0" w:evenVBand="0" w:oddHBand="0" w:evenHBand="0" w:firstRowFirstColumn="0" w:firstRowLastColumn="0" w:lastRowFirstColumn="0" w:lastRowLastColumn="0"/>
            <w:tcW w:w="4819" w:type="dxa"/>
          </w:tcPr>
          <w:p w14:paraId="47594DB2" w14:textId="4B458304" w:rsidR="00824558" w:rsidRDefault="00824558">
            <w:pPr>
              <w:keepNext/>
              <w:ind w:left="170"/>
            </w:pPr>
            <w:r>
              <w:t>Average cost per case – Civil matters disposed in the County Court</w:t>
            </w:r>
          </w:p>
        </w:tc>
        <w:tc>
          <w:tcPr>
            <w:tcW w:w="964" w:type="dxa"/>
          </w:tcPr>
          <w:p w14:paraId="4806759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3ADADA9B" w14:textId="77777777" w:rsidR="00824558" w:rsidRDefault="00824558">
            <w:pPr>
              <w:cnfStyle w:val="000000000000" w:firstRow="0" w:lastRow="0" w:firstColumn="0" w:lastColumn="0" w:oddVBand="0" w:evenVBand="0" w:oddHBand="0" w:evenHBand="0" w:firstRowFirstColumn="0" w:firstRowLastColumn="0" w:lastRowFirstColumn="0" w:lastRowLastColumn="0"/>
            </w:pPr>
            <w:r>
              <w:t>5 479.9</w:t>
            </w:r>
          </w:p>
        </w:tc>
        <w:tc>
          <w:tcPr>
            <w:tcW w:w="964" w:type="dxa"/>
          </w:tcPr>
          <w:p w14:paraId="79014C97" w14:textId="77777777" w:rsidR="00824558" w:rsidRDefault="00824558">
            <w:pPr>
              <w:cnfStyle w:val="000000000000" w:firstRow="0" w:lastRow="0" w:firstColumn="0" w:lastColumn="0" w:oddVBand="0" w:evenVBand="0" w:oddHBand="0" w:evenHBand="0" w:firstRowFirstColumn="0" w:firstRowLastColumn="0" w:lastRowFirstColumn="0" w:lastRowLastColumn="0"/>
            </w:pPr>
            <w:r>
              <w:t>5 196.4</w:t>
            </w:r>
          </w:p>
        </w:tc>
        <w:tc>
          <w:tcPr>
            <w:tcW w:w="964" w:type="dxa"/>
          </w:tcPr>
          <w:p w14:paraId="41E4265B" w14:textId="77777777" w:rsidR="00824558" w:rsidRDefault="00824558">
            <w:pPr>
              <w:cnfStyle w:val="000000000000" w:firstRow="0" w:lastRow="0" w:firstColumn="0" w:lastColumn="0" w:oddVBand="0" w:evenVBand="0" w:oddHBand="0" w:evenHBand="0" w:firstRowFirstColumn="0" w:firstRowLastColumn="0" w:lastRowFirstColumn="0" w:lastRowLastColumn="0"/>
            </w:pPr>
            <w:r>
              <w:t>5 556.5</w:t>
            </w:r>
          </w:p>
        </w:tc>
        <w:tc>
          <w:tcPr>
            <w:tcW w:w="964" w:type="dxa"/>
          </w:tcPr>
          <w:p w14:paraId="68A0414E" w14:textId="77777777" w:rsidR="00824558" w:rsidRDefault="00824558">
            <w:pPr>
              <w:cnfStyle w:val="000000000000" w:firstRow="0" w:lastRow="0" w:firstColumn="0" w:lastColumn="0" w:oddVBand="0" w:evenVBand="0" w:oddHBand="0" w:evenHBand="0" w:firstRowFirstColumn="0" w:firstRowLastColumn="0" w:lastRowFirstColumn="0" w:lastRowLastColumn="0"/>
            </w:pPr>
            <w:r>
              <w:t>5 251.7</w:t>
            </w:r>
          </w:p>
        </w:tc>
      </w:tr>
      <w:tr w:rsidR="00824558" w14:paraId="18A84F3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F603775" w14:textId="77777777" w:rsidR="00824558" w:rsidRDefault="00824558">
            <w:pPr>
              <w:ind w:left="170"/>
            </w:pPr>
            <w:r>
              <w:rPr>
                <w:i/>
              </w:rPr>
              <w:t>The 2025-26 expected outcome is lower than the 2025-26 target due to several factors including an increase in finalisations through early interventions initiatives like Alternative Dispute Resolution and regular audits by civil registry staff to identify inactive cases.</w:t>
            </w:r>
          </w:p>
          <w:p w14:paraId="793C4823" w14:textId="77777777" w:rsidR="00824558" w:rsidRDefault="00824558">
            <w:pPr>
              <w:ind w:left="170"/>
            </w:pPr>
            <w:r>
              <w:rPr>
                <w:i/>
              </w:rPr>
              <w:t>The lower 2026-27 target reflects an increase in finalisations due to process improvements, early intervention initiatives such as Alternative Dispute Resolution and regular audits to identify inactive cases.</w:t>
            </w:r>
          </w:p>
        </w:tc>
      </w:tr>
      <w:tr w:rsidR="00824558" w14:paraId="43BE7023" w14:textId="77777777">
        <w:tc>
          <w:tcPr>
            <w:cnfStyle w:val="001000000000" w:firstRow="0" w:lastRow="0" w:firstColumn="1" w:lastColumn="0" w:oddVBand="0" w:evenVBand="0" w:oddHBand="0" w:evenHBand="0" w:firstRowFirstColumn="0" w:firstRowLastColumn="0" w:lastRowFirstColumn="0" w:lastRowLastColumn="0"/>
            <w:tcW w:w="4819" w:type="dxa"/>
          </w:tcPr>
          <w:p w14:paraId="0BF4BFFD" w14:textId="19FC0A4A" w:rsidR="00824558" w:rsidRDefault="00824558">
            <w:pPr>
              <w:keepNext/>
              <w:ind w:left="170"/>
            </w:pPr>
            <w:r>
              <w:t>Average cost per case – Civil matters disposed in the Magistrates</w:t>
            </w:r>
            <w:r w:rsidR="007942D1">
              <w:t>’</w:t>
            </w:r>
            <w:r>
              <w:t xml:space="preserve"> Court</w:t>
            </w:r>
          </w:p>
        </w:tc>
        <w:tc>
          <w:tcPr>
            <w:tcW w:w="964" w:type="dxa"/>
          </w:tcPr>
          <w:p w14:paraId="477604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15A34002" w14:textId="77777777" w:rsidR="00824558" w:rsidRDefault="00824558">
            <w:pPr>
              <w:cnfStyle w:val="000000000000" w:firstRow="0" w:lastRow="0" w:firstColumn="0" w:lastColumn="0" w:oddVBand="0" w:evenVBand="0" w:oddHBand="0" w:evenHBand="0" w:firstRowFirstColumn="0" w:firstRowLastColumn="0" w:lastRowFirstColumn="0" w:lastRowLastColumn="0"/>
            </w:pPr>
            <w:r>
              <w:t>2 120.3</w:t>
            </w:r>
          </w:p>
        </w:tc>
        <w:tc>
          <w:tcPr>
            <w:tcW w:w="964" w:type="dxa"/>
          </w:tcPr>
          <w:p w14:paraId="32DB5928" w14:textId="77777777" w:rsidR="00824558" w:rsidRDefault="00824558">
            <w:pPr>
              <w:cnfStyle w:val="000000000000" w:firstRow="0" w:lastRow="0" w:firstColumn="0" w:lastColumn="0" w:oddVBand="0" w:evenVBand="0" w:oddHBand="0" w:evenHBand="0" w:firstRowFirstColumn="0" w:firstRowLastColumn="0" w:lastRowFirstColumn="0" w:lastRowLastColumn="0"/>
            </w:pPr>
            <w:r>
              <w:t>2 022.8</w:t>
            </w:r>
          </w:p>
        </w:tc>
        <w:tc>
          <w:tcPr>
            <w:tcW w:w="964" w:type="dxa"/>
          </w:tcPr>
          <w:p w14:paraId="23F81180"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1 954.8</w:t>
            </w:r>
          </w:p>
        </w:tc>
        <w:tc>
          <w:tcPr>
            <w:tcW w:w="964" w:type="dxa"/>
          </w:tcPr>
          <w:p w14:paraId="7EC4174A"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1 956.4</w:t>
            </w:r>
          </w:p>
        </w:tc>
      </w:tr>
      <w:tr w:rsidR="00824558" w14:paraId="79DC7CD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BE0CB19" w14:textId="77777777" w:rsidR="00824558" w:rsidRDefault="00824558">
            <w:pPr>
              <w:ind w:left="170"/>
            </w:pPr>
            <w:r>
              <w:rPr>
                <w:i/>
              </w:rPr>
              <w:t>The higher 2026-27 target reflects lower finalisations for a temporary period after the Case Management System roll-out for Intervention Orders.</w:t>
            </w:r>
          </w:p>
        </w:tc>
      </w:tr>
      <w:tr w:rsidR="00824558" w14:paraId="6FBB7DC2" w14:textId="77777777">
        <w:tc>
          <w:tcPr>
            <w:cnfStyle w:val="001000000000" w:firstRow="0" w:lastRow="0" w:firstColumn="1" w:lastColumn="0" w:oddVBand="0" w:evenVBand="0" w:oddHBand="0" w:evenHBand="0" w:firstRowFirstColumn="0" w:firstRowLastColumn="0" w:lastRowFirstColumn="0" w:lastRowLastColumn="0"/>
            <w:tcW w:w="4819" w:type="dxa"/>
          </w:tcPr>
          <w:p w14:paraId="1AAEEAA7" w14:textId="179F622D" w:rsidR="00824558" w:rsidRDefault="00824558">
            <w:pPr>
              <w:keepNext/>
              <w:ind w:left="170"/>
            </w:pPr>
            <w:r>
              <w:t>Average cost per case – Civil matters disposed in the Supreme Court</w:t>
            </w:r>
          </w:p>
        </w:tc>
        <w:tc>
          <w:tcPr>
            <w:tcW w:w="964" w:type="dxa"/>
          </w:tcPr>
          <w:p w14:paraId="436CBD5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3DA8A70B" w14:textId="77777777" w:rsidR="00824558" w:rsidRDefault="00824558">
            <w:pPr>
              <w:cnfStyle w:val="000000000000" w:firstRow="0" w:lastRow="0" w:firstColumn="0" w:lastColumn="0" w:oddVBand="0" w:evenVBand="0" w:oddHBand="0" w:evenHBand="0" w:firstRowFirstColumn="0" w:firstRowLastColumn="0" w:lastRowFirstColumn="0" w:lastRowLastColumn="0"/>
            </w:pPr>
            <w:r>
              <w:t>2 692.3</w:t>
            </w:r>
          </w:p>
        </w:tc>
        <w:tc>
          <w:tcPr>
            <w:tcW w:w="964" w:type="dxa"/>
          </w:tcPr>
          <w:p w14:paraId="0A1D352E" w14:textId="77777777" w:rsidR="00824558" w:rsidRDefault="00824558">
            <w:pPr>
              <w:cnfStyle w:val="000000000000" w:firstRow="0" w:lastRow="0" w:firstColumn="0" w:lastColumn="0" w:oddVBand="0" w:evenVBand="0" w:oddHBand="0" w:evenHBand="0" w:firstRowFirstColumn="0" w:firstRowLastColumn="0" w:lastRowFirstColumn="0" w:lastRowLastColumn="0"/>
            </w:pPr>
            <w:r>
              <w:t>2 654.5</w:t>
            </w:r>
          </w:p>
        </w:tc>
        <w:tc>
          <w:tcPr>
            <w:tcW w:w="964" w:type="dxa"/>
          </w:tcPr>
          <w:p w14:paraId="1D8DD392" w14:textId="77777777" w:rsidR="00824558" w:rsidRDefault="00824558">
            <w:pPr>
              <w:cnfStyle w:val="000000000000" w:firstRow="0" w:lastRow="0" w:firstColumn="0" w:lastColumn="0" w:oddVBand="0" w:evenVBand="0" w:oddHBand="0" w:evenHBand="0" w:firstRowFirstColumn="0" w:firstRowLastColumn="0" w:lastRowFirstColumn="0" w:lastRowLastColumn="0"/>
            </w:pPr>
            <w:r>
              <w:t>2 738.5</w:t>
            </w:r>
          </w:p>
        </w:tc>
        <w:tc>
          <w:tcPr>
            <w:tcW w:w="964" w:type="dxa"/>
          </w:tcPr>
          <w:p w14:paraId="64FA41CF" w14:textId="77777777" w:rsidR="00824558" w:rsidRDefault="00824558">
            <w:pPr>
              <w:cnfStyle w:val="000000000000" w:firstRow="0" w:lastRow="0" w:firstColumn="0" w:lastColumn="0" w:oddVBand="0" w:evenVBand="0" w:oddHBand="0" w:evenHBand="0" w:firstRowFirstColumn="0" w:firstRowLastColumn="0" w:lastRowFirstColumn="0" w:lastRowLastColumn="0"/>
            </w:pPr>
            <w:r>
              <w:t>2 788.7</w:t>
            </w:r>
          </w:p>
        </w:tc>
      </w:tr>
      <w:tr w:rsidR="00824558" w14:paraId="2065D64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6D47A55" w14:textId="77777777" w:rsidR="00824558" w:rsidRDefault="00824558">
            <w:pPr>
              <w:ind w:left="170"/>
            </w:pPr>
            <w:r>
              <w:rPr>
                <w:i/>
              </w:rPr>
              <w:t xml:space="preserve">The lower 2026-27 target reflects higher finalisations due to an increase in matters. </w:t>
            </w:r>
          </w:p>
        </w:tc>
      </w:tr>
      <w:tr w:rsidR="00824558" w14:paraId="2EADB8C9" w14:textId="77777777" w:rsidTr="00881479">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7DDA8C54" w14:textId="5886284C" w:rsidR="00824558" w:rsidRDefault="00824558">
            <w:pPr>
              <w:keepNext/>
              <w:ind w:left="170"/>
            </w:pPr>
            <w:r>
              <w:t>Average cost per case – Civil matters disposed in the Victorian Civil and Administrative Tribunal</w:t>
            </w:r>
          </w:p>
        </w:tc>
        <w:tc>
          <w:tcPr>
            <w:tcW w:w="964" w:type="dxa"/>
            <w:tcBorders>
              <w:bottom w:val="nil"/>
            </w:tcBorders>
          </w:tcPr>
          <w:p w14:paraId="44465C3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tcBorders>
              <w:bottom w:val="nil"/>
            </w:tcBorders>
            <w:shd w:val="clear" w:color="auto" w:fill="F0F0F0"/>
          </w:tcPr>
          <w:p w14:paraId="5A4D7563" w14:textId="77777777" w:rsidR="00824558" w:rsidRDefault="00824558">
            <w:pPr>
              <w:cnfStyle w:val="000000000000" w:firstRow="0" w:lastRow="0" w:firstColumn="0" w:lastColumn="0" w:oddVBand="0" w:evenVBand="0" w:oddHBand="0" w:evenHBand="0" w:firstRowFirstColumn="0" w:firstRowLastColumn="0" w:lastRowFirstColumn="0" w:lastRowLastColumn="0"/>
            </w:pPr>
            <w:r>
              <w:t>1 076.2</w:t>
            </w:r>
          </w:p>
        </w:tc>
        <w:tc>
          <w:tcPr>
            <w:tcW w:w="964" w:type="dxa"/>
            <w:tcBorders>
              <w:bottom w:val="nil"/>
            </w:tcBorders>
          </w:tcPr>
          <w:p w14:paraId="689D4003" w14:textId="77777777" w:rsidR="00824558" w:rsidRDefault="00824558">
            <w:pPr>
              <w:cnfStyle w:val="000000000000" w:firstRow="0" w:lastRow="0" w:firstColumn="0" w:lastColumn="0" w:oddVBand="0" w:evenVBand="0" w:oddHBand="0" w:evenHBand="0" w:firstRowFirstColumn="0" w:firstRowLastColumn="0" w:lastRowFirstColumn="0" w:lastRowLastColumn="0"/>
            </w:pPr>
            <w:r>
              <w:t>1 625</w:t>
            </w:r>
          </w:p>
        </w:tc>
        <w:tc>
          <w:tcPr>
            <w:tcW w:w="964" w:type="dxa"/>
            <w:tcBorders>
              <w:bottom w:val="nil"/>
            </w:tcBorders>
          </w:tcPr>
          <w:p w14:paraId="73ADA640" w14:textId="77777777" w:rsidR="00824558" w:rsidRDefault="00824558">
            <w:pPr>
              <w:cnfStyle w:val="000000000000" w:firstRow="0" w:lastRow="0" w:firstColumn="0" w:lastColumn="0" w:oddVBand="0" w:evenVBand="0" w:oddHBand="0" w:evenHBand="0" w:firstRowFirstColumn="0" w:firstRowLastColumn="0" w:lastRowFirstColumn="0" w:lastRowLastColumn="0"/>
            </w:pPr>
            <w:r>
              <w:t>1 231.7</w:t>
            </w:r>
          </w:p>
        </w:tc>
        <w:tc>
          <w:tcPr>
            <w:tcW w:w="964" w:type="dxa"/>
            <w:tcBorders>
              <w:bottom w:val="nil"/>
            </w:tcBorders>
          </w:tcPr>
          <w:p w14:paraId="67CFEC6B" w14:textId="77777777" w:rsidR="00824558" w:rsidRDefault="00824558">
            <w:pPr>
              <w:cnfStyle w:val="000000000000" w:firstRow="0" w:lastRow="0" w:firstColumn="0" w:lastColumn="0" w:oddVBand="0" w:evenVBand="0" w:oddHBand="0" w:evenHBand="0" w:firstRowFirstColumn="0" w:firstRowLastColumn="0" w:lastRowFirstColumn="0" w:lastRowLastColumn="0"/>
            </w:pPr>
            <w:r>
              <w:t>1 605.6</w:t>
            </w:r>
          </w:p>
        </w:tc>
      </w:tr>
      <w:tr w:rsidR="00824558" w14:paraId="09D479B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996D0C8" w14:textId="77777777" w:rsidR="00824558" w:rsidRDefault="00824558">
            <w:pPr>
              <w:ind w:left="170"/>
            </w:pPr>
            <w:r>
              <w:rPr>
                <w:i/>
              </w:rPr>
              <w:t xml:space="preserve">The 2025-26 expected outcome is higher than the 2025-26 target primarily due to the continued implementation of Residential Dispute Resolution Victoria (RDRV) and initiatives such as Business Continuity and case management practice initiatives. The lower 2026-27 target reflects the cessation of RDRV establishment funding. </w:t>
            </w:r>
          </w:p>
        </w:tc>
      </w:tr>
      <w:tr w:rsidR="00824558" w14:paraId="2E3CD8FD" w14:textId="77777777" w:rsidTr="00881479">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nil"/>
            </w:tcBorders>
          </w:tcPr>
          <w:p w14:paraId="374E8BB8" w14:textId="2DC4BE2F" w:rsidR="00824558" w:rsidRDefault="00824558">
            <w:pPr>
              <w:keepNext/>
              <w:ind w:left="170"/>
            </w:pPr>
            <w:r>
              <w:t>Average cost per case – Coronial matters disposed in the Coroners Court</w:t>
            </w:r>
          </w:p>
        </w:tc>
        <w:tc>
          <w:tcPr>
            <w:tcW w:w="964" w:type="dxa"/>
            <w:tcBorders>
              <w:top w:val="single" w:sz="6" w:space="0" w:color="auto"/>
              <w:bottom w:val="nil"/>
            </w:tcBorders>
          </w:tcPr>
          <w:p w14:paraId="5B52DFB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tcBorders>
              <w:top w:val="single" w:sz="6" w:space="0" w:color="auto"/>
              <w:bottom w:val="nil"/>
            </w:tcBorders>
            <w:shd w:val="clear" w:color="auto" w:fill="F0F0F0"/>
          </w:tcPr>
          <w:p w14:paraId="155C7EF1" w14:textId="77777777" w:rsidR="00824558" w:rsidRDefault="00824558">
            <w:pPr>
              <w:cnfStyle w:val="000000000000" w:firstRow="0" w:lastRow="0" w:firstColumn="0" w:lastColumn="0" w:oddVBand="0" w:evenVBand="0" w:oddHBand="0" w:evenHBand="0" w:firstRowFirstColumn="0" w:firstRowLastColumn="0" w:lastRowFirstColumn="0" w:lastRowLastColumn="0"/>
            </w:pPr>
            <w:r>
              <w:t>4 431.9</w:t>
            </w:r>
          </w:p>
        </w:tc>
        <w:tc>
          <w:tcPr>
            <w:tcW w:w="964" w:type="dxa"/>
            <w:tcBorders>
              <w:top w:val="single" w:sz="6" w:space="0" w:color="auto"/>
              <w:bottom w:val="nil"/>
            </w:tcBorders>
          </w:tcPr>
          <w:p w14:paraId="187E9DC6" w14:textId="77777777" w:rsidR="00824558" w:rsidRDefault="00824558">
            <w:pPr>
              <w:cnfStyle w:val="000000000000" w:firstRow="0" w:lastRow="0" w:firstColumn="0" w:lastColumn="0" w:oddVBand="0" w:evenVBand="0" w:oddHBand="0" w:evenHBand="0" w:firstRowFirstColumn="0" w:firstRowLastColumn="0" w:lastRowFirstColumn="0" w:lastRowLastColumn="0"/>
            </w:pPr>
            <w:r>
              <w:t>4 612.8</w:t>
            </w:r>
          </w:p>
        </w:tc>
        <w:tc>
          <w:tcPr>
            <w:tcW w:w="964" w:type="dxa"/>
            <w:tcBorders>
              <w:top w:val="single" w:sz="6" w:space="0" w:color="auto"/>
              <w:bottom w:val="nil"/>
            </w:tcBorders>
          </w:tcPr>
          <w:p w14:paraId="4C776D93" w14:textId="77777777" w:rsidR="00824558" w:rsidRDefault="00824558">
            <w:pPr>
              <w:cnfStyle w:val="000000000000" w:firstRow="0" w:lastRow="0" w:firstColumn="0" w:lastColumn="0" w:oddVBand="0" w:evenVBand="0" w:oddHBand="0" w:evenHBand="0" w:firstRowFirstColumn="0" w:firstRowLastColumn="0" w:lastRowFirstColumn="0" w:lastRowLastColumn="0"/>
            </w:pPr>
            <w:r>
              <w:t>4 186.7</w:t>
            </w:r>
          </w:p>
        </w:tc>
        <w:tc>
          <w:tcPr>
            <w:tcW w:w="964" w:type="dxa"/>
            <w:tcBorders>
              <w:top w:val="single" w:sz="6" w:space="0" w:color="auto"/>
              <w:bottom w:val="nil"/>
            </w:tcBorders>
          </w:tcPr>
          <w:p w14:paraId="1CB38688" w14:textId="77777777" w:rsidR="00824558" w:rsidRDefault="00824558">
            <w:pPr>
              <w:cnfStyle w:val="000000000000" w:firstRow="0" w:lastRow="0" w:firstColumn="0" w:lastColumn="0" w:oddVBand="0" w:evenVBand="0" w:oddHBand="0" w:evenHBand="0" w:firstRowFirstColumn="0" w:firstRowLastColumn="0" w:lastRowFirstColumn="0" w:lastRowLastColumn="0"/>
            </w:pPr>
            <w:r>
              <w:t>4 508.1</w:t>
            </w:r>
          </w:p>
        </w:tc>
      </w:tr>
      <w:tr w:rsidR="00824558" w14:paraId="3AD405D5" w14:textId="77777777" w:rsidTr="00881479">
        <w:tc>
          <w:tcPr>
            <w:cnfStyle w:val="001000000000" w:firstRow="0" w:lastRow="0" w:firstColumn="1" w:lastColumn="0" w:oddVBand="0" w:evenVBand="0" w:oddHBand="0" w:evenHBand="0" w:firstRowFirstColumn="0" w:firstRowLastColumn="0" w:lastRowFirstColumn="0" w:lastRowLastColumn="0"/>
            <w:tcW w:w="9639" w:type="dxa"/>
            <w:gridSpan w:val="6"/>
            <w:tcBorders>
              <w:top w:val="nil"/>
              <w:bottom w:val="single" w:sz="6" w:space="0" w:color="auto"/>
            </w:tcBorders>
          </w:tcPr>
          <w:p w14:paraId="6F5D239F" w14:textId="77777777" w:rsidR="00824558" w:rsidRDefault="00824558" w:rsidP="00171F37">
            <w:pPr>
              <w:keepNext/>
              <w:ind w:left="170"/>
              <w:rPr>
                <w:i/>
                <w:iCs/>
              </w:rPr>
            </w:pPr>
            <w:r w:rsidRPr="3AE9CA8B">
              <w:rPr>
                <w:i/>
                <w:iCs/>
              </w:rPr>
              <w:t>The</w:t>
            </w:r>
            <w:r>
              <w:rPr>
                <w:i/>
                <w:iCs/>
              </w:rPr>
              <w:t xml:space="preserve"> 2025-26 expected outcome is higher than the 2025-26 target </w:t>
            </w:r>
            <w:r w:rsidRPr="3AE9CA8B">
              <w:rPr>
                <w:i/>
                <w:iCs/>
              </w:rPr>
              <w:t>due to new initiatives and indexation.</w:t>
            </w:r>
          </w:p>
          <w:p w14:paraId="632C7010" w14:textId="77777777" w:rsidR="00824558" w:rsidRDefault="00824558">
            <w:pPr>
              <w:ind w:left="170"/>
            </w:pPr>
            <w:r>
              <w:rPr>
                <w:i/>
              </w:rPr>
              <w:t>The higher 2026-27 target reflects an increase in expenditure due to indexation and administrative expenses.</w:t>
            </w:r>
          </w:p>
        </w:tc>
      </w:tr>
      <w:tr w:rsidR="00824558" w14:paraId="778827B6" w14:textId="77777777">
        <w:tc>
          <w:tcPr>
            <w:cnfStyle w:val="001000000000" w:firstRow="0" w:lastRow="0" w:firstColumn="1" w:lastColumn="0" w:oddVBand="0" w:evenVBand="0" w:oddHBand="0" w:evenHBand="0" w:firstRowFirstColumn="0" w:firstRowLastColumn="0" w:lastRowFirstColumn="0" w:lastRowLastColumn="0"/>
            <w:tcW w:w="4819" w:type="dxa"/>
          </w:tcPr>
          <w:p w14:paraId="72F0850E" w14:textId="6AF5579C" w:rsidR="00824558" w:rsidRDefault="00824558">
            <w:pPr>
              <w:keepNext/>
              <w:ind w:left="170"/>
            </w:pPr>
            <w:r>
              <w:t>Average cost per case – Criminal matters disposed in the Children</w:t>
            </w:r>
            <w:r w:rsidR="007942D1">
              <w:t>’</w:t>
            </w:r>
            <w:r>
              <w:t>s Court</w:t>
            </w:r>
          </w:p>
        </w:tc>
        <w:tc>
          <w:tcPr>
            <w:tcW w:w="964" w:type="dxa"/>
          </w:tcPr>
          <w:p w14:paraId="102D71A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3A6D1DF5" w14:textId="77777777" w:rsidR="00824558" w:rsidRDefault="00824558">
            <w:pPr>
              <w:cnfStyle w:val="000000000000" w:firstRow="0" w:lastRow="0" w:firstColumn="0" w:lastColumn="0" w:oddVBand="0" w:evenVBand="0" w:oddHBand="0" w:evenHBand="0" w:firstRowFirstColumn="0" w:firstRowLastColumn="0" w:lastRowFirstColumn="0" w:lastRowLastColumn="0"/>
            </w:pPr>
            <w:r>
              <w:t>1 160.4</w:t>
            </w:r>
          </w:p>
        </w:tc>
        <w:tc>
          <w:tcPr>
            <w:tcW w:w="964" w:type="dxa"/>
          </w:tcPr>
          <w:p w14:paraId="07230C23" w14:textId="77777777" w:rsidR="00824558" w:rsidRDefault="00824558">
            <w:pPr>
              <w:cnfStyle w:val="000000000000" w:firstRow="0" w:lastRow="0" w:firstColumn="0" w:lastColumn="0" w:oddVBand="0" w:evenVBand="0" w:oddHBand="0" w:evenHBand="0" w:firstRowFirstColumn="0" w:firstRowLastColumn="0" w:lastRowFirstColumn="0" w:lastRowLastColumn="0"/>
            </w:pPr>
            <w:r>
              <w:t>990.7</w:t>
            </w:r>
          </w:p>
        </w:tc>
        <w:tc>
          <w:tcPr>
            <w:tcW w:w="964" w:type="dxa"/>
          </w:tcPr>
          <w:p w14:paraId="66953CCE" w14:textId="77777777" w:rsidR="00824558" w:rsidRDefault="00824558">
            <w:pPr>
              <w:cnfStyle w:val="000000000000" w:firstRow="0" w:lastRow="0" w:firstColumn="0" w:lastColumn="0" w:oddVBand="0" w:evenVBand="0" w:oddHBand="0" w:evenHBand="0" w:firstRowFirstColumn="0" w:firstRowLastColumn="0" w:lastRowFirstColumn="0" w:lastRowLastColumn="0"/>
            </w:pPr>
            <w:r>
              <w:t>818.4</w:t>
            </w:r>
          </w:p>
        </w:tc>
        <w:tc>
          <w:tcPr>
            <w:tcW w:w="964" w:type="dxa"/>
          </w:tcPr>
          <w:p w14:paraId="064A9D7B" w14:textId="77777777" w:rsidR="00824558" w:rsidRDefault="00824558">
            <w:pPr>
              <w:cnfStyle w:val="000000000000" w:firstRow="0" w:lastRow="0" w:firstColumn="0" w:lastColumn="0" w:oddVBand="0" w:evenVBand="0" w:oddHBand="0" w:evenHBand="0" w:firstRowFirstColumn="0" w:firstRowLastColumn="0" w:lastRowFirstColumn="0" w:lastRowLastColumn="0"/>
            </w:pPr>
            <w:r>
              <w:t>878.6</w:t>
            </w:r>
          </w:p>
        </w:tc>
      </w:tr>
      <w:tr w:rsidR="00824558" w14:paraId="74A2B21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D685B84" w14:textId="77777777" w:rsidR="00824558" w:rsidRDefault="00824558">
            <w:pPr>
              <w:ind w:left="170"/>
            </w:pPr>
            <w:r>
              <w:rPr>
                <w:i/>
              </w:rPr>
              <w:t xml:space="preserve">The </w:t>
            </w:r>
            <w:r>
              <w:rPr>
                <w:i/>
                <w:iCs/>
              </w:rPr>
              <w:t>2025-26 expected outcome is higher than the 2025-26 target</w:t>
            </w:r>
            <w:r>
              <w:rPr>
                <w:i/>
              </w:rPr>
              <w:t xml:space="preserve"> due to an increase in expenditure arising from new funding, including for new law courts at Wyndham and bail reform.</w:t>
            </w:r>
          </w:p>
          <w:p w14:paraId="678BAE18" w14:textId="77777777" w:rsidR="00824558" w:rsidRDefault="00824558">
            <w:pPr>
              <w:ind w:left="170"/>
            </w:pPr>
            <w:r>
              <w:rPr>
                <w:i/>
              </w:rPr>
              <w:t>The higher 2026-27 target is mainly due to new program funding including for Law Courts at Wyndham, Bail Reform, and Adult Time for Violent Crime reform.</w:t>
            </w:r>
          </w:p>
        </w:tc>
      </w:tr>
      <w:tr w:rsidR="00824558" w14:paraId="3F3F982B" w14:textId="77777777">
        <w:tc>
          <w:tcPr>
            <w:cnfStyle w:val="001000000000" w:firstRow="0" w:lastRow="0" w:firstColumn="1" w:lastColumn="0" w:oddVBand="0" w:evenVBand="0" w:oddHBand="0" w:evenHBand="0" w:firstRowFirstColumn="0" w:firstRowLastColumn="0" w:lastRowFirstColumn="0" w:lastRowLastColumn="0"/>
            <w:tcW w:w="4819" w:type="dxa"/>
          </w:tcPr>
          <w:p w14:paraId="20965733" w14:textId="52385BC6" w:rsidR="00824558" w:rsidRDefault="00824558">
            <w:pPr>
              <w:keepNext/>
              <w:ind w:left="170"/>
            </w:pPr>
            <w:r>
              <w:t>Average cost per case – Criminal matters disposed in the County Court</w:t>
            </w:r>
          </w:p>
        </w:tc>
        <w:tc>
          <w:tcPr>
            <w:tcW w:w="964" w:type="dxa"/>
          </w:tcPr>
          <w:p w14:paraId="429C005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75C5E803" w14:textId="77777777" w:rsidR="00824558" w:rsidRDefault="00824558">
            <w:pPr>
              <w:cnfStyle w:val="000000000000" w:firstRow="0" w:lastRow="0" w:firstColumn="0" w:lastColumn="0" w:oddVBand="0" w:evenVBand="0" w:oddHBand="0" w:evenHBand="0" w:firstRowFirstColumn="0" w:firstRowLastColumn="0" w:lastRowFirstColumn="0" w:lastRowLastColumn="0"/>
            </w:pPr>
            <w:r>
              <w:t>30 231.3</w:t>
            </w:r>
          </w:p>
        </w:tc>
        <w:tc>
          <w:tcPr>
            <w:tcW w:w="964" w:type="dxa"/>
          </w:tcPr>
          <w:p w14:paraId="4462B632" w14:textId="77777777" w:rsidR="00824558" w:rsidRDefault="00824558">
            <w:pPr>
              <w:cnfStyle w:val="000000000000" w:firstRow="0" w:lastRow="0" w:firstColumn="0" w:lastColumn="0" w:oddVBand="0" w:evenVBand="0" w:oddHBand="0" w:evenHBand="0" w:firstRowFirstColumn="0" w:firstRowLastColumn="0" w:lastRowFirstColumn="0" w:lastRowLastColumn="0"/>
            </w:pPr>
            <w:r>
              <w:t>28 667.1</w:t>
            </w:r>
          </w:p>
        </w:tc>
        <w:tc>
          <w:tcPr>
            <w:tcW w:w="964" w:type="dxa"/>
          </w:tcPr>
          <w:p w14:paraId="19F486CA" w14:textId="77777777" w:rsidR="00824558" w:rsidRDefault="00824558">
            <w:pPr>
              <w:cnfStyle w:val="000000000000" w:firstRow="0" w:lastRow="0" w:firstColumn="0" w:lastColumn="0" w:oddVBand="0" w:evenVBand="0" w:oddHBand="0" w:evenHBand="0" w:firstRowFirstColumn="0" w:firstRowLastColumn="0" w:lastRowFirstColumn="0" w:lastRowLastColumn="0"/>
            </w:pPr>
            <w:r>
              <w:t>28 893.8</w:t>
            </w:r>
          </w:p>
        </w:tc>
        <w:tc>
          <w:tcPr>
            <w:tcW w:w="964" w:type="dxa"/>
          </w:tcPr>
          <w:p w14:paraId="54E3B911" w14:textId="77777777" w:rsidR="00824558" w:rsidRDefault="00824558">
            <w:pPr>
              <w:cnfStyle w:val="000000000000" w:firstRow="0" w:lastRow="0" w:firstColumn="0" w:lastColumn="0" w:oddVBand="0" w:evenVBand="0" w:oddHBand="0" w:evenHBand="0" w:firstRowFirstColumn="0" w:firstRowLastColumn="0" w:lastRowFirstColumn="0" w:lastRowLastColumn="0"/>
            </w:pPr>
            <w:r>
              <w:t>27 074.1</w:t>
            </w:r>
          </w:p>
        </w:tc>
      </w:tr>
      <w:tr w:rsidR="00824558" w14:paraId="51BF7F2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5BD7F0B" w14:textId="1B14B09F" w:rsidR="00824558" w:rsidRDefault="00824558">
            <w:pPr>
              <w:ind w:left="170"/>
            </w:pPr>
            <w:r>
              <w:rPr>
                <w:i/>
              </w:rPr>
              <w:t xml:space="preserve">The higher 2026-27 target reflects an increase in expenditure due to indexation and funding for new initiatives in the </w:t>
            </w:r>
            <w:r w:rsidRPr="00BE08F1">
              <w:t xml:space="preserve">2026-27 </w:t>
            </w:r>
            <w:r w:rsidR="009B0419" w:rsidRPr="00BE08F1">
              <w:rPr>
                <w:iCs/>
              </w:rPr>
              <w:t>B</w:t>
            </w:r>
            <w:r w:rsidRPr="00BE08F1">
              <w:t>udget</w:t>
            </w:r>
            <w:r>
              <w:rPr>
                <w:i/>
              </w:rPr>
              <w:t>.</w:t>
            </w:r>
          </w:p>
        </w:tc>
      </w:tr>
      <w:tr w:rsidR="00824558" w14:paraId="51C8CB4E" w14:textId="77777777">
        <w:tc>
          <w:tcPr>
            <w:cnfStyle w:val="001000000000" w:firstRow="0" w:lastRow="0" w:firstColumn="1" w:lastColumn="0" w:oddVBand="0" w:evenVBand="0" w:oddHBand="0" w:evenHBand="0" w:firstRowFirstColumn="0" w:firstRowLastColumn="0" w:lastRowFirstColumn="0" w:lastRowLastColumn="0"/>
            <w:tcW w:w="4819" w:type="dxa"/>
          </w:tcPr>
          <w:p w14:paraId="3A7E7AF9" w14:textId="5F2EB867" w:rsidR="00824558" w:rsidRDefault="00824558">
            <w:pPr>
              <w:keepNext/>
              <w:ind w:left="170"/>
            </w:pPr>
            <w:r>
              <w:t>Average cost per case – Criminal matters disposed in the Magistrates</w:t>
            </w:r>
            <w:r w:rsidR="007942D1">
              <w:t>’</w:t>
            </w:r>
            <w:r>
              <w:t xml:space="preserve"> Court</w:t>
            </w:r>
          </w:p>
        </w:tc>
        <w:tc>
          <w:tcPr>
            <w:tcW w:w="964" w:type="dxa"/>
          </w:tcPr>
          <w:p w14:paraId="214080F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429F7943" w14:textId="77777777" w:rsidR="00824558" w:rsidRDefault="00824558">
            <w:pPr>
              <w:cnfStyle w:val="000000000000" w:firstRow="0" w:lastRow="0" w:firstColumn="0" w:lastColumn="0" w:oddVBand="0" w:evenVBand="0" w:oddHBand="0" w:evenHBand="0" w:firstRowFirstColumn="0" w:firstRowLastColumn="0" w:lastRowFirstColumn="0" w:lastRowLastColumn="0"/>
            </w:pPr>
            <w:r>
              <w:t>2 174.4</w:t>
            </w:r>
          </w:p>
        </w:tc>
        <w:tc>
          <w:tcPr>
            <w:tcW w:w="964" w:type="dxa"/>
          </w:tcPr>
          <w:p w14:paraId="7AFBE5C3" w14:textId="77777777" w:rsidR="00824558" w:rsidRDefault="00824558">
            <w:pPr>
              <w:cnfStyle w:val="000000000000" w:firstRow="0" w:lastRow="0" w:firstColumn="0" w:lastColumn="0" w:oddVBand="0" w:evenVBand="0" w:oddHBand="0" w:evenHBand="0" w:firstRowFirstColumn="0" w:firstRowLastColumn="0" w:lastRowFirstColumn="0" w:lastRowLastColumn="0"/>
            </w:pPr>
            <w:r>
              <w:t>1 989.1</w:t>
            </w:r>
          </w:p>
        </w:tc>
        <w:tc>
          <w:tcPr>
            <w:tcW w:w="964" w:type="dxa"/>
          </w:tcPr>
          <w:p w14:paraId="2CAA75A8" w14:textId="77777777" w:rsidR="00824558" w:rsidRDefault="00824558">
            <w:pPr>
              <w:cnfStyle w:val="000000000000" w:firstRow="0" w:lastRow="0" w:firstColumn="0" w:lastColumn="0" w:oddVBand="0" w:evenVBand="0" w:oddHBand="0" w:evenHBand="0" w:firstRowFirstColumn="0" w:firstRowLastColumn="0" w:lastRowFirstColumn="0" w:lastRowLastColumn="0"/>
            </w:pPr>
            <w:r>
              <w:t>1 954.8</w:t>
            </w:r>
          </w:p>
        </w:tc>
        <w:tc>
          <w:tcPr>
            <w:tcW w:w="964" w:type="dxa"/>
          </w:tcPr>
          <w:p w14:paraId="227085C6" w14:textId="77777777" w:rsidR="00824558" w:rsidRDefault="00824558">
            <w:pPr>
              <w:cnfStyle w:val="000000000000" w:firstRow="0" w:lastRow="0" w:firstColumn="0" w:lastColumn="0" w:oddVBand="0" w:evenVBand="0" w:oddHBand="0" w:evenHBand="0" w:firstRowFirstColumn="0" w:firstRowLastColumn="0" w:lastRowFirstColumn="0" w:lastRowLastColumn="0"/>
            </w:pPr>
            <w:r>
              <w:t>1 949.6</w:t>
            </w:r>
          </w:p>
        </w:tc>
      </w:tr>
      <w:tr w:rsidR="00824558" w14:paraId="00FA554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F2C4907" w14:textId="77777777" w:rsidR="00824558" w:rsidRDefault="00824558">
            <w:pPr>
              <w:ind w:left="170"/>
            </w:pPr>
            <w:r>
              <w:rPr>
                <w:i/>
              </w:rPr>
              <w:t>The higher 2026-27 target is due to an increase in the proportion of resources allocated to the criminal division, new program funding provided as part of Bail Reform and indexation.</w:t>
            </w:r>
          </w:p>
        </w:tc>
      </w:tr>
      <w:tr w:rsidR="00824558" w14:paraId="57F19193" w14:textId="77777777">
        <w:tc>
          <w:tcPr>
            <w:cnfStyle w:val="001000000000" w:firstRow="0" w:lastRow="0" w:firstColumn="1" w:lastColumn="0" w:oddVBand="0" w:evenVBand="0" w:oddHBand="0" w:evenHBand="0" w:firstRowFirstColumn="0" w:firstRowLastColumn="0" w:lastRowFirstColumn="0" w:lastRowLastColumn="0"/>
            <w:tcW w:w="4819" w:type="dxa"/>
          </w:tcPr>
          <w:p w14:paraId="1EA6666D" w14:textId="56592BCA" w:rsidR="00824558" w:rsidRDefault="00824558">
            <w:pPr>
              <w:keepNext/>
              <w:ind w:left="170"/>
            </w:pPr>
            <w:r>
              <w:t>Average cost per case – Criminal matters disposed in the Supreme Court</w:t>
            </w:r>
          </w:p>
        </w:tc>
        <w:tc>
          <w:tcPr>
            <w:tcW w:w="964" w:type="dxa"/>
          </w:tcPr>
          <w:p w14:paraId="70B4311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4BCB8433" w14:textId="77777777" w:rsidR="00824558" w:rsidRDefault="00824558">
            <w:pPr>
              <w:cnfStyle w:val="000000000000" w:firstRow="0" w:lastRow="0" w:firstColumn="0" w:lastColumn="0" w:oddVBand="0" w:evenVBand="0" w:oddHBand="0" w:evenHBand="0" w:firstRowFirstColumn="0" w:firstRowLastColumn="0" w:lastRowFirstColumn="0" w:lastRowLastColumn="0"/>
            </w:pPr>
            <w:r>
              <w:t>36 993.4</w:t>
            </w:r>
          </w:p>
        </w:tc>
        <w:tc>
          <w:tcPr>
            <w:tcW w:w="964" w:type="dxa"/>
          </w:tcPr>
          <w:p w14:paraId="599B761D" w14:textId="77777777" w:rsidR="00824558" w:rsidRDefault="00824558">
            <w:pPr>
              <w:cnfStyle w:val="000000000000" w:firstRow="0" w:lastRow="0" w:firstColumn="0" w:lastColumn="0" w:oddVBand="0" w:evenVBand="0" w:oddHBand="0" w:evenHBand="0" w:firstRowFirstColumn="0" w:firstRowLastColumn="0" w:lastRowFirstColumn="0" w:lastRowLastColumn="0"/>
            </w:pPr>
            <w:r>
              <w:t>36 473.2</w:t>
            </w:r>
          </w:p>
        </w:tc>
        <w:tc>
          <w:tcPr>
            <w:tcW w:w="964" w:type="dxa"/>
          </w:tcPr>
          <w:p w14:paraId="3C0F0B5B" w14:textId="77777777" w:rsidR="00824558" w:rsidRDefault="00824558">
            <w:pPr>
              <w:cnfStyle w:val="000000000000" w:firstRow="0" w:lastRow="0" w:firstColumn="0" w:lastColumn="0" w:oddVBand="0" w:evenVBand="0" w:oddHBand="0" w:evenHBand="0" w:firstRowFirstColumn="0" w:firstRowLastColumn="0" w:lastRowFirstColumn="0" w:lastRowLastColumn="0"/>
            </w:pPr>
            <w:r>
              <w:t>42 157.7</w:t>
            </w:r>
          </w:p>
        </w:tc>
        <w:tc>
          <w:tcPr>
            <w:tcW w:w="964" w:type="dxa"/>
          </w:tcPr>
          <w:p w14:paraId="28336D37" w14:textId="77777777" w:rsidR="00824558" w:rsidRDefault="00824558">
            <w:pPr>
              <w:cnfStyle w:val="000000000000" w:firstRow="0" w:lastRow="0" w:firstColumn="0" w:lastColumn="0" w:oddVBand="0" w:evenVBand="0" w:oddHBand="0" w:evenHBand="0" w:firstRowFirstColumn="0" w:firstRowLastColumn="0" w:lastRowFirstColumn="0" w:lastRowLastColumn="0"/>
            </w:pPr>
            <w:r>
              <w:t>42 152</w:t>
            </w:r>
          </w:p>
        </w:tc>
      </w:tr>
      <w:tr w:rsidR="00824558" w14:paraId="381EEF5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96A8FE3" w14:textId="77777777" w:rsidR="00824558" w:rsidRDefault="00824558">
            <w:pPr>
              <w:ind w:left="170"/>
            </w:pPr>
            <w:r>
              <w:rPr>
                <w:i/>
              </w:rPr>
              <w:t>The</w:t>
            </w:r>
            <w:r>
              <w:rPr>
                <w:i/>
                <w:iCs/>
              </w:rPr>
              <w:t xml:space="preserve">2025-26 expected outcome is lower than the 2025-26 target </w:t>
            </w:r>
            <w:r>
              <w:rPr>
                <w:i/>
              </w:rPr>
              <w:t xml:space="preserve">due to higher finalisations, particularly in the first half of 2025-26. The lower 2026-27 target reflects continued higher finalisations as those observed in 2025-26. </w:t>
            </w:r>
          </w:p>
        </w:tc>
      </w:tr>
      <w:tr w:rsidR="00824558" w14:paraId="2F9C491F" w14:textId="77777777">
        <w:tc>
          <w:tcPr>
            <w:cnfStyle w:val="001000000000" w:firstRow="0" w:lastRow="0" w:firstColumn="1" w:lastColumn="0" w:oddVBand="0" w:evenVBand="0" w:oddHBand="0" w:evenHBand="0" w:firstRowFirstColumn="0" w:firstRowLastColumn="0" w:lastRowFirstColumn="0" w:lastRowLastColumn="0"/>
            <w:tcW w:w="4819" w:type="dxa"/>
          </w:tcPr>
          <w:p w14:paraId="15D11B27" w14:textId="2888D4D9" w:rsidR="00824558" w:rsidRDefault="00824558">
            <w:pPr>
              <w:keepNext/>
              <w:ind w:left="170"/>
            </w:pPr>
            <w:r>
              <w:t>Average cost per case – Family Division matters disposed in the Children</w:t>
            </w:r>
            <w:r w:rsidR="007942D1">
              <w:t>’</w:t>
            </w:r>
            <w:r>
              <w:t>s Court</w:t>
            </w:r>
          </w:p>
        </w:tc>
        <w:tc>
          <w:tcPr>
            <w:tcW w:w="964" w:type="dxa"/>
          </w:tcPr>
          <w:p w14:paraId="120B574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dollars</w:t>
            </w:r>
          </w:p>
        </w:tc>
        <w:tc>
          <w:tcPr>
            <w:tcW w:w="964" w:type="dxa"/>
            <w:shd w:val="clear" w:color="auto" w:fill="F0F0F0"/>
          </w:tcPr>
          <w:p w14:paraId="581FE36F" w14:textId="77777777" w:rsidR="00824558" w:rsidRDefault="00824558">
            <w:pPr>
              <w:cnfStyle w:val="000000000000" w:firstRow="0" w:lastRow="0" w:firstColumn="0" w:lastColumn="0" w:oddVBand="0" w:evenVBand="0" w:oddHBand="0" w:evenHBand="0" w:firstRowFirstColumn="0" w:firstRowLastColumn="0" w:lastRowFirstColumn="0" w:lastRowLastColumn="0"/>
            </w:pPr>
            <w:r>
              <w:t>2 540.1</w:t>
            </w:r>
          </w:p>
        </w:tc>
        <w:tc>
          <w:tcPr>
            <w:tcW w:w="964" w:type="dxa"/>
          </w:tcPr>
          <w:p w14:paraId="5A64EC58" w14:textId="77777777" w:rsidR="00824558" w:rsidRDefault="00824558">
            <w:pPr>
              <w:cnfStyle w:val="000000000000" w:firstRow="0" w:lastRow="0" w:firstColumn="0" w:lastColumn="0" w:oddVBand="0" w:evenVBand="0" w:oddHBand="0" w:evenHBand="0" w:firstRowFirstColumn="0" w:firstRowLastColumn="0" w:lastRowFirstColumn="0" w:lastRowLastColumn="0"/>
            </w:pPr>
            <w:r>
              <w:t>2 360.2</w:t>
            </w:r>
          </w:p>
        </w:tc>
        <w:tc>
          <w:tcPr>
            <w:tcW w:w="964" w:type="dxa"/>
          </w:tcPr>
          <w:p w14:paraId="6CCBCFB2" w14:textId="77777777" w:rsidR="00824558" w:rsidRDefault="00824558">
            <w:pPr>
              <w:cnfStyle w:val="000000000000" w:firstRow="0" w:lastRow="0" w:firstColumn="0" w:lastColumn="0" w:oddVBand="0" w:evenVBand="0" w:oddHBand="0" w:evenHBand="0" w:firstRowFirstColumn="0" w:firstRowLastColumn="0" w:lastRowFirstColumn="0" w:lastRowLastColumn="0"/>
            </w:pPr>
            <w:r>
              <w:t>2 088.1</w:t>
            </w:r>
          </w:p>
        </w:tc>
        <w:tc>
          <w:tcPr>
            <w:tcW w:w="964" w:type="dxa"/>
          </w:tcPr>
          <w:p w14:paraId="61EBD6CC" w14:textId="77777777" w:rsidR="00824558" w:rsidRDefault="00824558">
            <w:pPr>
              <w:cnfStyle w:val="000000000000" w:firstRow="0" w:lastRow="0" w:firstColumn="0" w:lastColumn="0" w:oddVBand="0" w:evenVBand="0" w:oddHBand="0" w:evenHBand="0" w:firstRowFirstColumn="0" w:firstRowLastColumn="0" w:lastRowFirstColumn="0" w:lastRowLastColumn="0"/>
            </w:pPr>
            <w:r>
              <w:t>2 280.8</w:t>
            </w:r>
          </w:p>
        </w:tc>
      </w:tr>
      <w:tr w:rsidR="00824558" w14:paraId="184B39B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ADEB27" w14:textId="77777777" w:rsidR="00824558" w:rsidRDefault="00824558">
            <w:pPr>
              <w:ind w:left="170"/>
            </w:pPr>
            <w:r w:rsidRPr="653BF19C">
              <w:rPr>
                <w:i/>
                <w:iCs/>
              </w:rPr>
              <w:t xml:space="preserve">The </w:t>
            </w:r>
            <w:r>
              <w:rPr>
                <w:i/>
                <w:iCs/>
              </w:rPr>
              <w:t>2025-26 expected outcome is higher than the 2025-26 target</w:t>
            </w:r>
            <w:r w:rsidRPr="653BF19C">
              <w:rPr>
                <w:i/>
                <w:iCs/>
              </w:rPr>
              <w:t xml:space="preserve"> due to new program funding, including for new law courts at Wyndham.</w:t>
            </w:r>
          </w:p>
          <w:p w14:paraId="4022F62F" w14:textId="77777777" w:rsidR="00824558" w:rsidRDefault="00824558">
            <w:pPr>
              <w:ind w:left="170"/>
            </w:pPr>
            <w:r>
              <w:rPr>
                <w:i/>
              </w:rPr>
              <w:t>The higher 2026-27 target is mainly due to an increase in expenditure arising from new program funding received, including new law courts at Wyndham, Bail Reform, and Adult Time for Violent Crime Reform.</w:t>
            </w:r>
          </w:p>
        </w:tc>
      </w:tr>
      <w:tr w:rsidR="00824558" w14:paraId="73871B42" w14:textId="77777777">
        <w:tc>
          <w:tcPr>
            <w:cnfStyle w:val="001000000000" w:firstRow="0" w:lastRow="0" w:firstColumn="1" w:lastColumn="0" w:oddVBand="0" w:evenVBand="0" w:oddHBand="0" w:evenHBand="0" w:firstRowFirstColumn="0" w:firstRowLastColumn="0" w:lastRowFirstColumn="0" w:lastRowLastColumn="0"/>
            <w:tcW w:w="4819" w:type="dxa"/>
          </w:tcPr>
          <w:p w14:paraId="18F14C97" w14:textId="77777777" w:rsidR="00824558" w:rsidRDefault="00824558">
            <w:pPr>
              <w:keepNext/>
              <w:ind w:left="170"/>
            </w:pPr>
            <w:r>
              <w:t>Case clearance rate – Civil matters disposed in the County Court</w:t>
            </w:r>
          </w:p>
        </w:tc>
        <w:tc>
          <w:tcPr>
            <w:tcW w:w="964" w:type="dxa"/>
          </w:tcPr>
          <w:p w14:paraId="7C13F80C"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51FD13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0AA9B6D"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C197A0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86AC7FE"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71F1F57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12DB7D4" w14:textId="77777777" w:rsidR="00824558" w:rsidRDefault="00824558">
            <w:pPr>
              <w:ind w:left="170"/>
            </w:pPr>
            <w:r>
              <w:rPr>
                <w:i/>
              </w:rPr>
              <w:t xml:space="preserve">The </w:t>
            </w:r>
            <w:r>
              <w:rPr>
                <w:i/>
                <w:iCs/>
              </w:rPr>
              <w:t xml:space="preserve">2025-26 expected outcome is lower than the 2025-26 target </w:t>
            </w:r>
            <w:r>
              <w:rPr>
                <w:i/>
              </w:rPr>
              <w:t>due to an increase in initiations in civil divisions observed during the first half of 2025-26.</w:t>
            </w:r>
          </w:p>
        </w:tc>
      </w:tr>
      <w:tr w:rsidR="00824558" w14:paraId="698498BE"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4" w:space="0" w:color="auto"/>
            </w:tcBorders>
          </w:tcPr>
          <w:p w14:paraId="6A61B715" w14:textId="39771E71" w:rsidR="00824558" w:rsidRDefault="00824558">
            <w:pPr>
              <w:keepNext/>
              <w:ind w:left="170"/>
            </w:pPr>
            <w:r>
              <w:t>Case clearance rate – Civil matters disposed in the Magistrates</w:t>
            </w:r>
            <w:r w:rsidR="007942D1">
              <w:t>’</w:t>
            </w:r>
            <w:r>
              <w:t xml:space="preserve"> Court</w:t>
            </w:r>
          </w:p>
        </w:tc>
        <w:tc>
          <w:tcPr>
            <w:tcW w:w="964" w:type="dxa"/>
            <w:tcBorders>
              <w:bottom w:val="single" w:sz="4" w:space="0" w:color="auto"/>
            </w:tcBorders>
          </w:tcPr>
          <w:p w14:paraId="41B981F6"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4" w:space="0" w:color="auto"/>
            </w:tcBorders>
            <w:shd w:val="clear" w:color="auto" w:fill="F0F0F0"/>
          </w:tcPr>
          <w:p w14:paraId="04BB925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4" w:space="0" w:color="auto"/>
            </w:tcBorders>
          </w:tcPr>
          <w:p w14:paraId="2AE9AA29"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4" w:space="0" w:color="auto"/>
            </w:tcBorders>
          </w:tcPr>
          <w:p w14:paraId="6131B43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4" w:space="0" w:color="auto"/>
            </w:tcBorders>
          </w:tcPr>
          <w:p w14:paraId="4ADBB391" w14:textId="77777777" w:rsidR="00824558" w:rsidRDefault="00824558">
            <w:pPr>
              <w:cnfStyle w:val="000000000000" w:firstRow="0" w:lastRow="0" w:firstColumn="0" w:lastColumn="0" w:oddVBand="0" w:evenVBand="0" w:oddHBand="0" w:evenHBand="0" w:firstRowFirstColumn="0" w:firstRowLastColumn="0" w:lastRowFirstColumn="0" w:lastRowLastColumn="0"/>
            </w:pPr>
            <w:r>
              <w:t>114</w:t>
            </w:r>
          </w:p>
        </w:tc>
      </w:tr>
      <w:tr w:rsidR="00824558" w14:paraId="7A8AAD13" w14:textId="77777777">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bottom w:val="single" w:sz="6" w:space="0" w:color="auto"/>
            </w:tcBorders>
          </w:tcPr>
          <w:p w14:paraId="1EE48D6A" w14:textId="0A90C694" w:rsidR="00824558" w:rsidRDefault="00824558">
            <w:pPr>
              <w:ind w:left="170"/>
            </w:pPr>
            <w:r>
              <w:t>Case clearance rate – Civil matters disposed in the Supreme Court</w:t>
            </w:r>
          </w:p>
        </w:tc>
        <w:tc>
          <w:tcPr>
            <w:tcW w:w="964" w:type="dxa"/>
            <w:tcBorders>
              <w:top w:val="single" w:sz="4" w:space="0" w:color="auto"/>
              <w:bottom w:val="single" w:sz="6" w:space="0" w:color="auto"/>
            </w:tcBorders>
          </w:tcPr>
          <w:p w14:paraId="4111CD8F"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4" w:space="0" w:color="auto"/>
              <w:bottom w:val="single" w:sz="6" w:space="0" w:color="auto"/>
            </w:tcBorders>
            <w:shd w:val="clear" w:color="auto" w:fill="F0F0F0"/>
          </w:tcPr>
          <w:p w14:paraId="6307CDA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4" w:space="0" w:color="auto"/>
              <w:bottom w:val="single" w:sz="6" w:space="0" w:color="auto"/>
            </w:tcBorders>
          </w:tcPr>
          <w:p w14:paraId="3D6A40D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4" w:space="0" w:color="auto"/>
              <w:bottom w:val="single" w:sz="6" w:space="0" w:color="auto"/>
            </w:tcBorders>
          </w:tcPr>
          <w:p w14:paraId="304532A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4" w:space="0" w:color="auto"/>
              <w:bottom w:val="single" w:sz="6" w:space="0" w:color="auto"/>
            </w:tcBorders>
          </w:tcPr>
          <w:p w14:paraId="69B5B26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r>
      <w:tr w:rsidR="00824558" w14:paraId="6B989713"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51EBBEC" w14:textId="6F1EE08C" w:rsidR="00824558" w:rsidRDefault="00824558">
            <w:pPr>
              <w:ind w:left="170"/>
            </w:pPr>
            <w:r>
              <w:t>Case clearance rate – Civil matters disposed in the Victorian Civil and Administrative Tribunal</w:t>
            </w:r>
          </w:p>
        </w:tc>
        <w:tc>
          <w:tcPr>
            <w:tcW w:w="964" w:type="dxa"/>
            <w:tcBorders>
              <w:bottom w:val="single" w:sz="6" w:space="0" w:color="auto"/>
            </w:tcBorders>
          </w:tcPr>
          <w:p w14:paraId="771C16B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B9F427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7C6AC9E"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BD9293B"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750F6B69"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r>
      <w:tr w:rsidR="00824558" w14:paraId="3CAF7185" w14:textId="77777777">
        <w:tc>
          <w:tcPr>
            <w:cnfStyle w:val="001000000000" w:firstRow="0" w:lastRow="0" w:firstColumn="1" w:lastColumn="0" w:oddVBand="0" w:evenVBand="0" w:oddHBand="0" w:evenHBand="0" w:firstRowFirstColumn="0" w:firstRowLastColumn="0" w:lastRowFirstColumn="0" w:lastRowLastColumn="0"/>
            <w:tcW w:w="4819" w:type="dxa"/>
          </w:tcPr>
          <w:p w14:paraId="57E89E86" w14:textId="0E995153" w:rsidR="00824558" w:rsidRDefault="00824558">
            <w:pPr>
              <w:keepNext/>
              <w:ind w:left="170"/>
            </w:pPr>
            <w:r>
              <w:t>Case clearance rate – Coronial matters disposed in the Coroners Court</w:t>
            </w:r>
          </w:p>
        </w:tc>
        <w:tc>
          <w:tcPr>
            <w:tcW w:w="964" w:type="dxa"/>
          </w:tcPr>
          <w:p w14:paraId="121666C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072A470"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91B079F"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D003BA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CFE23C7"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4CE9C772"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A2C845" w14:textId="77777777" w:rsidR="00824558" w:rsidRDefault="00824558">
            <w:pPr>
              <w:ind w:left="170"/>
            </w:pPr>
            <w:r>
              <w:rPr>
                <w:i/>
              </w:rPr>
              <w:t xml:space="preserve">The </w:t>
            </w:r>
            <w:r>
              <w:rPr>
                <w:i/>
                <w:iCs/>
              </w:rPr>
              <w:t>2025-26 expected outcome is lower than the 2025-26 target</w:t>
            </w:r>
            <w:r>
              <w:rPr>
                <w:i/>
              </w:rPr>
              <w:t xml:space="preserve"> due to an increase in initiations due to higher reportable deaths, despite high finalisations.</w:t>
            </w:r>
          </w:p>
        </w:tc>
      </w:tr>
      <w:tr w:rsidR="00824558" w14:paraId="1DCA2D5B" w14:textId="77777777">
        <w:tc>
          <w:tcPr>
            <w:cnfStyle w:val="001000000000" w:firstRow="0" w:lastRow="0" w:firstColumn="1" w:lastColumn="0" w:oddVBand="0" w:evenVBand="0" w:oddHBand="0" w:evenHBand="0" w:firstRowFirstColumn="0" w:firstRowLastColumn="0" w:lastRowFirstColumn="0" w:lastRowLastColumn="0"/>
            <w:tcW w:w="4819" w:type="dxa"/>
          </w:tcPr>
          <w:p w14:paraId="3F954C16" w14:textId="5379C5B2" w:rsidR="00824558" w:rsidRDefault="00824558">
            <w:pPr>
              <w:keepNext/>
              <w:ind w:left="170"/>
            </w:pPr>
            <w:r>
              <w:t>Case clearance rate – Criminal matters disposed in the Children</w:t>
            </w:r>
            <w:r w:rsidR="007942D1">
              <w:t>’</w:t>
            </w:r>
            <w:r>
              <w:t>s Court</w:t>
            </w:r>
          </w:p>
        </w:tc>
        <w:tc>
          <w:tcPr>
            <w:tcW w:w="964" w:type="dxa"/>
          </w:tcPr>
          <w:p w14:paraId="5D94C28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EF6B8E3"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4A1FB721" w14:textId="77777777" w:rsidR="00824558" w:rsidRDefault="00824558">
            <w:pPr>
              <w:cnfStyle w:val="000000000000" w:firstRow="0" w:lastRow="0" w:firstColumn="0" w:lastColumn="0" w:oddVBand="0" w:evenVBand="0" w:oddHBand="0" w:evenHBand="0" w:firstRowFirstColumn="0" w:firstRowLastColumn="0" w:lastRowFirstColumn="0" w:lastRowLastColumn="0"/>
            </w:pPr>
            <w:r>
              <w:t>105</w:t>
            </w:r>
          </w:p>
        </w:tc>
        <w:tc>
          <w:tcPr>
            <w:tcW w:w="964" w:type="dxa"/>
          </w:tcPr>
          <w:p w14:paraId="3DC13E9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98AD2EA" w14:textId="77777777" w:rsidR="00824558" w:rsidRDefault="00824558">
            <w:pPr>
              <w:cnfStyle w:val="000000000000" w:firstRow="0" w:lastRow="0" w:firstColumn="0" w:lastColumn="0" w:oddVBand="0" w:evenVBand="0" w:oddHBand="0" w:evenHBand="0" w:firstRowFirstColumn="0" w:firstRowLastColumn="0" w:lastRowFirstColumn="0" w:lastRowLastColumn="0"/>
            </w:pPr>
            <w:r>
              <w:t>110</w:t>
            </w:r>
          </w:p>
        </w:tc>
      </w:tr>
      <w:tr w:rsidR="00824558" w14:paraId="1A01E33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03AC76F" w14:textId="77777777" w:rsidR="00824558" w:rsidRDefault="00824558">
            <w:pPr>
              <w:ind w:left="170"/>
            </w:pPr>
            <w:r>
              <w:rPr>
                <w:i/>
              </w:rPr>
              <w:t xml:space="preserve">The </w:t>
            </w:r>
            <w:r>
              <w:rPr>
                <w:i/>
                <w:iCs/>
              </w:rPr>
              <w:t>2025-26 expected outcome is higher than the 2025-26 target</w:t>
            </w:r>
            <w:r>
              <w:rPr>
                <w:i/>
              </w:rPr>
              <w:t xml:space="preserve"> due to active case management to reduce the courts pending caseload.</w:t>
            </w:r>
          </w:p>
        </w:tc>
      </w:tr>
      <w:tr w:rsidR="00824558" w14:paraId="7B86DB3E" w14:textId="77777777">
        <w:tc>
          <w:tcPr>
            <w:cnfStyle w:val="001000000000" w:firstRow="0" w:lastRow="0" w:firstColumn="1" w:lastColumn="0" w:oddVBand="0" w:evenVBand="0" w:oddHBand="0" w:evenHBand="0" w:firstRowFirstColumn="0" w:firstRowLastColumn="0" w:lastRowFirstColumn="0" w:lastRowLastColumn="0"/>
            <w:tcW w:w="4819" w:type="dxa"/>
          </w:tcPr>
          <w:p w14:paraId="557577A3" w14:textId="45A8F685" w:rsidR="00824558" w:rsidRDefault="00824558">
            <w:pPr>
              <w:keepNext/>
              <w:ind w:left="170"/>
            </w:pPr>
            <w:r>
              <w:t>Case clearance rate – Criminal matters disposed in the County Court</w:t>
            </w:r>
          </w:p>
        </w:tc>
        <w:tc>
          <w:tcPr>
            <w:tcW w:w="964" w:type="dxa"/>
          </w:tcPr>
          <w:p w14:paraId="167B81D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B308526"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2F70C23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13D6C545"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15A9806"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330523F0"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95DB25" w14:textId="77777777" w:rsidR="00824558" w:rsidRDefault="00824558">
            <w:pPr>
              <w:ind w:left="170"/>
            </w:pPr>
            <w:r>
              <w:rPr>
                <w:i/>
              </w:rPr>
              <w:t xml:space="preserve">The </w:t>
            </w:r>
            <w:r>
              <w:rPr>
                <w:i/>
                <w:iCs/>
              </w:rPr>
              <w:t>2025-26 expected outcome is lower than the 2025-26 target</w:t>
            </w:r>
            <w:r>
              <w:rPr>
                <w:i/>
              </w:rPr>
              <w:t xml:space="preserve"> due to the increasing trial (not guilty) initiations at the County Court. </w:t>
            </w:r>
          </w:p>
        </w:tc>
      </w:tr>
      <w:tr w:rsidR="00824558" w14:paraId="32C0CAB6" w14:textId="77777777">
        <w:tc>
          <w:tcPr>
            <w:cnfStyle w:val="001000000000" w:firstRow="0" w:lastRow="0" w:firstColumn="1" w:lastColumn="0" w:oddVBand="0" w:evenVBand="0" w:oddHBand="0" w:evenHBand="0" w:firstRowFirstColumn="0" w:firstRowLastColumn="0" w:lastRowFirstColumn="0" w:lastRowLastColumn="0"/>
            <w:tcW w:w="4819" w:type="dxa"/>
          </w:tcPr>
          <w:p w14:paraId="67406DA6" w14:textId="4474CA21" w:rsidR="00824558" w:rsidRDefault="00824558">
            <w:pPr>
              <w:keepNext/>
              <w:ind w:left="170"/>
            </w:pPr>
            <w:r>
              <w:t>Case clearance rate – Criminal matters disposed in the Magistrates</w:t>
            </w:r>
            <w:r w:rsidR="007942D1">
              <w:t>’</w:t>
            </w:r>
            <w:r>
              <w:t xml:space="preserve"> Court</w:t>
            </w:r>
          </w:p>
        </w:tc>
        <w:tc>
          <w:tcPr>
            <w:tcW w:w="964" w:type="dxa"/>
          </w:tcPr>
          <w:p w14:paraId="2DBB73BD"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B53EBD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D8C145D" w14:textId="77777777" w:rsidR="00824558" w:rsidRDefault="00824558">
            <w:pPr>
              <w:cnfStyle w:val="000000000000" w:firstRow="0" w:lastRow="0" w:firstColumn="0" w:lastColumn="0" w:oddVBand="0" w:evenVBand="0" w:oddHBand="0" w:evenHBand="0" w:firstRowFirstColumn="0" w:firstRowLastColumn="0" w:lastRowFirstColumn="0" w:lastRowLastColumn="0"/>
            </w:pPr>
            <w:r>
              <w:t>88</w:t>
            </w:r>
          </w:p>
        </w:tc>
        <w:tc>
          <w:tcPr>
            <w:tcW w:w="964" w:type="dxa"/>
          </w:tcPr>
          <w:p w14:paraId="71F60B8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0725086C"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50A613C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2D79CA" w14:textId="40FC3949" w:rsidR="00824558" w:rsidRDefault="00824558">
            <w:pPr>
              <w:ind w:left="170"/>
            </w:pPr>
            <w:r>
              <w:rPr>
                <w:i/>
              </w:rPr>
              <w:t xml:space="preserve">The </w:t>
            </w:r>
            <w:r>
              <w:rPr>
                <w:i/>
                <w:iCs/>
              </w:rPr>
              <w:t>2025-26 expected outcome is lower than the 2025-26 target</w:t>
            </w:r>
            <w:r>
              <w:rPr>
                <w:i/>
              </w:rPr>
              <w:t xml:space="preserve"> due to the commencement of programs under the Community Safety Package and the court</w:t>
            </w:r>
            <w:r w:rsidR="007942D1">
              <w:rPr>
                <w:i/>
              </w:rPr>
              <w:t>’</w:t>
            </w:r>
            <w:r>
              <w:rPr>
                <w:i/>
              </w:rPr>
              <w:t xml:space="preserve">s transition to the new Case Management System for criminal matters and associated training and change management. </w:t>
            </w:r>
          </w:p>
        </w:tc>
      </w:tr>
      <w:tr w:rsidR="00824558" w14:paraId="2135C97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E516128" w14:textId="4ECA08FE" w:rsidR="00824558" w:rsidRDefault="00824558">
            <w:pPr>
              <w:ind w:left="170"/>
            </w:pPr>
            <w:r>
              <w:t>Case clearance rate – Criminal matters disposed in the Supreme Court</w:t>
            </w:r>
          </w:p>
        </w:tc>
        <w:tc>
          <w:tcPr>
            <w:tcW w:w="964" w:type="dxa"/>
            <w:tcBorders>
              <w:bottom w:val="single" w:sz="6" w:space="0" w:color="auto"/>
            </w:tcBorders>
          </w:tcPr>
          <w:p w14:paraId="6309074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6C69477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1DE8B405"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34EF86A"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079CB0C2"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1B19DB23" w14:textId="77777777" w:rsidTr="00881479">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277D98AF" w14:textId="3CBF0AC5" w:rsidR="00824558" w:rsidRDefault="00824558">
            <w:pPr>
              <w:keepNext/>
              <w:ind w:left="170"/>
            </w:pPr>
            <w:r>
              <w:t>Case clearance rate – Family Division matters disposed in the Children</w:t>
            </w:r>
            <w:r w:rsidR="007942D1">
              <w:t>’</w:t>
            </w:r>
            <w:r>
              <w:t>s Court</w:t>
            </w:r>
          </w:p>
        </w:tc>
        <w:tc>
          <w:tcPr>
            <w:tcW w:w="964" w:type="dxa"/>
            <w:tcBorders>
              <w:top w:val="single" w:sz="6" w:space="0" w:color="auto"/>
              <w:bottom w:val="single" w:sz="6" w:space="0" w:color="auto"/>
            </w:tcBorders>
          </w:tcPr>
          <w:p w14:paraId="1857355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64A66944"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5F21344C"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17E040F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112A3402"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r>
      <w:tr w:rsidR="00824558" w14:paraId="041335FB" w14:textId="77777777" w:rsidTr="00881479">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bottom w:val="single" w:sz="6" w:space="0" w:color="auto"/>
            </w:tcBorders>
          </w:tcPr>
          <w:p w14:paraId="49F8A036" w14:textId="7332E486" w:rsidR="00824558" w:rsidRDefault="00824558">
            <w:pPr>
              <w:ind w:left="170"/>
            </w:pPr>
            <w:r>
              <w:t>Case clearance rate – Family violence intervention orders disposed in the Children</w:t>
            </w:r>
            <w:r w:rsidR="007942D1">
              <w:t>’</w:t>
            </w:r>
            <w:r>
              <w:t>s Courts</w:t>
            </w:r>
          </w:p>
        </w:tc>
        <w:tc>
          <w:tcPr>
            <w:tcW w:w="964" w:type="dxa"/>
            <w:tcBorders>
              <w:top w:val="single" w:sz="6" w:space="0" w:color="auto"/>
              <w:bottom w:val="single" w:sz="6" w:space="0" w:color="auto"/>
            </w:tcBorders>
          </w:tcPr>
          <w:p w14:paraId="622710EE"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top w:val="single" w:sz="6" w:space="0" w:color="auto"/>
              <w:bottom w:val="single" w:sz="6" w:space="0" w:color="auto"/>
            </w:tcBorders>
            <w:shd w:val="clear" w:color="auto" w:fill="F0F0F0"/>
          </w:tcPr>
          <w:p w14:paraId="0FC16816"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09C2BD82" w14:textId="77777777" w:rsidR="00824558" w:rsidRDefault="00824558">
            <w:pPr>
              <w:cnfStyle w:val="000000000000" w:firstRow="0" w:lastRow="0" w:firstColumn="0" w:lastColumn="0" w:oddVBand="0" w:evenVBand="0" w:oddHBand="0" w:evenHBand="0" w:firstRowFirstColumn="0" w:firstRowLastColumn="0" w:lastRowFirstColumn="0" w:lastRowLastColumn="0"/>
            </w:pPr>
            <w:r>
              <w:t>96</w:t>
            </w:r>
          </w:p>
        </w:tc>
        <w:tc>
          <w:tcPr>
            <w:tcW w:w="964" w:type="dxa"/>
            <w:tcBorders>
              <w:top w:val="single" w:sz="6" w:space="0" w:color="auto"/>
              <w:bottom w:val="single" w:sz="6" w:space="0" w:color="auto"/>
            </w:tcBorders>
          </w:tcPr>
          <w:p w14:paraId="0EECC978"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top w:val="single" w:sz="6" w:space="0" w:color="auto"/>
              <w:bottom w:val="single" w:sz="6" w:space="0" w:color="auto"/>
            </w:tcBorders>
          </w:tcPr>
          <w:p w14:paraId="2CF9BEA3"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21119C9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00A8B96" w14:textId="7E51D06B" w:rsidR="00824558" w:rsidRDefault="00824558">
            <w:pPr>
              <w:ind w:left="170"/>
            </w:pPr>
            <w:r>
              <w:t>Case clearance rate – Family violence intervention orders disposed in the Magistrates</w:t>
            </w:r>
            <w:r w:rsidR="007942D1">
              <w:t>’</w:t>
            </w:r>
            <w:r>
              <w:t xml:space="preserve"> Courts</w:t>
            </w:r>
          </w:p>
        </w:tc>
        <w:tc>
          <w:tcPr>
            <w:tcW w:w="964" w:type="dxa"/>
            <w:tcBorders>
              <w:bottom w:val="single" w:sz="6" w:space="0" w:color="auto"/>
            </w:tcBorders>
          </w:tcPr>
          <w:p w14:paraId="5F99FC8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317A2E7F"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37569B59" w14:textId="77777777" w:rsidR="00824558" w:rsidRDefault="00824558">
            <w:pPr>
              <w:cnfStyle w:val="000000000000" w:firstRow="0" w:lastRow="0" w:firstColumn="0" w:lastColumn="0" w:oddVBand="0" w:evenVBand="0" w:oddHBand="0" w:evenHBand="0" w:firstRowFirstColumn="0" w:firstRowLastColumn="0" w:lastRowFirstColumn="0" w:lastRowLastColumn="0"/>
            </w:pPr>
            <w:r>
              <w:t>98</w:t>
            </w:r>
          </w:p>
        </w:tc>
        <w:tc>
          <w:tcPr>
            <w:tcW w:w="964" w:type="dxa"/>
            <w:tcBorders>
              <w:bottom w:val="single" w:sz="6" w:space="0" w:color="auto"/>
            </w:tcBorders>
          </w:tcPr>
          <w:p w14:paraId="10927DAD" w14:textId="77777777" w:rsidR="00824558" w:rsidRDefault="0082455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single" w:sz="6" w:space="0" w:color="auto"/>
            </w:tcBorders>
          </w:tcPr>
          <w:p w14:paraId="5EEC0F3E"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235725" w14:paraId="3008023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BB1D368" w14:textId="77777777" w:rsidR="00824558" w:rsidRPr="00235725" w:rsidRDefault="00824558">
            <w:pPr>
              <w:keepNext/>
              <w:rPr>
                <w:b/>
                <w:bCs/>
                <w:iCs/>
              </w:rPr>
            </w:pPr>
            <w:r w:rsidRPr="00235725">
              <w:rPr>
                <w:b/>
                <w:bCs/>
                <w:iCs/>
              </w:rPr>
              <w:t>Quality</w:t>
            </w:r>
          </w:p>
        </w:tc>
      </w:tr>
      <w:tr w:rsidR="00824558" w14:paraId="4F6D5E5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3E4AC69C" w14:textId="06545276" w:rsidR="00824558" w:rsidRDefault="00824558">
            <w:pPr>
              <w:ind w:left="170"/>
            </w:pPr>
            <w:r>
              <w:t>Court file integrity in the Children</w:t>
            </w:r>
            <w:r w:rsidR="007942D1">
              <w:t>’</w:t>
            </w:r>
            <w:r>
              <w:t xml:space="preserve">s Court – </w:t>
            </w:r>
            <w:r w:rsidR="00051C04">
              <w:br/>
            </w:r>
            <w:r>
              <w:t>availability, accuracy and completeness</w:t>
            </w:r>
          </w:p>
        </w:tc>
        <w:tc>
          <w:tcPr>
            <w:tcW w:w="964" w:type="dxa"/>
            <w:tcBorders>
              <w:bottom w:val="single" w:sz="6" w:space="0" w:color="auto"/>
            </w:tcBorders>
          </w:tcPr>
          <w:p w14:paraId="55B2307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FF9AD8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883EB24"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7E093A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D8D43C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r>
      <w:tr w:rsidR="00824558" w14:paraId="104A6B2A" w14:textId="77777777">
        <w:tc>
          <w:tcPr>
            <w:cnfStyle w:val="001000000000" w:firstRow="0" w:lastRow="0" w:firstColumn="1" w:lastColumn="0" w:oddVBand="0" w:evenVBand="0" w:oddHBand="0" w:evenHBand="0" w:firstRowFirstColumn="0" w:firstRowLastColumn="0" w:lastRowFirstColumn="0" w:lastRowLastColumn="0"/>
            <w:tcW w:w="4819" w:type="dxa"/>
          </w:tcPr>
          <w:p w14:paraId="31C9FD6A" w14:textId="5A412C1E" w:rsidR="00824558" w:rsidRDefault="00824558">
            <w:pPr>
              <w:keepNext/>
              <w:ind w:left="170"/>
            </w:pPr>
            <w:r>
              <w:t xml:space="preserve">Court file integrity in the Coroners Court – </w:t>
            </w:r>
            <w:r w:rsidR="00051C04">
              <w:br/>
            </w:r>
            <w:r>
              <w:t>availability, accuracy and completeness</w:t>
            </w:r>
          </w:p>
        </w:tc>
        <w:tc>
          <w:tcPr>
            <w:tcW w:w="964" w:type="dxa"/>
          </w:tcPr>
          <w:p w14:paraId="2D0B8701"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E46ED6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720D8F08" w14:textId="77777777" w:rsidR="00824558" w:rsidRDefault="00824558">
            <w:pPr>
              <w:cnfStyle w:val="000000000000" w:firstRow="0" w:lastRow="0" w:firstColumn="0" w:lastColumn="0" w:oddVBand="0" w:evenVBand="0" w:oddHBand="0" w:evenHBand="0" w:firstRowFirstColumn="0" w:firstRowLastColumn="0" w:lastRowFirstColumn="0" w:lastRowLastColumn="0"/>
            </w:pPr>
            <w:r>
              <w:t>97</w:t>
            </w:r>
          </w:p>
        </w:tc>
        <w:tc>
          <w:tcPr>
            <w:tcW w:w="964" w:type="dxa"/>
          </w:tcPr>
          <w:p w14:paraId="0D351C3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98862FD"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r>
      <w:tr w:rsidR="00824558" w14:paraId="54EAF30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1FDE947" w14:textId="5E991BB3" w:rsidR="00824558" w:rsidRDefault="00824558">
            <w:pPr>
              <w:ind w:left="170"/>
            </w:pPr>
            <w:r>
              <w:rPr>
                <w:i/>
              </w:rPr>
              <w:t xml:space="preserve">The </w:t>
            </w:r>
            <w:r>
              <w:rPr>
                <w:i/>
                <w:iCs/>
              </w:rPr>
              <w:t>2025-26 expected outcome is higher than the 2025-26 target</w:t>
            </w:r>
            <w:r>
              <w:rPr>
                <w:i/>
              </w:rPr>
              <w:t xml:space="preserve"> due to the court</w:t>
            </w:r>
            <w:r w:rsidR="007942D1">
              <w:rPr>
                <w:i/>
              </w:rPr>
              <w:t>’</w:t>
            </w:r>
            <w:r>
              <w:rPr>
                <w:i/>
              </w:rPr>
              <w:t>s established digital case management system and user-driven improvements enhancing accuracy.</w:t>
            </w:r>
          </w:p>
        </w:tc>
      </w:tr>
      <w:tr w:rsidR="00824558" w14:paraId="740AF464"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47B24A5" w14:textId="59F9ABD0" w:rsidR="00824558" w:rsidRDefault="00824558">
            <w:pPr>
              <w:ind w:left="170"/>
            </w:pPr>
            <w:r>
              <w:t xml:space="preserve">Court file integrity in the County Court – </w:t>
            </w:r>
            <w:r w:rsidR="00051C04">
              <w:br/>
            </w:r>
            <w:r>
              <w:t>availability, accuracy and completeness</w:t>
            </w:r>
          </w:p>
        </w:tc>
        <w:tc>
          <w:tcPr>
            <w:tcW w:w="964" w:type="dxa"/>
            <w:tcBorders>
              <w:bottom w:val="single" w:sz="6" w:space="0" w:color="auto"/>
            </w:tcBorders>
          </w:tcPr>
          <w:p w14:paraId="1339AF8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70E8802"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3848BA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3EEE076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4C9E680F"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465E00C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634EA493" w14:textId="52726C3B" w:rsidR="00824558" w:rsidRDefault="00824558">
            <w:pPr>
              <w:ind w:left="170"/>
            </w:pPr>
            <w:r>
              <w:t>Court file integrity in the Magistrates</w:t>
            </w:r>
            <w:r w:rsidR="007942D1">
              <w:t>’</w:t>
            </w:r>
            <w:r>
              <w:t xml:space="preserve"> Court – </w:t>
            </w:r>
            <w:r w:rsidR="00051C04">
              <w:br/>
            </w:r>
            <w:r>
              <w:t>availability, accuracy and completeness</w:t>
            </w:r>
          </w:p>
        </w:tc>
        <w:tc>
          <w:tcPr>
            <w:tcW w:w="964" w:type="dxa"/>
            <w:tcBorders>
              <w:bottom w:val="single" w:sz="6" w:space="0" w:color="auto"/>
            </w:tcBorders>
          </w:tcPr>
          <w:p w14:paraId="5B0C8C2B"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B6A35A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497F31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455D3D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BAD6739"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r>
      <w:tr w:rsidR="00824558" w14:paraId="6B358292"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F508A91" w14:textId="76C57098" w:rsidR="00824558" w:rsidRDefault="00824558">
            <w:pPr>
              <w:ind w:left="170"/>
            </w:pPr>
            <w:r>
              <w:t xml:space="preserve">Court file integrity in the Supreme Court – </w:t>
            </w:r>
            <w:r w:rsidR="00051C04">
              <w:br/>
            </w:r>
            <w:r>
              <w:t>availability, accuracy and completeness</w:t>
            </w:r>
          </w:p>
        </w:tc>
        <w:tc>
          <w:tcPr>
            <w:tcW w:w="964" w:type="dxa"/>
            <w:tcBorders>
              <w:bottom w:val="single" w:sz="6" w:space="0" w:color="auto"/>
            </w:tcBorders>
          </w:tcPr>
          <w:p w14:paraId="6FE09FF5"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7657E8E"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2BB4CD80"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523C7F04" w14:textId="77777777" w:rsidR="00824558" w:rsidRDefault="00824558">
            <w:pPr>
              <w:cnfStyle w:val="000000000000" w:firstRow="0" w:lastRow="0" w:firstColumn="0" w:lastColumn="0" w:oddVBand="0" w:evenVBand="0" w:oddHBand="0" w:evenHBand="0" w:firstRowFirstColumn="0" w:firstRowLastColumn="0" w:lastRowFirstColumn="0" w:lastRowLastColumn="0"/>
            </w:pPr>
            <w:r>
              <w:t>95</w:t>
            </w:r>
          </w:p>
        </w:tc>
        <w:tc>
          <w:tcPr>
            <w:tcW w:w="964" w:type="dxa"/>
            <w:tcBorders>
              <w:bottom w:val="single" w:sz="6" w:space="0" w:color="auto"/>
            </w:tcBorders>
          </w:tcPr>
          <w:p w14:paraId="75E19C49" w14:textId="77777777" w:rsidR="00824558" w:rsidRDefault="00824558">
            <w:pPr>
              <w:cnfStyle w:val="000000000000" w:firstRow="0" w:lastRow="0" w:firstColumn="0" w:lastColumn="0" w:oddVBand="0" w:evenVBand="0" w:oddHBand="0" w:evenHBand="0" w:firstRowFirstColumn="0" w:firstRowLastColumn="0" w:lastRowFirstColumn="0" w:lastRowLastColumn="0"/>
            </w:pPr>
            <w:r>
              <w:t>92</w:t>
            </w:r>
          </w:p>
        </w:tc>
      </w:tr>
      <w:tr w:rsidR="00824558" w14:paraId="1F07DBE0"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7EDF0429" w14:textId="77777777" w:rsidR="00824558" w:rsidRDefault="00824558">
            <w:pPr>
              <w:ind w:left="170"/>
            </w:pPr>
            <w:r>
              <w:t>Court file integrity in the Victorian Civil and Administrative Tribunal – availability, accuracy and completeness</w:t>
            </w:r>
          </w:p>
        </w:tc>
        <w:tc>
          <w:tcPr>
            <w:tcW w:w="964" w:type="dxa"/>
            <w:tcBorders>
              <w:bottom w:val="single" w:sz="6" w:space="0" w:color="auto"/>
            </w:tcBorders>
          </w:tcPr>
          <w:p w14:paraId="4CAF931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06AB302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063FF1E"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73F1AC2"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5AF25DDD"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rsidRPr="00235725" w14:paraId="6B9179F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B8AEC22" w14:textId="77777777" w:rsidR="00824558" w:rsidRPr="00235725" w:rsidRDefault="00824558">
            <w:pPr>
              <w:keepNext/>
              <w:rPr>
                <w:b/>
                <w:bCs/>
                <w:iCs/>
              </w:rPr>
            </w:pPr>
            <w:r w:rsidRPr="00235725">
              <w:rPr>
                <w:b/>
                <w:bCs/>
                <w:iCs/>
              </w:rPr>
              <w:t>Timeliness</w:t>
            </w:r>
          </w:p>
        </w:tc>
      </w:tr>
      <w:tr w:rsidR="00824558" w14:paraId="7DDD09E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700D99D" w14:textId="77777777" w:rsidR="00824558" w:rsidRDefault="00824558">
            <w:pPr>
              <w:ind w:left="170"/>
            </w:pPr>
            <w:r>
              <w:t>On-time case processing – Civil matters resolved or otherwise finalised within 12 months in the Victorian Civil and Administrative Tribunal</w:t>
            </w:r>
          </w:p>
        </w:tc>
        <w:tc>
          <w:tcPr>
            <w:tcW w:w="964" w:type="dxa"/>
            <w:tcBorders>
              <w:bottom w:val="single" w:sz="6" w:space="0" w:color="auto"/>
            </w:tcBorders>
          </w:tcPr>
          <w:p w14:paraId="06A930A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3BB6D1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8554566" w14:textId="77777777" w:rsidR="00824558" w:rsidRDefault="00824558">
            <w:pPr>
              <w:cnfStyle w:val="000000000000" w:firstRow="0" w:lastRow="0" w:firstColumn="0" w:lastColumn="0" w:oddVBand="0" w:evenVBand="0" w:oddHBand="0" w:evenHBand="0" w:firstRowFirstColumn="0" w:firstRowLastColumn="0" w:lastRowFirstColumn="0" w:lastRowLastColumn="0"/>
            </w:pPr>
            <w:r>
              <w:t>93</w:t>
            </w:r>
          </w:p>
        </w:tc>
        <w:tc>
          <w:tcPr>
            <w:tcW w:w="964" w:type="dxa"/>
            <w:tcBorders>
              <w:bottom w:val="single" w:sz="6" w:space="0" w:color="auto"/>
            </w:tcBorders>
          </w:tcPr>
          <w:p w14:paraId="2A545AC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12B86BF"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042E7079"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3D2C050" w14:textId="77777777" w:rsidR="00824558" w:rsidRDefault="00824558">
            <w:pPr>
              <w:ind w:left="170"/>
            </w:pPr>
            <w:r>
              <w:t>On-time case processing – Civil matters resolved or otherwise finalised within 24 months in the County Court</w:t>
            </w:r>
          </w:p>
        </w:tc>
        <w:tc>
          <w:tcPr>
            <w:tcW w:w="964" w:type="dxa"/>
            <w:tcBorders>
              <w:bottom w:val="single" w:sz="6" w:space="0" w:color="auto"/>
            </w:tcBorders>
          </w:tcPr>
          <w:p w14:paraId="67287BC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7215C6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5E2D6D2"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c>
          <w:tcPr>
            <w:tcW w:w="964" w:type="dxa"/>
            <w:tcBorders>
              <w:bottom w:val="single" w:sz="6" w:space="0" w:color="auto"/>
            </w:tcBorders>
          </w:tcPr>
          <w:p w14:paraId="1A583CB7"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61DE6DC" w14:textId="77777777" w:rsidR="00824558" w:rsidRDefault="00824558">
            <w:pPr>
              <w:cnfStyle w:val="000000000000" w:firstRow="0" w:lastRow="0" w:firstColumn="0" w:lastColumn="0" w:oddVBand="0" w:evenVBand="0" w:oddHBand="0" w:evenHBand="0" w:firstRowFirstColumn="0" w:firstRowLastColumn="0" w:lastRowFirstColumn="0" w:lastRowLastColumn="0"/>
            </w:pPr>
            <w:r>
              <w:t>87</w:t>
            </w:r>
          </w:p>
        </w:tc>
      </w:tr>
      <w:tr w:rsidR="00824558" w14:paraId="0072D742"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49D90AD" w14:textId="77777777" w:rsidR="00824558" w:rsidRDefault="00824558">
            <w:pPr>
              <w:ind w:left="170"/>
            </w:pPr>
            <w:r>
              <w:t>On-time case processing – Civil matters resolved or otherwise finalised within 24 months in the Supreme Court</w:t>
            </w:r>
          </w:p>
        </w:tc>
        <w:tc>
          <w:tcPr>
            <w:tcW w:w="964" w:type="dxa"/>
            <w:tcBorders>
              <w:bottom w:val="single" w:sz="6" w:space="0" w:color="auto"/>
            </w:tcBorders>
          </w:tcPr>
          <w:p w14:paraId="2BC3F19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17184FA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AB38D30"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753C18A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1D8B34BC"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18D0AE1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50B8B2FA" w14:textId="74ABDE45" w:rsidR="00824558" w:rsidRDefault="00824558">
            <w:pPr>
              <w:ind w:left="170"/>
            </w:pPr>
            <w:r>
              <w:t>On-time case processing – Civil matters resolved or otherwise finalised within 6 months in the Magistrates</w:t>
            </w:r>
            <w:r w:rsidR="007942D1">
              <w:t>’</w:t>
            </w:r>
            <w:r>
              <w:t xml:space="preserve"> Court</w:t>
            </w:r>
          </w:p>
        </w:tc>
        <w:tc>
          <w:tcPr>
            <w:tcW w:w="964" w:type="dxa"/>
            <w:tcBorders>
              <w:bottom w:val="single" w:sz="6" w:space="0" w:color="auto"/>
            </w:tcBorders>
          </w:tcPr>
          <w:p w14:paraId="58B6FCE8"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F113EA6"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539D557F" w14:textId="77777777" w:rsidR="00824558" w:rsidRDefault="00824558">
            <w:pPr>
              <w:cnfStyle w:val="000000000000" w:firstRow="0" w:lastRow="0" w:firstColumn="0" w:lastColumn="0" w:oddVBand="0" w:evenVBand="0" w:oddHBand="0" w:evenHBand="0" w:firstRowFirstColumn="0" w:firstRowLastColumn="0" w:lastRowFirstColumn="0" w:lastRowLastColumn="0"/>
            </w:pPr>
            <w:r>
              <w:t>81</w:t>
            </w:r>
          </w:p>
        </w:tc>
        <w:tc>
          <w:tcPr>
            <w:tcW w:w="964" w:type="dxa"/>
            <w:tcBorders>
              <w:bottom w:val="single" w:sz="6" w:space="0" w:color="auto"/>
            </w:tcBorders>
          </w:tcPr>
          <w:p w14:paraId="55E5D84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6DA61DC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r>
      <w:tr w:rsidR="00824558" w14:paraId="143C8FEC"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18B45425" w14:textId="77777777" w:rsidR="00824558" w:rsidRDefault="00824558">
            <w:pPr>
              <w:ind w:left="170"/>
            </w:pPr>
            <w:r>
              <w:t>On-time case processing – Coronial matters resolved or otherwise finalised within 12 months in the Coroners Court</w:t>
            </w:r>
          </w:p>
        </w:tc>
        <w:tc>
          <w:tcPr>
            <w:tcW w:w="964" w:type="dxa"/>
            <w:tcBorders>
              <w:bottom w:val="single" w:sz="6" w:space="0" w:color="auto"/>
            </w:tcBorders>
          </w:tcPr>
          <w:p w14:paraId="590CDF77"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5DE5B1C5"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4FE1AEBA"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1FF8FF72"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single" w:sz="6" w:space="0" w:color="auto"/>
            </w:tcBorders>
          </w:tcPr>
          <w:p w14:paraId="2E6C8524" w14:textId="77777777" w:rsidR="00824558" w:rsidRDefault="00824558">
            <w:pPr>
              <w:cnfStyle w:val="000000000000" w:firstRow="0" w:lastRow="0" w:firstColumn="0" w:lastColumn="0" w:oddVBand="0" w:evenVBand="0" w:oddHBand="0" w:evenHBand="0" w:firstRowFirstColumn="0" w:firstRowLastColumn="0" w:lastRowFirstColumn="0" w:lastRowLastColumn="0"/>
            </w:pPr>
            <w:r>
              <w:t>79</w:t>
            </w:r>
          </w:p>
        </w:tc>
      </w:tr>
      <w:tr w:rsidR="00824558" w14:paraId="527537FF" w14:textId="77777777">
        <w:tc>
          <w:tcPr>
            <w:cnfStyle w:val="001000000000" w:firstRow="0" w:lastRow="0" w:firstColumn="1" w:lastColumn="0" w:oddVBand="0" w:evenVBand="0" w:oddHBand="0" w:evenHBand="0" w:firstRowFirstColumn="0" w:firstRowLastColumn="0" w:lastRowFirstColumn="0" w:lastRowLastColumn="0"/>
            <w:tcW w:w="4819" w:type="dxa"/>
          </w:tcPr>
          <w:p w14:paraId="7269FC0A" w14:textId="77777777" w:rsidR="00824558" w:rsidRDefault="00824558">
            <w:pPr>
              <w:keepNext/>
              <w:ind w:left="170"/>
            </w:pPr>
            <w:r>
              <w:t>On-time case processing – Criminal matters resolved or otherwise finalised within 12 months in the County Court</w:t>
            </w:r>
          </w:p>
        </w:tc>
        <w:tc>
          <w:tcPr>
            <w:tcW w:w="964" w:type="dxa"/>
          </w:tcPr>
          <w:p w14:paraId="66F70B6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E7CA344"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E903A6C" w14:textId="77777777" w:rsidR="00824558" w:rsidRDefault="00824558">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7E1E2F73"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70F5678" w14:textId="77777777" w:rsidR="00824558" w:rsidRDefault="00824558">
            <w:pPr>
              <w:cnfStyle w:val="000000000000" w:firstRow="0" w:lastRow="0" w:firstColumn="0" w:lastColumn="0" w:oddVBand="0" w:evenVBand="0" w:oddHBand="0" w:evenHBand="0" w:firstRowFirstColumn="0" w:firstRowLastColumn="0" w:lastRowFirstColumn="0" w:lastRowLastColumn="0"/>
            </w:pPr>
            <w:r>
              <w:t>71</w:t>
            </w:r>
          </w:p>
        </w:tc>
      </w:tr>
      <w:tr w:rsidR="00824558" w14:paraId="64249CAB"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5F21BE2" w14:textId="5D3487AE" w:rsidR="00824558" w:rsidRDefault="00824558">
            <w:pPr>
              <w:ind w:left="170"/>
            </w:pPr>
            <w:r>
              <w:rPr>
                <w:i/>
              </w:rPr>
              <w:t xml:space="preserve">The </w:t>
            </w:r>
            <w:r>
              <w:rPr>
                <w:i/>
                <w:iCs/>
              </w:rPr>
              <w:t>2025-26 expected outcome is lower than the 2025-26 target</w:t>
            </w:r>
            <w:r>
              <w:rPr>
                <w:i/>
              </w:rPr>
              <w:t xml:space="preserve"> due to increasing trial (not guilty) initiations at the County Court.</w:t>
            </w:r>
          </w:p>
        </w:tc>
      </w:tr>
      <w:tr w:rsidR="00824558" w14:paraId="6AEA4207" w14:textId="77777777">
        <w:tc>
          <w:tcPr>
            <w:cnfStyle w:val="001000000000" w:firstRow="0" w:lastRow="0" w:firstColumn="1" w:lastColumn="0" w:oddVBand="0" w:evenVBand="0" w:oddHBand="0" w:evenHBand="0" w:firstRowFirstColumn="0" w:firstRowLastColumn="0" w:lastRowFirstColumn="0" w:lastRowLastColumn="0"/>
            <w:tcW w:w="4819" w:type="dxa"/>
          </w:tcPr>
          <w:p w14:paraId="6B9B37CA" w14:textId="77777777" w:rsidR="00824558" w:rsidRDefault="00824558">
            <w:pPr>
              <w:keepNext/>
              <w:ind w:left="170"/>
            </w:pPr>
            <w:r>
              <w:t>On-time case processing – Criminal matters resolved or otherwise finalised within 12 months in the Supreme Court</w:t>
            </w:r>
          </w:p>
        </w:tc>
        <w:tc>
          <w:tcPr>
            <w:tcW w:w="964" w:type="dxa"/>
          </w:tcPr>
          <w:p w14:paraId="3CB84143"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AC6B01" w14:textId="77777777" w:rsidR="00824558" w:rsidRDefault="00824558">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0891B9AB" w14:textId="77777777" w:rsidR="00824558" w:rsidRDefault="00824558">
            <w:pPr>
              <w:cnfStyle w:val="000000000000" w:firstRow="0" w:lastRow="0" w:firstColumn="0" w:lastColumn="0" w:oddVBand="0" w:evenVBand="0" w:oddHBand="0" w:evenHBand="0" w:firstRowFirstColumn="0" w:firstRowLastColumn="0" w:lastRowFirstColumn="0" w:lastRowLastColumn="0"/>
            </w:pPr>
            <w:r>
              <w:t>78</w:t>
            </w:r>
          </w:p>
        </w:tc>
        <w:tc>
          <w:tcPr>
            <w:tcW w:w="964" w:type="dxa"/>
          </w:tcPr>
          <w:p w14:paraId="598C805A"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7E24F57A"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r>
      <w:tr w:rsidR="00824558" w14:paraId="7C1D50B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7F3F85C" w14:textId="77777777" w:rsidR="00824558" w:rsidRDefault="00824558">
            <w:pPr>
              <w:ind w:left="170"/>
            </w:pPr>
            <w:r>
              <w:rPr>
                <w:i/>
              </w:rPr>
              <w:t xml:space="preserve">The </w:t>
            </w:r>
            <w:r>
              <w:rPr>
                <w:i/>
                <w:iCs/>
              </w:rPr>
              <w:t>2025-26 expected outcome is lower than the 2025-26 target</w:t>
            </w:r>
            <w:r>
              <w:rPr>
                <w:i/>
              </w:rPr>
              <w:t xml:space="preserve"> due to several factors, including the fast-track procedure for homicide matters.</w:t>
            </w:r>
          </w:p>
          <w:p w14:paraId="258BB7F7" w14:textId="77777777" w:rsidR="00824558" w:rsidRDefault="00824558">
            <w:pPr>
              <w:ind w:left="170"/>
            </w:pPr>
            <w:r>
              <w:rPr>
                <w:i/>
              </w:rPr>
              <w:t xml:space="preserve">The lower 2026-27 target is due to the commencement of legislative amendments transforming the fast-track pilot for homicide cases into a compulsory process of early committal across committals to the Supreme Court. </w:t>
            </w:r>
          </w:p>
        </w:tc>
      </w:tr>
      <w:tr w:rsidR="00824558" w14:paraId="40A5D55D"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BADD84B" w14:textId="08505D75" w:rsidR="00824558" w:rsidRDefault="00824558">
            <w:pPr>
              <w:ind w:left="170"/>
            </w:pPr>
            <w:r>
              <w:t>On-time case processing – Criminal matters resolved or otherwise finalised within 6 months in the Children</w:t>
            </w:r>
            <w:r w:rsidR="007942D1">
              <w:t>’</w:t>
            </w:r>
            <w:r>
              <w:t>s Court</w:t>
            </w:r>
          </w:p>
        </w:tc>
        <w:tc>
          <w:tcPr>
            <w:tcW w:w="964" w:type="dxa"/>
            <w:tcBorders>
              <w:bottom w:val="single" w:sz="6" w:space="0" w:color="auto"/>
            </w:tcBorders>
          </w:tcPr>
          <w:p w14:paraId="274F7310"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DFE0109"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47A700B"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8290B3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99F55A8"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r>
      <w:tr w:rsidR="00824558" w14:paraId="147A2BD8" w14:textId="77777777">
        <w:tc>
          <w:tcPr>
            <w:cnfStyle w:val="001000000000" w:firstRow="0" w:lastRow="0" w:firstColumn="1" w:lastColumn="0" w:oddVBand="0" w:evenVBand="0" w:oddHBand="0" w:evenHBand="0" w:firstRowFirstColumn="0" w:firstRowLastColumn="0" w:lastRowFirstColumn="0" w:lastRowLastColumn="0"/>
            <w:tcW w:w="4819" w:type="dxa"/>
          </w:tcPr>
          <w:p w14:paraId="34F727A1" w14:textId="2FC35918" w:rsidR="00824558" w:rsidRDefault="00824558">
            <w:pPr>
              <w:keepNext/>
              <w:ind w:left="170"/>
            </w:pPr>
            <w:r>
              <w:t>On-time case processing – Criminal matters resolved or otherwise finalised within 6 months in the Magistrates</w:t>
            </w:r>
            <w:r w:rsidR="007942D1">
              <w:t>’</w:t>
            </w:r>
            <w:r>
              <w:t xml:space="preserve"> Court</w:t>
            </w:r>
          </w:p>
        </w:tc>
        <w:tc>
          <w:tcPr>
            <w:tcW w:w="964" w:type="dxa"/>
          </w:tcPr>
          <w:p w14:paraId="08B812F9"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8BC98E0"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641889E" w14:textId="77777777" w:rsidR="00824558" w:rsidRDefault="00824558">
            <w:pPr>
              <w:cnfStyle w:val="000000000000" w:firstRow="0" w:lastRow="0" w:firstColumn="0" w:lastColumn="0" w:oddVBand="0" w:evenVBand="0" w:oddHBand="0" w:evenHBand="0" w:firstRowFirstColumn="0" w:firstRowLastColumn="0" w:lastRowFirstColumn="0" w:lastRowLastColumn="0"/>
            </w:pPr>
            <w:r>
              <w:t>69</w:t>
            </w:r>
          </w:p>
        </w:tc>
        <w:tc>
          <w:tcPr>
            <w:tcW w:w="964" w:type="dxa"/>
          </w:tcPr>
          <w:p w14:paraId="6B22D490" w14:textId="77777777" w:rsidR="00824558" w:rsidRDefault="00824558">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24176E0" w14:textId="77777777" w:rsidR="00824558" w:rsidRDefault="00824558">
            <w:pPr>
              <w:cnfStyle w:val="000000000000" w:firstRow="0" w:lastRow="0" w:firstColumn="0" w:lastColumn="0" w:oddVBand="0" w:evenVBand="0" w:oddHBand="0" w:evenHBand="0" w:firstRowFirstColumn="0" w:firstRowLastColumn="0" w:lastRowFirstColumn="0" w:lastRowLastColumn="0"/>
            </w:pPr>
            <w:r>
              <w:t>72</w:t>
            </w:r>
          </w:p>
        </w:tc>
      </w:tr>
      <w:tr w:rsidR="00824558" w14:paraId="091C7EEC"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DF0C759" w14:textId="77777777" w:rsidR="00824558" w:rsidRDefault="00824558">
            <w:pPr>
              <w:ind w:left="170"/>
            </w:pPr>
            <w:r>
              <w:rPr>
                <w:i/>
              </w:rPr>
              <w:t xml:space="preserve">The </w:t>
            </w:r>
            <w:r>
              <w:rPr>
                <w:i/>
                <w:iCs/>
              </w:rPr>
              <w:t>2025-26 expected outcome is lower than the 2025-26 target</w:t>
            </w:r>
            <w:r>
              <w:rPr>
                <w:i/>
              </w:rPr>
              <w:t xml:space="preserve"> due to bail reform resulting in the prioritisation of urgent custody cases and bail-related applications. </w:t>
            </w:r>
          </w:p>
        </w:tc>
      </w:tr>
      <w:tr w:rsidR="00824558" w14:paraId="1CA1EBEF"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253DD231" w14:textId="7D02E9E3" w:rsidR="00824558" w:rsidRDefault="00824558">
            <w:pPr>
              <w:ind w:left="170"/>
            </w:pPr>
            <w:r>
              <w:t>On-time case processing – Family Division matters resolved or otherwise finalised within 9 months in the Children</w:t>
            </w:r>
            <w:r w:rsidR="007942D1">
              <w:t>’</w:t>
            </w:r>
            <w:r>
              <w:t>s Court</w:t>
            </w:r>
          </w:p>
        </w:tc>
        <w:tc>
          <w:tcPr>
            <w:tcW w:w="964" w:type="dxa"/>
            <w:tcBorders>
              <w:bottom w:val="single" w:sz="6" w:space="0" w:color="auto"/>
            </w:tcBorders>
          </w:tcPr>
          <w:p w14:paraId="4FB56CF4"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7E21AD9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6D0DA211"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F0F5E23"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B9B3736" w14:textId="77777777" w:rsidR="00824558" w:rsidRDefault="00824558">
            <w:pPr>
              <w:cnfStyle w:val="000000000000" w:firstRow="0" w:lastRow="0" w:firstColumn="0" w:lastColumn="0" w:oddVBand="0" w:evenVBand="0" w:oddHBand="0" w:evenHBand="0" w:firstRowFirstColumn="0" w:firstRowLastColumn="0" w:lastRowFirstColumn="0" w:lastRowLastColumn="0"/>
            </w:pPr>
            <w:r>
              <w:t>89</w:t>
            </w:r>
          </w:p>
        </w:tc>
      </w:tr>
      <w:tr w:rsidR="00824558" w14:paraId="1542F38B"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0AE4F716" w14:textId="18B6A72A" w:rsidR="00824558" w:rsidRDefault="00824558">
            <w:pPr>
              <w:ind w:left="170"/>
            </w:pPr>
            <w:r>
              <w:t>On-time case processing – Family violence intervention orders resolved or otherwise finalised within 6 months in the Magistrates</w:t>
            </w:r>
            <w:r w:rsidR="007942D1">
              <w:t>’</w:t>
            </w:r>
            <w:r>
              <w:t xml:space="preserve"> Court</w:t>
            </w:r>
          </w:p>
        </w:tc>
        <w:tc>
          <w:tcPr>
            <w:tcW w:w="964" w:type="dxa"/>
            <w:tcBorders>
              <w:bottom w:val="single" w:sz="6" w:space="0" w:color="auto"/>
            </w:tcBorders>
          </w:tcPr>
          <w:p w14:paraId="0CE7B08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2F6B107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96389A3" w14:textId="77777777" w:rsidR="00824558" w:rsidRDefault="00824558">
            <w:pPr>
              <w:cnfStyle w:val="000000000000" w:firstRow="0" w:lastRow="0" w:firstColumn="0" w:lastColumn="0" w:oddVBand="0" w:evenVBand="0" w:oddHBand="0" w:evenHBand="0" w:firstRowFirstColumn="0" w:firstRowLastColumn="0" w:lastRowFirstColumn="0" w:lastRowLastColumn="0"/>
            </w:pPr>
            <w:r>
              <w:t>86</w:t>
            </w:r>
          </w:p>
        </w:tc>
        <w:tc>
          <w:tcPr>
            <w:tcW w:w="964" w:type="dxa"/>
            <w:tcBorders>
              <w:bottom w:val="single" w:sz="6" w:space="0" w:color="auto"/>
            </w:tcBorders>
          </w:tcPr>
          <w:p w14:paraId="3AA3F4FA"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3EF9EE97"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14:paraId="40088516" w14:textId="77777777">
        <w:tc>
          <w:tcPr>
            <w:cnfStyle w:val="001000000000" w:firstRow="0" w:lastRow="0" w:firstColumn="1" w:lastColumn="0" w:oddVBand="0" w:evenVBand="0" w:oddHBand="0" w:evenHBand="0" w:firstRowFirstColumn="0" w:firstRowLastColumn="0" w:lastRowFirstColumn="0" w:lastRowLastColumn="0"/>
            <w:tcW w:w="4819" w:type="dxa"/>
            <w:tcBorders>
              <w:bottom w:val="single" w:sz="6" w:space="0" w:color="auto"/>
            </w:tcBorders>
          </w:tcPr>
          <w:p w14:paraId="4485E96C" w14:textId="2087F428" w:rsidR="00824558" w:rsidRDefault="00824558">
            <w:pPr>
              <w:ind w:left="170"/>
            </w:pPr>
            <w:r>
              <w:t>On-time case processing – Family violence intervention orders resolved or otherwise finalised within 9 months in the Children</w:t>
            </w:r>
            <w:r w:rsidR="007942D1">
              <w:t>’</w:t>
            </w:r>
            <w:r>
              <w:t>s Court</w:t>
            </w:r>
          </w:p>
        </w:tc>
        <w:tc>
          <w:tcPr>
            <w:tcW w:w="964" w:type="dxa"/>
            <w:tcBorders>
              <w:bottom w:val="single" w:sz="6" w:space="0" w:color="auto"/>
            </w:tcBorders>
          </w:tcPr>
          <w:p w14:paraId="6058AA7A"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single" w:sz="6" w:space="0" w:color="auto"/>
            </w:tcBorders>
            <w:shd w:val="clear" w:color="auto" w:fill="F0F0F0"/>
          </w:tcPr>
          <w:p w14:paraId="4490E6C8"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05F2660B" w14:textId="77777777" w:rsidR="00824558" w:rsidRDefault="00824558">
            <w:pPr>
              <w:cnfStyle w:val="000000000000" w:firstRow="0" w:lastRow="0" w:firstColumn="0" w:lastColumn="0" w:oddVBand="0" w:evenVBand="0" w:oddHBand="0" w:evenHBand="0" w:firstRowFirstColumn="0" w:firstRowLastColumn="0" w:lastRowFirstColumn="0" w:lastRowLastColumn="0"/>
            </w:pPr>
            <w:r>
              <w:t>94</w:t>
            </w:r>
          </w:p>
        </w:tc>
        <w:tc>
          <w:tcPr>
            <w:tcW w:w="964" w:type="dxa"/>
            <w:tcBorders>
              <w:bottom w:val="single" w:sz="6" w:space="0" w:color="auto"/>
            </w:tcBorders>
          </w:tcPr>
          <w:p w14:paraId="3F41703D" w14:textId="77777777" w:rsidR="00824558" w:rsidRDefault="00824558">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single" w:sz="6" w:space="0" w:color="auto"/>
            </w:tcBorders>
          </w:tcPr>
          <w:p w14:paraId="4C7BAF7F" w14:textId="77777777" w:rsidR="00824558" w:rsidRDefault="00824558">
            <w:pPr>
              <w:cnfStyle w:val="000000000000" w:firstRow="0" w:lastRow="0" w:firstColumn="0" w:lastColumn="0" w:oddVBand="0" w:evenVBand="0" w:oddHBand="0" w:evenHBand="0" w:firstRowFirstColumn="0" w:firstRowLastColumn="0" w:lastRowFirstColumn="0" w:lastRowLastColumn="0"/>
            </w:pPr>
            <w:r>
              <w:t>nm</w:t>
            </w:r>
          </w:p>
        </w:tc>
      </w:tr>
      <w:tr w:rsidR="00824558" w:rsidRPr="00235725" w14:paraId="207DE5A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1E670B0" w14:textId="77777777" w:rsidR="00824558" w:rsidRPr="00235725" w:rsidRDefault="00824558">
            <w:pPr>
              <w:keepNext/>
              <w:rPr>
                <w:b/>
                <w:bCs/>
                <w:iCs/>
              </w:rPr>
            </w:pPr>
            <w:r w:rsidRPr="00235725">
              <w:rPr>
                <w:b/>
                <w:bCs/>
                <w:iCs/>
              </w:rPr>
              <w:t>Cost</w:t>
            </w:r>
          </w:p>
        </w:tc>
      </w:tr>
      <w:tr w:rsidR="00824558" w14:paraId="04D6ED2B" w14:textId="77777777" w:rsidTr="005D3A4A">
        <w:tc>
          <w:tcPr>
            <w:cnfStyle w:val="001000000000" w:firstRow="0" w:lastRow="0" w:firstColumn="1" w:lastColumn="0" w:oddVBand="0" w:evenVBand="0" w:oddHBand="0" w:evenHBand="0" w:firstRowFirstColumn="0" w:firstRowLastColumn="0" w:lastRowFirstColumn="0" w:lastRowLastColumn="0"/>
            <w:tcW w:w="4819" w:type="dxa"/>
          </w:tcPr>
          <w:p w14:paraId="18E03015" w14:textId="77777777" w:rsidR="00824558" w:rsidRDefault="00824558">
            <w:pPr>
              <w:keepNext/>
              <w:ind w:left="170"/>
            </w:pPr>
            <w:r>
              <w:t>Total output cost</w:t>
            </w:r>
          </w:p>
        </w:tc>
        <w:tc>
          <w:tcPr>
            <w:tcW w:w="964" w:type="dxa"/>
          </w:tcPr>
          <w:p w14:paraId="6BA14522" w14:textId="77777777" w:rsidR="00824558" w:rsidRDefault="00824558">
            <w:pPr>
              <w:jc w:val="center"/>
              <w:cnfStyle w:val="000000000000" w:firstRow="0" w:lastRow="0" w:firstColumn="0" w:lastColumn="0" w:oddVBand="0" w:evenVBand="0" w:oddHBand="0" w:evenHBand="0" w:firstRowFirstColumn="0" w:firstRowLastColumn="0" w:lastRowFirstColumn="0" w:lastRowLastColumn="0"/>
            </w:pPr>
            <w:r>
              <w:t>$ million</w:t>
            </w:r>
          </w:p>
        </w:tc>
        <w:tc>
          <w:tcPr>
            <w:tcW w:w="964" w:type="dxa"/>
            <w:shd w:val="clear" w:color="auto" w:fill="F0F0F0"/>
          </w:tcPr>
          <w:p w14:paraId="24E60956" w14:textId="77777777" w:rsidR="00824558" w:rsidRDefault="00824558">
            <w:pPr>
              <w:cnfStyle w:val="000000000000" w:firstRow="0" w:lastRow="0" w:firstColumn="0" w:lastColumn="0" w:oddVBand="0" w:evenVBand="0" w:oddHBand="0" w:evenHBand="0" w:firstRowFirstColumn="0" w:firstRowLastColumn="0" w:lastRowFirstColumn="0" w:lastRowLastColumn="0"/>
            </w:pPr>
            <w:r>
              <w:t>894.7</w:t>
            </w:r>
          </w:p>
        </w:tc>
        <w:tc>
          <w:tcPr>
            <w:tcW w:w="964" w:type="dxa"/>
          </w:tcPr>
          <w:p w14:paraId="2800F5F2" w14:textId="77777777" w:rsidR="00824558" w:rsidRDefault="00824558">
            <w:pPr>
              <w:cnfStyle w:val="000000000000" w:firstRow="0" w:lastRow="0" w:firstColumn="0" w:lastColumn="0" w:oddVBand="0" w:evenVBand="0" w:oddHBand="0" w:evenHBand="0" w:firstRowFirstColumn="0" w:firstRowLastColumn="0" w:lastRowFirstColumn="0" w:lastRowLastColumn="0"/>
            </w:pPr>
            <w:r>
              <w:t>897.3</w:t>
            </w:r>
          </w:p>
        </w:tc>
        <w:tc>
          <w:tcPr>
            <w:tcW w:w="964" w:type="dxa"/>
          </w:tcPr>
          <w:p w14:paraId="47E80640" w14:textId="77777777" w:rsidR="00824558" w:rsidRDefault="00824558">
            <w:pPr>
              <w:cnfStyle w:val="000000000000" w:firstRow="0" w:lastRow="0" w:firstColumn="0" w:lastColumn="0" w:oddVBand="0" w:evenVBand="0" w:oddHBand="0" w:evenHBand="0" w:firstRowFirstColumn="0" w:firstRowLastColumn="0" w:lastRowFirstColumn="0" w:lastRowLastColumn="0"/>
            </w:pPr>
            <w:r>
              <w:t>834.2</w:t>
            </w:r>
          </w:p>
        </w:tc>
        <w:tc>
          <w:tcPr>
            <w:tcW w:w="964" w:type="dxa"/>
          </w:tcPr>
          <w:p w14:paraId="2B44AE14" w14:textId="77777777" w:rsidR="00824558" w:rsidRDefault="00824558">
            <w:pPr>
              <w:cnfStyle w:val="000000000000" w:firstRow="0" w:lastRow="0" w:firstColumn="0" w:lastColumn="0" w:oddVBand="0" w:evenVBand="0" w:oddHBand="0" w:evenHBand="0" w:firstRowFirstColumn="0" w:firstRowLastColumn="0" w:lastRowFirstColumn="0" w:lastRowLastColumn="0"/>
            </w:pPr>
            <w:r>
              <w:t>877.6</w:t>
            </w:r>
          </w:p>
        </w:tc>
      </w:tr>
      <w:tr w:rsidR="00824558" w14:paraId="5364B346" w14:textId="77777777" w:rsidTr="005D3A4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E442026" w14:textId="2DBBD5AD" w:rsidR="0029008F" w:rsidRDefault="0029008F" w:rsidP="0029008F">
            <w:pPr>
              <w:ind w:left="170"/>
              <w:rPr>
                <w:i/>
              </w:rPr>
            </w:pPr>
            <w:r w:rsidRPr="000A481A">
              <w:rPr>
                <w:i/>
              </w:rPr>
              <w:t xml:space="preserve">The variance between the </w:t>
            </w:r>
            <w:r>
              <w:rPr>
                <w:i/>
              </w:rPr>
              <w:t xml:space="preserve">2025-26 </w:t>
            </w:r>
            <w:r w:rsidRPr="000A481A">
              <w:rPr>
                <w:i/>
              </w:rPr>
              <w:t xml:space="preserve">estimate and the expected outcome is due to funding provided for the implementation of the </w:t>
            </w:r>
            <w:r w:rsidRPr="00256AF9">
              <w:rPr>
                <w:i/>
              </w:rPr>
              <w:t>tougher bail laws and Adult Time for Violent Crime</w:t>
            </w:r>
            <w:r>
              <w:rPr>
                <w:i/>
              </w:rPr>
              <w:t xml:space="preserve"> reforms</w:t>
            </w:r>
            <w:r w:rsidRPr="000A481A">
              <w:rPr>
                <w:i/>
              </w:rPr>
              <w:t>, grant revenue provided for VCAT’s continued establishment of R</w:t>
            </w:r>
            <w:r>
              <w:rPr>
                <w:i/>
              </w:rPr>
              <w:t xml:space="preserve">ental </w:t>
            </w:r>
            <w:r w:rsidRPr="000A481A">
              <w:rPr>
                <w:i/>
              </w:rPr>
              <w:t>D</w:t>
            </w:r>
            <w:r>
              <w:rPr>
                <w:i/>
              </w:rPr>
              <w:t xml:space="preserve">ispute </w:t>
            </w:r>
            <w:r w:rsidRPr="000A481A">
              <w:rPr>
                <w:i/>
              </w:rPr>
              <w:t>R</w:t>
            </w:r>
            <w:r>
              <w:rPr>
                <w:i/>
              </w:rPr>
              <w:t xml:space="preserve">esolution </w:t>
            </w:r>
            <w:r w:rsidRPr="000A481A">
              <w:rPr>
                <w:i/>
              </w:rPr>
              <w:t>V</w:t>
            </w:r>
            <w:r>
              <w:rPr>
                <w:i/>
              </w:rPr>
              <w:t>ictoria</w:t>
            </w:r>
            <w:r w:rsidRPr="000A481A">
              <w:rPr>
                <w:i/>
              </w:rPr>
              <w:t xml:space="preserve"> and initiatives under the Public Purpose Fund. </w:t>
            </w:r>
          </w:p>
          <w:p w14:paraId="1261F79B" w14:textId="2279FFF1" w:rsidR="00824558" w:rsidRDefault="003D6E46">
            <w:pPr>
              <w:ind w:left="170"/>
            </w:pPr>
            <w:r>
              <w:rPr>
                <w:i/>
              </w:rPr>
              <w:t xml:space="preserve">The higher 2026-27 target is primarily due to </w:t>
            </w:r>
            <w:r w:rsidRPr="00B22785">
              <w:rPr>
                <w:i/>
              </w:rPr>
              <w:t xml:space="preserve">new funding post </w:t>
            </w:r>
            <w:r w:rsidRPr="004A236F">
              <w:t xml:space="preserve">2025-26 </w:t>
            </w:r>
            <w:r w:rsidR="004A236F" w:rsidRPr="004A236F">
              <w:rPr>
                <w:iCs/>
              </w:rPr>
              <w:t>Budget</w:t>
            </w:r>
            <w:r w:rsidRPr="00B22785">
              <w:rPr>
                <w:i/>
              </w:rPr>
              <w:t xml:space="preserve"> and new initiatives funded in the </w:t>
            </w:r>
            <w:r w:rsidRPr="004A236F">
              <w:t>2026-27 Budget</w:t>
            </w:r>
            <w:r w:rsidR="004A236F">
              <w:rPr>
                <w:i/>
              </w:rPr>
              <w:t>.</w:t>
            </w:r>
          </w:p>
        </w:tc>
      </w:tr>
    </w:tbl>
    <w:p w14:paraId="4B4D2AAF" w14:textId="77777777" w:rsidR="008A00D1" w:rsidRDefault="00824558">
      <w:pPr>
        <w:pStyle w:val="Source"/>
      </w:pPr>
      <w:r>
        <w:t>Source: Court Services Victoria</w:t>
      </w:r>
    </w:p>
    <w:p w14:paraId="013C34A3" w14:textId="77777777" w:rsidR="008A00D1" w:rsidRDefault="008A00D1">
      <w:pPr>
        <w:pStyle w:val="Source"/>
        <w:sectPr w:rsidR="008A00D1" w:rsidSect="001F14A3">
          <w:footerReference w:type="even" r:id="rId42"/>
          <w:footerReference w:type="default" r:id="rId43"/>
          <w:pgSz w:w="11907" w:h="16840" w:code="9"/>
          <w:pgMar w:top="1138" w:right="1138" w:bottom="1138" w:left="1138" w:header="619" w:footer="562" w:gutter="0"/>
          <w:cols w:space="708"/>
          <w:docGrid w:linePitch="360"/>
        </w:sectPr>
      </w:pPr>
    </w:p>
    <w:p w14:paraId="29DF2981" w14:textId="77777777" w:rsidR="00127EF6" w:rsidRPr="00451365" w:rsidRDefault="00127EF6" w:rsidP="0032269D">
      <w:pPr>
        <w:pStyle w:val="ChapterHeading"/>
      </w:pPr>
      <w:bookmarkStart w:id="28" w:name="_Toc228288107"/>
      <w:r w:rsidRPr="00451365">
        <w:t xml:space="preserve">Appendix A – </w:t>
      </w:r>
      <w:bookmarkStart w:id="29" w:name="_Hlk197542503"/>
      <w:r w:rsidRPr="00451365">
        <w:t>Output performance measures for review by the Public Accounts and Estimates Committee</w:t>
      </w:r>
      <w:bookmarkEnd w:id="28"/>
      <w:bookmarkEnd w:id="29"/>
    </w:p>
    <w:p w14:paraId="7B36E577" w14:textId="5C4B5460" w:rsidR="00127EF6" w:rsidRDefault="00127EF6" w:rsidP="00706B7E">
      <w:pPr>
        <w:pStyle w:val="Heading1"/>
        <w:spacing w:after="180"/>
      </w:pPr>
      <w:bookmarkStart w:id="30" w:name="_Toc228288108"/>
      <w:r>
        <w:t>Department of Education</w:t>
      </w:r>
      <w:bookmarkEnd w:id="30"/>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127EF6" w14:paraId="0C84AED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040E1100" w14:textId="77777777" w:rsidR="00127EF6" w:rsidRDefault="00127EF6">
            <w:r>
              <w:t>Performance measure</w:t>
            </w:r>
          </w:p>
        </w:tc>
        <w:tc>
          <w:tcPr>
            <w:tcW w:w="964" w:type="dxa"/>
          </w:tcPr>
          <w:p w14:paraId="2AAEEFC3"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430DF9D"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1FF405C"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854D759"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9D64793"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690C09B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93533AB" w14:textId="4AF63987" w:rsidR="00127EF6" w:rsidRDefault="00235725">
            <w:pPr>
              <w:keepNext/>
            </w:pPr>
            <w:r>
              <w:rPr>
                <w:b/>
              </w:rPr>
              <w:t>SUPPORTS FOR SCHOOL AND STAFF</w:t>
            </w:r>
          </w:p>
        </w:tc>
      </w:tr>
      <w:tr w:rsidR="00127EF6" w:rsidRPr="00235725" w14:paraId="18AF513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DDDFFE9" w14:textId="77777777" w:rsidR="00127EF6" w:rsidRPr="00235725" w:rsidRDefault="00127EF6">
            <w:pPr>
              <w:keepNext/>
              <w:rPr>
                <w:b/>
                <w:bCs/>
                <w:iCs/>
              </w:rPr>
            </w:pPr>
            <w:r w:rsidRPr="00235725">
              <w:rPr>
                <w:b/>
                <w:bCs/>
                <w:iCs/>
              </w:rPr>
              <w:t>Quantity</w:t>
            </w:r>
          </w:p>
        </w:tc>
      </w:tr>
      <w:tr w:rsidR="00127EF6" w14:paraId="0616304A" w14:textId="77777777">
        <w:tc>
          <w:tcPr>
            <w:cnfStyle w:val="001000000000" w:firstRow="0" w:lastRow="0" w:firstColumn="1" w:lastColumn="0" w:oddVBand="0" w:evenVBand="0" w:oddHBand="0" w:evenHBand="0" w:firstRowFirstColumn="0" w:firstRowLastColumn="0" w:lastRowFirstColumn="0" w:lastRowLastColumn="0"/>
            <w:tcW w:w="4819" w:type="dxa"/>
          </w:tcPr>
          <w:p w14:paraId="18CC1822" w14:textId="77777777" w:rsidR="00127EF6" w:rsidRDefault="00127EF6">
            <w:pPr>
              <w:keepNext/>
              <w:ind w:left="170"/>
            </w:pPr>
            <w:r>
              <w:t>Growth in commencements in secondary and dual primary/secondary ITE courses</w:t>
            </w:r>
          </w:p>
        </w:tc>
        <w:tc>
          <w:tcPr>
            <w:tcW w:w="964" w:type="dxa"/>
          </w:tcPr>
          <w:p w14:paraId="68C67FB4"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21E14C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710D256" w14:textId="77777777" w:rsidR="00127EF6" w:rsidRDefault="00127EF6">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5B623396" w14:textId="77777777" w:rsidR="00127EF6" w:rsidRDefault="00127EF6">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6161F58E" w14:textId="77777777" w:rsidR="00127EF6" w:rsidRDefault="00127EF6">
            <w:pPr>
              <w:cnfStyle w:val="000000000000" w:firstRow="0" w:lastRow="0" w:firstColumn="0" w:lastColumn="0" w:oddVBand="0" w:evenVBand="0" w:oddHBand="0" w:evenHBand="0" w:firstRowFirstColumn="0" w:firstRowLastColumn="0" w:lastRowFirstColumn="0" w:lastRowLastColumn="0"/>
            </w:pPr>
            <w:r>
              <w:t>31.97</w:t>
            </w:r>
          </w:p>
        </w:tc>
      </w:tr>
      <w:tr w:rsidR="00127EF6" w14:paraId="75D5933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C474959" w14:textId="440CA3FE" w:rsidR="00127EF6" w:rsidRDefault="00127EF6">
            <w:pPr>
              <w:ind w:left="170"/>
            </w:pPr>
            <w:r>
              <w:rPr>
                <w:i/>
              </w:rPr>
              <w:t>This performance measure relates to the calendar year. This performance measure is proposed to be discontinued and replaced with the measure ‘Number of secondary teaching scholarships allocated’.</w:t>
            </w:r>
          </w:p>
        </w:tc>
      </w:tr>
      <w:tr w:rsidR="00127EF6" w:rsidRPr="00235725" w14:paraId="069BE807"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D7E053E" w14:textId="77777777" w:rsidR="00127EF6" w:rsidRPr="00235725" w:rsidRDefault="00127EF6">
            <w:pPr>
              <w:keepNext/>
              <w:rPr>
                <w:b/>
                <w:bCs/>
                <w:iCs/>
              </w:rPr>
            </w:pPr>
            <w:r w:rsidRPr="00235725">
              <w:rPr>
                <w:b/>
                <w:bCs/>
                <w:iCs/>
              </w:rPr>
              <w:t>Quality</w:t>
            </w:r>
          </w:p>
        </w:tc>
      </w:tr>
      <w:tr w:rsidR="00127EF6" w14:paraId="680CC4B8" w14:textId="77777777">
        <w:tc>
          <w:tcPr>
            <w:cnfStyle w:val="001000000000" w:firstRow="0" w:lastRow="0" w:firstColumn="1" w:lastColumn="0" w:oddVBand="0" w:evenVBand="0" w:oddHBand="0" w:evenHBand="0" w:firstRowFirstColumn="0" w:firstRowLastColumn="0" w:lastRowFirstColumn="0" w:lastRowLastColumn="0"/>
            <w:tcW w:w="4819" w:type="dxa"/>
          </w:tcPr>
          <w:p w14:paraId="2621197B" w14:textId="77777777" w:rsidR="00127EF6" w:rsidRDefault="00127EF6">
            <w:pPr>
              <w:keepNext/>
              <w:ind w:left="170"/>
            </w:pPr>
            <w:r>
              <w:t>Proportion of government schools which have internet speeds of at least 1Mbps per student</w:t>
            </w:r>
          </w:p>
        </w:tc>
        <w:tc>
          <w:tcPr>
            <w:tcW w:w="964" w:type="dxa"/>
          </w:tcPr>
          <w:p w14:paraId="5EDB3B5B"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B80EA54"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3BAA4AF1"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0F09E2C2"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094CF2D7"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r>
      <w:tr w:rsidR="00127EF6" w14:paraId="58DF2E76"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CE3C3E6" w14:textId="268B0C60" w:rsidR="00127EF6" w:rsidRDefault="00127EF6">
            <w:pPr>
              <w:ind w:left="170"/>
            </w:pPr>
            <w:r>
              <w:rPr>
                <w:i/>
              </w:rPr>
              <w:t>This performance measure relates to the calendar year. This performance measure is proposed to be discontinued and replaced with the measure ‘Proportion of government schools which have internet speeds of at least 2Mbps per student’.</w:t>
            </w:r>
          </w:p>
        </w:tc>
      </w:tr>
      <w:tr w:rsidR="00127EF6" w14:paraId="212B5F77" w14:textId="77777777">
        <w:tc>
          <w:tcPr>
            <w:cnfStyle w:val="001000000000" w:firstRow="0" w:lastRow="0" w:firstColumn="1" w:lastColumn="0" w:oddVBand="0" w:evenVBand="0" w:oddHBand="0" w:evenHBand="0" w:firstRowFirstColumn="0" w:firstRowLastColumn="0" w:lastRowFirstColumn="0" w:lastRowLastColumn="0"/>
            <w:tcW w:w="4819" w:type="dxa"/>
          </w:tcPr>
          <w:p w14:paraId="050651E4" w14:textId="77777777" w:rsidR="00127EF6" w:rsidRDefault="00127EF6">
            <w:pPr>
              <w:keepNext/>
              <w:ind w:left="170"/>
            </w:pPr>
            <w:r>
              <w:t>Regulated schools that rate the VRQA effective or highly effective in performing its regulatory function</w:t>
            </w:r>
          </w:p>
        </w:tc>
        <w:tc>
          <w:tcPr>
            <w:tcW w:w="964" w:type="dxa"/>
          </w:tcPr>
          <w:p w14:paraId="5E805651"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C7C4DFE"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7C9110B" w14:textId="77777777" w:rsidR="00127EF6" w:rsidRDefault="00127EF6">
            <w:pPr>
              <w:cnfStyle w:val="000000000000" w:firstRow="0" w:lastRow="0" w:firstColumn="0" w:lastColumn="0" w:oddVBand="0" w:evenVBand="0" w:oddHBand="0" w:evenHBand="0" w:firstRowFirstColumn="0" w:firstRowLastColumn="0" w:lastRowFirstColumn="0" w:lastRowLastColumn="0"/>
            </w:pPr>
            <w:r>
              <w:t>84</w:t>
            </w:r>
          </w:p>
        </w:tc>
        <w:tc>
          <w:tcPr>
            <w:tcW w:w="964" w:type="dxa"/>
          </w:tcPr>
          <w:p w14:paraId="079FB1EF" w14:textId="77777777" w:rsidR="00127EF6" w:rsidRDefault="00127EF6">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1479D69F" w14:textId="77777777" w:rsidR="00127EF6" w:rsidRDefault="00127EF6">
            <w:pPr>
              <w:cnfStyle w:val="000000000000" w:firstRow="0" w:lastRow="0" w:firstColumn="0" w:lastColumn="0" w:oddVBand="0" w:evenVBand="0" w:oddHBand="0" w:evenHBand="0" w:firstRowFirstColumn="0" w:firstRowLastColumn="0" w:lastRowFirstColumn="0" w:lastRowLastColumn="0"/>
            </w:pPr>
            <w:r>
              <w:t>84</w:t>
            </w:r>
          </w:p>
        </w:tc>
      </w:tr>
      <w:tr w:rsidR="00127EF6" w14:paraId="39B9E4C3"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7FA1992" w14:textId="77777777" w:rsidR="00127EF6" w:rsidRDefault="00127EF6">
            <w:pPr>
              <w:ind w:left="170"/>
            </w:pPr>
            <w:r>
              <w:rPr>
                <w:i/>
              </w:rPr>
              <w:t xml:space="preserve">The 2025-26 expected outcome is lower than the 2025-26 target due to a decline in the number of schools completing the annual survey leading to higher variability in results. </w:t>
            </w:r>
          </w:p>
          <w:p w14:paraId="70B3B87F" w14:textId="77777777" w:rsidR="00127EF6" w:rsidRDefault="00127EF6">
            <w:pPr>
              <w:ind w:left="170"/>
            </w:pPr>
            <w:r>
              <w:rPr>
                <w:i/>
              </w:rPr>
              <w:t>This performance measure is proposed to be discontinued due to low participation in the annual survey.</w:t>
            </w:r>
          </w:p>
        </w:tc>
      </w:tr>
      <w:tr w:rsidR="00127EF6" w14:paraId="618F1379"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2B89D3CC" w14:textId="096796B8" w:rsidR="00127EF6" w:rsidRDefault="00235725" w:rsidP="00230D0D">
            <w:pPr>
              <w:keepNext/>
              <w:spacing w:before="60"/>
            </w:pPr>
            <w:r>
              <w:rPr>
                <w:b/>
              </w:rPr>
              <w:t>WELLBEING SUPPORTS FOR STUDENTS</w:t>
            </w:r>
          </w:p>
        </w:tc>
      </w:tr>
      <w:tr w:rsidR="00127EF6" w14:paraId="76BFC300" w14:textId="77777777">
        <w:tc>
          <w:tcPr>
            <w:cnfStyle w:val="001000000000" w:firstRow="0" w:lastRow="0" w:firstColumn="1" w:lastColumn="0" w:oddVBand="0" w:evenVBand="0" w:oddHBand="0" w:evenHBand="0" w:firstRowFirstColumn="0" w:firstRowLastColumn="0" w:lastRowFirstColumn="0" w:lastRowLastColumn="0"/>
            <w:tcW w:w="4819" w:type="dxa"/>
          </w:tcPr>
          <w:p w14:paraId="48EAE50B" w14:textId="77777777" w:rsidR="00127EF6" w:rsidRDefault="00127EF6">
            <w:pPr>
              <w:keepNext/>
              <w:ind w:left="170"/>
            </w:pPr>
            <w:r>
              <w:t>Proportion of Mental Health Fund Menu activities planned with a focus on prevention and early intervention</w:t>
            </w:r>
          </w:p>
        </w:tc>
        <w:tc>
          <w:tcPr>
            <w:tcW w:w="964" w:type="dxa"/>
          </w:tcPr>
          <w:p w14:paraId="7661B9E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E25A3C5"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5086FBF" w14:textId="77777777" w:rsidR="00127EF6" w:rsidRDefault="00127EF6">
            <w:pPr>
              <w:cnfStyle w:val="000000000000" w:firstRow="0" w:lastRow="0" w:firstColumn="0" w:lastColumn="0" w:oddVBand="0" w:evenVBand="0" w:oddHBand="0" w:evenHBand="0" w:firstRowFirstColumn="0" w:firstRowLastColumn="0" w:lastRowFirstColumn="0" w:lastRowLastColumn="0"/>
            </w:pPr>
            <w:r>
              <w:t>89.8</w:t>
            </w:r>
          </w:p>
        </w:tc>
        <w:tc>
          <w:tcPr>
            <w:tcW w:w="964" w:type="dxa"/>
          </w:tcPr>
          <w:p w14:paraId="4FB3A82F" w14:textId="77777777" w:rsidR="00127EF6" w:rsidRDefault="00127EF6">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3A47FCF3" w14:textId="77777777" w:rsidR="00127EF6" w:rsidRDefault="00127EF6">
            <w:pPr>
              <w:cnfStyle w:val="000000000000" w:firstRow="0" w:lastRow="0" w:firstColumn="0" w:lastColumn="0" w:oddVBand="0" w:evenVBand="0" w:oddHBand="0" w:evenHBand="0" w:firstRowFirstColumn="0" w:firstRowLastColumn="0" w:lastRowFirstColumn="0" w:lastRowLastColumn="0"/>
            </w:pPr>
            <w:r>
              <w:t>nm</w:t>
            </w:r>
          </w:p>
        </w:tc>
      </w:tr>
      <w:tr w:rsidR="00127EF6" w14:paraId="3215C89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5A8D734" w14:textId="77777777" w:rsidR="00127EF6" w:rsidRDefault="00127EF6">
            <w:pPr>
              <w:ind w:left="170"/>
            </w:pPr>
            <w:r>
              <w:rPr>
                <w:i/>
              </w:rPr>
              <w:t xml:space="preserve">The 2025-26 expected outcome is higher than the 2025-26 target due to schools having a strong emphasis on prevention and early intervention mental health supports. </w:t>
            </w:r>
          </w:p>
          <w:p w14:paraId="2954B7A4" w14:textId="7CA4ECB3" w:rsidR="00127EF6" w:rsidRDefault="00127EF6">
            <w:pPr>
              <w:ind w:left="170"/>
            </w:pPr>
            <w:r>
              <w:rPr>
                <w:i/>
              </w:rPr>
              <w:t>This performance measure relates to the calendar year. This performance measure is proposed to be discontinued and replaced with the measure ‘Proportion of Mental Health Menu items with a focus on prevention and early intervention’.</w:t>
            </w:r>
          </w:p>
        </w:tc>
      </w:tr>
    </w:tbl>
    <w:p w14:paraId="08BC7983" w14:textId="3EF0813D" w:rsidR="00127EF6" w:rsidRDefault="00A47EB3" w:rsidP="005314E1">
      <w:pPr>
        <w:pStyle w:val="Source"/>
      </w:pPr>
      <w:r>
        <w:t>Source: Department of Education</w:t>
      </w:r>
    </w:p>
    <w:p w14:paraId="10EE3CD3" w14:textId="77777777" w:rsidR="00695D0B" w:rsidRDefault="00695D0B">
      <w:pPr>
        <w:keepLines w:val="0"/>
        <w:rPr>
          <w:rFonts w:asciiTheme="majorHAnsi" w:eastAsiaTheme="majorEastAsia" w:hAnsiTheme="majorHAnsi" w:cstheme="majorBidi"/>
          <w:b/>
          <w:caps/>
          <w:sz w:val="27"/>
          <w:szCs w:val="32"/>
        </w:rPr>
      </w:pPr>
      <w:r>
        <w:br w:type="page"/>
      </w:r>
    </w:p>
    <w:p w14:paraId="79BF99DE" w14:textId="60F378B3" w:rsidR="00127EF6" w:rsidRDefault="00127EF6" w:rsidP="00706B7E">
      <w:pPr>
        <w:pStyle w:val="Heading1"/>
        <w:spacing w:after="180"/>
      </w:pPr>
      <w:bookmarkStart w:id="31" w:name="_Toc228288109"/>
      <w:r>
        <w:t>Department of Energy, Environment and Climate Action</w:t>
      </w:r>
      <w:bookmarkEnd w:id="31"/>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127EF6" w14:paraId="264EAAA6" w14:textId="77777777" w:rsidTr="00C65B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67ED68E" w14:textId="77777777" w:rsidR="00127EF6" w:rsidRDefault="00127EF6">
            <w:r>
              <w:t>Performance measure</w:t>
            </w:r>
          </w:p>
        </w:tc>
        <w:tc>
          <w:tcPr>
            <w:tcW w:w="964" w:type="dxa"/>
          </w:tcPr>
          <w:p w14:paraId="0AF9D7A3"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2DD237B9"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4B06DD3"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F722BA5"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4A01134F"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0983E459"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Pr>
          <w:p w14:paraId="32F559D4" w14:textId="36E409F9" w:rsidR="00127EF6" w:rsidRDefault="00235725">
            <w:pPr>
              <w:keepNext/>
            </w:pPr>
            <w:r>
              <w:rPr>
                <w:b/>
              </w:rPr>
              <w:t>AGRICULTURE</w:t>
            </w:r>
          </w:p>
        </w:tc>
      </w:tr>
      <w:tr w:rsidR="00127EF6" w:rsidRPr="00235725" w14:paraId="45ED1375"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Pr>
          <w:p w14:paraId="23DBE501" w14:textId="77777777" w:rsidR="00127EF6" w:rsidRPr="00235725" w:rsidRDefault="00127EF6">
            <w:pPr>
              <w:keepNext/>
              <w:rPr>
                <w:b/>
                <w:bCs/>
                <w:iCs/>
              </w:rPr>
            </w:pPr>
            <w:r w:rsidRPr="00235725">
              <w:rPr>
                <w:b/>
                <w:bCs/>
                <w:iCs/>
              </w:rPr>
              <w:t>Quantity</w:t>
            </w:r>
          </w:p>
        </w:tc>
      </w:tr>
      <w:tr w:rsidR="00127EF6" w14:paraId="4F47F812"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33103CE8" w14:textId="77777777" w:rsidR="00127EF6" w:rsidRDefault="00127EF6">
            <w:pPr>
              <w:keepNext/>
              <w:ind w:left="170"/>
            </w:pPr>
            <w:r>
              <w:t>Number of training activities undertaken under the Victorian Forestry Transition Program</w:t>
            </w:r>
          </w:p>
        </w:tc>
        <w:tc>
          <w:tcPr>
            <w:tcW w:w="964" w:type="dxa"/>
          </w:tcPr>
          <w:p w14:paraId="10FD5C1D"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2C3711E"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ED768A8" w14:textId="77777777" w:rsidR="00127EF6" w:rsidRDefault="00127EF6">
            <w:pPr>
              <w:cnfStyle w:val="000000000000" w:firstRow="0" w:lastRow="0" w:firstColumn="0" w:lastColumn="0" w:oddVBand="0" w:evenVBand="0" w:oddHBand="0" w:evenHBand="0" w:firstRowFirstColumn="0" w:firstRowLastColumn="0" w:lastRowFirstColumn="0" w:lastRowLastColumn="0"/>
            </w:pPr>
            <w:r>
              <w:t>450</w:t>
            </w:r>
          </w:p>
        </w:tc>
        <w:tc>
          <w:tcPr>
            <w:tcW w:w="964" w:type="dxa"/>
          </w:tcPr>
          <w:p w14:paraId="28D6F04A" w14:textId="77777777" w:rsidR="00127EF6" w:rsidRDefault="00127EF6">
            <w:pPr>
              <w:cnfStyle w:val="000000000000" w:firstRow="0" w:lastRow="0" w:firstColumn="0" w:lastColumn="0" w:oddVBand="0" w:evenVBand="0" w:oddHBand="0" w:evenHBand="0" w:firstRowFirstColumn="0" w:firstRowLastColumn="0" w:lastRowFirstColumn="0" w:lastRowLastColumn="0"/>
            </w:pPr>
            <w:r>
              <w:t>450</w:t>
            </w:r>
          </w:p>
        </w:tc>
        <w:tc>
          <w:tcPr>
            <w:tcW w:w="964" w:type="dxa"/>
          </w:tcPr>
          <w:p w14:paraId="58CD1914" w14:textId="77777777" w:rsidR="00127EF6" w:rsidRDefault="00127EF6">
            <w:pPr>
              <w:cnfStyle w:val="000000000000" w:firstRow="0" w:lastRow="0" w:firstColumn="0" w:lastColumn="0" w:oddVBand="0" w:evenVBand="0" w:oddHBand="0" w:evenHBand="0" w:firstRowFirstColumn="0" w:firstRowLastColumn="0" w:lastRowFirstColumn="0" w:lastRowLastColumn="0"/>
            </w:pPr>
            <w:r>
              <w:t>1 175</w:t>
            </w:r>
          </w:p>
        </w:tc>
      </w:tr>
      <w:tr w:rsidR="00127EF6" w14:paraId="27D27288"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704A248" w14:textId="77777777" w:rsidR="00127EF6" w:rsidRDefault="00127EF6">
            <w:pPr>
              <w:ind w:left="170"/>
            </w:pPr>
            <w:r>
              <w:rPr>
                <w:i/>
              </w:rPr>
              <w:t>This performance measure is proposed to be discontinued as this program ends on 30 June 2026.</w:t>
            </w:r>
          </w:p>
        </w:tc>
      </w:tr>
      <w:tr w:rsidR="00127EF6" w:rsidRPr="00235725" w14:paraId="154A73D2"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Pr>
          <w:p w14:paraId="4F80A518" w14:textId="77777777" w:rsidR="00127EF6" w:rsidRPr="00235725" w:rsidRDefault="00127EF6">
            <w:pPr>
              <w:keepNext/>
              <w:rPr>
                <w:b/>
                <w:bCs/>
                <w:iCs/>
              </w:rPr>
            </w:pPr>
            <w:r w:rsidRPr="00235725">
              <w:rPr>
                <w:b/>
                <w:bCs/>
                <w:iCs/>
              </w:rPr>
              <w:t>Quality</w:t>
            </w:r>
          </w:p>
        </w:tc>
      </w:tr>
      <w:tr w:rsidR="00127EF6" w14:paraId="5C8D0D73"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6449FA8E" w14:textId="77777777" w:rsidR="00127EF6" w:rsidRDefault="00127EF6">
            <w:pPr>
              <w:keepNext/>
              <w:ind w:left="170"/>
            </w:pPr>
            <w:r>
              <w:t>Grant recipients who met agreed milestones</w:t>
            </w:r>
          </w:p>
        </w:tc>
        <w:tc>
          <w:tcPr>
            <w:tcW w:w="964" w:type="dxa"/>
          </w:tcPr>
          <w:p w14:paraId="051E0D6E"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CF5E164"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FD4AE84" w14:textId="77777777" w:rsidR="00127EF6" w:rsidRDefault="00127EF6">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0D37DB18" w14:textId="77777777" w:rsidR="00127EF6" w:rsidRDefault="00127EF6">
            <w:pPr>
              <w:cnfStyle w:val="000000000000" w:firstRow="0" w:lastRow="0" w:firstColumn="0" w:lastColumn="0" w:oddVBand="0" w:evenVBand="0" w:oddHBand="0" w:evenHBand="0" w:firstRowFirstColumn="0" w:firstRowLastColumn="0" w:lastRowFirstColumn="0" w:lastRowLastColumn="0"/>
            </w:pPr>
            <w:r>
              <w:t>70</w:t>
            </w:r>
          </w:p>
        </w:tc>
        <w:tc>
          <w:tcPr>
            <w:tcW w:w="964" w:type="dxa"/>
          </w:tcPr>
          <w:p w14:paraId="32DCD2BB" w14:textId="77777777" w:rsidR="00127EF6" w:rsidRDefault="00127EF6">
            <w:pPr>
              <w:cnfStyle w:val="000000000000" w:firstRow="0" w:lastRow="0" w:firstColumn="0" w:lastColumn="0" w:oddVBand="0" w:evenVBand="0" w:oddHBand="0" w:evenHBand="0" w:firstRowFirstColumn="0" w:firstRowLastColumn="0" w:lastRowFirstColumn="0" w:lastRowLastColumn="0"/>
            </w:pPr>
            <w:r>
              <w:t>70</w:t>
            </w:r>
          </w:p>
        </w:tc>
      </w:tr>
      <w:tr w:rsidR="00127EF6" w14:paraId="6D432CA9"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A49D37D" w14:textId="76560350" w:rsidR="00127EF6" w:rsidRDefault="00127EF6">
            <w:pPr>
              <w:ind w:left="170"/>
            </w:pPr>
            <w:r w:rsidRPr="0B062978">
              <w:rPr>
                <w:i/>
                <w:iCs/>
              </w:rPr>
              <w:t>This performance measure is proposed to be discontinued as the Distillery Door Program will not run further grant rounds following 30</w:t>
            </w:r>
            <w:r w:rsidR="008413DB">
              <w:rPr>
                <w:i/>
                <w:iCs/>
              </w:rPr>
              <w:t> </w:t>
            </w:r>
            <w:r w:rsidRPr="0B062978">
              <w:rPr>
                <w:i/>
                <w:iCs/>
              </w:rPr>
              <w:t>June 2026.</w:t>
            </w:r>
          </w:p>
        </w:tc>
      </w:tr>
      <w:tr w:rsidR="00127EF6" w:rsidRPr="00235725" w14:paraId="5DA41204"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Pr>
          <w:p w14:paraId="45154FD2" w14:textId="77777777" w:rsidR="00127EF6" w:rsidRPr="00235725" w:rsidRDefault="00127EF6">
            <w:pPr>
              <w:keepNext/>
              <w:rPr>
                <w:b/>
                <w:bCs/>
                <w:iCs/>
              </w:rPr>
            </w:pPr>
            <w:r w:rsidRPr="00235725">
              <w:rPr>
                <w:b/>
                <w:bCs/>
                <w:iCs/>
              </w:rPr>
              <w:t>Timeliness</w:t>
            </w:r>
          </w:p>
        </w:tc>
      </w:tr>
      <w:tr w:rsidR="00127EF6" w14:paraId="3313CAC4"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7A53FE6A" w14:textId="77777777" w:rsidR="00127EF6" w:rsidRDefault="00127EF6">
            <w:pPr>
              <w:keepNext/>
              <w:ind w:left="170"/>
            </w:pPr>
            <w:r>
              <w:t>Actions commenced within specified timeframes to respond to new or amended assurance or accreditation programs to meet interstate requirements and enable export of Victorian plant and plant products</w:t>
            </w:r>
          </w:p>
        </w:tc>
        <w:tc>
          <w:tcPr>
            <w:tcW w:w="964" w:type="dxa"/>
          </w:tcPr>
          <w:p w14:paraId="035415FB"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BDC0032"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20058FB"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262655B" w14:textId="77777777" w:rsidR="00127EF6" w:rsidRDefault="00127EF6">
            <w:pPr>
              <w:cnfStyle w:val="000000000000" w:firstRow="0" w:lastRow="0" w:firstColumn="0" w:lastColumn="0" w:oddVBand="0" w:evenVBand="0" w:oddHBand="0" w:evenHBand="0" w:firstRowFirstColumn="0" w:firstRowLastColumn="0" w:lastRowFirstColumn="0" w:lastRowLastColumn="0"/>
            </w:pPr>
            <w:r>
              <w:t>96</w:t>
            </w:r>
          </w:p>
        </w:tc>
        <w:tc>
          <w:tcPr>
            <w:tcW w:w="964" w:type="dxa"/>
          </w:tcPr>
          <w:p w14:paraId="43D73B89"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r>
      <w:tr w:rsidR="00127EF6" w14:paraId="28563FE3"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9568C6F" w14:textId="1CAB9CBC" w:rsidR="00127EF6" w:rsidRDefault="00127EF6">
            <w:pPr>
              <w:ind w:left="170"/>
            </w:pPr>
            <w:r>
              <w:rPr>
                <w:i/>
              </w:rPr>
              <w:t>This performance measure is proposed to be discontinued as it has been replaced with the 2026-27 performance measure ‘Development or update of market access arrangements completed within specified timeframes to facilitate interstate trade for Victorian plants and plant products’. The new measure continues to report on the same assurance and accreditation programs as the previous measure, however the new measure reports on the completion of arrangements rather than preliminary actions. This better reflects activity within the Department’s control and is more aligned to a service delivery output of the Department.</w:t>
            </w:r>
          </w:p>
        </w:tc>
      </w:tr>
      <w:tr w:rsidR="00127EF6" w14:paraId="1D694382"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0FDDBED6" w14:textId="77777777" w:rsidR="00127EF6" w:rsidRDefault="00127EF6">
            <w:pPr>
              <w:keepNext/>
              <w:ind w:left="170"/>
            </w:pPr>
            <w:r>
              <w:t>Performance and grant agreements acquitted within timeframes specified in the funding agreement</w:t>
            </w:r>
          </w:p>
        </w:tc>
        <w:tc>
          <w:tcPr>
            <w:tcW w:w="964" w:type="dxa"/>
          </w:tcPr>
          <w:p w14:paraId="48EEC34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AC642BA"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2FA9B6E" w14:textId="77777777" w:rsidR="00127EF6" w:rsidRDefault="00127EF6">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1329BE34" w14:textId="77777777" w:rsidR="00127EF6" w:rsidRDefault="00127EF6">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43729274" w14:textId="77777777" w:rsidR="00127EF6" w:rsidRDefault="00127EF6">
            <w:pPr>
              <w:cnfStyle w:val="000000000000" w:firstRow="0" w:lastRow="0" w:firstColumn="0" w:lastColumn="0" w:oddVBand="0" w:evenVBand="0" w:oddHBand="0" w:evenHBand="0" w:firstRowFirstColumn="0" w:firstRowLastColumn="0" w:lastRowFirstColumn="0" w:lastRowLastColumn="0"/>
            </w:pPr>
            <w:r>
              <w:t>87</w:t>
            </w:r>
          </w:p>
        </w:tc>
      </w:tr>
      <w:tr w:rsidR="00127EF6" w14:paraId="0C58278F"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A4FA41F" w14:textId="77777777" w:rsidR="00127EF6" w:rsidRDefault="00127EF6">
            <w:pPr>
              <w:ind w:left="170"/>
            </w:pPr>
            <w:r w:rsidRPr="0B062978">
              <w:rPr>
                <w:i/>
                <w:iCs/>
              </w:rPr>
              <w:t>This performance measure is proposed to be discontinued as the Distillery Door Program will not run further grant programs following 30 June 2026</w:t>
            </w:r>
            <w:r>
              <w:rPr>
                <w:i/>
                <w:iCs/>
              </w:rPr>
              <w:t>.</w:t>
            </w:r>
            <w:r w:rsidRPr="0B062978">
              <w:rPr>
                <w:i/>
                <w:iCs/>
              </w:rPr>
              <w:t xml:space="preserve"> </w:t>
            </w:r>
          </w:p>
        </w:tc>
      </w:tr>
      <w:tr w:rsidR="00127EF6" w14:paraId="6892AA70"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2CF25AD0" w14:textId="694255A0" w:rsidR="00127EF6" w:rsidRDefault="00235725" w:rsidP="00230D0D">
            <w:pPr>
              <w:keepNext/>
              <w:spacing w:before="60"/>
            </w:pPr>
            <w:r>
              <w:rPr>
                <w:b/>
              </w:rPr>
              <w:t>CIRCULAR ECONOMY</w:t>
            </w:r>
          </w:p>
        </w:tc>
      </w:tr>
      <w:tr w:rsidR="00127EF6" w:rsidRPr="00235725" w14:paraId="15B108AA"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Pr>
          <w:p w14:paraId="5DA17276" w14:textId="77777777" w:rsidR="00127EF6" w:rsidRPr="00235725" w:rsidRDefault="00127EF6">
            <w:pPr>
              <w:keepNext/>
              <w:rPr>
                <w:b/>
                <w:bCs/>
                <w:iCs/>
              </w:rPr>
            </w:pPr>
            <w:r w:rsidRPr="00235725">
              <w:rPr>
                <w:b/>
                <w:bCs/>
                <w:iCs/>
              </w:rPr>
              <w:t>Quantity</w:t>
            </w:r>
          </w:p>
        </w:tc>
      </w:tr>
      <w:tr w:rsidR="00127EF6" w14:paraId="7CCADBB8"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43A61589" w14:textId="77777777" w:rsidR="00127EF6" w:rsidRDefault="00127EF6">
            <w:pPr>
              <w:keepNext/>
              <w:ind w:left="170"/>
            </w:pPr>
            <w:r>
              <w:t>Container Deposit Scheme refund collection points provided to Victorians</w:t>
            </w:r>
          </w:p>
        </w:tc>
        <w:tc>
          <w:tcPr>
            <w:tcW w:w="964" w:type="dxa"/>
          </w:tcPr>
          <w:p w14:paraId="5594EFF3"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DC62C8C"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6A7C695" w14:textId="77777777" w:rsidR="00127EF6" w:rsidRDefault="00127EF6">
            <w:pPr>
              <w:cnfStyle w:val="000000000000" w:firstRow="0" w:lastRow="0" w:firstColumn="0" w:lastColumn="0" w:oddVBand="0" w:evenVBand="0" w:oddHBand="0" w:evenHBand="0" w:firstRowFirstColumn="0" w:firstRowLastColumn="0" w:lastRowFirstColumn="0" w:lastRowLastColumn="0"/>
            </w:pPr>
            <w:r>
              <w:t>625</w:t>
            </w:r>
          </w:p>
        </w:tc>
        <w:tc>
          <w:tcPr>
            <w:tcW w:w="964" w:type="dxa"/>
          </w:tcPr>
          <w:p w14:paraId="2D7A2629" w14:textId="3B4EF570" w:rsidR="00127EF6" w:rsidRDefault="00127EF6">
            <w:pPr>
              <w:cnfStyle w:val="000000000000" w:firstRow="0" w:lastRow="0" w:firstColumn="0" w:lastColumn="0" w:oddVBand="0" w:evenVBand="0" w:oddHBand="0" w:evenHBand="0" w:firstRowFirstColumn="0" w:firstRowLastColumn="0" w:lastRowFirstColumn="0" w:lastRowLastColumn="0"/>
            </w:pPr>
            <w:r>
              <w:t>&gt;</w:t>
            </w:r>
            <w:r w:rsidR="007C1F5F">
              <w:t xml:space="preserve"> </w:t>
            </w:r>
            <w:r>
              <w:t>600</w:t>
            </w:r>
          </w:p>
        </w:tc>
        <w:tc>
          <w:tcPr>
            <w:tcW w:w="964" w:type="dxa"/>
          </w:tcPr>
          <w:p w14:paraId="4216B92D" w14:textId="77777777" w:rsidR="00127EF6" w:rsidRDefault="00127EF6">
            <w:pPr>
              <w:cnfStyle w:val="000000000000" w:firstRow="0" w:lastRow="0" w:firstColumn="0" w:lastColumn="0" w:oddVBand="0" w:evenVBand="0" w:oddHBand="0" w:evenHBand="0" w:firstRowFirstColumn="0" w:firstRowLastColumn="0" w:lastRowFirstColumn="0" w:lastRowLastColumn="0"/>
            </w:pPr>
            <w:r>
              <w:t>nm</w:t>
            </w:r>
          </w:p>
        </w:tc>
      </w:tr>
      <w:tr w:rsidR="00127EF6" w14:paraId="22B8565A"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D5C2306" w14:textId="40501619" w:rsidR="00127EF6" w:rsidRDefault="00127EF6">
            <w:pPr>
              <w:ind w:left="170"/>
            </w:pPr>
            <w:r>
              <w:rPr>
                <w:i/>
              </w:rPr>
              <w:t>This performance measure is proposed to be discontinued as it has been replaced with the 2026-27 performance measure ‘Container Deposit Scheme education visits to beverage retailers’. The new measure better reflects the Environment Protection Authority’s ongoing actions, governance and oversight of the scheme. The previous measure, while overseen by DEECA, was funded by industry and not through the State Budget. Therefore results were not directly within the Department’s control.</w:t>
            </w:r>
          </w:p>
        </w:tc>
      </w:tr>
      <w:tr w:rsidR="00127EF6" w14:paraId="5E575878"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14D584E1" w14:textId="6C01F92D" w:rsidR="00127EF6" w:rsidRDefault="00235725" w:rsidP="00230D0D">
            <w:pPr>
              <w:keepNext/>
              <w:spacing w:before="60"/>
            </w:pPr>
            <w:r>
              <w:rPr>
                <w:b/>
              </w:rPr>
              <w:t>ENVIRONMENT AND BIODIVERSITY</w:t>
            </w:r>
          </w:p>
        </w:tc>
      </w:tr>
      <w:tr w:rsidR="00C65B13" w14:paraId="691D878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6B3EF3D8" w14:textId="0EEA69C7" w:rsidR="00C65B13" w:rsidRPr="00C65B13" w:rsidRDefault="00C65B13">
            <w:pPr>
              <w:rPr>
                <w:b/>
                <w:bCs/>
              </w:rPr>
            </w:pPr>
            <w:r w:rsidRPr="00C65B13">
              <w:rPr>
                <w:b/>
                <w:bCs/>
              </w:rPr>
              <w:t>Quantity</w:t>
            </w:r>
          </w:p>
        </w:tc>
      </w:tr>
      <w:tr w:rsidR="00127EF6" w14:paraId="147A2AD7" w14:textId="77777777" w:rsidTr="00C65B13">
        <w:tc>
          <w:tcPr>
            <w:cnfStyle w:val="001000000000" w:firstRow="0" w:lastRow="0" w:firstColumn="1" w:lastColumn="0" w:oddVBand="0" w:evenVBand="0" w:oddHBand="0" w:evenHBand="0" w:firstRowFirstColumn="0" w:firstRowLastColumn="0" w:lastRowFirstColumn="0" w:lastRowLastColumn="0"/>
            <w:tcW w:w="4819" w:type="dxa"/>
          </w:tcPr>
          <w:p w14:paraId="57E9DE4A" w14:textId="2CF57581" w:rsidR="00127EF6" w:rsidRDefault="00127EF6">
            <w:pPr>
              <w:keepNext/>
              <w:ind w:left="170"/>
            </w:pPr>
            <w:r>
              <w:t>Priority conservation actions for threatened species</w:t>
            </w:r>
          </w:p>
        </w:tc>
        <w:tc>
          <w:tcPr>
            <w:tcW w:w="964" w:type="dxa"/>
          </w:tcPr>
          <w:p w14:paraId="4201AFE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5C5DD6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2CC7465" w14:textId="77777777" w:rsidR="00127EF6" w:rsidRDefault="00127EF6">
            <w:pPr>
              <w:cnfStyle w:val="000000000000" w:firstRow="0" w:lastRow="0" w:firstColumn="0" w:lastColumn="0" w:oddVBand="0" w:evenVBand="0" w:oddHBand="0" w:evenHBand="0" w:firstRowFirstColumn="0" w:firstRowLastColumn="0" w:lastRowFirstColumn="0" w:lastRowLastColumn="0"/>
            </w:pPr>
            <w:r>
              <w:t>39</w:t>
            </w:r>
          </w:p>
        </w:tc>
        <w:tc>
          <w:tcPr>
            <w:tcW w:w="964" w:type="dxa"/>
          </w:tcPr>
          <w:p w14:paraId="1899F958" w14:textId="77777777" w:rsidR="00127EF6" w:rsidRDefault="00127EF6">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65FF76B7" w14:textId="77777777" w:rsidR="00127EF6" w:rsidRDefault="00127EF6">
            <w:pPr>
              <w:cnfStyle w:val="000000000000" w:firstRow="0" w:lastRow="0" w:firstColumn="0" w:lastColumn="0" w:oddVBand="0" w:evenVBand="0" w:oddHBand="0" w:evenHBand="0" w:firstRowFirstColumn="0" w:firstRowLastColumn="0" w:lastRowFirstColumn="0" w:lastRowLastColumn="0"/>
            </w:pPr>
            <w:r>
              <w:t>60</w:t>
            </w:r>
          </w:p>
        </w:tc>
      </w:tr>
      <w:tr w:rsidR="00127EF6" w14:paraId="43A797BF" w14:textId="77777777" w:rsidTr="00C65B13">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DCA4436" w14:textId="77777777" w:rsidR="00127EF6" w:rsidRDefault="00127EF6">
            <w:pPr>
              <w:ind w:left="170"/>
            </w:pPr>
            <w:r>
              <w:rPr>
                <w:i/>
              </w:rPr>
              <w:t>The 2025-26 expected outcome is lower than the 2025-26 target due to bushfire impacts. This performance measure is proposed to be discontinued in 2026-27 as the program ends in June 2026.</w:t>
            </w:r>
          </w:p>
        </w:tc>
      </w:tr>
    </w:tbl>
    <w:p w14:paraId="0F7542D8" w14:textId="7EA936CA" w:rsidR="00127EF6" w:rsidRDefault="00A47EB3" w:rsidP="005314E1">
      <w:pPr>
        <w:pStyle w:val="Source"/>
      </w:pPr>
      <w:r>
        <w:t>Source: Department of Energy, Environment and Climate Action</w:t>
      </w:r>
    </w:p>
    <w:p w14:paraId="02B02722" w14:textId="77777777" w:rsidR="00695D0B" w:rsidRDefault="00695D0B">
      <w:pPr>
        <w:keepLines w:val="0"/>
        <w:rPr>
          <w:rFonts w:asciiTheme="majorHAnsi" w:eastAsiaTheme="majorEastAsia" w:hAnsiTheme="majorHAnsi" w:cstheme="majorBidi"/>
          <w:b/>
          <w:caps/>
          <w:sz w:val="27"/>
          <w:szCs w:val="32"/>
        </w:rPr>
      </w:pPr>
      <w:r>
        <w:br w:type="page"/>
      </w:r>
    </w:p>
    <w:p w14:paraId="088BB5D4" w14:textId="580E6DD7" w:rsidR="00127EF6" w:rsidRDefault="00127EF6" w:rsidP="00706B7E">
      <w:pPr>
        <w:pStyle w:val="Heading1"/>
        <w:spacing w:after="180"/>
      </w:pPr>
      <w:bookmarkStart w:id="32" w:name="_Toc228288110"/>
      <w:r>
        <w:t>Department of Families, Fairness and Housing</w:t>
      </w:r>
      <w:bookmarkEnd w:id="32"/>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127EF6" w14:paraId="44CC2D45" w14:textId="77777777" w:rsidTr="00B353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72CB4D45" w14:textId="77777777" w:rsidR="00127EF6" w:rsidRDefault="00127EF6">
            <w:r>
              <w:t>Performance measure</w:t>
            </w:r>
          </w:p>
        </w:tc>
        <w:tc>
          <w:tcPr>
            <w:tcW w:w="964" w:type="dxa"/>
          </w:tcPr>
          <w:p w14:paraId="7C60464D"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475EA17"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AA24069"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D8DBDA3"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11B0C041"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3586FA82"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Pr>
          <w:p w14:paraId="67F1779F" w14:textId="5B37356F" w:rsidR="00127EF6" w:rsidRDefault="00235725">
            <w:pPr>
              <w:keepNext/>
            </w:pPr>
            <w:r>
              <w:rPr>
                <w:b/>
              </w:rPr>
              <w:t>FAMILY VIOLENCE SERVICE DELIVERY</w:t>
            </w:r>
          </w:p>
        </w:tc>
      </w:tr>
      <w:tr w:rsidR="00127EF6" w:rsidRPr="00235725" w14:paraId="771DBBA7"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Pr>
          <w:p w14:paraId="16452EB6" w14:textId="77777777" w:rsidR="00127EF6" w:rsidRPr="00235725" w:rsidRDefault="00127EF6">
            <w:pPr>
              <w:keepNext/>
              <w:rPr>
                <w:b/>
                <w:bCs/>
                <w:iCs/>
              </w:rPr>
            </w:pPr>
            <w:r w:rsidRPr="00235725">
              <w:rPr>
                <w:b/>
                <w:bCs/>
                <w:iCs/>
              </w:rPr>
              <w:t>Quantity</w:t>
            </w:r>
          </w:p>
        </w:tc>
      </w:tr>
      <w:tr w:rsidR="00127EF6" w14:paraId="69D18079"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4AB4F712" w14:textId="77777777" w:rsidR="00127EF6" w:rsidRDefault="00127EF6">
            <w:pPr>
              <w:keepNext/>
              <w:ind w:left="170"/>
            </w:pPr>
            <w:r>
              <w:t>Number of new periods of family violence case management support provided to victim survivors</w:t>
            </w:r>
          </w:p>
        </w:tc>
        <w:tc>
          <w:tcPr>
            <w:tcW w:w="964" w:type="dxa"/>
          </w:tcPr>
          <w:p w14:paraId="1B773BB1"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839BA16"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9A4AE17" w14:textId="77777777" w:rsidR="00127EF6" w:rsidRDefault="00127EF6">
            <w:pPr>
              <w:cnfStyle w:val="000000000000" w:firstRow="0" w:lastRow="0" w:firstColumn="0" w:lastColumn="0" w:oddVBand="0" w:evenVBand="0" w:oddHBand="0" w:evenHBand="0" w:firstRowFirstColumn="0" w:firstRowLastColumn="0" w:lastRowFirstColumn="0" w:lastRowLastColumn="0"/>
            </w:pPr>
            <w:r>
              <w:t>34 514</w:t>
            </w:r>
          </w:p>
        </w:tc>
        <w:tc>
          <w:tcPr>
            <w:tcW w:w="964" w:type="dxa"/>
          </w:tcPr>
          <w:p w14:paraId="6DB788DC" w14:textId="77777777" w:rsidR="00127EF6" w:rsidRDefault="00127EF6">
            <w:pPr>
              <w:cnfStyle w:val="000000000000" w:firstRow="0" w:lastRow="0" w:firstColumn="0" w:lastColumn="0" w:oddVBand="0" w:evenVBand="0" w:oddHBand="0" w:evenHBand="0" w:firstRowFirstColumn="0" w:firstRowLastColumn="0" w:lastRowFirstColumn="0" w:lastRowLastColumn="0"/>
            </w:pPr>
            <w:r>
              <w:t>30 639</w:t>
            </w:r>
          </w:p>
        </w:tc>
        <w:tc>
          <w:tcPr>
            <w:tcW w:w="964" w:type="dxa"/>
          </w:tcPr>
          <w:p w14:paraId="350A5E54" w14:textId="77777777" w:rsidR="00127EF6" w:rsidRDefault="00127EF6">
            <w:pPr>
              <w:cnfStyle w:val="000000000000" w:firstRow="0" w:lastRow="0" w:firstColumn="0" w:lastColumn="0" w:oddVBand="0" w:evenVBand="0" w:oddHBand="0" w:evenHBand="0" w:firstRowFirstColumn="0" w:firstRowLastColumn="0" w:lastRowFirstColumn="0" w:lastRowLastColumn="0"/>
            </w:pPr>
            <w:r>
              <w:t>33 985</w:t>
            </w:r>
          </w:p>
        </w:tc>
      </w:tr>
      <w:tr w:rsidR="00127EF6" w14:paraId="12B1C82C"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53A987F" w14:textId="77777777" w:rsidR="00127EF6" w:rsidRDefault="00127EF6">
            <w:pPr>
              <w:ind w:left="170"/>
            </w:pPr>
            <w:r>
              <w:rPr>
                <w:i/>
              </w:rPr>
              <w:t>The 2025-26 expected outcome is higher than the target due to increased demand for the service. This is due to increasing community and public awareness.</w:t>
            </w:r>
          </w:p>
          <w:p w14:paraId="53F90140" w14:textId="6B2436C3" w:rsidR="00127EF6" w:rsidRDefault="00127EF6">
            <w:pPr>
              <w:ind w:left="170"/>
            </w:pPr>
            <w:r>
              <w:rPr>
                <w:i/>
              </w:rPr>
              <w:t xml:space="preserve">This performance measure is proposed to be discontinued as it does not reflect family violence case management delivered by Aboriginal Community Controlled Organisations. It will be replaced by the 2026-27 performance measure ‘Number of all new periods of family violence case management support provided to victim survivors’. </w:t>
            </w:r>
          </w:p>
        </w:tc>
      </w:tr>
      <w:tr w:rsidR="00127EF6" w14:paraId="7704AA91"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4959043E" w14:textId="1818DA75" w:rsidR="00127EF6" w:rsidRDefault="00235725" w:rsidP="00230D0D">
            <w:pPr>
              <w:keepNext/>
              <w:spacing w:before="60"/>
            </w:pPr>
            <w:r>
              <w:rPr>
                <w:b/>
              </w:rPr>
              <w:t>SENIORS PROGRAMS AND PARTICIPATION</w:t>
            </w:r>
          </w:p>
        </w:tc>
      </w:tr>
      <w:tr w:rsidR="00B35321" w14:paraId="55E6BFF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5011746" w14:textId="1ED31136" w:rsidR="00B35321" w:rsidRPr="00B35321" w:rsidRDefault="00B35321">
            <w:pPr>
              <w:rPr>
                <w:b/>
                <w:bCs/>
              </w:rPr>
            </w:pPr>
            <w:r w:rsidRPr="00B35321">
              <w:rPr>
                <w:b/>
                <w:bCs/>
              </w:rPr>
              <w:t>Quantity</w:t>
            </w:r>
          </w:p>
        </w:tc>
      </w:tr>
      <w:tr w:rsidR="00127EF6" w14:paraId="241CC742"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09107A09" w14:textId="37F375F4" w:rsidR="00127EF6" w:rsidRDefault="00127EF6">
            <w:pPr>
              <w:keepNext/>
              <w:ind w:left="170"/>
            </w:pPr>
            <w:r>
              <w:t>Individuals provided with respite and support services</w:t>
            </w:r>
          </w:p>
        </w:tc>
        <w:tc>
          <w:tcPr>
            <w:tcW w:w="964" w:type="dxa"/>
          </w:tcPr>
          <w:p w14:paraId="58265A6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266DE8F"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F74F62E" w14:textId="77777777" w:rsidR="00127EF6" w:rsidRDefault="00127EF6">
            <w:pPr>
              <w:cnfStyle w:val="000000000000" w:firstRow="0" w:lastRow="0" w:firstColumn="0" w:lastColumn="0" w:oddVBand="0" w:evenVBand="0" w:oddHBand="0" w:evenHBand="0" w:firstRowFirstColumn="0" w:firstRowLastColumn="0" w:lastRowFirstColumn="0" w:lastRowLastColumn="0"/>
            </w:pPr>
            <w:r>
              <w:t>34 572</w:t>
            </w:r>
          </w:p>
        </w:tc>
        <w:tc>
          <w:tcPr>
            <w:tcW w:w="964" w:type="dxa"/>
          </w:tcPr>
          <w:p w14:paraId="55152192" w14:textId="77777777" w:rsidR="00127EF6" w:rsidRDefault="00127EF6">
            <w:pPr>
              <w:cnfStyle w:val="000000000000" w:firstRow="0" w:lastRow="0" w:firstColumn="0" w:lastColumn="0" w:oddVBand="0" w:evenVBand="0" w:oddHBand="0" w:evenHBand="0" w:firstRowFirstColumn="0" w:firstRowLastColumn="0" w:lastRowFirstColumn="0" w:lastRowLastColumn="0"/>
            </w:pPr>
            <w:r>
              <w:t>13 250</w:t>
            </w:r>
          </w:p>
        </w:tc>
        <w:tc>
          <w:tcPr>
            <w:tcW w:w="964" w:type="dxa"/>
          </w:tcPr>
          <w:p w14:paraId="26B5B63B" w14:textId="77777777" w:rsidR="00127EF6" w:rsidRDefault="00127EF6">
            <w:pPr>
              <w:cnfStyle w:val="000000000000" w:firstRow="0" w:lastRow="0" w:firstColumn="0" w:lastColumn="0" w:oddVBand="0" w:evenVBand="0" w:oddHBand="0" w:evenHBand="0" w:firstRowFirstColumn="0" w:firstRowLastColumn="0" w:lastRowFirstColumn="0" w:lastRowLastColumn="0"/>
            </w:pPr>
            <w:r>
              <w:t>30 870</w:t>
            </w:r>
          </w:p>
        </w:tc>
      </w:tr>
      <w:tr w:rsidR="00127EF6" w14:paraId="4A78726C"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14EFF0" w14:textId="77777777" w:rsidR="00127EF6" w:rsidRDefault="00127EF6">
            <w:pPr>
              <w:ind w:left="170"/>
            </w:pPr>
            <w:r>
              <w:rPr>
                <w:i/>
              </w:rPr>
              <w:t>The 2025-26 expected outcome is higher than the 2025-26 target due to the long-term shift in modes of service provision.</w:t>
            </w:r>
          </w:p>
          <w:p w14:paraId="6145B688" w14:textId="21F1DF0E" w:rsidR="00127EF6" w:rsidRDefault="00127EF6">
            <w:pPr>
              <w:ind w:left="170"/>
            </w:pPr>
            <w:r>
              <w:rPr>
                <w:i/>
              </w:rPr>
              <w:t>This performance measure is proposed to be discontinued as it has been replaced by the 2026-27 performance measure ‘Proportion of funded unique individual carers provided with support and respite’.</w:t>
            </w:r>
          </w:p>
        </w:tc>
      </w:tr>
      <w:tr w:rsidR="00127EF6" w14:paraId="546CE6BC"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09CA6C1C" w14:textId="77777777" w:rsidR="00127EF6" w:rsidRDefault="00127EF6">
            <w:pPr>
              <w:keepNext/>
              <w:ind w:left="170"/>
            </w:pPr>
            <w:r>
              <w:t>Number of hours of respite and support services</w:t>
            </w:r>
          </w:p>
        </w:tc>
        <w:tc>
          <w:tcPr>
            <w:tcW w:w="964" w:type="dxa"/>
          </w:tcPr>
          <w:p w14:paraId="35A21D9A"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75675F6"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3AF8301D" w14:textId="77777777" w:rsidR="00127EF6" w:rsidRDefault="00127EF6">
            <w:pPr>
              <w:cnfStyle w:val="000000000000" w:firstRow="0" w:lastRow="0" w:firstColumn="0" w:lastColumn="0" w:oddVBand="0" w:evenVBand="0" w:oddHBand="0" w:evenHBand="0" w:firstRowFirstColumn="0" w:firstRowLastColumn="0" w:lastRowFirstColumn="0" w:lastRowLastColumn="0"/>
            </w:pPr>
            <w:r>
              <w:t>440 020</w:t>
            </w:r>
          </w:p>
        </w:tc>
        <w:tc>
          <w:tcPr>
            <w:tcW w:w="964" w:type="dxa"/>
          </w:tcPr>
          <w:p w14:paraId="5E5AA8E4" w14:textId="77777777" w:rsidR="00127EF6" w:rsidRDefault="00127EF6">
            <w:pPr>
              <w:cnfStyle w:val="000000000000" w:firstRow="0" w:lastRow="0" w:firstColumn="0" w:lastColumn="0" w:oddVBand="0" w:evenVBand="0" w:oddHBand="0" w:evenHBand="0" w:firstRowFirstColumn="0" w:firstRowLastColumn="0" w:lastRowFirstColumn="0" w:lastRowLastColumn="0"/>
            </w:pPr>
            <w:r>
              <w:t>261 250</w:t>
            </w:r>
          </w:p>
        </w:tc>
        <w:tc>
          <w:tcPr>
            <w:tcW w:w="964" w:type="dxa"/>
          </w:tcPr>
          <w:p w14:paraId="570E234B" w14:textId="77777777" w:rsidR="00127EF6" w:rsidRDefault="00127EF6">
            <w:pPr>
              <w:cnfStyle w:val="000000000000" w:firstRow="0" w:lastRow="0" w:firstColumn="0" w:lastColumn="0" w:oddVBand="0" w:evenVBand="0" w:oddHBand="0" w:evenHBand="0" w:firstRowFirstColumn="0" w:firstRowLastColumn="0" w:lastRowFirstColumn="0" w:lastRowLastColumn="0"/>
            </w:pPr>
            <w:r>
              <w:t>553 633</w:t>
            </w:r>
          </w:p>
        </w:tc>
      </w:tr>
      <w:tr w:rsidR="00127EF6" w14:paraId="1E8384E4"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0DCA91D" w14:textId="77777777" w:rsidR="00127EF6" w:rsidRDefault="00127EF6">
            <w:pPr>
              <w:ind w:left="170"/>
            </w:pPr>
            <w:r>
              <w:rPr>
                <w:i/>
              </w:rPr>
              <w:t>The 2025-26 expected outcome is higher than the 2025-26 target due to the long-term shift in modes of service provision.</w:t>
            </w:r>
          </w:p>
          <w:p w14:paraId="5C50B02D" w14:textId="78007474" w:rsidR="00127EF6" w:rsidRDefault="00127EF6">
            <w:pPr>
              <w:ind w:left="170"/>
            </w:pPr>
            <w:r>
              <w:rPr>
                <w:i/>
              </w:rPr>
              <w:t xml:space="preserve">This performance measure is proposed to be discontinued as it has been replaced by the 2026-27 performance measure </w:t>
            </w:r>
            <w:r w:rsidR="008413DB">
              <w:rPr>
                <w:i/>
              </w:rPr>
              <w:br/>
            </w:r>
            <w:r>
              <w:rPr>
                <w:i/>
              </w:rPr>
              <w:t>‘Hours of one-on-one or small group support and respite provided to carers’.</w:t>
            </w:r>
          </w:p>
        </w:tc>
      </w:tr>
      <w:tr w:rsidR="00127EF6" w14:paraId="7E5BB75E"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368DF0CD" w14:textId="0E533650" w:rsidR="00127EF6" w:rsidRDefault="00235725" w:rsidP="00230D0D">
            <w:pPr>
              <w:keepNext/>
              <w:spacing w:before="60"/>
            </w:pPr>
            <w:r>
              <w:rPr>
                <w:b/>
              </w:rPr>
              <w:t>WOMEN’S POLICY</w:t>
            </w:r>
          </w:p>
        </w:tc>
      </w:tr>
      <w:tr w:rsidR="00B35321" w14:paraId="4645943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3AFB1D2" w14:textId="764E4CE2" w:rsidR="00B35321" w:rsidRPr="00B35321" w:rsidRDefault="00B35321" w:rsidP="004A236F">
            <w:pPr>
              <w:keepNext/>
              <w:rPr>
                <w:b/>
                <w:bCs/>
              </w:rPr>
            </w:pPr>
            <w:r w:rsidRPr="00B35321">
              <w:rPr>
                <w:b/>
                <w:bCs/>
              </w:rPr>
              <w:t>Quantity</w:t>
            </w:r>
          </w:p>
        </w:tc>
      </w:tr>
      <w:tr w:rsidR="00127EF6" w14:paraId="3815CF9A"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1F969B9E" w14:textId="1200DFA5" w:rsidR="00127EF6" w:rsidRDefault="00127EF6">
            <w:pPr>
              <w:keepNext/>
              <w:ind w:left="170"/>
            </w:pPr>
            <w:r>
              <w:t>Number of people participating in funded gender equality programs</w:t>
            </w:r>
          </w:p>
        </w:tc>
        <w:tc>
          <w:tcPr>
            <w:tcW w:w="964" w:type="dxa"/>
          </w:tcPr>
          <w:p w14:paraId="6FDCC9A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430C990"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EB14E49" w14:textId="77777777" w:rsidR="00127EF6" w:rsidRDefault="00127EF6">
            <w:pPr>
              <w:cnfStyle w:val="000000000000" w:firstRow="0" w:lastRow="0" w:firstColumn="0" w:lastColumn="0" w:oddVBand="0" w:evenVBand="0" w:oddHBand="0" w:evenHBand="0" w:firstRowFirstColumn="0" w:firstRowLastColumn="0" w:lastRowFirstColumn="0" w:lastRowLastColumn="0"/>
            </w:pPr>
            <w:r>
              <w:t>2 446</w:t>
            </w:r>
          </w:p>
        </w:tc>
        <w:tc>
          <w:tcPr>
            <w:tcW w:w="964" w:type="dxa"/>
          </w:tcPr>
          <w:p w14:paraId="53153078" w14:textId="77777777" w:rsidR="00127EF6" w:rsidRDefault="00127EF6">
            <w:pPr>
              <w:cnfStyle w:val="000000000000" w:firstRow="0" w:lastRow="0" w:firstColumn="0" w:lastColumn="0" w:oddVBand="0" w:evenVBand="0" w:oddHBand="0" w:evenHBand="0" w:firstRowFirstColumn="0" w:firstRowLastColumn="0" w:lastRowFirstColumn="0" w:lastRowLastColumn="0"/>
            </w:pPr>
            <w:r>
              <w:t>2 000</w:t>
            </w:r>
          </w:p>
        </w:tc>
        <w:tc>
          <w:tcPr>
            <w:tcW w:w="964" w:type="dxa"/>
          </w:tcPr>
          <w:p w14:paraId="6EF13F49" w14:textId="77777777" w:rsidR="00127EF6" w:rsidRDefault="00127EF6">
            <w:pPr>
              <w:cnfStyle w:val="000000000000" w:firstRow="0" w:lastRow="0" w:firstColumn="0" w:lastColumn="0" w:oddVBand="0" w:evenVBand="0" w:oddHBand="0" w:evenHBand="0" w:firstRowFirstColumn="0" w:firstRowLastColumn="0" w:lastRowFirstColumn="0" w:lastRowLastColumn="0"/>
            </w:pPr>
            <w:r>
              <w:t>2 070</w:t>
            </w:r>
          </w:p>
        </w:tc>
      </w:tr>
      <w:tr w:rsidR="00127EF6" w14:paraId="7418AB0F"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7CA18FE" w14:textId="160AEEB2" w:rsidR="00127EF6" w:rsidRDefault="00127EF6">
            <w:pPr>
              <w:ind w:left="170"/>
            </w:pPr>
            <w:r>
              <w:rPr>
                <w:i/>
              </w:rPr>
              <w:t>The 2025-26 expected outcome is higher than the 2025-26 target due to anticipated higher numbers of visitors to the Queen Victoria Women’s Centre, noting urgent capital works at the building have now been completed.</w:t>
            </w:r>
          </w:p>
          <w:p w14:paraId="5F2D9E24" w14:textId="77777777" w:rsidR="00127EF6" w:rsidRDefault="00127EF6">
            <w:pPr>
              <w:ind w:left="170"/>
            </w:pPr>
            <w:r>
              <w:rPr>
                <w:i/>
              </w:rPr>
              <w:t>The measure is proposed to be discontinued reflecting the conclusion of time-limited programs in June 2026.</w:t>
            </w:r>
          </w:p>
        </w:tc>
      </w:tr>
      <w:tr w:rsidR="00127EF6" w14:paraId="250074C0"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7167526F" w14:textId="77777777" w:rsidR="00127EF6" w:rsidRDefault="00127EF6">
            <w:pPr>
              <w:keepNext/>
              <w:ind w:left="170"/>
            </w:pPr>
            <w:r>
              <w:t>The number of free pads and tampons dispensers installed</w:t>
            </w:r>
          </w:p>
        </w:tc>
        <w:tc>
          <w:tcPr>
            <w:tcW w:w="964" w:type="dxa"/>
          </w:tcPr>
          <w:p w14:paraId="23D2736C"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BA2BCE4"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0D355BAF" w14:textId="77777777" w:rsidR="00127EF6" w:rsidRDefault="00127EF6">
            <w:pPr>
              <w:cnfStyle w:val="000000000000" w:firstRow="0" w:lastRow="0" w:firstColumn="0" w:lastColumn="0" w:oddVBand="0" w:evenVBand="0" w:oddHBand="0" w:evenHBand="0" w:firstRowFirstColumn="0" w:firstRowLastColumn="0" w:lastRowFirstColumn="0" w:lastRowLastColumn="0"/>
            </w:pPr>
            <w:r>
              <w:t>1 300</w:t>
            </w:r>
          </w:p>
        </w:tc>
        <w:tc>
          <w:tcPr>
            <w:tcW w:w="964" w:type="dxa"/>
          </w:tcPr>
          <w:p w14:paraId="530B0EC8" w14:textId="77777777" w:rsidR="00127EF6" w:rsidRDefault="00127EF6">
            <w:pPr>
              <w:cnfStyle w:val="000000000000" w:firstRow="0" w:lastRow="0" w:firstColumn="0" w:lastColumn="0" w:oddVBand="0" w:evenVBand="0" w:oddHBand="0" w:evenHBand="0" w:firstRowFirstColumn="0" w:firstRowLastColumn="0" w:lastRowFirstColumn="0" w:lastRowLastColumn="0"/>
            </w:pPr>
            <w:r>
              <w:t>1 300</w:t>
            </w:r>
          </w:p>
        </w:tc>
        <w:tc>
          <w:tcPr>
            <w:tcW w:w="964" w:type="dxa"/>
          </w:tcPr>
          <w:p w14:paraId="6A42F010" w14:textId="77777777" w:rsidR="00127EF6" w:rsidRDefault="00127EF6">
            <w:pPr>
              <w:cnfStyle w:val="000000000000" w:firstRow="0" w:lastRow="0" w:firstColumn="0" w:lastColumn="0" w:oddVBand="0" w:evenVBand="0" w:oddHBand="0" w:evenHBand="0" w:firstRowFirstColumn="0" w:firstRowLastColumn="0" w:lastRowFirstColumn="0" w:lastRowLastColumn="0"/>
            </w:pPr>
            <w:r>
              <w:t>nm</w:t>
            </w:r>
          </w:p>
        </w:tc>
      </w:tr>
      <w:tr w:rsidR="00127EF6" w14:paraId="10E7A290"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D8BA28C" w14:textId="2B247B09" w:rsidR="00127EF6" w:rsidRDefault="00127EF6">
            <w:pPr>
              <w:ind w:left="170"/>
            </w:pPr>
            <w:r>
              <w:rPr>
                <w:i/>
              </w:rPr>
              <w:t>The measure is proposed to be discontinued as all machines are projected to be delivered in 2025-26.</w:t>
            </w:r>
          </w:p>
        </w:tc>
      </w:tr>
      <w:tr w:rsidR="00127EF6" w:rsidRPr="00235725" w14:paraId="35B4DC21"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Pr>
          <w:p w14:paraId="21542FA7" w14:textId="77777777" w:rsidR="00127EF6" w:rsidRPr="00235725" w:rsidRDefault="00127EF6">
            <w:pPr>
              <w:keepNext/>
              <w:rPr>
                <w:b/>
                <w:bCs/>
                <w:iCs/>
              </w:rPr>
            </w:pPr>
            <w:r w:rsidRPr="00235725">
              <w:rPr>
                <w:b/>
                <w:bCs/>
                <w:iCs/>
              </w:rPr>
              <w:t>Timeliness</w:t>
            </w:r>
          </w:p>
        </w:tc>
      </w:tr>
      <w:tr w:rsidR="00127EF6" w14:paraId="3ABFACA2" w14:textId="77777777" w:rsidTr="00B35321">
        <w:tc>
          <w:tcPr>
            <w:cnfStyle w:val="001000000000" w:firstRow="0" w:lastRow="0" w:firstColumn="1" w:lastColumn="0" w:oddVBand="0" w:evenVBand="0" w:oddHBand="0" w:evenHBand="0" w:firstRowFirstColumn="0" w:firstRowLastColumn="0" w:lastRowFirstColumn="0" w:lastRowLastColumn="0"/>
            <w:tcW w:w="4819" w:type="dxa"/>
          </w:tcPr>
          <w:p w14:paraId="766DBC3F" w14:textId="77777777" w:rsidR="00127EF6" w:rsidRDefault="00127EF6">
            <w:pPr>
              <w:keepNext/>
              <w:ind w:left="170"/>
            </w:pPr>
            <w:r>
              <w:t xml:space="preserve">Tools, resources and guidelines to support the </w:t>
            </w:r>
            <w:r w:rsidRPr="00887C6A">
              <w:rPr>
                <w:i/>
                <w:iCs/>
              </w:rPr>
              <w:t>Gender Equality Act 2020</w:t>
            </w:r>
            <w:r>
              <w:t xml:space="preserve"> implementation are completed within agreed timeframes</w:t>
            </w:r>
          </w:p>
        </w:tc>
        <w:tc>
          <w:tcPr>
            <w:tcW w:w="964" w:type="dxa"/>
          </w:tcPr>
          <w:p w14:paraId="6ADBAA0E"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817CDF4"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1444CEA7"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EB89B4F"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B2AF9D7"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r>
      <w:tr w:rsidR="00127EF6" w14:paraId="71C3F9A0" w14:textId="77777777" w:rsidTr="00B35321">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64EA2AF" w14:textId="3AA1629E" w:rsidR="00127EF6" w:rsidRDefault="00127EF6">
            <w:pPr>
              <w:ind w:left="170"/>
            </w:pPr>
            <w:r>
              <w:rPr>
                <w:i/>
              </w:rPr>
              <w:t xml:space="preserve">This performance measure is proposed to be discontinued and replaced by the new measure </w:t>
            </w:r>
            <w:r w:rsidR="00376B25">
              <w:rPr>
                <w:i/>
              </w:rPr>
              <w:t>‘</w:t>
            </w:r>
            <w:r>
              <w:rPr>
                <w:i/>
              </w:rPr>
              <w:t>Satisfaction rate of resources, guidelines and support provided by the Commission</w:t>
            </w:r>
            <w:r w:rsidR="00376B25">
              <w:rPr>
                <w:i/>
              </w:rPr>
              <w:t>’</w:t>
            </w:r>
            <w:r>
              <w:rPr>
                <w:i/>
              </w:rPr>
              <w:t>.</w:t>
            </w:r>
          </w:p>
        </w:tc>
      </w:tr>
    </w:tbl>
    <w:p w14:paraId="064C581A" w14:textId="402EF234" w:rsidR="00127EF6" w:rsidRDefault="00A47EB3" w:rsidP="005314E1">
      <w:pPr>
        <w:pStyle w:val="Source"/>
      </w:pPr>
      <w:r>
        <w:t>Source: Department of Families, Fairness and Housing</w:t>
      </w:r>
    </w:p>
    <w:p w14:paraId="58A24062" w14:textId="77777777" w:rsidR="00695D0B" w:rsidRDefault="00695D0B">
      <w:pPr>
        <w:keepLines w:val="0"/>
        <w:rPr>
          <w:rFonts w:asciiTheme="majorHAnsi" w:eastAsiaTheme="majorEastAsia" w:hAnsiTheme="majorHAnsi" w:cstheme="majorBidi"/>
          <w:b/>
          <w:caps/>
          <w:sz w:val="27"/>
          <w:szCs w:val="32"/>
        </w:rPr>
      </w:pPr>
      <w:r>
        <w:br w:type="page"/>
      </w:r>
    </w:p>
    <w:p w14:paraId="3C9F92AA" w14:textId="10F55B54" w:rsidR="00127EF6" w:rsidRDefault="00127EF6" w:rsidP="00706B7E">
      <w:pPr>
        <w:pStyle w:val="Heading1"/>
        <w:spacing w:after="180"/>
      </w:pPr>
      <w:bookmarkStart w:id="33" w:name="_Toc228288111"/>
      <w:r>
        <w:t>Department of Government Services</w:t>
      </w:r>
      <w:bookmarkEnd w:id="33"/>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127EF6" w14:paraId="2C9D2865" w14:textId="77777777" w:rsidTr="00657C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50CA5EB8" w14:textId="77777777" w:rsidR="00127EF6" w:rsidRDefault="00127EF6">
            <w:r>
              <w:t>Performance measure</w:t>
            </w:r>
          </w:p>
        </w:tc>
        <w:tc>
          <w:tcPr>
            <w:tcW w:w="964" w:type="dxa"/>
            <w:tcBorders>
              <w:bottom w:val="single" w:sz="12" w:space="0" w:color="auto"/>
            </w:tcBorders>
          </w:tcPr>
          <w:p w14:paraId="7EA0A64F"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Borders>
              <w:bottom w:val="single" w:sz="12" w:space="0" w:color="auto"/>
            </w:tcBorders>
          </w:tcPr>
          <w:p w14:paraId="7419335C"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Borders>
              <w:bottom w:val="single" w:sz="12" w:space="0" w:color="auto"/>
            </w:tcBorders>
          </w:tcPr>
          <w:p w14:paraId="05D44AA2"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Borders>
              <w:bottom w:val="single" w:sz="12" w:space="0" w:color="auto"/>
            </w:tcBorders>
          </w:tcPr>
          <w:p w14:paraId="3C3FE638"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Borders>
              <w:bottom w:val="single" w:sz="12" w:space="0" w:color="auto"/>
            </w:tcBorders>
          </w:tcPr>
          <w:p w14:paraId="7A6FC31D"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018EE7DC"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24238415" w14:textId="6F297082" w:rsidR="00127EF6" w:rsidRDefault="00235725">
            <w:pPr>
              <w:keepNext/>
            </w:pPr>
            <w:r>
              <w:rPr>
                <w:b/>
              </w:rPr>
              <w:t>IDENTITY AND WORKER SCREENING SERVICES</w:t>
            </w:r>
          </w:p>
        </w:tc>
      </w:tr>
      <w:tr w:rsidR="00127EF6" w:rsidRPr="00235725" w14:paraId="52B7310A"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Pr>
          <w:p w14:paraId="6261884F" w14:textId="77777777" w:rsidR="00127EF6" w:rsidRPr="00235725" w:rsidRDefault="00127EF6">
            <w:pPr>
              <w:keepNext/>
              <w:rPr>
                <w:b/>
                <w:bCs/>
                <w:iCs/>
              </w:rPr>
            </w:pPr>
            <w:r w:rsidRPr="00235725">
              <w:rPr>
                <w:b/>
                <w:bCs/>
                <w:iCs/>
              </w:rPr>
              <w:t>Quantity</w:t>
            </w:r>
          </w:p>
        </w:tc>
      </w:tr>
      <w:tr w:rsidR="00127EF6" w14:paraId="72F48036" w14:textId="77777777" w:rsidTr="00657C9B">
        <w:tc>
          <w:tcPr>
            <w:cnfStyle w:val="001000000000" w:firstRow="0" w:lastRow="0" w:firstColumn="1" w:lastColumn="0" w:oddVBand="0" w:evenVBand="0" w:oddHBand="0" w:evenHBand="0" w:firstRowFirstColumn="0" w:firstRowLastColumn="0" w:lastRowFirstColumn="0" w:lastRowLastColumn="0"/>
            <w:tcW w:w="4819" w:type="dxa"/>
          </w:tcPr>
          <w:p w14:paraId="58E138FA" w14:textId="77777777" w:rsidR="00127EF6" w:rsidRDefault="00127EF6">
            <w:pPr>
              <w:keepNext/>
              <w:ind w:left="170"/>
            </w:pPr>
            <w:r>
              <w:t>Working with Children and National Disability Insurance Scheme (NDIS) checks processed</w:t>
            </w:r>
          </w:p>
        </w:tc>
        <w:tc>
          <w:tcPr>
            <w:tcW w:w="964" w:type="dxa"/>
          </w:tcPr>
          <w:p w14:paraId="5353C1AF"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 (thousand)</w:t>
            </w:r>
          </w:p>
        </w:tc>
        <w:tc>
          <w:tcPr>
            <w:tcW w:w="964" w:type="dxa"/>
            <w:shd w:val="clear" w:color="auto" w:fill="F0F0F0"/>
          </w:tcPr>
          <w:p w14:paraId="4F3A41DF"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08FDE60D" w14:textId="79AB945C" w:rsidR="00127EF6" w:rsidRDefault="00127EF6">
            <w:pPr>
              <w:cnfStyle w:val="000000000000" w:firstRow="0" w:lastRow="0" w:firstColumn="0" w:lastColumn="0" w:oddVBand="0" w:evenVBand="0" w:oddHBand="0" w:evenHBand="0" w:firstRowFirstColumn="0" w:firstRowLastColumn="0" w:lastRowFirstColumn="0" w:lastRowLastColumn="0"/>
            </w:pPr>
            <w:r>
              <w:t>550</w:t>
            </w:r>
            <w:r w:rsidR="008413DB">
              <w:t xml:space="preserve"> – </w:t>
            </w:r>
            <w:r>
              <w:t>600</w:t>
            </w:r>
          </w:p>
        </w:tc>
        <w:tc>
          <w:tcPr>
            <w:tcW w:w="964" w:type="dxa"/>
          </w:tcPr>
          <w:p w14:paraId="0F6F32A1" w14:textId="291F7316" w:rsidR="00127EF6" w:rsidRDefault="00127EF6">
            <w:pPr>
              <w:cnfStyle w:val="000000000000" w:firstRow="0" w:lastRow="0" w:firstColumn="0" w:lastColumn="0" w:oddVBand="0" w:evenVBand="0" w:oddHBand="0" w:evenHBand="0" w:firstRowFirstColumn="0" w:firstRowLastColumn="0" w:lastRowFirstColumn="0" w:lastRowLastColumn="0"/>
            </w:pPr>
            <w:r>
              <w:t>550</w:t>
            </w:r>
            <w:r w:rsidR="008413DB">
              <w:t xml:space="preserve"> – </w:t>
            </w:r>
            <w:r>
              <w:t>600</w:t>
            </w:r>
          </w:p>
        </w:tc>
        <w:tc>
          <w:tcPr>
            <w:tcW w:w="964" w:type="dxa"/>
          </w:tcPr>
          <w:p w14:paraId="37F5FCEA" w14:textId="77777777" w:rsidR="00127EF6" w:rsidRDefault="00127EF6">
            <w:pPr>
              <w:cnfStyle w:val="000000000000" w:firstRow="0" w:lastRow="0" w:firstColumn="0" w:lastColumn="0" w:oddVBand="0" w:evenVBand="0" w:oddHBand="0" w:evenHBand="0" w:firstRowFirstColumn="0" w:firstRowLastColumn="0" w:lastRowFirstColumn="0" w:lastRowLastColumn="0"/>
            </w:pPr>
            <w:r>
              <w:t>539</w:t>
            </w:r>
          </w:p>
        </w:tc>
      </w:tr>
      <w:tr w:rsidR="00127EF6" w14:paraId="54CCC6A9"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8E78457" w14:textId="77777777" w:rsidR="00127EF6" w:rsidRDefault="00127EF6">
            <w:pPr>
              <w:ind w:left="170"/>
            </w:pPr>
            <w:r>
              <w:rPr>
                <w:i/>
              </w:rPr>
              <w:t>This performance measure has been transferred to the Department of Families, Fairness and Housing as a result of machinery of government changes that resulted in the transfer of functions in relation to Working with Children and National Disability Insurance Scheme checks out of the Department.</w:t>
            </w:r>
          </w:p>
        </w:tc>
      </w:tr>
      <w:tr w:rsidR="00127EF6" w:rsidRPr="00235725" w14:paraId="202A37E0"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Pr>
          <w:p w14:paraId="4EEE1F0E" w14:textId="77777777" w:rsidR="00127EF6" w:rsidRPr="00235725" w:rsidRDefault="00127EF6">
            <w:pPr>
              <w:keepNext/>
              <w:rPr>
                <w:b/>
                <w:bCs/>
                <w:iCs/>
              </w:rPr>
            </w:pPr>
            <w:r w:rsidRPr="00235725">
              <w:rPr>
                <w:b/>
                <w:bCs/>
                <w:iCs/>
              </w:rPr>
              <w:t>Timeliness</w:t>
            </w:r>
          </w:p>
        </w:tc>
      </w:tr>
      <w:tr w:rsidR="00127EF6" w14:paraId="0F224CDA" w14:textId="77777777" w:rsidTr="00657C9B">
        <w:tc>
          <w:tcPr>
            <w:cnfStyle w:val="001000000000" w:firstRow="0" w:lastRow="0" w:firstColumn="1" w:lastColumn="0" w:oddVBand="0" w:evenVBand="0" w:oddHBand="0" w:evenHBand="0" w:firstRowFirstColumn="0" w:firstRowLastColumn="0" w:lastRowFirstColumn="0" w:lastRowLastColumn="0"/>
            <w:tcW w:w="4819" w:type="dxa"/>
          </w:tcPr>
          <w:p w14:paraId="0EAE5369" w14:textId="77777777" w:rsidR="00127EF6" w:rsidRDefault="00127EF6">
            <w:pPr>
              <w:keepNext/>
              <w:ind w:left="170"/>
            </w:pPr>
            <w:r>
              <w:t>Percentage of clearances for Working with Children and National Disability Insurance Scheme (NDIS) checks issued within agreed timeframes</w:t>
            </w:r>
          </w:p>
        </w:tc>
        <w:tc>
          <w:tcPr>
            <w:tcW w:w="964" w:type="dxa"/>
          </w:tcPr>
          <w:p w14:paraId="50C29E1D"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5389680"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6F28FC7"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282B8FB"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BFF6067" w14:textId="77777777" w:rsidR="00127EF6" w:rsidRDefault="00127EF6">
            <w:pPr>
              <w:cnfStyle w:val="000000000000" w:firstRow="0" w:lastRow="0" w:firstColumn="0" w:lastColumn="0" w:oddVBand="0" w:evenVBand="0" w:oddHBand="0" w:evenHBand="0" w:firstRowFirstColumn="0" w:firstRowLastColumn="0" w:lastRowFirstColumn="0" w:lastRowLastColumn="0"/>
            </w:pPr>
            <w:r>
              <w:t>99</w:t>
            </w:r>
          </w:p>
        </w:tc>
      </w:tr>
      <w:tr w:rsidR="00127EF6" w14:paraId="1F06E581"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1EAFD5F" w14:textId="77777777" w:rsidR="00127EF6" w:rsidRDefault="00127EF6">
            <w:pPr>
              <w:ind w:left="170"/>
            </w:pPr>
            <w:r>
              <w:rPr>
                <w:i/>
              </w:rPr>
              <w:t>This performance measure has been transferred to the Department of Families, Fairness and Housing as a result of machinery of government changes that resulted in the transfer of functions in relation to Working with Children and National Disability Insurance Scheme checks out of the Department.</w:t>
            </w:r>
          </w:p>
        </w:tc>
      </w:tr>
      <w:tr w:rsidR="00127EF6" w14:paraId="7D2FDB51" w14:textId="77777777" w:rsidTr="00657C9B">
        <w:tc>
          <w:tcPr>
            <w:cnfStyle w:val="001000000000" w:firstRow="0" w:lastRow="0" w:firstColumn="1" w:lastColumn="0" w:oddVBand="0" w:evenVBand="0" w:oddHBand="0" w:evenHBand="0" w:firstRowFirstColumn="0" w:firstRowLastColumn="0" w:lastRowFirstColumn="0" w:lastRowLastColumn="0"/>
            <w:tcW w:w="4819" w:type="dxa"/>
          </w:tcPr>
          <w:p w14:paraId="669F3DFC" w14:textId="77777777" w:rsidR="00127EF6" w:rsidRDefault="00127EF6">
            <w:pPr>
              <w:keepNext/>
              <w:ind w:left="170"/>
            </w:pPr>
            <w:r>
              <w:t>Percentage of exclusions for Working with Children and National Disability Insurance Scheme (NDIS) checks issued within agreed timeframes</w:t>
            </w:r>
          </w:p>
        </w:tc>
        <w:tc>
          <w:tcPr>
            <w:tcW w:w="964" w:type="dxa"/>
          </w:tcPr>
          <w:p w14:paraId="0619C843"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6247268"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F45BEDF" w14:textId="77777777" w:rsidR="00127EF6" w:rsidRDefault="00127EF6">
            <w:pPr>
              <w:cnfStyle w:val="000000000000" w:firstRow="0" w:lastRow="0" w:firstColumn="0" w:lastColumn="0" w:oddVBand="0" w:evenVBand="0" w:oddHBand="0" w:evenHBand="0" w:firstRowFirstColumn="0" w:firstRowLastColumn="0" w:lastRowFirstColumn="0" w:lastRowLastColumn="0"/>
            </w:pPr>
            <w:r>
              <w:t>99</w:t>
            </w:r>
          </w:p>
        </w:tc>
        <w:tc>
          <w:tcPr>
            <w:tcW w:w="964" w:type="dxa"/>
          </w:tcPr>
          <w:p w14:paraId="11B8489B" w14:textId="77777777" w:rsidR="00127EF6" w:rsidRDefault="00127EF6">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65C622BF" w14:textId="77777777" w:rsidR="00127EF6" w:rsidRDefault="00127EF6">
            <w:pPr>
              <w:cnfStyle w:val="000000000000" w:firstRow="0" w:lastRow="0" w:firstColumn="0" w:lastColumn="0" w:oddVBand="0" w:evenVBand="0" w:oddHBand="0" w:evenHBand="0" w:firstRowFirstColumn="0" w:firstRowLastColumn="0" w:lastRowFirstColumn="0" w:lastRowLastColumn="0"/>
            </w:pPr>
            <w:r>
              <w:t>99</w:t>
            </w:r>
          </w:p>
        </w:tc>
      </w:tr>
      <w:tr w:rsidR="00127EF6" w14:paraId="2F4DE3C1"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FFD9BC7" w14:textId="77777777" w:rsidR="00127EF6" w:rsidRDefault="00127EF6">
            <w:pPr>
              <w:ind w:left="170"/>
            </w:pPr>
            <w:r>
              <w:rPr>
                <w:i/>
              </w:rPr>
              <w:t>This performance measure has been transferred to the Department of Families, Fairness and Housing as a result of machinery of government changes that resulted in the transfer of functions in relation to Working with Children and National Disability Insurance Scheme checks out of the Department.</w:t>
            </w:r>
          </w:p>
        </w:tc>
      </w:tr>
      <w:tr w:rsidR="00127EF6" w14:paraId="2F03C6AF"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5A27415F" w14:textId="0DDD7140" w:rsidR="00127EF6" w:rsidRDefault="00235725" w:rsidP="00230D0D">
            <w:pPr>
              <w:keepNext/>
              <w:spacing w:before="60"/>
            </w:pPr>
            <w:r>
              <w:rPr>
                <w:b/>
              </w:rPr>
              <w:t>REGULATION OF THE VICTORIAN CONSUMER MARKETPLACE</w:t>
            </w:r>
          </w:p>
        </w:tc>
      </w:tr>
      <w:tr w:rsidR="00657C9B" w14:paraId="4206348B"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94B8A51" w14:textId="77BD2C2B" w:rsidR="00657C9B" w:rsidRPr="00657C9B" w:rsidRDefault="00657C9B">
            <w:pPr>
              <w:rPr>
                <w:b/>
                <w:bCs/>
              </w:rPr>
            </w:pPr>
            <w:r w:rsidRPr="00657C9B">
              <w:rPr>
                <w:b/>
                <w:bCs/>
              </w:rPr>
              <w:t>Timeliness</w:t>
            </w:r>
          </w:p>
        </w:tc>
      </w:tr>
      <w:tr w:rsidR="00127EF6" w14:paraId="1662EFF4" w14:textId="77777777" w:rsidTr="00657C9B">
        <w:tc>
          <w:tcPr>
            <w:cnfStyle w:val="001000000000" w:firstRow="0" w:lastRow="0" w:firstColumn="1" w:lastColumn="0" w:oddVBand="0" w:evenVBand="0" w:oddHBand="0" w:evenHBand="0" w:firstRowFirstColumn="0" w:firstRowLastColumn="0" w:lastRowFirstColumn="0" w:lastRowLastColumn="0"/>
            <w:tcW w:w="4819" w:type="dxa"/>
          </w:tcPr>
          <w:p w14:paraId="3EE9F400" w14:textId="30B7C991" w:rsidR="00127EF6" w:rsidRDefault="00127EF6">
            <w:pPr>
              <w:keepNext/>
              <w:ind w:left="170"/>
            </w:pPr>
            <w:r>
              <w:t>Percentage of intake and mediation services conducted within agreed timeframes</w:t>
            </w:r>
          </w:p>
        </w:tc>
        <w:tc>
          <w:tcPr>
            <w:tcW w:w="964" w:type="dxa"/>
          </w:tcPr>
          <w:p w14:paraId="30428855"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74E0A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35DBFE60" w14:textId="77777777" w:rsidR="00127EF6" w:rsidRDefault="00127EF6">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53BA8530" w14:textId="77777777" w:rsidR="00127EF6" w:rsidRDefault="00127EF6">
            <w:pPr>
              <w:cnfStyle w:val="000000000000" w:firstRow="0" w:lastRow="0" w:firstColumn="0" w:lastColumn="0" w:oddVBand="0" w:evenVBand="0" w:oddHBand="0" w:evenHBand="0" w:firstRowFirstColumn="0" w:firstRowLastColumn="0" w:lastRowFirstColumn="0" w:lastRowLastColumn="0"/>
            </w:pPr>
            <w:r>
              <w:t>95</w:t>
            </w:r>
          </w:p>
        </w:tc>
        <w:tc>
          <w:tcPr>
            <w:tcW w:w="964" w:type="dxa"/>
          </w:tcPr>
          <w:p w14:paraId="359453E3" w14:textId="77777777" w:rsidR="00127EF6" w:rsidRDefault="00127EF6">
            <w:pPr>
              <w:cnfStyle w:val="000000000000" w:firstRow="0" w:lastRow="0" w:firstColumn="0" w:lastColumn="0" w:oddVBand="0" w:evenVBand="0" w:oddHBand="0" w:evenHBand="0" w:firstRowFirstColumn="0" w:firstRowLastColumn="0" w:lastRowFirstColumn="0" w:lastRowLastColumn="0"/>
            </w:pPr>
            <w:r>
              <w:t>64</w:t>
            </w:r>
          </w:p>
        </w:tc>
      </w:tr>
      <w:tr w:rsidR="00127EF6" w14:paraId="3B4C6A47"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C9C17DD" w14:textId="77777777" w:rsidR="00127EF6" w:rsidRDefault="00127EF6">
            <w:pPr>
              <w:ind w:left="170"/>
            </w:pPr>
            <w:r>
              <w:rPr>
                <w:i/>
              </w:rPr>
              <w:t>This measure is proposed to be discontinued as it is a subset of the performance measure Average response time by the Victorian Government Contact Centre (phone and webchat contacts). </w:t>
            </w:r>
          </w:p>
        </w:tc>
      </w:tr>
      <w:tr w:rsidR="00127EF6" w14:paraId="7DFE4136"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7D95FC55" w14:textId="55FB60E0" w:rsidR="00127EF6" w:rsidRDefault="00670EFF" w:rsidP="00230D0D">
            <w:pPr>
              <w:keepNext/>
              <w:spacing w:before="60"/>
            </w:pPr>
            <w:r w:rsidRPr="00670EFF">
              <w:rPr>
                <w:b/>
              </w:rPr>
              <w:t xml:space="preserve">GOVERNMENT SERVICES STRATEGY AND DIGITAL </w:t>
            </w:r>
            <w:r w:rsidR="00235725" w:rsidDel="00670EFF">
              <w:rPr>
                <w:b/>
              </w:rPr>
              <w:t>TRANSFORMATION</w:t>
            </w:r>
          </w:p>
        </w:tc>
      </w:tr>
      <w:tr w:rsidR="00127EF6" w:rsidRPr="00235725" w14:paraId="333FC0A9"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Pr>
          <w:p w14:paraId="1E18AA08" w14:textId="77777777" w:rsidR="00127EF6" w:rsidRPr="00235725" w:rsidRDefault="00127EF6">
            <w:pPr>
              <w:keepNext/>
              <w:rPr>
                <w:b/>
                <w:bCs/>
                <w:iCs/>
              </w:rPr>
            </w:pPr>
            <w:r w:rsidRPr="00235725">
              <w:rPr>
                <w:b/>
                <w:bCs/>
                <w:iCs/>
              </w:rPr>
              <w:t>Quantity</w:t>
            </w:r>
          </w:p>
        </w:tc>
      </w:tr>
      <w:tr w:rsidR="00127EF6" w14:paraId="15F61689" w14:textId="77777777" w:rsidTr="00657C9B">
        <w:tc>
          <w:tcPr>
            <w:cnfStyle w:val="001000000000" w:firstRow="0" w:lastRow="0" w:firstColumn="1" w:lastColumn="0" w:oddVBand="0" w:evenVBand="0" w:oddHBand="0" w:evenHBand="0" w:firstRowFirstColumn="0" w:firstRowLastColumn="0" w:lastRowFirstColumn="0" w:lastRowLastColumn="0"/>
            <w:tcW w:w="4819" w:type="dxa"/>
          </w:tcPr>
          <w:p w14:paraId="2FCEDF60" w14:textId="77777777" w:rsidR="00127EF6" w:rsidRDefault="00127EF6">
            <w:pPr>
              <w:keepNext/>
              <w:ind w:left="170"/>
            </w:pPr>
            <w:r>
              <w:t>Broadband infrastructure projects delivered</w:t>
            </w:r>
          </w:p>
        </w:tc>
        <w:tc>
          <w:tcPr>
            <w:tcW w:w="964" w:type="dxa"/>
          </w:tcPr>
          <w:p w14:paraId="2E5C2065"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1F539736"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4DCC842" w14:textId="77777777" w:rsidR="00127EF6" w:rsidRDefault="00127EF6">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04FB7D6C" w14:textId="77777777" w:rsidR="00127EF6" w:rsidRDefault="00127EF6">
            <w:pPr>
              <w:cnfStyle w:val="000000000000" w:firstRow="0" w:lastRow="0" w:firstColumn="0" w:lastColumn="0" w:oddVBand="0" w:evenVBand="0" w:oddHBand="0" w:evenHBand="0" w:firstRowFirstColumn="0" w:firstRowLastColumn="0" w:lastRowFirstColumn="0" w:lastRowLastColumn="0"/>
            </w:pPr>
            <w:r>
              <w:t>8</w:t>
            </w:r>
          </w:p>
        </w:tc>
        <w:tc>
          <w:tcPr>
            <w:tcW w:w="964" w:type="dxa"/>
          </w:tcPr>
          <w:p w14:paraId="3F074BDC" w14:textId="77777777" w:rsidR="00127EF6" w:rsidRDefault="00127EF6">
            <w:pPr>
              <w:cnfStyle w:val="000000000000" w:firstRow="0" w:lastRow="0" w:firstColumn="0" w:lastColumn="0" w:oddVBand="0" w:evenVBand="0" w:oddHBand="0" w:evenHBand="0" w:firstRowFirstColumn="0" w:firstRowLastColumn="0" w:lastRowFirstColumn="0" w:lastRowLastColumn="0"/>
            </w:pPr>
            <w:r>
              <w:t>25</w:t>
            </w:r>
          </w:p>
        </w:tc>
      </w:tr>
      <w:tr w:rsidR="00127EF6" w14:paraId="3A128690" w14:textId="77777777" w:rsidTr="00657C9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CCB308E" w14:textId="77777777" w:rsidR="00127EF6" w:rsidRDefault="00127EF6">
            <w:pPr>
              <w:ind w:left="170"/>
            </w:pPr>
            <w:r>
              <w:rPr>
                <w:i/>
              </w:rPr>
              <w:t>This performance measure is proposed to be discontinued as it is no longer relevant due to the majority of broadband projects expected to be complete before June 2026.</w:t>
            </w:r>
          </w:p>
        </w:tc>
      </w:tr>
    </w:tbl>
    <w:p w14:paraId="73C10705" w14:textId="77777777" w:rsidR="00127EF6" w:rsidRPr="00377DF4" w:rsidRDefault="00127EF6" w:rsidP="008413DB">
      <w:pPr>
        <w:pStyle w:val="Source"/>
      </w:pPr>
      <w:r w:rsidRPr="00377DF4">
        <w:t>Source: Department of Government Services</w:t>
      </w:r>
    </w:p>
    <w:p w14:paraId="48E1F080" w14:textId="77777777" w:rsidR="00796058" w:rsidRDefault="00796058" w:rsidP="00796058">
      <w:pPr>
        <w:pStyle w:val="Source"/>
      </w:pPr>
    </w:p>
    <w:p w14:paraId="2F4055E0" w14:textId="77777777" w:rsidR="00695D0B" w:rsidRDefault="00695D0B">
      <w:pPr>
        <w:keepLines w:val="0"/>
        <w:rPr>
          <w:rFonts w:asciiTheme="majorHAnsi" w:eastAsiaTheme="majorEastAsia" w:hAnsiTheme="majorHAnsi" w:cstheme="majorBidi"/>
          <w:b/>
          <w:caps/>
          <w:sz w:val="27"/>
          <w:szCs w:val="32"/>
        </w:rPr>
      </w:pPr>
      <w:r>
        <w:br w:type="page"/>
      </w:r>
    </w:p>
    <w:p w14:paraId="4CC1C774" w14:textId="15BC9180" w:rsidR="00796058" w:rsidRDefault="00796058" w:rsidP="00706B7E">
      <w:pPr>
        <w:pStyle w:val="Heading1"/>
        <w:spacing w:after="180"/>
        <w:rPr>
          <w:rFonts w:eastAsia="Calibri"/>
        </w:rPr>
      </w:pPr>
      <w:bookmarkStart w:id="34" w:name="_Toc228288112"/>
      <w:r>
        <w:t>Department of Health</w:t>
      </w:r>
      <w:bookmarkEnd w:id="34"/>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9D1FB8" w14:paraId="6018A59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3AC4C61B" w14:textId="77777777" w:rsidR="009D1FB8" w:rsidRDefault="009D1FB8">
            <w:r>
              <w:t>Performance measure</w:t>
            </w:r>
          </w:p>
        </w:tc>
        <w:tc>
          <w:tcPr>
            <w:tcW w:w="964" w:type="dxa"/>
          </w:tcPr>
          <w:p w14:paraId="29F0C21E" w14:textId="77777777" w:rsidR="009D1FB8" w:rsidRDefault="009D1FB8">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1453B73E" w14:textId="77777777" w:rsidR="009D1FB8" w:rsidRDefault="009D1FB8">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6AA97DCB" w14:textId="77777777" w:rsidR="009D1FB8" w:rsidRDefault="009D1FB8">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34BBE66" w14:textId="77777777" w:rsidR="009D1FB8" w:rsidRDefault="009D1FB8">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BD406E1" w14:textId="77777777" w:rsidR="009D1FB8" w:rsidRDefault="009D1FB8">
            <w:pPr>
              <w:cnfStyle w:val="100000000000" w:firstRow="1" w:lastRow="0" w:firstColumn="0" w:lastColumn="0" w:oddVBand="0" w:evenVBand="0" w:oddHBand="0" w:evenHBand="0" w:firstRowFirstColumn="0" w:firstRowLastColumn="0" w:lastRowFirstColumn="0" w:lastRowLastColumn="0"/>
            </w:pPr>
            <w:r>
              <w:t>2024-25 actual</w:t>
            </w:r>
          </w:p>
        </w:tc>
      </w:tr>
      <w:tr w:rsidR="009D1FB8" w14:paraId="6C1FD04D"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C95064F" w14:textId="77777777" w:rsidR="009D1FB8" w:rsidRDefault="009D1FB8">
            <w:pPr>
              <w:keepNext/>
            </w:pPr>
            <w:r>
              <w:rPr>
                <w:b/>
              </w:rPr>
              <w:t>Aged and Home Care</w:t>
            </w:r>
          </w:p>
        </w:tc>
      </w:tr>
      <w:tr w:rsidR="009D1FB8" w14:paraId="24D9920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1B86FE61" w14:textId="77777777" w:rsidR="009D1FB8" w:rsidRDefault="009D1FB8">
            <w:pPr>
              <w:keepNext/>
            </w:pPr>
            <w:r>
              <w:rPr>
                <w:i/>
              </w:rPr>
              <w:t>Timeliness</w:t>
            </w:r>
          </w:p>
        </w:tc>
      </w:tr>
      <w:tr w:rsidR="009D1FB8" w14:paraId="6862959F" w14:textId="77777777">
        <w:tc>
          <w:tcPr>
            <w:cnfStyle w:val="001000000000" w:firstRow="0" w:lastRow="0" w:firstColumn="1" w:lastColumn="0" w:oddVBand="0" w:evenVBand="0" w:oddHBand="0" w:evenHBand="0" w:firstRowFirstColumn="0" w:firstRowLastColumn="0" w:lastRowFirstColumn="0" w:lastRowLastColumn="0"/>
            <w:tcW w:w="4819" w:type="dxa"/>
          </w:tcPr>
          <w:p w14:paraId="49C2DDC5" w14:textId="77777777" w:rsidR="009D1FB8" w:rsidRDefault="009D1FB8">
            <w:pPr>
              <w:keepNext/>
              <w:ind w:left="170"/>
            </w:pPr>
            <w:r>
              <w:t>Average waiting time (calendar days) from referral to assessment</w:t>
            </w:r>
          </w:p>
        </w:tc>
        <w:tc>
          <w:tcPr>
            <w:tcW w:w="964" w:type="dxa"/>
          </w:tcPr>
          <w:p w14:paraId="53C2AB40" w14:textId="77777777" w:rsidR="009D1FB8" w:rsidRDefault="009D1FB8">
            <w:pPr>
              <w:jc w:val="center"/>
              <w:cnfStyle w:val="000000000000" w:firstRow="0" w:lastRow="0" w:firstColumn="0" w:lastColumn="0" w:oddVBand="0" w:evenVBand="0" w:oddHBand="0" w:evenHBand="0" w:firstRowFirstColumn="0" w:firstRowLastColumn="0" w:lastRowFirstColumn="0" w:lastRowLastColumn="0"/>
            </w:pPr>
            <w:r>
              <w:t>days</w:t>
            </w:r>
          </w:p>
        </w:tc>
        <w:tc>
          <w:tcPr>
            <w:tcW w:w="964" w:type="dxa"/>
            <w:shd w:val="clear" w:color="auto" w:fill="F0F0F0"/>
          </w:tcPr>
          <w:p w14:paraId="6E30AA89" w14:textId="38A1B76E" w:rsidR="009D1FB8" w:rsidRDefault="009D1FB8">
            <w:pPr>
              <w:cnfStyle w:val="000000000000" w:firstRow="0" w:lastRow="0" w:firstColumn="0" w:lastColumn="0" w:oddVBand="0" w:evenVBand="0" w:oddHBand="0" w:evenHBand="0" w:firstRowFirstColumn="0" w:firstRowLastColumn="0" w:lastRowFirstColumn="0" w:lastRowLastColumn="0"/>
            </w:pPr>
            <w:r>
              <w:t>n.a</w:t>
            </w:r>
            <w:r w:rsidR="004819EB">
              <w:t>.</w:t>
            </w:r>
          </w:p>
        </w:tc>
        <w:tc>
          <w:tcPr>
            <w:tcW w:w="964" w:type="dxa"/>
          </w:tcPr>
          <w:p w14:paraId="5C0B4660" w14:textId="77777777" w:rsidR="009D1FB8" w:rsidRDefault="009D1FB8">
            <w:pPr>
              <w:cnfStyle w:val="000000000000" w:firstRow="0" w:lastRow="0" w:firstColumn="0" w:lastColumn="0" w:oddVBand="0" w:evenVBand="0" w:oddHBand="0" w:evenHBand="0" w:firstRowFirstColumn="0" w:firstRowLastColumn="0" w:lastRowFirstColumn="0" w:lastRowLastColumn="0"/>
            </w:pPr>
            <w:r>
              <w:t>6.3</w:t>
            </w:r>
          </w:p>
        </w:tc>
        <w:tc>
          <w:tcPr>
            <w:tcW w:w="964" w:type="dxa"/>
          </w:tcPr>
          <w:p w14:paraId="3797AD6A" w14:textId="7B33E4C5" w:rsidR="009D1FB8" w:rsidRDefault="000F51DA">
            <w:pPr>
              <w:cnfStyle w:val="000000000000" w:firstRow="0" w:lastRow="0" w:firstColumn="0" w:lastColumn="0" w:oddVBand="0" w:evenVBand="0" w:oddHBand="0" w:evenHBand="0" w:firstRowFirstColumn="0" w:firstRowLastColumn="0" w:lastRowFirstColumn="0" w:lastRowLastColumn="0"/>
            </w:pPr>
            <w:r>
              <w:t>tbc</w:t>
            </w:r>
          </w:p>
        </w:tc>
        <w:tc>
          <w:tcPr>
            <w:tcW w:w="964" w:type="dxa"/>
          </w:tcPr>
          <w:p w14:paraId="50E47B7F" w14:textId="77777777" w:rsidR="009D1FB8" w:rsidRDefault="009D1FB8">
            <w:pPr>
              <w:cnfStyle w:val="000000000000" w:firstRow="0" w:lastRow="0" w:firstColumn="0" w:lastColumn="0" w:oddVBand="0" w:evenVBand="0" w:oddHBand="0" w:evenHBand="0" w:firstRowFirstColumn="0" w:firstRowLastColumn="0" w:lastRowFirstColumn="0" w:lastRowLastColumn="0"/>
            </w:pPr>
            <w:r>
              <w:t>37</w:t>
            </w:r>
          </w:p>
        </w:tc>
      </w:tr>
      <w:tr w:rsidR="009D1FB8" w14:paraId="63E6CD0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912D07A" w14:textId="77777777" w:rsidR="009D1FB8" w:rsidRDefault="009D1FB8">
            <w:pPr>
              <w:ind w:left="170"/>
            </w:pPr>
            <w:r>
              <w:rPr>
                <w:i/>
              </w:rPr>
              <w:t>No target was set for 2025-26 as this measure is no longer a Commonwealth key performance indicator.</w:t>
            </w:r>
          </w:p>
          <w:p w14:paraId="51D49862" w14:textId="2EB73B5E" w:rsidR="009D1FB8" w:rsidRDefault="009D1FB8">
            <w:pPr>
              <w:ind w:left="170"/>
            </w:pPr>
            <w:r>
              <w:rPr>
                <w:i/>
              </w:rPr>
              <w:t>Following the implementation of the Commonwealth</w:t>
            </w:r>
            <w:r w:rsidR="00324555">
              <w:rPr>
                <w:i/>
              </w:rPr>
              <w:t>’</w:t>
            </w:r>
            <w:r>
              <w:rPr>
                <w:i/>
              </w:rPr>
              <w:t>s new Single Assessment System, this measure duplicates timeliness measures and has been discontinued. The three timeliness measures (Percentage of Comprehensive Assessments for high/low/medium-priority clients completed within the relevant timeframe in all settings) will be adjusted to align with new KPIs under the new single assessment system.</w:t>
            </w:r>
          </w:p>
        </w:tc>
      </w:tr>
      <w:tr w:rsidR="009D1FB8" w14:paraId="6FC3F8A6"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85569AE" w14:textId="77777777" w:rsidR="009D1FB8" w:rsidRDefault="009D1FB8">
            <w:pPr>
              <w:keepNext/>
            </w:pPr>
            <w:r>
              <w:rPr>
                <w:b/>
              </w:rPr>
              <w:t>Public Health</w:t>
            </w:r>
          </w:p>
        </w:tc>
      </w:tr>
      <w:tr w:rsidR="009D1FB8" w14:paraId="04BBF173" w14:textId="77777777">
        <w:tc>
          <w:tcPr>
            <w:cnfStyle w:val="001000000000" w:firstRow="0" w:lastRow="0" w:firstColumn="1" w:lastColumn="0" w:oddVBand="0" w:evenVBand="0" w:oddHBand="0" w:evenHBand="0" w:firstRowFirstColumn="0" w:firstRowLastColumn="0" w:lastRowFirstColumn="0" w:lastRowLastColumn="0"/>
            <w:tcW w:w="4819" w:type="dxa"/>
          </w:tcPr>
          <w:p w14:paraId="4C26DA3C" w14:textId="77777777" w:rsidR="009D1FB8" w:rsidRDefault="009D1FB8">
            <w:pPr>
              <w:keepNext/>
              <w:ind w:left="170"/>
            </w:pPr>
            <w:r>
              <w:t>Number of sales to minors test purchases undertaken</w:t>
            </w:r>
          </w:p>
        </w:tc>
        <w:tc>
          <w:tcPr>
            <w:tcW w:w="964" w:type="dxa"/>
          </w:tcPr>
          <w:p w14:paraId="098F193A" w14:textId="77777777" w:rsidR="009D1FB8" w:rsidRDefault="009D1FB8">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2F2F2" w:themeFill="background1" w:themeFillShade="F2"/>
          </w:tcPr>
          <w:p w14:paraId="51C768FC" w14:textId="2F06CCD5" w:rsidR="009D1FB8" w:rsidRDefault="009D1FB8">
            <w:pPr>
              <w:cnfStyle w:val="000000000000" w:firstRow="0" w:lastRow="0" w:firstColumn="0" w:lastColumn="0" w:oddVBand="0" w:evenVBand="0" w:oddHBand="0" w:evenHBand="0" w:firstRowFirstColumn="0" w:firstRowLastColumn="0" w:lastRowFirstColumn="0" w:lastRowLastColumn="0"/>
            </w:pPr>
            <w:r>
              <w:t>n.a</w:t>
            </w:r>
            <w:r w:rsidR="004819EB">
              <w:t>.</w:t>
            </w:r>
          </w:p>
        </w:tc>
        <w:tc>
          <w:tcPr>
            <w:tcW w:w="964" w:type="dxa"/>
          </w:tcPr>
          <w:p w14:paraId="6A137E1C" w14:textId="77777777" w:rsidR="009D1FB8" w:rsidRDefault="009D1FB8">
            <w:pPr>
              <w:cnfStyle w:val="000000000000" w:firstRow="0" w:lastRow="0" w:firstColumn="0" w:lastColumn="0" w:oddVBand="0" w:evenVBand="0" w:oddHBand="0" w:evenHBand="0" w:firstRowFirstColumn="0" w:firstRowLastColumn="0" w:lastRowFirstColumn="0" w:lastRowLastColumn="0"/>
            </w:pPr>
            <w:r>
              <w:t>1 500</w:t>
            </w:r>
          </w:p>
        </w:tc>
        <w:tc>
          <w:tcPr>
            <w:tcW w:w="964" w:type="dxa"/>
          </w:tcPr>
          <w:p w14:paraId="08D9EDF6" w14:textId="77777777" w:rsidR="009D1FB8" w:rsidRDefault="009D1FB8">
            <w:pPr>
              <w:cnfStyle w:val="000000000000" w:firstRow="0" w:lastRow="0" w:firstColumn="0" w:lastColumn="0" w:oddVBand="0" w:evenVBand="0" w:oddHBand="0" w:evenHBand="0" w:firstRowFirstColumn="0" w:firstRowLastColumn="0" w:lastRowFirstColumn="0" w:lastRowLastColumn="0"/>
            </w:pPr>
            <w:r>
              <w:t>3 000</w:t>
            </w:r>
          </w:p>
        </w:tc>
        <w:tc>
          <w:tcPr>
            <w:tcW w:w="964" w:type="dxa"/>
          </w:tcPr>
          <w:p w14:paraId="2B8ABE86" w14:textId="77777777" w:rsidR="009D1FB8" w:rsidRDefault="009D1FB8">
            <w:pPr>
              <w:cnfStyle w:val="000000000000" w:firstRow="0" w:lastRow="0" w:firstColumn="0" w:lastColumn="0" w:oddVBand="0" w:evenVBand="0" w:oddHBand="0" w:evenHBand="0" w:firstRowFirstColumn="0" w:firstRowLastColumn="0" w:lastRowFirstColumn="0" w:lastRowLastColumn="0"/>
            </w:pPr>
            <w:r>
              <w:t>1 962</w:t>
            </w:r>
          </w:p>
        </w:tc>
      </w:tr>
      <w:tr w:rsidR="009D1FB8" w14:paraId="034711E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FE1C4C9" w14:textId="7B483E0A" w:rsidR="009D1FB8" w:rsidRPr="004517F8" w:rsidRDefault="009D1FB8">
            <w:pPr>
              <w:ind w:left="170"/>
              <w:rPr>
                <w:i/>
                <w:iCs/>
              </w:rPr>
            </w:pPr>
            <w:r>
              <w:rPr>
                <w:i/>
              </w:rPr>
              <w:t>The 2025-26 expected outcome is lower than the target due to safety concerns and a reduction in council participation. T</w:t>
            </w:r>
            <w:r w:rsidRPr="00AD7CE4">
              <w:rPr>
                <w:i/>
              </w:rPr>
              <w:t>his measure is being discontinued to reflect changes in regulatory activity in line with other jurisdictions</w:t>
            </w:r>
            <w:r w:rsidR="009D757A">
              <w:rPr>
                <w:i/>
              </w:rPr>
              <w:t>.</w:t>
            </w:r>
          </w:p>
        </w:tc>
      </w:tr>
      <w:tr w:rsidR="009D1FB8" w14:paraId="25F448F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885F426" w14:textId="77777777" w:rsidR="009D1FB8" w:rsidRDefault="009D1FB8">
            <w:pPr>
              <w:keepNext/>
            </w:pPr>
            <w:r>
              <w:rPr>
                <w:i/>
              </w:rPr>
              <w:t>Quality</w:t>
            </w:r>
          </w:p>
        </w:tc>
      </w:tr>
      <w:tr w:rsidR="009D1FB8" w14:paraId="45C0C05E" w14:textId="77777777">
        <w:tc>
          <w:tcPr>
            <w:cnfStyle w:val="001000000000" w:firstRow="0" w:lastRow="0" w:firstColumn="1" w:lastColumn="0" w:oddVBand="0" w:evenVBand="0" w:oddHBand="0" w:evenHBand="0" w:firstRowFirstColumn="0" w:firstRowLastColumn="0" w:lastRowFirstColumn="0" w:lastRowLastColumn="0"/>
            <w:tcW w:w="4819" w:type="dxa"/>
          </w:tcPr>
          <w:p w14:paraId="27A049E8" w14:textId="77777777" w:rsidR="009D1FB8" w:rsidRDefault="009D1FB8">
            <w:pPr>
              <w:keepNext/>
              <w:ind w:left="170"/>
            </w:pPr>
            <w:r>
              <w:t>Enquiries related to food regulation are responded to within 5 business days</w:t>
            </w:r>
          </w:p>
        </w:tc>
        <w:tc>
          <w:tcPr>
            <w:tcW w:w="964" w:type="dxa"/>
          </w:tcPr>
          <w:p w14:paraId="4B400DC4" w14:textId="77777777" w:rsidR="009D1FB8" w:rsidRDefault="009D1FB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735CF2CA" w14:textId="32ECC100" w:rsidR="009D1FB8" w:rsidRDefault="009D1FB8">
            <w:pPr>
              <w:cnfStyle w:val="000000000000" w:firstRow="0" w:lastRow="0" w:firstColumn="0" w:lastColumn="0" w:oddVBand="0" w:evenVBand="0" w:oddHBand="0" w:evenHBand="0" w:firstRowFirstColumn="0" w:firstRowLastColumn="0" w:lastRowFirstColumn="0" w:lastRowLastColumn="0"/>
            </w:pPr>
            <w:r>
              <w:t>n.a</w:t>
            </w:r>
            <w:r w:rsidR="004819EB">
              <w:t>.</w:t>
            </w:r>
          </w:p>
        </w:tc>
        <w:tc>
          <w:tcPr>
            <w:tcW w:w="964" w:type="dxa"/>
          </w:tcPr>
          <w:p w14:paraId="4FDB2060" w14:textId="77777777" w:rsidR="009D1FB8" w:rsidRDefault="009D1FB8">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2475D96B" w14:textId="77777777" w:rsidR="009D1FB8" w:rsidRDefault="009D1FB8">
            <w:pPr>
              <w:cnfStyle w:val="000000000000" w:firstRow="0" w:lastRow="0" w:firstColumn="0" w:lastColumn="0" w:oddVBand="0" w:evenVBand="0" w:oddHBand="0" w:evenHBand="0" w:firstRowFirstColumn="0" w:firstRowLastColumn="0" w:lastRowFirstColumn="0" w:lastRowLastColumn="0"/>
            </w:pPr>
            <w:r>
              <w:t>98</w:t>
            </w:r>
          </w:p>
        </w:tc>
        <w:tc>
          <w:tcPr>
            <w:tcW w:w="964" w:type="dxa"/>
          </w:tcPr>
          <w:p w14:paraId="5822AFD7" w14:textId="77777777" w:rsidR="009D1FB8" w:rsidRDefault="009D1FB8">
            <w:pPr>
              <w:cnfStyle w:val="000000000000" w:firstRow="0" w:lastRow="0" w:firstColumn="0" w:lastColumn="0" w:oddVBand="0" w:evenVBand="0" w:oddHBand="0" w:evenHBand="0" w:firstRowFirstColumn="0" w:firstRowLastColumn="0" w:lastRowFirstColumn="0" w:lastRowLastColumn="0"/>
            </w:pPr>
            <w:r>
              <w:t>nm</w:t>
            </w:r>
          </w:p>
        </w:tc>
      </w:tr>
      <w:tr w:rsidR="009D1FB8" w14:paraId="47161CDD"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EA0BA42" w14:textId="77777777" w:rsidR="009D1FB8" w:rsidRDefault="009D1FB8">
            <w:pPr>
              <w:ind w:left="170"/>
            </w:pPr>
            <w:r>
              <w:rPr>
                <w:i/>
              </w:rPr>
              <w:t>This performance measure will be transferred to Safe Food Victoria under the Department of Energy, Environment and Climate Action.</w:t>
            </w:r>
          </w:p>
        </w:tc>
      </w:tr>
      <w:tr w:rsidR="009D1FB8" w14:paraId="562C3F5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65E2E8A" w14:textId="77777777" w:rsidR="009D1FB8" w:rsidRDefault="009D1FB8">
            <w:pPr>
              <w:keepNext/>
            </w:pPr>
            <w:r>
              <w:rPr>
                <w:i/>
              </w:rPr>
              <w:t>Timeliness</w:t>
            </w:r>
          </w:p>
        </w:tc>
      </w:tr>
      <w:tr w:rsidR="009D1FB8" w14:paraId="7C5D1652" w14:textId="77777777">
        <w:tc>
          <w:tcPr>
            <w:cnfStyle w:val="001000000000" w:firstRow="0" w:lastRow="0" w:firstColumn="1" w:lastColumn="0" w:oddVBand="0" w:evenVBand="0" w:oddHBand="0" w:evenHBand="0" w:firstRowFirstColumn="0" w:firstRowLastColumn="0" w:lastRowFirstColumn="0" w:lastRowLastColumn="0"/>
            <w:tcW w:w="4819" w:type="dxa"/>
          </w:tcPr>
          <w:p w14:paraId="7A8608CC" w14:textId="77777777" w:rsidR="009D1FB8" w:rsidRDefault="009D1FB8">
            <w:pPr>
              <w:keepNext/>
              <w:ind w:left="170"/>
            </w:pPr>
            <w:r>
              <w:t>Comments on proposals and applications to amend the ANZ Food Standards Code are provided within timeframes specified by Food Standards Australia New Zealand (FSANZ)</w:t>
            </w:r>
          </w:p>
        </w:tc>
        <w:tc>
          <w:tcPr>
            <w:tcW w:w="964" w:type="dxa"/>
          </w:tcPr>
          <w:p w14:paraId="030C7C6A" w14:textId="77777777" w:rsidR="009D1FB8" w:rsidRDefault="009D1FB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10D9D31" w14:textId="3FB4EAA0" w:rsidR="009D1FB8" w:rsidRDefault="009D1FB8">
            <w:pPr>
              <w:cnfStyle w:val="000000000000" w:firstRow="0" w:lastRow="0" w:firstColumn="0" w:lastColumn="0" w:oddVBand="0" w:evenVBand="0" w:oddHBand="0" w:evenHBand="0" w:firstRowFirstColumn="0" w:firstRowLastColumn="0" w:lastRowFirstColumn="0" w:lastRowLastColumn="0"/>
            </w:pPr>
            <w:r>
              <w:t>n.a</w:t>
            </w:r>
            <w:r w:rsidR="004819EB">
              <w:t>.</w:t>
            </w:r>
          </w:p>
        </w:tc>
        <w:tc>
          <w:tcPr>
            <w:tcW w:w="964" w:type="dxa"/>
          </w:tcPr>
          <w:p w14:paraId="52541A7F" w14:textId="77777777" w:rsidR="009D1FB8" w:rsidRDefault="009D1FB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F8965BB" w14:textId="77777777" w:rsidR="009D1FB8" w:rsidRDefault="009D1FB8">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5510B0D7" w14:textId="77777777" w:rsidR="009D1FB8" w:rsidRDefault="009D1FB8">
            <w:pPr>
              <w:cnfStyle w:val="000000000000" w:firstRow="0" w:lastRow="0" w:firstColumn="0" w:lastColumn="0" w:oddVBand="0" w:evenVBand="0" w:oddHBand="0" w:evenHBand="0" w:firstRowFirstColumn="0" w:firstRowLastColumn="0" w:lastRowFirstColumn="0" w:lastRowLastColumn="0"/>
            </w:pPr>
            <w:r>
              <w:t>100</w:t>
            </w:r>
          </w:p>
        </w:tc>
      </w:tr>
      <w:tr w:rsidR="009D1FB8" w14:paraId="7DA9404A"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1A2E4F69" w14:textId="77777777" w:rsidR="009D1FB8" w:rsidRDefault="009D1FB8">
            <w:pPr>
              <w:ind w:left="170"/>
            </w:pPr>
            <w:r>
              <w:rPr>
                <w:i/>
              </w:rPr>
              <w:t>This performance measure will be transferred to Safe Food Victoria under the Department of Energy, Environment and Climate Action.</w:t>
            </w:r>
          </w:p>
        </w:tc>
      </w:tr>
      <w:tr w:rsidR="009D1FB8" w14:paraId="4E0B18CF" w14:textId="77777777" w:rsidTr="00DF6450">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61144C38" w14:textId="77777777" w:rsidR="009D1FB8" w:rsidRDefault="009D1FB8">
            <w:pPr>
              <w:keepNext/>
              <w:ind w:left="170"/>
            </w:pPr>
            <w:r>
              <w:t>Percentage of high-risk food recalls acted upon within 24 hours in circumstances where activity in Victoria was required within 24 hours</w:t>
            </w:r>
          </w:p>
        </w:tc>
        <w:tc>
          <w:tcPr>
            <w:tcW w:w="964" w:type="dxa"/>
            <w:tcBorders>
              <w:bottom w:val="nil"/>
            </w:tcBorders>
          </w:tcPr>
          <w:p w14:paraId="62BCEB90" w14:textId="77777777" w:rsidR="009D1FB8" w:rsidRDefault="009D1FB8">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04A5F0BF" w14:textId="1A99DCDC" w:rsidR="009D1FB8" w:rsidRDefault="009D1FB8">
            <w:pPr>
              <w:cnfStyle w:val="000000000000" w:firstRow="0" w:lastRow="0" w:firstColumn="0" w:lastColumn="0" w:oddVBand="0" w:evenVBand="0" w:oddHBand="0" w:evenHBand="0" w:firstRowFirstColumn="0" w:firstRowLastColumn="0" w:lastRowFirstColumn="0" w:lastRowLastColumn="0"/>
            </w:pPr>
            <w:r>
              <w:t>n.a</w:t>
            </w:r>
            <w:r w:rsidR="004819EB">
              <w:t>.</w:t>
            </w:r>
          </w:p>
        </w:tc>
        <w:tc>
          <w:tcPr>
            <w:tcW w:w="964" w:type="dxa"/>
            <w:tcBorders>
              <w:bottom w:val="nil"/>
            </w:tcBorders>
          </w:tcPr>
          <w:p w14:paraId="6D118568" w14:textId="77777777" w:rsidR="009D1FB8" w:rsidRDefault="009D1FB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5437E58F" w14:textId="77777777" w:rsidR="009D1FB8" w:rsidRDefault="009D1FB8">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7F6E85AC" w14:textId="77777777" w:rsidR="009D1FB8" w:rsidRDefault="009D1FB8">
            <w:pPr>
              <w:cnfStyle w:val="000000000000" w:firstRow="0" w:lastRow="0" w:firstColumn="0" w:lastColumn="0" w:oddVBand="0" w:evenVBand="0" w:oddHBand="0" w:evenHBand="0" w:firstRowFirstColumn="0" w:firstRowLastColumn="0" w:lastRowFirstColumn="0" w:lastRowLastColumn="0"/>
            </w:pPr>
            <w:r>
              <w:t>nm</w:t>
            </w:r>
          </w:p>
        </w:tc>
      </w:tr>
      <w:tr w:rsidR="009D1FB8" w14:paraId="5F7D0A29" w14:textId="77777777" w:rsidTr="00DF645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AC3AAD2" w14:textId="77777777" w:rsidR="009D1FB8" w:rsidRDefault="009D1FB8">
            <w:pPr>
              <w:ind w:left="170"/>
            </w:pPr>
            <w:r>
              <w:rPr>
                <w:i/>
              </w:rPr>
              <w:t>This performance measure will be transferred to Safe Food Victoria under the Department of Energy, Environment and Climate Action.</w:t>
            </w:r>
          </w:p>
        </w:tc>
      </w:tr>
    </w:tbl>
    <w:p w14:paraId="5DBC5DD4" w14:textId="5111455E" w:rsidR="00695D0B" w:rsidRDefault="00A47EB3" w:rsidP="005314E1">
      <w:pPr>
        <w:pStyle w:val="Source"/>
        <w:rPr>
          <w:rFonts w:eastAsiaTheme="majorEastAsia" w:cstheme="majorBidi"/>
          <w:sz w:val="27"/>
          <w:szCs w:val="32"/>
        </w:rPr>
      </w:pPr>
      <w:r>
        <w:t>Source: Department of Health</w:t>
      </w:r>
      <w:r w:rsidR="00695D0B">
        <w:br w:type="page"/>
      </w:r>
    </w:p>
    <w:p w14:paraId="636454DD" w14:textId="7581EDD7" w:rsidR="00127EF6" w:rsidRDefault="00127EF6" w:rsidP="00706B7E">
      <w:pPr>
        <w:pStyle w:val="Heading1"/>
        <w:spacing w:after="180"/>
      </w:pPr>
      <w:bookmarkStart w:id="35" w:name="_Toc228288113"/>
      <w:r>
        <w:t>Department of Jobs, Skills, Industry and Regions</w:t>
      </w:r>
      <w:bookmarkEnd w:id="35"/>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127EF6" w14:paraId="50502A76" w14:textId="77777777" w:rsidTr="002357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1B187DA0" w14:textId="77777777" w:rsidR="00127EF6" w:rsidRDefault="00127EF6">
            <w:r>
              <w:t>Performance measure</w:t>
            </w:r>
          </w:p>
        </w:tc>
        <w:tc>
          <w:tcPr>
            <w:tcW w:w="964" w:type="dxa"/>
            <w:tcBorders>
              <w:bottom w:val="single" w:sz="12" w:space="0" w:color="auto"/>
            </w:tcBorders>
          </w:tcPr>
          <w:p w14:paraId="159826B7"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Borders>
              <w:bottom w:val="single" w:sz="12" w:space="0" w:color="auto"/>
            </w:tcBorders>
          </w:tcPr>
          <w:p w14:paraId="0911E7D1"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Borders>
              <w:bottom w:val="single" w:sz="12" w:space="0" w:color="auto"/>
            </w:tcBorders>
          </w:tcPr>
          <w:p w14:paraId="0EF6EC49"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Borders>
              <w:bottom w:val="single" w:sz="12" w:space="0" w:color="auto"/>
            </w:tcBorders>
          </w:tcPr>
          <w:p w14:paraId="31D35834"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Borders>
              <w:bottom w:val="single" w:sz="12" w:space="0" w:color="auto"/>
            </w:tcBorders>
          </w:tcPr>
          <w:p w14:paraId="13EB98C3"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0F8DC882"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2E79BE7F" w14:textId="37A07D81" w:rsidR="00127EF6" w:rsidRDefault="00235725">
            <w:pPr>
              <w:keepNext/>
            </w:pPr>
            <w:r>
              <w:rPr>
                <w:b/>
              </w:rPr>
              <w:t>INDUSTRY, SMALL BUSINESS AND MEDICAL RESEARCH</w:t>
            </w:r>
          </w:p>
        </w:tc>
      </w:tr>
      <w:tr w:rsidR="00127EF6" w:rsidRPr="00235725" w14:paraId="5A838815"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4D51E9CF" w14:textId="77777777" w:rsidR="00127EF6" w:rsidRPr="00235725" w:rsidRDefault="00127EF6">
            <w:pPr>
              <w:keepNext/>
              <w:rPr>
                <w:b/>
                <w:bCs/>
                <w:iCs/>
              </w:rPr>
            </w:pPr>
            <w:r w:rsidRPr="00235725">
              <w:rPr>
                <w:b/>
                <w:bCs/>
                <w:iCs/>
              </w:rPr>
              <w:t>Quantity</w:t>
            </w:r>
          </w:p>
        </w:tc>
      </w:tr>
      <w:tr w:rsidR="00127EF6" w14:paraId="48981087" w14:textId="77777777">
        <w:tc>
          <w:tcPr>
            <w:cnfStyle w:val="001000000000" w:firstRow="0" w:lastRow="0" w:firstColumn="1" w:lastColumn="0" w:oddVBand="0" w:evenVBand="0" w:oddHBand="0" w:evenHBand="0" w:firstRowFirstColumn="0" w:firstRowLastColumn="0" w:lastRowFirstColumn="0" w:lastRowLastColumn="0"/>
            <w:tcW w:w="4819" w:type="dxa"/>
          </w:tcPr>
          <w:p w14:paraId="03087E53" w14:textId="77777777" w:rsidR="00127EF6" w:rsidRDefault="00127EF6">
            <w:pPr>
              <w:keepNext/>
              <w:ind w:left="170"/>
            </w:pPr>
            <w:r>
              <w:t>Companies and consortia supported by the Breakthrough Victoria Fund</w:t>
            </w:r>
          </w:p>
        </w:tc>
        <w:tc>
          <w:tcPr>
            <w:tcW w:w="964" w:type="dxa"/>
          </w:tcPr>
          <w:p w14:paraId="77E2F0D1"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83D8ABF"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C00A5DD" w14:textId="77777777" w:rsidR="00127EF6" w:rsidRDefault="00127EF6">
            <w:pPr>
              <w:cnfStyle w:val="000000000000" w:firstRow="0" w:lastRow="0" w:firstColumn="0" w:lastColumn="0" w:oddVBand="0" w:evenVBand="0" w:oddHBand="0" w:evenHBand="0" w:firstRowFirstColumn="0" w:firstRowLastColumn="0" w:lastRowFirstColumn="0" w:lastRowLastColumn="0"/>
            </w:pPr>
            <w:r>
              <w:t>15</w:t>
            </w:r>
          </w:p>
        </w:tc>
        <w:tc>
          <w:tcPr>
            <w:tcW w:w="964" w:type="dxa"/>
          </w:tcPr>
          <w:p w14:paraId="4FE7FF61" w14:textId="77777777" w:rsidR="00127EF6" w:rsidRDefault="00127EF6">
            <w:pPr>
              <w:cnfStyle w:val="000000000000" w:firstRow="0" w:lastRow="0" w:firstColumn="0" w:lastColumn="0" w:oddVBand="0" w:evenVBand="0" w:oddHBand="0" w:evenHBand="0" w:firstRowFirstColumn="0" w:firstRowLastColumn="0" w:lastRowFirstColumn="0" w:lastRowLastColumn="0"/>
            </w:pPr>
            <w:r>
              <w:t>10</w:t>
            </w:r>
          </w:p>
        </w:tc>
        <w:tc>
          <w:tcPr>
            <w:tcW w:w="964" w:type="dxa"/>
          </w:tcPr>
          <w:p w14:paraId="123CFBE4" w14:textId="77777777" w:rsidR="00127EF6" w:rsidRDefault="00127EF6">
            <w:pPr>
              <w:cnfStyle w:val="000000000000" w:firstRow="0" w:lastRow="0" w:firstColumn="0" w:lastColumn="0" w:oddVBand="0" w:evenVBand="0" w:oddHBand="0" w:evenHBand="0" w:firstRowFirstColumn="0" w:firstRowLastColumn="0" w:lastRowFirstColumn="0" w:lastRowLastColumn="0"/>
            </w:pPr>
            <w:r>
              <w:t>22</w:t>
            </w:r>
          </w:p>
        </w:tc>
      </w:tr>
      <w:tr w:rsidR="00127EF6" w14:paraId="38A5E6D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CBED573" w14:textId="6D54DC68" w:rsidR="00127EF6" w:rsidRPr="00F15287" w:rsidRDefault="00127EF6">
            <w:pPr>
              <w:ind w:left="170"/>
              <w:rPr>
                <w:i/>
              </w:rPr>
            </w:pPr>
            <w:r w:rsidRPr="00F15287">
              <w:rPr>
                <w:i/>
                <w:iCs/>
              </w:rPr>
              <w:t xml:space="preserve">The </w:t>
            </w:r>
            <w:r>
              <w:rPr>
                <w:i/>
                <w:iCs/>
              </w:rPr>
              <w:t>2025-26</w:t>
            </w:r>
            <w:r w:rsidRPr="00F15287">
              <w:rPr>
                <w:i/>
                <w:iCs/>
              </w:rPr>
              <w:t xml:space="preserve"> expected outcome is higher than the target due to Breakthrough Victoria</w:t>
            </w:r>
            <w:r>
              <w:rPr>
                <w:i/>
                <w:iCs/>
              </w:rPr>
              <w:t>’</w:t>
            </w:r>
            <w:r w:rsidRPr="00F15287">
              <w:rPr>
                <w:i/>
                <w:iCs/>
              </w:rPr>
              <w:t>s University Innovation Platform co-investments and follow-on investments in existing portfolio companies.</w:t>
            </w:r>
          </w:p>
          <w:p w14:paraId="100F5E6B" w14:textId="77777777" w:rsidR="00127EF6" w:rsidRDefault="00127EF6">
            <w:pPr>
              <w:ind w:left="170"/>
            </w:pPr>
            <w:r>
              <w:rPr>
                <w:i/>
              </w:rPr>
              <w:t>This performance measure is proposed to be discontinued due to the consolidation of Breakthrough Victoria into a new innovation entity, to be established in the second half of 2026. Replacement performance measures will be developed once the new entity is operational.</w:t>
            </w:r>
          </w:p>
        </w:tc>
      </w:tr>
      <w:tr w:rsidR="00127EF6" w14:paraId="35977CD6" w14:textId="77777777">
        <w:tc>
          <w:tcPr>
            <w:cnfStyle w:val="001000000000" w:firstRow="0" w:lastRow="0" w:firstColumn="1" w:lastColumn="0" w:oddVBand="0" w:evenVBand="0" w:oddHBand="0" w:evenHBand="0" w:firstRowFirstColumn="0" w:firstRowLastColumn="0" w:lastRowFirstColumn="0" w:lastRowLastColumn="0"/>
            <w:tcW w:w="4819" w:type="dxa"/>
          </w:tcPr>
          <w:p w14:paraId="4F95BA3E" w14:textId="77777777" w:rsidR="00127EF6" w:rsidRDefault="00127EF6">
            <w:pPr>
              <w:keepNext/>
              <w:ind w:left="170"/>
            </w:pPr>
            <w:r>
              <w:t>Companies or new entrants supported through the LaunchVic initiative</w:t>
            </w:r>
          </w:p>
        </w:tc>
        <w:tc>
          <w:tcPr>
            <w:tcW w:w="964" w:type="dxa"/>
          </w:tcPr>
          <w:p w14:paraId="3E16CB31"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B7DFB82"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B26627F" w14:textId="77777777" w:rsidR="00127EF6" w:rsidRDefault="00127EF6">
            <w:pPr>
              <w:cnfStyle w:val="000000000000" w:firstRow="0" w:lastRow="0" w:firstColumn="0" w:lastColumn="0" w:oddVBand="0" w:evenVBand="0" w:oddHBand="0" w:evenHBand="0" w:firstRowFirstColumn="0" w:firstRowLastColumn="0" w:lastRowFirstColumn="0" w:lastRowLastColumn="0"/>
            </w:pPr>
            <w:r>
              <w:t>142</w:t>
            </w:r>
          </w:p>
        </w:tc>
        <w:tc>
          <w:tcPr>
            <w:tcW w:w="964" w:type="dxa"/>
          </w:tcPr>
          <w:p w14:paraId="0A9D8BCA" w14:textId="77777777" w:rsidR="00127EF6" w:rsidRDefault="00127EF6">
            <w:pPr>
              <w:cnfStyle w:val="000000000000" w:firstRow="0" w:lastRow="0" w:firstColumn="0" w:lastColumn="0" w:oddVBand="0" w:evenVBand="0" w:oddHBand="0" w:evenHBand="0" w:firstRowFirstColumn="0" w:firstRowLastColumn="0" w:lastRowFirstColumn="0" w:lastRowLastColumn="0"/>
            </w:pPr>
            <w:r>
              <w:t>142</w:t>
            </w:r>
          </w:p>
        </w:tc>
        <w:tc>
          <w:tcPr>
            <w:tcW w:w="964" w:type="dxa"/>
          </w:tcPr>
          <w:p w14:paraId="59087C5A" w14:textId="77777777" w:rsidR="00127EF6" w:rsidRDefault="00127EF6">
            <w:pPr>
              <w:cnfStyle w:val="000000000000" w:firstRow="0" w:lastRow="0" w:firstColumn="0" w:lastColumn="0" w:oddVBand="0" w:evenVBand="0" w:oddHBand="0" w:evenHBand="0" w:firstRowFirstColumn="0" w:firstRowLastColumn="0" w:lastRowFirstColumn="0" w:lastRowLastColumn="0"/>
            </w:pPr>
            <w:r>
              <w:t>144</w:t>
            </w:r>
          </w:p>
        </w:tc>
      </w:tr>
      <w:tr w:rsidR="00127EF6" w14:paraId="11323F11"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F9CE60D" w14:textId="77777777" w:rsidR="00127EF6" w:rsidRDefault="00127EF6">
            <w:pPr>
              <w:ind w:left="170"/>
            </w:pPr>
            <w:r>
              <w:rPr>
                <w:i/>
              </w:rPr>
              <w:t>This performance measure is proposed to be discontinued due to consolidation of LaunchVic into a new innovation entity, to be established in the second half of 2026. Replacement performance measures will be developed once the new entity is operational.</w:t>
            </w:r>
          </w:p>
        </w:tc>
      </w:tr>
      <w:tr w:rsidR="00127EF6" w14:paraId="4DB82A10"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4FAA2772" w14:textId="01859D56" w:rsidR="00127EF6" w:rsidRDefault="00235725" w:rsidP="00230D0D">
            <w:pPr>
              <w:keepNext/>
              <w:spacing w:before="60"/>
            </w:pPr>
            <w:r>
              <w:rPr>
                <w:b/>
              </w:rPr>
              <w:t>TRADE AND INVESTMENT</w:t>
            </w:r>
          </w:p>
        </w:tc>
      </w:tr>
      <w:tr w:rsidR="00127EF6" w:rsidRPr="00235725" w14:paraId="064B6DD8"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2D328600" w14:textId="77777777" w:rsidR="00127EF6" w:rsidRPr="00235725" w:rsidRDefault="00127EF6">
            <w:pPr>
              <w:keepNext/>
              <w:rPr>
                <w:b/>
                <w:bCs/>
                <w:iCs/>
              </w:rPr>
            </w:pPr>
            <w:r w:rsidRPr="00235725">
              <w:rPr>
                <w:b/>
                <w:bCs/>
                <w:iCs/>
              </w:rPr>
              <w:t>Quantity</w:t>
            </w:r>
          </w:p>
        </w:tc>
      </w:tr>
      <w:tr w:rsidR="00127EF6" w14:paraId="494E46E0" w14:textId="77777777">
        <w:tc>
          <w:tcPr>
            <w:cnfStyle w:val="001000000000" w:firstRow="0" w:lastRow="0" w:firstColumn="1" w:lastColumn="0" w:oddVBand="0" w:evenVBand="0" w:oddHBand="0" w:evenHBand="0" w:firstRowFirstColumn="0" w:firstRowLastColumn="0" w:lastRowFirstColumn="0" w:lastRowLastColumn="0"/>
            <w:tcW w:w="4819" w:type="dxa"/>
          </w:tcPr>
          <w:p w14:paraId="16C1A1A8" w14:textId="77777777" w:rsidR="00127EF6" w:rsidRDefault="00127EF6">
            <w:pPr>
              <w:keepNext/>
              <w:ind w:left="170"/>
            </w:pPr>
            <w:r>
              <w:t>Number of Victorian companies assisted by Wine Industry initiatives</w:t>
            </w:r>
          </w:p>
        </w:tc>
        <w:tc>
          <w:tcPr>
            <w:tcW w:w="964" w:type="dxa"/>
          </w:tcPr>
          <w:p w14:paraId="1D6367A0"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098B2471"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3A01C92F" w14:textId="77777777" w:rsidR="00127EF6" w:rsidRDefault="00127EF6">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718FEA83" w14:textId="77777777" w:rsidR="00127EF6" w:rsidRDefault="00127EF6">
            <w:pPr>
              <w:cnfStyle w:val="000000000000" w:firstRow="0" w:lastRow="0" w:firstColumn="0" w:lastColumn="0" w:oddVBand="0" w:evenVBand="0" w:oddHBand="0" w:evenHBand="0" w:firstRowFirstColumn="0" w:firstRowLastColumn="0" w:lastRowFirstColumn="0" w:lastRowLastColumn="0"/>
            </w:pPr>
            <w:r>
              <w:t>60</w:t>
            </w:r>
          </w:p>
        </w:tc>
        <w:tc>
          <w:tcPr>
            <w:tcW w:w="964" w:type="dxa"/>
          </w:tcPr>
          <w:p w14:paraId="392486A5" w14:textId="77777777" w:rsidR="00127EF6" w:rsidRDefault="00127EF6">
            <w:pPr>
              <w:cnfStyle w:val="000000000000" w:firstRow="0" w:lastRow="0" w:firstColumn="0" w:lastColumn="0" w:oddVBand="0" w:evenVBand="0" w:oddHBand="0" w:evenHBand="0" w:firstRowFirstColumn="0" w:firstRowLastColumn="0" w:lastRowFirstColumn="0" w:lastRowLastColumn="0"/>
            </w:pPr>
            <w:r>
              <w:t>237</w:t>
            </w:r>
          </w:p>
        </w:tc>
      </w:tr>
      <w:tr w:rsidR="00127EF6" w14:paraId="71C2FB78"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B01DE88" w14:textId="77777777" w:rsidR="00127EF6" w:rsidRDefault="00127EF6">
            <w:pPr>
              <w:ind w:left="170"/>
            </w:pPr>
            <w:r>
              <w:rPr>
                <w:i/>
              </w:rPr>
              <w:t>This performance measure is proposed to be discontinued as the program has reached its natural conclusion.</w:t>
            </w:r>
          </w:p>
        </w:tc>
      </w:tr>
      <w:tr w:rsidR="00127EF6" w14:paraId="16A3ED8E" w14:textId="77777777">
        <w:tc>
          <w:tcPr>
            <w:cnfStyle w:val="001000000000" w:firstRow="0" w:lastRow="0" w:firstColumn="1" w:lastColumn="0" w:oddVBand="0" w:evenVBand="0" w:oddHBand="0" w:evenHBand="0" w:firstRowFirstColumn="0" w:firstRowLastColumn="0" w:lastRowFirstColumn="0" w:lastRowLastColumn="0"/>
            <w:tcW w:w="4819" w:type="dxa"/>
          </w:tcPr>
          <w:p w14:paraId="6036124B" w14:textId="77777777" w:rsidR="00127EF6" w:rsidRDefault="00127EF6">
            <w:pPr>
              <w:keepNext/>
              <w:ind w:left="170"/>
            </w:pPr>
            <w:r>
              <w:t>Significant interactions with Victorian agri-food companies and exporters, international customers and trading partners through formal meetings or involvement in trade programs that facilitate export and investment outcomes for Victoria</w:t>
            </w:r>
          </w:p>
        </w:tc>
        <w:tc>
          <w:tcPr>
            <w:tcW w:w="964" w:type="dxa"/>
          </w:tcPr>
          <w:p w14:paraId="1568B013"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C3780CC"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854FF48" w14:textId="77777777" w:rsidR="00127EF6" w:rsidRDefault="00127EF6">
            <w:pPr>
              <w:cnfStyle w:val="000000000000" w:firstRow="0" w:lastRow="0" w:firstColumn="0" w:lastColumn="0" w:oddVBand="0" w:evenVBand="0" w:oddHBand="0" w:evenHBand="0" w:firstRowFirstColumn="0" w:firstRowLastColumn="0" w:lastRowFirstColumn="0" w:lastRowLastColumn="0"/>
            </w:pPr>
            <w:r>
              <w:t>400</w:t>
            </w:r>
          </w:p>
        </w:tc>
        <w:tc>
          <w:tcPr>
            <w:tcW w:w="964" w:type="dxa"/>
          </w:tcPr>
          <w:p w14:paraId="5FD239A8" w14:textId="77777777" w:rsidR="00127EF6" w:rsidRDefault="00127EF6">
            <w:pPr>
              <w:cnfStyle w:val="000000000000" w:firstRow="0" w:lastRow="0" w:firstColumn="0" w:lastColumn="0" w:oddVBand="0" w:evenVBand="0" w:oddHBand="0" w:evenHBand="0" w:firstRowFirstColumn="0" w:firstRowLastColumn="0" w:lastRowFirstColumn="0" w:lastRowLastColumn="0"/>
            </w:pPr>
            <w:r>
              <w:t>250</w:t>
            </w:r>
          </w:p>
        </w:tc>
        <w:tc>
          <w:tcPr>
            <w:tcW w:w="964" w:type="dxa"/>
          </w:tcPr>
          <w:p w14:paraId="1EFACD55" w14:textId="77777777" w:rsidR="00127EF6" w:rsidRDefault="00127EF6">
            <w:pPr>
              <w:cnfStyle w:val="000000000000" w:firstRow="0" w:lastRow="0" w:firstColumn="0" w:lastColumn="0" w:oddVBand="0" w:evenVBand="0" w:oddHBand="0" w:evenHBand="0" w:firstRowFirstColumn="0" w:firstRowLastColumn="0" w:lastRowFirstColumn="0" w:lastRowLastColumn="0"/>
            </w:pPr>
            <w:r>
              <w:t>517</w:t>
            </w:r>
          </w:p>
        </w:tc>
      </w:tr>
      <w:tr w:rsidR="00127EF6" w14:paraId="28626DBC"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9DD127D" w14:textId="77777777" w:rsidR="00127EF6" w:rsidRDefault="00127EF6">
            <w:pPr>
              <w:ind w:left="170"/>
            </w:pPr>
            <w:r>
              <w:rPr>
                <w:i/>
              </w:rPr>
              <w:t>The 2025-26 expected outcome is higher than the target largely due to the increased engagement of regional clients for trade facilitation services.</w:t>
            </w:r>
          </w:p>
          <w:p w14:paraId="211B1E34" w14:textId="291937BB" w:rsidR="00127EF6" w:rsidRDefault="00127EF6">
            <w:pPr>
              <w:ind w:left="170"/>
            </w:pPr>
            <w:r>
              <w:rPr>
                <w:i/>
              </w:rPr>
              <w:t>This performance measure is proposed to be discontinued as it is no longer a suitable measure of the department’s engagement priorities or portfolio responsibilities. Agri-food company interactions will continue to be reported in the measure ‘Clients engaged in export and trade programs’.</w:t>
            </w:r>
          </w:p>
        </w:tc>
      </w:tr>
      <w:tr w:rsidR="00127EF6" w14:paraId="3FB27503"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63188BA7" w14:textId="12E95960" w:rsidR="00127EF6" w:rsidRDefault="00235725" w:rsidP="00230D0D">
            <w:pPr>
              <w:keepNext/>
              <w:spacing w:before="60"/>
            </w:pPr>
            <w:r w:rsidRPr="008A2CEB">
              <w:rPr>
                <w:b/>
              </w:rPr>
              <w:t>CREATIVE INDUSTRIES ACCESS, DEVELOPMENT AND INNOVATION</w:t>
            </w:r>
          </w:p>
        </w:tc>
      </w:tr>
      <w:tr w:rsidR="00127EF6" w:rsidRPr="00235725" w14:paraId="76533A90"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C3FCAC8" w14:textId="77777777" w:rsidR="00127EF6" w:rsidRPr="00235725" w:rsidRDefault="00127EF6">
            <w:pPr>
              <w:keepNext/>
              <w:rPr>
                <w:b/>
                <w:bCs/>
                <w:iCs/>
              </w:rPr>
            </w:pPr>
            <w:r w:rsidRPr="00235725">
              <w:rPr>
                <w:b/>
                <w:bCs/>
                <w:iCs/>
              </w:rPr>
              <w:t>Quantity</w:t>
            </w:r>
          </w:p>
        </w:tc>
      </w:tr>
      <w:tr w:rsidR="00127EF6" w14:paraId="61765DBD" w14:textId="77777777">
        <w:tc>
          <w:tcPr>
            <w:cnfStyle w:val="001000000000" w:firstRow="0" w:lastRow="0" w:firstColumn="1" w:lastColumn="0" w:oddVBand="0" w:evenVBand="0" w:oddHBand="0" w:evenHBand="0" w:firstRowFirstColumn="0" w:firstRowLastColumn="0" w:lastRowFirstColumn="0" w:lastRowLastColumn="0"/>
            <w:tcW w:w="4819" w:type="dxa"/>
          </w:tcPr>
          <w:p w14:paraId="71FA9355" w14:textId="77777777" w:rsidR="00127EF6" w:rsidRDefault="00127EF6">
            <w:pPr>
              <w:keepNext/>
              <w:ind w:left="170"/>
            </w:pPr>
            <w:r>
              <w:t>International market development and exchange initiatives</w:t>
            </w:r>
          </w:p>
        </w:tc>
        <w:tc>
          <w:tcPr>
            <w:tcW w:w="964" w:type="dxa"/>
          </w:tcPr>
          <w:p w14:paraId="34F308CF"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AA5BA73"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2EEB207" w14:textId="77777777" w:rsidR="00127EF6" w:rsidRDefault="00127EF6">
            <w:pPr>
              <w:cnfStyle w:val="000000000000" w:firstRow="0" w:lastRow="0" w:firstColumn="0" w:lastColumn="0" w:oddVBand="0" w:evenVBand="0" w:oddHBand="0" w:evenHBand="0" w:firstRowFirstColumn="0" w:firstRowLastColumn="0" w:lastRowFirstColumn="0" w:lastRowLastColumn="0"/>
            </w:pPr>
            <w:r>
              <w:t>1</w:t>
            </w:r>
          </w:p>
        </w:tc>
        <w:tc>
          <w:tcPr>
            <w:tcW w:w="964" w:type="dxa"/>
          </w:tcPr>
          <w:p w14:paraId="4A30B818" w14:textId="77777777" w:rsidR="00127EF6" w:rsidRDefault="00127EF6">
            <w:pPr>
              <w:cnfStyle w:val="000000000000" w:firstRow="0" w:lastRow="0" w:firstColumn="0" w:lastColumn="0" w:oddVBand="0" w:evenVBand="0" w:oddHBand="0" w:evenHBand="0" w:firstRowFirstColumn="0" w:firstRowLastColumn="0" w:lastRowFirstColumn="0" w:lastRowLastColumn="0"/>
            </w:pPr>
            <w:r>
              <w:t>3</w:t>
            </w:r>
          </w:p>
        </w:tc>
        <w:tc>
          <w:tcPr>
            <w:tcW w:w="964" w:type="dxa"/>
          </w:tcPr>
          <w:p w14:paraId="4A134CCE" w14:textId="77777777" w:rsidR="00127EF6" w:rsidRDefault="00127EF6">
            <w:pPr>
              <w:cnfStyle w:val="000000000000" w:firstRow="0" w:lastRow="0" w:firstColumn="0" w:lastColumn="0" w:oddVBand="0" w:evenVBand="0" w:oddHBand="0" w:evenHBand="0" w:firstRowFirstColumn="0" w:firstRowLastColumn="0" w:lastRowFirstColumn="0" w:lastRowLastColumn="0"/>
            </w:pPr>
            <w:r>
              <w:t>3</w:t>
            </w:r>
          </w:p>
        </w:tc>
      </w:tr>
      <w:tr w:rsidR="00127EF6" w14:paraId="254CF384"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4F712E0" w14:textId="6A26A47E" w:rsidR="00127EF6" w:rsidRPr="005314E1" w:rsidRDefault="00127EF6">
            <w:pPr>
              <w:ind w:left="170"/>
              <w:rPr>
                <w:i/>
                <w:lang w:val="en-US"/>
              </w:rPr>
            </w:pPr>
            <w:r>
              <w:rPr>
                <w:i/>
              </w:rPr>
              <w:t>The 2025-26 expected outcome is lower than the target due to</w:t>
            </w:r>
            <w:r w:rsidR="00FF5F82">
              <w:rPr>
                <w:i/>
              </w:rPr>
              <w:t xml:space="preserve"> </w:t>
            </w:r>
            <w:r>
              <w:rPr>
                <w:i/>
                <w:lang w:val="en-US"/>
              </w:rPr>
              <w:t>the conclusion of time-limited programs.</w:t>
            </w:r>
          </w:p>
          <w:p w14:paraId="659BCE79" w14:textId="6781578E" w:rsidR="00127EF6" w:rsidRDefault="00127EF6">
            <w:pPr>
              <w:ind w:left="170"/>
            </w:pPr>
            <w:r>
              <w:rPr>
                <w:i/>
              </w:rPr>
              <w:t xml:space="preserve">This performance measure is proposed to be discontinued due </w:t>
            </w:r>
            <w:r w:rsidR="007B725E">
              <w:rPr>
                <w:i/>
              </w:rPr>
              <w:t>to</w:t>
            </w:r>
            <w:r w:rsidR="00FF5F82">
              <w:rPr>
                <w:i/>
              </w:rPr>
              <w:t xml:space="preserve"> </w:t>
            </w:r>
            <w:r w:rsidR="007B725E">
              <w:rPr>
                <w:i/>
                <w:lang w:val="en-US"/>
              </w:rPr>
              <w:t>the</w:t>
            </w:r>
            <w:r>
              <w:rPr>
                <w:i/>
                <w:lang w:val="en-US"/>
              </w:rPr>
              <w:t xml:space="preserve"> conclusion of time-limited programs.</w:t>
            </w:r>
            <w:r w:rsidR="007B725E" w:rsidDel="00F16A4A">
              <w:rPr>
                <w:i/>
              </w:rPr>
              <w:t xml:space="preserve"> </w:t>
            </w:r>
          </w:p>
        </w:tc>
      </w:tr>
      <w:tr w:rsidR="00127EF6" w14:paraId="310304D8"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1426D696" w14:textId="266283CF" w:rsidR="00127EF6" w:rsidRDefault="00235725" w:rsidP="00230D0D">
            <w:pPr>
              <w:keepNext/>
              <w:spacing w:before="60"/>
            </w:pPr>
            <w:r w:rsidRPr="008A2CEB">
              <w:rPr>
                <w:b/>
              </w:rPr>
              <w:t>TOURISM AND MAJOR EVENTS</w:t>
            </w:r>
          </w:p>
        </w:tc>
      </w:tr>
      <w:tr w:rsidR="00127EF6" w:rsidRPr="00235725" w14:paraId="62AF3E4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BDDAFD4" w14:textId="77777777" w:rsidR="00127EF6" w:rsidRPr="00235725" w:rsidRDefault="00127EF6">
            <w:pPr>
              <w:keepNext/>
              <w:rPr>
                <w:b/>
                <w:bCs/>
                <w:iCs/>
              </w:rPr>
            </w:pPr>
            <w:r w:rsidRPr="00235725">
              <w:rPr>
                <w:b/>
                <w:bCs/>
                <w:iCs/>
              </w:rPr>
              <w:t>Quantity</w:t>
            </w:r>
          </w:p>
        </w:tc>
      </w:tr>
      <w:tr w:rsidR="00127EF6" w14:paraId="35FCD1FA" w14:textId="77777777">
        <w:tc>
          <w:tcPr>
            <w:cnfStyle w:val="001000000000" w:firstRow="0" w:lastRow="0" w:firstColumn="1" w:lastColumn="0" w:oddVBand="0" w:evenVBand="0" w:oddHBand="0" w:evenHBand="0" w:firstRowFirstColumn="0" w:firstRowLastColumn="0" w:lastRowFirstColumn="0" w:lastRowLastColumn="0"/>
            <w:tcW w:w="4819" w:type="dxa"/>
          </w:tcPr>
          <w:p w14:paraId="77F59AC2" w14:textId="77777777" w:rsidR="00127EF6" w:rsidRDefault="00127EF6">
            <w:pPr>
              <w:keepNext/>
              <w:ind w:left="170"/>
            </w:pPr>
            <w:r>
              <w:t>Tourism infrastructure projects facilitated</w:t>
            </w:r>
          </w:p>
        </w:tc>
        <w:tc>
          <w:tcPr>
            <w:tcW w:w="964" w:type="dxa"/>
          </w:tcPr>
          <w:p w14:paraId="243F0AAD"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21894E9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B99A69E" w14:textId="77777777" w:rsidR="00127EF6" w:rsidRDefault="00127EF6">
            <w:pPr>
              <w:cnfStyle w:val="000000000000" w:firstRow="0" w:lastRow="0" w:firstColumn="0" w:lastColumn="0" w:oddVBand="0" w:evenVBand="0" w:oddHBand="0" w:evenHBand="0" w:firstRowFirstColumn="0" w:firstRowLastColumn="0" w:lastRowFirstColumn="0" w:lastRowLastColumn="0"/>
            </w:pPr>
            <w:r>
              <w:t>38</w:t>
            </w:r>
          </w:p>
        </w:tc>
        <w:tc>
          <w:tcPr>
            <w:tcW w:w="964" w:type="dxa"/>
          </w:tcPr>
          <w:p w14:paraId="4099BD1C" w14:textId="77777777" w:rsidR="00127EF6" w:rsidRDefault="00127EF6">
            <w:pPr>
              <w:cnfStyle w:val="000000000000" w:firstRow="0" w:lastRow="0" w:firstColumn="0" w:lastColumn="0" w:oddVBand="0" w:evenVBand="0" w:oddHBand="0" w:evenHBand="0" w:firstRowFirstColumn="0" w:firstRowLastColumn="0" w:lastRowFirstColumn="0" w:lastRowLastColumn="0"/>
            </w:pPr>
            <w:r>
              <w:t>38</w:t>
            </w:r>
          </w:p>
        </w:tc>
        <w:tc>
          <w:tcPr>
            <w:tcW w:w="964" w:type="dxa"/>
          </w:tcPr>
          <w:p w14:paraId="64F8C079" w14:textId="77777777" w:rsidR="00127EF6" w:rsidRDefault="00127EF6">
            <w:pPr>
              <w:cnfStyle w:val="000000000000" w:firstRow="0" w:lastRow="0" w:firstColumn="0" w:lastColumn="0" w:oddVBand="0" w:evenVBand="0" w:oddHBand="0" w:evenHBand="0" w:firstRowFirstColumn="0" w:firstRowLastColumn="0" w:lastRowFirstColumn="0" w:lastRowLastColumn="0"/>
            </w:pPr>
            <w:r>
              <w:t>38</w:t>
            </w:r>
          </w:p>
        </w:tc>
      </w:tr>
      <w:tr w:rsidR="00127EF6" w14:paraId="6A880BA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3F102C80" w14:textId="77777777" w:rsidR="00127EF6" w:rsidRDefault="00127EF6">
            <w:pPr>
              <w:ind w:left="170"/>
            </w:pPr>
            <w:r>
              <w:rPr>
                <w:i/>
              </w:rPr>
              <w:t xml:space="preserve">This performance measure is proposed to be discontinued due to the conclusion of time-limited programs. </w:t>
            </w:r>
          </w:p>
        </w:tc>
      </w:tr>
    </w:tbl>
    <w:p w14:paraId="0035029C" w14:textId="77777777" w:rsidR="00127EF6" w:rsidRDefault="00127EF6" w:rsidP="00127EF6">
      <w:pPr>
        <w:pStyle w:val="Source"/>
      </w:pPr>
      <w:r>
        <w:t>Source: Department of Jobs, Skills, Industry and Regions</w:t>
      </w:r>
    </w:p>
    <w:p w14:paraId="7BCF43CC" w14:textId="77777777" w:rsidR="008A7818" w:rsidRDefault="008A7818" w:rsidP="005122F0"/>
    <w:p w14:paraId="2A3C2201" w14:textId="77777777" w:rsidR="00695D0B" w:rsidRDefault="00695D0B">
      <w:pPr>
        <w:keepLines w:val="0"/>
        <w:rPr>
          <w:rFonts w:asciiTheme="majorHAnsi" w:eastAsiaTheme="majorEastAsia" w:hAnsiTheme="majorHAnsi" w:cstheme="majorBidi"/>
          <w:b/>
          <w:caps/>
          <w:sz w:val="27"/>
          <w:szCs w:val="32"/>
        </w:rPr>
      </w:pPr>
      <w:r>
        <w:br w:type="page"/>
      </w:r>
    </w:p>
    <w:p w14:paraId="0BE811FE" w14:textId="6B4E9C52" w:rsidR="00127EF6" w:rsidRDefault="00127EF6" w:rsidP="00706B7E">
      <w:pPr>
        <w:pStyle w:val="Heading1"/>
        <w:spacing w:after="180"/>
      </w:pPr>
      <w:bookmarkStart w:id="36" w:name="_Toc228288114"/>
      <w:r>
        <w:t>Department of Justice and Community Safety</w:t>
      </w:r>
      <w:bookmarkEnd w:id="36"/>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127EF6" w14:paraId="4DE9832B" w14:textId="77777777" w:rsidTr="002357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6106ED13" w14:textId="77777777" w:rsidR="00127EF6" w:rsidRDefault="00127EF6">
            <w:r>
              <w:t>Performance measure</w:t>
            </w:r>
          </w:p>
        </w:tc>
        <w:tc>
          <w:tcPr>
            <w:tcW w:w="964" w:type="dxa"/>
          </w:tcPr>
          <w:p w14:paraId="61C1EDC2"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7CB0EFB"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740A9569"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5512E25E"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083087D"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1E1AD17D"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Pr>
          <w:p w14:paraId="1259E7B5" w14:textId="48277A2A" w:rsidR="00127EF6" w:rsidRDefault="00235725">
            <w:pPr>
              <w:keepNext/>
            </w:pPr>
            <w:r>
              <w:rPr>
                <w:b/>
              </w:rPr>
              <w:t>PUBLIC SECTOR AND LOCAL GOVERNMENT INTEGRITY, PRIVACY AND INFORMATION PROTECTION</w:t>
            </w:r>
          </w:p>
        </w:tc>
      </w:tr>
      <w:tr w:rsidR="00127EF6" w:rsidRPr="00235725" w14:paraId="00FAC61A"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Pr>
          <w:p w14:paraId="05E36DDF" w14:textId="77777777" w:rsidR="00127EF6" w:rsidRPr="00235725" w:rsidRDefault="00127EF6">
            <w:pPr>
              <w:keepNext/>
              <w:rPr>
                <w:b/>
                <w:bCs/>
                <w:iCs/>
              </w:rPr>
            </w:pPr>
            <w:r w:rsidRPr="00235725">
              <w:rPr>
                <w:b/>
                <w:bCs/>
                <w:iCs/>
              </w:rPr>
              <w:t>Quality</w:t>
            </w:r>
          </w:p>
        </w:tc>
      </w:tr>
      <w:tr w:rsidR="00127EF6" w14:paraId="7FDF73DB" w14:textId="77777777" w:rsidTr="00235725">
        <w:tc>
          <w:tcPr>
            <w:cnfStyle w:val="001000000000" w:firstRow="0" w:lastRow="0" w:firstColumn="1" w:lastColumn="0" w:oddVBand="0" w:evenVBand="0" w:oddHBand="0" w:evenHBand="0" w:firstRowFirstColumn="0" w:firstRowLastColumn="0" w:lastRowFirstColumn="0" w:lastRowLastColumn="0"/>
            <w:tcW w:w="4819" w:type="dxa"/>
          </w:tcPr>
          <w:p w14:paraId="2F8E8EDD" w14:textId="77777777" w:rsidR="00127EF6" w:rsidRDefault="00127EF6">
            <w:pPr>
              <w:keepNext/>
              <w:ind w:left="170"/>
            </w:pPr>
            <w:r>
              <w:t>Freedom of Information review decisions overturned or set aside on appeal to the Victorian Civil and Administrative Tribunal (Office of the Victorian Information Commissioner)</w:t>
            </w:r>
          </w:p>
        </w:tc>
        <w:tc>
          <w:tcPr>
            <w:tcW w:w="964" w:type="dxa"/>
          </w:tcPr>
          <w:p w14:paraId="0B0B8FB4"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5949C15"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134AFDA" w14:textId="77777777" w:rsidR="00127EF6" w:rsidRDefault="00127EF6">
            <w:pPr>
              <w:cnfStyle w:val="000000000000" w:firstRow="0" w:lastRow="0" w:firstColumn="0" w:lastColumn="0" w:oddVBand="0" w:evenVBand="0" w:oddHBand="0" w:evenHBand="0" w:firstRowFirstColumn="0" w:firstRowLastColumn="0" w:lastRowFirstColumn="0" w:lastRowLastColumn="0"/>
            </w:pPr>
            <w:r>
              <w:t>12</w:t>
            </w:r>
          </w:p>
        </w:tc>
        <w:tc>
          <w:tcPr>
            <w:tcW w:w="964" w:type="dxa"/>
          </w:tcPr>
          <w:p w14:paraId="1D4B14AA" w14:textId="5F2A8A59" w:rsidR="00127EF6" w:rsidRDefault="00127EF6">
            <w:pPr>
              <w:cnfStyle w:val="000000000000" w:firstRow="0" w:lastRow="0" w:firstColumn="0" w:lastColumn="0" w:oddVBand="0" w:evenVBand="0" w:oddHBand="0" w:evenHBand="0" w:firstRowFirstColumn="0" w:firstRowLastColumn="0" w:lastRowFirstColumn="0" w:lastRowLastColumn="0"/>
            </w:pPr>
            <w:r>
              <w:t>&lt;</w:t>
            </w:r>
            <w:r w:rsidR="007C1F5F">
              <w:t xml:space="preserve"> </w:t>
            </w:r>
            <w:r>
              <w:t>25</w:t>
            </w:r>
          </w:p>
        </w:tc>
        <w:tc>
          <w:tcPr>
            <w:tcW w:w="964" w:type="dxa"/>
          </w:tcPr>
          <w:p w14:paraId="646488C2" w14:textId="77777777" w:rsidR="00127EF6" w:rsidRDefault="00127EF6">
            <w:pPr>
              <w:cnfStyle w:val="000000000000" w:firstRow="0" w:lastRow="0" w:firstColumn="0" w:lastColumn="0" w:oddVBand="0" w:evenVBand="0" w:oddHBand="0" w:evenHBand="0" w:firstRowFirstColumn="0" w:firstRowLastColumn="0" w:lastRowFirstColumn="0" w:lastRowLastColumn="0"/>
            </w:pPr>
            <w:r>
              <w:t>14.3</w:t>
            </w:r>
          </w:p>
        </w:tc>
      </w:tr>
      <w:tr w:rsidR="00127EF6" w14:paraId="74A8B183"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A6CA2A7" w14:textId="3BFCA3B3" w:rsidR="00127EF6" w:rsidRDefault="00127EF6">
            <w:pPr>
              <w:ind w:left="170"/>
            </w:pPr>
            <w:r>
              <w:rPr>
                <w:i/>
              </w:rPr>
              <w:t>This performance measure is proposed to be discontinued in 2026-27 as it no longer accurately reflects the quality of service delivery by the Office of the Victorian Information Commissioner (OVIC). This measure assesses the proportion of Freedom of Information (FOI) decisions overturned at the Victorian Civil and Administrative Tribunal (VCAT). However, the number of decisions reviewed at VCAT has substantially reduced since the measure was introduced, undermining the validity of the performance information. It is proposed to be replaced with the performance measures ‘Percentage of Office of Victorian Information Commissioner recommendations accepted by agencies following information security assurance activities’, which more appropriately captures the quality of service delivery.</w:t>
            </w:r>
          </w:p>
        </w:tc>
      </w:tr>
      <w:tr w:rsidR="00127EF6" w14:paraId="7861AF83" w14:textId="77777777" w:rsidTr="00235725">
        <w:tc>
          <w:tcPr>
            <w:cnfStyle w:val="001000000000" w:firstRow="0" w:lastRow="0" w:firstColumn="1" w:lastColumn="0" w:oddVBand="0" w:evenVBand="0" w:oddHBand="0" w:evenHBand="0" w:firstRowFirstColumn="0" w:firstRowLastColumn="0" w:lastRowFirstColumn="0" w:lastRowLastColumn="0"/>
            <w:tcW w:w="4819" w:type="dxa"/>
          </w:tcPr>
          <w:p w14:paraId="06AEEE6C" w14:textId="77777777" w:rsidR="00127EF6" w:rsidRDefault="00127EF6">
            <w:pPr>
              <w:keepNext/>
              <w:ind w:left="170"/>
            </w:pPr>
            <w:r>
              <w:t>Freedom of Information reviews finalised by agreement following informal resolution (Office of the Victorian Information Commissioner)</w:t>
            </w:r>
          </w:p>
        </w:tc>
        <w:tc>
          <w:tcPr>
            <w:tcW w:w="964" w:type="dxa"/>
          </w:tcPr>
          <w:p w14:paraId="7FFD5436"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494978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386C07C" w14:textId="77777777" w:rsidR="00127EF6" w:rsidRDefault="00127EF6">
            <w:pPr>
              <w:cnfStyle w:val="000000000000" w:firstRow="0" w:lastRow="0" w:firstColumn="0" w:lastColumn="0" w:oddVBand="0" w:evenVBand="0" w:oddHBand="0" w:evenHBand="0" w:firstRowFirstColumn="0" w:firstRowLastColumn="0" w:lastRowFirstColumn="0" w:lastRowLastColumn="0"/>
            </w:pPr>
            <w:r>
              <w:t>18</w:t>
            </w:r>
          </w:p>
        </w:tc>
        <w:tc>
          <w:tcPr>
            <w:tcW w:w="964" w:type="dxa"/>
          </w:tcPr>
          <w:p w14:paraId="23931ABB" w14:textId="77777777" w:rsidR="00127EF6" w:rsidRDefault="00127EF6">
            <w:pPr>
              <w:cnfStyle w:val="000000000000" w:firstRow="0" w:lastRow="0" w:firstColumn="0" w:lastColumn="0" w:oddVBand="0" w:evenVBand="0" w:oddHBand="0" w:evenHBand="0" w:firstRowFirstColumn="0" w:firstRowLastColumn="0" w:lastRowFirstColumn="0" w:lastRowLastColumn="0"/>
            </w:pPr>
            <w:r>
              <w:t>25</w:t>
            </w:r>
          </w:p>
        </w:tc>
        <w:tc>
          <w:tcPr>
            <w:tcW w:w="964" w:type="dxa"/>
          </w:tcPr>
          <w:p w14:paraId="5D754EED" w14:textId="77777777" w:rsidR="00127EF6" w:rsidRDefault="00127EF6">
            <w:pPr>
              <w:cnfStyle w:val="000000000000" w:firstRow="0" w:lastRow="0" w:firstColumn="0" w:lastColumn="0" w:oddVBand="0" w:evenVBand="0" w:oddHBand="0" w:evenHBand="0" w:firstRowFirstColumn="0" w:firstRowLastColumn="0" w:lastRowFirstColumn="0" w:lastRowLastColumn="0"/>
            </w:pPr>
            <w:r>
              <w:t>21</w:t>
            </w:r>
          </w:p>
        </w:tc>
      </w:tr>
      <w:tr w:rsidR="00127EF6" w14:paraId="50E5A332"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5697377D" w14:textId="77777777" w:rsidR="00127EF6" w:rsidRDefault="00127EF6">
            <w:pPr>
              <w:ind w:left="170"/>
            </w:pPr>
            <w:r>
              <w:rPr>
                <w:i/>
              </w:rPr>
              <w:t>The 2025-26 expected outcome is lower than the 2025-26 target due to a higher number of applicants opting for a formal decision over informal resolution.</w:t>
            </w:r>
          </w:p>
          <w:p w14:paraId="02389CD7" w14:textId="52C56AC2" w:rsidR="00127EF6" w:rsidRDefault="00127EF6">
            <w:pPr>
              <w:ind w:left="170"/>
            </w:pPr>
            <w:r>
              <w:rPr>
                <w:i/>
              </w:rPr>
              <w:t xml:space="preserve">This performance measure is proposed to be discontinued in 2026-27 as it does not accurately reflect the Victorian Information Commissioner’s (OVIC) performance, given that informal resolution outcomes depend heavily on the willingness of parties to cooperate and are largely outside OVIC’s control. Additionally, the </w:t>
            </w:r>
            <w:r w:rsidRPr="006B17AC">
              <w:t>Freedom of Information Act 1982</w:t>
            </w:r>
            <w:r>
              <w:rPr>
                <w:i/>
              </w:rPr>
              <w:t xml:space="preserve"> limits the applicability of informal resolution to cases deemed reasonably resolvable by the Information Commissioner, further narrowing the measure’s relevance. It is proposed to be replaced with the performance measures ‘Average number of days taken to close Freedom of information review applications’ and ‘Average number of days taken to close privacy complaints’, which more accurately and comprehensively represent the service delivery performance of OVIC.</w:t>
            </w:r>
          </w:p>
        </w:tc>
      </w:tr>
      <w:tr w:rsidR="00127EF6" w:rsidRPr="00235725" w14:paraId="20CEC5EC"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Pr>
          <w:p w14:paraId="14B28CC3" w14:textId="77777777" w:rsidR="00127EF6" w:rsidRPr="00235725" w:rsidRDefault="00127EF6">
            <w:pPr>
              <w:keepNext/>
              <w:rPr>
                <w:b/>
                <w:bCs/>
                <w:iCs/>
              </w:rPr>
            </w:pPr>
            <w:r w:rsidRPr="00235725">
              <w:rPr>
                <w:b/>
                <w:bCs/>
                <w:iCs/>
              </w:rPr>
              <w:t>Timeliness</w:t>
            </w:r>
          </w:p>
        </w:tc>
      </w:tr>
      <w:tr w:rsidR="00127EF6" w14:paraId="4AEA88BB" w14:textId="77777777" w:rsidTr="00235725">
        <w:tc>
          <w:tcPr>
            <w:cnfStyle w:val="001000000000" w:firstRow="0" w:lastRow="0" w:firstColumn="1" w:lastColumn="0" w:oddVBand="0" w:evenVBand="0" w:oddHBand="0" w:evenHBand="0" w:firstRowFirstColumn="0" w:firstRowLastColumn="0" w:lastRowFirstColumn="0" w:lastRowLastColumn="0"/>
            <w:tcW w:w="4819" w:type="dxa"/>
          </w:tcPr>
          <w:p w14:paraId="378BA13D" w14:textId="77777777" w:rsidR="00127EF6" w:rsidRDefault="00127EF6">
            <w:pPr>
              <w:keepNext/>
              <w:ind w:left="170"/>
            </w:pPr>
            <w:r>
              <w:t>Freedom of Information reviews completed within timelines agreed with applicant (Office of the Victorian Information Commissioner)</w:t>
            </w:r>
          </w:p>
        </w:tc>
        <w:tc>
          <w:tcPr>
            <w:tcW w:w="964" w:type="dxa"/>
          </w:tcPr>
          <w:p w14:paraId="02B564F9"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03EF66B3"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12438406" w14:textId="77777777" w:rsidR="00127EF6" w:rsidRDefault="00127EF6">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432C9DFB" w14:textId="77777777" w:rsidR="00127EF6" w:rsidRDefault="00127EF6">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21B57F8A" w14:textId="77777777" w:rsidR="00127EF6" w:rsidRDefault="00127EF6">
            <w:pPr>
              <w:cnfStyle w:val="000000000000" w:firstRow="0" w:lastRow="0" w:firstColumn="0" w:lastColumn="0" w:oddVBand="0" w:evenVBand="0" w:oddHBand="0" w:evenHBand="0" w:firstRowFirstColumn="0" w:firstRowLastColumn="0" w:lastRowFirstColumn="0" w:lastRowLastColumn="0"/>
            </w:pPr>
            <w:r>
              <w:t>50.8</w:t>
            </w:r>
          </w:p>
        </w:tc>
      </w:tr>
      <w:tr w:rsidR="00127EF6" w14:paraId="79629757" w14:textId="77777777" w:rsidTr="00695D0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28C3F3C" w14:textId="3834042E" w:rsidR="00127EF6" w:rsidRDefault="00127EF6">
            <w:pPr>
              <w:ind w:left="170"/>
            </w:pPr>
            <w:r>
              <w:rPr>
                <w:i/>
              </w:rPr>
              <w:t>This performance measure is proposed to be discontinued in 2026-27 as it no longer accurately reflects the timeliness of Freedom of Information (FOI) review requests by the OVIC. This measure provides a percent response rate within agreed timelines but does not show the actual average time required for a review response. It is proposed to be replaced with the performance measures ‘Average number of days taken to close Freedom of information review applications’ and ‘Average number of days taken to close privacy complaints’, which more accurately and comprehensively represent the service delivery performance of OVIC.</w:t>
            </w:r>
          </w:p>
        </w:tc>
      </w:tr>
      <w:tr w:rsidR="00127EF6" w14:paraId="13339B6E" w14:textId="77777777" w:rsidTr="00695D0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5654EDCC" w14:textId="1667C37B" w:rsidR="00127EF6" w:rsidRDefault="00235725" w:rsidP="00230D0D">
            <w:pPr>
              <w:keepNext/>
              <w:spacing w:before="60"/>
            </w:pPr>
            <w:r>
              <w:rPr>
                <w:b/>
              </w:rPr>
              <w:t>EMERGENCY MANAGEMENT CAPABILITY</w:t>
            </w:r>
          </w:p>
        </w:tc>
      </w:tr>
      <w:tr w:rsidR="00235725" w:rsidRPr="00235725" w14:paraId="68990374" w14:textId="77777777" w:rsidTr="00235725">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20C3F5FB" w14:textId="5F23D448" w:rsidR="00235725" w:rsidRPr="00235725" w:rsidRDefault="00235725" w:rsidP="00235725">
            <w:pPr>
              <w:keepNext/>
              <w:ind w:left="170" w:hanging="170"/>
              <w:rPr>
                <w:b/>
                <w:bCs/>
                <w:iCs/>
              </w:rPr>
            </w:pPr>
            <w:r w:rsidRPr="00235725">
              <w:rPr>
                <w:b/>
                <w:bCs/>
                <w:iCs/>
              </w:rPr>
              <w:t>Timeliness</w:t>
            </w:r>
          </w:p>
        </w:tc>
        <w:tc>
          <w:tcPr>
            <w:tcW w:w="964" w:type="dxa"/>
            <w:tcBorders>
              <w:bottom w:val="nil"/>
            </w:tcBorders>
          </w:tcPr>
          <w:p w14:paraId="18C0734E" w14:textId="77777777" w:rsidR="00235725" w:rsidRPr="00235725" w:rsidRDefault="00235725">
            <w:pPr>
              <w:jc w:val="center"/>
              <w:cnfStyle w:val="000000000000" w:firstRow="0" w:lastRow="0" w:firstColumn="0" w:lastColumn="0" w:oddVBand="0" w:evenVBand="0" w:oddHBand="0" w:evenHBand="0" w:firstRowFirstColumn="0" w:firstRowLastColumn="0" w:lastRowFirstColumn="0" w:lastRowLastColumn="0"/>
              <w:rPr>
                <w:b/>
                <w:bCs/>
                <w:iCs/>
              </w:rPr>
            </w:pPr>
          </w:p>
        </w:tc>
        <w:tc>
          <w:tcPr>
            <w:tcW w:w="964" w:type="dxa"/>
            <w:tcBorders>
              <w:bottom w:val="nil"/>
            </w:tcBorders>
            <w:shd w:val="clear" w:color="auto" w:fill="F0F0F0"/>
          </w:tcPr>
          <w:p w14:paraId="2A143800" w14:textId="77777777" w:rsidR="00235725" w:rsidRPr="00235725" w:rsidRDefault="00235725">
            <w:pPr>
              <w:cnfStyle w:val="000000000000" w:firstRow="0" w:lastRow="0" w:firstColumn="0" w:lastColumn="0" w:oddVBand="0" w:evenVBand="0" w:oddHBand="0" w:evenHBand="0" w:firstRowFirstColumn="0" w:firstRowLastColumn="0" w:lastRowFirstColumn="0" w:lastRowLastColumn="0"/>
              <w:rPr>
                <w:b/>
                <w:bCs/>
                <w:iCs/>
              </w:rPr>
            </w:pPr>
          </w:p>
        </w:tc>
        <w:tc>
          <w:tcPr>
            <w:tcW w:w="964" w:type="dxa"/>
            <w:tcBorders>
              <w:bottom w:val="nil"/>
            </w:tcBorders>
          </w:tcPr>
          <w:p w14:paraId="64B52879" w14:textId="77777777" w:rsidR="00235725" w:rsidRPr="00235725" w:rsidRDefault="00235725">
            <w:pPr>
              <w:cnfStyle w:val="000000000000" w:firstRow="0" w:lastRow="0" w:firstColumn="0" w:lastColumn="0" w:oddVBand="0" w:evenVBand="0" w:oddHBand="0" w:evenHBand="0" w:firstRowFirstColumn="0" w:firstRowLastColumn="0" w:lastRowFirstColumn="0" w:lastRowLastColumn="0"/>
              <w:rPr>
                <w:b/>
                <w:bCs/>
                <w:iCs/>
              </w:rPr>
            </w:pPr>
          </w:p>
        </w:tc>
        <w:tc>
          <w:tcPr>
            <w:tcW w:w="964" w:type="dxa"/>
            <w:tcBorders>
              <w:bottom w:val="nil"/>
            </w:tcBorders>
          </w:tcPr>
          <w:p w14:paraId="14DE86F2" w14:textId="77777777" w:rsidR="00235725" w:rsidRPr="00235725" w:rsidRDefault="00235725">
            <w:pPr>
              <w:cnfStyle w:val="000000000000" w:firstRow="0" w:lastRow="0" w:firstColumn="0" w:lastColumn="0" w:oddVBand="0" w:evenVBand="0" w:oddHBand="0" w:evenHBand="0" w:firstRowFirstColumn="0" w:firstRowLastColumn="0" w:lastRowFirstColumn="0" w:lastRowLastColumn="0"/>
              <w:rPr>
                <w:b/>
                <w:bCs/>
                <w:iCs/>
              </w:rPr>
            </w:pPr>
          </w:p>
        </w:tc>
        <w:tc>
          <w:tcPr>
            <w:tcW w:w="964" w:type="dxa"/>
            <w:tcBorders>
              <w:bottom w:val="nil"/>
            </w:tcBorders>
          </w:tcPr>
          <w:p w14:paraId="37EBB55A" w14:textId="77777777" w:rsidR="00235725" w:rsidRPr="00235725" w:rsidRDefault="00235725">
            <w:pPr>
              <w:cnfStyle w:val="000000000000" w:firstRow="0" w:lastRow="0" w:firstColumn="0" w:lastColumn="0" w:oddVBand="0" w:evenVBand="0" w:oddHBand="0" w:evenHBand="0" w:firstRowFirstColumn="0" w:firstRowLastColumn="0" w:lastRowFirstColumn="0" w:lastRowLastColumn="0"/>
              <w:rPr>
                <w:b/>
                <w:bCs/>
                <w:iCs/>
              </w:rPr>
            </w:pPr>
          </w:p>
        </w:tc>
      </w:tr>
      <w:tr w:rsidR="00127EF6" w14:paraId="2BF6B499" w14:textId="77777777" w:rsidTr="00235725">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1D406DDE" w14:textId="74D4F3BF" w:rsidR="00127EF6" w:rsidRDefault="00127EF6">
            <w:pPr>
              <w:keepNext/>
              <w:ind w:left="170"/>
            </w:pPr>
            <w:r>
              <w:t xml:space="preserve">Code 1 dispatch performance meeting benchmarks – </w:t>
            </w:r>
            <w:r w:rsidR="00C5731A">
              <w:br/>
            </w:r>
            <w:r>
              <w:t>Ambulance Victoria (Triple Zero Victoria)</w:t>
            </w:r>
          </w:p>
        </w:tc>
        <w:tc>
          <w:tcPr>
            <w:tcW w:w="964" w:type="dxa"/>
            <w:tcBorders>
              <w:bottom w:val="nil"/>
            </w:tcBorders>
          </w:tcPr>
          <w:p w14:paraId="4BC3A92D"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2C3E00C9"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Borders>
              <w:bottom w:val="nil"/>
            </w:tcBorders>
          </w:tcPr>
          <w:p w14:paraId="61B0E5E6" w14:textId="77777777" w:rsidR="00127EF6" w:rsidRDefault="00127EF6">
            <w:pPr>
              <w:cnfStyle w:val="000000000000" w:firstRow="0" w:lastRow="0" w:firstColumn="0" w:lastColumn="0" w:oddVBand="0" w:evenVBand="0" w:oddHBand="0" w:evenHBand="0" w:firstRowFirstColumn="0" w:firstRowLastColumn="0" w:lastRowFirstColumn="0" w:lastRowLastColumn="0"/>
            </w:pPr>
            <w:r>
              <w:t>80</w:t>
            </w:r>
          </w:p>
        </w:tc>
        <w:tc>
          <w:tcPr>
            <w:tcW w:w="964" w:type="dxa"/>
            <w:tcBorders>
              <w:bottom w:val="nil"/>
            </w:tcBorders>
          </w:tcPr>
          <w:p w14:paraId="5A70A250" w14:textId="77777777" w:rsidR="00127EF6" w:rsidRDefault="00127EF6">
            <w:pPr>
              <w:cnfStyle w:val="000000000000" w:firstRow="0" w:lastRow="0" w:firstColumn="0" w:lastColumn="0" w:oddVBand="0" w:evenVBand="0" w:oddHBand="0" w:evenHBand="0" w:firstRowFirstColumn="0" w:firstRowLastColumn="0" w:lastRowFirstColumn="0" w:lastRowLastColumn="0"/>
            </w:pPr>
            <w:r>
              <w:t>90</w:t>
            </w:r>
          </w:p>
        </w:tc>
        <w:tc>
          <w:tcPr>
            <w:tcW w:w="964" w:type="dxa"/>
            <w:tcBorders>
              <w:bottom w:val="nil"/>
            </w:tcBorders>
          </w:tcPr>
          <w:p w14:paraId="2E0FB746" w14:textId="77777777" w:rsidR="00127EF6" w:rsidRDefault="00127EF6">
            <w:pPr>
              <w:cnfStyle w:val="000000000000" w:firstRow="0" w:lastRow="0" w:firstColumn="0" w:lastColumn="0" w:oddVBand="0" w:evenVBand="0" w:oddHBand="0" w:evenHBand="0" w:firstRowFirstColumn="0" w:firstRowLastColumn="0" w:lastRowFirstColumn="0" w:lastRowLastColumn="0"/>
            </w:pPr>
            <w:r>
              <w:t>80</w:t>
            </w:r>
          </w:p>
        </w:tc>
      </w:tr>
      <w:tr w:rsidR="00127EF6" w14:paraId="77182EA6" w14:textId="77777777" w:rsidTr="00DF6450">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396BC959" w14:textId="22368636" w:rsidR="00127EF6" w:rsidRDefault="00314B89">
            <w:pPr>
              <w:ind w:left="170"/>
            </w:pPr>
            <w:r w:rsidRPr="00314B89">
              <w:rPr>
                <w:i/>
                <w:iCs/>
              </w:rPr>
              <w:t xml:space="preserve">The 2025-26 outcome is lower than the 2025-26 target due to incidents initially categorised as Code 2 or 3 that subsequently escalate to Code 1. This performance measure is discontinued in 2026-27 and replaced by </w:t>
            </w:r>
            <w:r w:rsidRPr="00287A8D">
              <w:rPr>
                <w:i/>
              </w:rPr>
              <w:t>a</w:t>
            </w:r>
            <w:r w:rsidRPr="00314B89">
              <w:rPr>
                <w:i/>
                <w:iCs/>
              </w:rPr>
              <w:t xml:space="preserve"> contemporary and disaggregated Triple Zero Victoria performance standards set by the Emergency Management Commissioner.</w:t>
            </w:r>
          </w:p>
        </w:tc>
      </w:tr>
      <w:tr w:rsidR="00235725" w14:paraId="1369AC5E" w14:textId="77777777" w:rsidTr="00DF6450">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185C86CF" w14:textId="6229B36B" w:rsidR="00235725" w:rsidRDefault="00235725" w:rsidP="00235725">
            <w:pPr>
              <w:keepNext/>
              <w:ind w:left="170"/>
            </w:pPr>
            <w:r w:rsidRPr="002742EA">
              <w:t xml:space="preserve">Priority 1 dispatch performance meeting benchmarks – </w:t>
            </w:r>
            <w:r w:rsidR="00C5731A">
              <w:br/>
            </w:r>
            <w:r w:rsidRPr="002742EA">
              <w:t>Victoria State Emergency Service (Triple Zero Victoria)</w:t>
            </w:r>
          </w:p>
        </w:tc>
        <w:tc>
          <w:tcPr>
            <w:tcW w:w="964" w:type="dxa"/>
            <w:tcBorders>
              <w:top w:val="single" w:sz="6" w:space="0" w:color="auto"/>
            </w:tcBorders>
          </w:tcPr>
          <w:p w14:paraId="30AC6002" w14:textId="559ACE84" w:rsidR="00235725" w:rsidRDefault="00235725" w:rsidP="00235725">
            <w:pPr>
              <w:jc w:val="center"/>
              <w:cnfStyle w:val="000000000000" w:firstRow="0" w:lastRow="0" w:firstColumn="0" w:lastColumn="0" w:oddVBand="0" w:evenVBand="0" w:oddHBand="0" w:evenHBand="0" w:firstRowFirstColumn="0" w:firstRowLastColumn="0" w:lastRowFirstColumn="0" w:lastRowLastColumn="0"/>
            </w:pPr>
            <w:r w:rsidRPr="002742EA">
              <w:t>per cent</w:t>
            </w:r>
          </w:p>
        </w:tc>
        <w:tc>
          <w:tcPr>
            <w:tcW w:w="964" w:type="dxa"/>
            <w:tcBorders>
              <w:top w:val="single" w:sz="6" w:space="0" w:color="auto"/>
            </w:tcBorders>
            <w:shd w:val="clear" w:color="auto" w:fill="F0F0F0"/>
          </w:tcPr>
          <w:p w14:paraId="5FEBF807" w14:textId="2EF17F10" w:rsidR="00235725" w:rsidRDefault="00235725" w:rsidP="00235725">
            <w:pPr>
              <w:cnfStyle w:val="000000000000" w:firstRow="0" w:lastRow="0" w:firstColumn="0" w:lastColumn="0" w:oddVBand="0" w:evenVBand="0" w:oddHBand="0" w:evenHBand="0" w:firstRowFirstColumn="0" w:firstRowLastColumn="0" w:lastRowFirstColumn="0" w:lastRowLastColumn="0"/>
            </w:pPr>
            <w:r w:rsidRPr="002742EA">
              <w:t>n.a.</w:t>
            </w:r>
          </w:p>
        </w:tc>
        <w:tc>
          <w:tcPr>
            <w:tcW w:w="964" w:type="dxa"/>
            <w:tcBorders>
              <w:top w:val="single" w:sz="6" w:space="0" w:color="auto"/>
            </w:tcBorders>
          </w:tcPr>
          <w:p w14:paraId="7A97136F" w14:textId="01A44BE1" w:rsidR="00235725" w:rsidRDefault="00235725" w:rsidP="00235725">
            <w:pPr>
              <w:cnfStyle w:val="000000000000" w:firstRow="0" w:lastRow="0" w:firstColumn="0" w:lastColumn="0" w:oddVBand="0" w:evenVBand="0" w:oddHBand="0" w:evenHBand="0" w:firstRowFirstColumn="0" w:firstRowLastColumn="0" w:lastRowFirstColumn="0" w:lastRowLastColumn="0"/>
            </w:pPr>
            <w:r w:rsidRPr="002742EA">
              <w:t>89.8</w:t>
            </w:r>
          </w:p>
        </w:tc>
        <w:tc>
          <w:tcPr>
            <w:tcW w:w="964" w:type="dxa"/>
            <w:tcBorders>
              <w:top w:val="single" w:sz="6" w:space="0" w:color="auto"/>
            </w:tcBorders>
          </w:tcPr>
          <w:p w14:paraId="10D182F0" w14:textId="16FF99A8" w:rsidR="00235725" w:rsidRDefault="00235725" w:rsidP="00235725">
            <w:pPr>
              <w:cnfStyle w:val="000000000000" w:firstRow="0" w:lastRow="0" w:firstColumn="0" w:lastColumn="0" w:oddVBand="0" w:evenVBand="0" w:oddHBand="0" w:evenHBand="0" w:firstRowFirstColumn="0" w:firstRowLastColumn="0" w:lastRowFirstColumn="0" w:lastRowLastColumn="0"/>
            </w:pPr>
            <w:r w:rsidRPr="002742EA">
              <w:t>90</w:t>
            </w:r>
          </w:p>
        </w:tc>
        <w:tc>
          <w:tcPr>
            <w:tcW w:w="964" w:type="dxa"/>
            <w:tcBorders>
              <w:top w:val="single" w:sz="6" w:space="0" w:color="auto"/>
            </w:tcBorders>
          </w:tcPr>
          <w:p w14:paraId="5098DD2B" w14:textId="66B68E3C" w:rsidR="00235725" w:rsidRDefault="00235725" w:rsidP="00235725">
            <w:pPr>
              <w:cnfStyle w:val="000000000000" w:firstRow="0" w:lastRow="0" w:firstColumn="0" w:lastColumn="0" w:oddVBand="0" w:evenVBand="0" w:oddHBand="0" w:evenHBand="0" w:firstRowFirstColumn="0" w:firstRowLastColumn="0" w:lastRowFirstColumn="0" w:lastRowLastColumn="0"/>
            </w:pPr>
            <w:r w:rsidRPr="002742EA">
              <w:t>89.9</w:t>
            </w:r>
          </w:p>
        </w:tc>
      </w:tr>
      <w:tr w:rsidR="00235725" w14:paraId="34934297" w14:textId="77777777" w:rsidTr="00235725">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21D2EA6" w14:textId="377A89ED" w:rsidR="00235725" w:rsidRDefault="00235725">
            <w:pPr>
              <w:ind w:left="170"/>
            </w:pPr>
            <w:r w:rsidRPr="000E5CC1">
              <w:rPr>
                <w:i/>
                <w:iCs/>
              </w:rPr>
              <w:t xml:space="preserve">This performance measure is proposed to be discontinued in </w:t>
            </w:r>
            <w:r>
              <w:rPr>
                <w:i/>
                <w:iCs/>
              </w:rPr>
              <w:t>2026-27</w:t>
            </w:r>
            <w:r w:rsidRPr="000E5CC1">
              <w:rPr>
                <w:i/>
                <w:iCs/>
              </w:rPr>
              <w:t xml:space="preserve"> as it no longer aligns with </w:t>
            </w:r>
            <w:r w:rsidR="008A13D1">
              <w:rPr>
                <w:i/>
                <w:iCs/>
              </w:rPr>
              <w:t xml:space="preserve">contemporary performance standards set by the Emergency Management Commissioner. </w:t>
            </w:r>
          </w:p>
        </w:tc>
      </w:tr>
    </w:tbl>
    <w:p w14:paraId="22E4B516" w14:textId="0BBB0182" w:rsidR="00127EF6" w:rsidRDefault="00A47EB3" w:rsidP="00287A8D">
      <w:pPr>
        <w:pStyle w:val="Source"/>
      </w:pPr>
      <w:r>
        <w:t>Source: Department of Justice and Community Safety</w:t>
      </w:r>
    </w:p>
    <w:p w14:paraId="1924FD2D" w14:textId="77777777" w:rsidR="00127EF6" w:rsidRDefault="00127EF6" w:rsidP="005122F0"/>
    <w:p w14:paraId="075B206B" w14:textId="77777777" w:rsidR="00796058" w:rsidRDefault="00796058" w:rsidP="00796058">
      <w:pPr>
        <w:pStyle w:val="Source"/>
      </w:pPr>
    </w:p>
    <w:p w14:paraId="251D39D3" w14:textId="3E9B4ABE" w:rsidR="00796058" w:rsidRDefault="00796058" w:rsidP="00706B7E">
      <w:pPr>
        <w:pStyle w:val="Heading1"/>
        <w:spacing w:after="180"/>
      </w:pPr>
      <w:bookmarkStart w:id="37" w:name="_Toc228288115"/>
      <w:r w:rsidRPr="000B33B2">
        <w:t xml:space="preserve">Department of </w:t>
      </w:r>
      <w:r>
        <w:t>Premier and Cabinet</w:t>
      </w:r>
      <w:bookmarkEnd w:id="37"/>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EB7AA7" w14:paraId="338B71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25A8799" w14:textId="77777777" w:rsidR="00EB7AA7" w:rsidRDefault="00EB7AA7">
            <w:r>
              <w:t>Performance measure</w:t>
            </w:r>
          </w:p>
        </w:tc>
        <w:tc>
          <w:tcPr>
            <w:tcW w:w="964" w:type="dxa"/>
          </w:tcPr>
          <w:p w14:paraId="2610D220" w14:textId="77777777" w:rsidR="00EB7AA7" w:rsidRDefault="00EB7AA7">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6E59CB6C" w14:textId="77777777" w:rsidR="00EB7AA7" w:rsidRDefault="00EB7AA7">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05DDD81D" w14:textId="77777777" w:rsidR="00EB7AA7" w:rsidRDefault="00EB7AA7">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2AB876FA" w14:textId="77777777" w:rsidR="00EB7AA7" w:rsidRDefault="00EB7AA7">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01B90F45" w14:textId="77777777" w:rsidR="00EB7AA7" w:rsidRDefault="00EB7AA7">
            <w:pPr>
              <w:cnfStyle w:val="100000000000" w:firstRow="1" w:lastRow="0" w:firstColumn="0" w:lastColumn="0" w:oddVBand="0" w:evenVBand="0" w:oddHBand="0" w:evenHBand="0" w:firstRowFirstColumn="0" w:firstRowLastColumn="0" w:lastRowFirstColumn="0" w:lastRowLastColumn="0"/>
            </w:pPr>
            <w:r>
              <w:t>2024-25 actual</w:t>
            </w:r>
          </w:p>
        </w:tc>
      </w:tr>
      <w:tr w:rsidR="00EB7AA7" w14:paraId="06A2FEF3"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0784A462" w14:textId="77777777" w:rsidR="00EB7AA7" w:rsidRDefault="00EB7AA7">
            <w:pPr>
              <w:keepNext/>
            </w:pPr>
            <w:r>
              <w:rPr>
                <w:b/>
              </w:rPr>
              <w:t>Self-determination Policy and Reform Advice and Programs</w:t>
            </w:r>
          </w:p>
        </w:tc>
      </w:tr>
      <w:tr w:rsidR="00EB7AA7" w14:paraId="52FFBE19"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61B5E5C" w14:textId="77777777" w:rsidR="00EB7AA7" w:rsidRDefault="00EB7AA7">
            <w:pPr>
              <w:keepNext/>
            </w:pPr>
            <w:r>
              <w:rPr>
                <w:i/>
              </w:rPr>
              <w:t>Quality</w:t>
            </w:r>
          </w:p>
        </w:tc>
      </w:tr>
      <w:tr w:rsidR="00EB7AA7" w14:paraId="4467B75C" w14:textId="77777777">
        <w:tc>
          <w:tcPr>
            <w:cnfStyle w:val="001000000000" w:firstRow="0" w:lastRow="0" w:firstColumn="1" w:lastColumn="0" w:oddVBand="0" w:evenVBand="0" w:oddHBand="0" w:evenHBand="0" w:firstRowFirstColumn="0" w:firstRowLastColumn="0" w:lastRowFirstColumn="0" w:lastRowLastColumn="0"/>
            <w:tcW w:w="4819" w:type="dxa"/>
          </w:tcPr>
          <w:p w14:paraId="382C9448" w14:textId="0364E825" w:rsidR="00EB7AA7" w:rsidRDefault="00EB7AA7">
            <w:pPr>
              <w:keepNext/>
              <w:ind w:left="170"/>
            </w:pPr>
            <w:r>
              <w:t>Government stakeholder satisfaction with coordination of the Victorian Government</w:t>
            </w:r>
            <w:r w:rsidR="00AD4833">
              <w:t>’</w:t>
            </w:r>
            <w:r>
              <w:t>s response to the Yoorrook Justice Commission</w:t>
            </w:r>
          </w:p>
        </w:tc>
        <w:tc>
          <w:tcPr>
            <w:tcW w:w="964" w:type="dxa"/>
          </w:tcPr>
          <w:p w14:paraId="214167C6" w14:textId="77777777" w:rsidR="00EB7AA7" w:rsidRDefault="00EB7AA7">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536D3B2" w14:textId="77777777" w:rsidR="00EB7AA7" w:rsidRDefault="00EB7AA7">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0364396C" w14:textId="77777777" w:rsidR="00EB7AA7" w:rsidRDefault="00EB7AA7">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36FB8AF9" w14:textId="77777777" w:rsidR="00EB7AA7" w:rsidRDefault="00EB7AA7">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B0F48C6" w14:textId="77777777" w:rsidR="00EB7AA7" w:rsidRDefault="00EB7AA7">
            <w:pPr>
              <w:cnfStyle w:val="000000000000" w:firstRow="0" w:lastRow="0" w:firstColumn="0" w:lastColumn="0" w:oddVBand="0" w:evenVBand="0" w:oddHBand="0" w:evenHBand="0" w:firstRowFirstColumn="0" w:firstRowLastColumn="0" w:lastRowFirstColumn="0" w:lastRowLastColumn="0"/>
            </w:pPr>
            <w:r>
              <w:t>100</w:t>
            </w:r>
          </w:p>
        </w:tc>
      </w:tr>
      <w:tr w:rsidR="00EB7AA7" w14:paraId="35C30C4B" w14:textId="77777777" w:rsidTr="00C5731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9F21FC2" w14:textId="48C444BF" w:rsidR="00EB7AA7" w:rsidRDefault="00EB7AA7">
            <w:pPr>
              <w:ind w:left="170"/>
            </w:pPr>
            <w:r>
              <w:rPr>
                <w:i/>
              </w:rPr>
              <w:t>The 2025</w:t>
            </w:r>
            <w:r w:rsidR="00383570">
              <w:rPr>
                <w:i/>
              </w:rPr>
              <w:t>-</w:t>
            </w:r>
            <w:r>
              <w:rPr>
                <w:i/>
              </w:rPr>
              <w:t xml:space="preserve">26 expected outcome is higher than the target due to good progress and high stakeholder satisfaction. </w:t>
            </w:r>
          </w:p>
          <w:p w14:paraId="38B93F6D" w14:textId="77777777" w:rsidR="00EB7AA7" w:rsidRDefault="00EB7AA7">
            <w:pPr>
              <w:ind w:left="170"/>
            </w:pPr>
            <w:r>
              <w:rPr>
                <w:i/>
              </w:rPr>
              <w:t>This measure is proposed to be discontinued due to the changing nature of Yoorrook Justice Commission response work since the Commission completed its inquiry.</w:t>
            </w:r>
          </w:p>
        </w:tc>
      </w:tr>
    </w:tbl>
    <w:p w14:paraId="16BB6EF8" w14:textId="77777777" w:rsidR="00EB7AA7" w:rsidRPr="006F6905" w:rsidRDefault="00EB7AA7" w:rsidP="00EB7AA7">
      <w:pPr>
        <w:pStyle w:val="Source"/>
      </w:pPr>
      <w:r w:rsidRPr="006F6905">
        <w:t>Source: Department of Premier and Cabinet</w:t>
      </w:r>
    </w:p>
    <w:p w14:paraId="6D4026AC" w14:textId="77777777" w:rsidR="00796058" w:rsidRDefault="00796058" w:rsidP="00796058"/>
    <w:p w14:paraId="6F84259B" w14:textId="77777777" w:rsidR="00695D0B" w:rsidRDefault="00695D0B">
      <w:pPr>
        <w:keepLines w:val="0"/>
        <w:rPr>
          <w:rFonts w:asciiTheme="majorHAnsi" w:eastAsiaTheme="majorEastAsia" w:hAnsiTheme="majorHAnsi" w:cstheme="majorBidi"/>
          <w:b/>
          <w:caps/>
          <w:sz w:val="27"/>
          <w:szCs w:val="32"/>
        </w:rPr>
      </w:pPr>
      <w:r>
        <w:br w:type="page"/>
      </w:r>
    </w:p>
    <w:p w14:paraId="32C8A6D4" w14:textId="7CCADFEB" w:rsidR="00796058" w:rsidRDefault="00796058" w:rsidP="00706B7E">
      <w:pPr>
        <w:pStyle w:val="Heading1"/>
        <w:spacing w:after="180"/>
      </w:pPr>
      <w:bookmarkStart w:id="38" w:name="_Toc228288116"/>
      <w:r w:rsidRPr="000B33B2">
        <w:t xml:space="preserve">Department of </w:t>
      </w:r>
      <w:r>
        <w:t>Transport and Planning</w:t>
      </w:r>
      <w:bookmarkEnd w:id="38"/>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D171AD" w14:paraId="61A05725" w14:textId="77777777" w:rsidTr="00C717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429B132D" w14:textId="77777777" w:rsidR="00D171AD" w:rsidRDefault="00D171AD">
            <w:r>
              <w:t>Performance measure</w:t>
            </w:r>
          </w:p>
        </w:tc>
        <w:tc>
          <w:tcPr>
            <w:tcW w:w="964" w:type="dxa"/>
          </w:tcPr>
          <w:p w14:paraId="523B8508" w14:textId="77777777" w:rsidR="00D171AD" w:rsidRDefault="00D171AD">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506B5C05" w14:textId="77777777" w:rsidR="00D171AD" w:rsidRDefault="00D171AD">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41B61D09" w14:textId="77777777" w:rsidR="00D171AD" w:rsidRDefault="00D171AD">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0284A75C" w14:textId="77777777" w:rsidR="00D171AD" w:rsidRDefault="00D171AD">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361513AB" w14:textId="77777777" w:rsidR="00D171AD" w:rsidRDefault="00D171AD">
            <w:pPr>
              <w:cnfStyle w:val="100000000000" w:firstRow="1" w:lastRow="0" w:firstColumn="0" w:lastColumn="0" w:oddVBand="0" w:evenVBand="0" w:oddHBand="0" w:evenHBand="0" w:firstRowFirstColumn="0" w:firstRowLastColumn="0" w:lastRowFirstColumn="0" w:lastRowLastColumn="0"/>
            </w:pPr>
            <w:r>
              <w:t>2024-25 actual</w:t>
            </w:r>
          </w:p>
        </w:tc>
      </w:tr>
      <w:tr w:rsidR="00D171AD" w:rsidRPr="00C5731A" w14:paraId="1F4A94A5"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5F3C16FB" w14:textId="750AA6C3" w:rsidR="00D171AD" w:rsidRPr="00C5731A" w:rsidRDefault="00C5731A" w:rsidP="00C5731A">
            <w:pPr>
              <w:keepNext/>
              <w:spacing w:before="60"/>
              <w:rPr>
                <w:b/>
              </w:rPr>
            </w:pPr>
            <w:r w:rsidRPr="00C5731A">
              <w:rPr>
                <w:b/>
              </w:rPr>
              <w:t>BUILDING</w:t>
            </w:r>
          </w:p>
        </w:tc>
      </w:tr>
      <w:tr w:rsidR="00D171AD" w:rsidRPr="00C5731A" w14:paraId="153C6A73"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0B354248" w14:textId="77777777" w:rsidR="00D171AD" w:rsidRPr="00C5731A" w:rsidRDefault="00D171AD">
            <w:pPr>
              <w:keepNext/>
              <w:rPr>
                <w:b/>
              </w:rPr>
            </w:pPr>
            <w:r w:rsidRPr="00C5731A">
              <w:rPr>
                <w:b/>
              </w:rPr>
              <w:t>Quantity</w:t>
            </w:r>
          </w:p>
        </w:tc>
      </w:tr>
      <w:tr w:rsidR="00D171AD" w14:paraId="5750831E"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49CC6A49" w14:textId="77777777" w:rsidR="00D171AD" w:rsidRDefault="00D171AD">
            <w:pPr>
              <w:keepNext/>
              <w:ind w:left="170"/>
            </w:pPr>
            <w:r>
              <w:t>In-scope privately-owned residential buildings that have completed cladding rectification works</w:t>
            </w:r>
          </w:p>
        </w:tc>
        <w:tc>
          <w:tcPr>
            <w:tcW w:w="964" w:type="dxa"/>
          </w:tcPr>
          <w:p w14:paraId="42164850"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BE0FE13"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31801703" w14:textId="77777777" w:rsidR="00D171AD" w:rsidRDefault="00D171AD">
            <w:pPr>
              <w:cnfStyle w:val="000000000000" w:firstRow="0" w:lastRow="0" w:firstColumn="0" w:lastColumn="0" w:oddVBand="0" w:evenVBand="0" w:oddHBand="0" w:evenHBand="0" w:firstRowFirstColumn="0" w:firstRowLastColumn="0" w:lastRowFirstColumn="0" w:lastRowLastColumn="0"/>
            </w:pPr>
            <w:r>
              <w:t>37</w:t>
            </w:r>
          </w:p>
        </w:tc>
        <w:tc>
          <w:tcPr>
            <w:tcW w:w="964" w:type="dxa"/>
          </w:tcPr>
          <w:p w14:paraId="19FFAE86" w14:textId="77777777" w:rsidR="00D171AD" w:rsidRDefault="00D171AD">
            <w:pPr>
              <w:cnfStyle w:val="000000000000" w:firstRow="0" w:lastRow="0" w:firstColumn="0" w:lastColumn="0" w:oddVBand="0" w:evenVBand="0" w:oddHBand="0" w:evenHBand="0" w:firstRowFirstColumn="0" w:firstRowLastColumn="0" w:lastRowFirstColumn="0" w:lastRowLastColumn="0"/>
            </w:pPr>
            <w:r>
              <w:t>45</w:t>
            </w:r>
          </w:p>
        </w:tc>
        <w:tc>
          <w:tcPr>
            <w:tcW w:w="964" w:type="dxa"/>
          </w:tcPr>
          <w:p w14:paraId="00D71BC2" w14:textId="77777777" w:rsidR="00D171AD" w:rsidRDefault="00D171AD">
            <w:pPr>
              <w:cnfStyle w:val="000000000000" w:firstRow="0" w:lastRow="0" w:firstColumn="0" w:lastColumn="0" w:oddVBand="0" w:evenVBand="0" w:oddHBand="0" w:evenHBand="0" w:firstRowFirstColumn="0" w:firstRowLastColumn="0" w:lastRowFirstColumn="0" w:lastRowLastColumn="0"/>
            </w:pPr>
            <w:r>
              <w:t>79</w:t>
            </w:r>
          </w:p>
        </w:tc>
      </w:tr>
      <w:tr w:rsidR="00D171AD" w14:paraId="25000053"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6C30518" w14:textId="0832CDA1" w:rsidR="00D171AD" w:rsidRDefault="00D171AD">
            <w:pPr>
              <w:ind w:left="170"/>
            </w:pPr>
            <w:r>
              <w:rPr>
                <w:i/>
              </w:rPr>
              <w:t>The 2025</w:t>
            </w:r>
            <w:r w:rsidR="00383570">
              <w:rPr>
                <w:i/>
              </w:rPr>
              <w:t>-</w:t>
            </w:r>
            <w:r>
              <w:rPr>
                <w:i/>
              </w:rPr>
              <w:t>26 expected outcome is lower than the 2025</w:t>
            </w:r>
            <w:r w:rsidR="00383570">
              <w:rPr>
                <w:i/>
              </w:rPr>
              <w:t>-</w:t>
            </w:r>
            <w:r>
              <w:rPr>
                <w:i/>
              </w:rPr>
              <w:t>26 target due to buildings acquitted from the program not requiring cladding works, deferral of projects due to structural defects and additional scope, and the early completion of works ahead of schedule in 2024</w:t>
            </w:r>
            <w:r w:rsidR="00C5731A">
              <w:rPr>
                <w:i/>
              </w:rPr>
              <w:noBreakHyphen/>
            </w:r>
            <w:r>
              <w:rPr>
                <w:i/>
              </w:rPr>
              <w:t>25.</w:t>
            </w:r>
          </w:p>
          <w:p w14:paraId="42A73DF0" w14:textId="77777777" w:rsidR="00D171AD" w:rsidRDefault="00D171AD">
            <w:pPr>
              <w:ind w:left="170"/>
            </w:pPr>
            <w:r>
              <w:rPr>
                <w:i/>
              </w:rPr>
              <w:t>This performance measure is to be discontinued due to the successful completion of the program.</w:t>
            </w:r>
          </w:p>
        </w:tc>
      </w:tr>
      <w:tr w:rsidR="00D171AD" w:rsidRPr="00C5731A" w14:paraId="3BBAC630"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0C19255B" w14:textId="77777777" w:rsidR="00D171AD" w:rsidRPr="00C5731A" w:rsidRDefault="00D171AD">
            <w:pPr>
              <w:keepNext/>
              <w:rPr>
                <w:b/>
              </w:rPr>
            </w:pPr>
            <w:r w:rsidRPr="00C5731A">
              <w:rPr>
                <w:b/>
              </w:rPr>
              <w:t>Quality</w:t>
            </w:r>
          </w:p>
        </w:tc>
      </w:tr>
      <w:tr w:rsidR="00D171AD" w14:paraId="58D44A6F"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0751E6C6" w14:textId="77777777" w:rsidR="00D171AD" w:rsidRDefault="00D171AD">
            <w:pPr>
              <w:keepNext/>
              <w:ind w:left="170"/>
            </w:pPr>
            <w:r>
              <w:t>Stakeholder satisfaction with the quality of formal advice issued by the Office of the Victorian Government Architect on significant projects in the built environment</w:t>
            </w:r>
          </w:p>
        </w:tc>
        <w:tc>
          <w:tcPr>
            <w:tcW w:w="964" w:type="dxa"/>
          </w:tcPr>
          <w:p w14:paraId="6C0EEA68"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34385A1"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206A300E" w14:textId="77777777" w:rsidR="00D171AD" w:rsidRDefault="00D171A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24C25644" w14:textId="77777777" w:rsidR="00D171AD" w:rsidRDefault="00D171A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4E7425A0" w14:textId="77777777" w:rsidR="00D171AD" w:rsidRDefault="00D171AD">
            <w:pPr>
              <w:cnfStyle w:val="000000000000" w:firstRow="0" w:lastRow="0" w:firstColumn="0" w:lastColumn="0" w:oddVBand="0" w:evenVBand="0" w:oddHBand="0" w:evenHBand="0" w:firstRowFirstColumn="0" w:firstRowLastColumn="0" w:lastRowFirstColumn="0" w:lastRowLastColumn="0"/>
            </w:pPr>
            <w:r>
              <w:t>86</w:t>
            </w:r>
          </w:p>
        </w:tc>
      </w:tr>
      <w:tr w:rsidR="00D171AD" w14:paraId="04C63FD4"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3385FF6" w14:textId="77777777" w:rsidR="00D171AD" w:rsidRDefault="00D171AD">
            <w:pPr>
              <w:ind w:left="170"/>
            </w:pPr>
            <w:r>
              <w:rPr>
                <w:i/>
              </w:rPr>
              <w:t xml:space="preserve">This performance measure is proposed to be discontinued as it no longer relates to the core function of the services provided. </w:t>
            </w:r>
          </w:p>
        </w:tc>
      </w:tr>
      <w:tr w:rsidR="00D171AD" w:rsidRPr="00C5731A" w14:paraId="339D674A"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448B6B3A" w14:textId="1A50602A" w:rsidR="00D171AD" w:rsidRPr="00C5731A" w:rsidRDefault="00C5731A" w:rsidP="00C5731A">
            <w:pPr>
              <w:keepNext/>
              <w:spacing w:before="60"/>
              <w:rPr>
                <w:b/>
              </w:rPr>
            </w:pPr>
            <w:r w:rsidRPr="00C5731A">
              <w:rPr>
                <w:b/>
              </w:rPr>
              <w:t>PLANNING AND HERITAGE</w:t>
            </w:r>
          </w:p>
        </w:tc>
      </w:tr>
      <w:tr w:rsidR="00D171AD" w:rsidRPr="00C5731A" w14:paraId="11D43FA5"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389045D8" w14:textId="77777777" w:rsidR="00D171AD" w:rsidRPr="00C5731A" w:rsidRDefault="00D171AD">
            <w:pPr>
              <w:keepNext/>
              <w:rPr>
                <w:b/>
              </w:rPr>
            </w:pPr>
            <w:r w:rsidRPr="00C5731A">
              <w:rPr>
                <w:b/>
              </w:rPr>
              <w:t>Quantity</w:t>
            </w:r>
          </w:p>
        </w:tc>
      </w:tr>
      <w:tr w:rsidR="00D171AD" w14:paraId="2B232276"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169A5E0F" w14:textId="77777777" w:rsidR="00D171AD" w:rsidRDefault="00D171AD">
            <w:pPr>
              <w:keepNext/>
              <w:ind w:left="170"/>
            </w:pPr>
            <w:r>
              <w:t>Local governments undertaking work to support strategic planning for coastal settlements and areas</w:t>
            </w:r>
          </w:p>
        </w:tc>
        <w:tc>
          <w:tcPr>
            <w:tcW w:w="964" w:type="dxa"/>
          </w:tcPr>
          <w:p w14:paraId="3B171302"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7F40F7FC"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A766A97" w14:textId="77777777" w:rsidR="00D171AD" w:rsidRDefault="00D171AD">
            <w:pPr>
              <w:cnfStyle w:val="000000000000" w:firstRow="0" w:lastRow="0" w:firstColumn="0" w:lastColumn="0" w:oddVBand="0" w:evenVBand="0" w:oddHBand="0" w:evenHBand="0" w:firstRowFirstColumn="0" w:firstRowLastColumn="0" w:lastRowFirstColumn="0" w:lastRowLastColumn="0"/>
            </w:pPr>
            <w:r>
              <w:t>4</w:t>
            </w:r>
          </w:p>
        </w:tc>
        <w:tc>
          <w:tcPr>
            <w:tcW w:w="964" w:type="dxa"/>
          </w:tcPr>
          <w:p w14:paraId="2BE4205D" w14:textId="77777777" w:rsidR="00D171AD" w:rsidRDefault="00D171AD">
            <w:pPr>
              <w:cnfStyle w:val="000000000000" w:firstRow="0" w:lastRow="0" w:firstColumn="0" w:lastColumn="0" w:oddVBand="0" w:evenVBand="0" w:oddHBand="0" w:evenHBand="0" w:firstRowFirstColumn="0" w:firstRowLastColumn="0" w:lastRowFirstColumn="0" w:lastRowLastColumn="0"/>
            </w:pPr>
            <w:r>
              <w:t>15</w:t>
            </w:r>
          </w:p>
        </w:tc>
        <w:tc>
          <w:tcPr>
            <w:tcW w:w="964" w:type="dxa"/>
          </w:tcPr>
          <w:p w14:paraId="69BA4CD9" w14:textId="77777777" w:rsidR="00D171AD" w:rsidRDefault="00D171AD">
            <w:pPr>
              <w:cnfStyle w:val="000000000000" w:firstRow="0" w:lastRow="0" w:firstColumn="0" w:lastColumn="0" w:oddVBand="0" w:evenVBand="0" w:oddHBand="0" w:evenHBand="0" w:firstRowFirstColumn="0" w:firstRowLastColumn="0" w:lastRowFirstColumn="0" w:lastRowLastColumn="0"/>
            </w:pPr>
            <w:r>
              <w:t>14</w:t>
            </w:r>
          </w:p>
        </w:tc>
      </w:tr>
      <w:tr w:rsidR="00D171AD" w14:paraId="04C0DCA2"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DEDC57B" w14:textId="77777777" w:rsidR="00D171AD" w:rsidRDefault="00D171AD">
            <w:pPr>
              <w:ind w:left="170"/>
            </w:pPr>
            <w:r>
              <w:rPr>
                <w:i/>
              </w:rPr>
              <w:t>The 2025-26 expected outcome is lower than the 2025-26 target due to the completion of activities for local councils.</w:t>
            </w:r>
          </w:p>
          <w:p w14:paraId="25BDFDDD" w14:textId="3C144B52" w:rsidR="00D171AD" w:rsidRDefault="00D171AD">
            <w:pPr>
              <w:ind w:left="170"/>
            </w:pPr>
            <w:r>
              <w:rPr>
                <w:i/>
              </w:rPr>
              <w:t xml:space="preserve">This performance measure is proposed to be discontinued as </w:t>
            </w:r>
            <w:r w:rsidR="00BF4FF2">
              <w:rPr>
                <w:i/>
              </w:rPr>
              <w:t>it</w:t>
            </w:r>
            <w:r w:rsidR="006B2D9D">
              <w:rPr>
                <w:i/>
              </w:rPr>
              <w:t xml:space="preserve"> no longer relates to the core function of the services provided</w:t>
            </w:r>
            <w:r>
              <w:rPr>
                <w:i/>
              </w:rPr>
              <w:t xml:space="preserve">. </w:t>
            </w:r>
          </w:p>
        </w:tc>
      </w:tr>
      <w:tr w:rsidR="00D171AD" w:rsidRPr="00C5731A" w14:paraId="35D91D8F"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75DCE20E" w14:textId="665F1A32" w:rsidR="00D171AD" w:rsidRPr="00C5731A" w:rsidRDefault="00C5731A" w:rsidP="00C5731A">
            <w:pPr>
              <w:keepNext/>
              <w:spacing w:before="60"/>
              <w:rPr>
                <w:b/>
              </w:rPr>
            </w:pPr>
            <w:r w:rsidRPr="00C5731A">
              <w:rPr>
                <w:b/>
              </w:rPr>
              <w:t>REGULATION OF COMMERCIAL PASSENGER VEHICLE SERVICES</w:t>
            </w:r>
          </w:p>
        </w:tc>
      </w:tr>
      <w:tr w:rsidR="00D171AD" w:rsidRPr="00C5731A" w14:paraId="42B05F8E"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654FD522" w14:textId="77777777" w:rsidR="00D171AD" w:rsidRPr="00C5731A" w:rsidRDefault="00D171AD">
            <w:pPr>
              <w:keepNext/>
              <w:rPr>
                <w:b/>
              </w:rPr>
            </w:pPr>
            <w:r w:rsidRPr="00C5731A">
              <w:rPr>
                <w:b/>
              </w:rPr>
              <w:t>Quality</w:t>
            </w:r>
          </w:p>
        </w:tc>
      </w:tr>
      <w:tr w:rsidR="00D171AD" w14:paraId="0331C1FE"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034E9B23" w14:textId="77777777" w:rsidR="00D171AD" w:rsidRDefault="00D171AD">
            <w:pPr>
              <w:keepNext/>
              <w:ind w:left="170"/>
            </w:pPr>
            <w:r>
              <w:t>Commercial passenger vehicle service providers that meet expected safety requirements</w:t>
            </w:r>
          </w:p>
        </w:tc>
        <w:tc>
          <w:tcPr>
            <w:tcW w:w="964" w:type="dxa"/>
          </w:tcPr>
          <w:p w14:paraId="79A24B4D"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22FD504"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00BD796" w14:textId="77777777" w:rsidR="00D171AD" w:rsidRDefault="00D171AD">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15A8D3A" w14:textId="77777777" w:rsidR="00D171AD" w:rsidRDefault="00D171AD">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49E8CDF3" w14:textId="77777777" w:rsidR="00D171AD" w:rsidRDefault="00D171AD">
            <w:pPr>
              <w:cnfStyle w:val="000000000000" w:firstRow="0" w:lastRow="0" w:firstColumn="0" w:lastColumn="0" w:oddVBand="0" w:evenVBand="0" w:oddHBand="0" w:evenHBand="0" w:firstRowFirstColumn="0" w:firstRowLastColumn="0" w:lastRowFirstColumn="0" w:lastRowLastColumn="0"/>
            </w:pPr>
            <w:r>
              <w:t>75</w:t>
            </w:r>
          </w:p>
        </w:tc>
      </w:tr>
      <w:tr w:rsidR="00D171AD" w14:paraId="3FC41253"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6EBD12A" w14:textId="64D7F3FE" w:rsidR="00D171AD" w:rsidRDefault="00D171AD">
            <w:pPr>
              <w:ind w:left="170"/>
            </w:pPr>
            <w:r>
              <w:rPr>
                <w:i/>
              </w:rPr>
              <w:t xml:space="preserve">This performance measure is proposed to be discontinued and replaced with the measure </w:t>
            </w:r>
            <w:r w:rsidR="00AD4833">
              <w:rPr>
                <w:i/>
              </w:rPr>
              <w:t>‘</w:t>
            </w:r>
            <w:r>
              <w:rPr>
                <w:i/>
              </w:rPr>
              <w:t>Safety audits and vehicle inspections of commercial passenger vehicle operators conducted in accordance with safety requirements under Safe Transport Victoria</w:t>
            </w:r>
            <w:r w:rsidR="00AD4833">
              <w:rPr>
                <w:i/>
              </w:rPr>
              <w:t>’</w:t>
            </w:r>
            <w:r>
              <w:rPr>
                <w:i/>
              </w:rPr>
              <w:t>s risk-based plan</w:t>
            </w:r>
            <w:r w:rsidR="00AD4833">
              <w:rPr>
                <w:i/>
              </w:rPr>
              <w:t>’</w:t>
            </w:r>
            <w:r>
              <w:rPr>
                <w:i/>
              </w:rPr>
              <w:t xml:space="preserve">. The new measure better reflects the new operations of Safe Transport Victoria as a single multi-modal regulator. </w:t>
            </w:r>
          </w:p>
        </w:tc>
      </w:tr>
      <w:tr w:rsidR="00D171AD" w14:paraId="25C5770D"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5FFFD15E" w14:textId="77777777" w:rsidR="00D171AD" w:rsidRDefault="00D171AD">
            <w:pPr>
              <w:keepNext/>
              <w:ind w:left="170"/>
            </w:pPr>
            <w:r>
              <w:t>Commercial passenger vehicles inspected by Safe Transport Victoria that meet safety standards</w:t>
            </w:r>
          </w:p>
        </w:tc>
        <w:tc>
          <w:tcPr>
            <w:tcW w:w="964" w:type="dxa"/>
          </w:tcPr>
          <w:p w14:paraId="740FED78"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22160B22"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2B5D89D" w14:textId="77777777" w:rsidR="00D171AD" w:rsidRDefault="00D171A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5543E0E4" w14:textId="77777777" w:rsidR="00D171AD" w:rsidRDefault="00D171A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28176D36" w14:textId="77777777" w:rsidR="00D171AD" w:rsidRDefault="00D171AD">
            <w:pPr>
              <w:cnfStyle w:val="000000000000" w:firstRow="0" w:lastRow="0" w:firstColumn="0" w:lastColumn="0" w:oddVBand="0" w:evenVBand="0" w:oddHBand="0" w:evenHBand="0" w:firstRowFirstColumn="0" w:firstRowLastColumn="0" w:lastRowFirstColumn="0" w:lastRowLastColumn="0"/>
            </w:pPr>
            <w:r>
              <w:t>79</w:t>
            </w:r>
          </w:p>
        </w:tc>
      </w:tr>
      <w:tr w:rsidR="00D171AD" w14:paraId="5A34820E"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374FDAC" w14:textId="11A9F478" w:rsidR="00D171AD" w:rsidRDefault="00D171AD">
            <w:pPr>
              <w:ind w:left="170"/>
            </w:pPr>
            <w:r>
              <w:rPr>
                <w:i/>
              </w:rPr>
              <w:t xml:space="preserve">This performance measure is proposed to be discontinued and replaced with the measure </w:t>
            </w:r>
            <w:r w:rsidR="00AD4833">
              <w:rPr>
                <w:i/>
              </w:rPr>
              <w:t>‘</w:t>
            </w:r>
            <w:r>
              <w:rPr>
                <w:i/>
              </w:rPr>
              <w:t>Safety audits and vehicle inspections of commercial passenger vehicle operators conducted in accordance with safety requirements under Safe Transport Victoria</w:t>
            </w:r>
            <w:r w:rsidR="00AD4833">
              <w:rPr>
                <w:i/>
              </w:rPr>
              <w:t>’</w:t>
            </w:r>
            <w:r>
              <w:rPr>
                <w:i/>
              </w:rPr>
              <w:t>s risk-based plan</w:t>
            </w:r>
            <w:r w:rsidR="00AD4833">
              <w:rPr>
                <w:i/>
              </w:rPr>
              <w:t>’</w:t>
            </w:r>
            <w:r>
              <w:rPr>
                <w:i/>
              </w:rPr>
              <w:t xml:space="preserve">. The new measure better reflects the new operations of Safe Transport Victoria as a single multi-modal regulator. </w:t>
            </w:r>
          </w:p>
        </w:tc>
      </w:tr>
      <w:tr w:rsidR="00D171AD" w14:paraId="3DB586A6"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2B6E335F" w14:textId="34EB27D3" w:rsidR="00D171AD" w:rsidRDefault="00763EFB" w:rsidP="00763EFB">
            <w:pPr>
              <w:keepNext/>
              <w:spacing w:before="60"/>
            </w:pPr>
            <w:r>
              <w:rPr>
                <w:b/>
              </w:rPr>
              <w:t>LAND SERVICES</w:t>
            </w:r>
          </w:p>
        </w:tc>
      </w:tr>
      <w:tr w:rsidR="00C717EB" w14:paraId="3B3177D2"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C336834" w14:textId="7538E389" w:rsidR="00C717EB" w:rsidRPr="00C717EB" w:rsidRDefault="00C717EB" w:rsidP="00546581">
            <w:pPr>
              <w:rPr>
                <w:b/>
                <w:bCs/>
              </w:rPr>
            </w:pPr>
            <w:r w:rsidRPr="00C717EB">
              <w:rPr>
                <w:b/>
                <w:bCs/>
              </w:rPr>
              <w:t>Quality</w:t>
            </w:r>
          </w:p>
        </w:tc>
      </w:tr>
      <w:tr w:rsidR="00D171AD" w14:paraId="187491FE"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77FB5E8D" w14:textId="77777777" w:rsidR="00D171AD" w:rsidRDefault="00D171AD">
            <w:pPr>
              <w:keepNext/>
              <w:ind w:left="170"/>
            </w:pPr>
            <w:r>
              <w:t>Successful objection rate for rating authority valuations</w:t>
            </w:r>
          </w:p>
        </w:tc>
        <w:tc>
          <w:tcPr>
            <w:tcW w:w="964" w:type="dxa"/>
          </w:tcPr>
          <w:p w14:paraId="016735AC"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F82B111"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03CFD21D" w14:textId="77777777" w:rsidR="00D171AD" w:rsidRDefault="00D171AD">
            <w:pPr>
              <w:cnfStyle w:val="000000000000" w:firstRow="0" w:lastRow="0" w:firstColumn="0" w:lastColumn="0" w:oddVBand="0" w:evenVBand="0" w:oddHBand="0" w:evenHBand="0" w:firstRowFirstColumn="0" w:firstRowLastColumn="0" w:lastRowFirstColumn="0" w:lastRowLastColumn="0"/>
            </w:pPr>
            <w:r>
              <w:t>65</w:t>
            </w:r>
          </w:p>
        </w:tc>
        <w:tc>
          <w:tcPr>
            <w:tcW w:w="964" w:type="dxa"/>
          </w:tcPr>
          <w:p w14:paraId="56BC67FE" w14:textId="77777777" w:rsidR="00D171AD" w:rsidRDefault="00D171AD">
            <w:pPr>
              <w:cnfStyle w:val="000000000000" w:firstRow="0" w:lastRow="0" w:firstColumn="0" w:lastColumn="0" w:oddVBand="0" w:evenVBand="0" w:oddHBand="0" w:evenHBand="0" w:firstRowFirstColumn="0" w:firstRowLastColumn="0" w:lastRowFirstColumn="0" w:lastRowLastColumn="0"/>
            </w:pPr>
            <w:r>
              <w:t>50</w:t>
            </w:r>
          </w:p>
        </w:tc>
        <w:tc>
          <w:tcPr>
            <w:tcW w:w="964" w:type="dxa"/>
          </w:tcPr>
          <w:p w14:paraId="14EE63BA" w14:textId="77777777" w:rsidR="00D171AD" w:rsidRDefault="00D171AD">
            <w:pPr>
              <w:cnfStyle w:val="000000000000" w:firstRow="0" w:lastRow="0" w:firstColumn="0" w:lastColumn="0" w:oddVBand="0" w:evenVBand="0" w:oddHBand="0" w:evenHBand="0" w:firstRowFirstColumn="0" w:firstRowLastColumn="0" w:lastRowFirstColumn="0" w:lastRowLastColumn="0"/>
            </w:pPr>
            <w:r>
              <w:t>63</w:t>
            </w:r>
          </w:p>
        </w:tc>
      </w:tr>
      <w:tr w:rsidR="00D171AD" w14:paraId="11CA8355"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4B117253" w14:textId="77777777" w:rsidR="00D171AD" w:rsidRDefault="00D171AD">
            <w:pPr>
              <w:ind w:left="170"/>
            </w:pPr>
            <w:r>
              <w:rPr>
                <w:i/>
              </w:rPr>
              <w:t>The 2025-26 expected outcome is lower than the 2025-26 target due to changes in the property market affecting the number of valuation objections requiring review.</w:t>
            </w:r>
          </w:p>
          <w:p w14:paraId="775BA4B4" w14:textId="2B80C0DA" w:rsidR="00D171AD" w:rsidRDefault="00D171AD">
            <w:pPr>
              <w:ind w:left="170"/>
            </w:pPr>
            <w:r>
              <w:rPr>
                <w:i/>
              </w:rPr>
              <w:t xml:space="preserve">This performance measure is proposed to be discontinued and replaced with </w:t>
            </w:r>
            <w:r w:rsidR="00AD4833">
              <w:rPr>
                <w:i/>
              </w:rPr>
              <w:t>‘</w:t>
            </w:r>
            <w:r>
              <w:rPr>
                <w:i/>
              </w:rPr>
              <w:t>Percentage of property valuations within median sales tolerance</w:t>
            </w:r>
            <w:r w:rsidR="00AD4833">
              <w:rPr>
                <w:i/>
              </w:rPr>
              <w:t>’</w:t>
            </w:r>
            <w:r>
              <w:rPr>
                <w:i/>
              </w:rPr>
              <w:t xml:space="preserve"> to reflect alignment with actual property market sales.</w:t>
            </w:r>
          </w:p>
        </w:tc>
      </w:tr>
      <w:tr w:rsidR="00D171AD" w:rsidRPr="00C5731A" w14:paraId="712605EF"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211D03C3" w14:textId="77777777" w:rsidR="00D171AD" w:rsidRPr="00C5731A" w:rsidRDefault="00D171AD">
            <w:pPr>
              <w:keepNext/>
              <w:rPr>
                <w:b/>
              </w:rPr>
            </w:pPr>
            <w:r w:rsidRPr="00C5731A">
              <w:rPr>
                <w:b/>
              </w:rPr>
              <w:t>Timeliness</w:t>
            </w:r>
          </w:p>
        </w:tc>
      </w:tr>
      <w:tr w:rsidR="00D171AD" w14:paraId="0A1F5945"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5ABEA792" w14:textId="77777777" w:rsidR="00D171AD" w:rsidRDefault="00D171AD">
            <w:pPr>
              <w:keepNext/>
              <w:ind w:left="170"/>
            </w:pPr>
            <w:r>
              <w:t>Surveying plan requests processed within 90 days from lodgement</w:t>
            </w:r>
          </w:p>
        </w:tc>
        <w:tc>
          <w:tcPr>
            <w:tcW w:w="964" w:type="dxa"/>
          </w:tcPr>
          <w:p w14:paraId="5F2F6EB8"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9B76B26"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C9676A2" w14:textId="77777777" w:rsidR="00D171AD" w:rsidRDefault="00D171AD">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4351F8EC" w14:textId="77777777" w:rsidR="00D171AD" w:rsidRDefault="00D171AD">
            <w:pPr>
              <w:cnfStyle w:val="000000000000" w:firstRow="0" w:lastRow="0" w:firstColumn="0" w:lastColumn="0" w:oddVBand="0" w:evenVBand="0" w:oddHBand="0" w:evenHBand="0" w:firstRowFirstColumn="0" w:firstRowLastColumn="0" w:lastRowFirstColumn="0" w:lastRowLastColumn="0"/>
            </w:pPr>
            <w:r>
              <w:t>85</w:t>
            </w:r>
          </w:p>
        </w:tc>
        <w:tc>
          <w:tcPr>
            <w:tcW w:w="964" w:type="dxa"/>
          </w:tcPr>
          <w:p w14:paraId="3AC747EE" w14:textId="77777777" w:rsidR="00D171AD" w:rsidRDefault="00D171AD">
            <w:pPr>
              <w:cnfStyle w:val="000000000000" w:firstRow="0" w:lastRow="0" w:firstColumn="0" w:lastColumn="0" w:oddVBand="0" w:evenVBand="0" w:oddHBand="0" w:evenHBand="0" w:firstRowFirstColumn="0" w:firstRowLastColumn="0" w:lastRowFirstColumn="0" w:lastRowLastColumn="0"/>
            </w:pPr>
            <w:r>
              <w:t>92</w:t>
            </w:r>
          </w:p>
        </w:tc>
      </w:tr>
      <w:tr w:rsidR="00D171AD" w14:paraId="2DDA9B39"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FB05D71" w14:textId="77777777" w:rsidR="00D171AD" w:rsidRDefault="00D171AD">
            <w:pPr>
              <w:ind w:left="170"/>
            </w:pPr>
            <w:r>
              <w:rPr>
                <w:i/>
              </w:rPr>
              <w:t xml:space="preserve">The 2025-26 expected outcome is higher than the 2025-26 target due to process improvements. </w:t>
            </w:r>
          </w:p>
          <w:p w14:paraId="5BFDACCA" w14:textId="1612FDCC" w:rsidR="00D171AD" w:rsidRDefault="00D171AD">
            <w:pPr>
              <w:ind w:left="170"/>
            </w:pPr>
            <w:r>
              <w:rPr>
                <w:i/>
              </w:rPr>
              <w:t xml:space="preserve">This performance measure is proposed to be discontinued and replaced with </w:t>
            </w:r>
            <w:r w:rsidR="00AD4833">
              <w:rPr>
                <w:i/>
              </w:rPr>
              <w:t>‘</w:t>
            </w:r>
            <w:r>
              <w:rPr>
                <w:i/>
              </w:rPr>
              <w:t>Crown land survey plans examined and approved within 60 days</w:t>
            </w:r>
            <w:r w:rsidR="00AD4833">
              <w:rPr>
                <w:i/>
              </w:rPr>
              <w:t>’</w:t>
            </w:r>
            <w:r>
              <w:rPr>
                <w:i/>
              </w:rPr>
              <w:t xml:space="preserve"> to improve clarity and accurately reflect program requirements.</w:t>
            </w:r>
          </w:p>
        </w:tc>
      </w:tr>
      <w:tr w:rsidR="00D171AD" w:rsidRPr="00C5731A" w14:paraId="279881A1"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3681AB61" w14:textId="7D466A67" w:rsidR="00D171AD" w:rsidRPr="00C5731A" w:rsidRDefault="00C5731A" w:rsidP="00C5731A">
            <w:pPr>
              <w:keepNext/>
              <w:spacing w:before="60"/>
              <w:rPr>
                <w:b/>
              </w:rPr>
            </w:pPr>
            <w:r w:rsidRPr="00C5731A">
              <w:rPr>
                <w:b/>
              </w:rPr>
              <w:t>PORTS AND FREIGHT</w:t>
            </w:r>
          </w:p>
        </w:tc>
      </w:tr>
      <w:tr w:rsidR="00D171AD" w:rsidRPr="00C5731A" w14:paraId="5FE0F73B"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20B1CBB7" w14:textId="77777777" w:rsidR="00D171AD" w:rsidRPr="00C5731A" w:rsidRDefault="00D171AD">
            <w:pPr>
              <w:keepNext/>
              <w:rPr>
                <w:b/>
              </w:rPr>
            </w:pPr>
            <w:r w:rsidRPr="00C5731A">
              <w:rPr>
                <w:b/>
              </w:rPr>
              <w:t>Quantity</w:t>
            </w:r>
          </w:p>
        </w:tc>
      </w:tr>
      <w:tr w:rsidR="00D171AD" w14:paraId="5386ED97"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547984C6" w14:textId="77777777" w:rsidR="00D171AD" w:rsidRDefault="00D171AD">
            <w:pPr>
              <w:keepNext/>
              <w:ind w:left="170"/>
            </w:pPr>
            <w:r>
              <w:t>Containers transported under the Mode Shift Incentive Scheme</w:t>
            </w:r>
          </w:p>
        </w:tc>
        <w:tc>
          <w:tcPr>
            <w:tcW w:w="964" w:type="dxa"/>
          </w:tcPr>
          <w:p w14:paraId="54E780D0"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0458015"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154F7B46" w14:textId="77777777" w:rsidR="00D171AD" w:rsidRDefault="00D171AD">
            <w:pPr>
              <w:cnfStyle w:val="000000000000" w:firstRow="0" w:lastRow="0" w:firstColumn="0" w:lastColumn="0" w:oddVBand="0" w:evenVBand="0" w:oddHBand="0" w:evenHBand="0" w:firstRowFirstColumn="0" w:firstRowLastColumn="0" w:lastRowFirstColumn="0" w:lastRowLastColumn="0"/>
            </w:pPr>
            <w:r>
              <w:t>32 564</w:t>
            </w:r>
          </w:p>
        </w:tc>
        <w:tc>
          <w:tcPr>
            <w:tcW w:w="964" w:type="dxa"/>
          </w:tcPr>
          <w:p w14:paraId="2538F783" w14:textId="77777777" w:rsidR="00D171AD" w:rsidRDefault="00D171AD">
            <w:pPr>
              <w:cnfStyle w:val="000000000000" w:firstRow="0" w:lastRow="0" w:firstColumn="0" w:lastColumn="0" w:oddVBand="0" w:evenVBand="0" w:oddHBand="0" w:evenHBand="0" w:firstRowFirstColumn="0" w:firstRowLastColumn="0" w:lastRowFirstColumn="0" w:lastRowLastColumn="0"/>
            </w:pPr>
            <w:r>
              <w:t>42 508</w:t>
            </w:r>
          </w:p>
        </w:tc>
        <w:tc>
          <w:tcPr>
            <w:tcW w:w="964" w:type="dxa"/>
          </w:tcPr>
          <w:p w14:paraId="157C1038" w14:textId="77777777" w:rsidR="00D171AD" w:rsidRDefault="00D171AD">
            <w:pPr>
              <w:cnfStyle w:val="000000000000" w:firstRow="0" w:lastRow="0" w:firstColumn="0" w:lastColumn="0" w:oddVBand="0" w:evenVBand="0" w:oddHBand="0" w:evenHBand="0" w:firstRowFirstColumn="0" w:firstRowLastColumn="0" w:lastRowFirstColumn="0" w:lastRowLastColumn="0"/>
            </w:pPr>
            <w:r>
              <w:t>39 435</w:t>
            </w:r>
          </w:p>
        </w:tc>
      </w:tr>
      <w:tr w:rsidR="00D171AD" w14:paraId="44F5F277"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A558B00" w14:textId="77777777" w:rsidR="00D171AD" w:rsidRDefault="00D171AD">
            <w:pPr>
              <w:ind w:left="170"/>
            </w:pPr>
            <w:r>
              <w:rPr>
                <w:i/>
              </w:rPr>
              <w:t>The 2025-26 expected outcome is lower than the 2025-26 target due to rail line disruptions, drought conditions, weaker global trading conditions, and additional rail line occupations.</w:t>
            </w:r>
          </w:p>
          <w:p w14:paraId="3EC27457" w14:textId="77777777" w:rsidR="00D171AD" w:rsidRDefault="00D171AD">
            <w:pPr>
              <w:ind w:left="170"/>
            </w:pPr>
            <w:r>
              <w:rPr>
                <w:i/>
              </w:rPr>
              <w:t>This performance measure is proposed to be discontinued due to the completion of the program.</w:t>
            </w:r>
          </w:p>
        </w:tc>
      </w:tr>
      <w:tr w:rsidR="00D171AD" w14:paraId="5045E0CA" w14:textId="77777777" w:rsidTr="00C717EB">
        <w:tc>
          <w:tcPr>
            <w:cnfStyle w:val="001000000000" w:firstRow="0" w:lastRow="0" w:firstColumn="1" w:lastColumn="0" w:oddVBand="0" w:evenVBand="0" w:oddHBand="0" w:evenHBand="0" w:firstRowFirstColumn="0" w:firstRowLastColumn="0" w:lastRowFirstColumn="0" w:lastRowLastColumn="0"/>
            <w:tcW w:w="4819" w:type="dxa"/>
            <w:tcBorders>
              <w:top w:val="single" w:sz="6" w:space="0" w:color="auto"/>
            </w:tcBorders>
          </w:tcPr>
          <w:p w14:paraId="2A63964C" w14:textId="77777777" w:rsidR="00D171AD" w:rsidRDefault="00D171AD">
            <w:pPr>
              <w:keepNext/>
              <w:ind w:left="170"/>
            </w:pPr>
            <w:r>
              <w:t>Number of months per year average channel depth at Lakes Entrance meets standards</w:t>
            </w:r>
          </w:p>
        </w:tc>
        <w:tc>
          <w:tcPr>
            <w:tcW w:w="964" w:type="dxa"/>
            <w:tcBorders>
              <w:top w:val="single" w:sz="6" w:space="0" w:color="auto"/>
            </w:tcBorders>
          </w:tcPr>
          <w:p w14:paraId="4989BDFF"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tcBorders>
              <w:top w:val="single" w:sz="6" w:space="0" w:color="auto"/>
            </w:tcBorders>
            <w:shd w:val="clear" w:color="auto" w:fill="F0F0F0"/>
          </w:tcPr>
          <w:p w14:paraId="444AB80D" w14:textId="1BCFD286" w:rsidR="00D171AD" w:rsidRDefault="00F148DE">
            <w:pPr>
              <w:cnfStyle w:val="000000000000" w:firstRow="0" w:lastRow="0" w:firstColumn="0" w:lastColumn="0" w:oddVBand="0" w:evenVBand="0" w:oddHBand="0" w:evenHBand="0" w:firstRowFirstColumn="0" w:firstRowLastColumn="0" w:lastRowFirstColumn="0" w:lastRowLastColumn="0"/>
            </w:pPr>
            <w:r>
              <w:t>n.a.</w:t>
            </w:r>
          </w:p>
        </w:tc>
        <w:tc>
          <w:tcPr>
            <w:tcW w:w="964" w:type="dxa"/>
            <w:tcBorders>
              <w:top w:val="single" w:sz="6" w:space="0" w:color="auto"/>
            </w:tcBorders>
          </w:tcPr>
          <w:p w14:paraId="0183B174" w14:textId="77777777" w:rsidR="00D171AD" w:rsidRDefault="00D171AD">
            <w:pPr>
              <w:cnfStyle w:val="000000000000" w:firstRow="0" w:lastRow="0" w:firstColumn="0" w:lastColumn="0" w:oddVBand="0" w:evenVBand="0" w:oddHBand="0" w:evenHBand="0" w:firstRowFirstColumn="0" w:firstRowLastColumn="0" w:lastRowFirstColumn="0" w:lastRowLastColumn="0"/>
            </w:pPr>
            <w:r>
              <w:t>12</w:t>
            </w:r>
          </w:p>
        </w:tc>
        <w:tc>
          <w:tcPr>
            <w:tcW w:w="964" w:type="dxa"/>
            <w:tcBorders>
              <w:top w:val="single" w:sz="6" w:space="0" w:color="auto"/>
            </w:tcBorders>
          </w:tcPr>
          <w:p w14:paraId="343B63BE" w14:textId="77777777" w:rsidR="00D171AD" w:rsidRDefault="00D171AD">
            <w:pPr>
              <w:cnfStyle w:val="000000000000" w:firstRow="0" w:lastRow="0" w:firstColumn="0" w:lastColumn="0" w:oddVBand="0" w:evenVBand="0" w:oddHBand="0" w:evenHBand="0" w:firstRowFirstColumn="0" w:firstRowLastColumn="0" w:lastRowFirstColumn="0" w:lastRowLastColumn="0"/>
            </w:pPr>
            <w:r>
              <w:t>12</w:t>
            </w:r>
          </w:p>
        </w:tc>
        <w:tc>
          <w:tcPr>
            <w:tcW w:w="964" w:type="dxa"/>
            <w:tcBorders>
              <w:top w:val="single" w:sz="6" w:space="0" w:color="auto"/>
            </w:tcBorders>
          </w:tcPr>
          <w:p w14:paraId="656E3721" w14:textId="77777777" w:rsidR="00D171AD" w:rsidRDefault="00D171AD">
            <w:pPr>
              <w:cnfStyle w:val="000000000000" w:firstRow="0" w:lastRow="0" w:firstColumn="0" w:lastColumn="0" w:oddVBand="0" w:evenVBand="0" w:oddHBand="0" w:evenHBand="0" w:firstRowFirstColumn="0" w:firstRowLastColumn="0" w:lastRowFirstColumn="0" w:lastRowLastColumn="0"/>
            </w:pPr>
            <w:r>
              <w:t>12</w:t>
            </w:r>
          </w:p>
        </w:tc>
      </w:tr>
      <w:tr w:rsidR="00D171AD" w14:paraId="1EE11082"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23CD87D7" w14:textId="77777777" w:rsidR="00D171AD" w:rsidRDefault="00D171AD">
            <w:pPr>
              <w:ind w:firstLine="224"/>
            </w:pPr>
            <w:r>
              <w:rPr>
                <w:i/>
              </w:rPr>
              <w:t xml:space="preserve">This performance measure is proposed to be discontinued due to the completion of the program. </w:t>
            </w:r>
          </w:p>
        </w:tc>
      </w:tr>
      <w:tr w:rsidR="00D171AD" w:rsidRPr="00C5731A" w14:paraId="17D84709"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3B43170E" w14:textId="7522C570" w:rsidR="00D171AD" w:rsidRPr="00C5731A" w:rsidRDefault="00C5731A" w:rsidP="00C5731A">
            <w:pPr>
              <w:keepNext/>
              <w:spacing w:before="60"/>
              <w:rPr>
                <w:b/>
              </w:rPr>
            </w:pPr>
            <w:r w:rsidRPr="00C5731A">
              <w:rPr>
                <w:b/>
              </w:rPr>
              <w:t>PRECINCTS AND SUBURBS</w:t>
            </w:r>
          </w:p>
        </w:tc>
      </w:tr>
      <w:tr w:rsidR="00D171AD" w:rsidRPr="00C5731A" w14:paraId="63B6A703"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Pr>
          <w:p w14:paraId="5F29DAAA" w14:textId="77777777" w:rsidR="00D171AD" w:rsidRPr="00C5731A" w:rsidRDefault="00D171AD">
            <w:pPr>
              <w:keepNext/>
              <w:rPr>
                <w:b/>
              </w:rPr>
            </w:pPr>
            <w:r w:rsidRPr="00C5731A">
              <w:rPr>
                <w:b/>
              </w:rPr>
              <w:t>Quality</w:t>
            </w:r>
          </w:p>
        </w:tc>
      </w:tr>
      <w:tr w:rsidR="00D171AD" w14:paraId="74937507"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71321692" w14:textId="77777777" w:rsidR="00D171AD" w:rsidRDefault="00D171AD">
            <w:pPr>
              <w:keepNext/>
              <w:ind w:left="170"/>
            </w:pPr>
            <w:r>
              <w:t>Key stakeholders satisfied with the services provided in relation to precincts</w:t>
            </w:r>
          </w:p>
        </w:tc>
        <w:tc>
          <w:tcPr>
            <w:tcW w:w="964" w:type="dxa"/>
          </w:tcPr>
          <w:p w14:paraId="2998E23D"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692C1A18"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BF2060D" w14:textId="77777777" w:rsidR="00D171AD" w:rsidRDefault="00D171A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6EDEF9CF" w14:textId="77777777" w:rsidR="00D171AD" w:rsidRDefault="00D171AD">
            <w:pPr>
              <w:cnfStyle w:val="000000000000" w:firstRow="0" w:lastRow="0" w:firstColumn="0" w:lastColumn="0" w:oddVBand="0" w:evenVBand="0" w:oddHBand="0" w:evenHBand="0" w:firstRowFirstColumn="0" w:firstRowLastColumn="0" w:lastRowFirstColumn="0" w:lastRowLastColumn="0"/>
            </w:pPr>
            <w:r>
              <w:t>80</w:t>
            </w:r>
          </w:p>
        </w:tc>
        <w:tc>
          <w:tcPr>
            <w:tcW w:w="964" w:type="dxa"/>
          </w:tcPr>
          <w:p w14:paraId="7B227946" w14:textId="77777777" w:rsidR="00D171AD" w:rsidRDefault="00D171AD">
            <w:pPr>
              <w:cnfStyle w:val="000000000000" w:firstRow="0" w:lastRow="0" w:firstColumn="0" w:lastColumn="0" w:oddVBand="0" w:evenVBand="0" w:oddHBand="0" w:evenHBand="0" w:firstRowFirstColumn="0" w:firstRowLastColumn="0" w:lastRowFirstColumn="0" w:lastRowLastColumn="0"/>
            </w:pPr>
            <w:r>
              <w:t>75</w:t>
            </w:r>
          </w:p>
        </w:tc>
      </w:tr>
      <w:tr w:rsidR="00D171AD" w14:paraId="32E94484"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57FD7E75" w14:textId="77777777" w:rsidR="00D171AD" w:rsidRDefault="00D171AD">
            <w:pPr>
              <w:ind w:left="170"/>
            </w:pPr>
            <w:r>
              <w:rPr>
                <w:i/>
              </w:rPr>
              <w:t xml:space="preserve">This performance measure is proposed to be discontinued due to operational structure changes and a shift in strategic priorities, reflecting the maturing of high-priority precincts. </w:t>
            </w:r>
          </w:p>
        </w:tc>
      </w:tr>
      <w:tr w:rsidR="00D171AD" w:rsidRPr="00C5731A" w14:paraId="3AC1B8DC"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39F65904" w14:textId="5774F672" w:rsidR="00D171AD" w:rsidRPr="00C5731A" w:rsidRDefault="00C5731A" w:rsidP="00C5731A">
            <w:pPr>
              <w:keepNext/>
              <w:spacing w:before="60"/>
              <w:rPr>
                <w:b/>
              </w:rPr>
            </w:pPr>
            <w:r w:rsidRPr="00C5731A">
              <w:rPr>
                <w:b/>
              </w:rPr>
              <w:t>TRANSPORT INFRASTRUCTURE</w:t>
            </w:r>
          </w:p>
        </w:tc>
      </w:tr>
      <w:tr w:rsidR="00552AF9" w14:paraId="691E5E1C"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EA13295" w14:textId="63946ED6" w:rsidR="00552AF9" w:rsidRPr="00552AF9" w:rsidRDefault="00552AF9" w:rsidP="00546581">
            <w:pPr>
              <w:rPr>
                <w:b/>
                <w:bCs/>
              </w:rPr>
            </w:pPr>
            <w:r w:rsidRPr="00552AF9">
              <w:rPr>
                <w:b/>
                <w:bCs/>
              </w:rPr>
              <w:t>Quantity</w:t>
            </w:r>
          </w:p>
        </w:tc>
      </w:tr>
      <w:tr w:rsidR="00D171AD" w14:paraId="3A879A79" w14:textId="77777777" w:rsidTr="00C717EB">
        <w:tc>
          <w:tcPr>
            <w:cnfStyle w:val="001000000000" w:firstRow="0" w:lastRow="0" w:firstColumn="1" w:lastColumn="0" w:oddVBand="0" w:evenVBand="0" w:oddHBand="0" w:evenHBand="0" w:firstRowFirstColumn="0" w:firstRowLastColumn="0" w:lastRowFirstColumn="0" w:lastRowLastColumn="0"/>
            <w:tcW w:w="4819" w:type="dxa"/>
          </w:tcPr>
          <w:p w14:paraId="34DD918F" w14:textId="77777777" w:rsidR="00D171AD" w:rsidRDefault="00D171AD">
            <w:pPr>
              <w:keepNext/>
              <w:ind w:left="170"/>
            </w:pPr>
            <w:r>
              <w:t>Metro Tunnel Project – delivery: milestones delivered in accordance with agreed budget and timelines</w:t>
            </w:r>
          </w:p>
        </w:tc>
        <w:tc>
          <w:tcPr>
            <w:tcW w:w="964" w:type="dxa"/>
          </w:tcPr>
          <w:p w14:paraId="3325F949"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52D9334B"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191B2EA"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7D899FB5"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c>
          <w:tcPr>
            <w:tcW w:w="964" w:type="dxa"/>
          </w:tcPr>
          <w:p w14:paraId="23C0E7C1"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r>
      <w:tr w:rsidR="00D171AD" w14:paraId="078A8942" w14:textId="77777777" w:rsidTr="00C717EB">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F3DF91B" w14:textId="77777777" w:rsidR="00D171AD" w:rsidRDefault="00D171AD">
            <w:pPr>
              <w:ind w:left="170"/>
            </w:pPr>
            <w:r>
              <w:rPr>
                <w:i/>
              </w:rPr>
              <w:t xml:space="preserve">This performance measure is to be discontinued due to the completion of the program. </w:t>
            </w:r>
          </w:p>
        </w:tc>
      </w:tr>
      <w:tr w:rsidR="00D171AD" w14:paraId="71E035A4" w14:textId="77777777" w:rsidTr="004F120A">
        <w:tc>
          <w:tcPr>
            <w:cnfStyle w:val="001000000000" w:firstRow="0" w:lastRow="0" w:firstColumn="1" w:lastColumn="0" w:oddVBand="0" w:evenVBand="0" w:oddHBand="0" w:evenHBand="0" w:firstRowFirstColumn="0" w:firstRowLastColumn="0" w:lastRowFirstColumn="0" w:lastRowLastColumn="0"/>
            <w:tcW w:w="4819" w:type="dxa"/>
            <w:tcBorders>
              <w:bottom w:val="nil"/>
            </w:tcBorders>
          </w:tcPr>
          <w:p w14:paraId="68C0539C" w14:textId="77777777" w:rsidR="00D171AD" w:rsidRDefault="00D171AD">
            <w:pPr>
              <w:keepNext/>
              <w:ind w:left="170"/>
            </w:pPr>
            <w:r>
              <w:t>West Gate Tunnel Project – Milestones delivered in accordance with agreed budget and timelines</w:t>
            </w:r>
          </w:p>
        </w:tc>
        <w:tc>
          <w:tcPr>
            <w:tcW w:w="964" w:type="dxa"/>
            <w:tcBorders>
              <w:bottom w:val="nil"/>
            </w:tcBorders>
          </w:tcPr>
          <w:p w14:paraId="35546F13" w14:textId="77777777" w:rsidR="00D171AD" w:rsidRDefault="00D171AD">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tcBorders>
              <w:bottom w:val="nil"/>
            </w:tcBorders>
            <w:shd w:val="clear" w:color="auto" w:fill="F0F0F0"/>
          </w:tcPr>
          <w:p w14:paraId="0335F8DC" w14:textId="77777777" w:rsidR="00D171AD" w:rsidRDefault="00D171AD">
            <w:pPr>
              <w:cnfStyle w:val="000000000000" w:firstRow="0" w:lastRow="0" w:firstColumn="0" w:lastColumn="0" w:oddVBand="0" w:evenVBand="0" w:oddHBand="0" w:evenHBand="0" w:firstRowFirstColumn="0" w:firstRowLastColumn="0" w:lastRowFirstColumn="0" w:lastRowLastColumn="0"/>
            </w:pPr>
            <w:r>
              <w:t>n.a.</w:t>
            </w:r>
          </w:p>
        </w:tc>
        <w:tc>
          <w:tcPr>
            <w:tcW w:w="964" w:type="dxa"/>
            <w:tcBorders>
              <w:bottom w:val="nil"/>
            </w:tcBorders>
          </w:tcPr>
          <w:p w14:paraId="4898B1F0"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24EF2FDD"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c>
          <w:tcPr>
            <w:tcW w:w="964" w:type="dxa"/>
            <w:tcBorders>
              <w:bottom w:val="nil"/>
            </w:tcBorders>
          </w:tcPr>
          <w:p w14:paraId="070BFC71" w14:textId="77777777" w:rsidR="00D171AD" w:rsidRDefault="00D171AD">
            <w:pPr>
              <w:cnfStyle w:val="000000000000" w:firstRow="0" w:lastRow="0" w:firstColumn="0" w:lastColumn="0" w:oddVBand="0" w:evenVBand="0" w:oddHBand="0" w:evenHBand="0" w:firstRowFirstColumn="0" w:firstRowLastColumn="0" w:lastRowFirstColumn="0" w:lastRowLastColumn="0"/>
            </w:pPr>
            <w:r>
              <w:t>100</w:t>
            </w:r>
          </w:p>
        </w:tc>
      </w:tr>
      <w:tr w:rsidR="00D171AD" w14:paraId="070D0B90" w14:textId="77777777" w:rsidTr="004F120A">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4176D66E" w14:textId="77777777" w:rsidR="00D171AD" w:rsidRDefault="00D171AD">
            <w:pPr>
              <w:ind w:left="170"/>
            </w:pPr>
            <w:r>
              <w:rPr>
                <w:i/>
              </w:rPr>
              <w:t>This performance measure is to be discontinued due to the completion of the program.</w:t>
            </w:r>
          </w:p>
        </w:tc>
      </w:tr>
    </w:tbl>
    <w:p w14:paraId="1A813F5F" w14:textId="77777777" w:rsidR="00D171AD" w:rsidRDefault="00D171AD" w:rsidP="00D171AD">
      <w:pPr>
        <w:pStyle w:val="Source"/>
      </w:pPr>
      <w:r>
        <w:t>Source: Department of Transport and Planning</w:t>
      </w:r>
    </w:p>
    <w:p w14:paraId="56B4EC7B" w14:textId="77777777" w:rsidR="00796058" w:rsidRDefault="00796058" w:rsidP="00796058"/>
    <w:p w14:paraId="0DC73712" w14:textId="77777777" w:rsidR="00695D0B" w:rsidRDefault="00695D0B">
      <w:pPr>
        <w:keepLines w:val="0"/>
        <w:rPr>
          <w:rFonts w:asciiTheme="majorHAnsi" w:eastAsiaTheme="majorEastAsia" w:hAnsiTheme="majorHAnsi" w:cstheme="majorBidi"/>
          <w:b/>
          <w:caps/>
          <w:sz w:val="27"/>
          <w:szCs w:val="32"/>
        </w:rPr>
      </w:pPr>
      <w:r>
        <w:br w:type="page"/>
      </w:r>
    </w:p>
    <w:p w14:paraId="4130862E" w14:textId="0EC4D630" w:rsidR="00127EF6" w:rsidRDefault="00127EF6" w:rsidP="00706B7E">
      <w:pPr>
        <w:pStyle w:val="Heading1"/>
        <w:spacing w:after="180"/>
      </w:pPr>
      <w:bookmarkStart w:id="39" w:name="_Toc228288117"/>
      <w:r>
        <w:t>Department of Treasury and Finance</w:t>
      </w:r>
      <w:bookmarkEnd w:id="39"/>
    </w:p>
    <w:tbl>
      <w:tblPr>
        <w:tblStyle w:val="DTFTableNumeric"/>
        <w:tblW w:w="9639" w:type="dxa"/>
        <w:tblLayout w:type="fixed"/>
        <w:tblLook w:val="04A0" w:firstRow="1" w:lastRow="0" w:firstColumn="1" w:lastColumn="0" w:noHBand="0" w:noVBand="1"/>
      </w:tblPr>
      <w:tblGrid>
        <w:gridCol w:w="4819"/>
        <w:gridCol w:w="964"/>
        <w:gridCol w:w="964"/>
        <w:gridCol w:w="964"/>
        <w:gridCol w:w="964"/>
        <w:gridCol w:w="964"/>
      </w:tblGrid>
      <w:tr w:rsidR="00127EF6" w14:paraId="5C168E49" w14:textId="77777777" w:rsidTr="00222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Borders>
              <w:bottom w:val="single" w:sz="12" w:space="0" w:color="auto"/>
            </w:tcBorders>
          </w:tcPr>
          <w:p w14:paraId="7D987098" w14:textId="77777777" w:rsidR="00127EF6" w:rsidRDefault="00127EF6">
            <w:r>
              <w:t>Performance measure</w:t>
            </w:r>
          </w:p>
        </w:tc>
        <w:tc>
          <w:tcPr>
            <w:tcW w:w="964" w:type="dxa"/>
            <w:tcBorders>
              <w:bottom w:val="single" w:sz="12" w:space="0" w:color="auto"/>
            </w:tcBorders>
          </w:tcPr>
          <w:p w14:paraId="5C2467E9" w14:textId="77777777" w:rsidR="00127EF6" w:rsidRDefault="00127EF6">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Borders>
              <w:bottom w:val="single" w:sz="12" w:space="0" w:color="auto"/>
            </w:tcBorders>
          </w:tcPr>
          <w:p w14:paraId="7BB336AC" w14:textId="77777777" w:rsidR="00127EF6" w:rsidRDefault="00127EF6">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Borders>
              <w:bottom w:val="single" w:sz="12" w:space="0" w:color="auto"/>
            </w:tcBorders>
          </w:tcPr>
          <w:p w14:paraId="25456D4E"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Borders>
              <w:bottom w:val="single" w:sz="12" w:space="0" w:color="auto"/>
            </w:tcBorders>
          </w:tcPr>
          <w:p w14:paraId="737F16E2" w14:textId="77777777" w:rsidR="00127EF6" w:rsidRDefault="00127EF6">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Borders>
              <w:bottom w:val="single" w:sz="12" w:space="0" w:color="auto"/>
            </w:tcBorders>
          </w:tcPr>
          <w:p w14:paraId="6D9DDC3A" w14:textId="77777777" w:rsidR="00127EF6" w:rsidRDefault="00127EF6">
            <w:pPr>
              <w:cnfStyle w:val="100000000000" w:firstRow="1" w:lastRow="0" w:firstColumn="0" w:lastColumn="0" w:oddVBand="0" w:evenVBand="0" w:oddHBand="0" w:evenHBand="0" w:firstRowFirstColumn="0" w:firstRowLastColumn="0" w:lastRowFirstColumn="0" w:lastRowLastColumn="0"/>
            </w:pPr>
            <w:r>
              <w:t>2024-25 actual</w:t>
            </w:r>
          </w:p>
        </w:tc>
      </w:tr>
      <w:tr w:rsidR="00127EF6" w14:paraId="63ECDC92"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685D720A" w14:textId="06488AE6" w:rsidR="00127EF6" w:rsidRDefault="00235725">
            <w:pPr>
              <w:keepNext/>
            </w:pPr>
            <w:r>
              <w:rPr>
                <w:b/>
              </w:rPr>
              <w:t>REVENUE MANAGEMENT AND ADMINISTRATIVE SERVICES TO GOVERNMENT</w:t>
            </w:r>
          </w:p>
        </w:tc>
      </w:tr>
      <w:tr w:rsidR="00127EF6" w:rsidRPr="00235725" w14:paraId="1975ED41"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Pr>
          <w:p w14:paraId="10D6BF4F" w14:textId="77777777" w:rsidR="00127EF6" w:rsidRPr="00235725" w:rsidRDefault="00127EF6">
            <w:pPr>
              <w:keepNext/>
              <w:rPr>
                <w:b/>
                <w:bCs/>
                <w:iCs/>
              </w:rPr>
            </w:pPr>
            <w:r w:rsidRPr="00235725">
              <w:rPr>
                <w:b/>
                <w:bCs/>
                <w:iCs/>
              </w:rPr>
              <w:t>Quality</w:t>
            </w:r>
          </w:p>
        </w:tc>
      </w:tr>
      <w:tr w:rsidR="00127EF6" w14:paraId="6B5D322B" w14:textId="77777777" w:rsidTr="00222482">
        <w:tc>
          <w:tcPr>
            <w:cnfStyle w:val="001000000000" w:firstRow="0" w:lastRow="0" w:firstColumn="1" w:lastColumn="0" w:oddVBand="0" w:evenVBand="0" w:oddHBand="0" w:evenHBand="0" w:firstRowFirstColumn="0" w:firstRowLastColumn="0" w:lastRowFirstColumn="0" w:lastRowLastColumn="0"/>
            <w:tcW w:w="4819" w:type="dxa"/>
          </w:tcPr>
          <w:p w14:paraId="5C1B88E4" w14:textId="77777777" w:rsidR="00127EF6" w:rsidRDefault="00127EF6">
            <w:pPr>
              <w:keepNext/>
              <w:ind w:left="170"/>
            </w:pPr>
            <w:r>
              <w:t>Average debt over 12 months overdue as a percentage of overdue debt</w:t>
            </w:r>
          </w:p>
        </w:tc>
        <w:tc>
          <w:tcPr>
            <w:tcW w:w="964" w:type="dxa"/>
          </w:tcPr>
          <w:p w14:paraId="275F6819"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122955AF"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6C8E2CE" w14:textId="7E0A6F2A" w:rsidR="00127EF6" w:rsidRDefault="00127EF6">
            <w:pPr>
              <w:cnfStyle w:val="000000000000" w:firstRow="0" w:lastRow="0" w:firstColumn="0" w:lastColumn="0" w:oddVBand="0" w:evenVBand="0" w:oddHBand="0" w:evenHBand="0" w:firstRowFirstColumn="0" w:firstRowLastColumn="0" w:lastRowFirstColumn="0" w:lastRowLastColumn="0"/>
            </w:pPr>
            <w:r>
              <w:t>&gt;</w:t>
            </w:r>
            <w:r w:rsidR="007C1F5F">
              <w:t xml:space="preserve"> </w:t>
            </w:r>
            <w:r>
              <w:t>25</w:t>
            </w:r>
          </w:p>
        </w:tc>
        <w:tc>
          <w:tcPr>
            <w:tcW w:w="964" w:type="dxa"/>
          </w:tcPr>
          <w:p w14:paraId="73B1D692" w14:textId="77777777" w:rsidR="00127EF6" w:rsidRDefault="00127EF6">
            <w:pPr>
              <w:cnfStyle w:val="000000000000" w:firstRow="0" w:lastRow="0" w:firstColumn="0" w:lastColumn="0" w:oddVBand="0" w:evenVBand="0" w:oddHBand="0" w:evenHBand="0" w:firstRowFirstColumn="0" w:firstRowLastColumn="0" w:lastRowFirstColumn="0" w:lastRowLastColumn="0"/>
            </w:pPr>
            <w:r>
              <w:t>&lt; 25</w:t>
            </w:r>
          </w:p>
        </w:tc>
        <w:tc>
          <w:tcPr>
            <w:tcW w:w="964" w:type="dxa"/>
          </w:tcPr>
          <w:p w14:paraId="088181CC" w14:textId="77777777" w:rsidR="00127EF6" w:rsidRDefault="00127EF6">
            <w:pPr>
              <w:cnfStyle w:val="000000000000" w:firstRow="0" w:lastRow="0" w:firstColumn="0" w:lastColumn="0" w:oddVBand="0" w:evenVBand="0" w:oddHBand="0" w:evenHBand="0" w:firstRowFirstColumn="0" w:firstRowLastColumn="0" w:lastRowFirstColumn="0" w:lastRowLastColumn="0"/>
            </w:pPr>
            <w:r>
              <w:t>31</w:t>
            </w:r>
          </w:p>
        </w:tc>
      </w:tr>
      <w:tr w:rsidR="00127EF6" w14:paraId="399D7C0E"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715A8B43" w14:textId="26AF48B3" w:rsidR="00127EF6" w:rsidRDefault="00127EF6">
            <w:pPr>
              <w:ind w:left="170"/>
            </w:pPr>
            <w:r>
              <w:rPr>
                <w:i/>
              </w:rPr>
              <w:t>The 2025-26 expected outcome is higher than the 2025-26 target largely due to an increase in the customer base for a number of revenue lines and the impact of the current economic environment. Aged debt levels are being actively addressed by targeted debt reduction activities which have started to show a modest reduction in aged debt. The measure is proposed to be discontinued and replaced with ‘Average cases of debt over 12 months overdue as a percentage of average total cases of overdue debt’. It will measure the volume of aged debts to encourage resolution across both high and low value debts to ensure all taxpayers are treated fairly and equitably and encourage innovation and continuous improvement.</w:t>
            </w:r>
          </w:p>
        </w:tc>
      </w:tr>
      <w:tr w:rsidR="00127EF6" w14:paraId="2D469590"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69AD0285" w14:textId="66E4E7B4" w:rsidR="00127EF6" w:rsidRDefault="00235725" w:rsidP="00092DDF">
            <w:pPr>
              <w:keepNext/>
              <w:spacing w:before="60"/>
            </w:pPr>
            <w:r>
              <w:rPr>
                <w:b/>
              </w:rPr>
              <w:t>ECONOMIC REGULATORY SERVICES</w:t>
            </w:r>
          </w:p>
        </w:tc>
      </w:tr>
      <w:tr w:rsidR="00127EF6" w:rsidRPr="00235725" w14:paraId="655D67F6"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Pr>
          <w:p w14:paraId="07E488B6" w14:textId="77777777" w:rsidR="00127EF6" w:rsidRPr="00235725" w:rsidRDefault="00127EF6">
            <w:pPr>
              <w:keepNext/>
              <w:rPr>
                <w:b/>
                <w:bCs/>
                <w:iCs/>
              </w:rPr>
            </w:pPr>
            <w:r w:rsidRPr="00235725">
              <w:rPr>
                <w:b/>
                <w:bCs/>
                <w:iCs/>
              </w:rPr>
              <w:t>Quantity</w:t>
            </w:r>
          </w:p>
        </w:tc>
      </w:tr>
      <w:tr w:rsidR="00127EF6" w14:paraId="0BEB8158" w14:textId="77777777" w:rsidTr="00222482">
        <w:tc>
          <w:tcPr>
            <w:cnfStyle w:val="001000000000" w:firstRow="0" w:lastRow="0" w:firstColumn="1" w:lastColumn="0" w:oddVBand="0" w:evenVBand="0" w:oddHBand="0" w:evenHBand="0" w:firstRowFirstColumn="0" w:firstRowLastColumn="0" w:lastRowFirstColumn="0" w:lastRowLastColumn="0"/>
            <w:tcW w:w="4819" w:type="dxa"/>
          </w:tcPr>
          <w:p w14:paraId="4B6A2AE6" w14:textId="77777777" w:rsidR="00127EF6" w:rsidRDefault="00127EF6">
            <w:pPr>
              <w:keepNext/>
              <w:ind w:left="170"/>
            </w:pPr>
            <w:r>
              <w:t>Reviews, investigations or advisory projects</w:t>
            </w:r>
          </w:p>
        </w:tc>
        <w:tc>
          <w:tcPr>
            <w:tcW w:w="964" w:type="dxa"/>
          </w:tcPr>
          <w:p w14:paraId="42FC8DED"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6DDD84CD"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63CA627" w14:textId="77777777" w:rsidR="00127EF6" w:rsidRDefault="00127EF6">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3FBF25C5" w14:textId="77777777" w:rsidR="00127EF6" w:rsidRDefault="00127EF6">
            <w:pPr>
              <w:cnfStyle w:val="000000000000" w:firstRow="0" w:lastRow="0" w:firstColumn="0" w:lastColumn="0" w:oddVBand="0" w:evenVBand="0" w:oddHBand="0" w:evenHBand="0" w:firstRowFirstColumn="0" w:firstRowLastColumn="0" w:lastRowFirstColumn="0" w:lastRowLastColumn="0"/>
            </w:pPr>
            <w:r>
              <w:t>2</w:t>
            </w:r>
          </w:p>
        </w:tc>
        <w:tc>
          <w:tcPr>
            <w:tcW w:w="964" w:type="dxa"/>
          </w:tcPr>
          <w:p w14:paraId="2318DD38" w14:textId="77777777" w:rsidR="00127EF6" w:rsidRDefault="00127EF6">
            <w:pPr>
              <w:cnfStyle w:val="000000000000" w:firstRow="0" w:lastRow="0" w:firstColumn="0" w:lastColumn="0" w:oddVBand="0" w:evenVBand="0" w:oddHBand="0" w:evenHBand="0" w:firstRowFirstColumn="0" w:firstRowLastColumn="0" w:lastRowFirstColumn="0" w:lastRowLastColumn="0"/>
            </w:pPr>
            <w:r>
              <w:t>3</w:t>
            </w:r>
          </w:p>
        </w:tc>
      </w:tr>
      <w:tr w:rsidR="00127EF6" w14:paraId="422C204E"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64CDB1D5" w14:textId="56B15654" w:rsidR="00127EF6" w:rsidRDefault="00127EF6">
            <w:pPr>
              <w:ind w:left="170"/>
            </w:pPr>
            <w:r>
              <w:rPr>
                <w:i/>
              </w:rPr>
              <w:t xml:space="preserve">This measure is proposed to be discontinued as these functions have been discontinued as a result of the </w:t>
            </w:r>
            <w:r w:rsidRPr="00473477">
              <w:t xml:space="preserve">Entities Legislation Amendment (Consolidation and Other Matters) </w:t>
            </w:r>
            <w:r w:rsidRPr="00473477">
              <w:rPr>
                <w:iCs/>
              </w:rPr>
              <w:t>Act 2026</w:t>
            </w:r>
            <w:r>
              <w:rPr>
                <w:i/>
              </w:rPr>
              <w:t xml:space="preserve"> and no longer reflects the Essential Services Commission’s forward responsibilities.</w:t>
            </w:r>
          </w:p>
        </w:tc>
      </w:tr>
      <w:tr w:rsidR="00127EF6" w14:paraId="7F5FF649"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12" w:space="0" w:color="auto"/>
            </w:tcBorders>
          </w:tcPr>
          <w:p w14:paraId="31E027B4" w14:textId="1B27BE1D" w:rsidR="00127EF6" w:rsidRDefault="00235725">
            <w:pPr>
              <w:keepNext/>
            </w:pPr>
            <w:r>
              <w:rPr>
                <w:b/>
              </w:rPr>
              <w:t>COMMERCIAL AND INFRASTRUCTURE ADVICE</w:t>
            </w:r>
          </w:p>
        </w:tc>
      </w:tr>
      <w:tr w:rsidR="00222482" w14:paraId="1CB6AE4E"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446018F" w14:textId="15359267" w:rsidR="00222482" w:rsidRPr="00222482" w:rsidRDefault="00222482" w:rsidP="00092DDF">
            <w:pPr>
              <w:keepNext/>
              <w:rPr>
                <w:b/>
                <w:bCs/>
              </w:rPr>
            </w:pPr>
            <w:r w:rsidRPr="00222482">
              <w:rPr>
                <w:b/>
                <w:bCs/>
              </w:rPr>
              <w:t>Quantity</w:t>
            </w:r>
          </w:p>
        </w:tc>
      </w:tr>
      <w:tr w:rsidR="00127EF6" w14:paraId="6846A365" w14:textId="77777777" w:rsidTr="00222482">
        <w:tc>
          <w:tcPr>
            <w:cnfStyle w:val="001000000000" w:firstRow="0" w:lastRow="0" w:firstColumn="1" w:lastColumn="0" w:oddVBand="0" w:evenVBand="0" w:oddHBand="0" w:evenHBand="0" w:firstRowFirstColumn="0" w:firstRowLastColumn="0" w:lastRowFirstColumn="0" w:lastRowLastColumn="0"/>
            <w:tcW w:w="4819" w:type="dxa"/>
          </w:tcPr>
          <w:p w14:paraId="1F783CD1" w14:textId="1A24DA76" w:rsidR="00127EF6" w:rsidRDefault="00127EF6">
            <w:pPr>
              <w:keepNext/>
              <w:ind w:left="170"/>
            </w:pPr>
            <w:r>
              <w:t>Home purchases settled through the Victorian Homebuyer Fund</w:t>
            </w:r>
          </w:p>
        </w:tc>
        <w:tc>
          <w:tcPr>
            <w:tcW w:w="964" w:type="dxa"/>
          </w:tcPr>
          <w:p w14:paraId="62C1DFC9"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42B31542"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B436CC0" w14:textId="77777777" w:rsidR="00127EF6" w:rsidRDefault="00127EF6">
            <w:pPr>
              <w:cnfStyle w:val="000000000000" w:firstRow="0" w:lastRow="0" w:firstColumn="0" w:lastColumn="0" w:oddVBand="0" w:evenVBand="0" w:oddHBand="0" w:evenHBand="0" w:firstRowFirstColumn="0" w:firstRowLastColumn="0" w:lastRowFirstColumn="0" w:lastRowLastColumn="0"/>
            </w:pPr>
            <w:r>
              <w:t>1 900</w:t>
            </w:r>
          </w:p>
        </w:tc>
        <w:tc>
          <w:tcPr>
            <w:tcW w:w="964" w:type="dxa"/>
          </w:tcPr>
          <w:p w14:paraId="14AFF18C" w14:textId="77777777" w:rsidR="00127EF6" w:rsidRDefault="00127EF6">
            <w:pPr>
              <w:cnfStyle w:val="000000000000" w:firstRow="0" w:lastRow="0" w:firstColumn="0" w:lastColumn="0" w:oddVBand="0" w:evenVBand="0" w:oddHBand="0" w:evenHBand="0" w:firstRowFirstColumn="0" w:firstRowLastColumn="0" w:lastRowFirstColumn="0" w:lastRowLastColumn="0"/>
            </w:pPr>
            <w:r>
              <w:t>600</w:t>
            </w:r>
          </w:p>
        </w:tc>
        <w:tc>
          <w:tcPr>
            <w:tcW w:w="964" w:type="dxa"/>
          </w:tcPr>
          <w:p w14:paraId="3CD23BA3" w14:textId="77777777" w:rsidR="00127EF6" w:rsidRDefault="00127EF6">
            <w:pPr>
              <w:cnfStyle w:val="000000000000" w:firstRow="0" w:lastRow="0" w:firstColumn="0" w:lastColumn="0" w:oddVBand="0" w:evenVBand="0" w:oddHBand="0" w:evenHBand="0" w:firstRowFirstColumn="0" w:firstRowLastColumn="0" w:lastRowFirstColumn="0" w:lastRowLastColumn="0"/>
            </w:pPr>
            <w:r>
              <w:t>4 688</w:t>
            </w:r>
          </w:p>
        </w:tc>
      </w:tr>
      <w:tr w:rsidR="00127EF6" w14:paraId="1E19B763"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78F748F5" w14:textId="77777777" w:rsidR="00127EF6" w:rsidRDefault="00127EF6">
            <w:pPr>
              <w:ind w:left="170"/>
            </w:pPr>
            <w:r>
              <w:rPr>
                <w:i/>
              </w:rPr>
              <w:t>The 2025-26 expected outcome is higher than the 2025-26 target due to consistently strong demand for the scheme which was accelerated due to the closure of the scheme to new applications in September 2025. Settlements for home purchases through the VHF for existing applicants will continue until early September 2026.</w:t>
            </w:r>
          </w:p>
          <w:p w14:paraId="41B6D517" w14:textId="77777777" w:rsidR="00127EF6" w:rsidRDefault="00127EF6">
            <w:pPr>
              <w:ind w:left="170"/>
            </w:pPr>
            <w:r>
              <w:rPr>
                <w:i/>
              </w:rPr>
              <w:t>The measure is proposed to be discontinued as the Victorian Homebuyer Fund closed to new applications on 10 September 2025, having exhausted its funding allocation. The majority of provisional approvals are expected to be settled during 2025-26.</w:t>
            </w:r>
          </w:p>
        </w:tc>
      </w:tr>
      <w:tr w:rsidR="00127EF6" w14:paraId="39D76DDE" w14:textId="77777777" w:rsidTr="00222482">
        <w:tc>
          <w:tcPr>
            <w:cnfStyle w:val="001000000000" w:firstRow="0" w:lastRow="0" w:firstColumn="1" w:lastColumn="0" w:oddVBand="0" w:evenVBand="0" w:oddHBand="0" w:evenHBand="0" w:firstRowFirstColumn="0" w:firstRowLastColumn="0" w:lastRowFirstColumn="0" w:lastRowLastColumn="0"/>
            <w:tcW w:w="4819" w:type="dxa"/>
          </w:tcPr>
          <w:p w14:paraId="5B9D173F" w14:textId="77777777" w:rsidR="00127EF6" w:rsidRDefault="00127EF6">
            <w:pPr>
              <w:keepNext/>
              <w:ind w:left="170"/>
            </w:pPr>
            <w:r>
              <w:t>Social and Affordable Housing dwellings committed by the Social Housing Growth Fund Grants Program</w:t>
            </w:r>
          </w:p>
        </w:tc>
        <w:tc>
          <w:tcPr>
            <w:tcW w:w="964" w:type="dxa"/>
          </w:tcPr>
          <w:p w14:paraId="3491B443" w14:textId="77777777" w:rsidR="00127EF6" w:rsidRDefault="00127EF6">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54BD4927" w14:textId="77777777" w:rsidR="00127EF6" w:rsidRDefault="00127EF6">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7CAC3CB3" w14:textId="77777777" w:rsidR="00127EF6" w:rsidRDefault="00127EF6">
            <w:pPr>
              <w:cnfStyle w:val="000000000000" w:firstRow="0" w:lastRow="0" w:firstColumn="0" w:lastColumn="0" w:oddVBand="0" w:evenVBand="0" w:oddHBand="0" w:evenHBand="0" w:firstRowFirstColumn="0" w:firstRowLastColumn="0" w:lastRowFirstColumn="0" w:lastRowLastColumn="0"/>
            </w:pPr>
            <w:r>
              <w:t>1 300</w:t>
            </w:r>
          </w:p>
        </w:tc>
        <w:tc>
          <w:tcPr>
            <w:tcW w:w="964" w:type="dxa"/>
          </w:tcPr>
          <w:p w14:paraId="76A18F91" w14:textId="77777777" w:rsidR="00127EF6" w:rsidRDefault="00127EF6">
            <w:pPr>
              <w:cnfStyle w:val="000000000000" w:firstRow="0" w:lastRow="0" w:firstColumn="0" w:lastColumn="0" w:oddVBand="0" w:evenVBand="0" w:oddHBand="0" w:evenHBand="0" w:firstRowFirstColumn="0" w:firstRowLastColumn="0" w:lastRowFirstColumn="0" w:lastRowLastColumn="0"/>
            </w:pPr>
            <w:r>
              <w:t>1 300</w:t>
            </w:r>
          </w:p>
        </w:tc>
        <w:tc>
          <w:tcPr>
            <w:tcW w:w="964" w:type="dxa"/>
          </w:tcPr>
          <w:p w14:paraId="2F0DA749" w14:textId="77777777" w:rsidR="00127EF6" w:rsidRDefault="00127EF6">
            <w:pPr>
              <w:cnfStyle w:val="000000000000" w:firstRow="0" w:lastRow="0" w:firstColumn="0" w:lastColumn="0" w:oddVBand="0" w:evenVBand="0" w:oddHBand="0" w:evenHBand="0" w:firstRowFirstColumn="0" w:firstRowLastColumn="0" w:lastRowFirstColumn="0" w:lastRowLastColumn="0"/>
            </w:pPr>
            <w:r>
              <w:t>532</w:t>
            </w:r>
          </w:p>
        </w:tc>
      </w:tr>
      <w:tr w:rsidR="00127EF6" w14:paraId="19C7410B" w14:textId="77777777" w:rsidTr="00222482">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189EA907" w14:textId="77777777" w:rsidR="00127EF6" w:rsidRDefault="00127EF6">
            <w:pPr>
              <w:ind w:left="170"/>
            </w:pPr>
            <w:r>
              <w:rPr>
                <w:i/>
              </w:rPr>
              <w:t>The measure is proposed to be discontinued as the Social Housing Growth Fund Grants Program is funded by the Big Housing Build and is expected to be fully expended in 2025-26.</w:t>
            </w:r>
          </w:p>
        </w:tc>
      </w:tr>
    </w:tbl>
    <w:p w14:paraId="0C171220" w14:textId="39EE5832" w:rsidR="00127EF6" w:rsidRDefault="00A47EB3" w:rsidP="005314E1">
      <w:pPr>
        <w:pStyle w:val="Source"/>
      </w:pPr>
      <w:r>
        <w:t>Source: Department of Treasury and Finance</w:t>
      </w:r>
    </w:p>
    <w:p w14:paraId="23E70593" w14:textId="77777777" w:rsidR="00127EF6" w:rsidRDefault="00127EF6" w:rsidP="005122F0"/>
    <w:p w14:paraId="24F45D77" w14:textId="77777777" w:rsidR="00695D0B" w:rsidRDefault="00695D0B">
      <w:pPr>
        <w:keepLines w:val="0"/>
        <w:rPr>
          <w:rFonts w:asciiTheme="majorHAnsi" w:eastAsiaTheme="majorEastAsia" w:hAnsiTheme="majorHAnsi" w:cstheme="majorBidi"/>
          <w:b/>
          <w:caps/>
          <w:sz w:val="27"/>
          <w:szCs w:val="32"/>
        </w:rPr>
      </w:pPr>
      <w:r>
        <w:br w:type="page"/>
      </w:r>
    </w:p>
    <w:p w14:paraId="5545272B" w14:textId="3059AE61" w:rsidR="009A32BB" w:rsidRDefault="009A32BB" w:rsidP="00706B7E">
      <w:pPr>
        <w:pStyle w:val="Heading1"/>
        <w:spacing w:after="180"/>
      </w:pPr>
      <w:bookmarkStart w:id="40" w:name="_Toc228288118"/>
      <w:r>
        <w:t>Victorian Ombudsman</w:t>
      </w:r>
      <w:bookmarkEnd w:id="40"/>
    </w:p>
    <w:tbl>
      <w:tblPr>
        <w:tblStyle w:val="DTFTableNumeric"/>
        <w:tblW w:w="0" w:type="auto"/>
        <w:tblLayout w:type="fixed"/>
        <w:tblLook w:val="04A0" w:firstRow="1" w:lastRow="0" w:firstColumn="1" w:lastColumn="0" w:noHBand="0" w:noVBand="1"/>
      </w:tblPr>
      <w:tblGrid>
        <w:gridCol w:w="4819"/>
        <w:gridCol w:w="964"/>
        <w:gridCol w:w="964"/>
        <w:gridCol w:w="964"/>
        <w:gridCol w:w="964"/>
        <w:gridCol w:w="964"/>
      </w:tblGrid>
      <w:tr w:rsidR="009A32BB" w14:paraId="6E23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9" w:type="dxa"/>
          </w:tcPr>
          <w:p w14:paraId="58FC80B9" w14:textId="77777777" w:rsidR="009A32BB" w:rsidRDefault="009A32BB">
            <w:r>
              <w:t>Performance measure</w:t>
            </w:r>
          </w:p>
        </w:tc>
        <w:tc>
          <w:tcPr>
            <w:tcW w:w="964" w:type="dxa"/>
          </w:tcPr>
          <w:p w14:paraId="69E32CD2" w14:textId="77777777" w:rsidR="009A32BB" w:rsidRDefault="009A32BB">
            <w:pPr>
              <w:jc w:val="center"/>
              <w:cnfStyle w:val="100000000000" w:firstRow="1" w:lastRow="0" w:firstColumn="0" w:lastColumn="0" w:oddVBand="0" w:evenVBand="0" w:oddHBand="0" w:evenHBand="0" w:firstRowFirstColumn="0" w:firstRowLastColumn="0" w:lastRowFirstColumn="0" w:lastRowLastColumn="0"/>
            </w:pPr>
            <w:r>
              <w:t>Unit of measure</w:t>
            </w:r>
          </w:p>
        </w:tc>
        <w:tc>
          <w:tcPr>
            <w:tcW w:w="964" w:type="dxa"/>
          </w:tcPr>
          <w:p w14:paraId="4B3B588B" w14:textId="77777777" w:rsidR="009A32BB" w:rsidRDefault="009A32BB">
            <w:pPr>
              <w:cnfStyle w:val="100000000000" w:firstRow="1" w:lastRow="0" w:firstColumn="0" w:lastColumn="0" w:oddVBand="0" w:evenVBand="0" w:oddHBand="0" w:evenHBand="0" w:firstRowFirstColumn="0" w:firstRowLastColumn="0" w:lastRowFirstColumn="0" w:lastRowLastColumn="0"/>
            </w:pPr>
            <w:r>
              <w:t>2026-27 target</w:t>
            </w:r>
          </w:p>
        </w:tc>
        <w:tc>
          <w:tcPr>
            <w:tcW w:w="964" w:type="dxa"/>
          </w:tcPr>
          <w:p w14:paraId="3EC0A7AF" w14:textId="77777777" w:rsidR="009A32BB" w:rsidRDefault="009A32BB">
            <w:pPr>
              <w:cnfStyle w:val="100000000000" w:firstRow="1" w:lastRow="0" w:firstColumn="0" w:lastColumn="0" w:oddVBand="0" w:evenVBand="0" w:oddHBand="0" w:evenHBand="0" w:firstRowFirstColumn="0" w:firstRowLastColumn="0" w:lastRowFirstColumn="0" w:lastRowLastColumn="0"/>
            </w:pPr>
            <w:r>
              <w:t>2025-26 expected outcome</w:t>
            </w:r>
          </w:p>
        </w:tc>
        <w:tc>
          <w:tcPr>
            <w:tcW w:w="964" w:type="dxa"/>
          </w:tcPr>
          <w:p w14:paraId="7FEDC095" w14:textId="77777777" w:rsidR="009A32BB" w:rsidRDefault="009A32BB">
            <w:pPr>
              <w:cnfStyle w:val="100000000000" w:firstRow="1" w:lastRow="0" w:firstColumn="0" w:lastColumn="0" w:oddVBand="0" w:evenVBand="0" w:oddHBand="0" w:evenHBand="0" w:firstRowFirstColumn="0" w:firstRowLastColumn="0" w:lastRowFirstColumn="0" w:lastRowLastColumn="0"/>
            </w:pPr>
            <w:r>
              <w:t>2025-26 target</w:t>
            </w:r>
          </w:p>
        </w:tc>
        <w:tc>
          <w:tcPr>
            <w:tcW w:w="964" w:type="dxa"/>
          </w:tcPr>
          <w:p w14:paraId="5F02166D" w14:textId="77777777" w:rsidR="009A32BB" w:rsidRDefault="009A32BB">
            <w:pPr>
              <w:cnfStyle w:val="100000000000" w:firstRow="1" w:lastRow="0" w:firstColumn="0" w:lastColumn="0" w:oddVBand="0" w:evenVBand="0" w:oddHBand="0" w:evenHBand="0" w:firstRowFirstColumn="0" w:firstRowLastColumn="0" w:lastRowFirstColumn="0" w:lastRowLastColumn="0"/>
            </w:pPr>
            <w:r>
              <w:t>2024-25 actual</w:t>
            </w:r>
          </w:p>
        </w:tc>
      </w:tr>
      <w:tr w:rsidR="009A32BB" w:rsidRPr="00171F37" w14:paraId="59C838FA"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5B9AB96C" w14:textId="77777777" w:rsidR="009A32BB" w:rsidRPr="00171F37" w:rsidRDefault="009A32BB">
            <w:pPr>
              <w:keepNext/>
              <w:rPr>
                <w:b/>
                <w:bCs/>
                <w:iCs/>
              </w:rPr>
            </w:pPr>
            <w:r w:rsidRPr="00171F37">
              <w:rPr>
                <w:b/>
                <w:bCs/>
                <w:iCs/>
              </w:rPr>
              <w:t>Quantity</w:t>
            </w:r>
          </w:p>
        </w:tc>
      </w:tr>
      <w:tr w:rsidR="009A32BB" w14:paraId="2D7C0A90" w14:textId="77777777">
        <w:tc>
          <w:tcPr>
            <w:cnfStyle w:val="001000000000" w:firstRow="0" w:lastRow="0" w:firstColumn="1" w:lastColumn="0" w:oddVBand="0" w:evenVBand="0" w:oddHBand="0" w:evenHBand="0" w:firstRowFirstColumn="0" w:firstRowLastColumn="0" w:lastRowFirstColumn="0" w:lastRowLastColumn="0"/>
            <w:tcW w:w="4819" w:type="dxa"/>
          </w:tcPr>
          <w:p w14:paraId="713EB95E" w14:textId="77777777" w:rsidR="009A32BB" w:rsidRDefault="009A32BB">
            <w:pPr>
              <w:keepNext/>
              <w:ind w:left="170"/>
            </w:pPr>
            <w:r>
              <w:t>Jurisdictional cases that lead to an agreed improvement (e.g., practice / policy / law reform, remedial / rectification / mitigation action)</w:t>
            </w:r>
          </w:p>
        </w:tc>
        <w:tc>
          <w:tcPr>
            <w:tcW w:w="964" w:type="dxa"/>
          </w:tcPr>
          <w:p w14:paraId="0E5A303B" w14:textId="77777777" w:rsidR="009A32BB" w:rsidRDefault="009A32BB">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34F8FC42" w14:textId="77777777" w:rsidR="009A32BB" w:rsidRDefault="009A32BB">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4EF24BFD" w14:textId="77777777" w:rsidR="009A32BB" w:rsidRDefault="009A32BB">
            <w:pPr>
              <w:cnfStyle w:val="000000000000" w:firstRow="0" w:lastRow="0" w:firstColumn="0" w:lastColumn="0" w:oddVBand="0" w:evenVBand="0" w:oddHBand="0" w:evenHBand="0" w:firstRowFirstColumn="0" w:firstRowLastColumn="0" w:lastRowFirstColumn="0" w:lastRowLastColumn="0"/>
            </w:pPr>
            <w:r>
              <w:t>82.5</w:t>
            </w:r>
          </w:p>
        </w:tc>
        <w:tc>
          <w:tcPr>
            <w:tcW w:w="964" w:type="dxa"/>
          </w:tcPr>
          <w:p w14:paraId="405A04D9" w14:textId="77777777" w:rsidR="009A32BB" w:rsidRDefault="009A32BB">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5878CDCD" w14:textId="77777777" w:rsidR="009A32BB" w:rsidRDefault="009A32BB">
            <w:pPr>
              <w:cnfStyle w:val="000000000000" w:firstRow="0" w:lastRow="0" w:firstColumn="0" w:lastColumn="0" w:oddVBand="0" w:evenVBand="0" w:oddHBand="0" w:evenHBand="0" w:firstRowFirstColumn="0" w:firstRowLastColumn="0" w:lastRowFirstColumn="0" w:lastRowLastColumn="0"/>
            </w:pPr>
            <w:r>
              <w:t>77</w:t>
            </w:r>
          </w:p>
        </w:tc>
      </w:tr>
      <w:tr w:rsidR="009A32BB" w14:paraId="1464D223"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0AAE0F08" w14:textId="77777777" w:rsidR="009A32BB" w:rsidRDefault="009A32BB">
            <w:pPr>
              <w:ind w:left="170"/>
            </w:pPr>
            <w:r>
              <w:rPr>
                <w:i/>
              </w:rPr>
              <w:t>The 2025-26 expected outcome is higher than the 2025-26 target because of effective relationships and constructive exchanges between VO staff and respondent agencies.</w:t>
            </w:r>
          </w:p>
          <w:p w14:paraId="52835BC7" w14:textId="77777777" w:rsidR="009A32BB" w:rsidRDefault="009A32BB">
            <w:pPr>
              <w:ind w:left="170"/>
            </w:pPr>
            <w:r>
              <w:rPr>
                <w:i/>
              </w:rPr>
              <w:t>This performance measure is proposed to be discontinued as it is no longer relevant as an output measure.</w:t>
            </w:r>
          </w:p>
        </w:tc>
      </w:tr>
      <w:tr w:rsidR="009A32BB" w14:paraId="22BF6497" w14:textId="77777777">
        <w:tc>
          <w:tcPr>
            <w:cnfStyle w:val="001000000000" w:firstRow="0" w:lastRow="0" w:firstColumn="1" w:lastColumn="0" w:oddVBand="0" w:evenVBand="0" w:oddHBand="0" w:evenHBand="0" w:firstRowFirstColumn="0" w:firstRowLastColumn="0" w:lastRowFirstColumn="0" w:lastRowLastColumn="0"/>
            <w:tcW w:w="4819" w:type="dxa"/>
          </w:tcPr>
          <w:p w14:paraId="7ADE5151" w14:textId="77777777" w:rsidR="009A32BB" w:rsidRDefault="009A32BB">
            <w:pPr>
              <w:keepNext/>
              <w:ind w:left="170"/>
            </w:pPr>
            <w:r>
              <w:t>Number of jurisdictional cases opened</w:t>
            </w:r>
          </w:p>
        </w:tc>
        <w:tc>
          <w:tcPr>
            <w:tcW w:w="964" w:type="dxa"/>
          </w:tcPr>
          <w:p w14:paraId="3DE29101" w14:textId="77777777" w:rsidR="009A32BB" w:rsidRDefault="009A32BB">
            <w:pPr>
              <w:jc w:val="center"/>
              <w:cnfStyle w:val="000000000000" w:firstRow="0" w:lastRow="0" w:firstColumn="0" w:lastColumn="0" w:oddVBand="0" w:evenVBand="0" w:oddHBand="0" w:evenHBand="0" w:firstRowFirstColumn="0" w:firstRowLastColumn="0" w:lastRowFirstColumn="0" w:lastRowLastColumn="0"/>
            </w:pPr>
            <w:r>
              <w:t>number</w:t>
            </w:r>
          </w:p>
        </w:tc>
        <w:tc>
          <w:tcPr>
            <w:tcW w:w="964" w:type="dxa"/>
            <w:shd w:val="clear" w:color="auto" w:fill="F0F0F0"/>
          </w:tcPr>
          <w:p w14:paraId="37E1A184" w14:textId="77777777" w:rsidR="009A32BB" w:rsidRDefault="009A32BB">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65FE09BC" w14:textId="77777777" w:rsidR="009A32BB" w:rsidRDefault="009A32BB">
            <w:pPr>
              <w:cnfStyle w:val="000000000000" w:firstRow="0" w:lastRow="0" w:firstColumn="0" w:lastColumn="0" w:oddVBand="0" w:evenVBand="0" w:oddHBand="0" w:evenHBand="0" w:firstRowFirstColumn="0" w:firstRowLastColumn="0" w:lastRowFirstColumn="0" w:lastRowLastColumn="0"/>
            </w:pPr>
            <w:r>
              <w:t>17 700</w:t>
            </w:r>
          </w:p>
        </w:tc>
        <w:tc>
          <w:tcPr>
            <w:tcW w:w="964" w:type="dxa"/>
          </w:tcPr>
          <w:p w14:paraId="5DC867C2" w14:textId="77777777" w:rsidR="009A32BB" w:rsidRDefault="009A32BB">
            <w:pPr>
              <w:cnfStyle w:val="000000000000" w:firstRow="0" w:lastRow="0" w:firstColumn="0" w:lastColumn="0" w:oddVBand="0" w:evenVBand="0" w:oddHBand="0" w:evenHBand="0" w:firstRowFirstColumn="0" w:firstRowLastColumn="0" w:lastRowFirstColumn="0" w:lastRowLastColumn="0"/>
            </w:pPr>
            <w:r>
              <w:t>18 000</w:t>
            </w:r>
          </w:p>
        </w:tc>
        <w:tc>
          <w:tcPr>
            <w:tcW w:w="964" w:type="dxa"/>
          </w:tcPr>
          <w:p w14:paraId="6C415DFB" w14:textId="77777777" w:rsidR="009A32BB" w:rsidRDefault="009A32BB">
            <w:pPr>
              <w:cnfStyle w:val="000000000000" w:firstRow="0" w:lastRow="0" w:firstColumn="0" w:lastColumn="0" w:oddVBand="0" w:evenVBand="0" w:oddHBand="0" w:evenHBand="0" w:firstRowFirstColumn="0" w:firstRowLastColumn="0" w:lastRowFirstColumn="0" w:lastRowLastColumn="0"/>
            </w:pPr>
            <w:r>
              <w:t>16 943</w:t>
            </w:r>
          </w:p>
        </w:tc>
      </w:tr>
      <w:tr w:rsidR="009A32BB" w14:paraId="68F8FA19"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2382B8D1" w14:textId="6132C9F0" w:rsidR="009A32BB" w:rsidRDefault="009A32BB">
            <w:pPr>
              <w:ind w:left="170"/>
            </w:pPr>
            <w:r>
              <w:rPr>
                <w:i/>
              </w:rPr>
              <w:t>This performance measure is proposed to be discontinued as it has been replaced by the 2026-27 performance measure ‘Percentage of complaints closed versus received’.</w:t>
            </w:r>
          </w:p>
        </w:tc>
      </w:tr>
      <w:tr w:rsidR="009A32BB" w:rsidRPr="00171F37" w14:paraId="2AE0D9DF" w14:textId="77777777">
        <w:tc>
          <w:tcPr>
            <w:cnfStyle w:val="001000000000" w:firstRow="0" w:lastRow="0" w:firstColumn="1" w:lastColumn="0" w:oddVBand="0" w:evenVBand="0" w:oddHBand="0" w:evenHBand="0" w:firstRowFirstColumn="0" w:firstRowLastColumn="0" w:lastRowFirstColumn="0" w:lastRowLastColumn="0"/>
            <w:tcW w:w="9639" w:type="dxa"/>
            <w:gridSpan w:val="6"/>
          </w:tcPr>
          <w:p w14:paraId="329F788F" w14:textId="77777777" w:rsidR="009A32BB" w:rsidRPr="00171F37" w:rsidRDefault="009A32BB">
            <w:pPr>
              <w:keepNext/>
              <w:rPr>
                <w:b/>
                <w:bCs/>
                <w:iCs/>
              </w:rPr>
            </w:pPr>
            <w:r w:rsidRPr="00171F37">
              <w:rPr>
                <w:b/>
                <w:bCs/>
                <w:iCs/>
              </w:rPr>
              <w:t>Timeliness</w:t>
            </w:r>
          </w:p>
        </w:tc>
      </w:tr>
      <w:tr w:rsidR="009A32BB" w14:paraId="589B820D" w14:textId="77777777">
        <w:tc>
          <w:tcPr>
            <w:cnfStyle w:val="001000000000" w:firstRow="0" w:lastRow="0" w:firstColumn="1" w:lastColumn="0" w:oddVBand="0" w:evenVBand="0" w:oddHBand="0" w:evenHBand="0" w:firstRowFirstColumn="0" w:firstRowLastColumn="0" w:lastRowFirstColumn="0" w:lastRowLastColumn="0"/>
            <w:tcW w:w="4819" w:type="dxa"/>
          </w:tcPr>
          <w:p w14:paraId="0F130446" w14:textId="77777777" w:rsidR="009A32BB" w:rsidRDefault="009A32BB">
            <w:pPr>
              <w:keepNext/>
              <w:ind w:left="170"/>
            </w:pPr>
            <w:r>
              <w:t>Complaints closed within 30 days</w:t>
            </w:r>
          </w:p>
        </w:tc>
        <w:tc>
          <w:tcPr>
            <w:tcW w:w="964" w:type="dxa"/>
          </w:tcPr>
          <w:p w14:paraId="6797B71C" w14:textId="77777777" w:rsidR="009A32BB" w:rsidRDefault="009A32BB">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58AA87" w14:textId="77777777" w:rsidR="009A32BB" w:rsidRDefault="009A32BB">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5E92D276" w14:textId="77777777" w:rsidR="009A32BB" w:rsidRDefault="009A32BB">
            <w:pPr>
              <w:cnfStyle w:val="000000000000" w:firstRow="0" w:lastRow="0" w:firstColumn="0" w:lastColumn="0" w:oddVBand="0" w:evenVBand="0" w:oddHBand="0" w:evenHBand="0" w:firstRowFirstColumn="0" w:firstRowLastColumn="0" w:lastRowFirstColumn="0" w:lastRowLastColumn="0"/>
            </w:pPr>
            <w:r>
              <w:t>93</w:t>
            </w:r>
          </w:p>
        </w:tc>
        <w:tc>
          <w:tcPr>
            <w:tcW w:w="964" w:type="dxa"/>
          </w:tcPr>
          <w:p w14:paraId="41A0D567" w14:textId="77777777" w:rsidR="009A32BB" w:rsidRDefault="009A32BB">
            <w:pPr>
              <w:cnfStyle w:val="000000000000" w:firstRow="0" w:lastRow="0" w:firstColumn="0" w:lastColumn="0" w:oddVBand="0" w:evenVBand="0" w:oddHBand="0" w:evenHBand="0" w:firstRowFirstColumn="0" w:firstRowLastColumn="0" w:lastRowFirstColumn="0" w:lastRowLastColumn="0"/>
            </w:pPr>
            <w:r>
              <w:t>90</w:t>
            </w:r>
          </w:p>
        </w:tc>
        <w:tc>
          <w:tcPr>
            <w:tcW w:w="964" w:type="dxa"/>
          </w:tcPr>
          <w:p w14:paraId="5227B6C5" w14:textId="77777777" w:rsidR="009A32BB" w:rsidRDefault="009A32BB">
            <w:pPr>
              <w:cnfStyle w:val="000000000000" w:firstRow="0" w:lastRow="0" w:firstColumn="0" w:lastColumn="0" w:oddVBand="0" w:evenVBand="0" w:oddHBand="0" w:evenHBand="0" w:firstRowFirstColumn="0" w:firstRowLastColumn="0" w:lastRowFirstColumn="0" w:lastRowLastColumn="0"/>
            </w:pPr>
            <w:r>
              <w:t>95</w:t>
            </w:r>
          </w:p>
        </w:tc>
      </w:tr>
      <w:tr w:rsidR="009A32BB" w14:paraId="012570C1"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6" w:space="0" w:color="auto"/>
            </w:tcBorders>
          </w:tcPr>
          <w:p w14:paraId="60D9086F" w14:textId="0205787D" w:rsidR="009A32BB" w:rsidRDefault="009A32BB">
            <w:pPr>
              <w:ind w:left="170"/>
            </w:pPr>
            <w:r>
              <w:rPr>
                <w:i/>
              </w:rPr>
              <w:t>This performance measure is proposed to be discontinued as it has been replaced by the 2026-27 performance measure ‘Triage and allocation of high priority complaints made within five business days of receipt’.</w:t>
            </w:r>
          </w:p>
        </w:tc>
      </w:tr>
      <w:tr w:rsidR="009A32BB" w14:paraId="44FEDC70" w14:textId="77777777">
        <w:tc>
          <w:tcPr>
            <w:cnfStyle w:val="001000000000" w:firstRow="0" w:lastRow="0" w:firstColumn="1" w:lastColumn="0" w:oddVBand="0" w:evenVBand="0" w:oddHBand="0" w:evenHBand="0" w:firstRowFirstColumn="0" w:firstRowLastColumn="0" w:lastRowFirstColumn="0" w:lastRowLastColumn="0"/>
            <w:tcW w:w="4819" w:type="dxa"/>
          </w:tcPr>
          <w:p w14:paraId="14635B35" w14:textId="77777777" w:rsidR="009A32BB" w:rsidRDefault="009A32BB">
            <w:pPr>
              <w:keepNext/>
              <w:ind w:left="170"/>
            </w:pPr>
            <w:r>
              <w:t>Investigations closed within 12 months</w:t>
            </w:r>
          </w:p>
        </w:tc>
        <w:tc>
          <w:tcPr>
            <w:tcW w:w="964" w:type="dxa"/>
          </w:tcPr>
          <w:p w14:paraId="42AEB17C" w14:textId="77777777" w:rsidR="009A32BB" w:rsidRDefault="009A32BB">
            <w:pPr>
              <w:jc w:val="center"/>
              <w:cnfStyle w:val="000000000000" w:firstRow="0" w:lastRow="0" w:firstColumn="0" w:lastColumn="0" w:oddVBand="0" w:evenVBand="0" w:oddHBand="0" w:evenHBand="0" w:firstRowFirstColumn="0" w:firstRowLastColumn="0" w:lastRowFirstColumn="0" w:lastRowLastColumn="0"/>
            </w:pPr>
            <w:r>
              <w:t>per cent</w:t>
            </w:r>
          </w:p>
        </w:tc>
        <w:tc>
          <w:tcPr>
            <w:tcW w:w="964" w:type="dxa"/>
            <w:shd w:val="clear" w:color="auto" w:fill="F0F0F0"/>
          </w:tcPr>
          <w:p w14:paraId="42DBADFD" w14:textId="77777777" w:rsidR="009A32BB" w:rsidRDefault="009A32BB">
            <w:pPr>
              <w:cnfStyle w:val="000000000000" w:firstRow="0" w:lastRow="0" w:firstColumn="0" w:lastColumn="0" w:oddVBand="0" w:evenVBand="0" w:oddHBand="0" w:evenHBand="0" w:firstRowFirstColumn="0" w:firstRowLastColumn="0" w:lastRowFirstColumn="0" w:lastRowLastColumn="0"/>
            </w:pPr>
            <w:r>
              <w:t>n.a.</w:t>
            </w:r>
          </w:p>
        </w:tc>
        <w:tc>
          <w:tcPr>
            <w:tcW w:w="964" w:type="dxa"/>
          </w:tcPr>
          <w:p w14:paraId="00AE8D18" w14:textId="77777777" w:rsidR="009A32BB" w:rsidRDefault="009A32BB">
            <w:pPr>
              <w:cnfStyle w:val="000000000000" w:firstRow="0" w:lastRow="0" w:firstColumn="0" w:lastColumn="0" w:oddVBand="0" w:evenVBand="0" w:oddHBand="0" w:evenHBand="0" w:firstRowFirstColumn="0" w:firstRowLastColumn="0" w:lastRowFirstColumn="0" w:lastRowLastColumn="0"/>
            </w:pPr>
            <w:r>
              <w:t>55</w:t>
            </w:r>
          </w:p>
        </w:tc>
        <w:tc>
          <w:tcPr>
            <w:tcW w:w="964" w:type="dxa"/>
          </w:tcPr>
          <w:p w14:paraId="43677E73" w14:textId="77777777" w:rsidR="009A32BB" w:rsidRDefault="009A32BB">
            <w:pPr>
              <w:cnfStyle w:val="000000000000" w:firstRow="0" w:lastRow="0" w:firstColumn="0" w:lastColumn="0" w:oddVBand="0" w:evenVBand="0" w:oddHBand="0" w:evenHBand="0" w:firstRowFirstColumn="0" w:firstRowLastColumn="0" w:lastRowFirstColumn="0" w:lastRowLastColumn="0"/>
            </w:pPr>
            <w:r>
              <w:t>75</w:t>
            </w:r>
          </w:p>
        </w:tc>
        <w:tc>
          <w:tcPr>
            <w:tcW w:w="964" w:type="dxa"/>
          </w:tcPr>
          <w:p w14:paraId="746AEC79" w14:textId="77777777" w:rsidR="009A32BB" w:rsidRDefault="009A32BB">
            <w:pPr>
              <w:cnfStyle w:val="000000000000" w:firstRow="0" w:lastRow="0" w:firstColumn="0" w:lastColumn="0" w:oddVBand="0" w:evenVBand="0" w:oddHBand="0" w:evenHBand="0" w:firstRowFirstColumn="0" w:firstRowLastColumn="0" w:lastRowFirstColumn="0" w:lastRowLastColumn="0"/>
            </w:pPr>
            <w:r>
              <w:t>47</w:t>
            </w:r>
          </w:p>
        </w:tc>
      </w:tr>
      <w:tr w:rsidR="009A32BB" w14:paraId="08A765BE" w14:textId="77777777">
        <w:tc>
          <w:tcPr>
            <w:cnfStyle w:val="001000000000" w:firstRow="0" w:lastRow="0" w:firstColumn="1" w:lastColumn="0" w:oddVBand="0" w:evenVBand="0" w:oddHBand="0" w:evenHBand="0" w:firstRowFirstColumn="0" w:firstRowLastColumn="0" w:lastRowFirstColumn="0" w:lastRowLastColumn="0"/>
            <w:tcW w:w="9639" w:type="dxa"/>
            <w:gridSpan w:val="6"/>
            <w:tcBorders>
              <w:bottom w:val="single" w:sz="12" w:space="0" w:color="auto"/>
            </w:tcBorders>
          </w:tcPr>
          <w:p w14:paraId="005B7F8C" w14:textId="77777777" w:rsidR="009A32BB" w:rsidRDefault="009A32BB">
            <w:pPr>
              <w:ind w:left="170"/>
            </w:pPr>
            <w:r>
              <w:rPr>
                <w:i/>
              </w:rPr>
              <w:t>The 2025-26 expected outcome is lower than the 2025-26 target due to the closure of aged investigations and the temporary diversion of investigative resources in response to parliamentary complaints.</w:t>
            </w:r>
          </w:p>
          <w:p w14:paraId="5138BC94" w14:textId="5175BE84" w:rsidR="009A32BB" w:rsidRDefault="009A32BB">
            <w:pPr>
              <w:ind w:left="170"/>
            </w:pPr>
            <w:r>
              <w:rPr>
                <w:i/>
              </w:rPr>
              <w:t>This performance measure is proposed to be discontinued as it has been replaced by the 2026-27 performance measure ‘Standard investigations closed within 12 months’.</w:t>
            </w:r>
          </w:p>
        </w:tc>
      </w:tr>
    </w:tbl>
    <w:p w14:paraId="1D8C6E16" w14:textId="2A5ECA6E" w:rsidR="00127EF6" w:rsidRDefault="00A47EB3" w:rsidP="005314E1">
      <w:pPr>
        <w:pStyle w:val="Source"/>
      </w:pPr>
      <w:r>
        <w:t>Source: Victorian Ombudsman</w:t>
      </w:r>
    </w:p>
    <w:p w14:paraId="3965983D" w14:textId="77777777" w:rsidR="00247D62" w:rsidRDefault="00247D62" w:rsidP="005314E1">
      <w:pPr>
        <w:pStyle w:val="Source"/>
      </w:pPr>
    </w:p>
    <w:p w14:paraId="645570F0" w14:textId="77777777" w:rsidR="00247D62" w:rsidRDefault="00247D62" w:rsidP="005314E1">
      <w:pPr>
        <w:pStyle w:val="Source"/>
      </w:pPr>
    </w:p>
    <w:p w14:paraId="35F61521" w14:textId="77777777" w:rsidR="007560C6" w:rsidRDefault="007560C6" w:rsidP="007560C6">
      <w:pPr>
        <w:sectPr w:rsidR="007560C6" w:rsidSect="001F14A3">
          <w:footerReference w:type="even" r:id="rId44"/>
          <w:footerReference w:type="default" r:id="rId45"/>
          <w:pgSz w:w="11907" w:h="16840" w:code="9"/>
          <w:pgMar w:top="1138" w:right="1138" w:bottom="1138" w:left="1138" w:header="619" w:footer="562" w:gutter="0"/>
          <w:cols w:space="708"/>
          <w:docGrid w:linePitch="360"/>
        </w:sectPr>
      </w:pPr>
    </w:p>
    <w:p w14:paraId="6794CEFE" w14:textId="77777777" w:rsidR="00FE7E71" w:rsidRPr="00AD22A5" w:rsidRDefault="00FE7E71" w:rsidP="00FE7E71">
      <w:pPr>
        <w:pStyle w:val="ChapterHeading"/>
      </w:pPr>
      <w:bookmarkStart w:id="41" w:name="_Toc56767808"/>
      <w:bookmarkStart w:id="42" w:name="_Toc102031705"/>
      <w:bookmarkStart w:id="43" w:name="_Toc165303290"/>
      <w:bookmarkStart w:id="44" w:name="_Toc198136095"/>
      <w:bookmarkStart w:id="45" w:name="_Toc228288119"/>
      <w:r w:rsidRPr="00AD22A5">
        <w:t>Style conventions</w:t>
      </w:r>
      <w:bookmarkEnd w:id="41"/>
      <w:bookmarkEnd w:id="42"/>
      <w:bookmarkEnd w:id="43"/>
      <w:bookmarkEnd w:id="44"/>
      <w:bookmarkEnd w:id="45"/>
    </w:p>
    <w:p w14:paraId="52D5DBC3" w14:textId="77777777" w:rsidR="00FE7E71" w:rsidRPr="00AD22A5" w:rsidRDefault="00FE7E71" w:rsidP="00FE7E71">
      <w:r w:rsidRPr="00AD22A5">
        <w:t>Figures in the tables and in the text have been rounded. Discrepancies in tables between totals and sums of components reflect rounding. Percentage changes in all tables are based on the underlying unrounded amounts.</w:t>
      </w:r>
    </w:p>
    <w:p w14:paraId="715C9A7C" w14:textId="77777777" w:rsidR="00FE7E71" w:rsidRPr="00AD22A5" w:rsidRDefault="00FE7E71" w:rsidP="00FE7E71">
      <w:pPr>
        <w:tabs>
          <w:tab w:val="right" w:pos="9639"/>
        </w:tabs>
      </w:pPr>
      <w:r w:rsidRPr="00AD22A5">
        <w:t>The notation used in the tables and charts is as follows:</w:t>
      </w:r>
      <w:r>
        <w:tab/>
      </w:r>
    </w:p>
    <w:p w14:paraId="089F6E4D" w14:textId="77777777" w:rsidR="00FE7E71" w:rsidRPr="00AD22A5" w:rsidRDefault="00FE7E71" w:rsidP="00FE7E71">
      <w:pPr>
        <w:ind w:left="2520" w:hanging="1800"/>
      </w:pPr>
      <w:r w:rsidRPr="00AD22A5">
        <w:t>n.a. or na</w:t>
      </w:r>
      <w:r w:rsidRPr="00AD22A5">
        <w:tab/>
        <w:t>not available or not applicable</w:t>
      </w:r>
    </w:p>
    <w:p w14:paraId="67573F23" w14:textId="77777777" w:rsidR="00FE7E71" w:rsidRPr="00AD22A5" w:rsidRDefault="00FE7E71" w:rsidP="00FE7E71">
      <w:pPr>
        <w:ind w:left="2520" w:hanging="1800"/>
      </w:pPr>
      <w:r w:rsidRPr="00AD22A5">
        <w:t>1 billion</w:t>
      </w:r>
      <w:r w:rsidRPr="00AD22A5">
        <w:tab/>
        <w:t>1 000 million</w:t>
      </w:r>
    </w:p>
    <w:p w14:paraId="191E0047" w14:textId="77777777" w:rsidR="00FE7E71" w:rsidRPr="00AD22A5" w:rsidRDefault="00FE7E71" w:rsidP="00FE7E71">
      <w:pPr>
        <w:ind w:left="2520" w:hanging="1800"/>
      </w:pPr>
      <w:r w:rsidRPr="00AD22A5">
        <w:t>1 basis point</w:t>
      </w:r>
      <w:r w:rsidRPr="00AD22A5">
        <w:tab/>
        <w:t>0.01 per cent</w:t>
      </w:r>
    </w:p>
    <w:p w14:paraId="2EFD601D" w14:textId="77777777" w:rsidR="00FE7E71" w:rsidRPr="00AD22A5" w:rsidRDefault="00FE7E71" w:rsidP="00FE7E71">
      <w:pPr>
        <w:ind w:left="2520" w:hanging="1800"/>
      </w:pPr>
      <w:r w:rsidRPr="00AD22A5">
        <w:t>..</w:t>
      </w:r>
      <w:r w:rsidRPr="00AD22A5">
        <w:tab/>
        <w:t>zero, or rounded to zero</w:t>
      </w:r>
    </w:p>
    <w:p w14:paraId="5803FD07" w14:textId="4BABB556" w:rsidR="00FE7E71" w:rsidRDefault="00FE7E71" w:rsidP="00FE7E71">
      <w:pPr>
        <w:ind w:left="2520" w:hanging="1800"/>
      </w:pPr>
      <w:r>
        <w:t>nm</w:t>
      </w:r>
      <w:r>
        <w:tab/>
        <w:t>new measure</w:t>
      </w:r>
    </w:p>
    <w:p w14:paraId="495CF47A" w14:textId="457FEF16" w:rsidR="00FE7E71" w:rsidRPr="00AD22A5" w:rsidRDefault="00FE7E71" w:rsidP="00FE7E71">
      <w:pPr>
        <w:ind w:left="2520" w:hanging="1800"/>
      </w:pPr>
      <w:r w:rsidRPr="00AD22A5">
        <w:t>tbc</w:t>
      </w:r>
      <w:r w:rsidRPr="00AD22A5">
        <w:tab/>
        <w:t>to be confirmed</w:t>
      </w:r>
    </w:p>
    <w:p w14:paraId="0E1BD227" w14:textId="77777777" w:rsidR="00FE7E71" w:rsidRPr="00AD22A5" w:rsidRDefault="00FE7E71" w:rsidP="00FE7E71">
      <w:pPr>
        <w:ind w:left="2520" w:hanging="1800"/>
      </w:pPr>
      <w:r w:rsidRPr="00AD22A5">
        <w:t>ongoing</w:t>
      </w:r>
      <w:r w:rsidRPr="00AD22A5">
        <w:tab/>
        <w:t>continuing output, program, project etc.</w:t>
      </w:r>
    </w:p>
    <w:p w14:paraId="5C59CFDF" w14:textId="77777777" w:rsidR="00FE7E71" w:rsidRPr="00AD22A5" w:rsidRDefault="00FE7E71" w:rsidP="00FE7E71">
      <w:pPr>
        <w:ind w:left="2520" w:hanging="1800"/>
      </w:pPr>
      <w:r w:rsidRPr="00AD22A5">
        <w:t>(x xxx.x)</w:t>
      </w:r>
      <w:r w:rsidRPr="00AD22A5">
        <w:tab/>
        <w:t>negative amount</w:t>
      </w:r>
    </w:p>
    <w:p w14:paraId="7C889691" w14:textId="77777777" w:rsidR="00FE7E71" w:rsidRPr="00AD22A5" w:rsidRDefault="00FE7E71" w:rsidP="00FE7E71">
      <w:pPr>
        <w:ind w:left="2520" w:hanging="1800"/>
      </w:pPr>
      <w:r w:rsidRPr="00AD22A5">
        <w:t>x xxx.0</w:t>
      </w:r>
      <w:r w:rsidRPr="00AD22A5">
        <w:tab/>
        <w:t>rounded amount</w:t>
      </w:r>
    </w:p>
    <w:p w14:paraId="1F0542D9" w14:textId="77777777" w:rsidR="00FE7E71" w:rsidRPr="00AD22A5" w:rsidRDefault="00FE7E71" w:rsidP="00FE7E71">
      <w:pPr>
        <w:ind w:left="2520" w:hanging="1800"/>
      </w:pPr>
    </w:p>
    <w:p w14:paraId="27E23036" w14:textId="77777777" w:rsidR="00FE7E71" w:rsidRPr="00AD22A5" w:rsidRDefault="00FE7E71" w:rsidP="00FE7E71"/>
    <w:p w14:paraId="2B6055FE" w14:textId="77777777" w:rsidR="00FE7E71" w:rsidRPr="00C47FE8" w:rsidRDefault="00FE7E71" w:rsidP="00FE7E71">
      <w:pPr>
        <w:rPr>
          <w:color w:val="000000" w:themeColor="text1"/>
        </w:rPr>
      </w:pPr>
      <w:r w:rsidRPr="00AD22A5">
        <w:rPr>
          <w:color w:val="000000" w:themeColor="text1"/>
        </w:rPr>
        <w:t xml:space="preserve">Please refer to the </w:t>
      </w:r>
      <w:r w:rsidRPr="00AD22A5">
        <w:rPr>
          <w:b/>
          <w:color w:val="000000" w:themeColor="text1"/>
        </w:rPr>
        <w:t xml:space="preserve">Treasury and Finance glossary for budget and financial reports </w:t>
      </w:r>
      <w:r w:rsidRPr="00AD22A5">
        <w:rPr>
          <w:b/>
          <w:color w:val="000000" w:themeColor="text1"/>
        </w:rPr>
        <w:br/>
      </w:r>
      <w:r w:rsidRPr="00AD22A5">
        <w:rPr>
          <w:color w:val="000000" w:themeColor="text1"/>
        </w:rPr>
        <w:t xml:space="preserve">at </w:t>
      </w:r>
      <w:r w:rsidRPr="00AD22A5">
        <w:t>dtf.vic.gov.au</w:t>
      </w:r>
      <w:r w:rsidRPr="00AD22A5">
        <w:rPr>
          <w:color w:val="000000" w:themeColor="text1"/>
        </w:rPr>
        <w:t xml:space="preserve"> for additional terms and references.</w:t>
      </w:r>
    </w:p>
    <w:p w14:paraId="29CFCAF7" w14:textId="77777777" w:rsidR="00FE7E71" w:rsidRDefault="00FE7E71" w:rsidP="00FE7E71"/>
    <w:p w14:paraId="23AA2978" w14:textId="77777777" w:rsidR="00FE7E71" w:rsidRPr="00FF456D" w:rsidRDefault="00FE7E71" w:rsidP="00FE7E71"/>
    <w:p w14:paraId="0FADCB18" w14:textId="77777777" w:rsidR="002930CC" w:rsidRDefault="002930CC" w:rsidP="007560C6">
      <w:pPr>
        <w:sectPr w:rsidR="002930CC" w:rsidSect="00FE7E71">
          <w:footerReference w:type="even" r:id="rId46"/>
          <w:footerReference w:type="default" r:id="rId47"/>
          <w:pgSz w:w="11907" w:h="16840" w:code="9"/>
          <w:pgMar w:top="1134" w:right="1134" w:bottom="1134" w:left="1134" w:header="624" w:footer="567" w:gutter="0"/>
          <w:cols w:space="708"/>
          <w:docGrid w:linePitch="360"/>
        </w:sectPr>
      </w:pPr>
    </w:p>
    <w:p w14:paraId="331D0FF3" w14:textId="23A43367" w:rsidR="00127EF6" w:rsidRPr="005122F0" w:rsidRDefault="00593284" w:rsidP="007560C6">
      <w:r>
        <w:rPr>
          <w:noProof/>
        </w:rPr>
        <w:drawing>
          <wp:anchor distT="0" distB="0" distL="114300" distR="114300" simplePos="0" relativeHeight="251658241" behindDoc="1" locked="0" layoutInCell="1" allowOverlap="1" wp14:anchorId="6D54C77D" wp14:editId="39F586B9">
            <wp:simplePos x="0" y="0"/>
            <wp:positionH relativeFrom="page">
              <wp:align>left</wp:align>
            </wp:positionH>
            <wp:positionV relativeFrom="paragraph">
              <wp:posOffset>-720445</wp:posOffset>
            </wp:positionV>
            <wp:extent cx="7559040" cy="10689336"/>
            <wp:effectExtent l="0" t="0" r="3810" b="0"/>
            <wp:wrapNone/>
            <wp:docPr id="1927135936" name="Picture 2" descr="Department Performance Statement back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35936" name="Picture 2" descr="Department Performance Statement back cover, gre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sectPr w:rsidR="00127EF6" w:rsidRPr="005122F0" w:rsidSect="002930CC">
      <w:footerReference w:type="even" r:id="rId49"/>
      <w:type w:val="evenPage"/>
      <w:pgSz w:w="11907" w:h="16840"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D482F" w14:textId="77777777" w:rsidR="00DD269E" w:rsidRDefault="00DD269E" w:rsidP="00E97E54">
      <w:r>
        <w:separator/>
      </w:r>
    </w:p>
  </w:endnote>
  <w:endnote w:type="continuationSeparator" w:id="0">
    <w:p w14:paraId="42134518" w14:textId="77777777" w:rsidR="00DD269E" w:rsidRDefault="00DD269E" w:rsidP="00E97E54">
      <w:r>
        <w:continuationSeparator/>
      </w:r>
    </w:p>
  </w:endnote>
  <w:endnote w:type="continuationNotice" w:id="1">
    <w:p w14:paraId="76F4784D" w14:textId="77777777" w:rsidR="00DD269E" w:rsidRDefault="00DD269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8CC4" w14:textId="2B3577C3" w:rsidR="005122F0" w:rsidRDefault="00247D62">
    <w:pPr>
      <w:pStyle w:val="FooterOddPage"/>
    </w:pPr>
    <w:r w:rsidRPr="00247D62">
      <w:t>2026-27</w:t>
    </w:r>
    <w:r w:rsidR="005122F0">
      <w:t xml:space="preserve"> Department Performance Statement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F069" w14:textId="6BC3019D" w:rsidR="00342D8C" w:rsidRPr="00BF1353" w:rsidRDefault="00D130E8" w:rsidP="00BF1353">
    <w:pPr>
      <w:pStyle w:val="FooterOddPage"/>
    </w:pPr>
    <w:r w:rsidRPr="00D130E8">
      <w:t>2026-27</w:t>
    </w:r>
    <w:r w:rsidR="00342D8C" w:rsidRPr="00BF1353">
      <w:t xml:space="preserve"> Department Performance Statement</w:t>
    </w:r>
    <w:r w:rsidR="00342D8C" w:rsidRPr="00BF1353">
      <w:tab/>
    </w:r>
    <w:r w:rsidR="00342D8C" w:rsidRPr="00342D8C">
      <w:t>Families, Fairness and Housing</w:t>
    </w:r>
    <w:r w:rsidR="00342D8C" w:rsidRPr="00BF1353">
      <w:tab/>
    </w:r>
    <w:r w:rsidR="00342D8C" w:rsidRPr="00BF1353">
      <w:fldChar w:fldCharType="begin"/>
    </w:r>
    <w:r w:rsidR="00342D8C" w:rsidRPr="00BF1353">
      <w:instrText>PAGE \* MERGEFORMAT</w:instrText>
    </w:r>
    <w:r w:rsidR="00342D8C" w:rsidRPr="00BF1353">
      <w:fldChar w:fldCharType="separate"/>
    </w:r>
    <w:r w:rsidR="00342D8C" w:rsidRPr="00BF1353">
      <w:t>1</w:t>
    </w:r>
    <w:r w:rsidR="00342D8C" w:rsidRPr="00BF135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8B93" w14:textId="19820857" w:rsidR="001466B2" w:rsidRPr="00BF1353" w:rsidRDefault="001466B2" w:rsidP="00BF1353">
    <w:pPr>
      <w:pStyle w:val="FooterEvenPage"/>
    </w:pPr>
    <w:r>
      <w:fldChar w:fldCharType="begin"/>
    </w:r>
    <w:r>
      <w:instrText>PAGE \* MERGEFORMAT</w:instrText>
    </w:r>
    <w:r>
      <w:fldChar w:fldCharType="separate"/>
    </w:r>
    <w:r>
      <w:t>2</w:t>
    </w:r>
    <w:r>
      <w:fldChar w:fldCharType="end"/>
    </w:r>
    <w:r>
      <w:tab/>
    </w:r>
    <w:r w:rsidRPr="001466B2">
      <w:t>Government Services</w:t>
    </w:r>
    <w:r>
      <w:tab/>
    </w:r>
    <w:r w:rsidR="00D130E8" w:rsidRPr="00D130E8">
      <w:t>2026-27</w:t>
    </w:r>
    <w:r>
      <w:t xml:space="preserve"> Department Performance Statement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B1AF" w14:textId="6FBAAFB5" w:rsidR="001466B2" w:rsidRPr="00BF1353" w:rsidRDefault="00D130E8" w:rsidP="00BF1353">
    <w:pPr>
      <w:pStyle w:val="FooterOddPage"/>
    </w:pPr>
    <w:r w:rsidRPr="00D130E8">
      <w:t>2026-27</w:t>
    </w:r>
    <w:r w:rsidR="001466B2" w:rsidRPr="00BF1353">
      <w:t xml:space="preserve"> Department Performance Statement</w:t>
    </w:r>
    <w:r w:rsidR="001466B2" w:rsidRPr="00BF1353">
      <w:tab/>
    </w:r>
    <w:r w:rsidR="005761C3">
      <w:t>Government Services</w:t>
    </w:r>
    <w:r w:rsidR="001466B2" w:rsidRPr="00BF1353">
      <w:tab/>
    </w:r>
    <w:r w:rsidR="001466B2" w:rsidRPr="00BF1353">
      <w:fldChar w:fldCharType="begin"/>
    </w:r>
    <w:r w:rsidR="001466B2" w:rsidRPr="00BF1353">
      <w:instrText>PAGE \* MERGEFORMAT</w:instrText>
    </w:r>
    <w:r w:rsidR="001466B2" w:rsidRPr="00BF1353">
      <w:fldChar w:fldCharType="separate"/>
    </w:r>
    <w:r w:rsidR="001466B2" w:rsidRPr="00BF1353">
      <w:t>1</w:t>
    </w:r>
    <w:r w:rsidR="001466B2" w:rsidRPr="00BF1353">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2DF74" w14:textId="3CED5C2D" w:rsidR="00A33DA0" w:rsidRPr="00BF1353" w:rsidRDefault="00A33DA0" w:rsidP="00BF1353">
    <w:pPr>
      <w:pStyle w:val="FooterEvenPage"/>
    </w:pPr>
    <w:r>
      <w:fldChar w:fldCharType="begin"/>
    </w:r>
    <w:r>
      <w:instrText>PAGE \* MERGEFORMAT</w:instrText>
    </w:r>
    <w:r>
      <w:fldChar w:fldCharType="separate"/>
    </w:r>
    <w:r>
      <w:t>2</w:t>
    </w:r>
    <w:r>
      <w:fldChar w:fldCharType="end"/>
    </w:r>
    <w:r>
      <w:tab/>
    </w:r>
    <w:r w:rsidR="00CE5314">
      <w:t>Health</w:t>
    </w:r>
    <w:r>
      <w:tab/>
    </w:r>
    <w:r w:rsidR="00D130E8" w:rsidRPr="00D130E8">
      <w:t>2026-27 Department Performance Statement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5093" w14:textId="2724B7D6" w:rsidR="00A33DA0" w:rsidRPr="00BF1353" w:rsidRDefault="00D130E8" w:rsidP="00BF1353">
    <w:pPr>
      <w:pStyle w:val="FooterOddPage"/>
    </w:pPr>
    <w:r w:rsidRPr="00D130E8">
      <w:t>2026-27 Department Performance Statement</w:t>
    </w:r>
    <w:r w:rsidR="00A33DA0" w:rsidRPr="00BF1353">
      <w:tab/>
    </w:r>
    <w:r w:rsidR="00CE5314">
      <w:t>Health</w:t>
    </w:r>
    <w:r w:rsidR="00A33DA0" w:rsidRPr="00BF1353">
      <w:tab/>
    </w:r>
    <w:r w:rsidR="00A33DA0" w:rsidRPr="00BF1353">
      <w:fldChar w:fldCharType="begin"/>
    </w:r>
    <w:r w:rsidR="00A33DA0" w:rsidRPr="00BF1353">
      <w:instrText>PAGE \* MERGEFORMAT</w:instrText>
    </w:r>
    <w:r w:rsidR="00A33DA0" w:rsidRPr="00BF1353">
      <w:fldChar w:fldCharType="separate"/>
    </w:r>
    <w:r w:rsidR="00A33DA0" w:rsidRPr="00BF1353">
      <w:t>1</w:t>
    </w:r>
    <w:r w:rsidR="00A33DA0" w:rsidRPr="00BF1353">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FDC56" w14:textId="77777777" w:rsidR="00A33DA0" w:rsidRPr="00BF1353" w:rsidRDefault="00A33DA0" w:rsidP="00BF1353">
    <w:pPr>
      <w:pStyle w:val="FooterEvenPage"/>
    </w:pPr>
    <w:r>
      <w:fldChar w:fldCharType="begin"/>
    </w:r>
    <w:r>
      <w:instrText>PAGE \* MERGEFORMAT</w:instrText>
    </w:r>
    <w:r>
      <w:fldChar w:fldCharType="separate"/>
    </w:r>
    <w:r>
      <w:t>2</w:t>
    </w:r>
    <w:r>
      <w:fldChar w:fldCharType="end"/>
    </w:r>
    <w:r>
      <w:tab/>
    </w:r>
    <w:r w:rsidRPr="00A33DA0">
      <w:t>Jobs, Skills, Industry and Regions</w:t>
    </w:r>
    <w:r>
      <w:tab/>
    </w:r>
    <w:r w:rsidR="00D130E8" w:rsidRPr="00D130E8">
      <w:t>2026-27</w:t>
    </w:r>
    <w:r>
      <w:t xml:space="preserve"> Department Performance Statement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AC2F" w14:textId="77777777" w:rsidR="00A33DA0" w:rsidRPr="00BF1353" w:rsidRDefault="00D130E8" w:rsidP="00BF1353">
    <w:pPr>
      <w:pStyle w:val="FooterOddPage"/>
    </w:pPr>
    <w:r w:rsidRPr="00D130E8">
      <w:t>2026-27</w:t>
    </w:r>
    <w:r w:rsidR="00A33DA0" w:rsidRPr="00BF1353">
      <w:t xml:space="preserve"> Department Performance Statement</w:t>
    </w:r>
    <w:r w:rsidR="00A33DA0" w:rsidRPr="00BF1353">
      <w:tab/>
    </w:r>
    <w:r w:rsidR="00A33DA0" w:rsidRPr="00A33DA0">
      <w:t>Jobs, Skills, Industry and Regions</w:t>
    </w:r>
    <w:r w:rsidR="00A33DA0" w:rsidRPr="00BF1353">
      <w:tab/>
    </w:r>
    <w:r w:rsidR="00A33DA0" w:rsidRPr="00BF1353">
      <w:fldChar w:fldCharType="begin"/>
    </w:r>
    <w:r w:rsidR="00A33DA0" w:rsidRPr="00BF1353">
      <w:instrText>PAGE \* MERGEFORMAT</w:instrText>
    </w:r>
    <w:r w:rsidR="00A33DA0" w:rsidRPr="00BF1353">
      <w:fldChar w:fldCharType="separate"/>
    </w:r>
    <w:r w:rsidR="00A33DA0" w:rsidRPr="00BF1353">
      <w:t>1</w:t>
    </w:r>
    <w:r w:rsidR="00A33DA0" w:rsidRPr="00BF135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9FF3" w14:textId="57348848" w:rsidR="00755FAA" w:rsidRPr="00BF1353" w:rsidRDefault="00755FAA" w:rsidP="00BF1353">
    <w:pPr>
      <w:pStyle w:val="FooterEvenPage"/>
    </w:pPr>
    <w:r>
      <w:fldChar w:fldCharType="begin"/>
    </w:r>
    <w:r>
      <w:instrText>PAGE \* MERGEFORMAT</w:instrText>
    </w:r>
    <w:r>
      <w:fldChar w:fldCharType="separate"/>
    </w:r>
    <w:r>
      <w:t>2</w:t>
    </w:r>
    <w:r>
      <w:fldChar w:fldCharType="end"/>
    </w:r>
    <w:r>
      <w:tab/>
    </w:r>
    <w:r w:rsidRPr="00755FAA">
      <w:t>Justice and Community Safety</w:t>
    </w:r>
    <w:r>
      <w:tab/>
    </w:r>
    <w:r w:rsidR="00D130E8" w:rsidRPr="00D130E8">
      <w:t>2026-27</w:t>
    </w:r>
    <w:r>
      <w:t xml:space="preserve"> Department Performance Statement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05F6" w14:textId="32674784" w:rsidR="00755FAA" w:rsidRPr="00BF1353" w:rsidRDefault="00D130E8" w:rsidP="00BF1353">
    <w:pPr>
      <w:pStyle w:val="FooterOddPage"/>
    </w:pPr>
    <w:r w:rsidRPr="00D130E8">
      <w:t>2026-27</w:t>
    </w:r>
    <w:r w:rsidR="00755FAA" w:rsidRPr="00BF1353">
      <w:t xml:space="preserve"> Department Performance Statement</w:t>
    </w:r>
    <w:r w:rsidR="00755FAA" w:rsidRPr="00BF1353">
      <w:tab/>
    </w:r>
    <w:r w:rsidR="00755FAA" w:rsidRPr="00755FAA">
      <w:t>Justice and Community Safety</w:t>
    </w:r>
    <w:r w:rsidR="00755FAA" w:rsidRPr="00BF1353">
      <w:tab/>
    </w:r>
    <w:r w:rsidR="00755FAA" w:rsidRPr="00BF1353">
      <w:fldChar w:fldCharType="begin"/>
    </w:r>
    <w:r w:rsidR="00755FAA" w:rsidRPr="00BF1353">
      <w:instrText>PAGE \* MERGEFORMAT</w:instrText>
    </w:r>
    <w:r w:rsidR="00755FAA" w:rsidRPr="00BF1353">
      <w:fldChar w:fldCharType="separate"/>
    </w:r>
    <w:r w:rsidR="00755FAA" w:rsidRPr="00BF1353">
      <w:t>1</w:t>
    </w:r>
    <w:r w:rsidR="00755FAA" w:rsidRPr="00BF1353">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39C9" w14:textId="77777777" w:rsidR="001416C6" w:rsidRPr="00BF1353" w:rsidRDefault="001416C6" w:rsidP="00BF1353">
    <w:pPr>
      <w:pStyle w:val="FooterEvenPage"/>
    </w:pPr>
    <w:r>
      <w:fldChar w:fldCharType="begin"/>
    </w:r>
    <w:r>
      <w:instrText>PAGE \* MERGEFORMAT</w:instrText>
    </w:r>
    <w:r>
      <w:fldChar w:fldCharType="separate"/>
    </w:r>
    <w:r>
      <w:t>2</w:t>
    </w:r>
    <w:r>
      <w:fldChar w:fldCharType="end"/>
    </w:r>
    <w:r>
      <w:tab/>
    </w:r>
    <w:r w:rsidR="00AE3BBD">
      <w:t>Premier and Cabinet</w:t>
    </w:r>
    <w:r>
      <w:tab/>
    </w:r>
    <w:r w:rsidR="00D130E8" w:rsidRPr="00D130E8">
      <w:t>2026-27 Department Performance Statement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7397" w14:textId="49215CB6" w:rsidR="002B7115" w:rsidRPr="00BF1353" w:rsidRDefault="00BF1353" w:rsidP="00BF1353">
    <w:pPr>
      <w:pStyle w:val="FooterEvenPage"/>
    </w:pPr>
    <w:r>
      <w:fldChar w:fldCharType="begin"/>
    </w:r>
    <w:r>
      <w:instrText>PAGE \* MERGEFORMAT</w:instrText>
    </w:r>
    <w:r>
      <w:fldChar w:fldCharType="separate"/>
    </w:r>
    <w:r>
      <w:t>2</w:t>
    </w:r>
    <w:r>
      <w:fldChar w:fldCharType="end"/>
    </w:r>
    <w:r>
      <w:tab/>
    </w:r>
    <w:r>
      <w:tab/>
    </w:r>
    <w:r w:rsidR="00247D62" w:rsidRPr="00247D62">
      <w:t>2026-27</w:t>
    </w:r>
    <w:r>
      <w:t xml:space="preserve"> Department Performance Statement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9282" w14:textId="77777777" w:rsidR="001416C6" w:rsidRPr="00BF1353" w:rsidRDefault="00D130E8" w:rsidP="00BF1353">
    <w:pPr>
      <w:pStyle w:val="FooterOddPage"/>
    </w:pPr>
    <w:r w:rsidRPr="00D130E8">
      <w:t>2026-27 Department Performance Statement</w:t>
    </w:r>
    <w:r w:rsidR="001416C6" w:rsidRPr="00BF1353">
      <w:tab/>
    </w:r>
    <w:r w:rsidR="00AE3BBD">
      <w:t>Premier and Cabinet</w:t>
    </w:r>
    <w:r w:rsidR="001416C6" w:rsidRPr="00BF1353">
      <w:tab/>
    </w:r>
    <w:r w:rsidR="001416C6" w:rsidRPr="00BF1353">
      <w:fldChar w:fldCharType="begin"/>
    </w:r>
    <w:r w:rsidR="001416C6" w:rsidRPr="00BF1353">
      <w:instrText>PAGE \* MERGEFORMAT</w:instrText>
    </w:r>
    <w:r w:rsidR="001416C6" w:rsidRPr="00BF1353">
      <w:fldChar w:fldCharType="separate"/>
    </w:r>
    <w:r w:rsidR="001416C6" w:rsidRPr="00BF1353">
      <w:t>1</w:t>
    </w:r>
    <w:r w:rsidR="001416C6" w:rsidRPr="00BF1353">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FACA" w14:textId="12A5C157" w:rsidR="001416C6" w:rsidRPr="00BF1353" w:rsidRDefault="001416C6" w:rsidP="00BF1353">
    <w:pPr>
      <w:pStyle w:val="FooterEvenPage"/>
    </w:pPr>
    <w:r>
      <w:fldChar w:fldCharType="begin"/>
    </w:r>
    <w:r>
      <w:instrText>PAGE \* MERGEFORMAT</w:instrText>
    </w:r>
    <w:r>
      <w:fldChar w:fldCharType="separate"/>
    </w:r>
    <w:r>
      <w:t>2</w:t>
    </w:r>
    <w:r>
      <w:fldChar w:fldCharType="end"/>
    </w:r>
    <w:r>
      <w:tab/>
    </w:r>
    <w:r w:rsidR="007806CA">
      <w:t>Transport</w:t>
    </w:r>
    <w:r>
      <w:t xml:space="preserve"> and </w:t>
    </w:r>
    <w:r w:rsidR="007806CA">
      <w:t>Planning</w:t>
    </w:r>
    <w:r>
      <w:tab/>
    </w:r>
    <w:r w:rsidR="00D130E8" w:rsidRPr="00D130E8">
      <w:t>2026-27 Department Performance Statement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34047" w14:textId="3351BD61" w:rsidR="001416C6" w:rsidRPr="00BF1353" w:rsidRDefault="00D130E8" w:rsidP="00BF1353">
    <w:pPr>
      <w:pStyle w:val="FooterOddPage"/>
    </w:pPr>
    <w:r w:rsidRPr="00D130E8">
      <w:t>2026-27 Department Performance Statement</w:t>
    </w:r>
    <w:r w:rsidR="001416C6" w:rsidRPr="00BF1353">
      <w:tab/>
    </w:r>
    <w:r w:rsidR="007806CA">
      <w:t>Transport</w:t>
    </w:r>
    <w:r w:rsidR="001416C6">
      <w:t xml:space="preserve"> and </w:t>
    </w:r>
    <w:r w:rsidR="007806CA">
      <w:t>Planning</w:t>
    </w:r>
    <w:r w:rsidR="001416C6" w:rsidRPr="00BF1353">
      <w:tab/>
    </w:r>
    <w:r w:rsidR="001416C6" w:rsidRPr="00BF1353">
      <w:fldChar w:fldCharType="begin"/>
    </w:r>
    <w:r w:rsidR="001416C6" w:rsidRPr="00BF1353">
      <w:instrText>PAGE \* MERGEFORMAT</w:instrText>
    </w:r>
    <w:r w:rsidR="001416C6" w:rsidRPr="00BF1353">
      <w:fldChar w:fldCharType="separate"/>
    </w:r>
    <w:r w:rsidR="001416C6" w:rsidRPr="00BF1353">
      <w:t>1</w:t>
    </w:r>
    <w:r w:rsidR="001416C6" w:rsidRPr="00BF1353">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0CC5" w14:textId="4F04CB92" w:rsidR="0091110D" w:rsidRPr="00BF1353" w:rsidRDefault="0091110D" w:rsidP="00BF1353">
    <w:pPr>
      <w:pStyle w:val="FooterEvenPage"/>
    </w:pPr>
    <w:r>
      <w:fldChar w:fldCharType="begin"/>
    </w:r>
    <w:r>
      <w:instrText>PAGE \* MERGEFORMAT</w:instrText>
    </w:r>
    <w:r>
      <w:fldChar w:fldCharType="separate"/>
    </w:r>
    <w:r>
      <w:t>2</w:t>
    </w:r>
    <w:r>
      <w:fldChar w:fldCharType="end"/>
    </w:r>
    <w:r>
      <w:tab/>
      <w:t>Treasury and Finance</w:t>
    </w:r>
    <w:r>
      <w:tab/>
    </w:r>
    <w:r w:rsidR="00D130E8" w:rsidRPr="00D130E8">
      <w:t>2026-27</w:t>
    </w:r>
    <w:r>
      <w:t xml:space="preserve"> Department Performance Statement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88F5" w14:textId="1406F410" w:rsidR="0091110D" w:rsidRPr="00BF1353" w:rsidRDefault="00D130E8" w:rsidP="00BF1353">
    <w:pPr>
      <w:pStyle w:val="FooterOddPage"/>
    </w:pPr>
    <w:r w:rsidRPr="00D130E8">
      <w:t>2026-27</w:t>
    </w:r>
    <w:r w:rsidR="0091110D" w:rsidRPr="00BF1353">
      <w:t xml:space="preserve"> Department Performance Statement</w:t>
    </w:r>
    <w:r w:rsidR="0091110D" w:rsidRPr="00BF1353">
      <w:tab/>
    </w:r>
    <w:r w:rsidR="0091110D">
      <w:t>Treasury and Finance</w:t>
    </w:r>
    <w:r w:rsidR="0091110D" w:rsidRPr="00BF1353">
      <w:tab/>
    </w:r>
    <w:r w:rsidR="0091110D" w:rsidRPr="00BF1353">
      <w:fldChar w:fldCharType="begin"/>
    </w:r>
    <w:r w:rsidR="0091110D" w:rsidRPr="00BF1353">
      <w:instrText>PAGE \* MERGEFORMAT</w:instrText>
    </w:r>
    <w:r w:rsidR="0091110D" w:rsidRPr="00BF1353">
      <w:fldChar w:fldCharType="separate"/>
    </w:r>
    <w:r w:rsidR="0091110D" w:rsidRPr="00BF1353">
      <w:t>1</w:t>
    </w:r>
    <w:r w:rsidR="0091110D" w:rsidRPr="00BF1353">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C89C" w14:textId="7BF2CE94" w:rsidR="00717F4A" w:rsidRDefault="0091110D" w:rsidP="00BF1353">
    <w:pPr>
      <w:pStyle w:val="FooterEvenPage"/>
    </w:pPr>
    <w:r>
      <w:fldChar w:fldCharType="begin"/>
    </w:r>
    <w:r>
      <w:instrText>PAGE \* MERGEFORMAT</w:instrText>
    </w:r>
    <w:r>
      <w:fldChar w:fldCharType="separate"/>
    </w:r>
    <w:r>
      <w:t>2</w:t>
    </w:r>
    <w:r>
      <w:fldChar w:fldCharType="end"/>
    </w:r>
    <w:r>
      <w:tab/>
      <w:t>Parliament</w:t>
    </w:r>
    <w:r>
      <w:tab/>
    </w:r>
    <w:r w:rsidR="00D130E8" w:rsidRPr="00D130E8">
      <w:t>2026-27</w:t>
    </w:r>
    <w:r>
      <w:t xml:space="preserve"> Department Performance Statement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0DAA" w14:textId="5667CB24" w:rsidR="00717F4A" w:rsidRDefault="00D130E8" w:rsidP="00BF1353">
    <w:pPr>
      <w:pStyle w:val="FooterOddPage"/>
    </w:pPr>
    <w:r w:rsidRPr="00D130E8">
      <w:t>2026-27</w:t>
    </w:r>
    <w:r w:rsidR="0091110D" w:rsidRPr="00BF1353">
      <w:t xml:space="preserve"> Department Performance Statement</w:t>
    </w:r>
    <w:r w:rsidR="0091110D" w:rsidRPr="00BF1353">
      <w:tab/>
    </w:r>
    <w:r w:rsidR="0091110D">
      <w:t>Parliament</w:t>
    </w:r>
    <w:r w:rsidR="0091110D" w:rsidRPr="00BF1353">
      <w:tab/>
    </w:r>
    <w:r w:rsidR="0091110D" w:rsidRPr="00BF1353">
      <w:fldChar w:fldCharType="begin"/>
    </w:r>
    <w:r w:rsidR="0091110D" w:rsidRPr="00BF1353">
      <w:instrText>PAGE \* MERGEFORMAT</w:instrText>
    </w:r>
    <w:r w:rsidR="0091110D" w:rsidRPr="00BF1353">
      <w:fldChar w:fldCharType="separate"/>
    </w:r>
    <w:r w:rsidR="0091110D" w:rsidRPr="00BF1353">
      <w:t>1</w:t>
    </w:r>
    <w:r w:rsidR="0091110D" w:rsidRPr="00BF1353">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21DE" w14:textId="09BF4E31" w:rsidR="007C1F5F" w:rsidRPr="00BF1353" w:rsidRDefault="007C1F5F" w:rsidP="00BF1353">
    <w:pPr>
      <w:pStyle w:val="FooterEvenPage"/>
    </w:pPr>
    <w:r>
      <w:fldChar w:fldCharType="begin"/>
    </w:r>
    <w:r>
      <w:instrText>PAGE \* MERGEFORMAT</w:instrText>
    </w:r>
    <w:r>
      <w:fldChar w:fldCharType="separate"/>
    </w:r>
    <w:r>
      <w:t>2</w:t>
    </w:r>
    <w:r>
      <w:fldChar w:fldCharType="end"/>
    </w:r>
    <w:r>
      <w:tab/>
    </w:r>
    <w:r w:rsidR="008A00D1">
      <w:t>Court Services Victoria</w:t>
    </w:r>
    <w:r>
      <w:tab/>
    </w:r>
    <w:r w:rsidR="007F2D41" w:rsidRPr="007F2D41">
      <w:t>2026-27</w:t>
    </w:r>
    <w:r>
      <w:t xml:space="preserve"> Department Performance Statement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D5CE" w14:textId="0357378B" w:rsidR="007C1F5F" w:rsidRPr="00BF1353" w:rsidRDefault="007F2D41" w:rsidP="00BF1353">
    <w:pPr>
      <w:pStyle w:val="FooterOddPage"/>
    </w:pPr>
    <w:r w:rsidRPr="007F2D41">
      <w:t>2026-27</w:t>
    </w:r>
    <w:r w:rsidR="007C1F5F" w:rsidRPr="00BF1353">
      <w:t xml:space="preserve"> Department Performance Statement</w:t>
    </w:r>
    <w:r w:rsidR="007C1F5F" w:rsidRPr="00BF1353">
      <w:tab/>
    </w:r>
    <w:r w:rsidR="008A00D1">
      <w:t>Court Services Victoria</w:t>
    </w:r>
    <w:r w:rsidR="007C1F5F" w:rsidRPr="00BF1353">
      <w:tab/>
    </w:r>
    <w:r w:rsidR="007C1F5F" w:rsidRPr="00BF1353">
      <w:fldChar w:fldCharType="begin"/>
    </w:r>
    <w:r w:rsidR="007C1F5F" w:rsidRPr="00BF1353">
      <w:instrText>PAGE \* MERGEFORMAT</w:instrText>
    </w:r>
    <w:r w:rsidR="007C1F5F" w:rsidRPr="00BF1353">
      <w:fldChar w:fldCharType="separate"/>
    </w:r>
    <w:r w:rsidR="007C1F5F" w:rsidRPr="00BF1353">
      <w:t>1</w:t>
    </w:r>
    <w:r w:rsidR="007C1F5F" w:rsidRPr="00BF1353">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5488" w14:textId="77777777" w:rsidR="008A00D1" w:rsidRPr="00BF1353" w:rsidRDefault="008A00D1" w:rsidP="00BF1353">
    <w:pPr>
      <w:pStyle w:val="FooterEvenPage"/>
    </w:pPr>
    <w:r>
      <w:fldChar w:fldCharType="begin"/>
    </w:r>
    <w:r>
      <w:instrText>PAGE \* MERGEFORMAT</w:instrText>
    </w:r>
    <w:r>
      <w:fldChar w:fldCharType="separate"/>
    </w:r>
    <w:r>
      <w:t>2</w:t>
    </w:r>
    <w:r>
      <w:fldChar w:fldCharType="end"/>
    </w:r>
    <w:r>
      <w:tab/>
    </w:r>
    <w:r w:rsidRPr="008A00D1">
      <w:t>Appendix A</w:t>
    </w:r>
    <w:r>
      <w:tab/>
    </w:r>
    <w:r w:rsidR="00247D62" w:rsidRPr="00BF1353">
      <w:t>20</w:t>
    </w:r>
    <w:r w:rsidR="00247D62">
      <w:t>26</w:t>
    </w:r>
    <w:r w:rsidR="00247D62" w:rsidRPr="00BF1353">
      <w:t>-2</w:t>
    </w:r>
    <w:r w:rsidR="00247D62">
      <w:t>7</w:t>
    </w:r>
    <w:r w:rsidR="00247D62" w:rsidRPr="00BF1353">
      <w:t xml:space="preserve"> Department Performance Statement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6B2B" w14:textId="0785FEB6" w:rsidR="002B7115" w:rsidRPr="00BF1353" w:rsidRDefault="00BF1353" w:rsidP="00BF1353">
    <w:pPr>
      <w:pStyle w:val="FooterOddPage"/>
    </w:pPr>
    <w:r w:rsidRPr="00BF1353">
      <w:t>202</w:t>
    </w:r>
    <w:r w:rsidR="00DA67BC">
      <w:t>6</w:t>
    </w:r>
    <w:r w:rsidRPr="00BF1353">
      <w:t>-2</w:t>
    </w:r>
    <w:r w:rsidR="00DA67BC">
      <w:t>7</w:t>
    </w:r>
    <w:r w:rsidRPr="00BF1353">
      <w:t xml:space="preserve"> Department Performance Statement</w:t>
    </w:r>
    <w:r w:rsidRPr="00BF1353">
      <w:tab/>
    </w:r>
    <w:r w:rsidRPr="00BF1353">
      <w:tab/>
    </w:r>
    <w:r w:rsidRPr="00BF1353">
      <w:fldChar w:fldCharType="begin"/>
    </w:r>
    <w:r w:rsidRPr="00BF1353">
      <w:instrText>PAGE \* MERGEFORMAT</w:instrText>
    </w:r>
    <w:r w:rsidRPr="00BF1353">
      <w:fldChar w:fldCharType="separate"/>
    </w:r>
    <w:r w:rsidRPr="00BF1353">
      <w:t>1</w:t>
    </w:r>
    <w:r w:rsidRPr="00BF1353">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E2EA" w14:textId="77777777" w:rsidR="008A00D1" w:rsidRPr="00BF1353" w:rsidRDefault="008A00D1" w:rsidP="00BF1353">
    <w:pPr>
      <w:pStyle w:val="FooterOddPage"/>
    </w:pPr>
    <w:r w:rsidRPr="00BF1353">
      <w:t>20</w:t>
    </w:r>
    <w:r w:rsidR="00247D62">
      <w:t>26</w:t>
    </w:r>
    <w:r w:rsidRPr="00BF1353">
      <w:t>-2</w:t>
    </w:r>
    <w:r w:rsidR="00247D62">
      <w:t>7</w:t>
    </w:r>
    <w:r w:rsidRPr="00BF1353">
      <w:t xml:space="preserve"> Department Performance Statement</w:t>
    </w:r>
    <w:r w:rsidRPr="00BF1353">
      <w:tab/>
    </w:r>
    <w:r w:rsidRPr="008A00D1">
      <w:t>Appendix A</w:t>
    </w:r>
    <w:r w:rsidRPr="00BF1353">
      <w:tab/>
    </w:r>
    <w:r w:rsidRPr="00BF1353">
      <w:fldChar w:fldCharType="begin"/>
    </w:r>
    <w:r w:rsidRPr="00BF1353">
      <w:instrText>PAGE \* MERGEFORMAT</w:instrText>
    </w:r>
    <w:r w:rsidRPr="00BF1353">
      <w:fldChar w:fldCharType="separate"/>
    </w:r>
    <w:r w:rsidRPr="00BF1353">
      <w:t>1</w:t>
    </w:r>
    <w:r w:rsidRPr="00BF1353">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9BDC" w14:textId="25224E1F" w:rsidR="008A00D1" w:rsidRPr="00BF1353" w:rsidRDefault="00FE7E71" w:rsidP="00BF1353">
    <w:pPr>
      <w:pStyle w:val="FooterEvenPage"/>
    </w:pPr>
    <w:r>
      <w:fldChar w:fldCharType="begin"/>
    </w:r>
    <w:r>
      <w:instrText xml:space="preserve"> PAGE   \* MERGEFORMAT </w:instrText>
    </w:r>
    <w:r>
      <w:fldChar w:fldCharType="separate"/>
    </w:r>
    <w:r>
      <w:rPr>
        <w:noProof/>
      </w:rPr>
      <w:t>2</w:t>
    </w:r>
    <w:r>
      <w:fldChar w:fldCharType="end"/>
    </w:r>
    <w:r>
      <w:tab/>
      <w:t>Style conventions</w:t>
    </w:r>
    <w:r>
      <w:tab/>
    </w:r>
    <w:fldSimple w:instr="TITLE   \* MERGEFORMAT">
      <w:r w:rsidR="008A4B9B">
        <w:t>2026-27 Department Performance Statement</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1DA2" w14:textId="29218539" w:rsidR="008A00D1" w:rsidRPr="00BF1353" w:rsidRDefault="008A00D1" w:rsidP="00BF1353">
    <w:pPr>
      <w:pStyle w:val="FooterOddPage"/>
    </w:pPr>
    <w:r w:rsidRPr="00BF1353">
      <w:t>20</w:t>
    </w:r>
    <w:r w:rsidR="00247D62">
      <w:t>26</w:t>
    </w:r>
    <w:r w:rsidRPr="00BF1353">
      <w:t>-2</w:t>
    </w:r>
    <w:r w:rsidR="00247D62">
      <w:t>7</w:t>
    </w:r>
    <w:r w:rsidRPr="00BF1353">
      <w:t xml:space="preserve"> Department Performance Statement</w:t>
    </w:r>
    <w:r w:rsidRPr="00BF1353">
      <w:tab/>
    </w:r>
    <w:r w:rsidR="000179E9" w:rsidRPr="000179E9">
      <w:t>Style conventions</w:t>
    </w:r>
    <w:r w:rsidRPr="00BF1353">
      <w:tab/>
    </w:r>
    <w:r w:rsidRPr="00BF1353">
      <w:fldChar w:fldCharType="begin"/>
    </w:r>
    <w:r w:rsidRPr="00BF1353">
      <w:instrText>PAGE \* MERGEFORMAT</w:instrText>
    </w:r>
    <w:r w:rsidRPr="00BF1353">
      <w:fldChar w:fldCharType="separate"/>
    </w:r>
    <w:r w:rsidRPr="00BF1353">
      <w:t>1</w:t>
    </w:r>
    <w:r w:rsidRPr="00BF1353">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C742" w14:textId="133E05F9" w:rsidR="002930CC" w:rsidRPr="002930CC" w:rsidRDefault="002930CC" w:rsidP="002930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D93" w14:textId="344AE533" w:rsidR="002B7115" w:rsidRDefault="002B71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3A53" w14:textId="5E5604B6" w:rsidR="00141FEB" w:rsidRPr="00BF1353" w:rsidRDefault="00141FEB" w:rsidP="00BF1353">
    <w:pPr>
      <w:pStyle w:val="FooterEvenPage"/>
    </w:pPr>
    <w:r>
      <w:fldChar w:fldCharType="begin"/>
    </w:r>
    <w:r>
      <w:instrText>PAGE \* MERGEFORMAT</w:instrText>
    </w:r>
    <w:r>
      <w:fldChar w:fldCharType="separate"/>
    </w:r>
    <w:r>
      <w:t>2</w:t>
    </w:r>
    <w:r>
      <w:fldChar w:fldCharType="end"/>
    </w:r>
    <w:r>
      <w:tab/>
    </w:r>
    <w:r w:rsidR="001D0FF8" w:rsidRPr="001D0FF8">
      <w:t>Education</w:t>
    </w:r>
    <w:r>
      <w:tab/>
    </w:r>
    <w:r w:rsidR="00247D62" w:rsidRPr="00247D62">
      <w:t>2026-27</w:t>
    </w:r>
    <w:r>
      <w:t xml:space="preserve"> Department Performance Statement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EE5" w14:textId="0C0EBCA7" w:rsidR="00141FEB" w:rsidRPr="00BF1353" w:rsidRDefault="00247D62" w:rsidP="00BF1353">
    <w:pPr>
      <w:pStyle w:val="FooterOddPage"/>
    </w:pPr>
    <w:r w:rsidRPr="00247D62">
      <w:t>2026-27</w:t>
    </w:r>
    <w:r w:rsidR="00141FEB" w:rsidRPr="00BF1353">
      <w:t xml:space="preserve"> Department Performance Statement</w:t>
    </w:r>
    <w:r w:rsidR="00141FEB" w:rsidRPr="00BF1353">
      <w:tab/>
    </w:r>
    <w:r w:rsidR="001D0FF8" w:rsidRPr="001D0FF8">
      <w:t>Education</w:t>
    </w:r>
    <w:r w:rsidR="00141FEB" w:rsidRPr="00BF1353">
      <w:tab/>
    </w:r>
    <w:r w:rsidR="00141FEB" w:rsidRPr="00BF1353">
      <w:fldChar w:fldCharType="begin"/>
    </w:r>
    <w:r w:rsidR="00141FEB" w:rsidRPr="00BF1353">
      <w:instrText>PAGE \* MERGEFORMAT</w:instrText>
    </w:r>
    <w:r w:rsidR="00141FEB" w:rsidRPr="00BF1353">
      <w:fldChar w:fldCharType="separate"/>
    </w:r>
    <w:r w:rsidR="00141FEB" w:rsidRPr="00BF1353">
      <w:t>1</w:t>
    </w:r>
    <w:r w:rsidR="00141FEB" w:rsidRPr="00BF135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16D2" w14:textId="4814634A" w:rsidR="001D0FF8" w:rsidRPr="00BF1353" w:rsidRDefault="001D0FF8" w:rsidP="00BF1353">
    <w:pPr>
      <w:pStyle w:val="FooterEvenPage"/>
    </w:pPr>
    <w:r>
      <w:fldChar w:fldCharType="begin"/>
    </w:r>
    <w:r>
      <w:instrText>PAGE \* MERGEFORMAT</w:instrText>
    </w:r>
    <w:r>
      <w:fldChar w:fldCharType="separate"/>
    </w:r>
    <w:r>
      <w:t>2</w:t>
    </w:r>
    <w:r>
      <w:fldChar w:fldCharType="end"/>
    </w:r>
    <w:r>
      <w:tab/>
    </w:r>
    <w:r w:rsidRPr="00141FEB">
      <w:t>Energy, Environment and Climate Action</w:t>
    </w:r>
    <w:r>
      <w:tab/>
    </w:r>
    <w:r w:rsidR="004E0585" w:rsidRPr="004E0585">
      <w:t>2026-27</w:t>
    </w:r>
    <w:r>
      <w:t xml:space="preserve"> Department Performance Statement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63DE" w14:textId="059A3A37" w:rsidR="001D0FF8" w:rsidRPr="00BF1353" w:rsidRDefault="004E0585" w:rsidP="00BF1353">
    <w:pPr>
      <w:pStyle w:val="FooterOddPage"/>
    </w:pPr>
    <w:r w:rsidRPr="004E0585">
      <w:t>2026-27</w:t>
    </w:r>
    <w:r w:rsidR="001D0FF8" w:rsidRPr="00BF1353">
      <w:t xml:space="preserve"> Department Performance Statement</w:t>
    </w:r>
    <w:r w:rsidR="001D0FF8" w:rsidRPr="00BF1353">
      <w:tab/>
    </w:r>
    <w:r w:rsidR="001D0FF8" w:rsidRPr="00141FEB">
      <w:t>Energy, Environment and Climate Action</w:t>
    </w:r>
    <w:r w:rsidR="001D0FF8" w:rsidRPr="00BF1353">
      <w:tab/>
    </w:r>
    <w:r w:rsidR="001D0FF8" w:rsidRPr="00BF1353">
      <w:fldChar w:fldCharType="begin"/>
    </w:r>
    <w:r w:rsidR="001D0FF8" w:rsidRPr="00BF1353">
      <w:instrText>PAGE \* MERGEFORMAT</w:instrText>
    </w:r>
    <w:r w:rsidR="001D0FF8" w:rsidRPr="00BF1353">
      <w:fldChar w:fldCharType="separate"/>
    </w:r>
    <w:r w:rsidR="001D0FF8" w:rsidRPr="00BF1353">
      <w:t>1</w:t>
    </w:r>
    <w:r w:rsidR="001D0FF8" w:rsidRPr="00BF135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E8D4" w14:textId="1AD4DB3C" w:rsidR="00342D8C" w:rsidRPr="00BF1353" w:rsidRDefault="00342D8C" w:rsidP="00BF1353">
    <w:pPr>
      <w:pStyle w:val="FooterEvenPage"/>
    </w:pPr>
    <w:r>
      <w:fldChar w:fldCharType="begin"/>
    </w:r>
    <w:r>
      <w:instrText>PAGE \* MERGEFORMAT</w:instrText>
    </w:r>
    <w:r>
      <w:fldChar w:fldCharType="separate"/>
    </w:r>
    <w:r>
      <w:t>2</w:t>
    </w:r>
    <w:r>
      <w:fldChar w:fldCharType="end"/>
    </w:r>
    <w:r>
      <w:tab/>
    </w:r>
    <w:r w:rsidRPr="00342D8C">
      <w:t>Families, Fairness and Housing</w:t>
    </w:r>
    <w:r>
      <w:tab/>
    </w:r>
    <w:r w:rsidR="004E0585" w:rsidRPr="004E0585">
      <w:t>2026-27</w:t>
    </w:r>
    <w:r>
      <w:t xml:space="preserve"> Department Performance Statement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F58D9" w14:textId="77777777" w:rsidR="00DD269E" w:rsidRDefault="00DD269E" w:rsidP="00E97E54">
      <w:r>
        <w:separator/>
      </w:r>
    </w:p>
  </w:footnote>
  <w:footnote w:type="continuationSeparator" w:id="0">
    <w:p w14:paraId="5EA058BE" w14:textId="77777777" w:rsidR="00DD269E" w:rsidRDefault="00DD269E" w:rsidP="00E97E54">
      <w:r>
        <w:continuationSeparator/>
      </w:r>
    </w:p>
  </w:footnote>
  <w:footnote w:type="continuationNotice" w:id="1">
    <w:p w14:paraId="710308E7" w14:textId="77777777" w:rsidR="00DD269E" w:rsidRDefault="00DD269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80E454C"/>
    <w:lvl w:ilvl="0">
      <w:start w:val="1"/>
      <w:numFmt w:val="decimal"/>
      <w:lvlText w:val="%1."/>
      <w:lvlJc w:val="left"/>
      <w:pPr>
        <w:tabs>
          <w:tab w:val="num" w:pos="926"/>
        </w:tabs>
        <w:ind w:left="926" w:hanging="360"/>
      </w:pPr>
    </w:lvl>
  </w:abstractNum>
  <w:abstractNum w:abstractNumId="1" w15:restartNumberingAfterBreak="0">
    <w:nsid w:val="FFFFFF7F"/>
    <w:multiLevelType w:val="multilevel"/>
    <w:tmpl w:val="2A00BD5E"/>
    <w:lvl w:ilvl="0">
      <w:start w:val="1"/>
      <w:numFmt w:val="bullet"/>
      <w:pStyle w:val="ShadedBox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2" w15:restartNumberingAfterBreak="0">
    <w:nsid w:val="FFFFFF80"/>
    <w:multiLevelType w:val="hybridMultilevel"/>
    <w:tmpl w:val="FFFFFFFF"/>
    <w:styleLink w:val="ArticleSection"/>
    <w:lvl w:ilvl="0" w:tplc="F192FA44">
      <w:start w:val="1"/>
      <w:numFmt w:val="bullet"/>
      <w:lvlText w:val=""/>
      <w:lvlJc w:val="left"/>
      <w:pPr>
        <w:ind w:left="720" w:hanging="360"/>
      </w:pPr>
      <w:rPr>
        <w:rFonts w:ascii="Symbol" w:hAnsi="Symbol" w:hint="default"/>
      </w:rPr>
    </w:lvl>
    <w:lvl w:ilvl="1" w:tplc="98B28112">
      <w:start w:val="1"/>
      <w:numFmt w:val="bullet"/>
      <w:lvlText w:val="o"/>
      <w:lvlJc w:val="left"/>
      <w:pPr>
        <w:ind w:left="1440" w:hanging="360"/>
      </w:pPr>
      <w:rPr>
        <w:rFonts w:ascii="Courier New" w:hAnsi="Courier New" w:hint="default"/>
      </w:rPr>
    </w:lvl>
    <w:lvl w:ilvl="2" w:tplc="21540E04">
      <w:start w:val="1"/>
      <w:numFmt w:val="bullet"/>
      <w:lvlText w:val=""/>
      <w:lvlJc w:val="left"/>
      <w:pPr>
        <w:ind w:left="2160" w:hanging="360"/>
      </w:pPr>
      <w:rPr>
        <w:rFonts w:ascii="Wingdings" w:hAnsi="Wingdings" w:hint="default"/>
      </w:rPr>
    </w:lvl>
    <w:lvl w:ilvl="3" w:tplc="18D0361C">
      <w:start w:val="1"/>
      <w:numFmt w:val="bullet"/>
      <w:lvlText w:val=""/>
      <w:lvlJc w:val="left"/>
      <w:pPr>
        <w:ind w:left="2880" w:hanging="360"/>
      </w:pPr>
      <w:rPr>
        <w:rFonts w:ascii="Symbol" w:hAnsi="Symbol" w:hint="default"/>
      </w:rPr>
    </w:lvl>
    <w:lvl w:ilvl="4" w:tplc="20908AD2">
      <w:start w:val="1"/>
      <w:numFmt w:val="bullet"/>
      <w:lvlText w:val="o"/>
      <w:lvlJc w:val="left"/>
      <w:pPr>
        <w:ind w:left="3600" w:hanging="360"/>
      </w:pPr>
      <w:rPr>
        <w:rFonts w:ascii="Courier New" w:hAnsi="Courier New" w:hint="default"/>
      </w:rPr>
    </w:lvl>
    <w:lvl w:ilvl="5" w:tplc="32F07B24">
      <w:start w:val="1"/>
      <w:numFmt w:val="bullet"/>
      <w:lvlText w:val=""/>
      <w:lvlJc w:val="left"/>
      <w:pPr>
        <w:ind w:left="4320" w:hanging="360"/>
      </w:pPr>
      <w:rPr>
        <w:rFonts w:ascii="Wingdings" w:hAnsi="Wingdings" w:hint="default"/>
      </w:rPr>
    </w:lvl>
    <w:lvl w:ilvl="6" w:tplc="A8427A9A">
      <w:start w:val="1"/>
      <w:numFmt w:val="bullet"/>
      <w:lvlText w:val=""/>
      <w:lvlJc w:val="left"/>
      <w:pPr>
        <w:ind w:left="5040" w:hanging="360"/>
      </w:pPr>
      <w:rPr>
        <w:rFonts w:ascii="Symbol" w:hAnsi="Symbol" w:hint="default"/>
      </w:rPr>
    </w:lvl>
    <w:lvl w:ilvl="7" w:tplc="ED6CF3A6">
      <w:start w:val="1"/>
      <w:numFmt w:val="bullet"/>
      <w:lvlText w:val="o"/>
      <w:lvlJc w:val="left"/>
      <w:pPr>
        <w:ind w:left="5760" w:hanging="360"/>
      </w:pPr>
      <w:rPr>
        <w:rFonts w:ascii="Courier New" w:hAnsi="Courier New" w:hint="default"/>
      </w:rPr>
    </w:lvl>
    <w:lvl w:ilvl="8" w:tplc="DA9295FE">
      <w:start w:val="1"/>
      <w:numFmt w:val="bullet"/>
      <w:lvlText w:val=""/>
      <w:lvlJc w:val="left"/>
      <w:pPr>
        <w:ind w:left="6480" w:hanging="360"/>
      </w:pPr>
      <w:rPr>
        <w:rFonts w:ascii="Wingdings" w:hAnsi="Wingdings" w:hint="default"/>
      </w:rPr>
    </w:lvl>
  </w:abstractNum>
  <w:abstractNum w:abstractNumId="3"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EBE40782"/>
    <w:lvl w:ilvl="0">
      <w:start w:val="1"/>
      <w:numFmt w:val="bullet"/>
      <w:pStyle w:val="ListBullet3"/>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23F4D53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AD72EE"/>
    <w:multiLevelType w:val="hybridMultilevel"/>
    <w:tmpl w:val="92A41A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0B7BBB"/>
    <w:multiLevelType w:val="hybridMultilevel"/>
    <w:tmpl w:val="FFFFFFFF"/>
    <w:lvl w:ilvl="0" w:tplc="F192FA44">
      <w:start w:val="1"/>
      <w:numFmt w:val="bullet"/>
      <w:lvlText w:val=""/>
      <w:lvlJc w:val="left"/>
      <w:pPr>
        <w:ind w:left="720" w:hanging="360"/>
      </w:pPr>
      <w:rPr>
        <w:rFonts w:ascii="Symbol" w:hAnsi="Symbol" w:hint="default"/>
      </w:rPr>
    </w:lvl>
    <w:lvl w:ilvl="1" w:tplc="98B28112">
      <w:start w:val="1"/>
      <w:numFmt w:val="bullet"/>
      <w:lvlText w:val="o"/>
      <w:lvlJc w:val="left"/>
      <w:pPr>
        <w:ind w:left="1440" w:hanging="360"/>
      </w:pPr>
      <w:rPr>
        <w:rFonts w:ascii="Courier New" w:hAnsi="Courier New" w:hint="default"/>
      </w:rPr>
    </w:lvl>
    <w:lvl w:ilvl="2" w:tplc="21540E04">
      <w:start w:val="1"/>
      <w:numFmt w:val="bullet"/>
      <w:lvlText w:val=""/>
      <w:lvlJc w:val="left"/>
      <w:pPr>
        <w:ind w:left="2160" w:hanging="360"/>
      </w:pPr>
      <w:rPr>
        <w:rFonts w:ascii="Wingdings" w:hAnsi="Wingdings" w:hint="default"/>
      </w:rPr>
    </w:lvl>
    <w:lvl w:ilvl="3" w:tplc="18D0361C">
      <w:start w:val="1"/>
      <w:numFmt w:val="bullet"/>
      <w:lvlText w:val=""/>
      <w:lvlJc w:val="left"/>
      <w:pPr>
        <w:ind w:left="2880" w:hanging="360"/>
      </w:pPr>
      <w:rPr>
        <w:rFonts w:ascii="Symbol" w:hAnsi="Symbol" w:hint="default"/>
      </w:rPr>
    </w:lvl>
    <w:lvl w:ilvl="4" w:tplc="20908AD2">
      <w:start w:val="1"/>
      <w:numFmt w:val="bullet"/>
      <w:lvlText w:val="o"/>
      <w:lvlJc w:val="left"/>
      <w:pPr>
        <w:ind w:left="3600" w:hanging="360"/>
      </w:pPr>
      <w:rPr>
        <w:rFonts w:ascii="Courier New" w:hAnsi="Courier New" w:hint="default"/>
      </w:rPr>
    </w:lvl>
    <w:lvl w:ilvl="5" w:tplc="32F07B24">
      <w:start w:val="1"/>
      <w:numFmt w:val="bullet"/>
      <w:lvlText w:val=""/>
      <w:lvlJc w:val="left"/>
      <w:pPr>
        <w:ind w:left="4320" w:hanging="360"/>
      </w:pPr>
      <w:rPr>
        <w:rFonts w:ascii="Wingdings" w:hAnsi="Wingdings" w:hint="default"/>
      </w:rPr>
    </w:lvl>
    <w:lvl w:ilvl="6" w:tplc="A8427A9A">
      <w:start w:val="1"/>
      <w:numFmt w:val="bullet"/>
      <w:lvlText w:val=""/>
      <w:lvlJc w:val="left"/>
      <w:pPr>
        <w:ind w:left="5040" w:hanging="360"/>
      </w:pPr>
      <w:rPr>
        <w:rFonts w:ascii="Symbol" w:hAnsi="Symbol" w:hint="default"/>
      </w:rPr>
    </w:lvl>
    <w:lvl w:ilvl="7" w:tplc="ED6CF3A6">
      <w:start w:val="1"/>
      <w:numFmt w:val="bullet"/>
      <w:lvlText w:val="o"/>
      <w:lvlJc w:val="left"/>
      <w:pPr>
        <w:ind w:left="5760" w:hanging="360"/>
      </w:pPr>
      <w:rPr>
        <w:rFonts w:ascii="Courier New" w:hAnsi="Courier New" w:hint="default"/>
      </w:rPr>
    </w:lvl>
    <w:lvl w:ilvl="8" w:tplc="DA9295FE">
      <w:start w:val="1"/>
      <w:numFmt w:val="bullet"/>
      <w:lvlText w:val=""/>
      <w:lvlJc w:val="left"/>
      <w:pPr>
        <w:ind w:left="6480" w:hanging="360"/>
      </w:pPr>
      <w:rPr>
        <w:rFonts w:ascii="Wingdings" w:hAnsi="Wingdings" w:hint="default"/>
      </w:rPr>
    </w:lvl>
  </w:abstractNum>
  <w:abstractNum w:abstractNumId="8" w15:restartNumberingAfterBreak="0">
    <w:nsid w:val="03700CFC"/>
    <w:multiLevelType w:val="multilevel"/>
    <w:tmpl w:val="4678DE80"/>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9" w15:restartNumberingAfterBreak="0">
    <w:nsid w:val="03B565AE"/>
    <w:multiLevelType w:val="hybridMultilevel"/>
    <w:tmpl w:val="F216D226"/>
    <w:lvl w:ilvl="0" w:tplc="D2020DC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48D494D"/>
    <w:multiLevelType w:val="hybridMultilevel"/>
    <w:tmpl w:val="66A07866"/>
    <w:lvl w:ilvl="0" w:tplc="2D2AFC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49737A4"/>
    <w:multiLevelType w:val="hybridMultilevel"/>
    <w:tmpl w:val="974A6156"/>
    <w:lvl w:ilvl="0" w:tplc="CCD8204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4CF1B21"/>
    <w:multiLevelType w:val="multilevel"/>
    <w:tmpl w:val="1068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0C44D9"/>
    <w:multiLevelType w:val="hybridMultilevel"/>
    <w:tmpl w:val="CF9C355E"/>
    <w:lvl w:ilvl="0" w:tplc="E5A69192">
      <w:start w:val="1"/>
      <w:numFmt w:val="bullet"/>
      <w:lvlText w:val=""/>
      <w:lvlJc w:val="left"/>
      <w:pPr>
        <w:ind w:left="720" w:hanging="360"/>
      </w:pPr>
      <w:rPr>
        <w:rFonts w:ascii="Symbol" w:hAnsi="Symbol" w:hint="default"/>
      </w:rPr>
    </w:lvl>
    <w:lvl w:ilvl="1" w:tplc="F87E8156">
      <w:start w:val="1"/>
      <w:numFmt w:val="bullet"/>
      <w:lvlText w:val="o"/>
      <w:lvlJc w:val="left"/>
      <w:pPr>
        <w:ind w:left="1440" w:hanging="360"/>
      </w:pPr>
      <w:rPr>
        <w:rFonts w:ascii="Courier New" w:hAnsi="Courier New" w:hint="default"/>
      </w:rPr>
    </w:lvl>
    <w:lvl w:ilvl="2" w:tplc="3A4A990A">
      <w:start w:val="1"/>
      <w:numFmt w:val="bullet"/>
      <w:lvlText w:val=""/>
      <w:lvlJc w:val="left"/>
      <w:pPr>
        <w:ind w:left="2160" w:hanging="360"/>
      </w:pPr>
      <w:rPr>
        <w:rFonts w:ascii="Wingdings" w:hAnsi="Wingdings" w:hint="default"/>
      </w:rPr>
    </w:lvl>
    <w:lvl w:ilvl="3" w:tplc="8A102C8A">
      <w:start w:val="1"/>
      <w:numFmt w:val="bullet"/>
      <w:lvlText w:val=""/>
      <w:lvlJc w:val="left"/>
      <w:pPr>
        <w:ind w:left="2880" w:hanging="360"/>
      </w:pPr>
      <w:rPr>
        <w:rFonts w:ascii="Symbol" w:hAnsi="Symbol" w:hint="default"/>
      </w:rPr>
    </w:lvl>
    <w:lvl w:ilvl="4" w:tplc="033C7972">
      <w:start w:val="1"/>
      <w:numFmt w:val="bullet"/>
      <w:lvlText w:val="o"/>
      <w:lvlJc w:val="left"/>
      <w:pPr>
        <w:ind w:left="3600" w:hanging="360"/>
      </w:pPr>
      <w:rPr>
        <w:rFonts w:ascii="Courier New" w:hAnsi="Courier New" w:hint="default"/>
      </w:rPr>
    </w:lvl>
    <w:lvl w:ilvl="5" w:tplc="956A7AA8">
      <w:start w:val="1"/>
      <w:numFmt w:val="bullet"/>
      <w:lvlText w:val=""/>
      <w:lvlJc w:val="left"/>
      <w:pPr>
        <w:ind w:left="4320" w:hanging="360"/>
      </w:pPr>
      <w:rPr>
        <w:rFonts w:ascii="Wingdings" w:hAnsi="Wingdings" w:hint="default"/>
      </w:rPr>
    </w:lvl>
    <w:lvl w:ilvl="6" w:tplc="DF927BA8">
      <w:start w:val="1"/>
      <w:numFmt w:val="bullet"/>
      <w:lvlText w:val=""/>
      <w:lvlJc w:val="left"/>
      <w:pPr>
        <w:ind w:left="5040" w:hanging="360"/>
      </w:pPr>
      <w:rPr>
        <w:rFonts w:ascii="Symbol" w:hAnsi="Symbol" w:hint="default"/>
      </w:rPr>
    </w:lvl>
    <w:lvl w:ilvl="7" w:tplc="46E2AC9E">
      <w:start w:val="1"/>
      <w:numFmt w:val="bullet"/>
      <w:lvlText w:val="o"/>
      <w:lvlJc w:val="left"/>
      <w:pPr>
        <w:ind w:left="5760" w:hanging="360"/>
      </w:pPr>
      <w:rPr>
        <w:rFonts w:ascii="Courier New" w:hAnsi="Courier New" w:hint="default"/>
      </w:rPr>
    </w:lvl>
    <w:lvl w:ilvl="8" w:tplc="BE7E77CE">
      <w:start w:val="1"/>
      <w:numFmt w:val="bullet"/>
      <w:lvlText w:val=""/>
      <w:lvlJc w:val="left"/>
      <w:pPr>
        <w:ind w:left="6480" w:hanging="360"/>
      </w:pPr>
      <w:rPr>
        <w:rFonts w:ascii="Wingdings" w:hAnsi="Wingdings" w:hint="default"/>
      </w:rPr>
    </w:lvl>
  </w:abstractNum>
  <w:abstractNum w:abstractNumId="14" w15:restartNumberingAfterBreak="0">
    <w:nsid w:val="06E51D89"/>
    <w:multiLevelType w:val="hybridMultilevel"/>
    <w:tmpl w:val="92A41A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8C63379"/>
    <w:multiLevelType w:val="hybridMultilevel"/>
    <w:tmpl w:val="C66CD02E"/>
    <w:lvl w:ilvl="0" w:tplc="18A6FEE2">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9855D15"/>
    <w:multiLevelType w:val="hybridMultilevel"/>
    <w:tmpl w:val="9334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98B5183"/>
    <w:multiLevelType w:val="hybridMultilevel"/>
    <w:tmpl w:val="C5A6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9C216DA"/>
    <w:multiLevelType w:val="hybridMultilevel"/>
    <w:tmpl w:val="DD26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C444B23"/>
    <w:multiLevelType w:val="multilevel"/>
    <w:tmpl w:val="3654BD3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20" w15:restartNumberingAfterBreak="0">
    <w:nsid w:val="0C857136"/>
    <w:multiLevelType w:val="multilevel"/>
    <w:tmpl w:val="DFDED3A4"/>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C8879F7"/>
    <w:multiLevelType w:val="singleLevel"/>
    <w:tmpl w:val="8CAE8114"/>
    <w:lvl w:ilvl="0">
      <w:start w:val="1"/>
      <w:numFmt w:val="bullet"/>
      <w:lvlText w:val=""/>
      <w:lvlJc w:val="left"/>
      <w:pPr>
        <w:tabs>
          <w:tab w:val="num" w:pos="1209"/>
        </w:tabs>
        <w:ind w:left="1209" w:hanging="360"/>
      </w:pPr>
      <w:rPr>
        <w:rFonts w:ascii="Symbol" w:hAnsi="Symbol" w:hint="default"/>
      </w:rPr>
    </w:lvl>
  </w:abstractNum>
  <w:abstractNum w:abstractNumId="22" w15:restartNumberingAfterBreak="0">
    <w:nsid w:val="0CC93315"/>
    <w:multiLevelType w:val="hybridMultilevel"/>
    <w:tmpl w:val="9F4E10F6"/>
    <w:lvl w:ilvl="0" w:tplc="8616629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0E3D5EA8"/>
    <w:multiLevelType w:val="hybridMultilevel"/>
    <w:tmpl w:val="63B4620E"/>
    <w:lvl w:ilvl="0" w:tplc="C22831A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0E3D5EAC"/>
    <w:multiLevelType w:val="hybridMultilevel"/>
    <w:tmpl w:val="AC3AD8C0"/>
    <w:lvl w:ilvl="0" w:tplc="A8FC39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0F920CCE"/>
    <w:multiLevelType w:val="hybridMultilevel"/>
    <w:tmpl w:val="F49EEAD6"/>
    <w:lvl w:ilvl="0" w:tplc="F5401E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01C2A96"/>
    <w:multiLevelType w:val="hybridMultilevel"/>
    <w:tmpl w:val="A3F44F74"/>
    <w:lvl w:ilvl="0" w:tplc="5F20C1E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2004E71"/>
    <w:multiLevelType w:val="hybridMultilevel"/>
    <w:tmpl w:val="25AA7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209711A"/>
    <w:multiLevelType w:val="hybridMultilevel"/>
    <w:tmpl w:val="FFFFFFFF"/>
    <w:lvl w:ilvl="0" w:tplc="1EF2ADF8">
      <w:start w:val="1"/>
      <w:numFmt w:val="bullet"/>
      <w:lvlText w:val=""/>
      <w:lvlJc w:val="left"/>
      <w:pPr>
        <w:ind w:left="720" w:hanging="360"/>
      </w:pPr>
      <w:rPr>
        <w:rFonts w:ascii="Symbol" w:hAnsi="Symbol" w:hint="default"/>
      </w:rPr>
    </w:lvl>
    <w:lvl w:ilvl="1" w:tplc="913AEC7C">
      <w:start w:val="1"/>
      <w:numFmt w:val="bullet"/>
      <w:lvlText w:val="o"/>
      <w:lvlJc w:val="left"/>
      <w:pPr>
        <w:ind w:left="1440" w:hanging="360"/>
      </w:pPr>
      <w:rPr>
        <w:rFonts w:ascii="Courier New" w:hAnsi="Courier New" w:hint="default"/>
      </w:rPr>
    </w:lvl>
    <w:lvl w:ilvl="2" w:tplc="E5F6973C">
      <w:start w:val="1"/>
      <w:numFmt w:val="bullet"/>
      <w:lvlText w:val=""/>
      <w:lvlJc w:val="left"/>
      <w:pPr>
        <w:ind w:left="2160" w:hanging="360"/>
      </w:pPr>
      <w:rPr>
        <w:rFonts w:ascii="Wingdings" w:hAnsi="Wingdings" w:hint="default"/>
      </w:rPr>
    </w:lvl>
    <w:lvl w:ilvl="3" w:tplc="57886EB6">
      <w:start w:val="1"/>
      <w:numFmt w:val="bullet"/>
      <w:lvlText w:val=""/>
      <w:lvlJc w:val="left"/>
      <w:pPr>
        <w:ind w:left="2880" w:hanging="360"/>
      </w:pPr>
      <w:rPr>
        <w:rFonts w:ascii="Symbol" w:hAnsi="Symbol" w:hint="default"/>
      </w:rPr>
    </w:lvl>
    <w:lvl w:ilvl="4" w:tplc="CCBE25C4">
      <w:start w:val="1"/>
      <w:numFmt w:val="bullet"/>
      <w:lvlText w:val="o"/>
      <w:lvlJc w:val="left"/>
      <w:pPr>
        <w:ind w:left="3600" w:hanging="360"/>
      </w:pPr>
      <w:rPr>
        <w:rFonts w:ascii="Courier New" w:hAnsi="Courier New" w:hint="default"/>
      </w:rPr>
    </w:lvl>
    <w:lvl w:ilvl="5" w:tplc="3D3EBD22">
      <w:start w:val="1"/>
      <w:numFmt w:val="bullet"/>
      <w:lvlText w:val=""/>
      <w:lvlJc w:val="left"/>
      <w:pPr>
        <w:ind w:left="4320" w:hanging="360"/>
      </w:pPr>
      <w:rPr>
        <w:rFonts w:ascii="Wingdings" w:hAnsi="Wingdings" w:hint="default"/>
      </w:rPr>
    </w:lvl>
    <w:lvl w:ilvl="6" w:tplc="423EB3C8">
      <w:start w:val="1"/>
      <w:numFmt w:val="bullet"/>
      <w:lvlText w:val=""/>
      <w:lvlJc w:val="left"/>
      <w:pPr>
        <w:ind w:left="5040" w:hanging="360"/>
      </w:pPr>
      <w:rPr>
        <w:rFonts w:ascii="Symbol" w:hAnsi="Symbol" w:hint="default"/>
      </w:rPr>
    </w:lvl>
    <w:lvl w:ilvl="7" w:tplc="8BFA5F0E">
      <w:start w:val="1"/>
      <w:numFmt w:val="bullet"/>
      <w:lvlText w:val="o"/>
      <w:lvlJc w:val="left"/>
      <w:pPr>
        <w:ind w:left="5760" w:hanging="360"/>
      </w:pPr>
      <w:rPr>
        <w:rFonts w:ascii="Courier New" w:hAnsi="Courier New" w:hint="default"/>
      </w:rPr>
    </w:lvl>
    <w:lvl w:ilvl="8" w:tplc="15909820">
      <w:start w:val="1"/>
      <w:numFmt w:val="bullet"/>
      <w:lvlText w:val=""/>
      <w:lvlJc w:val="left"/>
      <w:pPr>
        <w:ind w:left="6480" w:hanging="360"/>
      </w:pPr>
      <w:rPr>
        <w:rFonts w:ascii="Wingdings" w:hAnsi="Wingdings" w:hint="default"/>
      </w:rPr>
    </w:lvl>
  </w:abstractNum>
  <w:abstractNum w:abstractNumId="29" w15:restartNumberingAfterBreak="0">
    <w:nsid w:val="14DD1C6C"/>
    <w:multiLevelType w:val="hybridMultilevel"/>
    <w:tmpl w:val="40323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6544ED2"/>
    <w:multiLevelType w:val="multilevel"/>
    <w:tmpl w:val="1FEE74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165E3F5A"/>
    <w:multiLevelType w:val="hybridMultilevel"/>
    <w:tmpl w:val="87125292"/>
    <w:lvl w:ilvl="0" w:tplc="EC38D0D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69F7722"/>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6B28B30"/>
    <w:multiLevelType w:val="hybridMultilevel"/>
    <w:tmpl w:val="6AA0DD16"/>
    <w:lvl w:ilvl="0" w:tplc="50B6BFC0">
      <w:start w:val="1"/>
      <w:numFmt w:val="bullet"/>
      <w:lvlText w:val=""/>
      <w:lvlJc w:val="left"/>
      <w:pPr>
        <w:ind w:left="720" w:hanging="360"/>
      </w:pPr>
      <w:rPr>
        <w:rFonts w:ascii="Symbol" w:hAnsi="Symbol" w:hint="default"/>
      </w:rPr>
    </w:lvl>
    <w:lvl w:ilvl="1" w:tplc="98D82444">
      <w:start w:val="1"/>
      <w:numFmt w:val="bullet"/>
      <w:lvlText w:val="o"/>
      <w:lvlJc w:val="left"/>
      <w:pPr>
        <w:ind w:left="1440" w:hanging="360"/>
      </w:pPr>
      <w:rPr>
        <w:rFonts w:ascii="Courier New" w:hAnsi="Courier New" w:hint="default"/>
      </w:rPr>
    </w:lvl>
    <w:lvl w:ilvl="2" w:tplc="B0A42194">
      <w:start w:val="1"/>
      <w:numFmt w:val="bullet"/>
      <w:lvlText w:val=""/>
      <w:lvlJc w:val="left"/>
      <w:pPr>
        <w:ind w:left="2160" w:hanging="360"/>
      </w:pPr>
      <w:rPr>
        <w:rFonts w:ascii="Wingdings" w:hAnsi="Wingdings" w:hint="default"/>
      </w:rPr>
    </w:lvl>
    <w:lvl w:ilvl="3" w:tplc="792C13F8">
      <w:start w:val="1"/>
      <w:numFmt w:val="bullet"/>
      <w:lvlText w:val=""/>
      <w:lvlJc w:val="left"/>
      <w:pPr>
        <w:ind w:left="2880" w:hanging="360"/>
      </w:pPr>
      <w:rPr>
        <w:rFonts w:ascii="Symbol" w:hAnsi="Symbol" w:hint="default"/>
      </w:rPr>
    </w:lvl>
    <w:lvl w:ilvl="4" w:tplc="882A1CE6">
      <w:start w:val="1"/>
      <w:numFmt w:val="bullet"/>
      <w:lvlText w:val="o"/>
      <w:lvlJc w:val="left"/>
      <w:pPr>
        <w:ind w:left="3600" w:hanging="360"/>
      </w:pPr>
      <w:rPr>
        <w:rFonts w:ascii="Courier New" w:hAnsi="Courier New" w:hint="default"/>
      </w:rPr>
    </w:lvl>
    <w:lvl w:ilvl="5" w:tplc="FC46D494">
      <w:start w:val="1"/>
      <w:numFmt w:val="bullet"/>
      <w:lvlText w:val=""/>
      <w:lvlJc w:val="left"/>
      <w:pPr>
        <w:ind w:left="4320" w:hanging="360"/>
      </w:pPr>
      <w:rPr>
        <w:rFonts w:ascii="Wingdings" w:hAnsi="Wingdings" w:hint="default"/>
      </w:rPr>
    </w:lvl>
    <w:lvl w:ilvl="6" w:tplc="DAE8B19A">
      <w:start w:val="1"/>
      <w:numFmt w:val="bullet"/>
      <w:lvlText w:val=""/>
      <w:lvlJc w:val="left"/>
      <w:pPr>
        <w:ind w:left="5040" w:hanging="360"/>
      </w:pPr>
      <w:rPr>
        <w:rFonts w:ascii="Symbol" w:hAnsi="Symbol" w:hint="default"/>
      </w:rPr>
    </w:lvl>
    <w:lvl w:ilvl="7" w:tplc="EA462444">
      <w:start w:val="1"/>
      <w:numFmt w:val="bullet"/>
      <w:lvlText w:val="o"/>
      <w:lvlJc w:val="left"/>
      <w:pPr>
        <w:ind w:left="5760" w:hanging="360"/>
      </w:pPr>
      <w:rPr>
        <w:rFonts w:ascii="Courier New" w:hAnsi="Courier New" w:hint="default"/>
      </w:rPr>
    </w:lvl>
    <w:lvl w:ilvl="8" w:tplc="A858DDCA">
      <w:start w:val="1"/>
      <w:numFmt w:val="bullet"/>
      <w:lvlText w:val=""/>
      <w:lvlJc w:val="left"/>
      <w:pPr>
        <w:ind w:left="6480" w:hanging="360"/>
      </w:pPr>
      <w:rPr>
        <w:rFonts w:ascii="Wingdings" w:hAnsi="Wingdings" w:hint="default"/>
      </w:rPr>
    </w:lvl>
  </w:abstractNum>
  <w:abstractNum w:abstractNumId="34" w15:restartNumberingAfterBreak="0">
    <w:nsid w:val="173330AE"/>
    <w:multiLevelType w:val="hybridMultilevel"/>
    <w:tmpl w:val="8AF0A752"/>
    <w:lvl w:ilvl="0" w:tplc="0C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5" w15:restartNumberingAfterBreak="0">
    <w:nsid w:val="17CC4D14"/>
    <w:multiLevelType w:val="hybridMultilevel"/>
    <w:tmpl w:val="DA5EC378"/>
    <w:lvl w:ilvl="0" w:tplc="46FA4C4A">
      <w:start w:val="1"/>
      <w:numFmt w:val="bullet"/>
      <w:lvlText w:val=""/>
      <w:lvlJc w:val="left"/>
      <w:pPr>
        <w:ind w:left="720" w:hanging="360"/>
      </w:pPr>
      <w:rPr>
        <w:rFonts w:ascii="Symbol" w:hAnsi="Symbol" w:hint="default"/>
      </w:rPr>
    </w:lvl>
    <w:lvl w:ilvl="1" w:tplc="3EB89B42">
      <w:start w:val="1"/>
      <w:numFmt w:val="bullet"/>
      <w:lvlText w:val="o"/>
      <w:lvlJc w:val="left"/>
      <w:pPr>
        <w:ind w:left="1440" w:hanging="360"/>
      </w:pPr>
      <w:rPr>
        <w:rFonts w:ascii="Courier New" w:hAnsi="Courier New" w:hint="default"/>
      </w:rPr>
    </w:lvl>
    <w:lvl w:ilvl="2" w:tplc="A84038A8">
      <w:start w:val="1"/>
      <w:numFmt w:val="bullet"/>
      <w:lvlText w:val=""/>
      <w:lvlJc w:val="left"/>
      <w:pPr>
        <w:ind w:left="2160" w:hanging="360"/>
      </w:pPr>
      <w:rPr>
        <w:rFonts w:ascii="Wingdings" w:hAnsi="Wingdings" w:hint="default"/>
      </w:rPr>
    </w:lvl>
    <w:lvl w:ilvl="3" w:tplc="F3302950">
      <w:start w:val="1"/>
      <w:numFmt w:val="bullet"/>
      <w:lvlText w:val=""/>
      <w:lvlJc w:val="left"/>
      <w:pPr>
        <w:ind w:left="2880" w:hanging="360"/>
      </w:pPr>
      <w:rPr>
        <w:rFonts w:ascii="Symbol" w:hAnsi="Symbol" w:hint="default"/>
      </w:rPr>
    </w:lvl>
    <w:lvl w:ilvl="4" w:tplc="31D41FEE">
      <w:start w:val="1"/>
      <w:numFmt w:val="bullet"/>
      <w:lvlText w:val="o"/>
      <w:lvlJc w:val="left"/>
      <w:pPr>
        <w:ind w:left="3600" w:hanging="360"/>
      </w:pPr>
      <w:rPr>
        <w:rFonts w:ascii="Courier New" w:hAnsi="Courier New" w:hint="default"/>
      </w:rPr>
    </w:lvl>
    <w:lvl w:ilvl="5" w:tplc="5C8CD7EA">
      <w:start w:val="1"/>
      <w:numFmt w:val="bullet"/>
      <w:lvlText w:val=""/>
      <w:lvlJc w:val="left"/>
      <w:pPr>
        <w:ind w:left="4320" w:hanging="360"/>
      </w:pPr>
      <w:rPr>
        <w:rFonts w:ascii="Wingdings" w:hAnsi="Wingdings" w:hint="default"/>
      </w:rPr>
    </w:lvl>
    <w:lvl w:ilvl="6" w:tplc="DEE6DF44">
      <w:start w:val="1"/>
      <w:numFmt w:val="bullet"/>
      <w:lvlText w:val=""/>
      <w:lvlJc w:val="left"/>
      <w:pPr>
        <w:ind w:left="5040" w:hanging="360"/>
      </w:pPr>
      <w:rPr>
        <w:rFonts w:ascii="Symbol" w:hAnsi="Symbol" w:hint="default"/>
      </w:rPr>
    </w:lvl>
    <w:lvl w:ilvl="7" w:tplc="E8547306">
      <w:start w:val="1"/>
      <w:numFmt w:val="bullet"/>
      <w:lvlText w:val="o"/>
      <w:lvlJc w:val="left"/>
      <w:pPr>
        <w:ind w:left="5760" w:hanging="360"/>
      </w:pPr>
      <w:rPr>
        <w:rFonts w:ascii="Courier New" w:hAnsi="Courier New" w:hint="default"/>
      </w:rPr>
    </w:lvl>
    <w:lvl w:ilvl="8" w:tplc="09463848">
      <w:start w:val="1"/>
      <w:numFmt w:val="bullet"/>
      <w:lvlText w:val=""/>
      <w:lvlJc w:val="left"/>
      <w:pPr>
        <w:ind w:left="6480" w:hanging="360"/>
      </w:pPr>
      <w:rPr>
        <w:rFonts w:ascii="Wingdings" w:hAnsi="Wingdings" w:hint="default"/>
      </w:rPr>
    </w:lvl>
  </w:abstractNum>
  <w:abstractNum w:abstractNumId="36" w15:restartNumberingAfterBreak="0">
    <w:nsid w:val="17D45046"/>
    <w:multiLevelType w:val="hybridMultilevel"/>
    <w:tmpl w:val="14C29582"/>
    <w:lvl w:ilvl="0" w:tplc="9CD4E9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8996576"/>
    <w:multiLevelType w:val="hybridMultilevel"/>
    <w:tmpl w:val="698A5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8FC21E1"/>
    <w:multiLevelType w:val="hybridMultilevel"/>
    <w:tmpl w:val="0AA82CEE"/>
    <w:lvl w:ilvl="0" w:tplc="2354D34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C616029"/>
    <w:multiLevelType w:val="hybridMultilevel"/>
    <w:tmpl w:val="7D90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D85374E"/>
    <w:multiLevelType w:val="hybridMultilevel"/>
    <w:tmpl w:val="E47AA8F8"/>
    <w:lvl w:ilvl="0" w:tplc="C74E7F5C">
      <w:numFmt w:val="bullet"/>
      <w:lvlText w:val="•"/>
      <w:lvlJc w:val="left"/>
      <w:pPr>
        <w:ind w:left="1516"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1DE51100"/>
    <w:multiLevelType w:val="hybridMultilevel"/>
    <w:tmpl w:val="E1FC0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E735BA6"/>
    <w:multiLevelType w:val="hybridMultilevel"/>
    <w:tmpl w:val="92A41ACA"/>
    <w:lvl w:ilvl="0" w:tplc="EE2CAE5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F91288E"/>
    <w:multiLevelType w:val="hybridMultilevel"/>
    <w:tmpl w:val="14D817D8"/>
    <w:lvl w:ilvl="0" w:tplc="03F2B308">
      <w:start w:val="1"/>
      <w:numFmt w:val="decimal"/>
      <w:lvlText w:val="%1."/>
      <w:lvlJc w:val="left"/>
      <w:pPr>
        <w:ind w:left="1020" w:hanging="360"/>
      </w:pPr>
    </w:lvl>
    <w:lvl w:ilvl="1" w:tplc="A5D8E8C4">
      <w:start w:val="1"/>
      <w:numFmt w:val="decimal"/>
      <w:lvlText w:val="%2."/>
      <w:lvlJc w:val="left"/>
      <w:pPr>
        <w:ind w:left="1020" w:hanging="360"/>
      </w:pPr>
    </w:lvl>
    <w:lvl w:ilvl="2" w:tplc="5AEC9842">
      <w:start w:val="1"/>
      <w:numFmt w:val="decimal"/>
      <w:lvlText w:val="%3."/>
      <w:lvlJc w:val="left"/>
      <w:pPr>
        <w:ind w:left="1020" w:hanging="360"/>
      </w:pPr>
    </w:lvl>
    <w:lvl w:ilvl="3" w:tplc="BA06FCD4">
      <w:start w:val="1"/>
      <w:numFmt w:val="decimal"/>
      <w:lvlText w:val="%4."/>
      <w:lvlJc w:val="left"/>
      <w:pPr>
        <w:ind w:left="1020" w:hanging="360"/>
      </w:pPr>
    </w:lvl>
    <w:lvl w:ilvl="4" w:tplc="DBBEA206">
      <w:start w:val="1"/>
      <w:numFmt w:val="decimal"/>
      <w:lvlText w:val="%5."/>
      <w:lvlJc w:val="left"/>
      <w:pPr>
        <w:ind w:left="1020" w:hanging="360"/>
      </w:pPr>
    </w:lvl>
    <w:lvl w:ilvl="5" w:tplc="30882DEA">
      <w:start w:val="1"/>
      <w:numFmt w:val="decimal"/>
      <w:lvlText w:val="%6."/>
      <w:lvlJc w:val="left"/>
      <w:pPr>
        <w:ind w:left="1020" w:hanging="360"/>
      </w:pPr>
    </w:lvl>
    <w:lvl w:ilvl="6" w:tplc="D7F09428">
      <w:start w:val="1"/>
      <w:numFmt w:val="decimal"/>
      <w:lvlText w:val="%7."/>
      <w:lvlJc w:val="left"/>
      <w:pPr>
        <w:ind w:left="1020" w:hanging="360"/>
      </w:pPr>
    </w:lvl>
    <w:lvl w:ilvl="7" w:tplc="2DD81F76">
      <w:start w:val="1"/>
      <w:numFmt w:val="decimal"/>
      <w:lvlText w:val="%8."/>
      <w:lvlJc w:val="left"/>
      <w:pPr>
        <w:ind w:left="1020" w:hanging="360"/>
      </w:pPr>
    </w:lvl>
    <w:lvl w:ilvl="8" w:tplc="3A1A83C2">
      <w:start w:val="1"/>
      <w:numFmt w:val="decimal"/>
      <w:lvlText w:val="%9."/>
      <w:lvlJc w:val="left"/>
      <w:pPr>
        <w:ind w:left="1020" w:hanging="360"/>
      </w:pPr>
    </w:lvl>
  </w:abstractNum>
  <w:abstractNum w:abstractNumId="44" w15:restartNumberingAfterBreak="0">
    <w:nsid w:val="1F9D1132"/>
    <w:multiLevelType w:val="hybridMultilevel"/>
    <w:tmpl w:val="E1004340"/>
    <w:lvl w:ilvl="0" w:tplc="AEA8E7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1FB92350"/>
    <w:multiLevelType w:val="multilevel"/>
    <w:tmpl w:val="C8BEBC58"/>
    <w:lvl w:ilvl="0">
      <w:start w:val="1"/>
      <w:numFmt w:val="decimal"/>
      <w:pStyle w:val="List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FCC7D25"/>
    <w:multiLevelType w:val="multilevel"/>
    <w:tmpl w:val="EFCE6D40"/>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7" w15:restartNumberingAfterBreak="0">
    <w:nsid w:val="1FD61911"/>
    <w:multiLevelType w:val="hybridMultilevel"/>
    <w:tmpl w:val="C37CE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17F446A"/>
    <w:multiLevelType w:val="multilevel"/>
    <w:tmpl w:val="C276BBF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1EC1F46"/>
    <w:multiLevelType w:val="hybridMultilevel"/>
    <w:tmpl w:val="D312D4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2752C2D"/>
    <w:multiLevelType w:val="multilevel"/>
    <w:tmpl w:val="FA80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27D4D4D"/>
    <w:multiLevelType w:val="hybridMultilevel"/>
    <w:tmpl w:val="70F26CCA"/>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28A3D04"/>
    <w:multiLevelType w:val="hybridMultilevel"/>
    <w:tmpl w:val="7088AFEA"/>
    <w:lvl w:ilvl="0" w:tplc="68108B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229C05E5"/>
    <w:multiLevelType w:val="hybridMultilevel"/>
    <w:tmpl w:val="C930E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3484BD7"/>
    <w:multiLevelType w:val="hybridMultilevel"/>
    <w:tmpl w:val="7440535E"/>
    <w:lvl w:ilvl="0" w:tplc="B8341092">
      <w:start w:val="1"/>
      <w:numFmt w:val="decimal"/>
      <w:lvlText w:val="%1."/>
      <w:lvlJc w:val="left"/>
      <w:pPr>
        <w:ind w:left="1020" w:hanging="360"/>
      </w:pPr>
    </w:lvl>
    <w:lvl w:ilvl="1" w:tplc="02385636">
      <w:start w:val="1"/>
      <w:numFmt w:val="decimal"/>
      <w:lvlText w:val="%2."/>
      <w:lvlJc w:val="left"/>
      <w:pPr>
        <w:ind w:left="1020" w:hanging="360"/>
      </w:pPr>
    </w:lvl>
    <w:lvl w:ilvl="2" w:tplc="BD7487BE">
      <w:start w:val="1"/>
      <w:numFmt w:val="decimal"/>
      <w:lvlText w:val="%3."/>
      <w:lvlJc w:val="left"/>
      <w:pPr>
        <w:ind w:left="1020" w:hanging="360"/>
      </w:pPr>
    </w:lvl>
    <w:lvl w:ilvl="3" w:tplc="2E0493E0">
      <w:start w:val="1"/>
      <w:numFmt w:val="decimal"/>
      <w:lvlText w:val="%4."/>
      <w:lvlJc w:val="left"/>
      <w:pPr>
        <w:ind w:left="1020" w:hanging="360"/>
      </w:pPr>
    </w:lvl>
    <w:lvl w:ilvl="4" w:tplc="8E748AA2">
      <w:start w:val="1"/>
      <w:numFmt w:val="decimal"/>
      <w:lvlText w:val="%5."/>
      <w:lvlJc w:val="left"/>
      <w:pPr>
        <w:ind w:left="1020" w:hanging="360"/>
      </w:pPr>
    </w:lvl>
    <w:lvl w:ilvl="5" w:tplc="DCDA5B32">
      <w:start w:val="1"/>
      <w:numFmt w:val="decimal"/>
      <w:lvlText w:val="%6."/>
      <w:lvlJc w:val="left"/>
      <w:pPr>
        <w:ind w:left="1020" w:hanging="360"/>
      </w:pPr>
    </w:lvl>
    <w:lvl w:ilvl="6" w:tplc="2200A1AC">
      <w:start w:val="1"/>
      <w:numFmt w:val="decimal"/>
      <w:lvlText w:val="%7."/>
      <w:lvlJc w:val="left"/>
      <w:pPr>
        <w:ind w:left="1020" w:hanging="360"/>
      </w:pPr>
    </w:lvl>
    <w:lvl w:ilvl="7" w:tplc="DD2EE8D2">
      <w:start w:val="1"/>
      <w:numFmt w:val="decimal"/>
      <w:lvlText w:val="%8."/>
      <w:lvlJc w:val="left"/>
      <w:pPr>
        <w:ind w:left="1020" w:hanging="360"/>
      </w:pPr>
    </w:lvl>
    <w:lvl w:ilvl="8" w:tplc="86CCCFE4">
      <w:start w:val="1"/>
      <w:numFmt w:val="decimal"/>
      <w:lvlText w:val="%9."/>
      <w:lvlJc w:val="left"/>
      <w:pPr>
        <w:ind w:left="1020" w:hanging="360"/>
      </w:pPr>
    </w:lvl>
  </w:abstractNum>
  <w:abstractNum w:abstractNumId="55" w15:restartNumberingAfterBreak="0">
    <w:nsid w:val="23BD3C73"/>
    <w:multiLevelType w:val="hybridMultilevel"/>
    <w:tmpl w:val="92A41A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6070429"/>
    <w:multiLevelType w:val="hybridMultilevel"/>
    <w:tmpl w:val="6AAA9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6F247D6"/>
    <w:multiLevelType w:val="hybridMultilevel"/>
    <w:tmpl w:val="6C660D92"/>
    <w:lvl w:ilvl="0" w:tplc="6C3E22F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26F652C0"/>
    <w:multiLevelType w:val="singleLevel"/>
    <w:tmpl w:val="8CAE8114"/>
    <w:styleLink w:val="ListNumberStyle"/>
    <w:lvl w:ilvl="0">
      <w:start w:val="1"/>
      <w:numFmt w:val="bullet"/>
      <w:lvlText w:val=""/>
      <w:lvlJc w:val="left"/>
      <w:pPr>
        <w:tabs>
          <w:tab w:val="num" w:pos="1209"/>
        </w:tabs>
        <w:ind w:left="1209" w:hanging="360"/>
      </w:pPr>
      <w:rPr>
        <w:rFonts w:ascii="Symbol" w:hAnsi="Symbol" w:hint="default"/>
      </w:rPr>
    </w:lvl>
  </w:abstractNum>
  <w:abstractNum w:abstractNumId="59" w15:restartNumberingAfterBreak="0">
    <w:nsid w:val="26F65613"/>
    <w:multiLevelType w:val="multilevel"/>
    <w:tmpl w:val="9B604D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27A47744"/>
    <w:multiLevelType w:val="multilevel"/>
    <w:tmpl w:val="C83E9E4A"/>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81A27C2"/>
    <w:multiLevelType w:val="hybridMultilevel"/>
    <w:tmpl w:val="D8140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8DD716F"/>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2CF26F0D"/>
    <w:multiLevelType w:val="hybridMultilevel"/>
    <w:tmpl w:val="7AC8C410"/>
    <w:lvl w:ilvl="0" w:tplc="679A06A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2D670D91"/>
    <w:multiLevelType w:val="hybridMultilevel"/>
    <w:tmpl w:val="41D2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D746D11"/>
    <w:multiLevelType w:val="hybridMultilevel"/>
    <w:tmpl w:val="F092B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E02454F"/>
    <w:multiLevelType w:val="multilevel"/>
    <w:tmpl w:val="562410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2E41314E"/>
    <w:multiLevelType w:val="multilevel"/>
    <w:tmpl w:val="3654BD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69" w15:restartNumberingAfterBreak="0">
    <w:nsid w:val="2E635823"/>
    <w:multiLevelType w:val="hybridMultilevel"/>
    <w:tmpl w:val="92A41ACA"/>
    <w:lvl w:ilvl="0" w:tplc="FFFFFFFF">
      <w:start w:val="1"/>
      <w:numFmt w:val="lowerLetter"/>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70" w15:restartNumberingAfterBreak="0">
    <w:nsid w:val="2E7E5928"/>
    <w:multiLevelType w:val="hybridMultilevel"/>
    <w:tmpl w:val="5CCA3804"/>
    <w:lvl w:ilvl="0" w:tplc="79624AE2">
      <w:start w:val="1"/>
      <w:numFmt w:val="decimal"/>
      <w:lvlText w:val="%1."/>
      <w:lvlJc w:val="left"/>
      <w:pPr>
        <w:ind w:left="1020" w:hanging="360"/>
      </w:pPr>
    </w:lvl>
    <w:lvl w:ilvl="1" w:tplc="3A6EEB48">
      <w:start w:val="1"/>
      <w:numFmt w:val="decimal"/>
      <w:lvlText w:val="%2."/>
      <w:lvlJc w:val="left"/>
      <w:pPr>
        <w:ind w:left="1020" w:hanging="360"/>
      </w:pPr>
    </w:lvl>
    <w:lvl w:ilvl="2" w:tplc="BE42A4BC">
      <w:start w:val="1"/>
      <w:numFmt w:val="decimal"/>
      <w:lvlText w:val="%3."/>
      <w:lvlJc w:val="left"/>
      <w:pPr>
        <w:ind w:left="1020" w:hanging="360"/>
      </w:pPr>
    </w:lvl>
    <w:lvl w:ilvl="3" w:tplc="3B7C9300">
      <w:start w:val="1"/>
      <w:numFmt w:val="decimal"/>
      <w:lvlText w:val="%4."/>
      <w:lvlJc w:val="left"/>
      <w:pPr>
        <w:ind w:left="1020" w:hanging="360"/>
      </w:pPr>
    </w:lvl>
    <w:lvl w:ilvl="4" w:tplc="D79655DE">
      <w:start w:val="1"/>
      <w:numFmt w:val="decimal"/>
      <w:lvlText w:val="%5."/>
      <w:lvlJc w:val="left"/>
      <w:pPr>
        <w:ind w:left="1020" w:hanging="360"/>
      </w:pPr>
    </w:lvl>
    <w:lvl w:ilvl="5" w:tplc="87F67CA2">
      <w:start w:val="1"/>
      <w:numFmt w:val="decimal"/>
      <w:lvlText w:val="%6."/>
      <w:lvlJc w:val="left"/>
      <w:pPr>
        <w:ind w:left="1020" w:hanging="360"/>
      </w:pPr>
    </w:lvl>
    <w:lvl w:ilvl="6" w:tplc="B5FC1EA0">
      <w:start w:val="1"/>
      <w:numFmt w:val="decimal"/>
      <w:lvlText w:val="%7."/>
      <w:lvlJc w:val="left"/>
      <w:pPr>
        <w:ind w:left="1020" w:hanging="360"/>
      </w:pPr>
    </w:lvl>
    <w:lvl w:ilvl="7" w:tplc="6128D0C4">
      <w:start w:val="1"/>
      <w:numFmt w:val="decimal"/>
      <w:lvlText w:val="%8."/>
      <w:lvlJc w:val="left"/>
      <w:pPr>
        <w:ind w:left="1020" w:hanging="360"/>
      </w:pPr>
    </w:lvl>
    <w:lvl w:ilvl="8" w:tplc="94AAD6A4">
      <w:start w:val="1"/>
      <w:numFmt w:val="decimal"/>
      <w:lvlText w:val="%9."/>
      <w:lvlJc w:val="left"/>
      <w:pPr>
        <w:ind w:left="1020" w:hanging="360"/>
      </w:pPr>
    </w:lvl>
  </w:abstractNum>
  <w:abstractNum w:abstractNumId="71" w15:restartNumberingAfterBreak="0">
    <w:nsid w:val="312105B0"/>
    <w:multiLevelType w:val="hybridMultilevel"/>
    <w:tmpl w:val="D0A85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2A931AF"/>
    <w:multiLevelType w:val="hybridMultilevel"/>
    <w:tmpl w:val="EB12AAD2"/>
    <w:lvl w:ilvl="0" w:tplc="302EACFA">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336F663D"/>
    <w:multiLevelType w:val="hybridMultilevel"/>
    <w:tmpl w:val="0E2AD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45B3509"/>
    <w:multiLevelType w:val="multilevel"/>
    <w:tmpl w:val="9E328A70"/>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4C81EA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35AB1FE5"/>
    <w:multiLevelType w:val="hybridMultilevel"/>
    <w:tmpl w:val="9DDC9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5E9681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36726909"/>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7F32E5A"/>
    <w:multiLevelType w:val="multilevel"/>
    <w:tmpl w:val="AA5AE64C"/>
    <w:styleLink w:val="111111"/>
    <w:lvl w:ilvl="0">
      <w:start w:val="1"/>
      <w:numFmt w:val="none"/>
      <w:lvlText w:val=""/>
      <w:lvlJc w:val="left"/>
      <w:pPr>
        <w:ind w:left="340" w:firstLine="0"/>
      </w:pPr>
      <w:rPr>
        <w:rFonts w:hint="default"/>
      </w:rPr>
    </w:lvl>
    <w:lvl w:ilvl="1">
      <w:start w:val="1"/>
      <w:numFmt w:val="none"/>
      <w:lvlText w:val=""/>
      <w:lvlJc w:val="left"/>
      <w:pPr>
        <w:ind w:left="680" w:firstLine="0"/>
      </w:pPr>
      <w:rPr>
        <w:rFonts w:hint="default"/>
      </w:rPr>
    </w:lvl>
    <w:lvl w:ilvl="2">
      <w:start w:val="1"/>
      <w:numFmt w:val="none"/>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80" w15:restartNumberingAfterBreak="0">
    <w:nsid w:val="38903079"/>
    <w:multiLevelType w:val="hybridMultilevel"/>
    <w:tmpl w:val="12A21948"/>
    <w:lvl w:ilvl="0" w:tplc="90E046FE">
      <w:numFmt w:val="bullet"/>
      <w:lvlText w:val="-"/>
      <w:lvlJc w:val="left"/>
      <w:pPr>
        <w:ind w:left="720" w:hanging="360"/>
      </w:pPr>
      <w:rPr>
        <w:rFonts w:ascii="Garamond" w:eastAsiaTheme="minorHAnsi" w:hAnsi="Garamond"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91E6107"/>
    <w:multiLevelType w:val="hybridMultilevel"/>
    <w:tmpl w:val="D112234E"/>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99E2A8E"/>
    <w:multiLevelType w:val="hybridMultilevel"/>
    <w:tmpl w:val="9420024E"/>
    <w:lvl w:ilvl="0" w:tplc="9626D3D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39A94C3D"/>
    <w:multiLevelType w:val="hybridMultilevel"/>
    <w:tmpl w:val="FFBC96BC"/>
    <w:lvl w:ilvl="0" w:tplc="1846B1BE">
      <w:start w:val="1"/>
      <w:numFmt w:val="decimal"/>
      <w:lvlText w:val="%1."/>
      <w:lvlJc w:val="left"/>
      <w:pPr>
        <w:ind w:left="1020" w:hanging="360"/>
      </w:pPr>
    </w:lvl>
    <w:lvl w:ilvl="1" w:tplc="6C80E8B4">
      <w:start w:val="1"/>
      <w:numFmt w:val="decimal"/>
      <w:lvlText w:val="%2."/>
      <w:lvlJc w:val="left"/>
      <w:pPr>
        <w:ind w:left="1020" w:hanging="360"/>
      </w:pPr>
    </w:lvl>
    <w:lvl w:ilvl="2" w:tplc="FF9810BC">
      <w:start w:val="1"/>
      <w:numFmt w:val="decimal"/>
      <w:lvlText w:val="%3."/>
      <w:lvlJc w:val="left"/>
      <w:pPr>
        <w:ind w:left="1020" w:hanging="360"/>
      </w:pPr>
    </w:lvl>
    <w:lvl w:ilvl="3" w:tplc="6D76B2BC">
      <w:start w:val="1"/>
      <w:numFmt w:val="decimal"/>
      <w:lvlText w:val="%4."/>
      <w:lvlJc w:val="left"/>
      <w:pPr>
        <w:ind w:left="1020" w:hanging="360"/>
      </w:pPr>
    </w:lvl>
    <w:lvl w:ilvl="4" w:tplc="64B626D0">
      <w:start w:val="1"/>
      <w:numFmt w:val="decimal"/>
      <w:lvlText w:val="%5."/>
      <w:lvlJc w:val="left"/>
      <w:pPr>
        <w:ind w:left="1020" w:hanging="360"/>
      </w:pPr>
    </w:lvl>
    <w:lvl w:ilvl="5" w:tplc="7D709274">
      <w:start w:val="1"/>
      <w:numFmt w:val="decimal"/>
      <w:lvlText w:val="%6."/>
      <w:lvlJc w:val="left"/>
      <w:pPr>
        <w:ind w:left="1020" w:hanging="360"/>
      </w:pPr>
    </w:lvl>
    <w:lvl w:ilvl="6" w:tplc="F822D17C">
      <w:start w:val="1"/>
      <w:numFmt w:val="decimal"/>
      <w:lvlText w:val="%7."/>
      <w:lvlJc w:val="left"/>
      <w:pPr>
        <w:ind w:left="1020" w:hanging="360"/>
      </w:pPr>
    </w:lvl>
    <w:lvl w:ilvl="7" w:tplc="0D8051F6">
      <w:start w:val="1"/>
      <w:numFmt w:val="decimal"/>
      <w:lvlText w:val="%8."/>
      <w:lvlJc w:val="left"/>
      <w:pPr>
        <w:ind w:left="1020" w:hanging="360"/>
      </w:pPr>
    </w:lvl>
    <w:lvl w:ilvl="8" w:tplc="C848F51A">
      <w:start w:val="1"/>
      <w:numFmt w:val="decimal"/>
      <w:lvlText w:val="%9."/>
      <w:lvlJc w:val="left"/>
      <w:pPr>
        <w:ind w:left="1020" w:hanging="360"/>
      </w:pPr>
    </w:lvl>
  </w:abstractNum>
  <w:abstractNum w:abstractNumId="84" w15:restartNumberingAfterBreak="0">
    <w:nsid w:val="3A422DC7"/>
    <w:multiLevelType w:val="multilevel"/>
    <w:tmpl w:val="DD58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AC271DF"/>
    <w:multiLevelType w:val="hybridMultilevel"/>
    <w:tmpl w:val="15025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AE10564"/>
    <w:multiLevelType w:val="hybridMultilevel"/>
    <w:tmpl w:val="00366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B4C0B8B"/>
    <w:multiLevelType w:val="multilevel"/>
    <w:tmpl w:val="FFC8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C48509E"/>
    <w:multiLevelType w:val="hybridMultilevel"/>
    <w:tmpl w:val="A30C9FA2"/>
    <w:lvl w:ilvl="0" w:tplc="F10AB1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3CAC5A15"/>
    <w:multiLevelType w:val="hybridMultilevel"/>
    <w:tmpl w:val="FFFFFFFF"/>
    <w:lvl w:ilvl="0" w:tplc="A6E6357C">
      <w:start w:val="1"/>
      <w:numFmt w:val="bullet"/>
      <w:lvlText w:val=""/>
      <w:lvlJc w:val="left"/>
      <w:pPr>
        <w:ind w:left="700" w:hanging="360"/>
      </w:pPr>
      <w:rPr>
        <w:rFonts w:ascii="Symbol" w:hAnsi="Symbol" w:hint="default"/>
      </w:rPr>
    </w:lvl>
    <w:lvl w:ilvl="1" w:tplc="635676B0">
      <w:start w:val="1"/>
      <w:numFmt w:val="bullet"/>
      <w:lvlText w:val="o"/>
      <w:lvlJc w:val="left"/>
      <w:pPr>
        <w:ind w:left="1440" w:hanging="360"/>
      </w:pPr>
      <w:rPr>
        <w:rFonts w:ascii="Courier New" w:hAnsi="Courier New" w:hint="default"/>
      </w:rPr>
    </w:lvl>
    <w:lvl w:ilvl="2" w:tplc="D9E6D1E2">
      <w:start w:val="1"/>
      <w:numFmt w:val="bullet"/>
      <w:lvlText w:val=""/>
      <w:lvlJc w:val="left"/>
      <w:pPr>
        <w:ind w:left="2160" w:hanging="360"/>
      </w:pPr>
      <w:rPr>
        <w:rFonts w:ascii="Wingdings" w:hAnsi="Wingdings" w:hint="default"/>
      </w:rPr>
    </w:lvl>
    <w:lvl w:ilvl="3" w:tplc="5B9E5336">
      <w:start w:val="1"/>
      <w:numFmt w:val="bullet"/>
      <w:lvlText w:val=""/>
      <w:lvlJc w:val="left"/>
      <w:pPr>
        <w:ind w:left="2880" w:hanging="360"/>
      </w:pPr>
      <w:rPr>
        <w:rFonts w:ascii="Symbol" w:hAnsi="Symbol" w:hint="default"/>
      </w:rPr>
    </w:lvl>
    <w:lvl w:ilvl="4" w:tplc="C0EEE7B4">
      <w:start w:val="1"/>
      <w:numFmt w:val="bullet"/>
      <w:lvlText w:val="o"/>
      <w:lvlJc w:val="left"/>
      <w:pPr>
        <w:ind w:left="3600" w:hanging="360"/>
      </w:pPr>
      <w:rPr>
        <w:rFonts w:ascii="Courier New" w:hAnsi="Courier New" w:hint="default"/>
      </w:rPr>
    </w:lvl>
    <w:lvl w:ilvl="5" w:tplc="74E01500">
      <w:start w:val="1"/>
      <w:numFmt w:val="bullet"/>
      <w:lvlText w:val=""/>
      <w:lvlJc w:val="left"/>
      <w:pPr>
        <w:ind w:left="4320" w:hanging="360"/>
      </w:pPr>
      <w:rPr>
        <w:rFonts w:ascii="Wingdings" w:hAnsi="Wingdings" w:hint="default"/>
      </w:rPr>
    </w:lvl>
    <w:lvl w:ilvl="6" w:tplc="08249D9C">
      <w:start w:val="1"/>
      <w:numFmt w:val="bullet"/>
      <w:lvlText w:val=""/>
      <w:lvlJc w:val="left"/>
      <w:pPr>
        <w:ind w:left="5040" w:hanging="360"/>
      </w:pPr>
      <w:rPr>
        <w:rFonts w:ascii="Symbol" w:hAnsi="Symbol" w:hint="default"/>
      </w:rPr>
    </w:lvl>
    <w:lvl w:ilvl="7" w:tplc="F1E8D206">
      <w:start w:val="1"/>
      <w:numFmt w:val="bullet"/>
      <w:lvlText w:val="o"/>
      <w:lvlJc w:val="left"/>
      <w:pPr>
        <w:ind w:left="5760" w:hanging="360"/>
      </w:pPr>
      <w:rPr>
        <w:rFonts w:ascii="Courier New" w:hAnsi="Courier New" w:hint="default"/>
      </w:rPr>
    </w:lvl>
    <w:lvl w:ilvl="8" w:tplc="D33641B2">
      <w:start w:val="1"/>
      <w:numFmt w:val="bullet"/>
      <w:lvlText w:val=""/>
      <w:lvlJc w:val="left"/>
      <w:pPr>
        <w:ind w:left="6480" w:hanging="360"/>
      </w:pPr>
      <w:rPr>
        <w:rFonts w:ascii="Wingdings" w:hAnsi="Wingdings" w:hint="default"/>
      </w:rPr>
    </w:lvl>
  </w:abstractNum>
  <w:abstractNum w:abstractNumId="90" w15:restartNumberingAfterBreak="0">
    <w:nsid w:val="3FC8DDD7"/>
    <w:multiLevelType w:val="hybridMultilevel"/>
    <w:tmpl w:val="FFFFFFFF"/>
    <w:lvl w:ilvl="0" w:tplc="CFD6E834">
      <w:start w:val="1"/>
      <w:numFmt w:val="bullet"/>
      <w:lvlText w:val=""/>
      <w:lvlJc w:val="left"/>
      <w:pPr>
        <w:ind w:left="720" w:hanging="360"/>
      </w:pPr>
      <w:rPr>
        <w:rFonts w:ascii="Symbol" w:hAnsi="Symbol" w:hint="default"/>
      </w:rPr>
    </w:lvl>
    <w:lvl w:ilvl="1" w:tplc="9D5A2D8A">
      <w:start w:val="1"/>
      <w:numFmt w:val="bullet"/>
      <w:lvlText w:val="o"/>
      <w:lvlJc w:val="left"/>
      <w:pPr>
        <w:ind w:left="1440" w:hanging="360"/>
      </w:pPr>
      <w:rPr>
        <w:rFonts w:ascii="Courier New" w:hAnsi="Courier New" w:hint="default"/>
      </w:rPr>
    </w:lvl>
    <w:lvl w:ilvl="2" w:tplc="6DB2B5D2">
      <w:start w:val="1"/>
      <w:numFmt w:val="bullet"/>
      <w:lvlText w:val=""/>
      <w:lvlJc w:val="left"/>
      <w:pPr>
        <w:ind w:left="2160" w:hanging="360"/>
      </w:pPr>
      <w:rPr>
        <w:rFonts w:ascii="Wingdings" w:hAnsi="Wingdings" w:hint="default"/>
      </w:rPr>
    </w:lvl>
    <w:lvl w:ilvl="3" w:tplc="E8D030B2">
      <w:start w:val="1"/>
      <w:numFmt w:val="bullet"/>
      <w:lvlText w:val=""/>
      <w:lvlJc w:val="left"/>
      <w:pPr>
        <w:ind w:left="2880" w:hanging="360"/>
      </w:pPr>
      <w:rPr>
        <w:rFonts w:ascii="Symbol" w:hAnsi="Symbol" w:hint="default"/>
      </w:rPr>
    </w:lvl>
    <w:lvl w:ilvl="4" w:tplc="7B806780">
      <w:start w:val="1"/>
      <w:numFmt w:val="bullet"/>
      <w:lvlText w:val="o"/>
      <w:lvlJc w:val="left"/>
      <w:pPr>
        <w:ind w:left="3600" w:hanging="360"/>
      </w:pPr>
      <w:rPr>
        <w:rFonts w:ascii="Courier New" w:hAnsi="Courier New" w:hint="default"/>
      </w:rPr>
    </w:lvl>
    <w:lvl w:ilvl="5" w:tplc="39EC662C">
      <w:start w:val="1"/>
      <w:numFmt w:val="bullet"/>
      <w:lvlText w:val=""/>
      <w:lvlJc w:val="left"/>
      <w:pPr>
        <w:ind w:left="4320" w:hanging="360"/>
      </w:pPr>
      <w:rPr>
        <w:rFonts w:ascii="Wingdings" w:hAnsi="Wingdings" w:hint="default"/>
      </w:rPr>
    </w:lvl>
    <w:lvl w:ilvl="6" w:tplc="0C9E7B9E">
      <w:start w:val="1"/>
      <w:numFmt w:val="bullet"/>
      <w:lvlText w:val=""/>
      <w:lvlJc w:val="left"/>
      <w:pPr>
        <w:ind w:left="5040" w:hanging="360"/>
      </w:pPr>
      <w:rPr>
        <w:rFonts w:ascii="Symbol" w:hAnsi="Symbol" w:hint="default"/>
      </w:rPr>
    </w:lvl>
    <w:lvl w:ilvl="7" w:tplc="D5D04448">
      <w:start w:val="1"/>
      <w:numFmt w:val="bullet"/>
      <w:lvlText w:val="o"/>
      <w:lvlJc w:val="left"/>
      <w:pPr>
        <w:ind w:left="5760" w:hanging="360"/>
      </w:pPr>
      <w:rPr>
        <w:rFonts w:ascii="Courier New" w:hAnsi="Courier New" w:hint="default"/>
      </w:rPr>
    </w:lvl>
    <w:lvl w:ilvl="8" w:tplc="EF6EDEB2">
      <w:start w:val="1"/>
      <w:numFmt w:val="bullet"/>
      <w:lvlText w:val=""/>
      <w:lvlJc w:val="left"/>
      <w:pPr>
        <w:ind w:left="6480" w:hanging="360"/>
      </w:pPr>
      <w:rPr>
        <w:rFonts w:ascii="Wingdings" w:hAnsi="Wingdings" w:hint="default"/>
      </w:rPr>
    </w:lvl>
  </w:abstractNum>
  <w:abstractNum w:abstractNumId="91" w15:restartNumberingAfterBreak="0">
    <w:nsid w:val="402A421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4095609A"/>
    <w:multiLevelType w:val="hybridMultilevel"/>
    <w:tmpl w:val="927897B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3" w15:restartNumberingAfterBreak="0">
    <w:nsid w:val="42660C94"/>
    <w:multiLevelType w:val="hybridMultilevel"/>
    <w:tmpl w:val="27C4F388"/>
    <w:lvl w:ilvl="0" w:tplc="0C090001">
      <w:start w:val="1"/>
      <w:numFmt w:val="bullet"/>
      <w:lvlText w:val=""/>
      <w:lvlJc w:val="left"/>
      <w:pPr>
        <w:ind w:left="360" w:hanging="360"/>
      </w:pPr>
      <w:rPr>
        <w:rFonts w:ascii="Symbol" w:hAnsi="Symbol" w:hint="default"/>
      </w:rPr>
    </w:lvl>
    <w:lvl w:ilvl="1" w:tplc="70583AF6">
      <w:numFmt w:val="bullet"/>
      <w:lvlText w:val="•"/>
      <w:lvlJc w:val="left"/>
      <w:pPr>
        <w:ind w:left="1350" w:hanging="63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26A20E8"/>
    <w:multiLevelType w:val="hybridMultilevel"/>
    <w:tmpl w:val="297602B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5" w15:restartNumberingAfterBreak="0">
    <w:nsid w:val="427D02F5"/>
    <w:multiLevelType w:val="hybridMultilevel"/>
    <w:tmpl w:val="40D0D86C"/>
    <w:lvl w:ilvl="0" w:tplc="38CAFDF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43025515"/>
    <w:multiLevelType w:val="hybridMultilevel"/>
    <w:tmpl w:val="87EE2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33B6FB5"/>
    <w:multiLevelType w:val="multilevel"/>
    <w:tmpl w:val="A566B5C6"/>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98" w15:restartNumberingAfterBreak="0">
    <w:nsid w:val="43FB34BA"/>
    <w:multiLevelType w:val="hybridMultilevel"/>
    <w:tmpl w:val="F6663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3FC6936"/>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4A94784"/>
    <w:multiLevelType w:val="multilevel"/>
    <w:tmpl w:val="88FEE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450498BC"/>
    <w:multiLevelType w:val="hybridMultilevel"/>
    <w:tmpl w:val="FFFFFFFF"/>
    <w:lvl w:ilvl="0" w:tplc="23CA7068">
      <w:start w:val="1"/>
      <w:numFmt w:val="bullet"/>
      <w:lvlText w:val=""/>
      <w:lvlJc w:val="left"/>
      <w:pPr>
        <w:ind w:left="720" w:hanging="360"/>
      </w:pPr>
      <w:rPr>
        <w:rFonts w:ascii="Symbol" w:hAnsi="Symbol" w:hint="default"/>
      </w:rPr>
    </w:lvl>
    <w:lvl w:ilvl="1" w:tplc="ABC8A79E">
      <w:start w:val="1"/>
      <w:numFmt w:val="bullet"/>
      <w:lvlText w:val="o"/>
      <w:lvlJc w:val="left"/>
      <w:pPr>
        <w:ind w:left="1440" w:hanging="360"/>
      </w:pPr>
      <w:rPr>
        <w:rFonts w:ascii="Courier New" w:hAnsi="Courier New" w:hint="default"/>
      </w:rPr>
    </w:lvl>
    <w:lvl w:ilvl="2" w:tplc="02A82E86">
      <w:start w:val="1"/>
      <w:numFmt w:val="bullet"/>
      <w:lvlText w:val=""/>
      <w:lvlJc w:val="left"/>
      <w:pPr>
        <w:ind w:left="2160" w:hanging="360"/>
      </w:pPr>
      <w:rPr>
        <w:rFonts w:ascii="Wingdings" w:hAnsi="Wingdings" w:hint="default"/>
      </w:rPr>
    </w:lvl>
    <w:lvl w:ilvl="3" w:tplc="43C658E2">
      <w:start w:val="1"/>
      <w:numFmt w:val="bullet"/>
      <w:lvlText w:val=""/>
      <w:lvlJc w:val="left"/>
      <w:pPr>
        <w:ind w:left="2880" w:hanging="360"/>
      </w:pPr>
      <w:rPr>
        <w:rFonts w:ascii="Symbol" w:hAnsi="Symbol" w:hint="default"/>
      </w:rPr>
    </w:lvl>
    <w:lvl w:ilvl="4" w:tplc="5B54F956">
      <w:start w:val="1"/>
      <w:numFmt w:val="bullet"/>
      <w:lvlText w:val="o"/>
      <w:lvlJc w:val="left"/>
      <w:pPr>
        <w:ind w:left="3600" w:hanging="360"/>
      </w:pPr>
      <w:rPr>
        <w:rFonts w:ascii="Courier New" w:hAnsi="Courier New" w:hint="default"/>
      </w:rPr>
    </w:lvl>
    <w:lvl w:ilvl="5" w:tplc="F7EA612E">
      <w:start w:val="1"/>
      <w:numFmt w:val="bullet"/>
      <w:lvlText w:val=""/>
      <w:lvlJc w:val="left"/>
      <w:pPr>
        <w:ind w:left="4320" w:hanging="360"/>
      </w:pPr>
      <w:rPr>
        <w:rFonts w:ascii="Wingdings" w:hAnsi="Wingdings" w:hint="default"/>
      </w:rPr>
    </w:lvl>
    <w:lvl w:ilvl="6" w:tplc="8AA0A54E">
      <w:start w:val="1"/>
      <w:numFmt w:val="bullet"/>
      <w:lvlText w:val=""/>
      <w:lvlJc w:val="left"/>
      <w:pPr>
        <w:ind w:left="5040" w:hanging="360"/>
      </w:pPr>
      <w:rPr>
        <w:rFonts w:ascii="Symbol" w:hAnsi="Symbol" w:hint="default"/>
      </w:rPr>
    </w:lvl>
    <w:lvl w:ilvl="7" w:tplc="53BE1F92">
      <w:start w:val="1"/>
      <w:numFmt w:val="bullet"/>
      <w:lvlText w:val="o"/>
      <w:lvlJc w:val="left"/>
      <w:pPr>
        <w:ind w:left="5760" w:hanging="360"/>
      </w:pPr>
      <w:rPr>
        <w:rFonts w:ascii="Courier New" w:hAnsi="Courier New" w:hint="default"/>
      </w:rPr>
    </w:lvl>
    <w:lvl w:ilvl="8" w:tplc="65968028">
      <w:start w:val="1"/>
      <w:numFmt w:val="bullet"/>
      <w:lvlText w:val=""/>
      <w:lvlJc w:val="left"/>
      <w:pPr>
        <w:ind w:left="6480" w:hanging="360"/>
      </w:pPr>
      <w:rPr>
        <w:rFonts w:ascii="Wingdings" w:hAnsi="Wingdings" w:hint="default"/>
      </w:rPr>
    </w:lvl>
  </w:abstractNum>
  <w:abstractNum w:abstractNumId="102" w15:restartNumberingAfterBreak="0">
    <w:nsid w:val="460C7121"/>
    <w:multiLevelType w:val="multilevel"/>
    <w:tmpl w:val="A41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6A03A44"/>
    <w:multiLevelType w:val="hybridMultilevel"/>
    <w:tmpl w:val="E22A2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6D47386"/>
    <w:multiLevelType w:val="hybridMultilevel"/>
    <w:tmpl w:val="50320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7240266"/>
    <w:multiLevelType w:val="hybridMultilevel"/>
    <w:tmpl w:val="FFFFFFFF"/>
    <w:lvl w:ilvl="0" w:tplc="F192FA44">
      <w:start w:val="1"/>
      <w:numFmt w:val="bullet"/>
      <w:lvlText w:val=""/>
      <w:lvlJc w:val="left"/>
      <w:pPr>
        <w:ind w:left="720" w:hanging="360"/>
      </w:pPr>
      <w:rPr>
        <w:rFonts w:ascii="Symbol" w:hAnsi="Symbol" w:hint="default"/>
      </w:rPr>
    </w:lvl>
    <w:lvl w:ilvl="1" w:tplc="98B28112">
      <w:start w:val="1"/>
      <w:numFmt w:val="bullet"/>
      <w:lvlText w:val="o"/>
      <w:lvlJc w:val="left"/>
      <w:pPr>
        <w:ind w:left="1440" w:hanging="360"/>
      </w:pPr>
      <w:rPr>
        <w:rFonts w:ascii="Courier New" w:hAnsi="Courier New" w:hint="default"/>
      </w:rPr>
    </w:lvl>
    <w:lvl w:ilvl="2" w:tplc="21540E04">
      <w:start w:val="1"/>
      <w:numFmt w:val="bullet"/>
      <w:lvlText w:val=""/>
      <w:lvlJc w:val="left"/>
      <w:pPr>
        <w:ind w:left="2160" w:hanging="360"/>
      </w:pPr>
      <w:rPr>
        <w:rFonts w:ascii="Wingdings" w:hAnsi="Wingdings" w:hint="default"/>
      </w:rPr>
    </w:lvl>
    <w:lvl w:ilvl="3" w:tplc="18D0361C">
      <w:start w:val="1"/>
      <w:numFmt w:val="bullet"/>
      <w:lvlText w:val=""/>
      <w:lvlJc w:val="left"/>
      <w:pPr>
        <w:ind w:left="2880" w:hanging="360"/>
      </w:pPr>
      <w:rPr>
        <w:rFonts w:ascii="Symbol" w:hAnsi="Symbol" w:hint="default"/>
      </w:rPr>
    </w:lvl>
    <w:lvl w:ilvl="4" w:tplc="20908AD2">
      <w:start w:val="1"/>
      <w:numFmt w:val="bullet"/>
      <w:lvlText w:val="o"/>
      <w:lvlJc w:val="left"/>
      <w:pPr>
        <w:ind w:left="3600" w:hanging="360"/>
      </w:pPr>
      <w:rPr>
        <w:rFonts w:ascii="Courier New" w:hAnsi="Courier New" w:hint="default"/>
      </w:rPr>
    </w:lvl>
    <w:lvl w:ilvl="5" w:tplc="32F07B24">
      <w:start w:val="1"/>
      <w:numFmt w:val="bullet"/>
      <w:lvlText w:val=""/>
      <w:lvlJc w:val="left"/>
      <w:pPr>
        <w:ind w:left="4320" w:hanging="360"/>
      </w:pPr>
      <w:rPr>
        <w:rFonts w:ascii="Wingdings" w:hAnsi="Wingdings" w:hint="default"/>
      </w:rPr>
    </w:lvl>
    <w:lvl w:ilvl="6" w:tplc="A8427A9A">
      <w:start w:val="1"/>
      <w:numFmt w:val="bullet"/>
      <w:lvlText w:val=""/>
      <w:lvlJc w:val="left"/>
      <w:pPr>
        <w:ind w:left="5040" w:hanging="360"/>
      </w:pPr>
      <w:rPr>
        <w:rFonts w:ascii="Symbol" w:hAnsi="Symbol" w:hint="default"/>
      </w:rPr>
    </w:lvl>
    <w:lvl w:ilvl="7" w:tplc="ED6CF3A6">
      <w:start w:val="1"/>
      <w:numFmt w:val="bullet"/>
      <w:lvlText w:val="o"/>
      <w:lvlJc w:val="left"/>
      <w:pPr>
        <w:ind w:left="5760" w:hanging="360"/>
      </w:pPr>
      <w:rPr>
        <w:rFonts w:ascii="Courier New" w:hAnsi="Courier New" w:hint="default"/>
      </w:rPr>
    </w:lvl>
    <w:lvl w:ilvl="8" w:tplc="DA9295FE">
      <w:start w:val="1"/>
      <w:numFmt w:val="bullet"/>
      <w:lvlText w:val=""/>
      <w:lvlJc w:val="left"/>
      <w:pPr>
        <w:ind w:left="6480" w:hanging="360"/>
      </w:pPr>
      <w:rPr>
        <w:rFonts w:ascii="Wingdings" w:hAnsi="Wingdings" w:hint="default"/>
      </w:rPr>
    </w:lvl>
  </w:abstractNum>
  <w:abstractNum w:abstractNumId="106" w15:restartNumberingAfterBreak="0">
    <w:nsid w:val="47346BAD"/>
    <w:multiLevelType w:val="hybridMultilevel"/>
    <w:tmpl w:val="3EF83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7971D3D"/>
    <w:multiLevelType w:val="multilevel"/>
    <w:tmpl w:val="EFCE6D40"/>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8" w15:restartNumberingAfterBreak="0">
    <w:nsid w:val="490932AC"/>
    <w:multiLevelType w:val="hybridMultilevel"/>
    <w:tmpl w:val="65B2C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97C6316"/>
    <w:multiLevelType w:val="hybridMultilevel"/>
    <w:tmpl w:val="12F0F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9AC0CF9"/>
    <w:multiLevelType w:val="hybridMultilevel"/>
    <w:tmpl w:val="BCC8C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B00783C"/>
    <w:multiLevelType w:val="multilevel"/>
    <w:tmpl w:val="AC420C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4CC863BD"/>
    <w:multiLevelType w:val="hybridMultilevel"/>
    <w:tmpl w:val="92A41A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CDC4EE5"/>
    <w:multiLevelType w:val="multilevel"/>
    <w:tmpl w:val="A41A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D916A3D"/>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4E3C29C0"/>
    <w:multiLevelType w:val="hybridMultilevel"/>
    <w:tmpl w:val="D922A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EE14A4A"/>
    <w:multiLevelType w:val="hybridMultilevel"/>
    <w:tmpl w:val="5B5C3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4F2573F3"/>
    <w:multiLevelType w:val="hybridMultilevel"/>
    <w:tmpl w:val="15025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F664C5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50BD19A5"/>
    <w:multiLevelType w:val="hybridMultilevel"/>
    <w:tmpl w:val="E5D22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1289393"/>
    <w:multiLevelType w:val="hybridMultilevel"/>
    <w:tmpl w:val="FFFFFFFF"/>
    <w:lvl w:ilvl="0" w:tplc="A57E732A">
      <w:start w:val="1"/>
      <w:numFmt w:val="bullet"/>
      <w:lvlText w:val=""/>
      <w:lvlJc w:val="left"/>
      <w:pPr>
        <w:ind w:left="720" w:hanging="360"/>
      </w:pPr>
      <w:rPr>
        <w:rFonts w:ascii="Symbol" w:hAnsi="Symbol" w:hint="default"/>
      </w:rPr>
    </w:lvl>
    <w:lvl w:ilvl="1" w:tplc="73A041E4">
      <w:start w:val="1"/>
      <w:numFmt w:val="bullet"/>
      <w:lvlText w:val="o"/>
      <w:lvlJc w:val="left"/>
      <w:pPr>
        <w:ind w:left="1440" w:hanging="360"/>
      </w:pPr>
      <w:rPr>
        <w:rFonts w:ascii="Courier New" w:hAnsi="Courier New" w:hint="default"/>
      </w:rPr>
    </w:lvl>
    <w:lvl w:ilvl="2" w:tplc="23FE30BA">
      <w:start w:val="1"/>
      <w:numFmt w:val="bullet"/>
      <w:lvlText w:val=""/>
      <w:lvlJc w:val="left"/>
      <w:pPr>
        <w:ind w:left="2160" w:hanging="360"/>
      </w:pPr>
      <w:rPr>
        <w:rFonts w:ascii="Wingdings" w:hAnsi="Wingdings" w:hint="default"/>
      </w:rPr>
    </w:lvl>
    <w:lvl w:ilvl="3" w:tplc="9B6AC054">
      <w:start w:val="1"/>
      <w:numFmt w:val="bullet"/>
      <w:lvlText w:val=""/>
      <w:lvlJc w:val="left"/>
      <w:pPr>
        <w:ind w:left="2880" w:hanging="360"/>
      </w:pPr>
      <w:rPr>
        <w:rFonts w:ascii="Symbol" w:hAnsi="Symbol" w:hint="default"/>
      </w:rPr>
    </w:lvl>
    <w:lvl w:ilvl="4" w:tplc="C9C2C722">
      <w:start w:val="1"/>
      <w:numFmt w:val="bullet"/>
      <w:lvlText w:val="o"/>
      <w:lvlJc w:val="left"/>
      <w:pPr>
        <w:ind w:left="3600" w:hanging="360"/>
      </w:pPr>
      <w:rPr>
        <w:rFonts w:ascii="Courier New" w:hAnsi="Courier New" w:hint="default"/>
      </w:rPr>
    </w:lvl>
    <w:lvl w:ilvl="5" w:tplc="15467FF8">
      <w:start w:val="1"/>
      <w:numFmt w:val="bullet"/>
      <w:lvlText w:val=""/>
      <w:lvlJc w:val="left"/>
      <w:pPr>
        <w:ind w:left="4320" w:hanging="360"/>
      </w:pPr>
      <w:rPr>
        <w:rFonts w:ascii="Wingdings" w:hAnsi="Wingdings" w:hint="default"/>
      </w:rPr>
    </w:lvl>
    <w:lvl w:ilvl="6" w:tplc="F342EBC4">
      <w:start w:val="1"/>
      <w:numFmt w:val="bullet"/>
      <w:lvlText w:val=""/>
      <w:lvlJc w:val="left"/>
      <w:pPr>
        <w:ind w:left="5040" w:hanging="360"/>
      </w:pPr>
      <w:rPr>
        <w:rFonts w:ascii="Symbol" w:hAnsi="Symbol" w:hint="default"/>
      </w:rPr>
    </w:lvl>
    <w:lvl w:ilvl="7" w:tplc="760AD314">
      <w:start w:val="1"/>
      <w:numFmt w:val="bullet"/>
      <w:lvlText w:val="o"/>
      <w:lvlJc w:val="left"/>
      <w:pPr>
        <w:ind w:left="5760" w:hanging="360"/>
      </w:pPr>
      <w:rPr>
        <w:rFonts w:ascii="Courier New" w:hAnsi="Courier New" w:hint="default"/>
      </w:rPr>
    </w:lvl>
    <w:lvl w:ilvl="8" w:tplc="67360E98">
      <w:start w:val="1"/>
      <w:numFmt w:val="bullet"/>
      <w:lvlText w:val=""/>
      <w:lvlJc w:val="left"/>
      <w:pPr>
        <w:ind w:left="6480" w:hanging="360"/>
      </w:pPr>
      <w:rPr>
        <w:rFonts w:ascii="Wingdings" w:hAnsi="Wingdings" w:hint="default"/>
      </w:rPr>
    </w:lvl>
  </w:abstractNum>
  <w:abstractNum w:abstractNumId="121" w15:restartNumberingAfterBreak="0">
    <w:nsid w:val="518B1399"/>
    <w:multiLevelType w:val="hybridMultilevel"/>
    <w:tmpl w:val="EBA01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18B1766"/>
    <w:multiLevelType w:val="multilevel"/>
    <w:tmpl w:val="C9E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C65F0A"/>
    <w:multiLevelType w:val="hybridMultilevel"/>
    <w:tmpl w:val="490A6922"/>
    <w:lvl w:ilvl="0" w:tplc="FCBEB1B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52332C14"/>
    <w:multiLevelType w:val="hybridMultilevel"/>
    <w:tmpl w:val="5468914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5" w15:restartNumberingAfterBreak="0">
    <w:nsid w:val="523C7CC9"/>
    <w:multiLevelType w:val="hybridMultilevel"/>
    <w:tmpl w:val="3FD4FA16"/>
    <w:lvl w:ilvl="0" w:tplc="946EDA4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53052226"/>
    <w:multiLevelType w:val="hybridMultilevel"/>
    <w:tmpl w:val="63A2A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3202CC0"/>
    <w:multiLevelType w:val="multilevel"/>
    <w:tmpl w:val="6ECAD1D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545D3CDF"/>
    <w:multiLevelType w:val="hybridMultilevel"/>
    <w:tmpl w:val="F6746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53F0870"/>
    <w:multiLevelType w:val="singleLevel"/>
    <w:tmpl w:val="180E454C"/>
    <w:lvl w:ilvl="0">
      <w:start w:val="1"/>
      <w:numFmt w:val="decimal"/>
      <w:lvlText w:val="%1."/>
      <w:lvlJc w:val="left"/>
      <w:pPr>
        <w:tabs>
          <w:tab w:val="num" w:pos="926"/>
        </w:tabs>
        <w:ind w:left="926" w:hanging="360"/>
      </w:pPr>
    </w:lvl>
  </w:abstractNum>
  <w:abstractNum w:abstractNumId="130" w15:restartNumberingAfterBreak="0">
    <w:nsid w:val="55B011D5"/>
    <w:multiLevelType w:val="hybridMultilevel"/>
    <w:tmpl w:val="7284C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5B600BA"/>
    <w:multiLevelType w:val="hybridMultilevel"/>
    <w:tmpl w:val="2BF24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7674920"/>
    <w:multiLevelType w:val="multilevel"/>
    <w:tmpl w:val="493852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57B325AA"/>
    <w:multiLevelType w:val="hybridMultilevel"/>
    <w:tmpl w:val="B1D82144"/>
    <w:lvl w:ilvl="0" w:tplc="59E891B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58095F0A"/>
    <w:multiLevelType w:val="hybridMultilevel"/>
    <w:tmpl w:val="FFFFFFFF"/>
    <w:lvl w:ilvl="0" w:tplc="D8585D2E">
      <w:start w:val="1"/>
      <w:numFmt w:val="bullet"/>
      <w:lvlText w:val=""/>
      <w:lvlJc w:val="left"/>
      <w:pPr>
        <w:ind w:left="720" w:hanging="360"/>
      </w:pPr>
      <w:rPr>
        <w:rFonts w:ascii="Symbol" w:hAnsi="Symbol" w:hint="default"/>
      </w:rPr>
    </w:lvl>
    <w:lvl w:ilvl="1" w:tplc="06C06402">
      <w:start w:val="1"/>
      <w:numFmt w:val="bullet"/>
      <w:lvlText w:val="o"/>
      <w:lvlJc w:val="left"/>
      <w:pPr>
        <w:ind w:left="1440" w:hanging="360"/>
      </w:pPr>
      <w:rPr>
        <w:rFonts w:ascii="Courier New" w:hAnsi="Courier New" w:hint="default"/>
      </w:rPr>
    </w:lvl>
    <w:lvl w:ilvl="2" w:tplc="08F638EA">
      <w:start w:val="1"/>
      <w:numFmt w:val="bullet"/>
      <w:lvlText w:val=""/>
      <w:lvlJc w:val="left"/>
      <w:pPr>
        <w:ind w:left="2160" w:hanging="360"/>
      </w:pPr>
      <w:rPr>
        <w:rFonts w:ascii="Wingdings" w:hAnsi="Wingdings" w:hint="default"/>
      </w:rPr>
    </w:lvl>
    <w:lvl w:ilvl="3" w:tplc="B3B6FBBE">
      <w:start w:val="1"/>
      <w:numFmt w:val="bullet"/>
      <w:lvlText w:val=""/>
      <w:lvlJc w:val="left"/>
      <w:pPr>
        <w:ind w:left="2880" w:hanging="360"/>
      </w:pPr>
      <w:rPr>
        <w:rFonts w:ascii="Symbol" w:hAnsi="Symbol" w:hint="default"/>
      </w:rPr>
    </w:lvl>
    <w:lvl w:ilvl="4" w:tplc="73DC6378">
      <w:start w:val="1"/>
      <w:numFmt w:val="bullet"/>
      <w:lvlText w:val="o"/>
      <w:lvlJc w:val="left"/>
      <w:pPr>
        <w:ind w:left="3600" w:hanging="360"/>
      </w:pPr>
      <w:rPr>
        <w:rFonts w:ascii="Courier New" w:hAnsi="Courier New" w:hint="default"/>
      </w:rPr>
    </w:lvl>
    <w:lvl w:ilvl="5" w:tplc="71C06E64">
      <w:start w:val="1"/>
      <w:numFmt w:val="bullet"/>
      <w:lvlText w:val=""/>
      <w:lvlJc w:val="left"/>
      <w:pPr>
        <w:ind w:left="4320" w:hanging="360"/>
      </w:pPr>
      <w:rPr>
        <w:rFonts w:ascii="Wingdings" w:hAnsi="Wingdings" w:hint="default"/>
      </w:rPr>
    </w:lvl>
    <w:lvl w:ilvl="6" w:tplc="6F1E426C">
      <w:start w:val="1"/>
      <w:numFmt w:val="bullet"/>
      <w:lvlText w:val=""/>
      <w:lvlJc w:val="left"/>
      <w:pPr>
        <w:ind w:left="5040" w:hanging="360"/>
      </w:pPr>
      <w:rPr>
        <w:rFonts w:ascii="Symbol" w:hAnsi="Symbol" w:hint="default"/>
      </w:rPr>
    </w:lvl>
    <w:lvl w:ilvl="7" w:tplc="8EBE82C2">
      <w:start w:val="1"/>
      <w:numFmt w:val="bullet"/>
      <w:lvlText w:val="o"/>
      <w:lvlJc w:val="left"/>
      <w:pPr>
        <w:ind w:left="5760" w:hanging="360"/>
      </w:pPr>
      <w:rPr>
        <w:rFonts w:ascii="Courier New" w:hAnsi="Courier New" w:hint="default"/>
      </w:rPr>
    </w:lvl>
    <w:lvl w:ilvl="8" w:tplc="BD04BF38">
      <w:start w:val="1"/>
      <w:numFmt w:val="bullet"/>
      <w:lvlText w:val=""/>
      <w:lvlJc w:val="left"/>
      <w:pPr>
        <w:ind w:left="6480" w:hanging="360"/>
      </w:pPr>
      <w:rPr>
        <w:rFonts w:ascii="Wingdings" w:hAnsi="Wingdings" w:hint="default"/>
      </w:rPr>
    </w:lvl>
  </w:abstractNum>
  <w:abstractNum w:abstractNumId="135" w15:restartNumberingAfterBreak="0">
    <w:nsid w:val="58532B4E"/>
    <w:multiLevelType w:val="multilevel"/>
    <w:tmpl w:val="C83E9E4A"/>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590F4D45"/>
    <w:multiLevelType w:val="multilevel"/>
    <w:tmpl w:val="3990D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7" w15:restartNumberingAfterBreak="0">
    <w:nsid w:val="592A7657"/>
    <w:multiLevelType w:val="hybridMultilevel"/>
    <w:tmpl w:val="7862A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9D216BC"/>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5A6E0124"/>
    <w:multiLevelType w:val="hybridMultilevel"/>
    <w:tmpl w:val="FFFFFFFF"/>
    <w:lvl w:ilvl="0" w:tplc="F192FA44">
      <w:start w:val="1"/>
      <w:numFmt w:val="bullet"/>
      <w:lvlText w:val=""/>
      <w:lvlJc w:val="left"/>
      <w:pPr>
        <w:ind w:left="720" w:hanging="360"/>
      </w:pPr>
      <w:rPr>
        <w:rFonts w:ascii="Symbol" w:hAnsi="Symbol" w:hint="default"/>
      </w:rPr>
    </w:lvl>
    <w:lvl w:ilvl="1" w:tplc="98B28112">
      <w:start w:val="1"/>
      <w:numFmt w:val="bullet"/>
      <w:lvlText w:val="o"/>
      <w:lvlJc w:val="left"/>
      <w:pPr>
        <w:ind w:left="1440" w:hanging="360"/>
      </w:pPr>
      <w:rPr>
        <w:rFonts w:ascii="Courier New" w:hAnsi="Courier New" w:hint="default"/>
      </w:rPr>
    </w:lvl>
    <w:lvl w:ilvl="2" w:tplc="21540E04">
      <w:start w:val="1"/>
      <w:numFmt w:val="bullet"/>
      <w:lvlText w:val=""/>
      <w:lvlJc w:val="left"/>
      <w:pPr>
        <w:ind w:left="2160" w:hanging="360"/>
      </w:pPr>
      <w:rPr>
        <w:rFonts w:ascii="Wingdings" w:hAnsi="Wingdings" w:hint="default"/>
      </w:rPr>
    </w:lvl>
    <w:lvl w:ilvl="3" w:tplc="18D0361C">
      <w:start w:val="1"/>
      <w:numFmt w:val="bullet"/>
      <w:lvlText w:val=""/>
      <w:lvlJc w:val="left"/>
      <w:pPr>
        <w:ind w:left="2880" w:hanging="360"/>
      </w:pPr>
      <w:rPr>
        <w:rFonts w:ascii="Symbol" w:hAnsi="Symbol" w:hint="default"/>
      </w:rPr>
    </w:lvl>
    <w:lvl w:ilvl="4" w:tplc="20908AD2">
      <w:start w:val="1"/>
      <w:numFmt w:val="bullet"/>
      <w:lvlText w:val="o"/>
      <w:lvlJc w:val="left"/>
      <w:pPr>
        <w:ind w:left="3600" w:hanging="360"/>
      </w:pPr>
      <w:rPr>
        <w:rFonts w:ascii="Courier New" w:hAnsi="Courier New" w:hint="default"/>
      </w:rPr>
    </w:lvl>
    <w:lvl w:ilvl="5" w:tplc="32F07B24">
      <w:start w:val="1"/>
      <w:numFmt w:val="bullet"/>
      <w:lvlText w:val=""/>
      <w:lvlJc w:val="left"/>
      <w:pPr>
        <w:ind w:left="4320" w:hanging="360"/>
      </w:pPr>
      <w:rPr>
        <w:rFonts w:ascii="Wingdings" w:hAnsi="Wingdings" w:hint="default"/>
      </w:rPr>
    </w:lvl>
    <w:lvl w:ilvl="6" w:tplc="A8427A9A">
      <w:start w:val="1"/>
      <w:numFmt w:val="bullet"/>
      <w:lvlText w:val=""/>
      <w:lvlJc w:val="left"/>
      <w:pPr>
        <w:ind w:left="5040" w:hanging="360"/>
      </w:pPr>
      <w:rPr>
        <w:rFonts w:ascii="Symbol" w:hAnsi="Symbol" w:hint="default"/>
      </w:rPr>
    </w:lvl>
    <w:lvl w:ilvl="7" w:tplc="ED6CF3A6">
      <w:start w:val="1"/>
      <w:numFmt w:val="bullet"/>
      <w:lvlText w:val="o"/>
      <w:lvlJc w:val="left"/>
      <w:pPr>
        <w:ind w:left="5760" w:hanging="360"/>
      </w:pPr>
      <w:rPr>
        <w:rFonts w:ascii="Courier New" w:hAnsi="Courier New" w:hint="default"/>
      </w:rPr>
    </w:lvl>
    <w:lvl w:ilvl="8" w:tplc="DA9295FE">
      <w:start w:val="1"/>
      <w:numFmt w:val="bullet"/>
      <w:lvlText w:val=""/>
      <w:lvlJc w:val="left"/>
      <w:pPr>
        <w:ind w:left="6480" w:hanging="360"/>
      </w:pPr>
      <w:rPr>
        <w:rFonts w:ascii="Wingdings" w:hAnsi="Wingdings" w:hint="default"/>
      </w:rPr>
    </w:lvl>
  </w:abstractNum>
  <w:abstractNum w:abstractNumId="140" w15:restartNumberingAfterBreak="0">
    <w:nsid w:val="5B6F7026"/>
    <w:multiLevelType w:val="multilevel"/>
    <w:tmpl w:val="C83E9E4A"/>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5BB7577B"/>
    <w:multiLevelType w:val="multilevel"/>
    <w:tmpl w:val="BF688622"/>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2" w15:restartNumberingAfterBreak="0">
    <w:nsid w:val="5C74230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3" w15:restartNumberingAfterBreak="0">
    <w:nsid w:val="5EB347E5"/>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5FB60FD8"/>
    <w:multiLevelType w:val="hybridMultilevel"/>
    <w:tmpl w:val="EBFCD214"/>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5" w15:restartNumberingAfterBreak="0">
    <w:nsid w:val="60183AA1"/>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613C054C"/>
    <w:multiLevelType w:val="multilevel"/>
    <w:tmpl w:val="DE3A0718"/>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3643FC5"/>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640278C1"/>
    <w:multiLevelType w:val="hybridMultilevel"/>
    <w:tmpl w:val="B614CF7A"/>
    <w:lvl w:ilvl="0" w:tplc="076621B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64234C19"/>
    <w:multiLevelType w:val="hybridMultilevel"/>
    <w:tmpl w:val="5784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4DA5191"/>
    <w:multiLevelType w:val="hybridMultilevel"/>
    <w:tmpl w:val="E478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5F66B30"/>
    <w:multiLevelType w:val="hybridMultilevel"/>
    <w:tmpl w:val="B600B370"/>
    <w:lvl w:ilvl="0" w:tplc="ECCC09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2" w15:restartNumberingAfterBreak="0">
    <w:nsid w:val="65FD684B"/>
    <w:multiLevelType w:val="hybridMultilevel"/>
    <w:tmpl w:val="F9EA1EE8"/>
    <w:lvl w:ilvl="0" w:tplc="47584B0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66A45DAC"/>
    <w:multiLevelType w:val="hybridMultilevel"/>
    <w:tmpl w:val="BCCC7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84A1F79"/>
    <w:multiLevelType w:val="hybridMultilevel"/>
    <w:tmpl w:val="46160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68570CC6"/>
    <w:multiLevelType w:val="multilevel"/>
    <w:tmpl w:val="72B2AC1C"/>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6" w15:restartNumberingAfterBreak="0">
    <w:nsid w:val="686C3DC3"/>
    <w:multiLevelType w:val="multilevel"/>
    <w:tmpl w:val="B254E05A"/>
    <w:lvl w:ilvl="0">
      <w:start w:val="1"/>
      <w:numFmt w:val="bullet"/>
      <w:lvlText w:val=""/>
      <w:lvlJc w:val="left"/>
      <w:pPr>
        <w:ind w:left="397" w:hanging="397"/>
      </w:pPr>
      <w:rPr>
        <w:rFonts w:ascii="Symbol" w:hAnsi="Symbol"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8A7F9E4"/>
    <w:multiLevelType w:val="hybridMultilevel"/>
    <w:tmpl w:val="FFFFFFFF"/>
    <w:lvl w:ilvl="0" w:tplc="05A2657A">
      <w:start w:val="1"/>
      <w:numFmt w:val="bullet"/>
      <w:lvlText w:val=""/>
      <w:lvlJc w:val="left"/>
      <w:pPr>
        <w:ind w:left="720" w:hanging="360"/>
      </w:pPr>
      <w:rPr>
        <w:rFonts w:ascii="Symbol" w:hAnsi="Symbol" w:hint="default"/>
      </w:rPr>
    </w:lvl>
    <w:lvl w:ilvl="1" w:tplc="6BF04818">
      <w:start w:val="1"/>
      <w:numFmt w:val="bullet"/>
      <w:lvlText w:val="o"/>
      <w:lvlJc w:val="left"/>
      <w:pPr>
        <w:ind w:left="1440" w:hanging="360"/>
      </w:pPr>
      <w:rPr>
        <w:rFonts w:ascii="Courier New" w:hAnsi="Courier New" w:hint="default"/>
      </w:rPr>
    </w:lvl>
    <w:lvl w:ilvl="2" w:tplc="3D9A91D6">
      <w:start w:val="1"/>
      <w:numFmt w:val="bullet"/>
      <w:lvlText w:val=""/>
      <w:lvlJc w:val="left"/>
      <w:pPr>
        <w:ind w:left="2160" w:hanging="360"/>
      </w:pPr>
      <w:rPr>
        <w:rFonts w:ascii="Wingdings" w:hAnsi="Wingdings" w:hint="default"/>
      </w:rPr>
    </w:lvl>
    <w:lvl w:ilvl="3" w:tplc="60725EE4">
      <w:start w:val="1"/>
      <w:numFmt w:val="bullet"/>
      <w:lvlText w:val=""/>
      <w:lvlJc w:val="left"/>
      <w:pPr>
        <w:ind w:left="2880" w:hanging="360"/>
      </w:pPr>
      <w:rPr>
        <w:rFonts w:ascii="Symbol" w:hAnsi="Symbol" w:hint="default"/>
      </w:rPr>
    </w:lvl>
    <w:lvl w:ilvl="4" w:tplc="D94A6DEC">
      <w:start w:val="1"/>
      <w:numFmt w:val="bullet"/>
      <w:lvlText w:val="o"/>
      <w:lvlJc w:val="left"/>
      <w:pPr>
        <w:ind w:left="3600" w:hanging="360"/>
      </w:pPr>
      <w:rPr>
        <w:rFonts w:ascii="Courier New" w:hAnsi="Courier New" w:hint="default"/>
      </w:rPr>
    </w:lvl>
    <w:lvl w:ilvl="5" w:tplc="76A079EE">
      <w:start w:val="1"/>
      <w:numFmt w:val="bullet"/>
      <w:lvlText w:val=""/>
      <w:lvlJc w:val="left"/>
      <w:pPr>
        <w:ind w:left="4320" w:hanging="360"/>
      </w:pPr>
      <w:rPr>
        <w:rFonts w:ascii="Wingdings" w:hAnsi="Wingdings" w:hint="default"/>
      </w:rPr>
    </w:lvl>
    <w:lvl w:ilvl="6" w:tplc="2EE0AFE4">
      <w:start w:val="1"/>
      <w:numFmt w:val="bullet"/>
      <w:lvlText w:val=""/>
      <w:lvlJc w:val="left"/>
      <w:pPr>
        <w:ind w:left="5040" w:hanging="360"/>
      </w:pPr>
      <w:rPr>
        <w:rFonts w:ascii="Symbol" w:hAnsi="Symbol" w:hint="default"/>
      </w:rPr>
    </w:lvl>
    <w:lvl w:ilvl="7" w:tplc="728617EA">
      <w:start w:val="1"/>
      <w:numFmt w:val="bullet"/>
      <w:lvlText w:val="o"/>
      <w:lvlJc w:val="left"/>
      <w:pPr>
        <w:ind w:left="5760" w:hanging="360"/>
      </w:pPr>
      <w:rPr>
        <w:rFonts w:ascii="Courier New" w:hAnsi="Courier New" w:hint="default"/>
      </w:rPr>
    </w:lvl>
    <w:lvl w:ilvl="8" w:tplc="E3ACC89C">
      <w:start w:val="1"/>
      <w:numFmt w:val="bullet"/>
      <w:lvlText w:val=""/>
      <w:lvlJc w:val="left"/>
      <w:pPr>
        <w:ind w:left="6480" w:hanging="360"/>
      </w:pPr>
      <w:rPr>
        <w:rFonts w:ascii="Wingdings" w:hAnsi="Wingdings" w:hint="default"/>
      </w:rPr>
    </w:lvl>
  </w:abstractNum>
  <w:abstractNum w:abstractNumId="158" w15:restartNumberingAfterBreak="0">
    <w:nsid w:val="68E697E4"/>
    <w:multiLevelType w:val="hybridMultilevel"/>
    <w:tmpl w:val="FFFFFFFF"/>
    <w:lvl w:ilvl="0" w:tplc="46B285E0">
      <w:start w:val="1"/>
      <w:numFmt w:val="bullet"/>
      <w:lvlText w:val=""/>
      <w:lvlJc w:val="left"/>
      <w:pPr>
        <w:ind w:left="720" w:hanging="360"/>
      </w:pPr>
      <w:rPr>
        <w:rFonts w:ascii="Symbol" w:hAnsi="Symbol" w:hint="default"/>
      </w:rPr>
    </w:lvl>
    <w:lvl w:ilvl="1" w:tplc="774CFE06">
      <w:start w:val="1"/>
      <w:numFmt w:val="bullet"/>
      <w:lvlText w:val="o"/>
      <w:lvlJc w:val="left"/>
      <w:pPr>
        <w:ind w:left="1440" w:hanging="360"/>
      </w:pPr>
      <w:rPr>
        <w:rFonts w:ascii="Courier New" w:hAnsi="Courier New" w:hint="default"/>
      </w:rPr>
    </w:lvl>
    <w:lvl w:ilvl="2" w:tplc="EAB25FF6">
      <w:start w:val="1"/>
      <w:numFmt w:val="bullet"/>
      <w:lvlText w:val=""/>
      <w:lvlJc w:val="left"/>
      <w:pPr>
        <w:ind w:left="2160" w:hanging="360"/>
      </w:pPr>
      <w:rPr>
        <w:rFonts w:ascii="Wingdings" w:hAnsi="Wingdings" w:hint="default"/>
      </w:rPr>
    </w:lvl>
    <w:lvl w:ilvl="3" w:tplc="BBDECD9A">
      <w:start w:val="1"/>
      <w:numFmt w:val="bullet"/>
      <w:lvlText w:val=""/>
      <w:lvlJc w:val="left"/>
      <w:pPr>
        <w:ind w:left="2880" w:hanging="360"/>
      </w:pPr>
      <w:rPr>
        <w:rFonts w:ascii="Symbol" w:hAnsi="Symbol" w:hint="default"/>
      </w:rPr>
    </w:lvl>
    <w:lvl w:ilvl="4" w:tplc="25045A78">
      <w:start w:val="1"/>
      <w:numFmt w:val="bullet"/>
      <w:lvlText w:val="o"/>
      <w:lvlJc w:val="left"/>
      <w:pPr>
        <w:ind w:left="3600" w:hanging="360"/>
      </w:pPr>
      <w:rPr>
        <w:rFonts w:ascii="Courier New" w:hAnsi="Courier New" w:hint="default"/>
      </w:rPr>
    </w:lvl>
    <w:lvl w:ilvl="5" w:tplc="34249652">
      <w:start w:val="1"/>
      <w:numFmt w:val="bullet"/>
      <w:lvlText w:val=""/>
      <w:lvlJc w:val="left"/>
      <w:pPr>
        <w:ind w:left="4320" w:hanging="360"/>
      </w:pPr>
      <w:rPr>
        <w:rFonts w:ascii="Wingdings" w:hAnsi="Wingdings" w:hint="default"/>
      </w:rPr>
    </w:lvl>
    <w:lvl w:ilvl="6" w:tplc="5F34A2B8">
      <w:start w:val="1"/>
      <w:numFmt w:val="bullet"/>
      <w:lvlText w:val=""/>
      <w:lvlJc w:val="left"/>
      <w:pPr>
        <w:ind w:left="5040" w:hanging="360"/>
      </w:pPr>
      <w:rPr>
        <w:rFonts w:ascii="Symbol" w:hAnsi="Symbol" w:hint="default"/>
      </w:rPr>
    </w:lvl>
    <w:lvl w:ilvl="7" w:tplc="102E3300">
      <w:start w:val="1"/>
      <w:numFmt w:val="bullet"/>
      <w:lvlText w:val="o"/>
      <w:lvlJc w:val="left"/>
      <w:pPr>
        <w:ind w:left="5760" w:hanging="360"/>
      </w:pPr>
      <w:rPr>
        <w:rFonts w:ascii="Courier New" w:hAnsi="Courier New" w:hint="default"/>
      </w:rPr>
    </w:lvl>
    <w:lvl w:ilvl="8" w:tplc="D9AA0354">
      <w:start w:val="1"/>
      <w:numFmt w:val="bullet"/>
      <w:lvlText w:val=""/>
      <w:lvlJc w:val="left"/>
      <w:pPr>
        <w:ind w:left="6480" w:hanging="360"/>
      </w:pPr>
      <w:rPr>
        <w:rFonts w:ascii="Wingdings" w:hAnsi="Wingdings" w:hint="default"/>
      </w:rPr>
    </w:lvl>
  </w:abstractNum>
  <w:abstractNum w:abstractNumId="159" w15:restartNumberingAfterBreak="0">
    <w:nsid w:val="68F14541"/>
    <w:multiLevelType w:val="hybridMultilevel"/>
    <w:tmpl w:val="417C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9030E0C"/>
    <w:multiLevelType w:val="hybridMultilevel"/>
    <w:tmpl w:val="C734BFD4"/>
    <w:lvl w:ilvl="0" w:tplc="ADE81EFA">
      <w:start w:val="1"/>
      <w:numFmt w:val="bullet"/>
      <w:lvlText w:val=""/>
      <w:lvlJc w:val="left"/>
      <w:pPr>
        <w:ind w:left="720" w:hanging="360"/>
      </w:pPr>
      <w:rPr>
        <w:rFonts w:ascii="Symbol" w:hAnsi="Symbol" w:hint="default"/>
      </w:rPr>
    </w:lvl>
    <w:lvl w:ilvl="1" w:tplc="B538C3D2">
      <w:start w:val="1"/>
      <w:numFmt w:val="bullet"/>
      <w:lvlText w:val="o"/>
      <w:lvlJc w:val="left"/>
      <w:pPr>
        <w:ind w:left="1440" w:hanging="360"/>
      </w:pPr>
      <w:rPr>
        <w:rFonts w:ascii="Courier New" w:hAnsi="Courier New" w:hint="default"/>
      </w:rPr>
    </w:lvl>
    <w:lvl w:ilvl="2" w:tplc="D3AACE1E">
      <w:start w:val="1"/>
      <w:numFmt w:val="bullet"/>
      <w:lvlText w:val=""/>
      <w:lvlJc w:val="left"/>
      <w:pPr>
        <w:ind w:left="2160" w:hanging="360"/>
      </w:pPr>
      <w:rPr>
        <w:rFonts w:ascii="Wingdings" w:hAnsi="Wingdings" w:hint="default"/>
      </w:rPr>
    </w:lvl>
    <w:lvl w:ilvl="3" w:tplc="C8FAD380">
      <w:start w:val="1"/>
      <w:numFmt w:val="bullet"/>
      <w:lvlText w:val=""/>
      <w:lvlJc w:val="left"/>
      <w:pPr>
        <w:ind w:left="2880" w:hanging="360"/>
      </w:pPr>
      <w:rPr>
        <w:rFonts w:ascii="Symbol" w:hAnsi="Symbol" w:hint="default"/>
      </w:rPr>
    </w:lvl>
    <w:lvl w:ilvl="4" w:tplc="972E60F8">
      <w:start w:val="1"/>
      <w:numFmt w:val="bullet"/>
      <w:lvlText w:val="o"/>
      <w:lvlJc w:val="left"/>
      <w:pPr>
        <w:ind w:left="3600" w:hanging="360"/>
      </w:pPr>
      <w:rPr>
        <w:rFonts w:ascii="Courier New" w:hAnsi="Courier New" w:hint="default"/>
      </w:rPr>
    </w:lvl>
    <w:lvl w:ilvl="5" w:tplc="75827846">
      <w:start w:val="1"/>
      <w:numFmt w:val="bullet"/>
      <w:lvlText w:val=""/>
      <w:lvlJc w:val="left"/>
      <w:pPr>
        <w:ind w:left="4320" w:hanging="360"/>
      </w:pPr>
      <w:rPr>
        <w:rFonts w:ascii="Wingdings" w:hAnsi="Wingdings" w:hint="default"/>
      </w:rPr>
    </w:lvl>
    <w:lvl w:ilvl="6" w:tplc="82F2DCAE">
      <w:start w:val="1"/>
      <w:numFmt w:val="bullet"/>
      <w:lvlText w:val=""/>
      <w:lvlJc w:val="left"/>
      <w:pPr>
        <w:ind w:left="5040" w:hanging="360"/>
      </w:pPr>
      <w:rPr>
        <w:rFonts w:ascii="Symbol" w:hAnsi="Symbol" w:hint="default"/>
      </w:rPr>
    </w:lvl>
    <w:lvl w:ilvl="7" w:tplc="C254B0DC">
      <w:start w:val="1"/>
      <w:numFmt w:val="bullet"/>
      <w:lvlText w:val="o"/>
      <w:lvlJc w:val="left"/>
      <w:pPr>
        <w:ind w:left="5760" w:hanging="360"/>
      </w:pPr>
      <w:rPr>
        <w:rFonts w:ascii="Courier New" w:hAnsi="Courier New" w:hint="default"/>
      </w:rPr>
    </w:lvl>
    <w:lvl w:ilvl="8" w:tplc="881296FA">
      <w:start w:val="1"/>
      <w:numFmt w:val="bullet"/>
      <w:lvlText w:val=""/>
      <w:lvlJc w:val="left"/>
      <w:pPr>
        <w:ind w:left="6480" w:hanging="360"/>
      </w:pPr>
      <w:rPr>
        <w:rFonts w:ascii="Wingdings" w:hAnsi="Wingdings" w:hint="default"/>
      </w:rPr>
    </w:lvl>
  </w:abstractNum>
  <w:abstractNum w:abstractNumId="161" w15:restartNumberingAfterBreak="0">
    <w:nsid w:val="6A0F0175"/>
    <w:multiLevelType w:val="hybridMultilevel"/>
    <w:tmpl w:val="494C5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6BC652F5"/>
    <w:multiLevelType w:val="hybridMultilevel"/>
    <w:tmpl w:val="FFFFFFFF"/>
    <w:lvl w:ilvl="0" w:tplc="D4182796">
      <w:start w:val="1"/>
      <w:numFmt w:val="bullet"/>
      <w:lvlText w:val=""/>
      <w:lvlJc w:val="left"/>
      <w:pPr>
        <w:ind w:left="700" w:hanging="360"/>
      </w:pPr>
      <w:rPr>
        <w:rFonts w:ascii="Symbol" w:hAnsi="Symbol" w:hint="default"/>
      </w:rPr>
    </w:lvl>
    <w:lvl w:ilvl="1" w:tplc="0538B854">
      <w:start w:val="1"/>
      <w:numFmt w:val="bullet"/>
      <w:lvlText w:val="o"/>
      <w:lvlJc w:val="left"/>
      <w:pPr>
        <w:ind w:left="1440" w:hanging="360"/>
      </w:pPr>
      <w:rPr>
        <w:rFonts w:ascii="Courier New" w:hAnsi="Courier New" w:hint="default"/>
      </w:rPr>
    </w:lvl>
    <w:lvl w:ilvl="2" w:tplc="06D4767E">
      <w:start w:val="1"/>
      <w:numFmt w:val="bullet"/>
      <w:lvlText w:val=""/>
      <w:lvlJc w:val="left"/>
      <w:pPr>
        <w:ind w:left="2160" w:hanging="360"/>
      </w:pPr>
      <w:rPr>
        <w:rFonts w:ascii="Wingdings" w:hAnsi="Wingdings" w:hint="default"/>
      </w:rPr>
    </w:lvl>
    <w:lvl w:ilvl="3" w:tplc="2D7E9F36">
      <w:start w:val="1"/>
      <w:numFmt w:val="bullet"/>
      <w:lvlText w:val=""/>
      <w:lvlJc w:val="left"/>
      <w:pPr>
        <w:ind w:left="2880" w:hanging="360"/>
      </w:pPr>
      <w:rPr>
        <w:rFonts w:ascii="Symbol" w:hAnsi="Symbol" w:hint="default"/>
      </w:rPr>
    </w:lvl>
    <w:lvl w:ilvl="4" w:tplc="771E2440">
      <w:start w:val="1"/>
      <w:numFmt w:val="bullet"/>
      <w:lvlText w:val="o"/>
      <w:lvlJc w:val="left"/>
      <w:pPr>
        <w:ind w:left="3600" w:hanging="360"/>
      </w:pPr>
      <w:rPr>
        <w:rFonts w:ascii="Courier New" w:hAnsi="Courier New" w:hint="default"/>
      </w:rPr>
    </w:lvl>
    <w:lvl w:ilvl="5" w:tplc="166CAD28">
      <w:start w:val="1"/>
      <w:numFmt w:val="bullet"/>
      <w:lvlText w:val=""/>
      <w:lvlJc w:val="left"/>
      <w:pPr>
        <w:ind w:left="4320" w:hanging="360"/>
      </w:pPr>
      <w:rPr>
        <w:rFonts w:ascii="Wingdings" w:hAnsi="Wingdings" w:hint="default"/>
      </w:rPr>
    </w:lvl>
    <w:lvl w:ilvl="6" w:tplc="51FCAB58">
      <w:start w:val="1"/>
      <w:numFmt w:val="bullet"/>
      <w:lvlText w:val=""/>
      <w:lvlJc w:val="left"/>
      <w:pPr>
        <w:ind w:left="5040" w:hanging="360"/>
      </w:pPr>
      <w:rPr>
        <w:rFonts w:ascii="Symbol" w:hAnsi="Symbol" w:hint="default"/>
      </w:rPr>
    </w:lvl>
    <w:lvl w:ilvl="7" w:tplc="BB7E63D4">
      <w:start w:val="1"/>
      <w:numFmt w:val="bullet"/>
      <w:lvlText w:val="o"/>
      <w:lvlJc w:val="left"/>
      <w:pPr>
        <w:ind w:left="5760" w:hanging="360"/>
      </w:pPr>
      <w:rPr>
        <w:rFonts w:ascii="Courier New" w:hAnsi="Courier New" w:hint="default"/>
      </w:rPr>
    </w:lvl>
    <w:lvl w:ilvl="8" w:tplc="5AB65D9A">
      <w:start w:val="1"/>
      <w:numFmt w:val="bullet"/>
      <w:lvlText w:val=""/>
      <w:lvlJc w:val="left"/>
      <w:pPr>
        <w:ind w:left="6480" w:hanging="360"/>
      </w:pPr>
      <w:rPr>
        <w:rFonts w:ascii="Wingdings" w:hAnsi="Wingdings" w:hint="default"/>
      </w:rPr>
    </w:lvl>
  </w:abstractNum>
  <w:abstractNum w:abstractNumId="163" w15:restartNumberingAfterBreak="0">
    <w:nsid w:val="6C6F2CAD"/>
    <w:multiLevelType w:val="multilevel"/>
    <w:tmpl w:val="64AED8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4" w15:restartNumberingAfterBreak="0">
    <w:nsid w:val="6CA83F64"/>
    <w:multiLevelType w:val="hybridMultilevel"/>
    <w:tmpl w:val="4F6C67D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5" w15:restartNumberingAfterBreak="0">
    <w:nsid w:val="6CD73395"/>
    <w:multiLevelType w:val="multilevel"/>
    <w:tmpl w:val="A566B5C6"/>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66" w15:restartNumberingAfterBreak="0">
    <w:nsid w:val="6CEF48BF"/>
    <w:multiLevelType w:val="multilevel"/>
    <w:tmpl w:val="F2ECE57C"/>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6D023380"/>
    <w:multiLevelType w:val="multilevel"/>
    <w:tmpl w:val="C9ECFA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8" w15:restartNumberingAfterBreak="0">
    <w:nsid w:val="6E127582"/>
    <w:multiLevelType w:val="hybridMultilevel"/>
    <w:tmpl w:val="4F167288"/>
    <w:lvl w:ilvl="0" w:tplc="C9C0745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9" w15:restartNumberingAfterBreak="0">
    <w:nsid w:val="6E2000F0"/>
    <w:multiLevelType w:val="multilevel"/>
    <w:tmpl w:val="72B2AC1C"/>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0" w15:restartNumberingAfterBreak="0">
    <w:nsid w:val="6F6958D6"/>
    <w:multiLevelType w:val="hybridMultilevel"/>
    <w:tmpl w:val="5B509F0C"/>
    <w:lvl w:ilvl="0" w:tplc="0C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1" w15:restartNumberingAfterBreak="0">
    <w:nsid w:val="701A698E"/>
    <w:multiLevelType w:val="multilevel"/>
    <w:tmpl w:val="50DA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0385E1E"/>
    <w:multiLevelType w:val="hybridMultilevel"/>
    <w:tmpl w:val="CC4E847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3" w15:restartNumberingAfterBreak="0">
    <w:nsid w:val="70DD1C6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4" w15:restartNumberingAfterBreak="0">
    <w:nsid w:val="71661396"/>
    <w:multiLevelType w:val="hybridMultilevel"/>
    <w:tmpl w:val="3CDE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1D9549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7267F8D5"/>
    <w:multiLevelType w:val="hybridMultilevel"/>
    <w:tmpl w:val="FFFFFFFF"/>
    <w:lvl w:ilvl="0" w:tplc="FA52ADA2">
      <w:start w:val="1"/>
      <w:numFmt w:val="bullet"/>
      <w:lvlText w:val=""/>
      <w:lvlJc w:val="left"/>
      <w:pPr>
        <w:ind w:left="720" w:hanging="360"/>
      </w:pPr>
      <w:rPr>
        <w:rFonts w:ascii="Symbol" w:hAnsi="Symbol" w:hint="default"/>
      </w:rPr>
    </w:lvl>
    <w:lvl w:ilvl="1" w:tplc="BEC40FBA">
      <w:start w:val="1"/>
      <w:numFmt w:val="bullet"/>
      <w:lvlText w:val="o"/>
      <w:lvlJc w:val="left"/>
      <w:pPr>
        <w:ind w:left="1440" w:hanging="360"/>
      </w:pPr>
      <w:rPr>
        <w:rFonts w:ascii="Courier New" w:hAnsi="Courier New" w:hint="default"/>
      </w:rPr>
    </w:lvl>
    <w:lvl w:ilvl="2" w:tplc="B226E058">
      <w:start w:val="1"/>
      <w:numFmt w:val="bullet"/>
      <w:lvlText w:val=""/>
      <w:lvlJc w:val="left"/>
      <w:pPr>
        <w:ind w:left="2160" w:hanging="360"/>
      </w:pPr>
      <w:rPr>
        <w:rFonts w:ascii="Wingdings" w:hAnsi="Wingdings" w:hint="default"/>
      </w:rPr>
    </w:lvl>
    <w:lvl w:ilvl="3" w:tplc="4F549EDA">
      <w:start w:val="1"/>
      <w:numFmt w:val="bullet"/>
      <w:lvlText w:val=""/>
      <w:lvlJc w:val="left"/>
      <w:pPr>
        <w:ind w:left="2880" w:hanging="360"/>
      </w:pPr>
      <w:rPr>
        <w:rFonts w:ascii="Symbol" w:hAnsi="Symbol" w:hint="default"/>
      </w:rPr>
    </w:lvl>
    <w:lvl w:ilvl="4" w:tplc="8C3EABD6">
      <w:start w:val="1"/>
      <w:numFmt w:val="bullet"/>
      <w:lvlText w:val="o"/>
      <w:lvlJc w:val="left"/>
      <w:pPr>
        <w:ind w:left="3600" w:hanging="360"/>
      </w:pPr>
      <w:rPr>
        <w:rFonts w:ascii="Courier New" w:hAnsi="Courier New" w:hint="default"/>
      </w:rPr>
    </w:lvl>
    <w:lvl w:ilvl="5" w:tplc="B72EF108">
      <w:start w:val="1"/>
      <w:numFmt w:val="bullet"/>
      <w:lvlText w:val=""/>
      <w:lvlJc w:val="left"/>
      <w:pPr>
        <w:ind w:left="4320" w:hanging="360"/>
      </w:pPr>
      <w:rPr>
        <w:rFonts w:ascii="Wingdings" w:hAnsi="Wingdings" w:hint="default"/>
      </w:rPr>
    </w:lvl>
    <w:lvl w:ilvl="6" w:tplc="44B68638">
      <w:start w:val="1"/>
      <w:numFmt w:val="bullet"/>
      <w:lvlText w:val=""/>
      <w:lvlJc w:val="left"/>
      <w:pPr>
        <w:ind w:left="5040" w:hanging="360"/>
      </w:pPr>
      <w:rPr>
        <w:rFonts w:ascii="Symbol" w:hAnsi="Symbol" w:hint="default"/>
      </w:rPr>
    </w:lvl>
    <w:lvl w:ilvl="7" w:tplc="788ADE00">
      <w:start w:val="1"/>
      <w:numFmt w:val="bullet"/>
      <w:lvlText w:val="o"/>
      <w:lvlJc w:val="left"/>
      <w:pPr>
        <w:ind w:left="5760" w:hanging="360"/>
      </w:pPr>
      <w:rPr>
        <w:rFonts w:ascii="Courier New" w:hAnsi="Courier New" w:hint="default"/>
      </w:rPr>
    </w:lvl>
    <w:lvl w:ilvl="8" w:tplc="40B4956A">
      <w:start w:val="1"/>
      <w:numFmt w:val="bullet"/>
      <w:lvlText w:val=""/>
      <w:lvlJc w:val="left"/>
      <w:pPr>
        <w:ind w:left="6480" w:hanging="360"/>
      </w:pPr>
      <w:rPr>
        <w:rFonts w:ascii="Wingdings" w:hAnsi="Wingdings" w:hint="default"/>
      </w:rPr>
    </w:lvl>
  </w:abstractNum>
  <w:abstractNum w:abstractNumId="177" w15:restartNumberingAfterBreak="0">
    <w:nsid w:val="730F55DC"/>
    <w:multiLevelType w:val="hybridMultilevel"/>
    <w:tmpl w:val="9C26D4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3456AB5"/>
    <w:multiLevelType w:val="multilevel"/>
    <w:tmpl w:val="6340F19A"/>
    <w:lvl w:ilvl="0">
      <w:start w:val="1"/>
      <w:numFmt w:val="bullet"/>
      <w:lvlText w:val=""/>
      <w:lvlJc w:val="left"/>
      <w:pPr>
        <w:ind w:left="340" w:hanging="340"/>
      </w:pPr>
      <w:rPr>
        <w:rFonts w:ascii="Symbol" w:hAnsi="Symbol" w:hint="default"/>
      </w:rPr>
    </w:lvl>
    <w:lvl w:ilvl="1">
      <w:start w:val="1"/>
      <w:numFmt w:val="lowerRoman"/>
      <w:lvlText w:val="%2)"/>
      <w:lvlJc w:val="left"/>
      <w:pPr>
        <w:ind w:left="680" w:hanging="340"/>
      </w:pPr>
      <w:rPr>
        <w:rFonts w:hint="default"/>
      </w:rPr>
    </w:lvl>
    <w:lvl w:ilvl="2">
      <w:start w:val="1"/>
      <w:numFmt w:val="upperLetter"/>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179" w15:restartNumberingAfterBreak="0">
    <w:nsid w:val="73EA3C07"/>
    <w:multiLevelType w:val="multilevel"/>
    <w:tmpl w:val="4678EC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0" w15:restartNumberingAfterBreak="0">
    <w:nsid w:val="73FC4B2E"/>
    <w:multiLevelType w:val="multilevel"/>
    <w:tmpl w:val="D7E6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435A40B"/>
    <w:multiLevelType w:val="hybridMultilevel"/>
    <w:tmpl w:val="FFFFFFFF"/>
    <w:lvl w:ilvl="0" w:tplc="F192FA44">
      <w:start w:val="1"/>
      <w:numFmt w:val="bullet"/>
      <w:lvlText w:val=""/>
      <w:lvlJc w:val="left"/>
      <w:pPr>
        <w:ind w:left="720" w:hanging="360"/>
      </w:pPr>
      <w:rPr>
        <w:rFonts w:ascii="Symbol" w:hAnsi="Symbol" w:hint="default"/>
      </w:rPr>
    </w:lvl>
    <w:lvl w:ilvl="1" w:tplc="98B28112">
      <w:start w:val="1"/>
      <w:numFmt w:val="bullet"/>
      <w:lvlText w:val="o"/>
      <w:lvlJc w:val="left"/>
      <w:pPr>
        <w:ind w:left="1440" w:hanging="360"/>
      </w:pPr>
      <w:rPr>
        <w:rFonts w:ascii="Courier New" w:hAnsi="Courier New" w:hint="default"/>
      </w:rPr>
    </w:lvl>
    <w:lvl w:ilvl="2" w:tplc="21540E04">
      <w:start w:val="1"/>
      <w:numFmt w:val="bullet"/>
      <w:lvlText w:val=""/>
      <w:lvlJc w:val="left"/>
      <w:pPr>
        <w:ind w:left="2160" w:hanging="360"/>
      </w:pPr>
      <w:rPr>
        <w:rFonts w:ascii="Wingdings" w:hAnsi="Wingdings" w:hint="default"/>
      </w:rPr>
    </w:lvl>
    <w:lvl w:ilvl="3" w:tplc="18D0361C">
      <w:start w:val="1"/>
      <w:numFmt w:val="bullet"/>
      <w:lvlText w:val=""/>
      <w:lvlJc w:val="left"/>
      <w:pPr>
        <w:ind w:left="2880" w:hanging="360"/>
      </w:pPr>
      <w:rPr>
        <w:rFonts w:ascii="Symbol" w:hAnsi="Symbol" w:hint="default"/>
      </w:rPr>
    </w:lvl>
    <w:lvl w:ilvl="4" w:tplc="20908AD2">
      <w:start w:val="1"/>
      <w:numFmt w:val="bullet"/>
      <w:lvlText w:val="o"/>
      <w:lvlJc w:val="left"/>
      <w:pPr>
        <w:ind w:left="3600" w:hanging="360"/>
      </w:pPr>
      <w:rPr>
        <w:rFonts w:ascii="Courier New" w:hAnsi="Courier New" w:hint="default"/>
      </w:rPr>
    </w:lvl>
    <w:lvl w:ilvl="5" w:tplc="32F07B24">
      <w:start w:val="1"/>
      <w:numFmt w:val="bullet"/>
      <w:lvlText w:val=""/>
      <w:lvlJc w:val="left"/>
      <w:pPr>
        <w:ind w:left="4320" w:hanging="360"/>
      </w:pPr>
      <w:rPr>
        <w:rFonts w:ascii="Wingdings" w:hAnsi="Wingdings" w:hint="default"/>
      </w:rPr>
    </w:lvl>
    <w:lvl w:ilvl="6" w:tplc="A8427A9A">
      <w:start w:val="1"/>
      <w:numFmt w:val="bullet"/>
      <w:lvlText w:val=""/>
      <w:lvlJc w:val="left"/>
      <w:pPr>
        <w:ind w:left="5040" w:hanging="360"/>
      </w:pPr>
      <w:rPr>
        <w:rFonts w:ascii="Symbol" w:hAnsi="Symbol" w:hint="default"/>
      </w:rPr>
    </w:lvl>
    <w:lvl w:ilvl="7" w:tplc="ED6CF3A6">
      <w:start w:val="1"/>
      <w:numFmt w:val="bullet"/>
      <w:lvlText w:val="o"/>
      <w:lvlJc w:val="left"/>
      <w:pPr>
        <w:ind w:left="5760" w:hanging="360"/>
      </w:pPr>
      <w:rPr>
        <w:rFonts w:ascii="Courier New" w:hAnsi="Courier New" w:hint="default"/>
      </w:rPr>
    </w:lvl>
    <w:lvl w:ilvl="8" w:tplc="DA9295FE">
      <w:start w:val="1"/>
      <w:numFmt w:val="bullet"/>
      <w:lvlText w:val=""/>
      <w:lvlJc w:val="left"/>
      <w:pPr>
        <w:ind w:left="6480" w:hanging="360"/>
      </w:pPr>
      <w:rPr>
        <w:rFonts w:ascii="Wingdings" w:hAnsi="Wingdings" w:hint="default"/>
      </w:rPr>
    </w:lvl>
  </w:abstractNum>
  <w:abstractNum w:abstractNumId="182" w15:restartNumberingAfterBreak="0">
    <w:nsid w:val="759B0A2B"/>
    <w:multiLevelType w:val="hybridMultilevel"/>
    <w:tmpl w:val="87E02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75B49069"/>
    <w:multiLevelType w:val="hybridMultilevel"/>
    <w:tmpl w:val="FFFFFFFF"/>
    <w:lvl w:ilvl="0" w:tplc="9AAA025A">
      <w:start w:val="1"/>
      <w:numFmt w:val="bullet"/>
      <w:lvlText w:val=""/>
      <w:lvlJc w:val="left"/>
      <w:pPr>
        <w:ind w:left="720" w:hanging="360"/>
      </w:pPr>
      <w:rPr>
        <w:rFonts w:ascii="Symbol" w:hAnsi="Symbol" w:hint="default"/>
      </w:rPr>
    </w:lvl>
    <w:lvl w:ilvl="1" w:tplc="872C1C50">
      <w:start w:val="1"/>
      <w:numFmt w:val="bullet"/>
      <w:lvlText w:val="o"/>
      <w:lvlJc w:val="left"/>
      <w:pPr>
        <w:ind w:left="1440" w:hanging="360"/>
      </w:pPr>
      <w:rPr>
        <w:rFonts w:ascii="Courier New" w:hAnsi="Courier New" w:hint="default"/>
      </w:rPr>
    </w:lvl>
    <w:lvl w:ilvl="2" w:tplc="A3768032">
      <w:start w:val="1"/>
      <w:numFmt w:val="bullet"/>
      <w:lvlText w:val=""/>
      <w:lvlJc w:val="left"/>
      <w:pPr>
        <w:ind w:left="2160" w:hanging="360"/>
      </w:pPr>
      <w:rPr>
        <w:rFonts w:ascii="Wingdings" w:hAnsi="Wingdings" w:hint="default"/>
      </w:rPr>
    </w:lvl>
    <w:lvl w:ilvl="3" w:tplc="87462DE4">
      <w:start w:val="1"/>
      <w:numFmt w:val="bullet"/>
      <w:lvlText w:val=""/>
      <w:lvlJc w:val="left"/>
      <w:pPr>
        <w:ind w:left="2880" w:hanging="360"/>
      </w:pPr>
      <w:rPr>
        <w:rFonts w:ascii="Symbol" w:hAnsi="Symbol" w:hint="default"/>
      </w:rPr>
    </w:lvl>
    <w:lvl w:ilvl="4" w:tplc="E2C6774A">
      <w:start w:val="1"/>
      <w:numFmt w:val="bullet"/>
      <w:lvlText w:val="o"/>
      <w:lvlJc w:val="left"/>
      <w:pPr>
        <w:ind w:left="3600" w:hanging="360"/>
      </w:pPr>
      <w:rPr>
        <w:rFonts w:ascii="Courier New" w:hAnsi="Courier New" w:hint="default"/>
      </w:rPr>
    </w:lvl>
    <w:lvl w:ilvl="5" w:tplc="E4ECDA78">
      <w:start w:val="1"/>
      <w:numFmt w:val="bullet"/>
      <w:lvlText w:val=""/>
      <w:lvlJc w:val="left"/>
      <w:pPr>
        <w:ind w:left="4320" w:hanging="360"/>
      </w:pPr>
      <w:rPr>
        <w:rFonts w:ascii="Wingdings" w:hAnsi="Wingdings" w:hint="default"/>
      </w:rPr>
    </w:lvl>
    <w:lvl w:ilvl="6" w:tplc="B79A2A6E">
      <w:start w:val="1"/>
      <w:numFmt w:val="bullet"/>
      <w:lvlText w:val=""/>
      <w:lvlJc w:val="left"/>
      <w:pPr>
        <w:ind w:left="5040" w:hanging="360"/>
      </w:pPr>
      <w:rPr>
        <w:rFonts w:ascii="Symbol" w:hAnsi="Symbol" w:hint="default"/>
      </w:rPr>
    </w:lvl>
    <w:lvl w:ilvl="7" w:tplc="4BBA99AE">
      <w:start w:val="1"/>
      <w:numFmt w:val="bullet"/>
      <w:lvlText w:val="o"/>
      <w:lvlJc w:val="left"/>
      <w:pPr>
        <w:ind w:left="5760" w:hanging="360"/>
      </w:pPr>
      <w:rPr>
        <w:rFonts w:ascii="Courier New" w:hAnsi="Courier New" w:hint="default"/>
      </w:rPr>
    </w:lvl>
    <w:lvl w:ilvl="8" w:tplc="1B12F36E">
      <w:start w:val="1"/>
      <w:numFmt w:val="bullet"/>
      <w:lvlText w:val=""/>
      <w:lvlJc w:val="left"/>
      <w:pPr>
        <w:ind w:left="6480" w:hanging="360"/>
      </w:pPr>
      <w:rPr>
        <w:rFonts w:ascii="Wingdings" w:hAnsi="Wingdings" w:hint="default"/>
      </w:rPr>
    </w:lvl>
  </w:abstractNum>
  <w:abstractNum w:abstractNumId="184" w15:restartNumberingAfterBreak="0">
    <w:nsid w:val="76032A1A"/>
    <w:multiLevelType w:val="hybridMultilevel"/>
    <w:tmpl w:val="703E8CE6"/>
    <w:lvl w:ilvl="0" w:tplc="223261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5" w15:restartNumberingAfterBreak="0">
    <w:nsid w:val="764910D2"/>
    <w:multiLevelType w:val="hybridMultilevel"/>
    <w:tmpl w:val="B5E6C314"/>
    <w:lvl w:ilvl="0" w:tplc="147AF64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6" w15:restartNumberingAfterBreak="0">
    <w:nsid w:val="77793C63"/>
    <w:multiLevelType w:val="hybridMultilevel"/>
    <w:tmpl w:val="DA20B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7D460FA"/>
    <w:multiLevelType w:val="hybridMultilevel"/>
    <w:tmpl w:val="E458BB30"/>
    <w:lvl w:ilvl="0" w:tplc="49BAEB4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8" w15:restartNumberingAfterBreak="0">
    <w:nsid w:val="78176E5E"/>
    <w:multiLevelType w:val="multilevel"/>
    <w:tmpl w:val="AE00AB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9" w15:restartNumberingAfterBreak="0">
    <w:nsid w:val="78CE492B"/>
    <w:multiLevelType w:val="hybridMultilevel"/>
    <w:tmpl w:val="715E8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791279C6"/>
    <w:multiLevelType w:val="hybridMultilevel"/>
    <w:tmpl w:val="E182BFC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99518FE"/>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7A8B7192"/>
    <w:multiLevelType w:val="hybridMultilevel"/>
    <w:tmpl w:val="9C26D4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7AA8634E"/>
    <w:multiLevelType w:val="hybridMultilevel"/>
    <w:tmpl w:val="ECA28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7AF9BC56"/>
    <w:multiLevelType w:val="hybridMultilevel"/>
    <w:tmpl w:val="FFFFFFFF"/>
    <w:lvl w:ilvl="0" w:tplc="AED6CA7A">
      <w:start w:val="1"/>
      <w:numFmt w:val="bullet"/>
      <w:lvlText w:val=""/>
      <w:lvlJc w:val="left"/>
      <w:pPr>
        <w:ind w:left="720" w:hanging="360"/>
      </w:pPr>
      <w:rPr>
        <w:rFonts w:ascii="Symbol" w:hAnsi="Symbol" w:hint="default"/>
      </w:rPr>
    </w:lvl>
    <w:lvl w:ilvl="1" w:tplc="482AE234">
      <w:start w:val="1"/>
      <w:numFmt w:val="bullet"/>
      <w:lvlText w:val="o"/>
      <w:lvlJc w:val="left"/>
      <w:pPr>
        <w:ind w:left="1440" w:hanging="360"/>
      </w:pPr>
      <w:rPr>
        <w:rFonts w:ascii="Courier New" w:hAnsi="Courier New" w:hint="default"/>
      </w:rPr>
    </w:lvl>
    <w:lvl w:ilvl="2" w:tplc="78606464">
      <w:start w:val="1"/>
      <w:numFmt w:val="bullet"/>
      <w:lvlText w:val=""/>
      <w:lvlJc w:val="left"/>
      <w:pPr>
        <w:ind w:left="2160" w:hanging="360"/>
      </w:pPr>
      <w:rPr>
        <w:rFonts w:ascii="Wingdings" w:hAnsi="Wingdings" w:hint="default"/>
      </w:rPr>
    </w:lvl>
    <w:lvl w:ilvl="3" w:tplc="C0B6B152">
      <w:start w:val="1"/>
      <w:numFmt w:val="bullet"/>
      <w:lvlText w:val=""/>
      <w:lvlJc w:val="left"/>
      <w:pPr>
        <w:ind w:left="2880" w:hanging="360"/>
      </w:pPr>
      <w:rPr>
        <w:rFonts w:ascii="Symbol" w:hAnsi="Symbol" w:hint="default"/>
      </w:rPr>
    </w:lvl>
    <w:lvl w:ilvl="4" w:tplc="4DA88434">
      <w:start w:val="1"/>
      <w:numFmt w:val="bullet"/>
      <w:lvlText w:val="o"/>
      <w:lvlJc w:val="left"/>
      <w:pPr>
        <w:ind w:left="3600" w:hanging="360"/>
      </w:pPr>
      <w:rPr>
        <w:rFonts w:ascii="Courier New" w:hAnsi="Courier New" w:hint="default"/>
      </w:rPr>
    </w:lvl>
    <w:lvl w:ilvl="5" w:tplc="537AC0D6">
      <w:start w:val="1"/>
      <w:numFmt w:val="bullet"/>
      <w:lvlText w:val=""/>
      <w:lvlJc w:val="left"/>
      <w:pPr>
        <w:ind w:left="4320" w:hanging="360"/>
      </w:pPr>
      <w:rPr>
        <w:rFonts w:ascii="Wingdings" w:hAnsi="Wingdings" w:hint="default"/>
      </w:rPr>
    </w:lvl>
    <w:lvl w:ilvl="6" w:tplc="4F7A69B8">
      <w:start w:val="1"/>
      <w:numFmt w:val="bullet"/>
      <w:lvlText w:val=""/>
      <w:lvlJc w:val="left"/>
      <w:pPr>
        <w:ind w:left="5040" w:hanging="360"/>
      </w:pPr>
      <w:rPr>
        <w:rFonts w:ascii="Symbol" w:hAnsi="Symbol" w:hint="default"/>
      </w:rPr>
    </w:lvl>
    <w:lvl w:ilvl="7" w:tplc="19B44CA4">
      <w:start w:val="1"/>
      <w:numFmt w:val="bullet"/>
      <w:lvlText w:val="o"/>
      <w:lvlJc w:val="left"/>
      <w:pPr>
        <w:ind w:left="5760" w:hanging="360"/>
      </w:pPr>
      <w:rPr>
        <w:rFonts w:ascii="Courier New" w:hAnsi="Courier New" w:hint="default"/>
      </w:rPr>
    </w:lvl>
    <w:lvl w:ilvl="8" w:tplc="9F9467DC">
      <w:start w:val="1"/>
      <w:numFmt w:val="bullet"/>
      <w:lvlText w:val=""/>
      <w:lvlJc w:val="left"/>
      <w:pPr>
        <w:ind w:left="6480" w:hanging="360"/>
      </w:pPr>
      <w:rPr>
        <w:rFonts w:ascii="Wingdings" w:hAnsi="Wingdings" w:hint="default"/>
      </w:rPr>
    </w:lvl>
  </w:abstractNum>
  <w:abstractNum w:abstractNumId="195" w15:restartNumberingAfterBreak="0">
    <w:nsid w:val="7BED031D"/>
    <w:multiLevelType w:val="multilevel"/>
    <w:tmpl w:val="C83E9E4A"/>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7C257C5F"/>
    <w:multiLevelType w:val="multilevel"/>
    <w:tmpl w:val="6ECAD1DA"/>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7"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198" w15:restartNumberingAfterBreak="0">
    <w:nsid w:val="7C6E4EBA"/>
    <w:multiLevelType w:val="multilevel"/>
    <w:tmpl w:val="4678DE80"/>
    <w:lvl w:ilvl="0">
      <w:start w:val="1"/>
      <w:numFmt w:val="bullet"/>
      <w:lvlText w:val=""/>
      <w:lvlJc w:val="left"/>
      <w:pPr>
        <w:ind w:left="340" w:hanging="340"/>
      </w:pPr>
      <w:rPr>
        <w:rFonts w:ascii="Symbol" w:hAnsi="Symbol"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199" w15:restartNumberingAfterBreak="0">
    <w:nsid w:val="7CAC23A5"/>
    <w:multiLevelType w:val="multilevel"/>
    <w:tmpl w:val="6C06B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0" w15:restartNumberingAfterBreak="0">
    <w:nsid w:val="7D02067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1" w15:restartNumberingAfterBreak="0">
    <w:nsid w:val="7EA678D3"/>
    <w:multiLevelType w:val="hybridMultilevel"/>
    <w:tmpl w:val="05B68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2" w15:restartNumberingAfterBreak="0">
    <w:nsid w:val="7F1A53C3"/>
    <w:multiLevelType w:val="hybridMultilevel"/>
    <w:tmpl w:val="6A9C7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7FC6181A"/>
    <w:multiLevelType w:val="hybridMultilevel"/>
    <w:tmpl w:val="A7C4B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7FD6774A"/>
    <w:multiLevelType w:val="multilevel"/>
    <w:tmpl w:val="F8AA5108"/>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07522970">
    <w:abstractNumId w:val="141"/>
  </w:num>
  <w:num w:numId="2" w16cid:durableId="1293367019">
    <w:abstractNumId w:val="3"/>
  </w:num>
  <w:num w:numId="3" w16cid:durableId="13853732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5202786">
    <w:abstractNumId w:val="1"/>
  </w:num>
  <w:num w:numId="5" w16cid:durableId="538510480">
    <w:abstractNumId w:val="79"/>
  </w:num>
  <w:num w:numId="6" w16cid:durableId="606354741">
    <w:abstractNumId w:val="63"/>
  </w:num>
  <w:num w:numId="7" w16cid:durableId="624430939">
    <w:abstractNumId w:val="197"/>
  </w:num>
  <w:num w:numId="8" w16cid:durableId="696194592">
    <w:abstractNumId w:val="198"/>
  </w:num>
  <w:num w:numId="9" w16cid:durableId="782190163">
    <w:abstractNumId w:val="5"/>
  </w:num>
  <w:num w:numId="10" w16cid:durableId="843085325">
    <w:abstractNumId w:val="72"/>
  </w:num>
  <w:num w:numId="11" w16cid:durableId="858204556">
    <w:abstractNumId w:val="2"/>
  </w:num>
  <w:num w:numId="12" w16cid:durableId="917439688">
    <w:abstractNumId w:val="45"/>
  </w:num>
  <w:num w:numId="13" w16cid:durableId="923997543">
    <w:abstractNumId w:val="58"/>
  </w:num>
  <w:num w:numId="14" w16cid:durableId="1430823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7930485">
    <w:abstractNumId w:val="161"/>
  </w:num>
  <w:num w:numId="16" w16cid:durableId="1318798545">
    <w:abstractNumId w:val="24"/>
  </w:num>
  <w:num w:numId="17" w16cid:durableId="156769320">
    <w:abstractNumId w:val="23"/>
  </w:num>
  <w:num w:numId="18" w16cid:durableId="1881357898">
    <w:abstractNumId w:val="36"/>
  </w:num>
  <w:num w:numId="19" w16cid:durableId="78912067">
    <w:abstractNumId w:val="22"/>
  </w:num>
  <w:num w:numId="20" w16cid:durableId="1530023671">
    <w:abstractNumId w:val="184"/>
  </w:num>
  <w:num w:numId="21" w16cid:durableId="427430105">
    <w:abstractNumId w:val="151"/>
  </w:num>
  <w:num w:numId="22" w16cid:durableId="52242984">
    <w:abstractNumId w:val="88"/>
  </w:num>
  <w:num w:numId="23" w16cid:durableId="69272418">
    <w:abstractNumId w:val="31"/>
  </w:num>
  <w:num w:numId="24" w16cid:durableId="842204377">
    <w:abstractNumId w:val="187"/>
  </w:num>
  <w:num w:numId="25" w16cid:durableId="975918092">
    <w:abstractNumId w:val="15"/>
  </w:num>
  <w:num w:numId="26" w16cid:durableId="398527787">
    <w:abstractNumId w:val="156"/>
  </w:num>
  <w:num w:numId="27" w16cid:durableId="1236165508">
    <w:abstractNumId w:val="25"/>
  </w:num>
  <w:num w:numId="28" w16cid:durableId="796290709">
    <w:abstractNumId w:val="10"/>
  </w:num>
  <w:num w:numId="29" w16cid:durableId="71319991">
    <w:abstractNumId w:val="96"/>
  </w:num>
  <w:num w:numId="30" w16cid:durableId="1448430203">
    <w:abstractNumId w:val="18"/>
  </w:num>
  <w:num w:numId="31" w16cid:durableId="1658921613">
    <w:abstractNumId w:val="6"/>
  </w:num>
  <w:num w:numId="32" w16cid:durableId="1181317885">
    <w:abstractNumId w:val="14"/>
  </w:num>
  <w:num w:numId="33" w16cid:durableId="1236479039">
    <w:abstractNumId w:val="55"/>
  </w:num>
  <w:num w:numId="34" w16cid:durableId="71902512">
    <w:abstractNumId w:val="49"/>
  </w:num>
  <w:num w:numId="35" w16cid:durableId="490218952">
    <w:abstractNumId w:val="177"/>
  </w:num>
  <w:num w:numId="36" w16cid:durableId="1637837543">
    <w:abstractNumId w:val="81"/>
  </w:num>
  <w:num w:numId="37" w16cid:durableId="275333046">
    <w:abstractNumId w:val="112"/>
  </w:num>
  <w:num w:numId="38" w16cid:durableId="980035541">
    <w:abstractNumId w:val="192"/>
  </w:num>
  <w:num w:numId="39" w16cid:durableId="1249920044">
    <w:abstractNumId w:val="40"/>
  </w:num>
  <w:num w:numId="40" w16cid:durableId="1477800608">
    <w:abstractNumId w:val="51"/>
  </w:num>
  <w:num w:numId="41" w16cid:durableId="1028145150">
    <w:abstractNumId w:val="73"/>
  </w:num>
  <w:num w:numId="42" w16cid:durableId="1671247846">
    <w:abstractNumId w:val="93"/>
  </w:num>
  <w:num w:numId="43" w16cid:durableId="238901892">
    <w:abstractNumId w:val="108"/>
  </w:num>
  <w:num w:numId="44" w16cid:durableId="1612396976">
    <w:abstractNumId w:val="128"/>
  </w:num>
  <w:num w:numId="45" w16cid:durableId="560093563">
    <w:abstractNumId w:val="42"/>
  </w:num>
  <w:num w:numId="46" w16cid:durableId="1745641015">
    <w:abstractNumId w:val="152"/>
  </w:num>
  <w:num w:numId="47" w16cid:durableId="254214515">
    <w:abstractNumId w:val="69"/>
  </w:num>
  <w:num w:numId="48" w16cid:durableId="62455850">
    <w:abstractNumId w:val="11"/>
  </w:num>
  <w:num w:numId="49" w16cid:durableId="1264344389">
    <w:abstractNumId w:val="9"/>
  </w:num>
  <w:num w:numId="50" w16cid:durableId="247733616">
    <w:abstractNumId w:val="185"/>
  </w:num>
  <w:num w:numId="51" w16cid:durableId="1147941933">
    <w:abstractNumId w:val="168"/>
  </w:num>
  <w:num w:numId="52" w16cid:durableId="596985014">
    <w:abstractNumId w:val="82"/>
  </w:num>
  <w:num w:numId="53" w16cid:durableId="395713428">
    <w:abstractNumId w:val="64"/>
  </w:num>
  <w:num w:numId="54" w16cid:durableId="1285189265">
    <w:abstractNumId w:val="123"/>
  </w:num>
  <w:num w:numId="55" w16cid:durableId="678166573">
    <w:abstractNumId w:val="172"/>
  </w:num>
  <w:num w:numId="56" w16cid:durableId="497884429">
    <w:abstractNumId w:val="94"/>
  </w:num>
  <w:num w:numId="57" w16cid:durableId="816846478">
    <w:abstractNumId w:val="164"/>
  </w:num>
  <w:num w:numId="58" w16cid:durableId="639115301">
    <w:abstractNumId w:val="144"/>
  </w:num>
  <w:num w:numId="59" w16cid:durableId="1195341593">
    <w:abstractNumId w:val="92"/>
  </w:num>
  <w:num w:numId="60" w16cid:durableId="1368876339">
    <w:abstractNumId w:val="196"/>
  </w:num>
  <w:num w:numId="61" w16cid:durableId="38476375">
    <w:abstractNumId w:val="21"/>
  </w:num>
  <w:num w:numId="62" w16cid:durableId="297496081">
    <w:abstractNumId w:val="182"/>
  </w:num>
  <w:num w:numId="63" w16cid:durableId="1349679212">
    <w:abstractNumId w:val="126"/>
  </w:num>
  <w:num w:numId="64" w16cid:durableId="815419698">
    <w:abstractNumId w:val="130"/>
  </w:num>
  <w:num w:numId="65" w16cid:durableId="1376855092">
    <w:abstractNumId w:val="103"/>
  </w:num>
  <w:num w:numId="66" w16cid:durableId="1574468859">
    <w:abstractNumId w:val="16"/>
  </w:num>
  <w:num w:numId="67" w16cid:durableId="1839424559">
    <w:abstractNumId w:val="5"/>
    <w:lvlOverride w:ilvl="0">
      <w:startOverride w:val="1"/>
    </w:lvlOverride>
  </w:num>
  <w:num w:numId="68" w16cid:durableId="804197659">
    <w:abstractNumId w:val="154"/>
  </w:num>
  <w:num w:numId="69" w16cid:durableId="1353069235">
    <w:abstractNumId w:val="191"/>
  </w:num>
  <w:num w:numId="70" w16cid:durableId="858394986">
    <w:abstractNumId w:val="204"/>
  </w:num>
  <w:num w:numId="71" w16cid:durableId="1064646742">
    <w:abstractNumId w:val="75"/>
  </w:num>
  <w:num w:numId="72" w16cid:durableId="2041783227">
    <w:abstractNumId w:val="190"/>
  </w:num>
  <w:num w:numId="73" w16cid:durableId="1899240051">
    <w:abstractNumId w:val="74"/>
  </w:num>
  <w:num w:numId="74" w16cid:durableId="1742825710">
    <w:abstractNumId w:val="47"/>
  </w:num>
  <w:num w:numId="75" w16cid:durableId="1021511400">
    <w:abstractNumId w:val="56"/>
  </w:num>
  <w:num w:numId="76" w16cid:durableId="7586043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66289830">
    <w:abstractNumId w:val="68"/>
  </w:num>
  <w:num w:numId="78" w16cid:durableId="1927810607">
    <w:abstractNumId w:val="166"/>
  </w:num>
  <w:num w:numId="79" w16cid:durableId="1287852118">
    <w:abstractNumId w:val="29"/>
  </w:num>
  <w:num w:numId="80" w16cid:durableId="958993597">
    <w:abstractNumId w:val="5"/>
    <w:lvlOverride w:ilvl="0">
      <w:lvl w:ilvl="0">
        <w:start w:val="1"/>
        <w:numFmt w:val="bullet"/>
        <w:pStyle w:val="ListBullet"/>
        <w:lvlText w:val=""/>
        <w:lvlJc w:val="left"/>
        <w:pPr>
          <w:ind w:left="340" w:hanging="340"/>
        </w:pPr>
        <w:rPr>
          <w:rFonts w:ascii="Symbol" w:hAnsi="Symbol" w:hint="default"/>
          <w:color w:val="000000" w:themeColor="text1"/>
          <w:sz w:val="18"/>
        </w:rPr>
      </w:lvl>
    </w:lvlOverride>
  </w:num>
  <w:num w:numId="81" w16cid:durableId="1669750602">
    <w:abstractNumId w:val="129"/>
  </w:num>
  <w:num w:numId="82" w16cid:durableId="1044410132">
    <w:abstractNumId w:val="5"/>
    <w:lvlOverride w:ilvl="0">
      <w:startOverride w:val="1"/>
    </w:lvlOverride>
  </w:num>
  <w:num w:numId="83" w16cid:durableId="1628465629">
    <w:abstractNumId w:val="27"/>
  </w:num>
  <w:num w:numId="84" w16cid:durableId="1093621917">
    <w:abstractNumId w:val="5"/>
    <w:lvlOverride w:ilvl="0">
      <w:startOverride w:val="1"/>
    </w:lvlOverride>
  </w:num>
  <w:num w:numId="85" w16cid:durableId="1258709035">
    <w:abstractNumId w:val="85"/>
  </w:num>
  <w:num w:numId="86" w16cid:durableId="236525145">
    <w:abstractNumId w:val="61"/>
  </w:num>
  <w:num w:numId="87" w16cid:durableId="2062778317">
    <w:abstractNumId w:val="0"/>
  </w:num>
  <w:num w:numId="88" w16cid:durableId="883370101">
    <w:abstractNumId w:val="19"/>
  </w:num>
  <w:num w:numId="89" w16cid:durableId="1376736606">
    <w:abstractNumId w:val="175"/>
  </w:num>
  <w:num w:numId="90" w16cid:durableId="1211842584">
    <w:abstractNumId w:val="8"/>
  </w:num>
  <w:num w:numId="91" w16cid:durableId="167137251">
    <w:abstractNumId w:val="178"/>
  </w:num>
  <w:num w:numId="92" w16cid:durableId="1884708563">
    <w:abstractNumId w:val="149"/>
  </w:num>
  <w:num w:numId="93" w16cid:durableId="298655967">
    <w:abstractNumId w:val="121"/>
  </w:num>
  <w:num w:numId="94" w16cid:durableId="67506394">
    <w:abstractNumId w:val="105"/>
  </w:num>
  <w:num w:numId="95" w16cid:durableId="743648475">
    <w:abstractNumId w:val="62"/>
  </w:num>
  <w:num w:numId="96" w16cid:durableId="2136826223">
    <w:abstractNumId w:val="201"/>
  </w:num>
  <w:num w:numId="97" w16cid:durableId="625544024">
    <w:abstractNumId w:val="157"/>
  </w:num>
  <w:num w:numId="98" w16cid:durableId="1492526144">
    <w:abstractNumId w:val="181"/>
  </w:num>
  <w:num w:numId="99" w16cid:durableId="1564754855">
    <w:abstractNumId w:val="78"/>
  </w:num>
  <w:num w:numId="100" w16cid:durableId="763571003">
    <w:abstractNumId w:val="174"/>
  </w:num>
  <w:num w:numId="101" w16cid:durableId="656803998">
    <w:abstractNumId w:val="28"/>
  </w:num>
  <w:num w:numId="102" w16cid:durableId="1449079732">
    <w:abstractNumId w:val="158"/>
  </w:num>
  <w:num w:numId="103" w16cid:durableId="810634230">
    <w:abstractNumId w:val="183"/>
  </w:num>
  <w:num w:numId="104" w16cid:durableId="824049768">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05" w16cid:durableId="1988586738">
    <w:abstractNumId w:val="53"/>
  </w:num>
  <w:num w:numId="106" w16cid:durableId="1049186115">
    <w:abstractNumId w:val="34"/>
  </w:num>
  <w:num w:numId="107" w16cid:durableId="2107269527">
    <w:abstractNumId w:val="170"/>
  </w:num>
  <w:num w:numId="108" w16cid:durableId="907619387">
    <w:abstractNumId w:val="7"/>
  </w:num>
  <w:num w:numId="109" w16cid:durableId="544147748">
    <w:abstractNumId w:val="143"/>
  </w:num>
  <w:num w:numId="110" w16cid:durableId="1701394310">
    <w:abstractNumId w:val="99"/>
  </w:num>
  <w:num w:numId="111" w16cid:durableId="1430007852">
    <w:abstractNumId w:val="60"/>
  </w:num>
  <w:num w:numId="112" w16cid:durableId="982733229">
    <w:abstractNumId w:val="147"/>
  </w:num>
  <w:num w:numId="113" w16cid:durableId="586156246">
    <w:abstractNumId w:val="146"/>
  </w:num>
  <w:num w:numId="114" w16cid:durableId="506822120">
    <w:abstractNumId w:val="155"/>
  </w:num>
  <w:num w:numId="115" w16cid:durableId="154997268">
    <w:abstractNumId w:val="107"/>
  </w:num>
  <w:num w:numId="116" w16cid:durableId="1156921921">
    <w:abstractNumId w:val="165"/>
  </w:num>
  <w:num w:numId="117" w16cid:durableId="267857148">
    <w:abstractNumId w:val="140"/>
  </w:num>
  <w:num w:numId="118" w16cid:durableId="1992711947">
    <w:abstractNumId w:val="114"/>
  </w:num>
  <w:num w:numId="119" w16cid:durableId="1798837334">
    <w:abstractNumId w:val="120"/>
  </w:num>
  <w:num w:numId="120" w16cid:durableId="1855414505">
    <w:abstractNumId w:val="134"/>
  </w:num>
  <w:num w:numId="121" w16cid:durableId="659886502">
    <w:abstractNumId w:val="90"/>
  </w:num>
  <w:num w:numId="122" w16cid:durableId="1031807479">
    <w:abstractNumId w:val="194"/>
  </w:num>
  <w:num w:numId="123" w16cid:durableId="1056198499">
    <w:abstractNumId w:val="35"/>
  </w:num>
  <w:num w:numId="124" w16cid:durableId="1514799575">
    <w:abstractNumId w:val="160"/>
  </w:num>
  <w:num w:numId="125" w16cid:durableId="832643953">
    <w:abstractNumId w:val="13"/>
  </w:num>
  <w:num w:numId="126" w16cid:durableId="1865829276">
    <w:abstractNumId w:val="33"/>
  </w:num>
  <w:num w:numId="127" w16cid:durableId="1430739024">
    <w:abstractNumId w:val="189"/>
  </w:num>
  <w:num w:numId="128" w16cid:durableId="1078668958">
    <w:abstractNumId w:val="65"/>
  </w:num>
  <w:num w:numId="129" w16cid:durableId="252278484">
    <w:abstractNumId w:val="110"/>
  </w:num>
  <w:num w:numId="130" w16cid:durableId="1902909820">
    <w:abstractNumId w:val="119"/>
  </w:num>
  <w:num w:numId="131" w16cid:durableId="1625382832">
    <w:abstractNumId w:val="176"/>
  </w:num>
  <w:num w:numId="132" w16cid:durableId="651058538">
    <w:abstractNumId w:val="87"/>
  </w:num>
  <w:num w:numId="133" w16cid:durableId="1968317962">
    <w:abstractNumId w:val="122"/>
  </w:num>
  <w:num w:numId="134" w16cid:durableId="306712854">
    <w:abstractNumId w:val="12"/>
  </w:num>
  <w:num w:numId="135" w16cid:durableId="956911691">
    <w:abstractNumId w:val="84"/>
  </w:num>
  <w:num w:numId="136" w16cid:durableId="525018420">
    <w:abstractNumId w:val="171"/>
  </w:num>
  <w:num w:numId="137" w16cid:durableId="1702584202">
    <w:abstractNumId w:val="180"/>
  </w:num>
  <w:num w:numId="138" w16cid:durableId="1955360117">
    <w:abstractNumId w:val="102"/>
  </w:num>
  <w:num w:numId="139" w16cid:durableId="2035301850">
    <w:abstractNumId w:val="117"/>
  </w:num>
  <w:num w:numId="140" w16cid:durableId="226771624">
    <w:abstractNumId w:val="50"/>
  </w:num>
  <w:num w:numId="141" w16cid:durableId="1518034658">
    <w:abstractNumId w:val="101"/>
  </w:num>
  <w:num w:numId="142" w16cid:durableId="1626079238">
    <w:abstractNumId w:val="124"/>
  </w:num>
  <w:num w:numId="143" w16cid:durableId="190799013">
    <w:abstractNumId w:val="131"/>
  </w:num>
  <w:num w:numId="144" w16cid:durableId="1994750426">
    <w:abstractNumId w:val="98"/>
  </w:num>
  <w:num w:numId="145" w16cid:durableId="88621998">
    <w:abstractNumId w:val="104"/>
  </w:num>
  <w:num w:numId="146" w16cid:durableId="871920782">
    <w:abstractNumId w:val="203"/>
  </w:num>
  <w:num w:numId="147" w16cid:durableId="879518532">
    <w:abstractNumId w:val="159"/>
  </w:num>
  <w:num w:numId="148" w16cid:durableId="74867606">
    <w:abstractNumId w:val="20"/>
  </w:num>
  <w:num w:numId="149" w16cid:durableId="1224560217">
    <w:abstractNumId w:val="127"/>
  </w:num>
  <w:num w:numId="150" w16cid:durableId="2120489232">
    <w:abstractNumId w:val="39"/>
  </w:num>
  <w:num w:numId="151" w16cid:durableId="744297719">
    <w:abstractNumId w:val="66"/>
  </w:num>
  <w:num w:numId="152" w16cid:durableId="149561696">
    <w:abstractNumId w:val="71"/>
  </w:num>
  <w:num w:numId="153" w16cid:durableId="1923369790">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54" w16cid:durableId="1919291427">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55" w16cid:durableId="874201169">
    <w:abstractNumId w:val="139"/>
  </w:num>
  <w:num w:numId="156" w16cid:durableId="345136326">
    <w:abstractNumId w:val="142"/>
  </w:num>
  <w:num w:numId="157" w16cid:durableId="12999804">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58" w16cid:durableId="1287855173">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59" w16cid:durableId="902063622">
    <w:abstractNumId w:val="80"/>
  </w:num>
  <w:num w:numId="160" w16cid:durableId="1609895391">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61" w16cid:durableId="1857962266">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62" w16cid:durableId="465779991">
    <w:abstractNumId w:val="109"/>
  </w:num>
  <w:num w:numId="163" w16cid:durableId="1418139826">
    <w:abstractNumId w:val="186"/>
  </w:num>
  <w:num w:numId="164" w16cid:durableId="250356241">
    <w:abstractNumId w:val="150"/>
  </w:num>
  <w:num w:numId="165" w16cid:durableId="629091056">
    <w:abstractNumId w:val="200"/>
  </w:num>
  <w:num w:numId="166" w16cid:durableId="2039236803">
    <w:abstractNumId w:val="162"/>
  </w:num>
  <w:num w:numId="167" w16cid:durableId="477302984">
    <w:abstractNumId w:val="89"/>
  </w:num>
  <w:num w:numId="168" w16cid:durableId="1874951741">
    <w:abstractNumId w:val="173"/>
  </w:num>
  <w:num w:numId="169" w16cid:durableId="904874198">
    <w:abstractNumId w:val="30"/>
  </w:num>
  <w:num w:numId="170" w16cid:durableId="2076050366">
    <w:abstractNumId w:val="199"/>
  </w:num>
  <w:num w:numId="171" w16cid:durableId="1320502986">
    <w:abstractNumId w:val="163"/>
  </w:num>
  <w:num w:numId="172" w16cid:durableId="72433229">
    <w:abstractNumId w:val="67"/>
  </w:num>
  <w:num w:numId="173" w16cid:durableId="1494951209">
    <w:abstractNumId w:val="179"/>
  </w:num>
  <w:num w:numId="174" w16cid:durableId="1102991137">
    <w:abstractNumId w:val="188"/>
  </w:num>
  <w:num w:numId="175" w16cid:durableId="2027251286">
    <w:abstractNumId w:val="132"/>
  </w:num>
  <w:num w:numId="176" w16cid:durableId="1135486267">
    <w:abstractNumId w:val="204"/>
    <w:lvlOverride w:ilvl="0">
      <w:lvl w:ilvl="0">
        <w:start w:val="1"/>
        <w:numFmt w:val="bullet"/>
        <w:lvlText w:val=""/>
        <w:lvlJc w:val="left"/>
        <w:pPr>
          <w:ind w:left="340" w:hanging="340"/>
        </w:pPr>
        <w:rPr>
          <w:rFonts w:ascii="Symbol" w:hAnsi="Symbol" w:hint="default"/>
          <w:color w:val="000000" w:themeColor="text1"/>
          <w:sz w:val="18"/>
        </w:rPr>
      </w:lvl>
    </w:lvlOverride>
  </w:num>
  <w:num w:numId="177" w16cid:durableId="1734498659">
    <w:abstractNumId w:val="195"/>
  </w:num>
  <w:num w:numId="178" w16cid:durableId="1822577024">
    <w:abstractNumId w:val="32"/>
  </w:num>
  <w:num w:numId="179" w16cid:durableId="1624119746">
    <w:abstractNumId w:val="145"/>
  </w:num>
  <w:num w:numId="180" w16cid:durableId="1854832456">
    <w:abstractNumId w:val="169"/>
  </w:num>
  <w:num w:numId="181" w16cid:durableId="1058550633">
    <w:abstractNumId w:val="46"/>
  </w:num>
  <w:num w:numId="182" w16cid:durableId="310869317">
    <w:abstractNumId w:val="97"/>
  </w:num>
  <w:num w:numId="183" w16cid:durableId="195891022">
    <w:abstractNumId w:val="135"/>
  </w:num>
  <w:num w:numId="184" w16cid:durableId="1215192685">
    <w:abstractNumId w:val="138"/>
  </w:num>
  <w:num w:numId="185" w16cid:durableId="1210453758">
    <w:abstractNumId w:val="111"/>
  </w:num>
  <w:num w:numId="186" w16cid:durableId="1738942881">
    <w:abstractNumId w:val="137"/>
  </w:num>
  <w:num w:numId="187" w16cid:durableId="1170830617">
    <w:abstractNumId w:val="202"/>
  </w:num>
  <w:num w:numId="188" w16cid:durableId="174076735">
    <w:abstractNumId w:val="48"/>
  </w:num>
  <w:num w:numId="189" w16cid:durableId="1078214052">
    <w:abstractNumId w:val="153"/>
  </w:num>
  <w:num w:numId="190" w16cid:durableId="2141799989">
    <w:abstractNumId w:val="91"/>
  </w:num>
  <w:num w:numId="191" w16cid:durableId="621379351">
    <w:abstractNumId w:val="106"/>
  </w:num>
  <w:num w:numId="192" w16cid:durableId="1642687906">
    <w:abstractNumId w:val="116"/>
  </w:num>
  <w:num w:numId="193" w16cid:durableId="810710080">
    <w:abstractNumId w:val="76"/>
  </w:num>
  <w:num w:numId="194" w16cid:durableId="322780894">
    <w:abstractNumId w:val="17"/>
  </w:num>
  <w:num w:numId="195" w16cid:durableId="268045729">
    <w:abstractNumId w:val="115"/>
  </w:num>
  <w:num w:numId="196" w16cid:durableId="62879663">
    <w:abstractNumId w:val="193"/>
  </w:num>
  <w:num w:numId="197" w16cid:durableId="884608397">
    <w:abstractNumId w:val="41"/>
  </w:num>
  <w:num w:numId="198" w16cid:durableId="2046978902">
    <w:abstractNumId w:val="113"/>
  </w:num>
  <w:num w:numId="199" w16cid:durableId="126749377">
    <w:abstractNumId w:val="118"/>
  </w:num>
  <w:num w:numId="200" w16cid:durableId="1037047927">
    <w:abstractNumId w:val="77"/>
  </w:num>
  <w:num w:numId="201" w16cid:durableId="1074398284">
    <w:abstractNumId w:val="167"/>
  </w:num>
  <w:num w:numId="202" w16cid:durableId="330957340">
    <w:abstractNumId w:val="59"/>
  </w:num>
  <w:num w:numId="203" w16cid:durableId="749087287">
    <w:abstractNumId w:val="136"/>
  </w:num>
  <w:num w:numId="204" w16cid:durableId="1675036282">
    <w:abstractNumId w:val="21"/>
    <w:lvlOverride w:ilvl="0">
      <w:startOverride w:val="1"/>
    </w:lvlOverride>
  </w:num>
  <w:num w:numId="205" w16cid:durableId="1240477585">
    <w:abstractNumId w:val="37"/>
  </w:num>
  <w:num w:numId="206" w16cid:durableId="1432631153">
    <w:abstractNumId w:val="86"/>
  </w:num>
  <w:num w:numId="207" w16cid:durableId="1924334825">
    <w:abstractNumId w:val="95"/>
  </w:num>
  <w:num w:numId="208" w16cid:durableId="2090617895">
    <w:abstractNumId w:val="26"/>
  </w:num>
  <w:num w:numId="209" w16cid:durableId="509295929">
    <w:abstractNumId w:val="148"/>
  </w:num>
  <w:num w:numId="210" w16cid:durableId="678192034">
    <w:abstractNumId w:val="38"/>
  </w:num>
  <w:num w:numId="211" w16cid:durableId="294338534">
    <w:abstractNumId w:val="133"/>
  </w:num>
  <w:num w:numId="212" w16cid:durableId="1371497971">
    <w:abstractNumId w:val="44"/>
  </w:num>
  <w:num w:numId="213" w16cid:durableId="1863276401">
    <w:abstractNumId w:val="125"/>
  </w:num>
  <w:num w:numId="214" w16cid:durableId="2075426799">
    <w:abstractNumId w:val="57"/>
  </w:num>
  <w:num w:numId="215" w16cid:durableId="511647071">
    <w:abstractNumId w:val="4"/>
  </w:num>
  <w:num w:numId="216" w16cid:durableId="1066533080">
    <w:abstractNumId w:val="83"/>
  </w:num>
  <w:num w:numId="217" w16cid:durableId="151259262">
    <w:abstractNumId w:val="70"/>
  </w:num>
  <w:num w:numId="218" w16cid:durableId="2076389338">
    <w:abstractNumId w:val="54"/>
  </w:num>
  <w:num w:numId="219" w16cid:durableId="299728182">
    <w:abstractNumId w:val="43"/>
  </w:num>
  <w:num w:numId="220" w16cid:durableId="2045785856">
    <w:abstractNumId w:val="52"/>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5D"/>
    <w:rsid w:val="00000071"/>
    <w:rsid w:val="000000D2"/>
    <w:rsid w:val="000000D5"/>
    <w:rsid w:val="00000157"/>
    <w:rsid w:val="000001BB"/>
    <w:rsid w:val="000001D2"/>
    <w:rsid w:val="000001F3"/>
    <w:rsid w:val="0000022C"/>
    <w:rsid w:val="00000230"/>
    <w:rsid w:val="00000232"/>
    <w:rsid w:val="00000283"/>
    <w:rsid w:val="000002C6"/>
    <w:rsid w:val="000002E7"/>
    <w:rsid w:val="0000030A"/>
    <w:rsid w:val="00000316"/>
    <w:rsid w:val="00000378"/>
    <w:rsid w:val="000003EB"/>
    <w:rsid w:val="00000419"/>
    <w:rsid w:val="00000434"/>
    <w:rsid w:val="00000442"/>
    <w:rsid w:val="00000491"/>
    <w:rsid w:val="000004D5"/>
    <w:rsid w:val="000004EE"/>
    <w:rsid w:val="000004FB"/>
    <w:rsid w:val="00000515"/>
    <w:rsid w:val="0000052E"/>
    <w:rsid w:val="00000570"/>
    <w:rsid w:val="00000617"/>
    <w:rsid w:val="0000067A"/>
    <w:rsid w:val="000006FF"/>
    <w:rsid w:val="0000073C"/>
    <w:rsid w:val="00000748"/>
    <w:rsid w:val="0000074D"/>
    <w:rsid w:val="000007F3"/>
    <w:rsid w:val="000008C3"/>
    <w:rsid w:val="000008E0"/>
    <w:rsid w:val="00000911"/>
    <w:rsid w:val="00000975"/>
    <w:rsid w:val="0000097E"/>
    <w:rsid w:val="00000983"/>
    <w:rsid w:val="00000A2D"/>
    <w:rsid w:val="00000AAE"/>
    <w:rsid w:val="00000BA4"/>
    <w:rsid w:val="00000BB1"/>
    <w:rsid w:val="00000BC3"/>
    <w:rsid w:val="00000C50"/>
    <w:rsid w:val="00000C90"/>
    <w:rsid w:val="00000CE0"/>
    <w:rsid w:val="00000D08"/>
    <w:rsid w:val="00000DBE"/>
    <w:rsid w:val="00000F14"/>
    <w:rsid w:val="00000F1F"/>
    <w:rsid w:val="00000F8A"/>
    <w:rsid w:val="00000FA7"/>
    <w:rsid w:val="00000FC0"/>
    <w:rsid w:val="00001129"/>
    <w:rsid w:val="000011A1"/>
    <w:rsid w:val="000011E9"/>
    <w:rsid w:val="000012A4"/>
    <w:rsid w:val="000012B9"/>
    <w:rsid w:val="00001369"/>
    <w:rsid w:val="0000138B"/>
    <w:rsid w:val="000013F1"/>
    <w:rsid w:val="00001412"/>
    <w:rsid w:val="00001463"/>
    <w:rsid w:val="000014A9"/>
    <w:rsid w:val="000014D4"/>
    <w:rsid w:val="00001523"/>
    <w:rsid w:val="00001541"/>
    <w:rsid w:val="00001549"/>
    <w:rsid w:val="0000154B"/>
    <w:rsid w:val="000015C2"/>
    <w:rsid w:val="00001652"/>
    <w:rsid w:val="000016CF"/>
    <w:rsid w:val="00001719"/>
    <w:rsid w:val="00001726"/>
    <w:rsid w:val="0000180D"/>
    <w:rsid w:val="00001817"/>
    <w:rsid w:val="000018B5"/>
    <w:rsid w:val="000018EF"/>
    <w:rsid w:val="00001909"/>
    <w:rsid w:val="0000196A"/>
    <w:rsid w:val="00001982"/>
    <w:rsid w:val="000019CE"/>
    <w:rsid w:val="00001A0E"/>
    <w:rsid w:val="00001A7A"/>
    <w:rsid w:val="00001B29"/>
    <w:rsid w:val="00001B56"/>
    <w:rsid w:val="00001B6F"/>
    <w:rsid w:val="00001BB9"/>
    <w:rsid w:val="00001BD6"/>
    <w:rsid w:val="00001BF9"/>
    <w:rsid w:val="00001C47"/>
    <w:rsid w:val="00001C76"/>
    <w:rsid w:val="00001CAB"/>
    <w:rsid w:val="00001D75"/>
    <w:rsid w:val="00001D9D"/>
    <w:rsid w:val="00001DA6"/>
    <w:rsid w:val="00001DE1"/>
    <w:rsid w:val="00001E24"/>
    <w:rsid w:val="00001E75"/>
    <w:rsid w:val="00001EB0"/>
    <w:rsid w:val="00001EB9"/>
    <w:rsid w:val="00001ECD"/>
    <w:rsid w:val="00001EE0"/>
    <w:rsid w:val="00001F70"/>
    <w:rsid w:val="00001F76"/>
    <w:rsid w:val="00001F97"/>
    <w:rsid w:val="00001FC9"/>
    <w:rsid w:val="00002011"/>
    <w:rsid w:val="0000207C"/>
    <w:rsid w:val="000020A3"/>
    <w:rsid w:val="000020BC"/>
    <w:rsid w:val="000020BF"/>
    <w:rsid w:val="000020E5"/>
    <w:rsid w:val="00002122"/>
    <w:rsid w:val="00002226"/>
    <w:rsid w:val="00002227"/>
    <w:rsid w:val="00002228"/>
    <w:rsid w:val="0000223D"/>
    <w:rsid w:val="0000225F"/>
    <w:rsid w:val="000022B6"/>
    <w:rsid w:val="000022CF"/>
    <w:rsid w:val="000022E2"/>
    <w:rsid w:val="00002346"/>
    <w:rsid w:val="000023C0"/>
    <w:rsid w:val="000024BB"/>
    <w:rsid w:val="000024CC"/>
    <w:rsid w:val="000024E6"/>
    <w:rsid w:val="000025A6"/>
    <w:rsid w:val="00002616"/>
    <w:rsid w:val="0000261B"/>
    <w:rsid w:val="00002691"/>
    <w:rsid w:val="00002697"/>
    <w:rsid w:val="000026B6"/>
    <w:rsid w:val="000026D3"/>
    <w:rsid w:val="000026E8"/>
    <w:rsid w:val="00002744"/>
    <w:rsid w:val="000027D5"/>
    <w:rsid w:val="0000285C"/>
    <w:rsid w:val="0000286D"/>
    <w:rsid w:val="0000289E"/>
    <w:rsid w:val="000028B1"/>
    <w:rsid w:val="00002934"/>
    <w:rsid w:val="0000293D"/>
    <w:rsid w:val="00002940"/>
    <w:rsid w:val="000029D0"/>
    <w:rsid w:val="00002AC1"/>
    <w:rsid w:val="00002B00"/>
    <w:rsid w:val="00002B04"/>
    <w:rsid w:val="00002B0F"/>
    <w:rsid w:val="00002B1E"/>
    <w:rsid w:val="00002B70"/>
    <w:rsid w:val="00002B9E"/>
    <w:rsid w:val="00002BE6"/>
    <w:rsid w:val="00002C67"/>
    <w:rsid w:val="00002C76"/>
    <w:rsid w:val="00002CAC"/>
    <w:rsid w:val="00002CAD"/>
    <w:rsid w:val="00002D27"/>
    <w:rsid w:val="00002D28"/>
    <w:rsid w:val="00002DFD"/>
    <w:rsid w:val="00002E4E"/>
    <w:rsid w:val="00002E5D"/>
    <w:rsid w:val="00002E6B"/>
    <w:rsid w:val="00002EC0"/>
    <w:rsid w:val="00002F10"/>
    <w:rsid w:val="00002F39"/>
    <w:rsid w:val="00002F51"/>
    <w:rsid w:val="00003017"/>
    <w:rsid w:val="00003041"/>
    <w:rsid w:val="00003068"/>
    <w:rsid w:val="00003080"/>
    <w:rsid w:val="000030BF"/>
    <w:rsid w:val="00003124"/>
    <w:rsid w:val="00003158"/>
    <w:rsid w:val="00003172"/>
    <w:rsid w:val="00003184"/>
    <w:rsid w:val="0000318F"/>
    <w:rsid w:val="000031EA"/>
    <w:rsid w:val="00003238"/>
    <w:rsid w:val="0000323B"/>
    <w:rsid w:val="00003282"/>
    <w:rsid w:val="0000329C"/>
    <w:rsid w:val="00003326"/>
    <w:rsid w:val="00003381"/>
    <w:rsid w:val="000033B5"/>
    <w:rsid w:val="000033E9"/>
    <w:rsid w:val="0000342F"/>
    <w:rsid w:val="00003481"/>
    <w:rsid w:val="000034C7"/>
    <w:rsid w:val="000034E9"/>
    <w:rsid w:val="000034FA"/>
    <w:rsid w:val="0000363B"/>
    <w:rsid w:val="00003675"/>
    <w:rsid w:val="0000367A"/>
    <w:rsid w:val="000036A0"/>
    <w:rsid w:val="000036AA"/>
    <w:rsid w:val="000036E2"/>
    <w:rsid w:val="000036F0"/>
    <w:rsid w:val="00003949"/>
    <w:rsid w:val="00003956"/>
    <w:rsid w:val="00003AB8"/>
    <w:rsid w:val="00003B2E"/>
    <w:rsid w:val="00003B50"/>
    <w:rsid w:val="00003B7A"/>
    <w:rsid w:val="00003B99"/>
    <w:rsid w:val="00003C29"/>
    <w:rsid w:val="00003CA5"/>
    <w:rsid w:val="00003D5E"/>
    <w:rsid w:val="00003EB5"/>
    <w:rsid w:val="00003EEE"/>
    <w:rsid w:val="00003F43"/>
    <w:rsid w:val="00003FEC"/>
    <w:rsid w:val="0000403A"/>
    <w:rsid w:val="00004056"/>
    <w:rsid w:val="0000406E"/>
    <w:rsid w:val="00004079"/>
    <w:rsid w:val="00004145"/>
    <w:rsid w:val="0000416C"/>
    <w:rsid w:val="000041CC"/>
    <w:rsid w:val="000041EC"/>
    <w:rsid w:val="000041F2"/>
    <w:rsid w:val="0000420B"/>
    <w:rsid w:val="000042D9"/>
    <w:rsid w:val="000042F3"/>
    <w:rsid w:val="00004319"/>
    <w:rsid w:val="000043ED"/>
    <w:rsid w:val="0000441F"/>
    <w:rsid w:val="00004464"/>
    <w:rsid w:val="0000448F"/>
    <w:rsid w:val="00004536"/>
    <w:rsid w:val="00004541"/>
    <w:rsid w:val="000045A1"/>
    <w:rsid w:val="000045B5"/>
    <w:rsid w:val="000045E0"/>
    <w:rsid w:val="00004701"/>
    <w:rsid w:val="00004711"/>
    <w:rsid w:val="00004774"/>
    <w:rsid w:val="000047BB"/>
    <w:rsid w:val="0000480E"/>
    <w:rsid w:val="00004851"/>
    <w:rsid w:val="000048A5"/>
    <w:rsid w:val="000048EA"/>
    <w:rsid w:val="000049EE"/>
    <w:rsid w:val="00004A29"/>
    <w:rsid w:val="00004ABE"/>
    <w:rsid w:val="00004AF2"/>
    <w:rsid w:val="00004B0F"/>
    <w:rsid w:val="00004BA9"/>
    <w:rsid w:val="00004BB9"/>
    <w:rsid w:val="00004C26"/>
    <w:rsid w:val="00004C63"/>
    <w:rsid w:val="00004C7B"/>
    <w:rsid w:val="00004D2C"/>
    <w:rsid w:val="00004D45"/>
    <w:rsid w:val="00004D68"/>
    <w:rsid w:val="00004D74"/>
    <w:rsid w:val="00004D84"/>
    <w:rsid w:val="00004DDE"/>
    <w:rsid w:val="00004E18"/>
    <w:rsid w:val="00004E29"/>
    <w:rsid w:val="00004E45"/>
    <w:rsid w:val="00004E81"/>
    <w:rsid w:val="00004E8B"/>
    <w:rsid w:val="00004E8F"/>
    <w:rsid w:val="00004F28"/>
    <w:rsid w:val="00004F30"/>
    <w:rsid w:val="00004F87"/>
    <w:rsid w:val="00005145"/>
    <w:rsid w:val="00005180"/>
    <w:rsid w:val="000051DB"/>
    <w:rsid w:val="00005219"/>
    <w:rsid w:val="000052B7"/>
    <w:rsid w:val="000052F4"/>
    <w:rsid w:val="000053AF"/>
    <w:rsid w:val="00005413"/>
    <w:rsid w:val="00005415"/>
    <w:rsid w:val="00005468"/>
    <w:rsid w:val="0000548A"/>
    <w:rsid w:val="000054F1"/>
    <w:rsid w:val="000054FE"/>
    <w:rsid w:val="00005564"/>
    <w:rsid w:val="00005587"/>
    <w:rsid w:val="0000558C"/>
    <w:rsid w:val="000055CA"/>
    <w:rsid w:val="00005613"/>
    <w:rsid w:val="00005664"/>
    <w:rsid w:val="0000566B"/>
    <w:rsid w:val="000056B8"/>
    <w:rsid w:val="000056EC"/>
    <w:rsid w:val="00005719"/>
    <w:rsid w:val="00005720"/>
    <w:rsid w:val="00005723"/>
    <w:rsid w:val="00005734"/>
    <w:rsid w:val="00005743"/>
    <w:rsid w:val="0000575D"/>
    <w:rsid w:val="0000577C"/>
    <w:rsid w:val="000057C2"/>
    <w:rsid w:val="000057D6"/>
    <w:rsid w:val="000057DB"/>
    <w:rsid w:val="000057E2"/>
    <w:rsid w:val="000057FB"/>
    <w:rsid w:val="0000582D"/>
    <w:rsid w:val="0000587D"/>
    <w:rsid w:val="00005899"/>
    <w:rsid w:val="000058F9"/>
    <w:rsid w:val="0000596D"/>
    <w:rsid w:val="000059C4"/>
    <w:rsid w:val="000059CC"/>
    <w:rsid w:val="000059EF"/>
    <w:rsid w:val="000059FB"/>
    <w:rsid w:val="000059FC"/>
    <w:rsid w:val="00005A32"/>
    <w:rsid w:val="00005A55"/>
    <w:rsid w:val="00005AC0"/>
    <w:rsid w:val="00005AD3"/>
    <w:rsid w:val="00005AF1"/>
    <w:rsid w:val="00005AF2"/>
    <w:rsid w:val="00005B15"/>
    <w:rsid w:val="00005B2B"/>
    <w:rsid w:val="00005B44"/>
    <w:rsid w:val="00005B8B"/>
    <w:rsid w:val="00005BAF"/>
    <w:rsid w:val="00005BFA"/>
    <w:rsid w:val="00005C46"/>
    <w:rsid w:val="00005CA2"/>
    <w:rsid w:val="00005D2F"/>
    <w:rsid w:val="00005D74"/>
    <w:rsid w:val="00005D7F"/>
    <w:rsid w:val="00005D85"/>
    <w:rsid w:val="00005DA2"/>
    <w:rsid w:val="00005DAF"/>
    <w:rsid w:val="00005E89"/>
    <w:rsid w:val="00005EB0"/>
    <w:rsid w:val="00005ED0"/>
    <w:rsid w:val="00005F02"/>
    <w:rsid w:val="00005F3F"/>
    <w:rsid w:val="00005F56"/>
    <w:rsid w:val="00005F9E"/>
    <w:rsid w:val="00005FB4"/>
    <w:rsid w:val="00006029"/>
    <w:rsid w:val="000060A6"/>
    <w:rsid w:val="000061B7"/>
    <w:rsid w:val="00006278"/>
    <w:rsid w:val="000062C8"/>
    <w:rsid w:val="000062FB"/>
    <w:rsid w:val="0000630E"/>
    <w:rsid w:val="000063E8"/>
    <w:rsid w:val="00006430"/>
    <w:rsid w:val="00006448"/>
    <w:rsid w:val="0000644D"/>
    <w:rsid w:val="00006497"/>
    <w:rsid w:val="000064F1"/>
    <w:rsid w:val="000064F6"/>
    <w:rsid w:val="00006538"/>
    <w:rsid w:val="00006543"/>
    <w:rsid w:val="0000659A"/>
    <w:rsid w:val="000067D0"/>
    <w:rsid w:val="00006803"/>
    <w:rsid w:val="00006908"/>
    <w:rsid w:val="00006945"/>
    <w:rsid w:val="00006969"/>
    <w:rsid w:val="00006A9F"/>
    <w:rsid w:val="00006AEA"/>
    <w:rsid w:val="00006B22"/>
    <w:rsid w:val="00006B40"/>
    <w:rsid w:val="00006BB3"/>
    <w:rsid w:val="00006BFD"/>
    <w:rsid w:val="00006C06"/>
    <w:rsid w:val="00006C3B"/>
    <w:rsid w:val="00006CA0"/>
    <w:rsid w:val="00006CB1"/>
    <w:rsid w:val="00006D91"/>
    <w:rsid w:val="00006DD5"/>
    <w:rsid w:val="00006F35"/>
    <w:rsid w:val="00006F38"/>
    <w:rsid w:val="00006F65"/>
    <w:rsid w:val="00006F72"/>
    <w:rsid w:val="00006FB9"/>
    <w:rsid w:val="00006FDE"/>
    <w:rsid w:val="0000702F"/>
    <w:rsid w:val="00007044"/>
    <w:rsid w:val="000070AD"/>
    <w:rsid w:val="0000710C"/>
    <w:rsid w:val="00007214"/>
    <w:rsid w:val="00007226"/>
    <w:rsid w:val="000072A0"/>
    <w:rsid w:val="00007342"/>
    <w:rsid w:val="0000739C"/>
    <w:rsid w:val="00007435"/>
    <w:rsid w:val="00007471"/>
    <w:rsid w:val="000074BE"/>
    <w:rsid w:val="000074C2"/>
    <w:rsid w:val="000074FD"/>
    <w:rsid w:val="0000756F"/>
    <w:rsid w:val="00007579"/>
    <w:rsid w:val="00007589"/>
    <w:rsid w:val="000075FB"/>
    <w:rsid w:val="00007605"/>
    <w:rsid w:val="00007653"/>
    <w:rsid w:val="000076EE"/>
    <w:rsid w:val="00007724"/>
    <w:rsid w:val="0000772E"/>
    <w:rsid w:val="00007731"/>
    <w:rsid w:val="00007777"/>
    <w:rsid w:val="0000778F"/>
    <w:rsid w:val="00007808"/>
    <w:rsid w:val="00007893"/>
    <w:rsid w:val="000078DB"/>
    <w:rsid w:val="00007970"/>
    <w:rsid w:val="0000797E"/>
    <w:rsid w:val="000079CF"/>
    <w:rsid w:val="00007A6D"/>
    <w:rsid w:val="00007A6F"/>
    <w:rsid w:val="00007AC1"/>
    <w:rsid w:val="00007B6A"/>
    <w:rsid w:val="00007B99"/>
    <w:rsid w:val="00007BAE"/>
    <w:rsid w:val="00007BBB"/>
    <w:rsid w:val="00007BD8"/>
    <w:rsid w:val="00007CBC"/>
    <w:rsid w:val="00007CBE"/>
    <w:rsid w:val="00007CC9"/>
    <w:rsid w:val="00007CE6"/>
    <w:rsid w:val="00007CFA"/>
    <w:rsid w:val="00007E0E"/>
    <w:rsid w:val="00007E93"/>
    <w:rsid w:val="00007E97"/>
    <w:rsid w:val="00007F09"/>
    <w:rsid w:val="00007F40"/>
    <w:rsid w:val="00007F62"/>
    <w:rsid w:val="00007F72"/>
    <w:rsid w:val="00007F78"/>
    <w:rsid w:val="00007F8B"/>
    <w:rsid w:val="00007FF9"/>
    <w:rsid w:val="0001006A"/>
    <w:rsid w:val="0001009B"/>
    <w:rsid w:val="00010135"/>
    <w:rsid w:val="0001017B"/>
    <w:rsid w:val="00010225"/>
    <w:rsid w:val="0001028C"/>
    <w:rsid w:val="000102E7"/>
    <w:rsid w:val="0001040C"/>
    <w:rsid w:val="00010417"/>
    <w:rsid w:val="00010457"/>
    <w:rsid w:val="0001046D"/>
    <w:rsid w:val="00010494"/>
    <w:rsid w:val="00010558"/>
    <w:rsid w:val="000105F0"/>
    <w:rsid w:val="0001063F"/>
    <w:rsid w:val="0001068E"/>
    <w:rsid w:val="000106A6"/>
    <w:rsid w:val="000106A8"/>
    <w:rsid w:val="000106EB"/>
    <w:rsid w:val="00010729"/>
    <w:rsid w:val="0001078F"/>
    <w:rsid w:val="000107D9"/>
    <w:rsid w:val="000107E7"/>
    <w:rsid w:val="00010815"/>
    <w:rsid w:val="0001092B"/>
    <w:rsid w:val="00010953"/>
    <w:rsid w:val="0001097A"/>
    <w:rsid w:val="0001097E"/>
    <w:rsid w:val="00010A06"/>
    <w:rsid w:val="00010A1A"/>
    <w:rsid w:val="00010A2B"/>
    <w:rsid w:val="00010A2F"/>
    <w:rsid w:val="00010A6B"/>
    <w:rsid w:val="00010AA3"/>
    <w:rsid w:val="00010AF9"/>
    <w:rsid w:val="00010B23"/>
    <w:rsid w:val="00010BE5"/>
    <w:rsid w:val="00010D26"/>
    <w:rsid w:val="00010DB9"/>
    <w:rsid w:val="00010DE5"/>
    <w:rsid w:val="00010E33"/>
    <w:rsid w:val="00010E65"/>
    <w:rsid w:val="00010E80"/>
    <w:rsid w:val="00010EE1"/>
    <w:rsid w:val="00010F08"/>
    <w:rsid w:val="00010F17"/>
    <w:rsid w:val="00010F46"/>
    <w:rsid w:val="00010F54"/>
    <w:rsid w:val="00010F66"/>
    <w:rsid w:val="00010F73"/>
    <w:rsid w:val="00011063"/>
    <w:rsid w:val="000110B7"/>
    <w:rsid w:val="000110D6"/>
    <w:rsid w:val="0001114C"/>
    <w:rsid w:val="00011159"/>
    <w:rsid w:val="00011173"/>
    <w:rsid w:val="000111D4"/>
    <w:rsid w:val="000111D9"/>
    <w:rsid w:val="0001121D"/>
    <w:rsid w:val="0001123D"/>
    <w:rsid w:val="0001127E"/>
    <w:rsid w:val="0001135A"/>
    <w:rsid w:val="000113C9"/>
    <w:rsid w:val="00011411"/>
    <w:rsid w:val="000114D4"/>
    <w:rsid w:val="000114E6"/>
    <w:rsid w:val="000115D7"/>
    <w:rsid w:val="000115D9"/>
    <w:rsid w:val="000115E3"/>
    <w:rsid w:val="000116A6"/>
    <w:rsid w:val="000116BA"/>
    <w:rsid w:val="00011704"/>
    <w:rsid w:val="00011774"/>
    <w:rsid w:val="000117A2"/>
    <w:rsid w:val="000117EB"/>
    <w:rsid w:val="00011855"/>
    <w:rsid w:val="00011879"/>
    <w:rsid w:val="00011885"/>
    <w:rsid w:val="000118A2"/>
    <w:rsid w:val="00011936"/>
    <w:rsid w:val="00011956"/>
    <w:rsid w:val="0001196C"/>
    <w:rsid w:val="00011970"/>
    <w:rsid w:val="00011990"/>
    <w:rsid w:val="0001199D"/>
    <w:rsid w:val="000119A9"/>
    <w:rsid w:val="000119C6"/>
    <w:rsid w:val="00011A76"/>
    <w:rsid w:val="00011AE2"/>
    <w:rsid w:val="00011B08"/>
    <w:rsid w:val="00011B22"/>
    <w:rsid w:val="00011B49"/>
    <w:rsid w:val="00011B62"/>
    <w:rsid w:val="00011B82"/>
    <w:rsid w:val="00011BAA"/>
    <w:rsid w:val="00011BAE"/>
    <w:rsid w:val="00011CAD"/>
    <w:rsid w:val="00011CC0"/>
    <w:rsid w:val="00011D39"/>
    <w:rsid w:val="00011DE9"/>
    <w:rsid w:val="00011DFA"/>
    <w:rsid w:val="00011E26"/>
    <w:rsid w:val="00011E60"/>
    <w:rsid w:val="00011E80"/>
    <w:rsid w:val="00011E99"/>
    <w:rsid w:val="00011EB7"/>
    <w:rsid w:val="00011EF3"/>
    <w:rsid w:val="00011F5A"/>
    <w:rsid w:val="00011FA1"/>
    <w:rsid w:val="00012033"/>
    <w:rsid w:val="0001204A"/>
    <w:rsid w:val="0001206F"/>
    <w:rsid w:val="0001209F"/>
    <w:rsid w:val="000120E0"/>
    <w:rsid w:val="000120F6"/>
    <w:rsid w:val="0001217E"/>
    <w:rsid w:val="00012238"/>
    <w:rsid w:val="00012283"/>
    <w:rsid w:val="00012348"/>
    <w:rsid w:val="00012354"/>
    <w:rsid w:val="00012365"/>
    <w:rsid w:val="000123BC"/>
    <w:rsid w:val="000123C8"/>
    <w:rsid w:val="000123CA"/>
    <w:rsid w:val="000123D0"/>
    <w:rsid w:val="000123D8"/>
    <w:rsid w:val="00012426"/>
    <w:rsid w:val="0001246B"/>
    <w:rsid w:val="00012488"/>
    <w:rsid w:val="000124CD"/>
    <w:rsid w:val="000124CE"/>
    <w:rsid w:val="00012518"/>
    <w:rsid w:val="00012522"/>
    <w:rsid w:val="00012537"/>
    <w:rsid w:val="0001263E"/>
    <w:rsid w:val="00012652"/>
    <w:rsid w:val="00012656"/>
    <w:rsid w:val="000126B2"/>
    <w:rsid w:val="00012702"/>
    <w:rsid w:val="00012745"/>
    <w:rsid w:val="00012751"/>
    <w:rsid w:val="00012789"/>
    <w:rsid w:val="000127A8"/>
    <w:rsid w:val="000127B7"/>
    <w:rsid w:val="000127D8"/>
    <w:rsid w:val="00012833"/>
    <w:rsid w:val="0001283D"/>
    <w:rsid w:val="000128D3"/>
    <w:rsid w:val="000128DA"/>
    <w:rsid w:val="000128E4"/>
    <w:rsid w:val="0001291F"/>
    <w:rsid w:val="00012934"/>
    <w:rsid w:val="00012967"/>
    <w:rsid w:val="00012A40"/>
    <w:rsid w:val="00012A88"/>
    <w:rsid w:val="00012AEC"/>
    <w:rsid w:val="00012B26"/>
    <w:rsid w:val="00012B2D"/>
    <w:rsid w:val="00012B2E"/>
    <w:rsid w:val="00012B50"/>
    <w:rsid w:val="00012C23"/>
    <w:rsid w:val="00012C43"/>
    <w:rsid w:val="00012C98"/>
    <w:rsid w:val="00012CAA"/>
    <w:rsid w:val="00012CD3"/>
    <w:rsid w:val="00012D43"/>
    <w:rsid w:val="00012D55"/>
    <w:rsid w:val="00012DB9"/>
    <w:rsid w:val="00012ECC"/>
    <w:rsid w:val="00012F75"/>
    <w:rsid w:val="00012FAD"/>
    <w:rsid w:val="00012FBD"/>
    <w:rsid w:val="00013003"/>
    <w:rsid w:val="0001302B"/>
    <w:rsid w:val="0001304E"/>
    <w:rsid w:val="00013086"/>
    <w:rsid w:val="000130A3"/>
    <w:rsid w:val="000130A4"/>
    <w:rsid w:val="000130D8"/>
    <w:rsid w:val="00013116"/>
    <w:rsid w:val="00013153"/>
    <w:rsid w:val="00013176"/>
    <w:rsid w:val="0001318E"/>
    <w:rsid w:val="0001329F"/>
    <w:rsid w:val="000132CC"/>
    <w:rsid w:val="000133AE"/>
    <w:rsid w:val="000133D6"/>
    <w:rsid w:val="000133FA"/>
    <w:rsid w:val="00013425"/>
    <w:rsid w:val="00013453"/>
    <w:rsid w:val="00013472"/>
    <w:rsid w:val="00013478"/>
    <w:rsid w:val="000134E4"/>
    <w:rsid w:val="0001350F"/>
    <w:rsid w:val="00013548"/>
    <w:rsid w:val="0001354F"/>
    <w:rsid w:val="00013554"/>
    <w:rsid w:val="00013598"/>
    <w:rsid w:val="00013608"/>
    <w:rsid w:val="0001362E"/>
    <w:rsid w:val="0001364D"/>
    <w:rsid w:val="0001365C"/>
    <w:rsid w:val="0001366B"/>
    <w:rsid w:val="000136B5"/>
    <w:rsid w:val="00013720"/>
    <w:rsid w:val="00013723"/>
    <w:rsid w:val="0001373A"/>
    <w:rsid w:val="0001373E"/>
    <w:rsid w:val="000137DE"/>
    <w:rsid w:val="00013897"/>
    <w:rsid w:val="000138B1"/>
    <w:rsid w:val="0001394E"/>
    <w:rsid w:val="00013967"/>
    <w:rsid w:val="00013A51"/>
    <w:rsid w:val="00013AA5"/>
    <w:rsid w:val="00013ABB"/>
    <w:rsid w:val="00013B0A"/>
    <w:rsid w:val="00013B27"/>
    <w:rsid w:val="00013B60"/>
    <w:rsid w:val="00013B6E"/>
    <w:rsid w:val="00013B81"/>
    <w:rsid w:val="00013B88"/>
    <w:rsid w:val="00013BE7"/>
    <w:rsid w:val="00013C77"/>
    <w:rsid w:val="00013C94"/>
    <w:rsid w:val="00013CA7"/>
    <w:rsid w:val="00013CC2"/>
    <w:rsid w:val="00013D3B"/>
    <w:rsid w:val="00013D3F"/>
    <w:rsid w:val="00013D67"/>
    <w:rsid w:val="00013D7C"/>
    <w:rsid w:val="00013D9E"/>
    <w:rsid w:val="00013DDC"/>
    <w:rsid w:val="00013DF0"/>
    <w:rsid w:val="00013E26"/>
    <w:rsid w:val="00013E92"/>
    <w:rsid w:val="00013E9C"/>
    <w:rsid w:val="00013EC8"/>
    <w:rsid w:val="00013EDC"/>
    <w:rsid w:val="00013F0C"/>
    <w:rsid w:val="00013F29"/>
    <w:rsid w:val="00013F95"/>
    <w:rsid w:val="00014072"/>
    <w:rsid w:val="00014081"/>
    <w:rsid w:val="0001408F"/>
    <w:rsid w:val="000140EC"/>
    <w:rsid w:val="00014109"/>
    <w:rsid w:val="00014120"/>
    <w:rsid w:val="00014140"/>
    <w:rsid w:val="0001418A"/>
    <w:rsid w:val="00014279"/>
    <w:rsid w:val="0001429A"/>
    <w:rsid w:val="000142B2"/>
    <w:rsid w:val="000142E2"/>
    <w:rsid w:val="000142EF"/>
    <w:rsid w:val="00014328"/>
    <w:rsid w:val="0001436A"/>
    <w:rsid w:val="00014435"/>
    <w:rsid w:val="0001457F"/>
    <w:rsid w:val="000145AE"/>
    <w:rsid w:val="000145C7"/>
    <w:rsid w:val="000145D5"/>
    <w:rsid w:val="000146A1"/>
    <w:rsid w:val="000146CF"/>
    <w:rsid w:val="000146E9"/>
    <w:rsid w:val="000146EB"/>
    <w:rsid w:val="00014733"/>
    <w:rsid w:val="00014747"/>
    <w:rsid w:val="0001482B"/>
    <w:rsid w:val="00014865"/>
    <w:rsid w:val="000148FB"/>
    <w:rsid w:val="00014945"/>
    <w:rsid w:val="00014963"/>
    <w:rsid w:val="000149B6"/>
    <w:rsid w:val="000149F9"/>
    <w:rsid w:val="00014BCE"/>
    <w:rsid w:val="00014C01"/>
    <w:rsid w:val="00014C71"/>
    <w:rsid w:val="00014C86"/>
    <w:rsid w:val="00014C8D"/>
    <w:rsid w:val="00014C99"/>
    <w:rsid w:val="00014CF7"/>
    <w:rsid w:val="00014D23"/>
    <w:rsid w:val="00014D31"/>
    <w:rsid w:val="00014D54"/>
    <w:rsid w:val="00014DD6"/>
    <w:rsid w:val="00014DEC"/>
    <w:rsid w:val="00014E05"/>
    <w:rsid w:val="00014F0D"/>
    <w:rsid w:val="00014F5F"/>
    <w:rsid w:val="00014FC1"/>
    <w:rsid w:val="00014FF4"/>
    <w:rsid w:val="00015038"/>
    <w:rsid w:val="00015083"/>
    <w:rsid w:val="000150B3"/>
    <w:rsid w:val="000150CD"/>
    <w:rsid w:val="000150D4"/>
    <w:rsid w:val="000150DF"/>
    <w:rsid w:val="00015123"/>
    <w:rsid w:val="0001513C"/>
    <w:rsid w:val="0001515F"/>
    <w:rsid w:val="000151A2"/>
    <w:rsid w:val="000151AA"/>
    <w:rsid w:val="000151C9"/>
    <w:rsid w:val="000151F7"/>
    <w:rsid w:val="0001526C"/>
    <w:rsid w:val="00015337"/>
    <w:rsid w:val="00015341"/>
    <w:rsid w:val="0001537F"/>
    <w:rsid w:val="00015382"/>
    <w:rsid w:val="00015391"/>
    <w:rsid w:val="000153A9"/>
    <w:rsid w:val="000153EC"/>
    <w:rsid w:val="00015402"/>
    <w:rsid w:val="00015412"/>
    <w:rsid w:val="00015456"/>
    <w:rsid w:val="00015464"/>
    <w:rsid w:val="000154B1"/>
    <w:rsid w:val="000154BC"/>
    <w:rsid w:val="0001553B"/>
    <w:rsid w:val="00015573"/>
    <w:rsid w:val="0001557E"/>
    <w:rsid w:val="0001557F"/>
    <w:rsid w:val="0001561E"/>
    <w:rsid w:val="0001562E"/>
    <w:rsid w:val="00015653"/>
    <w:rsid w:val="00015721"/>
    <w:rsid w:val="0001573B"/>
    <w:rsid w:val="0001576E"/>
    <w:rsid w:val="00015797"/>
    <w:rsid w:val="0001579A"/>
    <w:rsid w:val="000157A0"/>
    <w:rsid w:val="000157CB"/>
    <w:rsid w:val="000157DA"/>
    <w:rsid w:val="000157EB"/>
    <w:rsid w:val="0001581F"/>
    <w:rsid w:val="00015855"/>
    <w:rsid w:val="0001587F"/>
    <w:rsid w:val="000158F8"/>
    <w:rsid w:val="0001590F"/>
    <w:rsid w:val="00015925"/>
    <w:rsid w:val="0001593E"/>
    <w:rsid w:val="000159AE"/>
    <w:rsid w:val="000159D5"/>
    <w:rsid w:val="000159DE"/>
    <w:rsid w:val="00015A79"/>
    <w:rsid w:val="00015A8A"/>
    <w:rsid w:val="00015AA6"/>
    <w:rsid w:val="00015AF2"/>
    <w:rsid w:val="00015B9D"/>
    <w:rsid w:val="00015BB3"/>
    <w:rsid w:val="00015BCB"/>
    <w:rsid w:val="00015C19"/>
    <w:rsid w:val="00015C36"/>
    <w:rsid w:val="00015C51"/>
    <w:rsid w:val="00015C73"/>
    <w:rsid w:val="00015C87"/>
    <w:rsid w:val="00015CF1"/>
    <w:rsid w:val="00015D28"/>
    <w:rsid w:val="00015D55"/>
    <w:rsid w:val="00015DFE"/>
    <w:rsid w:val="00015E1E"/>
    <w:rsid w:val="00015E3D"/>
    <w:rsid w:val="00015E65"/>
    <w:rsid w:val="00015E9B"/>
    <w:rsid w:val="00015EC3"/>
    <w:rsid w:val="00015ECB"/>
    <w:rsid w:val="00015EE4"/>
    <w:rsid w:val="00015EF6"/>
    <w:rsid w:val="00015F2A"/>
    <w:rsid w:val="0001602B"/>
    <w:rsid w:val="000160A6"/>
    <w:rsid w:val="000160EB"/>
    <w:rsid w:val="00016144"/>
    <w:rsid w:val="00016161"/>
    <w:rsid w:val="00016167"/>
    <w:rsid w:val="0001619B"/>
    <w:rsid w:val="000161AC"/>
    <w:rsid w:val="0001628D"/>
    <w:rsid w:val="0001628E"/>
    <w:rsid w:val="000162E0"/>
    <w:rsid w:val="000162E9"/>
    <w:rsid w:val="000162EB"/>
    <w:rsid w:val="000162F7"/>
    <w:rsid w:val="000163A3"/>
    <w:rsid w:val="000163A6"/>
    <w:rsid w:val="000163B6"/>
    <w:rsid w:val="000163C7"/>
    <w:rsid w:val="0001643C"/>
    <w:rsid w:val="00016445"/>
    <w:rsid w:val="000164DF"/>
    <w:rsid w:val="0001653F"/>
    <w:rsid w:val="000165BC"/>
    <w:rsid w:val="000165FB"/>
    <w:rsid w:val="00016669"/>
    <w:rsid w:val="00016694"/>
    <w:rsid w:val="0001669A"/>
    <w:rsid w:val="000166D5"/>
    <w:rsid w:val="0001671A"/>
    <w:rsid w:val="00016769"/>
    <w:rsid w:val="00016828"/>
    <w:rsid w:val="0001682E"/>
    <w:rsid w:val="00016846"/>
    <w:rsid w:val="0001684A"/>
    <w:rsid w:val="00016852"/>
    <w:rsid w:val="0001686C"/>
    <w:rsid w:val="000168AC"/>
    <w:rsid w:val="00016901"/>
    <w:rsid w:val="0001692E"/>
    <w:rsid w:val="0001695C"/>
    <w:rsid w:val="00016970"/>
    <w:rsid w:val="000169AB"/>
    <w:rsid w:val="000169B0"/>
    <w:rsid w:val="000169BF"/>
    <w:rsid w:val="00016A4A"/>
    <w:rsid w:val="00016A98"/>
    <w:rsid w:val="00016B2C"/>
    <w:rsid w:val="00016BDF"/>
    <w:rsid w:val="00016C0B"/>
    <w:rsid w:val="00016C1D"/>
    <w:rsid w:val="00016C63"/>
    <w:rsid w:val="00016C75"/>
    <w:rsid w:val="00016CE3"/>
    <w:rsid w:val="00016D29"/>
    <w:rsid w:val="00016D65"/>
    <w:rsid w:val="00016DB8"/>
    <w:rsid w:val="00016DDC"/>
    <w:rsid w:val="00016DDD"/>
    <w:rsid w:val="00016E8A"/>
    <w:rsid w:val="00016EE7"/>
    <w:rsid w:val="00016F2D"/>
    <w:rsid w:val="00016F62"/>
    <w:rsid w:val="00016FBC"/>
    <w:rsid w:val="0001700E"/>
    <w:rsid w:val="000170CD"/>
    <w:rsid w:val="000170E7"/>
    <w:rsid w:val="00017108"/>
    <w:rsid w:val="0001716E"/>
    <w:rsid w:val="00017222"/>
    <w:rsid w:val="000172D9"/>
    <w:rsid w:val="000172DE"/>
    <w:rsid w:val="00017304"/>
    <w:rsid w:val="00017314"/>
    <w:rsid w:val="00017315"/>
    <w:rsid w:val="00017333"/>
    <w:rsid w:val="00017379"/>
    <w:rsid w:val="000173C6"/>
    <w:rsid w:val="000173CF"/>
    <w:rsid w:val="000173E3"/>
    <w:rsid w:val="00017468"/>
    <w:rsid w:val="00017485"/>
    <w:rsid w:val="000174AE"/>
    <w:rsid w:val="00017529"/>
    <w:rsid w:val="0001753F"/>
    <w:rsid w:val="00017563"/>
    <w:rsid w:val="000175A6"/>
    <w:rsid w:val="000175E3"/>
    <w:rsid w:val="0001768B"/>
    <w:rsid w:val="000176F7"/>
    <w:rsid w:val="00017746"/>
    <w:rsid w:val="000177BA"/>
    <w:rsid w:val="000177D6"/>
    <w:rsid w:val="00017816"/>
    <w:rsid w:val="0001784A"/>
    <w:rsid w:val="00017855"/>
    <w:rsid w:val="000178DC"/>
    <w:rsid w:val="00017916"/>
    <w:rsid w:val="000179E9"/>
    <w:rsid w:val="00017A71"/>
    <w:rsid w:val="00017B58"/>
    <w:rsid w:val="00017B5A"/>
    <w:rsid w:val="00017B7C"/>
    <w:rsid w:val="00017BB3"/>
    <w:rsid w:val="00017BBF"/>
    <w:rsid w:val="00017C2F"/>
    <w:rsid w:val="00017C6C"/>
    <w:rsid w:val="00017CA3"/>
    <w:rsid w:val="00017D04"/>
    <w:rsid w:val="00017D47"/>
    <w:rsid w:val="00017D94"/>
    <w:rsid w:val="00017DBE"/>
    <w:rsid w:val="00017E04"/>
    <w:rsid w:val="00017E1E"/>
    <w:rsid w:val="00017ECC"/>
    <w:rsid w:val="00017ECD"/>
    <w:rsid w:val="00017EDF"/>
    <w:rsid w:val="00017EE8"/>
    <w:rsid w:val="00017F50"/>
    <w:rsid w:val="00017F82"/>
    <w:rsid w:val="00017F91"/>
    <w:rsid w:val="00017F99"/>
    <w:rsid w:val="00017FA8"/>
    <w:rsid w:val="00020009"/>
    <w:rsid w:val="000200A9"/>
    <w:rsid w:val="000200CD"/>
    <w:rsid w:val="00020149"/>
    <w:rsid w:val="0002014F"/>
    <w:rsid w:val="00020196"/>
    <w:rsid w:val="000201C3"/>
    <w:rsid w:val="00020210"/>
    <w:rsid w:val="00020228"/>
    <w:rsid w:val="00020289"/>
    <w:rsid w:val="00020290"/>
    <w:rsid w:val="00020298"/>
    <w:rsid w:val="0002029D"/>
    <w:rsid w:val="000202D0"/>
    <w:rsid w:val="000202DD"/>
    <w:rsid w:val="00020414"/>
    <w:rsid w:val="0002041F"/>
    <w:rsid w:val="00020427"/>
    <w:rsid w:val="00020474"/>
    <w:rsid w:val="00020489"/>
    <w:rsid w:val="00020499"/>
    <w:rsid w:val="0002051C"/>
    <w:rsid w:val="0002056A"/>
    <w:rsid w:val="00020575"/>
    <w:rsid w:val="00020627"/>
    <w:rsid w:val="000206BC"/>
    <w:rsid w:val="000206D4"/>
    <w:rsid w:val="00020701"/>
    <w:rsid w:val="000207A9"/>
    <w:rsid w:val="000208A9"/>
    <w:rsid w:val="00020971"/>
    <w:rsid w:val="000209EC"/>
    <w:rsid w:val="00020A03"/>
    <w:rsid w:val="00020A0C"/>
    <w:rsid w:val="00020AD6"/>
    <w:rsid w:val="00020B5C"/>
    <w:rsid w:val="00020BBD"/>
    <w:rsid w:val="00020BCF"/>
    <w:rsid w:val="00020C4D"/>
    <w:rsid w:val="00020C7C"/>
    <w:rsid w:val="00020CE7"/>
    <w:rsid w:val="00020CFB"/>
    <w:rsid w:val="00020D3E"/>
    <w:rsid w:val="00020DA7"/>
    <w:rsid w:val="00020DAC"/>
    <w:rsid w:val="00020DB7"/>
    <w:rsid w:val="00020DF7"/>
    <w:rsid w:val="00020E55"/>
    <w:rsid w:val="00020E73"/>
    <w:rsid w:val="00020EB7"/>
    <w:rsid w:val="00020EE9"/>
    <w:rsid w:val="00020EEC"/>
    <w:rsid w:val="00020F02"/>
    <w:rsid w:val="00020F51"/>
    <w:rsid w:val="00020F76"/>
    <w:rsid w:val="00020F7F"/>
    <w:rsid w:val="00020FE4"/>
    <w:rsid w:val="00020FF2"/>
    <w:rsid w:val="00021009"/>
    <w:rsid w:val="00021035"/>
    <w:rsid w:val="000210F2"/>
    <w:rsid w:val="00021132"/>
    <w:rsid w:val="000211B6"/>
    <w:rsid w:val="000211C3"/>
    <w:rsid w:val="000211EB"/>
    <w:rsid w:val="00021210"/>
    <w:rsid w:val="0002128F"/>
    <w:rsid w:val="0002140A"/>
    <w:rsid w:val="00021458"/>
    <w:rsid w:val="000214D2"/>
    <w:rsid w:val="000215F8"/>
    <w:rsid w:val="00021682"/>
    <w:rsid w:val="000216AF"/>
    <w:rsid w:val="000216DA"/>
    <w:rsid w:val="000216E1"/>
    <w:rsid w:val="0002173D"/>
    <w:rsid w:val="00021753"/>
    <w:rsid w:val="0002177B"/>
    <w:rsid w:val="000217C7"/>
    <w:rsid w:val="00021833"/>
    <w:rsid w:val="00021955"/>
    <w:rsid w:val="000219F3"/>
    <w:rsid w:val="000219FF"/>
    <w:rsid w:val="00021A3B"/>
    <w:rsid w:val="00021A72"/>
    <w:rsid w:val="00021AC5"/>
    <w:rsid w:val="00021B07"/>
    <w:rsid w:val="00021BAC"/>
    <w:rsid w:val="00021BC5"/>
    <w:rsid w:val="00021BD0"/>
    <w:rsid w:val="00021BE2"/>
    <w:rsid w:val="00021C0E"/>
    <w:rsid w:val="00021C30"/>
    <w:rsid w:val="00021C5C"/>
    <w:rsid w:val="00021C8F"/>
    <w:rsid w:val="00021CA5"/>
    <w:rsid w:val="00021CAE"/>
    <w:rsid w:val="00021D2C"/>
    <w:rsid w:val="00021D9A"/>
    <w:rsid w:val="00021E17"/>
    <w:rsid w:val="00021E75"/>
    <w:rsid w:val="00021ECD"/>
    <w:rsid w:val="00021F25"/>
    <w:rsid w:val="00021F40"/>
    <w:rsid w:val="00021F4A"/>
    <w:rsid w:val="00021F8C"/>
    <w:rsid w:val="00021F9C"/>
    <w:rsid w:val="0002206D"/>
    <w:rsid w:val="00022090"/>
    <w:rsid w:val="00022123"/>
    <w:rsid w:val="00022128"/>
    <w:rsid w:val="000221FF"/>
    <w:rsid w:val="00022202"/>
    <w:rsid w:val="000222F7"/>
    <w:rsid w:val="000222FC"/>
    <w:rsid w:val="00022351"/>
    <w:rsid w:val="0002237E"/>
    <w:rsid w:val="000223AB"/>
    <w:rsid w:val="000223ED"/>
    <w:rsid w:val="00022407"/>
    <w:rsid w:val="00022487"/>
    <w:rsid w:val="0002249C"/>
    <w:rsid w:val="0002249E"/>
    <w:rsid w:val="000224AD"/>
    <w:rsid w:val="000224CD"/>
    <w:rsid w:val="0002251F"/>
    <w:rsid w:val="00022529"/>
    <w:rsid w:val="00022564"/>
    <w:rsid w:val="0002258C"/>
    <w:rsid w:val="00022590"/>
    <w:rsid w:val="000225C9"/>
    <w:rsid w:val="00022689"/>
    <w:rsid w:val="00022698"/>
    <w:rsid w:val="000226FE"/>
    <w:rsid w:val="00022748"/>
    <w:rsid w:val="00022779"/>
    <w:rsid w:val="00022780"/>
    <w:rsid w:val="000227C4"/>
    <w:rsid w:val="000227CC"/>
    <w:rsid w:val="000227DA"/>
    <w:rsid w:val="00022819"/>
    <w:rsid w:val="00022888"/>
    <w:rsid w:val="00022895"/>
    <w:rsid w:val="00022911"/>
    <w:rsid w:val="00022933"/>
    <w:rsid w:val="0002297C"/>
    <w:rsid w:val="00022983"/>
    <w:rsid w:val="000229A4"/>
    <w:rsid w:val="00022A00"/>
    <w:rsid w:val="00022A94"/>
    <w:rsid w:val="00022BE6"/>
    <w:rsid w:val="00022C45"/>
    <w:rsid w:val="00022C5C"/>
    <w:rsid w:val="00022C88"/>
    <w:rsid w:val="00022CB8"/>
    <w:rsid w:val="00022CD9"/>
    <w:rsid w:val="00022D15"/>
    <w:rsid w:val="00022D4A"/>
    <w:rsid w:val="00022D63"/>
    <w:rsid w:val="00022D66"/>
    <w:rsid w:val="00022D92"/>
    <w:rsid w:val="00022D94"/>
    <w:rsid w:val="00022D9B"/>
    <w:rsid w:val="00022D9E"/>
    <w:rsid w:val="00022DD3"/>
    <w:rsid w:val="00022DE9"/>
    <w:rsid w:val="00022E94"/>
    <w:rsid w:val="00022ED9"/>
    <w:rsid w:val="00022F2D"/>
    <w:rsid w:val="00022F81"/>
    <w:rsid w:val="00022FA8"/>
    <w:rsid w:val="0002301D"/>
    <w:rsid w:val="0002304F"/>
    <w:rsid w:val="0002306F"/>
    <w:rsid w:val="000230E9"/>
    <w:rsid w:val="0002316B"/>
    <w:rsid w:val="000231B8"/>
    <w:rsid w:val="0002324A"/>
    <w:rsid w:val="00023257"/>
    <w:rsid w:val="00023348"/>
    <w:rsid w:val="000233C7"/>
    <w:rsid w:val="000233EE"/>
    <w:rsid w:val="00023418"/>
    <w:rsid w:val="00023431"/>
    <w:rsid w:val="00023453"/>
    <w:rsid w:val="000234F5"/>
    <w:rsid w:val="000235EA"/>
    <w:rsid w:val="0002367B"/>
    <w:rsid w:val="0002368E"/>
    <w:rsid w:val="000236A3"/>
    <w:rsid w:val="000236CF"/>
    <w:rsid w:val="000236DF"/>
    <w:rsid w:val="000236F7"/>
    <w:rsid w:val="00023722"/>
    <w:rsid w:val="00023741"/>
    <w:rsid w:val="00023760"/>
    <w:rsid w:val="0002376E"/>
    <w:rsid w:val="00023776"/>
    <w:rsid w:val="00023784"/>
    <w:rsid w:val="000237B4"/>
    <w:rsid w:val="0002384B"/>
    <w:rsid w:val="00023893"/>
    <w:rsid w:val="000238E6"/>
    <w:rsid w:val="000238F4"/>
    <w:rsid w:val="0002392A"/>
    <w:rsid w:val="0002392E"/>
    <w:rsid w:val="0002396D"/>
    <w:rsid w:val="00023982"/>
    <w:rsid w:val="000239AC"/>
    <w:rsid w:val="000239B4"/>
    <w:rsid w:val="00023A19"/>
    <w:rsid w:val="00023A29"/>
    <w:rsid w:val="00023A80"/>
    <w:rsid w:val="00023B34"/>
    <w:rsid w:val="00023B3E"/>
    <w:rsid w:val="00023B63"/>
    <w:rsid w:val="00023BA0"/>
    <w:rsid w:val="00023C21"/>
    <w:rsid w:val="00023CAD"/>
    <w:rsid w:val="00023CC2"/>
    <w:rsid w:val="00023D1C"/>
    <w:rsid w:val="00023E3E"/>
    <w:rsid w:val="00023E56"/>
    <w:rsid w:val="00023F04"/>
    <w:rsid w:val="00023F4C"/>
    <w:rsid w:val="00023FBD"/>
    <w:rsid w:val="0002405B"/>
    <w:rsid w:val="00024068"/>
    <w:rsid w:val="000240FB"/>
    <w:rsid w:val="00024102"/>
    <w:rsid w:val="0002417E"/>
    <w:rsid w:val="000241D8"/>
    <w:rsid w:val="0002421C"/>
    <w:rsid w:val="0002423B"/>
    <w:rsid w:val="0002423D"/>
    <w:rsid w:val="00024254"/>
    <w:rsid w:val="0002426B"/>
    <w:rsid w:val="00024304"/>
    <w:rsid w:val="00024310"/>
    <w:rsid w:val="00024335"/>
    <w:rsid w:val="0002435A"/>
    <w:rsid w:val="000243A7"/>
    <w:rsid w:val="000243DF"/>
    <w:rsid w:val="000243F7"/>
    <w:rsid w:val="0002452F"/>
    <w:rsid w:val="00024561"/>
    <w:rsid w:val="0002459E"/>
    <w:rsid w:val="000245A6"/>
    <w:rsid w:val="000245B8"/>
    <w:rsid w:val="00024621"/>
    <w:rsid w:val="0002463A"/>
    <w:rsid w:val="00024659"/>
    <w:rsid w:val="00024692"/>
    <w:rsid w:val="0002485F"/>
    <w:rsid w:val="00024938"/>
    <w:rsid w:val="00024943"/>
    <w:rsid w:val="00024953"/>
    <w:rsid w:val="0002497D"/>
    <w:rsid w:val="0002498E"/>
    <w:rsid w:val="0002499D"/>
    <w:rsid w:val="000249C2"/>
    <w:rsid w:val="00024A23"/>
    <w:rsid w:val="00024A2C"/>
    <w:rsid w:val="00024A3E"/>
    <w:rsid w:val="00024A63"/>
    <w:rsid w:val="00024AF3"/>
    <w:rsid w:val="00024B74"/>
    <w:rsid w:val="00024B7F"/>
    <w:rsid w:val="00024C5D"/>
    <w:rsid w:val="00024C5E"/>
    <w:rsid w:val="00024C88"/>
    <w:rsid w:val="00024CE4"/>
    <w:rsid w:val="00024CF9"/>
    <w:rsid w:val="00024D26"/>
    <w:rsid w:val="00024DA3"/>
    <w:rsid w:val="00024DB9"/>
    <w:rsid w:val="00024DC4"/>
    <w:rsid w:val="00024EEC"/>
    <w:rsid w:val="00024F13"/>
    <w:rsid w:val="00024F14"/>
    <w:rsid w:val="00025002"/>
    <w:rsid w:val="0002503C"/>
    <w:rsid w:val="00025042"/>
    <w:rsid w:val="0002504F"/>
    <w:rsid w:val="00025094"/>
    <w:rsid w:val="000250B5"/>
    <w:rsid w:val="000250C5"/>
    <w:rsid w:val="000250ED"/>
    <w:rsid w:val="000250FD"/>
    <w:rsid w:val="0002513E"/>
    <w:rsid w:val="0002515E"/>
    <w:rsid w:val="000251E1"/>
    <w:rsid w:val="000251EB"/>
    <w:rsid w:val="000251FD"/>
    <w:rsid w:val="00025200"/>
    <w:rsid w:val="00025255"/>
    <w:rsid w:val="00025306"/>
    <w:rsid w:val="00025365"/>
    <w:rsid w:val="000253ED"/>
    <w:rsid w:val="000253F8"/>
    <w:rsid w:val="000253F9"/>
    <w:rsid w:val="0002541B"/>
    <w:rsid w:val="00025490"/>
    <w:rsid w:val="00025549"/>
    <w:rsid w:val="00025550"/>
    <w:rsid w:val="0002557F"/>
    <w:rsid w:val="000255C4"/>
    <w:rsid w:val="000255FB"/>
    <w:rsid w:val="0002565E"/>
    <w:rsid w:val="000256D1"/>
    <w:rsid w:val="000256F0"/>
    <w:rsid w:val="0002579A"/>
    <w:rsid w:val="000257EF"/>
    <w:rsid w:val="0002583B"/>
    <w:rsid w:val="0002585A"/>
    <w:rsid w:val="00025861"/>
    <w:rsid w:val="00025896"/>
    <w:rsid w:val="000258BF"/>
    <w:rsid w:val="000259C0"/>
    <w:rsid w:val="000259D3"/>
    <w:rsid w:val="000259F1"/>
    <w:rsid w:val="00025A30"/>
    <w:rsid w:val="00025A47"/>
    <w:rsid w:val="00025A57"/>
    <w:rsid w:val="00025A63"/>
    <w:rsid w:val="00025A75"/>
    <w:rsid w:val="00025A79"/>
    <w:rsid w:val="00025AA0"/>
    <w:rsid w:val="00025B6A"/>
    <w:rsid w:val="00025BD6"/>
    <w:rsid w:val="00025BDE"/>
    <w:rsid w:val="00025C35"/>
    <w:rsid w:val="00025C3B"/>
    <w:rsid w:val="00025C89"/>
    <w:rsid w:val="00025D64"/>
    <w:rsid w:val="00025DA9"/>
    <w:rsid w:val="00025DAA"/>
    <w:rsid w:val="00025DAE"/>
    <w:rsid w:val="00025DFB"/>
    <w:rsid w:val="00025E3F"/>
    <w:rsid w:val="00025E50"/>
    <w:rsid w:val="00025E7C"/>
    <w:rsid w:val="00025EAC"/>
    <w:rsid w:val="00025EB8"/>
    <w:rsid w:val="00025EC6"/>
    <w:rsid w:val="00025F01"/>
    <w:rsid w:val="00025F7A"/>
    <w:rsid w:val="00026084"/>
    <w:rsid w:val="0002609F"/>
    <w:rsid w:val="00026118"/>
    <w:rsid w:val="0002614A"/>
    <w:rsid w:val="00026176"/>
    <w:rsid w:val="00026209"/>
    <w:rsid w:val="00026231"/>
    <w:rsid w:val="000262BD"/>
    <w:rsid w:val="00026324"/>
    <w:rsid w:val="0002635C"/>
    <w:rsid w:val="00026360"/>
    <w:rsid w:val="000263D5"/>
    <w:rsid w:val="000264A9"/>
    <w:rsid w:val="000264F9"/>
    <w:rsid w:val="0002653C"/>
    <w:rsid w:val="0002657A"/>
    <w:rsid w:val="0002659A"/>
    <w:rsid w:val="000265CF"/>
    <w:rsid w:val="000265D4"/>
    <w:rsid w:val="00026648"/>
    <w:rsid w:val="0002666B"/>
    <w:rsid w:val="000266AD"/>
    <w:rsid w:val="000266BF"/>
    <w:rsid w:val="00026718"/>
    <w:rsid w:val="0002674C"/>
    <w:rsid w:val="000267CD"/>
    <w:rsid w:val="0002685D"/>
    <w:rsid w:val="000269A0"/>
    <w:rsid w:val="000269B0"/>
    <w:rsid w:val="000269D1"/>
    <w:rsid w:val="00026A31"/>
    <w:rsid w:val="00026A69"/>
    <w:rsid w:val="00026AD5"/>
    <w:rsid w:val="00026B03"/>
    <w:rsid w:val="00026B88"/>
    <w:rsid w:val="00026BAD"/>
    <w:rsid w:val="00026BB2"/>
    <w:rsid w:val="00026BBB"/>
    <w:rsid w:val="00026BF2"/>
    <w:rsid w:val="00026C17"/>
    <w:rsid w:val="00026C2F"/>
    <w:rsid w:val="00026C7B"/>
    <w:rsid w:val="00026CB7"/>
    <w:rsid w:val="00026CDD"/>
    <w:rsid w:val="00026CE4"/>
    <w:rsid w:val="00026DC7"/>
    <w:rsid w:val="00026E10"/>
    <w:rsid w:val="00026EDE"/>
    <w:rsid w:val="00026F17"/>
    <w:rsid w:val="00026F27"/>
    <w:rsid w:val="00026FD5"/>
    <w:rsid w:val="00027002"/>
    <w:rsid w:val="00027028"/>
    <w:rsid w:val="0002702F"/>
    <w:rsid w:val="00027030"/>
    <w:rsid w:val="0002707F"/>
    <w:rsid w:val="0002714B"/>
    <w:rsid w:val="0002718D"/>
    <w:rsid w:val="00027237"/>
    <w:rsid w:val="0002726E"/>
    <w:rsid w:val="000272A3"/>
    <w:rsid w:val="00027372"/>
    <w:rsid w:val="00027377"/>
    <w:rsid w:val="000273C0"/>
    <w:rsid w:val="00027479"/>
    <w:rsid w:val="0002757E"/>
    <w:rsid w:val="000275EF"/>
    <w:rsid w:val="000276C2"/>
    <w:rsid w:val="000276E1"/>
    <w:rsid w:val="00027776"/>
    <w:rsid w:val="000277A1"/>
    <w:rsid w:val="00027834"/>
    <w:rsid w:val="000278A5"/>
    <w:rsid w:val="00027908"/>
    <w:rsid w:val="0002798E"/>
    <w:rsid w:val="000279B5"/>
    <w:rsid w:val="00027AC0"/>
    <w:rsid w:val="00027AC3"/>
    <w:rsid w:val="00027AD2"/>
    <w:rsid w:val="00027B00"/>
    <w:rsid w:val="00027B84"/>
    <w:rsid w:val="00027BA9"/>
    <w:rsid w:val="00027BC0"/>
    <w:rsid w:val="00027CCD"/>
    <w:rsid w:val="00027CD4"/>
    <w:rsid w:val="00027CE9"/>
    <w:rsid w:val="00027D9F"/>
    <w:rsid w:val="00027DC2"/>
    <w:rsid w:val="00027DEC"/>
    <w:rsid w:val="00027E46"/>
    <w:rsid w:val="00027ECB"/>
    <w:rsid w:val="00027F08"/>
    <w:rsid w:val="00027F17"/>
    <w:rsid w:val="00027F19"/>
    <w:rsid w:val="00027F1F"/>
    <w:rsid w:val="00027F3A"/>
    <w:rsid w:val="00030025"/>
    <w:rsid w:val="00030028"/>
    <w:rsid w:val="0003005E"/>
    <w:rsid w:val="000300A8"/>
    <w:rsid w:val="000300AC"/>
    <w:rsid w:val="0003022D"/>
    <w:rsid w:val="00030345"/>
    <w:rsid w:val="0003034A"/>
    <w:rsid w:val="00030359"/>
    <w:rsid w:val="000303A0"/>
    <w:rsid w:val="000303BB"/>
    <w:rsid w:val="0003048C"/>
    <w:rsid w:val="000304C3"/>
    <w:rsid w:val="00030599"/>
    <w:rsid w:val="000305BE"/>
    <w:rsid w:val="0003067C"/>
    <w:rsid w:val="00030706"/>
    <w:rsid w:val="000307DF"/>
    <w:rsid w:val="0003083D"/>
    <w:rsid w:val="00030855"/>
    <w:rsid w:val="000308AF"/>
    <w:rsid w:val="000308E6"/>
    <w:rsid w:val="0003093D"/>
    <w:rsid w:val="00030972"/>
    <w:rsid w:val="000309AF"/>
    <w:rsid w:val="000309B1"/>
    <w:rsid w:val="000309CA"/>
    <w:rsid w:val="00030A60"/>
    <w:rsid w:val="00030AAF"/>
    <w:rsid w:val="00030ABE"/>
    <w:rsid w:val="00030AF2"/>
    <w:rsid w:val="00030B18"/>
    <w:rsid w:val="00030B41"/>
    <w:rsid w:val="00030BE0"/>
    <w:rsid w:val="00030BE7"/>
    <w:rsid w:val="00030C0A"/>
    <w:rsid w:val="00030C4B"/>
    <w:rsid w:val="00030C59"/>
    <w:rsid w:val="00030C92"/>
    <w:rsid w:val="00030CC4"/>
    <w:rsid w:val="00030CFB"/>
    <w:rsid w:val="00030D49"/>
    <w:rsid w:val="00030DA3"/>
    <w:rsid w:val="00030DEC"/>
    <w:rsid w:val="00030E51"/>
    <w:rsid w:val="00030E6B"/>
    <w:rsid w:val="00030F2C"/>
    <w:rsid w:val="00030F4D"/>
    <w:rsid w:val="00030F5A"/>
    <w:rsid w:val="00030F69"/>
    <w:rsid w:val="00030FFC"/>
    <w:rsid w:val="0003100F"/>
    <w:rsid w:val="0003105A"/>
    <w:rsid w:val="0003109B"/>
    <w:rsid w:val="00031139"/>
    <w:rsid w:val="00031152"/>
    <w:rsid w:val="00031187"/>
    <w:rsid w:val="000311F3"/>
    <w:rsid w:val="00031236"/>
    <w:rsid w:val="0003124F"/>
    <w:rsid w:val="00031259"/>
    <w:rsid w:val="00031295"/>
    <w:rsid w:val="000312A1"/>
    <w:rsid w:val="0003133C"/>
    <w:rsid w:val="000313E2"/>
    <w:rsid w:val="000313ED"/>
    <w:rsid w:val="000314B7"/>
    <w:rsid w:val="000314ED"/>
    <w:rsid w:val="00031515"/>
    <w:rsid w:val="00031528"/>
    <w:rsid w:val="0003153F"/>
    <w:rsid w:val="0003158C"/>
    <w:rsid w:val="000315CE"/>
    <w:rsid w:val="0003160F"/>
    <w:rsid w:val="00031629"/>
    <w:rsid w:val="00031642"/>
    <w:rsid w:val="00031732"/>
    <w:rsid w:val="00031747"/>
    <w:rsid w:val="0003174D"/>
    <w:rsid w:val="0003180E"/>
    <w:rsid w:val="00031846"/>
    <w:rsid w:val="0003184B"/>
    <w:rsid w:val="00031898"/>
    <w:rsid w:val="0003191C"/>
    <w:rsid w:val="000319E1"/>
    <w:rsid w:val="00031A17"/>
    <w:rsid w:val="00031A55"/>
    <w:rsid w:val="00031A7B"/>
    <w:rsid w:val="00031AD6"/>
    <w:rsid w:val="00031B36"/>
    <w:rsid w:val="00031B5E"/>
    <w:rsid w:val="00031B6F"/>
    <w:rsid w:val="00031BB2"/>
    <w:rsid w:val="00031BD2"/>
    <w:rsid w:val="00031C16"/>
    <w:rsid w:val="00031C1F"/>
    <w:rsid w:val="00031C33"/>
    <w:rsid w:val="00031C62"/>
    <w:rsid w:val="00031CA0"/>
    <w:rsid w:val="00031CD0"/>
    <w:rsid w:val="00031D20"/>
    <w:rsid w:val="00031DBD"/>
    <w:rsid w:val="00031DC6"/>
    <w:rsid w:val="00031DCB"/>
    <w:rsid w:val="00031E49"/>
    <w:rsid w:val="00031ED4"/>
    <w:rsid w:val="00031EE1"/>
    <w:rsid w:val="00031F37"/>
    <w:rsid w:val="00031F6C"/>
    <w:rsid w:val="00031FF0"/>
    <w:rsid w:val="00032040"/>
    <w:rsid w:val="000320AB"/>
    <w:rsid w:val="000320B1"/>
    <w:rsid w:val="0003217A"/>
    <w:rsid w:val="0003217C"/>
    <w:rsid w:val="000321A4"/>
    <w:rsid w:val="000321D3"/>
    <w:rsid w:val="00032204"/>
    <w:rsid w:val="0003237A"/>
    <w:rsid w:val="000323DC"/>
    <w:rsid w:val="000323EF"/>
    <w:rsid w:val="000323F3"/>
    <w:rsid w:val="00032409"/>
    <w:rsid w:val="00032419"/>
    <w:rsid w:val="00032466"/>
    <w:rsid w:val="00032469"/>
    <w:rsid w:val="0003248F"/>
    <w:rsid w:val="000324A9"/>
    <w:rsid w:val="00032555"/>
    <w:rsid w:val="00032558"/>
    <w:rsid w:val="0003259F"/>
    <w:rsid w:val="000325E0"/>
    <w:rsid w:val="0003261B"/>
    <w:rsid w:val="00032630"/>
    <w:rsid w:val="00032698"/>
    <w:rsid w:val="000326DC"/>
    <w:rsid w:val="00032745"/>
    <w:rsid w:val="000328AF"/>
    <w:rsid w:val="000328F6"/>
    <w:rsid w:val="00032927"/>
    <w:rsid w:val="00032938"/>
    <w:rsid w:val="0003296B"/>
    <w:rsid w:val="000329BA"/>
    <w:rsid w:val="000329E4"/>
    <w:rsid w:val="00032A04"/>
    <w:rsid w:val="00032ADC"/>
    <w:rsid w:val="00032B3A"/>
    <w:rsid w:val="00032BDA"/>
    <w:rsid w:val="00032C19"/>
    <w:rsid w:val="00032C60"/>
    <w:rsid w:val="00032C8E"/>
    <w:rsid w:val="00032D57"/>
    <w:rsid w:val="00032E01"/>
    <w:rsid w:val="00032EA6"/>
    <w:rsid w:val="00032EF5"/>
    <w:rsid w:val="00032F38"/>
    <w:rsid w:val="00032F44"/>
    <w:rsid w:val="00032FED"/>
    <w:rsid w:val="0003300E"/>
    <w:rsid w:val="0003305B"/>
    <w:rsid w:val="0003307D"/>
    <w:rsid w:val="000330A9"/>
    <w:rsid w:val="00033110"/>
    <w:rsid w:val="00033183"/>
    <w:rsid w:val="000331E6"/>
    <w:rsid w:val="00033271"/>
    <w:rsid w:val="000332E0"/>
    <w:rsid w:val="00033410"/>
    <w:rsid w:val="00033468"/>
    <w:rsid w:val="000334F2"/>
    <w:rsid w:val="00033510"/>
    <w:rsid w:val="0003351A"/>
    <w:rsid w:val="00033597"/>
    <w:rsid w:val="000335A0"/>
    <w:rsid w:val="00033618"/>
    <w:rsid w:val="0003363D"/>
    <w:rsid w:val="00033653"/>
    <w:rsid w:val="00033723"/>
    <w:rsid w:val="0003372E"/>
    <w:rsid w:val="00033801"/>
    <w:rsid w:val="0003390B"/>
    <w:rsid w:val="000339AD"/>
    <w:rsid w:val="00033A08"/>
    <w:rsid w:val="00033A6B"/>
    <w:rsid w:val="00033ABC"/>
    <w:rsid w:val="00033AFC"/>
    <w:rsid w:val="00033B64"/>
    <w:rsid w:val="00033BC2"/>
    <w:rsid w:val="00033C14"/>
    <w:rsid w:val="00033C9A"/>
    <w:rsid w:val="00033CB1"/>
    <w:rsid w:val="00033CCE"/>
    <w:rsid w:val="00033CF7"/>
    <w:rsid w:val="00033D83"/>
    <w:rsid w:val="00033D8A"/>
    <w:rsid w:val="00033DCF"/>
    <w:rsid w:val="00033E36"/>
    <w:rsid w:val="00033E7B"/>
    <w:rsid w:val="00033E97"/>
    <w:rsid w:val="00033ECF"/>
    <w:rsid w:val="00033EE5"/>
    <w:rsid w:val="00033F88"/>
    <w:rsid w:val="00033FB2"/>
    <w:rsid w:val="00033FBF"/>
    <w:rsid w:val="00033FF4"/>
    <w:rsid w:val="00034079"/>
    <w:rsid w:val="000340A0"/>
    <w:rsid w:val="000340A3"/>
    <w:rsid w:val="000340EA"/>
    <w:rsid w:val="0003412A"/>
    <w:rsid w:val="00034162"/>
    <w:rsid w:val="000341AC"/>
    <w:rsid w:val="000341FE"/>
    <w:rsid w:val="0003423B"/>
    <w:rsid w:val="000342F4"/>
    <w:rsid w:val="000342F5"/>
    <w:rsid w:val="00034305"/>
    <w:rsid w:val="00034315"/>
    <w:rsid w:val="00034346"/>
    <w:rsid w:val="00034355"/>
    <w:rsid w:val="0003436F"/>
    <w:rsid w:val="0003439E"/>
    <w:rsid w:val="000343BC"/>
    <w:rsid w:val="000343C2"/>
    <w:rsid w:val="000343F7"/>
    <w:rsid w:val="00034404"/>
    <w:rsid w:val="00034436"/>
    <w:rsid w:val="00034443"/>
    <w:rsid w:val="00034512"/>
    <w:rsid w:val="00034534"/>
    <w:rsid w:val="00034549"/>
    <w:rsid w:val="00034561"/>
    <w:rsid w:val="0003458F"/>
    <w:rsid w:val="000345A2"/>
    <w:rsid w:val="00034625"/>
    <w:rsid w:val="000346CA"/>
    <w:rsid w:val="00034710"/>
    <w:rsid w:val="000347BF"/>
    <w:rsid w:val="000348B1"/>
    <w:rsid w:val="000348DD"/>
    <w:rsid w:val="000348E0"/>
    <w:rsid w:val="000348E2"/>
    <w:rsid w:val="000348FC"/>
    <w:rsid w:val="00034916"/>
    <w:rsid w:val="00034956"/>
    <w:rsid w:val="00034A09"/>
    <w:rsid w:val="00034A3B"/>
    <w:rsid w:val="00034A7A"/>
    <w:rsid w:val="00034A97"/>
    <w:rsid w:val="00034AE8"/>
    <w:rsid w:val="00034AF9"/>
    <w:rsid w:val="00034B6A"/>
    <w:rsid w:val="00034C17"/>
    <w:rsid w:val="00034C7F"/>
    <w:rsid w:val="00034CB5"/>
    <w:rsid w:val="00034CBE"/>
    <w:rsid w:val="00034D6C"/>
    <w:rsid w:val="00034D9A"/>
    <w:rsid w:val="00034DEE"/>
    <w:rsid w:val="00034E7E"/>
    <w:rsid w:val="00034E85"/>
    <w:rsid w:val="00034EDD"/>
    <w:rsid w:val="00034EFD"/>
    <w:rsid w:val="00034F24"/>
    <w:rsid w:val="00034FBE"/>
    <w:rsid w:val="00034FEB"/>
    <w:rsid w:val="00035088"/>
    <w:rsid w:val="0003508D"/>
    <w:rsid w:val="000350A4"/>
    <w:rsid w:val="0003514C"/>
    <w:rsid w:val="00035181"/>
    <w:rsid w:val="00035195"/>
    <w:rsid w:val="0003519E"/>
    <w:rsid w:val="000351AB"/>
    <w:rsid w:val="000351C4"/>
    <w:rsid w:val="0003522E"/>
    <w:rsid w:val="00035242"/>
    <w:rsid w:val="00035277"/>
    <w:rsid w:val="0003527D"/>
    <w:rsid w:val="00035280"/>
    <w:rsid w:val="000352D8"/>
    <w:rsid w:val="000352ED"/>
    <w:rsid w:val="0003532C"/>
    <w:rsid w:val="00035347"/>
    <w:rsid w:val="0003535D"/>
    <w:rsid w:val="0003536C"/>
    <w:rsid w:val="00035370"/>
    <w:rsid w:val="00035431"/>
    <w:rsid w:val="0003544F"/>
    <w:rsid w:val="000354C8"/>
    <w:rsid w:val="000354F0"/>
    <w:rsid w:val="000354F2"/>
    <w:rsid w:val="0003553F"/>
    <w:rsid w:val="00035549"/>
    <w:rsid w:val="00035597"/>
    <w:rsid w:val="000355AF"/>
    <w:rsid w:val="000355F3"/>
    <w:rsid w:val="000356BD"/>
    <w:rsid w:val="00035715"/>
    <w:rsid w:val="0003573D"/>
    <w:rsid w:val="00035742"/>
    <w:rsid w:val="00035770"/>
    <w:rsid w:val="000357D9"/>
    <w:rsid w:val="00035800"/>
    <w:rsid w:val="0003580A"/>
    <w:rsid w:val="0003582A"/>
    <w:rsid w:val="00035851"/>
    <w:rsid w:val="00035908"/>
    <w:rsid w:val="0003596D"/>
    <w:rsid w:val="00035B5E"/>
    <w:rsid w:val="00035BBD"/>
    <w:rsid w:val="00035BCB"/>
    <w:rsid w:val="00035C7C"/>
    <w:rsid w:val="00035C9E"/>
    <w:rsid w:val="00035CBE"/>
    <w:rsid w:val="00035D19"/>
    <w:rsid w:val="00035D6A"/>
    <w:rsid w:val="00035DA2"/>
    <w:rsid w:val="00035E2F"/>
    <w:rsid w:val="00035E8B"/>
    <w:rsid w:val="00035EA9"/>
    <w:rsid w:val="00035EC0"/>
    <w:rsid w:val="00035FB0"/>
    <w:rsid w:val="00036088"/>
    <w:rsid w:val="000360A7"/>
    <w:rsid w:val="00036160"/>
    <w:rsid w:val="000361C4"/>
    <w:rsid w:val="00036295"/>
    <w:rsid w:val="000363AC"/>
    <w:rsid w:val="000363F3"/>
    <w:rsid w:val="000363F5"/>
    <w:rsid w:val="00036408"/>
    <w:rsid w:val="0003643A"/>
    <w:rsid w:val="000364B7"/>
    <w:rsid w:val="000364C6"/>
    <w:rsid w:val="000364F5"/>
    <w:rsid w:val="000364FA"/>
    <w:rsid w:val="00036564"/>
    <w:rsid w:val="000365AF"/>
    <w:rsid w:val="000365FB"/>
    <w:rsid w:val="0003661B"/>
    <w:rsid w:val="00036644"/>
    <w:rsid w:val="000366A2"/>
    <w:rsid w:val="0003679E"/>
    <w:rsid w:val="000367C7"/>
    <w:rsid w:val="000367DC"/>
    <w:rsid w:val="00036844"/>
    <w:rsid w:val="0003688C"/>
    <w:rsid w:val="000368D7"/>
    <w:rsid w:val="00036913"/>
    <w:rsid w:val="00036948"/>
    <w:rsid w:val="000369A5"/>
    <w:rsid w:val="00036AF5"/>
    <w:rsid w:val="00036B29"/>
    <w:rsid w:val="00036B4A"/>
    <w:rsid w:val="00036C7A"/>
    <w:rsid w:val="00036CA2"/>
    <w:rsid w:val="00036D38"/>
    <w:rsid w:val="00036D6B"/>
    <w:rsid w:val="00036D9D"/>
    <w:rsid w:val="00036DB7"/>
    <w:rsid w:val="00036DC7"/>
    <w:rsid w:val="00036DCC"/>
    <w:rsid w:val="00036DEF"/>
    <w:rsid w:val="00036DFA"/>
    <w:rsid w:val="00036E32"/>
    <w:rsid w:val="00036EAC"/>
    <w:rsid w:val="00036EE4"/>
    <w:rsid w:val="00037007"/>
    <w:rsid w:val="0003700B"/>
    <w:rsid w:val="000370B7"/>
    <w:rsid w:val="000370BD"/>
    <w:rsid w:val="000370C1"/>
    <w:rsid w:val="000370EA"/>
    <w:rsid w:val="000371BF"/>
    <w:rsid w:val="000371CD"/>
    <w:rsid w:val="000371E5"/>
    <w:rsid w:val="000372EB"/>
    <w:rsid w:val="00037325"/>
    <w:rsid w:val="00037385"/>
    <w:rsid w:val="00037403"/>
    <w:rsid w:val="00037475"/>
    <w:rsid w:val="00037482"/>
    <w:rsid w:val="000374B5"/>
    <w:rsid w:val="000374B8"/>
    <w:rsid w:val="00037527"/>
    <w:rsid w:val="00037547"/>
    <w:rsid w:val="000375F1"/>
    <w:rsid w:val="00037663"/>
    <w:rsid w:val="00037713"/>
    <w:rsid w:val="00037758"/>
    <w:rsid w:val="0003778E"/>
    <w:rsid w:val="0003779C"/>
    <w:rsid w:val="000377B2"/>
    <w:rsid w:val="0003784A"/>
    <w:rsid w:val="00037876"/>
    <w:rsid w:val="000378F5"/>
    <w:rsid w:val="00037904"/>
    <w:rsid w:val="000379B3"/>
    <w:rsid w:val="000379DE"/>
    <w:rsid w:val="00037A0C"/>
    <w:rsid w:val="00037A71"/>
    <w:rsid w:val="00037AB8"/>
    <w:rsid w:val="00037AE4"/>
    <w:rsid w:val="00037AE7"/>
    <w:rsid w:val="00037B32"/>
    <w:rsid w:val="00037B81"/>
    <w:rsid w:val="00037BAB"/>
    <w:rsid w:val="00037C75"/>
    <w:rsid w:val="00037C7C"/>
    <w:rsid w:val="00037C83"/>
    <w:rsid w:val="00037E1E"/>
    <w:rsid w:val="00037E24"/>
    <w:rsid w:val="00037E2F"/>
    <w:rsid w:val="00037E45"/>
    <w:rsid w:val="00037EB6"/>
    <w:rsid w:val="00037EF4"/>
    <w:rsid w:val="00037F58"/>
    <w:rsid w:val="00037FD1"/>
    <w:rsid w:val="00037FD3"/>
    <w:rsid w:val="00040001"/>
    <w:rsid w:val="00040015"/>
    <w:rsid w:val="00040048"/>
    <w:rsid w:val="00040064"/>
    <w:rsid w:val="0004006E"/>
    <w:rsid w:val="00040073"/>
    <w:rsid w:val="00040096"/>
    <w:rsid w:val="000400B5"/>
    <w:rsid w:val="0004018E"/>
    <w:rsid w:val="000401A0"/>
    <w:rsid w:val="000401F5"/>
    <w:rsid w:val="000403CE"/>
    <w:rsid w:val="0004043E"/>
    <w:rsid w:val="00040490"/>
    <w:rsid w:val="0004051A"/>
    <w:rsid w:val="00040532"/>
    <w:rsid w:val="0004057C"/>
    <w:rsid w:val="000405F5"/>
    <w:rsid w:val="000405F6"/>
    <w:rsid w:val="0004062D"/>
    <w:rsid w:val="0004065F"/>
    <w:rsid w:val="00040675"/>
    <w:rsid w:val="000406B2"/>
    <w:rsid w:val="000406B8"/>
    <w:rsid w:val="000407A2"/>
    <w:rsid w:val="000407D8"/>
    <w:rsid w:val="00040895"/>
    <w:rsid w:val="0004089D"/>
    <w:rsid w:val="000408BB"/>
    <w:rsid w:val="000408C6"/>
    <w:rsid w:val="000408EA"/>
    <w:rsid w:val="000408F5"/>
    <w:rsid w:val="00040957"/>
    <w:rsid w:val="00040A61"/>
    <w:rsid w:val="00040AB3"/>
    <w:rsid w:val="00040AC6"/>
    <w:rsid w:val="00040BFC"/>
    <w:rsid w:val="00040C70"/>
    <w:rsid w:val="00040CE5"/>
    <w:rsid w:val="00040CEC"/>
    <w:rsid w:val="00040D11"/>
    <w:rsid w:val="00040D58"/>
    <w:rsid w:val="00040DC8"/>
    <w:rsid w:val="00040E32"/>
    <w:rsid w:val="00040E96"/>
    <w:rsid w:val="00040ECE"/>
    <w:rsid w:val="00040F13"/>
    <w:rsid w:val="00040F34"/>
    <w:rsid w:val="00040F5B"/>
    <w:rsid w:val="00040FC1"/>
    <w:rsid w:val="0004107F"/>
    <w:rsid w:val="00041083"/>
    <w:rsid w:val="000410BE"/>
    <w:rsid w:val="00041101"/>
    <w:rsid w:val="0004112C"/>
    <w:rsid w:val="0004112F"/>
    <w:rsid w:val="00041174"/>
    <w:rsid w:val="00041183"/>
    <w:rsid w:val="000411B8"/>
    <w:rsid w:val="000411E8"/>
    <w:rsid w:val="00041247"/>
    <w:rsid w:val="00041252"/>
    <w:rsid w:val="0004126F"/>
    <w:rsid w:val="00041309"/>
    <w:rsid w:val="0004130A"/>
    <w:rsid w:val="00041351"/>
    <w:rsid w:val="00041363"/>
    <w:rsid w:val="00041388"/>
    <w:rsid w:val="00041397"/>
    <w:rsid w:val="00041458"/>
    <w:rsid w:val="00041466"/>
    <w:rsid w:val="00041478"/>
    <w:rsid w:val="000414AE"/>
    <w:rsid w:val="000414B5"/>
    <w:rsid w:val="000414FD"/>
    <w:rsid w:val="00041515"/>
    <w:rsid w:val="0004152F"/>
    <w:rsid w:val="0004153B"/>
    <w:rsid w:val="0004155F"/>
    <w:rsid w:val="0004157F"/>
    <w:rsid w:val="000415F0"/>
    <w:rsid w:val="00041626"/>
    <w:rsid w:val="00041698"/>
    <w:rsid w:val="000416F3"/>
    <w:rsid w:val="00041785"/>
    <w:rsid w:val="000417A9"/>
    <w:rsid w:val="000417FB"/>
    <w:rsid w:val="00041805"/>
    <w:rsid w:val="000418DE"/>
    <w:rsid w:val="00041999"/>
    <w:rsid w:val="000419CE"/>
    <w:rsid w:val="000419D7"/>
    <w:rsid w:val="00041A18"/>
    <w:rsid w:val="00041ACC"/>
    <w:rsid w:val="00041B89"/>
    <w:rsid w:val="00041BC3"/>
    <w:rsid w:val="00041BCD"/>
    <w:rsid w:val="00041CB5"/>
    <w:rsid w:val="00041CF9"/>
    <w:rsid w:val="00041D0B"/>
    <w:rsid w:val="00041D6F"/>
    <w:rsid w:val="00041D87"/>
    <w:rsid w:val="00041DAD"/>
    <w:rsid w:val="00041DD4"/>
    <w:rsid w:val="00041E90"/>
    <w:rsid w:val="00041EA6"/>
    <w:rsid w:val="00041EC6"/>
    <w:rsid w:val="00041F71"/>
    <w:rsid w:val="0004200E"/>
    <w:rsid w:val="0004204A"/>
    <w:rsid w:val="0004205A"/>
    <w:rsid w:val="00042063"/>
    <w:rsid w:val="000420AA"/>
    <w:rsid w:val="000420B9"/>
    <w:rsid w:val="00042112"/>
    <w:rsid w:val="0004229E"/>
    <w:rsid w:val="000422B8"/>
    <w:rsid w:val="000422F6"/>
    <w:rsid w:val="00042306"/>
    <w:rsid w:val="00042339"/>
    <w:rsid w:val="000423AB"/>
    <w:rsid w:val="000423CA"/>
    <w:rsid w:val="00042426"/>
    <w:rsid w:val="00042470"/>
    <w:rsid w:val="0004257A"/>
    <w:rsid w:val="0004259E"/>
    <w:rsid w:val="00042600"/>
    <w:rsid w:val="00042642"/>
    <w:rsid w:val="000426A2"/>
    <w:rsid w:val="000426A7"/>
    <w:rsid w:val="00042733"/>
    <w:rsid w:val="0004273D"/>
    <w:rsid w:val="00042752"/>
    <w:rsid w:val="0004275E"/>
    <w:rsid w:val="000427C6"/>
    <w:rsid w:val="000427D5"/>
    <w:rsid w:val="00042809"/>
    <w:rsid w:val="00042907"/>
    <w:rsid w:val="0004290A"/>
    <w:rsid w:val="0004290E"/>
    <w:rsid w:val="0004297C"/>
    <w:rsid w:val="000429F0"/>
    <w:rsid w:val="00042A0D"/>
    <w:rsid w:val="00042A91"/>
    <w:rsid w:val="00042B4F"/>
    <w:rsid w:val="00042B60"/>
    <w:rsid w:val="00042BA8"/>
    <w:rsid w:val="00042BB0"/>
    <w:rsid w:val="00042BBC"/>
    <w:rsid w:val="00042C62"/>
    <w:rsid w:val="00042CBB"/>
    <w:rsid w:val="00042CEF"/>
    <w:rsid w:val="00042D2B"/>
    <w:rsid w:val="00042D5B"/>
    <w:rsid w:val="00042D96"/>
    <w:rsid w:val="00042DAB"/>
    <w:rsid w:val="00042DB5"/>
    <w:rsid w:val="00042DB6"/>
    <w:rsid w:val="00042DD5"/>
    <w:rsid w:val="00042E0F"/>
    <w:rsid w:val="00042E1E"/>
    <w:rsid w:val="00042E37"/>
    <w:rsid w:val="00042E94"/>
    <w:rsid w:val="00042F31"/>
    <w:rsid w:val="00042F36"/>
    <w:rsid w:val="00042F55"/>
    <w:rsid w:val="00042F5B"/>
    <w:rsid w:val="00042F97"/>
    <w:rsid w:val="00042FA8"/>
    <w:rsid w:val="00042FC8"/>
    <w:rsid w:val="0004300B"/>
    <w:rsid w:val="00043042"/>
    <w:rsid w:val="0004304E"/>
    <w:rsid w:val="000430D4"/>
    <w:rsid w:val="00043118"/>
    <w:rsid w:val="0004312B"/>
    <w:rsid w:val="000431F2"/>
    <w:rsid w:val="0004321B"/>
    <w:rsid w:val="00043397"/>
    <w:rsid w:val="000433AF"/>
    <w:rsid w:val="0004349C"/>
    <w:rsid w:val="00043528"/>
    <w:rsid w:val="0004353C"/>
    <w:rsid w:val="000435A2"/>
    <w:rsid w:val="000435D8"/>
    <w:rsid w:val="000435E2"/>
    <w:rsid w:val="00043665"/>
    <w:rsid w:val="000436CE"/>
    <w:rsid w:val="000436CF"/>
    <w:rsid w:val="0004372C"/>
    <w:rsid w:val="00043793"/>
    <w:rsid w:val="000437BC"/>
    <w:rsid w:val="000437C6"/>
    <w:rsid w:val="000437CC"/>
    <w:rsid w:val="000437CE"/>
    <w:rsid w:val="00043847"/>
    <w:rsid w:val="00043848"/>
    <w:rsid w:val="0004386A"/>
    <w:rsid w:val="00043897"/>
    <w:rsid w:val="000438EB"/>
    <w:rsid w:val="00043995"/>
    <w:rsid w:val="000439D5"/>
    <w:rsid w:val="000439DB"/>
    <w:rsid w:val="00043A0A"/>
    <w:rsid w:val="00043B21"/>
    <w:rsid w:val="00043B32"/>
    <w:rsid w:val="00043B3E"/>
    <w:rsid w:val="00043B81"/>
    <w:rsid w:val="00043B96"/>
    <w:rsid w:val="00043BDC"/>
    <w:rsid w:val="00043C27"/>
    <w:rsid w:val="00043C91"/>
    <w:rsid w:val="00043CA9"/>
    <w:rsid w:val="00043CB8"/>
    <w:rsid w:val="00043CCF"/>
    <w:rsid w:val="00043D1D"/>
    <w:rsid w:val="00043DFE"/>
    <w:rsid w:val="00043FA9"/>
    <w:rsid w:val="0004400C"/>
    <w:rsid w:val="00044022"/>
    <w:rsid w:val="0004402F"/>
    <w:rsid w:val="0004407E"/>
    <w:rsid w:val="000440EF"/>
    <w:rsid w:val="0004412D"/>
    <w:rsid w:val="00044135"/>
    <w:rsid w:val="000441AD"/>
    <w:rsid w:val="000441DC"/>
    <w:rsid w:val="00044275"/>
    <w:rsid w:val="00044282"/>
    <w:rsid w:val="000442B9"/>
    <w:rsid w:val="000442D7"/>
    <w:rsid w:val="0004432B"/>
    <w:rsid w:val="00044350"/>
    <w:rsid w:val="00044364"/>
    <w:rsid w:val="00044391"/>
    <w:rsid w:val="000443F7"/>
    <w:rsid w:val="000443FB"/>
    <w:rsid w:val="000444A0"/>
    <w:rsid w:val="000444BE"/>
    <w:rsid w:val="0004456E"/>
    <w:rsid w:val="000445C5"/>
    <w:rsid w:val="000445C8"/>
    <w:rsid w:val="0004466B"/>
    <w:rsid w:val="0004466C"/>
    <w:rsid w:val="0004469B"/>
    <w:rsid w:val="0004472F"/>
    <w:rsid w:val="0004474C"/>
    <w:rsid w:val="00044760"/>
    <w:rsid w:val="00044897"/>
    <w:rsid w:val="000448B1"/>
    <w:rsid w:val="000448C1"/>
    <w:rsid w:val="0004492F"/>
    <w:rsid w:val="00044947"/>
    <w:rsid w:val="00044AFC"/>
    <w:rsid w:val="00044B31"/>
    <w:rsid w:val="00044B60"/>
    <w:rsid w:val="00044B81"/>
    <w:rsid w:val="00044B98"/>
    <w:rsid w:val="00044C1A"/>
    <w:rsid w:val="00044CF2"/>
    <w:rsid w:val="00044D1E"/>
    <w:rsid w:val="00044DBF"/>
    <w:rsid w:val="00044E53"/>
    <w:rsid w:val="00044F0C"/>
    <w:rsid w:val="00044F12"/>
    <w:rsid w:val="00044F5E"/>
    <w:rsid w:val="00044F62"/>
    <w:rsid w:val="00044F82"/>
    <w:rsid w:val="00045069"/>
    <w:rsid w:val="0004507D"/>
    <w:rsid w:val="00045135"/>
    <w:rsid w:val="00045189"/>
    <w:rsid w:val="0004519B"/>
    <w:rsid w:val="000451EA"/>
    <w:rsid w:val="00045287"/>
    <w:rsid w:val="0004529B"/>
    <w:rsid w:val="00045316"/>
    <w:rsid w:val="00045391"/>
    <w:rsid w:val="0004539D"/>
    <w:rsid w:val="000453A5"/>
    <w:rsid w:val="00045405"/>
    <w:rsid w:val="00045415"/>
    <w:rsid w:val="00045439"/>
    <w:rsid w:val="0004549A"/>
    <w:rsid w:val="000454C7"/>
    <w:rsid w:val="000454F9"/>
    <w:rsid w:val="00045502"/>
    <w:rsid w:val="0004550C"/>
    <w:rsid w:val="00045545"/>
    <w:rsid w:val="00045572"/>
    <w:rsid w:val="00045575"/>
    <w:rsid w:val="000455AE"/>
    <w:rsid w:val="000455EE"/>
    <w:rsid w:val="00045837"/>
    <w:rsid w:val="0004587C"/>
    <w:rsid w:val="000458E5"/>
    <w:rsid w:val="000459D0"/>
    <w:rsid w:val="000459D4"/>
    <w:rsid w:val="000459ED"/>
    <w:rsid w:val="00045A4A"/>
    <w:rsid w:val="00045B6E"/>
    <w:rsid w:val="00045B85"/>
    <w:rsid w:val="00045B9A"/>
    <w:rsid w:val="00045BB7"/>
    <w:rsid w:val="00045BEC"/>
    <w:rsid w:val="00045C27"/>
    <w:rsid w:val="00045C49"/>
    <w:rsid w:val="00045C8E"/>
    <w:rsid w:val="00045C9F"/>
    <w:rsid w:val="00045CA3"/>
    <w:rsid w:val="00045CC6"/>
    <w:rsid w:val="00045D78"/>
    <w:rsid w:val="00045DD5"/>
    <w:rsid w:val="00045DF3"/>
    <w:rsid w:val="00045E3C"/>
    <w:rsid w:val="00045E51"/>
    <w:rsid w:val="00045ECF"/>
    <w:rsid w:val="00045EEA"/>
    <w:rsid w:val="00045EFB"/>
    <w:rsid w:val="00045F64"/>
    <w:rsid w:val="00045F71"/>
    <w:rsid w:val="00045F96"/>
    <w:rsid w:val="00046034"/>
    <w:rsid w:val="000460EA"/>
    <w:rsid w:val="0004613A"/>
    <w:rsid w:val="0004614E"/>
    <w:rsid w:val="00046190"/>
    <w:rsid w:val="00046203"/>
    <w:rsid w:val="00046204"/>
    <w:rsid w:val="00046216"/>
    <w:rsid w:val="0004623F"/>
    <w:rsid w:val="00046247"/>
    <w:rsid w:val="00046322"/>
    <w:rsid w:val="00046370"/>
    <w:rsid w:val="000463BB"/>
    <w:rsid w:val="000463E1"/>
    <w:rsid w:val="0004644C"/>
    <w:rsid w:val="00046483"/>
    <w:rsid w:val="00046490"/>
    <w:rsid w:val="000464A7"/>
    <w:rsid w:val="000464E2"/>
    <w:rsid w:val="00046540"/>
    <w:rsid w:val="00046563"/>
    <w:rsid w:val="000465C2"/>
    <w:rsid w:val="000465D7"/>
    <w:rsid w:val="000465FC"/>
    <w:rsid w:val="000466A4"/>
    <w:rsid w:val="00046702"/>
    <w:rsid w:val="000467D0"/>
    <w:rsid w:val="0004684F"/>
    <w:rsid w:val="00046883"/>
    <w:rsid w:val="00046894"/>
    <w:rsid w:val="00046900"/>
    <w:rsid w:val="0004694F"/>
    <w:rsid w:val="000469F6"/>
    <w:rsid w:val="00046ACC"/>
    <w:rsid w:val="00046AFC"/>
    <w:rsid w:val="00046BB1"/>
    <w:rsid w:val="00046BBC"/>
    <w:rsid w:val="00046BCF"/>
    <w:rsid w:val="00046BE7"/>
    <w:rsid w:val="00046C4E"/>
    <w:rsid w:val="00046C55"/>
    <w:rsid w:val="00046C83"/>
    <w:rsid w:val="00046CB1"/>
    <w:rsid w:val="00046CD8"/>
    <w:rsid w:val="00046D0E"/>
    <w:rsid w:val="00046D38"/>
    <w:rsid w:val="00046D39"/>
    <w:rsid w:val="00046D46"/>
    <w:rsid w:val="00046D4C"/>
    <w:rsid w:val="00046DAD"/>
    <w:rsid w:val="00046DEF"/>
    <w:rsid w:val="00046DFD"/>
    <w:rsid w:val="00046E63"/>
    <w:rsid w:val="00046EE5"/>
    <w:rsid w:val="00046EEC"/>
    <w:rsid w:val="00046FBA"/>
    <w:rsid w:val="00046FBF"/>
    <w:rsid w:val="00047000"/>
    <w:rsid w:val="00047025"/>
    <w:rsid w:val="0004708F"/>
    <w:rsid w:val="000470B3"/>
    <w:rsid w:val="000470D8"/>
    <w:rsid w:val="00047109"/>
    <w:rsid w:val="0004713F"/>
    <w:rsid w:val="00047175"/>
    <w:rsid w:val="0004718C"/>
    <w:rsid w:val="000471C2"/>
    <w:rsid w:val="000471D0"/>
    <w:rsid w:val="000471E0"/>
    <w:rsid w:val="0004721E"/>
    <w:rsid w:val="0004726D"/>
    <w:rsid w:val="000472C7"/>
    <w:rsid w:val="000472D3"/>
    <w:rsid w:val="000473DA"/>
    <w:rsid w:val="0004741E"/>
    <w:rsid w:val="00047426"/>
    <w:rsid w:val="00047443"/>
    <w:rsid w:val="00047455"/>
    <w:rsid w:val="0004748A"/>
    <w:rsid w:val="0004748D"/>
    <w:rsid w:val="00047498"/>
    <w:rsid w:val="000474F5"/>
    <w:rsid w:val="0004753A"/>
    <w:rsid w:val="00047547"/>
    <w:rsid w:val="00047551"/>
    <w:rsid w:val="0004755F"/>
    <w:rsid w:val="00047593"/>
    <w:rsid w:val="00047597"/>
    <w:rsid w:val="00047608"/>
    <w:rsid w:val="00047629"/>
    <w:rsid w:val="00047647"/>
    <w:rsid w:val="00047657"/>
    <w:rsid w:val="000476FF"/>
    <w:rsid w:val="00047755"/>
    <w:rsid w:val="00047817"/>
    <w:rsid w:val="00047A0D"/>
    <w:rsid w:val="00047A2A"/>
    <w:rsid w:val="00047A55"/>
    <w:rsid w:val="00047A6C"/>
    <w:rsid w:val="00047A9F"/>
    <w:rsid w:val="00047B0E"/>
    <w:rsid w:val="00047B68"/>
    <w:rsid w:val="00047B6A"/>
    <w:rsid w:val="00047CCC"/>
    <w:rsid w:val="00047CE4"/>
    <w:rsid w:val="00047DCC"/>
    <w:rsid w:val="00047DDF"/>
    <w:rsid w:val="00047DFA"/>
    <w:rsid w:val="00047EB5"/>
    <w:rsid w:val="00047ECA"/>
    <w:rsid w:val="00047ED4"/>
    <w:rsid w:val="00047F38"/>
    <w:rsid w:val="00047F80"/>
    <w:rsid w:val="00047FD3"/>
    <w:rsid w:val="00047FED"/>
    <w:rsid w:val="0005013C"/>
    <w:rsid w:val="0005019C"/>
    <w:rsid w:val="000501E2"/>
    <w:rsid w:val="00050218"/>
    <w:rsid w:val="00050389"/>
    <w:rsid w:val="000504C3"/>
    <w:rsid w:val="000504CD"/>
    <w:rsid w:val="000504E3"/>
    <w:rsid w:val="00050503"/>
    <w:rsid w:val="00050550"/>
    <w:rsid w:val="00050617"/>
    <w:rsid w:val="0005061E"/>
    <w:rsid w:val="0005067D"/>
    <w:rsid w:val="00050715"/>
    <w:rsid w:val="0005071E"/>
    <w:rsid w:val="0005072C"/>
    <w:rsid w:val="0005075A"/>
    <w:rsid w:val="00050785"/>
    <w:rsid w:val="000507FF"/>
    <w:rsid w:val="0005083B"/>
    <w:rsid w:val="0005085F"/>
    <w:rsid w:val="0005087E"/>
    <w:rsid w:val="000508CA"/>
    <w:rsid w:val="000508EF"/>
    <w:rsid w:val="00050910"/>
    <w:rsid w:val="00050931"/>
    <w:rsid w:val="00050972"/>
    <w:rsid w:val="000509E9"/>
    <w:rsid w:val="00050A05"/>
    <w:rsid w:val="00050B15"/>
    <w:rsid w:val="00050B89"/>
    <w:rsid w:val="00050C08"/>
    <w:rsid w:val="00050D3C"/>
    <w:rsid w:val="00050DF5"/>
    <w:rsid w:val="00050E61"/>
    <w:rsid w:val="00050FCB"/>
    <w:rsid w:val="0005103F"/>
    <w:rsid w:val="000510E8"/>
    <w:rsid w:val="0005120B"/>
    <w:rsid w:val="00051216"/>
    <w:rsid w:val="0005126E"/>
    <w:rsid w:val="000512B7"/>
    <w:rsid w:val="000512E5"/>
    <w:rsid w:val="00051339"/>
    <w:rsid w:val="00051414"/>
    <w:rsid w:val="0005141D"/>
    <w:rsid w:val="00051447"/>
    <w:rsid w:val="000514EF"/>
    <w:rsid w:val="0005155D"/>
    <w:rsid w:val="000515D0"/>
    <w:rsid w:val="000515EB"/>
    <w:rsid w:val="000515EC"/>
    <w:rsid w:val="0005161C"/>
    <w:rsid w:val="00051628"/>
    <w:rsid w:val="00051639"/>
    <w:rsid w:val="0005166E"/>
    <w:rsid w:val="00051680"/>
    <w:rsid w:val="000516DC"/>
    <w:rsid w:val="0005177A"/>
    <w:rsid w:val="000517DB"/>
    <w:rsid w:val="000517F9"/>
    <w:rsid w:val="00051832"/>
    <w:rsid w:val="00051893"/>
    <w:rsid w:val="000518BD"/>
    <w:rsid w:val="000518CC"/>
    <w:rsid w:val="000519C8"/>
    <w:rsid w:val="00051A0F"/>
    <w:rsid w:val="00051A3E"/>
    <w:rsid w:val="00051A81"/>
    <w:rsid w:val="00051AC7"/>
    <w:rsid w:val="00051AF6"/>
    <w:rsid w:val="00051B03"/>
    <w:rsid w:val="00051BA1"/>
    <w:rsid w:val="00051C04"/>
    <w:rsid w:val="00051C1E"/>
    <w:rsid w:val="00051C82"/>
    <w:rsid w:val="00051C86"/>
    <w:rsid w:val="00051CB8"/>
    <w:rsid w:val="00051CCD"/>
    <w:rsid w:val="00051D0B"/>
    <w:rsid w:val="00051D51"/>
    <w:rsid w:val="00051D67"/>
    <w:rsid w:val="00051D74"/>
    <w:rsid w:val="00051D90"/>
    <w:rsid w:val="00051DAF"/>
    <w:rsid w:val="00051E5E"/>
    <w:rsid w:val="00051E82"/>
    <w:rsid w:val="00051E9C"/>
    <w:rsid w:val="00051EEA"/>
    <w:rsid w:val="00051F86"/>
    <w:rsid w:val="00051F96"/>
    <w:rsid w:val="00051FBA"/>
    <w:rsid w:val="00051FCE"/>
    <w:rsid w:val="0005204C"/>
    <w:rsid w:val="000520AE"/>
    <w:rsid w:val="000520F8"/>
    <w:rsid w:val="0005217E"/>
    <w:rsid w:val="00052199"/>
    <w:rsid w:val="000521BA"/>
    <w:rsid w:val="00052232"/>
    <w:rsid w:val="0005225D"/>
    <w:rsid w:val="000522C9"/>
    <w:rsid w:val="00052322"/>
    <w:rsid w:val="00052347"/>
    <w:rsid w:val="000523A0"/>
    <w:rsid w:val="000523B2"/>
    <w:rsid w:val="000523CA"/>
    <w:rsid w:val="00052417"/>
    <w:rsid w:val="00052433"/>
    <w:rsid w:val="00052437"/>
    <w:rsid w:val="000524B0"/>
    <w:rsid w:val="0005254B"/>
    <w:rsid w:val="000525B6"/>
    <w:rsid w:val="00052626"/>
    <w:rsid w:val="00052634"/>
    <w:rsid w:val="0005266F"/>
    <w:rsid w:val="000526DF"/>
    <w:rsid w:val="000526F2"/>
    <w:rsid w:val="00052700"/>
    <w:rsid w:val="0005271C"/>
    <w:rsid w:val="0005275D"/>
    <w:rsid w:val="0005277A"/>
    <w:rsid w:val="0005279E"/>
    <w:rsid w:val="00052839"/>
    <w:rsid w:val="0005283F"/>
    <w:rsid w:val="00052868"/>
    <w:rsid w:val="00052889"/>
    <w:rsid w:val="000528D7"/>
    <w:rsid w:val="00052905"/>
    <w:rsid w:val="00052918"/>
    <w:rsid w:val="00052930"/>
    <w:rsid w:val="00052947"/>
    <w:rsid w:val="0005299F"/>
    <w:rsid w:val="00052A3E"/>
    <w:rsid w:val="00052A7D"/>
    <w:rsid w:val="00052B55"/>
    <w:rsid w:val="00052C8A"/>
    <w:rsid w:val="00052CBB"/>
    <w:rsid w:val="00052CCB"/>
    <w:rsid w:val="00052CDF"/>
    <w:rsid w:val="00052CEE"/>
    <w:rsid w:val="00052CF6"/>
    <w:rsid w:val="00052E04"/>
    <w:rsid w:val="00052E5A"/>
    <w:rsid w:val="00052E91"/>
    <w:rsid w:val="00052E9C"/>
    <w:rsid w:val="00052F2C"/>
    <w:rsid w:val="00052F39"/>
    <w:rsid w:val="00052FAC"/>
    <w:rsid w:val="00052FCD"/>
    <w:rsid w:val="00052FDC"/>
    <w:rsid w:val="00052FEC"/>
    <w:rsid w:val="00053082"/>
    <w:rsid w:val="000530B5"/>
    <w:rsid w:val="000530F2"/>
    <w:rsid w:val="0005315B"/>
    <w:rsid w:val="0005325B"/>
    <w:rsid w:val="00053266"/>
    <w:rsid w:val="000532BF"/>
    <w:rsid w:val="000534D1"/>
    <w:rsid w:val="000534DD"/>
    <w:rsid w:val="000534E6"/>
    <w:rsid w:val="000535B3"/>
    <w:rsid w:val="000535C9"/>
    <w:rsid w:val="0005360A"/>
    <w:rsid w:val="00053622"/>
    <w:rsid w:val="00053684"/>
    <w:rsid w:val="0005374E"/>
    <w:rsid w:val="00053764"/>
    <w:rsid w:val="0005376D"/>
    <w:rsid w:val="00053794"/>
    <w:rsid w:val="000537B1"/>
    <w:rsid w:val="0005380A"/>
    <w:rsid w:val="0005381C"/>
    <w:rsid w:val="00053833"/>
    <w:rsid w:val="0005383E"/>
    <w:rsid w:val="000538C8"/>
    <w:rsid w:val="00053940"/>
    <w:rsid w:val="0005395C"/>
    <w:rsid w:val="00053969"/>
    <w:rsid w:val="00053A3E"/>
    <w:rsid w:val="00053A60"/>
    <w:rsid w:val="00053A66"/>
    <w:rsid w:val="00053A81"/>
    <w:rsid w:val="00053AB7"/>
    <w:rsid w:val="00053B86"/>
    <w:rsid w:val="00053B87"/>
    <w:rsid w:val="00053B91"/>
    <w:rsid w:val="00053B99"/>
    <w:rsid w:val="00053BBE"/>
    <w:rsid w:val="00053BE6"/>
    <w:rsid w:val="00053BF7"/>
    <w:rsid w:val="00053C0D"/>
    <w:rsid w:val="00053C42"/>
    <w:rsid w:val="00053CB6"/>
    <w:rsid w:val="00053D0F"/>
    <w:rsid w:val="00053D13"/>
    <w:rsid w:val="00053D39"/>
    <w:rsid w:val="00053D3D"/>
    <w:rsid w:val="00053D98"/>
    <w:rsid w:val="00053EE4"/>
    <w:rsid w:val="00053F27"/>
    <w:rsid w:val="00053F32"/>
    <w:rsid w:val="00053F5F"/>
    <w:rsid w:val="00053F73"/>
    <w:rsid w:val="00053FB8"/>
    <w:rsid w:val="00053FFD"/>
    <w:rsid w:val="00054039"/>
    <w:rsid w:val="0005405E"/>
    <w:rsid w:val="00054114"/>
    <w:rsid w:val="0005415C"/>
    <w:rsid w:val="00054324"/>
    <w:rsid w:val="0005433A"/>
    <w:rsid w:val="0005439F"/>
    <w:rsid w:val="000543A8"/>
    <w:rsid w:val="000543BD"/>
    <w:rsid w:val="000543CF"/>
    <w:rsid w:val="00054491"/>
    <w:rsid w:val="00054525"/>
    <w:rsid w:val="00054575"/>
    <w:rsid w:val="000545EF"/>
    <w:rsid w:val="00054611"/>
    <w:rsid w:val="0005462D"/>
    <w:rsid w:val="00054686"/>
    <w:rsid w:val="0005469C"/>
    <w:rsid w:val="00054716"/>
    <w:rsid w:val="0005472F"/>
    <w:rsid w:val="00054741"/>
    <w:rsid w:val="00054788"/>
    <w:rsid w:val="0005487C"/>
    <w:rsid w:val="000548A7"/>
    <w:rsid w:val="00054924"/>
    <w:rsid w:val="00054AEF"/>
    <w:rsid w:val="00054B00"/>
    <w:rsid w:val="00054B3A"/>
    <w:rsid w:val="00054B56"/>
    <w:rsid w:val="00054BAD"/>
    <w:rsid w:val="00054BCF"/>
    <w:rsid w:val="00054BD6"/>
    <w:rsid w:val="00054C23"/>
    <w:rsid w:val="00054C4D"/>
    <w:rsid w:val="00054C61"/>
    <w:rsid w:val="00054CE0"/>
    <w:rsid w:val="00054DE5"/>
    <w:rsid w:val="00054DF7"/>
    <w:rsid w:val="00054E0B"/>
    <w:rsid w:val="00054E91"/>
    <w:rsid w:val="00054ED4"/>
    <w:rsid w:val="00054EF8"/>
    <w:rsid w:val="00054F64"/>
    <w:rsid w:val="00054F6E"/>
    <w:rsid w:val="00054F75"/>
    <w:rsid w:val="00054F77"/>
    <w:rsid w:val="00054FA8"/>
    <w:rsid w:val="00054FD4"/>
    <w:rsid w:val="0005500C"/>
    <w:rsid w:val="00055012"/>
    <w:rsid w:val="0005502D"/>
    <w:rsid w:val="0005504A"/>
    <w:rsid w:val="0005505C"/>
    <w:rsid w:val="0005507F"/>
    <w:rsid w:val="000550D0"/>
    <w:rsid w:val="00055151"/>
    <w:rsid w:val="0005516D"/>
    <w:rsid w:val="000551AC"/>
    <w:rsid w:val="000551CC"/>
    <w:rsid w:val="00055225"/>
    <w:rsid w:val="00055275"/>
    <w:rsid w:val="000552BA"/>
    <w:rsid w:val="0005530B"/>
    <w:rsid w:val="00055493"/>
    <w:rsid w:val="00055517"/>
    <w:rsid w:val="00055577"/>
    <w:rsid w:val="000555A7"/>
    <w:rsid w:val="0005560A"/>
    <w:rsid w:val="00055625"/>
    <w:rsid w:val="0005564E"/>
    <w:rsid w:val="0005565E"/>
    <w:rsid w:val="000556B7"/>
    <w:rsid w:val="000556FC"/>
    <w:rsid w:val="0005579F"/>
    <w:rsid w:val="00055907"/>
    <w:rsid w:val="0005590D"/>
    <w:rsid w:val="0005591E"/>
    <w:rsid w:val="00055966"/>
    <w:rsid w:val="0005599C"/>
    <w:rsid w:val="000559AE"/>
    <w:rsid w:val="00055A0B"/>
    <w:rsid w:val="00055A59"/>
    <w:rsid w:val="00055A5F"/>
    <w:rsid w:val="00055B3B"/>
    <w:rsid w:val="00055BCB"/>
    <w:rsid w:val="00055BD3"/>
    <w:rsid w:val="00055BF1"/>
    <w:rsid w:val="00055C29"/>
    <w:rsid w:val="00055C35"/>
    <w:rsid w:val="00055CA1"/>
    <w:rsid w:val="00055CA5"/>
    <w:rsid w:val="00055CB7"/>
    <w:rsid w:val="00055CD9"/>
    <w:rsid w:val="00055CEE"/>
    <w:rsid w:val="00055CF3"/>
    <w:rsid w:val="00055D07"/>
    <w:rsid w:val="00055D84"/>
    <w:rsid w:val="00055D8F"/>
    <w:rsid w:val="00055DA9"/>
    <w:rsid w:val="00055DD9"/>
    <w:rsid w:val="00055E28"/>
    <w:rsid w:val="00055E5D"/>
    <w:rsid w:val="00055E68"/>
    <w:rsid w:val="00055E6B"/>
    <w:rsid w:val="00055E7C"/>
    <w:rsid w:val="00055E9F"/>
    <w:rsid w:val="00055EBF"/>
    <w:rsid w:val="00055F4D"/>
    <w:rsid w:val="00055F78"/>
    <w:rsid w:val="00055F98"/>
    <w:rsid w:val="00055F99"/>
    <w:rsid w:val="00055FF3"/>
    <w:rsid w:val="00056002"/>
    <w:rsid w:val="00056022"/>
    <w:rsid w:val="00056045"/>
    <w:rsid w:val="000560A4"/>
    <w:rsid w:val="000560F7"/>
    <w:rsid w:val="00056136"/>
    <w:rsid w:val="000561F0"/>
    <w:rsid w:val="00056204"/>
    <w:rsid w:val="00056229"/>
    <w:rsid w:val="0005625E"/>
    <w:rsid w:val="00056335"/>
    <w:rsid w:val="0005637E"/>
    <w:rsid w:val="0005638D"/>
    <w:rsid w:val="000563F9"/>
    <w:rsid w:val="00056412"/>
    <w:rsid w:val="0005642B"/>
    <w:rsid w:val="000564C9"/>
    <w:rsid w:val="0005653E"/>
    <w:rsid w:val="00056604"/>
    <w:rsid w:val="0005666C"/>
    <w:rsid w:val="0005670E"/>
    <w:rsid w:val="000567EA"/>
    <w:rsid w:val="000567F7"/>
    <w:rsid w:val="00056805"/>
    <w:rsid w:val="00056823"/>
    <w:rsid w:val="00056860"/>
    <w:rsid w:val="0005688C"/>
    <w:rsid w:val="000568AA"/>
    <w:rsid w:val="000568C3"/>
    <w:rsid w:val="000568CE"/>
    <w:rsid w:val="000568E0"/>
    <w:rsid w:val="00056902"/>
    <w:rsid w:val="00056935"/>
    <w:rsid w:val="00056994"/>
    <w:rsid w:val="00056A42"/>
    <w:rsid w:val="00056A64"/>
    <w:rsid w:val="00056B1C"/>
    <w:rsid w:val="00056B5E"/>
    <w:rsid w:val="00056BFE"/>
    <w:rsid w:val="00056C07"/>
    <w:rsid w:val="00056C0A"/>
    <w:rsid w:val="00056C1F"/>
    <w:rsid w:val="00056C27"/>
    <w:rsid w:val="00056C28"/>
    <w:rsid w:val="00056C7E"/>
    <w:rsid w:val="00056C95"/>
    <w:rsid w:val="00056CA2"/>
    <w:rsid w:val="00056D01"/>
    <w:rsid w:val="00056D2F"/>
    <w:rsid w:val="00056D4B"/>
    <w:rsid w:val="00056D8B"/>
    <w:rsid w:val="00056D91"/>
    <w:rsid w:val="00056DFC"/>
    <w:rsid w:val="00056E61"/>
    <w:rsid w:val="00056EAF"/>
    <w:rsid w:val="00056F39"/>
    <w:rsid w:val="00056F8E"/>
    <w:rsid w:val="00056FBA"/>
    <w:rsid w:val="00057055"/>
    <w:rsid w:val="00057076"/>
    <w:rsid w:val="000570A0"/>
    <w:rsid w:val="000570AF"/>
    <w:rsid w:val="000570DC"/>
    <w:rsid w:val="000570F4"/>
    <w:rsid w:val="0005713C"/>
    <w:rsid w:val="0005724F"/>
    <w:rsid w:val="00057265"/>
    <w:rsid w:val="0005729A"/>
    <w:rsid w:val="000572E5"/>
    <w:rsid w:val="00057357"/>
    <w:rsid w:val="0005736D"/>
    <w:rsid w:val="0005738A"/>
    <w:rsid w:val="000573D4"/>
    <w:rsid w:val="000574A6"/>
    <w:rsid w:val="000574DB"/>
    <w:rsid w:val="000574E0"/>
    <w:rsid w:val="0005750D"/>
    <w:rsid w:val="00057523"/>
    <w:rsid w:val="0005759B"/>
    <w:rsid w:val="000575A7"/>
    <w:rsid w:val="000575D5"/>
    <w:rsid w:val="000575DD"/>
    <w:rsid w:val="000575FC"/>
    <w:rsid w:val="00057605"/>
    <w:rsid w:val="00057629"/>
    <w:rsid w:val="0005766E"/>
    <w:rsid w:val="0005767C"/>
    <w:rsid w:val="000576A3"/>
    <w:rsid w:val="000576A7"/>
    <w:rsid w:val="000576BB"/>
    <w:rsid w:val="000576C2"/>
    <w:rsid w:val="000576E9"/>
    <w:rsid w:val="00057702"/>
    <w:rsid w:val="0005779F"/>
    <w:rsid w:val="000577B5"/>
    <w:rsid w:val="00057825"/>
    <w:rsid w:val="00057847"/>
    <w:rsid w:val="00057863"/>
    <w:rsid w:val="000578D0"/>
    <w:rsid w:val="000578E6"/>
    <w:rsid w:val="00057934"/>
    <w:rsid w:val="00057967"/>
    <w:rsid w:val="000579C4"/>
    <w:rsid w:val="000579E5"/>
    <w:rsid w:val="000579FC"/>
    <w:rsid w:val="00057A76"/>
    <w:rsid w:val="00057ABF"/>
    <w:rsid w:val="00057AE6"/>
    <w:rsid w:val="00057B3F"/>
    <w:rsid w:val="00057B4F"/>
    <w:rsid w:val="00057B69"/>
    <w:rsid w:val="00057BA9"/>
    <w:rsid w:val="00057BAC"/>
    <w:rsid w:val="00057BBA"/>
    <w:rsid w:val="00057BC4"/>
    <w:rsid w:val="00057C0E"/>
    <w:rsid w:val="00057CB5"/>
    <w:rsid w:val="00057CC3"/>
    <w:rsid w:val="00057CE0"/>
    <w:rsid w:val="00057CE4"/>
    <w:rsid w:val="00057D29"/>
    <w:rsid w:val="00057D7D"/>
    <w:rsid w:val="00057E4A"/>
    <w:rsid w:val="00057E4C"/>
    <w:rsid w:val="00057EFF"/>
    <w:rsid w:val="00057F69"/>
    <w:rsid w:val="00057FA3"/>
    <w:rsid w:val="00057FC8"/>
    <w:rsid w:val="00057FEF"/>
    <w:rsid w:val="000600C4"/>
    <w:rsid w:val="00060133"/>
    <w:rsid w:val="00060140"/>
    <w:rsid w:val="0006015D"/>
    <w:rsid w:val="00060195"/>
    <w:rsid w:val="000601A2"/>
    <w:rsid w:val="0006021D"/>
    <w:rsid w:val="0006021F"/>
    <w:rsid w:val="0006026F"/>
    <w:rsid w:val="0006028A"/>
    <w:rsid w:val="00060293"/>
    <w:rsid w:val="00060296"/>
    <w:rsid w:val="000602AD"/>
    <w:rsid w:val="000602DC"/>
    <w:rsid w:val="00060325"/>
    <w:rsid w:val="00060338"/>
    <w:rsid w:val="0006038F"/>
    <w:rsid w:val="000603DD"/>
    <w:rsid w:val="000603E8"/>
    <w:rsid w:val="000603EE"/>
    <w:rsid w:val="00060419"/>
    <w:rsid w:val="0006043F"/>
    <w:rsid w:val="00060471"/>
    <w:rsid w:val="000604A4"/>
    <w:rsid w:val="0006050C"/>
    <w:rsid w:val="00060536"/>
    <w:rsid w:val="00060544"/>
    <w:rsid w:val="00060581"/>
    <w:rsid w:val="00060592"/>
    <w:rsid w:val="0006059A"/>
    <w:rsid w:val="000605A2"/>
    <w:rsid w:val="000605DE"/>
    <w:rsid w:val="000605F6"/>
    <w:rsid w:val="000605FF"/>
    <w:rsid w:val="000606BA"/>
    <w:rsid w:val="0006070B"/>
    <w:rsid w:val="00060762"/>
    <w:rsid w:val="00060784"/>
    <w:rsid w:val="000607CE"/>
    <w:rsid w:val="000607DE"/>
    <w:rsid w:val="0006080B"/>
    <w:rsid w:val="00060870"/>
    <w:rsid w:val="00060964"/>
    <w:rsid w:val="00060A6B"/>
    <w:rsid w:val="00060AA2"/>
    <w:rsid w:val="00060AB2"/>
    <w:rsid w:val="00060B17"/>
    <w:rsid w:val="00060B4D"/>
    <w:rsid w:val="00060B6B"/>
    <w:rsid w:val="00060B6C"/>
    <w:rsid w:val="00060B8F"/>
    <w:rsid w:val="00060C43"/>
    <w:rsid w:val="00060C47"/>
    <w:rsid w:val="00060C59"/>
    <w:rsid w:val="00060CBF"/>
    <w:rsid w:val="00060CF4"/>
    <w:rsid w:val="00060D79"/>
    <w:rsid w:val="00060E55"/>
    <w:rsid w:val="00060F3A"/>
    <w:rsid w:val="00060F6A"/>
    <w:rsid w:val="00060F89"/>
    <w:rsid w:val="00060FDC"/>
    <w:rsid w:val="000610EB"/>
    <w:rsid w:val="0006111C"/>
    <w:rsid w:val="000611B6"/>
    <w:rsid w:val="000611EB"/>
    <w:rsid w:val="0006128D"/>
    <w:rsid w:val="000612AF"/>
    <w:rsid w:val="00061304"/>
    <w:rsid w:val="00061308"/>
    <w:rsid w:val="00061459"/>
    <w:rsid w:val="000614BA"/>
    <w:rsid w:val="000615B2"/>
    <w:rsid w:val="00061675"/>
    <w:rsid w:val="00061698"/>
    <w:rsid w:val="00061719"/>
    <w:rsid w:val="00061764"/>
    <w:rsid w:val="00061775"/>
    <w:rsid w:val="00061780"/>
    <w:rsid w:val="0006183F"/>
    <w:rsid w:val="0006188A"/>
    <w:rsid w:val="00061962"/>
    <w:rsid w:val="00061A51"/>
    <w:rsid w:val="00061A70"/>
    <w:rsid w:val="00061A71"/>
    <w:rsid w:val="00061A78"/>
    <w:rsid w:val="00061ABC"/>
    <w:rsid w:val="00061AEF"/>
    <w:rsid w:val="00061B0B"/>
    <w:rsid w:val="00061C1A"/>
    <w:rsid w:val="00061C70"/>
    <w:rsid w:val="00061C8E"/>
    <w:rsid w:val="00061CC3"/>
    <w:rsid w:val="00061CE3"/>
    <w:rsid w:val="00061D5C"/>
    <w:rsid w:val="00061D6D"/>
    <w:rsid w:val="00061D9F"/>
    <w:rsid w:val="00061E80"/>
    <w:rsid w:val="00061E93"/>
    <w:rsid w:val="00061ED4"/>
    <w:rsid w:val="00061F3F"/>
    <w:rsid w:val="00061F73"/>
    <w:rsid w:val="00061F7A"/>
    <w:rsid w:val="00061F86"/>
    <w:rsid w:val="00061F88"/>
    <w:rsid w:val="00061F8C"/>
    <w:rsid w:val="00061FC4"/>
    <w:rsid w:val="00061FDD"/>
    <w:rsid w:val="00061FE4"/>
    <w:rsid w:val="00061FE5"/>
    <w:rsid w:val="00061FFF"/>
    <w:rsid w:val="000620B4"/>
    <w:rsid w:val="000620D6"/>
    <w:rsid w:val="000620F8"/>
    <w:rsid w:val="0006216A"/>
    <w:rsid w:val="000621A6"/>
    <w:rsid w:val="000621BE"/>
    <w:rsid w:val="000621ED"/>
    <w:rsid w:val="0006220B"/>
    <w:rsid w:val="00062224"/>
    <w:rsid w:val="0006223F"/>
    <w:rsid w:val="00062258"/>
    <w:rsid w:val="00062268"/>
    <w:rsid w:val="0006227A"/>
    <w:rsid w:val="0006235D"/>
    <w:rsid w:val="0006240F"/>
    <w:rsid w:val="000624ED"/>
    <w:rsid w:val="00062500"/>
    <w:rsid w:val="0006265C"/>
    <w:rsid w:val="0006267D"/>
    <w:rsid w:val="000626E6"/>
    <w:rsid w:val="00062740"/>
    <w:rsid w:val="0006281E"/>
    <w:rsid w:val="000628FA"/>
    <w:rsid w:val="000629A7"/>
    <w:rsid w:val="000629A9"/>
    <w:rsid w:val="000629AC"/>
    <w:rsid w:val="000629D2"/>
    <w:rsid w:val="000629DD"/>
    <w:rsid w:val="00062A03"/>
    <w:rsid w:val="00062B47"/>
    <w:rsid w:val="00062BA7"/>
    <w:rsid w:val="00062D04"/>
    <w:rsid w:val="00062D09"/>
    <w:rsid w:val="00062D11"/>
    <w:rsid w:val="00062E08"/>
    <w:rsid w:val="00062E0A"/>
    <w:rsid w:val="00062E5A"/>
    <w:rsid w:val="00062E65"/>
    <w:rsid w:val="00062EB9"/>
    <w:rsid w:val="00062F2D"/>
    <w:rsid w:val="00062F70"/>
    <w:rsid w:val="00062F7E"/>
    <w:rsid w:val="00062FC9"/>
    <w:rsid w:val="00062FFC"/>
    <w:rsid w:val="0006303B"/>
    <w:rsid w:val="0006311F"/>
    <w:rsid w:val="00063165"/>
    <w:rsid w:val="000631AD"/>
    <w:rsid w:val="000631B5"/>
    <w:rsid w:val="000631CC"/>
    <w:rsid w:val="000631D1"/>
    <w:rsid w:val="00063224"/>
    <w:rsid w:val="00063318"/>
    <w:rsid w:val="0006331F"/>
    <w:rsid w:val="0006338C"/>
    <w:rsid w:val="000633EA"/>
    <w:rsid w:val="0006341E"/>
    <w:rsid w:val="00063451"/>
    <w:rsid w:val="0006347E"/>
    <w:rsid w:val="000634A8"/>
    <w:rsid w:val="000634DA"/>
    <w:rsid w:val="000634DF"/>
    <w:rsid w:val="00063516"/>
    <w:rsid w:val="00063552"/>
    <w:rsid w:val="00063580"/>
    <w:rsid w:val="00063645"/>
    <w:rsid w:val="00063707"/>
    <w:rsid w:val="00063810"/>
    <w:rsid w:val="00063865"/>
    <w:rsid w:val="00063868"/>
    <w:rsid w:val="00063916"/>
    <w:rsid w:val="00063984"/>
    <w:rsid w:val="00063988"/>
    <w:rsid w:val="000639F9"/>
    <w:rsid w:val="00063A04"/>
    <w:rsid w:val="00063A1D"/>
    <w:rsid w:val="00063AEF"/>
    <w:rsid w:val="00063B4F"/>
    <w:rsid w:val="00063BB3"/>
    <w:rsid w:val="00063BC1"/>
    <w:rsid w:val="00063BD4"/>
    <w:rsid w:val="00063C4C"/>
    <w:rsid w:val="00063C76"/>
    <w:rsid w:val="00063C9F"/>
    <w:rsid w:val="00063CEB"/>
    <w:rsid w:val="00063D12"/>
    <w:rsid w:val="00063D25"/>
    <w:rsid w:val="00063D4F"/>
    <w:rsid w:val="00063D66"/>
    <w:rsid w:val="00063D99"/>
    <w:rsid w:val="00063DEB"/>
    <w:rsid w:val="00063E39"/>
    <w:rsid w:val="00063F1D"/>
    <w:rsid w:val="00063F55"/>
    <w:rsid w:val="00063F69"/>
    <w:rsid w:val="00063F92"/>
    <w:rsid w:val="00063FAA"/>
    <w:rsid w:val="00063FE4"/>
    <w:rsid w:val="00063FF8"/>
    <w:rsid w:val="000640BB"/>
    <w:rsid w:val="00064195"/>
    <w:rsid w:val="000641F5"/>
    <w:rsid w:val="00064210"/>
    <w:rsid w:val="00064254"/>
    <w:rsid w:val="0006427E"/>
    <w:rsid w:val="000642E0"/>
    <w:rsid w:val="0006437D"/>
    <w:rsid w:val="000643A8"/>
    <w:rsid w:val="000643AD"/>
    <w:rsid w:val="000643E1"/>
    <w:rsid w:val="00064401"/>
    <w:rsid w:val="0006449A"/>
    <w:rsid w:val="000644A3"/>
    <w:rsid w:val="00064623"/>
    <w:rsid w:val="00064662"/>
    <w:rsid w:val="0006481F"/>
    <w:rsid w:val="00064891"/>
    <w:rsid w:val="000648A1"/>
    <w:rsid w:val="000648C0"/>
    <w:rsid w:val="000648E6"/>
    <w:rsid w:val="0006490A"/>
    <w:rsid w:val="0006491E"/>
    <w:rsid w:val="00064954"/>
    <w:rsid w:val="00064A6E"/>
    <w:rsid w:val="00064ACE"/>
    <w:rsid w:val="00064ADF"/>
    <w:rsid w:val="00064B0E"/>
    <w:rsid w:val="00064B41"/>
    <w:rsid w:val="00064B62"/>
    <w:rsid w:val="00064B74"/>
    <w:rsid w:val="00064BEC"/>
    <w:rsid w:val="00064C22"/>
    <w:rsid w:val="00064C40"/>
    <w:rsid w:val="00064CC8"/>
    <w:rsid w:val="00064CCE"/>
    <w:rsid w:val="00064CD1"/>
    <w:rsid w:val="00064D08"/>
    <w:rsid w:val="00064E2F"/>
    <w:rsid w:val="00064E3D"/>
    <w:rsid w:val="00064EB4"/>
    <w:rsid w:val="00064F24"/>
    <w:rsid w:val="00064F2A"/>
    <w:rsid w:val="00064F92"/>
    <w:rsid w:val="00064FFA"/>
    <w:rsid w:val="000650BE"/>
    <w:rsid w:val="0006516A"/>
    <w:rsid w:val="0006518B"/>
    <w:rsid w:val="000651A2"/>
    <w:rsid w:val="000651E7"/>
    <w:rsid w:val="0006521D"/>
    <w:rsid w:val="00065225"/>
    <w:rsid w:val="00065268"/>
    <w:rsid w:val="0006527D"/>
    <w:rsid w:val="000652A5"/>
    <w:rsid w:val="000652F3"/>
    <w:rsid w:val="00065311"/>
    <w:rsid w:val="0006531A"/>
    <w:rsid w:val="00065321"/>
    <w:rsid w:val="0006532B"/>
    <w:rsid w:val="00065364"/>
    <w:rsid w:val="00065407"/>
    <w:rsid w:val="0006543E"/>
    <w:rsid w:val="00065442"/>
    <w:rsid w:val="000654B1"/>
    <w:rsid w:val="000654C7"/>
    <w:rsid w:val="000654DE"/>
    <w:rsid w:val="000654EF"/>
    <w:rsid w:val="0006557E"/>
    <w:rsid w:val="000655BC"/>
    <w:rsid w:val="000655EA"/>
    <w:rsid w:val="000656BF"/>
    <w:rsid w:val="00065776"/>
    <w:rsid w:val="00065867"/>
    <w:rsid w:val="000658CD"/>
    <w:rsid w:val="0006591E"/>
    <w:rsid w:val="0006594B"/>
    <w:rsid w:val="0006595B"/>
    <w:rsid w:val="00065986"/>
    <w:rsid w:val="000659E0"/>
    <w:rsid w:val="00065A1A"/>
    <w:rsid w:val="00065A1C"/>
    <w:rsid w:val="00065A3B"/>
    <w:rsid w:val="00065A41"/>
    <w:rsid w:val="00065A52"/>
    <w:rsid w:val="00065A6F"/>
    <w:rsid w:val="00065AA3"/>
    <w:rsid w:val="00065AAE"/>
    <w:rsid w:val="00065AFD"/>
    <w:rsid w:val="00065B7E"/>
    <w:rsid w:val="00065C1C"/>
    <w:rsid w:val="00065C25"/>
    <w:rsid w:val="00065CAB"/>
    <w:rsid w:val="00065D2C"/>
    <w:rsid w:val="00065D84"/>
    <w:rsid w:val="00065D93"/>
    <w:rsid w:val="00065DAC"/>
    <w:rsid w:val="00065DCE"/>
    <w:rsid w:val="00065E0F"/>
    <w:rsid w:val="00065E48"/>
    <w:rsid w:val="00065E7B"/>
    <w:rsid w:val="00065E82"/>
    <w:rsid w:val="00065E94"/>
    <w:rsid w:val="00065EDC"/>
    <w:rsid w:val="00065EEA"/>
    <w:rsid w:val="00065F1D"/>
    <w:rsid w:val="00065F6A"/>
    <w:rsid w:val="00065F88"/>
    <w:rsid w:val="00065F95"/>
    <w:rsid w:val="0006604E"/>
    <w:rsid w:val="000660A5"/>
    <w:rsid w:val="000660C9"/>
    <w:rsid w:val="00066121"/>
    <w:rsid w:val="0006614D"/>
    <w:rsid w:val="00066153"/>
    <w:rsid w:val="0006616B"/>
    <w:rsid w:val="00066185"/>
    <w:rsid w:val="00066214"/>
    <w:rsid w:val="00066269"/>
    <w:rsid w:val="00066361"/>
    <w:rsid w:val="00066370"/>
    <w:rsid w:val="0006638D"/>
    <w:rsid w:val="000663EA"/>
    <w:rsid w:val="00066408"/>
    <w:rsid w:val="0006640D"/>
    <w:rsid w:val="00066489"/>
    <w:rsid w:val="0006649A"/>
    <w:rsid w:val="000664C3"/>
    <w:rsid w:val="00066506"/>
    <w:rsid w:val="00066530"/>
    <w:rsid w:val="00066559"/>
    <w:rsid w:val="00066580"/>
    <w:rsid w:val="0006666A"/>
    <w:rsid w:val="00066698"/>
    <w:rsid w:val="0006669C"/>
    <w:rsid w:val="000666AB"/>
    <w:rsid w:val="000666B2"/>
    <w:rsid w:val="00066799"/>
    <w:rsid w:val="000667EE"/>
    <w:rsid w:val="00066826"/>
    <w:rsid w:val="00066846"/>
    <w:rsid w:val="0006688C"/>
    <w:rsid w:val="000668BA"/>
    <w:rsid w:val="00066917"/>
    <w:rsid w:val="0006691E"/>
    <w:rsid w:val="00066957"/>
    <w:rsid w:val="0006695A"/>
    <w:rsid w:val="0006696D"/>
    <w:rsid w:val="000669E8"/>
    <w:rsid w:val="00066A08"/>
    <w:rsid w:val="00066A1E"/>
    <w:rsid w:val="00066A3D"/>
    <w:rsid w:val="00066A44"/>
    <w:rsid w:val="00066AC2"/>
    <w:rsid w:val="00066AFF"/>
    <w:rsid w:val="00066B02"/>
    <w:rsid w:val="00066B12"/>
    <w:rsid w:val="00066BC1"/>
    <w:rsid w:val="00066C15"/>
    <w:rsid w:val="00066C3E"/>
    <w:rsid w:val="00066C5D"/>
    <w:rsid w:val="00066C84"/>
    <w:rsid w:val="00066C86"/>
    <w:rsid w:val="00066CC3"/>
    <w:rsid w:val="00066CF0"/>
    <w:rsid w:val="00066D12"/>
    <w:rsid w:val="00066D45"/>
    <w:rsid w:val="00066D89"/>
    <w:rsid w:val="00066DA1"/>
    <w:rsid w:val="00066DB5"/>
    <w:rsid w:val="00066E2D"/>
    <w:rsid w:val="00066E2E"/>
    <w:rsid w:val="00066E56"/>
    <w:rsid w:val="00066E79"/>
    <w:rsid w:val="00066E8B"/>
    <w:rsid w:val="00066E99"/>
    <w:rsid w:val="00066EFC"/>
    <w:rsid w:val="00066F41"/>
    <w:rsid w:val="00066FF7"/>
    <w:rsid w:val="0006707F"/>
    <w:rsid w:val="0006709C"/>
    <w:rsid w:val="000670B4"/>
    <w:rsid w:val="000670CD"/>
    <w:rsid w:val="000670F6"/>
    <w:rsid w:val="000670FD"/>
    <w:rsid w:val="00067121"/>
    <w:rsid w:val="000671DA"/>
    <w:rsid w:val="00067211"/>
    <w:rsid w:val="0006721E"/>
    <w:rsid w:val="0006721F"/>
    <w:rsid w:val="00067233"/>
    <w:rsid w:val="00067311"/>
    <w:rsid w:val="0006733C"/>
    <w:rsid w:val="0006738D"/>
    <w:rsid w:val="000673E0"/>
    <w:rsid w:val="0006741F"/>
    <w:rsid w:val="00067476"/>
    <w:rsid w:val="000674C7"/>
    <w:rsid w:val="00067534"/>
    <w:rsid w:val="000675AE"/>
    <w:rsid w:val="000675C6"/>
    <w:rsid w:val="00067601"/>
    <w:rsid w:val="0006760A"/>
    <w:rsid w:val="00067661"/>
    <w:rsid w:val="000676C3"/>
    <w:rsid w:val="000676DC"/>
    <w:rsid w:val="00067898"/>
    <w:rsid w:val="00067908"/>
    <w:rsid w:val="0006793E"/>
    <w:rsid w:val="000679A9"/>
    <w:rsid w:val="00067A69"/>
    <w:rsid w:val="00067B52"/>
    <w:rsid w:val="00067B7E"/>
    <w:rsid w:val="00067BCC"/>
    <w:rsid w:val="00067C02"/>
    <w:rsid w:val="00067C03"/>
    <w:rsid w:val="00067C23"/>
    <w:rsid w:val="00067C82"/>
    <w:rsid w:val="00067CAE"/>
    <w:rsid w:val="00067CCC"/>
    <w:rsid w:val="00067CD2"/>
    <w:rsid w:val="00067CD9"/>
    <w:rsid w:val="00067CE1"/>
    <w:rsid w:val="00067D01"/>
    <w:rsid w:val="00067D48"/>
    <w:rsid w:val="00067DA3"/>
    <w:rsid w:val="00067DB2"/>
    <w:rsid w:val="00067DD5"/>
    <w:rsid w:val="00067DDE"/>
    <w:rsid w:val="00067E01"/>
    <w:rsid w:val="00067E46"/>
    <w:rsid w:val="00067E74"/>
    <w:rsid w:val="00067E78"/>
    <w:rsid w:val="00067E7A"/>
    <w:rsid w:val="00067E84"/>
    <w:rsid w:val="00067EBF"/>
    <w:rsid w:val="00067F34"/>
    <w:rsid w:val="00067F38"/>
    <w:rsid w:val="00067F59"/>
    <w:rsid w:val="00067F97"/>
    <w:rsid w:val="00067F9D"/>
    <w:rsid w:val="0007005E"/>
    <w:rsid w:val="0007008D"/>
    <w:rsid w:val="000700A6"/>
    <w:rsid w:val="000700D6"/>
    <w:rsid w:val="000700E7"/>
    <w:rsid w:val="000701A4"/>
    <w:rsid w:val="000701CB"/>
    <w:rsid w:val="00070214"/>
    <w:rsid w:val="00070234"/>
    <w:rsid w:val="0007024E"/>
    <w:rsid w:val="0007034F"/>
    <w:rsid w:val="000703A3"/>
    <w:rsid w:val="000703C8"/>
    <w:rsid w:val="0007040D"/>
    <w:rsid w:val="0007042D"/>
    <w:rsid w:val="00070464"/>
    <w:rsid w:val="0007048E"/>
    <w:rsid w:val="000704D8"/>
    <w:rsid w:val="0007055F"/>
    <w:rsid w:val="000705EC"/>
    <w:rsid w:val="0007069D"/>
    <w:rsid w:val="000706C8"/>
    <w:rsid w:val="0007070C"/>
    <w:rsid w:val="00070732"/>
    <w:rsid w:val="0007073C"/>
    <w:rsid w:val="00070756"/>
    <w:rsid w:val="00070789"/>
    <w:rsid w:val="00070803"/>
    <w:rsid w:val="0007081F"/>
    <w:rsid w:val="00070858"/>
    <w:rsid w:val="000708AE"/>
    <w:rsid w:val="000708F6"/>
    <w:rsid w:val="000709DE"/>
    <w:rsid w:val="000709EC"/>
    <w:rsid w:val="00070A5A"/>
    <w:rsid w:val="00070ACD"/>
    <w:rsid w:val="00070B0A"/>
    <w:rsid w:val="00070B31"/>
    <w:rsid w:val="00070B50"/>
    <w:rsid w:val="00070B6C"/>
    <w:rsid w:val="00070BFA"/>
    <w:rsid w:val="00070C01"/>
    <w:rsid w:val="00070C04"/>
    <w:rsid w:val="00070C28"/>
    <w:rsid w:val="00070C6A"/>
    <w:rsid w:val="00070C7F"/>
    <w:rsid w:val="00070C8E"/>
    <w:rsid w:val="00070CBA"/>
    <w:rsid w:val="00070D25"/>
    <w:rsid w:val="00070D48"/>
    <w:rsid w:val="00070D98"/>
    <w:rsid w:val="00070DB9"/>
    <w:rsid w:val="00070E1E"/>
    <w:rsid w:val="00070ED5"/>
    <w:rsid w:val="00070F43"/>
    <w:rsid w:val="00070F66"/>
    <w:rsid w:val="00070FC6"/>
    <w:rsid w:val="00070FF3"/>
    <w:rsid w:val="00071007"/>
    <w:rsid w:val="00071036"/>
    <w:rsid w:val="0007107D"/>
    <w:rsid w:val="00071097"/>
    <w:rsid w:val="0007111D"/>
    <w:rsid w:val="000711AE"/>
    <w:rsid w:val="000711BA"/>
    <w:rsid w:val="000711C2"/>
    <w:rsid w:val="000711FE"/>
    <w:rsid w:val="00071235"/>
    <w:rsid w:val="0007127D"/>
    <w:rsid w:val="0007132C"/>
    <w:rsid w:val="0007134C"/>
    <w:rsid w:val="0007137C"/>
    <w:rsid w:val="00071395"/>
    <w:rsid w:val="00071419"/>
    <w:rsid w:val="0007141A"/>
    <w:rsid w:val="000714A1"/>
    <w:rsid w:val="000714A2"/>
    <w:rsid w:val="000714AA"/>
    <w:rsid w:val="000714B3"/>
    <w:rsid w:val="000714CB"/>
    <w:rsid w:val="000714CE"/>
    <w:rsid w:val="000714E1"/>
    <w:rsid w:val="00071536"/>
    <w:rsid w:val="00071541"/>
    <w:rsid w:val="0007163E"/>
    <w:rsid w:val="00071656"/>
    <w:rsid w:val="00071691"/>
    <w:rsid w:val="00071696"/>
    <w:rsid w:val="000716A1"/>
    <w:rsid w:val="000716B5"/>
    <w:rsid w:val="000716F0"/>
    <w:rsid w:val="00071709"/>
    <w:rsid w:val="0007171E"/>
    <w:rsid w:val="0007176C"/>
    <w:rsid w:val="0007176D"/>
    <w:rsid w:val="00071788"/>
    <w:rsid w:val="000717FA"/>
    <w:rsid w:val="00071874"/>
    <w:rsid w:val="00071884"/>
    <w:rsid w:val="0007189D"/>
    <w:rsid w:val="000718A6"/>
    <w:rsid w:val="0007190B"/>
    <w:rsid w:val="0007191B"/>
    <w:rsid w:val="0007195B"/>
    <w:rsid w:val="0007198A"/>
    <w:rsid w:val="00071A03"/>
    <w:rsid w:val="00071A6E"/>
    <w:rsid w:val="00071A8B"/>
    <w:rsid w:val="00071AAE"/>
    <w:rsid w:val="00071AD2"/>
    <w:rsid w:val="00071AD5"/>
    <w:rsid w:val="00071BF1"/>
    <w:rsid w:val="00071BFC"/>
    <w:rsid w:val="00071C17"/>
    <w:rsid w:val="00071C19"/>
    <w:rsid w:val="00071C56"/>
    <w:rsid w:val="00071C5E"/>
    <w:rsid w:val="00071CA6"/>
    <w:rsid w:val="00071CEC"/>
    <w:rsid w:val="00071D4B"/>
    <w:rsid w:val="00071E07"/>
    <w:rsid w:val="00071E0C"/>
    <w:rsid w:val="00071EBB"/>
    <w:rsid w:val="00071F7D"/>
    <w:rsid w:val="00071FAD"/>
    <w:rsid w:val="00071FB1"/>
    <w:rsid w:val="00071FC0"/>
    <w:rsid w:val="00072046"/>
    <w:rsid w:val="00072078"/>
    <w:rsid w:val="00072085"/>
    <w:rsid w:val="000720BD"/>
    <w:rsid w:val="000720BE"/>
    <w:rsid w:val="00072101"/>
    <w:rsid w:val="0007210C"/>
    <w:rsid w:val="0007216D"/>
    <w:rsid w:val="00072185"/>
    <w:rsid w:val="00072186"/>
    <w:rsid w:val="000722AF"/>
    <w:rsid w:val="00072347"/>
    <w:rsid w:val="0007237C"/>
    <w:rsid w:val="00072424"/>
    <w:rsid w:val="00072435"/>
    <w:rsid w:val="000724EC"/>
    <w:rsid w:val="000724FD"/>
    <w:rsid w:val="00072503"/>
    <w:rsid w:val="00072627"/>
    <w:rsid w:val="000726BE"/>
    <w:rsid w:val="00072738"/>
    <w:rsid w:val="0007274D"/>
    <w:rsid w:val="00072766"/>
    <w:rsid w:val="0007276A"/>
    <w:rsid w:val="000727EC"/>
    <w:rsid w:val="000728A8"/>
    <w:rsid w:val="0007292C"/>
    <w:rsid w:val="0007294A"/>
    <w:rsid w:val="00072996"/>
    <w:rsid w:val="000729BD"/>
    <w:rsid w:val="00072A5C"/>
    <w:rsid w:val="00072A72"/>
    <w:rsid w:val="00072A75"/>
    <w:rsid w:val="00072ABD"/>
    <w:rsid w:val="00072AFA"/>
    <w:rsid w:val="00072B19"/>
    <w:rsid w:val="00072B4E"/>
    <w:rsid w:val="00072B50"/>
    <w:rsid w:val="00072B8B"/>
    <w:rsid w:val="00072BA4"/>
    <w:rsid w:val="00072BDE"/>
    <w:rsid w:val="00072C72"/>
    <w:rsid w:val="00072CEE"/>
    <w:rsid w:val="00072CF8"/>
    <w:rsid w:val="00072D07"/>
    <w:rsid w:val="00072D4C"/>
    <w:rsid w:val="00072D67"/>
    <w:rsid w:val="00072D81"/>
    <w:rsid w:val="00072DD5"/>
    <w:rsid w:val="00072E2E"/>
    <w:rsid w:val="00072E53"/>
    <w:rsid w:val="00072E64"/>
    <w:rsid w:val="00072E72"/>
    <w:rsid w:val="00072ED7"/>
    <w:rsid w:val="00072F07"/>
    <w:rsid w:val="00072F33"/>
    <w:rsid w:val="00072F58"/>
    <w:rsid w:val="00072F5E"/>
    <w:rsid w:val="00072F8A"/>
    <w:rsid w:val="00072FB3"/>
    <w:rsid w:val="00073023"/>
    <w:rsid w:val="00073040"/>
    <w:rsid w:val="00073048"/>
    <w:rsid w:val="00073086"/>
    <w:rsid w:val="000730B8"/>
    <w:rsid w:val="000730C5"/>
    <w:rsid w:val="000730F8"/>
    <w:rsid w:val="000731B9"/>
    <w:rsid w:val="00073203"/>
    <w:rsid w:val="00073223"/>
    <w:rsid w:val="0007323C"/>
    <w:rsid w:val="00073249"/>
    <w:rsid w:val="00073252"/>
    <w:rsid w:val="00073338"/>
    <w:rsid w:val="00073352"/>
    <w:rsid w:val="00073365"/>
    <w:rsid w:val="0007338F"/>
    <w:rsid w:val="000733AF"/>
    <w:rsid w:val="000733C4"/>
    <w:rsid w:val="000733E7"/>
    <w:rsid w:val="00073417"/>
    <w:rsid w:val="0007345E"/>
    <w:rsid w:val="00073468"/>
    <w:rsid w:val="000734CA"/>
    <w:rsid w:val="0007351F"/>
    <w:rsid w:val="00073526"/>
    <w:rsid w:val="0007356D"/>
    <w:rsid w:val="0007358C"/>
    <w:rsid w:val="0007368F"/>
    <w:rsid w:val="000736D1"/>
    <w:rsid w:val="000736E6"/>
    <w:rsid w:val="000736F8"/>
    <w:rsid w:val="0007370B"/>
    <w:rsid w:val="00073770"/>
    <w:rsid w:val="000737AA"/>
    <w:rsid w:val="000737BB"/>
    <w:rsid w:val="0007380A"/>
    <w:rsid w:val="00073816"/>
    <w:rsid w:val="0007381C"/>
    <w:rsid w:val="0007381F"/>
    <w:rsid w:val="00073885"/>
    <w:rsid w:val="00073923"/>
    <w:rsid w:val="0007393C"/>
    <w:rsid w:val="00073941"/>
    <w:rsid w:val="00073962"/>
    <w:rsid w:val="00073998"/>
    <w:rsid w:val="000739D4"/>
    <w:rsid w:val="000739DD"/>
    <w:rsid w:val="000739F6"/>
    <w:rsid w:val="00073A01"/>
    <w:rsid w:val="00073A0F"/>
    <w:rsid w:val="00073A35"/>
    <w:rsid w:val="00073A4A"/>
    <w:rsid w:val="00073A60"/>
    <w:rsid w:val="00073A66"/>
    <w:rsid w:val="00073AC5"/>
    <w:rsid w:val="00073ADB"/>
    <w:rsid w:val="00073ADC"/>
    <w:rsid w:val="00073B03"/>
    <w:rsid w:val="00073B64"/>
    <w:rsid w:val="00073B7A"/>
    <w:rsid w:val="00073B7F"/>
    <w:rsid w:val="00073B88"/>
    <w:rsid w:val="00073BE3"/>
    <w:rsid w:val="00073CB5"/>
    <w:rsid w:val="00073CC6"/>
    <w:rsid w:val="00073CE3"/>
    <w:rsid w:val="00073CFF"/>
    <w:rsid w:val="00073E23"/>
    <w:rsid w:val="00073E38"/>
    <w:rsid w:val="00073E57"/>
    <w:rsid w:val="00073E84"/>
    <w:rsid w:val="00073E86"/>
    <w:rsid w:val="00073EAD"/>
    <w:rsid w:val="00073F4A"/>
    <w:rsid w:val="00073F63"/>
    <w:rsid w:val="00073F67"/>
    <w:rsid w:val="00073F6D"/>
    <w:rsid w:val="00073FC8"/>
    <w:rsid w:val="00074073"/>
    <w:rsid w:val="000740E0"/>
    <w:rsid w:val="000740FD"/>
    <w:rsid w:val="0007419E"/>
    <w:rsid w:val="000741DE"/>
    <w:rsid w:val="000741E1"/>
    <w:rsid w:val="000741F3"/>
    <w:rsid w:val="00074203"/>
    <w:rsid w:val="00074285"/>
    <w:rsid w:val="0007429B"/>
    <w:rsid w:val="0007433A"/>
    <w:rsid w:val="000743F8"/>
    <w:rsid w:val="00074415"/>
    <w:rsid w:val="0007441B"/>
    <w:rsid w:val="00074436"/>
    <w:rsid w:val="00074457"/>
    <w:rsid w:val="00074475"/>
    <w:rsid w:val="000744DB"/>
    <w:rsid w:val="00074587"/>
    <w:rsid w:val="000745A6"/>
    <w:rsid w:val="000745AE"/>
    <w:rsid w:val="000745B4"/>
    <w:rsid w:val="00074654"/>
    <w:rsid w:val="00074698"/>
    <w:rsid w:val="0007470E"/>
    <w:rsid w:val="000747C0"/>
    <w:rsid w:val="000747FC"/>
    <w:rsid w:val="00074800"/>
    <w:rsid w:val="0007488A"/>
    <w:rsid w:val="000748C8"/>
    <w:rsid w:val="000748E8"/>
    <w:rsid w:val="00074903"/>
    <w:rsid w:val="00074939"/>
    <w:rsid w:val="000749C4"/>
    <w:rsid w:val="00074A14"/>
    <w:rsid w:val="00074A1F"/>
    <w:rsid w:val="00074AB0"/>
    <w:rsid w:val="00074AF2"/>
    <w:rsid w:val="00074B4B"/>
    <w:rsid w:val="00074BB6"/>
    <w:rsid w:val="00074BC6"/>
    <w:rsid w:val="00074BCE"/>
    <w:rsid w:val="00074C9E"/>
    <w:rsid w:val="00074D61"/>
    <w:rsid w:val="00074D6C"/>
    <w:rsid w:val="00074E01"/>
    <w:rsid w:val="00074E4A"/>
    <w:rsid w:val="00074E7A"/>
    <w:rsid w:val="00074E8D"/>
    <w:rsid w:val="00074EA4"/>
    <w:rsid w:val="00074EAC"/>
    <w:rsid w:val="00074EB1"/>
    <w:rsid w:val="00074ECD"/>
    <w:rsid w:val="00074F27"/>
    <w:rsid w:val="00074F6F"/>
    <w:rsid w:val="00074F99"/>
    <w:rsid w:val="00074FA8"/>
    <w:rsid w:val="00074FBF"/>
    <w:rsid w:val="00074FE4"/>
    <w:rsid w:val="0007502E"/>
    <w:rsid w:val="00075067"/>
    <w:rsid w:val="000750B0"/>
    <w:rsid w:val="000750C9"/>
    <w:rsid w:val="000750FA"/>
    <w:rsid w:val="0007511D"/>
    <w:rsid w:val="0007513C"/>
    <w:rsid w:val="00075172"/>
    <w:rsid w:val="00075180"/>
    <w:rsid w:val="000751AE"/>
    <w:rsid w:val="000751B7"/>
    <w:rsid w:val="000751F2"/>
    <w:rsid w:val="00075200"/>
    <w:rsid w:val="0007527C"/>
    <w:rsid w:val="00075293"/>
    <w:rsid w:val="000752FC"/>
    <w:rsid w:val="00075321"/>
    <w:rsid w:val="000753D0"/>
    <w:rsid w:val="000753E5"/>
    <w:rsid w:val="000753F7"/>
    <w:rsid w:val="00075410"/>
    <w:rsid w:val="00075441"/>
    <w:rsid w:val="00075451"/>
    <w:rsid w:val="00075479"/>
    <w:rsid w:val="000754A1"/>
    <w:rsid w:val="00075598"/>
    <w:rsid w:val="000755B6"/>
    <w:rsid w:val="000755E3"/>
    <w:rsid w:val="0007566C"/>
    <w:rsid w:val="00075698"/>
    <w:rsid w:val="000756A7"/>
    <w:rsid w:val="000756B4"/>
    <w:rsid w:val="0007570C"/>
    <w:rsid w:val="00075776"/>
    <w:rsid w:val="00075781"/>
    <w:rsid w:val="00075784"/>
    <w:rsid w:val="0007579C"/>
    <w:rsid w:val="000757A1"/>
    <w:rsid w:val="000757C4"/>
    <w:rsid w:val="0007583E"/>
    <w:rsid w:val="00075862"/>
    <w:rsid w:val="0007587D"/>
    <w:rsid w:val="000758E8"/>
    <w:rsid w:val="000758ED"/>
    <w:rsid w:val="000759A1"/>
    <w:rsid w:val="000759AB"/>
    <w:rsid w:val="000759EB"/>
    <w:rsid w:val="00075A55"/>
    <w:rsid w:val="00075A6F"/>
    <w:rsid w:val="00075A7F"/>
    <w:rsid w:val="00075B22"/>
    <w:rsid w:val="00075B2F"/>
    <w:rsid w:val="00075B35"/>
    <w:rsid w:val="00075C13"/>
    <w:rsid w:val="00075CF9"/>
    <w:rsid w:val="00075D70"/>
    <w:rsid w:val="00075D89"/>
    <w:rsid w:val="00075DD6"/>
    <w:rsid w:val="00075DF0"/>
    <w:rsid w:val="00075F05"/>
    <w:rsid w:val="00075F33"/>
    <w:rsid w:val="00075F3C"/>
    <w:rsid w:val="00075F43"/>
    <w:rsid w:val="00075F9A"/>
    <w:rsid w:val="00075FC5"/>
    <w:rsid w:val="00076140"/>
    <w:rsid w:val="000761ED"/>
    <w:rsid w:val="00076280"/>
    <w:rsid w:val="00076335"/>
    <w:rsid w:val="00076353"/>
    <w:rsid w:val="00076381"/>
    <w:rsid w:val="00076392"/>
    <w:rsid w:val="000763C7"/>
    <w:rsid w:val="000763E2"/>
    <w:rsid w:val="00076449"/>
    <w:rsid w:val="000764A5"/>
    <w:rsid w:val="000764BA"/>
    <w:rsid w:val="000765CB"/>
    <w:rsid w:val="00076629"/>
    <w:rsid w:val="0007663D"/>
    <w:rsid w:val="00076666"/>
    <w:rsid w:val="000766BF"/>
    <w:rsid w:val="0007673B"/>
    <w:rsid w:val="0007676B"/>
    <w:rsid w:val="000767B2"/>
    <w:rsid w:val="00076821"/>
    <w:rsid w:val="0007683E"/>
    <w:rsid w:val="00076861"/>
    <w:rsid w:val="00076896"/>
    <w:rsid w:val="000768D7"/>
    <w:rsid w:val="000768F2"/>
    <w:rsid w:val="000768FD"/>
    <w:rsid w:val="00076935"/>
    <w:rsid w:val="0007696D"/>
    <w:rsid w:val="000769E3"/>
    <w:rsid w:val="00076A8E"/>
    <w:rsid w:val="00076B23"/>
    <w:rsid w:val="00076B2E"/>
    <w:rsid w:val="00076BF2"/>
    <w:rsid w:val="00076C8F"/>
    <w:rsid w:val="00076CCA"/>
    <w:rsid w:val="00076CD7"/>
    <w:rsid w:val="00076CED"/>
    <w:rsid w:val="00076D88"/>
    <w:rsid w:val="00076DF2"/>
    <w:rsid w:val="00076DFC"/>
    <w:rsid w:val="00076E14"/>
    <w:rsid w:val="00076E8B"/>
    <w:rsid w:val="00076EC9"/>
    <w:rsid w:val="00076ED6"/>
    <w:rsid w:val="00076F20"/>
    <w:rsid w:val="00076F51"/>
    <w:rsid w:val="00076FA6"/>
    <w:rsid w:val="00076FFE"/>
    <w:rsid w:val="00077002"/>
    <w:rsid w:val="00077041"/>
    <w:rsid w:val="0007706F"/>
    <w:rsid w:val="00077148"/>
    <w:rsid w:val="00077168"/>
    <w:rsid w:val="000771C3"/>
    <w:rsid w:val="000771FB"/>
    <w:rsid w:val="00077225"/>
    <w:rsid w:val="00077247"/>
    <w:rsid w:val="0007729A"/>
    <w:rsid w:val="00077319"/>
    <w:rsid w:val="0007731D"/>
    <w:rsid w:val="0007735E"/>
    <w:rsid w:val="000773DE"/>
    <w:rsid w:val="0007740C"/>
    <w:rsid w:val="00077449"/>
    <w:rsid w:val="0007746F"/>
    <w:rsid w:val="000774EB"/>
    <w:rsid w:val="000774EF"/>
    <w:rsid w:val="00077569"/>
    <w:rsid w:val="00077576"/>
    <w:rsid w:val="000775B3"/>
    <w:rsid w:val="00077623"/>
    <w:rsid w:val="0007770B"/>
    <w:rsid w:val="0007776E"/>
    <w:rsid w:val="00077776"/>
    <w:rsid w:val="0007777A"/>
    <w:rsid w:val="0007780E"/>
    <w:rsid w:val="0007786D"/>
    <w:rsid w:val="00077877"/>
    <w:rsid w:val="00077897"/>
    <w:rsid w:val="000779BB"/>
    <w:rsid w:val="00077A64"/>
    <w:rsid w:val="00077A70"/>
    <w:rsid w:val="00077A87"/>
    <w:rsid w:val="00077ADB"/>
    <w:rsid w:val="00077B02"/>
    <w:rsid w:val="00077B23"/>
    <w:rsid w:val="00077B5A"/>
    <w:rsid w:val="00077CF5"/>
    <w:rsid w:val="00077D15"/>
    <w:rsid w:val="00077D67"/>
    <w:rsid w:val="00077E02"/>
    <w:rsid w:val="00077E9D"/>
    <w:rsid w:val="00077F68"/>
    <w:rsid w:val="00077F6B"/>
    <w:rsid w:val="00077F78"/>
    <w:rsid w:val="00077F8D"/>
    <w:rsid w:val="00077FE8"/>
    <w:rsid w:val="00080054"/>
    <w:rsid w:val="000800E5"/>
    <w:rsid w:val="00080139"/>
    <w:rsid w:val="000801C8"/>
    <w:rsid w:val="0008022E"/>
    <w:rsid w:val="00080239"/>
    <w:rsid w:val="0008026A"/>
    <w:rsid w:val="00080287"/>
    <w:rsid w:val="00080298"/>
    <w:rsid w:val="000802CF"/>
    <w:rsid w:val="000802DE"/>
    <w:rsid w:val="0008030F"/>
    <w:rsid w:val="00080399"/>
    <w:rsid w:val="000803D2"/>
    <w:rsid w:val="0008041E"/>
    <w:rsid w:val="000804F4"/>
    <w:rsid w:val="0008053A"/>
    <w:rsid w:val="00080577"/>
    <w:rsid w:val="000805B4"/>
    <w:rsid w:val="00080602"/>
    <w:rsid w:val="0008061F"/>
    <w:rsid w:val="0008067C"/>
    <w:rsid w:val="00080709"/>
    <w:rsid w:val="0008070B"/>
    <w:rsid w:val="00080712"/>
    <w:rsid w:val="00080775"/>
    <w:rsid w:val="000807A6"/>
    <w:rsid w:val="000807F7"/>
    <w:rsid w:val="00080911"/>
    <w:rsid w:val="00080969"/>
    <w:rsid w:val="0008097E"/>
    <w:rsid w:val="00080980"/>
    <w:rsid w:val="00080A5A"/>
    <w:rsid w:val="00080A8A"/>
    <w:rsid w:val="00080A8C"/>
    <w:rsid w:val="00080AA8"/>
    <w:rsid w:val="00080AC0"/>
    <w:rsid w:val="00080B3A"/>
    <w:rsid w:val="00080B64"/>
    <w:rsid w:val="00080B71"/>
    <w:rsid w:val="00080B76"/>
    <w:rsid w:val="00080C64"/>
    <w:rsid w:val="00080C9F"/>
    <w:rsid w:val="00080CAF"/>
    <w:rsid w:val="00080CB8"/>
    <w:rsid w:val="00080CDE"/>
    <w:rsid w:val="00080D06"/>
    <w:rsid w:val="00080DF1"/>
    <w:rsid w:val="00080E1C"/>
    <w:rsid w:val="00080E71"/>
    <w:rsid w:val="00080F0B"/>
    <w:rsid w:val="00080F31"/>
    <w:rsid w:val="00080FA2"/>
    <w:rsid w:val="00080FC7"/>
    <w:rsid w:val="00080FDE"/>
    <w:rsid w:val="0008101E"/>
    <w:rsid w:val="00081065"/>
    <w:rsid w:val="0008109D"/>
    <w:rsid w:val="000810C8"/>
    <w:rsid w:val="00081162"/>
    <w:rsid w:val="000811FC"/>
    <w:rsid w:val="0008120C"/>
    <w:rsid w:val="00081240"/>
    <w:rsid w:val="00081247"/>
    <w:rsid w:val="00081294"/>
    <w:rsid w:val="000812F3"/>
    <w:rsid w:val="00081324"/>
    <w:rsid w:val="00081332"/>
    <w:rsid w:val="0008146B"/>
    <w:rsid w:val="000814E0"/>
    <w:rsid w:val="000814E9"/>
    <w:rsid w:val="000815C0"/>
    <w:rsid w:val="0008165F"/>
    <w:rsid w:val="00081662"/>
    <w:rsid w:val="000816C9"/>
    <w:rsid w:val="000816E5"/>
    <w:rsid w:val="00081727"/>
    <w:rsid w:val="00081757"/>
    <w:rsid w:val="000817D0"/>
    <w:rsid w:val="00081884"/>
    <w:rsid w:val="0008189F"/>
    <w:rsid w:val="000818F3"/>
    <w:rsid w:val="00081972"/>
    <w:rsid w:val="000819EE"/>
    <w:rsid w:val="000819FB"/>
    <w:rsid w:val="00081A0D"/>
    <w:rsid w:val="00081A30"/>
    <w:rsid w:val="00081A5D"/>
    <w:rsid w:val="00081A97"/>
    <w:rsid w:val="00081B1F"/>
    <w:rsid w:val="00081B4D"/>
    <w:rsid w:val="00081B5A"/>
    <w:rsid w:val="00081C0A"/>
    <w:rsid w:val="00081C5F"/>
    <w:rsid w:val="00081C6A"/>
    <w:rsid w:val="00081C75"/>
    <w:rsid w:val="00081C8E"/>
    <w:rsid w:val="00081DC5"/>
    <w:rsid w:val="00081DE9"/>
    <w:rsid w:val="00081DFB"/>
    <w:rsid w:val="00081E1A"/>
    <w:rsid w:val="00081E46"/>
    <w:rsid w:val="00081E48"/>
    <w:rsid w:val="00081E71"/>
    <w:rsid w:val="00081EDD"/>
    <w:rsid w:val="00081F09"/>
    <w:rsid w:val="00081F11"/>
    <w:rsid w:val="00081FA6"/>
    <w:rsid w:val="00081FA8"/>
    <w:rsid w:val="00081FBD"/>
    <w:rsid w:val="00081FFB"/>
    <w:rsid w:val="000820FB"/>
    <w:rsid w:val="0008212A"/>
    <w:rsid w:val="00082146"/>
    <w:rsid w:val="00082185"/>
    <w:rsid w:val="000821E8"/>
    <w:rsid w:val="000822CF"/>
    <w:rsid w:val="00082350"/>
    <w:rsid w:val="00082366"/>
    <w:rsid w:val="000823DC"/>
    <w:rsid w:val="000823FD"/>
    <w:rsid w:val="00082403"/>
    <w:rsid w:val="00082456"/>
    <w:rsid w:val="000824BB"/>
    <w:rsid w:val="00082568"/>
    <w:rsid w:val="00082570"/>
    <w:rsid w:val="00082606"/>
    <w:rsid w:val="0008262B"/>
    <w:rsid w:val="00082692"/>
    <w:rsid w:val="000826E1"/>
    <w:rsid w:val="000826E3"/>
    <w:rsid w:val="000826EE"/>
    <w:rsid w:val="00082746"/>
    <w:rsid w:val="00082779"/>
    <w:rsid w:val="000827AB"/>
    <w:rsid w:val="00082834"/>
    <w:rsid w:val="0008283C"/>
    <w:rsid w:val="00082889"/>
    <w:rsid w:val="0008297D"/>
    <w:rsid w:val="000829B2"/>
    <w:rsid w:val="000829D5"/>
    <w:rsid w:val="00082A02"/>
    <w:rsid w:val="00082A05"/>
    <w:rsid w:val="00082A3A"/>
    <w:rsid w:val="00082A6E"/>
    <w:rsid w:val="00082A7B"/>
    <w:rsid w:val="00082A9C"/>
    <w:rsid w:val="00082B4B"/>
    <w:rsid w:val="00082BAB"/>
    <w:rsid w:val="00082BF7"/>
    <w:rsid w:val="00082C73"/>
    <w:rsid w:val="00082C79"/>
    <w:rsid w:val="00082CEF"/>
    <w:rsid w:val="00082DA6"/>
    <w:rsid w:val="00082E8F"/>
    <w:rsid w:val="00082E91"/>
    <w:rsid w:val="00082ED3"/>
    <w:rsid w:val="00082EED"/>
    <w:rsid w:val="0008303E"/>
    <w:rsid w:val="0008307E"/>
    <w:rsid w:val="000830C8"/>
    <w:rsid w:val="000830E2"/>
    <w:rsid w:val="000830EA"/>
    <w:rsid w:val="00083123"/>
    <w:rsid w:val="00083127"/>
    <w:rsid w:val="00083162"/>
    <w:rsid w:val="00083241"/>
    <w:rsid w:val="0008329D"/>
    <w:rsid w:val="000833BE"/>
    <w:rsid w:val="00083449"/>
    <w:rsid w:val="000834FA"/>
    <w:rsid w:val="00083514"/>
    <w:rsid w:val="00083528"/>
    <w:rsid w:val="000835BD"/>
    <w:rsid w:val="00083623"/>
    <w:rsid w:val="00083710"/>
    <w:rsid w:val="0008371A"/>
    <w:rsid w:val="0008386C"/>
    <w:rsid w:val="000838A3"/>
    <w:rsid w:val="000838DC"/>
    <w:rsid w:val="0008394A"/>
    <w:rsid w:val="0008394F"/>
    <w:rsid w:val="000839AF"/>
    <w:rsid w:val="00083A0F"/>
    <w:rsid w:val="00083A28"/>
    <w:rsid w:val="00083A42"/>
    <w:rsid w:val="00083AD0"/>
    <w:rsid w:val="00083B43"/>
    <w:rsid w:val="00083B83"/>
    <w:rsid w:val="00083BDD"/>
    <w:rsid w:val="00083BEB"/>
    <w:rsid w:val="00083C07"/>
    <w:rsid w:val="00083C13"/>
    <w:rsid w:val="00083C3C"/>
    <w:rsid w:val="00083CCC"/>
    <w:rsid w:val="00083CD3"/>
    <w:rsid w:val="00083D59"/>
    <w:rsid w:val="00083DC2"/>
    <w:rsid w:val="00083DD9"/>
    <w:rsid w:val="00083DDB"/>
    <w:rsid w:val="00083DDE"/>
    <w:rsid w:val="00083E45"/>
    <w:rsid w:val="00083E80"/>
    <w:rsid w:val="00083E9C"/>
    <w:rsid w:val="00083EEC"/>
    <w:rsid w:val="00083F19"/>
    <w:rsid w:val="00083F1C"/>
    <w:rsid w:val="00083F2B"/>
    <w:rsid w:val="00083FCD"/>
    <w:rsid w:val="0008404C"/>
    <w:rsid w:val="00084074"/>
    <w:rsid w:val="000840BE"/>
    <w:rsid w:val="000840E8"/>
    <w:rsid w:val="00084104"/>
    <w:rsid w:val="00084121"/>
    <w:rsid w:val="000841C4"/>
    <w:rsid w:val="000841C7"/>
    <w:rsid w:val="00084220"/>
    <w:rsid w:val="000843A2"/>
    <w:rsid w:val="0008448B"/>
    <w:rsid w:val="00084576"/>
    <w:rsid w:val="00084587"/>
    <w:rsid w:val="000845CF"/>
    <w:rsid w:val="00084622"/>
    <w:rsid w:val="00084656"/>
    <w:rsid w:val="000846AB"/>
    <w:rsid w:val="000846D3"/>
    <w:rsid w:val="00084749"/>
    <w:rsid w:val="0008476B"/>
    <w:rsid w:val="0008477E"/>
    <w:rsid w:val="00084788"/>
    <w:rsid w:val="00084869"/>
    <w:rsid w:val="00084880"/>
    <w:rsid w:val="00084896"/>
    <w:rsid w:val="000848B0"/>
    <w:rsid w:val="000848D5"/>
    <w:rsid w:val="000848D8"/>
    <w:rsid w:val="00084936"/>
    <w:rsid w:val="00084966"/>
    <w:rsid w:val="000849F2"/>
    <w:rsid w:val="00084A25"/>
    <w:rsid w:val="00084A34"/>
    <w:rsid w:val="00084ADC"/>
    <w:rsid w:val="00084B1F"/>
    <w:rsid w:val="00084B27"/>
    <w:rsid w:val="00084B28"/>
    <w:rsid w:val="00084B44"/>
    <w:rsid w:val="00084B65"/>
    <w:rsid w:val="00084B79"/>
    <w:rsid w:val="00084BF0"/>
    <w:rsid w:val="00084BF1"/>
    <w:rsid w:val="00084BFB"/>
    <w:rsid w:val="00084C0F"/>
    <w:rsid w:val="00084D1F"/>
    <w:rsid w:val="00084DA3"/>
    <w:rsid w:val="00084DAB"/>
    <w:rsid w:val="00084DE4"/>
    <w:rsid w:val="00084E38"/>
    <w:rsid w:val="00084E5D"/>
    <w:rsid w:val="00084E60"/>
    <w:rsid w:val="00084E84"/>
    <w:rsid w:val="00084E89"/>
    <w:rsid w:val="00084ECE"/>
    <w:rsid w:val="00084F10"/>
    <w:rsid w:val="00084F74"/>
    <w:rsid w:val="00084FEE"/>
    <w:rsid w:val="00085008"/>
    <w:rsid w:val="00085056"/>
    <w:rsid w:val="0008505B"/>
    <w:rsid w:val="0008508A"/>
    <w:rsid w:val="00085106"/>
    <w:rsid w:val="000851DF"/>
    <w:rsid w:val="00085228"/>
    <w:rsid w:val="00085277"/>
    <w:rsid w:val="0008529A"/>
    <w:rsid w:val="000852B9"/>
    <w:rsid w:val="000852C7"/>
    <w:rsid w:val="00085337"/>
    <w:rsid w:val="00085357"/>
    <w:rsid w:val="00085379"/>
    <w:rsid w:val="000853F8"/>
    <w:rsid w:val="0008544C"/>
    <w:rsid w:val="0008544D"/>
    <w:rsid w:val="000854D7"/>
    <w:rsid w:val="000854EA"/>
    <w:rsid w:val="00085595"/>
    <w:rsid w:val="000855ED"/>
    <w:rsid w:val="00085630"/>
    <w:rsid w:val="00085638"/>
    <w:rsid w:val="0008564B"/>
    <w:rsid w:val="000856B2"/>
    <w:rsid w:val="00085745"/>
    <w:rsid w:val="000857AB"/>
    <w:rsid w:val="00085821"/>
    <w:rsid w:val="00085830"/>
    <w:rsid w:val="000858EE"/>
    <w:rsid w:val="0008590A"/>
    <w:rsid w:val="00085980"/>
    <w:rsid w:val="0008599A"/>
    <w:rsid w:val="000859FC"/>
    <w:rsid w:val="00085A41"/>
    <w:rsid w:val="00085A7E"/>
    <w:rsid w:val="00085AAC"/>
    <w:rsid w:val="00085AE8"/>
    <w:rsid w:val="00085B06"/>
    <w:rsid w:val="00085BB9"/>
    <w:rsid w:val="00085BBD"/>
    <w:rsid w:val="00085C2D"/>
    <w:rsid w:val="00085CAF"/>
    <w:rsid w:val="00085CE8"/>
    <w:rsid w:val="00085DA6"/>
    <w:rsid w:val="00085DB1"/>
    <w:rsid w:val="00085DCD"/>
    <w:rsid w:val="00085DEB"/>
    <w:rsid w:val="00085E07"/>
    <w:rsid w:val="00085E70"/>
    <w:rsid w:val="00085E7A"/>
    <w:rsid w:val="00085EF9"/>
    <w:rsid w:val="00085F32"/>
    <w:rsid w:val="00085F34"/>
    <w:rsid w:val="00085F70"/>
    <w:rsid w:val="0008600E"/>
    <w:rsid w:val="0008602A"/>
    <w:rsid w:val="00086072"/>
    <w:rsid w:val="000860A3"/>
    <w:rsid w:val="00086130"/>
    <w:rsid w:val="0008615F"/>
    <w:rsid w:val="0008619B"/>
    <w:rsid w:val="000861AC"/>
    <w:rsid w:val="000861DD"/>
    <w:rsid w:val="00086242"/>
    <w:rsid w:val="00086303"/>
    <w:rsid w:val="00086316"/>
    <w:rsid w:val="0008632F"/>
    <w:rsid w:val="00086336"/>
    <w:rsid w:val="00086355"/>
    <w:rsid w:val="00086362"/>
    <w:rsid w:val="0008638E"/>
    <w:rsid w:val="00086391"/>
    <w:rsid w:val="000863DD"/>
    <w:rsid w:val="00086417"/>
    <w:rsid w:val="00086465"/>
    <w:rsid w:val="00086528"/>
    <w:rsid w:val="00086562"/>
    <w:rsid w:val="000865D5"/>
    <w:rsid w:val="000865E4"/>
    <w:rsid w:val="0008669B"/>
    <w:rsid w:val="000866E2"/>
    <w:rsid w:val="00086777"/>
    <w:rsid w:val="000867A6"/>
    <w:rsid w:val="000867E0"/>
    <w:rsid w:val="000867FA"/>
    <w:rsid w:val="00086838"/>
    <w:rsid w:val="00086888"/>
    <w:rsid w:val="000868DF"/>
    <w:rsid w:val="0008690B"/>
    <w:rsid w:val="00086990"/>
    <w:rsid w:val="00086A04"/>
    <w:rsid w:val="00086A3B"/>
    <w:rsid w:val="00086A46"/>
    <w:rsid w:val="00086A85"/>
    <w:rsid w:val="00086AF0"/>
    <w:rsid w:val="00086B30"/>
    <w:rsid w:val="00086B81"/>
    <w:rsid w:val="00086BBD"/>
    <w:rsid w:val="00086C5B"/>
    <w:rsid w:val="00086C92"/>
    <w:rsid w:val="00086CE6"/>
    <w:rsid w:val="00086CEC"/>
    <w:rsid w:val="00086CFE"/>
    <w:rsid w:val="00086D06"/>
    <w:rsid w:val="00086E12"/>
    <w:rsid w:val="00086ED7"/>
    <w:rsid w:val="00086F00"/>
    <w:rsid w:val="00086F4E"/>
    <w:rsid w:val="00086F92"/>
    <w:rsid w:val="00086FD3"/>
    <w:rsid w:val="00086FFE"/>
    <w:rsid w:val="00087039"/>
    <w:rsid w:val="0008706A"/>
    <w:rsid w:val="000870C3"/>
    <w:rsid w:val="000870D0"/>
    <w:rsid w:val="000870D7"/>
    <w:rsid w:val="00087203"/>
    <w:rsid w:val="00087204"/>
    <w:rsid w:val="0008728D"/>
    <w:rsid w:val="000872F3"/>
    <w:rsid w:val="00087367"/>
    <w:rsid w:val="0008743E"/>
    <w:rsid w:val="00087493"/>
    <w:rsid w:val="000874C4"/>
    <w:rsid w:val="0008752A"/>
    <w:rsid w:val="00087594"/>
    <w:rsid w:val="00087634"/>
    <w:rsid w:val="00087639"/>
    <w:rsid w:val="000876D2"/>
    <w:rsid w:val="00087721"/>
    <w:rsid w:val="000877C7"/>
    <w:rsid w:val="000877C9"/>
    <w:rsid w:val="00087864"/>
    <w:rsid w:val="000878EA"/>
    <w:rsid w:val="00087944"/>
    <w:rsid w:val="0008794A"/>
    <w:rsid w:val="0008795F"/>
    <w:rsid w:val="00087967"/>
    <w:rsid w:val="000879A7"/>
    <w:rsid w:val="00087A72"/>
    <w:rsid w:val="00087ACB"/>
    <w:rsid w:val="00087B05"/>
    <w:rsid w:val="00087B16"/>
    <w:rsid w:val="00087B34"/>
    <w:rsid w:val="00087B57"/>
    <w:rsid w:val="00087B59"/>
    <w:rsid w:val="00087BD7"/>
    <w:rsid w:val="00087BF8"/>
    <w:rsid w:val="00087C10"/>
    <w:rsid w:val="00087C15"/>
    <w:rsid w:val="00087C26"/>
    <w:rsid w:val="00087CCD"/>
    <w:rsid w:val="00087CE1"/>
    <w:rsid w:val="00087CF6"/>
    <w:rsid w:val="00087D26"/>
    <w:rsid w:val="00087DBB"/>
    <w:rsid w:val="00087EDD"/>
    <w:rsid w:val="00087F2F"/>
    <w:rsid w:val="00087F42"/>
    <w:rsid w:val="00087FA2"/>
    <w:rsid w:val="00087FDB"/>
    <w:rsid w:val="00090039"/>
    <w:rsid w:val="0009003A"/>
    <w:rsid w:val="0009004A"/>
    <w:rsid w:val="0009004B"/>
    <w:rsid w:val="0009009F"/>
    <w:rsid w:val="000900CC"/>
    <w:rsid w:val="000900EB"/>
    <w:rsid w:val="000900FD"/>
    <w:rsid w:val="0009011E"/>
    <w:rsid w:val="000901BD"/>
    <w:rsid w:val="000901CB"/>
    <w:rsid w:val="00090244"/>
    <w:rsid w:val="00090283"/>
    <w:rsid w:val="000902C5"/>
    <w:rsid w:val="000903D4"/>
    <w:rsid w:val="00090454"/>
    <w:rsid w:val="000904B3"/>
    <w:rsid w:val="000904C6"/>
    <w:rsid w:val="000904FD"/>
    <w:rsid w:val="00090520"/>
    <w:rsid w:val="0009057E"/>
    <w:rsid w:val="000905D8"/>
    <w:rsid w:val="00090605"/>
    <w:rsid w:val="00090606"/>
    <w:rsid w:val="00090616"/>
    <w:rsid w:val="000906BC"/>
    <w:rsid w:val="000906ED"/>
    <w:rsid w:val="0009073C"/>
    <w:rsid w:val="000907FF"/>
    <w:rsid w:val="00090807"/>
    <w:rsid w:val="00090900"/>
    <w:rsid w:val="00090911"/>
    <w:rsid w:val="00090947"/>
    <w:rsid w:val="00090954"/>
    <w:rsid w:val="000909C4"/>
    <w:rsid w:val="000909E9"/>
    <w:rsid w:val="00090A01"/>
    <w:rsid w:val="00090AC9"/>
    <w:rsid w:val="00090AD5"/>
    <w:rsid w:val="00090B35"/>
    <w:rsid w:val="00090B3B"/>
    <w:rsid w:val="00090B5A"/>
    <w:rsid w:val="00090B8A"/>
    <w:rsid w:val="00090BEC"/>
    <w:rsid w:val="00090C25"/>
    <w:rsid w:val="00090C50"/>
    <w:rsid w:val="00090C89"/>
    <w:rsid w:val="00090C8B"/>
    <w:rsid w:val="00090D05"/>
    <w:rsid w:val="00090D81"/>
    <w:rsid w:val="00090DB8"/>
    <w:rsid w:val="00090E6C"/>
    <w:rsid w:val="00090E82"/>
    <w:rsid w:val="00090EE3"/>
    <w:rsid w:val="00090F05"/>
    <w:rsid w:val="00090F69"/>
    <w:rsid w:val="00090FDB"/>
    <w:rsid w:val="00091047"/>
    <w:rsid w:val="000910BD"/>
    <w:rsid w:val="00091102"/>
    <w:rsid w:val="00091226"/>
    <w:rsid w:val="00091242"/>
    <w:rsid w:val="00091292"/>
    <w:rsid w:val="000912B5"/>
    <w:rsid w:val="00091351"/>
    <w:rsid w:val="0009135A"/>
    <w:rsid w:val="000913D9"/>
    <w:rsid w:val="000914B7"/>
    <w:rsid w:val="000914BA"/>
    <w:rsid w:val="00091511"/>
    <w:rsid w:val="00091521"/>
    <w:rsid w:val="00091535"/>
    <w:rsid w:val="0009158C"/>
    <w:rsid w:val="0009159C"/>
    <w:rsid w:val="000915D0"/>
    <w:rsid w:val="000915D4"/>
    <w:rsid w:val="000915F6"/>
    <w:rsid w:val="0009160F"/>
    <w:rsid w:val="0009162C"/>
    <w:rsid w:val="00091634"/>
    <w:rsid w:val="0009167F"/>
    <w:rsid w:val="00091694"/>
    <w:rsid w:val="00091738"/>
    <w:rsid w:val="0009176A"/>
    <w:rsid w:val="000917AF"/>
    <w:rsid w:val="000917C6"/>
    <w:rsid w:val="00091826"/>
    <w:rsid w:val="0009183B"/>
    <w:rsid w:val="00091873"/>
    <w:rsid w:val="00091895"/>
    <w:rsid w:val="000918DA"/>
    <w:rsid w:val="00091953"/>
    <w:rsid w:val="00091979"/>
    <w:rsid w:val="00091A24"/>
    <w:rsid w:val="00091A53"/>
    <w:rsid w:val="00091B34"/>
    <w:rsid w:val="00091B62"/>
    <w:rsid w:val="00091B86"/>
    <w:rsid w:val="00091BFA"/>
    <w:rsid w:val="00091C5C"/>
    <w:rsid w:val="00091C62"/>
    <w:rsid w:val="00091CB7"/>
    <w:rsid w:val="00091D2D"/>
    <w:rsid w:val="00091D75"/>
    <w:rsid w:val="00091DFF"/>
    <w:rsid w:val="00091F0D"/>
    <w:rsid w:val="00091F55"/>
    <w:rsid w:val="00091F65"/>
    <w:rsid w:val="00091F71"/>
    <w:rsid w:val="00091FC4"/>
    <w:rsid w:val="00092015"/>
    <w:rsid w:val="00092038"/>
    <w:rsid w:val="0009206A"/>
    <w:rsid w:val="0009208B"/>
    <w:rsid w:val="000920A2"/>
    <w:rsid w:val="00092129"/>
    <w:rsid w:val="00092149"/>
    <w:rsid w:val="00092349"/>
    <w:rsid w:val="0009235C"/>
    <w:rsid w:val="00092364"/>
    <w:rsid w:val="000923C9"/>
    <w:rsid w:val="0009243A"/>
    <w:rsid w:val="00092463"/>
    <w:rsid w:val="000924A7"/>
    <w:rsid w:val="000924AA"/>
    <w:rsid w:val="000924B6"/>
    <w:rsid w:val="00092522"/>
    <w:rsid w:val="0009253B"/>
    <w:rsid w:val="00092546"/>
    <w:rsid w:val="00092549"/>
    <w:rsid w:val="00092690"/>
    <w:rsid w:val="000926A0"/>
    <w:rsid w:val="00092770"/>
    <w:rsid w:val="00092785"/>
    <w:rsid w:val="000927D6"/>
    <w:rsid w:val="00092860"/>
    <w:rsid w:val="00092868"/>
    <w:rsid w:val="00092952"/>
    <w:rsid w:val="00092980"/>
    <w:rsid w:val="000929B2"/>
    <w:rsid w:val="00092A12"/>
    <w:rsid w:val="00092A31"/>
    <w:rsid w:val="00092B30"/>
    <w:rsid w:val="00092BB2"/>
    <w:rsid w:val="00092BB5"/>
    <w:rsid w:val="00092BD9"/>
    <w:rsid w:val="00092C04"/>
    <w:rsid w:val="00092C11"/>
    <w:rsid w:val="00092C25"/>
    <w:rsid w:val="00092C51"/>
    <w:rsid w:val="00092CAE"/>
    <w:rsid w:val="00092D0E"/>
    <w:rsid w:val="00092D3F"/>
    <w:rsid w:val="00092D80"/>
    <w:rsid w:val="00092DC2"/>
    <w:rsid w:val="00092DDF"/>
    <w:rsid w:val="00092E01"/>
    <w:rsid w:val="00092E31"/>
    <w:rsid w:val="00092E94"/>
    <w:rsid w:val="00092F78"/>
    <w:rsid w:val="00092F81"/>
    <w:rsid w:val="0009308F"/>
    <w:rsid w:val="000930B2"/>
    <w:rsid w:val="000930E7"/>
    <w:rsid w:val="00093130"/>
    <w:rsid w:val="00093133"/>
    <w:rsid w:val="00093153"/>
    <w:rsid w:val="00093239"/>
    <w:rsid w:val="00093243"/>
    <w:rsid w:val="00093283"/>
    <w:rsid w:val="00093300"/>
    <w:rsid w:val="00093339"/>
    <w:rsid w:val="0009334C"/>
    <w:rsid w:val="0009336B"/>
    <w:rsid w:val="000933C8"/>
    <w:rsid w:val="000933DD"/>
    <w:rsid w:val="00093408"/>
    <w:rsid w:val="00093498"/>
    <w:rsid w:val="00093625"/>
    <w:rsid w:val="000936E4"/>
    <w:rsid w:val="00093710"/>
    <w:rsid w:val="00093773"/>
    <w:rsid w:val="00093811"/>
    <w:rsid w:val="00093833"/>
    <w:rsid w:val="000938A6"/>
    <w:rsid w:val="000938C3"/>
    <w:rsid w:val="000938CC"/>
    <w:rsid w:val="000938F0"/>
    <w:rsid w:val="000939C5"/>
    <w:rsid w:val="000939F3"/>
    <w:rsid w:val="00093A6F"/>
    <w:rsid w:val="00093B39"/>
    <w:rsid w:val="00093BBA"/>
    <w:rsid w:val="00093BDF"/>
    <w:rsid w:val="00093C01"/>
    <w:rsid w:val="00093C87"/>
    <w:rsid w:val="00093C91"/>
    <w:rsid w:val="00093CAF"/>
    <w:rsid w:val="00093CF7"/>
    <w:rsid w:val="00093D0E"/>
    <w:rsid w:val="00093D1E"/>
    <w:rsid w:val="00093D99"/>
    <w:rsid w:val="00093DA1"/>
    <w:rsid w:val="00093DA3"/>
    <w:rsid w:val="00093DB0"/>
    <w:rsid w:val="00093DD2"/>
    <w:rsid w:val="00093DDD"/>
    <w:rsid w:val="00093DED"/>
    <w:rsid w:val="00093E60"/>
    <w:rsid w:val="00093EFF"/>
    <w:rsid w:val="00093F21"/>
    <w:rsid w:val="00093F2B"/>
    <w:rsid w:val="00093F4F"/>
    <w:rsid w:val="00093FAF"/>
    <w:rsid w:val="00094000"/>
    <w:rsid w:val="0009401E"/>
    <w:rsid w:val="0009403A"/>
    <w:rsid w:val="000940D2"/>
    <w:rsid w:val="00094153"/>
    <w:rsid w:val="00094202"/>
    <w:rsid w:val="0009420D"/>
    <w:rsid w:val="00094230"/>
    <w:rsid w:val="00094250"/>
    <w:rsid w:val="00094326"/>
    <w:rsid w:val="00094381"/>
    <w:rsid w:val="0009443B"/>
    <w:rsid w:val="00094480"/>
    <w:rsid w:val="0009448A"/>
    <w:rsid w:val="000944DD"/>
    <w:rsid w:val="00094503"/>
    <w:rsid w:val="0009451C"/>
    <w:rsid w:val="00094529"/>
    <w:rsid w:val="0009454A"/>
    <w:rsid w:val="0009455A"/>
    <w:rsid w:val="000945BC"/>
    <w:rsid w:val="00094621"/>
    <w:rsid w:val="0009463D"/>
    <w:rsid w:val="00094673"/>
    <w:rsid w:val="0009468E"/>
    <w:rsid w:val="00094691"/>
    <w:rsid w:val="000946B2"/>
    <w:rsid w:val="000946D9"/>
    <w:rsid w:val="00094701"/>
    <w:rsid w:val="00094714"/>
    <w:rsid w:val="00094744"/>
    <w:rsid w:val="00094770"/>
    <w:rsid w:val="00094787"/>
    <w:rsid w:val="0009480B"/>
    <w:rsid w:val="00094850"/>
    <w:rsid w:val="00094898"/>
    <w:rsid w:val="000949E3"/>
    <w:rsid w:val="00094A0A"/>
    <w:rsid w:val="00094A0B"/>
    <w:rsid w:val="00094A15"/>
    <w:rsid w:val="00094A2C"/>
    <w:rsid w:val="00094AC9"/>
    <w:rsid w:val="00094AD9"/>
    <w:rsid w:val="00094ADF"/>
    <w:rsid w:val="00094B36"/>
    <w:rsid w:val="00094B3D"/>
    <w:rsid w:val="00094B5D"/>
    <w:rsid w:val="00094B61"/>
    <w:rsid w:val="00094B90"/>
    <w:rsid w:val="00094BDE"/>
    <w:rsid w:val="00094C53"/>
    <w:rsid w:val="00094CB7"/>
    <w:rsid w:val="00094CE0"/>
    <w:rsid w:val="00094CE7"/>
    <w:rsid w:val="00094D6E"/>
    <w:rsid w:val="00094DBC"/>
    <w:rsid w:val="00094E38"/>
    <w:rsid w:val="00094E3F"/>
    <w:rsid w:val="00094E80"/>
    <w:rsid w:val="00094EC0"/>
    <w:rsid w:val="00094F89"/>
    <w:rsid w:val="00095005"/>
    <w:rsid w:val="0009501A"/>
    <w:rsid w:val="00095060"/>
    <w:rsid w:val="00095088"/>
    <w:rsid w:val="000950B6"/>
    <w:rsid w:val="00095119"/>
    <w:rsid w:val="00095195"/>
    <w:rsid w:val="00095209"/>
    <w:rsid w:val="00095316"/>
    <w:rsid w:val="00095327"/>
    <w:rsid w:val="00095384"/>
    <w:rsid w:val="000953E4"/>
    <w:rsid w:val="000953F6"/>
    <w:rsid w:val="000954D1"/>
    <w:rsid w:val="000954F1"/>
    <w:rsid w:val="000954FE"/>
    <w:rsid w:val="0009550B"/>
    <w:rsid w:val="00095539"/>
    <w:rsid w:val="00095542"/>
    <w:rsid w:val="000955EE"/>
    <w:rsid w:val="00095640"/>
    <w:rsid w:val="000956C4"/>
    <w:rsid w:val="000956CB"/>
    <w:rsid w:val="0009575F"/>
    <w:rsid w:val="00095793"/>
    <w:rsid w:val="000957A8"/>
    <w:rsid w:val="00095819"/>
    <w:rsid w:val="00095854"/>
    <w:rsid w:val="000958CE"/>
    <w:rsid w:val="00095951"/>
    <w:rsid w:val="00095994"/>
    <w:rsid w:val="000959AE"/>
    <w:rsid w:val="000959E6"/>
    <w:rsid w:val="00095A45"/>
    <w:rsid w:val="00095A4F"/>
    <w:rsid w:val="00095A61"/>
    <w:rsid w:val="00095A6A"/>
    <w:rsid w:val="00095A72"/>
    <w:rsid w:val="00095A7E"/>
    <w:rsid w:val="00095A85"/>
    <w:rsid w:val="00095B13"/>
    <w:rsid w:val="00095B4D"/>
    <w:rsid w:val="00095B91"/>
    <w:rsid w:val="00095BE8"/>
    <w:rsid w:val="00095BF9"/>
    <w:rsid w:val="00095C3B"/>
    <w:rsid w:val="00095D51"/>
    <w:rsid w:val="00095DDE"/>
    <w:rsid w:val="00095E12"/>
    <w:rsid w:val="00095E2C"/>
    <w:rsid w:val="00095E45"/>
    <w:rsid w:val="00095E53"/>
    <w:rsid w:val="00095EC1"/>
    <w:rsid w:val="00095F96"/>
    <w:rsid w:val="00095FBC"/>
    <w:rsid w:val="0009607D"/>
    <w:rsid w:val="000960B0"/>
    <w:rsid w:val="000960D7"/>
    <w:rsid w:val="000960D8"/>
    <w:rsid w:val="0009611C"/>
    <w:rsid w:val="0009613D"/>
    <w:rsid w:val="0009614B"/>
    <w:rsid w:val="000961B0"/>
    <w:rsid w:val="00096246"/>
    <w:rsid w:val="00096247"/>
    <w:rsid w:val="00096339"/>
    <w:rsid w:val="00096363"/>
    <w:rsid w:val="000963F5"/>
    <w:rsid w:val="000964AB"/>
    <w:rsid w:val="000964E7"/>
    <w:rsid w:val="000964F5"/>
    <w:rsid w:val="000964FC"/>
    <w:rsid w:val="0009651D"/>
    <w:rsid w:val="0009652C"/>
    <w:rsid w:val="0009662D"/>
    <w:rsid w:val="00096655"/>
    <w:rsid w:val="000966B5"/>
    <w:rsid w:val="0009671E"/>
    <w:rsid w:val="0009673F"/>
    <w:rsid w:val="00096763"/>
    <w:rsid w:val="000967C5"/>
    <w:rsid w:val="0009681A"/>
    <w:rsid w:val="0009681B"/>
    <w:rsid w:val="0009684E"/>
    <w:rsid w:val="0009685E"/>
    <w:rsid w:val="0009688F"/>
    <w:rsid w:val="0009690B"/>
    <w:rsid w:val="00096921"/>
    <w:rsid w:val="0009696C"/>
    <w:rsid w:val="00096975"/>
    <w:rsid w:val="00096989"/>
    <w:rsid w:val="000969AB"/>
    <w:rsid w:val="000969DE"/>
    <w:rsid w:val="00096A43"/>
    <w:rsid w:val="00096A45"/>
    <w:rsid w:val="00096AD5"/>
    <w:rsid w:val="00096ADF"/>
    <w:rsid w:val="00096AE9"/>
    <w:rsid w:val="00096CED"/>
    <w:rsid w:val="00096D68"/>
    <w:rsid w:val="00096E1E"/>
    <w:rsid w:val="00096E1F"/>
    <w:rsid w:val="00096E87"/>
    <w:rsid w:val="00096EE8"/>
    <w:rsid w:val="00097094"/>
    <w:rsid w:val="00097098"/>
    <w:rsid w:val="000970C5"/>
    <w:rsid w:val="000970C6"/>
    <w:rsid w:val="000970D5"/>
    <w:rsid w:val="00097132"/>
    <w:rsid w:val="00097255"/>
    <w:rsid w:val="0009728A"/>
    <w:rsid w:val="0009731A"/>
    <w:rsid w:val="000973DB"/>
    <w:rsid w:val="00097463"/>
    <w:rsid w:val="000974EB"/>
    <w:rsid w:val="000974F5"/>
    <w:rsid w:val="0009750A"/>
    <w:rsid w:val="0009752A"/>
    <w:rsid w:val="00097544"/>
    <w:rsid w:val="00097549"/>
    <w:rsid w:val="0009758F"/>
    <w:rsid w:val="000975C2"/>
    <w:rsid w:val="000975E7"/>
    <w:rsid w:val="0009768D"/>
    <w:rsid w:val="000976AF"/>
    <w:rsid w:val="00097753"/>
    <w:rsid w:val="000977AA"/>
    <w:rsid w:val="0009786F"/>
    <w:rsid w:val="000978C2"/>
    <w:rsid w:val="00097904"/>
    <w:rsid w:val="00097927"/>
    <w:rsid w:val="00097956"/>
    <w:rsid w:val="00097988"/>
    <w:rsid w:val="00097997"/>
    <w:rsid w:val="000979CF"/>
    <w:rsid w:val="00097AAD"/>
    <w:rsid w:val="00097AF0"/>
    <w:rsid w:val="00097B2E"/>
    <w:rsid w:val="00097B91"/>
    <w:rsid w:val="00097BA9"/>
    <w:rsid w:val="00097BE3"/>
    <w:rsid w:val="00097C31"/>
    <w:rsid w:val="00097C5C"/>
    <w:rsid w:val="00097C6C"/>
    <w:rsid w:val="00097CA1"/>
    <w:rsid w:val="00097D6D"/>
    <w:rsid w:val="00097D77"/>
    <w:rsid w:val="00097DE3"/>
    <w:rsid w:val="00097E22"/>
    <w:rsid w:val="00097E3B"/>
    <w:rsid w:val="00097E54"/>
    <w:rsid w:val="00097F01"/>
    <w:rsid w:val="00097F03"/>
    <w:rsid w:val="00097F64"/>
    <w:rsid w:val="000A003B"/>
    <w:rsid w:val="000A0075"/>
    <w:rsid w:val="000A00BB"/>
    <w:rsid w:val="000A00E0"/>
    <w:rsid w:val="000A025E"/>
    <w:rsid w:val="000A0267"/>
    <w:rsid w:val="000A02D5"/>
    <w:rsid w:val="000A02E6"/>
    <w:rsid w:val="000A0320"/>
    <w:rsid w:val="000A0331"/>
    <w:rsid w:val="000A0361"/>
    <w:rsid w:val="000A0381"/>
    <w:rsid w:val="000A038F"/>
    <w:rsid w:val="000A041F"/>
    <w:rsid w:val="000A0450"/>
    <w:rsid w:val="000A046E"/>
    <w:rsid w:val="000A04BC"/>
    <w:rsid w:val="000A04D0"/>
    <w:rsid w:val="000A051F"/>
    <w:rsid w:val="000A057F"/>
    <w:rsid w:val="000A0593"/>
    <w:rsid w:val="000A05B0"/>
    <w:rsid w:val="000A0652"/>
    <w:rsid w:val="000A0705"/>
    <w:rsid w:val="000A0746"/>
    <w:rsid w:val="000A0759"/>
    <w:rsid w:val="000A07B1"/>
    <w:rsid w:val="000A07D0"/>
    <w:rsid w:val="000A0826"/>
    <w:rsid w:val="000A083E"/>
    <w:rsid w:val="000A089E"/>
    <w:rsid w:val="000A08C8"/>
    <w:rsid w:val="000A08FE"/>
    <w:rsid w:val="000A0912"/>
    <w:rsid w:val="000A0989"/>
    <w:rsid w:val="000A09BB"/>
    <w:rsid w:val="000A0AF8"/>
    <w:rsid w:val="000A0B44"/>
    <w:rsid w:val="000A0B6F"/>
    <w:rsid w:val="000A0B76"/>
    <w:rsid w:val="000A0C55"/>
    <w:rsid w:val="000A0C8D"/>
    <w:rsid w:val="000A0C9C"/>
    <w:rsid w:val="000A0CB5"/>
    <w:rsid w:val="000A0CF3"/>
    <w:rsid w:val="000A0DA4"/>
    <w:rsid w:val="000A0DC7"/>
    <w:rsid w:val="000A0E4B"/>
    <w:rsid w:val="000A0ED6"/>
    <w:rsid w:val="000A0FBC"/>
    <w:rsid w:val="000A100A"/>
    <w:rsid w:val="000A10BE"/>
    <w:rsid w:val="000A113B"/>
    <w:rsid w:val="000A1182"/>
    <w:rsid w:val="000A118B"/>
    <w:rsid w:val="000A118D"/>
    <w:rsid w:val="000A11C5"/>
    <w:rsid w:val="000A1205"/>
    <w:rsid w:val="000A121C"/>
    <w:rsid w:val="000A1291"/>
    <w:rsid w:val="000A12B6"/>
    <w:rsid w:val="000A131B"/>
    <w:rsid w:val="000A1370"/>
    <w:rsid w:val="000A1373"/>
    <w:rsid w:val="000A148A"/>
    <w:rsid w:val="000A1502"/>
    <w:rsid w:val="000A152D"/>
    <w:rsid w:val="000A1536"/>
    <w:rsid w:val="000A154E"/>
    <w:rsid w:val="000A155C"/>
    <w:rsid w:val="000A1563"/>
    <w:rsid w:val="000A1573"/>
    <w:rsid w:val="000A15AB"/>
    <w:rsid w:val="000A15B8"/>
    <w:rsid w:val="000A15CD"/>
    <w:rsid w:val="000A15CE"/>
    <w:rsid w:val="000A161A"/>
    <w:rsid w:val="000A1621"/>
    <w:rsid w:val="000A16EC"/>
    <w:rsid w:val="000A16FE"/>
    <w:rsid w:val="000A17CE"/>
    <w:rsid w:val="000A17E3"/>
    <w:rsid w:val="000A1814"/>
    <w:rsid w:val="000A1819"/>
    <w:rsid w:val="000A1833"/>
    <w:rsid w:val="000A186A"/>
    <w:rsid w:val="000A18F4"/>
    <w:rsid w:val="000A18F9"/>
    <w:rsid w:val="000A1921"/>
    <w:rsid w:val="000A196F"/>
    <w:rsid w:val="000A1A69"/>
    <w:rsid w:val="000A1A83"/>
    <w:rsid w:val="000A1AA2"/>
    <w:rsid w:val="000A1AD5"/>
    <w:rsid w:val="000A1BA1"/>
    <w:rsid w:val="000A1BC4"/>
    <w:rsid w:val="000A1C42"/>
    <w:rsid w:val="000A1C75"/>
    <w:rsid w:val="000A1CC9"/>
    <w:rsid w:val="000A1D7A"/>
    <w:rsid w:val="000A1E16"/>
    <w:rsid w:val="000A1ED4"/>
    <w:rsid w:val="000A1F32"/>
    <w:rsid w:val="000A1F6A"/>
    <w:rsid w:val="000A1F72"/>
    <w:rsid w:val="000A1F82"/>
    <w:rsid w:val="000A1FA0"/>
    <w:rsid w:val="000A1FC0"/>
    <w:rsid w:val="000A200E"/>
    <w:rsid w:val="000A2038"/>
    <w:rsid w:val="000A2051"/>
    <w:rsid w:val="000A2074"/>
    <w:rsid w:val="000A2088"/>
    <w:rsid w:val="000A218D"/>
    <w:rsid w:val="000A21AE"/>
    <w:rsid w:val="000A21DB"/>
    <w:rsid w:val="000A2249"/>
    <w:rsid w:val="000A2310"/>
    <w:rsid w:val="000A2379"/>
    <w:rsid w:val="000A241F"/>
    <w:rsid w:val="000A245F"/>
    <w:rsid w:val="000A2467"/>
    <w:rsid w:val="000A2471"/>
    <w:rsid w:val="000A2525"/>
    <w:rsid w:val="000A25B8"/>
    <w:rsid w:val="000A260F"/>
    <w:rsid w:val="000A2684"/>
    <w:rsid w:val="000A2695"/>
    <w:rsid w:val="000A26DC"/>
    <w:rsid w:val="000A26F7"/>
    <w:rsid w:val="000A26FF"/>
    <w:rsid w:val="000A2743"/>
    <w:rsid w:val="000A2791"/>
    <w:rsid w:val="000A27FE"/>
    <w:rsid w:val="000A2848"/>
    <w:rsid w:val="000A2888"/>
    <w:rsid w:val="000A28B7"/>
    <w:rsid w:val="000A291D"/>
    <w:rsid w:val="000A2953"/>
    <w:rsid w:val="000A29B1"/>
    <w:rsid w:val="000A29F7"/>
    <w:rsid w:val="000A2A03"/>
    <w:rsid w:val="000A2A27"/>
    <w:rsid w:val="000A2A5F"/>
    <w:rsid w:val="000A2A65"/>
    <w:rsid w:val="000A2A73"/>
    <w:rsid w:val="000A2A7B"/>
    <w:rsid w:val="000A2AAB"/>
    <w:rsid w:val="000A2B60"/>
    <w:rsid w:val="000A2B96"/>
    <w:rsid w:val="000A2B97"/>
    <w:rsid w:val="000A2BDA"/>
    <w:rsid w:val="000A2C05"/>
    <w:rsid w:val="000A2D05"/>
    <w:rsid w:val="000A2D1D"/>
    <w:rsid w:val="000A2D6E"/>
    <w:rsid w:val="000A2E0D"/>
    <w:rsid w:val="000A2E75"/>
    <w:rsid w:val="000A2E84"/>
    <w:rsid w:val="000A2EE4"/>
    <w:rsid w:val="000A2EF8"/>
    <w:rsid w:val="000A2F58"/>
    <w:rsid w:val="000A2FA7"/>
    <w:rsid w:val="000A2FC9"/>
    <w:rsid w:val="000A2FF5"/>
    <w:rsid w:val="000A30D7"/>
    <w:rsid w:val="000A30F0"/>
    <w:rsid w:val="000A3158"/>
    <w:rsid w:val="000A31C2"/>
    <w:rsid w:val="000A31D4"/>
    <w:rsid w:val="000A3214"/>
    <w:rsid w:val="000A3217"/>
    <w:rsid w:val="000A321C"/>
    <w:rsid w:val="000A32AA"/>
    <w:rsid w:val="000A3329"/>
    <w:rsid w:val="000A3392"/>
    <w:rsid w:val="000A33EA"/>
    <w:rsid w:val="000A34D6"/>
    <w:rsid w:val="000A352A"/>
    <w:rsid w:val="000A3533"/>
    <w:rsid w:val="000A3567"/>
    <w:rsid w:val="000A356B"/>
    <w:rsid w:val="000A359D"/>
    <w:rsid w:val="000A3626"/>
    <w:rsid w:val="000A368E"/>
    <w:rsid w:val="000A3717"/>
    <w:rsid w:val="000A374F"/>
    <w:rsid w:val="000A37E0"/>
    <w:rsid w:val="000A381E"/>
    <w:rsid w:val="000A38E7"/>
    <w:rsid w:val="000A38EF"/>
    <w:rsid w:val="000A3937"/>
    <w:rsid w:val="000A3947"/>
    <w:rsid w:val="000A394F"/>
    <w:rsid w:val="000A3969"/>
    <w:rsid w:val="000A39F9"/>
    <w:rsid w:val="000A3A5C"/>
    <w:rsid w:val="000A3AA2"/>
    <w:rsid w:val="000A3AC7"/>
    <w:rsid w:val="000A3B2C"/>
    <w:rsid w:val="000A3B37"/>
    <w:rsid w:val="000A3C12"/>
    <w:rsid w:val="000A3C17"/>
    <w:rsid w:val="000A3C34"/>
    <w:rsid w:val="000A3C7E"/>
    <w:rsid w:val="000A3D0D"/>
    <w:rsid w:val="000A3D1F"/>
    <w:rsid w:val="000A3D34"/>
    <w:rsid w:val="000A3D3C"/>
    <w:rsid w:val="000A3D6A"/>
    <w:rsid w:val="000A3D98"/>
    <w:rsid w:val="000A3DC1"/>
    <w:rsid w:val="000A3DEA"/>
    <w:rsid w:val="000A3E06"/>
    <w:rsid w:val="000A3E42"/>
    <w:rsid w:val="000A3EA3"/>
    <w:rsid w:val="000A3EA7"/>
    <w:rsid w:val="000A3F02"/>
    <w:rsid w:val="000A3F26"/>
    <w:rsid w:val="000A3F88"/>
    <w:rsid w:val="000A4050"/>
    <w:rsid w:val="000A40AD"/>
    <w:rsid w:val="000A41BE"/>
    <w:rsid w:val="000A423F"/>
    <w:rsid w:val="000A42AB"/>
    <w:rsid w:val="000A42F1"/>
    <w:rsid w:val="000A4332"/>
    <w:rsid w:val="000A43C3"/>
    <w:rsid w:val="000A43F6"/>
    <w:rsid w:val="000A444C"/>
    <w:rsid w:val="000A4489"/>
    <w:rsid w:val="000A448E"/>
    <w:rsid w:val="000A44BE"/>
    <w:rsid w:val="000A44BF"/>
    <w:rsid w:val="000A4577"/>
    <w:rsid w:val="000A45D0"/>
    <w:rsid w:val="000A45D2"/>
    <w:rsid w:val="000A463E"/>
    <w:rsid w:val="000A4682"/>
    <w:rsid w:val="000A46D7"/>
    <w:rsid w:val="000A4702"/>
    <w:rsid w:val="000A472A"/>
    <w:rsid w:val="000A47B6"/>
    <w:rsid w:val="000A4853"/>
    <w:rsid w:val="000A48AB"/>
    <w:rsid w:val="000A48F0"/>
    <w:rsid w:val="000A4921"/>
    <w:rsid w:val="000A49D4"/>
    <w:rsid w:val="000A4A19"/>
    <w:rsid w:val="000A4A59"/>
    <w:rsid w:val="000A4A9E"/>
    <w:rsid w:val="000A4B17"/>
    <w:rsid w:val="000A4BB1"/>
    <w:rsid w:val="000A4BB2"/>
    <w:rsid w:val="000A4BC5"/>
    <w:rsid w:val="000A4BFE"/>
    <w:rsid w:val="000A4C03"/>
    <w:rsid w:val="000A4D2E"/>
    <w:rsid w:val="000A4D31"/>
    <w:rsid w:val="000A4D41"/>
    <w:rsid w:val="000A4E00"/>
    <w:rsid w:val="000A4E54"/>
    <w:rsid w:val="000A4EC8"/>
    <w:rsid w:val="000A4EEC"/>
    <w:rsid w:val="000A4F39"/>
    <w:rsid w:val="000A4FE8"/>
    <w:rsid w:val="000A5013"/>
    <w:rsid w:val="000A5066"/>
    <w:rsid w:val="000A506F"/>
    <w:rsid w:val="000A50CB"/>
    <w:rsid w:val="000A50E7"/>
    <w:rsid w:val="000A5144"/>
    <w:rsid w:val="000A51C1"/>
    <w:rsid w:val="000A51C7"/>
    <w:rsid w:val="000A5201"/>
    <w:rsid w:val="000A5220"/>
    <w:rsid w:val="000A5221"/>
    <w:rsid w:val="000A527E"/>
    <w:rsid w:val="000A52E4"/>
    <w:rsid w:val="000A5323"/>
    <w:rsid w:val="000A533D"/>
    <w:rsid w:val="000A5370"/>
    <w:rsid w:val="000A5438"/>
    <w:rsid w:val="000A5454"/>
    <w:rsid w:val="000A55B8"/>
    <w:rsid w:val="000A560B"/>
    <w:rsid w:val="000A56FF"/>
    <w:rsid w:val="000A5756"/>
    <w:rsid w:val="000A578C"/>
    <w:rsid w:val="000A57C6"/>
    <w:rsid w:val="000A57E8"/>
    <w:rsid w:val="000A58AC"/>
    <w:rsid w:val="000A5922"/>
    <w:rsid w:val="000A593F"/>
    <w:rsid w:val="000A5978"/>
    <w:rsid w:val="000A599B"/>
    <w:rsid w:val="000A5A02"/>
    <w:rsid w:val="000A5A07"/>
    <w:rsid w:val="000A5A15"/>
    <w:rsid w:val="000A5A45"/>
    <w:rsid w:val="000A5A53"/>
    <w:rsid w:val="000A5A95"/>
    <w:rsid w:val="000A5A96"/>
    <w:rsid w:val="000A5AA2"/>
    <w:rsid w:val="000A5AD1"/>
    <w:rsid w:val="000A5B13"/>
    <w:rsid w:val="000A5B2D"/>
    <w:rsid w:val="000A5B3E"/>
    <w:rsid w:val="000A5B40"/>
    <w:rsid w:val="000A5B7B"/>
    <w:rsid w:val="000A5BD4"/>
    <w:rsid w:val="000A5BEE"/>
    <w:rsid w:val="000A5BF3"/>
    <w:rsid w:val="000A5C29"/>
    <w:rsid w:val="000A5C49"/>
    <w:rsid w:val="000A5C89"/>
    <w:rsid w:val="000A5CFE"/>
    <w:rsid w:val="000A5D34"/>
    <w:rsid w:val="000A5D7A"/>
    <w:rsid w:val="000A5DD2"/>
    <w:rsid w:val="000A5E2C"/>
    <w:rsid w:val="000A5E64"/>
    <w:rsid w:val="000A5EC2"/>
    <w:rsid w:val="000A5F1D"/>
    <w:rsid w:val="000A5F31"/>
    <w:rsid w:val="000A5F5F"/>
    <w:rsid w:val="000A602C"/>
    <w:rsid w:val="000A6049"/>
    <w:rsid w:val="000A606F"/>
    <w:rsid w:val="000A6086"/>
    <w:rsid w:val="000A60B2"/>
    <w:rsid w:val="000A60C9"/>
    <w:rsid w:val="000A614E"/>
    <w:rsid w:val="000A6153"/>
    <w:rsid w:val="000A61F8"/>
    <w:rsid w:val="000A621E"/>
    <w:rsid w:val="000A6224"/>
    <w:rsid w:val="000A624B"/>
    <w:rsid w:val="000A628E"/>
    <w:rsid w:val="000A62CD"/>
    <w:rsid w:val="000A633C"/>
    <w:rsid w:val="000A6387"/>
    <w:rsid w:val="000A63CE"/>
    <w:rsid w:val="000A6401"/>
    <w:rsid w:val="000A6483"/>
    <w:rsid w:val="000A6565"/>
    <w:rsid w:val="000A65E0"/>
    <w:rsid w:val="000A65FA"/>
    <w:rsid w:val="000A660F"/>
    <w:rsid w:val="000A6627"/>
    <w:rsid w:val="000A668E"/>
    <w:rsid w:val="000A66F3"/>
    <w:rsid w:val="000A675C"/>
    <w:rsid w:val="000A6860"/>
    <w:rsid w:val="000A68BC"/>
    <w:rsid w:val="000A6905"/>
    <w:rsid w:val="000A69D9"/>
    <w:rsid w:val="000A69FB"/>
    <w:rsid w:val="000A6BB6"/>
    <w:rsid w:val="000A6C84"/>
    <w:rsid w:val="000A6D54"/>
    <w:rsid w:val="000A6E27"/>
    <w:rsid w:val="000A6E64"/>
    <w:rsid w:val="000A6F29"/>
    <w:rsid w:val="000A6F2E"/>
    <w:rsid w:val="000A6F76"/>
    <w:rsid w:val="000A6F8E"/>
    <w:rsid w:val="000A6FC7"/>
    <w:rsid w:val="000A6FCC"/>
    <w:rsid w:val="000A704A"/>
    <w:rsid w:val="000A70EC"/>
    <w:rsid w:val="000A710C"/>
    <w:rsid w:val="000A711A"/>
    <w:rsid w:val="000A7138"/>
    <w:rsid w:val="000A714A"/>
    <w:rsid w:val="000A7194"/>
    <w:rsid w:val="000A71E2"/>
    <w:rsid w:val="000A7204"/>
    <w:rsid w:val="000A722B"/>
    <w:rsid w:val="000A7288"/>
    <w:rsid w:val="000A72B5"/>
    <w:rsid w:val="000A73A4"/>
    <w:rsid w:val="000A73BA"/>
    <w:rsid w:val="000A73F1"/>
    <w:rsid w:val="000A73F8"/>
    <w:rsid w:val="000A7402"/>
    <w:rsid w:val="000A748E"/>
    <w:rsid w:val="000A74A4"/>
    <w:rsid w:val="000A74E5"/>
    <w:rsid w:val="000A74EA"/>
    <w:rsid w:val="000A74EC"/>
    <w:rsid w:val="000A755F"/>
    <w:rsid w:val="000A75E3"/>
    <w:rsid w:val="000A768F"/>
    <w:rsid w:val="000A7788"/>
    <w:rsid w:val="000A7798"/>
    <w:rsid w:val="000A779D"/>
    <w:rsid w:val="000A781E"/>
    <w:rsid w:val="000A785E"/>
    <w:rsid w:val="000A78C4"/>
    <w:rsid w:val="000A797D"/>
    <w:rsid w:val="000A79A1"/>
    <w:rsid w:val="000A79C5"/>
    <w:rsid w:val="000A79CB"/>
    <w:rsid w:val="000A79DE"/>
    <w:rsid w:val="000A7A21"/>
    <w:rsid w:val="000A7A40"/>
    <w:rsid w:val="000A7A66"/>
    <w:rsid w:val="000A7A81"/>
    <w:rsid w:val="000A7AD5"/>
    <w:rsid w:val="000A7B23"/>
    <w:rsid w:val="000A7B3B"/>
    <w:rsid w:val="000A7BC0"/>
    <w:rsid w:val="000A7C11"/>
    <w:rsid w:val="000A7C25"/>
    <w:rsid w:val="000A7DE2"/>
    <w:rsid w:val="000A7EA9"/>
    <w:rsid w:val="000A7EEC"/>
    <w:rsid w:val="000A7EF0"/>
    <w:rsid w:val="000A7F47"/>
    <w:rsid w:val="000A7F7E"/>
    <w:rsid w:val="000A7FF8"/>
    <w:rsid w:val="000ABFE2"/>
    <w:rsid w:val="000B003F"/>
    <w:rsid w:val="000B0066"/>
    <w:rsid w:val="000B0123"/>
    <w:rsid w:val="000B0175"/>
    <w:rsid w:val="000B033A"/>
    <w:rsid w:val="000B0427"/>
    <w:rsid w:val="000B0428"/>
    <w:rsid w:val="000B04E9"/>
    <w:rsid w:val="000B04F6"/>
    <w:rsid w:val="000B0539"/>
    <w:rsid w:val="000B057A"/>
    <w:rsid w:val="000B057C"/>
    <w:rsid w:val="000B05BD"/>
    <w:rsid w:val="000B063D"/>
    <w:rsid w:val="000B063F"/>
    <w:rsid w:val="000B0667"/>
    <w:rsid w:val="000B06AB"/>
    <w:rsid w:val="000B072A"/>
    <w:rsid w:val="000B0737"/>
    <w:rsid w:val="000B0756"/>
    <w:rsid w:val="000B0808"/>
    <w:rsid w:val="000B0858"/>
    <w:rsid w:val="000B0861"/>
    <w:rsid w:val="000B087C"/>
    <w:rsid w:val="000B088D"/>
    <w:rsid w:val="000B08A3"/>
    <w:rsid w:val="000B0901"/>
    <w:rsid w:val="000B0961"/>
    <w:rsid w:val="000B0999"/>
    <w:rsid w:val="000B09CB"/>
    <w:rsid w:val="000B09D4"/>
    <w:rsid w:val="000B0A23"/>
    <w:rsid w:val="000B0A44"/>
    <w:rsid w:val="000B0AC8"/>
    <w:rsid w:val="000B0ACB"/>
    <w:rsid w:val="000B0AE2"/>
    <w:rsid w:val="000B0AEF"/>
    <w:rsid w:val="000B0BC1"/>
    <w:rsid w:val="000B0C00"/>
    <w:rsid w:val="000B0C35"/>
    <w:rsid w:val="000B0C44"/>
    <w:rsid w:val="000B0C4E"/>
    <w:rsid w:val="000B0C82"/>
    <w:rsid w:val="000B0C8C"/>
    <w:rsid w:val="000B0CF0"/>
    <w:rsid w:val="000B0CF8"/>
    <w:rsid w:val="000B0D38"/>
    <w:rsid w:val="000B0D61"/>
    <w:rsid w:val="000B0DE1"/>
    <w:rsid w:val="000B0E13"/>
    <w:rsid w:val="000B0E6F"/>
    <w:rsid w:val="000B0E7F"/>
    <w:rsid w:val="000B0EBB"/>
    <w:rsid w:val="000B0EC4"/>
    <w:rsid w:val="000B0F23"/>
    <w:rsid w:val="000B0F38"/>
    <w:rsid w:val="000B0F46"/>
    <w:rsid w:val="000B0F4C"/>
    <w:rsid w:val="000B0F7A"/>
    <w:rsid w:val="000B0FD8"/>
    <w:rsid w:val="000B1026"/>
    <w:rsid w:val="000B102A"/>
    <w:rsid w:val="000B1043"/>
    <w:rsid w:val="000B1045"/>
    <w:rsid w:val="000B1050"/>
    <w:rsid w:val="000B1053"/>
    <w:rsid w:val="000B1059"/>
    <w:rsid w:val="000B10A4"/>
    <w:rsid w:val="000B10B5"/>
    <w:rsid w:val="000B10C5"/>
    <w:rsid w:val="000B1100"/>
    <w:rsid w:val="000B1112"/>
    <w:rsid w:val="000B1145"/>
    <w:rsid w:val="000B1190"/>
    <w:rsid w:val="000B11C8"/>
    <w:rsid w:val="000B11E6"/>
    <w:rsid w:val="000B124F"/>
    <w:rsid w:val="000B127E"/>
    <w:rsid w:val="000B12A8"/>
    <w:rsid w:val="000B12B1"/>
    <w:rsid w:val="000B133D"/>
    <w:rsid w:val="000B1468"/>
    <w:rsid w:val="000B1486"/>
    <w:rsid w:val="000B15C4"/>
    <w:rsid w:val="000B1691"/>
    <w:rsid w:val="000B169A"/>
    <w:rsid w:val="000B169E"/>
    <w:rsid w:val="000B17FF"/>
    <w:rsid w:val="000B180C"/>
    <w:rsid w:val="000B183E"/>
    <w:rsid w:val="000B189E"/>
    <w:rsid w:val="000B18AA"/>
    <w:rsid w:val="000B18E4"/>
    <w:rsid w:val="000B18ED"/>
    <w:rsid w:val="000B18F2"/>
    <w:rsid w:val="000B190A"/>
    <w:rsid w:val="000B1913"/>
    <w:rsid w:val="000B195E"/>
    <w:rsid w:val="000B1A06"/>
    <w:rsid w:val="000B1A66"/>
    <w:rsid w:val="000B1AC0"/>
    <w:rsid w:val="000B1B2D"/>
    <w:rsid w:val="000B1B43"/>
    <w:rsid w:val="000B1B59"/>
    <w:rsid w:val="000B1B5E"/>
    <w:rsid w:val="000B1B5F"/>
    <w:rsid w:val="000B1B65"/>
    <w:rsid w:val="000B1B81"/>
    <w:rsid w:val="000B1BB4"/>
    <w:rsid w:val="000B1BBF"/>
    <w:rsid w:val="000B1BF9"/>
    <w:rsid w:val="000B1C87"/>
    <w:rsid w:val="000B1CA2"/>
    <w:rsid w:val="000B1CD8"/>
    <w:rsid w:val="000B1D14"/>
    <w:rsid w:val="000B1D17"/>
    <w:rsid w:val="000B1D1D"/>
    <w:rsid w:val="000B1D7F"/>
    <w:rsid w:val="000B1E20"/>
    <w:rsid w:val="000B1E4B"/>
    <w:rsid w:val="000B1E86"/>
    <w:rsid w:val="000B1E92"/>
    <w:rsid w:val="000B1EA6"/>
    <w:rsid w:val="000B1EA8"/>
    <w:rsid w:val="000B1EAC"/>
    <w:rsid w:val="000B1EBB"/>
    <w:rsid w:val="000B1F09"/>
    <w:rsid w:val="000B1F9C"/>
    <w:rsid w:val="000B2072"/>
    <w:rsid w:val="000B20BB"/>
    <w:rsid w:val="000B213E"/>
    <w:rsid w:val="000B2222"/>
    <w:rsid w:val="000B223A"/>
    <w:rsid w:val="000B2261"/>
    <w:rsid w:val="000B2297"/>
    <w:rsid w:val="000B22B3"/>
    <w:rsid w:val="000B2331"/>
    <w:rsid w:val="000B234F"/>
    <w:rsid w:val="000B2379"/>
    <w:rsid w:val="000B23E6"/>
    <w:rsid w:val="000B252E"/>
    <w:rsid w:val="000B2554"/>
    <w:rsid w:val="000B2574"/>
    <w:rsid w:val="000B2577"/>
    <w:rsid w:val="000B2602"/>
    <w:rsid w:val="000B267D"/>
    <w:rsid w:val="000B26BA"/>
    <w:rsid w:val="000B26D8"/>
    <w:rsid w:val="000B26DB"/>
    <w:rsid w:val="000B26F7"/>
    <w:rsid w:val="000B2720"/>
    <w:rsid w:val="000B2723"/>
    <w:rsid w:val="000B2767"/>
    <w:rsid w:val="000B2777"/>
    <w:rsid w:val="000B277E"/>
    <w:rsid w:val="000B27D1"/>
    <w:rsid w:val="000B2838"/>
    <w:rsid w:val="000B296F"/>
    <w:rsid w:val="000B2A4F"/>
    <w:rsid w:val="000B2A5B"/>
    <w:rsid w:val="000B2AD4"/>
    <w:rsid w:val="000B2B29"/>
    <w:rsid w:val="000B2B3C"/>
    <w:rsid w:val="000B2B8D"/>
    <w:rsid w:val="000B2BC8"/>
    <w:rsid w:val="000B2C08"/>
    <w:rsid w:val="000B2C16"/>
    <w:rsid w:val="000B2C39"/>
    <w:rsid w:val="000B2C5D"/>
    <w:rsid w:val="000B2C70"/>
    <w:rsid w:val="000B2CA9"/>
    <w:rsid w:val="000B2D2D"/>
    <w:rsid w:val="000B2D85"/>
    <w:rsid w:val="000B2DD9"/>
    <w:rsid w:val="000B2E1A"/>
    <w:rsid w:val="000B2E27"/>
    <w:rsid w:val="000B2E42"/>
    <w:rsid w:val="000B2E85"/>
    <w:rsid w:val="000B2EC5"/>
    <w:rsid w:val="000B2F5A"/>
    <w:rsid w:val="000B2F5D"/>
    <w:rsid w:val="000B2FAE"/>
    <w:rsid w:val="000B315B"/>
    <w:rsid w:val="000B3168"/>
    <w:rsid w:val="000B31C4"/>
    <w:rsid w:val="000B3279"/>
    <w:rsid w:val="000B32EF"/>
    <w:rsid w:val="000B3327"/>
    <w:rsid w:val="000B33AC"/>
    <w:rsid w:val="000B33B2"/>
    <w:rsid w:val="000B33E8"/>
    <w:rsid w:val="000B343E"/>
    <w:rsid w:val="000B345E"/>
    <w:rsid w:val="000B3615"/>
    <w:rsid w:val="000B363F"/>
    <w:rsid w:val="000B3654"/>
    <w:rsid w:val="000B3694"/>
    <w:rsid w:val="000B36EF"/>
    <w:rsid w:val="000B371A"/>
    <w:rsid w:val="000B3736"/>
    <w:rsid w:val="000B37A8"/>
    <w:rsid w:val="000B37AA"/>
    <w:rsid w:val="000B37B4"/>
    <w:rsid w:val="000B3853"/>
    <w:rsid w:val="000B38F7"/>
    <w:rsid w:val="000B390B"/>
    <w:rsid w:val="000B3947"/>
    <w:rsid w:val="000B39B3"/>
    <w:rsid w:val="000B3A8C"/>
    <w:rsid w:val="000B3ADC"/>
    <w:rsid w:val="000B3B2E"/>
    <w:rsid w:val="000B3B7F"/>
    <w:rsid w:val="000B3BEC"/>
    <w:rsid w:val="000B3BF4"/>
    <w:rsid w:val="000B3C70"/>
    <w:rsid w:val="000B3C87"/>
    <w:rsid w:val="000B3CD1"/>
    <w:rsid w:val="000B3CF4"/>
    <w:rsid w:val="000B3D60"/>
    <w:rsid w:val="000B3D72"/>
    <w:rsid w:val="000B3DE9"/>
    <w:rsid w:val="000B3E00"/>
    <w:rsid w:val="000B3E43"/>
    <w:rsid w:val="000B3EC2"/>
    <w:rsid w:val="000B3F42"/>
    <w:rsid w:val="000B403B"/>
    <w:rsid w:val="000B40B2"/>
    <w:rsid w:val="000B4110"/>
    <w:rsid w:val="000B4154"/>
    <w:rsid w:val="000B41A9"/>
    <w:rsid w:val="000B41C2"/>
    <w:rsid w:val="000B421D"/>
    <w:rsid w:val="000B422A"/>
    <w:rsid w:val="000B423B"/>
    <w:rsid w:val="000B425A"/>
    <w:rsid w:val="000B4309"/>
    <w:rsid w:val="000B4315"/>
    <w:rsid w:val="000B442B"/>
    <w:rsid w:val="000B4441"/>
    <w:rsid w:val="000B444C"/>
    <w:rsid w:val="000B449D"/>
    <w:rsid w:val="000B44B4"/>
    <w:rsid w:val="000B44C5"/>
    <w:rsid w:val="000B44C7"/>
    <w:rsid w:val="000B4528"/>
    <w:rsid w:val="000B4575"/>
    <w:rsid w:val="000B4581"/>
    <w:rsid w:val="000B458D"/>
    <w:rsid w:val="000B4592"/>
    <w:rsid w:val="000B45B0"/>
    <w:rsid w:val="000B45DB"/>
    <w:rsid w:val="000B4621"/>
    <w:rsid w:val="000B464D"/>
    <w:rsid w:val="000B4664"/>
    <w:rsid w:val="000B4665"/>
    <w:rsid w:val="000B46B1"/>
    <w:rsid w:val="000B47C7"/>
    <w:rsid w:val="000B4800"/>
    <w:rsid w:val="000B4809"/>
    <w:rsid w:val="000B4814"/>
    <w:rsid w:val="000B485B"/>
    <w:rsid w:val="000B4873"/>
    <w:rsid w:val="000B4877"/>
    <w:rsid w:val="000B4918"/>
    <w:rsid w:val="000B4974"/>
    <w:rsid w:val="000B4A6B"/>
    <w:rsid w:val="000B4B52"/>
    <w:rsid w:val="000B4C11"/>
    <w:rsid w:val="000B4C1A"/>
    <w:rsid w:val="000B4D36"/>
    <w:rsid w:val="000B4D40"/>
    <w:rsid w:val="000B4DD0"/>
    <w:rsid w:val="000B4DEF"/>
    <w:rsid w:val="000B4E23"/>
    <w:rsid w:val="000B4E3A"/>
    <w:rsid w:val="000B4E48"/>
    <w:rsid w:val="000B4E57"/>
    <w:rsid w:val="000B4E9D"/>
    <w:rsid w:val="000B4EFF"/>
    <w:rsid w:val="000B4F16"/>
    <w:rsid w:val="000B4F19"/>
    <w:rsid w:val="000B4FEB"/>
    <w:rsid w:val="000B5015"/>
    <w:rsid w:val="000B506A"/>
    <w:rsid w:val="000B50AD"/>
    <w:rsid w:val="000B50C8"/>
    <w:rsid w:val="000B50CC"/>
    <w:rsid w:val="000B514B"/>
    <w:rsid w:val="000B51CE"/>
    <w:rsid w:val="000B51DD"/>
    <w:rsid w:val="000B5215"/>
    <w:rsid w:val="000B5262"/>
    <w:rsid w:val="000B52BB"/>
    <w:rsid w:val="000B53C6"/>
    <w:rsid w:val="000B53E1"/>
    <w:rsid w:val="000B53F3"/>
    <w:rsid w:val="000B543E"/>
    <w:rsid w:val="000B548A"/>
    <w:rsid w:val="000B5491"/>
    <w:rsid w:val="000B54A4"/>
    <w:rsid w:val="000B54F2"/>
    <w:rsid w:val="000B5525"/>
    <w:rsid w:val="000B5547"/>
    <w:rsid w:val="000B55AB"/>
    <w:rsid w:val="000B55DB"/>
    <w:rsid w:val="000B5626"/>
    <w:rsid w:val="000B5651"/>
    <w:rsid w:val="000B56B1"/>
    <w:rsid w:val="000B56B6"/>
    <w:rsid w:val="000B5701"/>
    <w:rsid w:val="000B5782"/>
    <w:rsid w:val="000B585B"/>
    <w:rsid w:val="000B588B"/>
    <w:rsid w:val="000B589E"/>
    <w:rsid w:val="000B58CE"/>
    <w:rsid w:val="000B5904"/>
    <w:rsid w:val="000B5976"/>
    <w:rsid w:val="000B5984"/>
    <w:rsid w:val="000B59ED"/>
    <w:rsid w:val="000B5A25"/>
    <w:rsid w:val="000B5AB3"/>
    <w:rsid w:val="000B5B15"/>
    <w:rsid w:val="000B5BB5"/>
    <w:rsid w:val="000B5BD0"/>
    <w:rsid w:val="000B5BD3"/>
    <w:rsid w:val="000B5BF3"/>
    <w:rsid w:val="000B5C07"/>
    <w:rsid w:val="000B5C0F"/>
    <w:rsid w:val="000B5CA6"/>
    <w:rsid w:val="000B5CBE"/>
    <w:rsid w:val="000B5CC9"/>
    <w:rsid w:val="000B5CE2"/>
    <w:rsid w:val="000B5CE7"/>
    <w:rsid w:val="000B5D0F"/>
    <w:rsid w:val="000B5D61"/>
    <w:rsid w:val="000B5D69"/>
    <w:rsid w:val="000B5D84"/>
    <w:rsid w:val="000B5DA0"/>
    <w:rsid w:val="000B5DCD"/>
    <w:rsid w:val="000B5EA6"/>
    <w:rsid w:val="000B5EBF"/>
    <w:rsid w:val="000B5F45"/>
    <w:rsid w:val="000B5FC8"/>
    <w:rsid w:val="000B60C5"/>
    <w:rsid w:val="000B60D0"/>
    <w:rsid w:val="000B60DB"/>
    <w:rsid w:val="000B6103"/>
    <w:rsid w:val="000B6124"/>
    <w:rsid w:val="000B613C"/>
    <w:rsid w:val="000B616E"/>
    <w:rsid w:val="000B6196"/>
    <w:rsid w:val="000B61C9"/>
    <w:rsid w:val="000B61DA"/>
    <w:rsid w:val="000B61DB"/>
    <w:rsid w:val="000B6217"/>
    <w:rsid w:val="000B623D"/>
    <w:rsid w:val="000B6264"/>
    <w:rsid w:val="000B6299"/>
    <w:rsid w:val="000B62E1"/>
    <w:rsid w:val="000B62FF"/>
    <w:rsid w:val="000B6326"/>
    <w:rsid w:val="000B6387"/>
    <w:rsid w:val="000B63CF"/>
    <w:rsid w:val="000B642B"/>
    <w:rsid w:val="000B6453"/>
    <w:rsid w:val="000B647D"/>
    <w:rsid w:val="000B648E"/>
    <w:rsid w:val="000B64C0"/>
    <w:rsid w:val="000B64CA"/>
    <w:rsid w:val="000B64D3"/>
    <w:rsid w:val="000B650D"/>
    <w:rsid w:val="000B6537"/>
    <w:rsid w:val="000B6640"/>
    <w:rsid w:val="000B6647"/>
    <w:rsid w:val="000B6656"/>
    <w:rsid w:val="000B6671"/>
    <w:rsid w:val="000B667E"/>
    <w:rsid w:val="000B66D4"/>
    <w:rsid w:val="000B6749"/>
    <w:rsid w:val="000B6754"/>
    <w:rsid w:val="000B675C"/>
    <w:rsid w:val="000B679F"/>
    <w:rsid w:val="000B683A"/>
    <w:rsid w:val="000B6840"/>
    <w:rsid w:val="000B688A"/>
    <w:rsid w:val="000B68D1"/>
    <w:rsid w:val="000B68F4"/>
    <w:rsid w:val="000B6937"/>
    <w:rsid w:val="000B69B3"/>
    <w:rsid w:val="000B6A59"/>
    <w:rsid w:val="000B6B47"/>
    <w:rsid w:val="000B6BC1"/>
    <w:rsid w:val="000B6BF0"/>
    <w:rsid w:val="000B6C1C"/>
    <w:rsid w:val="000B6C3D"/>
    <w:rsid w:val="000B6D04"/>
    <w:rsid w:val="000B6D42"/>
    <w:rsid w:val="000B6D5E"/>
    <w:rsid w:val="000B6D6D"/>
    <w:rsid w:val="000B6E2C"/>
    <w:rsid w:val="000B6E66"/>
    <w:rsid w:val="000B6E7E"/>
    <w:rsid w:val="000B6F16"/>
    <w:rsid w:val="000B6F18"/>
    <w:rsid w:val="000B6F50"/>
    <w:rsid w:val="000B6F53"/>
    <w:rsid w:val="000B6FDC"/>
    <w:rsid w:val="000B701C"/>
    <w:rsid w:val="000B70DC"/>
    <w:rsid w:val="000B70E1"/>
    <w:rsid w:val="000B7206"/>
    <w:rsid w:val="000B7212"/>
    <w:rsid w:val="000B721D"/>
    <w:rsid w:val="000B735A"/>
    <w:rsid w:val="000B740D"/>
    <w:rsid w:val="000B7444"/>
    <w:rsid w:val="000B744A"/>
    <w:rsid w:val="000B74C4"/>
    <w:rsid w:val="000B7565"/>
    <w:rsid w:val="000B760D"/>
    <w:rsid w:val="000B761D"/>
    <w:rsid w:val="000B7623"/>
    <w:rsid w:val="000B76B9"/>
    <w:rsid w:val="000B76D8"/>
    <w:rsid w:val="000B76E7"/>
    <w:rsid w:val="000B76EB"/>
    <w:rsid w:val="000B7857"/>
    <w:rsid w:val="000B7866"/>
    <w:rsid w:val="000B78FA"/>
    <w:rsid w:val="000B7920"/>
    <w:rsid w:val="000B796F"/>
    <w:rsid w:val="000B798D"/>
    <w:rsid w:val="000B79E9"/>
    <w:rsid w:val="000B7A42"/>
    <w:rsid w:val="000B7B37"/>
    <w:rsid w:val="000B7B56"/>
    <w:rsid w:val="000B7B83"/>
    <w:rsid w:val="000B7BA4"/>
    <w:rsid w:val="000B7C6B"/>
    <w:rsid w:val="000B7C70"/>
    <w:rsid w:val="000B7C85"/>
    <w:rsid w:val="000B7C8E"/>
    <w:rsid w:val="000B7CBF"/>
    <w:rsid w:val="000B7CD8"/>
    <w:rsid w:val="000B7D13"/>
    <w:rsid w:val="000B7D1E"/>
    <w:rsid w:val="000B7D35"/>
    <w:rsid w:val="000B7D9B"/>
    <w:rsid w:val="000B7E3D"/>
    <w:rsid w:val="000B7E46"/>
    <w:rsid w:val="000B7F29"/>
    <w:rsid w:val="000B7FBD"/>
    <w:rsid w:val="000B7FCA"/>
    <w:rsid w:val="000B7FDB"/>
    <w:rsid w:val="000C009C"/>
    <w:rsid w:val="000C00E8"/>
    <w:rsid w:val="000C0121"/>
    <w:rsid w:val="000C0136"/>
    <w:rsid w:val="000C0157"/>
    <w:rsid w:val="000C0251"/>
    <w:rsid w:val="000C02EF"/>
    <w:rsid w:val="000C030C"/>
    <w:rsid w:val="000C0314"/>
    <w:rsid w:val="000C0326"/>
    <w:rsid w:val="000C03D4"/>
    <w:rsid w:val="000C0435"/>
    <w:rsid w:val="000C044C"/>
    <w:rsid w:val="000C0462"/>
    <w:rsid w:val="000C046D"/>
    <w:rsid w:val="000C048E"/>
    <w:rsid w:val="000C053F"/>
    <w:rsid w:val="000C0553"/>
    <w:rsid w:val="000C0690"/>
    <w:rsid w:val="000C0691"/>
    <w:rsid w:val="000C06AB"/>
    <w:rsid w:val="000C06AC"/>
    <w:rsid w:val="000C06B2"/>
    <w:rsid w:val="000C07A5"/>
    <w:rsid w:val="000C0853"/>
    <w:rsid w:val="000C0875"/>
    <w:rsid w:val="000C088F"/>
    <w:rsid w:val="000C08C1"/>
    <w:rsid w:val="000C095C"/>
    <w:rsid w:val="000C09FD"/>
    <w:rsid w:val="000C0A2B"/>
    <w:rsid w:val="000C0A85"/>
    <w:rsid w:val="000C0B53"/>
    <w:rsid w:val="000C0BCA"/>
    <w:rsid w:val="000C0BF4"/>
    <w:rsid w:val="000C0C07"/>
    <w:rsid w:val="000C0CFF"/>
    <w:rsid w:val="000C0D47"/>
    <w:rsid w:val="000C0D95"/>
    <w:rsid w:val="000C0DAC"/>
    <w:rsid w:val="000C0E8E"/>
    <w:rsid w:val="000C0FD3"/>
    <w:rsid w:val="000C0FE0"/>
    <w:rsid w:val="000C101C"/>
    <w:rsid w:val="000C103A"/>
    <w:rsid w:val="000C10A6"/>
    <w:rsid w:val="000C10BC"/>
    <w:rsid w:val="000C10D7"/>
    <w:rsid w:val="000C1142"/>
    <w:rsid w:val="000C11AD"/>
    <w:rsid w:val="000C1242"/>
    <w:rsid w:val="000C1251"/>
    <w:rsid w:val="000C1272"/>
    <w:rsid w:val="000C12C1"/>
    <w:rsid w:val="000C12F1"/>
    <w:rsid w:val="000C1320"/>
    <w:rsid w:val="000C1329"/>
    <w:rsid w:val="000C1369"/>
    <w:rsid w:val="000C13F9"/>
    <w:rsid w:val="000C148B"/>
    <w:rsid w:val="000C14F1"/>
    <w:rsid w:val="000C156C"/>
    <w:rsid w:val="000C15B3"/>
    <w:rsid w:val="000C15F8"/>
    <w:rsid w:val="000C1663"/>
    <w:rsid w:val="000C17E8"/>
    <w:rsid w:val="000C17F5"/>
    <w:rsid w:val="000C1857"/>
    <w:rsid w:val="000C1861"/>
    <w:rsid w:val="000C1877"/>
    <w:rsid w:val="000C18D0"/>
    <w:rsid w:val="000C1945"/>
    <w:rsid w:val="000C196B"/>
    <w:rsid w:val="000C1978"/>
    <w:rsid w:val="000C19BA"/>
    <w:rsid w:val="000C19DF"/>
    <w:rsid w:val="000C19FB"/>
    <w:rsid w:val="000C1B28"/>
    <w:rsid w:val="000C1B6E"/>
    <w:rsid w:val="000C1C88"/>
    <w:rsid w:val="000C1CBC"/>
    <w:rsid w:val="000C1CC3"/>
    <w:rsid w:val="000C1D58"/>
    <w:rsid w:val="000C1D61"/>
    <w:rsid w:val="000C1DAB"/>
    <w:rsid w:val="000C1DBB"/>
    <w:rsid w:val="000C1E11"/>
    <w:rsid w:val="000C1E3C"/>
    <w:rsid w:val="000C1E83"/>
    <w:rsid w:val="000C1EA7"/>
    <w:rsid w:val="000C1F01"/>
    <w:rsid w:val="000C1F7F"/>
    <w:rsid w:val="000C1F80"/>
    <w:rsid w:val="000C1FEF"/>
    <w:rsid w:val="000C2024"/>
    <w:rsid w:val="000C2064"/>
    <w:rsid w:val="000C20F8"/>
    <w:rsid w:val="000C210D"/>
    <w:rsid w:val="000C2150"/>
    <w:rsid w:val="000C2256"/>
    <w:rsid w:val="000C2403"/>
    <w:rsid w:val="000C243E"/>
    <w:rsid w:val="000C2551"/>
    <w:rsid w:val="000C25B1"/>
    <w:rsid w:val="000C2641"/>
    <w:rsid w:val="000C26E7"/>
    <w:rsid w:val="000C2749"/>
    <w:rsid w:val="000C2820"/>
    <w:rsid w:val="000C2847"/>
    <w:rsid w:val="000C28B0"/>
    <w:rsid w:val="000C28EE"/>
    <w:rsid w:val="000C2966"/>
    <w:rsid w:val="000C29A5"/>
    <w:rsid w:val="000C29EE"/>
    <w:rsid w:val="000C2AB3"/>
    <w:rsid w:val="000C2ACB"/>
    <w:rsid w:val="000C2B55"/>
    <w:rsid w:val="000C2C68"/>
    <w:rsid w:val="000C2C9E"/>
    <w:rsid w:val="000C2CD8"/>
    <w:rsid w:val="000C2D08"/>
    <w:rsid w:val="000C2D32"/>
    <w:rsid w:val="000C2DF7"/>
    <w:rsid w:val="000C2DFA"/>
    <w:rsid w:val="000C2E00"/>
    <w:rsid w:val="000C2E3A"/>
    <w:rsid w:val="000C2F34"/>
    <w:rsid w:val="000C2F7C"/>
    <w:rsid w:val="000C2FBE"/>
    <w:rsid w:val="000C3020"/>
    <w:rsid w:val="000C304F"/>
    <w:rsid w:val="000C30CB"/>
    <w:rsid w:val="000C30F0"/>
    <w:rsid w:val="000C314A"/>
    <w:rsid w:val="000C31A8"/>
    <w:rsid w:val="000C322D"/>
    <w:rsid w:val="000C32DE"/>
    <w:rsid w:val="000C32F8"/>
    <w:rsid w:val="000C3309"/>
    <w:rsid w:val="000C3316"/>
    <w:rsid w:val="000C338A"/>
    <w:rsid w:val="000C33BF"/>
    <w:rsid w:val="000C33CE"/>
    <w:rsid w:val="000C33D4"/>
    <w:rsid w:val="000C3452"/>
    <w:rsid w:val="000C34CD"/>
    <w:rsid w:val="000C34F9"/>
    <w:rsid w:val="000C353F"/>
    <w:rsid w:val="000C3547"/>
    <w:rsid w:val="000C35FE"/>
    <w:rsid w:val="000C3621"/>
    <w:rsid w:val="000C3643"/>
    <w:rsid w:val="000C3649"/>
    <w:rsid w:val="000C36CB"/>
    <w:rsid w:val="000C3729"/>
    <w:rsid w:val="000C3769"/>
    <w:rsid w:val="000C3782"/>
    <w:rsid w:val="000C3868"/>
    <w:rsid w:val="000C3878"/>
    <w:rsid w:val="000C38B5"/>
    <w:rsid w:val="000C38C0"/>
    <w:rsid w:val="000C38FD"/>
    <w:rsid w:val="000C3946"/>
    <w:rsid w:val="000C3982"/>
    <w:rsid w:val="000C3A7D"/>
    <w:rsid w:val="000C3AA2"/>
    <w:rsid w:val="000C3AA6"/>
    <w:rsid w:val="000C3B50"/>
    <w:rsid w:val="000C3BB2"/>
    <w:rsid w:val="000C3BD5"/>
    <w:rsid w:val="000C3C34"/>
    <w:rsid w:val="000C3C5A"/>
    <w:rsid w:val="000C3CAB"/>
    <w:rsid w:val="000C3CC9"/>
    <w:rsid w:val="000C3CCA"/>
    <w:rsid w:val="000C3CE2"/>
    <w:rsid w:val="000C3CE3"/>
    <w:rsid w:val="000C3D26"/>
    <w:rsid w:val="000C3D67"/>
    <w:rsid w:val="000C3D6C"/>
    <w:rsid w:val="000C3E83"/>
    <w:rsid w:val="000C3F7D"/>
    <w:rsid w:val="000C3FAD"/>
    <w:rsid w:val="000C3FAF"/>
    <w:rsid w:val="000C400D"/>
    <w:rsid w:val="000C40D2"/>
    <w:rsid w:val="000C40E4"/>
    <w:rsid w:val="000C40F1"/>
    <w:rsid w:val="000C410E"/>
    <w:rsid w:val="000C412A"/>
    <w:rsid w:val="000C4131"/>
    <w:rsid w:val="000C4132"/>
    <w:rsid w:val="000C41CC"/>
    <w:rsid w:val="000C42F4"/>
    <w:rsid w:val="000C43A9"/>
    <w:rsid w:val="000C4481"/>
    <w:rsid w:val="000C4493"/>
    <w:rsid w:val="000C44D8"/>
    <w:rsid w:val="000C44E3"/>
    <w:rsid w:val="000C454B"/>
    <w:rsid w:val="000C4634"/>
    <w:rsid w:val="000C463A"/>
    <w:rsid w:val="000C465B"/>
    <w:rsid w:val="000C4689"/>
    <w:rsid w:val="000C46B3"/>
    <w:rsid w:val="000C478F"/>
    <w:rsid w:val="000C47B4"/>
    <w:rsid w:val="000C47D0"/>
    <w:rsid w:val="000C4803"/>
    <w:rsid w:val="000C4847"/>
    <w:rsid w:val="000C487D"/>
    <w:rsid w:val="000C48EF"/>
    <w:rsid w:val="000C490D"/>
    <w:rsid w:val="000C49CD"/>
    <w:rsid w:val="000C4A16"/>
    <w:rsid w:val="000C4A3B"/>
    <w:rsid w:val="000C4A5A"/>
    <w:rsid w:val="000C4A74"/>
    <w:rsid w:val="000C4A96"/>
    <w:rsid w:val="000C4AE1"/>
    <w:rsid w:val="000C4B5C"/>
    <w:rsid w:val="000C4B74"/>
    <w:rsid w:val="000C4B88"/>
    <w:rsid w:val="000C4B8B"/>
    <w:rsid w:val="000C4C12"/>
    <w:rsid w:val="000C4C24"/>
    <w:rsid w:val="000C4C3C"/>
    <w:rsid w:val="000C4C48"/>
    <w:rsid w:val="000C4D77"/>
    <w:rsid w:val="000C4DD2"/>
    <w:rsid w:val="000C4E2A"/>
    <w:rsid w:val="000C4E88"/>
    <w:rsid w:val="000C4F09"/>
    <w:rsid w:val="000C4FD9"/>
    <w:rsid w:val="000C4FDB"/>
    <w:rsid w:val="000C4FF1"/>
    <w:rsid w:val="000C504F"/>
    <w:rsid w:val="000C5095"/>
    <w:rsid w:val="000C50C7"/>
    <w:rsid w:val="000C50E0"/>
    <w:rsid w:val="000C5106"/>
    <w:rsid w:val="000C5108"/>
    <w:rsid w:val="000C5134"/>
    <w:rsid w:val="000C5135"/>
    <w:rsid w:val="000C5137"/>
    <w:rsid w:val="000C51E0"/>
    <w:rsid w:val="000C524B"/>
    <w:rsid w:val="000C524C"/>
    <w:rsid w:val="000C527C"/>
    <w:rsid w:val="000C52D0"/>
    <w:rsid w:val="000C532B"/>
    <w:rsid w:val="000C5330"/>
    <w:rsid w:val="000C5353"/>
    <w:rsid w:val="000C536F"/>
    <w:rsid w:val="000C537F"/>
    <w:rsid w:val="000C53AA"/>
    <w:rsid w:val="000C53CF"/>
    <w:rsid w:val="000C53D4"/>
    <w:rsid w:val="000C53DB"/>
    <w:rsid w:val="000C5413"/>
    <w:rsid w:val="000C5428"/>
    <w:rsid w:val="000C5473"/>
    <w:rsid w:val="000C548E"/>
    <w:rsid w:val="000C54BC"/>
    <w:rsid w:val="000C5538"/>
    <w:rsid w:val="000C556D"/>
    <w:rsid w:val="000C5573"/>
    <w:rsid w:val="000C55D2"/>
    <w:rsid w:val="000C560B"/>
    <w:rsid w:val="000C565D"/>
    <w:rsid w:val="000C5684"/>
    <w:rsid w:val="000C5709"/>
    <w:rsid w:val="000C5725"/>
    <w:rsid w:val="000C5734"/>
    <w:rsid w:val="000C5762"/>
    <w:rsid w:val="000C57CA"/>
    <w:rsid w:val="000C57CF"/>
    <w:rsid w:val="000C5844"/>
    <w:rsid w:val="000C586F"/>
    <w:rsid w:val="000C58A0"/>
    <w:rsid w:val="000C58C3"/>
    <w:rsid w:val="000C58C5"/>
    <w:rsid w:val="000C5928"/>
    <w:rsid w:val="000C59D8"/>
    <w:rsid w:val="000C5A7C"/>
    <w:rsid w:val="000C5B7D"/>
    <w:rsid w:val="000C5B82"/>
    <w:rsid w:val="000C5C03"/>
    <w:rsid w:val="000C5C16"/>
    <w:rsid w:val="000C5C27"/>
    <w:rsid w:val="000C5C37"/>
    <w:rsid w:val="000C5D2A"/>
    <w:rsid w:val="000C5D36"/>
    <w:rsid w:val="000C5D9B"/>
    <w:rsid w:val="000C5DA7"/>
    <w:rsid w:val="000C5DB5"/>
    <w:rsid w:val="000C5DEA"/>
    <w:rsid w:val="000C5E96"/>
    <w:rsid w:val="000C5EFD"/>
    <w:rsid w:val="000C5F8A"/>
    <w:rsid w:val="000C5F93"/>
    <w:rsid w:val="000C5FAD"/>
    <w:rsid w:val="000C5FF8"/>
    <w:rsid w:val="000C6065"/>
    <w:rsid w:val="000C6068"/>
    <w:rsid w:val="000C60C0"/>
    <w:rsid w:val="000C60E5"/>
    <w:rsid w:val="000C60FE"/>
    <w:rsid w:val="000C6193"/>
    <w:rsid w:val="000C61A8"/>
    <w:rsid w:val="000C61ED"/>
    <w:rsid w:val="000C621F"/>
    <w:rsid w:val="000C6224"/>
    <w:rsid w:val="000C62EA"/>
    <w:rsid w:val="000C6302"/>
    <w:rsid w:val="000C631F"/>
    <w:rsid w:val="000C634D"/>
    <w:rsid w:val="000C6385"/>
    <w:rsid w:val="000C6387"/>
    <w:rsid w:val="000C63A8"/>
    <w:rsid w:val="000C63C9"/>
    <w:rsid w:val="000C63D8"/>
    <w:rsid w:val="000C63FA"/>
    <w:rsid w:val="000C643C"/>
    <w:rsid w:val="000C645F"/>
    <w:rsid w:val="000C647C"/>
    <w:rsid w:val="000C64E2"/>
    <w:rsid w:val="000C6503"/>
    <w:rsid w:val="000C66B3"/>
    <w:rsid w:val="000C66CD"/>
    <w:rsid w:val="000C66DF"/>
    <w:rsid w:val="000C66FA"/>
    <w:rsid w:val="000C6751"/>
    <w:rsid w:val="000C67E3"/>
    <w:rsid w:val="000C67EA"/>
    <w:rsid w:val="000C684A"/>
    <w:rsid w:val="000C6921"/>
    <w:rsid w:val="000C6938"/>
    <w:rsid w:val="000C6964"/>
    <w:rsid w:val="000C6981"/>
    <w:rsid w:val="000C6986"/>
    <w:rsid w:val="000C6998"/>
    <w:rsid w:val="000C69BD"/>
    <w:rsid w:val="000C69FC"/>
    <w:rsid w:val="000C6A19"/>
    <w:rsid w:val="000C6A1F"/>
    <w:rsid w:val="000C6AD3"/>
    <w:rsid w:val="000C6B12"/>
    <w:rsid w:val="000C6B68"/>
    <w:rsid w:val="000C6BB2"/>
    <w:rsid w:val="000C6BB6"/>
    <w:rsid w:val="000C6BB8"/>
    <w:rsid w:val="000C6C05"/>
    <w:rsid w:val="000C6C06"/>
    <w:rsid w:val="000C6C14"/>
    <w:rsid w:val="000C6CB0"/>
    <w:rsid w:val="000C6CD8"/>
    <w:rsid w:val="000C6CF9"/>
    <w:rsid w:val="000C6D12"/>
    <w:rsid w:val="000C6D47"/>
    <w:rsid w:val="000C6DBF"/>
    <w:rsid w:val="000C6E1D"/>
    <w:rsid w:val="000C6E6B"/>
    <w:rsid w:val="000C6E92"/>
    <w:rsid w:val="000C6EC3"/>
    <w:rsid w:val="000C6F60"/>
    <w:rsid w:val="000C6FBF"/>
    <w:rsid w:val="000C702F"/>
    <w:rsid w:val="000C7136"/>
    <w:rsid w:val="000C71D3"/>
    <w:rsid w:val="000C71E8"/>
    <w:rsid w:val="000C721F"/>
    <w:rsid w:val="000C7224"/>
    <w:rsid w:val="000C722F"/>
    <w:rsid w:val="000C72B4"/>
    <w:rsid w:val="000C72EA"/>
    <w:rsid w:val="000C72F0"/>
    <w:rsid w:val="000C7382"/>
    <w:rsid w:val="000C7390"/>
    <w:rsid w:val="000C73AC"/>
    <w:rsid w:val="000C73BC"/>
    <w:rsid w:val="000C745D"/>
    <w:rsid w:val="000C74A5"/>
    <w:rsid w:val="000C74BE"/>
    <w:rsid w:val="000C75DB"/>
    <w:rsid w:val="000C7616"/>
    <w:rsid w:val="000C761F"/>
    <w:rsid w:val="000C762D"/>
    <w:rsid w:val="000C7673"/>
    <w:rsid w:val="000C76B7"/>
    <w:rsid w:val="000C76B9"/>
    <w:rsid w:val="000C76C7"/>
    <w:rsid w:val="000C76CB"/>
    <w:rsid w:val="000C76FA"/>
    <w:rsid w:val="000C7712"/>
    <w:rsid w:val="000C776E"/>
    <w:rsid w:val="000C77B7"/>
    <w:rsid w:val="000C77DC"/>
    <w:rsid w:val="000C7817"/>
    <w:rsid w:val="000C78F1"/>
    <w:rsid w:val="000C78F3"/>
    <w:rsid w:val="000C791E"/>
    <w:rsid w:val="000C7944"/>
    <w:rsid w:val="000C797F"/>
    <w:rsid w:val="000C798E"/>
    <w:rsid w:val="000C7994"/>
    <w:rsid w:val="000C79C4"/>
    <w:rsid w:val="000C7A74"/>
    <w:rsid w:val="000C7AC0"/>
    <w:rsid w:val="000C7AE1"/>
    <w:rsid w:val="000C7C68"/>
    <w:rsid w:val="000C7C6F"/>
    <w:rsid w:val="000C7D51"/>
    <w:rsid w:val="000C7DA8"/>
    <w:rsid w:val="000C7DE9"/>
    <w:rsid w:val="000C7DFE"/>
    <w:rsid w:val="000C7EDD"/>
    <w:rsid w:val="000C7F1B"/>
    <w:rsid w:val="000C7F37"/>
    <w:rsid w:val="000C7FAA"/>
    <w:rsid w:val="000C7FCD"/>
    <w:rsid w:val="000D0010"/>
    <w:rsid w:val="000D0023"/>
    <w:rsid w:val="000D0049"/>
    <w:rsid w:val="000D008F"/>
    <w:rsid w:val="000D00D8"/>
    <w:rsid w:val="000D0134"/>
    <w:rsid w:val="000D0181"/>
    <w:rsid w:val="000D018F"/>
    <w:rsid w:val="000D01B7"/>
    <w:rsid w:val="000D01C3"/>
    <w:rsid w:val="000D01CA"/>
    <w:rsid w:val="000D01F3"/>
    <w:rsid w:val="000D0219"/>
    <w:rsid w:val="000D025B"/>
    <w:rsid w:val="000D02D7"/>
    <w:rsid w:val="000D02DF"/>
    <w:rsid w:val="000D034F"/>
    <w:rsid w:val="000D037F"/>
    <w:rsid w:val="000D0382"/>
    <w:rsid w:val="000D038A"/>
    <w:rsid w:val="000D03CD"/>
    <w:rsid w:val="000D046D"/>
    <w:rsid w:val="000D04C5"/>
    <w:rsid w:val="000D04F4"/>
    <w:rsid w:val="000D058C"/>
    <w:rsid w:val="000D05F3"/>
    <w:rsid w:val="000D0605"/>
    <w:rsid w:val="000D0624"/>
    <w:rsid w:val="000D0629"/>
    <w:rsid w:val="000D0640"/>
    <w:rsid w:val="000D0652"/>
    <w:rsid w:val="000D0668"/>
    <w:rsid w:val="000D06AD"/>
    <w:rsid w:val="000D06C0"/>
    <w:rsid w:val="000D06C4"/>
    <w:rsid w:val="000D070C"/>
    <w:rsid w:val="000D0775"/>
    <w:rsid w:val="000D08C7"/>
    <w:rsid w:val="000D0935"/>
    <w:rsid w:val="000D0936"/>
    <w:rsid w:val="000D09C6"/>
    <w:rsid w:val="000D09E1"/>
    <w:rsid w:val="000D0A77"/>
    <w:rsid w:val="000D0AA8"/>
    <w:rsid w:val="000D0ADD"/>
    <w:rsid w:val="000D0AEB"/>
    <w:rsid w:val="000D0B00"/>
    <w:rsid w:val="000D0B1E"/>
    <w:rsid w:val="000D0B29"/>
    <w:rsid w:val="000D0B39"/>
    <w:rsid w:val="000D0C57"/>
    <w:rsid w:val="000D0C7E"/>
    <w:rsid w:val="000D0C88"/>
    <w:rsid w:val="000D0C8E"/>
    <w:rsid w:val="000D0CBD"/>
    <w:rsid w:val="000D0CDC"/>
    <w:rsid w:val="000D0CF4"/>
    <w:rsid w:val="000D0D20"/>
    <w:rsid w:val="000D0D27"/>
    <w:rsid w:val="000D0D4D"/>
    <w:rsid w:val="000D0DB6"/>
    <w:rsid w:val="000D0DE2"/>
    <w:rsid w:val="000D0DE9"/>
    <w:rsid w:val="000D0E49"/>
    <w:rsid w:val="000D0E73"/>
    <w:rsid w:val="000D0F0D"/>
    <w:rsid w:val="000D0F86"/>
    <w:rsid w:val="000D0FF6"/>
    <w:rsid w:val="000D101A"/>
    <w:rsid w:val="000D1026"/>
    <w:rsid w:val="000D102D"/>
    <w:rsid w:val="000D104D"/>
    <w:rsid w:val="000D1156"/>
    <w:rsid w:val="000D1173"/>
    <w:rsid w:val="000D11B7"/>
    <w:rsid w:val="000D120D"/>
    <w:rsid w:val="000D123A"/>
    <w:rsid w:val="000D1255"/>
    <w:rsid w:val="000D12C2"/>
    <w:rsid w:val="000D12C8"/>
    <w:rsid w:val="000D1309"/>
    <w:rsid w:val="000D1326"/>
    <w:rsid w:val="000D134F"/>
    <w:rsid w:val="000D1395"/>
    <w:rsid w:val="000D1396"/>
    <w:rsid w:val="000D13A7"/>
    <w:rsid w:val="000D1425"/>
    <w:rsid w:val="000D1451"/>
    <w:rsid w:val="000D1478"/>
    <w:rsid w:val="000D14D2"/>
    <w:rsid w:val="000D15A0"/>
    <w:rsid w:val="000D15B6"/>
    <w:rsid w:val="000D1655"/>
    <w:rsid w:val="000D16B7"/>
    <w:rsid w:val="000D16C0"/>
    <w:rsid w:val="000D1766"/>
    <w:rsid w:val="000D1798"/>
    <w:rsid w:val="000D17C9"/>
    <w:rsid w:val="000D17EE"/>
    <w:rsid w:val="000D1817"/>
    <w:rsid w:val="000D1890"/>
    <w:rsid w:val="000D18D9"/>
    <w:rsid w:val="000D1917"/>
    <w:rsid w:val="000D1927"/>
    <w:rsid w:val="000D194B"/>
    <w:rsid w:val="000D19EC"/>
    <w:rsid w:val="000D1A26"/>
    <w:rsid w:val="000D1A87"/>
    <w:rsid w:val="000D1C1E"/>
    <w:rsid w:val="000D1C2B"/>
    <w:rsid w:val="000D1C72"/>
    <w:rsid w:val="000D1C90"/>
    <w:rsid w:val="000D1CEE"/>
    <w:rsid w:val="000D1D16"/>
    <w:rsid w:val="000D1D6C"/>
    <w:rsid w:val="000D1DC4"/>
    <w:rsid w:val="000D1DCD"/>
    <w:rsid w:val="000D1DDC"/>
    <w:rsid w:val="000D1E08"/>
    <w:rsid w:val="000D1E1A"/>
    <w:rsid w:val="000D1E5B"/>
    <w:rsid w:val="000D1E6B"/>
    <w:rsid w:val="000D1E6E"/>
    <w:rsid w:val="000D1E84"/>
    <w:rsid w:val="000D1EBE"/>
    <w:rsid w:val="000D1EE7"/>
    <w:rsid w:val="000D2029"/>
    <w:rsid w:val="000D2045"/>
    <w:rsid w:val="000D2078"/>
    <w:rsid w:val="000D209E"/>
    <w:rsid w:val="000D20A1"/>
    <w:rsid w:val="000D210C"/>
    <w:rsid w:val="000D214C"/>
    <w:rsid w:val="000D224E"/>
    <w:rsid w:val="000D22C3"/>
    <w:rsid w:val="000D2333"/>
    <w:rsid w:val="000D2427"/>
    <w:rsid w:val="000D244C"/>
    <w:rsid w:val="000D2478"/>
    <w:rsid w:val="000D249A"/>
    <w:rsid w:val="000D24A0"/>
    <w:rsid w:val="000D24BF"/>
    <w:rsid w:val="000D24DF"/>
    <w:rsid w:val="000D2525"/>
    <w:rsid w:val="000D252D"/>
    <w:rsid w:val="000D2573"/>
    <w:rsid w:val="000D2593"/>
    <w:rsid w:val="000D25DC"/>
    <w:rsid w:val="000D2609"/>
    <w:rsid w:val="000D2624"/>
    <w:rsid w:val="000D263E"/>
    <w:rsid w:val="000D2698"/>
    <w:rsid w:val="000D26DA"/>
    <w:rsid w:val="000D26F2"/>
    <w:rsid w:val="000D271B"/>
    <w:rsid w:val="000D271D"/>
    <w:rsid w:val="000D2745"/>
    <w:rsid w:val="000D27F5"/>
    <w:rsid w:val="000D27FD"/>
    <w:rsid w:val="000D2800"/>
    <w:rsid w:val="000D280F"/>
    <w:rsid w:val="000D284C"/>
    <w:rsid w:val="000D2863"/>
    <w:rsid w:val="000D2897"/>
    <w:rsid w:val="000D28D5"/>
    <w:rsid w:val="000D29B2"/>
    <w:rsid w:val="000D2A08"/>
    <w:rsid w:val="000D2ABB"/>
    <w:rsid w:val="000D2AC8"/>
    <w:rsid w:val="000D2ADC"/>
    <w:rsid w:val="000D2AF8"/>
    <w:rsid w:val="000D2C31"/>
    <w:rsid w:val="000D2CAE"/>
    <w:rsid w:val="000D2D29"/>
    <w:rsid w:val="000D2D35"/>
    <w:rsid w:val="000D2D9D"/>
    <w:rsid w:val="000D2DAB"/>
    <w:rsid w:val="000D2E58"/>
    <w:rsid w:val="000D2E6A"/>
    <w:rsid w:val="000D2E87"/>
    <w:rsid w:val="000D2E94"/>
    <w:rsid w:val="000D2EE8"/>
    <w:rsid w:val="000D2EFE"/>
    <w:rsid w:val="000D2F05"/>
    <w:rsid w:val="000D2F2C"/>
    <w:rsid w:val="000D2FBB"/>
    <w:rsid w:val="000D3045"/>
    <w:rsid w:val="000D3089"/>
    <w:rsid w:val="000D30FF"/>
    <w:rsid w:val="000D3177"/>
    <w:rsid w:val="000D329C"/>
    <w:rsid w:val="000D338F"/>
    <w:rsid w:val="000D3416"/>
    <w:rsid w:val="000D3435"/>
    <w:rsid w:val="000D3469"/>
    <w:rsid w:val="000D34E7"/>
    <w:rsid w:val="000D3504"/>
    <w:rsid w:val="000D35A7"/>
    <w:rsid w:val="000D35FD"/>
    <w:rsid w:val="000D3616"/>
    <w:rsid w:val="000D3658"/>
    <w:rsid w:val="000D36C8"/>
    <w:rsid w:val="000D371D"/>
    <w:rsid w:val="000D3723"/>
    <w:rsid w:val="000D373B"/>
    <w:rsid w:val="000D3751"/>
    <w:rsid w:val="000D3765"/>
    <w:rsid w:val="000D3781"/>
    <w:rsid w:val="000D37CD"/>
    <w:rsid w:val="000D37CE"/>
    <w:rsid w:val="000D386A"/>
    <w:rsid w:val="000D38C5"/>
    <w:rsid w:val="000D38CC"/>
    <w:rsid w:val="000D38F7"/>
    <w:rsid w:val="000D3999"/>
    <w:rsid w:val="000D3A6A"/>
    <w:rsid w:val="000D3ABE"/>
    <w:rsid w:val="000D3AE0"/>
    <w:rsid w:val="000D3B20"/>
    <w:rsid w:val="000D3BC1"/>
    <w:rsid w:val="000D3C22"/>
    <w:rsid w:val="000D3C31"/>
    <w:rsid w:val="000D3CA8"/>
    <w:rsid w:val="000D3CC7"/>
    <w:rsid w:val="000D3CCD"/>
    <w:rsid w:val="000D3D77"/>
    <w:rsid w:val="000D3E27"/>
    <w:rsid w:val="000D3E81"/>
    <w:rsid w:val="000D3FAD"/>
    <w:rsid w:val="000D3FB1"/>
    <w:rsid w:val="000D4025"/>
    <w:rsid w:val="000D41C5"/>
    <w:rsid w:val="000D4305"/>
    <w:rsid w:val="000D4354"/>
    <w:rsid w:val="000D436E"/>
    <w:rsid w:val="000D43D9"/>
    <w:rsid w:val="000D43EE"/>
    <w:rsid w:val="000D4426"/>
    <w:rsid w:val="000D44BF"/>
    <w:rsid w:val="000D44DF"/>
    <w:rsid w:val="000D454E"/>
    <w:rsid w:val="000D4663"/>
    <w:rsid w:val="000D4669"/>
    <w:rsid w:val="000D4702"/>
    <w:rsid w:val="000D4774"/>
    <w:rsid w:val="000D47D1"/>
    <w:rsid w:val="000D489F"/>
    <w:rsid w:val="000D48CB"/>
    <w:rsid w:val="000D48F0"/>
    <w:rsid w:val="000D491A"/>
    <w:rsid w:val="000D4973"/>
    <w:rsid w:val="000D49C2"/>
    <w:rsid w:val="000D49D4"/>
    <w:rsid w:val="000D4BC0"/>
    <w:rsid w:val="000D4BCC"/>
    <w:rsid w:val="000D4CC5"/>
    <w:rsid w:val="000D4D82"/>
    <w:rsid w:val="000D4DCB"/>
    <w:rsid w:val="000D4E2D"/>
    <w:rsid w:val="000D4E36"/>
    <w:rsid w:val="000D4E59"/>
    <w:rsid w:val="000D4F4F"/>
    <w:rsid w:val="000D4F79"/>
    <w:rsid w:val="000D4FED"/>
    <w:rsid w:val="000D5010"/>
    <w:rsid w:val="000D5019"/>
    <w:rsid w:val="000D5068"/>
    <w:rsid w:val="000D5070"/>
    <w:rsid w:val="000D5071"/>
    <w:rsid w:val="000D507F"/>
    <w:rsid w:val="000D5217"/>
    <w:rsid w:val="000D526F"/>
    <w:rsid w:val="000D52EB"/>
    <w:rsid w:val="000D537D"/>
    <w:rsid w:val="000D53F1"/>
    <w:rsid w:val="000D546B"/>
    <w:rsid w:val="000D551B"/>
    <w:rsid w:val="000D5540"/>
    <w:rsid w:val="000D5647"/>
    <w:rsid w:val="000D56CE"/>
    <w:rsid w:val="000D573B"/>
    <w:rsid w:val="000D577C"/>
    <w:rsid w:val="000D5785"/>
    <w:rsid w:val="000D578E"/>
    <w:rsid w:val="000D57B7"/>
    <w:rsid w:val="000D5836"/>
    <w:rsid w:val="000D58CF"/>
    <w:rsid w:val="000D58FE"/>
    <w:rsid w:val="000D5912"/>
    <w:rsid w:val="000D5977"/>
    <w:rsid w:val="000D59C1"/>
    <w:rsid w:val="000D59D1"/>
    <w:rsid w:val="000D59E7"/>
    <w:rsid w:val="000D5A5F"/>
    <w:rsid w:val="000D5A9E"/>
    <w:rsid w:val="000D5AC7"/>
    <w:rsid w:val="000D5B20"/>
    <w:rsid w:val="000D5B28"/>
    <w:rsid w:val="000D5B36"/>
    <w:rsid w:val="000D5B65"/>
    <w:rsid w:val="000D5C9A"/>
    <w:rsid w:val="000D5CB7"/>
    <w:rsid w:val="000D5D0A"/>
    <w:rsid w:val="000D5D15"/>
    <w:rsid w:val="000D5D4E"/>
    <w:rsid w:val="000D5D8A"/>
    <w:rsid w:val="000D5DD7"/>
    <w:rsid w:val="000D5E0C"/>
    <w:rsid w:val="000D5E18"/>
    <w:rsid w:val="000D5E62"/>
    <w:rsid w:val="000D5EED"/>
    <w:rsid w:val="000D5FBD"/>
    <w:rsid w:val="000D5FE5"/>
    <w:rsid w:val="000D6003"/>
    <w:rsid w:val="000D6053"/>
    <w:rsid w:val="000D6083"/>
    <w:rsid w:val="000D611C"/>
    <w:rsid w:val="000D6183"/>
    <w:rsid w:val="000D6190"/>
    <w:rsid w:val="000D61F5"/>
    <w:rsid w:val="000D6257"/>
    <w:rsid w:val="000D629A"/>
    <w:rsid w:val="000D6356"/>
    <w:rsid w:val="000D6396"/>
    <w:rsid w:val="000D63A4"/>
    <w:rsid w:val="000D63D4"/>
    <w:rsid w:val="000D64A3"/>
    <w:rsid w:val="000D64B1"/>
    <w:rsid w:val="000D655C"/>
    <w:rsid w:val="000D65F4"/>
    <w:rsid w:val="000D6695"/>
    <w:rsid w:val="000D669E"/>
    <w:rsid w:val="000D670E"/>
    <w:rsid w:val="000D6769"/>
    <w:rsid w:val="000D677D"/>
    <w:rsid w:val="000D677E"/>
    <w:rsid w:val="000D6792"/>
    <w:rsid w:val="000D679A"/>
    <w:rsid w:val="000D67F5"/>
    <w:rsid w:val="000D67FA"/>
    <w:rsid w:val="000D681A"/>
    <w:rsid w:val="000D682A"/>
    <w:rsid w:val="000D6881"/>
    <w:rsid w:val="000D68A3"/>
    <w:rsid w:val="000D68E4"/>
    <w:rsid w:val="000D692F"/>
    <w:rsid w:val="000D6942"/>
    <w:rsid w:val="000D6968"/>
    <w:rsid w:val="000D69BB"/>
    <w:rsid w:val="000D69DB"/>
    <w:rsid w:val="000D6A13"/>
    <w:rsid w:val="000D6A32"/>
    <w:rsid w:val="000D6B3D"/>
    <w:rsid w:val="000D6BA8"/>
    <w:rsid w:val="000D6C32"/>
    <w:rsid w:val="000D6C8B"/>
    <w:rsid w:val="000D6CB9"/>
    <w:rsid w:val="000D6CBB"/>
    <w:rsid w:val="000D6D44"/>
    <w:rsid w:val="000D6D94"/>
    <w:rsid w:val="000D6DAB"/>
    <w:rsid w:val="000D6DB0"/>
    <w:rsid w:val="000D6DBC"/>
    <w:rsid w:val="000D6DD2"/>
    <w:rsid w:val="000D6DE4"/>
    <w:rsid w:val="000D6E23"/>
    <w:rsid w:val="000D6E2B"/>
    <w:rsid w:val="000D6E9F"/>
    <w:rsid w:val="000D6EC0"/>
    <w:rsid w:val="000D6EC6"/>
    <w:rsid w:val="000D6F6F"/>
    <w:rsid w:val="000D6FDB"/>
    <w:rsid w:val="000D6FE5"/>
    <w:rsid w:val="000D6FFF"/>
    <w:rsid w:val="000D7064"/>
    <w:rsid w:val="000D70CA"/>
    <w:rsid w:val="000D70D7"/>
    <w:rsid w:val="000D7126"/>
    <w:rsid w:val="000D712F"/>
    <w:rsid w:val="000D713E"/>
    <w:rsid w:val="000D7149"/>
    <w:rsid w:val="000D7195"/>
    <w:rsid w:val="000D71A8"/>
    <w:rsid w:val="000D71B3"/>
    <w:rsid w:val="000D71F3"/>
    <w:rsid w:val="000D721E"/>
    <w:rsid w:val="000D7224"/>
    <w:rsid w:val="000D7289"/>
    <w:rsid w:val="000D729F"/>
    <w:rsid w:val="000D72A5"/>
    <w:rsid w:val="000D72AD"/>
    <w:rsid w:val="000D72CF"/>
    <w:rsid w:val="000D72D9"/>
    <w:rsid w:val="000D7375"/>
    <w:rsid w:val="000D73FC"/>
    <w:rsid w:val="000D74DB"/>
    <w:rsid w:val="000D7570"/>
    <w:rsid w:val="000D75BB"/>
    <w:rsid w:val="000D7644"/>
    <w:rsid w:val="000D767F"/>
    <w:rsid w:val="000D7686"/>
    <w:rsid w:val="000D76B3"/>
    <w:rsid w:val="000D76C8"/>
    <w:rsid w:val="000D76CE"/>
    <w:rsid w:val="000D76D6"/>
    <w:rsid w:val="000D76F7"/>
    <w:rsid w:val="000D76FD"/>
    <w:rsid w:val="000D7755"/>
    <w:rsid w:val="000D779B"/>
    <w:rsid w:val="000D7813"/>
    <w:rsid w:val="000D7981"/>
    <w:rsid w:val="000D79A6"/>
    <w:rsid w:val="000D7A27"/>
    <w:rsid w:val="000D7A4F"/>
    <w:rsid w:val="000D7A58"/>
    <w:rsid w:val="000D7A76"/>
    <w:rsid w:val="000D7B7C"/>
    <w:rsid w:val="000D7BB3"/>
    <w:rsid w:val="000D7BDF"/>
    <w:rsid w:val="000D7C6F"/>
    <w:rsid w:val="000D7C97"/>
    <w:rsid w:val="000D7D5A"/>
    <w:rsid w:val="000D7DF3"/>
    <w:rsid w:val="000D7E36"/>
    <w:rsid w:val="000D7E56"/>
    <w:rsid w:val="000D7E6B"/>
    <w:rsid w:val="000D7EAB"/>
    <w:rsid w:val="000D7ECB"/>
    <w:rsid w:val="000D7EE0"/>
    <w:rsid w:val="000D7F69"/>
    <w:rsid w:val="000D7F97"/>
    <w:rsid w:val="000D7FF3"/>
    <w:rsid w:val="000E004A"/>
    <w:rsid w:val="000E0133"/>
    <w:rsid w:val="000E0184"/>
    <w:rsid w:val="000E01ED"/>
    <w:rsid w:val="000E01F4"/>
    <w:rsid w:val="000E01FD"/>
    <w:rsid w:val="000E021F"/>
    <w:rsid w:val="000E0221"/>
    <w:rsid w:val="000E02A5"/>
    <w:rsid w:val="000E0310"/>
    <w:rsid w:val="000E03BB"/>
    <w:rsid w:val="000E046A"/>
    <w:rsid w:val="000E0470"/>
    <w:rsid w:val="000E04B6"/>
    <w:rsid w:val="000E0519"/>
    <w:rsid w:val="000E0524"/>
    <w:rsid w:val="000E0590"/>
    <w:rsid w:val="000E0627"/>
    <w:rsid w:val="000E062F"/>
    <w:rsid w:val="000E064E"/>
    <w:rsid w:val="000E065E"/>
    <w:rsid w:val="000E066E"/>
    <w:rsid w:val="000E06B7"/>
    <w:rsid w:val="000E06F7"/>
    <w:rsid w:val="000E0708"/>
    <w:rsid w:val="000E070A"/>
    <w:rsid w:val="000E077A"/>
    <w:rsid w:val="000E07C9"/>
    <w:rsid w:val="000E0834"/>
    <w:rsid w:val="000E0871"/>
    <w:rsid w:val="000E08A8"/>
    <w:rsid w:val="000E08E3"/>
    <w:rsid w:val="000E0902"/>
    <w:rsid w:val="000E090E"/>
    <w:rsid w:val="000E0950"/>
    <w:rsid w:val="000E09B0"/>
    <w:rsid w:val="000E09D9"/>
    <w:rsid w:val="000E09E9"/>
    <w:rsid w:val="000E0AA2"/>
    <w:rsid w:val="000E0AA4"/>
    <w:rsid w:val="000E0ADC"/>
    <w:rsid w:val="000E0B81"/>
    <w:rsid w:val="000E0BF2"/>
    <w:rsid w:val="000E0C35"/>
    <w:rsid w:val="000E0C3E"/>
    <w:rsid w:val="000E0CEC"/>
    <w:rsid w:val="000E0CF3"/>
    <w:rsid w:val="000E0D02"/>
    <w:rsid w:val="000E0D3E"/>
    <w:rsid w:val="000E0D64"/>
    <w:rsid w:val="000E0D6B"/>
    <w:rsid w:val="000E0D84"/>
    <w:rsid w:val="000E0DB4"/>
    <w:rsid w:val="000E0DE1"/>
    <w:rsid w:val="000E0DED"/>
    <w:rsid w:val="000E0E4C"/>
    <w:rsid w:val="000E0E5B"/>
    <w:rsid w:val="000E0EE1"/>
    <w:rsid w:val="000E0F33"/>
    <w:rsid w:val="000E0FC0"/>
    <w:rsid w:val="000E0FC8"/>
    <w:rsid w:val="000E100C"/>
    <w:rsid w:val="000E100E"/>
    <w:rsid w:val="000E101D"/>
    <w:rsid w:val="000E1081"/>
    <w:rsid w:val="000E10D8"/>
    <w:rsid w:val="000E10DE"/>
    <w:rsid w:val="000E1148"/>
    <w:rsid w:val="000E115B"/>
    <w:rsid w:val="000E117A"/>
    <w:rsid w:val="000E117E"/>
    <w:rsid w:val="000E11D6"/>
    <w:rsid w:val="000E1225"/>
    <w:rsid w:val="000E123B"/>
    <w:rsid w:val="000E1283"/>
    <w:rsid w:val="000E12C1"/>
    <w:rsid w:val="000E1300"/>
    <w:rsid w:val="000E1314"/>
    <w:rsid w:val="000E1357"/>
    <w:rsid w:val="000E13F4"/>
    <w:rsid w:val="000E1409"/>
    <w:rsid w:val="000E1449"/>
    <w:rsid w:val="000E14C7"/>
    <w:rsid w:val="000E14ED"/>
    <w:rsid w:val="000E152C"/>
    <w:rsid w:val="000E1538"/>
    <w:rsid w:val="000E1571"/>
    <w:rsid w:val="000E157D"/>
    <w:rsid w:val="000E15A0"/>
    <w:rsid w:val="000E15B3"/>
    <w:rsid w:val="000E15E5"/>
    <w:rsid w:val="000E15EB"/>
    <w:rsid w:val="000E1671"/>
    <w:rsid w:val="000E16D7"/>
    <w:rsid w:val="000E1702"/>
    <w:rsid w:val="000E173F"/>
    <w:rsid w:val="000E1755"/>
    <w:rsid w:val="000E1807"/>
    <w:rsid w:val="000E1862"/>
    <w:rsid w:val="000E1872"/>
    <w:rsid w:val="000E1921"/>
    <w:rsid w:val="000E193F"/>
    <w:rsid w:val="000E1942"/>
    <w:rsid w:val="000E198B"/>
    <w:rsid w:val="000E198D"/>
    <w:rsid w:val="000E19FC"/>
    <w:rsid w:val="000E1A3D"/>
    <w:rsid w:val="000E1A60"/>
    <w:rsid w:val="000E1B3A"/>
    <w:rsid w:val="000E1B57"/>
    <w:rsid w:val="000E1BA9"/>
    <w:rsid w:val="000E1BC2"/>
    <w:rsid w:val="000E1C33"/>
    <w:rsid w:val="000E1C5B"/>
    <w:rsid w:val="000E1C6E"/>
    <w:rsid w:val="000E1DA3"/>
    <w:rsid w:val="000E1DAB"/>
    <w:rsid w:val="000E1E30"/>
    <w:rsid w:val="000E1EAC"/>
    <w:rsid w:val="000E1EB9"/>
    <w:rsid w:val="000E1EC9"/>
    <w:rsid w:val="000E1F11"/>
    <w:rsid w:val="000E1F1A"/>
    <w:rsid w:val="000E1F59"/>
    <w:rsid w:val="000E1FB8"/>
    <w:rsid w:val="000E1FF7"/>
    <w:rsid w:val="000E20CB"/>
    <w:rsid w:val="000E21C2"/>
    <w:rsid w:val="000E21D8"/>
    <w:rsid w:val="000E21FC"/>
    <w:rsid w:val="000E2241"/>
    <w:rsid w:val="000E226B"/>
    <w:rsid w:val="000E228B"/>
    <w:rsid w:val="000E2322"/>
    <w:rsid w:val="000E2359"/>
    <w:rsid w:val="000E235C"/>
    <w:rsid w:val="000E2464"/>
    <w:rsid w:val="000E246B"/>
    <w:rsid w:val="000E24EA"/>
    <w:rsid w:val="000E251E"/>
    <w:rsid w:val="000E258A"/>
    <w:rsid w:val="000E259B"/>
    <w:rsid w:val="000E260F"/>
    <w:rsid w:val="000E2629"/>
    <w:rsid w:val="000E264C"/>
    <w:rsid w:val="000E268C"/>
    <w:rsid w:val="000E26AA"/>
    <w:rsid w:val="000E26BF"/>
    <w:rsid w:val="000E26CD"/>
    <w:rsid w:val="000E26E4"/>
    <w:rsid w:val="000E26FB"/>
    <w:rsid w:val="000E2756"/>
    <w:rsid w:val="000E2789"/>
    <w:rsid w:val="000E27AA"/>
    <w:rsid w:val="000E27AE"/>
    <w:rsid w:val="000E2889"/>
    <w:rsid w:val="000E28D0"/>
    <w:rsid w:val="000E29B2"/>
    <w:rsid w:val="000E2A1D"/>
    <w:rsid w:val="000E2A22"/>
    <w:rsid w:val="000E2A72"/>
    <w:rsid w:val="000E2B7F"/>
    <w:rsid w:val="000E2BBE"/>
    <w:rsid w:val="000E2C3A"/>
    <w:rsid w:val="000E2C50"/>
    <w:rsid w:val="000E2C6A"/>
    <w:rsid w:val="000E2C74"/>
    <w:rsid w:val="000E2C76"/>
    <w:rsid w:val="000E2CAA"/>
    <w:rsid w:val="000E2D5B"/>
    <w:rsid w:val="000E2D6B"/>
    <w:rsid w:val="000E2DAF"/>
    <w:rsid w:val="000E2DCE"/>
    <w:rsid w:val="000E2DD4"/>
    <w:rsid w:val="000E2E3E"/>
    <w:rsid w:val="000E2EC6"/>
    <w:rsid w:val="000E2EF3"/>
    <w:rsid w:val="000E2F07"/>
    <w:rsid w:val="000E2F2F"/>
    <w:rsid w:val="000E2F4C"/>
    <w:rsid w:val="000E3009"/>
    <w:rsid w:val="000E3016"/>
    <w:rsid w:val="000E3018"/>
    <w:rsid w:val="000E3026"/>
    <w:rsid w:val="000E30DB"/>
    <w:rsid w:val="000E30EA"/>
    <w:rsid w:val="000E3106"/>
    <w:rsid w:val="000E310F"/>
    <w:rsid w:val="000E3198"/>
    <w:rsid w:val="000E31A9"/>
    <w:rsid w:val="000E3305"/>
    <w:rsid w:val="000E331B"/>
    <w:rsid w:val="000E3333"/>
    <w:rsid w:val="000E333B"/>
    <w:rsid w:val="000E335F"/>
    <w:rsid w:val="000E3392"/>
    <w:rsid w:val="000E339A"/>
    <w:rsid w:val="000E33B3"/>
    <w:rsid w:val="000E3429"/>
    <w:rsid w:val="000E351B"/>
    <w:rsid w:val="000E3582"/>
    <w:rsid w:val="000E35B3"/>
    <w:rsid w:val="000E35B7"/>
    <w:rsid w:val="000E35E9"/>
    <w:rsid w:val="000E35ED"/>
    <w:rsid w:val="000E36A5"/>
    <w:rsid w:val="000E36EF"/>
    <w:rsid w:val="000E36F7"/>
    <w:rsid w:val="000E3745"/>
    <w:rsid w:val="000E374A"/>
    <w:rsid w:val="000E3776"/>
    <w:rsid w:val="000E37D4"/>
    <w:rsid w:val="000E3821"/>
    <w:rsid w:val="000E3827"/>
    <w:rsid w:val="000E387C"/>
    <w:rsid w:val="000E3914"/>
    <w:rsid w:val="000E3937"/>
    <w:rsid w:val="000E393A"/>
    <w:rsid w:val="000E3974"/>
    <w:rsid w:val="000E3A17"/>
    <w:rsid w:val="000E3A24"/>
    <w:rsid w:val="000E3A91"/>
    <w:rsid w:val="000E3B03"/>
    <w:rsid w:val="000E3B0E"/>
    <w:rsid w:val="000E3B4B"/>
    <w:rsid w:val="000E3B4D"/>
    <w:rsid w:val="000E3BE7"/>
    <w:rsid w:val="000E3C4D"/>
    <w:rsid w:val="000E3CEA"/>
    <w:rsid w:val="000E3D97"/>
    <w:rsid w:val="000E3D9F"/>
    <w:rsid w:val="000E3E24"/>
    <w:rsid w:val="000E3E3D"/>
    <w:rsid w:val="000E3F5E"/>
    <w:rsid w:val="000E3FC4"/>
    <w:rsid w:val="000E3FD1"/>
    <w:rsid w:val="000E409D"/>
    <w:rsid w:val="000E40A6"/>
    <w:rsid w:val="000E40B0"/>
    <w:rsid w:val="000E4153"/>
    <w:rsid w:val="000E4154"/>
    <w:rsid w:val="000E4157"/>
    <w:rsid w:val="000E417A"/>
    <w:rsid w:val="000E41D5"/>
    <w:rsid w:val="000E41E2"/>
    <w:rsid w:val="000E422F"/>
    <w:rsid w:val="000E430E"/>
    <w:rsid w:val="000E4386"/>
    <w:rsid w:val="000E43C7"/>
    <w:rsid w:val="000E43DC"/>
    <w:rsid w:val="000E4412"/>
    <w:rsid w:val="000E4426"/>
    <w:rsid w:val="000E4428"/>
    <w:rsid w:val="000E4429"/>
    <w:rsid w:val="000E44E5"/>
    <w:rsid w:val="000E44F0"/>
    <w:rsid w:val="000E4500"/>
    <w:rsid w:val="000E4640"/>
    <w:rsid w:val="000E4650"/>
    <w:rsid w:val="000E4667"/>
    <w:rsid w:val="000E4713"/>
    <w:rsid w:val="000E4731"/>
    <w:rsid w:val="000E487B"/>
    <w:rsid w:val="000E488C"/>
    <w:rsid w:val="000E4890"/>
    <w:rsid w:val="000E491B"/>
    <w:rsid w:val="000E4923"/>
    <w:rsid w:val="000E49B7"/>
    <w:rsid w:val="000E4A26"/>
    <w:rsid w:val="000E4A35"/>
    <w:rsid w:val="000E4A9B"/>
    <w:rsid w:val="000E4B48"/>
    <w:rsid w:val="000E4B97"/>
    <w:rsid w:val="000E4C00"/>
    <w:rsid w:val="000E4C19"/>
    <w:rsid w:val="000E4C36"/>
    <w:rsid w:val="000E4CF8"/>
    <w:rsid w:val="000E4D1C"/>
    <w:rsid w:val="000E4D29"/>
    <w:rsid w:val="000E4E48"/>
    <w:rsid w:val="000E4E4A"/>
    <w:rsid w:val="000E4E7A"/>
    <w:rsid w:val="000E4EA9"/>
    <w:rsid w:val="000E4EBA"/>
    <w:rsid w:val="000E4EC0"/>
    <w:rsid w:val="000E4FF6"/>
    <w:rsid w:val="000E5064"/>
    <w:rsid w:val="000E5102"/>
    <w:rsid w:val="000E515E"/>
    <w:rsid w:val="000E5180"/>
    <w:rsid w:val="000E524D"/>
    <w:rsid w:val="000E529F"/>
    <w:rsid w:val="000E52FE"/>
    <w:rsid w:val="000E5322"/>
    <w:rsid w:val="000E534D"/>
    <w:rsid w:val="000E5395"/>
    <w:rsid w:val="000E53EF"/>
    <w:rsid w:val="000E546F"/>
    <w:rsid w:val="000E54B8"/>
    <w:rsid w:val="000E555E"/>
    <w:rsid w:val="000E5573"/>
    <w:rsid w:val="000E55C6"/>
    <w:rsid w:val="000E5660"/>
    <w:rsid w:val="000E569E"/>
    <w:rsid w:val="000E56E1"/>
    <w:rsid w:val="000E575E"/>
    <w:rsid w:val="000E57FD"/>
    <w:rsid w:val="000E5846"/>
    <w:rsid w:val="000E586D"/>
    <w:rsid w:val="000E5891"/>
    <w:rsid w:val="000E589E"/>
    <w:rsid w:val="000E58E2"/>
    <w:rsid w:val="000E5969"/>
    <w:rsid w:val="000E5990"/>
    <w:rsid w:val="000E5A06"/>
    <w:rsid w:val="000E5A11"/>
    <w:rsid w:val="000E5A65"/>
    <w:rsid w:val="000E5B4C"/>
    <w:rsid w:val="000E5B5C"/>
    <w:rsid w:val="000E5B6E"/>
    <w:rsid w:val="000E5B7C"/>
    <w:rsid w:val="000E5B81"/>
    <w:rsid w:val="000E5B92"/>
    <w:rsid w:val="000E5BE3"/>
    <w:rsid w:val="000E5C1F"/>
    <w:rsid w:val="000E5C37"/>
    <w:rsid w:val="000E5C7E"/>
    <w:rsid w:val="000E5CBB"/>
    <w:rsid w:val="000E5CC2"/>
    <w:rsid w:val="000E5CD8"/>
    <w:rsid w:val="000E5D11"/>
    <w:rsid w:val="000E5D77"/>
    <w:rsid w:val="000E5D8F"/>
    <w:rsid w:val="000E5DA2"/>
    <w:rsid w:val="000E5DDC"/>
    <w:rsid w:val="000E5E70"/>
    <w:rsid w:val="000E5EB2"/>
    <w:rsid w:val="000E5F11"/>
    <w:rsid w:val="000E5F5F"/>
    <w:rsid w:val="000E5F66"/>
    <w:rsid w:val="000E5F8B"/>
    <w:rsid w:val="000E5FE0"/>
    <w:rsid w:val="000E6011"/>
    <w:rsid w:val="000E6025"/>
    <w:rsid w:val="000E602E"/>
    <w:rsid w:val="000E604A"/>
    <w:rsid w:val="000E6122"/>
    <w:rsid w:val="000E61C6"/>
    <w:rsid w:val="000E61E2"/>
    <w:rsid w:val="000E61FC"/>
    <w:rsid w:val="000E6256"/>
    <w:rsid w:val="000E628B"/>
    <w:rsid w:val="000E629D"/>
    <w:rsid w:val="000E6370"/>
    <w:rsid w:val="000E63B7"/>
    <w:rsid w:val="000E63C3"/>
    <w:rsid w:val="000E6432"/>
    <w:rsid w:val="000E648F"/>
    <w:rsid w:val="000E64FA"/>
    <w:rsid w:val="000E65C8"/>
    <w:rsid w:val="000E6638"/>
    <w:rsid w:val="000E664C"/>
    <w:rsid w:val="000E6654"/>
    <w:rsid w:val="000E6658"/>
    <w:rsid w:val="000E665C"/>
    <w:rsid w:val="000E6683"/>
    <w:rsid w:val="000E66B7"/>
    <w:rsid w:val="000E66C0"/>
    <w:rsid w:val="000E6724"/>
    <w:rsid w:val="000E674E"/>
    <w:rsid w:val="000E67A9"/>
    <w:rsid w:val="000E6819"/>
    <w:rsid w:val="000E6888"/>
    <w:rsid w:val="000E68A1"/>
    <w:rsid w:val="000E6944"/>
    <w:rsid w:val="000E6980"/>
    <w:rsid w:val="000E69B8"/>
    <w:rsid w:val="000E69F4"/>
    <w:rsid w:val="000E6A0B"/>
    <w:rsid w:val="000E6A17"/>
    <w:rsid w:val="000E6A7F"/>
    <w:rsid w:val="000E6B05"/>
    <w:rsid w:val="000E6B20"/>
    <w:rsid w:val="000E6B69"/>
    <w:rsid w:val="000E6B9B"/>
    <w:rsid w:val="000E6BCD"/>
    <w:rsid w:val="000E6C28"/>
    <w:rsid w:val="000E6C35"/>
    <w:rsid w:val="000E6C63"/>
    <w:rsid w:val="000E6C8F"/>
    <w:rsid w:val="000E6D3E"/>
    <w:rsid w:val="000E6D8D"/>
    <w:rsid w:val="000E6DC1"/>
    <w:rsid w:val="000E6E1E"/>
    <w:rsid w:val="000E6EB1"/>
    <w:rsid w:val="000E6ED1"/>
    <w:rsid w:val="000E6ED9"/>
    <w:rsid w:val="000E6F08"/>
    <w:rsid w:val="000E6F39"/>
    <w:rsid w:val="000E6F42"/>
    <w:rsid w:val="000E6F5F"/>
    <w:rsid w:val="000E6F65"/>
    <w:rsid w:val="000E6FEF"/>
    <w:rsid w:val="000E7015"/>
    <w:rsid w:val="000E7031"/>
    <w:rsid w:val="000E707D"/>
    <w:rsid w:val="000E70A5"/>
    <w:rsid w:val="000E7107"/>
    <w:rsid w:val="000E711F"/>
    <w:rsid w:val="000E71DF"/>
    <w:rsid w:val="000E71FA"/>
    <w:rsid w:val="000E7269"/>
    <w:rsid w:val="000E72B9"/>
    <w:rsid w:val="000E72CA"/>
    <w:rsid w:val="000E7412"/>
    <w:rsid w:val="000E7478"/>
    <w:rsid w:val="000E761D"/>
    <w:rsid w:val="000E7670"/>
    <w:rsid w:val="000E7690"/>
    <w:rsid w:val="000E771D"/>
    <w:rsid w:val="000E772E"/>
    <w:rsid w:val="000E77B1"/>
    <w:rsid w:val="000E77DF"/>
    <w:rsid w:val="000E7829"/>
    <w:rsid w:val="000E788A"/>
    <w:rsid w:val="000E788F"/>
    <w:rsid w:val="000E78EC"/>
    <w:rsid w:val="000E79A2"/>
    <w:rsid w:val="000E79BB"/>
    <w:rsid w:val="000E7AB5"/>
    <w:rsid w:val="000E7B27"/>
    <w:rsid w:val="000E7BAD"/>
    <w:rsid w:val="000E7BC0"/>
    <w:rsid w:val="000E7BCC"/>
    <w:rsid w:val="000E7C0B"/>
    <w:rsid w:val="000E7C0C"/>
    <w:rsid w:val="000E7D69"/>
    <w:rsid w:val="000E7E0E"/>
    <w:rsid w:val="000E7E0F"/>
    <w:rsid w:val="000E7E56"/>
    <w:rsid w:val="000E7E5A"/>
    <w:rsid w:val="000E7E9B"/>
    <w:rsid w:val="000E7EB7"/>
    <w:rsid w:val="000E7ECF"/>
    <w:rsid w:val="000E7EE2"/>
    <w:rsid w:val="000E7F4D"/>
    <w:rsid w:val="000E7F79"/>
    <w:rsid w:val="000E7F8A"/>
    <w:rsid w:val="000E7F9A"/>
    <w:rsid w:val="000E7FB4"/>
    <w:rsid w:val="000F000C"/>
    <w:rsid w:val="000F0052"/>
    <w:rsid w:val="000F0146"/>
    <w:rsid w:val="000F0172"/>
    <w:rsid w:val="000F01AD"/>
    <w:rsid w:val="000F01C8"/>
    <w:rsid w:val="000F01CA"/>
    <w:rsid w:val="000F0216"/>
    <w:rsid w:val="000F021B"/>
    <w:rsid w:val="000F0269"/>
    <w:rsid w:val="000F029D"/>
    <w:rsid w:val="000F02B4"/>
    <w:rsid w:val="000F02D8"/>
    <w:rsid w:val="000F02F9"/>
    <w:rsid w:val="000F0330"/>
    <w:rsid w:val="000F0353"/>
    <w:rsid w:val="000F03B7"/>
    <w:rsid w:val="000F040C"/>
    <w:rsid w:val="000F0415"/>
    <w:rsid w:val="000F0425"/>
    <w:rsid w:val="000F045A"/>
    <w:rsid w:val="000F0473"/>
    <w:rsid w:val="000F0492"/>
    <w:rsid w:val="000F049A"/>
    <w:rsid w:val="000F04A0"/>
    <w:rsid w:val="000F0501"/>
    <w:rsid w:val="000F0528"/>
    <w:rsid w:val="000F0641"/>
    <w:rsid w:val="000F0659"/>
    <w:rsid w:val="000F06EB"/>
    <w:rsid w:val="000F0785"/>
    <w:rsid w:val="000F0892"/>
    <w:rsid w:val="000F08B4"/>
    <w:rsid w:val="000F090C"/>
    <w:rsid w:val="000F098A"/>
    <w:rsid w:val="000F0A0C"/>
    <w:rsid w:val="000F0A4A"/>
    <w:rsid w:val="000F0A7A"/>
    <w:rsid w:val="000F0A7B"/>
    <w:rsid w:val="000F0B1B"/>
    <w:rsid w:val="000F0B1C"/>
    <w:rsid w:val="000F0B31"/>
    <w:rsid w:val="000F0B3C"/>
    <w:rsid w:val="000F0B5C"/>
    <w:rsid w:val="000F0B89"/>
    <w:rsid w:val="000F0C79"/>
    <w:rsid w:val="000F0C89"/>
    <w:rsid w:val="000F0CB6"/>
    <w:rsid w:val="000F0CBC"/>
    <w:rsid w:val="000F0D10"/>
    <w:rsid w:val="000F0E04"/>
    <w:rsid w:val="000F0E7E"/>
    <w:rsid w:val="000F0EA8"/>
    <w:rsid w:val="000F0EAE"/>
    <w:rsid w:val="000F0F0C"/>
    <w:rsid w:val="000F0F29"/>
    <w:rsid w:val="000F0F63"/>
    <w:rsid w:val="000F0F9C"/>
    <w:rsid w:val="000F0F9E"/>
    <w:rsid w:val="000F0FE6"/>
    <w:rsid w:val="000F0FF2"/>
    <w:rsid w:val="000F100D"/>
    <w:rsid w:val="000F1041"/>
    <w:rsid w:val="000F106A"/>
    <w:rsid w:val="000F10EE"/>
    <w:rsid w:val="000F111E"/>
    <w:rsid w:val="000F1153"/>
    <w:rsid w:val="000F1171"/>
    <w:rsid w:val="000F11EA"/>
    <w:rsid w:val="000F1397"/>
    <w:rsid w:val="000F1439"/>
    <w:rsid w:val="000F1453"/>
    <w:rsid w:val="000F1457"/>
    <w:rsid w:val="000F1552"/>
    <w:rsid w:val="000F1577"/>
    <w:rsid w:val="000F1586"/>
    <w:rsid w:val="000F1591"/>
    <w:rsid w:val="000F159D"/>
    <w:rsid w:val="000F15A1"/>
    <w:rsid w:val="000F15A7"/>
    <w:rsid w:val="000F15A8"/>
    <w:rsid w:val="000F1656"/>
    <w:rsid w:val="000F16F1"/>
    <w:rsid w:val="000F1707"/>
    <w:rsid w:val="000F173D"/>
    <w:rsid w:val="000F1775"/>
    <w:rsid w:val="000F179B"/>
    <w:rsid w:val="000F1811"/>
    <w:rsid w:val="000F1860"/>
    <w:rsid w:val="000F18C0"/>
    <w:rsid w:val="000F18C3"/>
    <w:rsid w:val="000F18E3"/>
    <w:rsid w:val="000F192D"/>
    <w:rsid w:val="000F1931"/>
    <w:rsid w:val="000F1992"/>
    <w:rsid w:val="000F19D3"/>
    <w:rsid w:val="000F1A1C"/>
    <w:rsid w:val="000F1A1D"/>
    <w:rsid w:val="000F1A77"/>
    <w:rsid w:val="000F1AAD"/>
    <w:rsid w:val="000F1AC2"/>
    <w:rsid w:val="000F1B82"/>
    <w:rsid w:val="000F1C07"/>
    <w:rsid w:val="000F1C16"/>
    <w:rsid w:val="000F1C32"/>
    <w:rsid w:val="000F1C43"/>
    <w:rsid w:val="000F1CAE"/>
    <w:rsid w:val="000F1DEA"/>
    <w:rsid w:val="000F1E17"/>
    <w:rsid w:val="000F1E92"/>
    <w:rsid w:val="000F1F35"/>
    <w:rsid w:val="000F1F4B"/>
    <w:rsid w:val="000F1F5B"/>
    <w:rsid w:val="000F1F6A"/>
    <w:rsid w:val="000F1F79"/>
    <w:rsid w:val="000F1F8D"/>
    <w:rsid w:val="000F1FBE"/>
    <w:rsid w:val="000F1FD0"/>
    <w:rsid w:val="000F1FDE"/>
    <w:rsid w:val="000F1FE2"/>
    <w:rsid w:val="000F200C"/>
    <w:rsid w:val="000F204B"/>
    <w:rsid w:val="000F2082"/>
    <w:rsid w:val="000F20AB"/>
    <w:rsid w:val="000F20CF"/>
    <w:rsid w:val="000F2195"/>
    <w:rsid w:val="000F219D"/>
    <w:rsid w:val="000F21D3"/>
    <w:rsid w:val="000F21FE"/>
    <w:rsid w:val="000F223E"/>
    <w:rsid w:val="000F225F"/>
    <w:rsid w:val="000F2301"/>
    <w:rsid w:val="000F2358"/>
    <w:rsid w:val="000F236F"/>
    <w:rsid w:val="000F23D9"/>
    <w:rsid w:val="000F2400"/>
    <w:rsid w:val="000F2446"/>
    <w:rsid w:val="000F2464"/>
    <w:rsid w:val="000F25A7"/>
    <w:rsid w:val="000F25AA"/>
    <w:rsid w:val="000F266A"/>
    <w:rsid w:val="000F2674"/>
    <w:rsid w:val="000F26CD"/>
    <w:rsid w:val="000F274C"/>
    <w:rsid w:val="000F2792"/>
    <w:rsid w:val="000F2815"/>
    <w:rsid w:val="000F2854"/>
    <w:rsid w:val="000F2882"/>
    <w:rsid w:val="000F288B"/>
    <w:rsid w:val="000F28ED"/>
    <w:rsid w:val="000F2A02"/>
    <w:rsid w:val="000F2A2E"/>
    <w:rsid w:val="000F2A47"/>
    <w:rsid w:val="000F2AD4"/>
    <w:rsid w:val="000F2B3E"/>
    <w:rsid w:val="000F2B40"/>
    <w:rsid w:val="000F2BDD"/>
    <w:rsid w:val="000F2BF0"/>
    <w:rsid w:val="000F2C14"/>
    <w:rsid w:val="000F2C8F"/>
    <w:rsid w:val="000F2CC7"/>
    <w:rsid w:val="000F2D4C"/>
    <w:rsid w:val="000F2D53"/>
    <w:rsid w:val="000F2D83"/>
    <w:rsid w:val="000F2DB2"/>
    <w:rsid w:val="000F2E2A"/>
    <w:rsid w:val="000F2E47"/>
    <w:rsid w:val="000F2E93"/>
    <w:rsid w:val="000F2EA4"/>
    <w:rsid w:val="000F2ED4"/>
    <w:rsid w:val="000F2FE6"/>
    <w:rsid w:val="000F3024"/>
    <w:rsid w:val="000F3053"/>
    <w:rsid w:val="000F308F"/>
    <w:rsid w:val="000F30A1"/>
    <w:rsid w:val="000F3124"/>
    <w:rsid w:val="000F3152"/>
    <w:rsid w:val="000F3171"/>
    <w:rsid w:val="000F31E6"/>
    <w:rsid w:val="000F3208"/>
    <w:rsid w:val="000F3293"/>
    <w:rsid w:val="000F32BE"/>
    <w:rsid w:val="000F3305"/>
    <w:rsid w:val="000F335F"/>
    <w:rsid w:val="000F338F"/>
    <w:rsid w:val="000F3415"/>
    <w:rsid w:val="000F342E"/>
    <w:rsid w:val="000F3433"/>
    <w:rsid w:val="000F348F"/>
    <w:rsid w:val="000F34F9"/>
    <w:rsid w:val="000F3506"/>
    <w:rsid w:val="000F3519"/>
    <w:rsid w:val="000F3522"/>
    <w:rsid w:val="000F35C4"/>
    <w:rsid w:val="000F363F"/>
    <w:rsid w:val="000F364D"/>
    <w:rsid w:val="000F36C6"/>
    <w:rsid w:val="000F36DB"/>
    <w:rsid w:val="000F376D"/>
    <w:rsid w:val="000F37E8"/>
    <w:rsid w:val="000F3826"/>
    <w:rsid w:val="000F3855"/>
    <w:rsid w:val="000F386C"/>
    <w:rsid w:val="000F3886"/>
    <w:rsid w:val="000F38B0"/>
    <w:rsid w:val="000F3933"/>
    <w:rsid w:val="000F3944"/>
    <w:rsid w:val="000F39D8"/>
    <w:rsid w:val="000F3A25"/>
    <w:rsid w:val="000F3A5D"/>
    <w:rsid w:val="000F3AA5"/>
    <w:rsid w:val="000F3AA9"/>
    <w:rsid w:val="000F3AC8"/>
    <w:rsid w:val="000F3B2E"/>
    <w:rsid w:val="000F3B58"/>
    <w:rsid w:val="000F3B73"/>
    <w:rsid w:val="000F3B9F"/>
    <w:rsid w:val="000F3C50"/>
    <w:rsid w:val="000F3C54"/>
    <w:rsid w:val="000F3C89"/>
    <w:rsid w:val="000F3C95"/>
    <w:rsid w:val="000F3D1A"/>
    <w:rsid w:val="000F3D1B"/>
    <w:rsid w:val="000F3D1D"/>
    <w:rsid w:val="000F3D1F"/>
    <w:rsid w:val="000F3D58"/>
    <w:rsid w:val="000F3DDF"/>
    <w:rsid w:val="000F3E02"/>
    <w:rsid w:val="000F3E19"/>
    <w:rsid w:val="000F3E56"/>
    <w:rsid w:val="000F3E6E"/>
    <w:rsid w:val="000F3EC5"/>
    <w:rsid w:val="000F3EC7"/>
    <w:rsid w:val="000F3EEE"/>
    <w:rsid w:val="000F3F14"/>
    <w:rsid w:val="000F3F1A"/>
    <w:rsid w:val="000F3FB9"/>
    <w:rsid w:val="000F3FBB"/>
    <w:rsid w:val="000F3FDF"/>
    <w:rsid w:val="000F3FE1"/>
    <w:rsid w:val="000F407E"/>
    <w:rsid w:val="000F40B7"/>
    <w:rsid w:val="000F40D4"/>
    <w:rsid w:val="000F4135"/>
    <w:rsid w:val="000F4143"/>
    <w:rsid w:val="000F41D2"/>
    <w:rsid w:val="000F41F4"/>
    <w:rsid w:val="000F420C"/>
    <w:rsid w:val="000F422A"/>
    <w:rsid w:val="000F4272"/>
    <w:rsid w:val="000F430F"/>
    <w:rsid w:val="000F432D"/>
    <w:rsid w:val="000F43C6"/>
    <w:rsid w:val="000F43E5"/>
    <w:rsid w:val="000F43EE"/>
    <w:rsid w:val="000F4492"/>
    <w:rsid w:val="000F4592"/>
    <w:rsid w:val="000F4595"/>
    <w:rsid w:val="000F45B3"/>
    <w:rsid w:val="000F45ED"/>
    <w:rsid w:val="000F460F"/>
    <w:rsid w:val="000F4668"/>
    <w:rsid w:val="000F46CA"/>
    <w:rsid w:val="000F471C"/>
    <w:rsid w:val="000F471E"/>
    <w:rsid w:val="000F4742"/>
    <w:rsid w:val="000F4792"/>
    <w:rsid w:val="000F4812"/>
    <w:rsid w:val="000F4821"/>
    <w:rsid w:val="000F48C6"/>
    <w:rsid w:val="000F48F5"/>
    <w:rsid w:val="000F4914"/>
    <w:rsid w:val="000F494B"/>
    <w:rsid w:val="000F4A38"/>
    <w:rsid w:val="000F4AD2"/>
    <w:rsid w:val="000F4BBF"/>
    <w:rsid w:val="000F4BC6"/>
    <w:rsid w:val="000F4C20"/>
    <w:rsid w:val="000F4C26"/>
    <w:rsid w:val="000F4C29"/>
    <w:rsid w:val="000F4C55"/>
    <w:rsid w:val="000F4E64"/>
    <w:rsid w:val="000F4E6A"/>
    <w:rsid w:val="000F4E92"/>
    <w:rsid w:val="000F4EC9"/>
    <w:rsid w:val="000F4ECC"/>
    <w:rsid w:val="000F4EF6"/>
    <w:rsid w:val="000F4FCF"/>
    <w:rsid w:val="000F4FED"/>
    <w:rsid w:val="000F5094"/>
    <w:rsid w:val="000F50E8"/>
    <w:rsid w:val="000F5127"/>
    <w:rsid w:val="000F5132"/>
    <w:rsid w:val="000F513D"/>
    <w:rsid w:val="000F5169"/>
    <w:rsid w:val="000F5176"/>
    <w:rsid w:val="000F51DA"/>
    <w:rsid w:val="000F51DE"/>
    <w:rsid w:val="000F52DB"/>
    <w:rsid w:val="000F52E7"/>
    <w:rsid w:val="000F5309"/>
    <w:rsid w:val="000F532C"/>
    <w:rsid w:val="000F534D"/>
    <w:rsid w:val="000F5358"/>
    <w:rsid w:val="000F5373"/>
    <w:rsid w:val="000F5393"/>
    <w:rsid w:val="000F5423"/>
    <w:rsid w:val="000F545A"/>
    <w:rsid w:val="000F54A8"/>
    <w:rsid w:val="000F54EB"/>
    <w:rsid w:val="000F54EC"/>
    <w:rsid w:val="000F54F4"/>
    <w:rsid w:val="000F5515"/>
    <w:rsid w:val="000F556C"/>
    <w:rsid w:val="000F55CA"/>
    <w:rsid w:val="000F55EF"/>
    <w:rsid w:val="000F55F8"/>
    <w:rsid w:val="000F56E2"/>
    <w:rsid w:val="000F5747"/>
    <w:rsid w:val="000F574C"/>
    <w:rsid w:val="000F5782"/>
    <w:rsid w:val="000F5783"/>
    <w:rsid w:val="000F57A7"/>
    <w:rsid w:val="000F57CF"/>
    <w:rsid w:val="000F57F0"/>
    <w:rsid w:val="000F581C"/>
    <w:rsid w:val="000F58BD"/>
    <w:rsid w:val="000F58E3"/>
    <w:rsid w:val="000F5904"/>
    <w:rsid w:val="000F5969"/>
    <w:rsid w:val="000F59B1"/>
    <w:rsid w:val="000F59B3"/>
    <w:rsid w:val="000F59B8"/>
    <w:rsid w:val="000F59F9"/>
    <w:rsid w:val="000F5A19"/>
    <w:rsid w:val="000F5A51"/>
    <w:rsid w:val="000F5A61"/>
    <w:rsid w:val="000F5A75"/>
    <w:rsid w:val="000F5ACE"/>
    <w:rsid w:val="000F5B0D"/>
    <w:rsid w:val="000F5C67"/>
    <w:rsid w:val="000F5C96"/>
    <w:rsid w:val="000F5D39"/>
    <w:rsid w:val="000F5DE9"/>
    <w:rsid w:val="000F5E7D"/>
    <w:rsid w:val="000F5E7E"/>
    <w:rsid w:val="000F5F09"/>
    <w:rsid w:val="000F5F17"/>
    <w:rsid w:val="000F5F1E"/>
    <w:rsid w:val="000F5F87"/>
    <w:rsid w:val="000F5FD2"/>
    <w:rsid w:val="000F5FFF"/>
    <w:rsid w:val="000F61A5"/>
    <w:rsid w:val="000F623F"/>
    <w:rsid w:val="000F6286"/>
    <w:rsid w:val="000F6314"/>
    <w:rsid w:val="000F6357"/>
    <w:rsid w:val="000F639D"/>
    <w:rsid w:val="000F6404"/>
    <w:rsid w:val="000F646F"/>
    <w:rsid w:val="000F6503"/>
    <w:rsid w:val="000F654B"/>
    <w:rsid w:val="000F654D"/>
    <w:rsid w:val="000F6565"/>
    <w:rsid w:val="000F6595"/>
    <w:rsid w:val="000F65E4"/>
    <w:rsid w:val="000F663C"/>
    <w:rsid w:val="000F6671"/>
    <w:rsid w:val="000F66DE"/>
    <w:rsid w:val="000F66E4"/>
    <w:rsid w:val="000F670A"/>
    <w:rsid w:val="000F6724"/>
    <w:rsid w:val="000F6756"/>
    <w:rsid w:val="000F676B"/>
    <w:rsid w:val="000F6772"/>
    <w:rsid w:val="000F677D"/>
    <w:rsid w:val="000F6866"/>
    <w:rsid w:val="000F6870"/>
    <w:rsid w:val="000F6875"/>
    <w:rsid w:val="000F68C2"/>
    <w:rsid w:val="000F69FE"/>
    <w:rsid w:val="000F6A06"/>
    <w:rsid w:val="000F6A27"/>
    <w:rsid w:val="000F6A9E"/>
    <w:rsid w:val="000F6B3B"/>
    <w:rsid w:val="000F6BC6"/>
    <w:rsid w:val="000F6BF4"/>
    <w:rsid w:val="000F6BF5"/>
    <w:rsid w:val="000F6C20"/>
    <w:rsid w:val="000F6C63"/>
    <w:rsid w:val="000F6CB4"/>
    <w:rsid w:val="000F6D2B"/>
    <w:rsid w:val="000F6D53"/>
    <w:rsid w:val="000F6D81"/>
    <w:rsid w:val="000F6DBD"/>
    <w:rsid w:val="000F6E03"/>
    <w:rsid w:val="000F6EFF"/>
    <w:rsid w:val="000F6F29"/>
    <w:rsid w:val="000F6F44"/>
    <w:rsid w:val="000F6F48"/>
    <w:rsid w:val="000F6F4E"/>
    <w:rsid w:val="000F6F9A"/>
    <w:rsid w:val="000F6FDC"/>
    <w:rsid w:val="000F701B"/>
    <w:rsid w:val="000F70DA"/>
    <w:rsid w:val="000F7161"/>
    <w:rsid w:val="000F7165"/>
    <w:rsid w:val="000F71B6"/>
    <w:rsid w:val="000F71BE"/>
    <w:rsid w:val="000F72A2"/>
    <w:rsid w:val="000F72B0"/>
    <w:rsid w:val="000F72DA"/>
    <w:rsid w:val="000F7318"/>
    <w:rsid w:val="000F7331"/>
    <w:rsid w:val="000F73A1"/>
    <w:rsid w:val="000F73B7"/>
    <w:rsid w:val="000F741E"/>
    <w:rsid w:val="000F741F"/>
    <w:rsid w:val="000F7475"/>
    <w:rsid w:val="000F74E7"/>
    <w:rsid w:val="000F7526"/>
    <w:rsid w:val="000F755B"/>
    <w:rsid w:val="000F756F"/>
    <w:rsid w:val="000F7570"/>
    <w:rsid w:val="000F7578"/>
    <w:rsid w:val="000F75B2"/>
    <w:rsid w:val="000F75CC"/>
    <w:rsid w:val="000F75F3"/>
    <w:rsid w:val="000F766D"/>
    <w:rsid w:val="000F772F"/>
    <w:rsid w:val="000F7743"/>
    <w:rsid w:val="000F77BA"/>
    <w:rsid w:val="000F77C6"/>
    <w:rsid w:val="000F780D"/>
    <w:rsid w:val="000F7857"/>
    <w:rsid w:val="000F7874"/>
    <w:rsid w:val="000F78A9"/>
    <w:rsid w:val="000F7909"/>
    <w:rsid w:val="000F792D"/>
    <w:rsid w:val="000F7959"/>
    <w:rsid w:val="000F7A75"/>
    <w:rsid w:val="000F7A7B"/>
    <w:rsid w:val="000F7A9E"/>
    <w:rsid w:val="000F7AA8"/>
    <w:rsid w:val="000F7AC7"/>
    <w:rsid w:val="000F7B05"/>
    <w:rsid w:val="000F7B82"/>
    <w:rsid w:val="000F7B8C"/>
    <w:rsid w:val="000F7C08"/>
    <w:rsid w:val="000F7C2F"/>
    <w:rsid w:val="000F7C80"/>
    <w:rsid w:val="000F7D56"/>
    <w:rsid w:val="000F7D5C"/>
    <w:rsid w:val="000F7D65"/>
    <w:rsid w:val="000F7D96"/>
    <w:rsid w:val="000F7EB6"/>
    <w:rsid w:val="000F7F44"/>
    <w:rsid w:val="000F7FAC"/>
    <w:rsid w:val="000F7FC7"/>
    <w:rsid w:val="000F7FE1"/>
    <w:rsid w:val="00100033"/>
    <w:rsid w:val="00100092"/>
    <w:rsid w:val="001000BB"/>
    <w:rsid w:val="00100165"/>
    <w:rsid w:val="00100182"/>
    <w:rsid w:val="001001B3"/>
    <w:rsid w:val="001001DE"/>
    <w:rsid w:val="001001E1"/>
    <w:rsid w:val="001001E5"/>
    <w:rsid w:val="001001FA"/>
    <w:rsid w:val="00100246"/>
    <w:rsid w:val="00100253"/>
    <w:rsid w:val="00100293"/>
    <w:rsid w:val="001002E8"/>
    <w:rsid w:val="00100352"/>
    <w:rsid w:val="00100414"/>
    <w:rsid w:val="00100479"/>
    <w:rsid w:val="0010048F"/>
    <w:rsid w:val="001004FB"/>
    <w:rsid w:val="0010057B"/>
    <w:rsid w:val="001005BB"/>
    <w:rsid w:val="001005E9"/>
    <w:rsid w:val="00100663"/>
    <w:rsid w:val="001006F3"/>
    <w:rsid w:val="00100729"/>
    <w:rsid w:val="00100747"/>
    <w:rsid w:val="0010075E"/>
    <w:rsid w:val="0010079A"/>
    <w:rsid w:val="001007AF"/>
    <w:rsid w:val="00100829"/>
    <w:rsid w:val="0010082E"/>
    <w:rsid w:val="0010083A"/>
    <w:rsid w:val="0010084F"/>
    <w:rsid w:val="001008B8"/>
    <w:rsid w:val="001008BD"/>
    <w:rsid w:val="001008EE"/>
    <w:rsid w:val="00100958"/>
    <w:rsid w:val="0010095A"/>
    <w:rsid w:val="001009AF"/>
    <w:rsid w:val="00100A0A"/>
    <w:rsid w:val="00100A9D"/>
    <w:rsid w:val="00100B18"/>
    <w:rsid w:val="00100C35"/>
    <w:rsid w:val="00100C59"/>
    <w:rsid w:val="00100DF4"/>
    <w:rsid w:val="00100E15"/>
    <w:rsid w:val="00100E1A"/>
    <w:rsid w:val="00100E27"/>
    <w:rsid w:val="00100E5D"/>
    <w:rsid w:val="00100E61"/>
    <w:rsid w:val="00100EBC"/>
    <w:rsid w:val="00100FF2"/>
    <w:rsid w:val="00101067"/>
    <w:rsid w:val="001010E3"/>
    <w:rsid w:val="00101118"/>
    <w:rsid w:val="00101139"/>
    <w:rsid w:val="0010115C"/>
    <w:rsid w:val="00101176"/>
    <w:rsid w:val="0010119F"/>
    <w:rsid w:val="001011AA"/>
    <w:rsid w:val="001011B5"/>
    <w:rsid w:val="001011E5"/>
    <w:rsid w:val="0010126B"/>
    <w:rsid w:val="00101324"/>
    <w:rsid w:val="001013A3"/>
    <w:rsid w:val="001013EF"/>
    <w:rsid w:val="00101495"/>
    <w:rsid w:val="001014C5"/>
    <w:rsid w:val="00101546"/>
    <w:rsid w:val="00101550"/>
    <w:rsid w:val="00101625"/>
    <w:rsid w:val="0010165F"/>
    <w:rsid w:val="001016A4"/>
    <w:rsid w:val="001016AD"/>
    <w:rsid w:val="001016EE"/>
    <w:rsid w:val="0010172C"/>
    <w:rsid w:val="00101770"/>
    <w:rsid w:val="0010179F"/>
    <w:rsid w:val="001017F0"/>
    <w:rsid w:val="0010183B"/>
    <w:rsid w:val="0010190A"/>
    <w:rsid w:val="0010193A"/>
    <w:rsid w:val="0010194F"/>
    <w:rsid w:val="001019CC"/>
    <w:rsid w:val="001019DF"/>
    <w:rsid w:val="001019F9"/>
    <w:rsid w:val="00101A8A"/>
    <w:rsid w:val="00101AAD"/>
    <w:rsid w:val="00101ADD"/>
    <w:rsid w:val="00101B1F"/>
    <w:rsid w:val="00101B35"/>
    <w:rsid w:val="00101B5A"/>
    <w:rsid w:val="00101C2B"/>
    <w:rsid w:val="00101C2C"/>
    <w:rsid w:val="00101C66"/>
    <w:rsid w:val="00101C6F"/>
    <w:rsid w:val="00101C85"/>
    <w:rsid w:val="00101CF2"/>
    <w:rsid w:val="00101D3D"/>
    <w:rsid w:val="00101D9F"/>
    <w:rsid w:val="00101DBB"/>
    <w:rsid w:val="00101DF3"/>
    <w:rsid w:val="00101E14"/>
    <w:rsid w:val="00101E6B"/>
    <w:rsid w:val="00101E7D"/>
    <w:rsid w:val="00101F2A"/>
    <w:rsid w:val="00101F40"/>
    <w:rsid w:val="00101F6F"/>
    <w:rsid w:val="00101FF7"/>
    <w:rsid w:val="00102019"/>
    <w:rsid w:val="00102021"/>
    <w:rsid w:val="0010203E"/>
    <w:rsid w:val="0010209B"/>
    <w:rsid w:val="001020F5"/>
    <w:rsid w:val="00102163"/>
    <w:rsid w:val="00102188"/>
    <w:rsid w:val="00102212"/>
    <w:rsid w:val="001022A0"/>
    <w:rsid w:val="001022DB"/>
    <w:rsid w:val="001022E1"/>
    <w:rsid w:val="00102327"/>
    <w:rsid w:val="00102330"/>
    <w:rsid w:val="00102336"/>
    <w:rsid w:val="00102373"/>
    <w:rsid w:val="00102410"/>
    <w:rsid w:val="0010244B"/>
    <w:rsid w:val="0010246D"/>
    <w:rsid w:val="0010247B"/>
    <w:rsid w:val="001024BB"/>
    <w:rsid w:val="0010250A"/>
    <w:rsid w:val="00102569"/>
    <w:rsid w:val="001025D4"/>
    <w:rsid w:val="001025D9"/>
    <w:rsid w:val="001025E9"/>
    <w:rsid w:val="001025FB"/>
    <w:rsid w:val="0010268B"/>
    <w:rsid w:val="0010269D"/>
    <w:rsid w:val="001026DC"/>
    <w:rsid w:val="001026FA"/>
    <w:rsid w:val="0010277B"/>
    <w:rsid w:val="001027B5"/>
    <w:rsid w:val="00102808"/>
    <w:rsid w:val="00102822"/>
    <w:rsid w:val="00102880"/>
    <w:rsid w:val="0010289D"/>
    <w:rsid w:val="00102983"/>
    <w:rsid w:val="001029D8"/>
    <w:rsid w:val="00102A16"/>
    <w:rsid w:val="00102A2E"/>
    <w:rsid w:val="00102A3A"/>
    <w:rsid w:val="00102A71"/>
    <w:rsid w:val="00102A78"/>
    <w:rsid w:val="00102AF9"/>
    <w:rsid w:val="00102B73"/>
    <w:rsid w:val="00102B74"/>
    <w:rsid w:val="00102BB4"/>
    <w:rsid w:val="00102BC7"/>
    <w:rsid w:val="00102BCC"/>
    <w:rsid w:val="00102C2C"/>
    <w:rsid w:val="00102CA3"/>
    <w:rsid w:val="00102CB4"/>
    <w:rsid w:val="00102CF6"/>
    <w:rsid w:val="00102D3F"/>
    <w:rsid w:val="00102DB5"/>
    <w:rsid w:val="00102DB7"/>
    <w:rsid w:val="00102DD7"/>
    <w:rsid w:val="00102DE9"/>
    <w:rsid w:val="00102E6C"/>
    <w:rsid w:val="00102E6E"/>
    <w:rsid w:val="00102E87"/>
    <w:rsid w:val="00102E9D"/>
    <w:rsid w:val="00102EC4"/>
    <w:rsid w:val="00102F19"/>
    <w:rsid w:val="00102F89"/>
    <w:rsid w:val="00102FFC"/>
    <w:rsid w:val="00103032"/>
    <w:rsid w:val="0010307A"/>
    <w:rsid w:val="001030CA"/>
    <w:rsid w:val="001031AF"/>
    <w:rsid w:val="001031D2"/>
    <w:rsid w:val="00103247"/>
    <w:rsid w:val="00103258"/>
    <w:rsid w:val="00103284"/>
    <w:rsid w:val="001032B1"/>
    <w:rsid w:val="001032B6"/>
    <w:rsid w:val="00103341"/>
    <w:rsid w:val="00103364"/>
    <w:rsid w:val="00103366"/>
    <w:rsid w:val="001033B1"/>
    <w:rsid w:val="001033EB"/>
    <w:rsid w:val="001033FF"/>
    <w:rsid w:val="0010348D"/>
    <w:rsid w:val="0010348F"/>
    <w:rsid w:val="001034B9"/>
    <w:rsid w:val="001034CA"/>
    <w:rsid w:val="00103504"/>
    <w:rsid w:val="0010353C"/>
    <w:rsid w:val="00103613"/>
    <w:rsid w:val="0010362E"/>
    <w:rsid w:val="001036FD"/>
    <w:rsid w:val="001037B1"/>
    <w:rsid w:val="0010380B"/>
    <w:rsid w:val="0010383E"/>
    <w:rsid w:val="001038C4"/>
    <w:rsid w:val="00103902"/>
    <w:rsid w:val="00103A28"/>
    <w:rsid w:val="00103A69"/>
    <w:rsid w:val="00103A8F"/>
    <w:rsid w:val="00103AC0"/>
    <w:rsid w:val="00103ADE"/>
    <w:rsid w:val="00103BA4"/>
    <w:rsid w:val="00103BBA"/>
    <w:rsid w:val="00103C00"/>
    <w:rsid w:val="00103C3D"/>
    <w:rsid w:val="00103C40"/>
    <w:rsid w:val="00103C44"/>
    <w:rsid w:val="00103C4C"/>
    <w:rsid w:val="00103CC6"/>
    <w:rsid w:val="00103CD7"/>
    <w:rsid w:val="00103CE9"/>
    <w:rsid w:val="00103CF6"/>
    <w:rsid w:val="00103D2D"/>
    <w:rsid w:val="00103D41"/>
    <w:rsid w:val="00103D99"/>
    <w:rsid w:val="00103DFC"/>
    <w:rsid w:val="00103E53"/>
    <w:rsid w:val="00103F37"/>
    <w:rsid w:val="00103F3C"/>
    <w:rsid w:val="00103FAB"/>
    <w:rsid w:val="00103FB0"/>
    <w:rsid w:val="00103FD9"/>
    <w:rsid w:val="00103FDE"/>
    <w:rsid w:val="0010407D"/>
    <w:rsid w:val="00104081"/>
    <w:rsid w:val="00104124"/>
    <w:rsid w:val="00104188"/>
    <w:rsid w:val="001041F7"/>
    <w:rsid w:val="00104239"/>
    <w:rsid w:val="00104270"/>
    <w:rsid w:val="00104290"/>
    <w:rsid w:val="00104354"/>
    <w:rsid w:val="00104408"/>
    <w:rsid w:val="00104479"/>
    <w:rsid w:val="00104481"/>
    <w:rsid w:val="001044AA"/>
    <w:rsid w:val="001044B7"/>
    <w:rsid w:val="001044CA"/>
    <w:rsid w:val="001044CF"/>
    <w:rsid w:val="0010458E"/>
    <w:rsid w:val="001045C2"/>
    <w:rsid w:val="001045CF"/>
    <w:rsid w:val="001045D4"/>
    <w:rsid w:val="00104604"/>
    <w:rsid w:val="00104640"/>
    <w:rsid w:val="0010468F"/>
    <w:rsid w:val="00104696"/>
    <w:rsid w:val="00104699"/>
    <w:rsid w:val="001046AA"/>
    <w:rsid w:val="001046F2"/>
    <w:rsid w:val="0010473B"/>
    <w:rsid w:val="0010475D"/>
    <w:rsid w:val="00104804"/>
    <w:rsid w:val="00104865"/>
    <w:rsid w:val="00104969"/>
    <w:rsid w:val="0010496C"/>
    <w:rsid w:val="0010498C"/>
    <w:rsid w:val="00104990"/>
    <w:rsid w:val="001049D2"/>
    <w:rsid w:val="00104A30"/>
    <w:rsid w:val="00104B06"/>
    <w:rsid w:val="00104B39"/>
    <w:rsid w:val="00104B7A"/>
    <w:rsid w:val="00104B8C"/>
    <w:rsid w:val="00104C20"/>
    <w:rsid w:val="00104C2C"/>
    <w:rsid w:val="00104C5A"/>
    <w:rsid w:val="00104CA7"/>
    <w:rsid w:val="00104CD4"/>
    <w:rsid w:val="00104D55"/>
    <w:rsid w:val="00104D8D"/>
    <w:rsid w:val="00104DBC"/>
    <w:rsid w:val="00104E10"/>
    <w:rsid w:val="00104E34"/>
    <w:rsid w:val="00104EE9"/>
    <w:rsid w:val="00104EEB"/>
    <w:rsid w:val="00104EED"/>
    <w:rsid w:val="00104F3E"/>
    <w:rsid w:val="00104F6A"/>
    <w:rsid w:val="00104FB0"/>
    <w:rsid w:val="00104FCB"/>
    <w:rsid w:val="00105007"/>
    <w:rsid w:val="0010500D"/>
    <w:rsid w:val="00105042"/>
    <w:rsid w:val="0010509C"/>
    <w:rsid w:val="0010512B"/>
    <w:rsid w:val="00105145"/>
    <w:rsid w:val="00105149"/>
    <w:rsid w:val="001051DC"/>
    <w:rsid w:val="001051F2"/>
    <w:rsid w:val="00105270"/>
    <w:rsid w:val="0010531D"/>
    <w:rsid w:val="00105321"/>
    <w:rsid w:val="0010546A"/>
    <w:rsid w:val="001054E7"/>
    <w:rsid w:val="001054FA"/>
    <w:rsid w:val="00105504"/>
    <w:rsid w:val="00105507"/>
    <w:rsid w:val="0010554A"/>
    <w:rsid w:val="00105560"/>
    <w:rsid w:val="00105566"/>
    <w:rsid w:val="001055BC"/>
    <w:rsid w:val="0010563A"/>
    <w:rsid w:val="00105722"/>
    <w:rsid w:val="00105735"/>
    <w:rsid w:val="00105791"/>
    <w:rsid w:val="001057A1"/>
    <w:rsid w:val="001057BD"/>
    <w:rsid w:val="00105889"/>
    <w:rsid w:val="0010588E"/>
    <w:rsid w:val="00105987"/>
    <w:rsid w:val="0010598A"/>
    <w:rsid w:val="00105A28"/>
    <w:rsid w:val="00105A78"/>
    <w:rsid w:val="00105A80"/>
    <w:rsid w:val="00105A99"/>
    <w:rsid w:val="00105AD2"/>
    <w:rsid w:val="00105AD9"/>
    <w:rsid w:val="00105AF7"/>
    <w:rsid w:val="00105B5B"/>
    <w:rsid w:val="00105B84"/>
    <w:rsid w:val="00105BFC"/>
    <w:rsid w:val="00105C30"/>
    <w:rsid w:val="00105C4E"/>
    <w:rsid w:val="00105C5B"/>
    <w:rsid w:val="00105C65"/>
    <w:rsid w:val="00105C6C"/>
    <w:rsid w:val="00105C74"/>
    <w:rsid w:val="00105CA6"/>
    <w:rsid w:val="00105CC1"/>
    <w:rsid w:val="00105CEB"/>
    <w:rsid w:val="00105D1D"/>
    <w:rsid w:val="00105D3A"/>
    <w:rsid w:val="00105DF0"/>
    <w:rsid w:val="00105E50"/>
    <w:rsid w:val="00105EFA"/>
    <w:rsid w:val="00105F2A"/>
    <w:rsid w:val="00105F51"/>
    <w:rsid w:val="00105F64"/>
    <w:rsid w:val="00105F70"/>
    <w:rsid w:val="00105F74"/>
    <w:rsid w:val="00105FDD"/>
    <w:rsid w:val="00106069"/>
    <w:rsid w:val="001060AA"/>
    <w:rsid w:val="00106138"/>
    <w:rsid w:val="001061A6"/>
    <w:rsid w:val="001061D3"/>
    <w:rsid w:val="00106289"/>
    <w:rsid w:val="001062B9"/>
    <w:rsid w:val="001062EA"/>
    <w:rsid w:val="0010631C"/>
    <w:rsid w:val="00106391"/>
    <w:rsid w:val="001063C0"/>
    <w:rsid w:val="00106404"/>
    <w:rsid w:val="0010641C"/>
    <w:rsid w:val="00106477"/>
    <w:rsid w:val="001064BF"/>
    <w:rsid w:val="001064F1"/>
    <w:rsid w:val="001064FB"/>
    <w:rsid w:val="001064FD"/>
    <w:rsid w:val="0010651A"/>
    <w:rsid w:val="0010665A"/>
    <w:rsid w:val="00106677"/>
    <w:rsid w:val="001066A6"/>
    <w:rsid w:val="001066F4"/>
    <w:rsid w:val="00106703"/>
    <w:rsid w:val="00106715"/>
    <w:rsid w:val="0010674A"/>
    <w:rsid w:val="001067B4"/>
    <w:rsid w:val="001067BA"/>
    <w:rsid w:val="001067BF"/>
    <w:rsid w:val="001067FC"/>
    <w:rsid w:val="001067FE"/>
    <w:rsid w:val="00106872"/>
    <w:rsid w:val="001068C7"/>
    <w:rsid w:val="00106915"/>
    <w:rsid w:val="00106986"/>
    <w:rsid w:val="0010698E"/>
    <w:rsid w:val="00106A30"/>
    <w:rsid w:val="00106A45"/>
    <w:rsid w:val="00106A96"/>
    <w:rsid w:val="00106B13"/>
    <w:rsid w:val="00106B25"/>
    <w:rsid w:val="00106B8E"/>
    <w:rsid w:val="00106B91"/>
    <w:rsid w:val="00106BCF"/>
    <w:rsid w:val="00106BEF"/>
    <w:rsid w:val="00106C6B"/>
    <w:rsid w:val="00106C73"/>
    <w:rsid w:val="00106CFC"/>
    <w:rsid w:val="00106D75"/>
    <w:rsid w:val="00106DAB"/>
    <w:rsid w:val="00106E1D"/>
    <w:rsid w:val="00106E7B"/>
    <w:rsid w:val="00106E7E"/>
    <w:rsid w:val="00106E83"/>
    <w:rsid w:val="00106E8F"/>
    <w:rsid w:val="00106EC5"/>
    <w:rsid w:val="00106FC2"/>
    <w:rsid w:val="00106FDC"/>
    <w:rsid w:val="00107076"/>
    <w:rsid w:val="001070A3"/>
    <w:rsid w:val="001070D2"/>
    <w:rsid w:val="001070F0"/>
    <w:rsid w:val="001070F6"/>
    <w:rsid w:val="00107119"/>
    <w:rsid w:val="00107123"/>
    <w:rsid w:val="00107151"/>
    <w:rsid w:val="00107189"/>
    <w:rsid w:val="001071C0"/>
    <w:rsid w:val="001071C2"/>
    <w:rsid w:val="0010720B"/>
    <w:rsid w:val="0010727D"/>
    <w:rsid w:val="001072A7"/>
    <w:rsid w:val="0010733A"/>
    <w:rsid w:val="00107358"/>
    <w:rsid w:val="001073A6"/>
    <w:rsid w:val="001073BC"/>
    <w:rsid w:val="00107417"/>
    <w:rsid w:val="0010744A"/>
    <w:rsid w:val="001074C1"/>
    <w:rsid w:val="001074E0"/>
    <w:rsid w:val="00107617"/>
    <w:rsid w:val="0010761A"/>
    <w:rsid w:val="00107647"/>
    <w:rsid w:val="0010767F"/>
    <w:rsid w:val="0010771B"/>
    <w:rsid w:val="00107735"/>
    <w:rsid w:val="0010773B"/>
    <w:rsid w:val="0010777A"/>
    <w:rsid w:val="00107794"/>
    <w:rsid w:val="00107815"/>
    <w:rsid w:val="00107836"/>
    <w:rsid w:val="001078E0"/>
    <w:rsid w:val="00107912"/>
    <w:rsid w:val="0010791E"/>
    <w:rsid w:val="00107931"/>
    <w:rsid w:val="0010799B"/>
    <w:rsid w:val="001079C5"/>
    <w:rsid w:val="00107B9D"/>
    <w:rsid w:val="00107C78"/>
    <w:rsid w:val="00107CA8"/>
    <w:rsid w:val="00107DC5"/>
    <w:rsid w:val="00107DDE"/>
    <w:rsid w:val="00107E31"/>
    <w:rsid w:val="00107E8C"/>
    <w:rsid w:val="00107EBE"/>
    <w:rsid w:val="00107EFC"/>
    <w:rsid w:val="00107EFF"/>
    <w:rsid w:val="00107F6D"/>
    <w:rsid w:val="00107FA7"/>
    <w:rsid w:val="00107FB3"/>
    <w:rsid w:val="00107FCC"/>
    <w:rsid w:val="00107FD2"/>
    <w:rsid w:val="00110159"/>
    <w:rsid w:val="00110197"/>
    <w:rsid w:val="001101EA"/>
    <w:rsid w:val="00110200"/>
    <w:rsid w:val="0011021F"/>
    <w:rsid w:val="0011027D"/>
    <w:rsid w:val="00110319"/>
    <w:rsid w:val="00110326"/>
    <w:rsid w:val="0011036A"/>
    <w:rsid w:val="001103A7"/>
    <w:rsid w:val="00110475"/>
    <w:rsid w:val="001104B4"/>
    <w:rsid w:val="0011056C"/>
    <w:rsid w:val="00110613"/>
    <w:rsid w:val="00110618"/>
    <w:rsid w:val="001106A7"/>
    <w:rsid w:val="001106ED"/>
    <w:rsid w:val="001106F6"/>
    <w:rsid w:val="0011071A"/>
    <w:rsid w:val="0011072E"/>
    <w:rsid w:val="00110742"/>
    <w:rsid w:val="00110783"/>
    <w:rsid w:val="0011079E"/>
    <w:rsid w:val="001107AE"/>
    <w:rsid w:val="001107BA"/>
    <w:rsid w:val="00110817"/>
    <w:rsid w:val="0011083E"/>
    <w:rsid w:val="00110898"/>
    <w:rsid w:val="001108BF"/>
    <w:rsid w:val="001108C1"/>
    <w:rsid w:val="001108E2"/>
    <w:rsid w:val="00110958"/>
    <w:rsid w:val="0011096E"/>
    <w:rsid w:val="001109A9"/>
    <w:rsid w:val="00110A4F"/>
    <w:rsid w:val="00110A51"/>
    <w:rsid w:val="00110A9D"/>
    <w:rsid w:val="00110B15"/>
    <w:rsid w:val="00110B26"/>
    <w:rsid w:val="00110CB6"/>
    <w:rsid w:val="00110CE1"/>
    <w:rsid w:val="00110D51"/>
    <w:rsid w:val="00110D79"/>
    <w:rsid w:val="00110DB1"/>
    <w:rsid w:val="00110DC2"/>
    <w:rsid w:val="00110DFF"/>
    <w:rsid w:val="00110ED7"/>
    <w:rsid w:val="00110F09"/>
    <w:rsid w:val="00110F0F"/>
    <w:rsid w:val="00110F2A"/>
    <w:rsid w:val="00110F66"/>
    <w:rsid w:val="00110F70"/>
    <w:rsid w:val="00110F73"/>
    <w:rsid w:val="00110FA6"/>
    <w:rsid w:val="00111008"/>
    <w:rsid w:val="0011111F"/>
    <w:rsid w:val="00111134"/>
    <w:rsid w:val="001111AB"/>
    <w:rsid w:val="001111C6"/>
    <w:rsid w:val="00111246"/>
    <w:rsid w:val="00111278"/>
    <w:rsid w:val="0011129B"/>
    <w:rsid w:val="001112AE"/>
    <w:rsid w:val="001112C9"/>
    <w:rsid w:val="00111345"/>
    <w:rsid w:val="0011135C"/>
    <w:rsid w:val="00111371"/>
    <w:rsid w:val="00111393"/>
    <w:rsid w:val="001113F3"/>
    <w:rsid w:val="001113F8"/>
    <w:rsid w:val="001114CE"/>
    <w:rsid w:val="0011151B"/>
    <w:rsid w:val="001115B0"/>
    <w:rsid w:val="001115CE"/>
    <w:rsid w:val="001115EC"/>
    <w:rsid w:val="00111616"/>
    <w:rsid w:val="00111677"/>
    <w:rsid w:val="001116B5"/>
    <w:rsid w:val="001116F2"/>
    <w:rsid w:val="001116F8"/>
    <w:rsid w:val="00111701"/>
    <w:rsid w:val="001117BA"/>
    <w:rsid w:val="001117F1"/>
    <w:rsid w:val="00111824"/>
    <w:rsid w:val="00111831"/>
    <w:rsid w:val="0011183E"/>
    <w:rsid w:val="0011187B"/>
    <w:rsid w:val="001118C7"/>
    <w:rsid w:val="001118CF"/>
    <w:rsid w:val="00111908"/>
    <w:rsid w:val="00111A91"/>
    <w:rsid w:val="00111ACC"/>
    <w:rsid w:val="00111B31"/>
    <w:rsid w:val="00111B67"/>
    <w:rsid w:val="00111B87"/>
    <w:rsid w:val="00111B9D"/>
    <w:rsid w:val="00111BEC"/>
    <w:rsid w:val="00111C20"/>
    <w:rsid w:val="00111C3C"/>
    <w:rsid w:val="00111C4B"/>
    <w:rsid w:val="00111CAD"/>
    <w:rsid w:val="00111CEB"/>
    <w:rsid w:val="00111D31"/>
    <w:rsid w:val="00111D98"/>
    <w:rsid w:val="00111E05"/>
    <w:rsid w:val="00111E28"/>
    <w:rsid w:val="00111E4E"/>
    <w:rsid w:val="00111E7C"/>
    <w:rsid w:val="00111F22"/>
    <w:rsid w:val="00111F54"/>
    <w:rsid w:val="00111F7B"/>
    <w:rsid w:val="00111F85"/>
    <w:rsid w:val="00111FCC"/>
    <w:rsid w:val="00112042"/>
    <w:rsid w:val="00112052"/>
    <w:rsid w:val="0011205D"/>
    <w:rsid w:val="00112088"/>
    <w:rsid w:val="001120A2"/>
    <w:rsid w:val="001120B0"/>
    <w:rsid w:val="0011210D"/>
    <w:rsid w:val="0011212A"/>
    <w:rsid w:val="0011216A"/>
    <w:rsid w:val="00112215"/>
    <w:rsid w:val="0011222B"/>
    <w:rsid w:val="00112264"/>
    <w:rsid w:val="00112297"/>
    <w:rsid w:val="001122AF"/>
    <w:rsid w:val="0011232F"/>
    <w:rsid w:val="001123E7"/>
    <w:rsid w:val="001123F4"/>
    <w:rsid w:val="00112403"/>
    <w:rsid w:val="0011241A"/>
    <w:rsid w:val="00112437"/>
    <w:rsid w:val="0011245E"/>
    <w:rsid w:val="0011246C"/>
    <w:rsid w:val="001124AB"/>
    <w:rsid w:val="001124E2"/>
    <w:rsid w:val="001124EE"/>
    <w:rsid w:val="00112507"/>
    <w:rsid w:val="001125AE"/>
    <w:rsid w:val="001125E8"/>
    <w:rsid w:val="001125F3"/>
    <w:rsid w:val="001126A8"/>
    <w:rsid w:val="001126DB"/>
    <w:rsid w:val="001127F7"/>
    <w:rsid w:val="0011285B"/>
    <w:rsid w:val="00112862"/>
    <w:rsid w:val="001128B5"/>
    <w:rsid w:val="001128CE"/>
    <w:rsid w:val="001128D0"/>
    <w:rsid w:val="001128D3"/>
    <w:rsid w:val="0011293C"/>
    <w:rsid w:val="0011298E"/>
    <w:rsid w:val="00112AAC"/>
    <w:rsid w:val="00112B5F"/>
    <w:rsid w:val="00112B98"/>
    <w:rsid w:val="00112BC8"/>
    <w:rsid w:val="00112C14"/>
    <w:rsid w:val="00112C53"/>
    <w:rsid w:val="00112C7D"/>
    <w:rsid w:val="00112CE2"/>
    <w:rsid w:val="00112D13"/>
    <w:rsid w:val="00112E36"/>
    <w:rsid w:val="00112E3E"/>
    <w:rsid w:val="00112E8E"/>
    <w:rsid w:val="00112F2F"/>
    <w:rsid w:val="00112F31"/>
    <w:rsid w:val="00112F71"/>
    <w:rsid w:val="0011304B"/>
    <w:rsid w:val="00113094"/>
    <w:rsid w:val="00113096"/>
    <w:rsid w:val="001130EB"/>
    <w:rsid w:val="00113130"/>
    <w:rsid w:val="00113142"/>
    <w:rsid w:val="0011314E"/>
    <w:rsid w:val="00113194"/>
    <w:rsid w:val="001131EA"/>
    <w:rsid w:val="0011320D"/>
    <w:rsid w:val="0011322A"/>
    <w:rsid w:val="0011323B"/>
    <w:rsid w:val="00113248"/>
    <w:rsid w:val="001132B1"/>
    <w:rsid w:val="00113317"/>
    <w:rsid w:val="00113341"/>
    <w:rsid w:val="0011337C"/>
    <w:rsid w:val="00113381"/>
    <w:rsid w:val="00113398"/>
    <w:rsid w:val="00113427"/>
    <w:rsid w:val="0011349F"/>
    <w:rsid w:val="001134A8"/>
    <w:rsid w:val="00113530"/>
    <w:rsid w:val="00113536"/>
    <w:rsid w:val="001135CE"/>
    <w:rsid w:val="00113693"/>
    <w:rsid w:val="001136E4"/>
    <w:rsid w:val="00113717"/>
    <w:rsid w:val="00113727"/>
    <w:rsid w:val="001137A8"/>
    <w:rsid w:val="001137E8"/>
    <w:rsid w:val="00113888"/>
    <w:rsid w:val="001138A0"/>
    <w:rsid w:val="001138DD"/>
    <w:rsid w:val="00113904"/>
    <w:rsid w:val="0011390D"/>
    <w:rsid w:val="00113A0E"/>
    <w:rsid w:val="00113AD7"/>
    <w:rsid w:val="00113B22"/>
    <w:rsid w:val="00113BB3"/>
    <w:rsid w:val="00113C37"/>
    <w:rsid w:val="00113CDD"/>
    <w:rsid w:val="00113D90"/>
    <w:rsid w:val="00113D9A"/>
    <w:rsid w:val="00113DB8"/>
    <w:rsid w:val="00113DD7"/>
    <w:rsid w:val="00113E11"/>
    <w:rsid w:val="00113E32"/>
    <w:rsid w:val="00113E4A"/>
    <w:rsid w:val="00113E5C"/>
    <w:rsid w:val="00113E60"/>
    <w:rsid w:val="00113EF9"/>
    <w:rsid w:val="00113F20"/>
    <w:rsid w:val="00113F2B"/>
    <w:rsid w:val="00113F2C"/>
    <w:rsid w:val="00113F7A"/>
    <w:rsid w:val="00113FA4"/>
    <w:rsid w:val="001140A5"/>
    <w:rsid w:val="001140A9"/>
    <w:rsid w:val="001140AE"/>
    <w:rsid w:val="001140E5"/>
    <w:rsid w:val="001141DA"/>
    <w:rsid w:val="001141EC"/>
    <w:rsid w:val="0011421E"/>
    <w:rsid w:val="00114237"/>
    <w:rsid w:val="001142A0"/>
    <w:rsid w:val="001142E0"/>
    <w:rsid w:val="0011435E"/>
    <w:rsid w:val="0011439B"/>
    <w:rsid w:val="001143D3"/>
    <w:rsid w:val="001143D8"/>
    <w:rsid w:val="001143DE"/>
    <w:rsid w:val="001143F2"/>
    <w:rsid w:val="00114406"/>
    <w:rsid w:val="0011440B"/>
    <w:rsid w:val="0011440E"/>
    <w:rsid w:val="001144CF"/>
    <w:rsid w:val="001144DD"/>
    <w:rsid w:val="00114503"/>
    <w:rsid w:val="00114578"/>
    <w:rsid w:val="001145AB"/>
    <w:rsid w:val="001145DA"/>
    <w:rsid w:val="001145DB"/>
    <w:rsid w:val="001145EB"/>
    <w:rsid w:val="001145FA"/>
    <w:rsid w:val="00114612"/>
    <w:rsid w:val="0011464E"/>
    <w:rsid w:val="00114654"/>
    <w:rsid w:val="001146F7"/>
    <w:rsid w:val="0011473B"/>
    <w:rsid w:val="0011479C"/>
    <w:rsid w:val="001147B4"/>
    <w:rsid w:val="00114802"/>
    <w:rsid w:val="00114839"/>
    <w:rsid w:val="00114848"/>
    <w:rsid w:val="00114889"/>
    <w:rsid w:val="001148B1"/>
    <w:rsid w:val="0011490B"/>
    <w:rsid w:val="0011492C"/>
    <w:rsid w:val="00114937"/>
    <w:rsid w:val="001149E1"/>
    <w:rsid w:val="001149F5"/>
    <w:rsid w:val="00114B03"/>
    <w:rsid w:val="00114B86"/>
    <w:rsid w:val="00114BEC"/>
    <w:rsid w:val="00114C2F"/>
    <w:rsid w:val="00114C7B"/>
    <w:rsid w:val="00114CE7"/>
    <w:rsid w:val="00114CF6"/>
    <w:rsid w:val="00114D0C"/>
    <w:rsid w:val="00114D1A"/>
    <w:rsid w:val="00114D25"/>
    <w:rsid w:val="00114D36"/>
    <w:rsid w:val="00114DBF"/>
    <w:rsid w:val="00114DC5"/>
    <w:rsid w:val="00114DDF"/>
    <w:rsid w:val="00114E3B"/>
    <w:rsid w:val="00114E56"/>
    <w:rsid w:val="00114EAB"/>
    <w:rsid w:val="00114ECD"/>
    <w:rsid w:val="00114EE2"/>
    <w:rsid w:val="00114F82"/>
    <w:rsid w:val="00114F85"/>
    <w:rsid w:val="00115025"/>
    <w:rsid w:val="0011509C"/>
    <w:rsid w:val="001151B5"/>
    <w:rsid w:val="00115221"/>
    <w:rsid w:val="00115286"/>
    <w:rsid w:val="00115291"/>
    <w:rsid w:val="001152ED"/>
    <w:rsid w:val="0011540C"/>
    <w:rsid w:val="00115419"/>
    <w:rsid w:val="00115525"/>
    <w:rsid w:val="00115528"/>
    <w:rsid w:val="0011552E"/>
    <w:rsid w:val="00115597"/>
    <w:rsid w:val="00115600"/>
    <w:rsid w:val="00115674"/>
    <w:rsid w:val="0011569D"/>
    <w:rsid w:val="001156F6"/>
    <w:rsid w:val="0011575A"/>
    <w:rsid w:val="001157A3"/>
    <w:rsid w:val="001157A4"/>
    <w:rsid w:val="001157A6"/>
    <w:rsid w:val="001157D0"/>
    <w:rsid w:val="0011581A"/>
    <w:rsid w:val="00115828"/>
    <w:rsid w:val="0011586E"/>
    <w:rsid w:val="0011588C"/>
    <w:rsid w:val="00115978"/>
    <w:rsid w:val="00115A03"/>
    <w:rsid w:val="00115A18"/>
    <w:rsid w:val="00115A43"/>
    <w:rsid w:val="00115A9D"/>
    <w:rsid w:val="00115AD6"/>
    <w:rsid w:val="00115B05"/>
    <w:rsid w:val="00115C03"/>
    <w:rsid w:val="00115CCB"/>
    <w:rsid w:val="00115D71"/>
    <w:rsid w:val="00115D94"/>
    <w:rsid w:val="00115D9D"/>
    <w:rsid w:val="00115DDB"/>
    <w:rsid w:val="00115E04"/>
    <w:rsid w:val="00115EA8"/>
    <w:rsid w:val="00115EBD"/>
    <w:rsid w:val="00115EC7"/>
    <w:rsid w:val="00115FE8"/>
    <w:rsid w:val="00116008"/>
    <w:rsid w:val="0011604E"/>
    <w:rsid w:val="00116053"/>
    <w:rsid w:val="00116075"/>
    <w:rsid w:val="00116082"/>
    <w:rsid w:val="0011608A"/>
    <w:rsid w:val="0011610A"/>
    <w:rsid w:val="0011616D"/>
    <w:rsid w:val="00116197"/>
    <w:rsid w:val="0011619B"/>
    <w:rsid w:val="001161A0"/>
    <w:rsid w:val="001161C8"/>
    <w:rsid w:val="001161F8"/>
    <w:rsid w:val="001161FF"/>
    <w:rsid w:val="001162C0"/>
    <w:rsid w:val="001162F5"/>
    <w:rsid w:val="0011635C"/>
    <w:rsid w:val="00116373"/>
    <w:rsid w:val="001163E3"/>
    <w:rsid w:val="00116406"/>
    <w:rsid w:val="00116419"/>
    <w:rsid w:val="00116420"/>
    <w:rsid w:val="001164B3"/>
    <w:rsid w:val="001165E7"/>
    <w:rsid w:val="00116667"/>
    <w:rsid w:val="0011669B"/>
    <w:rsid w:val="001166CA"/>
    <w:rsid w:val="001166E7"/>
    <w:rsid w:val="00116702"/>
    <w:rsid w:val="00116712"/>
    <w:rsid w:val="00116766"/>
    <w:rsid w:val="00116803"/>
    <w:rsid w:val="001168F2"/>
    <w:rsid w:val="0011690D"/>
    <w:rsid w:val="0011694B"/>
    <w:rsid w:val="0011695E"/>
    <w:rsid w:val="001169AB"/>
    <w:rsid w:val="001169CF"/>
    <w:rsid w:val="00116A69"/>
    <w:rsid w:val="00116A6A"/>
    <w:rsid w:val="00116B22"/>
    <w:rsid w:val="00116C52"/>
    <w:rsid w:val="00116C74"/>
    <w:rsid w:val="00116CD9"/>
    <w:rsid w:val="00116D5D"/>
    <w:rsid w:val="00116D6B"/>
    <w:rsid w:val="00116DB4"/>
    <w:rsid w:val="00116E02"/>
    <w:rsid w:val="00116ECF"/>
    <w:rsid w:val="00116EF7"/>
    <w:rsid w:val="00116F1F"/>
    <w:rsid w:val="00116F88"/>
    <w:rsid w:val="00116F92"/>
    <w:rsid w:val="00116FC7"/>
    <w:rsid w:val="00116FF0"/>
    <w:rsid w:val="00116FFC"/>
    <w:rsid w:val="0011702D"/>
    <w:rsid w:val="0011718B"/>
    <w:rsid w:val="00117197"/>
    <w:rsid w:val="001171E1"/>
    <w:rsid w:val="00117234"/>
    <w:rsid w:val="001172BA"/>
    <w:rsid w:val="001172D4"/>
    <w:rsid w:val="00117350"/>
    <w:rsid w:val="001173EF"/>
    <w:rsid w:val="0011740A"/>
    <w:rsid w:val="0011742C"/>
    <w:rsid w:val="00117446"/>
    <w:rsid w:val="00117470"/>
    <w:rsid w:val="00117482"/>
    <w:rsid w:val="001174D8"/>
    <w:rsid w:val="001174E8"/>
    <w:rsid w:val="001174ED"/>
    <w:rsid w:val="00117520"/>
    <w:rsid w:val="00117533"/>
    <w:rsid w:val="001175DD"/>
    <w:rsid w:val="00117629"/>
    <w:rsid w:val="00117667"/>
    <w:rsid w:val="001176C6"/>
    <w:rsid w:val="00117701"/>
    <w:rsid w:val="00117704"/>
    <w:rsid w:val="00117711"/>
    <w:rsid w:val="00117791"/>
    <w:rsid w:val="001177A9"/>
    <w:rsid w:val="00117843"/>
    <w:rsid w:val="00117849"/>
    <w:rsid w:val="00117857"/>
    <w:rsid w:val="0011786B"/>
    <w:rsid w:val="0011787B"/>
    <w:rsid w:val="001178A2"/>
    <w:rsid w:val="001178B4"/>
    <w:rsid w:val="0011794D"/>
    <w:rsid w:val="001179F1"/>
    <w:rsid w:val="00117A67"/>
    <w:rsid w:val="00117A71"/>
    <w:rsid w:val="00117A7C"/>
    <w:rsid w:val="00117AB1"/>
    <w:rsid w:val="00117B00"/>
    <w:rsid w:val="00117B23"/>
    <w:rsid w:val="00117B2A"/>
    <w:rsid w:val="00117BF2"/>
    <w:rsid w:val="00117C07"/>
    <w:rsid w:val="00117C32"/>
    <w:rsid w:val="00117C6C"/>
    <w:rsid w:val="00117CEA"/>
    <w:rsid w:val="00117D56"/>
    <w:rsid w:val="00117DD3"/>
    <w:rsid w:val="00117DE2"/>
    <w:rsid w:val="00117EAA"/>
    <w:rsid w:val="00117EB4"/>
    <w:rsid w:val="00117FE6"/>
    <w:rsid w:val="00117FF9"/>
    <w:rsid w:val="0012001D"/>
    <w:rsid w:val="001200DF"/>
    <w:rsid w:val="00120108"/>
    <w:rsid w:val="00120112"/>
    <w:rsid w:val="0012015A"/>
    <w:rsid w:val="0012017B"/>
    <w:rsid w:val="001201E1"/>
    <w:rsid w:val="00120225"/>
    <w:rsid w:val="00120243"/>
    <w:rsid w:val="0012026F"/>
    <w:rsid w:val="00120272"/>
    <w:rsid w:val="00120281"/>
    <w:rsid w:val="00120361"/>
    <w:rsid w:val="001203C2"/>
    <w:rsid w:val="001203D1"/>
    <w:rsid w:val="001203E9"/>
    <w:rsid w:val="001203F8"/>
    <w:rsid w:val="001204B6"/>
    <w:rsid w:val="00120515"/>
    <w:rsid w:val="0012065F"/>
    <w:rsid w:val="001206A0"/>
    <w:rsid w:val="00120754"/>
    <w:rsid w:val="0012075B"/>
    <w:rsid w:val="0012075F"/>
    <w:rsid w:val="001207AE"/>
    <w:rsid w:val="001207C6"/>
    <w:rsid w:val="00120808"/>
    <w:rsid w:val="001208D3"/>
    <w:rsid w:val="0012090C"/>
    <w:rsid w:val="0012090E"/>
    <w:rsid w:val="0012096D"/>
    <w:rsid w:val="001209D8"/>
    <w:rsid w:val="00120A07"/>
    <w:rsid w:val="00120A28"/>
    <w:rsid w:val="00120A7B"/>
    <w:rsid w:val="00120B28"/>
    <w:rsid w:val="00120B3F"/>
    <w:rsid w:val="00120B9B"/>
    <w:rsid w:val="00120BF1"/>
    <w:rsid w:val="00120C7E"/>
    <w:rsid w:val="00120C8F"/>
    <w:rsid w:val="00120CCB"/>
    <w:rsid w:val="00120CF3"/>
    <w:rsid w:val="00120CFC"/>
    <w:rsid w:val="00120D21"/>
    <w:rsid w:val="00120D49"/>
    <w:rsid w:val="00120D88"/>
    <w:rsid w:val="00120DAC"/>
    <w:rsid w:val="00120DB9"/>
    <w:rsid w:val="00120E3A"/>
    <w:rsid w:val="00120E78"/>
    <w:rsid w:val="00120E95"/>
    <w:rsid w:val="00120EAC"/>
    <w:rsid w:val="00120EC3"/>
    <w:rsid w:val="00120F0C"/>
    <w:rsid w:val="00120F60"/>
    <w:rsid w:val="00120F8C"/>
    <w:rsid w:val="00120F9A"/>
    <w:rsid w:val="00120FB2"/>
    <w:rsid w:val="00120FD3"/>
    <w:rsid w:val="00121049"/>
    <w:rsid w:val="00121069"/>
    <w:rsid w:val="0012106B"/>
    <w:rsid w:val="00121093"/>
    <w:rsid w:val="001210AA"/>
    <w:rsid w:val="00121160"/>
    <w:rsid w:val="0012120F"/>
    <w:rsid w:val="0012123B"/>
    <w:rsid w:val="00121252"/>
    <w:rsid w:val="001212B4"/>
    <w:rsid w:val="00121325"/>
    <w:rsid w:val="0012133C"/>
    <w:rsid w:val="0012135A"/>
    <w:rsid w:val="00121364"/>
    <w:rsid w:val="0012139D"/>
    <w:rsid w:val="001213CA"/>
    <w:rsid w:val="001213EC"/>
    <w:rsid w:val="00121409"/>
    <w:rsid w:val="00121475"/>
    <w:rsid w:val="00121497"/>
    <w:rsid w:val="00121524"/>
    <w:rsid w:val="00121547"/>
    <w:rsid w:val="0012158E"/>
    <w:rsid w:val="0012159D"/>
    <w:rsid w:val="001215BB"/>
    <w:rsid w:val="001215CA"/>
    <w:rsid w:val="00121688"/>
    <w:rsid w:val="00121699"/>
    <w:rsid w:val="001216B6"/>
    <w:rsid w:val="001216B9"/>
    <w:rsid w:val="00121705"/>
    <w:rsid w:val="0012170E"/>
    <w:rsid w:val="00121759"/>
    <w:rsid w:val="0012177F"/>
    <w:rsid w:val="001217AF"/>
    <w:rsid w:val="00121804"/>
    <w:rsid w:val="0012182F"/>
    <w:rsid w:val="0012188D"/>
    <w:rsid w:val="00121897"/>
    <w:rsid w:val="00121A81"/>
    <w:rsid w:val="00121A8C"/>
    <w:rsid w:val="00121AA3"/>
    <w:rsid w:val="00121ABD"/>
    <w:rsid w:val="00121AC6"/>
    <w:rsid w:val="00121ACF"/>
    <w:rsid w:val="00121B09"/>
    <w:rsid w:val="00121B4C"/>
    <w:rsid w:val="00121B75"/>
    <w:rsid w:val="00121B83"/>
    <w:rsid w:val="00121BF7"/>
    <w:rsid w:val="00121CAF"/>
    <w:rsid w:val="00121CBB"/>
    <w:rsid w:val="00121CD2"/>
    <w:rsid w:val="00121CDD"/>
    <w:rsid w:val="00121D15"/>
    <w:rsid w:val="00121D2A"/>
    <w:rsid w:val="00121D40"/>
    <w:rsid w:val="00121EB5"/>
    <w:rsid w:val="00121EC7"/>
    <w:rsid w:val="00121ED9"/>
    <w:rsid w:val="00121F1A"/>
    <w:rsid w:val="00121F44"/>
    <w:rsid w:val="00121F63"/>
    <w:rsid w:val="00121FCB"/>
    <w:rsid w:val="00121FED"/>
    <w:rsid w:val="00121FF4"/>
    <w:rsid w:val="0012207F"/>
    <w:rsid w:val="0012208E"/>
    <w:rsid w:val="001220D1"/>
    <w:rsid w:val="00122190"/>
    <w:rsid w:val="0012220D"/>
    <w:rsid w:val="001222FA"/>
    <w:rsid w:val="00122300"/>
    <w:rsid w:val="00122366"/>
    <w:rsid w:val="001223B0"/>
    <w:rsid w:val="001223FE"/>
    <w:rsid w:val="001224B9"/>
    <w:rsid w:val="0012250F"/>
    <w:rsid w:val="0012252C"/>
    <w:rsid w:val="0012253A"/>
    <w:rsid w:val="0012253D"/>
    <w:rsid w:val="0012253E"/>
    <w:rsid w:val="0012257C"/>
    <w:rsid w:val="0012258D"/>
    <w:rsid w:val="00122600"/>
    <w:rsid w:val="00122692"/>
    <w:rsid w:val="001226A9"/>
    <w:rsid w:val="001226BC"/>
    <w:rsid w:val="001226C9"/>
    <w:rsid w:val="001227A8"/>
    <w:rsid w:val="001227CC"/>
    <w:rsid w:val="00122827"/>
    <w:rsid w:val="001228A2"/>
    <w:rsid w:val="0012290E"/>
    <w:rsid w:val="00122955"/>
    <w:rsid w:val="001229C6"/>
    <w:rsid w:val="001229F4"/>
    <w:rsid w:val="00122A1A"/>
    <w:rsid w:val="00122AC5"/>
    <w:rsid w:val="00122AF7"/>
    <w:rsid w:val="00122AF9"/>
    <w:rsid w:val="00122C20"/>
    <w:rsid w:val="00122C52"/>
    <w:rsid w:val="00122C5C"/>
    <w:rsid w:val="00122C60"/>
    <w:rsid w:val="00122DBE"/>
    <w:rsid w:val="00122DD0"/>
    <w:rsid w:val="00122DDC"/>
    <w:rsid w:val="00122E06"/>
    <w:rsid w:val="00122E31"/>
    <w:rsid w:val="00122E42"/>
    <w:rsid w:val="00122F11"/>
    <w:rsid w:val="00122FC9"/>
    <w:rsid w:val="00122FD9"/>
    <w:rsid w:val="00123046"/>
    <w:rsid w:val="001230C1"/>
    <w:rsid w:val="001230D6"/>
    <w:rsid w:val="001230F4"/>
    <w:rsid w:val="0012311A"/>
    <w:rsid w:val="00123158"/>
    <w:rsid w:val="001231A2"/>
    <w:rsid w:val="00123291"/>
    <w:rsid w:val="001232BD"/>
    <w:rsid w:val="001232F9"/>
    <w:rsid w:val="00123359"/>
    <w:rsid w:val="001233CE"/>
    <w:rsid w:val="00123481"/>
    <w:rsid w:val="0012353A"/>
    <w:rsid w:val="001235B9"/>
    <w:rsid w:val="001235CE"/>
    <w:rsid w:val="00123612"/>
    <w:rsid w:val="00123676"/>
    <w:rsid w:val="001236A9"/>
    <w:rsid w:val="001238DE"/>
    <w:rsid w:val="00123987"/>
    <w:rsid w:val="00123A8D"/>
    <w:rsid w:val="00123B47"/>
    <w:rsid w:val="00123B4D"/>
    <w:rsid w:val="00123B82"/>
    <w:rsid w:val="00123C1D"/>
    <w:rsid w:val="00123C33"/>
    <w:rsid w:val="00123C58"/>
    <w:rsid w:val="00123C5F"/>
    <w:rsid w:val="00123CBB"/>
    <w:rsid w:val="00123D22"/>
    <w:rsid w:val="00123D69"/>
    <w:rsid w:val="00123D9A"/>
    <w:rsid w:val="00123DBC"/>
    <w:rsid w:val="00123DF8"/>
    <w:rsid w:val="00123E19"/>
    <w:rsid w:val="00123E44"/>
    <w:rsid w:val="00123E47"/>
    <w:rsid w:val="00123E87"/>
    <w:rsid w:val="00123EBA"/>
    <w:rsid w:val="00123EC0"/>
    <w:rsid w:val="00123F22"/>
    <w:rsid w:val="00123F8D"/>
    <w:rsid w:val="00124036"/>
    <w:rsid w:val="00124053"/>
    <w:rsid w:val="001240BB"/>
    <w:rsid w:val="001240CF"/>
    <w:rsid w:val="001240E5"/>
    <w:rsid w:val="00124190"/>
    <w:rsid w:val="001241BD"/>
    <w:rsid w:val="001241F9"/>
    <w:rsid w:val="0012420B"/>
    <w:rsid w:val="00124220"/>
    <w:rsid w:val="0012424B"/>
    <w:rsid w:val="0012429B"/>
    <w:rsid w:val="001242A2"/>
    <w:rsid w:val="001242C6"/>
    <w:rsid w:val="0012430F"/>
    <w:rsid w:val="0012431D"/>
    <w:rsid w:val="0012431F"/>
    <w:rsid w:val="00124341"/>
    <w:rsid w:val="00124406"/>
    <w:rsid w:val="00124426"/>
    <w:rsid w:val="001244ED"/>
    <w:rsid w:val="0012450D"/>
    <w:rsid w:val="001245AF"/>
    <w:rsid w:val="001245B1"/>
    <w:rsid w:val="001245F4"/>
    <w:rsid w:val="00124628"/>
    <w:rsid w:val="00124649"/>
    <w:rsid w:val="0012468D"/>
    <w:rsid w:val="00124699"/>
    <w:rsid w:val="001246FF"/>
    <w:rsid w:val="00124729"/>
    <w:rsid w:val="0012473D"/>
    <w:rsid w:val="0012474A"/>
    <w:rsid w:val="0012476C"/>
    <w:rsid w:val="00124772"/>
    <w:rsid w:val="00124834"/>
    <w:rsid w:val="00124868"/>
    <w:rsid w:val="0012486D"/>
    <w:rsid w:val="001248B6"/>
    <w:rsid w:val="00124902"/>
    <w:rsid w:val="00124903"/>
    <w:rsid w:val="0012493F"/>
    <w:rsid w:val="001249C2"/>
    <w:rsid w:val="00124A28"/>
    <w:rsid w:val="00124A72"/>
    <w:rsid w:val="00124ABD"/>
    <w:rsid w:val="00124AC9"/>
    <w:rsid w:val="00124BAE"/>
    <w:rsid w:val="00124C41"/>
    <w:rsid w:val="00124C6B"/>
    <w:rsid w:val="00124C8A"/>
    <w:rsid w:val="00124D9F"/>
    <w:rsid w:val="00124DD6"/>
    <w:rsid w:val="00124E05"/>
    <w:rsid w:val="00124EEF"/>
    <w:rsid w:val="00124F1D"/>
    <w:rsid w:val="00124F52"/>
    <w:rsid w:val="00124FB8"/>
    <w:rsid w:val="00124FF4"/>
    <w:rsid w:val="0012503B"/>
    <w:rsid w:val="00125054"/>
    <w:rsid w:val="001250B3"/>
    <w:rsid w:val="001250F9"/>
    <w:rsid w:val="00125177"/>
    <w:rsid w:val="0012517B"/>
    <w:rsid w:val="001251B4"/>
    <w:rsid w:val="001251BE"/>
    <w:rsid w:val="001251CC"/>
    <w:rsid w:val="00125268"/>
    <w:rsid w:val="001252B6"/>
    <w:rsid w:val="001252FF"/>
    <w:rsid w:val="00125381"/>
    <w:rsid w:val="001253AB"/>
    <w:rsid w:val="00125411"/>
    <w:rsid w:val="00125413"/>
    <w:rsid w:val="00125415"/>
    <w:rsid w:val="0012548A"/>
    <w:rsid w:val="001254A2"/>
    <w:rsid w:val="001255B0"/>
    <w:rsid w:val="001255F2"/>
    <w:rsid w:val="0012560B"/>
    <w:rsid w:val="00125628"/>
    <w:rsid w:val="00125681"/>
    <w:rsid w:val="001256B5"/>
    <w:rsid w:val="001256B6"/>
    <w:rsid w:val="00125724"/>
    <w:rsid w:val="00125755"/>
    <w:rsid w:val="00125764"/>
    <w:rsid w:val="0012577B"/>
    <w:rsid w:val="0012586C"/>
    <w:rsid w:val="0012587B"/>
    <w:rsid w:val="001258C9"/>
    <w:rsid w:val="0012590D"/>
    <w:rsid w:val="0012593A"/>
    <w:rsid w:val="00125941"/>
    <w:rsid w:val="0012597C"/>
    <w:rsid w:val="00125980"/>
    <w:rsid w:val="001259B1"/>
    <w:rsid w:val="001259D1"/>
    <w:rsid w:val="00125A2F"/>
    <w:rsid w:val="00125AA0"/>
    <w:rsid w:val="00125AB8"/>
    <w:rsid w:val="00125AC3"/>
    <w:rsid w:val="00125B3E"/>
    <w:rsid w:val="00125B6D"/>
    <w:rsid w:val="00125B93"/>
    <w:rsid w:val="00125CCB"/>
    <w:rsid w:val="00125D19"/>
    <w:rsid w:val="00125D27"/>
    <w:rsid w:val="00125D82"/>
    <w:rsid w:val="00125DA8"/>
    <w:rsid w:val="00125DA9"/>
    <w:rsid w:val="00125E57"/>
    <w:rsid w:val="00125E60"/>
    <w:rsid w:val="00125E74"/>
    <w:rsid w:val="00125EC8"/>
    <w:rsid w:val="00125ED4"/>
    <w:rsid w:val="00125EEE"/>
    <w:rsid w:val="00125F5D"/>
    <w:rsid w:val="00125F69"/>
    <w:rsid w:val="00125FA4"/>
    <w:rsid w:val="0012606F"/>
    <w:rsid w:val="00126103"/>
    <w:rsid w:val="0012616D"/>
    <w:rsid w:val="00126191"/>
    <w:rsid w:val="001261A4"/>
    <w:rsid w:val="001261BB"/>
    <w:rsid w:val="001261F3"/>
    <w:rsid w:val="00126211"/>
    <w:rsid w:val="0012626D"/>
    <w:rsid w:val="0012629B"/>
    <w:rsid w:val="001262AE"/>
    <w:rsid w:val="001263B0"/>
    <w:rsid w:val="001263E5"/>
    <w:rsid w:val="00126484"/>
    <w:rsid w:val="001264C1"/>
    <w:rsid w:val="001264D2"/>
    <w:rsid w:val="00126524"/>
    <w:rsid w:val="00126584"/>
    <w:rsid w:val="00126595"/>
    <w:rsid w:val="001265CC"/>
    <w:rsid w:val="001265E3"/>
    <w:rsid w:val="00126620"/>
    <w:rsid w:val="00126674"/>
    <w:rsid w:val="00126684"/>
    <w:rsid w:val="00126768"/>
    <w:rsid w:val="0012676E"/>
    <w:rsid w:val="0012679E"/>
    <w:rsid w:val="001267A9"/>
    <w:rsid w:val="001267C9"/>
    <w:rsid w:val="00126815"/>
    <w:rsid w:val="00126897"/>
    <w:rsid w:val="0012699B"/>
    <w:rsid w:val="0012699F"/>
    <w:rsid w:val="00126A6C"/>
    <w:rsid w:val="00126AFA"/>
    <w:rsid w:val="00126BF7"/>
    <w:rsid w:val="00126BFE"/>
    <w:rsid w:val="00126C2B"/>
    <w:rsid w:val="00126C85"/>
    <w:rsid w:val="00126CB8"/>
    <w:rsid w:val="00126DE8"/>
    <w:rsid w:val="00126EB8"/>
    <w:rsid w:val="00126EEB"/>
    <w:rsid w:val="00126EF9"/>
    <w:rsid w:val="00126F44"/>
    <w:rsid w:val="00126FE8"/>
    <w:rsid w:val="00126FF6"/>
    <w:rsid w:val="00127095"/>
    <w:rsid w:val="00127155"/>
    <w:rsid w:val="001271BE"/>
    <w:rsid w:val="00127238"/>
    <w:rsid w:val="00127284"/>
    <w:rsid w:val="001272B5"/>
    <w:rsid w:val="001272DE"/>
    <w:rsid w:val="001272F5"/>
    <w:rsid w:val="00127315"/>
    <w:rsid w:val="00127326"/>
    <w:rsid w:val="0012733D"/>
    <w:rsid w:val="0012735D"/>
    <w:rsid w:val="0012738A"/>
    <w:rsid w:val="0012739A"/>
    <w:rsid w:val="001273F8"/>
    <w:rsid w:val="0012749F"/>
    <w:rsid w:val="001274C5"/>
    <w:rsid w:val="001274D0"/>
    <w:rsid w:val="001274EB"/>
    <w:rsid w:val="00127534"/>
    <w:rsid w:val="0012753B"/>
    <w:rsid w:val="00127661"/>
    <w:rsid w:val="00127663"/>
    <w:rsid w:val="00127678"/>
    <w:rsid w:val="00127696"/>
    <w:rsid w:val="001276F0"/>
    <w:rsid w:val="00127721"/>
    <w:rsid w:val="00127783"/>
    <w:rsid w:val="001277E0"/>
    <w:rsid w:val="00127801"/>
    <w:rsid w:val="00127835"/>
    <w:rsid w:val="00127841"/>
    <w:rsid w:val="0012787B"/>
    <w:rsid w:val="00127889"/>
    <w:rsid w:val="00127897"/>
    <w:rsid w:val="001278C9"/>
    <w:rsid w:val="00127924"/>
    <w:rsid w:val="001279D5"/>
    <w:rsid w:val="00127A3D"/>
    <w:rsid w:val="00127B11"/>
    <w:rsid w:val="00127B2C"/>
    <w:rsid w:val="00127B4F"/>
    <w:rsid w:val="00127B78"/>
    <w:rsid w:val="00127B8C"/>
    <w:rsid w:val="00127C5E"/>
    <w:rsid w:val="00127C81"/>
    <w:rsid w:val="00127CB3"/>
    <w:rsid w:val="00127CBC"/>
    <w:rsid w:val="00127D06"/>
    <w:rsid w:val="00127DF1"/>
    <w:rsid w:val="00127E19"/>
    <w:rsid w:val="00127E36"/>
    <w:rsid w:val="00127E38"/>
    <w:rsid w:val="00127E92"/>
    <w:rsid w:val="00127ECF"/>
    <w:rsid w:val="00127EF6"/>
    <w:rsid w:val="00127F68"/>
    <w:rsid w:val="00127FA8"/>
    <w:rsid w:val="00127FD9"/>
    <w:rsid w:val="001300AC"/>
    <w:rsid w:val="001300FB"/>
    <w:rsid w:val="001300FF"/>
    <w:rsid w:val="00130182"/>
    <w:rsid w:val="001301B6"/>
    <w:rsid w:val="001301E4"/>
    <w:rsid w:val="00130240"/>
    <w:rsid w:val="00130246"/>
    <w:rsid w:val="00130254"/>
    <w:rsid w:val="001302DB"/>
    <w:rsid w:val="00130343"/>
    <w:rsid w:val="001303C3"/>
    <w:rsid w:val="001303F0"/>
    <w:rsid w:val="001304EF"/>
    <w:rsid w:val="00130515"/>
    <w:rsid w:val="0013056D"/>
    <w:rsid w:val="001305AB"/>
    <w:rsid w:val="001305BC"/>
    <w:rsid w:val="00130607"/>
    <w:rsid w:val="00130660"/>
    <w:rsid w:val="00130686"/>
    <w:rsid w:val="001306A3"/>
    <w:rsid w:val="001306B7"/>
    <w:rsid w:val="001306D9"/>
    <w:rsid w:val="001306F7"/>
    <w:rsid w:val="00130746"/>
    <w:rsid w:val="001307E9"/>
    <w:rsid w:val="00130829"/>
    <w:rsid w:val="0013082E"/>
    <w:rsid w:val="0013083F"/>
    <w:rsid w:val="00130878"/>
    <w:rsid w:val="0013087B"/>
    <w:rsid w:val="0013089F"/>
    <w:rsid w:val="00130931"/>
    <w:rsid w:val="0013097E"/>
    <w:rsid w:val="001309E3"/>
    <w:rsid w:val="00130A14"/>
    <w:rsid w:val="00130B0A"/>
    <w:rsid w:val="00130B0B"/>
    <w:rsid w:val="00130B7F"/>
    <w:rsid w:val="00130C0D"/>
    <w:rsid w:val="00130C32"/>
    <w:rsid w:val="00130C53"/>
    <w:rsid w:val="00130CB0"/>
    <w:rsid w:val="00130DC9"/>
    <w:rsid w:val="00130DDC"/>
    <w:rsid w:val="00130E1C"/>
    <w:rsid w:val="00130E1D"/>
    <w:rsid w:val="00130E4A"/>
    <w:rsid w:val="00130EFE"/>
    <w:rsid w:val="00130F36"/>
    <w:rsid w:val="00130F50"/>
    <w:rsid w:val="00130F5D"/>
    <w:rsid w:val="00130F64"/>
    <w:rsid w:val="00130FD1"/>
    <w:rsid w:val="00130FED"/>
    <w:rsid w:val="00131010"/>
    <w:rsid w:val="0013108C"/>
    <w:rsid w:val="001310A4"/>
    <w:rsid w:val="0013112E"/>
    <w:rsid w:val="001311EC"/>
    <w:rsid w:val="001311FA"/>
    <w:rsid w:val="00131223"/>
    <w:rsid w:val="00131233"/>
    <w:rsid w:val="00131298"/>
    <w:rsid w:val="001312D5"/>
    <w:rsid w:val="00131303"/>
    <w:rsid w:val="00131398"/>
    <w:rsid w:val="001313A7"/>
    <w:rsid w:val="001313AE"/>
    <w:rsid w:val="001313B9"/>
    <w:rsid w:val="001313CC"/>
    <w:rsid w:val="0013148A"/>
    <w:rsid w:val="00131538"/>
    <w:rsid w:val="001315EC"/>
    <w:rsid w:val="00131637"/>
    <w:rsid w:val="00131678"/>
    <w:rsid w:val="00131767"/>
    <w:rsid w:val="001317CD"/>
    <w:rsid w:val="0013181A"/>
    <w:rsid w:val="001318B3"/>
    <w:rsid w:val="001318C6"/>
    <w:rsid w:val="001318F5"/>
    <w:rsid w:val="0013199B"/>
    <w:rsid w:val="0013199D"/>
    <w:rsid w:val="00131A0F"/>
    <w:rsid w:val="00131A1B"/>
    <w:rsid w:val="00131A6D"/>
    <w:rsid w:val="00131A6F"/>
    <w:rsid w:val="00131A98"/>
    <w:rsid w:val="00131C12"/>
    <w:rsid w:val="00131C1A"/>
    <w:rsid w:val="00131C93"/>
    <w:rsid w:val="00131CAD"/>
    <w:rsid w:val="00131CD6"/>
    <w:rsid w:val="00131D15"/>
    <w:rsid w:val="00131D5C"/>
    <w:rsid w:val="00131D9B"/>
    <w:rsid w:val="00131DB2"/>
    <w:rsid w:val="00131E00"/>
    <w:rsid w:val="00131E7E"/>
    <w:rsid w:val="00131E8C"/>
    <w:rsid w:val="00131EA2"/>
    <w:rsid w:val="00131F38"/>
    <w:rsid w:val="00131F7C"/>
    <w:rsid w:val="00131F9B"/>
    <w:rsid w:val="00132013"/>
    <w:rsid w:val="00132045"/>
    <w:rsid w:val="00132048"/>
    <w:rsid w:val="00132055"/>
    <w:rsid w:val="0013205C"/>
    <w:rsid w:val="0013205D"/>
    <w:rsid w:val="00132065"/>
    <w:rsid w:val="00132172"/>
    <w:rsid w:val="001321B6"/>
    <w:rsid w:val="001321D2"/>
    <w:rsid w:val="001321F0"/>
    <w:rsid w:val="001321F4"/>
    <w:rsid w:val="0013220E"/>
    <w:rsid w:val="0013228A"/>
    <w:rsid w:val="00132292"/>
    <w:rsid w:val="00132296"/>
    <w:rsid w:val="001322A5"/>
    <w:rsid w:val="001322DC"/>
    <w:rsid w:val="001322E8"/>
    <w:rsid w:val="00132354"/>
    <w:rsid w:val="00132410"/>
    <w:rsid w:val="00132488"/>
    <w:rsid w:val="001324D5"/>
    <w:rsid w:val="001324DE"/>
    <w:rsid w:val="001325A2"/>
    <w:rsid w:val="001325D9"/>
    <w:rsid w:val="00132633"/>
    <w:rsid w:val="00132727"/>
    <w:rsid w:val="0013274E"/>
    <w:rsid w:val="001327D7"/>
    <w:rsid w:val="001327FC"/>
    <w:rsid w:val="00132812"/>
    <w:rsid w:val="0013289C"/>
    <w:rsid w:val="001328F7"/>
    <w:rsid w:val="001328FB"/>
    <w:rsid w:val="00132A19"/>
    <w:rsid w:val="00132A5B"/>
    <w:rsid w:val="00132A79"/>
    <w:rsid w:val="00132A88"/>
    <w:rsid w:val="00132AC4"/>
    <w:rsid w:val="00132B74"/>
    <w:rsid w:val="00132C0F"/>
    <w:rsid w:val="00132C42"/>
    <w:rsid w:val="00132D31"/>
    <w:rsid w:val="00132D46"/>
    <w:rsid w:val="00132D47"/>
    <w:rsid w:val="00132D49"/>
    <w:rsid w:val="00132E0F"/>
    <w:rsid w:val="00132E48"/>
    <w:rsid w:val="00132E9D"/>
    <w:rsid w:val="00132ED6"/>
    <w:rsid w:val="00132EE6"/>
    <w:rsid w:val="00132EFC"/>
    <w:rsid w:val="00132F18"/>
    <w:rsid w:val="00132F1B"/>
    <w:rsid w:val="00132F5A"/>
    <w:rsid w:val="00132F6D"/>
    <w:rsid w:val="00132FB9"/>
    <w:rsid w:val="00133000"/>
    <w:rsid w:val="00133006"/>
    <w:rsid w:val="00133025"/>
    <w:rsid w:val="001330B7"/>
    <w:rsid w:val="001330BF"/>
    <w:rsid w:val="00133190"/>
    <w:rsid w:val="001331AB"/>
    <w:rsid w:val="001331EC"/>
    <w:rsid w:val="0013325A"/>
    <w:rsid w:val="0013326F"/>
    <w:rsid w:val="001332DC"/>
    <w:rsid w:val="0013340F"/>
    <w:rsid w:val="0013341D"/>
    <w:rsid w:val="00133428"/>
    <w:rsid w:val="00133441"/>
    <w:rsid w:val="00133447"/>
    <w:rsid w:val="00133466"/>
    <w:rsid w:val="001334EF"/>
    <w:rsid w:val="00133515"/>
    <w:rsid w:val="00133550"/>
    <w:rsid w:val="0013355D"/>
    <w:rsid w:val="00133608"/>
    <w:rsid w:val="00133617"/>
    <w:rsid w:val="00133642"/>
    <w:rsid w:val="001336BF"/>
    <w:rsid w:val="00133786"/>
    <w:rsid w:val="001337A4"/>
    <w:rsid w:val="00133816"/>
    <w:rsid w:val="0013384A"/>
    <w:rsid w:val="00133855"/>
    <w:rsid w:val="0013385D"/>
    <w:rsid w:val="001338A1"/>
    <w:rsid w:val="001338E8"/>
    <w:rsid w:val="00133991"/>
    <w:rsid w:val="001339CB"/>
    <w:rsid w:val="001339D7"/>
    <w:rsid w:val="00133A30"/>
    <w:rsid w:val="00133A31"/>
    <w:rsid w:val="00133A83"/>
    <w:rsid w:val="00133A85"/>
    <w:rsid w:val="00133D08"/>
    <w:rsid w:val="00133D12"/>
    <w:rsid w:val="00133D51"/>
    <w:rsid w:val="00133D55"/>
    <w:rsid w:val="00133E80"/>
    <w:rsid w:val="00133EC1"/>
    <w:rsid w:val="00133EE2"/>
    <w:rsid w:val="00133FC3"/>
    <w:rsid w:val="00133FD2"/>
    <w:rsid w:val="00133FE0"/>
    <w:rsid w:val="00134006"/>
    <w:rsid w:val="00134068"/>
    <w:rsid w:val="00134085"/>
    <w:rsid w:val="001340B7"/>
    <w:rsid w:val="001340CF"/>
    <w:rsid w:val="0013411A"/>
    <w:rsid w:val="00134147"/>
    <w:rsid w:val="00134173"/>
    <w:rsid w:val="00134175"/>
    <w:rsid w:val="0013418E"/>
    <w:rsid w:val="0013424E"/>
    <w:rsid w:val="001342AC"/>
    <w:rsid w:val="001342C9"/>
    <w:rsid w:val="001343F6"/>
    <w:rsid w:val="00134408"/>
    <w:rsid w:val="00134480"/>
    <w:rsid w:val="001344D0"/>
    <w:rsid w:val="00134504"/>
    <w:rsid w:val="0013451F"/>
    <w:rsid w:val="0013454A"/>
    <w:rsid w:val="00134553"/>
    <w:rsid w:val="00134572"/>
    <w:rsid w:val="00134581"/>
    <w:rsid w:val="001345B3"/>
    <w:rsid w:val="00134691"/>
    <w:rsid w:val="00134694"/>
    <w:rsid w:val="001346D3"/>
    <w:rsid w:val="001347A5"/>
    <w:rsid w:val="001347B1"/>
    <w:rsid w:val="001347C4"/>
    <w:rsid w:val="00134807"/>
    <w:rsid w:val="0013480E"/>
    <w:rsid w:val="0013481B"/>
    <w:rsid w:val="0013486D"/>
    <w:rsid w:val="001348C0"/>
    <w:rsid w:val="001348C9"/>
    <w:rsid w:val="001348D2"/>
    <w:rsid w:val="001348D3"/>
    <w:rsid w:val="001348F2"/>
    <w:rsid w:val="00134932"/>
    <w:rsid w:val="00134962"/>
    <w:rsid w:val="001349B1"/>
    <w:rsid w:val="001349D0"/>
    <w:rsid w:val="001349FC"/>
    <w:rsid w:val="00134A4D"/>
    <w:rsid w:val="00134ABE"/>
    <w:rsid w:val="00134AC5"/>
    <w:rsid w:val="00134AFB"/>
    <w:rsid w:val="00134B06"/>
    <w:rsid w:val="00134B7C"/>
    <w:rsid w:val="00134BC5"/>
    <w:rsid w:val="00134C01"/>
    <w:rsid w:val="00134C25"/>
    <w:rsid w:val="00134C4D"/>
    <w:rsid w:val="00134D47"/>
    <w:rsid w:val="00134DAF"/>
    <w:rsid w:val="00134DCF"/>
    <w:rsid w:val="00134EA3"/>
    <w:rsid w:val="00134ED6"/>
    <w:rsid w:val="00134F6A"/>
    <w:rsid w:val="00134FDA"/>
    <w:rsid w:val="00134FDC"/>
    <w:rsid w:val="00134FE8"/>
    <w:rsid w:val="00135159"/>
    <w:rsid w:val="00135194"/>
    <w:rsid w:val="001351AA"/>
    <w:rsid w:val="0013521C"/>
    <w:rsid w:val="001352B1"/>
    <w:rsid w:val="001352FC"/>
    <w:rsid w:val="00135329"/>
    <w:rsid w:val="00135399"/>
    <w:rsid w:val="001353B3"/>
    <w:rsid w:val="001353F0"/>
    <w:rsid w:val="0013547B"/>
    <w:rsid w:val="001354B7"/>
    <w:rsid w:val="001354C6"/>
    <w:rsid w:val="00135515"/>
    <w:rsid w:val="00135543"/>
    <w:rsid w:val="0013556A"/>
    <w:rsid w:val="0013556D"/>
    <w:rsid w:val="001355D2"/>
    <w:rsid w:val="001356C0"/>
    <w:rsid w:val="00135717"/>
    <w:rsid w:val="00135726"/>
    <w:rsid w:val="00135728"/>
    <w:rsid w:val="0013590B"/>
    <w:rsid w:val="0013596B"/>
    <w:rsid w:val="001359C0"/>
    <w:rsid w:val="00135A65"/>
    <w:rsid w:val="00135AD7"/>
    <w:rsid w:val="00135B28"/>
    <w:rsid w:val="00135B6A"/>
    <w:rsid w:val="00135BAF"/>
    <w:rsid w:val="00135BC6"/>
    <w:rsid w:val="00135C3D"/>
    <w:rsid w:val="00135C8C"/>
    <w:rsid w:val="00135D04"/>
    <w:rsid w:val="00135D12"/>
    <w:rsid w:val="00135DC4"/>
    <w:rsid w:val="00135E1B"/>
    <w:rsid w:val="00135EB8"/>
    <w:rsid w:val="00135EF5"/>
    <w:rsid w:val="00135EFA"/>
    <w:rsid w:val="00135F46"/>
    <w:rsid w:val="00135F81"/>
    <w:rsid w:val="00135FBB"/>
    <w:rsid w:val="0013606C"/>
    <w:rsid w:val="0013606D"/>
    <w:rsid w:val="001360A5"/>
    <w:rsid w:val="001360A9"/>
    <w:rsid w:val="001360B7"/>
    <w:rsid w:val="0013613B"/>
    <w:rsid w:val="001362DD"/>
    <w:rsid w:val="001362F1"/>
    <w:rsid w:val="00136345"/>
    <w:rsid w:val="001363F4"/>
    <w:rsid w:val="0013641F"/>
    <w:rsid w:val="0013646E"/>
    <w:rsid w:val="0013646F"/>
    <w:rsid w:val="0013648D"/>
    <w:rsid w:val="001364CD"/>
    <w:rsid w:val="00136502"/>
    <w:rsid w:val="0013650A"/>
    <w:rsid w:val="00136511"/>
    <w:rsid w:val="00136557"/>
    <w:rsid w:val="001366C8"/>
    <w:rsid w:val="001366DC"/>
    <w:rsid w:val="00136732"/>
    <w:rsid w:val="001367B7"/>
    <w:rsid w:val="001367FA"/>
    <w:rsid w:val="0013680F"/>
    <w:rsid w:val="00136858"/>
    <w:rsid w:val="0013689F"/>
    <w:rsid w:val="00136906"/>
    <w:rsid w:val="0013693F"/>
    <w:rsid w:val="0013694E"/>
    <w:rsid w:val="001369BE"/>
    <w:rsid w:val="001369D8"/>
    <w:rsid w:val="00136A03"/>
    <w:rsid w:val="00136A57"/>
    <w:rsid w:val="00136ACE"/>
    <w:rsid w:val="00136B05"/>
    <w:rsid w:val="00136B41"/>
    <w:rsid w:val="00136BFA"/>
    <w:rsid w:val="00136C07"/>
    <w:rsid w:val="00136C4A"/>
    <w:rsid w:val="00136C78"/>
    <w:rsid w:val="00136C9B"/>
    <w:rsid w:val="00136D28"/>
    <w:rsid w:val="00136D48"/>
    <w:rsid w:val="00136DB5"/>
    <w:rsid w:val="00136DBD"/>
    <w:rsid w:val="00136E2C"/>
    <w:rsid w:val="00136E79"/>
    <w:rsid w:val="00136EBE"/>
    <w:rsid w:val="00136EF0"/>
    <w:rsid w:val="00136F68"/>
    <w:rsid w:val="00136F7F"/>
    <w:rsid w:val="00137057"/>
    <w:rsid w:val="0013708D"/>
    <w:rsid w:val="001370CE"/>
    <w:rsid w:val="001370E0"/>
    <w:rsid w:val="00137105"/>
    <w:rsid w:val="0013710F"/>
    <w:rsid w:val="00137110"/>
    <w:rsid w:val="00137163"/>
    <w:rsid w:val="00137207"/>
    <w:rsid w:val="00137213"/>
    <w:rsid w:val="00137265"/>
    <w:rsid w:val="00137266"/>
    <w:rsid w:val="001372A6"/>
    <w:rsid w:val="00137382"/>
    <w:rsid w:val="0013738F"/>
    <w:rsid w:val="0013743A"/>
    <w:rsid w:val="0013746D"/>
    <w:rsid w:val="00137538"/>
    <w:rsid w:val="00137568"/>
    <w:rsid w:val="001375A8"/>
    <w:rsid w:val="001375D3"/>
    <w:rsid w:val="00137618"/>
    <w:rsid w:val="00137650"/>
    <w:rsid w:val="00137679"/>
    <w:rsid w:val="0013768D"/>
    <w:rsid w:val="001376FB"/>
    <w:rsid w:val="001377C5"/>
    <w:rsid w:val="001377D3"/>
    <w:rsid w:val="0013781D"/>
    <w:rsid w:val="0013784D"/>
    <w:rsid w:val="0013785E"/>
    <w:rsid w:val="0013786A"/>
    <w:rsid w:val="001378DA"/>
    <w:rsid w:val="001378DB"/>
    <w:rsid w:val="0013791C"/>
    <w:rsid w:val="00137A13"/>
    <w:rsid w:val="00137A5F"/>
    <w:rsid w:val="00137A9F"/>
    <w:rsid w:val="00137ACA"/>
    <w:rsid w:val="00137AD5"/>
    <w:rsid w:val="00137AF6"/>
    <w:rsid w:val="00137B5C"/>
    <w:rsid w:val="00137B67"/>
    <w:rsid w:val="00137C1C"/>
    <w:rsid w:val="00137C26"/>
    <w:rsid w:val="00137C30"/>
    <w:rsid w:val="00137C3A"/>
    <w:rsid w:val="00137CE1"/>
    <w:rsid w:val="00137D0B"/>
    <w:rsid w:val="00137D10"/>
    <w:rsid w:val="00137D25"/>
    <w:rsid w:val="00137D74"/>
    <w:rsid w:val="00137DC4"/>
    <w:rsid w:val="00137DC7"/>
    <w:rsid w:val="00137DDD"/>
    <w:rsid w:val="00137E3D"/>
    <w:rsid w:val="00137E96"/>
    <w:rsid w:val="00137F00"/>
    <w:rsid w:val="00137F05"/>
    <w:rsid w:val="00137FD0"/>
    <w:rsid w:val="0014002D"/>
    <w:rsid w:val="001400F0"/>
    <w:rsid w:val="00140198"/>
    <w:rsid w:val="001401CD"/>
    <w:rsid w:val="001401D4"/>
    <w:rsid w:val="001401E7"/>
    <w:rsid w:val="00140249"/>
    <w:rsid w:val="00140252"/>
    <w:rsid w:val="00140265"/>
    <w:rsid w:val="0014027E"/>
    <w:rsid w:val="00140293"/>
    <w:rsid w:val="001402A7"/>
    <w:rsid w:val="00140316"/>
    <w:rsid w:val="0014033B"/>
    <w:rsid w:val="0014038F"/>
    <w:rsid w:val="0014039E"/>
    <w:rsid w:val="00140403"/>
    <w:rsid w:val="00140412"/>
    <w:rsid w:val="0014041F"/>
    <w:rsid w:val="001404BD"/>
    <w:rsid w:val="001404ED"/>
    <w:rsid w:val="00140510"/>
    <w:rsid w:val="00140542"/>
    <w:rsid w:val="00140558"/>
    <w:rsid w:val="0014058C"/>
    <w:rsid w:val="001405AB"/>
    <w:rsid w:val="001405EF"/>
    <w:rsid w:val="0014060F"/>
    <w:rsid w:val="0014062F"/>
    <w:rsid w:val="0014067D"/>
    <w:rsid w:val="0014068E"/>
    <w:rsid w:val="001406FF"/>
    <w:rsid w:val="0014073C"/>
    <w:rsid w:val="00140779"/>
    <w:rsid w:val="001407E5"/>
    <w:rsid w:val="001407F8"/>
    <w:rsid w:val="00140896"/>
    <w:rsid w:val="001408B0"/>
    <w:rsid w:val="001408BD"/>
    <w:rsid w:val="001408F5"/>
    <w:rsid w:val="00140922"/>
    <w:rsid w:val="00140984"/>
    <w:rsid w:val="001409D0"/>
    <w:rsid w:val="00140A52"/>
    <w:rsid w:val="00140AA6"/>
    <w:rsid w:val="00140B5E"/>
    <w:rsid w:val="00140BBF"/>
    <w:rsid w:val="00140D53"/>
    <w:rsid w:val="00140D79"/>
    <w:rsid w:val="00140E77"/>
    <w:rsid w:val="00140ED2"/>
    <w:rsid w:val="00140F5A"/>
    <w:rsid w:val="00140F8E"/>
    <w:rsid w:val="00140FEA"/>
    <w:rsid w:val="00140FF6"/>
    <w:rsid w:val="0014100E"/>
    <w:rsid w:val="0014104A"/>
    <w:rsid w:val="00141082"/>
    <w:rsid w:val="001410BC"/>
    <w:rsid w:val="001410EE"/>
    <w:rsid w:val="0014111A"/>
    <w:rsid w:val="00141134"/>
    <w:rsid w:val="00141164"/>
    <w:rsid w:val="00141192"/>
    <w:rsid w:val="001411BA"/>
    <w:rsid w:val="001411E2"/>
    <w:rsid w:val="0014120E"/>
    <w:rsid w:val="00141236"/>
    <w:rsid w:val="00141239"/>
    <w:rsid w:val="00141250"/>
    <w:rsid w:val="0014128D"/>
    <w:rsid w:val="001412E5"/>
    <w:rsid w:val="00141324"/>
    <w:rsid w:val="001413B5"/>
    <w:rsid w:val="001413F7"/>
    <w:rsid w:val="00141405"/>
    <w:rsid w:val="00141472"/>
    <w:rsid w:val="001414A5"/>
    <w:rsid w:val="00141553"/>
    <w:rsid w:val="0014157D"/>
    <w:rsid w:val="00141596"/>
    <w:rsid w:val="0014159B"/>
    <w:rsid w:val="00141611"/>
    <w:rsid w:val="001416C6"/>
    <w:rsid w:val="001416E1"/>
    <w:rsid w:val="0014177A"/>
    <w:rsid w:val="0014180F"/>
    <w:rsid w:val="00141819"/>
    <w:rsid w:val="00141875"/>
    <w:rsid w:val="001418CF"/>
    <w:rsid w:val="00141902"/>
    <w:rsid w:val="00141925"/>
    <w:rsid w:val="0014193C"/>
    <w:rsid w:val="0014194D"/>
    <w:rsid w:val="00141959"/>
    <w:rsid w:val="00141964"/>
    <w:rsid w:val="001419A6"/>
    <w:rsid w:val="001419C2"/>
    <w:rsid w:val="001419F3"/>
    <w:rsid w:val="00141A28"/>
    <w:rsid w:val="00141A86"/>
    <w:rsid w:val="00141B3D"/>
    <w:rsid w:val="00141B8F"/>
    <w:rsid w:val="00141BC8"/>
    <w:rsid w:val="00141C31"/>
    <w:rsid w:val="00141C60"/>
    <w:rsid w:val="00141CDA"/>
    <w:rsid w:val="00141CFF"/>
    <w:rsid w:val="00141D11"/>
    <w:rsid w:val="00141DE7"/>
    <w:rsid w:val="00141E22"/>
    <w:rsid w:val="00141EA1"/>
    <w:rsid w:val="00141ED6"/>
    <w:rsid w:val="00141F11"/>
    <w:rsid w:val="00141F47"/>
    <w:rsid w:val="00141FEB"/>
    <w:rsid w:val="00141FF0"/>
    <w:rsid w:val="00142078"/>
    <w:rsid w:val="0014209B"/>
    <w:rsid w:val="001420D7"/>
    <w:rsid w:val="00142107"/>
    <w:rsid w:val="0014211D"/>
    <w:rsid w:val="001421B0"/>
    <w:rsid w:val="001421DC"/>
    <w:rsid w:val="0014228D"/>
    <w:rsid w:val="001422B7"/>
    <w:rsid w:val="001422D9"/>
    <w:rsid w:val="0014234F"/>
    <w:rsid w:val="001423E6"/>
    <w:rsid w:val="001423EF"/>
    <w:rsid w:val="00142462"/>
    <w:rsid w:val="00142560"/>
    <w:rsid w:val="00142592"/>
    <w:rsid w:val="00142621"/>
    <w:rsid w:val="001426B1"/>
    <w:rsid w:val="001426F5"/>
    <w:rsid w:val="00142703"/>
    <w:rsid w:val="0014276F"/>
    <w:rsid w:val="001427B8"/>
    <w:rsid w:val="00142817"/>
    <w:rsid w:val="0014287A"/>
    <w:rsid w:val="0014288B"/>
    <w:rsid w:val="0014288D"/>
    <w:rsid w:val="001428F0"/>
    <w:rsid w:val="00142913"/>
    <w:rsid w:val="0014292A"/>
    <w:rsid w:val="00142949"/>
    <w:rsid w:val="001429D7"/>
    <w:rsid w:val="00142A3F"/>
    <w:rsid w:val="00142A5E"/>
    <w:rsid w:val="00142AB1"/>
    <w:rsid w:val="00142AC1"/>
    <w:rsid w:val="00142AC5"/>
    <w:rsid w:val="00142B20"/>
    <w:rsid w:val="00142B51"/>
    <w:rsid w:val="00142B7C"/>
    <w:rsid w:val="00142BD0"/>
    <w:rsid w:val="00142BE8"/>
    <w:rsid w:val="00142BF4"/>
    <w:rsid w:val="00142D2E"/>
    <w:rsid w:val="00142D33"/>
    <w:rsid w:val="00142D41"/>
    <w:rsid w:val="00142D4E"/>
    <w:rsid w:val="00142D82"/>
    <w:rsid w:val="00142D9B"/>
    <w:rsid w:val="00142E39"/>
    <w:rsid w:val="00142E40"/>
    <w:rsid w:val="00142E4D"/>
    <w:rsid w:val="00142E5E"/>
    <w:rsid w:val="00142E68"/>
    <w:rsid w:val="00142ED9"/>
    <w:rsid w:val="00142FF1"/>
    <w:rsid w:val="00142FFA"/>
    <w:rsid w:val="00143013"/>
    <w:rsid w:val="0014307F"/>
    <w:rsid w:val="001430F7"/>
    <w:rsid w:val="00143169"/>
    <w:rsid w:val="00143172"/>
    <w:rsid w:val="001431AC"/>
    <w:rsid w:val="00143243"/>
    <w:rsid w:val="001432BE"/>
    <w:rsid w:val="001432D7"/>
    <w:rsid w:val="001432E2"/>
    <w:rsid w:val="001432FC"/>
    <w:rsid w:val="00143317"/>
    <w:rsid w:val="001433A1"/>
    <w:rsid w:val="001433BF"/>
    <w:rsid w:val="00143583"/>
    <w:rsid w:val="00143585"/>
    <w:rsid w:val="00143606"/>
    <w:rsid w:val="0014361C"/>
    <w:rsid w:val="00143688"/>
    <w:rsid w:val="0014371D"/>
    <w:rsid w:val="001437DF"/>
    <w:rsid w:val="0014383F"/>
    <w:rsid w:val="0014388C"/>
    <w:rsid w:val="001438FF"/>
    <w:rsid w:val="001439A2"/>
    <w:rsid w:val="001439E1"/>
    <w:rsid w:val="00143A13"/>
    <w:rsid w:val="00143A23"/>
    <w:rsid w:val="00143B23"/>
    <w:rsid w:val="00143B24"/>
    <w:rsid w:val="00143B3A"/>
    <w:rsid w:val="00143B4D"/>
    <w:rsid w:val="00143BD2"/>
    <w:rsid w:val="00143C3D"/>
    <w:rsid w:val="00143C4F"/>
    <w:rsid w:val="00143C86"/>
    <w:rsid w:val="00143CD0"/>
    <w:rsid w:val="00143CFE"/>
    <w:rsid w:val="00143D5B"/>
    <w:rsid w:val="00143DC5"/>
    <w:rsid w:val="00143E50"/>
    <w:rsid w:val="00143E79"/>
    <w:rsid w:val="00143E9F"/>
    <w:rsid w:val="00143EAD"/>
    <w:rsid w:val="00143EB8"/>
    <w:rsid w:val="00143F2F"/>
    <w:rsid w:val="00143F99"/>
    <w:rsid w:val="00143F9C"/>
    <w:rsid w:val="00143FCA"/>
    <w:rsid w:val="00143FD4"/>
    <w:rsid w:val="00143FDB"/>
    <w:rsid w:val="0014406B"/>
    <w:rsid w:val="00144080"/>
    <w:rsid w:val="001440AD"/>
    <w:rsid w:val="00144149"/>
    <w:rsid w:val="00144159"/>
    <w:rsid w:val="001441CB"/>
    <w:rsid w:val="0014421C"/>
    <w:rsid w:val="00144266"/>
    <w:rsid w:val="0014426A"/>
    <w:rsid w:val="00144371"/>
    <w:rsid w:val="0014437C"/>
    <w:rsid w:val="001443C6"/>
    <w:rsid w:val="001443DB"/>
    <w:rsid w:val="0014446C"/>
    <w:rsid w:val="001444D7"/>
    <w:rsid w:val="0014457A"/>
    <w:rsid w:val="001445FB"/>
    <w:rsid w:val="00144632"/>
    <w:rsid w:val="00144665"/>
    <w:rsid w:val="00144755"/>
    <w:rsid w:val="00144757"/>
    <w:rsid w:val="00144790"/>
    <w:rsid w:val="001447C2"/>
    <w:rsid w:val="001447C3"/>
    <w:rsid w:val="00144864"/>
    <w:rsid w:val="001448CD"/>
    <w:rsid w:val="00144922"/>
    <w:rsid w:val="0014496A"/>
    <w:rsid w:val="00144981"/>
    <w:rsid w:val="00144992"/>
    <w:rsid w:val="001449BE"/>
    <w:rsid w:val="00144A0D"/>
    <w:rsid w:val="00144AB4"/>
    <w:rsid w:val="00144B30"/>
    <w:rsid w:val="00144B72"/>
    <w:rsid w:val="00144C17"/>
    <w:rsid w:val="00144C43"/>
    <w:rsid w:val="00144D78"/>
    <w:rsid w:val="00144D9F"/>
    <w:rsid w:val="00144E10"/>
    <w:rsid w:val="00144E3B"/>
    <w:rsid w:val="00144F23"/>
    <w:rsid w:val="00144F30"/>
    <w:rsid w:val="00144F6A"/>
    <w:rsid w:val="00144FA7"/>
    <w:rsid w:val="00145043"/>
    <w:rsid w:val="001450D1"/>
    <w:rsid w:val="00145134"/>
    <w:rsid w:val="0014515F"/>
    <w:rsid w:val="0014516E"/>
    <w:rsid w:val="00145198"/>
    <w:rsid w:val="001451BA"/>
    <w:rsid w:val="00145231"/>
    <w:rsid w:val="00145251"/>
    <w:rsid w:val="0014527A"/>
    <w:rsid w:val="001452B4"/>
    <w:rsid w:val="001452B9"/>
    <w:rsid w:val="001452FE"/>
    <w:rsid w:val="0014530B"/>
    <w:rsid w:val="00145379"/>
    <w:rsid w:val="00145494"/>
    <w:rsid w:val="00145565"/>
    <w:rsid w:val="0014558D"/>
    <w:rsid w:val="001455C7"/>
    <w:rsid w:val="001455F9"/>
    <w:rsid w:val="001455FC"/>
    <w:rsid w:val="0014567E"/>
    <w:rsid w:val="0014568F"/>
    <w:rsid w:val="001456A0"/>
    <w:rsid w:val="001456A8"/>
    <w:rsid w:val="001456DB"/>
    <w:rsid w:val="001456E6"/>
    <w:rsid w:val="0014570A"/>
    <w:rsid w:val="0014572B"/>
    <w:rsid w:val="00145789"/>
    <w:rsid w:val="0014579E"/>
    <w:rsid w:val="001457CC"/>
    <w:rsid w:val="001457EA"/>
    <w:rsid w:val="0014580D"/>
    <w:rsid w:val="00145872"/>
    <w:rsid w:val="00145911"/>
    <w:rsid w:val="0014594A"/>
    <w:rsid w:val="00145966"/>
    <w:rsid w:val="0014599C"/>
    <w:rsid w:val="001459FA"/>
    <w:rsid w:val="00145A25"/>
    <w:rsid w:val="00145A2E"/>
    <w:rsid w:val="00145ACC"/>
    <w:rsid w:val="00145B99"/>
    <w:rsid w:val="00145BF9"/>
    <w:rsid w:val="00145C36"/>
    <w:rsid w:val="00145C3F"/>
    <w:rsid w:val="00145C56"/>
    <w:rsid w:val="00145C71"/>
    <w:rsid w:val="00145CD5"/>
    <w:rsid w:val="00145D12"/>
    <w:rsid w:val="00145D30"/>
    <w:rsid w:val="00145D64"/>
    <w:rsid w:val="00145D77"/>
    <w:rsid w:val="00145DE6"/>
    <w:rsid w:val="00145E0A"/>
    <w:rsid w:val="00145E15"/>
    <w:rsid w:val="00145E25"/>
    <w:rsid w:val="00145E2E"/>
    <w:rsid w:val="00145E6C"/>
    <w:rsid w:val="00145F2C"/>
    <w:rsid w:val="00145F85"/>
    <w:rsid w:val="00145FA4"/>
    <w:rsid w:val="00145FC1"/>
    <w:rsid w:val="00145FDE"/>
    <w:rsid w:val="00145FE1"/>
    <w:rsid w:val="00146077"/>
    <w:rsid w:val="001460CD"/>
    <w:rsid w:val="001460DD"/>
    <w:rsid w:val="00146194"/>
    <w:rsid w:val="001461D3"/>
    <w:rsid w:val="00146212"/>
    <w:rsid w:val="00146261"/>
    <w:rsid w:val="001462BE"/>
    <w:rsid w:val="001462DE"/>
    <w:rsid w:val="00146308"/>
    <w:rsid w:val="0014637B"/>
    <w:rsid w:val="001463D3"/>
    <w:rsid w:val="0014640D"/>
    <w:rsid w:val="00146416"/>
    <w:rsid w:val="00146449"/>
    <w:rsid w:val="0014658D"/>
    <w:rsid w:val="001465C2"/>
    <w:rsid w:val="001465DF"/>
    <w:rsid w:val="00146600"/>
    <w:rsid w:val="0014663B"/>
    <w:rsid w:val="00146659"/>
    <w:rsid w:val="0014666D"/>
    <w:rsid w:val="0014669E"/>
    <w:rsid w:val="001466AB"/>
    <w:rsid w:val="001466B2"/>
    <w:rsid w:val="001466DC"/>
    <w:rsid w:val="001466E7"/>
    <w:rsid w:val="0014686E"/>
    <w:rsid w:val="0014693B"/>
    <w:rsid w:val="001469EA"/>
    <w:rsid w:val="00146A1B"/>
    <w:rsid w:val="00146A29"/>
    <w:rsid w:val="00146A6A"/>
    <w:rsid w:val="00146A7E"/>
    <w:rsid w:val="00146ACF"/>
    <w:rsid w:val="00146AE5"/>
    <w:rsid w:val="00146B3B"/>
    <w:rsid w:val="00146B77"/>
    <w:rsid w:val="00146B7B"/>
    <w:rsid w:val="00146B8A"/>
    <w:rsid w:val="00146B9A"/>
    <w:rsid w:val="00146C1E"/>
    <w:rsid w:val="00146C53"/>
    <w:rsid w:val="00146CED"/>
    <w:rsid w:val="00146D67"/>
    <w:rsid w:val="00146DE5"/>
    <w:rsid w:val="00146DED"/>
    <w:rsid w:val="00146DF0"/>
    <w:rsid w:val="00146E79"/>
    <w:rsid w:val="00146EA0"/>
    <w:rsid w:val="00146EBA"/>
    <w:rsid w:val="00146ECE"/>
    <w:rsid w:val="00146EE1"/>
    <w:rsid w:val="00146F1D"/>
    <w:rsid w:val="00146F20"/>
    <w:rsid w:val="00146F37"/>
    <w:rsid w:val="00146F9B"/>
    <w:rsid w:val="00146FC1"/>
    <w:rsid w:val="00146FE0"/>
    <w:rsid w:val="00146FE5"/>
    <w:rsid w:val="0014702E"/>
    <w:rsid w:val="0014705A"/>
    <w:rsid w:val="00147066"/>
    <w:rsid w:val="001470BF"/>
    <w:rsid w:val="00147175"/>
    <w:rsid w:val="001471A9"/>
    <w:rsid w:val="001472C4"/>
    <w:rsid w:val="0014734E"/>
    <w:rsid w:val="00147386"/>
    <w:rsid w:val="001473DC"/>
    <w:rsid w:val="001473FE"/>
    <w:rsid w:val="00147415"/>
    <w:rsid w:val="0014742C"/>
    <w:rsid w:val="00147463"/>
    <w:rsid w:val="00147478"/>
    <w:rsid w:val="001474F6"/>
    <w:rsid w:val="00147542"/>
    <w:rsid w:val="00147617"/>
    <w:rsid w:val="00147647"/>
    <w:rsid w:val="0014765A"/>
    <w:rsid w:val="001476A5"/>
    <w:rsid w:val="001476ED"/>
    <w:rsid w:val="0014777D"/>
    <w:rsid w:val="00147781"/>
    <w:rsid w:val="001477EA"/>
    <w:rsid w:val="0014782F"/>
    <w:rsid w:val="00147868"/>
    <w:rsid w:val="001478A7"/>
    <w:rsid w:val="001478D5"/>
    <w:rsid w:val="0014791E"/>
    <w:rsid w:val="00147942"/>
    <w:rsid w:val="00147992"/>
    <w:rsid w:val="001479A2"/>
    <w:rsid w:val="00147A66"/>
    <w:rsid w:val="00147A76"/>
    <w:rsid w:val="00147A9D"/>
    <w:rsid w:val="00147A9E"/>
    <w:rsid w:val="00147AC1"/>
    <w:rsid w:val="00147B45"/>
    <w:rsid w:val="00147B4C"/>
    <w:rsid w:val="00147B7A"/>
    <w:rsid w:val="00147B8F"/>
    <w:rsid w:val="00147BB5"/>
    <w:rsid w:val="00147C18"/>
    <w:rsid w:val="00147C21"/>
    <w:rsid w:val="00147C4F"/>
    <w:rsid w:val="00147C75"/>
    <w:rsid w:val="00147CA6"/>
    <w:rsid w:val="00147D3B"/>
    <w:rsid w:val="00147D3D"/>
    <w:rsid w:val="00147E5B"/>
    <w:rsid w:val="00147E7F"/>
    <w:rsid w:val="00147E85"/>
    <w:rsid w:val="00147F13"/>
    <w:rsid w:val="00147FF5"/>
    <w:rsid w:val="00150091"/>
    <w:rsid w:val="00150097"/>
    <w:rsid w:val="001500B4"/>
    <w:rsid w:val="001501CC"/>
    <w:rsid w:val="001501D1"/>
    <w:rsid w:val="0015025A"/>
    <w:rsid w:val="0015027A"/>
    <w:rsid w:val="0015028B"/>
    <w:rsid w:val="00150311"/>
    <w:rsid w:val="00150315"/>
    <w:rsid w:val="00150339"/>
    <w:rsid w:val="00150347"/>
    <w:rsid w:val="00150397"/>
    <w:rsid w:val="001503AB"/>
    <w:rsid w:val="001503B8"/>
    <w:rsid w:val="00150437"/>
    <w:rsid w:val="00150476"/>
    <w:rsid w:val="001504DD"/>
    <w:rsid w:val="001504E5"/>
    <w:rsid w:val="00150506"/>
    <w:rsid w:val="00150517"/>
    <w:rsid w:val="001505C0"/>
    <w:rsid w:val="00150620"/>
    <w:rsid w:val="00150645"/>
    <w:rsid w:val="00150680"/>
    <w:rsid w:val="00150692"/>
    <w:rsid w:val="001506D3"/>
    <w:rsid w:val="001506DF"/>
    <w:rsid w:val="00150721"/>
    <w:rsid w:val="00150768"/>
    <w:rsid w:val="0015083E"/>
    <w:rsid w:val="00150968"/>
    <w:rsid w:val="0015097F"/>
    <w:rsid w:val="001509A9"/>
    <w:rsid w:val="001509FD"/>
    <w:rsid w:val="00150A59"/>
    <w:rsid w:val="00150A89"/>
    <w:rsid w:val="00150B4C"/>
    <w:rsid w:val="00150BD7"/>
    <w:rsid w:val="00150BD8"/>
    <w:rsid w:val="00150C10"/>
    <w:rsid w:val="00150C57"/>
    <w:rsid w:val="00150CA9"/>
    <w:rsid w:val="00150CC2"/>
    <w:rsid w:val="00150CDE"/>
    <w:rsid w:val="00150D84"/>
    <w:rsid w:val="00150DA6"/>
    <w:rsid w:val="00150E3A"/>
    <w:rsid w:val="00150EA9"/>
    <w:rsid w:val="00150EC1"/>
    <w:rsid w:val="00150ED1"/>
    <w:rsid w:val="00150EF1"/>
    <w:rsid w:val="00150F85"/>
    <w:rsid w:val="00150FD0"/>
    <w:rsid w:val="00151008"/>
    <w:rsid w:val="0015101D"/>
    <w:rsid w:val="00151070"/>
    <w:rsid w:val="001510C4"/>
    <w:rsid w:val="001511AA"/>
    <w:rsid w:val="0015121C"/>
    <w:rsid w:val="00151236"/>
    <w:rsid w:val="00151286"/>
    <w:rsid w:val="001512D5"/>
    <w:rsid w:val="001512E9"/>
    <w:rsid w:val="00151398"/>
    <w:rsid w:val="001513EC"/>
    <w:rsid w:val="0015153B"/>
    <w:rsid w:val="00151558"/>
    <w:rsid w:val="00151573"/>
    <w:rsid w:val="0015158B"/>
    <w:rsid w:val="00151609"/>
    <w:rsid w:val="0015160A"/>
    <w:rsid w:val="00151618"/>
    <w:rsid w:val="0015172E"/>
    <w:rsid w:val="001517AE"/>
    <w:rsid w:val="001517F2"/>
    <w:rsid w:val="00151803"/>
    <w:rsid w:val="0015183E"/>
    <w:rsid w:val="0015188D"/>
    <w:rsid w:val="001518D0"/>
    <w:rsid w:val="00151954"/>
    <w:rsid w:val="00151957"/>
    <w:rsid w:val="00151963"/>
    <w:rsid w:val="001519A2"/>
    <w:rsid w:val="001519A6"/>
    <w:rsid w:val="001519D5"/>
    <w:rsid w:val="001519E5"/>
    <w:rsid w:val="00151A15"/>
    <w:rsid w:val="00151A2D"/>
    <w:rsid w:val="00151A40"/>
    <w:rsid w:val="00151A4A"/>
    <w:rsid w:val="00151ACD"/>
    <w:rsid w:val="00151AEE"/>
    <w:rsid w:val="00151B5F"/>
    <w:rsid w:val="00151BEF"/>
    <w:rsid w:val="00151C22"/>
    <w:rsid w:val="00151C9D"/>
    <w:rsid w:val="00151CCB"/>
    <w:rsid w:val="00151D15"/>
    <w:rsid w:val="00151DDD"/>
    <w:rsid w:val="00151E89"/>
    <w:rsid w:val="00151F03"/>
    <w:rsid w:val="00151FAA"/>
    <w:rsid w:val="00151FB3"/>
    <w:rsid w:val="00151FB7"/>
    <w:rsid w:val="00152028"/>
    <w:rsid w:val="0015213A"/>
    <w:rsid w:val="001521B5"/>
    <w:rsid w:val="0015221E"/>
    <w:rsid w:val="0015224B"/>
    <w:rsid w:val="0015224C"/>
    <w:rsid w:val="00152307"/>
    <w:rsid w:val="00152308"/>
    <w:rsid w:val="00152348"/>
    <w:rsid w:val="0015236E"/>
    <w:rsid w:val="001523D9"/>
    <w:rsid w:val="00152441"/>
    <w:rsid w:val="0015246C"/>
    <w:rsid w:val="00152486"/>
    <w:rsid w:val="0015248F"/>
    <w:rsid w:val="001524FC"/>
    <w:rsid w:val="00152599"/>
    <w:rsid w:val="001525DE"/>
    <w:rsid w:val="001525EF"/>
    <w:rsid w:val="00152603"/>
    <w:rsid w:val="0015261B"/>
    <w:rsid w:val="00152635"/>
    <w:rsid w:val="00152671"/>
    <w:rsid w:val="00152675"/>
    <w:rsid w:val="00152695"/>
    <w:rsid w:val="001526CF"/>
    <w:rsid w:val="0015272E"/>
    <w:rsid w:val="00152763"/>
    <w:rsid w:val="001527A0"/>
    <w:rsid w:val="001527B3"/>
    <w:rsid w:val="001527CB"/>
    <w:rsid w:val="00152882"/>
    <w:rsid w:val="00152885"/>
    <w:rsid w:val="0015289C"/>
    <w:rsid w:val="001528D3"/>
    <w:rsid w:val="00152909"/>
    <w:rsid w:val="00152930"/>
    <w:rsid w:val="00152938"/>
    <w:rsid w:val="0015293B"/>
    <w:rsid w:val="0015296C"/>
    <w:rsid w:val="00152976"/>
    <w:rsid w:val="00152979"/>
    <w:rsid w:val="001529DC"/>
    <w:rsid w:val="00152A5D"/>
    <w:rsid w:val="00152AA3"/>
    <w:rsid w:val="00152AC5"/>
    <w:rsid w:val="00152ACF"/>
    <w:rsid w:val="00152AD1"/>
    <w:rsid w:val="00152ADC"/>
    <w:rsid w:val="00152B3A"/>
    <w:rsid w:val="00152B3B"/>
    <w:rsid w:val="00152B41"/>
    <w:rsid w:val="00152B58"/>
    <w:rsid w:val="00152B71"/>
    <w:rsid w:val="00152B89"/>
    <w:rsid w:val="00152BB8"/>
    <w:rsid w:val="00152CA2"/>
    <w:rsid w:val="00152CCA"/>
    <w:rsid w:val="00152CEF"/>
    <w:rsid w:val="00152D0D"/>
    <w:rsid w:val="00152D10"/>
    <w:rsid w:val="00152D2E"/>
    <w:rsid w:val="00152D9C"/>
    <w:rsid w:val="00152DB2"/>
    <w:rsid w:val="00152E31"/>
    <w:rsid w:val="00152E3A"/>
    <w:rsid w:val="00152E3D"/>
    <w:rsid w:val="00152E57"/>
    <w:rsid w:val="00152ED5"/>
    <w:rsid w:val="00152F24"/>
    <w:rsid w:val="00152F79"/>
    <w:rsid w:val="00152F87"/>
    <w:rsid w:val="00152FA0"/>
    <w:rsid w:val="00152FE6"/>
    <w:rsid w:val="0015303B"/>
    <w:rsid w:val="00153068"/>
    <w:rsid w:val="0015311B"/>
    <w:rsid w:val="00153283"/>
    <w:rsid w:val="001532A7"/>
    <w:rsid w:val="001532BD"/>
    <w:rsid w:val="001532F6"/>
    <w:rsid w:val="00153331"/>
    <w:rsid w:val="00153344"/>
    <w:rsid w:val="001533D8"/>
    <w:rsid w:val="001533E9"/>
    <w:rsid w:val="001534C7"/>
    <w:rsid w:val="0015353F"/>
    <w:rsid w:val="00153558"/>
    <w:rsid w:val="001535D1"/>
    <w:rsid w:val="001535F4"/>
    <w:rsid w:val="00153622"/>
    <w:rsid w:val="0015363A"/>
    <w:rsid w:val="0015363B"/>
    <w:rsid w:val="00153648"/>
    <w:rsid w:val="001536B7"/>
    <w:rsid w:val="00153740"/>
    <w:rsid w:val="00153744"/>
    <w:rsid w:val="0015374C"/>
    <w:rsid w:val="0015374D"/>
    <w:rsid w:val="00153799"/>
    <w:rsid w:val="0015383B"/>
    <w:rsid w:val="001538D0"/>
    <w:rsid w:val="001538EF"/>
    <w:rsid w:val="001538F7"/>
    <w:rsid w:val="00153910"/>
    <w:rsid w:val="0015393B"/>
    <w:rsid w:val="0015395B"/>
    <w:rsid w:val="001539A6"/>
    <w:rsid w:val="001539B9"/>
    <w:rsid w:val="00153A17"/>
    <w:rsid w:val="00153A30"/>
    <w:rsid w:val="00153ABB"/>
    <w:rsid w:val="00153B33"/>
    <w:rsid w:val="00153B3E"/>
    <w:rsid w:val="00153B44"/>
    <w:rsid w:val="00153C8C"/>
    <w:rsid w:val="00153D01"/>
    <w:rsid w:val="00153D64"/>
    <w:rsid w:val="00153E2F"/>
    <w:rsid w:val="00153EAC"/>
    <w:rsid w:val="00153F55"/>
    <w:rsid w:val="00153F5D"/>
    <w:rsid w:val="00153F65"/>
    <w:rsid w:val="00153FE9"/>
    <w:rsid w:val="0015401E"/>
    <w:rsid w:val="00154041"/>
    <w:rsid w:val="0015409B"/>
    <w:rsid w:val="001540AE"/>
    <w:rsid w:val="001540C4"/>
    <w:rsid w:val="00154103"/>
    <w:rsid w:val="00154116"/>
    <w:rsid w:val="00154117"/>
    <w:rsid w:val="00154144"/>
    <w:rsid w:val="00154178"/>
    <w:rsid w:val="001541D3"/>
    <w:rsid w:val="001541E3"/>
    <w:rsid w:val="001541FA"/>
    <w:rsid w:val="00154215"/>
    <w:rsid w:val="00154225"/>
    <w:rsid w:val="0015422E"/>
    <w:rsid w:val="00154250"/>
    <w:rsid w:val="001542BD"/>
    <w:rsid w:val="001542C7"/>
    <w:rsid w:val="00154306"/>
    <w:rsid w:val="0015432C"/>
    <w:rsid w:val="00154443"/>
    <w:rsid w:val="001544A6"/>
    <w:rsid w:val="001544B6"/>
    <w:rsid w:val="001544C3"/>
    <w:rsid w:val="001544F1"/>
    <w:rsid w:val="001544F5"/>
    <w:rsid w:val="001544FD"/>
    <w:rsid w:val="0015452F"/>
    <w:rsid w:val="001545D9"/>
    <w:rsid w:val="0015463D"/>
    <w:rsid w:val="00154641"/>
    <w:rsid w:val="00154668"/>
    <w:rsid w:val="001546C4"/>
    <w:rsid w:val="00154779"/>
    <w:rsid w:val="001547DC"/>
    <w:rsid w:val="00154827"/>
    <w:rsid w:val="0015492F"/>
    <w:rsid w:val="001549EB"/>
    <w:rsid w:val="00154B33"/>
    <w:rsid w:val="00154B3E"/>
    <w:rsid w:val="00154B4F"/>
    <w:rsid w:val="00154BD7"/>
    <w:rsid w:val="00154C17"/>
    <w:rsid w:val="00154C4C"/>
    <w:rsid w:val="00154C5A"/>
    <w:rsid w:val="00154C7F"/>
    <w:rsid w:val="00154CBC"/>
    <w:rsid w:val="00154D38"/>
    <w:rsid w:val="00154D6A"/>
    <w:rsid w:val="00154D7C"/>
    <w:rsid w:val="00154DDE"/>
    <w:rsid w:val="00154DF3"/>
    <w:rsid w:val="00154E11"/>
    <w:rsid w:val="00154E20"/>
    <w:rsid w:val="00154E22"/>
    <w:rsid w:val="00154E6D"/>
    <w:rsid w:val="00154F32"/>
    <w:rsid w:val="00154F8D"/>
    <w:rsid w:val="00154FB9"/>
    <w:rsid w:val="00155021"/>
    <w:rsid w:val="00155030"/>
    <w:rsid w:val="00155039"/>
    <w:rsid w:val="001550C7"/>
    <w:rsid w:val="001550E5"/>
    <w:rsid w:val="001551AD"/>
    <w:rsid w:val="0015520A"/>
    <w:rsid w:val="001552FB"/>
    <w:rsid w:val="0015537B"/>
    <w:rsid w:val="001553C0"/>
    <w:rsid w:val="001553CE"/>
    <w:rsid w:val="0015543A"/>
    <w:rsid w:val="0015543C"/>
    <w:rsid w:val="0015546C"/>
    <w:rsid w:val="001554CD"/>
    <w:rsid w:val="0015556A"/>
    <w:rsid w:val="001555BF"/>
    <w:rsid w:val="001555C4"/>
    <w:rsid w:val="001555F1"/>
    <w:rsid w:val="001557C7"/>
    <w:rsid w:val="001557E0"/>
    <w:rsid w:val="00155829"/>
    <w:rsid w:val="00155859"/>
    <w:rsid w:val="00155869"/>
    <w:rsid w:val="001558DB"/>
    <w:rsid w:val="00155959"/>
    <w:rsid w:val="001559A8"/>
    <w:rsid w:val="001559F2"/>
    <w:rsid w:val="00155AA9"/>
    <w:rsid w:val="00155AB4"/>
    <w:rsid w:val="00155AB8"/>
    <w:rsid w:val="00155AF4"/>
    <w:rsid w:val="00155B33"/>
    <w:rsid w:val="00155B62"/>
    <w:rsid w:val="00155B90"/>
    <w:rsid w:val="00155B9E"/>
    <w:rsid w:val="00155BAE"/>
    <w:rsid w:val="00155BEB"/>
    <w:rsid w:val="00155BF8"/>
    <w:rsid w:val="00155C62"/>
    <w:rsid w:val="00155C6E"/>
    <w:rsid w:val="00155CA1"/>
    <w:rsid w:val="00155D11"/>
    <w:rsid w:val="00155DD7"/>
    <w:rsid w:val="00155E7A"/>
    <w:rsid w:val="00155F14"/>
    <w:rsid w:val="00155F50"/>
    <w:rsid w:val="00155F5E"/>
    <w:rsid w:val="00155F5F"/>
    <w:rsid w:val="00156054"/>
    <w:rsid w:val="0015607E"/>
    <w:rsid w:val="001560EA"/>
    <w:rsid w:val="0015610B"/>
    <w:rsid w:val="00156169"/>
    <w:rsid w:val="0015617B"/>
    <w:rsid w:val="00156192"/>
    <w:rsid w:val="001561B2"/>
    <w:rsid w:val="001561CE"/>
    <w:rsid w:val="001561E0"/>
    <w:rsid w:val="0015623C"/>
    <w:rsid w:val="001562B1"/>
    <w:rsid w:val="001562F0"/>
    <w:rsid w:val="0015632D"/>
    <w:rsid w:val="0015637C"/>
    <w:rsid w:val="00156390"/>
    <w:rsid w:val="0015640A"/>
    <w:rsid w:val="00156434"/>
    <w:rsid w:val="00156478"/>
    <w:rsid w:val="00156499"/>
    <w:rsid w:val="001564E5"/>
    <w:rsid w:val="0015650B"/>
    <w:rsid w:val="0015652A"/>
    <w:rsid w:val="001565B4"/>
    <w:rsid w:val="001565F1"/>
    <w:rsid w:val="00156600"/>
    <w:rsid w:val="00156674"/>
    <w:rsid w:val="00156699"/>
    <w:rsid w:val="00156778"/>
    <w:rsid w:val="0015677D"/>
    <w:rsid w:val="001567A1"/>
    <w:rsid w:val="001567E3"/>
    <w:rsid w:val="00156812"/>
    <w:rsid w:val="0015688F"/>
    <w:rsid w:val="00156940"/>
    <w:rsid w:val="001569F1"/>
    <w:rsid w:val="00156A01"/>
    <w:rsid w:val="00156A8D"/>
    <w:rsid w:val="00156A92"/>
    <w:rsid w:val="00156B4D"/>
    <w:rsid w:val="00156BB3"/>
    <w:rsid w:val="00156BEE"/>
    <w:rsid w:val="00156C4E"/>
    <w:rsid w:val="00156D6B"/>
    <w:rsid w:val="00156D9A"/>
    <w:rsid w:val="00156DE7"/>
    <w:rsid w:val="00156E2E"/>
    <w:rsid w:val="00156E50"/>
    <w:rsid w:val="00156E60"/>
    <w:rsid w:val="00156E95"/>
    <w:rsid w:val="00156EB5"/>
    <w:rsid w:val="00156F30"/>
    <w:rsid w:val="00157025"/>
    <w:rsid w:val="001570C7"/>
    <w:rsid w:val="001570E0"/>
    <w:rsid w:val="001570EB"/>
    <w:rsid w:val="00157116"/>
    <w:rsid w:val="00157124"/>
    <w:rsid w:val="00157133"/>
    <w:rsid w:val="00157182"/>
    <w:rsid w:val="001571C5"/>
    <w:rsid w:val="001571D6"/>
    <w:rsid w:val="00157263"/>
    <w:rsid w:val="0015727D"/>
    <w:rsid w:val="001572AE"/>
    <w:rsid w:val="001572AF"/>
    <w:rsid w:val="001572E2"/>
    <w:rsid w:val="00157307"/>
    <w:rsid w:val="0015738D"/>
    <w:rsid w:val="001575A8"/>
    <w:rsid w:val="0015761A"/>
    <w:rsid w:val="001576E0"/>
    <w:rsid w:val="001577D7"/>
    <w:rsid w:val="0015781C"/>
    <w:rsid w:val="0015785B"/>
    <w:rsid w:val="00157895"/>
    <w:rsid w:val="001578CD"/>
    <w:rsid w:val="001578EE"/>
    <w:rsid w:val="00157930"/>
    <w:rsid w:val="00157976"/>
    <w:rsid w:val="00157978"/>
    <w:rsid w:val="001579B2"/>
    <w:rsid w:val="001579B7"/>
    <w:rsid w:val="00157AD2"/>
    <w:rsid w:val="00157B06"/>
    <w:rsid w:val="00157B94"/>
    <w:rsid w:val="00157B9B"/>
    <w:rsid w:val="00157BCD"/>
    <w:rsid w:val="00157BDD"/>
    <w:rsid w:val="00157BFE"/>
    <w:rsid w:val="00157C4A"/>
    <w:rsid w:val="00157C4D"/>
    <w:rsid w:val="00157CAE"/>
    <w:rsid w:val="00157CEE"/>
    <w:rsid w:val="00157D76"/>
    <w:rsid w:val="00157DA2"/>
    <w:rsid w:val="00157DC3"/>
    <w:rsid w:val="00157DFB"/>
    <w:rsid w:val="00157E26"/>
    <w:rsid w:val="00157E89"/>
    <w:rsid w:val="00157E8C"/>
    <w:rsid w:val="00157EA3"/>
    <w:rsid w:val="00157EEB"/>
    <w:rsid w:val="00157F8E"/>
    <w:rsid w:val="001600E5"/>
    <w:rsid w:val="001600EF"/>
    <w:rsid w:val="00160121"/>
    <w:rsid w:val="0016015A"/>
    <w:rsid w:val="0016018B"/>
    <w:rsid w:val="0016020D"/>
    <w:rsid w:val="00160229"/>
    <w:rsid w:val="0016029A"/>
    <w:rsid w:val="001602D9"/>
    <w:rsid w:val="001603A4"/>
    <w:rsid w:val="001604B4"/>
    <w:rsid w:val="00160514"/>
    <w:rsid w:val="00160552"/>
    <w:rsid w:val="0016056D"/>
    <w:rsid w:val="00160570"/>
    <w:rsid w:val="00160648"/>
    <w:rsid w:val="00160649"/>
    <w:rsid w:val="0016069A"/>
    <w:rsid w:val="001606FC"/>
    <w:rsid w:val="00160729"/>
    <w:rsid w:val="00160795"/>
    <w:rsid w:val="0016086E"/>
    <w:rsid w:val="001608E9"/>
    <w:rsid w:val="00160931"/>
    <w:rsid w:val="0016093C"/>
    <w:rsid w:val="00160941"/>
    <w:rsid w:val="001609B7"/>
    <w:rsid w:val="001609FA"/>
    <w:rsid w:val="00160AF7"/>
    <w:rsid w:val="00160B30"/>
    <w:rsid w:val="00160BB6"/>
    <w:rsid w:val="00160BDD"/>
    <w:rsid w:val="00160C4E"/>
    <w:rsid w:val="00160CA3"/>
    <w:rsid w:val="00160CC2"/>
    <w:rsid w:val="00160CDC"/>
    <w:rsid w:val="00160CEF"/>
    <w:rsid w:val="00160CF6"/>
    <w:rsid w:val="00160D1E"/>
    <w:rsid w:val="00160D6E"/>
    <w:rsid w:val="00160DA5"/>
    <w:rsid w:val="00160DBF"/>
    <w:rsid w:val="00160E17"/>
    <w:rsid w:val="00160EBB"/>
    <w:rsid w:val="00160F08"/>
    <w:rsid w:val="00160F11"/>
    <w:rsid w:val="00160F1D"/>
    <w:rsid w:val="00160F26"/>
    <w:rsid w:val="00160F37"/>
    <w:rsid w:val="001610AB"/>
    <w:rsid w:val="00161162"/>
    <w:rsid w:val="001611CB"/>
    <w:rsid w:val="001611DE"/>
    <w:rsid w:val="001611FB"/>
    <w:rsid w:val="001612E5"/>
    <w:rsid w:val="001612EE"/>
    <w:rsid w:val="00161308"/>
    <w:rsid w:val="00161386"/>
    <w:rsid w:val="00161392"/>
    <w:rsid w:val="001613EF"/>
    <w:rsid w:val="0016144C"/>
    <w:rsid w:val="0016145D"/>
    <w:rsid w:val="001614E4"/>
    <w:rsid w:val="001614E7"/>
    <w:rsid w:val="0016152F"/>
    <w:rsid w:val="001615BC"/>
    <w:rsid w:val="00161631"/>
    <w:rsid w:val="0016165F"/>
    <w:rsid w:val="001616E5"/>
    <w:rsid w:val="001616F6"/>
    <w:rsid w:val="00161752"/>
    <w:rsid w:val="00161764"/>
    <w:rsid w:val="0016178C"/>
    <w:rsid w:val="001617DC"/>
    <w:rsid w:val="00161832"/>
    <w:rsid w:val="0016185F"/>
    <w:rsid w:val="00161865"/>
    <w:rsid w:val="001618AB"/>
    <w:rsid w:val="00161917"/>
    <w:rsid w:val="00161972"/>
    <w:rsid w:val="00161979"/>
    <w:rsid w:val="00161A02"/>
    <w:rsid w:val="00161A7E"/>
    <w:rsid w:val="00161A90"/>
    <w:rsid w:val="00161A99"/>
    <w:rsid w:val="00161B09"/>
    <w:rsid w:val="00161B52"/>
    <w:rsid w:val="00161BC5"/>
    <w:rsid w:val="00161BD8"/>
    <w:rsid w:val="00161C44"/>
    <w:rsid w:val="00161C5A"/>
    <w:rsid w:val="00161C65"/>
    <w:rsid w:val="00161D2F"/>
    <w:rsid w:val="00161D46"/>
    <w:rsid w:val="00161D81"/>
    <w:rsid w:val="00161D95"/>
    <w:rsid w:val="00161DE7"/>
    <w:rsid w:val="00161E3D"/>
    <w:rsid w:val="00161ED2"/>
    <w:rsid w:val="00161F08"/>
    <w:rsid w:val="00161F17"/>
    <w:rsid w:val="00161F38"/>
    <w:rsid w:val="00161F9B"/>
    <w:rsid w:val="00161FDF"/>
    <w:rsid w:val="00161FE6"/>
    <w:rsid w:val="00162022"/>
    <w:rsid w:val="001620BB"/>
    <w:rsid w:val="001620DB"/>
    <w:rsid w:val="001620FD"/>
    <w:rsid w:val="0016211F"/>
    <w:rsid w:val="00162149"/>
    <w:rsid w:val="001621B9"/>
    <w:rsid w:val="001621D7"/>
    <w:rsid w:val="00162214"/>
    <w:rsid w:val="001622BA"/>
    <w:rsid w:val="001622ED"/>
    <w:rsid w:val="0016235B"/>
    <w:rsid w:val="001623ED"/>
    <w:rsid w:val="0016244F"/>
    <w:rsid w:val="00162450"/>
    <w:rsid w:val="001624AA"/>
    <w:rsid w:val="001624C2"/>
    <w:rsid w:val="00162501"/>
    <w:rsid w:val="00162543"/>
    <w:rsid w:val="00162563"/>
    <w:rsid w:val="00162565"/>
    <w:rsid w:val="00162598"/>
    <w:rsid w:val="001625A6"/>
    <w:rsid w:val="0016263F"/>
    <w:rsid w:val="00162646"/>
    <w:rsid w:val="0016267A"/>
    <w:rsid w:val="001626BE"/>
    <w:rsid w:val="0016275B"/>
    <w:rsid w:val="0016281F"/>
    <w:rsid w:val="00162896"/>
    <w:rsid w:val="001628DB"/>
    <w:rsid w:val="00162913"/>
    <w:rsid w:val="0016295F"/>
    <w:rsid w:val="00162983"/>
    <w:rsid w:val="001629A6"/>
    <w:rsid w:val="001629CC"/>
    <w:rsid w:val="001629D3"/>
    <w:rsid w:val="001629F5"/>
    <w:rsid w:val="00162A50"/>
    <w:rsid w:val="00162B11"/>
    <w:rsid w:val="00162BD4"/>
    <w:rsid w:val="00162C4C"/>
    <w:rsid w:val="00162C83"/>
    <w:rsid w:val="00162CAE"/>
    <w:rsid w:val="00162D43"/>
    <w:rsid w:val="00162D6E"/>
    <w:rsid w:val="00162D8E"/>
    <w:rsid w:val="00162DA8"/>
    <w:rsid w:val="00162DC9"/>
    <w:rsid w:val="00162DFD"/>
    <w:rsid w:val="00162E79"/>
    <w:rsid w:val="00162E7E"/>
    <w:rsid w:val="00162EBF"/>
    <w:rsid w:val="00162ED6"/>
    <w:rsid w:val="00162F18"/>
    <w:rsid w:val="00162F1D"/>
    <w:rsid w:val="00162F27"/>
    <w:rsid w:val="00162F9D"/>
    <w:rsid w:val="00162FB8"/>
    <w:rsid w:val="00162FEB"/>
    <w:rsid w:val="00163025"/>
    <w:rsid w:val="0016306D"/>
    <w:rsid w:val="001630A1"/>
    <w:rsid w:val="00163130"/>
    <w:rsid w:val="00163167"/>
    <w:rsid w:val="0016319C"/>
    <w:rsid w:val="001631B5"/>
    <w:rsid w:val="001631C7"/>
    <w:rsid w:val="00163262"/>
    <w:rsid w:val="0016326E"/>
    <w:rsid w:val="001632D4"/>
    <w:rsid w:val="00163323"/>
    <w:rsid w:val="0016337A"/>
    <w:rsid w:val="001634A1"/>
    <w:rsid w:val="001634E2"/>
    <w:rsid w:val="00163506"/>
    <w:rsid w:val="001635A6"/>
    <w:rsid w:val="00163648"/>
    <w:rsid w:val="00163661"/>
    <w:rsid w:val="001636BB"/>
    <w:rsid w:val="00163707"/>
    <w:rsid w:val="0016374E"/>
    <w:rsid w:val="00163787"/>
    <w:rsid w:val="0016380A"/>
    <w:rsid w:val="0016389B"/>
    <w:rsid w:val="001638D5"/>
    <w:rsid w:val="001638DF"/>
    <w:rsid w:val="00163909"/>
    <w:rsid w:val="00163925"/>
    <w:rsid w:val="0016395C"/>
    <w:rsid w:val="0016398A"/>
    <w:rsid w:val="001639BB"/>
    <w:rsid w:val="001639E1"/>
    <w:rsid w:val="001639F2"/>
    <w:rsid w:val="001639F4"/>
    <w:rsid w:val="00163A85"/>
    <w:rsid w:val="00163A97"/>
    <w:rsid w:val="00163B18"/>
    <w:rsid w:val="00163B59"/>
    <w:rsid w:val="00163B72"/>
    <w:rsid w:val="00163B92"/>
    <w:rsid w:val="00163C7D"/>
    <w:rsid w:val="00163CD2"/>
    <w:rsid w:val="00163CDD"/>
    <w:rsid w:val="00163D22"/>
    <w:rsid w:val="00163DCA"/>
    <w:rsid w:val="00163DCC"/>
    <w:rsid w:val="00163E74"/>
    <w:rsid w:val="00163F4F"/>
    <w:rsid w:val="00163FFB"/>
    <w:rsid w:val="00164032"/>
    <w:rsid w:val="00164098"/>
    <w:rsid w:val="001640D0"/>
    <w:rsid w:val="001640F6"/>
    <w:rsid w:val="0016410B"/>
    <w:rsid w:val="00164123"/>
    <w:rsid w:val="0016421B"/>
    <w:rsid w:val="0016422C"/>
    <w:rsid w:val="0016426A"/>
    <w:rsid w:val="001642E7"/>
    <w:rsid w:val="001642FA"/>
    <w:rsid w:val="0016434F"/>
    <w:rsid w:val="001643C0"/>
    <w:rsid w:val="001643C5"/>
    <w:rsid w:val="001644BF"/>
    <w:rsid w:val="001644E5"/>
    <w:rsid w:val="00164508"/>
    <w:rsid w:val="00164561"/>
    <w:rsid w:val="00164567"/>
    <w:rsid w:val="00164583"/>
    <w:rsid w:val="0016459F"/>
    <w:rsid w:val="00164674"/>
    <w:rsid w:val="00164679"/>
    <w:rsid w:val="001646C7"/>
    <w:rsid w:val="001646D7"/>
    <w:rsid w:val="001646FC"/>
    <w:rsid w:val="0016476F"/>
    <w:rsid w:val="00164785"/>
    <w:rsid w:val="00164788"/>
    <w:rsid w:val="001647CB"/>
    <w:rsid w:val="00164870"/>
    <w:rsid w:val="001648A1"/>
    <w:rsid w:val="001648C3"/>
    <w:rsid w:val="001648D2"/>
    <w:rsid w:val="001649A9"/>
    <w:rsid w:val="001649B0"/>
    <w:rsid w:val="001649D4"/>
    <w:rsid w:val="00164A88"/>
    <w:rsid w:val="00164AC5"/>
    <w:rsid w:val="00164AD5"/>
    <w:rsid w:val="00164AE3"/>
    <w:rsid w:val="00164AF7"/>
    <w:rsid w:val="00164B51"/>
    <w:rsid w:val="00164BB0"/>
    <w:rsid w:val="00164C0B"/>
    <w:rsid w:val="00164C64"/>
    <w:rsid w:val="00164C71"/>
    <w:rsid w:val="00164D09"/>
    <w:rsid w:val="00164D27"/>
    <w:rsid w:val="00164D6E"/>
    <w:rsid w:val="00164D7E"/>
    <w:rsid w:val="00164DBA"/>
    <w:rsid w:val="00164E2D"/>
    <w:rsid w:val="00164E92"/>
    <w:rsid w:val="00164E9D"/>
    <w:rsid w:val="00164F19"/>
    <w:rsid w:val="00164F28"/>
    <w:rsid w:val="00164F2E"/>
    <w:rsid w:val="00164F62"/>
    <w:rsid w:val="00164FAE"/>
    <w:rsid w:val="00165028"/>
    <w:rsid w:val="0016502D"/>
    <w:rsid w:val="00165059"/>
    <w:rsid w:val="00165092"/>
    <w:rsid w:val="001650DE"/>
    <w:rsid w:val="001650EA"/>
    <w:rsid w:val="001651A6"/>
    <w:rsid w:val="001652A3"/>
    <w:rsid w:val="001652D2"/>
    <w:rsid w:val="00165307"/>
    <w:rsid w:val="00165336"/>
    <w:rsid w:val="001653A9"/>
    <w:rsid w:val="001653B8"/>
    <w:rsid w:val="001653CE"/>
    <w:rsid w:val="001653EF"/>
    <w:rsid w:val="001653FC"/>
    <w:rsid w:val="0016544F"/>
    <w:rsid w:val="001654BE"/>
    <w:rsid w:val="001654CB"/>
    <w:rsid w:val="001654DA"/>
    <w:rsid w:val="00165515"/>
    <w:rsid w:val="001655C9"/>
    <w:rsid w:val="001655D7"/>
    <w:rsid w:val="00165612"/>
    <w:rsid w:val="00165632"/>
    <w:rsid w:val="00165678"/>
    <w:rsid w:val="00165716"/>
    <w:rsid w:val="00165786"/>
    <w:rsid w:val="00165836"/>
    <w:rsid w:val="00165887"/>
    <w:rsid w:val="00165992"/>
    <w:rsid w:val="00165A03"/>
    <w:rsid w:val="00165A3D"/>
    <w:rsid w:val="00165A64"/>
    <w:rsid w:val="00165B09"/>
    <w:rsid w:val="00165C6A"/>
    <w:rsid w:val="00165C96"/>
    <w:rsid w:val="00165CC4"/>
    <w:rsid w:val="00165D3C"/>
    <w:rsid w:val="00165D59"/>
    <w:rsid w:val="00165D82"/>
    <w:rsid w:val="00165D83"/>
    <w:rsid w:val="00165E4D"/>
    <w:rsid w:val="00165E6E"/>
    <w:rsid w:val="00165F20"/>
    <w:rsid w:val="00166044"/>
    <w:rsid w:val="001660AE"/>
    <w:rsid w:val="001660E8"/>
    <w:rsid w:val="00166178"/>
    <w:rsid w:val="00166180"/>
    <w:rsid w:val="00166196"/>
    <w:rsid w:val="001661E2"/>
    <w:rsid w:val="0016623A"/>
    <w:rsid w:val="0016627A"/>
    <w:rsid w:val="00166344"/>
    <w:rsid w:val="00166366"/>
    <w:rsid w:val="00166369"/>
    <w:rsid w:val="00166544"/>
    <w:rsid w:val="00166556"/>
    <w:rsid w:val="0016658E"/>
    <w:rsid w:val="0016667F"/>
    <w:rsid w:val="001666D7"/>
    <w:rsid w:val="00166760"/>
    <w:rsid w:val="00166789"/>
    <w:rsid w:val="001667A0"/>
    <w:rsid w:val="001667B1"/>
    <w:rsid w:val="001668F7"/>
    <w:rsid w:val="00166952"/>
    <w:rsid w:val="0016695E"/>
    <w:rsid w:val="00166964"/>
    <w:rsid w:val="00166987"/>
    <w:rsid w:val="00166ABC"/>
    <w:rsid w:val="00166ACB"/>
    <w:rsid w:val="00166AF8"/>
    <w:rsid w:val="00166B28"/>
    <w:rsid w:val="00166B58"/>
    <w:rsid w:val="00166B73"/>
    <w:rsid w:val="00166BB5"/>
    <w:rsid w:val="00166BBA"/>
    <w:rsid w:val="00166BF4"/>
    <w:rsid w:val="00166C00"/>
    <w:rsid w:val="00166C4D"/>
    <w:rsid w:val="00166C92"/>
    <w:rsid w:val="00166D2E"/>
    <w:rsid w:val="00166D69"/>
    <w:rsid w:val="00166E44"/>
    <w:rsid w:val="00166E73"/>
    <w:rsid w:val="00166E76"/>
    <w:rsid w:val="00166EBF"/>
    <w:rsid w:val="00166ED2"/>
    <w:rsid w:val="00166F04"/>
    <w:rsid w:val="00166F08"/>
    <w:rsid w:val="00166F15"/>
    <w:rsid w:val="00166F9D"/>
    <w:rsid w:val="00167096"/>
    <w:rsid w:val="001670C9"/>
    <w:rsid w:val="0016715D"/>
    <w:rsid w:val="0016718D"/>
    <w:rsid w:val="001671E3"/>
    <w:rsid w:val="00167256"/>
    <w:rsid w:val="00167277"/>
    <w:rsid w:val="001672FA"/>
    <w:rsid w:val="0016735C"/>
    <w:rsid w:val="001673AB"/>
    <w:rsid w:val="00167438"/>
    <w:rsid w:val="0016747E"/>
    <w:rsid w:val="0016755F"/>
    <w:rsid w:val="00167565"/>
    <w:rsid w:val="001675BC"/>
    <w:rsid w:val="001675F9"/>
    <w:rsid w:val="00167651"/>
    <w:rsid w:val="00167689"/>
    <w:rsid w:val="00167699"/>
    <w:rsid w:val="001676BA"/>
    <w:rsid w:val="001676DF"/>
    <w:rsid w:val="001676E3"/>
    <w:rsid w:val="00167787"/>
    <w:rsid w:val="001677DD"/>
    <w:rsid w:val="001677FC"/>
    <w:rsid w:val="00167814"/>
    <w:rsid w:val="00167847"/>
    <w:rsid w:val="00167896"/>
    <w:rsid w:val="001678AC"/>
    <w:rsid w:val="00167924"/>
    <w:rsid w:val="00167974"/>
    <w:rsid w:val="00167987"/>
    <w:rsid w:val="001679CF"/>
    <w:rsid w:val="00167A13"/>
    <w:rsid w:val="00167A1E"/>
    <w:rsid w:val="00167A6F"/>
    <w:rsid w:val="00167A96"/>
    <w:rsid w:val="00167AD2"/>
    <w:rsid w:val="00167AD6"/>
    <w:rsid w:val="00167B1E"/>
    <w:rsid w:val="00167B5A"/>
    <w:rsid w:val="00167B63"/>
    <w:rsid w:val="00167B73"/>
    <w:rsid w:val="00167BBB"/>
    <w:rsid w:val="00167BBD"/>
    <w:rsid w:val="00167BD4"/>
    <w:rsid w:val="00167C12"/>
    <w:rsid w:val="00167C18"/>
    <w:rsid w:val="00167C37"/>
    <w:rsid w:val="00167CC8"/>
    <w:rsid w:val="00167CD4"/>
    <w:rsid w:val="00167CD9"/>
    <w:rsid w:val="00167D2C"/>
    <w:rsid w:val="00167D43"/>
    <w:rsid w:val="00167D78"/>
    <w:rsid w:val="00167DDC"/>
    <w:rsid w:val="00167E1A"/>
    <w:rsid w:val="00167E64"/>
    <w:rsid w:val="00167E70"/>
    <w:rsid w:val="00167EE6"/>
    <w:rsid w:val="00167EE8"/>
    <w:rsid w:val="00167F4A"/>
    <w:rsid w:val="00167F4B"/>
    <w:rsid w:val="00167F57"/>
    <w:rsid w:val="00167F5A"/>
    <w:rsid w:val="00167FDD"/>
    <w:rsid w:val="00167FE8"/>
    <w:rsid w:val="0017000E"/>
    <w:rsid w:val="00170029"/>
    <w:rsid w:val="0017005D"/>
    <w:rsid w:val="001700BD"/>
    <w:rsid w:val="001700CA"/>
    <w:rsid w:val="001701EE"/>
    <w:rsid w:val="0017029B"/>
    <w:rsid w:val="00170308"/>
    <w:rsid w:val="00170366"/>
    <w:rsid w:val="00170367"/>
    <w:rsid w:val="001703E7"/>
    <w:rsid w:val="00170405"/>
    <w:rsid w:val="0017048F"/>
    <w:rsid w:val="001704A9"/>
    <w:rsid w:val="001704CF"/>
    <w:rsid w:val="00170557"/>
    <w:rsid w:val="001705D8"/>
    <w:rsid w:val="001705F0"/>
    <w:rsid w:val="001705F1"/>
    <w:rsid w:val="00170665"/>
    <w:rsid w:val="0017076B"/>
    <w:rsid w:val="001707C2"/>
    <w:rsid w:val="00170830"/>
    <w:rsid w:val="00170886"/>
    <w:rsid w:val="00170908"/>
    <w:rsid w:val="0017090B"/>
    <w:rsid w:val="00170926"/>
    <w:rsid w:val="00170975"/>
    <w:rsid w:val="001709EB"/>
    <w:rsid w:val="00170A5E"/>
    <w:rsid w:val="00170B39"/>
    <w:rsid w:val="00170B62"/>
    <w:rsid w:val="00170BCB"/>
    <w:rsid w:val="00170BDA"/>
    <w:rsid w:val="00170C13"/>
    <w:rsid w:val="00170C18"/>
    <w:rsid w:val="00170C2B"/>
    <w:rsid w:val="00170CCB"/>
    <w:rsid w:val="00170CF5"/>
    <w:rsid w:val="00170DA0"/>
    <w:rsid w:val="00170DC8"/>
    <w:rsid w:val="00170E18"/>
    <w:rsid w:val="00170E45"/>
    <w:rsid w:val="00170E77"/>
    <w:rsid w:val="00170EE7"/>
    <w:rsid w:val="00170EED"/>
    <w:rsid w:val="00170F7B"/>
    <w:rsid w:val="00170FAF"/>
    <w:rsid w:val="00170FBC"/>
    <w:rsid w:val="00170FD6"/>
    <w:rsid w:val="0017101F"/>
    <w:rsid w:val="001710F5"/>
    <w:rsid w:val="00171100"/>
    <w:rsid w:val="00171130"/>
    <w:rsid w:val="001711AB"/>
    <w:rsid w:val="001711BC"/>
    <w:rsid w:val="00171282"/>
    <w:rsid w:val="0017128F"/>
    <w:rsid w:val="001712CD"/>
    <w:rsid w:val="001712CE"/>
    <w:rsid w:val="001712F0"/>
    <w:rsid w:val="001713D9"/>
    <w:rsid w:val="001713EA"/>
    <w:rsid w:val="001713EC"/>
    <w:rsid w:val="001713F6"/>
    <w:rsid w:val="0017147F"/>
    <w:rsid w:val="00171484"/>
    <w:rsid w:val="00171491"/>
    <w:rsid w:val="001714AD"/>
    <w:rsid w:val="001714C9"/>
    <w:rsid w:val="001714EA"/>
    <w:rsid w:val="001714FF"/>
    <w:rsid w:val="00171501"/>
    <w:rsid w:val="001715AA"/>
    <w:rsid w:val="001715DB"/>
    <w:rsid w:val="00171621"/>
    <w:rsid w:val="0017169E"/>
    <w:rsid w:val="00171739"/>
    <w:rsid w:val="001717BB"/>
    <w:rsid w:val="001717EA"/>
    <w:rsid w:val="001717FC"/>
    <w:rsid w:val="0017182D"/>
    <w:rsid w:val="00171881"/>
    <w:rsid w:val="001718DE"/>
    <w:rsid w:val="001718DF"/>
    <w:rsid w:val="0017196D"/>
    <w:rsid w:val="00171994"/>
    <w:rsid w:val="001719E9"/>
    <w:rsid w:val="001719FE"/>
    <w:rsid w:val="00171A65"/>
    <w:rsid w:val="00171A77"/>
    <w:rsid w:val="00171ACE"/>
    <w:rsid w:val="00171B3F"/>
    <w:rsid w:val="00171B4B"/>
    <w:rsid w:val="00171B55"/>
    <w:rsid w:val="00171B58"/>
    <w:rsid w:val="00171B6B"/>
    <w:rsid w:val="00171B91"/>
    <w:rsid w:val="00171BCB"/>
    <w:rsid w:val="00171C3C"/>
    <w:rsid w:val="00171C8A"/>
    <w:rsid w:val="00171CB6"/>
    <w:rsid w:val="00171CBF"/>
    <w:rsid w:val="00171CDE"/>
    <w:rsid w:val="00171CE1"/>
    <w:rsid w:val="00171D36"/>
    <w:rsid w:val="00171D96"/>
    <w:rsid w:val="00171DD9"/>
    <w:rsid w:val="00171E03"/>
    <w:rsid w:val="00171E32"/>
    <w:rsid w:val="00171E48"/>
    <w:rsid w:val="00171E5D"/>
    <w:rsid w:val="00171EB1"/>
    <w:rsid w:val="00171EE7"/>
    <w:rsid w:val="00171EF3"/>
    <w:rsid w:val="00171F13"/>
    <w:rsid w:val="00171F37"/>
    <w:rsid w:val="00171F64"/>
    <w:rsid w:val="00171F80"/>
    <w:rsid w:val="00171F8F"/>
    <w:rsid w:val="00171FDC"/>
    <w:rsid w:val="00172007"/>
    <w:rsid w:val="0017206C"/>
    <w:rsid w:val="0017211E"/>
    <w:rsid w:val="00172165"/>
    <w:rsid w:val="00172171"/>
    <w:rsid w:val="0017217C"/>
    <w:rsid w:val="0017219A"/>
    <w:rsid w:val="0017226D"/>
    <w:rsid w:val="00172270"/>
    <w:rsid w:val="001722A3"/>
    <w:rsid w:val="00172378"/>
    <w:rsid w:val="0017239E"/>
    <w:rsid w:val="001723AA"/>
    <w:rsid w:val="001723C7"/>
    <w:rsid w:val="001723D9"/>
    <w:rsid w:val="00172407"/>
    <w:rsid w:val="00172411"/>
    <w:rsid w:val="00172457"/>
    <w:rsid w:val="001724A1"/>
    <w:rsid w:val="001724A8"/>
    <w:rsid w:val="001724DB"/>
    <w:rsid w:val="001724F7"/>
    <w:rsid w:val="00172548"/>
    <w:rsid w:val="001725C3"/>
    <w:rsid w:val="001725CE"/>
    <w:rsid w:val="001725F9"/>
    <w:rsid w:val="0017263D"/>
    <w:rsid w:val="0017268F"/>
    <w:rsid w:val="001726A0"/>
    <w:rsid w:val="0017272B"/>
    <w:rsid w:val="001727AF"/>
    <w:rsid w:val="001727BF"/>
    <w:rsid w:val="00172812"/>
    <w:rsid w:val="0017288E"/>
    <w:rsid w:val="0017289F"/>
    <w:rsid w:val="00172955"/>
    <w:rsid w:val="0017296F"/>
    <w:rsid w:val="00172989"/>
    <w:rsid w:val="0017298C"/>
    <w:rsid w:val="001729B5"/>
    <w:rsid w:val="001729D3"/>
    <w:rsid w:val="00172C0C"/>
    <w:rsid w:val="00172CAA"/>
    <w:rsid w:val="00172D0C"/>
    <w:rsid w:val="00172D1E"/>
    <w:rsid w:val="00172D5B"/>
    <w:rsid w:val="00172D67"/>
    <w:rsid w:val="00172D95"/>
    <w:rsid w:val="00172DBF"/>
    <w:rsid w:val="00172E10"/>
    <w:rsid w:val="00172F06"/>
    <w:rsid w:val="00172FAD"/>
    <w:rsid w:val="00172FF0"/>
    <w:rsid w:val="00172FF1"/>
    <w:rsid w:val="0017303E"/>
    <w:rsid w:val="001730F4"/>
    <w:rsid w:val="0017310F"/>
    <w:rsid w:val="0017317B"/>
    <w:rsid w:val="0017319C"/>
    <w:rsid w:val="0017319E"/>
    <w:rsid w:val="001731AB"/>
    <w:rsid w:val="001731BA"/>
    <w:rsid w:val="001731D3"/>
    <w:rsid w:val="00173226"/>
    <w:rsid w:val="00173242"/>
    <w:rsid w:val="0017325A"/>
    <w:rsid w:val="00173299"/>
    <w:rsid w:val="001732F7"/>
    <w:rsid w:val="0017347F"/>
    <w:rsid w:val="0017348C"/>
    <w:rsid w:val="001734E5"/>
    <w:rsid w:val="0017358A"/>
    <w:rsid w:val="00173592"/>
    <w:rsid w:val="00173620"/>
    <w:rsid w:val="0017362E"/>
    <w:rsid w:val="0017364A"/>
    <w:rsid w:val="00173654"/>
    <w:rsid w:val="001736EC"/>
    <w:rsid w:val="0017370F"/>
    <w:rsid w:val="00173762"/>
    <w:rsid w:val="00173770"/>
    <w:rsid w:val="001737B6"/>
    <w:rsid w:val="001737BF"/>
    <w:rsid w:val="00173814"/>
    <w:rsid w:val="00173834"/>
    <w:rsid w:val="00173850"/>
    <w:rsid w:val="00173921"/>
    <w:rsid w:val="00173922"/>
    <w:rsid w:val="00173931"/>
    <w:rsid w:val="00173932"/>
    <w:rsid w:val="00173954"/>
    <w:rsid w:val="00173A52"/>
    <w:rsid w:val="00173AA0"/>
    <w:rsid w:val="00173AA9"/>
    <w:rsid w:val="00173AC0"/>
    <w:rsid w:val="00173B34"/>
    <w:rsid w:val="00173BF9"/>
    <w:rsid w:val="00173C1D"/>
    <w:rsid w:val="00173C47"/>
    <w:rsid w:val="00173C6D"/>
    <w:rsid w:val="00173C9C"/>
    <w:rsid w:val="00173CBA"/>
    <w:rsid w:val="00173D6C"/>
    <w:rsid w:val="00173D8B"/>
    <w:rsid w:val="00173DD3"/>
    <w:rsid w:val="00173E06"/>
    <w:rsid w:val="00173EB5"/>
    <w:rsid w:val="00173FBC"/>
    <w:rsid w:val="00173FD4"/>
    <w:rsid w:val="00173FE1"/>
    <w:rsid w:val="00173FF9"/>
    <w:rsid w:val="00174026"/>
    <w:rsid w:val="00174029"/>
    <w:rsid w:val="0017406C"/>
    <w:rsid w:val="00174071"/>
    <w:rsid w:val="001740AA"/>
    <w:rsid w:val="001740B2"/>
    <w:rsid w:val="001740B3"/>
    <w:rsid w:val="001740C9"/>
    <w:rsid w:val="001740EB"/>
    <w:rsid w:val="001740F5"/>
    <w:rsid w:val="001740FC"/>
    <w:rsid w:val="00174164"/>
    <w:rsid w:val="0017416B"/>
    <w:rsid w:val="0017418B"/>
    <w:rsid w:val="00174244"/>
    <w:rsid w:val="0017429E"/>
    <w:rsid w:val="0017441D"/>
    <w:rsid w:val="00174489"/>
    <w:rsid w:val="0017449B"/>
    <w:rsid w:val="0017452D"/>
    <w:rsid w:val="001745F6"/>
    <w:rsid w:val="001745F7"/>
    <w:rsid w:val="00174628"/>
    <w:rsid w:val="00174647"/>
    <w:rsid w:val="0017472A"/>
    <w:rsid w:val="0017472D"/>
    <w:rsid w:val="0017477E"/>
    <w:rsid w:val="00174792"/>
    <w:rsid w:val="001747D0"/>
    <w:rsid w:val="0017480C"/>
    <w:rsid w:val="00174817"/>
    <w:rsid w:val="0017482C"/>
    <w:rsid w:val="00174855"/>
    <w:rsid w:val="0017489E"/>
    <w:rsid w:val="00174915"/>
    <w:rsid w:val="00174919"/>
    <w:rsid w:val="00174984"/>
    <w:rsid w:val="001749C3"/>
    <w:rsid w:val="00174A1E"/>
    <w:rsid w:val="00174A53"/>
    <w:rsid w:val="00174AB3"/>
    <w:rsid w:val="00174ADA"/>
    <w:rsid w:val="00174BE3"/>
    <w:rsid w:val="00174BF3"/>
    <w:rsid w:val="00174BF5"/>
    <w:rsid w:val="00174C4D"/>
    <w:rsid w:val="00174C74"/>
    <w:rsid w:val="00174C86"/>
    <w:rsid w:val="00174CE7"/>
    <w:rsid w:val="00174DED"/>
    <w:rsid w:val="00174F09"/>
    <w:rsid w:val="00174F19"/>
    <w:rsid w:val="00174F26"/>
    <w:rsid w:val="00174F48"/>
    <w:rsid w:val="00174F7E"/>
    <w:rsid w:val="00175038"/>
    <w:rsid w:val="00175061"/>
    <w:rsid w:val="0017507E"/>
    <w:rsid w:val="00175142"/>
    <w:rsid w:val="00175145"/>
    <w:rsid w:val="00175149"/>
    <w:rsid w:val="0017516B"/>
    <w:rsid w:val="00175185"/>
    <w:rsid w:val="001751F5"/>
    <w:rsid w:val="00175213"/>
    <w:rsid w:val="001752B9"/>
    <w:rsid w:val="0017530F"/>
    <w:rsid w:val="00175342"/>
    <w:rsid w:val="00175361"/>
    <w:rsid w:val="00175474"/>
    <w:rsid w:val="0017548B"/>
    <w:rsid w:val="001754B7"/>
    <w:rsid w:val="001754BB"/>
    <w:rsid w:val="001754D8"/>
    <w:rsid w:val="001754F0"/>
    <w:rsid w:val="00175501"/>
    <w:rsid w:val="0017550E"/>
    <w:rsid w:val="0017551C"/>
    <w:rsid w:val="00175548"/>
    <w:rsid w:val="001755A6"/>
    <w:rsid w:val="00175667"/>
    <w:rsid w:val="00175670"/>
    <w:rsid w:val="001756A4"/>
    <w:rsid w:val="001756AA"/>
    <w:rsid w:val="001756E4"/>
    <w:rsid w:val="001757A4"/>
    <w:rsid w:val="001757B4"/>
    <w:rsid w:val="001757BC"/>
    <w:rsid w:val="001757C9"/>
    <w:rsid w:val="001757D3"/>
    <w:rsid w:val="001757EC"/>
    <w:rsid w:val="001758D9"/>
    <w:rsid w:val="001759C8"/>
    <w:rsid w:val="00175A28"/>
    <w:rsid w:val="00175A66"/>
    <w:rsid w:val="00175A78"/>
    <w:rsid w:val="00175A9A"/>
    <w:rsid w:val="00175B59"/>
    <w:rsid w:val="00175B5C"/>
    <w:rsid w:val="00175B80"/>
    <w:rsid w:val="00175C09"/>
    <w:rsid w:val="00175C14"/>
    <w:rsid w:val="00175D0A"/>
    <w:rsid w:val="00175D3C"/>
    <w:rsid w:val="00175E44"/>
    <w:rsid w:val="00175E57"/>
    <w:rsid w:val="00175E87"/>
    <w:rsid w:val="00175E90"/>
    <w:rsid w:val="00175F1E"/>
    <w:rsid w:val="00175F6A"/>
    <w:rsid w:val="00175FBC"/>
    <w:rsid w:val="00175FD4"/>
    <w:rsid w:val="00175FE8"/>
    <w:rsid w:val="00175FFE"/>
    <w:rsid w:val="001760AB"/>
    <w:rsid w:val="00176108"/>
    <w:rsid w:val="00176212"/>
    <w:rsid w:val="00176233"/>
    <w:rsid w:val="00176267"/>
    <w:rsid w:val="001762E2"/>
    <w:rsid w:val="00176316"/>
    <w:rsid w:val="0017633B"/>
    <w:rsid w:val="00176415"/>
    <w:rsid w:val="00176489"/>
    <w:rsid w:val="001764B7"/>
    <w:rsid w:val="001764F4"/>
    <w:rsid w:val="001764FC"/>
    <w:rsid w:val="0017656A"/>
    <w:rsid w:val="001765D4"/>
    <w:rsid w:val="001765EA"/>
    <w:rsid w:val="00176605"/>
    <w:rsid w:val="00176645"/>
    <w:rsid w:val="00176648"/>
    <w:rsid w:val="001766A1"/>
    <w:rsid w:val="0017673B"/>
    <w:rsid w:val="00176765"/>
    <w:rsid w:val="0017677F"/>
    <w:rsid w:val="001767BB"/>
    <w:rsid w:val="001767E1"/>
    <w:rsid w:val="001767EB"/>
    <w:rsid w:val="00176817"/>
    <w:rsid w:val="0017681A"/>
    <w:rsid w:val="0017694F"/>
    <w:rsid w:val="00176974"/>
    <w:rsid w:val="001769B5"/>
    <w:rsid w:val="001769B8"/>
    <w:rsid w:val="00176A82"/>
    <w:rsid w:val="00176AAB"/>
    <w:rsid w:val="00176AF1"/>
    <w:rsid w:val="00176B4C"/>
    <w:rsid w:val="00176BA0"/>
    <w:rsid w:val="00176BBD"/>
    <w:rsid w:val="00176BC3"/>
    <w:rsid w:val="00176BCF"/>
    <w:rsid w:val="00176BE7"/>
    <w:rsid w:val="00176BF2"/>
    <w:rsid w:val="00176C21"/>
    <w:rsid w:val="00176C2A"/>
    <w:rsid w:val="00176C58"/>
    <w:rsid w:val="00176C6B"/>
    <w:rsid w:val="00176C90"/>
    <w:rsid w:val="00176CCB"/>
    <w:rsid w:val="00176CE6"/>
    <w:rsid w:val="00176D72"/>
    <w:rsid w:val="00176E0B"/>
    <w:rsid w:val="00176E17"/>
    <w:rsid w:val="00176E85"/>
    <w:rsid w:val="00176E8F"/>
    <w:rsid w:val="00176EB8"/>
    <w:rsid w:val="00176EBD"/>
    <w:rsid w:val="00176F7F"/>
    <w:rsid w:val="00176FB9"/>
    <w:rsid w:val="00176FD2"/>
    <w:rsid w:val="00176FFE"/>
    <w:rsid w:val="00176FFF"/>
    <w:rsid w:val="00177007"/>
    <w:rsid w:val="00177054"/>
    <w:rsid w:val="00177064"/>
    <w:rsid w:val="00177088"/>
    <w:rsid w:val="0017708F"/>
    <w:rsid w:val="001770C4"/>
    <w:rsid w:val="001770EE"/>
    <w:rsid w:val="00177129"/>
    <w:rsid w:val="00177145"/>
    <w:rsid w:val="0017715E"/>
    <w:rsid w:val="00177166"/>
    <w:rsid w:val="001771A7"/>
    <w:rsid w:val="001771BD"/>
    <w:rsid w:val="001771C6"/>
    <w:rsid w:val="00177208"/>
    <w:rsid w:val="00177297"/>
    <w:rsid w:val="00177314"/>
    <w:rsid w:val="0017731F"/>
    <w:rsid w:val="0017737B"/>
    <w:rsid w:val="00177390"/>
    <w:rsid w:val="001773A1"/>
    <w:rsid w:val="001773EC"/>
    <w:rsid w:val="0017740B"/>
    <w:rsid w:val="0017745F"/>
    <w:rsid w:val="0017747B"/>
    <w:rsid w:val="001774B4"/>
    <w:rsid w:val="001774FF"/>
    <w:rsid w:val="00177510"/>
    <w:rsid w:val="0017754C"/>
    <w:rsid w:val="00177566"/>
    <w:rsid w:val="00177568"/>
    <w:rsid w:val="00177602"/>
    <w:rsid w:val="00177604"/>
    <w:rsid w:val="00177616"/>
    <w:rsid w:val="0017765E"/>
    <w:rsid w:val="00177662"/>
    <w:rsid w:val="0017768D"/>
    <w:rsid w:val="001776C0"/>
    <w:rsid w:val="00177711"/>
    <w:rsid w:val="00177887"/>
    <w:rsid w:val="0017795D"/>
    <w:rsid w:val="0017797D"/>
    <w:rsid w:val="00177987"/>
    <w:rsid w:val="001779AB"/>
    <w:rsid w:val="001779C6"/>
    <w:rsid w:val="001779D7"/>
    <w:rsid w:val="001779FF"/>
    <w:rsid w:val="00177A67"/>
    <w:rsid w:val="00177B00"/>
    <w:rsid w:val="00177B7F"/>
    <w:rsid w:val="00177B89"/>
    <w:rsid w:val="00177BE3"/>
    <w:rsid w:val="00177C1B"/>
    <w:rsid w:val="00177C3C"/>
    <w:rsid w:val="00177C3D"/>
    <w:rsid w:val="00177C44"/>
    <w:rsid w:val="00177CEA"/>
    <w:rsid w:val="00177CF9"/>
    <w:rsid w:val="00177D10"/>
    <w:rsid w:val="00177D18"/>
    <w:rsid w:val="00177DCC"/>
    <w:rsid w:val="00177E83"/>
    <w:rsid w:val="00177EE6"/>
    <w:rsid w:val="00177F78"/>
    <w:rsid w:val="00177FC4"/>
    <w:rsid w:val="00177FDC"/>
    <w:rsid w:val="00180021"/>
    <w:rsid w:val="00180092"/>
    <w:rsid w:val="001800D8"/>
    <w:rsid w:val="0018014C"/>
    <w:rsid w:val="00180165"/>
    <w:rsid w:val="00180182"/>
    <w:rsid w:val="001801FF"/>
    <w:rsid w:val="00180234"/>
    <w:rsid w:val="00180268"/>
    <w:rsid w:val="0018031D"/>
    <w:rsid w:val="00180327"/>
    <w:rsid w:val="0018032B"/>
    <w:rsid w:val="00180350"/>
    <w:rsid w:val="00180366"/>
    <w:rsid w:val="001803BB"/>
    <w:rsid w:val="001803CA"/>
    <w:rsid w:val="00180405"/>
    <w:rsid w:val="00180467"/>
    <w:rsid w:val="001804C6"/>
    <w:rsid w:val="001804D5"/>
    <w:rsid w:val="0018053E"/>
    <w:rsid w:val="00180565"/>
    <w:rsid w:val="00180585"/>
    <w:rsid w:val="001805A2"/>
    <w:rsid w:val="001805C7"/>
    <w:rsid w:val="00180624"/>
    <w:rsid w:val="00180696"/>
    <w:rsid w:val="001806B5"/>
    <w:rsid w:val="00180708"/>
    <w:rsid w:val="00180794"/>
    <w:rsid w:val="001807B9"/>
    <w:rsid w:val="001807E7"/>
    <w:rsid w:val="0018080A"/>
    <w:rsid w:val="00180894"/>
    <w:rsid w:val="0018089A"/>
    <w:rsid w:val="001808A6"/>
    <w:rsid w:val="001808DC"/>
    <w:rsid w:val="001808DE"/>
    <w:rsid w:val="001808EA"/>
    <w:rsid w:val="00180933"/>
    <w:rsid w:val="00180974"/>
    <w:rsid w:val="001809F2"/>
    <w:rsid w:val="00180A03"/>
    <w:rsid w:val="00180A11"/>
    <w:rsid w:val="00180A2F"/>
    <w:rsid w:val="00180A52"/>
    <w:rsid w:val="00180A63"/>
    <w:rsid w:val="00180AB9"/>
    <w:rsid w:val="00180AC5"/>
    <w:rsid w:val="00180B5E"/>
    <w:rsid w:val="00180B69"/>
    <w:rsid w:val="00180BBE"/>
    <w:rsid w:val="00180BE6"/>
    <w:rsid w:val="00180C3C"/>
    <w:rsid w:val="00180C62"/>
    <w:rsid w:val="00180D44"/>
    <w:rsid w:val="00180D98"/>
    <w:rsid w:val="00180E21"/>
    <w:rsid w:val="00180E25"/>
    <w:rsid w:val="00180E38"/>
    <w:rsid w:val="00180F2B"/>
    <w:rsid w:val="00180F75"/>
    <w:rsid w:val="00180FC4"/>
    <w:rsid w:val="0018100A"/>
    <w:rsid w:val="00181068"/>
    <w:rsid w:val="001810EE"/>
    <w:rsid w:val="0018111E"/>
    <w:rsid w:val="001811DE"/>
    <w:rsid w:val="00181207"/>
    <w:rsid w:val="00181215"/>
    <w:rsid w:val="001812E0"/>
    <w:rsid w:val="001812F5"/>
    <w:rsid w:val="0018131A"/>
    <w:rsid w:val="00181320"/>
    <w:rsid w:val="001813B9"/>
    <w:rsid w:val="0018142C"/>
    <w:rsid w:val="001814BD"/>
    <w:rsid w:val="001814EA"/>
    <w:rsid w:val="00181513"/>
    <w:rsid w:val="00181540"/>
    <w:rsid w:val="0018158F"/>
    <w:rsid w:val="00181610"/>
    <w:rsid w:val="00181626"/>
    <w:rsid w:val="0018165A"/>
    <w:rsid w:val="0018168D"/>
    <w:rsid w:val="0018172E"/>
    <w:rsid w:val="0018186F"/>
    <w:rsid w:val="001819A0"/>
    <w:rsid w:val="001819F4"/>
    <w:rsid w:val="00181A07"/>
    <w:rsid w:val="00181A2D"/>
    <w:rsid w:val="00181A3E"/>
    <w:rsid w:val="00181A5E"/>
    <w:rsid w:val="00181A70"/>
    <w:rsid w:val="00181AD6"/>
    <w:rsid w:val="00181B10"/>
    <w:rsid w:val="00181B27"/>
    <w:rsid w:val="00181B6F"/>
    <w:rsid w:val="00181BC3"/>
    <w:rsid w:val="00181BC4"/>
    <w:rsid w:val="00181C55"/>
    <w:rsid w:val="00181C6F"/>
    <w:rsid w:val="00181CB8"/>
    <w:rsid w:val="00181CEB"/>
    <w:rsid w:val="00181D0D"/>
    <w:rsid w:val="00181E2F"/>
    <w:rsid w:val="00181E66"/>
    <w:rsid w:val="00181E83"/>
    <w:rsid w:val="00181E8F"/>
    <w:rsid w:val="00181E9D"/>
    <w:rsid w:val="00181F07"/>
    <w:rsid w:val="00181F0C"/>
    <w:rsid w:val="00181F34"/>
    <w:rsid w:val="00181F4E"/>
    <w:rsid w:val="00181F67"/>
    <w:rsid w:val="00181F79"/>
    <w:rsid w:val="00181FB5"/>
    <w:rsid w:val="001820A8"/>
    <w:rsid w:val="001820CF"/>
    <w:rsid w:val="0018215D"/>
    <w:rsid w:val="00182162"/>
    <w:rsid w:val="001821B8"/>
    <w:rsid w:val="001821C9"/>
    <w:rsid w:val="001821FD"/>
    <w:rsid w:val="0018220C"/>
    <w:rsid w:val="001822CF"/>
    <w:rsid w:val="0018236E"/>
    <w:rsid w:val="001823A1"/>
    <w:rsid w:val="001823D4"/>
    <w:rsid w:val="0018243C"/>
    <w:rsid w:val="0018245B"/>
    <w:rsid w:val="0018249F"/>
    <w:rsid w:val="001824B8"/>
    <w:rsid w:val="001824EE"/>
    <w:rsid w:val="001824F0"/>
    <w:rsid w:val="0018253E"/>
    <w:rsid w:val="0018256C"/>
    <w:rsid w:val="0018258B"/>
    <w:rsid w:val="001825AB"/>
    <w:rsid w:val="00182641"/>
    <w:rsid w:val="0018265D"/>
    <w:rsid w:val="0018278F"/>
    <w:rsid w:val="001827C3"/>
    <w:rsid w:val="00182841"/>
    <w:rsid w:val="00182873"/>
    <w:rsid w:val="001828C9"/>
    <w:rsid w:val="001828F4"/>
    <w:rsid w:val="0018295A"/>
    <w:rsid w:val="0018298B"/>
    <w:rsid w:val="001829AC"/>
    <w:rsid w:val="001829B8"/>
    <w:rsid w:val="00182A00"/>
    <w:rsid w:val="00182ABF"/>
    <w:rsid w:val="00182B0E"/>
    <w:rsid w:val="00182B4B"/>
    <w:rsid w:val="00182BD4"/>
    <w:rsid w:val="00182C06"/>
    <w:rsid w:val="00182C9E"/>
    <w:rsid w:val="00182CD3"/>
    <w:rsid w:val="00182CEF"/>
    <w:rsid w:val="00182D24"/>
    <w:rsid w:val="00182D5A"/>
    <w:rsid w:val="00182D8A"/>
    <w:rsid w:val="00182D98"/>
    <w:rsid w:val="00182DED"/>
    <w:rsid w:val="00182E36"/>
    <w:rsid w:val="00182EAB"/>
    <w:rsid w:val="00182ECB"/>
    <w:rsid w:val="00182EF3"/>
    <w:rsid w:val="00182FB4"/>
    <w:rsid w:val="00182FFA"/>
    <w:rsid w:val="00183032"/>
    <w:rsid w:val="001830D0"/>
    <w:rsid w:val="001831B8"/>
    <w:rsid w:val="001831BA"/>
    <w:rsid w:val="001831DF"/>
    <w:rsid w:val="0018326F"/>
    <w:rsid w:val="00183271"/>
    <w:rsid w:val="0018328B"/>
    <w:rsid w:val="001832CE"/>
    <w:rsid w:val="00183310"/>
    <w:rsid w:val="00183386"/>
    <w:rsid w:val="001833DD"/>
    <w:rsid w:val="001833E3"/>
    <w:rsid w:val="00183446"/>
    <w:rsid w:val="00183498"/>
    <w:rsid w:val="001834AF"/>
    <w:rsid w:val="00183535"/>
    <w:rsid w:val="00183597"/>
    <w:rsid w:val="001835A2"/>
    <w:rsid w:val="001835BA"/>
    <w:rsid w:val="00183622"/>
    <w:rsid w:val="001836DD"/>
    <w:rsid w:val="0018374E"/>
    <w:rsid w:val="0018375F"/>
    <w:rsid w:val="001837C5"/>
    <w:rsid w:val="0018383B"/>
    <w:rsid w:val="00183842"/>
    <w:rsid w:val="00183845"/>
    <w:rsid w:val="001838C7"/>
    <w:rsid w:val="00183936"/>
    <w:rsid w:val="001839A7"/>
    <w:rsid w:val="001839B7"/>
    <w:rsid w:val="001839C0"/>
    <w:rsid w:val="001839DA"/>
    <w:rsid w:val="00183A1C"/>
    <w:rsid w:val="00183B05"/>
    <w:rsid w:val="00183B11"/>
    <w:rsid w:val="00183B22"/>
    <w:rsid w:val="00183B38"/>
    <w:rsid w:val="00183B45"/>
    <w:rsid w:val="00183B9A"/>
    <w:rsid w:val="00183BB2"/>
    <w:rsid w:val="00183BB3"/>
    <w:rsid w:val="00183BD3"/>
    <w:rsid w:val="00183C24"/>
    <w:rsid w:val="00183C34"/>
    <w:rsid w:val="00183CE0"/>
    <w:rsid w:val="00183CF3"/>
    <w:rsid w:val="00183D8A"/>
    <w:rsid w:val="00183DEF"/>
    <w:rsid w:val="00183E61"/>
    <w:rsid w:val="00183E6E"/>
    <w:rsid w:val="00183E92"/>
    <w:rsid w:val="00183EE4"/>
    <w:rsid w:val="00183EF7"/>
    <w:rsid w:val="00183F2D"/>
    <w:rsid w:val="00183F89"/>
    <w:rsid w:val="00183FBC"/>
    <w:rsid w:val="0018402E"/>
    <w:rsid w:val="00184056"/>
    <w:rsid w:val="0018406F"/>
    <w:rsid w:val="00184078"/>
    <w:rsid w:val="001840AB"/>
    <w:rsid w:val="001840AC"/>
    <w:rsid w:val="001841AA"/>
    <w:rsid w:val="001841AE"/>
    <w:rsid w:val="001841BE"/>
    <w:rsid w:val="001841EF"/>
    <w:rsid w:val="00184329"/>
    <w:rsid w:val="00184373"/>
    <w:rsid w:val="00184383"/>
    <w:rsid w:val="001843A0"/>
    <w:rsid w:val="001843B2"/>
    <w:rsid w:val="0018440A"/>
    <w:rsid w:val="00184418"/>
    <w:rsid w:val="00184430"/>
    <w:rsid w:val="00184477"/>
    <w:rsid w:val="0018447F"/>
    <w:rsid w:val="001844EE"/>
    <w:rsid w:val="0018455B"/>
    <w:rsid w:val="0018456B"/>
    <w:rsid w:val="0018456F"/>
    <w:rsid w:val="00184582"/>
    <w:rsid w:val="0018460A"/>
    <w:rsid w:val="0018461A"/>
    <w:rsid w:val="00184647"/>
    <w:rsid w:val="0018464C"/>
    <w:rsid w:val="001846D4"/>
    <w:rsid w:val="001846D6"/>
    <w:rsid w:val="00184711"/>
    <w:rsid w:val="00184790"/>
    <w:rsid w:val="001847A0"/>
    <w:rsid w:val="001847F1"/>
    <w:rsid w:val="00184849"/>
    <w:rsid w:val="001848A7"/>
    <w:rsid w:val="001848AE"/>
    <w:rsid w:val="001848C4"/>
    <w:rsid w:val="00184969"/>
    <w:rsid w:val="0018498C"/>
    <w:rsid w:val="001849AA"/>
    <w:rsid w:val="001849ED"/>
    <w:rsid w:val="00184A07"/>
    <w:rsid w:val="00184A7F"/>
    <w:rsid w:val="00184A8B"/>
    <w:rsid w:val="00184AAE"/>
    <w:rsid w:val="00184B41"/>
    <w:rsid w:val="00184B62"/>
    <w:rsid w:val="00184B8D"/>
    <w:rsid w:val="00184B9B"/>
    <w:rsid w:val="00184BC5"/>
    <w:rsid w:val="00184BF1"/>
    <w:rsid w:val="00184C03"/>
    <w:rsid w:val="00184CE1"/>
    <w:rsid w:val="00184D08"/>
    <w:rsid w:val="00184D0B"/>
    <w:rsid w:val="00184D98"/>
    <w:rsid w:val="00184DC8"/>
    <w:rsid w:val="00184DEE"/>
    <w:rsid w:val="00184DF3"/>
    <w:rsid w:val="00184E2B"/>
    <w:rsid w:val="00184F12"/>
    <w:rsid w:val="00184F30"/>
    <w:rsid w:val="00184F3D"/>
    <w:rsid w:val="00184F3F"/>
    <w:rsid w:val="00184F41"/>
    <w:rsid w:val="00184F53"/>
    <w:rsid w:val="00184F85"/>
    <w:rsid w:val="00184F89"/>
    <w:rsid w:val="00184F95"/>
    <w:rsid w:val="00185010"/>
    <w:rsid w:val="00185048"/>
    <w:rsid w:val="00185058"/>
    <w:rsid w:val="00185073"/>
    <w:rsid w:val="001850A4"/>
    <w:rsid w:val="001850B4"/>
    <w:rsid w:val="00185176"/>
    <w:rsid w:val="001851A8"/>
    <w:rsid w:val="001851BE"/>
    <w:rsid w:val="00185229"/>
    <w:rsid w:val="00185253"/>
    <w:rsid w:val="0018527E"/>
    <w:rsid w:val="001852A7"/>
    <w:rsid w:val="001852A9"/>
    <w:rsid w:val="001852AA"/>
    <w:rsid w:val="001852BE"/>
    <w:rsid w:val="001853FA"/>
    <w:rsid w:val="00185402"/>
    <w:rsid w:val="00185458"/>
    <w:rsid w:val="001854B9"/>
    <w:rsid w:val="001854BE"/>
    <w:rsid w:val="00185512"/>
    <w:rsid w:val="0018553F"/>
    <w:rsid w:val="0018555E"/>
    <w:rsid w:val="0018561B"/>
    <w:rsid w:val="00185644"/>
    <w:rsid w:val="001856B3"/>
    <w:rsid w:val="001856BE"/>
    <w:rsid w:val="001856E5"/>
    <w:rsid w:val="00185701"/>
    <w:rsid w:val="001857B2"/>
    <w:rsid w:val="0018581D"/>
    <w:rsid w:val="0018589D"/>
    <w:rsid w:val="001858C9"/>
    <w:rsid w:val="00185903"/>
    <w:rsid w:val="00185961"/>
    <w:rsid w:val="0018597E"/>
    <w:rsid w:val="001859C4"/>
    <w:rsid w:val="001859F3"/>
    <w:rsid w:val="00185A85"/>
    <w:rsid w:val="00185A91"/>
    <w:rsid w:val="00185B00"/>
    <w:rsid w:val="00185B2F"/>
    <w:rsid w:val="00185C32"/>
    <w:rsid w:val="00185CBC"/>
    <w:rsid w:val="00185D76"/>
    <w:rsid w:val="00185E39"/>
    <w:rsid w:val="00185EDC"/>
    <w:rsid w:val="00185EFB"/>
    <w:rsid w:val="00185EFE"/>
    <w:rsid w:val="00185F10"/>
    <w:rsid w:val="00185F45"/>
    <w:rsid w:val="00185F6E"/>
    <w:rsid w:val="00185FAA"/>
    <w:rsid w:val="0018606A"/>
    <w:rsid w:val="0018607B"/>
    <w:rsid w:val="0018608C"/>
    <w:rsid w:val="0018609F"/>
    <w:rsid w:val="001860AC"/>
    <w:rsid w:val="0018613E"/>
    <w:rsid w:val="00186169"/>
    <w:rsid w:val="001861D2"/>
    <w:rsid w:val="001861ED"/>
    <w:rsid w:val="00186242"/>
    <w:rsid w:val="0018635E"/>
    <w:rsid w:val="001864B9"/>
    <w:rsid w:val="001864CD"/>
    <w:rsid w:val="001864E6"/>
    <w:rsid w:val="00186533"/>
    <w:rsid w:val="001865E8"/>
    <w:rsid w:val="0018660C"/>
    <w:rsid w:val="00186633"/>
    <w:rsid w:val="0018666A"/>
    <w:rsid w:val="0018668F"/>
    <w:rsid w:val="001866C0"/>
    <w:rsid w:val="0018679F"/>
    <w:rsid w:val="0018682F"/>
    <w:rsid w:val="00186858"/>
    <w:rsid w:val="0018689B"/>
    <w:rsid w:val="001868A9"/>
    <w:rsid w:val="0018694F"/>
    <w:rsid w:val="00186A3B"/>
    <w:rsid w:val="00186A3F"/>
    <w:rsid w:val="00186A80"/>
    <w:rsid w:val="00186A8C"/>
    <w:rsid w:val="00186AF1"/>
    <w:rsid w:val="00186B4B"/>
    <w:rsid w:val="00186B95"/>
    <w:rsid w:val="00186BB1"/>
    <w:rsid w:val="00186BC0"/>
    <w:rsid w:val="00186C02"/>
    <w:rsid w:val="00186CD7"/>
    <w:rsid w:val="00186CF9"/>
    <w:rsid w:val="00186D17"/>
    <w:rsid w:val="00186D91"/>
    <w:rsid w:val="00186DE5"/>
    <w:rsid w:val="00186E2C"/>
    <w:rsid w:val="00186EB0"/>
    <w:rsid w:val="00186ECF"/>
    <w:rsid w:val="00186FA1"/>
    <w:rsid w:val="00186FB0"/>
    <w:rsid w:val="00187007"/>
    <w:rsid w:val="00187021"/>
    <w:rsid w:val="00187058"/>
    <w:rsid w:val="00187092"/>
    <w:rsid w:val="001870BF"/>
    <w:rsid w:val="00187109"/>
    <w:rsid w:val="0018710C"/>
    <w:rsid w:val="001871A0"/>
    <w:rsid w:val="001871AE"/>
    <w:rsid w:val="00187212"/>
    <w:rsid w:val="0018721B"/>
    <w:rsid w:val="00187220"/>
    <w:rsid w:val="0018727A"/>
    <w:rsid w:val="001873A9"/>
    <w:rsid w:val="001873C3"/>
    <w:rsid w:val="001873F4"/>
    <w:rsid w:val="0018742F"/>
    <w:rsid w:val="00187455"/>
    <w:rsid w:val="0018748C"/>
    <w:rsid w:val="00187498"/>
    <w:rsid w:val="00187567"/>
    <w:rsid w:val="001875A5"/>
    <w:rsid w:val="001875CB"/>
    <w:rsid w:val="001875EC"/>
    <w:rsid w:val="0018760D"/>
    <w:rsid w:val="00187744"/>
    <w:rsid w:val="00187780"/>
    <w:rsid w:val="001877BE"/>
    <w:rsid w:val="001877E3"/>
    <w:rsid w:val="001877F9"/>
    <w:rsid w:val="001878CB"/>
    <w:rsid w:val="001878D3"/>
    <w:rsid w:val="001878FF"/>
    <w:rsid w:val="00187935"/>
    <w:rsid w:val="00187948"/>
    <w:rsid w:val="0018795E"/>
    <w:rsid w:val="001879CA"/>
    <w:rsid w:val="00187A04"/>
    <w:rsid w:val="00187A56"/>
    <w:rsid w:val="00187AC3"/>
    <w:rsid w:val="00187AD1"/>
    <w:rsid w:val="00187ADB"/>
    <w:rsid w:val="00187AE9"/>
    <w:rsid w:val="00187AFB"/>
    <w:rsid w:val="00187B13"/>
    <w:rsid w:val="00187B16"/>
    <w:rsid w:val="00187B1B"/>
    <w:rsid w:val="00187B91"/>
    <w:rsid w:val="00187B96"/>
    <w:rsid w:val="00187BC0"/>
    <w:rsid w:val="00187BDA"/>
    <w:rsid w:val="00187C46"/>
    <w:rsid w:val="00187C57"/>
    <w:rsid w:val="00187C59"/>
    <w:rsid w:val="00187C62"/>
    <w:rsid w:val="00187C7D"/>
    <w:rsid w:val="00187C94"/>
    <w:rsid w:val="00187D02"/>
    <w:rsid w:val="00187D55"/>
    <w:rsid w:val="00187D83"/>
    <w:rsid w:val="00187DC8"/>
    <w:rsid w:val="00187DCA"/>
    <w:rsid w:val="00187E1A"/>
    <w:rsid w:val="00187E65"/>
    <w:rsid w:val="00187EAB"/>
    <w:rsid w:val="00187EAF"/>
    <w:rsid w:val="00187ECC"/>
    <w:rsid w:val="00187F05"/>
    <w:rsid w:val="00187F1C"/>
    <w:rsid w:val="00187F77"/>
    <w:rsid w:val="00187F83"/>
    <w:rsid w:val="00190004"/>
    <w:rsid w:val="00190048"/>
    <w:rsid w:val="0019006E"/>
    <w:rsid w:val="00190087"/>
    <w:rsid w:val="001900B2"/>
    <w:rsid w:val="001900C3"/>
    <w:rsid w:val="001900F9"/>
    <w:rsid w:val="001900FC"/>
    <w:rsid w:val="00190181"/>
    <w:rsid w:val="001901A5"/>
    <w:rsid w:val="00190201"/>
    <w:rsid w:val="0019022C"/>
    <w:rsid w:val="00190247"/>
    <w:rsid w:val="00190253"/>
    <w:rsid w:val="0019026A"/>
    <w:rsid w:val="0019028A"/>
    <w:rsid w:val="0019028C"/>
    <w:rsid w:val="00190317"/>
    <w:rsid w:val="001903B0"/>
    <w:rsid w:val="001903C7"/>
    <w:rsid w:val="001903DC"/>
    <w:rsid w:val="00190517"/>
    <w:rsid w:val="00190568"/>
    <w:rsid w:val="0019057F"/>
    <w:rsid w:val="001905D2"/>
    <w:rsid w:val="00190628"/>
    <w:rsid w:val="001906FA"/>
    <w:rsid w:val="001907A0"/>
    <w:rsid w:val="001907CF"/>
    <w:rsid w:val="00190865"/>
    <w:rsid w:val="0019087E"/>
    <w:rsid w:val="00190891"/>
    <w:rsid w:val="001908EB"/>
    <w:rsid w:val="00190906"/>
    <w:rsid w:val="00190985"/>
    <w:rsid w:val="00190A00"/>
    <w:rsid w:val="00190A5B"/>
    <w:rsid w:val="00190A7E"/>
    <w:rsid w:val="00190AAF"/>
    <w:rsid w:val="00190AF7"/>
    <w:rsid w:val="00190B4F"/>
    <w:rsid w:val="00190B9A"/>
    <w:rsid w:val="00190C02"/>
    <w:rsid w:val="00190C25"/>
    <w:rsid w:val="00190C6B"/>
    <w:rsid w:val="00190C93"/>
    <w:rsid w:val="00190CD8"/>
    <w:rsid w:val="00190D8B"/>
    <w:rsid w:val="00190D8F"/>
    <w:rsid w:val="00190DAD"/>
    <w:rsid w:val="00190E9A"/>
    <w:rsid w:val="00190EC1"/>
    <w:rsid w:val="00190F9C"/>
    <w:rsid w:val="00190F9E"/>
    <w:rsid w:val="00190FBA"/>
    <w:rsid w:val="0019101C"/>
    <w:rsid w:val="001910F5"/>
    <w:rsid w:val="0019112A"/>
    <w:rsid w:val="0019114F"/>
    <w:rsid w:val="001911AA"/>
    <w:rsid w:val="0019128A"/>
    <w:rsid w:val="001912D5"/>
    <w:rsid w:val="0019131D"/>
    <w:rsid w:val="00191333"/>
    <w:rsid w:val="0019139C"/>
    <w:rsid w:val="001913A0"/>
    <w:rsid w:val="001913CC"/>
    <w:rsid w:val="00191400"/>
    <w:rsid w:val="00191415"/>
    <w:rsid w:val="00191418"/>
    <w:rsid w:val="0019141A"/>
    <w:rsid w:val="00191443"/>
    <w:rsid w:val="0019144C"/>
    <w:rsid w:val="00191459"/>
    <w:rsid w:val="0019149A"/>
    <w:rsid w:val="001914F6"/>
    <w:rsid w:val="001914F8"/>
    <w:rsid w:val="00191670"/>
    <w:rsid w:val="001916F8"/>
    <w:rsid w:val="00191706"/>
    <w:rsid w:val="00191731"/>
    <w:rsid w:val="00191780"/>
    <w:rsid w:val="00191791"/>
    <w:rsid w:val="001917D1"/>
    <w:rsid w:val="001917E1"/>
    <w:rsid w:val="001917F3"/>
    <w:rsid w:val="0019181A"/>
    <w:rsid w:val="0019181F"/>
    <w:rsid w:val="00191834"/>
    <w:rsid w:val="00191863"/>
    <w:rsid w:val="001918CB"/>
    <w:rsid w:val="001918D0"/>
    <w:rsid w:val="001918DD"/>
    <w:rsid w:val="0019195B"/>
    <w:rsid w:val="00191A44"/>
    <w:rsid w:val="00191A46"/>
    <w:rsid w:val="00191A63"/>
    <w:rsid w:val="00191A91"/>
    <w:rsid w:val="00191AD8"/>
    <w:rsid w:val="00191AED"/>
    <w:rsid w:val="00191B24"/>
    <w:rsid w:val="00191B5A"/>
    <w:rsid w:val="00191B69"/>
    <w:rsid w:val="00191BC5"/>
    <w:rsid w:val="00191C64"/>
    <w:rsid w:val="00191CD3"/>
    <w:rsid w:val="00191CF7"/>
    <w:rsid w:val="00191D89"/>
    <w:rsid w:val="00191E01"/>
    <w:rsid w:val="00191EFB"/>
    <w:rsid w:val="00191FB3"/>
    <w:rsid w:val="00192004"/>
    <w:rsid w:val="0019202E"/>
    <w:rsid w:val="0019207D"/>
    <w:rsid w:val="00192116"/>
    <w:rsid w:val="0019215A"/>
    <w:rsid w:val="001921DE"/>
    <w:rsid w:val="001921FA"/>
    <w:rsid w:val="00192220"/>
    <w:rsid w:val="00192221"/>
    <w:rsid w:val="00192239"/>
    <w:rsid w:val="0019229E"/>
    <w:rsid w:val="001922B4"/>
    <w:rsid w:val="00192317"/>
    <w:rsid w:val="00192342"/>
    <w:rsid w:val="001923AD"/>
    <w:rsid w:val="001923C4"/>
    <w:rsid w:val="001923E4"/>
    <w:rsid w:val="001923F6"/>
    <w:rsid w:val="00192440"/>
    <w:rsid w:val="00192487"/>
    <w:rsid w:val="001924B6"/>
    <w:rsid w:val="001924D8"/>
    <w:rsid w:val="001924F7"/>
    <w:rsid w:val="0019250D"/>
    <w:rsid w:val="001925B3"/>
    <w:rsid w:val="001925BC"/>
    <w:rsid w:val="001925EE"/>
    <w:rsid w:val="001926A2"/>
    <w:rsid w:val="001926CC"/>
    <w:rsid w:val="001926DB"/>
    <w:rsid w:val="00192711"/>
    <w:rsid w:val="00192779"/>
    <w:rsid w:val="001927AD"/>
    <w:rsid w:val="001927F6"/>
    <w:rsid w:val="0019282A"/>
    <w:rsid w:val="00192855"/>
    <w:rsid w:val="00192862"/>
    <w:rsid w:val="00192950"/>
    <w:rsid w:val="00192982"/>
    <w:rsid w:val="001929D8"/>
    <w:rsid w:val="001929FB"/>
    <w:rsid w:val="00192A28"/>
    <w:rsid w:val="00192A53"/>
    <w:rsid w:val="00192A77"/>
    <w:rsid w:val="00192AC0"/>
    <w:rsid w:val="00192AED"/>
    <w:rsid w:val="00192AF9"/>
    <w:rsid w:val="00192BCB"/>
    <w:rsid w:val="00192C01"/>
    <w:rsid w:val="00192C47"/>
    <w:rsid w:val="00192C82"/>
    <w:rsid w:val="00192CBC"/>
    <w:rsid w:val="00192DD4"/>
    <w:rsid w:val="00192DFC"/>
    <w:rsid w:val="00192E25"/>
    <w:rsid w:val="00192E87"/>
    <w:rsid w:val="00192EB3"/>
    <w:rsid w:val="00192F03"/>
    <w:rsid w:val="00192F4E"/>
    <w:rsid w:val="0019300E"/>
    <w:rsid w:val="00193045"/>
    <w:rsid w:val="0019304A"/>
    <w:rsid w:val="001930C5"/>
    <w:rsid w:val="00193168"/>
    <w:rsid w:val="0019316D"/>
    <w:rsid w:val="001931D4"/>
    <w:rsid w:val="001932B1"/>
    <w:rsid w:val="0019334C"/>
    <w:rsid w:val="0019334D"/>
    <w:rsid w:val="00193364"/>
    <w:rsid w:val="00193384"/>
    <w:rsid w:val="0019339B"/>
    <w:rsid w:val="001933B6"/>
    <w:rsid w:val="001933E4"/>
    <w:rsid w:val="001933F6"/>
    <w:rsid w:val="00193512"/>
    <w:rsid w:val="001935B6"/>
    <w:rsid w:val="001935EA"/>
    <w:rsid w:val="001935FD"/>
    <w:rsid w:val="00193698"/>
    <w:rsid w:val="001936C3"/>
    <w:rsid w:val="001937C2"/>
    <w:rsid w:val="00193829"/>
    <w:rsid w:val="001938B8"/>
    <w:rsid w:val="001938E7"/>
    <w:rsid w:val="001938E8"/>
    <w:rsid w:val="00193950"/>
    <w:rsid w:val="00193969"/>
    <w:rsid w:val="0019399A"/>
    <w:rsid w:val="001939CD"/>
    <w:rsid w:val="00193A16"/>
    <w:rsid w:val="00193A70"/>
    <w:rsid w:val="00193B55"/>
    <w:rsid w:val="00193B80"/>
    <w:rsid w:val="00193BD2"/>
    <w:rsid w:val="00193BFB"/>
    <w:rsid w:val="00193C23"/>
    <w:rsid w:val="00193C52"/>
    <w:rsid w:val="00193C6B"/>
    <w:rsid w:val="00193C99"/>
    <w:rsid w:val="00193CCC"/>
    <w:rsid w:val="00193CF9"/>
    <w:rsid w:val="00193CFA"/>
    <w:rsid w:val="00193D78"/>
    <w:rsid w:val="00193DB7"/>
    <w:rsid w:val="00193DC5"/>
    <w:rsid w:val="00193DD0"/>
    <w:rsid w:val="00193E44"/>
    <w:rsid w:val="00193E67"/>
    <w:rsid w:val="00193EA8"/>
    <w:rsid w:val="00193F41"/>
    <w:rsid w:val="00193FDF"/>
    <w:rsid w:val="00194010"/>
    <w:rsid w:val="00194022"/>
    <w:rsid w:val="00194060"/>
    <w:rsid w:val="001940B3"/>
    <w:rsid w:val="001940ED"/>
    <w:rsid w:val="0019412C"/>
    <w:rsid w:val="00194158"/>
    <w:rsid w:val="001941B5"/>
    <w:rsid w:val="001941D9"/>
    <w:rsid w:val="001941F0"/>
    <w:rsid w:val="001941F9"/>
    <w:rsid w:val="00194223"/>
    <w:rsid w:val="0019425D"/>
    <w:rsid w:val="001943B8"/>
    <w:rsid w:val="001943C5"/>
    <w:rsid w:val="001943C9"/>
    <w:rsid w:val="001943D0"/>
    <w:rsid w:val="00194411"/>
    <w:rsid w:val="0019449E"/>
    <w:rsid w:val="001944C7"/>
    <w:rsid w:val="00194543"/>
    <w:rsid w:val="00194550"/>
    <w:rsid w:val="00194573"/>
    <w:rsid w:val="0019463D"/>
    <w:rsid w:val="0019466A"/>
    <w:rsid w:val="0019472A"/>
    <w:rsid w:val="00194742"/>
    <w:rsid w:val="0019474E"/>
    <w:rsid w:val="00194799"/>
    <w:rsid w:val="001947C2"/>
    <w:rsid w:val="00194853"/>
    <w:rsid w:val="001948EC"/>
    <w:rsid w:val="00194919"/>
    <w:rsid w:val="00194993"/>
    <w:rsid w:val="00194A69"/>
    <w:rsid w:val="00194B8D"/>
    <w:rsid w:val="00194C28"/>
    <w:rsid w:val="00194C63"/>
    <w:rsid w:val="00194C81"/>
    <w:rsid w:val="00194CAA"/>
    <w:rsid w:val="00194D1E"/>
    <w:rsid w:val="00194D3C"/>
    <w:rsid w:val="00194DBF"/>
    <w:rsid w:val="00194DDC"/>
    <w:rsid w:val="00194DF8"/>
    <w:rsid w:val="00194E80"/>
    <w:rsid w:val="00194EF6"/>
    <w:rsid w:val="00194F42"/>
    <w:rsid w:val="00195004"/>
    <w:rsid w:val="00195045"/>
    <w:rsid w:val="00195094"/>
    <w:rsid w:val="001950AE"/>
    <w:rsid w:val="00195167"/>
    <w:rsid w:val="00195191"/>
    <w:rsid w:val="0019522E"/>
    <w:rsid w:val="00195233"/>
    <w:rsid w:val="00195241"/>
    <w:rsid w:val="001952D5"/>
    <w:rsid w:val="00195339"/>
    <w:rsid w:val="0019539C"/>
    <w:rsid w:val="00195460"/>
    <w:rsid w:val="00195606"/>
    <w:rsid w:val="00195612"/>
    <w:rsid w:val="001956B8"/>
    <w:rsid w:val="001956F0"/>
    <w:rsid w:val="00195704"/>
    <w:rsid w:val="0019571C"/>
    <w:rsid w:val="0019580A"/>
    <w:rsid w:val="00195896"/>
    <w:rsid w:val="001958C6"/>
    <w:rsid w:val="001958D5"/>
    <w:rsid w:val="0019591B"/>
    <w:rsid w:val="00195955"/>
    <w:rsid w:val="0019598F"/>
    <w:rsid w:val="001959A2"/>
    <w:rsid w:val="001959B2"/>
    <w:rsid w:val="00195A44"/>
    <w:rsid w:val="00195A73"/>
    <w:rsid w:val="00195AFE"/>
    <w:rsid w:val="00195B4B"/>
    <w:rsid w:val="00195B85"/>
    <w:rsid w:val="00195B8F"/>
    <w:rsid w:val="00195C04"/>
    <w:rsid w:val="00195C4E"/>
    <w:rsid w:val="00195C89"/>
    <w:rsid w:val="00195CAA"/>
    <w:rsid w:val="00195D0F"/>
    <w:rsid w:val="00195D4F"/>
    <w:rsid w:val="00195D55"/>
    <w:rsid w:val="00195DF2"/>
    <w:rsid w:val="00195E0C"/>
    <w:rsid w:val="00195E72"/>
    <w:rsid w:val="00195F5D"/>
    <w:rsid w:val="00195F70"/>
    <w:rsid w:val="00195F80"/>
    <w:rsid w:val="00195F8B"/>
    <w:rsid w:val="00196002"/>
    <w:rsid w:val="00196064"/>
    <w:rsid w:val="0019606B"/>
    <w:rsid w:val="0019607B"/>
    <w:rsid w:val="00196084"/>
    <w:rsid w:val="001960B8"/>
    <w:rsid w:val="001961AA"/>
    <w:rsid w:val="001961D7"/>
    <w:rsid w:val="001961E7"/>
    <w:rsid w:val="0019626E"/>
    <w:rsid w:val="001962EC"/>
    <w:rsid w:val="0019630F"/>
    <w:rsid w:val="00196334"/>
    <w:rsid w:val="00196420"/>
    <w:rsid w:val="00196470"/>
    <w:rsid w:val="0019647B"/>
    <w:rsid w:val="001964E3"/>
    <w:rsid w:val="001964EC"/>
    <w:rsid w:val="001965E8"/>
    <w:rsid w:val="0019662B"/>
    <w:rsid w:val="00196667"/>
    <w:rsid w:val="0019669B"/>
    <w:rsid w:val="001966A0"/>
    <w:rsid w:val="0019671C"/>
    <w:rsid w:val="00196751"/>
    <w:rsid w:val="001967A0"/>
    <w:rsid w:val="001967B7"/>
    <w:rsid w:val="00196808"/>
    <w:rsid w:val="0019694F"/>
    <w:rsid w:val="00196953"/>
    <w:rsid w:val="001969A6"/>
    <w:rsid w:val="001969A7"/>
    <w:rsid w:val="001969B3"/>
    <w:rsid w:val="00196A0F"/>
    <w:rsid w:val="00196A1D"/>
    <w:rsid w:val="00196A21"/>
    <w:rsid w:val="00196A4D"/>
    <w:rsid w:val="00196A6C"/>
    <w:rsid w:val="00196A85"/>
    <w:rsid w:val="00196AA4"/>
    <w:rsid w:val="00196AFD"/>
    <w:rsid w:val="00196B2C"/>
    <w:rsid w:val="00196B9E"/>
    <w:rsid w:val="00196BCA"/>
    <w:rsid w:val="00196C31"/>
    <w:rsid w:val="00196C71"/>
    <w:rsid w:val="00196CEA"/>
    <w:rsid w:val="00196D29"/>
    <w:rsid w:val="00196D6C"/>
    <w:rsid w:val="00196D8D"/>
    <w:rsid w:val="00196E0C"/>
    <w:rsid w:val="00196E65"/>
    <w:rsid w:val="00196EAD"/>
    <w:rsid w:val="00196EEC"/>
    <w:rsid w:val="00196FC3"/>
    <w:rsid w:val="001970E4"/>
    <w:rsid w:val="001970E9"/>
    <w:rsid w:val="00197118"/>
    <w:rsid w:val="00197185"/>
    <w:rsid w:val="001971B3"/>
    <w:rsid w:val="0019720D"/>
    <w:rsid w:val="001972C7"/>
    <w:rsid w:val="001972D5"/>
    <w:rsid w:val="001972D9"/>
    <w:rsid w:val="001972FB"/>
    <w:rsid w:val="0019730B"/>
    <w:rsid w:val="00197316"/>
    <w:rsid w:val="0019745F"/>
    <w:rsid w:val="001974AD"/>
    <w:rsid w:val="001974D3"/>
    <w:rsid w:val="00197543"/>
    <w:rsid w:val="00197547"/>
    <w:rsid w:val="00197586"/>
    <w:rsid w:val="001975E9"/>
    <w:rsid w:val="00197650"/>
    <w:rsid w:val="001976A4"/>
    <w:rsid w:val="001976C5"/>
    <w:rsid w:val="001976C8"/>
    <w:rsid w:val="001976E2"/>
    <w:rsid w:val="00197722"/>
    <w:rsid w:val="00197784"/>
    <w:rsid w:val="00197826"/>
    <w:rsid w:val="0019789B"/>
    <w:rsid w:val="001978BF"/>
    <w:rsid w:val="00197920"/>
    <w:rsid w:val="0019792E"/>
    <w:rsid w:val="00197959"/>
    <w:rsid w:val="00197971"/>
    <w:rsid w:val="00197983"/>
    <w:rsid w:val="00197A03"/>
    <w:rsid w:val="00197A30"/>
    <w:rsid w:val="00197A54"/>
    <w:rsid w:val="00197B5A"/>
    <w:rsid w:val="00197B63"/>
    <w:rsid w:val="00197CD3"/>
    <w:rsid w:val="00197CD4"/>
    <w:rsid w:val="00197CDE"/>
    <w:rsid w:val="00197D8A"/>
    <w:rsid w:val="00197D9F"/>
    <w:rsid w:val="00197DAD"/>
    <w:rsid w:val="00197DBA"/>
    <w:rsid w:val="00197DBB"/>
    <w:rsid w:val="00197E19"/>
    <w:rsid w:val="00197E30"/>
    <w:rsid w:val="00197E3C"/>
    <w:rsid w:val="00197E3E"/>
    <w:rsid w:val="00197EAD"/>
    <w:rsid w:val="00197F2D"/>
    <w:rsid w:val="00197F47"/>
    <w:rsid w:val="00197FBA"/>
    <w:rsid w:val="00197FE4"/>
    <w:rsid w:val="00197FE7"/>
    <w:rsid w:val="001A0055"/>
    <w:rsid w:val="001A0061"/>
    <w:rsid w:val="001A00D8"/>
    <w:rsid w:val="001A0104"/>
    <w:rsid w:val="001A0157"/>
    <w:rsid w:val="001A0181"/>
    <w:rsid w:val="001A0183"/>
    <w:rsid w:val="001A01A0"/>
    <w:rsid w:val="001A025F"/>
    <w:rsid w:val="001A0268"/>
    <w:rsid w:val="001A02E6"/>
    <w:rsid w:val="001A0316"/>
    <w:rsid w:val="001A0368"/>
    <w:rsid w:val="001A0369"/>
    <w:rsid w:val="001A03A2"/>
    <w:rsid w:val="001A03EB"/>
    <w:rsid w:val="001A042B"/>
    <w:rsid w:val="001A042D"/>
    <w:rsid w:val="001A0466"/>
    <w:rsid w:val="001A047F"/>
    <w:rsid w:val="001A0482"/>
    <w:rsid w:val="001A0484"/>
    <w:rsid w:val="001A0490"/>
    <w:rsid w:val="001A04C6"/>
    <w:rsid w:val="001A0576"/>
    <w:rsid w:val="001A05A1"/>
    <w:rsid w:val="001A05C1"/>
    <w:rsid w:val="001A05FA"/>
    <w:rsid w:val="001A0689"/>
    <w:rsid w:val="001A06B4"/>
    <w:rsid w:val="001A0711"/>
    <w:rsid w:val="001A077C"/>
    <w:rsid w:val="001A0783"/>
    <w:rsid w:val="001A0815"/>
    <w:rsid w:val="001A084F"/>
    <w:rsid w:val="001A08B2"/>
    <w:rsid w:val="001A08F6"/>
    <w:rsid w:val="001A090E"/>
    <w:rsid w:val="001A094A"/>
    <w:rsid w:val="001A09A4"/>
    <w:rsid w:val="001A09CE"/>
    <w:rsid w:val="001A0A63"/>
    <w:rsid w:val="001A0BAD"/>
    <w:rsid w:val="001A0BB1"/>
    <w:rsid w:val="001A0C30"/>
    <w:rsid w:val="001A0C69"/>
    <w:rsid w:val="001A0C96"/>
    <w:rsid w:val="001A0CB9"/>
    <w:rsid w:val="001A0D11"/>
    <w:rsid w:val="001A0D6E"/>
    <w:rsid w:val="001A0D72"/>
    <w:rsid w:val="001A0DC6"/>
    <w:rsid w:val="001A0DFE"/>
    <w:rsid w:val="001A0E28"/>
    <w:rsid w:val="001A0E6C"/>
    <w:rsid w:val="001A0E6E"/>
    <w:rsid w:val="001A0E70"/>
    <w:rsid w:val="001A0E96"/>
    <w:rsid w:val="001A0ED3"/>
    <w:rsid w:val="001A0F7D"/>
    <w:rsid w:val="001A0F9D"/>
    <w:rsid w:val="001A0FD8"/>
    <w:rsid w:val="001A0FF0"/>
    <w:rsid w:val="001A1001"/>
    <w:rsid w:val="001A1026"/>
    <w:rsid w:val="001A104D"/>
    <w:rsid w:val="001A10F6"/>
    <w:rsid w:val="001A1108"/>
    <w:rsid w:val="001A1177"/>
    <w:rsid w:val="001A119F"/>
    <w:rsid w:val="001A121A"/>
    <w:rsid w:val="001A1318"/>
    <w:rsid w:val="001A1355"/>
    <w:rsid w:val="001A1376"/>
    <w:rsid w:val="001A1399"/>
    <w:rsid w:val="001A13F6"/>
    <w:rsid w:val="001A1501"/>
    <w:rsid w:val="001A1534"/>
    <w:rsid w:val="001A15DE"/>
    <w:rsid w:val="001A162F"/>
    <w:rsid w:val="001A1641"/>
    <w:rsid w:val="001A1660"/>
    <w:rsid w:val="001A1674"/>
    <w:rsid w:val="001A16AF"/>
    <w:rsid w:val="001A16C0"/>
    <w:rsid w:val="001A16D7"/>
    <w:rsid w:val="001A1727"/>
    <w:rsid w:val="001A177E"/>
    <w:rsid w:val="001A17E2"/>
    <w:rsid w:val="001A1816"/>
    <w:rsid w:val="001A181F"/>
    <w:rsid w:val="001A183F"/>
    <w:rsid w:val="001A18E5"/>
    <w:rsid w:val="001A1961"/>
    <w:rsid w:val="001A1A38"/>
    <w:rsid w:val="001A1ACD"/>
    <w:rsid w:val="001A1ADE"/>
    <w:rsid w:val="001A1B17"/>
    <w:rsid w:val="001A1B1D"/>
    <w:rsid w:val="001A1B5A"/>
    <w:rsid w:val="001A1B5B"/>
    <w:rsid w:val="001A1B9E"/>
    <w:rsid w:val="001A1BAF"/>
    <w:rsid w:val="001A1BC0"/>
    <w:rsid w:val="001A1BFA"/>
    <w:rsid w:val="001A1C95"/>
    <w:rsid w:val="001A1CDD"/>
    <w:rsid w:val="001A1CE5"/>
    <w:rsid w:val="001A1DFF"/>
    <w:rsid w:val="001A1E10"/>
    <w:rsid w:val="001A1E68"/>
    <w:rsid w:val="001A1E6B"/>
    <w:rsid w:val="001A1E9D"/>
    <w:rsid w:val="001A1ECC"/>
    <w:rsid w:val="001A1ED2"/>
    <w:rsid w:val="001A1EDF"/>
    <w:rsid w:val="001A1F03"/>
    <w:rsid w:val="001A1F10"/>
    <w:rsid w:val="001A1F8F"/>
    <w:rsid w:val="001A1FFB"/>
    <w:rsid w:val="001A1FFC"/>
    <w:rsid w:val="001A200D"/>
    <w:rsid w:val="001A20B8"/>
    <w:rsid w:val="001A20ED"/>
    <w:rsid w:val="001A211F"/>
    <w:rsid w:val="001A2147"/>
    <w:rsid w:val="001A217D"/>
    <w:rsid w:val="001A21D1"/>
    <w:rsid w:val="001A2249"/>
    <w:rsid w:val="001A2254"/>
    <w:rsid w:val="001A22F5"/>
    <w:rsid w:val="001A2341"/>
    <w:rsid w:val="001A2354"/>
    <w:rsid w:val="001A2394"/>
    <w:rsid w:val="001A23CA"/>
    <w:rsid w:val="001A23E0"/>
    <w:rsid w:val="001A241C"/>
    <w:rsid w:val="001A24BA"/>
    <w:rsid w:val="001A24BD"/>
    <w:rsid w:val="001A24C1"/>
    <w:rsid w:val="001A24D9"/>
    <w:rsid w:val="001A25AD"/>
    <w:rsid w:val="001A25C3"/>
    <w:rsid w:val="001A25D4"/>
    <w:rsid w:val="001A2636"/>
    <w:rsid w:val="001A272D"/>
    <w:rsid w:val="001A274E"/>
    <w:rsid w:val="001A278E"/>
    <w:rsid w:val="001A27DD"/>
    <w:rsid w:val="001A27FC"/>
    <w:rsid w:val="001A2809"/>
    <w:rsid w:val="001A2816"/>
    <w:rsid w:val="001A283F"/>
    <w:rsid w:val="001A28ED"/>
    <w:rsid w:val="001A290A"/>
    <w:rsid w:val="001A2922"/>
    <w:rsid w:val="001A2947"/>
    <w:rsid w:val="001A29EF"/>
    <w:rsid w:val="001A2A4A"/>
    <w:rsid w:val="001A2AB1"/>
    <w:rsid w:val="001A2B1D"/>
    <w:rsid w:val="001A2B29"/>
    <w:rsid w:val="001A2B31"/>
    <w:rsid w:val="001A2B9B"/>
    <w:rsid w:val="001A2C31"/>
    <w:rsid w:val="001A2D38"/>
    <w:rsid w:val="001A2D5F"/>
    <w:rsid w:val="001A2D85"/>
    <w:rsid w:val="001A2DA8"/>
    <w:rsid w:val="001A2DBB"/>
    <w:rsid w:val="001A2DD3"/>
    <w:rsid w:val="001A2E46"/>
    <w:rsid w:val="001A2E7C"/>
    <w:rsid w:val="001A2EC1"/>
    <w:rsid w:val="001A2F46"/>
    <w:rsid w:val="001A2F4A"/>
    <w:rsid w:val="001A2FC4"/>
    <w:rsid w:val="001A300F"/>
    <w:rsid w:val="001A3046"/>
    <w:rsid w:val="001A318E"/>
    <w:rsid w:val="001A31BA"/>
    <w:rsid w:val="001A31E4"/>
    <w:rsid w:val="001A320E"/>
    <w:rsid w:val="001A3263"/>
    <w:rsid w:val="001A328B"/>
    <w:rsid w:val="001A335E"/>
    <w:rsid w:val="001A337B"/>
    <w:rsid w:val="001A33FF"/>
    <w:rsid w:val="001A3407"/>
    <w:rsid w:val="001A344F"/>
    <w:rsid w:val="001A3509"/>
    <w:rsid w:val="001A3542"/>
    <w:rsid w:val="001A3578"/>
    <w:rsid w:val="001A35BB"/>
    <w:rsid w:val="001A3673"/>
    <w:rsid w:val="001A3696"/>
    <w:rsid w:val="001A36B0"/>
    <w:rsid w:val="001A36CD"/>
    <w:rsid w:val="001A36DE"/>
    <w:rsid w:val="001A373E"/>
    <w:rsid w:val="001A37A3"/>
    <w:rsid w:val="001A37D1"/>
    <w:rsid w:val="001A37E2"/>
    <w:rsid w:val="001A37EE"/>
    <w:rsid w:val="001A382D"/>
    <w:rsid w:val="001A38EE"/>
    <w:rsid w:val="001A3939"/>
    <w:rsid w:val="001A393B"/>
    <w:rsid w:val="001A39FB"/>
    <w:rsid w:val="001A3A1E"/>
    <w:rsid w:val="001A3A28"/>
    <w:rsid w:val="001A3A98"/>
    <w:rsid w:val="001A3AC3"/>
    <w:rsid w:val="001A3AEE"/>
    <w:rsid w:val="001A3B11"/>
    <w:rsid w:val="001A3B18"/>
    <w:rsid w:val="001A3B80"/>
    <w:rsid w:val="001A3B8B"/>
    <w:rsid w:val="001A3BA0"/>
    <w:rsid w:val="001A3BEC"/>
    <w:rsid w:val="001A3C46"/>
    <w:rsid w:val="001A3C63"/>
    <w:rsid w:val="001A3C65"/>
    <w:rsid w:val="001A3CB4"/>
    <w:rsid w:val="001A3CC0"/>
    <w:rsid w:val="001A3CCC"/>
    <w:rsid w:val="001A3CE4"/>
    <w:rsid w:val="001A3D81"/>
    <w:rsid w:val="001A3DE6"/>
    <w:rsid w:val="001A3E5D"/>
    <w:rsid w:val="001A3ED0"/>
    <w:rsid w:val="001A3F07"/>
    <w:rsid w:val="001A3F35"/>
    <w:rsid w:val="001A3F67"/>
    <w:rsid w:val="001A3FD8"/>
    <w:rsid w:val="001A3FDC"/>
    <w:rsid w:val="001A4006"/>
    <w:rsid w:val="001A403D"/>
    <w:rsid w:val="001A4116"/>
    <w:rsid w:val="001A416E"/>
    <w:rsid w:val="001A417D"/>
    <w:rsid w:val="001A4190"/>
    <w:rsid w:val="001A41BA"/>
    <w:rsid w:val="001A4236"/>
    <w:rsid w:val="001A4270"/>
    <w:rsid w:val="001A4276"/>
    <w:rsid w:val="001A42F1"/>
    <w:rsid w:val="001A4379"/>
    <w:rsid w:val="001A4413"/>
    <w:rsid w:val="001A4467"/>
    <w:rsid w:val="001A4471"/>
    <w:rsid w:val="001A44EF"/>
    <w:rsid w:val="001A452D"/>
    <w:rsid w:val="001A4534"/>
    <w:rsid w:val="001A4576"/>
    <w:rsid w:val="001A45FF"/>
    <w:rsid w:val="001A460F"/>
    <w:rsid w:val="001A466B"/>
    <w:rsid w:val="001A46E0"/>
    <w:rsid w:val="001A46E2"/>
    <w:rsid w:val="001A4734"/>
    <w:rsid w:val="001A47D7"/>
    <w:rsid w:val="001A4801"/>
    <w:rsid w:val="001A48D6"/>
    <w:rsid w:val="001A49BA"/>
    <w:rsid w:val="001A4A95"/>
    <w:rsid w:val="001A4AC1"/>
    <w:rsid w:val="001A4B3D"/>
    <w:rsid w:val="001A4B4F"/>
    <w:rsid w:val="001A4B9F"/>
    <w:rsid w:val="001A4BEC"/>
    <w:rsid w:val="001A4C04"/>
    <w:rsid w:val="001A4CDD"/>
    <w:rsid w:val="001A4CFA"/>
    <w:rsid w:val="001A4D2D"/>
    <w:rsid w:val="001A4D52"/>
    <w:rsid w:val="001A4D9A"/>
    <w:rsid w:val="001A4DA7"/>
    <w:rsid w:val="001A4DAB"/>
    <w:rsid w:val="001A4DC5"/>
    <w:rsid w:val="001A4E71"/>
    <w:rsid w:val="001A4EBA"/>
    <w:rsid w:val="001A4EF9"/>
    <w:rsid w:val="001A4F93"/>
    <w:rsid w:val="001A4F98"/>
    <w:rsid w:val="001A4FD3"/>
    <w:rsid w:val="001A4FFA"/>
    <w:rsid w:val="001A502C"/>
    <w:rsid w:val="001A5056"/>
    <w:rsid w:val="001A506F"/>
    <w:rsid w:val="001A512D"/>
    <w:rsid w:val="001A5184"/>
    <w:rsid w:val="001A5232"/>
    <w:rsid w:val="001A527C"/>
    <w:rsid w:val="001A5298"/>
    <w:rsid w:val="001A5330"/>
    <w:rsid w:val="001A53BA"/>
    <w:rsid w:val="001A5408"/>
    <w:rsid w:val="001A548C"/>
    <w:rsid w:val="001A54DB"/>
    <w:rsid w:val="001A553F"/>
    <w:rsid w:val="001A5548"/>
    <w:rsid w:val="001A5595"/>
    <w:rsid w:val="001A55A8"/>
    <w:rsid w:val="001A55BA"/>
    <w:rsid w:val="001A5656"/>
    <w:rsid w:val="001A5663"/>
    <w:rsid w:val="001A56E2"/>
    <w:rsid w:val="001A5778"/>
    <w:rsid w:val="001A57C5"/>
    <w:rsid w:val="001A57D2"/>
    <w:rsid w:val="001A57D9"/>
    <w:rsid w:val="001A5809"/>
    <w:rsid w:val="001A583D"/>
    <w:rsid w:val="001A5864"/>
    <w:rsid w:val="001A5895"/>
    <w:rsid w:val="001A58A9"/>
    <w:rsid w:val="001A58C8"/>
    <w:rsid w:val="001A58E9"/>
    <w:rsid w:val="001A5905"/>
    <w:rsid w:val="001A5978"/>
    <w:rsid w:val="001A5990"/>
    <w:rsid w:val="001A59C9"/>
    <w:rsid w:val="001A5B39"/>
    <w:rsid w:val="001A5B4F"/>
    <w:rsid w:val="001A5C07"/>
    <w:rsid w:val="001A5C35"/>
    <w:rsid w:val="001A5C51"/>
    <w:rsid w:val="001A5C98"/>
    <w:rsid w:val="001A5D4F"/>
    <w:rsid w:val="001A5D70"/>
    <w:rsid w:val="001A5DBD"/>
    <w:rsid w:val="001A5DFE"/>
    <w:rsid w:val="001A5E0C"/>
    <w:rsid w:val="001A5E8F"/>
    <w:rsid w:val="001A5E99"/>
    <w:rsid w:val="001A5F24"/>
    <w:rsid w:val="001A5FD5"/>
    <w:rsid w:val="001A6000"/>
    <w:rsid w:val="001A603A"/>
    <w:rsid w:val="001A603F"/>
    <w:rsid w:val="001A6084"/>
    <w:rsid w:val="001A6089"/>
    <w:rsid w:val="001A609D"/>
    <w:rsid w:val="001A60CF"/>
    <w:rsid w:val="001A60E6"/>
    <w:rsid w:val="001A6127"/>
    <w:rsid w:val="001A61C2"/>
    <w:rsid w:val="001A6212"/>
    <w:rsid w:val="001A6226"/>
    <w:rsid w:val="001A6290"/>
    <w:rsid w:val="001A629A"/>
    <w:rsid w:val="001A633C"/>
    <w:rsid w:val="001A6393"/>
    <w:rsid w:val="001A642A"/>
    <w:rsid w:val="001A64A6"/>
    <w:rsid w:val="001A653E"/>
    <w:rsid w:val="001A654D"/>
    <w:rsid w:val="001A65B0"/>
    <w:rsid w:val="001A65B9"/>
    <w:rsid w:val="001A6610"/>
    <w:rsid w:val="001A681A"/>
    <w:rsid w:val="001A6852"/>
    <w:rsid w:val="001A6867"/>
    <w:rsid w:val="001A68A7"/>
    <w:rsid w:val="001A68E0"/>
    <w:rsid w:val="001A690C"/>
    <w:rsid w:val="001A690D"/>
    <w:rsid w:val="001A691B"/>
    <w:rsid w:val="001A692B"/>
    <w:rsid w:val="001A69A4"/>
    <w:rsid w:val="001A69B8"/>
    <w:rsid w:val="001A69D8"/>
    <w:rsid w:val="001A6A35"/>
    <w:rsid w:val="001A6A4D"/>
    <w:rsid w:val="001A6A72"/>
    <w:rsid w:val="001A6B13"/>
    <w:rsid w:val="001A6B77"/>
    <w:rsid w:val="001A6B98"/>
    <w:rsid w:val="001A6BA6"/>
    <w:rsid w:val="001A6C09"/>
    <w:rsid w:val="001A6C44"/>
    <w:rsid w:val="001A6C51"/>
    <w:rsid w:val="001A6CC5"/>
    <w:rsid w:val="001A6CDC"/>
    <w:rsid w:val="001A6D7C"/>
    <w:rsid w:val="001A6D86"/>
    <w:rsid w:val="001A6DCA"/>
    <w:rsid w:val="001A6DCB"/>
    <w:rsid w:val="001A6DDF"/>
    <w:rsid w:val="001A6DFA"/>
    <w:rsid w:val="001A6E3F"/>
    <w:rsid w:val="001A6E5D"/>
    <w:rsid w:val="001A6E6C"/>
    <w:rsid w:val="001A6E97"/>
    <w:rsid w:val="001A6EB8"/>
    <w:rsid w:val="001A6EE2"/>
    <w:rsid w:val="001A6FD4"/>
    <w:rsid w:val="001A7040"/>
    <w:rsid w:val="001A7079"/>
    <w:rsid w:val="001A70BB"/>
    <w:rsid w:val="001A710B"/>
    <w:rsid w:val="001A714E"/>
    <w:rsid w:val="001A7237"/>
    <w:rsid w:val="001A7253"/>
    <w:rsid w:val="001A728C"/>
    <w:rsid w:val="001A72B9"/>
    <w:rsid w:val="001A7319"/>
    <w:rsid w:val="001A731A"/>
    <w:rsid w:val="001A733E"/>
    <w:rsid w:val="001A735D"/>
    <w:rsid w:val="001A7372"/>
    <w:rsid w:val="001A739A"/>
    <w:rsid w:val="001A74EF"/>
    <w:rsid w:val="001A7512"/>
    <w:rsid w:val="001A7546"/>
    <w:rsid w:val="001A7587"/>
    <w:rsid w:val="001A75E9"/>
    <w:rsid w:val="001A760B"/>
    <w:rsid w:val="001A7655"/>
    <w:rsid w:val="001A7670"/>
    <w:rsid w:val="001A76DE"/>
    <w:rsid w:val="001A771A"/>
    <w:rsid w:val="001A7736"/>
    <w:rsid w:val="001A7748"/>
    <w:rsid w:val="001A776C"/>
    <w:rsid w:val="001A7771"/>
    <w:rsid w:val="001A7784"/>
    <w:rsid w:val="001A779C"/>
    <w:rsid w:val="001A7842"/>
    <w:rsid w:val="001A784B"/>
    <w:rsid w:val="001A78AA"/>
    <w:rsid w:val="001A78CF"/>
    <w:rsid w:val="001A78D2"/>
    <w:rsid w:val="001A7905"/>
    <w:rsid w:val="001A7973"/>
    <w:rsid w:val="001A7A06"/>
    <w:rsid w:val="001A7B1A"/>
    <w:rsid w:val="001A7B36"/>
    <w:rsid w:val="001A7BC7"/>
    <w:rsid w:val="001A7BC8"/>
    <w:rsid w:val="001A7C41"/>
    <w:rsid w:val="001A7CD3"/>
    <w:rsid w:val="001A7CF5"/>
    <w:rsid w:val="001A7D04"/>
    <w:rsid w:val="001A7D76"/>
    <w:rsid w:val="001A7DB0"/>
    <w:rsid w:val="001A7ED2"/>
    <w:rsid w:val="001A7EE8"/>
    <w:rsid w:val="001A7EF4"/>
    <w:rsid w:val="001A7F25"/>
    <w:rsid w:val="001A7F3B"/>
    <w:rsid w:val="001A7F73"/>
    <w:rsid w:val="001A7F85"/>
    <w:rsid w:val="001B0014"/>
    <w:rsid w:val="001B004D"/>
    <w:rsid w:val="001B008D"/>
    <w:rsid w:val="001B00D0"/>
    <w:rsid w:val="001B00D3"/>
    <w:rsid w:val="001B01B5"/>
    <w:rsid w:val="001B0244"/>
    <w:rsid w:val="001B0260"/>
    <w:rsid w:val="001B026C"/>
    <w:rsid w:val="001B0348"/>
    <w:rsid w:val="001B0362"/>
    <w:rsid w:val="001B0376"/>
    <w:rsid w:val="001B037A"/>
    <w:rsid w:val="001B0431"/>
    <w:rsid w:val="001B048B"/>
    <w:rsid w:val="001B04A5"/>
    <w:rsid w:val="001B04D0"/>
    <w:rsid w:val="001B0587"/>
    <w:rsid w:val="001B05A6"/>
    <w:rsid w:val="001B05AD"/>
    <w:rsid w:val="001B05F6"/>
    <w:rsid w:val="001B0668"/>
    <w:rsid w:val="001B06C3"/>
    <w:rsid w:val="001B0732"/>
    <w:rsid w:val="001B0748"/>
    <w:rsid w:val="001B0784"/>
    <w:rsid w:val="001B078E"/>
    <w:rsid w:val="001B07AE"/>
    <w:rsid w:val="001B080B"/>
    <w:rsid w:val="001B0827"/>
    <w:rsid w:val="001B0874"/>
    <w:rsid w:val="001B08B8"/>
    <w:rsid w:val="001B08C1"/>
    <w:rsid w:val="001B08FE"/>
    <w:rsid w:val="001B0956"/>
    <w:rsid w:val="001B0982"/>
    <w:rsid w:val="001B0985"/>
    <w:rsid w:val="001B09DB"/>
    <w:rsid w:val="001B0A08"/>
    <w:rsid w:val="001B0A74"/>
    <w:rsid w:val="001B0ACC"/>
    <w:rsid w:val="001B0AF6"/>
    <w:rsid w:val="001B0B0F"/>
    <w:rsid w:val="001B0B1C"/>
    <w:rsid w:val="001B0B6E"/>
    <w:rsid w:val="001B0BA2"/>
    <w:rsid w:val="001B0BB1"/>
    <w:rsid w:val="001B0C0D"/>
    <w:rsid w:val="001B0C1C"/>
    <w:rsid w:val="001B0C29"/>
    <w:rsid w:val="001B0D43"/>
    <w:rsid w:val="001B0D63"/>
    <w:rsid w:val="001B0DA4"/>
    <w:rsid w:val="001B0E5A"/>
    <w:rsid w:val="001B0E78"/>
    <w:rsid w:val="001B0EA8"/>
    <w:rsid w:val="001B0EE5"/>
    <w:rsid w:val="001B0F21"/>
    <w:rsid w:val="001B0F59"/>
    <w:rsid w:val="001B0F6F"/>
    <w:rsid w:val="001B0FAA"/>
    <w:rsid w:val="001B0FF7"/>
    <w:rsid w:val="001B0FF8"/>
    <w:rsid w:val="001B1018"/>
    <w:rsid w:val="001B1076"/>
    <w:rsid w:val="001B107E"/>
    <w:rsid w:val="001B109E"/>
    <w:rsid w:val="001B10E2"/>
    <w:rsid w:val="001B10F5"/>
    <w:rsid w:val="001B113B"/>
    <w:rsid w:val="001B1163"/>
    <w:rsid w:val="001B118F"/>
    <w:rsid w:val="001B1296"/>
    <w:rsid w:val="001B1305"/>
    <w:rsid w:val="001B1354"/>
    <w:rsid w:val="001B13CB"/>
    <w:rsid w:val="001B1446"/>
    <w:rsid w:val="001B1486"/>
    <w:rsid w:val="001B14A5"/>
    <w:rsid w:val="001B14E1"/>
    <w:rsid w:val="001B152D"/>
    <w:rsid w:val="001B1544"/>
    <w:rsid w:val="001B1566"/>
    <w:rsid w:val="001B1609"/>
    <w:rsid w:val="001B161C"/>
    <w:rsid w:val="001B16C1"/>
    <w:rsid w:val="001B1707"/>
    <w:rsid w:val="001B173B"/>
    <w:rsid w:val="001B174A"/>
    <w:rsid w:val="001B1781"/>
    <w:rsid w:val="001B1799"/>
    <w:rsid w:val="001B179D"/>
    <w:rsid w:val="001B17A4"/>
    <w:rsid w:val="001B17C3"/>
    <w:rsid w:val="001B1814"/>
    <w:rsid w:val="001B193D"/>
    <w:rsid w:val="001B199E"/>
    <w:rsid w:val="001B19AF"/>
    <w:rsid w:val="001B19E4"/>
    <w:rsid w:val="001B1A1A"/>
    <w:rsid w:val="001B1A38"/>
    <w:rsid w:val="001B1A80"/>
    <w:rsid w:val="001B1AEA"/>
    <w:rsid w:val="001B1B54"/>
    <w:rsid w:val="001B1B58"/>
    <w:rsid w:val="001B1B73"/>
    <w:rsid w:val="001B1B82"/>
    <w:rsid w:val="001B1B94"/>
    <w:rsid w:val="001B1BBD"/>
    <w:rsid w:val="001B1C89"/>
    <w:rsid w:val="001B1CB2"/>
    <w:rsid w:val="001B1CB7"/>
    <w:rsid w:val="001B1D44"/>
    <w:rsid w:val="001B1D83"/>
    <w:rsid w:val="001B1D91"/>
    <w:rsid w:val="001B1E66"/>
    <w:rsid w:val="001B1F1B"/>
    <w:rsid w:val="001B1F7C"/>
    <w:rsid w:val="001B1FA3"/>
    <w:rsid w:val="001B1FDE"/>
    <w:rsid w:val="001B201E"/>
    <w:rsid w:val="001B2048"/>
    <w:rsid w:val="001B2050"/>
    <w:rsid w:val="001B20C6"/>
    <w:rsid w:val="001B2152"/>
    <w:rsid w:val="001B2154"/>
    <w:rsid w:val="001B2167"/>
    <w:rsid w:val="001B21DD"/>
    <w:rsid w:val="001B2203"/>
    <w:rsid w:val="001B222D"/>
    <w:rsid w:val="001B2250"/>
    <w:rsid w:val="001B2293"/>
    <w:rsid w:val="001B22A0"/>
    <w:rsid w:val="001B22B3"/>
    <w:rsid w:val="001B2321"/>
    <w:rsid w:val="001B2352"/>
    <w:rsid w:val="001B24CC"/>
    <w:rsid w:val="001B2512"/>
    <w:rsid w:val="001B2521"/>
    <w:rsid w:val="001B2527"/>
    <w:rsid w:val="001B2536"/>
    <w:rsid w:val="001B2566"/>
    <w:rsid w:val="001B25EB"/>
    <w:rsid w:val="001B26C7"/>
    <w:rsid w:val="001B2723"/>
    <w:rsid w:val="001B2732"/>
    <w:rsid w:val="001B27A8"/>
    <w:rsid w:val="001B27B3"/>
    <w:rsid w:val="001B27C2"/>
    <w:rsid w:val="001B282B"/>
    <w:rsid w:val="001B2858"/>
    <w:rsid w:val="001B289F"/>
    <w:rsid w:val="001B2978"/>
    <w:rsid w:val="001B299D"/>
    <w:rsid w:val="001B29AC"/>
    <w:rsid w:val="001B29D8"/>
    <w:rsid w:val="001B29EE"/>
    <w:rsid w:val="001B2A52"/>
    <w:rsid w:val="001B2AA0"/>
    <w:rsid w:val="001B2B56"/>
    <w:rsid w:val="001B2B71"/>
    <w:rsid w:val="001B2C1F"/>
    <w:rsid w:val="001B2C42"/>
    <w:rsid w:val="001B2C4B"/>
    <w:rsid w:val="001B2C50"/>
    <w:rsid w:val="001B2C6A"/>
    <w:rsid w:val="001B2D2F"/>
    <w:rsid w:val="001B2D62"/>
    <w:rsid w:val="001B2DD1"/>
    <w:rsid w:val="001B2DE5"/>
    <w:rsid w:val="001B2E1B"/>
    <w:rsid w:val="001B2E40"/>
    <w:rsid w:val="001B2E4F"/>
    <w:rsid w:val="001B2E6B"/>
    <w:rsid w:val="001B2EFF"/>
    <w:rsid w:val="001B2FA1"/>
    <w:rsid w:val="001B2FB1"/>
    <w:rsid w:val="001B3052"/>
    <w:rsid w:val="001B3075"/>
    <w:rsid w:val="001B3088"/>
    <w:rsid w:val="001B30DD"/>
    <w:rsid w:val="001B310A"/>
    <w:rsid w:val="001B3140"/>
    <w:rsid w:val="001B316A"/>
    <w:rsid w:val="001B3187"/>
    <w:rsid w:val="001B31CD"/>
    <w:rsid w:val="001B31D9"/>
    <w:rsid w:val="001B323F"/>
    <w:rsid w:val="001B3278"/>
    <w:rsid w:val="001B329C"/>
    <w:rsid w:val="001B32AF"/>
    <w:rsid w:val="001B32C1"/>
    <w:rsid w:val="001B32CD"/>
    <w:rsid w:val="001B32D5"/>
    <w:rsid w:val="001B333D"/>
    <w:rsid w:val="001B33A8"/>
    <w:rsid w:val="001B340E"/>
    <w:rsid w:val="001B3581"/>
    <w:rsid w:val="001B35A2"/>
    <w:rsid w:val="001B35A6"/>
    <w:rsid w:val="001B35E2"/>
    <w:rsid w:val="001B35FF"/>
    <w:rsid w:val="001B3601"/>
    <w:rsid w:val="001B361A"/>
    <w:rsid w:val="001B3620"/>
    <w:rsid w:val="001B3626"/>
    <w:rsid w:val="001B3685"/>
    <w:rsid w:val="001B36E9"/>
    <w:rsid w:val="001B3718"/>
    <w:rsid w:val="001B3762"/>
    <w:rsid w:val="001B3797"/>
    <w:rsid w:val="001B37A7"/>
    <w:rsid w:val="001B37EE"/>
    <w:rsid w:val="001B382E"/>
    <w:rsid w:val="001B3846"/>
    <w:rsid w:val="001B3875"/>
    <w:rsid w:val="001B389F"/>
    <w:rsid w:val="001B38C0"/>
    <w:rsid w:val="001B393A"/>
    <w:rsid w:val="001B395D"/>
    <w:rsid w:val="001B39B2"/>
    <w:rsid w:val="001B3A30"/>
    <w:rsid w:val="001B3AD3"/>
    <w:rsid w:val="001B3AFB"/>
    <w:rsid w:val="001B3B9A"/>
    <w:rsid w:val="001B3BBD"/>
    <w:rsid w:val="001B3BC7"/>
    <w:rsid w:val="001B3BED"/>
    <w:rsid w:val="001B3C1C"/>
    <w:rsid w:val="001B3C88"/>
    <w:rsid w:val="001B3C94"/>
    <w:rsid w:val="001B3CE8"/>
    <w:rsid w:val="001B3CF0"/>
    <w:rsid w:val="001B3D18"/>
    <w:rsid w:val="001B3D4F"/>
    <w:rsid w:val="001B3D5B"/>
    <w:rsid w:val="001B3D61"/>
    <w:rsid w:val="001B3D63"/>
    <w:rsid w:val="001B3D68"/>
    <w:rsid w:val="001B3E42"/>
    <w:rsid w:val="001B3E8E"/>
    <w:rsid w:val="001B3F0C"/>
    <w:rsid w:val="001B3F2B"/>
    <w:rsid w:val="001B3FBC"/>
    <w:rsid w:val="001B3FC6"/>
    <w:rsid w:val="001B3FD4"/>
    <w:rsid w:val="001B3FDB"/>
    <w:rsid w:val="001B3FE2"/>
    <w:rsid w:val="001B3FE4"/>
    <w:rsid w:val="001B4006"/>
    <w:rsid w:val="001B4011"/>
    <w:rsid w:val="001B4047"/>
    <w:rsid w:val="001B4059"/>
    <w:rsid w:val="001B4076"/>
    <w:rsid w:val="001B40B9"/>
    <w:rsid w:val="001B40C1"/>
    <w:rsid w:val="001B40F2"/>
    <w:rsid w:val="001B4111"/>
    <w:rsid w:val="001B4125"/>
    <w:rsid w:val="001B415A"/>
    <w:rsid w:val="001B4169"/>
    <w:rsid w:val="001B417E"/>
    <w:rsid w:val="001B4190"/>
    <w:rsid w:val="001B4193"/>
    <w:rsid w:val="001B419D"/>
    <w:rsid w:val="001B41A9"/>
    <w:rsid w:val="001B41B8"/>
    <w:rsid w:val="001B41E0"/>
    <w:rsid w:val="001B4223"/>
    <w:rsid w:val="001B4228"/>
    <w:rsid w:val="001B42A8"/>
    <w:rsid w:val="001B42B9"/>
    <w:rsid w:val="001B42C0"/>
    <w:rsid w:val="001B42E4"/>
    <w:rsid w:val="001B42EE"/>
    <w:rsid w:val="001B431E"/>
    <w:rsid w:val="001B4367"/>
    <w:rsid w:val="001B4397"/>
    <w:rsid w:val="001B43BE"/>
    <w:rsid w:val="001B43CE"/>
    <w:rsid w:val="001B43D8"/>
    <w:rsid w:val="001B43E1"/>
    <w:rsid w:val="001B4463"/>
    <w:rsid w:val="001B451A"/>
    <w:rsid w:val="001B4535"/>
    <w:rsid w:val="001B4619"/>
    <w:rsid w:val="001B4677"/>
    <w:rsid w:val="001B46A9"/>
    <w:rsid w:val="001B46F4"/>
    <w:rsid w:val="001B471C"/>
    <w:rsid w:val="001B4723"/>
    <w:rsid w:val="001B479A"/>
    <w:rsid w:val="001B4802"/>
    <w:rsid w:val="001B481F"/>
    <w:rsid w:val="001B4840"/>
    <w:rsid w:val="001B4899"/>
    <w:rsid w:val="001B48F7"/>
    <w:rsid w:val="001B4927"/>
    <w:rsid w:val="001B492F"/>
    <w:rsid w:val="001B493D"/>
    <w:rsid w:val="001B4A5C"/>
    <w:rsid w:val="001B4A6B"/>
    <w:rsid w:val="001B4AF0"/>
    <w:rsid w:val="001B4B06"/>
    <w:rsid w:val="001B4CC4"/>
    <w:rsid w:val="001B4CD3"/>
    <w:rsid w:val="001B4D96"/>
    <w:rsid w:val="001B4D9D"/>
    <w:rsid w:val="001B4DB6"/>
    <w:rsid w:val="001B4E0A"/>
    <w:rsid w:val="001B4E87"/>
    <w:rsid w:val="001B4F02"/>
    <w:rsid w:val="001B4F68"/>
    <w:rsid w:val="001B4F7B"/>
    <w:rsid w:val="001B4F9C"/>
    <w:rsid w:val="001B4FDF"/>
    <w:rsid w:val="001B4FE7"/>
    <w:rsid w:val="001B4FFE"/>
    <w:rsid w:val="001B510E"/>
    <w:rsid w:val="001B5128"/>
    <w:rsid w:val="001B5141"/>
    <w:rsid w:val="001B5184"/>
    <w:rsid w:val="001B51C1"/>
    <w:rsid w:val="001B524F"/>
    <w:rsid w:val="001B525B"/>
    <w:rsid w:val="001B52D4"/>
    <w:rsid w:val="001B532D"/>
    <w:rsid w:val="001B5330"/>
    <w:rsid w:val="001B5365"/>
    <w:rsid w:val="001B53A8"/>
    <w:rsid w:val="001B53C0"/>
    <w:rsid w:val="001B53C3"/>
    <w:rsid w:val="001B5463"/>
    <w:rsid w:val="001B54A6"/>
    <w:rsid w:val="001B552A"/>
    <w:rsid w:val="001B553C"/>
    <w:rsid w:val="001B5596"/>
    <w:rsid w:val="001B55D8"/>
    <w:rsid w:val="001B5635"/>
    <w:rsid w:val="001B5663"/>
    <w:rsid w:val="001B566E"/>
    <w:rsid w:val="001B56A2"/>
    <w:rsid w:val="001B56A4"/>
    <w:rsid w:val="001B56AB"/>
    <w:rsid w:val="001B5718"/>
    <w:rsid w:val="001B573F"/>
    <w:rsid w:val="001B576C"/>
    <w:rsid w:val="001B5774"/>
    <w:rsid w:val="001B580E"/>
    <w:rsid w:val="001B584B"/>
    <w:rsid w:val="001B587E"/>
    <w:rsid w:val="001B587F"/>
    <w:rsid w:val="001B58E8"/>
    <w:rsid w:val="001B5981"/>
    <w:rsid w:val="001B5A96"/>
    <w:rsid w:val="001B5B26"/>
    <w:rsid w:val="001B5B74"/>
    <w:rsid w:val="001B5B82"/>
    <w:rsid w:val="001B5B93"/>
    <w:rsid w:val="001B5BDD"/>
    <w:rsid w:val="001B5C02"/>
    <w:rsid w:val="001B5C06"/>
    <w:rsid w:val="001B5C16"/>
    <w:rsid w:val="001B5C2E"/>
    <w:rsid w:val="001B5D92"/>
    <w:rsid w:val="001B5DF5"/>
    <w:rsid w:val="001B5E18"/>
    <w:rsid w:val="001B5E79"/>
    <w:rsid w:val="001B5EB0"/>
    <w:rsid w:val="001B5ECC"/>
    <w:rsid w:val="001B5ECD"/>
    <w:rsid w:val="001B5EE6"/>
    <w:rsid w:val="001B5EFD"/>
    <w:rsid w:val="001B5FB0"/>
    <w:rsid w:val="001B5FF6"/>
    <w:rsid w:val="001B602B"/>
    <w:rsid w:val="001B6073"/>
    <w:rsid w:val="001B607F"/>
    <w:rsid w:val="001B60F3"/>
    <w:rsid w:val="001B61DE"/>
    <w:rsid w:val="001B6260"/>
    <w:rsid w:val="001B6274"/>
    <w:rsid w:val="001B6283"/>
    <w:rsid w:val="001B6287"/>
    <w:rsid w:val="001B62A6"/>
    <w:rsid w:val="001B6339"/>
    <w:rsid w:val="001B634F"/>
    <w:rsid w:val="001B6353"/>
    <w:rsid w:val="001B6391"/>
    <w:rsid w:val="001B63DF"/>
    <w:rsid w:val="001B64A8"/>
    <w:rsid w:val="001B64E3"/>
    <w:rsid w:val="001B6552"/>
    <w:rsid w:val="001B655A"/>
    <w:rsid w:val="001B661A"/>
    <w:rsid w:val="001B664E"/>
    <w:rsid w:val="001B66CE"/>
    <w:rsid w:val="001B6705"/>
    <w:rsid w:val="001B6726"/>
    <w:rsid w:val="001B6736"/>
    <w:rsid w:val="001B6790"/>
    <w:rsid w:val="001B67AF"/>
    <w:rsid w:val="001B6813"/>
    <w:rsid w:val="001B6946"/>
    <w:rsid w:val="001B6947"/>
    <w:rsid w:val="001B69A4"/>
    <w:rsid w:val="001B69CF"/>
    <w:rsid w:val="001B6A0F"/>
    <w:rsid w:val="001B6A8C"/>
    <w:rsid w:val="001B6B14"/>
    <w:rsid w:val="001B6B52"/>
    <w:rsid w:val="001B6C23"/>
    <w:rsid w:val="001B6C5B"/>
    <w:rsid w:val="001B6CAB"/>
    <w:rsid w:val="001B6CB5"/>
    <w:rsid w:val="001B6D69"/>
    <w:rsid w:val="001B6DC7"/>
    <w:rsid w:val="001B6DE8"/>
    <w:rsid w:val="001B6E42"/>
    <w:rsid w:val="001B6E44"/>
    <w:rsid w:val="001B6EEE"/>
    <w:rsid w:val="001B6F08"/>
    <w:rsid w:val="001B6F11"/>
    <w:rsid w:val="001B6F6A"/>
    <w:rsid w:val="001B70D4"/>
    <w:rsid w:val="001B7138"/>
    <w:rsid w:val="001B7193"/>
    <w:rsid w:val="001B71A9"/>
    <w:rsid w:val="001B71F5"/>
    <w:rsid w:val="001B7250"/>
    <w:rsid w:val="001B72A1"/>
    <w:rsid w:val="001B72D2"/>
    <w:rsid w:val="001B72D3"/>
    <w:rsid w:val="001B72E2"/>
    <w:rsid w:val="001B732E"/>
    <w:rsid w:val="001B7330"/>
    <w:rsid w:val="001B735E"/>
    <w:rsid w:val="001B737E"/>
    <w:rsid w:val="001B73D6"/>
    <w:rsid w:val="001B7457"/>
    <w:rsid w:val="001B7460"/>
    <w:rsid w:val="001B74F8"/>
    <w:rsid w:val="001B75E3"/>
    <w:rsid w:val="001B7616"/>
    <w:rsid w:val="001B7618"/>
    <w:rsid w:val="001B7705"/>
    <w:rsid w:val="001B7747"/>
    <w:rsid w:val="001B7778"/>
    <w:rsid w:val="001B7781"/>
    <w:rsid w:val="001B7799"/>
    <w:rsid w:val="001B77A8"/>
    <w:rsid w:val="001B782C"/>
    <w:rsid w:val="001B7857"/>
    <w:rsid w:val="001B7873"/>
    <w:rsid w:val="001B78B3"/>
    <w:rsid w:val="001B78CD"/>
    <w:rsid w:val="001B7930"/>
    <w:rsid w:val="001B796A"/>
    <w:rsid w:val="001B7981"/>
    <w:rsid w:val="001B7A28"/>
    <w:rsid w:val="001B7AB1"/>
    <w:rsid w:val="001B7AE9"/>
    <w:rsid w:val="001B7AF4"/>
    <w:rsid w:val="001B7B3D"/>
    <w:rsid w:val="001B7B8A"/>
    <w:rsid w:val="001B7C14"/>
    <w:rsid w:val="001B7C8F"/>
    <w:rsid w:val="001B7CB7"/>
    <w:rsid w:val="001B7CC8"/>
    <w:rsid w:val="001B7D24"/>
    <w:rsid w:val="001B7D35"/>
    <w:rsid w:val="001B7D51"/>
    <w:rsid w:val="001B7D6C"/>
    <w:rsid w:val="001B7D7B"/>
    <w:rsid w:val="001B7E01"/>
    <w:rsid w:val="001B7E15"/>
    <w:rsid w:val="001B7E36"/>
    <w:rsid w:val="001B7E8D"/>
    <w:rsid w:val="001B7F0C"/>
    <w:rsid w:val="001B7FC3"/>
    <w:rsid w:val="001B7FCB"/>
    <w:rsid w:val="001B7FE3"/>
    <w:rsid w:val="001B7FF7"/>
    <w:rsid w:val="001C0085"/>
    <w:rsid w:val="001C008F"/>
    <w:rsid w:val="001C0090"/>
    <w:rsid w:val="001C00A1"/>
    <w:rsid w:val="001C00F7"/>
    <w:rsid w:val="001C01B4"/>
    <w:rsid w:val="001C01D4"/>
    <w:rsid w:val="001C021C"/>
    <w:rsid w:val="001C022D"/>
    <w:rsid w:val="001C0235"/>
    <w:rsid w:val="001C025C"/>
    <w:rsid w:val="001C038E"/>
    <w:rsid w:val="001C0420"/>
    <w:rsid w:val="001C0497"/>
    <w:rsid w:val="001C04EE"/>
    <w:rsid w:val="001C0530"/>
    <w:rsid w:val="001C0584"/>
    <w:rsid w:val="001C05D1"/>
    <w:rsid w:val="001C05D8"/>
    <w:rsid w:val="001C0631"/>
    <w:rsid w:val="001C068A"/>
    <w:rsid w:val="001C06A1"/>
    <w:rsid w:val="001C073A"/>
    <w:rsid w:val="001C0769"/>
    <w:rsid w:val="001C077F"/>
    <w:rsid w:val="001C07EC"/>
    <w:rsid w:val="001C0846"/>
    <w:rsid w:val="001C0883"/>
    <w:rsid w:val="001C089D"/>
    <w:rsid w:val="001C099F"/>
    <w:rsid w:val="001C0A72"/>
    <w:rsid w:val="001C0AB5"/>
    <w:rsid w:val="001C0B2F"/>
    <w:rsid w:val="001C0BB4"/>
    <w:rsid w:val="001C0BC8"/>
    <w:rsid w:val="001C0C20"/>
    <w:rsid w:val="001C0C51"/>
    <w:rsid w:val="001C0C70"/>
    <w:rsid w:val="001C0D0E"/>
    <w:rsid w:val="001C0DAB"/>
    <w:rsid w:val="001C0DAC"/>
    <w:rsid w:val="001C0DED"/>
    <w:rsid w:val="001C0E00"/>
    <w:rsid w:val="001C0E2F"/>
    <w:rsid w:val="001C0E72"/>
    <w:rsid w:val="001C0E9E"/>
    <w:rsid w:val="001C0EA1"/>
    <w:rsid w:val="001C0F1F"/>
    <w:rsid w:val="001C0F22"/>
    <w:rsid w:val="001C0F7F"/>
    <w:rsid w:val="001C0F88"/>
    <w:rsid w:val="001C1004"/>
    <w:rsid w:val="001C1071"/>
    <w:rsid w:val="001C10A8"/>
    <w:rsid w:val="001C10BF"/>
    <w:rsid w:val="001C10D0"/>
    <w:rsid w:val="001C1114"/>
    <w:rsid w:val="001C1227"/>
    <w:rsid w:val="001C1387"/>
    <w:rsid w:val="001C1396"/>
    <w:rsid w:val="001C13A3"/>
    <w:rsid w:val="001C13DD"/>
    <w:rsid w:val="001C14A3"/>
    <w:rsid w:val="001C14D6"/>
    <w:rsid w:val="001C1534"/>
    <w:rsid w:val="001C1570"/>
    <w:rsid w:val="001C1596"/>
    <w:rsid w:val="001C159B"/>
    <w:rsid w:val="001C159E"/>
    <w:rsid w:val="001C1614"/>
    <w:rsid w:val="001C161A"/>
    <w:rsid w:val="001C167E"/>
    <w:rsid w:val="001C1686"/>
    <w:rsid w:val="001C16A5"/>
    <w:rsid w:val="001C16AC"/>
    <w:rsid w:val="001C16BA"/>
    <w:rsid w:val="001C179E"/>
    <w:rsid w:val="001C17A0"/>
    <w:rsid w:val="001C17AD"/>
    <w:rsid w:val="001C1801"/>
    <w:rsid w:val="001C1838"/>
    <w:rsid w:val="001C185C"/>
    <w:rsid w:val="001C18A8"/>
    <w:rsid w:val="001C18C2"/>
    <w:rsid w:val="001C1A03"/>
    <w:rsid w:val="001C1A82"/>
    <w:rsid w:val="001C1A85"/>
    <w:rsid w:val="001C1ADE"/>
    <w:rsid w:val="001C1B47"/>
    <w:rsid w:val="001C1BB3"/>
    <w:rsid w:val="001C1C29"/>
    <w:rsid w:val="001C1C37"/>
    <w:rsid w:val="001C1C39"/>
    <w:rsid w:val="001C1C68"/>
    <w:rsid w:val="001C1C8E"/>
    <w:rsid w:val="001C1D71"/>
    <w:rsid w:val="001C1E08"/>
    <w:rsid w:val="001C1E1B"/>
    <w:rsid w:val="001C1E3D"/>
    <w:rsid w:val="001C1E3E"/>
    <w:rsid w:val="001C1E45"/>
    <w:rsid w:val="001C1ED6"/>
    <w:rsid w:val="001C1F43"/>
    <w:rsid w:val="001C1F8D"/>
    <w:rsid w:val="001C1FB1"/>
    <w:rsid w:val="001C2174"/>
    <w:rsid w:val="001C2178"/>
    <w:rsid w:val="001C218C"/>
    <w:rsid w:val="001C21C3"/>
    <w:rsid w:val="001C22EE"/>
    <w:rsid w:val="001C22F3"/>
    <w:rsid w:val="001C22F5"/>
    <w:rsid w:val="001C236B"/>
    <w:rsid w:val="001C237D"/>
    <w:rsid w:val="001C23B0"/>
    <w:rsid w:val="001C23EE"/>
    <w:rsid w:val="001C2425"/>
    <w:rsid w:val="001C242D"/>
    <w:rsid w:val="001C244B"/>
    <w:rsid w:val="001C2475"/>
    <w:rsid w:val="001C249E"/>
    <w:rsid w:val="001C251F"/>
    <w:rsid w:val="001C258A"/>
    <w:rsid w:val="001C25A9"/>
    <w:rsid w:val="001C26CA"/>
    <w:rsid w:val="001C2741"/>
    <w:rsid w:val="001C275F"/>
    <w:rsid w:val="001C2765"/>
    <w:rsid w:val="001C27C9"/>
    <w:rsid w:val="001C27DC"/>
    <w:rsid w:val="001C27F7"/>
    <w:rsid w:val="001C2818"/>
    <w:rsid w:val="001C282A"/>
    <w:rsid w:val="001C28BF"/>
    <w:rsid w:val="001C2950"/>
    <w:rsid w:val="001C2986"/>
    <w:rsid w:val="001C29B5"/>
    <w:rsid w:val="001C29CA"/>
    <w:rsid w:val="001C2ABF"/>
    <w:rsid w:val="001C2AEB"/>
    <w:rsid w:val="001C2B0B"/>
    <w:rsid w:val="001C2BFB"/>
    <w:rsid w:val="001C2C00"/>
    <w:rsid w:val="001C2C0B"/>
    <w:rsid w:val="001C2CD8"/>
    <w:rsid w:val="001C2D61"/>
    <w:rsid w:val="001C2DDE"/>
    <w:rsid w:val="001C2DFD"/>
    <w:rsid w:val="001C2E81"/>
    <w:rsid w:val="001C2EAB"/>
    <w:rsid w:val="001C2EAE"/>
    <w:rsid w:val="001C2EEA"/>
    <w:rsid w:val="001C2F0F"/>
    <w:rsid w:val="001C2F17"/>
    <w:rsid w:val="001C2F4B"/>
    <w:rsid w:val="001C2F9A"/>
    <w:rsid w:val="001C2FAE"/>
    <w:rsid w:val="001C3055"/>
    <w:rsid w:val="001C3086"/>
    <w:rsid w:val="001C30A1"/>
    <w:rsid w:val="001C30A4"/>
    <w:rsid w:val="001C3121"/>
    <w:rsid w:val="001C3167"/>
    <w:rsid w:val="001C3211"/>
    <w:rsid w:val="001C32EF"/>
    <w:rsid w:val="001C32F7"/>
    <w:rsid w:val="001C33D0"/>
    <w:rsid w:val="001C33E4"/>
    <w:rsid w:val="001C340A"/>
    <w:rsid w:val="001C341C"/>
    <w:rsid w:val="001C3452"/>
    <w:rsid w:val="001C3507"/>
    <w:rsid w:val="001C353D"/>
    <w:rsid w:val="001C35F2"/>
    <w:rsid w:val="001C3604"/>
    <w:rsid w:val="001C36F8"/>
    <w:rsid w:val="001C3754"/>
    <w:rsid w:val="001C379A"/>
    <w:rsid w:val="001C3845"/>
    <w:rsid w:val="001C3884"/>
    <w:rsid w:val="001C3973"/>
    <w:rsid w:val="001C3987"/>
    <w:rsid w:val="001C39A2"/>
    <w:rsid w:val="001C3A32"/>
    <w:rsid w:val="001C3AC5"/>
    <w:rsid w:val="001C3B09"/>
    <w:rsid w:val="001C3B0D"/>
    <w:rsid w:val="001C3B10"/>
    <w:rsid w:val="001C3BAB"/>
    <w:rsid w:val="001C3C34"/>
    <w:rsid w:val="001C3D2D"/>
    <w:rsid w:val="001C3E0C"/>
    <w:rsid w:val="001C3E17"/>
    <w:rsid w:val="001C3E28"/>
    <w:rsid w:val="001C3E88"/>
    <w:rsid w:val="001C3EC7"/>
    <w:rsid w:val="001C3ECC"/>
    <w:rsid w:val="001C3EF3"/>
    <w:rsid w:val="001C3F28"/>
    <w:rsid w:val="001C3F67"/>
    <w:rsid w:val="001C3F80"/>
    <w:rsid w:val="001C3FB8"/>
    <w:rsid w:val="001C403D"/>
    <w:rsid w:val="001C4053"/>
    <w:rsid w:val="001C406A"/>
    <w:rsid w:val="001C4070"/>
    <w:rsid w:val="001C40C8"/>
    <w:rsid w:val="001C4136"/>
    <w:rsid w:val="001C4138"/>
    <w:rsid w:val="001C4251"/>
    <w:rsid w:val="001C4262"/>
    <w:rsid w:val="001C42EE"/>
    <w:rsid w:val="001C42F5"/>
    <w:rsid w:val="001C433C"/>
    <w:rsid w:val="001C438D"/>
    <w:rsid w:val="001C4411"/>
    <w:rsid w:val="001C4467"/>
    <w:rsid w:val="001C4475"/>
    <w:rsid w:val="001C44E3"/>
    <w:rsid w:val="001C4529"/>
    <w:rsid w:val="001C458D"/>
    <w:rsid w:val="001C462D"/>
    <w:rsid w:val="001C4653"/>
    <w:rsid w:val="001C466E"/>
    <w:rsid w:val="001C46A9"/>
    <w:rsid w:val="001C46DF"/>
    <w:rsid w:val="001C4702"/>
    <w:rsid w:val="001C477E"/>
    <w:rsid w:val="001C47B3"/>
    <w:rsid w:val="001C47E1"/>
    <w:rsid w:val="001C49A6"/>
    <w:rsid w:val="001C4A14"/>
    <w:rsid w:val="001C4ACF"/>
    <w:rsid w:val="001C4AD1"/>
    <w:rsid w:val="001C4B30"/>
    <w:rsid w:val="001C4B47"/>
    <w:rsid w:val="001C4BDD"/>
    <w:rsid w:val="001C4C2C"/>
    <w:rsid w:val="001C4C3D"/>
    <w:rsid w:val="001C4D22"/>
    <w:rsid w:val="001C4D23"/>
    <w:rsid w:val="001C4D3B"/>
    <w:rsid w:val="001C4D53"/>
    <w:rsid w:val="001C4D8A"/>
    <w:rsid w:val="001C4D8F"/>
    <w:rsid w:val="001C4D9F"/>
    <w:rsid w:val="001C4DA6"/>
    <w:rsid w:val="001C4E49"/>
    <w:rsid w:val="001C4E54"/>
    <w:rsid w:val="001C4E77"/>
    <w:rsid w:val="001C4F1B"/>
    <w:rsid w:val="001C4FB7"/>
    <w:rsid w:val="001C5015"/>
    <w:rsid w:val="001C5069"/>
    <w:rsid w:val="001C5087"/>
    <w:rsid w:val="001C5090"/>
    <w:rsid w:val="001C515D"/>
    <w:rsid w:val="001C5163"/>
    <w:rsid w:val="001C518D"/>
    <w:rsid w:val="001C518E"/>
    <w:rsid w:val="001C51D3"/>
    <w:rsid w:val="001C520B"/>
    <w:rsid w:val="001C521A"/>
    <w:rsid w:val="001C5225"/>
    <w:rsid w:val="001C5270"/>
    <w:rsid w:val="001C5278"/>
    <w:rsid w:val="001C52B1"/>
    <w:rsid w:val="001C52B6"/>
    <w:rsid w:val="001C52D0"/>
    <w:rsid w:val="001C52EC"/>
    <w:rsid w:val="001C52F3"/>
    <w:rsid w:val="001C5340"/>
    <w:rsid w:val="001C5379"/>
    <w:rsid w:val="001C537F"/>
    <w:rsid w:val="001C539F"/>
    <w:rsid w:val="001C5419"/>
    <w:rsid w:val="001C5486"/>
    <w:rsid w:val="001C5490"/>
    <w:rsid w:val="001C549F"/>
    <w:rsid w:val="001C552F"/>
    <w:rsid w:val="001C557A"/>
    <w:rsid w:val="001C5583"/>
    <w:rsid w:val="001C55EA"/>
    <w:rsid w:val="001C5600"/>
    <w:rsid w:val="001C5685"/>
    <w:rsid w:val="001C56B8"/>
    <w:rsid w:val="001C5715"/>
    <w:rsid w:val="001C579E"/>
    <w:rsid w:val="001C5842"/>
    <w:rsid w:val="001C58E7"/>
    <w:rsid w:val="001C5906"/>
    <w:rsid w:val="001C592A"/>
    <w:rsid w:val="001C5952"/>
    <w:rsid w:val="001C5987"/>
    <w:rsid w:val="001C5991"/>
    <w:rsid w:val="001C5992"/>
    <w:rsid w:val="001C59E8"/>
    <w:rsid w:val="001C5A0B"/>
    <w:rsid w:val="001C5A8A"/>
    <w:rsid w:val="001C5AC4"/>
    <w:rsid w:val="001C5AC5"/>
    <w:rsid w:val="001C5AE2"/>
    <w:rsid w:val="001C5B0D"/>
    <w:rsid w:val="001C5BCA"/>
    <w:rsid w:val="001C5CA0"/>
    <w:rsid w:val="001C5CF7"/>
    <w:rsid w:val="001C5CFD"/>
    <w:rsid w:val="001C5D38"/>
    <w:rsid w:val="001C5D50"/>
    <w:rsid w:val="001C5D5F"/>
    <w:rsid w:val="001C5DE5"/>
    <w:rsid w:val="001C5E2C"/>
    <w:rsid w:val="001C5E4B"/>
    <w:rsid w:val="001C5E6D"/>
    <w:rsid w:val="001C5EB4"/>
    <w:rsid w:val="001C5ECE"/>
    <w:rsid w:val="001C5EF3"/>
    <w:rsid w:val="001C5F52"/>
    <w:rsid w:val="001C5F6E"/>
    <w:rsid w:val="001C5F8E"/>
    <w:rsid w:val="001C5FA9"/>
    <w:rsid w:val="001C60E6"/>
    <w:rsid w:val="001C615C"/>
    <w:rsid w:val="001C6160"/>
    <w:rsid w:val="001C61D7"/>
    <w:rsid w:val="001C61FF"/>
    <w:rsid w:val="001C6235"/>
    <w:rsid w:val="001C6247"/>
    <w:rsid w:val="001C626D"/>
    <w:rsid w:val="001C6302"/>
    <w:rsid w:val="001C634D"/>
    <w:rsid w:val="001C639C"/>
    <w:rsid w:val="001C6411"/>
    <w:rsid w:val="001C642D"/>
    <w:rsid w:val="001C644E"/>
    <w:rsid w:val="001C6451"/>
    <w:rsid w:val="001C645E"/>
    <w:rsid w:val="001C65F8"/>
    <w:rsid w:val="001C662D"/>
    <w:rsid w:val="001C6690"/>
    <w:rsid w:val="001C66F1"/>
    <w:rsid w:val="001C6710"/>
    <w:rsid w:val="001C6788"/>
    <w:rsid w:val="001C67CC"/>
    <w:rsid w:val="001C68AF"/>
    <w:rsid w:val="001C68DA"/>
    <w:rsid w:val="001C68EE"/>
    <w:rsid w:val="001C691E"/>
    <w:rsid w:val="001C6954"/>
    <w:rsid w:val="001C69AB"/>
    <w:rsid w:val="001C69CD"/>
    <w:rsid w:val="001C6A44"/>
    <w:rsid w:val="001C6A6B"/>
    <w:rsid w:val="001C6A7B"/>
    <w:rsid w:val="001C6A9C"/>
    <w:rsid w:val="001C6AD0"/>
    <w:rsid w:val="001C6B94"/>
    <w:rsid w:val="001C6C02"/>
    <w:rsid w:val="001C6C1F"/>
    <w:rsid w:val="001C6CA1"/>
    <w:rsid w:val="001C6CB5"/>
    <w:rsid w:val="001C6D07"/>
    <w:rsid w:val="001C6D0A"/>
    <w:rsid w:val="001C6D0B"/>
    <w:rsid w:val="001C6D17"/>
    <w:rsid w:val="001C6E1C"/>
    <w:rsid w:val="001C6E2A"/>
    <w:rsid w:val="001C6E36"/>
    <w:rsid w:val="001C6EE4"/>
    <w:rsid w:val="001C6F45"/>
    <w:rsid w:val="001C6F49"/>
    <w:rsid w:val="001C6F4D"/>
    <w:rsid w:val="001C6F8B"/>
    <w:rsid w:val="001C6F9B"/>
    <w:rsid w:val="001C6FA0"/>
    <w:rsid w:val="001C7066"/>
    <w:rsid w:val="001C7094"/>
    <w:rsid w:val="001C70C0"/>
    <w:rsid w:val="001C711B"/>
    <w:rsid w:val="001C7160"/>
    <w:rsid w:val="001C7161"/>
    <w:rsid w:val="001C71AA"/>
    <w:rsid w:val="001C71E7"/>
    <w:rsid w:val="001C7208"/>
    <w:rsid w:val="001C7266"/>
    <w:rsid w:val="001C72B0"/>
    <w:rsid w:val="001C72B3"/>
    <w:rsid w:val="001C72BF"/>
    <w:rsid w:val="001C72F1"/>
    <w:rsid w:val="001C734E"/>
    <w:rsid w:val="001C7365"/>
    <w:rsid w:val="001C7388"/>
    <w:rsid w:val="001C73E5"/>
    <w:rsid w:val="001C7467"/>
    <w:rsid w:val="001C7488"/>
    <w:rsid w:val="001C74C1"/>
    <w:rsid w:val="001C75E8"/>
    <w:rsid w:val="001C75EB"/>
    <w:rsid w:val="001C7692"/>
    <w:rsid w:val="001C772B"/>
    <w:rsid w:val="001C77C0"/>
    <w:rsid w:val="001C7816"/>
    <w:rsid w:val="001C786A"/>
    <w:rsid w:val="001C7874"/>
    <w:rsid w:val="001C78C4"/>
    <w:rsid w:val="001C78D7"/>
    <w:rsid w:val="001C7983"/>
    <w:rsid w:val="001C79C7"/>
    <w:rsid w:val="001C79EF"/>
    <w:rsid w:val="001C79F8"/>
    <w:rsid w:val="001C7A12"/>
    <w:rsid w:val="001C7A67"/>
    <w:rsid w:val="001C7A80"/>
    <w:rsid w:val="001C7A85"/>
    <w:rsid w:val="001C7B31"/>
    <w:rsid w:val="001C7BBC"/>
    <w:rsid w:val="001C7BD2"/>
    <w:rsid w:val="001C7C5E"/>
    <w:rsid w:val="001C7CF5"/>
    <w:rsid w:val="001C7D0B"/>
    <w:rsid w:val="001C7E5B"/>
    <w:rsid w:val="001C7E7A"/>
    <w:rsid w:val="001C7EC4"/>
    <w:rsid w:val="001C7EC7"/>
    <w:rsid w:val="001C7FA0"/>
    <w:rsid w:val="001D0007"/>
    <w:rsid w:val="001D0050"/>
    <w:rsid w:val="001D00C1"/>
    <w:rsid w:val="001D00E8"/>
    <w:rsid w:val="001D0143"/>
    <w:rsid w:val="001D016B"/>
    <w:rsid w:val="001D0179"/>
    <w:rsid w:val="001D0191"/>
    <w:rsid w:val="001D0207"/>
    <w:rsid w:val="001D0264"/>
    <w:rsid w:val="001D02A9"/>
    <w:rsid w:val="001D02B4"/>
    <w:rsid w:val="001D02C0"/>
    <w:rsid w:val="001D02C4"/>
    <w:rsid w:val="001D02E9"/>
    <w:rsid w:val="001D0302"/>
    <w:rsid w:val="001D034C"/>
    <w:rsid w:val="001D037B"/>
    <w:rsid w:val="001D039F"/>
    <w:rsid w:val="001D03BB"/>
    <w:rsid w:val="001D03C5"/>
    <w:rsid w:val="001D03CB"/>
    <w:rsid w:val="001D03D4"/>
    <w:rsid w:val="001D03F8"/>
    <w:rsid w:val="001D0511"/>
    <w:rsid w:val="001D0518"/>
    <w:rsid w:val="001D0547"/>
    <w:rsid w:val="001D05DB"/>
    <w:rsid w:val="001D05FB"/>
    <w:rsid w:val="001D061C"/>
    <w:rsid w:val="001D0668"/>
    <w:rsid w:val="001D06B5"/>
    <w:rsid w:val="001D077A"/>
    <w:rsid w:val="001D079C"/>
    <w:rsid w:val="001D0802"/>
    <w:rsid w:val="001D080C"/>
    <w:rsid w:val="001D0840"/>
    <w:rsid w:val="001D0865"/>
    <w:rsid w:val="001D08DF"/>
    <w:rsid w:val="001D0906"/>
    <w:rsid w:val="001D090F"/>
    <w:rsid w:val="001D0946"/>
    <w:rsid w:val="001D0A40"/>
    <w:rsid w:val="001D0A49"/>
    <w:rsid w:val="001D0A66"/>
    <w:rsid w:val="001D0AA3"/>
    <w:rsid w:val="001D0AAF"/>
    <w:rsid w:val="001D0AB4"/>
    <w:rsid w:val="001D0AC1"/>
    <w:rsid w:val="001D0B59"/>
    <w:rsid w:val="001D0B66"/>
    <w:rsid w:val="001D0BBF"/>
    <w:rsid w:val="001D0BD0"/>
    <w:rsid w:val="001D0C2B"/>
    <w:rsid w:val="001D0C4E"/>
    <w:rsid w:val="001D0CAB"/>
    <w:rsid w:val="001D0D15"/>
    <w:rsid w:val="001D0D71"/>
    <w:rsid w:val="001D0DEC"/>
    <w:rsid w:val="001D0E0D"/>
    <w:rsid w:val="001D0E89"/>
    <w:rsid w:val="001D0ED4"/>
    <w:rsid w:val="001D0F79"/>
    <w:rsid w:val="001D0F81"/>
    <w:rsid w:val="001D0FF8"/>
    <w:rsid w:val="001D1010"/>
    <w:rsid w:val="001D1045"/>
    <w:rsid w:val="001D10D9"/>
    <w:rsid w:val="001D10DA"/>
    <w:rsid w:val="001D1140"/>
    <w:rsid w:val="001D1144"/>
    <w:rsid w:val="001D11DB"/>
    <w:rsid w:val="001D1273"/>
    <w:rsid w:val="001D12BA"/>
    <w:rsid w:val="001D1321"/>
    <w:rsid w:val="001D1322"/>
    <w:rsid w:val="001D135E"/>
    <w:rsid w:val="001D142C"/>
    <w:rsid w:val="001D144A"/>
    <w:rsid w:val="001D1533"/>
    <w:rsid w:val="001D153F"/>
    <w:rsid w:val="001D154E"/>
    <w:rsid w:val="001D155C"/>
    <w:rsid w:val="001D157D"/>
    <w:rsid w:val="001D157E"/>
    <w:rsid w:val="001D15D2"/>
    <w:rsid w:val="001D160E"/>
    <w:rsid w:val="001D1612"/>
    <w:rsid w:val="001D1679"/>
    <w:rsid w:val="001D168E"/>
    <w:rsid w:val="001D1744"/>
    <w:rsid w:val="001D179C"/>
    <w:rsid w:val="001D1884"/>
    <w:rsid w:val="001D18AF"/>
    <w:rsid w:val="001D18B4"/>
    <w:rsid w:val="001D1991"/>
    <w:rsid w:val="001D1A18"/>
    <w:rsid w:val="001D1A3B"/>
    <w:rsid w:val="001D1A4E"/>
    <w:rsid w:val="001D1A89"/>
    <w:rsid w:val="001D1AD8"/>
    <w:rsid w:val="001D1B51"/>
    <w:rsid w:val="001D1B6C"/>
    <w:rsid w:val="001D1B84"/>
    <w:rsid w:val="001D1BED"/>
    <w:rsid w:val="001D1C0C"/>
    <w:rsid w:val="001D1C39"/>
    <w:rsid w:val="001D1C59"/>
    <w:rsid w:val="001D1C60"/>
    <w:rsid w:val="001D1C7E"/>
    <w:rsid w:val="001D1C87"/>
    <w:rsid w:val="001D1C8F"/>
    <w:rsid w:val="001D1CB6"/>
    <w:rsid w:val="001D1D2F"/>
    <w:rsid w:val="001D1D32"/>
    <w:rsid w:val="001D1D64"/>
    <w:rsid w:val="001D1DC4"/>
    <w:rsid w:val="001D1DC7"/>
    <w:rsid w:val="001D1E26"/>
    <w:rsid w:val="001D1E44"/>
    <w:rsid w:val="001D1E5B"/>
    <w:rsid w:val="001D1E5F"/>
    <w:rsid w:val="001D1E7E"/>
    <w:rsid w:val="001D1EEC"/>
    <w:rsid w:val="001D1F5C"/>
    <w:rsid w:val="001D1F70"/>
    <w:rsid w:val="001D1FAD"/>
    <w:rsid w:val="001D1FE7"/>
    <w:rsid w:val="001D2029"/>
    <w:rsid w:val="001D2067"/>
    <w:rsid w:val="001D2090"/>
    <w:rsid w:val="001D20AB"/>
    <w:rsid w:val="001D2124"/>
    <w:rsid w:val="001D21DE"/>
    <w:rsid w:val="001D21EA"/>
    <w:rsid w:val="001D21EF"/>
    <w:rsid w:val="001D2203"/>
    <w:rsid w:val="001D225F"/>
    <w:rsid w:val="001D2291"/>
    <w:rsid w:val="001D2352"/>
    <w:rsid w:val="001D2358"/>
    <w:rsid w:val="001D23D5"/>
    <w:rsid w:val="001D24B7"/>
    <w:rsid w:val="001D24C7"/>
    <w:rsid w:val="001D2511"/>
    <w:rsid w:val="001D2535"/>
    <w:rsid w:val="001D2547"/>
    <w:rsid w:val="001D2592"/>
    <w:rsid w:val="001D26A5"/>
    <w:rsid w:val="001D2719"/>
    <w:rsid w:val="001D2729"/>
    <w:rsid w:val="001D273F"/>
    <w:rsid w:val="001D2767"/>
    <w:rsid w:val="001D27DD"/>
    <w:rsid w:val="001D27EA"/>
    <w:rsid w:val="001D2883"/>
    <w:rsid w:val="001D28AD"/>
    <w:rsid w:val="001D28E6"/>
    <w:rsid w:val="001D292E"/>
    <w:rsid w:val="001D299A"/>
    <w:rsid w:val="001D29FA"/>
    <w:rsid w:val="001D2A0D"/>
    <w:rsid w:val="001D2A42"/>
    <w:rsid w:val="001D2ACD"/>
    <w:rsid w:val="001D2AF1"/>
    <w:rsid w:val="001D2B18"/>
    <w:rsid w:val="001D2B1C"/>
    <w:rsid w:val="001D2B34"/>
    <w:rsid w:val="001D2BBD"/>
    <w:rsid w:val="001D2C0D"/>
    <w:rsid w:val="001D2C0F"/>
    <w:rsid w:val="001D2C84"/>
    <w:rsid w:val="001D2CBC"/>
    <w:rsid w:val="001D2D06"/>
    <w:rsid w:val="001D2D21"/>
    <w:rsid w:val="001D2D32"/>
    <w:rsid w:val="001D2DB5"/>
    <w:rsid w:val="001D2E0C"/>
    <w:rsid w:val="001D2E6E"/>
    <w:rsid w:val="001D2E8C"/>
    <w:rsid w:val="001D2EAA"/>
    <w:rsid w:val="001D2F22"/>
    <w:rsid w:val="001D2F67"/>
    <w:rsid w:val="001D2FAB"/>
    <w:rsid w:val="001D3039"/>
    <w:rsid w:val="001D30A5"/>
    <w:rsid w:val="001D30AA"/>
    <w:rsid w:val="001D3105"/>
    <w:rsid w:val="001D3174"/>
    <w:rsid w:val="001D3179"/>
    <w:rsid w:val="001D3185"/>
    <w:rsid w:val="001D3190"/>
    <w:rsid w:val="001D31A5"/>
    <w:rsid w:val="001D31C7"/>
    <w:rsid w:val="001D31F4"/>
    <w:rsid w:val="001D3220"/>
    <w:rsid w:val="001D3224"/>
    <w:rsid w:val="001D3248"/>
    <w:rsid w:val="001D327D"/>
    <w:rsid w:val="001D3293"/>
    <w:rsid w:val="001D3342"/>
    <w:rsid w:val="001D3347"/>
    <w:rsid w:val="001D33AE"/>
    <w:rsid w:val="001D33E4"/>
    <w:rsid w:val="001D340B"/>
    <w:rsid w:val="001D3430"/>
    <w:rsid w:val="001D349F"/>
    <w:rsid w:val="001D34BC"/>
    <w:rsid w:val="001D34CE"/>
    <w:rsid w:val="001D34D9"/>
    <w:rsid w:val="001D3531"/>
    <w:rsid w:val="001D3541"/>
    <w:rsid w:val="001D3558"/>
    <w:rsid w:val="001D3576"/>
    <w:rsid w:val="001D357A"/>
    <w:rsid w:val="001D35BA"/>
    <w:rsid w:val="001D35F9"/>
    <w:rsid w:val="001D361F"/>
    <w:rsid w:val="001D3672"/>
    <w:rsid w:val="001D3675"/>
    <w:rsid w:val="001D3713"/>
    <w:rsid w:val="001D3767"/>
    <w:rsid w:val="001D379D"/>
    <w:rsid w:val="001D3817"/>
    <w:rsid w:val="001D3844"/>
    <w:rsid w:val="001D386D"/>
    <w:rsid w:val="001D3885"/>
    <w:rsid w:val="001D3887"/>
    <w:rsid w:val="001D3901"/>
    <w:rsid w:val="001D3916"/>
    <w:rsid w:val="001D399D"/>
    <w:rsid w:val="001D39D1"/>
    <w:rsid w:val="001D3A3B"/>
    <w:rsid w:val="001D3A94"/>
    <w:rsid w:val="001D3B2D"/>
    <w:rsid w:val="001D3B46"/>
    <w:rsid w:val="001D3BA6"/>
    <w:rsid w:val="001D3BAE"/>
    <w:rsid w:val="001D3BBE"/>
    <w:rsid w:val="001D3BCB"/>
    <w:rsid w:val="001D3C03"/>
    <w:rsid w:val="001D3CFF"/>
    <w:rsid w:val="001D3D15"/>
    <w:rsid w:val="001D3D28"/>
    <w:rsid w:val="001D3DBA"/>
    <w:rsid w:val="001D3DD9"/>
    <w:rsid w:val="001D3DE2"/>
    <w:rsid w:val="001D3DE8"/>
    <w:rsid w:val="001D3DF2"/>
    <w:rsid w:val="001D3E37"/>
    <w:rsid w:val="001D3E67"/>
    <w:rsid w:val="001D3E7C"/>
    <w:rsid w:val="001D3EA2"/>
    <w:rsid w:val="001D3F0C"/>
    <w:rsid w:val="001D3F38"/>
    <w:rsid w:val="001D3F59"/>
    <w:rsid w:val="001D3F69"/>
    <w:rsid w:val="001D3F88"/>
    <w:rsid w:val="001D3FC6"/>
    <w:rsid w:val="001D3FCA"/>
    <w:rsid w:val="001D4085"/>
    <w:rsid w:val="001D4106"/>
    <w:rsid w:val="001D4123"/>
    <w:rsid w:val="001D4238"/>
    <w:rsid w:val="001D42B8"/>
    <w:rsid w:val="001D42BD"/>
    <w:rsid w:val="001D42C8"/>
    <w:rsid w:val="001D4319"/>
    <w:rsid w:val="001D4325"/>
    <w:rsid w:val="001D4390"/>
    <w:rsid w:val="001D43B2"/>
    <w:rsid w:val="001D43C5"/>
    <w:rsid w:val="001D43FA"/>
    <w:rsid w:val="001D4459"/>
    <w:rsid w:val="001D4476"/>
    <w:rsid w:val="001D4551"/>
    <w:rsid w:val="001D45C4"/>
    <w:rsid w:val="001D45C6"/>
    <w:rsid w:val="001D45F8"/>
    <w:rsid w:val="001D4630"/>
    <w:rsid w:val="001D4651"/>
    <w:rsid w:val="001D4691"/>
    <w:rsid w:val="001D46A1"/>
    <w:rsid w:val="001D46C6"/>
    <w:rsid w:val="001D46F5"/>
    <w:rsid w:val="001D472C"/>
    <w:rsid w:val="001D4730"/>
    <w:rsid w:val="001D47EE"/>
    <w:rsid w:val="001D47FB"/>
    <w:rsid w:val="001D4807"/>
    <w:rsid w:val="001D487E"/>
    <w:rsid w:val="001D48CD"/>
    <w:rsid w:val="001D48DC"/>
    <w:rsid w:val="001D4960"/>
    <w:rsid w:val="001D4974"/>
    <w:rsid w:val="001D49B0"/>
    <w:rsid w:val="001D49D7"/>
    <w:rsid w:val="001D4A41"/>
    <w:rsid w:val="001D4A48"/>
    <w:rsid w:val="001D4A6F"/>
    <w:rsid w:val="001D4B64"/>
    <w:rsid w:val="001D4B85"/>
    <w:rsid w:val="001D4BF0"/>
    <w:rsid w:val="001D4BF4"/>
    <w:rsid w:val="001D4D47"/>
    <w:rsid w:val="001D4D5A"/>
    <w:rsid w:val="001D4D8D"/>
    <w:rsid w:val="001D4DB2"/>
    <w:rsid w:val="001D4E12"/>
    <w:rsid w:val="001D4E35"/>
    <w:rsid w:val="001D4E5C"/>
    <w:rsid w:val="001D4E76"/>
    <w:rsid w:val="001D4ECC"/>
    <w:rsid w:val="001D4EE2"/>
    <w:rsid w:val="001D4F4F"/>
    <w:rsid w:val="001D4F68"/>
    <w:rsid w:val="001D4F8A"/>
    <w:rsid w:val="001D5007"/>
    <w:rsid w:val="001D5041"/>
    <w:rsid w:val="001D50C4"/>
    <w:rsid w:val="001D5122"/>
    <w:rsid w:val="001D5150"/>
    <w:rsid w:val="001D515D"/>
    <w:rsid w:val="001D517A"/>
    <w:rsid w:val="001D5189"/>
    <w:rsid w:val="001D51DC"/>
    <w:rsid w:val="001D51DD"/>
    <w:rsid w:val="001D525B"/>
    <w:rsid w:val="001D5265"/>
    <w:rsid w:val="001D52F9"/>
    <w:rsid w:val="001D530B"/>
    <w:rsid w:val="001D5330"/>
    <w:rsid w:val="001D53B2"/>
    <w:rsid w:val="001D53BE"/>
    <w:rsid w:val="001D5441"/>
    <w:rsid w:val="001D54AD"/>
    <w:rsid w:val="001D555D"/>
    <w:rsid w:val="001D5575"/>
    <w:rsid w:val="001D5585"/>
    <w:rsid w:val="001D5671"/>
    <w:rsid w:val="001D56E7"/>
    <w:rsid w:val="001D5722"/>
    <w:rsid w:val="001D5746"/>
    <w:rsid w:val="001D57D3"/>
    <w:rsid w:val="001D57D6"/>
    <w:rsid w:val="001D580E"/>
    <w:rsid w:val="001D5812"/>
    <w:rsid w:val="001D581B"/>
    <w:rsid w:val="001D58FD"/>
    <w:rsid w:val="001D59C4"/>
    <w:rsid w:val="001D59D1"/>
    <w:rsid w:val="001D5A78"/>
    <w:rsid w:val="001D5AAE"/>
    <w:rsid w:val="001D5B76"/>
    <w:rsid w:val="001D5B96"/>
    <w:rsid w:val="001D5BEF"/>
    <w:rsid w:val="001D5C2D"/>
    <w:rsid w:val="001D5C40"/>
    <w:rsid w:val="001D5C57"/>
    <w:rsid w:val="001D5C63"/>
    <w:rsid w:val="001D5C6D"/>
    <w:rsid w:val="001D5CF1"/>
    <w:rsid w:val="001D5D04"/>
    <w:rsid w:val="001D5D72"/>
    <w:rsid w:val="001D5D9D"/>
    <w:rsid w:val="001D5DA8"/>
    <w:rsid w:val="001D5E62"/>
    <w:rsid w:val="001D5E7E"/>
    <w:rsid w:val="001D5ED0"/>
    <w:rsid w:val="001D5EDE"/>
    <w:rsid w:val="001D5F4D"/>
    <w:rsid w:val="001D5F64"/>
    <w:rsid w:val="001D5F78"/>
    <w:rsid w:val="001D5F7E"/>
    <w:rsid w:val="001D5FCE"/>
    <w:rsid w:val="001D600E"/>
    <w:rsid w:val="001D606A"/>
    <w:rsid w:val="001D6116"/>
    <w:rsid w:val="001D6117"/>
    <w:rsid w:val="001D6134"/>
    <w:rsid w:val="001D6177"/>
    <w:rsid w:val="001D618F"/>
    <w:rsid w:val="001D6194"/>
    <w:rsid w:val="001D6195"/>
    <w:rsid w:val="001D619B"/>
    <w:rsid w:val="001D61DD"/>
    <w:rsid w:val="001D620F"/>
    <w:rsid w:val="001D629F"/>
    <w:rsid w:val="001D62B4"/>
    <w:rsid w:val="001D62D8"/>
    <w:rsid w:val="001D631E"/>
    <w:rsid w:val="001D636A"/>
    <w:rsid w:val="001D6384"/>
    <w:rsid w:val="001D63B8"/>
    <w:rsid w:val="001D63F1"/>
    <w:rsid w:val="001D641E"/>
    <w:rsid w:val="001D6454"/>
    <w:rsid w:val="001D648D"/>
    <w:rsid w:val="001D649C"/>
    <w:rsid w:val="001D64D6"/>
    <w:rsid w:val="001D64D8"/>
    <w:rsid w:val="001D651B"/>
    <w:rsid w:val="001D6535"/>
    <w:rsid w:val="001D6556"/>
    <w:rsid w:val="001D6595"/>
    <w:rsid w:val="001D661F"/>
    <w:rsid w:val="001D6635"/>
    <w:rsid w:val="001D663A"/>
    <w:rsid w:val="001D663C"/>
    <w:rsid w:val="001D6693"/>
    <w:rsid w:val="001D66B1"/>
    <w:rsid w:val="001D6705"/>
    <w:rsid w:val="001D6734"/>
    <w:rsid w:val="001D677A"/>
    <w:rsid w:val="001D6788"/>
    <w:rsid w:val="001D687C"/>
    <w:rsid w:val="001D6892"/>
    <w:rsid w:val="001D68B2"/>
    <w:rsid w:val="001D68FC"/>
    <w:rsid w:val="001D6919"/>
    <w:rsid w:val="001D6944"/>
    <w:rsid w:val="001D69C0"/>
    <w:rsid w:val="001D69D5"/>
    <w:rsid w:val="001D6A2C"/>
    <w:rsid w:val="001D6B6F"/>
    <w:rsid w:val="001D6B84"/>
    <w:rsid w:val="001D6BAC"/>
    <w:rsid w:val="001D6BE6"/>
    <w:rsid w:val="001D6BEC"/>
    <w:rsid w:val="001D6C0C"/>
    <w:rsid w:val="001D6C68"/>
    <w:rsid w:val="001D6C80"/>
    <w:rsid w:val="001D6CB8"/>
    <w:rsid w:val="001D6D3E"/>
    <w:rsid w:val="001D6D74"/>
    <w:rsid w:val="001D6D7A"/>
    <w:rsid w:val="001D6D7E"/>
    <w:rsid w:val="001D6DA9"/>
    <w:rsid w:val="001D6DAE"/>
    <w:rsid w:val="001D6DEB"/>
    <w:rsid w:val="001D6DF2"/>
    <w:rsid w:val="001D6E27"/>
    <w:rsid w:val="001D6E76"/>
    <w:rsid w:val="001D6E8C"/>
    <w:rsid w:val="001D6EC9"/>
    <w:rsid w:val="001D6F30"/>
    <w:rsid w:val="001D6F3D"/>
    <w:rsid w:val="001D6F4A"/>
    <w:rsid w:val="001D6FF3"/>
    <w:rsid w:val="001D6FFE"/>
    <w:rsid w:val="001D7073"/>
    <w:rsid w:val="001D70AB"/>
    <w:rsid w:val="001D70BF"/>
    <w:rsid w:val="001D7165"/>
    <w:rsid w:val="001D71A1"/>
    <w:rsid w:val="001D71C3"/>
    <w:rsid w:val="001D7252"/>
    <w:rsid w:val="001D729D"/>
    <w:rsid w:val="001D72FD"/>
    <w:rsid w:val="001D7300"/>
    <w:rsid w:val="001D7335"/>
    <w:rsid w:val="001D733E"/>
    <w:rsid w:val="001D7343"/>
    <w:rsid w:val="001D7365"/>
    <w:rsid w:val="001D736A"/>
    <w:rsid w:val="001D7375"/>
    <w:rsid w:val="001D7419"/>
    <w:rsid w:val="001D742F"/>
    <w:rsid w:val="001D7466"/>
    <w:rsid w:val="001D74A7"/>
    <w:rsid w:val="001D74A8"/>
    <w:rsid w:val="001D74AF"/>
    <w:rsid w:val="001D752D"/>
    <w:rsid w:val="001D75F0"/>
    <w:rsid w:val="001D7651"/>
    <w:rsid w:val="001D7717"/>
    <w:rsid w:val="001D774D"/>
    <w:rsid w:val="001D77CB"/>
    <w:rsid w:val="001D77D6"/>
    <w:rsid w:val="001D77DD"/>
    <w:rsid w:val="001D780E"/>
    <w:rsid w:val="001D7853"/>
    <w:rsid w:val="001D7871"/>
    <w:rsid w:val="001D78EC"/>
    <w:rsid w:val="001D7907"/>
    <w:rsid w:val="001D7918"/>
    <w:rsid w:val="001D7963"/>
    <w:rsid w:val="001D797E"/>
    <w:rsid w:val="001D79DF"/>
    <w:rsid w:val="001D7A08"/>
    <w:rsid w:val="001D7A18"/>
    <w:rsid w:val="001D7A4C"/>
    <w:rsid w:val="001D7A7A"/>
    <w:rsid w:val="001D7A89"/>
    <w:rsid w:val="001D7AC4"/>
    <w:rsid w:val="001D7B06"/>
    <w:rsid w:val="001D7B15"/>
    <w:rsid w:val="001D7BAE"/>
    <w:rsid w:val="001D7BB1"/>
    <w:rsid w:val="001D7BCE"/>
    <w:rsid w:val="001D7C27"/>
    <w:rsid w:val="001D7C33"/>
    <w:rsid w:val="001D7C38"/>
    <w:rsid w:val="001D7C6C"/>
    <w:rsid w:val="001D7CAA"/>
    <w:rsid w:val="001D7CC3"/>
    <w:rsid w:val="001D7DDF"/>
    <w:rsid w:val="001D7E6B"/>
    <w:rsid w:val="001D7EDC"/>
    <w:rsid w:val="001D7F12"/>
    <w:rsid w:val="001D7F7F"/>
    <w:rsid w:val="001D7FFA"/>
    <w:rsid w:val="001E000F"/>
    <w:rsid w:val="001E0035"/>
    <w:rsid w:val="001E00D3"/>
    <w:rsid w:val="001E0122"/>
    <w:rsid w:val="001E0131"/>
    <w:rsid w:val="001E01BC"/>
    <w:rsid w:val="001E0241"/>
    <w:rsid w:val="001E02B0"/>
    <w:rsid w:val="001E033F"/>
    <w:rsid w:val="001E0346"/>
    <w:rsid w:val="001E0368"/>
    <w:rsid w:val="001E0572"/>
    <w:rsid w:val="001E05D5"/>
    <w:rsid w:val="001E05F9"/>
    <w:rsid w:val="001E0630"/>
    <w:rsid w:val="001E0699"/>
    <w:rsid w:val="001E06BD"/>
    <w:rsid w:val="001E0715"/>
    <w:rsid w:val="001E0751"/>
    <w:rsid w:val="001E0760"/>
    <w:rsid w:val="001E077B"/>
    <w:rsid w:val="001E078E"/>
    <w:rsid w:val="001E07D3"/>
    <w:rsid w:val="001E07DD"/>
    <w:rsid w:val="001E07F3"/>
    <w:rsid w:val="001E0811"/>
    <w:rsid w:val="001E088C"/>
    <w:rsid w:val="001E08BC"/>
    <w:rsid w:val="001E08D3"/>
    <w:rsid w:val="001E08E3"/>
    <w:rsid w:val="001E08E5"/>
    <w:rsid w:val="001E08F8"/>
    <w:rsid w:val="001E092A"/>
    <w:rsid w:val="001E094F"/>
    <w:rsid w:val="001E0957"/>
    <w:rsid w:val="001E096C"/>
    <w:rsid w:val="001E09D8"/>
    <w:rsid w:val="001E0A29"/>
    <w:rsid w:val="001E0A77"/>
    <w:rsid w:val="001E0AA9"/>
    <w:rsid w:val="001E0ABF"/>
    <w:rsid w:val="001E0B10"/>
    <w:rsid w:val="001E0B3C"/>
    <w:rsid w:val="001E0B5B"/>
    <w:rsid w:val="001E0B8A"/>
    <w:rsid w:val="001E0BDF"/>
    <w:rsid w:val="001E0BE1"/>
    <w:rsid w:val="001E0BE2"/>
    <w:rsid w:val="001E0C59"/>
    <w:rsid w:val="001E0C5A"/>
    <w:rsid w:val="001E0CA5"/>
    <w:rsid w:val="001E0CD5"/>
    <w:rsid w:val="001E0CE3"/>
    <w:rsid w:val="001E0D19"/>
    <w:rsid w:val="001E0D6F"/>
    <w:rsid w:val="001E0DB7"/>
    <w:rsid w:val="001E0E38"/>
    <w:rsid w:val="001E0E45"/>
    <w:rsid w:val="001E0E63"/>
    <w:rsid w:val="001E0F00"/>
    <w:rsid w:val="001E0F27"/>
    <w:rsid w:val="001E0F28"/>
    <w:rsid w:val="001E0F42"/>
    <w:rsid w:val="001E0F93"/>
    <w:rsid w:val="001E0FA0"/>
    <w:rsid w:val="001E1017"/>
    <w:rsid w:val="001E1095"/>
    <w:rsid w:val="001E1108"/>
    <w:rsid w:val="001E1128"/>
    <w:rsid w:val="001E116F"/>
    <w:rsid w:val="001E117D"/>
    <w:rsid w:val="001E1196"/>
    <w:rsid w:val="001E11D3"/>
    <w:rsid w:val="001E12B3"/>
    <w:rsid w:val="001E12BE"/>
    <w:rsid w:val="001E12EC"/>
    <w:rsid w:val="001E13D3"/>
    <w:rsid w:val="001E13D7"/>
    <w:rsid w:val="001E14EB"/>
    <w:rsid w:val="001E1515"/>
    <w:rsid w:val="001E1593"/>
    <w:rsid w:val="001E1596"/>
    <w:rsid w:val="001E15BB"/>
    <w:rsid w:val="001E1625"/>
    <w:rsid w:val="001E162C"/>
    <w:rsid w:val="001E1638"/>
    <w:rsid w:val="001E1672"/>
    <w:rsid w:val="001E1682"/>
    <w:rsid w:val="001E16B9"/>
    <w:rsid w:val="001E16DE"/>
    <w:rsid w:val="001E170B"/>
    <w:rsid w:val="001E1773"/>
    <w:rsid w:val="001E17E7"/>
    <w:rsid w:val="001E17ED"/>
    <w:rsid w:val="001E184C"/>
    <w:rsid w:val="001E1863"/>
    <w:rsid w:val="001E18D1"/>
    <w:rsid w:val="001E19E4"/>
    <w:rsid w:val="001E1A06"/>
    <w:rsid w:val="001E1A23"/>
    <w:rsid w:val="001E1A66"/>
    <w:rsid w:val="001E1A94"/>
    <w:rsid w:val="001E1AB0"/>
    <w:rsid w:val="001E1AFF"/>
    <w:rsid w:val="001E1B00"/>
    <w:rsid w:val="001E1B2F"/>
    <w:rsid w:val="001E1B50"/>
    <w:rsid w:val="001E1B75"/>
    <w:rsid w:val="001E1BB1"/>
    <w:rsid w:val="001E1BD3"/>
    <w:rsid w:val="001E1C07"/>
    <w:rsid w:val="001E1D03"/>
    <w:rsid w:val="001E1D47"/>
    <w:rsid w:val="001E1D6A"/>
    <w:rsid w:val="001E1D73"/>
    <w:rsid w:val="001E1D7C"/>
    <w:rsid w:val="001E1DBF"/>
    <w:rsid w:val="001E1DE7"/>
    <w:rsid w:val="001E1E1D"/>
    <w:rsid w:val="001E1ECD"/>
    <w:rsid w:val="001E1F30"/>
    <w:rsid w:val="001E1F35"/>
    <w:rsid w:val="001E1F7C"/>
    <w:rsid w:val="001E1F8F"/>
    <w:rsid w:val="001E2033"/>
    <w:rsid w:val="001E2035"/>
    <w:rsid w:val="001E205E"/>
    <w:rsid w:val="001E2131"/>
    <w:rsid w:val="001E2176"/>
    <w:rsid w:val="001E2190"/>
    <w:rsid w:val="001E220A"/>
    <w:rsid w:val="001E2255"/>
    <w:rsid w:val="001E2258"/>
    <w:rsid w:val="001E238E"/>
    <w:rsid w:val="001E23E3"/>
    <w:rsid w:val="001E24AF"/>
    <w:rsid w:val="001E2528"/>
    <w:rsid w:val="001E25BB"/>
    <w:rsid w:val="001E2619"/>
    <w:rsid w:val="001E26B9"/>
    <w:rsid w:val="001E2736"/>
    <w:rsid w:val="001E274C"/>
    <w:rsid w:val="001E2752"/>
    <w:rsid w:val="001E27E8"/>
    <w:rsid w:val="001E28B5"/>
    <w:rsid w:val="001E28C4"/>
    <w:rsid w:val="001E28DD"/>
    <w:rsid w:val="001E28F0"/>
    <w:rsid w:val="001E2962"/>
    <w:rsid w:val="001E296E"/>
    <w:rsid w:val="001E299C"/>
    <w:rsid w:val="001E29D5"/>
    <w:rsid w:val="001E2A29"/>
    <w:rsid w:val="001E2A6F"/>
    <w:rsid w:val="001E2A89"/>
    <w:rsid w:val="001E2B9E"/>
    <w:rsid w:val="001E2BCD"/>
    <w:rsid w:val="001E2C55"/>
    <w:rsid w:val="001E2CB4"/>
    <w:rsid w:val="001E2CB9"/>
    <w:rsid w:val="001E2CC0"/>
    <w:rsid w:val="001E2D20"/>
    <w:rsid w:val="001E2D34"/>
    <w:rsid w:val="001E2D7A"/>
    <w:rsid w:val="001E2ECB"/>
    <w:rsid w:val="001E2ED0"/>
    <w:rsid w:val="001E2F72"/>
    <w:rsid w:val="001E2F7F"/>
    <w:rsid w:val="001E2FA5"/>
    <w:rsid w:val="001E2FA8"/>
    <w:rsid w:val="001E2FF5"/>
    <w:rsid w:val="001E3021"/>
    <w:rsid w:val="001E3039"/>
    <w:rsid w:val="001E3048"/>
    <w:rsid w:val="001E30D4"/>
    <w:rsid w:val="001E30F8"/>
    <w:rsid w:val="001E3168"/>
    <w:rsid w:val="001E316B"/>
    <w:rsid w:val="001E317C"/>
    <w:rsid w:val="001E31A3"/>
    <w:rsid w:val="001E31C0"/>
    <w:rsid w:val="001E31C4"/>
    <w:rsid w:val="001E3254"/>
    <w:rsid w:val="001E3308"/>
    <w:rsid w:val="001E3370"/>
    <w:rsid w:val="001E3457"/>
    <w:rsid w:val="001E349F"/>
    <w:rsid w:val="001E34B3"/>
    <w:rsid w:val="001E352F"/>
    <w:rsid w:val="001E3625"/>
    <w:rsid w:val="001E3647"/>
    <w:rsid w:val="001E365A"/>
    <w:rsid w:val="001E366E"/>
    <w:rsid w:val="001E3671"/>
    <w:rsid w:val="001E3683"/>
    <w:rsid w:val="001E3694"/>
    <w:rsid w:val="001E36C3"/>
    <w:rsid w:val="001E36D2"/>
    <w:rsid w:val="001E36E4"/>
    <w:rsid w:val="001E36FB"/>
    <w:rsid w:val="001E37A7"/>
    <w:rsid w:val="001E37AC"/>
    <w:rsid w:val="001E38A3"/>
    <w:rsid w:val="001E393E"/>
    <w:rsid w:val="001E39FF"/>
    <w:rsid w:val="001E3AA4"/>
    <w:rsid w:val="001E3AB4"/>
    <w:rsid w:val="001E3B04"/>
    <w:rsid w:val="001E3B1E"/>
    <w:rsid w:val="001E3B3D"/>
    <w:rsid w:val="001E3B3F"/>
    <w:rsid w:val="001E3BE5"/>
    <w:rsid w:val="001E3C3C"/>
    <w:rsid w:val="001E3C50"/>
    <w:rsid w:val="001E3CAD"/>
    <w:rsid w:val="001E3D2E"/>
    <w:rsid w:val="001E3D86"/>
    <w:rsid w:val="001E3D9F"/>
    <w:rsid w:val="001E3E00"/>
    <w:rsid w:val="001E3E21"/>
    <w:rsid w:val="001E3E3D"/>
    <w:rsid w:val="001E3E67"/>
    <w:rsid w:val="001E3EA7"/>
    <w:rsid w:val="001E3ED2"/>
    <w:rsid w:val="001E3ED3"/>
    <w:rsid w:val="001E3F02"/>
    <w:rsid w:val="001E3F3D"/>
    <w:rsid w:val="001E3F5F"/>
    <w:rsid w:val="001E3F7A"/>
    <w:rsid w:val="001E402D"/>
    <w:rsid w:val="001E402F"/>
    <w:rsid w:val="001E404A"/>
    <w:rsid w:val="001E404B"/>
    <w:rsid w:val="001E40A6"/>
    <w:rsid w:val="001E40BB"/>
    <w:rsid w:val="001E4123"/>
    <w:rsid w:val="001E41B6"/>
    <w:rsid w:val="001E41E9"/>
    <w:rsid w:val="001E41FE"/>
    <w:rsid w:val="001E4246"/>
    <w:rsid w:val="001E4282"/>
    <w:rsid w:val="001E4290"/>
    <w:rsid w:val="001E42FD"/>
    <w:rsid w:val="001E43F7"/>
    <w:rsid w:val="001E4420"/>
    <w:rsid w:val="001E4456"/>
    <w:rsid w:val="001E446A"/>
    <w:rsid w:val="001E44B8"/>
    <w:rsid w:val="001E4557"/>
    <w:rsid w:val="001E455A"/>
    <w:rsid w:val="001E4574"/>
    <w:rsid w:val="001E45BC"/>
    <w:rsid w:val="001E45E6"/>
    <w:rsid w:val="001E4646"/>
    <w:rsid w:val="001E465E"/>
    <w:rsid w:val="001E4682"/>
    <w:rsid w:val="001E46A7"/>
    <w:rsid w:val="001E46B4"/>
    <w:rsid w:val="001E46E6"/>
    <w:rsid w:val="001E47FA"/>
    <w:rsid w:val="001E481D"/>
    <w:rsid w:val="001E4866"/>
    <w:rsid w:val="001E488D"/>
    <w:rsid w:val="001E48A7"/>
    <w:rsid w:val="001E48FF"/>
    <w:rsid w:val="001E49A2"/>
    <w:rsid w:val="001E49B5"/>
    <w:rsid w:val="001E4A3F"/>
    <w:rsid w:val="001E4A95"/>
    <w:rsid w:val="001E4AA1"/>
    <w:rsid w:val="001E4AB6"/>
    <w:rsid w:val="001E4AC5"/>
    <w:rsid w:val="001E4ADC"/>
    <w:rsid w:val="001E4AE9"/>
    <w:rsid w:val="001E4B1B"/>
    <w:rsid w:val="001E4B20"/>
    <w:rsid w:val="001E4B29"/>
    <w:rsid w:val="001E4B7A"/>
    <w:rsid w:val="001E4BA9"/>
    <w:rsid w:val="001E4BFF"/>
    <w:rsid w:val="001E4D03"/>
    <w:rsid w:val="001E4D27"/>
    <w:rsid w:val="001E4D80"/>
    <w:rsid w:val="001E4E94"/>
    <w:rsid w:val="001E4E97"/>
    <w:rsid w:val="001E4EAA"/>
    <w:rsid w:val="001E4F23"/>
    <w:rsid w:val="001E4F3B"/>
    <w:rsid w:val="001E4F67"/>
    <w:rsid w:val="001E4F76"/>
    <w:rsid w:val="001E5050"/>
    <w:rsid w:val="001E50B5"/>
    <w:rsid w:val="001E5108"/>
    <w:rsid w:val="001E5156"/>
    <w:rsid w:val="001E518F"/>
    <w:rsid w:val="001E5200"/>
    <w:rsid w:val="001E526C"/>
    <w:rsid w:val="001E52A9"/>
    <w:rsid w:val="001E5364"/>
    <w:rsid w:val="001E5387"/>
    <w:rsid w:val="001E5464"/>
    <w:rsid w:val="001E5489"/>
    <w:rsid w:val="001E5495"/>
    <w:rsid w:val="001E54A0"/>
    <w:rsid w:val="001E5577"/>
    <w:rsid w:val="001E558A"/>
    <w:rsid w:val="001E5590"/>
    <w:rsid w:val="001E5598"/>
    <w:rsid w:val="001E5778"/>
    <w:rsid w:val="001E5787"/>
    <w:rsid w:val="001E57A6"/>
    <w:rsid w:val="001E57C5"/>
    <w:rsid w:val="001E588E"/>
    <w:rsid w:val="001E58C0"/>
    <w:rsid w:val="001E58CE"/>
    <w:rsid w:val="001E594B"/>
    <w:rsid w:val="001E5994"/>
    <w:rsid w:val="001E59FD"/>
    <w:rsid w:val="001E5AD7"/>
    <w:rsid w:val="001E5B20"/>
    <w:rsid w:val="001E5B5F"/>
    <w:rsid w:val="001E5BF7"/>
    <w:rsid w:val="001E5C3E"/>
    <w:rsid w:val="001E5C45"/>
    <w:rsid w:val="001E5CBA"/>
    <w:rsid w:val="001E5CE0"/>
    <w:rsid w:val="001E5CE4"/>
    <w:rsid w:val="001E5DF5"/>
    <w:rsid w:val="001E5E4C"/>
    <w:rsid w:val="001E5EA6"/>
    <w:rsid w:val="001E5F4C"/>
    <w:rsid w:val="001E5F5E"/>
    <w:rsid w:val="001E5FC2"/>
    <w:rsid w:val="001E6055"/>
    <w:rsid w:val="001E60CC"/>
    <w:rsid w:val="001E6163"/>
    <w:rsid w:val="001E61C5"/>
    <w:rsid w:val="001E62C7"/>
    <w:rsid w:val="001E637E"/>
    <w:rsid w:val="001E63DF"/>
    <w:rsid w:val="001E64B5"/>
    <w:rsid w:val="001E64DF"/>
    <w:rsid w:val="001E659E"/>
    <w:rsid w:val="001E65FA"/>
    <w:rsid w:val="001E6602"/>
    <w:rsid w:val="001E668B"/>
    <w:rsid w:val="001E6773"/>
    <w:rsid w:val="001E6819"/>
    <w:rsid w:val="001E6864"/>
    <w:rsid w:val="001E6892"/>
    <w:rsid w:val="001E6933"/>
    <w:rsid w:val="001E6934"/>
    <w:rsid w:val="001E6972"/>
    <w:rsid w:val="001E6990"/>
    <w:rsid w:val="001E69D5"/>
    <w:rsid w:val="001E6A04"/>
    <w:rsid w:val="001E6AEF"/>
    <w:rsid w:val="001E6B20"/>
    <w:rsid w:val="001E6B8E"/>
    <w:rsid w:val="001E6C00"/>
    <w:rsid w:val="001E6C59"/>
    <w:rsid w:val="001E6D0E"/>
    <w:rsid w:val="001E6D8C"/>
    <w:rsid w:val="001E6D94"/>
    <w:rsid w:val="001E6DEF"/>
    <w:rsid w:val="001E6DF3"/>
    <w:rsid w:val="001E6E07"/>
    <w:rsid w:val="001E6E88"/>
    <w:rsid w:val="001E6EB3"/>
    <w:rsid w:val="001E6F03"/>
    <w:rsid w:val="001E6F2A"/>
    <w:rsid w:val="001E7014"/>
    <w:rsid w:val="001E7027"/>
    <w:rsid w:val="001E7039"/>
    <w:rsid w:val="001E7147"/>
    <w:rsid w:val="001E71CE"/>
    <w:rsid w:val="001E71EA"/>
    <w:rsid w:val="001E71FE"/>
    <w:rsid w:val="001E7228"/>
    <w:rsid w:val="001E72C8"/>
    <w:rsid w:val="001E730D"/>
    <w:rsid w:val="001E7330"/>
    <w:rsid w:val="001E7350"/>
    <w:rsid w:val="001E73B3"/>
    <w:rsid w:val="001E73DF"/>
    <w:rsid w:val="001E742D"/>
    <w:rsid w:val="001E74DA"/>
    <w:rsid w:val="001E74F3"/>
    <w:rsid w:val="001E7535"/>
    <w:rsid w:val="001E75BC"/>
    <w:rsid w:val="001E75F7"/>
    <w:rsid w:val="001E7634"/>
    <w:rsid w:val="001E763D"/>
    <w:rsid w:val="001E764B"/>
    <w:rsid w:val="001E7669"/>
    <w:rsid w:val="001E7685"/>
    <w:rsid w:val="001E7690"/>
    <w:rsid w:val="001E7698"/>
    <w:rsid w:val="001E76B7"/>
    <w:rsid w:val="001E7732"/>
    <w:rsid w:val="001E77BA"/>
    <w:rsid w:val="001E77C8"/>
    <w:rsid w:val="001E77E0"/>
    <w:rsid w:val="001E77F8"/>
    <w:rsid w:val="001E7836"/>
    <w:rsid w:val="001E79C0"/>
    <w:rsid w:val="001E7A68"/>
    <w:rsid w:val="001E7A7F"/>
    <w:rsid w:val="001E7B33"/>
    <w:rsid w:val="001E7B5D"/>
    <w:rsid w:val="001E7B7E"/>
    <w:rsid w:val="001E7DC3"/>
    <w:rsid w:val="001E7DCD"/>
    <w:rsid w:val="001E7EA6"/>
    <w:rsid w:val="001E7EBA"/>
    <w:rsid w:val="001E7EE2"/>
    <w:rsid w:val="001E7EF6"/>
    <w:rsid w:val="001E7EF7"/>
    <w:rsid w:val="001E7F14"/>
    <w:rsid w:val="001E7F51"/>
    <w:rsid w:val="001E7F62"/>
    <w:rsid w:val="001E7F90"/>
    <w:rsid w:val="001F0049"/>
    <w:rsid w:val="001F00A2"/>
    <w:rsid w:val="001F00E0"/>
    <w:rsid w:val="001F012A"/>
    <w:rsid w:val="001F0150"/>
    <w:rsid w:val="001F0178"/>
    <w:rsid w:val="001F01AA"/>
    <w:rsid w:val="001F01DB"/>
    <w:rsid w:val="001F021C"/>
    <w:rsid w:val="001F0237"/>
    <w:rsid w:val="001F023A"/>
    <w:rsid w:val="001F029D"/>
    <w:rsid w:val="001F0301"/>
    <w:rsid w:val="001F0339"/>
    <w:rsid w:val="001F033D"/>
    <w:rsid w:val="001F035E"/>
    <w:rsid w:val="001F0374"/>
    <w:rsid w:val="001F038D"/>
    <w:rsid w:val="001F03CB"/>
    <w:rsid w:val="001F03F9"/>
    <w:rsid w:val="001F0450"/>
    <w:rsid w:val="001F045A"/>
    <w:rsid w:val="001F0490"/>
    <w:rsid w:val="001F050C"/>
    <w:rsid w:val="001F053C"/>
    <w:rsid w:val="001F0575"/>
    <w:rsid w:val="001F057C"/>
    <w:rsid w:val="001F059B"/>
    <w:rsid w:val="001F05A8"/>
    <w:rsid w:val="001F05B7"/>
    <w:rsid w:val="001F0675"/>
    <w:rsid w:val="001F06FD"/>
    <w:rsid w:val="001F07A7"/>
    <w:rsid w:val="001F085E"/>
    <w:rsid w:val="001F0868"/>
    <w:rsid w:val="001F08AA"/>
    <w:rsid w:val="001F08B2"/>
    <w:rsid w:val="001F08D3"/>
    <w:rsid w:val="001F090D"/>
    <w:rsid w:val="001F0910"/>
    <w:rsid w:val="001F09AA"/>
    <w:rsid w:val="001F09B2"/>
    <w:rsid w:val="001F09B9"/>
    <w:rsid w:val="001F09C6"/>
    <w:rsid w:val="001F0A04"/>
    <w:rsid w:val="001F0A0D"/>
    <w:rsid w:val="001F0A4C"/>
    <w:rsid w:val="001F0A5B"/>
    <w:rsid w:val="001F0A82"/>
    <w:rsid w:val="001F0A83"/>
    <w:rsid w:val="001F0AC0"/>
    <w:rsid w:val="001F0B5F"/>
    <w:rsid w:val="001F0BA1"/>
    <w:rsid w:val="001F0BB4"/>
    <w:rsid w:val="001F0C41"/>
    <w:rsid w:val="001F0C48"/>
    <w:rsid w:val="001F0C4C"/>
    <w:rsid w:val="001F0C63"/>
    <w:rsid w:val="001F0CE3"/>
    <w:rsid w:val="001F0D62"/>
    <w:rsid w:val="001F0D74"/>
    <w:rsid w:val="001F0D91"/>
    <w:rsid w:val="001F0DD6"/>
    <w:rsid w:val="001F0DFD"/>
    <w:rsid w:val="001F0E02"/>
    <w:rsid w:val="001F0E1F"/>
    <w:rsid w:val="001F0ED1"/>
    <w:rsid w:val="001F0FF5"/>
    <w:rsid w:val="001F10D5"/>
    <w:rsid w:val="001F10F0"/>
    <w:rsid w:val="001F111B"/>
    <w:rsid w:val="001F11AD"/>
    <w:rsid w:val="001F11FB"/>
    <w:rsid w:val="001F1211"/>
    <w:rsid w:val="001F1212"/>
    <w:rsid w:val="001F12E0"/>
    <w:rsid w:val="001F1318"/>
    <w:rsid w:val="001F1324"/>
    <w:rsid w:val="001F1336"/>
    <w:rsid w:val="001F1337"/>
    <w:rsid w:val="001F1357"/>
    <w:rsid w:val="001F13F6"/>
    <w:rsid w:val="001F1404"/>
    <w:rsid w:val="001F14A3"/>
    <w:rsid w:val="001F155F"/>
    <w:rsid w:val="001F15A9"/>
    <w:rsid w:val="001F165A"/>
    <w:rsid w:val="001F1661"/>
    <w:rsid w:val="001F16A8"/>
    <w:rsid w:val="001F16B1"/>
    <w:rsid w:val="001F16F4"/>
    <w:rsid w:val="001F170B"/>
    <w:rsid w:val="001F1761"/>
    <w:rsid w:val="001F1829"/>
    <w:rsid w:val="001F1895"/>
    <w:rsid w:val="001F18D9"/>
    <w:rsid w:val="001F190C"/>
    <w:rsid w:val="001F1930"/>
    <w:rsid w:val="001F1944"/>
    <w:rsid w:val="001F1949"/>
    <w:rsid w:val="001F1990"/>
    <w:rsid w:val="001F19EE"/>
    <w:rsid w:val="001F1A09"/>
    <w:rsid w:val="001F1A25"/>
    <w:rsid w:val="001F1A48"/>
    <w:rsid w:val="001F1ADF"/>
    <w:rsid w:val="001F1B04"/>
    <w:rsid w:val="001F1B4A"/>
    <w:rsid w:val="001F1BD4"/>
    <w:rsid w:val="001F1C36"/>
    <w:rsid w:val="001F1C4A"/>
    <w:rsid w:val="001F1D75"/>
    <w:rsid w:val="001F1D7B"/>
    <w:rsid w:val="001F1DA5"/>
    <w:rsid w:val="001F1DA9"/>
    <w:rsid w:val="001F1E19"/>
    <w:rsid w:val="001F1E47"/>
    <w:rsid w:val="001F1E5C"/>
    <w:rsid w:val="001F1E80"/>
    <w:rsid w:val="001F1EBC"/>
    <w:rsid w:val="001F1EF2"/>
    <w:rsid w:val="001F1F8D"/>
    <w:rsid w:val="001F1FAC"/>
    <w:rsid w:val="001F1FE7"/>
    <w:rsid w:val="001F1FEA"/>
    <w:rsid w:val="001F1FF5"/>
    <w:rsid w:val="001F200E"/>
    <w:rsid w:val="001F2026"/>
    <w:rsid w:val="001F2055"/>
    <w:rsid w:val="001F20CF"/>
    <w:rsid w:val="001F20D4"/>
    <w:rsid w:val="001F214C"/>
    <w:rsid w:val="001F227F"/>
    <w:rsid w:val="001F229B"/>
    <w:rsid w:val="001F22E4"/>
    <w:rsid w:val="001F2309"/>
    <w:rsid w:val="001F2338"/>
    <w:rsid w:val="001F2352"/>
    <w:rsid w:val="001F2353"/>
    <w:rsid w:val="001F249D"/>
    <w:rsid w:val="001F24F1"/>
    <w:rsid w:val="001F2576"/>
    <w:rsid w:val="001F25AB"/>
    <w:rsid w:val="001F25CD"/>
    <w:rsid w:val="001F2676"/>
    <w:rsid w:val="001F2710"/>
    <w:rsid w:val="001F2770"/>
    <w:rsid w:val="001F278F"/>
    <w:rsid w:val="001F27AD"/>
    <w:rsid w:val="001F27D4"/>
    <w:rsid w:val="001F284C"/>
    <w:rsid w:val="001F28D9"/>
    <w:rsid w:val="001F295D"/>
    <w:rsid w:val="001F29FA"/>
    <w:rsid w:val="001F2A21"/>
    <w:rsid w:val="001F2A38"/>
    <w:rsid w:val="001F2AAB"/>
    <w:rsid w:val="001F2AD1"/>
    <w:rsid w:val="001F2AFF"/>
    <w:rsid w:val="001F2B67"/>
    <w:rsid w:val="001F2BAD"/>
    <w:rsid w:val="001F2BD3"/>
    <w:rsid w:val="001F2C89"/>
    <w:rsid w:val="001F2CEE"/>
    <w:rsid w:val="001F2D5D"/>
    <w:rsid w:val="001F2D86"/>
    <w:rsid w:val="001F2DA4"/>
    <w:rsid w:val="001F2E0E"/>
    <w:rsid w:val="001F2E34"/>
    <w:rsid w:val="001F2E82"/>
    <w:rsid w:val="001F2EA7"/>
    <w:rsid w:val="001F2ECB"/>
    <w:rsid w:val="001F2ED3"/>
    <w:rsid w:val="001F2F0E"/>
    <w:rsid w:val="001F2F58"/>
    <w:rsid w:val="001F2F7E"/>
    <w:rsid w:val="001F2F93"/>
    <w:rsid w:val="001F2FC3"/>
    <w:rsid w:val="001F2FE5"/>
    <w:rsid w:val="001F304E"/>
    <w:rsid w:val="001F30B0"/>
    <w:rsid w:val="001F3185"/>
    <w:rsid w:val="001F31F6"/>
    <w:rsid w:val="001F330B"/>
    <w:rsid w:val="001F331D"/>
    <w:rsid w:val="001F3337"/>
    <w:rsid w:val="001F3393"/>
    <w:rsid w:val="001F33F0"/>
    <w:rsid w:val="001F3410"/>
    <w:rsid w:val="001F345D"/>
    <w:rsid w:val="001F34B3"/>
    <w:rsid w:val="001F34C5"/>
    <w:rsid w:val="001F34F0"/>
    <w:rsid w:val="001F3517"/>
    <w:rsid w:val="001F3558"/>
    <w:rsid w:val="001F356D"/>
    <w:rsid w:val="001F3683"/>
    <w:rsid w:val="001F3722"/>
    <w:rsid w:val="001F3726"/>
    <w:rsid w:val="001F372E"/>
    <w:rsid w:val="001F3733"/>
    <w:rsid w:val="001F3739"/>
    <w:rsid w:val="001F373F"/>
    <w:rsid w:val="001F3743"/>
    <w:rsid w:val="001F374C"/>
    <w:rsid w:val="001F379D"/>
    <w:rsid w:val="001F37D0"/>
    <w:rsid w:val="001F37E6"/>
    <w:rsid w:val="001F3802"/>
    <w:rsid w:val="001F3818"/>
    <w:rsid w:val="001F381C"/>
    <w:rsid w:val="001F3856"/>
    <w:rsid w:val="001F38DB"/>
    <w:rsid w:val="001F38DC"/>
    <w:rsid w:val="001F38E7"/>
    <w:rsid w:val="001F38F1"/>
    <w:rsid w:val="001F398D"/>
    <w:rsid w:val="001F3A60"/>
    <w:rsid w:val="001F3A81"/>
    <w:rsid w:val="001F3AEA"/>
    <w:rsid w:val="001F3B56"/>
    <w:rsid w:val="001F3B62"/>
    <w:rsid w:val="001F3B63"/>
    <w:rsid w:val="001F3B6E"/>
    <w:rsid w:val="001F3B8B"/>
    <w:rsid w:val="001F3BCE"/>
    <w:rsid w:val="001F3BE8"/>
    <w:rsid w:val="001F3C06"/>
    <w:rsid w:val="001F3C16"/>
    <w:rsid w:val="001F3C4B"/>
    <w:rsid w:val="001F3C62"/>
    <w:rsid w:val="001F3C78"/>
    <w:rsid w:val="001F3CE9"/>
    <w:rsid w:val="001F3CED"/>
    <w:rsid w:val="001F3D4A"/>
    <w:rsid w:val="001F3D7A"/>
    <w:rsid w:val="001F3D86"/>
    <w:rsid w:val="001F3DBD"/>
    <w:rsid w:val="001F3DC1"/>
    <w:rsid w:val="001F3DCF"/>
    <w:rsid w:val="001F3DE6"/>
    <w:rsid w:val="001F3E09"/>
    <w:rsid w:val="001F3E3E"/>
    <w:rsid w:val="001F3E47"/>
    <w:rsid w:val="001F3E83"/>
    <w:rsid w:val="001F3EDD"/>
    <w:rsid w:val="001F3F3C"/>
    <w:rsid w:val="001F3F43"/>
    <w:rsid w:val="001F3F47"/>
    <w:rsid w:val="001F3F77"/>
    <w:rsid w:val="001F3FB8"/>
    <w:rsid w:val="001F3FE2"/>
    <w:rsid w:val="001F3FF8"/>
    <w:rsid w:val="001F403F"/>
    <w:rsid w:val="001F4048"/>
    <w:rsid w:val="001F4066"/>
    <w:rsid w:val="001F4068"/>
    <w:rsid w:val="001F4202"/>
    <w:rsid w:val="001F424F"/>
    <w:rsid w:val="001F4256"/>
    <w:rsid w:val="001F4281"/>
    <w:rsid w:val="001F4303"/>
    <w:rsid w:val="001F4338"/>
    <w:rsid w:val="001F4362"/>
    <w:rsid w:val="001F43EF"/>
    <w:rsid w:val="001F43FF"/>
    <w:rsid w:val="001F442A"/>
    <w:rsid w:val="001F4448"/>
    <w:rsid w:val="001F44E2"/>
    <w:rsid w:val="001F4511"/>
    <w:rsid w:val="001F4581"/>
    <w:rsid w:val="001F45FE"/>
    <w:rsid w:val="001F4601"/>
    <w:rsid w:val="001F4631"/>
    <w:rsid w:val="001F4669"/>
    <w:rsid w:val="001F4676"/>
    <w:rsid w:val="001F46E2"/>
    <w:rsid w:val="001F476C"/>
    <w:rsid w:val="001F4790"/>
    <w:rsid w:val="001F479D"/>
    <w:rsid w:val="001F47A7"/>
    <w:rsid w:val="001F47D8"/>
    <w:rsid w:val="001F488F"/>
    <w:rsid w:val="001F48B0"/>
    <w:rsid w:val="001F48B3"/>
    <w:rsid w:val="001F4931"/>
    <w:rsid w:val="001F4965"/>
    <w:rsid w:val="001F49AD"/>
    <w:rsid w:val="001F4A0A"/>
    <w:rsid w:val="001F4A0C"/>
    <w:rsid w:val="001F4A0F"/>
    <w:rsid w:val="001F4A67"/>
    <w:rsid w:val="001F4A90"/>
    <w:rsid w:val="001F4B05"/>
    <w:rsid w:val="001F4B1E"/>
    <w:rsid w:val="001F4B2C"/>
    <w:rsid w:val="001F4B45"/>
    <w:rsid w:val="001F4B87"/>
    <w:rsid w:val="001F4B93"/>
    <w:rsid w:val="001F4BA5"/>
    <w:rsid w:val="001F4BCB"/>
    <w:rsid w:val="001F4C0C"/>
    <w:rsid w:val="001F4C28"/>
    <w:rsid w:val="001F4C30"/>
    <w:rsid w:val="001F4C49"/>
    <w:rsid w:val="001F4CD7"/>
    <w:rsid w:val="001F4D4B"/>
    <w:rsid w:val="001F4D53"/>
    <w:rsid w:val="001F4D7E"/>
    <w:rsid w:val="001F4DDE"/>
    <w:rsid w:val="001F4E4B"/>
    <w:rsid w:val="001F4E8E"/>
    <w:rsid w:val="001F4ECD"/>
    <w:rsid w:val="001F4F78"/>
    <w:rsid w:val="001F4FAE"/>
    <w:rsid w:val="001F4FCB"/>
    <w:rsid w:val="001F4FD4"/>
    <w:rsid w:val="001F506F"/>
    <w:rsid w:val="001F5082"/>
    <w:rsid w:val="001F5162"/>
    <w:rsid w:val="001F51AD"/>
    <w:rsid w:val="001F5298"/>
    <w:rsid w:val="001F52B6"/>
    <w:rsid w:val="001F52BC"/>
    <w:rsid w:val="001F52C8"/>
    <w:rsid w:val="001F52FE"/>
    <w:rsid w:val="001F5303"/>
    <w:rsid w:val="001F53BB"/>
    <w:rsid w:val="001F5407"/>
    <w:rsid w:val="001F54D2"/>
    <w:rsid w:val="001F553C"/>
    <w:rsid w:val="001F5604"/>
    <w:rsid w:val="001F563D"/>
    <w:rsid w:val="001F5676"/>
    <w:rsid w:val="001F56E8"/>
    <w:rsid w:val="001F56F3"/>
    <w:rsid w:val="001F575F"/>
    <w:rsid w:val="001F579A"/>
    <w:rsid w:val="001F57AB"/>
    <w:rsid w:val="001F57BB"/>
    <w:rsid w:val="001F5895"/>
    <w:rsid w:val="001F589D"/>
    <w:rsid w:val="001F58D6"/>
    <w:rsid w:val="001F59EA"/>
    <w:rsid w:val="001F5A48"/>
    <w:rsid w:val="001F5B36"/>
    <w:rsid w:val="001F5BF8"/>
    <w:rsid w:val="001F5C5D"/>
    <w:rsid w:val="001F5C8B"/>
    <w:rsid w:val="001F5C9B"/>
    <w:rsid w:val="001F5CA4"/>
    <w:rsid w:val="001F5CEB"/>
    <w:rsid w:val="001F5CED"/>
    <w:rsid w:val="001F5CF6"/>
    <w:rsid w:val="001F5ECA"/>
    <w:rsid w:val="001F5F87"/>
    <w:rsid w:val="001F609B"/>
    <w:rsid w:val="001F60B5"/>
    <w:rsid w:val="001F6188"/>
    <w:rsid w:val="001F61BA"/>
    <w:rsid w:val="001F61C7"/>
    <w:rsid w:val="001F61CE"/>
    <w:rsid w:val="001F61FB"/>
    <w:rsid w:val="001F6280"/>
    <w:rsid w:val="001F628B"/>
    <w:rsid w:val="001F62A2"/>
    <w:rsid w:val="001F62F1"/>
    <w:rsid w:val="001F62F9"/>
    <w:rsid w:val="001F630B"/>
    <w:rsid w:val="001F6375"/>
    <w:rsid w:val="001F63C4"/>
    <w:rsid w:val="001F6431"/>
    <w:rsid w:val="001F64A6"/>
    <w:rsid w:val="001F659E"/>
    <w:rsid w:val="001F65D7"/>
    <w:rsid w:val="001F65E1"/>
    <w:rsid w:val="001F663A"/>
    <w:rsid w:val="001F6658"/>
    <w:rsid w:val="001F669F"/>
    <w:rsid w:val="001F66A1"/>
    <w:rsid w:val="001F66BF"/>
    <w:rsid w:val="001F675E"/>
    <w:rsid w:val="001F6769"/>
    <w:rsid w:val="001F677E"/>
    <w:rsid w:val="001F679D"/>
    <w:rsid w:val="001F67F2"/>
    <w:rsid w:val="001F67F4"/>
    <w:rsid w:val="001F686E"/>
    <w:rsid w:val="001F686F"/>
    <w:rsid w:val="001F687D"/>
    <w:rsid w:val="001F68BC"/>
    <w:rsid w:val="001F68E9"/>
    <w:rsid w:val="001F68EB"/>
    <w:rsid w:val="001F68F6"/>
    <w:rsid w:val="001F695E"/>
    <w:rsid w:val="001F6966"/>
    <w:rsid w:val="001F69CC"/>
    <w:rsid w:val="001F6A06"/>
    <w:rsid w:val="001F6A1F"/>
    <w:rsid w:val="001F6A57"/>
    <w:rsid w:val="001F6A75"/>
    <w:rsid w:val="001F6A86"/>
    <w:rsid w:val="001F6B08"/>
    <w:rsid w:val="001F6B22"/>
    <w:rsid w:val="001F6B8D"/>
    <w:rsid w:val="001F6BFE"/>
    <w:rsid w:val="001F6C17"/>
    <w:rsid w:val="001F6C8D"/>
    <w:rsid w:val="001F6CA0"/>
    <w:rsid w:val="001F6CD7"/>
    <w:rsid w:val="001F6CFC"/>
    <w:rsid w:val="001F6D14"/>
    <w:rsid w:val="001F6D18"/>
    <w:rsid w:val="001F6D37"/>
    <w:rsid w:val="001F6D79"/>
    <w:rsid w:val="001F6D97"/>
    <w:rsid w:val="001F6DEA"/>
    <w:rsid w:val="001F6E3F"/>
    <w:rsid w:val="001F6ECF"/>
    <w:rsid w:val="001F6F4F"/>
    <w:rsid w:val="001F700D"/>
    <w:rsid w:val="001F707F"/>
    <w:rsid w:val="001F7166"/>
    <w:rsid w:val="001F7181"/>
    <w:rsid w:val="001F71BB"/>
    <w:rsid w:val="001F71C8"/>
    <w:rsid w:val="001F71D0"/>
    <w:rsid w:val="001F7201"/>
    <w:rsid w:val="001F7222"/>
    <w:rsid w:val="001F727D"/>
    <w:rsid w:val="001F727F"/>
    <w:rsid w:val="001F7291"/>
    <w:rsid w:val="001F72D2"/>
    <w:rsid w:val="001F72DF"/>
    <w:rsid w:val="001F72F8"/>
    <w:rsid w:val="001F72FB"/>
    <w:rsid w:val="001F7309"/>
    <w:rsid w:val="001F7337"/>
    <w:rsid w:val="001F73BF"/>
    <w:rsid w:val="001F748F"/>
    <w:rsid w:val="001F75BB"/>
    <w:rsid w:val="001F7625"/>
    <w:rsid w:val="001F7656"/>
    <w:rsid w:val="001F76A3"/>
    <w:rsid w:val="001F771C"/>
    <w:rsid w:val="001F7767"/>
    <w:rsid w:val="001F77B9"/>
    <w:rsid w:val="001F7812"/>
    <w:rsid w:val="001F783C"/>
    <w:rsid w:val="001F78A5"/>
    <w:rsid w:val="001F7918"/>
    <w:rsid w:val="001F7965"/>
    <w:rsid w:val="001F7A1C"/>
    <w:rsid w:val="001F7A55"/>
    <w:rsid w:val="001F7B0B"/>
    <w:rsid w:val="001F7B34"/>
    <w:rsid w:val="001F7B42"/>
    <w:rsid w:val="001F7B56"/>
    <w:rsid w:val="001F7C95"/>
    <w:rsid w:val="001F7CF8"/>
    <w:rsid w:val="001F7D97"/>
    <w:rsid w:val="001F7DD9"/>
    <w:rsid w:val="001F7E3C"/>
    <w:rsid w:val="001F7E71"/>
    <w:rsid w:val="001F7F16"/>
    <w:rsid w:val="001F7F7D"/>
    <w:rsid w:val="00200029"/>
    <w:rsid w:val="00200036"/>
    <w:rsid w:val="002000AF"/>
    <w:rsid w:val="00200133"/>
    <w:rsid w:val="0020013A"/>
    <w:rsid w:val="00200145"/>
    <w:rsid w:val="0020017B"/>
    <w:rsid w:val="002001E3"/>
    <w:rsid w:val="002001E6"/>
    <w:rsid w:val="0020020B"/>
    <w:rsid w:val="00200277"/>
    <w:rsid w:val="0020029C"/>
    <w:rsid w:val="002002A6"/>
    <w:rsid w:val="002002BE"/>
    <w:rsid w:val="002002D6"/>
    <w:rsid w:val="00200306"/>
    <w:rsid w:val="00200348"/>
    <w:rsid w:val="0020034E"/>
    <w:rsid w:val="00200351"/>
    <w:rsid w:val="00200373"/>
    <w:rsid w:val="002003FC"/>
    <w:rsid w:val="0020043E"/>
    <w:rsid w:val="00200458"/>
    <w:rsid w:val="002004C8"/>
    <w:rsid w:val="00200512"/>
    <w:rsid w:val="00200557"/>
    <w:rsid w:val="0020055F"/>
    <w:rsid w:val="0020056E"/>
    <w:rsid w:val="002005AD"/>
    <w:rsid w:val="002005CF"/>
    <w:rsid w:val="0020060A"/>
    <w:rsid w:val="00200610"/>
    <w:rsid w:val="00200745"/>
    <w:rsid w:val="0020078A"/>
    <w:rsid w:val="00200817"/>
    <w:rsid w:val="00200854"/>
    <w:rsid w:val="0020086A"/>
    <w:rsid w:val="0020087B"/>
    <w:rsid w:val="002008A8"/>
    <w:rsid w:val="002008C7"/>
    <w:rsid w:val="002008E1"/>
    <w:rsid w:val="002008FB"/>
    <w:rsid w:val="00200AA1"/>
    <w:rsid w:val="00200B45"/>
    <w:rsid w:val="00200B70"/>
    <w:rsid w:val="00200B74"/>
    <w:rsid w:val="00200BC3"/>
    <w:rsid w:val="00200C15"/>
    <w:rsid w:val="00200C1E"/>
    <w:rsid w:val="00200C69"/>
    <w:rsid w:val="00200CAF"/>
    <w:rsid w:val="00200D12"/>
    <w:rsid w:val="00200D9B"/>
    <w:rsid w:val="00200E54"/>
    <w:rsid w:val="00200E60"/>
    <w:rsid w:val="00200EA5"/>
    <w:rsid w:val="00200EC6"/>
    <w:rsid w:val="00200F01"/>
    <w:rsid w:val="00200FB0"/>
    <w:rsid w:val="00200FF5"/>
    <w:rsid w:val="00201015"/>
    <w:rsid w:val="0020106E"/>
    <w:rsid w:val="002010C1"/>
    <w:rsid w:val="002010C8"/>
    <w:rsid w:val="002010E8"/>
    <w:rsid w:val="00201139"/>
    <w:rsid w:val="00201278"/>
    <w:rsid w:val="00201305"/>
    <w:rsid w:val="00201309"/>
    <w:rsid w:val="00201404"/>
    <w:rsid w:val="0020142F"/>
    <w:rsid w:val="00201482"/>
    <w:rsid w:val="002014AB"/>
    <w:rsid w:val="002014FE"/>
    <w:rsid w:val="0020150F"/>
    <w:rsid w:val="0020156B"/>
    <w:rsid w:val="0020159C"/>
    <w:rsid w:val="002015D8"/>
    <w:rsid w:val="002015FD"/>
    <w:rsid w:val="00201627"/>
    <w:rsid w:val="00201692"/>
    <w:rsid w:val="00201694"/>
    <w:rsid w:val="002016DE"/>
    <w:rsid w:val="002016EE"/>
    <w:rsid w:val="002016F2"/>
    <w:rsid w:val="002017B9"/>
    <w:rsid w:val="00201871"/>
    <w:rsid w:val="00201872"/>
    <w:rsid w:val="002018CD"/>
    <w:rsid w:val="00201903"/>
    <w:rsid w:val="0020192F"/>
    <w:rsid w:val="0020197C"/>
    <w:rsid w:val="00201A32"/>
    <w:rsid w:val="00201A5D"/>
    <w:rsid w:val="00201A79"/>
    <w:rsid w:val="00201A93"/>
    <w:rsid w:val="00201AC8"/>
    <w:rsid w:val="00201AD2"/>
    <w:rsid w:val="00201AF4"/>
    <w:rsid w:val="00201B25"/>
    <w:rsid w:val="00201B3B"/>
    <w:rsid w:val="00201B6D"/>
    <w:rsid w:val="00201BD8"/>
    <w:rsid w:val="00201C7B"/>
    <w:rsid w:val="00201C91"/>
    <w:rsid w:val="00201CA0"/>
    <w:rsid w:val="00201CED"/>
    <w:rsid w:val="00201CEE"/>
    <w:rsid w:val="00201CFE"/>
    <w:rsid w:val="00201CFF"/>
    <w:rsid w:val="00201D0A"/>
    <w:rsid w:val="00201D9D"/>
    <w:rsid w:val="00201E3D"/>
    <w:rsid w:val="00201E51"/>
    <w:rsid w:val="00201EFF"/>
    <w:rsid w:val="00201F0F"/>
    <w:rsid w:val="00201F76"/>
    <w:rsid w:val="00201F7B"/>
    <w:rsid w:val="00201FFD"/>
    <w:rsid w:val="0020205B"/>
    <w:rsid w:val="0020209A"/>
    <w:rsid w:val="002020AA"/>
    <w:rsid w:val="002020E2"/>
    <w:rsid w:val="0020211C"/>
    <w:rsid w:val="00202120"/>
    <w:rsid w:val="0020216E"/>
    <w:rsid w:val="00202175"/>
    <w:rsid w:val="002021AA"/>
    <w:rsid w:val="002021CE"/>
    <w:rsid w:val="002022DC"/>
    <w:rsid w:val="00202381"/>
    <w:rsid w:val="002023B9"/>
    <w:rsid w:val="00202422"/>
    <w:rsid w:val="0020243F"/>
    <w:rsid w:val="0020248A"/>
    <w:rsid w:val="002024A6"/>
    <w:rsid w:val="002024EC"/>
    <w:rsid w:val="00202512"/>
    <w:rsid w:val="00202532"/>
    <w:rsid w:val="002025E7"/>
    <w:rsid w:val="0020262F"/>
    <w:rsid w:val="00202639"/>
    <w:rsid w:val="00202653"/>
    <w:rsid w:val="002026C3"/>
    <w:rsid w:val="00202735"/>
    <w:rsid w:val="002027DB"/>
    <w:rsid w:val="002027E5"/>
    <w:rsid w:val="0020280C"/>
    <w:rsid w:val="0020281C"/>
    <w:rsid w:val="0020284C"/>
    <w:rsid w:val="002028E7"/>
    <w:rsid w:val="002028EF"/>
    <w:rsid w:val="00202927"/>
    <w:rsid w:val="002029CB"/>
    <w:rsid w:val="00202A06"/>
    <w:rsid w:val="00202A0C"/>
    <w:rsid w:val="00202A37"/>
    <w:rsid w:val="00202A8A"/>
    <w:rsid w:val="00202AD7"/>
    <w:rsid w:val="00202AFB"/>
    <w:rsid w:val="00202BB4"/>
    <w:rsid w:val="00202C35"/>
    <w:rsid w:val="00202CD7"/>
    <w:rsid w:val="00202D3B"/>
    <w:rsid w:val="00202D4B"/>
    <w:rsid w:val="00202DFA"/>
    <w:rsid w:val="00202E03"/>
    <w:rsid w:val="00202E0E"/>
    <w:rsid w:val="00202E8B"/>
    <w:rsid w:val="00202F1D"/>
    <w:rsid w:val="00202F3C"/>
    <w:rsid w:val="00202F6E"/>
    <w:rsid w:val="00202F7D"/>
    <w:rsid w:val="00202F8A"/>
    <w:rsid w:val="00202F90"/>
    <w:rsid w:val="00202FC1"/>
    <w:rsid w:val="00202FE2"/>
    <w:rsid w:val="00203006"/>
    <w:rsid w:val="00203016"/>
    <w:rsid w:val="0020304F"/>
    <w:rsid w:val="00203051"/>
    <w:rsid w:val="00203056"/>
    <w:rsid w:val="00203099"/>
    <w:rsid w:val="00203113"/>
    <w:rsid w:val="002031FA"/>
    <w:rsid w:val="0020324C"/>
    <w:rsid w:val="00203291"/>
    <w:rsid w:val="002032D8"/>
    <w:rsid w:val="00203324"/>
    <w:rsid w:val="00203326"/>
    <w:rsid w:val="00203389"/>
    <w:rsid w:val="00203460"/>
    <w:rsid w:val="00203541"/>
    <w:rsid w:val="00203583"/>
    <w:rsid w:val="002035CE"/>
    <w:rsid w:val="002035DE"/>
    <w:rsid w:val="002035FF"/>
    <w:rsid w:val="0020363E"/>
    <w:rsid w:val="002036AA"/>
    <w:rsid w:val="002036B0"/>
    <w:rsid w:val="002036E5"/>
    <w:rsid w:val="002036E9"/>
    <w:rsid w:val="002036F2"/>
    <w:rsid w:val="00203741"/>
    <w:rsid w:val="002037E6"/>
    <w:rsid w:val="002037E8"/>
    <w:rsid w:val="0020381C"/>
    <w:rsid w:val="0020383F"/>
    <w:rsid w:val="00203849"/>
    <w:rsid w:val="00203852"/>
    <w:rsid w:val="002038A6"/>
    <w:rsid w:val="002038D6"/>
    <w:rsid w:val="002039A3"/>
    <w:rsid w:val="002039A5"/>
    <w:rsid w:val="002039AD"/>
    <w:rsid w:val="002039BB"/>
    <w:rsid w:val="00203A26"/>
    <w:rsid w:val="00203A84"/>
    <w:rsid w:val="00203ACF"/>
    <w:rsid w:val="00203B78"/>
    <w:rsid w:val="00203BAC"/>
    <w:rsid w:val="00203BC8"/>
    <w:rsid w:val="00203C00"/>
    <w:rsid w:val="00203C35"/>
    <w:rsid w:val="00203C71"/>
    <w:rsid w:val="00203C75"/>
    <w:rsid w:val="00203C93"/>
    <w:rsid w:val="00203CAA"/>
    <w:rsid w:val="00203D12"/>
    <w:rsid w:val="00203D4F"/>
    <w:rsid w:val="00203D59"/>
    <w:rsid w:val="00203D65"/>
    <w:rsid w:val="00203DA5"/>
    <w:rsid w:val="00203E06"/>
    <w:rsid w:val="00203E10"/>
    <w:rsid w:val="00203E20"/>
    <w:rsid w:val="00203E38"/>
    <w:rsid w:val="00203ECF"/>
    <w:rsid w:val="00203EF5"/>
    <w:rsid w:val="00203F1A"/>
    <w:rsid w:val="00204007"/>
    <w:rsid w:val="00204069"/>
    <w:rsid w:val="0020416C"/>
    <w:rsid w:val="00204183"/>
    <w:rsid w:val="00204191"/>
    <w:rsid w:val="0020419F"/>
    <w:rsid w:val="002041F8"/>
    <w:rsid w:val="00204258"/>
    <w:rsid w:val="0020427B"/>
    <w:rsid w:val="002042E1"/>
    <w:rsid w:val="002043D9"/>
    <w:rsid w:val="0020442D"/>
    <w:rsid w:val="0020443D"/>
    <w:rsid w:val="0020444C"/>
    <w:rsid w:val="00204450"/>
    <w:rsid w:val="0020449D"/>
    <w:rsid w:val="002044E3"/>
    <w:rsid w:val="00204520"/>
    <w:rsid w:val="0020452B"/>
    <w:rsid w:val="002045E7"/>
    <w:rsid w:val="002045E9"/>
    <w:rsid w:val="00204624"/>
    <w:rsid w:val="002046A0"/>
    <w:rsid w:val="0020472B"/>
    <w:rsid w:val="00204740"/>
    <w:rsid w:val="00204744"/>
    <w:rsid w:val="00204746"/>
    <w:rsid w:val="0020477D"/>
    <w:rsid w:val="00204826"/>
    <w:rsid w:val="00204957"/>
    <w:rsid w:val="002049BA"/>
    <w:rsid w:val="002049D0"/>
    <w:rsid w:val="002049E6"/>
    <w:rsid w:val="00204A47"/>
    <w:rsid w:val="00204A58"/>
    <w:rsid w:val="00204A61"/>
    <w:rsid w:val="00204A75"/>
    <w:rsid w:val="00204AB3"/>
    <w:rsid w:val="00204BEA"/>
    <w:rsid w:val="00204C9F"/>
    <w:rsid w:val="00204CC4"/>
    <w:rsid w:val="00204CCB"/>
    <w:rsid w:val="00204CEC"/>
    <w:rsid w:val="00204D10"/>
    <w:rsid w:val="00204D1B"/>
    <w:rsid w:val="00204D65"/>
    <w:rsid w:val="00204D7B"/>
    <w:rsid w:val="00204D7F"/>
    <w:rsid w:val="00204DCE"/>
    <w:rsid w:val="00204E3B"/>
    <w:rsid w:val="00204E46"/>
    <w:rsid w:val="00204E4A"/>
    <w:rsid w:val="00204FBE"/>
    <w:rsid w:val="00204FDB"/>
    <w:rsid w:val="00205207"/>
    <w:rsid w:val="00205254"/>
    <w:rsid w:val="00205280"/>
    <w:rsid w:val="0020529F"/>
    <w:rsid w:val="002052A4"/>
    <w:rsid w:val="00205376"/>
    <w:rsid w:val="002053B0"/>
    <w:rsid w:val="00205474"/>
    <w:rsid w:val="0020548E"/>
    <w:rsid w:val="002054C0"/>
    <w:rsid w:val="002054F1"/>
    <w:rsid w:val="002055CD"/>
    <w:rsid w:val="002055FF"/>
    <w:rsid w:val="00205690"/>
    <w:rsid w:val="002056C8"/>
    <w:rsid w:val="002056F4"/>
    <w:rsid w:val="0020577E"/>
    <w:rsid w:val="002057B8"/>
    <w:rsid w:val="002057DF"/>
    <w:rsid w:val="00205816"/>
    <w:rsid w:val="0020590F"/>
    <w:rsid w:val="002059DB"/>
    <w:rsid w:val="00205A6A"/>
    <w:rsid w:val="00205A78"/>
    <w:rsid w:val="00205AE6"/>
    <w:rsid w:val="00205C51"/>
    <w:rsid w:val="00205CD4"/>
    <w:rsid w:val="00205D53"/>
    <w:rsid w:val="00205DAE"/>
    <w:rsid w:val="00205DC6"/>
    <w:rsid w:val="00205DE1"/>
    <w:rsid w:val="00205EBE"/>
    <w:rsid w:val="00205EDF"/>
    <w:rsid w:val="00205F24"/>
    <w:rsid w:val="00205FD2"/>
    <w:rsid w:val="00206094"/>
    <w:rsid w:val="00206143"/>
    <w:rsid w:val="0020619A"/>
    <w:rsid w:val="002061AD"/>
    <w:rsid w:val="002061AF"/>
    <w:rsid w:val="002061CF"/>
    <w:rsid w:val="00206254"/>
    <w:rsid w:val="0020626F"/>
    <w:rsid w:val="00206281"/>
    <w:rsid w:val="00206306"/>
    <w:rsid w:val="0020630B"/>
    <w:rsid w:val="0020642C"/>
    <w:rsid w:val="00206454"/>
    <w:rsid w:val="0020645B"/>
    <w:rsid w:val="002064B3"/>
    <w:rsid w:val="002064BA"/>
    <w:rsid w:val="002064EB"/>
    <w:rsid w:val="00206529"/>
    <w:rsid w:val="00206559"/>
    <w:rsid w:val="00206573"/>
    <w:rsid w:val="002065A6"/>
    <w:rsid w:val="002065B8"/>
    <w:rsid w:val="002065BD"/>
    <w:rsid w:val="002065E1"/>
    <w:rsid w:val="00206608"/>
    <w:rsid w:val="00206609"/>
    <w:rsid w:val="00206763"/>
    <w:rsid w:val="00206792"/>
    <w:rsid w:val="002067E1"/>
    <w:rsid w:val="0020683C"/>
    <w:rsid w:val="00206866"/>
    <w:rsid w:val="00206924"/>
    <w:rsid w:val="00206945"/>
    <w:rsid w:val="00206967"/>
    <w:rsid w:val="0020699F"/>
    <w:rsid w:val="002069C9"/>
    <w:rsid w:val="00206A32"/>
    <w:rsid w:val="00206A4A"/>
    <w:rsid w:val="00206A7C"/>
    <w:rsid w:val="00206A9F"/>
    <w:rsid w:val="00206AB1"/>
    <w:rsid w:val="00206AEA"/>
    <w:rsid w:val="00206AEB"/>
    <w:rsid w:val="00206B93"/>
    <w:rsid w:val="00206BAA"/>
    <w:rsid w:val="00206BB7"/>
    <w:rsid w:val="00206BE0"/>
    <w:rsid w:val="00206BE1"/>
    <w:rsid w:val="00206BFE"/>
    <w:rsid w:val="00206C59"/>
    <w:rsid w:val="00206CC5"/>
    <w:rsid w:val="00206D02"/>
    <w:rsid w:val="00206D32"/>
    <w:rsid w:val="00206D49"/>
    <w:rsid w:val="002070AF"/>
    <w:rsid w:val="00207119"/>
    <w:rsid w:val="0020719E"/>
    <w:rsid w:val="002071A3"/>
    <w:rsid w:val="002071F5"/>
    <w:rsid w:val="0020723F"/>
    <w:rsid w:val="002072B3"/>
    <w:rsid w:val="00207387"/>
    <w:rsid w:val="00207438"/>
    <w:rsid w:val="002074E3"/>
    <w:rsid w:val="002075D9"/>
    <w:rsid w:val="0020761E"/>
    <w:rsid w:val="002076BC"/>
    <w:rsid w:val="00207722"/>
    <w:rsid w:val="0020773E"/>
    <w:rsid w:val="0020787E"/>
    <w:rsid w:val="002078AE"/>
    <w:rsid w:val="002078FF"/>
    <w:rsid w:val="0020792D"/>
    <w:rsid w:val="002079B1"/>
    <w:rsid w:val="002079B6"/>
    <w:rsid w:val="002079CD"/>
    <w:rsid w:val="002079D9"/>
    <w:rsid w:val="002079DA"/>
    <w:rsid w:val="002079DB"/>
    <w:rsid w:val="00207A21"/>
    <w:rsid w:val="00207A3C"/>
    <w:rsid w:val="00207A4B"/>
    <w:rsid w:val="00207AB1"/>
    <w:rsid w:val="00207AE7"/>
    <w:rsid w:val="00207B26"/>
    <w:rsid w:val="00207BDA"/>
    <w:rsid w:val="00207C92"/>
    <w:rsid w:val="00207CA8"/>
    <w:rsid w:val="00207CC4"/>
    <w:rsid w:val="00207DA8"/>
    <w:rsid w:val="00207DDB"/>
    <w:rsid w:val="00207E7C"/>
    <w:rsid w:val="00207EA6"/>
    <w:rsid w:val="00207EC6"/>
    <w:rsid w:val="00207EE3"/>
    <w:rsid w:val="00207FDA"/>
    <w:rsid w:val="0021001E"/>
    <w:rsid w:val="00210047"/>
    <w:rsid w:val="002100BB"/>
    <w:rsid w:val="002100EA"/>
    <w:rsid w:val="00210116"/>
    <w:rsid w:val="002101DC"/>
    <w:rsid w:val="0021020F"/>
    <w:rsid w:val="00210266"/>
    <w:rsid w:val="00210420"/>
    <w:rsid w:val="00210474"/>
    <w:rsid w:val="0021047A"/>
    <w:rsid w:val="002104FF"/>
    <w:rsid w:val="00210508"/>
    <w:rsid w:val="0021054F"/>
    <w:rsid w:val="00210563"/>
    <w:rsid w:val="0021057C"/>
    <w:rsid w:val="0021061A"/>
    <w:rsid w:val="002106E9"/>
    <w:rsid w:val="00210735"/>
    <w:rsid w:val="00210751"/>
    <w:rsid w:val="002107A3"/>
    <w:rsid w:val="00210863"/>
    <w:rsid w:val="0021087D"/>
    <w:rsid w:val="002108FA"/>
    <w:rsid w:val="0021091F"/>
    <w:rsid w:val="00210961"/>
    <w:rsid w:val="00210986"/>
    <w:rsid w:val="0021099B"/>
    <w:rsid w:val="002109D3"/>
    <w:rsid w:val="00210A58"/>
    <w:rsid w:val="00210A6C"/>
    <w:rsid w:val="00210A72"/>
    <w:rsid w:val="00210ACD"/>
    <w:rsid w:val="00210B39"/>
    <w:rsid w:val="00210B77"/>
    <w:rsid w:val="00210C0C"/>
    <w:rsid w:val="00210C9E"/>
    <w:rsid w:val="00210CBB"/>
    <w:rsid w:val="00210CE9"/>
    <w:rsid w:val="00210D16"/>
    <w:rsid w:val="00210D7C"/>
    <w:rsid w:val="00210D8F"/>
    <w:rsid w:val="00210E5E"/>
    <w:rsid w:val="00210E77"/>
    <w:rsid w:val="00210E9F"/>
    <w:rsid w:val="00210EC2"/>
    <w:rsid w:val="00210EE6"/>
    <w:rsid w:val="00210F92"/>
    <w:rsid w:val="00210FB5"/>
    <w:rsid w:val="00210FC7"/>
    <w:rsid w:val="00211005"/>
    <w:rsid w:val="002110C4"/>
    <w:rsid w:val="00211145"/>
    <w:rsid w:val="002111A0"/>
    <w:rsid w:val="00211206"/>
    <w:rsid w:val="00211214"/>
    <w:rsid w:val="0021128C"/>
    <w:rsid w:val="002112C1"/>
    <w:rsid w:val="002112F5"/>
    <w:rsid w:val="00211360"/>
    <w:rsid w:val="00211376"/>
    <w:rsid w:val="0021139F"/>
    <w:rsid w:val="002113A3"/>
    <w:rsid w:val="00211409"/>
    <w:rsid w:val="0021144B"/>
    <w:rsid w:val="002114D0"/>
    <w:rsid w:val="002114E6"/>
    <w:rsid w:val="002114EE"/>
    <w:rsid w:val="0021151A"/>
    <w:rsid w:val="00211536"/>
    <w:rsid w:val="00211566"/>
    <w:rsid w:val="002115B1"/>
    <w:rsid w:val="00211662"/>
    <w:rsid w:val="00211678"/>
    <w:rsid w:val="002116C1"/>
    <w:rsid w:val="002116D3"/>
    <w:rsid w:val="0021171A"/>
    <w:rsid w:val="00211728"/>
    <w:rsid w:val="0021177B"/>
    <w:rsid w:val="0021181E"/>
    <w:rsid w:val="00211846"/>
    <w:rsid w:val="0021185D"/>
    <w:rsid w:val="0021186B"/>
    <w:rsid w:val="00211877"/>
    <w:rsid w:val="00211893"/>
    <w:rsid w:val="002118B7"/>
    <w:rsid w:val="002118CB"/>
    <w:rsid w:val="002118E2"/>
    <w:rsid w:val="0021196B"/>
    <w:rsid w:val="00211A19"/>
    <w:rsid w:val="00211A97"/>
    <w:rsid w:val="00211ABB"/>
    <w:rsid w:val="00211B42"/>
    <w:rsid w:val="00211B8E"/>
    <w:rsid w:val="00211BA3"/>
    <w:rsid w:val="00211BC1"/>
    <w:rsid w:val="00211C3E"/>
    <w:rsid w:val="00211C59"/>
    <w:rsid w:val="00211C68"/>
    <w:rsid w:val="00211C80"/>
    <w:rsid w:val="00211CEC"/>
    <w:rsid w:val="00211D29"/>
    <w:rsid w:val="00211D89"/>
    <w:rsid w:val="00211DB9"/>
    <w:rsid w:val="00211DCE"/>
    <w:rsid w:val="00211E21"/>
    <w:rsid w:val="00211E3A"/>
    <w:rsid w:val="00211E97"/>
    <w:rsid w:val="00211EA0"/>
    <w:rsid w:val="00211EE9"/>
    <w:rsid w:val="00211EF3"/>
    <w:rsid w:val="00211F47"/>
    <w:rsid w:val="00211F71"/>
    <w:rsid w:val="00211F77"/>
    <w:rsid w:val="00211FD3"/>
    <w:rsid w:val="00212016"/>
    <w:rsid w:val="002120D6"/>
    <w:rsid w:val="00212142"/>
    <w:rsid w:val="002121CB"/>
    <w:rsid w:val="002121DD"/>
    <w:rsid w:val="00212253"/>
    <w:rsid w:val="0021226A"/>
    <w:rsid w:val="002122AF"/>
    <w:rsid w:val="00212306"/>
    <w:rsid w:val="00212326"/>
    <w:rsid w:val="0021238D"/>
    <w:rsid w:val="00212394"/>
    <w:rsid w:val="002123BD"/>
    <w:rsid w:val="002123C5"/>
    <w:rsid w:val="00212436"/>
    <w:rsid w:val="002124F8"/>
    <w:rsid w:val="00212523"/>
    <w:rsid w:val="0021252C"/>
    <w:rsid w:val="00212567"/>
    <w:rsid w:val="002125C0"/>
    <w:rsid w:val="00212642"/>
    <w:rsid w:val="0021267C"/>
    <w:rsid w:val="00212681"/>
    <w:rsid w:val="00212689"/>
    <w:rsid w:val="002126D9"/>
    <w:rsid w:val="00212701"/>
    <w:rsid w:val="00212708"/>
    <w:rsid w:val="00212826"/>
    <w:rsid w:val="0021285C"/>
    <w:rsid w:val="0021286D"/>
    <w:rsid w:val="00212945"/>
    <w:rsid w:val="00212992"/>
    <w:rsid w:val="002129F8"/>
    <w:rsid w:val="002129FE"/>
    <w:rsid w:val="00212A10"/>
    <w:rsid w:val="00212A12"/>
    <w:rsid w:val="00212B18"/>
    <w:rsid w:val="00212C5B"/>
    <w:rsid w:val="00212C77"/>
    <w:rsid w:val="00212C7C"/>
    <w:rsid w:val="00212CD7"/>
    <w:rsid w:val="00212CF4"/>
    <w:rsid w:val="00212D74"/>
    <w:rsid w:val="00212D92"/>
    <w:rsid w:val="00212E6B"/>
    <w:rsid w:val="00212FC5"/>
    <w:rsid w:val="002130DB"/>
    <w:rsid w:val="00213187"/>
    <w:rsid w:val="0021318F"/>
    <w:rsid w:val="002131BD"/>
    <w:rsid w:val="002131C8"/>
    <w:rsid w:val="002131FB"/>
    <w:rsid w:val="00213257"/>
    <w:rsid w:val="00213291"/>
    <w:rsid w:val="002132B6"/>
    <w:rsid w:val="002132DF"/>
    <w:rsid w:val="002132FC"/>
    <w:rsid w:val="002133D8"/>
    <w:rsid w:val="00213419"/>
    <w:rsid w:val="0021342B"/>
    <w:rsid w:val="00213471"/>
    <w:rsid w:val="002134DE"/>
    <w:rsid w:val="00213505"/>
    <w:rsid w:val="00213585"/>
    <w:rsid w:val="0021359A"/>
    <w:rsid w:val="0021360D"/>
    <w:rsid w:val="00213625"/>
    <w:rsid w:val="0021362E"/>
    <w:rsid w:val="00213658"/>
    <w:rsid w:val="00213730"/>
    <w:rsid w:val="00213757"/>
    <w:rsid w:val="00213760"/>
    <w:rsid w:val="0021376C"/>
    <w:rsid w:val="002137A3"/>
    <w:rsid w:val="002137B4"/>
    <w:rsid w:val="002137C6"/>
    <w:rsid w:val="00213800"/>
    <w:rsid w:val="0021382C"/>
    <w:rsid w:val="00213862"/>
    <w:rsid w:val="00213869"/>
    <w:rsid w:val="0021387E"/>
    <w:rsid w:val="002138BF"/>
    <w:rsid w:val="002138D2"/>
    <w:rsid w:val="0021391F"/>
    <w:rsid w:val="00213943"/>
    <w:rsid w:val="00213960"/>
    <w:rsid w:val="00213967"/>
    <w:rsid w:val="002139AE"/>
    <w:rsid w:val="002139F0"/>
    <w:rsid w:val="00213A10"/>
    <w:rsid w:val="00213A39"/>
    <w:rsid w:val="00213A8E"/>
    <w:rsid w:val="00213ACA"/>
    <w:rsid w:val="00213AD6"/>
    <w:rsid w:val="00213AF8"/>
    <w:rsid w:val="00213B69"/>
    <w:rsid w:val="00213B79"/>
    <w:rsid w:val="00213B88"/>
    <w:rsid w:val="00213BA3"/>
    <w:rsid w:val="00213C8D"/>
    <w:rsid w:val="00213D45"/>
    <w:rsid w:val="00213DAD"/>
    <w:rsid w:val="00213ECD"/>
    <w:rsid w:val="00213ED6"/>
    <w:rsid w:val="00213EF9"/>
    <w:rsid w:val="00213F03"/>
    <w:rsid w:val="00213F71"/>
    <w:rsid w:val="00213F78"/>
    <w:rsid w:val="00213FA9"/>
    <w:rsid w:val="00214020"/>
    <w:rsid w:val="002140A6"/>
    <w:rsid w:val="002140FC"/>
    <w:rsid w:val="0021411F"/>
    <w:rsid w:val="0021413B"/>
    <w:rsid w:val="00214147"/>
    <w:rsid w:val="00214202"/>
    <w:rsid w:val="00214207"/>
    <w:rsid w:val="0021424A"/>
    <w:rsid w:val="002142A7"/>
    <w:rsid w:val="002142B4"/>
    <w:rsid w:val="002142C4"/>
    <w:rsid w:val="00214312"/>
    <w:rsid w:val="00214388"/>
    <w:rsid w:val="002143F3"/>
    <w:rsid w:val="002143FD"/>
    <w:rsid w:val="0021445B"/>
    <w:rsid w:val="0021450A"/>
    <w:rsid w:val="0021454D"/>
    <w:rsid w:val="0021455E"/>
    <w:rsid w:val="00214587"/>
    <w:rsid w:val="002145CC"/>
    <w:rsid w:val="002145F4"/>
    <w:rsid w:val="00214624"/>
    <w:rsid w:val="00214666"/>
    <w:rsid w:val="002146B6"/>
    <w:rsid w:val="002146BA"/>
    <w:rsid w:val="002146D5"/>
    <w:rsid w:val="0021478E"/>
    <w:rsid w:val="00214845"/>
    <w:rsid w:val="002148A6"/>
    <w:rsid w:val="002148A8"/>
    <w:rsid w:val="00214946"/>
    <w:rsid w:val="0021495B"/>
    <w:rsid w:val="00214984"/>
    <w:rsid w:val="00214991"/>
    <w:rsid w:val="002149A1"/>
    <w:rsid w:val="002149B8"/>
    <w:rsid w:val="002149D6"/>
    <w:rsid w:val="002149DC"/>
    <w:rsid w:val="002149E7"/>
    <w:rsid w:val="00214A42"/>
    <w:rsid w:val="00214A5B"/>
    <w:rsid w:val="00214AC0"/>
    <w:rsid w:val="00214B3B"/>
    <w:rsid w:val="00214C07"/>
    <w:rsid w:val="00214C37"/>
    <w:rsid w:val="00214C72"/>
    <w:rsid w:val="00214D1D"/>
    <w:rsid w:val="00214D33"/>
    <w:rsid w:val="00214D43"/>
    <w:rsid w:val="00214E2B"/>
    <w:rsid w:val="00214E2E"/>
    <w:rsid w:val="00214E35"/>
    <w:rsid w:val="00214E3C"/>
    <w:rsid w:val="00214E3F"/>
    <w:rsid w:val="00214E6C"/>
    <w:rsid w:val="00214E9B"/>
    <w:rsid w:val="00214F1F"/>
    <w:rsid w:val="00214F2A"/>
    <w:rsid w:val="00214FEC"/>
    <w:rsid w:val="00215076"/>
    <w:rsid w:val="002150AA"/>
    <w:rsid w:val="002150E0"/>
    <w:rsid w:val="0021511A"/>
    <w:rsid w:val="00215144"/>
    <w:rsid w:val="00215157"/>
    <w:rsid w:val="002151ED"/>
    <w:rsid w:val="00215219"/>
    <w:rsid w:val="00215266"/>
    <w:rsid w:val="00215271"/>
    <w:rsid w:val="002152CB"/>
    <w:rsid w:val="002152DB"/>
    <w:rsid w:val="00215311"/>
    <w:rsid w:val="00215338"/>
    <w:rsid w:val="0021539C"/>
    <w:rsid w:val="002153EB"/>
    <w:rsid w:val="002154C1"/>
    <w:rsid w:val="002154D3"/>
    <w:rsid w:val="002154F0"/>
    <w:rsid w:val="00215591"/>
    <w:rsid w:val="002155AE"/>
    <w:rsid w:val="00215696"/>
    <w:rsid w:val="002156BF"/>
    <w:rsid w:val="002156F6"/>
    <w:rsid w:val="002156FA"/>
    <w:rsid w:val="0021575A"/>
    <w:rsid w:val="00215836"/>
    <w:rsid w:val="002158C2"/>
    <w:rsid w:val="00215952"/>
    <w:rsid w:val="0021596C"/>
    <w:rsid w:val="0021599B"/>
    <w:rsid w:val="002159E0"/>
    <w:rsid w:val="00215A62"/>
    <w:rsid w:val="00215A83"/>
    <w:rsid w:val="00215A8F"/>
    <w:rsid w:val="00215B8C"/>
    <w:rsid w:val="00215BAB"/>
    <w:rsid w:val="00215BC4"/>
    <w:rsid w:val="00215BC8"/>
    <w:rsid w:val="00215C6C"/>
    <w:rsid w:val="00215CB0"/>
    <w:rsid w:val="00215CED"/>
    <w:rsid w:val="00215D41"/>
    <w:rsid w:val="00215D96"/>
    <w:rsid w:val="00215E08"/>
    <w:rsid w:val="00215E16"/>
    <w:rsid w:val="00215E51"/>
    <w:rsid w:val="00215EDB"/>
    <w:rsid w:val="00215F01"/>
    <w:rsid w:val="00215F1F"/>
    <w:rsid w:val="00215F40"/>
    <w:rsid w:val="00215FC2"/>
    <w:rsid w:val="00215FEE"/>
    <w:rsid w:val="0021609B"/>
    <w:rsid w:val="0021610E"/>
    <w:rsid w:val="00216138"/>
    <w:rsid w:val="002161BE"/>
    <w:rsid w:val="002161EC"/>
    <w:rsid w:val="002161F2"/>
    <w:rsid w:val="0021624A"/>
    <w:rsid w:val="00216312"/>
    <w:rsid w:val="0021631A"/>
    <w:rsid w:val="00216320"/>
    <w:rsid w:val="0021635A"/>
    <w:rsid w:val="00216369"/>
    <w:rsid w:val="0021636B"/>
    <w:rsid w:val="0021640D"/>
    <w:rsid w:val="0021643D"/>
    <w:rsid w:val="00216476"/>
    <w:rsid w:val="0021648F"/>
    <w:rsid w:val="002164AB"/>
    <w:rsid w:val="002164CB"/>
    <w:rsid w:val="0021652D"/>
    <w:rsid w:val="002165BC"/>
    <w:rsid w:val="002165BD"/>
    <w:rsid w:val="00216608"/>
    <w:rsid w:val="00216628"/>
    <w:rsid w:val="00216629"/>
    <w:rsid w:val="0021666F"/>
    <w:rsid w:val="002166CD"/>
    <w:rsid w:val="002166E0"/>
    <w:rsid w:val="002166EE"/>
    <w:rsid w:val="00216739"/>
    <w:rsid w:val="0021677C"/>
    <w:rsid w:val="002167C7"/>
    <w:rsid w:val="0021681A"/>
    <w:rsid w:val="00216848"/>
    <w:rsid w:val="002168AA"/>
    <w:rsid w:val="00216906"/>
    <w:rsid w:val="002169B0"/>
    <w:rsid w:val="002169D2"/>
    <w:rsid w:val="00216A53"/>
    <w:rsid w:val="00216A5B"/>
    <w:rsid w:val="00216A77"/>
    <w:rsid w:val="00216A7C"/>
    <w:rsid w:val="00216A95"/>
    <w:rsid w:val="00216B60"/>
    <w:rsid w:val="00216BA6"/>
    <w:rsid w:val="00216BCA"/>
    <w:rsid w:val="00216C00"/>
    <w:rsid w:val="00216C0C"/>
    <w:rsid w:val="00216CA8"/>
    <w:rsid w:val="00216CFE"/>
    <w:rsid w:val="00216D0C"/>
    <w:rsid w:val="00216D3D"/>
    <w:rsid w:val="00216D7D"/>
    <w:rsid w:val="00216D93"/>
    <w:rsid w:val="00216D97"/>
    <w:rsid w:val="00216E1D"/>
    <w:rsid w:val="00216E49"/>
    <w:rsid w:val="00216EB3"/>
    <w:rsid w:val="00216EE7"/>
    <w:rsid w:val="00216EEF"/>
    <w:rsid w:val="00216F80"/>
    <w:rsid w:val="00216F8E"/>
    <w:rsid w:val="00216FA0"/>
    <w:rsid w:val="00216FE0"/>
    <w:rsid w:val="0021714C"/>
    <w:rsid w:val="00217152"/>
    <w:rsid w:val="002171BC"/>
    <w:rsid w:val="002171EE"/>
    <w:rsid w:val="00217204"/>
    <w:rsid w:val="00217221"/>
    <w:rsid w:val="00217231"/>
    <w:rsid w:val="002172C2"/>
    <w:rsid w:val="002172DD"/>
    <w:rsid w:val="0021734C"/>
    <w:rsid w:val="0021735A"/>
    <w:rsid w:val="0021736B"/>
    <w:rsid w:val="0021736D"/>
    <w:rsid w:val="002174D4"/>
    <w:rsid w:val="002174DA"/>
    <w:rsid w:val="0021752A"/>
    <w:rsid w:val="00217582"/>
    <w:rsid w:val="0021759C"/>
    <w:rsid w:val="002175B1"/>
    <w:rsid w:val="0021764E"/>
    <w:rsid w:val="002176A0"/>
    <w:rsid w:val="00217775"/>
    <w:rsid w:val="002177BB"/>
    <w:rsid w:val="00217838"/>
    <w:rsid w:val="0021785F"/>
    <w:rsid w:val="002178CB"/>
    <w:rsid w:val="0021797D"/>
    <w:rsid w:val="00217989"/>
    <w:rsid w:val="002179DF"/>
    <w:rsid w:val="00217A9D"/>
    <w:rsid w:val="00217ACD"/>
    <w:rsid w:val="00217B16"/>
    <w:rsid w:val="00217B2A"/>
    <w:rsid w:val="00217B5B"/>
    <w:rsid w:val="00217C82"/>
    <w:rsid w:val="00217CC2"/>
    <w:rsid w:val="00217CCD"/>
    <w:rsid w:val="00217D45"/>
    <w:rsid w:val="00217D4D"/>
    <w:rsid w:val="00217D4E"/>
    <w:rsid w:val="00217D90"/>
    <w:rsid w:val="00217DC7"/>
    <w:rsid w:val="00217DE6"/>
    <w:rsid w:val="00217DF6"/>
    <w:rsid w:val="00217EB9"/>
    <w:rsid w:val="00217FCB"/>
    <w:rsid w:val="00217FF8"/>
    <w:rsid w:val="00220006"/>
    <w:rsid w:val="00220018"/>
    <w:rsid w:val="00220047"/>
    <w:rsid w:val="00220056"/>
    <w:rsid w:val="0022008A"/>
    <w:rsid w:val="00220095"/>
    <w:rsid w:val="0022009F"/>
    <w:rsid w:val="0022012E"/>
    <w:rsid w:val="00220138"/>
    <w:rsid w:val="002201A9"/>
    <w:rsid w:val="002201AB"/>
    <w:rsid w:val="002201CD"/>
    <w:rsid w:val="0022025D"/>
    <w:rsid w:val="0022035C"/>
    <w:rsid w:val="002203D7"/>
    <w:rsid w:val="00220418"/>
    <w:rsid w:val="00220445"/>
    <w:rsid w:val="002204C5"/>
    <w:rsid w:val="00220527"/>
    <w:rsid w:val="0022052E"/>
    <w:rsid w:val="0022055B"/>
    <w:rsid w:val="00220563"/>
    <w:rsid w:val="00220565"/>
    <w:rsid w:val="002205FD"/>
    <w:rsid w:val="00220641"/>
    <w:rsid w:val="002206AE"/>
    <w:rsid w:val="002206E8"/>
    <w:rsid w:val="0022077F"/>
    <w:rsid w:val="002207F6"/>
    <w:rsid w:val="0022081A"/>
    <w:rsid w:val="00220839"/>
    <w:rsid w:val="00220863"/>
    <w:rsid w:val="00220884"/>
    <w:rsid w:val="0022088C"/>
    <w:rsid w:val="0022091E"/>
    <w:rsid w:val="00220997"/>
    <w:rsid w:val="002209AD"/>
    <w:rsid w:val="00220A5D"/>
    <w:rsid w:val="00220A70"/>
    <w:rsid w:val="00220A90"/>
    <w:rsid w:val="00220AF2"/>
    <w:rsid w:val="00220B08"/>
    <w:rsid w:val="00220B0B"/>
    <w:rsid w:val="00220BAF"/>
    <w:rsid w:val="00220BCA"/>
    <w:rsid w:val="00220C2B"/>
    <w:rsid w:val="00220C61"/>
    <w:rsid w:val="00220C67"/>
    <w:rsid w:val="00220CC9"/>
    <w:rsid w:val="00220CE4"/>
    <w:rsid w:val="00220D4B"/>
    <w:rsid w:val="00220D74"/>
    <w:rsid w:val="00220DA8"/>
    <w:rsid w:val="00220DCD"/>
    <w:rsid w:val="00220DE7"/>
    <w:rsid w:val="00220E0B"/>
    <w:rsid w:val="00220E14"/>
    <w:rsid w:val="00220E54"/>
    <w:rsid w:val="00220E65"/>
    <w:rsid w:val="00220E98"/>
    <w:rsid w:val="00220EF6"/>
    <w:rsid w:val="00220F06"/>
    <w:rsid w:val="00220F20"/>
    <w:rsid w:val="00220F38"/>
    <w:rsid w:val="00220FDC"/>
    <w:rsid w:val="00221021"/>
    <w:rsid w:val="00221072"/>
    <w:rsid w:val="00221099"/>
    <w:rsid w:val="002210F6"/>
    <w:rsid w:val="0022111C"/>
    <w:rsid w:val="00221193"/>
    <w:rsid w:val="00221247"/>
    <w:rsid w:val="002212B3"/>
    <w:rsid w:val="00221342"/>
    <w:rsid w:val="00221375"/>
    <w:rsid w:val="00221379"/>
    <w:rsid w:val="002213B7"/>
    <w:rsid w:val="002213FC"/>
    <w:rsid w:val="00221420"/>
    <w:rsid w:val="0022142C"/>
    <w:rsid w:val="0022146B"/>
    <w:rsid w:val="0022161F"/>
    <w:rsid w:val="00221664"/>
    <w:rsid w:val="0022166B"/>
    <w:rsid w:val="0022166F"/>
    <w:rsid w:val="0022174F"/>
    <w:rsid w:val="0022177A"/>
    <w:rsid w:val="00221833"/>
    <w:rsid w:val="00221884"/>
    <w:rsid w:val="002218E0"/>
    <w:rsid w:val="0022195F"/>
    <w:rsid w:val="00221983"/>
    <w:rsid w:val="002219A6"/>
    <w:rsid w:val="002219BD"/>
    <w:rsid w:val="002219C9"/>
    <w:rsid w:val="00221A0B"/>
    <w:rsid w:val="00221A6E"/>
    <w:rsid w:val="00221AF8"/>
    <w:rsid w:val="00221B27"/>
    <w:rsid w:val="00221B2A"/>
    <w:rsid w:val="00221D29"/>
    <w:rsid w:val="00221D7C"/>
    <w:rsid w:val="00221DED"/>
    <w:rsid w:val="00221E6E"/>
    <w:rsid w:val="00221EEA"/>
    <w:rsid w:val="00221F28"/>
    <w:rsid w:val="00221F5E"/>
    <w:rsid w:val="00221F7D"/>
    <w:rsid w:val="00222029"/>
    <w:rsid w:val="0022208D"/>
    <w:rsid w:val="00222091"/>
    <w:rsid w:val="002220AD"/>
    <w:rsid w:val="0022213A"/>
    <w:rsid w:val="0022217B"/>
    <w:rsid w:val="002221A2"/>
    <w:rsid w:val="002221B9"/>
    <w:rsid w:val="002221D6"/>
    <w:rsid w:val="002221D9"/>
    <w:rsid w:val="002221F6"/>
    <w:rsid w:val="0022222F"/>
    <w:rsid w:val="00222257"/>
    <w:rsid w:val="0022226D"/>
    <w:rsid w:val="002222F8"/>
    <w:rsid w:val="00222482"/>
    <w:rsid w:val="002224AB"/>
    <w:rsid w:val="002224E3"/>
    <w:rsid w:val="00222511"/>
    <w:rsid w:val="00222514"/>
    <w:rsid w:val="0022256F"/>
    <w:rsid w:val="002225CD"/>
    <w:rsid w:val="002225FA"/>
    <w:rsid w:val="00222615"/>
    <w:rsid w:val="00222639"/>
    <w:rsid w:val="00222678"/>
    <w:rsid w:val="002226A9"/>
    <w:rsid w:val="002226C6"/>
    <w:rsid w:val="002226F6"/>
    <w:rsid w:val="00222714"/>
    <w:rsid w:val="0022271C"/>
    <w:rsid w:val="00222724"/>
    <w:rsid w:val="002227D9"/>
    <w:rsid w:val="002227E7"/>
    <w:rsid w:val="002227E9"/>
    <w:rsid w:val="002227F4"/>
    <w:rsid w:val="0022283D"/>
    <w:rsid w:val="00222866"/>
    <w:rsid w:val="002228EE"/>
    <w:rsid w:val="0022290B"/>
    <w:rsid w:val="00222986"/>
    <w:rsid w:val="00222989"/>
    <w:rsid w:val="00222999"/>
    <w:rsid w:val="00222A00"/>
    <w:rsid w:val="00222A09"/>
    <w:rsid w:val="00222A57"/>
    <w:rsid w:val="00222A95"/>
    <w:rsid w:val="00222AA9"/>
    <w:rsid w:val="00222AC8"/>
    <w:rsid w:val="00222AD0"/>
    <w:rsid w:val="00222C03"/>
    <w:rsid w:val="00222C11"/>
    <w:rsid w:val="00222C3C"/>
    <w:rsid w:val="00222C65"/>
    <w:rsid w:val="00222C68"/>
    <w:rsid w:val="00222C84"/>
    <w:rsid w:val="00222CB0"/>
    <w:rsid w:val="00222CF0"/>
    <w:rsid w:val="00222D07"/>
    <w:rsid w:val="00222D10"/>
    <w:rsid w:val="00222D3C"/>
    <w:rsid w:val="00222D96"/>
    <w:rsid w:val="00222D9A"/>
    <w:rsid w:val="00222DED"/>
    <w:rsid w:val="00222E1A"/>
    <w:rsid w:val="00222E28"/>
    <w:rsid w:val="00222E37"/>
    <w:rsid w:val="00222EA2"/>
    <w:rsid w:val="00222EC2"/>
    <w:rsid w:val="00222F21"/>
    <w:rsid w:val="00222F25"/>
    <w:rsid w:val="00222F75"/>
    <w:rsid w:val="00222FA9"/>
    <w:rsid w:val="00222FDC"/>
    <w:rsid w:val="0022302F"/>
    <w:rsid w:val="0022305D"/>
    <w:rsid w:val="0022307E"/>
    <w:rsid w:val="00223086"/>
    <w:rsid w:val="002230F2"/>
    <w:rsid w:val="00223172"/>
    <w:rsid w:val="002231D2"/>
    <w:rsid w:val="00223238"/>
    <w:rsid w:val="00223280"/>
    <w:rsid w:val="002232B2"/>
    <w:rsid w:val="00223385"/>
    <w:rsid w:val="002233B9"/>
    <w:rsid w:val="0022340A"/>
    <w:rsid w:val="00223432"/>
    <w:rsid w:val="00223465"/>
    <w:rsid w:val="00223479"/>
    <w:rsid w:val="002234B8"/>
    <w:rsid w:val="002234DA"/>
    <w:rsid w:val="002234E5"/>
    <w:rsid w:val="00223513"/>
    <w:rsid w:val="0022352B"/>
    <w:rsid w:val="0022360E"/>
    <w:rsid w:val="00223625"/>
    <w:rsid w:val="00223661"/>
    <w:rsid w:val="00223687"/>
    <w:rsid w:val="002236B0"/>
    <w:rsid w:val="002236BA"/>
    <w:rsid w:val="00223702"/>
    <w:rsid w:val="0022373D"/>
    <w:rsid w:val="00223765"/>
    <w:rsid w:val="002237E1"/>
    <w:rsid w:val="002237EC"/>
    <w:rsid w:val="002237F9"/>
    <w:rsid w:val="0022382B"/>
    <w:rsid w:val="00223891"/>
    <w:rsid w:val="002238C8"/>
    <w:rsid w:val="0022394A"/>
    <w:rsid w:val="002239DD"/>
    <w:rsid w:val="002239E8"/>
    <w:rsid w:val="002239EA"/>
    <w:rsid w:val="002239EC"/>
    <w:rsid w:val="00223A2A"/>
    <w:rsid w:val="00223A5B"/>
    <w:rsid w:val="00223B19"/>
    <w:rsid w:val="00223B32"/>
    <w:rsid w:val="00223B34"/>
    <w:rsid w:val="00223B77"/>
    <w:rsid w:val="00223B84"/>
    <w:rsid w:val="00223C8A"/>
    <w:rsid w:val="00223CC0"/>
    <w:rsid w:val="00223CC8"/>
    <w:rsid w:val="00223CD3"/>
    <w:rsid w:val="00223D1B"/>
    <w:rsid w:val="00223D63"/>
    <w:rsid w:val="00223D64"/>
    <w:rsid w:val="00223D66"/>
    <w:rsid w:val="00223DC4"/>
    <w:rsid w:val="00223DC9"/>
    <w:rsid w:val="00223E1B"/>
    <w:rsid w:val="00223E6E"/>
    <w:rsid w:val="00223F79"/>
    <w:rsid w:val="00223FA6"/>
    <w:rsid w:val="002240AA"/>
    <w:rsid w:val="00224142"/>
    <w:rsid w:val="0022422B"/>
    <w:rsid w:val="00224294"/>
    <w:rsid w:val="0022429A"/>
    <w:rsid w:val="002242A1"/>
    <w:rsid w:val="002242B0"/>
    <w:rsid w:val="002242D8"/>
    <w:rsid w:val="002242EA"/>
    <w:rsid w:val="0022430A"/>
    <w:rsid w:val="002243DF"/>
    <w:rsid w:val="0022441B"/>
    <w:rsid w:val="00224463"/>
    <w:rsid w:val="00224487"/>
    <w:rsid w:val="00224496"/>
    <w:rsid w:val="002244B7"/>
    <w:rsid w:val="002244D8"/>
    <w:rsid w:val="0022450A"/>
    <w:rsid w:val="002245CA"/>
    <w:rsid w:val="0022460D"/>
    <w:rsid w:val="0022468C"/>
    <w:rsid w:val="002246C4"/>
    <w:rsid w:val="002246D9"/>
    <w:rsid w:val="002246E6"/>
    <w:rsid w:val="002246EF"/>
    <w:rsid w:val="00224702"/>
    <w:rsid w:val="00224721"/>
    <w:rsid w:val="00224788"/>
    <w:rsid w:val="00224791"/>
    <w:rsid w:val="00224837"/>
    <w:rsid w:val="00224881"/>
    <w:rsid w:val="00224890"/>
    <w:rsid w:val="002248AE"/>
    <w:rsid w:val="0022494D"/>
    <w:rsid w:val="00224956"/>
    <w:rsid w:val="002249BF"/>
    <w:rsid w:val="00224A55"/>
    <w:rsid w:val="00224A56"/>
    <w:rsid w:val="00224AC3"/>
    <w:rsid w:val="00224ACD"/>
    <w:rsid w:val="00224B1D"/>
    <w:rsid w:val="00224B54"/>
    <w:rsid w:val="00224C27"/>
    <w:rsid w:val="00224CD0"/>
    <w:rsid w:val="00224D1E"/>
    <w:rsid w:val="00224D2B"/>
    <w:rsid w:val="00224D46"/>
    <w:rsid w:val="00224D73"/>
    <w:rsid w:val="00224DD9"/>
    <w:rsid w:val="00224DDB"/>
    <w:rsid w:val="00224DE9"/>
    <w:rsid w:val="00224DF5"/>
    <w:rsid w:val="00224E21"/>
    <w:rsid w:val="00224E4D"/>
    <w:rsid w:val="00224F15"/>
    <w:rsid w:val="00224F48"/>
    <w:rsid w:val="00224F71"/>
    <w:rsid w:val="00224F85"/>
    <w:rsid w:val="00225018"/>
    <w:rsid w:val="00225028"/>
    <w:rsid w:val="00225029"/>
    <w:rsid w:val="002250B7"/>
    <w:rsid w:val="002250DD"/>
    <w:rsid w:val="002250FA"/>
    <w:rsid w:val="00225111"/>
    <w:rsid w:val="00225274"/>
    <w:rsid w:val="002252DC"/>
    <w:rsid w:val="00225318"/>
    <w:rsid w:val="0022534F"/>
    <w:rsid w:val="002253B5"/>
    <w:rsid w:val="002253EA"/>
    <w:rsid w:val="00225400"/>
    <w:rsid w:val="0022543F"/>
    <w:rsid w:val="002254CC"/>
    <w:rsid w:val="002254E4"/>
    <w:rsid w:val="00225520"/>
    <w:rsid w:val="00225533"/>
    <w:rsid w:val="00225559"/>
    <w:rsid w:val="0022558C"/>
    <w:rsid w:val="00225706"/>
    <w:rsid w:val="0022573A"/>
    <w:rsid w:val="0022577E"/>
    <w:rsid w:val="0022578F"/>
    <w:rsid w:val="002257A0"/>
    <w:rsid w:val="002257FD"/>
    <w:rsid w:val="00225811"/>
    <w:rsid w:val="00225814"/>
    <w:rsid w:val="0022586E"/>
    <w:rsid w:val="00225894"/>
    <w:rsid w:val="002258B2"/>
    <w:rsid w:val="002258B9"/>
    <w:rsid w:val="002258DE"/>
    <w:rsid w:val="00225901"/>
    <w:rsid w:val="00225920"/>
    <w:rsid w:val="00225964"/>
    <w:rsid w:val="00225982"/>
    <w:rsid w:val="002259A1"/>
    <w:rsid w:val="002259C9"/>
    <w:rsid w:val="002259D7"/>
    <w:rsid w:val="00225A03"/>
    <w:rsid w:val="00225A0E"/>
    <w:rsid w:val="00225A26"/>
    <w:rsid w:val="00225A4A"/>
    <w:rsid w:val="00225A8C"/>
    <w:rsid w:val="00225AD7"/>
    <w:rsid w:val="00225B04"/>
    <w:rsid w:val="00225B17"/>
    <w:rsid w:val="00225B46"/>
    <w:rsid w:val="00225BD0"/>
    <w:rsid w:val="00225C56"/>
    <w:rsid w:val="00225CCD"/>
    <w:rsid w:val="00225CFF"/>
    <w:rsid w:val="00225D0A"/>
    <w:rsid w:val="00225DB5"/>
    <w:rsid w:val="00225DFB"/>
    <w:rsid w:val="00225E51"/>
    <w:rsid w:val="00225E71"/>
    <w:rsid w:val="00225E9E"/>
    <w:rsid w:val="00225ECB"/>
    <w:rsid w:val="00225F00"/>
    <w:rsid w:val="00225F1C"/>
    <w:rsid w:val="00225F8E"/>
    <w:rsid w:val="00225FAC"/>
    <w:rsid w:val="00225FEF"/>
    <w:rsid w:val="00226000"/>
    <w:rsid w:val="00226004"/>
    <w:rsid w:val="0022607A"/>
    <w:rsid w:val="002260B9"/>
    <w:rsid w:val="002260D0"/>
    <w:rsid w:val="002260F9"/>
    <w:rsid w:val="0022614F"/>
    <w:rsid w:val="00226198"/>
    <w:rsid w:val="002261EF"/>
    <w:rsid w:val="0022625F"/>
    <w:rsid w:val="002262C2"/>
    <w:rsid w:val="002262D0"/>
    <w:rsid w:val="0022639F"/>
    <w:rsid w:val="002263CD"/>
    <w:rsid w:val="00226439"/>
    <w:rsid w:val="002264FC"/>
    <w:rsid w:val="0022650D"/>
    <w:rsid w:val="00226578"/>
    <w:rsid w:val="002266AE"/>
    <w:rsid w:val="00226724"/>
    <w:rsid w:val="00226779"/>
    <w:rsid w:val="00226780"/>
    <w:rsid w:val="00226792"/>
    <w:rsid w:val="002267C8"/>
    <w:rsid w:val="002268C5"/>
    <w:rsid w:val="002268D6"/>
    <w:rsid w:val="002268DF"/>
    <w:rsid w:val="00226906"/>
    <w:rsid w:val="00226927"/>
    <w:rsid w:val="00226931"/>
    <w:rsid w:val="00226973"/>
    <w:rsid w:val="00226981"/>
    <w:rsid w:val="002269D2"/>
    <w:rsid w:val="002269E8"/>
    <w:rsid w:val="002269F4"/>
    <w:rsid w:val="00226A7C"/>
    <w:rsid w:val="00226A99"/>
    <w:rsid w:val="00226AA9"/>
    <w:rsid w:val="00226AB6"/>
    <w:rsid w:val="00226B1C"/>
    <w:rsid w:val="00226BED"/>
    <w:rsid w:val="00226CE7"/>
    <w:rsid w:val="00226D61"/>
    <w:rsid w:val="00226D97"/>
    <w:rsid w:val="00226DBE"/>
    <w:rsid w:val="00226DC5"/>
    <w:rsid w:val="00226DD1"/>
    <w:rsid w:val="00226DD9"/>
    <w:rsid w:val="00226DEB"/>
    <w:rsid w:val="00226DEE"/>
    <w:rsid w:val="00226E7D"/>
    <w:rsid w:val="00226EF7"/>
    <w:rsid w:val="00226F31"/>
    <w:rsid w:val="00226F9A"/>
    <w:rsid w:val="00226FE9"/>
    <w:rsid w:val="00226FF8"/>
    <w:rsid w:val="00227010"/>
    <w:rsid w:val="0022702B"/>
    <w:rsid w:val="00227063"/>
    <w:rsid w:val="00227066"/>
    <w:rsid w:val="00227072"/>
    <w:rsid w:val="00227076"/>
    <w:rsid w:val="0022709B"/>
    <w:rsid w:val="00227103"/>
    <w:rsid w:val="0022710E"/>
    <w:rsid w:val="00227112"/>
    <w:rsid w:val="002271DB"/>
    <w:rsid w:val="00227200"/>
    <w:rsid w:val="00227217"/>
    <w:rsid w:val="00227268"/>
    <w:rsid w:val="002272AB"/>
    <w:rsid w:val="00227308"/>
    <w:rsid w:val="00227312"/>
    <w:rsid w:val="0022731D"/>
    <w:rsid w:val="00227328"/>
    <w:rsid w:val="002273B2"/>
    <w:rsid w:val="002273FD"/>
    <w:rsid w:val="0022740F"/>
    <w:rsid w:val="0022741A"/>
    <w:rsid w:val="00227434"/>
    <w:rsid w:val="0022747B"/>
    <w:rsid w:val="002274A0"/>
    <w:rsid w:val="002274AC"/>
    <w:rsid w:val="002274B1"/>
    <w:rsid w:val="002274DD"/>
    <w:rsid w:val="002274E7"/>
    <w:rsid w:val="00227503"/>
    <w:rsid w:val="002275A8"/>
    <w:rsid w:val="002275BF"/>
    <w:rsid w:val="0022766A"/>
    <w:rsid w:val="0022766C"/>
    <w:rsid w:val="00227709"/>
    <w:rsid w:val="0022775F"/>
    <w:rsid w:val="00227782"/>
    <w:rsid w:val="002277AE"/>
    <w:rsid w:val="002277E4"/>
    <w:rsid w:val="00227829"/>
    <w:rsid w:val="00227851"/>
    <w:rsid w:val="0022787C"/>
    <w:rsid w:val="00227891"/>
    <w:rsid w:val="002278A3"/>
    <w:rsid w:val="00227A0A"/>
    <w:rsid w:val="00227A40"/>
    <w:rsid w:val="00227A5E"/>
    <w:rsid w:val="00227A69"/>
    <w:rsid w:val="00227AB3"/>
    <w:rsid w:val="00227AD5"/>
    <w:rsid w:val="00227B2B"/>
    <w:rsid w:val="00227B6F"/>
    <w:rsid w:val="00227C0D"/>
    <w:rsid w:val="00227C1A"/>
    <w:rsid w:val="00227C53"/>
    <w:rsid w:val="00227C91"/>
    <w:rsid w:val="00227CAC"/>
    <w:rsid w:val="00227CC9"/>
    <w:rsid w:val="00227CE0"/>
    <w:rsid w:val="00227D8D"/>
    <w:rsid w:val="00227DF2"/>
    <w:rsid w:val="00227E17"/>
    <w:rsid w:val="00227E9F"/>
    <w:rsid w:val="00227EAB"/>
    <w:rsid w:val="00227ECE"/>
    <w:rsid w:val="00227EFC"/>
    <w:rsid w:val="002300A3"/>
    <w:rsid w:val="002300AF"/>
    <w:rsid w:val="00230132"/>
    <w:rsid w:val="002301DD"/>
    <w:rsid w:val="002301E4"/>
    <w:rsid w:val="00230298"/>
    <w:rsid w:val="002302AA"/>
    <w:rsid w:val="00230374"/>
    <w:rsid w:val="00230407"/>
    <w:rsid w:val="00230437"/>
    <w:rsid w:val="0023043C"/>
    <w:rsid w:val="0023045C"/>
    <w:rsid w:val="0023053C"/>
    <w:rsid w:val="0023054C"/>
    <w:rsid w:val="002307D1"/>
    <w:rsid w:val="002308B6"/>
    <w:rsid w:val="002309F2"/>
    <w:rsid w:val="00230A70"/>
    <w:rsid w:val="00230A7C"/>
    <w:rsid w:val="00230AAC"/>
    <w:rsid w:val="00230ABB"/>
    <w:rsid w:val="00230AD2"/>
    <w:rsid w:val="00230B8D"/>
    <w:rsid w:val="00230BA5"/>
    <w:rsid w:val="00230C04"/>
    <w:rsid w:val="00230C26"/>
    <w:rsid w:val="00230C8D"/>
    <w:rsid w:val="00230CAA"/>
    <w:rsid w:val="00230CB1"/>
    <w:rsid w:val="00230CC6"/>
    <w:rsid w:val="00230CEB"/>
    <w:rsid w:val="00230CF6"/>
    <w:rsid w:val="00230D0D"/>
    <w:rsid w:val="00230D4A"/>
    <w:rsid w:val="00230DE5"/>
    <w:rsid w:val="00230E1D"/>
    <w:rsid w:val="00230E83"/>
    <w:rsid w:val="00230EAB"/>
    <w:rsid w:val="00230EF5"/>
    <w:rsid w:val="00230F92"/>
    <w:rsid w:val="00230F98"/>
    <w:rsid w:val="00230FB1"/>
    <w:rsid w:val="00230FBE"/>
    <w:rsid w:val="00231004"/>
    <w:rsid w:val="00231023"/>
    <w:rsid w:val="00231033"/>
    <w:rsid w:val="00231036"/>
    <w:rsid w:val="0023104D"/>
    <w:rsid w:val="00231058"/>
    <w:rsid w:val="0023107F"/>
    <w:rsid w:val="002310D8"/>
    <w:rsid w:val="0023110C"/>
    <w:rsid w:val="00231140"/>
    <w:rsid w:val="00231169"/>
    <w:rsid w:val="0023116D"/>
    <w:rsid w:val="002311DA"/>
    <w:rsid w:val="00231216"/>
    <w:rsid w:val="0023127E"/>
    <w:rsid w:val="002312A1"/>
    <w:rsid w:val="002312E0"/>
    <w:rsid w:val="00231307"/>
    <w:rsid w:val="0023136A"/>
    <w:rsid w:val="00231385"/>
    <w:rsid w:val="0023145E"/>
    <w:rsid w:val="002314ED"/>
    <w:rsid w:val="00231508"/>
    <w:rsid w:val="00231550"/>
    <w:rsid w:val="00231568"/>
    <w:rsid w:val="0023156B"/>
    <w:rsid w:val="00231589"/>
    <w:rsid w:val="00231604"/>
    <w:rsid w:val="00231659"/>
    <w:rsid w:val="00231669"/>
    <w:rsid w:val="002316F8"/>
    <w:rsid w:val="00231713"/>
    <w:rsid w:val="002317EC"/>
    <w:rsid w:val="002317F0"/>
    <w:rsid w:val="00231825"/>
    <w:rsid w:val="00231833"/>
    <w:rsid w:val="00231864"/>
    <w:rsid w:val="00231872"/>
    <w:rsid w:val="00231873"/>
    <w:rsid w:val="00231984"/>
    <w:rsid w:val="00231A35"/>
    <w:rsid w:val="00231A5C"/>
    <w:rsid w:val="00231A6F"/>
    <w:rsid w:val="00231A78"/>
    <w:rsid w:val="00231AC3"/>
    <w:rsid w:val="00231AD7"/>
    <w:rsid w:val="00231B01"/>
    <w:rsid w:val="00231BF1"/>
    <w:rsid w:val="00231BF2"/>
    <w:rsid w:val="00231CA5"/>
    <w:rsid w:val="00231CB8"/>
    <w:rsid w:val="00231D09"/>
    <w:rsid w:val="00231D11"/>
    <w:rsid w:val="00231D89"/>
    <w:rsid w:val="00231E6A"/>
    <w:rsid w:val="00231E8B"/>
    <w:rsid w:val="00231E99"/>
    <w:rsid w:val="00231EC4"/>
    <w:rsid w:val="00231EC5"/>
    <w:rsid w:val="00231F82"/>
    <w:rsid w:val="00231FDC"/>
    <w:rsid w:val="00232003"/>
    <w:rsid w:val="00232031"/>
    <w:rsid w:val="00232139"/>
    <w:rsid w:val="00232149"/>
    <w:rsid w:val="00232167"/>
    <w:rsid w:val="00232168"/>
    <w:rsid w:val="00232244"/>
    <w:rsid w:val="002322A4"/>
    <w:rsid w:val="002322DF"/>
    <w:rsid w:val="00232302"/>
    <w:rsid w:val="00232410"/>
    <w:rsid w:val="00232429"/>
    <w:rsid w:val="0023246D"/>
    <w:rsid w:val="0023248C"/>
    <w:rsid w:val="0023248E"/>
    <w:rsid w:val="0023249E"/>
    <w:rsid w:val="002324B2"/>
    <w:rsid w:val="00232563"/>
    <w:rsid w:val="00232571"/>
    <w:rsid w:val="00232595"/>
    <w:rsid w:val="0023259D"/>
    <w:rsid w:val="002325D8"/>
    <w:rsid w:val="00232627"/>
    <w:rsid w:val="002326AD"/>
    <w:rsid w:val="002326C7"/>
    <w:rsid w:val="002326DB"/>
    <w:rsid w:val="002326F9"/>
    <w:rsid w:val="0023270F"/>
    <w:rsid w:val="00232731"/>
    <w:rsid w:val="00232770"/>
    <w:rsid w:val="00232797"/>
    <w:rsid w:val="002327B4"/>
    <w:rsid w:val="002327C3"/>
    <w:rsid w:val="00232821"/>
    <w:rsid w:val="0023288B"/>
    <w:rsid w:val="002328D8"/>
    <w:rsid w:val="00232954"/>
    <w:rsid w:val="00232965"/>
    <w:rsid w:val="002329D3"/>
    <w:rsid w:val="00232A9C"/>
    <w:rsid w:val="00232AC3"/>
    <w:rsid w:val="00232AE2"/>
    <w:rsid w:val="00232B25"/>
    <w:rsid w:val="00232BBA"/>
    <w:rsid w:val="00232BC7"/>
    <w:rsid w:val="00232C1F"/>
    <w:rsid w:val="00232C41"/>
    <w:rsid w:val="00232C48"/>
    <w:rsid w:val="00232C5A"/>
    <w:rsid w:val="00232C9A"/>
    <w:rsid w:val="00232CAC"/>
    <w:rsid w:val="00232D2E"/>
    <w:rsid w:val="00232D75"/>
    <w:rsid w:val="00232D7B"/>
    <w:rsid w:val="00232DB4"/>
    <w:rsid w:val="00232E2F"/>
    <w:rsid w:val="00232EB7"/>
    <w:rsid w:val="00232EC4"/>
    <w:rsid w:val="00232ED3"/>
    <w:rsid w:val="00232F0D"/>
    <w:rsid w:val="00232F99"/>
    <w:rsid w:val="00232FA9"/>
    <w:rsid w:val="00232FB9"/>
    <w:rsid w:val="00232FE0"/>
    <w:rsid w:val="00232FEB"/>
    <w:rsid w:val="00232FF3"/>
    <w:rsid w:val="0023300F"/>
    <w:rsid w:val="0023308A"/>
    <w:rsid w:val="002330FC"/>
    <w:rsid w:val="002331B3"/>
    <w:rsid w:val="002331E3"/>
    <w:rsid w:val="002331F1"/>
    <w:rsid w:val="00233210"/>
    <w:rsid w:val="0023328D"/>
    <w:rsid w:val="002332B1"/>
    <w:rsid w:val="002332E9"/>
    <w:rsid w:val="002332F8"/>
    <w:rsid w:val="00233342"/>
    <w:rsid w:val="00233398"/>
    <w:rsid w:val="0023346B"/>
    <w:rsid w:val="0023346E"/>
    <w:rsid w:val="0023358F"/>
    <w:rsid w:val="0023364A"/>
    <w:rsid w:val="0023365A"/>
    <w:rsid w:val="00233669"/>
    <w:rsid w:val="002336BC"/>
    <w:rsid w:val="002336FF"/>
    <w:rsid w:val="00233734"/>
    <w:rsid w:val="00233758"/>
    <w:rsid w:val="0023378C"/>
    <w:rsid w:val="002337C9"/>
    <w:rsid w:val="0023386B"/>
    <w:rsid w:val="002338D1"/>
    <w:rsid w:val="002338E6"/>
    <w:rsid w:val="002338F9"/>
    <w:rsid w:val="002339C3"/>
    <w:rsid w:val="002339D4"/>
    <w:rsid w:val="002339DA"/>
    <w:rsid w:val="002339EF"/>
    <w:rsid w:val="00233A5C"/>
    <w:rsid w:val="00233AE1"/>
    <w:rsid w:val="00233B78"/>
    <w:rsid w:val="00233B9E"/>
    <w:rsid w:val="00233BA5"/>
    <w:rsid w:val="00233BCA"/>
    <w:rsid w:val="00233BDE"/>
    <w:rsid w:val="00233C1B"/>
    <w:rsid w:val="00233C6B"/>
    <w:rsid w:val="00233C7E"/>
    <w:rsid w:val="00233D08"/>
    <w:rsid w:val="00233D0F"/>
    <w:rsid w:val="00233D40"/>
    <w:rsid w:val="00233D49"/>
    <w:rsid w:val="00233D83"/>
    <w:rsid w:val="00233DCB"/>
    <w:rsid w:val="00233E15"/>
    <w:rsid w:val="00233E74"/>
    <w:rsid w:val="00233EE6"/>
    <w:rsid w:val="00233F15"/>
    <w:rsid w:val="00233F2F"/>
    <w:rsid w:val="00233F3E"/>
    <w:rsid w:val="00233F4E"/>
    <w:rsid w:val="00234070"/>
    <w:rsid w:val="002340BF"/>
    <w:rsid w:val="0023419A"/>
    <w:rsid w:val="002341A3"/>
    <w:rsid w:val="002341F8"/>
    <w:rsid w:val="0023424C"/>
    <w:rsid w:val="00234251"/>
    <w:rsid w:val="00234288"/>
    <w:rsid w:val="00234340"/>
    <w:rsid w:val="002343AD"/>
    <w:rsid w:val="00234403"/>
    <w:rsid w:val="00234483"/>
    <w:rsid w:val="002344B1"/>
    <w:rsid w:val="002344B4"/>
    <w:rsid w:val="002344B8"/>
    <w:rsid w:val="002344CB"/>
    <w:rsid w:val="002344F2"/>
    <w:rsid w:val="002345FB"/>
    <w:rsid w:val="0023461F"/>
    <w:rsid w:val="002346BD"/>
    <w:rsid w:val="002346DC"/>
    <w:rsid w:val="0023479E"/>
    <w:rsid w:val="002347E7"/>
    <w:rsid w:val="00234808"/>
    <w:rsid w:val="0023481E"/>
    <w:rsid w:val="0023484D"/>
    <w:rsid w:val="00234896"/>
    <w:rsid w:val="002348A9"/>
    <w:rsid w:val="00234905"/>
    <w:rsid w:val="00234957"/>
    <w:rsid w:val="0023497B"/>
    <w:rsid w:val="00234999"/>
    <w:rsid w:val="002349B2"/>
    <w:rsid w:val="002349F6"/>
    <w:rsid w:val="00234A25"/>
    <w:rsid w:val="00234A33"/>
    <w:rsid w:val="00234A69"/>
    <w:rsid w:val="00234A76"/>
    <w:rsid w:val="00234AC5"/>
    <w:rsid w:val="00234AE0"/>
    <w:rsid w:val="00234B27"/>
    <w:rsid w:val="00234B86"/>
    <w:rsid w:val="00234BEE"/>
    <w:rsid w:val="00234C2F"/>
    <w:rsid w:val="00234CB3"/>
    <w:rsid w:val="00234CD9"/>
    <w:rsid w:val="00234D83"/>
    <w:rsid w:val="00234DE5"/>
    <w:rsid w:val="00234E2C"/>
    <w:rsid w:val="00234EA2"/>
    <w:rsid w:val="00234ECF"/>
    <w:rsid w:val="00234F0A"/>
    <w:rsid w:val="00234F39"/>
    <w:rsid w:val="00235005"/>
    <w:rsid w:val="00235006"/>
    <w:rsid w:val="0023506E"/>
    <w:rsid w:val="0023508C"/>
    <w:rsid w:val="0023508D"/>
    <w:rsid w:val="002350D8"/>
    <w:rsid w:val="0023515D"/>
    <w:rsid w:val="00235167"/>
    <w:rsid w:val="00235186"/>
    <w:rsid w:val="002351B6"/>
    <w:rsid w:val="002351EE"/>
    <w:rsid w:val="002351F7"/>
    <w:rsid w:val="00235200"/>
    <w:rsid w:val="00235263"/>
    <w:rsid w:val="002352D8"/>
    <w:rsid w:val="00235305"/>
    <w:rsid w:val="0023534E"/>
    <w:rsid w:val="0023538A"/>
    <w:rsid w:val="002353BD"/>
    <w:rsid w:val="002353D9"/>
    <w:rsid w:val="00235409"/>
    <w:rsid w:val="00235422"/>
    <w:rsid w:val="00235480"/>
    <w:rsid w:val="0023549E"/>
    <w:rsid w:val="002354FE"/>
    <w:rsid w:val="002355C5"/>
    <w:rsid w:val="002355FD"/>
    <w:rsid w:val="00235687"/>
    <w:rsid w:val="002356AA"/>
    <w:rsid w:val="002356BC"/>
    <w:rsid w:val="00235725"/>
    <w:rsid w:val="002357AD"/>
    <w:rsid w:val="002357AF"/>
    <w:rsid w:val="002357F6"/>
    <w:rsid w:val="00235832"/>
    <w:rsid w:val="00235889"/>
    <w:rsid w:val="002358C0"/>
    <w:rsid w:val="002358D8"/>
    <w:rsid w:val="00235921"/>
    <w:rsid w:val="002359F9"/>
    <w:rsid w:val="00235A39"/>
    <w:rsid w:val="00235A60"/>
    <w:rsid w:val="00235AC9"/>
    <w:rsid w:val="00235AEF"/>
    <w:rsid w:val="00235AF9"/>
    <w:rsid w:val="00235B25"/>
    <w:rsid w:val="00235B2E"/>
    <w:rsid w:val="00235B66"/>
    <w:rsid w:val="00235B76"/>
    <w:rsid w:val="00235C0B"/>
    <w:rsid w:val="00235C42"/>
    <w:rsid w:val="00235C92"/>
    <w:rsid w:val="00235CE0"/>
    <w:rsid w:val="00235D0F"/>
    <w:rsid w:val="00235D4B"/>
    <w:rsid w:val="00235D7B"/>
    <w:rsid w:val="00235D9E"/>
    <w:rsid w:val="00235DD7"/>
    <w:rsid w:val="00235E00"/>
    <w:rsid w:val="00235E22"/>
    <w:rsid w:val="00235E7A"/>
    <w:rsid w:val="00235EA4"/>
    <w:rsid w:val="00235EDB"/>
    <w:rsid w:val="00235F5F"/>
    <w:rsid w:val="00235F66"/>
    <w:rsid w:val="00235F87"/>
    <w:rsid w:val="00235FA4"/>
    <w:rsid w:val="00236017"/>
    <w:rsid w:val="00236067"/>
    <w:rsid w:val="0023606F"/>
    <w:rsid w:val="0023607A"/>
    <w:rsid w:val="002360D1"/>
    <w:rsid w:val="002360D9"/>
    <w:rsid w:val="0023611E"/>
    <w:rsid w:val="0023613B"/>
    <w:rsid w:val="00236184"/>
    <w:rsid w:val="0023618A"/>
    <w:rsid w:val="002361B7"/>
    <w:rsid w:val="00236234"/>
    <w:rsid w:val="00236255"/>
    <w:rsid w:val="002362FB"/>
    <w:rsid w:val="00236324"/>
    <w:rsid w:val="00236331"/>
    <w:rsid w:val="0023636A"/>
    <w:rsid w:val="00236386"/>
    <w:rsid w:val="0023639D"/>
    <w:rsid w:val="0023647D"/>
    <w:rsid w:val="0023649F"/>
    <w:rsid w:val="00236538"/>
    <w:rsid w:val="00236576"/>
    <w:rsid w:val="0023657F"/>
    <w:rsid w:val="002365E0"/>
    <w:rsid w:val="0023660B"/>
    <w:rsid w:val="0023663D"/>
    <w:rsid w:val="00236777"/>
    <w:rsid w:val="002367B5"/>
    <w:rsid w:val="002368DE"/>
    <w:rsid w:val="002369BC"/>
    <w:rsid w:val="00236A58"/>
    <w:rsid w:val="00236AB7"/>
    <w:rsid w:val="00236AB8"/>
    <w:rsid w:val="00236AE1"/>
    <w:rsid w:val="00236AE9"/>
    <w:rsid w:val="00236B7B"/>
    <w:rsid w:val="00236BDD"/>
    <w:rsid w:val="00236C10"/>
    <w:rsid w:val="00236C59"/>
    <w:rsid w:val="00236C87"/>
    <w:rsid w:val="00236E87"/>
    <w:rsid w:val="00236F63"/>
    <w:rsid w:val="00236F7F"/>
    <w:rsid w:val="00236FB9"/>
    <w:rsid w:val="00236FD0"/>
    <w:rsid w:val="00237028"/>
    <w:rsid w:val="002370A7"/>
    <w:rsid w:val="002370F7"/>
    <w:rsid w:val="00237168"/>
    <w:rsid w:val="002371D9"/>
    <w:rsid w:val="002371F2"/>
    <w:rsid w:val="0023724E"/>
    <w:rsid w:val="002372B6"/>
    <w:rsid w:val="002373D1"/>
    <w:rsid w:val="002373FB"/>
    <w:rsid w:val="00237414"/>
    <w:rsid w:val="0023741A"/>
    <w:rsid w:val="00237488"/>
    <w:rsid w:val="002374C7"/>
    <w:rsid w:val="00237521"/>
    <w:rsid w:val="00237550"/>
    <w:rsid w:val="00237557"/>
    <w:rsid w:val="002375A4"/>
    <w:rsid w:val="0023760F"/>
    <w:rsid w:val="0023763D"/>
    <w:rsid w:val="002376EB"/>
    <w:rsid w:val="002376F2"/>
    <w:rsid w:val="00237709"/>
    <w:rsid w:val="00237714"/>
    <w:rsid w:val="00237720"/>
    <w:rsid w:val="00237756"/>
    <w:rsid w:val="00237780"/>
    <w:rsid w:val="002377CE"/>
    <w:rsid w:val="002377D0"/>
    <w:rsid w:val="00237834"/>
    <w:rsid w:val="00237837"/>
    <w:rsid w:val="00237850"/>
    <w:rsid w:val="002378C3"/>
    <w:rsid w:val="00237972"/>
    <w:rsid w:val="0023797B"/>
    <w:rsid w:val="00237983"/>
    <w:rsid w:val="002379E8"/>
    <w:rsid w:val="002379F5"/>
    <w:rsid w:val="00237A51"/>
    <w:rsid w:val="00237AE0"/>
    <w:rsid w:val="00237AED"/>
    <w:rsid w:val="00237B16"/>
    <w:rsid w:val="00237B44"/>
    <w:rsid w:val="00237B57"/>
    <w:rsid w:val="00237BFD"/>
    <w:rsid w:val="00237C12"/>
    <w:rsid w:val="00237C2E"/>
    <w:rsid w:val="00237C8B"/>
    <w:rsid w:val="00237CEE"/>
    <w:rsid w:val="00237D25"/>
    <w:rsid w:val="00237DAE"/>
    <w:rsid w:val="00237DDC"/>
    <w:rsid w:val="00237E6B"/>
    <w:rsid w:val="00237EBE"/>
    <w:rsid w:val="00237EC7"/>
    <w:rsid w:val="00237F65"/>
    <w:rsid w:val="00237F74"/>
    <w:rsid w:val="00240030"/>
    <w:rsid w:val="00240085"/>
    <w:rsid w:val="00240101"/>
    <w:rsid w:val="0024012B"/>
    <w:rsid w:val="00240188"/>
    <w:rsid w:val="00240198"/>
    <w:rsid w:val="00240200"/>
    <w:rsid w:val="00240219"/>
    <w:rsid w:val="002402E3"/>
    <w:rsid w:val="00240336"/>
    <w:rsid w:val="002403B4"/>
    <w:rsid w:val="002403E7"/>
    <w:rsid w:val="00240414"/>
    <w:rsid w:val="0024047A"/>
    <w:rsid w:val="00240540"/>
    <w:rsid w:val="002405EC"/>
    <w:rsid w:val="0024062A"/>
    <w:rsid w:val="0024062C"/>
    <w:rsid w:val="002406B1"/>
    <w:rsid w:val="002406BE"/>
    <w:rsid w:val="002406E6"/>
    <w:rsid w:val="00240730"/>
    <w:rsid w:val="0024077D"/>
    <w:rsid w:val="00240797"/>
    <w:rsid w:val="002407A7"/>
    <w:rsid w:val="002407D1"/>
    <w:rsid w:val="00240822"/>
    <w:rsid w:val="002408E5"/>
    <w:rsid w:val="00240929"/>
    <w:rsid w:val="0024092F"/>
    <w:rsid w:val="00240964"/>
    <w:rsid w:val="002409B7"/>
    <w:rsid w:val="002409B8"/>
    <w:rsid w:val="00240A39"/>
    <w:rsid w:val="00240B21"/>
    <w:rsid w:val="00240B88"/>
    <w:rsid w:val="00240BF1"/>
    <w:rsid w:val="00240BFD"/>
    <w:rsid w:val="00240C18"/>
    <w:rsid w:val="00240C90"/>
    <w:rsid w:val="00240CB8"/>
    <w:rsid w:val="00240CBC"/>
    <w:rsid w:val="00240CE9"/>
    <w:rsid w:val="00240D3C"/>
    <w:rsid w:val="00240D48"/>
    <w:rsid w:val="00240D5D"/>
    <w:rsid w:val="00240D6F"/>
    <w:rsid w:val="00240DA0"/>
    <w:rsid w:val="00240DD8"/>
    <w:rsid w:val="00240DE2"/>
    <w:rsid w:val="00240E3D"/>
    <w:rsid w:val="00240EAC"/>
    <w:rsid w:val="00240F68"/>
    <w:rsid w:val="00240FC1"/>
    <w:rsid w:val="00241023"/>
    <w:rsid w:val="00241062"/>
    <w:rsid w:val="002410CD"/>
    <w:rsid w:val="002410DB"/>
    <w:rsid w:val="002410E1"/>
    <w:rsid w:val="00241108"/>
    <w:rsid w:val="00241123"/>
    <w:rsid w:val="00241196"/>
    <w:rsid w:val="00241199"/>
    <w:rsid w:val="00241218"/>
    <w:rsid w:val="00241227"/>
    <w:rsid w:val="00241247"/>
    <w:rsid w:val="0024126F"/>
    <w:rsid w:val="00241278"/>
    <w:rsid w:val="002412CF"/>
    <w:rsid w:val="002412F8"/>
    <w:rsid w:val="00241324"/>
    <w:rsid w:val="00241370"/>
    <w:rsid w:val="0024139D"/>
    <w:rsid w:val="002413E9"/>
    <w:rsid w:val="00241402"/>
    <w:rsid w:val="00241427"/>
    <w:rsid w:val="00241448"/>
    <w:rsid w:val="00241461"/>
    <w:rsid w:val="00241566"/>
    <w:rsid w:val="002415F4"/>
    <w:rsid w:val="00241612"/>
    <w:rsid w:val="00241647"/>
    <w:rsid w:val="0024165A"/>
    <w:rsid w:val="002416CE"/>
    <w:rsid w:val="002416DF"/>
    <w:rsid w:val="0024170F"/>
    <w:rsid w:val="00241721"/>
    <w:rsid w:val="00241738"/>
    <w:rsid w:val="002417D9"/>
    <w:rsid w:val="00241802"/>
    <w:rsid w:val="00241855"/>
    <w:rsid w:val="002418B4"/>
    <w:rsid w:val="00241921"/>
    <w:rsid w:val="00241951"/>
    <w:rsid w:val="0024196F"/>
    <w:rsid w:val="0024197D"/>
    <w:rsid w:val="002419B3"/>
    <w:rsid w:val="00241A17"/>
    <w:rsid w:val="00241A30"/>
    <w:rsid w:val="00241A62"/>
    <w:rsid w:val="00241B04"/>
    <w:rsid w:val="00241B61"/>
    <w:rsid w:val="00241B66"/>
    <w:rsid w:val="00241C2F"/>
    <w:rsid w:val="00241C7D"/>
    <w:rsid w:val="00241C9A"/>
    <w:rsid w:val="00241CB0"/>
    <w:rsid w:val="00241CCD"/>
    <w:rsid w:val="00241D15"/>
    <w:rsid w:val="00241DBD"/>
    <w:rsid w:val="00241EBC"/>
    <w:rsid w:val="00241EDD"/>
    <w:rsid w:val="00241F47"/>
    <w:rsid w:val="00241F49"/>
    <w:rsid w:val="00241FBB"/>
    <w:rsid w:val="00242033"/>
    <w:rsid w:val="00242085"/>
    <w:rsid w:val="002420C8"/>
    <w:rsid w:val="002420D1"/>
    <w:rsid w:val="002420E1"/>
    <w:rsid w:val="002420F7"/>
    <w:rsid w:val="00242115"/>
    <w:rsid w:val="0024211D"/>
    <w:rsid w:val="00242128"/>
    <w:rsid w:val="00242141"/>
    <w:rsid w:val="0024219E"/>
    <w:rsid w:val="002421AA"/>
    <w:rsid w:val="002421AC"/>
    <w:rsid w:val="002421F4"/>
    <w:rsid w:val="00242274"/>
    <w:rsid w:val="00242277"/>
    <w:rsid w:val="002422D2"/>
    <w:rsid w:val="00242340"/>
    <w:rsid w:val="00242391"/>
    <w:rsid w:val="00242418"/>
    <w:rsid w:val="00242435"/>
    <w:rsid w:val="00242469"/>
    <w:rsid w:val="00242491"/>
    <w:rsid w:val="00242494"/>
    <w:rsid w:val="002424AA"/>
    <w:rsid w:val="0024251A"/>
    <w:rsid w:val="00242532"/>
    <w:rsid w:val="0024255E"/>
    <w:rsid w:val="00242674"/>
    <w:rsid w:val="002426A9"/>
    <w:rsid w:val="002426B1"/>
    <w:rsid w:val="002426C5"/>
    <w:rsid w:val="002426DF"/>
    <w:rsid w:val="00242720"/>
    <w:rsid w:val="0024279C"/>
    <w:rsid w:val="00242802"/>
    <w:rsid w:val="00242811"/>
    <w:rsid w:val="00242890"/>
    <w:rsid w:val="002428E4"/>
    <w:rsid w:val="002428F4"/>
    <w:rsid w:val="002428FC"/>
    <w:rsid w:val="002428FD"/>
    <w:rsid w:val="0024297A"/>
    <w:rsid w:val="002429B7"/>
    <w:rsid w:val="002429ED"/>
    <w:rsid w:val="00242BC6"/>
    <w:rsid w:val="00242BD1"/>
    <w:rsid w:val="00242BEF"/>
    <w:rsid w:val="00242C19"/>
    <w:rsid w:val="00242C3C"/>
    <w:rsid w:val="00242C6B"/>
    <w:rsid w:val="00242CC6"/>
    <w:rsid w:val="00242D54"/>
    <w:rsid w:val="00242D67"/>
    <w:rsid w:val="00242DD3"/>
    <w:rsid w:val="00242E13"/>
    <w:rsid w:val="00242E6D"/>
    <w:rsid w:val="00242EF6"/>
    <w:rsid w:val="00242F0E"/>
    <w:rsid w:val="00242F78"/>
    <w:rsid w:val="00242F8E"/>
    <w:rsid w:val="00242FF0"/>
    <w:rsid w:val="00243011"/>
    <w:rsid w:val="00243034"/>
    <w:rsid w:val="002430BB"/>
    <w:rsid w:val="002430D8"/>
    <w:rsid w:val="00243141"/>
    <w:rsid w:val="002431A9"/>
    <w:rsid w:val="00243223"/>
    <w:rsid w:val="00243263"/>
    <w:rsid w:val="00243269"/>
    <w:rsid w:val="002432AB"/>
    <w:rsid w:val="002432CA"/>
    <w:rsid w:val="00243324"/>
    <w:rsid w:val="0024336B"/>
    <w:rsid w:val="0024336D"/>
    <w:rsid w:val="002433E9"/>
    <w:rsid w:val="00243403"/>
    <w:rsid w:val="002434D0"/>
    <w:rsid w:val="002434E6"/>
    <w:rsid w:val="002435D0"/>
    <w:rsid w:val="00243609"/>
    <w:rsid w:val="00243610"/>
    <w:rsid w:val="0024363E"/>
    <w:rsid w:val="00243697"/>
    <w:rsid w:val="00243699"/>
    <w:rsid w:val="002437CF"/>
    <w:rsid w:val="0024381E"/>
    <w:rsid w:val="0024382B"/>
    <w:rsid w:val="00243896"/>
    <w:rsid w:val="002438C8"/>
    <w:rsid w:val="002438E2"/>
    <w:rsid w:val="002439AD"/>
    <w:rsid w:val="002439B2"/>
    <w:rsid w:val="00243A14"/>
    <w:rsid w:val="00243B08"/>
    <w:rsid w:val="00243B55"/>
    <w:rsid w:val="00243B6A"/>
    <w:rsid w:val="00243B6B"/>
    <w:rsid w:val="00243B9C"/>
    <w:rsid w:val="00243BA3"/>
    <w:rsid w:val="00243BA7"/>
    <w:rsid w:val="00243BDD"/>
    <w:rsid w:val="00243BEF"/>
    <w:rsid w:val="00243C0D"/>
    <w:rsid w:val="00243C3E"/>
    <w:rsid w:val="00243C6E"/>
    <w:rsid w:val="00243C98"/>
    <w:rsid w:val="00243CEB"/>
    <w:rsid w:val="00243CF5"/>
    <w:rsid w:val="00243CF6"/>
    <w:rsid w:val="00243CFC"/>
    <w:rsid w:val="00243D4E"/>
    <w:rsid w:val="00243EA1"/>
    <w:rsid w:val="00243EB4"/>
    <w:rsid w:val="00243F3C"/>
    <w:rsid w:val="00243F50"/>
    <w:rsid w:val="00243F6D"/>
    <w:rsid w:val="00243F8F"/>
    <w:rsid w:val="00243FC5"/>
    <w:rsid w:val="00244014"/>
    <w:rsid w:val="00244024"/>
    <w:rsid w:val="00244068"/>
    <w:rsid w:val="00244092"/>
    <w:rsid w:val="0024409E"/>
    <w:rsid w:val="002441E8"/>
    <w:rsid w:val="00244211"/>
    <w:rsid w:val="00244253"/>
    <w:rsid w:val="002442C9"/>
    <w:rsid w:val="00244392"/>
    <w:rsid w:val="002443AC"/>
    <w:rsid w:val="002443B9"/>
    <w:rsid w:val="00244428"/>
    <w:rsid w:val="0024447D"/>
    <w:rsid w:val="0024448F"/>
    <w:rsid w:val="002444D0"/>
    <w:rsid w:val="00244559"/>
    <w:rsid w:val="00244620"/>
    <w:rsid w:val="00244642"/>
    <w:rsid w:val="0024464B"/>
    <w:rsid w:val="002446B1"/>
    <w:rsid w:val="002446BB"/>
    <w:rsid w:val="002446C7"/>
    <w:rsid w:val="002446F0"/>
    <w:rsid w:val="002446F3"/>
    <w:rsid w:val="00244768"/>
    <w:rsid w:val="002447B4"/>
    <w:rsid w:val="002447D2"/>
    <w:rsid w:val="002447E5"/>
    <w:rsid w:val="0024480A"/>
    <w:rsid w:val="00244837"/>
    <w:rsid w:val="00244840"/>
    <w:rsid w:val="002448BB"/>
    <w:rsid w:val="00244964"/>
    <w:rsid w:val="002449F2"/>
    <w:rsid w:val="00244A08"/>
    <w:rsid w:val="00244A31"/>
    <w:rsid w:val="00244A36"/>
    <w:rsid w:val="00244A6C"/>
    <w:rsid w:val="00244A83"/>
    <w:rsid w:val="00244A9C"/>
    <w:rsid w:val="00244B0F"/>
    <w:rsid w:val="00244B55"/>
    <w:rsid w:val="00244BC7"/>
    <w:rsid w:val="00244BCD"/>
    <w:rsid w:val="00244BDA"/>
    <w:rsid w:val="00244BF0"/>
    <w:rsid w:val="00244C06"/>
    <w:rsid w:val="00244CC4"/>
    <w:rsid w:val="00244CF0"/>
    <w:rsid w:val="00244D7B"/>
    <w:rsid w:val="00244DB7"/>
    <w:rsid w:val="00244DC0"/>
    <w:rsid w:val="00244E2F"/>
    <w:rsid w:val="00244F62"/>
    <w:rsid w:val="00244FE3"/>
    <w:rsid w:val="0024502E"/>
    <w:rsid w:val="002450A8"/>
    <w:rsid w:val="002450AA"/>
    <w:rsid w:val="00245132"/>
    <w:rsid w:val="002451CE"/>
    <w:rsid w:val="00245223"/>
    <w:rsid w:val="00245249"/>
    <w:rsid w:val="002452C1"/>
    <w:rsid w:val="002452C9"/>
    <w:rsid w:val="00245318"/>
    <w:rsid w:val="00245328"/>
    <w:rsid w:val="00245418"/>
    <w:rsid w:val="00245475"/>
    <w:rsid w:val="00245490"/>
    <w:rsid w:val="002454CF"/>
    <w:rsid w:val="0024551B"/>
    <w:rsid w:val="00245551"/>
    <w:rsid w:val="00245564"/>
    <w:rsid w:val="0024558C"/>
    <w:rsid w:val="0024558F"/>
    <w:rsid w:val="002455AA"/>
    <w:rsid w:val="002455D4"/>
    <w:rsid w:val="002455F2"/>
    <w:rsid w:val="00245653"/>
    <w:rsid w:val="00245684"/>
    <w:rsid w:val="002456DD"/>
    <w:rsid w:val="0024572A"/>
    <w:rsid w:val="0024579B"/>
    <w:rsid w:val="002457FE"/>
    <w:rsid w:val="00245858"/>
    <w:rsid w:val="0024585A"/>
    <w:rsid w:val="00245880"/>
    <w:rsid w:val="00245881"/>
    <w:rsid w:val="00245882"/>
    <w:rsid w:val="002458A9"/>
    <w:rsid w:val="002458E2"/>
    <w:rsid w:val="0024590D"/>
    <w:rsid w:val="0024598C"/>
    <w:rsid w:val="002459AC"/>
    <w:rsid w:val="002459AD"/>
    <w:rsid w:val="002459C2"/>
    <w:rsid w:val="002459CF"/>
    <w:rsid w:val="002459D4"/>
    <w:rsid w:val="00245A27"/>
    <w:rsid w:val="00245A62"/>
    <w:rsid w:val="00245A80"/>
    <w:rsid w:val="00245A8D"/>
    <w:rsid w:val="00245AEA"/>
    <w:rsid w:val="00245B1C"/>
    <w:rsid w:val="00245B3E"/>
    <w:rsid w:val="00245C35"/>
    <w:rsid w:val="00245C38"/>
    <w:rsid w:val="00245CB2"/>
    <w:rsid w:val="00245CE2"/>
    <w:rsid w:val="00245D35"/>
    <w:rsid w:val="00245DBA"/>
    <w:rsid w:val="00245E07"/>
    <w:rsid w:val="00245E17"/>
    <w:rsid w:val="00245E44"/>
    <w:rsid w:val="00245E77"/>
    <w:rsid w:val="00245EA8"/>
    <w:rsid w:val="00245EFB"/>
    <w:rsid w:val="00245EFD"/>
    <w:rsid w:val="00245F65"/>
    <w:rsid w:val="00245F8A"/>
    <w:rsid w:val="00245F9F"/>
    <w:rsid w:val="00245FBB"/>
    <w:rsid w:val="00245FCF"/>
    <w:rsid w:val="00245FD2"/>
    <w:rsid w:val="0024602D"/>
    <w:rsid w:val="00246034"/>
    <w:rsid w:val="002460AD"/>
    <w:rsid w:val="002460CF"/>
    <w:rsid w:val="002460D6"/>
    <w:rsid w:val="002460EB"/>
    <w:rsid w:val="00246132"/>
    <w:rsid w:val="002461BE"/>
    <w:rsid w:val="0024628F"/>
    <w:rsid w:val="002463AB"/>
    <w:rsid w:val="00246422"/>
    <w:rsid w:val="00246446"/>
    <w:rsid w:val="002464A3"/>
    <w:rsid w:val="002464BA"/>
    <w:rsid w:val="00246640"/>
    <w:rsid w:val="00246789"/>
    <w:rsid w:val="002467AC"/>
    <w:rsid w:val="0024680C"/>
    <w:rsid w:val="0024682D"/>
    <w:rsid w:val="0024691D"/>
    <w:rsid w:val="00246957"/>
    <w:rsid w:val="00246977"/>
    <w:rsid w:val="00246988"/>
    <w:rsid w:val="00246994"/>
    <w:rsid w:val="002469B4"/>
    <w:rsid w:val="002469C0"/>
    <w:rsid w:val="002469E8"/>
    <w:rsid w:val="002469FD"/>
    <w:rsid w:val="00246A0D"/>
    <w:rsid w:val="00246A46"/>
    <w:rsid w:val="00246A61"/>
    <w:rsid w:val="00246A68"/>
    <w:rsid w:val="00246A7E"/>
    <w:rsid w:val="00246B27"/>
    <w:rsid w:val="00246B4F"/>
    <w:rsid w:val="00246B66"/>
    <w:rsid w:val="00246BB9"/>
    <w:rsid w:val="00246CA0"/>
    <w:rsid w:val="00246CC6"/>
    <w:rsid w:val="00246DAD"/>
    <w:rsid w:val="00246DD7"/>
    <w:rsid w:val="00246E39"/>
    <w:rsid w:val="00246EA8"/>
    <w:rsid w:val="00246EDF"/>
    <w:rsid w:val="00246EF0"/>
    <w:rsid w:val="00246F33"/>
    <w:rsid w:val="00246F76"/>
    <w:rsid w:val="00246F78"/>
    <w:rsid w:val="00247059"/>
    <w:rsid w:val="00247077"/>
    <w:rsid w:val="00247092"/>
    <w:rsid w:val="002470CD"/>
    <w:rsid w:val="002471BA"/>
    <w:rsid w:val="002471ED"/>
    <w:rsid w:val="0024726E"/>
    <w:rsid w:val="002472A9"/>
    <w:rsid w:val="00247339"/>
    <w:rsid w:val="0024735F"/>
    <w:rsid w:val="002473BC"/>
    <w:rsid w:val="002473CB"/>
    <w:rsid w:val="002474A2"/>
    <w:rsid w:val="00247503"/>
    <w:rsid w:val="0024757F"/>
    <w:rsid w:val="0024759A"/>
    <w:rsid w:val="002475B4"/>
    <w:rsid w:val="002475BD"/>
    <w:rsid w:val="00247606"/>
    <w:rsid w:val="00247643"/>
    <w:rsid w:val="00247676"/>
    <w:rsid w:val="00247692"/>
    <w:rsid w:val="0024774F"/>
    <w:rsid w:val="0024776A"/>
    <w:rsid w:val="0024786F"/>
    <w:rsid w:val="0024792B"/>
    <w:rsid w:val="00247939"/>
    <w:rsid w:val="00247957"/>
    <w:rsid w:val="002479C7"/>
    <w:rsid w:val="002479DA"/>
    <w:rsid w:val="002479F9"/>
    <w:rsid w:val="00247A49"/>
    <w:rsid w:val="00247A5C"/>
    <w:rsid w:val="00247B74"/>
    <w:rsid w:val="00247BAF"/>
    <w:rsid w:val="00247BF5"/>
    <w:rsid w:val="00247C9C"/>
    <w:rsid w:val="00247CA1"/>
    <w:rsid w:val="00247CBB"/>
    <w:rsid w:val="00247CD6"/>
    <w:rsid w:val="00247D5E"/>
    <w:rsid w:val="00247D62"/>
    <w:rsid w:val="00247D8A"/>
    <w:rsid w:val="00247D9E"/>
    <w:rsid w:val="00247E36"/>
    <w:rsid w:val="00247E87"/>
    <w:rsid w:val="00247EB9"/>
    <w:rsid w:val="00247F22"/>
    <w:rsid w:val="00247F61"/>
    <w:rsid w:val="00247F68"/>
    <w:rsid w:val="00247FDB"/>
    <w:rsid w:val="00250004"/>
    <w:rsid w:val="0025002C"/>
    <w:rsid w:val="00250043"/>
    <w:rsid w:val="0025009C"/>
    <w:rsid w:val="002500BC"/>
    <w:rsid w:val="002500C6"/>
    <w:rsid w:val="002500D9"/>
    <w:rsid w:val="00250180"/>
    <w:rsid w:val="00250278"/>
    <w:rsid w:val="00250288"/>
    <w:rsid w:val="00250311"/>
    <w:rsid w:val="00250359"/>
    <w:rsid w:val="00250370"/>
    <w:rsid w:val="002503AA"/>
    <w:rsid w:val="0025044D"/>
    <w:rsid w:val="002504A4"/>
    <w:rsid w:val="002504B6"/>
    <w:rsid w:val="00250563"/>
    <w:rsid w:val="002505DB"/>
    <w:rsid w:val="002505F9"/>
    <w:rsid w:val="002505FE"/>
    <w:rsid w:val="0025063A"/>
    <w:rsid w:val="0025068C"/>
    <w:rsid w:val="002506FB"/>
    <w:rsid w:val="00250707"/>
    <w:rsid w:val="0025076E"/>
    <w:rsid w:val="0025077D"/>
    <w:rsid w:val="00250792"/>
    <w:rsid w:val="002507F5"/>
    <w:rsid w:val="0025081A"/>
    <w:rsid w:val="0025082D"/>
    <w:rsid w:val="00250854"/>
    <w:rsid w:val="0025085A"/>
    <w:rsid w:val="0025087E"/>
    <w:rsid w:val="00250908"/>
    <w:rsid w:val="00250943"/>
    <w:rsid w:val="00250968"/>
    <w:rsid w:val="00250973"/>
    <w:rsid w:val="00250A08"/>
    <w:rsid w:val="00250A0A"/>
    <w:rsid w:val="00250A1B"/>
    <w:rsid w:val="00250A25"/>
    <w:rsid w:val="00250A49"/>
    <w:rsid w:val="00250AFE"/>
    <w:rsid w:val="00250B10"/>
    <w:rsid w:val="00250B8F"/>
    <w:rsid w:val="00250BAF"/>
    <w:rsid w:val="00250BC2"/>
    <w:rsid w:val="00250BE1"/>
    <w:rsid w:val="00250BEA"/>
    <w:rsid w:val="00250C00"/>
    <w:rsid w:val="00250C55"/>
    <w:rsid w:val="00250C97"/>
    <w:rsid w:val="00250CB8"/>
    <w:rsid w:val="00250CCD"/>
    <w:rsid w:val="00250CE0"/>
    <w:rsid w:val="00250D90"/>
    <w:rsid w:val="00250DB3"/>
    <w:rsid w:val="00250E4A"/>
    <w:rsid w:val="00250E5A"/>
    <w:rsid w:val="00250E93"/>
    <w:rsid w:val="00250ECA"/>
    <w:rsid w:val="00250ED6"/>
    <w:rsid w:val="00250EFE"/>
    <w:rsid w:val="00250FF2"/>
    <w:rsid w:val="00251058"/>
    <w:rsid w:val="0025110F"/>
    <w:rsid w:val="00251154"/>
    <w:rsid w:val="002511B3"/>
    <w:rsid w:val="002511C7"/>
    <w:rsid w:val="002511D1"/>
    <w:rsid w:val="002511F8"/>
    <w:rsid w:val="0025122D"/>
    <w:rsid w:val="00251332"/>
    <w:rsid w:val="002513B0"/>
    <w:rsid w:val="002513CD"/>
    <w:rsid w:val="002513EC"/>
    <w:rsid w:val="00251400"/>
    <w:rsid w:val="0025148B"/>
    <w:rsid w:val="00251508"/>
    <w:rsid w:val="0025152A"/>
    <w:rsid w:val="0025155D"/>
    <w:rsid w:val="0025157A"/>
    <w:rsid w:val="002515B8"/>
    <w:rsid w:val="002515F1"/>
    <w:rsid w:val="0025173E"/>
    <w:rsid w:val="00251771"/>
    <w:rsid w:val="00251776"/>
    <w:rsid w:val="0025177D"/>
    <w:rsid w:val="0025177E"/>
    <w:rsid w:val="0025179C"/>
    <w:rsid w:val="00251835"/>
    <w:rsid w:val="00251880"/>
    <w:rsid w:val="0025193A"/>
    <w:rsid w:val="00251959"/>
    <w:rsid w:val="0025195B"/>
    <w:rsid w:val="00251969"/>
    <w:rsid w:val="002519B3"/>
    <w:rsid w:val="00251A47"/>
    <w:rsid w:val="00251A6C"/>
    <w:rsid w:val="00251A9E"/>
    <w:rsid w:val="00251B2E"/>
    <w:rsid w:val="00251C41"/>
    <w:rsid w:val="00251C65"/>
    <w:rsid w:val="00251C81"/>
    <w:rsid w:val="00251D69"/>
    <w:rsid w:val="00251DA1"/>
    <w:rsid w:val="00251E13"/>
    <w:rsid w:val="00251E21"/>
    <w:rsid w:val="00251E33"/>
    <w:rsid w:val="00251E43"/>
    <w:rsid w:val="00251ED4"/>
    <w:rsid w:val="00251F1F"/>
    <w:rsid w:val="00251FAD"/>
    <w:rsid w:val="00251FEE"/>
    <w:rsid w:val="00252025"/>
    <w:rsid w:val="0025202A"/>
    <w:rsid w:val="0025206C"/>
    <w:rsid w:val="00252078"/>
    <w:rsid w:val="002520A8"/>
    <w:rsid w:val="002520DE"/>
    <w:rsid w:val="00252135"/>
    <w:rsid w:val="002521C3"/>
    <w:rsid w:val="0025224D"/>
    <w:rsid w:val="00252271"/>
    <w:rsid w:val="002522A6"/>
    <w:rsid w:val="002522AB"/>
    <w:rsid w:val="002522BB"/>
    <w:rsid w:val="002522C0"/>
    <w:rsid w:val="0025234C"/>
    <w:rsid w:val="00252425"/>
    <w:rsid w:val="0025244A"/>
    <w:rsid w:val="0025248E"/>
    <w:rsid w:val="002524BB"/>
    <w:rsid w:val="00252522"/>
    <w:rsid w:val="00252560"/>
    <w:rsid w:val="0025256F"/>
    <w:rsid w:val="0025258A"/>
    <w:rsid w:val="00252650"/>
    <w:rsid w:val="0025268E"/>
    <w:rsid w:val="002526C2"/>
    <w:rsid w:val="002526E4"/>
    <w:rsid w:val="002527AD"/>
    <w:rsid w:val="00252823"/>
    <w:rsid w:val="00252846"/>
    <w:rsid w:val="002528C8"/>
    <w:rsid w:val="00252955"/>
    <w:rsid w:val="00252967"/>
    <w:rsid w:val="00252977"/>
    <w:rsid w:val="002529B6"/>
    <w:rsid w:val="00252A84"/>
    <w:rsid w:val="00252AEA"/>
    <w:rsid w:val="00252B00"/>
    <w:rsid w:val="00252E6E"/>
    <w:rsid w:val="00252E91"/>
    <w:rsid w:val="00252EB7"/>
    <w:rsid w:val="00252EBE"/>
    <w:rsid w:val="00252F2B"/>
    <w:rsid w:val="00252F46"/>
    <w:rsid w:val="00252F47"/>
    <w:rsid w:val="00252F4D"/>
    <w:rsid w:val="00252FB8"/>
    <w:rsid w:val="0025302F"/>
    <w:rsid w:val="0025308B"/>
    <w:rsid w:val="002530B0"/>
    <w:rsid w:val="00253138"/>
    <w:rsid w:val="00253190"/>
    <w:rsid w:val="002531A1"/>
    <w:rsid w:val="00253200"/>
    <w:rsid w:val="00253254"/>
    <w:rsid w:val="0025328F"/>
    <w:rsid w:val="002532D2"/>
    <w:rsid w:val="002532D9"/>
    <w:rsid w:val="002532E6"/>
    <w:rsid w:val="00253386"/>
    <w:rsid w:val="002533AA"/>
    <w:rsid w:val="002533E4"/>
    <w:rsid w:val="00253471"/>
    <w:rsid w:val="0025349A"/>
    <w:rsid w:val="002534DB"/>
    <w:rsid w:val="00253520"/>
    <w:rsid w:val="00253548"/>
    <w:rsid w:val="002535C3"/>
    <w:rsid w:val="00253652"/>
    <w:rsid w:val="00253697"/>
    <w:rsid w:val="00253709"/>
    <w:rsid w:val="0025379A"/>
    <w:rsid w:val="002537AF"/>
    <w:rsid w:val="002537D0"/>
    <w:rsid w:val="00253809"/>
    <w:rsid w:val="0025380C"/>
    <w:rsid w:val="00253886"/>
    <w:rsid w:val="002538D7"/>
    <w:rsid w:val="002538FB"/>
    <w:rsid w:val="002539B0"/>
    <w:rsid w:val="002539D6"/>
    <w:rsid w:val="002539D7"/>
    <w:rsid w:val="002539E0"/>
    <w:rsid w:val="002539EF"/>
    <w:rsid w:val="002539F1"/>
    <w:rsid w:val="00253AB5"/>
    <w:rsid w:val="00253AC4"/>
    <w:rsid w:val="00253AF3"/>
    <w:rsid w:val="00253BD8"/>
    <w:rsid w:val="00253BF0"/>
    <w:rsid w:val="00253CB0"/>
    <w:rsid w:val="00253D1E"/>
    <w:rsid w:val="00253DFF"/>
    <w:rsid w:val="00253E40"/>
    <w:rsid w:val="00253E76"/>
    <w:rsid w:val="00253E8B"/>
    <w:rsid w:val="00253E95"/>
    <w:rsid w:val="00253EBB"/>
    <w:rsid w:val="00253EDE"/>
    <w:rsid w:val="00253F00"/>
    <w:rsid w:val="00253F1A"/>
    <w:rsid w:val="00253F49"/>
    <w:rsid w:val="00253F6A"/>
    <w:rsid w:val="00253F76"/>
    <w:rsid w:val="00253FC5"/>
    <w:rsid w:val="00253FCD"/>
    <w:rsid w:val="00253FD6"/>
    <w:rsid w:val="00253FF1"/>
    <w:rsid w:val="00254063"/>
    <w:rsid w:val="00254071"/>
    <w:rsid w:val="002540AD"/>
    <w:rsid w:val="002540F5"/>
    <w:rsid w:val="00254132"/>
    <w:rsid w:val="002541AC"/>
    <w:rsid w:val="002541D3"/>
    <w:rsid w:val="00254236"/>
    <w:rsid w:val="00254310"/>
    <w:rsid w:val="00254324"/>
    <w:rsid w:val="00254366"/>
    <w:rsid w:val="0025438D"/>
    <w:rsid w:val="002543A1"/>
    <w:rsid w:val="002543F9"/>
    <w:rsid w:val="00254407"/>
    <w:rsid w:val="00254418"/>
    <w:rsid w:val="002544CB"/>
    <w:rsid w:val="002545CB"/>
    <w:rsid w:val="0025466B"/>
    <w:rsid w:val="002546CA"/>
    <w:rsid w:val="0025472F"/>
    <w:rsid w:val="00254743"/>
    <w:rsid w:val="0025474A"/>
    <w:rsid w:val="00254756"/>
    <w:rsid w:val="00254773"/>
    <w:rsid w:val="002547AD"/>
    <w:rsid w:val="00254821"/>
    <w:rsid w:val="00254936"/>
    <w:rsid w:val="0025494A"/>
    <w:rsid w:val="002549A7"/>
    <w:rsid w:val="002549B0"/>
    <w:rsid w:val="00254A05"/>
    <w:rsid w:val="00254A4E"/>
    <w:rsid w:val="00254A88"/>
    <w:rsid w:val="00254A8B"/>
    <w:rsid w:val="00254B57"/>
    <w:rsid w:val="00254B79"/>
    <w:rsid w:val="00254BC2"/>
    <w:rsid w:val="00254C48"/>
    <w:rsid w:val="00254C54"/>
    <w:rsid w:val="00254C5E"/>
    <w:rsid w:val="00254C61"/>
    <w:rsid w:val="00254C6D"/>
    <w:rsid w:val="00254D53"/>
    <w:rsid w:val="00254DBE"/>
    <w:rsid w:val="00254DD6"/>
    <w:rsid w:val="00254DD7"/>
    <w:rsid w:val="00254DF3"/>
    <w:rsid w:val="00254E86"/>
    <w:rsid w:val="00254E87"/>
    <w:rsid w:val="00254EBD"/>
    <w:rsid w:val="00254ED6"/>
    <w:rsid w:val="00255000"/>
    <w:rsid w:val="0025504F"/>
    <w:rsid w:val="00255096"/>
    <w:rsid w:val="002550A5"/>
    <w:rsid w:val="002550B1"/>
    <w:rsid w:val="002550C9"/>
    <w:rsid w:val="002550D2"/>
    <w:rsid w:val="002550DA"/>
    <w:rsid w:val="00255115"/>
    <w:rsid w:val="002551FD"/>
    <w:rsid w:val="002552F9"/>
    <w:rsid w:val="00255325"/>
    <w:rsid w:val="0025532C"/>
    <w:rsid w:val="0025536D"/>
    <w:rsid w:val="002553B5"/>
    <w:rsid w:val="002553E9"/>
    <w:rsid w:val="00255434"/>
    <w:rsid w:val="00255456"/>
    <w:rsid w:val="00255457"/>
    <w:rsid w:val="0025548D"/>
    <w:rsid w:val="002554A4"/>
    <w:rsid w:val="00255500"/>
    <w:rsid w:val="00255558"/>
    <w:rsid w:val="0025558E"/>
    <w:rsid w:val="00255638"/>
    <w:rsid w:val="00255757"/>
    <w:rsid w:val="00255786"/>
    <w:rsid w:val="00255816"/>
    <w:rsid w:val="00255832"/>
    <w:rsid w:val="00255844"/>
    <w:rsid w:val="002558A3"/>
    <w:rsid w:val="002558B4"/>
    <w:rsid w:val="002558E8"/>
    <w:rsid w:val="00255A23"/>
    <w:rsid w:val="00255A2E"/>
    <w:rsid w:val="00255A3D"/>
    <w:rsid w:val="00255A41"/>
    <w:rsid w:val="00255A65"/>
    <w:rsid w:val="00255A6C"/>
    <w:rsid w:val="00255A77"/>
    <w:rsid w:val="00255A91"/>
    <w:rsid w:val="00255AE7"/>
    <w:rsid w:val="00255B83"/>
    <w:rsid w:val="00255BD3"/>
    <w:rsid w:val="00255BF1"/>
    <w:rsid w:val="00255C46"/>
    <w:rsid w:val="00255C49"/>
    <w:rsid w:val="00255D4A"/>
    <w:rsid w:val="00255E55"/>
    <w:rsid w:val="00255F5A"/>
    <w:rsid w:val="00255F91"/>
    <w:rsid w:val="00256088"/>
    <w:rsid w:val="0025608C"/>
    <w:rsid w:val="002560BB"/>
    <w:rsid w:val="00256111"/>
    <w:rsid w:val="0025616C"/>
    <w:rsid w:val="0025617F"/>
    <w:rsid w:val="00256180"/>
    <w:rsid w:val="002561ED"/>
    <w:rsid w:val="002562E3"/>
    <w:rsid w:val="0025632E"/>
    <w:rsid w:val="00256350"/>
    <w:rsid w:val="00256431"/>
    <w:rsid w:val="00256453"/>
    <w:rsid w:val="00256459"/>
    <w:rsid w:val="002564E7"/>
    <w:rsid w:val="00256504"/>
    <w:rsid w:val="0025654C"/>
    <w:rsid w:val="002565E2"/>
    <w:rsid w:val="002565E7"/>
    <w:rsid w:val="00256616"/>
    <w:rsid w:val="00256635"/>
    <w:rsid w:val="00256636"/>
    <w:rsid w:val="0025687F"/>
    <w:rsid w:val="0025692B"/>
    <w:rsid w:val="002569DD"/>
    <w:rsid w:val="00256A57"/>
    <w:rsid w:val="00256A83"/>
    <w:rsid w:val="00256AC2"/>
    <w:rsid w:val="00256AF6"/>
    <w:rsid w:val="00256B6D"/>
    <w:rsid w:val="00256B6E"/>
    <w:rsid w:val="00256B86"/>
    <w:rsid w:val="00256BAD"/>
    <w:rsid w:val="00256C0A"/>
    <w:rsid w:val="00256C4E"/>
    <w:rsid w:val="00256C5D"/>
    <w:rsid w:val="00256CD1"/>
    <w:rsid w:val="00256D03"/>
    <w:rsid w:val="00256D97"/>
    <w:rsid w:val="00256DAE"/>
    <w:rsid w:val="00256E6F"/>
    <w:rsid w:val="00256EA0"/>
    <w:rsid w:val="00256EAB"/>
    <w:rsid w:val="00257056"/>
    <w:rsid w:val="002570A9"/>
    <w:rsid w:val="002570B7"/>
    <w:rsid w:val="002570EC"/>
    <w:rsid w:val="0025712C"/>
    <w:rsid w:val="00257142"/>
    <w:rsid w:val="00257160"/>
    <w:rsid w:val="00257188"/>
    <w:rsid w:val="0025718C"/>
    <w:rsid w:val="002571AC"/>
    <w:rsid w:val="0025728F"/>
    <w:rsid w:val="002572EE"/>
    <w:rsid w:val="002573CC"/>
    <w:rsid w:val="00257495"/>
    <w:rsid w:val="002574C5"/>
    <w:rsid w:val="002575D3"/>
    <w:rsid w:val="002575D8"/>
    <w:rsid w:val="00257662"/>
    <w:rsid w:val="002576C4"/>
    <w:rsid w:val="002576F0"/>
    <w:rsid w:val="002577C4"/>
    <w:rsid w:val="002577DE"/>
    <w:rsid w:val="002577E5"/>
    <w:rsid w:val="00257838"/>
    <w:rsid w:val="002578DC"/>
    <w:rsid w:val="00257912"/>
    <w:rsid w:val="00257933"/>
    <w:rsid w:val="00257963"/>
    <w:rsid w:val="00257980"/>
    <w:rsid w:val="002579EE"/>
    <w:rsid w:val="00257A69"/>
    <w:rsid w:val="00257A92"/>
    <w:rsid w:val="00257A9C"/>
    <w:rsid w:val="00257ABB"/>
    <w:rsid w:val="00257B71"/>
    <w:rsid w:val="00257BF1"/>
    <w:rsid w:val="00257C10"/>
    <w:rsid w:val="00257C34"/>
    <w:rsid w:val="00257C3E"/>
    <w:rsid w:val="00257CA3"/>
    <w:rsid w:val="00257CE4"/>
    <w:rsid w:val="00257D31"/>
    <w:rsid w:val="00257D41"/>
    <w:rsid w:val="00257DC0"/>
    <w:rsid w:val="00257DE4"/>
    <w:rsid w:val="00257DF2"/>
    <w:rsid w:val="00257E28"/>
    <w:rsid w:val="00257E52"/>
    <w:rsid w:val="00257E82"/>
    <w:rsid w:val="00257F4C"/>
    <w:rsid w:val="00257F7B"/>
    <w:rsid w:val="00257FB7"/>
    <w:rsid w:val="0026005B"/>
    <w:rsid w:val="002600A2"/>
    <w:rsid w:val="002600C4"/>
    <w:rsid w:val="002600D6"/>
    <w:rsid w:val="002600FD"/>
    <w:rsid w:val="00260108"/>
    <w:rsid w:val="00260146"/>
    <w:rsid w:val="002601DA"/>
    <w:rsid w:val="002601DD"/>
    <w:rsid w:val="0026022A"/>
    <w:rsid w:val="00260264"/>
    <w:rsid w:val="002602F5"/>
    <w:rsid w:val="00260308"/>
    <w:rsid w:val="002603D4"/>
    <w:rsid w:val="002603E4"/>
    <w:rsid w:val="00260423"/>
    <w:rsid w:val="00260494"/>
    <w:rsid w:val="002604FD"/>
    <w:rsid w:val="00260586"/>
    <w:rsid w:val="0026058F"/>
    <w:rsid w:val="00260622"/>
    <w:rsid w:val="00260652"/>
    <w:rsid w:val="00260668"/>
    <w:rsid w:val="002606A7"/>
    <w:rsid w:val="002606BB"/>
    <w:rsid w:val="00260749"/>
    <w:rsid w:val="002607E6"/>
    <w:rsid w:val="002607F7"/>
    <w:rsid w:val="0026080B"/>
    <w:rsid w:val="00260833"/>
    <w:rsid w:val="002608A3"/>
    <w:rsid w:val="002608D8"/>
    <w:rsid w:val="002609A4"/>
    <w:rsid w:val="00260A05"/>
    <w:rsid w:val="00260A0C"/>
    <w:rsid w:val="00260A16"/>
    <w:rsid w:val="00260A26"/>
    <w:rsid w:val="00260A52"/>
    <w:rsid w:val="00260A6A"/>
    <w:rsid w:val="00260A8D"/>
    <w:rsid w:val="00260AC9"/>
    <w:rsid w:val="00260B0E"/>
    <w:rsid w:val="00260B3F"/>
    <w:rsid w:val="00260B41"/>
    <w:rsid w:val="00260B70"/>
    <w:rsid w:val="00260B7A"/>
    <w:rsid w:val="00260BC0"/>
    <w:rsid w:val="00260BCC"/>
    <w:rsid w:val="00260BF7"/>
    <w:rsid w:val="00260C13"/>
    <w:rsid w:val="00260C21"/>
    <w:rsid w:val="00260C66"/>
    <w:rsid w:val="00260C79"/>
    <w:rsid w:val="00260CAA"/>
    <w:rsid w:val="00260CDB"/>
    <w:rsid w:val="00260CE0"/>
    <w:rsid w:val="00260D12"/>
    <w:rsid w:val="00260D1A"/>
    <w:rsid w:val="00260D29"/>
    <w:rsid w:val="00260D80"/>
    <w:rsid w:val="00260D8D"/>
    <w:rsid w:val="00260DC1"/>
    <w:rsid w:val="00260DD5"/>
    <w:rsid w:val="00260E1B"/>
    <w:rsid w:val="00260E54"/>
    <w:rsid w:val="00260EF5"/>
    <w:rsid w:val="00260F2D"/>
    <w:rsid w:val="00260FDF"/>
    <w:rsid w:val="00260FFA"/>
    <w:rsid w:val="002610A3"/>
    <w:rsid w:val="002610A5"/>
    <w:rsid w:val="002610ED"/>
    <w:rsid w:val="00261107"/>
    <w:rsid w:val="00261118"/>
    <w:rsid w:val="00261136"/>
    <w:rsid w:val="00261148"/>
    <w:rsid w:val="0026121D"/>
    <w:rsid w:val="00261239"/>
    <w:rsid w:val="0026126A"/>
    <w:rsid w:val="0026126F"/>
    <w:rsid w:val="00261282"/>
    <w:rsid w:val="00261285"/>
    <w:rsid w:val="002612AC"/>
    <w:rsid w:val="00261398"/>
    <w:rsid w:val="002613AC"/>
    <w:rsid w:val="00261477"/>
    <w:rsid w:val="0026147C"/>
    <w:rsid w:val="002614A9"/>
    <w:rsid w:val="002614AD"/>
    <w:rsid w:val="00261509"/>
    <w:rsid w:val="0026150E"/>
    <w:rsid w:val="00261512"/>
    <w:rsid w:val="0026152F"/>
    <w:rsid w:val="00261580"/>
    <w:rsid w:val="002615D8"/>
    <w:rsid w:val="0026161E"/>
    <w:rsid w:val="0026165E"/>
    <w:rsid w:val="00261796"/>
    <w:rsid w:val="002617E8"/>
    <w:rsid w:val="002617F8"/>
    <w:rsid w:val="00261843"/>
    <w:rsid w:val="0026185B"/>
    <w:rsid w:val="002618BF"/>
    <w:rsid w:val="002619AD"/>
    <w:rsid w:val="002619B5"/>
    <w:rsid w:val="00261A0E"/>
    <w:rsid w:val="00261A42"/>
    <w:rsid w:val="00261A43"/>
    <w:rsid w:val="00261A50"/>
    <w:rsid w:val="00261AA5"/>
    <w:rsid w:val="00261AAD"/>
    <w:rsid w:val="00261AFD"/>
    <w:rsid w:val="00261B06"/>
    <w:rsid w:val="00261B17"/>
    <w:rsid w:val="00261B4A"/>
    <w:rsid w:val="00261B96"/>
    <w:rsid w:val="00261C00"/>
    <w:rsid w:val="00261C75"/>
    <w:rsid w:val="00261C8D"/>
    <w:rsid w:val="00261CF5"/>
    <w:rsid w:val="00261D23"/>
    <w:rsid w:val="00261D6E"/>
    <w:rsid w:val="00261D7E"/>
    <w:rsid w:val="00261D8B"/>
    <w:rsid w:val="00261E0A"/>
    <w:rsid w:val="00261E0F"/>
    <w:rsid w:val="00261E46"/>
    <w:rsid w:val="00261E7F"/>
    <w:rsid w:val="00261EBF"/>
    <w:rsid w:val="00261F61"/>
    <w:rsid w:val="00261FD2"/>
    <w:rsid w:val="00261FD7"/>
    <w:rsid w:val="00261FE9"/>
    <w:rsid w:val="00262014"/>
    <w:rsid w:val="00262089"/>
    <w:rsid w:val="002620D8"/>
    <w:rsid w:val="002620F2"/>
    <w:rsid w:val="002621AE"/>
    <w:rsid w:val="00262207"/>
    <w:rsid w:val="00262222"/>
    <w:rsid w:val="00262224"/>
    <w:rsid w:val="0026226C"/>
    <w:rsid w:val="0026228C"/>
    <w:rsid w:val="002622A5"/>
    <w:rsid w:val="00262300"/>
    <w:rsid w:val="0026234D"/>
    <w:rsid w:val="00262360"/>
    <w:rsid w:val="002623A4"/>
    <w:rsid w:val="002623A7"/>
    <w:rsid w:val="002623B0"/>
    <w:rsid w:val="002623B8"/>
    <w:rsid w:val="002623D1"/>
    <w:rsid w:val="002623DF"/>
    <w:rsid w:val="00262411"/>
    <w:rsid w:val="00262438"/>
    <w:rsid w:val="00262454"/>
    <w:rsid w:val="00262462"/>
    <w:rsid w:val="0026248F"/>
    <w:rsid w:val="002624CD"/>
    <w:rsid w:val="002624F6"/>
    <w:rsid w:val="002624F8"/>
    <w:rsid w:val="00262519"/>
    <w:rsid w:val="0026253E"/>
    <w:rsid w:val="00262560"/>
    <w:rsid w:val="00262565"/>
    <w:rsid w:val="002625C9"/>
    <w:rsid w:val="00262722"/>
    <w:rsid w:val="00262765"/>
    <w:rsid w:val="002627CB"/>
    <w:rsid w:val="002627D5"/>
    <w:rsid w:val="0026283F"/>
    <w:rsid w:val="00262878"/>
    <w:rsid w:val="0026287F"/>
    <w:rsid w:val="00262926"/>
    <w:rsid w:val="00262956"/>
    <w:rsid w:val="002629B9"/>
    <w:rsid w:val="002629DD"/>
    <w:rsid w:val="002629F5"/>
    <w:rsid w:val="00262A30"/>
    <w:rsid w:val="00262A42"/>
    <w:rsid w:val="00262A5D"/>
    <w:rsid w:val="00262A78"/>
    <w:rsid w:val="00262AB1"/>
    <w:rsid w:val="00262AE9"/>
    <w:rsid w:val="00262BF1"/>
    <w:rsid w:val="00262BFB"/>
    <w:rsid w:val="00262C36"/>
    <w:rsid w:val="00262D3B"/>
    <w:rsid w:val="00262DC4"/>
    <w:rsid w:val="00262DF3"/>
    <w:rsid w:val="00262F25"/>
    <w:rsid w:val="00262F47"/>
    <w:rsid w:val="00262F8B"/>
    <w:rsid w:val="00263007"/>
    <w:rsid w:val="0026303B"/>
    <w:rsid w:val="00263066"/>
    <w:rsid w:val="002630DB"/>
    <w:rsid w:val="0026313D"/>
    <w:rsid w:val="002631CA"/>
    <w:rsid w:val="00263236"/>
    <w:rsid w:val="00263261"/>
    <w:rsid w:val="00263287"/>
    <w:rsid w:val="002632A1"/>
    <w:rsid w:val="0026331E"/>
    <w:rsid w:val="0026332A"/>
    <w:rsid w:val="0026332B"/>
    <w:rsid w:val="00263414"/>
    <w:rsid w:val="0026344D"/>
    <w:rsid w:val="00263486"/>
    <w:rsid w:val="0026352C"/>
    <w:rsid w:val="00263635"/>
    <w:rsid w:val="0026363C"/>
    <w:rsid w:val="0026367A"/>
    <w:rsid w:val="0026367F"/>
    <w:rsid w:val="002636AC"/>
    <w:rsid w:val="00263701"/>
    <w:rsid w:val="0026370A"/>
    <w:rsid w:val="0026372E"/>
    <w:rsid w:val="00263757"/>
    <w:rsid w:val="002637D8"/>
    <w:rsid w:val="00263825"/>
    <w:rsid w:val="0026384A"/>
    <w:rsid w:val="0026385F"/>
    <w:rsid w:val="002638C5"/>
    <w:rsid w:val="002638F5"/>
    <w:rsid w:val="00263906"/>
    <w:rsid w:val="0026390F"/>
    <w:rsid w:val="00263933"/>
    <w:rsid w:val="00263AA1"/>
    <w:rsid w:val="00263B0F"/>
    <w:rsid w:val="00263B28"/>
    <w:rsid w:val="00263B97"/>
    <w:rsid w:val="00263BC3"/>
    <w:rsid w:val="00263C3B"/>
    <w:rsid w:val="00263C63"/>
    <w:rsid w:val="00263D42"/>
    <w:rsid w:val="00263D72"/>
    <w:rsid w:val="00263ECB"/>
    <w:rsid w:val="00263F1C"/>
    <w:rsid w:val="00263F7D"/>
    <w:rsid w:val="00263FA2"/>
    <w:rsid w:val="00263FA6"/>
    <w:rsid w:val="00264038"/>
    <w:rsid w:val="00264079"/>
    <w:rsid w:val="0026409D"/>
    <w:rsid w:val="0026413E"/>
    <w:rsid w:val="002641AF"/>
    <w:rsid w:val="00264233"/>
    <w:rsid w:val="0026423D"/>
    <w:rsid w:val="0026425C"/>
    <w:rsid w:val="00264291"/>
    <w:rsid w:val="002642AA"/>
    <w:rsid w:val="002642CA"/>
    <w:rsid w:val="002642E7"/>
    <w:rsid w:val="00264320"/>
    <w:rsid w:val="002643C8"/>
    <w:rsid w:val="00264418"/>
    <w:rsid w:val="0026449B"/>
    <w:rsid w:val="002644B8"/>
    <w:rsid w:val="00264541"/>
    <w:rsid w:val="00264548"/>
    <w:rsid w:val="0026454F"/>
    <w:rsid w:val="0026456C"/>
    <w:rsid w:val="002645FC"/>
    <w:rsid w:val="00264649"/>
    <w:rsid w:val="00264664"/>
    <w:rsid w:val="00264672"/>
    <w:rsid w:val="002646FB"/>
    <w:rsid w:val="00264700"/>
    <w:rsid w:val="00264749"/>
    <w:rsid w:val="00264766"/>
    <w:rsid w:val="002647ED"/>
    <w:rsid w:val="00264848"/>
    <w:rsid w:val="00264863"/>
    <w:rsid w:val="00264876"/>
    <w:rsid w:val="002648A0"/>
    <w:rsid w:val="002648B4"/>
    <w:rsid w:val="002648F5"/>
    <w:rsid w:val="00264908"/>
    <w:rsid w:val="00264920"/>
    <w:rsid w:val="00264923"/>
    <w:rsid w:val="0026493C"/>
    <w:rsid w:val="00264941"/>
    <w:rsid w:val="00264986"/>
    <w:rsid w:val="0026499D"/>
    <w:rsid w:val="002649A1"/>
    <w:rsid w:val="002649C1"/>
    <w:rsid w:val="002649C9"/>
    <w:rsid w:val="002649DB"/>
    <w:rsid w:val="002649E3"/>
    <w:rsid w:val="002649E7"/>
    <w:rsid w:val="00264A01"/>
    <w:rsid w:val="00264A06"/>
    <w:rsid w:val="00264A43"/>
    <w:rsid w:val="00264A7E"/>
    <w:rsid w:val="00264A96"/>
    <w:rsid w:val="00264AB7"/>
    <w:rsid w:val="00264AE9"/>
    <w:rsid w:val="00264B1B"/>
    <w:rsid w:val="00264B22"/>
    <w:rsid w:val="00264BC1"/>
    <w:rsid w:val="00264C37"/>
    <w:rsid w:val="00264CAD"/>
    <w:rsid w:val="00264D3A"/>
    <w:rsid w:val="00264D55"/>
    <w:rsid w:val="00264D69"/>
    <w:rsid w:val="00264DA0"/>
    <w:rsid w:val="00264DA8"/>
    <w:rsid w:val="00264EC6"/>
    <w:rsid w:val="00264ECB"/>
    <w:rsid w:val="00264F43"/>
    <w:rsid w:val="00264FAB"/>
    <w:rsid w:val="00264FB9"/>
    <w:rsid w:val="00264FD1"/>
    <w:rsid w:val="00264FDD"/>
    <w:rsid w:val="00265030"/>
    <w:rsid w:val="002650BD"/>
    <w:rsid w:val="002650C1"/>
    <w:rsid w:val="002650FE"/>
    <w:rsid w:val="00265124"/>
    <w:rsid w:val="00265140"/>
    <w:rsid w:val="00265165"/>
    <w:rsid w:val="0026519C"/>
    <w:rsid w:val="0026519D"/>
    <w:rsid w:val="002651B9"/>
    <w:rsid w:val="002651EC"/>
    <w:rsid w:val="00265235"/>
    <w:rsid w:val="00265242"/>
    <w:rsid w:val="002652AC"/>
    <w:rsid w:val="002652D6"/>
    <w:rsid w:val="00265381"/>
    <w:rsid w:val="0026539A"/>
    <w:rsid w:val="002653D7"/>
    <w:rsid w:val="002653E7"/>
    <w:rsid w:val="00265488"/>
    <w:rsid w:val="0026553D"/>
    <w:rsid w:val="0026555A"/>
    <w:rsid w:val="0026555D"/>
    <w:rsid w:val="00265587"/>
    <w:rsid w:val="002655E6"/>
    <w:rsid w:val="0026562B"/>
    <w:rsid w:val="0026566C"/>
    <w:rsid w:val="002656B0"/>
    <w:rsid w:val="002656D9"/>
    <w:rsid w:val="002657D4"/>
    <w:rsid w:val="00265821"/>
    <w:rsid w:val="002658B5"/>
    <w:rsid w:val="002658C0"/>
    <w:rsid w:val="002658C6"/>
    <w:rsid w:val="0026590D"/>
    <w:rsid w:val="00265914"/>
    <w:rsid w:val="00265933"/>
    <w:rsid w:val="00265968"/>
    <w:rsid w:val="0026598D"/>
    <w:rsid w:val="002659B1"/>
    <w:rsid w:val="002659B7"/>
    <w:rsid w:val="00265A23"/>
    <w:rsid w:val="00265A33"/>
    <w:rsid w:val="00265A67"/>
    <w:rsid w:val="00265A7C"/>
    <w:rsid w:val="00265BA9"/>
    <w:rsid w:val="00265BBD"/>
    <w:rsid w:val="00265BD3"/>
    <w:rsid w:val="00265BDC"/>
    <w:rsid w:val="00265C1F"/>
    <w:rsid w:val="00265C44"/>
    <w:rsid w:val="00265CF9"/>
    <w:rsid w:val="00265D63"/>
    <w:rsid w:val="00265E15"/>
    <w:rsid w:val="00265F36"/>
    <w:rsid w:val="002660E6"/>
    <w:rsid w:val="00266115"/>
    <w:rsid w:val="0026611F"/>
    <w:rsid w:val="00266136"/>
    <w:rsid w:val="00266152"/>
    <w:rsid w:val="0026618A"/>
    <w:rsid w:val="00266233"/>
    <w:rsid w:val="0026624C"/>
    <w:rsid w:val="00266279"/>
    <w:rsid w:val="00266297"/>
    <w:rsid w:val="00266351"/>
    <w:rsid w:val="00266367"/>
    <w:rsid w:val="00266368"/>
    <w:rsid w:val="0026636D"/>
    <w:rsid w:val="002663EC"/>
    <w:rsid w:val="002663FC"/>
    <w:rsid w:val="00266470"/>
    <w:rsid w:val="002664DA"/>
    <w:rsid w:val="00266507"/>
    <w:rsid w:val="00266589"/>
    <w:rsid w:val="002665D1"/>
    <w:rsid w:val="002665D4"/>
    <w:rsid w:val="0026662A"/>
    <w:rsid w:val="00266649"/>
    <w:rsid w:val="00266670"/>
    <w:rsid w:val="0026668E"/>
    <w:rsid w:val="0026669F"/>
    <w:rsid w:val="002666B3"/>
    <w:rsid w:val="002666B4"/>
    <w:rsid w:val="002666D8"/>
    <w:rsid w:val="00266701"/>
    <w:rsid w:val="00266713"/>
    <w:rsid w:val="0026673A"/>
    <w:rsid w:val="002667F3"/>
    <w:rsid w:val="002667FD"/>
    <w:rsid w:val="0026683A"/>
    <w:rsid w:val="00266840"/>
    <w:rsid w:val="002668C1"/>
    <w:rsid w:val="002668EE"/>
    <w:rsid w:val="00266908"/>
    <w:rsid w:val="0026690F"/>
    <w:rsid w:val="0026691D"/>
    <w:rsid w:val="00266A03"/>
    <w:rsid w:val="00266A2D"/>
    <w:rsid w:val="00266AFA"/>
    <w:rsid w:val="00266B6E"/>
    <w:rsid w:val="00266BCC"/>
    <w:rsid w:val="00266BF1"/>
    <w:rsid w:val="00266C3A"/>
    <w:rsid w:val="00266C44"/>
    <w:rsid w:val="00266C5C"/>
    <w:rsid w:val="00266D05"/>
    <w:rsid w:val="00266D7A"/>
    <w:rsid w:val="00266D86"/>
    <w:rsid w:val="00266E40"/>
    <w:rsid w:val="00266E63"/>
    <w:rsid w:val="00266E76"/>
    <w:rsid w:val="00266E88"/>
    <w:rsid w:val="00266EBE"/>
    <w:rsid w:val="00266F11"/>
    <w:rsid w:val="00266FED"/>
    <w:rsid w:val="0026705F"/>
    <w:rsid w:val="00267067"/>
    <w:rsid w:val="00267123"/>
    <w:rsid w:val="0026714B"/>
    <w:rsid w:val="002671AD"/>
    <w:rsid w:val="002671B4"/>
    <w:rsid w:val="002671D5"/>
    <w:rsid w:val="00267215"/>
    <w:rsid w:val="0026722E"/>
    <w:rsid w:val="00267251"/>
    <w:rsid w:val="002672A0"/>
    <w:rsid w:val="0026733C"/>
    <w:rsid w:val="00267384"/>
    <w:rsid w:val="0026740A"/>
    <w:rsid w:val="0026742C"/>
    <w:rsid w:val="00267433"/>
    <w:rsid w:val="00267475"/>
    <w:rsid w:val="002674B1"/>
    <w:rsid w:val="002674BE"/>
    <w:rsid w:val="0026757C"/>
    <w:rsid w:val="00267586"/>
    <w:rsid w:val="0026759D"/>
    <w:rsid w:val="002675AC"/>
    <w:rsid w:val="002675F0"/>
    <w:rsid w:val="0026768D"/>
    <w:rsid w:val="002676BF"/>
    <w:rsid w:val="002676E8"/>
    <w:rsid w:val="00267704"/>
    <w:rsid w:val="0026770F"/>
    <w:rsid w:val="00267711"/>
    <w:rsid w:val="002677D0"/>
    <w:rsid w:val="002677F0"/>
    <w:rsid w:val="00267854"/>
    <w:rsid w:val="00267868"/>
    <w:rsid w:val="002678AF"/>
    <w:rsid w:val="002678CA"/>
    <w:rsid w:val="00267910"/>
    <w:rsid w:val="0026793A"/>
    <w:rsid w:val="002679BB"/>
    <w:rsid w:val="00267A14"/>
    <w:rsid w:val="00267A1A"/>
    <w:rsid w:val="00267AE8"/>
    <w:rsid w:val="00267B21"/>
    <w:rsid w:val="00267B5F"/>
    <w:rsid w:val="00267C24"/>
    <w:rsid w:val="00267C8B"/>
    <w:rsid w:val="00267CA5"/>
    <w:rsid w:val="00267CAD"/>
    <w:rsid w:val="00267D47"/>
    <w:rsid w:val="00267D76"/>
    <w:rsid w:val="00267D7A"/>
    <w:rsid w:val="00267E78"/>
    <w:rsid w:val="00267E88"/>
    <w:rsid w:val="00267E89"/>
    <w:rsid w:val="00267ED7"/>
    <w:rsid w:val="00267F9C"/>
    <w:rsid w:val="00270050"/>
    <w:rsid w:val="0027009B"/>
    <w:rsid w:val="002700E1"/>
    <w:rsid w:val="002700E4"/>
    <w:rsid w:val="002700F2"/>
    <w:rsid w:val="00270143"/>
    <w:rsid w:val="002701CA"/>
    <w:rsid w:val="002702EB"/>
    <w:rsid w:val="0027032C"/>
    <w:rsid w:val="0027038D"/>
    <w:rsid w:val="002703BE"/>
    <w:rsid w:val="002703C1"/>
    <w:rsid w:val="002703CB"/>
    <w:rsid w:val="002703D3"/>
    <w:rsid w:val="00270401"/>
    <w:rsid w:val="0027043C"/>
    <w:rsid w:val="0027043D"/>
    <w:rsid w:val="002704AB"/>
    <w:rsid w:val="002705D5"/>
    <w:rsid w:val="002705E9"/>
    <w:rsid w:val="002705EE"/>
    <w:rsid w:val="00270612"/>
    <w:rsid w:val="0027064C"/>
    <w:rsid w:val="002706A0"/>
    <w:rsid w:val="002706A2"/>
    <w:rsid w:val="002707E8"/>
    <w:rsid w:val="0027081B"/>
    <w:rsid w:val="0027083B"/>
    <w:rsid w:val="0027084B"/>
    <w:rsid w:val="00270856"/>
    <w:rsid w:val="00270897"/>
    <w:rsid w:val="002708EE"/>
    <w:rsid w:val="0027093E"/>
    <w:rsid w:val="0027096A"/>
    <w:rsid w:val="00270A55"/>
    <w:rsid w:val="00270A74"/>
    <w:rsid w:val="00270AA3"/>
    <w:rsid w:val="00270AAE"/>
    <w:rsid w:val="00270B29"/>
    <w:rsid w:val="00270B68"/>
    <w:rsid w:val="00270C33"/>
    <w:rsid w:val="00270C35"/>
    <w:rsid w:val="00270C4E"/>
    <w:rsid w:val="00270C7B"/>
    <w:rsid w:val="00270CBF"/>
    <w:rsid w:val="00270CC5"/>
    <w:rsid w:val="00270CD2"/>
    <w:rsid w:val="00270D6A"/>
    <w:rsid w:val="00270DBB"/>
    <w:rsid w:val="00270E07"/>
    <w:rsid w:val="00270E17"/>
    <w:rsid w:val="00270E68"/>
    <w:rsid w:val="00270E89"/>
    <w:rsid w:val="00270E90"/>
    <w:rsid w:val="00270EF6"/>
    <w:rsid w:val="00270EFC"/>
    <w:rsid w:val="00270F03"/>
    <w:rsid w:val="00270F20"/>
    <w:rsid w:val="00270F3F"/>
    <w:rsid w:val="00270F4E"/>
    <w:rsid w:val="00270F6B"/>
    <w:rsid w:val="00270FAF"/>
    <w:rsid w:val="00270FC3"/>
    <w:rsid w:val="00270FE8"/>
    <w:rsid w:val="0027103E"/>
    <w:rsid w:val="00271056"/>
    <w:rsid w:val="0027109D"/>
    <w:rsid w:val="002710A0"/>
    <w:rsid w:val="0027113E"/>
    <w:rsid w:val="00271163"/>
    <w:rsid w:val="00271176"/>
    <w:rsid w:val="00271208"/>
    <w:rsid w:val="0027121B"/>
    <w:rsid w:val="0027126F"/>
    <w:rsid w:val="00271294"/>
    <w:rsid w:val="002712CD"/>
    <w:rsid w:val="002712FC"/>
    <w:rsid w:val="0027132E"/>
    <w:rsid w:val="00271344"/>
    <w:rsid w:val="00271393"/>
    <w:rsid w:val="002713CE"/>
    <w:rsid w:val="002713FA"/>
    <w:rsid w:val="002714B3"/>
    <w:rsid w:val="002714B9"/>
    <w:rsid w:val="002714C9"/>
    <w:rsid w:val="0027151C"/>
    <w:rsid w:val="00271542"/>
    <w:rsid w:val="002715DB"/>
    <w:rsid w:val="00271611"/>
    <w:rsid w:val="0027161D"/>
    <w:rsid w:val="0027162B"/>
    <w:rsid w:val="00271702"/>
    <w:rsid w:val="002718C4"/>
    <w:rsid w:val="00271906"/>
    <w:rsid w:val="0027195D"/>
    <w:rsid w:val="00271969"/>
    <w:rsid w:val="002719E2"/>
    <w:rsid w:val="002719F8"/>
    <w:rsid w:val="00271A33"/>
    <w:rsid w:val="00271A67"/>
    <w:rsid w:val="00271A84"/>
    <w:rsid w:val="00271A88"/>
    <w:rsid w:val="00271AE1"/>
    <w:rsid w:val="00271BA6"/>
    <w:rsid w:val="00271BC1"/>
    <w:rsid w:val="00271BD0"/>
    <w:rsid w:val="00271BEE"/>
    <w:rsid w:val="00271C06"/>
    <w:rsid w:val="00271C88"/>
    <w:rsid w:val="00271CC6"/>
    <w:rsid w:val="00271D02"/>
    <w:rsid w:val="00271D7F"/>
    <w:rsid w:val="00271DE2"/>
    <w:rsid w:val="00271E19"/>
    <w:rsid w:val="00271E2B"/>
    <w:rsid w:val="00271E5D"/>
    <w:rsid w:val="00271FBE"/>
    <w:rsid w:val="00271FC2"/>
    <w:rsid w:val="00271FE7"/>
    <w:rsid w:val="00272003"/>
    <w:rsid w:val="00272070"/>
    <w:rsid w:val="00272090"/>
    <w:rsid w:val="002720BE"/>
    <w:rsid w:val="002720CE"/>
    <w:rsid w:val="002721BD"/>
    <w:rsid w:val="002721F7"/>
    <w:rsid w:val="00272238"/>
    <w:rsid w:val="0027225B"/>
    <w:rsid w:val="00272284"/>
    <w:rsid w:val="002722CC"/>
    <w:rsid w:val="002722D1"/>
    <w:rsid w:val="002722D5"/>
    <w:rsid w:val="00272372"/>
    <w:rsid w:val="002723AD"/>
    <w:rsid w:val="002723E4"/>
    <w:rsid w:val="00272405"/>
    <w:rsid w:val="0027242D"/>
    <w:rsid w:val="002724FE"/>
    <w:rsid w:val="00272543"/>
    <w:rsid w:val="002725C5"/>
    <w:rsid w:val="002725D7"/>
    <w:rsid w:val="0027261A"/>
    <w:rsid w:val="0027262C"/>
    <w:rsid w:val="0027265E"/>
    <w:rsid w:val="002726EF"/>
    <w:rsid w:val="0027270D"/>
    <w:rsid w:val="002727A4"/>
    <w:rsid w:val="002727D3"/>
    <w:rsid w:val="002727DF"/>
    <w:rsid w:val="002727E8"/>
    <w:rsid w:val="0027280F"/>
    <w:rsid w:val="002728D4"/>
    <w:rsid w:val="00272942"/>
    <w:rsid w:val="00272959"/>
    <w:rsid w:val="002729B9"/>
    <w:rsid w:val="002729FA"/>
    <w:rsid w:val="00272A0B"/>
    <w:rsid w:val="00272A9D"/>
    <w:rsid w:val="00272B21"/>
    <w:rsid w:val="00272B2C"/>
    <w:rsid w:val="00272B63"/>
    <w:rsid w:val="00272B7C"/>
    <w:rsid w:val="00272B8A"/>
    <w:rsid w:val="00272BF4"/>
    <w:rsid w:val="00272C3D"/>
    <w:rsid w:val="00272C47"/>
    <w:rsid w:val="00272CA5"/>
    <w:rsid w:val="00272D1B"/>
    <w:rsid w:val="00272D42"/>
    <w:rsid w:val="00272DF6"/>
    <w:rsid w:val="00272E14"/>
    <w:rsid w:val="00272E32"/>
    <w:rsid w:val="00272E40"/>
    <w:rsid w:val="00272E45"/>
    <w:rsid w:val="00272EB2"/>
    <w:rsid w:val="00272EEC"/>
    <w:rsid w:val="0027301E"/>
    <w:rsid w:val="00273057"/>
    <w:rsid w:val="00273073"/>
    <w:rsid w:val="00273088"/>
    <w:rsid w:val="002730AF"/>
    <w:rsid w:val="002730BE"/>
    <w:rsid w:val="00273114"/>
    <w:rsid w:val="00273150"/>
    <w:rsid w:val="002731BF"/>
    <w:rsid w:val="00273208"/>
    <w:rsid w:val="00273223"/>
    <w:rsid w:val="0027322F"/>
    <w:rsid w:val="0027329B"/>
    <w:rsid w:val="002732A2"/>
    <w:rsid w:val="002732DF"/>
    <w:rsid w:val="002733E6"/>
    <w:rsid w:val="00273429"/>
    <w:rsid w:val="002734C6"/>
    <w:rsid w:val="002734D9"/>
    <w:rsid w:val="00273506"/>
    <w:rsid w:val="00273514"/>
    <w:rsid w:val="00273517"/>
    <w:rsid w:val="002735D1"/>
    <w:rsid w:val="002735E4"/>
    <w:rsid w:val="0027366C"/>
    <w:rsid w:val="002736DD"/>
    <w:rsid w:val="002736F6"/>
    <w:rsid w:val="00273732"/>
    <w:rsid w:val="002737AC"/>
    <w:rsid w:val="002737C7"/>
    <w:rsid w:val="00273832"/>
    <w:rsid w:val="0027385C"/>
    <w:rsid w:val="0027390E"/>
    <w:rsid w:val="00273A3E"/>
    <w:rsid w:val="00273A68"/>
    <w:rsid w:val="00273A7F"/>
    <w:rsid w:val="00273A85"/>
    <w:rsid w:val="00273A87"/>
    <w:rsid w:val="00273AF9"/>
    <w:rsid w:val="00273B0B"/>
    <w:rsid w:val="00273BBB"/>
    <w:rsid w:val="00273BD8"/>
    <w:rsid w:val="00273C70"/>
    <w:rsid w:val="00273CC4"/>
    <w:rsid w:val="00273CC6"/>
    <w:rsid w:val="00273D15"/>
    <w:rsid w:val="00273D21"/>
    <w:rsid w:val="00273DC0"/>
    <w:rsid w:val="00273DF0"/>
    <w:rsid w:val="00273E01"/>
    <w:rsid w:val="00273E0B"/>
    <w:rsid w:val="00273E2A"/>
    <w:rsid w:val="00273E4E"/>
    <w:rsid w:val="00273E81"/>
    <w:rsid w:val="00273EAD"/>
    <w:rsid w:val="00273F5F"/>
    <w:rsid w:val="00274017"/>
    <w:rsid w:val="00274102"/>
    <w:rsid w:val="00274112"/>
    <w:rsid w:val="00274153"/>
    <w:rsid w:val="0027417C"/>
    <w:rsid w:val="00274180"/>
    <w:rsid w:val="002741C8"/>
    <w:rsid w:val="002741E1"/>
    <w:rsid w:val="002741E9"/>
    <w:rsid w:val="002742A9"/>
    <w:rsid w:val="002742AB"/>
    <w:rsid w:val="002742E4"/>
    <w:rsid w:val="002742F6"/>
    <w:rsid w:val="00274344"/>
    <w:rsid w:val="002743C6"/>
    <w:rsid w:val="002743DF"/>
    <w:rsid w:val="00274433"/>
    <w:rsid w:val="00274471"/>
    <w:rsid w:val="00274480"/>
    <w:rsid w:val="002744A4"/>
    <w:rsid w:val="002744D4"/>
    <w:rsid w:val="00274506"/>
    <w:rsid w:val="00274610"/>
    <w:rsid w:val="002746C0"/>
    <w:rsid w:val="0027470B"/>
    <w:rsid w:val="0027475E"/>
    <w:rsid w:val="0027478D"/>
    <w:rsid w:val="002747C5"/>
    <w:rsid w:val="002747E8"/>
    <w:rsid w:val="00274823"/>
    <w:rsid w:val="00274836"/>
    <w:rsid w:val="00274875"/>
    <w:rsid w:val="00274895"/>
    <w:rsid w:val="002748B8"/>
    <w:rsid w:val="002748D6"/>
    <w:rsid w:val="002748F6"/>
    <w:rsid w:val="0027494D"/>
    <w:rsid w:val="002749BF"/>
    <w:rsid w:val="002749EC"/>
    <w:rsid w:val="00274A52"/>
    <w:rsid w:val="00274A61"/>
    <w:rsid w:val="00274ACC"/>
    <w:rsid w:val="00274B3E"/>
    <w:rsid w:val="00274B49"/>
    <w:rsid w:val="00274BAE"/>
    <w:rsid w:val="00274BCD"/>
    <w:rsid w:val="00274BFF"/>
    <w:rsid w:val="00274CAE"/>
    <w:rsid w:val="00274CBF"/>
    <w:rsid w:val="00274CEC"/>
    <w:rsid w:val="00274D68"/>
    <w:rsid w:val="00274DC8"/>
    <w:rsid w:val="00274F01"/>
    <w:rsid w:val="00274FE0"/>
    <w:rsid w:val="00274FF4"/>
    <w:rsid w:val="0027501C"/>
    <w:rsid w:val="0027507F"/>
    <w:rsid w:val="00275084"/>
    <w:rsid w:val="002750B4"/>
    <w:rsid w:val="002750D4"/>
    <w:rsid w:val="002750E1"/>
    <w:rsid w:val="002750E2"/>
    <w:rsid w:val="0027518A"/>
    <w:rsid w:val="002751D1"/>
    <w:rsid w:val="00275250"/>
    <w:rsid w:val="00275288"/>
    <w:rsid w:val="002752C0"/>
    <w:rsid w:val="002752C3"/>
    <w:rsid w:val="00275311"/>
    <w:rsid w:val="00275335"/>
    <w:rsid w:val="00275386"/>
    <w:rsid w:val="00275464"/>
    <w:rsid w:val="00275472"/>
    <w:rsid w:val="00275549"/>
    <w:rsid w:val="0027562B"/>
    <w:rsid w:val="0027563B"/>
    <w:rsid w:val="0027565B"/>
    <w:rsid w:val="0027568D"/>
    <w:rsid w:val="002756AC"/>
    <w:rsid w:val="00275781"/>
    <w:rsid w:val="002757A8"/>
    <w:rsid w:val="002757DE"/>
    <w:rsid w:val="002757EC"/>
    <w:rsid w:val="00275886"/>
    <w:rsid w:val="00275934"/>
    <w:rsid w:val="0027599A"/>
    <w:rsid w:val="00275A04"/>
    <w:rsid w:val="00275A09"/>
    <w:rsid w:val="00275A45"/>
    <w:rsid w:val="00275A51"/>
    <w:rsid w:val="00275A70"/>
    <w:rsid w:val="00275AA9"/>
    <w:rsid w:val="00275B6D"/>
    <w:rsid w:val="00275BA7"/>
    <w:rsid w:val="00275BFC"/>
    <w:rsid w:val="00275BFE"/>
    <w:rsid w:val="00275C13"/>
    <w:rsid w:val="00275CBF"/>
    <w:rsid w:val="00275CD1"/>
    <w:rsid w:val="00275D34"/>
    <w:rsid w:val="00275D53"/>
    <w:rsid w:val="00275D6A"/>
    <w:rsid w:val="00275D97"/>
    <w:rsid w:val="00275ED7"/>
    <w:rsid w:val="00275EE7"/>
    <w:rsid w:val="00275EF3"/>
    <w:rsid w:val="00275F09"/>
    <w:rsid w:val="00275F24"/>
    <w:rsid w:val="00275F96"/>
    <w:rsid w:val="00275FE2"/>
    <w:rsid w:val="0027602B"/>
    <w:rsid w:val="0027606D"/>
    <w:rsid w:val="00276094"/>
    <w:rsid w:val="002760DE"/>
    <w:rsid w:val="00276148"/>
    <w:rsid w:val="0027615C"/>
    <w:rsid w:val="002761D9"/>
    <w:rsid w:val="00276224"/>
    <w:rsid w:val="002762DD"/>
    <w:rsid w:val="00276382"/>
    <w:rsid w:val="0027646F"/>
    <w:rsid w:val="00276495"/>
    <w:rsid w:val="00276523"/>
    <w:rsid w:val="00276534"/>
    <w:rsid w:val="00276540"/>
    <w:rsid w:val="0027655E"/>
    <w:rsid w:val="00276695"/>
    <w:rsid w:val="002766A9"/>
    <w:rsid w:val="0027676C"/>
    <w:rsid w:val="0027685E"/>
    <w:rsid w:val="002768F3"/>
    <w:rsid w:val="002769A9"/>
    <w:rsid w:val="00276A16"/>
    <w:rsid w:val="00276A66"/>
    <w:rsid w:val="00276A83"/>
    <w:rsid w:val="00276ABF"/>
    <w:rsid w:val="00276AF2"/>
    <w:rsid w:val="00276B96"/>
    <w:rsid w:val="00276CA3"/>
    <w:rsid w:val="00276CAB"/>
    <w:rsid w:val="00276CD9"/>
    <w:rsid w:val="00276D97"/>
    <w:rsid w:val="00276DC6"/>
    <w:rsid w:val="00276DFB"/>
    <w:rsid w:val="00276E18"/>
    <w:rsid w:val="00276E21"/>
    <w:rsid w:val="00276E35"/>
    <w:rsid w:val="00276F0E"/>
    <w:rsid w:val="00276FA6"/>
    <w:rsid w:val="00276FB2"/>
    <w:rsid w:val="00276FC3"/>
    <w:rsid w:val="00276FF9"/>
    <w:rsid w:val="0027706D"/>
    <w:rsid w:val="00277122"/>
    <w:rsid w:val="00277123"/>
    <w:rsid w:val="002771CC"/>
    <w:rsid w:val="002771F2"/>
    <w:rsid w:val="00277217"/>
    <w:rsid w:val="0027722C"/>
    <w:rsid w:val="00277249"/>
    <w:rsid w:val="0027726C"/>
    <w:rsid w:val="002773B8"/>
    <w:rsid w:val="0027742B"/>
    <w:rsid w:val="002774C3"/>
    <w:rsid w:val="002774C7"/>
    <w:rsid w:val="002774CE"/>
    <w:rsid w:val="002774F0"/>
    <w:rsid w:val="00277586"/>
    <w:rsid w:val="00277643"/>
    <w:rsid w:val="0027765D"/>
    <w:rsid w:val="00277715"/>
    <w:rsid w:val="0027772A"/>
    <w:rsid w:val="0027775A"/>
    <w:rsid w:val="0027776F"/>
    <w:rsid w:val="002777E3"/>
    <w:rsid w:val="00277862"/>
    <w:rsid w:val="00277877"/>
    <w:rsid w:val="0027788C"/>
    <w:rsid w:val="002778AD"/>
    <w:rsid w:val="002778AE"/>
    <w:rsid w:val="002778B5"/>
    <w:rsid w:val="002778CA"/>
    <w:rsid w:val="002778D5"/>
    <w:rsid w:val="00277909"/>
    <w:rsid w:val="00277934"/>
    <w:rsid w:val="00277936"/>
    <w:rsid w:val="00277955"/>
    <w:rsid w:val="002779B2"/>
    <w:rsid w:val="00277A5E"/>
    <w:rsid w:val="00277A62"/>
    <w:rsid w:val="00277A8E"/>
    <w:rsid w:val="00277A9F"/>
    <w:rsid w:val="00277AA9"/>
    <w:rsid w:val="00277ACD"/>
    <w:rsid w:val="00277AFF"/>
    <w:rsid w:val="00277B0A"/>
    <w:rsid w:val="00277B4D"/>
    <w:rsid w:val="00277BC3"/>
    <w:rsid w:val="00277C3C"/>
    <w:rsid w:val="00277C95"/>
    <w:rsid w:val="00277D9B"/>
    <w:rsid w:val="00277DBC"/>
    <w:rsid w:val="00277F37"/>
    <w:rsid w:val="00277F9B"/>
    <w:rsid w:val="00277FC5"/>
    <w:rsid w:val="00280001"/>
    <w:rsid w:val="0028001E"/>
    <w:rsid w:val="00280030"/>
    <w:rsid w:val="00280033"/>
    <w:rsid w:val="0028004D"/>
    <w:rsid w:val="00280087"/>
    <w:rsid w:val="002800EA"/>
    <w:rsid w:val="002800F7"/>
    <w:rsid w:val="00280114"/>
    <w:rsid w:val="00280120"/>
    <w:rsid w:val="0028012E"/>
    <w:rsid w:val="00280153"/>
    <w:rsid w:val="0028020E"/>
    <w:rsid w:val="00280289"/>
    <w:rsid w:val="002802AE"/>
    <w:rsid w:val="002802B4"/>
    <w:rsid w:val="002802EC"/>
    <w:rsid w:val="00280304"/>
    <w:rsid w:val="0028036E"/>
    <w:rsid w:val="00280381"/>
    <w:rsid w:val="0028039D"/>
    <w:rsid w:val="002804DA"/>
    <w:rsid w:val="002804ED"/>
    <w:rsid w:val="00280567"/>
    <w:rsid w:val="00280589"/>
    <w:rsid w:val="0028059D"/>
    <w:rsid w:val="002805BE"/>
    <w:rsid w:val="002805ED"/>
    <w:rsid w:val="00280686"/>
    <w:rsid w:val="0028075F"/>
    <w:rsid w:val="00280773"/>
    <w:rsid w:val="00280941"/>
    <w:rsid w:val="0028095E"/>
    <w:rsid w:val="00280966"/>
    <w:rsid w:val="002809FD"/>
    <w:rsid w:val="00280A06"/>
    <w:rsid w:val="00280A25"/>
    <w:rsid w:val="00280A36"/>
    <w:rsid w:val="00280A4E"/>
    <w:rsid w:val="00280A71"/>
    <w:rsid w:val="00280A92"/>
    <w:rsid w:val="00280A9A"/>
    <w:rsid w:val="00280B67"/>
    <w:rsid w:val="00280B6E"/>
    <w:rsid w:val="00280B9E"/>
    <w:rsid w:val="00280BEF"/>
    <w:rsid w:val="00280D0A"/>
    <w:rsid w:val="00280D6F"/>
    <w:rsid w:val="00280DB7"/>
    <w:rsid w:val="00280DD4"/>
    <w:rsid w:val="00280DE0"/>
    <w:rsid w:val="00280DF5"/>
    <w:rsid w:val="00280E15"/>
    <w:rsid w:val="00280EB3"/>
    <w:rsid w:val="00280ECA"/>
    <w:rsid w:val="00280EFE"/>
    <w:rsid w:val="00280F21"/>
    <w:rsid w:val="00280F47"/>
    <w:rsid w:val="00280F72"/>
    <w:rsid w:val="00280F82"/>
    <w:rsid w:val="00280F9C"/>
    <w:rsid w:val="00280FD4"/>
    <w:rsid w:val="0028103C"/>
    <w:rsid w:val="002810D4"/>
    <w:rsid w:val="00281115"/>
    <w:rsid w:val="00281163"/>
    <w:rsid w:val="00281165"/>
    <w:rsid w:val="002811DC"/>
    <w:rsid w:val="00281254"/>
    <w:rsid w:val="002812D9"/>
    <w:rsid w:val="00281326"/>
    <w:rsid w:val="0028136B"/>
    <w:rsid w:val="002813E4"/>
    <w:rsid w:val="0028146F"/>
    <w:rsid w:val="00281478"/>
    <w:rsid w:val="002814F0"/>
    <w:rsid w:val="00281514"/>
    <w:rsid w:val="00281549"/>
    <w:rsid w:val="0028157D"/>
    <w:rsid w:val="002815B2"/>
    <w:rsid w:val="0028160C"/>
    <w:rsid w:val="00281635"/>
    <w:rsid w:val="00281654"/>
    <w:rsid w:val="002816E0"/>
    <w:rsid w:val="00281754"/>
    <w:rsid w:val="00281762"/>
    <w:rsid w:val="0028176D"/>
    <w:rsid w:val="002817B5"/>
    <w:rsid w:val="00281821"/>
    <w:rsid w:val="00281844"/>
    <w:rsid w:val="00281853"/>
    <w:rsid w:val="00281885"/>
    <w:rsid w:val="002818C7"/>
    <w:rsid w:val="002818D2"/>
    <w:rsid w:val="002818DD"/>
    <w:rsid w:val="002819A7"/>
    <w:rsid w:val="002819E9"/>
    <w:rsid w:val="00281A76"/>
    <w:rsid w:val="00281A7D"/>
    <w:rsid w:val="00281B01"/>
    <w:rsid w:val="00281B04"/>
    <w:rsid w:val="00281B6C"/>
    <w:rsid w:val="00281B78"/>
    <w:rsid w:val="00281B88"/>
    <w:rsid w:val="00281BC0"/>
    <w:rsid w:val="00281BE3"/>
    <w:rsid w:val="00281CEB"/>
    <w:rsid w:val="00281D37"/>
    <w:rsid w:val="00281D85"/>
    <w:rsid w:val="00281DB2"/>
    <w:rsid w:val="00281E34"/>
    <w:rsid w:val="00281E5D"/>
    <w:rsid w:val="00281E92"/>
    <w:rsid w:val="00281F8F"/>
    <w:rsid w:val="00281FEA"/>
    <w:rsid w:val="00282037"/>
    <w:rsid w:val="0028214B"/>
    <w:rsid w:val="0028214F"/>
    <w:rsid w:val="00282183"/>
    <w:rsid w:val="0028224F"/>
    <w:rsid w:val="0028227D"/>
    <w:rsid w:val="002822BE"/>
    <w:rsid w:val="002822CC"/>
    <w:rsid w:val="0028237E"/>
    <w:rsid w:val="00282388"/>
    <w:rsid w:val="002823AF"/>
    <w:rsid w:val="002823E5"/>
    <w:rsid w:val="00282459"/>
    <w:rsid w:val="00282485"/>
    <w:rsid w:val="002824E0"/>
    <w:rsid w:val="00282557"/>
    <w:rsid w:val="00282558"/>
    <w:rsid w:val="0028257A"/>
    <w:rsid w:val="00282602"/>
    <w:rsid w:val="00282656"/>
    <w:rsid w:val="002826BC"/>
    <w:rsid w:val="002826E3"/>
    <w:rsid w:val="00282754"/>
    <w:rsid w:val="00282769"/>
    <w:rsid w:val="002827AA"/>
    <w:rsid w:val="002827E4"/>
    <w:rsid w:val="00282821"/>
    <w:rsid w:val="00282865"/>
    <w:rsid w:val="0028291A"/>
    <w:rsid w:val="00282936"/>
    <w:rsid w:val="00282948"/>
    <w:rsid w:val="00282978"/>
    <w:rsid w:val="002829B5"/>
    <w:rsid w:val="00282A27"/>
    <w:rsid w:val="00282A32"/>
    <w:rsid w:val="00282ACF"/>
    <w:rsid w:val="00282B1A"/>
    <w:rsid w:val="00282B32"/>
    <w:rsid w:val="00282BDA"/>
    <w:rsid w:val="00282BFB"/>
    <w:rsid w:val="00282C11"/>
    <w:rsid w:val="00282C2E"/>
    <w:rsid w:val="00282C7A"/>
    <w:rsid w:val="00282C94"/>
    <w:rsid w:val="00282CD7"/>
    <w:rsid w:val="00282D0D"/>
    <w:rsid w:val="00282D6A"/>
    <w:rsid w:val="00282D7C"/>
    <w:rsid w:val="00282D99"/>
    <w:rsid w:val="00282DCF"/>
    <w:rsid w:val="00282DDD"/>
    <w:rsid w:val="00282EA0"/>
    <w:rsid w:val="00282EEA"/>
    <w:rsid w:val="00282FD2"/>
    <w:rsid w:val="0028300B"/>
    <w:rsid w:val="00283029"/>
    <w:rsid w:val="002830A5"/>
    <w:rsid w:val="002830CA"/>
    <w:rsid w:val="002830DB"/>
    <w:rsid w:val="002830E5"/>
    <w:rsid w:val="00283159"/>
    <w:rsid w:val="00283166"/>
    <w:rsid w:val="0028317F"/>
    <w:rsid w:val="002831C1"/>
    <w:rsid w:val="0028324A"/>
    <w:rsid w:val="0028325B"/>
    <w:rsid w:val="002832A5"/>
    <w:rsid w:val="00283309"/>
    <w:rsid w:val="00283311"/>
    <w:rsid w:val="00283372"/>
    <w:rsid w:val="0028338E"/>
    <w:rsid w:val="002833B8"/>
    <w:rsid w:val="002833C9"/>
    <w:rsid w:val="002833CE"/>
    <w:rsid w:val="00283401"/>
    <w:rsid w:val="0028342A"/>
    <w:rsid w:val="002834B2"/>
    <w:rsid w:val="002834E3"/>
    <w:rsid w:val="002835DB"/>
    <w:rsid w:val="002835EB"/>
    <w:rsid w:val="0028360A"/>
    <w:rsid w:val="00283613"/>
    <w:rsid w:val="00283622"/>
    <w:rsid w:val="00283641"/>
    <w:rsid w:val="0028366E"/>
    <w:rsid w:val="00283680"/>
    <w:rsid w:val="0028370F"/>
    <w:rsid w:val="0028374A"/>
    <w:rsid w:val="0028374E"/>
    <w:rsid w:val="00283762"/>
    <w:rsid w:val="002837BA"/>
    <w:rsid w:val="002837BB"/>
    <w:rsid w:val="00283821"/>
    <w:rsid w:val="00283831"/>
    <w:rsid w:val="0028384C"/>
    <w:rsid w:val="0028386D"/>
    <w:rsid w:val="00283872"/>
    <w:rsid w:val="002838AF"/>
    <w:rsid w:val="00283990"/>
    <w:rsid w:val="002839C8"/>
    <w:rsid w:val="002839D1"/>
    <w:rsid w:val="00283A1E"/>
    <w:rsid w:val="00283A63"/>
    <w:rsid w:val="00283A97"/>
    <w:rsid w:val="00283ACA"/>
    <w:rsid w:val="00283BD7"/>
    <w:rsid w:val="00283BF7"/>
    <w:rsid w:val="00283D16"/>
    <w:rsid w:val="00283D1A"/>
    <w:rsid w:val="00283D31"/>
    <w:rsid w:val="00283DA8"/>
    <w:rsid w:val="00283DF3"/>
    <w:rsid w:val="00283DF5"/>
    <w:rsid w:val="0028405E"/>
    <w:rsid w:val="00284060"/>
    <w:rsid w:val="002840D7"/>
    <w:rsid w:val="00284141"/>
    <w:rsid w:val="00284163"/>
    <w:rsid w:val="0028416F"/>
    <w:rsid w:val="0028417A"/>
    <w:rsid w:val="00284311"/>
    <w:rsid w:val="002843F4"/>
    <w:rsid w:val="00284449"/>
    <w:rsid w:val="00284459"/>
    <w:rsid w:val="0028445A"/>
    <w:rsid w:val="0028447A"/>
    <w:rsid w:val="002844C0"/>
    <w:rsid w:val="002844C8"/>
    <w:rsid w:val="00284584"/>
    <w:rsid w:val="002845D1"/>
    <w:rsid w:val="0028465A"/>
    <w:rsid w:val="00284661"/>
    <w:rsid w:val="002846C8"/>
    <w:rsid w:val="002846D2"/>
    <w:rsid w:val="0028470A"/>
    <w:rsid w:val="0028472D"/>
    <w:rsid w:val="0028477E"/>
    <w:rsid w:val="00284785"/>
    <w:rsid w:val="002847AC"/>
    <w:rsid w:val="002847E2"/>
    <w:rsid w:val="0028481D"/>
    <w:rsid w:val="0028488E"/>
    <w:rsid w:val="002848B8"/>
    <w:rsid w:val="002848BB"/>
    <w:rsid w:val="002848DC"/>
    <w:rsid w:val="00284976"/>
    <w:rsid w:val="00284985"/>
    <w:rsid w:val="002849B6"/>
    <w:rsid w:val="002849BA"/>
    <w:rsid w:val="002849F7"/>
    <w:rsid w:val="00284A2E"/>
    <w:rsid w:val="00284A97"/>
    <w:rsid w:val="00284ADC"/>
    <w:rsid w:val="00284B0F"/>
    <w:rsid w:val="00284B13"/>
    <w:rsid w:val="00284B17"/>
    <w:rsid w:val="00284C22"/>
    <w:rsid w:val="00284C28"/>
    <w:rsid w:val="00284C9C"/>
    <w:rsid w:val="00284D72"/>
    <w:rsid w:val="00284DAF"/>
    <w:rsid w:val="00284DCA"/>
    <w:rsid w:val="00284E25"/>
    <w:rsid w:val="00284E68"/>
    <w:rsid w:val="00284E6D"/>
    <w:rsid w:val="00284E78"/>
    <w:rsid w:val="00284F98"/>
    <w:rsid w:val="00284FDE"/>
    <w:rsid w:val="0028505F"/>
    <w:rsid w:val="002850A9"/>
    <w:rsid w:val="002850D0"/>
    <w:rsid w:val="00285125"/>
    <w:rsid w:val="00285132"/>
    <w:rsid w:val="002851A5"/>
    <w:rsid w:val="002851C2"/>
    <w:rsid w:val="00285219"/>
    <w:rsid w:val="0028525E"/>
    <w:rsid w:val="002852DC"/>
    <w:rsid w:val="0028532A"/>
    <w:rsid w:val="0028534B"/>
    <w:rsid w:val="002853FC"/>
    <w:rsid w:val="00285456"/>
    <w:rsid w:val="00285460"/>
    <w:rsid w:val="002854CB"/>
    <w:rsid w:val="002854F6"/>
    <w:rsid w:val="00285574"/>
    <w:rsid w:val="002855B1"/>
    <w:rsid w:val="002855D5"/>
    <w:rsid w:val="002856D3"/>
    <w:rsid w:val="002856FB"/>
    <w:rsid w:val="00285835"/>
    <w:rsid w:val="00285869"/>
    <w:rsid w:val="0028586D"/>
    <w:rsid w:val="002858E5"/>
    <w:rsid w:val="00285936"/>
    <w:rsid w:val="002859F5"/>
    <w:rsid w:val="00285A1E"/>
    <w:rsid w:val="00285A26"/>
    <w:rsid w:val="00285A3A"/>
    <w:rsid w:val="00285AD6"/>
    <w:rsid w:val="00285AF1"/>
    <w:rsid w:val="00285B01"/>
    <w:rsid w:val="00285B03"/>
    <w:rsid w:val="00285B15"/>
    <w:rsid w:val="00285B87"/>
    <w:rsid w:val="00285B88"/>
    <w:rsid w:val="00285BCE"/>
    <w:rsid w:val="00285BE9"/>
    <w:rsid w:val="00285C40"/>
    <w:rsid w:val="00285C58"/>
    <w:rsid w:val="00285C88"/>
    <w:rsid w:val="00285CB9"/>
    <w:rsid w:val="00285CCB"/>
    <w:rsid w:val="00285DFD"/>
    <w:rsid w:val="00285E5B"/>
    <w:rsid w:val="00285E87"/>
    <w:rsid w:val="00286041"/>
    <w:rsid w:val="002860A2"/>
    <w:rsid w:val="002860B0"/>
    <w:rsid w:val="002861EB"/>
    <w:rsid w:val="0028623D"/>
    <w:rsid w:val="00286281"/>
    <w:rsid w:val="00286291"/>
    <w:rsid w:val="002862AC"/>
    <w:rsid w:val="00286427"/>
    <w:rsid w:val="00286481"/>
    <w:rsid w:val="00286495"/>
    <w:rsid w:val="002864B1"/>
    <w:rsid w:val="0028651E"/>
    <w:rsid w:val="0028656F"/>
    <w:rsid w:val="002865A2"/>
    <w:rsid w:val="002865A7"/>
    <w:rsid w:val="002865AA"/>
    <w:rsid w:val="002865D7"/>
    <w:rsid w:val="00286702"/>
    <w:rsid w:val="00286788"/>
    <w:rsid w:val="00286794"/>
    <w:rsid w:val="00286837"/>
    <w:rsid w:val="0028684E"/>
    <w:rsid w:val="00286864"/>
    <w:rsid w:val="002868B2"/>
    <w:rsid w:val="002868BB"/>
    <w:rsid w:val="002868C5"/>
    <w:rsid w:val="00286944"/>
    <w:rsid w:val="00286945"/>
    <w:rsid w:val="002869A0"/>
    <w:rsid w:val="00286A60"/>
    <w:rsid w:val="00286A7E"/>
    <w:rsid w:val="00286AC4"/>
    <w:rsid w:val="00286ADC"/>
    <w:rsid w:val="00286AE1"/>
    <w:rsid w:val="00286B08"/>
    <w:rsid w:val="00286B1F"/>
    <w:rsid w:val="00286BDB"/>
    <w:rsid w:val="00286C9E"/>
    <w:rsid w:val="00286D3A"/>
    <w:rsid w:val="00286E40"/>
    <w:rsid w:val="00286E6D"/>
    <w:rsid w:val="00286F04"/>
    <w:rsid w:val="00286F6F"/>
    <w:rsid w:val="00286F7E"/>
    <w:rsid w:val="0028703F"/>
    <w:rsid w:val="002870AD"/>
    <w:rsid w:val="002870DC"/>
    <w:rsid w:val="002870F9"/>
    <w:rsid w:val="00287104"/>
    <w:rsid w:val="0028714B"/>
    <w:rsid w:val="0028714E"/>
    <w:rsid w:val="00287159"/>
    <w:rsid w:val="0028718B"/>
    <w:rsid w:val="002871AC"/>
    <w:rsid w:val="0028722F"/>
    <w:rsid w:val="00287232"/>
    <w:rsid w:val="0028724B"/>
    <w:rsid w:val="00287278"/>
    <w:rsid w:val="002872DC"/>
    <w:rsid w:val="0028731C"/>
    <w:rsid w:val="00287327"/>
    <w:rsid w:val="00287392"/>
    <w:rsid w:val="002873D5"/>
    <w:rsid w:val="0028742A"/>
    <w:rsid w:val="0028748A"/>
    <w:rsid w:val="002874FC"/>
    <w:rsid w:val="00287541"/>
    <w:rsid w:val="00287572"/>
    <w:rsid w:val="002875C1"/>
    <w:rsid w:val="00287613"/>
    <w:rsid w:val="00287642"/>
    <w:rsid w:val="0028768D"/>
    <w:rsid w:val="002876D8"/>
    <w:rsid w:val="00287715"/>
    <w:rsid w:val="0028771A"/>
    <w:rsid w:val="0028773E"/>
    <w:rsid w:val="00287768"/>
    <w:rsid w:val="002877D1"/>
    <w:rsid w:val="00287920"/>
    <w:rsid w:val="00287972"/>
    <w:rsid w:val="00287976"/>
    <w:rsid w:val="002879D0"/>
    <w:rsid w:val="002879F0"/>
    <w:rsid w:val="00287A0D"/>
    <w:rsid w:val="00287A8D"/>
    <w:rsid w:val="00287B06"/>
    <w:rsid w:val="00287B19"/>
    <w:rsid w:val="00287BA1"/>
    <w:rsid w:val="00287BBB"/>
    <w:rsid w:val="00287BE1"/>
    <w:rsid w:val="00287C53"/>
    <w:rsid w:val="00287C8D"/>
    <w:rsid w:val="00287C90"/>
    <w:rsid w:val="00287CFA"/>
    <w:rsid w:val="00287D81"/>
    <w:rsid w:val="00287D92"/>
    <w:rsid w:val="00287E41"/>
    <w:rsid w:val="00287E9D"/>
    <w:rsid w:val="00287EBA"/>
    <w:rsid w:val="00287F01"/>
    <w:rsid w:val="0029003D"/>
    <w:rsid w:val="0029004E"/>
    <w:rsid w:val="0029006D"/>
    <w:rsid w:val="00290075"/>
    <w:rsid w:val="0029007F"/>
    <w:rsid w:val="0029008F"/>
    <w:rsid w:val="0029010F"/>
    <w:rsid w:val="00290124"/>
    <w:rsid w:val="00290155"/>
    <w:rsid w:val="002901CB"/>
    <w:rsid w:val="002901CE"/>
    <w:rsid w:val="002901F7"/>
    <w:rsid w:val="00290227"/>
    <w:rsid w:val="00290286"/>
    <w:rsid w:val="00290342"/>
    <w:rsid w:val="00290367"/>
    <w:rsid w:val="00290371"/>
    <w:rsid w:val="00290372"/>
    <w:rsid w:val="0029038B"/>
    <w:rsid w:val="002904C3"/>
    <w:rsid w:val="002904CF"/>
    <w:rsid w:val="002904D6"/>
    <w:rsid w:val="00290512"/>
    <w:rsid w:val="0029051F"/>
    <w:rsid w:val="00290548"/>
    <w:rsid w:val="00290568"/>
    <w:rsid w:val="0029058C"/>
    <w:rsid w:val="002905A0"/>
    <w:rsid w:val="002905BE"/>
    <w:rsid w:val="002905E9"/>
    <w:rsid w:val="002905F3"/>
    <w:rsid w:val="0029060C"/>
    <w:rsid w:val="0029069D"/>
    <w:rsid w:val="002906D2"/>
    <w:rsid w:val="00290710"/>
    <w:rsid w:val="00290755"/>
    <w:rsid w:val="00290759"/>
    <w:rsid w:val="0029089C"/>
    <w:rsid w:val="002908D9"/>
    <w:rsid w:val="00290902"/>
    <w:rsid w:val="00290947"/>
    <w:rsid w:val="00290972"/>
    <w:rsid w:val="002909BF"/>
    <w:rsid w:val="002909D5"/>
    <w:rsid w:val="00290A54"/>
    <w:rsid w:val="00290AAF"/>
    <w:rsid w:val="00290AB3"/>
    <w:rsid w:val="00290ADC"/>
    <w:rsid w:val="00290B47"/>
    <w:rsid w:val="00290B4C"/>
    <w:rsid w:val="00290C48"/>
    <w:rsid w:val="00290D3B"/>
    <w:rsid w:val="00290D76"/>
    <w:rsid w:val="00290D94"/>
    <w:rsid w:val="00290DD1"/>
    <w:rsid w:val="00290DF6"/>
    <w:rsid w:val="00290DF7"/>
    <w:rsid w:val="00290E2E"/>
    <w:rsid w:val="00290EA5"/>
    <w:rsid w:val="00290F6E"/>
    <w:rsid w:val="00290FEA"/>
    <w:rsid w:val="0029100E"/>
    <w:rsid w:val="002910F2"/>
    <w:rsid w:val="002910FA"/>
    <w:rsid w:val="00291114"/>
    <w:rsid w:val="0029115E"/>
    <w:rsid w:val="002911AD"/>
    <w:rsid w:val="00291206"/>
    <w:rsid w:val="00291249"/>
    <w:rsid w:val="0029128E"/>
    <w:rsid w:val="0029132B"/>
    <w:rsid w:val="0029134D"/>
    <w:rsid w:val="0029135B"/>
    <w:rsid w:val="002913CF"/>
    <w:rsid w:val="002913DE"/>
    <w:rsid w:val="00291416"/>
    <w:rsid w:val="0029145D"/>
    <w:rsid w:val="002914CD"/>
    <w:rsid w:val="00291549"/>
    <w:rsid w:val="00291561"/>
    <w:rsid w:val="00291569"/>
    <w:rsid w:val="00291605"/>
    <w:rsid w:val="00291616"/>
    <w:rsid w:val="00291618"/>
    <w:rsid w:val="00291631"/>
    <w:rsid w:val="002916A1"/>
    <w:rsid w:val="002916E0"/>
    <w:rsid w:val="002916F3"/>
    <w:rsid w:val="00291721"/>
    <w:rsid w:val="00291753"/>
    <w:rsid w:val="002917BD"/>
    <w:rsid w:val="002917D7"/>
    <w:rsid w:val="0029185A"/>
    <w:rsid w:val="002918D8"/>
    <w:rsid w:val="0029193B"/>
    <w:rsid w:val="0029194C"/>
    <w:rsid w:val="0029197C"/>
    <w:rsid w:val="00291983"/>
    <w:rsid w:val="0029199A"/>
    <w:rsid w:val="002919C4"/>
    <w:rsid w:val="002919E8"/>
    <w:rsid w:val="00291A73"/>
    <w:rsid w:val="00291AE5"/>
    <w:rsid w:val="00291BA2"/>
    <w:rsid w:val="00291C39"/>
    <w:rsid w:val="00291C56"/>
    <w:rsid w:val="00291E53"/>
    <w:rsid w:val="00291E65"/>
    <w:rsid w:val="00291E8B"/>
    <w:rsid w:val="00291EEC"/>
    <w:rsid w:val="00291F0C"/>
    <w:rsid w:val="00291F3B"/>
    <w:rsid w:val="00291F77"/>
    <w:rsid w:val="00291FF8"/>
    <w:rsid w:val="00292022"/>
    <w:rsid w:val="00292096"/>
    <w:rsid w:val="002920DE"/>
    <w:rsid w:val="00292127"/>
    <w:rsid w:val="00292250"/>
    <w:rsid w:val="0029226A"/>
    <w:rsid w:val="002922C7"/>
    <w:rsid w:val="0029235F"/>
    <w:rsid w:val="00292360"/>
    <w:rsid w:val="0029241A"/>
    <w:rsid w:val="00292456"/>
    <w:rsid w:val="002924D2"/>
    <w:rsid w:val="002924F2"/>
    <w:rsid w:val="00292571"/>
    <w:rsid w:val="002925CB"/>
    <w:rsid w:val="002925E6"/>
    <w:rsid w:val="00292661"/>
    <w:rsid w:val="0029267A"/>
    <w:rsid w:val="002926FE"/>
    <w:rsid w:val="00292746"/>
    <w:rsid w:val="00292748"/>
    <w:rsid w:val="002927D0"/>
    <w:rsid w:val="00292816"/>
    <w:rsid w:val="00292822"/>
    <w:rsid w:val="00292824"/>
    <w:rsid w:val="002928B4"/>
    <w:rsid w:val="002928F0"/>
    <w:rsid w:val="00292935"/>
    <w:rsid w:val="002929B6"/>
    <w:rsid w:val="002929CB"/>
    <w:rsid w:val="002929DC"/>
    <w:rsid w:val="002929F0"/>
    <w:rsid w:val="00292A78"/>
    <w:rsid w:val="00292A82"/>
    <w:rsid w:val="00292A9E"/>
    <w:rsid w:val="00292B33"/>
    <w:rsid w:val="00292B4F"/>
    <w:rsid w:val="00292BB2"/>
    <w:rsid w:val="00292C16"/>
    <w:rsid w:val="00292CE6"/>
    <w:rsid w:val="00292D1E"/>
    <w:rsid w:val="00292D63"/>
    <w:rsid w:val="00292DB1"/>
    <w:rsid w:val="00292E11"/>
    <w:rsid w:val="00292E2C"/>
    <w:rsid w:val="00292E36"/>
    <w:rsid w:val="00292E38"/>
    <w:rsid w:val="00292E55"/>
    <w:rsid w:val="00292EE7"/>
    <w:rsid w:val="00292F2D"/>
    <w:rsid w:val="0029300F"/>
    <w:rsid w:val="002930A9"/>
    <w:rsid w:val="002930CC"/>
    <w:rsid w:val="002930FC"/>
    <w:rsid w:val="00293128"/>
    <w:rsid w:val="00293133"/>
    <w:rsid w:val="00293146"/>
    <w:rsid w:val="002931A9"/>
    <w:rsid w:val="00293216"/>
    <w:rsid w:val="00293227"/>
    <w:rsid w:val="0029323F"/>
    <w:rsid w:val="002932C0"/>
    <w:rsid w:val="002932D1"/>
    <w:rsid w:val="002933D7"/>
    <w:rsid w:val="0029340B"/>
    <w:rsid w:val="002934DC"/>
    <w:rsid w:val="00293571"/>
    <w:rsid w:val="00293590"/>
    <w:rsid w:val="00293594"/>
    <w:rsid w:val="002935D4"/>
    <w:rsid w:val="002936A3"/>
    <w:rsid w:val="002936BD"/>
    <w:rsid w:val="002936EC"/>
    <w:rsid w:val="002936F3"/>
    <w:rsid w:val="002936FA"/>
    <w:rsid w:val="0029370B"/>
    <w:rsid w:val="00293724"/>
    <w:rsid w:val="00293769"/>
    <w:rsid w:val="00293796"/>
    <w:rsid w:val="0029384B"/>
    <w:rsid w:val="0029385D"/>
    <w:rsid w:val="0029386E"/>
    <w:rsid w:val="0029388F"/>
    <w:rsid w:val="002938C0"/>
    <w:rsid w:val="00293956"/>
    <w:rsid w:val="00293967"/>
    <w:rsid w:val="0029399D"/>
    <w:rsid w:val="002939C2"/>
    <w:rsid w:val="002939F3"/>
    <w:rsid w:val="00293B46"/>
    <w:rsid w:val="00293B59"/>
    <w:rsid w:val="00293BDB"/>
    <w:rsid w:val="00293C37"/>
    <w:rsid w:val="00293D2A"/>
    <w:rsid w:val="00293E10"/>
    <w:rsid w:val="00293E34"/>
    <w:rsid w:val="00293E7E"/>
    <w:rsid w:val="00293E8B"/>
    <w:rsid w:val="00293F91"/>
    <w:rsid w:val="00294016"/>
    <w:rsid w:val="0029404C"/>
    <w:rsid w:val="0029407C"/>
    <w:rsid w:val="00294085"/>
    <w:rsid w:val="002940A4"/>
    <w:rsid w:val="002940F3"/>
    <w:rsid w:val="002940F7"/>
    <w:rsid w:val="00294137"/>
    <w:rsid w:val="0029416B"/>
    <w:rsid w:val="0029418D"/>
    <w:rsid w:val="0029419F"/>
    <w:rsid w:val="002941BA"/>
    <w:rsid w:val="00294202"/>
    <w:rsid w:val="00294277"/>
    <w:rsid w:val="002942A8"/>
    <w:rsid w:val="00294318"/>
    <w:rsid w:val="00294355"/>
    <w:rsid w:val="0029435E"/>
    <w:rsid w:val="0029437E"/>
    <w:rsid w:val="0029440A"/>
    <w:rsid w:val="00294479"/>
    <w:rsid w:val="00294579"/>
    <w:rsid w:val="002945A1"/>
    <w:rsid w:val="002945DD"/>
    <w:rsid w:val="002945FD"/>
    <w:rsid w:val="0029466D"/>
    <w:rsid w:val="0029475A"/>
    <w:rsid w:val="002947E7"/>
    <w:rsid w:val="00294800"/>
    <w:rsid w:val="00294812"/>
    <w:rsid w:val="002948AF"/>
    <w:rsid w:val="002948CA"/>
    <w:rsid w:val="0029491D"/>
    <w:rsid w:val="00294928"/>
    <w:rsid w:val="0029493E"/>
    <w:rsid w:val="00294966"/>
    <w:rsid w:val="002949BB"/>
    <w:rsid w:val="00294A8C"/>
    <w:rsid w:val="00294AE5"/>
    <w:rsid w:val="00294AEE"/>
    <w:rsid w:val="00294B40"/>
    <w:rsid w:val="00294C59"/>
    <w:rsid w:val="00294CD4"/>
    <w:rsid w:val="00294CEF"/>
    <w:rsid w:val="00294D41"/>
    <w:rsid w:val="00294DB5"/>
    <w:rsid w:val="00294DC8"/>
    <w:rsid w:val="00294E60"/>
    <w:rsid w:val="00294E7A"/>
    <w:rsid w:val="00294E8F"/>
    <w:rsid w:val="00294E90"/>
    <w:rsid w:val="00294EF9"/>
    <w:rsid w:val="00294F2B"/>
    <w:rsid w:val="00294F7D"/>
    <w:rsid w:val="00294F97"/>
    <w:rsid w:val="00294FD8"/>
    <w:rsid w:val="00294FFE"/>
    <w:rsid w:val="00295005"/>
    <w:rsid w:val="00295046"/>
    <w:rsid w:val="00295071"/>
    <w:rsid w:val="002950A1"/>
    <w:rsid w:val="002950D0"/>
    <w:rsid w:val="002951B3"/>
    <w:rsid w:val="002951D0"/>
    <w:rsid w:val="002951DC"/>
    <w:rsid w:val="002951F4"/>
    <w:rsid w:val="0029524A"/>
    <w:rsid w:val="0029527B"/>
    <w:rsid w:val="0029528D"/>
    <w:rsid w:val="00295297"/>
    <w:rsid w:val="002952F6"/>
    <w:rsid w:val="00295317"/>
    <w:rsid w:val="0029532B"/>
    <w:rsid w:val="002953DD"/>
    <w:rsid w:val="002953E9"/>
    <w:rsid w:val="0029546B"/>
    <w:rsid w:val="00295508"/>
    <w:rsid w:val="00295512"/>
    <w:rsid w:val="00295580"/>
    <w:rsid w:val="00295593"/>
    <w:rsid w:val="002955C3"/>
    <w:rsid w:val="002955D0"/>
    <w:rsid w:val="00295609"/>
    <w:rsid w:val="00295619"/>
    <w:rsid w:val="00295687"/>
    <w:rsid w:val="00295693"/>
    <w:rsid w:val="0029570D"/>
    <w:rsid w:val="00295744"/>
    <w:rsid w:val="00295785"/>
    <w:rsid w:val="00295794"/>
    <w:rsid w:val="00295831"/>
    <w:rsid w:val="002958AD"/>
    <w:rsid w:val="0029595D"/>
    <w:rsid w:val="002959FD"/>
    <w:rsid w:val="00295A08"/>
    <w:rsid w:val="00295A3F"/>
    <w:rsid w:val="00295A84"/>
    <w:rsid w:val="00295B1B"/>
    <w:rsid w:val="00295C04"/>
    <w:rsid w:val="00295C19"/>
    <w:rsid w:val="00295D39"/>
    <w:rsid w:val="00295D6B"/>
    <w:rsid w:val="00295DF2"/>
    <w:rsid w:val="00295E4A"/>
    <w:rsid w:val="00295EA9"/>
    <w:rsid w:val="00295F11"/>
    <w:rsid w:val="00295F18"/>
    <w:rsid w:val="00295F1B"/>
    <w:rsid w:val="00295F31"/>
    <w:rsid w:val="00295F62"/>
    <w:rsid w:val="00295FEC"/>
    <w:rsid w:val="0029608B"/>
    <w:rsid w:val="00296094"/>
    <w:rsid w:val="002960AF"/>
    <w:rsid w:val="00296122"/>
    <w:rsid w:val="002961D3"/>
    <w:rsid w:val="0029621D"/>
    <w:rsid w:val="002962A8"/>
    <w:rsid w:val="00296399"/>
    <w:rsid w:val="0029639E"/>
    <w:rsid w:val="002963A9"/>
    <w:rsid w:val="002963BB"/>
    <w:rsid w:val="00296408"/>
    <w:rsid w:val="0029640F"/>
    <w:rsid w:val="00296420"/>
    <w:rsid w:val="0029643D"/>
    <w:rsid w:val="00296463"/>
    <w:rsid w:val="00296469"/>
    <w:rsid w:val="002964BF"/>
    <w:rsid w:val="002964D6"/>
    <w:rsid w:val="002964E8"/>
    <w:rsid w:val="00296598"/>
    <w:rsid w:val="002965CF"/>
    <w:rsid w:val="002966A2"/>
    <w:rsid w:val="002966E7"/>
    <w:rsid w:val="00296708"/>
    <w:rsid w:val="0029671D"/>
    <w:rsid w:val="00296754"/>
    <w:rsid w:val="00296772"/>
    <w:rsid w:val="00296796"/>
    <w:rsid w:val="002967D0"/>
    <w:rsid w:val="00296856"/>
    <w:rsid w:val="00296858"/>
    <w:rsid w:val="002968E2"/>
    <w:rsid w:val="002968F2"/>
    <w:rsid w:val="00296927"/>
    <w:rsid w:val="00296999"/>
    <w:rsid w:val="0029699A"/>
    <w:rsid w:val="00296A17"/>
    <w:rsid w:val="00296A2E"/>
    <w:rsid w:val="00296A44"/>
    <w:rsid w:val="00296A51"/>
    <w:rsid w:val="00296A87"/>
    <w:rsid w:val="00296AF0"/>
    <w:rsid w:val="00296BA9"/>
    <w:rsid w:val="00296BF2"/>
    <w:rsid w:val="00296C0A"/>
    <w:rsid w:val="00296C0E"/>
    <w:rsid w:val="00296C58"/>
    <w:rsid w:val="00296CEA"/>
    <w:rsid w:val="00296D2F"/>
    <w:rsid w:val="00296D8D"/>
    <w:rsid w:val="00296DCC"/>
    <w:rsid w:val="00296E20"/>
    <w:rsid w:val="00296E54"/>
    <w:rsid w:val="00296E5A"/>
    <w:rsid w:val="00296E5E"/>
    <w:rsid w:val="00296F4D"/>
    <w:rsid w:val="00296FAC"/>
    <w:rsid w:val="002970BA"/>
    <w:rsid w:val="00297132"/>
    <w:rsid w:val="0029714D"/>
    <w:rsid w:val="00297156"/>
    <w:rsid w:val="00297225"/>
    <w:rsid w:val="002972A8"/>
    <w:rsid w:val="00297300"/>
    <w:rsid w:val="0029738A"/>
    <w:rsid w:val="002974F8"/>
    <w:rsid w:val="00297528"/>
    <w:rsid w:val="00297533"/>
    <w:rsid w:val="00297548"/>
    <w:rsid w:val="0029754E"/>
    <w:rsid w:val="0029772E"/>
    <w:rsid w:val="0029773E"/>
    <w:rsid w:val="002977D4"/>
    <w:rsid w:val="0029783F"/>
    <w:rsid w:val="00297864"/>
    <w:rsid w:val="00297867"/>
    <w:rsid w:val="00297959"/>
    <w:rsid w:val="00297A1E"/>
    <w:rsid w:val="00297AD3"/>
    <w:rsid w:val="00297AEF"/>
    <w:rsid w:val="00297B0F"/>
    <w:rsid w:val="00297B30"/>
    <w:rsid w:val="00297B64"/>
    <w:rsid w:val="00297C06"/>
    <w:rsid w:val="00297D26"/>
    <w:rsid w:val="00297D53"/>
    <w:rsid w:val="00297DC0"/>
    <w:rsid w:val="00297E91"/>
    <w:rsid w:val="00297E95"/>
    <w:rsid w:val="00297EBF"/>
    <w:rsid w:val="00297F04"/>
    <w:rsid w:val="00297F5B"/>
    <w:rsid w:val="00297F8E"/>
    <w:rsid w:val="002A00A9"/>
    <w:rsid w:val="002A02C3"/>
    <w:rsid w:val="002A02E1"/>
    <w:rsid w:val="002A0332"/>
    <w:rsid w:val="002A0368"/>
    <w:rsid w:val="002A036F"/>
    <w:rsid w:val="002A0393"/>
    <w:rsid w:val="002A03AA"/>
    <w:rsid w:val="002A03FF"/>
    <w:rsid w:val="002A0498"/>
    <w:rsid w:val="002A04BC"/>
    <w:rsid w:val="002A0569"/>
    <w:rsid w:val="002A0587"/>
    <w:rsid w:val="002A05EF"/>
    <w:rsid w:val="002A05F1"/>
    <w:rsid w:val="002A0622"/>
    <w:rsid w:val="002A0648"/>
    <w:rsid w:val="002A064F"/>
    <w:rsid w:val="002A0674"/>
    <w:rsid w:val="002A06B4"/>
    <w:rsid w:val="002A06DB"/>
    <w:rsid w:val="002A0720"/>
    <w:rsid w:val="002A073B"/>
    <w:rsid w:val="002A0747"/>
    <w:rsid w:val="002A07C7"/>
    <w:rsid w:val="002A08B1"/>
    <w:rsid w:val="002A08D7"/>
    <w:rsid w:val="002A08EE"/>
    <w:rsid w:val="002A08F6"/>
    <w:rsid w:val="002A0946"/>
    <w:rsid w:val="002A0973"/>
    <w:rsid w:val="002A09B1"/>
    <w:rsid w:val="002A09CA"/>
    <w:rsid w:val="002A09E2"/>
    <w:rsid w:val="002A0A47"/>
    <w:rsid w:val="002A0A84"/>
    <w:rsid w:val="002A0A93"/>
    <w:rsid w:val="002A0AAD"/>
    <w:rsid w:val="002A0ACA"/>
    <w:rsid w:val="002A0ADD"/>
    <w:rsid w:val="002A0AE9"/>
    <w:rsid w:val="002A0AEA"/>
    <w:rsid w:val="002A0B0F"/>
    <w:rsid w:val="002A0B22"/>
    <w:rsid w:val="002A0BAF"/>
    <w:rsid w:val="002A0BE9"/>
    <w:rsid w:val="002A0BF6"/>
    <w:rsid w:val="002A0C68"/>
    <w:rsid w:val="002A0CAD"/>
    <w:rsid w:val="002A0DAF"/>
    <w:rsid w:val="002A0E14"/>
    <w:rsid w:val="002A0EC7"/>
    <w:rsid w:val="002A0ECA"/>
    <w:rsid w:val="002A0F1B"/>
    <w:rsid w:val="002A0F65"/>
    <w:rsid w:val="002A0FF3"/>
    <w:rsid w:val="002A1018"/>
    <w:rsid w:val="002A104A"/>
    <w:rsid w:val="002A1056"/>
    <w:rsid w:val="002A10DF"/>
    <w:rsid w:val="002A10FB"/>
    <w:rsid w:val="002A117B"/>
    <w:rsid w:val="002A1182"/>
    <w:rsid w:val="002A11A1"/>
    <w:rsid w:val="002A11F4"/>
    <w:rsid w:val="002A125E"/>
    <w:rsid w:val="002A1313"/>
    <w:rsid w:val="002A1322"/>
    <w:rsid w:val="002A141F"/>
    <w:rsid w:val="002A14BD"/>
    <w:rsid w:val="002A1506"/>
    <w:rsid w:val="002A151C"/>
    <w:rsid w:val="002A15B5"/>
    <w:rsid w:val="002A15E3"/>
    <w:rsid w:val="002A1617"/>
    <w:rsid w:val="002A1667"/>
    <w:rsid w:val="002A16FB"/>
    <w:rsid w:val="002A17D3"/>
    <w:rsid w:val="002A1903"/>
    <w:rsid w:val="002A190D"/>
    <w:rsid w:val="002A191B"/>
    <w:rsid w:val="002A19BE"/>
    <w:rsid w:val="002A1A39"/>
    <w:rsid w:val="002A1A3C"/>
    <w:rsid w:val="002A1AD0"/>
    <w:rsid w:val="002A1AF1"/>
    <w:rsid w:val="002A1AF9"/>
    <w:rsid w:val="002A1B24"/>
    <w:rsid w:val="002A1B71"/>
    <w:rsid w:val="002A1C2A"/>
    <w:rsid w:val="002A1C57"/>
    <w:rsid w:val="002A1C5B"/>
    <w:rsid w:val="002A1C75"/>
    <w:rsid w:val="002A1CD8"/>
    <w:rsid w:val="002A1D06"/>
    <w:rsid w:val="002A1D97"/>
    <w:rsid w:val="002A1DB2"/>
    <w:rsid w:val="002A1DF7"/>
    <w:rsid w:val="002A1E17"/>
    <w:rsid w:val="002A1E26"/>
    <w:rsid w:val="002A1EA3"/>
    <w:rsid w:val="002A2105"/>
    <w:rsid w:val="002A210C"/>
    <w:rsid w:val="002A2126"/>
    <w:rsid w:val="002A212C"/>
    <w:rsid w:val="002A2187"/>
    <w:rsid w:val="002A21D6"/>
    <w:rsid w:val="002A222B"/>
    <w:rsid w:val="002A2256"/>
    <w:rsid w:val="002A22B2"/>
    <w:rsid w:val="002A2331"/>
    <w:rsid w:val="002A2412"/>
    <w:rsid w:val="002A24A0"/>
    <w:rsid w:val="002A252E"/>
    <w:rsid w:val="002A2587"/>
    <w:rsid w:val="002A25A9"/>
    <w:rsid w:val="002A25F3"/>
    <w:rsid w:val="002A2659"/>
    <w:rsid w:val="002A2664"/>
    <w:rsid w:val="002A2668"/>
    <w:rsid w:val="002A268C"/>
    <w:rsid w:val="002A26F0"/>
    <w:rsid w:val="002A273E"/>
    <w:rsid w:val="002A2744"/>
    <w:rsid w:val="002A27C5"/>
    <w:rsid w:val="002A27E4"/>
    <w:rsid w:val="002A2816"/>
    <w:rsid w:val="002A287C"/>
    <w:rsid w:val="002A288C"/>
    <w:rsid w:val="002A28C2"/>
    <w:rsid w:val="002A28D8"/>
    <w:rsid w:val="002A2964"/>
    <w:rsid w:val="002A2AA5"/>
    <w:rsid w:val="002A2B0D"/>
    <w:rsid w:val="002A2B42"/>
    <w:rsid w:val="002A2BB1"/>
    <w:rsid w:val="002A2BD9"/>
    <w:rsid w:val="002A2C19"/>
    <w:rsid w:val="002A2C1A"/>
    <w:rsid w:val="002A2C3A"/>
    <w:rsid w:val="002A2CCA"/>
    <w:rsid w:val="002A2CE5"/>
    <w:rsid w:val="002A2D00"/>
    <w:rsid w:val="002A2E15"/>
    <w:rsid w:val="002A2E1C"/>
    <w:rsid w:val="002A2E9D"/>
    <w:rsid w:val="002A2EEE"/>
    <w:rsid w:val="002A2F00"/>
    <w:rsid w:val="002A2FCD"/>
    <w:rsid w:val="002A3024"/>
    <w:rsid w:val="002A3029"/>
    <w:rsid w:val="002A302D"/>
    <w:rsid w:val="002A3042"/>
    <w:rsid w:val="002A3077"/>
    <w:rsid w:val="002A30A3"/>
    <w:rsid w:val="002A30A4"/>
    <w:rsid w:val="002A310A"/>
    <w:rsid w:val="002A312C"/>
    <w:rsid w:val="002A3139"/>
    <w:rsid w:val="002A3179"/>
    <w:rsid w:val="002A31D5"/>
    <w:rsid w:val="002A31D9"/>
    <w:rsid w:val="002A3221"/>
    <w:rsid w:val="002A3250"/>
    <w:rsid w:val="002A3256"/>
    <w:rsid w:val="002A32E6"/>
    <w:rsid w:val="002A3313"/>
    <w:rsid w:val="002A3358"/>
    <w:rsid w:val="002A3360"/>
    <w:rsid w:val="002A3512"/>
    <w:rsid w:val="002A3548"/>
    <w:rsid w:val="002A3556"/>
    <w:rsid w:val="002A35E7"/>
    <w:rsid w:val="002A35EF"/>
    <w:rsid w:val="002A3600"/>
    <w:rsid w:val="002A3679"/>
    <w:rsid w:val="002A3700"/>
    <w:rsid w:val="002A3768"/>
    <w:rsid w:val="002A3778"/>
    <w:rsid w:val="002A377D"/>
    <w:rsid w:val="002A385B"/>
    <w:rsid w:val="002A3892"/>
    <w:rsid w:val="002A38C6"/>
    <w:rsid w:val="002A398E"/>
    <w:rsid w:val="002A39D8"/>
    <w:rsid w:val="002A3A06"/>
    <w:rsid w:val="002A3AA4"/>
    <w:rsid w:val="002A3AA9"/>
    <w:rsid w:val="002A3AB9"/>
    <w:rsid w:val="002A3AC0"/>
    <w:rsid w:val="002A3B01"/>
    <w:rsid w:val="002A3B21"/>
    <w:rsid w:val="002A3B4C"/>
    <w:rsid w:val="002A3B6C"/>
    <w:rsid w:val="002A3BD2"/>
    <w:rsid w:val="002A3BDB"/>
    <w:rsid w:val="002A3C01"/>
    <w:rsid w:val="002A3C1A"/>
    <w:rsid w:val="002A3C8B"/>
    <w:rsid w:val="002A3CAB"/>
    <w:rsid w:val="002A3CB1"/>
    <w:rsid w:val="002A3CBE"/>
    <w:rsid w:val="002A3CEE"/>
    <w:rsid w:val="002A3D28"/>
    <w:rsid w:val="002A3DF5"/>
    <w:rsid w:val="002A3E74"/>
    <w:rsid w:val="002A3E8F"/>
    <w:rsid w:val="002A3EEC"/>
    <w:rsid w:val="002A3F10"/>
    <w:rsid w:val="002A3F14"/>
    <w:rsid w:val="002A3F30"/>
    <w:rsid w:val="002A3F43"/>
    <w:rsid w:val="002A4029"/>
    <w:rsid w:val="002A4070"/>
    <w:rsid w:val="002A4072"/>
    <w:rsid w:val="002A4086"/>
    <w:rsid w:val="002A4103"/>
    <w:rsid w:val="002A4112"/>
    <w:rsid w:val="002A4172"/>
    <w:rsid w:val="002A4193"/>
    <w:rsid w:val="002A4196"/>
    <w:rsid w:val="002A41E6"/>
    <w:rsid w:val="002A4233"/>
    <w:rsid w:val="002A42A0"/>
    <w:rsid w:val="002A42DB"/>
    <w:rsid w:val="002A43F9"/>
    <w:rsid w:val="002A441D"/>
    <w:rsid w:val="002A4427"/>
    <w:rsid w:val="002A4452"/>
    <w:rsid w:val="002A44D0"/>
    <w:rsid w:val="002A44EB"/>
    <w:rsid w:val="002A4547"/>
    <w:rsid w:val="002A45C4"/>
    <w:rsid w:val="002A4633"/>
    <w:rsid w:val="002A4637"/>
    <w:rsid w:val="002A465F"/>
    <w:rsid w:val="002A468E"/>
    <w:rsid w:val="002A46A5"/>
    <w:rsid w:val="002A46DB"/>
    <w:rsid w:val="002A4716"/>
    <w:rsid w:val="002A4732"/>
    <w:rsid w:val="002A4752"/>
    <w:rsid w:val="002A476A"/>
    <w:rsid w:val="002A47D2"/>
    <w:rsid w:val="002A47D4"/>
    <w:rsid w:val="002A48E0"/>
    <w:rsid w:val="002A4952"/>
    <w:rsid w:val="002A49AD"/>
    <w:rsid w:val="002A49BF"/>
    <w:rsid w:val="002A49ED"/>
    <w:rsid w:val="002A4A2E"/>
    <w:rsid w:val="002A4ABF"/>
    <w:rsid w:val="002A4AC6"/>
    <w:rsid w:val="002A4AF2"/>
    <w:rsid w:val="002A4B0A"/>
    <w:rsid w:val="002A4B0B"/>
    <w:rsid w:val="002A4B13"/>
    <w:rsid w:val="002A4B22"/>
    <w:rsid w:val="002A4B35"/>
    <w:rsid w:val="002A4B68"/>
    <w:rsid w:val="002A4B6B"/>
    <w:rsid w:val="002A4B96"/>
    <w:rsid w:val="002A4BE6"/>
    <w:rsid w:val="002A4BF0"/>
    <w:rsid w:val="002A4C79"/>
    <w:rsid w:val="002A4CD0"/>
    <w:rsid w:val="002A4CD3"/>
    <w:rsid w:val="002A4CE7"/>
    <w:rsid w:val="002A4D02"/>
    <w:rsid w:val="002A4DDA"/>
    <w:rsid w:val="002A4DE3"/>
    <w:rsid w:val="002A4E34"/>
    <w:rsid w:val="002A4E36"/>
    <w:rsid w:val="002A4E90"/>
    <w:rsid w:val="002A4E93"/>
    <w:rsid w:val="002A4F1A"/>
    <w:rsid w:val="002A4F86"/>
    <w:rsid w:val="002A4F8F"/>
    <w:rsid w:val="002A4F9F"/>
    <w:rsid w:val="002A4FB1"/>
    <w:rsid w:val="002A4FFF"/>
    <w:rsid w:val="002A5010"/>
    <w:rsid w:val="002A501C"/>
    <w:rsid w:val="002A5097"/>
    <w:rsid w:val="002A512C"/>
    <w:rsid w:val="002A5134"/>
    <w:rsid w:val="002A517A"/>
    <w:rsid w:val="002A517C"/>
    <w:rsid w:val="002A51AA"/>
    <w:rsid w:val="002A51BF"/>
    <w:rsid w:val="002A523A"/>
    <w:rsid w:val="002A524A"/>
    <w:rsid w:val="002A5256"/>
    <w:rsid w:val="002A5274"/>
    <w:rsid w:val="002A528A"/>
    <w:rsid w:val="002A528E"/>
    <w:rsid w:val="002A52E0"/>
    <w:rsid w:val="002A5306"/>
    <w:rsid w:val="002A531B"/>
    <w:rsid w:val="002A53C6"/>
    <w:rsid w:val="002A542D"/>
    <w:rsid w:val="002A5442"/>
    <w:rsid w:val="002A545D"/>
    <w:rsid w:val="002A5466"/>
    <w:rsid w:val="002A5537"/>
    <w:rsid w:val="002A556D"/>
    <w:rsid w:val="002A5572"/>
    <w:rsid w:val="002A557F"/>
    <w:rsid w:val="002A55F3"/>
    <w:rsid w:val="002A55F4"/>
    <w:rsid w:val="002A562F"/>
    <w:rsid w:val="002A5676"/>
    <w:rsid w:val="002A56F8"/>
    <w:rsid w:val="002A570C"/>
    <w:rsid w:val="002A5715"/>
    <w:rsid w:val="002A571A"/>
    <w:rsid w:val="002A5761"/>
    <w:rsid w:val="002A57A3"/>
    <w:rsid w:val="002A57B5"/>
    <w:rsid w:val="002A57E8"/>
    <w:rsid w:val="002A5860"/>
    <w:rsid w:val="002A58ED"/>
    <w:rsid w:val="002A5973"/>
    <w:rsid w:val="002A5A6E"/>
    <w:rsid w:val="002A5AD5"/>
    <w:rsid w:val="002A5AF9"/>
    <w:rsid w:val="002A5B23"/>
    <w:rsid w:val="002A5C6D"/>
    <w:rsid w:val="002A5C7C"/>
    <w:rsid w:val="002A5CEF"/>
    <w:rsid w:val="002A5DA4"/>
    <w:rsid w:val="002A5E06"/>
    <w:rsid w:val="002A5EB0"/>
    <w:rsid w:val="002A5EBF"/>
    <w:rsid w:val="002A5EC1"/>
    <w:rsid w:val="002A5F01"/>
    <w:rsid w:val="002A5F1C"/>
    <w:rsid w:val="002A5F94"/>
    <w:rsid w:val="002A5FAD"/>
    <w:rsid w:val="002A603B"/>
    <w:rsid w:val="002A605D"/>
    <w:rsid w:val="002A6086"/>
    <w:rsid w:val="002A6095"/>
    <w:rsid w:val="002A611B"/>
    <w:rsid w:val="002A6129"/>
    <w:rsid w:val="002A612F"/>
    <w:rsid w:val="002A61D6"/>
    <w:rsid w:val="002A6265"/>
    <w:rsid w:val="002A62DC"/>
    <w:rsid w:val="002A6396"/>
    <w:rsid w:val="002A63A7"/>
    <w:rsid w:val="002A63CD"/>
    <w:rsid w:val="002A6460"/>
    <w:rsid w:val="002A6496"/>
    <w:rsid w:val="002A649B"/>
    <w:rsid w:val="002A64A0"/>
    <w:rsid w:val="002A64C1"/>
    <w:rsid w:val="002A64EE"/>
    <w:rsid w:val="002A653F"/>
    <w:rsid w:val="002A6551"/>
    <w:rsid w:val="002A658A"/>
    <w:rsid w:val="002A65B4"/>
    <w:rsid w:val="002A667E"/>
    <w:rsid w:val="002A6694"/>
    <w:rsid w:val="002A6696"/>
    <w:rsid w:val="002A66E1"/>
    <w:rsid w:val="002A6725"/>
    <w:rsid w:val="002A674B"/>
    <w:rsid w:val="002A6843"/>
    <w:rsid w:val="002A68C6"/>
    <w:rsid w:val="002A68E7"/>
    <w:rsid w:val="002A6960"/>
    <w:rsid w:val="002A697B"/>
    <w:rsid w:val="002A69AC"/>
    <w:rsid w:val="002A69CD"/>
    <w:rsid w:val="002A6A02"/>
    <w:rsid w:val="002A6A34"/>
    <w:rsid w:val="002A6A58"/>
    <w:rsid w:val="002A6ABF"/>
    <w:rsid w:val="002A6AF4"/>
    <w:rsid w:val="002A6B05"/>
    <w:rsid w:val="002A6B09"/>
    <w:rsid w:val="002A6B22"/>
    <w:rsid w:val="002A6BCE"/>
    <w:rsid w:val="002A6C00"/>
    <w:rsid w:val="002A6C04"/>
    <w:rsid w:val="002A6C96"/>
    <w:rsid w:val="002A6C9C"/>
    <w:rsid w:val="002A6D3D"/>
    <w:rsid w:val="002A6D57"/>
    <w:rsid w:val="002A6D79"/>
    <w:rsid w:val="002A6DE3"/>
    <w:rsid w:val="002A6E43"/>
    <w:rsid w:val="002A6E63"/>
    <w:rsid w:val="002A6E6A"/>
    <w:rsid w:val="002A6EA0"/>
    <w:rsid w:val="002A6F2F"/>
    <w:rsid w:val="002A6F4F"/>
    <w:rsid w:val="002A6F70"/>
    <w:rsid w:val="002A6FC2"/>
    <w:rsid w:val="002A6FD1"/>
    <w:rsid w:val="002A6FFE"/>
    <w:rsid w:val="002A7025"/>
    <w:rsid w:val="002A705D"/>
    <w:rsid w:val="002A70A6"/>
    <w:rsid w:val="002A7103"/>
    <w:rsid w:val="002A7155"/>
    <w:rsid w:val="002A71B9"/>
    <w:rsid w:val="002A71BA"/>
    <w:rsid w:val="002A71C3"/>
    <w:rsid w:val="002A71DD"/>
    <w:rsid w:val="002A7222"/>
    <w:rsid w:val="002A72C1"/>
    <w:rsid w:val="002A72E7"/>
    <w:rsid w:val="002A736E"/>
    <w:rsid w:val="002A737B"/>
    <w:rsid w:val="002A7390"/>
    <w:rsid w:val="002A7427"/>
    <w:rsid w:val="002A7440"/>
    <w:rsid w:val="002A753B"/>
    <w:rsid w:val="002A7592"/>
    <w:rsid w:val="002A7638"/>
    <w:rsid w:val="002A765D"/>
    <w:rsid w:val="002A76E6"/>
    <w:rsid w:val="002A783F"/>
    <w:rsid w:val="002A7852"/>
    <w:rsid w:val="002A78E9"/>
    <w:rsid w:val="002A78EA"/>
    <w:rsid w:val="002A794C"/>
    <w:rsid w:val="002A797E"/>
    <w:rsid w:val="002A79A5"/>
    <w:rsid w:val="002A7A4F"/>
    <w:rsid w:val="002A7A9C"/>
    <w:rsid w:val="002A7ABB"/>
    <w:rsid w:val="002A7AC1"/>
    <w:rsid w:val="002A7B16"/>
    <w:rsid w:val="002A7B39"/>
    <w:rsid w:val="002A7B49"/>
    <w:rsid w:val="002A7BA7"/>
    <w:rsid w:val="002A7BAA"/>
    <w:rsid w:val="002A7C61"/>
    <w:rsid w:val="002A7C75"/>
    <w:rsid w:val="002A7D30"/>
    <w:rsid w:val="002A7D47"/>
    <w:rsid w:val="002A7D81"/>
    <w:rsid w:val="002A7D82"/>
    <w:rsid w:val="002A7DDB"/>
    <w:rsid w:val="002A7E0C"/>
    <w:rsid w:val="002A7E40"/>
    <w:rsid w:val="002A7E5E"/>
    <w:rsid w:val="002A7E9C"/>
    <w:rsid w:val="002A7EBA"/>
    <w:rsid w:val="002A7F06"/>
    <w:rsid w:val="002A7F10"/>
    <w:rsid w:val="002A7F89"/>
    <w:rsid w:val="002A7FF6"/>
    <w:rsid w:val="002B00AB"/>
    <w:rsid w:val="002B00B9"/>
    <w:rsid w:val="002B00BF"/>
    <w:rsid w:val="002B00D0"/>
    <w:rsid w:val="002B0185"/>
    <w:rsid w:val="002B01FB"/>
    <w:rsid w:val="002B02C3"/>
    <w:rsid w:val="002B02DF"/>
    <w:rsid w:val="002B032F"/>
    <w:rsid w:val="002B037E"/>
    <w:rsid w:val="002B03A2"/>
    <w:rsid w:val="002B0419"/>
    <w:rsid w:val="002B0452"/>
    <w:rsid w:val="002B0471"/>
    <w:rsid w:val="002B04EE"/>
    <w:rsid w:val="002B0561"/>
    <w:rsid w:val="002B067D"/>
    <w:rsid w:val="002B0696"/>
    <w:rsid w:val="002B069D"/>
    <w:rsid w:val="002B0705"/>
    <w:rsid w:val="002B0761"/>
    <w:rsid w:val="002B0790"/>
    <w:rsid w:val="002B07A9"/>
    <w:rsid w:val="002B083B"/>
    <w:rsid w:val="002B085C"/>
    <w:rsid w:val="002B0860"/>
    <w:rsid w:val="002B0868"/>
    <w:rsid w:val="002B0878"/>
    <w:rsid w:val="002B0909"/>
    <w:rsid w:val="002B0953"/>
    <w:rsid w:val="002B09B3"/>
    <w:rsid w:val="002B09C5"/>
    <w:rsid w:val="002B09F3"/>
    <w:rsid w:val="002B09F6"/>
    <w:rsid w:val="002B0A24"/>
    <w:rsid w:val="002B0A82"/>
    <w:rsid w:val="002B0A9B"/>
    <w:rsid w:val="002B0AA1"/>
    <w:rsid w:val="002B0AB9"/>
    <w:rsid w:val="002B0ABC"/>
    <w:rsid w:val="002B0B67"/>
    <w:rsid w:val="002B0B85"/>
    <w:rsid w:val="002B0B9B"/>
    <w:rsid w:val="002B0B9C"/>
    <w:rsid w:val="002B0C54"/>
    <w:rsid w:val="002B0C71"/>
    <w:rsid w:val="002B0C7C"/>
    <w:rsid w:val="002B0CC7"/>
    <w:rsid w:val="002B0D4E"/>
    <w:rsid w:val="002B0D6F"/>
    <w:rsid w:val="002B0D9C"/>
    <w:rsid w:val="002B0DB1"/>
    <w:rsid w:val="002B0DB8"/>
    <w:rsid w:val="002B0E79"/>
    <w:rsid w:val="002B0EAC"/>
    <w:rsid w:val="002B0F02"/>
    <w:rsid w:val="002B0F6B"/>
    <w:rsid w:val="002B0F8C"/>
    <w:rsid w:val="002B0FF4"/>
    <w:rsid w:val="002B100D"/>
    <w:rsid w:val="002B10E0"/>
    <w:rsid w:val="002B10F9"/>
    <w:rsid w:val="002B112F"/>
    <w:rsid w:val="002B11B0"/>
    <w:rsid w:val="002B1206"/>
    <w:rsid w:val="002B12A2"/>
    <w:rsid w:val="002B12A3"/>
    <w:rsid w:val="002B12BF"/>
    <w:rsid w:val="002B12D2"/>
    <w:rsid w:val="002B12E8"/>
    <w:rsid w:val="002B1305"/>
    <w:rsid w:val="002B1359"/>
    <w:rsid w:val="002B13A4"/>
    <w:rsid w:val="002B13D6"/>
    <w:rsid w:val="002B1422"/>
    <w:rsid w:val="002B142F"/>
    <w:rsid w:val="002B1451"/>
    <w:rsid w:val="002B14E4"/>
    <w:rsid w:val="002B1501"/>
    <w:rsid w:val="002B15CB"/>
    <w:rsid w:val="002B1619"/>
    <w:rsid w:val="002B164E"/>
    <w:rsid w:val="002B1655"/>
    <w:rsid w:val="002B1661"/>
    <w:rsid w:val="002B1790"/>
    <w:rsid w:val="002B17F4"/>
    <w:rsid w:val="002B1836"/>
    <w:rsid w:val="002B1839"/>
    <w:rsid w:val="002B1967"/>
    <w:rsid w:val="002B1981"/>
    <w:rsid w:val="002B19A9"/>
    <w:rsid w:val="002B1A3E"/>
    <w:rsid w:val="002B1A47"/>
    <w:rsid w:val="002B1A62"/>
    <w:rsid w:val="002B1A7F"/>
    <w:rsid w:val="002B1AB6"/>
    <w:rsid w:val="002B1B10"/>
    <w:rsid w:val="002B1B59"/>
    <w:rsid w:val="002B1B6A"/>
    <w:rsid w:val="002B1B6B"/>
    <w:rsid w:val="002B1C26"/>
    <w:rsid w:val="002B1C57"/>
    <w:rsid w:val="002B1D14"/>
    <w:rsid w:val="002B1D26"/>
    <w:rsid w:val="002B1DA8"/>
    <w:rsid w:val="002B1DB7"/>
    <w:rsid w:val="002B1DC4"/>
    <w:rsid w:val="002B1DCA"/>
    <w:rsid w:val="002B1DD0"/>
    <w:rsid w:val="002B1DE3"/>
    <w:rsid w:val="002B1E45"/>
    <w:rsid w:val="002B1EA8"/>
    <w:rsid w:val="002B1EB9"/>
    <w:rsid w:val="002B1ECA"/>
    <w:rsid w:val="002B1ECD"/>
    <w:rsid w:val="002B1F12"/>
    <w:rsid w:val="002B1F85"/>
    <w:rsid w:val="002B1FB0"/>
    <w:rsid w:val="002B202F"/>
    <w:rsid w:val="002B2035"/>
    <w:rsid w:val="002B203B"/>
    <w:rsid w:val="002B20D0"/>
    <w:rsid w:val="002B20F1"/>
    <w:rsid w:val="002B20F5"/>
    <w:rsid w:val="002B2131"/>
    <w:rsid w:val="002B215B"/>
    <w:rsid w:val="002B21A2"/>
    <w:rsid w:val="002B22AB"/>
    <w:rsid w:val="002B230A"/>
    <w:rsid w:val="002B230D"/>
    <w:rsid w:val="002B23BF"/>
    <w:rsid w:val="002B23C9"/>
    <w:rsid w:val="002B23DA"/>
    <w:rsid w:val="002B242C"/>
    <w:rsid w:val="002B247D"/>
    <w:rsid w:val="002B24D2"/>
    <w:rsid w:val="002B24E6"/>
    <w:rsid w:val="002B2542"/>
    <w:rsid w:val="002B25F5"/>
    <w:rsid w:val="002B25FA"/>
    <w:rsid w:val="002B2656"/>
    <w:rsid w:val="002B2658"/>
    <w:rsid w:val="002B2676"/>
    <w:rsid w:val="002B267F"/>
    <w:rsid w:val="002B2688"/>
    <w:rsid w:val="002B270D"/>
    <w:rsid w:val="002B2710"/>
    <w:rsid w:val="002B2764"/>
    <w:rsid w:val="002B2791"/>
    <w:rsid w:val="002B27B4"/>
    <w:rsid w:val="002B27B9"/>
    <w:rsid w:val="002B27BE"/>
    <w:rsid w:val="002B27C4"/>
    <w:rsid w:val="002B27DB"/>
    <w:rsid w:val="002B27E6"/>
    <w:rsid w:val="002B27EB"/>
    <w:rsid w:val="002B27F1"/>
    <w:rsid w:val="002B280B"/>
    <w:rsid w:val="002B2833"/>
    <w:rsid w:val="002B28B7"/>
    <w:rsid w:val="002B28FD"/>
    <w:rsid w:val="002B2935"/>
    <w:rsid w:val="002B2945"/>
    <w:rsid w:val="002B2977"/>
    <w:rsid w:val="002B299A"/>
    <w:rsid w:val="002B29CA"/>
    <w:rsid w:val="002B29DA"/>
    <w:rsid w:val="002B29E4"/>
    <w:rsid w:val="002B29EC"/>
    <w:rsid w:val="002B2A06"/>
    <w:rsid w:val="002B2A1A"/>
    <w:rsid w:val="002B2A4C"/>
    <w:rsid w:val="002B2AC9"/>
    <w:rsid w:val="002B2B1B"/>
    <w:rsid w:val="002B2B20"/>
    <w:rsid w:val="002B2B24"/>
    <w:rsid w:val="002B2B42"/>
    <w:rsid w:val="002B2B6E"/>
    <w:rsid w:val="002B2B82"/>
    <w:rsid w:val="002B2B9A"/>
    <w:rsid w:val="002B2BF3"/>
    <w:rsid w:val="002B2C04"/>
    <w:rsid w:val="002B2C41"/>
    <w:rsid w:val="002B2C64"/>
    <w:rsid w:val="002B2C77"/>
    <w:rsid w:val="002B2CD8"/>
    <w:rsid w:val="002B2D08"/>
    <w:rsid w:val="002B2D60"/>
    <w:rsid w:val="002B2DB1"/>
    <w:rsid w:val="002B2DE1"/>
    <w:rsid w:val="002B2E2D"/>
    <w:rsid w:val="002B2E46"/>
    <w:rsid w:val="002B2E4E"/>
    <w:rsid w:val="002B2E79"/>
    <w:rsid w:val="002B2E8F"/>
    <w:rsid w:val="002B2E97"/>
    <w:rsid w:val="002B2ED7"/>
    <w:rsid w:val="002B2F06"/>
    <w:rsid w:val="002B2F32"/>
    <w:rsid w:val="002B2F82"/>
    <w:rsid w:val="002B2F9D"/>
    <w:rsid w:val="002B2FF9"/>
    <w:rsid w:val="002B300D"/>
    <w:rsid w:val="002B303A"/>
    <w:rsid w:val="002B3044"/>
    <w:rsid w:val="002B306F"/>
    <w:rsid w:val="002B3088"/>
    <w:rsid w:val="002B3096"/>
    <w:rsid w:val="002B309C"/>
    <w:rsid w:val="002B30A7"/>
    <w:rsid w:val="002B312B"/>
    <w:rsid w:val="002B3138"/>
    <w:rsid w:val="002B3201"/>
    <w:rsid w:val="002B330E"/>
    <w:rsid w:val="002B3384"/>
    <w:rsid w:val="002B33AA"/>
    <w:rsid w:val="002B33B4"/>
    <w:rsid w:val="002B33F3"/>
    <w:rsid w:val="002B341C"/>
    <w:rsid w:val="002B3483"/>
    <w:rsid w:val="002B34D1"/>
    <w:rsid w:val="002B352D"/>
    <w:rsid w:val="002B356D"/>
    <w:rsid w:val="002B359C"/>
    <w:rsid w:val="002B35EA"/>
    <w:rsid w:val="002B3609"/>
    <w:rsid w:val="002B368E"/>
    <w:rsid w:val="002B36A1"/>
    <w:rsid w:val="002B36C1"/>
    <w:rsid w:val="002B376B"/>
    <w:rsid w:val="002B37E6"/>
    <w:rsid w:val="002B37F9"/>
    <w:rsid w:val="002B38DD"/>
    <w:rsid w:val="002B3923"/>
    <w:rsid w:val="002B3924"/>
    <w:rsid w:val="002B3993"/>
    <w:rsid w:val="002B39DE"/>
    <w:rsid w:val="002B3A7E"/>
    <w:rsid w:val="002B3AE9"/>
    <w:rsid w:val="002B3B31"/>
    <w:rsid w:val="002B3BA3"/>
    <w:rsid w:val="002B3BB7"/>
    <w:rsid w:val="002B3BC6"/>
    <w:rsid w:val="002B3BCF"/>
    <w:rsid w:val="002B3BE2"/>
    <w:rsid w:val="002B3CC4"/>
    <w:rsid w:val="002B3CF9"/>
    <w:rsid w:val="002B3D67"/>
    <w:rsid w:val="002B3D79"/>
    <w:rsid w:val="002B3D7A"/>
    <w:rsid w:val="002B3E4E"/>
    <w:rsid w:val="002B3E65"/>
    <w:rsid w:val="002B3E80"/>
    <w:rsid w:val="002B3ED4"/>
    <w:rsid w:val="002B3F00"/>
    <w:rsid w:val="002B3F08"/>
    <w:rsid w:val="002B3F88"/>
    <w:rsid w:val="002B3FE1"/>
    <w:rsid w:val="002B4045"/>
    <w:rsid w:val="002B4086"/>
    <w:rsid w:val="002B40A5"/>
    <w:rsid w:val="002B40C6"/>
    <w:rsid w:val="002B40E9"/>
    <w:rsid w:val="002B40FA"/>
    <w:rsid w:val="002B4103"/>
    <w:rsid w:val="002B4150"/>
    <w:rsid w:val="002B41A8"/>
    <w:rsid w:val="002B41C1"/>
    <w:rsid w:val="002B4204"/>
    <w:rsid w:val="002B42DD"/>
    <w:rsid w:val="002B4307"/>
    <w:rsid w:val="002B430D"/>
    <w:rsid w:val="002B4354"/>
    <w:rsid w:val="002B435C"/>
    <w:rsid w:val="002B4481"/>
    <w:rsid w:val="002B452C"/>
    <w:rsid w:val="002B4583"/>
    <w:rsid w:val="002B45A5"/>
    <w:rsid w:val="002B45DB"/>
    <w:rsid w:val="002B4600"/>
    <w:rsid w:val="002B4666"/>
    <w:rsid w:val="002B46BB"/>
    <w:rsid w:val="002B46CE"/>
    <w:rsid w:val="002B4766"/>
    <w:rsid w:val="002B4773"/>
    <w:rsid w:val="002B478B"/>
    <w:rsid w:val="002B490B"/>
    <w:rsid w:val="002B499C"/>
    <w:rsid w:val="002B49A1"/>
    <w:rsid w:val="002B4A04"/>
    <w:rsid w:val="002B4A1C"/>
    <w:rsid w:val="002B4A47"/>
    <w:rsid w:val="002B4A5C"/>
    <w:rsid w:val="002B4A9E"/>
    <w:rsid w:val="002B4AB9"/>
    <w:rsid w:val="002B4AC0"/>
    <w:rsid w:val="002B4BFC"/>
    <w:rsid w:val="002B4CA6"/>
    <w:rsid w:val="002B4D7D"/>
    <w:rsid w:val="002B4E06"/>
    <w:rsid w:val="002B4E4B"/>
    <w:rsid w:val="002B4E60"/>
    <w:rsid w:val="002B4ED5"/>
    <w:rsid w:val="002B4F88"/>
    <w:rsid w:val="002B4FB7"/>
    <w:rsid w:val="002B4FFC"/>
    <w:rsid w:val="002B5000"/>
    <w:rsid w:val="002B5048"/>
    <w:rsid w:val="002B507A"/>
    <w:rsid w:val="002B50E9"/>
    <w:rsid w:val="002B5102"/>
    <w:rsid w:val="002B513B"/>
    <w:rsid w:val="002B5171"/>
    <w:rsid w:val="002B5175"/>
    <w:rsid w:val="002B51AC"/>
    <w:rsid w:val="002B51DA"/>
    <w:rsid w:val="002B52A5"/>
    <w:rsid w:val="002B5319"/>
    <w:rsid w:val="002B53C6"/>
    <w:rsid w:val="002B53EB"/>
    <w:rsid w:val="002B53F1"/>
    <w:rsid w:val="002B5429"/>
    <w:rsid w:val="002B543C"/>
    <w:rsid w:val="002B5478"/>
    <w:rsid w:val="002B54F3"/>
    <w:rsid w:val="002B54F6"/>
    <w:rsid w:val="002B553E"/>
    <w:rsid w:val="002B5548"/>
    <w:rsid w:val="002B5563"/>
    <w:rsid w:val="002B5569"/>
    <w:rsid w:val="002B55AD"/>
    <w:rsid w:val="002B55C3"/>
    <w:rsid w:val="002B55C9"/>
    <w:rsid w:val="002B5693"/>
    <w:rsid w:val="002B56E1"/>
    <w:rsid w:val="002B5768"/>
    <w:rsid w:val="002B57CA"/>
    <w:rsid w:val="002B57DD"/>
    <w:rsid w:val="002B57FB"/>
    <w:rsid w:val="002B581D"/>
    <w:rsid w:val="002B582B"/>
    <w:rsid w:val="002B5865"/>
    <w:rsid w:val="002B5891"/>
    <w:rsid w:val="002B589C"/>
    <w:rsid w:val="002B58AC"/>
    <w:rsid w:val="002B58BD"/>
    <w:rsid w:val="002B58D5"/>
    <w:rsid w:val="002B5909"/>
    <w:rsid w:val="002B5971"/>
    <w:rsid w:val="002B5977"/>
    <w:rsid w:val="002B59B7"/>
    <w:rsid w:val="002B59BA"/>
    <w:rsid w:val="002B59E9"/>
    <w:rsid w:val="002B5A23"/>
    <w:rsid w:val="002B5A5C"/>
    <w:rsid w:val="002B5AD5"/>
    <w:rsid w:val="002B5B09"/>
    <w:rsid w:val="002B5B63"/>
    <w:rsid w:val="002B5BBA"/>
    <w:rsid w:val="002B5BFF"/>
    <w:rsid w:val="002B5C97"/>
    <w:rsid w:val="002B5CBC"/>
    <w:rsid w:val="002B5D12"/>
    <w:rsid w:val="002B5D55"/>
    <w:rsid w:val="002B5D8D"/>
    <w:rsid w:val="002B5D9C"/>
    <w:rsid w:val="002B5E4E"/>
    <w:rsid w:val="002B5E9C"/>
    <w:rsid w:val="002B5EB9"/>
    <w:rsid w:val="002B5ED0"/>
    <w:rsid w:val="002B5EDC"/>
    <w:rsid w:val="002B5F1B"/>
    <w:rsid w:val="002B5FF7"/>
    <w:rsid w:val="002B600C"/>
    <w:rsid w:val="002B6026"/>
    <w:rsid w:val="002B60A2"/>
    <w:rsid w:val="002B60BF"/>
    <w:rsid w:val="002B60D2"/>
    <w:rsid w:val="002B6101"/>
    <w:rsid w:val="002B614E"/>
    <w:rsid w:val="002B6156"/>
    <w:rsid w:val="002B6210"/>
    <w:rsid w:val="002B624F"/>
    <w:rsid w:val="002B628E"/>
    <w:rsid w:val="002B6320"/>
    <w:rsid w:val="002B635E"/>
    <w:rsid w:val="002B6371"/>
    <w:rsid w:val="002B638E"/>
    <w:rsid w:val="002B63F4"/>
    <w:rsid w:val="002B642A"/>
    <w:rsid w:val="002B64C9"/>
    <w:rsid w:val="002B64E0"/>
    <w:rsid w:val="002B64E1"/>
    <w:rsid w:val="002B6610"/>
    <w:rsid w:val="002B6618"/>
    <w:rsid w:val="002B67F4"/>
    <w:rsid w:val="002B6882"/>
    <w:rsid w:val="002B6887"/>
    <w:rsid w:val="002B689E"/>
    <w:rsid w:val="002B68E8"/>
    <w:rsid w:val="002B691F"/>
    <w:rsid w:val="002B6920"/>
    <w:rsid w:val="002B696F"/>
    <w:rsid w:val="002B69DD"/>
    <w:rsid w:val="002B6A49"/>
    <w:rsid w:val="002B6B0E"/>
    <w:rsid w:val="002B6B17"/>
    <w:rsid w:val="002B6BFF"/>
    <w:rsid w:val="002B6C2A"/>
    <w:rsid w:val="002B6C2E"/>
    <w:rsid w:val="002B6C85"/>
    <w:rsid w:val="002B6CAC"/>
    <w:rsid w:val="002B6CBE"/>
    <w:rsid w:val="002B6D8A"/>
    <w:rsid w:val="002B6DAA"/>
    <w:rsid w:val="002B6DC7"/>
    <w:rsid w:val="002B6E52"/>
    <w:rsid w:val="002B6E60"/>
    <w:rsid w:val="002B6E70"/>
    <w:rsid w:val="002B6E76"/>
    <w:rsid w:val="002B6E79"/>
    <w:rsid w:val="002B6ED1"/>
    <w:rsid w:val="002B6F12"/>
    <w:rsid w:val="002B6FE1"/>
    <w:rsid w:val="002B70B7"/>
    <w:rsid w:val="002B70C8"/>
    <w:rsid w:val="002B70D0"/>
    <w:rsid w:val="002B7115"/>
    <w:rsid w:val="002B717B"/>
    <w:rsid w:val="002B71CE"/>
    <w:rsid w:val="002B7203"/>
    <w:rsid w:val="002B7248"/>
    <w:rsid w:val="002B7269"/>
    <w:rsid w:val="002B727F"/>
    <w:rsid w:val="002B72AE"/>
    <w:rsid w:val="002B72F7"/>
    <w:rsid w:val="002B739E"/>
    <w:rsid w:val="002B73C3"/>
    <w:rsid w:val="002B742B"/>
    <w:rsid w:val="002B7444"/>
    <w:rsid w:val="002B7468"/>
    <w:rsid w:val="002B7551"/>
    <w:rsid w:val="002B755D"/>
    <w:rsid w:val="002B75A5"/>
    <w:rsid w:val="002B75EB"/>
    <w:rsid w:val="002B7654"/>
    <w:rsid w:val="002B768A"/>
    <w:rsid w:val="002B7696"/>
    <w:rsid w:val="002B76A7"/>
    <w:rsid w:val="002B76BE"/>
    <w:rsid w:val="002B76C2"/>
    <w:rsid w:val="002B76DE"/>
    <w:rsid w:val="002B7745"/>
    <w:rsid w:val="002B7799"/>
    <w:rsid w:val="002B779D"/>
    <w:rsid w:val="002B78DB"/>
    <w:rsid w:val="002B78DF"/>
    <w:rsid w:val="002B7907"/>
    <w:rsid w:val="002B793C"/>
    <w:rsid w:val="002B79E5"/>
    <w:rsid w:val="002B79EE"/>
    <w:rsid w:val="002B7A23"/>
    <w:rsid w:val="002B7A4E"/>
    <w:rsid w:val="002B7B0C"/>
    <w:rsid w:val="002B7B62"/>
    <w:rsid w:val="002B7C71"/>
    <w:rsid w:val="002B7D0A"/>
    <w:rsid w:val="002B7D74"/>
    <w:rsid w:val="002B7DD8"/>
    <w:rsid w:val="002B7DDC"/>
    <w:rsid w:val="002B7DFD"/>
    <w:rsid w:val="002B7E74"/>
    <w:rsid w:val="002B7E9A"/>
    <w:rsid w:val="002B7F02"/>
    <w:rsid w:val="002B7FAF"/>
    <w:rsid w:val="002B7FD0"/>
    <w:rsid w:val="002B7FE0"/>
    <w:rsid w:val="002B7FEB"/>
    <w:rsid w:val="002C00E7"/>
    <w:rsid w:val="002C0117"/>
    <w:rsid w:val="002C0153"/>
    <w:rsid w:val="002C01A6"/>
    <w:rsid w:val="002C01D2"/>
    <w:rsid w:val="002C0257"/>
    <w:rsid w:val="002C025B"/>
    <w:rsid w:val="002C02C3"/>
    <w:rsid w:val="002C02E8"/>
    <w:rsid w:val="002C0383"/>
    <w:rsid w:val="002C039F"/>
    <w:rsid w:val="002C03E2"/>
    <w:rsid w:val="002C044D"/>
    <w:rsid w:val="002C04A0"/>
    <w:rsid w:val="002C0560"/>
    <w:rsid w:val="002C05B6"/>
    <w:rsid w:val="002C05F3"/>
    <w:rsid w:val="002C0714"/>
    <w:rsid w:val="002C07FB"/>
    <w:rsid w:val="002C081B"/>
    <w:rsid w:val="002C0833"/>
    <w:rsid w:val="002C084A"/>
    <w:rsid w:val="002C087B"/>
    <w:rsid w:val="002C087D"/>
    <w:rsid w:val="002C08C6"/>
    <w:rsid w:val="002C090C"/>
    <w:rsid w:val="002C091A"/>
    <w:rsid w:val="002C0989"/>
    <w:rsid w:val="002C09A4"/>
    <w:rsid w:val="002C0A5B"/>
    <w:rsid w:val="002C0A6B"/>
    <w:rsid w:val="002C0B80"/>
    <w:rsid w:val="002C0B8A"/>
    <w:rsid w:val="002C0BAA"/>
    <w:rsid w:val="002C0BB2"/>
    <w:rsid w:val="002C0C02"/>
    <w:rsid w:val="002C0C08"/>
    <w:rsid w:val="002C0D5D"/>
    <w:rsid w:val="002C0DA4"/>
    <w:rsid w:val="002C0DA6"/>
    <w:rsid w:val="002C0DA8"/>
    <w:rsid w:val="002C0E84"/>
    <w:rsid w:val="002C0F01"/>
    <w:rsid w:val="002C0F30"/>
    <w:rsid w:val="002C0F46"/>
    <w:rsid w:val="002C0FBB"/>
    <w:rsid w:val="002C0FF5"/>
    <w:rsid w:val="002C0FFB"/>
    <w:rsid w:val="002C1013"/>
    <w:rsid w:val="002C1071"/>
    <w:rsid w:val="002C109B"/>
    <w:rsid w:val="002C112A"/>
    <w:rsid w:val="002C1142"/>
    <w:rsid w:val="002C115A"/>
    <w:rsid w:val="002C119C"/>
    <w:rsid w:val="002C11AC"/>
    <w:rsid w:val="002C11B9"/>
    <w:rsid w:val="002C1282"/>
    <w:rsid w:val="002C129D"/>
    <w:rsid w:val="002C12A1"/>
    <w:rsid w:val="002C12B9"/>
    <w:rsid w:val="002C12C6"/>
    <w:rsid w:val="002C12E3"/>
    <w:rsid w:val="002C1309"/>
    <w:rsid w:val="002C1337"/>
    <w:rsid w:val="002C137A"/>
    <w:rsid w:val="002C1397"/>
    <w:rsid w:val="002C1495"/>
    <w:rsid w:val="002C14BD"/>
    <w:rsid w:val="002C14C0"/>
    <w:rsid w:val="002C1606"/>
    <w:rsid w:val="002C163A"/>
    <w:rsid w:val="002C164B"/>
    <w:rsid w:val="002C1689"/>
    <w:rsid w:val="002C16B8"/>
    <w:rsid w:val="002C16F1"/>
    <w:rsid w:val="002C176C"/>
    <w:rsid w:val="002C1779"/>
    <w:rsid w:val="002C17E4"/>
    <w:rsid w:val="002C186D"/>
    <w:rsid w:val="002C189A"/>
    <w:rsid w:val="002C191A"/>
    <w:rsid w:val="002C195F"/>
    <w:rsid w:val="002C1968"/>
    <w:rsid w:val="002C1974"/>
    <w:rsid w:val="002C19D3"/>
    <w:rsid w:val="002C19DA"/>
    <w:rsid w:val="002C19F6"/>
    <w:rsid w:val="002C1A1B"/>
    <w:rsid w:val="002C1A58"/>
    <w:rsid w:val="002C1A7D"/>
    <w:rsid w:val="002C1B6E"/>
    <w:rsid w:val="002C1BAC"/>
    <w:rsid w:val="002C1C55"/>
    <w:rsid w:val="002C1CB6"/>
    <w:rsid w:val="002C1CDF"/>
    <w:rsid w:val="002C1D96"/>
    <w:rsid w:val="002C1DBA"/>
    <w:rsid w:val="002C1E79"/>
    <w:rsid w:val="002C1F0B"/>
    <w:rsid w:val="002C1F30"/>
    <w:rsid w:val="002C1F8A"/>
    <w:rsid w:val="002C2063"/>
    <w:rsid w:val="002C2104"/>
    <w:rsid w:val="002C219B"/>
    <w:rsid w:val="002C21E9"/>
    <w:rsid w:val="002C2273"/>
    <w:rsid w:val="002C228B"/>
    <w:rsid w:val="002C22FB"/>
    <w:rsid w:val="002C236F"/>
    <w:rsid w:val="002C2381"/>
    <w:rsid w:val="002C243F"/>
    <w:rsid w:val="002C2467"/>
    <w:rsid w:val="002C2495"/>
    <w:rsid w:val="002C24C4"/>
    <w:rsid w:val="002C251A"/>
    <w:rsid w:val="002C258E"/>
    <w:rsid w:val="002C25AF"/>
    <w:rsid w:val="002C25D2"/>
    <w:rsid w:val="002C25D3"/>
    <w:rsid w:val="002C2686"/>
    <w:rsid w:val="002C268B"/>
    <w:rsid w:val="002C2693"/>
    <w:rsid w:val="002C26C6"/>
    <w:rsid w:val="002C2776"/>
    <w:rsid w:val="002C2782"/>
    <w:rsid w:val="002C27E4"/>
    <w:rsid w:val="002C2853"/>
    <w:rsid w:val="002C28AD"/>
    <w:rsid w:val="002C28AF"/>
    <w:rsid w:val="002C28DB"/>
    <w:rsid w:val="002C290D"/>
    <w:rsid w:val="002C29BC"/>
    <w:rsid w:val="002C29CF"/>
    <w:rsid w:val="002C29EE"/>
    <w:rsid w:val="002C2A55"/>
    <w:rsid w:val="002C2A58"/>
    <w:rsid w:val="002C2A69"/>
    <w:rsid w:val="002C2B53"/>
    <w:rsid w:val="002C2B84"/>
    <w:rsid w:val="002C2C4C"/>
    <w:rsid w:val="002C2C54"/>
    <w:rsid w:val="002C2C6F"/>
    <w:rsid w:val="002C2CEC"/>
    <w:rsid w:val="002C2D4D"/>
    <w:rsid w:val="002C2E1F"/>
    <w:rsid w:val="002C2E41"/>
    <w:rsid w:val="002C2E58"/>
    <w:rsid w:val="002C2E8F"/>
    <w:rsid w:val="002C2EE4"/>
    <w:rsid w:val="002C2F1B"/>
    <w:rsid w:val="002C2F22"/>
    <w:rsid w:val="002C2F56"/>
    <w:rsid w:val="002C301C"/>
    <w:rsid w:val="002C3048"/>
    <w:rsid w:val="002C304E"/>
    <w:rsid w:val="002C307C"/>
    <w:rsid w:val="002C30AD"/>
    <w:rsid w:val="002C3265"/>
    <w:rsid w:val="002C33B8"/>
    <w:rsid w:val="002C33D5"/>
    <w:rsid w:val="002C3437"/>
    <w:rsid w:val="002C3448"/>
    <w:rsid w:val="002C34A1"/>
    <w:rsid w:val="002C34CE"/>
    <w:rsid w:val="002C356B"/>
    <w:rsid w:val="002C35EF"/>
    <w:rsid w:val="002C3623"/>
    <w:rsid w:val="002C3670"/>
    <w:rsid w:val="002C36B4"/>
    <w:rsid w:val="002C3737"/>
    <w:rsid w:val="002C376A"/>
    <w:rsid w:val="002C37A1"/>
    <w:rsid w:val="002C37A3"/>
    <w:rsid w:val="002C37B3"/>
    <w:rsid w:val="002C37D3"/>
    <w:rsid w:val="002C37DA"/>
    <w:rsid w:val="002C381B"/>
    <w:rsid w:val="002C3832"/>
    <w:rsid w:val="002C3850"/>
    <w:rsid w:val="002C395E"/>
    <w:rsid w:val="002C3974"/>
    <w:rsid w:val="002C3A18"/>
    <w:rsid w:val="002C3ACD"/>
    <w:rsid w:val="002C3BE3"/>
    <w:rsid w:val="002C3C14"/>
    <w:rsid w:val="002C3C8A"/>
    <w:rsid w:val="002C3E3E"/>
    <w:rsid w:val="002C3EF1"/>
    <w:rsid w:val="002C3F82"/>
    <w:rsid w:val="002C3FEB"/>
    <w:rsid w:val="002C4043"/>
    <w:rsid w:val="002C407C"/>
    <w:rsid w:val="002C4089"/>
    <w:rsid w:val="002C4102"/>
    <w:rsid w:val="002C411D"/>
    <w:rsid w:val="002C418B"/>
    <w:rsid w:val="002C41F8"/>
    <w:rsid w:val="002C4226"/>
    <w:rsid w:val="002C4228"/>
    <w:rsid w:val="002C423C"/>
    <w:rsid w:val="002C427E"/>
    <w:rsid w:val="002C429E"/>
    <w:rsid w:val="002C42E3"/>
    <w:rsid w:val="002C4347"/>
    <w:rsid w:val="002C43FE"/>
    <w:rsid w:val="002C446C"/>
    <w:rsid w:val="002C44B3"/>
    <w:rsid w:val="002C44F7"/>
    <w:rsid w:val="002C454B"/>
    <w:rsid w:val="002C4552"/>
    <w:rsid w:val="002C45B4"/>
    <w:rsid w:val="002C45CB"/>
    <w:rsid w:val="002C46E7"/>
    <w:rsid w:val="002C4700"/>
    <w:rsid w:val="002C4719"/>
    <w:rsid w:val="002C4783"/>
    <w:rsid w:val="002C4830"/>
    <w:rsid w:val="002C48F2"/>
    <w:rsid w:val="002C48FA"/>
    <w:rsid w:val="002C490D"/>
    <w:rsid w:val="002C4A88"/>
    <w:rsid w:val="002C4A98"/>
    <w:rsid w:val="002C4B0A"/>
    <w:rsid w:val="002C4B0B"/>
    <w:rsid w:val="002C4B4D"/>
    <w:rsid w:val="002C4B84"/>
    <w:rsid w:val="002C4BF5"/>
    <w:rsid w:val="002C4D74"/>
    <w:rsid w:val="002C4E5F"/>
    <w:rsid w:val="002C4E60"/>
    <w:rsid w:val="002C4EA6"/>
    <w:rsid w:val="002C4ED1"/>
    <w:rsid w:val="002C4F02"/>
    <w:rsid w:val="002C4F62"/>
    <w:rsid w:val="002C4F8A"/>
    <w:rsid w:val="002C4F9E"/>
    <w:rsid w:val="002C4FB6"/>
    <w:rsid w:val="002C4FD6"/>
    <w:rsid w:val="002C4FD9"/>
    <w:rsid w:val="002C4FFA"/>
    <w:rsid w:val="002C5036"/>
    <w:rsid w:val="002C5038"/>
    <w:rsid w:val="002C5048"/>
    <w:rsid w:val="002C50CD"/>
    <w:rsid w:val="002C5109"/>
    <w:rsid w:val="002C5126"/>
    <w:rsid w:val="002C515C"/>
    <w:rsid w:val="002C5189"/>
    <w:rsid w:val="002C5197"/>
    <w:rsid w:val="002C51EF"/>
    <w:rsid w:val="002C5232"/>
    <w:rsid w:val="002C524F"/>
    <w:rsid w:val="002C5299"/>
    <w:rsid w:val="002C529B"/>
    <w:rsid w:val="002C5333"/>
    <w:rsid w:val="002C53A6"/>
    <w:rsid w:val="002C53A7"/>
    <w:rsid w:val="002C5427"/>
    <w:rsid w:val="002C54F2"/>
    <w:rsid w:val="002C554E"/>
    <w:rsid w:val="002C5557"/>
    <w:rsid w:val="002C5595"/>
    <w:rsid w:val="002C55BD"/>
    <w:rsid w:val="002C55C8"/>
    <w:rsid w:val="002C55CE"/>
    <w:rsid w:val="002C55D6"/>
    <w:rsid w:val="002C564C"/>
    <w:rsid w:val="002C5653"/>
    <w:rsid w:val="002C56B7"/>
    <w:rsid w:val="002C56E2"/>
    <w:rsid w:val="002C5701"/>
    <w:rsid w:val="002C5751"/>
    <w:rsid w:val="002C5754"/>
    <w:rsid w:val="002C5755"/>
    <w:rsid w:val="002C575D"/>
    <w:rsid w:val="002C5782"/>
    <w:rsid w:val="002C57C3"/>
    <w:rsid w:val="002C57F1"/>
    <w:rsid w:val="002C585F"/>
    <w:rsid w:val="002C5865"/>
    <w:rsid w:val="002C58B7"/>
    <w:rsid w:val="002C58BD"/>
    <w:rsid w:val="002C58E5"/>
    <w:rsid w:val="002C5913"/>
    <w:rsid w:val="002C596C"/>
    <w:rsid w:val="002C5979"/>
    <w:rsid w:val="002C59DC"/>
    <w:rsid w:val="002C59EE"/>
    <w:rsid w:val="002C5A20"/>
    <w:rsid w:val="002C5A6B"/>
    <w:rsid w:val="002C5A97"/>
    <w:rsid w:val="002C5AAF"/>
    <w:rsid w:val="002C5AE1"/>
    <w:rsid w:val="002C5AF5"/>
    <w:rsid w:val="002C5B59"/>
    <w:rsid w:val="002C5B84"/>
    <w:rsid w:val="002C5B8F"/>
    <w:rsid w:val="002C5BFE"/>
    <w:rsid w:val="002C5C9A"/>
    <w:rsid w:val="002C5CA2"/>
    <w:rsid w:val="002C5CAC"/>
    <w:rsid w:val="002C5CB8"/>
    <w:rsid w:val="002C5CC1"/>
    <w:rsid w:val="002C5D51"/>
    <w:rsid w:val="002C5D68"/>
    <w:rsid w:val="002C5E2F"/>
    <w:rsid w:val="002C5E4D"/>
    <w:rsid w:val="002C5EBA"/>
    <w:rsid w:val="002C5EBD"/>
    <w:rsid w:val="002C5EBF"/>
    <w:rsid w:val="002C5F10"/>
    <w:rsid w:val="002C5F33"/>
    <w:rsid w:val="002C5F4D"/>
    <w:rsid w:val="002C5FA7"/>
    <w:rsid w:val="002C5FB1"/>
    <w:rsid w:val="002C5FDA"/>
    <w:rsid w:val="002C60CC"/>
    <w:rsid w:val="002C60DF"/>
    <w:rsid w:val="002C611C"/>
    <w:rsid w:val="002C616A"/>
    <w:rsid w:val="002C616D"/>
    <w:rsid w:val="002C6209"/>
    <w:rsid w:val="002C62E8"/>
    <w:rsid w:val="002C632E"/>
    <w:rsid w:val="002C6336"/>
    <w:rsid w:val="002C6361"/>
    <w:rsid w:val="002C6362"/>
    <w:rsid w:val="002C637B"/>
    <w:rsid w:val="002C637F"/>
    <w:rsid w:val="002C63E1"/>
    <w:rsid w:val="002C641E"/>
    <w:rsid w:val="002C6499"/>
    <w:rsid w:val="002C649D"/>
    <w:rsid w:val="002C6521"/>
    <w:rsid w:val="002C6559"/>
    <w:rsid w:val="002C6596"/>
    <w:rsid w:val="002C65D9"/>
    <w:rsid w:val="002C65E2"/>
    <w:rsid w:val="002C6601"/>
    <w:rsid w:val="002C662D"/>
    <w:rsid w:val="002C6641"/>
    <w:rsid w:val="002C6656"/>
    <w:rsid w:val="002C66B2"/>
    <w:rsid w:val="002C6731"/>
    <w:rsid w:val="002C676B"/>
    <w:rsid w:val="002C678B"/>
    <w:rsid w:val="002C6791"/>
    <w:rsid w:val="002C67DB"/>
    <w:rsid w:val="002C680D"/>
    <w:rsid w:val="002C684F"/>
    <w:rsid w:val="002C68B5"/>
    <w:rsid w:val="002C68C3"/>
    <w:rsid w:val="002C68E3"/>
    <w:rsid w:val="002C68E7"/>
    <w:rsid w:val="002C68F1"/>
    <w:rsid w:val="002C6975"/>
    <w:rsid w:val="002C69B3"/>
    <w:rsid w:val="002C6A6F"/>
    <w:rsid w:val="002C6A87"/>
    <w:rsid w:val="002C6AF4"/>
    <w:rsid w:val="002C6B46"/>
    <w:rsid w:val="002C6B97"/>
    <w:rsid w:val="002C6BA2"/>
    <w:rsid w:val="002C6C35"/>
    <w:rsid w:val="002C6C6A"/>
    <w:rsid w:val="002C6C8E"/>
    <w:rsid w:val="002C6D49"/>
    <w:rsid w:val="002C6D70"/>
    <w:rsid w:val="002C6D7C"/>
    <w:rsid w:val="002C6DB5"/>
    <w:rsid w:val="002C6DEA"/>
    <w:rsid w:val="002C6DED"/>
    <w:rsid w:val="002C6DFC"/>
    <w:rsid w:val="002C6DFF"/>
    <w:rsid w:val="002C6E3A"/>
    <w:rsid w:val="002C6E81"/>
    <w:rsid w:val="002C6EF7"/>
    <w:rsid w:val="002C6F7E"/>
    <w:rsid w:val="002C6F87"/>
    <w:rsid w:val="002C6FF1"/>
    <w:rsid w:val="002C7084"/>
    <w:rsid w:val="002C7098"/>
    <w:rsid w:val="002C713B"/>
    <w:rsid w:val="002C71A0"/>
    <w:rsid w:val="002C71F9"/>
    <w:rsid w:val="002C724B"/>
    <w:rsid w:val="002C7257"/>
    <w:rsid w:val="002C72EE"/>
    <w:rsid w:val="002C72FA"/>
    <w:rsid w:val="002C7306"/>
    <w:rsid w:val="002C731E"/>
    <w:rsid w:val="002C7348"/>
    <w:rsid w:val="002C73A6"/>
    <w:rsid w:val="002C73DF"/>
    <w:rsid w:val="002C73EB"/>
    <w:rsid w:val="002C742E"/>
    <w:rsid w:val="002C74A4"/>
    <w:rsid w:val="002C74A5"/>
    <w:rsid w:val="002C74D9"/>
    <w:rsid w:val="002C7506"/>
    <w:rsid w:val="002C75B3"/>
    <w:rsid w:val="002C75C8"/>
    <w:rsid w:val="002C75D2"/>
    <w:rsid w:val="002C7684"/>
    <w:rsid w:val="002C771D"/>
    <w:rsid w:val="002C7746"/>
    <w:rsid w:val="002C77B3"/>
    <w:rsid w:val="002C7826"/>
    <w:rsid w:val="002C784F"/>
    <w:rsid w:val="002C7853"/>
    <w:rsid w:val="002C7855"/>
    <w:rsid w:val="002C7874"/>
    <w:rsid w:val="002C7902"/>
    <w:rsid w:val="002C797D"/>
    <w:rsid w:val="002C7993"/>
    <w:rsid w:val="002C799E"/>
    <w:rsid w:val="002C79A0"/>
    <w:rsid w:val="002C79D0"/>
    <w:rsid w:val="002C7A25"/>
    <w:rsid w:val="002C7AAE"/>
    <w:rsid w:val="002C7AB0"/>
    <w:rsid w:val="002C7AC3"/>
    <w:rsid w:val="002C7AE5"/>
    <w:rsid w:val="002C7B28"/>
    <w:rsid w:val="002C7B34"/>
    <w:rsid w:val="002C7C55"/>
    <w:rsid w:val="002C7C60"/>
    <w:rsid w:val="002C7C97"/>
    <w:rsid w:val="002C7CEE"/>
    <w:rsid w:val="002C7D9F"/>
    <w:rsid w:val="002C7DAA"/>
    <w:rsid w:val="002C7E0A"/>
    <w:rsid w:val="002C7E2E"/>
    <w:rsid w:val="002C7E55"/>
    <w:rsid w:val="002C7ED2"/>
    <w:rsid w:val="002C7EEE"/>
    <w:rsid w:val="002C7F33"/>
    <w:rsid w:val="002C7F4D"/>
    <w:rsid w:val="002C7FC5"/>
    <w:rsid w:val="002C7FC7"/>
    <w:rsid w:val="002D006E"/>
    <w:rsid w:val="002D013A"/>
    <w:rsid w:val="002D019E"/>
    <w:rsid w:val="002D01CA"/>
    <w:rsid w:val="002D01D3"/>
    <w:rsid w:val="002D0228"/>
    <w:rsid w:val="002D022E"/>
    <w:rsid w:val="002D027E"/>
    <w:rsid w:val="002D02C6"/>
    <w:rsid w:val="002D03CD"/>
    <w:rsid w:val="002D03ED"/>
    <w:rsid w:val="002D041B"/>
    <w:rsid w:val="002D0441"/>
    <w:rsid w:val="002D04F8"/>
    <w:rsid w:val="002D0573"/>
    <w:rsid w:val="002D0574"/>
    <w:rsid w:val="002D058F"/>
    <w:rsid w:val="002D0593"/>
    <w:rsid w:val="002D062F"/>
    <w:rsid w:val="002D068E"/>
    <w:rsid w:val="002D07C0"/>
    <w:rsid w:val="002D07EF"/>
    <w:rsid w:val="002D0837"/>
    <w:rsid w:val="002D08D5"/>
    <w:rsid w:val="002D08DB"/>
    <w:rsid w:val="002D0916"/>
    <w:rsid w:val="002D0967"/>
    <w:rsid w:val="002D09A8"/>
    <w:rsid w:val="002D09B3"/>
    <w:rsid w:val="002D0A18"/>
    <w:rsid w:val="002D0A4A"/>
    <w:rsid w:val="002D0A9F"/>
    <w:rsid w:val="002D0AA5"/>
    <w:rsid w:val="002D0ACD"/>
    <w:rsid w:val="002D0B20"/>
    <w:rsid w:val="002D0B8C"/>
    <w:rsid w:val="002D0B8E"/>
    <w:rsid w:val="002D0BF5"/>
    <w:rsid w:val="002D0BF6"/>
    <w:rsid w:val="002D0C5E"/>
    <w:rsid w:val="002D0CCC"/>
    <w:rsid w:val="002D0CDE"/>
    <w:rsid w:val="002D0D3A"/>
    <w:rsid w:val="002D0D9D"/>
    <w:rsid w:val="002D0DBF"/>
    <w:rsid w:val="002D0DF1"/>
    <w:rsid w:val="002D0EAA"/>
    <w:rsid w:val="002D0EB4"/>
    <w:rsid w:val="002D0F8A"/>
    <w:rsid w:val="002D0FDB"/>
    <w:rsid w:val="002D103D"/>
    <w:rsid w:val="002D1118"/>
    <w:rsid w:val="002D111C"/>
    <w:rsid w:val="002D11B8"/>
    <w:rsid w:val="002D120A"/>
    <w:rsid w:val="002D1270"/>
    <w:rsid w:val="002D12B7"/>
    <w:rsid w:val="002D12C0"/>
    <w:rsid w:val="002D131C"/>
    <w:rsid w:val="002D132A"/>
    <w:rsid w:val="002D133A"/>
    <w:rsid w:val="002D1369"/>
    <w:rsid w:val="002D13AC"/>
    <w:rsid w:val="002D13E9"/>
    <w:rsid w:val="002D141D"/>
    <w:rsid w:val="002D149A"/>
    <w:rsid w:val="002D14FE"/>
    <w:rsid w:val="002D1508"/>
    <w:rsid w:val="002D1574"/>
    <w:rsid w:val="002D1588"/>
    <w:rsid w:val="002D163D"/>
    <w:rsid w:val="002D1640"/>
    <w:rsid w:val="002D1688"/>
    <w:rsid w:val="002D16F5"/>
    <w:rsid w:val="002D171E"/>
    <w:rsid w:val="002D1748"/>
    <w:rsid w:val="002D1790"/>
    <w:rsid w:val="002D17B4"/>
    <w:rsid w:val="002D17E8"/>
    <w:rsid w:val="002D17FB"/>
    <w:rsid w:val="002D1910"/>
    <w:rsid w:val="002D1925"/>
    <w:rsid w:val="002D193C"/>
    <w:rsid w:val="002D1946"/>
    <w:rsid w:val="002D1974"/>
    <w:rsid w:val="002D1993"/>
    <w:rsid w:val="002D1A23"/>
    <w:rsid w:val="002D1A2F"/>
    <w:rsid w:val="002D1A58"/>
    <w:rsid w:val="002D1A59"/>
    <w:rsid w:val="002D1AD1"/>
    <w:rsid w:val="002D1B6D"/>
    <w:rsid w:val="002D1B7A"/>
    <w:rsid w:val="002D1BA0"/>
    <w:rsid w:val="002D1BBC"/>
    <w:rsid w:val="002D1BFD"/>
    <w:rsid w:val="002D1C0D"/>
    <w:rsid w:val="002D1C39"/>
    <w:rsid w:val="002D1CCC"/>
    <w:rsid w:val="002D1D18"/>
    <w:rsid w:val="002D1D1F"/>
    <w:rsid w:val="002D1E9D"/>
    <w:rsid w:val="002D1F2B"/>
    <w:rsid w:val="002D1FEB"/>
    <w:rsid w:val="002D1FED"/>
    <w:rsid w:val="002D1FF7"/>
    <w:rsid w:val="002D2037"/>
    <w:rsid w:val="002D2041"/>
    <w:rsid w:val="002D206E"/>
    <w:rsid w:val="002D2082"/>
    <w:rsid w:val="002D209F"/>
    <w:rsid w:val="002D20D2"/>
    <w:rsid w:val="002D20E9"/>
    <w:rsid w:val="002D2136"/>
    <w:rsid w:val="002D2140"/>
    <w:rsid w:val="002D21A6"/>
    <w:rsid w:val="002D225F"/>
    <w:rsid w:val="002D2267"/>
    <w:rsid w:val="002D22E2"/>
    <w:rsid w:val="002D22EB"/>
    <w:rsid w:val="002D22FB"/>
    <w:rsid w:val="002D2300"/>
    <w:rsid w:val="002D2328"/>
    <w:rsid w:val="002D236F"/>
    <w:rsid w:val="002D2370"/>
    <w:rsid w:val="002D23D3"/>
    <w:rsid w:val="002D23DC"/>
    <w:rsid w:val="002D23FE"/>
    <w:rsid w:val="002D2434"/>
    <w:rsid w:val="002D2441"/>
    <w:rsid w:val="002D24BC"/>
    <w:rsid w:val="002D24CD"/>
    <w:rsid w:val="002D24E4"/>
    <w:rsid w:val="002D24E6"/>
    <w:rsid w:val="002D2555"/>
    <w:rsid w:val="002D261E"/>
    <w:rsid w:val="002D2669"/>
    <w:rsid w:val="002D26CD"/>
    <w:rsid w:val="002D2715"/>
    <w:rsid w:val="002D273F"/>
    <w:rsid w:val="002D2769"/>
    <w:rsid w:val="002D27B3"/>
    <w:rsid w:val="002D27D8"/>
    <w:rsid w:val="002D2802"/>
    <w:rsid w:val="002D280A"/>
    <w:rsid w:val="002D28A9"/>
    <w:rsid w:val="002D2909"/>
    <w:rsid w:val="002D290A"/>
    <w:rsid w:val="002D2911"/>
    <w:rsid w:val="002D29B0"/>
    <w:rsid w:val="002D29CA"/>
    <w:rsid w:val="002D2A98"/>
    <w:rsid w:val="002D2A9E"/>
    <w:rsid w:val="002D2ADE"/>
    <w:rsid w:val="002D2B6B"/>
    <w:rsid w:val="002D2B7C"/>
    <w:rsid w:val="002D2BD8"/>
    <w:rsid w:val="002D2BFD"/>
    <w:rsid w:val="002D2C12"/>
    <w:rsid w:val="002D2C43"/>
    <w:rsid w:val="002D2C73"/>
    <w:rsid w:val="002D2D01"/>
    <w:rsid w:val="002D2D50"/>
    <w:rsid w:val="002D2D66"/>
    <w:rsid w:val="002D2D81"/>
    <w:rsid w:val="002D2D8F"/>
    <w:rsid w:val="002D2EB0"/>
    <w:rsid w:val="002D2EBD"/>
    <w:rsid w:val="002D2EDF"/>
    <w:rsid w:val="002D2F0F"/>
    <w:rsid w:val="002D2F67"/>
    <w:rsid w:val="002D3017"/>
    <w:rsid w:val="002D305C"/>
    <w:rsid w:val="002D30E4"/>
    <w:rsid w:val="002D3185"/>
    <w:rsid w:val="002D31DB"/>
    <w:rsid w:val="002D320C"/>
    <w:rsid w:val="002D324B"/>
    <w:rsid w:val="002D3266"/>
    <w:rsid w:val="002D32B7"/>
    <w:rsid w:val="002D3312"/>
    <w:rsid w:val="002D3336"/>
    <w:rsid w:val="002D3341"/>
    <w:rsid w:val="002D334B"/>
    <w:rsid w:val="002D33F2"/>
    <w:rsid w:val="002D347C"/>
    <w:rsid w:val="002D347F"/>
    <w:rsid w:val="002D354F"/>
    <w:rsid w:val="002D35D4"/>
    <w:rsid w:val="002D3636"/>
    <w:rsid w:val="002D3639"/>
    <w:rsid w:val="002D36F5"/>
    <w:rsid w:val="002D36F8"/>
    <w:rsid w:val="002D3738"/>
    <w:rsid w:val="002D373D"/>
    <w:rsid w:val="002D37E7"/>
    <w:rsid w:val="002D380F"/>
    <w:rsid w:val="002D3837"/>
    <w:rsid w:val="002D3894"/>
    <w:rsid w:val="002D38A1"/>
    <w:rsid w:val="002D38AB"/>
    <w:rsid w:val="002D38C2"/>
    <w:rsid w:val="002D38D6"/>
    <w:rsid w:val="002D38E0"/>
    <w:rsid w:val="002D391C"/>
    <w:rsid w:val="002D396F"/>
    <w:rsid w:val="002D3990"/>
    <w:rsid w:val="002D39CC"/>
    <w:rsid w:val="002D3A1B"/>
    <w:rsid w:val="002D3A95"/>
    <w:rsid w:val="002D3B22"/>
    <w:rsid w:val="002D3B30"/>
    <w:rsid w:val="002D3B35"/>
    <w:rsid w:val="002D3B60"/>
    <w:rsid w:val="002D3B7E"/>
    <w:rsid w:val="002D3C55"/>
    <w:rsid w:val="002D3CAC"/>
    <w:rsid w:val="002D3CD3"/>
    <w:rsid w:val="002D3CDD"/>
    <w:rsid w:val="002D3CEE"/>
    <w:rsid w:val="002D3D2D"/>
    <w:rsid w:val="002D3DC7"/>
    <w:rsid w:val="002D3DC9"/>
    <w:rsid w:val="002D3DE6"/>
    <w:rsid w:val="002D3E75"/>
    <w:rsid w:val="002D3EAF"/>
    <w:rsid w:val="002D3EE9"/>
    <w:rsid w:val="002D3F04"/>
    <w:rsid w:val="002D3F81"/>
    <w:rsid w:val="002D3FE1"/>
    <w:rsid w:val="002D3FF1"/>
    <w:rsid w:val="002D4029"/>
    <w:rsid w:val="002D403F"/>
    <w:rsid w:val="002D40A2"/>
    <w:rsid w:val="002D4103"/>
    <w:rsid w:val="002D413E"/>
    <w:rsid w:val="002D41DD"/>
    <w:rsid w:val="002D41E4"/>
    <w:rsid w:val="002D4219"/>
    <w:rsid w:val="002D4245"/>
    <w:rsid w:val="002D42E0"/>
    <w:rsid w:val="002D4320"/>
    <w:rsid w:val="002D435C"/>
    <w:rsid w:val="002D4363"/>
    <w:rsid w:val="002D4391"/>
    <w:rsid w:val="002D43AA"/>
    <w:rsid w:val="002D43D0"/>
    <w:rsid w:val="002D4431"/>
    <w:rsid w:val="002D446C"/>
    <w:rsid w:val="002D4487"/>
    <w:rsid w:val="002D449D"/>
    <w:rsid w:val="002D449F"/>
    <w:rsid w:val="002D44AB"/>
    <w:rsid w:val="002D4515"/>
    <w:rsid w:val="002D451A"/>
    <w:rsid w:val="002D451F"/>
    <w:rsid w:val="002D45E0"/>
    <w:rsid w:val="002D4652"/>
    <w:rsid w:val="002D4671"/>
    <w:rsid w:val="002D46C3"/>
    <w:rsid w:val="002D46E2"/>
    <w:rsid w:val="002D471E"/>
    <w:rsid w:val="002D4741"/>
    <w:rsid w:val="002D4816"/>
    <w:rsid w:val="002D4869"/>
    <w:rsid w:val="002D48C4"/>
    <w:rsid w:val="002D498C"/>
    <w:rsid w:val="002D49FB"/>
    <w:rsid w:val="002D4A03"/>
    <w:rsid w:val="002D4A9E"/>
    <w:rsid w:val="002D4ACA"/>
    <w:rsid w:val="002D4AE3"/>
    <w:rsid w:val="002D4B32"/>
    <w:rsid w:val="002D4B41"/>
    <w:rsid w:val="002D4C2E"/>
    <w:rsid w:val="002D4C35"/>
    <w:rsid w:val="002D4C38"/>
    <w:rsid w:val="002D4CCB"/>
    <w:rsid w:val="002D4D24"/>
    <w:rsid w:val="002D4D30"/>
    <w:rsid w:val="002D4EA1"/>
    <w:rsid w:val="002D4EEF"/>
    <w:rsid w:val="002D4F53"/>
    <w:rsid w:val="002D4FAD"/>
    <w:rsid w:val="002D4FF2"/>
    <w:rsid w:val="002D5012"/>
    <w:rsid w:val="002D502A"/>
    <w:rsid w:val="002D503A"/>
    <w:rsid w:val="002D504F"/>
    <w:rsid w:val="002D5060"/>
    <w:rsid w:val="002D50E0"/>
    <w:rsid w:val="002D50F0"/>
    <w:rsid w:val="002D5105"/>
    <w:rsid w:val="002D5123"/>
    <w:rsid w:val="002D5165"/>
    <w:rsid w:val="002D51B1"/>
    <w:rsid w:val="002D5241"/>
    <w:rsid w:val="002D52AF"/>
    <w:rsid w:val="002D52E2"/>
    <w:rsid w:val="002D536C"/>
    <w:rsid w:val="002D5392"/>
    <w:rsid w:val="002D53B8"/>
    <w:rsid w:val="002D541D"/>
    <w:rsid w:val="002D5483"/>
    <w:rsid w:val="002D552F"/>
    <w:rsid w:val="002D5572"/>
    <w:rsid w:val="002D55A5"/>
    <w:rsid w:val="002D567F"/>
    <w:rsid w:val="002D568D"/>
    <w:rsid w:val="002D56A7"/>
    <w:rsid w:val="002D56B8"/>
    <w:rsid w:val="002D56DE"/>
    <w:rsid w:val="002D586E"/>
    <w:rsid w:val="002D5914"/>
    <w:rsid w:val="002D5918"/>
    <w:rsid w:val="002D5927"/>
    <w:rsid w:val="002D5947"/>
    <w:rsid w:val="002D59AD"/>
    <w:rsid w:val="002D5AB5"/>
    <w:rsid w:val="002D5B11"/>
    <w:rsid w:val="002D5B3B"/>
    <w:rsid w:val="002D5B5A"/>
    <w:rsid w:val="002D5B70"/>
    <w:rsid w:val="002D5B76"/>
    <w:rsid w:val="002D5C00"/>
    <w:rsid w:val="002D5CA0"/>
    <w:rsid w:val="002D5D04"/>
    <w:rsid w:val="002D5DB4"/>
    <w:rsid w:val="002D5DC0"/>
    <w:rsid w:val="002D5DC2"/>
    <w:rsid w:val="002D5DF1"/>
    <w:rsid w:val="002D5E82"/>
    <w:rsid w:val="002D5EB5"/>
    <w:rsid w:val="002D5EBC"/>
    <w:rsid w:val="002D5F0E"/>
    <w:rsid w:val="002D6004"/>
    <w:rsid w:val="002D603C"/>
    <w:rsid w:val="002D6052"/>
    <w:rsid w:val="002D60A8"/>
    <w:rsid w:val="002D60B7"/>
    <w:rsid w:val="002D60C7"/>
    <w:rsid w:val="002D60D5"/>
    <w:rsid w:val="002D6119"/>
    <w:rsid w:val="002D6181"/>
    <w:rsid w:val="002D6182"/>
    <w:rsid w:val="002D6183"/>
    <w:rsid w:val="002D61A8"/>
    <w:rsid w:val="002D6319"/>
    <w:rsid w:val="002D63F7"/>
    <w:rsid w:val="002D6421"/>
    <w:rsid w:val="002D6490"/>
    <w:rsid w:val="002D64C0"/>
    <w:rsid w:val="002D64C5"/>
    <w:rsid w:val="002D6522"/>
    <w:rsid w:val="002D65B3"/>
    <w:rsid w:val="002D6645"/>
    <w:rsid w:val="002D6668"/>
    <w:rsid w:val="002D6672"/>
    <w:rsid w:val="002D6681"/>
    <w:rsid w:val="002D668C"/>
    <w:rsid w:val="002D6694"/>
    <w:rsid w:val="002D66EF"/>
    <w:rsid w:val="002D6716"/>
    <w:rsid w:val="002D6717"/>
    <w:rsid w:val="002D6737"/>
    <w:rsid w:val="002D6773"/>
    <w:rsid w:val="002D6792"/>
    <w:rsid w:val="002D67D5"/>
    <w:rsid w:val="002D6809"/>
    <w:rsid w:val="002D682C"/>
    <w:rsid w:val="002D68DE"/>
    <w:rsid w:val="002D6907"/>
    <w:rsid w:val="002D6946"/>
    <w:rsid w:val="002D695D"/>
    <w:rsid w:val="002D699B"/>
    <w:rsid w:val="002D69A0"/>
    <w:rsid w:val="002D69D5"/>
    <w:rsid w:val="002D69E1"/>
    <w:rsid w:val="002D6A96"/>
    <w:rsid w:val="002D6A97"/>
    <w:rsid w:val="002D6A9F"/>
    <w:rsid w:val="002D6ABB"/>
    <w:rsid w:val="002D6AD9"/>
    <w:rsid w:val="002D6AF2"/>
    <w:rsid w:val="002D6AFB"/>
    <w:rsid w:val="002D6B63"/>
    <w:rsid w:val="002D6BDE"/>
    <w:rsid w:val="002D6C39"/>
    <w:rsid w:val="002D6C83"/>
    <w:rsid w:val="002D6C85"/>
    <w:rsid w:val="002D6D33"/>
    <w:rsid w:val="002D6D62"/>
    <w:rsid w:val="002D6D91"/>
    <w:rsid w:val="002D6E4D"/>
    <w:rsid w:val="002D6E58"/>
    <w:rsid w:val="002D6EDB"/>
    <w:rsid w:val="002D6FDE"/>
    <w:rsid w:val="002D7045"/>
    <w:rsid w:val="002D705A"/>
    <w:rsid w:val="002D70B0"/>
    <w:rsid w:val="002D710F"/>
    <w:rsid w:val="002D712C"/>
    <w:rsid w:val="002D7140"/>
    <w:rsid w:val="002D7166"/>
    <w:rsid w:val="002D718B"/>
    <w:rsid w:val="002D71A8"/>
    <w:rsid w:val="002D71B1"/>
    <w:rsid w:val="002D71C3"/>
    <w:rsid w:val="002D71C5"/>
    <w:rsid w:val="002D722F"/>
    <w:rsid w:val="002D7268"/>
    <w:rsid w:val="002D7273"/>
    <w:rsid w:val="002D727A"/>
    <w:rsid w:val="002D72A4"/>
    <w:rsid w:val="002D7303"/>
    <w:rsid w:val="002D7472"/>
    <w:rsid w:val="002D747A"/>
    <w:rsid w:val="002D749B"/>
    <w:rsid w:val="002D74E3"/>
    <w:rsid w:val="002D752F"/>
    <w:rsid w:val="002D768E"/>
    <w:rsid w:val="002D76C2"/>
    <w:rsid w:val="002D76CE"/>
    <w:rsid w:val="002D76D2"/>
    <w:rsid w:val="002D76E5"/>
    <w:rsid w:val="002D775C"/>
    <w:rsid w:val="002D77AE"/>
    <w:rsid w:val="002D7871"/>
    <w:rsid w:val="002D7887"/>
    <w:rsid w:val="002D7918"/>
    <w:rsid w:val="002D794D"/>
    <w:rsid w:val="002D7951"/>
    <w:rsid w:val="002D79ED"/>
    <w:rsid w:val="002D7A4E"/>
    <w:rsid w:val="002D7A6E"/>
    <w:rsid w:val="002D7C1C"/>
    <w:rsid w:val="002D7C4C"/>
    <w:rsid w:val="002D7C9F"/>
    <w:rsid w:val="002D7CB0"/>
    <w:rsid w:val="002D7CB9"/>
    <w:rsid w:val="002D7CBA"/>
    <w:rsid w:val="002D7CF4"/>
    <w:rsid w:val="002D7D5D"/>
    <w:rsid w:val="002D7D69"/>
    <w:rsid w:val="002D7D97"/>
    <w:rsid w:val="002D7DF3"/>
    <w:rsid w:val="002D7E87"/>
    <w:rsid w:val="002D7E9B"/>
    <w:rsid w:val="002D7F37"/>
    <w:rsid w:val="002D7F6F"/>
    <w:rsid w:val="002D7F8C"/>
    <w:rsid w:val="002E011F"/>
    <w:rsid w:val="002E0168"/>
    <w:rsid w:val="002E019E"/>
    <w:rsid w:val="002E01AA"/>
    <w:rsid w:val="002E01F9"/>
    <w:rsid w:val="002E0274"/>
    <w:rsid w:val="002E02F5"/>
    <w:rsid w:val="002E037E"/>
    <w:rsid w:val="002E039F"/>
    <w:rsid w:val="002E03EF"/>
    <w:rsid w:val="002E0415"/>
    <w:rsid w:val="002E0452"/>
    <w:rsid w:val="002E0497"/>
    <w:rsid w:val="002E04F4"/>
    <w:rsid w:val="002E055E"/>
    <w:rsid w:val="002E05B1"/>
    <w:rsid w:val="002E061B"/>
    <w:rsid w:val="002E0633"/>
    <w:rsid w:val="002E0674"/>
    <w:rsid w:val="002E067A"/>
    <w:rsid w:val="002E06A9"/>
    <w:rsid w:val="002E0719"/>
    <w:rsid w:val="002E0736"/>
    <w:rsid w:val="002E0779"/>
    <w:rsid w:val="002E0849"/>
    <w:rsid w:val="002E084F"/>
    <w:rsid w:val="002E08E3"/>
    <w:rsid w:val="002E091A"/>
    <w:rsid w:val="002E094B"/>
    <w:rsid w:val="002E095A"/>
    <w:rsid w:val="002E0964"/>
    <w:rsid w:val="002E099C"/>
    <w:rsid w:val="002E09EE"/>
    <w:rsid w:val="002E0A00"/>
    <w:rsid w:val="002E0AFE"/>
    <w:rsid w:val="002E0B27"/>
    <w:rsid w:val="002E0B2F"/>
    <w:rsid w:val="002E0B49"/>
    <w:rsid w:val="002E0C45"/>
    <w:rsid w:val="002E0C72"/>
    <w:rsid w:val="002E0C9C"/>
    <w:rsid w:val="002E0CB2"/>
    <w:rsid w:val="002E0D30"/>
    <w:rsid w:val="002E0E05"/>
    <w:rsid w:val="002E0E83"/>
    <w:rsid w:val="002E0F40"/>
    <w:rsid w:val="002E0F47"/>
    <w:rsid w:val="002E0F7D"/>
    <w:rsid w:val="002E0FB8"/>
    <w:rsid w:val="002E0FC1"/>
    <w:rsid w:val="002E1043"/>
    <w:rsid w:val="002E1068"/>
    <w:rsid w:val="002E1092"/>
    <w:rsid w:val="002E10A2"/>
    <w:rsid w:val="002E10B7"/>
    <w:rsid w:val="002E10E5"/>
    <w:rsid w:val="002E112B"/>
    <w:rsid w:val="002E113A"/>
    <w:rsid w:val="002E1168"/>
    <w:rsid w:val="002E11DD"/>
    <w:rsid w:val="002E11E1"/>
    <w:rsid w:val="002E1228"/>
    <w:rsid w:val="002E12C8"/>
    <w:rsid w:val="002E12EF"/>
    <w:rsid w:val="002E1302"/>
    <w:rsid w:val="002E13B7"/>
    <w:rsid w:val="002E1438"/>
    <w:rsid w:val="002E145E"/>
    <w:rsid w:val="002E146E"/>
    <w:rsid w:val="002E148B"/>
    <w:rsid w:val="002E1496"/>
    <w:rsid w:val="002E14F4"/>
    <w:rsid w:val="002E1586"/>
    <w:rsid w:val="002E15B9"/>
    <w:rsid w:val="002E16A4"/>
    <w:rsid w:val="002E16AB"/>
    <w:rsid w:val="002E173A"/>
    <w:rsid w:val="002E176A"/>
    <w:rsid w:val="002E1786"/>
    <w:rsid w:val="002E17C3"/>
    <w:rsid w:val="002E17FC"/>
    <w:rsid w:val="002E1818"/>
    <w:rsid w:val="002E1825"/>
    <w:rsid w:val="002E1893"/>
    <w:rsid w:val="002E18B6"/>
    <w:rsid w:val="002E191E"/>
    <w:rsid w:val="002E19AB"/>
    <w:rsid w:val="002E19F3"/>
    <w:rsid w:val="002E19FF"/>
    <w:rsid w:val="002E1A69"/>
    <w:rsid w:val="002E1AC1"/>
    <w:rsid w:val="002E1B52"/>
    <w:rsid w:val="002E1BAE"/>
    <w:rsid w:val="002E1C1F"/>
    <w:rsid w:val="002E1C24"/>
    <w:rsid w:val="002E1C7F"/>
    <w:rsid w:val="002E1CA4"/>
    <w:rsid w:val="002E1CD0"/>
    <w:rsid w:val="002E1CD2"/>
    <w:rsid w:val="002E1D68"/>
    <w:rsid w:val="002E1D8B"/>
    <w:rsid w:val="002E1DB4"/>
    <w:rsid w:val="002E1DC3"/>
    <w:rsid w:val="002E1E73"/>
    <w:rsid w:val="002E1EAE"/>
    <w:rsid w:val="002E1EBC"/>
    <w:rsid w:val="002E1EF8"/>
    <w:rsid w:val="002E1F18"/>
    <w:rsid w:val="002E1FA2"/>
    <w:rsid w:val="002E1FB8"/>
    <w:rsid w:val="002E1FD5"/>
    <w:rsid w:val="002E1FE0"/>
    <w:rsid w:val="002E2006"/>
    <w:rsid w:val="002E2008"/>
    <w:rsid w:val="002E2045"/>
    <w:rsid w:val="002E20FF"/>
    <w:rsid w:val="002E216F"/>
    <w:rsid w:val="002E2180"/>
    <w:rsid w:val="002E21F9"/>
    <w:rsid w:val="002E2217"/>
    <w:rsid w:val="002E22B5"/>
    <w:rsid w:val="002E22B8"/>
    <w:rsid w:val="002E2325"/>
    <w:rsid w:val="002E2342"/>
    <w:rsid w:val="002E2366"/>
    <w:rsid w:val="002E236A"/>
    <w:rsid w:val="002E2391"/>
    <w:rsid w:val="002E23F8"/>
    <w:rsid w:val="002E2436"/>
    <w:rsid w:val="002E243D"/>
    <w:rsid w:val="002E24C7"/>
    <w:rsid w:val="002E24FC"/>
    <w:rsid w:val="002E2503"/>
    <w:rsid w:val="002E2541"/>
    <w:rsid w:val="002E259A"/>
    <w:rsid w:val="002E259C"/>
    <w:rsid w:val="002E25AF"/>
    <w:rsid w:val="002E25D6"/>
    <w:rsid w:val="002E2605"/>
    <w:rsid w:val="002E260A"/>
    <w:rsid w:val="002E262B"/>
    <w:rsid w:val="002E2687"/>
    <w:rsid w:val="002E2702"/>
    <w:rsid w:val="002E2755"/>
    <w:rsid w:val="002E27A1"/>
    <w:rsid w:val="002E27B9"/>
    <w:rsid w:val="002E27FF"/>
    <w:rsid w:val="002E2877"/>
    <w:rsid w:val="002E28E6"/>
    <w:rsid w:val="002E29A3"/>
    <w:rsid w:val="002E29CC"/>
    <w:rsid w:val="002E29E9"/>
    <w:rsid w:val="002E2A13"/>
    <w:rsid w:val="002E2A1A"/>
    <w:rsid w:val="002E2A38"/>
    <w:rsid w:val="002E2A73"/>
    <w:rsid w:val="002E2ABA"/>
    <w:rsid w:val="002E2ACD"/>
    <w:rsid w:val="002E2B09"/>
    <w:rsid w:val="002E2B50"/>
    <w:rsid w:val="002E2B84"/>
    <w:rsid w:val="002E2B8D"/>
    <w:rsid w:val="002E2BDE"/>
    <w:rsid w:val="002E2BDF"/>
    <w:rsid w:val="002E2BFF"/>
    <w:rsid w:val="002E2CB4"/>
    <w:rsid w:val="002E2CBD"/>
    <w:rsid w:val="002E2CFD"/>
    <w:rsid w:val="002E2DAA"/>
    <w:rsid w:val="002E2DC8"/>
    <w:rsid w:val="002E2DDD"/>
    <w:rsid w:val="002E2E05"/>
    <w:rsid w:val="002E304C"/>
    <w:rsid w:val="002E3085"/>
    <w:rsid w:val="002E309C"/>
    <w:rsid w:val="002E30AF"/>
    <w:rsid w:val="002E30DC"/>
    <w:rsid w:val="002E30F6"/>
    <w:rsid w:val="002E3132"/>
    <w:rsid w:val="002E3207"/>
    <w:rsid w:val="002E320C"/>
    <w:rsid w:val="002E3227"/>
    <w:rsid w:val="002E3253"/>
    <w:rsid w:val="002E32BF"/>
    <w:rsid w:val="002E336F"/>
    <w:rsid w:val="002E33AF"/>
    <w:rsid w:val="002E3486"/>
    <w:rsid w:val="002E34A0"/>
    <w:rsid w:val="002E34B1"/>
    <w:rsid w:val="002E354B"/>
    <w:rsid w:val="002E355C"/>
    <w:rsid w:val="002E355F"/>
    <w:rsid w:val="002E35B4"/>
    <w:rsid w:val="002E35D2"/>
    <w:rsid w:val="002E35EA"/>
    <w:rsid w:val="002E35F0"/>
    <w:rsid w:val="002E360B"/>
    <w:rsid w:val="002E3631"/>
    <w:rsid w:val="002E3698"/>
    <w:rsid w:val="002E36B2"/>
    <w:rsid w:val="002E36E2"/>
    <w:rsid w:val="002E3709"/>
    <w:rsid w:val="002E3712"/>
    <w:rsid w:val="002E3775"/>
    <w:rsid w:val="002E380D"/>
    <w:rsid w:val="002E381E"/>
    <w:rsid w:val="002E3851"/>
    <w:rsid w:val="002E38B4"/>
    <w:rsid w:val="002E3929"/>
    <w:rsid w:val="002E3948"/>
    <w:rsid w:val="002E3986"/>
    <w:rsid w:val="002E398B"/>
    <w:rsid w:val="002E398F"/>
    <w:rsid w:val="002E39A1"/>
    <w:rsid w:val="002E39C8"/>
    <w:rsid w:val="002E39CF"/>
    <w:rsid w:val="002E39E5"/>
    <w:rsid w:val="002E3A2E"/>
    <w:rsid w:val="002E3A46"/>
    <w:rsid w:val="002E3BB4"/>
    <w:rsid w:val="002E3BB5"/>
    <w:rsid w:val="002E3BDB"/>
    <w:rsid w:val="002E3BE3"/>
    <w:rsid w:val="002E3BEA"/>
    <w:rsid w:val="002E3C41"/>
    <w:rsid w:val="002E3CB2"/>
    <w:rsid w:val="002E3CC9"/>
    <w:rsid w:val="002E3CEA"/>
    <w:rsid w:val="002E3CFD"/>
    <w:rsid w:val="002E3D00"/>
    <w:rsid w:val="002E3D3A"/>
    <w:rsid w:val="002E3DFB"/>
    <w:rsid w:val="002E3E81"/>
    <w:rsid w:val="002E3EBE"/>
    <w:rsid w:val="002E3F72"/>
    <w:rsid w:val="002E3F7D"/>
    <w:rsid w:val="002E3FBD"/>
    <w:rsid w:val="002E408A"/>
    <w:rsid w:val="002E41A5"/>
    <w:rsid w:val="002E42C1"/>
    <w:rsid w:val="002E42E0"/>
    <w:rsid w:val="002E4315"/>
    <w:rsid w:val="002E44B7"/>
    <w:rsid w:val="002E458E"/>
    <w:rsid w:val="002E45AF"/>
    <w:rsid w:val="002E45F4"/>
    <w:rsid w:val="002E45FC"/>
    <w:rsid w:val="002E4626"/>
    <w:rsid w:val="002E46B4"/>
    <w:rsid w:val="002E46C8"/>
    <w:rsid w:val="002E4718"/>
    <w:rsid w:val="002E4793"/>
    <w:rsid w:val="002E4796"/>
    <w:rsid w:val="002E4822"/>
    <w:rsid w:val="002E482C"/>
    <w:rsid w:val="002E484F"/>
    <w:rsid w:val="002E485E"/>
    <w:rsid w:val="002E4891"/>
    <w:rsid w:val="002E494A"/>
    <w:rsid w:val="002E4AD6"/>
    <w:rsid w:val="002E4AD9"/>
    <w:rsid w:val="002E4AFA"/>
    <w:rsid w:val="002E4B0A"/>
    <w:rsid w:val="002E4B76"/>
    <w:rsid w:val="002E4B93"/>
    <w:rsid w:val="002E4BB1"/>
    <w:rsid w:val="002E4BED"/>
    <w:rsid w:val="002E4BF5"/>
    <w:rsid w:val="002E4C01"/>
    <w:rsid w:val="002E4CFF"/>
    <w:rsid w:val="002E4D1A"/>
    <w:rsid w:val="002E4D1D"/>
    <w:rsid w:val="002E4D1E"/>
    <w:rsid w:val="002E4D63"/>
    <w:rsid w:val="002E4DC8"/>
    <w:rsid w:val="002E4E0A"/>
    <w:rsid w:val="002E4EEC"/>
    <w:rsid w:val="002E4F4B"/>
    <w:rsid w:val="002E4F5F"/>
    <w:rsid w:val="002E4F70"/>
    <w:rsid w:val="002E4F8B"/>
    <w:rsid w:val="002E5018"/>
    <w:rsid w:val="002E5083"/>
    <w:rsid w:val="002E50FE"/>
    <w:rsid w:val="002E5142"/>
    <w:rsid w:val="002E514A"/>
    <w:rsid w:val="002E51D2"/>
    <w:rsid w:val="002E51D9"/>
    <w:rsid w:val="002E526B"/>
    <w:rsid w:val="002E52FD"/>
    <w:rsid w:val="002E536B"/>
    <w:rsid w:val="002E53F0"/>
    <w:rsid w:val="002E5467"/>
    <w:rsid w:val="002E5474"/>
    <w:rsid w:val="002E5494"/>
    <w:rsid w:val="002E550D"/>
    <w:rsid w:val="002E5534"/>
    <w:rsid w:val="002E5592"/>
    <w:rsid w:val="002E55EF"/>
    <w:rsid w:val="002E562B"/>
    <w:rsid w:val="002E569B"/>
    <w:rsid w:val="002E56D7"/>
    <w:rsid w:val="002E56ED"/>
    <w:rsid w:val="002E56F9"/>
    <w:rsid w:val="002E56FB"/>
    <w:rsid w:val="002E5732"/>
    <w:rsid w:val="002E5735"/>
    <w:rsid w:val="002E57DD"/>
    <w:rsid w:val="002E5807"/>
    <w:rsid w:val="002E5878"/>
    <w:rsid w:val="002E58CE"/>
    <w:rsid w:val="002E594E"/>
    <w:rsid w:val="002E5989"/>
    <w:rsid w:val="002E5A16"/>
    <w:rsid w:val="002E5A4E"/>
    <w:rsid w:val="002E5A5D"/>
    <w:rsid w:val="002E5A65"/>
    <w:rsid w:val="002E5A7D"/>
    <w:rsid w:val="002E5AB1"/>
    <w:rsid w:val="002E5AB5"/>
    <w:rsid w:val="002E5ADE"/>
    <w:rsid w:val="002E5B8D"/>
    <w:rsid w:val="002E5B92"/>
    <w:rsid w:val="002E5BC1"/>
    <w:rsid w:val="002E5C0C"/>
    <w:rsid w:val="002E5CAD"/>
    <w:rsid w:val="002E5CE4"/>
    <w:rsid w:val="002E5D25"/>
    <w:rsid w:val="002E5D65"/>
    <w:rsid w:val="002E5D6E"/>
    <w:rsid w:val="002E5D97"/>
    <w:rsid w:val="002E5DA3"/>
    <w:rsid w:val="002E5E2B"/>
    <w:rsid w:val="002E5E74"/>
    <w:rsid w:val="002E5EFB"/>
    <w:rsid w:val="002E5F38"/>
    <w:rsid w:val="002E5F54"/>
    <w:rsid w:val="002E5F93"/>
    <w:rsid w:val="002E5FD0"/>
    <w:rsid w:val="002E5FE0"/>
    <w:rsid w:val="002E5FFA"/>
    <w:rsid w:val="002E602F"/>
    <w:rsid w:val="002E6082"/>
    <w:rsid w:val="002E610A"/>
    <w:rsid w:val="002E6174"/>
    <w:rsid w:val="002E622F"/>
    <w:rsid w:val="002E6235"/>
    <w:rsid w:val="002E6239"/>
    <w:rsid w:val="002E6267"/>
    <w:rsid w:val="002E6324"/>
    <w:rsid w:val="002E6364"/>
    <w:rsid w:val="002E6373"/>
    <w:rsid w:val="002E6377"/>
    <w:rsid w:val="002E63A8"/>
    <w:rsid w:val="002E63AF"/>
    <w:rsid w:val="002E63F0"/>
    <w:rsid w:val="002E6406"/>
    <w:rsid w:val="002E6442"/>
    <w:rsid w:val="002E6479"/>
    <w:rsid w:val="002E64C8"/>
    <w:rsid w:val="002E64D7"/>
    <w:rsid w:val="002E64E4"/>
    <w:rsid w:val="002E6541"/>
    <w:rsid w:val="002E65D6"/>
    <w:rsid w:val="002E663F"/>
    <w:rsid w:val="002E666C"/>
    <w:rsid w:val="002E66DE"/>
    <w:rsid w:val="002E66F7"/>
    <w:rsid w:val="002E6733"/>
    <w:rsid w:val="002E6739"/>
    <w:rsid w:val="002E67CC"/>
    <w:rsid w:val="002E682B"/>
    <w:rsid w:val="002E6832"/>
    <w:rsid w:val="002E6865"/>
    <w:rsid w:val="002E686C"/>
    <w:rsid w:val="002E6871"/>
    <w:rsid w:val="002E6875"/>
    <w:rsid w:val="002E6908"/>
    <w:rsid w:val="002E6947"/>
    <w:rsid w:val="002E697E"/>
    <w:rsid w:val="002E699B"/>
    <w:rsid w:val="002E69AD"/>
    <w:rsid w:val="002E69ED"/>
    <w:rsid w:val="002E6A46"/>
    <w:rsid w:val="002E6A58"/>
    <w:rsid w:val="002E6AB7"/>
    <w:rsid w:val="002E6AEE"/>
    <w:rsid w:val="002E6B5E"/>
    <w:rsid w:val="002E6BAA"/>
    <w:rsid w:val="002E6BDB"/>
    <w:rsid w:val="002E6CB2"/>
    <w:rsid w:val="002E6D00"/>
    <w:rsid w:val="002E6D08"/>
    <w:rsid w:val="002E6D43"/>
    <w:rsid w:val="002E6D6A"/>
    <w:rsid w:val="002E6DE5"/>
    <w:rsid w:val="002E6E33"/>
    <w:rsid w:val="002E6E63"/>
    <w:rsid w:val="002E6E9C"/>
    <w:rsid w:val="002E6F09"/>
    <w:rsid w:val="002E6F7C"/>
    <w:rsid w:val="002E6FD1"/>
    <w:rsid w:val="002E6FFA"/>
    <w:rsid w:val="002E705D"/>
    <w:rsid w:val="002E70FF"/>
    <w:rsid w:val="002E7103"/>
    <w:rsid w:val="002E7124"/>
    <w:rsid w:val="002E7141"/>
    <w:rsid w:val="002E7150"/>
    <w:rsid w:val="002E720F"/>
    <w:rsid w:val="002E726B"/>
    <w:rsid w:val="002E72F7"/>
    <w:rsid w:val="002E730B"/>
    <w:rsid w:val="002E7369"/>
    <w:rsid w:val="002E7376"/>
    <w:rsid w:val="002E73A9"/>
    <w:rsid w:val="002E73F2"/>
    <w:rsid w:val="002E7410"/>
    <w:rsid w:val="002E743A"/>
    <w:rsid w:val="002E7450"/>
    <w:rsid w:val="002E74A3"/>
    <w:rsid w:val="002E74A6"/>
    <w:rsid w:val="002E74C2"/>
    <w:rsid w:val="002E75B8"/>
    <w:rsid w:val="002E75F8"/>
    <w:rsid w:val="002E7601"/>
    <w:rsid w:val="002E761B"/>
    <w:rsid w:val="002E7620"/>
    <w:rsid w:val="002E762F"/>
    <w:rsid w:val="002E7638"/>
    <w:rsid w:val="002E7660"/>
    <w:rsid w:val="002E768E"/>
    <w:rsid w:val="002E7697"/>
    <w:rsid w:val="002E76AC"/>
    <w:rsid w:val="002E76E9"/>
    <w:rsid w:val="002E76F8"/>
    <w:rsid w:val="002E7713"/>
    <w:rsid w:val="002E7772"/>
    <w:rsid w:val="002E77DF"/>
    <w:rsid w:val="002E77EA"/>
    <w:rsid w:val="002E78E6"/>
    <w:rsid w:val="002E791C"/>
    <w:rsid w:val="002E798F"/>
    <w:rsid w:val="002E79AB"/>
    <w:rsid w:val="002E79B5"/>
    <w:rsid w:val="002E79DE"/>
    <w:rsid w:val="002E7A1A"/>
    <w:rsid w:val="002E7A1D"/>
    <w:rsid w:val="002E7A28"/>
    <w:rsid w:val="002E7A3A"/>
    <w:rsid w:val="002E7AD8"/>
    <w:rsid w:val="002E7B15"/>
    <w:rsid w:val="002E7B1A"/>
    <w:rsid w:val="002E7B37"/>
    <w:rsid w:val="002E7BC6"/>
    <w:rsid w:val="002E7C1F"/>
    <w:rsid w:val="002E7C36"/>
    <w:rsid w:val="002E7CBE"/>
    <w:rsid w:val="002E7D43"/>
    <w:rsid w:val="002E7D4C"/>
    <w:rsid w:val="002E7D5A"/>
    <w:rsid w:val="002E7DB6"/>
    <w:rsid w:val="002E7DC4"/>
    <w:rsid w:val="002E7DF2"/>
    <w:rsid w:val="002E7E57"/>
    <w:rsid w:val="002E7EBA"/>
    <w:rsid w:val="002E7F02"/>
    <w:rsid w:val="002E7F4E"/>
    <w:rsid w:val="002F0027"/>
    <w:rsid w:val="002F0032"/>
    <w:rsid w:val="002F0033"/>
    <w:rsid w:val="002F004C"/>
    <w:rsid w:val="002F00C6"/>
    <w:rsid w:val="002F00D2"/>
    <w:rsid w:val="002F013D"/>
    <w:rsid w:val="002F016E"/>
    <w:rsid w:val="002F01D2"/>
    <w:rsid w:val="002F022D"/>
    <w:rsid w:val="002F0241"/>
    <w:rsid w:val="002F0266"/>
    <w:rsid w:val="002F02AE"/>
    <w:rsid w:val="002F034C"/>
    <w:rsid w:val="002F0456"/>
    <w:rsid w:val="002F0482"/>
    <w:rsid w:val="002F048A"/>
    <w:rsid w:val="002F04BE"/>
    <w:rsid w:val="002F050C"/>
    <w:rsid w:val="002F0615"/>
    <w:rsid w:val="002F0693"/>
    <w:rsid w:val="002F06DF"/>
    <w:rsid w:val="002F06E4"/>
    <w:rsid w:val="002F0727"/>
    <w:rsid w:val="002F0767"/>
    <w:rsid w:val="002F0773"/>
    <w:rsid w:val="002F078F"/>
    <w:rsid w:val="002F07AD"/>
    <w:rsid w:val="002F07B6"/>
    <w:rsid w:val="002F07E8"/>
    <w:rsid w:val="002F0829"/>
    <w:rsid w:val="002F08A4"/>
    <w:rsid w:val="002F08BE"/>
    <w:rsid w:val="002F0903"/>
    <w:rsid w:val="002F0934"/>
    <w:rsid w:val="002F095D"/>
    <w:rsid w:val="002F09A0"/>
    <w:rsid w:val="002F0BBD"/>
    <w:rsid w:val="002F0C01"/>
    <w:rsid w:val="002F0C46"/>
    <w:rsid w:val="002F0C47"/>
    <w:rsid w:val="002F0C4F"/>
    <w:rsid w:val="002F0C73"/>
    <w:rsid w:val="002F0D97"/>
    <w:rsid w:val="002F0DA1"/>
    <w:rsid w:val="002F0E61"/>
    <w:rsid w:val="002F0E7F"/>
    <w:rsid w:val="002F0F26"/>
    <w:rsid w:val="002F0F32"/>
    <w:rsid w:val="002F0F57"/>
    <w:rsid w:val="002F0FAA"/>
    <w:rsid w:val="002F0FD1"/>
    <w:rsid w:val="002F0FF7"/>
    <w:rsid w:val="002F1024"/>
    <w:rsid w:val="002F104C"/>
    <w:rsid w:val="002F105E"/>
    <w:rsid w:val="002F10AD"/>
    <w:rsid w:val="002F1117"/>
    <w:rsid w:val="002F119E"/>
    <w:rsid w:val="002F121E"/>
    <w:rsid w:val="002F1326"/>
    <w:rsid w:val="002F137D"/>
    <w:rsid w:val="002F141C"/>
    <w:rsid w:val="002F1513"/>
    <w:rsid w:val="002F151C"/>
    <w:rsid w:val="002F1568"/>
    <w:rsid w:val="002F1610"/>
    <w:rsid w:val="002F163A"/>
    <w:rsid w:val="002F1715"/>
    <w:rsid w:val="002F1752"/>
    <w:rsid w:val="002F177D"/>
    <w:rsid w:val="002F17ED"/>
    <w:rsid w:val="002F17FB"/>
    <w:rsid w:val="002F1943"/>
    <w:rsid w:val="002F199E"/>
    <w:rsid w:val="002F19A3"/>
    <w:rsid w:val="002F19C8"/>
    <w:rsid w:val="002F1A36"/>
    <w:rsid w:val="002F1A7F"/>
    <w:rsid w:val="002F1A9D"/>
    <w:rsid w:val="002F1AAF"/>
    <w:rsid w:val="002F1B2A"/>
    <w:rsid w:val="002F1BD6"/>
    <w:rsid w:val="002F1BED"/>
    <w:rsid w:val="002F1C3B"/>
    <w:rsid w:val="002F1C7B"/>
    <w:rsid w:val="002F1C7E"/>
    <w:rsid w:val="002F1CE6"/>
    <w:rsid w:val="002F1D68"/>
    <w:rsid w:val="002F1D9E"/>
    <w:rsid w:val="002F1DC5"/>
    <w:rsid w:val="002F1DD4"/>
    <w:rsid w:val="002F1DDA"/>
    <w:rsid w:val="002F1DF8"/>
    <w:rsid w:val="002F1E97"/>
    <w:rsid w:val="002F1F97"/>
    <w:rsid w:val="002F1FD5"/>
    <w:rsid w:val="002F20C8"/>
    <w:rsid w:val="002F20D7"/>
    <w:rsid w:val="002F20DD"/>
    <w:rsid w:val="002F2112"/>
    <w:rsid w:val="002F2157"/>
    <w:rsid w:val="002F2176"/>
    <w:rsid w:val="002F2197"/>
    <w:rsid w:val="002F21D5"/>
    <w:rsid w:val="002F21FE"/>
    <w:rsid w:val="002F2236"/>
    <w:rsid w:val="002F228A"/>
    <w:rsid w:val="002F22C9"/>
    <w:rsid w:val="002F22EA"/>
    <w:rsid w:val="002F22F1"/>
    <w:rsid w:val="002F22FD"/>
    <w:rsid w:val="002F2325"/>
    <w:rsid w:val="002F2345"/>
    <w:rsid w:val="002F235E"/>
    <w:rsid w:val="002F23A7"/>
    <w:rsid w:val="002F23BD"/>
    <w:rsid w:val="002F24CD"/>
    <w:rsid w:val="002F24DD"/>
    <w:rsid w:val="002F2568"/>
    <w:rsid w:val="002F2579"/>
    <w:rsid w:val="002F2586"/>
    <w:rsid w:val="002F25D5"/>
    <w:rsid w:val="002F25E1"/>
    <w:rsid w:val="002F260C"/>
    <w:rsid w:val="002F2651"/>
    <w:rsid w:val="002F2675"/>
    <w:rsid w:val="002F26A8"/>
    <w:rsid w:val="002F26B9"/>
    <w:rsid w:val="002F26C5"/>
    <w:rsid w:val="002F26D6"/>
    <w:rsid w:val="002F2754"/>
    <w:rsid w:val="002F2755"/>
    <w:rsid w:val="002F27C3"/>
    <w:rsid w:val="002F27D1"/>
    <w:rsid w:val="002F280A"/>
    <w:rsid w:val="002F283F"/>
    <w:rsid w:val="002F28BA"/>
    <w:rsid w:val="002F28E8"/>
    <w:rsid w:val="002F28F9"/>
    <w:rsid w:val="002F290A"/>
    <w:rsid w:val="002F2975"/>
    <w:rsid w:val="002F29A8"/>
    <w:rsid w:val="002F29E0"/>
    <w:rsid w:val="002F2A69"/>
    <w:rsid w:val="002F2A86"/>
    <w:rsid w:val="002F2AD8"/>
    <w:rsid w:val="002F2B13"/>
    <w:rsid w:val="002F2B49"/>
    <w:rsid w:val="002F2B57"/>
    <w:rsid w:val="002F2B86"/>
    <w:rsid w:val="002F2BD7"/>
    <w:rsid w:val="002F2C71"/>
    <w:rsid w:val="002F2CA0"/>
    <w:rsid w:val="002F2D2C"/>
    <w:rsid w:val="002F2D30"/>
    <w:rsid w:val="002F2D3C"/>
    <w:rsid w:val="002F2D96"/>
    <w:rsid w:val="002F2DA6"/>
    <w:rsid w:val="002F2DD1"/>
    <w:rsid w:val="002F2EF5"/>
    <w:rsid w:val="002F2EFA"/>
    <w:rsid w:val="002F2F0D"/>
    <w:rsid w:val="002F2F26"/>
    <w:rsid w:val="002F2F3E"/>
    <w:rsid w:val="002F2F49"/>
    <w:rsid w:val="002F2F7C"/>
    <w:rsid w:val="002F3037"/>
    <w:rsid w:val="002F307A"/>
    <w:rsid w:val="002F309E"/>
    <w:rsid w:val="002F313F"/>
    <w:rsid w:val="002F3162"/>
    <w:rsid w:val="002F31C5"/>
    <w:rsid w:val="002F3334"/>
    <w:rsid w:val="002F3359"/>
    <w:rsid w:val="002F336F"/>
    <w:rsid w:val="002F3403"/>
    <w:rsid w:val="002F3409"/>
    <w:rsid w:val="002F3437"/>
    <w:rsid w:val="002F345A"/>
    <w:rsid w:val="002F3507"/>
    <w:rsid w:val="002F354B"/>
    <w:rsid w:val="002F3555"/>
    <w:rsid w:val="002F356E"/>
    <w:rsid w:val="002F3574"/>
    <w:rsid w:val="002F357B"/>
    <w:rsid w:val="002F358B"/>
    <w:rsid w:val="002F35C9"/>
    <w:rsid w:val="002F35F8"/>
    <w:rsid w:val="002F36D5"/>
    <w:rsid w:val="002F371C"/>
    <w:rsid w:val="002F3722"/>
    <w:rsid w:val="002F376E"/>
    <w:rsid w:val="002F3784"/>
    <w:rsid w:val="002F3891"/>
    <w:rsid w:val="002F38D4"/>
    <w:rsid w:val="002F3924"/>
    <w:rsid w:val="002F3932"/>
    <w:rsid w:val="002F3950"/>
    <w:rsid w:val="002F3971"/>
    <w:rsid w:val="002F39CA"/>
    <w:rsid w:val="002F39FC"/>
    <w:rsid w:val="002F3A2E"/>
    <w:rsid w:val="002F3A43"/>
    <w:rsid w:val="002F3AA0"/>
    <w:rsid w:val="002F3ACB"/>
    <w:rsid w:val="002F3ACE"/>
    <w:rsid w:val="002F3AFD"/>
    <w:rsid w:val="002F3B18"/>
    <w:rsid w:val="002F3B3F"/>
    <w:rsid w:val="002F3B48"/>
    <w:rsid w:val="002F3B58"/>
    <w:rsid w:val="002F3BD0"/>
    <w:rsid w:val="002F3BE5"/>
    <w:rsid w:val="002F3C42"/>
    <w:rsid w:val="002F3C81"/>
    <w:rsid w:val="002F3D11"/>
    <w:rsid w:val="002F3D59"/>
    <w:rsid w:val="002F3D62"/>
    <w:rsid w:val="002F3E08"/>
    <w:rsid w:val="002F3E2E"/>
    <w:rsid w:val="002F3E34"/>
    <w:rsid w:val="002F3E6B"/>
    <w:rsid w:val="002F3E9D"/>
    <w:rsid w:val="002F3ED9"/>
    <w:rsid w:val="002F3EE7"/>
    <w:rsid w:val="002F3F56"/>
    <w:rsid w:val="002F3F70"/>
    <w:rsid w:val="002F3F73"/>
    <w:rsid w:val="002F3F9E"/>
    <w:rsid w:val="002F4010"/>
    <w:rsid w:val="002F40EE"/>
    <w:rsid w:val="002F4116"/>
    <w:rsid w:val="002F4157"/>
    <w:rsid w:val="002F41A5"/>
    <w:rsid w:val="002F420E"/>
    <w:rsid w:val="002F4292"/>
    <w:rsid w:val="002F429C"/>
    <w:rsid w:val="002F42C0"/>
    <w:rsid w:val="002F42C8"/>
    <w:rsid w:val="002F42D7"/>
    <w:rsid w:val="002F42F2"/>
    <w:rsid w:val="002F433D"/>
    <w:rsid w:val="002F433F"/>
    <w:rsid w:val="002F434E"/>
    <w:rsid w:val="002F435A"/>
    <w:rsid w:val="002F4361"/>
    <w:rsid w:val="002F4419"/>
    <w:rsid w:val="002F44F2"/>
    <w:rsid w:val="002F44FC"/>
    <w:rsid w:val="002F450F"/>
    <w:rsid w:val="002F463E"/>
    <w:rsid w:val="002F4656"/>
    <w:rsid w:val="002F465C"/>
    <w:rsid w:val="002F467A"/>
    <w:rsid w:val="002F46D9"/>
    <w:rsid w:val="002F46E6"/>
    <w:rsid w:val="002F473B"/>
    <w:rsid w:val="002F4755"/>
    <w:rsid w:val="002F47AD"/>
    <w:rsid w:val="002F483B"/>
    <w:rsid w:val="002F486C"/>
    <w:rsid w:val="002F48B3"/>
    <w:rsid w:val="002F48BB"/>
    <w:rsid w:val="002F48C3"/>
    <w:rsid w:val="002F48D8"/>
    <w:rsid w:val="002F492E"/>
    <w:rsid w:val="002F49D7"/>
    <w:rsid w:val="002F49DE"/>
    <w:rsid w:val="002F49F9"/>
    <w:rsid w:val="002F4A16"/>
    <w:rsid w:val="002F4A17"/>
    <w:rsid w:val="002F4A5A"/>
    <w:rsid w:val="002F4A74"/>
    <w:rsid w:val="002F4A98"/>
    <w:rsid w:val="002F4AB3"/>
    <w:rsid w:val="002F4ABB"/>
    <w:rsid w:val="002F4AD5"/>
    <w:rsid w:val="002F4B00"/>
    <w:rsid w:val="002F4B36"/>
    <w:rsid w:val="002F4B55"/>
    <w:rsid w:val="002F4B73"/>
    <w:rsid w:val="002F4BD3"/>
    <w:rsid w:val="002F4BDC"/>
    <w:rsid w:val="002F4C0C"/>
    <w:rsid w:val="002F4C23"/>
    <w:rsid w:val="002F4C8F"/>
    <w:rsid w:val="002F4CC1"/>
    <w:rsid w:val="002F4CD0"/>
    <w:rsid w:val="002F4D2C"/>
    <w:rsid w:val="002F4D41"/>
    <w:rsid w:val="002F4D50"/>
    <w:rsid w:val="002F4D61"/>
    <w:rsid w:val="002F4D62"/>
    <w:rsid w:val="002F4EE4"/>
    <w:rsid w:val="002F4F03"/>
    <w:rsid w:val="002F4F14"/>
    <w:rsid w:val="002F4F29"/>
    <w:rsid w:val="002F4FC8"/>
    <w:rsid w:val="002F501F"/>
    <w:rsid w:val="002F514C"/>
    <w:rsid w:val="002F51B8"/>
    <w:rsid w:val="002F51CB"/>
    <w:rsid w:val="002F52E0"/>
    <w:rsid w:val="002F530A"/>
    <w:rsid w:val="002F53B1"/>
    <w:rsid w:val="002F53DE"/>
    <w:rsid w:val="002F53FD"/>
    <w:rsid w:val="002F5427"/>
    <w:rsid w:val="002F544D"/>
    <w:rsid w:val="002F5471"/>
    <w:rsid w:val="002F5624"/>
    <w:rsid w:val="002F563D"/>
    <w:rsid w:val="002F56E3"/>
    <w:rsid w:val="002F5752"/>
    <w:rsid w:val="002F5760"/>
    <w:rsid w:val="002F5799"/>
    <w:rsid w:val="002F5814"/>
    <w:rsid w:val="002F5948"/>
    <w:rsid w:val="002F595D"/>
    <w:rsid w:val="002F5965"/>
    <w:rsid w:val="002F59B7"/>
    <w:rsid w:val="002F5A13"/>
    <w:rsid w:val="002F5A30"/>
    <w:rsid w:val="002F5A9A"/>
    <w:rsid w:val="002F5B69"/>
    <w:rsid w:val="002F5B9E"/>
    <w:rsid w:val="002F5BA4"/>
    <w:rsid w:val="002F5BA5"/>
    <w:rsid w:val="002F5BF9"/>
    <w:rsid w:val="002F5D91"/>
    <w:rsid w:val="002F5DA4"/>
    <w:rsid w:val="002F5DB5"/>
    <w:rsid w:val="002F5DE2"/>
    <w:rsid w:val="002F5E75"/>
    <w:rsid w:val="002F5E96"/>
    <w:rsid w:val="002F5E9A"/>
    <w:rsid w:val="002F5EED"/>
    <w:rsid w:val="002F5F25"/>
    <w:rsid w:val="002F5F41"/>
    <w:rsid w:val="002F5F45"/>
    <w:rsid w:val="002F5F72"/>
    <w:rsid w:val="002F5FF1"/>
    <w:rsid w:val="002F603E"/>
    <w:rsid w:val="002F6049"/>
    <w:rsid w:val="002F605F"/>
    <w:rsid w:val="002F6079"/>
    <w:rsid w:val="002F60B8"/>
    <w:rsid w:val="002F6111"/>
    <w:rsid w:val="002F6150"/>
    <w:rsid w:val="002F61B1"/>
    <w:rsid w:val="002F61ED"/>
    <w:rsid w:val="002F620D"/>
    <w:rsid w:val="002F6230"/>
    <w:rsid w:val="002F6283"/>
    <w:rsid w:val="002F6286"/>
    <w:rsid w:val="002F6356"/>
    <w:rsid w:val="002F638F"/>
    <w:rsid w:val="002F6393"/>
    <w:rsid w:val="002F639B"/>
    <w:rsid w:val="002F63CF"/>
    <w:rsid w:val="002F6437"/>
    <w:rsid w:val="002F6441"/>
    <w:rsid w:val="002F644E"/>
    <w:rsid w:val="002F6463"/>
    <w:rsid w:val="002F6496"/>
    <w:rsid w:val="002F64D9"/>
    <w:rsid w:val="002F64DA"/>
    <w:rsid w:val="002F6518"/>
    <w:rsid w:val="002F6540"/>
    <w:rsid w:val="002F667F"/>
    <w:rsid w:val="002F6722"/>
    <w:rsid w:val="002F6737"/>
    <w:rsid w:val="002F6752"/>
    <w:rsid w:val="002F678A"/>
    <w:rsid w:val="002F6790"/>
    <w:rsid w:val="002F679A"/>
    <w:rsid w:val="002F67DC"/>
    <w:rsid w:val="002F6823"/>
    <w:rsid w:val="002F6840"/>
    <w:rsid w:val="002F6896"/>
    <w:rsid w:val="002F68AA"/>
    <w:rsid w:val="002F68CB"/>
    <w:rsid w:val="002F691C"/>
    <w:rsid w:val="002F695E"/>
    <w:rsid w:val="002F6960"/>
    <w:rsid w:val="002F696D"/>
    <w:rsid w:val="002F69E0"/>
    <w:rsid w:val="002F69E8"/>
    <w:rsid w:val="002F6A30"/>
    <w:rsid w:val="002F6A5D"/>
    <w:rsid w:val="002F6A85"/>
    <w:rsid w:val="002F6ACB"/>
    <w:rsid w:val="002F6B2F"/>
    <w:rsid w:val="002F6B7F"/>
    <w:rsid w:val="002F6B82"/>
    <w:rsid w:val="002F6B8C"/>
    <w:rsid w:val="002F6BB5"/>
    <w:rsid w:val="002F6C19"/>
    <w:rsid w:val="002F6C25"/>
    <w:rsid w:val="002F6D3C"/>
    <w:rsid w:val="002F6DA0"/>
    <w:rsid w:val="002F6E3A"/>
    <w:rsid w:val="002F6EC1"/>
    <w:rsid w:val="002F6F1C"/>
    <w:rsid w:val="002F6F59"/>
    <w:rsid w:val="002F6F84"/>
    <w:rsid w:val="002F6FBB"/>
    <w:rsid w:val="002F6FCD"/>
    <w:rsid w:val="002F6FE6"/>
    <w:rsid w:val="002F7013"/>
    <w:rsid w:val="002F7028"/>
    <w:rsid w:val="002F706C"/>
    <w:rsid w:val="002F708A"/>
    <w:rsid w:val="002F70C5"/>
    <w:rsid w:val="002F7157"/>
    <w:rsid w:val="002F71F9"/>
    <w:rsid w:val="002F7200"/>
    <w:rsid w:val="002F7231"/>
    <w:rsid w:val="002F723E"/>
    <w:rsid w:val="002F7258"/>
    <w:rsid w:val="002F72A4"/>
    <w:rsid w:val="002F72E7"/>
    <w:rsid w:val="002F72F1"/>
    <w:rsid w:val="002F739A"/>
    <w:rsid w:val="002F7426"/>
    <w:rsid w:val="002F744B"/>
    <w:rsid w:val="002F7490"/>
    <w:rsid w:val="002F74B3"/>
    <w:rsid w:val="002F74E1"/>
    <w:rsid w:val="002F74E7"/>
    <w:rsid w:val="002F74EF"/>
    <w:rsid w:val="002F74F7"/>
    <w:rsid w:val="002F7512"/>
    <w:rsid w:val="002F752F"/>
    <w:rsid w:val="002F758A"/>
    <w:rsid w:val="002F7591"/>
    <w:rsid w:val="002F75A7"/>
    <w:rsid w:val="002F765A"/>
    <w:rsid w:val="002F7771"/>
    <w:rsid w:val="002F7773"/>
    <w:rsid w:val="002F77F4"/>
    <w:rsid w:val="002F7852"/>
    <w:rsid w:val="002F7864"/>
    <w:rsid w:val="002F788B"/>
    <w:rsid w:val="002F788D"/>
    <w:rsid w:val="002F78B6"/>
    <w:rsid w:val="002F78EB"/>
    <w:rsid w:val="002F7932"/>
    <w:rsid w:val="002F7982"/>
    <w:rsid w:val="002F7A24"/>
    <w:rsid w:val="002F7A26"/>
    <w:rsid w:val="002F7A34"/>
    <w:rsid w:val="002F7B40"/>
    <w:rsid w:val="002F7B54"/>
    <w:rsid w:val="002F7B67"/>
    <w:rsid w:val="002F7C01"/>
    <w:rsid w:val="002F7C3C"/>
    <w:rsid w:val="002F7C9A"/>
    <w:rsid w:val="002F7CB5"/>
    <w:rsid w:val="002F7CFD"/>
    <w:rsid w:val="002F7D08"/>
    <w:rsid w:val="002F7D7E"/>
    <w:rsid w:val="002F7E73"/>
    <w:rsid w:val="002F7F0B"/>
    <w:rsid w:val="002F7F16"/>
    <w:rsid w:val="002F7F47"/>
    <w:rsid w:val="002F7FBF"/>
    <w:rsid w:val="00300005"/>
    <w:rsid w:val="0030000F"/>
    <w:rsid w:val="00300098"/>
    <w:rsid w:val="003000F0"/>
    <w:rsid w:val="00300189"/>
    <w:rsid w:val="003001BB"/>
    <w:rsid w:val="003001CD"/>
    <w:rsid w:val="00300226"/>
    <w:rsid w:val="00300289"/>
    <w:rsid w:val="003002E2"/>
    <w:rsid w:val="003002F4"/>
    <w:rsid w:val="00300358"/>
    <w:rsid w:val="00300386"/>
    <w:rsid w:val="00300429"/>
    <w:rsid w:val="00300433"/>
    <w:rsid w:val="0030043D"/>
    <w:rsid w:val="00300450"/>
    <w:rsid w:val="00300457"/>
    <w:rsid w:val="003004C0"/>
    <w:rsid w:val="003005A5"/>
    <w:rsid w:val="003005DE"/>
    <w:rsid w:val="003005E3"/>
    <w:rsid w:val="00300613"/>
    <w:rsid w:val="0030068A"/>
    <w:rsid w:val="003006A6"/>
    <w:rsid w:val="00300766"/>
    <w:rsid w:val="003007BE"/>
    <w:rsid w:val="0030085A"/>
    <w:rsid w:val="00300869"/>
    <w:rsid w:val="003008C6"/>
    <w:rsid w:val="003008F0"/>
    <w:rsid w:val="003008FB"/>
    <w:rsid w:val="0030092E"/>
    <w:rsid w:val="00300949"/>
    <w:rsid w:val="003009E2"/>
    <w:rsid w:val="00300A43"/>
    <w:rsid w:val="00300A53"/>
    <w:rsid w:val="00300B33"/>
    <w:rsid w:val="00300CFC"/>
    <w:rsid w:val="00300D05"/>
    <w:rsid w:val="00300D0E"/>
    <w:rsid w:val="00300D26"/>
    <w:rsid w:val="00300D42"/>
    <w:rsid w:val="00300D87"/>
    <w:rsid w:val="00300D97"/>
    <w:rsid w:val="00300DB3"/>
    <w:rsid w:val="00300DD0"/>
    <w:rsid w:val="00300DD5"/>
    <w:rsid w:val="00300DF5"/>
    <w:rsid w:val="00300E24"/>
    <w:rsid w:val="00300E34"/>
    <w:rsid w:val="00300E36"/>
    <w:rsid w:val="00300ED6"/>
    <w:rsid w:val="00300F25"/>
    <w:rsid w:val="00300F4A"/>
    <w:rsid w:val="00300FF9"/>
    <w:rsid w:val="00301077"/>
    <w:rsid w:val="0030108A"/>
    <w:rsid w:val="00301095"/>
    <w:rsid w:val="003010B0"/>
    <w:rsid w:val="00301135"/>
    <w:rsid w:val="0030113B"/>
    <w:rsid w:val="003011F6"/>
    <w:rsid w:val="0030120C"/>
    <w:rsid w:val="00301285"/>
    <w:rsid w:val="0030128F"/>
    <w:rsid w:val="00301294"/>
    <w:rsid w:val="003012D7"/>
    <w:rsid w:val="00301309"/>
    <w:rsid w:val="00301368"/>
    <w:rsid w:val="00301390"/>
    <w:rsid w:val="0030139C"/>
    <w:rsid w:val="00301428"/>
    <w:rsid w:val="00301458"/>
    <w:rsid w:val="0030145E"/>
    <w:rsid w:val="003014BF"/>
    <w:rsid w:val="00301512"/>
    <w:rsid w:val="0030152A"/>
    <w:rsid w:val="00301559"/>
    <w:rsid w:val="0030155A"/>
    <w:rsid w:val="0030157A"/>
    <w:rsid w:val="0030158E"/>
    <w:rsid w:val="0030161F"/>
    <w:rsid w:val="00301678"/>
    <w:rsid w:val="003016AC"/>
    <w:rsid w:val="003016BA"/>
    <w:rsid w:val="0030174D"/>
    <w:rsid w:val="0030178B"/>
    <w:rsid w:val="003017A2"/>
    <w:rsid w:val="003017BA"/>
    <w:rsid w:val="00301823"/>
    <w:rsid w:val="00301835"/>
    <w:rsid w:val="00301895"/>
    <w:rsid w:val="003018DA"/>
    <w:rsid w:val="0030196D"/>
    <w:rsid w:val="0030197E"/>
    <w:rsid w:val="003019F6"/>
    <w:rsid w:val="00301A1C"/>
    <w:rsid w:val="00301A27"/>
    <w:rsid w:val="00301A93"/>
    <w:rsid w:val="00301AE5"/>
    <w:rsid w:val="00301B7A"/>
    <w:rsid w:val="00301B7B"/>
    <w:rsid w:val="00301B94"/>
    <w:rsid w:val="00301B99"/>
    <w:rsid w:val="00301C01"/>
    <w:rsid w:val="00301CC8"/>
    <w:rsid w:val="00301D08"/>
    <w:rsid w:val="00301D34"/>
    <w:rsid w:val="00301D40"/>
    <w:rsid w:val="00301D49"/>
    <w:rsid w:val="00301D4B"/>
    <w:rsid w:val="00301D99"/>
    <w:rsid w:val="00301DB6"/>
    <w:rsid w:val="00301DC4"/>
    <w:rsid w:val="00301E1E"/>
    <w:rsid w:val="00301E55"/>
    <w:rsid w:val="00301E8E"/>
    <w:rsid w:val="00301E98"/>
    <w:rsid w:val="00301EF6"/>
    <w:rsid w:val="00301F40"/>
    <w:rsid w:val="00301F5F"/>
    <w:rsid w:val="00301F74"/>
    <w:rsid w:val="00301F7E"/>
    <w:rsid w:val="00301FA6"/>
    <w:rsid w:val="00301FAB"/>
    <w:rsid w:val="00302012"/>
    <w:rsid w:val="0030207D"/>
    <w:rsid w:val="00302088"/>
    <w:rsid w:val="003020C1"/>
    <w:rsid w:val="0030215A"/>
    <w:rsid w:val="00302221"/>
    <w:rsid w:val="0030223D"/>
    <w:rsid w:val="003022D1"/>
    <w:rsid w:val="003022EE"/>
    <w:rsid w:val="00302334"/>
    <w:rsid w:val="00302381"/>
    <w:rsid w:val="003023CC"/>
    <w:rsid w:val="003023F5"/>
    <w:rsid w:val="0030240B"/>
    <w:rsid w:val="00302488"/>
    <w:rsid w:val="003024D8"/>
    <w:rsid w:val="00302502"/>
    <w:rsid w:val="0030253F"/>
    <w:rsid w:val="003025A6"/>
    <w:rsid w:val="003026B7"/>
    <w:rsid w:val="003026CE"/>
    <w:rsid w:val="003026FF"/>
    <w:rsid w:val="00302733"/>
    <w:rsid w:val="0030275C"/>
    <w:rsid w:val="00302805"/>
    <w:rsid w:val="0030283C"/>
    <w:rsid w:val="003028DD"/>
    <w:rsid w:val="00302A6A"/>
    <w:rsid w:val="00302B4F"/>
    <w:rsid w:val="00302C76"/>
    <w:rsid w:val="00302C89"/>
    <w:rsid w:val="00302CA6"/>
    <w:rsid w:val="00302CF6"/>
    <w:rsid w:val="00302D05"/>
    <w:rsid w:val="00302D55"/>
    <w:rsid w:val="00302D6F"/>
    <w:rsid w:val="00302DA3"/>
    <w:rsid w:val="00302DBC"/>
    <w:rsid w:val="00302DC3"/>
    <w:rsid w:val="00302F36"/>
    <w:rsid w:val="00302F7C"/>
    <w:rsid w:val="00302FDD"/>
    <w:rsid w:val="00302FF9"/>
    <w:rsid w:val="00303034"/>
    <w:rsid w:val="00303103"/>
    <w:rsid w:val="0030312D"/>
    <w:rsid w:val="00303169"/>
    <w:rsid w:val="003031DF"/>
    <w:rsid w:val="003031FD"/>
    <w:rsid w:val="0030322C"/>
    <w:rsid w:val="003032EF"/>
    <w:rsid w:val="0030332B"/>
    <w:rsid w:val="00303387"/>
    <w:rsid w:val="003033A6"/>
    <w:rsid w:val="003033D4"/>
    <w:rsid w:val="00303465"/>
    <w:rsid w:val="003034E2"/>
    <w:rsid w:val="00303563"/>
    <w:rsid w:val="0030356B"/>
    <w:rsid w:val="0030359C"/>
    <w:rsid w:val="0030363A"/>
    <w:rsid w:val="00303665"/>
    <w:rsid w:val="0030366D"/>
    <w:rsid w:val="00303671"/>
    <w:rsid w:val="0030369D"/>
    <w:rsid w:val="003037E2"/>
    <w:rsid w:val="003037E8"/>
    <w:rsid w:val="00303809"/>
    <w:rsid w:val="00303834"/>
    <w:rsid w:val="003038D7"/>
    <w:rsid w:val="003038FC"/>
    <w:rsid w:val="00303910"/>
    <w:rsid w:val="00303957"/>
    <w:rsid w:val="00303958"/>
    <w:rsid w:val="0030396B"/>
    <w:rsid w:val="00303988"/>
    <w:rsid w:val="0030398B"/>
    <w:rsid w:val="00303B02"/>
    <w:rsid w:val="00303B1F"/>
    <w:rsid w:val="00303BDA"/>
    <w:rsid w:val="00303C25"/>
    <w:rsid w:val="00303C35"/>
    <w:rsid w:val="00303C51"/>
    <w:rsid w:val="00303C7E"/>
    <w:rsid w:val="00303D15"/>
    <w:rsid w:val="00303D38"/>
    <w:rsid w:val="00303D56"/>
    <w:rsid w:val="00303D87"/>
    <w:rsid w:val="00303DDF"/>
    <w:rsid w:val="00303E3C"/>
    <w:rsid w:val="00303E4D"/>
    <w:rsid w:val="00303E58"/>
    <w:rsid w:val="00303E6A"/>
    <w:rsid w:val="00303F6D"/>
    <w:rsid w:val="00303F74"/>
    <w:rsid w:val="00303F84"/>
    <w:rsid w:val="00303FCC"/>
    <w:rsid w:val="00304020"/>
    <w:rsid w:val="00304046"/>
    <w:rsid w:val="00304073"/>
    <w:rsid w:val="00304101"/>
    <w:rsid w:val="00304174"/>
    <w:rsid w:val="00304287"/>
    <w:rsid w:val="003042BB"/>
    <w:rsid w:val="003042BE"/>
    <w:rsid w:val="003042D9"/>
    <w:rsid w:val="00304314"/>
    <w:rsid w:val="00304365"/>
    <w:rsid w:val="0030441B"/>
    <w:rsid w:val="0030445B"/>
    <w:rsid w:val="003044A7"/>
    <w:rsid w:val="003044AA"/>
    <w:rsid w:val="003044DA"/>
    <w:rsid w:val="003044FB"/>
    <w:rsid w:val="00304520"/>
    <w:rsid w:val="00304575"/>
    <w:rsid w:val="003045AE"/>
    <w:rsid w:val="003045DC"/>
    <w:rsid w:val="003045F5"/>
    <w:rsid w:val="0030469E"/>
    <w:rsid w:val="003046BA"/>
    <w:rsid w:val="003046E6"/>
    <w:rsid w:val="0030474E"/>
    <w:rsid w:val="00304790"/>
    <w:rsid w:val="003047E7"/>
    <w:rsid w:val="003047F6"/>
    <w:rsid w:val="00304894"/>
    <w:rsid w:val="00304923"/>
    <w:rsid w:val="00304959"/>
    <w:rsid w:val="0030497C"/>
    <w:rsid w:val="003049D1"/>
    <w:rsid w:val="003049E0"/>
    <w:rsid w:val="003049ED"/>
    <w:rsid w:val="00304A16"/>
    <w:rsid w:val="00304A21"/>
    <w:rsid w:val="00304A45"/>
    <w:rsid w:val="00304A59"/>
    <w:rsid w:val="00304AAE"/>
    <w:rsid w:val="00304ADA"/>
    <w:rsid w:val="00304B31"/>
    <w:rsid w:val="00304B34"/>
    <w:rsid w:val="00304C9B"/>
    <w:rsid w:val="00304CB3"/>
    <w:rsid w:val="00304CB7"/>
    <w:rsid w:val="00304CD9"/>
    <w:rsid w:val="00304CF1"/>
    <w:rsid w:val="00304D76"/>
    <w:rsid w:val="00304DE4"/>
    <w:rsid w:val="00304E90"/>
    <w:rsid w:val="00304EA4"/>
    <w:rsid w:val="00304EE5"/>
    <w:rsid w:val="00304F22"/>
    <w:rsid w:val="00304FFA"/>
    <w:rsid w:val="00305008"/>
    <w:rsid w:val="00305064"/>
    <w:rsid w:val="00305077"/>
    <w:rsid w:val="0030512E"/>
    <w:rsid w:val="003051A2"/>
    <w:rsid w:val="003051A7"/>
    <w:rsid w:val="003051BB"/>
    <w:rsid w:val="003051CF"/>
    <w:rsid w:val="00305245"/>
    <w:rsid w:val="0030525C"/>
    <w:rsid w:val="00305268"/>
    <w:rsid w:val="003052A6"/>
    <w:rsid w:val="003052D0"/>
    <w:rsid w:val="003052D5"/>
    <w:rsid w:val="003052EA"/>
    <w:rsid w:val="003053E2"/>
    <w:rsid w:val="003053F4"/>
    <w:rsid w:val="0030543F"/>
    <w:rsid w:val="00305450"/>
    <w:rsid w:val="00305459"/>
    <w:rsid w:val="0030548D"/>
    <w:rsid w:val="003054AA"/>
    <w:rsid w:val="00305553"/>
    <w:rsid w:val="00305652"/>
    <w:rsid w:val="003056A6"/>
    <w:rsid w:val="00305730"/>
    <w:rsid w:val="0030573C"/>
    <w:rsid w:val="00305744"/>
    <w:rsid w:val="003057D1"/>
    <w:rsid w:val="00305800"/>
    <w:rsid w:val="00305885"/>
    <w:rsid w:val="003058C4"/>
    <w:rsid w:val="00305950"/>
    <w:rsid w:val="00305982"/>
    <w:rsid w:val="003059A9"/>
    <w:rsid w:val="00305A49"/>
    <w:rsid w:val="00305ACB"/>
    <w:rsid w:val="00305B01"/>
    <w:rsid w:val="00305B1B"/>
    <w:rsid w:val="00305B62"/>
    <w:rsid w:val="00305BDB"/>
    <w:rsid w:val="00305BFB"/>
    <w:rsid w:val="00305C58"/>
    <w:rsid w:val="00305C8F"/>
    <w:rsid w:val="00305C99"/>
    <w:rsid w:val="00305C9E"/>
    <w:rsid w:val="00305CA7"/>
    <w:rsid w:val="00305D76"/>
    <w:rsid w:val="00305D7C"/>
    <w:rsid w:val="00305DAC"/>
    <w:rsid w:val="00305DD6"/>
    <w:rsid w:val="00305ED6"/>
    <w:rsid w:val="00305F25"/>
    <w:rsid w:val="00305F36"/>
    <w:rsid w:val="00305F51"/>
    <w:rsid w:val="00305FA7"/>
    <w:rsid w:val="00305FCE"/>
    <w:rsid w:val="00306006"/>
    <w:rsid w:val="00306040"/>
    <w:rsid w:val="00306048"/>
    <w:rsid w:val="0030606C"/>
    <w:rsid w:val="0030606F"/>
    <w:rsid w:val="0030610E"/>
    <w:rsid w:val="00306141"/>
    <w:rsid w:val="0030615C"/>
    <w:rsid w:val="003061A7"/>
    <w:rsid w:val="003061EB"/>
    <w:rsid w:val="00306259"/>
    <w:rsid w:val="0030626C"/>
    <w:rsid w:val="0030627B"/>
    <w:rsid w:val="0030628E"/>
    <w:rsid w:val="00306328"/>
    <w:rsid w:val="003063FF"/>
    <w:rsid w:val="00306410"/>
    <w:rsid w:val="00306455"/>
    <w:rsid w:val="0030645E"/>
    <w:rsid w:val="00306461"/>
    <w:rsid w:val="00306472"/>
    <w:rsid w:val="0030648F"/>
    <w:rsid w:val="003064DE"/>
    <w:rsid w:val="00306512"/>
    <w:rsid w:val="00306517"/>
    <w:rsid w:val="00306582"/>
    <w:rsid w:val="003065D8"/>
    <w:rsid w:val="003065F6"/>
    <w:rsid w:val="00306600"/>
    <w:rsid w:val="0030663E"/>
    <w:rsid w:val="003066D0"/>
    <w:rsid w:val="003066E8"/>
    <w:rsid w:val="003066EA"/>
    <w:rsid w:val="003066F4"/>
    <w:rsid w:val="003066FB"/>
    <w:rsid w:val="00306716"/>
    <w:rsid w:val="00306726"/>
    <w:rsid w:val="003067D9"/>
    <w:rsid w:val="00306804"/>
    <w:rsid w:val="0030681A"/>
    <w:rsid w:val="00306878"/>
    <w:rsid w:val="0030687B"/>
    <w:rsid w:val="00306892"/>
    <w:rsid w:val="003068AA"/>
    <w:rsid w:val="00306930"/>
    <w:rsid w:val="00306951"/>
    <w:rsid w:val="00306961"/>
    <w:rsid w:val="003069AF"/>
    <w:rsid w:val="003069E0"/>
    <w:rsid w:val="003069F7"/>
    <w:rsid w:val="003069F8"/>
    <w:rsid w:val="00306A7E"/>
    <w:rsid w:val="00306A85"/>
    <w:rsid w:val="00306AE0"/>
    <w:rsid w:val="00306AF0"/>
    <w:rsid w:val="00306AF6"/>
    <w:rsid w:val="00306B4A"/>
    <w:rsid w:val="00306BC4"/>
    <w:rsid w:val="00306C1C"/>
    <w:rsid w:val="00306C41"/>
    <w:rsid w:val="00306C7D"/>
    <w:rsid w:val="00306C84"/>
    <w:rsid w:val="00306C8E"/>
    <w:rsid w:val="00306CE4"/>
    <w:rsid w:val="00306D21"/>
    <w:rsid w:val="00306D7C"/>
    <w:rsid w:val="00306D87"/>
    <w:rsid w:val="00306D94"/>
    <w:rsid w:val="00306DB3"/>
    <w:rsid w:val="00306E90"/>
    <w:rsid w:val="00306E91"/>
    <w:rsid w:val="00306EC6"/>
    <w:rsid w:val="00306EC7"/>
    <w:rsid w:val="00306EF1"/>
    <w:rsid w:val="00306F97"/>
    <w:rsid w:val="00306FC2"/>
    <w:rsid w:val="00307001"/>
    <w:rsid w:val="00307060"/>
    <w:rsid w:val="0030713D"/>
    <w:rsid w:val="0030721E"/>
    <w:rsid w:val="00307264"/>
    <w:rsid w:val="0030726A"/>
    <w:rsid w:val="00307281"/>
    <w:rsid w:val="003072B0"/>
    <w:rsid w:val="003072E6"/>
    <w:rsid w:val="003073AB"/>
    <w:rsid w:val="00307406"/>
    <w:rsid w:val="00307426"/>
    <w:rsid w:val="00307485"/>
    <w:rsid w:val="003074CC"/>
    <w:rsid w:val="0030750A"/>
    <w:rsid w:val="00307531"/>
    <w:rsid w:val="00307545"/>
    <w:rsid w:val="00307561"/>
    <w:rsid w:val="0030766C"/>
    <w:rsid w:val="00307699"/>
    <w:rsid w:val="00307740"/>
    <w:rsid w:val="0030777D"/>
    <w:rsid w:val="003077E3"/>
    <w:rsid w:val="0030782F"/>
    <w:rsid w:val="00307873"/>
    <w:rsid w:val="0030788B"/>
    <w:rsid w:val="003078A8"/>
    <w:rsid w:val="003078E6"/>
    <w:rsid w:val="003078F6"/>
    <w:rsid w:val="00307902"/>
    <w:rsid w:val="0030790C"/>
    <w:rsid w:val="0030795F"/>
    <w:rsid w:val="003079EE"/>
    <w:rsid w:val="003079F8"/>
    <w:rsid w:val="00307A41"/>
    <w:rsid w:val="00307A61"/>
    <w:rsid w:val="00307A97"/>
    <w:rsid w:val="00307A99"/>
    <w:rsid w:val="00307AB7"/>
    <w:rsid w:val="00307AC0"/>
    <w:rsid w:val="00307B05"/>
    <w:rsid w:val="00307B66"/>
    <w:rsid w:val="00307B82"/>
    <w:rsid w:val="00307BAE"/>
    <w:rsid w:val="00307BD5"/>
    <w:rsid w:val="00307C66"/>
    <w:rsid w:val="00307C68"/>
    <w:rsid w:val="00307CCD"/>
    <w:rsid w:val="00307CEF"/>
    <w:rsid w:val="00307D72"/>
    <w:rsid w:val="00307DB7"/>
    <w:rsid w:val="00307E99"/>
    <w:rsid w:val="00307E9C"/>
    <w:rsid w:val="00307EB3"/>
    <w:rsid w:val="00307EDB"/>
    <w:rsid w:val="00307EF8"/>
    <w:rsid w:val="00307F3C"/>
    <w:rsid w:val="0031001C"/>
    <w:rsid w:val="00310038"/>
    <w:rsid w:val="00310055"/>
    <w:rsid w:val="00310070"/>
    <w:rsid w:val="00310106"/>
    <w:rsid w:val="00310164"/>
    <w:rsid w:val="003101D2"/>
    <w:rsid w:val="003101FB"/>
    <w:rsid w:val="00310232"/>
    <w:rsid w:val="0031026D"/>
    <w:rsid w:val="003102E9"/>
    <w:rsid w:val="00310328"/>
    <w:rsid w:val="0031034F"/>
    <w:rsid w:val="00310362"/>
    <w:rsid w:val="003103A9"/>
    <w:rsid w:val="003103AA"/>
    <w:rsid w:val="003103FD"/>
    <w:rsid w:val="00310455"/>
    <w:rsid w:val="003104AA"/>
    <w:rsid w:val="003104C5"/>
    <w:rsid w:val="003104E4"/>
    <w:rsid w:val="00310583"/>
    <w:rsid w:val="003105C9"/>
    <w:rsid w:val="00310679"/>
    <w:rsid w:val="003106B0"/>
    <w:rsid w:val="003106C7"/>
    <w:rsid w:val="0031073A"/>
    <w:rsid w:val="0031079C"/>
    <w:rsid w:val="00310826"/>
    <w:rsid w:val="00310854"/>
    <w:rsid w:val="003108D2"/>
    <w:rsid w:val="00310910"/>
    <w:rsid w:val="00310951"/>
    <w:rsid w:val="003109A5"/>
    <w:rsid w:val="003109F3"/>
    <w:rsid w:val="003109FB"/>
    <w:rsid w:val="00310A46"/>
    <w:rsid w:val="00310A5C"/>
    <w:rsid w:val="00310A5D"/>
    <w:rsid w:val="00310AD2"/>
    <w:rsid w:val="00310AF2"/>
    <w:rsid w:val="00310B27"/>
    <w:rsid w:val="00310B32"/>
    <w:rsid w:val="00310B75"/>
    <w:rsid w:val="00310B7E"/>
    <w:rsid w:val="00310C44"/>
    <w:rsid w:val="00310C77"/>
    <w:rsid w:val="00310CC1"/>
    <w:rsid w:val="00310CFB"/>
    <w:rsid w:val="00310D04"/>
    <w:rsid w:val="00310D4A"/>
    <w:rsid w:val="00310D64"/>
    <w:rsid w:val="00310D6B"/>
    <w:rsid w:val="00310DC6"/>
    <w:rsid w:val="00310E43"/>
    <w:rsid w:val="00310ECE"/>
    <w:rsid w:val="00310FF4"/>
    <w:rsid w:val="00311064"/>
    <w:rsid w:val="00311092"/>
    <w:rsid w:val="003110A4"/>
    <w:rsid w:val="0031115A"/>
    <w:rsid w:val="00311172"/>
    <w:rsid w:val="003111C1"/>
    <w:rsid w:val="00311274"/>
    <w:rsid w:val="003112D9"/>
    <w:rsid w:val="00311344"/>
    <w:rsid w:val="003113AF"/>
    <w:rsid w:val="0031140F"/>
    <w:rsid w:val="0031141F"/>
    <w:rsid w:val="003114C9"/>
    <w:rsid w:val="003114E7"/>
    <w:rsid w:val="003115AC"/>
    <w:rsid w:val="003115AD"/>
    <w:rsid w:val="00311603"/>
    <w:rsid w:val="00311654"/>
    <w:rsid w:val="00311709"/>
    <w:rsid w:val="00311731"/>
    <w:rsid w:val="003117D9"/>
    <w:rsid w:val="00311829"/>
    <w:rsid w:val="003118DC"/>
    <w:rsid w:val="003118F5"/>
    <w:rsid w:val="003118F8"/>
    <w:rsid w:val="00311912"/>
    <w:rsid w:val="0031196F"/>
    <w:rsid w:val="0031197D"/>
    <w:rsid w:val="003119DC"/>
    <w:rsid w:val="00311A4A"/>
    <w:rsid w:val="00311A85"/>
    <w:rsid w:val="00311A88"/>
    <w:rsid w:val="00311AB6"/>
    <w:rsid w:val="00311AD5"/>
    <w:rsid w:val="00311AE1"/>
    <w:rsid w:val="00311AEA"/>
    <w:rsid w:val="00311AF4"/>
    <w:rsid w:val="00311B42"/>
    <w:rsid w:val="00311B84"/>
    <w:rsid w:val="00311B94"/>
    <w:rsid w:val="00311BFE"/>
    <w:rsid w:val="00311C2B"/>
    <w:rsid w:val="00311C40"/>
    <w:rsid w:val="00311C4F"/>
    <w:rsid w:val="00311CBB"/>
    <w:rsid w:val="00311CEA"/>
    <w:rsid w:val="00311CF8"/>
    <w:rsid w:val="00311D53"/>
    <w:rsid w:val="00311D7B"/>
    <w:rsid w:val="00311D99"/>
    <w:rsid w:val="00311E01"/>
    <w:rsid w:val="00311E2D"/>
    <w:rsid w:val="00311E4E"/>
    <w:rsid w:val="00311E8E"/>
    <w:rsid w:val="00311EB0"/>
    <w:rsid w:val="00311EBA"/>
    <w:rsid w:val="00311F3A"/>
    <w:rsid w:val="00311F81"/>
    <w:rsid w:val="00311FF9"/>
    <w:rsid w:val="0031205C"/>
    <w:rsid w:val="00312068"/>
    <w:rsid w:val="0031209A"/>
    <w:rsid w:val="003120AD"/>
    <w:rsid w:val="003120B4"/>
    <w:rsid w:val="00312135"/>
    <w:rsid w:val="003121A4"/>
    <w:rsid w:val="00312248"/>
    <w:rsid w:val="0031225E"/>
    <w:rsid w:val="00312283"/>
    <w:rsid w:val="00312308"/>
    <w:rsid w:val="00312384"/>
    <w:rsid w:val="00312390"/>
    <w:rsid w:val="003123B1"/>
    <w:rsid w:val="003123EA"/>
    <w:rsid w:val="003123EB"/>
    <w:rsid w:val="003123FA"/>
    <w:rsid w:val="0031241C"/>
    <w:rsid w:val="00312433"/>
    <w:rsid w:val="00312548"/>
    <w:rsid w:val="0031258D"/>
    <w:rsid w:val="0031258F"/>
    <w:rsid w:val="0031260F"/>
    <w:rsid w:val="0031261C"/>
    <w:rsid w:val="0031265E"/>
    <w:rsid w:val="0031269B"/>
    <w:rsid w:val="0031269C"/>
    <w:rsid w:val="00312768"/>
    <w:rsid w:val="003127C3"/>
    <w:rsid w:val="003127D1"/>
    <w:rsid w:val="003127FF"/>
    <w:rsid w:val="00312842"/>
    <w:rsid w:val="00312845"/>
    <w:rsid w:val="00312847"/>
    <w:rsid w:val="003128C9"/>
    <w:rsid w:val="0031296E"/>
    <w:rsid w:val="00312981"/>
    <w:rsid w:val="003129B1"/>
    <w:rsid w:val="003129E5"/>
    <w:rsid w:val="003129F1"/>
    <w:rsid w:val="00312A2A"/>
    <w:rsid w:val="00312A64"/>
    <w:rsid w:val="00312A7A"/>
    <w:rsid w:val="00312A91"/>
    <w:rsid w:val="00312AF6"/>
    <w:rsid w:val="00312B6D"/>
    <w:rsid w:val="00312B6E"/>
    <w:rsid w:val="00312B73"/>
    <w:rsid w:val="00312BAA"/>
    <w:rsid w:val="00312BB6"/>
    <w:rsid w:val="00312BBC"/>
    <w:rsid w:val="00312C30"/>
    <w:rsid w:val="00312CC6"/>
    <w:rsid w:val="00312CDF"/>
    <w:rsid w:val="00312CE7"/>
    <w:rsid w:val="00312D38"/>
    <w:rsid w:val="00312D73"/>
    <w:rsid w:val="00312D7A"/>
    <w:rsid w:val="00312EE6"/>
    <w:rsid w:val="00312FE8"/>
    <w:rsid w:val="00313014"/>
    <w:rsid w:val="00313058"/>
    <w:rsid w:val="00313069"/>
    <w:rsid w:val="00313091"/>
    <w:rsid w:val="003130F1"/>
    <w:rsid w:val="00313117"/>
    <w:rsid w:val="0031311B"/>
    <w:rsid w:val="0031313B"/>
    <w:rsid w:val="00313178"/>
    <w:rsid w:val="003131B0"/>
    <w:rsid w:val="003131B6"/>
    <w:rsid w:val="00313222"/>
    <w:rsid w:val="00313278"/>
    <w:rsid w:val="0031328A"/>
    <w:rsid w:val="003132A2"/>
    <w:rsid w:val="003132B1"/>
    <w:rsid w:val="00313386"/>
    <w:rsid w:val="003133DB"/>
    <w:rsid w:val="0031342B"/>
    <w:rsid w:val="003134E1"/>
    <w:rsid w:val="003134F2"/>
    <w:rsid w:val="00313528"/>
    <w:rsid w:val="003135E6"/>
    <w:rsid w:val="00313784"/>
    <w:rsid w:val="00313839"/>
    <w:rsid w:val="0031383C"/>
    <w:rsid w:val="0031387E"/>
    <w:rsid w:val="00313889"/>
    <w:rsid w:val="0031388E"/>
    <w:rsid w:val="003138F3"/>
    <w:rsid w:val="00313905"/>
    <w:rsid w:val="003139B4"/>
    <w:rsid w:val="003139BF"/>
    <w:rsid w:val="00313A47"/>
    <w:rsid w:val="00313A6B"/>
    <w:rsid w:val="00313ADF"/>
    <w:rsid w:val="00313AE1"/>
    <w:rsid w:val="00313AE2"/>
    <w:rsid w:val="00313B28"/>
    <w:rsid w:val="00313B97"/>
    <w:rsid w:val="00313BA8"/>
    <w:rsid w:val="00313BE2"/>
    <w:rsid w:val="00313C34"/>
    <w:rsid w:val="00313C8B"/>
    <w:rsid w:val="00313C94"/>
    <w:rsid w:val="00313CE7"/>
    <w:rsid w:val="00313D1F"/>
    <w:rsid w:val="00313D20"/>
    <w:rsid w:val="00313D48"/>
    <w:rsid w:val="00313D4F"/>
    <w:rsid w:val="00313DD6"/>
    <w:rsid w:val="00313E9A"/>
    <w:rsid w:val="00313F31"/>
    <w:rsid w:val="00313F82"/>
    <w:rsid w:val="00313F86"/>
    <w:rsid w:val="00313FAB"/>
    <w:rsid w:val="00313FAE"/>
    <w:rsid w:val="00313FE1"/>
    <w:rsid w:val="00313FF7"/>
    <w:rsid w:val="00314031"/>
    <w:rsid w:val="00314035"/>
    <w:rsid w:val="00314042"/>
    <w:rsid w:val="00314097"/>
    <w:rsid w:val="00314112"/>
    <w:rsid w:val="0031411C"/>
    <w:rsid w:val="00314156"/>
    <w:rsid w:val="00314162"/>
    <w:rsid w:val="00314226"/>
    <w:rsid w:val="0031424A"/>
    <w:rsid w:val="00314294"/>
    <w:rsid w:val="00314297"/>
    <w:rsid w:val="003142CF"/>
    <w:rsid w:val="0031436D"/>
    <w:rsid w:val="00314402"/>
    <w:rsid w:val="00314404"/>
    <w:rsid w:val="00314407"/>
    <w:rsid w:val="0031442B"/>
    <w:rsid w:val="0031444B"/>
    <w:rsid w:val="00314470"/>
    <w:rsid w:val="00314474"/>
    <w:rsid w:val="003144A4"/>
    <w:rsid w:val="00314512"/>
    <w:rsid w:val="0031452A"/>
    <w:rsid w:val="0031456A"/>
    <w:rsid w:val="0031458C"/>
    <w:rsid w:val="003145B3"/>
    <w:rsid w:val="003145C7"/>
    <w:rsid w:val="003145FD"/>
    <w:rsid w:val="0031460C"/>
    <w:rsid w:val="003146D7"/>
    <w:rsid w:val="003146F9"/>
    <w:rsid w:val="00314754"/>
    <w:rsid w:val="00314762"/>
    <w:rsid w:val="00314772"/>
    <w:rsid w:val="003147CB"/>
    <w:rsid w:val="00314892"/>
    <w:rsid w:val="003148AA"/>
    <w:rsid w:val="003148C8"/>
    <w:rsid w:val="0031498C"/>
    <w:rsid w:val="00314A3E"/>
    <w:rsid w:val="00314A75"/>
    <w:rsid w:val="00314AA4"/>
    <w:rsid w:val="00314AB2"/>
    <w:rsid w:val="00314B02"/>
    <w:rsid w:val="00314B12"/>
    <w:rsid w:val="00314B89"/>
    <w:rsid w:val="00314B8B"/>
    <w:rsid w:val="00314BDB"/>
    <w:rsid w:val="00314C3F"/>
    <w:rsid w:val="00314C40"/>
    <w:rsid w:val="00314C45"/>
    <w:rsid w:val="00314C4F"/>
    <w:rsid w:val="00314DA2"/>
    <w:rsid w:val="00314DFE"/>
    <w:rsid w:val="00314E0F"/>
    <w:rsid w:val="00314E5F"/>
    <w:rsid w:val="00314EB2"/>
    <w:rsid w:val="00314F39"/>
    <w:rsid w:val="00314F55"/>
    <w:rsid w:val="00314F77"/>
    <w:rsid w:val="00314F8B"/>
    <w:rsid w:val="00314F94"/>
    <w:rsid w:val="00314FAA"/>
    <w:rsid w:val="00314FED"/>
    <w:rsid w:val="0031501E"/>
    <w:rsid w:val="0031503B"/>
    <w:rsid w:val="0031504B"/>
    <w:rsid w:val="00315077"/>
    <w:rsid w:val="003150E5"/>
    <w:rsid w:val="00315105"/>
    <w:rsid w:val="003151F6"/>
    <w:rsid w:val="00315201"/>
    <w:rsid w:val="0031520D"/>
    <w:rsid w:val="00315230"/>
    <w:rsid w:val="00315233"/>
    <w:rsid w:val="00315267"/>
    <w:rsid w:val="00315299"/>
    <w:rsid w:val="003152E5"/>
    <w:rsid w:val="00315357"/>
    <w:rsid w:val="0031537A"/>
    <w:rsid w:val="003153C4"/>
    <w:rsid w:val="003153C8"/>
    <w:rsid w:val="003153F2"/>
    <w:rsid w:val="00315453"/>
    <w:rsid w:val="00315486"/>
    <w:rsid w:val="003154AE"/>
    <w:rsid w:val="003154FC"/>
    <w:rsid w:val="00315523"/>
    <w:rsid w:val="003155B7"/>
    <w:rsid w:val="003155FC"/>
    <w:rsid w:val="0031561E"/>
    <w:rsid w:val="0031564A"/>
    <w:rsid w:val="00315744"/>
    <w:rsid w:val="003157A3"/>
    <w:rsid w:val="003157B3"/>
    <w:rsid w:val="003157BF"/>
    <w:rsid w:val="0031586A"/>
    <w:rsid w:val="00315881"/>
    <w:rsid w:val="0031592E"/>
    <w:rsid w:val="003159CE"/>
    <w:rsid w:val="003159E4"/>
    <w:rsid w:val="00315A26"/>
    <w:rsid w:val="00315A2E"/>
    <w:rsid w:val="00315A36"/>
    <w:rsid w:val="00315A5E"/>
    <w:rsid w:val="00315A5F"/>
    <w:rsid w:val="00315A9F"/>
    <w:rsid w:val="00315AA4"/>
    <w:rsid w:val="00315C23"/>
    <w:rsid w:val="00315C94"/>
    <w:rsid w:val="00315CA8"/>
    <w:rsid w:val="00315D1C"/>
    <w:rsid w:val="00315D26"/>
    <w:rsid w:val="00315D3D"/>
    <w:rsid w:val="00315D8D"/>
    <w:rsid w:val="00315DC9"/>
    <w:rsid w:val="00315EC3"/>
    <w:rsid w:val="00315EC9"/>
    <w:rsid w:val="00315F34"/>
    <w:rsid w:val="00315F35"/>
    <w:rsid w:val="00315F68"/>
    <w:rsid w:val="00315FBA"/>
    <w:rsid w:val="00315FCB"/>
    <w:rsid w:val="00316005"/>
    <w:rsid w:val="0031603C"/>
    <w:rsid w:val="0031609A"/>
    <w:rsid w:val="00316103"/>
    <w:rsid w:val="00316144"/>
    <w:rsid w:val="00316169"/>
    <w:rsid w:val="003161A5"/>
    <w:rsid w:val="003161D6"/>
    <w:rsid w:val="003161EA"/>
    <w:rsid w:val="0031622A"/>
    <w:rsid w:val="003162E1"/>
    <w:rsid w:val="0031636D"/>
    <w:rsid w:val="003163B2"/>
    <w:rsid w:val="003163FF"/>
    <w:rsid w:val="00316400"/>
    <w:rsid w:val="00316472"/>
    <w:rsid w:val="003164DC"/>
    <w:rsid w:val="0031650A"/>
    <w:rsid w:val="0031655C"/>
    <w:rsid w:val="0031658D"/>
    <w:rsid w:val="003165DC"/>
    <w:rsid w:val="0031660F"/>
    <w:rsid w:val="00316649"/>
    <w:rsid w:val="0031667E"/>
    <w:rsid w:val="00316682"/>
    <w:rsid w:val="003166E4"/>
    <w:rsid w:val="00316790"/>
    <w:rsid w:val="003167CB"/>
    <w:rsid w:val="003167CF"/>
    <w:rsid w:val="003167D5"/>
    <w:rsid w:val="003167FA"/>
    <w:rsid w:val="0031683A"/>
    <w:rsid w:val="003168A3"/>
    <w:rsid w:val="003168A8"/>
    <w:rsid w:val="003168CC"/>
    <w:rsid w:val="003168EB"/>
    <w:rsid w:val="003169D6"/>
    <w:rsid w:val="00316A22"/>
    <w:rsid w:val="00316A9C"/>
    <w:rsid w:val="00316ACF"/>
    <w:rsid w:val="00316AD9"/>
    <w:rsid w:val="00316AFA"/>
    <w:rsid w:val="00316B84"/>
    <w:rsid w:val="00316B8A"/>
    <w:rsid w:val="00316BAD"/>
    <w:rsid w:val="00316BD7"/>
    <w:rsid w:val="00316C40"/>
    <w:rsid w:val="00316C99"/>
    <w:rsid w:val="00316D2B"/>
    <w:rsid w:val="00316D7D"/>
    <w:rsid w:val="00316D80"/>
    <w:rsid w:val="00316E04"/>
    <w:rsid w:val="00316E66"/>
    <w:rsid w:val="00316E79"/>
    <w:rsid w:val="00316EDE"/>
    <w:rsid w:val="00316F0C"/>
    <w:rsid w:val="00316F38"/>
    <w:rsid w:val="00316FA2"/>
    <w:rsid w:val="00316FEF"/>
    <w:rsid w:val="0031708F"/>
    <w:rsid w:val="003170A1"/>
    <w:rsid w:val="003170E6"/>
    <w:rsid w:val="003170F9"/>
    <w:rsid w:val="003170FF"/>
    <w:rsid w:val="00317100"/>
    <w:rsid w:val="00317128"/>
    <w:rsid w:val="003171BE"/>
    <w:rsid w:val="003171C7"/>
    <w:rsid w:val="003171E1"/>
    <w:rsid w:val="003171F4"/>
    <w:rsid w:val="00317214"/>
    <w:rsid w:val="0031723C"/>
    <w:rsid w:val="003172EE"/>
    <w:rsid w:val="003173B1"/>
    <w:rsid w:val="00317551"/>
    <w:rsid w:val="00317596"/>
    <w:rsid w:val="003175A4"/>
    <w:rsid w:val="003175D1"/>
    <w:rsid w:val="003175DC"/>
    <w:rsid w:val="00317714"/>
    <w:rsid w:val="0031773B"/>
    <w:rsid w:val="00317770"/>
    <w:rsid w:val="00317790"/>
    <w:rsid w:val="00317873"/>
    <w:rsid w:val="0031789D"/>
    <w:rsid w:val="0031793C"/>
    <w:rsid w:val="00317951"/>
    <w:rsid w:val="00317970"/>
    <w:rsid w:val="00317A38"/>
    <w:rsid w:val="00317A7B"/>
    <w:rsid w:val="00317A9A"/>
    <w:rsid w:val="00317AA7"/>
    <w:rsid w:val="00317ABE"/>
    <w:rsid w:val="00317AE5"/>
    <w:rsid w:val="00317AF5"/>
    <w:rsid w:val="00317B1B"/>
    <w:rsid w:val="00317C3C"/>
    <w:rsid w:val="00317D04"/>
    <w:rsid w:val="00317DCC"/>
    <w:rsid w:val="00317DCE"/>
    <w:rsid w:val="00317E13"/>
    <w:rsid w:val="00317E4F"/>
    <w:rsid w:val="00317ECF"/>
    <w:rsid w:val="00317EE3"/>
    <w:rsid w:val="00317EF5"/>
    <w:rsid w:val="00317EF8"/>
    <w:rsid w:val="00317F0B"/>
    <w:rsid w:val="00317F78"/>
    <w:rsid w:val="00317F95"/>
    <w:rsid w:val="00320060"/>
    <w:rsid w:val="003200CC"/>
    <w:rsid w:val="003200FE"/>
    <w:rsid w:val="00320134"/>
    <w:rsid w:val="003201CD"/>
    <w:rsid w:val="003201FA"/>
    <w:rsid w:val="0032021C"/>
    <w:rsid w:val="00320220"/>
    <w:rsid w:val="0032022A"/>
    <w:rsid w:val="0032022F"/>
    <w:rsid w:val="00320230"/>
    <w:rsid w:val="00320234"/>
    <w:rsid w:val="00320285"/>
    <w:rsid w:val="003202BF"/>
    <w:rsid w:val="003202CB"/>
    <w:rsid w:val="00320306"/>
    <w:rsid w:val="00320343"/>
    <w:rsid w:val="0032042C"/>
    <w:rsid w:val="0032043E"/>
    <w:rsid w:val="00320488"/>
    <w:rsid w:val="00320526"/>
    <w:rsid w:val="00320559"/>
    <w:rsid w:val="0032056B"/>
    <w:rsid w:val="00320583"/>
    <w:rsid w:val="003205D6"/>
    <w:rsid w:val="003205FA"/>
    <w:rsid w:val="00320650"/>
    <w:rsid w:val="003206A3"/>
    <w:rsid w:val="003206A6"/>
    <w:rsid w:val="003206BA"/>
    <w:rsid w:val="003206C9"/>
    <w:rsid w:val="003206FA"/>
    <w:rsid w:val="00320710"/>
    <w:rsid w:val="00320713"/>
    <w:rsid w:val="00320749"/>
    <w:rsid w:val="003207E1"/>
    <w:rsid w:val="003207F6"/>
    <w:rsid w:val="003207F8"/>
    <w:rsid w:val="00320803"/>
    <w:rsid w:val="00320819"/>
    <w:rsid w:val="00320823"/>
    <w:rsid w:val="00320855"/>
    <w:rsid w:val="0032086A"/>
    <w:rsid w:val="0032086F"/>
    <w:rsid w:val="0032088D"/>
    <w:rsid w:val="003208FD"/>
    <w:rsid w:val="00320955"/>
    <w:rsid w:val="00320A66"/>
    <w:rsid w:val="00320B07"/>
    <w:rsid w:val="00320B31"/>
    <w:rsid w:val="00320B89"/>
    <w:rsid w:val="00320BE6"/>
    <w:rsid w:val="00320C0E"/>
    <w:rsid w:val="00320C38"/>
    <w:rsid w:val="00320CC8"/>
    <w:rsid w:val="00320D2A"/>
    <w:rsid w:val="00320D59"/>
    <w:rsid w:val="00320E0F"/>
    <w:rsid w:val="00320E2E"/>
    <w:rsid w:val="00320E9F"/>
    <w:rsid w:val="00320FDF"/>
    <w:rsid w:val="00321029"/>
    <w:rsid w:val="00321050"/>
    <w:rsid w:val="00321082"/>
    <w:rsid w:val="003210AF"/>
    <w:rsid w:val="003210CF"/>
    <w:rsid w:val="003210DB"/>
    <w:rsid w:val="0032110C"/>
    <w:rsid w:val="0032115D"/>
    <w:rsid w:val="003211D2"/>
    <w:rsid w:val="0032122A"/>
    <w:rsid w:val="003212CF"/>
    <w:rsid w:val="00321331"/>
    <w:rsid w:val="0032137C"/>
    <w:rsid w:val="0032143D"/>
    <w:rsid w:val="00321486"/>
    <w:rsid w:val="00321500"/>
    <w:rsid w:val="00321543"/>
    <w:rsid w:val="003215A1"/>
    <w:rsid w:val="0032162E"/>
    <w:rsid w:val="0032169D"/>
    <w:rsid w:val="00321734"/>
    <w:rsid w:val="003217C2"/>
    <w:rsid w:val="003217CC"/>
    <w:rsid w:val="0032181D"/>
    <w:rsid w:val="0032181E"/>
    <w:rsid w:val="00321829"/>
    <w:rsid w:val="00321901"/>
    <w:rsid w:val="0032194F"/>
    <w:rsid w:val="0032199B"/>
    <w:rsid w:val="003219D6"/>
    <w:rsid w:val="003219EC"/>
    <w:rsid w:val="00321A56"/>
    <w:rsid w:val="00321A64"/>
    <w:rsid w:val="00321A79"/>
    <w:rsid w:val="00321ADD"/>
    <w:rsid w:val="00321B11"/>
    <w:rsid w:val="00321BA6"/>
    <w:rsid w:val="00321BD3"/>
    <w:rsid w:val="00321BF1"/>
    <w:rsid w:val="00321BFE"/>
    <w:rsid w:val="00321C0B"/>
    <w:rsid w:val="00321C87"/>
    <w:rsid w:val="00321CBD"/>
    <w:rsid w:val="00321CC6"/>
    <w:rsid w:val="00321CD9"/>
    <w:rsid w:val="00321D2D"/>
    <w:rsid w:val="00321D61"/>
    <w:rsid w:val="00321D66"/>
    <w:rsid w:val="00321D67"/>
    <w:rsid w:val="00321D7D"/>
    <w:rsid w:val="00321D93"/>
    <w:rsid w:val="00321DC0"/>
    <w:rsid w:val="00321DF5"/>
    <w:rsid w:val="00321E17"/>
    <w:rsid w:val="00321F3D"/>
    <w:rsid w:val="00321FD2"/>
    <w:rsid w:val="003220AE"/>
    <w:rsid w:val="003220BB"/>
    <w:rsid w:val="003220C0"/>
    <w:rsid w:val="003220DF"/>
    <w:rsid w:val="00322190"/>
    <w:rsid w:val="003221E2"/>
    <w:rsid w:val="003221FF"/>
    <w:rsid w:val="0032221B"/>
    <w:rsid w:val="003222AA"/>
    <w:rsid w:val="003222AC"/>
    <w:rsid w:val="00322317"/>
    <w:rsid w:val="00322326"/>
    <w:rsid w:val="0032233A"/>
    <w:rsid w:val="00322382"/>
    <w:rsid w:val="003223D5"/>
    <w:rsid w:val="003223FC"/>
    <w:rsid w:val="00322401"/>
    <w:rsid w:val="0032240A"/>
    <w:rsid w:val="00322412"/>
    <w:rsid w:val="00322497"/>
    <w:rsid w:val="003224ED"/>
    <w:rsid w:val="00322501"/>
    <w:rsid w:val="003225C3"/>
    <w:rsid w:val="003225ED"/>
    <w:rsid w:val="0032268C"/>
    <w:rsid w:val="0032269D"/>
    <w:rsid w:val="003226E0"/>
    <w:rsid w:val="0032277D"/>
    <w:rsid w:val="003227CD"/>
    <w:rsid w:val="003227E7"/>
    <w:rsid w:val="00322802"/>
    <w:rsid w:val="0032283E"/>
    <w:rsid w:val="00322865"/>
    <w:rsid w:val="0032287C"/>
    <w:rsid w:val="0032288E"/>
    <w:rsid w:val="00322892"/>
    <w:rsid w:val="003228D9"/>
    <w:rsid w:val="003228DE"/>
    <w:rsid w:val="003228E9"/>
    <w:rsid w:val="0032290D"/>
    <w:rsid w:val="003229C4"/>
    <w:rsid w:val="00322A2D"/>
    <w:rsid w:val="00322A59"/>
    <w:rsid w:val="00322A60"/>
    <w:rsid w:val="00322B0B"/>
    <w:rsid w:val="00322B6D"/>
    <w:rsid w:val="00322B98"/>
    <w:rsid w:val="00322BDD"/>
    <w:rsid w:val="00322BFE"/>
    <w:rsid w:val="00322C22"/>
    <w:rsid w:val="00322C24"/>
    <w:rsid w:val="00322C2A"/>
    <w:rsid w:val="00322CC8"/>
    <w:rsid w:val="00322D9A"/>
    <w:rsid w:val="00322E0C"/>
    <w:rsid w:val="00322E12"/>
    <w:rsid w:val="00322E51"/>
    <w:rsid w:val="00322E70"/>
    <w:rsid w:val="00322EC1"/>
    <w:rsid w:val="00322EF1"/>
    <w:rsid w:val="00322F21"/>
    <w:rsid w:val="00322F4F"/>
    <w:rsid w:val="00322FFD"/>
    <w:rsid w:val="00323101"/>
    <w:rsid w:val="00323108"/>
    <w:rsid w:val="0032312A"/>
    <w:rsid w:val="00323190"/>
    <w:rsid w:val="0032320A"/>
    <w:rsid w:val="00323310"/>
    <w:rsid w:val="003233A2"/>
    <w:rsid w:val="003233CC"/>
    <w:rsid w:val="003233DA"/>
    <w:rsid w:val="00323408"/>
    <w:rsid w:val="00323445"/>
    <w:rsid w:val="0032344B"/>
    <w:rsid w:val="00323452"/>
    <w:rsid w:val="003234C3"/>
    <w:rsid w:val="00323560"/>
    <w:rsid w:val="0032357D"/>
    <w:rsid w:val="003235DD"/>
    <w:rsid w:val="00323607"/>
    <w:rsid w:val="0032364E"/>
    <w:rsid w:val="003236A6"/>
    <w:rsid w:val="0032371F"/>
    <w:rsid w:val="00323724"/>
    <w:rsid w:val="0032372C"/>
    <w:rsid w:val="00323746"/>
    <w:rsid w:val="00323749"/>
    <w:rsid w:val="0032378F"/>
    <w:rsid w:val="00323817"/>
    <w:rsid w:val="00323867"/>
    <w:rsid w:val="003238E2"/>
    <w:rsid w:val="00323908"/>
    <w:rsid w:val="00323925"/>
    <w:rsid w:val="00323995"/>
    <w:rsid w:val="003239CF"/>
    <w:rsid w:val="003239F0"/>
    <w:rsid w:val="00323A0A"/>
    <w:rsid w:val="00323A0F"/>
    <w:rsid w:val="00323ABF"/>
    <w:rsid w:val="00323AC7"/>
    <w:rsid w:val="00323B23"/>
    <w:rsid w:val="00323B73"/>
    <w:rsid w:val="00323BD1"/>
    <w:rsid w:val="00323C47"/>
    <w:rsid w:val="00323C51"/>
    <w:rsid w:val="00323CB7"/>
    <w:rsid w:val="00323CCB"/>
    <w:rsid w:val="00323CE5"/>
    <w:rsid w:val="00323E1E"/>
    <w:rsid w:val="00323E3C"/>
    <w:rsid w:val="00323E3D"/>
    <w:rsid w:val="00323E9E"/>
    <w:rsid w:val="00323EAA"/>
    <w:rsid w:val="00323EFF"/>
    <w:rsid w:val="00323F1B"/>
    <w:rsid w:val="00323F6C"/>
    <w:rsid w:val="00323F72"/>
    <w:rsid w:val="00323FAD"/>
    <w:rsid w:val="00323FC3"/>
    <w:rsid w:val="00323FE8"/>
    <w:rsid w:val="00323FF0"/>
    <w:rsid w:val="0032402B"/>
    <w:rsid w:val="00324056"/>
    <w:rsid w:val="003240A7"/>
    <w:rsid w:val="003240E4"/>
    <w:rsid w:val="00324113"/>
    <w:rsid w:val="003241A3"/>
    <w:rsid w:val="003242B9"/>
    <w:rsid w:val="003242F1"/>
    <w:rsid w:val="00324325"/>
    <w:rsid w:val="00324340"/>
    <w:rsid w:val="0032434C"/>
    <w:rsid w:val="003243CD"/>
    <w:rsid w:val="003244C2"/>
    <w:rsid w:val="003244F9"/>
    <w:rsid w:val="00324504"/>
    <w:rsid w:val="0032454D"/>
    <w:rsid w:val="00324555"/>
    <w:rsid w:val="0032456A"/>
    <w:rsid w:val="00324596"/>
    <w:rsid w:val="003245FE"/>
    <w:rsid w:val="00324745"/>
    <w:rsid w:val="00324753"/>
    <w:rsid w:val="0032476C"/>
    <w:rsid w:val="00324790"/>
    <w:rsid w:val="003247E3"/>
    <w:rsid w:val="00324811"/>
    <w:rsid w:val="00324862"/>
    <w:rsid w:val="003248A6"/>
    <w:rsid w:val="003248FB"/>
    <w:rsid w:val="00324917"/>
    <w:rsid w:val="003249F4"/>
    <w:rsid w:val="003249F7"/>
    <w:rsid w:val="003249FE"/>
    <w:rsid w:val="00324A15"/>
    <w:rsid w:val="00324A6F"/>
    <w:rsid w:val="00324AC3"/>
    <w:rsid w:val="00324B07"/>
    <w:rsid w:val="00324B75"/>
    <w:rsid w:val="00324C2B"/>
    <w:rsid w:val="00324C35"/>
    <w:rsid w:val="00324C3F"/>
    <w:rsid w:val="00324C79"/>
    <w:rsid w:val="00324CA2"/>
    <w:rsid w:val="00324CDF"/>
    <w:rsid w:val="00324D1D"/>
    <w:rsid w:val="00324DCB"/>
    <w:rsid w:val="00324DD2"/>
    <w:rsid w:val="00324DD8"/>
    <w:rsid w:val="00324DED"/>
    <w:rsid w:val="00324E39"/>
    <w:rsid w:val="00324E68"/>
    <w:rsid w:val="00324ECA"/>
    <w:rsid w:val="00324F57"/>
    <w:rsid w:val="00324FD0"/>
    <w:rsid w:val="00325026"/>
    <w:rsid w:val="003250A0"/>
    <w:rsid w:val="00325124"/>
    <w:rsid w:val="00325148"/>
    <w:rsid w:val="0032517E"/>
    <w:rsid w:val="0032525D"/>
    <w:rsid w:val="00325284"/>
    <w:rsid w:val="00325328"/>
    <w:rsid w:val="00325341"/>
    <w:rsid w:val="00325390"/>
    <w:rsid w:val="003253AB"/>
    <w:rsid w:val="003253F0"/>
    <w:rsid w:val="00325413"/>
    <w:rsid w:val="0032543D"/>
    <w:rsid w:val="0032554E"/>
    <w:rsid w:val="0032560C"/>
    <w:rsid w:val="00325675"/>
    <w:rsid w:val="0032568A"/>
    <w:rsid w:val="00325691"/>
    <w:rsid w:val="00325700"/>
    <w:rsid w:val="00325773"/>
    <w:rsid w:val="003257E3"/>
    <w:rsid w:val="0032580C"/>
    <w:rsid w:val="00325810"/>
    <w:rsid w:val="00325854"/>
    <w:rsid w:val="003258D2"/>
    <w:rsid w:val="00325906"/>
    <w:rsid w:val="00325959"/>
    <w:rsid w:val="00325982"/>
    <w:rsid w:val="00325984"/>
    <w:rsid w:val="00325993"/>
    <w:rsid w:val="003259B0"/>
    <w:rsid w:val="00325A2A"/>
    <w:rsid w:val="00325A2E"/>
    <w:rsid w:val="00325A80"/>
    <w:rsid w:val="00325AAB"/>
    <w:rsid w:val="00325ACF"/>
    <w:rsid w:val="00325B21"/>
    <w:rsid w:val="00325B96"/>
    <w:rsid w:val="00325BA5"/>
    <w:rsid w:val="00325C26"/>
    <w:rsid w:val="00325C9B"/>
    <w:rsid w:val="00325D0C"/>
    <w:rsid w:val="00325D31"/>
    <w:rsid w:val="00325D68"/>
    <w:rsid w:val="00325E6B"/>
    <w:rsid w:val="00325E76"/>
    <w:rsid w:val="00325E7E"/>
    <w:rsid w:val="00325E8A"/>
    <w:rsid w:val="00325F6F"/>
    <w:rsid w:val="00325FA8"/>
    <w:rsid w:val="00325FAC"/>
    <w:rsid w:val="00326007"/>
    <w:rsid w:val="003260A6"/>
    <w:rsid w:val="003260C0"/>
    <w:rsid w:val="0032615D"/>
    <w:rsid w:val="003261A1"/>
    <w:rsid w:val="003261A9"/>
    <w:rsid w:val="003261FF"/>
    <w:rsid w:val="00326226"/>
    <w:rsid w:val="0032633D"/>
    <w:rsid w:val="00326376"/>
    <w:rsid w:val="00326385"/>
    <w:rsid w:val="003263AC"/>
    <w:rsid w:val="0032643C"/>
    <w:rsid w:val="003264F2"/>
    <w:rsid w:val="00326541"/>
    <w:rsid w:val="0032655C"/>
    <w:rsid w:val="003265BD"/>
    <w:rsid w:val="003265C0"/>
    <w:rsid w:val="003265F9"/>
    <w:rsid w:val="00326671"/>
    <w:rsid w:val="003266C9"/>
    <w:rsid w:val="003266F5"/>
    <w:rsid w:val="003266FE"/>
    <w:rsid w:val="00326726"/>
    <w:rsid w:val="0032672B"/>
    <w:rsid w:val="0032675A"/>
    <w:rsid w:val="0032676F"/>
    <w:rsid w:val="00326777"/>
    <w:rsid w:val="003267B5"/>
    <w:rsid w:val="00326820"/>
    <w:rsid w:val="00326870"/>
    <w:rsid w:val="00326969"/>
    <w:rsid w:val="003269BC"/>
    <w:rsid w:val="003269EA"/>
    <w:rsid w:val="00326A49"/>
    <w:rsid w:val="00326A83"/>
    <w:rsid w:val="00326A9D"/>
    <w:rsid w:val="00326B07"/>
    <w:rsid w:val="00326B27"/>
    <w:rsid w:val="00326B4B"/>
    <w:rsid w:val="00326B58"/>
    <w:rsid w:val="00326BE1"/>
    <w:rsid w:val="00326D50"/>
    <w:rsid w:val="00326D72"/>
    <w:rsid w:val="00326D8B"/>
    <w:rsid w:val="00326DA3"/>
    <w:rsid w:val="00326DE0"/>
    <w:rsid w:val="00326E7D"/>
    <w:rsid w:val="00326F1A"/>
    <w:rsid w:val="00326F4E"/>
    <w:rsid w:val="00326FC6"/>
    <w:rsid w:val="0032700A"/>
    <w:rsid w:val="0032700C"/>
    <w:rsid w:val="00327014"/>
    <w:rsid w:val="0032703C"/>
    <w:rsid w:val="0032703F"/>
    <w:rsid w:val="00327041"/>
    <w:rsid w:val="00327080"/>
    <w:rsid w:val="00327109"/>
    <w:rsid w:val="0032721D"/>
    <w:rsid w:val="00327228"/>
    <w:rsid w:val="003272F0"/>
    <w:rsid w:val="0032733F"/>
    <w:rsid w:val="00327352"/>
    <w:rsid w:val="00327397"/>
    <w:rsid w:val="003273E4"/>
    <w:rsid w:val="003273FF"/>
    <w:rsid w:val="003274E5"/>
    <w:rsid w:val="003274F7"/>
    <w:rsid w:val="00327526"/>
    <w:rsid w:val="00327540"/>
    <w:rsid w:val="003275E1"/>
    <w:rsid w:val="003275EC"/>
    <w:rsid w:val="003275FC"/>
    <w:rsid w:val="003275FD"/>
    <w:rsid w:val="00327635"/>
    <w:rsid w:val="0032767F"/>
    <w:rsid w:val="003277BF"/>
    <w:rsid w:val="003278C8"/>
    <w:rsid w:val="00327963"/>
    <w:rsid w:val="00327976"/>
    <w:rsid w:val="00327987"/>
    <w:rsid w:val="003279A2"/>
    <w:rsid w:val="003279B1"/>
    <w:rsid w:val="003279DF"/>
    <w:rsid w:val="003279EA"/>
    <w:rsid w:val="003279F5"/>
    <w:rsid w:val="00327A2D"/>
    <w:rsid w:val="00327A36"/>
    <w:rsid w:val="00327A3D"/>
    <w:rsid w:val="00327A61"/>
    <w:rsid w:val="00327AA9"/>
    <w:rsid w:val="00327AB4"/>
    <w:rsid w:val="00327AC9"/>
    <w:rsid w:val="00327BA6"/>
    <w:rsid w:val="00327C04"/>
    <w:rsid w:val="00327C08"/>
    <w:rsid w:val="00327C59"/>
    <w:rsid w:val="00327CBF"/>
    <w:rsid w:val="00327CEE"/>
    <w:rsid w:val="00327E32"/>
    <w:rsid w:val="00327EC0"/>
    <w:rsid w:val="00327F11"/>
    <w:rsid w:val="00327F26"/>
    <w:rsid w:val="00327F27"/>
    <w:rsid w:val="00327F47"/>
    <w:rsid w:val="00327F4F"/>
    <w:rsid w:val="00327F52"/>
    <w:rsid w:val="00327F8F"/>
    <w:rsid w:val="00330012"/>
    <w:rsid w:val="00330052"/>
    <w:rsid w:val="0033008A"/>
    <w:rsid w:val="003300C9"/>
    <w:rsid w:val="003300DE"/>
    <w:rsid w:val="0033011B"/>
    <w:rsid w:val="0033013D"/>
    <w:rsid w:val="003301CD"/>
    <w:rsid w:val="003301DB"/>
    <w:rsid w:val="0033021A"/>
    <w:rsid w:val="0033025F"/>
    <w:rsid w:val="00330263"/>
    <w:rsid w:val="00330264"/>
    <w:rsid w:val="00330273"/>
    <w:rsid w:val="003302DE"/>
    <w:rsid w:val="003303F0"/>
    <w:rsid w:val="00330401"/>
    <w:rsid w:val="00330405"/>
    <w:rsid w:val="0033045D"/>
    <w:rsid w:val="00330464"/>
    <w:rsid w:val="0033049C"/>
    <w:rsid w:val="003304DC"/>
    <w:rsid w:val="00330510"/>
    <w:rsid w:val="003305AF"/>
    <w:rsid w:val="003305B5"/>
    <w:rsid w:val="00330691"/>
    <w:rsid w:val="003306E9"/>
    <w:rsid w:val="00330702"/>
    <w:rsid w:val="00330725"/>
    <w:rsid w:val="00330751"/>
    <w:rsid w:val="00330818"/>
    <w:rsid w:val="0033082A"/>
    <w:rsid w:val="0033086F"/>
    <w:rsid w:val="00330889"/>
    <w:rsid w:val="003308A3"/>
    <w:rsid w:val="003308E2"/>
    <w:rsid w:val="0033091C"/>
    <w:rsid w:val="00330926"/>
    <w:rsid w:val="00330972"/>
    <w:rsid w:val="003309AE"/>
    <w:rsid w:val="003309C0"/>
    <w:rsid w:val="00330A1D"/>
    <w:rsid w:val="00330A53"/>
    <w:rsid w:val="00330A75"/>
    <w:rsid w:val="00330A84"/>
    <w:rsid w:val="00330B07"/>
    <w:rsid w:val="00330B8B"/>
    <w:rsid w:val="00330BB2"/>
    <w:rsid w:val="00330C1A"/>
    <w:rsid w:val="00330C1C"/>
    <w:rsid w:val="00330CD1"/>
    <w:rsid w:val="00330D05"/>
    <w:rsid w:val="00330DD1"/>
    <w:rsid w:val="00330E3A"/>
    <w:rsid w:val="00330EBD"/>
    <w:rsid w:val="00330F85"/>
    <w:rsid w:val="00330F92"/>
    <w:rsid w:val="00330FC1"/>
    <w:rsid w:val="0033105F"/>
    <w:rsid w:val="003310D1"/>
    <w:rsid w:val="003310EF"/>
    <w:rsid w:val="00331124"/>
    <w:rsid w:val="00331151"/>
    <w:rsid w:val="003312D2"/>
    <w:rsid w:val="003312D5"/>
    <w:rsid w:val="0033133E"/>
    <w:rsid w:val="003313B3"/>
    <w:rsid w:val="00331432"/>
    <w:rsid w:val="00331475"/>
    <w:rsid w:val="00331533"/>
    <w:rsid w:val="00331561"/>
    <w:rsid w:val="00331618"/>
    <w:rsid w:val="00331625"/>
    <w:rsid w:val="003316A4"/>
    <w:rsid w:val="003316D4"/>
    <w:rsid w:val="00331730"/>
    <w:rsid w:val="0033174B"/>
    <w:rsid w:val="00331816"/>
    <w:rsid w:val="00331839"/>
    <w:rsid w:val="0033183D"/>
    <w:rsid w:val="0033187D"/>
    <w:rsid w:val="0033188D"/>
    <w:rsid w:val="0033196D"/>
    <w:rsid w:val="00331A00"/>
    <w:rsid w:val="00331A20"/>
    <w:rsid w:val="00331AC2"/>
    <w:rsid w:val="00331AE7"/>
    <w:rsid w:val="00331B49"/>
    <w:rsid w:val="00331B4C"/>
    <w:rsid w:val="00331BDB"/>
    <w:rsid w:val="00331BE2"/>
    <w:rsid w:val="00331BE4"/>
    <w:rsid w:val="00331C32"/>
    <w:rsid w:val="00331C65"/>
    <w:rsid w:val="00331C69"/>
    <w:rsid w:val="00331D3F"/>
    <w:rsid w:val="00331D67"/>
    <w:rsid w:val="00331DD5"/>
    <w:rsid w:val="00331E1D"/>
    <w:rsid w:val="00331E9D"/>
    <w:rsid w:val="00331ED7"/>
    <w:rsid w:val="00331F0E"/>
    <w:rsid w:val="00331FAA"/>
    <w:rsid w:val="00331FE2"/>
    <w:rsid w:val="00331FEC"/>
    <w:rsid w:val="00332052"/>
    <w:rsid w:val="003320AB"/>
    <w:rsid w:val="003320C9"/>
    <w:rsid w:val="00332121"/>
    <w:rsid w:val="003321E3"/>
    <w:rsid w:val="0033226B"/>
    <w:rsid w:val="0033228C"/>
    <w:rsid w:val="00332324"/>
    <w:rsid w:val="003323D0"/>
    <w:rsid w:val="0033245E"/>
    <w:rsid w:val="00332470"/>
    <w:rsid w:val="0033247F"/>
    <w:rsid w:val="00332480"/>
    <w:rsid w:val="003324C6"/>
    <w:rsid w:val="00332523"/>
    <w:rsid w:val="00332528"/>
    <w:rsid w:val="00332559"/>
    <w:rsid w:val="00332615"/>
    <w:rsid w:val="0033264B"/>
    <w:rsid w:val="003326CC"/>
    <w:rsid w:val="00332839"/>
    <w:rsid w:val="003329BE"/>
    <w:rsid w:val="003329D3"/>
    <w:rsid w:val="003329F3"/>
    <w:rsid w:val="00332A39"/>
    <w:rsid w:val="00332A57"/>
    <w:rsid w:val="00332AC3"/>
    <w:rsid w:val="00332AD0"/>
    <w:rsid w:val="00332AEB"/>
    <w:rsid w:val="00332B47"/>
    <w:rsid w:val="00332B5E"/>
    <w:rsid w:val="00332B7B"/>
    <w:rsid w:val="00332BBD"/>
    <w:rsid w:val="00332BDA"/>
    <w:rsid w:val="00332C0F"/>
    <w:rsid w:val="00332C32"/>
    <w:rsid w:val="00332C50"/>
    <w:rsid w:val="00332C90"/>
    <w:rsid w:val="00332CAF"/>
    <w:rsid w:val="00332CFD"/>
    <w:rsid w:val="00332E22"/>
    <w:rsid w:val="00332E27"/>
    <w:rsid w:val="00332E39"/>
    <w:rsid w:val="00332E41"/>
    <w:rsid w:val="00332E6F"/>
    <w:rsid w:val="00332E76"/>
    <w:rsid w:val="00332ED1"/>
    <w:rsid w:val="00332F28"/>
    <w:rsid w:val="00332F81"/>
    <w:rsid w:val="00332F99"/>
    <w:rsid w:val="00332FF8"/>
    <w:rsid w:val="00333048"/>
    <w:rsid w:val="0033305C"/>
    <w:rsid w:val="0033306C"/>
    <w:rsid w:val="003330D3"/>
    <w:rsid w:val="0033316A"/>
    <w:rsid w:val="0033319B"/>
    <w:rsid w:val="00333279"/>
    <w:rsid w:val="0033331B"/>
    <w:rsid w:val="00333333"/>
    <w:rsid w:val="00333387"/>
    <w:rsid w:val="00333445"/>
    <w:rsid w:val="00333463"/>
    <w:rsid w:val="003334C9"/>
    <w:rsid w:val="003334F7"/>
    <w:rsid w:val="003334FC"/>
    <w:rsid w:val="00333540"/>
    <w:rsid w:val="0033354C"/>
    <w:rsid w:val="00333577"/>
    <w:rsid w:val="00333589"/>
    <w:rsid w:val="003335E2"/>
    <w:rsid w:val="00333695"/>
    <w:rsid w:val="00333716"/>
    <w:rsid w:val="00333738"/>
    <w:rsid w:val="00333756"/>
    <w:rsid w:val="003337F5"/>
    <w:rsid w:val="003337FC"/>
    <w:rsid w:val="0033382F"/>
    <w:rsid w:val="00333846"/>
    <w:rsid w:val="00333880"/>
    <w:rsid w:val="003338D1"/>
    <w:rsid w:val="00333925"/>
    <w:rsid w:val="00333973"/>
    <w:rsid w:val="00333980"/>
    <w:rsid w:val="003339CE"/>
    <w:rsid w:val="00333A0A"/>
    <w:rsid w:val="00333A1B"/>
    <w:rsid w:val="00333A66"/>
    <w:rsid w:val="00333AE5"/>
    <w:rsid w:val="00333B00"/>
    <w:rsid w:val="00333B15"/>
    <w:rsid w:val="00333B3A"/>
    <w:rsid w:val="00333B71"/>
    <w:rsid w:val="00333BA0"/>
    <w:rsid w:val="00333BDB"/>
    <w:rsid w:val="00333BE6"/>
    <w:rsid w:val="00333C2B"/>
    <w:rsid w:val="00333CBA"/>
    <w:rsid w:val="00333CFC"/>
    <w:rsid w:val="00333D2E"/>
    <w:rsid w:val="00333D32"/>
    <w:rsid w:val="00333DC0"/>
    <w:rsid w:val="00333E2D"/>
    <w:rsid w:val="00333E33"/>
    <w:rsid w:val="00333E75"/>
    <w:rsid w:val="00333F37"/>
    <w:rsid w:val="00333F51"/>
    <w:rsid w:val="00333F52"/>
    <w:rsid w:val="00333F81"/>
    <w:rsid w:val="00333FC9"/>
    <w:rsid w:val="0033409D"/>
    <w:rsid w:val="003340B5"/>
    <w:rsid w:val="00334109"/>
    <w:rsid w:val="00334127"/>
    <w:rsid w:val="0033416E"/>
    <w:rsid w:val="0033418D"/>
    <w:rsid w:val="003341F7"/>
    <w:rsid w:val="00334221"/>
    <w:rsid w:val="00334225"/>
    <w:rsid w:val="0033426B"/>
    <w:rsid w:val="003342A1"/>
    <w:rsid w:val="003342E2"/>
    <w:rsid w:val="003342F4"/>
    <w:rsid w:val="00334325"/>
    <w:rsid w:val="00334345"/>
    <w:rsid w:val="003343E4"/>
    <w:rsid w:val="0033440F"/>
    <w:rsid w:val="00334415"/>
    <w:rsid w:val="00334470"/>
    <w:rsid w:val="0033448E"/>
    <w:rsid w:val="0033448F"/>
    <w:rsid w:val="003344D0"/>
    <w:rsid w:val="003344E5"/>
    <w:rsid w:val="00334508"/>
    <w:rsid w:val="0033453D"/>
    <w:rsid w:val="0033455A"/>
    <w:rsid w:val="003345C7"/>
    <w:rsid w:val="003345F3"/>
    <w:rsid w:val="003345F7"/>
    <w:rsid w:val="00334694"/>
    <w:rsid w:val="003346F7"/>
    <w:rsid w:val="00334726"/>
    <w:rsid w:val="00334760"/>
    <w:rsid w:val="003347AE"/>
    <w:rsid w:val="003347AF"/>
    <w:rsid w:val="0033483D"/>
    <w:rsid w:val="0033484D"/>
    <w:rsid w:val="00334865"/>
    <w:rsid w:val="00334880"/>
    <w:rsid w:val="00334917"/>
    <w:rsid w:val="00334972"/>
    <w:rsid w:val="00334979"/>
    <w:rsid w:val="00334997"/>
    <w:rsid w:val="00334A13"/>
    <w:rsid w:val="00334A40"/>
    <w:rsid w:val="00334A4E"/>
    <w:rsid w:val="00334AF0"/>
    <w:rsid w:val="00334AF8"/>
    <w:rsid w:val="00334B43"/>
    <w:rsid w:val="00334BBF"/>
    <w:rsid w:val="00334BCB"/>
    <w:rsid w:val="00334BDC"/>
    <w:rsid w:val="00334C3E"/>
    <w:rsid w:val="00334C8A"/>
    <w:rsid w:val="00334C9F"/>
    <w:rsid w:val="00334CAA"/>
    <w:rsid w:val="00334CAF"/>
    <w:rsid w:val="00334CBF"/>
    <w:rsid w:val="00334CE6"/>
    <w:rsid w:val="00334D15"/>
    <w:rsid w:val="00334D40"/>
    <w:rsid w:val="00334D8D"/>
    <w:rsid w:val="00334D99"/>
    <w:rsid w:val="00334DF9"/>
    <w:rsid w:val="00334E27"/>
    <w:rsid w:val="00334EAA"/>
    <w:rsid w:val="00334F27"/>
    <w:rsid w:val="00334F74"/>
    <w:rsid w:val="00334F80"/>
    <w:rsid w:val="00334FC6"/>
    <w:rsid w:val="00334FEC"/>
    <w:rsid w:val="0033501C"/>
    <w:rsid w:val="0033508F"/>
    <w:rsid w:val="003350BF"/>
    <w:rsid w:val="00335118"/>
    <w:rsid w:val="003351DD"/>
    <w:rsid w:val="0033521C"/>
    <w:rsid w:val="0033525D"/>
    <w:rsid w:val="003352A6"/>
    <w:rsid w:val="00335379"/>
    <w:rsid w:val="003353A3"/>
    <w:rsid w:val="003353D8"/>
    <w:rsid w:val="00335471"/>
    <w:rsid w:val="0033548B"/>
    <w:rsid w:val="0033555F"/>
    <w:rsid w:val="00335583"/>
    <w:rsid w:val="003355D2"/>
    <w:rsid w:val="0033561F"/>
    <w:rsid w:val="00335664"/>
    <w:rsid w:val="003356AD"/>
    <w:rsid w:val="003356CF"/>
    <w:rsid w:val="003356FB"/>
    <w:rsid w:val="00335780"/>
    <w:rsid w:val="003357CB"/>
    <w:rsid w:val="00335811"/>
    <w:rsid w:val="00335844"/>
    <w:rsid w:val="00335864"/>
    <w:rsid w:val="003359A6"/>
    <w:rsid w:val="003359F7"/>
    <w:rsid w:val="00335A19"/>
    <w:rsid w:val="00335A3C"/>
    <w:rsid w:val="00335A51"/>
    <w:rsid w:val="00335AD5"/>
    <w:rsid w:val="00335AF6"/>
    <w:rsid w:val="00335BD7"/>
    <w:rsid w:val="00335C77"/>
    <w:rsid w:val="00335CA3"/>
    <w:rsid w:val="00335CF2"/>
    <w:rsid w:val="00335D54"/>
    <w:rsid w:val="00335D88"/>
    <w:rsid w:val="00335DB7"/>
    <w:rsid w:val="00335DD7"/>
    <w:rsid w:val="00335DEF"/>
    <w:rsid w:val="00335E1D"/>
    <w:rsid w:val="00335E25"/>
    <w:rsid w:val="00335E32"/>
    <w:rsid w:val="00335EB5"/>
    <w:rsid w:val="00335F27"/>
    <w:rsid w:val="00335F6B"/>
    <w:rsid w:val="00335FF9"/>
    <w:rsid w:val="00336019"/>
    <w:rsid w:val="00336024"/>
    <w:rsid w:val="00336033"/>
    <w:rsid w:val="00336048"/>
    <w:rsid w:val="003360D5"/>
    <w:rsid w:val="003360D8"/>
    <w:rsid w:val="0033610E"/>
    <w:rsid w:val="00336162"/>
    <w:rsid w:val="00336164"/>
    <w:rsid w:val="00336181"/>
    <w:rsid w:val="00336187"/>
    <w:rsid w:val="003361B8"/>
    <w:rsid w:val="003361C5"/>
    <w:rsid w:val="003362AB"/>
    <w:rsid w:val="003362F8"/>
    <w:rsid w:val="00336399"/>
    <w:rsid w:val="003363A8"/>
    <w:rsid w:val="003363C8"/>
    <w:rsid w:val="003363DB"/>
    <w:rsid w:val="00336527"/>
    <w:rsid w:val="00336568"/>
    <w:rsid w:val="0033656F"/>
    <w:rsid w:val="00336583"/>
    <w:rsid w:val="0033664C"/>
    <w:rsid w:val="0033666A"/>
    <w:rsid w:val="0033669D"/>
    <w:rsid w:val="003366A5"/>
    <w:rsid w:val="003366CA"/>
    <w:rsid w:val="0033679D"/>
    <w:rsid w:val="003367E4"/>
    <w:rsid w:val="00336854"/>
    <w:rsid w:val="0033685A"/>
    <w:rsid w:val="00336897"/>
    <w:rsid w:val="003368B4"/>
    <w:rsid w:val="003368F0"/>
    <w:rsid w:val="00336A32"/>
    <w:rsid w:val="00336B31"/>
    <w:rsid w:val="00336B65"/>
    <w:rsid w:val="00336BC0"/>
    <w:rsid w:val="00336C07"/>
    <w:rsid w:val="00336C3D"/>
    <w:rsid w:val="00336C80"/>
    <w:rsid w:val="00336CA5"/>
    <w:rsid w:val="00336CFB"/>
    <w:rsid w:val="00336D35"/>
    <w:rsid w:val="00336D62"/>
    <w:rsid w:val="00336D7C"/>
    <w:rsid w:val="00336D7F"/>
    <w:rsid w:val="00336DAF"/>
    <w:rsid w:val="00336E18"/>
    <w:rsid w:val="00336E42"/>
    <w:rsid w:val="00336F1F"/>
    <w:rsid w:val="00336F28"/>
    <w:rsid w:val="00336F39"/>
    <w:rsid w:val="00336F68"/>
    <w:rsid w:val="00336FCA"/>
    <w:rsid w:val="00337025"/>
    <w:rsid w:val="0033703A"/>
    <w:rsid w:val="003370A1"/>
    <w:rsid w:val="003370D1"/>
    <w:rsid w:val="0033713D"/>
    <w:rsid w:val="0033714A"/>
    <w:rsid w:val="0033714D"/>
    <w:rsid w:val="00337152"/>
    <w:rsid w:val="003371D1"/>
    <w:rsid w:val="003371F8"/>
    <w:rsid w:val="0033721F"/>
    <w:rsid w:val="00337243"/>
    <w:rsid w:val="00337262"/>
    <w:rsid w:val="00337299"/>
    <w:rsid w:val="003372FC"/>
    <w:rsid w:val="00337314"/>
    <w:rsid w:val="003373FA"/>
    <w:rsid w:val="00337400"/>
    <w:rsid w:val="00337424"/>
    <w:rsid w:val="0033747D"/>
    <w:rsid w:val="003374CE"/>
    <w:rsid w:val="00337513"/>
    <w:rsid w:val="00337544"/>
    <w:rsid w:val="0033755D"/>
    <w:rsid w:val="003375CA"/>
    <w:rsid w:val="00337648"/>
    <w:rsid w:val="0033766E"/>
    <w:rsid w:val="0033768D"/>
    <w:rsid w:val="003376A4"/>
    <w:rsid w:val="003376A8"/>
    <w:rsid w:val="0033776F"/>
    <w:rsid w:val="003377A2"/>
    <w:rsid w:val="00337811"/>
    <w:rsid w:val="00337812"/>
    <w:rsid w:val="0033782C"/>
    <w:rsid w:val="00337846"/>
    <w:rsid w:val="00337867"/>
    <w:rsid w:val="00337877"/>
    <w:rsid w:val="003378B0"/>
    <w:rsid w:val="003379F4"/>
    <w:rsid w:val="00337A76"/>
    <w:rsid w:val="00337A91"/>
    <w:rsid w:val="00337AA6"/>
    <w:rsid w:val="00337AC1"/>
    <w:rsid w:val="00337AC9"/>
    <w:rsid w:val="00337AE2"/>
    <w:rsid w:val="00337B42"/>
    <w:rsid w:val="00337B5A"/>
    <w:rsid w:val="00337B68"/>
    <w:rsid w:val="00337B8C"/>
    <w:rsid w:val="00337B8E"/>
    <w:rsid w:val="00337BE0"/>
    <w:rsid w:val="00337C73"/>
    <w:rsid w:val="00337C8D"/>
    <w:rsid w:val="00337CEF"/>
    <w:rsid w:val="00337D0E"/>
    <w:rsid w:val="00337D37"/>
    <w:rsid w:val="00337D43"/>
    <w:rsid w:val="00337D4E"/>
    <w:rsid w:val="00337EAB"/>
    <w:rsid w:val="00337F0B"/>
    <w:rsid w:val="00337F1C"/>
    <w:rsid w:val="00337F85"/>
    <w:rsid w:val="00337FA3"/>
    <w:rsid w:val="00337FC1"/>
    <w:rsid w:val="00340014"/>
    <w:rsid w:val="0034001D"/>
    <w:rsid w:val="003400EE"/>
    <w:rsid w:val="00340154"/>
    <w:rsid w:val="003401A0"/>
    <w:rsid w:val="003402DF"/>
    <w:rsid w:val="0034034D"/>
    <w:rsid w:val="0034041B"/>
    <w:rsid w:val="00340423"/>
    <w:rsid w:val="00340424"/>
    <w:rsid w:val="00340489"/>
    <w:rsid w:val="0034053E"/>
    <w:rsid w:val="0034059B"/>
    <w:rsid w:val="003405CF"/>
    <w:rsid w:val="003405EE"/>
    <w:rsid w:val="003405EF"/>
    <w:rsid w:val="003405F9"/>
    <w:rsid w:val="00340606"/>
    <w:rsid w:val="0034066B"/>
    <w:rsid w:val="00340712"/>
    <w:rsid w:val="00340730"/>
    <w:rsid w:val="003407C2"/>
    <w:rsid w:val="003407EC"/>
    <w:rsid w:val="00340810"/>
    <w:rsid w:val="003408B7"/>
    <w:rsid w:val="0034090A"/>
    <w:rsid w:val="0034090C"/>
    <w:rsid w:val="00340927"/>
    <w:rsid w:val="00340936"/>
    <w:rsid w:val="0034094A"/>
    <w:rsid w:val="00340962"/>
    <w:rsid w:val="003409C5"/>
    <w:rsid w:val="003409CE"/>
    <w:rsid w:val="003409EE"/>
    <w:rsid w:val="00340A03"/>
    <w:rsid w:val="00340A2B"/>
    <w:rsid w:val="00340A66"/>
    <w:rsid w:val="00340A6B"/>
    <w:rsid w:val="00340A88"/>
    <w:rsid w:val="00340AB8"/>
    <w:rsid w:val="00340AC4"/>
    <w:rsid w:val="00340ACA"/>
    <w:rsid w:val="00340B05"/>
    <w:rsid w:val="00340B1F"/>
    <w:rsid w:val="00340BC2"/>
    <w:rsid w:val="00340BC7"/>
    <w:rsid w:val="00340BEA"/>
    <w:rsid w:val="00340C3B"/>
    <w:rsid w:val="00340C6B"/>
    <w:rsid w:val="00340DD5"/>
    <w:rsid w:val="00340E14"/>
    <w:rsid w:val="00340E6F"/>
    <w:rsid w:val="00340E8D"/>
    <w:rsid w:val="00340EF6"/>
    <w:rsid w:val="00340F2D"/>
    <w:rsid w:val="00340F38"/>
    <w:rsid w:val="00340F3D"/>
    <w:rsid w:val="00340FB8"/>
    <w:rsid w:val="00340FE9"/>
    <w:rsid w:val="00341019"/>
    <w:rsid w:val="0034102E"/>
    <w:rsid w:val="0034107D"/>
    <w:rsid w:val="00341080"/>
    <w:rsid w:val="003410C8"/>
    <w:rsid w:val="003410E4"/>
    <w:rsid w:val="0034110F"/>
    <w:rsid w:val="00341151"/>
    <w:rsid w:val="003411A3"/>
    <w:rsid w:val="003411E4"/>
    <w:rsid w:val="00341201"/>
    <w:rsid w:val="00341299"/>
    <w:rsid w:val="003412B9"/>
    <w:rsid w:val="00341353"/>
    <w:rsid w:val="00341360"/>
    <w:rsid w:val="00341389"/>
    <w:rsid w:val="0034138E"/>
    <w:rsid w:val="003413AA"/>
    <w:rsid w:val="003413C5"/>
    <w:rsid w:val="00341476"/>
    <w:rsid w:val="00341483"/>
    <w:rsid w:val="003414A6"/>
    <w:rsid w:val="003414C3"/>
    <w:rsid w:val="003414D0"/>
    <w:rsid w:val="003414EE"/>
    <w:rsid w:val="003415AC"/>
    <w:rsid w:val="003415B0"/>
    <w:rsid w:val="003415D5"/>
    <w:rsid w:val="00341628"/>
    <w:rsid w:val="00341643"/>
    <w:rsid w:val="00341658"/>
    <w:rsid w:val="0034165B"/>
    <w:rsid w:val="003416A1"/>
    <w:rsid w:val="00341725"/>
    <w:rsid w:val="0034176D"/>
    <w:rsid w:val="00341787"/>
    <w:rsid w:val="00341810"/>
    <w:rsid w:val="0034187C"/>
    <w:rsid w:val="00341898"/>
    <w:rsid w:val="003418E8"/>
    <w:rsid w:val="0034196B"/>
    <w:rsid w:val="0034197D"/>
    <w:rsid w:val="003419F0"/>
    <w:rsid w:val="00341A42"/>
    <w:rsid w:val="00341B21"/>
    <w:rsid w:val="00341BAF"/>
    <w:rsid w:val="00341C63"/>
    <w:rsid w:val="00341D20"/>
    <w:rsid w:val="00341D9E"/>
    <w:rsid w:val="00341DA9"/>
    <w:rsid w:val="00341DD1"/>
    <w:rsid w:val="00341DE6"/>
    <w:rsid w:val="00341DE8"/>
    <w:rsid w:val="00341E9B"/>
    <w:rsid w:val="00341EB2"/>
    <w:rsid w:val="00341EE3"/>
    <w:rsid w:val="00341EF9"/>
    <w:rsid w:val="00341F10"/>
    <w:rsid w:val="00341F32"/>
    <w:rsid w:val="00341F69"/>
    <w:rsid w:val="00341F82"/>
    <w:rsid w:val="00341FBE"/>
    <w:rsid w:val="0034201D"/>
    <w:rsid w:val="0034207C"/>
    <w:rsid w:val="003420B1"/>
    <w:rsid w:val="003420DA"/>
    <w:rsid w:val="003421D1"/>
    <w:rsid w:val="0034222B"/>
    <w:rsid w:val="00342270"/>
    <w:rsid w:val="00342295"/>
    <w:rsid w:val="003422C2"/>
    <w:rsid w:val="003422F7"/>
    <w:rsid w:val="003424D3"/>
    <w:rsid w:val="003424DC"/>
    <w:rsid w:val="00342537"/>
    <w:rsid w:val="0034258F"/>
    <w:rsid w:val="003425F4"/>
    <w:rsid w:val="00342608"/>
    <w:rsid w:val="00342611"/>
    <w:rsid w:val="00342632"/>
    <w:rsid w:val="00342678"/>
    <w:rsid w:val="00342696"/>
    <w:rsid w:val="0034275D"/>
    <w:rsid w:val="0034275F"/>
    <w:rsid w:val="0034279C"/>
    <w:rsid w:val="003427CF"/>
    <w:rsid w:val="003427E5"/>
    <w:rsid w:val="003427F4"/>
    <w:rsid w:val="00342866"/>
    <w:rsid w:val="0034286A"/>
    <w:rsid w:val="0034287F"/>
    <w:rsid w:val="003428D8"/>
    <w:rsid w:val="003428F6"/>
    <w:rsid w:val="003428FA"/>
    <w:rsid w:val="00342908"/>
    <w:rsid w:val="00342955"/>
    <w:rsid w:val="00342A11"/>
    <w:rsid w:val="00342A27"/>
    <w:rsid w:val="00342A3B"/>
    <w:rsid w:val="00342A9F"/>
    <w:rsid w:val="00342B03"/>
    <w:rsid w:val="00342B67"/>
    <w:rsid w:val="00342B97"/>
    <w:rsid w:val="00342BAC"/>
    <w:rsid w:val="00342CB6"/>
    <w:rsid w:val="00342CCA"/>
    <w:rsid w:val="00342CE4"/>
    <w:rsid w:val="00342CEB"/>
    <w:rsid w:val="00342D8C"/>
    <w:rsid w:val="00342DA0"/>
    <w:rsid w:val="00342E1F"/>
    <w:rsid w:val="00342E58"/>
    <w:rsid w:val="00342EEF"/>
    <w:rsid w:val="00342F1D"/>
    <w:rsid w:val="00342F35"/>
    <w:rsid w:val="00342F7B"/>
    <w:rsid w:val="00342F8B"/>
    <w:rsid w:val="00343001"/>
    <w:rsid w:val="00343060"/>
    <w:rsid w:val="0034307B"/>
    <w:rsid w:val="003430B3"/>
    <w:rsid w:val="003430FE"/>
    <w:rsid w:val="00343123"/>
    <w:rsid w:val="0034312B"/>
    <w:rsid w:val="00343134"/>
    <w:rsid w:val="00343144"/>
    <w:rsid w:val="0034316D"/>
    <w:rsid w:val="003431F4"/>
    <w:rsid w:val="00343214"/>
    <w:rsid w:val="00343219"/>
    <w:rsid w:val="0034322C"/>
    <w:rsid w:val="00343233"/>
    <w:rsid w:val="00343235"/>
    <w:rsid w:val="00343267"/>
    <w:rsid w:val="00343279"/>
    <w:rsid w:val="0034331B"/>
    <w:rsid w:val="003434B3"/>
    <w:rsid w:val="003434C5"/>
    <w:rsid w:val="00343583"/>
    <w:rsid w:val="0034359E"/>
    <w:rsid w:val="003435A3"/>
    <w:rsid w:val="003435B7"/>
    <w:rsid w:val="003435BE"/>
    <w:rsid w:val="003435F0"/>
    <w:rsid w:val="003435F6"/>
    <w:rsid w:val="00343633"/>
    <w:rsid w:val="00343685"/>
    <w:rsid w:val="003436C4"/>
    <w:rsid w:val="003436EB"/>
    <w:rsid w:val="003437C6"/>
    <w:rsid w:val="003437F5"/>
    <w:rsid w:val="00343809"/>
    <w:rsid w:val="00343834"/>
    <w:rsid w:val="00343866"/>
    <w:rsid w:val="00343883"/>
    <w:rsid w:val="003438B1"/>
    <w:rsid w:val="003438B9"/>
    <w:rsid w:val="00343971"/>
    <w:rsid w:val="00343997"/>
    <w:rsid w:val="003439E2"/>
    <w:rsid w:val="00343A07"/>
    <w:rsid w:val="00343A10"/>
    <w:rsid w:val="00343A23"/>
    <w:rsid w:val="00343A36"/>
    <w:rsid w:val="00343A67"/>
    <w:rsid w:val="00343A7B"/>
    <w:rsid w:val="00343ACF"/>
    <w:rsid w:val="00343B03"/>
    <w:rsid w:val="00343B16"/>
    <w:rsid w:val="00343B49"/>
    <w:rsid w:val="00343BD4"/>
    <w:rsid w:val="00343C3B"/>
    <w:rsid w:val="00343CD9"/>
    <w:rsid w:val="00343D48"/>
    <w:rsid w:val="00343D7B"/>
    <w:rsid w:val="00343D97"/>
    <w:rsid w:val="00343DBB"/>
    <w:rsid w:val="00343DD9"/>
    <w:rsid w:val="00343DED"/>
    <w:rsid w:val="00343E0A"/>
    <w:rsid w:val="00343E9C"/>
    <w:rsid w:val="00343EA5"/>
    <w:rsid w:val="00343EC2"/>
    <w:rsid w:val="00343ED1"/>
    <w:rsid w:val="00343F22"/>
    <w:rsid w:val="00343F23"/>
    <w:rsid w:val="00343F4C"/>
    <w:rsid w:val="00343F5E"/>
    <w:rsid w:val="00343F66"/>
    <w:rsid w:val="00343F9D"/>
    <w:rsid w:val="00344082"/>
    <w:rsid w:val="0034411A"/>
    <w:rsid w:val="00344169"/>
    <w:rsid w:val="003441D6"/>
    <w:rsid w:val="0034423D"/>
    <w:rsid w:val="0034424F"/>
    <w:rsid w:val="00344282"/>
    <w:rsid w:val="0034429E"/>
    <w:rsid w:val="00344340"/>
    <w:rsid w:val="0034436B"/>
    <w:rsid w:val="003443F0"/>
    <w:rsid w:val="00344492"/>
    <w:rsid w:val="003444AD"/>
    <w:rsid w:val="003444D5"/>
    <w:rsid w:val="0034454F"/>
    <w:rsid w:val="003445DB"/>
    <w:rsid w:val="00344636"/>
    <w:rsid w:val="00344640"/>
    <w:rsid w:val="00344681"/>
    <w:rsid w:val="00344804"/>
    <w:rsid w:val="00344855"/>
    <w:rsid w:val="0034485D"/>
    <w:rsid w:val="00344885"/>
    <w:rsid w:val="00344908"/>
    <w:rsid w:val="0034490B"/>
    <w:rsid w:val="0034490F"/>
    <w:rsid w:val="00344915"/>
    <w:rsid w:val="003449EF"/>
    <w:rsid w:val="00344A3F"/>
    <w:rsid w:val="00344A8E"/>
    <w:rsid w:val="00344AF7"/>
    <w:rsid w:val="00344AFF"/>
    <w:rsid w:val="00344B0E"/>
    <w:rsid w:val="00344B4F"/>
    <w:rsid w:val="00344BA3"/>
    <w:rsid w:val="00344C06"/>
    <w:rsid w:val="00344C46"/>
    <w:rsid w:val="00344C76"/>
    <w:rsid w:val="00344C9E"/>
    <w:rsid w:val="00344DBA"/>
    <w:rsid w:val="00344E80"/>
    <w:rsid w:val="00344EAE"/>
    <w:rsid w:val="00344EB9"/>
    <w:rsid w:val="00344ED1"/>
    <w:rsid w:val="00344ED2"/>
    <w:rsid w:val="00344ED3"/>
    <w:rsid w:val="00344F29"/>
    <w:rsid w:val="00344F98"/>
    <w:rsid w:val="00344FB4"/>
    <w:rsid w:val="00344FD8"/>
    <w:rsid w:val="00344FEA"/>
    <w:rsid w:val="00344FEC"/>
    <w:rsid w:val="00344FF6"/>
    <w:rsid w:val="003450BB"/>
    <w:rsid w:val="00345165"/>
    <w:rsid w:val="00345196"/>
    <w:rsid w:val="0034519F"/>
    <w:rsid w:val="003451AA"/>
    <w:rsid w:val="003451BA"/>
    <w:rsid w:val="00345228"/>
    <w:rsid w:val="00345233"/>
    <w:rsid w:val="0034524D"/>
    <w:rsid w:val="003452B7"/>
    <w:rsid w:val="003452CF"/>
    <w:rsid w:val="00345382"/>
    <w:rsid w:val="003453BF"/>
    <w:rsid w:val="003453F0"/>
    <w:rsid w:val="00345493"/>
    <w:rsid w:val="003454C9"/>
    <w:rsid w:val="003454E4"/>
    <w:rsid w:val="003454E7"/>
    <w:rsid w:val="003454F1"/>
    <w:rsid w:val="003455E9"/>
    <w:rsid w:val="003455F1"/>
    <w:rsid w:val="00345631"/>
    <w:rsid w:val="00345639"/>
    <w:rsid w:val="0034564B"/>
    <w:rsid w:val="00345678"/>
    <w:rsid w:val="003456CE"/>
    <w:rsid w:val="003456E7"/>
    <w:rsid w:val="00345715"/>
    <w:rsid w:val="00345749"/>
    <w:rsid w:val="003457EE"/>
    <w:rsid w:val="00345822"/>
    <w:rsid w:val="00345854"/>
    <w:rsid w:val="003458E7"/>
    <w:rsid w:val="0034590A"/>
    <w:rsid w:val="00345958"/>
    <w:rsid w:val="003459C1"/>
    <w:rsid w:val="003459D2"/>
    <w:rsid w:val="00345A18"/>
    <w:rsid w:val="00345A6D"/>
    <w:rsid w:val="00345A86"/>
    <w:rsid w:val="00345A90"/>
    <w:rsid w:val="00345B14"/>
    <w:rsid w:val="00345B9F"/>
    <w:rsid w:val="00345BDA"/>
    <w:rsid w:val="00345BE5"/>
    <w:rsid w:val="00345C93"/>
    <w:rsid w:val="00345CAC"/>
    <w:rsid w:val="00345CC2"/>
    <w:rsid w:val="00345CC7"/>
    <w:rsid w:val="00345DF8"/>
    <w:rsid w:val="00345DFF"/>
    <w:rsid w:val="00345E34"/>
    <w:rsid w:val="00345E51"/>
    <w:rsid w:val="00345E99"/>
    <w:rsid w:val="00345EC9"/>
    <w:rsid w:val="00345ED8"/>
    <w:rsid w:val="00345F0A"/>
    <w:rsid w:val="00345F62"/>
    <w:rsid w:val="00345F9C"/>
    <w:rsid w:val="00345FA5"/>
    <w:rsid w:val="00345FB6"/>
    <w:rsid w:val="00345FE7"/>
    <w:rsid w:val="00345FEE"/>
    <w:rsid w:val="0034600D"/>
    <w:rsid w:val="003460CD"/>
    <w:rsid w:val="00346193"/>
    <w:rsid w:val="003461A3"/>
    <w:rsid w:val="003461CA"/>
    <w:rsid w:val="003461CF"/>
    <w:rsid w:val="0034622A"/>
    <w:rsid w:val="00346297"/>
    <w:rsid w:val="003462C0"/>
    <w:rsid w:val="003462D6"/>
    <w:rsid w:val="0034633D"/>
    <w:rsid w:val="0034635A"/>
    <w:rsid w:val="00346377"/>
    <w:rsid w:val="00346378"/>
    <w:rsid w:val="00346395"/>
    <w:rsid w:val="003463A5"/>
    <w:rsid w:val="003463C6"/>
    <w:rsid w:val="00346491"/>
    <w:rsid w:val="003464AB"/>
    <w:rsid w:val="003464CC"/>
    <w:rsid w:val="003464E4"/>
    <w:rsid w:val="003464EF"/>
    <w:rsid w:val="00346540"/>
    <w:rsid w:val="00346542"/>
    <w:rsid w:val="0034655B"/>
    <w:rsid w:val="00346567"/>
    <w:rsid w:val="0034660C"/>
    <w:rsid w:val="00346671"/>
    <w:rsid w:val="00346674"/>
    <w:rsid w:val="003466FF"/>
    <w:rsid w:val="00346700"/>
    <w:rsid w:val="00346747"/>
    <w:rsid w:val="0034675E"/>
    <w:rsid w:val="00346797"/>
    <w:rsid w:val="003467B3"/>
    <w:rsid w:val="003467B8"/>
    <w:rsid w:val="003467E4"/>
    <w:rsid w:val="0034684C"/>
    <w:rsid w:val="0034688C"/>
    <w:rsid w:val="00346977"/>
    <w:rsid w:val="003469A3"/>
    <w:rsid w:val="003469DC"/>
    <w:rsid w:val="00346A43"/>
    <w:rsid w:val="00346A49"/>
    <w:rsid w:val="00346A54"/>
    <w:rsid w:val="00346A76"/>
    <w:rsid w:val="00346AC2"/>
    <w:rsid w:val="00346B12"/>
    <w:rsid w:val="00346B86"/>
    <w:rsid w:val="00346C25"/>
    <w:rsid w:val="00346C57"/>
    <w:rsid w:val="00346C77"/>
    <w:rsid w:val="00346CA7"/>
    <w:rsid w:val="00346D26"/>
    <w:rsid w:val="00346D32"/>
    <w:rsid w:val="00346D40"/>
    <w:rsid w:val="00346DC5"/>
    <w:rsid w:val="00346DF6"/>
    <w:rsid w:val="00346E28"/>
    <w:rsid w:val="00346F02"/>
    <w:rsid w:val="00346F13"/>
    <w:rsid w:val="00346F50"/>
    <w:rsid w:val="00346FB3"/>
    <w:rsid w:val="00347048"/>
    <w:rsid w:val="00347179"/>
    <w:rsid w:val="003471B9"/>
    <w:rsid w:val="0034721F"/>
    <w:rsid w:val="0034725E"/>
    <w:rsid w:val="00347302"/>
    <w:rsid w:val="00347318"/>
    <w:rsid w:val="0034733A"/>
    <w:rsid w:val="00347349"/>
    <w:rsid w:val="0034736C"/>
    <w:rsid w:val="003473D1"/>
    <w:rsid w:val="0034745B"/>
    <w:rsid w:val="0034745D"/>
    <w:rsid w:val="00347486"/>
    <w:rsid w:val="003474D0"/>
    <w:rsid w:val="003474D7"/>
    <w:rsid w:val="003474E1"/>
    <w:rsid w:val="00347515"/>
    <w:rsid w:val="00347554"/>
    <w:rsid w:val="00347635"/>
    <w:rsid w:val="003476F1"/>
    <w:rsid w:val="00347701"/>
    <w:rsid w:val="00347718"/>
    <w:rsid w:val="00347769"/>
    <w:rsid w:val="0034777D"/>
    <w:rsid w:val="003477AC"/>
    <w:rsid w:val="003477B6"/>
    <w:rsid w:val="003477DC"/>
    <w:rsid w:val="00347888"/>
    <w:rsid w:val="003478C6"/>
    <w:rsid w:val="003478F0"/>
    <w:rsid w:val="0034799A"/>
    <w:rsid w:val="00347A3F"/>
    <w:rsid w:val="00347A6C"/>
    <w:rsid w:val="00347B20"/>
    <w:rsid w:val="00347B45"/>
    <w:rsid w:val="00347C1C"/>
    <w:rsid w:val="00347C41"/>
    <w:rsid w:val="00347C72"/>
    <w:rsid w:val="00347C73"/>
    <w:rsid w:val="00347C76"/>
    <w:rsid w:val="00347CDB"/>
    <w:rsid w:val="00347D38"/>
    <w:rsid w:val="00347D46"/>
    <w:rsid w:val="00347DFC"/>
    <w:rsid w:val="00347E3A"/>
    <w:rsid w:val="00347E60"/>
    <w:rsid w:val="00347E86"/>
    <w:rsid w:val="00347EA6"/>
    <w:rsid w:val="00347EB7"/>
    <w:rsid w:val="00347EC1"/>
    <w:rsid w:val="00347F8C"/>
    <w:rsid w:val="00347F91"/>
    <w:rsid w:val="00347FB4"/>
    <w:rsid w:val="00347FD8"/>
    <w:rsid w:val="0035014D"/>
    <w:rsid w:val="003501DA"/>
    <w:rsid w:val="00350221"/>
    <w:rsid w:val="00350226"/>
    <w:rsid w:val="00350290"/>
    <w:rsid w:val="003502D1"/>
    <w:rsid w:val="00350354"/>
    <w:rsid w:val="003503B5"/>
    <w:rsid w:val="00350458"/>
    <w:rsid w:val="0035045C"/>
    <w:rsid w:val="003504E9"/>
    <w:rsid w:val="003504FB"/>
    <w:rsid w:val="00350509"/>
    <w:rsid w:val="0035050A"/>
    <w:rsid w:val="003505B3"/>
    <w:rsid w:val="003505D7"/>
    <w:rsid w:val="00350632"/>
    <w:rsid w:val="00350673"/>
    <w:rsid w:val="003506B8"/>
    <w:rsid w:val="00350713"/>
    <w:rsid w:val="00350756"/>
    <w:rsid w:val="00350774"/>
    <w:rsid w:val="00350779"/>
    <w:rsid w:val="003507D6"/>
    <w:rsid w:val="003507F6"/>
    <w:rsid w:val="00350850"/>
    <w:rsid w:val="00350897"/>
    <w:rsid w:val="00350946"/>
    <w:rsid w:val="0035094C"/>
    <w:rsid w:val="0035094D"/>
    <w:rsid w:val="0035094E"/>
    <w:rsid w:val="00350998"/>
    <w:rsid w:val="003509FB"/>
    <w:rsid w:val="00350A55"/>
    <w:rsid w:val="00350A8B"/>
    <w:rsid w:val="00350ABE"/>
    <w:rsid w:val="00350AC7"/>
    <w:rsid w:val="00350B06"/>
    <w:rsid w:val="00350B75"/>
    <w:rsid w:val="00350B78"/>
    <w:rsid w:val="00350BD7"/>
    <w:rsid w:val="00350BEB"/>
    <w:rsid w:val="00350C0A"/>
    <w:rsid w:val="00350C29"/>
    <w:rsid w:val="00350C6E"/>
    <w:rsid w:val="00350CA5"/>
    <w:rsid w:val="00350CAD"/>
    <w:rsid w:val="00350CD8"/>
    <w:rsid w:val="00350CF5"/>
    <w:rsid w:val="00350CFA"/>
    <w:rsid w:val="00350DAE"/>
    <w:rsid w:val="00350DFB"/>
    <w:rsid w:val="00350E20"/>
    <w:rsid w:val="00350EA6"/>
    <w:rsid w:val="00350F3E"/>
    <w:rsid w:val="00350F7F"/>
    <w:rsid w:val="00350FB8"/>
    <w:rsid w:val="00350FF7"/>
    <w:rsid w:val="0035103C"/>
    <w:rsid w:val="0035117F"/>
    <w:rsid w:val="0035126A"/>
    <w:rsid w:val="00351306"/>
    <w:rsid w:val="00351354"/>
    <w:rsid w:val="0035145B"/>
    <w:rsid w:val="00351466"/>
    <w:rsid w:val="00351468"/>
    <w:rsid w:val="00351486"/>
    <w:rsid w:val="0035151A"/>
    <w:rsid w:val="0035155F"/>
    <w:rsid w:val="003515AC"/>
    <w:rsid w:val="003515F9"/>
    <w:rsid w:val="0035169D"/>
    <w:rsid w:val="003517C1"/>
    <w:rsid w:val="00351899"/>
    <w:rsid w:val="003518AE"/>
    <w:rsid w:val="003518EC"/>
    <w:rsid w:val="00351977"/>
    <w:rsid w:val="00351A01"/>
    <w:rsid w:val="00351A16"/>
    <w:rsid w:val="00351A48"/>
    <w:rsid w:val="00351B2A"/>
    <w:rsid w:val="00351B86"/>
    <w:rsid w:val="00351BCB"/>
    <w:rsid w:val="00351CD6"/>
    <w:rsid w:val="00351D49"/>
    <w:rsid w:val="00351D5D"/>
    <w:rsid w:val="00351DDF"/>
    <w:rsid w:val="00351DF2"/>
    <w:rsid w:val="00351E02"/>
    <w:rsid w:val="00351EB2"/>
    <w:rsid w:val="00351F13"/>
    <w:rsid w:val="00351F26"/>
    <w:rsid w:val="00351F48"/>
    <w:rsid w:val="00351F93"/>
    <w:rsid w:val="00352009"/>
    <w:rsid w:val="003520B9"/>
    <w:rsid w:val="003520F8"/>
    <w:rsid w:val="00352113"/>
    <w:rsid w:val="00352139"/>
    <w:rsid w:val="00352171"/>
    <w:rsid w:val="00352177"/>
    <w:rsid w:val="0035223D"/>
    <w:rsid w:val="0035228A"/>
    <w:rsid w:val="003522AC"/>
    <w:rsid w:val="003522FC"/>
    <w:rsid w:val="00352308"/>
    <w:rsid w:val="00352326"/>
    <w:rsid w:val="003523C6"/>
    <w:rsid w:val="003523E2"/>
    <w:rsid w:val="003523ED"/>
    <w:rsid w:val="0035244A"/>
    <w:rsid w:val="0035244E"/>
    <w:rsid w:val="003524D6"/>
    <w:rsid w:val="00352508"/>
    <w:rsid w:val="0035253C"/>
    <w:rsid w:val="0035254A"/>
    <w:rsid w:val="00352591"/>
    <w:rsid w:val="00352597"/>
    <w:rsid w:val="003525E1"/>
    <w:rsid w:val="003525F5"/>
    <w:rsid w:val="0035267E"/>
    <w:rsid w:val="00352797"/>
    <w:rsid w:val="003528E4"/>
    <w:rsid w:val="003528FF"/>
    <w:rsid w:val="00352958"/>
    <w:rsid w:val="003529AA"/>
    <w:rsid w:val="003529E4"/>
    <w:rsid w:val="00352A52"/>
    <w:rsid w:val="00352A85"/>
    <w:rsid w:val="00352AB8"/>
    <w:rsid w:val="00352ABD"/>
    <w:rsid w:val="00352B2B"/>
    <w:rsid w:val="00352B3E"/>
    <w:rsid w:val="00352BDB"/>
    <w:rsid w:val="00352C44"/>
    <w:rsid w:val="00352C6C"/>
    <w:rsid w:val="00352CCB"/>
    <w:rsid w:val="00352CD9"/>
    <w:rsid w:val="00352D25"/>
    <w:rsid w:val="00352D2B"/>
    <w:rsid w:val="00352DF0"/>
    <w:rsid w:val="00352E3A"/>
    <w:rsid w:val="00352F6F"/>
    <w:rsid w:val="00353011"/>
    <w:rsid w:val="003530A9"/>
    <w:rsid w:val="003530AD"/>
    <w:rsid w:val="003530B3"/>
    <w:rsid w:val="003530CB"/>
    <w:rsid w:val="003530E4"/>
    <w:rsid w:val="0035310C"/>
    <w:rsid w:val="00353148"/>
    <w:rsid w:val="003531AA"/>
    <w:rsid w:val="00353246"/>
    <w:rsid w:val="00353251"/>
    <w:rsid w:val="00353270"/>
    <w:rsid w:val="003532AF"/>
    <w:rsid w:val="00353317"/>
    <w:rsid w:val="00353437"/>
    <w:rsid w:val="00353557"/>
    <w:rsid w:val="00353657"/>
    <w:rsid w:val="00353677"/>
    <w:rsid w:val="003536D2"/>
    <w:rsid w:val="003537AC"/>
    <w:rsid w:val="00353859"/>
    <w:rsid w:val="00353868"/>
    <w:rsid w:val="003538B8"/>
    <w:rsid w:val="003538EC"/>
    <w:rsid w:val="00353961"/>
    <w:rsid w:val="003539BA"/>
    <w:rsid w:val="00353AB6"/>
    <w:rsid w:val="00353AD0"/>
    <w:rsid w:val="00353B10"/>
    <w:rsid w:val="00353B2C"/>
    <w:rsid w:val="00353B6D"/>
    <w:rsid w:val="00353B8B"/>
    <w:rsid w:val="00353C16"/>
    <w:rsid w:val="00353CB8"/>
    <w:rsid w:val="00353CDF"/>
    <w:rsid w:val="00353CEF"/>
    <w:rsid w:val="00353D3E"/>
    <w:rsid w:val="00353E20"/>
    <w:rsid w:val="00353E4B"/>
    <w:rsid w:val="00353E69"/>
    <w:rsid w:val="00353E83"/>
    <w:rsid w:val="00353E8B"/>
    <w:rsid w:val="00353E91"/>
    <w:rsid w:val="00353EA7"/>
    <w:rsid w:val="00353FDD"/>
    <w:rsid w:val="0035406B"/>
    <w:rsid w:val="00354092"/>
    <w:rsid w:val="003540AA"/>
    <w:rsid w:val="003540CA"/>
    <w:rsid w:val="003540DF"/>
    <w:rsid w:val="003540F3"/>
    <w:rsid w:val="0035415A"/>
    <w:rsid w:val="00354182"/>
    <w:rsid w:val="003541AF"/>
    <w:rsid w:val="003543CD"/>
    <w:rsid w:val="003543EF"/>
    <w:rsid w:val="00354450"/>
    <w:rsid w:val="00354465"/>
    <w:rsid w:val="003544BF"/>
    <w:rsid w:val="003544F1"/>
    <w:rsid w:val="003545C0"/>
    <w:rsid w:val="003545C9"/>
    <w:rsid w:val="003545CE"/>
    <w:rsid w:val="00354604"/>
    <w:rsid w:val="0035461A"/>
    <w:rsid w:val="0035467E"/>
    <w:rsid w:val="003546DC"/>
    <w:rsid w:val="003546F5"/>
    <w:rsid w:val="00354702"/>
    <w:rsid w:val="003547C8"/>
    <w:rsid w:val="0035482D"/>
    <w:rsid w:val="0035484D"/>
    <w:rsid w:val="00354879"/>
    <w:rsid w:val="00354881"/>
    <w:rsid w:val="0035488B"/>
    <w:rsid w:val="003548B2"/>
    <w:rsid w:val="003548C1"/>
    <w:rsid w:val="003548CD"/>
    <w:rsid w:val="00354953"/>
    <w:rsid w:val="003549E3"/>
    <w:rsid w:val="003549EA"/>
    <w:rsid w:val="00354A69"/>
    <w:rsid w:val="00354C33"/>
    <w:rsid w:val="00354C61"/>
    <w:rsid w:val="00354CE8"/>
    <w:rsid w:val="00354D0B"/>
    <w:rsid w:val="00354DC7"/>
    <w:rsid w:val="00354DE3"/>
    <w:rsid w:val="00354EBC"/>
    <w:rsid w:val="00354F19"/>
    <w:rsid w:val="00354F5F"/>
    <w:rsid w:val="00354F71"/>
    <w:rsid w:val="00354FBA"/>
    <w:rsid w:val="00355035"/>
    <w:rsid w:val="003550C4"/>
    <w:rsid w:val="003550DC"/>
    <w:rsid w:val="0035510F"/>
    <w:rsid w:val="00355117"/>
    <w:rsid w:val="00355149"/>
    <w:rsid w:val="00355159"/>
    <w:rsid w:val="0035517A"/>
    <w:rsid w:val="00355186"/>
    <w:rsid w:val="003551A9"/>
    <w:rsid w:val="00355218"/>
    <w:rsid w:val="00355246"/>
    <w:rsid w:val="00355356"/>
    <w:rsid w:val="0035540C"/>
    <w:rsid w:val="00355469"/>
    <w:rsid w:val="003554DA"/>
    <w:rsid w:val="0035557A"/>
    <w:rsid w:val="003555A3"/>
    <w:rsid w:val="003555FB"/>
    <w:rsid w:val="00355603"/>
    <w:rsid w:val="003556DE"/>
    <w:rsid w:val="0035574F"/>
    <w:rsid w:val="003557C0"/>
    <w:rsid w:val="0035580D"/>
    <w:rsid w:val="003558F3"/>
    <w:rsid w:val="0035598C"/>
    <w:rsid w:val="0035598F"/>
    <w:rsid w:val="003559C5"/>
    <w:rsid w:val="003559DD"/>
    <w:rsid w:val="003559F1"/>
    <w:rsid w:val="003559F6"/>
    <w:rsid w:val="003559FF"/>
    <w:rsid w:val="00355A64"/>
    <w:rsid w:val="00355BD0"/>
    <w:rsid w:val="00355BD5"/>
    <w:rsid w:val="00355C50"/>
    <w:rsid w:val="00355C62"/>
    <w:rsid w:val="00355D2E"/>
    <w:rsid w:val="00355D52"/>
    <w:rsid w:val="00355E55"/>
    <w:rsid w:val="00355E68"/>
    <w:rsid w:val="00355E6B"/>
    <w:rsid w:val="00355E7E"/>
    <w:rsid w:val="00355EA3"/>
    <w:rsid w:val="00355EEC"/>
    <w:rsid w:val="00355F71"/>
    <w:rsid w:val="00355FA5"/>
    <w:rsid w:val="00356074"/>
    <w:rsid w:val="00356079"/>
    <w:rsid w:val="00356080"/>
    <w:rsid w:val="003560CF"/>
    <w:rsid w:val="00356163"/>
    <w:rsid w:val="00356169"/>
    <w:rsid w:val="003561AB"/>
    <w:rsid w:val="003561B6"/>
    <w:rsid w:val="003561D1"/>
    <w:rsid w:val="00356235"/>
    <w:rsid w:val="00356314"/>
    <w:rsid w:val="0035633C"/>
    <w:rsid w:val="00356362"/>
    <w:rsid w:val="00356378"/>
    <w:rsid w:val="00356520"/>
    <w:rsid w:val="00356581"/>
    <w:rsid w:val="0035658F"/>
    <w:rsid w:val="003565A6"/>
    <w:rsid w:val="003565BF"/>
    <w:rsid w:val="003565F4"/>
    <w:rsid w:val="0035668B"/>
    <w:rsid w:val="00356697"/>
    <w:rsid w:val="003566A6"/>
    <w:rsid w:val="003566AE"/>
    <w:rsid w:val="00356727"/>
    <w:rsid w:val="00356786"/>
    <w:rsid w:val="0035686D"/>
    <w:rsid w:val="00356898"/>
    <w:rsid w:val="00356917"/>
    <w:rsid w:val="0035698D"/>
    <w:rsid w:val="003569C4"/>
    <w:rsid w:val="003569E7"/>
    <w:rsid w:val="00356A28"/>
    <w:rsid w:val="00356A59"/>
    <w:rsid w:val="00356A69"/>
    <w:rsid w:val="00356A6E"/>
    <w:rsid w:val="00356ADB"/>
    <w:rsid w:val="00356B34"/>
    <w:rsid w:val="00356B50"/>
    <w:rsid w:val="00356B8B"/>
    <w:rsid w:val="00356BCB"/>
    <w:rsid w:val="00356C6C"/>
    <w:rsid w:val="00356C9F"/>
    <w:rsid w:val="00356CC6"/>
    <w:rsid w:val="00356D14"/>
    <w:rsid w:val="00356D59"/>
    <w:rsid w:val="00356DED"/>
    <w:rsid w:val="00356E4D"/>
    <w:rsid w:val="00356E81"/>
    <w:rsid w:val="00356EC4"/>
    <w:rsid w:val="00356EDC"/>
    <w:rsid w:val="00356F19"/>
    <w:rsid w:val="00356FBD"/>
    <w:rsid w:val="0035706F"/>
    <w:rsid w:val="0035707F"/>
    <w:rsid w:val="003570F0"/>
    <w:rsid w:val="0035710E"/>
    <w:rsid w:val="00357127"/>
    <w:rsid w:val="0035716A"/>
    <w:rsid w:val="003571F9"/>
    <w:rsid w:val="00357285"/>
    <w:rsid w:val="00357299"/>
    <w:rsid w:val="00357315"/>
    <w:rsid w:val="00357387"/>
    <w:rsid w:val="003573DE"/>
    <w:rsid w:val="003573E8"/>
    <w:rsid w:val="003573FC"/>
    <w:rsid w:val="0035746E"/>
    <w:rsid w:val="0035748C"/>
    <w:rsid w:val="00357492"/>
    <w:rsid w:val="00357593"/>
    <w:rsid w:val="0035761D"/>
    <w:rsid w:val="0035764E"/>
    <w:rsid w:val="00357654"/>
    <w:rsid w:val="00357658"/>
    <w:rsid w:val="0035767C"/>
    <w:rsid w:val="0035767F"/>
    <w:rsid w:val="003576DF"/>
    <w:rsid w:val="0035775C"/>
    <w:rsid w:val="00357781"/>
    <w:rsid w:val="00357806"/>
    <w:rsid w:val="00357846"/>
    <w:rsid w:val="00357864"/>
    <w:rsid w:val="003578E4"/>
    <w:rsid w:val="0035797A"/>
    <w:rsid w:val="00357986"/>
    <w:rsid w:val="003579A6"/>
    <w:rsid w:val="00357A16"/>
    <w:rsid w:val="00357A19"/>
    <w:rsid w:val="00357A7D"/>
    <w:rsid w:val="00357A8F"/>
    <w:rsid w:val="00357AD6"/>
    <w:rsid w:val="00357B77"/>
    <w:rsid w:val="00357B7E"/>
    <w:rsid w:val="00357C23"/>
    <w:rsid w:val="00357C44"/>
    <w:rsid w:val="00357C88"/>
    <w:rsid w:val="00357C9C"/>
    <w:rsid w:val="00357CD3"/>
    <w:rsid w:val="00357CF3"/>
    <w:rsid w:val="00357D16"/>
    <w:rsid w:val="00357D58"/>
    <w:rsid w:val="00357D5A"/>
    <w:rsid w:val="00357DDE"/>
    <w:rsid w:val="00357E26"/>
    <w:rsid w:val="00357E56"/>
    <w:rsid w:val="00357FBF"/>
    <w:rsid w:val="0036002B"/>
    <w:rsid w:val="003600AA"/>
    <w:rsid w:val="003600D8"/>
    <w:rsid w:val="003600E6"/>
    <w:rsid w:val="00360190"/>
    <w:rsid w:val="00360196"/>
    <w:rsid w:val="00360241"/>
    <w:rsid w:val="00360295"/>
    <w:rsid w:val="00360358"/>
    <w:rsid w:val="003603B7"/>
    <w:rsid w:val="003603E4"/>
    <w:rsid w:val="0036040E"/>
    <w:rsid w:val="00360419"/>
    <w:rsid w:val="0036045B"/>
    <w:rsid w:val="00360482"/>
    <w:rsid w:val="003604DD"/>
    <w:rsid w:val="00360504"/>
    <w:rsid w:val="0036050F"/>
    <w:rsid w:val="00360622"/>
    <w:rsid w:val="00360659"/>
    <w:rsid w:val="0036066F"/>
    <w:rsid w:val="0036073A"/>
    <w:rsid w:val="00360740"/>
    <w:rsid w:val="003607A4"/>
    <w:rsid w:val="00360889"/>
    <w:rsid w:val="00360893"/>
    <w:rsid w:val="0036089F"/>
    <w:rsid w:val="003608A6"/>
    <w:rsid w:val="003608F8"/>
    <w:rsid w:val="003609FF"/>
    <w:rsid w:val="00360A8B"/>
    <w:rsid w:val="00360AE6"/>
    <w:rsid w:val="00360B17"/>
    <w:rsid w:val="00360C50"/>
    <w:rsid w:val="00360CD7"/>
    <w:rsid w:val="00360CDB"/>
    <w:rsid w:val="00360CDD"/>
    <w:rsid w:val="00360CE5"/>
    <w:rsid w:val="00360CE7"/>
    <w:rsid w:val="00360CEB"/>
    <w:rsid w:val="00360D07"/>
    <w:rsid w:val="00360D15"/>
    <w:rsid w:val="00360D62"/>
    <w:rsid w:val="00360ECD"/>
    <w:rsid w:val="00360EE5"/>
    <w:rsid w:val="00360EEB"/>
    <w:rsid w:val="00360F1C"/>
    <w:rsid w:val="00360F2A"/>
    <w:rsid w:val="00360FE8"/>
    <w:rsid w:val="0036104C"/>
    <w:rsid w:val="00361053"/>
    <w:rsid w:val="00361064"/>
    <w:rsid w:val="003610FB"/>
    <w:rsid w:val="00361132"/>
    <w:rsid w:val="0036113A"/>
    <w:rsid w:val="00361150"/>
    <w:rsid w:val="00361173"/>
    <w:rsid w:val="003611CB"/>
    <w:rsid w:val="003611D4"/>
    <w:rsid w:val="00361212"/>
    <w:rsid w:val="0036129A"/>
    <w:rsid w:val="003612BD"/>
    <w:rsid w:val="003612C0"/>
    <w:rsid w:val="003612E5"/>
    <w:rsid w:val="00361373"/>
    <w:rsid w:val="0036141E"/>
    <w:rsid w:val="00361466"/>
    <w:rsid w:val="00361467"/>
    <w:rsid w:val="00361503"/>
    <w:rsid w:val="003615DA"/>
    <w:rsid w:val="00361646"/>
    <w:rsid w:val="0036165D"/>
    <w:rsid w:val="00361676"/>
    <w:rsid w:val="003616B2"/>
    <w:rsid w:val="0036173E"/>
    <w:rsid w:val="00361768"/>
    <w:rsid w:val="00361794"/>
    <w:rsid w:val="0036180C"/>
    <w:rsid w:val="00361820"/>
    <w:rsid w:val="0036186B"/>
    <w:rsid w:val="003618AE"/>
    <w:rsid w:val="003618C6"/>
    <w:rsid w:val="003619BB"/>
    <w:rsid w:val="00361A1D"/>
    <w:rsid w:val="00361A74"/>
    <w:rsid w:val="00361A78"/>
    <w:rsid w:val="00361AAB"/>
    <w:rsid w:val="00361AB6"/>
    <w:rsid w:val="00361AC1"/>
    <w:rsid w:val="00361AD4"/>
    <w:rsid w:val="00361B13"/>
    <w:rsid w:val="00361B34"/>
    <w:rsid w:val="00361B37"/>
    <w:rsid w:val="00361BFE"/>
    <w:rsid w:val="00361C09"/>
    <w:rsid w:val="00361C45"/>
    <w:rsid w:val="00361C64"/>
    <w:rsid w:val="00361C89"/>
    <w:rsid w:val="00361CAC"/>
    <w:rsid w:val="00361D4A"/>
    <w:rsid w:val="00361D98"/>
    <w:rsid w:val="00361E2E"/>
    <w:rsid w:val="00361E2F"/>
    <w:rsid w:val="00361E46"/>
    <w:rsid w:val="00361E75"/>
    <w:rsid w:val="00361EB1"/>
    <w:rsid w:val="00361EC2"/>
    <w:rsid w:val="00361F24"/>
    <w:rsid w:val="00361FCD"/>
    <w:rsid w:val="00361FD3"/>
    <w:rsid w:val="0036202C"/>
    <w:rsid w:val="003620C3"/>
    <w:rsid w:val="00362205"/>
    <w:rsid w:val="0036221A"/>
    <w:rsid w:val="00362327"/>
    <w:rsid w:val="00362333"/>
    <w:rsid w:val="00362389"/>
    <w:rsid w:val="003623B6"/>
    <w:rsid w:val="003623C2"/>
    <w:rsid w:val="0036241A"/>
    <w:rsid w:val="00362439"/>
    <w:rsid w:val="0036248B"/>
    <w:rsid w:val="003624FC"/>
    <w:rsid w:val="00362589"/>
    <w:rsid w:val="0036259F"/>
    <w:rsid w:val="003625AE"/>
    <w:rsid w:val="003625B8"/>
    <w:rsid w:val="003625CD"/>
    <w:rsid w:val="003625D4"/>
    <w:rsid w:val="003625E5"/>
    <w:rsid w:val="003625EF"/>
    <w:rsid w:val="0036260A"/>
    <w:rsid w:val="0036260E"/>
    <w:rsid w:val="003626C4"/>
    <w:rsid w:val="00362792"/>
    <w:rsid w:val="0036281B"/>
    <w:rsid w:val="00362842"/>
    <w:rsid w:val="00362923"/>
    <w:rsid w:val="00362960"/>
    <w:rsid w:val="00362971"/>
    <w:rsid w:val="00362976"/>
    <w:rsid w:val="003629F2"/>
    <w:rsid w:val="00362A1E"/>
    <w:rsid w:val="00362A48"/>
    <w:rsid w:val="00362A8E"/>
    <w:rsid w:val="00362A9B"/>
    <w:rsid w:val="00362AB7"/>
    <w:rsid w:val="00362B87"/>
    <w:rsid w:val="00362BC6"/>
    <w:rsid w:val="00362C18"/>
    <w:rsid w:val="00362C4C"/>
    <w:rsid w:val="00362C78"/>
    <w:rsid w:val="00362C9A"/>
    <w:rsid w:val="00362CC6"/>
    <w:rsid w:val="00362CDA"/>
    <w:rsid w:val="00362CF8"/>
    <w:rsid w:val="00362DA1"/>
    <w:rsid w:val="00362DD0"/>
    <w:rsid w:val="00362E4E"/>
    <w:rsid w:val="00362E68"/>
    <w:rsid w:val="00362E92"/>
    <w:rsid w:val="00362F39"/>
    <w:rsid w:val="00362F9E"/>
    <w:rsid w:val="00362FCC"/>
    <w:rsid w:val="00362FDA"/>
    <w:rsid w:val="00362FE3"/>
    <w:rsid w:val="00363078"/>
    <w:rsid w:val="00363080"/>
    <w:rsid w:val="003630A5"/>
    <w:rsid w:val="003630D0"/>
    <w:rsid w:val="00363117"/>
    <w:rsid w:val="00363176"/>
    <w:rsid w:val="003631DE"/>
    <w:rsid w:val="003632FB"/>
    <w:rsid w:val="00363314"/>
    <w:rsid w:val="00363359"/>
    <w:rsid w:val="0036336F"/>
    <w:rsid w:val="00363387"/>
    <w:rsid w:val="00363393"/>
    <w:rsid w:val="003633B7"/>
    <w:rsid w:val="003633F3"/>
    <w:rsid w:val="00363433"/>
    <w:rsid w:val="00363442"/>
    <w:rsid w:val="00363471"/>
    <w:rsid w:val="00363502"/>
    <w:rsid w:val="00363540"/>
    <w:rsid w:val="00363552"/>
    <w:rsid w:val="00363576"/>
    <w:rsid w:val="0036358D"/>
    <w:rsid w:val="00363619"/>
    <w:rsid w:val="00363632"/>
    <w:rsid w:val="003636DC"/>
    <w:rsid w:val="003636E1"/>
    <w:rsid w:val="003636ED"/>
    <w:rsid w:val="0036373E"/>
    <w:rsid w:val="00363751"/>
    <w:rsid w:val="00363757"/>
    <w:rsid w:val="0036378C"/>
    <w:rsid w:val="00363797"/>
    <w:rsid w:val="003637B5"/>
    <w:rsid w:val="003637EF"/>
    <w:rsid w:val="00363836"/>
    <w:rsid w:val="00363851"/>
    <w:rsid w:val="003639A6"/>
    <w:rsid w:val="00363A4A"/>
    <w:rsid w:val="00363B3A"/>
    <w:rsid w:val="00363B9B"/>
    <w:rsid w:val="00363C2D"/>
    <w:rsid w:val="00363CA6"/>
    <w:rsid w:val="00363CBB"/>
    <w:rsid w:val="00363CF0"/>
    <w:rsid w:val="00363CF5"/>
    <w:rsid w:val="00363D0D"/>
    <w:rsid w:val="00363D27"/>
    <w:rsid w:val="00363D87"/>
    <w:rsid w:val="00363DA1"/>
    <w:rsid w:val="00363DB1"/>
    <w:rsid w:val="00363DDD"/>
    <w:rsid w:val="00363E7D"/>
    <w:rsid w:val="00363E9C"/>
    <w:rsid w:val="00363EBE"/>
    <w:rsid w:val="00363ED4"/>
    <w:rsid w:val="00363F08"/>
    <w:rsid w:val="00363F3B"/>
    <w:rsid w:val="00363F76"/>
    <w:rsid w:val="00363F96"/>
    <w:rsid w:val="0036403D"/>
    <w:rsid w:val="00364081"/>
    <w:rsid w:val="003640AB"/>
    <w:rsid w:val="003640CC"/>
    <w:rsid w:val="00364100"/>
    <w:rsid w:val="0036415B"/>
    <w:rsid w:val="00364168"/>
    <w:rsid w:val="0036419D"/>
    <w:rsid w:val="003641B2"/>
    <w:rsid w:val="003641CD"/>
    <w:rsid w:val="003641EA"/>
    <w:rsid w:val="00364227"/>
    <w:rsid w:val="003642A0"/>
    <w:rsid w:val="003642C8"/>
    <w:rsid w:val="00364310"/>
    <w:rsid w:val="00364314"/>
    <w:rsid w:val="00364348"/>
    <w:rsid w:val="003643B1"/>
    <w:rsid w:val="003643DC"/>
    <w:rsid w:val="00364491"/>
    <w:rsid w:val="003644A2"/>
    <w:rsid w:val="003644B1"/>
    <w:rsid w:val="0036451E"/>
    <w:rsid w:val="0036452B"/>
    <w:rsid w:val="00364548"/>
    <w:rsid w:val="00364609"/>
    <w:rsid w:val="0036460B"/>
    <w:rsid w:val="0036464D"/>
    <w:rsid w:val="00364657"/>
    <w:rsid w:val="00364733"/>
    <w:rsid w:val="0036474B"/>
    <w:rsid w:val="00364757"/>
    <w:rsid w:val="0036475D"/>
    <w:rsid w:val="00364778"/>
    <w:rsid w:val="003647D5"/>
    <w:rsid w:val="003647F4"/>
    <w:rsid w:val="0036489D"/>
    <w:rsid w:val="003648A2"/>
    <w:rsid w:val="003648BD"/>
    <w:rsid w:val="00364901"/>
    <w:rsid w:val="0036490D"/>
    <w:rsid w:val="00364970"/>
    <w:rsid w:val="003649D3"/>
    <w:rsid w:val="00364A48"/>
    <w:rsid w:val="00364AA1"/>
    <w:rsid w:val="00364B13"/>
    <w:rsid w:val="00364B87"/>
    <w:rsid w:val="00364B9C"/>
    <w:rsid w:val="00364BA6"/>
    <w:rsid w:val="00364BC3"/>
    <w:rsid w:val="00364BEB"/>
    <w:rsid w:val="00364BFE"/>
    <w:rsid w:val="00364C40"/>
    <w:rsid w:val="00364C5D"/>
    <w:rsid w:val="00364CB0"/>
    <w:rsid w:val="00364CD8"/>
    <w:rsid w:val="00364D6F"/>
    <w:rsid w:val="00364D71"/>
    <w:rsid w:val="00364DB0"/>
    <w:rsid w:val="00364DC4"/>
    <w:rsid w:val="00364DC6"/>
    <w:rsid w:val="00364E26"/>
    <w:rsid w:val="00364E60"/>
    <w:rsid w:val="00364E82"/>
    <w:rsid w:val="00364EB0"/>
    <w:rsid w:val="00364ECE"/>
    <w:rsid w:val="00364F09"/>
    <w:rsid w:val="00364F21"/>
    <w:rsid w:val="00364F28"/>
    <w:rsid w:val="00364FD9"/>
    <w:rsid w:val="00364FF8"/>
    <w:rsid w:val="0036504F"/>
    <w:rsid w:val="003650F8"/>
    <w:rsid w:val="00365100"/>
    <w:rsid w:val="00365104"/>
    <w:rsid w:val="0036513E"/>
    <w:rsid w:val="00365188"/>
    <w:rsid w:val="003651E2"/>
    <w:rsid w:val="0036523F"/>
    <w:rsid w:val="00365251"/>
    <w:rsid w:val="003652B3"/>
    <w:rsid w:val="00365337"/>
    <w:rsid w:val="00365392"/>
    <w:rsid w:val="003653AD"/>
    <w:rsid w:val="00365412"/>
    <w:rsid w:val="003654DF"/>
    <w:rsid w:val="00365522"/>
    <w:rsid w:val="0036553F"/>
    <w:rsid w:val="003655A0"/>
    <w:rsid w:val="0036561F"/>
    <w:rsid w:val="003656A2"/>
    <w:rsid w:val="003656CD"/>
    <w:rsid w:val="003656D9"/>
    <w:rsid w:val="0036571B"/>
    <w:rsid w:val="00365725"/>
    <w:rsid w:val="0036574B"/>
    <w:rsid w:val="00365754"/>
    <w:rsid w:val="003657F2"/>
    <w:rsid w:val="00365871"/>
    <w:rsid w:val="00365918"/>
    <w:rsid w:val="0036592D"/>
    <w:rsid w:val="003659AC"/>
    <w:rsid w:val="00365A0E"/>
    <w:rsid w:val="00365A4D"/>
    <w:rsid w:val="00365A58"/>
    <w:rsid w:val="00365AB8"/>
    <w:rsid w:val="00365B5A"/>
    <w:rsid w:val="00365B5C"/>
    <w:rsid w:val="00365B71"/>
    <w:rsid w:val="00365B7A"/>
    <w:rsid w:val="00365B84"/>
    <w:rsid w:val="00365B89"/>
    <w:rsid w:val="00365BE2"/>
    <w:rsid w:val="00365CEA"/>
    <w:rsid w:val="00365D79"/>
    <w:rsid w:val="00365D88"/>
    <w:rsid w:val="00365D98"/>
    <w:rsid w:val="00365DBC"/>
    <w:rsid w:val="00365E0D"/>
    <w:rsid w:val="00365E53"/>
    <w:rsid w:val="00365E67"/>
    <w:rsid w:val="00365EA0"/>
    <w:rsid w:val="00365EA9"/>
    <w:rsid w:val="00365EE9"/>
    <w:rsid w:val="00365EF0"/>
    <w:rsid w:val="00365F22"/>
    <w:rsid w:val="00365F59"/>
    <w:rsid w:val="00365F5C"/>
    <w:rsid w:val="00365FD9"/>
    <w:rsid w:val="00365FFE"/>
    <w:rsid w:val="0036603A"/>
    <w:rsid w:val="00366054"/>
    <w:rsid w:val="0036605D"/>
    <w:rsid w:val="003660B3"/>
    <w:rsid w:val="00366134"/>
    <w:rsid w:val="0036614F"/>
    <w:rsid w:val="003661A8"/>
    <w:rsid w:val="00366204"/>
    <w:rsid w:val="00366244"/>
    <w:rsid w:val="003662CD"/>
    <w:rsid w:val="00366309"/>
    <w:rsid w:val="0036634A"/>
    <w:rsid w:val="003663CB"/>
    <w:rsid w:val="003663D9"/>
    <w:rsid w:val="0036640D"/>
    <w:rsid w:val="00366432"/>
    <w:rsid w:val="0036645C"/>
    <w:rsid w:val="003664A2"/>
    <w:rsid w:val="003664A7"/>
    <w:rsid w:val="003664D3"/>
    <w:rsid w:val="003664FC"/>
    <w:rsid w:val="00366502"/>
    <w:rsid w:val="0036654A"/>
    <w:rsid w:val="00366588"/>
    <w:rsid w:val="003665C5"/>
    <w:rsid w:val="003665C7"/>
    <w:rsid w:val="00366609"/>
    <w:rsid w:val="003666A5"/>
    <w:rsid w:val="00366790"/>
    <w:rsid w:val="003667BE"/>
    <w:rsid w:val="00366856"/>
    <w:rsid w:val="00366863"/>
    <w:rsid w:val="00366888"/>
    <w:rsid w:val="003668AC"/>
    <w:rsid w:val="003668D6"/>
    <w:rsid w:val="0036698A"/>
    <w:rsid w:val="003669E1"/>
    <w:rsid w:val="00366A14"/>
    <w:rsid w:val="00366A68"/>
    <w:rsid w:val="00366AC9"/>
    <w:rsid w:val="00366B82"/>
    <w:rsid w:val="00366B87"/>
    <w:rsid w:val="00366BA1"/>
    <w:rsid w:val="00366BCE"/>
    <w:rsid w:val="00366BE5"/>
    <w:rsid w:val="00366BE9"/>
    <w:rsid w:val="00366C18"/>
    <w:rsid w:val="00366C3C"/>
    <w:rsid w:val="00366CBC"/>
    <w:rsid w:val="00366D3B"/>
    <w:rsid w:val="00366E05"/>
    <w:rsid w:val="00366E1A"/>
    <w:rsid w:val="00366F22"/>
    <w:rsid w:val="00366F46"/>
    <w:rsid w:val="00366F72"/>
    <w:rsid w:val="00366F75"/>
    <w:rsid w:val="00367005"/>
    <w:rsid w:val="00367077"/>
    <w:rsid w:val="00367093"/>
    <w:rsid w:val="003670DD"/>
    <w:rsid w:val="0036711F"/>
    <w:rsid w:val="00367160"/>
    <w:rsid w:val="0036721F"/>
    <w:rsid w:val="0036726F"/>
    <w:rsid w:val="0036731D"/>
    <w:rsid w:val="003673AE"/>
    <w:rsid w:val="00367460"/>
    <w:rsid w:val="00367461"/>
    <w:rsid w:val="0036748E"/>
    <w:rsid w:val="003674CA"/>
    <w:rsid w:val="003674DA"/>
    <w:rsid w:val="00367529"/>
    <w:rsid w:val="00367532"/>
    <w:rsid w:val="00367545"/>
    <w:rsid w:val="003675C2"/>
    <w:rsid w:val="003675CC"/>
    <w:rsid w:val="00367649"/>
    <w:rsid w:val="00367653"/>
    <w:rsid w:val="00367666"/>
    <w:rsid w:val="0036771E"/>
    <w:rsid w:val="0036779E"/>
    <w:rsid w:val="003677A1"/>
    <w:rsid w:val="003677BF"/>
    <w:rsid w:val="003677C5"/>
    <w:rsid w:val="003677CB"/>
    <w:rsid w:val="003677D4"/>
    <w:rsid w:val="00367846"/>
    <w:rsid w:val="003678D3"/>
    <w:rsid w:val="00367968"/>
    <w:rsid w:val="003679BC"/>
    <w:rsid w:val="00367A3D"/>
    <w:rsid w:val="00367BF0"/>
    <w:rsid w:val="00367C18"/>
    <w:rsid w:val="00367C3F"/>
    <w:rsid w:val="00367D61"/>
    <w:rsid w:val="00367D83"/>
    <w:rsid w:val="00367D84"/>
    <w:rsid w:val="00367DE2"/>
    <w:rsid w:val="00367E8D"/>
    <w:rsid w:val="00367F18"/>
    <w:rsid w:val="00367F23"/>
    <w:rsid w:val="00367F2D"/>
    <w:rsid w:val="00367F51"/>
    <w:rsid w:val="00367F72"/>
    <w:rsid w:val="00367F8F"/>
    <w:rsid w:val="00367F93"/>
    <w:rsid w:val="0037002F"/>
    <w:rsid w:val="0037004B"/>
    <w:rsid w:val="0037007D"/>
    <w:rsid w:val="0037012A"/>
    <w:rsid w:val="0037019A"/>
    <w:rsid w:val="003701B7"/>
    <w:rsid w:val="003701EC"/>
    <w:rsid w:val="003701F5"/>
    <w:rsid w:val="003701FC"/>
    <w:rsid w:val="00370239"/>
    <w:rsid w:val="0037024F"/>
    <w:rsid w:val="00370276"/>
    <w:rsid w:val="00370281"/>
    <w:rsid w:val="003702D3"/>
    <w:rsid w:val="00370302"/>
    <w:rsid w:val="00370311"/>
    <w:rsid w:val="0037035D"/>
    <w:rsid w:val="00370376"/>
    <w:rsid w:val="0037037B"/>
    <w:rsid w:val="003703C1"/>
    <w:rsid w:val="003703E9"/>
    <w:rsid w:val="00370440"/>
    <w:rsid w:val="003704A0"/>
    <w:rsid w:val="003704BE"/>
    <w:rsid w:val="00370579"/>
    <w:rsid w:val="0037063D"/>
    <w:rsid w:val="003706D1"/>
    <w:rsid w:val="0037072F"/>
    <w:rsid w:val="00370749"/>
    <w:rsid w:val="0037074D"/>
    <w:rsid w:val="00370836"/>
    <w:rsid w:val="00370852"/>
    <w:rsid w:val="00370860"/>
    <w:rsid w:val="00370878"/>
    <w:rsid w:val="00370892"/>
    <w:rsid w:val="0037090A"/>
    <w:rsid w:val="0037099A"/>
    <w:rsid w:val="003709EB"/>
    <w:rsid w:val="00370A29"/>
    <w:rsid w:val="00370A31"/>
    <w:rsid w:val="00370A7D"/>
    <w:rsid w:val="00370A87"/>
    <w:rsid w:val="00370AEE"/>
    <w:rsid w:val="00370AF6"/>
    <w:rsid w:val="00370B09"/>
    <w:rsid w:val="00370B48"/>
    <w:rsid w:val="00370C15"/>
    <w:rsid w:val="00370C2D"/>
    <w:rsid w:val="00370CC6"/>
    <w:rsid w:val="00370D28"/>
    <w:rsid w:val="00370DBB"/>
    <w:rsid w:val="00370DE4"/>
    <w:rsid w:val="00370DEB"/>
    <w:rsid w:val="00370E08"/>
    <w:rsid w:val="00370E41"/>
    <w:rsid w:val="00370EFE"/>
    <w:rsid w:val="00370F00"/>
    <w:rsid w:val="00370F08"/>
    <w:rsid w:val="00370F14"/>
    <w:rsid w:val="00370F16"/>
    <w:rsid w:val="00370F47"/>
    <w:rsid w:val="00370F83"/>
    <w:rsid w:val="00370FB8"/>
    <w:rsid w:val="00370FD8"/>
    <w:rsid w:val="00370FDA"/>
    <w:rsid w:val="00371061"/>
    <w:rsid w:val="00371121"/>
    <w:rsid w:val="0037112C"/>
    <w:rsid w:val="003711EC"/>
    <w:rsid w:val="0037124A"/>
    <w:rsid w:val="0037125B"/>
    <w:rsid w:val="0037125F"/>
    <w:rsid w:val="003712F9"/>
    <w:rsid w:val="0037132C"/>
    <w:rsid w:val="003713E8"/>
    <w:rsid w:val="00371406"/>
    <w:rsid w:val="00371412"/>
    <w:rsid w:val="0037145A"/>
    <w:rsid w:val="003714CE"/>
    <w:rsid w:val="003714E0"/>
    <w:rsid w:val="0037152B"/>
    <w:rsid w:val="003716CE"/>
    <w:rsid w:val="003716FD"/>
    <w:rsid w:val="0037170B"/>
    <w:rsid w:val="00371759"/>
    <w:rsid w:val="00371824"/>
    <w:rsid w:val="003718E8"/>
    <w:rsid w:val="00371996"/>
    <w:rsid w:val="003719A4"/>
    <w:rsid w:val="003719F9"/>
    <w:rsid w:val="00371A1C"/>
    <w:rsid w:val="00371A4C"/>
    <w:rsid w:val="00371A4F"/>
    <w:rsid w:val="00371A57"/>
    <w:rsid w:val="00371A6F"/>
    <w:rsid w:val="00371AB5"/>
    <w:rsid w:val="00371AD0"/>
    <w:rsid w:val="00371ADF"/>
    <w:rsid w:val="00371B3F"/>
    <w:rsid w:val="00371B6E"/>
    <w:rsid w:val="00371B8E"/>
    <w:rsid w:val="00371BA9"/>
    <w:rsid w:val="00371C91"/>
    <w:rsid w:val="00371D1D"/>
    <w:rsid w:val="00371D1F"/>
    <w:rsid w:val="00371D40"/>
    <w:rsid w:val="00371DC9"/>
    <w:rsid w:val="00371DFF"/>
    <w:rsid w:val="00371E22"/>
    <w:rsid w:val="00371E81"/>
    <w:rsid w:val="00371E8B"/>
    <w:rsid w:val="00371ECD"/>
    <w:rsid w:val="00371EEE"/>
    <w:rsid w:val="00371F38"/>
    <w:rsid w:val="00371F42"/>
    <w:rsid w:val="00371F93"/>
    <w:rsid w:val="0037206E"/>
    <w:rsid w:val="00372159"/>
    <w:rsid w:val="00372160"/>
    <w:rsid w:val="003721C4"/>
    <w:rsid w:val="00372212"/>
    <w:rsid w:val="0037226A"/>
    <w:rsid w:val="00372288"/>
    <w:rsid w:val="003722BD"/>
    <w:rsid w:val="003722F4"/>
    <w:rsid w:val="00372311"/>
    <w:rsid w:val="00372315"/>
    <w:rsid w:val="00372329"/>
    <w:rsid w:val="00372347"/>
    <w:rsid w:val="00372376"/>
    <w:rsid w:val="00372380"/>
    <w:rsid w:val="00372398"/>
    <w:rsid w:val="003723A8"/>
    <w:rsid w:val="003723B3"/>
    <w:rsid w:val="003723E6"/>
    <w:rsid w:val="00372432"/>
    <w:rsid w:val="0037243A"/>
    <w:rsid w:val="003724F7"/>
    <w:rsid w:val="00372531"/>
    <w:rsid w:val="00372547"/>
    <w:rsid w:val="003725D2"/>
    <w:rsid w:val="00372627"/>
    <w:rsid w:val="0037265A"/>
    <w:rsid w:val="0037266C"/>
    <w:rsid w:val="003726C1"/>
    <w:rsid w:val="003726C4"/>
    <w:rsid w:val="003726EB"/>
    <w:rsid w:val="00372731"/>
    <w:rsid w:val="003727FC"/>
    <w:rsid w:val="00372853"/>
    <w:rsid w:val="00372864"/>
    <w:rsid w:val="0037295C"/>
    <w:rsid w:val="00372B29"/>
    <w:rsid w:val="00372B31"/>
    <w:rsid w:val="00372B4C"/>
    <w:rsid w:val="00372B64"/>
    <w:rsid w:val="00372B87"/>
    <w:rsid w:val="00372B94"/>
    <w:rsid w:val="00372BC6"/>
    <w:rsid w:val="00372C30"/>
    <w:rsid w:val="00372C45"/>
    <w:rsid w:val="00372C66"/>
    <w:rsid w:val="00372C70"/>
    <w:rsid w:val="00372C71"/>
    <w:rsid w:val="00372C95"/>
    <w:rsid w:val="00372CEC"/>
    <w:rsid w:val="00372CF2"/>
    <w:rsid w:val="00372D07"/>
    <w:rsid w:val="00372DAD"/>
    <w:rsid w:val="00372DE1"/>
    <w:rsid w:val="00372DF8"/>
    <w:rsid w:val="00372E10"/>
    <w:rsid w:val="00372F1D"/>
    <w:rsid w:val="00372F4B"/>
    <w:rsid w:val="00372F71"/>
    <w:rsid w:val="00372F8A"/>
    <w:rsid w:val="00372FA5"/>
    <w:rsid w:val="00372FB9"/>
    <w:rsid w:val="00372FD8"/>
    <w:rsid w:val="00373030"/>
    <w:rsid w:val="00373060"/>
    <w:rsid w:val="0037307E"/>
    <w:rsid w:val="00373092"/>
    <w:rsid w:val="003730CF"/>
    <w:rsid w:val="003730EC"/>
    <w:rsid w:val="0037315B"/>
    <w:rsid w:val="0037318B"/>
    <w:rsid w:val="0037319B"/>
    <w:rsid w:val="003732D0"/>
    <w:rsid w:val="00373323"/>
    <w:rsid w:val="0037332C"/>
    <w:rsid w:val="003733BF"/>
    <w:rsid w:val="003733DE"/>
    <w:rsid w:val="0037341F"/>
    <w:rsid w:val="00373433"/>
    <w:rsid w:val="0037356C"/>
    <w:rsid w:val="003735C4"/>
    <w:rsid w:val="003735DE"/>
    <w:rsid w:val="00373622"/>
    <w:rsid w:val="00373661"/>
    <w:rsid w:val="0037368F"/>
    <w:rsid w:val="003736CB"/>
    <w:rsid w:val="0037374C"/>
    <w:rsid w:val="00373765"/>
    <w:rsid w:val="003737BE"/>
    <w:rsid w:val="003737EF"/>
    <w:rsid w:val="00373811"/>
    <w:rsid w:val="0037385A"/>
    <w:rsid w:val="00373960"/>
    <w:rsid w:val="003739BA"/>
    <w:rsid w:val="00373A3C"/>
    <w:rsid w:val="00373A50"/>
    <w:rsid w:val="00373B01"/>
    <w:rsid w:val="00373B18"/>
    <w:rsid w:val="00373B3E"/>
    <w:rsid w:val="00373B7D"/>
    <w:rsid w:val="00373BA1"/>
    <w:rsid w:val="00373BA5"/>
    <w:rsid w:val="00373BAF"/>
    <w:rsid w:val="00373BE2"/>
    <w:rsid w:val="00373C27"/>
    <w:rsid w:val="00373C2E"/>
    <w:rsid w:val="00373CE4"/>
    <w:rsid w:val="00373CEC"/>
    <w:rsid w:val="00373D39"/>
    <w:rsid w:val="00373D76"/>
    <w:rsid w:val="00373DA0"/>
    <w:rsid w:val="00373DCB"/>
    <w:rsid w:val="00373E00"/>
    <w:rsid w:val="00373ECD"/>
    <w:rsid w:val="00373F2C"/>
    <w:rsid w:val="00373F3F"/>
    <w:rsid w:val="00373F5A"/>
    <w:rsid w:val="00373F91"/>
    <w:rsid w:val="00373FC0"/>
    <w:rsid w:val="00373FCD"/>
    <w:rsid w:val="00373FDE"/>
    <w:rsid w:val="00374005"/>
    <w:rsid w:val="00374019"/>
    <w:rsid w:val="00374130"/>
    <w:rsid w:val="00374150"/>
    <w:rsid w:val="003741A6"/>
    <w:rsid w:val="00374202"/>
    <w:rsid w:val="0037426D"/>
    <w:rsid w:val="003742E9"/>
    <w:rsid w:val="00374302"/>
    <w:rsid w:val="0037435D"/>
    <w:rsid w:val="0037439C"/>
    <w:rsid w:val="00374442"/>
    <w:rsid w:val="00374452"/>
    <w:rsid w:val="00374476"/>
    <w:rsid w:val="0037449A"/>
    <w:rsid w:val="003744B2"/>
    <w:rsid w:val="00374574"/>
    <w:rsid w:val="003745ED"/>
    <w:rsid w:val="00374624"/>
    <w:rsid w:val="00374626"/>
    <w:rsid w:val="00374641"/>
    <w:rsid w:val="0037467A"/>
    <w:rsid w:val="0037469A"/>
    <w:rsid w:val="003746E4"/>
    <w:rsid w:val="003746F8"/>
    <w:rsid w:val="00374747"/>
    <w:rsid w:val="003747E0"/>
    <w:rsid w:val="00374832"/>
    <w:rsid w:val="00374836"/>
    <w:rsid w:val="00374874"/>
    <w:rsid w:val="00374882"/>
    <w:rsid w:val="00374932"/>
    <w:rsid w:val="003749AB"/>
    <w:rsid w:val="003749D9"/>
    <w:rsid w:val="00374A07"/>
    <w:rsid w:val="00374A30"/>
    <w:rsid w:val="00374A41"/>
    <w:rsid w:val="00374A4A"/>
    <w:rsid w:val="00374A88"/>
    <w:rsid w:val="00374A94"/>
    <w:rsid w:val="00374A9B"/>
    <w:rsid w:val="00374B01"/>
    <w:rsid w:val="00374B50"/>
    <w:rsid w:val="00374BC4"/>
    <w:rsid w:val="00374BD6"/>
    <w:rsid w:val="00374C43"/>
    <w:rsid w:val="00374C61"/>
    <w:rsid w:val="00374C92"/>
    <w:rsid w:val="00374D56"/>
    <w:rsid w:val="00374D6B"/>
    <w:rsid w:val="00374DEF"/>
    <w:rsid w:val="00374DF6"/>
    <w:rsid w:val="00374E68"/>
    <w:rsid w:val="00374E7E"/>
    <w:rsid w:val="00374E92"/>
    <w:rsid w:val="00374EE4"/>
    <w:rsid w:val="00374F1D"/>
    <w:rsid w:val="00374F21"/>
    <w:rsid w:val="00374F3F"/>
    <w:rsid w:val="00374F53"/>
    <w:rsid w:val="00374F8B"/>
    <w:rsid w:val="00374FC9"/>
    <w:rsid w:val="00374FD3"/>
    <w:rsid w:val="0037501B"/>
    <w:rsid w:val="00375050"/>
    <w:rsid w:val="0037506C"/>
    <w:rsid w:val="00375109"/>
    <w:rsid w:val="003751D9"/>
    <w:rsid w:val="003751E0"/>
    <w:rsid w:val="003751E1"/>
    <w:rsid w:val="0037523C"/>
    <w:rsid w:val="00375246"/>
    <w:rsid w:val="00375249"/>
    <w:rsid w:val="00375268"/>
    <w:rsid w:val="003752AD"/>
    <w:rsid w:val="003752D7"/>
    <w:rsid w:val="00375317"/>
    <w:rsid w:val="00375324"/>
    <w:rsid w:val="00375358"/>
    <w:rsid w:val="003753AE"/>
    <w:rsid w:val="003753CF"/>
    <w:rsid w:val="0037540C"/>
    <w:rsid w:val="0037549A"/>
    <w:rsid w:val="003754A0"/>
    <w:rsid w:val="0037553C"/>
    <w:rsid w:val="003755FD"/>
    <w:rsid w:val="0037567A"/>
    <w:rsid w:val="00375727"/>
    <w:rsid w:val="00375750"/>
    <w:rsid w:val="0037578E"/>
    <w:rsid w:val="003757D7"/>
    <w:rsid w:val="00375880"/>
    <w:rsid w:val="00375889"/>
    <w:rsid w:val="003758DC"/>
    <w:rsid w:val="003758F7"/>
    <w:rsid w:val="00375949"/>
    <w:rsid w:val="00375A02"/>
    <w:rsid w:val="00375A63"/>
    <w:rsid w:val="00375A64"/>
    <w:rsid w:val="00375B4B"/>
    <w:rsid w:val="00375B78"/>
    <w:rsid w:val="00375BE0"/>
    <w:rsid w:val="00375C16"/>
    <w:rsid w:val="00375C1C"/>
    <w:rsid w:val="00375C7C"/>
    <w:rsid w:val="00375CA3"/>
    <w:rsid w:val="00375CC2"/>
    <w:rsid w:val="00375CD4"/>
    <w:rsid w:val="00375CE3"/>
    <w:rsid w:val="00375D90"/>
    <w:rsid w:val="00375DA7"/>
    <w:rsid w:val="00375DFE"/>
    <w:rsid w:val="00375E19"/>
    <w:rsid w:val="00375E25"/>
    <w:rsid w:val="00375F0B"/>
    <w:rsid w:val="00375F75"/>
    <w:rsid w:val="00375F7C"/>
    <w:rsid w:val="00375F84"/>
    <w:rsid w:val="00375FA7"/>
    <w:rsid w:val="00375FCD"/>
    <w:rsid w:val="00376050"/>
    <w:rsid w:val="003760F7"/>
    <w:rsid w:val="003760FE"/>
    <w:rsid w:val="00376116"/>
    <w:rsid w:val="00376148"/>
    <w:rsid w:val="003761B8"/>
    <w:rsid w:val="003761EE"/>
    <w:rsid w:val="00376221"/>
    <w:rsid w:val="0037626B"/>
    <w:rsid w:val="00376304"/>
    <w:rsid w:val="00376363"/>
    <w:rsid w:val="003763BB"/>
    <w:rsid w:val="003764A9"/>
    <w:rsid w:val="00376529"/>
    <w:rsid w:val="00376562"/>
    <w:rsid w:val="00376573"/>
    <w:rsid w:val="0037657B"/>
    <w:rsid w:val="003765E9"/>
    <w:rsid w:val="00376608"/>
    <w:rsid w:val="00376614"/>
    <w:rsid w:val="00376646"/>
    <w:rsid w:val="00376692"/>
    <w:rsid w:val="00376763"/>
    <w:rsid w:val="00376792"/>
    <w:rsid w:val="0037683B"/>
    <w:rsid w:val="0037686E"/>
    <w:rsid w:val="00376881"/>
    <w:rsid w:val="00376903"/>
    <w:rsid w:val="00376941"/>
    <w:rsid w:val="003769B9"/>
    <w:rsid w:val="00376A0D"/>
    <w:rsid w:val="00376A4D"/>
    <w:rsid w:val="00376A77"/>
    <w:rsid w:val="00376A79"/>
    <w:rsid w:val="00376A7E"/>
    <w:rsid w:val="00376A84"/>
    <w:rsid w:val="00376AC4"/>
    <w:rsid w:val="00376B25"/>
    <w:rsid w:val="00376B4D"/>
    <w:rsid w:val="00376B78"/>
    <w:rsid w:val="00376B97"/>
    <w:rsid w:val="00376BFC"/>
    <w:rsid w:val="00376E6B"/>
    <w:rsid w:val="00376EEC"/>
    <w:rsid w:val="00376EED"/>
    <w:rsid w:val="00377036"/>
    <w:rsid w:val="00377038"/>
    <w:rsid w:val="003771F5"/>
    <w:rsid w:val="00377205"/>
    <w:rsid w:val="00377220"/>
    <w:rsid w:val="003772DA"/>
    <w:rsid w:val="00377311"/>
    <w:rsid w:val="00377356"/>
    <w:rsid w:val="0037735F"/>
    <w:rsid w:val="00377374"/>
    <w:rsid w:val="0037737C"/>
    <w:rsid w:val="003773A6"/>
    <w:rsid w:val="003773E9"/>
    <w:rsid w:val="003773F5"/>
    <w:rsid w:val="0037740D"/>
    <w:rsid w:val="00377419"/>
    <w:rsid w:val="00377463"/>
    <w:rsid w:val="0037748E"/>
    <w:rsid w:val="003774B1"/>
    <w:rsid w:val="003774E6"/>
    <w:rsid w:val="003774ED"/>
    <w:rsid w:val="00377561"/>
    <w:rsid w:val="003775A2"/>
    <w:rsid w:val="003775A3"/>
    <w:rsid w:val="003776F6"/>
    <w:rsid w:val="003776FF"/>
    <w:rsid w:val="00377718"/>
    <w:rsid w:val="00377720"/>
    <w:rsid w:val="0037774F"/>
    <w:rsid w:val="00377761"/>
    <w:rsid w:val="00377767"/>
    <w:rsid w:val="003777D3"/>
    <w:rsid w:val="00377838"/>
    <w:rsid w:val="00377887"/>
    <w:rsid w:val="00377888"/>
    <w:rsid w:val="003778D2"/>
    <w:rsid w:val="0037790D"/>
    <w:rsid w:val="00377918"/>
    <w:rsid w:val="0037796A"/>
    <w:rsid w:val="003779A1"/>
    <w:rsid w:val="003779EA"/>
    <w:rsid w:val="00377A20"/>
    <w:rsid w:val="00377A44"/>
    <w:rsid w:val="00377B09"/>
    <w:rsid w:val="00377B18"/>
    <w:rsid w:val="00377B4D"/>
    <w:rsid w:val="00377BB0"/>
    <w:rsid w:val="00377C5C"/>
    <w:rsid w:val="00377CA2"/>
    <w:rsid w:val="00377CB2"/>
    <w:rsid w:val="00377CB4"/>
    <w:rsid w:val="00377CBC"/>
    <w:rsid w:val="00377D55"/>
    <w:rsid w:val="00377D65"/>
    <w:rsid w:val="00377D76"/>
    <w:rsid w:val="00377DAD"/>
    <w:rsid w:val="00377DD5"/>
    <w:rsid w:val="00377DDC"/>
    <w:rsid w:val="00377DDD"/>
    <w:rsid w:val="00377DED"/>
    <w:rsid w:val="00377E12"/>
    <w:rsid w:val="00377E54"/>
    <w:rsid w:val="00377F69"/>
    <w:rsid w:val="00377F97"/>
    <w:rsid w:val="00377FDC"/>
    <w:rsid w:val="00380004"/>
    <w:rsid w:val="00380017"/>
    <w:rsid w:val="0038006E"/>
    <w:rsid w:val="00380087"/>
    <w:rsid w:val="003800FC"/>
    <w:rsid w:val="00380111"/>
    <w:rsid w:val="00380193"/>
    <w:rsid w:val="003801B1"/>
    <w:rsid w:val="003801B9"/>
    <w:rsid w:val="003801E4"/>
    <w:rsid w:val="003801F7"/>
    <w:rsid w:val="00380219"/>
    <w:rsid w:val="003802BF"/>
    <w:rsid w:val="00380304"/>
    <w:rsid w:val="00380378"/>
    <w:rsid w:val="003803C6"/>
    <w:rsid w:val="00380408"/>
    <w:rsid w:val="00380411"/>
    <w:rsid w:val="003804A9"/>
    <w:rsid w:val="0038058B"/>
    <w:rsid w:val="003805A8"/>
    <w:rsid w:val="003805C0"/>
    <w:rsid w:val="003805E9"/>
    <w:rsid w:val="003805EA"/>
    <w:rsid w:val="003805F1"/>
    <w:rsid w:val="003806FB"/>
    <w:rsid w:val="0038072A"/>
    <w:rsid w:val="0038076D"/>
    <w:rsid w:val="00380776"/>
    <w:rsid w:val="003807BC"/>
    <w:rsid w:val="003807C4"/>
    <w:rsid w:val="003807ED"/>
    <w:rsid w:val="00380824"/>
    <w:rsid w:val="0038083F"/>
    <w:rsid w:val="00380851"/>
    <w:rsid w:val="0038089C"/>
    <w:rsid w:val="0038095A"/>
    <w:rsid w:val="00380971"/>
    <w:rsid w:val="0038098D"/>
    <w:rsid w:val="003809B6"/>
    <w:rsid w:val="003809CC"/>
    <w:rsid w:val="00380A30"/>
    <w:rsid w:val="00380AD1"/>
    <w:rsid w:val="00380B72"/>
    <w:rsid w:val="00380C52"/>
    <w:rsid w:val="00380CB9"/>
    <w:rsid w:val="00380CCC"/>
    <w:rsid w:val="00380D47"/>
    <w:rsid w:val="00380D67"/>
    <w:rsid w:val="00380E8B"/>
    <w:rsid w:val="00380F3A"/>
    <w:rsid w:val="00380F5E"/>
    <w:rsid w:val="00380F9B"/>
    <w:rsid w:val="00380FB2"/>
    <w:rsid w:val="00380FF8"/>
    <w:rsid w:val="00381077"/>
    <w:rsid w:val="00381084"/>
    <w:rsid w:val="003810E2"/>
    <w:rsid w:val="00381100"/>
    <w:rsid w:val="00381102"/>
    <w:rsid w:val="003811AF"/>
    <w:rsid w:val="003811CB"/>
    <w:rsid w:val="00381248"/>
    <w:rsid w:val="00381265"/>
    <w:rsid w:val="003812CE"/>
    <w:rsid w:val="003812EA"/>
    <w:rsid w:val="003812F3"/>
    <w:rsid w:val="0038137B"/>
    <w:rsid w:val="00381397"/>
    <w:rsid w:val="003814DA"/>
    <w:rsid w:val="00381517"/>
    <w:rsid w:val="00381560"/>
    <w:rsid w:val="003815BD"/>
    <w:rsid w:val="003815C5"/>
    <w:rsid w:val="003816D2"/>
    <w:rsid w:val="0038182F"/>
    <w:rsid w:val="0038184B"/>
    <w:rsid w:val="00381852"/>
    <w:rsid w:val="00381872"/>
    <w:rsid w:val="003818AB"/>
    <w:rsid w:val="003818D8"/>
    <w:rsid w:val="003818DC"/>
    <w:rsid w:val="00381921"/>
    <w:rsid w:val="00381932"/>
    <w:rsid w:val="00381965"/>
    <w:rsid w:val="003819A2"/>
    <w:rsid w:val="003819AD"/>
    <w:rsid w:val="003819C4"/>
    <w:rsid w:val="003819C9"/>
    <w:rsid w:val="00381A2A"/>
    <w:rsid w:val="00381AA0"/>
    <w:rsid w:val="00381B9E"/>
    <w:rsid w:val="00381BFE"/>
    <w:rsid w:val="00381BFF"/>
    <w:rsid w:val="00381C26"/>
    <w:rsid w:val="00381C3B"/>
    <w:rsid w:val="00381C70"/>
    <w:rsid w:val="00381C78"/>
    <w:rsid w:val="00381D4D"/>
    <w:rsid w:val="00381D59"/>
    <w:rsid w:val="00381DDE"/>
    <w:rsid w:val="00381E4F"/>
    <w:rsid w:val="00381EA2"/>
    <w:rsid w:val="00381EF6"/>
    <w:rsid w:val="00381F29"/>
    <w:rsid w:val="00381F2C"/>
    <w:rsid w:val="00381F74"/>
    <w:rsid w:val="00381FCB"/>
    <w:rsid w:val="00382009"/>
    <w:rsid w:val="00382034"/>
    <w:rsid w:val="0038206D"/>
    <w:rsid w:val="00382076"/>
    <w:rsid w:val="003820CF"/>
    <w:rsid w:val="00382127"/>
    <w:rsid w:val="00382141"/>
    <w:rsid w:val="0038217C"/>
    <w:rsid w:val="00382181"/>
    <w:rsid w:val="0038218D"/>
    <w:rsid w:val="003821B3"/>
    <w:rsid w:val="003821D7"/>
    <w:rsid w:val="003821F6"/>
    <w:rsid w:val="00382233"/>
    <w:rsid w:val="003822A7"/>
    <w:rsid w:val="003822D6"/>
    <w:rsid w:val="003822EF"/>
    <w:rsid w:val="00382326"/>
    <w:rsid w:val="00382468"/>
    <w:rsid w:val="00382499"/>
    <w:rsid w:val="003825C1"/>
    <w:rsid w:val="00382619"/>
    <w:rsid w:val="00382621"/>
    <w:rsid w:val="00382696"/>
    <w:rsid w:val="003826A1"/>
    <w:rsid w:val="003826E3"/>
    <w:rsid w:val="0038270E"/>
    <w:rsid w:val="0038273A"/>
    <w:rsid w:val="00382759"/>
    <w:rsid w:val="0038276C"/>
    <w:rsid w:val="0038278B"/>
    <w:rsid w:val="003827E9"/>
    <w:rsid w:val="00382819"/>
    <w:rsid w:val="003828B6"/>
    <w:rsid w:val="00382942"/>
    <w:rsid w:val="0038297D"/>
    <w:rsid w:val="0038299D"/>
    <w:rsid w:val="003829F4"/>
    <w:rsid w:val="00382A0C"/>
    <w:rsid w:val="00382A58"/>
    <w:rsid w:val="00382AEE"/>
    <w:rsid w:val="00382B0C"/>
    <w:rsid w:val="00382B40"/>
    <w:rsid w:val="00382B69"/>
    <w:rsid w:val="00382BC1"/>
    <w:rsid w:val="00382C77"/>
    <w:rsid w:val="00382CBF"/>
    <w:rsid w:val="00382CEB"/>
    <w:rsid w:val="00382D58"/>
    <w:rsid w:val="00382D9F"/>
    <w:rsid w:val="00382DBE"/>
    <w:rsid w:val="00382E40"/>
    <w:rsid w:val="00382E52"/>
    <w:rsid w:val="00382E67"/>
    <w:rsid w:val="00382E7E"/>
    <w:rsid w:val="00382E7F"/>
    <w:rsid w:val="00382F00"/>
    <w:rsid w:val="00382F10"/>
    <w:rsid w:val="00382FA2"/>
    <w:rsid w:val="00383085"/>
    <w:rsid w:val="003830EF"/>
    <w:rsid w:val="0038311E"/>
    <w:rsid w:val="0038313A"/>
    <w:rsid w:val="0038317E"/>
    <w:rsid w:val="003831A9"/>
    <w:rsid w:val="003831BC"/>
    <w:rsid w:val="00383237"/>
    <w:rsid w:val="00383261"/>
    <w:rsid w:val="0038328A"/>
    <w:rsid w:val="003832A1"/>
    <w:rsid w:val="003833B7"/>
    <w:rsid w:val="003833D4"/>
    <w:rsid w:val="00383445"/>
    <w:rsid w:val="00383487"/>
    <w:rsid w:val="00383517"/>
    <w:rsid w:val="0038354B"/>
    <w:rsid w:val="00383570"/>
    <w:rsid w:val="00383596"/>
    <w:rsid w:val="00383597"/>
    <w:rsid w:val="0038359F"/>
    <w:rsid w:val="003835E1"/>
    <w:rsid w:val="00383615"/>
    <w:rsid w:val="00383643"/>
    <w:rsid w:val="00383676"/>
    <w:rsid w:val="00383756"/>
    <w:rsid w:val="0038375D"/>
    <w:rsid w:val="00383773"/>
    <w:rsid w:val="003837AF"/>
    <w:rsid w:val="0038381F"/>
    <w:rsid w:val="00383855"/>
    <w:rsid w:val="0038387A"/>
    <w:rsid w:val="003839DF"/>
    <w:rsid w:val="00383A31"/>
    <w:rsid w:val="00383A45"/>
    <w:rsid w:val="00383A55"/>
    <w:rsid w:val="00383B33"/>
    <w:rsid w:val="00383B49"/>
    <w:rsid w:val="00383C01"/>
    <w:rsid w:val="00383C5A"/>
    <w:rsid w:val="00383CBF"/>
    <w:rsid w:val="00383CCE"/>
    <w:rsid w:val="00383CDC"/>
    <w:rsid w:val="00383D2D"/>
    <w:rsid w:val="00383DCD"/>
    <w:rsid w:val="00383E3A"/>
    <w:rsid w:val="00383E4F"/>
    <w:rsid w:val="00383EB3"/>
    <w:rsid w:val="00383EB4"/>
    <w:rsid w:val="00383EC6"/>
    <w:rsid w:val="00383ED2"/>
    <w:rsid w:val="00383F6B"/>
    <w:rsid w:val="00383F73"/>
    <w:rsid w:val="00383F8E"/>
    <w:rsid w:val="00383FB1"/>
    <w:rsid w:val="00383FE7"/>
    <w:rsid w:val="00384031"/>
    <w:rsid w:val="0038403A"/>
    <w:rsid w:val="00384076"/>
    <w:rsid w:val="00384114"/>
    <w:rsid w:val="00384133"/>
    <w:rsid w:val="00384137"/>
    <w:rsid w:val="00384193"/>
    <w:rsid w:val="00384211"/>
    <w:rsid w:val="00384237"/>
    <w:rsid w:val="0038424A"/>
    <w:rsid w:val="003842DD"/>
    <w:rsid w:val="00384328"/>
    <w:rsid w:val="00384346"/>
    <w:rsid w:val="0038435B"/>
    <w:rsid w:val="0038436A"/>
    <w:rsid w:val="003843A8"/>
    <w:rsid w:val="003843CE"/>
    <w:rsid w:val="003843CF"/>
    <w:rsid w:val="003843E0"/>
    <w:rsid w:val="003843FA"/>
    <w:rsid w:val="00384473"/>
    <w:rsid w:val="003844A0"/>
    <w:rsid w:val="003844FE"/>
    <w:rsid w:val="00384518"/>
    <w:rsid w:val="00384529"/>
    <w:rsid w:val="0038458C"/>
    <w:rsid w:val="0038458F"/>
    <w:rsid w:val="0038461D"/>
    <w:rsid w:val="003846CF"/>
    <w:rsid w:val="00384724"/>
    <w:rsid w:val="0038476B"/>
    <w:rsid w:val="0038476D"/>
    <w:rsid w:val="00384783"/>
    <w:rsid w:val="00384791"/>
    <w:rsid w:val="003847DA"/>
    <w:rsid w:val="003847F0"/>
    <w:rsid w:val="00384854"/>
    <w:rsid w:val="00384871"/>
    <w:rsid w:val="0038490E"/>
    <w:rsid w:val="0038493A"/>
    <w:rsid w:val="003849EF"/>
    <w:rsid w:val="00384A73"/>
    <w:rsid w:val="00384C08"/>
    <w:rsid w:val="00384C0F"/>
    <w:rsid w:val="00384C62"/>
    <w:rsid w:val="00384C6B"/>
    <w:rsid w:val="00384CA1"/>
    <w:rsid w:val="00384CB9"/>
    <w:rsid w:val="00384D03"/>
    <w:rsid w:val="00384D5D"/>
    <w:rsid w:val="00384DB1"/>
    <w:rsid w:val="00384E63"/>
    <w:rsid w:val="00384E65"/>
    <w:rsid w:val="00384E8C"/>
    <w:rsid w:val="00384EB3"/>
    <w:rsid w:val="00384EC4"/>
    <w:rsid w:val="00384ECD"/>
    <w:rsid w:val="00384F0B"/>
    <w:rsid w:val="00384F8D"/>
    <w:rsid w:val="00385014"/>
    <w:rsid w:val="0038505E"/>
    <w:rsid w:val="0038509C"/>
    <w:rsid w:val="00385107"/>
    <w:rsid w:val="00385147"/>
    <w:rsid w:val="003851D1"/>
    <w:rsid w:val="003852B3"/>
    <w:rsid w:val="00385398"/>
    <w:rsid w:val="00385459"/>
    <w:rsid w:val="00385521"/>
    <w:rsid w:val="00385565"/>
    <w:rsid w:val="00385579"/>
    <w:rsid w:val="00385598"/>
    <w:rsid w:val="003855AC"/>
    <w:rsid w:val="00385657"/>
    <w:rsid w:val="0038568B"/>
    <w:rsid w:val="003856A0"/>
    <w:rsid w:val="003856A4"/>
    <w:rsid w:val="003856AD"/>
    <w:rsid w:val="003856B8"/>
    <w:rsid w:val="00385772"/>
    <w:rsid w:val="003857DB"/>
    <w:rsid w:val="003857E9"/>
    <w:rsid w:val="0038584D"/>
    <w:rsid w:val="00385918"/>
    <w:rsid w:val="0038591F"/>
    <w:rsid w:val="00385936"/>
    <w:rsid w:val="0038593E"/>
    <w:rsid w:val="0038593F"/>
    <w:rsid w:val="003859A8"/>
    <w:rsid w:val="003859AB"/>
    <w:rsid w:val="003859AC"/>
    <w:rsid w:val="00385A01"/>
    <w:rsid w:val="00385A0A"/>
    <w:rsid w:val="00385A4A"/>
    <w:rsid w:val="00385A5A"/>
    <w:rsid w:val="00385A7F"/>
    <w:rsid w:val="00385ABF"/>
    <w:rsid w:val="00385AC6"/>
    <w:rsid w:val="00385AE5"/>
    <w:rsid w:val="00385B65"/>
    <w:rsid w:val="00385B71"/>
    <w:rsid w:val="00385BF2"/>
    <w:rsid w:val="00385C56"/>
    <w:rsid w:val="00385C92"/>
    <w:rsid w:val="00385D13"/>
    <w:rsid w:val="00385D51"/>
    <w:rsid w:val="00385DD5"/>
    <w:rsid w:val="00385DF5"/>
    <w:rsid w:val="00385E0B"/>
    <w:rsid w:val="00385E7F"/>
    <w:rsid w:val="00385E82"/>
    <w:rsid w:val="00385E87"/>
    <w:rsid w:val="00385ECF"/>
    <w:rsid w:val="00385EE3"/>
    <w:rsid w:val="00385EFE"/>
    <w:rsid w:val="00385F17"/>
    <w:rsid w:val="00385F70"/>
    <w:rsid w:val="00385FA0"/>
    <w:rsid w:val="00386007"/>
    <w:rsid w:val="00386028"/>
    <w:rsid w:val="0038604A"/>
    <w:rsid w:val="00386089"/>
    <w:rsid w:val="003860B3"/>
    <w:rsid w:val="003860D5"/>
    <w:rsid w:val="00386133"/>
    <w:rsid w:val="00386163"/>
    <w:rsid w:val="00386181"/>
    <w:rsid w:val="003861E0"/>
    <w:rsid w:val="0038624E"/>
    <w:rsid w:val="00386288"/>
    <w:rsid w:val="003862AD"/>
    <w:rsid w:val="003862CD"/>
    <w:rsid w:val="003862D4"/>
    <w:rsid w:val="00386316"/>
    <w:rsid w:val="00386394"/>
    <w:rsid w:val="00386398"/>
    <w:rsid w:val="003863A5"/>
    <w:rsid w:val="003863DF"/>
    <w:rsid w:val="0038653E"/>
    <w:rsid w:val="00386563"/>
    <w:rsid w:val="003865B6"/>
    <w:rsid w:val="0038661A"/>
    <w:rsid w:val="00386665"/>
    <w:rsid w:val="00386773"/>
    <w:rsid w:val="003867A3"/>
    <w:rsid w:val="003867C3"/>
    <w:rsid w:val="003867C8"/>
    <w:rsid w:val="003867F9"/>
    <w:rsid w:val="0038681B"/>
    <w:rsid w:val="00386895"/>
    <w:rsid w:val="00386899"/>
    <w:rsid w:val="003868A4"/>
    <w:rsid w:val="003868B5"/>
    <w:rsid w:val="0038690A"/>
    <w:rsid w:val="0038694F"/>
    <w:rsid w:val="003869A0"/>
    <w:rsid w:val="003869C5"/>
    <w:rsid w:val="003869E1"/>
    <w:rsid w:val="00386A11"/>
    <w:rsid w:val="00386A21"/>
    <w:rsid w:val="00386A63"/>
    <w:rsid w:val="00386A69"/>
    <w:rsid w:val="00386A72"/>
    <w:rsid w:val="00386C2E"/>
    <w:rsid w:val="00386C61"/>
    <w:rsid w:val="00386D47"/>
    <w:rsid w:val="00386D51"/>
    <w:rsid w:val="00386DFB"/>
    <w:rsid w:val="00386E02"/>
    <w:rsid w:val="00386E0A"/>
    <w:rsid w:val="00386E0B"/>
    <w:rsid w:val="00386E72"/>
    <w:rsid w:val="00386E74"/>
    <w:rsid w:val="00386ECD"/>
    <w:rsid w:val="00386F5F"/>
    <w:rsid w:val="00386FB5"/>
    <w:rsid w:val="00386FBC"/>
    <w:rsid w:val="00386FE0"/>
    <w:rsid w:val="00386FF4"/>
    <w:rsid w:val="00387018"/>
    <w:rsid w:val="003870E3"/>
    <w:rsid w:val="00387145"/>
    <w:rsid w:val="003871DF"/>
    <w:rsid w:val="00387286"/>
    <w:rsid w:val="003872D9"/>
    <w:rsid w:val="00387318"/>
    <w:rsid w:val="003873ED"/>
    <w:rsid w:val="0038740C"/>
    <w:rsid w:val="0038740D"/>
    <w:rsid w:val="00387472"/>
    <w:rsid w:val="0038747B"/>
    <w:rsid w:val="003874EC"/>
    <w:rsid w:val="003874F1"/>
    <w:rsid w:val="00387506"/>
    <w:rsid w:val="00387613"/>
    <w:rsid w:val="00387666"/>
    <w:rsid w:val="00387690"/>
    <w:rsid w:val="003876AE"/>
    <w:rsid w:val="003876EA"/>
    <w:rsid w:val="00387804"/>
    <w:rsid w:val="0038780E"/>
    <w:rsid w:val="00387829"/>
    <w:rsid w:val="00387836"/>
    <w:rsid w:val="00387888"/>
    <w:rsid w:val="0038796E"/>
    <w:rsid w:val="00387972"/>
    <w:rsid w:val="00387976"/>
    <w:rsid w:val="00387988"/>
    <w:rsid w:val="003879D3"/>
    <w:rsid w:val="003879F2"/>
    <w:rsid w:val="003879F6"/>
    <w:rsid w:val="00387A38"/>
    <w:rsid w:val="00387A52"/>
    <w:rsid w:val="00387ADE"/>
    <w:rsid w:val="00387B1D"/>
    <w:rsid w:val="00387B1F"/>
    <w:rsid w:val="00387B74"/>
    <w:rsid w:val="00387BBD"/>
    <w:rsid w:val="00387BE0"/>
    <w:rsid w:val="00387D48"/>
    <w:rsid w:val="00387D93"/>
    <w:rsid w:val="00387DB4"/>
    <w:rsid w:val="00387DBB"/>
    <w:rsid w:val="00387E05"/>
    <w:rsid w:val="00387E30"/>
    <w:rsid w:val="00387E48"/>
    <w:rsid w:val="00387E80"/>
    <w:rsid w:val="00387EC6"/>
    <w:rsid w:val="00387ED1"/>
    <w:rsid w:val="00387F86"/>
    <w:rsid w:val="00387F94"/>
    <w:rsid w:val="00387FB1"/>
    <w:rsid w:val="00387FC9"/>
    <w:rsid w:val="0039005F"/>
    <w:rsid w:val="00390063"/>
    <w:rsid w:val="00390067"/>
    <w:rsid w:val="003900D5"/>
    <w:rsid w:val="003901D3"/>
    <w:rsid w:val="003901DC"/>
    <w:rsid w:val="00390223"/>
    <w:rsid w:val="0039025A"/>
    <w:rsid w:val="003902D5"/>
    <w:rsid w:val="00390360"/>
    <w:rsid w:val="0039036D"/>
    <w:rsid w:val="00390390"/>
    <w:rsid w:val="003903D0"/>
    <w:rsid w:val="003903E4"/>
    <w:rsid w:val="00390416"/>
    <w:rsid w:val="00390435"/>
    <w:rsid w:val="00390455"/>
    <w:rsid w:val="003904AD"/>
    <w:rsid w:val="003904F8"/>
    <w:rsid w:val="003905B9"/>
    <w:rsid w:val="003905C7"/>
    <w:rsid w:val="0039062E"/>
    <w:rsid w:val="0039064F"/>
    <w:rsid w:val="00390654"/>
    <w:rsid w:val="00390695"/>
    <w:rsid w:val="003906C4"/>
    <w:rsid w:val="00390740"/>
    <w:rsid w:val="003907FC"/>
    <w:rsid w:val="0039080D"/>
    <w:rsid w:val="00390812"/>
    <w:rsid w:val="0039083A"/>
    <w:rsid w:val="00390855"/>
    <w:rsid w:val="0039085D"/>
    <w:rsid w:val="003908C4"/>
    <w:rsid w:val="003908C8"/>
    <w:rsid w:val="00390949"/>
    <w:rsid w:val="0039096A"/>
    <w:rsid w:val="00390985"/>
    <w:rsid w:val="00390A17"/>
    <w:rsid w:val="00390B6D"/>
    <w:rsid w:val="00390BC5"/>
    <w:rsid w:val="00390CA3"/>
    <w:rsid w:val="00390CC6"/>
    <w:rsid w:val="00390D05"/>
    <w:rsid w:val="00390D08"/>
    <w:rsid w:val="00390D37"/>
    <w:rsid w:val="00390E07"/>
    <w:rsid w:val="00390E4F"/>
    <w:rsid w:val="00390E61"/>
    <w:rsid w:val="00390E9C"/>
    <w:rsid w:val="00390EBE"/>
    <w:rsid w:val="00390EEA"/>
    <w:rsid w:val="00390F1B"/>
    <w:rsid w:val="00390F27"/>
    <w:rsid w:val="003910BD"/>
    <w:rsid w:val="00391113"/>
    <w:rsid w:val="0039113C"/>
    <w:rsid w:val="0039116A"/>
    <w:rsid w:val="00391182"/>
    <w:rsid w:val="00391183"/>
    <w:rsid w:val="003911B7"/>
    <w:rsid w:val="003911E4"/>
    <w:rsid w:val="003912C3"/>
    <w:rsid w:val="003912F9"/>
    <w:rsid w:val="003913A2"/>
    <w:rsid w:val="003913B8"/>
    <w:rsid w:val="0039148B"/>
    <w:rsid w:val="003914B5"/>
    <w:rsid w:val="003914E3"/>
    <w:rsid w:val="00391588"/>
    <w:rsid w:val="003915A9"/>
    <w:rsid w:val="003915AE"/>
    <w:rsid w:val="00391608"/>
    <w:rsid w:val="00391673"/>
    <w:rsid w:val="00391684"/>
    <w:rsid w:val="003916AE"/>
    <w:rsid w:val="003917EA"/>
    <w:rsid w:val="0039180B"/>
    <w:rsid w:val="0039183B"/>
    <w:rsid w:val="0039190C"/>
    <w:rsid w:val="00391919"/>
    <w:rsid w:val="00391996"/>
    <w:rsid w:val="003919C0"/>
    <w:rsid w:val="00391A5E"/>
    <w:rsid w:val="00391A79"/>
    <w:rsid w:val="00391AAE"/>
    <w:rsid w:val="00391AC1"/>
    <w:rsid w:val="00391B4D"/>
    <w:rsid w:val="00391B4E"/>
    <w:rsid w:val="00391C1E"/>
    <w:rsid w:val="00391C38"/>
    <w:rsid w:val="00391CA4"/>
    <w:rsid w:val="00391CFC"/>
    <w:rsid w:val="00391D07"/>
    <w:rsid w:val="00391D1D"/>
    <w:rsid w:val="00391D62"/>
    <w:rsid w:val="00391DB0"/>
    <w:rsid w:val="00391DC2"/>
    <w:rsid w:val="00391DC7"/>
    <w:rsid w:val="00391DF8"/>
    <w:rsid w:val="00391E2A"/>
    <w:rsid w:val="00391E61"/>
    <w:rsid w:val="00391EE9"/>
    <w:rsid w:val="00391F48"/>
    <w:rsid w:val="00391F7B"/>
    <w:rsid w:val="00391F96"/>
    <w:rsid w:val="00392005"/>
    <w:rsid w:val="00392009"/>
    <w:rsid w:val="00392086"/>
    <w:rsid w:val="003920BD"/>
    <w:rsid w:val="003920DD"/>
    <w:rsid w:val="0039211E"/>
    <w:rsid w:val="0039212B"/>
    <w:rsid w:val="00392172"/>
    <w:rsid w:val="00392174"/>
    <w:rsid w:val="003922D3"/>
    <w:rsid w:val="003922E8"/>
    <w:rsid w:val="003922EA"/>
    <w:rsid w:val="0039239B"/>
    <w:rsid w:val="00392435"/>
    <w:rsid w:val="00392441"/>
    <w:rsid w:val="00392475"/>
    <w:rsid w:val="00392502"/>
    <w:rsid w:val="0039250C"/>
    <w:rsid w:val="00392554"/>
    <w:rsid w:val="00392558"/>
    <w:rsid w:val="00392565"/>
    <w:rsid w:val="00392570"/>
    <w:rsid w:val="00392585"/>
    <w:rsid w:val="003925A9"/>
    <w:rsid w:val="003925E7"/>
    <w:rsid w:val="0039266D"/>
    <w:rsid w:val="0039268C"/>
    <w:rsid w:val="003926C6"/>
    <w:rsid w:val="003926FF"/>
    <w:rsid w:val="00392736"/>
    <w:rsid w:val="00392783"/>
    <w:rsid w:val="00392853"/>
    <w:rsid w:val="003928E7"/>
    <w:rsid w:val="0039290C"/>
    <w:rsid w:val="00392948"/>
    <w:rsid w:val="0039294C"/>
    <w:rsid w:val="00392952"/>
    <w:rsid w:val="00392991"/>
    <w:rsid w:val="003929C8"/>
    <w:rsid w:val="00392A04"/>
    <w:rsid w:val="00392A4C"/>
    <w:rsid w:val="00392A5F"/>
    <w:rsid w:val="00392A61"/>
    <w:rsid w:val="00392A89"/>
    <w:rsid w:val="00392B15"/>
    <w:rsid w:val="00392B3A"/>
    <w:rsid w:val="00392C3B"/>
    <w:rsid w:val="00392C82"/>
    <w:rsid w:val="00392CB7"/>
    <w:rsid w:val="00392CF0"/>
    <w:rsid w:val="00392DC0"/>
    <w:rsid w:val="00392DDC"/>
    <w:rsid w:val="00392E2E"/>
    <w:rsid w:val="00392E3C"/>
    <w:rsid w:val="00392E6E"/>
    <w:rsid w:val="00392EC4"/>
    <w:rsid w:val="00392F53"/>
    <w:rsid w:val="00392FF8"/>
    <w:rsid w:val="00392FFC"/>
    <w:rsid w:val="0039301C"/>
    <w:rsid w:val="0039301D"/>
    <w:rsid w:val="0039307A"/>
    <w:rsid w:val="003930B0"/>
    <w:rsid w:val="003930E9"/>
    <w:rsid w:val="003930F1"/>
    <w:rsid w:val="003930F4"/>
    <w:rsid w:val="00393161"/>
    <w:rsid w:val="0039316E"/>
    <w:rsid w:val="00393179"/>
    <w:rsid w:val="003931D9"/>
    <w:rsid w:val="003932AB"/>
    <w:rsid w:val="00393308"/>
    <w:rsid w:val="0039332B"/>
    <w:rsid w:val="003933BF"/>
    <w:rsid w:val="00393453"/>
    <w:rsid w:val="00393475"/>
    <w:rsid w:val="00393482"/>
    <w:rsid w:val="00393495"/>
    <w:rsid w:val="00393525"/>
    <w:rsid w:val="00393538"/>
    <w:rsid w:val="0039355D"/>
    <w:rsid w:val="003935E0"/>
    <w:rsid w:val="00393618"/>
    <w:rsid w:val="0039367B"/>
    <w:rsid w:val="003936B7"/>
    <w:rsid w:val="003936C6"/>
    <w:rsid w:val="003936D0"/>
    <w:rsid w:val="003937FB"/>
    <w:rsid w:val="0039386F"/>
    <w:rsid w:val="00393963"/>
    <w:rsid w:val="003939EC"/>
    <w:rsid w:val="00393B0C"/>
    <w:rsid w:val="00393B23"/>
    <w:rsid w:val="00393B44"/>
    <w:rsid w:val="00393B83"/>
    <w:rsid w:val="00393BB5"/>
    <w:rsid w:val="00393C4F"/>
    <w:rsid w:val="00393C5E"/>
    <w:rsid w:val="00393C72"/>
    <w:rsid w:val="00393CAF"/>
    <w:rsid w:val="00393D05"/>
    <w:rsid w:val="00393D33"/>
    <w:rsid w:val="00393D53"/>
    <w:rsid w:val="00393D9C"/>
    <w:rsid w:val="00393DE4"/>
    <w:rsid w:val="00393E97"/>
    <w:rsid w:val="00393EC8"/>
    <w:rsid w:val="00393EED"/>
    <w:rsid w:val="00393EF7"/>
    <w:rsid w:val="00393F0A"/>
    <w:rsid w:val="00393F13"/>
    <w:rsid w:val="00393F9D"/>
    <w:rsid w:val="00393F9F"/>
    <w:rsid w:val="00393FD8"/>
    <w:rsid w:val="00394079"/>
    <w:rsid w:val="00394109"/>
    <w:rsid w:val="00394129"/>
    <w:rsid w:val="00394133"/>
    <w:rsid w:val="0039413C"/>
    <w:rsid w:val="00394170"/>
    <w:rsid w:val="003941B3"/>
    <w:rsid w:val="003941BB"/>
    <w:rsid w:val="003941D6"/>
    <w:rsid w:val="003941E4"/>
    <w:rsid w:val="00394213"/>
    <w:rsid w:val="0039421B"/>
    <w:rsid w:val="00394232"/>
    <w:rsid w:val="003942BB"/>
    <w:rsid w:val="003942FF"/>
    <w:rsid w:val="00394351"/>
    <w:rsid w:val="00394363"/>
    <w:rsid w:val="0039439A"/>
    <w:rsid w:val="0039439E"/>
    <w:rsid w:val="003943EE"/>
    <w:rsid w:val="003943FD"/>
    <w:rsid w:val="00394405"/>
    <w:rsid w:val="00394487"/>
    <w:rsid w:val="0039448A"/>
    <w:rsid w:val="003944DB"/>
    <w:rsid w:val="003944FD"/>
    <w:rsid w:val="00394534"/>
    <w:rsid w:val="003945F8"/>
    <w:rsid w:val="00394611"/>
    <w:rsid w:val="00394686"/>
    <w:rsid w:val="003946B7"/>
    <w:rsid w:val="003946DC"/>
    <w:rsid w:val="003946EE"/>
    <w:rsid w:val="003946FC"/>
    <w:rsid w:val="00394733"/>
    <w:rsid w:val="00394739"/>
    <w:rsid w:val="0039474F"/>
    <w:rsid w:val="00394762"/>
    <w:rsid w:val="00394790"/>
    <w:rsid w:val="0039484A"/>
    <w:rsid w:val="00394893"/>
    <w:rsid w:val="003948B1"/>
    <w:rsid w:val="0039493F"/>
    <w:rsid w:val="00394AA1"/>
    <w:rsid w:val="00394AA6"/>
    <w:rsid w:val="00394ABC"/>
    <w:rsid w:val="00394AC6"/>
    <w:rsid w:val="00394AFD"/>
    <w:rsid w:val="00394B08"/>
    <w:rsid w:val="00394B84"/>
    <w:rsid w:val="00394BF0"/>
    <w:rsid w:val="00394C4E"/>
    <w:rsid w:val="00394C93"/>
    <w:rsid w:val="00394CE6"/>
    <w:rsid w:val="00394CEB"/>
    <w:rsid w:val="00394D21"/>
    <w:rsid w:val="00394DBF"/>
    <w:rsid w:val="00394E06"/>
    <w:rsid w:val="00394E31"/>
    <w:rsid w:val="00394F04"/>
    <w:rsid w:val="00394F0E"/>
    <w:rsid w:val="00394F44"/>
    <w:rsid w:val="00394F7B"/>
    <w:rsid w:val="00394FE8"/>
    <w:rsid w:val="00395018"/>
    <w:rsid w:val="0039503E"/>
    <w:rsid w:val="0039505E"/>
    <w:rsid w:val="0039507A"/>
    <w:rsid w:val="0039515D"/>
    <w:rsid w:val="003951B1"/>
    <w:rsid w:val="003951B2"/>
    <w:rsid w:val="003951C2"/>
    <w:rsid w:val="003951FB"/>
    <w:rsid w:val="0039529F"/>
    <w:rsid w:val="003952CA"/>
    <w:rsid w:val="003952FD"/>
    <w:rsid w:val="00395348"/>
    <w:rsid w:val="00395381"/>
    <w:rsid w:val="003953C6"/>
    <w:rsid w:val="00395406"/>
    <w:rsid w:val="00395495"/>
    <w:rsid w:val="003954B8"/>
    <w:rsid w:val="00395514"/>
    <w:rsid w:val="0039558D"/>
    <w:rsid w:val="003955BF"/>
    <w:rsid w:val="0039560E"/>
    <w:rsid w:val="0039579E"/>
    <w:rsid w:val="003957F8"/>
    <w:rsid w:val="00395877"/>
    <w:rsid w:val="0039587F"/>
    <w:rsid w:val="003958B9"/>
    <w:rsid w:val="0039591D"/>
    <w:rsid w:val="00395947"/>
    <w:rsid w:val="0039596B"/>
    <w:rsid w:val="003959AD"/>
    <w:rsid w:val="00395A1B"/>
    <w:rsid w:val="00395AA2"/>
    <w:rsid w:val="00395AC8"/>
    <w:rsid w:val="00395B0C"/>
    <w:rsid w:val="00395B65"/>
    <w:rsid w:val="00395BCE"/>
    <w:rsid w:val="00395C0A"/>
    <w:rsid w:val="00395D7E"/>
    <w:rsid w:val="00395D82"/>
    <w:rsid w:val="00395F2D"/>
    <w:rsid w:val="00395F5E"/>
    <w:rsid w:val="00395F92"/>
    <w:rsid w:val="00395FCD"/>
    <w:rsid w:val="00395FD8"/>
    <w:rsid w:val="00395FEF"/>
    <w:rsid w:val="00395FFB"/>
    <w:rsid w:val="0039600F"/>
    <w:rsid w:val="00396080"/>
    <w:rsid w:val="003960AE"/>
    <w:rsid w:val="00396157"/>
    <w:rsid w:val="00396184"/>
    <w:rsid w:val="0039621C"/>
    <w:rsid w:val="00396225"/>
    <w:rsid w:val="0039631A"/>
    <w:rsid w:val="00396397"/>
    <w:rsid w:val="003963F2"/>
    <w:rsid w:val="003963F3"/>
    <w:rsid w:val="0039645F"/>
    <w:rsid w:val="0039647B"/>
    <w:rsid w:val="003964F5"/>
    <w:rsid w:val="003965CD"/>
    <w:rsid w:val="003965F0"/>
    <w:rsid w:val="003965F8"/>
    <w:rsid w:val="003965FC"/>
    <w:rsid w:val="003966C7"/>
    <w:rsid w:val="003966CE"/>
    <w:rsid w:val="003967F0"/>
    <w:rsid w:val="00396800"/>
    <w:rsid w:val="00396825"/>
    <w:rsid w:val="0039682B"/>
    <w:rsid w:val="0039685B"/>
    <w:rsid w:val="0039687E"/>
    <w:rsid w:val="00396909"/>
    <w:rsid w:val="00396916"/>
    <w:rsid w:val="0039691A"/>
    <w:rsid w:val="0039691F"/>
    <w:rsid w:val="00396941"/>
    <w:rsid w:val="0039697D"/>
    <w:rsid w:val="003969B0"/>
    <w:rsid w:val="003969DA"/>
    <w:rsid w:val="003969F6"/>
    <w:rsid w:val="00396A59"/>
    <w:rsid w:val="00396A84"/>
    <w:rsid w:val="00396A8B"/>
    <w:rsid w:val="00396A93"/>
    <w:rsid w:val="00396A9B"/>
    <w:rsid w:val="00396AB4"/>
    <w:rsid w:val="00396AC0"/>
    <w:rsid w:val="00396B40"/>
    <w:rsid w:val="00396C00"/>
    <w:rsid w:val="00396C6C"/>
    <w:rsid w:val="00396CB5"/>
    <w:rsid w:val="00396D1D"/>
    <w:rsid w:val="00396DC7"/>
    <w:rsid w:val="00396DCF"/>
    <w:rsid w:val="00396E52"/>
    <w:rsid w:val="00396EF6"/>
    <w:rsid w:val="00396F29"/>
    <w:rsid w:val="00396F45"/>
    <w:rsid w:val="00396F50"/>
    <w:rsid w:val="00396FF4"/>
    <w:rsid w:val="00397016"/>
    <w:rsid w:val="00397055"/>
    <w:rsid w:val="00397064"/>
    <w:rsid w:val="0039707C"/>
    <w:rsid w:val="0039714E"/>
    <w:rsid w:val="003971B1"/>
    <w:rsid w:val="003971FA"/>
    <w:rsid w:val="003972A9"/>
    <w:rsid w:val="003972FD"/>
    <w:rsid w:val="0039734E"/>
    <w:rsid w:val="003973D1"/>
    <w:rsid w:val="003973E6"/>
    <w:rsid w:val="003973F7"/>
    <w:rsid w:val="00397406"/>
    <w:rsid w:val="00397432"/>
    <w:rsid w:val="00397468"/>
    <w:rsid w:val="00397496"/>
    <w:rsid w:val="0039749C"/>
    <w:rsid w:val="003974B8"/>
    <w:rsid w:val="003975BF"/>
    <w:rsid w:val="003975F5"/>
    <w:rsid w:val="003975F9"/>
    <w:rsid w:val="00397665"/>
    <w:rsid w:val="00397677"/>
    <w:rsid w:val="00397693"/>
    <w:rsid w:val="00397752"/>
    <w:rsid w:val="003977FE"/>
    <w:rsid w:val="0039781D"/>
    <w:rsid w:val="00397855"/>
    <w:rsid w:val="00397892"/>
    <w:rsid w:val="003978EF"/>
    <w:rsid w:val="00397923"/>
    <w:rsid w:val="003979EB"/>
    <w:rsid w:val="00397A87"/>
    <w:rsid w:val="00397AAE"/>
    <w:rsid w:val="00397AD3"/>
    <w:rsid w:val="00397B39"/>
    <w:rsid w:val="00397B3C"/>
    <w:rsid w:val="00397B80"/>
    <w:rsid w:val="00397BCA"/>
    <w:rsid w:val="00397BEB"/>
    <w:rsid w:val="00397C13"/>
    <w:rsid w:val="00397C80"/>
    <w:rsid w:val="00397C83"/>
    <w:rsid w:val="00397CA4"/>
    <w:rsid w:val="00397CAD"/>
    <w:rsid w:val="00397CB7"/>
    <w:rsid w:val="00397DD4"/>
    <w:rsid w:val="00397E3D"/>
    <w:rsid w:val="00397F1C"/>
    <w:rsid w:val="00397F2E"/>
    <w:rsid w:val="00397F57"/>
    <w:rsid w:val="00397F78"/>
    <w:rsid w:val="003A0077"/>
    <w:rsid w:val="003A00BC"/>
    <w:rsid w:val="003A011A"/>
    <w:rsid w:val="003A015D"/>
    <w:rsid w:val="003A01A2"/>
    <w:rsid w:val="003A0218"/>
    <w:rsid w:val="003A02AB"/>
    <w:rsid w:val="003A02B7"/>
    <w:rsid w:val="003A02CE"/>
    <w:rsid w:val="003A0308"/>
    <w:rsid w:val="003A0346"/>
    <w:rsid w:val="003A038F"/>
    <w:rsid w:val="003A03DB"/>
    <w:rsid w:val="003A040F"/>
    <w:rsid w:val="003A0410"/>
    <w:rsid w:val="003A0454"/>
    <w:rsid w:val="003A0490"/>
    <w:rsid w:val="003A0496"/>
    <w:rsid w:val="003A04F6"/>
    <w:rsid w:val="003A0524"/>
    <w:rsid w:val="003A0527"/>
    <w:rsid w:val="003A0532"/>
    <w:rsid w:val="003A0591"/>
    <w:rsid w:val="003A05AD"/>
    <w:rsid w:val="003A05F6"/>
    <w:rsid w:val="003A0652"/>
    <w:rsid w:val="003A0674"/>
    <w:rsid w:val="003A0725"/>
    <w:rsid w:val="003A072A"/>
    <w:rsid w:val="003A0731"/>
    <w:rsid w:val="003A0756"/>
    <w:rsid w:val="003A0791"/>
    <w:rsid w:val="003A07DE"/>
    <w:rsid w:val="003A084B"/>
    <w:rsid w:val="003A0880"/>
    <w:rsid w:val="003A08B5"/>
    <w:rsid w:val="003A08B8"/>
    <w:rsid w:val="003A0902"/>
    <w:rsid w:val="003A0936"/>
    <w:rsid w:val="003A0998"/>
    <w:rsid w:val="003A0A08"/>
    <w:rsid w:val="003A0A19"/>
    <w:rsid w:val="003A0A69"/>
    <w:rsid w:val="003A0B1F"/>
    <w:rsid w:val="003A0B61"/>
    <w:rsid w:val="003A0BA1"/>
    <w:rsid w:val="003A0C3F"/>
    <w:rsid w:val="003A0C40"/>
    <w:rsid w:val="003A0C88"/>
    <w:rsid w:val="003A0D97"/>
    <w:rsid w:val="003A0E3D"/>
    <w:rsid w:val="003A0E86"/>
    <w:rsid w:val="003A0EB6"/>
    <w:rsid w:val="003A0ECF"/>
    <w:rsid w:val="003A0F2C"/>
    <w:rsid w:val="003A0F56"/>
    <w:rsid w:val="003A0F96"/>
    <w:rsid w:val="003A1071"/>
    <w:rsid w:val="003A1077"/>
    <w:rsid w:val="003A10EA"/>
    <w:rsid w:val="003A1107"/>
    <w:rsid w:val="003A11CF"/>
    <w:rsid w:val="003A11EB"/>
    <w:rsid w:val="003A129B"/>
    <w:rsid w:val="003A12F9"/>
    <w:rsid w:val="003A1349"/>
    <w:rsid w:val="003A13A2"/>
    <w:rsid w:val="003A13BD"/>
    <w:rsid w:val="003A140D"/>
    <w:rsid w:val="003A14AA"/>
    <w:rsid w:val="003A1523"/>
    <w:rsid w:val="003A15CC"/>
    <w:rsid w:val="003A161F"/>
    <w:rsid w:val="003A1623"/>
    <w:rsid w:val="003A1660"/>
    <w:rsid w:val="003A167C"/>
    <w:rsid w:val="003A1720"/>
    <w:rsid w:val="003A173C"/>
    <w:rsid w:val="003A1744"/>
    <w:rsid w:val="003A183C"/>
    <w:rsid w:val="003A1845"/>
    <w:rsid w:val="003A18AF"/>
    <w:rsid w:val="003A18FD"/>
    <w:rsid w:val="003A190C"/>
    <w:rsid w:val="003A1961"/>
    <w:rsid w:val="003A19A6"/>
    <w:rsid w:val="003A19B1"/>
    <w:rsid w:val="003A19F4"/>
    <w:rsid w:val="003A1A27"/>
    <w:rsid w:val="003A1ADC"/>
    <w:rsid w:val="003A1AEB"/>
    <w:rsid w:val="003A1B05"/>
    <w:rsid w:val="003A1B49"/>
    <w:rsid w:val="003A1B54"/>
    <w:rsid w:val="003A1B6A"/>
    <w:rsid w:val="003A1BD6"/>
    <w:rsid w:val="003A1BFD"/>
    <w:rsid w:val="003A1C42"/>
    <w:rsid w:val="003A1C54"/>
    <w:rsid w:val="003A1C82"/>
    <w:rsid w:val="003A1CE1"/>
    <w:rsid w:val="003A1CF5"/>
    <w:rsid w:val="003A1D0F"/>
    <w:rsid w:val="003A1D4F"/>
    <w:rsid w:val="003A1D7B"/>
    <w:rsid w:val="003A1D96"/>
    <w:rsid w:val="003A1DD5"/>
    <w:rsid w:val="003A1DDA"/>
    <w:rsid w:val="003A1E10"/>
    <w:rsid w:val="003A1E85"/>
    <w:rsid w:val="003A1E89"/>
    <w:rsid w:val="003A1E9A"/>
    <w:rsid w:val="003A1F34"/>
    <w:rsid w:val="003A2030"/>
    <w:rsid w:val="003A2112"/>
    <w:rsid w:val="003A2278"/>
    <w:rsid w:val="003A227D"/>
    <w:rsid w:val="003A22B5"/>
    <w:rsid w:val="003A2300"/>
    <w:rsid w:val="003A2365"/>
    <w:rsid w:val="003A2391"/>
    <w:rsid w:val="003A239E"/>
    <w:rsid w:val="003A23EC"/>
    <w:rsid w:val="003A244F"/>
    <w:rsid w:val="003A248C"/>
    <w:rsid w:val="003A24A6"/>
    <w:rsid w:val="003A24EB"/>
    <w:rsid w:val="003A250D"/>
    <w:rsid w:val="003A2551"/>
    <w:rsid w:val="003A2677"/>
    <w:rsid w:val="003A2687"/>
    <w:rsid w:val="003A269A"/>
    <w:rsid w:val="003A27B8"/>
    <w:rsid w:val="003A27BE"/>
    <w:rsid w:val="003A27CC"/>
    <w:rsid w:val="003A2812"/>
    <w:rsid w:val="003A2833"/>
    <w:rsid w:val="003A2877"/>
    <w:rsid w:val="003A2897"/>
    <w:rsid w:val="003A28DF"/>
    <w:rsid w:val="003A28E0"/>
    <w:rsid w:val="003A295C"/>
    <w:rsid w:val="003A299B"/>
    <w:rsid w:val="003A29AC"/>
    <w:rsid w:val="003A29C8"/>
    <w:rsid w:val="003A29DC"/>
    <w:rsid w:val="003A2A28"/>
    <w:rsid w:val="003A2A29"/>
    <w:rsid w:val="003A2A40"/>
    <w:rsid w:val="003A2A58"/>
    <w:rsid w:val="003A2A93"/>
    <w:rsid w:val="003A2AC5"/>
    <w:rsid w:val="003A2B07"/>
    <w:rsid w:val="003A2B46"/>
    <w:rsid w:val="003A2B7C"/>
    <w:rsid w:val="003A2BF6"/>
    <w:rsid w:val="003A2C1D"/>
    <w:rsid w:val="003A2C7A"/>
    <w:rsid w:val="003A2D0A"/>
    <w:rsid w:val="003A2D4A"/>
    <w:rsid w:val="003A2D5A"/>
    <w:rsid w:val="003A2D69"/>
    <w:rsid w:val="003A2D6A"/>
    <w:rsid w:val="003A2D9D"/>
    <w:rsid w:val="003A2DC2"/>
    <w:rsid w:val="003A2DEC"/>
    <w:rsid w:val="003A2DFE"/>
    <w:rsid w:val="003A2E1C"/>
    <w:rsid w:val="003A2E3C"/>
    <w:rsid w:val="003A2ED8"/>
    <w:rsid w:val="003A2F03"/>
    <w:rsid w:val="003A2F0C"/>
    <w:rsid w:val="003A2F37"/>
    <w:rsid w:val="003A2FC7"/>
    <w:rsid w:val="003A2FF0"/>
    <w:rsid w:val="003A2FF7"/>
    <w:rsid w:val="003A3020"/>
    <w:rsid w:val="003A3037"/>
    <w:rsid w:val="003A3119"/>
    <w:rsid w:val="003A3156"/>
    <w:rsid w:val="003A315B"/>
    <w:rsid w:val="003A326A"/>
    <w:rsid w:val="003A32B6"/>
    <w:rsid w:val="003A32C4"/>
    <w:rsid w:val="003A32D6"/>
    <w:rsid w:val="003A332C"/>
    <w:rsid w:val="003A335E"/>
    <w:rsid w:val="003A3440"/>
    <w:rsid w:val="003A34CB"/>
    <w:rsid w:val="003A34E7"/>
    <w:rsid w:val="003A35C2"/>
    <w:rsid w:val="003A35E5"/>
    <w:rsid w:val="003A3604"/>
    <w:rsid w:val="003A3621"/>
    <w:rsid w:val="003A3662"/>
    <w:rsid w:val="003A36D8"/>
    <w:rsid w:val="003A36E2"/>
    <w:rsid w:val="003A372E"/>
    <w:rsid w:val="003A3737"/>
    <w:rsid w:val="003A373C"/>
    <w:rsid w:val="003A3747"/>
    <w:rsid w:val="003A3755"/>
    <w:rsid w:val="003A37AC"/>
    <w:rsid w:val="003A37C9"/>
    <w:rsid w:val="003A3832"/>
    <w:rsid w:val="003A38B0"/>
    <w:rsid w:val="003A38B8"/>
    <w:rsid w:val="003A3926"/>
    <w:rsid w:val="003A3947"/>
    <w:rsid w:val="003A3982"/>
    <w:rsid w:val="003A39D4"/>
    <w:rsid w:val="003A39E7"/>
    <w:rsid w:val="003A39EE"/>
    <w:rsid w:val="003A3A18"/>
    <w:rsid w:val="003A3A35"/>
    <w:rsid w:val="003A3A51"/>
    <w:rsid w:val="003A3A56"/>
    <w:rsid w:val="003A3A8E"/>
    <w:rsid w:val="003A3ABA"/>
    <w:rsid w:val="003A3ACE"/>
    <w:rsid w:val="003A3B32"/>
    <w:rsid w:val="003A3B7D"/>
    <w:rsid w:val="003A3C04"/>
    <w:rsid w:val="003A3C35"/>
    <w:rsid w:val="003A3C73"/>
    <w:rsid w:val="003A3C7B"/>
    <w:rsid w:val="003A3C88"/>
    <w:rsid w:val="003A3CD6"/>
    <w:rsid w:val="003A3D00"/>
    <w:rsid w:val="003A3D1B"/>
    <w:rsid w:val="003A3DB7"/>
    <w:rsid w:val="003A3F6A"/>
    <w:rsid w:val="003A3FA0"/>
    <w:rsid w:val="003A4103"/>
    <w:rsid w:val="003A4118"/>
    <w:rsid w:val="003A4126"/>
    <w:rsid w:val="003A4192"/>
    <w:rsid w:val="003A4197"/>
    <w:rsid w:val="003A424A"/>
    <w:rsid w:val="003A424C"/>
    <w:rsid w:val="003A42A1"/>
    <w:rsid w:val="003A435D"/>
    <w:rsid w:val="003A4371"/>
    <w:rsid w:val="003A43E9"/>
    <w:rsid w:val="003A4400"/>
    <w:rsid w:val="003A4488"/>
    <w:rsid w:val="003A44F5"/>
    <w:rsid w:val="003A4516"/>
    <w:rsid w:val="003A452D"/>
    <w:rsid w:val="003A4599"/>
    <w:rsid w:val="003A45AC"/>
    <w:rsid w:val="003A45EB"/>
    <w:rsid w:val="003A4602"/>
    <w:rsid w:val="003A465D"/>
    <w:rsid w:val="003A46D0"/>
    <w:rsid w:val="003A46D4"/>
    <w:rsid w:val="003A4763"/>
    <w:rsid w:val="003A47AA"/>
    <w:rsid w:val="003A4922"/>
    <w:rsid w:val="003A496C"/>
    <w:rsid w:val="003A4999"/>
    <w:rsid w:val="003A4A3B"/>
    <w:rsid w:val="003A4A4A"/>
    <w:rsid w:val="003A4A65"/>
    <w:rsid w:val="003A4A76"/>
    <w:rsid w:val="003A4A83"/>
    <w:rsid w:val="003A4AC6"/>
    <w:rsid w:val="003A4B20"/>
    <w:rsid w:val="003A4C1F"/>
    <w:rsid w:val="003A4C44"/>
    <w:rsid w:val="003A4C6F"/>
    <w:rsid w:val="003A4D7B"/>
    <w:rsid w:val="003A4D83"/>
    <w:rsid w:val="003A4D89"/>
    <w:rsid w:val="003A4D96"/>
    <w:rsid w:val="003A4E38"/>
    <w:rsid w:val="003A4EBA"/>
    <w:rsid w:val="003A4EF9"/>
    <w:rsid w:val="003A4F50"/>
    <w:rsid w:val="003A4F75"/>
    <w:rsid w:val="003A4FEA"/>
    <w:rsid w:val="003A5017"/>
    <w:rsid w:val="003A5064"/>
    <w:rsid w:val="003A508D"/>
    <w:rsid w:val="003A50A3"/>
    <w:rsid w:val="003A5138"/>
    <w:rsid w:val="003A5197"/>
    <w:rsid w:val="003A519D"/>
    <w:rsid w:val="003A51A0"/>
    <w:rsid w:val="003A51A3"/>
    <w:rsid w:val="003A51A8"/>
    <w:rsid w:val="003A51D5"/>
    <w:rsid w:val="003A51F7"/>
    <w:rsid w:val="003A521D"/>
    <w:rsid w:val="003A52EC"/>
    <w:rsid w:val="003A533D"/>
    <w:rsid w:val="003A5347"/>
    <w:rsid w:val="003A5395"/>
    <w:rsid w:val="003A5461"/>
    <w:rsid w:val="003A54A6"/>
    <w:rsid w:val="003A54B7"/>
    <w:rsid w:val="003A54C1"/>
    <w:rsid w:val="003A54E6"/>
    <w:rsid w:val="003A54F5"/>
    <w:rsid w:val="003A5531"/>
    <w:rsid w:val="003A566E"/>
    <w:rsid w:val="003A568F"/>
    <w:rsid w:val="003A56C8"/>
    <w:rsid w:val="003A5744"/>
    <w:rsid w:val="003A57BC"/>
    <w:rsid w:val="003A57E5"/>
    <w:rsid w:val="003A57EA"/>
    <w:rsid w:val="003A593E"/>
    <w:rsid w:val="003A5979"/>
    <w:rsid w:val="003A59D9"/>
    <w:rsid w:val="003A59E5"/>
    <w:rsid w:val="003A5A7F"/>
    <w:rsid w:val="003A5AD1"/>
    <w:rsid w:val="003A5B2F"/>
    <w:rsid w:val="003A5B32"/>
    <w:rsid w:val="003A5B9F"/>
    <w:rsid w:val="003A5BB4"/>
    <w:rsid w:val="003A5BD4"/>
    <w:rsid w:val="003A5BE9"/>
    <w:rsid w:val="003A5BF6"/>
    <w:rsid w:val="003A5C00"/>
    <w:rsid w:val="003A5C12"/>
    <w:rsid w:val="003A5C5A"/>
    <w:rsid w:val="003A5CAC"/>
    <w:rsid w:val="003A5D27"/>
    <w:rsid w:val="003A5D44"/>
    <w:rsid w:val="003A5E11"/>
    <w:rsid w:val="003A5E8F"/>
    <w:rsid w:val="003A5EAD"/>
    <w:rsid w:val="003A5F4A"/>
    <w:rsid w:val="003A5FD6"/>
    <w:rsid w:val="003A605D"/>
    <w:rsid w:val="003A6065"/>
    <w:rsid w:val="003A60DA"/>
    <w:rsid w:val="003A6101"/>
    <w:rsid w:val="003A61C2"/>
    <w:rsid w:val="003A61F9"/>
    <w:rsid w:val="003A6219"/>
    <w:rsid w:val="003A62B2"/>
    <w:rsid w:val="003A62C8"/>
    <w:rsid w:val="003A62D7"/>
    <w:rsid w:val="003A62DC"/>
    <w:rsid w:val="003A6304"/>
    <w:rsid w:val="003A63A3"/>
    <w:rsid w:val="003A63E7"/>
    <w:rsid w:val="003A644D"/>
    <w:rsid w:val="003A64BF"/>
    <w:rsid w:val="003A6559"/>
    <w:rsid w:val="003A65B9"/>
    <w:rsid w:val="003A65BA"/>
    <w:rsid w:val="003A65D0"/>
    <w:rsid w:val="003A66A3"/>
    <w:rsid w:val="003A66D3"/>
    <w:rsid w:val="003A6722"/>
    <w:rsid w:val="003A6785"/>
    <w:rsid w:val="003A6864"/>
    <w:rsid w:val="003A688A"/>
    <w:rsid w:val="003A6915"/>
    <w:rsid w:val="003A6923"/>
    <w:rsid w:val="003A693C"/>
    <w:rsid w:val="003A6957"/>
    <w:rsid w:val="003A698F"/>
    <w:rsid w:val="003A6A20"/>
    <w:rsid w:val="003A6A62"/>
    <w:rsid w:val="003A6B0B"/>
    <w:rsid w:val="003A6B11"/>
    <w:rsid w:val="003A6B3F"/>
    <w:rsid w:val="003A6B44"/>
    <w:rsid w:val="003A6B83"/>
    <w:rsid w:val="003A6B93"/>
    <w:rsid w:val="003A6BBF"/>
    <w:rsid w:val="003A6BC8"/>
    <w:rsid w:val="003A6BD4"/>
    <w:rsid w:val="003A6BDC"/>
    <w:rsid w:val="003A6BE6"/>
    <w:rsid w:val="003A6D14"/>
    <w:rsid w:val="003A6D54"/>
    <w:rsid w:val="003A6D55"/>
    <w:rsid w:val="003A6DA7"/>
    <w:rsid w:val="003A6E0B"/>
    <w:rsid w:val="003A6E4D"/>
    <w:rsid w:val="003A6E6C"/>
    <w:rsid w:val="003A6E7A"/>
    <w:rsid w:val="003A6ECB"/>
    <w:rsid w:val="003A6F3F"/>
    <w:rsid w:val="003A6F8A"/>
    <w:rsid w:val="003A6FCD"/>
    <w:rsid w:val="003A6FD1"/>
    <w:rsid w:val="003A6FED"/>
    <w:rsid w:val="003A7060"/>
    <w:rsid w:val="003A70D2"/>
    <w:rsid w:val="003A7131"/>
    <w:rsid w:val="003A714B"/>
    <w:rsid w:val="003A71BE"/>
    <w:rsid w:val="003A7268"/>
    <w:rsid w:val="003A7274"/>
    <w:rsid w:val="003A7371"/>
    <w:rsid w:val="003A737C"/>
    <w:rsid w:val="003A738C"/>
    <w:rsid w:val="003A73D5"/>
    <w:rsid w:val="003A73FB"/>
    <w:rsid w:val="003A7449"/>
    <w:rsid w:val="003A7463"/>
    <w:rsid w:val="003A746E"/>
    <w:rsid w:val="003A7493"/>
    <w:rsid w:val="003A749C"/>
    <w:rsid w:val="003A74A3"/>
    <w:rsid w:val="003A74D7"/>
    <w:rsid w:val="003A74E6"/>
    <w:rsid w:val="003A74FE"/>
    <w:rsid w:val="003A75A6"/>
    <w:rsid w:val="003A75D8"/>
    <w:rsid w:val="003A764A"/>
    <w:rsid w:val="003A7690"/>
    <w:rsid w:val="003A76AA"/>
    <w:rsid w:val="003A76B5"/>
    <w:rsid w:val="003A76F7"/>
    <w:rsid w:val="003A779D"/>
    <w:rsid w:val="003A781F"/>
    <w:rsid w:val="003A7855"/>
    <w:rsid w:val="003A785C"/>
    <w:rsid w:val="003A787D"/>
    <w:rsid w:val="003A78E5"/>
    <w:rsid w:val="003A7965"/>
    <w:rsid w:val="003A7979"/>
    <w:rsid w:val="003A79B7"/>
    <w:rsid w:val="003A7A7C"/>
    <w:rsid w:val="003A7AE7"/>
    <w:rsid w:val="003A7AEF"/>
    <w:rsid w:val="003A7B3C"/>
    <w:rsid w:val="003A7B50"/>
    <w:rsid w:val="003A7BAF"/>
    <w:rsid w:val="003A7C52"/>
    <w:rsid w:val="003A7C5A"/>
    <w:rsid w:val="003A7D00"/>
    <w:rsid w:val="003A7D0D"/>
    <w:rsid w:val="003A7D2A"/>
    <w:rsid w:val="003A7DA0"/>
    <w:rsid w:val="003A7DAC"/>
    <w:rsid w:val="003A7DE8"/>
    <w:rsid w:val="003A7DED"/>
    <w:rsid w:val="003A7DEE"/>
    <w:rsid w:val="003A7EAA"/>
    <w:rsid w:val="003A7ECE"/>
    <w:rsid w:val="003A7EFD"/>
    <w:rsid w:val="003A7FB0"/>
    <w:rsid w:val="003A7FF5"/>
    <w:rsid w:val="003B0024"/>
    <w:rsid w:val="003B0048"/>
    <w:rsid w:val="003B011D"/>
    <w:rsid w:val="003B0155"/>
    <w:rsid w:val="003B0169"/>
    <w:rsid w:val="003B01A4"/>
    <w:rsid w:val="003B01A8"/>
    <w:rsid w:val="003B01F3"/>
    <w:rsid w:val="003B027A"/>
    <w:rsid w:val="003B02D5"/>
    <w:rsid w:val="003B02DD"/>
    <w:rsid w:val="003B0325"/>
    <w:rsid w:val="003B035F"/>
    <w:rsid w:val="003B0388"/>
    <w:rsid w:val="003B04D0"/>
    <w:rsid w:val="003B04E5"/>
    <w:rsid w:val="003B0550"/>
    <w:rsid w:val="003B0590"/>
    <w:rsid w:val="003B05D1"/>
    <w:rsid w:val="003B0615"/>
    <w:rsid w:val="003B061C"/>
    <w:rsid w:val="003B0631"/>
    <w:rsid w:val="003B0649"/>
    <w:rsid w:val="003B06AC"/>
    <w:rsid w:val="003B06AF"/>
    <w:rsid w:val="003B06F6"/>
    <w:rsid w:val="003B06FF"/>
    <w:rsid w:val="003B07F8"/>
    <w:rsid w:val="003B0818"/>
    <w:rsid w:val="003B081D"/>
    <w:rsid w:val="003B0837"/>
    <w:rsid w:val="003B08BC"/>
    <w:rsid w:val="003B08C6"/>
    <w:rsid w:val="003B094F"/>
    <w:rsid w:val="003B0973"/>
    <w:rsid w:val="003B09CD"/>
    <w:rsid w:val="003B09ED"/>
    <w:rsid w:val="003B0A40"/>
    <w:rsid w:val="003B0A74"/>
    <w:rsid w:val="003B0AAC"/>
    <w:rsid w:val="003B0AB7"/>
    <w:rsid w:val="003B0AD1"/>
    <w:rsid w:val="003B0AED"/>
    <w:rsid w:val="003B0B69"/>
    <w:rsid w:val="003B0B92"/>
    <w:rsid w:val="003B0BB2"/>
    <w:rsid w:val="003B0C20"/>
    <w:rsid w:val="003B0C2F"/>
    <w:rsid w:val="003B0C52"/>
    <w:rsid w:val="003B0C9D"/>
    <w:rsid w:val="003B0CBB"/>
    <w:rsid w:val="003B0CD9"/>
    <w:rsid w:val="003B0CE8"/>
    <w:rsid w:val="003B0D15"/>
    <w:rsid w:val="003B0DF1"/>
    <w:rsid w:val="003B0E52"/>
    <w:rsid w:val="003B0E8B"/>
    <w:rsid w:val="003B0EF4"/>
    <w:rsid w:val="003B0F1B"/>
    <w:rsid w:val="003B0F1E"/>
    <w:rsid w:val="003B0F77"/>
    <w:rsid w:val="003B0F7D"/>
    <w:rsid w:val="003B0F86"/>
    <w:rsid w:val="003B0FA4"/>
    <w:rsid w:val="003B1013"/>
    <w:rsid w:val="003B10DF"/>
    <w:rsid w:val="003B10E5"/>
    <w:rsid w:val="003B10F0"/>
    <w:rsid w:val="003B11AC"/>
    <w:rsid w:val="003B11BD"/>
    <w:rsid w:val="003B1213"/>
    <w:rsid w:val="003B1226"/>
    <w:rsid w:val="003B129E"/>
    <w:rsid w:val="003B12E6"/>
    <w:rsid w:val="003B1303"/>
    <w:rsid w:val="003B1307"/>
    <w:rsid w:val="003B1348"/>
    <w:rsid w:val="003B150C"/>
    <w:rsid w:val="003B152B"/>
    <w:rsid w:val="003B153C"/>
    <w:rsid w:val="003B1564"/>
    <w:rsid w:val="003B1570"/>
    <w:rsid w:val="003B1638"/>
    <w:rsid w:val="003B1644"/>
    <w:rsid w:val="003B167D"/>
    <w:rsid w:val="003B16BB"/>
    <w:rsid w:val="003B16C3"/>
    <w:rsid w:val="003B16F7"/>
    <w:rsid w:val="003B1714"/>
    <w:rsid w:val="003B1724"/>
    <w:rsid w:val="003B175B"/>
    <w:rsid w:val="003B1762"/>
    <w:rsid w:val="003B17E5"/>
    <w:rsid w:val="003B1840"/>
    <w:rsid w:val="003B1847"/>
    <w:rsid w:val="003B1852"/>
    <w:rsid w:val="003B1899"/>
    <w:rsid w:val="003B18E2"/>
    <w:rsid w:val="003B1911"/>
    <w:rsid w:val="003B19A3"/>
    <w:rsid w:val="003B19D0"/>
    <w:rsid w:val="003B1AD1"/>
    <w:rsid w:val="003B1AD5"/>
    <w:rsid w:val="003B1B4A"/>
    <w:rsid w:val="003B1B4C"/>
    <w:rsid w:val="003B1B6F"/>
    <w:rsid w:val="003B1B95"/>
    <w:rsid w:val="003B1BCB"/>
    <w:rsid w:val="003B1BDF"/>
    <w:rsid w:val="003B1C72"/>
    <w:rsid w:val="003B1C8F"/>
    <w:rsid w:val="003B1D3E"/>
    <w:rsid w:val="003B1D53"/>
    <w:rsid w:val="003B1DCA"/>
    <w:rsid w:val="003B1DF3"/>
    <w:rsid w:val="003B1E05"/>
    <w:rsid w:val="003B1E5C"/>
    <w:rsid w:val="003B1E6B"/>
    <w:rsid w:val="003B1F33"/>
    <w:rsid w:val="003B1F35"/>
    <w:rsid w:val="003B1F3F"/>
    <w:rsid w:val="003B1F63"/>
    <w:rsid w:val="003B1F70"/>
    <w:rsid w:val="003B1F71"/>
    <w:rsid w:val="003B1F9C"/>
    <w:rsid w:val="003B1FB6"/>
    <w:rsid w:val="003B2019"/>
    <w:rsid w:val="003B2020"/>
    <w:rsid w:val="003B2054"/>
    <w:rsid w:val="003B205F"/>
    <w:rsid w:val="003B20ED"/>
    <w:rsid w:val="003B20FD"/>
    <w:rsid w:val="003B213A"/>
    <w:rsid w:val="003B216B"/>
    <w:rsid w:val="003B2194"/>
    <w:rsid w:val="003B21EA"/>
    <w:rsid w:val="003B225C"/>
    <w:rsid w:val="003B228B"/>
    <w:rsid w:val="003B229D"/>
    <w:rsid w:val="003B22A1"/>
    <w:rsid w:val="003B236A"/>
    <w:rsid w:val="003B23A5"/>
    <w:rsid w:val="003B243F"/>
    <w:rsid w:val="003B246B"/>
    <w:rsid w:val="003B2488"/>
    <w:rsid w:val="003B249F"/>
    <w:rsid w:val="003B24C3"/>
    <w:rsid w:val="003B24DD"/>
    <w:rsid w:val="003B2555"/>
    <w:rsid w:val="003B2568"/>
    <w:rsid w:val="003B2598"/>
    <w:rsid w:val="003B25AB"/>
    <w:rsid w:val="003B2608"/>
    <w:rsid w:val="003B26A7"/>
    <w:rsid w:val="003B26E8"/>
    <w:rsid w:val="003B2706"/>
    <w:rsid w:val="003B2728"/>
    <w:rsid w:val="003B2794"/>
    <w:rsid w:val="003B27EB"/>
    <w:rsid w:val="003B2838"/>
    <w:rsid w:val="003B2841"/>
    <w:rsid w:val="003B285D"/>
    <w:rsid w:val="003B2912"/>
    <w:rsid w:val="003B294B"/>
    <w:rsid w:val="003B298A"/>
    <w:rsid w:val="003B29CE"/>
    <w:rsid w:val="003B2AA6"/>
    <w:rsid w:val="003B2AD1"/>
    <w:rsid w:val="003B2B27"/>
    <w:rsid w:val="003B2B29"/>
    <w:rsid w:val="003B2B40"/>
    <w:rsid w:val="003B2B6F"/>
    <w:rsid w:val="003B2B87"/>
    <w:rsid w:val="003B2BD7"/>
    <w:rsid w:val="003B2BF6"/>
    <w:rsid w:val="003B2C39"/>
    <w:rsid w:val="003B2C5B"/>
    <w:rsid w:val="003B2C87"/>
    <w:rsid w:val="003B2D1A"/>
    <w:rsid w:val="003B2D4C"/>
    <w:rsid w:val="003B2D8B"/>
    <w:rsid w:val="003B2DDD"/>
    <w:rsid w:val="003B2E26"/>
    <w:rsid w:val="003B2E76"/>
    <w:rsid w:val="003B2E97"/>
    <w:rsid w:val="003B2EB2"/>
    <w:rsid w:val="003B2EBD"/>
    <w:rsid w:val="003B2EBE"/>
    <w:rsid w:val="003B2F0C"/>
    <w:rsid w:val="003B2F13"/>
    <w:rsid w:val="003B2FA5"/>
    <w:rsid w:val="003B3012"/>
    <w:rsid w:val="003B3027"/>
    <w:rsid w:val="003B3063"/>
    <w:rsid w:val="003B30CE"/>
    <w:rsid w:val="003B310B"/>
    <w:rsid w:val="003B31E2"/>
    <w:rsid w:val="003B31F5"/>
    <w:rsid w:val="003B31F9"/>
    <w:rsid w:val="003B3243"/>
    <w:rsid w:val="003B32EB"/>
    <w:rsid w:val="003B33CE"/>
    <w:rsid w:val="003B3430"/>
    <w:rsid w:val="003B351E"/>
    <w:rsid w:val="003B356E"/>
    <w:rsid w:val="003B367C"/>
    <w:rsid w:val="003B36E7"/>
    <w:rsid w:val="003B3706"/>
    <w:rsid w:val="003B3730"/>
    <w:rsid w:val="003B3772"/>
    <w:rsid w:val="003B3797"/>
    <w:rsid w:val="003B379B"/>
    <w:rsid w:val="003B3882"/>
    <w:rsid w:val="003B38B4"/>
    <w:rsid w:val="003B38BF"/>
    <w:rsid w:val="003B38CA"/>
    <w:rsid w:val="003B393A"/>
    <w:rsid w:val="003B393B"/>
    <w:rsid w:val="003B3960"/>
    <w:rsid w:val="003B3A3C"/>
    <w:rsid w:val="003B3A42"/>
    <w:rsid w:val="003B3A48"/>
    <w:rsid w:val="003B3A5A"/>
    <w:rsid w:val="003B3A5F"/>
    <w:rsid w:val="003B3ABC"/>
    <w:rsid w:val="003B3AD0"/>
    <w:rsid w:val="003B3AD1"/>
    <w:rsid w:val="003B3AE9"/>
    <w:rsid w:val="003B3B10"/>
    <w:rsid w:val="003B3B34"/>
    <w:rsid w:val="003B3B3B"/>
    <w:rsid w:val="003B3B73"/>
    <w:rsid w:val="003B3BA3"/>
    <w:rsid w:val="003B3C3A"/>
    <w:rsid w:val="003B3C7F"/>
    <w:rsid w:val="003B3CF1"/>
    <w:rsid w:val="003B3D31"/>
    <w:rsid w:val="003B3D98"/>
    <w:rsid w:val="003B3DC3"/>
    <w:rsid w:val="003B3E10"/>
    <w:rsid w:val="003B3E7D"/>
    <w:rsid w:val="003B3E8D"/>
    <w:rsid w:val="003B3EB9"/>
    <w:rsid w:val="003B3EE0"/>
    <w:rsid w:val="003B3EF0"/>
    <w:rsid w:val="003B3F24"/>
    <w:rsid w:val="003B3F41"/>
    <w:rsid w:val="003B3FD3"/>
    <w:rsid w:val="003B3FDF"/>
    <w:rsid w:val="003B4012"/>
    <w:rsid w:val="003B4037"/>
    <w:rsid w:val="003B40EF"/>
    <w:rsid w:val="003B410B"/>
    <w:rsid w:val="003B412F"/>
    <w:rsid w:val="003B4132"/>
    <w:rsid w:val="003B4162"/>
    <w:rsid w:val="003B4199"/>
    <w:rsid w:val="003B41FE"/>
    <w:rsid w:val="003B421F"/>
    <w:rsid w:val="003B424A"/>
    <w:rsid w:val="003B4275"/>
    <w:rsid w:val="003B427D"/>
    <w:rsid w:val="003B42AE"/>
    <w:rsid w:val="003B42EC"/>
    <w:rsid w:val="003B4316"/>
    <w:rsid w:val="003B431D"/>
    <w:rsid w:val="003B439A"/>
    <w:rsid w:val="003B43E3"/>
    <w:rsid w:val="003B440E"/>
    <w:rsid w:val="003B4524"/>
    <w:rsid w:val="003B4549"/>
    <w:rsid w:val="003B45C4"/>
    <w:rsid w:val="003B463F"/>
    <w:rsid w:val="003B4662"/>
    <w:rsid w:val="003B4735"/>
    <w:rsid w:val="003B4749"/>
    <w:rsid w:val="003B475B"/>
    <w:rsid w:val="003B4777"/>
    <w:rsid w:val="003B4839"/>
    <w:rsid w:val="003B4849"/>
    <w:rsid w:val="003B4861"/>
    <w:rsid w:val="003B4909"/>
    <w:rsid w:val="003B493E"/>
    <w:rsid w:val="003B4943"/>
    <w:rsid w:val="003B4961"/>
    <w:rsid w:val="003B49E8"/>
    <w:rsid w:val="003B4B35"/>
    <w:rsid w:val="003B4B5E"/>
    <w:rsid w:val="003B4BA2"/>
    <w:rsid w:val="003B4BAB"/>
    <w:rsid w:val="003B4C59"/>
    <w:rsid w:val="003B4C93"/>
    <w:rsid w:val="003B4CCA"/>
    <w:rsid w:val="003B4CE0"/>
    <w:rsid w:val="003B4CE8"/>
    <w:rsid w:val="003B4D27"/>
    <w:rsid w:val="003B4DB5"/>
    <w:rsid w:val="003B4DBE"/>
    <w:rsid w:val="003B4DCD"/>
    <w:rsid w:val="003B4DE7"/>
    <w:rsid w:val="003B4E08"/>
    <w:rsid w:val="003B4E86"/>
    <w:rsid w:val="003B4EA2"/>
    <w:rsid w:val="003B4F4A"/>
    <w:rsid w:val="003B4F59"/>
    <w:rsid w:val="003B4FEA"/>
    <w:rsid w:val="003B5009"/>
    <w:rsid w:val="003B504D"/>
    <w:rsid w:val="003B5063"/>
    <w:rsid w:val="003B5099"/>
    <w:rsid w:val="003B50B0"/>
    <w:rsid w:val="003B50D8"/>
    <w:rsid w:val="003B51FB"/>
    <w:rsid w:val="003B520B"/>
    <w:rsid w:val="003B52DC"/>
    <w:rsid w:val="003B5321"/>
    <w:rsid w:val="003B5325"/>
    <w:rsid w:val="003B53B9"/>
    <w:rsid w:val="003B54D0"/>
    <w:rsid w:val="003B54FA"/>
    <w:rsid w:val="003B5541"/>
    <w:rsid w:val="003B5577"/>
    <w:rsid w:val="003B5588"/>
    <w:rsid w:val="003B55B5"/>
    <w:rsid w:val="003B5621"/>
    <w:rsid w:val="003B5633"/>
    <w:rsid w:val="003B5657"/>
    <w:rsid w:val="003B5729"/>
    <w:rsid w:val="003B575C"/>
    <w:rsid w:val="003B576D"/>
    <w:rsid w:val="003B5791"/>
    <w:rsid w:val="003B57A7"/>
    <w:rsid w:val="003B57F1"/>
    <w:rsid w:val="003B58C4"/>
    <w:rsid w:val="003B5921"/>
    <w:rsid w:val="003B59E3"/>
    <w:rsid w:val="003B5A48"/>
    <w:rsid w:val="003B5A98"/>
    <w:rsid w:val="003B5A9A"/>
    <w:rsid w:val="003B5AD9"/>
    <w:rsid w:val="003B5AE9"/>
    <w:rsid w:val="003B5B3E"/>
    <w:rsid w:val="003B5B64"/>
    <w:rsid w:val="003B5BF7"/>
    <w:rsid w:val="003B5CF1"/>
    <w:rsid w:val="003B5D4D"/>
    <w:rsid w:val="003B5DE9"/>
    <w:rsid w:val="003B5DF0"/>
    <w:rsid w:val="003B5E16"/>
    <w:rsid w:val="003B5E29"/>
    <w:rsid w:val="003B5E48"/>
    <w:rsid w:val="003B5E51"/>
    <w:rsid w:val="003B5F10"/>
    <w:rsid w:val="003B5FC0"/>
    <w:rsid w:val="003B6003"/>
    <w:rsid w:val="003B6007"/>
    <w:rsid w:val="003B606C"/>
    <w:rsid w:val="003B6077"/>
    <w:rsid w:val="003B60A0"/>
    <w:rsid w:val="003B6104"/>
    <w:rsid w:val="003B611B"/>
    <w:rsid w:val="003B61A5"/>
    <w:rsid w:val="003B6237"/>
    <w:rsid w:val="003B624A"/>
    <w:rsid w:val="003B629C"/>
    <w:rsid w:val="003B631D"/>
    <w:rsid w:val="003B6332"/>
    <w:rsid w:val="003B6362"/>
    <w:rsid w:val="003B6396"/>
    <w:rsid w:val="003B63CB"/>
    <w:rsid w:val="003B63D3"/>
    <w:rsid w:val="003B640A"/>
    <w:rsid w:val="003B6421"/>
    <w:rsid w:val="003B6430"/>
    <w:rsid w:val="003B6484"/>
    <w:rsid w:val="003B6499"/>
    <w:rsid w:val="003B64E0"/>
    <w:rsid w:val="003B64E8"/>
    <w:rsid w:val="003B660D"/>
    <w:rsid w:val="003B6657"/>
    <w:rsid w:val="003B66D2"/>
    <w:rsid w:val="003B6701"/>
    <w:rsid w:val="003B6706"/>
    <w:rsid w:val="003B672C"/>
    <w:rsid w:val="003B676C"/>
    <w:rsid w:val="003B6807"/>
    <w:rsid w:val="003B682F"/>
    <w:rsid w:val="003B6872"/>
    <w:rsid w:val="003B6891"/>
    <w:rsid w:val="003B68A0"/>
    <w:rsid w:val="003B68C1"/>
    <w:rsid w:val="003B68F0"/>
    <w:rsid w:val="003B6997"/>
    <w:rsid w:val="003B69A2"/>
    <w:rsid w:val="003B69ED"/>
    <w:rsid w:val="003B6A1C"/>
    <w:rsid w:val="003B6A66"/>
    <w:rsid w:val="003B6AA2"/>
    <w:rsid w:val="003B6AD1"/>
    <w:rsid w:val="003B6AE9"/>
    <w:rsid w:val="003B6B1A"/>
    <w:rsid w:val="003B6B28"/>
    <w:rsid w:val="003B6B34"/>
    <w:rsid w:val="003B6B44"/>
    <w:rsid w:val="003B6BF1"/>
    <w:rsid w:val="003B6BFC"/>
    <w:rsid w:val="003B6C0D"/>
    <w:rsid w:val="003B6C27"/>
    <w:rsid w:val="003B6CA1"/>
    <w:rsid w:val="003B6CD3"/>
    <w:rsid w:val="003B6CD7"/>
    <w:rsid w:val="003B6D46"/>
    <w:rsid w:val="003B6D7F"/>
    <w:rsid w:val="003B6DFD"/>
    <w:rsid w:val="003B6EE1"/>
    <w:rsid w:val="003B6F7F"/>
    <w:rsid w:val="003B6FA9"/>
    <w:rsid w:val="003B6FAB"/>
    <w:rsid w:val="003B6FAC"/>
    <w:rsid w:val="003B6FD1"/>
    <w:rsid w:val="003B6FEF"/>
    <w:rsid w:val="003B7000"/>
    <w:rsid w:val="003B70B0"/>
    <w:rsid w:val="003B70D6"/>
    <w:rsid w:val="003B712A"/>
    <w:rsid w:val="003B7133"/>
    <w:rsid w:val="003B715B"/>
    <w:rsid w:val="003B71B3"/>
    <w:rsid w:val="003B7201"/>
    <w:rsid w:val="003B7217"/>
    <w:rsid w:val="003B723C"/>
    <w:rsid w:val="003B729E"/>
    <w:rsid w:val="003B72EE"/>
    <w:rsid w:val="003B7313"/>
    <w:rsid w:val="003B73B3"/>
    <w:rsid w:val="003B73B9"/>
    <w:rsid w:val="003B73C3"/>
    <w:rsid w:val="003B740A"/>
    <w:rsid w:val="003B7493"/>
    <w:rsid w:val="003B74ED"/>
    <w:rsid w:val="003B7512"/>
    <w:rsid w:val="003B7541"/>
    <w:rsid w:val="003B75C8"/>
    <w:rsid w:val="003B764E"/>
    <w:rsid w:val="003B765C"/>
    <w:rsid w:val="003B76BD"/>
    <w:rsid w:val="003B76E5"/>
    <w:rsid w:val="003B76FA"/>
    <w:rsid w:val="003B772B"/>
    <w:rsid w:val="003B774A"/>
    <w:rsid w:val="003B774C"/>
    <w:rsid w:val="003B77E3"/>
    <w:rsid w:val="003B7827"/>
    <w:rsid w:val="003B785F"/>
    <w:rsid w:val="003B7877"/>
    <w:rsid w:val="003B7913"/>
    <w:rsid w:val="003B792B"/>
    <w:rsid w:val="003B79BB"/>
    <w:rsid w:val="003B7AA1"/>
    <w:rsid w:val="003B7AD5"/>
    <w:rsid w:val="003B7C0B"/>
    <w:rsid w:val="003B7C13"/>
    <w:rsid w:val="003B7C14"/>
    <w:rsid w:val="003B7CB4"/>
    <w:rsid w:val="003B7CD8"/>
    <w:rsid w:val="003B7CEA"/>
    <w:rsid w:val="003B7CF9"/>
    <w:rsid w:val="003B7D61"/>
    <w:rsid w:val="003B7DA7"/>
    <w:rsid w:val="003B7E1B"/>
    <w:rsid w:val="003B7E34"/>
    <w:rsid w:val="003B7E79"/>
    <w:rsid w:val="003B7E7B"/>
    <w:rsid w:val="003B7ECC"/>
    <w:rsid w:val="003B7EE2"/>
    <w:rsid w:val="003B7F21"/>
    <w:rsid w:val="003B7F9A"/>
    <w:rsid w:val="003B7FB8"/>
    <w:rsid w:val="003C0026"/>
    <w:rsid w:val="003C0072"/>
    <w:rsid w:val="003C0073"/>
    <w:rsid w:val="003C0085"/>
    <w:rsid w:val="003C0090"/>
    <w:rsid w:val="003C00B9"/>
    <w:rsid w:val="003C00E6"/>
    <w:rsid w:val="003C010F"/>
    <w:rsid w:val="003C01B9"/>
    <w:rsid w:val="003C01E3"/>
    <w:rsid w:val="003C0209"/>
    <w:rsid w:val="003C02CB"/>
    <w:rsid w:val="003C02E5"/>
    <w:rsid w:val="003C03EA"/>
    <w:rsid w:val="003C0408"/>
    <w:rsid w:val="003C051B"/>
    <w:rsid w:val="003C0534"/>
    <w:rsid w:val="003C05B5"/>
    <w:rsid w:val="003C05CF"/>
    <w:rsid w:val="003C05EF"/>
    <w:rsid w:val="003C05F8"/>
    <w:rsid w:val="003C0624"/>
    <w:rsid w:val="003C06B3"/>
    <w:rsid w:val="003C06D5"/>
    <w:rsid w:val="003C06E6"/>
    <w:rsid w:val="003C073C"/>
    <w:rsid w:val="003C0749"/>
    <w:rsid w:val="003C0799"/>
    <w:rsid w:val="003C079B"/>
    <w:rsid w:val="003C079F"/>
    <w:rsid w:val="003C08BB"/>
    <w:rsid w:val="003C0918"/>
    <w:rsid w:val="003C097F"/>
    <w:rsid w:val="003C09C6"/>
    <w:rsid w:val="003C0A53"/>
    <w:rsid w:val="003C0A59"/>
    <w:rsid w:val="003C0A91"/>
    <w:rsid w:val="003C0A9D"/>
    <w:rsid w:val="003C0AC7"/>
    <w:rsid w:val="003C0AEF"/>
    <w:rsid w:val="003C0B18"/>
    <w:rsid w:val="003C0B4A"/>
    <w:rsid w:val="003C0BF0"/>
    <w:rsid w:val="003C0C57"/>
    <w:rsid w:val="003C0C66"/>
    <w:rsid w:val="003C0C69"/>
    <w:rsid w:val="003C0C8A"/>
    <w:rsid w:val="003C0CF0"/>
    <w:rsid w:val="003C0D05"/>
    <w:rsid w:val="003C0D37"/>
    <w:rsid w:val="003C0DC7"/>
    <w:rsid w:val="003C0E61"/>
    <w:rsid w:val="003C0E7D"/>
    <w:rsid w:val="003C0EEA"/>
    <w:rsid w:val="003C0F53"/>
    <w:rsid w:val="003C0FBB"/>
    <w:rsid w:val="003C0FC3"/>
    <w:rsid w:val="003C0FF1"/>
    <w:rsid w:val="003C101A"/>
    <w:rsid w:val="003C102D"/>
    <w:rsid w:val="003C108A"/>
    <w:rsid w:val="003C1091"/>
    <w:rsid w:val="003C1122"/>
    <w:rsid w:val="003C1158"/>
    <w:rsid w:val="003C1193"/>
    <w:rsid w:val="003C11DC"/>
    <w:rsid w:val="003C11EA"/>
    <w:rsid w:val="003C11F6"/>
    <w:rsid w:val="003C1240"/>
    <w:rsid w:val="003C1241"/>
    <w:rsid w:val="003C1246"/>
    <w:rsid w:val="003C12A8"/>
    <w:rsid w:val="003C1361"/>
    <w:rsid w:val="003C143A"/>
    <w:rsid w:val="003C1447"/>
    <w:rsid w:val="003C1472"/>
    <w:rsid w:val="003C1548"/>
    <w:rsid w:val="003C15BC"/>
    <w:rsid w:val="003C15F7"/>
    <w:rsid w:val="003C160E"/>
    <w:rsid w:val="003C1612"/>
    <w:rsid w:val="003C1648"/>
    <w:rsid w:val="003C1677"/>
    <w:rsid w:val="003C16C6"/>
    <w:rsid w:val="003C16CF"/>
    <w:rsid w:val="003C171B"/>
    <w:rsid w:val="003C1771"/>
    <w:rsid w:val="003C17A4"/>
    <w:rsid w:val="003C17BB"/>
    <w:rsid w:val="003C1827"/>
    <w:rsid w:val="003C18D7"/>
    <w:rsid w:val="003C18FF"/>
    <w:rsid w:val="003C1926"/>
    <w:rsid w:val="003C1966"/>
    <w:rsid w:val="003C1A24"/>
    <w:rsid w:val="003C1A72"/>
    <w:rsid w:val="003C1A93"/>
    <w:rsid w:val="003C1AAA"/>
    <w:rsid w:val="003C1AE7"/>
    <w:rsid w:val="003C1B1E"/>
    <w:rsid w:val="003C1B2D"/>
    <w:rsid w:val="003C1B31"/>
    <w:rsid w:val="003C1B3A"/>
    <w:rsid w:val="003C1BAF"/>
    <w:rsid w:val="003C1BC7"/>
    <w:rsid w:val="003C1BD7"/>
    <w:rsid w:val="003C1C1C"/>
    <w:rsid w:val="003C1C1E"/>
    <w:rsid w:val="003C1C23"/>
    <w:rsid w:val="003C1C5F"/>
    <w:rsid w:val="003C1CA9"/>
    <w:rsid w:val="003C1CEE"/>
    <w:rsid w:val="003C1D3B"/>
    <w:rsid w:val="003C1D7B"/>
    <w:rsid w:val="003C1E23"/>
    <w:rsid w:val="003C1ECF"/>
    <w:rsid w:val="003C1F1F"/>
    <w:rsid w:val="003C1F7E"/>
    <w:rsid w:val="003C1FB3"/>
    <w:rsid w:val="003C1FB4"/>
    <w:rsid w:val="003C201F"/>
    <w:rsid w:val="003C203C"/>
    <w:rsid w:val="003C204B"/>
    <w:rsid w:val="003C2051"/>
    <w:rsid w:val="003C20D0"/>
    <w:rsid w:val="003C215D"/>
    <w:rsid w:val="003C21A1"/>
    <w:rsid w:val="003C21B7"/>
    <w:rsid w:val="003C21FA"/>
    <w:rsid w:val="003C2247"/>
    <w:rsid w:val="003C2286"/>
    <w:rsid w:val="003C229F"/>
    <w:rsid w:val="003C2306"/>
    <w:rsid w:val="003C232C"/>
    <w:rsid w:val="003C23C2"/>
    <w:rsid w:val="003C244C"/>
    <w:rsid w:val="003C24E5"/>
    <w:rsid w:val="003C24ED"/>
    <w:rsid w:val="003C2502"/>
    <w:rsid w:val="003C2520"/>
    <w:rsid w:val="003C256B"/>
    <w:rsid w:val="003C2629"/>
    <w:rsid w:val="003C265E"/>
    <w:rsid w:val="003C2673"/>
    <w:rsid w:val="003C268A"/>
    <w:rsid w:val="003C2699"/>
    <w:rsid w:val="003C26B4"/>
    <w:rsid w:val="003C26B5"/>
    <w:rsid w:val="003C26DA"/>
    <w:rsid w:val="003C26E9"/>
    <w:rsid w:val="003C26F1"/>
    <w:rsid w:val="003C2798"/>
    <w:rsid w:val="003C27B7"/>
    <w:rsid w:val="003C27F7"/>
    <w:rsid w:val="003C2839"/>
    <w:rsid w:val="003C28F1"/>
    <w:rsid w:val="003C2993"/>
    <w:rsid w:val="003C2A90"/>
    <w:rsid w:val="003C2AC0"/>
    <w:rsid w:val="003C2AC4"/>
    <w:rsid w:val="003C2ACE"/>
    <w:rsid w:val="003C2B83"/>
    <w:rsid w:val="003C2B91"/>
    <w:rsid w:val="003C2BB4"/>
    <w:rsid w:val="003C2BEB"/>
    <w:rsid w:val="003C2C1C"/>
    <w:rsid w:val="003C2C41"/>
    <w:rsid w:val="003C2C4C"/>
    <w:rsid w:val="003C2C78"/>
    <w:rsid w:val="003C2C7C"/>
    <w:rsid w:val="003C2C97"/>
    <w:rsid w:val="003C2C9A"/>
    <w:rsid w:val="003C2CDE"/>
    <w:rsid w:val="003C2D3D"/>
    <w:rsid w:val="003C2D52"/>
    <w:rsid w:val="003C2D8D"/>
    <w:rsid w:val="003C2DB3"/>
    <w:rsid w:val="003C2DBC"/>
    <w:rsid w:val="003C2DED"/>
    <w:rsid w:val="003C2E23"/>
    <w:rsid w:val="003C2EF8"/>
    <w:rsid w:val="003C2F76"/>
    <w:rsid w:val="003C2FE0"/>
    <w:rsid w:val="003C302E"/>
    <w:rsid w:val="003C303E"/>
    <w:rsid w:val="003C3060"/>
    <w:rsid w:val="003C30AB"/>
    <w:rsid w:val="003C30AC"/>
    <w:rsid w:val="003C30B9"/>
    <w:rsid w:val="003C30FB"/>
    <w:rsid w:val="003C312E"/>
    <w:rsid w:val="003C3160"/>
    <w:rsid w:val="003C3168"/>
    <w:rsid w:val="003C316D"/>
    <w:rsid w:val="003C318F"/>
    <w:rsid w:val="003C3199"/>
    <w:rsid w:val="003C31A3"/>
    <w:rsid w:val="003C324D"/>
    <w:rsid w:val="003C325A"/>
    <w:rsid w:val="003C32BD"/>
    <w:rsid w:val="003C32EB"/>
    <w:rsid w:val="003C331C"/>
    <w:rsid w:val="003C3349"/>
    <w:rsid w:val="003C33A7"/>
    <w:rsid w:val="003C33A8"/>
    <w:rsid w:val="003C33AC"/>
    <w:rsid w:val="003C33C3"/>
    <w:rsid w:val="003C3487"/>
    <w:rsid w:val="003C351B"/>
    <w:rsid w:val="003C3524"/>
    <w:rsid w:val="003C3532"/>
    <w:rsid w:val="003C35D8"/>
    <w:rsid w:val="003C35F3"/>
    <w:rsid w:val="003C3645"/>
    <w:rsid w:val="003C3655"/>
    <w:rsid w:val="003C3683"/>
    <w:rsid w:val="003C3695"/>
    <w:rsid w:val="003C369F"/>
    <w:rsid w:val="003C3719"/>
    <w:rsid w:val="003C375E"/>
    <w:rsid w:val="003C376F"/>
    <w:rsid w:val="003C37C6"/>
    <w:rsid w:val="003C37F0"/>
    <w:rsid w:val="003C381F"/>
    <w:rsid w:val="003C387C"/>
    <w:rsid w:val="003C3881"/>
    <w:rsid w:val="003C38BA"/>
    <w:rsid w:val="003C38D3"/>
    <w:rsid w:val="003C38DD"/>
    <w:rsid w:val="003C3958"/>
    <w:rsid w:val="003C3973"/>
    <w:rsid w:val="003C39B8"/>
    <w:rsid w:val="003C39BF"/>
    <w:rsid w:val="003C39EB"/>
    <w:rsid w:val="003C39EF"/>
    <w:rsid w:val="003C39F1"/>
    <w:rsid w:val="003C3A91"/>
    <w:rsid w:val="003C3AAA"/>
    <w:rsid w:val="003C3B16"/>
    <w:rsid w:val="003C3B3B"/>
    <w:rsid w:val="003C3B51"/>
    <w:rsid w:val="003C3BB0"/>
    <w:rsid w:val="003C3C04"/>
    <w:rsid w:val="003C3C08"/>
    <w:rsid w:val="003C3C82"/>
    <w:rsid w:val="003C3CF1"/>
    <w:rsid w:val="003C3D11"/>
    <w:rsid w:val="003C3D1F"/>
    <w:rsid w:val="003C3D22"/>
    <w:rsid w:val="003C3D48"/>
    <w:rsid w:val="003C3D87"/>
    <w:rsid w:val="003C3D96"/>
    <w:rsid w:val="003C3DA9"/>
    <w:rsid w:val="003C3DE5"/>
    <w:rsid w:val="003C3E7C"/>
    <w:rsid w:val="003C3EAC"/>
    <w:rsid w:val="003C3ED3"/>
    <w:rsid w:val="003C3EF0"/>
    <w:rsid w:val="003C3EFA"/>
    <w:rsid w:val="003C3F2A"/>
    <w:rsid w:val="003C3F6E"/>
    <w:rsid w:val="003C3F84"/>
    <w:rsid w:val="003C3FC0"/>
    <w:rsid w:val="003C3FE5"/>
    <w:rsid w:val="003C3FF1"/>
    <w:rsid w:val="003C3FF4"/>
    <w:rsid w:val="003C4046"/>
    <w:rsid w:val="003C4047"/>
    <w:rsid w:val="003C40A6"/>
    <w:rsid w:val="003C40FB"/>
    <w:rsid w:val="003C416B"/>
    <w:rsid w:val="003C4174"/>
    <w:rsid w:val="003C41D3"/>
    <w:rsid w:val="003C41F0"/>
    <w:rsid w:val="003C4233"/>
    <w:rsid w:val="003C4236"/>
    <w:rsid w:val="003C4291"/>
    <w:rsid w:val="003C42AD"/>
    <w:rsid w:val="003C42C6"/>
    <w:rsid w:val="003C4318"/>
    <w:rsid w:val="003C4357"/>
    <w:rsid w:val="003C435E"/>
    <w:rsid w:val="003C43B6"/>
    <w:rsid w:val="003C4430"/>
    <w:rsid w:val="003C4443"/>
    <w:rsid w:val="003C44BB"/>
    <w:rsid w:val="003C4555"/>
    <w:rsid w:val="003C457A"/>
    <w:rsid w:val="003C45CC"/>
    <w:rsid w:val="003C4600"/>
    <w:rsid w:val="003C46BE"/>
    <w:rsid w:val="003C4878"/>
    <w:rsid w:val="003C488B"/>
    <w:rsid w:val="003C48A8"/>
    <w:rsid w:val="003C48CA"/>
    <w:rsid w:val="003C49AA"/>
    <w:rsid w:val="003C49AF"/>
    <w:rsid w:val="003C49E7"/>
    <w:rsid w:val="003C4A31"/>
    <w:rsid w:val="003C4A89"/>
    <w:rsid w:val="003C4AB6"/>
    <w:rsid w:val="003C4ACE"/>
    <w:rsid w:val="003C4ADF"/>
    <w:rsid w:val="003C4B66"/>
    <w:rsid w:val="003C4B91"/>
    <w:rsid w:val="003C4C52"/>
    <w:rsid w:val="003C4CC2"/>
    <w:rsid w:val="003C4CC3"/>
    <w:rsid w:val="003C4CD1"/>
    <w:rsid w:val="003C4CF2"/>
    <w:rsid w:val="003C4D1C"/>
    <w:rsid w:val="003C4D2B"/>
    <w:rsid w:val="003C4E1A"/>
    <w:rsid w:val="003C4EDA"/>
    <w:rsid w:val="003C4F09"/>
    <w:rsid w:val="003C4F3F"/>
    <w:rsid w:val="003C4F49"/>
    <w:rsid w:val="003C4F92"/>
    <w:rsid w:val="003C4FA8"/>
    <w:rsid w:val="003C4FFF"/>
    <w:rsid w:val="003C5008"/>
    <w:rsid w:val="003C501A"/>
    <w:rsid w:val="003C5047"/>
    <w:rsid w:val="003C50CA"/>
    <w:rsid w:val="003C5132"/>
    <w:rsid w:val="003C5167"/>
    <w:rsid w:val="003C517F"/>
    <w:rsid w:val="003C51C5"/>
    <w:rsid w:val="003C5207"/>
    <w:rsid w:val="003C5236"/>
    <w:rsid w:val="003C528B"/>
    <w:rsid w:val="003C52CC"/>
    <w:rsid w:val="003C5363"/>
    <w:rsid w:val="003C5397"/>
    <w:rsid w:val="003C53A3"/>
    <w:rsid w:val="003C5412"/>
    <w:rsid w:val="003C553C"/>
    <w:rsid w:val="003C5562"/>
    <w:rsid w:val="003C55CC"/>
    <w:rsid w:val="003C561C"/>
    <w:rsid w:val="003C56C5"/>
    <w:rsid w:val="003C56E4"/>
    <w:rsid w:val="003C588E"/>
    <w:rsid w:val="003C58DE"/>
    <w:rsid w:val="003C5928"/>
    <w:rsid w:val="003C598A"/>
    <w:rsid w:val="003C59CD"/>
    <w:rsid w:val="003C59E7"/>
    <w:rsid w:val="003C5A23"/>
    <w:rsid w:val="003C5A3A"/>
    <w:rsid w:val="003C5A5F"/>
    <w:rsid w:val="003C5AB6"/>
    <w:rsid w:val="003C5B53"/>
    <w:rsid w:val="003C5B5E"/>
    <w:rsid w:val="003C5BBC"/>
    <w:rsid w:val="003C5C76"/>
    <w:rsid w:val="003C5CE2"/>
    <w:rsid w:val="003C5DDB"/>
    <w:rsid w:val="003C5DDC"/>
    <w:rsid w:val="003C5E61"/>
    <w:rsid w:val="003C5EAE"/>
    <w:rsid w:val="003C5ED0"/>
    <w:rsid w:val="003C5EFB"/>
    <w:rsid w:val="003C5F0F"/>
    <w:rsid w:val="003C5F43"/>
    <w:rsid w:val="003C5FE2"/>
    <w:rsid w:val="003C5FFA"/>
    <w:rsid w:val="003C5FFC"/>
    <w:rsid w:val="003C6015"/>
    <w:rsid w:val="003C6016"/>
    <w:rsid w:val="003C601E"/>
    <w:rsid w:val="003C6032"/>
    <w:rsid w:val="003C604D"/>
    <w:rsid w:val="003C60A1"/>
    <w:rsid w:val="003C60F5"/>
    <w:rsid w:val="003C6138"/>
    <w:rsid w:val="003C6147"/>
    <w:rsid w:val="003C6224"/>
    <w:rsid w:val="003C6227"/>
    <w:rsid w:val="003C622B"/>
    <w:rsid w:val="003C6267"/>
    <w:rsid w:val="003C6284"/>
    <w:rsid w:val="003C62B4"/>
    <w:rsid w:val="003C634B"/>
    <w:rsid w:val="003C634C"/>
    <w:rsid w:val="003C6359"/>
    <w:rsid w:val="003C63B3"/>
    <w:rsid w:val="003C63C2"/>
    <w:rsid w:val="003C63CD"/>
    <w:rsid w:val="003C6411"/>
    <w:rsid w:val="003C646E"/>
    <w:rsid w:val="003C64C2"/>
    <w:rsid w:val="003C64E9"/>
    <w:rsid w:val="003C6504"/>
    <w:rsid w:val="003C6533"/>
    <w:rsid w:val="003C65C1"/>
    <w:rsid w:val="003C668E"/>
    <w:rsid w:val="003C6701"/>
    <w:rsid w:val="003C6716"/>
    <w:rsid w:val="003C67B6"/>
    <w:rsid w:val="003C67C5"/>
    <w:rsid w:val="003C687F"/>
    <w:rsid w:val="003C6979"/>
    <w:rsid w:val="003C6AC0"/>
    <w:rsid w:val="003C6AEC"/>
    <w:rsid w:val="003C6B32"/>
    <w:rsid w:val="003C6BBB"/>
    <w:rsid w:val="003C6BBD"/>
    <w:rsid w:val="003C6BD8"/>
    <w:rsid w:val="003C6C87"/>
    <w:rsid w:val="003C6CFA"/>
    <w:rsid w:val="003C6D27"/>
    <w:rsid w:val="003C6E01"/>
    <w:rsid w:val="003C6E39"/>
    <w:rsid w:val="003C6E3F"/>
    <w:rsid w:val="003C6EB7"/>
    <w:rsid w:val="003C6EBE"/>
    <w:rsid w:val="003C6EC5"/>
    <w:rsid w:val="003C6ECA"/>
    <w:rsid w:val="003C6F7B"/>
    <w:rsid w:val="003C6F7F"/>
    <w:rsid w:val="003C6F86"/>
    <w:rsid w:val="003C6F8D"/>
    <w:rsid w:val="003C6FC6"/>
    <w:rsid w:val="003C704C"/>
    <w:rsid w:val="003C7054"/>
    <w:rsid w:val="003C708B"/>
    <w:rsid w:val="003C7122"/>
    <w:rsid w:val="003C718E"/>
    <w:rsid w:val="003C71E5"/>
    <w:rsid w:val="003C71FC"/>
    <w:rsid w:val="003C7246"/>
    <w:rsid w:val="003C7278"/>
    <w:rsid w:val="003C72CB"/>
    <w:rsid w:val="003C72CD"/>
    <w:rsid w:val="003C738F"/>
    <w:rsid w:val="003C73E8"/>
    <w:rsid w:val="003C740E"/>
    <w:rsid w:val="003C745C"/>
    <w:rsid w:val="003C7520"/>
    <w:rsid w:val="003C7547"/>
    <w:rsid w:val="003C75EE"/>
    <w:rsid w:val="003C7680"/>
    <w:rsid w:val="003C768D"/>
    <w:rsid w:val="003C76CE"/>
    <w:rsid w:val="003C76D0"/>
    <w:rsid w:val="003C7703"/>
    <w:rsid w:val="003C775F"/>
    <w:rsid w:val="003C779B"/>
    <w:rsid w:val="003C77E8"/>
    <w:rsid w:val="003C7817"/>
    <w:rsid w:val="003C7850"/>
    <w:rsid w:val="003C7853"/>
    <w:rsid w:val="003C78A7"/>
    <w:rsid w:val="003C78F1"/>
    <w:rsid w:val="003C79AD"/>
    <w:rsid w:val="003C79D8"/>
    <w:rsid w:val="003C7A21"/>
    <w:rsid w:val="003C7A8C"/>
    <w:rsid w:val="003C7B11"/>
    <w:rsid w:val="003C7B54"/>
    <w:rsid w:val="003C7B66"/>
    <w:rsid w:val="003C7B9B"/>
    <w:rsid w:val="003C7BFD"/>
    <w:rsid w:val="003C7C5A"/>
    <w:rsid w:val="003C7C7A"/>
    <w:rsid w:val="003C7D38"/>
    <w:rsid w:val="003C7D5B"/>
    <w:rsid w:val="003C7D6F"/>
    <w:rsid w:val="003C7D8C"/>
    <w:rsid w:val="003C7D91"/>
    <w:rsid w:val="003C7DAB"/>
    <w:rsid w:val="003C7DDC"/>
    <w:rsid w:val="003C7E2D"/>
    <w:rsid w:val="003C7E30"/>
    <w:rsid w:val="003C7E32"/>
    <w:rsid w:val="003C7E83"/>
    <w:rsid w:val="003C7E86"/>
    <w:rsid w:val="003C7FD5"/>
    <w:rsid w:val="003D0049"/>
    <w:rsid w:val="003D00BA"/>
    <w:rsid w:val="003D010C"/>
    <w:rsid w:val="003D013F"/>
    <w:rsid w:val="003D01A1"/>
    <w:rsid w:val="003D02A2"/>
    <w:rsid w:val="003D02A4"/>
    <w:rsid w:val="003D02B1"/>
    <w:rsid w:val="003D02C2"/>
    <w:rsid w:val="003D02E6"/>
    <w:rsid w:val="003D034F"/>
    <w:rsid w:val="003D0377"/>
    <w:rsid w:val="003D03C6"/>
    <w:rsid w:val="003D0409"/>
    <w:rsid w:val="003D0480"/>
    <w:rsid w:val="003D04F8"/>
    <w:rsid w:val="003D0518"/>
    <w:rsid w:val="003D0576"/>
    <w:rsid w:val="003D05D2"/>
    <w:rsid w:val="003D05ED"/>
    <w:rsid w:val="003D0607"/>
    <w:rsid w:val="003D069E"/>
    <w:rsid w:val="003D0725"/>
    <w:rsid w:val="003D0743"/>
    <w:rsid w:val="003D07AB"/>
    <w:rsid w:val="003D07E0"/>
    <w:rsid w:val="003D084B"/>
    <w:rsid w:val="003D08A2"/>
    <w:rsid w:val="003D08BF"/>
    <w:rsid w:val="003D0930"/>
    <w:rsid w:val="003D0954"/>
    <w:rsid w:val="003D0963"/>
    <w:rsid w:val="003D09FD"/>
    <w:rsid w:val="003D0A3D"/>
    <w:rsid w:val="003D0B58"/>
    <w:rsid w:val="003D0BB2"/>
    <w:rsid w:val="003D0C4D"/>
    <w:rsid w:val="003D0D54"/>
    <w:rsid w:val="003D0D5E"/>
    <w:rsid w:val="003D0D76"/>
    <w:rsid w:val="003D0D88"/>
    <w:rsid w:val="003D0DC9"/>
    <w:rsid w:val="003D0DEF"/>
    <w:rsid w:val="003D0E26"/>
    <w:rsid w:val="003D0E31"/>
    <w:rsid w:val="003D0EA0"/>
    <w:rsid w:val="003D0F0B"/>
    <w:rsid w:val="003D0FCC"/>
    <w:rsid w:val="003D0FFD"/>
    <w:rsid w:val="003D1018"/>
    <w:rsid w:val="003D1049"/>
    <w:rsid w:val="003D10C8"/>
    <w:rsid w:val="003D10E5"/>
    <w:rsid w:val="003D10F7"/>
    <w:rsid w:val="003D110B"/>
    <w:rsid w:val="003D114B"/>
    <w:rsid w:val="003D117D"/>
    <w:rsid w:val="003D1180"/>
    <w:rsid w:val="003D11B6"/>
    <w:rsid w:val="003D11C9"/>
    <w:rsid w:val="003D11CA"/>
    <w:rsid w:val="003D11D3"/>
    <w:rsid w:val="003D11ED"/>
    <w:rsid w:val="003D11FD"/>
    <w:rsid w:val="003D1221"/>
    <w:rsid w:val="003D1323"/>
    <w:rsid w:val="003D136F"/>
    <w:rsid w:val="003D13A2"/>
    <w:rsid w:val="003D13FA"/>
    <w:rsid w:val="003D1408"/>
    <w:rsid w:val="003D1425"/>
    <w:rsid w:val="003D144D"/>
    <w:rsid w:val="003D14F4"/>
    <w:rsid w:val="003D150E"/>
    <w:rsid w:val="003D1542"/>
    <w:rsid w:val="003D157B"/>
    <w:rsid w:val="003D15E6"/>
    <w:rsid w:val="003D1662"/>
    <w:rsid w:val="003D1696"/>
    <w:rsid w:val="003D174C"/>
    <w:rsid w:val="003D1788"/>
    <w:rsid w:val="003D178B"/>
    <w:rsid w:val="003D17D9"/>
    <w:rsid w:val="003D17E7"/>
    <w:rsid w:val="003D182B"/>
    <w:rsid w:val="003D18A1"/>
    <w:rsid w:val="003D18A2"/>
    <w:rsid w:val="003D1950"/>
    <w:rsid w:val="003D1A52"/>
    <w:rsid w:val="003D1A68"/>
    <w:rsid w:val="003D1AA7"/>
    <w:rsid w:val="003D1AAD"/>
    <w:rsid w:val="003D1B65"/>
    <w:rsid w:val="003D1BCE"/>
    <w:rsid w:val="003D1C18"/>
    <w:rsid w:val="003D1C2A"/>
    <w:rsid w:val="003D1C55"/>
    <w:rsid w:val="003D1C6B"/>
    <w:rsid w:val="003D1C7B"/>
    <w:rsid w:val="003D1D4B"/>
    <w:rsid w:val="003D1DCA"/>
    <w:rsid w:val="003D1DE1"/>
    <w:rsid w:val="003D1E72"/>
    <w:rsid w:val="003D1E82"/>
    <w:rsid w:val="003D1EB1"/>
    <w:rsid w:val="003D1ED7"/>
    <w:rsid w:val="003D1F1A"/>
    <w:rsid w:val="003D1F26"/>
    <w:rsid w:val="003D1F29"/>
    <w:rsid w:val="003D1F42"/>
    <w:rsid w:val="003D1F4C"/>
    <w:rsid w:val="003D1F67"/>
    <w:rsid w:val="003D1FB2"/>
    <w:rsid w:val="003D1FC7"/>
    <w:rsid w:val="003D1FD3"/>
    <w:rsid w:val="003D2030"/>
    <w:rsid w:val="003D2049"/>
    <w:rsid w:val="003D20A1"/>
    <w:rsid w:val="003D20AE"/>
    <w:rsid w:val="003D20E0"/>
    <w:rsid w:val="003D21A0"/>
    <w:rsid w:val="003D21D6"/>
    <w:rsid w:val="003D2234"/>
    <w:rsid w:val="003D225E"/>
    <w:rsid w:val="003D228D"/>
    <w:rsid w:val="003D2364"/>
    <w:rsid w:val="003D2386"/>
    <w:rsid w:val="003D23DD"/>
    <w:rsid w:val="003D244B"/>
    <w:rsid w:val="003D24E0"/>
    <w:rsid w:val="003D250B"/>
    <w:rsid w:val="003D2528"/>
    <w:rsid w:val="003D253B"/>
    <w:rsid w:val="003D2565"/>
    <w:rsid w:val="003D2585"/>
    <w:rsid w:val="003D25A8"/>
    <w:rsid w:val="003D261C"/>
    <w:rsid w:val="003D2620"/>
    <w:rsid w:val="003D2640"/>
    <w:rsid w:val="003D275F"/>
    <w:rsid w:val="003D278A"/>
    <w:rsid w:val="003D27EB"/>
    <w:rsid w:val="003D282B"/>
    <w:rsid w:val="003D284E"/>
    <w:rsid w:val="003D289E"/>
    <w:rsid w:val="003D28BC"/>
    <w:rsid w:val="003D2932"/>
    <w:rsid w:val="003D2943"/>
    <w:rsid w:val="003D29D0"/>
    <w:rsid w:val="003D29FA"/>
    <w:rsid w:val="003D2A46"/>
    <w:rsid w:val="003D2A9A"/>
    <w:rsid w:val="003D2A9F"/>
    <w:rsid w:val="003D2ABF"/>
    <w:rsid w:val="003D2AE6"/>
    <w:rsid w:val="003D2B39"/>
    <w:rsid w:val="003D2B94"/>
    <w:rsid w:val="003D2BF8"/>
    <w:rsid w:val="003D2C08"/>
    <w:rsid w:val="003D2D03"/>
    <w:rsid w:val="003D2D1C"/>
    <w:rsid w:val="003D2E08"/>
    <w:rsid w:val="003D2E19"/>
    <w:rsid w:val="003D2E21"/>
    <w:rsid w:val="003D2E25"/>
    <w:rsid w:val="003D2E64"/>
    <w:rsid w:val="003D2EB0"/>
    <w:rsid w:val="003D2F56"/>
    <w:rsid w:val="003D2F62"/>
    <w:rsid w:val="003D2F7A"/>
    <w:rsid w:val="003D2F7E"/>
    <w:rsid w:val="003D2F86"/>
    <w:rsid w:val="003D2F91"/>
    <w:rsid w:val="003D2F97"/>
    <w:rsid w:val="003D2FE9"/>
    <w:rsid w:val="003D2FF5"/>
    <w:rsid w:val="003D3074"/>
    <w:rsid w:val="003D30AD"/>
    <w:rsid w:val="003D30C1"/>
    <w:rsid w:val="003D30D0"/>
    <w:rsid w:val="003D3127"/>
    <w:rsid w:val="003D3147"/>
    <w:rsid w:val="003D319B"/>
    <w:rsid w:val="003D31AA"/>
    <w:rsid w:val="003D31FE"/>
    <w:rsid w:val="003D3224"/>
    <w:rsid w:val="003D3236"/>
    <w:rsid w:val="003D327C"/>
    <w:rsid w:val="003D329E"/>
    <w:rsid w:val="003D32AD"/>
    <w:rsid w:val="003D32C7"/>
    <w:rsid w:val="003D336D"/>
    <w:rsid w:val="003D33A9"/>
    <w:rsid w:val="003D33C2"/>
    <w:rsid w:val="003D34C2"/>
    <w:rsid w:val="003D351D"/>
    <w:rsid w:val="003D356C"/>
    <w:rsid w:val="003D361D"/>
    <w:rsid w:val="003D36A2"/>
    <w:rsid w:val="003D36EA"/>
    <w:rsid w:val="003D36ED"/>
    <w:rsid w:val="003D371C"/>
    <w:rsid w:val="003D3746"/>
    <w:rsid w:val="003D3786"/>
    <w:rsid w:val="003D379F"/>
    <w:rsid w:val="003D38EC"/>
    <w:rsid w:val="003D399C"/>
    <w:rsid w:val="003D3A20"/>
    <w:rsid w:val="003D3A4B"/>
    <w:rsid w:val="003D3A7C"/>
    <w:rsid w:val="003D3B9B"/>
    <w:rsid w:val="003D3B9D"/>
    <w:rsid w:val="003D3BA5"/>
    <w:rsid w:val="003D3C00"/>
    <w:rsid w:val="003D3C11"/>
    <w:rsid w:val="003D3C15"/>
    <w:rsid w:val="003D3C64"/>
    <w:rsid w:val="003D3C69"/>
    <w:rsid w:val="003D3D2C"/>
    <w:rsid w:val="003D3E3B"/>
    <w:rsid w:val="003D3E74"/>
    <w:rsid w:val="003D3EC6"/>
    <w:rsid w:val="003D3EED"/>
    <w:rsid w:val="003D3F13"/>
    <w:rsid w:val="003D3F2D"/>
    <w:rsid w:val="003D3F4D"/>
    <w:rsid w:val="003D3FB5"/>
    <w:rsid w:val="003D3FB8"/>
    <w:rsid w:val="003D3FBF"/>
    <w:rsid w:val="003D402E"/>
    <w:rsid w:val="003D40FC"/>
    <w:rsid w:val="003D4161"/>
    <w:rsid w:val="003D41BE"/>
    <w:rsid w:val="003D4262"/>
    <w:rsid w:val="003D4283"/>
    <w:rsid w:val="003D42BA"/>
    <w:rsid w:val="003D42CE"/>
    <w:rsid w:val="003D433D"/>
    <w:rsid w:val="003D438E"/>
    <w:rsid w:val="003D439A"/>
    <w:rsid w:val="003D439D"/>
    <w:rsid w:val="003D43CA"/>
    <w:rsid w:val="003D43E3"/>
    <w:rsid w:val="003D43EC"/>
    <w:rsid w:val="003D4481"/>
    <w:rsid w:val="003D4491"/>
    <w:rsid w:val="003D44A8"/>
    <w:rsid w:val="003D44FC"/>
    <w:rsid w:val="003D4537"/>
    <w:rsid w:val="003D45C7"/>
    <w:rsid w:val="003D4618"/>
    <w:rsid w:val="003D4622"/>
    <w:rsid w:val="003D4690"/>
    <w:rsid w:val="003D47D5"/>
    <w:rsid w:val="003D485E"/>
    <w:rsid w:val="003D4873"/>
    <w:rsid w:val="003D494F"/>
    <w:rsid w:val="003D4986"/>
    <w:rsid w:val="003D4A12"/>
    <w:rsid w:val="003D4A4E"/>
    <w:rsid w:val="003D4A70"/>
    <w:rsid w:val="003D4B07"/>
    <w:rsid w:val="003D4BB7"/>
    <w:rsid w:val="003D4CB5"/>
    <w:rsid w:val="003D4CCF"/>
    <w:rsid w:val="003D4CE2"/>
    <w:rsid w:val="003D4D78"/>
    <w:rsid w:val="003D4DB3"/>
    <w:rsid w:val="003D4DC2"/>
    <w:rsid w:val="003D4E38"/>
    <w:rsid w:val="003D4E8E"/>
    <w:rsid w:val="003D4FF7"/>
    <w:rsid w:val="003D5036"/>
    <w:rsid w:val="003D504A"/>
    <w:rsid w:val="003D50ED"/>
    <w:rsid w:val="003D5120"/>
    <w:rsid w:val="003D5121"/>
    <w:rsid w:val="003D5151"/>
    <w:rsid w:val="003D5192"/>
    <w:rsid w:val="003D51D2"/>
    <w:rsid w:val="003D51ED"/>
    <w:rsid w:val="003D522F"/>
    <w:rsid w:val="003D5240"/>
    <w:rsid w:val="003D524E"/>
    <w:rsid w:val="003D52BC"/>
    <w:rsid w:val="003D52C9"/>
    <w:rsid w:val="003D530D"/>
    <w:rsid w:val="003D531C"/>
    <w:rsid w:val="003D5356"/>
    <w:rsid w:val="003D5363"/>
    <w:rsid w:val="003D5377"/>
    <w:rsid w:val="003D5379"/>
    <w:rsid w:val="003D538B"/>
    <w:rsid w:val="003D53AC"/>
    <w:rsid w:val="003D53D2"/>
    <w:rsid w:val="003D53E7"/>
    <w:rsid w:val="003D545C"/>
    <w:rsid w:val="003D5464"/>
    <w:rsid w:val="003D552F"/>
    <w:rsid w:val="003D5536"/>
    <w:rsid w:val="003D556E"/>
    <w:rsid w:val="003D55DE"/>
    <w:rsid w:val="003D55E0"/>
    <w:rsid w:val="003D55E2"/>
    <w:rsid w:val="003D565C"/>
    <w:rsid w:val="003D56C9"/>
    <w:rsid w:val="003D5703"/>
    <w:rsid w:val="003D5728"/>
    <w:rsid w:val="003D5796"/>
    <w:rsid w:val="003D584A"/>
    <w:rsid w:val="003D5885"/>
    <w:rsid w:val="003D58C6"/>
    <w:rsid w:val="003D58DA"/>
    <w:rsid w:val="003D58DF"/>
    <w:rsid w:val="003D5947"/>
    <w:rsid w:val="003D59A0"/>
    <w:rsid w:val="003D59A2"/>
    <w:rsid w:val="003D59B0"/>
    <w:rsid w:val="003D5A36"/>
    <w:rsid w:val="003D5A76"/>
    <w:rsid w:val="003D5AEB"/>
    <w:rsid w:val="003D5B12"/>
    <w:rsid w:val="003D5B64"/>
    <w:rsid w:val="003D5B87"/>
    <w:rsid w:val="003D5B92"/>
    <w:rsid w:val="003D5BAA"/>
    <w:rsid w:val="003D5C9D"/>
    <w:rsid w:val="003D5D32"/>
    <w:rsid w:val="003D5DE2"/>
    <w:rsid w:val="003D5DE6"/>
    <w:rsid w:val="003D5E13"/>
    <w:rsid w:val="003D5EAE"/>
    <w:rsid w:val="003D5ED2"/>
    <w:rsid w:val="003D5EDC"/>
    <w:rsid w:val="003D5F60"/>
    <w:rsid w:val="003D5F6A"/>
    <w:rsid w:val="003D5F7C"/>
    <w:rsid w:val="003D5F82"/>
    <w:rsid w:val="003D5FC5"/>
    <w:rsid w:val="003D606E"/>
    <w:rsid w:val="003D607C"/>
    <w:rsid w:val="003D60DD"/>
    <w:rsid w:val="003D6121"/>
    <w:rsid w:val="003D6145"/>
    <w:rsid w:val="003D61A3"/>
    <w:rsid w:val="003D61AB"/>
    <w:rsid w:val="003D61B9"/>
    <w:rsid w:val="003D6235"/>
    <w:rsid w:val="003D6263"/>
    <w:rsid w:val="003D628E"/>
    <w:rsid w:val="003D629F"/>
    <w:rsid w:val="003D62A2"/>
    <w:rsid w:val="003D630A"/>
    <w:rsid w:val="003D6385"/>
    <w:rsid w:val="003D642A"/>
    <w:rsid w:val="003D644A"/>
    <w:rsid w:val="003D6493"/>
    <w:rsid w:val="003D649B"/>
    <w:rsid w:val="003D651C"/>
    <w:rsid w:val="003D6527"/>
    <w:rsid w:val="003D6572"/>
    <w:rsid w:val="003D65A6"/>
    <w:rsid w:val="003D6619"/>
    <w:rsid w:val="003D66ED"/>
    <w:rsid w:val="003D6723"/>
    <w:rsid w:val="003D67A1"/>
    <w:rsid w:val="003D67BB"/>
    <w:rsid w:val="003D67BD"/>
    <w:rsid w:val="003D682B"/>
    <w:rsid w:val="003D6881"/>
    <w:rsid w:val="003D688F"/>
    <w:rsid w:val="003D6971"/>
    <w:rsid w:val="003D697F"/>
    <w:rsid w:val="003D69AA"/>
    <w:rsid w:val="003D69EB"/>
    <w:rsid w:val="003D6A33"/>
    <w:rsid w:val="003D6AAA"/>
    <w:rsid w:val="003D6AAD"/>
    <w:rsid w:val="003D6AC8"/>
    <w:rsid w:val="003D6B61"/>
    <w:rsid w:val="003D6BC2"/>
    <w:rsid w:val="003D6BE9"/>
    <w:rsid w:val="003D6C71"/>
    <w:rsid w:val="003D6C88"/>
    <w:rsid w:val="003D6D03"/>
    <w:rsid w:val="003D6DA7"/>
    <w:rsid w:val="003D6DF9"/>
    <w:rsid w:val="003D6E0E"/>
    <w:rsid w:val="003D6E46"/>
    <w:rsid w:val="003D6F16"/>
    <w:rsid w:val="003D7034"/>
    <w:rsid w:val="003D705C"/>
    <w:rsid w:val="003D70A5"/>
    <w:rsid w:val="003D70B8"/>
    <w:rsid w:val="003D70C1"/>
    <w:rsid w:val="003D7108"/>
    <w:rsid w:val="003D715B"/>
    <w:rsid w:val="003D71F2"/>
    <w:rsid w:val="003D722A"/>
    <w:rsid w:val="003D72C0"/>
    <w:rsid w:val="003D73DF"/>
    <w:rsid w:val="003D73E7"/>
    <w:rsid w:val="003D740F"/>
    <w:rsid w:val="003D746D"/>
    <w:rsid w:val="003D74DB"/>
    <w:rsid w:val="003D74FB"/>
    <w:rsid w:val="003D7513"/>
    <w:rsid w:val="003D753A"/>
    <w:rsid w:val="003D7553"/>
    <w:rsid w:val="003D75A1"/>
    <w:rsid w:val="003D75BF"/>
    <w:rsid w:val="003D761C"/>
    <w:rsid w:val="003D7661"/>
    <w:rsid w:val="003D7673"/>
    <w:rsid w:val="003D76DE"/>
    <w:rsid w:val="003D7764"/>
    <w:rsid w:val="003D77E5"/>
    <w:rsid w:val="003D7838"/>
    <w:rsid w:val="003D793E"/>
    <w:rsid w:val="003D7950"/>
    <w:rsid w:val="003D7963"/>
    <w:rsid w:val="003D799A"/>
    <w:rsid w:val="003D79D0"/>
    <w:rsid w:val="003D7A3F"/>
    <w:rsid w:val="003D7AD9"/>
    <w:rsid w:val="003D7AEB"/>
    <w:rsid w:val="003D7B6D"/>
    <w:rsid w:val="003D7B9D"/>
    <w:rsid w:val="003D7BFD"/>
    <w:rsid w:val="003D7C5D"/>
    <w:rsid w:val="003D7C61"/>
    <w:rsid w:val="003D7C92"/>
    <w:rsid w:val="003D7DA6"/>
    <w:rsid w:val="003D7DAE"/>
    <w:rsid w:val="003D7E2B"/>
    <w:rsid w:val="003D7E33"/>
    <w:rsid w:val="003D7E6D"/>
    <w:rsid w:val="003D7EA2"/>
    <w:rsid w:val="003D7EC0"/>
    <w:rsid w:val="003D7EEF"/>
    <w:rsid w:val="003D7F53"/>
    <w:rsid w:val="003D7F71"/>
    <w:rsid w:val="003D7F73"/>
    <w:rsid w:val="003D7F93"/>
    <w:rsid w:val="003E0009"/>
    <w:rsid w:val="003E004B"/>
    <w:rsid w:val="003E0083"/>
    <w:rsid w:val="003E009D"/>
    <w:rsid w:val="003E00C0"/>
    <w:rsid w:val="003E00E3"/>
    <w:rsid w:val="003E0149"/>
    <w:rsid w:val="003E016F"/>
    <w:rsid w:val="003E018A"/>
    <w:rsid w:val="003E0200"/>
    <w:rsid w:val="003E024C"/>
    <w:rsid w:val="003E027F"/>
    <w:rsid w:val="003E0282"/>
    <w:rsid w:val="003E028D"/>
    <w:rsid w:val="003E02C5"/>
    <w:rsid w:val="003E036B"/>
    <w:rsid w:val="003E0370"/>
    <w:rsid w:val="003E0388"/>
    <w:rsid w:val="003E038C"/>
    <w:rsid w:val="003E03D6"/>
    <w:rsid w:val="003E03DD"/>
    <w:rsid w:val="003E03FF"/>
    <w:rsid w:val="003E040F"/>
    <w:rsid w:val="003E0431"/>
    <w:rsid w:val="003E046A"/>
    <w:rsid w:val="003E053E"/>
    <w:rsid w:val="003E05A8"/>
    <w:rsid w:val="003E05DB"/>
    <w:rsid w:val="003E05ED"/>
    <w:rsid w:val="003E062A"/>
    <w:rsid w:val="003E0656"/>
    <w:rsid w:val="003E067C"/>
    <w:rsid w:val="003E06AE"/>
    <w:rsid w:val="003E0701"/>
    <w:rsid w:val="003E0721"/>
    <w:rsid w:val="003E07AB"/>
    <w:rsid w:val="003E0901"/>
    <w:rsid w:val="003E0943"/>
    <w:rsid w:val="003E09F4"/>
    <w:rsid w:val="003E0A29"/>
    <w:rsid w:val="003E0A2F"/>
    <w:rsid w:val="003E0A74"/>
    <w:rsid w:val="003E0AA2"/>
    <w:rsid w:val="003E0ADC"/>
    <w:rsid w:val="003E0B4C"/>
    <w:rsid w:val="003E0B82"/>
    <w:rsid w:val="003E0C21"/>
    <w:rsid w:val="003E0C28"/>
    <w:rsid w:val="003E0C45"/>
    <w:rsid w:val="003E0C6C"/>
    <w:rsid w:val="003E0C74"/>
    <w:rsid w:val="003E0C80"/>
    <w:rsid w:val="003E0D39"/>
    <w:rsid w:val="003E0D98"/>
    <w:rsid w:val="003E0E88"/>
    <w:rsid w:val="003E0EA5"/>
    <w:rsid w:val="003E0F02"/>
    <w:rsid w:val="003E0F0B"/>
    <w:rsid w:val="003E0F87"/>
    <w:rsid w:val="003E0FBF"/>
    <w:rsid w:val="003E0FC8"/>
    <w:rsid w:val="003E0FE6"/>
    <w:rsid w:val="003E1021"/>
    <w:rsid w:val="003E103B"/>
    <w:rsid w:val="003E106A"/>
    <w:rsid w:val="003E1100"/>
    <w:rsid w:val="003E1199"/>
    <w:rsid w:val="003E11F2"/>
    <w:rsid w:val="003E11F7"/>
    <w:rsid w:val="003E1219"/>
    <w:rsid w:val="003E1271"/>
    <w:rsid w:val="003E1286"/>
    <w:rsid w:val="003E128B"/>
    <w:rsid w:val="003E12BB"/>
    <w:rsid w:val="003E1362"/>
    <w:rsid w:val="003E137A"/>
    <w:rsid w:val="003E13B3"/>
    <w:rsid w:val="003E13F2"/>
    <w:rsid w:val="003E13FE"/>
    <w:rsid w:val="003E1433"/>
    <w:rsid w:val="003E144F"/>
    <w:rsid w:val="003E14AF"/>
    <w:rsid w:val="003E1506"/>
    <w:rsid w:val="003E155B"/>
    <w:rsid w:val="003E15BC"/>
    <w:rsid w:val="003E15DB"/>
    <w:rsid w:val="003E163A"/>
    <w:rsid w:val="003E1700"/>
    <w:rsid w:val="003E1710"/>
    <w:rsid w:val="003E171F"/>
    <w:rsid w:val="003E17EB"/>
    <w:rsid w:val="003E1891"/>
    <w:rsid w:val="003E190B"/>
    <w:rsid w:val="003E1942"/>
    <w:rsid w:val="003E1960"/>
    <w:rsid w:val="003E1977"/>
    <w:rsid w:val="003E1979"/>
    <w:rsid w:val="003E19EA"/>
    <w:rsid w:val="003E1A12"/>
    <w:rsid w:val="003E1ADD"/>
    <w:rsid w:val="003E1B44"/>
    <w:rsid w:val="003E1B51"/>
    <w:rsid w:val="003E1B56"/>
    <w:rsid w:val="003E1C54"/>
    <w:rsid w:val="003E1C59"/>
    <w:rsid w:val="003E1C5D"/>
    <w:rsid w:val="003E1C5E"/>
    <w:rsid w:val="003E1C79"/>
    <w:rsid w:val="003E1C89"/>
    <w:rsid w:val="003E1D1A"/>
    <w:rsid w:val="003E1D2B"/>
    <w:rsid w:val="003E1D2F"/>
    <w:rsid w:val="003E1D92"/>
    <w:rsid w:val="003E1E6D"/>
    <w:rsid w:val="003E1F1C"/>
    <w:rsid w:val="003E1F5D"/>
    <w:rsid w:val="003E1F71"/>
    <w:rsid w:val="003E1FA2"/>
    <w:rsid w:val="003E1FE7"/>
    <w:rsid w:val="003E2019"/>
    <w:rsid w:val="003E2063"/>
    <w:rsid w:val="003E2115"/>
    <w:rsid w:val="003E212A"/>
    <w:rsid w:val="003E2185"/>
    <w:rsid w:val="003E219B"/>
    <w:rsid w:val="003E21DB"/>
    <w:rsid w:val="003E2270"/>
    <w:rsid w:val="003E2280"/>
    <w:rsid w:val="003E22C7"/>
    <w:rsid w:val="003E22C8"/>
    <w:rsid w:val="003E238E"/>
    <w:rsid w:val="003E244F"/>
    <w:rsid w:val="003E24AA"/>
    <w:rsid w:val="003E24BE"/>
    <w:rsid w:val="003E2562"/>
    <w:rsid w:val="003E25EF"/>
    <w:rsid w:val="003E2644"/>
    <w:rsid w:val="003E26FD"/>
    <w:rsid w:val="003E2722"/>
    <w:rsid w:val="003E2726"/>
    <w:rsid w:val="003E278B"/>
    <w:rsid w:val="003E27D8"/>
    <w:rsid w:val="003E27E1"/>
    <w:rsid w:val="003E27EF"/>
    <w:rsid w:val="003E27F1"/>
    <w:rsid w:val="003E28E0"/>
    <w:rsid w:val="003E2901"/>
    <w:rsid w:val="003E298A"/>
    <w:rsid w:val="003E2A0B"/>
    <w:rsid w:val="003E2A13"/>
    <w:rsid w:val="003E2A1A"/>
    <w:rsid w:val="003E2AB6"/>
    <w:rsid w:val="003E2AD2"/>
    <w:rsid w:val="003E2B0F"/>
    <w:rsid w:val="003E2B1D"/>
    <w:rsid w:val="003E2B47"/>
    <w:rsid w:val="003E2B55"/>
    <w:rsid w:val="003E2B82"/>
    <w:rsid w:val="003E2BB1"/>
    <w:rsid w:val="003E2BF9"/>
    <w:rsid w:val="003E2BFB"/>
    <w:rsid w:val="003E2C6A"/>
    <w:rsid w:val="003E2D6C"/>
    <w:rsid w:val="003E2DC5"/>
    <w:rsid w:val="003E2DFF"/>
    <w:rsid w:val="003E2E0F"/>
    <w:rsid w:val="003E2F01"/>
    <w:rsid w:val="003E2F04"/>
    <w:rsid w:val="003E2F7B"/>
    <w:rsid w:val="003E2F81"/>
    <w:rsid w:val="003E2FB1"/>
    <w:rsid w:val="003E2FB5"/>
    <w:rsid w:val="003E30AE"/>
    <w:rsid w:val="003E3178"/>
    <w:rsid w:val="003E320E"/>
    <w:rsid w:val="003E3258"/>
    <w:rsid w:val="003E32AA"/>
    <w:rsid w:val="003E32B7"/>
    <w:rsid w:val="003E331D"/>
    <w:rsid w:val="003E336E"/>
    <w:rsid w:val="003E3381"/>
    <w:rsid w:val="003E3385"/>
    <w:rsid w:val="003E33A8"/>
    <w:rsid w:val="003E33FC"/>
    <w:rsid w:val="003E34D5"/>
    <w:rsid w:val="003E353B"/>
    <w:rsid w:val="003E3598"/>
    <w:rsid w:val="003E35C8"/>
    <w:rsid w:val="003E372E"/>
    <w:rsid w:val="003E3736"/>
    <w:rsid w:val="003E3738"/>
    <w:rsid w:val="003E373C"/>
    <w:rsid w:val="003E3772"/>
    <w:rsid w:val="003E37D8"/>
    <w:rsid w:val="003E37F2"/>
    <w:rsid w:val="003E384B"/>
    <w:rsid w:val="003E38BC"/>
    <w:rsid w:val="003E38D7"/>
    <w:rsid w:val="003E38DC"/>
    <w:rsid w:val="003E3906"/>
    <w:rsid w:val="003E390C"/>
    <w:rsid w:val="003E3979"/>
    <w:rsid w:val="003E3A39"/>
    <w:rsid w:val="003E3A54"/>
    <w:rsid w:val="003E3A69"/>
    <w:rsid w:val="003E3A75"/>
    <w:rsid w:val="003E3AA6"/>
    <w:rsid w:val="003E3AF6"/>
    <w:rsid w:val="003E3B28"/>
    <w:rsid w:val="003E3B54"/>
    <w:rsid w:val="003E3B75"/>
    <w:rsid w:val="003E3BDE"/>
    <w:rsid w:val="003E3BF2"/>
    <w:rsid w:val="003E3CA0"/>
    <w:rsid w:val="003E3CAD"/>
    <w:rsid w:val="003E3CC1"/>
    <w:rsid w:val="003E3CE5"/>
    <w:rsid w:val="003E3D02"/>
    <w:rsid w:val="003E3D11"/>
    <w:rsid w:val="003E3D3A"/>
    <w:rsid w:val="003E3D8C"/>
    <w:rsid w:val="003E3DAB"/>
    <w:rsid w:val="003E3DBA"/>
    <w:rsid w:val="003E3DDF"/>
    <w:rsid w:val="003E3DEA"/>
    <w:rsid w:val="003E3DEC"/>
    <w:rsid w:val="003E3DF2"/>
    <w:rsid w:val="003E3E0F"/>
    <w:rsid w:val="003E3EA8"/>
    <w:rsid w:val="003E3EEE"/>
    <w:rsid w:val="003E3F64"/>
    <w:rsid w:val="003E3F73"/>
    <w:rsid w:val="003E3F92"/>
    <w:rsid w:val="003E4030"/>
    <w:rsid w:val="003E4044"/>
    <w:rsid w:val="003E4045"/>
    <w:rsid w:val="003E408D"/>
    <w:rsid w:val="003E40B2"/>
    <w:rsid w:val="003E40D2"/>
    <w:rsid w:val="003E4161"/>
    <w:rsid w:val="003E4181"/>
    <w:rsid w:val="003E41A5"/>
    <w:rsid w:val="003E41A8"/>
    <w:rsid w:val="003E41B2"/>
    <w:rsid w:val="003E41B9"/>
    <w:rsid w:val="003E4266"/>
    <w:rsid w:val="003E4318"/>
    <w:rsid w:val="003E4354"/>
    <w:rsid w:val="003E4377"/>
    <w:rsid w:val="003E43B2"/>
    <w:rsid w:val="003E43B9"/>
    <w:rsid w:val="003E4427"/>
    <w:rsid w:val="003E4465"/>
    <w:rsid w:val="003E44E9"/>
    <w:rsid w:val="003E4508"/>
    <w:rsid w:val="003E4514"/>
    <w:rsid w:val="003E4557"/>
    <w:rsid w:val="003E45E9"/>
    <w:rsid w:val="003E4654"/>
    <w:rsid w:val="003E4675"/>
    <w:rsid w:val="003E4680"/>
    <w:rsid w:val="003E46C4"/>
    <w:rsid w:val="003E46E7"/>
    <w:rsid w:val="003E4710"/>
    <w:rsid w:val="003E4712"/>
    <w:rsid w:val="003E475D"/>
    <w:rsid w:val="003E47C8"/>
    <w:rsid w:val="003E495A"/>
    <w:rsid w:val="003E49F6"/>
    <w:rsid w:val="003E4A17"/>
    <w:rsid w:val="003E4A2A"/>
    <w:rsid w:val="003E4A8C"/>
    <w:rsid w:val="003E4AEA"/>
    <w:rsid w:val="003E4AF7"/>
    <w:rsid w:val="003E4B48"/>
    <w:rsid w:val="003E4B6A"/>
    <w:rsid w:val="003E4BEF"/>
    <w:rsid w:val="003E4C3E"/>
    <w:rsid w:val="003E4C54"/>
    <w:rsid w:val="003E4CB8"/>
    <w:rsid w:val="003E4D35"/>
    <w:rsid w:val="003E4D3B"/>
    <w:rsid w:val="003E4D4F"/>
    <w:rsid w:val="003E4D75"/>
    <w:rsid w:val="003E4D81"/>
    <w:rsid w:val="003E4E04"/>
    <w:rsid w:val="003E4EC0"/>
    <w:rsid w:val="003E4F5B"/>
    <w:rsid w:val="003E4FC8"/>
    <w:rsid w:val="003E4FED"/>
    <w:rsid w:val="003E501D"/>
    <w:rsid w:val="003E506D"/>
    <w:rsid w:val="003E5070"/>
    <w:rsid w:val="003E50BE"/>
    <w:rsid w:val="003E5120"/>
    <w:rsid w:val="003E514D"/>
    <w:rsid w:val="003E515F"/>
    <w:rsid w:val="003E5223"/>
    <w:rsid w:val="003E5276"/>
    <w:rsid w:val="003E5370"/>
    <w:rsid w:val="003E53BE"/>
    <w:rsid w:val="003E53C5"/>
    <w:rsid w:val="003E53D3"/>
    <w:rsid w:val="003E540B"/>
    <w:rsid w:val="003E5434"/>
    <w:rsid w:val="003E5453"/>
    <w:rsid w:val="003E54F0"/>
    <w:rsid w:val="003E5529"/>
    <w:rsid w:val="003E5563"/>
    <w:rsid w:val="003E557A"/>
    <w:rsid w:val="003E5595"/>
    <w:rsid w:val="003E55F0"/>
    <w:rsid w:val="003E569E"/>
    <w:rsid w:val="003E5706"/>
    <w:rsid w:val="003E5768"/>
    <w:rsid w:val="003E57BC"/>
    <w:rsid w:val="003E5801"/>
    <w:rsid w:val="003E5930"/>
    <w:rsid w:val="003E593D"/>
    <w:rsid w:val="003E59F7"/>
    <w:rsid w:val="003E5A28"/>
    <w:rsid w:val="003E5A92"/>
    <w:rsid w:val="003E5AE3"/>
    <w:rsid w:val="003E5B0B"/>
    <w:rsid w:val="003E5B17"/>
    <w:rsid w:val="003E5BF2"/>
    <w:rsid w:val="003E5C10"/>
    <w:rsid w:val="003E5C9F"/>
    <w:rsid w:val="003E5CC5"/>
    <w:rsid w:val="003E5D9C"/>
    <w:rsid w:val="003E5DC8"/>
    <w:rsid w:val="003E5E5D"/>
    <w:rsid w:val="003E5E9D"/>
    <w:rsid w:val="003E5EB7"/>
    <w:rsid w:val="003E5ED2"/>
    <w:rsid w:val="003E5EE5"/>
    <w:rsid w:val="003E5F2A"/>
    <w:rsid w:val="003E5F54"/>
    <w:rsid w:val="003E5F95"/>
    <w:rsid w:val="003E5F98"/>
    <w:rsid w:val="003E5FCE"/>
    <w:rsid w:val="003E600E"/>
    <w:rsid w:val="003E6044"/>
    <w:rsid w:val="003E6052"/>
    <w:rsid w:val="003E6061"/>
    <w:rsid w:val="003E6062"/>
    <w:rsid w:val="003E606D"/>
    <w:rsid w:val="003E60CE"/>
    <w:rsid w:val="003E60DA"/>
    <w:rsid w:val="003E612C"/>
    <w:rsid w:val="003E6135"/>
    <w:rsid w:val="003E616A"/>
    <w:rsid w:val="003E61B2"/>
    <w:rsid w:val="003E61C4"/>
    <w:rsid w:val="003E61EE"/>
    <w:rsid w:val="003E61F7"/>
    <w:rsid w:val="003E62D6"/>
    <w:rsid w:val="003E6335"/>
    <w:rsid w:val="003E6351"/>
    <w:rsid w:val="003E63AB"/>
    <w:rsid w:val="003E63BD"/>
    <w:rsid w:val="003E6436"/>
    <w:rsid w:val="003E6455"/>
    <w:rsid w:val="003E64C6"/>
    <w:rsid w:val="003E652F"/>
    <w:rsid w:val="003E6550"/>
    <w:rsid w:val="003E65ED"/>
    <w:rsid w:val="003E6627"/>
    <w:rsid w:val="003E6636"/>
    <w:rsid w:val="003E6694"/>
    <w:rsid w:val="003E66FF"/>
    <w:rsid w:val="003E6765"/>
    <w:rsid w:val="003E67CC"/>
    <w:rsid w:val="003E67E1"/>
    <w:rsid w:val="003E6858"/>
    <w:rsid w:val="003E687B"/>
    <w:rsid w:val="003E68C5"/>
    <w:rsid w:val="003E698F"/>
    <w:rsid w:val="003E69AB"/>
    <w:rsid w:val="003E69AD"/>
    <w:rsid w:val="003E6A37"/>
    <w:rsid w:val="003E6A65"/>
    <w:rsid w:val="003E6A76"/>
    <w:rsid w:val="003E6A88"/>
    <w:rsid w:val="003E6A9C"/>
    <w:rsid w:val="003E6B45"/>
    <w:rsid w:val="003E6BBC"/>
    <w:rsid w:val="003E6BCB"/>
    <w:rsid w:val="003E6C09"/>
    <w:rsid w:val="003E6C1E"/>
    <w:rsid w:val="003E6C50"/>
    <w:rsid w:val="003E6C68"/>
    <w:rsid w:val="003E6CDD"/>
    <w:rsid w:val="003E6D78"/>
    <w:rsid w:val="003E6D79"/>
    <w:rsid w:val="003E6DB8"/>
    <w:rsid w:val="003E6DCB"/>
    <w:rsid w:val="003E6E61"/>
    <w:rsid w:val="003E6E77"/>
    <w:rsid w:val="003E6E7C"/>
    <w:rsid w:val="003E6EF3"/>
    <w:rsid w:val="003E6FAC"/>
    <w:rsid w:val="003E6FDF"/>
    <w:rsid w:val="003E7048"/>
    <w:rsid w:val="003E7057"/>
    <w:rsid w:val="003E708F"/>
    <w:rsid w:val="003E709F"/>
    <w:rsid w:val="003E70E1"/>
    <w:rsid w:val="003E70F1"/>
    <w:rsid w:val="003E71E4"/>
    <w:rsid w:val="003E726D"/>
    <w:rsid w:val="003E72BE"/>
    <w:rsid w:val="003E7379"/>
    <w:rsid w:val="003E7443"/>
    <w:rsid w:val="003E7458"/>
    <w:rsid w:val="003E74B5"/>
    <w:rsid w:val="003E7576"/>
    <w:rsid w:val="003E7590"/>
    <w:rsid w:val="003E75B6"/>
    <w:rsid w:val="003E75C5"/>
    <w:rsid w:val="003E75E4"/>
    <w:rsid w:val="003E7653"/>
    <w:rsid w:val="003E765A"/>
    <w:rsid w:val="003E765B"/>
    <w:rsid w:val="003E76D2"/>
    <w:rsid w:val="003E774C"/>
    <w:rsid w:val="003E7782"/>
    <w:rsid w:val="003E7795"/>
    <w:rsid w:val="003E77B8"/>
    <w:rsid w:val="003E7833"/>
    <w:rsid w:val="003E789C"/>
    <w:rsid w:val="003E78FD"/>
    <w:rsid w:val="003E79C8"/>
    <w:rsid w:val="003E7A62"/>
    <w:rsid w:val="003E7AED"/>
    <w:rsid w:val="003E7B66"/>
    <w:rsid w:val="003E7B89"/>
    <w:rsid w:val="003E7B90"/>
    <w:rsid w:val="003E7B99"/>
    <w:rsid w:val="003E7D05"/>
    <w:rsid w:val="003E7DB9"/>
    <w:rsid w:val="003E7E24"/>
    <w:rsid w:val="003E7E7A"/>
    <w:rsid w:val="003E7EC0"/>
    <w:rsid w:val="003E7F25"/>
    <w:rsid w:val="003E7F3E"/>
    <w:rsid w:val="003E7F45"/>
    <w:rsid w:val="003E7FD7"/>
    <w:rsid w:val="003F0073"/>
    <w:rsid w:val="003F00C1"/>
    <w:rsid w:val="003F0105"/>
    <w:rsid w:val="003F0168"/>
    <w:rsid w:val="003F019A"/>
    <w:rsid w:val="003F019C"/>
    <w:rsid w:val="003F01E5"/>
    <w:rsid w:val="003F01EF"/>
    <w:rsid w:val="003F01F5"/>
    <w:rsid w:val="003F026F"/>
    <w:rsid w:val="003F0273"/>
    <w:rsid w:val="003F0274"/>
    <w:rsid w:val="003F030A"/>
    <w:rsid w:val="003F030C"/>
    <w:rsid w:val="003F0317"/>
    <w:rsid w:val="003F0327"/>
    <w:rsid w:val="003F03CD"/>
    <w:rsid w:val="003F043A"/>
    <w:rsid w:val="003F0458"/>
    <w:rsid w:val="003F046E"/>
    <w:rsid w:val="003F0483"/>
    <w:rsid w:val="003F0493"/>
    <w:rsid w:val="003F04D8"/>
    <w:rsid w:val="003F0501"/>
    <w:rsid w:val="003F052B"/>
    <w:rsid w:val="003F0585"/>
    <w:rsid w:val="003F05B2"/>
    <w:rsid w:val="003F0707"/>
    <w:rsid w:val="003F070F"/>
    <w:rsid w:val="003F0750"/>
    <w:rsid w:val="003F078B"/>
    <w:rsid w:val="003F07A4"/>
    <w:rsid w:val="003F07B8"/>
    <w:rsid w:val="003F090B"/>
    <w:rsid w:val="003F0949"/>
    <w:rsid w:val="003F09C4"/>
    <w:rsid w:val="003F0A12"/>
    <w:rsid w:val="003F0A17"/>
    <w:rsid w:val="003F0A7C"/>
    <w:rsid w:val="003F0ADE"/>
    <w:rsid w:val="003F0B08"/>
    <w:rsid w:val="003F0BC5"/>
    <w:rsid w:val="003F0C59"/>
    <w:rsid w:val="003F0CF4"/>
    <w:rsid w:val="003F0D7D"/>
    <w:rsid w:val="003F0D7F"/>
    <w:rsid w:val="003F0E22"/>
    <w:rsid w:val="003F0E5F"/>
    <w:rsid w:val="003F0E6D"/>
    <w:rsid w:val="003F0EC9"/>
    <w:rsid w:val="003F0ED5"/>
    <w:rsid w:val="003F0F0A"/>
    <w:rsid w:val="003F0F34"/>
    <w:rsid w:val="003F0F35"/>
    <w:rsid w:val="003F0F92"/>
    <w:rsid w:val="003F0F93"/>
    <w:rsid w:val="003F0F9C"/>
    <w:rsid w:val="003F0FE2"/>
    <w:rsid w:val="003F1000"/>
    <w:rsid w:val="003F103D"/>
    <w:rsid w:val="003F1086"/>
    <w:rsid w:val="003F10A9"/>
    <w:rsid w:val="003F1126"/>
    <w:rsid w:val="003F1179"/>
    <w:rsid w:val="003F11E0"/>
    <w:rsid w:val="003F1213"/>
    <w:rsid w:val="003F1254"/>
    <w:rsid w:val="003F1260"/>
    <w:rsid w:val="003F12CB"/>
    <w:rsid w:val="003F12E9"/>
    <w:rsid w:val="003F130A"/>
    <w:rsid w:val="003F133E"/>
    <w:rsid w:val="003F137E"/>
    <w:rsid w:val="003F1385"/>
    <w:rsid w:val="003F13B9"/>
    <w:rsid w:val="003F1437"/>
    <w:rsid w:val="003F145D"/>
    <w:rsid w:val="003F14B4"/>
    <w:rsid w:val="003F15B5"/>
    <w:rsid w:val="003F15C6"/>
    <w:rsid w:val="003F15E2"/>
    <w:rsid w:val="003F15E3"/>
    <w:rsid w:val="003F15F7"/>
    <w:rsid w:val="003F165F"/>
    <w:rsid w:val="003F1681"/>
    <w:rsid w:val="003F16D5"/>
    <w:rsid w:val="003F1708"/>
    <w:rsid w:val="003F171B"/>
    <w:rsid w:val="003F175A"/>
    <w:rsid w:val="003F17BF"/>
    <w:rsid w:val="003F1829"/>
    <w:rsid w:val="003F18BC"/>
    <w:rsid w:val="003F18DF"/>
    <w:rsid w:val="003F192F"/>
    <w:rsid w:val="003F1949"/>
    <w:rsid w:val="003F1964"/>
    <w:rsid w:val="003F19CD"/>
    <w:rsid w:val="003F1B18"/>
    <w:rsid w:val="003F1B8A"/>
    <w:rsid w:val="003F1BDC"/>
    <w:rsid w:val="003F1BE0"/>
    <w:rsid w:val="003F1C4E"/>
    <w:rsid w:val="003F1CAA"/>
    <w:rsid w:val="003F1D10"/>
    <w:rsid w:val="003F1D47"/>
    <w:rsid w:val="003F1D79"/>
    <w:rsid w:val="003F1DBD"/>
    <w:rsid w:val="003F1E48"/>
    <w:rsid w:val="003F1ECE"/>
    <w:rsid w:val="003F1EE5"/>
    <w:rsid w:val="003F1F40"/>
    <w:rsid w:val="003F1F6A"/>
    <w:rsid w:val="003F1F7F"/>
    <w:rsid w:val="003F2002"/>
    <w:rsid w:val="003F2026"/>
    <w:rsid w:val="003F203A"/>
    <w:rsid w:val="003F2066"/>
    <w:rsid w:val="003F20AA"/>
    <w:rsid w:val="003F20C4"/>
    <w:rsid w:val="003F2187"/>
    <w:rsid w:val="003F2191"/>
    <w:rsid w:val="003F2272"/>
    <w:rsid w:val="003F2293"/>
    <w:rsid w:val="003F2361"/>
    <w:rsid w:val="003F23C6"/>
    <w:rsid w:val="003F241A"/>
    <w:rsid w:val="003F245C"/>
    <w:rsid w:val="003F246F"/>
    <w:rsid w:val="003F248F"/>
    <w:rsid w:val="003F2538"/>
    <w:rsid w:val="003F2554"/>
    <w:rsid w:val="003F2570"/>
    <w:rsid w:val="003F259E"/>
    <w:rsid w:val="003F2645"/>
    <w:rsid w:val="003F2686"/>
    <w:rsid w:val="003F269A"/>
    <w:rsid w:val="003F26EC"/>
    <w:rsid w:val="003F2888"/>
    <w:rsid w:val="003F2A48"/>
    <w:rsid w:val="003F2AE9"/>
    <w:rsid w:val="003F2B0B"/>
    <w:rsid w:val="003F2B48"/>
    <w:rsid w:val="003F2B93"/>
    <w:rsid w:val="003F2BB7"/>
    <w:rsid w:val="003F2BC3"/>
    <w:rsid w:val="003F2C10"/>
    <w:rsid w:val="003F2C8A"/>
    <w:rsid w:val="003F2D1A"/>
    <w:rsid w:val="003F2D25"/>
    <w:rsid w:val="003F2DA1"/>
    <w:rsid w:val="003F2E28"/>
    <w:rsid w:val="003F2EB1"/>
    <w:rsid w:val="003F2EE8"/>
    <w:rsid w:val="003F2F5B"/>
    <w:rsid w:val="003F2F5D"/>
    <w:rsid w:val="003F3065"/>
    <w:rsid w:val="003F30FC"/>
    <w:rsid w:val="003F3103"/>
    <w:rsid w:val="003F3107"/>
    <w:rsid w:val="003F310F"/>
    <w:rsid w:val="003F3153"/>
    <w:rsid w:val="003F3194"/>
    <w:rsid w:val="003F320B"/>
    <w:rsid w:val="003F320F"/>
    <w:rsid w:val="003F3253"/>
    <w:rsid w:val="003F329B"/>
    <w:rsid w:val="003F32A8"/>
    <w:rsid w:val="003F32CA"/>
    <w:rsid w:val="003F32F4"/>
    <w:rsid w:val="003F3337"/>
    <w:rsid w:val="003F3378"/>
    <w:rsid w:val="003F3443"/>
    <w:rsid w:val="003F3474"/>
    <w:rsid w:val="003F3488"/>
    <w:rsid w:val="003F3559"/>
    <w:rsid w:val="003F35AB"/>
    <w:rsid w:val="003F35C5"/>
    <w:rsid w:val="003F35D0"/>
    <w:rsid w:val="003F35F3"/>
    <w:rsid w:val="003F36A7"/>
    <w:rsid w:val="003F3716"/>
    <w:rsid w:val="003F371A"/>
    <w:rsid w:val="003F371B"/>
    <w:rsid w:val="003F37A9"/>
    <w:rsid w:val="003F37BC"/>
    <w:rsid w:val="003F37E0"/>
    <w:rsid w:val="003F381D"/>
    <w:rsid w:val="003F381F"/>
    <w:rsid w:val="003F384E"/>
    <w:rsid w:val="003F3887"/>
    <w:rsid w:val="003F3898"/>
    <w:rsid w:val="003F38CD"/>
    <w:rsid w:val="003F390E"/>
    <w:rsid w:val="003F39D0"/>
    <w:rsid w:val="003F3BCB"/>
    <w:rsid w:val="003F3BE6"/>
    <w:rsid w:val="003F3BFC"/>
    <w:rsid w:val="003F3C98"/>
    <w:rsid w:val="003F3CC9"/>
    <w:rsid w:val="003F3D0E"/>
    <w:rsid w:val="003F3D16"/>
    <w:rsid w:val="003F3DAC"/>
    <w:rsid w:val="003F3E4E"/>
    <w:rsid w:val="003F3E52"/>
    <w:rsid w:val="003F3E84"/>
    <w:rsid w:val="003F3EAD"/>
    <w:rsid w:val="003F3EDA"/>
    <w:rsid w:val="003F3FAC"/>
    <w:rsid w:val="003F3FD4"/>
    <w:rsid w:val="003F3FF3"/>
    <w:rsid w:val="003F40F9"/>
    <w:rsid w:val="003F4180"/>
    <w:rsid w:val="003F41B8"/>
    <w:rsid w:val="003F4237"/>
    <w:rsid w:val="003F42DA"/>
    <w:rsid w:val="003F42FB"/>
    <w:rsid w:val="003F43A3"/>
    <w:rsid w:val="003F43CA"/>
    <w:rsid w:val="003F4460"/>
    <w:rsid w:val="003F4492"/>
    <w:rsid w:val="003F44D5"/>
    <w:rsid w:val="003F44E9"/>
    <w:rsid w:val="003F44F1"/>
    <w:rsid w:val="003F4514"/>
    <w:rsid w:val="003F451E"/>
    <w:rsid w:val="003F452E"/>
    <w:rsid w:val="003F4586"/>
    <w:rsid w:val="003F467E"/>
    <w:rsid w:val="003F46BB"/>
    <w:rsid w:val="003F46F3"/>
    <w:rsid w:val="003F476C"/>
    <w:rsid w:val="003F4793"/>
    <w:rsid w:val="003F47F4"/>
    <w:rsid w:val="003F483D"/>
    <w:rsid w:val="003F4862"/>
    <w:rsid w:val="003F48BB"/>
    <w:rsid w:val="003F48F7"/>
    <w:rsid w:val="003F494D"/>
    <w:rsid w:val="003F49DB"/>
    <w:rsid w:val="003F4A04"/>
    <w:rsid w:val="003F4ADF"/>
    <w:rsid w:val="003F4AFB"/>
    <w:rsid w:val="003F4B07"/>
    <w:rsid w:val="003F4B21"/>
    <w:rsid w:val="003F4B3F"/>
    <w:rsid w:val="003F4B74"/>
    <w:rsid w:val="003F4C26"/>
    <w:rsid w:val="003F4C68"/>
    <w:rsid w:val="003F4D20"/>
    <w:rsid w:val="003F4D59"/>
    <w:rsid w:val="003F4D7E"/>
    <w:rsid w:val="003F4E61"/>
    <w:rsid w:val="003F4E70"/>
    <w:rsid w:val="003F4ED4"/>
    <w:rsid w:val="003F4EFC"/>
    <w:rsid w:val="003F4F20"/>
    <w:rsid w:val="003F4F59"/>
    <w:rsid w:val="003F4FC6"/>
    <w:rsid w:val="003F5028"/>
    <w:rsid w:val="003F503C"/>
    <w:rsid w:val="003F504E"/>
    <w:rsid w:val="003F510D"/>
    <w:rsid w:val="003F515C"/>
    <w:rsid w:val="003F51B7"/>
    <w:rsid w:val="003F51C3"/>
    <w:rsid w:val="003F5215"/>
    <w:rsid w:val="003F5219"/>
    <w:rsid w:val="003F5289"/>
    <w:rsid w:val="003F52EB"/>
    <w:rsid w:val="003F5310"/>
    <w:rsid w:val="003F5319"/>
    <w:rsid w:val="003F53E6"/>
    <w:rsid w:val="003F54C2"/>
    <w:rsid w:val="003F54EB"/>
    <w:rsid w:val="003F54EE"/>
    <w:rsid w:val="003F5564"/>
    <w:rsid w:val="003F55C9"/>
    <w:rsid w:val="003F5628"/>
    <w:rsid w:val="003F568A"/>
    <w:rsid w:val="003F5691"/>
    <w:rsid w:val="003F5694"/>
    <w:rsid w:val="003F5706"/>
    <w:rsid w:val="003F57C7"/>
    <w:rsid w:val="003F57E4"/>
    <w:rsid w:val="003F584E"/>
    <w:rsid w:val="003F5866"/>
    <w:rsid w:val="003F58B9"/>
    <w:rsid w:val="003F5956"/>
    <w:rsid w:val="003F5966"/>
    <w:rsid w:val="003F59B8"/>
    <w:rsid w:val="003F59BD"/>
    <w:rsid w:val="003F59CD"/>
    <w:rsid w:val="003F5A3D"/>
    <w:rsid w:val="003F5A46"/>
    <w:rsid w:val="003F5B0C"/>
    <w:rsid w:val="003F5B2A"/>
    <w:rsid w:val="003F5B37"/>
    <w:rsid w:val="003F5B3E"/>
    <w:rsid w:val="003F5B45"/>
    <w:rsid w:val="003F5B5D"/>
    <w:rsid w:val="003F5B63"/>
    <w:rsid w:val="003F5B6E"/>
    <w:rsid w:val="003F5BC1"/>
    <w:rsid w:val="003F5C14"/>
    <w:rsid w:val="003F5C7D"/>
    <w:rsid w:val="003F5CDA"/>
    <w:rsid w:val="003F5D88"/>
    <w:rsid w:val="003F5DEE"/>
    <w:rsid w:val="003F5E4D"/>
    <w:rsid w:val="003F5EAD"/>
    <w:rsid w:val="003F5F01"/>
    <w:rsid w:val="003F5F6E"/>
    <w:rsid w:val="003F5F97"/>
    <w:rsid w:val="003F5FBB"/>
    <w:rsid w:val="003F5FDE"/>
    <w:rsid w:val="003F5FEC"/>
    <w:rsid w:val="003F5FFB"/>
    <w:rsid w:val="003F600E"/>
    <w:rsid w:val="003F6036"/>
    <w:rsid w:val="003F6064"/>
    <w:rsid w:val="003F606A"/>
    <w:rsid w:val="003F6079"/>
    <w:rsid w:val="003F609B"/>
    <w:rsid w:val="003F60E9"/>
    <w:rsid w:val="003F6108"/>
    <w:rsid w:val="003F615A"/>
    <w:rsid w:val="003F6164"/>
    <w:rsid w:val="003F617C"/>
    <w:rsid w:val="003F618E"/>
    <w:rsid w:val="003F61DF"/>
    <w:rsid w:val="003F622F"/>
    <w:rsid w:val="003F624A"/>
    <w:rsid w:val="003F6265"/>
    <w:rsid w:val="003F627A"/>
    <w:rsid w:val="003F62C9"/>
    <w:rsid w:val="003F62D6"/>
    <w:rsid w:val="003F63A6"/>
    <w:rsid w:val="003F63C7"/>
    <w:rsid w:val="003F6468"/>
    <w:rsid w:val="003F646E"/>
    <w:rsid w:val="003F64A3"/>
    <w:rsid w:val="003F64B7"/>
    <w:rsid w:val="003F64EB"/>
    <w:rsid w:val="003F6504"/>
    <w:rsid w:val="003F6505"/>
    <w:rsid w:val="003F657B"/>
    <w:rsid w:val="003F659F"/>
    <w:rsid w:val="003F65B0"/>
    <w:rsid w:val="003F65E3"/>
    <w:rsid w:val="003F6629"/>
    <w:rsid w:val="003F66EF"/>
    <w:rsid w:val="003F679F"/>
    <w:rsid w:val="003F6842"/>
    <w:rsid w:val="003F6856"/>
    <w:rsid w:val="003F68B4"/>
    <w:rsid w:val="003F68E8"/>
    <w:rsid w:val="003F6913"/>
    <w:rsid w:val="003F69FB"/>
    <w:rsid w:val="003F6A55"/>
    <w:rsid w:val="003F6AB8"/>
    <w:rsid w:val="003F6B47"/>
    <w:rsid w:val="003F6BFB"/>
    <w:rsid w:val="003F6C59"/>
    <w:rsid w:val="003F6C7C"/>
    <w:rsid w:val="003F6CB5"/>
    <w:rsid w:val="003F6CD4"/>
    <w:rsid w:val="003F6CF4"/>
    <w:rsid w:val="003F6D6C"/>
    <w:rsid w:val="003F6DBD"/>
    <w:rsid w:val="003F6E1A"/>
    <w:rsid w:val="003F6E75"/>
    <w:rsid w:val="003F6E96"/>
    <w:rsid w:val="003F6EC2"/>
    <w:rsid w:val="003F6FE3"/>
    <w:rsid w:val="003F7034"/>
    <w:rsid w:val="003F7054"/>
    <w:rsid w:val="003F70EF"/>
    <w:rsid w:val="003F70F8"/>
    <w:rsid w:val="003F715D"/>
    <w:rsid w:val="003F719F"/>
    <w:rsid w:val="003F71D4"/>
    <w:rsid w:val="003F7235"/>
    <w:rsid w:val="003F72E9"/>
    <w:rsid w:val="003F732E"/>
    <w:rsid w:val="003F736F"/>
    <w:rsid w:val="003F73C3"/>
    <w:rsid w:val="003F73ED"/>
    <w:rsid w:val="003F7445"/>
    <w:rsid w:val="003F749D"/>
    <w:rsid w:val="003F74B3"/>
    <w:rsid w:val="003F74C1"/>
    <w:rsid w:val="003F74F1"/>
    <w:rsid w:val="003F7513"/>
    <w:rsid w:val="003F751A"/>
    <w:rsid w:val="003F7533"/>
    <w:rsid w:val="003F753F"/>
    <w:rsid w:val="003F754B"/>
    <w:rsid w:val="003F755E"/>
    <w:rsid w:val="003F75EF"/>
    <w:rsid w:val="003F760F"/>
    <w:rsid w:val="003F771A"/>
    <w:rsid w:val="003F7764"/>
    <w:rsid w:val="003F77BC"/>
    <w:rsid w:val="003F7808"/>
    <w:rsid w:val="003F7835"/>
    <w:rsid w:val="003F7874"/>
    <w:rsid w:val="003F7901"/>
    <w:rsid w:val="003F79D6"/>
    <w:rsid w:val="003F7A4E"/>
    <w:rsid w:val="003F7A9C"/>
    <w:rsid w:val="003F7A9E"/>
    <w:rsid w:val="003F7AB2"/>
    <w:rsid w:val="003F7B53"/>
    <w:rsid w:val="003F7B67"/>
    <w:rsid w:val="003F7B8E"/>
    <w:rsid w:val="003F7BAC"/>
    <w:rsid w:val="003F7BD1"/>
    <w:rsid w:val="003F7C0C"/>
    <w:rsid w:val="003F7C6F"/>
    <w:rsid w:val="003F7C8B"/>
    <w:rsid w:val="003F7CD7"/>
    <w:rsid w:val="003F7CE2"/>
    <w:rsid w:val="003F7CE7"/>
    <w:rsid w:val="003F7D62"/>
    <w:rsid w:val="003F7D65"/>
    <w:rsid w:val="003F7DEC"/>
    <w:rsid w:val="003F7EA7"/>
    <w:rsid w:val="003F7F4D"/>
    <w:rsid w:val="003F7F53"/>
    <w:rsid w:val="003F7F7F"/>
    <w:rsid w:val="00400008"/>
    <w:rsid w:val="00400021"/>
    <w:rsid w:val="0040002B"/>
    <w:rsid w:val="004000A6"/>
    <w:rsid w:val="0040012C"/>
    <w:rsid w:val="00400145"/>
    <w:rsid w:val="0040017E"/>
    <w:rsid w:val="004001A8"/>
    <w:rsid w:val="004001B8"/>
    <w:rsid w:val="00400297"/>
    <w:rsid w:val="00400306"/>
    <w:rsid w:val="00400375"/>
    <w:rsid w:val="00400392"/>
    <w:rsid w:val="004003FB"/>
    <w:rsid w:val="00400408"/>
    <w:rsid w:val="0040046E"/>
    <w:rsid w:val="004004BE"/>
    <w:rsid w:val="004004E1"/>
    <w:rsid w:val="00400530"/>
    <w:rsid w:val="0040054E"/>
    <w:rsid w:val="004005EC"/>
    <w:rsid w:val="00400632"/>
    <w:rsid w:val="00400654"/>
    <w:rsid w:val="004006AF"/>
    <w:rsid w:val="004006FB"/>
    <w:rsid w:val="00400700"/>
    <w:rsid w:val="00400803"/>
    <w:rsid w:val="0040081E"/>
    <w:rsid w:val="00400837"/>
    <w:rsid w:val="0040083B"/>
    <w:rsid w:val="0040086D"/>
    <w:rsid w:val="0040086F"/>
    <w:rsid w:val="004008FE"/>
    <w:rsid w:val="00400919"/>
    <w:rsid w:val="00400A3C"/>
    <w:rsid w:val="00400ABA"/>
    <w:rsid w:val="00400AE2"/>
    <w:rsid w:val="00400B1F"/>
    <w:rsid w:val="00400C2B"/>
    <w:rsid w:val="00400D78"/>
    <w:rsid w:val="00400E17"/>
    <w:rsid w:val="00400E2D"/>
    <w:rsid w:val="00400E3B"/>
    <w:rsid w:val="00400E4B"/>
    <w:rsid w:val="00400F02"/>
    <w:rsid w:val="00400F22"/>
    <w:rsid w:val="00400F57"/>
    <w:rsid w:val="00400F6B"/>
    <w:rsid w:val="00401006"/>
    <w:rsid w:val="0040100F"/>
    <w:rsid w:val="00401081"/>
    <w:rsid w:val="004010CE"/>
    <w:rsid w:val="004011B4"/>
    <w:rsid w:val="00401247"/>
    <w:rsid w:val="0040124D"/>
    <w:rsid w:val="0040127E"/>
    <w:rsid w:val="004012D2"/>
    <w:rsid w:val="0040136C"/>
    <w:rsid w:val="004013F1"/>
    <w:rsid w:val="004013F7"/>
    <w:rsid w:val="00401426"/>
    <w:rsid w:val="0040143D"/>
    <w:rsid w:val="0040149A"/>
    <w:rsid w:val="004014BB"/>
    <w:rsid w:val="004014F8"/>
    <w:rsid w:val="00401639"/>
    <w:rsid w:val="0040164A"/>
    <w:rsid w:val="004016F7"/>
    <w:rsid w:val="0040171E"/>
    <w:rsid w:val="004017DE"/>
    <w:rsid w:val="004017E5"/>
    <w:rsid w:val="00401863"/>
    <w:rsid w:val="0040186F"/>
    <w:rsid w:val="004018A8"/>
    <w:rsid w:val="004018DF"/>
    <w:rsid w:val="00401930"/>
    <w:rsid w:val="00401978"/>
    <w:rsid w:val="004019A2"/>
    <w:rsid w:val="004019F3"/>
    <w:rsid w:val="00401A27"/>
    <w:rsid w:val="00401B20"/>
    <w:rsid w:val="00401B63"/>
    <w:rsid w:val="00401B9F"/>
    <w:rsid w:val="00401BAE"/>
    <w:rsid w:val="00401BBE"/>
    <w:rsid w:val="00401BD2"/>
    <w:rsid w:val="00401BD7"/>
    <w:rsid w:val="00401BE4"/>
    <w:rsid w:val="00401BF1"/>
    <w:rsid w:val="00401C35"/>
    <w:rsid w:val="00401C81"/>
    <w:rsid w:val="00401DA2"/>
    <w:rsid w:val="00401DC1"/>
    <w:rsid w:val="00401E2E"/>
    <w:rsid w:val="00401E4A"/>
    <w:rsid w:val="00401E98"/>
    <w:rsid w:val="00401EAC"/>
    <w:rsid w:val="004020CA"/>
    <w:rsid w:val="004020E7"/>
    <w:rsid w:val="00402156"/>
    <w:rsid w:val="00402164"/>
    <w:rsid w:val="004021EB"/>
    <w:rsid w:val="00402256"/>
    <w:rsid w:val="0040228A"/>
    <w:rsid w:val="0040228D"/>
    <w:rsid w:val="004022A0"/>
    <w:rsid w:val="004022B1"/>
    <w:rsid w:val="00402306"/>
    <w:rsid w:val="004023D6"/>
    <w:rsid w:val="0040241E"/>
    <w:rsid w:val="00402472"/>
    <w:rsid w:val="00402520"/>
    <w:rsid w:val="004025AB"/>
    <w:rsid w:val="00402603"/>
    <w:rsid w:val="0040260C"/>
    <w:rsid w:val="0040269F"/>
    <w:rsid w:val="004026A5"/>
    <w:rsid w:val="004026ED"/>
    <w:rsid w:val="00402713"/>
    <w:rsid w:val="00402748"/>
    <w:rsid w:val="0040274B"/>
    <w:rsid w:val="00402760"/>
    <w:rsid w:val="00402764"/>
    <w:rsid w:val="0040278D"/>
    <w:rsid w:val="004027BD"/>
    <w:rsid w:val="004027C9"/>
    <w:rsid w:val="004027CE"/>
    <w:rsid w:val="0040290B"/>
    <w:rsid w:val="0040293D"/>
    <w:rsid w:val="00402976"/>
    <w:rsid w:val="004029DC"/>
    <w:rsid w:val="004029F1"/>
    <w:rsid w:val="004029F7"/>
    <w:rsid w:val="00402A71"/>
    <w:rsid w:val="00402AA2"/>
    <w:rsid w:val="00402AEB"/>
    <w:rsid w:val="00402B09"/>
    <w:rsid w:val="00402BB5"/>
    <w:rsid w:val="00402BDA"/>
    <w:rsid w:val="00402C0B"/>
    <w:rsid w:val="00402C1F"/>
    <w:rsid w:val="00402C8B"/>
    <w:rsid w:val="00402CA5"/>
    <w:rsid w:val="00402CB3"/>
    <w:rsid w:val="00402D1F"/>
    <w:rsid w:val="00402D6A"/>
    <w:rsid w:val="00402DB1"/>
    <w:rsid w:val="00402DBA"/>
    <w:rsid w:val="00402E51"/>
    <w:rsid w:val="00402E56"/>
    <w:rsid w:val="00402F1B"/>
    <w:rsid w:val="00402F39"/>
    <w:rsid w:val="00402FC1"/>
    <w:rsid w:val="00402FE4"/>
    <w:rsid w:val="00403011"/>
    <w:rsid w:val="00403084"/>
    <w:rsid w:val="004030EB"/>
    <w:rsid w:val="00403115"/>
    <w:rsid w:val="0040312F"/>
    <w:rsid w:val="00403134"/>
    <w:rsid w:val="00403143"/>
    <w:rsid w:val="0040315B"/>
    <w:rsid w:val="00403220"/>
    <w:rsid w:val="00403229"/>
    <w:rsid w:val="0040322C"/>
    <w:rsid w:val="004032B2"/>
    <w:rsid w:val="004032DF"/>
    <w:rsid w:val="004032E2"/>
    <w:rsid w:val="00403396"/>
    <w:rsid w:val="004033A2"/>
    <w:rsid w:val="004033C8"/>
    <w:rsid w:val="0040350A"/>
    <w:rsid w:val="00403567"/>
    <w:rsid w:val="004035D1"/>
    <w:rsid w:val="004035F5"/>
    <w:rsid w:val="00403626"/>
    <w:rsid w:val="0040366C"/>
    <w:rsid w:val="004036D3"/>
    <w:rsid w:val="0040373C"/>
    <w:rsid w:val="0040377A"/>
    <w:rsid w:val="0040380D"/>
    <w:rsid w:val="0040380F"/>
    <w:rsid w:val="00403844"/>
    <w:rsid w:val="004038B9"/>
    <w:rsid w:val="00403966"/>
    <w:rsid w:val="004039A4"/>
    <w:rsid w:val="00403AFA"/>
    <w:rsid w:val="00403B41"/>
    <w:rsid w:val="00403B83"/>
    <w:rsid w:val="00403B9C"/>
    <w:rsid w:val="00403BA0"/>
    <w:rsid w:val="00403BDF"/>
    <w:rsid w:val="00403BEB"/>
    <w:rsid w:val="00403C11"/>
    <w:rsid w:val="00403C3B"/>
    <w:rsid w:val="00403CB9"/>
    <w:rsid w:val="00403CFF"/>
    <w:rsid w:val="00403D21"/>
    <w:rsid w:val="00403D97"/>
    <w:rsid w:val="00403DFD"/>
    <w:rsid w:val="00403E17"/>
    <w:rsid w:val="00403E45"/>
    <w:rsid w:val="00403E4D"/>
    <w:rsid w:val="00403EDA"/>
    <w:rsid w:val="00403F12"/>
    <w:rsid w:val="00403F26"/>
    <w:rsid w:val="00403F3C"/>
    <w:rsid w:val="00403FF1"/>
    <w:rsid w:val="00404014"/>
    <w:rsid w:val="00404019"/>
    <w:rsid w:val="004040AE"/>
    <w:rsid w:val="004040BF"/>
    <w:rsid w:val="004040DB"/>
    <w:rsid w:val="00404167"/>
    <w:rsid w:val="004041B2"/>
    <w:rsid w:val="00404212"/>
    <w:rsid w:val="0040424F"/>
    <w:rsid w:val="00404250"/>
    <w:rsid w:val="0040426D"/>
    <w:rsid w:val="004042A6"/>
    <w:rsid w:val="00404416"/>
    <w:rsid w:val="00404419"/>
    <w:rsid w:val="0040443B"/>
    <w:rsid w:val="0040445D"/>
    <w:rsid w:val="0040458F"/>
    <w:rsid w:val="004045BE"/>
    <w:rsid w:val="004045C8"/>
    <w:rsid w:val="004045E4"/>
    <w:rsid w:val="0040460A"/>
    <w:rsid w:val="004046CE"/>
    <w:rsid w:val="004047DD"/>
    <w:rsid w:val="00404862"/>
    <w:rsid w:val="004048E6"/>
    <w:rsid w:val="004049A1"/>
    <w:rsid w:val="00404A00"/>
    <w:rsid w:val="00404A7D"/>
    <w:rsid w:val="00404A82"/>
    <w:rsid w:val="00404AE8"/>
    <w:rsid w:val="00404C2C"/>
    <w:rsid w:val="00404CA4"/>
    <w:rsid w:val="00404CD5"/>
    <w:rsid w:val="00404D3F"/>
    <w:rsid w:val="00404D4C"/>
    <w:rsid w:val="00404D81"/>
    <w:rsid w:val="00404DBB"/>
    <w:rsid w:val="00404DE6"/>
    <w:rsid w:val="00404E43"/>
    <w:rsid w:val="00404EA5"/>
    <w:rsid w:val="00404EDE"/>
    <w:rsid w:val="00404EFF"/>
    <w:rsid w:val="00404F00"/>
    <w:rsid w:val="00404F3A"/>
    <w:rsid w:val="00404FC8"/>
    <w:rsid w:val="00405009"/>
    <w:rsid w:val="0040504D"/>
    <w:rsid w:val="00405064"/>
    <w:rsid w:val="00405075"/>
    <w:rsid w:val="00405086"/>
    <w:rsid w:val="004050CE"/>
    <w:rsid w:val="0040510A"/>
    <w:rsid w:val="00405141"/>
    <w:rsid w:val="00405183"/>
    <w:rsid w:val="004051C6"/>
    <w:rsid w:val="004051D9"/>
    <w:rsid w:val="00405265"/>
    <w:rsid w:val="00405358"/>
    <w:rsid w:val="00405360"/>
    <w:rsid w:val="0040537D"/>
    <w:rsid w:val="004053CD"/>
    <w:rsid w:val="004053D2"/>
    <w:rsid w:val="004053ED"/>
    <w:rsid w:val="0040546C"/>
    <w:rsid w:val="004054B1"/>
    <w:rsid w:val="004054C2"/>
    <w:rsid w:val="004054C5"/>
    <w:rsid w:val="004054C7"/>
    <w:rsid w:val="004054FA"/>
    <w:rsid w:val="0040553A"/>
    <w:rsid w:val="0040553E"/>
    <w:rsid w:val="004055B1"/>
    <w:rsid w:val="004055D9"/>
    <w:rsid w:val="00405628"/>
    <w:rsid w:val="00405629"/>
    <w:rsid w:val="00405654"/>
    <w:rsid w:val="00405677"/>
    <w:rsid w:val="004056EC"/>
    <w:rsid w:val="004056ED"/>
    <w:rsid w:val="00405756"/>
    <w:rsid w:val="0040578B"/>
    <w:rsid w:val="004057B9"/>
    <w:rsid w:val="004057DC"/>
    <w:rsid w:val="004057FC"/>
    <w:rsid w:val="0040585F"/>
    <w:rsid w:val="004058B7"/>
    <w:rsid w:val="004058D4"/>
    <w:rsid w:val="00405904"/>
    <w:rsid w:val="004059F4"/>
    <w:rsid w:val="00405A08"/>
    <w:rsid w:val="00405A2F"/>
    <w:rsid w:val="00405A7C"/>
    <w:rsid w:val="00405A97"/>
    <w:rsid w:val="00405B86"/>
    <w:rsid w:val="00405BD9"/>
    <w:rsid w:val="00405C4D"/>
    <w:rsid w:val="00405C54"/>
    <w:rsid w:val="00405D21"/>
    <w:rsid w:val="00405D3F"/>
    <w:rsid w:val="00405DC8"/>
    <w:rsid w:val="00405DFC"/>
    <w:rsid w:val="00405E8C"/>
    <w:rsid w:val="00405EF6"/>
    <w:rsid w:val="00405F4B"/>
    <w:rsid w:val="00405FD5"/>
    <w:rsid w:val="00405FD8"/>
    <w:rsid w:val="00406080"/>
    <w:rsid w:val="00406130"/>
    <w:rsid w:val="00406157"/>
    <w:rsid w:val="00406187"/>
    <w:rsid w:val="004062F0"/>
    <w:rsid w:val="004062FF"/>
    <w:rsid w:val="00406302"/>
    <w:rsid w:val="00406304"/>
    <w:rsid w:val="0040634F"/>
    <w:rsid w:val="0040636B"/>
    <w:rsid w:val="004063A4"/>
    <w:rsid w:val="0040643F"/>
    <w:rsid w:val="00406461"/>
    <w:rsid w:val="00406483"/>
    <w:rsid w:val="00406527"/>
    <w:rsid w:val="0040652A"/>
    <w:rsid w:val="0040654A"/>
    <w:rsid w:val="00406554"/>
    <w:rsid w:val="0040656E"/>
    <w:rsid w:val="004065C2"/>
    <w:rsid w:val="00406601"/>
    <w:rsid w:val="004066B7"/>
    <w:rsid w:val="004066EB"/>
    <w:rsid w:val="00406729"/>
    <w:rsid w:val="0040678E"/>
    <w:rsid w:val="00406795"/>
    <w:rsid w:val="0040679D"/>
    <w:rsid w:val="004067DC"/>
    <w:rsid w:val="0040697C"/>
    <w:rsid w:val="0040697F"/>
    <w:rsid w:val="0040698F"/>
    <w:rsid w:val="004069C8"/>
    <w:rsid w:val="00406A2C"/>
    <w:rsid w:val="00406A47"/>
    <w:rsid w:val="00406A52"/>
    <w:rsid w:val="00406A58"/>
    <w:rsid w:val="00406A7F"/>
    <w:rsid w:val="00406A9C"/>
    <w:rsid w:val="00406B13"/>
    <w:rsid w:val="00406B1F"/>
    <w:rsid w:val="00406B55"/>
    <w:rsid w:val="00406C11"/>
    <w:rsid w:val="00406C40"/>
    <w:rsid w:val="00406D83"/>
    <w:rsid w:val="00406E26"/>
    <w:rsid w:val="00406E48"/>
    <w:rsid w:val="00406EC1"/>
    <w:rsid w:val="00406EF5"/>
    <w:rsid w:val="00406F01"/>
    <w:rsid w:val="00406F0C"/>
    <w:rsid w:val="00406F4D"/>
    <w:rsid w:val="00407074"/>
    <w:rsid w:val="004070B2"/>
    <w:rsid w:val="00407266"/>
    <w:rsid w:val="004072F7"/>
    <w:rsid w:val="00407599"/>
    <w:rsid w:val="004075B8"/>
    <w:rsid w:val="0040763B"/>
    <w:rsid w:val="00407659"/>
    <w:rsid w:val="004076AA"/>
    <w:rsid w:val="00407707"/>
    <w:rsid w:val="00407786"/>
    <w:rsid w:val="00407797"/>
    <w:rsid w:val="004077B1"/>
    <w:rsid w:val="004077FB"/>
    <w:rsid w:val="004077FD"/>
    <w:rsid w:val="00407805"/>
    <w:rsid w:val="004078FB"/>
    <w:rsid w:val="00407966"/>
    <w:rsid w:val="00407991"/>
    <w:rsid w:val="004079D2"/>
    <w:rsid w:val="00407A07"/>
    <w:rsid w:val="00407AA5"/>
    <w:rsid w:val="00407AB5"/>
    <w:rsid w:val="00407AD8"/>
    <w:rsid w:val="00407B50"/>
    <w:rsid w:val="00407B6B"/>
    <w:rsid w:val="00407B97"/>
    <w:rsid w:val="00407BD5"/>
    <w:rsid w:val="00407C33"/>
    <w:rsid w:val="00407C81"/>
    <w:rsid w:val="00407CB8"/>
    <w:rsid w:val="00407DBA"/>
    <w:rsid w:val="00407E0F"/>
    <w:rsid w:val="00407E89"/>
    <w:rsid w:val="00407EA8"/>
    <w:rsid w:val="00407EB4"/>
    <w:rsid w:val="00407EF3"/>
    <w:rsid w:val="00407F48"/>
    <w:rsid w:val="00407F98"/>
    <w:rsid w:val="00407FA7"/>
    <w:rsid w:val="00407FD1"/>
    <w:rsid w:val="00407FFA"/>
    <w:rsid w:val="0041002C"/>
    <w:rsid w:val="00410092"/>
    <w:rsid w:val="004100EA"/>
    <w:rsid w:val="0041010C"/>
    <w:rsid w:val="00410154"/>
    <w:rsid w:val="0041015E"/>
    <w:rsid w:val="0041019C"/>
    <w:rsid w:val="0041022A"/>
    <w:rsid w:val="0041028F"/>
    <w:rsid w:val="004102B7"/>
    <w:rsid w:val="0041032A"/>
    <w:rsid w:val="00410350"/>
    <w:rsid w:val="004103A9"/>
    <w:rsid w:val="004103AC"/>
    <w:rsid w:val="004103D0"/>
    <w:rsid w:val="0041040D"/>
    <w:rsid w:val="00410545"/>
    <w:rsid w:val="004105A1"/>
    <w:rsid w:val="004105FB"/>
    <w:rsid w:val="00410650"/>
    <w:rsid w:val="0041067B"/>
    <w:rsid w:val="004107A7"/>
    <w:rsid w:val="00410810"/>
    <w:rsid w:val="004108FE"/>
    <w:rsid w:val="00410998"/>
    <w:rsid w:val="004109C7"/>
    <w:rsid w:val="00410A3C"/>
    <w:rsid w:val="00410A6B"/>
    <w:rsid w:val="00410A8A"/>
    <w:rsid w:val="00410B37"/>
    <w:rsid w:val="00410B62"/>
    <w:rsid w:val="00410BD6"/>
    <w:rsid w:val="00410C13"/>
    <w:rsid w:val="00410CF6"/>
    <w:rsid w:val="00410E5C"/>
    <w:rsid w:val="00410E92"/>
    <w:rsid w:val="00410EFF"/>
    <w:rsid w:val="00410F75"/>
    <w:rsid w:val="00410F96"/>
    <w:rsid w:val="00411027"/>
    <w:rsid w:val="00411059"/>
    <w:rsid w:val="00411096"/>
    <w:rsid w:val="0041109C"/>
    <w:rsid w:val="004110AA"/>
    <w:rsid w:val="0041111F"/>
    <w:rsid w:val="0041112A"/>
    <w:rsid w:val="0041113F"/>
    <w:rsid w:val="004111AE"/>
    <w:rsid w:val="004111B7"/>
    <w:rsid w:val="0041124C"/>
    <w:rsid w:val="004112B5"/>
    <w:rsid w:val="004112B8"/>
    <w:rsid w:val="0041132B"/>
    <w:rsid w:val="00411365"/>
    <w:rsid w:val="004113B9"/>
    <w:rsid w:val="00411453"/>
    <w:rsid w:val="00411465"/>
    <w:rsid w:val="004114A6"/>
    <w:rsid w:val="0041153F"/>
    <w:rsid w:val="00411577"/>
    <w:rsid w:val="004116E5"/>
    <w:rsid w:val="004116E9"/>
    <w:rsid w:val="004117B1"/>
    <w:rsid w:val="004117C8"/>
    <w:rsid w:val="00411801"/>
    <w:rsid w:val="0041184D"/>
    <w:rsid w:val="00411866"/>
    <w:rsid w:val="004118F0"/>
    <w:rsid w:val="0041190F"/>
    <w:rsid w:val="00411965"/>
    <w:rsid w:val="004119A8"/>
    <w:rsid w:val="004119AB"/>
    <w:rsid w:val="00411A12"/>
    <w:rsid w:val="00411A3F"/>
    <w:rsid w:val="00411A44"/>
    <w:rsid w:val="00411AE0"/>
    <w:rsid w:val="00411AEC"/>
    <w:rsid w:val="00411B09"/>
    <w:rsid w:val="00411B7D"/>
    <w:rsid w:val="00411BCB"/>
    <w:rsid w:val="00411C30"/>
    <w:rsid w:val="00411D10"/>
    <w:rsid w:val="00411D87"/>
    <w:rsid w:val="00411D8C"/>
    <w:rsid w:val="00411DC6"/>
    <w:rsid w:val="00411E05"/>
    <w:rsid w:val="00411E08"/>
    <w:rsid w:val="00411E23"/>
    <w:rsid w:val="00411E92"/>
    <w:rsid w:val="00411E99"/>
    <w:rsid w:val="00411E9B"/>
    <w:rsid w:val="00411EBE"/>
    <w:rsid w:val="00411EEA"/>
    <w:rsid w:val="00411EF6"/>
    <w:rsid w:val="00411EFC"/>
    <w:rsid w:val="00411F07"/>
    <w:rsid w:val="00411F46"/>
    <w:rsid w:val="00411FDF"/>
    <w:rsid w:val="0041208B"/>
    <w:rsid w:val="00412092"/>
    <w:rsid w:val="00412185"/>
    <w:rsid w:val="004121CA"/>
    <w:rsid w:val="004121D8"/>
    <w:rsid w:val="004121FA"/>
    <w:rsid w:val="00412203"/>
    <w:rsid w:val="00412212"/>
    <w:rsid w:val="00412282"/>
    <w:rsid w:val="004122EC"/>
    <w:rsid w:val="00412306"/>
    <w:rsid w:val="0041231D"/>
    <w:rsid w:val="00412367"/>
    <w:rsid w:val="004123F1"/>
    <w:rsid w:val="00412455"/>
    <w:rsid w:val="0041248A"/>
    <w:rsid w:val="004124A8"/>
    <w:rsid w:val="004124F0"/>
    <w:rsid w:val="0041256F"/>
    <w:rsid w:val="00412572"/>
    <w:rsid w:val="004125A8"/>
    <w:rsid w:val="004125AB"/>
    <w:rsid w:val="004125E9"/>
    <w:rsid w:val="0041260A"/>
    <w:rsid w:val="00412647"/>
    <w:rsid w:val="00412669"/>
    <w:rsid w:val="0041268F"/>
    <w:rsid w:val="004127A8"/>
    <w:rsid w:val="004127B9"/>
    <w:rsid w:val="004127CE"/>
    <w:rsid w:val="004127F6"/>
    <w:rsid w:val="00412834"/>
    <w:rsid w:val="00412880"/>
    <w:rsid w:val="004128BE"/>
    <w:rsid w:val="004128F6"/>
    <w:rsid w:val="00412A01"/>
    <w:rsid w:val="00412A59"/>
    <w:rsid w:val="00412AAA"/>
    <w:rsid w:val="00412AEC"/>
    <w:rsid w:val="00412B17"/>
    <w:rsid w:val="00412B3E"/>
    <w:rsid w:val="00412BA5"/>
    <w:rsid w:val="00412BCB"/>
    <w:rsid w:val="00412C3F"/>
    <w:rsid w:val="00412C56"/>
    <w:rsid w:val="00412CDD"/>
    <w:rsid w:val="00412D01"/>
    <w:rsid w:val="00412DBB"/>
    <w:rsid w:val="00412E86"/>
    <w:rsid w:val="00412EA3"/>
    <w:rsid w:val="00412F00"/>
    <w:rsid w:val="00412F1D"/>
    <w:rsid w:val="00412F83"/>
    <w:rsid w:val="00412FBA"/>
    <w:rsid w:val="004130DC"/>
    <w:rsid w:val="0041311A"/>
    <w:rsid w:val="00413163"/>
    <w:rsid w:val="004131ED"/>
    <w:rsid w:val="00413266"/>
    <w:rsid w:val="004132B9"/>
    <w:rsid w:val="0041331C"/>
    <w:rsid w:val="0041334A"/>
    <w:rsid w:val="00413370"/>
    <w:rsid w:val="004133D1"/>
    <w:rsid w:val="004133D2"/>
    <w:rsid w:val="004133FA"/>
    <w:rsid w:val="00413443"/>
    <w:rsid w:val="0041344F"/>
    <w:rsid w:val="0041347A"/>
    <w:rsid w:val="0041347D"/>
    <w:rsid w:val="004134E3"/>
    <w:rsid w:val="004134E6"/>
    <w:rsid w:val="00413531"/>
    <w:rsid w:val="0041356D"/>
    <w:rsid w:val="004135E1"/>
    <w:rsid w:val="00413639"/>
    <w:rsid w:val="0041367E"/>
    <w:rsid w:val="00413784"/>
    <w:rsid w:val="004137A4"/>
    <w:rsid w:val="004137CB"/>
    <w:rsid w:val="004137FD"/>
    <w:rsid w:val="00413820"/>
    <w:rsid w:val="00413878"/>
    <w:rsid w:val="0041387B"/>
    <w:rsid w:val="004138C7"/>
    <w:rsid w:val="00413948"/>
    <w:rsid w:val="00413986"/>
    <w:rsid w:val="004139D1"/>
    <w:rsid w:val="004139E3"/>
    <w:rsid w:val="00413B0A"/>
    <w:rsid w:val="00413B28"/>
    <w:rsid w:val="00413BFA"/>
    <w:rsid w:val="00413C8D"/>
    <w:rsid w:val="00413CAC"/>
    <w:rsid w:val="00413D16"/>
    <w:rsid w:val="00413D94"/>
    <w:rsid w:val="00413DBA"/>
    <w:rsid w:val="00413DD7"/>
    <w:rsid w:val="00413DFC"/>
    <w:rsid w:val="00413DFD"/>
    <w:rsid w:val="00413E4D"/>
    <w:rsid w:val="00413E98"/>
    <w:rsid w:val="00413EC8"/>
    <w:rsid w:val="00413EE6"/>
    <w:rsid w:val="00413F89"/>
    <w:rsid w:val="00413FBF"/>
    <w:rsid w:val="00413FCF"/>
    <w:rsid w:val="00413FE2"/>
    <w:rsid w:val="00414059"/>
    <w:rsid w:val="004140D8"/>
    <w:rsid w:val="004141A5"/>
    <w:rsid w:val="00414235"/>
    <w:rsid w:val="00414247"/>
    <w:rsid w:val="0041429E"/>
    <w:rsid w:val="004142A5"/>
    <w:rsid w:val="004142B1"/>
    <w:rsid w:val="004142CB"/>
    <w:rsid w:val="0041434A"/>
    <w:rsid w:val="0041438A"/>
    <w:rsid w:val="004143A9"/>
    <w:rsid w:val="004143CC"/>
    <w:rsid w:val="004143F7"/>
    <w:rsid w:val="0041444E"/>
    <w:rsid w:val="00414497"/>
    <w:rsid w:val="004144EF"/>
    <w:rsid w:val="0041458C"/>
    <w:rsid w:val="0041459E"/>
    <w:rsid w:val="004145D3"/>
    <w:rsid w:val="004145D8"/>
    <w:rsid w:val="004145DE"/>
    <w:rsid w:val="004145F9"/>
    <w:rsid w:val="00414603"/>
    <w:rsid w:val="00414604"/>
    <w:rsid w:val="004146CB"/>
    <w:rsid w:val="004146E3"/>
    <w:rsid w:val="004146EA"/>
    <w:rsid w:val="00414732"/>
    <w:rsid w:val="0041475F"/>
    <w:rsid w:val="0041477B"/>
    <w:rsid w:val="00414794"/>
    <w:rsid w:val="00414798"/>
    <w:rsid w:val="004147A9"/>
    <w:rsid w:val="0041489A"/>
    <w:rsid w:val="004148A1"/>
    <w:rsid w:val="00414912"/>
    <w:rsid w:val="00414918"/>
    <w:rsid w:val="00414966"/>
    <w:rsid w:val="00414971"/>
    <w:rsid w:val="004149B3"/>
    <w:rsid w:val="00414A99"/>
    <w:rsid w:val="00414AF7"/>
    <w:rsid w:val="00414B4E"/>
    <w:rsid w:val="00414B60"/>
    <w:rsid w:val="00414B95"/>
    <w:rsid w:val="00414C7A"/>
    <w:rsid w:val="00414CC7"/>
    <w:rsid w:val="00414DF3"/>
    <w:rsid w:val="00414DF7"/>
    <w:rsid w:val="00414E03"/>
    <w:rsid w:val="00414F1D"/>
    <w:rsid w:val="00414F44"/>
    <w:rsid w:val="00414F83"/>
    <w:rsid w:val="00414F8D"/>
    <w:rsid w:val="00414FA3"/>
    <w:rsid w:val="00414FCD"/>
    <w:rsid w:val="00414FED"/>
    <w:rsid w:val="0041500A"/>
    <w:rsid w:val="0041501F"/>
    <w:rsid w:val="00415037"/>
    <w:rsid w:val="00415078"/>
    <w:rsid w:val="0041507D"/>
    <w:rsid w:val="004150B9"/>
    <w:rsid w:val="004150D7"/>
    <w:rsid w:val="004150D9"/>
    <w:rsid w:val="00415138"/>
    <w:rsid w:val="00415147"/>
    <w:rsid w:val="00415160"/>
    <w:rsid w:val="00415176"/>
    <w:rsid w:val="004151BD"/>
    <w:rsid w:val="00415203"/>
    <w:rsid w:val="00415217"/>
    <w:rsid w:val="0041521E"/>
    <w:rsid w:val="004152D0"/>
    <w:rsid w:val="004152D4"/>
    <w:rsid w:val="004152D8"/>
    <w:rsid w:val="00415313"/>
    <w:rsid w:val="00415395"/>
    <w:rsid w:val="0041539C"/>
    <w:rsid w:val="0041543F"/>
    <w:rsid w:val="00415497"/>
    <w:rsid w:val="004154A5"/>
    <w:rsid w:val="004154A7"/>
    <w:rsid w:val="004154D1"/>
    <w:rsid w:val="00415530"/>
    <w:rsid w:val="004155EF"/>
    <w:rsid w:val="00415635"/>
    <w:rsid w:val="00415647"/>
    <w:rsid w:val="0041569A"/>
    <w:rsid w:val="0041569B"/>
    <w:rsid w:val="004156D0"/>
    <w:rsid w:val="004156EC"/>
    <w:rsid w:val="00415729"/>
    <w:rsid w:val="00415735"/>
    <w:rsid w:val="0041573B"/>
    <w:rsid w:val="004157C2"/>
    <w:rsid w:val="004157C6"/>
    <w:rsid w:val="004157EC"/>
    <w:rsid w:val="004158CC"/>
    <w:rsid w:val="004158DC"/>
    <w:rsid w:val="00415925"/>
    <w:rsid w:val="00415A4C"/>
    <w:rsid w:val="00415AEA"/>
    <w:rsid w:val="00415B25"/>
    <w:rsid w:val="00415BDF"/>
    <w:rsid w:val="00415C08"/>
    <w:rsid w:val="00415C50"/>
    <w:rsid w:val="00415C6E"/>
    <w:rsid w:val="00415D18"/>
    <w:rsid w:val="00415D1B"/>
    <w:rsid w:val="00415D9D"/>
    <w:rsid w:val="00415DB4"/>
    <w:rsid w:val="00415E13"/>
    <w:rsid w:val="00415F8C"/>
    <w:rsid w:val="00415FC6"/>
    <w:rsid w:val="0041604F"/>
    <w:rsid w:val="0041608E"/>
    <w:rsid w:val="004160B5"/>
    <w:rsid w:val="004160DE"/>
    <w:rsid w:val="004160EF"/>
    <w:rsid w:val="0041617E"/>
    <w:rsid w:val="00416182"/>
    <w:rsid w:val="004161C0"/>
    <w:rsid w:val="00416218"/>
    <w:rsid w:val="00416262"/>
    <w:rsid w:val="00416286"/>
    <w:rsid w:val="0041628B"/>
    <w:rsid w:val="004163A2"/>
    <w:rsid w:val="004163F8"/>
    <w:rsid w:val="0041647C"/>
    <w:rsid w:val="00416529"/>
    <w:rsid w:val="0041662B"/>
    <w:rsid w:val="00416663"/>
    <w:rsid w:val="00416727"/>
    <w:rsid w:val="0041672B"/>
    <w:rsid w:val="0041675C"/>
    <w:rsid w:val="0041676F"/>
    <w:rsid w:val="004167B4"/>
    <w:rsid w:val="004167DE"/>
    <w:rsid w:val="00416814"/>
    <w:rsid w:val="004168DB"/>
    <w:rsid w:val="004168E8"/>
    <w:rsid w:val="00416900"/>
    <w:rsid w:val="0041692C"/>
    <w:rsid w:val="00416939"/>
    <w:rsid w:val="00416999"/>
    <w:rsid w:val="004169B5"/>
    <w:rsid w:val="00416A41"/>
    <w:rsid w:val="00416A6C"/>
    <w:rsid w:val="00416A8C"/>
    <w:rsid w:val="00416A8E"/>
    <w:rsid w:val="00416A9E"/>
    <w:rsid w:val="00416ABF"/>
    <w:rsid w:val="00416ADB"/>
    <w:rsid w:val="00416B09"/>
    <w:rsid w:val="00416B0B"/>
    <w:rsid w:val="00416B27"/>
    <w:rsid w:val="00416BBC"/>
    <w:rsid w:val="00416BC6"/>
    <w:rsid w:val="00416BEB"/>
    <w:rsid w:val="00416C02"/>
    <w:rsid w:val="00416C1E"/>
    <w:rsid w:val="00416DC5"/>
    <w:rsid w:val="00416DDA"/>
    <w:rsid w:val="00416E0B"/>
    <w:rsid w:val="00416EB2"/>
    <w:rsid w:val="0041701B"/>
    <w:rsid w:val="00417078"/>
    <w:rsid w:val="004170EC"/>
    <w:rsid w:val="0041713B"/>
    <w:rsid w:val="00417147"/>
    <w:rsid w:val="00417160"/>
    <w:rsid w:val="00417181"/>
    <w:rsid w:val="004171C1"/>
    <w:rsid w:val="00417232"/>
    <w:rsid w:val="00417273"/>
    <w:rsid w:val="004172AD"/>
    <w:rsid w:val="004172D3"/>
    <w:rsid w:val="004172D8"/>
    <w:rsid w:val="004172DD"/>
    <w:rsid w:val="00417343"/>
    <w:rsid w:val="00417399"/>
    <w:rsid w:val="004173E3"/>
    <w:rsid w:val="004174B9"/>
    <w:rsid w:val="004174D2"/>
    <w:rsid w:val="004174E9"/>
    <w:rsid w:val="00417548"/>
    <w:rsid w:val="0041756E"/>
    <w:rsid w:val="00417605"/>
    <w:rsid w:val="0041760E"/>
    <w:rsid w:val="00417669"/>
    <w:rsid w:val="004176AF"/>
    <w:rsid w:val="004176E3"/>
    <w:rsid w:val="004176F7"/>
    <w:rsid w:val="0041778F"/>
    <w:rsid w:val="004177FA"/>
    <w:rsid w:val="004178BE"/>
    <w:rsid w:val="0041792E"/>
    <w:rsid w:val="004179CA"/>
    <w:rsid w:val="004179EA"/>
    <w:rsid w:val="00417A9B"/>
    <w:rsid w:val="00417AF6"/>
    <w:rsid w:val="00417B0C"/>
    <w:rsid w:val="00417B32"/>
    <w:rsid w:val="00417B42"/>
    <w:rsid w:val="00417B89"/>
    <w:rsid w:val="00417B9A"/>
    <w:rsid w:val="00417BA3"/>
    <w:rsid w:val="00417BE3"/>
    <w:rsid w:val="00417C2F"/>
    <w:rsid w:val="00417C7D"/>
    <w:rsid w:val="00417CDE"/>
    <w:rsid w:val="00417D39"/>
    <w:rsid w:val="00417DB3"/>
    <w:rsid w:val="00417DF2"/>
    <w:rsid w:val="00417E05"/>
    <w:rsid w:val="00417E33"/>
    <w:rsid w:val="00417F32"/>
    <w:rsid w:val="00417F3E"/>
    <w:rsid w:val="00417FA8"/>
    <w:rsid w:val="00420041"/>
    <w:rsid w:val="004200BD"/>
    <w:rsid w:val="004200F4"/>
    <w:rsid w:val="00420115"/>
    <w:rsid w:val="00420131"/>
    <w:rsid w:val="00420133"/>
    <w:rsid w:val="0042016A"/>
    <w:rsid w:val="0042018C"/>
    <w:rsid w:val="004201A4"/>
    <w:rsid w:val="0042025D"/>
    <w:rsid w:val="004202BC"/>
    <w:rsid w:val="004202CE"/>
    <w:rsid w:val="004202D1"/>
    <w:rsid w:val="004202D7"/>
    <w:rsid w:val="00420367"/>
    <w:rsid w:val="004203BA"/>
    <w:rsid w:val="00420401"/>
    <w:rsid w:val="00420428"/>
    <w:rsid w:val="0042045D"/>
    <w:rsid w:val="00420517"/>
    <w:rsid w:val="00420563"/>
    <w:rsid w:val="004205DD"/>
    <w:rsid w:val="0042062A"/>
    <w:rsid w:val="00420707"/>
    <w:rsid w:val="004207AE"/>
    <w:rsid w:val="004207C6"/>
    <w:rsid w:val="004207DF"/>
    <w:rsid w:val="004207EA"/>
    <w:rsid w:val="004207EE"/>
    <w:rsid w:val="004207F1"/>
    <w:rsid w:val="0042081B"/>
    <w:rsid w:val="00420893"/>
    <w:rsid w:val="004208C2"/>
    <w:rsid w:val="00420911"/>
    <w:rsid w:val="0042097F"/>
    <w:rsid w:val="00420A13"/>
    <w:rsid w:val="00420A14"/>
    <w:rsid w:val="00420AB8"/>
    <w:rsid w:val="00420AD1"/>
    <w:rsid w:val="00420AF2"/>
    <w:rsid w:val="00420B68"/>
    <w:rsid w:val="00420C75"/>
    <w:rsid w:val="00420D18"/>
    <w:rsid w:val="00420D35"/>
    <w:rsid w:val="00420D7D"/>
    <w:rsid w:val="00420DA2"/>
    <w:rsid w:val="00420DD7"/>
    <w:rsid w:val="00420E84"/>
    <w:rsid w:val="00420EB6"/>
    <w:rsid w:val="00420ED6"/>
    <w:rsid w:val="00420F31"/>
    <w:rsid w:val="00420F89"/>
    <w:rsid w:val="00420F94"/>
    <w:rsid w:val="00421010"/>
    <w:rsid w:val="00421016"/>
    <w:rsid w:val="0042103C"/>
    <w:rsid w:val="00421043"/>
    <w:rsid w:val="00421083"/>
    <w:rsid w:val="00421143"/>
    <w:rsid w:val="00421196"/>
    <w:rsid w:val="004211B1"/>
    <w:rsid w:val="004211F1"/>
    <w:rsid w:val="0042124E"/>
    <w:rsid w:val="00421332"/>
    <w:rsid w:val="00421383"/>
    <w:rsid w:val="004213EA"/>
    <w:rsid w:val="004213FC"/>
    <w:rsid w:val="0042155B"/>
    <w:rsid w:val="00421565"/>
    <w:rsid w:val="0042157F"/>
    <w:rsid w:val="004215D8"/>
    <w:rsid w:val="004215F3"/>
    <w:rsid w:val="004215F4"/>
    <w:rsid w:val="00421602"/>
    <w:rsid w:val="00421617"/>
    <w:rsid w:val="00421642"/>
    <w:rsid w:val="004216C0"/>
    <w:rsid w:val="004216EA"/>
    <w:rsid w:val="004216EE"/>
    <w:rsid w:val="00421703"/>
    <w:rsid w:val="00421709"/>
    <w:rsid w:val="00421711"/>
    <w:rsid w:val="0042174E"/>
    <w:rsid w:val="0042175A"/>
    <w:rsid w:val="00421765"/>
    <w:rsid w:val="004217D9"/>
    <w:rsid w:val="004217EE"/>
    <w:rsid w:val="0042182F"/>
    <w:rsid w:val="0042188F"/>
    <w:rsid w:val="0042191C"/>
    <w:rsid w:val="00421A31"/>
    <w:rsid w:val="00421A42"/>
    <w:rsid w:val="00421A96"/>
    <w:rsid w:val="00421AAE"/>
    <w:rsid w:val="00421ABD"/>
    <w:rsid w:val="00421AD0"/>
    <w:rsid w:val="00421B9D"/>
    <w:rsid w:val="00421B9F"/>
    <w:rsid w:val="00421BAA"/>
    <w:rsid w:val="00421BC0"/>
    <w:rsid w:val="00421BF7"/>
    <w:rsid w:val="00421C00"/>
    <w:rsid w:val="00421CB2"/>
    <w:rsid w:val="00421CC7"/>
    <w:rsid w:val="00421D55"/>
    <w:rsid w:val="00421D62"/>
    <w:rsid w:val="00421E39"/>
    <w:rsid w:val="00421F16"/>
    <w:rsid w:val="0042209A"/>
    <w:rsid w:val="00422194"/>
    <w:rsid w:val="004221BE"/>
    <w:rsid w:val="004221DB"/>
    <w:rsid w:val="00422267"/>
    <w:rsid w:val="00422290"/>
    <w:rsid w:val="00422307"/>
    <w:rsid w:val="0042233A"/>
    <w:rsid w:val="00422377"/>
    <w:rsid w:val="00422385"/>
    <w:rsid w:val="004223C0"/>
    <w:rsid w:val="00422488"/>
    <w:rsid w:val="00422501"/>
    <w:rsid w:val="00422504"/>
    <w:rsid w:val="00422521"/>
    <w:rsid w:val="0042252E"/>
    <w:rsid w:val="00422559"/>
    <w:rsid w:val="00422572"/>
    <w:rsid w:val="004225CA"/>
    <w:rsid w:val="0042260A"/>
    <w:rsid w:val="0042262A"/>
    <w:rsid w:val="00422644"/>
    <w:rsid w:val="0042265A"/>
    <w:rsid w:val="00422661"/>
    <w:rsid w:val="0042268B"/>
    <w:rsid w:val="00422740"/>
    <w:rsid w:val="00422772"/>
    <w:rsid w:val="004227FE"/>
    <w:rsid w:val="0042284B"/>
    <w:rsid w:val="00422928"/>
    <w:rsid w:val="0042294B"/>
    <w:rsid w:val="00422A00"/>
    <w:rsid w:val="00422A3F"/>
    <w:rsid w:val="00422AA3"/>
    <w:rsid w:val="00422BB3"/>
    <w:rsid w:val="00422BF1"/>
    <w:rsid w:val="00422C4B"/>
    <w:rsid w:val="00422C63"/>
    <w:rsid w:val="00422CC1"/>
    <w:rsid w:val="00422D41"/>
    <w:rsid w:val="00422DBF"/>
    <w:rsid w:val="00422E53"/>
    <w:rsid w:val="00422E5A"/>
    <w:rsid w:val="00422EF5"/>
    <w:rsid w:val="00422F43"/>
    <w:rsid w:val="00422F46"/>
    <w:rsid w:val="00423004"/>
    <w:rsid w:val="00423018"/>
    <w:rsid w:val="00423095"/>
    <w:rsid w:val="0042309D"/>
    <w:rsid w:val="004230CC"/>
    <w:rsid w:val="0042316D"/>
    <w:rsid w:val="0042317D"/>
    <w:rsid w:val="004231D5"/>
    <w:rsid w:val="0042324E"/>
    <w:rsid w:val="004232C4"/>
    <w:rsid w:val="004232DF"/>
    <w:rsid w:val="0042335C"/>
    <w:rsid w:val="0042341D"/>
    <w:rsid w:val="00423440"/>
    <w:rsid w:val="00423458"/>
    <w:rsid w:val="00423513"/>
    <w:rsid w:val="0042354D"/>
    <w:rsid w:val="00423578"/>
    <w:rsid w:val="004235D8"/>
    <w:rsid w:val="004235F9"/>
    <w:rsid w:val="00423611"/>
    <w:rsid w:val="0042361C"/>
    <w:rsid w:val="00423667"/>
    <w:rsid w:val="00423671"/>
    <w:rsid w:val="004236A6"/>
    <w:rsid w:val="004236B3"/>
    <w:rsid w:val="004236BC"/>
    <w:rsid w:val="004236F2"/>
    <w:rsid w:val="00423711"/>
    <w:rsid w:val="0042371E"/>
    <w:rsid w:val="00423733"/>
    <w:rsid w:val="00423744"/>
    <w:rsid w:val="00423749"/>
    <w:rsid w:val="00423793"/>
    <w:rsid w:val="004237CF"/>
    <w:rsid w:val="00423899"/>
    <w:rsid w:val="004238AF"/>
    <w:rsid w:val="0042394D"/>
    <w:rsid w:val="00423A44"/>
    <w:rsid w:val="00423A54"/>
    <w:rsid w:val="00423A6F"/>
    <w:rsid w:val="00423B0C"/>
    <w:rsid w:val="00423B82"/>
    <w:rsid w:val="00423B99"/>
    <w:rsid w:val="00423BA5"/>
    <w:rsid w:val="00423BAD"/>
    <w:rsid w:val="00423C5A"/>
    <w:rsid w:val="00423CB6"/>
    <w:rsid w:val="00423CEA"/>
    <w:rsid w:val="00423D26"/>
    <w:rsid w:val="00423D28"/>
    <w:rsid w:val="00423D64"/>
    <w:rsid w:val="00423DF3"/>
    <w:rsid w:val="00423E06"/>
    <w:rsid w:val="00423EFF"/>
    <w:rsid w:val="00423F0D"/>
    <w:rsid w:val="00423F2B"/>
    <w:rsid w:val="00423F7E"/>
    <w:rsid w:val="004240E8"/>
    <w:rsid w:val="0042411D"/>
    <w:rsid w:val="00424129"/>
    <w:rsid w:val="004241CE"/>
    <w:rsid w:val="00424206"/>
    <w:rsid w:val="0042424F"/>
    <w:rsid w:val="0042426C"/>
    <w:rsid w:val="00424280"/>
    <w:rsid w:val="004243E3"/>
    <w:rsid w:val="00424403"/>
    <w:rsid w:val="00424433"/>
    <w:rsid w:val="00424517"/>
    <w:rsid w:val="0042453B"/>
    <w:rsid w:val="004245DF"/>
    <w:rsid w:val="0042460B"/>
    <w:rsid w:val="00424650"/>
    <w:rsid w:val="0042468B"/>
    <w:rsid w:val="004246B1"/>
    <w:rsid w:val="004246B4"/>
    <w:rsid w:val="004246C1"/>
    <w:rsid w:val="004246EF"/>
    <w:rsid w:val="004246F5"/>
    <w:rsid w:val="00424780"/>
    <w:rsid w:val="0042481A"/>
    <w:rsid w:val="00424889"/>
    <w:rsid w:val="004248DA"/>
    <w:rsid w:val="00424981"/>
    <w:rsid w:val="004249B0"/>
    <w:rsid w:val="00424A02"/>
    <w:rsid w:val="00424A14"/>
    <w:rsid w:val="00424A43"/>
    <w:rsid w:val="00424A74"/>
    <w:rsid w:val="00424AA0"/>
    <w:rsid w:val="00424AE2"/>
    <w:rsid w:val="00424AF6"/>
    <w:rsid w:val="00424B3C"/>
    <w:rsid w:val="00424C22"/>
    <w:rsid w:val="00424C35"/>
    <w:rsid w:val="00424C56"/>
    <w:rsid w:val="00424C74"/>
    <w:rsid w:val="00424CBE"/>
    <w:rsid w:val="00424CEB"/>
    <w:rsid w:val="00424D49"/>
    <w:rsid w:val="00424DAF"/>
    <w:rsid w:val="00424E23"/>
    <w:rsid w:val="00424F49"/>
    <w:rsid w:val="00424F76"/>
    <w:rsid w:val="00424FA6"/>
    <w:rsid w:val="0042503A"/>
    <w:rsid w:val="00425046"/>
    <w:rsid w:val="0042515B"/>
    <w:rsid w:val="004251A1"/>
    <w:rsid w:val="00425229"/>
    <w:rsid w:val="004252B7"/>
    <w:rsid w:val="004252CF"/>
    <w:rsid w:val="004252F6"/>
    <w:rsid w:val="00425306"/>
    <w:rsid w:val="0042536E"/>
    <w:rsid w:val="004253FC"/>
    <w:rsid w:val="0042543A"/>
    <w:rsid w:val="004254A3"/>
    <w:rsid w:val="00425554"/>
    <w:rsid w:val="00425584"/>
    <w:rsid w:val="0042566F"/>
    <w:rsid w:val="004256BC"/>
    <w:rsid w:val="00425725"/>
    <w:rsid w:val="00425746"/>
    <w:rsid w:val="0042576D"/>
    <w:rsid w:val="004257D9"/>
    <w:rsid w:val="00425809"/>
    <w:rsid w:val="00425848"/>
    <w:rsid w:val="004258C5"/>
    <w:rsid w:val="004258F9"/>
    <w:rsid w:val="00425962"/>
    <w:rsid w:val="00425A1E"/>
    <w:rsid w:val="00425A31"/>
    <w:rsid w:val="00425A56"/>
    <w:rsid w:val="00425A63"/>
    <w:rsid w:val="00425ABA"/>
    <w:rsid w:val="00425AC0"/>
    <w:rsid w:val="00425AE2"/>
    <w:rsid w:val="00425B9F"/>
    <w:rsid w:val="00425BA3"/>
    <w:rsid w:val="00425BD4"/>
    <w:rsid w:val="00425C0B"/>
    <w:rsid w:val="00425D37"/>
    <w:rsid w:val="00425E0D"/>
    <w:rsid w:val="00425E10"/>
    <w:rsid w:val="00425E17"/>
    <w:rsid w:val="00425E57"/>
    <w:rsid w:val="00425E7F"/>
    <w:rsid w:val="00425E9E"/>
    <w:rsid w:val="00425EB7"/>
    <w:rsid w:val="00425F1A"/>
    <w:rsid w:val="00425FA4"/>
    <w:rsid w:val="0042600B"/>
    <w:rsid w:val="00426047"/>
    <w:rsid w:val="004260BF"/>
    <w:rsid w:val="00426127"/>
    <w:rsid w:val="0042612E"/>
    <w:rsid w:val="00426132"/>
    <w:rsid w:val="00426198"/>
    <w:rsid w:val="004262DA"/>
    <w:rsid w:val="004262EE"/>
    <w:rsid w:val="00426306"/>
    <w:rsid w:val="0042638F"/>
    <w:rsid w:val="004263E6"/>
    <w:rsid w:val="0042640D"/>
    <w:rsid w:val="00426438"/>
    <w:rsid w:val="00426477"/>
    <w:rsid w:val="00426526"/>
    <w:rsid w:val="00426555"/>
    <w:rsid w:val="004265B9"/>
    <w:rsid w:val="0042662E"/>
    <w:rsid w:val="00426631"/>
    <w:rsid w:val="00426642"/>
    <w:rsid w:val="00426693"/>
    <w:rsid w:val="00426702"/>
    <w:rsid w:val="0042675C"/>
    <w:rsid w:val="0042676D"/>
    <w:rsid w:val="0042676E"/>
    <w:rsid w:val="004267A8"/>
    <w:rsid w:val="004267D0"/>
    <w:rsid w:val="004267D6"/>
    <w:rsid w:val="0042687B"/>
    <w:rsid w:val="004268B3"/>
    <w:rsid w:val="004268BB"/>
    <w:rsid w:val="00426985"/>
    <w:rsid w:val="004269AD"/>
    <w:rsid w:val="00426A0A"/>
    <w:rsid w:val="00426A1E"/>
    <w:rsid w:val="00426AAA"/>
    <w:rsid w:val="00426AB3"/>
    <w:rsid w:val="00426ABE"/>
    <w:rsid w:val="00426B27"/>
    <w:rsid w:val="00426B55"/>
    <w:rsid w:val="00426B7A"/>
    <w:rsid w:val="00426BC4"/>
    <w:rsid w:val="00426C34"/>
    <w:rsid w:val="00426CC0"/>
    <w:rsid w:val="00426CE2"/>
    <w:rsid w:val="00426CE3"/>
    <w:rsid w:val="00426D22"/>
    <w:rsid w:val="00426DA6"/>
    <w:rsid w:val="00426F3C"/>
    <w:rsid w:val="00426F54"/>
    <w:rsid w:val="00426FA5"/>
    <w:rsid w:val="00427049"/>
    <w:rsid w:val="004270CF"/>
    <w:rsid w:val="00427177"/>
    <w:rsid w:val="00427178"/>
    <w:rsid w:val="00427224"/>
    <w:rsid w:val="00427266"/>
    <w:rsid w:val="0042727B"/>
    <w:rsid w:val="004272A2"/>
    <w:rsid w:val="004272EC"/>
    <w:rsid w:val="00427322"/>
    <w:rsid w:val="0042737E"/>
    <w:rsid w:val="00427445"/>
    <w:rsid w:val="00427448"/>
    <w:rsid w:val="00427454"/>
    <w:rsid w:val="004274B4"/>
    <w:rsid w:val="004274BD"/>
    <w:rsid w:val="004274C3"/>
    <w:rsid w:val="00427523"/>
    <w:rsid w:val="0042759E"/>
    <w:rsid w:val="004275A4"/>
    <w:rsid w:val="004275E1"/>
    <w:rsid w:val="0042763E"/>
    <w:rsid w:val="00427721"/>
    <w:rsid w:val="00427778"/>
    <w:rsid w:val="004277AB"/>
    <w:rsid w:val="0042784C"/>
    <w:rsid w:val="00427867"/>
    <w:rsid w:val="0042789F"/>
    <w:rsid w:val="004278A5"/>
    <w:rsid w:val="0042790E"/>
    <w:rsid w:val="00427972"/>
    <w:rsid w:val="004279B8"/>
    <w:rsid w:val="00427A16"/>
    <w:rsid w:val="00427A62"/>
    <w:rsid w:val="00427A89"/>
    <w:rsid w:val="00427AD5"/>
    <w:rsid w:val="00427AF4"/>
    <w:rsid w:val="00427BA8"/>
    <w:rsid w:val="00427BB9"/>
    <w:rsid w:val="00427BE5"/>
    <w:rsid w:val="00427BF9"/>
    <w:rsid w:val="00427C1C"/>
    <w:rsid w:val="00427C6F"/>
    <w:rsid w:val="00427C9A"/>
    <w:rsid w:val="00427D32"/>
    <w:rsid w:val="00427D88"/>
    <w:rsid w:val="00427D8F"/>
    <w:rsid w:val="00427D9C"/>
    <w:rsid w:val="00427DF6"/>
    <w:rsid w:val="00427E09"/>
    <w:rsid w:val="00427E7D"/>
    <w:rsid w:val="00427F2D"/>
    <w:rsid w:val="00427F3B"/>
    <w:rsid w:val="00427F9B"/>
    <w:rsid w:val="00430011"/>
    <w:rsid w:val="00430025"/>
    <w:rsid w:val="00430035"/>
    <w:rsid w:val="00430052"/>
    <w:rsid w:val="00430098"/>
    <w:rsid w:val="0043014E"/>
    <w:rsid w:val="00430194"/>
    <w:rsid w:val="0043019F"/>
    <w:rsid w:val="004301E7"/>
    <w:rsid w:val="0043023F"/>
    <w:rsid w:val="00430240"/>
    <w:rsid w:val="004302A7"/>
    <w:rsid w:val="004303E2"/>
    <w:rsid w:val="004303E3"/>
    <w:rsid w:val="0043040F"/>
    <w:rsid w:val="00430419"/>
    <w:rsid w:val="0043041D"/>
    <w:rsid w:val="00430477"/>
    <w:rsid w:val="004304BD"/>
    <w:rsid w:val="004304E5"/>
    <w:rsid w:val="004304E6"/>
    <w:rsid w:val="004304FF"/>
    <w:rsid w:val="00430559"/>
    <w:rsid w:val="004305E4"/>
    <w:rsid w:val="004305E6"/>
    <w:rsid w:val="004306CC"/>
    <w:rsid w:val="0043071F"/>
    <w:rsid w:val="0043074C"/>
    <w:rsid w:val="0043077C"/>
    <w:rsid w:val="0043077E"/>
    <w:rsid w:val="00430837"/>
    <w:rsid w:val="0043088F"/>
    <w:rsid w:val="004308B7"/>
    <w:rsid w:val="00430965"/>
    <w:rsid w:val="004309E4"/>
    <w:rsid w:val="004309FD"/>
    <w:rsid w:val="00430A74"/>
    <w:rsid w:val="00430AA8"/>
    <w:rsid w:val="00430AB4"/>
    <w:rsid w:val="00430B5D"/>
    <w:rsid w:val="00430B6B"/>
    <w:rsid w:val="00430B90"/>
    <w:rsid w:val="00430BB1"/>
    <w:rsid w:val="00430BBF"/>
    <w:rsid w:val="00430CB7"/>
    <w:rsid w:val="00430CC9"/>
    <w:rsid w:val="00430D3D"/>
    <w:rsid w:val="00430D71"/>
    <w:rsid w:val="00430D96"/>
    <w:rsid w:val="00430E25"/>
    <w:rsid w:val="00430E85"/>
    <w:rsid w:val="00430EA4"/>
    <w:rsid w:val="00430ECB"/>
    <w:rsid w:val="00430F53"/>
    <w:rsid w:val="00430F75"/>
    <w:rsid w:val="00430F7D"/>
    <w:rsid w:val="00431023"/>
    <w:rsid w:val="0043104E"/>
    <w:rsid w:val="00431085"/>
    <w:rsid w:val="004310F2"/>
    <w:rsid w:val="00431102"/>
    <w:rsid w:val="0043114F"/>
    <w:rsid w:val="004311A3"/>
    <w:rsid w:val="00431255"/>
    <w:rsid w:val="004312AB"/>
    <w:rsid w:val="0043130C"/>
    <w:rsid w:val="00431358"/>
    <w:rsid w:val="00431377"/>
    <w:rsid w:val="00431384"/>
    <w:rsid w:val="0043139D"/>
    <w:rsid w:val="004313D6"/>
    <w:rsid w:val="00431474"/>
    <w:rsid w:val="00431497"/>
    <w:rsid w:val="0043149B"/>
    <w:rsid w:val="00431530"/>
    <w:rsid w:val="00431539"/>
    <w:rsid w:val="0043159A"/>
    <w:rsid w:val="004315CF"/>
    <w:rsid w:val="004316A7"/>
    <w:rsid w:val="004316DE"/>
    <w:rsid w:val="00431744"/>
    <w:rsid w:val="00431801"/>
    <w:rsid w:val="0043185E"/>
    <w:rsid w:val="00431878"/>
    <w:rsid w:val="00431894"/>
    <w:rsid w:val="0043194C"/>
    <w:rsid w:val="004319C6"/>
    <w:rsid w:val="00431A9D"/>
    <w:rsid w:val="00431AC7"/>
    <w:rsid w:val="00431AD3"/>
    <w:rsid w:val="00431B09"/>
    <w:rsid w:val="00431B81"/>
    <w:rsid w:val="00431BAE"/>
    <w:rsid w:val="00431C13"/>
    <w:rsid w:val="00431C1C"/>
    <w:rsid w:val="00431C25"/>
    <w:rsid w:val="00431C3E"/>
    <w:rsid w:val="00431C82"/>
    <w:rsid w:val="00431CA8"/>
    <w:rsid w:val="00431CC9"/>
    <w:rsid w:val="00431CE8"/>
    <w:rsid w:val="00431D5A"/>
    <w:rsid w:val="00431D5F"/>
    <w:rsid w:val="00431E21"/>
    <w:rsid w:val="00431E31"/>
    <w:rsid w:val="00431EB4"/>
    <w:rsid w:val="00431F04"/>
    <w:rsid w:val="00431F7D"/>
    <w:rsid w:val="00431FB4"/>
    <w:rsid w:val="00431FB6"/>
    <w:rsid w:val="0043204D"/>
    <w:rsid w:val="00432072"/>
    <w:rsid w:val="004320C7"/>
    <w:rsid w:val="004320E4"/>
    <w:rsid w:val="004321BF"/>
    <w:rsid w:val="004321F6"/>
    <w:rsid w:val="0043220F"/>
    <w:rsid w:val="00432210"/>
    <w:rsid w:val="00432235"/>
    <w:rsid w:val="0043223A"/>
    <w:rsid w:val="00432251"/>
    <w:rsid w:val="00432254"/>
    <w:rsid w:val="00432268"/>
    <w:rsid w:val="004322CC"/>
    <w:rsid w:val="0043231E"/>
    <w:rsid w:val="0043236D"/>
    <w:rsid w:val="0043238D"/>
    <w:rsid w:val="004323AC"/>
    <w:rsid w:val="004323BF"/>
    <w:rsid w:val="0043242B"/>
    <w:rsid w:val="004324BB"/>
    <w:rsid w:val="004324E4"/>
    <w:rsid w:val="00432552"/>
    <w:rsid w:val="00432596"/>
    <w:rsid w:val="004326F5"/>
    <w:rsid w:val="0043272F"/>
    <w:rsid w:val="00432740"/>
    <w:rsid w:val="00432752"/>
    <w:rsid w:val="0043279B"/>
    <w:rsid w:val="004327C2"/>
    <w:rsid w:val="00432852"/>
    <w:rsid w:val="004328A1"/>
    <w:rsid w:val="004328F7"/>
    <w:rsid w:val="00432935"/>
    <w:rsid w:val="00432B44"/>
    <w:rsid w:val="00432BD1"/>
    <w:rsid w:val="00432BD9"/>
    <w:rsid w:val="00432C50"/>
    <w:rsid w:val="00432C89"/>
    <w:rsid w:val="00432C9C"/>
    <w:rsid w:val="00432CD9"/>
    <w:rsid w:val="00432CEA"/>
    <w:rsid w:val="00432CEC"/>
    <w:rsid w:val="00432D6F"/>
    <w:rsid w:val="00432DB7"/>
    <w:rsid w:val="00432DCE"/>
    <w:rsid w:val="00432DF5"/>
    <w:rsid w:val="00432E85"/>
    <w:rsid w:val="00432E99"/>
    <w:rsid w:val="00432F03"/>
    <w:rsid w:val="00432F47"/>
    <w:rsid w:val="00432F86"/>
    <w:rsid w:val="0043308D"/>
    <w:rsid w:val="004330CC"/>
    <w:rsid w:val="00433119"/>
    <w:rsid w:val="0043318D"/>
    <w:rsid w:val="004331E8"/>
    <w:rsid w:val="004332B5"/>
    <w:rsid w:val="004332F9"/>
    <w:rsid w:val="00433304"/>
    <w:rsid w:val="0043349F"/>
    <w:rsid w:val="004334A8"/>
    <w:rsid w:val="004334B8"/>
    <w:rsid w:val="0043369E"/>
    <w:rsid w:val="004336B5"/>
    <w:rsid w:val="0043370C"/>
    <w:rsid w:val="00433757"/>
    <w:rsid w:val="004337BE"/>
    <w:rsid w:val="004337D7"/>
    <w:rsid w:val="0043381D"/>
    <w:rsid w:val="00433846"/>
    <w:rsid w:val="004338A1"/>
    <w:rsid w:val="004338BC"/>
    <w:rsid w:val="004338FB"/>
    <w:rsid w:val="00433919"/>
    <w:rsid w:val="00433A3A"/>
    <w:rsid w:val="00433A41"/>
    <w:rsid w:val="00433A66"/>
    <w:rsid w:val="00433B01"/>
    <w:rsid w:val="00433B8D"/>
    <w:rsid w:val="00433C02"/>
    <w:rsid w:val="00433C1B"/>
    <w:rsid w:val="00433C50"/>
    <w:rsid w:val="00433C62"/>
    <w:rsid w:val="00433C64"/>
    <w:rsid w:val="00433C76"/>
    <w:rsid w:val="00433D6B"/>
    <w:rsid w:val="00433D83"/>
    <w:rsid w:val="00433E54"/>
    <w:rsid w:val="00433ED1"/>
    <w:rsid w:val="0043401B"/>
    <w:rsid w:val="0043403C"/>
    <w:rsid w:val="00434044"/>
    <w:rsid w:val="004340A3"/>
    <w:rsid w:val="004341C7"/>
    <w:rsid w:val="00434214"/>
    <w:rsid w:val="00434226"/>
    <w:rsid w:val="004342C6"/>
    <w:rsid w:val="004342EE"/>
    <w:rsid w:val="00434308"/>
    <w:rsid w:val="0043433F"/>
    <w:rsid w:val="00434369"/>
    <w:rsid w:val="004343E9"/>
    <w:rsid w:val="0043440E"/>
    <w:rsid w:val="004344AA"/>
    <w:rsid w:val="00434508"/>
    <w:rsid w:val="0043450D"/>
    <w:rsid w:val="00434564"/>
    <w:rsid w:val="004345C4"/>
    <w:rsid w:val="0043468A"/>
    <w:rsid w:val="004346F0"/>
    <w:rsid w:val="0043477F"/>
    <w:rsid w:val="00434785"/>
    <w:rsid w:val="004347A7"/>
    <w:rsid w:val="00434841"/>
    <w:rsid w:val="00434855"/>
    <w:rsid w:val="00434859"/>
    <w:rsid w:val="0043485D"/>
    <w:rsid w:val="00434877"/>
    <w:rsid w:val="0043489D"/>
    <w:rsid w:val="004348D3"/>
    <w:rsid w:val="0043492D"/>
    <w:rsid w:val="0043497A"/>
    <w:rsid w:val="0043499D"/>
    <w:rsid w:val="004349A1"/>
    <w:rsid w:val="004349C4"/>
    <w:rsid w:val="004349C8"/>
    <w:rsid w:val="00434A39"/>
    <w:rsid w:val="00434A99"/>
    <w:rsid w:val="00434AA5"/>
    <w:rsid w:val="00434AA8"/>
    <w:rsid w:val="00434AAB"/>
    <w:rsid w:val="00434AC8"/>
    <w:rsid w:val="00434ADD"/>
    <w:rsid w:val="00434B5E"/>
    <w:rsid w:val="00434BAB"/>
    <w:rsid w:val="00434BEF"/>
    <w:rsid w:val="00434C77"/>
    <w:rsid w:val="00434CEB"/>
    <w:rsid w:val="00434CF0"/>
    <w:rsid w:val="00434D1F"/>
    <w:rsid w:val="00434D6F"/>
    <w:rsid w:val="00434DD5"/>
    <w:rsid w:val="00434DE2"/>
    <w:rsid w:val="00434DFD"/>
    <w:rsid w:val="00434E13"/>
    <w:rsid w:val="00434E25"/>
    <w:rsid w:val="00434F4E"/>
    <w:rsid w:val="00434F6D"/>
    <w:rsid w:val="00434F79"/>
    <w:rsid w:val="00434FC1"/>
    <w:rsid w:val="0043500B"/>
    <w:rsid w:val="0043501A"/>
    <w:rsid w:val="00435035"/>
    <w:rsid w:val="0043503A"/>
    <w:rsid w:val="00435104"/>
    <w:rsid w:val="0043510D"/>
    <w:rsid w:val="0043518E"/>
    <w:rsid w:val="0043535F"/>
    <w:rsid w:val="00435383"/>
    <w:rsid w:val="004353AA"/>
    <w:rsid w:val="004353B6"/>
    <w:rsid w:val="004354B7"/>
    <w:rsid w:val="004354EC"/>
    <w:rsid w:val="004354F3"/>
    <w:rsid w:val="00435540"/>
    <w:rsid w:val="00435548"/>
    <w:rsid w:val="0043566E"/>
    <w:rsid w:val="004356A7"/>
    <w:rsid w:val="004356C9"/>
    <w:rsid w:val="004356D0"/>
    <w:rsid w:val="00435711"/>
    <w:rsid w:val="00435729"/>
    <w:rsid w:val="0043572B"/>
    <w:rsid w:val="004357B6"/>
    <w:rsid w:val="004357BB"/>
    <w:rsid w:val="004357BF"/>
    <w:rsid w:val="004357DB"/>
    <w:rsid w:val="00435827"/>
    <w:rsid w:val="00435831"/>
    <w:rsid w:val="00435862"/>
    <w:rsid w:val="004358C1"/>
    <w:rsid w:val="004359B1"/>
    <w:rsid w:val="00435B32"/>
    <w:rsid w:val="00435B7F"/>
    <w:rsid w:val="00435C00"/>
    <w:rsid w:val="00435CC6"/>
    <w:rsid w:val="00435CCB"/>
    <w:rsid w:val="00435CDD"/>
    <w:rsid w:val="00435CEE"/>
    <w:rsid w:val="00435CFC"/>
    <w:rsid w:val="00435D01"/>
    <w:rsid w:val="00435D14"/>
    <w:rsid w:val="00435D5B"/>
    <w:rsid w:val="00435D73"/>
    <w:rsid w:val="00435D91"/>
    <w:rsid w:val="00435D9B"/>
    <w:rsid w:val="00435DBB"/>
    <w:rsid w:val="00435E1C"/>
    <w:rsid w:val="00435E81"/>
    <w:rsid w:val="00435F71"/>
    <w:rsid w:val="00435F89"/>
    <w:rsid w:val="00435F8A"/>
    <w:rsid w:val="00435F9F"/>
    <w:rsid w:val="00436043"/>
    <w:rsid w:val="00436054"/>
    <w:rsid w:val="0043605A"/>
    <w:rsid w:val="0043605D"/>
    <w:rsid w:val="00436159"/>
    <w:rsid w:val="004361CB"/>
    <w:rsid w:val="004361D9"/>
    <w:rsid w:val="00436201"/>
    <w:rsid w:val="00436202"/>
    <w:rsid w:val="00436262"/>
    <w:rsid w:val="00436282"/>
    <w:rsid w:val="004362C5"/>
    <w:rsid w:val="004362F7"/>
    <w:rsid w:val="0043631C"/>
    <w:rsid w:val="0043631D"/>
    <w:rsid w:val="004363A9"/>
    <w:rsid w:val="004363EF"/>
    <w:rsid w:val="00436400"/>
    <w:rsid w:val="00436409"/>
    <w:rsid w:val="004364A1"/>
    <w:rsid w:val="00436516"/>
    <w:rsid w:val="00436526"/>
    <w:rsid w:val="00436588"/>
    <w:rsid w:val="00436591"/>
    <w:rsid w:val="004365F3"/>
    <w:rsid w:val="00436652"/>
    <w:rsid w:val="00436697"/>
    <w:rsid w:val="004366B1"/>
    <w:rsid w:val="004366DF"/>
    <w:rsid w:val="004366F0"/>
    <w:rsid w:val="00436735"/>
    <w:rsid w:val="0043675D"/>
    <w:rsid w:val="00436787"/>
    <w:rsid w:val="0043678B"/>
    <w:rsid w:val="004367B4"/>
    <w:rsid w:val="004367B8"/>
    <w:rsid w:val="004367F9"/>
    <w:rsid w:val="004367FB"/>
    <w:rsid w:val="00436906"/>
    <w:rsid w:val="00436909"/>
    <w:rsid w:val="0043692D"/>
    <w:rsid w:val="00436943"/>
    <w:rsid w:val="00436979"/>
    <w:rsid w:val="00436985"/>
    <w:rsid w:val="0043699A"/>
    <w:rsid w:val="00436A0F"/>
    <w:rsid w:val="00436A29"/>
    <w:rsid w:val="00436A6B"/>
    <w:rsid w:val="00436A7A"/>
    <w:rsid w:val="00436AD6"/>
    <w:rsid w:val="00436B56"/>
    <w:rsid w:val="00436BD8"/>
    <w:rsid w:val="00436BDE"/>
    <w:rsid w:val="00436C63"/>
    <w:rsid w:val="00436CC8"/>
    <w:rsid w:val="00436CE4"/>
    <w:rsid w:val="00436CF7"/>
    <w:rsid w:val="00436D53"/>
    <w:rsid w:val="00436D57"/>
    <w:rsid w:val="00436DA6"/>
    <w:rsid w:val="00436E23"/>
    <w:rsid w:val="00436E26"/>
    <w:rsid w:val="00436E9B"/>
    <w:rsid w:val="00436EF5"/>
    <w:rsid w:val="00436F5E"/>
    <w:rsid w:val="00437043"/>
    <w:rsid w:val="0043705D"/>
    <w:rsid w:val="004370A4"/>
    <w:rsid w:val="004370BA"/>
    <w:rsid w:val="004370D9"/>
    <w:rsid w:val="004370E3"/>
    <w:rsid w:val="004370F6"/>
    <w:rsid w:val="00437152"/>
    <w:rsid w:val="004371AF"/>
    <w:rsid w:val="004371C0"/>
    <w:rsid w:val="004371CA"/>
    <w:rsid w:val="004371F5"/>
    <w:rsid w:val="00437203"/>
    <w:rsid w:val="00437289"/>
    <w:rsid w:val="00437293"/>
    <w:rsid w:val="004372A2"/>
    <w:rsid w:val="00437334"/>
    <w:rsid w:val="00437566"/>
    <w:rsid w:val="004375A1"/>
    <w:rsid w:val="004375EF"/>
    <w:rsid w:val="00437654"/>
    <w:rsid w:val="00437659"/>
    <w:rsid w:val="0043768A"/>
    <w:rsid w:val="004376A9"/>
    <w:rsid w:val="004376B1"/>
    <w:rsid w:val="00437772"/>
    <w:rsid w:val="004377C7"/>
    <w:rsid w:val="00437855"/>
    <w:rsid w:val="00437858"/>
    <w:rsid w:val="0043789D"/>
    <w:rsid w:val="00437931"/>
    <w:rsid w:val="00437990"/>
    <w:rsid w:val="004379D4"/>
    <w:rsid w:val="004379DE"/>
    <w:rsid w:val="00437A13"/>
    <w:rsid w:val="00437A1D"/>
    <w:rsid w:val="00437AAB"/>
    <w:rsid w:val="00437AB8"/>
    <w:rsid w:val="00437ABA"/>
    <w:rsid w:val="00437AEC"/>
    <w:rsid w:val="00437B2B"/>
    <w:rsid w:val="00437B49"/>
    <w:rsid w:val="00437BB5"/>
    <w:rsid w:val="00437BB6"/>
    <w:rsid w:val="00437BCF"/>
    <w:rsid w:val="00437BDF"/>
    <w:rsid w:val="00437BF2"/>
    <w:rsid w:val="00437D0A"/>
    <w:rsid w:val="00437D8C"/>
    <w:rsid w:val="00437DEA"/>
    <w:rsid w:val="00437E93"/>
    <w:rsid w:val="00437EA2"/>
    <w:rsid w:val="00437FA6"/>
    <w:rsid w:val="00437FE0"/>
    <w:rsid w:val="00440071"/>
    <w:rsid w:val="004400D6"/>
    <w:rsid w:val="004400E6"/>
    <w:rsid w:val="00440127"/>
    <w:rsid w:val="0044017A"/>
    <w:rsid w:val="00440241"/>
    <w:rsid w:val="00440293"/>
    <w:rsid w:val="00440294"/>
    <w:rsid w:val="004402B8"/>
    <w:rsid w:val="00440303"/>
    <w:rsid w:val="00440372"/>
    <w:rsid w:val="004403B4"/>
    <w:rsid w:val="004403DB"/>
    <w:rsid w:val="00440441"/>
    <w:rsid w:val="00440458"/>
    <w:rsid w:val="0044048A"/>
    <w:rsid w:val="0044057B"/>
    <w:rsid w:val="0044059D"/>
    <w:rsid w:val="00440646"/>
    <w:rsid w:val="0044066A"/>
    <w:rsid w:val="004406A3"/>
    <w:rsid w:val="00440700"/>
    <w:rsid w:val="00440712"/>
    <w:rsid w:val="004407D6"/>
    <w:rsid w:val="0044083A"/>
    <w:rsid w:val="00440847"/>
    <w:rsid w:val="00440910"/>
    <w:rsid w:val="004409F6"/>
    <w:rsid w:val="004409F8"/>
    <w:rsid w:val="00440A65"/>
    <w:rsid w:val="00440A88"/>
    <w:rsid w:val="00440B1A"/>
    <w:rsid w:val="00440B4A"/>
    <w:rsid w:val="00440B57"/>
    <w:rsid w:val="00440B7F"/>
    <w:rsid w:val="00440CA9"/>
    <w:rsid w:val="00440CC7"/>
    <w:rsid w:val="00440CD5"/>
    <w:rsid w:val="00440CDD"/>
    <w:rsid w:val="00440D0D"/>
    <w:rsid w:val="00440D27"/>
    <w:rsid w:val="00440D89"/>
    <w:rsid w:val="00440DA5"/>
    <w:rsid w:val="00440DC5"/>
    <w:rsid w:val="00440E49"/>
    <w:rsid w:val="00440E6B"/>
    <w:rsid w:val="00440E91"/>
    <w:rsid w:val="00440EB5"/>
    <w:rsid w:val="00440EE3"/>
    <w:rsid w:val="00440F54"/>
    <w:rsid w:val="00440F80"/>
    <w:rsid w:val="00440F89"/>
    <w:rsid w:val="00440FC8"/>
    <w:rsid w:val="00440FDB"/>
    <w:rsid w:val="0044103F"/>
    <w:rsid w:val="0044105D"/>
    <w:rsid w:val="00441092"/>
    <w:rsid w:val="004410C6"/>
    <w:rsid w:val="00441147"/>
    <w:rsid w:val="004411BE"/>
    <w:rsid w:val="004411D6"/>
    <w:rsid w:val="00441257"/>
    <w:rsid w:val="004412BB"/>
    <w:rsid w:val="004412CE"/>
    <w:rsid w:val="00441300"/>
    <w:rsid w:val="00441308"/>
    <w:rsid w:val="00441320"/>
    <w:rsid w:val="00441345"/>
    <w:rsid w:val="00441382"/>
    <w:rsid w:val="00441437"/>
    <w:rsid w:val="00441463"/>
    <w:rsid w:val="0044149C"/>
    <w:rsid w:val="004414E0"/>
    <w:rsid w:val="0044150B"/>
    <w:rsid w:val="0044152F"/>
    <w:rsid w:val="0044153A"/>
    <w:rsid w:val="0044158D"/>
    <w:rsid w:val="0044165B"/>
    <w:rsid w:val="004416DE"/>
    <w:rsid w:val="0044172A"/>
    <w:rsid w:val="004417BF"/>
    <w:rsid w:val="004417C3"/>
    <w:rsid w:val="004417DA"/>
    <w:rsid w:val="00441811"/>
    <w:rsid w:val="0044182C"/>
    <w:rsid w:val="004418CA"/>
    <w:rsid w:val="004418D9"/>
    <w:rsid w:val="004418E0"/>
    <w:rsid w:val="00441959"/>
    <w:rsid w:val="00441963"/>
    <w:rsid w:val="00441968"/>
    <w:rsid w:val="004419B9"/>
    <w:rsid w:val="004419D7"/>
    <w:rsid w:val="00441A3A"/>
    <w:rsid w:val="00441A71"/>
    <w:rsid w:val="00441ADB"/>
    <w:rsid w:val="00441AEE"/>
    <w:rsid w:val="00441B16"/>
    <w:rsid w:val="00441B3E"/>
    <w:rsid w:val="00441B44"/>
    <w:rsid w:val="00441B51"/>
    <w:rsid w:val="00441B72"/>
    <w:rsid w:val="00441B78"/>
    <w:rsid w:val="00441B7A"/>
    <w:rsid w:val="00441C43"/>
    <w:rsid w:val="00441C66"/>
    <w:rsid w:val="00441CA6"/>
    <w:rsid w:val="00441CD6"/>
    <w:rsid w:val="00441D04"/>
    <w:rsid w:val="00441D07"/>
    <w:rsid w:val="00441D6B"/>
    <w:rsid w:val="00441D92"/>
    <w:rsid w:val="00441DA4"/>
    <w:rsid w:val="00441DED"/>
    <w:rsid w:val="00441E06"/>
    <w:rsid w:val="00441EA5"/>
    <w:rsid w:val="00441F07"/>
    <w:rsid w:val="00441F42"/>
    <w:rsid w:val="004420BB"/>
    <w:rsid w:val="004420C5"/>
    <w:rsid w:val="004420E5"/>
    <w:rsid w:val="004420E7"/>
    <w:rsid w:val="004420EF"/>
    <w:rsid w:val="0044213B"/>
    <w:rsid w:val="0044216F"/>
    <w:rsid w:val="0044219A"/>
    <w:rsid w:val="004421AD"/>
    <w:rsid w:val="004421B5"/>
    <w:rsid w:val="00442200"/>
    <w:rsid w:val="004422D3"/>
    <w:rsid w:val="00442309"/>
    <w:rsid w:val="00442362"/>
    <w:rsid w:val="0044237B"/>
    <w:rsid w:val="0044238C"/>
    <w:rsid w:val="004423D9"/>
    <w:rsid w:val="0044242F"/>
    <w:rsid w:val="0044244F"/>
    <w:rsid w:val="0044246B"/>
    <w:rsid w:val="00442475"/>
    <w:rsid w:val="00442524"/>
    <w:rsid w:val="0044255C"/>
    <w:rsid w:val="0044259D"/>
    <w:rsid w:val="004425B1"/>
    <w:rsid w:val="00442636"/>
    <w:rsid w:val="00442649"/>
    <w:rsid w:val="00442692"/>
    <w:rsid w:val="00442726"/>
    <w:rsid w:val="00442793"/>
    <w:rsid w:val="004427AC"/>
    <w:rsid w:val="004427E3"/>
    <w:rsid w:val="00442819"/>
    <w:rsid w:val="0044283C"/>
    <w:rsid w:val="0044286F"/>
    <w:rsid w:val="00442876"/>
    <w:rsid w:val="00442879"/>
    <w:rsid w:val="0044288B"/>
    <w:rsid w:val="004428FF"/>
    <w:rsid w:val="00442914"/>
    <w:rsid w:val="00442932"/>
    <w:rsid w:val="00442975"/>
    <w:rsid w:val="00442A24"/>
    <w:rsid w:val="00442A34"/>
    <w:rsid w:val="00442A96"/>
    <w:rsid w:val="00442B0E"/>
    <w:rsid w:val="00442B8D"/>
    <w:rsid w:val="00442B97"/>
    <w:rsid w:val="00442BD9"/>
    <w:rsid w:val="00442C5F"/>
    <w:rsid w:val="00442D69"/>
    <w:rsid w:val="00442E58"/>
    <w:rsid w:val="00442F16"/>
    <w:rsid w:val="00442F67"/>
    <w:rsid w:val="00442FC9"/>
    <w:rsid w:val="00442FE0"/>
    <w:rsid w:val="00442FE6"/>
    <w:rsid w:val="00442FE7"/>
    <w:rsid w:val="0044304C"/>
    <w:rsid w:val="004430A4"/>
    <w:rsid w:val="0044318B"/>
    <w:rsid w:val="00443194"/>
    <w:rsid w:val="004431C0"/>
    <w:rsid w:val="004431CF"/>
    <w:rsid w:val="004431D0"/>
    <w:rsid w:val="0044321B"/>
    <w:rsid w:val="0044323D"/>
    <w:rsid w:val="0044328C"/>
    <w:rsid w:val="004432D5"/>
    <w:rsid w:val="004432F6"/>
    <w:rsid w:val="0044333A"/>
    <w:rsid w:val="0044336D"/>
    <w:rsid w:val="004433C1"/>
    <w:rsid w:val="0044340D"/>
    <w:rsid w:val="0044341E"/>
    <w:rsid w:val="0044345F"/>
    <w:rsid w:val="0044352E"/>
    <w:rsid w:val="004435B7"/>
    <w:rsid w:val="004435E9"/>
    <w:rsid w:val="00443645"/>
    <w:rsid w:val="00443678"/>
    <w:rsid w:val="004436FE"/>
    <w:rsid w:val="004436FF"/>
    <w:rsid w:val="0044370E"/>
    <w:rsid w:val="0044370F"/>
    <w:rsid w:val="0044373C"/>
    <w:rsid w:val="00443790"/>
    <w:rsid w:val="004437A7"/>
    <w:rsid w:val="004437C7"/>
    <w:rsid w:val="004437CA"/>
    <w:rsid w:val="004437F4"/>
    <w:rsid w:val="004437F9"/>
    <w:rsid w:val="004437FB"/>
    <w:rsid w:val="00443880"/>
    <w:rsid w:val="004438E1"/>
    <w:rsid w:val="004438E6"/>
    <w:rsid w:val="0044392A"/>
    <w:rsid w:val="0044396B"/>
    <w:rsid w:val="0044397D"/>
    <w:rsid w:val="004439B1"/>
    <w:rsid w:val="004439C1"/>
    <w:rsid w:val="004439C8"/>
    <w:rsid w:val="00443A45"/>
    <w:rsid w:val="00443A5C"/>
    <w:rsid w:val="00443AAE"/>
    <w:rsid w:val="00443ADE"/>
    <w:rsid w:val="00443AFE"/>
    <w:rsid w:val="00443B2F"/>
    <w:rsid w:val="00443B35"/>
    <w:rsid w:val="00443B89"/>
    <w:rsid w:val="00443BA5"/>
    <w:rsid w:val="00443CDB"/>
    <w:rsid w:val="00443CEC"/>
    <w:rsid w:val="00443D74"/>
    <w:rsid w:val="00443DB4"/>
    <w:rsid w:val="00443DEE"/>
    <w:rsid w:val="00443DFD"/>
    <w:rsid w:val="00443E07"/>
    <w:rsid w:val="00443EB6"/>
    <w:rsid w:val="00443EBC"/>
    <w:rsid w:val="00443F73"/>
    <w:rsid w:val="00443F7A"/>
    <w:rsid w:val="00443FA0"/>
    <w:rsid w:val="0044403E"/>
    <w:rsid w:val="0044404D"/>
    <w:rsid w:val="00444094"/>
    <w:rsid w:val="0044411E"/>
    <w:rsid w:val="00444142"/>
    <w:rsid w:val="004441A0"/>
    <w:rsid w:val="00444200"/>
    <w:rsid w:val="00444215"/>
    <w:rsid w:val="004442CA"/>
    <w:rsid w:val="004442D6"/>
    <w:rsid w:val="004442D8"/>
    <w:rsid w:val="00444340"/>
    <w:rsid w:val="00444389"/>
    <w:rsid w:val="0044439E"/>
    <w:rsid w:val="00444415"/>
    <w:rsid w:val="0044445C"/>
    <w:rsid w:val="004444B3"/>
    <w:rsid w:val="00444538"/>
    <w:rsid w:val="00444560"/>
    <w:rsid w:val="00444575"/>
    <w:rsid w:val="004445BC"/>
    <w:rsid w:val="004445F8"/>
    <w:rsid w:val="00444620"/>
    <w:rsid w:val="00444646"/>
    <w:rsid w:val="00444648"/>
    <w:rsid w:val="0044466B"/>
    <w:rsid w:val="0044467A"/>
    <w:rsid w:val="004446F4"/>
    <w:rsid w:val="00444808"/>
    <w:rsid w:val="0044484A"/>
    <w:rsid w:val="00444855"/>
    <w:rsid w:val="0044486C"/>
    <w:rsid w:val="0044488C"/>
    <w:rsid w:val="004448B6"/>
    <w:rsid w:val="004448CA"/>
    <w:rsid w:val="004448DB"/>
    <w:rsid w:val="0044491E"/>
    <w:rsid w:val="00444923"/>
    <w:rsid w:val="004449A4"/>
    <w:rsid w:val="004449A9"/>
    <w:rsid w:val="004449C6"/>
    <w:rsid w:val="004449E6"/>
    <w:rsid w:val="00444A75"/>
    <w:rsid w:val="00444AB6"/>
    <w:rsid w:val="00444AE2"/>
    <w:rsid w:val="00444B63"/>
    <w:rsid w:val="00444B67"/>
    <w:rsid w:val="00444B72"/>
    <w:rsid w:val="00444B73"/>
    <w:rsid w:val="00444BAA"/>
    <w:rsid w:val="00444BFE"/>
    <w:rsid w:val="00444CB4"/>
    <w:rsid w:val="00444D88"/>
    <w:rsid w:val="00444DA6"/>
    <w:rsid w:val="00444DB5"/>
    <w:rsid w:val="00444DD1"/>
    <w:rsid w:val="00444DEF"/>
    <w:rsid w:val="00444E2A"/>
    <w:rsid w:val="00444E2C"/>
    <w:rsid w:val="00444E57"/>
    <w:rsid w:val="00444E97"/>
    <w:rsid w:val="00444EBE"/>
    <w:rsid w:val="00444ECC"/>
    <w:rsid w:val="00444EEC"/>
    <w:rsid w:val="0044504D"/>
    <w:rsid w:val="00445090"/>
    <w:rsid w:val="004450C2"/>
    <w:rsid w:val="004450F0"/>
    <w:rsid w:val="00445126"/>
    <w:rsid w:val="0044512F"/>
    <w:rsid w:val="00445168"/>
    <w:rsid w:val="004451D6"/>
    <w:rsid w:val="004451D7"/>
    <w:rsid w:val="004451E1"/>
    <w:rsid w:val="004451E2"/>
    <w:rsid w:val="004451FF"/>
    <w:rsid w:val="00445216"/>
    <w:rsid w:val="00445220"/>
    <w:rsid w:val="00445286"/>
    <w:rsid w:val="00445291"/>
    <w:rsid w:val="00445342"/>
    <w:rsid w:val="0044535E"/>
    <w:rsid w:val="00445362"/>
    <w:rsid w:val="004453B6"/>
    <w:rsid w:val="0044548F"/>
    <w:rsid w:val="00445498"/>
    <w:rsid w:val="004454E3"/>
    <w:rsid w:val="004455AB"/>
    <w:rsid w:val="004455AD"/>
    <w:rsid w:val="00445605"/>
    <w:rsid w:val="0044560B"/>
    <w:rsid w:val="00445627"/>
    <w:rsid w:val="004456AC"/>
    <w:rsid w:val="0044576B"/>
    <w:rsid w:val="004457E8"/>
    <w:rsid w:val="004457FD"/>
    <w:rsid w:val="0044582A"/>
    <w:rsid w:val="004458DE"/>
    <w:rsid w:val="00445915"/>
    <w:rsid w:val="00445921"/>
    <w:rsid w:val="004459C3"/>
    <w:rsid w:val="00445A05"/>
    <w:rsid w:val="00445A77"/>
    <w:rsid w:val="00445A94"/>
    <w:rsid w:val="00445AE8"/>
    <w:rsid w:val="00445AFF"/>
    <w:rsid w:val="00445B40"/>
    <w:rsid w:val="00445B4A"/>
    <w:rsid w:val="00445B5C"/>
    <w:rsid w:val="00445BDC"/>
    <w:rsid w:val="00445C04"/>
    <w:rsid w:val="00445C3A"/>
    <w:rsid w:val="00445C4E"/>
    <w:rsid w:val="00445C5D"/>
    <w:rsid w:val="00445C70"/>
    <w:rsid w:val="00445CAE"/>
    <w:rsid w:val="00445CF3"/>
    <w:rsid w:val="00445D9A"/>
    <w:rsid w:val="00445DA6"/>
    <w:rsid w:val="00445DA7"/>
    <w:rsid w:val="00445DC2"/>
    <w:rsid w:val="00445DDE"/>
    <w:rsid w:val="00445DDF"/>
    <w:rsid w:val="00445DFF"/>
    <w:rsid w:val="00445E43"/>
    <w:rsid w:val="00445E7A"/>
    <w:rsid w:val="00445EA9"/>
    <w:rsid w:val="00445EDF"/>
    <w:rsid w:val="00445FBB"/>
    <w:rsid w:val="00445FCA"/>
    <w:rsid w:val="00445FFE"/>
    <w:rsid w:val="00446033"/>
    <w:rsid w:val="0044608B"/>
    <w:rsid w:val="004460C2"/>
    <w:rsid w:val="004460D1"/>
    <w:rsid w:val="00446120"/>
    <w:rsid w:val="00446126"/>
    <w:rsid w:val="0044618A"/>
    <w:rsid w:val="004461AB"/>
    <w:rsid w:val="00446230"/>
    <w:rsid w:val="004462AF"/>
    <w:rsid w:val="004462FA"/>
    <w:rsid w:val="00446376"/>
    <w:rsid w:val="00446392"/>
    <w:rsid w:val="0044640A"/>
    <w:rsid w:val="00446436"/>
    <w:rsid w:val="00446458"/>
    <w:rsid w:val="004464B3"/>
    <w:rsid w:val="004464F1"/>
    <w:rsid w:val="0044654A"/>
    <w:rsid w:val="00446584"/>
    <w:rsid w:val="00446586"/>
    <w:rsid w:val="004465C5"/>
    <w:rsid w:val="00446603"/>
    <w:rsid w:val="004466D3"/>
    <w:rsid w:val="00446761"/>
    <w:rsid w:val="004467C1"/>
    <w:rsid w:val="004467F8"/>
    <w:rsid w:val="00446854"/>
    <w:rsid w:val="004468DA"/>
    <w:rsid w:val="004468DE"/>
    <w:rsid w:val="0044696D"/>
    <w:rsid w:val="00446A55"/>
    <w:rsid w:val="00446AB3"/>
    <w:rsid w:val="00446AC3"/>
    <w:rsid w:val="00446ADD"/>
    <w:rsid w:val="00446AE3"/>
    <w:rsid w:val="00446B62"/>
    <w:rsid w:val="00446B97"/>
    <w:rsid w:val="00446B98"/>
    <w:rsid w:val="00446BD3"/>
    <w:rsid w:val="00446BDC"/>
    <w:rsid w:val="00446C06"/>
    <w:rsid w:val="00446C13"/>
    <w:rsid w:val="00446C59"/>
    <w:rsid w:val="00446C6C"/>
    <w:rsid w:val="00446C9D"/>
    <w:rsid w:val="00446CB7"/>
    <w:rsid w:val="00446CD7"/>
    <w:rsid w:val="00446CEF"/>
    <w:rsid w:val="00446D4B"/>
    <w:rsid w:val="00446D6D"/>
    <w:rsid w:val="00446D89"/>
    <w:rsid w:val="00446DBC"/>
    <w:rsid w:val="00446DCE"/>
    <w:rsid w:val="00446E36"/>
    <w:rsid w:val="00446E58"/>
    <w:rsid w:val="00446F07"/>
    <w:rsid w:val="00446F3E"/>
    <w:rsid w:val="00446F6D"/>
    <w:rsid w:val="00446FC4"/>
    <w:rsid w:val="00447028"/>
    <w:rsid w:val="00447072"/>
    <w:rsid w:val="0044709A"/>
    <w:rsid w:val="0044709D"/>
    <w:rsid w:val="00447114"/>
    <w:rsid w:val="00447141"/>
    <w:rsid w:val="004471D8"/>
    <w:rsid w:val="004471D9"/>
    <w:rsid w:val="0044724F"/>
    <w:rsid w:val="00447268"/>
    <w:rsid w:val="00447294"/>
    <w:rsid w:val="004472A6"/>
    <w:rsid w:val="004472AF"/>
    <w:rsid w:val="004472FB"/>
    <w:rsid w:val="0044734A"/>
    <w:rsid w:val="0044737A"/>
    <w:rsid w:val="0044737B"/>
    <w:rsid w:val="004473D1"/>
    <w:rsid w:val="004473EC"/>
    <w:rsid w:val="00447408"/>
    <w:rsid w:val="00447444"/>
    <w:rsid w:val="0044746A"/>
    <w:rsid w:val="00447480"/>
    <w:rsid w:val="004474E4"/>
    <w:rsid w:val="00447510"/>
    <w:rsid w:val="0044753C"/>
    <w:rsid w:val="00447575"/>
    <w:rsid w:val="00447577"/>
    <w:rsid w:val="004475A1"/>
    <w:rsid w:val="004475F4"/>
    <w:rsid w:val="00447615"/>
    <w:rsid w:val="0044761A"/>
    <w:rsid w:val="00447770"/>
    <w:rsid w:val="00447772"/>
    <w:rsid w:val="00447776"/>
    <w:rsid w:val="00447791"/>
    <w:rsid w:val="00447830"/>
    <w:rsid w:val="0044785E"/>
    <w:rsid w:val="0044788A"/>
    <w:rsid w:val="004478CA"/>
    <w:rsid w:val="004478D8"/>
    <w:rsid w:val="0044791C"/>
    <w:rsid w:val="0044795F"/>
    <w:rsid w:val="00447961"/>
    <w:rsid w:val="004479B0"/>
    <w:rsid w:val="00447A51"/>
    <w:rsid w:val="00447A72"/>
    <w:rsid w:val="00447AFB"/>
    <w:rsid w:val="00447B41"/>
    <w:rsid w:val="00447B90"/>
    <w:rsid w:val="00447BAE"/>
    <w:rsid w:val="00447BCE"/>
    <w:rsid w:val="00447BD0"/>
    <w:rsid w:val="00447C46"/>
    <w:rsid w:val="00447C86"/>
    <w:rsid w:val="00447CCC"/>
    <w:rsid w:val="00447D02"/>
    <w:rsid w:val="00447D2C"/>
    <w:rsid w:val="00447DAD"/>
    <w:rsid w:val="00447E33"/>
    <w:rsid w:val="00447E35"/>
    <w:rsid w:val="00447EAC"/>
    <w:rsid w:val="00447EC2"/>
    <w:rsid w:val="00447ED4"/>
    <w:rsid w:val="00447EE8"/>
    <w:rsid w:val="00447F79"/>
    <w:rsid w:val="00447FA4"/>
    <w:rsid w:val="00447FA8"/>
    <w:rsid w:val="00447FD2"/>
    <w:rsid w:val="00447FEF"/>
    <w:rsid w:val="00450009"/>
    <w:rsid w:val="0045000D"/>
    <w:rsid w:val="004500AE"/>
    <w:rsid w:val="004500B6"/>
    <w:rsid w:val="004500C5"/>
    <w:rsid w:val="004500F3"/>
    <w:rsid w:val="00450118"/>
    <w:rsid w:val="00450125"/>
    <w:rsid w:val="004501CD"/>
    <w:rsid w:val="004502AD"/>
    <w:rsid w:val="004503D0"/>
    <w:rsid w:val="004503FB"/>
    <w:rsid w:val="0045041C"/>
    <w:rsid w:val="0045045B"/>
    <w:rsid w:val="0045047A"/>
    <w:rsid w:val="0045048D"/>
    <w:rsid w:val="0045049B"/>
    <w:rsid w:val="004504BA"/>
    <w:rsid w:val="004504BB"/>
    <w:rsid w:val="004504E9"/>
    <w:rsid w:val="00450518"/>
    <w:rsid w:val="0045052D"/>
    <w:rsid w:val="004505FD"/>
    <w:rsid w:val="00450705"/>
    <w:rsid w:val="0045079B"/>
    <w:rsid w:val="004507AC"/>
    <w:rsid w:val="00450848"/>
    <w:rsid w:val="0045088A"/>
    <w:rsid w:val="004508C7"/>
    <w:rsid w:val="0045092A"/>
    <w:rsid w:val="00450A4B"/>
    <w:rsid w:val="00450A56"/>
    <w:rsid w:val="00450AAD"/>
    <w:rsid w:val="00450B38"/>
    <w:rsid w:val="00450B5A"/>
    <w:rsid w:val="00450B89"/>
    <w:rsid w:val="00450B8D"/>
    <w:rsid w:val="00450BB7"/>
    <w:rsid w:val="00450BDC"/>
    <w:rsid w:val="00450C35"/>
    <w:rsid w:val="00450C43"/>
    <w:rsid w:val="00450C7D"/>
    <w:rsid w:val="00450CB7"/>
    <w:rsid w:val="00450D35"/>
    <w:rsid w:val="00450D39"/>
    <w:rsid w:val="00450D7E"/>
    <w:rsid w:val="00450E1D"/>
    <w:rsid w:val="00450E57"/>
    <w:rsid w:val="00450F28"/>
    <w:rsid w:val="00450F5A"/>
    <w:rsid w:val="00450F7F"/>
    <w:rsid w:val="00450FF1"/>
    <w:rsid w:val="0045103F"/>
    <w:rsid w:val="00451083"/>
    <w:rsid w:val="004510CC"/>
    <w:rsid w:val="004510D3"/>
    <w:rsid w:val="004511ED"/>
    <w:rsid w:val="00451213"/>
    <w:rsid w:val="0045121B"/>
    <w:rsid w:val="0045122D"/>
    <w:rsid w:val="0045125F"/>
    <w:rsid w:val="00451261"/>
    <w:rsid w:val="004513CC"/>
    <w:rsid w:val="004513DA"/>
    <w:rsid w:val="00451417"/>
    <w:rsid w:val="00451424"/>
    <w:rsid w:val="0045144C"/>
    <w:rsid w:val="004514AC"/>
    <w:rsid w:val="00451501"/>
    <w:rsid w:val="0045152B"/>
    <w:rsid w:val="00451601"/>
    <w:rsid w:val="00451641"/>
    <w:rsid w:val="00451659"/>
    <w:rsid w:val="00451728"/>
    <w:rsid w:val="0045176A"/>
    <w:rsid w:val="00451817"/>
    <w:rsid w:val="0045181B"/>
    <w:rsid w:val="0045188F"/>
    <w:rsid w:val="0045190D"/>
    <w:rsid w:val="004519F6"/>
    <w:rsid w:val="00451A17"/>
    <w:rsid w:val="00451A37"/>
    <w:rsid w:val="00451A56"/>
    <w:rsid w:val="00451B29"/>
    <w:rsid w:val="00451C1A"/>
    <w:rsid w:val="00451C2A"/>
    <w:rsid w:val="00451C2B"/>
    <w:rsid w:val="00451C3B"/>
    <w:rsid w:val="00451C81"/>
    <w:rsid w:val="00451CC8"/>
    <w:rsid w:val="00451CEB"/>
    <w:rsid w:val="00451CED"/>
    <w:rsid w:val="00451D02"/>
    <w:rsid w:val="00451D87"/>
    <w:rsid w:val="00451DAF"/>
    <w:rsid w:val="00451DB4"/>
    <w:rsid w:val="00451E5B"/>
    <w:rsid w:val="00451E73"/>
    <w:rsid w:val="00451E9B"/>
    <w:rsid w:val="00451EB1"/>
    <w:rsid w:val="00451EBE"/>
    <w:rsid w:val="00451EF4"/>
    <w:rsid w:val="00451F5D"/>
    <w:rsid w:val="0045205F"/>
    <w:rsid w:val="004520B9"/>
    <w:rsid w:val="0045213F"/>
    <w:rsid w:val="00452141"/>
    <w:rsid w:val="004521D8"/>
    <w:rsid w:val="004521FC"/>
    <w:rsid w:val="0045220B"/>
    <w:rsid w:val="0045221F"/>
    <w:rsid w:val="004522B1"/>
    <w:rsid w:val="004522F9"/>
    <w:rsid w:val="00452309"/>
    <w:rsid w:val="0045230F"/>
    <w:rsid w:val="0045238B"/>
    <w:rsid w:val="0045239B"/>
    <w:rsid w:val="004523B0"/>
    <w:rsid w:val="004523C8"/>
    <w:rsid w:val="004523D7"/>
    <w:rsid w:val="004523DC"/>
    <w:rsid w:val="00452423"/>
    <w:rsid w:val="0045243C"/>
    <w:rsid w:val="00452495"/>
    <w:rsid w:val="004524A7"/>
    <w:rsid w:val="004524BD"/>
    <w:rsid w:val="00452507"/>
    <w:rsid w:val="00452537"/>
    <w:rsid w:val="00452566"/>
    <w:rsid w:val="00452585"/>
    <w:rsid w:val="004525F0"/>
    <w:rsid w:val="00452602"/>
    <w:rsid w:val="00452631"/>
    <w:rsid w:val="00452659"/>
    <w:rsid w:val="00452702"/>
    <w:rsid w:val="00452722"/>
    <w:rsid w:val="004527A7"/>
    <w:rsid w:val="004527B4"/>
    <w:rsid w:val="004527E0"/>
    <w:rsid w:val="00452825"/>
    <w:rsid w:val="00452931"/>
    <w:rsid w:val="0045294E"/>
    <w:rsid w:val="0045295A"/>
    <w:rsid w:val="00452998"/>
    <w:rsid w:val="004529B2"/>
    <w:rsid w:val="004529D0"/>
    <w:rsid w:val="004529F2"/>
    <w:rsid w:val="00452A1C"/>
    <w:rsid w:val="00452A3B"/>
    <w:rsid w:val="00452AAB"/>
    <w:rsid w:val="00452AD2"/>
    <w:rsid w:val="00452AF1"/>
    <w:rsid w:val="00452AFE"/>
    <w:rsid w:val="00452B69"/>
    <w:rsid w:val="00452C0E"/>
    <w:rsid w:val="00452C91"/>
    <w:rsid w:val="00452C9B"/>
    <w:rsid w:val="00452CF7"/>
    <w:rsid w:val="00452DC4"/>
    <w:rsid w:val="00452DD7"/>
    <w:rsid w:val="00452DFB"/>
    <w:rsid w:val="00452E12"/>
    <w:rsid w:val="00452E35"/>
    <w:rsid w:val="00452E36"/>
    <w:rsid w:val="00452EC4"/>
    <w:rsid w:val="00452F0A"/>
    <w:rsid w:val="00452F57"/>
    <w:rsid w:val="00453038"/>
    <w:rsid w:val="00453110"/>
    <w:rsid w:val="00453129"/>
    <w:rsid w:val="00453147"/>
    <w:rsid w:val="004531A9"/>
    <w:rsid w:val="004531C5"/>
    <w:rsid w:val="004531D9"/>
    <w:rsid w:val="004532B2"/>
    <w:rsid w:val="004532DE"/>
    <w:rsid w:val="0045339E"/>
    <w:rsid w:val="004533C9"/>
    <w:rsid w:val="0045346F"/>
    <w:rsid w:val="00453477"/>
    <w:rsid w:val="00453502"/>
    <w:rsid w:val="00453515"/>
    <w:rsid w:val="0045352B"/>
    <w:rsid w:val="00453530"/>
    <w:rsid w:val="00453577"/>
    <w:rsid w:val="00453582"/>
    <w:rsid w:val="004535C3"/>
    <w:rsid w:val="0045362D"/>
    <w:rsid w:val="00453641"/>
    <w:rsid w:val="0045366D"/>
    <w:rsid w:val="00453716"/>
    <w:rsid w:val="0045375E"/>
    <w:rsid w:val="00453880"/>
    <w:rsid w:val="00453889"/>
    <w:rsid w:val="0045389C"/>
    <w:rsid w:val="00453929"/>
    <w:rsid w:val="00453C55"/>
    <w:rsid w:val="00453C73"/>
    <w:rsid w:val="00453CC3"/>
    <w:rsid w:val="00453D9D"/>
    <w:rsid w:val="00453DA8"/>
    <w:rsid w:val="00453E22"/>
    <w:rsid w:val="00453E35"/>
    <w:rsid w:val="00453E5E"/>
    <w:rsid w:val="00453E94"/>
    <w:rsid w:val="00453E95"/>
    <w:rsid w:val="00453EC0"/>
    <w:rsid w:val="00453ED4"/>
    <w:rsid w:val="00453EE6"/>
    <w:rsid w:val="00453F6D"/>
    <w:rsid w:val="00453F7C"/>
    <w:rsid w:val="00453F9D"/>
    <w:rsid w:val="00454017"/>
    <w:rsid w:val="00454066"/>
    <w:rsid w:val="004540E9"/>
    <w:rsid w:val="0045414F"/>
    <w:rsid w:val="0045415B"/>
    <w:rsid w:val="0045416B"/>
    <w:rsid w:val="00454194"/>
    <w:rsid w:val="004541B5"/>
    <w:rsid w:val="004541D2"/>
    <w:rsid w:val="00454227"/>
    <w:rsid w:val="0045423E"/>
    <w:rsid w:val="004542C0"/>
    <w:rsid w:val="00454379"/>
    <w:rsid w:val="00454388"/>
    <w:rsid w:val="0045438A"/>
    <w:rsid w:val="004543C5"/>
    <w:rsid w:val="004543FA"/>
    <w:rsid w:val="00454439"/>
    <w:rsid w:val="00454440"/>
    <w:rsid w:val="0045457C"/>
    <w:rsid w:val="00454596"/>
    <w:rsid w:val="004545B5"/>
    <w:rsid w:val="004545BF"/>
    <w:rsid w:val="00454608"/>
    <w:rsid w:val="0045461D"/>
    <w:rsid w:val="00454648"/>
    <w:rsid w:val="0045467C"/>
    <w:rsid w:val="004546B6"/>
    <w:rsid w:val="00454700"/>
    <w:rsid w:val="00454758"/>
    <w:rsid w:val="00454838"/>
    <w:rsid w:val="00454854"/>
    <w:rsid w:val="00454901"/>
    <w:rsid w:val="0045496B"/>
    <w:rsid w:val="0045496E"/>
    <w:rsid w:val="0045499A"/>
    <w:rsid w:val="004549B8"/>
    <w:rsid w:val="004549D3"/>
    <w:rsid w:val="00454A20"/>
    <w:rsid w:val="00454A33"/>
    <w:rsid w:val="00454AC1"/>
    <w:rsid w:val="00454BCE"/>
    <w:rsid w:val="00454C0C"/>
    <w:rsid w:val="00454C6C"/>
    <w:rsid w:val="00454D6D"/>
    <w:rsid w:val="00454D87"/>
    <w:rsid w:val="00454DDF"/>
    <w:rsid w:val="00454E1A"/>
    <w:rsid w:val="00454E64"/>
    <w:rsid w:val="00454E94"/>
    <w:rsid w:val="00454EFB"/>
    <w:rsid w:val="00454FB2"/>
    <w:rsid w:val="0045500B"/>
    <w:rsid w:val="0045501A"/>
    <w:rsid w:val="00455026"/>
    <w:rsid w:val="00455037"/>
    <w:rsid w:val="00455102"/>
    <w:rsid w:val="0045512F"/>
    <w:rsid w:val="00455199"/>
    <w:rsid w:val="00455257"/>
    <w:rsid w:val="0045526A"/>
    <w:rsid w:val="00455276"/>
    <w:rsid w:val="004552AD"/>
    <w:rsid w:val="004552FF"/>
    <w:rsid w:val="0045533C"/>
    <w:rsid w:val="00455349"/>
    <w:rsid w:val="004553CC"/>
    <w:rsid w:val="004554C3"/>
    <w:rsid w:val="004554F6"/>
    <w:rsid w:val="00455568"/>
    <w:rsid w:val="004555E2"/>
    <w:rsid w:val="0045563A"/>
    <w:rsid w:val="00455646"/>
    <w:rsid w:val="0045566A"/>
    <w:rsid w:val="004556EE"/>
    <w:rsid w:val="0045570C"/>
    <w:rsid w:val="0045573E"/>
    <w:rsid w:val="00455788"/>
    <w:rsid w:val="0045579B"/>
    <w:rsid w:val="00455800"/>
    <w:rsid w:val="00455806"/>
    <w:rsid w:val="0045589E"/>
    <w:rsid w:val="004558E0"/>
    <w:rsid w:val="0045590E"/>
    <w:rsid w:val="0045592F"/>
    <w:rsid w:val="00455979"/>
    <w:rsid w:val="004559C2"/>
    <w:rsid w:val="00455B5D"/>
    <w:rsid w:val="00455B64"/>
    <w:rsid w:val="00455C33"/>
    <w:rsid w:val="00455D81"/>
    <w:rsid w:val="00455DD4"/>
    <w:rsid w:val="00455DE5"/>
    <w:rsid w:val="00455DFB"/>
    <w:rsid w:val="00455E0E"/>
    <w:rsid w:val="00455E37"/>
    <w:rsid w:val="00455E52"/>
    <w:rsid w:val="00455E5B"/>
    <w:rsid w:val="00455EA8"/>
    <w:rsid w:val="00455EBD"/>
    <w:rsid w:val="00455F59"/>
    <w:rsid w:val="00455F76"/>
    <w:rsid w:val="00455F97"/>
    <w:rsid w:val="00455FC6"/>
    <w:rsid w:val="00455FD0"/>
    <w:rsid w:val="00455FE5"/>
    <w:rsid w:val="00455FED"/>
    <w:rsid w:val="00456032"/>
    <w:rsid w:val="0045603E"/>
    <w:rsid w:val="00456050"/>
    <w:rsid w:val="004560B5"/>
    <w:rsid w:val="004560D2"/>
    <w:rsid w:val="00456102"/>
    <w:rsid w:val="00456109"/>
    <w:rsid w:val="00456154"/>
    <w:rsid w:val="0045615D"/>
    <w:rsid w:val="0045620E"/>
    <w:rsid w:val="00456276"/>
    <w:rsid w:val="00456302"/>
    <w:rsid w:val="00456376"/>
    <w:rsid w:val="004563B7"/>
    <w:rsid w:val="004563CE"/>
    <w:rsid w:val="004563F9"/>
    <w:rsid w:val="00456415"/>
    <w:rsid w:val="0045645D"/>
    <w:rsid w:val="00456482"/>
    <w:rsid w:val="00456484"/>
    <w:rsid w:val="004564CD"/>
    <w:rsid w:val="00456568"/>
    <w:rsid w:val="0045657D"/>
    <w:rsid w:val="0045658C"/>
    <w:rsid w:val="004565F2"/>
    <w:rsid w:val="0045665A"/>
    <w:rsid w:val="0045667F"/>
    <w:rsid w:val="00456688"/>
    <w:rsid w:val="004566B2"/>
    <w:rsid w:val="0045678C"/>
    <w:rsid w:val="00456811"/>
    <w:rsid w:val="00456889"/>
    <w:rsid w:val="004568D3"/>
    <w:rsid w:val="00456930"/>
    <w:rsid w:val="00456957"/>
    <w:rsid w:val="00456960"/>
    <w:rsid w:val="00456961"/>
    <w:rsid w:val="0045697E"/>
    <w:rsid w:val="00456988"/>
    <w:rsid w:val="00456AB3"/>
    <w:rsid w:val="00456AB4"/>
    <w:rsid w:val="00456AD9"/>
    <w:rsid w:val="00456AE0"/>
    <w:rsid w:val="00456B20"/>
    <w:rsid w:val="00456B88"/>
    <w:rsid w:val="00456BB8"/>
    <w:rsid w:val="00456BC3"/>
    <w:rsid w:val="00456C0D"/>
    <w:rsid w:val="00456C22"/>
    <w:rsid w:val="00456C25"/>
    <w:rsid w:val="00456C2F"/>
    <w:rsid w:val="00456C48"/>
    <w:rsid w:val="00456C5D"/>
    <w:rsid w:val="00456C8B"/>
    <w:rsid w:val="00456C8E"/>
    <w:rsid w:val="00456D87"/>
    <w:rsid w:val="00456D8E"/>
    <w:rsid w:val="00456D8F"/>
    <w:rsid w:val="00456DB7"/>
    <w:rsid w:val="00456E06"/>
    <w:rsid w:val="00456E34"/>
    <w:rsid w:val="00456E43"/>
    <w:rsid w:val="00456E7E"/>
    <w:rsid w:val="00456E93"/>
    <w:rsid w:val="00456EBD"/>
    <w:rsid w:val="00456EC4"/>
    <w:rsid w:val="00456F02"/>
    <w:rsid w:val="00456F47"/>
    <w:rsid w:val="004570E7"/>
    <w:rsid w:val="0045711A"/>
    <w:rsid w:val="0045712D"/>
    <w:rsid w:val="00457194"/>
    <w:rsid w:val="004571CE"/>
    <w:rsid w:val="004571D1"/>
    <w:rsid w:val="004571D3"/>
    <w:rsid w:val="00457228"/>
    <w:rsid w:val="0045728E"/>
    <w:rsid w:val="004572B3"/>
    <w:rsid w:val="004572BF"/>
    <w:rsid w:val="0045731D"/>
    <w:rsid w:val="00457348"/>
    <w:rsid w:val="00457392"/>
    <w:rsid w:val="004573BD"/>
    <w:rsid w:val="004573EA"/>
    <w:rsid w:val="004574A7"/>
    <w:rsid w:val="004574C7"/>
    <w:rsid w:val="004574F9"/>
    <w:rsid w:val="00457506"/>
    <w:rsid w:val="00457518"/>
    <w:rsid w:val="00457548"/>
    <w:rsid w:val="00457598"/>
    <w:rsid w:val="004575BD"/>
    <w:rsid w:val="004575CF"/>
    <w:rsid w:val="00457670"/>
    <w:rsid w:val="00457696"/>
    <w:rsid w:val="00457711"/>
    <w:rsid w:val="00457726"/>
    <w:rsid w:val="0045772E"/>
    <w:rsid w:val="0045775C"/>
    <w:rsid w:val="0045781D"/>
    <w:rsid w:val="00457838"/>
    <w:rsid w:val="0045787D"/>
    <w:rsid w:val="004578D2"/>
    <w:rsid w:val="004579B2"/>
    <w:rsid w:val="004579D3"/>
    <w:rsid w:val="00457A1F"/>
    <w:rsid w:val="00457A41"/>
    <w:rsid w:val="00457AD8"/>
    <w:rsid w:val="00457B30"/>
    <w:rsid w:val="00457B85"/>
    <w:rsid w:val="00457BB1"/>
    <w:rsid w:val="00457BB5"/>
    <w:rsid w:val="00457BDA"/>
    <w:rsid w:val="00457BF6"/>
    <w:rsid w:val="00457C8C"/>
    <w:rsid w:val="00457CD3"/>
    <w:rsid w:val="00457CD8"/>
    <w:rsid w:val="00457CE7"/>
    <w:rsid w:val="00457D5A"/>
    <w:rsid w:val="00457D9E"/>
    <w:rsid w:val="00457DC3"/>
    <w:rsid w:val="00457E96"/>
    <w:rsid w:val="00457F16"/>
    <w:rsid w:val="00460041"/>
    <w:rsid w:val="0046008D"/>
    <w:rsid w:val="00460106"/>
    <w:rsid w:val="00460162"/>
    <w:rsid w:val="00460177"/>
    <w:rsid w:val="004601F8"/>
    <w:rsid w:val="0046024D"/>
    <w:rsid w:val="00460263"/>
    <w:rsid w:val="00460268"/>
    <w:rsid w:val="004602ED"/>
    <w:rsid w:val="00460336"/>
    <w:rsid w:val="0046034D"/>
    <w:rsid w:val="00460351"/>
    <w:rsid w:val="004603D1"/>
    <w:rsid w:val="004603D3"/>
    <w:rsid w:val="004603E8"/>
    <w:rsid w:val="00460441"/>
    <w:rsid w:val="00460474"/>
    <w:rsid w:val="00460516"/>
    <w:rsid w:val="004606B0"/>
    <w:rsid w:val="004606C9"/>
    <w:rsid w:val="00460756"/>
    <w:rsid w:val="0046077B"/>
    <w:rsid w:val="004607D9"/>
    <w:rsid w:val="004607DE"/>
    <w:rsid w:val="00460804"/>
    <w:rsid w:val="00460825"/>
    <w:rsid w:val="00460826"/>
    <w:rsid w:val="00460887"/>
    <w:rsid w:val="004608C8"/>
    <w:rsid w:val="004608C9"/>
    <w:rsid w:val="004608E7"/>
    <w:rsid w:val="00460907"/>
    <w:rsid w:val="0046090E"/>
    <w:rsid w:val="00460935"/>
    <w:rsid w:val="00460A3B"/>
    <w:rsid w:val="00460A66"/>
    <w:rsid w:val="00460A7E"/>
    <w:rsid w:val="00460A87"/>
    <w:rsid w:val="00460AF1"/>
    <w:rsid w:val="00460B90"/>
    <w:rsid w:val="00460BBD"/>
    <w:rsid w:val="00460BD2"/>
    <w:rsid w:val="00460C74"/>
    <w:rsid w:val="00460CDE"/>
    <w:rsid w:val="00460D87"/>
    <w:rsid w:val="00460DA9"/>
    <w:rsid w:val="00460DB5"/>
    <w:rsid w:val="00460E2A"/>
    <w:rsid w:val="00460E74"/>
    <w:rsid w:val="00460E7C"/>
    <w:rsid w:val="00460EF0"/>
    <w:rsid w:val="00460F2B"/>
    <w:rsid w:val="00460F3B"/>
    <w:rsid w:val="00460F6A"/>
    <w:rsid w:val="00460F79"/>
    <w:rsid w:val="00460F7C"/>
    <w:rsid w:val="00461095"/>
    <w:rsid w:val="004610FD"/>
    <w:rsid w:val="00461114"/>
    <w:rsid w:val="00461130"/>
    <w:rsid w:val="00461132"/>
    <w:rsid w:val="004611C7"/>
    <w:rsid w:val="00461210"/>
    <w:rsid w:val="0046123C"/>
    <w:rsid w:val="0046125F"/>
    <w:rsid w:val="004612C4"/>
    <w:rsid w:val="004613B0"/>
    <w:rsid w:val="004613F9"/>
    <w:rsid w:val="00461420"/>
    <w:rsid w:val="00461447"/>
    <w:rsid w:val="00461469"/>
    <w:rsid w:val="004614C1"/>
    <w:rsid w:val="00461555"/>
    <w:rsid w:val="004615B5"/>
    <w:rsid w:val="004615C7"/>
    <w:rsid w:val="004615E0"/>
    <w:rsid w:val="004615FF"/>
    <w:rsid w:val="0046167C"/>
    <w:rsid w:val="004616B3"/>
    <w:rsid w:val="004616BB"/>
    <w:rsid w:val="004616DF"/>
    <w:rsid w:val="004616F9"/>
    <w:rsid w:val="00461756"/>
    <w:rsid w:val="00461775"/>
    <w:rsid w:val="004617B5"/>
    <w:rsid w:val="004617CE"/>
    <w:rsid w:val="0046180A"/>
    <w:rsid w:val="004618E1"/>
    <w:rsid w:val="00461971"/>
    <w:rsid w:val="00461A09"/>
    <w:rsid w:val="00461A5C"/>
    <w:rsid w:val="00461A6E"/>
    <w:rsid w:val="00461A94"/>
    <w:rsid w:val="00461A99"/>
    <w:rsid w:val="00461AB8"/>
    <w:rsid w:val="00461B0A"/>
    <w:rsid w:val="00461B20"/>
    <w:rsid w:val="00461B6D"/>
    <w:rsid w:val="00461BEC"/>
    <w:rsid w:val="00461C10"/>
    <w:rsid w:val="00461C39"/>
    <w:rsid w:val="00461C4E"/>
    <w:rsid w:val="00461C54"/>
    <w:rsid w:val="00461C71"/>
    <w:rsid w:val="00461C91"/>
    <w:rsid w:val="00461C98"/>
    <w:rsid w:val="00461CC0"/>
    <w:rsid w:val="00461CC5"/>
    <w:rsid w:val="00461CFE"/>
    <w:rsid w:val="00461D05"/>
    <w:rsid w:val="00461D15"/>
    <w:rsid w:val="00461D79"/>
    <w:rsid w:val="00461E60"/>
    <w:rsid w:val="00461E75"/>
    <w:rsid w:val="00461F34"/>
    <w:rsid w:val="00461FB6"/>
    <w:rsid w:val="00461FD8"/>
    <w:rsid w:val="00461FF5"/>
    <w:rsid w:val="00462040"/>
    <w:rsid w:val="00462047"/>
    <w:rsid w:val="00462053"/>
    <w:rsid w:val="004620AC"/>
    <w:rsid w:val="004620D2"/>
    <w:rsid w:val="0046210F"/>
    <w:rsid w:val="0046212F"/>
    <w:rsid w:val="004621A5"/>
    <w:rsid w:val="004621E2"/>
    <w:rsid w:val="004622AF"/>
    <w:rsid w:val="004622CA"/>
    <w:rsid w:val="004622E3"/>
    <w:rsid w:val="004623D1"/>
    <w:rsid w:val="00462402"/>
    <w:rsid w:val="00462408"/>
    <w:rsid w:val="00462448"/>
    <w:rsid w:val="00462488"/>
    <w:rsid w:val="004624EF"/>
    <w:rsid w:val="0046252F"/>
    <w:rsid w:val="0046254A"/>
    <w:rsid w:val="0046256F"/>
    <w:rsid w:val="004625BF"/>
    <w:rsid w:val="00462712"/>
    <w:rsid w:val="004627E7"/>
    <w:rsid w:val="00462808"/>
    <w:rsid w:val="0046285D"/>
    <w:rsid w:val="004628A9"/>
    <w:rsid w:val="004628D5"/>
    <w:rsid w:val="0046291E"/>
    <w:rsid w:val="00462951"/>
    <w:rsid w:val="0046298A"/>
    <w:rsid w:val="00462A97"/>
    <w:rsid w:val="00462A9C"/>
    <w:rsid w:val="00462B63"/>
    <w:rsid w:val="00462B9D"/>
    <w:rsid w:val="00462BDB"/>
    <w:rsid w:val="00462C78"/>
    <w:rsid w:val="00462C8C"/>
    <w:rsid w:val="00462D14"/>
    <w:rsid w:val="00462D76"/>
    <w:rsid w:val="00462DAF"/>
    <w:rsid w:val="00462E55"/>
    <w:rsid w:val="00462E78"/>
    <w:rsid w:val="00462EE9"/>
    <w:rsid w:val="00462F0B"/>
    <w:rsid w:val="00462F2B"/>
    <w:rsid w:val="00462F32"/>
    <w:rsid w:val="00462FC8"/>
    <w:rsid w:val="0046301F"/>
    <w:rsid w:val="00463075"/>
    <w:rsid w:val="00463095"/>
    <w:rsid w:val="004630BE"/>
    <w:rsid w:val="004630D3"/>
    <w:rsid w:val="00463131"/>
    <w:rsid w:val="0046314C"/>
    <w:rsid w:val="0046315C"/>
    <w:rsid w:val="00463199"/>
    <w:rsid w:val="004632E1"/>
    <w:rsid w:val="004632F4"/>
    <w:rsid w:val="00463370"/>
    <w:rsid w:val="00463456"/>
    <w:rsid w:val="0046345A"/>
    <w:rsid w:val="0046346A"/>
    <w:rsid w:val="004634CA"/>
    <w:rsid w:val="004634DB"/>
    <w:rsid w:val="004634DD"/>
    <w:rsid w:val="004634E4"/>
    <w:rsid w:val="00463561"/>
    <w:rsid w:val="00463646"/>
    <w:rsid w:val="0046368E"/>
    <w:rsid w:val="004636E8"/>
    <w:rsid w:val="004636FA"/>
    <w:rsid w:val="00463750"/>
    <w:rsid w:val="00463788"/>
    <w:rsid w:val="004637C8"/>
    <w:rsid w:val="00463804"/>
    <w:rsid w:val="004638FA"/>
    <w:rsid w:val="00463908"/>
    <w:rsid w:val="0046397A"/>
    <w:rsid w:val="00463995"/>
    <w:rsid w:val="00463A64"/>
    <w:rsid w:val="00463C32"/>
    <w:rsid w:val="00463C42"/>
    <w:rsid w:val="00463CA8"/>
    <w:rsid w:val="00463CB8"/>
    <w:rsid w:val="00463CCF"/>
    <w:rsid w:val="00463D29"/>
    <w:rsid w:val="00463D68"/>
    <w:rsid w:val="00463D96"/>
    <w:rsid w:val="00463DDD"/>
    <w:rsid w:val="00463F3D"/>
    <w:rsid w:val="00463F52"/>
    <w:rsid w:val="00463F53"/>
    <w:rsid w:val="00463F9E"/>
    <w:rsid w:val="00463FFC"/>
    <w:rsid w:val="0046401B"/>
    <w:rsid w:val="0046405E"/>
    <w:rsid w:val="004640D6"/>
    <w:rsid w:val="0046417F"/>
    <w:rsid w:val="0046418E"/>
    <w:rsid w:val="0046425E"/>
    <w:rsid w:val="004642D6"/>
    <w:rsid w:val="0046435D"/>
    <w:rsid w:val="0046436D"/>
    <w:rsid w:val="004643A8"/>
    <w:rsid w:val="004643D0"/>
    <w:rsid w:val="00464422"/>
    <w:rsid w:val="00464445"/>
    <w:rsid w:val="00464481"/>
    <w:rsid w:val="00464673"/>
    <w:rsid w:val="004646F5"/>
    <w:rsid w:val="0046470A"/>
    <w:rsid w:val="0046471C"/>
    <w:rsid w:val="0046476D"/>
    <w:rsid w:val="00464797"/>
    <w:rsid w:val="004648B8"/>
    <w:rsid w:val="004648D1"/>
    <w:rsid w:val="004648EF"/>
    <w:rsid w:val="004648F4"/>
    <w:rsid w:val="00464940"/>
    <w:rsid w:val="004649B9"/>
    <w:rsid w:val="00464A03"/>
    <w:rsid w:val="00464A59"/>
    <w:rsid w:val="00464A72"/>
    <w:rsid w:val="00464A8B"/>
    <w:rsid w:val="00464AC1"/>
    <w:rsid w:val="00464ACE"/>
    <w:rsid w:val="00464B9D"/>
    <w:rsid w:val="00464C2D"/>
    <w:rsid w:val="00464C4A"/>
    <w:rsid w:val="00464C81"/>
    <w:rsid w:val="00464C9A"/>
    <w:rsid w:val="00464CCE"/>
    <w:rsid w:val="00464D43"/>
    <w:rsid w:val="00464E04"/>
    <w:rsid w:val="00464E99"/>
    <w:rsid w:val="00464F37"/>
    <w:rsid w:val="00464FC5"/>
    <w:rsid w:val="00464FE3"/>
    <w:rsid w:val="00465089"/>
    <w:rsid w:val="004651F2"/>
    <w:rsid w:val="00465237"/>
    <w:rsid w:val="004652B0"/>
    <w:rsid w:val="004652CF"/>
    <w:rsid w:val="004652E2"/>
    <w:rsid w:val="0046533C"/>
    <w:rsid w:val="0046536B"/>
    <w:rsid w:val="0046537F"/>
    <w:rsid w:val="004653BF"/>
    <w:rsid w:val="004653C3"/>
    <w:rsid w:val="00465414"/>
    <w:rsid w:val="00465421"/>
    <w:rsid w:val="00465478"/>
    <w:rsid w:val="004654AA"/>
    <w:rsid w:val="004654EF"/>
    <w:rsid w:val="004654FA"/>
    <w:rsid w:val="0046550E"/>
    <w:rsid w:val="0046558D"/>
    <w:rsid w:val="00465591"/>
    <w:rsid w:val="004655DF"/>
    <w:rsid w:val="00465614"/>
    <w:rsid w:val="004656EB"/>
    <w:rsid w:val="00465714"/>
    <w:rsid w:val="00465853"/>
    <w:rsid w:val="004658A4"/>
    <w:rsid w:val="004658BF"/>
    <w:rsid w:val="004658D4"/>
    <w:rsid w:val="0046592F"/>
    <w:rsid w:val="00465941"/>
    <w:rsid w:val="00465A11"/>
    <w:rsid w:val="00465A18"/>
    <w:rsid w:val="00465A1E"/>
    <w:rsid w:val="00465AAC"/>
    <w:rsid w:val="00465AB9"/>
    <w:rsid w:val="00465ACE"/>
    <w:rsid w:val="00465B1D"/>
    <w:rsid w:val="00465B40"/>
    <w:rsid w:val="00465B50"/>
    <w:rsid w:val="00465B63"/>
    <w:rsid w:val="00465BD3"/>
    <w:rsid w:val="00465BED"/>
    <w:rsid w:val="00465CF1"/>
    <w:rsid w:val="00465CFE"/>
    <w:rsid w:val="00465D53"/>
    <w:rsid w:val="00465E4D"/>
    <w:rsid w:val="00465EBE"/>
    <w:rsid w:val="00465ED8"/>
    <w:rsid w:val="00465EF8"/>
    <w:rsid w:val="00465EFA"/>
    <w:rsid w:val="00465F52"/>
    <w:rsid w:val="00465F9B"/>
    <w:rsid w:val="00465FE2"/>
    <w:rsid w:val="00465FFB"/>
    <w:rsid w:val="00466009"/>
    <w:rsid w:val="0046600A"/>
    <w:rsid w:val="00466044"/>
    <w:rsid w:val="004660A8"/>
    <w:rsid w:val="004660ED"/>
    <w:rsid w:val="00466102"/>
    <w:rsid w:val="00466120"/>
    <w:rsid w:val="00466262"/>
    <w:rsid w:val="0046632A"/>
    <w:rsid w:val="00466347"/>
    <w:rsid w:val="00466362"/>
    <w:rsid w:val="00466377"/>
    <w:rsid w:val="004663A0"/>
    <w:rsid w:val="004663AF"/>
    <w:rsid w:val="004663B8"/>
    <w:rsid w:val="004663F5"/>
    <w:rsid w:val="004663F9"/>
    <w:rsid w:val="00466406"/>
    <w:rsid w:val="00466414"/>
    <w:rsid w:val="0046643C"/>
    <w:rsid w:val="00466592"/>
    <w:rsid w:val="004665DC"/>
    <w:rsid w:val="00466656"/>
    <w:rsid w:val="004667CA"/>
    <w:rsid w:val="0046682E"/>
    <w:rsid w:val="0046684F"/>
    <w:rsid w:val="00466880"/>
    <w:rsid w:val="004668A2"/>
    <w:rsid w:val="004668E5"/>
    <w:rsid w:val="0046696C"/>
    <w:rsid w:val="0046698D"/>
    <w:rsid w:val="004669DF"/>
    <w:rsid w:val="004669E6"/>
    <w:rsid w:val="00466A4B"/>
    <w:rsid w:val="00466AE3"/>
    <w:rsid w:val="00466AF9"/>
    <w:rsid w:val="00466B08"/>
    <w:rsid w:val="00466B1C"/>
    <w:rsid w:val="00466B4A"/>
    <w:rsid w:val="00466B84"/>
    <w:rsid w:val="00466B8B"/>
    <w:rsid w:val="00466B8F"/>
    <w:rsid w:val="00466B96"/>
    <w:rsid w:val="00466BED"/>
    <w:rsid w:val="00466C7B"/>
    <w:rsid w:val="00466CAD"/>
    <w:rsid w:val="00466D3C"/>
    <w:rsid w:val="00466E02"/>
    <w:rsid w:val="00466E6E"/>
    <w:rsid w:val="00466EA6"/>
    <w:rsid w:val="00466EE5"/>
    <w:rsid w:val="00466F24"/>
    <w:rsid w:val="00466F7D"/>
    <w:rsid w:val="00466F8F"/>
    <w:rsid w:val="00467024"/>
    <w:rsid w:val="004670A8"/>
    <w:rsid w:val="004670F7"/>
    <w:rsid w:val="004670F9"/>
    <w:rsid w:val="00467249"/>
    <w:rsid w:val="00467251"/>
    <w:rsid w:val="004672D6"/>
    <w:rsid w:val="00467443"/>
    <w:rsid w:val="004674BF"/>
    <w:rsid w:val="0046750B"/>
    <w:rsid w:val="00467537"/>
    <w:rsid w:val="00467586"/>
    <w:rsid w:val="00467611"/>
    <w:rsid w:val="00467641"/>
    <w:rsid w:val="0046767F"/>
    <w:rsid w:val="004677A0"/>
    <w:rsid w:val="004677CD"/>
    <w:rsid w:val="004677DF"/>
    <w:rsid w:val="00467883"/>
    <w:rsid w:val="0046796F"/>
    <w:rsid w:val="004679BB"/>
    <w:rsid w:val="00467A14"/>
    <w:rsid w:val="00467A40"/>
    <w:rsid w:val="00467B4C"/>
    <w:rsid w:val="00467B78"/>
    <w:rsid w:val="00467C06"/>
    <w:rsid w:val="00467C61"/>
    <w:rsid w:val="00467C78"/>
    <w:rsid w:val="00467C7B"/>
    <w:rsid w:val="00467CDF"/>
    <w:rsid w:val="00467D78"/>
    <w:rsid w:val="00467D8A"/>
    <w:rsid w:val="00467DB1"/>
    <w:rsid w:val="00467DD9"/>
    <w:rsid w:val="00467E07"/>
    <w:rsid w:val="00467E31"/>
    <w:rsid w:val="00467E3B"/>
    <w:rsid w:val="00467E92"/>
    <w:rsid w:val="00467EB3"/>
    <w:rsid w:val="00467EEC"/>
    <w:rsid w:val="00467F53"/>
    <w:rsid w:val="00467F78"/>
    <w:rsid w:val="00467F96"/>
    <w:rsid w:val="00467FCF"/>
    <w:rsid w:val="00467FF4"/>
    <w:rsid w:val="0047003F"/>
    <w:rsid w:val="00470094"/>
    <w:rsid w:val="004700AC"/>
    <w:rsid w:val="00470111"/>
    <w:rsid w:val="004701D7"/>
    <w:rsid w:val="004701EC"/>
    <w:rsid w:val="004701FC"/>
    <w:rsid w:val="0047020F"/>
    <w:rsid w:val="00470270"/>
    <w:rsid w:val="0047029E"/>
    <w:rsid w:val="004703C4"/>
    <w:rsid w:val="0047042B"/>
    <w:rsid w:val="0047044B"/>
    <w:rsid w:val="0047049E"/>
    <w:rsid w:val="004704D6"/>
    <w:rsid w:val="004704FD"/>
    <w:rsid w:val="0047050F"/>
    <w:rsid w:val="0047056E"/>
    <w:rsid w:val="004705AB"/>
    <w:rsid w:val="004705AE"/>
    <w:rsid w:val="004705BB"/>
    <w:rsid w:val="0047061E"/>
    <w:rsid w:val="00470658"/>
    <w:rsid w:val="0047078D"/>
    <w:rsid w:val="00470796"/>
    <w:rsid w:val="004707AA"/>
    <w:rsid w:val="00470809"/>
    <w:rsid w:val="00470833"/>
    <w:rsid w:val="0047085C"/>
    <w:rsid w:val="0047089B"/>
    <w:rsid w:val="00470920"/>
    <w:rsid w:val="00470A81"/>
    <w:rsid w:val="00470A97"/>
    <w:rsid w:val="00470AB1"/>
    <w:rsid w:val="00470AB8"/>
    <w:rsid w:val="00470AFB"/>
    <w:rsid w:val="00470B03"/>
    <w:rsid w:val="00470B09"/>
    <w:rsid w:val="00470B15"/>
    <w:rsid w:val="00470C32"/>
    <w:rsid w:val="00470C5B"/>
    <w:rsid w:val="00470CFD"/>
    <w:rsid w:val="00470D0C"/>
    <w:rsid w:val="00470D3F"/>
    <w:rsid w:val="00470D9D"/>
    <w:rsid w:val="00470E33"/>
    <w:rsid w:val="00470E5B"/>
    <w:rsid w:val="00470E98"/>
    <w:rsid w:val="00470F14"/>
    <w:rsid w:val="00470F89"/>
    <w:rsid w:val="00470FB0"/>
    <w:rsid w:val="00470FBE"/>
    <w:rsid w:val="0047108E"/>
    <w:rsid w:val="00471120"/>
    <w:rsid w:val="00471133"/>
    <w:rsid w:val="0047115C"/>
    <w:rsid w:val="00471181"/>
    <w:rsid w:val="00471215"/>
    <w:rsid w:val="0047122E"/>
    <w:rsid w:val="0047126F"/>
    <w:rsid w:val="00471328"/>
    <w:rsid w:val="0047136D"/>
    <w:rsid w:val="0047144A"/>
    <w:rsid w:val="00471480"/>
    <w:rsid w:val="004714F0"/>
    <w:rsid w:val="0047150E"/>
    <w:rsid w:val="00471587"/>
    <w:rsid w:val="004715AD"/>
    <w:rsid w:val="004715C1"/>
    <w:rsid w:val="004715D0"/>
    <w:rsid w:val="004715DC"/>
    <w:rsid w:val="00471614"/>
    <w:rsid w:val="0047168A"/>
    <w:rsid w:val="0047169A"/>
    <w:rsid w:val="004716ED"/>
    <w:rsid w:val="004717B4"/>
    <w:rsid w:val="004717F0"/>
    <w:rsid w:val="004718A4"/>
    <w:rsid w:val="004718DB"/>
    <w:rsid w:val="0047192B"/>
    <w:rsid w:val="0047195C"/>
    <w:rsid w:val="004719CC"/>
    <w:rsid w:val="00471A07"/>
    <w:rsid w:val="00471A84"/>
    <w:rsid w:val="00471A9F"/>
    <w:rsid w:val="00471B02"/>
    <w:rsid w:val="00471B20"/>
    <w:rsid w:val="00471B89"/>
    <w:rsid w:val="00471B94"/>
    <w:rsid w:val="00471BEA"/>
    <w:rsid w:val="00471C1E"/>
    <w:rsid w:val="00471CAA"/>
    <w:rsid w:val="00471CF5"/>
    <w:rsid w:val="00471CFF"/>
    <w:rsid w:val="00471D3D"/>
    <w:rsid w:val="00471D3E"/>
    <w:rsid w:val="00471D4D"/>
    <w:rsid w:val="00471DDC"/>
    <w:rsid w:val="00471E09"/>
    <w:rsid w:val="00471E79"/>
    <w:rsid w:val="00471EAF"/>
    <w:rsid w:val="00471FDB"/>
    <w:rsid w:val="0047202F"/>
    <w:rsid w:val="0047204A"/>
    <w:rsid w:val="0047204E"/>
    <w:rsid w:val="00472051"/>
    <w:rsid w:val="0047205D"/>
    <w:rsid w:val="004720A6"/>
    <w:rsid w:val="004720F6"/>
    <w:rsid w:val="0047210E"/>
    <w:rsid w:val="00472129"/>
    <w:rsid w:val="00472167"/>
    <w:rsid w:val="00472199"/>
    <w:rsid w:val="0047230A"/>
    <w:rsid w:val="00472331"/>
    <w:rsid w:val="0047233B"/>
    <w:rsid w:val="0047239F"/>
    <w:rsid w:val="00472474"/>
    <w:rsid w:val="004724B2"/>
    <w:rsid w:val="004724EE"/>
    <w:rsid w:val="004724FF"/>
    <w:rsid w:val="00472534"/>
    <w:rsid w:val="00472558"/>
    <w:rsid w:val="0047255C"/>
    <w:rsid w:val="004725CE"/>
    <w:rsid w:val="00472632"/>
    <w:rsid w:val="00472662"/>
    <w:rsid w:val="004726CE"/>
    <w:rsid w:val="004726FC"/>
    <w:rsid w:val="0047271E"/>
    <w:rsid w:val="0047271F"/>
    <w:rsid w:val="00472778"/>
    <w:rsid w:val="0047278B"/>
    <w:rsid w:val="004728EB"/>
    <w:rsid w:val="00472939"/>
    <w:rsid w:val="0047295D"/>
    <w:rsid w:val="00472982"/>
    <w:rsid w:val="00472996"/>
    <w:rsid w:val="00472A95"/>
    <w:rsid w:val="00472AD7"/>
    <w:rsid w:val="00472AEB"/>
    <w:rsid w:val="00472B12"/>
    <w:rsid w:val="00472B1A"/>
    <w:rsid w:val="00472B3C"/>
    <w:rsid w:val="00472B50"/>
    <w:rsid w:val="00472B6A"/>
    <w:rsid w:val="00472B8C"/>
    <w:rsid w:val="00472BAB"/>
    <w:rsid w:val="00472C41"/>
    <w:rsid w:val="00472C89"/>
    <w:rsid w:val="00472CC2"/>
    <w:rsid w:val="00472CD4"/>
    <w:rsid w:val="00472CE5"/>
    <w:rsid w:val="00472D46"/>
    <w:rsid w:val="00472DC2"/>
    <w:rsid w:val="00472DCF"/>
    <w:rsid w:val="00472DD6"/>
    <w:rsid w:val="00472E35"/>
    <w:rsid w:val="00472E5A"/>
    <w:rsid w:val="00472E88"/>
    <w:rsid w:val="00472E94"/>
    <w:rsid w:val="00472EA2"/>
    <w:rsid w:val="00472EC1"/>
    <w:rsid w:val="00472EF3"/>
    <w:rsid w:val="00472EFF"/>
    <w:rsid w:val="00472F17"/>
    <w:rsid w:val="00472F57"/>
    <w:rsid w:val="00472FA4"/>
    <w:rsid w:val="0047305D"/>
    <w:rsid w:val="00473141"/>
    <w:rsid w:val="004731BD"/>
    <w:rsid w:val="004731D4"/>
    <w:rsid w:val="004732B8"/>
    <w:rsid w:val="004732CB"/>
    <w:rsid w:val="004732E8"/>
    <w:rsid w:val="00473312"/>
    <w:rsid w:val="00473321"/>
    <w:rsid w:val="00473335"/>
    <w:rsid w:val="00473342"/>
    <w:rsid w:val="004733A0"/>
    <w:rsid w:val="004733DA"/>
    <w:rsid w:val="00473411"/>
    <w:rsid w:val="00473420"/>
    <w:rsid w:val="00473431"/>
    <w:rsid w:val="00473437"/>
    <w:rsid w:val="0047345D"/>
    <w:rsid w:val="00473466"/>
    <w:rsid w:val="00473522"/>
    <w:rsid w:val="0047353E"/>
    <w:rsid w:val="00473562"/>
    <w:rsid w:val="004735D1"/>
    <w:rsid w:val="004735ED"/>
    <w:rsid w:val="004735EE"/>
    <w:rsid w:val="004735F2"/>
    <w:rsid w:val="00473622"/>
    <w:rsid w:val="00473637"/>
    <w:rsid w:val="00473664"/>
    <w:rsid w:val="00473698"/>
    <w:rsid w:val="00473774"/>
    <w:rsid w:val="004737F8"/>
    <w:rsid w:val="00473820"/>
    <w:rsid w:val="004738BB"/>
    <w:rsid w:val="004738D0"/>
    <w:rsid w:val="004738D7"/>
    <w:rsid w:val="004738DE"/>
    <w:rsid w:val="004738E2"/>
    <w:rsid w:val="00473912"/>
    <w:rsid w:val="00473957"/>
    <w:rsid w:val="00473997"/>
    <w:rsid w:val="00473A59"/>
    <w:rsid w:val="00473A6C"/>
    <w:rsid w:val="00473AAD"/>
    <w:rsid w:val="00473AB6"/>
    <w:rsid w:val="00473ABC"/>
    <w:rsid w:val="00473ABE"/>
    <w:rsid w:val="00473ADE"/>
    <w:rsid w:val="00473AEE"/>
    <w:rsid w:val="00473B1F"/>
    <w:rsid w:val="00473BDA"/>
    <w:rsid w:val="00473C50"/>
    <w:rsid w:val="00473C6E"/>
    <w:rsid w:val="00473C80"/>
    <w:rsid w:val="00473CE8"/>
    <w:rsid w:val="00473D35"/>
    <w:rsid w:val="00473D5E"/>
    <w:rsid w:val="00473E20"/>
    <w:rsid w:val="00473E41"/>
    <w:rsid w:val="00473EFE"/>
    <w:rsid w:val="00473F18"/>
    <w:rsid w:val="00474062"/>
    <w:rsid w:val="0047408B"/>
    <w:rsid w:val="004740AE"/>
    <w:rsid w:val="004740F4"/>
    <w:rsid w:val="004740FE"/>
    <w:rsid w:val="0047412F"/>
    <w:rsid w:val="00474157"/>
    <w:rsid w:val="004741A0"/>
    <w:rsid w:val="004741B6"/>
    <w:rsid w:val="004741D7"/>
    <w:rsid w:val="004741F6"/>
    <w:rsid w:val="00474248"/>
    <w:rsid w:val="0047433D"/>
    <w:rsid w:val="00474358"/>
    <w:rsid w:val="004743AE"/>
    <w:rsid w:val="004743CC"/>
    <w:rsid w:val="004743EF"/>
    <w:rsid w:val="00474446"/>
    <w:rsid w:val="00474461"/>
    <w:rsid w:val="00474465"/>
    <w:rsid w:val="00474470"/>
    <w:rsid w:val="004744A9"/>
    <w:rsid w:val="00474502"/>
    <w:rsid w:val="00474509"/>
    <w:rsid w:val="0047458D"/>
    <w:rsid w:val="00474606"/>
    <w:rsid w:val="0047460C"/>
    <w:rsid w:val="00474642"/>
    <w:rsid w:val="00474664"/>
    <w:rsid w:val="00474676"/>
    <w:rsid w:val="00474690"/>
    <w:rsid w:val="004746C7"/>
    <w:rsid w:val="004746D9"/>
    <w:rsid w:val="00474770"/>
    <w:rsid w:val="0047481B"/>
    <w:rsid w:val="00474858"/>
    <w:rsid w:val="004748A3"/>
    <w:rsid w:val="004748B3"/>
    <w:rsid w:val="004748C2"/>
    <w:rsid w:val="00474901"/>
    <w:rsid w:val="00474904"/>
    <w:rsid w:val="0047498D"/>
    <w:rsid w:val="004749AE"/>
    <w:rsid w:val="00474AFB"/>
    <w:rsid w:val="00474B0E"/>
    <w:rsid w:val="00474B27"/>
    <w:rsid w:val="00474C5E"/>
    <w:rsid w:val="00474C69"/>
    <w:rsid w:val="00474CE8"/>
    <w:rsid w:val="00474E72"/>
    <w:rsid w:val="00474F15"/>
    <w:rsid w:val="00474FFE"/>
    <w:rsid w:val="00475002"/>
    <w:rsid w:val="00475006"/>
    <w:rsid w:val="0047502D"/>
    <w:rsid w:val="00475031"/>
    <w:rsid w:val="0047506B"/>
    <w:rsid w:val="00475079"/>
    <w:rsid w:val="004750A0"/>
    <w:rsid w:val="004750FD"/>
    <w:rsid w:val="00475113"/>
    <w:rsid w:val="00475114"/>
    <w:rsid w:val="00475175"/>
    <w:rsid w:val="00475185"/>
    <w:rsid w:val="004751C0"/>
    <w:rsid w:val="004751CF"/>
    <w:rsid w:val="004751DB"/>
    <w:rsid w:val="004751F0"/>
    <w:rsid w:val="00475263"/>
    <w:rsid w:val="00475273"/>
    <w:rsid w:val="00475317"/>
    <w:rsid w:val="00475346"/>
    <w:rsid w:val="004753BB"/>
    <w:rsid w:val="004753E0"/>
    <w:rsid w:val="00475406"/>
    <w:rsid w:val="00475422"/>
    <w:rsid w:val="00475430"/>
    <w:rsid w:val="0047546F"/>
    <w:rsid w:val="004754A0"/>
    <w:rsid w:val="004754A3"/>
    <w:rsid w:val="004754E9"/>
    <w:rsid w:val="00475514"/>
    <w:rsid w:val="00475568"/>
    <w:rsid w:val="0047558D"/>
    <w:rsid w:val="00475631"/>
    <w:rsid w:val="0047566F"/>
    <w:rsid w:val="00475682"/>
    <w:rsid w:val="00475692"/>
    <w:rsid w:val="004756E6"/>
    <w:rsid w:val="00475768"/>
    <w:rsid w:val="004757A7"/>
    <w:rsid w:val="0047580C"/>
    <w:rsid w:val="00475814"/>
    <w:rsid w:val="00475827"/>
    <w:rsid w:val="00475861"/>
    <w:rsid w:val="00475879"/>
    <w:rsid w:val="0047588B"/>
    <w:rsid w:val="0047592C"/>
    <w:rsid w:val="004759D6"/>
    <w:rsid w:val="004759FC"/>
    <w:rsid w:val="00475A37"/>
    <w:rsid w:val="00475A8D"/>
    <w:rsid w:val="00475B10"/>
    <w:rsid w:val="00475B33"/>
    <w:rsid w:val="00475B51"/>
    <w:rsid w:val="00475BB3"/>
    <w:rsid w:val="00475BC7"/>
    <w:rsid w:val="00475BD6"/>
    <w:rsid w:val="00475CCB"/>
    <w:rsid w:val="00475D28"/>
    <w:rsid w:val="00475DE4"/>
    <w:rsid w:val="00475E09"/>
    <w:rsid w:val="00475EC3"/>
    <w:rsid w:val="00475F3D"/>
    <w:rsid w:val="00475F3E"/>
    <w:rsid w:val="00475FA8"/>
    <w:rsid w:val="00476043"/>
    <w:rsid w:val="004760A6"/>
    <w:rsid w:val="004760F9"/>
    <w:rsid w:val="004760FD"/>
    <w:rsid w:val="00476113"/>
    <w:rsid w:val="00476190"/>
    <w:rsid w:val="004761AB"/>
    <w:rsid w:val="004761BF"/>
    <w:rsid w:val="004761F7"/>
    <w:rsid w:val="0047624E"/>
    <w:rsid w:val="0047640E"/>
    <w:rsid w:val="004764D5"/>
    <w:rsid w:val="004764E1"/>
    <w:rsid w:val="004764EE"/>
    <w:rsid w:val="004765B8"/>
    <w:rsid w:val="004765E2"/>
    <w:rsid w:val="004765F4"/>
    <w:rsid w:val="004765FD"/>
    <w:rsid w:val="00476646"/>
    <w:rsid w:val="004766BD"/>
    <w:rsid w:val="004766E1"/>
    <w:rsid w:val="004766FE"/>
    <w:rsid w:val="00476754"/>
    <w:rsid w:val="00476760"/>
    <w:rsid w:val="0047676A"/>
    <w:rsid w:val="004767FC"/>
    <w:rsid w:val="0047682C"/>
    <w:rsid w:val="0047689F"/>
    <w:rsid w:val="004768A5"/>
    <w:rsid w:val="004768B8"/>
    <w:rsid w:val="00476946"/>
    <w:rsid w:val="004769AB"/>
    <w:rsid w:val="004769FB"/>
    <w:rsid w:val="00476A9C"/>
    <w:rsid w:val="00476B28"/>
    <w:rsid w:val="00476BBF"/>
    <w:rsid w:val="00476BCA"/>
    <w:rsid w:val="00476C0F"/>
    <w:rsid w:val="00476C97"/>
    <w:rsid w:val="00476D08"/>
    <w:rsid w:val="00476D16"/>
    <w:rsid w:val="00476D1B"/>
    <w:rsid w:val="00476D43"/>
    <w:rsid w:val="00476DB1"/>
    <w:rsid w:val="00476E31"/>
    <w:rsid w:val="00476E3B"/>
    <w:rsid w:val="00476E76"/>
    <w:rsid w:val="00476F7F"/>
    <w:rsid w:val="00476FC3"/>
    <w:rsid w:val="00476FEB"/>
    <w:rsid w:val="00476FFC"/>
    <w:rsid w:val="00477002"/>
    <w:rsid w:val="0047704A"/>
    <w:rsid w:val="004770B0"/>
    <w:rsid w:val="004771FB"/>
    <w:rsid w:val="004772AC"/>
    <w:rsid w:val="004772AF"/>
    <w:rsid w:val="00477327"/>
    <w:rsid w:val="004773EA"/>
    <w:rsid w:val="004773EE"/>
    <w:rsid w:val="0047740A"/>
    <w:rsid w:val="0047742D"/>
    <w:rsid w:val="00477431"/>
    <w:rsid w:val="0047743D"/>
    <w:rsid w:val="00477465"/>
    <w:rsid w:val="00477499"/>
    <w:rsid w:val="004774CF"/>
    <w:rsid w:val="004774D4"/>
    <w:rsid w:val="004774E6"/>
    <w:rsid w:val="00477548"/>
    <w:rsid w:val="0047754C"/>
    <w:rsid w:val="004775B8"/>
    <w:rsid w:val="004775CA"/>
    <w:rsid w:val="0047761C"/>
    <w:rsid w:val="0047766F"/>
    <w:rsid w:val="00477670"/>
    <w:rsid w:val="00477675"/>
    <w:rsid w:val="00477697"/>
    <w:rsid w:val="00477746"/>
    <w:rsid w:val="00477758"/>
    <w:rsid w:val="0047777C"/>
    <w:rsid w:val="00477827"/>
    <w:rsid w:val="00477856"/>
    <w:rsid w:val="004778DF"/>
    <w:rsid w:val="0047790D"/>
    <w:rsid w:val="00477916"/>
    <w:rsid w:val="00477968"/>
    <w:rsid w:val="004779B9"/>
    <w:rsid w:val="004779C1"/>
    <w:rsid w:val="00477A38"/>
    <w:rsid w:val="00477A5D"/>
    <w:rsid w:val="00477B4F"/>
    <w:rsid w:val="00477B65"/>
    <w:rsid w:val="00477B90"/>
    <w:rsid w:val="00477C2A"/>
    <w:rsid w:val="00477C48"/>
    <w:rsid w:val="00477C5B"/>
    <w:rsid w:val="00477CE9"/>
    <w:rsid w:val="00477D03"/>
    <w:rsid w:val="00477D5A"/>
    <w:rsid w:val="00477D75"/>
    <w:rsid w:val="00477D98"/>
    <w:rsid w:val="00477DE2"/>
    <w:rsid w:val="00477DE3"/>
    <w:rsid w:val="00477DEE"/>
    <w:rsid w:val="00477DF8"/>
    <w:rsid w:val="00477E03"/>
    <w:rsid w:val="00477E09"/>
    <w:rsid w:val="00477E83"/>
    <w:rsid w:val="00477ECC"/>
    <w:rsid w:val="00477F00"/>
    <w:rsid w:val="00477F15"/>
    <w:rsid w:val="00477FE1"/>
    <w:rsid w:val="00477FE8"/>
    <w:rsid w:val="00477FF5"/>
    <w:rsid w:val="0048005D"/>
    <w:rsid w:val="00480141"/>
    <w:rsid w:val="0048014F"/>
    <w:rsid w:val="0048017B"/>
    <w:rsid w:val="004801C6"/>
    <w:rsid w:val="004801E5"/>
    <w:rsid w:val="00480228"/>
    <w:rsid w:val="00480231"/>
    <w:rsid w:val="00480244"/>
    <w:rsid w:val="00480283"/>
    <w:rsid w:val="004803AC"/>
    <w:rsid w:val="004803F3"/>
    <w:rsid w:val="00480448"/>
    <w:rsid w:val="0048046A"/>
    <w:rsid w:val="0048046C"/>
    <w:rsid w:val="004804BE"/>
    <w:rsid w:val="00480559"/>
    <w:rsid w:val="004805CF"/>
    <w:rsid w:val="004805E2"/>
    <w:rsid w:val="004805F0"/>
    <w:rsid w:val="00480615"/>
    <w:rsid w:val="00480626"/>
    <w:rsid w:val="0048062A"/>
    <w:rsid w:val="00480684"/>
    <w:rsid w:val="004806E3"/>
    <w:rsid w:val="00480785"/>
    <w:rsid w:val="004807CA"/>
    <w:rsid w:val="004807DB"/>
    <w:rsid w:val="00480820"/>
    <w:rsid w:val="0048084A"/>
    <w:rsid w:val="0048089B"/>
    <w:rsid w:val="004808F8"/>
    <w:rsid w:val="00480928"/>
    <w:rsid w:val="00480968"/>
    <w:rsid w:val="004809AA"/>
    <w:rsid w:val="004809DB"/>
    <w:rsid w:val="004809E5"/>
    <w:rsid w:val="004809E7"/>
    <w:rsid w:val="00480A2C"/>
    <w:rsid w:val="00480A53"/>
    <w:rsid w:val="00480B1A"/>
    <w:rsid w:val="00480BC1"/>
    <w:rsid w:val="00480BC7"/>
    <w:rsid w:val="00480C18"/>
    <w:rsid w:val="00480C71"/>
    <w:rsid w:val="00480C8A"/>
    <w:rsid w:val="00480CE2"/>
    <w:rsid w:val="00480D28"/>
    <w:rsid w:val="00480D30"/>
    <w:rsid w:val="00480D33"/>
    <w:rsid w:val="00480D3C"/>
    <w:rsid w:val="00480D3D"/>
    <w:rsid w:val="00480DA6"/>
    <w:rsid w:val="00480DAD"/>
    <w:rsid w:val="00480DFD"/>
    <w:rsid w:val="00480E19"/>
    <w:rsid w:val="00480E31"/>
    <w:rsid w:val="00480E34"/>
    <w:rsid w:val="00480E3A"/>
    <w:rsid w:val="00480E49"/>
    <w:rsid w:val="00480E9A"/>
    <w:rsid w:val="00480F82"/>
    <w:rsid w:val="00480F91"/>
    <w:rsid w:val="00480FF4"/>
    <w:rsid w:val="00481055"/>
    <w:rsid w:val="00481061"/>
    <w:rsid w:val="0048106D"/>
    <w:rsid w:val="0048109A"/>
    <w:rsid w:val="0048109C"/>
    <w:rsid w:val="004810FA"/>
    <w:rsid w:val="00481166"/>
    <w:rsid w:val="004812EB"/>
    <w:rsid w:val="00481321"/>
    <w:rsid w:val="004813C0"/>
    <w:rsid w:val="004814BE"/>
    <w:rsid w:val="004814C2"/>
    <w:rsid w:val="00481517"/>
    <w:rsid w:val="00481527"/>
    <w:rsid w:val="00481580"/>
    <w:rsid w:val="0048158D"/>
    <w:rsid w:val="00481592"/>
    <w:rsid w:val="00481656"/>
    <w:rsid w:val="00481688"/>
    <w:rsid w:val="004816A3"/>
    <w:rsid w:val="004816BA"/>
    <w:rsid w:val="0048172C"/>
    <w:rsid w:val="004817B3"/>
    <w:rsid w:val="004817D9"/>
    <w:rsid w:val="004817EA"/>
    <w:rsid w:val="00481824"/>
    <w:rsid w:val="004818B0"/>
    <w:rsid w:val="004818C8"/>
    <w:rsid w:val="004818DC"/>
    <w:rsid w:val="0048192B"/>
    <w:rsid w:val="0048196D"/>
    <w:rsid w:val="00481981"/>
    <w:rsid w:val="00481992"/>
    <w:rsid w:val="004819A1"/>
    <w:rsid w:val="004819AB"/>
    <w:rsid w:val="004819EB"/>
    <w:rsid w:val="00481A3F"/>
    <w:rsid w:val="00481B08"/>
    <w:rsid w:val="00481B70"/>
    <w:rsid w:val="00481BB3"/>
    <w:rsid w:val="00481C18"/>
    <w:rsid w:val="00481D5C"/>
    <w:rsid w:val="00481D94"/>
    <w:rsid w:val="00481DD8"/>
    <w:rsid w:val="00481DEC"/>
    <w:rsid w:val="00481E1A"/>
    <w:rsid w:val="00481EB3"/>
    <w:rsid w:val="00481ED0"/>
    <w:rsid w:val="00481F7B"/>
    <w:rsid w:val="00481FBC"/>
    <w:rsid w:val="00481FF8"/>
    <w:rsid w:val="0048203D"/>
    <w:rsid w:val="00482052"/>
    <w:rsid w:val="00482061"/>
    <w:rsid w:val="004820A9"/>
    <w:rsid w:val="004820DE"/>
    <w:rsid w:val="00482106"/>
    <w:rsid w:val="0048211A"/>
    <w:rsid w:val="004821DF"/>
    <w:rsid w:val="004821EF"/>
    <w:rsid w:val="0048222F"/>
    <w:rsid w:val="00482258"/>
    <w:rsid w:val="004822DB"/>
    <w:rsid w:val="00482305"/>
    <w:rsid w:val="00482349"/>
    <w:rsid w:val="004823BC"/>
    <w:rsid w:val="004823D5"/>
    <w:rsid w:val="004823DB"/>
    <w:rsid w:val="004823E7"/>
    <w:rsid w:val="004823F5"/>
    <w:rsid w:val="00482415"/>
    <w:rsid w:val="00482421"/>
    <w:rsid w:val="00482470"/>
    <w:rsid w:val="004824EE"/>
    <w:rsid w:val="00482509"/>
    <w:rsid w:val="0048258B"/>
    <w:rsid w:val="004825F9"/>
    <w:rsid w:val="0048262A"/>
    <w:rsid w:val="00482641"/>
    <w:rsid w:val="004826CF"/>
    <w:rsid w:val="00482744"/>
    <w:rsid w:val="00482752"/>
    <w:rsid w:val="00482782"/>
    <w:rsid w:val="004827B1"/>
    <w:rsid w:val="004827F8"/>
    <w:rsid w:val="0048286A"/>
    <w:rsid w:val="00482886"/>
    <w:rsid w:val="00482903"/>
    <w:rsid w:val="0048291D"/>
    <w:rsid w:val="00482939"/>
    <w:rsid w:val="004829A1"/>
    <w:rsid w:val="004829F1"/>
    <w:rsid w:val="00482A70"/>
    <w:rsid w:val="00482A75"/>
    <w:rsid w:val="00482ABF"/>
    <w:rsid w:val="00482B52"/>
    <w:rsid w:val="00482BFF"/>
    <w:rsid w:val="00482C66"/>
    <w:rsid w:val="00482C81"/>
    <w:rsid w:val="00482CC3"/>
    <w:rsid w:val="00482CF8"/>
    <w:rsid w:val="00482D15"/>
    <w:rsid w:val="00482D2D"/>
    <w:rsid w:val="00482DC3"/>
    <w:rsid w:val="00482EB9"/>
    <w:rsid w:val="00482F0B"/>
    <w:rsid w:val="00482F50"/>
    <w:rsid w:val="00482F58"/>
    <w:rsid w:val="00482F5B"/>
    <w:rsid w:val="00482F64"/>
    <w:rsid w:val="00482FF4"/>
    <w:rsid w:val="00483019"/>
    <w:rsid w:val="00483067"/>
    <w:rsid w:val="0048306D"/>
    <w:rsid w:val="00483114"/>
    <w:rsid w:val="0048318D"/>
    <w:rsid w:val="00483218"/>
    <w:rsid w:val="00483273"/>
    <w:rsid w:val="00483322"/>
    <w:rsid w:val="0048332C"/>
    <w:rsid w:val="00483360"/>
    <w:rsid w:val="0048341E"/>
    <w:rsid w:val="0048343D"/>
    <w:rsid w:val="00483461"/>
    <w:rsid w:val="00483518"/>
    <w:rsid w:val="0048352C"/>
    <w:rsid w:val="00483547"/>
    <w:rsid w:val="0048354C"/>
    <w:rsid w:val="00483574"/>
    <w:rsid w:val="00483602"/>
    <w:rsid w:val="00483650"/>
    <w:rsid w:val="00483685"/>
    <w:rsid w:val="00483688"/>
    <w:rsid w:val="004836A6"/>
    <w:rsid w:val="0048372F"/>
    <w:rsid w:val="00483743"/>
    <w:rsid w:val="004837BD"/>
    <w:rsid w:val="00483872"/>
    <w:rsid w:val="00483997"/>
    <w:rsid w:val="004839FD"/>
    <w:rsid w:val="00483AAC"/>
    <w:rsid w:val="00483AB2"/>
    <w:rsid w:val="00483ABB"/>
    <w:rsid w:val="00483ADA"/>
    <w:rsid w:val="00483B73"/>
    <w:rsid w:val="00483BAD"/>
    <w:rsid w:val="00483BB9"/>
    <w:rsid w:val="00483BBC"/>
    <w:rsid w:val="00483BCE"/>
    <w:rsid w:val="00483C3D"/>
    <w:rsid w:val="00483C8A"/>
    <w:rsid w:val="00483C8E"/>
    <w:rsid w:val="00483D44"/>
    <w:rsid w:val="00483DB4"/>
    <w:rsid w:val="00483E3C"/>
    <w:rsid w:val="00483E6D"/>
    <w:rsid w:val="00483E85"/>
    <w:rsid w:val="00483E8D"/>
    <w:rsid w:val="00483EF4"/>
    <w:rsid w:val="00483F33"/>
    <w:rsid w:val="00484003"/>
    <w:rsid w:val="00484018"/>
    <w:rsid w:val="00484071"/>
    <w:rsid w:val="00484124"/>
    <w:rsid w:val="00484158"/>
    <w:rsid w:val="00484164"/>
    <w:rsid w:val="0048417B"/>
    <w:rsid w:val="004841E7"/>
    <w:rsid w:val="00484297"/>
    <w:rsid w:val="004842EB"/>
    <w:rsid w:val="004843C7"/>
    <w:rsid w:val="0048440F"/>
    <w:rsid w:val="0048441F"/>
    <w:rsid w:val="0048446C"/>
    <w:rsid w:val="004844F4"/>
    <w:rsid w:val="0048452C"/>
    <w:rsid w:val="00484591"/>
    <w:rsid w:val="004845A1"/>
    <w:rsid w:val="004845C4"/>
    <w:rsid w:val="00484626"/>
    <w:rsid w:val="0048468E"/>
    <w:rsid w:val="00484759"/>
    <w:rsid w:val="00484760"/>
    <w:rsid w:val="00484773"/>
    <w:rsid w:val="00484796"/>
    <w:rsid w:val="004847B0"/>
    <w:rsid w:val="004847F8"/>
    <w:rsid w:val="00484807"/>
    <w:rsid w:val="0048480E"/>
    <w:rsid w:val="0048486C"/>
    <w:rsid w:val="004848A5"/>
    <w:rsid w:val="00484914"/>
    <w:rsid w:val="0048493C"/>
    <w:rsid w:val="00484945"/>
    <w:rsid w:val="004849A1"/>
    <w:rsid w:val="004849DB"/>
    <w:rsid w:val="00484A0B"/>
    <w:rsid w:val="00484A16"/>
    <w:rsid w:val="00484AEB"/>
    <w:rsid w:val="00484B13"/>
    <w:rsid w:val="00484B29"/>
    <w:rsid w:val="00484B42"/>
    <w:rsid w:val="00484B84"/>
    <w:rsid w:val="00484B8C"/>
    <w:rsid w:val="00484CAF"/>
    <w:rsid w:val="00484CBF"/>
    <w:rsid w:val="00484DA6"/>
    <w:rsid w:val="00484DE5"/>
    <w:rsid w:val="00484E61"/>
    <w:rsid w:val="00484E87"/>
    <w:rsid w:val="00484E8F"/>
    <w:rsid w:val="00484EBC"/>
    <w:rsid w:val="00484EE6"/>
    <w:rsid w:val="00484EEE"/>
    <w:rsid w:val="00484F1D"/>
    <w:rsid w:val="00484F34"/>
    <w:rsid w:val="00484F4B"/>
    <w:rsid w:val="00484F5D"/>
    <w:rsid w:val="00484FA5"/>
    <w:rsid w:val="00484FF7"/>
    <w:rsid w:val="00485035"/>
    <w:rsid w:val="00485097"/>
    <w:rsid w:val="00485098"/>
    <w:rsid w:val="004850F7"/>
    <w:rsid w:val="004850F8"/>
    <w:rsid w:val="00485119"/>
    <w:rsid w:val="00485137"/>
    <w:rsid w:val="0048514B"/>
    <w:rsid w:val="00485172"/>
    <w:rsid w:val="00485178"/>
    <w:rsid w:val="00485190"/>
    <w:rsid w:val="00485193"/>
    <w:rsid w:val="004852E6"/>
    <w:rsid w:val="00485366"/>
    <w:rsid w:val="0048536C"/>
    <w:rsid w:val="00485376"/>
    <w:rsid w:val="00485431"/>
    <w:rsid w:val="00485528"/>
    <w:rsid w:val="004855F5"/>
    <w:rsid w:val="00485627"/>
    <w:rsid w:val="0048562C"/>
    <w:rsid w:val="004856CF"/>
    <w:rsid w:val="004856D4"/>
    <w:rsid w:val="004856E9"/>
    <w:rsid w:val="004856FC"/>
    <w:rsid w:val="00485742"/>
    <w:rsid w:val="0048576C"/>
    <w:rsid w:val="00485785"/>
    <w:rsid w:val="0048578B"/>
    <w:rsid w:val="004857BF"/>
    <w:rsid w:val="004857C0"/>
    <w:rsid w:val="00485834"/>
    <w:rsid w:val="00485869"/>
    <w:rsid w:val="004858BC"/>
    <w:rsid w:val="004858D9"/>
    <w:rsid w:val="00485936"/>
    <w:rsid w:val="004859B4"/>
    <w:rsid w:val="004859F1"/>
    <w:rsid w:val="00485A38"/>
    <w:rsid w:val="00485A48"/>
    <w:rsid w:val="00485B0A"/>
    <w:rsid w:val="00485B3D"/>
    <w:rsid w:val="00485BC8"/>
    <w:rsid w:val="00485BF2"/>
    <w:rsid w:val="00485BF6"/>
    <w:rsid w:val="00485C02"/>
    <w:rsid w:val="00485C28"/>
    <w:rsid w:val="00485C36"/>
    <w:rsid w:val="00485C88"/>
    <w:rsid w:val="00485CED"/>
    <w:rsid w:val="00485D04"/>
    <w:rsid w:val="00485D38"/>
    <w:rsid w:val="00485D56"/>
    <w:rsid w:val="00485DCE"/>
    <w:rsid w:val="00485E22"/>
    <w:rsid w:val="00485E52"/>
    <w:rsid w:val="00485E88"/>
    <w:rsid w:val="00485E8A"/>
    <w:rsid w:val="00485E97"/>
    <w:rsid w:val="00485EE1"/>
    <w:rsid w:val="00485F4D"/>
    <w:rsid w:val="00485F61"/>
    <w:rsid w:val="00485F7E"/>
    <w:rsid w:val="00485FAE"/>
    <w:rsid w:val="00485FD7"/>
    <w:rsid w:val="0048600C"/>
    <w:rsid w:val="00486027"/>
    <w:rsid w:val="00486088"/>
    <w:rsid w:val="00486093"/>
    <w:rsid w:val="004860DE"/>
    <w:rsid w:val="004861EB"/>
    <w:rsid w:val="00486321"/>
    <w:rsid w:val="00486356"/>
    <w:rsid w:val="00486437"/>
    <w:rsid w:val="004864AD"/>
    <w:rsid w:val="004864D2"/>
    <w:rsid w:val="004864D8"/>
    <w:rsid w:val="004864E4"/>
    <w:rsid w:val="00486571"/>
    <w:rsid w:val="004865A8"/>
    <w:rsid w:val="00486606"/>
    <w:rsid w:val="0048670E"/>
    <w:rsid w:val="00486726"/>
    <w:rsid w:val="00486773"/>
    <w:rsid w:val="0048677E"/>
    <w:rsid w:val="004867AC"/>
    <w:rsid w:val="00486883"/>
    <w:rsid w:val="004868D1"/>
    <w:rsid w:val="004868F2"/>
    <w:rsid w:val="0048690B"/>
    <w:rsid w:val="00486959"/>
    <w:rsid w:val="004869A6"/>
    <w:rsid w:val="00486B11"/>
    <w:rsid w:val="00486B34"/>
    <w:rsid w:val="00486B6C"/>
    <w:rsid w:val="00486B80"/>
    <w:rsid w:val="00486C4B"/>
    <w:rsid w:val="00486C72"/>
    <w:rsid w:val="00486C90"/>
    <w:rsid w:val="00486C9F"/>
    <w:rsid w:val="00486CAA"/>
    <w:rsid w:val="00486CCB"/>
    <w:rsid w:val="00486D1C"/>
    <w:rsid w:val="00486D22"/>
    <w:rsid w:val="00486D4E"/>
    <w:rsid w:val="00486D93"/>
    <w:rsid w:val="00486DB8"/>
    <w:rsid w:val="00486DD6"/>
    <w:rsid w:val="00486E64"/>
    <w:rsid w:val="00486E7E"/>
    <w:rsid w:val="00486E87"/>
    <w:rsid w:val="00486F77"/>
    <w:rsid w:val="00486FB6"/>
    <w:rsid w:val="0048705A"/>
    <w:rsid w:val="004870EB"/>
    <w:rsid w:val="0048710B"/>
    <w:rsid w:val="00487220"/>
    <w:rsid w:val="004872BF"/>
    <w:rsid w:val="004872F4"/>
    <w:rsid w:val="0048735F"/>
    <w:rsid w:val="0048736A"/>
    <w:rsid w:val="00487390"/>
    <w:rsid w:val="00487398"/>
    <w:rsid w:val="0048739C"/>
    <w:rsid w:val="004873AB"/>
    <w:rsid w:val="004873E5"/>
    <w:rsid w:val="0048741C"/>
    <w:rsid w:val="0048742D"/>
    <w:rsid w:val="0048742F"/>
    <w:rsid w:val="00487452"/>
    <w:rsid w:val="00487476"/>
    <w:rsid w:val="00487481"/>
    <w:rsid w:val="00487497"/>
    <w:rsid w:val="004874D8"/>
    <w:rsid w:val="004874D9"/>
    <w:rsid w:val="004874F6"/>
    <w:rsid w:val="00487509"/>
    <w:rsid w:val="0048751C"/>
    <w:rsid w:val="00487659"/>
    <w:rsid w:val="00487680"/>
    <w:rsid w:val="004876C3"/>
    <w:rsid w:val="004876CD"/>
    <w:rsid w:val="00487701"/>
    <w:rsid w:val="0048772E"/>
    <w:rsid w:val="00487775"/>
    <w:rsid w:val="00487779"/>
    <w:rsid w:val="004877DA"/>
    <w:rsid w:val="00487837"/>
    <w:rsid w:val="0048787B"/>
    <w:rsid w:val="004878B6"/>
    <w:rsid w:val="004878BD"/>
    <w:rsid w:val="004878E5"/>
    <w:rsid w:val="004878F9"/>
    <w:rsid w:val="00487947"/>
    <w:rsid w:val="0048796E"/>
    <w:rsid w:val="00487A10"/>
    <w:rsid w:val="00487A3F"/>
    <w:rsid w:val="00487AD6"/>
    <w:rsid w:val="00487B44"/>
    <w:rsid w:val="00487B76"/>
    <w:rsid w:val="00487C70"/>
    <w:rsid w:val="00487C82"/>
    <w:rsid w:val="00487CD7"/>
    <w:rsid w:val="00487D20"/>
    <w:rsid w:val="00487D5D"/>
    <w:rsid w:val="00487DAE"/>
    <w:rsid w:val="00487DC4"/>
    <w:rsid w:val="00487DD1"/>
    <w:rsid w:val="00487DEA"/>
    <w:rsid w:val="00487E04"/>
    <w:rsid w:val="00487E1A"/>
    <w:rsid w:val="00487E92"/>
    <w:rsid w:val="00487EBE"/>
    <w:rsid w:val="00487F48"/>
    <w:rsid w:val="00487F6B"/>
    <w:rsid w:val="00487FEE"/>
    <w:rsid w:val="004900D6"/>
    <w:rsid w:val="004900D7"/>
    <w:rsid w:val="004900DE"/>
    <w:rsid w:val="004900E5"/>
    <w:rsid w:val="004900EB"/>
    <w:rsid w:val="0049011B"/>
    <w:rsid w:val="00490158"/>
    <w:rsid w:val="004901EF"/>
    <w:rsid w:val="0049024B"/>
    <w:rsid w:val="004902C6"/>
    <w:rsid w:val="004902D0"/>
    <w:rsid w:val="00490306"/>
    <w:rsid w:val="00490325"/>
    <w:rsid w:val="00490381"/>
    <w:rsid w:val="0049038E"/>
    <w:rsid w:val="004903EB"/>
    <w:rsid w:val="0049040A"/>
    <w:rsid w:val="004904B2"/>
    <w:rsid w:val="004905D5"/>
    <w:rsid w:val="004905F1"/>
    <w:rsid w:val="004905F5"/>
    <w:rsid w:val="0049064E"/>
    <w:rsid w:val="004906ED"/>
    <w:rsid w:val="00490712"/>
    <w:rsid w:val="00490737"/>
    <w:rsid w:val="0049076E"/>
    <w:rsid w:val="004907AE"/>
    <w:rsid w:val="004907C3"/>
    <w:rsid w:val="004907ED"/>
    <w:rsid w:val="0049083E"/>
    <w:rsid w:val="0049087D"/>
    <w:rsid w:val="00490901"/>
    <w:rsid w:val="00490939"/>
    <w:rsid w:val="0049098D"/>
    <w:rsid w:val="00490A15"/>
    <w:rsid w:val="00490A37"/>
    <w:rsid w:val="00490A3A"/>
    <w:rsid w:val="00490A58"/>
    <w:rsid w:val="00490A7C"/>
    <w:rsid w:val="00490AAD"/>
    <w:rsid w:val="00490AAE"/>
    <w:rsid w:val="00490B68"/>
    <w:rsid w:val="00490BC0"/>
    <w:rsid w:val="00490C80"/>
    <w:rsid w:val="00490DC7"/>
    <w:rsid w:val="00490E0E"/>
    <w:rsid w:val="00490E32"/>
    <w:rsid w:val="00490E40"/>
    <w:rsid w:val="00490EDB"/>
    <w:rsid w:val="00490EF1"/>
    <w:rsid w:val="00490F01"/>
    <w:rsid w:val="00490F5F"/>
    <w:rsid w:val="00490F85"/>
    <w:rsid w:val="00490FF0"/>
    <w:rsid w:val="0049100E"/>
    <w:rsid w:val="00491065"/>
    <w:rsid w:val="00491103"/>
    <w:rsid w:val="00491115"/>
    <w:rsid w:val="00491192"/>
    <w:rsid w:val="004911CC"/>
    <w:rsid w:val="0049125C"/>
    <w:rsid w:val="00491308"/>
    <w:rsid w:val="00491357"/>
    <w:rsid w:val="0049138E"/>
    <w:rsid w:val="0049147E"/>
    <w:rsid w:val="0049151B"/>
    <w:rsid w:val="0049152B"/>
    <w:rsid w:val="0049153D"/>
    <w:rsid w:val="0049156C"/>
    <w:rsid w:val="004915B3"/>
    <w:rsid w:val="004915C6"/>
    <w:rsid w:val="00491615"/>
    <w:rsid w:val="0049165E"/>
    <w:rsid w:val="004916D1"/>
    <w:rsid w:val="004916F0"/>
    <w:rsid w:val="00491771"/>
    <w:rsid w:val="00491791"/>
    <w:rsid w:val="004917BC"/>
    <w:rsid w:val="0049180A"/>
    <w:rsid w:val="00491843"/>
    <w:rsid w:val="00491865"/>
    <w:rsid w:val="00491893"/>
    <w:rsid w:val="004918A6"/>
    <w:rsid w:val="004918D6"/>
    <w:rsid w:val="004918F6"/>
    <w:rsid w:val="00491913"/>
    <w:rsid w:val="00491927"/>
    <w:rsid w:val="0049194D"/>
    <w:rsid w:val="004919E9"/>
    <w:rsid w:val="004919FF"/>
    <w:rsid w:val="00491A19"/>
    <w:rsid w:val="00491A3C"/>
    <w:rsid w:val="00491A98"/>
    <w:rsid w:val="00491AAB"/>
    <w:rsid w:val="00491B39"/>
    <w:rsid w:val="00491B7E"/>
    <w:rsid w:val="00491B87"/>
    <w:rsid w:val="00491B8D"/>
    <w:rsid w:val="00491B8F"/>
    <w:rsid w:val="00491B99"/>
    <w:rsid w:val="00491BA4"/>
    <w:rsid w:val="00491BCF"/>
    <w:rsid w:val="00491C5B"/>
    <w:rsid w:val="00491D13"/>
    <w:rsid w:val="00491D86"/>
    <w:rsid w:val="00491DA6"/>
    <w:rsid w:val="00491DC2"/>
    <w:rsid w:val="00491DCB"/>
    <w:rsid w:val="00491DFE"/>
    <w:rsid w:val="00491E2A"/>
    <w:rsid w:val="00491EC6"/>
    <w:rsid w:val="00491F11"/>
    <w:rsid w:val="00491F73"/>
    <w:rsid w:val="00492032"/>
    <w:rsid w:val="00492037"/>
    <w:rsid w:val="004920BB"/>
    <w:rsid w:val="004920BF"/>
    <w:rsid w:val="004920F9"/>
    <w:rsid w:val="004920FF"/>
    <w:rsid w:val="00492109"/>
    <w:rsid w:val="0049215F"/>
    <w:rsid w:val="00492179"/>
    <w:rsid w:val="00492199"/>
    <w:rsid w:val="0049221E"/>
    <w:rsid w:val="0049224C"/>
    <w:rsid w:val="00492266"/>
    <w:rsid w:val="00492286"/>
    <w:rsid w:val="004922B5"/>
    <w:rsid w:val="004922EA"/>
    <w:rsid w:val="00492338"/>
    <w:rsid w:val="0049235B"/>
    <w:rsid w:val="004923A9"/>
    <w:rsid w:val="004923D4"/>
    <w:rsid w:val="0049240E"/>
    <w:rsid w:val="0049240F"/>
    <w:rsid w:val="00492459"/>
    <w:rsid w:val="00492476"/>
    <w:rsid w:val="0049248D"/>
    <w:rsid w:val="00492575"/>
    <w:rsid w:val="0049258E"/>
    <w:rsid w:val="004925A8"/>
    <w:rsid w:val="004925AE"/>
    <w:rsid w:val="004925EB"/>
    <w:rsid w:val="0049261A"/>
    <w:rsid w:val="00492635"/>
    <w:rsid w:val="00492687"/>
    <w:rsid w:val="004926F4"/>
    <w:rsid w:val="00492729"/>
    <w:rsid w:val="004927A3"/>
    <w:rsid w:val="00492849"/>
    <w:rsid w:val="004928D8"/>
    <w:rsid w:val="004928F0"/>
    <w:rsid w:val="00492947"/>
    <w:rsid w:val="00492960"/>
    <w:rsid w:val="00492967"/>
    <w:rsid w:val="004929A1"/>
    <w:rsid w:val="004929AC"/>
    <w:rsid w:val="00492ADF"/>
    <w:rsid w:val="00492B03"/>
    <w:rsid w:val="00492B32"/>
    <w:rsid w:val="00492B80"/>
    <w:rsid w:val="00492B9B"/>
    <w:rsid w:val="00492C6D"/>
    <w:rsid w:val="00492CE8"/>
    <w:rsid w:val="00492D22"/>
    <w:rsid w:val="00492D8F"/>
    <w:rsid w:val="00492D9B"/>
    <w:rsid w:val="00492DD6"/>
    <w:rsid w:val="00492DFD"/>
    <w:rsid w:val="00492E01"/>
    <w:rsid w:val="00492E5A"/>
    <w:rsid w:val="00492EB9"/>
    <w:rsid w:val="00492F1A"/>
    <w:rsid w:val="00492F32"/>
    <w:rsid w:val="00492F3E"/>
    <w:rsid w:val="00492FF4"/>
    <w:rsid w:val="00493008"/>
    <w:rsid w:val="004930AD"/>
    <w:rsid w:val="0049323E"/>
    <w:rsid w:val="0049324C"/>
    <w:rsid w:val="00493282"/>
    <w:rsid w:val="004932E8"/>
    <w:rsid w:val="004932F7"/>
    <w:rsid w:val="0049332D"/>
    <w:rsid w:val="00493332"/>
    <w:rsid w:val="00493341"/>
    <w:rsid w:val="00493349"/>
    <w:rsid w:val="004933BF"/>
    <w:rsid w:val="00493445"/>
    <w:rsid w:val="004934D3"/>
    <w:rsid w:val="004934EA"/>
    <w:rsid w:val="0049353D"/>
    <w:rsid w:val="00493568"/>
    <w:rsid w:val="00493596"/>
    <w:rsid w:val="0049361D"/>
    <w:rsid w:val="0049363B"/>
    <w:rsid w:val="004936B9"/>
    <w:rsid w:val="004936D9"/>
    <w:rsid w:val="004936E5"/>
    <w:rsid w:val="00493839"/>
    <w:rsid w:val="0049387D"/>
    <w:rsid w:val="004938A9"/>
    <w:rsid w:val="004938AB"/>
    <w:rsid w:val="0049392D"/>
    <w:rsid w:val="00493941"/>
    <w:rsid w:val="004939D5"/>
    <w:rsid w:val="004939E6"/>
    <w:rsid w:val="00493A49"/>
    <w:rsid w:val="00493A82"/>
    <w:rsid w:val="00493AAA"/>
    <w:rsid w:val="00493AD0"/>
    <w:rsid w:val="00493B3D"/>
    <w:rsid w:val="00493BCF"/>
    <w:rsid w:val="00493D09"/>
    <w:rsid w:val="00493D10"/>
    <w:rsid w:val="00493DA2"/>
    <w:rsid w:val="00493DAE"/>
    <w:rsid w:val="00493E26"/>
    <w:rsid w:val="00493E5A"/>
    <w:rsid w:val="00493E69"/>
    <w:rsid w:val="00493EA2"/>
    <w:rsid w:val="00493EB0"/>
    <w:rsid w:val="00493ED9"/>
    <w:rsid w:val="00493F2D"/>
    <w:rsid w:val="00493F47"/>
    <w:rsid w:val="00493FD2"/>
    <w:rsid w:val="00493FF1"/>
    <w:rsid w:val="0049401A"/>
    <w:rsid w:val="00494062"/>
    <w:rsid w:val="004940BD"/>
    <w:rsid w:val="004940C5"/>
    <w:rsid w:val="004940E2"/>
    <w:rsid w:val="004940EB"/>
    <w:rsid w:val="004940F1"/>
    <w:rsid w:val="00494110"/>
    <w:rsid w:val="0049416F"/>
    <w:rsid w:val="00494268"/>
    <w:rsid w:val="004942C2"/>
    <w:rsid w:val="0049442C"/>
    <w:rsid w:val="00494442"/>
    <w:rsid w:val="004944A2"/>
    <w:rsid w:val="00494511"/>
    <w:rsid w:val="00494516"/>
    <w:rsid w:val="00494560"/>
    <w:rsid w:val="0049463D"/>
    <w:rsid w:val="0049464C"/>
    <w:rsid w:val="00494799"/>
    <w:rsid w:val="004947B8"/>
    <w:rsid w:val="004947EC"/>
    <w:rsid w:val="004947F1"/>
    <w:rsid w:val="00494816"/>
    <w:rsid w:val="0049484A"/>
    <w:rsid w:val="00494906"/>
    <w:rsid w:val="0049490E"/>
    <w:rsid w:val="00494931"/>
    <w:rsid w:val="0049496F"/>
    <w:rsid w:val="00494975"/>
    <w:rsid w:val="00494991"/>
    <w:rsid w:val="00494A15"/>
    <w:rsid w:val="00494A79"/>
    <w:rsid w:val="00494AC6"/>
    <w:rsid w:val="00494AEF"/>
    <w:rsid w:val="00494B1C"/>
    <w:rsid w:val="00494B60"/>
    <w:rsid w:val="00494BB9"/>
    <w:rsid w:val="00494BFC"/>
    <w:rsid w:val="00494C4C"/>
    <w:rsid w:val="00494CA5"/>
    <w:rsid w:val="00494CB5"/>
    <w:rsid w:val="00494D20"/>
    <w:rsid w:val="00494DC9"/>
    <w:rsid w:val="00494E1C"/>
    <w:rsid w:val="00494E64"/>
    <w:rsid w:val="00494E9D"/>
    <w:rsid w:val="00494EA4"/>
    <w:rsid w:val="00494EB6"/>
    <w:rsid w:val="00494F4A"/>
    <w:rsid w:val="00494F79"/>
    <w:rsid w:val="00495062"/>
    <w:rsid w:val="0049510A"/>
    <w:rsid w:val="004951EE"/>
    <w:rsid w:val="0049522C"/>
    <w:rsid w:val="004952B5"/>
    <w:rsid w:val="0049531C"/>
    <w:rsid w:val="0049532D"/>
    <w:rsid w:val="00495371"/>
    <w:rsid w:val="00495443"/>
    <w:rsid w:val="004954B5"/>
    <w:rsid w:val="004954F4"/>
    <w:rsid w:val="004954FA"/>
    <w:rsid w:val="0049550A"/>
    <w:rsid w:val="00495519"/>
    <w:rsid w:val="004955F4"/>
    <w:rsid w:val="004955FB"/>
    <w:rsid w:val="00495608"/>
    <w:rsid w:val="0049568D"/>
    <w:rsid w:val="004956CC"/>
    <w:rsid w:val="0049573A"/>
    <w:rsid w:val="00495790"/>
    <w:rsid w:val="0049579E"/>
    <w:rsid w:val="00495815"/>
    <w:rsid w:val="00495893"/>
    <w:rsid w:val="004958C0"/>
    <w:rsid w:val="004958C8"/>
    <w:rsid w:val="004958EC"/>
    <w:rsid w:val="00495A12"/>
    <w:rsid w:val="00495A38"/>
    <w:rsid w:val="00495A50"/>
    <w:rsid w:val="00495A6C"/>
    <w:rsid w:val="00495A7F"/>
    <w:rsid w:val="00495ABB"/>
    <w:rsid w:val="00495B18"/>
    <w:rsid w:val="00495BB4"/>
    <w:rsid w:val="00495CD6"/>
    <w:rsid w:val="00495D24"/>
    <w:rsid w:val="00495D9F"/>
    <w:rsid w:val="00495DD1"/>
    <w:rsid w:val="00495E5A"/>
    <w:rsid w:val="00495E8B"/>
    <w:rsid w:val="00495E92"/>
    <w:rsid w:val="00495E94"/>
    <w:rsid w:val="00495EBF"/>
    <w:rsid w:val="00495EE5"/>
    <w:rsid w:val="00495F37"/>
    <w:rsid w:val="00495FBE"/>
    <w:rsid w:val="004960DC"/>
    <w:rsid w:val="00496127"/>
    <w:rsid w:val="00496148"/>
    <w:rsid w:val="00496172"/>
    <w:rsid w:val="0049619F"/>
    <w:rsid w:val="004961EE"/>
    <w:rsid w:val="004961FE"/>
    <w:rsid w:val="004962A3"/>
    <w:rsid w:val="004962CF"/>
    <w:rsid w:val="004962EC"/>
    <w:rsid w:val="004962EF"/>
    <w:rsid w:val="004962FE"/>
    <w:rsid w:val="00496304"/>
    <w:rsid w:val="00496377"/>
    <w:rsid w:val="0049638B"/>
    <w:rsid w:val="00496463"/>
    <w:rsid w:val="0049648D"/>
    <w:rsid w:val="004964AA"/>
    <w:rsid w:val="004964FF"/>
    <w:rsid w:val="00496522"/>
    <w:rsid w:val="0049654F"/>
    <w:rsid w:val="0049656D"/>
    <w:rsid w:val="0049657A"/>
    <w:rsid w:val="004965A0"/>
    <w:rsid w:val="004965F0"/>
    <w:rsid w:val="00496620"/>
    <w:rsid w:val="00496648"/>
    <w:rsid w:val="0049666E"/>
    <w:rsid w:val="00496701"/>
    <w:rsid w:val="0049672A"/>
    <w:rsid w:val="0049674E"/>
    <w:rsid w:val="00496763"/>
    <w:rsid w:val="00496803"/>
    <w:rsid w:val="0049684C"/>
    <w:rsid w:val="00496850"/>
    <w:rsid w:val="004968B3"/>
    <w:rsid w:val="00496932"/>
    <w:rsid w:val="0049697E"/>
    <w:rsid w:val="004969C0"/>
    <w:rsid w:val="00496A09"/>
    <w:rsid w:val="00496A2F"/>
    <w:rsid w:val="00496A49"/>
    <w:rsid w:val="00496A58"/>
    <w:rsid w:val="00496A97"/>
    <w:rsid w:val="00496AA1"/>
    <w:rsid w:val="00496AAE"/>
    <w:rsid w:val="00496B1C"/>
    <w:rsid w:val="00496B3B"/>
    <w:rsid w:val="00496B3E"/>
    <w:rsid w:val="00496B5C"/>
    <w:rsid w:val="00496BA1"/>
    <w:rsid w:val="00496BDB"/>
    <w:rsid w:val="00496C74"/>
    <w:rsid w:val="00496CA5"/>
    <w:rsid w:val="00496CDC"/>
    <w:rsid w:val="00496CFF"/>
    <w:rsid w:val="00496D86"/>
    <w:rsid w:val="00496DD9"/>
    <w:rsid w:val="00496E35"/>
    <w:rsid w:val="00496E51"/>
    <w:rsid w:val="00496E66"/>
    <w:rsid w:val="00496E82"/>
    <w:rsid w:val="00496EB4"/>
    <w:rsid w:val="00496F50"/>
    <w:rsid w:val="00496FFD"/>
    <w:rsid w:val="00497004"/>
    <w:rsid w:val="0049705A"/>
    <w:rsid w:val="0049709F"/>
    <w:rsid w:val="004970CB"/>
    <w:rsid w:val="004970EB"/>
    <w:rsid w:val="0049710B"/>
    <w:rsid w:val="0049710C"/>
    <w:rsid w:val="0049712B"/>
    <w:rsid w:val="004971E8"/>
    <w:rsid w:val="004972A5"/>
    <w:rsid w:val="004972D7"/>
    <w:rsid w:val="00497339"/>
    <w:rsid w:val="00497392"/>
    <w:rsid w:val="0049739D"/>
    <w:rsid w:val="00497408"/>
    <w:rsid w:val="0049741E"/>
    <w:rsid w:val="00497421"/>
    <w:rsid w:val="0049747F"/>
    <w:rsid w:val="00497496"/>
    <w:rsid w:val="004974BE"/>
    <w:rsid w:val="00497519"/>
    <w:rsid w:val="00497535"/>
    <w:rsid w:val="0049753E"/>
    <w:rsid w:val="00497542"/>
    <w:rsid w:val="004975D6"/>
    <w:rsid w:val="0049760D"/>
    <w:rsid w:val="00497615"/>
    <w:rsid w:val="00497637"/>
    <w:rsid w:val="004976A2"/>
    <w:rsid w:val="004976E4"/>
    <w:rsid w:val="00497734"/>
    <w:rsid w:val="004977C3"/>
    <w:rsid w:val="0049781A"/>
    <w:rsid w:val="00497830"/>
    <w:rsid w:val="00497845"/>
    <w:rsid w:val="004978DF"/>
    <w:rsid w:val="004978E3"/>
    <w:rsid w:val="00497917"/>
    <w:rsid w:val="0049796D"/>
    <w:rsid w:val="0049798A"/>
    <w:rsid w:val="00497A29"/>
    <w:rsid w:val="00497AC2"/>
    <w:rsid w:val="00497B0A"/>
    <w:rsid w:val="00497B12"/>
    <w:rsid w:val="00497B97"/>
    <w:rsid w:val="00497BB5"/>
    <w:rsid w:val="00497C27"/>
    <w:rsid w:val="00497CC7"/>
    <w:rsid w:val="00497CDC"/>
    <w:rsid w:val="00497D59"/>
    <w:rsid w:val="00497D66"/>
    <w:rsid w:val="00497D7C"/>
    <w:rsid w:val="00497DFC"/>
    <w:rsid w:val="00497E48"/>
    <w:rsid w:val="00497E7F"/>
    <w:rsid w:val="00497EFA"/>
    <w:rsid w:val="00497F70"/>
    <w:rsid w:val="00497F8C"/>
    <w:rsid w:val="00497FBF"/>
    <w:rsid w:val="004A002C"/>
    <w:rsid w:val="004A00A4"/>
    <w:rsid w:val="004A00E0"/>
    <w:rsid w:val="004A010B"/>
    <w:rsid w:val="004A01A8"/>
    <w:rsid w:val="004A021E"/>
    <w:rsid w:val="004A0223"/>
    <w:rsid w:val="004A0251"/>
    <w:rsid w:val="004A0331"/>
    <w:rsid w:val="004A0346"/>
    <w:rsid w:val="004A0351"/>
    <w:rsid w:val="004A0399"/>
    <w:rsid w:val="004A040C"/>
    <w:rsid w:val="004A045B"/>
    <w:rsid w:val="004A04C3"/>
    <w:rsid w:val="004A04C9"/>
    <w:rsid w:val="004A04D5"/>
    <w:rsid w:val="004A04DF"/>
    <w:rsid w:val="004A04E0"/>
    <w:rsid w:val="004A050A"/>
    <w:rsid w:val="004A0512"/>
    <w:rsid w:val="004A053C"/>
    <w:rsid w:val="004A0564"/>
    <w:rsid w:val="004A05CA"/>
    <w:rsid w:val="004A06D4"/>
    <w:rsid w:val="004A06DA"/>
    <w:rsid w:val="004A0701"/>
    <w:rsid w:val="004A070F"/>
    <w:rsid w:val="004A0713"/>
    <w:rsid w:val="004A072C"/>
    <w:rsid w:val="004A0743"/>
    <w:rsid w:val="004A0761"/>
    <w:rsid w:val="004A076C"/>
    <w:rsid w:val="004A07DF"/>
    <w:rsid w:val="004A07F3"/>
    <w:rsid w:val="004A0807"/>
    <w:rsid w:val="004A087F"/>
    <w:rsid w:val="004A091E"/>
    <w:rsid w:val="004A092C"/>
    <w:rsid w:val="004A0960"/>
    <w:rsid w:val="004A0995"/>
    <w:rsid w:val="004A09ED"/>
    <w:rsid w:val="004A0A9E"/>
    <w:rsid w:val="004A0ADF"/>
    <w:rsid w:val="004A0BDE"/>
    <w:rsid w:val="004A0C58"/>
    <w:rsid w:val="004A0C93"/>
    <w:rsid w:val="004A0CFE"/>
    <w:rsid w:val="004A0D38"/>
    <w:rsid w:val="004A0D42"/>
    <w:rsid w:val="004A0D90"/>
    <w:rsid w:val="004A0DF4"/>
    <w:rsid w:val="004A0E08"/>
    <w:rsid w:val="004A0E63"/>
    <w:rsid w:val="004A0E8C"/>
    <w:rsid w:val="004A0F41"/>
    <w:rsid w:val="004A0FDB"/>
    <w:rsid w:val="004A1022"/>
    <w:rsid w:val="004A1077"/>
    <w:rsid w:val="004A10AD"/>
    <w:rsid w:val="004A1232"/>
    <w:rsid w:val="004A12CE"/>
    <w:rsid w:val="004A12F1"/>
    <w:rsid w:val="004A133A"/>
    <w:rsid w:val="004A1347"/>
    <w:rsid w:val="004A13C2"/>
    <w:rsid w:val="004A1427"/>
    <w:rsid w:val="004A1508"/>
    <w:rsid w:val="004A15CB"/>
    <w:rsid w:val="004A15CC"/>
    <w:rsid w:val="004A1608"/>
    <w:rsid w:val="004A1644"/>
    <w:rsid w:val="004A16A2"/>
    <w:rsid w:val="004A17DD"/>
    <w:rsid w:val="004A18FF"/>
    <w:rsid w:val="004A1907"/>
    <w:rsid w:val="004A1951"/>
    <w:rsid w:val="004A19D6"/>
    <w:rsid w:val="004A1A6E"/>
    <w:rsid w:val="004A1B19"/>
    <w:rsid w:val="004A1B6D"/>
    <w:rsid w:val="004A1B8F"/>
    <w:rsid w:val="004A1B99"/>
    <w:rsid w:val="004A1BD7"/>
    <w:rsid w:val="004A1C3C"/>
    <w:rsid w:val="004A1C79"/>
    <w:rsid w:val="004A1CB6"/>
    <w:rsid w:val="004A1CC7"/>
    <w:rsid w:val="004A1D31"/>
    <w:rsid w:val="004A1D6E"/>
    <w:rsid w:val="004A1D94"/>
    <w:rsid w:val="004A1DA8"/>
    <w:rsid w:val="004A1DAE"/>
    <w:rsid w:val="004A1E94"/>
    <w:rsid w:val="004A1F38"/>
    <w:rsid w:val="004A1F85"/>
    <w:rsid w:val="004A214D"/>
    <w:rsid w:val="004A2158"/>
    <w:rsid w:val="004A21BB"/>
    <w:rsid w:val="004A21BF"/>
    <w:rsid w:val="004A2204"/>
    <w:rsid w:val="004A221D"/>
    <w:rsid w:val="004A236F"/>
    <w:rsid w:val="004A2373"/>
    <w:rsid w:val="004A2385"/>
    <w:rsid w:val="004A2393"/>
    <w:rsid w:val="004A243E"/>
    <w:rsid w:val="004A246D"/>
    <w:rsid w:val="004A24B5"/>
    <w:rsid w:val="004A2530"/>
    <w:rsid w:val="004A2535"/>
    <w:rsid w:val="004A2594"/>
    <w:rsid w:val="004A2599"/>
    <w:rsid w:val="004A25EA"/>
    <w:rsid w:val="004A25ED"/>
    <w:rsid w:val="004A2799"/>
    <w:rsid w:val="004A27DC"/>
    <w:rsid w:val="004A27E1"/>
    <w:rsid w:val="004A27FB"/>
    <w:rsid w:val="004A2845"/>
    <w:rsid w:val="004A2847"/>
    <w:rsid w:val="004A2866"/>
    <w:rsid w:val="004A2986"/>
    <w:rsid w:val="004A29E8"/>
    <w:rsid w:val="004A2A32"/>
    <w:rsid w:val="004A2A34"/>
    <w:rsid w:val="004A2A75"/>
    <w:rsid w:val="004A2A8C"/>
    <w:rsid w:val="004A2ADC"/>
    <w:rsid w:val="004A2B78"/>
    <w:rsid w:val="004A2BCF"/>
    <w:rsid w:val="004A2BDE"/>
    <w:rsid w:val="004A2C0A"/>
    <w:rsid w:val="004A2C72"/>
    <w:rsid w:val="004A2CC0"/>
    <w:rsid w:val="004A2CD7"/>
    <w:rsid w:val="004A2DAC"/>
    <w:rsid w:val="004A2DF7"/>
    <w:rsid w:val="004A2E6C"/>
    <w:rsid w:val="004A2EA1"/>
    <w:rsid w:val="004A2EBF"/>
    <w:rsid w:val="004A2F40"/>
    <w:rsid w:val="004A2FF4"/>
    <w:rsid w:val="004A3011"/>
    <w:rsid w:val="004A30F0"/>
    <w:rsid w:val="004A3124"/>
    <w:rsid w:val="004A3129"/>
    <w:rsid w:val="004A312D"/>
    <w:rsid w:val="004A31A4"/>
    <w:rsid w:val="004A326A"/>
    <w:rsid w:val="004A329C"/>
    <w:rsid w:val="004A32D2"/>
    <w:rsid w:val="004A3342"/>
    <w:rsid w:val="004A334F"/>
    <w:rsid w:val="004A33BB"/>
    <w:rsid w:val="004A33BF"/>
    <w:rsid w:val="004A33CE"/>
    <w:rsid w:val="004A33E3"/>
    <w:rsid w:val="004A349E"/>
    <w:rsid w:val="004A34E2"/>
    <w:rsid w:val="004A34E9"/>
    <w:rsid w:val="004A3512"/>
    <w:rsid w:val="004A3513"/>
    <w:rsid w:val="004A3569"/>
    <w:rsid w:val="004A357D"/>
    <w:rsid w:val="004A366C"/>
    <w:rsid w:val="004A3697"/>
    <w:rsid w:val="004A36B5"/>
    <w:rsid w:val="004A3724"/>
    <w:rsid w:val="004A3741"/>
    <w:rsid w:val="004A375E"/>
    <w:rsid w:val="004A377A"/>
    <w:rsid w:val="004A379C"/>
    <w:rsid w:val="004A384C"/>
    <w:rsid w:val="004A3891"/>
    <w:rsid w:val="004A389C"/>
    <w:rsid w:val="004A3928"/>
    <w:rsid w:val="004A3952"/>
    <w:rsid w:val="004A39FB"/>
    <w:rsid w:val="004A3A80"/>
    <w:rsid w:val="004A3AFD"/>
    <w:rsid w:val="004A3B4B"/>
    <w:rsid w:val="004A3B7B"/>
    <w:rsid w:val="004A3B92"/>
    <w:rsid w:val="004A3BF7"/>
    <w:rsid w:val="004A3C29"/>
    <w:rsid w:val="004A3C31"/>
    <w:rsid w:val="004A3CD9"/>
    <w:rsid w:val="004A3D82"/>
    <w:rsid w:val="004A3DDF"/>
    <w:rsid w:val="004A3DE8"/>
    <w:rsid w:val="004A3E4F"/>
    <w:rsid w:val="004A3FF8"/>
    <w:rsid w:val="004A4004"/>
    <w:rsid w:val="004A404D"/>
    <w:rsid w:val="004A4053"/>
    <w:rsid w:val="004A4093"/>
    <w:rsid w:val="004A40BE"/>
    <w:rsid w:val="004A412A"/>
    <w:rsid w:val="004A4195"/>
    <w:rsid w:val="004A41CE"/>
    <w:rsid w:val="004A41E6"/>
    <w:rsid w:val="004A4253"/>
    <w:rsid w:val="004A4281"/>
    <w:rsid w:val="004A428C"/>
    <w:rsid w:val="004A42C2"/>
    <w:rsid w:val="004A42F4"/>
    <w:rsid w:val="004A4349"/>
    <w:rsid w:val="004A435E"/>
    <w:rsid w:val="004A43F4"/>
    <w:rsid w:val="004A4413"/>
    <w:rsid w:val="004A4420"/>
    <w:rsid w:val="004A447F"/>
    <w:rsid w:val="004A44B4"/>
    <w:rsid w:val="004A450F"/>
    <w:rsid w:val="004A4556"/>
    <w:rsid w:val="004A4568"/>
    <w:rsid w:val="004A456B"/>
    <w:rsid w:val="004A457D"/>
    <w:rsid w:val="004A4585"/>
    <w:rsid w:val="004A462C"/>
    <w:rsid w:val="004A4669"/>
    <w:rsid w:val="004A469E"/>
    <w:rsid w:val="004A46A5"/>
    <w:rsid w:val="004A47A1"/>
    <w:rsid w:val="004A47A5"/>
    <w:rsid w:val="004A47FD"/>
    <w:rsid w:val="004A483B"/>
    <w:rsid w:val="004A484D"/>
    <w:rsid w:val="004A48B4"/>
    <w:rsid w:val="004A48D3"/>
    <w:rsid w:val="004A48DF"/>
    <w:rsid w:val="004A4950"/>
    <w:rsid w:val="004A498D"/>
    <w:rsid w:val="004A49BF"/>
    <w:rsid w:val="004A49EF"/>
    <w:rsid w:val="004A4A2F"/>
    <w:rsid w:val="004A4A32"/>
    <w:rsid w:val="004A4A43"/>
    <w:rsid w:val="004A4A4C"/>
    <w:rsid w:val="004A4A57"/>
    <w:rsid w:val="004A4A6B"/>
    <w:rsid w:val="004A4A73"/>
    <w:rsid w:val="004A4B7D"/>
    <w:rsid w:val="004A4B81"/>
    <w:rsid w:val="004A4BC6"/>
    <w:rsid w:val="004A4BC8"/>
    <w:rsid w:val="004A4BDC"/>
    <w:rsid w:val="004A4C17"/>
    <w:rsid w:val="004A4C36"/>
    <w:rsid w:val="004A4C58"/>
    <w:rsid w:val="004A4C7B"/>
    <w:rsid w:val="004A4C7F"/>
    <w:rsid w:val="004A4CDC"/>
    <w:rsid w:val="004A4CEE"/>
    <w:rsid w:val="004A4DE9"/>
    <w:rsid w:val="004A4DEA"/>
    <w:rsid w:val="004A4E6B"/>
    <w:rsid w:val="004A4ECB"/>
    <w:rsid w:val="004A4EF4"/>
    <w:rsid w:val="004A4EF6"/>
    <w:rsid w:val="004A4F32"/>
    <w:rsid w:val="004A4F66"/>
    <w:rsid w:val="004A4F67"/>
    <w:rsid w:val="004A4F7F"/>
    <w:rsid w:val="004A4FA9"/>
    <w:rsid w:val="004A4FD6"/>
    <w:rsid w:val="004A5040"/>
    <w:rsid w:val="004A5048"/>
    <w:rsid w:val="004A5066"/>
    <w:rsid w:val="004A507A"/>
    <w:rsid w:val="004A50C6"/>
    <w:rsid w:val="004A50CD"/>
    <w:rsid w:val="004A50D7"/>
    <w:rsid w:val="004A50F7"/>
    <w:rsid w:val="004A5147"/>
    <w:rsid w:val="004A519F"/>
    <w:rsid w:val="004A51D9"/>
    <w:rsid w:val="004A525C"/>
    <w:rsid w:val="004A528D"/>
    <w:rsid w:val="004A52D1"/>
    <w:rsid w:val="004A52E7"/>
    <w:rsid w:val="004A5314"/>
    <w:rsid w:val="004A5315"/>
    <w:rsid w:val="004A5465"/>
    <w:rsid w:val="004A54C9"/>
    <w:rsid w:val="004A55B1"/>
    <w:rsid w:val="004A55B5"/>
    <w:rsid w:val="004A55BC"/>
    <w:rsid w:val="004A55ED"/>
    <w:rsid w:val="004A55F5"/>
    <w:rsid w:val="004A5620"/>
    <w:rsid w:val="004A5647"/>
    <w:rsid w:val="004A5680"/>
    <w:rsid w:val="004A568A"/>
    <w:rsid w:val="004A56C7"/>
    <w:rsid w:val="004A56EC"/>
    <w:rsid w:val="004A570F"/>
    <w:rsid w:val="004A57C2"/>
    <w:rsid w:val="004A57CE"/>
    <w:rsid w:val="004A57D3"/>
    <w:rsid w:val="004A57E3"/>
    <w:rsid w:val="004A5831"/>
    <w:rsid w:val="004A58B8"/>
    <w:rsid w:val="004A58C1"/>
    <w:rsid w:val="004A58D9"/>
    <w:rsid w:val="004A58DC"/>
    <w:rsid w:val="004A590B"/>
    <w:rsid w:val="004A5916"/>
    <w:rsid w:val="004A59BD"/>
    <w:rsid w:val="004A59CC"/>
    <w:rsid w:val="004A5A18"/>
    <w:rsid w:val="004A5A6F"/>
    <w:rsid w:val="004A5AB0"/>
    <w:rsid w:val="004A5B02"/>
    <w:rsid w:val="004A5B23"/>
    <w:rsid w:val="004A5B9A"/>
    <w:rsid w:val="004A5BC2"/>
    <w:rsid w:val="004A5BE3"/>
    <w:rsid w:val="004A5BF1"/>
    <w:rsid w:val="004A5BF6"/>
    <w:rsid w:val="004A5C03"/>
    <w:rsid w:val="004A5C53"/>
    <w:rsid w:val="004A5C5D"/>
    <w:rsid w:val="004A5D23"/>
    <w:rsid w:val="004A5D4F"/>
    <w:rsid w:val="004A5DA4"/>
    <w:rsid w:val="004A5E3C"/>
    <w:rsid w:val="004A5E56"/>
    <w:rsid w:val="004A5E6A"/>
    <w:rsid w:val="004A5F02"/>
    <w:rsid w:val="004A5F31"/>
    <w:rsid w:val="004A5F5B"/>
    <w:rsid w:val="004A5F8A"/>
    <w:rsid w:val="004A5FD0"/>
    <w:rsid w:val="004A5FD4"/>
    <w:rsid w:val="004A5FD7"/>
    <w:rsid w:val="004A605A"/>
    <w:rsid w:val="004A6093"/>
    <w:rsid w:val="004A60A9"/>
    <w:rsid w:val="004A60B7"/>
    <w:rsid w:val="004A60CF"/>
    <w:rsid w:val="004A6137"/>
    <w:rsid w:val="004A614D"/>
    <w:rsid w:val="004A61BA"/>
    <w:rsid w:val="004A61BC"/>
    <w:rsid w:val="004A623B"/>
    <w:rsid w:val="004A626C"/>
    <w:rsid w:val="004A629D"/>
    <w:rsid w:val="004A635C"/>
    <w:rsid w:val="004A641A"/>
    <w:rsid w:val="004A644B"/>
    <w:rsid w:val="004A6453"/>
    <w:rsid w:val="004A645E"/>
    <w:rsid w:val="004A6465"/>
    <w:rsid w:val="004A6479"/>
    <w:rsid w:val="004A6499"/>
    <w:rsid w:val="004A64CE"/>
    <w:rsid w:val="004A650D"/>
    <w:rsid w:val="004A6567"/>
    <w:rsid w:val="004A6734"/>
    <w:rsid w:val="004A677C"/>
    <w:rsid w:val="004A677E"/>
    <w:rsid w:val="004A67E1"/>
    <w:rsid w:val="004A682C"/>
    <w:rsid w:val="004A687B"/>
    <w:rsid w:val="004A68CE"/>
    <w:rsid w:val="004A68D8"/>
    <w:rsid w:val="004A68FD"/>
    <w:rsid w:val="004A6944"/>
    <w:rsid w:val="004A695C"/>
    <w:rsid w:val="004A69F1"/>
    <w:rsid w:val="004A6A30"/>
    <w:rsid w:val="004A6A48"/>
    <w:rsid w:val="004A6AB7"/>
    <w:rsid w:val="004A6AD1"/>
    <w:rsid w:val="004A6B41"/>
    <w:rsid w:val="004A6B56"/>
    <w:rsid w:val="004A6BA1"/>
    <w:rsid w:val="004A6BBB"/>
    <w:rsid w:val="004A6BD0"/>
    <w:rsid w:val="004A6C9A"/>
    <w:rsid w:val="004A6CCB"/>
    <w:rsid w:val="004A6CDF"/>
    <w:rsid w:val="004A6CEF"/>
    <w:rsid w:val="004A6CFA"/>
    <w:rsid w:val="004A6D11"/>
    <w:rsid w:val="004A6D30"/>
    <w:rsid w:val="004A6D3E"/>
    <w:rsid w:val="004A6D4E"/>
    <w:rsid w:val="004A6DD7"/>
    <w:rsid w:val="004A6DF4"/>
    <w:rsid w:val="004A6E4E"/>
    <w:rsid w:val="004A6F13"/>
    <w:rsid w:val="004A6F14"/>
    <w:rsid w:val="004A6FA8"/>
    <w:rsid w:val="004A6FE9"/>
    <w:rsid w:val="004A6FFF"/>
    <w:rsid w:val="004A700A"/>
    <w:rsid w:val="004A7067"/>
    <w:rsid w:val="004A70C2"/>
    <w:rsid w:val="004A70D8"/>
    <w:rsid w:val="004A7197"/>
    <w:rsid w:val="004A71E7"/>
    <w:rsid w:val="004A71FA"/>
    <w:rsid w:val="004A723A"/>
    <w:rsid w:val="004A7267"/>
    <w:rsid w:val="004A726E"/>
    <w:rsid w:val="004A7274"/>
    <w:rsid w:val="004A728E"/>
    <w:rsid w:val="004A7331"/>
    <w:rsid w:val="004A737F"/>
    <w:rsid w:val="004A73A8"/>
    <w:rsid w:val="004A73AA"/>
    <w:rsid w:val="004A73DA"/>
    <w:rsid w:val="004A7414"/>
    <w:rsid w:val="004A742F"/>
    <w:rsid w:val="004A744C"/>
    <w:rsid w:val="004A74B6"/>
    <w:rsid w:val="004A74D0"/>
    <w:rsid w:val="004A756C"/>
    <w:rsid w:val="004A75CB"/>
    <w:rsid w:val="004A7612"/>
    <w:rsid w:val="004A765B"/>
    <w:rsid w:val="004A7681"/>
    <w:rsid w:val="004A7692"/>
    <w:rsid w:val="004A7743"/>
    <w:rsid w:val="004A77B0"/>
    <w:rsid w:val="004A77B2"/>
    <w:rsid w:val="004A77DD"/>
    <w:rsid w:val="004A78A5"/>
    <w:rsid w:val="004A78AD"/>
    <w:rsid w:val="004A78D0"/>
    <w:rsid w:val="004A7960"/>
    <w:rsid w:val="004A79D5"/>
    <w:rsid w:val="004A7A4E"/>
    <w:rsid w:val="004A7B34"/>
    <w:rsid w:val="004A7BFF"/>
    <w:rsid w:val="004A7C30"/>
    <w:rsid w:val="004A7C55"/>
    <w:rsid w:val="004A7C80"/>
    <w:rsid w:val="004A7CAC"/>
    <w:rsid w:val="004A7CC7"/>
    <w:rsid w:val="004A7CF4"/>
    <w:rsid w:val="004A7D39"/>
    <w:rsid w:val="004A7D7F"/>
    <w:rsid w:val="004A7DC2"/>
    <w:rsid w:val="004A7E14"/>
    <w:rsid w:val="004A7E41"/>
    <w:rsid w:val="004A7F25"/>
    <w:rsid w:val="004A7F48"/>
    <w:rsid w:val="004A7F54"/>
    <w:rsid w:val="004A7F6B"/>
    <w:rsid w:val="004A7FB8"/>
    <w:rsid w:val="004A7FCA"/>
    <w:rsid w:val="004B0071"/>
    <w:rsid w:val="004B0083"/>
    <w:rsid w:val="004B009E"/>
    <w:rsid w:val="004B00E1"/>
    <w:rsid w:val="004B00EE"/>
    <w:rsid w:val="004B01B5"/>
    <w:rsid w:val="004B02BA"/>
    <w:rsid w:val="004B02C2"/>
    <w:rsid w:val="004B02C9"/>
    <w:rsid w:val="004B02D1"/>
    <w:rsid w:val="004B0341"/>
    <w:rsid w:val="004B036D"/>
    <w:rsid w:val="004B03DF"/>
    <w:rsid w:val="004B040B"/>
    <w:rsid w:val="004B0454"/>
    <w:rsid w:val="004B045D"/>
    <w:rsid w:val="004B0492"/>
    <w:rsid w:val="004B0499"/>
    <w:rsid w:val="004B04AF"/>
    <w:rsid w:val="004B0627"/>
    <w:rsid w:val="004B0657"/>
    <w:rsid w:val="004B0666"/>
    <w:rsid w:val="004B0720"/>
    <w:rsid w:val="004B077F"/>
    <w:rsid w:val="004B0791"/>
    <w:rsid w:val="004B07D7"/>
    <w:rsid w:val="004B07FD"/>
    <w:rsid w:val="004B0816"/>
    <w:rsid w:val="004B0831"/>
    <w:rsid w:val="004B084D"/>
    <w:rsid w:val="004B0858"/>
    <w:rsid w:val="004B089A"/>
    <w:rsid w:val="004B08A7"/>
    <w:rsid w:val="004B08FC"/>
    <w:rsid w:val="004B0999"/>
    <w:rsid w:val="004B0A5D"/>
    <w:rsid w:val="004B0A77"/>
    <w:rsid w:val="004B0A9C"/>
    <w:rsid w:val="004B0AB7"/>
    <w:rsid w:val="004B0ADC"/>
    <w:rsid w:val="004B0BA3"/>
    <w:rsid w:val="004B0BEB"/>
    <w:rsid w:val="004B0C2A"/>
    <w:rsid w:val="004B0C3E"/>
    <w:rsid w:val="004B0C4F"/>
    <w:rsid w:val="004B0C9F"/>
    <w:rsid w:val="004B0CD1"/>
    <w:rsid w:val="004B0D1B"/>
    <w:rsid w:val="004B0D1D"/>
    <w:rsid w:val="004B0D87"/>
    <w:rsid w:val="004B0DCE"/>
    <w:rsid w:val="004B0E51"/>
    <w:rsid w:val="004B0FA0"/>
    <w:rsid w:val="004B0FBF"/>
    <w:rsid w:val="004B0FF9"/>
    <w:rsid w:val="004B1034"/>
    <w:rsid w:val="004B106B"/>
    <w:rsid w:val="004B10DE"/>
    <w:rsid w:val="004B10F0"/>
    <w:rsid w:val="004B1186"/>
    <w:rsid w:val="004B11B2"/>
    <w:rsid w:val="004B121F"/>
    <w:rsid w:val="004B1243"/>
    <w:rsid w:val="004B1261"/>
    <w:rsid w:val="004B1281"/>
    <w:rsid w:val="004B1368"/>
    <w:rsid w:val="004B1377"/>
    <w:rsid w:val="004B1394"/>
    <w:rsid w:val="004B13E6"/>
    <w:rsid w:val="004B13E7"/>
    <w:rsid w:val="004B140A"/>
    <w:rsid w:val="004B148E"/>
    <w:rsid w:val="004B1582"/>
    <w:rsid w:val="004B159A"/>
    <w:rsid w:val="004B15CD"/>
    <w:rsid w:val="004B1643"/>
    <w:rsid w:val="004B1648"/>
    <w:rsid w:val="004B1715"/>
    <w:rsid w:val="004B1768"/>
    <w:rsid w:val="004B176C"/>
    <w:rsid w:val="004B17B8"/>
    <w:rsid w:val="004B17C2"/>
    <w:rsid w:val="004B17D1"/>
    <w:rsid w:val="004B1869"/>
    <w:rsid w:val="004B1872"/>
    <w:rsid w:val="004B188A"/>
    <w:rsid w:val="004B1913"/>
    <w:rsid w:val="004B1982"/>
    <w:rsid w:val="004B199A"/>
    <w:rsid w:val="004B19DC"/>
    <w:rsid w:val="004B1AC5"/>
    <w:rsid w:val="004B1ADD"/>
    <w:rsid w:val="004B1C03"/>
    <w:rsid w:val="004B1C05"/>
    <w:rsid w:val="004B1C07"/>
    <w:rsid w:val="004B1C7A"/>
    <w:rsid w:val="004B1C82"/>
    <w:rsid w:val="004B1D39"/>
    <w:rsid w:val="004B1D47"/>
    <w:rsid w:val="004B1D4A"/>
    <w:rsid w:val="004B1E0C"/>
    <w:rsid w:val="004B1E83"/>
    <w:rsid w:val="004B1EBD"/>
    <w:rsid w:val="004B1EF4"/>
    <w:rsid w:val="004B1EF9"/>
    <w:rsid w:val="004B1EFB"/>
    <w:rsid w:val="004B1F40"/>
    <w:rsid w:val="004B1F53"/>
    <w:rsid w:val="004B1F6C"/>
    <w:rsid w:val="004B1F79"/>
    <w:rsid w:val="004B1F9D"/>
    <w:rsid w:val="004B1FD9"/>
    <w:rsid w:val="004B1FEE"/>
    <w:rsid w:val="004B1FF1"/>
    <w:rsid w:val="004B2027"/>
    <w:rsid w:val="004B2038"/>
    <w:rsid w:val="004B209A"/>
    <w:rsid w:val="004B20CA"/>
    <w:rsid w:val="004B2136"/>
    <w:rsid w:val="004B2218"/>
    <w:rsid w:val="004B2236"/>
    <w:rsid w:val="004B2299"/>
    <w:rsid w:val="004B2348"/>
    <w:rsid w:val="004B23A3"/>
    <w:rsid w:val="004B23E2"/>
    <w:rsid w:val="004B2448"/>
    <w:rsid w:val="004B248A"/>
    <w:rsid w:val="004B249F"/>
    <w:rsid w:val="004B2556"/>
    <w:rsid w:val="004B25C2"/>
    <w:rsid w:val="004B25C5"/>
    <w:rsid w:val="004B25F0"/>
    <w:rsid w:val="004B25F3"/>
    <w:rsid w:val="004B263B"/>
    <w:rsid w:val="004B264F"/>
    <w:rsid w:val="004B2662"/>
    <w:rsid w:val="004B2710"/>
    <w:rsid w:val="004B272D"/>
    <w:rsid w:val="004B277A"/>
    <w:rsid w:val="004B2794"/>
    <w:rsid w:val="004B27AA"/>
    <w:rsid w:val="004B27AC"/>
    <w:rsid w:val="004B2823"/>
    <w:rsid w:val="004B2848"/>
    <w:rsid w:val="004B2872"/>
    <w:rsid w:val="004B2877"/>
    <w:rsid w:val="004B28F1"/>
    <w:rsid w:val="004B28F7"/>
    <w:rsid w:val="004B297E"/>
    <w:rsid w:val="004B29E1"/>
    <w:rsid w:val="004B2A3F"/>
    <w:rsid w:val="004B2A63"/>
    <w:rsid w:val="004B2AA4"/>
    <w:rsid w:val="004B2AE2"/>
    <w:rsid w:val="004B2B64"/>
    <w:rsid w:val="004B2B85"/>
    <w:rsid w:val="004B2C7F"/>
    <w:rsid w:val="004B2C8E"/>
    <w:rsid w:val="004B2DF5"/>
    <w:rsid w:val="004B2E5C"/>
    <w:rsid w:val="004B2E63"/>
    <w:rsid w:val="004B2E84"/>
    <w:rsid w:val="004B2EA9"/>
    <w:rsid w:val="004B2EC7"/>
    <w:rsid w:val="004B2ED6"/>
    <w:rsid w:val="004B2F2B"/>
    <w:rsid w:val="004B2F7F"/>
    <w:rsid w:val="004B2FA2"/>
    <w:rsid w:val="004B2FA3"/>
    <w:rsid w:val="004B2FA4"/>
    <w:rsid w:val="004B307E"/>
    <w:rsid w:val="004B30B2"/>
    <w:rsid w:val="004B30DB"/>
    <w:rsid w:val="004B30EB"/>
    <w:rsid w:val="004B30F6"/>
    <w:rsid w:val="004B312A"/>
    <w:rsid w:val="004B3130"/>
    <w:rsid w:val="004B3147"/>
    <w:rsid w:val="004B31AE"/>
    <w:rsid w:val="004B31B3"/>
    <w:rsid w:val="004B31C5"/>
    <w:rsid w:val="004B31C7"/>
    <w:rsid w:val="004B327D"/>
    <w:rsid w:val="004B32C4"/>
    <w:rsid w:val="004B32FC"/>
    <w:rsid w:val="004B340B"/>
    <w:rsid w:val="004B341C"/>
    <w:rsid w:val="004B3497"/>
    <w:rsid w:val="004B3562"/>
    <w:rsid w:val="004B35B0"/>
    <w:rsid w:val="004B35C5"/>
    <w:rsid w:val="004B35CC"/>
    <w:rsid w:val="004B3606"/>
    <w:rsid w:val="004B3607"/>
    <w:rsid w:val="004B363D"/>
    <w:rsid w:val="004B3673"/>
    <w:rsid w:val="004B36E1"/>
    <w:rsid w:val="004B377C"/>
    <w:rsid w:val="004B3796"/>
    <w:rsid w:val="004B379C"/>
    <w:rsid w:val="004B37B9"/>
    <w:rsid w:val="004B37F6"/>
    <w:rsid w:val="004B37FE"/>
    <w:rsid w:val="004B3831"/>
    <w:rsid w:val="004B38D9"/>
    <w:rsid w:val="004B38DD"/>
    <w:rsid w:val="004B3924"/>
    <w:rsid w:val="004B39C6"/>
    <w:rsid w:val="004B3A07"/>
    <w:rsid w:val="004B3A64"/>
    <w:rsid w:val="004B3AE3"/>
    <w:rsid w:val="004B3B4F"/>
    <w:rsid w:val="004B3B5C"/>
    <w:rsid w:val="004B3B80"/>
    <w:rsid w:val="004B3BCD"/>
    <w:rsid w:val="004B3C8B"/>
    <w:rsid w:val="004B3D11"/>
    <w:rsid w:val="004B3D1B"/>
    <w:rsid w:val="004B3DAF"/>
    <w:rsid w:val="004B3DB1"/>
    <w:rsid w:val="004B3DD4"/>
    <w:rsid w:val="004B3DF7"/>
    <w:rsid w:val="004B3E0D"/>
    <w:rsid w:val="004B3F1A"/>
    <w:rsid w:val="004B3F5A"/>
    <w:rsid w:val="004B3F5E"/>
    <w:rsid w:val="004B3F84"/>
    <w:rsid w:val="004B3FB0"/>
    <w:rsid w:val="004B3FB5"/>
    <w:rsid w:val="004B3FE6"/>
    <w:rsid w:val="004B3FF7"/>
    <w:rsid w:val="004B4048"/>
    <w:rsid w:val="004B405D"/>
    <w:rsid w:val="004B40BB"/>
    <w:rsid w:val="004B40D6"/>
    <w:rsid w:val="004B419F"/>
    <w:rsid w:val="004B41A3"/>
    <w:rsid w:val="004B41A5"/>
    <w:rsid w:val="004B4222"/>
    <w:rsid w:val="004B4268"/>
    <w:rsid w:val="004B42A7"/>
    <w:rsid w:val="004B42AA"/>
    <w:rsid w:val="004B42BA"/>
    <w:rsid w:val="004B42E7"/>
    <w:rsid w:val="004B42E8"/>
    <w:rsid w:val="004B42FA"/>
    <w:rsid w:val="004B43F4"/>
    <w:rsid w:val="004B4428"/>
    <w:rsid w:val="004B4468"/>
    <w:rsid w:val="004B44BA"/>
    <w:rsid w:val="004B452A"/>
    <w:rsid w:val="004B452C"/>
    <w:rsid w:val="004B456E"/>
    <w:rsid w:val="004B459C"/>
    <w:rsid w:val="004B45B5"/>
    <w:rsid w:val="004B4628"/>
    <w:rsid w:val="004B463F"/>
    <w:rsid w:val="004B4651"/>
    <w:rsid w:val="004B46CE"/>
    <w:rsid w:val="004B46DC"/>
    <w:rsid w:val="004B46DD"/>
    <w:rsid w:val="004B46FF"/>
    <w:rsid w:val="004B4721"/>
    <w:rsid w:val="004B473D"/>
    <w:rsid w:val="004B47CB"/>
    <w:rsid w:val="004B47D8"/>
    <w:rsid w:val="004B4821"/>
    <w:rsid w:val="004B4865"/>
    <w:rsid w:val="004B488C"/>
    <w:rsid w:val="004B48EB"/>
    <w:rsid w:val="004B4928"/>
    <w:rsid w:val="004B4957"/>
    <w:rsid w:val="004B498D"/>
    <w:rsid w:val="004B49C6"/>
    <w:rsid w:val="004B49D3"/>
    <w:rsid w:val="004B4A96"/>
    <w:rsid w:val="004B4AB0"/>
    <w:rsid w:val="004B4AE3"/>
    <w:rsid w:val="004B4B0A"/>
    <w:rsid w:val="004B4B14"/>
    <w:rsid w:val="004B4B44"/>
    <w:rsid w:val="004B4B6B"/>
    <w:rsid w:val="004B4BCF"/>
    <w:rsid w:val="004B4C48"/>
    <w:rsid w:val="004B4C7D"/>
    <w:rsid w:val="004B4C7F"/>
    <w:rsid w:val="004B4CDB"/>
    <w:rsid w:val="004B4D13"/>
    <w:rsid w:val="004B4D28"/>
    <w:rsid w:val="004B4D5D"/>
    <w:rsid w:val="004B4DBB"/>
    <w:rsid w:val="004B4DE9"/>
    <w:rsid w:val="004B4DEE"/>
    <w:rsid w:val="004B4DFB"/>
    <w:rsid w:val="004B4E2F"/>
    <w:rsid w:val="004B4E81"/>
    <w:rsid w:val="004B4EBF"/>
    <w:rsid w:val="004B4F5C"/>
    <w:rsid w:val="004B50CA"/>
    <w:rsid w:val="004B50CC"/>
    <w:rsid w:val="004B5128"/>
    <w:rsid w:val="004B5138"/>
    <w:rsid w:val="004B5168"/>
    <w:rsid w:val="004B5180"/>
    <w:rsid w:val="004B518D"/>
    <w:rsid w:val="004B519C"/>
    <w:rsid w:val="004B51B4"/>
    <w:rsid w:val="004B51E5"/>
    <w:rsid w:val="004B5210"/>
    <w:rsid w:val="004B52FD"/>
    <w:rsid w:val="004B5373"/>
    <w:rsid w:val="004B53BE"/>
    <w:rsid w:val="004B53F5"/>
    <w:rsid w:val="004B541A"/>
    <w:rsid w:val="004B5494"/>
    <w:rsid w:val="004B54B3"/>
    <w:rsid w:val="004B5504"/>
    <w:rsid w:val="004B5549"/>
    <w:rsid w:val="004B5588"/>
    <w:rsid w:val="004B5590"/>
    <w:rsid w:val="004B55A3"/>
    <w:rsid w:val="004B55D9"/>
    <w:rsid w:val="004B55F0"/>
    <w:rsid w:val="004B561F"/>
    <w:rsid w:val="004B5638"/>
    <w:rsid w:val="004B563D"/>
    <w:rsid w:val="004B5651"/>
    <w:rsid w:val="004B566F"/>
    <w:rsid w:val="004B56D7"/>
    <w:rsid w:val="004B574B"/>
    <w:rsid w:val="004B576E"/>
    <w:rsid w:val="004B57CB"/>
    <w:rsid w:val="004B5833"/>
    <w:rsid w:val="004B58E4"/>
    <w:rsid w:val="004B594D"/>
    <w:rsid w:val="004B59CF"/>
    <w:rsid w:val="004B5A42"/>
    <w:rsid w:val="004B5B23"/>
    <w:rsid w:val="004B5B2B"/>
    <w:rsid w:val="004B5B7C"/>
    <w:rsid w:val="004B5BC2"/>
    <w:rsid w:val="004B5BC5"/>
    <w:rsid w:val="004B5C43"/>
    <w:rsid w:val="004B5C9B"/>
    <w:rsid w:val="004B5CB9"/>
    <w:rsid w:val="004B5D16"/>
    <w:rsid w:val="004B5D4B"/>
    <w:rsid w:val="004B5D4F"/>
    <w:rsid w:val="004B5D5F"/>
    <w:rsid w:val="004B5D66"/>
    <w:rsid w:val="004B5D80"/>
    <w:rsid w:val="004B5DE2"/>
    <w:rsid w:val="004B5DED"/>
    <w:rsid w:val="004B5E09"/>
    <w:rsid w:val="004B5E6B"/>
    <w:rsid w:val="004B5E93"/>
    <w:rsid w:val="004B5ED2"/>
    <w:rsid w:val="004B5F14"/>
    <w:rsid w:val="004B5F6B"/>
    <w:rsid w:val="004B5F7D"/>
    <w:rsid w:val="004B5F8D"/>
    <w:rsid w:val="004B5FEB"/>
    <w:rsid w:val="004B6009"/>
    <w:rsid w:val="004B6042"/>
    <w:rsid w:val="004B605D"/>
    <w:rsid w:val="004B6062"/>
    <w:rsid w:val="004B607E"/>
    <w:rsid w:val="004B6081"/>
    <w:rsid w:val="004B60C6"/>
    <w:rsid w:val="004B60FA"/>
    <w:rsid w:val="004B6115"/>
    <w:rsid w:val="004B619D"/>
    <w:rsid w:val="004B61BD"/>
    <w:rsid w:val="004B6209"/>
    <w:rsid w:val="004B6215"/>
    <w:rsid w:val="004B6238"/>
    <w:rsid w:val="004B62D7"/>
    <w:rsid w:val="004B630B"/>
    <w:rsid w:val="004B638B"/>
    <w:rsid w:val="004B639A"/>
    <w:rsid w:val="004B6468"/>
    <w:rsid w:val="004B6478"/>
    <w:rsid w:val="004B649F"/>
    <w:rsid w:val="004B64D6"/>
    <w:rsid w:val="004B64F9"/>
    <w:rsid w:val="004B6563"/>
    <w:rsid w:val="004B6599"/>
    <w:rsid w:val="004B65A7"/>
    <w:rsid w:val="004B6609"/>
    <w:rsid w:val="004B6629"/>
    <w:rsid w:val="004B6647"/>
    <w:rsid w:val="004B6778"/>
    <w:rsid w:val="004B6787"/>
    <w:rsid w:val="004B678A"/>
    <w:rsid w:val="004B6790"/>
    <w:rsid w:val="004B67F4"/>
    <w:rsid w:val="004B6848"/>
    <w:rsid w:val="004B6890"/>
    <w:rsid w:val="004B68B7"/>
    <w:rsid w:val="004B6968"/>
    <w:rsid w:val="004B6999"/>
    <w:rsid w:val="004B69B0"/>
    <w:rsid w:val="004B69CF"/>
    <w:rsid w:val="004B6A2D"/>
    <w:rsid w:val="004B6B72"/>
    <w:rsid w:val="004B6BB7"/>
    <w:rsid w:val="004B6BD1"/>
    <w:rsid w:val="004B6C22"/>
    <w:rsid w:val="004B6C65"/>
    <w:rsid w:val="004B6C70"/>
    <w:rsid w:val="004B6D64"/>
    <w:rsid w:val="004B6DA6"/>
    <w:rsid w:val="004B6DC3"/>
    <w:rsid w:val="004B6E16"/>
    <w:rsid w:val="004B6E1B"/>
    <w:rsid w:val="004B6E41"/>
    <w:rsid w:val="004B6E5C"/>
    <w:rsid w:val="004B6E94"/>
    <w:rsid w:val="004B6EDD"/>
    <w:rsid w:val="004B6FA8"/>
    <w:rsid w:val="004B6FB1"/>
    <w:rsid w:val="004B6FB5"/>
    <w:rsid w:val="004B6FBA"/>
    <w:rsid w:val="004B6FCD"/>
    <w:rsid w:val="004B6FDF"/>
    <w:rsid w:val="004B7011"/>
    <w:rsid w:val="004B7037"/>
    <w:rsid w:val="004B707A"/>
    <w:rsid w:val="004B707C"/>
    <w:rsid w:val="004B70BB"/>
    <w:rsid w:val="004B70C8"/>
    <w:rsid w:val="004B70DE"/>
    <w:rsid w:val="004B715A"/>
    <w:rsid w:val="004B71D4"/>
    <w:rsid w:val="004B71EA"/>
    <w:rsid w:val="004B7216"/>
    <w:rsid w:val="004B7250"/>
    <w:rsid w:val="004B73A6"/>
    <w:rsid w:val="004B73C2"/>
    <w:rsid w:val="004B73FC"/>
    <w:rsid w:val="004B740D"/>
    <w:rsid w:val="004B7428"/>
    <w:rsid w:val="004B7467"/>
    <w:rsid w:val="004B7478"/>
    <w:rsid w:val="004B7492"/>
    <w:rsid w:val="004B74B9"/>
    <w:rsid w:val="004B7518"/>
    <w:rsid w:val="004B752C"/>
    <w:rsid w:val="004B75A7"/>
    <w:rsid w:val="004B75E6"/>
    <w:rsid w:val="004B75E8"/>
    <w:rsid w:val="004B7607"/>
    <w:rsid w:val="004B7640"/>
    <w:rsid w:val="004B7650"/>
    <w:rsid w:val="004B7681"/>
    <w:rsid w:val="004B76B2"/>
    <w:rsid w:val="004B7751"/>
    <w:rsid w:val="004B7756"/>
    <w:rsid w:val="004B7767"/>
    <w:rsid w:val="004B77EA"/>
    <w:rsid w:val="004B785D"/>
    <w:rsid w:val="004B78D6"/>
    <w:rsid w:val="004B78F7"/>
    <w:rsid w:val="004B791A"/>
    <w:rsid w:val="004B7935"/>
    <w:rsid w:val="004B796D"/>
    <w:rsid w:val="004B79B5"/>
    <w:rsid w:val="004B79BD"/>
    <w:rsid w:val="004B79E6"/>
    <w:rsid w:val="004B7A50"/>
    <w:rsid w:val="004B7AC0"/>
    <w:rsid w:val="004B7AC7"/>
    <w:rsid w:val="004B7ACA"/>
    <w:rsid w:val="004B7B06"/>
    <w:rsid w:val="004B7B2C"/>
    <w:rsid w:val="004B7B5B"/>
    <w:rsid w:val="004B7B7D"/>
    <w:rsid w:val="004B7BDF"/>
    <w:rsid w:val="004B7BF0"/>
    <w:rsid w:val="004B7BFF"/>
    <w:rsid w:val="004B7C41"/>
    <w:rsid w:val="004B7CB5"/>
    <w:rsid w:val="004B7CC6"/>
    <w:rsid w:val="004B7D08"/>
    <w:rsid w:val="004B7D3E"/>
    <w:rsid w:val="004B7D8E"/>
    <w:rsid w:val="004B7DC8"/>
    <w:rsid w:val="004B7DD5"/>
    <w:rsid w:val="004B7DD6"/>
    <w:rsid w:val="004B7EC9"/>
    <w:rsid w:val="004B7F49"/>
    <w:rsid w:val="004B7FF6"/>
    <w:rsid w:val="004C009E"/>
    <w:rsid w:val="004C00A1"/>
    <w:rsid w:val="004C00CC"/>
    <w:rsid w:val="004C014A"/>
    <w:rsid w:val="004C021F"/>
    <w:rsid w:val="004C0285"/>
    <w:rsid w:val="004C02B9"/>
    <w:rsid w:val="004C031E"/>
    <w:rsid w:val="004C03B3"/>
    <w:rsid w:val="004C0413"/>
    <w:rsid w:val="004C04B2"/>
    <w:rsid w:val="004C04B3"/>
    <w:rsid w:val="004C04CE"/>
    <w:rsid w:val="004C0520"/>
    <w:rsid w:val="004C053E"/>
    <w:rsid w:val="004C055E"/>
    <w:rsid w:val="004C0573"/>
    <w:rsid w:val="004C059F"/>
    <w:rsid w:val="004C0639"/>
    <w:rsid w:val="004C06E9"/>
    <w:rsid w:val="004C0734"/>
    <w:rsid w:val="004C07E3"/>
    <w:rsid w:val="004C085A"/>
    <w:rsid w:val="004C08C9"/>
    <w:rsid w:val="004C09C8"/>
    <w:rsid w:val="004C0A10"/>
    <w:rsid w:val="004C0A6F"/>
    <w:rsid w:val="004C0B25"/>
    <w:rsid w:val="004C0B40"/>
    <w:rsid w:val="004C0B60"/>
    <w:rsid w:val="004C0C17"/>
    <w:rsid w:val="004C0C28"/>
    <w:rsid w:val="004C0C2C"/>
    <w:rsid w:val="004C0C3C"/>
    <w:rsid w:val="004C0C48"/>
    <w:rsid w:val="004C0C5D"/>
    <w:rsid w:val="004C0CA8"/>
    <w:rsid w:val="004C0D10"/>
    <w:rsid w:val="004C0D33"/>
    <w:rsid w:val="004C0D57"/>
    <w:rsid w:val="004C0E03"/>
    <w:rsid w:val="004C0E20"/>
    <w:rsid w:val="004C0E31"/>
    <w:rsid w:val="004C0E38"/>
    <w:rsid w:val="004C0E59"/>
    <w:rsid w:val="004C0E6C"/>
    <w:rsid w:val="004C0ECD"/>
    <w:rsid w:val="004C0ED3"/>
    <w:rsid w:val="004C0F7F"/>
    <w:rsid w:val="004C109C"/>
    <w:rsid w:val="004C10DE"/>
    <w:rsid w:val="004C10F6"/>
    <w:rsid w:val="004C112B"/>
    <w:rsid w:val="004C1228"/>
    <w:rsid w:val="004C1232"/>
    <w:rsid w:val="004C12B8"/>
    <w:rsid w:val="004C131E"/>
    <w:rsid w:val="004C132B"/>
    <w:rsid w:val="004C1388"/>
    <w:rsid w:val="004C1441"/>
    <w:rsid w:val="004C145D"/>
    <w:rsid w:val="004C14A3"/>
    <w:rsid w:val="004C14AE"/>
    <w:rsid w:val="004C1501"/>
    <w:rsid w:val="004C150D"/>
    <w:rsid w:val="004C1523"/>
    <w:rsid w:val="004C154A"/>
    <w:rsid w:val="004C1555"/>
    <w:rsid w:val="004C157E"/>
    <w:rsid w:val="004C16B4"/>
    <w:rsid w:val="004C170F"/>
    <w:rsid w:val="004C1748"/>
    <w:rsid w:val="004C17B9"/>
    <w:rsid w:val="004C17F1"/>
    <w:rsid w:val="004C180B"/>
    <w:rsid w:val="004C180C"/>
    <w:rsid w:val="004C189D"/>
    <w:rsid w:val="004C18F0"/>
    <w:rsid w:val="004C1946"/>
    <w:rsid w:val="004C1966"/>
    <w:rsid w:val="004C19E1"/>
    <w:rsid w:val="004C19EE"/>
    <w:rsid w:val="004C1A21"/>
    <w:rsid w:val="004C1ACB"/>
    <w:rsid w:val="004C1AE7"/>
    <w:rsid w:val="004C1B13"/>
    <w:rsid w:val="004C1B15"/>
    <w:rsid w:val="004C1B1F"/>
    <w:rsid w:val="004C1B38"/>
    <w:rsid w:val="004C1BDC"/>
    <w:rsid w:val="004C1BE6"/>
    <w:rsid w:val="004C1C29"/>
    <w:rsid w:val="004C1C83"/>
    <w:rsid w:val="004C1C8D"/>
    <w:rsid w:val="004C1D2D"/>
    <w:rsid w:val="004C1D7B"/>
    <w:rsid w:val="004C1DC1"/>
    <w:rsid w:val="004C1DC9"/>
    <w:rsid w:val="004C1DD9"/>
    <w:rsid w:val="004C1E5B"/>
    <w:rsid w:val="004C1E6F"/>
    <w:rsid w:val="004C1E99"/>
    <w:rsid w:val="004C1E9A"/>
    <w:rsid w:val="004C1EC4"/>
    <w:rsid w:val="004C1F03"/>
    <w:rsid w:val="004C1F26"/>
    <w:rsid w:val="004C1F28"/>
    <w:rsid w:val="004C1F5F"/>
    <w:rsid w:val="004C1F8D"/>
    <w:rsid w:val="004C20B6"/>
    <w:rsid w:val="004C20CF"/>
    <w:rsid w:val="004C210E"/>
    <w:rsid w:val="004C2158"/>
    <w:rsid w:val="004C2198"/>
    <w:rsid w:val="004C21EC"/>
    <w:rsid w:val="004C2230"/>
    <w:rsid w:val="004C225D"/>
    <w:rsid w:val="004C22B7"/>
    <w:rsid w:val="004C2335"/>
    <w:rsid w:val="004C2358"/>
    <w:rsid w:val="004C240E"/>
    <w:rsid w:val="004C243A"/>
    <w:rsid w:val="004C2462"/>
    <w:rsid w:val="004C24D2"/>
    <w:rsid w:val="004C24DD"/>
    <w:rsid w:val="004C2506"/>
    <w:rsid w:val="004C252E"/>
    <w:rsid w:val="004C257D"/>
    <w:rsid w:val="004C2589"/>
    <w:rsid w:val="004C25A7"/>
    <w:rsid w:val="004C25A9"/>
    <w:rsid w:val="004C25AB"/>
    <w:rsid w:val="004C25B1"/>
    <w:rsid w:val="004C25D2"/>
    <w:rsid w:val="004C266D"/>
    <w:rsid w:val="004C26DA"/>
    <w:rsid w:val="004C26E9"/>
    <w:rsid w:val="004C274B"/>
    <w:rsid w:val="004C2794"/>
    <w:rsid w:val="004C27A0"/>
    <w:rsid w:val="004C27A3"/>
    <w:rsid w:val="004C2854"/>
    <w:rsid w:val="004C2881"/>
    <w:rsid w:val="004C28EC"/>
    <w:rsid w:val="004C290B"/>
    <w:rsid w:val="004C2924"/>
    <w:rsid w:val="004C29CE"/>
    <w:rsid w:val="004C2A6E"/>
    <w:rsid w:val="004C2B3E"/>
    <w:rsid w:val="004C2B4B"/>
    <w:rsid w:val="004C2B71"/>
    <w:rsid w:val="004C2B8D"/>
    <w:rsid w:val="004C2CB3"/>
    <w:rsid w:val="004C2CFD"/>
    <w:rsid w:val="004C2D1B"/>
    <w:rsid w:val="004C2D73"/>
    <w:rsid w:val="004C2E80"/>
    <w:rsid w:val="004C2F30"/>
    <w:rsid w:val="004C2F35"/>
    <w:rsid w:val="004C2F5B"/>
    <w:rsid w:val="004C2F62"/>
    <w:rsid w:val="004C2F6F"/>
    <w:rsid w:val="004C2F70"/>
    <w:rsid w:val="004C2FA9"/>
    <w:rsid w:val="004C2FE1"/>
    <w:rsid w:val="004C3016"/>
    <w:rsid w:val="004C3065"/>
    <w:rsid w:val="004C30C3"/>
    <w:rsid w:val="004C30C9"/>
    <w:rsid w:val="004C30CE"/>
    <w:rsid w:val="004C3145"/>
    <w:rsid w:val="004C316A"/>
    <w:rsid w:val="004C3232"/>
    <w:rsid w:val="004C3295"/>
    <w:rsid w:val="004C330C"/>
    <w:rsid w:val="004C334E"/>
    <w:rsid w:val="004C334F"/>
    <w:rsid w:val="004C3368"/>
    <w:rsid w:val="004C345D"/>
    <w:rsid w:val="004C348A"/>
    <w:rsid w:val="004C34FA"/>
    <w:rsid w:val="004C3535"/>
    <w:rsid w:val="004C358F"/>
    <w:rsid w:val="004C35D0"/>
    <w:rsid w:val="004C362A"/>
    <w:rsid w:val="004C36E7"/>
    <w:rsid w:val="004C3702"/>
    <w:rsid w:val="004C3737"/>
    <w:rsid w:val="004C3821"/>
    <w:rsid w:val="004C384A"/>
    <w:rsid w:val="004C3946"/>
    <w:rsid w:val="004C3962"/>
    <w:rsid w:val="004C3AD8"/>
    <w:rsid w:val="004C3B59"/>
    <w:rsid w:val="004C3BCA"/>
    <w:rsid w:val="004C3BEF"/>
    <w:rsid w:val="004C3C17"/>
    <w:rsid w:val="004C3C33"/>
    <w:rsid w:val="004C3C69"/>
    <w:rsid w:val="004C3C73"/>
    <w:rsid w:val="004C3D1F"/>
    <w:rsid w:val="004C3DDA"/>
    <w:rsid w:val="004C3E5D"/>
    <w:rsid w:val="004C3E75"/>
    <w:rsid w:val="004C3E76"/>
    <w:rsid w:val="004C3E9B"/>
    <w:rsid w:val="004C3EA8"/>
    <w:rsid w:val="004C3EF0"/>
    <w:rsid w:val="004C3F21"/>
    <w:rsid w:val="004C3F47"/>
    <w:rsid w:val="004C3F6D"/>
    <w:rsid w:val="004C400C"/>
    <w:rsid w:val="004C4012"/>
    <w:rsid w:val="004C4019"/>
    <w:rsid w:val="004C402B"/>
    <w:rsid w:val="004C417F"/>
    <w:rsid w:val="004C4186"/>
    <w:rsid w:val="004C41F6"/>
    <w:rsid w:val="004C41FB"/>
    <w:rsid w:val="004C4201"/>
    <w:rsid w:val="004C426E"/>
    <w:rsid w:val="004C427C"/>
    <w:rsid w:val="004C42EC"/>
    <w:rsid w:val="004C439D"/>
    <w:rsid w:val="004C43BB"/>
    <w:rsid w:val="004C43D4"/>
    <w:rsid w:val="004C446E"/>
    <w:rsid w:val="004C449F"/>
    <w:rsid w:val="004C44C9"/>
    <w:rsid w:val="004C44D2"/>
    <w:rsid w:val="004C44FF"/>
    <w:rsid w:val="004C45D1"/>
    <w:rsid w:val="004C45DC"/>
    <w:rsid w:val="004C46A3"/>
    <w:rsid w:val="004C4702"/>
    <w:rsid w:val="004C470E"/>
    <w:rsid w:val="004C471D"/>
    <w:rsid w:val="004C483A"/>
    <w:rsid w:val="004C48A8"/>
    <w:rsid w:val="004C48C5"/>
    <w:rsid w:val="004C4927"/>
    <w:rsid w:val="004C493B"/>
    <w:rsid w:val="004C4992"/>
    <w:rsid w:val="004C4A1E"/>
    <w:rsid w:val="004C4A33"/>
    <w:rsid w:val="004C4A50"/>
    <w:rsid w:val="004C4A79"/>
    <w:rsid w:val="004C4A80"/>
    <w:rsid w:val="004C4AE6"/>
    <w:rsid w:val="004C4AEF"/>
    <w:rsid w:val="004C4B2B"/>
    <w:rsid w:val="004C4B32"/>
    <w:rsid w:val="004C4B9A"/>
    <w:rsid w:val="004C4C3D"/>
    <w:rsid w:val="004C4C44"/>
    <w:rsid w:val="004C4CC5"/>
    <w:rsid w:val="004C4E32"/>
    <w:rsid w:val="004C4E40"/>
    <w:rsid w:val="004C4E7A"/>
    <w:rsid w:val="004C4EB2"/>
    <w:rsid w:val="004C4EB3"/>
    <w:rsid w:val="004C4F0F"/>
    <w:rsid w:val="004C4F39"/>
    <w:rsid w:val="004C4F5F"/>
    <w:rsid w:val="004C4F8F"/>
    <w:rsid w:val="004C4FA9"/>
    <w:rsid w:val="004C4FB5"/>
    <w:rsid w:val="004C4FEB"/>
    <w:rsid w:val="004C50DA"/>
    <w:rsid w:val="004C5103"/>
    <w:rsid w:val="004C5160"/>
    <w:rsid w:val="004C51A5"/>
    <w:rsid w:val="004C51A8"/>
    <w:rsid w:val="004C51BA"/>
    <w:rsid w:val="004C51BB"/>
    <w:rsid w:val="004C5229"/>
    <w:rsid w:val="004C5240"/>
    <w:rsid w:val="004C525B"/>
    <w:rsid w:val="004C52FC"/>
    <w:rsid w:val="004C530A"/>
    <w:rsid w:val="004C536B"/>
    <w:rsid w:val="004C5378"/>
    <w:rsid w:val="004C53BB"/>
    <w:rsid w:val="004C53C6"/>
    <w:rsid w:val="004C53EE"/>
    <w:rsid w:val="004C53FE"/>
    <w:rsid w:val="004C5407"/>
    <w:rsid w:val="004C543D"/>
    <w:rsid w:val="004C5485"/>
    <w:rsid w:val="004C548A"/>
    <w:rsid w:val="004C54C3"/>
    <w:rsid w:val="004C5539"/>
    <w:rsid w:val="004C5587"/>
    <w:rsid w:val="004C55D2"/>
    <w:rsid w:val="004C55FB"/>
    <w:rsid w:val="004C5607"/>
    <w:rsid w:val="004C5673"/>
    <w:rsid w:val="004C56C1"/>
    <w:rsid w:val="004C5707"/>
    <w:rsid w:val="004C579B"/>
    <w:rsid w:val="004C57AC"/>
    <w:rsid w:val="004C57C6"/>
    <w:rsid w:val="004C57DE"/>
    <w:rsid w:val="004C5832"/>
    <w:rsid w:val="004C5881"/>
    <w:rsid w:val="004C5899"/>
    <w:rsid w:val="004C58CC"/>
    <w:rsid w:val="004C58DC"/>
    <w:rsid w:val="004C58FF"/>
    <w:rsid w:val="004C5913"/>
    <w:rsid w:val="004C5937"/>
    <w:rsid w:val="004C5A1F"/>
    <w:rsid w:val="004C5A49"/>
    <w:rsid w:val="004C5A85"/>
    <w:rsid w:val="004C5A9A"/>
    <w:rsid w:val="004C5A9F"/>
    <w:rsid w:val="004C5AFB"/>
    <w:rsid w:val="004C5B38"/>
    <w:rsid w:val="004C5B59"/>
    <w:rsid w:val="004C5B68"/>
    <w:rsid w:val="004C5BCE"/>
    <w:rsid w:val="004C5C11"/>
    <w:rsid w:val="004C5C28"/>
    <w:rsid w:val="004C5C39"/>
    <w:rsid w:val="004C5C5F"/>
    <w:rsid w:val="004C5C7C"/>
    <w:rsid w:val="004C5CC0"/>
    <w:rsid w:val="004C5D1C"/>
    <w:rsid w:val="004C5D93"/>
    <w:rsid w:val="004C5DA4"/>
    <w:rsid w:val="004C5DB5"/>
    <w:rsid w:val="004C5E30"/>
    <w:rsid w:val="004C5E38"/>
    <w:rsid w:val="004C5E42"/>
    <w:rsid w:val="004C5E5D"/>
    <w:rsid w:val="004C5E6C"/>
    <w:rsid w:val="004C5F10"/>
    <w:rsid w:val="004C5FCD"/>
    <w:rsid w:val="004C5FEF"/>
    <w:rsid w:val="004C600D"/>
    <w:rsid w:val="004C604E"/>
    <w:rsid w:val="004C606A"/>
    <w:rsid w:val="004C609C"/>
    <w:rsid w:val="004C60C9"/>
    <w:rsid w:val="004C60FF"/>
    <w:rsid w:val="004C6175"/>
    <w:rsid w:val="004C6203"/>
    <w:rsid w:val="004C621A"/>
    <w:rsid w:val="004C621F"/>
    <w:rsid w:val="004C6276"/>
    <w:rsid w:val="004C62BF"/>
    <w:rsid w:val="004C632A"/>
    <w:rsid w:val="004C634D"/>
    <w:rsid w:val="004C637A"/>
    <w:rsid w:val="004C63B3"/>
    <w:rsid w:val="004C6433"/>
    <w:rsid w:val="004C64DB"/>
    <w:rsid w:val="004C6537"/>
    <w:rsid w:val="004C653C"/>
    <w:rsid w:val="004C655A"/>
    <w:rsid w:val="004C65AD"/>
    <w:rsid w:val="004C666B"/>
    <w:rsid w:val="004C66F9"/>
    <w:rsid w:val="004C670D"/>
    <w:rsid w:val="004C6797"/>
    <w:rsid w:val="004C67A9"/>
    <w:rsid w:val="004C683D"/>
    <w:rsid w:val="004C6883"/>
    <w:rsid w:val="004C68A4"/>
    <w:rsid w:val="004C68AA"/>
    <w:rsid w:val="004C68D8"/>
    <w:rsid w:val="004C690E"/>
    <w:rsid w:val="004C699A"/>
    <w:rsid w:val="004C69FA"/>
    <w:rsid w:val="004C6A3E"/>
    <w:rsid w:val="004C6AA0"/>
    <w:rsid w:val="004C6AEB"/>
    <w:rsid w:val="004C6B0C"/>
    <w:rsid w:val="004C6B13"/>
    <w:rsid w:val="004C6B24"/>
    <w:rsid w:val="004C6B3C"/>
    <w:rsid w:val="004C6B66"/>
    <w:rsid w:val="004C6B73"/>
    <w:rsid w:val="004C6BFE"/>
    <w:rsid w:val="004C6C2B"/>
    <w:rsid w:val="004C6D85"/>
    <w:rsid w:val="004C6DB2"/>
    <w:rsid w:val="004C6DC1"/>
    <w:rsid w:val="004C6EBF"/>
    <w:rsid w:val="004C6EE9"/>
    <w:rsid w:val="004C6EF8"/>
    <w:rsid w:val="004C6F04"/>
    <w:rsid w:val="004C6F40"/>
    <w:rsid w:val="004C6F4C"/>
    <w:rsid w:val="004C6F59"/>
    <w:rsid w:val="004C6F87"/>
    <w:rsid w:val="004C6F96"/>
    <w:rsid w:val="004C6FB5"/>
    <w:rsid w:val="004C6FDA"/>
    <w:rsid w:val="004C6FF3"/>
    <w:rsid w:val="004C6FFC"/>
    <w:rsid w:val="004C7004"/>
    <w:rsid w:val="004C7049"/>
    <w:rsid w:val="004C7075"/>
    <w:rsid w:val="004C70BD"/>
    <w:rsid w:val="004C715F"/>
    <w:rsid w:val="004C71E3"/>
    <w:rsid w:val="004C7206"/>
    <w:rsid w:val="004C7216"/>
    <w:rsid w:val="004C7229"/>
    <w:rsid w:val="004C72FB"/>
    <w:rsid w:val="004C7334"/>
    <w:rsid w:val="004C7358"/>
    <w:rsid w:val="004C7379"/>
    <w:rsid w:val="004C73E1"/>
    <w:rsid w:val="004C741E"/>
    <w:rsid w:val="004C745B"/>
    <w:rsid w:val="004C7462"/>
    <w:rsid w:val="004C7521"/>
    <w:rsid w:val="004C75DD"/>
    <w:rsid w:val="004C761E"/>
    <w:rsid w:val="004C7674"/>
    <w:rsid w:val="004C7699"/>
    <w:rsid w:val="004C77BC"/>
    <w:rsid w:val="004C77DB"/>
    <w:rsid w:val="004C7823"/>
    <w:rsid w:val="004C78D2"/>
    <w:rsid w:val="004C794F"/>
    <w:rsid w:val="004C7974"/>
    <w:rsid w:val="004C798E"/>
    <w:rsid w:val="004C7996"/>
    <w:rsid w:val="004C79D7"/>
    <w:rsid w:val="004C79F3"/>
    <w:rsid w:val="004C7A1B"/>
    <w:rsid w:val="004C7A5A"/>
    <w:rsid w:val="004C7B3C"/>
    <w:rsid w:val="004C7BEA"/>
    <w:rsid w:val="004C7C04"/>
    <w:rsid w:val="004C7C1D"/>
    <w:rsid w:val="004C7C22"/>
    <w:rsid w:val="004C7C5E"/>
    <w:rsid w:val="004C7C7A"/>
    <w:rsid w:val="004C7C9B"/>
    <w:rsid w:val="004C7D00"/>
    <w:rsid w:val="004C7DCD"/>
    <w:rsid w:val="004C7DD2"/>
    <w:rsid w:val="004C7E5C"/>
    <w:rsid w:val="004C7EA6"/>
    <w:rsid w:val="004C7F2A"/>
    <w:rsid w:val="004C7FFE"/>
    <w:rsid w:val="004D0009"/>
    <w:rsid w:val="004D0069"/>
    <w:rsid w:val="004D0070"/>
    <w:rsid w:val="004D0078"/>
    <w:rsid w:val="004D0104"/>
    <w:rsid w:val="004D011E"/>
    <w:rsid w:val="004D017B"/>
    <w:rsid w:val="004D0197"/>
    <w:rsid w:val="004D01F2"/>
    <w:rsid w:val="004D0216"/>
    <w:rsid w:val="004D0221"/>
    <w:rsid w:val="004D0226"/>
    <w:rsid w:val="004D02DB"/>
    <w:rsid w:val="004D0319"/>
    <w:rsid w:val="004D0363"/>
    <w:rsid w:val="004D0379"/>
    <w:rsid w:val="004D037D"/>
    <w:rsid w:val="004D0393"/>
    <w:rsid w:val="004D0399"/>
    <w:rsid w:val="004D042A"/>
    <w:rsid w:val="004D045E"/>
    <w:rsid w:val="004D0469"/>
    <w:rsid w:val="004D049D"/>
    <w:rsid w:val="004D04AB"/>
    <w:rsid w:val="004D0506"/>
    <w:rsid w:val="004D053E"/>
    <w:rsid w:val="004D0635"/>
    <w:rsid w:val="004D0639"/>
    <w:rsid w:val="004D0648"/>
    <w:rsid w:val="004D064D"/>
    <w:rsid w:val="004D0683"/>
    <w:rsid w:val="004D068F"/>
    <w:rsid w:val="004D06B5"/>
    <w:rsid w:val="004D0729"/>
    <w:rsid w:val="004D0885"/>
    <w:rsid w:val="004D08B0"/>
    <w:rsid w:val="004D08EC"/>
    <w:rsid w:val="004D0931"/>
    <w:rsid w:val="004D0987"/>
    <w:rsid w:val="004D0992"/>
    <w:rsid w:val="004D09B2"/>
    <w:rsid w:val="004D0A20"/>
    <w:rsid w:val="004D0A68"/>
    <w:rsid w:val="004D0A7B"/>
    <w:rsid w:val="004D0A81"/>
    <w:rsid w:val="004D0A96"/>
    <w:rsid w:val="004D0AF7"/>
    <w:rsid w:val="004D0B51"/>
    <w:rsid w:val="004D0B89"/>
    <w:rsid w:val="004D0B8D"/>
    <w:rsid w:val="004D0B95"/>
    <w:rsid w:val="004D0BC1"/>
    <w:rsid w:val="004D0CE2"/>
    <w:rsid w:val="004D0D4D"/>
    <w:rsid w:val="004D0D5B"/>
    <w:rsid w:val="004D0D6B"/>
    <w:rsid w:val="004D0EBE"/>
    <w:rsid w:val="004D0EEB"/>
    <w:rsid w:val="004D0F21"/>
    <w:rsid w:val="004D0F24"/>
    <w:rsid w:val="004D0F6E"/>
    <w:rsid w:val="004D103E"/>
    <w:rsid w:val="004D106C"/>
    <w:rsid w:val="004D10C7"/>
    <w:rsid w:val="004D10CD"/>
    <w:rsid w:val="004D112B"/>
    <w:rsid w:val="004D114C"/>
    <w:rsid w:val="004D1165"/>
    <w:rsid w:val="004D1225"/>
    <w:rsid w:val="004D12DD"/>
    <w:rsid w:val="004D12FC"/>
    <w:rsid w:val="004D1346"/>
    <w:rsid w:val="004D1356"/>
    <w:rsid w:val="004D1387"/>
    <w:rsid w:val="004D139A"/>
    <w:rsid w:val="004D13A6"/>
    <w:rsid w:val="004D1401"/>
    <w:rsid w:val="004D1486"/>
    <w:rsid w:val="004D14D2"/>
    <w:rsid w:val="004D150F"/>
    <w:rsid w:val="004D153A"/>
    <w:rsid w:val="004D157E"/>
    <w:rsid w:val="004D1593"/>
    <w:rsid w:val="004D15CF"/>
    <w:rsid w:val="004D15EA"/>
    <w:rsid w:val="004D1615"/>
    <w:rsid w:val="004D1635"/>
    <w:rsid w:val="004D1663"/>
    <w:rsid w:val="004D16A4"/>
    <w:rsid w:val="004D16A5"/>
    <w:rsid w:val="004D16CF"/>
    <w:rsid w:val="004D16E1"/>
    <w:rsid w:val="004D16FB"/>
    <w:rsid w:val="004D1754"/>
    <w:rsid w:val="004D1771"/>
    <w:rsid w:val="004D1772"/>
    <w:rsid w:val="004D1774"/>
    <w:rsid w:val="004D177B"/>
    <w:rsid w:val="004D178F"/>
    <w:rsid w:val="004D1872"/>
    <w:rsid w:val="004D1881"/>
    <w:rsid w:val="004D18DD"/>
    <w:rsid w:val="004D18ED"/>
    <w:rsid w:val="004D19A4"/>
    <w:rsid w:val="004D19E5"/>
    <w:rsid w:val="004D1A1D"/>
    <w:rsid w:val="004D1A1E"/>
    <w:rsid w:val="004D1A2C"/>
    <w:rsid w:val="004D1A3D"/>
    <w:rsid w:val="004D1A74"/>
    <w:rsid w:val="004D1A87"/>
    <w:rsid w:val="004D1B08"/>
    <w:rsid w:val="004D1B67"/>
    <w:rsid w:val="004D1B73"/>
    <w:rsid w:val="004D1C03"/>
    <w:rsid w:val="004D1C5A"/>
    <w:rsid w:val="004D1C67"/>
    <w:rsid w:val="004D1C91"/>
    <w:rsid w:val="004D1D2E"/>
    <w:rsid w:val="004D1D78"/>
    <w:rsid w:val="004D1D90"/>
    <w:rsid w:val="004D1DBF"/>
    <w:rsid w:val="004D1DD3"/>
    <w:rsid w:val="004D1E17"/>
    <w:rsid w:val="004D1E18"/>
    <w:rsid w:val="004D1E32"/>
    <w:rsid w:val="004D1E56"/>
    <w:rsid w:val="004D1ECF"/>
    <w:rsid w:val="004D1EEF"/>
    <w:rsid w:val="004D1FC8"/>
    <w:rsid w:val="004D2032"/>
    <w:rsid w:val="004D207F"/>
    <w:rsid w:val="004D208D"/>
    <w:rsid w:val="004D217B"/>
    <w:rsid w:val="004D218B"/>
    <w:rsid w:val="004D21A9"/>
    <w:rsid w:val="004D21D3"/>
    <w:rsid w:val="004D227D"/>
    <w:rsid w:val="004D22E1"/>
    <w:rsid w:val="004D22FE"/>
    <w:rsid w:val="004D238B"/>
    <w:rsid w:val="004D2419"/>
    <w:rsid w:val="004D2421"/>
    <w:rsid w:val="004D245F"/>
    <w:rsid w:val="004D2489"/>
    <w:rsid w:val="004D2507"/>
    <w:rsid w:val="004D2632"/>
    <w:rsid w:val="004D2688"/>
    <w:rsid w:val="004D278A"/>
    <w:rsid w:val="004D27B5"/>
    <w:rsid w:val="004D27CC"/>
    <w:rsid w:val="004D27D0"/>
    <w:rsid w:val="004D27E8"/>
    <w:rsid w:val="004D27F6"/>
    <w:rsid w:val="004D2879"/>
    <w:rsid w:val="004D2891"/>
    <w:rsid w:val="004D28ED"/>
    <w:rsid w:val="004D28F2"/>
    <w:rsid w:val="004D290C"/>
    <w:rsid w:val="004D2924"/>
    <w:rsid w:val="004D29F4"/>
    <w:rsid w:val="004D2A2F"/>
    <w:rsid w:val="004D2A43"/>
    <w:rsid w:val="004D2A73"/>
    <w:rsid w:val="004D2AA7"/>
    <w:rsid w:val="004D2B05"/>
    <w:rsid w:val="004D2B20"/>
    <w:rsid w:val="004D2B51"/>
    <w:rsid w:val="004D2B56"/>
    <w:rsid w:val="004D2B5C"/>
    <w:rsid w:val="004D2BA9"/>
    <w:rsid w:val="004D2BFE"/>
    <w:rsid w:val="004D2CBB"/>
    <w:rsid w:val="004D2CD0"/>
    <w:rsid w:val="004D2CD8"/>
    <w:rsid w:val="004D2CF4"/>
    <w:rsid w:val="004D2D10"/>
    <w:rsid w:val="004D2D27"/>
    <w:rsid w:val="004D2D3A"/>
    <w:rsid w:val="004D2D55"/>
    <w:rsid w:val="004D2D7A"/>
    <w:rsid w:val="004D2DAE"/>
    <w:rsid w:val="004D2E1B"/>
    <w:rsid w:val="004D2E58"/>
    <w:rsid w:val="004D2E68"/>
    <w:rsid w:val="004D2E86"/>
    <w:rsid w:val="004D2ED4"/>
    <w:rsid w:val="004D2F24"/>
    <w:rsid w:val="004D2F37"/>
    <w:rsid w:val="004D2F56"/>
    <w:rsid w:val="004D2FC8"/>
    <w:rsid w:val="004D2FD4"/>
    <w:rsid w:val="004D30BA"/>
    <w:rsid w:val="004D30E5"/>
    <w:rsid w:val="004D3126"/>
    <w:rsid w:val="004D31BC"/>
    <w:rsid w:val="004D3213"/>
    <w:rsid w:val="004D3266"/>
    <w:rsid w:val="004D3268"/>
    <w:rsid w:val="004D3288"/>
    <w:rsid w:val="004D32F9"/>
    <w:rsid w:val="004D330F"/>
    <w:rsid w:val="004D331C"/>
    <w:rsid w:val="004D3327"/>
    <w:rsid w:val="004D340E"/>
    <w:rsid w:val="004D3450"/>
    <w:rsid w:val="004D3453"/>
    <w:rsid w:val="004D348D"/>
    <w:rsid w:val="004D34BA"/>
    <w:rsid w:val="004D3529"/>
    <w:rsid w:val="004D3545"/>
    <w:rsid w:val="004D35E2"/>
    <w:rsid w:val="004D366F"/>
    <w:rsid w:val="004D3694"/>
    <w:rsid w:val="004D36ED"/>
    <w:rsid w:val="004D36F3"/>
    <w:rsid w:val="004D373C"/>
    <w:rsid w:val="004D378D"/>
    <w:rsid w:val="004D37BC"/>
    <w:rsid w:val="004D37E6"/>
    <w:rsid w:val="004D382F"/>
    <w:rsid w:val="004D3885"/>
    <w:rsid w:val="004D38B4"/>
    <w:rsid w:val="004D38DD"/>
    <w:rsid w:val="004D39CE"/>
    <w:rsid w:val="004D3A07"/>
    <w:rsid w:val="004D3A7F"/>
    <w:rsid w:val="004D3A8C"/>
    <w:rsid w:val="004D3B03"/>
    <w:rsid w:val="004D3BBC"/>
    <w:rsid w:val="004D3BC5"/>
    <w:rsid w:val="004D3BE6"/>
    <w:rsid w:val="004D3BE8"/>
    <w:rsid w:val="004D3BEB"/>
    <w:rsid w:val="004D3C6C"/>
    <w:rsid w:val="004D3CA9"/>
    <w:rsid w:val="004D3CCB"/>
    <w:rsid w:val="004D3CDE"/>
    <w:rsid w:val="004D3D3E"/>
    <w:rsid w:val="004D3D4F"/>
    <w:rsid w:val="004D3D5A"/>
    <w:rsid w:val="004D3D87"/>
    <w:rsid w:val="004D3DDE"/>
    <w:rsid w:val="004D3E83"/>
    <w:rsid w:val="004D3EC9"/>
    <w:rsid w:val="004D3F18"/>
    <w:rsid w:val="004D3F29"/>
    <w:rsid w:val="004D3F35"/>
    <w:rsid w:val="004D3F7E"/>
    <w:rsid w:val="004D3FEE"/>
    <w:rsid w:val="004D4010"/>
    <w:rsid w:val="004D402A"/>
    <w:rsid w:val="004D4065"/>
    <w:rsid w:val="004D4097"/>
    <w:rsid w:val="004D40D9"/>
    <w:rsid w:val="004D40DB"/>
    <w:rsid w:val="004D40FA"/>
    <w:rsid w:val="004D411E"/>
    <w:rsid w:val="004D4166"/>
    <w:rsid w:val="004D416A"/>
    <w:rsid w:val="004D4192"/>
    <w:rsid w:val="004D42ED"/>
    <w:rsid w:val="004D4395"/>
    <w:rsid w:val="004D440E"/>
    <w:rsid w:val="004D4420"/>
    <w:rsid w:val="004D4421"/>
    <w:rsid w:val="004D4434"/>
    <w:rsid w:val="004D4478"/>
    <w:rsid w:val="004D44DA"/>
    <w:rsid w:val="004D44E3"/>
    <w:rsid w:val="004D4506"/>
    <w:rsid w:val="004D4536"/>
    <w:rsid w:val="004D4544"/>
    <w:rsid w:val="004D4568"/>
    <w:rsid w:val="004D457A"/>
    <w:rsid w:val="004D458D"/>
    <w:rsid w:val="004D45B7"/>
    <w:rsid w:val="004D460B"/>
    <w:rsid w:val="004D4649"/>
    <w:rsid w:val="004D4658"/>
    <w:rsid w:val="004D47C0"/>
    <w:rsid w:val="004D4810"/>
    <w:rsid w:val="004D481F"/>
    <w:rsid w:val="004D4878"/>
    <w:rsid w:val="004D487B"/>
    <w:rsid w:val="004D4903"/>
    <w:rsid w:val="004D4965"/>
    <w:rsid w:val="004D4A11"/>
    <w:rsid w:val="004D4AA4"/>
    <w:rsid w:val="004D4AB3"/>
    <w:rsid w:val="004D4B27"/>
    <w:rsid w:val="004D4B45"/>
    <w:rsid w:val="004D4BCD"/>
    <w:rsid w:val="004D4C01"/>
    <w:rsid w:val="004D4C0B"/>
    <w:rsid w:val="004D4C6D"/>
    <w:rsid w:val="004D4C6F"/>
    <w:rsid w:val="004D4C7F"/>
    <w:rsid w:val="004D4CAC"/>
    <w:rsid w:val="004D4CAF"/>
    <w:rsid w:val="004D4D49"/>
    <w:rsid w:val="004D4D78"/>
    <w:rsid w:val="004D4D8D"/>
    <w:rsid w:val="004D4E0B"/>
    <w:rsid w:val="004D4EAC"/>
    <w:rsid w:val="004D4EC5"/>
    <w:rsid w:val="004D4F29"/>
    <w:rsid w:val="004D5121"/>
    <w:rsid w:val="004D513F"/>
    <w:rsid w:val="004D5151"/>
    <w:rsid w:val="004D51AC"/>
    <w:rsid w:val="004D51C8"/>
    <w:rsid w:val="004D51E4"/>
    <w:rsid w:val="004D5231"/>
    <w:rsid w:val="004D5277"/>
    <w:rsid w:val="004D5280"/>
    <w:rsid w:val="004D52A1"/>
    <w:rsid w:val="004D52DD"/>
    <w:rsid w:val="004D53C9"/>
    <w:rsid w:val="004D53CA"/>
    <w:rsid w:val="004D5410"/>
    <w:rsid w:val="004D5484"/>
    <w:rsid w:val="004D54B6"/>
    <w:rsid w:val="004D54E9"/>
    <w:rsid w:val="004D5561"/>
    <w:rsid w:val="004D557D"/>
    <w:rsid w:val="004D5647"/>
    <w:rsid w:val="004D567E"/>
    <w:rsid w:val="004D5730"/>
    <w:rsid w:val="004D573A"/>
    <w:rsid w:val="004D5760"/>
    <w:rsid w:val="004D576C"/>
    <w:rsid w:val="004D579E"/>
    <w:rsid w:val="004D57A9"/>
    <w:rsid w:val="004D57AA"/>
    <w:rsid w:val="004D57AD"/>
    <w:rsid w:val="004D57D2"/>
    <w:rsid w:val="004D57DA"/>
    <w:rsid w:val="004D57F9"/>
    <w:rsid w:val="004D5804"/>
    <w:rsid w:val="004D5826"/>
    <w:rsid w:val="004D5882"/>
    <w:rsid w:val="004D58A1"/>
    <w:rsid w:val="004D59BF"/>
    <w:rsid w:val="004D59FB"/>
    <w:rsid w:val="004D5AA8"/>
    <w:rsid w:val="004D5B86"/>
    <w:rsid w:val="004D5C19"/>
    <w:rsid w:val="004D5C2D"/>
    <w:rsid w:val="004D5C31"/>
    <w:rsid w:val="004D5C4C"/>
    <w:rsid w:val="004D5CBD"/>
    <w:rsid w:val="004D5D4B"/>
    <w:rsid w:val="004D5D6B"/>
    <w:rsid w:val="004D5D9A"/>
    <w:rsid w:val="004D5E07"/>
    <w:rsid w:val="004D5E49"/>
    <w:rsid w:val="004D5E7F"/>
    <w:rsid w:val="004D5E87"/>
    <w:rsid w:val="004D5E9B"/>
    <w:rsid w:val="004D5E9E"/>
    <w:rsid w:val="004D5F1E"/>
    <w:rsid w:val="004D5F2B"/>
    <w:rsid w:val="004D5F6B"/>
    <w:rsid w:val="004D5FAC"/>
    <w:rsid w:val="004D6011"/>
    <w:rsid w:val="004D612C"/>
    <w:rsid w:val="004D617F"/>
    <w:rsid w:val="004D61A0"/>
    <w:rsid w:val="004D61EA"/>
    <w:rsid w:val="004D61EC"/>
    <w:rsid w:val="004D62BC"/>
    <w:rsid w:val="004D62F0"/>
    <w:rsid w:val="004D62F3"/>
    <w:rsid w:val="004D6357"/>
    <w:rsid w:val="004D635C"/>
    <w:rsid w:val="004D638B"/>
    <w:rsid w:val="004D6395"/>
    <w:rsid w:val="004D63C6"/>
    <w:rsid w:val="004D6400"/>
    <w:rsid w:val="004D6471"/>
    <w:rsid w:val="004D6488"/>
    <w:rsid w:val="004D64FD"/>
    <w:rsid w:val="004D655C"/>
    <w:rsid w:val="004D6604"/>
    <w:rsid w:val="004D6629"/>
    <w:rsid w:val="004D6675"/>
    <w:rsid w:val="004D66A3"/>
    <w:rsid w:val="004D66E7"/>
    <w:rsid w:val="004D6760"/>
    <w:rsid w:val="004D67DE"/>
    <w:rsid w:val="004D6834"/>
    <w:rsid w:val="004D6977"/>
    <w:rsid w:val="004D69D6"/>
    <w:rsid w:val="004D6A23"/>
    <w:rsid w:val="004D6A50"/>
    <w:rsid w:val="004D6A6F"/>
    <w:rsid w:val="004D6A77"/>
    <w:rsid w:val="004D6B2F"/>
    <w:rsid w:val="004D6BC8"/>
    <w:rsid w:val="004D6BE3"/>
    <w:rsid w:val="004D6C18"/>
    <w:rsid w:val="004D6D15"/>
    <w:rsid w:val="004D6D51"/>
    <w:rsid w:val="004D6DF6"/>
    <w:rsid w:val="004D6DFB"/>
    <w:rsid w:val="004D6E3F"/>
    <w:rsid w:val="004D6E43"/>
    <w:rsid w:val="004D6E97"/>
    <w:rsid w:val="004D6EB7"/>
    <w:rsid w:val="004D6F0F"/>
    <w:rsid w:val="004D6F17"/>
    <w:rsid w:val="004D6F30"/>
    <w:rsid w:val="004D7051"/>
    <w:rsid w:val="004D7176"/>
    <w:rsid w:val="004D71AD"/>
    <w:rsid w:val="004D72AB"/>
    <w:rsid w:val="004D72B4"/>
    <w:rsid w:val="004D72E0"/>
    <w:rsid w:val="004D73B9"/>
    <w:rsid w:val="004D7441"/>
    <w:rsid w:val="004D746A"/>
    <w:rsid w:val="004D7472"/>
    <w:rsid w:val="004D74AC"/>
    <w:rsid w:val="004D75F2"/>
    <w:rsid w:val="004D7686"/>
    <w:rsid w:val="004D7693"/>
    <w:rsid w:val="004D770B"/>
    <w:rsid w:val="004D7714"/>
    <w:rsid w:val="004D7715"/>
    <w:rsid w:val="004D777C"/>
    <w:rsid w:val="004D7784"/>
    <w:rsid w:val="004D7855"/>
    <w:rsid w:val="004D7879"/>
    <w:rsid w:val="004D7981"/>
    <w:rsid w:val="004D7A5B"/>
    <w:rsid w:val="004D7ACE"/>
    <w:rsid w:val="004D7ADE"/>
    <w:rsid w:val="004D7B51"/>
    <w:rsid w:val="004D7B93"/>
    <w:rsid w:val="004D7BD6"/>
    <w:rsid w:val="004D7BDE"/>
    <w:rsid w:val="004D7C16"/>
    <w:rsid w:val="004D7C3B"/>
    <w:rsid w:val="004D7CDD"/>
    <w:rsid w:val="004D7D6E"/>
    <w:rsid w:val="004D7E3C"/>
    <w:rsid w:val="004D7E6F"/>
    <w:rsid w:val="004D7E9B"/>
    <w:rsid w:val="004D7EB4"/>
    <w:rsid w:val="004D7EF8"/>
    <w:rsid w:val="004D7F42"/>
    <w:rsid w:val="004D7F8E"/>
    <w:rsid w:val="004D7FAC"/>
    <w:rsid w:val="004D7FC7"/>
    <w:rsid w:val="004E0027"/>
    <w:rsid w:val="004E0065"/>
    <w:rsid w:val="004E007B"/>
    <w:rsid w:val="004E00E4"/>
    <w:rsid w:val="004E013F"/>
    <w:rsid w:val="004E0163"/>
    <w:rsid w:val="004E016F"/>
    <w:rsid w:val="004E01B7"/>
    <w:rsid w:val="004E0227"/>
    <w:rsid w:val="004E0263"/>
    <w:rsid w:val="004E02E2"/>
    <w:rsid w:val="004E02ED"/>
    <w:rsid w:val="004E031E"/>
    <w:rsid w:val="004E036A"/>
    <w:rsid w:val="004E0381"/>
    <w:rsid w:val="004E042C"/>
    <w:rsid w:val="004E0450"/>
    <w:rsid w:val="004E0585"/>
    <w:rsid w:val="004E05AB"/>
    <w:rsid w:val="004E063A"/>
    <w:rsid w:val="004E066B"/>
    <w:rsid w:val="004E0692"/>
    <w:rsid w:val="004E06AD"/>
    <w:rsid w:val="004E074B"/>
    <w:rsid w:val="004E0775"/>
    <w:rsid w:val="004E0794"/>
    <w:rsid w:val="004E07FD"/>
    <w:rsid w:val="004E0910"/>
    <w:rsid w:val="004E093C"/>
    <w:rsid w:val="004E0975"/>
    <w:rsid w:val="004E09D9"/>
    <w:rsid w:val="004E0B16"/>
    <w:rsid w:val="004E0B5A"/>
    <w:rsid w:val="004E0BAD"/>
    <w:rsid w:val="004E0BD0"/>
    <w:rsid w:val="004E0BE3"/>
    <w:rsid w:val="004E0C6F"/>
    <w:rsid w:val="004E0CA8"/>
    <w:rsid w:val="004E0CB3"/>
    <w:rsid w:val="004E0CE8"/>
    <w:rsid w:val="004E0D43"/>
    <w:rsid w:val="004E0D62"/>
    <w:rsid w:val="004E0E32"/>
    <w:rsid w:val="004E0E9D"/>
    <w:rsid w:val="004E0FE6"/>
    <w:rsid w:val="004E1077"/>
    <w:rsid w:val="004E112C"/>
    <w:rsid w:val="004E11C9"/>
    <w:rsid w:val="004E1203"/>
    <w:rsid w:val="004E1212"/>
    <w:rsid w:val="004E1293"/>
    <w:rsid w:val="004E134E"/>
    <w:rsid w:val="004E1364"/>
    <w:rsid w:val="004E138F"/>
    <w:rsid w:val="004E13F2"/>
    <w:rsid w:val="004E141B"/>
    <w:rsid w:val="004E1433"/>
    <w:rsid w:val="004E1492"/>
    <w:rsid w:val="004E14A2"/>
    <w:rsid w:val="004E153E"/>
    <w:rsid w:val="004E154D"/>
    <w:rsid w:val="004E1569"/>
    <w:rsid w:val="004E15EA"/>
    <w:rsid w:val="004E160F"/>
    <w:rsid w:val="004E1625"/>
    <w:rsid w:val="004E1628"/>
    <w:rsid w:val="004E1678"/>
    <w:rsid w:val="004E167D"/>
    <w:rsid w:val="004E1685"/>
    <w:rsid w:val="004E178D"/>
    <w:rsid w:val="004E17A8"/>
    <w:rsid w:val="004E1844"/>
    <w:rsid w:val="004E184C"/>
    <w:rsid w:val="004E18AA"/>
    <w:rsid w:val="004E18C6"/>
    <w:rsid w:val="004E1932"/>
    <w:rsid w:val="004E1936"/>
    <w:rsid w:val="004E1939"/>
    <w:rsid w:val="004E1941"/>
    <w:rsid w:val="004E1A1D"/>
    <w:rsid w:val="004E1A53"/>
    <w:rsid w:val="004E1A71"/>
    <w:rsid w:val="004E1AFF"/>
    <w:rsid w:val="004E1B2B"/>
    <w:rsid w:val="004E1B2F"/>
    <w:rsid w:val="004E1B53"/>
    <w:rsid w:val="004E1C09"/>
    <w:rsid w:val="004E1C17"/>
    <w:rsid w:val="004E1C73"/>
    <w:rsid w:val="004E1C9D"/>
    <w:rsid w:val="004E1D33"/>
    <w:rsid w:val="004E1D4B"/>
    <w:rsid w:val="004E1D53"/>
    <w:rsid w:val="004E1D6A"/>
    <w:rsid w:val="004E1DBD"/>
    <w:rsid w:val="004E1DC4"/>
    <w:rsid w:val="004E1E43"/>
    <w:rsid w:val="004E1E85"/>
    <w:rsid w:val="004E1ECA"/>
    <w:rsid w:val="004E1EE4"/>
    <w:rsid w:val="004E1F12"/>
    <w:rsid w:val="004E1F1E"/>
    <w:rsid w:val="004E1F23"/>
    <w:rsid w:val="004E1F36"/>
    <w:rsid w:val="004E1F47"/>
    <w:rsid w:val="004E1FCD"/>
    <w:rsid w:val="004E1FE7"/>
    <w:rsid w:val="004E2017"/>
    <w:rsid w:val="004E2063"/>
    <w:rsid w:val="004E206C"/>
    <w:rsid w:val="004E2091"/>
    <w:rsid w:val="004E2098"/>
    <w:rsid w:val="004E20AE"/>
    <w:rsid w:val="004E20B4"/>
    <w:rsid w:val="004E20B7"/>
    <w:rsid w:val="004E20C2"/>
    <w:rsid w:val="004E2105"/>
    <w:rsid w:val="004E2134"/>
    <w:rsid w:val="004E214B"/>
    <w:rsid w:val="004E2171"/>
    <w:rsid w:val="004E218B"/>
    <w:rsid w:val="004E21B0"/>
    <w:rsid w:val="004E21D1"/>
    <w:rsid w:val="004E2226"/>
    <w:rsid w:val="004E228A"/>
    <w:rsid w:val="004E22FD"/>
    <w:rsid w:val="004E238E"/>
    <w:rsid w:val="004E23A9"/>
    <w:rsid w:val="004E24CC"/>
    <w:rsid w:val="004E24DC"/>
    <w:rsid w:val="004E2566"/>
    <w:rsid w:val="004E2592"/>
    <w:rsid w:val="004E25B1"/>
    <w:rsid w:val="004E2621"/>
    <w:rsid w:val="004E2750"/>
    <w:rsid w:val="004E2796"/>
    <w:rsid w:val="004E2814"/>
    <w:rsid w:val="004E2891"/>
    <w:rsid w:val="004E292F"/>
    <w:rsid w:val="004E2981"/>
    <w:rsid w:val="004E299D"/>
    <w:rsid w:val="004E29F9"/>
    <w:rsid w:val="004E2A72"/>
    <w:rsid w:val="004E2A91"/>
    <w:rsid w:val="004E2AB9"/>
    <w:rsid w:val="004E2B7D"/>
    <w:rsid w:val="004E2BC9"/>
    <w:rsid w:val="004E2C03"/>
    <w:rsid w:val="004E2C4C"/>
    <w:rsid w:val="004E2C79"/>
    <w:rsid w:val="004E2CE7"/>
    <w:rsid w:val="004E2D50"/>
    <w:rsid w:val="004E2D5B"/>
    <w:rsid w:val="004E2D78"/>
    <w:rsid w:val="004E2D93"/>
    <w:rsid w:val="004E2D9D"/>
    <w:rsid w:val="004E2DA8"/>
    <w:rsid w:val="004E2DEB"/>
    <w:rsid w:val="004E2E06"/>
    <w:rsid w:val="004E2EA0"/>
    <w:rsid w:val="004E2ED2"/>
    <w:rsid w:val="004E2F22"/>
    <w:rsid w:val="004E2F44"/>
    <w:rsid w:val="004E2FCA"/>
    <w:rsid w:val="004E2FCF"/>
    <w:rsid w:val="004E2FE6"/>
    <w:rsid w:val="004E2FFB"/>
    <w:rsid w:val="004E3023"/>
    <w:rsid w:val="004E303E"/>
    <w:rsid w:val="004E3045"/>
    <w:rsid w:val="004E3048"/>
    <w:rsid w:val="004E306D"/>
    <w:rsid w:val="004E306E"/>
    <w:rsid w:val="004E307B"/>
    <w:rsid w:val="004E3091"/>
    <w:rsid w:val="004E30AB"/>
    <w:rsid w:val="004E30B2"/>
    <w:rsid w:val="004E30BD"/>
    <w:rsid w:val="004E30F6"/>
    <w:rsid w:val="004E30FB"/>
    <w:rsid w:val="004E3104"/>
    <w:rsid w:val="004E3105"/>
    <w:rsid w:val="004E3198"/>
    <w:rsid w:val="004E31DF"/>
    <w:rsid w:val="004E3267"/>
    <w:rsid w:val="004E329A"/>
    <w:rsid w:val="004E3304"/>
    <w:rsid w:val="004E3346"/>
    <w:rsid w:val="004E335F"/>
    <w:rsid w:val="004E3411"/>
    <w:rsid w:val="004E3439"/>
    <w:rsid w:val="004E346D"/>
    <w:rsid w:val="004E34F4"/>
    <w:rsid w:val="004E3530"/>
    <w:rsid w:val="004E3565"/>
    <w:rsid w:val="004E3569"/>
    <w:rsid w:val="004E3576"/>
    <w:rsid w:val="004E35C9"/>
    <w:rsid w:val="004E3660"/>
    <w:rsid w:val="004E3671"/>
    <w:rsid w:val="004E369A"/>
    <w:rsid w:val="004E3728"/>
    <w:rsid w:val="004E373A"/>
    <w:rsid w:val="004E3802"/>
    <w:rsid w:val="004E3860"/>
    <w:rsid w:val="004E3908"/>
    <w:rsid w:val="004E3911"/>
    <w:rsid w:val="004E394D"/>
    <w:rsid w:val="004E3AA0"/>
    <w:rsid w:val="004E3B87"/>
    <w:rsid w:val="004E3C7D"/>
    <w:rsid w:val="004E3D09"/>
    <w:rsid w:val="004E3D6E"/>
    <w:rsid w:val="004E3DDA"/>
    <w:rsid w:val="004E3E0D"/>
    <w:rsid w:val="004E3E18"/>
    <w:rsid w:val="004E3E25"/>
    <w:rsid w:val="004E3E7C"/>
    <w:rsid w:val="004E3FA0"/>
    <w:rsid w:val="004E3FB7"/>
    <w:rsid w:val="004E40E9"/>
    <w:rsid w:val="004E41A4"/>
    <w:rsid w:val="004E41D0"/>
    <w:rsid w:val="004E4214"/>
    <w:rsid w:val="004E4235"/>
    <w:rsid w:val="004E4243"/>
    <w:rsid w:val="004E42BF"/>
    <w:rsid w:val="004E42D5"/>
    <w:rsid w:val="004E42F6"/>
    <w:rsid w:val="004E4346"/>
    <w:rsid w:val="004E43C1"/>
    <w:rsid w:val="004E43F8"/>
    <w:rsid w:val="004E4417"/>
    <w:rsid w:val="004E4432"/>
    <w:rsid w:val="004E444B"/>
    <w:rsid w:val="004E44BD"/>
    <w:rsid w:val="004E4514"/>
    <w:rsid w:val="004E4544"/>
    <w:rsid w:val="004E457B"/>
    <w:rsid w:val="004E45A0"/>
    <w:rsid w:val="004E4613"/>
    <w:rsid w:val="004E4648"/>
    <w:rsid w:val="004E4652"/>
    <w:rsid w:val="004E465C"/>
    <w:rsid w:val="004E4683"/>
    <w:rsid w:val="004E46CF"/>
    <w:rsid w:val="004E4736"/>
    <w:rsid w:val="004E475E"/>
    <w:rsid w:val="004E47AC"/>
    <w:rsid w:val="004E47B5"/>
    <w:rsid w:val="004E486C"/>
    <w:rsid w:val="004E48E3"/>
    <w:rsid w:val="004E4911"/>
    <w:rsid w:val="004E494F"/>
    <w:rsid w:val="004E498E"/>
    <w:rsid w:val="004E49AB"/>
    <w:rsid w:val="004E49B0"/>
    <w:rsid w:val="004E49D8"/>
    <w:rsid w:val="004E49DD"/>
    <w:rsid w:val="004E4A4C"/>
    <w:rsid w:val="004E4A8B"/>
    <w:rsid w:val="004E4ACA"/>
    <w:rsid w:val="004E4ACE"/>
    <w:rsid w:val="004E4ADC"/>
    <w:rsid w:val="004E4B53"/>
    <w:rsid w:val="004E4B79"/>
    <w:rsid w:val="004E4BA7"/>
    <w:rsid w:val="004E4BA8"/>
    <w:rsid w:val="004E4BAF"/>
    <w:rsid w:val="004E4BCE"/>
    <w:rsid w:val="004E4BE3"/>
    <w:rsid w:val="004E4BF2"/>
    <w:rsid w:val="004E4C12"/>
    <w:rsid w:val="004E4C40"/>
    <w:rsid w:val="004E4C9D"/>
    <w:rsid w:val="004E4D22"/>
    <w:rsid w:val="004E4D35"/>
    <w:rsid w:val="004E4D75"/>
    <w:rsid w:val="004E4D8B"/>
    <w:rsid w:val="004E4E0E"/>
    <w:rsid w:val="004E4EFE"/>
    <w:rsid w:val="004E4F1D"/>
    <w:rsid w:val="004E4F8D"/>
    <w:rsid w:val="004E4F93"/>
    <w:rsid w:val="004E4FBF"/>
    <w:rsid w:val="004E504B"/>
    <w:rsid w:val="004E505A"/>
    <w:rsid w:val="004E50A5"/>
    <w:rsid w:val="004E50B0"/>
    <w:rsid w:val="004E51BC"/>
    <w:rsid w:val="004E51DD"/>
    <w:rsid w:val="004E5214"/>
    <w:rsid w:val="004E524D"/>
    <w:rsid w:val="004E5283"/>
    <w:rsid w:val="004E52E4"/>
    <w:rsid w:val="004E5322"/>
    <w:rsid w:val="004E5358"/>
    <w:rsid w:val="004E5359"/>
    <w:rsid w:val="004E53B5"/>
    <w:rsid w:val="004E546B"/>
    <w:rsid w:val="004E5474"/>
    <w:rsid w:val="004E54BA"/>
    <w:rsid w:val="004E5536"/>
    <w:rsid w:val="004E55C7"/>
    <w:rsid w:val="004E565F"/>
    <w:rsid w:val="004E56BF"/>
    <w:rsid w:val="004E574F"/>
    <w:rsid w:val="004E576D"/>
    <w:rsid w:val="004E577C"/>
    <w:rsid w:val="004E5785"/>
    <w:rsid w:val="004E5869"/>
    <w:rsid w:val="004E5897"/>
    <w:rsid w:val="004E58D2"/>
    <w:rsid w:val="004E58F5"/>
    <w:rsid w:val="004E591F"/>
    <w:rsid w:val="004E5924"/>
    <w:rsid w:val="004E595D"/>
    <w:rsid w:val="004E5964"/>
    <w:rsid w:val="004E5978"/>
    <w:rsid w:val="004E59BF"/>
    <w:rsid w:val="004E59E1"/>
    <w:rsid w:val="004E5A30"/>
    <w:rsid w:val="004E5A4B"/>
    <w:rsid w:val="004E5AC6"/>
    <w:rsid w:val="004E5B53"/>
    <w:rsid w:val="004E5B93"/>
    <w:rsid w:val="004E5B9E"/>
    <w:rsid w:val="004E5BD0"/>
    <w:rsid w:val="004E5BD2"/>
    <w:rsid w:val="004E5BE8"/>
    <w:rsid w:val="004E5C38"/>
    <w:rsid w:val="004E5C44"/>
    <w:rsid w:val="004E5CE5"/>
    <w:rsid w:val="004E5D06"/>
    <w:rsid w:val="004E5D3C"/>
    <w:rsid w:val="004E5D4B"/>
    <w:rsid w:val="004E5D5A"/>
    <w:rsid w:val="004E5D80"/>
    <w:rsid w:val="004E5DD4"/>
    <w:rsid w:val="004E5E4F"/>
    <w:rsid w:val="004E5EB4"/>
    <w:rsid w:val="004E5EB7"/>
    <w:rsid w:val="004E5F0B"/>
    <w:rsid w:val="004E5FD6"/>
    <w:rsid w:val="004E6019"/>
    <w:rsid w:val="004E604A"/>
    <w:rsid w:val="004E607F"/>
    <w:rsid w:val="004E60B0"/>
    <w:rsid w:val="004E614A"/>
    <w:rsid w:val="004E61EE"/>
    <w:rsid w:val="004E6240"/>
    <w:rsid w:val="004E6317"/>
    <w:rsid w:val="004E637D"/>
    <w:rsid w:val="004E63A4"/>
    <w:rsid w:val="004E6437"/>
    <w:rsid w:val="004E646A"/>
    <w:rsid w:val="004E6513"/>
    <w:rsid w:val="004E6536"/>
    <w:rsid w:val="004E6561"/>
    <w:rsid w:val="004E657A"/>
    <w:rsid w:val="004E6582"/>
    <w:rsid w:val="004E65E3"/>
    <w:rsid w:val="004E6634"/>
    <w:rsid w:val="004E663D"/>
    <w:rsid w:val="004E6654"/>
    <w:rsid w:val="004E672C"/>
    <w:rsid w:val="004E6785"/>
    <w:rsid w:val="004E687C"/>
    <w:rsid w:val="004E68B3"/>
    <w:rsid w:val="004E68D8"/>
    <w:rsid w:val="004E691A"/>
    <w:rsid w:val="004E691D"/>
    <w:rsid w:val="004E692E"/>
    <w:rsid w:val="004E6945"/>
    <w:rsid w:val="004E6970"/>
    <w:rsid w:val="004E6977"/>
    <w:rsid w:val="004E69AD"/>
    <w:rsid w:val="004E69AF"/>
    <w:rsid w:val="004E69B9"/>
    <w:rsid w:val="004E69FB"/>
    <w:rsid w:val="004E6A7D"/>
    <w:rsid w:val="004E6ACE"/>
    <w:rsid w:val="004E6AE0"/>
    <w:rsid w:val="004E6AFA"/>
    <w:rsid w:val="004E6B36"/>
    <w:rsid w:val="004E6B43"/>
    <w:rsid w:val="004E6B52"/>
    <w:rsid w:val="004E6B5B"/>
    <w:rsid w:val="004E6B62"/>
    <w:rsid w:val="004E6BC9"/>
    <w:rsid w:val="004E6BCE"/>
    <w:rsid w:val="004E6C12"/>
    <w:rsid w:val="004E6C7F"/>
    <w:rsid w:val="004E6C8A"/>
    <w:rsid w:val="004E6CF9"/>
    <w:rsid w:val="004E6D0C"/>
    <w:rsid w:val="004E6D8A"/>
    <w:rsid w:val="004E6DB8"/>
    <w:rsid w:val="004E6DC3"/>
    <w:rsid w:val="004E6EB0"/>
    <w:rsid w:val="004E6EC8"/>
    <w:rsid w:val="004E6EDA"/>
    <w:rsid w:val="004E6F02"/>
    <w:rsid w:val="004E6F08"/>
    <w:rsid w:val="004E6F43"/>
    <w:rsid w:val="004E6F69"/>
    <w:rsid w:val="004E6FE2"/>
    <w:rsid w:val="004E6FFA"/>
    <w:rsid w:val="004E700A"/>
    <w:rsid w:val="004E7062"/>
    <w:rsid w:val="004E70B2"/>
    <w:rsid w:val="004E7114"/>
    <w:rsid w:val="004E7298"/>
    <w:rsid w:val="004E732D"/>
    <w:rsid w:val="004E7369"/>
    <w:rsid w:val="004E73A9"/>
    <w:rsid w:val="004E73C9"/>
    <w:rsid w:val="004E73FD"/>
    <w:rsid w:val="004E7407"/>
    <w:rsid w:val="004E7435"/>
    <w:rsid w:val="004E7436"/>
    <w:rsid w:val="004E74CD"/>
    <w:rsid w:val="004E74EE"/>
    <w:rsid w:val="004E7553"/>
    <w:rsid w:val="004E7565"/>
    <w:rsid w:val="004E75BA"/>
    <w:rsid w:val="004E75C3"/>
    <w:rsid w:val="004E76D9"/>
    <w:rsid w:val="004E7728"/>
    <w:rsid w:val="004E775C"/>
    <w:rsid w:val="004E778D"/>
    <w:rsid w:val="004E77C0"/>
    <w:rsid w:val="004E7832"/>
    <w:rsid w:val="004E7919"/>
    <w:rsid w:val="004E7973"/>
    <w:rsid w:val="004E79AC"/>
    <w:rsid w:val="004E79D8"/>
    <w:rsid w:val="004E79DC"/>
    <w:rsid w:val="004E79DF"/>
    <w:rsid w:val="004E79F9"/>
    <w:rsid w:val="004E7A5A"/>
    <w:rsid w:val="004E7A64"/>
    <w:rsid w:val="004E7A6B"/>
    <w:rsid w:val="004E7A7E"/>
    <w:rsid w:val="004E7A83"/>
    <w:rsid w:val="004E7AD1"/>
    <w:rsid w:val="004E7B09"/>
    <w:rsid w:val="004E7B19"/>
    <w:rsid w:val="004E7B56"/>
    <w:rsid w:val="004E7B7D"/>
    <w:rsid w:val="004E7B9E"/>
    <w:rsid w:val="004E7BFF"/>
    <w:rsid w:val="004E7C21"/>
    <w:rsid w:val="004E7C36"/>
    <w:rsid w:val="004E7C71"/>
    <w:rsid w:val="004E7C80"/>
    <w:rsid w:val="004E7C9D"/>
    <w:rsid w:val="004E7D18"/>
    <w:rsid w:val="004E7D23"/>
    <w:rsid w:val="004E7D67"/>
    <w:rsid w:val="004E7E74"/>
    <w:rsid w:val="004E7EA1"/>
    <w:rsid w:val="004E7ECD"/>
    <w:rsid w:val="004E7ED5"/>
    <w:rsid w:val="004E7EE5"/>
    <w:rsid w:val="004E7F1A"/>
    <w:rsid w:val="004E7F23"/>
    <w:rsid w:val="004E7F62"/>
    <w:rsid w:val="004F0076"/>
    <w:rsid w:val="004F00AA"/>
    <w:rsid w:val="004F015C"/>
    <w:rsid w:val="004F016F"/>
    <w:rsid w:val="004F0199"/>
    <w:rsid w:val="004F0272"/>
    <w:rsid w:val="004F02B6"/>
    <w:rsid w:val="004F02C3"/>
    <w:rsid w:val="004F02CA"/>
    <w:rsid w:val="004F0307"/>
    <w:rsid w:val="004F0333"/>
    <w:rsid w:val="004F0341"/>
    <w:rsid w:val="004F03DA"/>
    <w:rsid w:val="004F03EB"/>
    <w:rsid w:val="004F03FC"/>
    <w:rsid w:val="004F040E"/>
    <w:rsid w:val="004F040F"/>
    <w:rsid w:val="004F0419"/>
    <w:rsid w:val="004F042B"/>
    <w:rsid w:val="004F04BA"/>
    <w:rsid w:val="004F04EB"/>
    <w:rsid w:val="004F058E"/>
    <w:rsid w:val="004F05A5"/>
    <w:rsid w:val="004F05BF"/>
    <w:rsid w:val="004F05C7"/>
    <w:rsid w:val="004F0614"/>
    <w:rsid w:val="004F062D"/>
    <w:rsid w:val="004F0656"/>
    <w:rsid w:val="004F075C"/>
    <w:rsid w:val="004F07BA"/>
    <w:rsid w:val="004F07FB"/>
    <w:rsid w:val="004F082D"/>
    <w:rsid w:val="004F085D"/>
    <w:rsid w:val="004F0868"/>
    <w:rsid w:val="004F08FD"/>
    <w:rsid w:val="004F090B"/>
    <w:rsid w:val="004F092C"/>
    <w:rsid w:val="004F0948"/>
    <w:rsid w:val="004F096D"/>
    <w:rsid w:val="004F09C1"/>
    <w:rsid w:val="004F09E2"/>
    <w:rsid w:val="004F0A34"/>
    <w:rsid w:val="004F0A7A"/>
    <w:rsid w:val="004F0AF9"/>
    <w:rsid w:val="004F0B42"/>
    <w:rsid w:val="004F0B8C"/>
    <w:rsid w:val="004F0BF6"/>
    <w:rsid w:val="004F0C0E"/>
    <w:rsid w:val="004F0C34"/>
    <w:rsid w:val="004F0C71"/>
    <w:rsid w:val="004F0CA2"/>
    <w:rsid w:val="004F0CEC"/>
    <w:rsid w:val="004F0D37"/>
    <w:rsid w:val="004F0DC6"/>
    <w:rsid w:val="004F0DE4"/>
    <w:rsid w:val="004F0E0D"/>
    <w:rsid w:val="004F0E4C"/>
    <w:rsid w:val="004F0F07"/>
    <w:rsid w:val="004F0F4A"/>
    <w:rsid w:val="004F0F98"/>
    <w:rsid w:val="004F0FBA"/>
    <w:rsid w:val="004F101F"/>
    <w:rsid w:val="004F104C"/>
    <w:rsid w:val="004F1083"/>
    <w:rsid w:val="004F1098"/>
    <w:rsid w:val="004F10B6"/>
    <w:rsid w:val="004F10E4"/>
    <w:rsid w:val="004F117E"/>
    <w:rsid w:val="004F11CB"/>
    <w:rsid w:val="004F120A"/>
    <w:rsid w:val="004F1259"/>
    <w:rsid w:val="004F1392"/>
    <w:rsid w:val="004F141D"/>
    <w:rsid w:val="004F149A"/>
    <w:rsid w:val="004F14A3"/>
    <w:rsid w:val="004F1517"/>
    <w:rsid w:val="004F152D"/>
    <w:rsid w:val="004F1649"/>
    <w:rsid w:val="004F1681"/>
    <w:rsid w:val="004F16BF"/>
    <w:rsid w:val="004F16EF"/>
    <w:rsid w:val="004F1709"/>
    <w:rsid w:val="004F1753"/>
    <w:rsid w:val="004F180C"/>
    <w:rsid w:val="004F1835"/>
    <w:rsid w:val="004F1849"/>
    <w:rsid w:val="004F1863"/>
    <w:rsid w:val="004F18F0"/>
    <w:rsid w:val="004F192A"/>
    <w:rsid w:val="004F198C"/>
    <w:rsid w:val="004F19A2"/>
    <w:rsid w:val="004F19DD"/>
    <w:rsid w:val="004F1A34"/>
    <w:rsid w:val="004F1A6C"/>
    <w:rsid w:val="004F1A77"/>
    <w:rsid w:val="004F1A82"/>
    <w:rsid w:val="004F1ABC"/>
    <w:rsid w:val="004F1AC2"/>
    <w:rsid w:val="004F1B11"/>
    <w:rsid w:val="004F1D15"/>
    <w:rsid w:val="004F1D1E"/>
    <w:rsid w:val="004F1D7E"/>
    <w:rsid w:val="004F1DCE"/>
    <w:rsid w:val="004F1E44"/>
    <w:rsid w:val="004F1E67"/>
    <w:rsid w:val="004F1E71"/>
    <w:rsid w:val="004F1E89"/>
    <w:rsid w:val="004F1EE5"/>
    <w:rsid w:val="004F1EEB"/>
    <w:rsid w:val="004F1EFF"/>
    <w:rsid w:val="004F1F34"/>
    <w:rsid w:val="004F2057"/>
    <w:rsid w:val="004F2085"/>
    <w:rsid w:val="004F20A8"/>
    <w:rsid w:val="004F20BA"/>
    <w:rsid w:val="004F20D3"/>
    <w:rsid w:val="004F2108"/>
    <w:rsid w:val="004F2117"/>
    <w:rsid w:val="004F212D"/>
    <w:rsid w:val="004F215D"/>
    <w:rsid w:val="004F215E"/>
    <w:rsid w:val="004F21B0"/>
    <w:rsid w:val="004F222E"/>
    <w:rsid w:val="004F2257"/>
    <w:rsid w:val="004F22B5"/>
    <w:rsid w:val="004F22C8"/>
    <w:rsid w:val="004F22E4"/>
    <w:rsid w:val="004F2349"/>
    <w:rsid w:val="004F2398"/>
    <w:rsid w:val="004F23B0"/>
    <w:rsid w:val="004F2407"/>
    <w:rsid w:val="004F2439"/>
    <w:rsid w:val="004F250E"/>
    <w:rsid w:val="004F252C"/>
    <w:rsid w:val="004F2578"/>
    <w:rsid w:val="004F267F"/>
    <w:rsid w:val="004F26E5"/>
    <w:rsid w:val="004F26F7"/>
    <w:rsid w:val="004F26FC"/>
    <w:rsid w:val="004F2878"/>
    <w:rsid w:val="004F28EC"/>
    <w:rsid w:val="004F2900"/>
    <w:rsid w:val="004F2901"/>
    <w:rsid w:val="004F2940"/>
    <w:rsid w:val="004F2964"/>
    <w:rsid w:val="004F2976"/>
    <w:rsid w:val="004F29A1"/>
    <w:rsid w:val="004F29C3"/>
    <w:rsid w:val="004F29CE"/>
    <w:rsid w:val="004F2A98"/>
    <w:rsid w:val="004F2BC7"/>
    <w:rsid w:val="004F2C94"/>
    <w:rsid w:val="004F2CE6"/>
    <w:rsid w:val="004F2E88"/>
    <w:rsid w:val="004F2EC0"/>
    <w:rsid w:val="004F2F3F"/>
    <w:rsid w:val="004F2FA0"/>
    <w:rsid w:val="004F3081"/>
    <w:rsid w:val="004F3183"/>
    <w:rsid w:val="004F31BC"/>
    <w:rsid w:val="004F31CC"/>
    <w:rsid w:val="004F3231"/>
    <w:rsid w:val="004F3241"/>
    <w:rsid w:val="004F3270"/>
    <w:rsid w:val="004F32A1"/>
    <w:rsid w:val="004F32FD"/>
    <w:rsid w:val="004F330C"/>
    <w:rsid w:val="004F3341"/>
    <w:rsid w:val="004F3368"/>
    <w:rsid w:val="004F3396"/>
    <w:rsid w:val="004F33C7"/>
    <w:rsid w:val="004F3401"/>
    <w:rsid w:val="004F3469"/>
    <w:rsid w:val="004F34C0"/>
    <w:rsid w:val="004F35A0"/>
    <w:rsid w:val="004F35DC"/>
    <w:rsid w:val="004F3624"/>
    <w:rsid w:val="004F3670"/>
    <w:rsid w:val="004F36D0"/>
    <w:rsid w:val="004F36F2"/>
    <w:rsid w:val="004F371F"/>
    <w:rsid w:val="004F373E"/>
    <w:rsid w:val="004F37FE"/>
    <w:rsid w:val="004F383A"/>
    <w:rsid w:val="004F3847"/>
    <w:rsid w:val="004F3860"/>
    <w:rsid w:val="004F3861"/>
    <w:rsid w:val="004F3892"/>
    <w:rsid w:val="004F3909"/>
    <w:rsid w:val="004F3931"/>
    <w:rsid w:val="004F3985"/>
    <w:rsid w:val="004F3989"/>
    <w:rsid w:val="004F398B"/>
    <w:rsid w:val="004F39EA"/>
    <w:rsid w:val="004F39FB"/>
    <w:rsid w:val="004F39FE"/>
    <w:rsid w:val="004F3A32"/>
    <w:rsid w:val="004F3B86"/>
    <w:rsid w:val="004F3B89"/>
    <w:rsid w:val="004F3C6C"/>
    <w:rsid w:val="004F3C7D"/>
    <w:rsid w:val="004F3C88"/>
    <w:rsid w:val="004F3CBA"/>
    <w:rsid w:val="004F3D00"/>
    <w:rsid w:val="004F3DFF"/>
    <w:rsid w:val="004F3E10"/>
    <w:rsid w:val="004F3E40"/>
    <w:rsid w:val="004F3E8E"/>
    <w:rsid w:val="004F3E98"/>
    <w:rsid w:val="004F3EED"/>
    <w:rsid w:val="004F3F15"/>
    <w:rsid w:val="004F3F36"/>
    <w:rsid w:val="004F3FC8"/>
    <w:rsid w:val="004F3FCB"/>
    <w:rsid w:val="004F4038"/>
    <w:rsid w:val="004F4062"/>
    <w:rsid w:val="004F4091"/>
    <w:rsid w:val="004F40DF"/>
    <w:rsid w:val="004F4190"/>
    <w:rsid w:val="004F4279"/>
    <w:rsid w:val="004F428E"/>
    <w:rsid w:val="004F4293"/>
    <w:rsid w:val="004F42D8"/>
    <w:rsid w:val="004F4398"/>
    <w:rsid w:val="004F4412"/>
    <w:rsid w:val="004F4471"/>
    <w:rsid w:val="004F4477"/>
    <w:rsid w:val="004F44D9"/>
    <w:rsid w:val="004F44FA"/>
    <w:rsid w:val="004F4512"/>
    <w:rsid w:val="004F4634"/>
    <w:rsid w:val="004F4674"/>
    <w:rsid w:val="004F46B3"/>
    <w:rsid w:val="004F46FD"/>
    <w:rsid w:val="004F470B"/>
    <w:rsid w:val="004F473C"/>
    <w:rsid w:val="004F4796"/>
    <w:rsid w:val="004F47B9"/>
    <w:rsid w:val="004F47DD"/>
    <w:rsid w:val="004F47F9"/>
    <w:rsid w:val="004F486F"/>
    <w:rsid w:val="004F4930"/>
    <w:rsid w:val="004F4978"/>
    <w:rsid w:val="004F4989"/>
    <w:rsid w:val="004F49A1"/>
    <w:rsid w:val="004F49D9"/>
    <w:rsid w:val="004F4A15"/>
    <w:rsid w:val="004F4A41"/>
    <w:rsid w:val="004F4ABD"/>
    <w:rsid w:val="004F4B28"/>
    <w:rsid w:val="004F4B4F"/>
    <w:rsid w:val="004F4B59"/>
    <w:rsid w:val="004F4C19"/>
    <w:rsid w:val="004F4C2A"/>
    <w:rsid w:val="004F4C3D"/>
    <w:rsid w:val="004F4C4A"/>
    <w:rsid w:val="004F4C60"/>
    <w:rsid w:val="004F4C69"/>
    <w:rsid w:val="004F4C77"/>
    <w:rsid w:val="004F4CB1"/>
    <w:rsid w:val="004F4CEB"/>
    <w:rsid w:val="004F4CEF"/>
    <w:rsid w:val="004F4D62"/>
    <w:rsid w:val="004F4D89"/>
    <w:rsid w:val="004F4E12"/>
    <w:rsid w:val="004F4E25"/>
    <w:rsid w:val="004F4E3A"/>
    <w:rsid w:val="004F4E4C"/>
    <w:rsid w:val="004F4F03"/>
    <w:rsid w:val="004F4F49"/>
    <w:rsid w:val="004F501D"/>
    <w:rsid w:val="004F50B5"/>
    <w:rsid w:val="004F50C1"/>
    <w:rsid w:val="004F512A"/>
    <w:rsid w:val="004F5177"/>
    <w:rsid w:val="004F517C"/>
    <w:rsid w:val="004F5249"/>
    <w:rsid w:val="004F52DF"/>
    <w:rsid w:val="004F5380"/>
    <w:rsid w:val="004F538E"/>
    <w:rsid w:val="004F53A2"/>
    <w:rsid w:val="004F53B0"/>
    <w:rsid w:val="004F53CB"/>
    <w:rsid w:val="004F542F"/>
    <w:rsid w:val="004F5463"/>
    <w:rsid w:val="004F5470"/>
    <w:rsid w:val="004F54C2"/>
    <w:rsid w:val="004F54CB"/>
    <w:rsid w:val="004F560C"/>
    <w:rsid w:val="004F561F"/>
    <w:rsid w:val="004F5697"/>
    <w:rsid w:val="004F56B4"/>
    <w:rsid w:val="004F5730"/>
    <w:rsid w:val="004F57AB"/>
    <w:rsid w:val="004F57BC"/>
    <w:rsid w:val="004F57D7"/>
    <w:rsid w:val="004F57FA"/>
    <w:rsid w:val="004F57FB"/>
    <w:rsid w:val="004F586A"/>
    <w:rsid w:val="004F591F"/>
    <w:rsid w:val="004F5A24"/>
    <w:rsid w:val="004F5A39"/>
    <w:rsid w:val="004F5A50"/>
    <w:rsid w:val="004F5A93"/>
    <w:rsid w:val="004F5A9A"/>
    <w:rsid w:val="004F5AFF"/>
    <w:rsid w:val="004F5BDA"/>
    <w:rsid w:val="004F5C28"/>
    <w:rsid w:val="004F5C43"/>
    <w:rsid w:val="004F5C48"/>
    <w:rsid w:val="004F5CD9"/>
    <w:rsid w:val="004F5D5E"/>
    <w:rsid w:val="004F5D65"/>
    <w:rsid w:val="004F5DF2"/>
    <w:rsid w:val="004F5DF7"/>
    <w:rsid w:val="004F5E35"/>
    <w:rsid w:val="004F5E91"/>
    <w:rsid w:val="004F5F0A"/>
    <w:rsid w:val="004F5F33"/>
    <w:rsid w:val="004F5F9E"/>
    <w:rsid w:val="004F5FCA"/>
    <w:rsid w:val="004F5FDE"/>
    <w:rsid w:val="004F5FE8"/>
    <w:rsid w:val="004F6001"/>
    <w:rsid w:val="004F6020"/>
    <w:rsid w:val="004F606B"/>
    <w:rsid w:val="004F60C5"/>
    <w:rsid w:val="004F6179"/>
    <w:rsid w:val="004F61B2"/>
    <w:rsid w:val="004F632C"/>
    <w:rsid w:val="004F6353"/>
    <w:rsid w:val="004F636B"/>
    <w:rsid w:val="004F636D"/>
    <w:rsid w:val="004F63CE"/>
    <w:rsid w:val="004F641F"/>
    <w:rsid w:val="004F6481"/>
    <w:rsid w:val="004F64EA"/>
    <w:rsid w:val="004F64EF"/>
    <w:rsid w:val="004F6514"/>
    <w:rsid w:val="004F657A"/>
    <w:rsid w:val="004F659D"/>
    <w:rsid w:val="004F65D1"/>
    <w:rsid w:val="004F65EE"/>
    <w:rsid w:val="004F6617"/>
    <w:rsid w:val="004F663F"/>
    <w:rsid w:val="004F67DD"/>
    <w:rsid w:val="004F67FA"/>
    <w:rsid w:val="004F68FD"/>
    <w:rsid w:val="004F693B"/>
    <w:rsid w:val="004F694A"/>
    <w:rsid w:val="004F6986"/>
    <w:rsid w:val="004F69BD"/>
    <w:rsid w:val="004F69DC"/>
    <w:rsid w:val="004F6A1D"/>
    <w:rsid w:val="004F6A4F"/>
    <w:rsid w:val="004F6A57"/>
    <w:rsid w:val="004F6A72"/>
    <w:rsid w:val="004F6A7C"/>
    <w:rsid w:val="004F6AD9"/>
    <w:rsid w:val="004F6BA0"/>
    <w:rsid w:val="004F6C21"/>
    <w:rsid w:val="004F6C9B"/>
    <w:rsid w:val="004F6D01"/>
    <w:rsid w:val="004F6D86"/>
    <w:rsid w:val="004F6DAD"/>
    <w:rsid w:val="004F6DD8"/>
    <w:rsid w:val="004F6E1D"/>
    <w:rsid w:val="004F6E29"/>
    <w:rsid w:val="004F6E65"/>
    <w:rsid w:val="004F6ECE"/>
    <w:rsid w:val="004F6F5F"/>
    <w:rsid w:val="004F6F8F"/>
    <w:rsid w:val="004F6FB1"/>
    <w:rsid w:val="004F702B"/>
    <w:rsid w:val="004F7037"/>
    <w:rsid w:val="004F707D"/>
    <w:rsid w:val="004F7089"/>
    <w:rsid w:val="004F7108"/>
    <w:rsid w:val="004F7109"/>
    <w:rsid w:val="004F711D"/>
    <w:rsid w:val="004F7181"/>
    <w:rsid w:val="004F7193"/>
    <w:rsid w:val="004F729A"/>
    <w:rsid w:val="004F729E"/>
    <w:rsid w:val="004F72C8"/>
    <w:rsid w:val="004F72DB"/>
    <w:rsid w:val="004F72F3"/>
    <w:rsid w:val="004F730D"/>
    <w:rsid w:val="004F7363"/>
    <w:rsid w:val="004F7397"/>
    <w:rsid w:val="004F73BB"/>
    <w:rsid w:val="004F73BD"/>
    <w:rsid w:val="004F73E3"/>
    <w:rsid w:val="004F742B"/>
    <w:rsid w:val="004F7455"/>
    <w:rsid w:val="004F7480"/>
    <w:rsid w:val="004F7482"/>
    <w:rsid w:val="004F74A0"/>
    <w:rsid w:val="004F7568"/>
    <w:rsid w:val="004F760B"/>
    <w:rsid w:val="004F770E"/>
    <w:rsid w:val="004F772E"/>
    <w:rsid w:val="004F7739"/>
    <w:rsid w:val="004F77B7"/>
    <w:rsid w:val="004F77ED"/>
    <w:rsid w:val="004F781A"/>
    <w:rsid w:val="004F787F"/>
    <w:rsid w:val="004F78A8"/>
    <w:rsid w:val="004F791E"/>
    <w:rsid w:val="004F797E"/>
    <w:rsid w:val="004F79ED"/>
    <w:rsid w:val="004F7A1F"/>
    <w:rsid w:val="004F7A3E"/>
    <w:rsid w:val="004F7A7F"/>
    <w:rsid w:val="004F7AF9"/>
    <w:rsid w:val="004F7AFA"/>
    <w:rsid w:val="004F7B01"/>
    <w:rsid w:val="004F7B07"/>
    <w:rsid w:val="004F7B12"/>
    <w:rsid w:val="004F7B93"/>
    <w:rsid w:val="004F7B9F"/>
    <w:rsid w:val="004F7C0F"/>
    <w:rsid w:val="004F7CE9"/>
    <w:rsid w:val="004F7D37"/>
    <w:rsid w:val="004F7DA7"/>
    <w:rsid w:val="004F7DE6"/>
    <w:rsid w:val="004F7E2C"/>
    <w:rsid w:val="004F7E3E"/>
    <w:rsid w:val="004F7E61"/>
    <w:rsid w:val="004F7E64"/>
    <w:rsid w:val="004F7E9D"/>
    <w:rsid w:val="004F7E9E"/>
    <w:rsid w:val="0050007D"/>
    <w:rsid w:val="00500087"/>
    <w:rsid w:val="005000A1"/>
    <w:rsid w:val="005000EF"/>
    <w:rsid w:val="00500114"/>
    <w:rsid w:val="00500188"/>
    <w:rsid w:val="00500207"/>
    <w:rsid w:val="005002B4"/>
    <w:rsid w:val="005002DA"/>
    <w:rsid w:val="005002EB"/>
    <w:rsid w:val="00500328"/>
    <w:rsid w:val="00500346"/>
    <w:rsid w:val="00500356"/>
    <w:rsid w:val="00500384"/>
    <w:rsid w:val="005003E1"/>
    <w:rsid w:val="005004B4"/>
    <w:rsid w:val="0050052C"/>
    <w:rsid w:val="0050054D"/>
    <w:rsid w:val="0050055D"/>
    <w:rsid w:val="0050058A"/>
    <w:rsid w:val="005005A9"/>
    <w:rsid w:val="00500638"/>
    <w:rsid w:val="005006AE"/>
    <w:rsid w:val="005006BC"/>
    <w:rsid w:val="0050072A"/>
    <w:rsid w:val="005007E8"/>
    <w:rsid w:val="0050080E"/>
    <w:rsid w:val="0050082A"/>
    <w:rsid w:val="0050083B"/>
    <w:rsid w:val="005008D1"/>
    <w:rsid w:val="005008E3"/>
    <w:rsid w:val="00500944"/>
    <w:rsid w:val="00500980"/>
    <w:rsid w:val="005009C0"/>
    <w:rsid w:val="00500B19"/>
    <w:rsid w:val="00500B21"/>
    <w:rsid w:val="00500B37"/>
    <w:rsid w:val="00500B3A"/>
    <w:rsid w:val="00500B87"/>
    <w:rsid w:val="00500B99"/>
    <w:rsid w:val="00500BC9"/>
    <w:rsid w:val="00500C28"/>
    <w:rsid w:val="00500D9A"/>
    <w:rsid w:val="00500E65"/>
    <w:rsid w:val="00500EFA"/>
    <w:rsid w:val="00500EFB"/>
    <w:rsid w:val="00500FCA"/>
    <w:rsid w:val="00500FF1"/>
    <w:rsid w:val="0050101C"/>
    <w:rsid w:val="00501045"/>
    <w:rsid w:val="00501165"/>
    <w:rsid w:val="00501247"/>
    <w:rsid w:val="00501280"/>
    <w:rsid w:val="00501289"/>
    <w:rsid w:val="005012C0"/>
    <w:rsid w:val="005012D6"/>
    <w:rsid w:val="005012D9"/>
    <w:rsid w:val="005012F2"/>
    <w:rsid w:val="00501323"/>
    <w:rsid w:val="00501340"/>
    <w:rsid w:val="005013A8"/>
    <w:rsid w:val="005013D3"/>
    <w:rsid w:val="005013DE"/>
    <w:rsid w:val="00501423"/>
    <w:rsid w:val="0050142B"/>
    <w:rsid w:val="0050144C"/>
    <w:rsid w:val="0050146D"/>
    <w:rsid w:val="005014A3"/>
    <w:rsid w:val="005014B0"/>
    <w:rsid w:val="005014B8"/>
    <w:rsid w:val="005014E7"/>
    <w:rsid w:val="00501520"/>
    <w:rsid w:val="00501565"/>
    <w:rsid w:val="005015F0"/>
    <w:rsid w:val="005015FD"/>
    <w:rsid w:val="0050165C"/>
    <w:rsid w:val="00501661"/>
    <w:rsid w:val="00501696"/>
    <w:rsid w:val="005017E4"/>
    <w:rsid w:val="0050181B"/>
    <w:rsid w:val="00501857"/>
    <w:rsid w:val="005018A3"/>
    <w:rsid w:val="0050190F"/>
    <w:rsid w:val="00501927"/>
    <w:rsid w:val="0050193C"/>
    <w:rsid w:val="0050194D"/>
    <w:rsid w:val="0050197A"/>
    <w:rsid w:val="00501992"/>
    <w:rsid w:val="005019D1"/>
    <w:rsid w:val="00501A1B"/>
    <w:rsid w:val="00501A2C"/>
    <w:rsid w:val="00501A6C"/>
    <w:rsid w:val="00501A93"/>
    <w:rsid w:val="00501A9F"/>
    <w:rsid w:val="00501ADC"/>
    <w:rsid w:val="00501AE3"/>
    <w:rsid w:val="00501B08"/>
    <w:rsid w:val="00501C67"/>
    <w:rsid w:val="00501CC1"/>
    <w:rsid w:val="00501CCB"/>
    <w:rsid w:val="00501CD1"/>
    <w:rsid w:val="00501D53"/>
    <w:rsid w:val="00501DD7"/>
    <w:rsid w:val="00501E3A"/>
    <w:rsid w:val="00501E7F"/>
    <w:rsid w:val="00501E94"/>
    <w:rsid w:val="00501EF7"/>
    <w:rsid w:val="00501FD5"/>
    <w:rsid w:val="00501FDA"/>
    <w:rsid w:val="0050202E"/>
    <w:rsid w:val="00502074"/>
    <w:rsid w:val="005020F8"/>
    <w:rsid w:val="00502116"/>
    <w:rsid w:val="00502149"/>
    <w:rsid w:val="00502159"/>
    <w:rsid w:val="00502191"/>
    <w:rsid w:val="00502238"/>
    <w:rsid w:val="0050223A"/>
    <w:rsid w:val="00502279"/>
    <w:rsid w:val="005022A2"/>
    <w:rsid w:val="005022CF"/>
    <w:rsid w:val="00502323"/>
    <w:rsid w:val="0050235A"/>
    <w:rsid w:val="005023CA"/>
    <w:rsid w:val="005023DB"/>
    <w:rsid w:val="00502451"/>
    <w:rsid w:val="00502491"/>
    <w:rsid w:val="005024AA"/>
    <w:rsid w:val="005024C1"/>
    <w:rsid w:val="00502546"/>
    <w:rsid w:val="0050258D"/>
    <w:rsid w:val="005025D0"/>
    <w:rsid w:val="005025DA"/>
    <w:rsid w:val="005025EF"/>
    <w:rsid w:val="0050260F"/>
    <w:rsid w:val="00502620"/>
    <w:rsid w:val="00502659"/>
    <w:rsid w:val="0050267B"/>
    <w:rsid w:val="00502694"/>
    <w:rsid w:val="005026F9"/>
    <w:rsid w:val="005026FF"/>
    <w:rsid w:val="0050275D"/>
    <w:rsid w:val="005027D0"/>
    <w:rsid w:val="005027D5"/>
    <w:rsid w:val="005028C5"/>
    <w:rsid w:val="005028C6"/>
    <w:rsid w:val="00502935"/>
    <w:rsid w:val="00502A3A"/>
    <w:rsid w:val="00502A54"/>
    <w:rsid w:val="00502A78"/>
    <w:rsid w:val="00502A9F"/>
    <w:rsid w:val="00502B6D"/>
    <w:rsid w:val="00502BD5"/>
    <w:rsid w:val="00502C48"/>
    <w:rsid w:val="00502C54"/>
    <w:rsid w:val="00502C88"/>
    <w:rsid w:val="00502CB6"/>
    <w:rsid w:val="00502D5A"/>
    <w:rsid w:val="00502D7E"/>
    <w:rsid w:val="00502D91"/>
    <w:rsid w:val="00502E2B"/>
    <w:rsid w:val="00502E2D"/>
    <w:rsid w:val="00502E2F"/>
    <w:rsid w:val="00502E31"/>
    <w:rsid w:val="00502E4F"/>
    <w:rsid w:val="00502EF4"/>
    <w:rsid w:val="00502F65"/>
    <w:rsid w:val="00502F88"/>
    <w:rsid w:val="00502FEE"/>
    <w:rsid w:val="0050301A"/>
    <w:rsid w:val="0050306B"/>
    <w:rsid w:val="005030B9"/>
    <w:rsid w:val="005030C0"/>
    <w:rsid w:val="0050316D"/>
    <w:rsid w:val="00503178"/>
    <w:rsid w:val="005031AB"/>
    <w:rsid w:val="0050327C"/>
    <w:rsid w:val="0050328C"/>
    <w:rsid w:val="005032BF"/>
    <w:rsid w:val="00503353"/>
    <w:rsid w:val="005033E7"/>
    <w:rsid w:val="00503495"/>
    <w:rsid w:val="005034C3"/>
    <w:rsid w:val="005034E2"/>
    <w:rsid w:val="00503579"/>
    <w:rsid w:val="005035E4"/>
    <w:rsid w:val="00503659"/>
    <w:rsid w:val="0050365A"/>
    <w:rsid w:val="005036BC"/>
    <w:rsid w:val="0050372A"/>
    <w:rsid w:val="00503776"/>
    <w:rsid w:val="00503779"/>
    <w:rsid w:val="005037CC"/>
    <w:rsid w:val="005038C2"/>
    <w:rsid w:val="005038C7"/>
    <w:rsid w:val="00503902"/>
    <w:rsid w:val="0050394B"/>
    <w:rsid w:val="00503997"/>
    <w:rsid w:val="005039E0"/>
    <w:rsid w:val="005039FB"/>
    <w:rsid w:val="00503A3D"/>
    <w:rsid w:val="00503AAC"/>
    <w:rsid w:val="00503C71"/>
    <w:rsid w:val="00503D2B"/>
    <w:rsid w:val="00503D52"/>
    <w:rsid w:val="00503D85"/>
    <w:rsid w:val="00503DC0"/>
    <w:rsid w:val="00503E71"/>
    <w:rsid w:val="00503EB2"/>
    <w:rsid w:val="00503EC2"/>
    <w:rsid w:val="00503EF6"/>
    <w:rsid w:val="00503F1F"/>
    <w:rsid w:val="00503F24"/>
    <w:rsid w:val="00503FA1"/>
    <w:rsid w:val="00503FC7"/>
    <w:rsid w:val="0050400C"/>
    <w:rsid w:val="0050403D"/>
    <w:rsid w:val="005040D2"/>
    <w:rsid w:val="005040F4"/>
    <w:rsid w:val="00504115"/>
    <w:rsid w:val="00504143"/>
    <w:rsid w:val="00504166"/>
    <w:rsid w:val="00504212"/>
    <w:rsid w:val="0050426E"/>
    <w:rsid w:val="005042A4"/>
    <w:rsid w:val="005042E3"/>
    <w:rsid w:val="005042EE"/>
    <w:rsid w:val="0050431A"/>
    <w:rsid w:val="0050433D"/>
    <w:rsid w:val="0050434B"/>
    <w:rsid w:val="005043DD"/>
    <w:rsid w:val="005043F4"/>
    <w:rsid w:val="0050441E"/>
    <w:rsid w:val="00504447"/>
    <w:rsid w:val="00504468"/>
    <w:rsid w:val="005044D4"/>
    <w:rsid w:val="00504512"/>
    <w:rsid w:val="00504538"/>
    <w:rsid w:val="0050454D"/>
    <w:rsid w:val="0050459D"/>
    <w:rsid w:val="005045A9"/>
    <w:rsid w:val="005045C3"/>
    <w:rsid w:val="00504612"/>
    <w:rsid w:val="0050463A"/>
    <w:rsid w:val="00504685"/>
    <w:rsid w:val="005046B5"/>
    <w:rsid w:val="005046C5"/>
    <w:rsid w:val="005046F8"/>
    <w:rsid w:val="00504739"/>
    <w:rsid w:val="00504784"/>
    <w:rsid w:val="005047C5"/>
    <w:rsid w:val="00504800"/>
    <w:rsid w:val="00504831"/>
    <w:rsid w:val="00504849"/>
    <w:rsid w:val="00504880"/>
    <w:rsid w:val="005048B8"/>
    <w:rsid w:val="005048C1"/>
    <w:rsid w:val="005048E5"/>
    <w:rsid w:val="005048F0"/>
    <w:rsid w:val="005048F8"/>
    <w:rsid w:val="005049AE"/>
    <w:rsid w:val="005049FB"/>
    <w:rsid w:val="00504A54"/>
    <w:rsid w:val="00504A64"/>
    <w:rsid w:val="00504A66"/>
    <w:rsid w:val="00504A6D"/>
    <w:rsid w:val="00504A92"/>
    <w:rsid w:val="00504B40"/>
    <w:rsid w:val="00504B4D"/>
    <w:rsid w:val="00504B62"/>
    <w:rsid w:val="00504B86"/>
    <w:rsid w:val="00504C37"/>
    <w:rsid w:val="00504D74"/>
    <w:rsid w:val="00504E57"/>
    <w:rsid w:val="00504E7F"/>
    <w:rsid w:val="00504E83"/>
    <w:rsid w:val="00504EAD"/>
    <w:rsid w:val="00504EE6"/>
    <w:rsid w:val="00504F23"/>
    <w:rsid w:val="00504F29"/>
    <w:rsid w:val="00504F55"/>
    <w:rsid w:val="00504F59"/>
    <w:rsid w:val="00504FB2"/>
    <w:rsid w:val="00504FBF"/>
    <w:rsid w:val="00504FC1"/>
    <w:rsid w:val="00505000"/>
    <w:rsid w:val="00505038"/>
    <w:rsid w:val="005050DB"/>
    <w:rsid w:val="0050510B"/>
    <w:rsid w:val="00505126"/>
    <w:rsid w:val="0050513B"/>
    <w:rsid w:val="00505153"/>
    <w:rsid w:val="00505171"/>
    <w:rsid w:val="0050518E"/>
    <w:rsid w:val="005051FB"/>
    <w:rsid w:val="00505247"/>
    <w:rsid w:val="00505251"/>
    <w:rsid w:val="00505296"/>
    <w:rsid w:val="005052A9"/>
    <w:rsid w:val="005052E2"/>
    <w:rsid w:val="005052EC"/>
    <w:rsid w:val="0050531F"/>
    <w:rsid w:val="00505327"/>
    <w:rsid w:val="0050534B"/>
    <w:rsid w:val="00505361"/>
    <w:rsid w:val="0050536B"/>
    <w:rsid w:val="005053AF"/>
    <w:rsid w:val="005053D6"/>
    <w:rsid w:val="0050540C"/>
    <w:rsid w:val="00505477"/>
    <w:rsid w:val="00505494"/>
    <w:rsid w:val="00505498"/>
    <w:rsid w:val="005054C6"/>
    <w:rsid w:val="0050551F"/>
    <w:rsid w:val="0050552D"/>
    <w:rsid w:val="0050553A"/>
    <w:rsid w:val="005055CD"/>
    <w:rsid w:val="00505620"/>
    <w:rsid w:val="00505635"/>
    <w:rsid w:val="0050565E"/>
    <w:rsid w:val="005056C8"/>
    <w:rsid w:val="0050571F"/>
    <w:rsid w:val="00505734"/>
    <w:rsid w:val="00505763"/>
    <w:rsid w:val="00505767"/>
    <w:rsid w:val="005057D6"/>
    <w:rsid w:val="005057E1"/>
    <w:rsid w:val="005057FB"/>
    <w:rsid w:val="00505853"/>
    <w:rsid w:val="0050588B"/>
    <w:rsid w:val="005058B6"/>
    <w:rsid w:val="005058EB"/>
    <w:rsid w:val="0050590C"/>
    <w:rsid w:val="00505934"/>
    <w:rsid w:val="005059A5"/>
    <w:rsid w:val="00505A49"/>
    <w:rsid w:val="00505A7F"/>
    <w:rsid w:val="00505AC0"/>
    <w:rsid w:val="00505B1F"/>
    <w:rsid w:val="00505B32"/>
    <w:rsid w:val="00505B6D"/>
    <w:rsid w:val="00505C10"/>
    <w:rsid w:val="00505CBC"/>
    <w:rsid w:val="00505CEA"/>
    <w:rsid w:val="00505CF1"/>
    <w:rsid w:val="00505D5A"/>
    <w:rsid w:val="00505D8B"/>
    <w:rsid w:val="00505DD5"/>
    <w:rsid w:val="00505DFB"/>
    <w:rsid w:val="00505E1E"/>
    <w:rsid w:val="00505E28"/>
    <w:rsid w:val="00505E42"/>
    <w:rsid w:val="00505E6F"/>
    <w:rsid w:val="00505EF4"/>
    <w:rsid w:val="00505F31"/>
    <w:rsid w:val="00505F63"/>
    <w:rsid w:val="00506002"/>
    <w:rsid w:val="0050609C"/>
    <w:rsid w:val="005061C2"/>
    <w:rsid w:val="00506211"/>
    <w:rsid w:val="0050622B"/>
    <w:rsid w:val="00506286"/>
    <w:rsid w:val="005062B2"/>
    <w:rsid w:val="005062D2"/>
    <w:rsid w:val="005062F0"/>
    <w:rsid w:val="00506377"/>
    <w:rsid w:val="00506385"/>
    <w:rsid w:val="00506390"/>
    <w:rsid w:val="005063CF"/>
    <w:rsid w:val="005063E9"/>
    <w:rsid w:val="005063F5"/>
    <w:rsid w:val="0050643F"/>
    <w:rsid w:val="00506494"/>
    <w:rsid w:val="005064DE"/>
    <w:rsid w:val="00506576"/>
    <w:rsid w:val="0050659F"/>
    <w:rsid w:val="005065CC"/>
    <w:rsid w:val="005065FF"/>
    <w:rsid w:val="00506694"/>
    <w:rsid w:val="005066DF"/>
    <w:rsid w:val="00506702"/>
    <w:rsid w:val="0050675E"/>
    <w:rsid w:val="005067D4"/>
    <w:rsid w:val="005067F7"/>
    <w:rsid w:val="00506873"/>
    <w:rsid w:val="005068A0"/>
    <w:rsid w:val="0050691B"/>
    <w:rsid w:val="005069AD"/>
    <w:rsid w:val="00506A7A"/>
    <w:rsid w:val="00506B0B"/>
    <w:rsid w:val="00506B17"/>
    <w:rsid w:val="00506B19"/>
    <w:rsid w:val="00506B88"/>
    <w:rsid w:val="00506BA7"/>
    <w:rsid w:val="00506C4A"/>
    <w:rsid w:val="00506C5F"/>
    <w:rsid w:val="00506CF3"/>
    <w:rsid w:val="00506CF5"/>
    <w:rsid w:val="00506D48"/>
    <w:rsid w:val="00506D49"/>
    <w:rsid w:val="00506D9D"/>
    <w:rsid w:val="00506DAD"/>
    <w:rsid w:val="00506DE0"/>
    <w:rsid w:val="00506DF2"/>
    <w:rsid w:val="00506F31"/>
    <w:rsid w:val="00506F46"/>
    <w:rsid w:val="00506FAD"/>
    <w:rsid w:val="00506FDD"/>
    <w:rsid w:val="00506FE0"/>
    <w:rsid w:val="00507056"/>
    <w:rsid w:val="00507081"/>
    <w:rsid w:val="005070C7"/>
    <w:rsid w:val="005070E0"/>
    <w:rsid w:val="0050713A"/>
    <w:rsid w:val="0050714E"/>
    <w:rsid w:val="0050718F"/>
    <w:rsid w:val="005071B1"/>
    <w:rsid w:val="005071E0"/>
    <w:rsid w:val="005072FB"/>
    <w:rsid w:val="00507370"/>
    <w:rsid w:val="00507472"/>
    <w:rsid w:val="005074BC"/>
    <w:rsid w:val="0050750E"/>
    <w:rsid w:val="0050755D"/>
    <w:rsid w:val="005075BC"/>
    <w:rsid w:val="005075C6"/>
    <w:rsid w:val="005075D2"/>
    <w:rsid w:val="00507616"/>
    <w:rsid w:val="00507625"/>
    <w:rsid w:val="00507693"/>
    <w:rsid w:val="005076AA"/>
    <w:rsid w:val="005076E3"/>
    <w:rsid w:val="00507702"/>
    <w:rsid w:val="005077A7"/>
    <w:rsid w:val="00507853"/>
    <w:rsid w:val="005078B3"/>
    <w:rsid w:val="005078C4"/>
    <w:rsid w:val="005078CB"/>
    <w:rsid w:val="00507901"/>
    <w:rsid w:val="005079C5"/>
    <w:rsid w:val="00507A16"/>
    <w:rsid w:val="00507A6B"/>
    <w:rsid w:val="00507A70"/>
    <w:rsid w:val="00507B08"/>
    <w:rsid w:val="00507B2A"/>
    <w:rsid w:val="00507B31"/>
    <w:rsid w:val="00507B60"/>
    <w:rsid w:val="00507BA5"/>
    <w:rsid w:val="00507BF0"/>
    <w:rsid w:val="00507C33"/>
    <w:rsid w:val="00507C42"/>
    <w:rsid w:val="00507C65"/>
    <w:rsid w:val="00507D14"/>
    <w:rsid w:val="00507D15"/>
    <w:rsid w:val="00507D20"/>
    <w:rsid w:val="00507DA1"/>
    <w:rsid w:val="00507DC3"/>
    <w:rsid w:val="00507E79"/>
    <w:rsid w:val="00507EFB"/>
    <w:rsid w:val="00507F79"/>
    <w:rsid w:val="00507F98"/>
    <w:rsid w:val="00510072"/>
    <w:rsid w:val="005100B2"/>
    <w:rsid w:val="005100C4"/>
    <w:rsid w:val="005100E0"/>
    <w:rsid w:val="00510179"/>
    <w:rsid w:val="0051017E"/>
    <w:rsid w:val="005101D0"/>
    <w:rsid w:val="005101D6"/>
    <w:rsid w:val="005102DC"/>
    <w:rsid w:val="0051043F"/>
    <w:rsid w:val="005104DA"/>
    <w:rsid w:val="005104FF"/>
    <w:rsid w:val="00510552"/>
    <w:rsid w:val="005105CE"/>
    <w:rsid w:val="00510635"/>
    <w:rsid w:val="00510687"/>
    <w:rsid w:val="005106D9"/>
    <w:rsid w:val="0051078A"/>
    <w:rsid w:val="005107A0"/>
    <w:rsid w:val="005107CB"/>
    <w:rsid w:val="005107F6"/>
    <w:rsid w:val="00510846"/>
    <w:rsid w:val="005108A8"/>
    <w:rsid w:val="0051093E"/>
    <w:rsid w:val="005109C3"/>
    <w:rsid w:val="00510A76"/>
    <w:rsid w:val="00510ABF"/>
    <w:rsid w:val="00510C8E"/>
    <w:rsid w:val="00510CD7"/>
    <w:rsid w:val="00510CD8"/>
    <w:rsid w:val="00510D56"/>
    <w:rsid w:val="00510DD2"/>
    <w:rsid w:val="00510DE0"/>
    <w:rsid w:val="00510E1B"/>
    <w:rsid w:val="00510EA4"/>
    <w:rsid w:val="00510EE6"/>
    <w:rsid w:val="00510F18"/>
    <w:rsid w:val="00510F4F"/>
    <w:rsid w:val="00510F83"/>
    <w:rsid w:val="00510F8E"/>
    <w:rsid w:val="00510F9F"/>
    <w:rsid w:val="00510FBB"/>
    <w:rsid w:val="00510FCD"/>
    <w:rsid w:val="00510FEA"/>
    <w:rsid w:val="0051102D"/>
    <w:rsid w:val="005110C5"/>
    <w:rsid w:val="005110CD"/>
    <w:rsid w:val="00511126"/>
    <w:rsid w:val="00511145"/>
    <w:rsid w:val="0051120D"/>
    <w:rsid w:val="00511242"/>
    <w:rsid w:val="0051126B"/>
    <w:rsid w:val="005112A9"/>
    <w:rsid w:val="00511349"/>
    <w:rsid w:val="005113EC"/>
    <w:rsid w:val="0051143E"/>
    <w:rsid w:val="0051146B"/>
    <w:rsid w:val="0051147E"/>
    <w:rsid w:val="00511492"/>
    <w:rsid w:val="005114B1"/>
    <w:rsid w:val="005114CD"/>
    <w:rsid w:val="0051150E"/>
    <w:rsid w:val="0051160A"/>
    <w:rsid w:val="00511638"/>
    <w:rsid w:val="00511689"/>
    <w:rsid w:val="005116A7"/>
    <w:rsid w:val="005116AD"/>
    <w:rsid w:val="005116B0"/>
    <w:rsid w:val="00511734"/>
    <w:rsid w:val="0051174D"/>
    <w:rsid w:val="00511767"/>
    <w:rsid w:val="0051176C"/>
    <w:rsid w:val="00511801"/>
    <w:rsid w:val="00511841"/>
    <w:rsid w:val="00511875"/>
    <w:rsid w:val="005118C0"/>
    <w:rsid w:val="005118F5"/>
    <w:rsid w:val="00511984"/>
    <w:rsid w:val="005119C5"/>
    <w:rsid w:val="00511A53"/>
    <w:rsid w:val="00511A5C"/>
    <w:rsid w:val="00511AA6"/>
    <w:rsid w:val="00511AE9"/>
    <w:rsid w:val="00511B26"/>
    <w:rsid w:val="00511B51"/>
    <w:rsid w:val="00511B8B"/>
    <w:rsid w:val="00511BC7"/>
    <w:rsid w:val="00511BCB"/>
    <w:rsid w:val="00511C11"/>
    <w:rsid w:val="00511C9C"/>
    <w:rsid w:val="00511D26"/>
    <w:rsid w:val="00511D2C"/>
    <w:rsid w:val="00511D8D"/>
    <w:rsid w:val="00511DA8"/>
    <w:rsid w:val="00511DC6"/>
    <w:rsid w:val="00511E45"/>
    <w:rsid w:val="00511E6D"/>
    <w:rsid w:val="00511ED2"/>
    <w:rsid w:val="00512014"/>
    <w:rsid w:val="00512049"/>
    <w:rsid w:val="005120D2"/>
    <w:rsid w:val="005120E2"/>
    <w:rsid w:val="00512118"/>
    <w:rsid w:val="005121C5"/>
    <w:rsid w:val="005121DB"/>
    <w:rsid w:val="00512253"/>
    <w:rsid w:val="0051228E"/>
    <w:rsid w:val="005122BB"/>
    <w:rsid w:val="005122F0"/>
    <w:rsid w:val="0051230C"/>
    <w:rsid w:val="00512343"/>
    <w:rsid w:val="00512351"/>
    <w:rsid w:val="0051238D"/>
    <w:rsid w:val="005123E2"/>
    <w:rsid w:val="00512454"/>
    <w:rsid w:val="00512487"/>
    <w:rsid w:val="005124BF"/>
    <w:rsid w:val="005124F1"/>
    <w:rsid w:val="00512582"/>
    <w:rsid w:val="005125CB"/>
    <w:rsid w:val="00512632"/>
    <w:rsid w:val="00512647"/>
    <w:rsid w:val="005127F9"/>
    <w:rsid w:val="00512843"/>
    <w:rsid w:val="00512900"/>
    <w:rsid w:val="00512946"/>
    <w:rsid w:val="00512982"/>
    <w:rsid w:val="00512998"/>
    <w:rsid w:val="005129B5"/>
    <w:rsid w:val="005129E3"/>
    <w:rsid w:val="00512A08"/>
    <w:rsid w:val="00512A1F"/>
    <w:rsid w:val="00512A35"/>
    <w:rsid w:val="00512A64"/>
    <w:rsid w:val="00512BAA"/>
    <w:rsid w:val="00512BF0"/>
    <w:rsid w:val="00512C42"/>
    <w:rsid w:val="00512C55"/>
    <w:rsid w:val="00512C5C"/>
    <w:rsid w:val="00512C73"/>
    <w:rsid w:val="00512C76"/>
    <w:rsid w:val="00512C93"/>
    <w:rsid w:val="00512CCA"/>
    <w:rsid w:val="00512CCC"/>
    <w:rsid w:val="00512D0C"/>
    <w:rsid w:val="00512D0D"/>
    <w:rsid w:val="00512D12"/>
    <w:rsid w:val="00512D34"/>
    <w:rsid w:val="00512D50"/>
    <w:rsid w:val="00512D96"/>
    <w:rsid w:val="00512DF9"/>
    <w:rsid w:val="00512E43"/>
    <w:rsid w:val="00512E80"/>
    <w:rsid w:val="00512EBA"/>
    <w:rsid w:val="00512EF5"/>
    <w:rsid w:val="00512F84"/>
    <w:rsid w:val="00513033"/>
    <w:rsid w:val="00513099"/>
    <w:rsid w:val="005130A4"/>
    <w:rsid w:val="00513108"/>
    <w:rsid w:val="00513117"/>
    <w:rsid w:val="0051312C"/>
    <w:rsid w:val="0051313B"/>
    <w:rsid w:val="0051318C"/>
    <w:rsid w:val="0051318F"/>
    <w:rsid w:val="005131A8"/>
    <w:rsid w:val="005131AB"/>
    <w:rsid w:val="0051327E"/>
    <w:rsid w:val="00513288"/>
    <w:rsid w:val="005132AA"/>
    <w:rsid w:val="005132D0"/>
    <w:rsid w:val="005132D4"/>
    <w:rsid w:val="005132F5"/>
    <w:rsid w:val="00513313"/>
    <w:rsid w:val="00513338"/>
    <w:rsid w:val="00513378"/>
    <w:rsid w:val="0051338E"/>
    <w:rsid w:val="00513397"/>
    <w:rsid w:val="00513468"/>
    <w:rsid w:val="00513469"/>
    <w:rsid w:val="00513486"/>
    <w:rsid w:val="00513500"/>
    <w:rsid w:val="00513504"/>
    <w:rsid w:val="00513518"/>
    <w:rsid w:val="005135CA"/>
    <w:rsid w:val="00513663"/>
    <w:rsid w:val="00513689"/>
    <w:rsid w:val="005136D8"/>
    <w:rsid w:val="0051383F"/>
    <w:rsid w:val="00513840"/>
    <w:rsid w:val="00513847"/>
    <w:rsid w:val="00513878"/>
    <w:rsid w:val="00513879"/>
    <w:rsid w:val="00513894"/>
    <w:rsid w:val="00513973"/>
    <w:rsid w:val="0051397C"/>
    <w:rsid w:val="005139E3"/>
    <w:rsid w:val="00513A4B"/>
    <w:rsid w:val="00513A78"/>
    <w:rsid w:val="00513A79"/>
    <w:rsid w:val="00513AE6"/>
    <w:rsid w:val="00513B08"/>
    <w:rsid w:val="00513B56"/>
    <w:rsid w:val="00513B9B"/>
    <w:rsid w:val="00513C11"/>
    <w:rsid w:val="00513CAD"/>
    <w:rsid w:val="00513CF2"/>
    <w:rsid w:val="00513D66"/>
    <w:rsid w:val="00513DCB"/>
    <w:rsid w:val="00513E18"/>
    <w:rsid w:val="00513E5B"/>
    <w:rsid w:val="00513F92"/>
    <w:rsid w:val="00513FA5"/>
    <w:rsid w:val="00513FC5"/>
    <w:rsid w:val="0051400A"/>
    <w:rsid w:val="00514043"/>
    <w:rsid w:val="005140D9"/>
    <w:rsid w:val="0051411B"/>
    <w:rsid w:val="00514146"/>
    <w:rsid w:val="0051415C"/>
    <w:rsid w:val="00514169"/>
    <w:rsid w:val="00514175"/>
    <w:rsid w:val="00514188"/>
    <w:rsid w:val="005141A6"/>
    <w:rsid w:val="005141BA"/>
    <w:rsid w:val="005141BC"/>
    <w:rsid w:val="005141E6"/>
    <w:rsid w:val="005141ED"/>
    <w:rsid w:val="0051429F"/>
    <w:rsid w:val="005142EA"/>
    <w:rsid w:val="005143AF"/>
    <w:rsid w:val="005143B8"/>
    <w:rsid w:val="00514463"/>
    <w:rsid w:val="0051446A"/>
    <w:rsid w:val="005144E4"/>
    <w:rsid w:val="005146D9"/>
    <w:rsid w:val="005146F7"/>
    <w:rsid w:val="0051478D"/>
    <w:rsid w:val="00514801"/>
    <w:rsid w:val="0051481C"/>
    <w:rsid w:val="0051484C"/>
    <w:rsid w:val="0051490A"/>
    <w:rsid w:val="00514952"/>
    <w:rsid w:val="00514990"/>
    <w:rsid w:val="00514996"/>
    <w:rsid w:val="005149D5"/>
    <w:rsid w:val="005149DF"/>
    <w:rsid w:val="00514A3E"/>
    <w:rsid w:val="00514A4D"/>
    <w:rsid w:val="00514A67"/>
    <w:rsid w:val="00514B04"/>
    <w:rsid w:val="00514B09"/>
    <w:rsid w:val="00514B3A"/>
    <w:rsid w:val="00514B51"/>
    <w:rsid w:val="00514B65"/>
    <w:rsid w:val="00514B69"/>
    <w:rsid w:val="00514B98"/>
    <w:rsid w:val="00514BA5"/>
    <w:rsid w:val="00514C01"/>
    <w:rsid w:val="00514C2E"/>
    <w:rsid w:val="00514C97"/>
    <w:rsid w:val="00514C99"/>
    <w:rsid w:val="00514CA5"/>
    <w:rsid w:val="00514CFD"/>
    <w:rsid w:val="00514D5C"/>
    <w:rsid w:val="00514D98"/>
    <w:rsid w:val="00514DB8"/>
    <w:rsid w:val="00514DBD"/>
    <w:rsid w:val="00514E03"/>
    <w:rsid w:val="00514E0D"/>
    <w:rsid w:val="00514E53"/>
    <w:rsid w:val="00514E69"/>
    <w:rsid w:val="00514F13"/>
    <w:rsid w:val="00514F17"/>
    <w:rsid w:val="00514F3D"/>
    <w:rsid w:val="00514F52"/>
    <w:rsid w:val="00514FD4"/>
    <w:rsid w:val="00514FE2"/>
    <w:rsid w:val="0051509A"/>
    <w:rsid w:val="00515181"/>
    <w:rsid w:val="00515191"/>
    <w:rsid w:val="00515200"/>
    <w:rsid w:val="00515345"/>
    <w:rsid w:val="00515391"/>
    <w:rsid w:val="005153A4"/>
    <w:rsid w:val="005153FA"/>
    <w:rsid w:val="00515456"/>
    <w:rsid w:val="0051549D"/>
    <w:rsid w:val="005154DF"/>
    <w:rsid w:val="0051556E"/>
    <w:rsid w:val="00515657"/>
    <w:rsid w:val="00515684"/>
    <w:rsid w:val="005156D6"/>
    <w:rsid w:val="005156F5"/>
    <w:rsid w:val="0051570B"/>
    <w:rsid w:val="0051571C"/>
    <w:rsid w:val="0051574E"/>
    <w:rsid w:val="00515780"/>
    <w:rsid w:val="005157BE"/>
    <w:rsid w:val="005157C1"/>
    <w:rsid w:val="00515833"/>
    <w:rsid w:val="00515854"/>
    <w:rsid w:val="0051586C"/>
    <w:rsid w:val="005158E4"/>
    <w:rsid w:val="0051596D"/>
    <w:rsid w:val="005159E1"/>
    <w:rsid w:val="005159FF"/>
    <w:rsid w:val="00515A27"/>
    <w:rsid w:val="00515A34"/>
    <w:rsid w:val="00515A37"/>
    <w:rsid w:val="00515B0B"/>
    <w:rsid w:val="00515B23"/>
    <w:rsid w:val="00515B2F"/>
    <w:rsid w:val="00515B4F"/>
    <w:rsid w:val="00515BAF"/>
    <w:rsid w:val="00515BBF"/>
    <w:rsid w:val="00515C36"/>
    <w:rsid w:val="00515C63"/>
    <w:rsid w:val="00515CEE"/>
    <w:rsid w:val="00515CFC"/>
    <w:rsid w:val="00515D23"/>
    <w:rsid w:val="00515DD6"/>
    <w:rsid w:val="00515DE6"/>
    <w:rsid w:val="00515E6B"/>
    <w:rsid w:val="00515E7E"/>
    <w:rsid w:val="00515EF2"/>
    <w:rsid w:val="00515F63"/>
    <w:rsid w:val="00515F90"/>
    <w:rsid w:val="00515FAA"/>
    <w:rsid w:val="00515FEB"/>
    <w:rsid w:val="0051618B"/>
    <w:rsid w:val="005161BA"/>
    <w:rsid w:val="005161C3"/>
    <w:rsid w:val="0051623D"/>
    <w:rsid w:val="005162C0"/>
    <w:rsid w:val="005162E3"/>
    <w:rsid w:val="005163B6"/>
    <w:rsid w:val="0051642E"/>
    <w:rsid w:val="0051649A"/>
    <w:rsid w:val="0051650A"/>
    <w:rsid w:val="00516570"/>
    <w:rsid w:val="00516574"/>
    <w:rsid w:val="00516579"/>
    <w:rsid w:val="00516596"/>
    <w:rsid w:val="0051659A"/>
    <w:rsid w:val="005165E0"/>
    <w:rsid w:val="00516625"/>
    <w:rsid w:val="0051668B"/>
    <w:rsid w:val="005166B4"/>
    <w:rsid w:val="005166CB"/>
    <w:rsid w:val="005166E8"/>
    <w:rsid w:val="005166FF"/>
    <w:rsid w:val="005167C6"/>
    <w:rsid w:val="00516813"/>
    <w:rsid w:val="005168C2"/>
    <w:rsid w:val="00516905"/>
    <w:rsid w:val="005169B1"/>
    <w:rsid w:val="00516A74"/>
    <w:rsid w:val="00516AB0"/>
    <w:rsid w:val="00516AF9"/>
    <w:rsid w:val="00516B05"/>
    <w:rsid w:val="00516B24"/>
    <w:rsid w:val="00516B34"/>
    <w:rsid w:val="00516B48"/>
    <w:rsid w:val="00516B98"/>
    <w:rsid w:val="00516BEF"/>
    <w:rsid w:val="00516C13"/>
    <w:rsid w:val="00516C90"/>
    <w:rsid w:val="00516CAC"/>
    <w:rsid w:val="00516CAE"/>
    <w:rsid w:val="00516CE5"/>
    <w:rsid w:val="00516CE7"/>
    <w:rsid w:val="00516DA3"/>
    <w:rsid w:val="00516DAD"/>
    <w:rsid w:val="00516DCA"/>
    <w:rsid w:val="00516DD5"/>
    <w:rsid w:val="00516E43"/>
    <w:rsid w:val="00516E6C"/>
    <w:rsid w:val="00516F53"/>
    <w:rsid w:val="00516F56"/>
    <w:rsid w:val="00516FAE"/>
    <w:rsid w:val="00516FEA"/>
    <w:rsid w:val="00517007"/>
    <w:rsid w:val="00517150"/>
    <w:rsid w:val="00517153"/>
    <w:rsid w:val="005171AB"/>
    <w:rsid w:val="005171E7"/>
    <w:rsid w:val="0051722F"/>
    <w:rsid w:val="00517274"/>
    <w:rsid w:val="0051729E"/>
    <w:rsid w:val="005172A5"/>
    <w:rsid w:val="005172AB"/>
    <w:rsid w:val="005172C1"/>
    <w:rsid w:val="00517394"/>
    <w:rsid w:val="005173E6"/>
    <w:rsid w:val="005174D4"/>
    <w:rsid w:val="0051755E"/>
    <w:rsid w:val="00517571"/>
    <w:rsid w:val="00517595"/>
    <w:rsid w:val="005175DA"/>
    <w:rsid w:val="005175DC"/>
    <w:rsid w:val="00517607"/>
    <w:rsid w:val="0051762F"/>
    <w:rsid w:val="00517632"/>
    <w:rsid w:val="00517673"/>
    <w:rsid w:val="0051767F"/>
    <w:rsid w:val="00517697"/>
    <w:rsid w:val="00517770"/>
    <w:rsid w:val="00517784"/>
    <w:rsid w:val="00517789"/>
    <w:rsid w:val="00517870"/>
    <w:rsid w:val="0051787F"/>
    <w:rsid w:val="0051789E"/>
    <w:rsid w:val="005178AA"/>
    <w:rsid w:val="005178D8"/>
    <w:rsid w:val="005178E5"/>
    <w:rsid w:val="0051791A"/>
    <w:rsid w:val="00517941"/>
    <w:rsid w:val="00517951"/>
    <w:rsid w:val="005179D7"/>
    <w:rsid w:val="005179F9"/>
    <w:rsid w:val="00517A3D"/>
    <w:rsid w:val="00517B31"/>
    <w:rsid w:val="00517BF9"/>
    <w:rsid w:val="00517C33"/>
    <w:rsid w:val="00517C62"/>
    <w:rsid w:val="00517C73"/>
    <w:rsid w:val="00517C8F"/>
    <w:rsid w:val="00517D0C"/>
    <w:rsid w:val="00517E24"/>
    <w:rsid w:val="00517E58"/>
    <w:rsid w:val="00517E65"/>
    <w:rsid w:val="00517EC7"/>
    <w:rsid w:val="00517EFD"/>
    <w:rsid w:val="00517F50"/>
    <w:rsid w:val="00517F59"/>
    <w:rsid w:val="00520022"/>
    <w:rsid w:val="0052002C"/>
    <w:rsid w:val="0052006E"/>
    <w:rsid w:val="0052008B"/>
    <w:rsid w:val="005201B4"/>
    <w:rsid w:val="005201C1"/>
    <w:rsid w:val="00520234"/>
    <w:rsid w:val="0052023B"/>
    <w:rsid w:val="00520245"/>
    <w:rsid w:val="005202DB"/>
    <w:rsid w:val="00520345"/>
    <w:rsid w:val="00520349"/>
    <w:rsid w:val="005203B7"/>
    <w:rsid w:val="00520402"/>
    <w:rsid w:val="00520421"/>
    <w:rsid w:val="005204B4"/>
    <w:rsid w:val="00520544"/>
    <w:rsid w:val="00520583"/>
    <w:rsid w:val="005205A3"/>
    <w:rsid w:val="005205BA"/>
    <w:rsid w:val="005205BC"/>
    <w:rsid w:val="00520640"/>
    <w:rsid w:val="0052066B"/>
    <w:rsid w:val="005207A5"/>
    <w:rsid w:val="005207ED"/>
    <w:rsid w:val="00520843"/>
    <w:rsid w:val="0052086C"/>
    <w:rsid w:val="005208B1"/>
    <w:rsid w:val="005208C8"/>
    <w:rsid w:val="005208E2"/>
    <w:rsid w:val="00520930"/>
    <w:rsid w:val="00520A1C"/>
    <w:rsid w:val="00520A6E"/>
    <w:rsid w:val="00520AB3"/>
    <w:rsid w:val="00520B2F"/>
    <w:rsid w:val="00520B54"/>
    <w:rsid w:val="00520BAB"/>
    <w:rsid w:val="00520C0E"/>
    <w:rsid w:val="00520C4A"/>
    <w:rsid w:val="00520CB5"/>
    <w:rsid w:val="00520CD4"/>
    <w:rsid w:val="00520CEE"/>
    <w:rsid w:val="00520CEF"/>
    <w:rsid w:val="00520D1F"/>
    <w:rsid w:val="00520D23"/>
    <w:rsid w:val="00520D32"/>
    <w:rsid w:val="00520D7E"/>
    <w:rsid w:val="00520E26"/>
    <w:rsid w:val="00520E73"/>
    <w:rsid w:val="00520E77"/>
    <w:rsid w:val="00520EBE"/>
    <w:rsid w:val="00520EC0"/>
    <w:rsid w:val="00521042"/>
    <w:rsid w:val="0052105F"/>
    <w:rsid w:val="00521071"/>
    <w:rsid w:val="005210B6"/>
    <w:rsid w:val="00521122"/>
    <w:rsid w:val="00521210"/>
    <w:rsid w:val="00521293"/>
    <w:rsid w:val="005212A1"/>
    <w:rsid w:val="005212D1"/>
    <w:rsid w:val="00521320"/>
    <w:rsid w:val="005213EC"/>
    <w:rsid w:val="0052141E"/>
    <w:rsid w:val="005214C6"/>
    <w:rsid w:val="005214EE"/>
    <w:rsid w:val="0052153A"/>
    <w:rsid w:val="005215A5"/>
    <w:rsid w:val="005215C4"/>
    <w:rsid w:val="005215D3"/>
    <w:rsid w:val="0052163E"/>
    <w:rsid w:val="0052167C"/>
    <w:rsid w:val="005216D6"/>
    <w:rsid w:val="0052182D"/>
    <w:rsid w:val="0052183A"/>
    <w:rsid w:val="0052187E"/>
    <w:rsid w:val="00521884"/>
    <w:rsid w:val="005218AE"/>
    <w:rsid w:val="00521966"/>
    <w:rsid w:val="005219A1"/>
    <w:rsid w:val="005219FF"/>
    <w:rsid w:val="00521A17"/>
    <w:rsid w:val="00521A34"/>
    <w:rsid w:val="00521A5A"/>
    <w:rsid w:val="00521AB5"/>
    <w:rsid w:val="00521B4B"/>
    <w:rsid w:val="00521B7F"/>
    <w:rsid w:val="00521B87"/>
    <w:rsid w:val="00521BA7"/>
    <w:rsid w:val="00521BF3"/>
    <w:rsid w:val="00521C7A"/>
    <w:rsid w:val="00521D35"/>
    <w:rsid w:val="00521DB4"/>
    <w:rsid w:val="00521DEF"/>
    <w:rsid w:val="00521DF7"/>
    <w:rsid w:val="00521E43"/>
    <w:rsid w:val="00521E46"/>
    <w:rsid w:val="00521E70"/>
    <w:rsid w:val="00521EA9"/>
    <w:rsid w:val="00521F0A"/>
    <w:rsid w:val="00521F50"/>
    <w:rsid w:val="00521F5C"/>
    <w:rsid w:val="0052202D"/>
    <w:rsid w:val="00522034"/>
    <w:rsid w:val="0052205F"/>
    <w:rsid w:val="0052208E"/>
    <w:rsid w:val="005220D6"/>
    <w:rsid w:val="005220D8"/>
    <w:rsid w:val="00522113"/>
    <w:rsid w:val="00522145"/>
    <w:rsid w:val="00522185"/>
    <w:rsid w:val="00522197"/>
    <w:rsid w:val="005221F6"/>
    <w:rsid w:val="0052221D"/>
    <w:rsid w:val="0052222D"/>
    <w:rsid w:val="00522234"/>
    <w:rsid w:val="00522306"/>
    <w:rsid w:val="0052231B"/>
    <w:rsid w:val="00522370"/>
    <w:rsid w:val="0052237F"/>
    <w:rsid w:val="005224B6"/>
    <w:rsid w:val="0052252C"/>
    <w:rsid w:val="005225A4"/>
    <w:rsid w:val="005225E4"/>
    <w:rsid w:val="0052263E"/>
    <w:rsid w:val="00522705"/>
    <w:rsid w:val="0052271C"/>
    <w:rsid w:val="00522786"/>
    <w:rsid w:val="005227A3"/>
    <w:rsid w:val="005227AB"/>
    <w:rsid w:val="00522817"/>
    <w:rsid w:val="0052281B"/>
    <w:rsid w:val="005228A4"/>
    <w:rsid w:val="005228B2"/>
    <w:rsid w:val="0052291E"/>
    <w:rsid w:val="00522987"/>
    <w:rsid w:val="00522A6C"/>
    <w:rsid w:val="00522ACF"/>
    <w:rsid w:val="00522B74"/>
    <w:rsid w:val="00522C1A"/>
    <w:rsid w:val="00522C87"/>
    <w:rsid w:val="00522C9E"/>
    <w:rsid w:val="00522CB0"/>
    <w:rsid w:val="00522CDE"/>
    <w:rsid w:val="00522DFD"/>
    <w:rsid w:val="00522E9E"/>
    <w:rsid w:val="00522EA6"/>
    <w:rsid w:val="00522EB2"/>
    <w:rsid w:val="00522EEE"/>
    <w:rsid w:val="00522F14"/>
    <w:rsid w:val="00522F17"/>
    <w:rsid w:val="00522F28"/>
    <w:rsid w:val="00522F4E"/>
    <w:rsid w:val="00522F73"/>
    <w:rsid w:val="00522F9D"/>
    <w:rsid w:val="00522FA6"/>
    <w:rsid w:val="00522FB5"/>
    <w:rsid w:val="00523051"/>
    <w:rsid w:val="005230A4"/>
    <w:rsid w:val="005230E1"/>
    <w:rsid w:val="0052312F"/>
    <w:rsid w:val="005231FD"/>
    <w:rsid w:val="0052323C"/>
    <w:rsid w:val="0052324E"/>
    <w:rsid w:val="00523310"/>
    <w:rsid w:val="00523390"/>
    <w:rsid w:val="00523398"/>
    <w:rsid w:val="005233F4"/>
    <w:rsid w:val="0052349F"/>
    <w:rsid w:val="005234A0"/>
    <w:rsid w:val="005234E7"/>
    <w:rsid w:val="00523511"/>
    <w:rsid w:val="0052351B"/>
    <w:rsid w:val="00523537"/>
    <w:rsid w:val="00523542"/>
    <w:rsid w:val="005235CF"/>
    <w:rsid w:val="005235D3"/>
    <w:rsid w:val="00523644"/>
    <w:rsid w:val="00523662"/>
    <w:rsid w:val="0052368B"/>
    <w:rsid w:val="00523738"/>
    <w:rsid w:val="00523745"/>
    <w:rsid w:val="005237BC"/>
    <w:rsid w:val="005237D2"/>
    <w:rsid w:val="0052380F"/>
    <w:rsid w:val="005238B6"/>
    <w:rsid w:val="005238C2"/>
    <w:rsid w:val="0052392F"/>
    <w:rsid w:val="00523976"/>
    <w:rsid w:val="005239C0"/>
    <w:rsid w:val="00523A13"/>
    <w:rsid w:val="00523A65"/>
    <w:rsid w:val="00523A83"/>
    <w:rsid w:val="00523B20"/>
    <w:rsid w:val="00523B49"/>
    <w:rsid w:val="00523B64"/>
    <w:rsid w:val="00523BEE"/>
    <w:rsid w:val="00523C24"/>
    <w:rsid w:val="00523C29"/>
    <w:rsid w:val="00523C6A"/>
    <w:rsid w:val="00523C6D"/>
    <w:rsid w:val="00523CCA"/>
    <w:rsid w:val="00523CE6"/>
    <w:rsid w:val="00523D29"/>
    <w:rsid w:val="00523E04"/>
    <w:rsid w:val="00523E18"/>
    <w:rsid w:val="00523E4B"/>
    <w:rsid w:val="00523ED9"/>
    <w:rsid w:val="00523FE3"/>
    <w:rsid w:val="00524050"/>
    <w:rsid w:val="00524052"/>
    <w:rsid w:val="00524125"/>
    <w:rsid w:val="00524130"/>
    <w:rsid w:val="00524166"/>
    <w:rsid w:val="0052423E"/>
    <w:rsid w:val="0052424A"/>
    <w:rsid w:val="0052428F"/>
    <w:rsid w:val="005242A8"/>
    <w:rsid w:val="005242AF"/>
    <w:rsid w:val="005242B8"/>
    <w:rsid w:val="0052438D"/>
    <w:rsid w:val="005243A2"/>
    <w:rsid w:val="005243BD"/>
    <w:rsid w:val="005243EB"/>
    <w:rsid w:val="00524405"/>
    <w:rsid w:val="00524474"/>
    <w:rsid w:val="005244F7"/>
    <w:rsid w:val="00524509"/>
    <w:rsid w:val="0052459E"/>
    <w:rsid w:val="005245B6"/>
    <w:rsid w:val="005245BB"/>
    <w:rsid w:val="00524692"/>
    <w:rsid w:val="00524770"/>
    <w:rsid w:val="0052483C"/>
    <w:rsid w:val="00524855"/>
    <w:rsid w:val="005248B5"/>
    <w:rsid w:val="005248D7"/>
    <w:rsid w:val="00524935"/>
    <w:rsid w:val="0052498A"/>
    <w:rsid w:val="005249F2"/>
    <w:rsid w:val="00524B64"/>
    <w:rsid w:val="00524B7B"/>
    <w:rsid w:val="00524B89"/>
    <w:rsid w:val="00524BD5"/>
    <w:rsid w:val="00524C3C"/>
    <w:rsid w:val="00524D6E"/>
    <w:rsid w:val="00524D96"/>
    <w:rsid w:val="00524DB7"/>
    <w:rsid w:val="00524DBB"/>
    <w:rsid w:val="00524DC1"/>
    <w:rsid w:val="00524DDD"/>
    <w:rsid w:val="00524DE0"/>
    <w:rsid w:val="00524E88"/>
    <w:rsid w:val="00524E9E"/>
    <w:rsid w:val="00524EEA"/>
    <w:rsid w:val="00524F4D"/>
    <w:rsid w:val="00524FA8"/>
    <w:rsid w:val="00524FAA"/>
    <w:rsid w:val="00524FB1"/>
    <w:rsid w:val="00524FDF"/>
    <w:rsid w:val="0052501D"/>
    <w:rsid w:val="00525041"/>
    <w:rsid w:val="00525051"/>
    <w:rsid w:val="005250AB"/>
    <w:rsid w:val="005250B7"/>
    <w:rsid w:val="005250C1"/>
    <w:rsid w:val="005250CC"/>
    <w:rsid w:val="005250CD"/>
    <w:rsid w:val="005250D5"/>
    <w:rsid w:val="00525143"/>
    <w:rsid w:val="0052516C"/>
    <w:rsid w:val="005251C0"/>
    <w:rsid w:val="00525236"/>
    <w:rsid w:val="00525239"/>
    <w:rsid w:val="00525288"/>
    <w:rsid w:val="00525337"/>
    <w:rsid w:val="00525356"/>
    <w:rsid w:val="0052539A"/>
    <w:rsid w:val="0052539E"/>
    <w:rsid w:val="005253A3"/>
    <w:rsid w:val="005253ED"/>
    <w:rsid w:val="00525426"/>
    <w:rsid w:val="00525427"/>
    <w:rsid w:val="005254A4"/>
    <w:rsid w:val="00525570"/>
    <w:rsid w:val="0052557C"/>
    <w:rsid w:val="0052557E"/>
    <w:rsid w:val="005255AF"/>
    <w:rsid w:val="005255C5"/>
    <w:rsid w:val="005255CB"/>
    <w:rsid w:val="005255DE"/>
    <w:rsid w:val="00525615"/>
    <w:rsid w:val="0052566A"/>
    <w:rsid w:val="00525671"/>
    <w:rsid w:val="00525709"/>
    <w:rsid w:val="00525724"/>
    <w:rsid w:val="00525734"/>
    <w:rsid w:val="0052575C"/>
    <w:rsid w:val="005257A2"/>
    <w:rsid w:val="005257F9"/>
    <w:rsid w:val="00525801"/>
    <w:rsid w:val="00525802"/>
    <w:rsid w:val="00525809"/>
    <w:rsid w:val="0052588D"/>
    <w:rsid w:val="005258FE"/>
    <w:rsid w:val="0052590C"/>
    <w:rsid w:val="0052593F"/>
    <w:rsid w:val="00525969"/>
    <w:rsid w:val="005259A1"/>
    <w:rsid w:val="005259B2"/>
    <w:rsid w:val="005259E1"/>
    <w:rsid w:val="00525A25"/>
    <w:rsid w:val="00525A41"/>
    <w:rsid w:val="00525A66"/>
    <w:rsid w:val="00525A8B"/>
    <w:rsid w:val="00525A98"/>
    <w:rsid w:val="00525AD7"/>
    <w:rsid w:val="00525B1A"/>
    <w:rsid w:val="00525B49"/>
    <w:rsid w:val="00525B6D"/>
    <w:rsid w:val="00525B80"/>
    <w:rsid w:val="00525BB5"/>
    <w:rsid w:val="00525BB8"/>
    <w:rsid w:val="00525BFC"/>
    <w:rsid w:val="00525C3E"/>
    <w:rsid w:val="00525C91"/>
    <w:rsid w:val="00525CC2"/>
    <w:rsid w:val="00525D05"/>
    <w:rsid w:val="00525D89"/>
    <w:rsid w:val="00525DA7"/>
    <w:rsid w:val="00525DC3"/>
    <w:rsid w:val="00525E1C"/>
    <w:rsid w:val="00525E79"/>
    <w:rsid w:val="00525E9E"/>
    <w:rsid w:val="00525F37"/>
    <w:rsid w:val="00525FB2"/>
    <w:rsid w:val="00525FFD"/>
    <w:rsid w:val="0052601A"/>
    <w:rsid w:val="005260D0"/>
    <w:rsid w:val="00526116"/>
    <w:rsid w:val="005261FC"/>
    <w:rsid w:val="0052622C"/>
    <w:rsid w:val="00526279"/>
    <w:rsid w:val="005262A5"/>
    <w:rsid w:val="005262E2"/>
    <w:rsid w:val="00526319"/>
    <w:rsid w:val="00526428"/>
    <w:rsid w:val="00526437"/>
    <w:rsid w:val="00526461"/>
    <w:rsid w:val="0052646C"/>
    <w:rsid w:val="005264FD"/>
    <w:rsid w:val="005265A0"/>
    <w:rsid w:val="005265B6"/>
    <w:rsid w:val="005265E7"/>
    <w:rsid w:val="0052664D"/>
    <w:rsid w:val="0052665F"/>
    <w:rsid w:val="00526732"/>
    <w:rsid w:val="00526750"/>
    <w:rsid w:val="0052676C"/>
    <w:rsid w:val="00526835"/>
    <w:rsid w:val="00526858"/>
    <w:rsid w:val="00526862"/>
    <w:rsid w:val="0052687E"/>
    <w:rsid w:val="00526977"/>
    <w:rsid w:val="0052698F"/>
    <w:rsid w:val="00526991"/>
    <w:rsid w:val="005269DC"/>
    <w:rsid w:val="00526AA3"/>
    <w:rsid w:val="00526B08"/>
    <w:rsid w:val="00526B25"/>
    <w:rsid w:val="00526B3A"/>
    <w:rsid w:val="00526B40"/>
    <w:rsid w:val="00526C3E"/>
    <w:rsid w:val="00526C8E"/>
    <w:rsid w:val="00526C8F"/>
    <w:rsid w:val="00526CBC"/>
    <w:rsid w:val="00526CE2"/>
    <w:rsid w:val="00526D04"/>
    <w:rsid w:val="00526D19"/>
    <w:rsid w:val="00526D9D"/>
    <w:rsid w:val="00526DC9"/>
    <w:rsid w:val="00526E5D"/>
    <w:rsid w:val="00526EB5"/>
    <w:rsid w:val="00526F10"/>
    <w:rsid w:val="00526F66"/>
    <w:rsid w:val="00526F90"/>
    <w:rsid w:val="00527079"/>
    <w:rsid w:val="005270B3"/>
    <w:rsid w:val="005270DC"/>
    <w:rsid w:val="005270DE"/>
    <w:rsid w:val="005270F0"/>
    <w:rsid w:val="0052712A"/>
    <w:rsid w:val="0052717E"/>
    <w:rsid w:val="0052718E"/>
    <w:rsid w:val="005271B4"/>
    <w:rsid w:val="005271D7"/>
    <w:rsid w:val="0052724E"/>
    <w:rsid w:val="00527279"/>
    <w:rsid w:val="00527344"/>
    <w:rsid w:val="0052738A"/>
    <w:rsid w:val="005273DD"/>
    <w:rsid w:val="00527412"/>
    <w:rsid w:val="00527452"/>
    <w:rsid w:val="00527490"/>
    <w:rsid w:val="00527512"/>
    <w:rsid w:val="0052751F"/>
    <w:rsid w:val="00527528"/>
    <w:rsid w:val="00527559"/>
    <w:rsid w:val="0052759A"/>
    <w:rsid w:val="00527618"/>
    <w:rsid w:val="0052763A"/>
    <w:rsid w:val="005276A4"/>
    <w:rsid w:val="005276E2"/>
    <w:rsid w:val="005276F6"/>
    <w:rsid w:val="005277EA"/>
    <w:rsid w:val="00527877"/>
    <w:rsid w:val="00527880"/>
    <w:rsid w:val="00527961"/>
    <w:rsid w:val="005279C1"/>
    <w:rsid w:val="005279FE"/>
    <w:rsid w:val="00527A0E"/>
    <w:rsid w:val="00527A9A"/>
    <w:rsid w:val="00527AD1"/>
    <w:rsid w:val="00527ADE"/>
    <w:rsid w:val="00527B0E"/>
    <w:rsid w:val="00527B14"/>
    <w:rsid w:val="00527B64"/>
    <w:rsid w:val="00527B9F"/>
    <w:rsid w:val="00527BD3"/>
    <w:rsid w:val="00527C0A"/>
    <w:rsid w:val="00527CA3"/>
    <w:rsid w:val="00527CD0"/>
    <w:rsid w:val="00527CE7"/>
    <w:rsid w:val="00527D4C"/>
    <w:rsid w:val="00527D85"/>
    <w:rsid w:val="00527DA7"/>
    <w:rsid w:val="00527DAC"/>
    <w:rsid w:val="00527DC9"/>
    <w:rsid w:val="00527E03"/>
    <w:rsid w:val="00527E85"/>
    <w:rsid w:val="00527EAD"/>
    <w:rsid w:val="00527EF9"/>
    <w:rsid w:val="00527F7B"/>
    <w:rsid w:val="00527F92"/>
    <w:rsid w:val="00527FC5"/>
    <w:rsid w:val="00527FED"/>
    <w:rsid w:val="00527FFE"/>
    <w:rsid w:val="0053013A"/>
    <w:rsid w:val="00530153"/>
    <w:rsid w:val="005301AE"/>
    <w:rsid w:val="005301D9"/>
    <w:rsid w:val="005301EA"/>
    <w:rsid w:val="005301FA"/>
    <w:rsid w:val="0053020F"/>
    <w:rsid w:val="0053027F"/>
    <w:rsid w:val="0053029B"/>
    <w:rsid w:val="0053044C"/>
    <w:rsid w:val="00530482"/>
    <w:rsid w:val="005305A7"/>
    <w:rsid w:val="005305E2"/>
    <w:rsid w:val="005305F9"/>
    <w:rsid w:val="00530646"/>
    <w:rsid w:val="0053066B"/>
    <w:rsid w:val="00530717"/>
    <w:rsid w:val="00530719"/>
    <w:rsid w:val="0053074D"/>
    <w:rsid w:val="00530768"/>
    <w:rsid w:val="005307C7"/>
    <w:rsid w:val="005307FF"/>
    <w:rsid w:val="00530851"/>
    <w:rsid w:val="005308D1"/>
    <w:rsid w:val="0053099B"/>
    <w:rsid w:val="005309AB"/>
    <w:rsid w:val="00530A1F"/>
    <w:rsid w:val="00530A4E"/>
    <w:rsid w:val="00530A50"/>
    <w:rsid w:val="00530B76"/>
    <w:rsid w:val="00530B96"/>
    <w:rsid w:val="00530D6D"/>
    <w:rsid w:val="00530D88"/>
    <w:rsid w:val="00530D95"/>
    <w:rsid w:val="00530DF4"/>
    <w:rsid w:val="00530E34"/>
    <w:rsid w:val="00530F35"/>
    <w:rsid w:val="00530F50"/>
    <w:rsid w:val="00530F73"/>
    <w:rsid w:val="00530F9D"/>
    <w:rsid w:val="00530FA9"/>
    <w:rsid w:val="00530FE2"/>
    <w:rsid w:val="00530FE8"/>
    <w:rsid w:val="00530FFA"/>
    <w:rsid w:val="00530FFC"/>
    <w:rsid w:val="00531037"/>
    <w:rsid w:val="005310A4"/>
    <w:rsid w:val="005310C2"/>
    <w:rsid w:val="00531117"/>
    <w:rsid w:val="00531249"/>
    <w:rsid w:val="00531254"/>
    <w:rsid w:val="005313B2"/>
    <w:rsid w:val="00531457"/>
    <w:rsid w:val="0053146D"/>
    <w:rsid w:val="00531497"/>
    <w:rsid w:val="005314E1"/>
    <w:rsid w:val="005315A1"/>
    <w:rsid w:val="005316C9"/>
    <w:rsid w:val="005316F1"/>
    <w:rsid w:val="00531700"/>
    <w:rsid w:val="0053171C"/>
    <w:rsid w:val="0053176B"/>
    <w:rsid w:val="0053177A"/>
    <w:rsid w:val="0053179E"/>
    <w:rsid w:val="005317BF"/>
    <w:rsid w:val="00531849"/>
    <w:rsid w:val="0053191C"/>
    <w:rsid w:val="0053192B"/>
    <w:rsid w:val="00531958"/>
    <w:rsid w:val="005319B3"/>
    <w:rsid w:val="005319EB"/>
    <w:rsid w:val="00531A42"/>
    <w:rsid w:val="00531B3A"/>
    <w:rsid w:val="00531B3D"/>
    <w:rsid w:val="00531B8E"/>
    <w:rsid w:val="00531BFB"/>
    <w:rsid w:val="00531C06"/>
    <w:rsid w:val="00531CB5"/>
    <w:rsid w:val="00531CCE"/>
    <w:rsid w:val="00531D3B"/>
    <w:rsid w:val="00531E15"/>
    <w:rsid w:val="00531EF4"/>
    <w:rsid w:val="00531F1B"/>
    <w:rsid w:val="00531F4D"/>
    <w:rsid w:val="00531F87"/>
    <w:rsid w:val="00531F8B"/>
    <w:rsid w:val="00531FD5"/>
    <w:rsid w:val="00532017"/>
    <w:rsid w:val="00532020"/>
    <w:rsid w:val="00532043"/>
    <w:rsid w:val="00532093"/>
    <w:rsid w:val="00532114"/>
    <w:rsid w:val="0053212C"/>
    <w:rsid w:val="00532157"/>
    <w:rsid w:val="005321E5"/>
    <w:rsid w:val="0053224B"/>
    <w:rsid w:val="005322AF"/>
    <w:rsid w:val="005322E1"/>
    <w:rsid w:val="005322EA"/>
    <w:rsid w:val="0053242B"/>
    <w:rsid w:val="00532443"/>
    <w:rsid w:val="0053247F"/>
    <w:rsid w:val="00532486"/>
    <w:rsid w:val="00532499"/>
    <w:rsid w:val="00532503"/>
    <w:rsid w:val="0053251E"/>
    <w:rsid w:val="005325F2"/>
    <w:rsid w:val="00532623"/>
    <w:rsid w:val="0053263C"/>
    <w:rsid w:val="005326C4"/>
    <w:rsid w:val="005326F3"/>
    <w:rsid w:val="005326FC"/>
    <w:rsid w:val="0053271A"/>
    <w:rsid w:val="005327B4"/>
    <w:rsid w:val="005327B9"/>
    <w:rsid w:val="005327BB"/>
    <w:rsid w:val="005327EC"/>
    <w:rsid w:val="005327F3"/>
    <w:rsid w:val="0053280A"/>
    <w:rsid w:val="0053281C"/>
    <w:rsid w:val="0053284B"/>
    <w:rsid w:val="00532863"/>
    <w:rsid w:val="00532877"/>
    <w:rsid w:val="0053287F"/>
    <w:rsid w:val="00532894"/>
    <w:rsid w:val="005328F2"/>
    <w:rsid w:val="0053298B"/>
    <w:rsid w:val="005329D9"/>
    <w:rsid w:val="005329DF"/>
    <w:rsid w:val="00532A0E"/>
    <w:rsid w:val="00532A48"/>
    <w:rsid w:val="00532A6A"/>
    <w:rsid w:val="00532A6C"/>
    <w:rsid w:val="00532A7E"/>
    <w:rsid w:val="00532AF4"/>
    <w:rsid w:val="00532B29"/>
    <w:rsid w:val="00532B34"/>
    <w:rsid w:val="00532B3F"/>
    <w:rsid w:val="00532B93"/>
    <w:rsid w:val="00532C0E"/>
    <w:rsid w:val="00532C8E"/>
    <w:rsid w:val="00532CE3"/>
    <w:rsid w:val="00532D81"/>
    <w:rsid w:val="00532DA1"/>
    <w:rsid w:val="00532DA5"/>
    <w:rsid w:val="00532DC6"/>
    <w:rsid w:val="00532E08"/>
    <w:rsid w:val="00532E25"/>
    <w:rsid w:val="00532E73"/>
    <w:rsid w:val="00532EEE"/>
    <w:rsid w:val="00532F5C"/>
    <w:rsid w:val="00532F6E"/>
    <w:rsid w:val="00532FEA"/>
    <w:rsid w:val="00533148"/>
    <w:rsid w:val="0053321E"/>
    <w:rsid w:val="0053323C"/>
    <w:rsid w:val="00533258"/>
    <w:rsid w:val="00533295"/>
    <w:rsid w:val="00533338"/>
    <w:rsid w:val="0053333D"/>
    <w:rsid w:val="0053334C"/>
    <w:rsid w:val="00533376"/>
    <w:rsid w:val="005333BC"/>
    <w:rsid w:val="005333DF"/>
    <w:rsid w:val="00533459"/>
    <w:rsid w:val="0053346A"/>
    <w:rsid w:val="00533485"/>
    <w:rsid w:val="00533496"/>
    <w:rsid w:val="005334B3"/>
    <w:rsid w:val="005334D6"/>
    <w:rsid w:val="005334F1"/>
    <w:rsid w:val="00533503"/>
    <w:rsid w:val="00533573"/>
    <w:rsid w:val="00533582"/>
    <w:rsid w:val="005335A2"/>
    <w:rsid w:val="005335AC"/>
    <w:rsid w:val="005335E0"/>
    <w:rsid w:val="005335FD"/>
    <w:rsid w:val="00533614"/>
    <w:rsid w:val="00533646"/>
    <w:rsid w:val="00533658"/>
    <w:rsid w:val="005336A1"/>
    <w:rsid w:val="005336F8"/>
    <w:rsid w:val="005336FA"/>
    <w:rsid w:val="005337D4"/>
    <w:rsid w:val="00533851"/>
    <w:rsid w:val="00533890"/>
    <w:rsid w:val="005338AE"/>
    <w:rsid w:val="005338D9"/>
    <w:rsid w:val="005338E8"/>
    <w:rsid w:val="00533920"/>
    <w:rsid w:val="0053395C"/>
    <w:rsid w:val="00533A51"/>
    <w:rsid w:val="00533B4E"/>
    <w:rsid w:val="00533B8F"/>
    <w:rsid w:val="00533BEC"/>
    <w:rsid w:val="00533C3F"/>
    <w:rsid w:val="00533C63"/>
    <w:rsid w:val="00533D41"/>
    <w:rsid w:val="00533DDD"/>
    <w:rsid w:val="00533E43"/>
    <w:rsid w:val="00533E89"/>
    <w:rsid w:val="00533EDE"/>
    <w:rsid w:val="00533F43"/>
    <w:rsid w:val="00533FF3"/>
    <w:rsid w:val="0053403B"/>
    <w:rsid w:val="0053407C"/>
    <w:rsid w:val="005341FD"/>
    <w:rsid w:val="0053427F"/>
    <w:rsid w:val="005342CB"/>
    <w:rsid w:val="00534340"/>
    <w:rsid w:val="0053446E"/>
    <w:rsid w:val="00534580"/>
    <w:rsid w:val="0053463A"/>
    <w:rsid w:val="0053464F"/>
    <w:rsid w:val="0053466E"/>
    <w:rsid w:val="00534696"/>
    <w:rsid w:val="005346C1"/>
    <w:rsid w:val="0053476A"/>
    <w:rsid w:val="00534782"/>
    <w:rsid w:val="005347FC"/>
    <w:rsid w:val="005347FE"/>
    <w:rsid w:val="0053485C"/>
    <w:rsid w:val="0053486D"/>
    <w:rsid w:val="005348CF"/>
    <w:rsid w:val="00534923"/>
    <w:rsid w:val="0053494C"/>
    <w:rsid w:val="00534957"/>
    <w:rsid w:val="0053495F"/>
    <w:rsid w:val="0053496B"/>
    <w:rsid w:val="00534982"/>
    <w:rsid w:val="00534988"/>
    <w:rsid w:val="00534A15"/>
    <w:rsid w:val="00534A7E"/>
    <w:rsid w:val="00534A8D"/>
    <w:rsid w:val="00534AB8"/>
    <w:rsid w:val="00534B00"/>
    <w:rsid w:val="00534B28"/>
    <w:rsid w:val="00534B86"/>
    <w:rsid w:val="00534C45"/>
    <w:rsid w:val="00534CDD"/>
    <w:rsid w:val="00534D0D"/>
    <w:rsid w:val="00534D3B"/>
    <w:rsid w:val="00534D41"/>
    <w:rsid w:val="00534D6C"/>
    <w:rsid w:val="00534D9D"/>
    <w:rsid w:val="00534DC3"/>
    <w:rsid w:val="00534E7E"/>
    <w:rsid w:val="00534E91"/>
    <w:rsid w:val="00534F98"/>
    <w:rsid w:val="00535050"/>
    <w:rsid w:val="00535073"/>
    <w:rsid w:val="005350D3"/>
    <w:rsid w:val="00535183"/>
    <w:rsid w:val="005351AA"/>
    <w:rsid w:val="005351C8"/>
    <w:rsid w:val="005351D6"/>
    <w:rsid w:val="00535269"/>
    <w:rsid w:val="0053526B"/>
    <w:rsid w:val="005352A1"/>
    <w:rsid w:val="005352D6"/>
    <w:rsid w:val="00535367"/>
    <w:rsid w:val="005353E4"/>
    <w:rsid w:val="0053549C"/>
    <w:rsid w:val="005354D0"/>
    <w:rsid w:val="005354EB"/>
    <w:rsid w:val="00535503"/>
    <w:rsid w:val="00535589"/>
    <w:rsid w:val="005355AB"/>
    <w:rsid w:val="005355D3"/>
    <w:rsid w:val="00535607"/>
    <w:rsid w:val="0053560A"/>
    <w:rsid w:val="00535642"/>
    <w:rsid w:val="00535648"/>
    <w:rsid w:val="0053564A"/>
    <w:rsid w:val="005356DE"/>
    <w:rsid w:val="005356E1"/>
    <w:rsid w:val="00535738"/>
    <w:rsid w:val="00535820"/>
    <w:rsid w:val="00535878"/>
    <w:rsid w:val="005358B8"/>
    <w:rsid w:val="005358C8"/>
    <w:rsid w:val="0053599B"/>
    <w:rsid w:val="0053599F"/>
    <w:rsid w:val="005359E4"/>
    <w:rsid w:val="00535A71"/>
    <w:rsid w:val="00535AE5"/>
    <w:rsid w:val="00535AFA"/>
    <w:rsid w:val="00535BFB"/>
    <w:rsid w:val="00535CEC"/>
    <w:rsid w:val="00535CFE"/>
    <w:rsid w:val="00535D0E"/>
    <w:rsid w:val="00535D3E"/>
    <w:rsid w:val="00535E52"/>
    <w:rsid w:val="00535E78"/>
    <w:rsid w:val="00535E94"/>
    <w:rsid w:val="00535F0E"/>
    <w:rsid w:val="00535F24"/>
    <w:rsid w:val="00535F3F"/>
    <w:rsid w:val="00535FB1"/>
    <w:rsid w:val="00535FCE"/>
    <w:rsid w:val="00535FFA"/>
    <w:rsid w:val="00536013"/>
    <w:rsid w:val="0053604E"/>
    <w:rsid w:val="0053606A"/>
    <w:rsid w:val="0053607F"/>
    <w:rsid w:val="0053609D"/>
    <w:rsid w:val="005360F0"/>
    <w:rsid w:val="00536152"/>
    <w:rsid w:val="00536162"/>
    <w:rsid w:val="005361D5"/>
    <w:rsid w:val="00536212"/>
    <w:rsid w:val="00536242"/>
    <w:rsid w:val="0053625D"/>
    <w:rsid w:val="005362B4"/>
    <w:rsid w:val="005362F4"/>
    <w:rsid w:val="00536350"/>
    <w:rsid w:val="00536419"/>
    <w:rsid w:val="005364DE"/>
    <w:rsid w:val="005364E7"/>
    <w:rsid w:val="00536591"/>
    <w:rsid w:val="005365A9"/>
    <w:rsid w:val="005365AA"/>
    <w:rsid w:val="005365B6"/>
    <w:rsid w:val="005365FD"/>
    <w:rsid w:val="005366CB"/>
    <w:rsid w:val="00536708"/>
    <w:rsid w:val="00536783"/>
    <w:rsid w:val="00536804"/>
    <w:rsid w:val="00536807"/>
    <w:rsid w:val="0053680B"/>
    <w:rsid w:val="00536816"/>
    <w:rsid w:val="0053682C"/>
    <w:rsid w:val="00536865"/>
    <w:rsid w:val="005368C3"/>
    <w:rsid w:val="005368C6"/>
    <w:rsid w:val="005368CF"/>
    <w:rsid w:val="00536913"/>
    <w:rsid w:val="005369BA"/>
    <w:rsid w:val="005369F5"/>
    <w:rsid w:val="005369F9"/>
    <w:rsid w:val="00536A3A"/>
    <w:rsid w:val="00536A69"/>
    <w:rsid w:val="00536A97"/>
    <w:rsid w:val="00536AE6"/>
    <w:rsid w:val="00536AF6"/>
    <w:rsid w:val="00536B27"/>
    <w:rsid w:val="00536B30"/>
    <w:rsid w:val="00536B94"/>
    <w:rsid w:val="00536B9B"/>
    <w:rsid w:val="00536BB4"/>
    <w:rsid w:val="00536BED"/>
    <w:rsid w:val="00536C0F"/>
    <w:rsid w:val="00536C32"/>
    <w:rsid w:val="00536C3F"/>
    <w:rsid w:val="00536C70"/>
    <w:rsid w:val="00536C84"/>
    <w:rsid w:val="00536C8F"/>
    <w:rsid w:val="00536D0B"/>
    <w:rsid w:val="00536D0E"/>
    <w:rsid w:val="00536D7B"/>
    <w:rsid w:val="00536D8A"/>
    <w:rsid w:val="00536EC9"/>
    <w:rsid w:val="00536EDD"/>
    <w:rsid w:val="00536EFB"/>
    <w:rsid w:val="00536F27"/>
    <w:rsid w:val="00536F53"/>
    <w:rsid w:val="00536F77"/>
    <w:rsid w:val="0053701E"/>
    <w:rsid w:val="00537040"/>
    <w:rsid w:val="00537061"/>
    <w:rsid w:val="00537125"/>
    <w:rsid w:val="00537161"/>
    <w:rsid w:val="0053722C"/>
    <w:rsid w:val="00537257"/>
    <w:rsid w:val="00537260"/>
    <w:rsid w:val="00537293"/>
    <w:rsid w:val="005372BE"/>
    <w:rsid w:val="005372E3"/>
    <w:rsid w:val="00537403"/>
    <w:rsid w:val="00537462"/>
    <w:rsid w:val="0053750C"/>
    <w:rsid w:val="00537518"/>
    <w:rsid w:val="0053751B"/>
    <w:rsid w:val="005375B7"/>
    <w:rsid w:val="00537607"/>
    <w:rsid w:val="00537642"/>
    <w:rsid w:val="005376BD"/>
    <w:rsid w:val="005376FF"/>
    <w:rsid w:val="0053776F"/>
    <w:rsid w:val="005377BF"/>
    <w:rsid w:val="005377C2"/>
    <w:rsid w:val="00537864"/>
    <w:rsid w:val="005378B2"/>
    <w:rsid w:val="005378EF"/>
    <w:rsid w:val="0053799C"/>
    <w:rsid w:val="005379C5"/>
    <w:rsid w:val="005379FA"/>
    <w:rsid w:val="00537A58"/>
    <w:rsid w:val="00537ACC"/>
    <w:rsid w:val="00537AF5"/>
    <w:rsid w:val="00537B19"/>
    <w:rsid w:val="00537B39"/>
    <w:rsid w:val="00537B4E"/>
    <w:rsid w:val="00537B91"/>
    <w:rsid w:val="00537BAA"/>
    <w:rsid w:val="00537BB2"/>
    <w:rsid w:val="00537C50"/>
    <w:rsid w:val="00537C8B"/>
    <w:rsid w:val="00537C91"/>
    <w:rsid w:val="00537CA9"/>
    <w:rsid w:val="00537D19"/>
    <w:rsid w:val="00537D54"/>
    <w:rsid w:val="00537D59"/>
    <w:rsid w:val="00537DA7"/>
    <w:rsid w:val="00537DED"/>
    <w:rsid w:val="00537E2D"/>
    <w:rsid w:val="00537EB7"/>
    <w:rsid w:val="00537F02"/>
    <w:rsid w:val="00537F5C"/>
    <w:rsid w:val="00537F6C"/>
    <w:rsid w:val="00537F79"/>
    <w:rsid w:val="00537FA4"/>
    <w:rsid w:val="00537FB5"/>
    <w:rsid w:val="0053EEAF"/>
    <w:rsid w:val="00540020"/>
    <w:rsid w:val="0054007F"/>
    <w:rsid w:val="005400A6"/>
    <w:rsid w:val="00540153"/>
    <w:rsid w:val="00540155"/>
    <w:rsid w:val="00540161"/>
    <w:rsid w:val="00540169"/>
    <w:rsid w:val="0054019D"/>
    <w:rsid w:val="005401AA"/>
    <w:rsid w:val="005402C0"/>
    <w:rsid w:val="00540360"/>
    <w:rsid w:val="005403B1"/>
    <w:rsid w:val="005403B4"/>
    <w:rsid w:val="005403B5"/>
    <w:rsid w:val="0054044C"/>
    <w:rsid w:val="00540467"/>
    <w:rsid w:val="00540481"/>
    <w:rsid w:val="005404A0"/>
    <w:rsid w:val="005404F6"/>
    <w:rsid w:val="00540500"/>
    <w:rsid w:val="00540588"/>
    <w:rsid w:val="005405D4"/>
    <w:rsid w:val="005405ED"/>
    <w:rsid w:val="005405F9"/>
    <w:rsid w:val="005405FC"/>
    <w:rsid w:val="00540628"/>
    <w:rsid w:val="0054063E"/>
    <w:rsid w:val="00540661"/>
    <w:rsid w:val="00540668"/>
    <w:rsid w:val="0054073F"/>
    <w:rsid w:val="00540794"/>
    <w:rsid w:val="00540844"/>
    <w:rsid w:val="00540891"/>
    <w:rsid w:val="00540896"/>
    <w:rsid w:val="005408AC"/>
    <w:rsid w:val="005408B2"/>
    <w:rsid w:val="005408B6"/>
    <w:rsid w:val="00540909"/>
    <w:rsid w:val="00540915"/>
    <w:rsid w:val="00540940"/>
    <w:rsid w:val="00540972"/>
    <w:rsid w:val="005409A8"/>
    <w:rsid w:val="00540A14"/>
    <w:rsid w:val="00540A47"/>
    <w:rsid w:val="00540A49"/>
    <w:rsid w:val="00540A7F"/>
    <w:rsid w:val="00540A98"/>
    <w:rsid w:val="00540B5C"/>
    <w:rsid w:val="00540BB2"/>
    <w:rsid w:val="00540BB9"/>
    <w:rsid w:val="00540BE4"/>
    <w:rsid w:val="00540BE5"/>
    <w:rsid w:val="00540C49"/>
    <w:rsid w:val="00540D78"/>
    <w:rsid w:val="00540DBB"/>
    <w:rsid w:val="00540DD9"/>
    <w:rsid w:val="00540F37"/>
    <w:rsid w:val="00540F44"/>
    <w:rsid w:val="00540F48"/>
    <w:rsid w:val="00540F4B"/>
    <w:rsid w:val="00540F53"/>
    <w:rsid w:val="00540F8D"/>
    <w:rsid w:val="00540F8F"/>
    <w:rsid w:val="00540FFD"/>
    <w:rsid w:val="0054107A"/>
    <w:rsid w:val="005410C5"/>
    <w:rsid w:val="005410FE"/>
    <w:rsid w:val="00541112"/>
    <w:rsid w:val="005411B0"/>
    <w:rsid w:val="00541250"/>
    <w:rsid w:val="00541391"/>
    <w:rsid w:val="005413E9"/>
    <w:rsid w:val="00541421"/>
    <w:rsid w:val="00541496"/>
    <w:rsid w:val="005414BC"/>
    <w:rsid w:val="005414EC"/>
    <w:rsid w:val="005414F0"/>
    <w:rsid w:val="0054150E"/>
    <w:rsid w:val="00541510"/>
    <w:rsid w:val="00541511"/>
    <w:rsid w:val="00541573"/>
    <w:rsid w:val="00541671"/>
    <w:rsid w:val="00541691"/>
    <w:rsid w:val="005416EA"/>
    <w:rsid w:val="005417A5"/>
    <w:rsid w:val="00541813"/>
    <w:rsid w:val="00541850"/>
    <w:rsid w:val="005418B5"/>
    <w:rsid w:val="005418E3"/>
    <w:rsid w:val="00541954"/>
    <w:rsid w:val="005419C1"/>
    <w:rsid w:val="005419E1"/>
    <w:rsid w:val="00541A06"/>
    <w:rsid w:val="00541A57"/>
    <w:rsid w:val="00541A5C"/>
    <w:rsid w:val="00541A7B"/>
    <w:rsid w:val="00541AD3"/>
    <w:rsid w:val="00541AEF"/>
    <w:rsid w:val="00541B0C"/>
    <w:rsid w:val="00541B66"/>
    <w:rsid w:val="00541BDC"/>
    <w:rsid w:val="00541C60"/>
    <w:rsid w:val="00541C63"/>
    <w:rsid w:val="00541C79"/>
    <w:rsid w:val="00541C7E"/>
    <w:rsid w:val="00541CC5"/>
    <w:rsid w:val="00541D61"/>
    <w:rsid w:val="00541D68"/>
    <w:rsid w:val="00541D82"/>
    <w:rsid w:val="00541EF7"/>
    <w:rsid w:val="00541F13"/>
    <w:rsid w:val="00541F75"/>
    <w:rsid w:val="00541F97"/>
    <w:rsid w:val="0054200D"/>
    <w:rsid w:val="0054201E"/>
    <w:rsid w:val="0054202B"/>
    <w:rsid w:val="00542062"/>
    <w:rsid w:val="00542089"/>
    <w:rsid w:val="005420A8"/>
    <w:rsid w:val="005420B7"/>
    <w:rsid w:val="005420BB"/>
    <w:rsid w:val="005420C9"/>
    <w:rsid w:val="0054213F"/>
    <w:rsid w:val="00542143"/>
    <w:rsid w:val="0054218C"/>
    <w:rsid w:val="0054218E"/>
    <w:rsid w:val="00542207"/>
    <w:rsid w:val="00542245"/>
    <w:rsid w:val="005422E3"/>
    <w:rsid w:val="00542303"/>
    <w:rsid w:val="00542356"/>
    <w:rsid w:val="005423C5"/>
    <w:rsid w:val="005423C8"/>
    <w:rsid w:val="005423E4"/>
    <w:rsid w:val="00542438"/>
    <w:rsid w:val="005424D0"/>
    <w:rsid w:val="00542521"/>
    <w:rsid w:val="00542585"/>
    <w:rsid w:val="0054259D"/>
    <w:rsid w:val="005425EF"/>
    <w:rsid w:val="00542654"/>
    <w:rsid w:val="00542668"/>
    <w:rsid w:val="00542688"/>
    <w:rsid w:val="00542709"/>
    <w:rsid w:val="00542744"/>
    <w:rsid w:val="0054278A"/>
    <w:rsid w:val="00542796"/>
    <w:rsid w:val="005427CE"/>
    <w:rsid w:val="005427F9"/>
    <w:rsid w:val="00542876"/>
    <w:rsid w:val="0054293E"/>
    <w:rsid w:val="0054297A"/>
    <w:rsid w:val="005429A0"/>
    <w:rsid w:val="005429AF"/>
    <w:rsid w:val="005429C2"/>
    <w:rsid w:val="005429F6"/>
    <w:rsid w:val="00542A13"/>
    <w:rsid w:val="00542A4D"/>
    <w:rsid w:val="00542AA7"/>
    <w:rsid w:val="00542B13"/>
    <w:rsid w:val="00542B8C"/>
    <w:rsid w:val="00542BA9"/>
    <w:rsid w:val="00542BAD"/>
    <w:rsid w:val="00542BF8"/>
    <w:rsid w:val="00542C00"/>
    <w:rsid w:val="00542C44"/>
    <w:rsid w:val="00542C90"/>
    <w:rsid w:val="00542CB0"/>
    <w:rsid w:val="00542CE2"/>
    <w:rsid w:val="00542D13"/>
    <w:rsid w:val="00542D16"/>
    <w:rsid w:val="00542D54"/>
    <w:rsid w:val="00542D5A"/>
    <w:rsid w:val="00542D60"/>
    <w:rsid w:val="00542D79"/>
    <w:rsid w:val="00542D98"/>
    <w:rsid w:val="00542DA9"/>
    <w:rsid w:val="00542DE2"/>
    <w:rsid w:val="00542E95"/>
    <w:rsid w:val="00542EA8"/>
    <w:rsid w:val="00542EC4"/>
    <w:rsid w:val="00542ED2"/>
    <w:rsid w:val="00542EF9"/>
    <w:rsid w:val="00542EFF"/>
    <w:rsid w:val="00542F05"/>
    <w:rsid w:val="00542F88"/>
    <w:rsid w:val="00542F9E"/>
    <w:rsid w:val="00542FC1"/>
    <w:rsid w:val="00542FD3"/>
    <w:rsid w:val="00543011"/>
    <w:rsid w:val="00543022"/>
    <w:rsid w:val="0054305B"/>
    <w:rsid w:val="0054307D"/>
    <w:rsid w:val="005430B8"/>
    <w:rsid w:val="00543161"/>
    <w:rsid w:val="005431E4"/>
    <w:rsid w:val="00543288"/>
    <w:rsid w:val="005432AB"/>
    <w:rsid w:val="005432CC"/>
    <w:rsid w:val="0054334D"/>
    <w:rsid w:val="00543355"/>
    <w:rsid w:val="00543364"/>
    <w:rsid w:val="00543373"/>
    <w:rsid w:val="0054338E"/>
    <w:rsid w:val="005433C3"/>
    <w:rsid w:val="005433F6"/>
    <w:rsid w:val="00543420"/>
    <w:rsid w:val="0054343D"/>
    <w:rsid w:val="0054345B"/>
    <w:rsid w:val="005434BF"/>
    <w:rsid w:val="005434C9"/>
    <w:rsid w:val="0054353A"/>
    <w:rsid w:val="0054359B"/>
    <w:rsid w:val="005435B2"/>
    <w:rsid w:val="005435EF"/>
    <w:rsid w:val="00543618"/>
    <w:rsid w:val="00543693"/>
    <w:rsid w:val="0054371F"/>
    <w:rsid w:val="005437E6"/>
    <w:rsid w:val="005437FC"/>
    <w:rsid w:val="00543835"/>
    <w:rsid w:val="00543842"/>
    <w:rsid w:val="005438E2"/>
    <w:rsid w:val="005438E7"/>
    <w:rsid w:val="005438FE"/>
    <w:rsid w:val="005439B9"/>
    <w:rsid w:val="005439E5"/>
    <w:rsid w:val="00543A20"/>
    <w:rsid w:val="00543A4F"/>
    <w:rsid w:val="00543B43"/>
    <w:rsid w:val="00543B9A"/>
    <w:rsid w:val="00543C4B"/>
    <w:rsid w:val="00543C81"/>
    <w:rsid w:val="00543CF3"/>
    <w:rsid w:val="00543E50"/>
    <w:rsid w:val="00543E59"/>
    <w:rsid w:val="00543EBC"/>
    <w:rsid w:val="00544052"/>
    <w:rsid w:val="0054405C"/>
    <w:rsid w:val="00544070"/>
    <w:rsid w:val="00544085"/>
    <w:rsid w:val="0054409D"/>
    <w:rsid w:val="005441CF"/>
    <w:rsid w:val="00544203"/>
    <w:rsid w:val="005442D0"/>
    <w:rsid w:val="00544337"/>
    <w:rsid w:val="005443A2"/>
    <w:rsid w:val="00544424"/>
    <w:rsid w:val="0054443A"/>
    <w:rsid w:val="00544444"/>
    <w:rsid w:val="0054447C"/>
    <w:rsid w:val="005444CD"/>
    <w:rsid w:val="005444D1"/>
    <w:rsid w:val="00544520"/>
    <w:rsid w:val="00544549"/>
    <w:rsid w:val="00544628"/>
    <w:rsid w:val="00544740"/>
    <w:rsid w:val="005447C0"/>
    <w:rsid w:val="005447CF"/>
    <w:rsid w:val="005448C7"/>
    <w:rsid w:val="005448E8"/>
    <w:rsid w:val="005448ED"/>
    <w:rsid w:val="005448F4"/>
    <w:rsid w:val="0054492C"/>
    <w:rsid w:val="00544947"/>
    <w:rsid w:val="005449CA"/>
    <w:rsid w:val="005449CE"/>
    <w:rsid w:val="00544A2A"/>
    <w:rsid w:val="00544A47"/>
    <w:rsid w:val="00544AC0"/>
    <w:rsid w:val="00544B34"/>
    <w:rsid w:val="00544B58"/>
    <w:rsid w:val="00544BDA"/>
    <w:rsid w:val="00544BE0"/>
    <w:rsid w:val="00544C3D"/>
    <w:rsid w:val="00544C42"/>
    <w:rsid w:val="00544C87"/>
    <w:rsid w:val="00544C8A"/>
    <w:rsid w:val="00544C8E"/>
    <w:rsid w:val="00544CE4"/>
    <w:rsid w:val="00544DC4"/>
    <w:rsid w:val="00544E63"/>
    <w:rsid w:val="00544F01"/>
    <w:rsid w:val="00544F07"/>
    <w:rsid w:val="00544FD0"/>
    <w:rsid w:val="00544FFE"/>
    <w:rsid w:val="00545015"/>
    <w:rsid w:val="0054504D"/>
    <w:rsid w:val="00545080"/>
    <w:rsid w:val="005450AF"/>
    <w:rsid w:val="00545135"/>
    <w:rsid w:val="005451B3"/>
    <w:rsid w:val="005451C9"/>
    <w:rsid w:val="00545226"/>
    <w:rsid w:val="0054524D"/>
    <w:rsid w:val="00545311"/>
    <w:rsid w:val="00545349"/>
    <w:rsid w:val="0054536F"/>
    <w:rsid w:val="0054537E"/>
    <w:rsid w:val="00545397"/>
    <w:rsid w:val="005453EB"/>
    <w:rsid w:val="00545553"/>
    <w:rsid w:val="005455AC"/>
    <w:rsid w:val="005455ED"/>
    <w:rsid w:val="00545602"/>
    <w:rsid w:val="0054563B"/>
    <w:rsid w:val="005456F7"/>
    <w:rsid w:val="005457A2"/>
    <w:rsid w:val="005457C4"/>
    <w:rsid w:val="0054585B"/>
    <w:rsid w:val="0054586A"/>
    <w:rsid w:val="00545904"/>
    <w:rsid w:val="00545927"/>
    <w:rsid w:val="00545931"/>
    <w:rsid w:val="00545948"/>
    <w:rsid w:val="00545959"/>
    <w:rsid w:val="00545A3C"/>
    <w:rsid w:val="00545ABF"/>
    <w:rsid w:val="00545AC0"/>
    <w:rsid w:val="00545AD0"/>
    <w:rsid w:val="00545AF5"/>
    <w:rsid w:val="00545B32"/>
    <w:rsid w:val="00545B4A"/>
    <w:rsid w:val="00545C14"/>
    <w:rsid w:val="00545C2B"/>
    <w:rsid w:val="00545C94"/>
    <w:rsid w:val="00545C97"/>
    <w:rsid w:val="00545CB4"/>
    <w:rsid w:val="00545CFF"/>
    <w:rsid w:val="00545D2B"/>
    <w:rsid w:val="00545D7B"/>
    <w:rsid w:val="00545D9E"/>
    <w:rsid w:val="00545DC3"/>
    <w:rsid w:val="00545DF9"/>
    <w:rsid w:val="00545F09"/>
    <w:rsid w:val="00545F0C"/>
    <w:rsid w:val="00545F12"/>
    <w:rsid w:val="00545F13"/>
    <w:rsid w:val="00545F5F"/>
    <w:rsid w:val="00545F70"/>
    <w:rsid w:val="00545FE3"/>
    <w:rsid w:val="0054603A"/>
    <w:rsid w:val="0054607B"/>
    <w:rsid w:val="0054607F"/>
    <w:rsid w:val="005460BA"/>
    <w:rsid w:val="005460FE"/>
    <w:rsid w:val="00546180"/>
    <w:rsid w:val="0054618E"/>
    <w:rsid w:val="00546251"/>
    <w:rsid w:val="00546274"/>
    <w:rsid w:val="00546304"/>
    <w:rsid w:val="00546469"/>
    <w:rsid w:val="0054646F"/>
    <w:rsid w:val="0054653D"/>
    <w:rsid w:val="00546579"/>
    <w:rsid w:val="00546581"/>
    <w:rsid w:val="005466A3"/>
    <w:rsid w:val="005466C4"/>
    <w:rsid w:val="00546771"/>
    <w:rsid w:val="0054678A"/>
    <w:rsid w:val="0054678F"/>
    <w:rsid w:val="005467B6"/>
    <w:rsid w:val="005467DF"/>
    <w:rsid w:val="005468AB"/>
    <w:rsid w:val="005468B5"/>
    <w:rsid w:val="00546956"/>
    <w:rsid w:val="005469CF"/>
    <w:rsid w:val="005469E7"/>
    <w:rsid w:val="00546A39"/>
    <w:rsid w:val="00546A61"/>
    <w:rsid w:val="00546A97"/>
    <w:rsid w:val="00546A9F"/>
    <w:rsid w:val="00546AAA"/>
    <w:rsid w:val="00546AAC"/>
    <w:rsid w:val="00546AD5"/>
    <w:rsid w:val="00546B1E"/>
    <w:rsid w:val="00546B3E"/>
    <w:rsid w:val="00546BA5"/>
    <w:rsid w:val="00546BC7"/>
    <w:rsid w:val="00546C52"/>
    <w:rsid w:val="00546CCF"/>
    <w:rsid w:val="00546CF2"/>
    <w:rsid w:val="00546D53"/>
    <w:rsid w:val="00546D88"/>
    <w:rsid w:val="00546DB9"/>
    <w:rsid w:val="00546DBC"/>
    <w:rsid w:val="00546DBD"/>
    <w:rsid w:val="00546E01"/>
    <w:rsid w:val="00546E27"/>
    <w:rsid w:val="00546E53"/>
    <w:rsid w:val="00546E5C"/>
    <w:rsid w:val="00546E65"/>
    <w:rsid w:val="00546EC8"/>
    <w:rsid w:val="00546EEB"/>
    <w:rsid w:val="00546EF6"/>
    <w:rsid w:val="00546F3D"/>
    <w:rsid w:val="00546F4A"/>
    <w:rsid w:val="00546F61"/>
    <w:rsid w:val="00546F9A"/>
    <w:rsid w:val="00546FF9"/>
    <w:rsid w:val="00547051"/>
    <w:rsid w:val="0054707C"/>
    <w:rsid w:val="005470A0"/>
    <w:rsid w:val="005470A2"/>
    <w:rsid w:val="005471A5"/>
    <w:rsid w:val="00547275"/>
    <w:rsid w:val="00547298"/>
    <w:rsid w:val="005472B4"/>
    <w:rsid w:val="005472D2"/>
    <w:rsid w:val="00547398"/>
    <w:rsid w:val="005473E8"/>
    <w:rsid w:val="0054749E"/>
    <w:rsid w:val="00547505"/>
    <w:rsid w:val="00547551"/>
    <w:rsid w:val="00547558"/>
    <w:rsid w:val="005475A3"/>
    <w:rsid w:val="005475A7"/>
    <w:rsid w:val="005475F7"/>
    <w:rsid w:val="0054765A"/>
    <w:rsid w:val="005476C6"/>
    <w:rsid w:val="00547711"/>
    <w:rsid w:val="00547735"/>
    <w:rsid w:val="00547753"/>
    <w:rsid w:val="00547789"/>
    <w:rsid w:val="005477AB"/>
    <w:rsid w:val="00547853"/>
    <w:rsid w:val="00547893"/>
    <w:rsid w:val="005478D1"/>
    <w:rsid w:val="005478E4"/>
    <w:rsid w:val="00547A21"/>
    <w:rsid w:val="00547ABB"/>
    <w:rsid w:val="00547B1A"/>
    <w:rsid w:val="00547B6B"/>
    <w:rsid w:val="00547B75"/>
    <w:rsid w:val="00547B99"/>
    <w:rsid w:val="00547BB4"/>
    <w:rsid w:val="00547BDA"/>
    <w:rsid w:val="00547BF7"/>
    <w:rsid w:val="00547C1B"/>
    <w:rsid w:val="00547C38"/>
    <w:rsid w:val="00547C5F"/>
    <w:rsid w:val="00547CB9"/>
    <w:rsid w:val="00547CBF"/>
    <w:rsid w:val="00547D0A"/>
    <w:rsid w:val="00547D5E"/>
    <w:rsid w:val="00547D6C"/>
    <w:rsid w:val="00547D87"/>
    <w:rsid w:val="00547D94"/>
    <w:rsid w:val="00547DED"/>
    <w:rsid w:val="00547DFF"/>
    <w:rsid w:val="00547EC7"/>
    <w:rsid w:val="00547FB8"/>
    <w:rsid w:val="00547FD9"/>
    <w:rsid w:val="00550050"/>
    <w:rsid w:val="00550065"/>
    <w:rsid w:val="0055007B"/>
    <w:rsid w:val="005500CB"/>
    <w:rsid w:val="005500D5"/>
    <w:rsid w:val="005500D9"/>
    <w:rsid w:val="005500EA"/>
    <w:rsid w:val="00550157"/>
    <w:rsid w:val="005501D0"/>
    <w:rsid w:val="005502C0"/>
    <w:rsid w:val="0055035C"/>
    <w:rsid w:val="0055036E"/>
    <w:rsid w:val="0055038A"/>
    <w:rsid w:val="005503B7"/>
    <w:rsid w:val="00550461"/>
    <w:rsid w:val="00550468"/>
    <w:rsid w:val="005504CD"/>
    <w:rsid w:val="00550538"/>
    <w:rsid w:val="005505A3"/>
    <w:rsid w:val="00550616"/>
    <w:rsid w:val="0055062A"/>
    <w:rsid w:val="0055072B"/>
    <w:rsid w:val="005507E9"/>
    <w:rsid w:val="0055082E"/>
    <w:rsid w:val="00550896"/>
    <w:rsid w:val="005508CA"/>
    <w:rsid w:val="005508E0"/>
    <w:rsid w:val="00550900"/>
    <w:rsid w:val="00550912"/>
    <w:rsid w:val="00550962"/>
    <w:rsid w:val="00550970"/>
    <w:rsid w:val="005509C1"/>
    <w:rsid w:val="00550A17"/>
    <w:rsid w:val="00550A6D"/>
    <w:rsid w:val="00550AED"/>
    <w:rsid w:val="00550B4F"/>
    <w:rsid w:val="00550B56"/>
    <w:rsid w:val="00550B82"/>
    <w:rsid w:val="00550BC1"/>
    <w:rsid w:val="00550BF1"/>
    <w:rsid w:val="00550C18"/>
    <w:rsid w:val="00550C39"/>
    <w:rsid w:val="00550C63"/>
    <w:rsid w:val="00550D0E"/>
    <w:rsid w:val="00550EBA"/>
    <w:rsid w:val="00550F36"/>
    <w:rsid w:val="00550F78"/>
    <w:rsid w:val="00550FA3"/>
    <w:rsid w:val="00551025"/>
    <w:rsid w:val="0055106C"/>
    <w:rsid w:val="00551080"/>
    <w:rsid w:val="00551130"/>
    <w:rsid w:val="00551170"/>
    <w:rsid w:val="005511B5"/>
    <w:rsid w:val="0055126B"/>
    <w:rsid w:val="00551308"/>
    <w:rsid w:val="00551318"/>
    <w:rsid w:val="0055134F"/>
    <w:rsid w:val="00551397"/>
    <w:rsid w:val="005513D8"/>
    <w:rsid w:val="005513F6"/>
    <w:rsid w:val="00551479"/>
    <w:rsid w:val="00551490"/>
    <w:rsid w:val="005514A5"/>
    <w:rsid w:val="005514F1"/>
    <w:rsid w:val="00551528"/>
    <w:rsid w:val="0055159C"/>
    <w:rsid w:val="005515A2"/>
    <w:rsid w:val="005515B1"/>
    <w:rsid w:val="005515E3"/>
    <w:rsid w:val="00551620"/>
    <w:rsid w:val="00551703"/>
    <w:rsid w:val="005517A4"/>
    <w:rsid w:val="005517ED"/>
    <w:rsid w:val="00551841"/>
    <w:rsid w:val="005518BD"/>
    <w:rsid w:val="005518EF"/>
    <w:rsid w:val="005518FA"/>
    <w:rsid w:val="0055192A"/>
    <w:rsid w:val="005519C6"/>
    <w:rsid w:val="00551A1E"/>
    <w:rsid w:val="00551AB8"/>
    <w:rsid w:val="00551B32"/>
    <w:rsid w:val="00551B89"/>
    <w:rsid w:val="00551BBD"/>
    <w:rsid w:val="00551BF0"/>
    <w:rsid w:val="00551BF6"/>
    <w:rsid w:val="00551C00"/>
    <w:rsid w:val="00551C57"/>
    <w:rsid w:val="00551C66"/>
    <w:rsid w:val="00551CD1"/>
    <w:rsid w:val="00551CE3"/>
    <w:rsid w:val="00551D02"/>
    <w:rsid w:val="00551D99"/>
    <w:rsid w:val="00551DE6"/>
    <w:rsid w:val="00551E3E"/>
    <w:rsid w:val="00551E5D"/>
    <w:rsid w:val="00551E85"/>
    <w:rsid w:val="00551F10"/>
    <w:rsid w:val="00551F34"/>
    <w:rsid w:val="00552085"/>
    <w:rsid w:val="005520B9"/>
    <w:rsid w:val="005520E1"/>
    <w:rsid w:val="0055211D"/>
    <w:rsid w:val="00552184"/>
    <w:rsid w:val="005521B7"/>
    <w:rsid w:val="005521EF"/>
    <w:rsid w:val="005521F5"/>
    <w:rsid w:val="00552204"/>
    <w:rsid w:val="00552228"/>
    <w:rsid w:val="0055225A"/>
    <w:rsid w:val="0055228D"/>
    <w:rsid w:val="0055229D"/>
    <w:rsid w:val="005522B2"/>
    <w:rsid w:val="005522E7"/>
    <w:rsid w:val="005522E9"/>
    <w:rsid w:val="0055230B"/>
    <w:rsid w:val="00552342"/>
    <w:rsid w:val="00552349"/>
    <w:rsid w:val="005523C4"/>
    <w:rsid w:val="0055240F"/>
    <w:rsid w:val="0055243B"/>
    <w:rsid w:val="00552475"/>
    <w:rsid w:val="0055248B"/>
    <w:rsid w:val="0055255F"/>
    <w:rsid w:val="00552637"/>
    <w:rsid w:val="005526A6"/>
    <w:rsid w:val="005526EF"/>
    <w:rsid w:val="00552776"/>
    <w:rsid w:val="0055277F"/>
    <w:rsid w:val="005527CB"/>
    <w:rsid w:val="005527E0"/>
    <w:rsid w:val="005527EE"/>
    <w:rsid w:val="005528A6"/>
    <w:rsid w:val="00552949"/>
    <w:rsid w:val="0055299D"/>
    <w:rsid w:val="00552A3C"/>
    <w:rsid w:val="00552AF9"/>
    <w:rsid w:val="00552B80"/>
    <w:rsid w:val="00552BE4"/>
    <w:rsid w:val="00552C2B"/>
    <w:rsid w:val="00552CB0"/>
    <w:rsid w:val="00552CF6"/>
    <w:rsid w:val="00552D22"/>
    <w:rsid w:val="00552D79"/>
    <w:rsid w:val="00552D7E"/>
    <w:rsid w:val="00552DC6"/>
    <w:rsid w:val="00552E2F"/>
    <w:rsid w:val="00552E48"/>
    <w:rsid w:val="00552E70"/>
    <w:rsid w:val="00552E98"/>
    <w:rsid w:val="00552F18"/>
    <w:rsid w:val="00552F2A"/>
    <w:rsid w:val="00552F2B"/>
    <w:rsid w:val="00552F97"/>
    <w:rsid w:val="00553000"/>
    <w:rsid w:val="0055305D"/>
    <w:rsid w:val="00553079"/>
    <w:rsid w:val="005530C1"/>
    <w:rsid w:val="005530D4"/>
    <w:rsid w:val="00553102"/>
    <w:rsid w:val="0055312E"/>
    <w:rsid w:val="00553179"/>
    <w:rsid w:val="005531A6"/>
    <w:rsid w:val="005531A9"/>
    <w:rsid w:val="005531CA"/>
    <w:rsid w:val="00553237"/>
    <w:rsid w:val="0055324D"/>
    <w:rsid w:val="00553277"/>
    <w:rsid w:val="0055330D"/>
    <w:rsid w:val="00553357"/>
    <w:rsid w:val="00553385"/>
    <w:rsid w:val="005533A6"/>
    <w:rsid w:val="005533B1"/>
    <w:rsid w:val="005533B4"/>
    <w:rsid w:val="005533C3"/>
    <w:rsid w:val="005533CA"/>
    <w:rsid w:val="005533FD"/>
    <w:rsid w:val="00553413"/>
    <w:rsid w:val="0055341D"/>
    <w:rsid w:val="00553439"/>
    <w:rsid w:val="00553474"/>
    <w:rsid w:val="0055350B"/>
    <w:rsid w:val="00553515"/>
    <w:rsid w:val="0055358B"/>
    <w:rsid w:val="005535A7"/>
    <w:rsid w:val="005535D6"/>
    <w:rsid w:val="0055361B"/>
    <w:rsid w:val="005536AE"/>
    <w:rsid w:val="005536C6"/>
    <w:rsid w:val="00553759"/>
    <w:rsid w:val="0055376D"/>
    <w:rsid w:val="00553804"/>
    <w:rsid w:val="005538C9"/>
    <w:rsid w:val="00553920"/>
    <w:rsid w:val="00553931"/>
    <w:rsid w:val="00553933"/>
    <w:rsid w:val="00553949"/>
    <w:rsid w:val="00553A45"/>
    <w:rsid w:val="00553A53"/>
    <w:rsid w:val="00553B48"/>
    <w:rsid w:val="00553B5A"/>
    <w:rsid w:val="00553B62"/>
    <w:rsid w:val="00553B79"/>
    <w:rsid w:val="00553B95"/>
    <w:rsid w:val="00553BCC"/>
    <w:rsid w:val="00553CDC"/>
    <w:rsid w:val="00553D5F"/>
    <w:rsid w:val="00553D85"/>
    <w:rsid w:val="00553DAD"/>
    <w:rsid w:val="00553E23"/>
    <w:rsid w:val="00553E3C"/>
    <w:rsid w:val="00553E41"/>
    <w:rsid w:val="00553E55"/>
    <w:rsid w:val="00553E57"/>
    <w:rsid w:val="00553EC6"/>
    <w:rsid w:val="00553ED8"/>
    <w:rsid w:val="00553F53"/>
    <w:rsid w:val="00553F5C"/>
    <w:rsid w:val="00553FA5"/>
    <w:rsid w:val="00554038"/>
    <w:rsid w:val="00554049"/>
    <w:rsid w:val="00554059"/>
    <w:rsid w:val="00554063"/>
    <w:rsid w:val="00554076"/>
    <w:rsid w:val="0055407E"/>
    <w:rsid w:val="0055416C"/>
    <w:rsid w:val="0055417B"/>
    <w:rsid w:val="00554191"/>
    <w:rsid w:val="005541F5"/>
    <w:rsid w:val="0055424E"/>
    <w:rsid w:val="005542D6"/>
    <w:rsid w:val="005542E2"/>
    <w:rsid w:val="00554344"/>
    <w:rsid w:val="00554360"/>
    <w:rsid w:val="0055437C"/>
    <w:rsid w:val="005543A7"/>
    <w:rsid w:val="005543BC"/>
    <w:rsid w:val="005543E6"/>
    <w:rsid w:val="005543F6"/>
    <w:rsid w:val="0055444C"/>
    <w:rsid w:val="00554462"/>
    <w:rsid w:val="005544FC"/>
    <w:rsid w:val="0055451E"/>
    <w:rsid w:val="0055454F"/>
    <w:rsid w:val="00554567"/>
    <w:rsid w:val="0055459E"/>
    <w:rsid w:val="005545A9"/>
    <w:rsid w:val="00554613"/>
    <w:rsid w:val="0055461A"/>
    <w:rsid w:val="00554645"/>
    <w:rsid w:val="0055464A"/>
    <w:rsid w:val="00554735"/>
    <w:rsid w:val="0055474E"/>
    <w:rsid w:val="0055480E"/>
    <w:rsid w:val="005548AE"/>
    <w:rsid w:val="00554ABE"/>
    <w:rsid w:val="00554B0D"/>
    <w:rsid w:val="00554B2C"/>
    <w:rsid w:val="00554B5E"/>
    <w:rsid w:val="00554C28"/>
    <w:rsid w:val="00554D66"/>
    <w:rsid w:val="00554D79"/>
    <w:rsid w:val="00554DA0"/>
    <w:rsid w:val="00554DDF"/>
    <w:rsid w:val="00554DE7"/>
    <w:rsid w:val="00554E1D"/>
    <w:rsid w:val="00554E2B"/>
    <w:rsid w:val="00554ED6"/>
    <w:rsid w:val="00554F00"/>
    <w:rsid w:val="00554F14"/>
    <w:rsid w:val="00554F1F"/>
    <w:rsid w:val="00554F26"/>
    <w:rsid w:val="00554F74"/>
    <w:rsid w:val="00555099"/>
    <w:rsid w:val="005550CA"/>
    <w:rsid w:val="005551F7"/>
    <w:rsid w:val="00555229"/>
    <w:rsid w:val="00555255"/>
    <w:rsid w:val="005552D5"/>
    <w:rsid w:val="00555334"/>
    <w:rsid w:val="005553B4"/>
    <w:rsid w:val="00555422"/>
    <w:rsid w:val="00555427"/>
    <w:rsid w:val="0055543E"/>
    <w:rsid w:val="00555458"/>
    <w:rsid w:val="00555459"/>
    <w:rsid w:val="0055546C"/>
    <w:rsid w:val="00555490"/>
    <w:rsid w:val="005554C0"/>
    <w:rsid w:val="00555569"/>
    <w:rsid w:val="00555598"/>
    <w:rsid w:val="0055570B"/>
    <w:rsid w:val="00555719"/>
    <w:rsid w:val="005557AE"/>
    <w:rsid w:val="00555831"/>
    <w:rsid w:val="0055589D"/>
    <w:rsid w:val="00555908"/>
    <w:rsid w:val="00555960"/>
    <w:rsid w:val="0055596D"/>
    <w:rsid w:val="00555985"/>
    <w:rsid w:val="00555A23"/>
    <w:rsid w:val="00555A46"/>
    <w:rsid w:val="00555A53"/>
    <w:rsid w:val="00555AD0"/>
    <w:rsid w:val="00555AFF"/>
    <w:rsid w:val="00555B46"/>
    <w:rsid w:val="00555B7B"/>
    <w:rsid w:val="00555BA1"/>
    <w:rsid w:val="00555BA8"/>
    <w:rsid w:val="00555BEC"/>
    <w:rsid w:val="00555C1F"/>
    <w:rsid w:val="00555C36"/>
    <w:rsid w:val="00555CB4"/>
    <w:rsid w:val="00555DB7"/>
    <w:rsid w:val="00555DC7"/>
    <w:rsid w:val="00555E39"/>
    <w:rsid w:val="00555E46"/>
    <w:rsid w:val="00555E51"/>
    <w:rsid w:val="00555EB8"/>
    <w:rsid w:val="00555EBC"/>
    <w:rsid w:val="00555F1A"/>
    <w:rsid w:val="00555F23"/>
    <w:rsid w:val="00555F3C"/>
    <w:rsid w:val="00555F3D"/>
    <w:rsid w:val="00555F47"/>
    <w:rsid w:val="00555F48"/>
    <w:rsid w:val="00555F7F"/>
    <w:rsid w:val="00555FD6"/>
    <w:rsid w:val="00555FDA"/>
    <w:rsid w:val="00555FF1"/>
    <w:rsid w:val="0055602E"/>
    <w:rsid w:val="00556103"/>
    <w:rsid w:val="0055611F"/>
    <w:rsid w:val="00556168"/>
    <w:rsid w:val="005561FC"/>
    <w:rsid w:val="00556226"/>
    <w:rsid w:val="00556278"/>
    <w:rsid w:val="00556298"/>
    <w:rsid w:val="0055631E"/>
    <w:rsid w:val="00556341"/>
    <w:rsid w:val="005563D5"/>
    <w:rsid w:val="00556417"/>
    <w:rsid w:val="0055646C"/>
    <w:rsid w:val="005564B8"/>
    <w:rsid w:val="005564CA"/>
    <w:rsid w:val="005564EF"/>
    <w:rsid w:val="00556500"/>
    <w:rsid w:val="0055658F"/>
    <w:rsid w:val="005565DA"/>
    <w:rsid w:val="00556622"/>
    <w:rsid w:val="00556631"/>
    <w:rsid w:val="00556649"/>
    <w:rsid w:val="00556691"/>
    <w:rsid w:val="00556705"/>
    <w:rsid w:val="0055679A"/>
    <w:rsid w:val="005567A8"/>
    <w:rsid w:val="005567B0"/>
    <w:rsid w:val="005567D2"/>
    <w:rsid w:val="005567FD"/>
    <w:rsid w:val="0055684C"/>
    <w:rsid w:val="00556855"/>
    <w:rsid w:val="0055685D"/>
    <w:rsid w:val="005568C2"/>
    <w:rsid w:val="00556987"/>
    <w:rsid w:val="005569B4"/>
    <w:rsid w:val="00556A02"/>
    <w:rsid w:val="00556A45"/>
    <w:rsid w:val="00556A5C"/>
    <w:rsid w:val="00556A7C"/>
    <w:rsid w:val="00556AC1"/>
    <w:rsid w:val="00556ADC"/>
    <w:rsid w:val="00556AE3"/>
    <w:rsid w:val="00556C47"/>
    <w:rsid w:val="00556CDB"/>
    <w:rsid w:val="00556D81"/>
    <w:rsid w:val="00556D97"/>
    <w:rsid w:val="00556E18"/>
    <w:rsid w:val="00556E22"/>
    <w:rsid w:val="00556E2E"/>
    <w:rsid w:val="00556E63"/>
    <w:rsid w:val="00556E85"/>
    <w:rsid w:val="00556E97"/>
    <w:rsid w:val="00556F34"/>
    <w:rsid w:val="0055702B"/>
    <w:rsid w:val="005570B1"/>
    <w:rsid w:val="0055711B"/>
    <w:rsid w:val="00557157"/>
    <w:rsid w:val="005571BE"/>
    <w:rsid w:val="005571D3"/>
    <w:rsid w:val="005571D4"/>
    <w:rsid w:val="0055721B"/>
    <w:rsid w:val="0055726B"/>
    <w:rsid w:val="0055727F"/>
    <w:rsid w:val="005572B4"/>
    <w:rsid w:val="005572E3"/>
    <w:rsid w:val="005572F1"/>
    <w:rsid w:val="00557320"/>
    <w:rsid w:val="005573C5"/>
    <w:rsid w:val="005573E8"/>
    <w:rsid w:val="005574D9"/>
    <w:rsid w:val="005574DD"/>
    <w:rsid w:val="005574E1"/>
    <w:rsid w:val="0055752F"/>
    <w:rsid w:val="00557584"/>
    <w:rsid w:val="005575E9"/>
    <w:rsid w:val="00557643"/>
    <w:rsid w:val="005576C5"/>
    <w:rsid w:val="00557740"/>
    <w:rsid w:val="0055775F"/>
    <w:rsid w:val="0055776A"/>
    <w:rsid w:val="00557799"/>
    <w:rsid w:val="00557877"/>
    <w:rsid w:val="0055789D"/>
    <w:rsid w:val="005578E8"/>
    <w:rsid w:val="00557949"/>
    <w:rsid w:val="0055795E"/>
    <w:rsid w:val="00557974"/>
    <w:rsid w:val="00557976"/>
    <w:rsid w:val="0055799B"/>
    <w:rsid w:val="005579E6"/>
    <w:rsid w:val="005579FD"/>
    <w:rsid w:val="00557A1F"/>
    <w:rsid w:val="00557A31"/>
    <w:rsid w:val="00557A3E"/>
    <w:rsid w:val="00557A7A"/>
    <w:rsid w:val="00557AAD"/>
    <w:rsid w:val="00557AF1"/>
    <w:rsid w:val="00557B13"/>
    <w:rsid w:val="00557B62"/>
    <w:rsid w:val="00557B71"/>
    <w:rsid w:val="00557B7D"/>
    <w:rsid w:val="00557BDC"/>
    <w:rsid w:val="00557C07"/>
    <w:rsid w:val="00557C3D"/>
    <w:rsid w:val="00557C57"/>
    <w:rsid w:val="00557CE0"/>
    <w:rsid w:val="00557CF0"/>
    <w:rsid w:val="00557CF5"/>
    <w:rsid w:val="00557D50"/>
    <w:rsid w:val="00557D80"/>
    <w:rsid w:val="00557DD8"/>
    <w:rsid w:val="00557E24"/>
    <w:rsid w:val="00557E8F"/>
    <w:rsid w:val="00557EBA"/>
    <w:rsid w:val="00557F21"/>
    <w:rsid w:val="00557F26"/>
    <w:rsid w:val="00557F32"/>
    <w:rsid w:val="00557F9F"/>
    <w:rsid w:val="00557FAD"/>
    <w:rsid w:val="00557FCD"/>
    <w:rsid w:val="00557FE9"/>
    <w:rsid w:val="00560039"/>
    <w:rsid w:val="0056005A"/>
    <w:rsid w:val="0056007F"/>
    <w:rsid w:val="005600BE"/>
    <w:rsid w:val="005600DB"/>
    <w:rsid w:val="005600E2"/>
    <w:rsid w:val="00560111"/>
    <w:rsid w:val="0056016D"/>
    <w:rsid w:val="00560194"/>
    <w:rsid w:val="00560213"/>
    <w:rsid w:val="00560228"/>
    <w:rsid w:val="00560263"/>
    <w:rsid w:val="0056027A"/>
    <w:rsid w:val="0056028D"/>
    <w:rsid w:val="00560339"/>
    <w:rsid w:val="00560393"/>
    <w:rsid w:val="005603A8"/>
    <w:rsid w:val="005603DE"/>
    <w:rsid w:val="005603F4"/>
    <w:rsid w:val="00560421"/>
    <w:rsid w:val="00560424"/>
    <w:rsid w:val="00560453"/>
    <w:rsid w:val="00560477"/>
    <w:rsid w:val="0056049D"/>
    <w:rsid w:val="005604BC"/>
    <w:rsid w:val="0056053C"/>
    <w:rsid w:val="005605BC"/>
    <w:rsid w:val="005605DE"/>
    <w:rsid w:val="00560624"/>
    <w:rsid w:val="00560635"/>
    <w:rsid w:val="00560685"/>
    <w:rsid w:val="00560722"/>
    <w:rsid w:val="005607AF"/>
    <w:rsid w:val="005607C0"/>
    <w:rsid w:val="005607F0"/>
    <w:rsid w:val="00560861"/>
    <w:rsid w:val="00560872"/>
    <w:rsid w:val="005608C7"/>
    <w:rsid w:val="00560957"/>
    <w:rsid w:val="0056097C"/>
    <w:rsid w:val="0056098B"/>
    <w:rsid w:val="005609AF"/>
    <w:rsid w:val="00560A6D"/>
    <w:rsid w:val="00560ABA"/>
    <w:rsid w:val="00560AD9"/>
    <w:rsid w:val="00560AF6"/>
    <w:rsid w:val="00560B4D"/>
    <w:rsid w:val="00560B7C"/>
    <w:rsid w:val="00560B91"/>
    <w:rsid w:val="00560BED"/>
    <w:rsid w:val="00560BF3"/>
    <w:rsid w:val="00560C34"/>
    <w:rsid w:val="00560C88"/>
    <w:rsid w:val="00560C98"/>
    <w:rsid w:val="00560CAC"/>
    <w:rsid w:val="00560CE2"/>
    <w:rsid w:val="00560D4A"/>
    <w:rsid w:val="00560DC1"/>
    <w:rsid w:val="00560DE9"/>
    <w:rsid w:val="00560E8D"/>
    <w:rsid w:val="00560E96"/>
    <w:rsid w:val="00560EAE"/>
    <w:rsid w:val="00560EF9"/>
    <w:rsid w:val="00560F73"/>
    <w:rsid w:val="00560F83"/>
    <w:rsid w:val="00560FBC"/>
    <w:rsid w:val="00560FFD"/>
    <w:rsid w:val="005610F6"/>
    <w:rsid w:val="005611B5"/>
    <w:rsid w:val="005611DA"/>
    <w:rsid w:val="00561230"/>
    <w:rsid w:val="0056126A"/>
    <w:rsid w:val="0056126D"/>
    <w:rsid w:val="0056128F"/>
    <w:rsid w:val="0056129B"/>
    <w:rsid w:val="005612B3"/>
    <w:rsid w:val="005612B6"/>
    <w:rsid w:val="005612F2"/>
    <w:rsid w:val="005612F4"/>
    <w:rsid w:val="00561319"/>
    <w:rsid w:val="00561322"/>
    <w:rsid w:val="005613BF"/>
    <w:rsid w:val="005613FD"/>
    <w:rsid w:val="00561475"/>
    <w:rsid w:val="005614A2"/>
    <w:rsid w:val="005614AC"/>
    <w:rsid w:val="005614B5"/>
    <w:rsid w:val="005614ED"/>
    <w:rsid w:val="0056154C"/>
    <w:rsid w:val="00561560"/>
    <w:rsid w:val="0056158D"/>
    <w:rsid w:val="005615B6"/>
    <w:rsid w:val="0056162F"/>
    <w:rsid w:val="00561674"/>
    <w:rsid w:val="005616C6"/>
    <w:rsid w:val="0056174B"/>
    <w:rsid w:val="00561781"/>
    <w:rsid w:val="00561791"/>
    <w:rsid w:val="005617C8"/>
    <w:rsid w:val="005617C9"/>
    <w:rsid w:val="005617EE"/>
    <w:rsid w:val="0056181B"/>
    <w:rsid w:val="00561872"/>
    <w:rsid w:val="005618BA"/>
    <w:rsid w:val="005618F8"/>
    <w:rsid w:val="00561938"/>
    <w:rsid w:val="005619BB"/>
    <w:rsid w:val="005619C6"/>
    <w:rsid w:val="005619DF"/>
    <w:rsid w:val="005619F3"/>
    <w:rsid w:val="00561A24"/>
    <w:rsid w:val="00561A99"/>
    <w:rsid w:val="00561AD5"/>
    <w:rsid w:val="00561B15"/>
    <w:rsid w:val="00561B79"/>
    <w:rsid w:val="00561B7D"/>
    <w:rsid w:val="00561B8B"/>
    <w:rsid w:val="00561B9C"/>
    <w:rsid w:val="00561BCF"/>
    <w:rsid w:val="00561BED"/>
    <w:rsid w:val="00561C00"/>
    <w:rsid w:val="00561C0C"/>
    <w:rsid w:val="00561C1B"/>
    <w:rsid w:val="00561CA0"/>
    <w:rsid w:val="00561CA2"/>
    <w:rsid w:val="00561CAC"/>
    <w:rsid w:val="00561D49"/>
    <w:rsid w:val="00561DBC"/>
    <w:rsid w:val="00561DCB"/>
    <w:rsid w:val="00561DDD"/>
    <w:rsid w:val="00561E27"/>
    <w:rsid w:val="00561E2C"/>
    <w:rsid w:val="00561E8F"/>
    <w:rsid w:val="00561F5F"/>
    <w:rsid w:val="00561F95"/>
    <w:rsid w:val="0056203B"/>
    <w:rsid w:val="00562049"/>
    <w:rsid w:val="005620B8"/>
    <w:rsid w:val="005620C8"/>
    <w:rsid w:val="0056213E"/>
    <w:rsid w:val="0056220C"/>
    <w:rsid w:val="0056227E"/>
    <w:rsid w:val="00562289"/>
    <w:rsid w:val="0056228A"/>
    <w:rsid w:val="005622FB"/>
    <w:rsid w:val="005622FC"/>
    <w:rsid w:val="00562311"/>
    <w:rsid w:val="005623AD"/>
    <w:rsid w:val="005623BE"/>
    <w:rsid w:val="005623CF"/>
    <w:rsid w:val="005623E7"/>
    <w:rsid w:val="00562441"/>
    <w:rsid w:val="005624A3"/>
    <w:rsid w:val="005624BF"/>
    <w:rsid w:val="0056252E"/>
    <w:rsid w:val="00562558"/>
    <w:rsid w:val="005625B4"/>
    <w:rsid w:val="005625D9"/>
    <w:rsid w:val="00562720"/>
    <w:rsid w:val="0056277E"/>
    <w:rsid w:val="00562847"/>
    <w:rsid w:val="005628B4"/>
    <w:rsid w:val="005628C2"/>
    <w:rsid w:val="005628C8"/>
    <w:rsid w:val="0056290C"/>
    <w:rsid w:val="0056294F"/>
    <w:rsid w:val="0056297E"/>
    <w:rsid w:val="00562A04"/>
    <w:rsid w:val="00562A12"/>
    <w:rsid w:val="00562A84"/>
    <w:rsid w:val="00562AA9"/>
    <w:rsid w:val="00562B6C"/>
    <w:rsid w:val="00562B83"/>
    <w:rsid w:val="00562B86"/>
    <w:rsid w:val="00562BC3"/>
    <w:rsid w:val="00562C09"/>
    <w:rsid w:val="00562C8C"/>
    <w:rsid w:val="00562CAB"/>
    <w:rsid w:val="00562CD9"/>
    <w:rsid w:val="00562EAD"/>
    <w:rsid w:val="00562ED0"/>
    <w:rsid w:val="00562EDB"/>
    <w:rsid w:val="00562F2E"/>
    <w:rsid w:val="0056301A"/>
    <w:rsid w:val="0056303D"/>
    <w:rsid w:val="00563068"/>
    <w:rsid w:val="0056308C"/>
    <w:rsid w:val="00563099"/>
    <w:rsid w:val="005630C6"/>
    <w:rsid w:val="0056310B"/>
    <w:rsid w:val="0056312A"/>
    <w:rsid w:val="00563147"/>
    <w:rsid w:val="0056314B"/>
    <w:rsid w:val="00563162"/>
    <w:rsid w:val="005631A5"/>
    <w:rsid w:val="005631DB"/>
    <w:rsid w:val="00563220"/>
    <w:rsid w:val="0056324D"/>
    <w:rsid w:val="005632A4"/>
    <w:rsid w:val="005632AA"/>
    <w:rsid w:val="0056337C"/>
    <w:rsid w:val="0056338A"/>
    <w:rsid w:val="005633DB"/>
    <w:rsid w:val="0056342F"/>
    <w:rsid w:val="0056357F"/>
    <w:rsid w:val="0056365E"/>
    <w:rsid w:val="00563695"/>
    <w:rsid w:val="0056370F"/>
    <w:rsid w:val="0056383C"/>
    <w:rsid w:val="0056388F"/>
    <w:rsid w:val="00563898"/>
    <w:rsid w:val="00563907"/>
    <w:rsid w:val="00563918"/>
    <w:rsid w:val="0056391F"/>
    <w:rsid w:val="00563969"/>
    <w:rsid w:val="00563986"/>
    <w:rsid w:val="0056398D"/>
    <w:rsid w:val="005639F6"/>
    <w:rsid w:val="00563A32"/>
    <w:rsid w:val="00563A36"/>
    <w:rsid w:val="00563AF2"/>
    <w:rsid w:val="00563B01"/>
    <w:rsid w:val="00563B1A"/>
    <w:rsid w:val="00563B36"/>
    <w:rsid w:val="00563B3E"/>
    <w:rsid w:val="00563BBC"/>
    <w:rsid w:val="00563BD0"/>
    <w:rsid w:val="00563C6E"/>
    <w:rsid w:val="00563C88"/>
    <w:rsid w:val="00563CCB"/>
    <w:rsid w:val="00563CFA"/>
    <w:rsid w:val="00563D2B"/>
    <w:rsid w:val="00563D32"/>
    <w:rsid w:val="00563E1C"/>
    <w:rsid w:val="00563E79"/>
    <w:rsid w:val="00563F61"/>
    <w:rsid w:val="00563FA1"/>
    <w:rsid w:val="005640A8"/>
    <w:rsid w:val="005640CD"/>
    <w:rsid w:val="00564111"/>
    <w:rsid w:val="0056412A"/>
    <w:rsid w:val="00564138"/>
    <w:rsid w:val="00564139"/>
    <w:rsid w:val="00564178"/>
    <w:rsid w:val="005642A3"/>
    <w:rsid w:val="005642BF"/>
    <w:rsid w:val="005642F7"/>
    <w:rsid w:val="005642FE"/>
    <w:rsid w:val="00564343"/>
    <w:rsid w:val="0056436C"/>
    <w:rsid w:val="00564387"/>
    <w:rsid w:val="005643D7"/>
    <w:rsid w:val="00564461"/>
    <w:rsid w:val="005644C8"/>
    <w:rsid w:val="00564514"/>
    <w:rsid w:val="00564586"/>
    <w:rsid w:val="005645B2"/>
    <w:rsid w:val="00564666"/>
    <w:rsid w:val="00564688"/>
    <w:rsid w:val="0056476B"/>
    <w:rsid w:val="005647D0"/>
    <w:rsid w:val="00564850"/>
    <w:rsid w:val="00564866"/>
    <w:rsid w:val="00564886"/>
    <w:rsid w:val="0056489A"/>
    <w:rsid w:val="005648D7"/>
    <w:rsid w:val="00564907"/>
    <w:rsid w:val="0056491C"/>
    <w:rsid w:val="0056498D"/>
    <w:rsid w:val="005649A6"/>
    <w:rsid w:val="005649BB"/>
    <w:rsid w:val="005649E5"/>
    <w:rsid w:val="00564A3A"/>
    <w:rsid w:val="00564A58"/>
    <w:rsid w:val="00564AA5"/>
    <w:rsid w:val="00564B00"/>
    <w:rsid w:val="00564B13"/>
    <w:rsid w:val="00564B2E"/>
    <w:rsid w:val="00564B54"/>
    <w:rsid w:val="00564B97"/>
    <w:rsid w:val="00564BE7"/>
    <w:rsid w:val="00564C91"/>
    <w:rsid w:val="00564CA3"/>
    <w:rsid w:val="00564D6A"/>
    <w:rsid w:val="00564DEE"/>
    <w:rsid w:val="00564DF6"/>
    <w:rsid w:val="00564E25"/>
    <w:rsid w:val="00564E53"/>
    <w:rsid w:val="00564E58"/>
    <w:rsid w:val="00564EBD"/>
    <w:rsid w:val="00564F18"/>
    <w:rsid w:val="00564F46"/>
    <w:rsid w:val="00564F82"/>
    <w:rsid w:val="00565014"/>
    <w:rsid w:val="00565020"/>
    <w:rsid w:val="0056508E"/>
    <w:rsid w:val="0056511E"/>
    <w:rsid w:val="00565183"/>
    <w:rsid w:val="005651F9"/>
    <w:rsid w:val="0056520F"/>
    <w:rsid w:val="0056521C"/>
    <w:rsid w:val="0056522C"/>
    <w:rsid w:val="005652AF"/>
    <w:rsid w:val="005652CB"/>
    <w:rsid w:val="0056544B"/>
    <w:rsid w:val="0056546C"/>
    <w:rsid w:val="00565474"/>
    <w:rsid w:val="0056547E"/>
    <w:rsid w:val="005654C9"/>
    <w:rsid w:val="005654CB"/>
    <w:rsid w:val="0056554A"/>
    <w:rsid w:val="0056558F"/>
    <w:rsid w:val="005655E0"/>
    <w:rsid w:val="0056563B"/>
    <w:rsid w:val="00565649"/>
    <w:rsid w:val="00565655"/>
    <w:rsid w:val="005656B6"/>
    <w:rsid w:val="00565716"/>
    <w:rsid w:val="00565766"/>
    <w:rsid w:val="005657A0"/>
    <w:rsid w:val="005657A9"/>
    <w:rsid w:val="005657CF"/>
    <w:rsid w:val="005657EE"/>
    <w:rsid w:val="0056580B"/>
    <w:rsid w:val="0056586E"/>
    <w:rsid w:val="005658B7"/>
    <w:rsid w:val="005658F0"/>
    <w:rsid w:val="005658F1"/>
    <w:rsid w:val="005658F9"/>
    <w:rsid w:val="00565907"/>
    <w:rsid w:val="00565944"/>
    <w:rsid w:val="00565988"/>
    <w:rsid w:val="005659B4"/>
    <w:rsid w:val="00565A08"/>
    <w:rsid w:val="00565A1B"/>
    <w:rsid w:val="00565A4E"/>
    <w:rsid w:val="00565A66"/>
    <w:rsid w:val="00565A8C"/>
    <w:rsid w:val="00565AC5"/>
    <w:rsid w:val="00565ACE"/>
    <w:rsid w:val="00565AF0"/>
    <w:rsid w:val="00565BC0"/>
    <w:rsid w:val="00565C42"/>
    <w:rsid w:val="00565D4A"/>
    <w:rsid w:val="00565D63"/>
    <w:rsid w:val="00565D6F"/>
    <w:rsid w:val="00565E16"/>
    <w:rsid w:val="00565E5F"/>
    <w:rsid w:val="00565E60"/>
    <w:rsid w:val="00565E67"/>
    <w:rsid w:val="00565EB7"/>
    <w:rsid w:val="00565ECC"/>
    <w:rsid w:val="00565F05"/>
    <w:rsid w:val="00565F55"/>
    <w:rsid w:val="00565FA4"/>
    <w:rsid w:val="00565FBC"/>
    <w:rsid w:val="00566070"/>
    <w:rsid w:val="005660ED"/>
    <w:rsid w:val="005660F9"/>
    <w:rsid w:val="00566107"/>
    <w:rsid w:val="0056614A"/>
    <w:rsid w:val="00566187"/>
    <w:rsid w:val="0056620A"/>
    <w:rsid w:val="0056620B"/>
    <w:rsid w:val="0056621F"/>
    <w:rsid w:val="00566264"/>
    <w:rsid w:val="00566282"/>
    <w:rsid w:val="00566283"/>
    <w:rsid w:val="005662C2"/>
    <w:rsid w:val="00566305"/>
    <w:rsid w:val="00566336"/>
    <w:rsid w:val="005663DC"/>
    <w:rsid w:val="005664F8"/>
    <w:rsid w:val="00566506"/>
    <w:rsid w:val="00566586"/>
    <w:rsid w:val="005665CD"/>
    <w:rsid w:val="00566608"/>
    <w:rsid w:val="00566619"/>
    <w:rsid w:val="00566660"/>
    <w:rsid w:val="00566687"/>
    <w:rsid w:val="0056669D"/>
    <w:rsid w:val="00566732"/>
    <w:rsid w:val="00566741"/>
    <w:rsid w:val="0056674E"/>
    <w:rsid w:val="0056677B"/>
    <w:rsid w:val="00566782"/>
    <w:rsid w:val="00566795"/>
    <w:rsid w:val="00566796"/>
    <w:rsid w:val="005667B5"/>
    <w:rsid w:val="0056680C"/>
    <w:rsid w:val="00566815"/>
    <w:rsid w:val="00566820"/>
    <w:rsid w:val="005668B2"/>
    <w:rsid w:val="005668DC"/>
    <w:rsid w:val="00566995"/>
    <w:rsid w:val="00566B1B"/>
    <w:rsid w:val="00566B29"/>
    <w:rsid w:val="00566B2C"/>
    <w:rsid w:val="00566B32"/>
    <w:rsid w:val="00566B68"/>
    <w:rsid w:val="00566B7F"/>
    <w:rsid w:val="00566B95"/>
    <w:rsid w:val="00566BB5"/>
    <w:rsid w:val="00566BBC"/>
    <w:rsid w:val="00566BFE"/>
    <w:rsid w:val="00566C04"/>
    <w:rsid w:val="00566C6A"/>
    <w:rsid w:val="00566C89"/>
    <w:rsid w:val="00566CE3"/>
    <w:rsid w:val="00566DA0"/>
    <w:rsid w:val="00566DD9"/>
    <w:rsid w:val="00566E01"/>
    <w:rsid w:val="00566E16"/>
    <w:rsid w:val="00566E4C"/>
    <w:rsid w:val="00566F40"/>
    <w:rsid w:val="00566FC4"/>
    <w:rsid w:val="00566FC6"/>
    <w:rsid w:val="00566FEC"/>
    <w:rsid w:val="005670BD"/>
    <w:rsid w:val="005670CA"/>
    <w:rsid w:val="005670FC"/>
    <w:rsid w:val="005670FE"/>
    <w:rsid w:val="00567120"/>
    <w:rsid w:val="0056712A"/>
    <w:rsid w:val="00567137"/>
    <w:rsid w:val="0056714D"/>
    <w:rsid w:val="00567258"/>
    <w:rsid w:val="005672B2"/>
    <w:rsid w:val="005672E5"/>
    <w:rsid w:val="005672FB"/>
    <w:rsid w:val="00567302"/>
    <w:rsid w:val="00567319"/>
    <w:rsid w:val="0056733A"/>
    <w:rsid w:val="0056737E"/>
    <w:rsid w:val="00567493"/>
    <w:rsid w:val="005674C8"/>
    <w:rsid w:val="0056754A"/>
    <w:rsid w:val="00567556"/>
    <w:rsid w:val="005675B4"/>
    <w:rsid w:val="005675F0"/>
    <w:rsid w:val="00567601"/>
    <w:rsid w:val="00567651"/>
    <w:rsid w:val="005676D1"/>
    <w:rsid w:val="005676E6"/>
    <w:rsid w:val="00567724"/>
    <w:rsid w:val="0056772D"/>
    <w:rsid w:val="00567781"/>
    <w:rsid w:val="005677F7"/>
    <w:rsid w:val="005677FA"/>
    <w:rsid w:val="00567814"/>
    <w:rsid w:val="00567845"/>
    <w:rsid w:val="00567870"/>
    <w:rsid w:val="005678A6"/>
    <w:rsid w:val="005678C5"/>
    <w:rsid w:val="005678FD"/>
    <w:rsid w:val="00567972"/>
    <w:rsid w:val="0056799C"/>
    <w:rsid w:val="005679BA"/>
    <w:rsid w:val="005679C8"/>
    <w:rsid w:val="005679E4"/>
    <w:rsid w:val="00567A38"/>
    <w:rsid w:val="00567A84"/>
    <w:rsid w:val="00567AC4"/>
    <w:rsid w:val="00567ACA"/>
    <w:rsid w:val="00567B23"/>
    <w:rsid w:val="00567B62"/>
    <w:rsid w:val="00567CA0"/>
    <w:rsid w:val="00567CC5"/>
    <w:rsid w:val="00567CC8"/>
    <w:rsid w:val="00567D41"/>
    <w:rsid w:val="00567D65"/>
    <w:rsid w:val="00567D81"/>
    <w:rsid w:val="00567D98"/>
    <w:rsid w:val="00567D9C"/>
    <w:rsid w:val="00567DA6"/>
    <w:rsid w:val="00567DB3"/>
    <w:rsid w:val="00567DDC"/>
    <w:rsid w:val="00567DF9"/>
    <w:rsid w:val="00567EA7"/>
    <w:rsid w:val="00567EB3"/>
    <w:rsid w:val="00567EC6"/>
    <w:rsid w:val="00567EE5"/>
    <w:rsid w:val="00567F10"/>
    <w:rsid w:val="00567F74"/>
    <w:rsid w:val="00567F97"/>
    <w:rsid w:val="00567FB9"/>
    <w:rsid w:val="005700BF"/>
    <w:rsid w:val="005701A4"/>
    <w:rsid w:val="005701B6"/>
    <w:rsid w:val="005701C2"/>
    <w:rsid w:val="00570281"/>
    <w:rsid w:val="005702CF"/>
    <w:rsid w:val="005702F9"/>
    <w:rsid w:val="00570310"/>
    <w:rsid w:val="00570388"/>
    <w:rsid w:val="005703E2"/>
    <w:rsid w:val="005703FD"/>
    <w:rsid w:val="005704D5"/>
    <w:rsid w:val="00570518"/>
    <w:rsid w:val="0057053D"/>
    <w:rsid w:val="00570596"/>
    <w:rsid w:val="0057059F"/>
    <w:rsid w:val="005705F1"/>
    <w:rsid w:val="0057061A"/>
    <w:rsid w:val="00570623"/>
    <w:rsid w:val="00570689"/>
    <w:rsid w:val="00570695"/>
    <w:rsid w:val="005706A0"/>
    <w:rsid w:val="005706CC"/>
    <w:rsid w:val="005706DC"/>
    <w:rsid w:val="005706E7"/>
    <w:rsid w:val="005706EC"/>
    <w:rsid w:val="005707B9"/>
    <w:rsid w:val="00570817"/>
    <w:rsid w:val="0057088B"/>
    <w:rsid w:val="00570932"/>
    <w:rsid w:val="00570956"/>
    <w:rsid w:val="0057095F"/>
    <w:rsid w:val="005709AF"/>
    <w:rsid w:val="005709E6"/>
    <w:rsid w:val="005709F2"/>
    <w:rsid w:val="00570A03"/>
    <w:rsid w:val="00570A3E"/>
    <w:rsid w:val="00570A72"/>
    <w:rsid w:val="00570A7F"/>
    <w:rsid w:val="00570A87"/>
    <w:rsid w:val="00570B16"/>
    <w:rsid w:val="00570B7D"/>
    <w:rsid w:val="00570B8B"/>
    <w:rsid w:val="00570BBA"/>
    <w:rsid w:val="00570BEB"/>
    <w:rsid w:val="00570C0D"/>
    <w:rsid w:val="00570C20"/>
    <w:rsid w:val="00570C27"/>
    <w:rsid w:val="00570C40"/>
    <w:rsid w:val="00570C54"/>
    <w:rsid w:val="00570C99"/>
    <w:rsid w:val="00570CFF"/>
    <w:rsid w:val="00570DBB"/>
    <w:rsid w:val="00570DDC"/>
    <w:rsid w:val="00570E8C"/>
    <w:rsid w:val="00570E9F"/>
    <w:rsid w:val="00570EAF"/>
    <w:rsid w:val="00570EB0"/>
    <w:rsid w:val="00570EB7"/>
    <w:rsid w:val="00570ED7"/>
    <w:rsid w:val="00570F4A"/>
    <w:rsid w:val="00570FBA"/>
    <w:rsid w:val="00570FE9"/>
    <w:rsid w:val="00571069"/>
    <w:rsid w:val="00571075"/>
    <w:rsid w:val="00571079"/>
    <w:rsid w:val="00571089"/>
    <w:rsid w:val="005710C8"/>
    <w:rsid w:val="005710F6"/>
    <w:rsid w:val="00571163"/>
    <w:rsid w:val="00571167"/>
    <w:rsid w:val="005711D6"/>
    <w:rsid w:val="00571281"/>
    <w:rsid w:val="005712E7"/>
    <w:rsid w:val="005712FD"/>
    <w:rsid w:val="0057131D"/>
    <w:rsid w:val="00571339"/>
    <w:rsid w:val="0057133D"/>
    <w:rsid w:val="00571396"/>
    <w:rsid w:val="00571428"/>
    <w:rsid w:val="0057148B"/>
    <w:rsid w:val="00571496"/>
    <w:rsid w:val="005714D2"/>
    <w:rsid w:val="005714DC"/>
    <w:rsid w:val="00571507"/>
    <w:rsid w:val="00571533"/>
    <w:rsid w:val="0057157E"/>
    <w:rsid w:val="005715A6"/>
    <w:rsid w:val="00571650"/>
    <w:rsid w:val="005716F8"/>
    <w:rsid w:val="00571703"/>
    <w:rsid w:val="005717A8"/>
    <w:rsid w:val="0057180A"/>
    <w:rsid w:val="00571820"/>
    <w:rsid w:val="0057183C"/>
    <w:rsid w:val="0057185E"/>
    <w:rsid w:val="0057187B"/>
    <w:rsid w:val="00571933"/>
    <w:rsid w:val="0057196D"/>
    <w:rsid w:val="0057199A"/>
    <w:rsid w:val="00571A67"/>
    <w:rsid w:val="00571A77"/>
    <w:rsid w:val="00571A98"/>
    <w:rsid w:val="00571ACC"/>
    <w:rsid w:val="00571B50"/>
    <w:rsid w:val="00571BC4"/>
    <w:rsid w:val="00571BE6"/>
    <w:rsid w:val="00571C20"/>
    <w:rsid w:val="00571C47"/>
    <w:rsid w:val="00571CB6"/>
    <w:rsid w:val="00571CC1"/>
    <w:rsid w:val="00571CEF"/>
    <w:rsid w:val="00571E11"/>
    <w:rsid w:val="00571E9A"/>
    <w:rsid w:val="00571EC5"/>
    <w:rsid w:val="00571F17"/>
    <w:rsid w:val="00571FB0"/>
    <w:rsid w:val="00572052"/>
    <w:rsid w:val="00572086"/>
    <w:rsid w:val="0057210F"/>
    <w:rsid w:val="00572148"/>
    <w:rsid w:val="00572161"/>
    <w:rsid w:val="00572172"/>
    <w:rsid w:val="0057218E"/>
    <w:rsid w:val="005721AF"/>
    <w:rsid w:val="005721DC"/>
    <w:rsid w:val="0057222C"/>
    <w:rsid w:val="0057229F"/>
    <w:rsid w:val="005722E5"/>
    <w:rsid w:val="00572322"/>
    <w:rsid w:val="0057233D"/>
    <w:rsid w:val="005723A6"/>
    <w:rsid w:val="005723D7"/>
    <w:rsid w:val="0057248A"/>
    <w:rsid w:val="0057250C"/>
    <w:rsid w:val="0057251E"/>
    <w:rsid w:val="0057255A"/>
    <w:rsid w:val="00572560"/>
    <w:rsid w:val="0057256E"/>
    <w:rsid w:val="005725CE"/>
    <w:rsid w:val="0057266D"/>
    <w:rsid w:val="005726DE"/>
    <w:rsid w:val="005726FF"/>
    <w:rsid w:val="0057276E"/>
    <w:rsid w:val="0057279D"/>
    <w:rsid w:val="005727A3"/>
    <w:rsid w:val="005727CD"/>
    <w:rsid w:val="0057288E"/>
    <w:rsid w:val="00572892"/>
    <w:rsid w:val="00572906"/>
    <w:rsid w:val="00572909"/>
    <w:rsid w:val="00572915"/>
    <w:rsid w:val="00572928"/>
    <w:rsid w:val="0057293A"/>
    <w:rsid w:val="005729C8"/>
    <w:rsid w:val="005729E5"/>
    <w:rsid w:val="00572BEE"/>
    <w:rsid w:val="00572C2E"/>
    <w:rsid w:val="00572C6E"/>
    <w:rsid w:val="00572D27"/>
    <w:rsid w:val="00572D2D"/>
    <w:rsid w:val="00572D90"/>
    <w:rsid w:val="00572DA1"/>
    <w:rsid w:val="00572DC0"/>
    <w:rsid w:val="00572DCF"/>
    <w:rsid w:val="00572DD0"/>
    <w:rsid w:val="00572F17"/>
    <w:rsid w:val="00572F7C"/>
    <w:rsid w:val="00572F91"/>
    <w:rsid w:val="00572FAB"/>
    <w:rsid w:val="00572FCE"/>
    <w:rsid w:val="00572FFA"/>
    <w:rsid w:val="005730A3"/>
    <w:rsid w:val="005730B4"/>
    <w:rsid w:val="00573105"/>
    <w:rsid w:val="005731BB"/>
    <w:rsid w:val="005731C4"/>
    <w:rsid w:val="005731F8"/>
    <w:rsid w:val="00573286"/>
    <w:rsid w:val="005732D3"/>
    <w:rsid w:val="0057334B"/>
    <w:rsid w:val="005733C6"/>
    <w:rsid w:val="00573417"/>
    <w:rsid w:val="00573434"/>
    <w:rsid w:val="005734CB"/>
    <w:rsid w:val="005734EA"/>
    <w:rsid w:val="00573502"/>
    <w:rsid w:val="0057355A"/>
    <w:rsid w:val="0057355C"/>
    <w:rsid w:val="00573576"/>
    <w:rsid w:val="00573598"/>
    <w:rsid w:val="005735E4"/>
    <w:rsid w:val="005735E8"/>
    <w:rsid w:val="00573621"/>
    <w:rsid w:val="00573626"/>
    <w:rsid w:val="005736A7"/>
    <w:rsid w:val="005736C8"/>
    <w:rsid w:val="0057370F"/>
    <w:rsid w:val="00573749"/>
    <w:rsid w:val="0057381A"/>
    <w:rsid w:val="0057381C"/>
    <w:rsid w:val="005738E7"/>
    <w:rsid w:val="00573913"/>
    <w:rsid w:val="0057395E"/>
    <w:rsid w:val="00573999"/>
    <w:rsid w:val="00573A18"/>
    <w:rsid w:val="00573AD2"/>
    <w:rsid w:val="00573AF9"/>
    <w:rsid w:val="00573B16"/>
    <w:rsid w:val="00573B21"/>
    <w:rsid w:val="00573B2A"/>
    <w:rsid w:val="00573B94"/>
    <w:rsid w:val="00573B9C"/>
    <w:rsid w:val="00573C26"/>
    <w:rsid w:val="00573C43"/>
    <w:rsid w:val="00573C78"/>
    <w:rsid w:val="00573C8C"/>
    <w:rsid w:val="00573CB8"/>
    <w:rsid w:val="00573CED"/>
    <w:rsid w:val="00573D2D"/>
    <w:rsid w:val="00573D34"/>
    <w:rsid w:val="00573D59"/>
    <w:rsid w:val="00573D6F"/>
    <w:rsid w:val="00573D73"/>
    <w:rsid w:val="00573D79"/>
    <w:rsid w:val="00573DD5"/>
    <w:rsid w:val="00573EBE"/>
    <w:rsid w:val="00573EC3"/>
    <w:rsid w:val="00573EEE"/>
    <w:rsid w:val="00573F4C"/>
    <w:rsid w:val="00574073"/>
    <w:rsid w:val="00574085"/>
    <w:rsid w:val="005740C7"/>
    <w:rsid w:val="005740FB"/>
    <w:rsid w:val="0057416B"/>
    <w:rsid w:val="005741A1"/>
    <w:rsid w:val="005741EC"/>
    <w:rsid w:val="005742CF"/>
    <w:rsid w:val="005742F8"/>
    <w:rsid w:val="0057442C"/>
    <w:rsid w:val="00574486"/>
    <w:rsid w:val="005744AA"/>
    <w:rsid w:val="00574510"/>
    <w:rsid w:val="00574522"/>
    <w:rsid w:val="00574524"/>
    <w:rsid w:val="00574530"/>
    <w:rsid w:val="005745AE"/>
    <w:rsid w:val="005747B0"/>
    <w:rsid w:val="005747BF"/>
    <w:rsid w:val="00574818"/>
    <w:rsid w:val="0057485B"/>
    <w:rsid w:val="00574887"/>
    <w:rsid w:val="0057489E"/>
    <w:rsid w:val="005748BC"/>
    <w:rsid w:val="005748D8"/>
    <w:rsid w:val="00574942"/>
    <w:rsid w:val="0057498B"/>
    <w:rsid w:val="005749D5"/>
    <w:rsid w:val="005749EE"/>
    <w:rsid w:val="00574AA5"/>
    <w:rsid w:val="00574AE0"/>
    <w:rsid w:val="00574B03"/>
    <w:rsid w:val="00574B35"/>
    <w:rsid w:val="00574B64"/>
    <w:rsid w:val="00574B69"/>
    <w:rsid w:val="00574B87"/>
    <w:rsid w:val="00574BDC"/>
    <w:rsid w:val="00574C64"/>
    <w:rsid w:val="00574D61"/>
    <w:rsid w:val="00574D64"/>
    <w:rsid w:val="00574D9A"/>
    <w:rsid w:val="00574E27"/>
    <w:rsid w:val="00574E61"/>
    <w:rsid w:val="00574EB2"/>
    <w:rsid w:val="00574EBC"/>
    <w:rsid w:val="00574ECC"/>
    <w:rsid w:val="00574ED1"/>
    <w:rsid w:val="00574EE6"/>
    <w:rsid w:val="00574EE8"/>
    <w:rsid w:val="00574F3A"/>
    <w:rsid w:val="00574F7E"/>
    <w:rsid w:val="00574FAB"/>
    <w:rsid w:val="00574FD6"/>
    <w:rsid w:val="0057501D"/>
    <w:rsid w:val="0057504C"/>
    <w:rsid w:val="005750C6"/>
    <w:rsid w:val="00575115"/>
    <w:rsid w:val="00575126"/>
    <w:rsid w:val="00575190"/>
    <w:rsid w:val="005751F2"/>
    <w:rsid w:val="00575217"/>
    <w:rsid w:val="00575234"/>
    <w:rsid w:val="00575240"/>
    <w:rsid w:val="00575272"/>
    <w:rsid w:val="00575299"/>
    <w:rsid w:val="005752E2"/>
    <w:rsid w:val="00575321"/>
    <w:rsid w:val="00575335"/>
    <w:rsid w:val="00575354"/>
    <w:rsid w:val="00575372"/>
    <w:rsid w:val="00575376"/>
    <w:rsid w:val="0057540C"/>
    <w:rsid w:val="0057543B"/>
    <w:rsid w:val="00575477"/>
    <w:rsid w:val="005754D5"/>
    <w:rsid w:val="005754F5"/>
    <w:rsid w:val="0057553B"/>
    <w:rsid w:val="00575540"/>
    <w:rsid w:val="00575579"/>
    <w:rsid w:val="005755F7"/>
    <w:rsid w:val="0057565F"/>
    <w:rsid w:val="00575693"/>
    <w:rsid w:val="0057569C"/>
    <w:rsid w:val="005756A8"/>
    <w:rsid w:val="005756EC"/>
    <w:rsid w:val="00575743"/>
    <w:rsid w:val="00575753"/>
    <w:rsid w:val="0057575B"/>
    <w:rsid w:val="00575763"/>
    <w:rsid w:val="005757DC"/>
    <w:rsid w:val="005757E7"/>
    <w:rsid w:val="00575810"/>
    <w:rsid w:val="005758F1"/>
    <w:rsid w:val="00575906"/>
    <w:rsid w:val="00575940"/>
    <w:rsid w:val="00575943"/>
    <w:rsid w:val="00575959"/>
    <w:rsid w:val="005759CC"/>
    <w:rsid w:val="005759DE"/>
    <w:rsid w:val="00575A3C"/>
    <w:rsid w:val="00575A4E"/>
    <w:rsid w:val="00575A7A"/>
    <w:rsid w:val="00575AC0"/>
    <w:rsid w:val="00575AEE"/>
    <w:rsid w:val="00575AF7"/>
    <w:rsid w:val="00575AFC"/>
    <w:rsid w:val="00575B17"/>
    <w:rsid w:val="00575B93"/>
    <w:rsid w:val="00575C4B"/>
    <w:rsid w:val="00575CB8"/>
    <w:rsid w:val="00575CD0"/>
    <w:rsid w:val="00575CE8"/>
    <w:rsid w:val="00575D92"/>
    <w:rsid w:val="00575DA4"/>
    <w:rsid w:val="00575DF5"/>
    <w:rsid w:val="00575E0A"/>
    <w:rsid w:val="00575E36"/>
    <w:rsid w:val="00575E5A"/>
    <w:rsid w:val="00575E5B"/>
    <w:rsid w:val="00575F62"/>
    <w:rsid w:val="00575F77"/>
    <w:rsid w:val="0057603D"/>
    <w:rsid w:val="00576076"/>
    <w:rsid w:val="005760DA"/>
    <w:rsid w:val="005760F8"/>
    <w:rsid w:val="005761C3"/>
    <w:rsid w:val="00576289"/>
    <w:rsid w:val="005762DB"/>
    <w:rsid w:val="00576310"/>
    <w:rsid w:val="00576367"/>
    <w:rsid w:val="0057637A"/>
    <w:rsid w:val="0057638E"/>
    <w:rsid w:val="005763FE"/>
    <w:rsid w:val="00576411"/>
    <w:rsid w:val="0057641E"/>
    <w:rsid w:val="00576496"/>
    <w:rsid w:val="005765AF"/>
    <w:rsid w:val="005765C3"/>
    <w:rsid w:val="005766D1"/>
    <w:rsid w:val="00576779"/>
    <w:rsid w:val="00576873"/>
    <w:rsid w:val="00576897"/>
    <w:rsid w:val="00576991"/>
    <w:rsid w:val="00576993"/>
    <w:rsid w:val="005769A0"/>
    <w:rsid w:val="005769DF"/>
    <w:rsid w:val="00576A20"/>
    <w:rsid w:val="00576A56"/>
    <w:rsid w:val="00576A8B"/>
    <w:rsid w:val="00576AAA"/>
    <w:rsid w:val="00576B02"/>
    <w:rsid w:val="00576B5C"/>
    <w:rsid w:val="00576B8A"/>
    <w:rsid w:val="00576C56"/>
    <w:rsid w:val="00576C62"/>
    <w:rsid w:val="00576C6C"/>
    <w:rsid w:val="00576C81"/>
    <w:rsid w:val="00576CE9"/>
    <w:rsid w:val="00576CF3"/>
    <w:rsid w:val="00576D18"/>
    <w:rsid w:val="00576DAA"/>
    <w:rsid w:val="00576DAB"/>
    <w:rsid w:val="00576DD4"/>
    <w:rsid w:val="00576E15"/>
    <w:rsid w:val="00576E2D"/>
    <w:rsid w:val="00576E55"/>
    <w:rsid w:val="00576E9C"/>
    <w:rsid w:val="00576EB6"/>
    <w:rsid w:val="00576ED0"/>
    <w:rsid w:val="00576F3C"/>
    <w:rsid w:val="00576F5F"/>
    <w:rsid w:val="00576F64"/>
    <w:rsid w:val="00576FB7"/>
    <w:rsid w:val="0057701B"/>
    <w:rsid w:val="00577040"/>
    <w:rsid w:val="00577052"/>
    <w:rsid w:val="0057706E"/>
    <w:rsid w:val="00577097"/>
    <w:rsid w:val="005770C2"/>
    <w:rsid w:val="00577164"/>
    <w:rsid w:val="0057718B"/>
    <w:rsid w:val="0057722F"/>
    <w:rsid w:val="00577239"/>
    <w:rsid w:val="0057728E"/>
    <w:rsid w:val="00577349"/>
    <w:rsid w:val="00577361"/>
    <w:rsid w:val="00577375"/>
    <w:rsid w:val="005773BC"/>
    <w:rsid w:val="005773E0"/>
    <w:rsid w:val="005773E5"/>
    <w:rsid w:val="00577475"/>
    <w:rsid w:val="005774C4"/>
    <w:rsid w:val="005774F4"/>
    <w:rsid w:val="00577503"/>
    <w:rsid w:val="00577570"/>
    <w:rsid w:val="0057757A"/>
    <w:rsid w:val="0057763D"/>
    <w:rsid w:val="00577658"/>
    <w:rsid w:val="00577729"/>
    <w:rsid w:val="00577784"/>
    <w:rsid w:val="0057778B"/>
    <w:rsid w:val="00577863"/>
    <w:rsid w:val="00577894"/>
    <w:rsid w:val="00577902"/>
    <w:rsid w:val="00577A59"/>
    <w:rsid w:val="00577B10"/>
    <w:rsid w:val="00577B30"/>
    <w:rsid w:val="00577B68"/>
    <w:rsid w:val="00577BA9"/>
    <w:rsid w:val="00577C09"/>
    <w:rsid w:val="00577CAE"/>
    <w:rsid w:val="00577CB4"/>
    <w:rsid w:val="00577CF4"/>
    <w:rsid w:val="00577D31"/>
    <w:rsid w:val="00577DC2"/>
    <w:rsid w:val="00577E22"/>
    <w:rsid w:val="00577E3C"/>
    <w:rsid w:val="00577E6A"/>
    <w:rsid w:val="00577EAA"/>
    <w:rsid w:val="00577EB4"/>
    <w:rsid w:val="00577F31"/>
    <w:rsid w:val="00577F46"/>
    <w:rsid w:val="00577F65"/>
    <w:rsid w:val="00577FDB"/>
    <w:rsid w:val="00580005"/>
    <w:rsid w:val="0058001B"/>
    <w:rsid w:val="0058001E"/>
    <w:rsid w:val="00580103"/>
    <w:rsid w:val="00580192"/>
    <w:rsid w:val="00580193"/>
    <w:rsid w:val="0058019A"/>
    <w:rsid w:val="005801AB"/>
    <w:rsid w:val="005801D4"/>
    <w:rsid w:val="00580238"/>
    <w:rsid w:val="00580277"/>
    <w:rsid w:val="00580338"/>
    <w:rsid w:val="00580374"/>
    <w:rsid w:val="005803B9"/>
    <w:rsid w:val="00580416"/>
    <w:rsid w:val="00580443"/>
    <w:rsid w:val="0058048D"/>
    <w:rsid w:val="005804B2"/>
    <w:rsid w:val="005804B5"/>
    <w:rsid w:val="00580532"/>
    <w:rsid w:val="00580582"/>
    <w:rsid w:val="005805CE"/>
    <w:rsid w:val="005805DC"/>
    <w:rsid w:val="0058060D"/>
    <w:rsid w:val="0058060F"/>
    <w:rsid w:val="00580628"/>
    <w:rsid w:val="00580640"/>
    <w:rsid w:val="00580655"/>
    <w:rsid w:val="0058067D"/>
    <w:rsid w:val="005806A0"/>
    <w:rsid w:val="00580702"/>
    <w:rsid w:val="00580703"/>
    <w:rsid w:val="00580727"/>
    <w:rsid w:val="00580764"/>
    <w:rsid w:val="0058076F"/>
    <w:rsid w:val="0058078B"/>
    <w:rsid w:val="00580882"/>
    <w:rsid w:val="005809A4"/>
    <w:rsid w:val="00580A06"/>
    <w:rsid w:val="00580A56"/>
    <w:rsid w:val="00580AC0"/>
    <w:rsid w:val="00580C08"/>
    <w:rsid w:val="00580C26"/>
    <w:rsid w:val="00580D70"/>
    <w:rsid w:val="00580D76"/>
    <w:rsid w:val="00580D7F"/>
    <w:rsid w:val="00580D83"/>
    <w:rsid w:val="00580E07"/>
    <w:rsid w:val="00580E1A"/>
    <w:rsid w:val="00580E3A"/>
    <w:rsid w:val="00580E40"/>
    <w:rsid w:val="00580EA0"/>
    <w:rsid w:val="00580F13"/>
    <w:rsid w:val="00580F21"/>
    <w:rsid w:val="00580FAD"/>
    <w:rsid w:val="00580FB1"/>
    <w:rsid w:val="00580FEC"/>
    <w:rsid w:val="00581080"/>
    <w:rsid w:val="0058108B"/>
    <w:rsid w:val="005810FE"/>
    <w:rsid w:val="0058110A"/>
    <w:rsid w:val="00581173"/>
    <w:rsid w:val="0058119A"/>
    <w:rsid w:val="0058119E"/>
    <w:rsid w:val="0058121A"/>
    <w:rsid w:val="00581239"/>
    <w:rsid w:val="0058123D"/>
    <w:rsid w:val="005812A0"/>
    <w:rsid w:val="005812EA"/>
    <w:rsid w:val="005812F9"/>
    <w:rsid w:val="00581324"/>
    <w:rsid w:val="0058132C"/>
    <w:rsid w:val="0058132F"/>
    <w:rsid w:val="0058137D"/>
    <w:rsid w:val="00581398"/>
    <w:rsid w:val="00581421"/>
    <w:rsid w:val="00581424"/>
    <w:rsid w:val="00581425"/>
    <w:rsid w:val="005814AA"/>
    <w:rsid w:val="005814B1"/>
    <w:rsid w:val="005815A6"/>
    <w:rsid w:val="00581664"/>
    <w:rsid w:val="00581689"/>
    <w:rsid w:val="00581774"/>
    <w:rsid w:val="005817CB"/>
    <w:rsid w:val="005818FD"/>
    <w:rsid w:val="00581937"/>
    <w:rsid w:val="00581965"/>
    <w:rsid w:val="0058197A"/>
    <w:rsid w:val="0058197B"/>
    <w:rsid w:val="00581981"/>
    <w:rsid w:val="00581989"/>
    <w:rsid w:val="00581A29"/>
    <w:rsid w:val="00581A31"/>
    <w:rsid w:val="00581A6E"/>
    <w:rsid w:val="00581AE6"/>
    <w:rsid w:val="00581B0D"/>
    <w:rsid w:val="00581B16"/>
    <w:rsid w:val="00581BD7"/>
    <w:rsid w:val="00581C03"/>
    <w:rsid w:val="00581C47"/>
    <w:rsid w:val="00581C68"/>
    <w:rsid w:val="00581D52"/>
    <w:rsid w:val="00581D81"/>
    <w:rsid w:val="00581D89"/>
    <w:rsid w:val="00581D99"/>
    <w:rsid w:val="00581E3C"/>
    <w:rsid w:val="00581E68"/>
    <w:rsid w:val="00581EAE"/>
    <w:rsid w:val="00581EFF"/>
    <w:rsid w:val="00581F19"/>
    <w:rsid w:val="00581F64"/>
    <w:rsid w:val="00581F9A"/>
    <w:rsid w:val="00581FCB"/>
    <w:rsid w:val="0058200A"/>
    <w:rsid w:val="0058200B"/>
    <w:rsid w:val="00582032"/>
    <w:rsid w:val="00582049"/>
    <w:rsid w:val="00582175"/>
    <w:rsid w:val="00582251"/>
    <w:rsid w:val="0058225F"/>
    <w:rsid w:val="0058228A"/>
    <w:rsid w:val="005822CD"/>
    <w:rsid w:val="005822D5"/>
    <w:rsid w:val="00582309"/>
    <w:rsid w:val="00582341"/>
    <w:rsid w:val="00582389"/>
    <w:rsid w:val="005823C5"/>
    <w:rsid w:val="005823D2"/>
    <w:rsid w:val="005823DD"/>
    <w:rsid w:val="005823FD"/>
    <w:rsid w:val="00582458"/>
    <w:rsid w:val="005824EB"/>
    <w:rsid w:val="0058252D"/>
    <w:rsid w:val="0058256B"/>
    <w:rsid w:val="005825C3"/>
    <w:rsid w:val="0058260D"/>
    <w:rsid w:val="0058274C"/>
    <w:rsid w:val="00582762"/>
    <w:rsid w:val="00582766"/>
    <w:rsid w:val="005827D7"/>
    <w:rsid w:val="00582821"/>
    <w:rsid w:val="00582882"/>
    <w:rsid w:val="005828F8"/>
    <w:rsid w:val="00582916"/>
    <w:rsid w:val="005829F1"/>
    <w:rsid w:val="00582A30"/>
    <w:rsid w:val="00582A53"/>
    <w:rsid w:val="00582A7A"/>
    <w:rsid w:val="00582A7F"/>
    <w:rsid w:val="00582A90"/>
    <w:rsid w:val="00582A9D"/>
    <w:rsid w:val="00582AB3"/>
    <w:rsid w:val="00582ADC"/>
    <w:rsid w:val="00582AEC"/>
    <w:rsid w:val="00582B02"/>
    <w:rsid w:val="00582B91"/>
    <w:rsid w:val="00582C15"/>
    <w:rsid w:val="00582C5A"/>
    <w:rsid w:val="00582DC8"/>
    <w:rsid w:val="00582E10"/>
    <w:rsid w:val="00582E3C"/>
    <w:rsid w:val="00582F59"/>
    <w:rsid w:val="00582F94"/>
    <w:rsid w:val="00583069"/>
    <w:rsid w:val="00583077"/>
    <w:rsid w:val="0058315B"/>
    <w:rsid w:val="005831BF"/>
    <w:rsid w:val="005831DB"/>
    <w:rsid w:val="00583238"/>
    <w:rsid w:val="005832F0"/>
    <w:rsid w:val="00583312"/>
    <w:rsid w:val="00583353"/>
    <w:rsid w:val="0058339F"/>
    <w:rsid w:val="005833EF"/>
    <w:rsid w:val="0058344C"/>
    <w:rsid w:val="005834E5"/>
    <w:rsid w:val="005834F9"/>
    <w:rsid w:val="0058350C"/>
    <w:rsid w:val="00583514"/>
    <w:rsid w:val="00583547"/>
    <w:rsid w:val="0058358D"/>
    <w:rsid w:val="00583595"/>
    <w:rsid w:val="005835B4"/>
    <w:rsid w:val="005835C8"/>
    <w:rsid w:val="00583613"/>
    <w:rsid w:val="00583672"/>
    <w:rsid w:val="00583675"/>
    <w:rsid w:val="00583688"/>
    <w:rsid w:val="0058370F"/>
    <w:rsid w:val="0058373F"/>
    <w:rsid w:val="00583780"/>
    <w:rsid w:val="0058380D"/>
    <w:rsid w:val="00583838"/>
    <w:rsid w:val="00583872"/>
    <w:rsid w:val="005838AC"/>
    <w:rsid w:val="005838BF"/>
    <w:rsid w:val="00583917"/>
    <w:rsid w:val="005839F9"/>
    <w:rsid w:val="00583A46"/>
    <w:rsid w:val="00583A7A"/>
    <w:rsid w:val="00583A87"/>
    <w:rsid w:val="00583A97"/>
    <w:rsid w:val="00583B85"/>
    <w:rsid w:val="00583BF2"/>
    <w:rsid w:val="00583C13"/>
    <w:rsid w:val="00583C33"/>
    <w:rsid w:val="00583C80"/>
    <w:rsid w:val="00583C9C"/>
    <w:rsid w:val="00583D21"/>
    <w:rsid w:val="00583D6A"/>
    <w:rsid w:val="00583D88"/>
    <w:rsid w:val="00583DD6"/>
    <w:rsid w:val="00583E19"/>
    <w:rsid w:val="00583E2A"/>
    <w:rsid w:val="00583E37"/>
    <w:rsid w:val="00583E52"/>
    <w:rsid w:val="00583E6B"/>
    <w:rsid w:val="00584032"/>
    <w:rsid w:val="00584034"/>
    <w:rsid w:val="0058406A"/>
    <w:rsid w:val="0058407D"/>
    <w:rsid w:val="005840AA"/>
    <w:rsid w:val="005840AB"/>
    <w:rsid w:val="005840AE"/>
    <w:rsid w:val="00584133"/>
    <w:rsid w:val="00584164"/>
    <w:rsid w:val="005842DC"/>
    <w:rsid w:val="005842E8"/>
    <w:rsid w:val="0058430C"/>
    <w:rsid w:val="00584438"/>
    <w:rsid w:val="0058443B"/>
    <w:rsid w:val="00584503"/>
    <w:rsid w:val="0058451A"/>
    <w:rsid w:val="005845C4"/>
    <w:rsid w:val="005845F6"/>
    <w:rsid w:val="0058462B"/>
    <w:rsid w:val="0058469C"/>
    <w:rsid w:val="005846A7"/>
    <w:rsid w:val="00584716"/>
    <w:rsid w:val="00584726"/>
    <w:rsid w:val="005847B2"/>
    <w:rsid w:val="005847C1"/>
    <w:rsid w:val="005847D9"/>
    <w:rsid w:val="005847DC"/>
    <w:rsid w:val="00584814"/>
    <w:rsid w:val="00584830"/>
    <w:rsid w:val="005848A3"/>
    <w:rsid w:val="005848CE"/>
    <w:rsid w:val="00584922"/>
    <w:rsid w:val="00584997"/>
    <w:rsid w:val="005849FA"/>
    <w:rsid w:val="00584A07"/>
    <w:rsid w:val="00584AF5"/>
    <w:rsid w:val="00584B0D"/>
    <w:rsid w:val="00584B14"/>
    <w:rsid w:val="00584B35"/>
    <w:rsid w:val="00584B6F"/>
    <w:rsid w:val="00584B8B"/>
    <w:rsid w:val="00584BA0"/>
    <w:rsid w:val="00584BAB"/>
    <w:rsid w:val="00584BBC"/>
    <w:rsid w:val="00584BDE"/>
    <w:rsid w:val="00584BDF"/>
    <w:rsid w:val="00584BE1"/>
    <w:rsid w:val="00584BE8"/>
    <w:rsid w:val="00584BF1"/>
    <w:rsid w:val="00584BF2"/>
    <w:rsid w:val="00584C0A"/>
    <w:rsid w:val="00584C78"/>
    <w:rsid w:val="00584CAE"/>
    <w:rsid w:val="00584CD9"/>
    <w:rsid w:val="00584D99"/>
    <w:rsid w:val="00584DFE"/>
    <w:rsid w:val="00584E14"/>
    <w:rsid w:val="00584E8D"/>
    <w:rsid w:val="00584F12"/>
    <w:rsid w:val="00584F26"/>
    <w:rsid w:val="00584F78"/>
    <w:rsid w:val="00584FA7"/>
    <w:rsid w:val="00584FE3"/>
    <w:rsid w:val="00584FEF"/>
    <w:rsid w:val="0058502C"/>
    <w:rsid w:val="00585061"/>
    <w:rsid w:val="005850B8"/>
    <w:rsid w:val="005850CC"/>
    <w:rsid w:val="00585103"/>
    <w:rsid w:val="00585122"/>
    <w:rsid w:val="00585146"/>
    <w:rsid w:val="00585160"/>
    <w:rsid w:val="00585174"/>
    <w:rsid w:val="00585198"/>
    <w:rsid w:val="005851AC"/>
    <w:rsid w:val="005851B7"/>
    <w:rsid w:val="00585206"/>
    <w:rsid w:val="0058522D"/>
    <w:rsid w:val="00585382"/>
    <w:rsid w:val="005853E0"/>
    <w:rsid w:val="00585413"/>
    <w:rsid w:val="00585421"/>
    <w:rsid w:val="0058543F"/>
    <w:rsid w:val="00585449"/>
    <w:rsid w:val="005854A6"/>
    <w:rsid w:val="005854BD"/>
    <w:rsid w:val="005854BF"/>
    <w:rsid w:val="0058558B"/>
    <w:rsid w:val="00585597"/>
    <w:rsid w:val="005855E6"/>
    <w:rsid w:val="00585616"/>
    <w:rsid w:val="0058564C"/>
    <w:rsid w:val="00585655"/>
    <w:rsid w:val="005856C1"/>
    <w:rsid w:val="005856CE"/>
    <w:rsid w:val="00585702"/>
    <w:rsid w:val="0058572E"/>
    <w:rsid w:val="00585747"/>
    <w:rsid w:val="0058574B"/>
    <w:rsid w:val="0058580D"/>
    <w:rsid w:val="00585845"/>
    <w:rsid w:val="00585899"/>
    <w:rsid w:val="005858B9"/>
    <w:rsid w:val="0058594B"/>
    <w:rsid w:val="00585998"/>
    <w:rsid w:val="00585A1E"/>
    <w:rsid w:val="00585A2C"/>
    <w:rsid w:val="00585A3C"/>
    <w:rsid w:val="00585A61"/>
    <w:rsid w:val="00585AC4"/>
    <w:rsid w:val="00585ACD"/>
    <w:rsid w:val="00585B82"/>
    <w:rsid w:val="00585C0E"/>
    <w:rsid w:val="00585C56"/>
    <w:rsid w:val="00585CA1"/>
    <w:rsid w:val="00585CA7"/>
    <w:rsid w:val="00585D35"/>
    <w:rsid w:val="00585D42"/>
    <w:rsid w:val="00585D59"/>
    <w:rsid w:val="00585D92"/>
    <w:rsid w:val="00585DF6"/>
    <w:rsid w:val="00585E38"/>
    <w:rsid w:val="00585E5C"/>
    <w:rsid w:val="00585EC6"/>
    <w:rsid w:val="00585F32"/>
    <w:rsid w:val="00585F42"/>
    <w:rsid w:val="00585F5C"/>
    <w:rsid w:val="00585FB6"/>
    <w:rsid w:val="00585FD6"/>
    <w:rsid w:val="00585FE3"/>
    <w:rsid w:val="00586012"/>
    <w:rsid w:val="0058603C"/>
    <w:rsid w:val="00586099"/>
    <w:rsid w:val="00586175"/>
    <w:rsid w:val="005861AE"/>
    <w:rsid w:val="005861C7"/>
    <w:rsid w:val="005861F7"/>
    <w:rsid w:val="005861FB"/>
    <w:rsid w:val="00586225"/>
    <w:rsid w:val="005862BD"/>
    <w:rsid w:val="005863D8"/>
    <w:rsid w:val="00586479"/>
    <w:rsid w:val="005864CF"/>
    <w:rsid w:val="00586554"/>
    <w:rsid w:val="00586558"/>
    <w:rsid w:val="0058656D"/>
    <w:rsid w:val="00586640"/>
    <w:rsid w:val="00586641"/>
    <w:rsid w:val="00586664"/>
    <w:rsid w:val="0058671A"/>
    <w:rsid w:val="0058692E"/>
    <w:rsid w:val="005869BD"/>
    <w:rsid w:val="005869D8"/>
    <w:rsid w:val="00586A5B"/>
    <w:rsid w:val="00586BC5"/>
    <w:rsid w:val="00586CD5"/>
    <w:rsid w:val="00586DDB"/>
    <w:rsid w:val="00586E9D"/>
    <w:rsid w:val="00586F13"/>
    <w:rsid w:val="00586FC4"/>
    <w:rsid w:val="00587012"/>
    <w:rsid w:val="0058708B"/>
    <w:rsid w:val="0058709F"/>
    <w:rsid w:val="005870D0"/>
    <w:rsid w:val="005870F1"/>
    <w:rsid w:val="00587133"/>
    <w:rsid w:val="005871B8"/>
    <w:rsid w:val="005871C1"/>
    <w:rsid w:val="0058725A"/>
    <w:rsid w:val="0058725D"/>
    <w:rsid w:val="0058727E"/>
    <w:rsid w:val="005872DF"/>
    <w:rsid w:val="0058737A"/>
    <w:rsid w:val="0058738F"/>
    <w:rsid w:val="0058743A"/>
    <w:rsid w:val="005874E8"/>
    <w:rsid w:val="00587524"/>
    <w:rsid w:val="0058757D"/>
    <w:rsid w:val="005875A6"/>
    <w:rsid w:val="005875C8"/>
    <w:rsid w:val="005875D4"/>
    <w:rsid w:val="005876CA"/>
    <w:rsid w:val="005876F2"/>
    <w:rsid w:val="00587701"/>
    <w:rsid w:val="00587721"/>
    <w:rsid w:val="0058787C"/>
    <w:rsid w:val="00587985"/>
    <w:rsid w:val="005879E5"/>
    <w:rsid w:val="005879F0"/>
    <w:rsid w:val="00587A89"/>
    <w:rsid w:val="00587AEC"/>
    <w:rsid w:val="00587B14"/>
    <w:rsid w:val="00587BF7"/>
    <w:rsid w:val="00587C38"/>
    <w:rsid w:val="00587C45"/>
    <w:rsid w:val="00587C67"/>
    <w:rsid w:val="00587C6D"/>
    <w:rsid w:val="00587CD3"/>
    <w:rsid w:val="00587D6A"/>
    <w:rsid w:val="00587DED"/>
    <w:rsid w:val="00587E29"/>
    <w:rsid w:val="00587E69"/>
    <w:rsid w:val="00587EF5"/>
    <w:rsid w:val="00587F18"/>
    <w:rsid w:val="00587F67"/>
    <w:rsid w:val="00587F73"/>
    <w:rsid w:val="00587F7C"/>
    <w:rsid w:val="00587FF2"/>
    <w:rsid w:val="00587FFD"/>
    <w:rsid w:val="00590057"/>
    <w:rsid w:val="00590086"/>
    <w:rsid w:val="00590104"/>
    <w:rsid w:val="00590113"/>
    <w:rsid w:val="0059013E"/>
    <w:rsid w:val="005901F0"/>
    <w:rsid w:val="00590209"/>
    <w:rsid w:val="005904B8"/>
    <w:rsid w:val="005904EB"/>
    <w:rsid w:val="00590503"/>
    <w:rsid w:val="00590519"/>
    <w:rsid w:val="00590583"/>
    <w:rsid w:val="00590635"/>
    <w:rsid w:val="00590724"/>
    <w:rsid w:val="005907E3"/>
    <w:rsid w:val="005907F9"/>
    <w:rsid w:val="00590801"/>
    <w:rsid w:val="00590820"/>
    <w:rsid w:val="005908E1"/>
    <w:rsid w:val="00590965"/>
    <w:rsid w:val="0059098D"/>
    <w:rsid w:val="005909E6"/>
    <w:rsid w:val="00590A0A"/>
    <w:rsid w:val="00590A0F"/>
    <w:rsid w:val="00590A32"/>
    <w:rsid w:val="00590A76"/>
    <w:rsid w:val="00590AC3"/>
    <w:rsid w:val="00590B30"/>
    <w:rsid w:val="00590B52"/>
    <w:rsid w:val="00590BDF"/>
    <w:rsid w:val="00590C17"/>
    <w:rsid w:val="00590C5F"/>
    <w:rsid w:val="00590DA9"/>
    <w:rsid w:val="00590DE0"/>
    <w:rsid w:val="00590E7D"/>
    <w:rsid w:val="00590EA5"/>
    <w:rsid w:val="00590EAC"/>
    <w:rsid w:val="00590EFE"/>
    <w:rsid w:val="00591041"/>
    <w:rsid w:val="00591124"/>
    <w:rsid w:val="0059114C"/>
    <w:rsid w:val="00591160"/>
    <w:rsid w:val="005911A1"/>
    <w:rsid w:val="005911B2"/>
    <w:rsid w:val="005911E6"/>
    <w:rsid w:val="00591265"/>
    <w:rsid w:val="0059127A"/>
    <w:rsid w:val="005912C4"/>
    <w:rsid w:val="00591327"/>
    <w:rsid w:val="0059133D"/>
    <w:rsid w:val="00591366"/>
    <w:rsid w:val="005913CE"/>
    <w:rsid w:val="005913FA"/>
    <w:rsid w:val="00591487"/>
    <w:rsid w:val="0059149A"/>
    <w:rsid w:val="005914DE"/>
    <w:rsid w:val="005914F0"/>
    <w:rsid w:val="0059159E"/>
    <w:rsid w:val="0059160F"/>
    <w:rsid w:val="00591660"/>
    <w:rsid w:val="005916A6"/>
    <w:rsid w:val="005916C1"/>
    <w:rsid w:val="00591706"/>
    <w:rsid w:val="005917BE"/>
    <w:rsid w:val="005917E2"/>
    <w:rsid w:val="00591802"/>
    <w:rsid w:val="00591859"/>
    <w:rsid w:val="005918A9"/>
    <w:rsid w:val="005918AD"/>
    <w:rsid w:val="00591972"/>
    <w:rsid w:val="00591997"/>
    <w:rsid w:val="005919E9"/>
    <w:rsid w:val="00591A57"/>
    <w:rsid w:val="00591AD5"/>
    <w:rsid w:val="00591AEC"/>
    <w:rsid w:val="00591B88"/>
    <w:rsid w:val="00591BA3"/>
    <w:rsid w:val="00591BA5"/>
    <w:rsid w:val="00591C24"/>
    <w:rsid w:val="00591C69"/>
    <w:rsid w:val="00591C97"/>
    <w:rsid w:val="00591D17"/>
    <w:rsid w:val="00591D1F"/>
    <w:rsid w:val="00591D4E"/>
    <w:rsid w:val="00591D68"/>
    <w:rsid w:val="00591DB9"/>
    <w:rsid w:val="00591DF8"/>
    <w:rsid w:val="00591EC0"/>
    <w:rsid w:val="00591EE6"/>
    <w:rsid w:val="00591F08"/>
    <w:rsid w:val="00591FF4"/>
    <w:rsid w:val="00592030"/>
    <w:rsid w:val="00592066"/>
    <w:rsid w:val="00592073"/>
    <w:rsid w:val="005920D1"/>
    <w:rsid w:val="005920D5"/>
    <w:rsid w:val="00592108"/>
    <w:rsid w:val="0059210B"/>
    <w:rsid w:val="0059214F"/>
    <w:rsid w:val="00592161"/>
    <w:rsid w:val="00592166"/>
    <w:rsid w:val="005921AE"/>
    <w:rsid w:val="005921B4"/>
    <w:rsid w:val="005921FA"/>
    <w:rsid w:val="00592206"/>
    <w:rsid w:val="00592220"/>
    <w:rsid w:val="0059224E"/>
    <w:rsid w:val="00592289"/>
    <w:rsid w:val="005922BD"/>
    <w:rsid w:val="005922CA"/>
    <w:rsid w:val="005923DD"/>
    <w:rsid w:val="00592453"/>
    <w:rsid w:val="00592494"/>
    <w:rsid w:val="005924F5"/>
    <w:rsid w:val="005924FA"/>
    <w:rsid w:val="00592503"/>
    <w:rsid w:val="00592507"/>
    <w:rsid w:val="005925A0"/>
    <w:rsid w:val="005925C2"/>
    <w:rsid w:val="005925EB"/>
    <w:rsid w:val="00592635"/>
    <w:rsid w:val="005926A9"/>
    <w:rsid w:val="005926BB"/>
    <w:rsid w:val="00592788"/>
    <w:rsid w:val="00592802"/>
    <w:rsid w:val="00592838"/>
    <w:rsid w:val="00592871"/>
    <w:rsid w:val="0059290C"/>
    <w:rsid w:val="0059291D"/>
    <w:rsid w:val="00592923"/>
    <w:rsid w:val="0059293A"/>
    <w:rsid w:val="0059297A"/>
    <w:rsid w:val="00592A1B"/>
    <w:rsid w:val="00592A4C"/>
    <w:rsid w:val="00592A67"/>
    <w:rsid w:val="00592B27"/>
    <w:rsid w:val="00592B5A"/>
    <w:rsid w:val="00592B70"/>
    <w:rsid w:val="00592B84"/>
    <w:rsid w:val="00592B9A"/>
    <w:rsid w:val="00592BE5"/>
    <w:rsid w:val="00592BF3"/>
    <w:rsid w:val="00592C47"/>
    <w:rsid w:val="00592D1F"/>
    <w:rsid w:val="00592D4C"/>
    <w:rsid w:val="00592D57"/>
    <w:rsid w:val="00592E16"/>
    <w:rsid w:val="00592E56"/>
    <w:rsid w:val="00592E78"/>
    <w:rsid w:val="00592E8A"/>
    <w:rsid w:val="00592EA8"/>
    <w:rsid w:val="00592F30"/>
    <w:rsid w:val="00592F67"/>
    <w:rsid w:val="00592FCB"/>
    <w:rsid w:val="00592FFE"/>
    <w:rsid w:val="00593004"/>
    <w:rsid w:val="00593065"/>
    <w:rsid w:val="005930BF"/>
    <w:rsid w:val="00593140"/>
    <w:rsid w:val="0059315E"/>
    <w:rsid w:val="00593187"/>
    <w:rsid w:val="00593251"/>
    <w:rsid w:val="00593284"/>
    <w:rsid w:val="0059328A"/>
    <w:rsid w:val="005932D1"/>
    <w:rsid w:val="005932D4"/>
    <w:rsid w:val="0059334A"/>
    <w:rsid w:val="00593382"/>
    <w:rsid w:val="005933A0"/>
    <w:rsid w:val="00593414"/>
    <w:rsid w:val="00593439"/>
    <w:rsid w:val="00593462"/>
    <w:rsid w:val="005934AA"/>
    <w:rsid w:val="005934CE"/>
    <w:rsid w:val="00593553"/>
    <w:rsid w:val="0059355E"/>
    <w:rsid w:val="00593571"/>
    <w:rsid w:val="0059359C"/>
    <w:rsid w:val="00593640"/>
    <w:rsid w:val="005936A0"/>
    <w:rsid w:val="00593761"/>
    <w:rsid w:val="00593806"/>
    <w:rsid w:val="00593834"/>
    <w:rsid w:val="00593927"/>
    <w:rsid w:val="0059394D"/>
    <w:rsid w:val="005939DC"/>
    <w:rsid w:val="005939E2"/>
    <w:rsid w:val="00593A01"/>
    <w:rsid w:val="00593A55"/>
    <w:rsid w:val="00593AB5"/>
    <w:rsid w:val="00593AEB"/>
    <w:rsid w:val="00593B29"/>
    <w:rsid w:val="00593BA3"/>
    <w:rsid w:val="00593BE0"/>
    <w:rsid w:val="00593BFB"/>
    <w:rsid w:val="00593C38"/>
    <w:rsid w:val="00593C49"/>
    <w:rsid w:val="00593C6B"/>
    <w:rsid w:val="00593C88"/>
    <w:rsid w:val="00593CB8"/>
    <w:rsid w:val="00593CBE"/>
    <w:rsid w:val="00593D16"/>
    <w:rsid w:val="00593D61"/>
    <w:rsid w:val="00593D77"/>
    <w:rsid w:val="00593D94"/>
    <w:rsid w:val="00593DC4"/>
    <w:rsid w:val="00593E24"/>
    <w:rsid w:val="00593E7B"/>
    <w:rsid w:val="00593E89"/>
    <w:rsid w:val="00593EFC"/>
    <w:rsid w:val="00593F02"/>
    <w:rsid w:val="00593F3D"/>
    <w:rsid w:val="00593FAF"/>
    <w:rsid w:val="00593FCF"/>
    <w:rsid w:val="00594010"/>
    <w:rsid w:val="005940C5"/>
    <w:rsid w:val="005941A5"/>
    <w:rsid w:val="005941D9"/>
    <w:rsid w:val="00594201"/>
    <w:rsid w:val="0059421B"/>
    <w:rsid w:val="005942CD"/>
    <w:rsid w:val="005942F3"/>
    <w:rsid w:val="0059432F"/>
    <w:rsid w:val="00594345"/>
    <w:rsid w:val="00594409"/>
    <w:rsid w:val="005944D6"/>
    <w:rsid w:val="00594525"/>
    <w:rsid w:val="00594528"/>
    <w:rsid w:val="00594553"/>
    <w:rsid w:val="0059456E"/>
    <w:rsid w:val="00594570"/>
    <w:rsid w:val="00594575"/>
    <w:rsid w:val="005945D1"/>
    <w:rsid w:val="00594616"/>
    <w:rsid w:val="005946CD"/>
    <w:rsid w:val="0059472B"/>
    <w:rsid w:val="00594785"/>
    <w:rsid w:val="0059482E"/>
    <w:rsid w:val="0059483F"/>
    <w:rsid w:val="00594850"/>
    <w:rsid w:val="00594878"/>
    <w:rsid w:val="0059489C"/>
    <w:rsid w:val="005948C2"/>
    <w:rsid w:val="005948CF"/>
    <w:rsid w:val="005948EC"/>
    <w:rsid w:val="0059491E"/>
    <w:rsid w:val="00594972"/>
    <w:rsid w:val="005949DE"/>
    <w:rsid w:val="00594A20"/>
    <w:rsid w:val="00594A7A"/>
    <w:rsid w:val="00594AF8"/>
    <w:rsid w:val="00594B8B"/>
    <w:rsid w:val="00594BAC"/>
    <w:rsid w:val="00594BAD"/>
    <w:rsid w:val="00594BB6"/>
    <w:rsid w:val="00594BBA"/>
    <w:rsid w:val="00594C2F"/>
    <w:rsid w:val="00594CA3"/>
    <w:rsid w:val="00594CA5"/>
    <w:rsid w:val="00594CA8"/>
    <w:rsid w:val="00594CEB"/>
    <w:rsid w:val="00594D39"/>
    <w:rsid w:val="00594D64"/>
    <w:rsid w:val="00594D85"/>
    <w:rsid w:val="00594D98"/>
    <w:rsid w:val="00594DDE"/>
    <w:rsid w:val="00594E2E"/>
    <w:rsid w:val="00594E3B"/>
    <w:rsid w:val="00594E51"/>
    <w:rsid w:val="00594EA5"/>
    <w:rsid w:val="00594ED0"/>
    <w:rsid w:val="00594F4C"/>
    <w:rsid w:val="00594F7B"/>
    <w:rsid w:val="00594FC8"/>
    <w:rsid w:val="005950CC"/>
    <w:rsid w:val="005950E3"/>
    <w:rsid w:val="00595103"/>
    <w:rsid w:val="0059513D"/>
    <w:rsid w:val="005951BF"/>
    <w:rsid w:val="005951E7"/>
    <w:rsid w:val="0059530F"/>
    <w:rsid w:val="0059539A"/>
    <w:rsid w:val="005953AD"/>
    <w:rsid w:val="005953B4"/>
    <w:rsid w:val="005953DF"/>
    <w:rsid w:val="0059543D"/>
    <w:rsid w:val="005954C0"/>
    <w:rsid w:val="005954FF"/>
    <w:rsid w:val="0059559A"/>
    <w:rsid w:val="005955BB"/>
    <w:rsid w:val="005955C8"/>
    <w:rsid w:val="0059561A"/>
    <w:rsid w:val="00595663"/>
    <w:rsid w:val="0059566E"/>
    <w:rsid w:val="00595678"/>
    <w:rsid w:val="0059576D"/>
    <w:rsid w:val="005957BE"/>
    <w:rsid w:val="005957D9"/>
    <w:rsid w:val="005957F7"/>
    <w:rsid w:val="005957FB"/>
    <w:rsid w:val="00595864"/>
    <w:rsid w:val="00595878"/>
    <w:rsid w:val="0059589A"/>
    <w:rsid w:val="005958AA"/>
    <w:rsid w:val="00595944"/>
    <w:rsid w:val="0059594F"/>
    <w:rsid w:val="005959B6"/>
    <w:rsid w:val="005959E3"/>
    <w:rsid w:val="00595A0D"/>
    <w:rsid w:val="00595A1F"/>
    <w:rsid w:val="00595A32"/>
    <w:rsid w:val="00595A69"/>
    <w:rsid w:val="00595A7A"/>
    <w:rsid w:val="00595A84"/>
    <w:rsid w:val="00595A95"/>
    <w:rsid w:val="00595A98"/>
    <w:rsid w:val="00595AC9"/>
    <w:rsid w:val="00595B15"/>
    <w:rsid w:val="00595BD6"/>
    <w:rsid w:val="00595C1A"/>
    <w:rsid w:val="00595C9F"/>
    <w:rsid w:val="00595D54"/>
    <w:rsid w:val="00595D71"/>
    <w:rsid w:val="00595DD5"/>
    <w:rsid w:val="00595E35"/>
    <w:rsid w:val="00595EC7"/>
    <w:rsid w:val="00595EDA"/>
    <w:rsid w:val="00595F77"/>
    <w:rsid w:val="00595FC7"/>
    <w:rsid w:val="00595FE6"/>
    <w:rsid w:val="00596038"/>
    <w:rsid w:val="0059613A"/>
    <w:rsid w:val="00596174"/>
    <w:rsid w:val="005961C0"/>
    <w:rsid w:val="005961D8"/>
    <w:rsid w:val="00596269"/>
    <w:rsid w:val="005962A7"/>
    <w:rsid w:val="005962FD"/>
    <w:rsid w:val="00596306"/>
    <w:rsid w:val="00596329"/>
    <w:rsid w:val="00596398"/>
    <w:rsid w:val="005963D1"/>
    <w:rsid w:val="005963DE"/>
    <w:rsid w:val="0059648D"/>
    <w:rsid w:val="005964C6"/>
    <w:rsid w:val="00596511"/>
    <w:rsid w:val="00596593"/>
    <w:rsid w:val="005965BB"/>
    <w:rsid w:val="005966D8"/>
    <w:rsid w:val="005966DC"/>
    <w:rsid w:val="005966E3"/>
    <w:rsid w:val="00596778"/>
    <w:rsid w:val="005967B3"/>
    <w:rsid w:val="005967EE"/>
    <w:rsid w:val="00596811"/>
    <w:rsid w:val="00596836"/>
    <w:rsid w:val="0059688A"/>
    <w:rsid w:val="00596895"/>
    <w:rsid w:val="005968CE"/>
    <w:rsid w:val="005968F1"/>
    <w:rsid w:val="00596907"/>
    <w:rsid w:val="00596918"/>
    <w:rsid w:val="0059692B"/>
    <w:rsid w:val="00596932"/>
    <w:rsid w:val="0059696E"/>
    <w:rsid w:val="0059699A"/>
    <w:rsid w:val="005969CA"/>
    <w:rsid w:val="005969DF"/>
    <w:rsid w:val="005969E8"/>
    <w:rsid w:val="00596A23"/>
    <w:rsid w:val="00596AA8"/>
    <w:rsid w:val="00596B52"/>
    <w:rsid w:val="00596B7B"/>
    <w:rsid w:val="00596BC1"/>
    <w:rsid w:val="00596C46"/>
    <w:rsid w:val="00596CB7"/>
    <w:rsid w:val="00596CD1"/>
    <w:rsid w:val="00596CD6"/>
    <w:rsid w:val="00596D23"/>
    <w:rsid w:val="00596D36"/>
    <w:rsid w:val="00596D99"/>
    <w:rsid w:val="00596DA0"/>
    <w:rsid w:val="00596E6F"/>
    <w:rsid w:val="00596EB5"/>
    <w:rsid w:val="00596EFF"/>
    <w:rsid w:val="00596F1A"/>
    <w:rsid w:val="00596F37"/>
    <w:rsid w:val="00596FAB"/>
    <w:rsid w:val="0059702A"/>
    <w:rsid w:val="00597112"/>
    <w:rsid w:val="00597164"/>
    <w:rsid w:val="0059723E"/>
    <w:rsid w:val="0059726A"/>
    <w:rsid w:val="005972E5"/>
    <w:rsid w:val="00597383"/>
    <w:rsid w:val="005973B7"/>
    <w:rsid w:val="00597415"/>
    <w:rsid w:val="0059744A"/>
    <w:rsid w:val="0059749B"/>
    <w:rsid w:val="005974AE"/>
    <w:rsid w:val="005974B0"/>
    <w:rsid w:val="005974C0"/>
    <w:rsid w:val="005974CE"/>
    <w:rsid w:val="005974D2"/>
    <w:rsid w:val="005974F8"/>
    <w:rsid w:val="00597539"/>
    <w:rsid w:val="005975C0"/>
    <w:rsid w:val="00597609"/>
    <w:rsid w:val="005976FE"/>
    <w:rsid w:val="00597731"/>
    <w:rsid w:val="0059773F"/>
    <w:rsid w:val="0059777E"/>
    <w:rsid w:val="005977D2"/>
    <w:rsid w:val="005978C7"/>
    <w:rsid w:val="005978EF"/>
    <w:rsid w:val="00597974"/>
    <w:rsid w:val="005979D2"/>
    <w:rsid w:val="00597A00"/>
    <w:rsid w:val="00597A29"/>
    <w:rsid w:val="00597A2C"/>
    <w:rsid w:val="00597A30"/>
    <w:rsid w:val="00597A51"/>
    <w:rsid w:val="00597B01"/>
    <w:rsid w:val="00597B52"/>
    <w:rsid w:val="00597B74"/>
    <w:rsid w:val="00597BF4"/>
    <w:rsid w:val="00597BFA"/>
    <w:rsid w:val="00597C06"/>
    <w:rsid w:val="00597C22"/>
    <w:rsid w:val="00597D4E"/>
    <w:rsid w:val="00597D6C"/>
    <w:rsid w:val="00597D80"/>
    <w:rsid w:val="00597DCC"/>
    <w:rsid w:val="00597EC5"/>
    <w:rsid w:val="00597F15"/>
    <w:rsid w:val="00597F68"/>
    <w:rsid w:val="00597F8E"/>
    <w:rsid w:val="00597FD8"/>
    <w:rsid w:val="0059F202"/>
    <w:rsid w:val="005A000E"/>
    <w:rsid w:val="005A0029"/>
    <w:rsid w:val="005A0092"/>
    <w:rsid w:val="005A0098"/>
    <w:rsid w:val="005A00B1"/>
    <w:rsid w:val="005A00F8"/>
    <w:rsid w:val="005A010C"/>
    <w:rsid w:val="005A012E"/>
    <w:rsid w:val="005A0140"/>
    <w:rsid w:val="005A0141"/>
    <w:rsid w:val="005A018C"/>
    <w:rsid w:val="005A020D"/>
    <w:rsid w:val="005A0232"/>
    <w:rsid w:val="005A0258"/>
    <w:rsid w:val="005A025F"/>
    <w:rsid w:val="005A028A"/>
    <w:rsid w:val="005A02C7"/>
    <w:rsid w:val="005A0310"/>
    <w:rsid w:val="005A0328"/>
    <w:rsid w:val="005A036F"/>
    <w:rsid w:val="005A0381"/>
    <w:rsid w:val="005A042D"/>
    <w:rsid w:val="005A044F"/>
    <w:rsid w:val="005A0451"/>
    <w:rsid w:val="005A045A"/>
    <w:rsid w:val="005A0465"/>
    <w:rsid w:val="005A0495"/>
    <w:rsid w:val="005A04B1"/>
    <w:rsid w:val="005A051E"/>
    <w:rsid w:val="005A0537"/>
    <w:rsid w:val="005A0588"/>
    <w:rsid w:val="005A0629"/>
    <w:rsid w:val="005A063B"/>
    <w:rsid w:val="005A0648"/>
    <w:rsid w:val="005A0659"/>
    <w:rsid w:val="005A06E6"/>
    <w:rsid w:val="005A072C"/>
    <w:rsid w:val="005A074F"/>
    <w:rsid w:val="005A0770"/>
    <w:rsid w:val="005A0787"/>
    <w:rsid w:val="005A07BB"/>
    <w:rsid w:val="005A07F1"/>
    <w:rsid w:val="005A0812"/>
    <w:rsid w:val="005A0820"/>
    <w:rsid w:val="005A08B2"/>
    <w:rsid w:val="005A08D2"/>
    <w:rsid w:val="005A0911"/>
    <w:rsid w:val="005A0943"/>
    <w:rsid w:val="005A0979"/>
    <w:rsid w:val="005A09CB"/>
    <w:rsid w:val="005A09D3"/>
    <w:rsid w:val="005A0A03"/>
    <w:rsid w:val="005A0A28"/>
    <w:rsid w:val="005A0A56"/>
    <w:rsid w:val="005A0A57"/>
    <w:rsid w:val="005A0A59"/>
    <w:rsid w:val="005A0A5C"/>
    <w:rsid w:val="005A0A61"/>
    <w:rsid w:val="005A0A8A"/>
    <w:rsid w:val="005A0AAF"/>
    <w:rsid w:val="005A0AFC"/>
    <w:rsid w:val="005A0AFF"/>
    <w:rsid w:val="005A0B63"/>
    <w:rsid w:val="005A0BA0"/>
    <w:rsid w:val="005A0BBC"/>
    <w:rsid w:val="005A0C5F"/>
    <w:rsid w:val="005A0D41"/>
    <w:rsid w:val="005A0D7B"/>
    <w:rsid w:val="005A0D91"/>
    <w:rsid w:val="005A0D93"/>
    <w:rsid w:val="005A0E18"/>
    <w:rsid w:val="005A0E5E"/>
    <w:rsid w:val="005A0EA5"/>
    <w:rsid w:val="005A0EF5"/>
    <w:rsid w:val="005A0FB0"/>
    <w:rsid w:val="005A0FD8"/>
    <w:rsid w:val="005A1023"/>
    <w:rsid w:val="005A1080"/>
    <w:rsid w:val="005A10E4"/>
    <w:rsid w:val="005A1165"/>
    <w:rsid w:val="005A1214"/>
    <w:rsid w:val="005A1291"/>
    <w:rsid w:val="005A1350"/>
    <w:rsid w:val="005A1386"/>
    <w:rsid w:val="005A13D4"/>
    <w:rsid w:val="005A1450"/>
    <w:rsid w:val="005A14A0"/>
    <w:rsid w:val="005A14B1"/>
    <w:rsid w:val="005A152A"/>
    <w:rsid w:val="005A154A"/>
    <w:rsid w:val="005A155E"/>
    <w:rsid w:val="005A1579"/>
    <w:rsid w:val="005A1582"/>
    <w:rsid w:val="005A15F0"/>
    <w:rsid w:val="005A1650"/>
    <w:rsid w:val="005A16C1"/>
    <w:rsid w:val="005A1708"/>
    <w:rsid w:val="005A1767"/>
    <w:rsid w:val="005A17CC"/>
    <w:rsid w:val="005A17E1"/>
    <w:rsid w:val="005A184E"/>
    <w:rsid w:val="005A186E"/>
    <w:rsid w:val="005A1899"/>
    <w:rsid w:val="005A18AB"/>
    <w:rsid w:val="005A1915"/>
    <w:rsid w:val="005A1939"/>
    <w:rsid w:val="005A19E7"/>
    <w:rsid w:val="005A19F2"/>
    <w:rsid w:val="005A1A06"/>
    <w:rsid w:val="005A1A17"/>
    <w:rsid w:val="005A1A9D"/>
    <w:rsid w:val="005A1BA5"/>
    <w:rsid w:val="005A1C25"/>
    <w:rsid w:val="005A1C5B"/>
    <w:rsid w:val="005A1D20"/>
    <w:rsid w:val="005A1D5B"/>
    <w:rsid w:val="005A1D60"/>
    <w:rsid w:val="005A1D6C"/>
    <w:rsid w:val="005A1DD6"/>
    <w:rsid w:val="005A1DF6"/>
    <w:rsid w:val="005A1E29"/>
    <w:rsid w:val="005A1E75"/>
    <w:rsid w:val="005A1EA3"/>
    <w:rsid w:val="005A1F3E"/>
    <w:rsid w:val="005A1F59"/>
    <w:rsid w:val="005A1F88"/>
    <w:rsid w:val="005A1FA3"/>
    <w:rsid w:val="005A1FBC"/>
    <w:rsid w:val="005A2026"/>
    <w:rsid w:val="005A2029"/>
    <w:rsid w:val="005A2037"/>
    <w:rsid w:val="005A20CC"/>
    <w:rsid w:val="005A2137"/>
    <w:rsid w:val="005A219F"/>
    <w:rsid w:val="005A21A7"/>
    <w:rsid w:val="005A21C1"/>
    <w:rsid w:val="005A21C7"/>
    <w:rsid w:val="005A2201"/>
    <w:rsid w:val="005A2243"/>
    <w:rsid w:val="005A2263"/>
    <w:rsid w:val="005A2293"/>
    <w:rsid w:val="005A236F"/>
    <w:rsid w:val="005A2375"/>
    <w:rsid w:val="005A237A"/>
    <w:rsid w:val="005A2380"/>
    <w:rsid w:val="005A238A"/>
    <w:rsid w:val="005A239F"/>
    <w:rsid w:val="005A2414"/>
    <w:rsid w:val="005A2485"/>
    <w:rsid w:val="005A24A7"/>
    <w:rsid w:val="005A2526"/>
    <w:rsid w:val="005A2577"/>
    <w:rsid w:val="005A25AF"/>
    <w:rsid w:val="005A25BA"/>
    <w:rsid w:val="005A25C0"/>
    <w:rsid w:val="005A25E1"/>
    <w:rsid w:val="005A261A"/>
    <w:rsid w:val="005A263D"/>
    <w:rsid w:val="005A269F"/>
    <w:rsid w:val="005A26A8"/>
    <w:rsid w:val="005A26CC"/>
    <w:rsid w:val="005A26D3"/>
    <w:rsid w:val="005A26F0"/>
    <w:rsid w:val="005A271F"/>
    <w:rsid w:val="005A2793"/>
    <w:rsid w:val="005A27A2"/>
    <w:rsid w:val="005A27B5"/>
    <w:rsid w:val="005A27ED"/>
    <w:rsid w:val="005A2850"/>
    <w:rsid w:val="005A28A7"/>
    <w:rsid w:val="005A28BC"/>
    <w:rsid w:val="005A28C1"/>
    <w:rsid w:val="005A2990"/>
    <w:rsid w:val="005A29A8"/>
    <w:rsid w:val="005A2A15"/>
    <w:rsid w:val="005A2A7D"/>
    <w:rsid w:val="005A2AA1"/>
    <w:rsid w:val="005A2B01"/>
    <w:rsid w:val="005A2BB2"/>
    <w:rsid w:val="005A2BC1"/>
    <w:rsid w:val="005A2C09"/>
    <w:rsid w:val="005A2D39"/>
    <w:rsid w:val="005A2D83"/>
    <w:rsid w:val="005A2DB1"/>
    <w:rsid w:val="005A2E4E"/>
    <w:rsid w:val="005A2E8B"/>
    <w:rsid w:val="005A2E9F"/>
    <w:rsid w:val="005A2EA8"/>
    <w:rsid w:val="005A2EFD"/>
    <w:rsid w:val="005A2F33"/>
    <w:rsid w:val="005A2F3D"/>
    <w:rsid w:val="005A2F4F"/>
    <w:rsid w:val="005A2F82"/>
    <w:rsid w:val="005A30A4"/>
    <w:rsid w:val="005A30C6"/>
    <w:rsid w:val="005A3169"/>
    <w:rsid w:val="005A317A"/>
    <w:rsid w:val="005A31A7"/>
    <w:rsid w:val="005A31BF"/>
    <w:rsid w:val="005A3209"/>
    <w:rsid w:val="005A322D"/>
    <w:rsid w:val="005A3275"/>
    <w:rsid w:val="005A3332"/>
    <w:rsid w:val="005A33E1"/>
    <w:rsid w:val="005A3450"/>
    <w:rsid w:val="005A34E4"/>
    <w:rsid w:val="005A3579"/>
    <w:rsid w:val="005A3594"/>
    <w:rsid w:val="005A35B1"/>
    <w:rsid w:val="005A35F6"/>
    <w:rsid w:val="005A3616"/>
    <w:rsid w:val="005A368F"/>
    <w:rsid w:val="005A36ED"/>
    <w:rsid w:val="005A3711"/>
    <w:rsid w:val="005A372D"/>
    <w:rsid w:val="005A3747"/>
    <w:rsid w:val="005A37B2"/>
    <w:rsid w:val="005A37D3"/>
    <w:rsid w:val="005A37EF"/>
    <w:rsid w:val="005A3810"/>
    <w:rsid w:val="005A3817"/>
    <w:rsid w:val="005A3851"/>
    <w:rsid w:val="005A38BF"/>
    <w:rsid w:val="005A38D5"/>
    <w:rsid w:val="005A391A"/>
    <w:rsid w:val="005A3929"/>
    <w:rsid w:val="005A39B8"/>
    <w:rsid w:val="005A39C2"/>
    <w:rsid w:val="005A39C3"/>
    <w:rsid w:val="005A39E6"/>
    <w:rsid w:val="005A3A25"/>
    <w:rsid w:val="005A3A3E"/>
    <w:rsid w:val="005A3A75"/>
    <w:rsid w:val="005A3AA5"/>
    <w:rsid w:val="005A3AE4"/>
    <w:rsid w:val="005A3AF0"/>
    <w:rsid w:val="005A3AF8"/>
    <w:rsid w:val="005A3B1D"/>
    <w:rsid w:val="005A3B73"/>
    <w:rsid w:val="005A3BAC"/>
    <w:rsid w:val="005A3BD1"/>
    <w:rsid w:val="005A3C93"/>
    <w:rsid w:val="005A3D13"/>
    <w:rsid w:val="005A3D2D"/>
    <w:rsid w:val="005A3D38"/>
    <w:rsid w:val="005A3D8C"/>
    <w:rsid w:val="005A3DBD"/>
    <w:rsid w:val="005A3DCD"/>
    <w:rsid w:val="005A3E1A"/>
    <w:rsid w:val="005A3E70"/>
    <w:rsid w:val="005A3F01"/>
    <w:rsid w:val="005A3F06"/>
    <w:rsid w:val="005A3F31"/>
    <w:rsid w:val="005A3F98"/>
    <w:rsid w:val="005A3FB8"/>
    <w:rsid w:val="005A4007"/>
    <w:rsid w:val="005A4025"/>
    <w:rsid w:val="005A408C"/>
    <w:rsid w:val="005A40A8"/>
    <w:rsid w:val="005A40DE"/>
    <w:rsid w:val="005A4159"/>
    <w:rsid w:val="005A4186"/>
    <w:rsid w:val="005A41E2"/>
    <w:rsid w:val="005A41F2"/>
    <w:rsid w:val="005A41FF"/>
    <w:rsid w:val="005A425B"/>
    <w:rsid w:val="005A42F9"/>
    <w:rsid w:val="005A4354"/>
    <w:rsid w:val="005A4377"/>
    <w:rsid w:val="005A4434"/>
    <w:rsid w:val="005A443B"/>
    <w:rsid w:val="005A4455"/>
    <w:rsid w:val="005A445A"/>
    <w:rsid w:val="005A446B"/>
    <w:rsid w:val="005A44D6"/>
    <w:rsid w:val="005A44F8"/>
    <w:rsid w:val="005A4675"/>
    <w:rsid w:val="005A469C"/>
    <w:rsid w:val="005A46D2"/>
    <w:rsid w:val="005A46EF"/>
    <w:rsid w:val="005A4766"/>
    <w:rsid w:val="005A47D2"/>
    <w:rsid w:val="005A4813"/>
    <w:rsid w:val="005A486B"/>
    <w:rsid w:val="005A4893"/>
    <w:rsid w:val="005A48F2"/>
    <w:rsid w:val="005A4971"/>
    <w:rsid w:val="005A4986"/>
    <w:rsid w:val="005A498D"/>
    <w:rsid w:val="005A49B1"/>
    <w:rsid w:val="005A49BF"/>
    <w:rsid w:val="005A4A07"/>
    <w:rsid w:val="005A4A3C"/>
    <w:rsid w:val="005A4AF6"/>
    <w:rsid w:val="005A4AF8"/>
    <w:rsid w:val="005A4B36"/>
    <w:rsid w:val="005A4B48"/>
    <w:rsid w:val="005A4C3F"/>
    <w:rsid w:val="005A4C53"/>
    <w:rsid w:val="005A4D2A"/>
    <w:rsid w:val="005A4DCE"/>
    <w:rsid w:val="005A4DD2"/>
    <w:rsid w:val="005A4E71"/>
    <w:rsid w:val="005A4E72"/>
    <w:rsid w:val="005A4E83"/>
    <w:rsid w:val="005A4E8E"/>
    <w:rsid w:val="005A4EA6"/>
    <w:rsid w:val="005A4ED9"/>
    <w:rsid w:val="005A4F36"/>
    <w:rsid w:val="005A4F67"/>
    <w:rsid w:val="005A4FA1"/>
    <w:rsid w:val="005A4FD3"/>
    <w:rsid w:val="005A4FE0"/>
    <w:rsid w:val="005A4FF8"/>
    <w:rsid w:val="005A501B"/>
    <w:rsid w:val="005A502C"/>
    <w:rsid w:val="005A5051"/>
    <w:rsid w:val="005A50E1"/>
    <w:rsid w:val="005A515C"/>
    <w:rsid w:val="005A51B7"/>
    <w:rsid w:val="005A51C4"/>
    <w:rsid w:val="005A52C0"/>
    <w:rsid w:val="005A52FF"/>
    <w:rsid w:val="005A5424"/>
    <w:rsid w:val="005A543D"/>
    <w:rsid w:val="005A54A2"/>
    <w:rsid w:val="005A54EC"/>
    <w:rsid w:val="005A54F2"/>
    <w:rsid w:val="005A5558"/>
    <w:rsid w:val="005A5581"/>
    <w:rsid w:val="005A55BF"/>
    <w:rsid w:val="005A5601"/>
    <w:rsid w:val="005A563E"/>
    <w:rsid w:val="005A5667"/>
    <w:rsid w:val="005A5689"/>
    <w:rsid w:val="005A568C"/>
    <w:rsid w:val="005A5693"/>
    <w:rsid w:val="005A56DA"/>
    <w:rsid w:val="005A56DF"/>
    <w:rsid w:val="005A5734"/>
    <w:rsid w:val="005A5746"/>
    <w:rsid w:val="005A578D"/>
    <w:rsid w:val="005A57C9"/>
    <w:rsid w:val="005A57CE"/>
    <w:rsid w:val="005A57ED"/>
    <w:rsid w:val="005A5802"/>
    <w:rsid w:val="005A5838"/>
    <w:rsid w:val="005A587D"/>
    <w:rsid w:val="005A58A4"/>
    <w:rsid w:val="005A58F4"/>
    <w:rsid w:val="005A593A"/>
    <w:rsid w:val="005A5954"/>
    <w:rsid w:val="005A5966"/>
    <w:rsid w:val="005A59EF"/>
    <w:rsid w:val="005A59F4"/>
    <w:rsid w:val="005A5AAA"/>
    <w:rsid w:val="005A5B38"/>
    <w:rsid w:val="005A5B39"/>
    <w:rsid w:val="005A5B6F"/>
    <w:rsid w:val="005A5BB3"/>
    <w:rsid w:val="005A5C3F"/>
    <w:rsid w:val="005A5CDA"/>
    <w:rsid w:val="005A5CDB"/>
    <w:rsid w:val="005A5D9E"/>
    <w:rsid w:val="005A5DE2"/>
    <w:rsid w:val="005A5E0C"/>
    <w:rsid w:val="005A5E46"/>
    <w:rsid w:val="005A5E90"/>
    <w:rsid w:val="005A5F37"/>
    <w:rsid w:val="005A5F94"/>
    <w:rsid w:val="005A605D"/>
    <w:rsid w:val="005A608A"/>
    <w:rsid w:val="005A60C9"/>
    <w:rsid w:val="005A60FF"/>
    <w:rsid w:val="005A6114"/>
    <w:rsid w:val="005A6124"/>
    <w:rsid w:val="005A614D"/>
    <w:rsid w:val="005A617B"/>
    <w:rsid w:val="005A6189"/>
    <w:rsid w:val="005A61C4"/>
    <w:rsid w:val="005A62BE"/>
    <w:rsid w:val="005A6307"/>
    <w:rsid w:val="005A637C"/>
    <w:rsid w:val="005A63AB"/>
    <w:rsid w:val="005A63CA"/>
    <w:rsid w:val="005A63D0"/>
    <w:rsid w:val="005A6400"/>
    <w:rsid w:val="005A6455"/>
    <w:rsid w:val="005A6472"/>
    <w:rsid w:val="005A649B"/>
    <w:rsid w:val="005A64AE"/>
    <w:rsid w:val="005A64B5"/>
    <w:rsid w:val="005A64BD"/>
    <w:rsid w:val="005A654A"/>
    <w:rsid w:val="005A655E"/>
    <w:rsid w:val="005A65A5"/>
    <w:rsid w:val="005A65C9"/>
    <w:rsid w:val="005A6667"/>
    <w:rsid w:val="005A66D8"/>
    <w:rsid w:val="005A66FB"/>
    <w:rsid w:val="005A6735"/>
    <w:rsid w:val="005A6746"/>
    <w:rsid w:val="005A6789"/>
    <w:rsid w:val="005A678C"/>
    <w:rsid w:val="005A67A0"/>
    <w:rsid w:val="005A67F5"/>
    <w:rsid w:val="005A67F7"/>
    <w:rsid w:val="005A6858"/>
    <w:rsid w:val="005A6861"/>
    <w:rsid w:val="005A68BB"/>
    <w:rsid w:val="005A68C7"/>
    <w:rsid w:val="005A691F"/>
    <w:rsid w:val="005A6949"/>
    <w:rsid w:val="005A696E"/>
    <w:rsid w:val="005A6988"/>
    <w:rsid w:val="005A698B"/>
    <w:rsid w:val="005A6A1B"/>
    <w:rsid w:val="005A6A5B"/>
    <w:rsid w:val="005A6A61"/>
    <w:rsid w:val="005A6A72"/>
    <w:rsid w:val="005A6A75"/>
    <w:rsid w:val="005A6A99"/>
    <w:rsid w:val="005A6AD8"/>
    <w:rsid w:val="005A6B39"/>
    <w:rsid w:val="005A6B48"/>
    <w:rsid w:val="005A6B91"/>
    <w:rsid w:val="005A6B99"/>
    <w:rsid w:val="005A6BB6"/>
    <w:rsid w:val="005A6BB7"/>
    <w:rsid w:val="005A6BD2"/>
    <w:rsid w:val="005A6D7C"/>
    <w:rsid w:val="005A6D89"/>
    <w:rsid w:val="005A6DA2"/>
    <w:rsid w:val="005A6DB2"/>
    <w:rsid w:val="005A6DE9"/>
    <w:rsid w:val="005A6E59"/>
    <w:rsid w:val="005A6E80"/>
    <w:rsid w:val="005A6EA3"/>
    <w:rsid w:val="005A6EF8"/>
    <w:rsid w:val="005A6F16"/>
    <w:rsid w:val="005A6F3A"/>
    <w:rsid w:val="005A6F3B"/>
    <w:rsid w:val="005A6F65"/>
    <w:rsid w:val="005A6FC4"/>
    <w:rsid w:val="005A7024"/>
    <w:rsid w:val="005A7038"/>
    <w:rsid w:val="005A7040"/>
    <w:rsid w:val="005A706B"/>
    <w:rsid w:val="005A70B8"/>
    <w:rsid w:val="005A70F4"/>
    <w:rsid w:val="005A7114"/>
    <w:rsid w:val="005A712D"/>
    <w:rsid w:val="005A7165"/>
    <w:rsid w:val="005A7199"/>
    <w:rsid w:val="005A71A5"/>
    <w:rsid w:val="005A71C4"/>
    <w:rsid w:val="005A71F0"/>
    <w:rsid w:val="005A722E"/>
    <w:rsid w:val="005A72BC"/>
    <w:rsid w:val="005A72C6"/>
    <w:rsid w:val="005A72CD"/>
    <w:rsid w:val="005A7300"/>
    <w:rsid w:val="005A7324"/>
    <w:rsid w:val="005A7346"/>
    <w:rsid w:val="005A734D"/>
    <w:rsid w:val="005A7372"/>
    <w:rsid w:val="005A73CE"/>
    <w:rsid w:val="005A74A6"/>
    <w:rsid w:val="005A74EC"/>
    <w:rsid w:val="005A7507"/>
    <w:rsid w:val="005A7512"/>
    <w:rsid w:val="005A755A"/>
    <w:rsid w:val="005A75D1"/>
    <w:rsid w:val="005A75ED"/>
    <w:rsid w:val="005A7614"/>
    <w:rsid w:val="005A76A3"/>
    <w:rsid w:val="005A76F4"/>
    <w:rsid w:val="005A7784"/>
    <w:rsid w:val="005A77A3"/>
    <w:rsid w:val="005A77F0"/>
    <w:rsid w:val="005A7823"/>
    <w:rsid w:val="005A7831"/>
    <w:rsid w:val="005A78E8"/>
    <w:rsid w:val="005A78F1"/>
    <w:rsid w:val="005A791F"/>
    <w:rsid w:val="005A792F"/>
    <w:rsid w:val="005A7936"/>
    <w:rsid w:val="005A7946"/>
    <w:rsid w:val="005A7980"/>
    <w:rsid w:val="005A7A2D"/>
    <w:rsid w:val="005A7A56"/>
    <w:rsid w:val="005A7A70"/>
    <w:rsid w:val="005A7AD4"/>
    <w:rsid w:val="005A7B59"/>
    <w:rsid w:val="005A7B9F"/>
    <w:rsid w:val="005A7BBE"/>
    <w:rsid w:val="005A7C0A"/>
    <w:rsid w:val="005A7C80"/>
    <w:rsid w:val="005A7C9B"/>
    <w:rsid w:val="005A7CD1"/>
    <w:rsid w:val="005A7DB8"/>
    <w:rsid w:val="005A7E52"/>
    <w:rsid w:val="005A7E64"/>
    <w:rsid w:val="005A7E79"/>
    <w:rsid w:val="005A7EC6"/>
    <w:rsid w:val="005A7EC7"/>
    <w:rsid w:val="005A7FBA"/>
    <w:rsid w:val="005B000A"/>
    <w:rsid w:val="005B0080"/>
    <w:rsid w:val="005B0085"/>
    <w:rsid w:val="005B0130"/>
    <w:rsid w:val="005B016A"/>
    <w:rsid w:val="005B017A"/>
    <w:rsid w:val="005B01D9"/>
    <w:rsid w:val="005B0221"/>
    <w:rsid w:val="005B025F"/>
    <w:rsid w:val="005B0272"/>
    <w:rsid w:val="005B02D0"/>
    <w:rsid w:val="005B02D8"/>
    <w:rsid w:val="005B0329"/>
    <w:rsid w:val="005B034E"/>
    <w:rsid w:val="005B0390"/>
    <w:rsid w:val="005B0464"/>
    <w:rsid w:val="005B04A5"/>
    <w:rsid w:val="005B0535"/>
    <w:rsid w:val="005B0569"/>
    <w:rsid w:val="005B0584"/>
    <w:rsid w:val="005B058D"/>
    <w:rsid w:val="005B0595"/>
    <w:rsid w:val="005B064E"/>
    <w:rsid w:val="005B066D"/>
    <w:rsid w:val="005B06D7"/>
    <w:rsid w:val="005B06EC"/>
    <w:rsid w:val="005B06F2"/>
    <w:rsid w:val="005B06F4"/>
    <w:rsid w:val="005B0718"/>
    <w:rsid w:val="005B07A3"/>
    <w:rsid w:val="005B07A9"/>
    <w:rsid w:val="005B07AC"/>
    <w:rsid w:val="005B080C"/>
    <w:rsid w:val="005B084B"/>
    <w:rsid w:val="005B0865"/>
    <w:rsid w:val="005B08DD"/>
    <w:rsid w:val="005B094B"/>
    <w:rsid w:val="005B099A"/>
    <w:rsid w:val="005B0A05"/>
    <w:rsid w:val="005B0A60"/>
    <w:rsid w:val="005B0AD4"/>
    <w:rsid w:val="005B0AE2"/>
    <w:rsid w:val="005B0B0B"/>
    <w:rsid w:val="005B0B5E"/>
    <w:rsid w:val="005B0BA4"/>
    <w:rsid w:val="005B0C24"/>
    <w:rsid w:val="005B0C3F"/>
    <w:rsid w:val="005B0C6B"/>
    <w:rsid w:val="005B0CBA"/>
    <w:rsid w:val="005B0D8E"/>
    <w:rsid w:val="005B0D9D"/>
    <w:rsid w:val="005B0E2B"/>
    <w:rsid w:val="005B0E37"/>
    <w:rsid w:val="005B0E54"/>
    <w:rsid w:val="005B0E62"/>
    <w:rsid w:val="005B0E9F"/>
    <w:rsid w:val="005B0ED7"/>
    <w:rsid w:val="005B0EDC"/>
    <w:rsid w:val="005B0F2E"/>
    <w:rsid w:val="005B0F37"/>
    <w:rsid w:val="005B0F76"/>
    <w:rsid w:val="005B0F95"/>
    <w:rsid w:val="005B0FB0"/>
    <w:rsid w:val="005B1082"/>
    <w:rsid w:val="005B10C6"/>
    <w:rsid w:val="005B110E"/>
    <w:rsid w:val="005B11F1"/>
    <w:rsid w:val="005B1232"/>
    <w:rsid w:val="005B123E"/>
    <w:rsid w:val="005B1347"/>
    <w:rsid w:val="005B1413"/>
    <w:rsid w:val="005B1418"/>
    <w:rsid w:val="005B144E"/>
    <w:rsid w:val="005B145C"/>
    <w:rsid w:val="005B14B0"/>
    <w:rsid w:val="005B14BB"/>
    <w:rsid w:val="005B14F8"/>
    <w:rsid w:val="005B152E"/>
    <w:rsid w:val="005B1542"/>
    <w:rsid w:val="005B15DD"/>
    <w:rsid w:val="005B15E6"/>
    <w:rsid w:val="005B15EA"/>
    <w:rsid w:val="005B15FE"/>
    <w:rsid w:val="005B1610"/>
    <w:rsid w:val="005B1655"/>
    <w:rsid w:val="005B16A4"/>
    <w:rsid w:val="005B16CB"/>
    <w:rsid w:val="005B16EC"/>
    <w:rsid w:val="005B176A"/>
    <w:rsid w:val="005B1883"/>
    <w:rsid w:val="005B188D"/>
    <w:rsid w:val="005B18A3"/>
    <w:rsid w:val="005B18B2"/>
    <w:rsid w:val="005B18B5"/>
    <w:rsid w:val="005B19C8"/>
    <w:rsid w:val="005B19FC"/>
    <w:rsid w:val="005B1A41"/>
    <w:rsid w:val="005B1A8D"/>
    <w:rsid w:val="005B1B0C"/>
    <w:rsid w:val="005B1B12"/>
    <w:rsid w:val="005B1C10"/>
    <w:rsid w:val="005B1C20"/>
    <w:rsid w:val="005B1C8C"/>
    <w:rsid w:val="005B1CAE"/>
    <w:rsid w:val="005B1CE7"/>
    <w:rsid w:val="005B1D14"/>
    <w:rsid w:val="005B1D98"/>
    <w:rsid w:val="005B1DA8"/>
    <w:rsid w:val="005B1DF5"/>
    <w:rsid w:val="005B1E16"/>
    <w:rsid w:val="005B1E54"/>
    <w:rsid w:val="005B1E69"/>
    <w:rsid w:val="005B1E78"/>
    <w:rsid w:val="005B1E98"/>
    <w:rsid w:val="005B1E9F"/>
    <w:rsid w:val="005B1F57"/>
    <w:rsid w:val="005B1F5B"/>
    <w:rsid w:val="005B1F6F"/>
    <w:rsid w:val="005B1F7B"/>
    <w:rsid w:val="005B1FCC"/>
    <w:rsid w:val="005B1FF6"/>
    <w:rsid w:val="005B202A"/>
    <w:rsid w:val="005B2055"/>
    <w:rsid w:val="005B2074"/>
    <w:rsid w:val="005B207D"/>
    <w:rsid w:val="005B21DF"/>
    <w:rsid w:val="005B21FF"/>
    <w:rsid w:val="005B2265"/>
    <w:rsid w:val="005B226A"/>
    <w:rsid w:val="005B234C"/>
    <w:rsid w:val="005B237C"/>
    <w:rsid w:val="005B2391"/>
    <w:rsid w:val="005B240E"/>
    <w:rsid w:val="005B2438"/>
    <w:rsid w:val="005B2452"/>
    <w:rsid w:val="005B2496"/>
    <w:rsid w:val="005B249D"/>
    <w:rsid w:val="005B24A9"/>
    <w:rsid w:val="005B24D3"/>
    <w:rsid w:val="005B24D7"/>
    <w:rsid w:val="005B253F"/>
    <w:rsid w:val="005B2561"/>
    <w:rsid w:val="005B2563"/>
    <w:rsid w:val="005B25AB"/>
    <w:rsid w:val="005B25B4"/>
    <w:rsid w:val="005B25F2"/>
    <w:rsid w:val="005B2684"/>
    <w:rsid w:val="005B26D0"/>
    <w:rsid w:val="005B275F"/>
    <w:rsid w:val="005B27AB"/>
    <w:rsid w:val="005B27E3"/>
    <w:rsid w:val="005B2858"/>
    <w:rsid w:val="005B28DC"/>
    <w:rsid w:val="005B2907"/>
    <w:rsid w:val="005B2920"/>
    <w:rsid w:val="005B2928"/>
    <w:rsid w:val="005B2A15"/>
    <w:rsid w:val="005B2A1A"/>
    <w:rsid w:val="005B2A25"/>
    <w:rsid w:val="005B2B07"/>
    <w:rsid w:val="005B2B0F"/>
    <w:rsid w:val="005B2B50"/>
    <w:rsid w:val="005B2B6B"/>
    <w:rsid w:val="005B2BE7"/>
    <w:rsid w:val="005B2CB0"/>
    <w:rsid w:val="005B2CB4"/>
    <w:rsid w:val="005B2D1F"/>
    <w:rsid w:val="005B2D46"/>
    <w:rsid w:val="005B2D62"/>
    <w:rsid w:val="005B2D72"/>
    <w:rsid w:val="005B2DC2"/>
    <w:rsid w:val="005B2EFE"/>
    <w:rsid w:val="005B2F40"/>
    <w:rsid w:val="005B2F69"/>
    <w:rsid w:val="005B2FA4"/>
    <w:rsid w:val="005B304C"/>
    <w:rsid w:val="005B3053"/>
    <w:rsid w:val="005B308C"/>
    <w:rsid w:val="005B308E"/>
    <w:rsid w:val="005B30A7"/>
    <w:rsid w:val="005B3124"/>
    <w:rsid w:val="005B3173"/>
    <w:rsid w:val="005B318C"/>
    <w:rsid w:val="005B3195"/>
    <w:rsid w:val="005B31AB"/>
    <w:rsid w:val="005B31D8"/>
    <w:rsid w:val="005B31EF"/>
    <w:rsid w:val="005B3230"/>
    <w:rsid w:val="005B3237"/>
    <w:rsid w:val="005B329A"/>
    <w:rsid w:val="005B32BB"/>
    <w:rsid w:val="005B32C6"/>
    <w:rsid w:val="005B32EE"/>
    <w:rsid w:val="005B331D"/>
    <w:rsid w:val="005B335B"/>
    <w:rsid w:val="005B3394"/>
    <w:rsid w:val="005B33EE"/>
    <w:rsid w:val="005B341E"/>
    <w:rsid w:val="005B3445"/>
    <w:rsid w:val="005B3462"/>
    <w:rsid w:val="005B3561"/>
    <w:rsid w:val="005B363C"/>
    <w:rsid w:val="005B366A"/>
    <w:rsid w:val="005B3673"/>
    <w:rsid w:val="005B36F0"/>
    <w:rsid w:val="005B3739"/>
    <w:rsid w:val="005B373B"/>
    <w:rsid w:val="005B37C5"/>
    <w:rsid w:val="005B37CF"/>
    <w:rsid w:val="005B37E4"/>
    <w:rsid w:val="005B3815"/>
    <w:rsid w:val="005B381D"/>
    <w:rsid w:val="005B382C"/>
    <w:rsid w:val="005B3890"/>
    <w:rsid w:val="005B38AF"/>
    <w:rsid w:val="005B38C5"/>
    <w:rsid w:val="005B3933"/>
    <w:rsid w:val="005B396B"/>
    <w:rsid w:val="005B399B"/>
    <w:rsid w:val="005B39D9"/>
    <w:rsid w:val="005B39FC"/>
    <w:rsid w:val="005B3A0E"/>
    <w:rsid w:val="005B3A91"/>
    <w:rsid w:val="005B3ABE"/>
    <w:rsid w:val="005B3AE2"/>
    <w:rsid w:val="005B3B1E"/>
    <w:rsid w:val="005B3B52"/>
    <w:rsid w:val="005B3B56"/>
    <w:rsid w:val="005B3B77"/>
    <w:rsid w:val="005B3BFE"/>
    <w:rsid w:val="005B3C77"/>
    <w:rsid w:val="005B3CC0"/>
    <w:rsid w:val="005B3CE2"/>
    <w:rsid w:val="005B3D68"/>
    <w:rsid w:val="005B3E08"/>
    <w:rsid w:val="005B3E94"/>
    <w:rsid w:val="005B3F13"/>
    <w:rsid w:val="005B3F4A"/>
    <w:rsid w:val="005B3F77"/>
    <w:rsid w:val="005B3FB9"/>
    <w:rsid w:val="005B3FD9"/>
    <w:rsid w:val="005B402A"/>
    <w:rsid w:val="005B404C"/>
    <w:rsid w:val="005B4063"/>
    <w:rsid w:val="005B409E"/>
    <w:rsid w:val="005B40CF"/>
    <w:rsid w:val="005B40F0"/>
    <w:rsid w:val="005B4113"/>
    <w:rsid w:val="005B41BC"/>
    <w:rsid w:val="005B41D2"/>
    <w:rsid w:val="005B41F2"/>
    <w:rsid w:val="005B41F8"/>
    <w:rsid w:val="005B42B5"/>
    <w:rsid w:val="005B4376"/>
    <w:rsid w:val="005B439D"/>
    <w:rsid w:val="005B4476"/>
    <w:rsid w:val="005B44CE"/>
    <w:rsid w:val="005B4563"/>
    <w:rsid w:val="005B45C5"/>
    <w:rsid w:val="005B4618"/>
    <w:rsid w:val="005B461E"/>
    <w:rsid w:val="005B46AB"/>
    <w:rsid w:val="005B46DD"/>
    <w:rsid w:val="005B46E1"/>
    <w:rsid w:val="005B47AB"/>
    <w:rsid w:val="005B4802"/>
    <w:rsid w:val="005B4866"/>
    <w:rsid w:val="005B4877"/>
    <w:rsid w:val="005B48B9"/>
    <w:rsid w:val="005B48C5"/>
    <w:rsid w:val="005B48D3"/>
    <w:rsid w:val="005B48E4"/>
    <w:rsid w:val="005B48FF"/>
    <w:rsid w:val="005B49B7"/>
    <w:rsid w:val="005B49D8"/>
    <w:rsid w:val="005B4A2C"/>
    <w:rsid w:val="005B4A3B"/>
    <w:rsid w:val="005B4A5B"/>
    <w:rsid w:val="005B4ACD"/>
    <w:rsid w:val="005B4ADC"/>
    <w:rsid w:val="005B4B26"/>
    <w:rsid w:val="005B4B34"/>
    <w:rsid w:val="005B4B3E"/>
    <w:rsid w:val="005B4B8F"/>
    <w:rsid w:val="005B4BDB"/>
    <w:rsid w:val="005B4BE1"/>
    <w:rsid w:val="005B4C76"/>
    <w:rsid w:val="005B4C7A"/>
    <w:rsid w:val="005B4CFF"/>
    <w:rsid w:val="005B4D34"/>
    <w:rsid w:val="005B4D36"/>
    <w:rsid w:val="005B4DEB"/>
    <w:rsid w:val="005B4E3D"/>
    <w:rsid w:val="005B4E57"/>
    <w:rsid w:val="005B4E9E"/>
    <w:rsid w:val="005B4EF3"/>
    <w:rsid w:val="005B4EF6"/>
    <w:rsid w:val="005B4FA3"/>
    <w:rsid w:val="005B4FAB"/>
    <w:rsid w:val="005B4FC8"/>
    <w:rsid w:val="005B5009"/>
    <w:rsid w:val="005B506B"/>
    <w:rsid w:val="005B50C3"/>
    <w:rsid w:val="005B511F"/>
    <w:rsid w:val="005B5146"/>
    <w:rsid w:val="005B51DA"/>
    <w:rsid w:val="005B5218"/>
    <w:rsid w:val="005B52B7"/>
    <w:rsid w:val="005B5387"/>
    <w:rsid w:val="005B53C3"/>
    <w:rsid w:val="005B53D9"/>
    <w:rsid w:val="005B5437"/>
    <w:rsid w:val="005B54D2"/>
    <w:rsid w:val="005B54D6"/>
    <w:rsid w:val="005B54EB"/>
    <w:rsid w:val="005B551A"/>
    <w:rsid w:val="005B5586"/>
    <w:rsid w:val="005B5592"/>
    <w:rsid w:val="005B55D8"/>
    <w:rsid w:val="005B55F0"/>
    <w:rsid w:val="005B566A"/>
    <w:rsid w:val="005B572D"/>
    <w:rsid w:val="005B575F"/>
    <w:rsid w:val="005B57C4"/>
    <w:rsid w:val="005B57FC"/>
    <w:rsid w:val="005B582D"/>
    <w:rsid w:val="005B5833"/>
    <w:rsid w:val="005B5888"/>
    <w:rsid w:val="005B5895"/>
    <w:rsid w:val="005B58C6"/>
    <w:rsid w:val="005B5997"/>
    <w:rsid w:val="005B59DE"/>
    <w:rsid w:val="005B59E5"/>
    <w:rsid w:val="005B5A93"/>
    <w:rsid w:val="005B5AEE"/>
    <w:rsid w:val="005B5B77"/>
    <w:rsid w:val="005B5BEA"/>
    <w:rsid w:val="005B5C3F"/>
    <w:rsid w:val="005B5C4C"/>
    <w:rsid w:val="005B5C71"/>
    <w:rsid w:val="005B5CBF"/>
    <w:rsid w:val="005B5CC3"/>
    <w:rsid w:val="005B5D41"/>
    <w:rsid w:val="005B5D71"/>
    <w:rsid w:val="005B5E08"/>
    <w:rsid w:val="005B5EE4"/>
    <w:rsid w:val="005B5F48"/>
    <w:rsid w:val="005B5F5E"/>
    <w:rsid w:val="005B5FE6"/>
    <w:rsid w:val="005B6024"/>
    <w:rsid w:val="005B6052"/>
    <w:rsid w:val="005B6076"/>
    <w:rsid w:val="005B609E"/>
    <w:rsid w:val="005B60AF"/>
    <w:rsid w:val="005B60C5"/>
    <w:rsid w:val="005B60DB"/>
    <w:rsid w:val="005B61BC"/>
    <w:rsid w:val="005B6220"/>
    <w:rsid w:val="005B628A"/>
    <w:rsid w:val="005B62CC"/>
    <w:rsid w:val="005B62E7"/>
    <w:rsid w:val="005B6430"/>
    <w:rsid w:val="005B647C"/>
    <w:rsid w:val="005B64D8"/>
    <w:rsid w:val="005B655B"/>
    <w:rsid w:val="005B6613"/>
    <w:rsid w:val="005B661D"/>
    <w:rsid w:val="005B6666"/>
    <w:rsid w:val="005B66BD"/>
    <w:rsid w:val="005B66CB"/>
    <w:rsid w:val="005B66DB"/>
    <w:rsid w:val="005B66E5"/>
    <w:rsid w:val="005B66FA"/>
    <w:rsid w:val="005B671D"/>
    <w:rsid w:val="005B67DD"/>
    <w:rsid w:val="005B681A"/>
    <w:rsid w:val="005B6821"/>
    <w:rsid w:val="005B6867"/>
    <w:rsid w:val="005B688E"/>
    <w:rsid w:val="005B68AA"/>
    <w:rsid w:val="005B6911"/>
    <w:rsid w:val="005B6947"/>
    <w:rsid w:val="005B6981"/>
    <w:rsid w:val="005B69BF"/>
    <w:rsid w:val="005B69C8"/>
    <w:rsid w:val="005B69D1"/>
    <w:rsid w:val="005B6A04"/>
    <w:rsid w:val="005B6A68"/>
    <w:rsid w:val="005B6A7F"/>
    <w:rsid w:val="005B6ABE"/>
    <w:rsid w:val="005B6B96"/>
    <w:rsid w:val="005B6C2A"/>
    <w:rsid w:val="005B6C4B"/>
    <w:rsid w:val="005B6D3E"/>
    <w:rsid w:val="005B6DBE"/>
    <w:rsid w:val="005B6DC3"/>
    <w:rsid w:val="005B6DD0"/>
    <w:rsid w:val="005B6E94"/>
    <w:rsid w:val="005B6EA7"/>
    <w:rsid w:val="005B6F3F"/>
    <w:rsid w:val="005B6F73"/>
    <w:rsid w:val="005B6FD1"/>
    <w:rsid w:val="005B703F"/>
    <w:rsid w:val="005B7048"/>
    <w:rsid w:val="005B7060"/>
    <w:rsid w:val="005B70D4"/>
    <w:rsid w:val="005B70DF"/>
    <w:rsid w:val="005B71BA"/>
    <w:rsid w:val="005B71C0"/>
    <w:rsid w:val="005B71C4"/>
    <w:rsid w:val="005B72D2"/>
    <w:rsid w:val="005B7320"/>
    <w:rsid w:val="005B732C"/>
    <w:rsid w:val="005B737B"/>
    <w:rsid w:val="005B737C"/>
    <w:rsid w:val="005B73B0"/>
    <w:rsid w:val="005B73BB"/>
    <w:rsid w:val="005B73EB"/>
    <w:rsid w:val="005B7405"/>
    <w:rsid w:val="005B743C"/>
    <w:rsid w:val="005B743D"/>
    <w:rsid w:val="005B7444"/>
    <w:rsid w:val="005B7467"/>
    <w:rsid w:val="005B74E9"/>
    <w:rsid w:val="005B7504"/>
    <w:rsid w:val="005B7526"/>
    <w:rsid w:val="005B757C"/>
    <w:rsid w:val="005B75AF"/>
    <w:rsid w:val="005B7620"/>
    <w:rsid w:val="005B7628"/>
    <w:rsid w:val="005B772D"/>
    <w:rsid w:val="005B7783"/>
    <w:rsid w:val="005B7845"/>
    <w:rsid w:val="005B7869"/>
    <w:rsid w:val="005B7958"/>
    <w:rsid w:val="005B7A3C"/>
    <w:rsid w:val="005B7A41"/>
    <w:rsid w:val="005B7A64"/>
    <w:rsid w:val="005B7A81"/>
    <w:rsid w:val="005B7B25"/>
    <w:rsid w:val="005B7B28"/>
    <w:rsid w:val="005B7B4A"/>
    <w:rsid w:val="005B7BB6"/>
    <w:rsid w:val="005B7BB7"/>
    <w:rsid w:val="005B7BFB"/>
    <w:rsid w:val="005B7BFD"/>
    <w:rsid w:val="005B7C14"/>
    <w:rsid w:val="005B7C21"/>
    <w:rsid w:val="005B7C60"/>
    <w:rsid w:val="005B7D2C"/>
    <w:rsid w:val="005B7D41"/>
    <w:rsid w:val="005B7D42"/>
    <w:rsid w:val="005B7DA4"/>
    <w:rsid w:val="005B7DB7"/>
    <w:rsid w:val="005B7DC8"/>
    <w:rsid w:val="005B7DFE"/>
    <w:rsid w:val="005B7E32"/>
    <w:rsid w:val="005B7EA4"/>
    <w:rsid w:val="005B7EB4"/>
    <w:rsid w:val="005B7ED3"/>
    <w:rsid w:val="005B7EF2"/>
    <w:rsid w:val="005B7F1C"/>
    <w:rsid w:val="005B7F53"/>
    <w:rsid w:val="005B7FA8"/>
    <w:rsid w:val="005B7FF5"/>
    <w:rsid w:val="005C002B"/>
    <w:rsid w:val="005C007D"/>
    <w:rsid w:val="005C0123"/>
    <w:rsid w:val="005C0153"/>
    <w:rsid w:val="005C01B9"/>
    <w:rsid w:val="005C01FD"/>
    <w:rsid w:val="005C0242"/>
    <w:rsid w:val="005C02C0"/>
    <w:rsid w:val="005C0327"/>
    <w:rsid w:val="005C03FD"/>
    <w:rsid w:val="005C0402"/>
    <w:rsid w:val="005C0438"/>
    <w:rsid w:val="005C04D3"/>
    <w:rsid w:val="005C05DE"/>
    <w:rsid w:val="005C0636"/>
    <w:rsid w:val="005C0644"/>
    <w:rsid w:val="005C0674"/>
    <w:rsid w:val="005C06A6"/>
    <w:rsid w:val="005C06B5"/>
    <w:rsid w:val="005C0784"/>
    <w:rsid w:val="005C07A7"/>
    <w:rsid w:val="005C07D6"/>
    <w:rsid w:val="005C07DC"/>
    <w:rsid w:val="005C0928"/>
    <w:rsid w:val="005C0944"/>
    <w:rsid w:val="005C0962"/>
    <w:rsid w:val="005C09DD"/>
    <w:rsid w:val="005C0A13"/>
    <w:rsid w:val="005C0A27"/>
    <w:rsid w:val="005C0A50"/>
    <w:rsid w:val="005C0AF8"/>
    <w:rsid w:val="005C0B00"/>
    <w:rsid w:val="005C0B0E"/>
    <w:rsid w:val="005C0B1E"/>
    <w:rsid w:val="005C0C22"/>
    <w:rsid w:val="005C0CA4"/>
    <w:rsid w:val="005C0CD0"/>
    <w:rsid w:val="005C0CDE"/>
    <w:rsid w:val="005C0D1B"/>
    <w:rsid w:val="005C0D3E"/>
    <w:rsid w:val="005C0D4B"/>
    <w:rsid w:val="005C0DBE"/>
    <w:rsid w:val="005C0E41"/>
    <w:rsid w:val="005C0EC4"/>
    <w:rsid w:val="005C0F5A"/>
    <w:rsid w:val="005C0FA6"/>
    <w:rsid w:val="005C1030"/>
    <w:rsid w:val="005C103A"/>
    <w:rsid w:val="005C10C9"/>
    <w:rsid w:val="005C111F"/>
    <w:rsid w:val="005C11B8"/>
    <w:rsid w:val="005C11EC"/>
    <w:rsid w:val="005C125B"/>
    <w:rsid w:val="005C12DA"/>
    <w:rsid w:val="005C1307"/>
    <w:rsid w:val="005C1320"/>
    <w:rsid w:val="005C13D4"/>
    <w:rsid w:val="005C13DF"/>
    <w:rsid w:val="005C14AB"/>
    <w:rsid w:val="005C14C9"/>
    <w:rsid w:val="005C1503"/>
    <w:rsid w:val="005C1700"/>
    <w:rsid w:val="005C1719"/>
    <w:rsid w:val="005C1744"/>
    <w:rsid w:val="005C176C"/>
    <w:rsid w:val="005C181D"/>
    <w:rsid w:val="005C1836"/>
    <w:rsid w:val="005C1856"/>
    <w:rsid w:val="005C1875"/>
    <w:rsid w:val="005C18C1"/>
    <w:rsid w:val="005C18D1"/>
    <w:rsid w:val="005C1910"/>
    <w:rsid w:val="005C1911"/>
    <w:rsid w:val="005C191F"/>
    <w:rsid w:val="005C1935"/>
    <w:rsid w:val="005C19F2"/>
    <w:rsid w:val="005C19FC"/>
    <w:rsid w:val="005C1A22"/>
    <w:rsid w:val="005C1A56"/>
    <w:rsid w:val="005C1AE0"/>
    <w:rsid w:val="005C1AE7"/>
    <w:rsid w:val="005C1AF6"/>
    <w:rsid w:val="005C1B14"/>
    <w:rsid w:val="005C1BA7"/>
    <w:rsid w:val="005C1BBC"/>
    <w:rsid w:val="005C1C2D"/>
    <w:rsid w:val="005C1DAA"/>
    <w:rsid w:val="005C1DF1"/>
    <w:rsid w:val="005C1EC1"/>
    <w:rsid w:val="005C1F04"/>
    <w:rsid w:val="005C2027"/>
    <w:rsid w:val="005C2092"/>
    <w:rsid w:val="005C2140"/>
    <w:rsid w:val="005C2189"/>
    <w:rsid w:val="005C21DC"/>
    <w:rsid w:val="005C21F1"/>
    <w:rsid w:val="005C221F"/>
    <w:rsid w:val="005C2230"/>
    <w:rsid w:val="005C228D"/>
    <w:rsid w:val="005C22B0"/>
    <w:rsid w:val="005C22CC"/>
    <w:rsid w:val="005C232A"/>
    <w:rsid w:val="005C2375"/>
    <w:rsid w:val="005C2455"/>
    <w:rsid w:val="005C24AB"/>
    <w:rsid w:val="005C24B0"/>
    <w:rsid w:val="005C2514"/>
    <w:rsid w:val="005C253B"/>
    <w:rsid w:val="005C259D"/>
    <w:rsid w:val="005C2684"/>
    <w:rsid w:val="005C26B6"/>
    <w:rsid w:val="005C2724"/>
    <w:rsid w:val="005C2796"/>
    <w:rsid w:val="005C27E4"/>
    <w:rsid w:val="005C27EB"/>
    <w:rsid w:val="005C2837"/>
    <w:rsid w:val="005C2865"/>
    <w:rsid w:val="005C289B"/>
    <w:rsid w:val="005C28B4"/>
    <w:rsid w:val="005C28C1"/>
    <w:rsid w:val="005C296E"/>
    <w:rsid w:val="005C297E"/>
    <w:rsid w:val="005C29E2"/>
    <w:rsid w:val="005C29EB"/>
    <w:rsid w:val="005C2A26"/>
    <w:rsid w:val="005C2A50"/>
    <w:rsid w:val="005C2A5C"/>
    <w:rsid w:val="005C2A7F"/>
    <w:rsid w:val="005C2A95"/>
    <w:rsid w:val="005C2B30"/>
    <w:rsid w:val="005C2BE7"/>
    <w:rsid w:val="005C2C42"/>
    <w:rsid w:val="005C2CBE"/>
    <w:rsid w:val="005C2D13"/>
    <w:rsid w:val="005C2D1D"/>
    <w:rsid w:val="005C2D21"/>
    <w:rsid w:val="005C2DB6"/>
    <w:rsid w:val="005C2DFA"/>
    <w:rsid w:val="005C2E4D"/>
    <w:rsid w:val="005C2EAF"/>
    <w:rsid w:val="005C2EDC"/>
    <w:rsid w:val="005C2EE2"/>
    <w:rsid w:val="005C2F17"/>
    <w:rsid w:val="005C303C"/>
    <w:rsid w:val="005C30E1"/>
    <w:rsid w:val="005C3125"/>
    <w:rsid w:val="005C3134"/>
    <w:rsid w:val="005C314D"/>
    <w:rsid w:val="005C3160"/>
    <w:rsid w:val="005C31B0"/>
    <w:rsid w:val="005C322F"/>
    <w:rsid w:val="005C3260"/>
    <w:rsid w:val="005C3262"/>
    <w:rsid w:val="005C3266"/>
    <w:rsid w:val="005C3279"/>
    <w:rsid w:val="005C3318"/>
    <w:rsid w:val="005C33B5"/>
    <w:rsid w:val="005C33CC"/>
    <w:rsid w:val="005C3494"/>
    <w:rsid w:val="005C349B"/>
    <w:rsid w:val="005C34BF"/>
    <w:rsid w:val="005C34EE"/>
    <w:rsid w:val="005C34F4"/>
    <w:rsid w:val="005C3517"/>
    <w:rsid w:val="005C35D2"/>
    <w:rsid w:val="005C3604"/>
    <w:rsid w:val="005C3626"/>
    <w:rsid w:val="005C36AC"/>
    <w:rsid w:val="005C36B9"/>
    <w:rsid w:val="005C36BB"/>
    <w:rsid w:val="005C36BC"/>
    <w:rsid w:val="005C37B6"/>
    <w:rsid w:val="005C37BA"/>
    <w:rsid w:val="005C37E1"/>
    <w:rsid w:val="005C380C"/>
    <w:rsid w:val="005C3862"/>
    <w:rsid w:val="005C3968"/>
    <w:rsid w:val="005C39B6"/>
    <w:rsid w:val="005C39C9"/>
    <w:rsid w:val="005C39E6"/>
    <w:rsid w:val="005C39FB"/>
    <w:rsid w:val="005C3A42"/>
    <w:rsid w:val="005C3AD4"/>
    <w:rsid w:val="005C3AF5"/>
    <w:rsid w:val="005C3B87"/>
    <w:rsid w:val="005C3C4B"/>
    <w:rsid w:val="005C3C79"/>
    <w:rsid w:val="005C3C8B"/>
    <w:rsid w:val="005C3CA9"/>
    <w:rsid w:val="005C3CC2"/>
    <w:rsid w:val="005C3DF4"/>
    <w:rsid w:val="005C3E43"/>
    <w:rsid w:val="005C3E4F"/>
    <w:rsid w:val="005C3EBE"/>
    <w:rsid w:val="005C3EC2"/>
    <w:rsid w:val="005C3ED4"/>
    <w:rsid w:val="005C3EEE"/>
    <w:rsid w:val="005C3F17"/>
    <w:rsid w:val="005C3FE3"/>
    <w:rsid w:val="005C4031"/>
    <w:rsid w:val="005C4093"/>
    <w:rsid w:val="005C40D3"/>
    <w:rsid w:val="005C4185"/>
    <w:rsid w:val="005C41A6"/>
    <w:rsid w:val="005C41F5"/>
    <w:rsid w:val="005C4205"/>
    <w:rsid w:val="005C4242"/>
    <w:rsid w:val="005C4261"/>
    <w:rsid w:val="005C4294"/>
    <w:rsid w:val="005C42EC"/>
    <w:rsid w:val="005C430C"/>
    <w:rsid w:val="005C43BF"/>
    <w:rsid w:val="005C4412"/>
    <w:rsid w:val="005C4495"/>
    <w:rsid w:val="005C44C2"/>
    <w:rsid w:val="005C450C"/>
    <w:rsid w:val="005C4529"/>
    <w:rsid w:val="005C4533"/>
    <w:rsid w:val="005C4592"/>
    <w:rsid w:val="005C45F2"/>
    <w:rsid w:val="005C4607"/>
    <w:rsid w:val="005C463E"/>
    <w:rsid w:val="005C4664"/>
    <w:rsid w:val="005C4690"/>
    <w:rsid w:val="005C477D"/>
    <w:rsid w:val="005C47B2"/>
    <w:rsid w:val="005C47D2"/>
    <w:rsid w:val="005C47ED"/>
    <w:rsid w:val="005C47F0"/>
    <w:rsid w:val="005C480B"/>
    <w:rsid w:val="005C487D"/>
    <w:rsid w:val="005C48AA"/>
    <w:rsid w:val="005C48E3"/>
    <w:rsid w:val="005C48EE"/>
    <w:rsid w:val="005C4908"/>
    <w:rsid w:val="005C498B"/>
    <w:rsid w:val="005C498F"/>
    <w:rsid w:val="005C49F1"/>
    <w:rsid w:val="005C4A02"/>
    <w:rsid w:val="005C4A6D"/>
    <w:rsid w:val="005C4AAD"/>
    <w:rsid w:val="005C4BBF"/>
    <w:rsid w:val="005C4BCC"/>
    <w:rsid w:val="005C4BE4"/>
    <w:rsid w:val="005C4BE8"/>
    <w:rsid w:val="005C4C22"/>
    <w:rsid w:val="005C4C30"/>
    <w:rsid w:val="005C4CAE"/>
    <w:rsid w:val="005C4DBA"/>
    <w:rsid w:val="005C4DC0"/>
    <w:rsid w:val="005C4DD5"/>
    <w:rsid w:val="005C4DF4"/>
    <w:rsid w:val="005C4E4B"/>
    <w:rsid w:val="005C4E62"/>
    <w:rsid w:val="005C4E6A"/>
    <w:rsid w:val="005C4F21"/>
    <w:rsid w:val="005C4F2F"/>
    <w:rsid w:val="005C4F65"/>
    <w:rsid w:val="005C4F73"/>
    <w:rsid w:val="005C4F89"/>
    <w:rsid w:val="005C4FF6"/>
    <w:rsid w:val="005C4FFD"/>
    <w:rsid w:val="005C502F"/>
    <w:rsid w:val="005C506E"/>
    <w:rsid w:val="005C507B"/>
    <w:rsid w:val="005C509C"/>
    <w:rsid w:val="005C516C"/>
    <w:rsid w:val="005C51CF"/>
    <w:rsid w:val="005C5212"/>
    <w:rsid w:val="005C5213"/>
    <w:rsid w:val="005C525D"/>
    <w:rsid w:val="005C527F"/>
    <w:rsid w:val="005C52FF"/>
    <w:rsid w:val="005C5320"/>
    <w:rsid w:val="005C5327"/>
    <w:rsid w:val="005C536A"/>
    <w:rsid w:val="005C5373"/>
    <w:rsid w:val="005C5393"/>
    <w:rsid w:val="005C53B9"/>
    <w:rsid w:val="005C53CF"/>
    <w:rsid w:val="005C5467"/>
    <w:rsid w:val="005C54F2"/>
    <w:rsid w:val="005C553F"/>
    <w:rsid w:val="005C555F"/>
    <w:rsid w:val="005C5575"/>
    <w:rsid w:val="005C55E6"/>
    <w:rsid w:val="005C563E"/>
    <w:rsid w:val="005C5643"/>
    <w:rsid w:val="005C594B"/>
    <w:rsid w:val="005C596C"/>
    <w:rsid w:val="005C59B6"/>
    <w:rsid w:val="005C59C3"/>
    <w:rsid w:val="005C5A02"/>
    <w:rsid w:val="005C5A2F"/>
    <w:rsid w:val="005C5B42"/>
    <w:rsid w:val="005C5B67"/>
    <w:rsid w:val="005C5B78"/>
    <w:rsid w:val="005C5BF2"/>
    <w:rsid w:val="005C5C04"/>
    <w:rsid w:val="005C5CE0"/>
    <w:rsid w:val="005C5CE2"/>
    <w:rsid w:val="005C5CE7"/>
    <w:rsid w:val="005C5CE8"/>
    <w:rsid w:val="005C5E85"/>
    <w:rsid w:val="005C5EA2"/>
    <w:rsid w:val="005C5F98"/>
    <w:rsid w:val="005C5F9C"/>
    <w:rsid w:val="005C5FA5"/>
    <w:rsid w:val="005C60BE"/>
    <w:rsid w:val="005C61AC"/>
    <w:rsid w:val="005C61C7"/>
    <w:rsid w:val="005C61ED"/>
    <w:rsid w:val="005C620D"/>
    <w:rsid w:val="005C620E"/>
    <w:rsid w:val="005C621F"/>
    <w:rsid w:val="005C62AF"/>
    <w:rsid w:val="005C62E3"/>
    <w:rsid w:val="005C62F2"/>
    <w:rsid w:val="005C633A"/>
    <w:rsid w:val="005C6347"/>
    <w:rsid w:val="005C63A4"/>
    <w:rsid w:val="005C63D3"/>
    <w:rsid w:val="005C6453"/>
    <w:rsid w:val="005C647A"/>
    <w:rsid w:val="005C6566"/>
    <w:rsid w:val="005C656A"/>
    <w:rsid w:val="005C660E"/>
    <w:rsid w:val="005C6651"/>
    <w:rsid w:val="005C667D"/>
    <w:rsid w:val="005C66C6"/>
    <w:rsid w:val="005C66DA"/>
    <w:rsid w:val="005C66E2"/>
    <w:rsid w:val="005C66FF"/>
    <w:rsid w:val="005C6729"/>
    <w:rsid w:val="005C67DF"/>
    <w:rsid w:val="005C684D"/>
    <w:rsid w:val="005C6896"/>
    <w:rsid w:val="005C68A8"/>
    <w:rsid w:val="005C6919"/>
    <w:rsid w:val="005C692F"/>
    <w:rsid w:val="005C695E"/>
    <w:rsid w:val="005C6A35"/>
    <w:rsid w:val="005C6A65"/>
    <w:rsid w:val="005C6A95"/>
    <w:rsid w:val="005C6B17"/>
    <w:rsid w:val="005C6B53"/>
    <w:rsid w:val="005C6C08"/>
    <w:rsid w:val="005C6C72"/>
    <w:rsid w:val="005C6CBD"/>
    <w:rsid w:val="005C6CE1"/>
    <w:rsid w:val="005C6CEF"/>
    <w:rsid w:val="005C6D30"/>
    <w:rsid w:val="005C6D66"/>
    <w:rsid w:val="005C6DAD"/>
    <w:rsid w:val="005C6DFB"/>
    <w:rsid w:val="005C6E75"/>
    <w:rsid w:val="005C6E7B"/>
    <w:rsid w:val="005C6EC1"/>
    <w:rsid w:val="005C6EFA"/>
    <w:rsid w:val="005C6F45"/>
    <w:rsid w:val="005C6F4C"/>
    <w:rsid w:val="005C6F5E"/>
    <w:rsid w:val="005C6F8B"/>
    <w:rsid w:val="005C6FEB"/>
    <w:rsid w:val="005C6FF8"/>
    <w:rsid w:val="005C7079"/>
    <w:rsid w:val="005C709C"/>
    <w:rsid w:val="005C70FE"/>
    <w:rsid w:val="005C7114"/>
    <w:rsid w:val="005C71B2"/>
    <w:rsid w:val="005C71EB"/>
    <w:rsid w:val="005C723C"/>
    <w:rsid w:val="005C7248"/>
    <w:rsid w:val="005C73B9"/>
    <w:rsid w:val="005C741F"/>
    <w:rsid w:val="005C757B"/>
    <w:rsid w:val="005C75A5"/>
    <w:rsid w:val="005C75C6"/>
    <w:rsid w:val="005C75C8"/>
    <w:rsid w:val="005C75CD"/>
    <w:rsid w:val="005C7610"/>
    <w:rsid w:val="005C773E"/>
    <w:rsid w:val="005C7780"/>
    <w:rsid w:val="005C77A4"/>
    <w:rsid w:val="005C77E4"/>
    <w:rsid w:val="005C77F1"/>
    <w:rsid w:val="005C77FA"/>
    <w:rsid w:val="005C7878"/>
    <w:rsid w:val="005C7889"/>
    <w:rsid w:val="005C7904"/>
    <w:rsid w:val="005C7989"/>
    <w:rsid w:val="005C79AC"/>
    <w:rsid w:val="005C79B2"/>
    <w:rsid w:val="005C79C5"/>
    <w:rsid w:val="005C79CB"/>
    <w:rsid w:val="005C79D5"/>
    <w:rsid w:val="005C79EB"/>
    <w:rsid w:val="005C79F3"/>
    <w:rsid w:val="005C79FC"/>
    <w:rsid w:val="005C7A42"/>
    <w:rsid w:val="005C7A5A"/>
    <w:rsid w:val="005C7AD0"/>
    <w:rsid w:val="005C7B02"/>
    <w:rsid w:val="005C7C1C"/>
    <w:rsid w:val="005C7C1D"/>
    <w:rsid w:val="005C7D07"/>
    <w:rsid w:val="005C7D5B"/>
    <w:rsid w:val="005C7D77"/>
    <w:rsid w:val="005C7DB4"/>
    <w:rsid w:val="005C7E3B"/>
    <w:rsid w:val="005C7E71"/>
    <w:rsid w:val="005C7E8E"/>
    <w:rsid w:val="005C7F3A"/>
    <w:rsid w:val="005C7F3B"/>
    <w:rsid w:val="005C7F48"/>
    <w:rsid w:val="005C7FA5"/>
    <w:rsid w:val="005C9326"/>
    <w:rsid w:val="005D0007"/>
    <w:rsid w:val="005D001D"/>
    <w:rsid w:val="005D0118"/>
    <w:rsid w:val="005D0199"/>
    <w:rsid w:val="005D01DB"/>
    <w:rsid w:val="005D026A"/>
    <w:rsid w:val="005D026F"/>
    <w:rsid w:val="005D033C"/>
    <w:rsid w:val="005D0340"/>
    <w:rsid w:val="005D035B"/>
    <w:rsid w:val="005D0397"/>
    <w:rsid w:val="005D0417"/>
    <w:rsid w:val="005D04FD"/>
    <w:rsid w:val="005D050F"/>
    <w:rsid w:val="005D0512"/>
    <w:rsid w:val="005D0527"/>
    <w:rsid w:val="005D0584"/>
    <w:rsid w:val="005D05A0"/>
    <w:rsid w:val="005D05A7"/>
    <w:rsid w:val="005D05BE"/>
    <w:rsid w:val="005D0642"/>
    <w:rsid w:val="005D0655"/>
    <w:rsid w:val="005D069A"/>
    <w:rsid w:val="005D06FF"/>
    <w:rsid w:val="005D070B"/>
    <w:rsid w:val="005D0743"/>
    <w:rsid w:val="005D075C"/>
    <w:rsid w:val="005D0785"/>
    <w:rsid w:val="005D07BC"/>
    <w:rsid w:val="005D083A"/>
    <w:rsid w:val="005D08B9"/>
    <w:rsid w:val="005D08D0"/>
    <w:rsid w:val="005D08FA"/>
    <w:rsid w:val="005D08FF"/>
    <w:rsid w:val="005D0904"/>
    <w:rsid w:val="005D0939"/>
    <w:rsid w:val="005D0948"/>
    <w:rsid w:val="005D09C8"/>
    <w:rsid w:val="005D09EB"/>
    <w:rsid w:val="005D09F8"/>
    <w:rsid w:val="005D0B29"/>
    <w:rsid w:val="005D0B5A"/>
    <w:rsid w:val="005D0B6F"/>
    <w:rsid w:val="005D0B99"/>
    <w:rsid w:val="005D0BE6"/>
    <w:rsid w:val="005D0BE7"/>
    <w:rsid w:val="005D0BE8"/>
    <w:rsid w:val="005D0CA0"/>
    <w:rsid w:val="005D0D5D"/>
    <w:rsid w:val="005D0D74"/>
    <w:rsid w:val="005D0D96"/>
    <w:rsid w:val="005D0E1A"/>
    <w:rsid w:val="005D0E69"/>
    <w:rsid w:val="005D0E9E"/>
    <w:rsid w:val="005D0ED1"/>
    <w:rsid w:val="005D0EDE"/>
    <w:rsid w:val="005D104E"/>
    <w:rsid w:val="005D1064"/>
    <w:rsid w:val="005D1097"/>
    <w:rsid w:val="005D10E1"/>
    <w:rsid w:val="005D1112"/>
    <w:rsid w:val="005D1114"/>
    <w:rsid w:val="005D1176"/>
    <w:rsid w:val="005D1177"/>
    <w:rsid w:val="005D1183"/>
    <w:rsid w:val="005D119F"/>
    <w:rsid w:val="005D11E7"/>
    <w:rsid w:val="005D1202"/>
    <w:rsid w:val="005D12AA"/>
    <w:rsid w:val="005D12E7"/>
    <w:rsid w:val="005D135B"/>
    <w:rsid w:val="005D1379"/>
    <w:rsid w:val="005D137B"/>
    <w:rsid w:val="005D138B"/>
    <w:rsid w:val="005D13D1"/>
    <w:rsid w:val="005D13EF"/>
    <w:rsid w:val="005D13F3"/>
    <w:rsid w:val="005D13FF"/>
    <w:rsid w:val="005D144D"/>
    <w:rsid w:val="005D1479"/>
    <w:rsid w:val="005D14C3"/>
    <w:rsid w:val="005D14C7"/>
    <w:rsid w:val="005D1584"/>
    <w:rsid w:val="005D15C1"/>
    <w:rsid w:val="005D162C"/>
    <w:rsid w:val="005D167A"/>
    <w:rsid w:val="005D169F"/>
    <w:rsid w:val="005D16C3"/>
    <w:rsid w:val="005D1763"/>
    <w:rsid w:val="005D1781"/>
    <w:rsid w:val="005D17AC"/>
    <w:rsid w:val="005D17AD"/>
    <w:rsid w:val="005D180D"/>
    <w:rsid w:val="005D1839"/>
    <w:rsid w:val="005D199C"/>
    <w:rsid w:val="005D19D7"/>
    <w:rsid w:val="005D1A5A"/>
    <w:rsid w:val="005D1A78"/>
    <w:rsid w:val="005D1B18"/>
    <w:rsid w:val="005D1C6C"/>
    <w:rsid w:val="005D1C8E"/>
    <w:rsid w:val="005D1C97"/>
    <w:rsid w:val="005D1CA9"/>
    <w:rsid w:val="005D1CBE"/>
    <w:rsid w:val="005D1CC8"/>
    <w:rsid w:val="005D1DDB"/>
    <w:rsid w:val="005D1DE2"/>
    <w:rsid w:val="005D1E1C"/>
    <w:rsid w:val="005D1E4E"/>
    <w:rsid w:val="005D1E66"/>
    <w:rsid w:val="005D1EC5"/>
    <w:rsid w:val="005D1F06"/>
    <w:rsid w:val="005D1F19"/>
    <w:rsid w:val="005D1F5D"/>
    <w:rsid w:val="005D1F7C"/>
    <w:rsid w:val="005D1F85"/>
    <w:rsid w:val="005D1F8E"/>
    <w:rsid w:val="005D1FA7"/>
    <w:rsid w:val="005D1FD7"/>
    <w:rsid w:val="005D2049"/>
    <w:rsid w:val="005D2069"/>
    <w:rsid w:val="005D207C"/>
    <w:rsid w:val="005D20D1"/>
    <w:rsid w:val="005D2138"/>
    <w:rsid w:val="005D215F"/>
    <w:rsid w:val="005D21A1"/>
    <w:rsid w:val="005D21A2"/>
    <w:rsid w:val="005D21D4"/>
    <w:rsid w:val="005D21E8"/>
    <w:rsid w:val="005D221A"/>
    <w:rsid w:val="005D22B6"/>
    <w:rsid w:val="005D230F"/>
    <w:rsid w:val="005D2336"/>
    <w:rsid w:val="005D23FD"/>
    <w:rsid w:val="005D245A"/>
    <w:rsid w:val="005D2486"/>
    <w:rsid w:val="005D249B"/>
    <w:rsid w:val="005D24AC"/>
    <w:rsid w:val="005D2527"/>
    <w:rsid w:val="005D253A"/>
    <w:rsid w:val="005D2564"/>
    <w:rsid w:val="005D25A6"/>
    <w:rsid w:val="005D25B3"/>
    <w:rsid w:val="005D2621"/>
    <w:rsid w:val="005D2660"/>
    <w:rsid w:val="005D2690"/>
    <w:rsid w:val="005D26B4"/>
    <w:rsid w:val="005D26B7"/>
    <w:rsid w:val="005D26E8"/>
    <w:rsid w:val="005D2738"/>
    <w:rsid w:val="005D2765"/>
    <w:rsid w:val="005D2777"/>
    <w:rsid w:val="005D2794"/>
    <w:rsid w:val="005D27EE"/>
    <w:rsid w:val="005D2849"/>
    <w:rsid w:val="005D286B"/>
    <w:rsid w:val="005D2893"/>
    <w:rsid w:val="005D2917"/>
    <w:rsid w:val="005D291B"/>
    <w:rsid w:val="005D2935"/>
    <w:rsid w:val="005D297E"/>
    <w:rsid w:val="005D2999"/>
    <w:rsid w:val="005D29BC"/>
    <w:rsid w:val="005D29D8"/>
    <w:rsid w:val="005D29D9"/>
    <w:rsid w:val="005D29EA"/>
    <w:rsid w:val="005D2A32"/>
    <w:rsid w:val="005D2A43"/>
    <w:rsid w:val="005D2A5D"/>
    <w:rsid w:val="005D2B7C"/>
    <w:rsid w:val="005D2B82"/>
    <w:rsid w:val="005D2C11"/>
    <w:rsid w:val="005D2C12"/>
    <w:rsid w:val="005D2C5E"/>
    <w:rsid w:val="005D2C64"/>
    <w:rsid w:val="005D2C79"/>
    <w:rsid w:val="005D2D46"/>
    <w:rsid w:val="005D2D53"/>
    <w:rsid w:val="005D2D6E"/>
    <w:rsid w:val="005D2DCB"/>
    <w:rsid w:val="005D2E72"/>
    <w:rsid w:val="005D2E7C"/>
    <w:rsid w:val="005D2E7D"/>
    <w:rsid w:val="005D2E98"/>
    <w:rsid w:val="005D2EF9"/>
    <w:rsid w:val="005D2F0C"/>
    <w:rsid w:val="005D2F20"/>
    <w:rsid w:val="005D2F2B"/>
    <w:rsid w:val="005D2FD2"/>
    <w:rsid w:val="005D3002"/>
    <w:rsid w:val="005D3015"/>
    <w:rsid w:val="005D306C"/>
    <w:rsid w:val="005D30D2"/>
    <w:rsid w:val="005D314D"/>
    <w:rsid w:val="005D31C7"/>
    <w:rsid w:val="005D31FB"/>
    <w:rsid w:val="005D323E"/>
    <w:rsid w:val="005D324A"/>
    <w:rsid w:val="005D3295"/>
    <w:rsid w:val="005D32A7"/>
    <w:rsid w:val="005D32D3"/>
    <w:rsid w:val="005D32E3"/>
    <w:rsid w:val="005D32F9"/>
    <w:rsid w:val="005D3301"/>
    <w:rsid w:val="005D3491"/>
    <w:rsid w:val="005D355B"/>
    <w:rsid w:val="005D3590"/>
    <w:rsid w:val="005D35A6"/>
    <w:rsid w:val="005D35D7"/>
    <w:rsid w:val="005D3606"/>
    <w:rsid w:val="005D3683"/>
    <w:rsid w:val="005D3687"/>
    <w:rsid w:val="005D3762"/>
    <w:rsid w:val="005D379F"/>
    <w:rsid w:val="005D37AC"/>
    <w:rsid w:val="005D381A"/>
    <w:rsid w:val="005D3830"/>
    <w:rsid w:val="005D387E"/>
    <w:rsid w:val="005D390D"/>
    <w:rsid w:val="005D3913"/>
    <w:rsid w:val="005D3964"/>
    <w:rsid w:val="005D3A4A"/>
    <w:rsid w:val="005D3AF9"/>
    <w:rsid w:val="005D3B1E"/>
    <w:rsid w:val="005D3B40"/>
    <w:rsid w:val="005D3B53"/>
    <w:rsid w:val="005D3C14"/>
    <w:rsid w:val="005D3C28"/>
    <w:rsid w:val="005D3CA2"/>
    <w:rsid w:val="005D3CB8"/>
    <w:rsid w:val="005D3D46"/>
    <w:rsid w:val="005D3D63"/>
    <w:rsid w:val="005D3DB1"/>
    <w:rsid w:val="005D3DB4"/>
    <w:rsid w:val="005D3E1C"/>
    <w:rsid w:val="005D3E61"/>
    <w:rsid w:val="005D3E72"/>
    <w:rsid w:val="005D3F14"/>
    <w:rsid w:val="005D3FA8"/>
    <w:rsid w:val="005D3FBF"/>
    <w:rsid w:val="005D3FE0"/>
    <w:rsid w:val="005D3FE9"/>
    <w:rsid w:val="005D40CF"/>
    <w:rsid w:val="005D40D2"/>
    <w:rsid w:val="005D41A8"/>
    <w:rsid w:val="005D41CC"/>
    <w:rsid w:val="005D4222"/>
    <w:rsid w:val="005D4228"/>
    <w:rsid w:val="005D4260"/>
    <w:rsid w:val="005D42B2"/>
    <w:rsid w:val="005D4306"/>
    <w:rsid w:val="005D432E"/>
    <w:rsid w:val="005D4349"/>
    <w:rsid w:val="005D4364"/>
    <w:rsid w:val="005D43A9"/>
    <w:rsid w:val="005D4420"/>
    <w:rsid w:val="005D444B"/>
    <w:rsid w:val="005D44F5"/>
    <w:rsid w:val="005D4526"/>
    <w:rsid w:val="005D452B"/>
    <w:rsid w:val="005D4552"/>
    <w:rsid w:val="005D4576"/>
    <w:rsid w:val="005D45CA"/>
    <w:rsid w:val="005D467A"/>
    <w:rsid w:val="005D46AB"/>
    <w:rsid w:val="005D46DD"/>
    <w:rsid w:val="005D4737"/>
    <w:rsid w:val="005D483B"/>
    <w:rsid w:val="005D48AE"/>
    <w:rsid w:val="005D48E1"/>
    <w:rsid w:val="005D48E6"/>
    <w:rsid w:val="005D4949"/>
    <w:rsid w:val="005D49F3"/>
    <w:rsid w:val="005D4A02"/>
    <w:rsid w:val="005D4A8C"/>
    <w:rsid w:val="005D4ADE"/>
    <w:rsid w:val="005D4BD2"/>
    <w:rsid w:val="005D4C00"/>
    <w:rsid w:val="005D4D61"/>
    <w:rsid w:val="005D4D93"/>
    <w:rsid w:val="005D4DB4"/>
    <w:rsid w:val="005D4DE7"/>
    <w:rsid w:val="005D4DEF"/>
    <w:rsid w:val="005D4DF5"/>
    <w:rsid w:val="005D4E73"/>
    <w:rsid w:val="005D4E76"/>
    <w:rsid w:val="005D4E85"/>
    <w:rsid w:val="005D4EA8"/>
    <w:rsid w:val="005D4F0A"/>
    <w:rsid w:val="005D4F0D"/>
    <w:rsid w:val="005D4F42"/>
    <w:rsid w:val="005D4F9B"/>
    <w:rsid w:val="005D4FCC"/>
    <w:rsid w:val="005D4FCD"/>
    <w:rsid w:val="005D4FEC"/>
    <w:rsid w:val="005D5024"/>
    <w:rsid w:val="005D504F"/>
    <w:rsid w:val="005D51A3"/>
    <w:rsid w:val="005D51E7"/>
    <w:rsid w:val="005D52F2"/>
    <w:rsid w:val="005D532F"/>
    <w:rsid w:val="005D5351"/>
    <w:rsid w:val="005D536A"/>
    <w:rsid w:val="005D5378"/>
    <w:rsid w:val="005D5401"/>
    <w:rsid w:val="005D546F"/>
    <w:rsid w:val="005D547E"/>
    <w:rsid w:val="005D5512"/>
    <w:rsid w:val="005D553D"/>
    <w:rsid w:val="005D55DF"/>
    <w:rsid w:val="005D5671"/>
    <w:rsid w:val="005D56CE"/>
    <w:rsid w:val="005D575E"/>
    <w:rsid w:val="005D5770"/>
    <w:rsid w:val="005D57E6"/>
    <w:rsid w:val="005D57F9"/>
    <w:rsid w:val="005D583C"/>
    <w:rsid w:val="005D583D"/>
    <w:rsid w:val="005D584D"/>
    <w:rsid w:val="005D588B"/>
    <w:rsid w:val="005D58E4"/>
    <w:rsid w:val="005D599F"/>
    <w:rsid w:val="005D59FE"/>
    <w:rsid w:val="005D5A01"/>
    <w:rsid w:val="005D5A94"/>
    <w:rsid w:val="005D5AEC"/>
    <w:rsid w:val="005D5B7F"/>
    <w:rsid w:val="005D5B99"/>
    <w:rsid w:val="005D5BAA"/>
    <w:rsid w:val="005D5C13"/>
    <w:rsid w:val="005D5C1D"/>
    <w:rsid w:val="005D5C6C"/>
    <w:rsid w:val="005D5C97"/>
    <w:rsid w:val="005D5CAB"/>
    <w:rsid w:val="005D5D1A"/>
    <w:rsid w:val="005D5E10"/>
    <w:rsid w:val="005D5E60"/>
    <w:rsid w:val="005D5E6D"/>
    <w:rsid w:val="005D5E96"/>
    <w:rsid w:val="005D5ECC"/>
    <w:rsid w:val="005D5EED"/>
    <w:rsid w:val="005D5F50"/>
    <w:rsid w:val="005D5F7C"/>
    <w:rsid w:val="005D60B4"/>
    <w:rsid w:val="005D60E6"/>
    <w:rsid w:val="005D610D"/>
    <w:rsid w:val="005D6112"/>
    <w:rsid w:val="005D615E"/>
    <w:rsid w:val="005D617C"/>
    <w:rsid w:val="005D6193"/>
    <w:rsid w:val="005D61BD"/>
    <w:rsid w:val="005D62DB"/>
    <w:rsid w:val="005D62F9"/>
    <w:rsid w:val="005D6313"/>
    <w:rsid w:val="005D634B"/>
    <w:rsid w:val="005D6367"/>
    <w:rsid w:val="005D6386"/>
    <w:rsid w:val="005D6387"/>
    <w:rsid w:val="005D63BF"/>
    <w:rsid w:val="005D63DC"/>
    <w:rsid w:val="005D63F8"/>
    <w:rsid w:val="005D6412"/>
    <w:rsid w:val="005D6487"/>
    <w:rsid w:val="005D648D"/>
    <w:rsid w:val="005D64A1"/>
    <w:rsid w:val="005D64B1"/>
    <w:rsid w:val="005D652F"/>
    <w:rsid w:val="005D654F"/>
    <w:rsid w:val="005D656C"/>
    <w:rsid w:val="005D65CE"/>
    <w:rsid w:val="005D65FA"/>
    <w:rsid w:val="005D664A"/>
    <w:rsid w:val="005D6662"/>
    <w:rsid w:val="005D66D5"/>
    <w:rsid w:val="005D6715"/>
    <w:rsid w:val="005D673F"/>
    <w:rsid w:val="005D6750"/>
    <w:rsid w:val="005D67B2"/>
    <w:rsid w:val="005D67FD"/>
    <w:rsid w:val="005D6846"/>
    <w:rsid w:val="005D6852"/>
    <w:rsid w:val="005D6856"/>
    <w:rsid w:val="005D68DE"/>
    <w:rsid w:val="005D6913"/>
    <w:rsid w:val="005D6A07"/>
    <w:rsid w:val="005D6AAC"/>
    <w:rsid w:val="005D6B1B"/>
    <w:rsid w:val="005D6BC6"/>
    <w:rsid w:val="005D6BF8"/>
    <w:rsid w:val="005D6C3E"/>
    <w:rsid w:val="005D6C4D"/>
    <w:rsid w:val="005D6C74"/>
    <w:rsid w:val="005D6C8A"/>
    <w:rsid w:val="005D6CB7"/>
    <w:rsid w:val="005D6CD7"/>
    <w:rsid w:val="005D6D06"/>
    <w:rsid w:val="005D6D07"/>
    <w:rsid w:val="005D6D35"/>
    <w:rsid w:val="005D6D41"/>
    <w:rsid w:val="005D6D52"/>
    <w:rsid w:val="005D6D73"/>
    <w:rsid w:val="005D6D8A"/>
    <w:rsid w:val="005D6D8F"/>
    <w:rsid w:val="005D6E08"/>
    <w:rsid w:val="005D6E13"/>
    <w:rsid w:val="005D6E59"/>
    <w:rsid w:val="005D6E78"/>
    <w:rsid w:val="005D6E91"/>
    <w:rsid w:val="005D6EC3"/>
    <w:rsid w:val="005D6EED"/>
    <w:rsid w:val="005D6F0A"/>
    <w:rsid w:val="005D6F45"/>
    <w:rsid w:val="005D6F70"/>
    <w:rsid w:val="005D6FBE"/>
    <w:rsid w:val="005D6FFB"/>
    <w:rsid w:val="005D7002"/>
    <w:rsid w:val="005D7085"/>
    <w:rsid w:val="005D70A6"/>
    <w:rsid w:val="005D70B1"/>
    <w:rsid w:val="005D7106"/>
    <w:rsid w:val="005D715D"/>
    <w:rsid w:val="005D718A"/>
    <w:rsid w:val="005D71EE"/>
    <w:rsid w:val="005D71FF"/>
    <w:rsid w:val="005D7226"/>
    <w:rsid w:val="005D7294"/>
    <w:rsid w:val="005D7306"/>
    <w:rsid w:val="005D730A"/>
    <w:rsid w:val="005D7343"/>
    <w:rsid w:val="005D7355"/>
    <w:rsid w:val="005D7372"/>
    <w:rsid w:val="005D7380"/>
    <w:rsid w:val="005D73A1"/>
    <w:rsid w:val="005D73C9"/>
    <w:rsid w:val="005D73E8"/>
    <w:rsid w:val="005D743A"/>
    <w:rsid w:val="005D7468"/>
    <w:rsid w:val="005D7487"/>
    <w:rsid w:val="005D7492"/>
    <w:rsid w:val="005D7501"/>
    <w:rsid w:val="005D7575"/>
    <w:rsid w:val="005D7598"/>
    <w:rsid w:val="005D75A8"/>
    <w:rsid w:val="005D75B6"/>
    <w:rsid w:val="005D75E7"/>
    <w:rsid w:val="005D7630"/>
    <w:rsid w:val="005D767E"/>
    <w:rsid w:val="005D772F"/>
    <w:rsid w:val="005D778B"/>
    <w:rsid w:val="005D77D3"/>
    <w:rsid w:val="005D7873"/>
    <w:rsid w:val="005D7875"/>
    <w:rsid w:val="005D78AD"/>
    <w:rsid w:val="005D78ED"/>
    <w:rsid w:val="005D799E"/>
    <w:rsid w:val="005D7A49"/>
    <w:rsid w:val="005D7AFA"/>
    <w:rsid w:val="005D7B28"/>
    <w:rsid w:val="005D7B81"/>
    <w:rsid w:val="005D7B8C"/>
    <w:rsid w:val="005D7CB5"/>
    <w:rsid w:val="005D7D45"/>
    <w:rsid w:val="005D7DA0"/>
    <w:rsid w:val="005D7E21"/>
    <w:rsid w:val="005D7E90"/>
    <w:rsid w:val="005D7ED6"/>
    <w:rsid w:val="005D7F99"/>
    <w:rsid w:val="005E003E"/>
    <w:rsid w:val="005E00D5"/>
    <w:rsid w:val="005E00F6"/>
    <w:rsid w:val="005E01B7"/>
    <w:rsid w:val="005E01B9"/>
    <w:rsid w:val="005E01CF"/>
    <w:rsid w:val="005E01DB"/>
    <w:rsid w:val="005E020B"/>
    <w:rsid w:val="005E026F"/>
    <w:rsid w:val="005E027B"/>
    <w:rsid w:val="005E028C"/>
    <w:rsid w:val="005E0299"/>
    <w:rsid w:val="005E029B"/>
    <w:rsid w:val="005E02A6"/>
    <w:rsid w:val="005E0300"/>
    <w:rsid w:val="005E031F"/>
    <w:rsid w:val="005E0358"/>
    <w:rsid w:val="005E0393"/>
    <w:rsid w:val="005E03D2"/>
    <w:rsid w:val="005E0426"/>
    <w:rsid w:val="005E0439"/>
    <w:rsid w:val="005E0471"/>
    <w:rsid w:val="005E0512"/>
    <w:rsid w:val="005E0521"/>
    <w:rsid w:val="005E0580"/>
    <w:rsid w:val="005E05A5"/>
    <w:rsid w:val="005E0631"/>
    <w:rsid w:val="005E0668"/>
    <w:rsid w:val="005E06C4"/>
    <w:rsid w:val="005E06D0"/>
    <w:rsid w:val="005E06F3"/>
    <w:rsid w:val="005E072F"/>
    <w:rsid w:val="005E07AE"/>
    <w:rsid w:val="005E07FF"/>
    <w:rsid w:val="005E080E"/>
    <w:rsid w:val="005E082D"/>
    <w:rsid w:val="005E0858"/>
    <w:rsid w:val="005E08EB"/>
    <w:rsid w:val="005E092D"/>
    <w:rsid w:val="005E0968"/>
    <w:rsid w:val="005E0978"/>
    <w:rsid w:val="005E0979"/>
    <w:rsid w:val="005E09F3"/>
    <w:rsid w:val="005E0A31"/>
    <w:rsid w:val="005E0A38"/>
    <w:rsid w:val="005E0AE6"/>
    <w:rsid w:val="005E0AFB"/>
    <w:rsid w:val="005E0BB8"/>
    <w:rsid w:val="005E0BEF"/>
    <w:rsid w:val="005E0C50"/>
    <w:rsid w:val="005E0C8D"/>
    <w:rsid w:val="005E0CBB"/>
    <w:rsid w:val="005E0CC9"/>
    <w:rsid w:val="005E0DF0"/>
    <w:rsid w:val="005E0E01"/>
    <w:rsid w:val="005E0E20"/>
    <w:rsid w:val="005E0E43"/>
    <w:rsid w:val="005E0E4C"/>
    <w:rsid w:val="005E0E5B"/>
    <w:rsid w:val="005E0F1B"/>
    <w:rsid w:val="005E0F20"/>
    <w:rsid w:val="005E0FB4"/>
    <w:rsid w:val="005E0FC4"/>
    <w:rsid w:val="005E105D"/>
    <w:rsid w:val="005E10A7"/>
    <w:rsid w:val="005E10A9"/>
    <w:rsid w:val="005E1126"/>
    <w:rsid w:val="005E1132"/>
    <w:rsid w:val="005E115A"/>
    <w:rsid w:val="005E120E"/>
    <w:rsid w:val="005E125E"/>
    <w:rsid w:val="005E126F"/>
    <w:rsid w:val="005E1320"/>
    <w:rsid w:val="005E1330"/>
    <w:rsid w:val="005E1341"/>
    <w:rsid w:val="005E1365"/>
    <w:rsid w:val="005E1414"/>
    <w:rsid w:val="005E1468"/>
    <w:rsid w:val="005E14C6"/>
    <w:rsid w:val="005E14F2"/>
    <w:rsid w:val="005E1523"/>
    <w:rsid w:val="005E1537"/>
    <w:rsid w:val="005E1595"/>
    <w:rsid w:val="005E168F"/>
    <w:rsid w:val="005E16A6"/>
    <w:rsid w:val="005E16F2"/>
    <w:rsid w:val="005E173F"/>
    <w:rsid w:val="005E1750"/>
    <w:rsid w:val="005E176A"/>
    <w:rsid w:val="005E177F"/>
    <w:rsid w:val="005E17AF"/>
    <w:rsid w:val="005E180F"/>
    <w:rsid w:val="005E1855"/>
    <w:rsid w:val="005E186E"/>
    <w:rsid w:val="005E1897"/>
    <w:rsid w:val="005E18B0"/>
    <w:rsid w:val="005E18B2"/>
    <w:rsid w:val="005E1902"/>
    <w:rsid w:val="005E1914"/>
    <w:rsid w:val="005E1961"/>
    <w:rsid w:val="005E197B"/>
    <w:rsid w:val="005E1985"/>
    <w:rsid w:val="005E1988"/>
    <w:rsid w:val="005E19CE"/>
    <w:rsid w:val="005E1A46"/>
    <w:rsid w:val="005E1A95"/>
    <w:rsid w:val="005E1AA8"/>
    <w:rsid w:val="005E1ABC"/>
    <w:rsid w:val="005E1B03"/>
    <w:rsid w:val="005E1B33"/>
    <w:rsid w:val="005E1B6F"/>
    <w:rsid w:val="005E1BD5"/>
    <w:rsid w:val="005E1C28"/>
    <w:rsid w:val="005E1C8C"/>
    <w:rsid w:val="005E1CB2"/>
    <w:rsid w:val="005E1CEF"/>
    <w:rsid w:val="005E1CFA"/>
    <w:rsid w:val="005E1D09"/>
    <w:rsid w:val="005E1D15"/>
    <w:rsid w:val="005E1D52"/>
    <w:rsid w:val="005E1D70"/>
    <w:rsid w:val="005E1D82"/>
    <w:rsid w:val="005E1D85"/>
    <w:rsid w:val="005E1DAE"/>
    <w:rsid w:val="005E1DCE"/>
    <w:rsid w:val="005E1DD1"/>
    <w:rsid w:val="005E1E15"/>
    <w:rsid w:val="005E1E19"/>
    <w:rsid w:val="005E1E9D"/>
    <w:rsid w:val="005E1F4F"/>
    <w:rsid w:val="005E1F57"/>
    <w:rsid w:val="005E1F6D"/>
    <w:rsid w:val="005E1F78"/>
    <w:rsid w:val="005E2022"/>
    <w:rsid w:val="005E20CD"/>
    <w:rsid w:val="005E2102"/>
    <w:rsid w:val="005E2170"/>
    <w:rsid w:val="005E21BE"/>
    <w:rsid w:val="005E2211"/>
    <w:rsid w:val="005E2224"/>
    <w:rsid w:val="005E223B"/>
    <w:rsid w:val="005E22A7"/>
    <w:rsid w:val="005E22BE"/>
    <w:rsid w:val="005E2314"/>
    <w:rsid w:val="005E2367"/>
    <w:rsid w:val="005E24A5"/>
    <w:rsid w:val="005E24E8"/>
    <w:rsid w:val="005E258C"/>
    <w:rsid w:val="005E25AE"/>
    <w:rsid w:val="005E25B0"/>
    <w:rsid w:val="005E25BB"/>
    <w:rsid w:val="005E25F7"/>
    <w:rsid w:val="005E25FD"/>
    <w:rsid w:val="005E260F"/>
    <w:rsid w:val="005E266F"/>
    <w:rsid w:val="005E2680"/>
    <w:rsid w:val="005E2693"/>
    <w:rsid w:val="005E26D9"/>
    <w:rsid w:val="005E2745"/>
    <w:rsid w:val="005E27B2"/>
    <w:rsid w:val="005E2819"/>
    <w:rsid w:val="005E2878"/>
    <w:rsid w:val="005E2888"/>
    <w:rsid w:val="005E2897"/>
    <w:rsid w:val="005E28AA"/>
    <w:rsid w:val="005E290F"/>
    <w:rsid w:val="005E297B"/>
    <w:rsid w:val="005E29C1"/>
    <w:rsid w:val="005E29CB"/>
    <w:rsid w:val="005E29D2"/>
    <w:rsid w:val="005E2A4A"/>
    <w:rsid w:val="005E2A5A"/>
    <w:rsid w:val="005E2ABD"/>
    <w:rsid w:val="005E2AE5"/>
    <w:rsid w:val="005E2B07"/>
    <w:rsid w:val="005E2B45"/>
    <w:rsid w:val="005E2B81"/>
    <w:rsid w:val="005E2B88"/>
    <w:rsid w:val="005E2B9F"/>
    <w:rsid w:val="005E2C0D"/>
    <w:rsid w:val="005E2C23"/>
    <w:rsid w:val="005E2C37"/>
    <w:rsid w:val="005E2C8F"/>
    <w:rsid w:val="005E2C94"/>
    <w:rsid w:val="005E2CF5"/>
    <w:rsid w:val="005E2D9A"/>
    <w:rsid w:val="005E2E40"/>
    <w:rsid w:val="005E2E50"/>
    <w:rsid w:val="005E2E78"/>
    <w:rsid w:val="005E2E90"/>
    <w:rsid w:val="005E2EEF"/>
    <w:rsid w:val="005E2F55"/>
    <w:rsid w:val="005E2F5C"/>
    <w:rsid w:val="005E2F72"/>
    <w:rsid w:val="005E2F8A"/>
    <w:rsid w:val="005E2FA9"/>
    <w:rsid w:val="005E3015"/>
    <w:rsid w:val="005E3109"/>
    <w:rsid w:val="005E3156"/>
    <w:rsid w:val="005E3162"/>
    <w:rsid w:val="005E3167"/>
    <w:rsid w:val="005E31DC"/>
    <w:rsid w:val="005E3228"/>
    <w:rsid w:val="005E3256"/>
    <w:rsid w:val="005E32A5"/>
    <w:rsid w:val="005E3350"/>
    <w:rsid w:val="005E3399"/>
    <w:rsid w:val="005E33E5"/>
    <w:rsid w:val="005E344A"/>
    <w:rsid w:val="005E3481"/>
    <w:rsid w:val="005E34E0"/>
    <w:rsid w:val="005E34EE"/>
    <w:rsid w:val="005E3547"/>
    <w:rsid w:val="005E35A5"/>
    <w:rsid w:val="005E35C9"/>
    <w:rsid w:val="005E35D8"/>
    <w:rsid w:val="005E363F"/>
    <w:rsid w:val="005E36D9"/>
    <w:rsid w:val="005E3744"/>
    <w:rsid w:val="005E3768"/>
    <w:rsid w:val="005E37A0"/>
    <w:rsid w:val="005E37B3"/>
    <w:rsid w:val="005E37D4"/>
    <w:rsid w:val="005E37F0"/>
    <w:rsid w:val="005E37F6"/>
    <w:rsid w:val="005E3813"/>
    <w:rsid w:val="005E381A"/>
    <w:rsid w:val="005E3824"/>
    <w:rsid w:val="005E38B5"/>
    <w:rsid w:val="005E38FA"/>
    <w:rsid w:val="005E394B"/>
    <w:rsid w:val="005E394E"/>
    <w:rsid w:val="005E399D"/>
    <w:rsid w:val="005E39D4"/>
    <w:rsid w:val="005E39FC"/>
    <w:rsid w:val="005E3A1E"/>
    <w:rsid w:val="005E3A2E"/>
    <w:rsid w:val="005E3A50"/>
    <w:rsid w:val="005E3AB0"/>
    <w:rsid w:val="005E3AB4"/>
    <w:rsid w:val="005E3BD6"/>
    <w:rsid w:val="005E3C0B"/>
    <w:rsid w:val="005E3C63"/>
    <w:rsid w:val="005E3C65"/>
    <w:rsid w:val="005E3CC7"/>
    <w:rsid w:val="005E3D14"/>
    <w:rsid w:val="005E3D1B"/>
    <w:rsid w:val="005E3D31"/>
    <w:rsid w:val="005E3D58"/>
    <w:rsid w:val="005E3DA5"/>
    <w:rsid w:val="005E3E1C"/>
    <w:rsid w:val="005E3E28"/>
    <w:rsid w:val="005E3E38"/>
    <w:rsid w:val="005E3E5B"/>
    <w:rsid w:val="005E3E60"/>
    <w:rsid w:val="005E3EC1"/>
    <w:rsid w:val="005E3ED5"/>
    <w:rsid w:val="005E3EDA"/>
    <w:rsid w:val="005E3F4C"/>
    <w:rsid w:val="005E3F98"/>
    <w:rsid w:val="005E401B"/>
    <w:rsid w:val="005E404C"/>
    <w:rsid w:val="005E4058"/>
    <w:rsid w:val="005E40D2"/>
    <w:rsid w:val="005E40F8"/>
    <w:rsid w:val="005E411A"/>
    <w:rsid w:val="005E4151"/>
    <w:rsid w:val="005E4215"/>
    <w:rsid w:val="005E421F"/>
    <w:rsid w:val="005E422D"/>
    <w:rsid w:val="005E4409"/>
    <w:rsid w:val="005E4442"/>
    <w:rsid w:val="005E4458"/>
    <w:rsid w:val="005E4466"/>
    <w:rsid w:val="005E4470"/>
    <w:rsid w:val="005E448D"/>
    <w:rsid w:val="005E4503"/>
    <w:rsid w:val="005E451C"/>
    <w:rsid w:val="005E4554"/>
    <w:rsid w:val="005E45B9"/>
    <w:rsid w:val="005E45C6"/>
    <w:rsid w:val="005E45E1"/>
    <w:rsid w:val="005E45F0"/>
    <w:rsid w:val="005E45F6"/>
    <w:rsid w:val="005E4610"/>
    <w:rsid w:val="005E4649"/>
    <w:rsid w:val="005E4653"/>
    <w:rsid w:val="005E4657"/>
    <w:rsid w:val="005E465B"/>
    <w:rsid w:val="005E468F"/>
    <w:rsid w:val="005E46A1"/>
    <w:rsid w:val="005E46A9"/>
    <w:rsid w:val="005E46BA"/>
    <w:rsid w:val="005E47BB"/>
    <w:rsid w:val="005E47C1"/>
    <w:rsid w:val="005E4813"/>
    <w:rsid w:val="005E481B"/>
    <w:rsid w:val="005E4856"/>
    <w:rsid w:val="005E492C"/>
    <w:rsid w:val="005E4939"/>
    <w:rsid w:val="005E49B8"/>
    <w:rsid w:val="005E4A1B"/>
    <w:rsid w:val="005E4A6E"/>
    <w:rsid w:val="005E4AE4"/>
    <w:rsid w:val="005E4B3E"/>
    <w:rsid w:val="005E4B4A"/>
    <w:rsid w:val="005E4B57"/>
    <w:rsid w:val="005E4B75"/>
    <w:rsid w:val="005E4C1C"/>
    <w:rsid w:val="005E4C39"/>
    <w:rsid w:val="005E4CC5"/>
    <w:rsid w:val="005E4D42"/>
    <w:rsid w:val="005E4D8A"/>
    <w:rsid w:val="005E4DCC"/>
    <w:rsid w:val="005E4DED"/>
    <w:rsid w:val="005E4E26"/>
    <w:rsid w:val="005E4E27"/>
    <w:rsid w:val="005E4E3B"/>
    <w:rsid w:val="005E4E4E"/>
    <w:rsid w:val="005E4FAA"/>
    <w:rsid w:val="005E4FCA"/>
    <w:rsid w:val="005E4FDB"/>
    <w:rsid w:val="005E4FDC"/>
    <w:rsid w:val="005E5103"/>
    <w:rsid w:val="005E513A"/>
    <w:rsid w:val="005E51DD"/>
    <w:rsid w:val="005E5218"/>
    <w:rsid w:val="005E524A"/>
    <w:rsid w:val="005E526F"/>
    <w:rsid w:val="005E529C"/>
    <w:rsid w:val="005E52E0"/>
    <w:rsid w:val="005E52FD"/>
    <w:rsid w:val="005E531B"/>
    <w:rsid w:val="005E5576"/>
    <w:rsid w:val="005E568F"/>
    <w:rsid w:val="005E56A5"/>
    <w:rsid w:val="005E56AE"/>
    <w:rsid w:val="005E56FF"/>
    <w:rsid w:val="005E57B8"/>
    <w:rsid w:val="005E57F7"/>
    <w:rsid w:val="005E5811"/>
    <w:rsid w:val="005E583F"/>
    <w:rsid w:val="005E586B"/>
    <w:rsid w:val="005E5905"/>
    <w:rsid w:val="005E5906"/>
    <w:rsid w:val="005E5907"/>
    <w:rsid w:val="005E5942"/>
    <w:rsid w:val="005E596C"/>
    <w:rsid w:val="005E5A06"/>
    <w:rsid w:val="005E5A63"/>
    <w:rsid w:val="005E5B76"/>
    <w:rsid w:val="005E5B9A"/>
    <w:rsid w:val="005E5BB1"/>
    <w:rsid w:val="005E5BB6"/>
    <w:rsid w:val="005E5C15"/>
    <w:rsid w:val="005E5C78"/>
    <w:rsid w:val="005E5CAB"/>
    <w:rsid w:val="005E5CF6"/>
    <w:rsid w:val="005E5D6E"/>
    <w:rsid w:val="005E5D90"/>
    <w:rsid w:val="005E5DDF"/>
    <w:rsid w:val="005E5DF9"/>
    <w:rsid w:val="005E5E1C"/>
    <w:rsid w:val="005E5E22"/>
    <w:rsid w:val="005E5E50"/>
    <w:rsid w:val="005E5E7B"/>
    <w:rsid w:val="005E5E8F"/>
    <w:rsid w:val="005E5EA7"/>
    <w:rsid w:val="005E5EED"/>
    <w:rsid w:val="005E5F04"/>
    <w:rsid w:val="005E5F13"/>
    <w:rsid w:val="005E5FC4"/>
    <w:rsid w:val="005E5FCE"/>
    <w:rsid w:val="005E5FDD"/>
    <w:rsid w:val="005E6004"/>
    <w:rsid w:val="005E6024"/>
    <w:rsid w:val="005E6028"/>
    <w:rsid w:val="005E6036"/>
    <w:rsid w:val="005E6096"/>
    <w:rsid w:val="005E60A3"/>
    <w:rsid w:val="005E60A7"/>
    <w:rsid w:val="005E60B1"/>
    <w:rsid w:val="005E60EB"/>
    <w:rsid w:val="005E617C"/>
    <w:rsid w:val="005E618C"/>
    <w:rsid w:val="005E621A"/>
    <w:rsid w:val="005E621F"/>
    <w:rsid w:val="005E6295"/>
    <w:rsid w:val="005E62CF"/>
    <w:rsid w:val="005E62D5"/>
    <w:rsid w:val="005E62E2"/>
    <w:rsid w:val="005E62E7"/>
    <w:rsid w:val="005E62F4"/>
    <w:rsid w:val="005E6382"/>
    <w:rsid w:val="005E6385"/>
    <w:rsid w:val="005E63C3"/>
    <w:rsid w:val="005E6423"/>
    <w:rsid w:val="005E643C"/>
    <w:rsid w:val="005E6460"/>
    <w:rsid w:val="005E649C"/>
    <w:rsid w:val="005E64B0"/>
    <w:rsid w:val="005E64C3"/>
    <w:rsid w:val="005E64DA"/>
    <w:rsid w:val="005E64F3"/>
    <w:rsid w:val="005E64FF"/>
    <w:rsid w:val="005E6563"/>
    <w:rsid w:val="005E65A3"/>
    <w:rsid w:val="005E6606"/>
    <w:rsid w:val="005E661C"/>
    <w:rsid w:val="005E6643"/>
    <w:rsid w:val="005E6660"/>
    <w:rsid w:val="005E66A3"/>
    <w:rsid w:val="005E6772"/>
    <w:rsid w:val="005E67B2"/>
    <w:rsid w:val="005E67C6"/>
    <w:rsid w:val="005E67D4"/>
    <w:rsid w:val="005E6863"/>
    <w:rsid w:val="005E689A"/>
    <w:rsid w:val="005E68DF"/>
    <w:rsid w:val="005E68F5"/>
    <w:rsid w:val="005E68FB"/>
    <w:rsid w:val="005E69D4"/>
    <w:rsid w:val="005E6A07"/>
    <w:rsid w:val="005E6A7E"/>
    <w:rsid w:val="005E6AA3"/>
    <w:rsid w:val="005E6B2D"/>
    <w:rsid w:val="005E6BC1"/>
    <w:rsid w:val="005E6C02"/>
    <w:rsid w:val="005E6CAC"/>
    <w:rsid w:val="005E6D8C"/>
    <w:rsid w:val="005E6E3B"/>
    <w:rsid w:val="005E6E4C"/>
    <w:rsid w:val="005E6E92"/>
    <w:rsid w:val="005E6EA3"/>
    <w:rsid w:val="005E6EA5"/>
    <w:rsid w:val="005E6F14"/>
    <w:rsid w:val="005E7010"/>
    <w:rsid w:val="005E701E"/>
    <w:rsid w:val="005E705F"/>
    <w:rsid w:val="005E70C3"/>
    <w:rsid w:val="005E7111"/>
    <w:rsid w:val="005E7122"/>
    <w:rsid w:val="005E712A"/>
    <w:rsid w:val="005E715D"/>
    <w:rsid w:val="005E71E5"/>
    <w:rsid w:val="005E7209"/>
    <w:rsid w:val="005E7234"/>
    <w:rsid w:val="005E7290"/>
    <w:rsid w:val="005E7300"/>
    <w:rsid w:val="005E7317"/>
    <w:rsid w:val="005E731D"/>
    <w:rsid w:val="005E7324"/>
    <w:rsid w:val="005E736D"/>
    <w:rsid w:val="005E73B5"/>
    <w:rsid w:val="005E73D7"/>
    <w:rsid w:val="005E7416"/>
    <w:rsid w:val="005E743F"/>
    <w:rsid w:val="005E746C"/>
    <w:rsid w:val="005E748B"/>
    <w:rsid w:val="005E74DB"/>
    <w:rsid w:val="005E7500"/>
    <w:rsid w:val="005E7560"/>
    <w:rsid w:val="005E759A"/>
    <w:rsid w:val="005E75AE"/>
    <w:rsid w:val="005E76ED"/>
    <w:rsid w:val="005E76EE"/>
    <w:rsid w:val="005E772C"/>
    <w:rsid w:val="005E7782"/>
    <w:rsid w:val="005E77AA"/>
    <w:rsid w:val="005E78AF"/>
    <w:rsid w:val="005E78F8"/>
    <w:rsid w:val="005E7943"/>
    <w:rsid w:val="005E79AA"/>
    <w:rsid w:val="005E7A9A"/>
    <w:rsid w:val="005E7AA2"/>
    <w:rsid w:val="005E7B4A"/>
    <w:rsid w:val="005E7B71"/>
    <w:rsid w:val="005E7B88"/>
    <w:rsid w:val="005E7B92"/>
    <w:rsid w:val="005E7BA5"/>
    <w:rsid w:val="005E7BA9"/>
    <w:rsid w:val="005E7BBF"/>
    <w:rsid w:val="005E7BD6"/>
    <w:rsid w:val="005E7BF3"/>
    <w:rsid w:val="005E7C49"/>
    <w:rsid w:val="005E7C82"/>
    <w:rsid w:val="005E7C8B"/>
    <w:rsid w:val="005E7CC7"/>
    <w:rsid w:val="005E7CD8"/>
    <w:rsid w:val="005E7CF7"/>
    <w:rsid w:val="005E7D5F"/>
    <w:rsid w:val="005E7E21"/>
    <w:rsid w:val="005E7E71"/>
    <w:rsid w:val="005E7E7A"/>
    <w:rsid w:val="005E7E9E"/>
    <w:rsid w:val="005E7EA2"/>
    <w:rsid w:val="005E7EE1"/>
    <w:rsid w:val="005E7F65"/>
    <w:rsid w:val="005E7FA4"/>
    <w:rsid w:val="005F002F"/>
    <w:rsid w:val="005F011C"/>
    <w:rsid w:val="005F0143"/>
    <w:rsid w:val="005F01A2"/>
    <w:rsid w:val="005F01FC"/>
    <w:rsid w:val="005F02D2"/>
    <w:rsid w:val="005F037E"/>
    <w:rsid w:val="005F039D"/>
    <w:rsid w:val="005F03A5"/>
    <w:rsid w:val="005F052E"/>
    <w:rsid w:val="005F0530"/>
    <w:rsid w:val="005F056B"/>
    <w:rsid w:val="005F05AF"/>
    <w:rsid w:val="005F060F"/>
    <w:rsid w:val="005F0624"/>
    <w:rsid w:val="005F0662"/>
    <w:rsid w:val="005F06FA"/>
    <w:rsid w:val="005F0793"/>
    <w:rsid w:val="005F07A7"/>
    <w:rsid w:val="005F07B7"/>
    <w:rsid w:val="005F07CE"/>
    <w:rsid w:val="005F07F6"/>
    <w:rsid w:val="005F085A"/>
    <w:rsid w:val="005F08AB"/>
    <w:rsid w:val="005F08C2"/>
    <w:rsid w:val="005F0937"/>
    <w:rsid w:val="005F0992"/>
    <w:rsid w:val="005F09A4"/>
    <w:rsid w:val="005F09AF"/>
    <w:rsid w:val="005F09CD"/>
    <w:rsid w:val="005F0A0A"/>
    <w:rsid w:val="005F0A1C"/>
    <w:rsid w:val="005F0AA8"/>
    <w:rsid w:val="005F0B4B"/>
    <w:rsid w:val="005F0C0A"/>
    <w:rsid w:val="005F0C6B"/>
    <w:rsid w:val="005F0C9F"/>
    <w:rsid w:val="005F0D30"/>
    <w:rsid w:val="005F0D35"/>
    <w:rsid w:val="005F0DDF"/>
    <w:rsid w:val="005F0E43"/>
    <w:rsid w:val="005F0E83"/>
    <w:rsid w:val="005F0EB9"/>
    <w:rsid w:val="005F0F2A"/>
    <w:rsid w:val="005F0F63"/>
    <w:rsid w:val="005F0FC3"/>
    <w:rsid w:val="005F0FFF"/>
    <w:rsid w:val="005F106F"/>
    <w:rsid w:val="005F10FE"/>
    <w:rsid w:val="005F1149"/>
    <w:rsid w:val="005F115D"/>
    <w:rsid w:val="005F117A"/>
    <w:rsid w:val="005F1255"/>
    <w:rsid w:val="005F12C2"/>
    <w:rsid w:val="005F12E5"/>
    <w:rsid w:val="005F12EF"/>
    <w:rsid w:val="005F12FA"/>
    <w:rsid w:val="005F12FC"/>
    <w:rsid w:val="005F1325"/>
    <w:rsid w:val="005F138B"/>
    <w:rsid w:val="005F1403"/>
    <w:rsid w:val="005F1463"/>
    <w:rsid w:val="005F1473"/>
    <w:rsid w:val="005F1482"/>
    <w:rsid w:val="005F1491"/>
    <w:rsid w:val="005F14C5"/>
    <w:rsid w:val="005F14E6"/>
    <w:rsid w:val="005F150A"/>
    <w:rsid w:val="005F1564"/>
    <w:rsid w:val="005F16A2"/>
    <w:rsid w:val="005F1713"/>
    <w:rsid w:val="005F1767"/>
    <w:rsid w:val="005F17AD"/>
    <w:rsid w:val="005F1810"/>
    <w:rsid w:val="005F18EF"/>
    <w:rsid w:val="005F1960"/>
    <w:rsid w:val="005F1A3E"/>
    <w:rsid w:val="005F1A44"/>
    <w:rsid w:val="005F1A47"/>
    <w:rsid w:val="005F1A4C"/>
    <w:rsid w:val="005F1A81"/>
    <w:rsid w:val="005F1A87"/>
    <w:rsid w:val="005F1B10"/>
    <w:rsid w:val="005F1B16"/>
    <w:rsid w:val="005F1BB3"/>
    <w:rsid w:val="005F1BF7"/>
    <w:rsid w:val="005F1BFA"/>
    <w:rsid w:val="005F1C23"/>
    <w:rsid w:val="005F1C4C"/>
    <w:rsid w:val="005F1D6D"/>
    <w:rsid w:val="005F1D82"/>
    <w:rsid w:val="005F1DFF"/>
    <w:rsid w:val="005F1F2E"/>
    <w:rsid w:val="005F1FE5"/>
    <w:rsid w:val="005F1FEC"/>
    <w:rsid w:val="005F206A"/>
    <w:rsid w:val="005F20BA"/>
    <w:rsid w:val="005F2184"/>
    <w:rsid w:val="005F2187"/>
    <w:rsid w:val="005F21A6"/>
    <w:rsid w:val="005F21BA"/>
    <w:rsid w:val="005F2243"/>
    <w:rsid w:val="005F2284"/>
    <w:rsid w:val="005F2298"/>
    <w:rsid w:val="005F22D5"/>
    <w:rsid w:val="005F22E0"/>
    <w:rsid w:val="005F2362"/>
    <w:rsid w:val="005F23A2"/>
    <w:rsid w:val="005F23CC"/>
    <w:rsid w:val="005F2404"/>
    <w:rsid w:val="005F2435"/>
    <w:rsid w:val="005F2461"/>
    <w:rsid w:val="005F2498"/>
    <w:rsid w:val="005F24C4"/>
    <w:rsid w:val="005F2577"/>
    <w:rsid w:val="005F25CD"/>
    <w:rsid w:val="005F2626"/>
    <w:rsid w:val="005F263D"/>
    <w:rsid w:val="005F2668"/>
    <w:rsid w:val="005F269E"/>
    <w:rsid w:val="005F26AD"/>
    <w:rsid w:val="005F26AE"/>
    <w:rsid w:val="005F26CB"/>
    <w:rsid w:val="005F26CC"/>
    <w:rsid w:val="005F274E"/>
    <w:rsid w:val="005F27C1"/>
    <w:rsid w:val="005F27E2"/>
    <w:rsid w:val="005F27F7"/>
    <w:rsid w:val="005F2800"/>
    <w:rsid w:val="005F281D"/>
    <w:rsid w:val="005F2869"/>
    <w:rsid w:val="005F28A9"/>
    <w:rsid w:val="005F28C6"/>
    <w:rsid w:val="005F28F7"/>
    <w:rsid w:val="005F2A37"/>
    <w:rsid w:val="005F2A67"/>
    <w:rsid w:val="005F2AA8"/>
    <w:rsid w:val="005F2AD9"/>
    <w:rsid w:val="005F2AEB"/>
    <w:rsid w:val="005F2B16"/>
    <w:rsid w:val="005F2BE6"/>
    <w:rsid w:val="005F2BF7"/>
    <w:rsid w:val="005F2C73"/>
    <w:rsid w:val="005F2C89"/>
    <w:rsid w:val="005F2C98"/>
    <w:rsid w:val="005F2CFB"/>
    <w:rsid w:val="005F2D1F"/>
    <w:rsid w:val="005F2D22"/>
    <w:rsid w:val="005F2E2D"/>
    <w:rsid w:val="005F2E45"/>
    <w:rsid w:val="005F2E6E"/>
    <w:rsid w:val="005F2E7F"/>
    <w:rsid w:val="005F2EA6"/>
    <w:rsid w:val="005F2EF3"/>
    <w:rsid w:val="005F2F1E"/>
    <w:rsid w:val="005F2F27"/>
    <w:rsid w:val="005F2F28"/>
    <w:rsid w:val="005F2F52"/>
    <w:rsid w:val="005F30C3"/>
    <w:rsid w:val="005F3106"/>
    <w:rsid w:val="005F3124"/>
    <w:rsid w:val="005F3133"/>
    <w:rsid w:val="005F3163"/>
    <w:rsid w:val="005F3187"/>
    <w:rsid w:val="005F319D"/>
    <w:rsid w:val="005F3252"/>
    <w:rsid w:val="005F3259"/>
    <w:rsid w:val="005F32F2"/>
    <w:rsid w:val="005F333D"/>
    <w:rsid w:val="005F3351"/>
    <w:rsid w:val="005F3358"/>
    <w:rsid w:val="005F3380"/>
    <w:rsid w:val="005F339A"/>
    <w:rsid w:val="005F33F9"/>
    <w:rsid w:val="005F3445"/>
    <w:rsid w:val="005F348F"/>
    <w:rsid w:val="005F354F"/>
    <w:rsid w:val="005F35E6"/>
    <w:rsid w:val="005F3610"/>
    <w:rsid w:val="005F3625"/>
    <w:rsid w:val="005F3669"/>
    <w:rsid w:val="005F36B0"/>
    <w:rsid w:val="005F36D8"/>
    <w:rsid w:val="005F371C"/>
    <w:rsid w:val="005F3726"/>
    <w:rsid w:val="005F3733"/>
    <w:rsid w:val="005F3742"/>
    <w:rsid w:val="005F374B"/>
    <w:rsid w:val="005F3751"/>
    <w:rsid w:val="005F379C"/>
    <w:rsid w:val="005F3858"/>
    <w:rsid w:val="005F389C"/>
    <w:rsid w:val="005F38F4"/>
    <w:rsid w:val="005F39A9"/>
    <w:rsid w:val="005F39C8"/>
    <w:rsid w:val="005F39EC"/>
    <w:rsid w:val="005F3A3C"/>
    <w:rsid w:val="005F3A50"/>
    <w:rsid w:val="005F3A72"/>
    <w:rsid w:val="005F3B66"/>
    <w:rsid w:val="005F3C11"/>
    <w:rsid w:val="005F3C58"/>
    <w:rsid w:val="005F3C94"/>
    <w:rsid w:val="005F3CAF"/>
    <w:rsid w:val="005F3CE8"/>
    <w:rsid w:val="005F3D1C"/>
    <w:rsid w:val="005F3D79"/>
    <w:rsid w:val="005F3D7A"/>
    <w:rsid w:val="005F3E15"/>
    <w:rsid w:val="005F3E16"/>
    <w:rsid w:val="005F3E31"/>
    <w:rsid w:val="005F3E3E"/>
    <w:rsid w:val="005F3F1B"/>
    <w:rsid w:val="005F3FCD"/>
    <w:rsid w:val="005F4062"/>
    <w:rsid w:val="005F40F0"/>
    <w:rsid w:val="005F4124"/>
    <w:rsid w:val="005F412B"/>
    <w:rsid w:val="005F4155"/>
    <w:rsid w:val="005F41B5"/>
    <w:rsid w:val="005F41BA"/>
    <w:rsid w:val="005F41C6"/>
    <w:rsid w:val="005F4204"/>
    <w:rsid w:val="005F42DA"/>
    <w:rsid w:val="005F4308"/>
    <w:rsid w:val="005F430C"/>
    <w:rsid w:val="005F4379"/>
    <w:rsid w:val="005F442C"/>
    <w:rsid w:val="005F4470"/>
    <w:rsid w:val="005F44A9"/>
    <w:rsid w:val="005F44E0"/>
    <w:rsid w:val="005F4550"/>
    <w:rsid w:val="005F4614"/>
    <w:rsid w:val="005F46AC"/>
    <w:rsid w:val="005F46D8"/>
    <w:rsid w:val="005F46E8"/>
    <w:rsid w:val="005F47D8"/>
    <w:rsid w:val="005F48D9"/>
    <w:rsid w:val="005F4969"/>
    <w:rsid w:val="005F4976"/>
    <w:rsid w:val="005F49B8"/>
    <w:rsid w:val="005F4A2F"/>
    <w:rsid w:val="005F4AF3"/>
    <w:rsid w:val="005F4B15"/>
    <w:rsid w:val="005F4B86"/>
    <w:rsid w:val="005F4BA7"/>
    <w:rsid w:val="005F4C45"/>
    <w:rsid w:val="005F4C70"/>
    <w:rsid w:val="005F4C7B"/>
    <w:rsid w:val="005F4CE5"/>
    <w:rsid w:val="005F4DB0"/>
    <w:rsid w:val="005F4DB2"/>
    <w:rsid w:val="005F4DBA"/>
    <w:rsid w:val="005F4E7F"/>
    <w:rsid w:val="005F4E83"/>
    <w:rsid w:val="005F4EAB"/>
    <w:rsid w:val="005F4EC3"/>
    <w:rsid w:val="005F4F4A"/>
    <w:rsid w:val="005F4FB1"/>
    <w:rsid w:val="005F4FBF"/>
    <w:rsid w:val="005F4FC4"/>
    <w:rsid w:val="005F4FE8"/>
    <w:rsid w:val="005F504F"/>
    <w:rsid w:val="005F5085"/>
    <w:rsid w:val="005F50B6"/>
    <w:rsid w:val="005F510B"/>
    <w:rsid w:val="005F514E"/>
    <w:rsid w:val="005F5159"/>
    <w:rsid w:val="005F522C"/>
    <w:rsid w:val="005F5287"/>
    <w:rsid w:val="005F52D7"/>
    <w:rsid w:val="005F5328"/>
    <w:rsid w:val="005F5361"/>
    <w:rsid w:val="005F5370"/>
    <w:rsid w:val="005F53A8"/>
    <w:rsid w:val="005F5437"/>
    <w:rsid w:val="005F544A"/>
    <w:rsid w:val="005F54C0"/>
    <w:rsid w:val="005F555C"/>
    <w:rsid w:val="005F5569"/>
    <w:rsid w:val="005F557B"/>
    <w:rsid w:val="005F55B0"/>
    <w:rsid w:val="005F5690"/>
    <w:rsid w:val="005F5718"/>
    <w:rsid w:val="005F5728"/>
    <w:rsid w:val="005F57A8"/>
    <w:rsid w:val="005F57C4"/>
    <w:rsid w:val="005F583A"/>
    <w:rsid w:val="005F5874"/>
    <w:rsid w:val="005F5888"/>
    <w:rsid w:val="005F58F7"/>
    <w:rsid w:val="005F58FA"/>
    <w:rsid w:val="005F59EC"/>
    <w:rsid w:val="005F5A0F"/>
    <w:rsid w:val="005F5A45"/>
    <w:rsid w:val="005F5AAD"/>
    <w:rsid w:val="005F5AB0"/>
    <w:rsid w:val="005F5ADF"/>
    <w:rsid w:val="005F5B31"/>
    <w:rsid w:val="005F5B6E"/>
    <w:rsid w:val="005F5B7D"/>
    <w:rsid w:val="005F5BAD"/>
    <w:rsid w:val="005F5C28"/>
    <w:rsid w:val="005F5C31"/>
    <w:rsid w:val="005F5CBE"/>
    <w:rsid w:val="005F5CC1"/>
    <w:rsid w:val="005F5D11"/>
    <w:rsid w:val="005F5D14"/>
    <w:rsid w:val="005F5D79"/>
    <w:rsid w:val="005F5DBE"/>
    <w:rsid w:val="005F5E05"/>
    <w:rsid w:val="005F5E98"/>
    <w:rsid w:val="005F5EE2"/>
    <w:rsid w:val="005F5EFA"/>
    <w:rsid w:val="005F5F97"/>
    <w:rsid w:val="005F5FBB"/>
    <w:rsid w:val="005F5FCC"/>
    <w:rsid w:val="005F6043"/>
    <w:rsid w:val="005F612E"/>
    <w:rsid w:val="005F61EE"/>
    <w:rsid w:val="005F61F1"/>
    <w:rsid w:val="005F6239"/>
    <w:rsid w:val="005F6265"/>
    <w:rsid w:val="005F628D"/>
    <w:rsid w:val="005F62EC"/>
    <w:rsid w:val="005F637C"/>
    <w:rsid w:val="005F6389"/>
    <w:rsid w:val="005F63A1"/>
    <w:rsid w:val="005F63CE"/>
    <w:rsid w:val="005F644A"/>
    <w:rsid w:val="005F6481"/>
    <w:rsid w:val="005F6496"/>
    <w:rsid w:val="005F6582"/>
    <w:rsid w:val="005F65AC"/>
    <w:rsid w:val="005F6602"/>
    <w:rsid w:val="005F660E"/>
    <w:rsid w:val="005F662F"/>
    <w:rsid w:val="005F665D"/>
    <w:rsid w:val="005F66D1"/>
    <w:rsid w:val="005F66D4"/>
    <w:rsid w:val="005F6728"/>
    <w:rsid w:val="005F6779"/>
    <w:rsid w:val="005F678D"/>
    <w:rsid w:val="005F6806"/>
    <w:rsid w:val="005F688E"/>
    <w:rsid w:val="005F68DC"/>
    <w:rsid w:val="005F6945"/>
    <w:rsid w:val="005F6A6B"/>
    <w:rsid w:val="005F6A6C"/>
    <w:rsid w:val="005F6A8C"/>
    <w:rsid w:val="005F6A97"/>
    <w:rsid w:val="005F6AC5"/>
    <w:rsid w:val="005F6AD9"/>
    <w:rsid w:val="005F6BC1"/>
    <w:rsid w:val="005F6C06"/>
    <w:rsid w:val="005F6C37"/>
    <w:rsid w:val="005F6CED"/>
    <w:rsid w:val="005F6D02"/>
    <w:rsid w:val="005F6D68"/>
    <w:rsid w:val="005F6D91"/>
    <w:rsid w:val="005F6DB6"/>
    <w:rsid w:val="005F6DB9"/>
    <w:rsid w:val="005F6E27"/>
    <w:rsid w:val="005F6EB2"/>
    <w:rsid w:val="005F6ECC"/>
    <w:rsid w:val="005F6EEC"/>
    <w:rsid w:val="005F6F08"/>
    <w:rsid w:val="005F6F7A"/>
    <w:rsid w:val="005F6FB8"/>
    <w:rsid w:val="005F6FCB"/>
    <w:rsid w:val="005F700D"/>
    <w:rsid w:val="005F7037"/>
    <w:rsid w:val="005F7050"/>
    <w:rsid w:val="005F709F"/>
    <w:rsid w:val="005F70A0"/>
    <w:rsid w:val="005F70C8"/>
    <w:rsid w:val="005F70E5"/>
    <w:rsid w:val="005F7131"/>
    <w:rsid w:val="005F7145"/>
    <w:rsid w:val="005F7151"/>
    <w:rsid w:val="005F715B"/>
    <w:rsid w:val="005F71BA"/>
    <w:rsid w:val="005F7325"/>
    <w:rsid w:val="005F7402"/>
    <w:rsid w:val="005F7445"/>
    <w:rsid w:val="005F745E"/>
    <w:rsid w:val="005F7467"/>
    <w:rsid w:val="005F7480"/>
    <w:rsid w:val="005F7485"/>
    <w:rsid w:val="005F74AB"/>
    <w:rsid w:val="005F750E"/>
    <w:rsid w:val="005F7538"/>
    <w:rsid w:val="005F75C6"/>
    <w:rsid w:val="005F7698"/>
    <w:rsid w:val="005F7735"/>
    <w:rsid w:val="005F77CC"/>
    <w:rsid w:val="005F78D0"/>
    <w:rsid w:val="005F7915"/>
    <w:rsid w:val="005F7988"/>
    <w:rsid w:val="005F798A"/>
    <w:rsid w:val="005F7A07"/>
    <w:rsid w:val="005F7A10"/>
    <w:rsid w:val="005F7B04"/>
    <w:rsid w:val="005F7B2C"/>
    <w:rsid w:val="005F7BA5"/>
    <w:rsid w:val="005F7C49"/>
    <w:rsid w:val="005F7C9A"/>
    <w:rsid w:val="005F7CD7"/>
    <w:rsid w:val="005F7CEE"/>
    <w:rsid w:val="005F7D8A"/>
    <w:rsid w:val="005F7D94"/>
    <w:rsid w:val="005F7E73"/>
    <w:rsid w:val="005F7E7B"/>
    <w:rsid w:val="005F7E9B"/>
    <w:rsid w:val="005F7F38"/>
    <w:rsid w:val="005F7F89"/>
    <w:rsid w:val="005F7FCF"/>
    <w:rsid w:val="00600072"/>
    <w:rsid w:val="006001A1"/>
    <w:rsid w:val="00600225"/>
    <w:rsid w:val="00600264"/>
    <w:rsid w:val="0060027D"/>
    <w:rsid w:val="00600290"/>
    <w:rsid w:val="006002BB"/>
    <w:rsid w:val="006002D4"/>
    <w:rsid w:val="006002DF"/>
    <w:rsid w:val="00600331"/>
    <w:rsid w:val="0060033F"/>
    <w:rsid w:val="00600366"/>
    <w:rsid w:val="00600396"/>
    <w:rsid w:val="00600413"/>
    <w:rsid w:val="00600427"/>
    <w:rsid w:val="0060043C"/>
    <w:rsid w:val="00600444"/>
    <w:rsid w:val="00600464"/>
    <w:rsid w:val="006004B9"/>
    <w:rsid w:val="006004C2"/>
    <w:rsid w:val="0060052A"/>
    <w:rsid w:val="00600550"/>
    <w:rsid w:val="00600580"/>
    <w:rsid w:val="00600583"/>
    <w:rsid w:val="006005B9"/>
    <w:rsid w:val="00600670"/>
    <w:rsid w:val="0060067D"/>
    <w:rsid w:val="006006F4"/>
    <w:rsid w:val="00600713"/>
    <w:rsid w:val="0060073D"/>
    <w:rsid w:val="00600741"/>
    <w:rsid w:val="00600775"/>
    <w:rsid w:val="0060077F"/>
    <w:rsid w:val="0060078D"/>
    <w:rsid w:val="006007A6"/>
    <w:rsid w:val="00600860"/>
    <w:rsid w:val="00600890"/>
    <w:rsid w:val="00600896"/>
    <w:rsid w:val="006008AD"/>
    <w:rsid w:val="006008CC"/>
    <w:rsid w:val="006008EE"/>
    <w:rsid w:val="006009E4"/>
    <w:rsid w:val="006009F4"/>
    <w:rsid w:val="00600A17"/>
    <w:rsid w:val="00600A86"/>
    <w:rsid w:val="00600B18"/>
    <w:rsid w:val="00600B7F"/>
    <w:rsid w:val="00600BD4"/>
    <w:rsid w:val="00600BEB"/>
    <w:rsid w:val="00600C04"/>
    <w:rsid w:val="00600C12"/>
    <w:rsid w:val="00600C24"/>
    <w:rsid w:val="00600DBE"/>
    <w:rsid w:val="00600DE3"/>
    <w:rsid w:val="00600E62"/>
    <w:rsid w:val="00600E78"/>
    <w:rsid w:val="00600E98"/>
    <w:rsid w:val="00600F1A"/>
    <w:rsid w:val="00600F1B"/>
    <w:rsid w:val="00600F4F"/>
    <w:rsid w:val="00600F87"/>
    <w:rsid w:val="00601033"/>
    <w:rsid w:val="00601048"/>
    <w:rsid w:val="006010C4"/>
    <w:rsid w:val="0060110E"/>
    <w:rsid w:val="00601110"/>
    <w:rsid w:val="0060112F"/>
    <w:rsid w:val="006011B3"/>
    <w:rsid w:val="006011CB"/>
    <w:rsid w:val="006011F5"/>
    <w:rsid w:val="0060120E"/>
    <w:rsid w:val="0060122C"/>
    <w:rsid w:val="0060124E"/>
    <w:rsid w:val="00601284"/>
    <w:rsid w:val="00601306"/>
    <w:rsid w:val="0060131C"/>
    <w:rsid w:val="00601321"/>
    <w:rsid w:val="00601366"/>
    <w:rsid w:val="00601389"/>
    <w:rsid w:val="0060138D"/>
    <w:rsid w:val="00601399"/>
    <w:rsid w:val="006013BD"/>
    <w:rsid w:val="006013C1"/>
    <w:rsid w:val="00601406"/>
    <w:rsid w:val="00601420"/>
    <w:rsid w:val="0060146C"/>
    <w:rsid w:val="006014F9"/>
    <w:rsid w:val="006015BD"/>
    <w:rsid w:val="006015C9"/>
    <w:rsid w:val="00601614"/>
    <w:rsid w:val="00601627"/>
    <w:rsid w:val="00601636"/>
    <w:rsid w:val="00601681"/>
    <w:rsid w:val="00601685"/>
    <w:rsid w:val="00601730"/>
    <w:rsid w:val="00601782"/>
    <w:rsid w:val="00601788"/>
    <w:rsid w:val="006017B6"/>
    <w:rsid w:val="006017BD"/>
    <w:rsid w:val="006017FE"/>
    <w:rsid w:val="00601835"/>
    <w:rsid w:val="00601852"/>
    <w:rsid w:val="00601887"/>
    <w:rsid w:val="006018B8"/>
    <w:rsid w:val="006018F1"/>
    <w:rsid w:val="00601904"/>
    <w:rsid w:val="00601918"/>
    <w:rsid w:val="00601964"/>
    <w:rsid w:val="006019BD"/>
    <w:rsid w:val="00601A43"/>
    <w:rsid w:val="00601AE3"/>
    <w:rsid w:val="00601AE9"/>
    <w:rsid w:val="00601AFF"/>
    <w:rsid w:val="00601B36"/>
    <w:rsid w:val="00601B54"/>
    <w:rsid w:val="00601B6F"/>
    <w:rsid w:val="00601C28"/>
    <w:rsid w:val="00601C50"/>
    <w:rsid w:val="00601C85"/>
    <w:rsid w:val="00601C86"/>
    <w:rsid w:val="00601C90"/>
    <w:rsid w:val="00601CB8"/>
    <w:rsid w:val="00601D19"/>
    <w:rsid w:val="00601D9D"/>
    <w:rsid w:val="00601DB8"/>
    <w:rsid w:val="00601E09"/>
    <w:rsid w:val="00601E73"/>
    <w:rsid w:val="00601F03"/>
    <w:rsid w:val="00601F32"/>
    <w:rsid w:val="00601F3D"/>
    <w:rsid w:val="00601F99"/>
    <w:rsid w:val="00601F9F"/>
    <w:rsid w:val="0060200B"/>
    <w:rsid w:val="0060200D"/>
    <w:rsid w:val="0060205B"/>
    <w:rsid w:val="00602088"/>
    <w:rsid w:val="006020BE"/>
    <w:rsid w:val="00602155"/>
    <w:rsid w:val="00602157"/>
    <w:rsid w:val="0060219B"/>
    <w:rsid w:val="00602303"/>
    <w:rsid w:val="00602319"/>
    <w:rsid w:val="00602397"/>
    <w:rsid w:val="006023A3"/>
    <w:rsid w:val="006023BA"/>
    <w:rsid w:val="006023DA"/>
    <w:rsid w:val="00602500"/>
    <w:rsid w:val="00602523"/>
    <w:rsid w:val="006025BE"/>
    <w:rsid w:val="00602621"/>
    <w:rsid w:val="00602636"/>
    <w:rsid w:val="00602640"/>
    <w:rsid w:val="0060265F"/>
    <w:rsid w:val="00602675"/>
    <w:rsid w:val="00602683"/>
    <w:rsid w:val="00602723"/>
    <w:rsid w:val="00602753"/>
    <w:rsid w:val="00602760"/>
    <w:rsid w:val="0060282F"/>
    <w:rsid w:val="00602878"/>
    <w:rsid w:val="006028A6"/>
    <w:rsid w:val="00602957"/>
    <w:rsid w:val="006029B9"/>
    <w:rsid w:val="006029CD"/>
    <w:rsid w:val="006029CE"/>
    <w:rsid w:val="00602A19"/>
    <w:rsid w:val="00602A9B"/>
    <w:rsid w:val="00602B56"/>
    <w:rsid w:val="00602C62"/>
    <w:rsid w:val="00602CD1"/>
    <w:rsid w:val="00602CDE"/>
    <w:rsid w:val="00602D29"/>
    <w:rsid w:val="00602D47"/>
    <w:rsid w:val="00602E2E"/>
    <w:rsid w:val="00602E5E"/>
    <w:rsid w:val="00602EB8"/>
    <w:rsid w:val="00602F02"/>
    <w:rsid w:val="00602F2C"/>
    <w:rsid w:val="00602F41"/>
    <w:rsid w:val="00602FA6"/>
    <w:rsid w:val="00602FC0"/>
    <w:rsid w:val="00603006"/>
    <w:rsid w:val="00603039"/>
    <w:rsid w:val="0060305D"/>
    <w:rsid w:val="00603064"/>
    <w:rsid w:val="00603082"/>
    <w:rsid w:val="006030C9"/>
    <w:rsid w:val="006030EA"/>
    <w:rsid w:val="00603101"/>
    <w:rsid w:val="0060315F"/>
    <w:rsid w:val="00603180"/>
    <w:rsid w:val="006031E1"/>
    <w:rsid w:val="00603222"/>
    <w:rsid w:val="00603226"/>
    <w:rsid w:val="00603277"/>
    <w:rsid w:val="006032B6"/>
    <w:rsid w:val="00603321"/>
    <w:rsid w:val="0060336D"/>
    <w:rsid w:val="0060336E"/>
    <w:rsid w:val="0060337C"/>
    <w:rsid w:val="00603381"/>
    <w:rsid w:val="006033E7"/>
    <w:rsid w:val="00603402"/>
    <w:rsid w:val="00603442"/>
    <w:rsid w:val="0060349F"/>
    <w:rsid w:val="006035A5"/>
    <w:rsid w:val="006035AB"/>
    <w:rsid w:val="006035F7"/>
    <w:rsid w:val="0060360F"/>
    <w:rsid w:val="0060363D"/>
    <w:rsid w:val="0060365F"/>
    <w:rsid w:val="00603674"/>
    <w:rsid w:val="006036C8"/>
    <w:rsid w:val="006036F8"/>
    <w:rsid w:val="006037C1"/>
    <w:rsid w:val="00603807"/>
    <w:rsid w:val="0060382A"/>
    <w:rsid w:val="0060385B"/>
    <w:rsid w:val="006038E3"/>
    <w:rsid w:val="0060395F"/>
    <w:rsid w:val="00603960"/>
    <w:rsid w:val="0060396E"/>
    <w:rsid w:val="00603993"/>
    <w:rsid w:val="006039D5"/>
    <w:rsid w:val="00603A61"/>
    <w:rsid w:val="00603A7E"/>
    <w:rsid w:val="00603A93"/>
    <w:rsid w:val="00603B1E"/>
    <w:rsid w:val="00603BAF"/>
    <w:rsid w:val="00603BC8"/>
    <w:rsid w:val="00603BD2"/>
    <w:rsid w:val="00603BDD"/>
    <w:rsid w:val="00603BEA"/>
    <w:rsid w:val="00603BF5"/>
    <w:rsid w:val="00603C7C"/>
    <w:rsid w:val="00603C92"/>
    <w:rsid w:val="00603CC9"/>
    <w:rsid w:val="00603CE3"/>
    <w:rsid w:val="00603DCC"/>
    <w:rsid w:val="00603DCE"/>
    <w:rsid w:val="00603DEF"/>
    <w:rsid w:val="00603E30"/>
    <w:rsid w:val="00603E70"/>
    <w:rsid w:val="00603EBF"/>
    <w:rsid w:val="00603FFC"/>
    <w:rsid w:val="00604123"/>
    <w:rsid w:val="00604124"/>
    <w:rsid w:val="00604179"/>
    <w:rsid w:val="006041A2"/>
    <w:rsid w:val="006041FD"/>
    <w:rsid w:val="00604214"/>
    <w:rsid w:val="006042E1"/>
    <w:rsid w:val="006042EC"/>
    <w:rsid w:val="0060433A"/>
    <w:rsid w:val="0060434A"/>
    <w:rsid w:val="0060435A"/>
    <w:rsid w:val="00604369"/>
    <w:rsid w:val="006043F8"/>
    <w:rsid w:val="006043FE"/>
    <w:rsid w:val="00604407"/>
    <w:rsid w:val="0060442E"/>
    <w:rsid w:val="00604475"/>
    <w:rsid w:val="006044AD"/>
    <w:rsid w:val="006044D6"/>
    <w:rsid w:val="006044F0"/>
    <w:rsid w:val="006044FA"/>
    <w:rsid w:val="00604532"/>
    <w:rsid w:val="006045D6"/>
    <w:rsid w:val="006045E7"/>
    <w:rsid w:val="006047CA"/>
    <w:rsid w:val="006047D0"/>
    <w:rsid w:val="006047D7"/>
    <w:rsid w:val="00604812"/>
    <w:rsid w:val="0060482A"/>
    <w:rsid w:val="00604831"/>
    <w:rsid w:val="00604836"/>
    <w:rsid w:val="0060484B"/>
    <w:rsid w:val="00604918"/>
    <w:rsid w:val="0060494E"/>
    <w:rsid w:val="00604977"/>
    <w:rsid w:val="00604A4A"/>
    <w:rsid w:val="00604A7C"/>
    <w:rsid w:val="00604ADE"/>
    <w:rsid w:val="00604B05"/>
    <w:rsid w:val="00604B11"/>
    <w:rsid w:val="00604B22"/>
    <w:rsid w:val="00604BC6"/>
    <w:rsid w:val="00604BD4"/>
    <w:rsid w:val="00604BEC"/>
    <w:rsid w:val="00604C27"/>
    <w:rsid w:val="00604C3F"/>
    <w:rsid w:val="00604C82"/>
    <w:rsid w:val="00604D56"/>
    <w:rsid w:val="00604DC7"/>
    <w:rsid w:val="00604E04"/>
    <w:rsid w:val="00604E6E"/>
    <w:rsid w:val="00604EFA"/>
    <w:rsid w:val="00604F22"/>
    <w:rsid w:val="00604F46"/>
    <w:rsid w:val="00604F94"/>
    <w:rsid w:val="00604F9C"/>
    <w:rsid w:val="00605018"/>
    <w:rsid w:val="0060518C"/>
    <w:rsid w:val="006051C9"/>
    <w:rsid w:val="006051CA"/>
    <w:rsid w:val="006051F6"/>
    <w:rsid w:val="00605202"/>
    <w:rsid w:val="0060523B"/>
    <w:rsid w:val="00605260"/>
    <w:rsid w:val="006052A0"/>
    <w:rsid w:val="00605319"/>
    <w:rsid w:val="00605349"/>
    <w:rsid w:val="0060534B"/>
    <w:rsid w:val="0060536B"/>
    <w:rsid w:val="00605414"/>
    <w:rsid w:val="00605416"/>
    <w:rsid w:val="00605461"/>
    <w:rsid w:val="00605474"/>
    <w:rsid w:val="006054DF"/>
    <w:rsid w:val="0060554B"/>
    <w:rsid w:val="00605591"/>
    <w:rsid w:val="006055C7"/>
    <w:rsid w:val="00605635"/>
    <w:rsid w:val="006056CB"/>
    <w:rsid w:val="00605751"/>
    <w:rsid w:val="006057E6"/>
    <w:rsid w:val="0060582F"/>
    <w:rsid w:val="006058F9"/>
    <w:rsid w:val="00605935"/>
    <w:rsid w:val="0060594C"/>
    <w:rsid w:val="006059D0"/>
    <w:rsid w:val="00605A2C"/>
    <w:rsid w:val="00605A8A"/>
    <w:rsid w:val="00605AE3"/>
    <w:rsid w:val="00605B02"/>
    <w:rsid w:val="00605B41"/>
    <w:rsid w:val="00605B63"/>
    <w:rsid w:val="00605BED"/>
    <w:rsid w:val="00605C49"/>
    <w:rsid w:val="00605CFF"/>
    <w:rsid w:val="00605D0C"/>
    <w:rsid w:val="00605D39"/>
    <w:rsid w:val="00605D62"/>
    <w:rsid w:val="00605D85"/>
    <w:rsid w:val="00605DED"/>
    <w:rsid w:val="00605E39"/>
    <w:rsid w:val="00605E48"/>
    <w:rsid w:val="00605E4E"/>
    <w:rsid w:val="00605E79"/>
    <w:rsid w:val="00605F22"/>
    <w:rsid w:val="00605FD1"/>
    <w:rsid w:val="00605FD6"/>
    <w:rsid w:val="00605FEE"/>
    <w:rsid w:val="0060605C"/>
    <w:rsid w:val="006060AA"/>
    <w:rsid w:val="00606133"/>
    <w:rsid w:val="00606147"/>
    <w:rsid w:val="00606170"/>
    <w:rsid w:val="006061A2"/>
    <w:rsid w:val="006061AF"/>
    <w:rsid w:val="006061C2"/>
    <w:rsid w:val="006061FB"/>
    <w:rsid w:val="0060624A"/>
    <w:rsid w:val="0060626A"/>
    <w:rsid w:val="00606297"/>
    <w:rsid w:val="0060632D"/>
    <w:rsid w:val="006063A2"/>
    <w:rsid w:val="006063B6"/>
    <w:rsid w:val="006063C4"/>
    <w:rsid w:val="006063DD"/>
    <w:rsid w:val="006063FE"/>
    <w:rsid w:val="00606422"/>
    <w:rsid w:val="006064E0"/>
    <w:rsid w:val="0060655A"/>
    <w:rsid w:val="0060662D"/>
    <w:rsid w:val="0060663A"/>
    <w:rsid w:val="00606680"/>
    <w:rsid w:val="00606775"/>
    <w:rsid w:val="006067AD"/>
    <w:rsid w:val="0060689E"/>
    <w:rsid w:val="006068D0"/>
    <w:rsid w:val="00606961"/>
    <w:rsid w:val="00606985"/>
    <w:rsid w:val="00606994"/>
    <w:rsid w:val="006069D5"/>
    <w:rsid w:val="006069F2"/>
    <w:rsid w:val="00606B1D"/>
    <w:rsid w:val="00606B62"/>
    <w:rsid w:val="00606B6E"/>
    <w:rsid w:val="00606BF1"/>
    <w:rsid w:val="00606CF0"/>
    <w:rsid w:val="00606CFB"/>
    <w:rsid w:val="00606CFC"/>
    <w:rsid w:val="00606D22"/>
    <w:rsid w:val="00606D2D"/>
    <w:rsid w:val="00606D5C"/>
    <w:rsid w:val="00606D76"/>
    <w:rsid w:val="00606D9C"/>
    <w:rsid w:val="00606DC7"/>
    <w:rsid w:val="00606DE9"/>
    <w:rsid w:val="00606E1A"/>
    <w:rsid w:val="00606E26"/>
    <w:rsid w:val="00606E34"/>
    <w:rsid w:val="00606E43"/>
    <w:rsid w:val="00606E51"/>
    <w:rsid w:val="00606E67"/>
    <w:rsid w:val="00606EF3"/>
    <w:rsid w:val="00606F6A"/>
    <w:rsid w:val="0060702B"/>
    <w:rsid w:val="00607052"/>
    <w:rsid w:val="006070F4"/>
    <w:rsid w:val="0060710B"/>
    <w:rsid w:val="0060714B"/>
    <w:rsid w:val="0060715E"/>
    <w:rsid w:val="00607168"/>
    <w:rsid w:val="0060721B"/>
    <w:rsid w:val="00607263"/>
    <w:rsid w:val="006072C1"/>
    <w:rsid w:val="00607425"/>
    <w:rsid w:val="00607474"/>
    <w:rsid w:val="00607483"/>
    <w:rsid w:val="006074FB"/>
    <w:rsid w:val="00607515"/>
    <w:rsid w:val="00607567"/>
    <w:rsid w:val="006075BB"/>
    <w:rsid w:val="00607655"/>
    <w:rsid w:val="006076C0"/>
    <w:rsid w:val="006076C7"/>
    <w:rsid w:val="006076C9"/>
    <w:rsid w:val="006076DF"/>
    <w:rsid w:val="006076FE"/>
    <w:rsid w:val="0060770C"/>
    <w:rsid w:val="00607774"/>
    <w:rsid w:val="00607792"/>
    <w:rsid w:val="0060779B"/>
    <w:rsid w:val="006077EE"/>
    <w:rsid w:val="00607815"/>
    <w:rsid w:val="00607850"/>
    <w:rsid w:val="0060796D"/>
    <w:rsid w:val="0060799C"/>
    <w:rsid w:val="006079D3"/>
    <w:rsid w:val="006079DE"/>
    <w:rsid w:val="00607A2F"/>
    <w:rsid w:val="00607A34"/>
    <w:rsid w:val="00607A87"/>
    <w:rsid w:val="00607AF0"/>
    <w:rsid w:val="00607AF4"/>
    <w:rsid w:val="00607B10"/>
    <w:rsid w:val="00607B82"/>
    <w:rsid w:val="00607B83"/>
    <w:rsid w:val="00607BB8"/>
    <w:rsid w:val="00607C0F"/>
    <w:rsid w:val="00607C43"/>
    <w:rsid w:val="00607CA9"/>
    <w:rsid w:val="00607CB9"/>
    <w:rsid w:val="00607CBF"/>
    <w:rsid w:val="00607CF6"/>
    <w:rsid w:val="00607D5D"/>
    <w:rsid w:val="00607DAC"/>
    <w:rsid w:val="00607DC6"/>
    <w:rsid w:val="00607E14"/>
    <w:rsid w:val="00607E18"/>
    <w:rsid w:val="00607E3B"/>
    <w:rsid w:val="00607E9D"/>
    <w:rsid w:val="00607EC5"/>
    <w:rsid w:val="00607EC8"/>
    <w:rsid w:val="00607F4F"/>
    <w:rsid w:val="00607F54"/>
    <w:rsid w:val="00607F55"/>
    <w:rsid w:val="00610026"/>
    <w:rsid w:val="0061005B"/>
    <w:rsid w:val="00610071"/>
    <w:rsid w:val="00610139"/>
    <w:rsid w:val="00610169"/>
    <w:rsid w:val="00610260"/>
    <w:rsid w:val="0061027A"/>
    <w:rsid w:val="0061029C"/>
    <w:rsid w:val="006102BA"/>
    <w:rsid w:val="006102D8"/>
    <w:rsid w:val="00610374"/>
    <w:rsid w:val="00610377"/>
    <w:rsid w:val="00610391"/>
    <w:rsid w:val="006103A5"/>
    <w:rsid w:val="00610438"/>
    <w:rsid w:val="00610493"/>
    <w:rsid w:val="00610498"/>
    <w:rsid w:val="006104A3"/>
    <w:rsid w:val="006104BF"/>
    <w:rsid w:val="0061053A"/>
    <w:rsid w:val="00610587"/>
    <w:rsid w:val="0061058B"/>
    <w:rsid w:val="006105B2"/>
    <w:rsid w:val="00610649"/>
    <w:rsid w:val="006106A3"/>
    <w:rsid w:val="00610784"/>
    <w:rsid w:val="006107D3"/>
    <w:rsid w:val="0061080F"/>
    <w:rsid w:val="00610845"/>
    <w:rsid w:val="00610931"/>
    <w:rsid w:val="0061094F"/>
    <w:rsid w:val="0061095C"/>
    <w:rsid w:val="006109C2"/>
    <w:rsid w:val="00610A67"/>
    <w:rsid w:val="00610A75"/>
    <w:rsid w:val="00610AA3"/>
    <w:rsid w:val="00610AC3"/>
    <w:rsid w:val="00610B06"/>
    <w:rsid w:val="00610B40"/>
    <w:rsid w:val="00610B8B"/>
    <w:rsid w:val="00610BA8"/>
    <w:rsid w:val="00610BCE"/>
    <w:rsid w:val="00610C13"/>
    <w:rsid w:val="00610D2A"/>
    <w:rsid w:val="00610D6A"/>
    <w:rsid w:val="00610DD9"/>
    <w:rsid w:val="00610EDA"/>
    <w:rsid w:val="00610F08"/>
    <w:rsid w:val="00610FBB"/>
    <w:rsid w:val="0061102E"/>
    <w:rsid w:val="0061102F"/>
    <w:rsid w:val="0061106B"/>
    <w:rsid w:val="006110DB"/>
    <w:rsid w:val="0061110C"/>
    <w:rsid w:val="0061111E"/>
    <w:rsid w:val="00611162"/>
    <w:rsid w:val="00611187"/>
    <w:rsid w:val="006111A2"/>
    <w:rsid w:val="006111B2"/>
    <w:rsid w:val="006112CC"/>
    <w:rsid w:val="00611343"/>
    <w:rsid w:val="00611367"/>
    <w:rsid w:val="0061143B"/>
    <w:rsid w:val="0061160A"/>
    <w:rsid w:val="006116A8"/>
    <w:rsid w:val="006117AF"/>
    <w:rsid w:val="00611825"/>
    <w:rsid w:val="0061185C"/>
    <w:rsid w:val="0061186C"/>
    <w:rsid w:val="006118EA"/>
    <w:rsid w:val="00611935"/>
    <w:rsid w:val="0061193F"/>
    <w:rsid w:val="00611957"/>
    <w:rsid w:val="006119C1"/>
    <w:rsid w:val="00611A6B"/>
    <w:rsid w:val="00611AC5"/>
    <w:rsid w:val="00611B7B"/>
    <w:rsid w:val="00611BA9"/>
    <w:rsid w:val="00611BD6"/>
    <w:rsid w:val="00611BEF"/>
    <w:rsid w:val="00611BF5"/>
    <w:rsid w:val="00611C2D"/>
    <w:rsid w:val="00611CC0"/>
    <w:rsid w:val="00611CE9"/>
    <w:rsid w:val="00611D2E"/>
    <w:rsid w:val="00611E27"/>
    <w:rsid w:val="00611E28"/>
    <w:rsid w:val="00611E58"/>
    <w:rsid w:val="00611E5A"/>
    <w:rsid w:val="00611E92"/>
    <w:rsid w:val="00611E9C"/>
    <w:rsid w:val="00611EFA"/>
    <w:rsid w:val="00611F22"/>
    <w:rsid w:val="00611F5B"/>
    <w:rsid w:val="0061204B"/>
    <w:rsid w:val="00612058"/>
    <w:rsid w:val="00612077"/>
    <w:rsid w:val="006120EC"/>
    <w:rsid w:val="00612106"/>
    <w:rsid w:val="0061213D"/>
    <w:rsid w:val="006121AB"/>
    <w:rsid w:val="006121C0"/>
    <w:rsid w:val="006121E0"/>
    <w:rsid w:val="006121F9"/>
    <w:rsid w:val="00612279"/>
    <w:rsid w:val="0061227A"/>
    <w:rsid w:val="00612399"/>
    <w:rsid w:val="006123D4"/>
    <w:rsid w:val="0061240A"/>
    <w:rsid w:val="00612435"/>
    <w:rsid w:val="006124E3"/>
    <w:rsid w:val="0061252F"/>
    <w:rsid w:val="0061256A"/>
    <w:rsid w:val="006125AD"/>
    <w:rsid w:val="006125BC"/>
    <w:rsid w:val="006125C5"/>
    <w:rsid w:val="006125E5"/>
    <w:rsid w:val="00612634"/>
    <w:rsid w:val="0061273F"/>
    <w:rsid w:val="0061274A"/>
    <w:rsid w:val="0061278B"/>
    <w:rsid w:val="00612792"/>
    <w:rsid w:val="0061279D"/>
    <w:rsid w:val="006127D8"/>
    <w:rsid w:val="00612928"/>
    <w:rsid w:val="006129A1"/>
    <w:rsid w:val="00612A12"/>
    <w:rsid w:val="00612A39"/>
    <w:rsid w:val="00612A44"/>
    <w:rsid w:val="00612A47"/>
    <w:rsid w:val="00612A4A"/>
    <w:rsid w:val="00612A5B"/>
    <w:rsid w:val="00612A8C"/>
    <w:rsid w:val="00612AC1"/>
    <w:rsid w:val="00612AFF"/>
    <w:rsid w:val="00612B0B"/>
    <w:rsid w:val="00612B1D"/>
    <w:rsid w:val="00612B22"/>
    <w:rsid w:val="00612B77"/>
    <w:rsid w:val="00612BD4"/>
    <w:rsid w:val="00612D24"/>
    <w:rsid w:val="00612D32"/>
    <w:rsid w:val="00612D42"/>
    <w:rsid w:val="00612D50"/>
    <w:rsid w:val="00612D6B"/>
    <w:rsid w:val="00612D71"/>
    <w:rsid w:val="00612D75"/>
    <w:rsid w:val="00612DB9"/>
    <w:rsid w:val="00612DBE"/>
    <w:rsid w:val="00612E12"/>
    <w:rsid w:val="00612E1B"/>
    <w:rsid w:val="00612E2E"/>
    <w:rsid w:val="00612E6D"/>
    <w:rsid w:val="00612E9E"/>
    <w:rsid w:val="00612EB0"/>
    <w:rsid w:val="00612EB8"/>
    <w:rsid w:val="00612EDA"/>
    <w:rsid w:val="00612F62"/>
    <w:rsid w:val="00612FE2"/>
    <w:rsid w:val="0061302F"/>
    <w:rsid w:val="00613034"/>
    <w:rsid w:val="00613056"/>
    <w:rsid w:val="00613070"/>
    <w:rsid w:val="006130D1"/>
    <w:rsid w:val="006130E7"/>
    <w:rsid w:val="00613150"/>
    <w:rsid w:val="00613197"/>
    <w:rsid w:val="0061325B"/>
    <w:rsid w:val="0061326A"/>
    <w:rsid w:val="0061328D"/>
    <w:rsid w:val="006133A4"/>
    <w:rsid w:val="006133D2"/>
    <w:rsid w:val="006134B3"/>
    <w:rsid w:val="006134EB"/>
    <w:rsid w:val="006134EC"/>
    <w:rsid w:val="00613501"/>
    <w:rsid w:val="00613547"/>
    <w:rsid w:val="00613579"/>
    <w:rsid w:val="00613589"/>
    <w:rsid w:val="0061359A"/>
    <w:rsid w:val="006135BF"/>
    <w:rsid w:val="006136C9"/>
    <w:rsid w:val="006136CD"/>
    <w:rsid w:val="006136D6"/>
    <w:rsid w:val="006137A6"/>
    <w:rsid w:val="006137CB"/>
    <w:rsid w:val="00613877"/>
    <w:rsid w:val="006138A1"/>
    <w:rsid w:val="00613901"/>
    <w:rsid w:val="0061396E"/>
    <w:rsid w:val="00613984"/>
    <w:rsid w:val="00613A22"/>
    <w:rsid w:val="00613A4D"/>
    <w:rsid w:val="00613A64"/>
    <w:rsid w:val="00613A8A"/>
    <w:rsid w:val="00613A8D"/>
    <w:rsid w:val="00613A9E"/>
    <w:rsid w:val="00613ABC"/>
    <w:rsid w:val="00613AE0"/>
    <w:rsid w:val="00613AF1"/>
    <w:rsid w:val="00613B7F"/>
    <w:rsid w:val="00613C30"/>
    <w:rsid w:val="00613C79"/>
    <w:rsid w:val="00613D03"/>
    <w:rsid w:val="00613D1C"/>
    <w:rsid w:val="00613D36"/>
    <w:rsid w:val="00613D63"/>
    <w:rsid w:val="00613E2B"/>
    <w:rsid w:val="00613EEF"/>
    <w:rsid w:val="00613EFD"/>
    <w:rsid w:val="00613F4D"/>
    <w:rsid w:val="00613F75"/>
    <w:rsid w:val="00614019"/>
    <w:rsid w:val="006140ED"/>
    <w:rsid w:val="006140F5"/>
    <w:rsid w:val="0061411C"/>
    <w:rsid w:val="006141A7"/>
    <w:rsid w:val="006141AD"/>
    <w:rsid w:val="006141B7"/>
    <w:rsid w:val="006141F5"/>
    <w:rsid w:val="00614249"/>
    <w:rsid w:val="0061430D"/>
    <w:rsid w:val="0061434D"/>
    <w:rsid w:val="00614418"/>
    <w:rsid w:val="006144BA"/>
    <w:rsid w:val="0061450C"/>
    <w:rsid w:val="00614544"/>
    <w:rsid w:val="0061459D"/>
    <w:rsid w:val="006145E4"/>
    <w:rsid w:val="00614673"/>
    <w:rsid w:val="0061467C"/>
    <w:rsid w:val="00614681"/>
    <w:rsid w:val="006146A8"/>
    <w:rsid w:val="00614723"/>
    <w:rsid w:val="0061478D"/>
    <w:rsid w:val="00614888"/>
    <w:rsid w:val="00614889"/>
    <w:rsid w:val="006148FB"/>
    <w:rsid w:val="00614983"/>
    <w:rsid w:val="006149CB"/>
    <w:rsid w:val="006149F8"/>
    <w:rsid w:val="00614A03"/>
    <w:rsid w:val="00614A4E"/>
    <w:rsid w:val="00614A7E"/>
    <w:rsid w:val="00614AEE"/>
    <w:rsid w:val="00614AF7"/>
    <w:rsid w:val="00614B92"/>
    <w:rsid w:val="00614BD2"/>
    <w:rsid w:val="00614BD5"/>
    <w:rsid w:val="00614BF4"/>
    <w:rsid w:val="00614BF8"/>
    <w:rsid w:val="00614C15"/>
    <w:rsid w:val="00614C85"/>
    <w:rsid w:val="00614C98"/>
    <w:rsid w:val="00614CE5"/>
    <w:rsid w:val="00614D05"/>
    <w:rsid w:val="00614D90"/>
    <w:rsid w:val="00614DA6"/>
    <w:rsid w:val="00614E10"/>
    <w:rsid w:val="00614E6B"/>
    <w:rsid w:val="00614E9D"/>
    <w:rsid w:val="00614EBE"/>
    <w:rsid w:val="00614EFD"/>
    <w:rsid w:val="00614F0D"/>
    <w:rsid w:val="00614F64"/>
    <w:rsid w:val="00614F96"/>
    <w:rsid w:val="00615003"/>
    <w:rsid w:val="00615157"/>
    <w:rsid w:val="006151E8"/>
    <w:rsid w:val="006151F9"/>
    <w:rsid w:val="00615276"/>
    <w:rsid w:val="006152FE"/>
    <w:rsid w:val="00615342"/>
    <w:rsid w:val="006153A4"/>
    <w:rsid w:val="0061540A"/>
    <w:rsid w:val="00615446"/>
    <w:rsid w:val="0061545E"/>
    <w:rsid w:val="00615468"/>
    <w:rsid w:val="00615487"/>
    <w:rsid w:val="006154EF"/>
    <w:rsid w:val="006154F4"/>
    <w:rsid w:val="00615576"/>
    <w:rsid w:val="0061562F"/>
    <w:rsid w:val="0061563E"/>
    <w:rsid w:val="00615658"/>
    <w:rsid w:val="006156B1"/>
    <w:rsid w:val="006156C6"/>
    <w:rsid w:val="00615723"/>
    <w:rsid w:val="00615724"/>
    <w:rsid w:val="00615734"/>
    <w:rsid w:val="00615764"/>
    <w:rsid w:val="0061576A"/>
    <w:rsid w:val="006157B5"/>
    <w:rsid w:val="006157C4"/>
    <w:rsid w:val="006157D1"/>
    <w:rsid w:val="006157DB"/>
    <w:rsid w:val="006157E6"/>
    <w:rsid w:val="0061586E"/>
    <w:rsid w:val="006158BB"/>
    <w:rsid w:val="0061590D"/>
    <w:rsid w:val="00615911"/>
    <w:rsid w:val="0061591D"/>
    <w:rsid w:val="00615936"/>
    <w:rsid w:val="006159B1"/>
    <w:rsid w:val="00615A39"/>
    <w:rsid w:val="00615AFD"/>
    <w:rsid w:val="00615B0A"/>
    <w:rsid w:val="00615BC9"/>
    <w:rsid w:val="00615BF1"/>
    <w:rsid w:val="00615BF9"/>
    <w:rsid w:val="00615C00"/>
    <w:rsid w:val="00615C36"/>
    <w:rsid w:val="00615C83"/>
    <w:rsid w:val="00615C86"/>
    <w:rsid w:val="00615C8A"/>
    <w:rsid w:val="00615CC5"/>
    <w:rsid w:val="00615D0E"/>
    <w:rsid w:val="00615D18"/>
    <w:rsid w:val="00615D32"/>
    <w:rsid w:val="00615DBB"/>
    <w:rsid w:val="00615DE1"/>
    <w:rsid w:val="00615EA6"/>
    <w:rsid w:val="00615EC1"/>
    <w:rsid w:val="00615F8A"/>
    <w:rsid w:val="00615FD0"/>
    <w:rsid w:val="00615FEC"/>
    <w:rsid w:val="00615FFC"/>
    <w:rsid w:val="0061607D"/>
    <w:rsid w:val="006160A8"/>
    <w:rsid w:val="00616130"/>
    <w:rsid w:val="00616131"/>
    <w:rsid w:val="00616166"/>
    <w:rsid w:val="0061617E"/>
    <w:rsid w:val="006161C4"/>
    <w:rsid w:val="006161D5"/>
    <w:rsid w:val="00616229"/>
    <w:rsid w:val="00616232"/>
    <w:rsid w:val="006162A5"/>
    <w:rsid w:val="006162AE"/>
    <w:rsid w:val="006164BC"/>
    <w:rsid w:val="006164BD"/>
    <w:rsid w:val="0061655D"/>
    <w:rsid w:val="00616563"/>
    <w:rsid w:val="006165A4"/>
    <w:rsid w:val="006166A2"/>
    <w:rsid w:val="006166B8"/>
    <w:rsid w:val="0061670B"/>
    <w:rsid w:val="00616721"/>
    <w:rsid w:val="00616793"/>
    <w:rsid w:val="0061681F"/>
    <w:rsid w:val="00616825"/>
    <w:rsid w:val="00616834"/>
    <w:rsid w:val="006168FD"/>
    <w:rsid w:val="00616918"/>
    <w:rsid w:val="00616920"/>
    <w:rsid w:val="0061694F"/>
    <w:rsid w:val="006169F0"/>
    <w:rsid w:val="00616A4E"/>
    <w:rsid w:val="00616AC2"/>
    <w:rsid w:val="00616ACC"/>
    <w:rsid w:val="00616ADB"/>
    <w:rsid w:val="00616B34"/>
    <w:rsid w:val="00616B71"/>
    <w:rsid w:val="00616B9C"/>
    <w:rsid w:val="00616BDC"/>
    <w:rsid w:val="00616C30"/>
    <w:rsid w:val="00616C5F"/>
    <w:rsid w:val="00616C94"/>
    <w:rsid w:val="00616CFC"/>
    <w:rsid w:val="00616D51"/>
    <w:rsid w:val="00616DAB"/>
    <w:rsid w:val="00616DEE"/>
    <w:rsid w:val="00616E4F"/>
    <w:rsid w:val="00616EBE"/>
    <w:rsid w:val="00616F04"/>
    <w:rsid w:val="00616F25"/>
    <w:rsid w:val="00616F57"/>
    <w:rsid w:val="00616F60"/>
    <w:rsid w:val="00616F6E"/>
    <w:rsid w:val="00616F90"/>
    <w:rsid w:val="00616F93"/>
    <w:rsid w:val="00616FA1"/>
    <w:rsid w:val="00616FCB"/>
    <w:rsid w:val="00617040"/>
    <w:rsid w:val="006170A3"/>
    <w:rsid w:val="0061718F"/>
    <w:rsid w:val="006171DB"/>
    <w:rsid w:val="00617252"/>
    <w:rsid w:val="0061726B"/>
    <w:rsid w:val="00617307"/>
    <w:rsid w:val="00617318"/>
    <w:rsid w:val="0061733B"/>
    <w:rsid w:val="00617361"/>
    <w:rsid w:val="00617398"/>
    <w:rsid w:val="006173FF"/>
    <w:rsid w:val="0061743F"/>
    <w:rsid w:val="00617470"/>
    <w:rsid w:val="00617484"/>
    <w:rsid w:val="006174BF"/>
    <w:rsid w:val="006174F4"/>
    <w:rsid w:val="006174F7"/>
    <w:rsid w:val="0061758E"/>
    <w:rsid w:val="00617598"/>
    <w:rsid w:val="00617617"/>
    <w:rsid w:val="00617674"/>
    <w:rsid w:val="00617695"/>
    <w:rsid w:val="006176F0"/>
    <w:rsid w:val="0061770D"/>
    <w:rsid w:val="006177A1"/>
    <w:rsid w:val="006177A6"/>
    <w:rsid w:val="00617907"/>
    <w:rsid w:val="0061790E"/>
    <w:rsid w:val="00617925"/>
    <w:rsid w:val="00617992"/>
    <w:rsid w:val="006179E7"/>
    <w:rsid w:val="00617A25"/>
    <w:rsid w:val="00617A5A"/>
    <w:rsid w:val="00617A81"/>
    <w:rsid w:val="00617A8F"/>
    <w:rsid w:val="00617B12"/>
    <w:rsid w:val="00617B30"/>
    <w:rsid w:val="00617B58"/>
    <w:rsid w:val="00617B61"/>
    <w:rsid w:val="00617B67"/>
    <w:rsid w:val="00617B92"/>
    <w:rsid w:val="00617B9C"/>
    <w:rsid w:val="00617C44"/>
    <w:rsid w:val="00617CA4"/>
    <w:rsid w:val="00617CA8"/>
    <w:rsid w:val="00617CAB"/>
    <w:rsid w:val="00617D1B"/>
    <w:rsid w:val="00617D25"/>
    <w:rsid w:val="00617D89"/>
    <w:rsid w:val="00617D92"/>
    <w:rsid w:val="00617DBF"/>
    <w:rsid w:val="00617DEB"/>
    <w:rsid w:val="00617E11"/>
    <w:rsid w:val="00617E16"/>
    <w:rsid w:val="00617E4B"/>
    <w:rsid w:val="00617E81"/>
    <w:rsid w:val="00617EB0"/>
    <w:rsid w:val="00617EC4"/>
    <w:rsid w:val="00617F56"/>
    <w:rsid w:val="00617F6C"/>
    <w:rsid w:val="00617F7D"/>
    <w:rsid w:val="00620021"/>
    <w:rsid w:val="00620088"/>
    <w:rsid w:val="006200F7"/>
    <w:rsid w:val="00620101"/>
    <w:rsid w:val="0062011B"/>
    <w:rsid w:val="00620129"/>
    <w:rsid w:val="006201A1"/>
    <w:rsid w:val="006201AF"/>
    <w:rsid w:val="006201EA"/>
    <w:rsid w:val="00620266"/>
    <w:rsid w:val="0062029D"/>
    <w:rsid w:val="006202A8"/>
    <w:rsid w:val="006202B9"/>
    <w:rsid w:val="006202D7"/>
    <w:rsid w:val="006202E9"/>
    <w:rsid w:val="006202EF"/>
    <w:rsid w:val="006202FF"/>
    <w:rsid w:val="0062030F"/>
    <w:rsid w:val="00620382"/>
    <w:rsid w:val="006203A3"/>
    <w:rsid w:val="00620417"/>
    <w:rsid w:val="00620418"/>
    <w:rsid w:val="0062042D"/>
    <w:rsid w:val="006204F1"/>
    <w:rsid w:val="0062054B"/>
    <w:rsid w:val="00620565"/>
    <w:rsid w:val="006205AF"/>
    <w:rsid w:val="00620613"/>
    <w:rsid w:val="00620615"/>
    <w:rsid w:val="0062062F"/>
    <w:rsid w:val="00620665"/>
    <w:rsid w:val="00620708"/>
    <w:rsid w:val="0062072E"/>
    <w:rsid w:val="00620732"/>
    <w:rsid w:val="00620738"/>
    <w:rsid w:val="00620792"/>
    <w:rsid w:val="00620870"/>
    <w:rsid w:val="00620896"/>
    <w:rsid w:val="006208A6"/>
    <w:rsid w:val="006208D7"/>
    <w:rsid w:val="006208DA"/>
    <w:rsid w:val="006208DC"/>
    <w:rsid w:val="006208DF"/>
    <w:rsid w:val="0062091C"/>
    <w:rsid w:val="0062092E"/>
    <w:rsid w:val="00620930"/>
    <w:rsid w:val="00620943"/>
    <w:rsid w:val="00620951"/>
    <w:rsid w:val="00620980"/>
    <w:rsid w:val="00620996"/>
    <w:rsid w:val="0062099E"/>
    <w:rsid w:val="006209D0"/>
    <w:rsid w:val="006209F4"/>
    <w:rsid w:val="00620AA3"/>
    <w:rsid w:val="00620AD2"/>
    <w:rsid w:val="00620B17"/>
    <w:rsid w:val="00620C32"/>
    <w:rsid w:val="00620C39"/>
    <w:rsid w:val="00620C92"/>
    <w:rsid w:val="00620CED"/>
    <w:rsid w:val="00620DC8"/>
    <w:rsid w:val="00620DDB"/>
    <w:rsid w:val="00620DEB"/>
    <w:rsid w:val="00620EEE"/>
    <w:rsid w:val="00620F82"/>
    <w:rsid w:val="00620FA9"/>
    <w:rsid w:val="00620FF5"/>
    <w:rsid w:val="0062105C"/>
    <w:rsid w:val="0062105D"/>
    <w:rsid w:val="006210E5"/>
    <w:rsid w:val="006211EE"/>
    <w:rsid w:val="00621256"/>
    <w:rsid w:val="0062132F"/>
    <w:rsid w:val="006213BC"/>
    <w:rsid w:val="006213D0"/>
    <w:rsid w:val="0062140A"/>
    <w:rsid w:val="00621453"/>
    <w:rsid w:val="00621461"/>
    <w:rsid w:val="00621466"/>
    <w:rsid w:val="0062149D"/>
    <w:rsid w:val="00621509"/>
    <w:rsid w:val="00621542"/>
    <w:rsid w:val="00621599"/>
    <w:rsid w:val="00621629"/>
    <w:rsid w:val="0062162A"/>
    <w:rsid w:val="00621647"/>
    <w:rsid w:val="00621669"/>
    <w:rsid w:val="00621671"/>
    <w:rsid w:val="006216D3"/>
    <w:rsid w:val="00621720"/>
    <w:rsid w:val="006217CE"/>
    <w:rsid w:val="0062189E"/>
    <w:rsid w:val="00621933"/>
    <w:rsid w:val="0062193A"/>
    <w:rsid w:val="006219C8"/>
    <w:rsid w:val="006219E6"/>
    <w:rsid w:val="00621A0C"/>
    <w:rsid w:val="00621A6E"/>
    <w:rsid w:val="00621AD4"/>
    <w:rsid w:val="00621B2A"/>
    <w:rsid w:val="00621B92"/>
    <w:rsid w:val="00621C4C"/>
    <w:rsid w:val="00621C6A"/>
    <w:rsid w:val="00621C89"/>
    <w:rsid w:val="00621C90"/>
    <w:rsid w:val="00621CBE"/>
    <w:rsid w:val="00621D23"/>
    <w:rsid w:val="00621DA5"/>
    <w:rsid w:val="00621DAB"/>
    <w:rsid w:val="00621DBD"/>
    <w:rsid w:val="00621DD3"/>
    <w:rsid w:val="00621E0D"/>
    <w:rsid w:val="00621E18"/>
    <w:rsid w:val="00621ED7"/>
    <w:rsid w:val="00621F13"/>
    <w:rsid w:val="00621F4E"/>
    <w:rsid w:val="00621F8E"/>
    <w:rsid w:val="00622045"/>
    <w:rsid w:val="00622095"/>
    <w:rsid w:val="006220A9"/>
    <w:rsid w:val="00622105"/>
    <w:rsid w:val="00622132"/>
    <w:rsid w:val="00622186"/>
    <w:rsid w:val="00622228"/>
    <w:rsid w:val="0062222A"/>
    <w:rsid w:val="0062224A"/>
    <w:rsid w:val="006222C2"/>
    <w:rsid w:val="006222E5"/>
    <w:rsid w:val="00622327"/>
    <w:rsid w:val="006223E0"/>
    <w:rsid w:val="006223FC"/>
    <w:rsid w:val="00622467"/>
    <w:rsid w:val="0062247F"/>
    <w:rsid w:val="006224BB"/>
    <w:rsid w:val="00622515"/>
    <w:rsid w:val="0062258D"/>
    <w:rsid w:val="006225AE"/>
    <w:rsid w:val="006225B8"/>
    <w:rsid w:val="006225C4"/>
    <w:rsid w:val="0062264B"/>
    <w:rsid w:val="006226AA"/>
    <w:rsid w:val="006226AC"/>
    <w:rsid w:val="006227A0"/>
    <w:rsid w:val="006227BA"/>
    <w:rsid w:val="006227DD"/>
    <w:rsid w:val="0062284F"/>
    <w:rsid w:val="00622884"/>
    <w:rsid w:val="00622895"/>
    <w:rsid w:val="006228DD"/>
    <w:rsid w:val="00622903"/>
    <w:rsid w:val="00622972"/>
    <w:rsid w:val="006229DC"/>
    <w:rsid w:val="00622A11"/>
    <w:rsid w:val="00622A34"/>
    <w:rsid w:val="00622A3D"/>
    <w:rsid w:val="00622AC8"/>
    <w:rsid w:val="00622C3E"/>
    <w:rsid w:val="00622CC1"/>
    <w:rsid w:val="00622D14"/>
    <w:rsid w:val="00622D97"/>
    <w:rsid w:val="00622DCA"/>
    <w:rsid w:val="00622DCB"/>
    <w:rsid w:val="00622E4F"/>
    <w:rsid w:val="00622EC4"/>
    <w:rsid w:val="00622ED2"/>
    <w:rsid w:val="00622FFF"/>
    <w:rsid w:val="00623027"/>
    <w:rsid w:val="0062302C"/>
    <w:rsid w:val="00623083"/>
    <w:rsid w:val="00623087"/>
    <w:rsid w:val="006230C4"/>
    <w:rsid w:val="006230CD"/>
    <w:rsid w:val="006230DE"/>
    <w:rsid w:val="006230E7"/>
    <w:rsid w:val="00623169"/>
    <w:rsid w:val="0062318D"/>
    <w:rsid w:val="0062323E"/>
    <w:rsid w:val="006232B7"/>
    <w:rsid w:val="006232C6"/>
    <w:rsid w:val="0062331B"/>
    <w:rsid w:val="0062335E"/>
    <w:rsid w:val="006233F9"/>
    <w:rsid w:val="00623498"/>
    <w:rsid w:val="00623520"/>
    <w:rsid w:val="00623544"/>
    <w:rsid w:val="006235B1"/>
    <w:rsid w:val="00623624"/>
    <w:rsid w:val="00623675"/>
    <w:rsid w:val="00623701"/>
    <w:rsid w:val="00623704"/>
    <w:rsid w:val="00623725"/>
    <w:rsid w:val="006237BC"/>
    <w:rsid w:val="006237EB"/>
    <w:rsid w:val="0062383E"/>
    <w:rsid w:val="006238A0"/>
    <w:rsid w:val="006238F4"/>
    <w:rsid w:val="0062394A"/>
    <w:rsid w:val="006239C2"/>
    <w:rsid w:val="006239CF"/>
    <w:rsid w:val="006239D1"/>
    <w:rsid w:val="006239DD"/>
    <w:rsid w:val="006239EA"/>
    <w:rsid w:val="00623A15"/>
    <w:rsid w:val="00623A51"/>
    <w:rsid w:val="00623B21"/>
    <w:rsid w:val="00623B57"/>
    <w:rsid w:val="00623B88"/>
    <w:rsid w:val="00623BC2"/>
    <w:rsid w:val="00623C0D"/>
    <w:rsid w:val="00623C3B"/>
    <w:rsid w:val="00623C46"/>
    <w:rsid w:val="00623CBC"/>
    <w:rsid w:val="00623CDB"/>
    <w:rsid w:val="00623D81"/>
    <w:rsid w:val="00623DDE"/>
    <w:rsid w:val="00623E6D"/>
    <w:rsid w:val="00623E6F"/>
    <w:rsid w:val="00623E73"/>
    <w:rsid w:val="00623E7B"/>
    <w:rsid w:val="00623EAA"/>
    <w:rsid w:val="00623F1D"/>
    <w:rsid w:val="00623FB4"/>
    <w:rsid w:val="00623FBF"/>
    <w:rsid w:val="00624013"/>
    <w:rsid w:val="00624077"/>
    <w:rsid w:val="00624099"/>
    <w:rsid w:val="006240AE"/>
    <w:rsid w:val="006240D0"/>
    <w:rsid w:val="006240E3"/>
    <w:rsid w:val="00624104"/>
    <w:rsid w:val="00624126"/>
    <w:rsid w:val="00624128"/>
    <w:rsid w:val="0062413D"/>
    <w:rsid w:val="006241A0"/>
    <w:rsid w:val="006241EF"/>
    <w:rsid w:val="00624204"/>
    <w:rsid w:val="00624255"/>
    <w:rsid w:val="00624265"/>
    <w:rsid w:val="0062429C"/>
    <w:rsid w:val="00624305"/>
    <w:rsid w:val="00624317"/>
    <w:rsid w:val="00624322"/>
    <w:rsid w:val="00624337"/>
    <w:rsid w:val="006243AC"/>
    <w:rsid w:val="006243BC"/>
    <w:rsid w:val="006243CC"/>
    <w:rsid w:val="006244A4"/>
    <w:rsid w:val="006244CD"/>
    <w:rsid w:val="00624524"/>
    <w:rsid w:val="00624564"/>
    <w:rsid w:val="00624593"/>
    <w:rsid w:val="0062467E"/>
    <w:rsid w:val="0062469F"/>
    <w:rsid w:val="006246A6"/>
    <w:rsid w:val="006246CA"/>
    <w:rsid w:val="00624701"/>
    <w:rsid w:val="0062474D"/>
    <w:rsid w:val="00624752"/>
    <w:rsid w:val="00624767"/>
    <w:rsid w:val="00624824"/>
    <w:rsid w:val="00624826"/>
    <w:rsid w:val="00624834"/>
    <w:rsid w:val="006248B2"/>
    <w:rsid w:val="006248B7"/>
    <w:rsid w:val="0062490C"/>
    <w:rsid w:val="0062495A"/>
    <w:rsid w:val="0062496A"/>
    <w:rsid w:val="006249AE"/>
    <w:rsid w:val="006249CB"/>
    <w:rsid w:val="006249E8"/>
    <w:rsid w:val="006249F9"/>
    <w:rsid w:val="00624A36"/>
    <w:rsid w:val="00624A5D"/>
    <w:rsid w:val="00624A8A"/>
    <w:rsid w:val="00624AB0"/>
    <w:rsid w:val="00624AF6"/>
    <w:rsid w:val="00624B00"/>
    <w:rsid w:val="00624C48"/>
    <w:rsid w:val="00624C76"/>
    <w:rsid w:val="00624CBE"/>
    <w:rsid w:val="00624D04"/>
    <w:rsid w:val="00624D0B"/>
    <w:rsid w:val="00624DE7"/>
    <w:rsid w:val="00624DEF"/>
    <w:rsid w:val="00624DF3"/>
    <w:rsid w:val="00624E19"/>
    <w:rsid w:val="00624E2F"/>
    <w:rsid w:val="00624E74"/>
    <w:rsid w:val="00624EA7"/>
    <w:rsid w:val="00624F4C"/>
    <w:rsid w:val="00624FBC"/>
    <w:rsid w:val="00625037"/>
    <w:rsid w:val="0062512A"/>
    <w:rsid w:val="00625148"/>
    <w:rsid w:val="006251E2"/>
    <w:rsid w:val="0062524D"/>
    <w:rsid w:val="0062524F"/>
    <w:rsid w:val="00625288"/>
    <w:rsid w:val="0062529B"/>
    <w:rsid w:val="006252AC"/>
    <w:rsid w:val="00625318"/>
    <w:rsid w:val="00625327"/>
    <w:rsid w:val="0062539C"/>
    <w:rsid w:val="00625426"/>
    <w:rsid w:val="00625452"/>
    <w:rsid w:val="0062545F"/>
    <w:rsid w:val="006254A0"/>
    <w:rsid w:val="006254D8"/>
    <w:rsid w:val="006254EE"/>
    <w:rsid w:val="00625516"/>
    <w:rsid w:val="00625543"/>
    <w:rsid w:val="00625551"/>
    <w:rsid w:val="006255AB"/>
    <w:rsid w:val="006255D4"/>
    <w:rsid w:val="0062566F"/>
    <w:rsid w:val="006256B5"/>
    <w:rsid w:val="00625764"/>
    <w:rsid w:val="00625781"/>
    <w:rsid w:val="006257C9"/>
    <w:rsid w:val="006257D8"/>
    <w:rsid w:val="00625802"/>
    <w:rsid w:val="00625829"/>
    <w:rsid w:val="00625893"/>
    <w:rsid w:val="00625909"/>
    <w:rsid w:val="0062592C"/>
    <w:rsid w:val="0062593E"/>
    <w:rsid w:val="00625964"/>
    <w:rsid w:val="00625984"/>
    <w:rsid w:val="00625991"/>
    <w:rsid w:val="006259B1"/>
    <w:rsid w:val="00625A27"/>
    <w:rsid w:val="00625A31"/>
    <w:rsid w:val="00625A65"/>
    <w:rsid w:val="00625B58"/>
    <w:rsid w:val="00625B6F"/>
    <w:rsid w:val="00625B9F"/>
    <w:rsid w:val="00625BB9"/>
    <w:rsid w:val="00625BCB"/>
    <w:rsid w:val="00625BCF"/>
    <w:rsid w:val="00625BD5"/>
    <w:rsid w:val="00625BDE"/>
    <w:rsid w:val="00625BF2"/>
    <w:rsid w:val="00625C85"/>
    <w:rsid w:val="00625C9E"/>
    <w:rsid w:val="00625CD5"/>
    <w:rsid w:val="00625D63"/>
    <w:rsid w:val="00625DA6"/>
    <w:rsid w:val="00625E85"/>
    <w:rsid w:val="00625EEE"/>
    <w:rsid w:val="00625F04"/>
    <w:rsid w:val="00625FB2"/>
    <w:rsid w:val="00625FFD"/>
    <w:rsid w:val="00626007"/>
    <w:rsid w:val="00626033"/>
    <w:rsid w:val="00626054"/>
    <w:rsid w:val="00626065"/>
    <w:rsid w:val="00626116"/>
    <w:rsid w:val="00626124"/>
    <w:rsid w:val="00626125"/>
    <w:rsid w:val="0062612C"/>
    <w:rsid w:val="0062615E"/>
    <w:rsid w:val="0062616D"/>
    <w:rsid w:val="00626186"/>
    <w:rsid w:val="0062618E"/>
    <w:rsid w:val="006261EF"/>
    <w:rsid w:val="0062621C"/>
    <w:rsid w:val="0062622A"/>
    <w:rsid w:val="0062622F"/>
    <w:rsid w:val="0062626B"/>
    <w:rsid w:val="006262C5"/>
    <w:rsid w:val="006262F8"/>
    <w:rsid w:val="00626369"/>
    <w:rsid w:val="0062637C"/>
    <w:rsid w:val="0062638A"/>
    <w:rsid w:val="00626393"/>
    <w:rsid w:val="006263DD"/>
    <w:rsid w:val="00626410"/>
    <w:rsid w:val="00626525"/>
    <w:rsid w:val="0062653B"/>
    <w:rsid w:val="0062653C"/>
    <w:rsid w:val="006266CA"/>
    <w:rsid w:val="006267F5"/>
    <w:rsid w:val="0062688F"/>
    <w:rsid w:val="0062694A"/>
    <w:rsid w:val="006269F0"/>
    <w:rsid w:val="006269F1"/>
    <w:rsid w:val="00626A98"/>
    <w:rsid w:val="00626AC1"/>
    <w:rsid w:val="00626C0F"/>
    <w:rsid w:val="00626C73"/>
    <w:rsid w:val="00626CB8"/>
    <w:rsid w:val="00626CF9"/>
    <w:rsid w:val="00626D26"/>
    <w:rsid w:val="00626E31"/>
    <w:rsid w:val="00626E50"/>
    <w:rsid w:val="00626E8E"/>
    <w:rsid w:val="00626F2A"/>
    <w:rsid w:val="00626F83"/>
    <w:rsid w:val="00626FA5"/>
    <w:rsid w:val="00626FCE"/>
    <w:rsid w:val="00627017"/>
    <w:rsid w:val="006270DD"/>
    <w:rsid w:val="00627168"/>
    <w:rsid w:val="006271D9"/>
    <w:rsid w:val="00627213"/>
    <w:rsid w:val="0062721B"/>
    <w:rsid w:val="00627220"/>
    <w:rsid w:val="006272BA"/>
    <w:rsid w:val="00627353"/>
    <w:rsid w:val="00627389"/>
    <w:rsid w:val="0062738E"/>
    <w:rsid w:val="006273C7"/>
    <w:rsid w:val="006273C8"/>
    <w:rsid w:val="006273CF"/>
    <w:rsid w:val="0062744F"/>
    <w:rsid w:val="00627457"/>
    <w:rsid w:val="00627489"/>
    <w:rsid w:val="006274A4"/>
    <w:rsid w:val="006274AE"/>
    <w:rsid w:val="00627509"/>
    <w:rsid w:val="00627562"/>
    <w:rsid w:val="00627563"/>
    <w:rsid w:val="00627593"/>
    <w:rsid w:val="006275AB"/>
    <w:rsid w:val="006275BB"/>
    <w:rsid w:val="00627626"/>
    <w:rsid w:val="00627643"/>
    <w:rsid w:val="006276A1"/>
    <w:rsid w:val="006276AE"/>
    <w:rsid w:val="006276C5"/>
    <w:rsid w:val="006276F3"/>
    <w:rsid w:val="006277D6"/>
    <w:rsid w:val="00627817"/>
    <w:rsid w:val="0062781A"/>
    <w:rsid w:val="0062784A"/>
    <w:rsid w:val="0062784D"/>
    <w:rsid w:val="00627851"/>
    <w:rsid w:val="006278A8"/>
    <w:rsid w:val="0062790C"/>
    <w:rsid w:val="00627925"/>
    <w:rsid w:val="0062796A"/>
    <w:rsid w:val="00627AA7"/>
    <w:rsid w:val="00627ADE"/>
    <w:rsid w:val="00627AF1"/>
    <w:rsid w:val="00627AFC"/>
    <w:rsid w:val="00627C28"/>
    <w:rsid w:val="00627CA4"/>
    <w:rsid w:val="00627CF7"/>
    <w:rsid w:val="00627D23"/>
    <w:rsid w:val="00627D4E"/>
    <w:rsid w:val="00627E53"/>
    <w:rsid w:val="00627E5D"/>
    <w:rsid w:val="00627F32"/>
    <w:rsid w:val="00627F4D"/>
    <w:rsid w:val="00627F79"/>
    <w:rsid w:val="00627FA2"/>
    <w:rsid w:val="00627FD8"/>
    <w:rsid w:val="00630082"/>
    <w:rsid w:val="0063009A"/>
    <w:rsid w:val="00630118"/>
    <w:rsid w:val="00630161"/>
    <w:rsid w:val="00630190"/>
    <w:rsid w:val="006301FA"/>
    <w:rsid w:val="0063020A"/>
    <w:rsid w:val="00630223"/>
    <w:rsid w:val="006302A8"/>
    <w:rsid w:val="00630334"/>
    <w:rsid w:val="0063036A"/>
    <w:rsid w:val="006303A0"/>
    <w:rsid w:val="006303A1"/>
    <w:rsid w:val="006304A2"/>
    <w:rsid w:val="006304C5"/>
    <w:rsid w:val="006304FA"/>
    <w:rsid w:val="006304FE"/>
    <w:rsid w:val="0063058D"/>
    <w:rsid w:val="006305D1"/>
    <w:rsid w:val="006305DB"/>
    <w:rsid w:val="0063060F"/>
    <w:rsid w:val="00630660"/>
    <w:rsid w:val="006306EB"/>
    <w:rsid w:val="00630737"/>
    <w:rsid w:val="006307EE"/>
    <w:rsid w:val="0063081E"/>
    <w:rsid w:val="00630837"/>
    <w:rsid w:val="006308B9"/>
    <w:rsid w:val="006308D9"/>
    <w:rsid w:val="006309C1"/>
    <w:rsid w:val="006309CF"/>
    <w:rsid w:val="00630A94"/>
    <w:rsid w:val="00630ACF"/>
    <w:rsid w:val="00630ADF"/>
    <w:rsid w:val="00630B13"/>
    <w:rsid w:val="00630B68"/>
    <w:rsid w:val="00630BA5"/>
    <w:rsid w:val="00630BCC"/>
    <w:rsid w:val="00630BCE"/>
    <w:rsid w:val="00630C3C"/>
    <w:rsid w:val="00630C5B"/>
    <w:rsid w:val="00630C74"/>
    <w:rsid w:val="00630C95"/>
    <w:rsid w:val="00630DFD"/>
    <w:rsid w:val="00630E2A"/>
    <w:rsid w:val="00630E84"/>
    <w:rsid w:val="00630EA7"/>
    <w:rsid w:val="00630F09"/>
    <w:rsid w:val="0063102A"/>
    <w:rsid w:val="0063107B"/>
    <w:rsid w:val="006310E9"/>
    <w:rsid w:val="00631124"/>
    <w:rsid w:val="006311B0"/>
    <w:rsid w:val="00631221"/>
    <w:rsid w:val="0063122E"/>
    <w:rsid w:val="00631244"/>
    <w:rsid w:val="006312FD"/>
    <w:rsid w:val="0063130A"/>
    <w:rsid w:val="0063133C"/>
    <w:rsid w:val="006313B5"/>
    <w:rsid w:val="006313F1"/>
    <w:rsid w:val="006313FF"/>
    <w:rsid w:val="00631520"/>
    <w:rsid w:val="0063159A"/>
    <w:rsid w:val="006315BB"/>
    <w:rsid w:val="006315ED"/>
    <w:rsid w:val="00631615"/>
    <w:rsid w:val="00631665"/>
    <w:rsid w:val="0063166D"/>
    <w:rsid w:val="006316A9"/>
    <w:rsid w:val="006316CC"/>
    <w:rsid w:val="006316D9"/>
    <w:rsid w:val="006317A3"/>
    <w:rsid w:val="006317E1"/>
    <w:rsid w:val="006317F2"/>
    <w:rsid w:val="0063180F"/>
    <w:rsid w:val="0063181D"/>
    <w:rsid w:val="00631827"/>
    <w:rsid w:val="00631881"/>
    <w:rsid w:val="00631930"/>
    <w:rsid w:val="00631931"/>
    <w:rsid w:val="00631945"/>
    <w:rsid w:val="006319AA"/>
    <w:rsid w:val="00631A5A"/>
    <w:rsid w:val="00631B34"/>
    <w:rsid w:val="00631B74"/>
    <w:rsid w:val="00631B7A"/>
    <w:rsid w:val="00631B94"/>
    <w:rsid w:val="00631B99"/>
    <w:rsid w:val="00631BEB"/>
    <w:rsid w:val="00631BFD"/>
    <w:rsid w:val="00631C1A"/>
    <w:rsid w:val="00631C37"/>
    <w:rsid w:val="00631CA3"/>
    <w:rsid w:val="00631CDF"/>
    <w:rsid w:val="00631CE7"/>
    <w:rsid w:val="00631CF6"/>
    <w:rsid w:val="00631D65"/>
    <w:rsid w:val="00631DE8"/>
    <w:rsid w:val="00631E1E"/>
    <w:rsid w:val="00631E2D"/>
    <w:rsid w:val="00631E38"/>
    <w:rsid w:val="00631EA3"/>
    <w:rsid w:val="00631EF3"/>
    <w:rsid w:val="00631F3C"/>
    <w:rsid w:val="00631F44"/>
    <w:rsid w:val="00631F6F"/>
    <w:rsid w:val="00631F92"/>
    <w:rsid w:val="006320AA"/>
    <w:rsid w:val="006320C1"/>
    <w:rsid w:val="00632137"/>
    <w:rsid w:val="0063217E"/>
    <w:rsid w:val="006321B4"/>
    <w:rsid w:val="006321B6"/>
    <w:rsid w:val="006321C6"/>
    <w:rsid w:val="00632233"/>
    <w:rsid w:val="00632235"/>
    <w:rsid w:val="00632266"/>
    <w:rsid w:val="006322C4"/>
    <w:rsid w:val="00632383"/>
    <w:rsid w:val="006323B4"/>
    <w:rsid w:val="006324AE"/>
    <w:rsid w:val="00632506"/>
    <w:rsid w:val="0063250C"/>
    <w:rsid w:val="0063258A"/>
    <w:rsid w:val="006325AE"/>
    <w:rsid w:val="00632607"/>
    <w:rsid w:val="00632676"/>
    <w:rsid w:val="006326D2"/>
    <w:rsid w:val="00632736"/>
    <w:rsid w:val="00632760"/>
    <w:rsid w:val="0063279E"/>
    <w:rsid w:val="0063281D"/>
    <w:rsid w:val="0063283A"/>
    <w:rsid w:val="00632913"/>
    <w:rsid w:val="00632928"/>
    <w:rsid w:val="0063293E"/>
    <w:rsid w:val="00632945"/>
    <w:rsid w:val="00632955"/>
    <w:rsid w:val="00632956"/>
    <w:rsid w:val="0063296B"/>
    <w:rsid w:val="006329E9"/>
    <w:rsid w:val="00632A06"/>
    <w:rsid w:val="00632A61"/>
    <w:rsid w:val="00632A95"/>
    <w:rsid w:val="00632AC1"/>
    <w:rsid w:val="00632C17"/>
    <w:rsid w:val="00632C2A"/>
    <w:rsid w:val="00632CF4"/>
    <w:rsid w:val="00632D33"/>
    <w:rsid w:val="00632D5B"/>
    <w:rsid w:val="00632DAA"/>
    <w:rsid w:val="00632DD3"/>
    <w:rsid w:val="00632E01"/>
    <w:rsid w:val="00632E14"/>
    <w:rsid w:val="00632E24"/>
    <w:rsid w:val="00632E30"/>
    <w:rsid w:val="00632E7E"/>
    <w:rsid w:val="00632EBE"/>
    <w:rsid w:val="00632EE2"/>
    <w:rsid w:val="00632F32"/>
    <w:rsid w:val="00632F62"/>
    <w:rsid w:val="00632FA6"/>
    <w:rsid w:val="00632FFF"/>
    <w:rsid w:val="0063301F"/>
    <w:rsid w:val="00633067"/>
    <w:rsid w:val="006330BD"/>
    <w:rsid w:val="006331BD"/>
    <w:rsid w:val="006331D9"/>
    <w:rsid w:val="006331EB"/>
    <w:rsid w:val="00633267"/>
    <w:rsid w:val="00633269"/>
    <w:rsid w:val="006332D7"/>
    <w:rsid w:val="0063332B"/>
    <w:rsid w:val="00633371"/>
    <w:rsid w:val="006333BB"/>
    <w:rsid w:val="00633401"/>
    <w:rsid w:val="00633465"/>
    <w:rsid w:val="006334DD"/>
    <w:rsid w:val="00633518"/>
    <w:rsid w:val="0063359B"/>
    <w:rsid w:val="00633600"/>
    <w:rsid w:val="00633690"/>
    <w:rsid w:val="00633703"/>
    <w:rsid w:val="00633706"/>
    <w:rsid w:val="00633708"/>
    <w:rsid w:val="00633735"/>
    <w:rsid w:val="00633768"/>
    <w:rsid w:val="006337A4"/>
    <w:rsid w:val="00633830"/>
    <w:rsid w:val="00633836"/>
    <w:rsid w:val="00633878"/>
    <w:rsid w:val="00633885"/>
    <w:rsid w:val="00633890"/>
    <w:rsid w:val="00633953"/>
    <w:rsid w:val="00633996"/>
    <w:rsid w:val="0063399C"/>
    <w:rsid w:val="0063399D"/>
    <w:rsid w:val="00633A76"/>
    <w:rsid w:val="00633AB6"/>
    <w:rsid w:val="00633B54"/>
    <w:rsid w:val="00633B58"/>
    <w:rsid w:val="00633B79"/>
    <w:rsid w:val="00633BE0"/>
    <w:rsid w:val="00633BFB"/>
    <w:rsid w:val="00633C20"/>
    <w:rsid w:val="00633C38"/>
    <w:rsid w:val="00633C59"/>
    <w:rsid w:val="00633C78"/>
    <w:rsid w:val="00633C7F"/>
    <w:rsid w:val="00633D04"/>
    <w:rsid w:val="00633E4F"/>
    <w:rsid w:val="00633EAD"/>
    <w:rsid w:val="00633F6A"/>
    <w:rsid w:val="00633F75"/>
    <w:rsid w:val="00633F8C"/>
    <w:rsid w:val="00633F96"/>
    <w:rsid w:val="00633FB0"/>
    <w:rsid w:val="00633FC4"/>
    <w:rsid w:val="00634002"/>
    <w:rsid w:val="00634010"/>
    <w:rsid w:val="0063403F"/>
    <w:rsid w:val="00634068"/>
    <w:rsid w:val="00634109"/>
    <w:rsid w:val="00634114"/>
    <w:rsid w:val="00634133"/>
    <w:rsid w:val="006341AA"/>
    <w:rsid w:val="006341AB"/>
    <w:rsid w:val="006341D7"/>
    <w:rsid w:val="0063429B"/>
    <w:rsid w:val="006342D7"/>
    <w:rsid w:val="006342E7"/>
    <w:rsid w:val="00634328"/>
    <w:rsid w:val="0063438E"/>
    <w:rsid w:val="006343AF"/>
    <w:rsid w:val="006343EB"/>
    <w:rsid w:val="0063446E"/>
    <w:rsid w:val="00634473"/>
    <w:rsid w:val="006344CD"/>
    <w:rsid w:val="006344D9"/>
    <w:rsid w:val="006344E4"/>
    <w:rsid w:val="006344E5"/>
    <w:rsid w:val="00634578"/>
    <w:rsid w:val="0063458C"/>
    <w:rsid w:val="006345B7"/>
    <w:rsid w:val="006345DE"/>
    <w:rsid w:val="006346E4"/>
    <w:rsid w:val="00634712"/>
    <w:rsid w:val="006347FF"/>
    <w:rsid w:val="0063480A"/>
    <w:rsid w:val="00634853"/>
    <w:rsid w:val="00634894"/>
    <w:rsid w:val="006348E6"/>
    <w:rsid w:val="006348F0"/>
    <w:rsid w:val="0063493A"/>
    <w:rsid w:val="00634978"/>
    <w:rsid w:val="00634A08"/>
    <w:rsid w:val="00634A38"/>
    <w:rsid w:val="00634A71"/>
    <w:rsid w:val="00634BE4"/>
    <w:rsid w:val="00634C06"/>
    <w:rsid w:val="00634C50"/>
    <w:rsid w:val="00634CC8"/>
    <w:rsid w:val="00634CF4"/>
    <w:rsid w:val="00634D1F"/>
    <w:rsid w:val="00634D34"/>
    <w:rsid w:val="00634D50"/>
    <w:rsid w:val="00634D7C"/>
    <w:rsid w:val="00634DC5"/>
    <w:rsid w:val="00634E3D"/>
    <w:rsid w:val="00634E40"/>
    <w:rsid w:val="00634E53"/>
    <w:rsid w:val="00634E94"/>
    <w:rsid w:val="00634EE5"/>
    <w:rsid w:val="00634F85"/>
    <w:rsid w:val="00634FB2"/>
    <w:rsid w:val="00634FF1"/>
    <w:rsid w:val="00635012"/>
    <w:rsid w:val="0063501D"/>
    <w:rsid w:val="00635064"/>
    <w:rsid w:val="0063508B"/>
    <w:rsid w:val="006350E3"/>
    <w:rsid w:val="006350E9"/>
    <w:rsid w:val="0063515E"/>
    <w:rsid w:val="0063518C"/>
    <w:rsid w:val="006351EC"/>
    <w:rsid w:val="00635223"/>
    <w:rsid w:val="00635231"/>
    <w:rsid w:val="00635256"/>
    <w:rsid w:val="00635265"/>
    <w:rsid w:val="0063526C"/>
    <w:rsid w:val="006352A9"/>
    <w:rsid w:val="006353F0"/>
    <w:rsid w:val="0063545A"/>
    <w:rsid w:val="0063547B"/>
    <w:rsid w:val="006354A6"/>
    <w:rsid w:val="00635513"/>
    <w:rsid w:val="00635586"/>
    <w:rsid w:val="006355EF"/>
    <w:rsid w:val="0063562B"/>
    <w:rsid w:val="0063565C"/>
    <w:rsid w:val="006356B7"/>
    <w:rsid w:val="006356E7"/>
    <w:rsid w:val="00635703"/>
    <w:rsid w:val="00635731"/>
    <w:rsid w:val="0063573C"/>
    <w:rsid w:val="0063574D"/>
    <w:rsid w:val="0063575A"/>
    <w:rsid w:val="006357A3"/>
    <w:rsid w:val="006357B6"/>
    <w:rsid w:val="006357C0"/>
    <w:rsid w:val="00635806"/>
    <w:rsid w:val="0063584A"/>
    <w:rsid w:val="0063586A"/>
    <w:rsid w:val="006358F3"/>
    <w:rsid w:val="006358FA"/>
    <w:rsid w:val="00635906"/>
    <w:rsid w:val="00635949"/>
    <w:rsid w:val="0063599A"/>
    <w:rsid w:val="006359B5"/>
    <w:rsid w:val="00635A18"/>
    <w:rsid w:val="00635A24"/>
    <w:rsid w:val="00635A39"/>
    <w:rsid w:val="00635A6B"/>
    <w:rsid w:val="00635A76"/>
    <w:rsid w:val="00635A98"/>
    <w:rsid w:val="00635AC9"/>
    <w:rsid w:val="00635B21"/>
    <w:rsid w:val="00635B43"/>
    <w:rsid w:val="00635B64"/>
    <w:rsid w:val="00635B8F"/>
    <w:rsid w:val="00635BF4"/>
    <w:rsid w:val="00635C90"/>
    <w:rsid w:val="00635CC7"/>
    <w:rsid w:val="00635CFB"/>
    <w:rsid w:val="00635DA8"/>
    <w:rsid w:val="00635E9F"/>
    <w:rsid w:val="00635EB0"/>
    <w:rsid w:val="00635FB5"/>
    <w:rsid w:val="00635FCC"/>
    <w:rsid w:val="00635FD6"/>
    <w:rsid w:val="00635FE5"/>
    <w:rsid w:val="006360EB"/>
    <w:rsid w:val="00636119"/>
    <w:rsid w:val="00636129"/>
    <w:rsid w:val="00636133"/>
    <w:rsid w:val="00636143"/>
    <w:rsid w:val="00636158"/>
    <w:rsid w:val="006361C4"/>
    <w:rsid w:val="006361E8"/>
    <w:rsid w:val="00636229"/>
    <w:rsid w:val="0063622C"/>
    <w:rsid w:val="00636240"/>
    <w:rsid w:val="0063628F"/>
    <w:rsid w:val="006362C2"/>
    <w:rsid w:val="006362CD"/>
    <w:rsid w:val="006362D4"/>
    <w:rsid w:val="0063630C"/>
    <w:rsid w:val="00636443"/>
    <w:rsid w:val="006364C6"/>
    <w:rsid w:val="0063654D"/>
    <w:rsid w:val="0063656B"/>
    <w:rsid w:val="006365E9"/>
    <w:rsid w:val="006365FC"/>
    <w:rsid w:val="0063664F"/>
    <w:rsid w:val="00636672"/>
    <w:rsid w:val="006366EA"/>
    <w:rsid w:val="00636752"/>
    <w:rsid w:val="0063679A"/>
    <w:rsid w:val="006367D5"/>
    <w:rsid w:val="00636944"/>
    <w:rsid w:val="00636993"/>
    <w:rsid w:val="006369C7"/>
    <w:rsid w:val="00636A2D"/>
    <w:rsid w:val="00636A50"/>
    <w:rsid w:val="00636A70"/>
    <w:rsid w:val="00636A8C"/>
    <w:rsid w:val="00636AC4"/>
    <w:rsid w:val="00636B19"/>
    <w:rsid w:val="00636B2A"/>
    <w:rsid w:val="00636B2F"/>
    <w:rsid w:val="00636B4A"/>
    <w:rsid w:val="00636BEF"/>
    <w:rsid w:val="00636DAB"/>
    <w:rsid w:val="00636E09"/>
    <w:rsid w:val="00636E8C"/>
    <w:rsid w:val="00636F97"/>
    <w:rsid w:val="00636FA1"/>
    <w:rsid w:val="00636FAE"/>
    <w:rsid w:val="00636FDB"/>
    <w:rsid w:val="0063708E"/>
    <w:rsid w:val="006370AD"/>
    <w:rsid w:val="006370C6"/>
    <w:rsid w:val="0063712E"/>
    <w:rsid w:val="006371D5"/>
    <w:rsid w:val="006371E9"/>
    <w:rsid w:val="0063727A"/>
    <w:rsid w:val="006372A5"/>
    <w:rsid w:val="00637330"/>
    <w:rsid w:val="00637398"/>
    <w:rsid w:val="006373E9"/>
    <w:rsid w:val="0063740A"/>
    <w:rsid w:val="00637423"/>
    <w:rsid w:val="00637441"/>
    <w:rsid w:val="006374B4"/>
    <w:rsid w:val="006374BB"/>
    <w:rsid w:val="006374C0"/>
    <w:rsid w:val="006374C4"/>
    <w:rsid w:val="006375DA"/>
    <w:rsid w:val="006375F3"/>
    <w:rsid w:val="006375F4"/>
    <w:rsid w:val="00637638"/>
    <w:rsid w:val="0063767C"/>
    <w:rsid w:val="006376A2"/>
    <w:rsid w:val="006376C4"/>
    <w:rsid w:val="006376C6"/>
    <w:rsid w:val="006376D8"/>
    <w:rsid w:val="0063773F"/>
    <w:rsid w:val="0063776E"/>
    <w:rsid w:val="00637773"/>
    <w:rsid w:val="006377A4"/>
    <w:rsid w:val="006377E7"/>
    <w:rsid w:val="00637804"/>
    <w:rsid w:val="006378AB"/>
    <w:rsid w:val="006378AD"/>
    <w:rsid w:val="006378C3"/>
    <w:rsid w:val="006379BF"/>
    <w:rsid w:val="006379D7"/>
    <w:rsid w:val="00637AA0"/>
    <w:rsid w:val="00637B5B"/>
    <w:rsid w:val="00637B84"/>
    <w:rsid w:val="00637BAF"/>
    <w:rsid w:val="00637C10"/>
    <w:rsid w:val="00637C27"/>
    <w:rsid w:val="00637C50"/>
    <w:rsid w:val="00637C89"/>
    <w:rsid w:val="00637CBD"/>
    <w:rsid w:val="00637CEC"/>
    <w:rsid w:val="00637DC2"/>
    <w:rsid w:val="00637E87"/>
    <w:rsid w:val="00637EE0"/>
    <w:rsid w:val="00637F1B"/>
    <w:rsid w:val="00640001"/>
    <w:rsid w:val="0064001B"/>
    <w:rsid w:val="00640076"/>
    <w:rsid w:val="00640088"/>
    <w:rsid w:val="006400A4"/>
    <w:rsid w:val="006400D5"/>
    <w:rsid w:val="0064011E"/>
    <w:rsid w:val="0064013A"/>
    <w:rsid w:val="0064032E"/>
    <w:rsid w:val="0064034B"/>
    <w:rsid w:val="006403DC"/>
    <w:rsid w:val="00640415"/>
    <w:rsid w:val="0064042E"/>
    <w:rsid w:val="006404D7"/>
    <w:rsid w:val="006404EA"/>
    <w:rsid w:val="00640533"/>
    <w:rsid w:val="0064055A"/>
    <w:rsid w:val="00640565"/>
    <w:rsid w:val="0064062F"/>
    <w:rsid w:val="00640648"/>
    <w:rsid w:val="00640668"/>
    <w:rsid w:val="0064067C"/>
    <w:rsid w:val="006406A4"/>
    <w:rsid w:val="006406ED"/>
    <w:rsid w:val="0064070C"/>
    <w:rsid w:val="0064073B"/>
    <w:rsid w:val="0064076E"/>
    <w:rsid w:val="0064079E"/>
    <w:rsid w:val="0064080D"/>
    <w:rsid w:val="0064081D"/>
    <w:rsid w:val="0064086E"/>
    <w:rsid w:val="00640874"/>
    <w:rsid w:val="00640880"/>
    <w:rsid w:val="006408C2"/>
    <w:rsid w:val="0064093F"/>
    <w:rsid w:val="00640987"/>
    <w:rsid w:val="006409DE"/>
    <w:rsid w:val="00640A15"/>
    <w:rsid w:val="00640A69"/>
    <w:rsid w:val="00640B0E"/>
    <w:rsid w:val="00640B28"/>
    <w:rsid w:val="00640B6D"/>
    <w:rsid w:val="00640BB6"/>
    <w:rsid w:val="00640C2A"/>
    <w:rsid w:val="00640C37"/>
    <w:rsid w:val="00640C78"/>
    <w:rsid w:val="00640CD6"/>
    <w:rsid w:val="00640CE1"/>
    <w:rsid w:val="00640D9A"/>
    <w:rsid w:val="00640DEF"/>
    <w:rsid w:val="00640E01"/>
    <w:rsid w:val="00640E4F"/>
    <w:rsid w:val="00640E63"/>
    <w:rsid w:val="00640E76"/>
    <w:rsid w:val="00640F56"/>
    <w:rsid w:val="00640F93"/>
    <w:rsid w:val="00641009"/>
    <w:rsid w:val="00641021"/>
    <w:rsid w:val="00641038"/>
    <w:rsid w:val="0064103D"/>
    <w:rsid w:val="00641054"/>
    <w:rsid w:val="006410D8"/>
    <w:rsid w:val="0064114C"/>
    <w:rsid w:val="006411B1"/>
    <w:rsid w:val="006411C8"/>
    <w:rsid w:val="006411CD"/>
    <w:rsid w:val="006411D8"/>
    <w:rsid w:val="006411E4"/>
    <w:rsid w:val="006411E7"/>
    <w:rsid w:val="0064121E"/>
    <w:rsid w:val="00641248"/>
    <w:rsid w:val="0064125B"/>
    <w:rsid w:val="006412C7"/>
    <w:rsid w:val="00641304"/>
    <w:rsid w:val="00641324"/>
    <w:rsid w:val="00641327"/>
    <w:rsid w:val="006413A1"/>
    <w:rsid w:val="006413CC"/>
    <w:rsid w:val="006413DA"/>
    <w:rsid w:val="00641406"/>
    <w:rsid w:val="00641426"/>
    <w:rsid w:val="00641488"/>
    <w:rsid w:val="0064158E"/>
    <w:rsid w:val="00641594"/>
    <w:rsid w:val="006415C7"/>
    <w:rsid w:val="00641631"/>
    <w:rsid w:val="00641650"/>
    <w:rsid w:val="006417F8"/>
    <w:rsid w:val="00641801"/>
    <w:rsid w:val="00641806"/>
    <w:rsid w:val="0064188B"/>
    <w:rsid w:val="006418A5"/>
    <w:rsid w:val="00641939"/>
    <w:rsid w:val="0064195B"/>
    <w:rsid w:val="00641977"/>
    <w:rsid w:val="0064197E"/>
    <w:rsid w:val="00641A24"/>
    <w:rsid w:val="00641A6E"/>
    <w:rsid w:val="00641A88"/>
    <w:rsid w:val="00641ABC"/>
    <w:rsid w:val="00641AE7"/>
    <w:rsid w:val="00641BBF"/>
    <w:rsid w:val="00641BF1"/>
    <w:rsid w:val="00641C34"/>
    <w:rsid w:val="00641C48"/>
    <w:rsid w:val="00641C7E"/>
    <w:rsid w:val="00641CB0"/>
    <w:rsid w:val="00641CCE"/>
    <w:rsid w:val="00641CFB"/>
    <w:rsid w:val="00641D37"/>
    <w:rsid w:val="00641D3C"/>
    <w:rsid w:val="00641DB8"/>
    <w:rsid w:val="00641DC8"/>
    <w:rsid w:val="00641DF8"/>
    <w:rsid w:val="00641E07"/>
    <w:rsid w:val="00641E8A"/>
    <w:rsid w:val="00641EA0"/>
    <w:rsid w:val="00641EE8"/>
    <w:rsid w:val="00641F79"/>
    <w:rsid w:val="00641F87"/>
    <w:rsid w:val="00641F93"/>
    <w:rsid w:val="00641FA3"/>
    <w:rsid w:val="00641FAD"/>
    <w:rsid w:val="00641FF9"/>
    <w:rsid w:val="00641FFB"/>
    <w:rsid w:val="006420AE"/>
    <w:rsid w:val="0064216E"/>
    <w:rsid w:val="00642183"/>
    <w:rsid w:val="006421EA"/>
    <w:rsid w:val="00642204"/>
    <w:rsid w:val="0064222C"/>
    <w:rsid w:val="006422D2"/>
    <w:rsid w:val="0064235D"/>
    <w:rsid w:val="0064237A"/>
    <w:rsid w:val="0064240D"/>
    <w:rsid w:val="00642428"/>
    <w:rsid w:val="00642437"/>
    <w:rsid w:val="0064249C"/>
    <w:rsid w:val="00642543"/>
    <w:rsid w:val="00642558"/>
    <w:rsid w:val="00642565"/>
    <w:rsid w:val="006425E5"/>
    <w:rsid w:val="0064264C"/>
    <w:rsid w:val="0064266D"/>
    <w:rsid w:val="006426AB"/>
    <w:rsid w:val="006426CA"/>
    <w:rsid w:val="006427B8"/>
    <w:rsid w:val="006427BD"/>
    <w:rsid w:val="006427DD"/>
    <w:rsid w:val="006427FF"/>
    <w:rsid w:val="00642853"/>
    <w:rsid w:val="006428A5"/>
    <w:rsid w:val="0064291B"/>
    <w:rsid w:val="006429F6"/>
    <w:rsid w:val="00642AA3"/>
    <w:rsid w:val="00642AC0"/>
    <w:rsid w:val="00642BEE"/>
    <w:rsid w:val="00642C74"/>
    <w:rsid w:val="00642D0D"/>
    <w:rsid w:val="00642D96"/>
    <w:rsid w:val="00642DC8"/>
    <w:rsid w:val="00642E34"/>
    <w:rsid w:val="00642E71"/>
    <w:rsid w:val="00642E90"/>
    <w:rsid w:val="00642E9E"/>
    <w:rsid w:val="00642ECE"/>
    <w:rsid w:val="00642EDF"/>
    <w:rsid w:val="00642EF2"/>
    <w:rsid w:val="00642F1F"/>
    <w:rsid w:val="00642F90"/>
    <w:rsid w:val="00642FB1"/>
    <w:rsid w:val="00642FB9"/>
    <w:rsid w:val="00643023"/>
    <w:rsid w:val="00643072"/>
    <w:rsid w:val="006430C7"/>
    <w:rsid w:val="006430D3"/>
    <w:rsid w:val="006431DF"/>
    <w:rsid w:val="006432AC"/>
    <w:rsid w:val="006432D6"/>
    <w:rsid w:val="0064330D"/>
    <w:rsid w:val="00643364"/>
    <w:rsid w:val="00643381"/>
    <w:rsid w:val="006433B4"/>
    <w:rsid w:val="006433C5"/>
    <w:rsid w:val="0064341C"/>
    <w:rsid w:val="0064347C"/>
    <w:rsid w:val="0064347F"/>
    <w:rsid w:val="006434F2"/>
    <w:rsid w:val="00643528"/>
    <w:rsid w:val="00643606"/>
    <w:rsid w:val="00643647"/>
    <w:rsid w:val="00643697"/>
    <w:rsid w:val="00643713"/>
    <w:rsid w:val="0064374D"/>
    <w:rsid w:val="0064378E"/>
    <w:rsid w:val="00643796"/>
    <w:rsid w:val="006437F1"/>
    <w:rsid w:val="0064385D"/>
    <w:rsid w:val="0064388A"/>
    <w:rsid w:val="00643907"/>
    <w:rsid w:val="00643919"/>
    <w:rsid w:val="0064395B"/>
    <w:rsid w:val="006439A6"/>
    <w:rsid w:val="00643A01"/>
    <w:rsid w:val="00643A03"/>
    <w:rsid w:val="00643A34"/>
    <w:rsid w:val="00643A3A"/>
    <w:rsid w:val="00643AC3"/>
    <w:rsid w:val="00643B1B"/>
    <w:rsid w:val="00643B25"/>
    <w:rsid w:val="00643B74"/>
    <w:rsid w:val="00643B92"/>
    <w:rsid w:val="00643BB8"/>
    <w:rsid w:val="00643BBA"/>
    <w:rsid w:val="00643C29"/>
    <w:rsid w:val="00643CB2"/>
    <w:rsid w:val="00643CC0"/>
    <w:rsid w:val="00643D2A"/>
    <w:rsid w:val="00643D42"/>
    <w:rsid w:val="00643DBF"/>
    <w:rsid w:val="00643E24"/>
    <w:rsid w:val="00643E65"/>
    <w:rsid w:val="00643E8B"/>
    <w:rsid w:val="00643F0F"/>
    <w:rsid w:val="00643F9A"/>
    <w:rsid w:val="00643FE2"/>
    <w:rsid w:val="00644062"/>
    <w:rsid w:val="006440EE"/>
    <w:rsid w:val="00644139"/>
    <w:rsid w:val="0064414E"/>
    <w:rsid w:val="00644155"/>
    <w:rsid w:val="006441DD"/>
    <w:rsid w:val="0064427A"/>
    <w:rsid w:val="006442AD"/>
    <w:rsid w:val="006442B2"/>
    <w:rsid w:val="006442BA"/>
    <w:rsid w:val="006442D0"/>
    <w:rsid w:val="006442DA"/>
    <w:rsid w:val="006442F1"/>
    <w:rsid w:val="00644301"/>
    <w:rsid w:val="00644338"/>
    <w:rsid w:val="00644356"/>
    <w:rsid w:val="006443D3"/>
    <w:rsid w:val="00644415"/>
    <w:rsid w:val="0064445C"/>
    <w:rsid w:val="006444EC"/>
    <w:rsid w:val="00644504"/>
    <w:rsid w:val="00644642"/>
    <w:rsid w:val="00644678"/>
    <w:rsid w:val="0064468F"/>
    <w:rsid w:val="006446CF"/>
    <w:rsid w:val="006446E5"/>
    <w:rsid w:val="006446E8"/>
    <w:rsid w:val="0064474E"/>
    <w:rsid w:val="00644818"/>
    <w:rsid w:val="006448CF"/>
    <w:rsid w:val="00644910"/>
    <w:rsid w:val="006449FB"/>
    <w:rsid w:val="00644A17"/>
    <w:rsid w:val="00644A1E"/>
    <w:rsid w:val="00644A63"/>
    <w:rsid w:val="00644B1F"/>
    <w:rsid w:val="00644B31"/>
    <w:rsid w:val="00644B72"/>
    <w:rsid w:val="00644BB0"/>
    <w:rsid w:val="00644BB9"/>
    <w:rsid w:val="00644C3F"/>
    <w:rsid w:val="00644CC8"/>
    <w:rsid w:val="00644D1D"/>
    <w:rsid w:val="00644D31"/>
    <w:rsid w:val="00644DDE"/>
    <w:rsid w:val="00644EA2"/>
    <w:rsid w:val="00644EC8"/>
    <w:rsid w:val="00644EF9"/>
    <w:rsid w:val="00644F06"/>
    <w:rsid w:val="00644F0F"/>
    <w:rsid w:val="00644F28"/>
    <w:rsid w:val="00644F9A"/>
    <w:rsid w:val="00645018"/>
    <w:rsid w:val="00645037"/>
    <w:rsid w:val="00645052"/>
    <w:rsid w:val="006450AF"/>
    <w:rsid w:val="006450DE"/>
    <w:rsid w:val="006450E0"/>
    <w:rsid w:val="006450FE"/>
    <w:rsid w:val="006451D3"/>
    <w:rsid w:val="006452A5"/>
    <w:rsid w:val="006452B6"/>
    <w:rsid w:val="006452D4"/>
    <w:rsid w:val="006452DF"/>
    <w:rsid w:val="0064530B"/>
    <w:rsid w:val="00645311"/>
    <w:rsid w:val="0064536F"/>
    <w:rsid w:val="0064537E"/>
    <w:rsid w:val="006453B5"/>
    <w:rsid w:val="006453CB"/>
    <w:rsid w:val="006453E4"/>
    <w:rsid w:val="006453FA"/>
    <w:rsid w:val="00645407"/>
    <w:rsid w:val="0064541F"/>
    <w:rsid w:val="0064542C"/>
    <w:rsid w:val="0064542D"/>
    <w:rsid w:val="006454BD"/>
    <w:rsid w:val="00645502"/>
    <w:rsid w:val="00645508"/>
    <w:rsid w:val="00645552"/>
    <w:rsid w:val="0064555F"/>
    <w:rsid w:val="0064556C"/>
    <w:rsid w:val="006456E7"/>
    <w:rsid w:val="006456EE"/>
    <w:rsid w:val="00645748"/>
    <w:rsid w:val="00645775"/>
    <w:rsid w:val="0064578C"/>
    <w:rsid w:val="0064578D"/>
    <w:rsid w:val="006457D4"/>
    <w:rsid w:val="006457EC"/>
    <w:rsid w:val="00645800"/>
    <w:rsid w:val="00645827"/>
    <w:rsid w:val="00645846"/>
    <w:rsid w:val="0064585B"/>
    <w:rsid w:val="006458DD"/>
    <w:rsid w:val="00645964"/>
    <w:rsid w:val="006459AF"/>
    <w:rsid w:val="006459D8"/>
    <w:rsid w:val="00645A2A"/>
    <w:rsid w:val="00645A5F"/>
    <w:rsid w:val="00645B04"/>
    <w:rsid w:val="00645BB9"/>
    <w:rsid w:val="00645CCA"/>
    <w:rsid w:val="00645D23"/>
    <w:rsid w:val="00645D44"/>
    <w:rsid w:val="00645D4B"/>
    <w:rsid w:val="00645DC6"/>
    <w:rsid w:val="00645DD1"/>
    <w:rsid w:val="00645DFE"/>
    <w:rsid w:val="00645E0F"/>
    <w:rsid w:val="00645E27"/>
    <w:rsid w:val="00645E50"/>
    <w:rsid w:val="00645E53"/>
    <w:rsid w:val="00645E61"/>
    <w:rsid w:val="00645E78"/>
    <w:rsid w:val="00645EB6"/>
    <w:rsid w:val="00645EC5"/>
    <w:rsid w:val="00645FB0"/>
    <w:rsid w:val="00645FCC"/>
    <w:rsid w:val="00646033"/>
    <w:rsid w:val="00646036"/>
    <w:rsid w:val="0064606C"/>
    <w:rsid w:val="00646084"/>
    <w:rsid w:val="006461AE"/>
    <w:rsid w:val="006461C2"/>
    <w:rsid w:val="0064626A"/>
    <w:rsid w:val="006462F0"/>
    <w:rsid w:val="00646341"/>
    <w:rsid w:val="00646367"/>
    <w:rsid w:val="0064637B"/>
    <w:rsid w:val="0064638F"/>
    <w:rsid w:val="00646399"/>
    <w:rsid w:val="006463B5"/>
    <w:rsid w:val="006464BB"/>
    <w:rsid w:val="006465BF"/>
    <w:rsid w:val="006465CC"/>
    <w:rsid w:val="006465E7"/>
    <w:rsid w:val="00646609"/>
    <w:rsid w:val="0064662E"/>
    <w:rsid w:val="006466AF"/>
    <w:rsid w:val="0064679E"/>
    <w:rsid w:val="006467BB"/>
    <w:rsid w:val="006467D8"/>
    <w:rsid w:val="00646805"/>
    <w:rsid w:val="006468BF"/>
    <w:rsid w:val="006468EC"/>
    <w:rsid w:val="006469BD"/>
    <w:rsid w:val="00646A02"/>
    <w:rsid w:val="00646A4A"/>
    <w:rsid w:val="00646A53"/>
    <w:rsid w:val="00646AB4"/>
    <w:rsid w:val="00646AD5"/>
    <w:rsid w:val="00646B0C"/>
    <w:rsid w:val="00646B10"/>
    <w:rsid w:val="00646B52"/>
    <w:rsid w:val="00646BBB"/>
    <w:rsid w:val="00646C62"/>
    <w:rsid w:val="00646D44"/>
    <w:rsid w:val="00646D48"/>
    <w:rsid w:val="00646DBD"/>
    <w:rsid w:val="00646E4A"/>
    <w:rsid w:val="00646E55"/>
    <w:rsid w:val="00646E67"/>
    <w:rsid w:val="00646E76"/>
    <w:rsid w:val="00646E98"/>
    <w:rsid w:val="00646EB5"/>
    <w:rsid w:val="00646EEC"/>
    <w:rsid w:val="00646F1D"/>
    <w:rsid w:val="00646F28"/>
    <w:rsid w:val="00646F2A"/>
    <w:rsid w:val="00646F3E"/>
    <w:rsid w:val="00646F6A"/>
    <w:rsid w:val="00647013"/>
    <w:rsid w:val="00647043"/>
    <w:rsid w:val="0064707F"/>
    <w:rsid w:val="0064709D"/>
    <w:rsid w:val="00647133"/>
    <w:rsid w:val="006471C5"/>
    <w:rsid w:val="00647292"/>
    <w:rsid w:val="00647294"/>
    <w:rsid w:val="006472B6"/>
    <w:rsid w:val="006472E6"/>
    <w:rsid w:val="006472EC"/>
    <w:rsid w:val="0064732A"/>
    <w:rsid w:val="00647340"/>
    <w:rsid w:val="00647453"/>
    <w:rsid w:val="00647459"/>
    <w:rsid w:val="00647471"/>
    <w:rsid w:val="006474B8"/>
    <w:rsid w:val="006474CB"/>
    <w:rsid w:val="00647565"/>
    <w:rsid w:val="006475C5"/>
    <w:rsid w:val="0064767B"/>
    <w:rsid w:val="0064773B"/>
    <w:rsid w:val="00647761"/>
    <w:rsid w:val="00647778"/>
    <w:rsid w:val="00647794"/>
    <w:rsid w:val="006477AE"/>
    <w:rsid w:val="006477D0"/>
    <w:rsid w:val="00647832"/>
    <w:rsid w:val="0064784C"/>
    <w:rsid w:val="0064784F"/>
    <w:rsid w:val="00647895"/>
    <w:rsid w:val="00647913"/>
    <w:rsid w:val="0064794F"/>
    <w:rsid w:val="0064799D"/>
    <w:rsid w:val="00647A23"/>
    <w:rsid w:val="00647A3E"/>
    <w:rsid w:val="00647A69"/>
    <w:rsid w:val="00647A89"/>
    <w:rsid w:val="00647AD0"/>
    <w:rsid w:val="00647B0A"/>
    <w:rsid w:val="00647B1A"/>
    <w:rsid w:val="00647B26"/>
    <w:rsid w:val="00647B33"/>
    <w:rsid w:val="00647B44"/>
    <w:rsid w:val="00647B82"/>
    <w:rsid w:val="00647B85"/>
    <w:rsid w:val="00647C00"/>
    <w:rsid w:val="00647C5F"/>
    <w:rsid w:val="00647D0A"/>
    <w:rsid w:val="00647D0B"/>
    <w:rsid w:val="00647D5D"/>
    <w:rsid w:val="00647D6D"/>
    <w:rsid w:val="00647DA8"/>
    <w:rsid w:val="00647DAD"/>
    <w:rsid w:val="00647E24"/>
    <w:rsid w:val="00647E2E"/>
    <w:rsid w:val="00647E3B"/>
    <w:rsid w:val="00647E8B"/>
    <w:rsid w:val="00647F6C"/>
    <w:rsid w:val="00647F84"/>
    <w:rsid w:val="00647F89"/>
    <w:rsid w:val="00647F8B"/>
    <w:rsid w:val="00650017"/>
    <w:rsid w:val="006500A9"/>
    <w:rsid w:val="006500AC"/>
    <w:rsid w:val="006500FC"/>
    <w:rsid w:val="00650130"/>
    <w:rsid w:val="006501D8"/>
    <w:rsid w:val="0065021A"/>
    <w:rsid w:val="0065025E"/>
    <w:rsid w:val="00650291"/>
    <w:rsid w:val="00650296"/>
    <w:rsid w:val="006502B7"/>
    <w:rsid w:val="006502D1"/>
    <w:rsid w:val="006502D2"/>
    <w:rsid w:val="006502E5"/>
    <w:rsid w:val="006503C8"/>
    <w:rsid w:val="00650425"/>
    <w:rsid w:val="0065046F"/>
    <w:rsid w:val="006504B6"/>
    <w:rsid w:val="00650552"/>
    <w:rsid w:val="00650560"/>
    <w:rsid w:val="006505C3"/>
    <w:rsid w:val="006505E0"/>
    <w:rsid w:val="0065060F"/>
    <w:rsid w:val="00650622"/>
    <w:rsid w:val="0065067A"/>
    <w:rsid w:val="00650697"/>
    <w:rsid w:val="00650712"/>
    <w:rsid w:val="0065078F"/>
    <w:rsid w:val="006507D0"/>
    <w:rsid w:val="00650833"/>
    <w:rsid w:val="00650858"/>
    <w:rsid w:val="00650918"/>
    <w:rsid w:val="00650931"/>
    <w:rsid w:val="006509AD"/>
    <w:rsid w:val="006509E8"/>
    <w:rsid w:val="00650A31"/>
    <w:rsid w:val="00650A4F"/>
    <w:rsid w:val="00650B34"/>
    <w:rsid w:val="00650B4F"/>
    <w:rsid w:val="00650BC5"/>
    <w:rsid w:val="00650C02"/>
    <w:rsid w:val="00650C24"/>
    <w:rsid w:val="00650D09"/>
    <w:rsid w:val="00650D4D"/>
    <w:rsid w:val="00650D78"/>
    <w:rsid w:val="00650DAA"/>
    <w:rsid w:val="00650E42"/>
    <w:rsid w:val="00650E56"/>
    <w:rsid w:val="00650E8C"/>
    <w:rsid w:val="00650ED9"/>
    <w:rsid w:val="00650F01"/>
    <w:rsid w:val="00650F15"/>
    <w:rsid w:val="00650F4B"/>
    <w:rsid w:val="00650F5F"/>
    <w:rsid w:val="00650FB9"/>
    <w:rsid w:val="00651071"/>
    <w:rsid w:val="00651079"/>
    <w:rsid w:val="006510C8"/>
    <w:rsid w:val="0065114B"/>
    <w:rsid w:val="006511A8"/>
    <w:rsid w:val="006511E3"/>
    <w:rsid w:val="00651200"/>
    <w:rsid w:val="00651221"/>
    <w:rsid w:val="00651246"/>
    <w:rsid w:val="00651277"/>
    <w:rsid w:val="0065128D"/>
    <w:rsid w:val="0065131D"/>
    <w:rsid w:val="00651343"/>
    <w:rsid w:val="006513DD"/>
    <w:rsid w:val="006513E4"/>
    <w:rsid w:val="00651400"/>
    <w:rsid w:val="00651426"/>
    <w:rsid w:val="00651428"/>
    <w:rsid w:val="0065145D"/>
    <w:rsid w:val="00651543"/>
    <w:rsid w:val="006515D4"/>
    <w:rsid w:val="0065161F"/>
    <w:rsid w:val="00651724"/>
    <w:rsid w:val="00651732"/>
    <w:rsid w:val="006517A6"/>
    <w:rsid w:val="00651849"/>
    <w:rsid w:val="006518F1"/>
    <w:rsid w:val="006518F6"/>
    <w:rsid w:val="006518F9"/>
    <w:rsid w:val="00651964"/>
    <w:rsid w:val="006519FE"/>
    <w:rsid w:val="00651A03"/>
    <w:rsid w:val="00651A5C"/>
    <w:rsid w:val="00651A9B"/>
    <w:rsid w:val="00651B1C"/>
    <w:rsid w:val="00651B59"/>
    <w:rsid w:val="00651BF8"/>
    <w:rsid w:val="00651C22"/>
    <w:rsid w:val="00651C46"/>
    <w:rsid w:val="00651CAE"/>
    <w:rsid w:val="00651CC4"/>
    <w:rsid w:val="00651D48"/>
    <w:rsid w:val="00651D68"/>
    <w:rsid w:val="00651DE3"/>
    <w:rsid w:val="00651E02"/>
    <w:rsid w:val="00651E47"/>
    <w:rsid w:val="00651E9B"/>
    <w:rsid w:val="00651EA0"/>
    <w:rsid w:val="00651EC0"/>
    <w:rsid w:val="00651EE4"/>
    <w:rsid w:val="00651EF0"/>
    <w:rsid w:val="00651F19"/>
    <w:rsid w:val="00651F76"/>
    <w:rsid w:val="00651F8C"/>
    <w:rsid w:val="00651FDE"/>
    <w:rsid w:val="00651FE1"/>
    <w:rsid w:val="006520C5"/>
    <w:rsid w:val="006520D8"/>
    <w:rsid w:val="0065212E"/>
    <w:rsid w:val="00652166"/>
    <w:rsid w:val="00652181"/>
    <w:rsid w:val="006521B6"/>
    <w:rsid w:val="006521C1"/>
    <w:rsid w:val="00652213"/>
    <w:rsid w:val="0065226E"/>
    <w:rsid w:val="006522D8"/>
    <w:rsid w:val="00652300"/>
    <w:rsid w:val="0065230C"/>
    <w:rsid w:val="0065234E"/>
    <w:rsid w:val="00652382"/>
    <w:rsid w:val="006523C3"/>
    <w:rsid w:val="006523D5"/>
    <w:rsid w:val="0065247C"/>
    <w:rsid w:val="0065248B"/>
    <w:rsid w:val="00652491"/>
    <w:rsid w:val="0065249F"/>
    <w:rsid w:val="006524F6"/>
    <w:rsid w:val="00652542"/>
    <w:rsid w:val="0065255E"/>
    <w:rsid w:val="0065256C"/>
    <w:rsid w:val="006525F5"/>
    <w:rsid w:val="00652610"/>
    <w:rsid w:val="0065262D"/>
    <w:rsid w:val="00652653"/>
    <w:rsid w:val="006526AB"/>
    <w:rsid w:val="006526B7"/>
    <w:rsid w:val="00652703"/>
    <w:rsid w:val="00652710"/>
    <w:rsid w:val="00652771"/>
    <w:rsid w:val="006527D7"/>
    <w:rsid w:val="0065280D"/>
    <w:rsid w:val="0065281E"/>
    <w:rsid w:val="0065288A"/>
    <w:rsid w:val="00652896"/>
    <w:rsid w:val="006528F3"/>
    <w:rsid w:val="0065292C"/>
    <w:rsid w:val="00652956"/>
    <w:rsid w:val="00652A1E"/>
    <w:rsid w:val="00652A3E"/>
    <w:rsid w:val="00652AA3"/>
    <w:rsid w:val="00652AE2"/>
    <w:rsid w:val="00652B14"/>
    <w:rsid w:val="00652B33"/>
    <w:rsid w:val="00652B70"/>
    <w:rsid w:val="00652B9D"/>
    <w:rsid w:val="00652BD3"/>
    <w:rsid w:val="00652BD9"/>
    <w:rsid w:val="00652C51"/>
    <w:rsid w:val="00652CC3"/>
    <w:rsid w:val="00652CCA"/>
    <w:rsid w:val="00652CD7"/>
    <w:rsid w:val="00652CD9"/>
    <w:rsid w:val="00652D08"/>
    <w:rsid w:val="00652D21"/>
    <w:rsid w:val="00652D27"/>
    <w:rsid w:val="00652D51"/>
    <w:rsid w:val="00652D60"/>
    <w:rsid w:val="00652D63"/>
    <w:rsid w:val="00652D92"/>
    <w:rsid w:val="00652DA9"/>
    <w:rsid w:val="00652DFD"/>
    <w:rsid w:val="00652E20"/>
    <w:rsid w:val="00652E6E"/>
    <w:rsid w:val="00652EBC"/>
    <w:rsid w:val="00652F1E"/>
    <w:rsid w:val="00652F32"/>
    <w:rsid w:val="00652F83"/>
    <w:rsid w:val="00652FCB"/>
    <w:rsid w:val="00652FE0"/>
    <w:rsid w:val="00653082"/>
    <w:rsid w:val="006530D5"/>
    <w:rsid w:val="006530DC"/>
    <w:rsid w:val="006530F6"/>
    <w:rsid w:val="00653147"/>
    <w:rsid w:val="0065315D"/>
    <w:rsid w:val="00653160"/>
    <w:rsid w:val="00653179"/>
    <w:rsid w:val="00653242"/>
    <w:rsid w:val="00653434"/>
    <w:rsid w:val="00653537"/>
    <w:rsid w:val="00653544"/>
    <w:rsid w:val="00653567"/>
    <w:rsid w:val="00653590"/>
    <w:rsid w:val="006535C4"/>
    <w:rsid w:val="006535DD"/>
    <w:rsid w:val="00653645"/>
    <w:rsid w:val="006536CA"/>
    <w:rsid w:val="006536EB"/>
    <w:rsid w:val="00653710"/>
    <w:rsid w:val="0065375E"/>
    <w:rsid w:val="006537E3"/>
    <w:rsid w:val="00653834"/>
    <w:rsid w:val="0065383A"/>
    <w:rsid w:val="0065384F"/>
    <w:rsid w:val="0065387D"/>
    <w:rsid w:val="0065387E"/>
    <w:rsid w:val="00653891"/>
    <w:rsid w:val="006538B3"/>
    <w:rsid w:val="006538B8"/>
    <w:rsid w:val="00653969"/>
    <w:rsid w:val="00653A3D"/>
    <w:rsid w:val="00653A65"/>
    <w:rsid w:val="00653A8C"/>
    <w:rsid w:val="00653BED"/>
    <w:rsid w:val="00653C2E"/>
    <w:rsid w:val="00653CB3"/>
    <w:rsid w:val="00653CEB"/>
    <w:rsid w:val="00653D03"/>
    <w:rsid w:val="00653D48"/>
    <w:rsid w:val="00653D9C"/>
    <w:rsid w:val="00653E6B"/>
    <w:rsid w:val="00653E73"/>
    <w:rsid w:val="00653EB9"/>
    <w:rsid w:val="00653ED1"/>
    <w:rsid w:val="00653ED8"/>
    <w:rsid w:val="00653F05"/>
    <w:rsid w:val="00653F1A"/>
    <w:rsid w:val="00653F4B"/>
    <w:rsid w:val="00653F52"/>
    <w:rsid w:val="00653F5E"/>
    <w:rsid w:val="00653FE6"/>
    <w:rsid w:val="00653FEF"/>
    <w:rsid w:val="0065400A"/>
    <w:rsid w:val="0065409D"/>
    <w:rsid w:val="006540AB"/>
    <w:rsid w:val="00654100"/>
    <w:rsid w:val="00654118"/>
    <w:rsid w:val="006541A5"/>
    <w:rsid w:val="006541B2"/>
    <w:rsid w:val="006541C0"/>
    <w:rsid w:val="0065423C"/>
    <w:rsid w:val="0065428F"/>
    <w:rsid w:val="00654321"/>
    <w:rsid w:val="0065434C"/>
    <w:rsid w:val="00654392"/>
    <w:rsid w:val="006543B7"/>
    <w:rsid w:val="0065445A"/>
    <w:rsid w:val="00654463"/>
    <w:rsid w:val="006544BC"/>
    <w:rsid w:val="006544FC"/>
    <w:rsid w:val="00654559"/>
    <w:rsid w:val="00654584"/>
    <w:rsid w:val="006545D3"/>
    <w:rsid w:val="00654624"/>
    <w:rsid w:val="0065462D"/>
    <w:rsid w:val="0065466D"/>
    <w:rsid w:val="0065467B"/>
    <w:rsid w:val="006547F5"/>
    <w:rsid w:val="00654825"/>
    <w:rsid w:val="00654885"/>
    <w:rsid w:val="00654893"/>
    <w:rsid w:val="006548CB"/>
    <w:rsid w:val="00654970"/>
    <w:rsid w:val="00654978"/>
    <w:rsid w:val="0065498B"/>
    <w:rsid w:val="006549B3"/>
    <w:rsid w:val="006549C9"/>
    <w:rsid w:val="00654A04"/>
    <w:rsid w:val="00654AED"/>
    <w:rsid w:val="00654B7E"/>
    <w:rsid w:val="00654BB5"/>
    <w:rsid w:val="00654BB7"/>
    <w:rsid w:val="00654BC4"/>
    <w:rsid w:val="00654BD5"/>
    <w:rsid w:val="00654BDC"/>
    <w:rsid w:val="00654BE2"/>
    <w:rsid w:val="00654C9C"/>
    <w:rsid w:val="00654D20"/>
    <w:rsid w:val="00654D24"/>
    <w:rsid w:val="00654D6B"/>
    <w:rsid w:val="00654DCC"/>
    <w:rsid w:val="00654E09"/>
    <w:rsid w:val="00654E2C"/>
    <w:rsid w:val="00654E67"/>
    <w:rsid w:val="00654E7F"/>
    <w:rsid w:val="00654EE3"/>
    <w:rsid w:val="00654EF9"/>
    <w:rsid w:val="00654F56"/>
    <w:rsid w:val="00655076"/>
    <w:rsid w:val="00655087"/>
    <w:rsid w:val="006550B0"/>
    <w:rsid w:val="006550D4"/>
    <w:rsid w:val="00655155"/>
    <w:rsid w:val="00655239"/>
    <w:rsid w:val="0065523F"/>
    <w:rsid w:val="0065524C"/>
    <w:rsid w:val="00655281"/>
    <w:rsid w:val="006552C1"/>
    <w:rsid w:val="006552E8"/>
    <w:rsid w:val="006552F9"/>
    <w:rsid w:val="00655400"/>
    <w:rsid w:val="0065543A"/>
    <w:rsid w:val="006554E3"/>
    <w:rsid w:val="00655544"/>
    <w:rsid w:val="00655545"/>
    <w:rsid w:val="0065562E"/>
    <w:rsid w:val="00655643"/>
    <w:rsid w:val="0065565A"/>
    <w:rsid w:val="006556FA"/>
    <w:rsid w:val="00655704"/>
    <w:rsid w:val="00655740"/>
    <w:rsid w:val="00655757"/>
    <w:rsid w:val="00655785"/>
    <w:rsid w:val="00655880"/>
    <w:rsid w:val="006558A7"/>
    <w:rsid w:val="00655925"/>
    <w:rsid w:val="00655928"/>
    <w:rsid w:val="0065593D"/>
    <w:rsid w:val="0065594C"/>
    <w:rsid w:val="006559AC"/>
    <w:rsid w:val="006559AE"/>
    <w:rsid w:val="006559D0"/>
    <w:rsid w:val="00655A08"/>
    <w:rsid w:val="00655A0C"/>
    <w:rsid w:val="00655A41"/>
    <w:rsid w:val="00655A49"/>
    <w:rsid w:val="00655A51"/>
    <w:rsid w:val="00655A5A"/>
    <w:rsid w:val="00655AB4"/>
    <w:rsid w:val="00655AF1"/>
    <w:rsid w:val="00655B10"/>
    <w:rsid w:val="00655BF9"/>
    <w:rsid w:val="00655C30"/>
    <w:rsid w:val="00655C7E"/>
    <w:rsid w:val="00655CA0"/>
    <w:rsid w:val="00655CCA"/>
    <w:rsid w:val="00655CCD"/>
    <w:rsid w:val="00655CE0"/>
    <w:rsid w:val="00655CF4"/>
    <w:rsid w:val="00655D74"/>
    <w:rsid w:val="00655DA9"/>
    <w:rsid w:val="00655DE6"/>
    <w:rsid w:val="00655E5C"/>
    <w:rsid w:val="00655EA9"/>
    <w:rsid w:val="00655EBE"/>
    <w:rsid w:val="00655EC0"/>
    <w:rsid w:val="00655F9A"/>
    <w:rsid w:val="00655FCC"/>
    <w:rsid w:val="00656038"/>
    <w:rsid w:val="00656066"/>
    <w:rsid w:val="0065609D"/>
    <w:rsid w:val="006560CF"/>
    <w:rsid w:val="0065611C"/>
    <w:rsid w:val="00656148"/>
    <w:rsid w:val="006561DA"/>
    <w:rsid w:val="006561E6"/>
    <w:rsid w:val="00656240"/>
    <w:rsid w:val="006562DF"/>
    <w:rsid w:val="00656321"/>
    <w:rsid w:val="00656339"/>
    <w:rsid w:val="006563B9"/>
    <w:rsid w:val="006563D5"/>
    <w:rsid w:val="00656461"/>
    <w:rsid w:val="00656485"/>
    <w:rsid w:val="0065648D"/>
    <w:rsid w:val="0065649A"/>
    <w:rsid w:val="006564B5"/>
    <w:rsid w:val="00656517"/>
    <w:rsid w:val="00656546"/>
    <w:rsid w:val="006565A6"/>
    <w:rsid w:val="006565E4"/>
    <w:rsid w:val="00656669"/>
    <w:rsid w:val="006566D1"/>
    <w:rsid w:val="006566FB"/>
    <w:rsid w:val="006567D7"/>
    <w:rsid w:val="00656873"/>
    <w:rsid w:val="0065688C"/>
    <w:rsid w:val="00656890"/>
    <w:rsid w:val="0065693E"/>
    <w:rsid w:val="00656947"/>
    <w:rsid w:val="006569B7"/>
    <w:rsid w:val="006569C0"/>
    <w:rsid w:val="006569DA"/>
    <w:rsid w:val="006569F2"/>
    <w:rsid w:val="00656A0D"/>
    <w:rsid w:val="00656ADD"/>
    <w:rsid w:val="00656AF2"/>
    <w:rsid w:val="00656B42"/>
    <w:rsid w:val="00656B46"/>
    <w:rsid w:val="00656B6A"/>
    <w:rsid w:val="00656B75"/>
    <w:rsid w:val="00656BA3"/>
    <w:rsid w:val="00656BFF"/>
    <w:rsid w:val="00656C9E"/>
    <w:rsid w:val="00656C9F"/>
    <w:rsid w:val="00656DA1"/>
    <w:rsid w:val="00656DB9"/>
    <w:rsid w:val="00656DE2"/>
    <w:rsid w:val="00656DE6"/>
    <w:rsid w:val="00656E49"/>
    <w:rsid w:val="00656EB7"/>
    <w:rsid w:val="00656EFF"/>
    <w:rsid w:val="00656F34"/>
    <w:rsid w:val="00656F9E"/>
    <w:rsid w:val="00656FE6"/>
    <w:rsid w:val="00656FEB"/>
    <w:rsid w:val="00656FFB"/>
    <w:rsid w:val="006570B7"/>
    <w:rsid w:val="00657112"/>
    <w:rsid w:val="006571A4"/>
    <w:rsid w:val="00657215"/>
    <w:rsid w:val="0065726A"/>
    <w:rsid w:val="0065727A"/>
    <w:rsid w:val="00657297"/>
    <w:rsid w:val="006573BB"/>
    <w:rsid w:val="006573E1"/>
    <w:rsid w:val="0065750F"/>
    <w:rsid w:val="00657519"/>
    <w:rsid w:val="00657549"/>
    <w:rsid w:val="006575A2"/>
    <w:rsid w:val="006575AA"/>
    <w:rsid w:val="006576B2"/>
    <w:rsid w:val="006576CA"/>
    <w:rsid w:val="00657703"/>
    <w:rsid w:val="00657773"/>
    <w:rsid w:val="00657780"/>
    <w:rsid w:val="0065778A"/>
    <w:rsid w:val="006577BF"/>
    <w:rsid w:val="006577F7"/>
    <w:rsid w:val="006577FC"/>
    <w:rsid w:val="0065781D"/>
    <w:rsid w:val="00657870"/>
    <w:rsid w:val="00657884"/>
    <w:rsid w:val="0065788A"/>
    <w:rsid w:val="00657952"/>
    <w:rsid w:val="0065797C"/>
    <w:rsid w:val="00657A2D"/>
    <w:rsid w:val="00657A2F"/>
    <w:rsid w:val="00657A8A"/>
    <w:rsid w:val="00657AAB"/>
    <w:rsid w:val="00657ABB"/>
    <w:rsid w:val="00657B70"/>
    <w:rsid w:val="00657B8E"/>
    <w:rsid w:val="00657B91"/>
    <w:rsid w:val="00657BD5"/>
    <w:rsid w:val="00657C16"/>
    <w:rsid w:val="00657C1A"/>
    <w:rsid w:val="00657C64"/>
    <w:rsid w:val="00657C9B"/>
    <w:rsid w:val="00657CA1"/>
    <w:rsid w:val="00657D83"/>
    <w:rsid w:val="00657DB6"/>
    <w:rsid w:val="00657DBC"/>
    <w:rsid w:val="00657DDD"/>
    <w:rsid w:val="00657E01"/>
    <w:rsid w:val="00657E2D"/>
    <w:rsid w:val="00657E88"/>
    <w:rsid w:val="00657F2C"/>
    <w:rsid w:val="00657F92"/>
    <w:rsid w:val="00657F99"/>
    <w:rsid w:val="00657FCF"/>
    <w:rsid w:val="00660053"/>
    <w:rsid w:val="006600F4"/>
    <w:rsid w:val="00660128"/>
    <w:rsid w:val="00660162"/>
    <w:rsid w:val="006601A7"/>
    <w:rsid w:val="00660202"/>
    <w:rsid w:val="00660203"/>
    <w:rsid w:val="00660206"/>
    <w:rsid w:val="00660252"/>
    <w:rsid w:val="006602AA"/>
    <w:rsid w:val="0066035B"/>
    <w:rsid w:val="0066036C"/>
    <w:rsid w:val="006603A7"/>
    <w:rsid w:val="0066042A"/>
    <w:rsid w:val="0066049B"/>
    <w:rsid w:val="006604CE"/>
    <w:rsid w:val="00660522"/>
    <w:rsid w:val="00660549"/>
    <w:rsid w:val="00660576"/>
    <w:rsid w:val="00660588"/>
    <w:rsid w:val="006605AA"/>
    <w:rsid w:val="006605C4"/>
    <w:rsid w:val="00660600"/>
    <w:rsid w:val="00660619"/>
    <w:rsid w:val="0066061F"/>
    <w:rsid w:val="00660643"/>
    <w:rsid w:val="00660659"/>
    <w:rsid w:val="006606B4"/>
    <w:rsid w:val="006606FB"/>
    <w:rsid w:val="0066070F"/>
    <w:rsid w:val="00660735"/>
    <w:rsid w:val="00660738"/>
    <w:rsid w:val="006607E2"/>
    <w:rsid w:val="00660860"/>
    <w:rsid w:val="006608F7"/>
    <w:rsid w:val="00660938"/>
    <w:rsid w:val="0066093A"/>
    <w:rsid w:val="006609C5"/>
    <w:rsid w:val="006609C7"/>
    <w:rsid w:val="006609D0"/>
    <w:rsid w:val="006609F6"/>
    <w:rsid w:val="00660A2F"/>
    <w:rsid w:val="00660A47"/>
    <w:rsid w:val="00660AAC"/>
    <w:rsid w:val="00660B03"/>
    <w:rsid w:val="00660B3F"/>
    <w:rsid w:val="00660C87"/>
    <w:rsid w:val="00660C9A"/>
    <w:rsid w:val="00660CD0"/>
    <w:rsid w:val="00660CDD"/>
    <w:rsid w:val="00660D8B"/>
    <w:rsid w:val="00660E1E"/>
    <w:rsid w:val="00660E90"/>
    <w:rsid w:val="00660E9A"/>
    <w:rsid w:val="00660EEB"/>
    <w:rsid w:val="00660F02"/>
    <w:rsid w:val="00660F28"/>
    <w:rsid w:val="00660F76"/>
    <w:rsid w:val="00660F92"/>
    <w:rsid w:val="00660FC4"/>
    <w:rsid w:val="006610AA"/>
    <w:rsid w:val="006610BF"/>
    <w:rsid w:val="006610E5"/>
    <w:rsid w:val="00661115"/>
    <w:rsid w:val="00661242"/>
    <w:rsid w:val="00661246"/>
    <w:rsid w:val="00661249"/>
    <w:rsid w:val="00661387"/>
    <w:rsid w:val="006613B1"/>
    <w:rsid w:val="006613D3"/>
    <w:rsid w:val="006613FF"/>
    <w:rsid w:val="00661449"/>
    <w:rsid w:val="0066150C"/>
    <w:rsid w:val="0066151F"/>
    <w:rsid w:val="00661539"/>
    <w:rsid w:val="0066155A"/>
    <w:rsid w:val="00661696"/>
    <w:rsid w:val="006616D4"/>
    <w:rsid w:val="006616DC"/>
    <w:rsid w:val="00661724"/>
    <w:rsid w:val="0066173C"/>
    <w:rsid w:val="006617DE"/>
    <w:rsid w:val="00661857"/>
    <w:rsid w:val="0066190E"/>
    <w:rsid w:val="00661953"/>
    <w:rsid w:val="00661959"/>
    <w:rsid w:val="00661A66"/>
    <w:rsid w:val="00661AE3"/>
    <w:rsid w:val="00661B04"/>
    <w:rsid w:val="00661C10"/>
    <w:rsid w:val="00661C7A"/>
    <w:rsid w:val="00661D61"/>
    <w:rsid w:val="00661D65"/>
    <w:rsid w:val="00661D66"/>
    <w:rsid w:val="00661DB1"/>
    <w:rsid w:val="00661DB5"/>
    <w:rsid w:val="00661E63"/>
    <w:rsid w:val="00661E6E"/>
    <w:rsid w:val="00661EFF"/>
    <w:rsid w:val="00661F3F"/>
    <w:rsid w:val="00661F43"/>
    <w:rsid w:val="00661F4F"/>
    <w:rsid w:val="00661F5D"/>
    <w:rsid w:val="00661F8D"/>
    <w:rsid w:val="00661F9D"/>
    <w:rsid w:val="00662082"/>
    <w:rsid w:val="0066208D"/>
    <w:rsid w:val="00662094"/>
    <w:rsid w:val="006620AA"/>
    <w:rsid w:val="006620D0"/>
    <w:rsid w:val="00662118"/>
    <w:rsid w:val="00662130"/>
    <w:rsid w:val="00662145"/>
    <w:rsid w:val="0066214A"/>
    <w:rsid w:val="00662178"/>
    <w:rsid w:val="00662195"/>
    <w:rsid w:val="00662235"/>
    <w:rsid w:val="006622D8"/>
    <w:rsid w:val="006622FD"/>
    <w:rsid w:val="006623A7"/>
    <w:rsid w:val="0066240D"/>
    <w:rsid w:val="00662451"/>
    <w:rsid w:val="00662477"/>
    <w:rsid w:val="0066249E"/>
    <w:rsid w:val="006625DF"/>
    <w:rsid w:val="006625F1"/>
    <w:rsid w:val="00662693"/>
    <w:rsid w:val="00662697"/>
    <w:rsid w:val="00662709"/>
    <w:rsid w:val="00662715"/>
    <w:rsid w:val="0066276C"/>
    <w:rsid w:val="006627B7"/>
    <w:rsid w:val="006628AC"/>
    <w:rsid w:val="006628E0"/>
    <w:rsid w:val="00662927"/>
    <w:rsid w:val="006629DC"/>
    <w:rsid w:val="00662A67"/>
    <w:rsid w:val="00662B1D"/>
    <w:rsid w:val="00662BB7"/>
    <w:rsid w:val="00662BC4"/>
    <w:rsid w:val="00662C88"/>
    <w:rsid w:val="00662CAE"/>
    <w:rsid w:val="00662CED"/>
    <w:rsid w:val="00662E1E"/>
    <w:rsid w:val="00662E21"/>
    <w:rsid w:val="00662E8E"/>
    <w:rsid w:val="00662EAA"/>
    <w:rsid w:val="00662F30"/>
    <w:rsid w:val="00662FD0"/>
    <w:rsid w:val="00662FFA"/>
    <w:rsid w:val="0066302E"/>
    <w:rsid w:val="006630D0"/>
    <w:rsid w:val="006631E0"/>
    <w:rsid w:val="00663257"/>
    <w:rsid w:val="00663347"/>
    <w:rsid w:val="00663394"/>
    <w:rsid w:val="006633CD"/>
    <w:rsid w:val="006633D9"/>
    <w:rsid w:val="006633DC"/>
    <w:rsid w:val="006633EA"/>
    <w:rsid w:val="00663406"/>
    <w:rsid w:val="00663437"/>
    <w:rsid w:val="00663462"/>
    <w:rsid w:val="00663471"/>
    <w:rsid w:val="006634AE"/>
    <w:rsid w:val="006634F3"/>
    <w:rsid w:val="00663552"/>
    <w:rsid w:val="00663607"/>
    <w:rsid w:val="0066365B"/>
    <w:rsid w:val="00663696"/>
    <w:rsid w:val="0066378C"/>
    <w:rsid w:val="006637A4"/>
    <w:rsid w:val="006637D8"/>
    <w:rsid w:val="00663833"/>
    <w:rsid w:val="0066384F"/>
    <w:rsid w:val="00663938"/>
    <w:rsid w:val="0066393B"/>
    <w:rsid w:val="0066396A"/>
    <w:rsid w:val="00663984"/>
    <w:rsid w:val="006639AD"/>
    <w:rsid w:val="006639B1"/>
    <w:rsid w:val="006639B5"/>
    <w:rsid w:val="006639C4"/>
    <w:rsid w:val="00663A41"/>
    <w:rsid w:val="00663AAC"/>
    <w:rsid w:val="00663B0D"/>
    <w:rsid w:val="00663B38"/>
    <w:rsid w:val="00663B53"/>
    <w:rsid w:val="00663C04"/>
    <w:rsid w:val="00663C77"/>
    <w:rsid w:val="00663D4B"/>
    <w:rsid w:val="00663DB1"/>
    <w:rsid w:val="00663DE7"/>
    <w:rsid w:val="00663E2F"/>
    <w:rsid w:val="00663E86"/>
    <w:rsid w:val="00663E99"/>
    <w:rsid w:val="00663EBC"/>
    <w:rsid w:val="00663FBE"/>
    <w:rsid w:val="006640A7"/>
    <w:rsid w:val="006640B4"/>
    <w:rsid w:val="006640EC"/>
    <w:rsid w:val="0066416E"/>
    <w:rsid w:val="00664184"/>
    <w:rsid w:val="00664193"/>
    <w:rsid w:val="0066419E"/>
    <w:rsid w:val="006641B8"/>
    <w:rsid w:val="006641DB"/>
    <w:rsid w:val="006641E8"/>
    <w:rsid w:val="00664209"/>
    <w:rsid w:val="006642A8"/>
    <w:rsid w:val="006642E8"/>
    <w:rsid w:val="0066430F"/>
    <w:rsid w:val="00664316"/>
    <w:rsid w:val="006643B5"/>
    <w:rsid w:val="006643CF"/>
    <w:rsid w:val="00664415"/>
    <w:rsid w:val="00664461"/>
    <w:rsid w:val="00664587"/>
    <w:rsid w:val="006645D5"/>
    <w:rsid w:val="0066461A"/>
    <w:rsid w:val="0066461D"/>
    <w:rsid w:val="006646DD"/>
    <w:rsid w:val="00664791"/>
    <w:rsid w:val="006647A3"/>
    <w:rsid w:val="006647C0"/>
    <w:rsid w:val="006647EE"/>
    <w:rsid w:val="0066484C"/>
    <w:rsid w:val="00664994"/>
    <w:rsid w:val="006649A0"/>
    <w:rsid w:val="00664A4B"/>
    <w:rsid w:val="00664B24"/>
    <w:rsid w:val="00664B53"/>
    <w:rsid w:val="00664C0B"/>
    <w:rsid w:val="00664C23"/>
    <w:rsid w:val="00664D47"/>
    <w:rsid w:val="00664D52"/>
    <w:rsid w:val="00664D6E"/>
    <w:rsid w:val="00664D90"/>
    <w:rsid w:val="00664E43"/>
    <w:rsid w:val="00664E5F"/>
    <w:rsid w:val="00664E63"/>
    <w:rsid w:val="00664E72"/>
    <w:rsid w:val="00664F4B"/>
    <w:rsid w:val="0066501A"/>
    <w:rsid w:val="00665022"/>
    <w:rsid w:val="00665048"/>
    <w:rsid w:val="0066504A"/>
    <w:rsid w:val="0066511E"/>
    <w:rsid w:val="006651B5"/>
    <w:rsid w:val="0066520C"/>
    <w:rsid w:val="00665213"/>
    <w:rsid w:val="00665259"/>
    <w:rsid w:val="00665304"/>
    <w:rsid w:val="0066540A"/>
    <w:rsid w:val="0066540B"/>
    <w:rsid w:val="0066541D"/>
    <w:rsid w:val="0066542E"/>
    <w:rsid w:val="0066543D"/>
    <w:rsid w:val="00665452"/>
    <w:rsid w:val="0066547A"/>
    <w:rsid w:val="006654FE"/>
    <w:rsid w:val="00665584"/>
    <w:rsid w:val="00665612"/>
    <w:rsid w:val="00665626"/>
    <w:rsid w:val="006656CF"/>
    <w:rsid w:val="006656D7"/>
    <w:rsid w:val="006656F2"/>
    <w:rsid w:val="006656FC"/>
    <w:rsid w:val="00665729"/>
    <w:rsid w:val="00665774"/>
    <w:rsid w:val="006657B7"/>
    <w:rsid w:val="006658AE"/>
    <w:rsid w:val="00665924"/>
    <w:rsid w:val="00665929"/>
    <w:rsid w:val="00665966"/>
    <w:rsid w:val="00665989"/>
    <w:rsid w:val="0066598C"/>
    <w:rsid w:val="006659F3"/>
    <w:rsid w:val="00665A01"/>
    <w:rsid w:val="00665A90"/>
    <w:rsid w:val="00665B1A"/>
    <w:rsid w:val="00665B5E"/>
    <w:rsid w:val="00665BA3"/>
    <w:rsid w:val="00665BBC"/>
    <w:rsid w:val="00665BFD"/>
    <w:rsid w:val="00665C73"/>
    <w:rsid w:val="00665CDD"/>
    <w:rsid w:val="00665CE5"/>
    <w:rsid w:val="00665D3B"/>
    <w:rsid w:val="00665D4F"/>
    <w:rsid w:val="00665DAD"/>
    <w:rsid w:val="00665E01"/>
    <w:rsid w:val="00665E1F"/>
    <w:rsid w:val="00665E2C"/>
    <w:rsid w:val="00665E88"/>
    <w:rsid w:val="00665EE9"/>
    <w:rsid w:val="00665F75"/>
    <w:rsid w:val="00665FBF"/>
    <w:rsid w:val="00665FCE"/>
    <w:rsid w:val="006660B3"/>
    <w:rsid w:val="006660B7"/>
    <w:rsid w:val="006660F8"/>
    <w:rsid w:val="006660FA"/>
    <w:rsid w:val="00666117"/>
    <w:rsid w:val="0066612C"/>
    <w:rsid w:val="00666146"/>
    <w:rsid w:val="006661F0"/>
    <w:rsid w:val="00666227"/>
    <w:rsid w:val="006662A6"/>
    <w:rsid w:val="006662E5"/>
    <w:rsid w:val="006662E8"/>
    <w:rsid w:val="00666302"/>
    <w:rsid w:val="0066634E"/>
    <w:rsid w:val="0066639A"/>
    <w:rsid w:val="006663D2"/>
    <w:rsid w:val="00666408"/>
    <w:rsid w:val="00666439"/>
    <w:rsid w:val="00666493"/>
    <w:rsid w:val="006664A1"/>
    <w:rsid w:val="006664C6"/>
    <w:rsid w:val="006664CC"/>
    <w:rsid w:val="006664CF"/>
    <w:rsid w:val="006664E7"/>
    <w:rsid w:val="0066651D"/>
    <w:rsid w:val="00666560"/>
    <w:rsid w:val="00666572"/>
    <w:rsid w:val="00666605"/>
    <w:rsid w:val="0066662A"/>
    <w:rsid w:val="00666698"/>
    <w:rsid w:val="006666A8"/>
    <w:rsid w:val="006666B5"/>
    <w:rsid w:val="00666700"/>
    <w:rsid w:val="00666761"/>
    <w:rsid w:val="0066684C"/>
    <w:rsid w:val="0066684E"/>
    <w:rsid w:val="0066686C"/>
    <w:rsid w:val="0066689B"/>
    <w:rsid w:val="00666902"/>
    <w:rsid w:val="006669AB"/>
    <w:rsid w:val="00666A97"/>
    <w:rsid w:val="00666AD1"/>
    <w:rsid w:val="00666AF3"/>
    <w:rsid w:val="00666B0F"/>
    <w:rsid w:val="00666B33"/>
    <w:rsid w:val="00666B46"/>
    <w:rsid w:val="00666B53"/>
    <w:rsid w:val="00666BA9"/>
    <w:rsid w:val="00666BB0"/>
    <w:rsid w:val="00666C59"/>
    <w:rsid w:val="00666C5E"/>
    <w:rsid w:val="00666CA0"/>
    <w:rsid w:val="00666D6C"/>
    <w:rsid w:val="00666DC0"/>
    <w:rsid w:val="00666E5F"/>
    <w:rsid w:val="00666E6B"/>
    <w:rsid w:val="00666E8A"/>
    <w:rsid w:val="00666EC1"/>
    <w:rsid w:val="00666EEA"/>
    <w:rsid w:val="00666F30"/>
    <w:rsid w:val="00666F72"/>
    <w:rsid w:val="00667018"/>
    <w:rsid w:val="0066706C"/>
    <w:rsid w:val="006670D3"/>
    <w:rsid w:val="0066710D"/>
    <w:rsid w:val="0066711A"/>
    <w:rsid w:val="00667128"/>
    <w:rsid w:val="00667148"/>
    <w:rsid w:val="00667219"/>
    <w:rsid w:val="00667232"/>
    <w:rsid w:val="00667261"/>
    <w:rsid w:val="006672D8"/>
    <w:rsid w:val="006672F5"/>
    <w:rsid w:val="00667309"/>
    <w:rsid w:val="006673BD"/>
    <w:rsid w:val="00667406"/>
    <w:rsid w:val="0066745A"/>
    <w:rsid w:val="006674BD"/>
    <w:rsid w:val="006674D1"/>
    <w:rsid w:val="00667556"/>
    <w:rsid w:val="00667580"/>
    <w:rsid w:val="00667594"/>
    <w:rsid w:val="00667595"/>
    <w:rsid w:val="00667599"/>
    <w:rsid w:val="006675D4"/>
    <w:rsid w:val="006675DA"/>
    <w:rsid w:val="006675ED"/>
    <w:rsid w:val="00667611"/>
    <w:rsid w:val="00667632"/>
    <w:rsid w:val="00667680"/>
    <w:rsid w:val="006676DC"/>
    <w:rsid w:val="006676F2"/>
    <w:rsid w:val="006677A1"/>
    <w:rsid w:val="006677DA"/>
    <w:rsid w:val="006677F4"/>
    <w:rsid w:val="00667841"/>
    <w:rsid w:val="00667959"/>
    <w:rsid w:val="006679A1"/>
    <w:rsid w:val="006679D7"/>
    <w:rsid w:val="00667A5C"/>
    <w:rsid w:val="00667A81"/>
    <w:rsid w:val="00667A86"/>
    <w:rsid w:val="00667AE1"/>
    <w:rsid w:val="00667B20"/>
    <w:rsid w:val="00667B41"/>
    <w:rsid w:val="00667B4D"/>
    <w:rsid w:val="00667BC5"/>
    <w:rsid w:val="00667C23"/>
    <w:rsid w:val="00667C66"/>
    <w:rsid w:val="00667C7C"/>
    <w:rsid w:val="00667CB5"/>
    <w:rsid w:val="00667D15"/>
    <w:rsid w:val="00667DAC"/>
    <w:rsid w:val="00667E9F"/>
    <w:rsid w:val="00667ECD"/>
    <w:rsid w:val="00667F6B"/>
    <w:rsid w:val="00667FE4"/>
    <w:rsid w:val="00667FFD"/>
    <w:rsid w:val="00670108"/>
    <w:rsid w:val="00670178"/>
    <w:rsid w:val="006701A3"/>
    <w:rsid w:val="006701C8"/>
    <w:rsid w:val="00670203"/>
    <w:rsid w:val="0067036D"/>
    <w:rsid w:val="00670414"/>
    <w:rsid w:val="00670435"/>
    <w:rsid w:val="0067045F"/>
    <w:rsid w:val="00670541"/>
    <w:rsid w:val="006705A1"/>
    <w:rsid w:val="006705BC"/>
    <w:rsid w:val="006705E4"/>
    <w:rsid w:val="00670618"/>
    <w:rsid w:val="00670622"/>
    <w:rsid w:val="00670652"/>
    <w:rsid w:val="00670665"/>
    <w:rsid w:val="00670693"/>
    <w:rsid w:val="006706C9"/>
    <w:rsid w:val="0067078D"/>
    <w:rsid w:val="00670798"/>
    <w:rsid w:val="0067087F"/>
    <w:rsid w:val="0067089F"/>
    <w:rsid w:val="00670965"/>
    <w:rsid w:val="00670A27"/>
    <w:rsid w:val="00670A8D"/>
    <w:rsid w:val="00670AB3"/>
    <w:rsid w:val="00670AB8"/>
    <w:rsid w:val="00670ACA"/>
    <w:rsid w:val="00670AE9"/>
    <w:rsid w:val="00670B10"/>
    <w:rsid w:val="00670B5A"/>
    <w:rsid w:val="00670BA1"/>
    <w:rsid w:val="00670BC5"/>
    <w:rsid w:val="00670C0D"/>
    <w:rsid w:val="00670C88"/>
    <w:rsid w:val="00670CB0"/>
    <w:rsid w:val="00670D5D"/>
    <w:rsid w:val="00670D89"/>
    <w:rsid w:val="00670DB6"/>
    <w:rsid w:val="00670E2C"/>
    <w:rsid w:val="00670E5F"/>
    <w:rsid w:val="00670E95"/>
    <w:rsid w:val="00670EFF"/>
    <w:rsid w:val="00670F2D"/>
    <w:rsid w:val="00670F9B"/>
    <w:rsid w:val="00670FE7"/>
    <w:rsid w:val="00671085"/>
    <w:rsid w:val="00671098"/>
    <w:rsid w:val="006710E0"/>
    <w:rsid w:val="00671111"/>
    <w:rsid w:val="006711FB"/>
    <w:rsid w:val="0067125D"/>
    <w:rsid w:val="00671275"/>
    <w:rsid w:val="00671289"/>
    <w:rsid w:val="00671300"/>
    <w:rsid w:val="0067131F"/>
    <w:rsid w:val="0067132A"/>
    <w:rsid w:val="0067138F"/>
    <w:rsid w:val="006713DD"/>
    <w:rsid w:val="006713F5"/>
    <w:rsid w:val="00671422"/>
    <w:rsid w:val="0067148F"/>
    <w:rsid w:val="0067149C"/>
    <w:rsid w:val="00671526"/>
    <w:rsid w:val="0067154F"/>
    <w:rsid w:val="0067155C"/>
    <w:rsid w:val="0067161E"/>
    <w:rsid w:val="0067164C"/>
    <w:rsid w:val="0067167C"/>
    <w:rsid w:val="00671744"/>
    <w:rsid w:val="00671750"/>
    <w:rsid w:val="00671785"/>
    <w:rsid w:val="006717C7"/>
    <w:rsid w:val="00671869"/>
    <w:rsid w:val="00671882"/>
    <w:rsid w:val="006718A1"/>
    <w:rsid w:val="006718AF"/>
    <w:rsid w:val="006718D0"/>
    <w:rsid w:val="0067192A"/>
    <w:rsid w:val="00671A69"/>
    <w:rsid w:val="00671B15"/>
    <w:rsid w:val="00671B3C"/>
    <w:rsid w:val="00671B82"/>
    <w:rsid w:val="00671BA8"/>
    <w:rsid w:val="00671BA9"/>
    <w:rsid w:val="00671C1A"/>
    <w:rsid w:val="00671CE6"/>
    <w:rsid w:val="00671CEF"/>
    <w:rsid w:val="00671D47"/>
    <w:rsid w:val="00671D54"/>
    <w:rsid w:val="00671D67"/>
    <w:rsid w:val="00671DB9"/>
    <w:rsid w:val="00671DC5"/>
    <w:rsid w:val="00671DC7"/>
    <w:rsid w:val="00671DCE"/>
    <w:rsid w:val="00671DEF"/>
    <w:rsid w:val="00671E4F"/>
    <w:rsid w:val="00671E5E"/>
    <w:rsid w:val="00671E91"/>
    <w:rsid w:val="00671EFF"/>
    <w:rsid w:val="00671F57"/>
    <w:rsid w:val="0067202F"/>
    <w:rsid w:val="00672039"/>
    <w:rsid w:val="0067210B"/>
    <w:rsid w:val="0067212A"/>
    <w:rsid w:val="0067222C"/>
    <w:rsid w:val="0067222F"/>
    <w:rsid w:val="0067226B"/>
    <w:rsid w:val="00672274"/>
    <w:rsid w:val="0067230D"/>
    <w:rsid w:val="00672335"/>
    <w:rsid w:val="006723D9"/>
    <w:rsid w:val="006723E8"/>
    <w:rsid w:val="0067240B"/>
    <w:rsid w:val="006724C9"/>
    <w:rsid w:val="006724ED"/>
    <w:rsid w:val="006724F0"/>
    <w:rsid w:val="00672512"/>
    <w:rsid w:val="0067257F"/>
    <w:rsid w:val="00672589"/>
    <w:rsid w:val="006725CE"/>
    <w:rsid w:val="0067260C"/>
    <w:rsid w:val="0067264F"/>
    <w:rsid w:val="00672654"/>
    <w:rsid w:val="0067269A"/>
    <w:rsid w:val="006726BD"/>
    <w:rsid w:val="0067270C"/>
    <w:rsid w:val="00672776"/>
    <w:rsid w:val="0067283E"/>
    <w:rsid w:val="00672939"/>
    <w:rsid w:val="0067293B"/>
    <w:rsid w:val="0067293C"/>
    <w:rsid w:val="00672946"/>
    <w:rsid w:val="0067297D"/>
    <w:rsid w:val="006729B4"/>
    <w:rsid w:val="006729B7"/>
    <w:rsid w:val="00672A76"/>
    <w:rsid w:val="00672AAA"/>
    <w:rsid w:val="00672AB0"/>
    <w:rsid w:val="00672AFD"/>
    <w:rsid w:val="00672B33"/>
    <w:rsid w:val="00672C73"/>
    <w:rsid w:val="00672CFF"/>
    <w:rsid w:val="00672D43"/>
    <w:rsid w:val="00672D88"/>
    <w:rsid w:val="00672D97"/>
    <w:rsid w:val="00672D98"/>
    <w:rsid w:val="00672E4D"/>
    <w:rsid w:val="00672E53"/>
    <w:rsid w:val="00672E5A"/>
    <w:rsid w:val="00672E6D"/>
    <w:rsid w:val="00672F1C"/>
    <w:rsid w:val="00672F33"/>
    <w:rsid w:val="00672F9E"/>
    <w:rsid w:val="00672FE4"/>
    <w:rsid w:val="0067301E"/>
    <w:rsid w:val="006730EF"/>
    <w:rsid w:val="006731B4"/>
    <w:rsid w:val="006731C8"/>
    <w:rsid w:val="006731D6"/>
    <w:rsid w:val="00673225"/>
    <w:rsid w:val="006732D3"/>
    <w:rsid w:val="006732F9"/>
    <w:rsid w:val="0067336F"/>
    <w:rsid w:val="00673376"/>
    <w:rsid w:val="006733C3"/>
    <w:rsid w:val="006733EE"/>
    <w:rsid w:val="0067343E"/>
    <w:rsid w:val="006734E6"/>
    <w:rsid w:val="006734F5"/>
    <w:rsid w:val="0067352D"/>
    <w:rsid w:val="00673560"/>
    <w:rsid w:val="00673564"/>
    <w:rsid w:val="00673589"/>
    <w:rsid w:val="00673604"/>
    <w:rsid w:val="0067360C"/>
    <w:rsid w:val="006736D8"/>
    <w:rsid w:val="006736EF"/>
    <w:rsid w:val="006736F1"/>
    <w:rsid w:val="00673776"/>
    <w:rsid w:val="006737BF"/>
    <w:rsid w:val="006737C1"/>
    <w:rsid w:val="0067386F"/>
    <w:rsid w:val="006738C3"/>
    <w:rsid w:val="006738F9"/>
    <w:rsid w:val="006738FC"/>
    <w:rsid w:val="00673911"/>
    <w:rsid w:val="00673967"/>
    <w:rsid w:val="0067396F"/>
    <w:rsid w:val="006739CE"/>
    <w:rsid w:val="006739E6"/>
    <w:rsid w:val="006739ED"/>
    <w:rsid w:val="00673AD5"/>
    <w:rsid w:val="00673B21"/>
    <w:rsid w:val="00673B66"/>
    <w:rsid w:val="00673B67"/>
    <w:rsid w:val="00673BA9"/>
    <w:rsid w:val="00673BD1"/>
    <w:rsid w:val="00673C53"/>
    <w:rsid w:val="00673CC5"/>
    <w:rsid w:val="00673CD9"/>
    <w:rsid w:val="00673D4B"/>
    <w:rsid w:val="00673D81"/>
    <w:rsid w:val="00673DA3"/>
    <w:rsid w:val="00673DAE"/>
    <w:rsid w:val="00673DB5"/>
    <w:rsid w:val="00673E38"/>
    <w:rsid w:val="00673E85"/>
    <w:rsid w:val="00673EC3"/>
    <w:rsid w:val="00673F3C"/>
    <w:rsid w:val="00673F70"/>
    <w:rsid w:val="00673FCF"/>
    <w:rsid w:val="00674005"/>
    <w:rsid w:val="0067407B"/>
    <w:rsid w:val="006740BF"/>
    <w:rsid w:val="006740D6"/>
    <w:rsid w:val="006740DA"/>
    <w:rsid w:val="00674181"/>
    <w:rsid w:val="0067419D"/>
    <w:rsid w:val="006741AA"/>
    <w:rsid w:val="006741E5"/>
    <w:rsid w:val="006741F9"/>
    <w:rsid w:val="0067423C"/>
    <w:rsid w:val="00674376"/>
    <w:rsid w:val="00674388"/>
    <w:rsid w:val="006743D3"/>
    <w:rsid w:val="006745DF"/>
    <w:rsid w:val="006745F5"/>
    <w:rsid w:val="0067465E"/>
    <w:rsid w:val="00674684"/>
    <w:rsid w:val="0067469C"/>
    <w:rsid w:val="006746E3"/>
    <w:rsid w:val="00674707"/>
    <w:rsid w:val="00674772"/>
    <w:rsid w:val="00674782"/>
    <w:rsid w:val="00674791"/>
    <w:rsid w:val="0067483B"/>
    <w:rsid w:val="00674881"/>
    <w:rsid w:val="0067492D"/>
    <w:rsid w:val="0067492E"/>
    <w:rsid w:val="006749AF"/>
    <w:rsid w:val="006749DD"/>
    <w:rsid w:val="00674A16"/>
    <w:rsid w:val="00674A20"/>
    <w:rsid w:val="00674A2C"/>
    <w:rsid w:val="00674A66"/>
    <w:rsid w:val="00674AC2"/>
    <w:rsid w:val="00674AF1"/>
    <w:rsid w:val="00674AF4"/>
    <w:rsid w:val="00674B04"/>
    <w:rsid w:val="00674BFF"/>
    <w:rsid w:val="00674C18"/>
    <w:rsid w:val="00674CFA"/>
    <w:rsid w:val="00674D1C"/>
    <w:rsid w:val="00674D78"/>
    <w:rsid w:val="00674DC2"/>
    <w:rsid w:val="00674E58"/>
    <w:rsid w:val="00674E74"/>
    <w:rsid w:val="00674ECB"/>
    <w:rsid w:val="00674FB5"/>
    <w:rsid w:val="00675008"/>
    <w:rsid w:val="0067502D"/>
    <w:rsid w:val="006750A9"/>
    <w:rsid w:val="0067515B"/>
    <w:rsid w:val="00675176"/>
    <w:rsid w:val="00675190"/>
    <w:rsid w:val="00675285"/>
    <w:rsid w:val="0067534C"/>
    <w:rsid w:val="006753BE"/>
    <w:rsid w:val="0067541F"/>
    <w:rsid w:val="00675437"/>
    <w:rsid w:val="00675496"/>
    <w:rsid w:val="0067549D"/>
    <w:rsid w:val="006754EB"/>
    <w:rsid w:val="00675548"/>
    <w:rsid w:val="0067556F"/>
    <w:rsid w:val="0067577D"/>
    <w:rsid w:val="0067578D"/>
    <w:rsid w:val="006758C2"/>
    <w:rsid w:val="006759D0"/>
    <w:rsid w:val="00675AEA"/>
    <w:rsid w:val="00675BBC"/>
    <w:rsid w:val="00675BE3"/>
    <w:rsid w:val="00675BEE"/>
    <w:rsid w:val="00675C2F"/>
    <w:rsid w:val="00675C5F"/>
    <w:rsid w:val="00675C78"/>
    <w:rsid w:val="00675C90"/>
    <w:rsid w:val="00675C93"/>
    <w:rsid w:val="00675CB6"/>
    <w:rsid w:val="00675CBC"/>
    <w:rsid w:val="00675CD0"/>
    <w:rsid w:val="00675D15"/>
    <w:rsid w:val="00675D2E"/>
    <w:rsid w:val="00675DD9"/>
    <w:rsid w:val="00675DDC"/>
    <w:rsid w:val="00675E69"/>
    <w:rsid w:val="00675E70"/>
    <w:rsid w:val="00675E74"/>
    <w:rsid w:val="00675E90"/>
    <w:rsid w:val="00675ECE"/>
    <w:rsid w:val="00675F26"/>
    <w:rsid w:val="00675F81"/>
    <w:rsid w:val="00675F95"/>
    <w:rsid w:val="00675FC3"/>
    <w:rsid w:val="00675FDE"/>
    <w:rsid w:val="00676032"/>
    <w:rsid w:val="0067603C"/>
    <w:rsid w:val="0067606B"/>
    <w:rsid w:val="00676085"/>
    <w:rsid w:val="006760B1"/>
    <w:rsid w:val="006760D6"/>
    <w:rsid w:val="006760E0"/>
    <w:rsid w:val="00676129"/>
    <w:rsid w:val="0067612F"/>
    <w:rsid w:val="00676136"/>
    <w:rsid w:val="0067616D"/>
    <w:rsid w:val="00676182"/>
    <w:rsid w:val="0067618B"/>
    <w:rsid w:val="00676230"/>
    <w:rsid w:val="0067624C"/>
    <w:rsid w:val="00676291"/>
    <w:rsid w:val="006762A9"/>
    <w:rsid w:val="0067632A"/>
    <w:rsid w:val="0067635C"/>
    <w:rsid w:val="0067641A"/>
    <w:rsid w:val="006764CA"/>
    <w:rsid w:val="00676561"/>
    <w:rsid w:val="0067658A"/>
    <w:rsid w:val="006765C3"/>
    <w:rsid w:val="00676606"/>
    <w:rsid w:val="00676614"/>
    <w:rsid w:val="00676665"/>
    <w:rsid w:val="0067667E"/>
    <w:rsid w:val="00676721"/>
    <w:rsid w:val="00676736"/>
    <w:rsid w:val="0067677B"/>
    <w:rsid w:val="00676831"/>
    <w:rsid w:val="00676853"/>
    <w:rsid w:val="00676868"/>
    <w:rsid w:val="0067686D"/>
    <w:rsid w:val="006768E0"/>
    <w:rsid w:val="00676901"/>
    <w:rsid w:val="0067694D"/>
    <w:rsid w:val="00676A22"/>
    <w:rsid w:val="00676A23"/>
    <w:rsid w:val="00676A57"/>
    <w:rsid w:val="00676A95"/>
    <w:rsid w:val="00676ADE"/>
    <w:rsid w:val="00676B08"/>
    <w:rsid w:val="00676B62"/>
    <w:rsid w:val="00676B75"/>
    <w:rsid w:val="00676BA7"/>
    <w:rsid w:val="00676BAA"/>
    <w:rsid w:val="00676C0A"/>
    <w:rsid w:val="00676C29"/>
    <w:rsid w:val="00676C68"/>
    <w:rsid w:val="00676C79"/>
    <w:rsid w:val="00676CBD"/>
    <w:rsid w:val="00676CEE"/>
    <w:rsid w:val="00676CF4"/>
    <w:rsid w:val="00676D0A"/>
    <w:rsid w:val="00676D49"/>
    <w:rsid w:val="00676DBB"/>
    <w:rsid w:val="00676DCF"/>
    <w:rsid w:val="00676DEF"/>
    <w:rsid w:val="00676E7D"/>
    <w:rsid w:val="00676EB4"/>
    <w:rsid w:val="00676EE0"/>
    <w:rsid w:val="00676EEC"/>
    <w:rsid w:val="00676F47"/>
    <w:rsid w:val="00676FBC"/>
    <w:rsid w:val="0067706D"/>
    <w:rsid w:val="006770CE"/>
    <w:rsid w:val="006770CF"/>
    <w:rsid w:val="006770F3"/>
    <w:rsid w:val="00677128"/>
    <w:rsid w:val="00677133"/>
    <w:rsid w:val="0067717E"/>
    <w:rsid w:val="00677184"/>
    <w:rsid w:val="00677213"/>
    <w:rsid w:val="00677268"/>
    <w:rsid w:val="006772D4"/>
    <w:rsid w:val="00677334"/>
    <w:rsid w:val="00677357"/>
    <w:rsid w:val="00677363"/>
    <w:rsid w:val="00677378"/>
    <w:rsid w:val="0067738B"/>
    <w:rsid w:val="006773E0"/>
    <w:rsid w:val="006773E6"/>
    <w:rsid w:val="00677405"/>
    <w:rsid w:val="0067740D"/>
    <w:rsid w:val="0067742D"/>
    <w:rsid w:val="00677444"/>
    <w:rsid w:val="00677469"/>
    <w:rsid w:val="0067746A"/>
    <w:rsid w:val="0067747B"/>
    <w:rsid w:val="006774B2"/>
    <w:rsid w:val="006774E3"/>
    <w:rsid w:val="00677665"/>
    <w:rsid w:val="00677693"/>
    <w:rsid w:val="006776A4"/>
    <w:rsid w:val="006776E2"/>
    <w:rsid w:val="0067774C"/>
    <w:rsid w:val="00677791"/>
    <w:rsid w:val="006777CE"/>
    <w:rsid w:val="006777E8"/>
    <w:rsid w:val="00677801"/>
    <w:rsid w:val="006778B8"/>
    <w:rsid w:val="00677949"/>
    <w:rsid w:val="006779D6"/>
    <w:rsid w:val="006779E8"/>
    <w:rsid w:val="00677AC1"/>
    <w:rsid w:val="00677AC2"/>
    <w:rsid w:val="00677AFB"/>
    <w:rsid w:val="00677BA3"/>
    <w:rsid w:val="00677C18"/>
    <w:rsid w:val="00677C40"/>
    <w:rsid w:val="00677C48"/>
    <w:rsid w:val="00677C4E"/>
    <w:rsid w:val="00677CB6"/>
    <w:rsid w:val="00677CD2"/>
    <w:rsid w:val="00677D5B"/>
    <w:rsid w:val="00677DEE"/>
    <w:rsid w:val="00677E7D"/>
    <w:rsid w:val="00677E87"/>
    <w:rsid w:val="00677E9A"/>
    <w:rsid w:val="00677ED8"/>
    <w:rsid w:val="00677F66"/>
    <w:rsid w:val="00677F74"/>
    <w:rsid w:val="00677FB0"/>
    <w:rsid w:val="00677FEC"/>
    <w:rsid w:val="00680022"/>
    <w:rsid w:val="00680042"/>
    <w:rsid w:val="0068009A"/>
    <w:rsid w:val="006800A4"/>
    <w:rsid w:val="006800F4"/>
    <w:rsid w:val="00680131"/>
    <w:rsid w:val="0068016D"/>
    <w:rsid w:val="006801BD"/>
    <w:rsid w:val="006801FC"/>
    <w:rsid w:val="00680213"/>
    <w:rsid w:val="00680266"/>
    <w:rsid w:val="006802DB"/>
    <w:rsid w:val="00680388"/>
    <w:rsid w:val="00680398"/>
    <w:rsid w:val="006803BA"/>
    <w:rsid w:val="006803F1"/>
    <w:rsid w:val="006804D7"/>
    <w:rsid w:val="00680508"/>
    <w:rsid w:val="00680576"/>
    <w:rsid w:val="006805F3"/>
    <w:rsid w:val="00680629"/>
    <w:rsid w:val="00680658"/>
    <w:rsid w:val="00680659"/>
    <w:rsid w:val="006806C4"/>
    <w:rsid w:val="00680743"/>
    <w:rsid w:val="0068075F"/>
    <w:rsid w:val="006807CF"/>
    <w:rsid w:val="006807D4"/>
    <w:rsid w:val="006808B2"/>
    <w:rsid w:val="006808FF"/>
    <w:rsid w:val="0068090E"/>
    <w:rsid w:val="0068092A"/>
    <w:rsid w:val="00680998"/>
    <w:rsid w:val="00680A75"/>
    <w:rsid w:val="00680A89"/>
    <w:rsid w:val="00680B40"/>
    <w:rsid w:val="00680BB2"/>
    <w:rsid w:val="00680C55"/>
    <w:rsid w:val="00680C71"/>
    <w:rsid w:val="00680C7D"/>
    <w:rsid w:val="00680C9C"/>
    <w:rsid w:val="00680CD2"/>
    <w:rsid w:val="00680CE8"/>
    <w:rsid w:val="00680D76"/>
    <w:rsid w:val="00680DFF"/>
    <w:rsid w:val="00680E24"/>
    <w:rsid w:val="00680E80"/>
    <w:rsid w:val="00680EA7"/>
    <w:rsid w:val="00680EA8"/>
    <w:rsid w:val="00680F0B"/>
    <w:rsid w:val="00680F16"/>
    <w:rsid w:val="00680F29"/>
    <w:rsid w:val="00680F4E"/>
    <w:rsid w:val="00680F59"/>
    <w:rsid w:val="00680FC2"/>
    <w:rsid w:val="00680FDA"/>
    <w:rsid w:val="00680FF1"/>
    <w:rsid w:val="00680FF3"/>
    <w:rsid w:val="00680FF7"/>
    <w:rsid w:val="0068104E"/>
    <w:rsid w:val="00681069"/>
    <w:rsid w:val="006810B3"/>
    <w:rsid w:val="006810EC"/>
    <w:rsid w:val="00681113"/>
    <w:rsid w:val="0068122C"/>
    <w:rsid w:val="00681280"/>
    <w:rsid w:val="006812B1"/>
    <w:rsid w:val="0068130F"/>
    <w:rsid w:val="00681312"/>
    <w:rsid w:val="00681382"/>
    <w:rsid w:val="006813BE"/>
    <w:rsid w:val="006813F9"/>
    <w:rsid w:val="00681437"/>
    <w:rsid w:val="0068144F"/>
    <w:rsid w:val="00681472"/>
    <w:rsid w:val="0068149B"/>
    <w:rsid w:val="0068161C"/>
    <w:rsid w:val="0068168E"/>
    <w:rsid w:val="006816D6"/>
    <w:rsid w:val="006816FB"/>
    <w:rsid w:val="00681712"/>
    <w:rsid w:val="00681742"/>
    <w:rsid w:val="00681790"/>
    <w:rsid w:val="006817A0"/>
    <w:rsid w:val="006817A2"/>
    <w:rsid w:val="006818A0"/>
    <w:rsid w:val="006818FE"/>
    <w:rsid w:val="00681957"/>
    <w:rsid w:val="00681960"/>
    <w:rsid w:val="0068198A"/>
    <w:rsid w:val="006819D7"/>
    <w:rsid w:val="006819EC"/>
    <w:rsid w:val="00681AB5"/>
    <w:rsid w:val="00681AFF"/>
    <w:rsid w:val="00681B19"/>
    <w:rsid w:val="00681C76"/>
    <w:rsid w:val="00681CA3"/>
    <w:rsid w:val="00681CE4"/>
    <w:rsid w:val="00681CE8"/>
    <w:rsid w:val="00681D3B"/>
    <w:rsid w:val="00681D52"/>
    <w:rsid w:val="00681D90"/>
    <w:rsid w:val="00681DD7"/>
    <w:rsid w:val="00681E15"/>
    <w:rsid w:val="00681E91"/>
    <w:rsid w:val="00681EB2"/>
    <w:rsid w:val="00681EDE"/>
    <w:rsid w:val="00681F56"/>
    <w:rsid w:val="00681F9F"/>
    <w:rsid w:val="00682001"/>
    <w:rsid w:val="00682029"/>
    <w:rsid w:val="0068202E"/>
    <w:rsid w:val="00682091"/>
    <w:rsid w:val="00682097"/>
    <w:rsid w:val="0068209C"/>
    <w:rsid w:val="006820C8"/>
    <w:rsid w:val="006820F2"/>
    <w:rsid w:val="00682153"/>
    <w:rsid w:val="0068216B"/>
    <w:rsid w:val="006821A8"/>
    <w:rsid w:val="006821B4"/>
    <w:rsid w:val="006821F7"/>
    <w:rsid w:val="006821FB"/>
    <w:rsid w:val="006821FD"/>
    <w:rsid w:val="0068235B"/>
    <w:rsid w:val="00682388"/>
    <w:rsid w:val="006823B9"/>
    <w:rsid w:val="006823CC"/>
    <w:rsid w:val="00682421"/>
    <w:rsid w:val="00682468"/>
    <w:rsid w:val="0068249A"/>
    <w:rsid w:val="006824CE"/>
    <w:rsid w:val="006825F5"/>
    <w:rsid w:val="00682618"/>
    <w:rsid w:val="00682630"/>
    <w:rsid w:val="006826A0"/>
    <w:rsid w:val="006826A3"/>
    <w:rsid w:val="00682807"/>
    <w:rsid w:val="0068285E"/>
    <w:rsid w:val="0068286B"/>
    <w:rsid w:val="006828B5"/>
    <w:rsid w:val="0068290C"/>
    <w:rsid w:val="0068295A"/>
    <w:rsid w:val="00682961"/>
    <w:rsid w:val="00682965"/>
    <w:rsid w:val="006829C5"/>
    <w:rsid w:val="006829D2"/>
    <w:rsid w:val="00682A72"/>
    <w:rsid w:val="00682B8F"/>
    <w:rsid w:val="00682BB0"/>
    <w:rsid w:val="00682BB2"/>
    <w:rsid w:val="00682C13"/>
    <w:rsid w:val="00682C4E"/>
    <w:rsid w:val="00682CA7"/>
    <w:rsid w:val="00682D49"/>
    <w:rsid w:val="00682D8D"/>
    <w:rsid w:val="00682DD1"/>
    <w:rsid w:val="00682E48"/>
    <w:rsid w:val="00682EB6"/>
    <w:rsid w:val="00682EEC"/>
    <w:rsid w:val="00682F31"/>
    <w:rsid w:val="00682F7F"/>
    <w:rsid w:val="00682FCF"/>
    <w:rsid w:val="00682FD3"/>
    <w:rsid w:val="00682FD6"/>
    <w:rsid w:val="00682FE0"/>
    <w:rsid w:val="00682FFF"/>
    <w:rsid w:val="00683017"/>
    <w:rsid w:val="0068309A"/>
    <w:rsid w:val="006830AD"/>
    <w:rsid w:val="006830D7"/>
    <w:rsid w:val="006830E4"/>
    <w:rsid w:val="0068314E"/>
    <w:rsid w:val="00683154"/>
    <w:rsid w:val="00683184"/>
    <w:rsid w:val="006831B2"/>
    <w:rsid w:val="006831C5"/>
    <w:rsid w:val="006831FC"/>
    <w:rsid w:val="00683212"/>
    <w:rsid w:val="00683226"/>
    <w:rsid w:val="00683264"/>
    <w:rsid w:val="006832D3"/>
    <w:rsid w:val="00683377"/>
    <w:rsid w:val="006833BB"/>
    <w:rsid w:val="006833DB"/>
    <w:rsid w:val="0068341B"/>
    <w:rsid w:val="0068343A"/>
    <w:rsid w:val="006834DE"/>
    <w:rsid w:val="0068353B"/>
    <w:rsid w:val="0068354B"/>
    <w:rsid w:val="006835B3"/>
    <w:rsid w:val="006835FD"/>
    <w:rsid w:val="0068365E"/>
    <w:rsid w:val="0068369C"/>
    <w:rsid w:val="0068377D"/>
    <w:rsid w:val="00683829"/>
    <w:rsid w:val="00683852"/>
    <w:rsid w:val="00683867"/>
    <w:rsid w:val="00683893"/>
    <w:rsid w:val="006838D3"/>
    <w:rsid w:val="0068390B"/>
    <w:rsid w:val="0068397E"/>
    <w:rsid w:val="006839A7"/>
    <w:rsid w:val="006839EF"/>
    <w:rsid w:val="00683A29"/>
    <w:rsid w:val="00683AD4"/>
    <w:rsid w:val="00683BAE"/>
    <w:rsid w:val="00683C47"/>
    <w:rsid w:val="00683C6A"/>
    <w:rsid w:val="00683CA6"/>
    <w:rsid w:val="00683CB1"/>
    <w:rsid w:val="00683CB8"/>
    <w:rsid w:val="00683CD8"/>
    <w:rsid w:val="00683D08"/>
    <w:rsid w:val="00683D37"/>
    <w:rsid w:val="00683D4D"/>
    <w:rsid w:val="00683D5C"/>
    <w:rsid w:val="00683D83"/>
    <w:rsid w:val="00683DB1"/>
    <w:rsid w:val="00683DC0"/>
    <w:rsid w:val="00683E72"/>
    <w:rsid w:val="00683E90"/>
    <w:rsid w:val="00683E99"/>
    <w:rsid w:val="00683ED5"/>
    <w:rsid w:val="00683EDE"/>
    <w:rsid w:val="00683F0E"/>
    <w:rsid w:val="00683F33"/>
    <w:rsid w:val="00683F4A"/>
    <w:rsid w:val="00683F81"/>
    <w:rsid w:val="00683FF9"/>
    <w:rsid w:val="0068408F"/>
    <w:rsid w:val="00684125"/>
    <w:rsid w:val="0068412D"/>
    <w:rsid w:val="0068417F"/>
    <w:rsid w:val="0068418B"/>
    <w:rsid w:val="006841A4"/>
    <w:rsid w:val="006841CF"/>
    <w:rsid w:val="00684207"/>
    <w:rsid w:val="00684212"/>
    <w:rsid w:val="006842AB"/>
    <w:rsid w:val="006842AF"/>
    <w:rsid w:val="0068430B"/>
    <w:rsid w:val="00684327"/>
    <w:rsid w:val="006843A7"/>
    <w:rsid w:val="006843D7"/>
    <w:rsid w:val="00684434"/>
    <w:rsid w:val="00684442"/>
    <w:rsid w:val="0068445B"/>
    <w:rsid w:val="0068445C"/>
    <w:rsid w:val="00684485"/>
    <w:rsid w:val="00684497"/>
    <w:rsid w:val="00684539"/>
    <w:rsid w:val="0068453B"/>
    <w:rsid w:val="006845B1"/>
    <w:rsid w:val="006845E6"/>
    <w:rsid w:val="006845F2"/>
    <w:rsid w:val="006845F7"/>
    <w:rsid w:val="00684633"/>
    <w:rsid w:val="0068463B"/>
    <w:rsid w:val="00684676"/>
    <w:rsid w:val="006846B3"/>
    <w:rsid w:val="006846F8"/>
    <w:rsid w:val="00684706"/>
    <w:rsid w:val="0068471B"/>
    <w:rsid w:val="00684729"/>
    <w:rsid w:val="00684734"/>
    <w:rsid w:val="006847D4"/>
    <w:rsid w:val="00684827"/>
    <w:rsid w:val="0068483B"/>
    <w:rsid w:val="00684867"/>
    <w:rsid w:val="00684879"/>
    <w:rsid w:val="006848A3"/>
    <w:rsid w:val="006848EB"/>
    <w:rsid w:val="00684911"/>
    <w:rsid w:val="00684943"/>
    <w:rsid w:val="0068496B"/>
    <w:rsid w:val="006849BC"/>
    <w:rsid w:val="006849DF"/>
    <w:rsid w:val="00684A35"/>
    <w:rsid w:val="00684A42"/>
    <w:rsid w:val="00684A9C"/>
    <w:rsid w:val="00684B60"/>
    <w:rsid w:val="00684B6B"/>
    <w:rsid w:val="00684C2F"/>
    <w:rsid w:val="00684CE4"/>
    <w:rsid w:val="00684CF9"/>
    <w:rsid w:val="00684D3A"/>
    <w:rsid w:val="00684D47"/>
    <w:rsid w:val="00684D63"/>
    <w:rsid w:val="00684E09"/>
    <w:rsid w:val="00684E26"/>
    <w:rsid w:val="00684E66"/>
    <w:rsid w:val="00684EA9"/>
    <w:rsid w:val="00684EE0"/>
    <w:rsid w:val="00684EE4"/>
    <w:rsid w:val="00684EEA"/>
    <w:rsid w:val="00684F19"/>
    <w:rsid w:val="00684F3D"/>
    <w:rsid w:val="00684F52"/>
    <w:rsid w:val="00684F65"/>
    <w:rsid w:val="00684FB5"/>
    <w:rsid w:val="00684FD1"/>
    <w:rsid w:val="00685053"/>
    <w:rsid w:val="006850AD"/>
    <w:rsid w:val="006850B5"/>
    <w:rsid w:val="006850DA"/>
    <w:rsid w:val="006851FE"/>
    <w:rsid w:val="00685235"/>
    <w:rsid w:val="006852D4"/>
    <w:rsid w:val="0068537E"/>
    <w:rsid w:val="006853D9"/>
    <w:rsid w:val="00685426"/>
    <w:rsid w:val="00685459"/>
    <w:rsid w:val="0068548B"/>
    <w:rsid w:val="006854F9"/>
    <w:rsid w:val="0068552B"/>
    <w:rsid w:val="00685561"/>
    <w:rsid w:val="006855A3"/>
    <w:rsid w:val="00685614"/>
    <w:rsid w:val="0068561D"/>
    <w:rsid w:val="006856A2"/>
    <w:rsid w:val="006856AD"/>
    <w:rsid w:val="006856BA"/>
    <w:rsid w:val="00685704"/>
    <w:rsid w:val="00685721"/>
    <w:rsid w:val="00685763"/>
    <w:rsid w:val="006857B8"/>
    <w:rsid w:val="006857E5"/>
    <w:rsid w:val="006857F3"/>
    <w:rsid w:val="006857FC"/>
    <w:rsid w:val="0068582A"/>
    <w:rsid w:val="0068585A"/>
    <w:rsid w:val="00685940"/>
    <w:rsid w:val="006859FD"/>
    <w:rsid w:val="00685A01"/>
    <w:rsid w:val="00685A0C"/>
    <w:rsid w:val="00685AAE"/>
    <w:rsid w:val="00685AD2"/>
    <w:rsid w:val="00685AE0"/>
    <w:rsid w:val="00685BCF"/>
    <w:rsid w:val="00685CEC"/>
    <w:rsid w:val="00685D82"/>
    <w:rsid w:val="00685DFD"/>
    <w:rsid w:val="00685E18"/>
    <w:rsid w:val="00685ED3"/>
    <w:rsid w:val="00685EF9"/>
    <w:rsid w:val="00685F40"/>
    <w:rsid w:val="00685F63"/>
    <w:rsid w:val="00685FA9"/>
    <w:rsid w:val="00685FF2"/>
    <w:rsid w:val="00686016"/>
    <w:rsid w:val="0068605F"/>
    <w:rsid w:val="006860A0"/>
    <w:rsid w:val="0068610D"/>
    <w:rsid w:val="0068614B"/>
    <w:rsid w:val="00686195"/>
    <w:rsid w:val="00686212"/>
    <w:rsid w:val="006862CC"/>
    <w:rsid w:val="006862DB"/>
    <w:rsid w:val="0068630B"/>
    <w:rsid w:val="0068632E"/>
    <w:rsid w:val="0068633C"/>
    <w:rsid w:val="006863C0"/>
    <w:rsid w:val="006863DD"/>
    <w:rsid w:val="00686486"/>
    <w:rsid w:val="006864E9"/>
    <w:rsid w:val="0068651B"/>
    <w:rsid w:val="00686546"/>
    <w:rsid w:val="00686593"/>
    <w:rsid w:val="006865CD"/>
    <w:rsid w:val="006865D1"/>
    <w:rsid w:val="0068668F"/>
    <w:rsid w:val="00686694"/>
    <w:rsid w:val="0068672F"/>
    <w:rsid w:val="006867D8"/>
    <w:rsid w:val="006868EC"/>
    <w:rsid w:val="00686924"/>
    <w:rsid w:val="0068698E"/>
    <w:rsid w:val="00686994"/>
    <w:rsid w:val="006869BB"/>
    <w:rsid w:val="006869C0"/>
    <w:rsid w:val="00686A48"/>
    <w:rsid w:val="00686B43"/>
    <w:rsid w:val="00686B51"/>
    <w:rsid w:val="00686BCB"/>
    <w:rsid w:val="00686C8A"/>
    <w:rsid w:val="00686CA6"/>
    <w:rsid w:val="00686CA7"/>
    <w:rsid w:val="00686CD2"/>
    <w:rsid w:val="00686D06"/>
    <w:rsid w:val="00686DF3"/>
    <w:rsid w:val="00686DFE"/>
    <w:rsid w:val="00686E13"/>
    <w:rsid w:val="00686E1B"/>
    <w:rsid w:val="00686E45"/>
    <w:rsid w:val="00686E91"/>
    <w:rsid w:val="00686EA2"/>
    <w:rsid w:val="00686F62"/>
    <w:rsid w:val="00686F71"/>
    <w:rsid w:val="00686F78"/>
    <w:rsid w:val="00686F96"/>
    <w:rsid w:val="00686FB1"/>
    <w:rsid w:val="0068700A"/>
    <w:rsid w:val="00687057"/>
    <w:rsid w:val="0068709B"/>
    <w:rsid w:val="006870AA"/>
    <w:rsid w:val="006870E2"/>
    <w:rsid w:val="0068717F"/>
    <w:rsid w:val="00687194"/>
    <w:rsid w:val="0068725A"/>
    <w:rsid w:val="00687269"/>
    <w:rsid w:val="0068726A"/>
    <w:rsid w:val="00687309"/>
    <w:rsid w:val="00687315"/>
    <w:rsid w:val="00687381"/>
    <w:rsid w:val="006873A2"/>
    <w:rsid w:val="006873F2"/>
    <w:rsid w:val="006874EE"/>
    <w:rsid w:val="006875A0"/>
    <w:rsid w:val="006875D5"/>
    <w:rsid w:val="006875E1"/>
    <w:rsid w:val="006875E8"/>
    <w:rsid w:val="00687672"/>
    <w:rsid w:val="006876C3"/>
    <w:rsid w:val="0068771E"/>
    <w:rsid w:val="00687721"/>
    <w:rsid w:val="0068773D"/>
    <w:rsid w:val="006877B2"/>
    <w:rsid w:val="00687819"/>
    <w:rsid w:val="00687835"/>
    <w:rsid w:val="0068795F"/>
    <w:rsid w:val="00687966"/>
    <w:rsid w:val="0068799C"/>
    <w:rsid w:val="006879E4"/>
    <w:rsid w:val="00687A57"/>
    <w:rsid w:val="00687B50"/>
    <w:rsid w:val="00687B51"/>
    <w:rsid w:val="00687BD8"/>
    <w:rsid w:val="00687C72"/>
    <w:rsid w:val="00687C76"/>
    <w:rsid w:val="00687CDD"/>
    <w:rsid w:val="00687CE0"/>
    <w:rsid w:val="00687D0D"/>
    <w:rsid w:val="00687DAE"/>
    <w:rsid w:val="00687DF0"/>
    <w:rsid w:val="00687E11"/>
    <w:rsid w:val="00687E7C"/>
    <w:rsid w:val="00687E83"/>
    <w:rsid w:val="00687ECB"/>
    <w:rsid w:val="00687F0C"/>
    <w:rsid w:val="00687F5B"/>
    <w:rsid w:val="00687FC8"/>
    <w:rsid w:val="00687FCB"/>
    <w:rsid w:val="00690017"/>
    <w:rsid w:val="0069002F"/>
    <w:rsid w:val="00690065"/>
    <w:rsid w:val="006900DB"/>
    <w:rsid w:val="0069011B"/>
    <w:rsid w:val="00690153"/>
    <w:rsid w:val="006901D0"/>
    <w:rsid w:val="006902A9"/>
    <w:rsid w:val="006902B3"/>
    <w:rsid w:val="0069030A"/>
    <w:rsid w:val="0069036F"/>
    <w:rsid w:val="006903D6"/>
    <w:rsid w:val="006903F5"/>
    <w:rsid w:val="00690412"/>
    <w:rsid w:val="00690479"/>
    <w:rsid w:val="00690494"/>
    <w:rsid w:val="00690533"/>
    <w:rsid w:val="00690582"/>
    <w:rsid w:val="006905AC"/>
    <w:rsid w:val="006905E0"/>
    <w:rsid w:val="006905FC"/>
    <w:rsid w:val="0069063E"/>
    <w:rsid w:val="006906BF"/>
    <w:rsid w:val="006906FF"/>
    <w:rsid w:val="0069072A"/>
    <w:rsid w:val="00690783"/>
    <w:rsid w:val="0069087C"/>
    <w:rsid w:val="0069087D"/>
    <w:rsid w:val="006908AA"/>
    <w:rsid w:val="006908E0"/>
    <w:rsid w:val="006908F7"/>
    <w:rsid w:val="00690940"/>
    <w:rsid w:val="006909D1"/>
    <w:rsid w:val="00690A5E"/>
    <w:rsid w:val="00690A6F"/>
    <w:rsid w:val="00690A8A"/>
    <w:rsid w:val="00690A93"/>
    <w:rsid w:val="00690ACD"/>
    <w:rsid w:val="00690B50"/>
    <w:rsid w:val="00690B64"/>
    <w:rsid w:val="00690C82"/>
    <w:rsid w:val="00690CDB"/>
    <w:rsid w:val="00690D5E"/>
    <w:rsid w:val="00690D6C"/>
    <w:rsid w:val="00690DEE"/>
    <w:rsid w:val="00690ECA"/>
    <w:rsid w:val="00690EF3"/>
    <w:rsid w:val="00690F98"/>
    <w:rsid w:val="00690F9C"/>
    <w:rsid w:val="00690FF0"/>
    <w:rsid w:val="00691042"/>
    <w:rsid w:val="0069104F"/>
    <w:rsid w:val="00691133"/>
    <w:rsid w:val="0069114B"/>
    <w:rsid w:val="006911B2"/>
    <w:rsid w:val="006911DB"/>
    <w:rsid w:val="006911EE"/>
    <w:rsid w:val="00691242"/>
    <w:rsid w:val="00691265"/>
    <w:rsid w:val="006912C0"/>
    <w:rsid w:val="0069131D"/>
    <w:rsid w:val="00691344"/>
    <w:rsid w:val="00691348"/>
    <w:rsid w:val="0069134E"/>
    <w:rsid w:val="006913CA"/>
    <w:rsid w:val="00691456"/>
    <w:rsid w:val="006914B4"/>
    <w:rsid w:val="006914CC"/>
    <w:rsid w:val="00691546"/>
    <w:rsid w:val="006915E9"/>
    <w:rsid w:val="006915ED"/>
    <w:rsid w:val="00691666"/>
    <w:rsid w:val="00691700"/>
    <w:rsid w:val="00691724"/>
    <w:rsid w:val="00691765"/>
    <w:rsid w:val="006917F1"/>
    <w:rsid w:val="00691803"/>
    <w:rsid w:val="0069180D"/>
    <w:rsid w:val="0069182A"/>
    <w:rsid w:val="00691886"/>
    <w:rsid w:val="00691918"/>
    <w:rsid w:val="0069195D"/>
    <w:rsid w:val="006919B7"/>
    <w:rsid w:val="00691ADA"/>
    <w:rsid w:val="00691AE6"/>
    <w:rsid w:val="00691AF4"/>
    <w:rsid w:val="00691B01"/>
    <w:rsid w:val="00691BF7"/>
    <w:rsid w:val="00691C1C"/>
    <w:rsid w:val="00691C54"/>
    <w:rsid w:val="00691CC3"/>
    <w:rsid w:val="00691D38"/>
    <w:rsid w:val="00691D80"/>
    <w:rsid w:val="00691DA9"/>
    <w:rsid w:val="00691DCE"/>
    <w:rsid w:val="00691DE6"/>
    <w:rsid w:val="00691E14"/>
    <w:rsid w:val="00691E31"/>
    <w:rsid w:val="00691E7A"/>
    <w:rsid w:val="00691EA5"/>
    <w:rsid w:val="00691EB4"/>
    <w:rsid w:val="00691EDC"/>
    <w:rsid w:val="00691EDD"/>
    <w:rsid w:val="00691EF7"/>
    <w:rsid w:val="00691EF9"/>
    <w:rsid w:val="00691F25"/>
    <w:rsid w:val="00691F54"/>
    <w:rsid w:val="00691F98"/>
    <w:rsid w:val="00691FF7"/>
    <w:rsid w:val="00692074"/>
    <w:rsid w:val="00692087"/>
    <w:rsid w:val="00692089"/>
    <w:rsid w:val="0069209C"/>
    <w:rsid w:val="006920A2"/>
    <w:rsid w:val="006920B5"/>
    <w:rsid w:val="006920E9"/>
    <w:rsid w:val="006920F4"/>
    <w:rsid w:val="006920FB"/>
    <w:rsid w:val="00692132"/>
    <w:rsid w:val="0069213E"/>
    <w:rsid w:val="00692140"/>
    <w:rsid w:val="00692187"/>
    <w:rsid w:val="00692198"/>
    <w:rsid w:val="0069221E"/>
    <w:rsid w:val="00692250"/>
    <w:rsid w:val="00692253"/>
    <w:rsid w:val="0069226F"/>
    <w:rsid w:val="006922F6"/>
    <w:rsid w:val="00692336"/>
    <w:rsid w:val="006923E4"/>
    <w:rsid w:val="00692420"/>
    <w:rsid w:val="006924CB"/>
    <w:rsid w:val="006924D9"/>
    <w:rsid w:val="00692515"/>
    <w:rsid w:val="00692546"/>
    <w:rsid w:val="00692549"/>
    <w:rsid w:val="00692582"/>
    <w:rsid w:val="00692612"/>
    <w:rsid w:val="00692698"/>
    <w:rsid w:val="0069272B"/>
    <w:rsid w:val="0069284E"/>
    <w:rsid w:val="00692948"/>
    <w:rsid w:val="0069296F"/>
    <w:rsid w:val="00692972"/>
    <w:rsid w:val="0069297C"/>
    <w:rsid w:val="006929B0"/>
    <w:rsid w:val="006929E4"/>
    <w:rsid w:val="006929F2"/>
    <w:rsid w:val="006929FE"/>
    <w:rsid w:val="00692A89"/>
    <w:rsid w:val="00692AA2"/>
    <w:rsid w:val="00692B43"/>
    <w:rsid w:val="00692B71"/>
    <w:rsid w:val="00692BA3"/>
    <w:rsid w:val="00692BAE"/>
    <w:rsid w:val="00692BB9"/>
    <w:rsid w:val="00692C03"/>
    <w:rsid w:val="00692C3C"/>
    <w:rsid w:val="00692C40"/>
    <w:rsid w:val="00692CD2"/>
    <w:rsid w:val="00692D7B"/>
    <w:rsid w:val="00692DD0"/>
    <w:rsid w:val="00692E53"/>
    <w:rsid w:val="00692F13"/>
    <w:rsid w:val="00692F24"/>
    <w:rsid w:val="00692F81"/>
    <w:rsid w:val="00692FA9"/>
    <w:rsid w:val="00693081"/>
    <w:rsid w:val="006930E0"/>
    <w:rsid w:val="00693126"/>
    <w:rsid w:val="006931A9"/>
    <w:rsid w:val="0069323B"/>
    <w:rsid w:val="00693260"/>
    <w:rsid w:val="006932AA"/>
    <w:rsid w:val="006932D9"/>
    <w:rsid w:val="006932DC"/>
    <w:rsid w:val="006932FB"/>
    <w:rsid w:val="00693360"/>
    <w:rsid w:val="00693372"/>
    <w:rsid w:val="006933BC"/>
    <w:rsid w:val="00693405"/>
    <w:rsid w:val="0069341C"/>
    <w:rsid w:val="0069342A"/>
    <w:rsid w:val="00693431"/>
    <w:rsid w:val="00693469"/>
    <w:rsid w:val="00693487"/>
    <w:rsid w:val="006934C9"/>
    <w:rsid w:val="006934E5"/>
    <w:rsid w:val="006934ED"/>
    <w:rsid w:val="00693502"/>
    <w:rsid w:val="006935F6"/>
    <w:rsid w:val="006935FE"/>
    <w:rsid w:val="00693618"/>
    <w:rsid w:val="00693624"/>
    <w:rsid w:val="00693657"/>
    <w:rsid w:val="006936AE"/>
    <w:rsid w:val="006936BC"/>
    <w:rsid w:val="0069374C"/>
    <w:rsid w:val="00693760"/>
    <w:rsid w:val="006937EB"/>
    <w:rsid w:val="0069384E"/>
    <w:rsid w:val="006938F5"/>
    <w:rsid w:val="00693901"/>
    <w:rsid w:val="00693997"/>
    <w:rsid w:val="006939A6"/>
    <w:rsid w:val="006939EE"/>
    <w:rsid w:val="00693A8F"/>
    <w:rsid w:val="00693ABA"/>
    <w:rsid w:val="00693AD9"/>
    <w:rsid w:val="00693AEE"/>
    <w:rsid w:val="00693B23"/>
    <w:rsid w:val="00693B83"/>
    <w:rsid w:val="00693BAC"/>
    <w:rsid w:val="00693BDA"/>
    <w:rsid w:val="00693C18"/>
    <w:rsid w:val="00693CA4"/>
    <w:rsid w:val="00693CDB"/>
    <w:rsid w:val="00693CF4"/>
    <w:rsid w:val="00693D73"/>
    <w:rsid w:val="00693DFA"/>
    <w:rsid w:val="00693E3E"/>
    <w:rsid w:val="00693E5C"/>
    <w:rsid w:val="00693E93"/>
    <w:rsid w:val="00693F10"/>
    <w:rsid w:val="00693F40"/>
    <w:rsid w:val="0069408B"/>
    <w:rsid w:val="00694092"/>
    <w:rsid w:val="006940B2"/>
    <w:rsid w:val="00694143"/>
    <w:rsid w:val="006941F7"/>
    <w:rsid w:val="006942AA"/>
    <w:rsid w:val="0069434E"/>
    <w:rsid w:val="0069438F"/>
    <w:rsid w:val="0069442C"/>
    <w:rsid w:val="0069442E"/>
    <w:rsid w:val="006944D1"/>
    <w:rsid w:val="006944FC"/>
    <w:rsid w:val="00694513"/>
    <w:rsid w:val="006945EE"/>
    <w:rsid w:val="0069460C"/>
    <w:rsid w:val="006946E1"/>
    <w:rsid w:val="006946EB"/>
    <w:rsid w:val="00694746"/>
    <w:rsid w:val="00694756"/>
    <w:rsid w:val="0069475E"/>
    <w:rsid w:val="00694765"/>
    <w:rsid w:val="006947C5"/>
    <w:rsid w:val="00694874"/>
    <w:rsid w:val="006948ED"/>
    <w:rsid w:val="0069491D"/>
    <w:rsid w:val="0069495B"/>
    <w:rsid w:val="006949E0"/>
    <w:rsid w:val="006949E8"/>
    <w:rsid w:val="00694A2B"/>
    <w:rsid w:val="00694AF3"/>
    <w:rsid w:val="00694B30"/>
    <w:rsid w:val="00694B7F"/>
    <w:rsid w:val="00694C04"/>
    <w:rsid w:val="00694C22"/>
    <w:rsid w:val="00694C43"/>
    <w:rsid w:val="00694C82"/>
    <w:rsid w:val="00694CF3"/>
    <w:rsid w:val="00694D05"/>
    <w:rsid w:val="00694D58"/>
    <w:rsid w:val="00694D5D"/>
    <w:rsid w:val="00694D61"/>
    <w:rsid w:val="00694D6D"/>
    <w:rsid w:val="00694DAE"/>
    <w:rsid w:val="00694E57"/>
    <w:rsid w:val="00694EFB"/>
    <w:rsid w:val="00694F01"/>
    <w:rsid w:val="00694F23"/>
    <w:rsid w:val="00694F35"/>
    <w:rsid w:val="00694F52"/>
    <w:rsid w:val="00694FC0"/>
    <w:rsid w:val="00695079"/>
    <w:rsid w:val="006950DD"/>
    <w:rsid w:val="006950E6"/>
    <w:rsid w:val="006950FF"/>
    <w:rsid w:val="00695186"/>
    <w:rsid w:val="006951FC"/>
    <w:rsid w:val="006951FF"/>
    <w:rsid w:val="00695227"/>
    <w:rsid w:val="0069524C"/>
    <w:rsid w:val="00695263"/>
    <w:rsid w:val="00695308"/>
    <w:rsid w:val="00695330"/>
    <w:rsid w:val="0069536D"/>
    <w:rsid w:val="0069539A"/>
    <w:rsid w:val="006953AD"/>
    <w:rsid w:val="006953FD"/>
    <w:rsid w:val="00695453"/>
    <w:rsid w:val="00695461"/>
    <w:rsid w:val="006954DB"/>
    <w:rsid w:val="00695508"/>
    <w:rsid w:val="00695521"/>
    <w:rsid w:val="006955DA"/>
    <w:rsid w:val="006955E1"/>
    <w:rsid w:val="0069562A"/>
    <w:rsid w:val="00695669"/>
    <w:rsid w:val="0069568D"/>
    <w:rsid w:val="00695698"/>
    <w:rsid w:val="006956DF"/>
    <w:rsid w:val="00695736"/>
    <w:rsid w:val="00695798"/>
    <w:rsid w:val="006957B6"/>
    <w:rsid w:val="006957D9"/>
    <w:rsid w:val="006957EA"/>
    <w:rsid w:val="00695880"/>
    <w:rsid w:val="006958D9"/>
    <w:rsid w:val="00695952"/>
    <w:rsid w:val="00695964"/>
    <w:rsid w:val="006959BC"/>
    <w:rsid w:val="00695A16"/>
    <w:rsid w:val="00695A30"/>
    <w:rsid w:val="00695AD5"/>
    <w:rsid w:val="00695AE5"/>
    <w:rsid w:val="00695B03"/>
    <w:rsid w:val="00695B3A"/>
    <w:rsid w:val="00695B6E"/>
    <w:rsid w:val="00695BF4"/>
    <w:rsid w:val="00695BFA"/>
    <w:rsid w:val="00695C5C"/>
    <w:rsid w:val="00695CD4"/>
    <w:rsid w:val="00695CDB"/>
    <w:rsid w:val="00695D0B"/>
    <w:rsid w:val="00695D70"/>
    <w:rsid w:val="00695D7F"/>
    <w:rsid w:val="00695E4D"/>
    <w:rsid w:val="00695ED0"/>
    <w:rsid w:val="00695F9D"/>
    <w:rsid w:val="00695FD1"/>
    <w:rsid w:val="0069600A"/>
    <w:rsid w:val="00696039"/>
    <w:rsid w:val="0069604E"/>
    <w:rsid w:val="00696078"/>
    <w:rsid w:val="0069608F"/>
    <w:rsid w:val="0069609E"/>
    <w:rsid w:val="006960AC"/>
    <w:rsid w:val="006960D1"/>
    <w:rsid w:val="0069627D"/>
    <w:rsid w:val="006962D4"/>
    <w:rsid w:val="006962E7"/>
    <w:rsid w:val="0069630A"/>
    <w:rsid w:val="0069632D"/>
    <w:rsid w:val="0069633A"/>
    <w:rsid w:val="0069635A"/>
    <w:rsid w:val="0069635E"/>
    <w:rsid w:val="0069636F"/>
    <w:rsid w:val="006963B2"/>
    <w:rsid w:val="00696695"/>
    <w:rsid w:val="006966A9"/>
    <w:rsid w:val="006966BD"/>
    <w:rsid w:val="006966F7"/>
    <w:rsid w:val="006966F8"/>
    <w:rsid w:val="00696784"/>
    <w:rsid w:val="00696785"/>
    <w:rsid w:val="00696796"/>
    <w:rsid w:val="006967C2"/>
    <w:rsid w:val="00696862"/>
    <w:rsid w:val="0069686D"/>
    <w:rsid w:val="006968C0"/>
    <w:rsid w:val="00696909"/>
    <w:rsid w:val="00696936"/>
    <w:rsid w:val="0069696F"/>
    <w:rsid w:val="00696A1B"/>
    <w:rsid w:val="00696A7E"/>
    <w:rsid w:val="00696A88"/>
    <w:rsid w:val="00696B0D"/>
    <w:rsid w:val="00696B90"/>
    <w:rsid w:val="00696BB9"/>
    <w:rsid w:val="00696C23"/>
    <w:rsid w:val="00696C9C"/>
    <w:rsid w:val="00696CE1"/>
    <w:rsid w:val="00696D45"/>
    <w:rsid w:val="00696D91"/>
    <w:rsid w:val="00696D97"/>
    <w:rsid w:val="00696E5B"/>
    <w:rsid w:val="00696F4F"/>
    <w:rsid w:val="00696F73"/>
    <w:rsid w:val="00696F7F"/>
    <w:rsid w:val="00696FFE"/>
    <w:rsid w:val="0069707A"/>
    <w:rsid w:val="0069708A"/>
    <w:rsid w:val="006970B7"/>
    <w:rsid w:val="006970C4"/>
    <w:rsid w:val="006970E1"/>
    <w:rsid w:val="0069712A"/>
    <w:rsid w:val="0069714E"/>
    <w:rsid w:val="00697185"/>
    <w:rsid w:val="006971FD"/>
    <w:rsid w:val="006972F6"/>
    <w:rsid w:val="0069730B"/>
    <w:rsid w:val="00697320"/>
    <w:rsid w:val="006973DB"/>
    <w:rsid w:val="006973FB"/>
    <w:rsid w:val="00697415"/>
    <w:rsid w:val="00697424"/>
    <w:rsid w:val="00697452"/>
    <w:rsid w:val="006974D1"/>
    <w:rsid w:val="006974F6"/>
    <w:rsid w:val="0069753E"/>
    <w:rsid w:val="00697541"/>
    <w:rsid w:val="00697570"/>
    <w:rsid w:val="00697596"/>
    <w:rsid w:val="006975A5"/>
    <w:rsid w:val="00697670"/>
    <w:rsid w:val="006976B9"/>
    <w:rsid w:val="00697714"/>
    <w:rsid w:val="00697729"/>
    <w:rsid w:val="0069774A"/>
    <w:rsid w:val="0069774B"/>
    <w:rsid w:val="00697753"/>
    <w:rsid w:val="0069775D"/>
    <w:rsid w:val="0069776F"/>
    <w:rsid w:val="00697772"/>
    <w:rsid w:val="0069779B"/>
    <w:rsid w:val="006977CB"/>
    <w:rsid w:val="0069781D"/>
    <w:rsid w:val="006978BE"/>
    <w:rsid w:val="006978DB"/>
    <w:rsid w:val="006979A8"/>
    <w:rsid w:val="006979B1"/>
    <w:rsid w:val="006979E4"/>
    <w:rsid w:val="006979F8"/>
    <w:rsid w:val="00697A13"/>
    <w:rsid w:val="00697A40"/>
    <w:rsid w:val="00697AEF"/>
    <w:rsid w:val="00697B02"/>
    <w:rsid w:val="00697B25"/>
    <w:rsid w:val="00697B26"/>
    <w:rsid w:val="00697B2D"/>
    <w:rsid w:val="00697B30"/>
    <w:rsid w:val="00697B97"/>
    <w:rsid w:val="00697B99"/>
    <w:rsid w:val="00697BA0"/>
    <w:rsid w:val="00697BC5"/>
    <w:rsid w:val="00697BD3"/>
    <w:rsid w:val="00697BE0"/>
    <w:rsid w:val="00697BE4"/>
    <w:rsid w:val="00697C95"/>
    <w:rsid w:val="00697CAA"/>
    <w:rsid w:val="00697D25"/>
    <w:rsid w:val="00697D70"/>
    <w:rsid w:val="00697D83"/>
    <w:rsid w:val="00697DB5"/>
    <w:rsid w:val="00697DBF"/>
    <w:rsid w:val="00697EF1"/>
    <w:rsid w:val="00697F7C"/>
    <w:rsid w:val="00697F84"/>
    <w:rsid w:val="006A00A5"/>
    <w:rsid w:val="006A00BA"/>
    <w:rsid w:val="006A00E2"/>
    <w:rsid w:val="006A00E6"/>
    <w:rsid w:val="006A01FE"/>
    <w:rsid w:val="006A021D"/>
    <w:rsid w:val="006A0233"/>
    <w:rsid w:val="006A0304"/>
    <w:rsid w:val="006A030A"/>
    <w:rsid w:val="006A0366"/>
    <w:rsid w:val="006A0390"/>
    <w:rsid w:val="006A03BE"/>
    <w:rsid w:val="006A03C2"/>
    <w:rsid w:val="006A03C8"/>
    <w:rsid w:val="006A03CE"/>
    <w:rsid w:val="006A03E3"/>
    <w:rsid w:val="006A03F4"/>
    <w:rsid w:val="006A0483"/>
    <w:rsid w:val="006A0492"/>
    <w:rsid w:val="006A0495"/>
    <w:rsid w:val="006A04A7"/>
    <w:rsid w:val="006A04DF"/>
    <w:rsid w:val="006A0509"/>
    <w:rsid w:val="006A051F"/>
    <w:rsid w:val="006A05A6"/>
    <w:rsid w:val="006A05C1"/>
    <w:rsid w:val="006A0602"/>
    <w:rsid w:val="006A0669"/>
    <w:rsid w:val="006A0709"/>
    <w:rsid w:val="006A070B"/>
    <w:rsid w:val="006A0794"/>
    <w:rsid w:val="006A08BC"/>
    <w:rsid w:val="006A08D9"/>
    <w:rsid w:val="006A08E5"/>
    <w:rsid w:val="006A08E9"/>
    <w:rsid w:val="006A095C"/>
    <w:rsid w:val="006A0988"/>
    <w:rsid w:val="006A0A0F"/>
    <w:rsid w:val="006A0A79"/>
    <w:rsid w:val="006A0AD8"/>
    <w:rsid w:val="006A0B56"/>
    <w:rsid w:val="006A0BAD"/>
    <w:rsid w:val="006A0BC4"/>
    <w:rsid w:val="006A0BD9"/>
    <w:rsid w:val="006A0C2E"/>
    <w:rsid w:val="006A0D0E"/>
    <w:rsid w:val="006A0D2B"/>
    <w:rsid w:val="006A0D64"/>
    <w:rsid w:val="006A0D98"/>
    <w:rsid w:val="006A0DDE"/>
    <w:rsid w:val="006A0DDF"/>
    <w:rsid w:val="006A0E89"/>
    <w:rsid w:val="006A0E9A"/>
    <w:rsid w:val="006A0F1D"/>
    <w:rsid w:val="006A0F76"/>
    <w:rsid w:val="006A1026"/>
    <w:rsid w:val="006A1060"/>
    <w:rsid w:val="006A10DC"/>
    <w:rsid w:val="006A11BC"/>
    <w:rsid w:val="006A11D7"/>
    <w:rsid w:val="006A1260"/>
    <w:rsid w:val="006A12C9"/>
    <w:rsid w:val="006A1308"/>
    <w:rsid w:val="006A131A"/>
    <w:rsid w:val="006A135C"/>
    <w:rsid w:val="006A137D"/>
    <w:rsid w:val="006A13C2"/>
    <w:rsid w:val="006A1409"/>
    <w:rsid w:val="006A1431"/>
    <w:rsid w:val="006A151F"/>
    <w:rsid w:val="006A155C"/>
    <w:rsid w:val="006A1577"/>
    <w:rsid w:val="006A163A"/>
    <w:rsid w:val="006A1643"/>
    <w:rsid w:val="006A164D"/>
    <w:rsid w:val="006A1670"/>
    <w:rsid w:val="006A170F"/>
    <w:rsid w:val="006A1748"/>
    <w:rsid w:val="006A178C"/>
    <w:rsid w:val="006A1856"/>
    <w:rsid w:val="006A1864"/>
    <w:rsid w:val="006A189D"/>
    <w:rsid w:val="006A18A4"/>
    <w:rsid w:val="006A18B2"/>
    <w:rsid w:val="006A18B6"/>
    <w:rsid w:val="006A18F8"/>
    <w:rsid w:val="006A1906"/>
    <w:rsid w:val="006A1995"/>
    <w:rsid w:val="006A1A14"/>
    <w:rsid w:val="006A1A7E"/>
    <w:rsid w:val="006A1A86"/>
    <w:rsid w:val="006A1AAF"/>
    <w:rsid w:val="006A1B5C"/>
    <w:rsid w:val="006A1BBF"/>
    <w:rsid w:val="006A1CA9"/>
    <w:rsid w:val="006A1CCE"/>
    <w:rsid w:val="006A1CD8"/>
    <w:rsid w:val="006A1EB9"/>
    <w:rsid w:val="006A1EF6"/>
    <w:rsid w:val="006A1FCD"/>
    <w:rsid w:val="006A1FD8"/>
    <w:rsid w:val="006A2016"/>
    <w:rsid w:val="006A203F"/>
    <w:rsid w:val="006A204D"/>
    <w:rsid w:val="006A2071"/>
    <w:rsid w:val="006A207C"/>
    <w:rsid w:val="006A20D3"/>
    <w:rsid w:val="006A2103"/>
    <w:rsid w:val="006A210D"/>
    <w:rsid w:val="006A215F"/>
    <w:rsid w:val="006A219D"/>
    <w:rsid w:val="006A224C"/>
    <w:rsid w:val="006A2332"/>
    <w:rsid w:val="006A23D0"/>
    <w:rsid w:val="006A23F8"/>
    <w:rsid w:val="006A2430"/>
    <w:rsid w:val="006A244F"/>
    <w:rsid w:val="006A2486"/>
    <w:rsid w:val="006A24B0"/>
    <w:rsid w:val="006A24CC"/>
    <w:rsid w:val="006A2540"/>
    <w:rsid w:val="006A2570"/>
    <w:rsid w:val="006A2595"/>
    <w:rsid w:val="006A2626"/>
    <w:rsid w:val="006A262C"/>
    <w:rsid w:val="006A26E0"/>
    <w:rsid w:val="006A2708"/>
    <w:rsid w:val="006A2735"/>
    <w:rsid w:val="006A2849"/>
    <w:rsid w:val="006A2892"/>
    <w:rsid w:val="006A2904"/>
    <w:rsid w:val="006A2979"/>
    <w:rsid w:val="006A2A41"/>
    <w:rsid w:val="006A2A9D"/>
    <w:rsid w:val="006A2B12"/>
    <w:rsid w:val="006A2B28"/>
    <w:rsid w:val="006A2B31"/>
    <w:rsid w:val="006A2B6C"/>
    <w:rsid w:val="006A2BA7"/>
    <w:rsid w:val="006A2BFD"/>
    <w:rsid w:val="006A2C8C"/>
    <w:rsid w:val="006A2D4C"/>
    <w:rsid w:val="006A2DE2"/>
    <w:rsid w:val="006A2E0F"/>
    <w:rsid w:val="006A2EA1"/>
    <w:rsid w:val="006A2EB3"/>
    <w:rsid w:val="006A2F0E"/>
    <w:rsid w:val="006A2F17"/>
    <w:rsid w:val="006A2FA7"/>
    <w:rsid w:val="006A3057"/>
    <w:rsid w:val="006A309B"/>
    <w:rsid w:val="006A30D2"/>
    <w:rsid w:val="006A30F8"/>
    <w:rsid w:val="006A3131"/>
    <w:rsid w:val="006A317C"/>
    <w:rsid w:val="006A3220"/>
    <w:rsid w:val="006A3277"/>
    <w:rsid w:val="006A3283"/>
    <w:rsid w:val="006A3398"/>
    <w:rsid w:val="006A33AC"/>
    <w:rsid w:val="006A33AE"/>
    <w:rsid w:val="006A3400"/>
    <w:rsid w:val="006A3412"/>
    <w:rsid w:val="006A3425"/>
    <w:rsid w:val="006A3454"/>
    <w:rsid w:val="006A346B"/>
    <w:rsid w:val="006A346E"/>
    <w:rsid w:val="006A3471"/>
    <w:rsid w:val="006A3493"/>
    <w:rsid w:val="006A3526"/>
    <w:rsid w:val="006A352E"/>
    <w:rsid w:val="006A35E4"/>
    <w:rsid w:val="006A3697"/>
    <w:rsid w:val="006A36ED"/>
    <w:rsid w:val="006A372C"/>
    <w:rsid w:val="006A3755"/>
    <w:rsid w:val="006A377F"/>
    <w:rsid w:val="006A37C2"/>
    <w:rsid w:val="006A37F5"/>
    <w:rsid w:val="006A3807"/>
    <w:rsid w:val="006A3945"/>
    <w:rsid w:val="006A399E"/>
    <w:rsid w:val="006A39F9"/>
    <w:rsid w:val="006A3A2C"/>
    <w:rsid w:val="006A3AA2"/>
    <w:rsid w:val="006A3ACE"/>
    <w:rsid w:val="006A3AFD"/>
    <w:rsid w:val="006A3B58"/>
    <w:rsid w:val="006A3B59"/>
    <w:rsid w:val="006A3B73"/>
    <w:rsid w:val="006A3B85"/>
    <w:rsid w:val="006A3BAD"/>
    <w:rsid w:val="006A3C37"/>
    <w:rsid w:val="006A3C51"/>
    <w:rsid w:val="006A3CBD"/>
    <w:rsid w:val="006A3CD7"/>
    <w:rsid w:val="006A3CE0"/>
    <w:rsid w:val="006A3D47"/>
    <w:rsid w:val="006A3D53"/>
    <w:rsid w:val="006A3E1F"/>
    <w:rsid w:val="006A3E22"/>
    <w:rsid w:val="006A3E5E"/>
    <w:rsid w:val="006A3E6B"/>
    <w:rsid w:val="006A3EC3"/>
    <w:rsid w:val="006A3F97"/>
    <w:rsid w:val="006A3FD9"/>
    <w:rsid w:val="006A403B"/>
    <w:rsid w:val="006A40B4"/>
    <w:rsid w:val="006A40FC"/>
    <w:rsid w:val="006A413B"/>
    <w:rsid w:val="006A4167"/>
    <w:rsid w:val="006A417A"/>
    <w:rsid w:val="006A423E"/>
    <w:rsid w:val="006A4244"/>
    <w:rsid w:val="006A42F0"/>
    <w:rsid w:val="006A4360"/>
    <w:rsid w:val="006A4401"/>
    <w:rsid w:val="006A4449"/>
    <w:rsid w:val="006A4490"/>
    <w:rsid w:val="006A4506"/>
    <w:rsid w:val="006A451E"/>
    <w:rsid w:val="006A455F"/>
    <w:rsid w:val="006A4566"/>
    <w:rsid w:val="006A45D1"/>
    <w:rsid w:val="006A4626"/>
    <w:rsid w:val="006A462E"/>
    <w:rsid w:val="006A4763"/>
    <w:rsid w:val="006A4765"/>
    <w:rsid w:val="006A476C"/>
    <w:rsid w:val="006A47D7"/>
    <w:rsid w:val="006A4806"/>
    <w:rsid w:val="006A486A"/>
    <w:rsid w:val="006A4892"/>
    <w:rsid w:val="006A48F9"/>
    <w:rsid w:val="006A4908"/>
    <w:rsid w:val="006A491B"/>
    <w:rsid w:val="006A4931"/>
    <w:rsid w:val="006A4ACE"/>
    <w:rsid w:val="006A4B5C"/>
    <w:rsid w:val="006A4BCD"/>
    <w:rsid w:val="006A4C2A"/>
    <w:rsid w:val="006A4CA5"/>
    <w:rsid w:val="006A4CD8"/>
    <w:rsid w:val="006A4D65"/>
    <w:rsid w:val="006A4D75"/>
    <w:rsid w:val="006A4DB4"/>
    <w:rsid w:val="006A4DCC"/>
    <w:rsid w:val="006A4E1D"/>
    <w:rsid w:val="006A4E3B"/>
    <w:rsid w:val="006A4E6A"/>
    <w:rsid w:val="006A4E88"/>
    <w:rsid w:val="006A4EA8"/>
    <w:rsid w:val="006A4F19"/>
    <w:rsid w:val="006A4F40"/>
    <w:rsid w:val="006A4F85"/>
    <w:rsid w:val="006A4FA2"/>
    <w:rsid w:val="006A502C"/>
    <w:rsid w:val="006A5090"/>
    <w:rsid w:val="006A50FC"/>
    <w:rsid w:val="006A510D"/>
    <w:rsid w:val="006A5152"/>
    <w:rsid w:val="006A5213"/>
    <w:rsid w:val="006A5274"/>
    <w:rsid w:val="006A532B"/>
    <w:rsid w:val="006A5386"/>
    <w:rsid w:val="006A53B4"/>
    <w:rsid w:val="006A543A"/>
    <w:rsid w:val="006A54A4"/>
    <w:rsid w:val="006A54C3"/>
    <w:rsid w:val="006A54FA"/>
    <w:rsid w:val="006A551E"/>
    <w:rsid w:val="006A5525"/>
    <w:rsid w:val="006A5532"/>
    <w:rsid w:val="006A5575"/>
    <w:rsid w:val="006A55BE"/>
    <w:rsid w:val="006A55D2"/>
    <w:rsid w:val="006A5666"/>
    <w:rsid w:val="006A575D"/>
    <w:rsid w:val="006A5770"/>
    <w:rsid w:val="006A579C"/>
    <w:rsid w:val="006A57F3"/>
    <w:rsid w:val="006A580D"/>
    <w:rsid w:val="006A5811"/>
    <w:rsid w:val="006A58CA"/>
    <w:rsid w:val="006A599B"/>
    <w:rsid w:val="006A59CC"/>
    <w:rsid w:val="006A59CD"/>
    <w:rsid w:val="006A59CE"/>
    <w:rsid w:val="006A5A0D"/>
    <w:rsid w:val="006A5A9D"/>
    <w:rsid w:val="006A5AA7"/>
    <w:rsid w:val="006A5B3C"/>
    <w:rsid w:val="006A5B61"/>
    <w:rsid w:val="006A5B74"/>
    <w:rsid w:val="006A5C4F"/>
    <w:rsid w:val="006A5C58"/>
    <w:rsid w:val="006A5C6C"/>
    <w:rsid w:val="006A5C98"/>
    <w:rsid w:val="006A5C9F"/>
    <w:rsid w:val="006A5CD0"/>
    <w:rsid w:val="006A5CEA"/>
    <w:rsid w:val="006A5CF1"/>
    <w:rsid w:val="006A5E2F"/>
    <w:rsid w:val="006A5E86"/>
    <w:rsid w:val="006A5EBF"/>
    <w:rsid w:val="006A5EFE"/>
    <w:rsid w:val="006A5F7D"/>
    <w:rsid w:val="006A5FBC"/>
    <w:rsid w:val="006A5FF3"/>
    <w:rsid w:val="006A601C"/>
    <w:rsid w:val="006A6078"/>
    <w:rsid w:val="006A60B9"/>
    <w:rsid w:val="006A612E"/>
    <w:rsid w:val="006A6172"/>
    <w:rsid w:val="006A61DB"/>
    <w:rsid w:val="006A6207"/>
    <w:rsid w:val="006A620D"/>
    <w:rsid w:val="006A623C"/>
    <w:rsid w:val="006A628C"/>
    <w:rsid w:val="006A62B9"/>
    <w:rsid w:val="006A62C0"/>
    <w:rsid w:val="006A62D7"/>
    <w:rsid w:val="006A632F"/>
    <w:rsid w:val="006A6365"/>
    <w:rsid w:val="006A63DE"/>
    <w:rsid w:val="006A6469"/>
    <w:rsid w:val="006A6478"/>
    <w:rsid w:val="006A64D1"/>
    <w:rsid w:val="006A64D5"/>
    <w:rsid w:val="006A654D"/>
    <w:rsid w:val="006A6572"/>
    <w:rsid w:val="006A6577"/>
    <w:rsid w:val="006A6584"/>
    <w:rsid w:val="006A65F0"/>
    <w:rsid w:val="006A6668"/>
    <w:rsid w:val="006A6672"/>
    <w:rsid w:val="006A6673"/>
    <w:rsid w:val="006A671B"/>
    <w:rsid w:val="006A677A"/>
    <w:rsid w:val="006A67CB"/>
    <w:rsid w:val="006A67E6"/>
    <w:rsid w:val="006A6806"/>
    <w:rsid w:val="006A682B"/>
    <w:rsid w:val="006A68A5"/>
    <w:rsid w:val="006A68BD"/>
    <w:rsid w:val="006A68CB"/>
    <w:rsid w:val="006A6926"/>
    <w:rsid w:val="006A695B"/>
    <w:rsid w:val="006A69D5"/>
    <w:rsid w:val="006A69DB"/>
    <w:rsid w:val="006A69FA"/>
    <w:rsid w:val="006A6AB8"/>
    <w:rsid w:val="006A6AE6"/>
    <w:rsid w:val="006A6B02"/>
    <w:rsid w:val="006A6B2F"/>
    <w:rsid w:val="006A6B8A"/>
    <w:rsid w:val="006A6BC0"/>
    <w:rsid w:val="006A6BDA"/>
    <w:rsid w:val="006A6C47"/>
    <w:rsid w:val="006A6C96"/>
    <w:rsid w:val="006A6C9D"/>
    <w:rsid w:val="006A6D19"/>
    <w:rsid w:val="006A6D1F"/>
    <w:rsid w:val="006A6D37"/>
    <w:rsid w:val="006A6D3B"/>
    <w:rsid w:val="006A6D81"/>
    <w:rsid w:val="006A6D8B"/>
    <w:rsid w:val="006A6DB3"/>
    <w:rsid w:val="006A6E3D"/>
    <w:rsid w:val="006A6E6A"/>
    <w:rsid w:val="006A6EC4"/>
    <w:rsid w:val="006A6F12"/>
    <w:rsid w:val="006A6F96"/>
    <w:rsid w:val="006A6FD3"/>
    <w:rsid w:val="006A702F"/>
    <w:rsid w:val="006A7037"/>
    <w:rsid w:val="006A706F"/>
    <w:rsid w:val="006A7076"/>
    <w:rsid w:val="006A70E4"/>
    <w:rsid w:val="006A70EA"/>
    <w:rsid w:val="006A7113"/>
    <w:rsid w:val="006A719E"/>
    <w:rsid w:val="006A71DE"/>
    <w:rsid w:val="006A7205"/>
    <w:rsid w:val="006A723A"/>
    <w:rsid w:val="006A7249"/>
    <w:rsid w:val="006A7260"/>
    <w:rsid w:val="006A7286"/>
    <w:rsid w:val="006A72F1"/>
    <w:rsid w:val="006A7305"/>
    <w:rsid w:val="006A735A"/>
    <w:rsid w:val="006A73A9"/>
    <w:rsid w:val="006A7407"/>
    <w:rsid w:val="006A7457"/>
    <w:rsid w:val="006A747E"/>
    <w:rsid w:val="006A75BF"/>
    <w:rsid w:val="006A7615"/>
    <w:rsid w:val="006A7637"/>
    <w:rsid w:val="006A7642"/>
    <w:rsid w:val="006A7666"/>
    <w:rsid w:val="006A769E"/>
    <w:rsid w:val="006A771B"/>
    <w:rsid w:val="006A7752"/>
    <w:rsid w:val="006A77AC"/>
    <w:rsid w:val="006A788E"/>
    <w:rsid w:val="006A78B8"/>
    <w:rsid w:val="006A78B9"/>
    <w:rsid w:val="006A78E9"/>
    <w:rsid w:val="006A7915"/>
    <w:rsid w:val="006A7928"/>
    <w:rsid w:val="006A7973"/>
    <w:rsid w:val="006A7A1A"/>
    <w:rsid w:val="006A7A59"/>
    <w:rsid w:val="006A7AAA"/>
    <w:rsid w:val="006A7AAB"/>
    <w:rsid w:val="006A7AEC"/>
    <w:rsid w:val="006A7B06"/>
    <w:rsid w:val="006A7B1D"/>
    <w:rsid w:val="006A7B6E"/>
    <w:rsid w:val="006A7B8A"/>
    <w:rsid w:val="006A7B99"/>
    <w:rsid w:val="006A7C47"/>
    <w:rsid w:val="006A7C80"/>
    <w:rsid w:val="006A7E35"/>
    <w:rsid w:val="006A7E8F"/>
    <w:rsid w:val="006A7EBA"/>
    <w:rsid w:val="006A7F77"/>
    <w:rsid w:val="006A7FBA"/>
    <w:rsid w:val="006B0046"/>
    <w:rsid w:val="006B007B"/>
    <w:rsid w:val="006B007C"/>
    <w:rsid w:val="006B007F"/>
    <w:rsid w:val="006B009B"/>
    <w:rsid w:val="006B00A3"/>
    <w:rsid w:val="006B0183"/>
    <w:rsid w:val="006B0192"/>
    <w:rsid w:val="006B01C6"/>
    <w:rsid w:val="006B0286"/>
    <w:rsid w:val="006B028D"/>
    <w:rsid w:val="006B0307"/>
    <w:rsid w:val="006B0312"/>
    <w:rsid w:val="006B0328"/>
    <w:rsid w:val="006B03C6"/>
    <w:rsid w:val="006B040E"/>
    <w:rsid w:val="006B04A1"/>
    <w:rsid w:val="006B04A5"/>
    <w:rsid w:val="006B04A7"/>
    <w:rsid w:val="006B04E1"/>
    <w:rsid w:val="006B051C"/>
    <w:rsid w:val="006B0522"/>
    <w:rsid w:val="006B057B"/>
    <w:rsid w:val="006B0591"/>
    <w:rsid w:val="006B05B1"/>
    <w:rsid w:val="006B05C6"/>
    <w:rsid w:val="006B05DF"/>
    <w:rsid w:val="006B05E1"/>
    <w:rsid w:val="006B05F7"/>
    <w:rsid w:val="006B0685"/>
    <w:rsid w:val="006B06AF"/>
    <w:rsid w:val="006B06B0"/>
    <w:rsid w:val="006B06DE"/>
    <w:rsid w:val="006B0701"/>
    <w:rsid w:val="006B0791"/>
    <w:rsid w:val="006B07D9"/>
    <w:rsid w:val="006B0836"/>
    <w:rsid w:val="006B0864"/>
    <w:rsid w:val="006B0868"/>
    <w:rsid w:val="006B08A0"/>
    <w:rsid w:val="006B08D0"/>
    <w:rsid w:val="006B08E6"/>
    <w:rsid w:val="006B0A21"/>
    <w:rsid w:val="006B0A24"/>
    <w:rsid w:val="006B0A33"/>
    <w:rsid w:val="006B0A96"/>
    <w:rsid w:val="006B0AA7"/>
    <w:rsid w:val="006B0ABA"/>
    <w:rsid w:val="006B0B19"/>
    <w:rsid w:val="006B0BAD"/>
    <w:rsid w:val="006B0C4B"/>
    <w:rsid w:val="006B0C8E"/>
    <w:rsid w:val="006B0C9D"/>
    <w:rsid w:val="006B0CBA"/>
    <w:rsid w:val="006B0D02"/>
    <w:rsid w:val="006B0D71"/>
    <w:rsid w:val="006B0DC2"/>
    <w:rsid w:val="006B0DE0"/>
    <w:rsid w:val="006B0E3A"/>
    <w:rsid w:val="006B0E5C"/>
    <w:rsid w:val="006B0E84"/>
    <w:rsid w:val="006B0F35"/>
    <w:rsid w:val="006B0F81"/>
    <w:rsid w:val="006B0FC5"/>
    <w:rsid w:val="006B0FDF"/>
    <w:rsid w:val="006B1091"/>
    <w:rsid w:val="006B1099"/>
    <w:rsid w:val="006B10BB"/>
    <w:rsid w:val="006B10D1"/>
    <w:rsid w:val="006B10DA"/>
    <w:rsid w:val="006B11D4"/>
    <w:rsid w:val="006B11FD"/>
    <w:rsid w:val="006B121A"/>
    <w:rsid w:val="006B1289"/>
    <w:rsid w:val="006B12C5"/>
    <w:rsid w:val="006B135B"/>
    <w:rsid w:val="006B137D"/>
    <w:rsid w:val="006B13B6"/>
    <w:rsid w:val="006B13C3"/>
    <w:rsid w:val="006B13D7"/>
    <w:rsid w:val="006B141F"/>
    <w:rsid w:val="006B14B9"/>
    <w:rsid w:val="006B14D9"/>
    <w:rsid w:val="006B14EB"/>
    <w:rsid w:val="006B1545"/>
    <w:rsid w:val="006B162E"/>
    <w:rsid w:val="006B1656"/>
    <w:rsid w:val="006B1672"/>
    <w:rsid w:val="006B167A"/>
    <w:rsid w:val="006B167B"/>
    <w:rsid w:val="006B16D0"/>
    <w:rsid w:val="006B170D"/>
    <w:rsid w:val="006B17E5"/>
    <w:rsid w:val="006B1871"/>
    <w:rsid w:val="006B1943"/>
    <w:rsid w:val="006B199A"/>
    <w:rsid w:val="006B19A3"/>
    <w:rsid w:val="006B19C4"/>
    <w:rsid w:val="006B1A1E"/>
    <w:rsid w:val="006B1AB0"/>
    <w:rsid w:val="006B1AB2"/>
    <w:rsid w:val="006B1AB4"/>
    <w:rsid w:val="006B1AC7"/>
    <w:rsid w:val="006B1ADC"/>
    <w:rsid w:val="006B1B71"/>
    <w:rsid w:val="006B1C47"/>
    <w:rsid w:val="006B1CA8"/>
    <w:rsid w:val="006B1D1D"/>
    <w:rsid w:val="006B1D7A"/>
    <w:rsid w:val="006B1D8F"/>
    <w:rsid w:val="006B1DC1"/>
    <w:rsid w:val="006B1E8C"/>
    <w:rsid w:val="006B1EBF"/>
    <w:rsid w:val="006B1F15"/>
    <w:rsid w:val="006B1F8A"/>
    <w:rsid w:val="006B2055"/>
    <w:rsid w:val="006B2085"/>
    <w:rsid w:val="006B20D0"/>
    <w:rsid w:val="006B20DB"/>
    <w:rsid w:val="006B20EA"/>
    <w:rsid w:val="006B2114"/>
    <w:rsid w:val="006B2176"/>
    <w:rsid w:val="006B218B"/>
    <w:rsid w:val="006B21CE"/>
    <w:rsid w:val="006B224C"/>
    <w:rsid w:val="006B22CE"/>
    <w:rsid w:val="006B22F0"/>
    <w:rsid w:val="006B2314"/>
    <w:rsid w:val="006B2320"/>
    <w:rsid w:val="006B2368"/>
    <w:rsid w:val="006B2374"/>
    <w:rsid w:val="006B2376"/>
    <w:rsid w:val="006B23B3"/>
    <w:rsid w:val="006B243F"/>
    <w:rsid w:val="006B2479"/>
    <w:rsid w:val="006B24F4"/>
    <w:rsid w:val="006B250F"/>
    <w:rsid w:val="006B2535"/>
    <w:rsid w:val="006B253D"/>
    <w:rsid w:val="006B25CD"/>
    <w:rsid w:val="006B2601"/>
    <w:rsid w:val="006B260F"/>
    <w:rsid w:val="006B2617"/>
    <w:rsid w:val="006B265A"/>
    <w:rsid w:val="006B2676"/>
    <w:rsid w:val="006B26C4"/>
    <w:rsid w:val="006B26DC"/>
    <w:rsid w:val="006B2717"/>
    <w:rsid w:val="006B2760"/>
    <w:rsid w:val="006B27DC"/>
    <w:rsid w:val="006B281B"/>
    <w:rsid w:val="006B2853"/>
    <w:rsid w:val="006B28B7"/>
    <w:rsid w:val="006B28DC"/>
    <w:rsid w:val="006B2946"/>
    <w:rsid w:val="006B297A"/>
    <w:rsid w:val="006B2987"/>
    <w:rsid w:val="006B29B7"/>
    <w:rsid w:val="006B29BF"/>
    <w:rsid w:val="006B2A3F"/>
    <w:rsid w:val="006B2AEB"/>
    <w:rsid w:val="006B2B0E"/>
    <w:rsid w:val="006B2B47"/>
    <w:rsid w:val="006B2B6A"/>
    <w:rsid w:val="006B2D9D"/>
    <w:rsid w:val="006B2DC1"/>
    <w:rsid w:val="006B2DF8"/>
    <w:rsid w:val="006B2E1F"/>
    <w:rsid w:val="006B2E37"/>
    <w:rsid w:val="006B2E7D"/>
    <w:rsid w:val="006B2EAD"/>
    <w:rsid w:val="006B2EB8"/>
    <w:rsid w:val="006B2EFE"/>
    <w:rsid w:val="006B2F8B"/>
    <w:rsid w:val="006B2F8F"/>
    <w:rsid w:val="006B2FB2"/>
    <w:rsid w:val="006B2FF4"/>
    <w:rsid w:val="006B30C6"/>
    <w:rsid w:val="006B30D2"/>
    <w:rsid w:val="006B30FE"/>
    <w:rsid w:val="006B3168"/>
    <w:rsid w:val="006B3178"/>
    <w:rsid w:val="006B318F"/>
    <w:rsid w:val="006B3232"/>
    <w:rsid w:val="006B3234"/>
    <w:rsid w:val="006B333C"/>
    <w:rsid w:val="006B33A6"/>
    <w:rsid w:val="006B3419"/>
    <w:rsid w:val="006B3433"/>
    <w:rsid w:val="006B348C"/>
    <w:rsid w:val="006B34B0"/>
    <w:rsid w:val="006B34E2"/>
    <w:rsid w:val="006B358D"/>
    <w:rsid w:val="006B3639"/>
    <w:rsid w:val="006B3665"/>
    <w:rsid w:val="006B3680"/>
    <w:rsid w:val="006B36A9"/>
    <w:rsid w:val="006B36EB"/>
    <w:rsid w:val="006B36F1"/>
    <w:rsid w:val="006B36FC"/>
    <w:rsid w:val="006B3706"/>
    <w:rsid w:val="006B3725"/>
    <w:rsid w:val="006B3748"/>
    <w:rsid w:val="006B375B"/>
    <w:rsid w:val="006B37AC"/>
    <w:rsid w:val="006B37CC"/>
    <w:rsid w:val="006B384C"/>
    <w:rsid w:val="006B385E"/>
    <w:rsid w:val="006B38FD"/>
    <w:rsid w:val="006B3930"/>
    <w:rsid w:val="006B3935"/>
    <w:rsid w:val="006B3938"/>
    <w:rsid w:val="006B397C"/>
    <w:rsid w:val="006B3984"/>
    <w:rsid w:val="006B39DF"/>
    <w:rsid w:val="006B3A69"/>
    <w:rsid w:val="006B3B8E"/>
    <w:rsid w:val="006B3C3E"/>
    <w:rsid w:val="006B3C58"/>
    <w:rsid w:val="006B3C7E"/>
    <w:rsid w:val="006B3C83"/>
    <w:rsid w:val="006B3CE4"/>
    <w:rsid w:val="006B3D39"/>
    <w:rsid w:val="006B3D4A"/>
    <w:rsid w:val="006B3D9F"/>
    <w:rsid w:val="006B3DDA"/>
    <w:rsid w:val="006B3E7C"/>
    <w:rsid w:val="006B3E91"/>
    <w:rsid w:val="006B3F26"/>
    <w:rsid w:val="006B3F8C"/>
    <w:rsid w:val="006B3FA0"/>
    <w:rsid w:val="006B3FCF"/>
    <w:rsid w:val="006B3FD5"/>
    <w:rsid w:val="006B4048"/>
    <w:rsid w:val="006B4147"/>
    <w:rsid w:val="006B4159"/>
    <w:rsid w:val="006B4179"/>
    <w:rsid w:val="006B423D"/>
    <w:rsid w:val="006B428E"/>
    <w:rsid w:val="006B42AE"/>
    <w:rsid w:val="006B42D0"/>
    <w:rsid w:val="006B42E4"/>
    <w:rsid w:val="006B435C"/>
    <w:rsid w:val="006B43AC"/>
    <w:rsid w:val="006B43DB"/>
    <w:rsid w:val="006B440E"/>
    <w:rsid w:val="006B44B6"/>
    <w:rsid w:val="006B4518"/>
    <w:rsid w:val="006B4520"/>
    <w:rsid w:val="006B453F"/>
    <w:rsid w:val="006B4553"/>
    <w:rsid w:val="006B4577"/>
    <w:rsid w:val="006B45A0"/>
    <w:rsid w:val="006B4600"/>
    <w:rsid w:val="006B4660"/>
    <w:rsid w:val="006B4693"/>
    <w:rsid w:val="006B46E1"/>
    <w:rsid w:val="006B46F8"/>
    <w:rsid w:val="006B47B2"/>
    <w:rsid w:val="006B47CD"/>
    <w:rsid w:val="006B47FA"/>
    <w:rsid w:val="006B47FE"/>
    <w:rsid w:val="006B483D"/>
    <w:rsid w:val="006B4881"/>
    <w:rsid w:val="006B4900"/>
    <w:rsid w:val="006B4910"/>
    <w:rsid w:val="006B4927"/>
    <w:rsid w:val="006B4952"/>
    <w:rsid w:val="006B495F"/>
    <w:rsid w:val="006B4A35"/>
    <w:rsid w:val="006B4A7B"/>
    <w:rsid w:val="006B4BC6"/>
    <w:rsid w:val="006B4BF1"/>
    <w:rsid w:val="006B4C2D"/>
    <w:rsid w:val="006B4C35"/>
    <w:rsid w:val="006B4C3C"/>
    <w:rsid w:val="006B4C52"/>
    <w:rsid w:val="006B4C89"/>
    <w:rsid w:val="006B4CB7"/>
    <w:rsid w:val="006B4D25"/>
    <w:rsid w:val="006B4D2A"/>
    <w:rsid w:val="006B4D52"/>
    <w:rsid w:val="006B4D54"/>
    <w:rsid w:val="006B4DA8"/>
    <w:rsid w:val="006B4DD5"/>
    <w:rsid w:val="006B4E4F"/>
    <w:rsid w:val="006B4E53"/>
    <w:rsid w:val="006B4FFC"/>
    <w:rsid w:val="006B503C"/>
    <w:rsid w:val="006B5082"/>
    <w:rsid w:val="006B50C5"/>
    <w:rsid w:val="006B50E7"/>
    <w:rsid w:val="006B51A5"/>
    <w:rsid w:val="006B51C6"/>
    <w:rsid w:val="006B5241"/>
    <w:rsid w:val="006B5283"/>
    <w:rsid w:val="006B52B3"/>
    <w:rsid w:val="006B52F9"/>
    <w:rsid w:val="006B530C"/>
    <w:rsid w:val="006B5357"/>
    <w:rsid w:val="006B5493"/>
    <w:rsid w:val="006B5505"/>
    <w:rsid w:val="006B550C"/>
    <w:rsid w:val="006B554B"/>
    <w:rsid w:val="006B559E"/>
    <w:rsid w:val="006B564A"/>
    <w:rsid w:val="006B5712"/>
    <w:rsid w:val="006B582C"/>
    <w:rsid w:val="006B584B"/>
    <w:rsid w:val="006B58A4"/>
    <w:rsid w:val="006B58CA"/>
    <w:rsid w:val="006B59C1"/>
    <w:rsid w:val="006B5A53"/>
    <w:rsid w:val="006B5A7D"/>
    <w:rsid w:val="006B5B0D"/>
    <w:rsid w:val="006B5B3A"/>
    <w:rsid w:val="006B5BB4"/>
    <w:rsid w:val="006B5BE3"/>
    <w:rsid w:val="006B5C75"/>
    <w:rsid w:val="006B5D1E"/>
    <w:rsid w:val="006B5D50"/>
    <w:rsid w:val="006B5D6E"/>
    <w:rsid w:val="006B5D82"/>
    <w:rsid w:val="006B5D93"/>
    <w:rsid w:val="006B5E2C"/>
    <w:rsid w:val="006B5E95"/>
    <w:rsid w:val="006B5EA0"/>
    <w:rsid w:val="006B5F5B"/>
    <w:rsid w:val="006B5FBC"/>
    <w:rsid w:val="006B6098"/>
    <w:rsid w:val="006B60AF"/>
    <w:rsid w:val="006B60B4"/>
    <w:rsid w:val="006B610A"/>
    <w:rsid w:val="006B616C"/>
    <w:rsid w:val="006B6189"/>
    <w:rsid w:val="006B6348"/>
    <w:rsid w:val="006B637C"/>
    <w:rsid w:val="006B63A1"/>
    <w:rsid w:val="006B63EC"/>
    <w:rsid w:val="006B6418"/>
    <w:rsid w:val="006B6456"/>
    <w:rsid w:val="006B649B"/>
    <w:rsid w:val="006B64A0"/>
    <w:rsid w:val="006B6500"/>
    <w:rsid w:val="006B651F"/>
    <w:rsid w:val="006B6571"/>
    <w:rsid w:val="006B65DE"/>
    <w:rsid w:val="006B6602"/>
    <w:rsid w:val="006B6628"/>
    <w:rsid w:val="006B66D6"/>
    <w:rsid w:val="006B673C"/>
    <w:rsid w:val="006B679C"/>
    <w:rsid w:val="006B67AB"/>
    <w:rsid w:val="006B6805"/>
    <w:rsid w:val="006B6843"/>
    <w:rsid w:val="006B687B"/>
    <w:rsid w:val="006B6895"/>
    <w:rsid w:val="006B68A6"/>
    <w:rsid w:val="006B6929"/>
    <w:rsid w:val="006B693D"/>
    <w:rsid w:val="006B6941"/>
    <w:rsid w:val="006B69B2"/>
    <w:rsid w:val="006B6A6D"/>
    <w:rsid w:val="006B6A79"/>
    <w:rsid w:val="006B6A8B"/>
    <w:rsid w:val="006B6AAD"/>
    <w:rsid w:val="006B6B16"/>
    <w:rsid w:val="006B6B64"/>
    <w:rsid w:val="006B6BB0"/>
    <w:rsid w:val="006B6BB1"/>
    <w:rsid w:val="006B6BCD"/>
    <w:rsid w:val="006B6C2A"/>
    <w:rsid w:val="006B6C44"/>
    <w:rsid w:val="006B6CB2"/>
    <w:rsid w:val="006B6CBB"/>
    <w:rsid w:val="006B6CCF"/>
    <w:rsid w:val="006B6CD1"/>
    <w:rsid w:val="006B6CDC"/>
    <w:rsid w:val="006B6CEC"/>
    <w:rsid w:val="006B6CFC"/>
    <w:rsid w:val="006B6D78"/>
    <w:rsid w:val="006B6DE6"/>
    <w:rsid w:val="006B6E57"/>
    <w:rsid w:val="006B6E5A"/>
    <w:rsid w:val="006B6E83"/>
    <w:rsid w:val="006B6E84"/>
    <w:rsid w:val="006B6EC0"/>
    <w:rsid w:val="006B6ED3"/>
    <w:rsid w:val="006B6EE9"/>
    <w:rsid w:val="006B7035"/>
    <w:rsid w:val="006B7053"/>
    <w:rsid w:val="006B7056"/>
    <w:rsid w:val="006B7075"/>
    <w:rsid w:val="006B713C"/>
    <w:rsid w:val="006B718F"/>
    <w:rsid w:val="006B71F6"/>
    <w:rsid w:val="006B7249"/>
    <w:rsid w:val="006B724A"/>
    <w:rsid w:val="006B72C6"/>
    <w:rsid w:val="006B72E7"/>
    <w:rsid w:val="006B7411"/>
    <w:rsid w:val="006B746A"/>
    <w:rsid w:val="006B7479"/>
    <w:rsid w:val="006B747B"/>
    <w:rsid w:val="006B74B8"/>
    <w:rsid w:val="006B74CD"/>
    <w:rsid w:val="006B74F5"/>
    <w:rsid w:val="006B752F"/>
    <w:rsid w:val="006B75A8"/>
    <w:rsid w:val="006B77A0"/>
    <w:rsid w:val="006B77D3"/>
    <w:rsid w:val="006B7833"/>
    <w:rsid w:val="006B78FE"/>
    <w:rsid w:val="006B7909"/>
    <w:rsid w:val="006B7948"/>
    <w:rsid w:val="006B794B"/>
    <w:rsid w:val="006B79BA"/>
    <w:rsid w:val="006B7A0F"/>
    <w:rsid w:val="006B7A67"/>
    <w:rsid w:val="006B7C01"/>
    <w:rsid w:val="006B7C5E"/>
    <w:rsid w:val="006B7D2D"/>
    <w:rsid w:val="006B7D48"/>
    <w:rsid w:val="006B7D79"/>
    <w:rsid w:val="006B7D9A"/>
    <w:rsid w:val="006B7E7F"/>
    <w:rsid w:val="006B7E8C"/>
    <w:rsid w:val="006B7EC9"/>
    <w:rsid w:val="006B7F31"/>
    <w:rsid w:val="006B7F32"/>
    <w:rsid w:val="006B7F52"/>
    <w:rsid w:val="006B7FDD"/>
    <w:rsid w:val="006C001B"/>
    <w:rsid w:val="006C004F"/>
    <w:rsid w:val="006C0063"/>
    <w:rsid w:val="006C0067"/>
    <w:rsid w:val="006C00D9"/>
    <w:rsid w:val="006C0121"/>
    <w:rsid w:val="006C01A0"/>
    <w:rsid w:val="006C01AF"/>
    <w:rsid w:val="006C01BF"/>
    <w:rsid w:val="006C0249"/>
    <w:rsid w:val="006C0258"/>
    <w:rsid w:val="006C02DA"/>
    <w:rsid w:val="006C0326"/>
    <w:rsid w:val="006C032B"/>
    <w:rsid w:val="006C038E"/>
    <w:rsid w:val="006C0422"/>
    <w:rsid w:val="006C043A"/>
    <w:rsid w:val="006C0466"/>
    <w:rsid w:val="006C0476"/>
    <w:rsid w:val="006C047A"/>
    <w:rsid w:val="006C04A4"/>
    <w:rsid w:val="006C054E"/>
    <w:rsid w:val="006C0570"/>
    <w:rsid w:val="006C0629"/>
    <w:rsid w:val="006C06A5"/>
    <w:rsid w:val="006C0730"/>
    <w:rsid w:val="006C0758"/>
    <w:rsid w:val="006C0798"/>
    <w:rsid w:val="006C0958"/>
    <w:rsid w:val="006C096C"/>
    <w:rsid w:val="006C09A2"/>
    <w:rsid w:val="006C09A3"/>
    <w:rsid w:val="006C09B0"/>
    <w:rsid w:val="006C09ED"/>
    <w:rsid w:val="006C0A04"/>
    <w:rsid w:val="006C0A06"/>
    <w:rsid w:val="006C0A0F"/>
    <w:rsid w:val="006C0A1D"/>
    <w:rsid w:val="006C0A60"/>
    <w:rsid w:val="006C0A85"/>
    <w:rsid w:val="006C0B2F"/>
    <w:rsid w:val="006C0BA8"/>
    <w:rsid w:val="006C0CB2"/>
    <w:rsid w:val="006C0CD7"/>
    <w:rsid w:val="006C0D98"/>
    <w:rsid w:val="006C0DB0"/>
    <w:rsid w:val="006C0DC4"/>
    <w:rsid w:val="006C0E15"/>
    <w:rsid w:val="006C0E47"/>
    <w:rsid w:val="006C0F16"/>
    <w:rsid w:val="006C0F95"/>
    <w:rsid w:val="006C0F9F"/>
    <w:rsid w:val="006C1008"/>
    <w:rsid w:val="006C1162"/>
    <w:rsid w:val="006C1199"/>
    <w:rsid w:val="006C11C5"/>
    <w:rsid w:val="006C128B"/>
    <w:rsid w:val="006C12C8"/>
    <w:rsid w:val="006C1314"/>
    <w:rsid w:val="006C133D"/>
    <w:rsid w:val="006C1360"/>
    <w:rsid w:val="006C13AF"/>
    <w:rsid w:val="006C13EE"/>
    <w:rsid w:val="006C1473"/>
    <w:rsid w:val="006C147E"/>
    <w:rsid w:val="006C14C8"/>
    <w:rsid w:val="006C14D1"/>
    <w:rsid w:val="006C14D2"/>
    <w:rsid w:val="006C14FF"/>
    <w:rsid w:val="006C1566"/>
    <w:rsid w:val="006C1648"/>
    <w:rsid w:val="006C16A4"/>
    <w:rsid w:val="006C16E6"/>
    <w:rsid w:val="006C170C"/>
    <w:rsid w:val="006C1712"/>
    <w:rsid w:val="006C1761"/>
    <w:rsid w:val="006C178D"/>
    <w:rsid w:val="006C185B"/>
    <w:rsid w:val="006C1897"/>
    <w:rsid w:val="006C18B3"/>
    <w:rsid w:val="006C18FD"/>
    <w:rsid w:val="006C1903"/>
    <w:rsid w:val="006C19C5"/>
    <w:rsid w:val="006C1A07"/>
    <w:rsid w:val="006C1A7D"/>
    <w:rsid w:val="006C1AC6"/>
    <w:rsid w:val="006C1AD9"/>
    <w:rsid w:val="006C1AF2"/>
    <w:rsid w:val="006C1B0D"/>
    <w:rsid w:val="006C1B26"/>
    <w:rsid w:val="006C1B4C"/>
    <w:rsid w:val="006C1BB4"/>
    <w:rsid w:val="006C1BBC"/>
    <w:rsid w:val="006C1BEE"/>
    <w:rsid w:val="006C1C07"/>
    <w:rsid w:val="006C1C73"/>
    <w:rsid w:val="006C1C74"/>
    <w:rsid w:val="006C1CA3"/>
    <w:rsid w:val="006C1CC9"/>
    <w:rsid w:val="006C1D04"/>
    <w:rsid w:val="006C1D0E"/>
    <w:rsid w:val="006C1D75"/>
    <w:rsid w:val="006C1E18"/>
    <w:rsid w:val="006C1E40"/>
    <w:rsid w:val="006C1E92"/>
    <w:rsid w:val="006C1ED8"/>
    <w:rsid w:val="006C1EEA"/>
    <w:rsid w:val="006C1F4A"/>
    <w:rsid w:val="006C1FD1"/>
    <w:rsid w:val="006C20C9"/>
    <w:rsid w:val="006C20D2"/>
    <w:rsid w:val="006C2133"/>
    <w:rsid w:val="006C2135"/>
    <w:rsid w:val="006C2177"/>
    <w:rsid w:val="006C2200"/>
    <w:rsid w:val="006C2239"/>
    <w:rsid w:val="006C223D"/>
    <w:rsid w:val="006C2299"/>
    <w:rsid w:val="006C233D"/>
    <w:rsid w:val="006C239B"/>
    <w:rsid w:val="006C239E"/>
    <w:rsid w:val="006C23AD"/>
    <w:rsid w:val="006C23D6"/>
    <w:rsid w:val="006C240A"/>
    <w:rsid w:val="006C2410"/>
    <w:rsid w:val="006C2453"/>
    <w:rsid w:val="006C24B4"/>
    <w:rsid w:val="006C24DD"/>
    <w:rsid w:val="006C24EE"/>
    <w:rsid w:val="006C2526"/>
    <w:rsid w:val="006C2587"/>
    <w:rsid w:val="006C26A4"/>
    <w:rsid w:val="006C26DD"/>
    <w:rsid w:val="006C2786"/>
    <w:rsid w:val="006C27B5"/>
    <w:rsid w:val="006C27D0"/>
    <w:rsid w:val="006C27E3"/>
    <w:rsid w:val="006C2856"/>
    <w:rsid w:val="006C2960"/>
    <w:rsid w:val="006C2964"/>
    <w:rsid w:val="006C2965"/>
    <w:rsid w:val="006C29B3"/>
    <w:rsid w:val="006C2A2A"/>
    <w:rsid w:val="006C2A3F"/>
    <w:rsid w:val="006C2A6E"/>
    <w:rsid w:val="006C2AD2"/>
    <w:rsid w:val="006C2B72"/>
    <w:rsid w:val="006C2B92"/>
    <w:rsid w:val="006C2C2E"/>
    <w:rsid w:val="006C2C4F"/>
    <w:rsid w:val="006C2D7A"/>
    <w:rsid w:val="006C2DA5"/>
    <w:rsid w:val="006C2DB5"/>
    <w:rsid w:val="006C2E2C"/>
    <w:rsid w:val="006C2E44"/>
    <w:rsid w:val="006C2E59"/>
    <w:rsid w:val="006C2E65"/>
    <w:rsid w:val="006C2E99"/>
    <w:rsid w:val="006C2ECF"/>
    <w:rsid w:val="006C2EF6"/>
    <w:rsid w:val="006C2F13"/>
    <w:rsid w:val="006C2F28"/>
    <w:rsid w:val="006C2F5B"/>
    <w:rsid w:val="006C2FA7"/>
    <w:rsid w:val="006C2FCB"/>
    <w:rsid w:val="006C2FD8"/>
    <w:rsid w:val="006C3013"/>
    <w:rsid w:val="006C3067"/>
    <w:rsid w:val="006C308A"/>
    <w:rsid w:val="006C30DA"/>
    <w:rsid w:val="006C3195"/>
    <w:rsid w:val="006C31EB"/>
    <w:rsid w:val="006C320A"/>
    <w:rsid w:val="006C32B9"/>
    <w:rsid w:val="006C3393"/>
    <w:rsid w:val="006C3466"/>
    <w:rsid w:val="006C35A5"/>
    <w:rsid w:val="006C35B0"/>
    <w:rsid w:val="006C362F"/>
    <w:rsid w:val="006C3680"/>
    <w:rsid w:val="006C36C3"/>
    <w:rsid w:val="006C36F7"/>
    <w:rsid w:val="006C371C"/>
    <w:rsid w:val="006C37BC"/>
    <w:rsid w:val="006C3807"/>
    <w:rsid w:val="006C384F"/>
    <w:rsid w:val="006C386E"/>
    <w:rsid w:val="006C3886"/>
    <w:rsid w:val="006C3937"/>
    <w:rsid w:val="006C39E7"/>
    <w:rsid w:val="006C3A3D"/>
    <w:rsid w:val="006C3A98"/>
    <w:rsid w:val="006C3AE1"/>
    <w:rsid w:val="006C3AFA"/>
    <w:rsid w:val="006C3B4C"/>
    <w:rsid w:val="006C3B53"/>
    <w:rsid w:val="006C3B8A"/>
    <w:rsid w:val="006C3B9C"/>
    <w:rsid w:val="006C3CCE"/>
    <w:rsid w:val="006C3CF4"/>
    <w:rsid w:val="006C3D80"/>
    <w:rsid w:val="006C3D97"/>
    <w:rsid w:val="006C3DE5"/>
    <w:rsid w:val="006C3E47"/>
    <w:rsid w:val="006C3E9C"/>
    <w:rsid w:val="006C3EA1"/>
    <w:rsid w:val="006C3ED3"/>
    <w:rsid w:val="006C3EF3"/>
    <w:rsid w:val="006C3F50"/>
    <w:rsid w:val="006C3F51"/>
    <w:rsid w:val="006C3F9B"/>
    <w:rsid w:val="006C3FCC"/>
    <w:rsid w:val="006C4012"/>
    <w:rsid w:val="006C403D"/>
    <w:rsid w:val="006C4123"/>
    <w:rsid w:val="006C412F"/>
    <w:rsid w:val="006C4163"/>
    <w:rsid w:val="006C419E"/>
    <w:rsid w:val="006C42EB"/>
    <w:rsid w:val="006C4339"/>
    <w:rsid w:val="006C4393"/>
    <w:rsid w:val="006C43BA"/>
    <w:rsid w:val="006C43CA"/>
    <w:rsid w:val="006C4465"/>
    <w:rsid w:val="006C4479"/>
    <w:rsid w:val="006C44EE"/>
    <w:rsid w:val="006C452B"/>
    <w:rsid w:val="006C4544"/>
    <w:rsid w:val="006C460A"/>
    <w:rsid w:val="006C461B"/>
    <w:rsid w:val="006C4680"/>
    <w:rsid w:val="006C4706"/>
    <w:rsid w:val="006C4713"/>
    <w:rsid w:val="006C474F"/>
    <w:rsid w:val="006C477E"/>
    <w:rsid w:val="006C4811"/>
    <w:rsid w:val="006C4834"/>
    <w:rsid w:val="006C4837"/>
    <w:rsid w:val="006C485A"/>
    <w:rsid w:val="006C48E2"/>
    <w:rsid w:val="006C492E"/>
    <w:rsid w:val="006C4937"/>
    <w:rsid w:val="006C49AB"/>
    <w:rsid w:val="006C4AA1"/>
    <w:rsid w:val="006C4AF9"/>
    <w:rsid w:val="006C4B70"/>
    <w:rsid w:val="006C4B80"/>
    <w:rsid w:val="006C4BD2"/>
    <w:rsid w:val="006C4BD9"/>
    <w:rsid w:val="006C4CCE"/>
    <w:rsid w:val="006C4CD9"/>
    <w:rsid w:val="006C4CF6"/>
    <w:rsid w:val="006C4DBA"/>
    <w:rsid w:val="006C4DFB"/>
    <w:rsid w:val="006C4E6F"/>
    <w:rsid w:val="006C4E83"/>
    <w:rsid w:val="006C4EED"/>
    <w:rsid w:val="006C4F55"/>
    <w:rsid w:val="006C5054"/>
    <w:rsid w:val="006C50C7"/>
    <w:rsid w:val="006C5159"/>
    <w:rsid w:val="006C51DC"/>
    <w:rsid w:val="006C5254"/>
    <w:rsid w:val="006C5298"/>
    <w:rsid w:val="006C52A3"/>
    <w:rsid w:val="006C52E4"/>
    <w:rsid w:val="006C5337"/>
    <w:rsid w:val="006C5348"/>
    <w:rsid w:val="006C5359"/>
    <w:rsid w:val="006C5369"/>
    <w:rsid w:val="006C538D"/>
    <w:rsid w:val="006C5425"/>
    <w:rsid w:val="006C542F"/>
    <w:rsid w:val="006C5432"/>
    <w:rsid w:val="006C5433"/>
    <w:rsid w:val="006C5466"/>
    <w:rsid w:val="006C5477"/>
    <w:rsid w:val="006C5486"/>
    <w:rsid w:val="006C54D2"/>
    <w:rsid w:val="006C54F3"/>
    <w:rsid w:val="006C5583"/>
    <w:rsid w:val="006C55F1"/>
    <w:rsid w:val="006C5630"/>
    <w:rsid w:val="006C56DD"/>
    <w:rsid w:val="006C5727"/>
    <w:rsid w:val="006C5732"/>
    <w:rsid w:val="006C577D"/>
    <w:rsid w:val="006C5784"/>
    <w:rsid w:val="006C57B4"/>
    <w:rsid w:val="006C57C1"/>
    <w:rsid w:val="006C5876"/>
    <w:rsid w:val="006C587B"/>
    <w:rsid w:val="006C58B2"/>
    <w:rsid w:val="006C5907"/>
    <w:rsid w:val="006C5913"/>
    <w:rsid w:val="006C5969"/>
    <w:rsid w:val="006C59C3"/>
    <w:rsid w:val="006C5A53"/>
    <w:rsid w:val="006C5AB1"/>
    <w:rsid w:val="006C5B89"/>
    <w:rsid w:val="006C5BD2"/>
    <w:rsid w:val="006C5BFD"/>
    <w:rsid w:val="006C5C9E"/>
    <w:rsid w:val="006C5CD8"/>
    <w:rsid w:val="006C5CEF"/>
    <w:rsid w:val="006C5D27"/>
    <w:rsid w:val="006C5D5B"/>
    <w:rsid w:val="006C5D5C"/>
    <w:rsid w:val="006C5D82"/>
    <w:rsid w:val="006C5DA4"/>
    <w:rsid w:val="006C5E44"/>
    <w:rsid w:val="006C5E6F"/>
    <w:rsid w:val="006C5E95"/>
    <w:rsid w:val="006C5ED6"/>
    <w:rsid w:val="006C5F97"/>
    <w:rsid w:val="006C6063"/>
    <w:rsid w:val="006C60C1"/>
    <w:rsid w:val="006C60D9"/>
    <w:rsid w:val="006C610E"/>
    <w:rsid w:val="006C612E"/>
    <w:rsid w:val="006C6145"/>
    <w:rsid w:val="006C6148"/>
    <w:rsid w:val="006C616B"/>
    <w:rsid w:val="006C6177"/>
    <w:rsid w:val="006C61D2"/>
    <w:rsid w:val="006C61D5"/>
    <w:rsid w:val="006C6206"/>
    <w:rsid w:val="006C624A"/>
    <w:rsid w:val="006C628D"/>
    <w:rsid w:val="006C62FE"/>
    <w:rsid w:val="006C6339"/>
    <w:rsid w:val="006C6350"/>
    <w:rsid w:val="006C63A4"/>
    <w:rsid w:val="006C6429"/>
    <w:rsid w:val="006C643C"/>
    <w:rsid w:val="006C6454"/>
    <w:rsid w:val="006C6486"/>
    <w:rsid w:val="006C64A0"/>
    <w:rsid w:val="006C64A8"/>
    <w:rsid w:val="006C6573"/>
    <w:rsid w:val="006C65EE"/>
    <w:rsid w:val="006C6605"/>
    <w:rsid w:val="006C66A1"/>
    <w:rsid w:val="006C6727"/>
    <w:rsid w:val="006C6752"/>
    <w:rsid w:val="006C675C"/>
    <w:rsid w:val="006C67D6"/>
    <w:rsid w:val="006C6801"/>
    <w:rsid w:val="006C6842"/>
    <w:rsid w:val="006C68A4"/>
    <w:rsid w:val="006C68D3"/>
    <w:rsid w:val="006C68D9"/>
    <w:rsid w:val="006C6912"/>
    <w:rsid w:val="006C6915"/>
    <w:rsid w:val="006C6A17"/>
    <w:rsid w:val="006C6AF7"/>
    <w:rsid w:val="006C6B31"/>
    <w:rsid w:val="006C6C76"/>
    <w:rsid w:val="006C6D12"/>
    <w:rsid w:val="006C6D5B"/>
    <w:rsid w:val="006C6DA5"/>
    <w:rsid w:val="006C6E19"/>
    <w:rsid w:val="006C6E66"/>
    <w:rsid w:val="006C6F0B"/>
    <w:rsid w:val="006C6F5A"/>
    <w:rsid w:val="006C7023"/>
    <w:rsid w:val="006C70A7"/>
    <w:rsid w:val="006C70D4"/>
    <w:rsid w:val="006C70F5"/>
    <w:rsid w:val="006C7169"/>
    <w:rsid w:val="006C718C"/>
    <w:rsid w:val="006C72DA"/>
    <w:rsid w:val="006C73F8"/>
    <w:rsid w:val="006C740F"/>
    <w:rsid w:val="006C7471"/>
    <w:rsid w:val="006C74B1"/>
    <w:rsid w:val="006C74FF"/>
    <w:rsid w:val="006C753F"/>
    <w:rsid w:val="006C7541"/>
    <w:rsid w:val="006C7547"/>
    <w:rsid w:val="006C7567"/>
    <w:rsid w:val="006C75A4"/>
    <w:rsid w:val="006C7615"/>
    <w:rsid w:val="006C7673"/>
    <w:rsid w:val="006C7684"/>
    <w:rsid w:val="006C768D"/>
    <w:rsid w:val="006C76E6"/>
    <w:rsid w:val="006C77E2"/>
    <w:rsid w:val="006C77EA"/>
    <w:rsid w:val="006C788A"/>
    <w:rsid w:val="006C78FE"/>
    <w:rsid w:val="006C7904"/>
    <w:rsid w:val="006C792B"/>
    <w:rsid w:val="006C795E"/>
    <w:rsid w:val="006C7A34"/>
    <w:rsid w:val="006C7ADC"/>
    <w:rsid w:val="006C7B31"/>
    <w:rsid w:val="006C7B61"/>
    <w:rsid w:val="006C7BF2"/>
    <w:rsid w:val="006C7C5C"/>
    <w:rsid w:val="006C7E03"/>
    <w:rsid w:val="006C7E32"/>
    <w:rsid w:val="006C7E3E"/>
    <w:rsid w:val="006C7EB2"/>
    <w:rsid w:val="006C7EF4"/>
    <w:rsid w:val="006C7F02"/>
    <w:rsid w:val="006C7F0B"/>
    <w:rsid w:val="006C7F4B"/>
    <w:rsid w:val="006C7F4E"/>
    <w:rsid w:val="006D0093"/>
    <w:rsid w:val="006D00B6"/>
    <w:rsid w:val="006D00D4"/>
    <w:rsid w:val="006D0110"/>
    <w:rsid w:val="006D0112"/>
    <w:rsid w:val="006D0136"/>
    <w:rsid w:val="006D0186"/>
    <w:rsid w:val="006D018D"/>
    <w:rsid w:val="006D01AF"/>
    <w:rsid w:val="006D01E6"/>
    <w:rsid w:val="006D03DF"/>
    <w:rsid w:val="006D03E9"/>
    <w:rsid w:val="006D0423"/>
    <w:rsid w:val="006D0448"/>
    <w:rsid w:val="006D0571"/>
    <w:rsid w:val="006D058A"/>
    <w:rsid w:val="006D05C2"/>
    <w:rsid w:val="006D05F0"/>
    <w:rsid w:val="006D0614"/>
    <w:rsid w:val="006D0617"/>
    <w:rsid w:val="006D0626"/>
    <w:rsid w:val="006D06B7"/>
    <w:rsid w:val="006D06DA"/>
    <w:rsid w:val="006D0704"/>
    <w:rsid w:val="006D0756"/>
    <w:rsid w:val="006D0772"/>
    <w:rsid w:val="006D0792"/>
    <w:rsid w:val="006D0873"/>
    <w:rsid w:val="006D08B7"/>
    <w:rsid w:val="006D0977"/>
    <w:rsid w:val="006D0A1A"/>
    <w:rsid w:val="006D0A4E"/>
    <w:rsid w:val="006D0B06"/>
    <w:rsid w:val="006D0BC2"/>
    <w:rsid w:val="006D0BE7"/>
    <w:rsid w:val="006D0C4C"/>
    <w:rsid w:val="006D0C72"/>
    <w:rsid w:val="006D0CF6"/>
    <w:rsid w:val="006D0D0F"/>
    <w:rsid w:val="006D0D31"/>
    <w:rsid w:val="006D0D71"/>
    <w:rsid w:val="006D0E01"/>
    <w:rsid w:val="006D0E49"/>
    <w:rsid w:val="006D0E56"/>
    <w:rsid w:val="006D0E6F"/>
    <w:rsid w:val="006D0F2C"/>
    <w:rsid w:val="006D0FCF"/>
    <w:rsid w:val="006D0FDE"/>
    <w:rsid w:val="006D0FEA"/>
    <w:rsid w:val="006D100A"/>
    <w:rsid w:val="006D1078"/>
    <w:rsid w:val="006D10FD"/>
    <w:rsid w:val="006D11A2"/>
    <w:rsid w:val="006D11D5"/>
    <w:rsid w:val="006D1280"/>
    <w:rsid w:val="006D12AD"/>
    <w:rsid w:val="006D12C9"/>
    <w:rsid w:val="006D12EE"/>
    <w:rsid w:val="006D134F"/>
    <w:rsid w:val="006D1370"/>
    <w:rsid w:val="006D1372"/>
    <w:rsid w:val="006D13A2"/>
    <w:rsid w:val="006D143F"/>
    <w:rsid w:val="006D14FF"/>
    <w:rsid w:val="006D150E"/>
    <w:rsid w:val="006D151A"/>
    <w:rsid w:val="006D15A7"/>
    <w:rsid w:val="006D167B"/>
    <w:rsid w:val="006D169A"/>
    <w:rsid w:val="006D16A0"/>
    <w:rsid w:val="006D172C"/>
    <w:rsid w:val="006D1797"/>
    <w:rsid w:val="006D17ED"/>
    <w:rsid w:val="006D1843"/>
    <w:rsid w:val="006D189C"/>
    <w:rsid w:val="006D18F3"/>
    <w:rsid w:val="006D18FA"/>
    <w:rsid w:val="006D192A"/>
    <w:rsid w:val="006D1960"/>
    <w:rsid w:val="006D19F0"/>
    <w:rsid w:val="006D1A0B"/>
    <w:rsid w:val="006D1A22"/>
    <w:rsid w:val="006D1A2C"/>
    <w:rsid w:val="006D1AB0"/>
    <w:rsid w:val="006D1AB3"/>
    <w:rsid w:val="006D1AF1"/>
    <w:rsid w:val="006D1B1A"/>
    <w:rsid w:val="006D1B2F"/>
    <w:rsid w:val="006D1B32"/>
    <w:rsid w:val="006D1BB9"/>
    <w:rsid w:val="006D1BF8"/>
    <w:rsid w:val="006D1CE9"/>
    <w:rsid w:val="006D1D0E"/>
    <w:rsid w:val="006D1D6B"/>
    <w:rsid w:val="006D1DF2"/>
    <w:rsid w:val="006D1DF9"/>
    <w:rsid w:val="006D1E13"/>
    <w:rsid w:val="006D1E79"/>
    <w:rsid w:val="006D1E7B"/>
    <w:rsid w:val="006D1E89"/>
    <w:rsid w:val="006D1EC0"/>
    <w:rsid w:val="006D1F99"/>
    <w:rsid w:val="006D1FA7"/>
    <w:rsid w:val="006D1FE0"/>
    <w:rsid w:val="006D1FFD"/>
    <w:rsid w:val="006D2069"/>
    <w:rsid w:val="006D207A"/>
    <w:rsid w:val="006D2225"/>
    <w:rsid w:val="006D2231"/>
    <w:rsid w:val="006D223C"/>
    <w:rsid w:val="006D228E"/>
    <w:rsid w:val="006D230A"/>
    <w:rsid w:val="006D2323"/>
    <w:rsid w:val="006D2329"/>
    <w:rsid w:val="006D2354"/>
    <w:rsid w:val="006D23E2"/>
    <w:rsid w:val="006D23E5"/>
    <w:rsid w:val="006D2407"/>
    <w:rsid w:val="006D24E5"/>
    <w:rsid w:val="006D25A4"/>
    <w:rsid w:val="006D2613"/>
    <w:rsid w:val="006D26C7"/>
    <w:rsid w:val="006D2715"/>
    <w:rsid w:val="006D2718"/>
    <w:rsid w:val="006D271A"/>
    <w:rsid w:val="006D2752"/>
    <w:rsid w:val="006D279C"/>
    <w:rsid w:val="006D27AC"/>
    <w:rsid w:val="006D27FF"/>
    <w:rsid w:val="006D2852"/>
    <w:rsid w:val="006D28A1"/>
    <w:rsid w:val="006D28C2"/>
    <w:rsid w:val="006D2914"/>
    <w:rsid w:val="006D29D4"/>
    <w:rsid w:val="006D29DE"/>
    <w:rsid w:val="006D2A2E"/>
    <w:rsid w:val="006D2AA6"/>
    <w:rsid w:val="006D2AAD"/>
    <w:rsid w:val="006D2AFB"/>
    <w:rsid w:val="006D2B61"/>
    <w:rsid w:val="006D2B7B"/>
    <w:rsid w:val="006D2BCF"/>
    <w:rsid w:val="006D2C3E"/>
    <w:rsid w:val="006D2CFE"/>
    <w:rsid w:val="006D2D6F"/>
    <w:rsid w:val="006D2E54"/>
    <w:rsid w:val="006D2E9E"/>
    <w:rsid w:val="006D2EE1"/>
    <w:rsid w:val="006D2F4C"/>
    <w:rsid w:val="006D2F59"/>
    <w:rsid w:val="006D2F6E"/>
    <w:rsid w:val="006D2F7C"/>
    <w:rsid w:val="006D2FB6"/>
    <w:rsid w:val="006D303D"/>
    <w:rsid w:val="006D3044"/>
    <w:rsid w:val="006D3108"/>
    <w:rsid w:val="006D3235"/>
    <w:rsid w:val="006D3268"/>
    <w:rsid w:val="006D327D"/>
    <w:rsid w:val="006D32B3"/>
    <w:rsid w:val="006D32E3"/>
    <w:rsid w:val="006D3383"/>
    <w:rsid w:val="006D33EB"/>
    <w:rsid w:val="006D3448"/>
    <w:rsid w:val="006D3454"/>
    <w:rsid w:val="006D3459"/>
    <w:rsid w:val="006D34A4"/>
    <w:rsid w:val="006D34C0"/>
    <w:rsid w:val="006D34E5"/>
    <w:rsid w:val="006D35B1"/>
    <w:rsid w:val="006D3610"/>
    <w:rsid w:val="006D3623"/>
    <w:rsid w:val="006D3630"/>
    <w:rsid w:val="006D3673"/>
    <w:rsid w:val="006D3696"/>
    <w:rsid w:val="006D371E"/>
    <w:rsid w:val="006D372C"/>
    <w:rsid w:val="006D3764"/>
    <w:rsid w:val="006D3807"/>
    <w:rsid w:val="006D382F"/>
    <w:rsid w:val="006D3895"/>
    <w:rsid w:val="006D38CA"/>
    <w:rsid w:val="006D3970"/>
    <w:rsid w:val="006D3983"/>
    <w:rsid w:val="006D3994"/>
    <w:rsid w:val="006D3995"/>
    <w:rsid w:val="006D39B7"/>
    <w:rsid w:val="006D3AE7"/>
    <w:rsid w:val="006D3AF0"/>
    <w:rsid w:val="006D3AF7"/>
    <w:rsid w:val="006D3B63"/>
    <w:rsid w:val="006D3BF1"/>
    <w:rsid w:val="006D3C1C"/>
    <w:rsid w:val="006D3CC5"/>
    <w:rsid w:val="006D3CF6"/>
    <w:rsid w:val="006D3D1E"/>
    <w:rsid w:val="006D3D2E"/>
    <w:rsid w:val="006D3D75"/>
    <w:rsid w:val="006D3DEB"/>
    <w:rsid w:val="006D3E48"/>
    <w:rsid w:val="006D3EDB"/>
    <w:rsid w:val="006D3F00"/>
    <w:rsid w:val="006D3F61"/>
    <w:rsid w:val="006D3F99"/>
    <w:rsid w:val="006D3FF1"/>
    <w:rsid w:val="006D3FF3"/>
    <w:rsid w:val="006D4042"/>
    <w:rsid w:val="006D404B"/>
    <w:rsid w:val="006D4091"/>
    <w:rsid w:val="006D4099"/>
    <w:rsid w:val="006D40FF"/>
    <w:rsid w:val="006D4100"/>
    <w:rsid w:val="006D415D"/>
    <w:rsid w:val="006D4162"/>
    <w:rsid w:val="006D418C"/>
    <w:rsid w:val="006D4192"/>
    <w:rsid w:val="006D4205"/>
    <w:rsid w:val="006D42BD"/>
    <w:rsid w:val="006D4313"/>
    <w:rsid w:val="006D4315"/>
    <w:rsid w:val="006D4346"/>
    <w:rsid w:val="006D437E"/>
    <w:rsid w:val="006D43C8"/>
    <w:rsid w:val="006D43CF"/>
    <w:rsid w:val="006D43EC"/>
    <w:rsid w:val="006D4495"/>
    <w:rsid w:val="006D44B4"/>
    <w:rsid w:val="006D44D0"/>
    <w:rsid w:val="006D46F2"/>
    <w:rsid w:val="006D4721"/>
    <w:rsid w:val="006D4723"/>
    <w:rsid w:val="006D4786"/>
    <w:rsid w:val="006D47C7"/>
    <w:rsid w:val="006D4821"/>
    <w:rsid w:val="006D4861"/>
    <w:rsid w:val="006D4960"/>
    <w:rsid w:val="006D496C"/>
    <w:rsid w:val="006D4A3E"/>
    <w:rsid w:val="006D4A4F"/>
    <w:rsid w:val="006D4A53"/>
    <w:rsid w:val="006D4AA4"/>
    <w:rsid w:val="006D4AFD"/>
    <w:rsid w:val="006D4B0C"/>
    <w:rsid w:val="006D4B35"/>
    <w:rsid w:val="006D4B41"/>
    <w:rsid w:val="006D4B5E"/>
    <w:rsid w:val="006D4B81"/>
    <w:rsid w:val="006D4C14"/>
    <w:rsid w:val="006D4C1E"/>
    <w:rsid w:val="006D4C96"/>
    <w:rsid w:val="006D4CA1"/>
    <w:rsid w:val="006D4D00"/>
    <w:rsid w:val="006D4D88"/>
    <w:rsid w:val="006D4DA5"/>
    <w:rsid w:val="006D4E01"/>
    <w:rsid w:val="006D4E2D"/>
    <w:rsid w:val="006D4F1E"/>
    <w:rsid w:val="006D4F9E"/>
    <w:rsid w:val="006D4FB7"/>
    <w:rsid w:val="006D4FC8"/>
    <w:rsid w:val="006D502A"/>
    <w:rsid w:val="006D50CD"/>
    <w:rsid w:val="006D50DB"/>
    <w:rsid w:val="006D5143"/>
    <w:rsid w:val="006D5170"/>
    <w:rsid w:val="006D5178"/>
    <w:rsid w:val="006D519C"/>
    <w:rsid w:val="006D51C8"/>
    <w:rsid w:val="006D51F9"/>
    <w:rsid w:val="006D5216"/>
    <w:rsid w:val="006D526E"/>
    <w:rsid w:val="006D5280"/>
    <w:rsid w:val="006D5282"/>
    <w:rsid w:val="006D52BC"/>
    <w:rsid w:val="006D531D"/>
    <w:rsid w:val="006D535B"/>
    <w:rsid w:val="006D536B"/>
    <w:rsid w:val="006D53D0"/>
    <w:rsid w:val="006D53E7"/>
    <w:rsid w:val="006D5410"/>
    <w:rsid w:val="006D5416"/>
    <w:rsid w:val="006D5431"/>
    <w:rsid w:val="006D54F8"/>
    <w:rsid w:val="006D5526"/>
    <w:rsid w:val="006D55BE"/>
    <w:rsid w:val="006D55DE"/>
    <w:rsid w:val="006D55F0"/>
    <w:rsid w:val="006D5666"/>
    <w:rsid w:val="006D568A"/>
    <w:rsid w:val="006D5690"/>
    <w:rsid w:val="006D5711"/>
    <w:rsid w:val="006D5753"/>
    <w:rsid w:val="006D5772"/>
    <w:rsid w:val="006D57C5"/>
    <w:rsid w:val="006D583A"/>
    <w:rsid w:val="006D58A6"/>
    <w:rsid w:val="006D58C1"/>
    <w:rsid w:val="006D591B"/>
    <w:rsid w:val="006D5928"/>
    <w:rsid w:val="006D5944"/>
    <w:rsid w:val="006D59E4"/>
    <w:rsid w:val="006D59FF"/>
    <w:rsid w:val="006D5A00"/>
    <w:rsid w:val="006D5A09"/>
    <w:rsid w:val="006D5A20"/>
    <w:rsid w:val="006D5AC1"/>
    <w:rsid w:val="006D5AFD"/>
    <w:rsid w:val="006D5B52"/>
    <w:rsid w:val="006D5B93"/>
    <w:rsid w:val="006D5BE1"/>
    <w:rsid w:val="006D5BF3"/>
    <w:rsid w:val="006D5BF9"/>
    <w:rsid w:val="006D5C19"/>
    <w:rsid w:val="006D5C76"/>
    <w:rsid w:val="006D5D4C"/>
    <w:rsid w:val="006D5D4D"/>
    <w:rsid w:val="006D5DB6"/>
    <w:rsid w:val="006D5DE2"/>
    <w:rsid w:val="006D5EA8"/>
    <w:rsid w:val="006D5EB8"/>
    <w:rsid w:val="006D5ECB"/>
    <w:rsid w:val="006D5EDC"/>
    <w:rsid w:val="006D5F47"/>
    <w:rsid w:val="006D5F57"/>
    <w:rsid w:val="006D5F68"/>
    <w:rsid w:val="006D5F9D"/>
    <w:rsid w:val="006D5FB9"/>
    <w:rsid w:val="006D5FDB"/>
    <w:rsid w:val="006D5FFD"/>
    <w:rsid w:val="006D6041"/>
    <w:rsid w:val="006D609D"/>
    <w:rsid w:val="006D60BE"/>
    <w:rsid w:val="006D6126"/>
    <w:rsid w:val="006D6140"/>
    <w:rsid w:val="006D6150"/>
    <w:rsid w:val="006D6178"/>
    <w:rsid w:val="006D6181"/>
    <w:rsid w:val="006D6185"/>
    <w:rsid w:val="006D62FD"/>
    <w:rsid w:val="006D632E"/>
    <w:rsid w:val="006D6346"/>
    <w:rsid w:val="006D634F"/>
    <w:rsid w:val="006D638B"/>
    <w:rsid w:val="006D63AD"/>
    <w:rsid w:val="006D63D1"/>
    <w:rsid w:val="006D6417"/>
    <w:rsid w:val="006D643C"/>
    <w:rsid w:val="006D651C"/>
    <w:rsid w:val="006D6527"/>
    <w:rsid w:val="006D6537"/>
    <w:rsid w:val="006D6680"/>
    <w:rsid w:val="006D669F"/>
    <w:rsid w:val="006D66B7"/>
    <w:rsid w:val="006D67DD"/>
    <w:rsid w:val="006D681C"/>
    <w:rsid w:val="006D68D6"/>
    <w:rsid w:val="006D68DE"/>
    <w:rsid w:val="006D6900"/>
    <w:rsid w:val="006D6930"/>
    <w:rsid w:val="006D6933"/>
    <w:rsid w:val="006D6967"/>
    <w:rsid w:val="006D6990"/>
    <w:rsid w:val="006D69B1"/>
    <w:rsid w:val="006D69B2"/>
    <w:rsid w:val="006D6A0B"/>
    <w:rsid w:val="006D6AA3"/>
    <w:rsid w:val="006D6AB3"/>
    <w:rsid w:val="006D6ADF"/>
    <w:rsid w:val="006D6B52"/>
    <w:rsid w:val="006D6B9D"/>
    <w:rsid w:val="006D6C73"/>
    <w:rsid w:val="006D6CB2"/>
    <w:rsid w:val="006D6CB5"/>
    <w:rsid w:val="006D6CC1"/>
    <w:rsid w:val="006D6CC9"/>
    <w:rsid w:val="006D6D24"/>
    <w:rsid w:val="006D6D38"/>
    <w:rsid w:val="006D6DAA"/>
    <w:rsid w:val="006D6E53"/>
    <w:rsid w:val="006D6E6B"/>
    <w:rsid w:val="006D6EB3"/>
    <w:rsid w:val="006D6EE2"/>
    <w:rsid w:val="006D6EFF"/>
    <w:rsid w:val="006D6F0A"/>
    <w:rsid w:val="006D6FB9"/>
    <w:rsid w:val="006D6FD4"/>
    <w:rsid w:val="006D700A"/>
    <w:rsid w:val="006D70CC"/>
    <w:rsid w:val="006D70E6"/>
    <w:rsid w:val="006D70F9"/>
    <w:rsid w:val="006D713E"/>
    <w:rsid w:val="006D715E"/>
    <w:rsid w:val="006D715F"/>
    <w:rsid w:val="006D7190"/>
    <w:rsid w:val="006D71E5"/>
    <w:rsid w:val="006D720A"/>
    <w:rsid w:val="006D7243"/>
    <w:rsid w:val="006D7249"/>
    <w:rsid w:val="006D725D"/>
    <w:rsid w:val="006D7287"/>
    <w:rsid w:val="006D72EC"/>
    <w:rsid w:val="006D73A0"/>
    <w:rsid w:val="006D73A2"/>
    <w:rsid w:val="006D73E2"/>
    <w:rsid w:val="006D7435"/>
    <w:rsid w:val="006D7499"/>
    <w:rsid w:val="006D74C2"/>
    <w:rsid w:val="006D74CF"/>
    <w:rsid w:val="006D7588"/>
    <w:rsid w:val="006D758C"/>
    <w:rsid w:val="006D75BE"/>
    <w:rsid w:val="006D75F9"/>
    <w:rsid w:val="006D7615"/>
    <w:rsid w:val="006D7627"/>
    <w:rsid w:val="006D762E"/>
    <w:rsid w:val="006D7643"/>
    <w:rsid w:val="006D769A"/>
    <w:rsid w:val="006D76D5"/>
    <w:rsid w:val="006D76F6"/>
    <w:rsid w:val="006D77E4"/>
    <w:rsid w:val="006D7837"/>
    <w:rsid w:val="006D7980"/>
    <w:rsid w:val="006D7A77"/>
    <w:rsid w:val="006D7AE7"/>
    <w:rsid w:val="006D7BD8"/>
    <w:rsid w:val="006D7BE4"/>
    <w:rsid w:val="006D7C4E"/>
    <w:rsid w:val="006D7C66"/>
    <w:rsid w:val="006D7CA4"/>
    <w:rsid w:val="006D7CE2"/>
    <w:rsid w:val="006D7CF5"/>
    <w:rsid w:val="006D7D59"/>
    <w:rsid w:val="006D7D69"/>
    <w:rsid w:val="006D7EB6"/>
    <w:rsid w:val="006D7EC2"/>
    <w:rsid w:val="006D7F8E"/>
    <w:rsid w:val="006D7F9F"/>
    <w:rsid w:val="006D7FD3"/>
    <w:rsid w:val="006E006C"/>
    <w:rsid w:val="006E0075"/>
    <w:rsid w:val="006E0079"/>
    <w:rsid w:val="006E00C4"/>
    <w:rsid w:val="006E00D3"/>
    <w:rsid w:val="006E0246"/>
    <w:rsid w:val="006E030D"/>
    <w:rsid w:val="006E030F"/>
    <w:rsid w:val="006E03A6"/>
    <w:rsid w:val="006E03B9"/>
    <w:rsid w:val="006E03BD"/>
    <w:rsid w:val="006E03F6"/>
    <w:rsid w:val="006E047D"/>
    <w:rsid w:val="006E04C9"/>
    <w:rsid w:val="006E0518"/>
    <w:rsid w:val="006E053D"/>
    <w:rsid w:val="006E053E"/>
    <w:rsid w:val="006E0543"/>
    <w:rsid w:val="006E0551"/>
    <w:rsid w:val="006E055A"/>
    <w:rsid w:val="006E05BA"/>
    <w:rsid w:val="006E0657"/>
    <w:rsid w:val="006E0662"/>
    <w:rsid w:val="006E0684"/>
    <w:rsid w:val="006E06AD"/>
    <w:rsid w:val="006E06CF"/>
    <w:rsid w:val="006E0756"/>
    <w:rsid w:val="006E0789"/>
    <w:rsid w:val="006E07E6"/>
    <w:rsid w:val="006E0802"/>
    <w:rsid w:val="006E0841"/>
    <w:rsid w:val="006E089F"/>
    <w:rsid w:val="006E0926"/>
    <w:rsid w:val="006E09C8"/>
    <w:rsid w:val="006E09D2"/>
    <w:rsid w:val="006E09FD"/>
    <w:rsid w:val="006E0A76"/>
    <w:rsid w:val="006E0A7E"/>
    <w:rsid w:val="006E0A89"/>
    <w:rsid w:val="006E0A97"/>
    <w:rsid w:val="006E0A99"/>
    <w:rsid w:val="006E0AE4"/>
    <w:rsid w:val="006E0B2F"/>
    <w:rsid w:val="006E0BC0"/>
    <w:rsid w:val="006E0BC1"/>
    <w:rsid w:val="006E0C57"/>
    <w:rsid w:val="006E0CF2"/>
    <w:rsid w:val="006E0DAB"/>
    <w:rsid w:val="006E0DC0"/>
    <w:rsid w:val="006E0DFA"/>
    <w:rsid w:val="006E0DFE"/>
    <w:rsid w:val="006E0E1B"/>
    <w:rsid w:val="006E0E26"/>
    <w:rsid w:val="006E0E3E"/>
    <w:rsid w:val="006E0EBA"/>
    <w:rsid w:val="006E0EE8"/>
    <w:rsid w:val="006E0EEB"/>
    <w:rsid w:val="006E0F6B"/>
    <w:rsid w:val="006E0F6F"/>
    <w:rsid w:val="006E0FF6"/>
    <w:rsid w:val="006E110A"/>
    <w:rsid w:val="006E1184"/>
    <w:rsid w:val="006E11AF"/>
    <w:rsid w:val="006E1272"/>
    <w:rsid w:val="006E1308"/>
    <w:rsid w:val="006E1318"/>
    <w:rsid w:val="006E1390"/>
    <w:rsid w:val="006E1391"/>
    <w:rsid w:val="006E13D9"/>
    <w:rsid w:val="006E1420"/>
    <w:rsid w:val="006E1429"/>
    <w:rsid w:val="006E1463"/>
    <w:rsid w:val="006E1488"/>
    <w:rsid w:val="006E1498"/>
    <w:rsid w:val="006E14C6"/>
    <w:rsid w:val="006E15C8"/>
    <w:rsid w:val="006E15E1"/>
    <w:rsid w:val="006E1605"/>
    <w:rsid w:val="006E165C"/>
    <w:rsid w:val="006E1670"/>
    <w:rsid w:val="006E16AE"/>
    <w:rsid w:val="006E16D3"/>
    <w:rsid w:val="006E170C"/>
    <w:rsid w:val="006E175D"/>
    <w:rsid w:val="006E176E"/>
    <w:rsid w:val="006E17E5"/>
    <w:rsid w:val="006E1836"/>
    <w:rsid w:val="006E1897"/>
    <w:rsid w:val="006E1899"/>
    <w:rsid w:val="006E18DC"/>
    <w:rsid w:val="006E18F6"/>
    <w:rsid w:val="006E18FC"/>
    <w:rsid w:val="006E199D"/>
    <w:rsid w:val="006E19B1"/>
    <w:rsid w:val="006E19D6"/>
    <w:rsid w:val="006E1AB5"/>
    <w:rsid w:val="006E1AC8"/>
    <w:rsid w:val="006E1B78"/>
    <w:rsid w:val="006E1BD2"/>
    <w:rsid w:val="006E1C04"/>
    <w:rsid w:val="006E1C07"/>
    <w:rsid w:val="006E1C55"/>
    <w:rsid w:val="006E1C9B"/>
    <w:rsid w:val="006E1D02"/>
    <w:rsid w:val="006E1D5E"/>
    <w:rsid w:val="006E1D80"/>
    <w:rsid w:val="006E1D86"/>
    <w:rsid w:val="006E1EA1"/>
    <w:rsid w:val="006E1EB7"/>
    <w:rsid w:val="006E1F0F"/>
    <w:rsid w:val="006E1F34"/>
    <w:rsid w:val="006E1F37"/>
    <w:rsid w:val="006E1F8F"/>
    <w:rsid w:val="006E1FEF"/>
    <w:rsid w:val="006E203A"/>
    <w:rsid w:val="006E20A8"/>
    <w:rsid w:val="006E20B1"/>
    <w:rsid w:val="006E211B"/>
    <w:rsid w:val="006E2133"/>
    <w:rsid w:val="006E2181"/>
    <w:rsid w:val="006E2196"/>
    <w:rsid w:val="006E21DB"/>
    <w:rsid w:val="006E223B"/>
    <w:rsid w:val="006E2286"/>
    <w:rsid w:val="006E22F9"/>
    <w:rsid w:val="006E2304"/>
    <w:rsid w:val="006E23B4"/>
    <w:rsid w:val="006E23F3"/>
    <w:rsid w:val="006E2417"/>
    <w:rsid w:val="006E2438"/>
    <w:rsid w:val="006E2447"/>
    <w:rsid w:val="006E2507"/>
    <w:rsid w:val="006E2543"/>
    <w:rsid w:val="006E2580"/>
    <w:rsid w:val="006E25DF"/>
    <w:rsid w:val="006E25FA"/>
    <w:rsid w:val="006E265E"/>
    <w:rsid w:val="006E2690"/>
    <w:rsid w:val="006E2693"/>
    <w:rsid w:val="006E26E2"/>
    <w:rsid w:val="006E2736"/>
    <w:rsid w:val="006E276D"/>
    <w:rsid w:val="006E27EB"/>
    <w:rsid w:val="006E281D"/>
    <w:rsid w:val="006E2841"/>
    <w:rsid w:val="006E287C"/>
    <w:rsid w:val="006E2998"/>
    <w:rsid w:val="006E2B30"/>
    <w:rsid w:val="006E2B88"/>
    <w:rsid w:val="006E2BD8"/>
    <w:rsid w:val="006E2BF4"/>
    <w:rsid w:val="006E2C0C"/>
    <w:rsid w:val="006E2C6B"/>
    <w:rsid w:val="006E2CC8"/>
    <w:rsid w:val="006E2D67"/>
    <w:rsid w:val="006E2E8D"/>
    <w:rsid w:val="006E2EA9"/>
    <w:rsid w:val="006E2F53"/>
    <w:rsid w:val="006E2F82"/>
    <w:rsid w:val="006E3067"/>
    <w:rsid w:val="006E30D0"/>
    <w:rsid w:val="006E30E8"/>
    <w:rsid w:val="006E3131"/>
    <w:rsid w:val="006E313E"/>
    <w:rsid w:val="006E3218"/>
    <w:rsid w:val="006E3281"/>
    <w:rsid w:val="006E32C5"/>
    <w:rsid w:val="006E334A"/>
    <w:rsid w:val="006E33D9"/>
    <w:rsid w:val="006E349A"/>
    <w:rsid w:val="006E349D"/>
    <w:rsid w:val="006E34EC"/>
    <w:rsid w:val="006E34EE"/>
    <w:rsid w:val="006E3564"/>
    <w:rsid w:val="006E3565"/>
    <w:rsid w:val="006E3697"/>
    <w:rsid w:val="006E36AE"/>
    <w:rsid w:val="006E3723"/>
    <w:rsid w:val="006E3727"/>
    <w:rsid w:val="006E3728"/>
    <w:rsid w:val="006E3749"/>
    <w:rsid w:val="006E376A"/>
    <w:rsid w:val="006E37CA"/>
    <w:rsid w:val="006E37D2"/>
    <w:rsid w:val="006E38F4"/>
    <w:rsid w:val="006E391C"/>
    <w:rsid w:val="006E3960"/>
    <w:rsid w:val="006E39BB"/>
    <w:rsid w:val="006E3B28"/>
    <w:rsid w:val="006E3B4E"/>
    <w:rsid w:val="006E3B75"/>
    <w:rsid w:val="006E3BA1"/>
    <w:rsid w:val="006E3C1C"/>
    <w:rsid w:val="006E3D83"/>
    <w:rsid w:val="006E3DA2"/>
    <w:rsid w:val="006E3DAF"/>
    <w:rsid w:val="006E3DD4"/>
    <w:rsid w:val="006E3DE3"/>
    <w:rsid w:val="006E3E6E"/>
    <w:rsid w:val="006E3E70"/>
    <w:rsid w:val="006E3E79"/>
    <w:rsid w:val="006E3EBB"/>
    <w:rsid w:val="006E3EE2"/>
    <w:rsid w:val="006E3F99"/>
    <w:rsid w:val="006E3FDD"/>
    <w:rsid w:val="006E4042"/>
    <w:rsid w:val="006E4156"/>
    <w:rsid w:val="006E4169"/>
    <w:rsid w:val="006E41B2"/>
    <w:rsid w:val="006E41D4"/>
    <w:rsid w:val="006E41DD"/>
    <w:rsid w:val="006E420B"/>
    <w:rsid w:val="006E427B"/>
    <w:rsid w:val="006E4308"/>
    <w:rsid w:val="006E43B3"/>
    <w:rsid w:val="006E445B"/>
    <w:rsid w:val="006E4477"/>
    <w:rsid w:val="006E4482"/>
    <w:rsid w:val="006E44CE"/>
    <w:rsid w:val="006E44F3"/>
    <w:rsid w:val="006E4524"/>
    <w:rsid w:val="006E4677"/>
    <w:rsid w:val="006E46AD"/>
    <w:rsid w:val="006E4725"/>
    <w:rsid w:val="006E472E"/>
    <w:rsid w:val="006E473B"/>
    <w:rsid w:val="006E479A"/>
    <w:rsid w:val="006E47CD"/>
    <w:rsid w:val="006E47F9"/>
    <w:rsid w:val="006E4824"/>
    <w:rsid w:val="006E482F"/>
    <w:rsid w:val="006E48BC"/>
    <w:rsid w:val="006E48EA"/>
    <w:rsid w:val="006E4911"/>
    <w:rsid w:val="006E491C"/>
    <w:rsid w:val="006E4924"/>
    <w:rsid w:val="006E4941"/>
    <w:rsid w:val="006E49C1"/>
    <w:rsid w:val="006E4AD7"/>
    <w:rsid w:val="006E4B4D"/>
    <w:rsid w:val="006E4B63"/>
    <w:rsid w:val="006E4B8F"/>
    <w:rsid w:val="006E4B93"/>
    <w:rsid w:val="006E4BB7"/>
    <w:rsid w:val="006E4C16"/>
    <w:rsid w:val="006E4CA0"/>
    <w:rsid w:val="006E4CAE"/>
    <w:rsid w:val="006E4CB6"/>
    <w:rsid w:val="006E4CEC"/>
    <w:rsid w:val="006E4D21"/>
    <w:rsid w:val="006E4D4F"/>
    <w:rsid w:val="006E4D76"/>
    <w:rsid w:val="006E4D8F"/>
    <w:rsid w:val="006E4D92"/>
    <w:rsid w:val="006E4DCB"/>
    <w:rsid w:val="006E4E28"/>
    <w:rsid w:val="006E4ED9"/>
    <w:rsid w:val="006E4F08"/>
    <w:rsid w:val="006E4F91"/>
    <w:rsid w:val="006E4FBA"/>
    <w:rsid w:val="006E4FEC"/>
    <w:rsid w:val="006E501D"/>
    <w:rsid w:val="006E508A"/>
    <w:rsid w:val="006E5096"/>
    <w:rsid w:val="006E510A"/>
    <w:rsid w:val="006E5161"/>
    <w:rsid w:val="006E5173"/>
    <w:rsid w:val="006E51C3"/>
    <w:rsid w:val="006E5220"/>
    <w:rsid w:val="006E52C7"/>
    <w:rsid w:val="006E532A"/>
    <w:rsid w:val="006E536C"/>
    <w:rsid w:val="006E53C3"/>
    <w:rsid w:val="006E53D8"/>
    <w:rsid w:val="006E53E3"/>
    <w:rsid w:val="006E5449"/>
    <w:rsid w:val="006E5450"/>
    <w:rsid w:val="006E5499"/>
    <w:rsid w:val="006E54A3"/>
    <w:rsid w:val="006E54DA"/>
    <w:rsid w:val="006E5508"/>
    <w:rsid w:val="006E5540"/>
    <w:rsid w:val="006E5546"/>
    <w:rsid w:val="006E55A6"/>
    <w:rsid w:val="006E5602"/>
    <w:rsid w:val="006E5605"/>
    <w:rsid w:val="006E562C"/>
    <w:rsid w:val="006E5640"/>
    <w:rsid w:val="006E5718"/>
    <w:rsid w:val="006E576A"/>
    <w:rsid w:val="006E57C7"/>
    <w:rsid w:val="006E57DB"/>
    <w:rsid w:val="006E586B"/>
    <w:rsid w:val="006E58D4"/>
    <w:rsid w:val="006E58F7"/>
    <w:rsid w:val="006E591A"/>
    <w:rsid w:val="006E5937"/>
    <w:rsid w:val="006E5949"/>
    <w:rsid w:val="006E59C5"/>
    <w:rsid w:val="006E59D3"/>
    <w:rsid w:val="006E5A07"/>
    <w:rsid w:val="006E5A5F"/>
    <w:rsid w:val="006E5A84"/>
    <w:rsid w:val="006E5AB1"/>
    <w:rsid w:val="006E5AB8"/>
    <w:rsid w:val="006E5ABF"/>
    <w:rsid w:val="006E5B16"/>
    <w:rsid w:val="006E5B2A"/>
    <w:rsid w:val="006E5B4A"/>
    <w:rsid w:val="006E5B8D"/>
    <w:rsid w:val="006E5BC2"/>
    <w:rsid w:val="006E5C29"/>
    <w:rsid w:val="006E5C37"/>
    <w:rsid w:val="006E5C4E"/>
    <w:rsid w:val="006E5D25"/>
    <w:rsid w:val="006E5D5B"/>
    <w:rsid w:val="006E5DD6"/>
    <w:rsid w:val="006E5DE7"/>
    <w:rsid w:val="006E5E1F"/>
    <w:rsid w:val="006E5E8A"/>
    <w:rsid w:val="006E5ED9"/>
    <w:rsid w:val="006E5EFD"/>
    <w:rsid w:val="006E5F43"/>
    <w:rsid w:val="006E5F9F"/>
    <w:rsid w:val="006E6008"/>
    <w:rsid w:val="006E6026"/>
    <w:rsid w:val="006E6044"/>
    <w:rsid w:val="006E6052"/>
    <w:rsid w:val="006E6095"/>
    <w:rsid w:val="006E60D8"/>
    <w:rsid w:val="006E615A"/>
    <w:rsid w:val="006E61B1"/>
    <w:rsid w:val="006E61B6"/>
    <w:rsid w:val="006E6209"/>
    <w:rsid w:val="006E629A"/>
    <w:rsid w:val="006E62B3"/>
    <w:rsid w:val="006E634D"/>
    <w:rsid w:val="006E6403"/>
    <w:rsid w:val="006E64DC"/>
    <w:rsid w:val="006E651E"/>
    <w:rsid w:val="006E6560"/>
    <w:rsid w:val="006E65C1"/>
    <w:rsid w:val="006E65C5"/>
    <w:rsid w:val="006E660B"/>
    <w:rsid w:val="006E669C"/>
    <w:rsid w:val="006E6741"/>
    <w:rsid w:val="006E6753"/>
    <w:rsid w:val="006E679C"/>
    <w:rsid w:val="006E67B2"/>
    <w:rsid w:val="006E6854"/>
    <w:rsid w:val="006E68A6"/>
    <w:rsid w:val="006E68CA"/>
    <w:rsid w:val="006E6925"/>
    <w:rsid w:val="006E69B7"/>
    <w:rsid w:val="006E69C7"/>
    <w:rsid w:val="006E69D6"/>
    <w:rsid w:val="006E6A47"/>
    <w:rsid w:val="006E6B01"/>
    <w:rsid w:val="006E6B4F"/>
    <w:rsid w:val="006E6B61"/>
    <w:rsid w:val="006E6B76"/>
    <w:rsid w:val="006E6BC0"/>
    <w:rsid w:val="006E6BCC"/>
    <w:rsid w:val="006E6BED"/>
    <w:rsid w:val="006E6BF4"/>
    <w:rsid w:val="006E6CB9"/>
    <w:rsid w:val="006E6CE8"/>
    <w:rsid w:val="006E6D45"/>
    <w:rsid w:val="006E6DA7"/>
    <w:rsid w:val="006E6DE2"/>
    <w:rsid w:val="006E6EA0"/>
    <w:rsid w:val="006E6EFB"/>
    <w:rsid w:val="006E6F59"/>
    <w:rsid w:val="006E6F7A"/>
    <w:rsid w:val="006E6FC5"/>
    <w:rsid w:val="006E6FEB"/>
    <w:rsid w:val="006E7047"/>
    <w:rsid w:val="006E70AB"/>
    <w:rsid w:val="006E70E4"/>
    <w:rsid w:val="006E7146"/>
    <w:rsid w:val="006E7163"/>
    <w:rsid w:val="006E71B5"/>
    <w:rsid w:val="006E7224"/>
    <w:rsid w:val="006E7250"/>
    <w:rsid w:val="006E7286"/>
    <w:rsid w:val="006E7288"/>
    <w:rsid w:val="006E72E1"/>
    <w:rsid w:val="006E72EB"/>
    <w:rsid w:val="006E738D"/>
    <w:rsid w:val="006E739E"/>
    <w:rsid w:val="006E73ED"/>
    <w:rsid w:val="006E7402"/>
    <w:rsid w:val="006E7415"/>
    <w:rsid w:val="006E753F"/>
    <w:rsid w:val="006E75A9"/>
    <w:rsid w:val="006E75B2"/>
    <w:rsid w:val="006E75C4"/>
    <w:rsid w:val="006E75C6"/>
    <w:rsid w:val="006E7605"/>
    <w:rsid w:val="006E76BF"/>
    <w:rsid w:val="006E779E"/>
    <w:rsid w:val="006E77C6"/>
    <w:rsid w:val="006E7802"/>
    <w:rsid w:val="006E782C"/>
    <w:rsid w:val="006E78BC"/>
    <w:rsid w:val="006E78C6"/>
    <w:rsid w:val="006E78F2"/>
    <w:rsid w:val="006E7953"/>
    <w:rsid w:val="006E7959"/>
    <w:rsid w:val="006E7992"/>
    <w:rsid w:val="006E7A18"/>
    <w:rsid w:val="006E7A49"/>
    <w:rsid w:val="006E7AEC"/>
    <w:rsid w:val="006E7B7A"/>
    <w:rsid w:val="006E7BA1"/>
    <w:rsid w:val="006E7C2D"/>
    <w:rsid w:val="006E7D36"/>
    <w:rsid w:val="006E7D5B"/>
    <w:rsid w:val="006E7D80"/>
    <w:rsid w:val="006E7D83"/>
    <w:rsid w:val="006E7E03"/>
    <w:rsid w:val="006E7E50"/>
    <w:rsid w:val="006E7ECD"/>
    <w:rsid w:val="006E7F30"/>
    <w:rsid w:val="006E7F3C"/>
    <w:rsid w:val="006E7F41"/>
    <w:rsid w:val="006E7F87"/>
    <w:rsid w:val="006E7FF1"/>
    <w:rsid w:val="006F005A"/>
    <w:rsid w:val="006F005D"/>
    <w:rsid w:val="006F0067"/>
    <w:rsid w:val="006F0074"/>
    <w:rsid w:val="006F00B0"/>
    <w:rsid w:val="006F00F3"/>
    <w:rsid w:val="006F0147"/>
    <w:rsid w:val="006F01C1"/>
    <w:rsid w:val="006F02BE"/>
    <w:rsid w:val="006F02E6"/>
    <w:rsid w:val="006F0317"/>
    <w:rsid w:val="006F0335"/>
    <w:rsid w:val="006F033A"/>
    <w:rsid w:val="006F036F"/>
    <w:rsid w:val="006F03EF"/>
    <w:rsid w:val="006F03F1"/>
    <w:rsid w:val="006F0466"/>
    <w:rsid w:val="006F04E4"/>
    <w:rsid w:val="006F0560"/>
    <w:rsid w:val="006F05B6"/>
    <w:rsid w:val="006F05DE"/>
    <w:rsid w:val="006F062B"/>
    <w:rsid w:val="006F067A"/>
    <w:rsid w:val="006F0767"/>
    <w:rsid w:val="006F076C"/>
    <w:rsid w:val="006F0790"/>
    <w:rsid w:val="006F080E"/>
    <w:rsid w:val="006F0819"/>
    <w:rsid w:val="006F081D"/>
    <w:rsid w:val="006F0860"/>
    <w:rsid w:val="006F0879"/>
    <w:rsid w:val="006F08CC"/>
    <w:rsid w:val="006F095A"/>
    <w:rsid w:val="006F0973"/>
    <w:rsid w:val="006F09DB"/>
    <w:rsid w:val="006F0A5E"/>
    <w:rsid w:val="006F0A76"/>
    <w:rsid w:val="006F0AD4"/>
    <w:rsid w:val="006F0B57"/>
    <w:rsid w:val="006F0B75"/>
    <w:rsid w:val="006F0B84"/>
    <w:rsid w:val="006F0B98"/>
    <w:rsid w:val="006F0BFD"/>
    <w:rsid w:val="006F0C47"/>
    <w:rsid w:val="006F0C4C"/>
    <w:rsid w:val="006F0C85"/>
    <w:rsid w:val="006F0C88"/>
    <w:rsid w:val="006F0C9E"/>
    <w:rsid w:val="006F0D18"/>
    <w:rsid w:val="006F0D46"/>
    <w:rsid w:val="006F0E5A"/>
    <w:rsid w:val="006F0E5B"/>
    <w:rsid w:val="006F0EA1"/>
    <w:rsid w:val="006F0F64"/>
    <w:rsid w:val="006F1024"/>
    <w:rsid w:val="006F1054"/>
    <w:rsid w:val="006F1076"/>
    <w:rsid w:val="006F110C"/>
    <w:rsid w:val="006F1120"/>
    <w:rsid w:val="006F1179"/>
    <w:rsid w:val="006F11AE"/>
    <w:rsid w:val="006F1236"/>
    <w:rsid w:val="006F129B"/>
    <w:rsid w:val="006F12AF"/>
    <w:rsid w:val="006F132F"/>
    <w:rsid w:val="006F134F"/>
    <w:rsid w:val="006F1386"/>
    <w:rsid w:val="006F13A9"/>
    <w:rsid w:val="006F1460"/>
    <w:rsid w:val="006F146F"/>
    <w:rsid w:val="006F14C3"/>
    <w:rsid w:val="006F1583"/>
    <w:rsid w:val="006F15E3"/>
    <w:rsid w:val="006F1659"/>
    <w:rsid w:val="006F16E6"/>
    <w:rsid w:val="006F172E"/>
    <w:rsid w:val="006F1734"/>
    <w:rsid w:val="006F173F"/>
    <w:rsid w:val="006F1840"/>
    <w:rsid w:val="006F188B"/>
    <w:rsid w:val="006F18F2"/>
    <w:rsid w:val="006F18F7"/>
    <w:rsid w:val="006F1982"/>
    <w:rsid w:val="006F19A2"/>
    <w:rsid w:val="006F19D4"/>
    <w:rsid w:val="006F1A7B"/>
    <w:rsid w:val="006F1B1B"/>
    <w:rsid w:val="006F1B43"/>
    <w:rsid w:val="006F1BD1"/>
    <w:rsid w:val="006F1C11"/>
    <w:rsid w:val="006F1C2E"/>
    <w:rsid w:val="006F1C2F"/>
    <w:rsid w:val="006F1C40"/>
    <w:rsid w:val="006F1CB7"/>
    <w:rsid w:val="006F1D7B"/>
    <w:rsid w:val="006F1E06"/>
    <w:rsid w:val="006F1E4E"/>
    <w:rsid w:val="006F1E64"/>
    <w:rsid w:val="006F1ED5"/>
    <w:rsid w:val="006F1F15"/>
    <w:rsid w:val="006F1F64"/>
    <w:rsid w:val="006F1FB2"/>
    <w:rsid w:val="006F1FC5"/>
    <w:rsid w:val="006F1FE0"/>
    <w:rsid w:val="006F205F"/>
    <w:rsid w:val="006F211B"/>
    <w:rsid w:val="006F2134"/>
    <w:rsid w:val="006F21BE"/>
    <w:rsid w:val="006F2268"/>
    <w:rsid w:val="006F2279"/>
    <w:rsid w:val="006F2286"/>
    <w:rsid w:val="006F22B5"/>
    <w:rsid w:val="006F22EB"/>
    <w:rsid w:val="006F22F6"/>
    <w:rsid w:val="006F2382"/>
    <w:rsid w:val="006F2388"/>
    <w:rsid w:val="006F23AD"/>
    <w:rsid w:val="006F2405"/>
    <w:rsid w:val="006F2413"/>
    <w:rsid w:val="006F24EC"/>
    <w:rsid w:val="006F25D7"/>
    <w:rsid w:val="006F26C0"/>
    <w:rsid w:val="006F26F7"/>
    <w:rsid w:val="006F273B"/>
    <w:rsid w:val="006F27DC"/>
    <w:rsid w:val="006F284B"/>
    <w:rsid w:val="006F284E"/>
    <w:rsid w:val="006F2859"/>
    <w:rsid w:val="006F2867"/>
    <w:rsid w:val="006F2873"/>
    <w:rsid w:val="006F28B2"/>
    <w:rsid w:val="006F28F1"/>
    <w:rsid w:val="006F2911"/>
    <w:rsid w:val="006F2968"/>
    <w:rsid w:val="006F2987"/>
    <w:rsid w:val="006F29BF"/>
    <w:rsid w:val="006F2A44"/>
    <w:rsid w:val="006F2AB1"/>
    <w:rsid w:val="006F2AB7"/>
    <w:rsid w:val="006F2AFD"/>
    <w:rsid w:val="006F2B76"/>
    <w:rsid w:val="006F2BED"/>
    <w:rsid w:val="006F2C45"/>
    <w:rsid w:val="006F2D2B"/>
    <w:rsid w:val="006F2D41"/>
    <w:rsid w:val="006F2D7A"/>
    <w:rsid w:val="006F2DA6"/>
    <w:rsid w:val="006F2E4A"/>
    <w:rsid w:val="006F2E54"/>
    <w:rsid w:val="006F2E7A"/>
    <w:rsid w:val="006F2EEF"/>
    <w:rsid w:val="006F2F86"/>
    <w:rsid w:val="006F2F92"/>
    <w:rsid w:val="006F2FB4"/>
    <w:rsid w:val="006F2FC3"/>
    <w:rsid w:val="006F2FC7"/>
    <w:rsid w:val="006F301B"/>
    <w:rsid w:val="006F304D"/>
    <w:rsid w:val="006F30C5"/>
    <w:rsid w:val="006F311B"/>
    <w:rsid w:val="006F316B"/>
    <w:rsid w:val="006F31E9"/>
    <w:rsid w:val="006F3203"/>
    <w:rsid w:val="006F3218"/>
    <w:rsid w:val="006F321D"/>
    <w:rsid w:val="006F3235"/>
    <w:rsid w:val="006F32A2"/>
    <w:rsid w:val="006F3307"/>
    <w:rsid w:val="006F3415"/>
    <w:rsid w:val="006F3436"/>
    <w:rsid w:val="006F3501"/>
    <w:rsid w:val="006F350A"/>
    <w:rsid w:val="006F35DE"/>
    <w:rsid w:val="006F3692"/>
    <w:rsid w:val="006F36AC"/>
    <w:rsid w:val="006F3740"/>
    <w:rsid w:val="006F3801"/>
    <w:rsid w:val="006F3864"/>
    <w:rsid w:val="006F3881"/>
    <w:rsid w:val="006F38BA"/>
    <w:rsid w:val="006F3968"/>
    <w:rsid w:val="006F3971"/>
    <w:rsid w:val="006F3A3F"/>
    <w:rsid w:val="006F3A4A"/>
    <w:rsid w:val="006F3A77"/>
    <w:rsid w:val="006F3AE7"/>
    <w:rsid w:val="006F3B01"/>
    <w:rsid w:val="006F3B3C"/>
    <w:rsid w:val="006F3B48"/>
    <w:rsid w:val="006F3B8B"/>
    <w:rsid w:val="006F3C46"/>
    <w:rsid w:val="006F3CD6"/>
    <w:rsid w:val="006F3CE6"/>
    <w:rsid w:val="006F3CE9"/>
    <w:rsid w:val="006F3D14"/>
    <w:rsid w:val="006F3D56"/>
    <w:rsid w:val="006F3D82"/>
    <w:rsid w:val="006F3D8D"/>
    <w:rsid w:val="006F3DCA"/>
    <w:rsid w:val="006F3DE8"/>
    <w:rsid w:val="006F3E18"/>
    <w:rsid w:val="006F3E20"/>
    <w:rsid w:val="006F3E24"/>
    <w:rsid w:val="006F3E40"/>
    <w:rsid w:val="006F3E4C"/>
    <w:rsid w:val="006F3E9B"/>
    <w:rsid w:val="006F3EC0"/>
    <w:rsid w:val="006F3ED8"/>
    <w:rsid w:val="006F3EDC"/>
    <w:rsid w:val="006F3EF6"/>
    <w:rsid w:val="006F3F0C"/>
    <w:rsid w:val="006F3F2E"/>
    <w:rsid w:val="006F3F52"/>
    <w:rsid w:val="006F3F63"/>
    <w:rsid w:val="006F3FE0"/>
    <w:rsid w:val="006F4017"/>
    <w:rsid w:val="006F4090"/>
    <w:rsid w:val="006F40BF"/>
    <w:rsid w:val="006F40C8"/>
    <w:rsid w:val="006F40F7"/>
    <w:rsid w:val="006F4147"/>
    <w:rsid w:val="006F418C"/>
    <w:rsid w:val="006F41D1"/>
    <w:rsid w:val="006F431A"/>
    <w:rsid w:val="006F4330"/>
    <w:rsid w:val="006F4371"/>
    <w:rsid w:val="006F437B"/>
    <w:rsid w:val="006F43A7"/>
    <w:rsid w:val="006F43CA"/>
    <w:rsid w:val="006F441E"/>
    <w:rsid w:val="006F44B4"/>
    <w:rsid w:val="006F44ED"/>
    <w:rsid w:val="006F44FA"/>
    <w:rsid w:val="006F45BE"/>
    <w:rsid w:val="006F45CF"/>
    <w:rsid w:val="006F4621"/>
    <w:rsid w:val="006F4640"/>
    <w:rsid w:val="006F46CA"/>
    <w:rsid w:val="006F4705"/>
    <w:rsid w:val="006F4729"/>
    <w:rsid w:val="006F4755"/>
    <w:rsid w:val="006F4757"/>
    <w:rsid w:val="006F477C"/>
    <w:rsid w:val="006F4786"/>
    <w:rsid w:val="006F47AF"/>
    <w:rsid w:val="006F47D8"/>
    <w:rsid w:val="006F4803"/>
    <w:rsid w:val="006F481C"/>
    <w:rsid w:val="006F482E"/>
    <w:rsid w:val="006F483A"/>
    <w:rsid w:val="006F4847"/>
    <w:rsid w:val="006F4882"/>
    <w:rsid w:val="006F48A8"/>
    <w:rsid w:val="006F48D5"/>
    <w:rsid w:val="006F48D8"/>
    <w:rsid w:val="006F493F"/>
    <w:rsid w:val="006F4952"/>
    <w:rsid w:val="006F4955"/>
    <w:rsid w:val="006F4975"/>
    <w:rsid w:val="006F4985"/>
    <w:rsid w:val="006F49C4"/>
    <w:rsid w:val="006F4A28"/>
    <w:rsid w:val="006F4A4A"/>
    <w:rsid w:val="006F4A5E"/>
    <w:rsid w:val="006F4A61"/>
    <w:rsid w:val="006F4A7A"/>
    <w:rsid w:val="006F4AF6"/>
    <w:rsid w:val="006F4B2C"/>
    <w:rsid w:val="006F4B64"/>
    <w:rsid w:val="006F4B75"/>
    <w:rsid w:val="006F4BD1"/>
    <w:rsid w:val="006F4C22"/>
    <w:rsid w:val="006F4C65"/>
    <w:rsid w:val="006F4CC8"/>
    <w:rsid w:val="006F4D23"/>
    <w:rsid w:val="006F4D2A"/>
    <w:rsid w:val="006F4D65"/>
    <w:rsid w:val="006F4D96"/>
    <w:rsid w:val="006F4DAC"/>
    <w:rsid w:val="006F4EAC"/>
    <w:rsid w:val="006F4EF3"/>
    <w:rsid w:val="006F4F21"/>
    <w:rsid w:val="006F4FB5"/>
    <w:rsid w:val="006F4FBB"/>
    <w:rsid w:val="006F5014"/>
    <w:rsid w:val="006F5056"/>
    <w:rsid w:val="006F5069"/>
    <w:rsid w:val="006F5091"/>
    <w:rsid w:val="006F50F5"/>
    <w:rsid w:val="006F5135"/>
    <w:rsid w:val="006F5185"/>
    <w:rsid w:val="006F5229"/>
    <w:rsid w:val="006F530C"/>
    <w:rsid w:val="006F5350"/>
    <w:rsid w:val="006F5367"/>
    <w:rsid w:val="006F5377"/>
    <w:rsid w:val="006F5426"/>
    <w:rsid w:val="006F542C"/>
    <w:rsid w:val="006F54BD"/>
    <w:rsid w:val="006F54FB"/>
    <w:rsid w:val="006F5556"/>
    <w:rsid w:val="006F55D0"/>
    <w:rsid w:val="006F55EC"/>
    <w:rsid w:val="006F5653"/>
    <w:rsid w:val="006F56A6"/>
    <w:rsid w:val="006F5799"/>
    <w:rsid w:val="006F57A9"/>
    <w:rsid w:val="006F57AC"/>
    <w:rsid w:val="006F57DB"/>
    <w:rsid w:val="006F5808"/>
    <w:rsid w:val="006F5836"/>
    <w:rsid w:val="006F5871"/>
    <w:rsid w:val="006F5933"/>
    <w:rsid w:val="006F5977"/>
    <w:rsid w:val="006F59BD"/>
    <w:rsid w:val="006F5A4C"/>
    <w:rsid w:val="006F5AD8"/>
    <w:rsid w:val="006F5B13"/>
    <w:rsid w:val="006F5B55"/>
    <w:rsid w:val="006F5C47"/>
    <w:rsid w:val="006F5C4F"/>
    <w:rsid w:val="006F5C69"/>
    <w:rsid w:val="006F5C91"/>
    <w:rsid w:val="006F5CCA"/>
    <w:rsid w:val="006F5D14"/>
    <w:rsid w:val="006F5D24"/>
    <w:rsid w:val="006F5D8E"/>
    <w:rsid w:val="006F5E03"/>
    <w:rsid w:val="006F5ECC"/>
    <w:rsid w:val="006F5F9B"/>
    <w:rsid w:val="006F5FF2"/>
    <w:rsid w:val="006F602A"/>
    <w:rsid w:val="006F6055"/>
    <w:rsid w:val="006F612B"/>
    <w:rsid w:val="006F6139"/>
    <w:rsid w:val="006F61BA"/>
    <w:rsid w:val="006F63AB"/>
    <w:rsid w:val="006F63BF"/>
    <w:rsid w:val="006F63C4"/>
    <w:rsid w:val="006F6412"/>
    <w:rsid w:val="006F64B6"/>
    <w:rsid w:val="006F6512"/>
    <w:rsid w:val="006F65A9"/>
    <w:rsid w:val="006F65B1"/>
    <w:rsid w:val="006F65D7"/>
    <w:rsid w:val="006F6636"/>
    <w:rsid w:val="006F66B1"/>
    <w:rsid w:val="006F66F9"/>
    <w:rsid w:val="006F6728"/>
    <w:rsid w:val="006F6757"/>
    <w:rsid w:val="006F6786"/>
    <w:rsid w:val="006F67D0"/>
    <w:rsid w:val="006F67DA"/>
    <w:rsid w:val="006F685D"/>
    <w:rsid w:val="006F688B"/>
    <w:rsid w:val="006F68A8"/>
    <w:rsid w:val="006F6938"/>
    <w:rsid w:val="006F6978"/>
    <w:rsid w:val="006F6980"/>
    <w:rsid w:val="006F69AA"/>
    <w:rsid w:val="006F6A7C"/>
    <w:rsid w:val="006F6A90"/>
    <w:rsid w:val="006F6A92"/>
    <w:rsid w:val="006F6AEC"/>
    <w:rsid w:val="006F6BDF"/>
    <w:rsid w:val="006F6BEB"/>
    <w:rsid w:val="006F6C24"/>
    <w:rsid w:val="006F6C59"/>
    <w:rsid w:val="006F6CB9"/>
    <w:rsid w:val="006F6CC5"/>
    <w:rsid w:val="006F6CEF"/>
    <w:rsid w:val="006F6D3A"/>
    <w:rsid w:val="006F6D7C"/>
    <w:rsid w:val="006F6D8C"/>
    <w:rsid w:val="006F6D92"/>
    <w:rsid w:val="006F6DC8"/>
    <w:rsid w:val="006F6DF1"/>
    <w:rsid w:val="006F6DF7"/>
    <w:rsid w:val="006F6E0E"/>
    <w:rsid w:val="006F6E36"/>
    <w:rsid w:val="006F6E54"/>
    <w:rsid w:val="006F6E5F"/>
    <w:rsid w:val="006F6E8B"/>
    <w:rsid w:val="006F6E94"/>
    <w:rsid w:val="006F6F09"/>
    <w:rsid w:val="006F6F19"/>
    <w:rsid w:val="006F6F48"/>
    <w:rsid w:val="006F70CF"/>
    <w:rsid w:val="006F70F9"/>
    <w:rsid w:val="006F711B"/>
    <w:rsid w:val="006F71B8"/>
    <w:rsid w:val="006F71CD"/>
    <w:rsid w:val="006F7254"/>
    <w:rsid w:val="006F729F"/>
    <w:rsid w:val="006F7330"/>
    <w:rsid w:val="006F738B"/>
    <w:rsid w:val="006F7407"/>
    <w:rsid w:val="006F74AC"/>
    <w:rsid w:val="006F74C1"/>
    <w:rsid w:val="006F757C"/>
    <w:rsid w:val="006F758F"/>
    <w:rsid w:val="006F75B8"/>
    <w:rsid w:val="006F75FF"/>
    <w:rsid w:val="006F7641"/>
    <w:rsid w:val="006F7662"/>
    <w:rsid w:val="006F767C"/>
    <w:rsid w:val="006F7680"/>
    <w:rsid w:val="006F7687"/>
    <w:rsid w:val="006F76FC"/>
    <w:rsid w:val="006F771D"/>
    <w:rsid w:val="006F775B"/>
    <w:rsid w:val="006F77C5"/>
    <w:rsid w:val="006F77E3"/>
    <w:rsid w:val="006F77E5"/>
    <w:rsid w:val="006F77F0"/>
    <w:rsid w:val="006F77F2"/>
    <w:rsid w:val="006F77F4"/>
    <w:rsid w:val="006F780F"/>
    <w:rsid w:val="006F784B"/>
    <w:rsid w:val="006F785A"/>
    <w:rsid w:val="006F786D"/>
    <w:rsid w:val="006F788D"/>
    <w:rsid w:val="006F789B"/>
    <w:rsid w:val="006F7983"/>
    <w:rsid w:val="006F79A5"/>
    <w:rsid w:val="006F7A3E"/>
    <w:rsid w:val="006F7A56"/>
    <w:rsid w:val="006F7A7C"/>
    <w:rsid w:val="006F7A95"/>
    <w:rsid w:val="006F7AD7"/>
    <w:rsid w:val="006F7BDB"/>
    <w:rsid w:val="006F7BDE"/>
    <w:rsid w:val="006F7BE3"/>
    <w:rsid w:val="006F7C57"/>
    <w:rsid w:val="006F7C5D"/>
    <w:rsid w:val="006F7C7F"/>
    <w:rsid w:val="006F7CB2"/>
    <w:rsid w:val="006F7DB2"/>
    <w:rsid w:val="006F7E06"/>
    <w:rsid w:val="006F7ECD"/>
    <w:rsid w:val="006F7F5B"/>
    <w:rsid w:val="006F7F61"/>
    <w:rsid w:val="0070005D"/>
    <w:rsid w:val="0070009E"/>
    <w:rsid w:val="007000A9"/>
    <w:rsid w:val="007000C0"/>
    <w:rsid w:val="007000F7"/>
    <w:rsid w:val="00700113"/>
    <w:rsid w:val="0070011E"/>
    <w:rsid w:val="00700139"/>
    <w:rsid w:val="00700156"/>
    <w:rsid w:val="0070015E"/>
    <w:rsid w:val="00700169"/>
    <w:rsid w:val="0070016D"/>
    <w:rsid w:val="00700190"/>
    <w:rsid w:val="007001A7"/>
    <w:rsid w:val="007001DC"/>
    <w:rsid w:val="00700219"/>
    <w:rsid w:val="00700232"/>
    <w:rsid w:val="00700268"/>
    <w:rsid w:val="00700272"/>
    <w:rsid w:val="0070028C"/>
    <w:rsid w:val="007002EA"/>
    <w:rsid w:val="0070030D"/>
    <w:rsid w:val="00700315"/>
    <w:rsid w:val="00700328"/>
    <w:rsid w:val="00700336"/>
    <w:rsid w:val="00700367"/>
    <w:rsid w:val="007004A6"/>
    <w:rsid w:val="007004BE"/>
    <w:rsid w:val="007004D9"/>
    <w:rsid w:val="00700597"/>
    <w:rsid w:val="00700605"/>
    <w:rsid w:val="00700614"/>
    <w:rsid w:val="00700631"/>
    <w:rsid w:val="0070064E"/>
    <w:rsid w:val="00700662"/>
    <w:rsid w:val="00700723"/>
    <w:rsid w:val="00700740"/>
    <w:rsid w:val="00700741"/>
    <w:rsid w:val="00700761"/>
    <w:rsid w:val="00700769"/>
    <w:rsid w:val="007007F6"/>
    <w:rsid w:val="007008A6"/>
    <w:rsid w:val="007008DA"/>
    <w:rsid w:val="007008EF"/>
    <w:rsid w:val="00700950"/>
    <w:rsid w:val="007009AE"/>
    <w:rsid w:val="007009B3"/>
    <w:rsid w:val="007009CF"/>
    <w:rsid w:val="007009F3"/>
    <w:rsid w:val="00700A0A"/>
    <w:rsid w:val="00700A3C"/>
    <w:rsid w:val="00700A9E"/>
    <w:rsid w:val="00700AD9"/>
    <w:rsid w:val="00700ADE"/>
    <w:rsid w:val="00700B21"/>
    <w:rsid w:val="00700B7C"/>
    <w:rsid w:val="00700BC6"/>
    <w:rsid w:val="00700BDD"/>
    <w:rsid w:val="00700C23"/>
    <w:rsid w:val="00700C83"/>
    <w:rsid w:val="00700CB0"/>
    <w:rsid w:val="00700CB5"/>
    <w:rsid w:val="00700CCA"/>
    <w:rsid w:val="00700D0B"/>
    <w:rsid w:val="00700D15"/>
    <w:rsid w:val="00700DE5"/>
    <w:rsid w:val="00700E11"/>
    <w:rsid w:val="00700E1B"/>
    <w:rsid w:val="00700EAE"/>
    <w:rsid w:val="00700EBE"/>
    <w:rsid w:val="0070110A"/>
    <w:rsid w:val="00701122"/>
    <w:rsid w:val="007011D3"/>
    <w:rsid w:val="00701207"/>
    <w:rsid w:val="00701212"/>
    <w:rsid w:val="00701292"/>
    <w:rsid w:val="007012C4"/>
    <w:rsid w:val="007012E2"/>
    <w:rsid w:val="00701329"/>
    <w:rsid w:val="00701357"/>
    <w:rsid w:val="0070137E"/>
    <w:rsid w:val="00701390"/>
    <w:rsid w:val="0070139D"/>
    <w:rsid w:val="007013A7"/>
    <w:rsid w:val="007013EF"/>
    <w:rsid w:val="00701401"/>
    <w:rsid w:val="0070149E"/>
    <w:rsid w:val="00701518"/>
    <w:rsid w:val="00701520"/>
    <w:rsid w:val="0070153A"/>
    <w:rsid w:val="0070157D"/>
    <w:rsid w:val="007015B7"/>
    <w:rsid w:val="007015C9"/>
    <w:rsid w:val="0070166F"/>
    <w:rsid w:val="007016F5"/>
    <w:rsid w:val="00701712"/>
    <w:rsid w:val="0070176B"/>
    <w:rsid w:val="00701773"/>
    <w:rsid w:val="007017BA"/>
    <w:rsid w:val="00701819"/>
    <w:rsid w:val="00701851"/>
    <w:rsid w:val="00701957"/>
    <w:rsid w:val="00701958"/>
    <w:rsid w:val="0070196A"/>
    <w:rsid w:val="0070197D"/>
    <w:rsid w:val="00701A3D"/>
    <w:rsid w:val="00701A87"/>
    <w:rsid w:val="00701AE9"/>
    <w:rsid w:val="00701B41"/>
    <w:rsid w:val="00701BE0"/>
    <w:rsid w:val="00701C78"/>
    <w:rsid w:val="00701C91"/>
    <w:rsid w:val="00701D02"/>
    <w:rsid w:val="00701D32"/>
    <w:rsid w:val="00701D35"/>
    <w:rsid w:val="00701D40"/>
    <w:rsid w:val="00701DAA"/>
    <w:rsid w:val="00701DB0"/>
    <w:rsid w:val="00701DD2"/>
    <w:rsid w:val="00701DD5"/>
    <w:rsid w:val="00701E19"/>
    <w:rsid w:val="00701E31"/>
    <w:rsid w:val="00701E80"/>
    <w:rsid w:val="00701EC2"/>
    <w:rsid w:val="00701F85"/>
    <w:rsid w:val="00701F98"/>
    <w:rsid w:val="00701FC8"/>
    <w:rsid w:val="00702024"/>
    <w:rsid w:val="00702043"/>
    <w:rsid w:val="00702087"/>
    <w:rsid w:val="00702118"/>
    <w:rsid w:val="00702128"/>
    <w:rsid w:val="0070216F"/>
    <w:rsid w:val="0070227E"/>
    <w:rsid w:val="00702297"/>
    <w:rsid w:val="007022ED"/>
    <w:rsid w:val="00702343"/>
    <w:rsid w:val="00702347"/>
    <w:rsid w:val="00702356"/>
    <w:rsid w:val="00702366"/>
    <w:rsid w:val="0070237B"/>
    <w:rsid w:val="0070238B"/>
    <w:rsid w:val="00702405"/>
    <w:rsid w:val="00702485"/>
    <w:rsid w:val="007024F2"/>
    <w:rsid w:val="00702502"/>
    <w:rsid w:val="0070250D"/>
    <w:rsid w:val="00702549"/>
    <w:rsid w:val="00702637"/>
    <w:rsid w:val="00702661"/>
    <w:rsid w:val="007026DD"/>
    <w:rsid w:val="007026FD"/>
    <w:rsid w:val="00702718"/>
    <w:rsid w:val="007027D6"/>
    <w:rsid w:val="00702815"/>
    <w:rsid w:val="00702859"/>
    <w:rsid w:val="007028BD"/>
    <w:rsid w:val="007028FA"/>
    <w:rsid w:val="00702925"/>
    <w:rsid w:val="00702954"/>
    <w:rsid w:val="007029AE"/>
    <w:rsid w:val="007029B9"/>
    <w:rsid w:val="00702A2B"/>
    <w:rsid w:val="00702A78"/>
    <w:rsid w:val="00702ADB"/>
    <w:rsid w:val="00702C1F"/>
    <w:rsid w:val="00702C79"/>
    <w:rsid w:val="00702CD1"/>
    <w:rsid w:val="00702D0C"/>
    <w:rsid w:val="00702D33"/>
    <w:rsid w:val="00702D50"/>
    <w:rsid w:val="00702D64"/>
    <w:rsid w:val="00702D9D"/>
    <w:rsid w:val="00702DE4"/>
    <w:rsid w:val="00702E4A"/>
    <w:rsid w:val="00702E5B"/>
    <w:rsid w:val="00702F8B"/>
    <w:rsid w:val="00702F97"/>
    <w:rsid w:val="00702FAF"/>
    <w:rsid w:val="00702FBE"/>
    <w:rsid w:val="00702FF4"/>
    <w:rsid w:val="0070307B"/>
    <w:rsid w:val="007030D9"/>
    <w:rsid w:val="00703147"/>
    <w:rsid w:val="00703162"/>
    <w:rsid w:val="007031E5"/>
    <w:rsid w:val="007031ED"/>
    <w:rsid w:val="00703207"/>
    <w:rsid w:val="00703236"/>
    <w:rsid w:val="0070324F"/>
    <w:rsid w:val="00703277"/>
    <w:rsid w:val="0070327E"/>
    <w:rsid w:val="007032AC"/>
    <w:rsid w:val="007032D4"/>
    <w:rsid w:val="00703360"/>
    <w:rsid w:val="00703388"/>
    <w:rsid w:val="00703398"/>
    <w:rsid w:val="007033CA"/>
    <w:rsid w:val="007033EC"/>
    <w:rsid w:val="00703421"/>
    <w:rsid w:val="00703422"/>
    <w:rsid w:val="00703444"/>
    <w:rsid w:val="00703456"/>
    <w:rsid w:val="00703512"/>
    <w:rsid w:val="00703534"/>
    <w:rsid w:val="0070357C"/>
    <w:rsid w:val="0070357E"/>
    <w:rsid w:val="007035F5"/>
    <w:rsid w:val="007036E8"/>
    <w:rsid w:val="007037DC"/>
    <w:rsid w:val="0070380F"/>
    <w:rsid w:val="00703821"/>
    <w:rsid w:val="0070382E"/>
    <w:rsid w:val="007038BC"/>
    <w:rsid w:val="00703956"/>
    <w:rsid w:val="007039B5"/>
    <w:rsid w:val="00703A25"/>
    <w:rsid w:val="00703A76"/>
    <w:rsid w:val="00703B0F"/>
    <w:rsid w:val="00703B1E"/>
    <w:rsid w:val="00703B72"/>
    <w:rsid w:val="00703BBD"/>
    <w:rsid w:val="00703BFD"/>
    <w:rsid w:val="00703C22"/>
    <w:rsid w:val="00703C3D"/>
    <w:rsid w:val="00703C48"/>
    <w:rsid w:val="00703CAB"/>
    <w:rsid w:val="00703CBB"/>
    <w:rsid w:val="00703CCC"/>
    <w:rsid w:val="00703CD0"/>
    <w:rsid w:val="00703D08"/>
    <w:rsid w:val="00703D7F"/>
    <w:rsid w:val="00703DC8"/>
    <w:rsid w:val="00703DDB"/>
    <w:rsid w:val="00703DFD"/>
    <w:rsid w:val="00703E31"/>
    <w:rsid w:val="00703E47"/>
    <w:rsid w:val="00703E84"/>
    <w:rsid w:val="00703EB5"/>
    <w:rsid w:val="00703EBB"/>
    <w:rsid w:val="00703EC9"/>
    <w:rsid w:val="00703EF4"/>
    <w:rsid w:val="00703F29"/>
    <w:rsid w:val="00703F84"/>
    <w:rsid w:val="00703FD5"/>
    <w:rsid w:val="00704014"/>
    <w:rsid w:val="007041B9"/>
    <w:rsid w:val="007041CB"/>
    <w:rsid w:val="00704208"/>
    <w:rsid w:val="00704250"/>
    <w:rsid w:val="0070426F"/>
    <w:rsid w:val="007042E7"/>
    <w:rsid w:val="00704364"/>
    <w:rsid w:val="0070438F"/>
    <w:rsid w:val="007043B2"/>
    <w:rsid w:val="007043C4"/>
    <w:rsid w:val="00704457"/>
    <w:rsid w:val="0070448C"/>
    <w:rsid w:val="0070452C"/>
    <w:rsid w:val="00704541"/>
    <w:rsid w:val="00704593"/>
    <w:rsid w:val="007045AE"/>
    <w:rsid w:val="007045BD"/>
    <w:rsid w:val="007045C1"/>
    <w:rsid w:val="0070466E"/>
    <w:rsid w:val="00704672"/>
    <w:rsid w:val="00704683"/>
    <w:rsid w:val="007046C7"/>
    <w:rsid w:val="00704700"/>
    <w:rsid w:val="0070483D"/>
    <w:rsid w:val="007048C8"/>
    <w:rsid w:val="007048D6"/>
    <w:rsid w:val="007048D9"/>
    <w:rsid w:val="007048F5"/>
    <w:rsid w:val="0070490F"/>
    <w:rsid w:val="007049A8"/>
    <w:rsid w:val="007049B8"/>
    <w:rsid w:val="00704A00"/>
    <w:rsid w:val="00704A2E"/>
    <w:rsid w:val="00704AAD"/>
    <w:rsid w:val="00704ABA"/>
    <w:rsid w:val="00704AE0"/>
    <w:rsid w:val="00704BA2"/>
    <w:rsid w:val="00704BD9"/>
    <w:rsid w:val="00704C15"/>
    <w:rsid w:val="00704C52"/>
    <w:rsid w:val="00704C76"/>
    <w:rsid w:val="00704C7B"/>
    <w:rsid w:val="00704CA9"/>
    <w:rsid w:val="00704D0C"/>
    <w:rsid w:val="00704D1C"/>
    <w:rsid w:val="00704DDC"/>
    <w:rsid w:val="00704E1D"/>
    <w:rsid w:val="00704E4E"/>
    <w:rsid w:val="00704E75"/>
    <w:rsid w:val="00704E7E"/>
    <w:rsid w:val="00704EB8"/>
    <w:rsid w:val="00704ED6"/>
    <w:rsid w:val="00704EFA"/>
    <w:rsid w:val="00704F04"/>
    <w:rsid w:val="00704F14"/>
    <w:rsid w:val="00704F1E"/>
    <w:rsid w:val="00704F6C"/>
    <w:rsid w:val="00704F91"/>
    <w:rsid w:val="0070501A"/>
    <w:rsid w:val="007050A9"/>
    <w:rsid w:val="007050E3"/>
    <w:rsid w:val="00705119"/>
    <w:rsid w:val="0070511A"/>
    <w:rsid w:val="00705122"/>
    <w:rsid w:val="0070512C"/>
    <w:rsid w:val="00705169"/>
    <w:rsid w:val="0070518A"/>
    <w:rsid w:val="00705195"/>
    <w:rsid w:val="00705209"/>
    <w:rsid w:val="0070521D"/>
    <w:rsid w:val="00705237"/>
    <w:rsid w:val="007052A7"/>
    <w:rsid w:val="007052E5"/>
    <w:rsid w:val="00705390"/>
    <w:rsid w:val="00705437"/>
    <w:rsid w:val="00705454"/>
    <w:rsid w:val="00705459"/>
    <w:rsid w:val="00705548"/>
    <w:rsid w:val="0070560C"/>
    <w:rsid w:val="00705631"/>
    <w:rsid w:val="00705650"/>
    <w:rsid w:val="0070565F"/>
    <w:rsid w:val="00705681"/>
    <w:rsid w:val="007056CF"/>
    <w:rsid w:val="00705715"/>
    <w:rsid w:val="00705759"/>
    <w:rsid w:val="007057AB"/>
    <w:rsid w:val="007057F3"/>
    <w:rsid w:val="007057F7"/>
    <w:rsid w:val="00705839"/>
    <w:rsid w:val="0070583A"/>
    <w:rsid w:val="0070583C"/>
    <w:rsid w:val="00705851"/>
    <w:rsid w:val="0070585D"/>
    <w:rsid w:val="0070592F"/>
    <w:rsid w:val="0070594E"/>
    <w:rsid w:val="00705995"/>
    <w:rsid w:val="007059BA"/>
    <w:rsid w:val="007059CD"/>
    <w:rsid w:val="00705A05"/>
    <w:rsid w:val="00705ADD"/>
    <w:rsid w:val="00705AF2"/>
    <w:rsid w:val="00705BB5"/>
    <w:rsid w:val="00705BDA"/>
    <w:rsid w:val="00705C01"/>
    <w:rsid w:val="00705C19"/>
    <w:rsid w:val="00705C69"/>
    <w:rsid w:val="00705C8D"/>
    <w:rsid w:val="00705CA9"/>
    <w:rsid w:val="00705CAC"/>
    <w:rsid w:val="00705CB6"/>
    <w:rsid w:val="00705CBB"/>
    <w:rsid w:val="00705CF6"/>
    <w:rsid w:val="00705D46"/>
    <w:rsid w:val="00705DAE"/>
    <w:rsid w:val="00705DCC"/>
    <w:rsid w:val="00705E0D"/>
    <w:rsid w:val="00705E1F"/>
    <w:rsid w:val="00705E50"/>
    <w:rsid w:val="00705E7F"/>
    <w:rsid w:val="00705E89"/>
    <w:rsid w:val="00705F38"/>
    <w:rsid w:val="00705F80"/>
    <w:rsid w:val="00705FC9"/>
    <w:rsid w:val="007060B2"/>
    <w:rsid w:val="007060C2"/>
    <w:rsid w:val="00706150"/>
    <w:rsid w:val="00706187"/>
    <w:rsid w:val="007061A8"/>
    <w:rsid w:val="007061ED"/>
    <w:rsid w:val="007062A2"/>
    <w:rsid w:val="00706333"/>
    <w:rsid w:val="007063A2"/>
    <w:rsid w:val="007063DE"/>
    <w:rsid w:val="00706405"/>
    <w:rsid w:val="00706416"/>
    <w:rsid w:val="00706440"/>
    <w:rsid w:val="0070644F"/>
    <w:rsid w:val="0070646B"/>
    <w:rsid w:val="0070646F"/>
    <w:rsid w:val="00706496"/>
    <w:rsid w:val="007064E5"/>
    <w:rsid w:val="0070651B"/>
    <w:rsid w:val="00706572"/>
    <w:rsid w:val="0070657E"/>
    <w:rsid w:val="007065D6"/>
    <w:rsid w:val="007066C4"/>
    <w:rsid w:val="00706700"/>
    <w:rsid w:val="00706721"/>
    <w:rsid w:val="0070672F"/>
    <w:rsid w:val="00706794"/>
    <w:rsid w:val="0070679F"/>
    <w:rsid w:val="007067DA"/>
    <w:rsid w:val="007067E0"/>
    <w:rsid w:val="0070687D"/>
    <w:rsid w:val="0070689A"/>
    <w:rsid w:val="007068BD"/>
    <w:rsid w:val="007068D0"/>
    <w:rsid w:val="00706900"/>
    <w:rsid w:val="00706920"/>
    <w:rsid w:val="0070692D"/>
    <w:rsid w:val="00706942"/>
    <w:rsid w:val="00706961"/>
    <w:rsid w:val="00706968"/>
    <w:rsid w:val="00706989"/>
    <w:rsid w:val="00706990"/>
    <w:rsid w:val="007069E3"/>
    <w:rsid w:val="007069F2"/>
    <w:rsid w:val="00706A1F"/>
    <w:rsid w:val="00706A8C"/>
    <w:rsid w:val="00706ACF"/>
    <w:rsid w:val="00706AF5"/>
    <w:rsid w:val="00706B7E"/>
    <w:rsid w:val="00706BDE"/>
    <w:rsid w:val="00706C59"/>
    <w:rsid w:val="00706C80"/>
    <w:rsid w:val="00706CB1"/>
    <w:rsid w:val="00706CF0"/>
    <w:rsid w:val="00706CF7"/>
    <w:rsid w:val="00706D5B"/>
    <w:rsid w:val="00706D66"/>
    <w:rsid w:val="00706DC9"/>
    <w:rsid w:val="00706E0A"/>
    <w:rsid w:val="00706E2E"/>
    <w:rsid w:val="00706E64"/>
    <w:rsid w:val="00706FF1"/>
    <w:rsid w:val="00707001"/>
    <w:rsid w:val="00707081"/>
    <w:rsid w:val="00707086"/>
    <w:rsid w:val="007070B0"/>
    <w:rsid w:val="007070EC"/>
    <w:rsid w:val="00707101"/>
    <w:rsid w:val="0070719E"/>
    <w:rsid w:val="007071B1"/>
    <w:rsid w:val="00707202"/>
    <w:rsid w:val="0070724D"/>
    <w:rsid w:val="00707306"/>
    <w:rsid w:val="00707457"/>
    <w:rsid w:val="0070747C"/>
    <w:rsid w:val="00707540"/>
    <w:rsid w:val="00707547"/>
    <w:rsid w:val="00707555"/>
    <w:rsid w:val="00707567"/>
    <w:rsid w:val="00707597"/>
    <w:rsid w:val="007075B2"/>
    <w:rsid w:val="00707646"/>
    <w:rsid w:val="0070766B"/>
    <w:rsid w:val="007076B9"/>
    <w:rsid w:val="007076F7"/>
    <w:rsid w:val="0070772B"/>
    <w:rsid w:val="0070773E"/>
    <w:rsid w:val="0070776A"/>
    <w:rsid w:val="0070779B"/>
    <w:rsid w:val="007077A2"/>
    <w:rsid w:val="007077BA"/>
    <w:rsid w:val="007077C5"/>
    <w:rsid w:val="007077DB"/>
    <w:rsid w:val="00707802"/>
    <w:rsid w:val="0070780B"/>
    <w:rsid w:val="00707860"/>
    <w:rsid w:val="0070787D"/>
    <w:rsid w:val="00707881"/>
    <w:rsid w:val="0070788A"/>
    <w:rsid w:val="007078CA"/>
    <w:rsid w:val="007078D2"/>
    <w:rsid w:val="007078E7"/>
    <w:rsid w:val="0070797D"/>
    <w:rsid w:val="00707A1B"/>
    <w:rsid w:val="00707A36"/>
    <w:rsid w:val="00707A3F"/>
    <w:rsid w:val="00707AA5"/>
    <w:rsid w:val="00707ADC"/>
    <w:rsid w:val="00707ADD"/>
    <w:rsid w:val="00707B65"/>
    <w:rsid w:val="00707B81"/>
    <w:rsid w:val="00707B84"/>
    <w:rsid w:val="00707B99"/>
    <w:rsid w:val="00707BD2"/>
    <w:rsid w:val="00707C95"/>
    <w:rsid w:val="00707CA0"/>
    <w:rsid w:val="00707CC4"/>
    <w:rsid w:val="00707CF6"/>
    <w:rsid w:val="00707D00"/>
    <w:rsid w:val="00707D85"/>
    <w:rsid w:val="00707D92"/>
    <w:rsid w:val="00707DBF"/>
    <w:rsid w:val="00707E30"/>
    <w:rsid w:val="00707E83"/>
    <w:rsid w:val="00707EBA"/>
    <w:rsid w:val="00707F1E"/>
    <w:rsid w:val="00707F3A"/>
    <w:rsid w:val="00707FCA"/>
    <w:rsid w:val="00707FE8"/>
    <w:rsid w:val="00707FEA"/>
    <w:rsid w:val="0071004A"/>
    <w:rsid w:val="00710051"/>
    <w:rsid w:val="0071007C"/>
    <w:rsid w:val="007100B2"/>
    <w:rsid w:val="00710131"/>
    <w:rsid w:val="00710192"/>
    <w:rsid w:val="0071019D"/>
    <w:rsid w:val="007101B6"/>
    <w:rsid w:val="007101F3"/>
    <w:rsid w:val="0071020C"/>
    <w:rsid w:val="00710270"/>
    <w:rsid w:val="007102BD"/>
    <w:rsid w:val="007102C0"/>
    <w:rsid w:val="0071034C"/>
    <w:rsid w:val="00710364"/>
    <w:rsid w:val="00710368"/>
    <w:rsid w:val="007103A1"/>
    <w:rsid w:val="007103AC"/>
    <w:rsid w:val="00710458"/>
    <w:rsid w:val="007104E7"/>
    <w:rsid w:val="0071058A"/>
    <w:rsid w:val="007105A1"/>
    <w:rsid w:val="007105D8"/>
    <w:rsid w:val="0071065B"/>
    <w:rsid w:val="0071070E"/>
    <w:rsid w:val="0071074A"/>
    <w:rsid w:val="0071074F"/>
    <w:rsid w:val="00710750"/>
    <w:rsid w:val="00710765"/>
    <w:rsid w:val="0071079D"/>
    <w:rsid w:val="007107A3"/>
    <w:rsid w:val="00710884"/>
    <w:rsid w:val="007108BB"/>
    <w:rsid w:val="007108D7"/>
    <w:rsid w:val="0071097B"/>
    <w:rsid w:val="00710AC7"/>
    <w:rsid w:val="00710B1E"/>
    <w:rsid w:val="00710B5F"/>
    <w:rsid w:val="00710B6D"/>
    <w:rsid w:val="00710B79"/>
    <w:rsid w:val="00710B82"/>
    <w:rsid w:val="00710BE4"/>
    <w:rsid w:val="00710BF7"/>
    <w:rsid w:val="00710C1F"/>
    <w:rsid w:val="00710C93"/>
    <w:rsid w:val="00710CC3"/>
    <w:rsid w:val="00710D0F"/>
    <w:rsid w:val="00710D4B"/>
    <w:rsid w:val="00710E40"/>
    <w:rsid w:val="00710ECB"/>
    <w:rsid w:val="00710ED4"/>
    <w:rsid w:val="00710F21"/>
    <w:rsid w:val="0071107E"/>
    <w:rsid w:val="0071108B"/>
    <w:rsid w:val="007110C1"/>
    <w:rsid w:val="0071117B"/>
    <w:rsid w:val="00711188"/>
    <w:rsid w:val="00711194"/>
    <w:rsid w:val="007111AA"/>
    <w:rsid w:val="007111DC"/>
    <w:rsid w:val="0071126E"/>
    <w:rsid w:val="0071130C"/>
    <w:rsid w:val="00711324"/>
    <w:rsid w:val="00711352"/>
    <w:rsid w:val="0071141F"/>
    <w:rsid w:val="0071143F"/>
    <w:rsid w:val="0071144D"/>
    <w:rsid w:val="00711498"/>
    <w:rsid w:val="007114B5"/>
    <w:rsid w:val="007114C2"/>
    <w:rsid w:val="007114D8"/>
    <w:rsid w:val="00711525"/>
    <w:rsid w:val="0071152C"/>
    <w:rsid w:val="0071155F"/>
    <w:rsid w:val="00711588"/>
    <w:rsid w:val="00711597"/>
    <w:rsid w:val="00711659"/>
    <w:rsid w:val="0071168D"/>
    <w:rsid w:val="007116D5"/>
    <w:rsid w:val="00711722"/>
    <w:rsid w:val="00711743"/>
    <w:rsid w:val="00711762"/>
    <w:rsid w:val="00711774"/>
    <w:rsid w:val="007117AC"/>
    <w:rsid w:val="0071183A"/>
    <w:rsid w:val="00711843"/>
    <w:rsid w:val="00711884"/>
    <w:rsid w:val="00711888"/>
    <w:rsid w:val="007118DB"/>
    <w:rsid w:val="00711927"/>
    <w:rsid w:val="00711971"/>
    <w:rsid w:val="0071198D"/>
    <w:rsid w:val="007119AC"/>
    <w:rsid w:val="007119AE"/>
    <w:rsid w:val="00711A10"/>
    <w:rsid w:val="00711A1A"/>
    <w:rsid w:val="00711A2E"/>
    <w:rsid w:val="00711AC7"/>
    <w:rsid w:val="00711AE4"/>
    <w:rsid w:val="00711AF8"/>
    <w:rsid w:val="00711B31"/>
    <w:rsid w:val="00711B96"/>
    <w:rsid w:val="00711BAA"/>
    <w:rsid w:val="00711C23"/>
    <w:rsid w:val="00711C96"/>
    <w:rsid w:val="00711C9B"/>
    <w:rsid w:val="00711CBD"/>
    <w:rsid w:val="00711CEB"/>
    <w:rsid w:val="00711D32"/>
    <w:rsid w:val="00711D8B"/>
    <w:rsid w:val="00711DCD"/>
    <w:rsid w:val="00711E01"/>
    <w:rsid w:val="00711ECE"/>
    <w:rsid w:val="00711ED7"/>
    <w:rsid w:val="00711F0C"/>
    <w:rsid w:val="00711F4A"/>
    <w:rsid w:val="007120BC"/>
    <w:rsid w:val="007120DF"/>
    <w:rsid w:val="007120F4"/>
    <w:rsid w:val="00712134"/>
    <w:rsid w:val="00712150"/>
    <w:rsid w:val="0071215E"/>
    <w:rsid w:val="00712194"/>
    <w:rsid w:val="007121B0"/>
    <w:rsid w:val="00712221"/>
    <w:rsid w:val="00712248"/>
    <w:rsid w:val="007122D4"/>
    <w:rsid w:val="007122F8"/>
    <w:rsid w:val="00712347"/>
    <w:rsid w:val="0071237F"/>
    <w:rsid w:val="00712389"/>
    <w:rsid w:val="00712405"/>
    <w:rsid w:val="00712440"/>
    <w:rsid w:val="007124F0"/>
    <w:rsid w:val="007124F8"/>
    <w:rsid w:val="00712546"/>
    <w:rsid w:val="00712583"/>
    <w:rsid w:val="00712589"/>
    <w:rsid w:val="007125AE"/>
    <w:rsid w:val="007125E0"/>
    <w:rsid w:val="00712632"/>
    <w:rsid w:val="00712645"/>
    <w:rsid w:val="007126B0"/>
    <w:rsid w:val="007126DC"/>
    <w:rsid w:val="0071271F"/>
    <w:rsid w:val="00712786"/>
    <w:rsid w:val="007127C6"/>
    <w:rsid w:val="007127D8"/>
    <w:rsid w:val="00712832"/>
    <w:rsid w:val="00712860"/>
    <w:rsid w:val="00712882"/>
    <w:rsid w:val="007128B6"/>
    <w:rsid w:val="0071299D"/>
    <w:rsid w:val="007129A0"/>
    <w:rsid w:val="007129B0"/>
    <w:rsid w:val="007129EB"/>
    <w:rsid w:val="00712A0B"/>
    <w:rsid w:val="00712A19"/>
    <w:rsid w:val="00712AE7"/>
    <w:rsid w:val="00712AF8"/>
    <w:rsid w:val="00712B25"/>
    <w:rsid w:val="00712B5F"/>
    <w:rsid w:val="00712B87"/>
    <w:rsid w:val="00712BD0"/>
    <w:rsid w:val="00712C3B"/>
    <w:rsid w:val="00712C9C"/>
    <w:rsid w:val="00712CC3"/>
    <w:rsid w:val="00712DA8"/>
    <w:rsid w:val="00712DE4"/>
    <w:rsid w:val="00712DF9"/>
    <w:rsid w:val="00712E0A"/>
    <w:rsid w:val="00712E59"/>
    <w:rsid w:val="00712E81"/>
    <w:rsid w:val="00712E89"/>
    <w:rsid w:val="00712EB9"/>
    <w:rsid w:val="00712ECC"/>
    <w:rsid w:val="00712F06"/>
    <w:rsid w:val="00712F09"/>
    <w:rsid w:val="00712F89"/>
    <w:rsid w:val="00713010"/>
    <w:rsid w:val="00713092"/>
    <w:rsid w:val="0071309E"/>
    <w:rsid w:val="007130AA"/>
    <w:rsid w:val="007130F6"/>
    <w:rsid w:val="00713123"/>
    <w:rsid w:val="0071320F"/>
    <w:rsid w:val="0071327C"/>
    <w:rsid w:val="007132E9"/>
    <w:rsid w:val="007132EC"/>
    <w:rsid w:val="00713332"/>
    <w:rsid w:val="00713379"/>
    <w:rsid w:val="0071338D"/>
    <w:rsid w:val="0071339D"/>
    <w:rsid w:val="007133C5"/>
    <w:rsid w:val="00713425"/>
    <w:rsid w:val="00713461"/>
    <w:rsid w:val="00713470"/>
    <w:rsid w:val="00713481"/>
    <w:rsid w:val="0071348B"/>
    <w:rsid w:val="00713494"/>
    <w:rsid w:val="00713532"/>
    <w:rsid w:val="00713577"/>
    <w:rsid w:val="0071357B"/>
    <w:rsid w:val="007135D9"/>
    <w:rsid w:val="007135DF"/>
    <w:rsid w:val="007136AA"/>
    <w:rsid w:val="007136CA"/>
    <w:rsid w:val="00713714"/>
    <w:rsid w:val="00713734"/>
    <w:rsid w:val="007137BB"/>
    <w:rsid w:val="00713817"/>
    <w:rsid w:val="007138C5"/>
    <w:rsid w:val="0071391E"/>
    <w:rsid w:val="00713A3A"/>
    <w:rsid w:val="00713AF3"/>
    <w:rsid w:val="00713B06"/>
    <w:rsid w:val="00713B7B"/>
    <w:rsid w:val="00713B93"/>
    <w:rsid w:val="00713BD7"/>
    <w:rsid w:val="00713BE4"/>
    <w:rsid w:val="00713C12"/>
    <w:rsid w:val="00713C5A"/>
    <w:rsid w:val="00713C76"/>
    <w:rsid w:val="00713CE1"/>
    <w:rsid w:val="00713CFE"/>
    <w:rsid w:val="00713D10"/>
    <w:rsid w:val="00713E0B"/>
    <w:rsid w:val="00713E12"/>
    <w:rsid w:val="00713E22"/>
    <w:rsid w:val="00713E83"/>
    <w:rsid w:val="00713EB8"/>
    <w:rsid w:val="00713EEF"/>
    <w:rsid w:val="00713F07"/>
    <w:rsid w:val="00713F0B"/>
    <w:rsid w:val="00713F79"/>
    <w:rsid w:val="00713FED"/>
    <w:rsid w:val="00714010"/>
    <w:rsid w:val="0071408D"/>
    <w:rsid w:val="007140B4"/>
    <w:rsid w:val="007140D3"/>
    <w:rsid w:val="007140ED"/>
    <w:rsid w:val="007140FE"/>
    <w:rsid w:val="00714103"/>
    <w:rsid w:val="00714104"/>
    <w:rsid w:val="0071410B"/>
    <w:rsid w:val="0071422B"/>
    <w:rsid w:val="007142C7"/>
    <w:rsid w:val="00714365"/>
    <w:rsid w:val="00714375"/>
    <w:rsid w:val="0071437F"/>
    <w:rsid w:val="007143F2"/>
    <w:rsid w:val="00714412"/>
    <w:rsid w:val="0071443B"/>
    <w:rsid w:val="007144BB"/>
    <w:rsid w:val="007144BC"/>
    <w:rsid w:val="0071456B"/>
    <w:rsid w:val="007145B5"/>
    <w:rsid w:val="0071471F"/>
    <w:rsid w:val="0071475F"/>
    <w:rsid w:val="0071476A"/>
    <w:rsid w:val="007147A3"/>
    <w:rsid w:val="007147DE"/>
    <w:rsid w:val="00714801"/>
    <w:rsid w:val="00714830"/>
    <w:rsid w:val="007148A4"/>
    <w:rsid w:val="00714925"/>
    <w:rsid w:val="00714946"/>
    <w:rsid w:val="00714951"/>
    <w:rsid w:val="0071495A"/>
    <w:rsid w:val="0071495C"/>
    <w:rsid w:val="0071498D"/>
    <w:rsid w:val="007149A6"/>
    <w:rsid w:val="00714A09"/>
    <w:rsid w:val="00714A32"/>
    <w:rsid w:val="00714A89"/>
    <w:rsid w:val="00714ADE"/>
    <w:rsid w:val="00714B6A"/>
    <w:rsid w:val="00714B6C"/>
    <w:rsid w:val="00714BB3"/>
    <w:rsid w:val="00714C11"/>
    <w:rsid w:val="00714C16"/>
    <w:rsid w:val="00714C64"/>
    <w:rsid w:val="00714C8D"/>
    <w:rsid w:val="00714C92"/>
    <w:rsid w:val="00714D1E"/>
    <w:rsid w:val="00714DBB"/>
    <w:rsid w:val="00714E63"/>
    <w:rsid w:val="00714EE2"/>
    <w:rsid w:val="00714F23"/>
    <w:rsid w:val="00714F29"/>
    <w:rsid w:val="00714F31"/>
    <w:rsid w:val="00714F44"/>
    <w:rsid w:val="00714FEB"/>
    <w:rsid w:val="0071504D"/>
    <w:rsid w:val="00715056"/>
    <w:rsid w:val="007150AA"/>
    <w:rsid w:val="00715105"/>
    <w:rsid w:val="0071517E"/>
    <w:rsid w:val="00715218"/>
    <w:rsid w:val="00715221"/>
    <w:rsid w:val="00715290"/>
    <w:rsid w:val="00715352"/>
    <w:rsid w:val="007153F4"/>
    <w:rsid w:val="00715489"/>
    <w:rsid w:val="007154CC"/>
    <w:rsid w:val="00715547"/>
    <w:rsid w:val="0071556D"/>
    <w:rsid w:val="00715612"/>
    <w:rsid w:val="00715618"/>
    <w:rsid w:val="00715685"/>
    <w:rsid w:val="0071568C"/>
    <w:rsid w:val="007156B3"/>
    <w:rsid w:val="007156B5"/>
    <w:rsid w:val="007156F3"/>
    <w:rsid w:val="007157AD"/>
    <w:rsid w:val="007157BD"/>
    <w:rsid w:val="007157FB"/>
    <w:rsid w:val="00715838"/>
    <w:rsid w:val="00715839"/>
    <w:rsid w:val="00715889"/>
    <w:rsid w:val="007158AD"/>
    <w:rsid w:val="007158BA"/>
    <w:rsid w:val="007158E9"/>
    <w:rsid w:val="0071594E"/>
    <w:rsid w:val="0071596C"/>
    <w:rsid w:val="007159B3"/>
    <w:rsid w:val="007159F2"/>
    <w:rsid w:val="00715A2F"/>
    <w:rsid w:val="00715AB8"/>
    <w:rsid w:val="00715B02"/>
    <w:rsid w:val="00715B46"/>
    <w:rsid w:val="00715B9C"/>
    <w:rsid w:val="00715BB5"/>
    <w:rsid w:val="00715C3F"/>
    <w:rsid w:val="00715C4A"/>
    <w:rsid w:val="00715C86"/>
    <w:rsid w:val="00715C8B"/>
    <w:rsid w:val="00715D66"/>
    <w:rsid w:val="00715D76"/>
    <w:rsid w:val="00715D80"/>
    <w:rsid w:val="00715E41"/>
    <w:rsid w:val="00715E6B"/>
    <w:rsid w:val="00715EB8"/>
    <w:rsid w:val="00715EFD"/>
    <w:rsid w:val="00715F40"/>
    <w:rsid w:val="00715FBC"/>
    <w:rsid w:val="00715FCE"/>
    <w:rsid w:val="00715FD1"/>
    <w:rsid w:val="0071603F"/>
    <w:rsid w:val="0071609D"/>
    <w:rsid w:val="007160A9"/>
    <w:rsid w:val="00716114"/>
    <w:rsid w:val="00716132"/>
    <w:rsid w:val="007161DA"/>
    <w:rsid w:val="00716218"/>
    <w:rsid w:val="00716244"/>
    <w:rsid w:val="0071624A"/>
    <w:rsid w:val="0071625E"/>
    <w:rsid w:val="007162AE"/>
    <w:rsid w:val="007162E4"/>
    <w:rsid w:val="00716438"/>
    <w:rsid w:val="0071644F"/>
    <w:rsid w:val="007164D3"/>
    <w:rsid w:val="007164EE"/>
    <w:rsid w:val="00716516"/>
    <w:rsid w:val="00716639"/>
    <w:rsid w:val="00716649"/>
    <w:rsid w:val="00716697"/>
    <w:rsid w:val="007166F9"/>
    <w:rsid w:val="007167B6"/>
    <w:rsid w:val="007167C9"/>
    <w:rsid w:val="007167F2"/>
    <w:rsid w:val="00716807"/>
    <w:rsid w:val="00716886"/>
    <w:rsid w:val="007168C4"/>
    <w:rsid w:val="00716A0E"/>
    <w:rsid w:val="00716A36"/>
    <w:rsid w:val="00716A54"/>
    <w:rsid w:val="00716B01"/>
    <w:rsid w:val="00716B1D"/>
    <w:rsid w:val="00716B31"/>
    <w:rsid w:val="00716BAA"/>
    <w:rsid w:val="00716BB3"/>
    <w:rsid w:val="00716BDE"/>
    <w:rsid w:val="00716C24"/>
    <w:rsid w:val="00716DC2"/>
    <w:rsid w:val="00716E7C"/>
    <w:rsid w:val="00716E84"/>
    <w:rsid w:val="00716F2C"/>
    <w:rsid w:val="00716FC6"/>
    <w:rsid w:val="00716FDC"/>
    <w:rsid w:val="0071704E"/>
    <w:rsid w:val="00717092"/>
    <w:rsid w:val="007170A0"/>
    <w:rsid w:val="00717103"/>
    <w:rsid w:val="00717104"/>
    <w:rsid w:val="0071710D"/>
    <w:rsid w:val="00717163"/>
    <w:rsid w:val="007171D2"/>
    <w:rsid w:val="0071721D"/>
    <w:rsid w:val="00717281"/>
    <w:rsid w:val="0071729B"/>
    <w:rsid w:val="00717317"/>
    <w:rsid w:val="00717327"/>
    <w:rsid w:val="00717379"/>
    <w:rsid w:val="00717405"/>
    <w:rsid w:val="0071746D"/>
    <w:rsid w:val="00717484"/>
    <w:rsid w:val="00717492"/>
    <w:rsid w:val="0071749B"/>
    <w:rsid w:val="007174A5"/>
    <w:rsid w:val="00717529"/>
    <w:rsid w:val="00717547"/>
    <w:rsid w:val="0071761D"/>
    <w:rsid w:val="00717686"/>
    <w:rsid w:val="0071773F"/>
    <w:rsid w:val="0071775A"/>
    <w:rsid w:val="00717766"/>
    <w:rsid w:val="0071781D"/>
    <w:rsid w:val="0071784A"/>
    <w:rsid w:val="00717893"/>
    <w:rsid w:val="007178B5"/>
    <w:rsid w:val="0071791A"/>
    <w:rsid w:val="007179AC"/>
    <w:rsid w:val="007179BA"/>
    <w:rsid w:val="007179D3"/>
    <w:rsid w:val="007179E8"/>
    <w:rsid w:val="00717A16"/>
    <w:rsid w:val="00717AA7"/>
    <w:rsid w:val="00717ADB"/>
    <w:rsid w:val="00717B1D"/>
    <w:rsid w:val="00717B2C"/>
    <w:rsid w:val="00717B2D"/>
    <w:rsid w:val="00717B75"/>
    <w:rsid w:val="00717B89"/>
    <w:rsid w:val="00717B94"/>
    <w:rsid w:val="00717BCB"/>
    <w:rsid w:val="00717BFC"/>
    <w:rsid w:val="00717C32"/>
    <w:rsid w:val="00717CB5"/>
    <w:rsid w:val="00717CBF"/>
    <w:rsid w:val="00717CDF"/>
    <w:rsid w:val="00717D91"/>
    <w:rsid w:val="00717D96"/>
    <w:rsid w:val="00717DD4"/>
    <w:rsid w:val="00717E1D"/>
    <w:rsid w:val="00717E64"/>
    <w:rsid w:val="00717EA1"/>
    <w:rsid w:val="00717ED2"/>
    <w:rsid w:val="00717F0F"/>
    <w:rsid w:val="00717F31"/>
    <w:rsid w:val="00717F4A"/>
    <w:rsid w:val="00717F51"/>
    <w:rsid w:val="00717F59"/>
    <w:rsid w:val="00717F85"/>
    <w:rsid w:val="00717F88"/>
    <w:rsid w:val="00717FA1"/>
    <w:rsid w:val="00720027"/>
    <w:rsid w:val="0072007F"/>
    <w:rsid w:val="007200DC"/>
    <w:rsid w:val="007200DE"/>
    <w:rsid w:val="007200E6"/>
    <w:rsid w:val="00720171"/>
    <w:rsid w:val="0072017E"/>
    <w:rsid w:val="00720202"/>
    <w:rsid w:val="007202A2"/>
    <w:rsid w:val="007202A3"/>
    <w:rsid w:val="00720374"/>
    <w:rsid w:val="00720401"/>
    <w:rsid w:val="0072040A"/>
    <w:rsid w:val="00720434"/>
    <w:rsid w:val="0072047F"/>
    <w:rsid w:val="0072050E"/>
    <w:rsid w:val="007205BA"/>
    <w:rsid w:val="007205D7"/>
    <w:rsid w:val="00720606"/>
    <w:rsid w:val="0072060F"/>
    <w:rsid w:val="00720710"/>
    <w:rsid w:val="00720724"/>
    <w:rsid w:val="0072072D"/>
    <w:rsid w:val="007207EA"/>
    <w:rsid w:val="00720830"/>
    <w:rsid w:val="0072089D"/>
    <w:rsid w:val="007208AE"/>
    <w:rsid w:val="007208EF"/>
    <w:rsid w:val="0072092E"/>
    <w:rsid w:val="0072097B"/>
    <w:rsid w:val="00720983"/>
    <w:rsid w:val="00720986"/>
    <w:rsid w:val="00720A02"/>
    <w:rsid w:val="00720A1A"/>
    <w:rsid w:val="00720A7A"/>
    <w:rsid w:val="00720A8E"/>
    <w:rsid w:val="00720B3C"/>
    <w:rsid w:val="00720B4A"/>
    <w:rsid w:val="00720B5B"/>
    <w:rsid w:val="00720B7D"/>
    <w:rsid w:val="00720B89"/>
    <w:rsid w:val="00720C12"/>
    <w:rsid w:val="00720C36"/>
    <w:rsid w:val="00720C37"/>
    <w:rsid w:val="00720C60"/>
    <w:rsid w:val="00720C73"/>
    <w:rsid w:val="00720CB1"/>
    <w:rsid w:val="00720E0E"/>
    <w:rsid w:val="00720E1D"/>
    <w:rsid w:val="00720EEB"/>
    <w:rsid w:val="00720EF6"/>
    <w:rsid w:val="00720F75"/>
    <w:rsid w:val="00720F89"/>
    <w:rsid w:val="0072101D"/>
    <w:rsid w:val="00721026"/>
    <w:rsid w:val="00721045"/>
    <w:rsid w:val="0072104C"/>
    <w:rsid w:val="00721079"/>
    <w:rsid w:val="0072107C"/>
    <w:rsid w:val="007210E9"/>
    <w:rsid w:val="007211B6"/>
    <w:rsid w:val="007211E5"/>
    <w:rsid w:val="007211F7"/>
    <w:rsid w:val="00721216"/>
    <w:rsid w:val="00721254"/>
    <w:rsid w:val="00721256"/>
    <w:rsid w:val="007212D4"/>
    <w:rsid w:val="007212E7"/>
    <w:rsid w:val="00721303"/>
    <w:rsid w:val="0072131A"/>
    <w:rsid w:val="00721348"/>
    <w:rsid w:val="007213AF"/>
    <w:rsid w:val="007213C1"/>
    <w:rsid w:val="007213C3"/>
    <w:rsid w:val="0072141F"/>
    <w:rsid w:val="0072144B"/>
    <w:rsid w:val="0072151D"/>
    <w:rsid w:val="0072154F"/>
    <w:rsid w:val="007215AB"/>
    <w:rsid w:val="007215F1"/>
    <w:rsid w:val="0072169B"/>
    <w:rsid w:val="00721703"/>
    <w:rsid w:val="00721790"/>
    <w:rsid w:val="007217B4"/>
    <w:rsid w:val="00721849"/>
    <w:rsid w:val="0072184E"/>
    <w:rsid w:val="007218B3"/>
    <w:rsid w:val="007218CC"/>
    <w:rsid w:val="007218E7"/>
    <w:rsid w:val="00721943"/>
    <w:rsid w:val="007219D4"/>
    <w:rsid w:val="00721A1D"/>
    <w:rsid w:val="00721A30"/>
    <w:rsid w:val="00721A4E"/>
    <w:rsid w:val="00721A6A"/>
    <w:rsid w:val="00721A9F"/>
    <w:rsid w:val="00721ABB"/>
    <w:rsid w:val="00721B14"/>
    <w:rsid w:val="00721B93"/>
    <w:rsid w:val="00721BFC"/>
    <w:rsid w:val="00721C3B"/>
    <w:rsid w:val="00721C85"/>
    <w:rsid w:val="00721CCD"/>
    <w:rsid w:val="00721CF0"/>
    <w:rsid w:val="00721D04"/>
    <w:rsid w:val="00721D3F"/>
    <w:rsid w:val="00721DA1"/>
    <w:rsid w:val="00721DE9"/>
    <w:rsid w:val="00721E27"/>
    <w:rsid w:val="00721E45"/>
    <w:rsid w:val="00721E56"/>
    <w:rsid w:val="00721E6C"/>
    <w:rsid w:val="00721EE6"/>
    <w:rsid w:val="00721EF4"/>
    <w:rsid w:val="00721F0F"/>
    <w:rsid w:val="00721F6A"/>
    <w:rsid w:val="00721FA2"/>
    <w:rsid w:val="00721FCA"/>
    <w:rsid w:val="00721FE4"/>
    <w:rsid w:val="00722022"/>
    <w:rsid w:val="0072207E"/>
    <w:rsid w:val="0072208B"/>
    <w:rsid w:val="007220CA"/>
    <w:rsid w:val="007220E0"/>
    <w:rsid w:val="007220F3"/>
    <w:rsid w:val="00722102"/>
    <w:rsid w:val="00722166"/>
    <w:rsid w:val="00722168"/>
    <w:rsid w:val="0072219E"/>
    <w:rsid w:val="007221A4"/>
    <w:rsid w:val="007221C1"/>
    <w:rsid w:val="00722208"/>
    <w:rsid w:val="00722231"/>
    <w:rsid w:val="00722289"/>
    <w:rsid w:val="00722326"/>
    <w:rsid w:val="0072235A"/>
    <w:rsid w:val="00722362"/>
    <w:rsid w:val="00722385"/>
    <w:rsid w:val="00722393"/>
    <w:rsid w:val="0072242E"/>
    <w:rsid w:val="00722460"/>
    <w:rsid w:val="00722472"/>
    <w:rsid w:val="0072249A"/>
    <w:rsid w:val="007224D6"/>
    <w:rsid w:val="0072258A"/>
    <w:rsid w:val="007225CC"/>
    <w:rsid w:val="00722601"/>
    <w:rsid w:val="00722619"/>
    <w:rsid w:val="00722652"/>
    <w:rsid w:val="0072269A"/>
    <w:rsid w:val="007226AE"/>
    <w:rsid w:val="0072270C"/>
    <w:rsid w:val="00722778"/>
    <w:rsid w:val="00722869"/>
    <w:rsid w:val="00722941"/>
    <w:rsid w:val="0072294B"/>
    <w:rsid w:val="0072295D"/>
    <w:rsid w:val="00722964"/>
    <w:rsid w:val="00722A05"/>
    <w:rsid w:val="00722A51"/>
    <w:rsid w:val="00722B50"/>
    <w:rsid w:val="00722B75"/>
    <w:rsid w:val="00722B95"/>
    <w:rsid w:val="00722B99"/>
    <w:rsid w:val="00722B9C"/>
    <w:rsid w:val="00722BD7"/>
    <w:rsid w:val="00722BF1"/>
    <w:rsid w:val="00722C15"/>
    <w:rsid w:val="00722C2C"/>
    <w:rsid w:val="00722C34"/>
    <w:rsid w:val="00722C44"/>
    <w:rsid w:val="00722C72"/>
    <w:rsid w:val="00722DA9"/>
    <w:rsid w:val="00722DD2"/>
    <w:rsid w:val="00722DE2"/>
    <w:rsid w:val="00722E0D"/>
    <w:rsid w:val="00722E36"/>
    <w:rsid w:val="00722E49"/>
    <w:rsid w:val="00722E4D"/>
    <w:rsid w:val="00722E7C"/>
    <w:rsid w:val="00722E89"/>
    <w:rsid w:val="00722EDD"/>
    <w:rsid w:val="00722F64"/>
    <w:rsid w:val="00722F6D"/>
    <w:rsid w:val="00722FB0"/>
    <w:rsid w:val="00722FE9"/>
    <w:rsid w:val="00723009"/>
    <w:rsid w:val="00723048"/>
    <w:rsid w:val="0072307E"/>
    <w:rsid w:val="007230DA"/>
    <w:rsid w:val="007230E9"/>
    <w:rsid w:val="00723127"/>
    <w:rsid w:val="007232FE"/>
    <w:rsid w:val="00723376"/>
    <w:rsid w:val="00723409"/>
    <w:rsid w:val="00723418"/>
    <w:rsid w:val="00723422"/>
    <w:rsid w:val="00723478"/>
    <w:rsid w:val="00723494"/>
    <w:rsid w:val="007234B4"/>
    <w:rsid w:val="007234F8"/>
    <w:rsid w:val="00723503"/>
    <w:rsid w:val="0072350D"/>
    <w:rsid w:val="0072351F"/>
    <w:rsid w:val="00723544"/>
    <w:rsid w:val="007235A0"/>
    <w:rsid w:val="007235EC"/>
    <w:rsid w:val="0072366E"/>
    <w:rsid w:val="007236D8"/>
    <w:rsid w:val="00723710"/>
    <w:rsid w:val="00723749"/>
    <w:rsid w:val="00723760"/>
    <w:rsid w:val="00723772"/>
    <w:rsid w:val="007237EE"/>
    <w:rsid w:val="007237FA"/>
    <w:rsid w:val="0072382B"/>
    <w:rsid w:val="00723847"/>
    <w:rsid w:val="0072384B"/>
    <w:rsid w:val="007238B3"/>
    <w:rsid w:val="007239C1"/>
    <w:rsid w:val="007239FA"/>
    <w:rsid w:val="00723A15"/>
    <w:rsid w:val="00723A9B"/>
    <w:rsid w:val="00723B25"/>
    <w:rsid w:val="00723B84"/>
    <w:rsid w:val="00723BB2"/>
    <w:rsid w:val="00723BC8"/>
    <w:rsid w:val="00723C11"/>
    <w:rsid w:val="00723C3E"/>
    <w:rsid w:val="00723C3F"/>
    <w:rsid w:val="00723C58"/>
    <w:rsid w:val="00723D22"/>
    <w:rsid w:val="00723D9E"/>
    <w:rsid w:val="00723DE6"/>
    <w:rsid w:val="00723E5D"/>
    <w:rsid w:val="00723E77"/>
    <w:rsid w:val="00723ECC"/>
    <w:rsid w:val="00723EDB"/>
    <w:rsid w:val="00723FB9"/>
    <w:rsid w:val="00723FD2"/>
    <w:rsid w:val="00723FE0"/>
    <w:rsid w:val="00724037"/>
    <w:rsid w:val="00724097"/>
    <w:rsid w:val="00724099"/>
    <w:rsid w:val="007240A3"/>
    <w:rsid w:val="0072411B"/>
    <w:rsid w:val="0072411D"/>
    <w:rsid w:val="0072413B"/>
    <w:rsid w:val="00724188"/>
    <w:rsid w:val="007241BC"/>
    <w:rsid w:val="007241DA"/>
    <w:rsid w:val="00724294"/>
    <w:rsid w:val="007242A0"/>
    <w:rsid w:val="007242AD"/>
    <w:rsid w:val="0072436B"/>
    <w:rsid w:val="00724388"/>
    <w:rsid w:val="00724466"/>
    <w:rsid w:val="00724476"/>
    <w:rsid w:val="007244CD"/>
    <w:rsid w:val="007244DB"/>
    <w:rsid w:val="007245D8"/>
    <w:rsid w:val="00724653"/>
    <w:rsid w:val="0072467D"/>
    <w:rsid w:val="00724689"/>
    <w:rsid w:val="00724698"/>
    <w:rsid w:val="00724712"/>
    <w:rsid w:val="00724756"/>
    <w:rsid w:val="00724798"/>
    <w:rsid w:val="007247B0"/>
    <w:rsid w:val="007247FC"/>
    <w:rsid w:val="0072481A"/>
    <w:rsid w:val="0072482B"/>
    <w:rsid w:val="00724830"/>
    <w:rsid w:val="00724932"/>
    <w:rsid w:val="00724956"/>
    <w:rsid w:val="007249A4"/>
    <w:rsid w:val="007249E9"/>
    <w:rsid w:val="00724A85"/>
    <w:rsid w:val="00724A9E"/>
    <w:rsid w:val="00724AC7"/>
    <w:rsid w:val="00724AF9"/>
    <w:rsid w:val="00724B13"/>
    <w:rsid w:val="00724C38"/>
    <w:rsid w:val="00724C49"/>
    <w:rsid w:val="00724C80"/>
    <w:rsid w:val="00724D6C"/>
    <w:rsid w:val="00724D7A"/>
    <w:rsid w:val="00724D85"/>
    <w:rsid w:val="00724DC0"/>
    <w:rsid w:val="00724DE8"/>
    <w:rsid w:val="00724DFF"/>
    <w:rsid w:val="00724E42"/>
    <w:rsid w:val="00724F24"/>
    <w:rsid w:val="00724F91"/>
    <w:rsid w:val="0072508D"/>
    <w:rsid w:val="007250D1"/>
    <w:rsid w:val="007250E0"/>
    <w:rsid w:val="00725198"/>
    <w:rsid w:val="007251AF"/>
    <w:rsid w:val="00725274"/>
    <w:rsid w:val="00725276"/>
    <w:rsid w:val="007252AE"/>
    <w:rsid w:val="007252EF"/>
    <w:rsid w:val="007252F5"/>
    <w:rsid w:val="007252F7"/>
    <w:rsid w:val="00725328"/>
    <w:rsid w:val="0072534B"/>
    <w:rsid w:val="0072536C"/>
    <w:rsid w:val="007253B6"/>
    <w:rsid w:val="007253F2"/>
    <w:rsid w:val="00725415"/>
    <w:rsid w:val="00725453"/>
    <w:rsid w:val="0072545D"/>
    <w:rsid w:val="00725461"/>
    <w:rsid w:val="007254AB"/>
    <w:rsid w:val="007254F9"/>
    <w:rsid w:val="0072555C"/>
    <w:rsid w:val="00725582"/>
    <w:rsid w:val="007255EB"/>
    <w:rsid w:val="007255F4"/>
    <w:rsid w:val="00725756"/>
    <w:rsid w:val="0072577C"/>
    <w:rsid w:val="007257C7"/>
    <w:rsid w:val="007258BB"/>
    <w:rsid w:val="00725910"/>
    <w:rsid w:val="007259EC"/>
    <w:rsid w:val="007259F8"/>
    <w:rsid w:val="00725A2A"/>
    <w:rsid w:val="00725A2C"/>
    <w:rsid w:val="00725A3D"/>
    <w:rsid w:val="00725AAA"/>
    <w:rsid w:val="00725ACC"/>
    <w:rsid w:val="00725B19"/>
    <w:rsid w:val="00725B2D"/>
    <w:rsid w:val="00725BDB"/>
    <w:rsid w:val="00725BE5"/>
    <w:rsid w:val="00725C01"/>
    <w:rsid w:val="00725C15"/>
    <w:rsid w:val="00725C5F"/>
    <w:rsid w:val="00725D42"/>
    <w:rsid w:val="00725D48"/>
    <w:rsid w:val="00725DD8"/>
    <w:rsid w:val="00725F3C"/>
    <w:rsid w:val="00725F4B"/>
    <w:rsid w:val="00725F66"/>
    <w:rsid w:val="00725FB4"/>
    <w:rsid w:val="00725FB6"/>
    <w:rsid w:val="00725FCF"/>
    <w:rsid w:val="007260AA"/>
    <w:rsid w:val="00726157"/>
    <w:rsid w:val="00726164"/>
    <w:rsid w:val="007261D0"/>
    <w:rsid w:val="007261F1"/>
    <w:rsid w:val="007261FE"/>
    <w:rsid w:val="00726252"/>
    <w:rsid w:val="007262A1"/>
    <w:rsid w:val="00726325"/>
    <w:rsid w:val="00726348"/>
    <w:rsid w:val="00726363"/>
    <w:rsid w:val="00726373"/>
    <w:rsid w:val="00726382"/>
    <w:rsid w:val="007263A4"/>
    <w:rsid w:val="007263D0"/>
    <w:rsid w:val="007263E1"/>
    <w:rsid w:val="00726436"/>
    <w:rsid w:val="007264ED"/>
    <w:rsid w:val="007264FC"/>
    <w:rsid w:val="00726537"/>
    <w:rsid w:val="00726578"/>
    <w:rsid w:val="007265B4"/>
    <w:rsid w:val="0072661B"/>
    <w:rsid w:val="00726624"/>
    <w:rsid w:val="007266A5"/>
    <w:rsid w:val="007266CA"/>
    <w:rsid w:val="007266D7"/>
    <w:rsid w:val="007266DB"/>
    <w:rsid w:val="007266ED"/>
    <w:rsid w:val="00726709"/>
    <w:rsid w:val="0072672B"/>
    <w:rsid w:val="00726824"/>
    <w:rsid w:val="00726914"/>
    <w:rsid w:val="00726932"/>
    <w:rsid w:val="00726939"/>
    <w:rsid w:val="007269DD"/>
    <w:rsid w:val="007269DF"/>
    <w:rsid w:val="007269E4"/>
    <w:rsid w:val="007269F0"/>
    <w:rsid w:val="00726A58"/>
    <w:rsid w:val="00726B20"/>
    <w:rsid w:val="00726B39"/>
    <w:rsid w:val="00726B3B"/>
    <w:rsid w:val="00726B78"/>
    <w:rsid w:val="00726C03"/>
    <w:rsid w:val="00726C31"/>
    <w:rsid w:val="00726C63"/>
    <w:rsid w:val="00726C9E"/>
    <w:rsid w:val="00726CE2"/>
    <w:rsid w:val="00726CFC"/>
    <w:rsid w:val="00726D0F"/>
    <w:rsid w:val="00726D32"/>
    <w:rsid w:val="00726D36"/>
    <w:rsid w:val="00726D82"/>
    <w:rsid w:val="00726D85"/>
    <w:rsid w:val="00726DD3"/>
    <w:rsid w:val="00726DE9"/>
    <w:rsid w:val="00726DF1"/>
    <w:rsid w:val="00726DFB"/>
    <w:rsid w:val="00726DFC"/>
    <w:rsid w:val="00726E42"/>
    <w:rsid w:val="00726E60"/>
    <w:rsid w:val="00726E83"/>
    <w:rsid w:val="00726F51"/>
    <w:rsid w:val="00726FB2"/>
    <w:rsid w:val="00727022"/>
    <w:rsid w:val="00727064"/>
    <w:rsid w:val="007270EA"/>
    <w:rsid w:val="0072710D"/>
    <w:rsid w:val="00727158"/>
    <w:rsid w:val="007271A7"/>
    <w:rsid w:val="007271E1"/>
    <w:rsid w:val="0072728E"/>
    <w:rsid w:val="007272E1"/>
    <w:rsid w:val="0072737D"/>
    <w:rsid w:val="0072739B"/>
    <w:rsid w:val="007273F8"/>
    <w:rsid w:val="0072742E"/>
    <w:rsid w:val="00727433"/>
    <w:rsid w:val="00727477"/>
    <w:rsid w:val="00727513"/>
    <w:rsid w:val="00727535"/>
    <w:rsid w:val="00727563"/>
    <w:rsid w:val="00727601"/>
    <w:rsid w:val="00727655"/>
    <w:rsid w:val="00727671"/>
    <w:rsid w:val="007276A0"/>
    <w:rsid w:val="007276AD"/>
    <w:rsid w:val="007276B8"/>
    <w:rsid w:val="007276D6"/>
    <w:rsid w:val="00727724"/>
    <w:rsid w:val="007277F8"/>
    <w:rsid w:val="00727829"/>
    <w:rsid w:val="0072783F"/>
    <w:rsid w:val="00727888"/>
    <w:rsid w:val="0072789B"/>
    <w:rsid w:val="007278A8"/>
    <w:rsid w:val="0072792D"/>
    <w:rsid w:val="00727939"/>
    <w:rsid w:val="007279DB"/>
    <w:rsid w:val="007279DD"/>
    <w:rsid w:val="00727A57"/>
    <w:rsid w:val="00727AE6"/>
    <w:rsid w:val="00727B5E"/>
    <w:rsid w:val="00727BA8"/>
    <w:rsid w:val="00727BC0"/>
    <w:rsid w:val="00727C4A"/>
    <w:rsid w:val="00727C50"/>
    <w:rsid w:val="00727C54"/>
    <w:rsid w:val="00727C9C"/>
    <w:rsid w:val="00727D20"/>
    <w:rsid w:val="00727D53"/>
    <w:rsid w:val="00727DF5"/>
    <w:rsid w:val="00727E48"/>
    <w:rsid w:val="00727E53"/>
    <w:rsid w:val="00727EC3"/>
    <w:rsid w:val="00727FE0"/>
    <w:rsid w:val="00727FEC"/>
    <w:rsid w:val="00730013"/>
    <w:rsid w:val="00730020"/>
    <w:rsid w:val="00730051"/>
    <w:rsid w:val="00730086"/>
    <w:rsid w:val="0073008D"/>
    <w:rsid w:val="00730155"/>
    <w:rsid w:val="00730182"/>
    <w:rsid w:val="007301CD"/>
    <w:rsid w:val="007301D7"/>
    <w:rsid w:val="007301EF"/>
    <w:rsid w:val="00730211"/>
    <w:rsid w:val="00730219"/>
    <w:rsid w:val="00730234"/>
    <w:rsid w:val="00730244"/>
    <w:rsid w:val="00730280"/>
    <w:rsid w:val="00730283"/>
    <w:rsid w:val="00730358"/>
    <w:rsid w:val="0073039E"/>
    <w:rsid w:val="007303E0"/>
    <w:rsid w:val="0073052C"/>
    <w:rsid w:val="00730590"/>
    <w:rsid w:val="0073059C"/>
    <w:rsid w:val="007305A8"/>
    <w:rsid w:val="00730617"/>
    <w:rsid w:val="00730644"/>
    <w:rsid w:val="0073065A"/>
    <w:rsid w:val="007306C0"/>
    <w:rsid w:val="00730731"/>
    <w:rsid w:val="007307A6"/>
    <w:rsid w:val="007307C3"/>
    <w:rsid w:val="007307EE"/>
    <w:rsid w:val="007307F6"/>
    <w:rsid w:val="0073083B"/>
    <w:rsid w:val="0073092E"/>
    <w:rsid w:val="0073093D"/>
    <w:rsid w:val="00730975"/>
    <w:rsid w:val="0073099D"/>
    <w:rsid w:val="007309EC"/>
    <w:rsid w:val="00730A19"/>
    <w:rsid w:val="00730A72"/>
    <w:rsid w:val="00730A75"/>
    <w:rsid w:val="00730A93"/>
    <w:rsid w:val="00730A9B"/>
    <w:rsid w:val="00730B3B"/>
    <w:rsid w:val="00730B73"/>
    <w:rsid w:val="00730BB9"/>
    <w:rsid w:val="00730BCD"/>
    <w:rsid w:val="00730BE0"/>
    <w:rsid w:val="00730C20"/>
    <w:rsid w:val="00730CAA"/>
    <w:rsid w:val="00730CD1"/>
    <w:rsid w:val="00730D55"/>
    <w:rsid w:val="00730D9B"/>
    <w:rsid w:val="00730E3F"/>
    <w:rsid w:val="00730E45"/>
    <w:rsid w:val="00730E91"/>
    <w:rsid w:val="00730EE0"/>
    <w:rsid w:val="00730EF6"/>
    <w:rsid w:val="00730F24"/>
    <w:rsid w:val="00730FCF"/>
    <w:rsid w:val="00730FD1"/>
    <w:rsid w:val="0073100C"/>
    <w:rsid w:val="00731030"/>
    <w:rsid w:val="00731041"/>
    <w:rsid w:val="0073107D"/>
    <w:rsid w:val="007310C2"/>
    <w:rsid w:val="007310EF"/>
    <w:rsid w:val="0073115A"/>
    <w:rsid w:val="00731191"/>
    <w:rsid w:val="00731199"/>
    <w:rsid w:val="007311BE"/>
    <w:rsid w:val="007311C8"/>
    <w:rsid w:val="00731212"/>
    <w:rsid w:val="00731283"/>
    <w:rsid w:val="007312F6"/>
    <w:rsid w:val="00731316"/>
    <w:rsid w:val="00731324"/>
    <w:rsid w:val="007313CD"/>
    <w:rsid w:val="00731416"/>
    <w:rsid w:val="00731448"/>
    <w:rsid w:val="00731490"/>
    <w:rsid w:val="007314B3"/>
    <w:rsid w:val="007314C0"/>
    <w:rsid w:val="0073152C"/>
    <w:rsid w:val="007315A7"/>
    <w:rsid w:val="007315A8"/>
    <w:rsid w:val="0073170A"/>
    <w:rsid w:val="0073171B"/>
    <w:rsid w:val="0073173C"/>
    <w:rsid w:val="00731748"/>
    <w:rsid w:val="0073175E"/>
    <w:rsid w:val="00731838"/>
    <w:rsid w:val="00731851"/>
    <w:rsid w:val="00731886"/>
    <w:rsid w:val="0073188B"/>
    <w:rsid w:val="007318EE"/>
    <w:rsid w:val="0073190F"/>
    <w:rsid w:val="00731914"/>
    <w:rsid w:val="0073191A"/>
    <w:rsid w:val="00731925"/>
    <w:rsid w:val="0073195C"/>
    <w:rsid w:val="007319BB"/>
    <w:rsid w:val="007319F9"/>
    <w:rsid w:val="00731B1D"/>
    <w:rsid w:val="00731C94"/>
    <w:rsid w:val="00731DC1"/>
    <w:rsid w:val="00731E92"/>
    <w:rsid w:val="00731ED7"/>
    <w:rsid w:val="00731F0B"/>
    <w:rsid w:val="00731F14"/>
    <w:rsid w:val="00731F4C"/>
    <w:rsid w:val="00731F50"/>
    <w:rsid w:val="00731F9E"/>
    <w:rsid w:val="00731FB9"/>
    <w:rsid w:val="00732033"/>
    <w:rsid w:val="00732036"/>
    <w:rsid w:val="00732137"/>
    <w:rsid w:val="0073218D"/>
    <w:rsid w:val="00732208"/>
    <w:rsid w:val="0073225F"/>
    <w:rsid w:val="0073227A"/>
    <w:rsid w:val="0073235E"/>
    <w:rsid w:val="007323FB"/>
    <w:rsid w:val="00732459"/>
    <w:rsid w:val="007324BD"/>
    <w:rsid w:val="007324DA"/>
    <w:rsid w:val="00732505"/>
    <w:rsid w:val="00732537"/>
    <w:rsid w:val="00732572"/>
    <w:rsid w:val="00732589"/>
    <w:rsid w:val="007325B1"/>
    <w:rsid w:val="00732607"/>
    <w:rsid w:val="00732642"/>
    <w:rsid w:val="00732658"/>
    <w:rsid w:val="007326EB"/>
    <w:rsid w:val="007326F5"/>
    <w:rsid w:val="00732783"/>
    <w:rsid w:val="00732795"/>
    <w:rsid w:val="007327E3"/>
    <w:rsid w:val="0073283A"/>
    <w:rsid w:val="0073284F"/>
    <w:rsid w:val="007328AC"/>
    <w:rsid w:val="007328C9"/>
    <w:rsid w:val="007328CD"/>
    <w:rsid w:val="007328E5"/>
    <w:rsid w:val="00732971"/>
    <w:rsid w:val="00732974"/>
    <w:rsid w:val="00732982"/>
    <w:rsid w:val="007329AB"/>
    <w:rsid w:val="00732A73"/>
    <w:rsid w:val="00732A8E"/>
    <w:rsid w:val="00732A93"/>
    <w:rsid w:val="00732B01"/>
    <w:rsid w:val="00732B88"/>
    <w:rsid w:val="00732C6A"/>
    <w:rsid w:val="00732C76"/>
    <w:rsid w:val="00732CD2"/>
    <w:rsid w:val="00732DD9"/>
    <w:rsid w:val="00732DE7"/>
    <w:rsid w:val="00732DEA"/>
    <w:rsid w:val="00732DF4"/>
    <w:rsid w:val="00732E0B"/>
    <w:rsid w:val="00732E15"/>
    <w:rsid w:val="00732E5E"/>
    <w:rsid w:val="00732ECF"/>
    <w:rsid w:val="00732ED0"/>
    <w:rsid w:val="00732F1B"/>
    <w:rsid w:val="00732F2D"/>
    <w:rsid w:val="00732F47"/>
    <w:rsid w:val="00732F5F"/>
    <w:rsid w:val="00732F98"/>
    <w:rsid w:val="00732FB7"/>
    <w:rsid w:val="00732FE8"/>
    <w:rsid w:val="00732FE9"/>
    <w:rsid w:val="0073307F"/>
    <w:rsid w:val="0073309D"/>
    <w:rsid w:val="00733107"/>
    <w:rsid w:val="0073312B"/>
    <w:rsid w:val="0073312E"/>
    <w:rsid w:val="0073316F"/>
    <w:rsid w:val="00733186"/>
    <w:rsid w:val="00733189"/>
    <w:rsid w:val="0073319C"/>
    <w:rsid w:val="007331C7"/>
    <w:rsid w:val="0073320A"/>
    <w:rsid w:val="0073322C"/>
    <w:rsid w:val="00733247"/>
    <w:rsid w:val="00733293"/>
    <w:rsid w:val="007332CA"/>
    <w:rsid w:val="007333B2"/>
    <w:rsid w:val="007333C8"/>
    <w:rsid w:val="0073348D"/>
    <w:rsid w:val="00733651"/>
    <w:rsid w:val="007336D7"/>
    <w:rsid w:val="0073375A"/>
    <w:rsid w:val="0073377F"/>
    <w:rsid w:val="007337A7"/>
    <w:rsid w:val="007337D2"/>
    <w:rsid w:val="0073384A"/>
    <w:rsid w:val="00733856"/>
    <w:rsid w:val="00733863"/>
    <w:rsid w:val="00733907"/>
    <w:rsid w:val="0073394B"/>
    <w:rsid w:val="007339A6"/>
    <w:rsid w:val="00733A80"/>
    <w:rsid w:val="00733AE6"/>
    <w:rsid w:val="00733B7D"/>
    <w:rsid w:val="00733D86"/>
    <w:rsid w:val="00733DD7"/>
    <w:rsid w:val="00733E66"/>
    <w:rsid w:val="00733EB9"/>
    <w:rsid w:val="00733F34"/>
    <w:rsid w:val="00733F6A"/>
    <w:rsid w:val="0073405B"/>
    <w:rsid w:val="007340C9"/>
    <w:rsid w:val="007340D6"/>
    <w:rsid w:val="007340E3"/>
    <w:rsid w:val="0073418F"/>
    <w:rsid w:val="00734199"/>
    <w:rsid w:val="007341EC"/>
    <w:rsid w:val="0073420E"/>
    <w:rsid w:val="0073426D"/>
    <w:rsid w:val="00734284"/>
    <w:rsid w:val="007342EA"/>
    <w:rsid w:val="007342FE"/>
    <w:rsid w:val="00734302"/>
    <w:rsid w:val="00734329"/>
    <w:rsid w:val="00734349"/>
    <w:rsid w:val="0073435F"/>
    <w:rsid w:val="007343A2"/>
    <w:rsid w:val="007343C3"/>
    <w:rsid w:val="00734451"/>
    <w:rsid w:val="00734458"/>
    <w:rsid w:val="00734559"/>
    <w:rsid w:val="00734571"/>
    <w:rsid w:val="007346CA"/>
    <w:rsid w:val="0073476F"/>
    <w:rsid w:val="00734772"/>
    <w:rsid w:val="0073478D"/>
    <w:rsid w:val="007347FC"/>
    <w:rsid w:val="0073480E"/>
    <w:rsid w:val="0073483A"/>
    <w:rsid w:val="00734900"/>
    <w:rsid w:val="0073490D"/>
    <w:rsid w:val="0073496E"/>
    <w:rsid w:val="0073498D"/>
    <w:rsid w:val="00734A4F"/>
    <w:rsid w:val="00734A80"/>
    <w:rsid w:val="00734A97"/>
    <w:rsid w:val="00734A9D"/>
    <w:rsid w:val="00734AA6"/>
    <w:rsid w:val="00734AE1"/>
    <w:rsid w:val="00734B5B"/>
    <w:rsid w:val="00734BD2"/>
    <w:rsid w:val="00734BEA"/>
    <w:rsid w:val="00734C2A"/>
    <w:rsid w:val="00734C6B"/>
    <w:rsid w:val="00734CDD"/>
    <w:rsid w:val="00734CE5"/>
    <w:rsid w:val="00734D0A"/>
    <w:rsid w:val="00734D1E"/>
    <w:rsid w:val="00734D92"/>
    <w:rsid w:val="00734E14"/>
    <w:rsid w:val="00734E83"/>
    <w:rsid w:val="00734EC7"/>
    <w:rsid w:val="00734F54"/>
    <w:rsid w:val="00734FB7"/>
    <w:rsid w:val="00734FD3"/>
    <w:rsid w:val="0073500D"/>
    <w:rsid w:val="0073500F"/>
    <w:rsid w:val="007350A2"/>
    <w:rsid w:val="007350CC"/>
    <w:rsid w:val="00735137"/>
    <w:rsid w:val="00735159"/>
    <w:rsid w:val="0073517B"/>
    <w:rsid w:val="0073518D"/>
    <w:rsid w:val="007351C6"/>
    <w:rsid w:val="007351DE"/>
    <w:rsid w:val="007351E7"/>
    <w:rsid w:val="00735265"/>
    <w:rsid w:val="007352AF"/>
    <w:rsid w:val="007352CA"/>
    <w:rsid w:val="007352DE"/>
    <w:rsid w:val="007352F5"/>
    <w:rsid w:val="007353B6"/>
    <w:rsid w:val="00735420"/>
    <w:rsid w:val="00735515"/>
    <w:rsid w:val="007355AC"/>
    <w:rsid w:val="007355C5"/>
    <w:rsid w:val="007355CA"/>
    <w:rsid w:val="007355E8"/>
    <w:rsid w:val="007355FB"/>
    <w:rsid w:val="00735617"/>
    <w:rsid w:val="0073561A"/>
    <w:rsid w:val="00735652"/>
    <w:rsid w:val="007356AB"/>
    <w:rsid w:val="007356D6"/>
    <w:rsid w:val="007357B3"/>
    <w:rsid w:val="007358C1"/>
    <w:rsid w:val="00735969"/>
    <w:rsid w:val="00735980"/>
    <w:rsid w:val="007359A2"/>
    <w:rsid w:val="007359FB"/>
    <w:rsid w:val="00735A8E"/>
    <w:rsid w:val="00735AEB"/>
    <w:rsid w:val="00735B1E"/>
    <w:rsid w:val="00735B25"/>
    <w:rsid w:val="00735B34"/>
    <w:rsid w:val="00735B38"/>
    <w:rsid w:val="00735C1D"/>
    <w:rsid w:val="00735C54"/>
    <w:rsid w:val="00735C8F"/>
    <w:rsid w:val="00735CCE"/>
    <w:rsid w:val="00735CE6"/>
    <w:rsid w:val="00735CFC"/>
    <w:rsid w:val="00735D3D"/>
    <w:rsid w:val="00735D92"/>
    <w:rsid w:val="00735D97"/>
    <w:rsid w:val="00735E3D"/>
    <w:rsid w:val="00735E85"/>
    <w:rsid w:val="00735EFB"/>
    <w:rsid w:val="00735F2D"/>
    <w:rsid w:val="00735F5B"/>
    <w:rsid w:val="00735FD6"/>
    <w:rsid w:val="00736001"/>
    <w:rsid w:val="00736014"/>
    <w:rsid w:val="007360E1"/>
    <w:rsid w:val="0073611C"/>
    <w:rsid w:val="0073611E"/>
    <w:rsid w:val="00736135"/>
    <w:rsid w:val="007361AA"/>
    <w:rsid w:val="007361AE"/>
    <w:rsid w:val="0073627E"/>
    <w:rsid w:val="00736362"/>
    <w:rsid w:val="00736376"/>
    <w:rsid w:val="00736379"/>
    <w:rsid w:val="0073638C"/>
    <w:rsid w:val="007363D6"/>
    <w:rsid w:val="007363DF"/>
    <w:rsid w:val="007364CD"/>
    <w:rsid w:val="00736506"/>
    <w:rsid w:val="00736552"/>
    <w:rsid w:val="0073659E"/>
    <w:rsid w:val="007365A9"/>
    <w:rsid w:val="007365BA"/>
    <w:rsid w:val="007365C7"/>
    <w:rsid w:val="007365FA"/>
    <w:rsid w:val="00736642"/>
    <w:rsid w:val="007366A1"/>
    <w:rsid w:val="007366CC"/>
    <w:rsid w:val="00736716"/>
    <w:rsid w:val="0073672B"/>
    <w:rsid w:val="0073674E"/>
    <w:rsid w:val="00736756"/>
    <w:rsid w:val="0073676C"/>
    <w:rsid w:val="00736782"/>
    <w:rsid w:val="00736783"/>
    <w:rsid w:val="00736812"/>
    <w:rsid w:val="0073687F"/>
    <w:rsid w:val="007368A8"/>
    <w:rsid w:val="007368AB"/>
    <w:rsid w:val="007368EF"/>
    <w:rsid w:val="00736911"/>
    <w:rsid w:val="00736937"/>
    <w:rsid w:val="00736A3F"/>
    <w:rsid w:val="00736AA5"/>
    <w:rsid w:val="00736AD4"/>
    <w:rsid w:val="00736AD7"/>
    <w:rsid w:val="00736AE7"/>
    <w:rsid w:val="00736B07"/>
    <w:rsid w:val="00736B0E"/>
    <w:rsid w:val="00736B46"/>
    <w:rsid w:val="00736BA5"/>
    <w:rsid w:val="00736C77"/>
    <w:rsid w:val="00736CAE"/>
    <w:rsid w:val="00736CFE"/>
    <w:rsid w:val="00736D32"/>
    <w:rsid w:val="00736D85"/>
    <w:rsid w:val="00736DDF"/>
    <w:rsid w:val="00736E3D"/>
    <w:rsid w:val="00736E43"/>
    <w:rsid w:val="00736E5B"/>
    <w:rsid w:val="00736F2E"/>
    <w:rsid w:val="00736F64"/>
    <w:rsid w:val="00736F8B"/>
    <w:rsid w:val="00736FA6"/>
    <w:rsid w:val="00736FAF"/>
    <w:rsid w:val="00736FF4"/>
    <w:rsid w:val="0073705B"/>
    <w:rsid w:val="007370ED"/>
    <w:rsid w:val="00737101"/>
    <w:rsid w:val="00737116"/>
    <w:rsid w:val="0073714D"/>
    <w:rsid w:val="0073715E"/>
    <w:rsid w:val="0073717E"/>
    <w:rsid w:val="0073720B"/>
    <w:rsid w:val="00737219"/>
    <w:rsid w:val="00737225"/>
    <w:rsid w:val="0073724B"/>
    <w:rsid w:val="00737250"/>
    <w:rsid w:val="00737251"/>
    <w:rsid w:val="0073728B"/>
    <w:rsid w:val="007372C9"/>
    <w:rsid w:val="0073733B"/>
    <w:rsid w:val="00737345"/>
    <w:rsid w:val="0073737C"/>
    <w:rsid w:val="0073743C"/>
    <w:rsid w:val="0073744A"/>
    <w:rsid w:val="007374CE"/>
    <w:rsid w:val="0073757F"/>
    <w:rsid w:val="00737585"/>
    <w:rsid w:val="00737598"/>
    <w:rsid w:val="007375D1"/>
    <w:rsid w:val="007375E9"/>
    <w:rsid w:val="007376A2"/>
    <w:rsid w:val="007376D2"/>
    <w:rsid w:val="00737725"/>
    <w:rsid w:val="00737731"/>
    <w:rsid w:val="0073776A"/>
    <w:rsid w:val="0073776E"/>
    <w:rsid w:val="007377AE"/>
    <w:rsid w:val="007377B8"/>
    <w:rsid w:val="00737925"/>
    <w:rsid w:val="00737A10"/>
    <w:rsid w:val="00737A1A"/>
    <w:rsid w:val="00737A97"/>
    <w:rsid w:val="00737AF8"/>
    <w:rsid w:val="00737B31"/>
    <w:rsid w:val="00737B8C"/>
    <w:rsid w:val="00737BEC"/>
    <w:rsid w:val="00737C1B"/>
    <w:rsid w:val="00737C3D"/>
    <w:rsid w:val="00737CD5"/>
    <w:rsid w:val="00737CFD"/>
    <w:rsid w:val="00737D08"/>
    <w:rsid w:val="00737D1E"/>
    <w:rsid w:val="00737D8F"/>
    <w:rsid w:val="00737DA9"/>
    <w:rsid w:val="00737DD5"/>
    <w:rsid w:val="00737E41"/>
    <w:rsid w:val="00737E8D"/>
    <w:rsid w:val="00737E9E"/>
    <w:rsid w:val="00737EB4"/>
    <w:rsid w:val="00737EC2"/>
    <w:rsid w:val="00737F1B"/>
    <w:rsid w:val="00737F3A"/>
    <w:rsid w:val="00737F4E"/>
    <w:rsid w:val="00737FB1"/>
    <w:rsid w:val="00737FF4"/>
    <w:rsid w:val="0074005F"/>
    <w:rsid w:val="00740060"/>
    <w:rsid w:val="0074008D"/>
    <w:rsid w:val="007400C4"/>
    <w:rsid w:val="007400D3"/>
    <w:rsid w:val="00740146"/>
    <w:rsid w:val="0074014E"/>
    <w:rsid w:val="00740206"/>
    <w:rsid w:val="00740245"/>
    <w:rsid w:val="0074024C"/>
    <w:rsid w:val="007402A1"/>
    <w:rsid w:val="007402E4"/>
    <w:rsid w:val="00740328"/>
    <w:rsid w:val="00740371"/>
    <w:rsid w:val="007404B8"/>
    <w:rsid w:val="007404CC"/>
    <w:rsid w:val="0074050E"/>
    <w:rsid w:val="0074053F"/>
    <w:rsid w:val="00740543"/>
    <w:rsid w:val="0074057C"/>
    <w:rsid w:val="0074058A"/>
    <w:rsid w:val="007405A1"/>
    <w:rsid w:val="007405E7"/>
    <w:rsid w:val="007405EE"/>
    <w:rsid w:val="00740656"/>
    <w:rsid w:val="007406B9"/>
    <w:rsid w:val="007406BD"/>
    <w:rsid w:val="00740737"/>
    <w:rsid w:val="00740784"/>
    <w:rsid w:val="00740888"/>
    <w:rsid w:val="007408F4"/>
    <w:rsid w:val="00740920"/>
    <w:rsid w:val="00740924"/>
    <w:rsid w:val="007409CF"/>
    <w:rsid w:val="00740A43"/>
    <w:rsid w:val="00740A72"/>
    <w:rsid w:val="00740A9C"/>
    <w:rsid w:val="00740AC5"/>
    <w:rsid w:val="00740AF6"/>
    <w:rsid w:val="00740B1B"/>
    <w:rsid w:val="00740B47"/>
    <w:rsid w:val="00740B58"/>
    <w:rsid w:val="00740B9A"/>
    <w:rsid w:val="00740BFA"/>
    <w:rsid w:val="00740C67"/>
    <w:rsid w:val="00740DC3"/>
    <w:rsid w:val="00740DD5"/>
    <w:rsid w:val="00740E60"/>
    <w:rsid w:val="00740E72"/>
    <w:rsid w:val="00740EA3"/>
    <w:rsid w:val="00740EBD"/>
    <w:rsid w:val="00740EC8"/>
    <w:rsid w:val="00740EF8"/>
    <w:rsid w:val="00740F87"/>
    <w:rsid w:val="00740FF2"/>
    <w:rsid w:val="00741009"/>
    <w:rsid w:val="007410A8"/>
    <w:rsid w:val="007410BC"/>
    <w:rsid w:val="007410C9"/>
    <w:rsid w:val="00741116"/>
    <w:rsid w:val="0074111E"/>
    <w:rsid w:val="0074121D"/>
    <w:rsid w:val="00741245"/>
    <w:rsid w:val="0074126E"/>
    <w:rsid w:val="00741281"/>
    <w:rsid w:val="0074128F"/>
    <w:rsid w:val="007412EF"/>
    <w:rsid w:val="00741375"/>
    <w:rsid w:val="00741396"/>
    <w:rsid w:val="007413CB"/>
    <w:rsid w:val="00741433"/>
    <w:rsid w:val="007414D3"/>
    <w:rsid w:val="007414D6"/>
    <w:rsid w:val="007414FF"/>
    <w:rsid w:val="00741543"/>
    <w:rsid w:val="007415A5"/>
    <w:rsid w:val="007415E9"/>
    <w:rsid w:val="007416E7"/>
    <w:rsid w:val="0074173E"/>
    <w:rsid w:val="00741777"/>
    <w:rsid w:val="00741788"/>
    <w:rsid w:val="007417F6"/>
    <w:rsid w:val="00741809"/>
    <w:rsid w:val="0074186A"/>
    <w:rsid w:val="00741880"/>
    <w:rsid w:val="007418AB"/>
    <w:rsid w:val="007418E8"/>
    <w:rsid w:val="00741901"/>
    <w:rsid w:val="00741902"/>
    <w:rsid w:val="0074190E"/>
    <w:rsid w:val="00741912"/>
    <w:rsid w:val="0074197C"/>
    <w:rsid w:val="0074198C"/>
    <w:rsid w:val="007419BE"/>
    <w:rsid w:val="007419C1"/>
    <w:rsid w:val="00741A43"/>
    <w:rsid w:val="00741AA2"/>
    <w:rsid w:val="00741AEF"/>
    <w:rsid w:val="00741B26"/>
    <w:rsid w:val="00741B4B"/>
    <w:rsid w:val="00741B69"/>
    <w:rsid w:val="00741B9E"/>
    <w:rsid w:val="00741BF9"/>
    <w:rsid w:val="00741C42"/>
    <w:rsid w:val="00741C73"/>
    <w:rsid w:val="00741C75"/>
    <w:rsid w:val="00741C7B"/>
    <w:rsid w:val="00741CA6"/>
    <w:rsid w:val="00741CAB"/>
    <w:rsid w:val="00741CF1"/>
    <w:rsid w:val="00741D01"/>
    <w:rsid w:val="00741D52"/>
    <w:rsid w:val="00741D6F"/>
    <w:rsid w:val="00741D72"/>
    <w:rsid w:val="00741E7D"/>
    <w:rsid w:val="00741E7E"/>
    <w:rsid w:val="00741E84"/>
    <w:rsid w:val="00741E93"/>
    <w:rsid w:val="00741EEE"/>
    <w:rsid w:val="00741F2F"/>
    <w:rsid w:val="00742019"/>
    <w:rsid w:val="0074201F"/>
    <w:rsid w:val="0074207E"/>
    <w:rsid w:val="007420D3"/>
    <w:rsid w:val="00742104"/>
    <w:rsid w:val="0074216D"/>
    <w:rsid w:val="00742199"/>
    <w:rsid w:val="007421A4"/>
    <w:rsid w:val="007421B7"/>
    <w:rsid w:val="00742206"/>
    <w:rsid w:val="00742252"/>
    <w:rsid w:val="0074229E"/>
    <w:rsid w:val="007422A3"/>
    <w:rsid w:val="007422AC"/>
    <w:rsid w:val="007422DE"/>
    <w:rsid w:val="007422ED"/>
    <w:rsid w:val="00742440"/>
    <w:rsid w:val="00742449"/>
    <w:rsid w:val="00742455"/>
    <w:rsid w:val="007424B2"/>
    <w:rsid w:val="007424F5"/>
    <w:rsid w:val="007424F8"/>
    <w:rsid w:val="0074253F"/>
    <w:rsid w:val="00742576"/>
    <w:rsid w:val="00742611"/>
    <w:rsid w:val="0074264A"/>
    <w:rsid w:val="0074265B"/>
    <w:rsid w:val="007426E9"/>
    <w:rsid w:val="00742786"/>
    <w:rsid w:val="00742797"/>
    <w:rsid w:val="007427A1"/>
    <w:rsid w:val="00742802"/>
    <w:rsid w:val="0074284F"/>
    <w:rsid w:val="00742859"/>
    <w:rsid w:val="00742863"/>
    <w:rsid w:val="00742901"/>
    <w:rsid w:val="0074292A"/>
    <w:rsid w:val="0074297C"/>
    <w:rsid w:val="00742989"/>
    <w:rsid w:val="007429E5"/>
    <w:rsid w:val="00742A4E"/>
    <w:rsid w:val="00742B39"/>
    <w:rsid w:val="00742C2A"/>
    <w:rsid w:val="00742C35"/>
    <w:rsid w:val="00742C6E"/>
    <w:rsid w:val="00742C7E"/>
    <w:rsid w:val="00742CE2"/>
    <w:rsid w:val="00742D10"/>
    <w:rsid w:val="00742D59"/>
    <w:rsid w:val="00742D82"/>
    <w:rsid w:val="00742D8E"/>
    <w:rsid w:val="00742DC0"/>
    <w:rsid w:val="00742DF8"/>
    <w:rsid w:val="00742E2B"/>
    <w:rsid w:val="00742E6D"/>
    <w:rsid w:val="00742E8A"/>
    <w:rsid w:val="00742ED1"/>
    <w:rsid w:val="00742ED2"/>
    <w:rsid w:val="00742F69"/>
    <w:rsid w:val="00742FDC"/>
    <w:rsid w:val="00742FEF"/>
    <w:rsid w:val="007430D7"/>
    <w:rsid w:val="0074310F"/>
    <w:rsid w:val="00743165"/>
    <w:rsid w:val="00743187"/>
    <w:rsid w:val="00743220"/>
    <w:rsid w:val="00743236"/>
    <w:rsid w:val="00743249"/>
    <w:rsid w:val="0074324B"/>
    <w:rsid w:val="00743270"/>
    <w:rsid w:val="007432B6"/>
    <w:rsid w:val="007432DF"/>
    <w:rsid w:val="0074330D"/>
    <w:rsid w:val="00743330"/>
    <w:rsid w:val="00743369"/>
    <w:rsid w:val="0074336D"/>
    <w:rsid w:val="007433CA"/>
    <w:rsid w:val="0074348C"/>
    <w:rsid w:val="0074350A"/>
    <w:rsid w:val="00743581"/>
    <w:rsid w:val="00743649"/>
    <w:rsid w:val="00743715"/>
    <w:rsid w:val="0074372E"/>
    <w:rsid w:val="00743788"/>
    <w:rsid w:val="00743796"/>
    <w:rsid w:val="007437A7"/>
    <w:rsid w:val="007437B8"/>
    <w:rsid w:val="007437CB"/>
    <w:rsid w:val="007437DA"/>
    <w:rsid w:val="007437F9"/>
    <w:rsid w:val="00743951"/>
    <w:rsid w:val="00743980"/>
    <w:rsid w:val="00743985"/>
    <w:rsid w:val="007439F7"/>
    <w:rsid w:val="00743A0C"/>
    <w:rsid w:val="00743A20"/>
    <w:rsid w:val="00743A21"/>
    <w:rsid w:val="00743A25"/>
    <w:rsid w:val="00743B17"/>
    <w:rsid w:val="00743BC7"/>
    <w:rsid w:val="00743C81"/>
    <w:rsid w:val="00743D50"/>
    <w:rsid w:val="00743EA5"/>
    <w:rsid w:val="00743EC3"/>
    <w:rsid w:val="00743F4E"/>
    <w:rsid w:val="00743FC2"/>
    <w:rsid w:val="00743FDA"/>
    <w:rsid w:val="00744034"/>
    <w:rsid w:val="00744059"/>
    <w:rsid w:val="0074406A"/>
    <w:rsid w:val="0074408D"/>
    <w:rsid w:val="007440CA"/>
    <w:rsid w:val="0074411C"/>
    <w:rsid w:val="00744161"/>
    <w:rsid w:val="0074417E"/>
    <w:rsid w:val="007441F1"/>
    <w:rsid w:val="007441F4"/>
    <w:rsid w:val="00744257"/>
    <w:rsid w:val="00744267"/>
    <w:rsid w:val="00744293"/>
    <w:rsid w:val="007442A6"/>
    <w:rsid w:val="007442EB"/>
    <w:rsid w:val="00744322"/>
    <w:rsid w:val="0074432C"/>
    <w:rsid w:val="00744383"/>
    <w:rsid w:val="007443CA"/>
    <w:rsid w:val="007443E2"/>
    <w:rsid w:val="00744429"/>
    <w:rsid w:val="0074445A"/>
    <w:rsid w:val="007444D4"/>
    <w:rsid w:val="007444D8"/>
    <w:rsid w:val="0074462E"/>
    <w:rsid w:val="0074463A"/>
    <w:rsid w:val="0074466E"/>
    <w:rsid w:val="007446C7"/>
    <w:rsid w:val="00744725"/>
    <w:rsid w:val="007447C9"/>
    <w:rsid w:val="007448D0"/>
    <w:rsid w:val="00744909"/>
    <w:rsid w:val="00744973"/>
    <w:rsid w:val="007449B5"/>
    <w:rsid w:val="007449D4"/>
    <w:rsid w:val="00744A93"/>
    <w:rsid w:val="00744AE1"/>
    <w:rsid w:val="00744B3F"/>
    <w:rsid w:val="00744C38"/>
    <w:rsid w:val="00744D32"/>
    <w:rsid w:val="00744D60"/>
    <w:rsid w:val="00744D8C"/>
    <w:rsid w:val="00744DFF"/>
    <w:rsid w:val="00744E3F"/>
    <w:rsid w:val="00744E6A"/>
    <w:rsid w:val="00744E9E"/>
    <w:rsid w:val="00744F6D"/>
    <w:rsid w:val="00744FB0"/>
    <w:rsid w:val="0074501D"/>
    <w:rsid w:val="0074504B"/>
    <w:rsid w:val="007450CE"/>
    <w:rsid w:val="007450E9"/>
    <w:rsid w:val="007450ED"/>
    <w:rsid w:val="00745141"/>
    <w:rsid w:val="0074514B"/>
    <w:rsid w:val="0074514F"/>
    <w:rsid w:val="00745187"/>
    <w:rsid w:val="00745229"/>
    <w:rsid w:val="007452A1"/>
    <w:rsid w:val="007452E3"/>
    <w:rsid w:val="0074532E"/>
    <w:rsid w:val="00745368"/>
    <w:rsid w:val="0074539F"/>
    <w:rsid w:val="007453E3"/>
    <w:rsid w:val="0074545B"/>
    <w:rsid w:val="0074556B"/>
    <w:rsid w:val="007455E7"/>
    <w:rsid w:val="007455EF"/>
    <w:rsid w:val="0074566A"/>
    <w:rsid w:val="00745700"/>
    <w:rsid w:val="00745728"/>
    <w:rsid w:val="00745763"/>
    <w:rsid w:val="00745769"/>
    <w:rsid w:val="00745797"/>
    <w:rsid w:val="007457A7"/>
    <w:rsid w:val="007457AE"/>
    <w:rsid w:val="007457C7"/>
    <w:rsid w:val="00745886"/>
    <w:rsid w:val="007458A5"/>
    <w:rsid w:val="007458B5"/>
    <w:rsid w:val="007458C8"/>
    <w:rsid w:val="00745902"/>
    <w:rsid w:val="0074594F"/>
    <w:rsid w:val="007459AD"/>
    <w:rsid w:val="007459EC"/>
    <w:rsid w:val="00745A24"/>
    <w:rsid w:val="00745BB4"/>
    <w:rsid w:val="00745BC3"/>
    <w:rsid w:val="00745CA0"/>
    <w:rsid w:val="00745CA8"/>
    <w:rsid w:val="00745DB5"/>
    <w:rsid w:val="00745DDD"/>
    <w:rsid w:val="00745E1C"/>
    <w:rsid w:val="00745E67"/>
    <w:rsid w:val="00745E98"/>
    <w:rsid w:val="00745EBC"/>
    <w:rsid w:val="00745EF2"/>
    <w:rsid w:val="00745F49"/>
    <w:rsid w:val="00746054"/>
    <w:rsid w:val="00746060"/>
    <w:rsid w:val="007460C5"/>
    <w:rsid w:val="007460D9"/>
    <w:rsid w:val="00746106"/>
    <w:rsid w:val="00746178"/>
    <w:rsid w:val="00746192"/>
    <w:rsid w:val="007461AE"/>
    <w:rsid w:val="0074621E"/>
    <w:rsid w:val="0074622D"/>
    <w:rsid w:val="00746234"/>
    <w:rsid w:val="00746290"/>
    <w:rsid w:val="007462A6"/>
    <w:rsid w:val="007462B4"/>
    <w:rsid w:val="007462F4"/>
    <w:rsid w:val="0074630A"/>
    <w:rsid w:val="00746376"/>
    <w:rsid w:val="007463A2"/>
    <w:rsid w:val="007463BB"/>
    <w:rsid w:val="007463EF"/>
    <w:rsid w:val="00746445"/>
    <w:rsid w:val="0074650A"/>
    <w:rsid w:val="0074655E"/>
    <w:rsid w:val="00746581"/>
    <w:rsid w:val="007465E4"/>
    <w:rsid w:val="0074661A"/>
    <w:rsid w:val="0074661D"/>
    <w:rsid w:val="00746646"/>
    <w:rsid w:val="00746648"/>
    <w:rsid w:val="00746706"/>
    <w:rsid w:val="0074670A"/>
    <w:rsid w:val="00746720"/>
    <w:rsid w:val="00746722"/>
    <w:rsid w:val="00746787"/>
    <w:rsid w:val="007467B3"/>
    <w:rsid w:val="00746876"/>
    <w:rsid w:val="00746884"/>
    <w:rsid w:val="007468FD"/>
    <w:rsid w:val="007469CA"/>
    <w:rsid w:val="007469E3"/>
    <w:rsid w:val="00746AA1"/>
    <w:rsid w:val="00746B49"/>
    <w:rsid w:val="00746BC8"/>
    <w:rsid w:val="00746BE7"/>
    <w:rsid w:val="00746C22"/>
    <w:rsid w:val="00746C5B"/>
    <w:rsid w:val="00746C5D"/>
    <w:rsid w:val="00746CF3"/>
    <w:rsid w:val="00746D37"/>
    <w:rsid w:val="00746DC9"/>
    <w:rsid w:val="00746F30"/>
    <w:rsid w:val="00746F8D"/>
    <w:rsid w:val="00746FBF"/>
    <w:rsid w:val="0074700B"/>
    <w:rsid w:val="00747082"/>
    <w:rsid w:val="00747092"/>
    <w:rsid w:val="0074713C"/>
    <w:rsid w:val="0074718E"/>
    <w:rsid w:val="007471A4"/>
    <w:rsid w:val="00747224"/>
    <w:rsid w:val="00747254"/>
    <w:rsid w:val="00747282"/>
    <w:rsid w:val="007472B0"/>
    <w:rsid w:val="007472B4"/>
    <w:rsid w:val="007473AB"/>
    <w:rsid w:val="00747451"/>
    <w:rsid w:val="00747469"/>
    <w:rsid w:val="00747476"/>
    <w:rsid w:val="00747494"/>
    <w:rsid w:val="0074749B"/>
    <w:rsid w:val="007474A6"/>
    <w:rsid w:val="007474B3"/>
    <w:rsid w:val="007474C6"/>
    <w:rsid w:val="007474D2"/>
    <w:rsid w:val="0074753F"/>
    <w:rsid w:val="00747553"/>
    <w:rsid w:val="0074756E"/>
    <w:rsid w:val="00747571"/>
    <w:rsid w:val="0074757E"/>
    <w:rsid w:val="0074758E"/>
    <w:rsid w:val="00747646"/>
    <w:rsid w:val="00747651"/>
    <w:rsid w:val="00747666"/>
    <w:rsid w:val="007476F6"/>
    <w:rsid w:val="00747778"/>
    <w:rsid w:val="007477BE"/>
    <w:rsid w:val="00747827"/>
    <w:rsid w:val="00747844"/>
    <w:rsid w:val="0074785A"/>
    <w:rsid w:val="00747879"/>
    <w:rsid w:val="007478BC"/>
    <w:rsid w:val="007478C6"/>
    <w:rsid w:val="00747977"/>
    <w:rsid w:val="007479CF"/>
    <w:rsid w:val="00747A02"/>
    <w:rsid w:val="00747A19"/>
    <w:rsid w:val="00747A87"/>
    <w:rsid w:val="00747AE2"/>
    <w:rsid w:val="00747B25"/>
    <w:rsid w:val="00747BC8"/>
    <w:rsid w:val="00747BCE"/>
    <w:rsid w:val="00747C58"/>
    <w:rsid w:val="00747D1F"/>
    <w:rsid w:val="00747E54"/>
    <w:rsid w:val="00747E87"/>
    <w:rsid w:val="00747E9C"/>
    <w:rsid w:val="00747EE5"/>
    <w:rsid w:val="00747EFA"/>
    <w:rsid w:val="00747F9E"/>
    <w:rsid w:val="00747FA1"/>
    <w:rsid w:val="00747FE0"/>
    <w:rsid w:val="0075007F"/>
    <w:rsid w:val="00750094"/>
    <w:rsid w:val="00750097"/>
    <w:rsid w:val="007500A6"/>
    <w:rsid w:val="007500AB"/>
    <w:rsid w:val="007500E6"/>
    <w:rsid w:val="007501D0"/>
    <w:rsid w:val="007501E3"/>
    <w:rsid w:val="00750283"/>
    <w:rsid w:val="00750292"/>
    <w:rsid w:val="0075029E"/>
    <w:rsid w:val="0075030F"/>
    <w:rsid w:val="00750321"/>
    <w:rsid w:val="00750327"/>
    <w:rsid w:val="007503D7"/>
    <w:rsid w:val="00750411"/>
    <w:rsid w:val="007504A3"/>
    <w:rsid w:val="00750533"/>
    <w:rsid w:val="00750551"/>
    <w:rsid w:val="00750567"/>
    <w:rsid w:val="0075060E"/>
    <w:rsid w:val="0075065C"/>
    <w:rsid w:val="00750702"/>
    <w:rsid w:val="00750721"/>
    <w:rsid w:val="0075073E"/>
    <w:rsid w:val="00750870"/>
    <w:rsid w:val="0075089D"/>
    <w:rsid w:val="007508E1"/>
    <w:rsid w:val="00750933"/>
    <w:rsid w:val="00750958"/>
    <w:rsid w:val="00750A13"/>
    <w:rsid w:val="00750A23"/>
    <w:rsid w:val="00750A39"/>
    <w:rsid w:val="00750A59"/>
    <w:rsid w:val="00750AC4"/>
    <w:rsid w:val="00750B06"/>
    <w:rsid w:val="00750B89"/>
    <w:rsid w:val="00750B91"/>
    <w:rsid w:val="00750BAB"/>
    <w:rsid w:val="00750C71"/>
    <w:rsid w:val="00750C9F"/>
    <w:rsid w:val="00750D05"/>
    <w:rsid w:val="00750D61"/>
    <w:rsid w:val="00750DB9"/>
    <w:rsid w:val="00750DCE"/>
    <w:rsid w:val="00750DD7"/>
    <w:rsid w:val="00750E35"/>
    <w:rsid w:val="00750E36"/>
    <w:rsid w:val="00750E7A"/>
    <w:rsid w:val="00750EB1"/>
    <w:rsid w:val="00750F17"/>
    <w:rsid w:val="00750F2D"/>
    <w:rsid w:val="00750F58"/>
    <w:rsid w:val="00750F98"/>
    <w:rsid w:val="00751022"/>
    <w:rsid w:val="00751080"/>
    <w:rsid w:val="0075108C"/>
    <w:rsid w:val="007510CE"/>
    <w:rsid w:val="00751145"/>
    <w:rsid w:val="007511FC"/>
    <w:rsid w:val="007512B3"/>
    <w:rsid w:val="007512B8"/>
    <w:rsid w:val="007513DA"/>
    <w:rsid w:val="007513E1"/>
    <w:rsid w:val="0075140D"/>
    <w:rsid w:val="00751482"/>
    <w:rsid w:val="00751483"/>
    <w:rsid w:val="00751560"/>
    <w:rsid w:val="007515CC"/>
    <w:rsid w:val="0075160C"/>
    <w:rsid w:val="0075164C"/>
    <w:rsid w:val="00751673"/>
    <w:rsid w:val="007516B4"/>
    <w:rsid w:val="007516C6"/>
    <w:rsid w:val="007516F5"/>
    <w:rsid w:val="00751713"/>
    <w:rsid w:val="0075171B"/>
    <w:rsid w:val="007517D5"/>
    <w:rsid w:val="007517D8"/>
    <w:rsid w:val="00751860"/>
    <w:rsid w:val="00751889"/>
    <w:rsid w:val="00751962"/>
    <w:rsid w:val="007519B1"/>
    <w:rsid w:val="007519B7"/>
    <w:rsid w:val="007519D2"/>
    <w:rsid w:val="00751A92"/>
    <w:rsid w:val="00751A95"/>
    <w:rsid w:val="00751AC6"/>
    <w:rsid w:val="00751B6B"/>
    <w:rsid w:val="00751C27"/>
    <w:rsid w:val="00751C2F"/>
    <w:rsid w:val="00751C33"/>
    <w:rsid w:val="00751CED"/>
    <w:rsid w:val="00751D1D"/>
    <w:rsid w:val="00751D89"/>
    <w:rsid w:val="00751D8F"/>
    <w:rsid w:val="00751DAF"/>
    <w:rsid w:val="00751DED"/>
    <w:rsid w:val="00751DFD"/>
    <w:rsid w:val="00751E0F"/>
    <w:rsid w:val="00751F5A"/>
    <w:rsid w:val="00751F81"/>
    <w:rsid w:val="00751FCF"/>
    <w:rsid w:val="00751FF0"/>
    <w:rsid w:val="00752019"/>
    <w:rsid w:val="0075208A"/>
    <w:rsid w:val="00752092"/>
    <w:rsid w:val="00752100"/>
    <w:rsid w:val="00752139"/>
    <w:rsid w:val="007521F5"/>
    <w:rsid w:val="00752202"/>
    <w:rsid w:val="0075220B"/>
    <w:rsid w:val="0075224A"/>
    <w:rsid w:val="00752258"/>
    <w:rsid w:val="007522AB"/>
    <w:rsid w:val="0075236E"/>
    <w:rsid w:val="007523A2"/>
    <w:rsid w:val="007523B4"/>
    <w:rsid w:val="007523BA"/>
    <w:rsid w:val="007523FD"/>
    <w:rsid w:val="00752409"/>
    <w:rsid w:val="0075240E"/>
    <w:rsid w:val="00752418"/>
    <w:rsid w:val="00752438"/>
    <w:rsid w:val="00752473"/>
    <w:rsid w:val="0075247F"/>
    <w:rsid w:val="00752480"/>
    <w:rsid w:val="007524A1"/>
    <w:rsid w:val="00752569"/>
    <w:rsid w:val="007525FE"/>
    <w:rsid w:val="00752625"/>
    <w:rsid w:val="0075271E"/>
    <w:rsid w:val="00752729"/>
    <w:rsid w:val="00752764"/>
    <w:rsid w:val="0075276F"/>
    <w:rsid w:val="0075278E"/>
    <w:rsid w:val="00752794"/>
    <w:rsid w:val="007527FC"/>
    <w:rsid w:val="007527FF"/>
    <w:rsid w:val="0075285F"/>
    <w:rsid w:val="00752875"/>
    <w:rsid w:val="007528ED"/>
    <w:rsid w:val="0075290C"/>
    <w:rsid w:val="007529A7"/>
    <w:rsid w:val="007529B0"/>
    <w:rsid w:val="007529B6"/>
    <w:rsid w:val="007529E2"/>
    <w:rsid w:val="00752A20"/>
    <w:rsid w:val="00752A79"/>
    <w:rsid w:val="00752AAE"/>
    <w:rsid w:val="00752B09"/>
    <w:rsid w:val="00752B88"/>
    <w:rsid w:val="00752C01"/>
    <w:rsid w:val="00752C43"/>
    <w:rsid w:val="00752C82"/>
    <w:rsid w:val="00752CF6"/>
    <w:rsid w:val="00752D1D"/>
    <w:rsid w:val="00752E30"/>
    <w:rsid w:val="00752E36"/>
    <w:rsid w:val="00752E60"/>
    <w:rsid w:val="00752FFA"/>
    <w:rsid w:val="0075302D"/>
    <w:rsid w:val="00753064"/>
    <w:rsid w:val="007530DF"/>
    <w:rsid w:val="0075313E"/>
    <w:rsid w:val="0075315D"/>
    <w:rsid w:val="007531E7"/>
    <w:rsid w:val="007531EB"/>
    <w:rsid w:val="007531F8"/>
    <w:rsid w:val="00753206"/>
    <w:rsid w:val="0075321F"/>
    <w:rsid w:val="00753249"/>
    <w:rsid w:val="00753296"/>
    <w:rsid w:val="007532B8"/>
    <w:rsid w:val="00753314"/>
    <w:rsid w:val="0075331B"/>
    <w:rsid w:val="00753339"/>
    <w:rsid w:val="007533C3"/>
    <w:rsid w:val="00753424"/>
    <w:rsid w:val="0075346A"/>
    <w:rsid w:val="007534E1"/>
    <w:rsid w:val="00753510"/>
    <w:rsid w:val="00753577"/>
    <w:rsid w:val="007535D8"/>
    <w:rsid w:val="007535DD"/>
    <w:rsid w:val="0075365A"/>
    <w:rsid w:val="00753679"/>
    <w:rsid w:val="007537B0"/>
    <w:rsid w:val="007537C1"/>
    <w:rsid w:val="00753815"/>
    <w:rsid w:val="0075381F"/>
    <w:rsid w:val="00753826"/>
    <w:rsid w:val="00753861"/>
    <w:rsid w:val="00753867"/>
    <w:rsid w:val="007538A9"/>
    <w:rsid w:val="007538C8"/>
    <w:rsid w:val="007539A7"/>
    <w:rsid w:val="00753A1C"/>
    <w:rsid w:val="00753AA3"/>
    <w:rsid w:val="00753B58"/>
    <w:rsid w:val="00753B64"/>
    <w:rsid w:val="00753B88"/>
    <w:rsid w:val="00753B91"/>
    <w:rsid w:val="00753BDE"/>
    <w:rsid w:val="00753BF5"/>
    <w:rsid w:val="00753C2D"/>
    <w:rsid w:val="00753C51"/>
    <w:rsid w:val="00753C77"/>
    <w:rsid w:val="00753D5C"/>
    <w:rsid w:val="00753D7A"/>
    <w:rsid w:val="00753D8B"/>
    <w:rsid w:val="00753D9B"/>
    <w:rsid w:val="00753D9F"/>
    <w:rsid w:val="00753DED"/>
    <w:rsid w:val="00753E3F"/>
    <w:rsid w:val="00753E4F"/>
    <w:rsid w:val="00753E7D"/>
    <w:rsid w:val="00753EFF"/>
    <w:rsid w:val="00753F4A"/>
    <w:rsid w:val="00753F73"/>
    <w:rsid w:val="00753F9E"/>
    <w:rsid w:val="0075403C"/>
    <w:rsid w:val="00754070"/>
    <w:rsid w:val="007540FF"/>
    <w:rsid w:val="0075414D"/>
    <w:rsid w:val="0075416E"/>
    <w:rsid w:val="007541D2"/>
    <w:rsid w:val="007541EF"/>
    <w:rsid w:val="007542EC"/>
    <w:rsid w:val="007542EF"/>
    <w:rsid w:val="00754314"/>
    <w:rsid w:val="0075435C"/>
    <w:rsid w:val="00754444"/>
    <w:rsid w:val="007544DB"/>
    <w:rsid w:val="007544E5"/>
    <w:rsid w:val="007544FA"/>
    <w:rsid w:val="00754535"/>
    <w:rsid w:val="0075456D"/>
    <w:rsid w:val="007545BE"/>
    <w:rsid w:val="00754642"/>
    <w:rsid w:val="00754648"/>
    <w:rsid w:val="00754655"/>
    <w:rsid w:val="007546AA"/>
    <w:rsid w:val="007546AB"/>
    <w:rsid w:val="007546D0"/>
    <w:rsid w:val="00754788"/>
    <w:rsid w:val="00754794"/>
    <w:rsid w:val="007547F3"/>
    <w:rsid w:val="0075481C"/>
    <w:rsid w:val="00754860"/>
    <w:rsid w:val="00754870"/>
    <w:rsid w:val="00754881"/>
    <w:rsid w:val="00754907"/>
    <w:rsid w:val="00754937"/>
    <w:rsid w:val="00754938"/>
    <w:rsid w:val="00754953"/>
    <w:rsid w:val="00754983"/>
    <w:rsid w:val="0075499E"/>
    <w:rsid w:val="007549F4"/>
    <w:rsid w:val="007549FC"/>
    <w:rsid w:val="00754A18"/>
    <w:rsid w:val="00754ABD"/>
    <w:rsid w:val="00754ADC"/>
    <w:rsid w:val="00754B10"/>
    <w:rsid w:val="00754B84"/>
    <w:rsid w:val="00754BA1"/>
    <w:rsid w:val="00754BF1"/>
    <w:rsid w:val="00754C24"/>
    <w:rsid w:val="00754C3F"/>
    <w:rsid w:val="00754CAC"/>
    <w:rsid w:val="00754D07"/>
    <w:rsid w:val="00754DEA"/>
    <w:rsid w:val="00754DF6"/>
    <w:rsid w:val="00754E40"/>
    <w:rsid w:val="00754EAF"/>
    <w:rsid w:val="00754F07"/>
    <w:rsid w:val="00754F99"/>
    <w:rsid w:val="00754FD4"/>
    <w:rsid w:val="0075500A"/>
    <w:rsid w:val="00755071"/>
    <w:rsid w:val="007550A3"/>
    <w:rsid w:val="007550AC"/>
    <w:rsid w:val="007550B4"/>
    <w:rsid w:val="00755153"/>
    <w:rsid w:val="00755178"/>
    <w:rsid w:val="0075518E"/>
    <w:rsid w:val="007551BF"/>
    <w:rsid w:val="007551DA"/>
    <w:rsid w:val="0075523E"/>
    <w:rsid w:val="00755259"/>
    <w:rsid w:val="007552CD"/>
    <w:rsid w:val="00755323"/>
    <w:rsid w:val="0075533D"/>
    <w:rsid w:val="00755368"/>
    <w:rsid w:val="007553E2"/>
    <w:rsid w:val="0075544E"/>
    <w:rsid w:val="0075546F"/>
    <w:rsid w:val="00755473"/>
    <w:rsid w:val="007554DD"/>
    <w:rsid w:val="007554F8"/>
    <w:rsid w:val="00755545"/>
    <w:rsid w:val="0075554F"/>
    <w:rsid w:val="00755567"/>
    <w:rsid w:val="007555DD"/>
    <w:rsid w:val="0075562B"/>
    <w:rsid w:val="0075563D"/>
    <w:rsid w:val="0075567A"/>
    <w:rsid w:val="007556C6"/>
    <w:rsid w:val="00755755"/>
    <w:rsid w:val="00755763"/>
    <w:rsid w:val="00755767"/>
    <w:rsid w:val="007557B4"/>
    <w:rsid w:val="007557CC"/>
    <w:rsid w:val="007557D7"/>
    <w:rsid w:val="00755828"/>
    <w:rsid w:val="00755873"/>
    <w:rsid w:val="0075594F"/>
    <w:rsid w:val="00755960"/>
    <w:rsid w:val="007559E1"/>
    <w:rsid w:val="00755A61"/>
    <w:rsid w:val="00755AB4"/>
    <w:rsid w:val="00755B0C"/>
    <w:rsid w:val="00755B1B"/>
    <w:rsid w:val="00755B88"/>
    <w:rsid w:val="00755B96"/>
    <w:rsid w:val="00755BAC"/>
    <w:rsid w:val="00755C98"/>
    <w:rsid w:val="00755CAA"/>
    <w:rsid w:val="00755CAF"/>
    <w:rsid w:val="00755CDC"/>
    <w:rsid w:val="00755D43"/>
    <w:rsid w:val="00755D70"/>
    <w:rsid w:val="00755DD8"/>
    <w:rsid w:val="00755DE4"/>
    <w:rsid w:val="00755E02"/>
    <w:rsid w:val="00755E1A"/>
    <w:rsid w:val="00755E59"/>
    <w:rsid w:val="00755EF4"/>
    <w:rsid w:val="00755F09"/>
    <w:rsid w:val="00755F62"/>
    <w:rsid w:val="00755FAA"/>
    <w:rsid w:val="007560AC"/>
    <w:rsid w:val="007560C6"/>
    <w:rsid w:val="007560FE"/>
    <w:rsid w:val="0075610C"/>
    <w:rsid w:val="00756133"/>
    <w:rsid w:val="00756151"/>
    <w:rsid w:val="0075616A"/>
    <w:rsid w:val="0075618D"/>
    <w:rsid w:val="007561D4"/>
    <w:rsid w:val="007561F3"/>
    <w:rsid w:val="0075623D"/>
    <w:rsid w:val="00756253"/>
    <w:rsid w:val="00756318"/>
    <w:rsid w:val="0075633A"/>
    <w:rsid w:val="0075634D"/>
    <w:rsid w:val="00756396"/>
    <w:rsid w:val="007563F6"/>
    <w:rsid w:val="00756484"/>
    <w:rsid w:val="007564AC"/>
    <w:rsid w:val="0075653E"/>
    <w:rsid w:val="00756576"/>
    <w:rsid w:val="00756627"/>
    <w:rsid w:val="0075662F"/>
    <w:rsid w:val="00756659"/>
    <w:rsid w:val="0075668E"/>
    <w:rsid w:val="007566C6"/>
    <w:rsid w:val="007566E1"/>
    <w:rsid w:val="007566F3"/>
    <w:rsid w:val="00756847"/>
    <w:rsid w:val="00756854"/>
    <w:rsid w:val="007568B8"/>
    <w:rsid w:val="00756912"/>
    <w:rsid w:val="0075696D"/>
    <w:rsid w:val="0075698F"/>
    <w:rsid w:val="00756AAB"/>
    <w:rsid w:val="00756B00"/>
    <w:rsid w:val="00756B15"/>
    <w:rsid w:val="00756B18"/>
    <w:rsid w:val="00756B3D"/>
    <w:rsid w:val="00756B4E"/>
    <w:rsid w:val="00756B74"/>
    <w:rsid w:val="00756BA8"/>
    <w:rsid w:val="00756BBF"/>
    <w:rsid w:val="00756BCA"/>
    <w:rsid w:val="00756BD3"/>
    <w:rsid w:val="00756BF2"/>
    <w:rsid w:val="00756C93"/>
    <w:rsid w:val="00756C98"/>
    <w:rsid w:val="00756CD2"/>
    <w:rsid w:val="00756CEF"/>
    <w:rsid w:val="00756D11"/>
    <w:rsid w:val="00756D2D"/>
    <w:rsid w:val="00756D3F"/>
    <w:rsid w:val="00756D7E"/>
    <w:rsid w:val="00756E9A"/>
    <w:rsid w:val="00756ED1"/>
    <w:rsid w:val="00756F45"/>
    <w:rsid w:val="00756FB8"/>
    <w:rsid w:val="00756FDE"/>
    <w:rsid w:val="0075703B"/>
    <w:rsid w:val="00757055"/>
    <w:rsid w:val="0075708A"/>
    <w:rsid w:val="0075711D"/>
    <w:rsid w:val="007571A3"/>
    <w:rsid w:val="007571D0"/>
    <w:rsid w:val="007572E2"/>
    <w:rsid w:val="007573BF"/>
    <w:rsid w:val="007573D8"/>
    <w:rsid w:val="00757410"/>
    <w:rsid w:val="0075745D"/>
    <w:rsid w:val="0075749D"/>
    <w:rsid w:val="007574C1"/>
    <w:rsid w:val="00757507"/>
    <w:rsid w:val="0075750B"/>
    <w:rsid w:val="00757535"/>
    <w:rsid w:val="0075754F"/>
    <w:rsid w:val="0075759D"/>
    <w:rsid w:val="00757640"/>
    <w:rsid w:val="00757669"/>
    <w:rsid w:val="00757672"/>
    <w:rsid w:val="0075767E"/>
    <w:rsid w:val="00757765"/>
    <w:rsid w:val="00757766"/>
    <w:rsid w:val="007577C0"/>
    <w:rsid w:val="00757816"/>
    <w:rsid w:val="00757843"/>
    <w:rsid w:val="007578A8"/>
    <w:rsid w:val="007578EE"/>
    <w:rsid w:val="00757906"/>
    <w:rsid w:val="00757957"/>
    <w:rsid w:val="0075797B"/>
    <w:rsid w:val="007579A3"/>
    <w:rsid w:val="007579B6"/>
    <w:rsid w:val="00757A3C"/>
    <w:rsid w:val="00757A5C"/>
    <w:rsid w:val="00757A87"/>
    <w:rsid w:val="00757AC1"/>
    <w:rsid w:val="00757AD6"/>
    <w:rsid w:val="00757BC9"/>
    <w:rsid w:val="00757C05"/>
    <w:rsid w:val="00757C15"/>
    <w:rsid w:val="00757C88"/>
    <w:rsid w:val="00757CA4"/>
    <w:rsid w:val="00757CA7"/>
    <w:rsid w:val="00757CD6"/>
    <w:rsid w:val="00757D4C"/>
    <w:rsid w:val="00757D51"/>
    <w:rsid w:val="00757DA1"/>
    <w:rsid w:val="00757DAA"/>
    <w:rsid w:val="00757DC7"/>
    <w:rsid w:val="00757DEB"/>
    <w:rsid w:val="00757E12"/>
    <w:rsid w:val="00757E69"/>
    <w:rsid w:val="00760059"/>
    <w:rsid w:val="00760077"/>
    <w:rsid w:val="00760083"/>
    <w:rsid w:val="00760094"/>
    <w:rsid w:val="0076009A"/>
    <w:rsid w:val="007600D2"/>
    <w:rsid w:val="00760158"/>
    <w:rsid w:val="00760186"/>
    <w:rsid w:val="007601E2"/>
    <w:rsid w:val="00760221"/>
    <w:rsid w:val="00760435"/>
    <w:rsid w:val="0076043E"/>
    <w:rsid w:val="00760447"/>
    <w:rsid w:val="00760455"/>
    <w:rsid w:val="007604D1"/>
    <w:rsid w:val="007604F7"/>
    <w:rsid w:val="00760503"/>
    <w:rsid w:val="00760512"/>
    <w:rsid w:val="0076051C"/>
    <w:rsid w:val="00760582"/>
    <w:rsid w:val="007606D6"/>
    <w:rsid w:val="00760727"/>
    <w:rsid w:val="00760752"/>
    <w:rsid w:val="0076075D"/>
    <w:rsid w:val="0076078F"/>
    <w:rsid w:val="007607DC"/>
    <w:rsid w:val="007607DE"/>
    <w:rsid w:val="00760820"/>
    <w:rsid w:val="00760829"/>
    <w:rsid w:val="007608B7"/>
    <w:rsid w:val="0076095D"/>
    <w:rsid w:val="0076097A"/>
    <w:rsid w:val="007609D5"/>
    <w:rsid w:val="00760A3A"/>
    <w:rsid w:val="00760A52"/>
    <w:rsid w:val="00760BAB"/>
    <w:rsid w:val="00760BB5"/>
    <w:rsid w:val="00760BC6"/>
    <w:rsid w:val="00760BF8"/>
    <w:rsid w:val="00760C40"/>
    <w:rsid w:val="00760C9C"/>
    <w:rsid w:val="00760D7E"/>
    <w:rsid w:val="00760D96"/>
    <w:rsid w:val="00760E3D"/>
    <w:rsid w:val="00760E67"/>
    <w:rsid w:val="00760EDD"/>
    <w:rsid w:val="00760F13"/>
    <w:rsid w:val="00760F33"/>
    <w:rsid w:val="00760F44"/>
    <w:rsid w:val="00760F4A"/>
    <w:rsid w:val="00760F4F"/>
    <w:rsid w:val="00760F8F"/>
    <w:rsid w:val="00760FA5"/>
    <w:rsid w:val="00760FB2"/>
    <w:rsid w:val="00761000"/>
    <w:rsid w:val="0076100B"/>
    <w:rsid w:val="00761012"/>
    <w:rsid w:val="00761053"/>
    <w:rsid w:val="0076105B"/>
    <w:rsid w:val="0076106A"/>
    <w:rsid w:val="00761088"/>
    <w:rsid w:val="007610B1"/>
    <w:rsid w:val="007610C9"/>
    <w:rsid w:val="007610FD"/>
    <w:rsid w:val="00761188"/>
    <w:rsid w:val="007611BD"/>
    <w:rsid w:val="007611C2"/>
    <w:rsid w:val="00761261"/>
    <w:rsid w:val="007612B8"/>
    <w:rsid w:val="007612CC"/>
    <w:rsid w:val="007612D0"/>
    <w:rsid w:val="00761357"/>
    <w:rsid w:val="00761358"/>
    <w:rsid w:val="00761381"/>
    <w:rsid w:val="007613B0"/>
    <w:rsid w:val="007613B7"/>
    <w:rsid w:val="00761455"/>
    <w:rsid w:val="00761457"/>
    <w:rsid w:val="007614CC"/>
    <w:rsid w:val="007614FB"/>
    <w:rsid w:val="007614FD"/>
    <w:rsid w:val="007614FF"/>
    <w:rsid w:val="00761547"/>
    <w:rsid w:val="007615B9"/>
    <w:rsid w:val="007615F7"/>
    <w:rsid w:val="007616B8"/>
    <w:rsid w:val="0076177F"/>
    <w:rsid w:val="007618AB"/>
    <w:rsid w:val="00761942"/>
    <w:rsid w:val="00761950"/>
    <w:rsid w:val="00761952"/>
    <w:rsid w:val="00761962"/>
    <w:rsid w:val="00761A13"/>
    <w:rsid w:val="00761ADF"/>
    <w:rsid w:val="00761B88"/>
    <w:rsid w:val="00761C46"/>
    <w:rsid w:val="00761D59"/>
    <w:rsid w:val="00761E47"/>
    <w:rsid w:val="00761E4A"/>
    <w:rsid w:val="00761E5E"/>
    <w:rsid w:val="00761ED8"/>
    <w:rsid w:val="00761EDD"/>
    <w:rsid w:val="00761F04"/>
    <w:rsid w:val="00761F17"/>
    <w:rsid w:val="00761F63"/>
    <w:rsid w:val="00761F8E"/>
    <w:rsid w:val="00761FD2"/>
    <w:rsid w:val="00762001"/>
    <w:rsid w:val="00762067"/>
    <w:rsid w:val="00762082"/>
    <w:rsid w:val="0076208C"/>
    <w:rsid w:val="007620BD"/>
    <w:rsid w:val="00762116"/>
    <w:rsid w:val="00762141"/>
    <w:rsid w:val="007621B4"/>
    <w:rsid w:val="0076220E"/>
    <w:rsid w:val="0076229A"/>
    <w:rsid w:val="007622C5"/>
    <w:rsid w:val="0076232A"/>
    <w:rsid w:val="0076238F"/>
    <w:rsid w:val="007623D1"/>
    <w:rsid w:val="007623E6"/>
    <w:rsid w:val="007623E9"/>
    <w:rsid w:val="00762444"/>
    <w:rsid w:val="0076245E"/>
    <w:rsid w:val="00762475"/>
    <w:rsid w:val="007624A2"/>
    <w:rsid w:val="00762579"/>
    <w:rsid w:val="007625C7"/>
    <w:rsid w:val="0076264F"/>
    <w:rsid w:val="00762657"/>
    <w:rsid w:val="0076267E"/>
    <w:rsid w:val="0076271A"/>
    <w:rsid w:val="00762743"/>
    <w:rsid w:val="00762809"/>
    <w:rsid w:val="00762823"/>
    <w:rsid w:val="00762829"/>
    <w:rsid w:val="0076282E"/>
    <w:rsid w:val="00762841"/>
    <w:rsid w:val="00762868"/>
    <w:rsid w:val="007628EA"/>
    <w:rsid w:val="00762915"/>
    <w:rsid w:val="00762947"/>
    <w:rsid w:val="00762992"/>
    <w:rsid w:val="007629F3"/>
    <w:rsid w:val="00762A4F"/>
    <w:rsid w:val="00762A72"/>
    <w:rsid w:val="00762A88"/>
    <w:rsid w:val="00762AA3"/>
    <w:rsid w:val="00762B0D"/>
    <w:rsid w:val="00762BB6"/>
    <w:rsid w:val="00762BB7"/>
    <w:rsid w:val="00762BE8"/>
    <w:rsid w:val="00762C0F"/>
    <w:rsid w:val="00762C3C"/>
    <w:rsid w:val="00762C3F"/>
    <w:rsid w:val="00762C85"/>
    <w:rsid w:val="00762CBF"/>
    <w:rsid w:val="00762CC1"/>
    <w:rsid w:val="00762CC7"/>
    <w:rsid w:val="00762CEC"/>
    <w:rsid w:val="00762D92"/>
    <w:rsid w:val="00762D94"/>
    <w:rsid w:val="00762DEB"/>
    <w:rsid w:val="00762E2A"/>
    <w:rsid w:val="00762E33"/>
    <w:rsid w:val="00762E37"/>
    <w:rsid w:val="00762EEE"/>
    <w:rsid w:val="00762F01"/>
    <w:rsid w:val="00762F0C"/>
    <w:rsid w:val="00762FB8"/>
    <w:rsid w:val="00763040"/>
    <w:rsid w:val="00763069"/>
    <w:rsid w:val="00763236"/>
    <w:rsid w:val="0076324A"/>
    <w:rsid w:val="00763292"/>
    <w:rsid w:val="00763380"/>
    <w:rsid w:val="007633BC"/>
    <w:rsid w:val="0076340E"/>
    <w:rsid w:val="007635A1"/>
    <w:rsid w:val="007635D4"/>
    <w:rsid w:val="0076368C"/>
    <w:rsid w:val="0076371A"/>
    <w:rsid w:val="00763778"/>
    <w:rsid w:val="007637A2"/>
    <w:rsid w:val="0076385B"/>
    <w:rsid w:val="007638B0"/>
    <w:rsid w:val="007638BF"/>
    <w:rsid w:val="007638D5"/>
    <w:rsid w:val="007638DD"/>
    <w:rsid w:val="00763901"/>
    <w:rsid w:val="00763961"/>
    <w:rsid w:val="00763A17"/>
    <w:rsid w:val="00763A47"/>
    <w:rsid w:val="00763AB5"/>
    <w:rsid w:val="00763ABE"/>
    <w:rsid w:val="00763B31"/>
    <w:rsid w:val="00763B5D"/>
    <w:rsid w:val="00763B81"/>
    <w:rsid w:val="00763B85"/>
    <w:rsid w:val="00763BD5"/>
    <w:rsid w:val="00763BEB"/>
    <w:rsid w:val="00763C10"/>
    <w:rsid w:val="00763CA5"/>
    <w:rsid w:val="00763D15"/>
    <w:rsid w:val="00763D62"/>
    <w:rsid w:val="00763DAA"/>
    <w:rsid w:val="00763E6F"/>
    <w:rsid w:val="00763E8A"/>
    <w:rsid w:val="00763EBA"/>
    <w:rsid w:val="00763ED4"/>
    <w:rsid w:val="00763EF8"/>
    <w:rsid w:val="00763EFB"/>
    <w:rsid w:val="00764038"/>
    <w:rsid w:val="00764043"/>
    <w:rsid w:val="007640CF"/>
    <w:rsid w:val="00764126"/>
    <w:rsid w:val="00764133"/>
    <w:rsid w:val="00764177"/>
    <w:rsid w:val="0076418B"/>
    <w:rsid w:val="007641C5"/>
    <w:rsid w:val="00764241"/>
    <w:rsid w:val="00764288"/>
    <w:rsid w:val="007642D5"/>
    <w:rsid w:val="007642E9"/>
    <w:rsid w:val="007642FE"/>
    <w:rsid w:val="007642FF"/>
    <w:rsid w:val="0076444D"/>
    <w:rsid w:val="00764591"/>
    <w:rsid w:val="007645D2"/>
    <w:rsid w:val="00764639"/>
    <w:rsid w:val="007646D6"/>
    <w:rsid w:val="00764705"/>
    <w:rsid w:val="0076475F"/>
    <w:rsid w:val="00764767"/>
    <w:rsid w:val="0076476F"/>
    <w:rsid w:val="007647C0"/>
    <w:rsid w:val="00764858"/>
    <w:rsid w:val="007648FB"/>
    <w:rsid w:val="00764996"/>
    <w:rsid w:val="007649AA"/>
    <w:rsid w:val="00764A21"/>
    <w:rsid w:val="00764A4D"/>
    <w:rsid w:val="00764B66"/>
    <w:rsid w:val="00764B67"/>
    <w:rsid w:val="00764BB7"/>
    <w:rsid w:val="00764BBA"/>
    <w:rsid w:val="00764C3E"/>
    <w:rsid w:val="00764C48"/>
    <w:rsid w:val="00764C6C"/>
    <w:rsid w:val="00764CA0"/>
    <w:rsid w:val="00764CA8"/>
    <w:rsid w:val="00764CCA"/>
    <w:rsid w:val="00764CD6"/>
    <w:rsid w:val="00764D92"/>
    <w:rsid w:val="00764DAD"/>
    <w:rsid w:val="00764DCF"/>
    <w:rsid w:val="00764E53"/>
    <w:rsid w:val="00764EFE"/>
    <w:rsid w:val="00764F39"/>
    <w:rsid w:val="00764FE0"/>
    <w:rsid w:val="00765023"/>
    <w:rsid w:val="00765067"/>
    <w:rsid w:val="007650A1"/>
    <w:rsid w:val="00765104"/>
    <w:rsid w:val="00765142"/>
    <w:rsid w:val="00765240"/>
    <w:rsid w:val="0076526C"/>
    <w:rsid w:val="00765273"/>
    <w:rsid w:val="007652AA"/>
    <w:rsid w:val="007652B0"/>
    <w:rsid w:val="00765306"/>
    <w:rsid w:val="00765315"/>
    <w:rsid w:val="00765336"/>
    <w:rsid w:val="007653C1"/>
    <w:rsid w:val="00765412"/>
    <w:rsid w:val="0076546C"/>
    <w:rsid w:val="00765478"/>
    <w:rsid w:val="007654C7"/>
    <w:rsid w:val="007654CA"/>
    <w:rsid w:val="00765534"/>
    <w:rsid w:val="0076557F"/>
    <w:rsid w:val="00765616"/>
    <w:rsid w:val="0076562D"/>
    <w:rsid w:val="00765642"/>
    <w:rsid w:val="00765647"/>
    <w:rsid w:val="00765692"/>
    <w:rsid w:val="007656AC"/>
    <w:rsid w:val="007656DE"/>
    <w:rsid w:val="00765726"/>
    <w:rsid w:val="00765748"/>
    <w:rsid w:val="00765775"/>
    <w:rsid w:val="00765837"/>
    <w:rsid w:val="00765872"/>
    <w:rsid w:val="007658CA"/>
    <w:rsid w:val="00765928"/>
    <w:rsid w:val="00765934"/>
    <w:rsid w:val="00765943"/>
    <w:rsid w:val="0076596E"/>
    <w:rsid w:val="007659C9"/>
    <w:rsid w:val="00765A0E"/>
    <w:rsid w:val="00765A33"/>
    <w:rsid w:val="00765A8F"/>
    <w:rsid w:val="00765A93"/>
    <w:rsid w:val="00765AEB"/>
    <w:rsid w:val="00765B6D"/>
    <w:rsid w:val="00765B91"/>
    <w:rsid w:val="00765C00"/>
    <w:rsid w:val="00765C04"/>
    <w:rsid w:val="00765C0F"/>
    <w:rsid w:val="00765C54"/>
    <w:rsid w:val="00765C55"/>
    <w:rsid w:val="00765C73"/>
    <w:rsid w:val="00765C74"/>
    <w:rsid w:val="00765CA0"/>
    <w:rsid w:val="00765CFC"/>
    <w:rsid w:val="00765D22"/>
    <w:rsid w:val="00765D91"/>
    <w:rsid w:val="00765DA6"/>
    <w:rsid w:val="00765DAF"/>
    <w:rsid w:val="00765E12"/>
    <w:rsid w:val="00765E34"/>
    <w:rsid w:val="00765E65"/>
    <w:rsid w:val="00765EC2"/>
    <w:rsid w:val="00765F8A"/>
    <w:rsid w:val="00765FAD"/>
    <w:rsid w:val="0076611D"/>
    <w:rsid w:val="00766160"/>
    <w:rsid w:val="0076619F"/>
    <w:rsid w:val="007661B4"/>
    <w:rsid w:val="00766240"/>
    <w:rsid w:val="00766243"/>
    <w:rsid w:val="00766248"/>
    <w:rsid w:val="00766255"/>
    <w:rsid w:val="0076628B"/>
    <w:rsid w:val="00766397"/>
    <w:rsid w:val="007663E6"/>
    <w:rsid w:val="007663FD"/>
    <w:rsid w:val="0076644D"/>
    <w:rsid w:val="007664A6"/>
    <w:rsid w:val="007664C7"/>
    <w:rsid w:val="007664E1"/>
    <w:rsid w:val="00766510"/>
    <w:rsid w:val="00766518"/>
    <w:rsid w:val="00766582"/>
    <w:rsid w:val="007665A5"/>
    <w:rsid w:val="0076660F"/>
    <w:rsid w:val="00766615"/>
    <w:rsid w:val="00766641"/>
    <w:rsid w:val="0076668E"/>
    <w:rsid w:val="007666A7"/>
    <w:rsid w:val="00766748"/>
    <w:rsid w:val="007667AC"/>
    <w:rsid w:val="007667D2"/>
    <w:rsid w:val="00766806"/>
    <w:rsid w:val="00766882"/>
    <w:rsid w:val="007668FF"/>
    <w:rsid w:val="00766923"/>
    <w:rsid w:val="00766955"/>
    <w:rsid w:val="0076697D"/>
    <w:rsid w:val="007669AA"/>
    <w:rsid w:val="007669E1"/>
    <w:rsid w:val="007669E3"/>
    <w:rsid w:val="007669F1"/>
    <w:rsid w:val="007669F6"/>
    <w:rsid w:val="00766A1C"/>
    <w:rsid w:val="00766A2D"/>
    <w:rsid w:val="00766A3A"/>
    <w:rsid w:val="00766AD0"/>
    <w:rsid w:val="00766B75"/>
    <w:rsid w:val="00766B77"/>
    <w:rsid w:val="00766C13"/>
    <w:rsid w:val="00766CAD"/>
    <w:rsid w:val="00766CC8"/>
    <w:rsid w:val="00766D83"/>
    <w:rsid w:val="00766D8E"/>
    <w:rsid w:val="00766DA8"/>
    <w:rsid w:val="00766DEF"/>
    <w:rsid w:val="00766F38"/>
    <w:rsid w:val="00766F8F"/>
    <w:rsid w:val="0076704E"/>
    <w:rsid w:val="007670E0"/>
    <w:rsid w:val="0076714C"/>
    <w:rsid w:val="00767161"/>
    <w:rsid w:val="00767182"/>
    <w:rsid w:val="007671A1"/>
    <w:rsid w:val="007671CB"/>
    <w:rsid w:val="0076723B"/>
    <w:rsid w:val="0076727F"/>
    <w:rsid w:val="00767292"/>
    <w:rsid w:val="0076733E"/>
    <w:rsid w:val="007673CF"/>
    <w:rsid w:val="007673DD"/>
    <w:rsid w:val="00767461"/>
    <w:rsid w:val="0076746A"/>
    <w:rsid w:val="007674C7"/>
    <w:rsid w:val="00767519"/>
    <w:rsid w:val="00767562"/>
    <w:rsid w:val="007675D0"/>
    <w:rsid w:val="007675D6"/>
    <w:rsid w:val="00767641"/>
    <w:rsid w:val="00767642"/>
    <w:rsid w:val="00767676"/>
    <w:rsid w:val="00767725"/>
    <w:rsid w:val="00767736"/>
    <w:rsid w:val="0076773A"/>
    <w:rsid w:val="00767793"/>
    <w:rsid w:val="0076780F"/>
    <w:rsid w:val="0076781A"/>
    <w:rsid w:val="00767861"/>
    <w:rsid w:val="0076789F"/>
    <w:rsid w:val="007678A8"/>
    <w:rsid w:val="007678C1"/>
    <w:rsid w:val="007678EC"/>
    <w:rsid w:val="0076792A"/>
    <w:rsid w:val="00767945"/>
    <w:rsid w:val="00767961"/>
    <w:rsid w:val="0076798E"/>
    <w:rsid w:val="007679A0"/>
    <w:rsid w:val="00767A06"/>
    <w:rsid w:val="00767A0B"/>
    <w:rsid w:val="00767A1C"/>
    <w:rsid w:val="00767A2F"/>
    <w:rsid w:val="00767A33"/>
    <w:rsid w:val="00767A4E"/>
    <w:rsid w:val="00767A7F"/>
    <w:rsid w:val="00767A8E"/>
    <w:rsid w:val="00767B21"/>
    <w:rsid w:val="00767BD0"/>
    <w:rsid w:val="00767BE8"/>
    <w:rsid w:val="00767BF8"/>
    <w:rsid w:val="00767C09"/>
    <w:rsid w:val="00767CA1"/>
    <w:rsid w:val="00767CDB"/>
    <w:rsid w:val="00767CEA"/>
    <w:rsid w:val="00767E2B"/>
    <w:rsid w:val="00767F26"/>
    <w:rsid w:val="00767FE1"/>
    <w:rsid w:val="00770013"/>
    <w:rsid w:val="00770016"/>
    <w:rsid w:val="00770096"/>
    <w:rsid w:val="007700C8"/>
    <w:rsid w:val="007700DB"/>
    <w:rsid w:val="00770103"/>
    <w:rsid w:val="00770169"/>
    <w:rsid w:val="0077021F"/>
    <w:rsid w:val="00770244"/>
    <w:rsid w:val="00770253"/>
    <w:rsid w:val="0077025C"/>
    <w:rsid w:val="0077027A"/>
    <w:rsid w:val="007702DF"/>
    <w:rsid w:val="00770324"/>
    <w:rsid w:val="007703A2"/>
    <w:rsid w:val="0077051C"/>
    <w:rsid w:val="0077056A"/>
    <w:rsid w:val="007705BF"/>
    <w:rsid w:val="007706D0"/>
    <w:rsid w:val="00770778"/>
    <w:rsid w:val="0077086F"/>
    <w:rsid w:val="00770876"/>
    <w:rsid w:val="0077089D"/>
    <w:rsid w:val="00770912"/>
    <w:rsid w:val="0077091C"/>
    <w:rsid w:val="00770926"/>
    <w:rsid w:val="00770928"/>
    <w:rsid w:val="00770985"/>
    <w:rsid w:val="007709CA"/>
    <w:rsid w:val="00770A14"/>
    <w:rsid w:val="00770A87"/>
    <w:rsid w:val="00770B1C"/>
    <w:rsid w:val="00770B3D"/>
    <w:rsid w:val="00770B7D"/>
    <w:rsid w:val="00770B86"/>
    <w:rsid w:val="00770B92"/>
    <w:rsid w:val="00770BFD"/>
    <w:rsid w:val="00770C04"/>
    <w:rsid w:val="00770C4C"/>
    <w:rsid w:val="00770D25"/>
    <w:rsid w:val="00770D3F"/>
    <w:rsid w:val="00770D8E"/>
    <w:rsid w:val="00770E35"/>
    <w:rsid w:val="00770E38"/>
    <w:rsid w:val="00770EE0"/>
    <w:rsid w:val="00770F12"/>
    <w:rsid w:val="00770F2B"/>
    <w:rsid w:val="00770FA5"/>
    <w:rsid w:val="00770FD1"/>
    <w:rsid w:val="00770FEF"/>
    <w:rsid w:val="0077101F"/>
    <w:rsid w:val="00771066"/>
    <w:rsid w:val="00771079"/>
    <w:rsid w:val="007710D2"/>
    <w:rsid w:val="0077116A"/>
    <w:rsid w:val="007711D6"/>
    <w:rsid w:val="00771219"/>
    <w:rsid w:val="0077123F"/>
    <w:rsid w:val="0077124A"/>
    <w:rsid w:val="007712A1"/>
    <w:rsid w:val="007712A6"/>
    <w:rsid w:val="007712C7"/>
    <w:rsid w:val="00771328"/>
    <w:rsid w:val="00771349"/>
    <w:rsid w:val="0077136E"/>
    <w:rsid w:val="007713A9"/>
    <w:rsid w:val="007713BF"/>
    <w:rsid w:val="0077140A"/>
    <w:rsid w:val="0077141E"/>
    <w:rsid w:val="0077149B"/>
    <w:rsid w:val="007714AC"/>
    <w:rsid w:val="007714C1"/>
    <w:rsid w:val="007714CD"/>
    <w:rsid w:val="00771570"/>
    <w:rsid w:val="00771618"/>
    <w:rsid w:val="007716C9"/>
    <w:rsid w:val="007716F1"/>
    <w:rsid w:val="00771750"/>
    <w:rsid w:val="00771767"/>
    <w:rsid w:val="00771805"/>
    <w:rsid w:val="0077189A"/>
    <w:rsid w:val="007718F3"/>
    <w:rsid w:val="00771922"/>
    <w:rsid w:val="00771A23"/>
    <w:rsid w:val="00771A25"/>
    <w:rsid w:val="00771B3D"/>
    <w:rsid w:val="00771B41"/>
    <w:rsid w:val="00771BDE"/>
    <w:rsid w:val="00771C55"/>
    <w:rsid w:val="00771CB5"/>
    <w:rsid w:val="00771CDC"/>
    <w:rsid w:val="00771D5B"/>
    <w:rsid w:val="00771D75"/>
    <w:rsid w:val="00771E3D"/>
    <w:rsid w:val="00771E8C"/>
    <w:rsid w:val="00771EC6"/>
    <w:rsid w:val="00771EC9"/>
    <w:rsid w:val="00771EDF"/>
    <w:rsid w:val="00771F95"/>
    <w:rsid w:val="00772018"/>
    <w:rsid w:val="00772028"/>
    <w:rsid w:val="0077202A"/>
    <w:rsid w:val="0077203C"/>
    <w:rsid w:val="0077207D"/>
    <w:rsid w:val="00772110"/>
    <w:rsid w:val="00772190"/>
    <w:rsid w:val="007721C1"/>
    <w:rsid w:val="007721FB"/>
    <w:rsid w:val="0077221B"/>
    <w:rsid w:val="00772245"/>
    <w:rsid w:val="00772246"/>
    <w:rsid w:val="007722FB"/>
    <w:rsid w:val="00772322"/>
    <w:rsid w:val="0077233E"/>
    <w:rsid w:val="00772345"/>
    <w:rsid w:val="00772357"/>
    <w:rsid w:val="00772358"/>
    <w:rsid w:val="007723D2"/>
    <w:rsid w:val="00772424"/>
    <w:rsid w:val="007724D6"/>
    <w:rsid w:val="00772527"/>
    <w:rsid w:val="00772546"/>
    <w:rsid w:val="0077255E"/>
    <w:rsid w:val="0077257C"/>
    <w:rsid w:val="007725C4"/>
    <w:rsid w:val="007725C8"/>
    <w:rsid w:val="00772616"/>
    <w:rsid w:val="0077262E"/>
    <w:rsid w:val="0077266D"/>
    <w:rsid w:val="007726CF"/>
    <w:rsid w:val="0077273D"/>
    <w:rsid w:val="0077284A"/>
    <w:rsid w:val="00772856"/>
    <w:rsid w:val="00772975"/>
    <w:rsid w:val="00772AD5"/>
    <w:rsid w:val="00772AE3"/>
    <w:rsid w:val="00772B55"/>
    <w:rsid w:val="00772BF3"/>
    <w:rsid w:val="00772C2E"/>
    <w:rsid w:val="00772C6F"/>
    <w:rsid w:val="00772C7A"/>
    <w:rsid w:val="00772C86"/>
    <w:rsid w:val="00772CBE"/>
    <w:rsid w:val="00772D17"/>
    <w:rsid w:val="00772D31"/>
    <w:rsid w:val="00772D72"/>
    <w:rsid w:val="00772DB2"/>
    <w:rsid w:val="00772DD6"/>
    <w:rsid w:val="00772DD8"/>
    <w:rsid w:val="00772DE2"/>
    <w:rsid w:val="00772E33"/>
    <w:rsid w:val="00772E50"/>
    <w:rsid w:val="00772F32"/>
    <w:rsid w:val="00772F4F"/>
    <w:rsid w:val="00772F7A"/>
    <w:rsid w:val="00772F92"/>
    <w:rsid w:val="00772FF0"/>
    <w:rsid w:val="00773124"/>
    <w:rsid w:val="00773190"/>
    <w:rsid w:val="007731B4"/>
    <w:rsid w:val="007731DF"/>
    <w:rsid w:val="0077322A"/>
    <w:rsid w:val="0077325D"/>
    <w:rsid w:val="00773288"/>
    <w:rsid w:val="007732AE"/>
    <w:rsid w:val="007732C4"/>
    <w:rsid w:val="0077336A"/>
    <w:rsid w:val="007733C7"/>
    <w:rsid w:val="007733D6"/>
    <w:rsid w:val="00773456"/>
    <w:rsid w:val="007734C7"/>
    <w:rsid w:val="007734C9"/>
    <w:rsid w:val="007734E0"/>
    <w:rsid w:val="00773527"/>
    <w:rsid w:val="0077352A"/>
    <w:rsid w:val="0077352C"/>
    <w:rsid w:val="007735D9"/>
    <w:rsid w:val="007736B0"/>
    <w:rsid w:val="0077374C"/>
    <w:rsid w:val="0077377F"/>
    <w:rsid w:val="0077378F"/>
    <w:rsid w:val="0077388F"/>
    <w:rsid w:val="0077396D"/>
    <w:rsid w:val="00773B60"/>
    <w:rsid w:val="00773BC3"/>
    <w:rsid w:val="00773CBB"/>
    <w:rsid w:val="00773D1E"/>
    <w:rsid w:val="00773D4F"/>
    <w:rsid w:val="00773D72"/>
    <w:rsid w:val="00773DD8"/>
    <w:rsid w:val="00773E38"/>
    <w:rsid w:val="00773E8F"/>
    <w:rsid w:val="00773EFC"/>
    <w:rsid w:val="00773F23"/>
    <w:rsid w:val="00773F4B"/>
    <w:rsid w:val="00773F84"/>
    <w:rsid w:val="00773F8C"/>
    <w:rsid w:val="00773FA9"/>
    <w:rsid w:val="00774015"/>
    <w:rsid w:val="00774022"/>
    <w:rsid w:val="0077407D"/>
    <w:rsid w:val="00774098"/>
    <w:rsid w:val="0077409E"/>
    <w:rsid w:val="007740C7"/>
    <w:rsid w:val="0077415C"/>
    <w:rsid w:val="0077431C"/>
    <w:rsid w:val="0077437B"/>
    <w:rsid w:val="007743B4"/>
    <w:rsid w:val="007743E5"/>
    <w:rsid w:val="00774400"/>
    <w:rsid w:val="00774486"/>
    <w:rsid w:val="007744F0"/>
    <w:rsid w:val="00774596"/>
    <w:rsid w:val="007745C1"/>
    <w:rsid w:val="00774725"/>
    <w:rsid w:val="00774729"/>
    <w:rsid w:val="007747F6"/>
    <w:rsid w:val="00774882"/>
    <w:rsid w:val="007748C4"/>
    <w:rsid w:val="007748CB"/>
    <w:rsid w:val="007748E9"/>
    <w:rsid w:val="00774904"/>
    <w:rsid w:val="00774953"/>
    <w:rsid w:val="00774992"/>
    <w:rsid w:val="00774A41"/>
    <w:rsid w:val="00774A7F"/>
    <w:rsid w:val="00774A89"/>
    <w:rsid w:val="00774A96"/>
    <w:rsid w:val="00774AB0"/>
    <w:rsid w:val="00774AB6"/>
    <w:rsid w:val="00774AC5"/>
    <w:rsid w:val="00774AD0"/>
    <w:rsid w:val="00774B58"/>
    <w:rsid w:val="00774C41"/>
    <w:rsid w:val="00774C42"/>
    <w:rsid w:val="00774C51"/>
    <w:rsid w:val="00774CB8"/>
    <w:rsid w:val="00774DAC"/>
    <w:rsid w:val="00774DAE"/>
    <w:rsid w:val="00774DCE"/>
    <w:rsid w:val="00774DF2"/>
    <w:rsid w:val="00774E77"/>
    <w:rsid w:val="00774F0B"/>
    <w:rsid w:val="00774F52"/>
    <w:rsid w:val="00774F68"/>
    <w:rsid w:val="00774FAF"/>
    <w:rsid w:val="00774FD7"/>
    <w:rsid w:val="00775005"/>
    <w:rsid w:val="0077509F"/>
    <w:rsid w:val="00775112"/>
    <w:rsid w:val="00775144"/>
    <w:rsid w:val="007751A4"/>
    <w:rsid w:val="0077526F"/>
    <w:rsid w:val="0077527B"/>
    <w:rsid w:val="0077530A"/>
    <w:rsid w:val="0077530B"/>
    <w:rsid w:val="00775341"/>
    <w:rsid w:val="0077535C"/>
    <w:rsid w:val="007753CC"/>
    <w:rsid w:val="007754C9"/>
    <w:rsid w:val="00775529"/>
    <w:rsid w:val="0077555A"/>
    <w:rsid w:val="0077558C"/>
    <w:rsid w:val="007755A9"/>
    <w:rsid w:val="007755B1"/>
    <w:rsid w:val="007755D8"/>
    <w:rsid w:val="00775603"/>
    <w:rsid w:val="00775692"/>
    <w:rsid w:val="007756C9"/>
    <w:rsid w:val="007756CA"/>
    <w:rsid w:val="00775718"/>
    <w:rsid w:val="0077573E"/>
    <w:rsid w:val="00775744"/>
    <w:rsid w:val="00775763"/>
    <w:rsid w:val="0077576F"/>
    <w:rsid w:val="00775791"/>
    <w:rsid w:val="00775797"/>
    <w:rsid w:val="007757C1"/>
    <w:rsid w:val="007757CF"/>
    <w:rsid w:val="00775816"/>
    <w:rsid w:val="007758DB"/>
    <w:rsid w:val="00775901"/>
    <w:rsid w:val="0077591E"/>
    <w:rsid w:val="00775960"/>
    <w:rsid w:val="0077597D"/>
    <w:rsid w:val="00775991"/>
    <w:rsid w:val="007759B3"/>
    <w:rsid w:val="007759B7"/>
    <w:rsid w:val="007759D8"/>
    <w:rsid w:val="00775A5F"/>
    <w:rsid w:val="00775A88"/>
    <w:rsid w:val="00775AB1"/>
    <w:rsid w:val="00775AFE"/>
    <w:rsid w:val="00775B08"/>
    <w:rsid w:val="00775B0D"/>
    <w:rsid w:val="00775B54"/>
    <w:rsid w:val="00775B78"/>
    <w:rsid w:val="00775BA8"/>
    <w:rsid w:val="00775BB3"/>
    <w:rsid w:val="00775BE9"/>
    <w:rsid w:val="00775C4A"/>
    <w:rsid w:val="00775C59"/>
    <w:rsid w:val="00775C7F"/>
    <w:rsid w:val="00775CB3"/>
    <w:rsid w:val="00775CDA"/>
    <w:rsid w:val="00775CE2"/>
    <w:rsid w:val="00775D32"/>
    <w:rsid w:val="00775DCE"/>
    <w:rsid w:val="00775E05"/>
    <w:rsid w:val="00775E0D"/>
    <w:rsid w:val="00775E26"/>
    <w:rsid w:val="00775E5D"/>
    <w:rsid w:val="00775ECB"/>
    <w:rsid w:val="00775EF6"/>
    <w:rsid w:val="00775FA0"/>
    <w:rsid w:val="00775FBA"/>
    <w:rsid w:val="00775FDA"/>
    <w:rsid w:val="00775FE9"/>
    <w:rsid w:val="00776002"/>
    <w:rsid w:val="00776010"/>
    <w:rsid w:val="00776057"/>
    <w:rsid w:val="007760AB"/>
    <w:rsid w:val="007760B8"/>
    <w:rsid w:val="007760BC"/>
    <w:rsid w:val="0077610B"/>
    <w:rsid w:val="0077617B"/>
    <w:rsid w:val="00776195"/>
    <w:rsid w:val="007761F5"/>
    <w:rsid w:val="00776205"/>
    <w:rsid w:val="0077624D"/>
    <w:rsid w:val="00776268"/>
    <w:rsid w:val="0077627C"/>
    <w:rsid w:val="007762A8"/>
    <w:rsid w:val="007762D6"/>
    <w:rsid w:val="007762F2"/>
    <w:rsid w:val="0077633B"/>
    <w:rsid w:val="00776370"/>
    <w:rsid w:val="00776377"/>
    <w:rsid w:val="00776386"/>
    <w:rsid w:val="00776412"/>
    <w:rsid w:val="00776440"/>
    <w:rsid w:val="00776445"/>
    <w:rsid w:val="0077644B"/>
    <w:rsid w:val="00776460"/>
    <w:rsid w:val="0077646B"/>
    <w:rsid w:val="007764BA"/>
    <w:rsid w:val="007764C6"/>
    <w:rsid w:val="00776595"/>
    <w:rsid w:val="00776625"/>
    <w:rsid w:val="007766C1"/>
    <w:rsid w:val="007766EC"/>
    <w:rsid w:val="007766EE"/>
    <w:rsid w:val="0077673D"/>
    <w:rsid w:val="007767B7"/>
    <w:rsid w:val="007767C1"/>
    <w:rsid w:val="00776897"/>
    <w:rsid w:val="007768DC"/>
    <w:rsid w:val="007768F5"/>
    <w:rsid w:val="00776935"/>
    <w:rsid w:val="00776960"/>
    <w:rsid w:val="00776968"/>
    <w:rsid w:val="00776998"/>
    <w:rsid w:val="007769C2"/>
    <w:rsid w:val="007769CF"/>
    <w:rsid w:val="007769F4"/>
    <w:rsid w:val="00776A20"/>
    <w:rsid w:val="00776A92"/>
    <w:rsid w:val="00776AD6"/>
    <w:rsid w:val="00776B6F"/>
    <w:rsid w:val="00776B86"/>
    <w:rsid w:val="00776C01"/>
    <w:rsid w:val="00776C19"/>
    <w:rsid w:val="00776CBE"/>
    <w:rsid w:val="00776CE3"/>
    <w:rsid w:val="00776D7D"/>
    <w:rsid w:val="00776D99"/>
    <w:rsid w:val="00776DEC"/>
    <w:rsid w:val="00776DF0"/>
    <w:rsid w:val="00776E8F"/>
    <w:rsid w:val="00776ED2"/>
    <w:rsid w:val="00776F2A"/>
    <w:rsid w:val="00777040"/>
    <w:rsid w:val="00777092"/>
    <w:rsid w:val="007770BA"/>
    <w:rsid w:val="007770C4"/>
    <w:rsid w:val="007770E4"/>
    <w:rsid w:val="00777180"/>
    <w:rsid w:val="007771C0"/>
    <w:rsid w:val="00777202"/>
    <w:rsid w:val="0077720D"/>
    <w:rsid w:val="00777214"/>
    <w:rsid w:val="007772B6"/>
    <w:rsid w:val="00777440"/>
    <w:rsid w:val="00777480"/>
    <w:rsid w:val="007774A5"/>
    <w:rsid w:val="007774DB"/>
    <w:rsid w:val="00777502"/>
    <w:rsid w:val="0077751A"/>
    <w:rsid w:val="00777533"/>
    <w:rsid w:val="007775B0"/>
    <w:rsid w:val="007775B2"/>
    <w:rsid w:val="007775EF"/>
    <w:rsid w:val="00777638"/>
    <w:rsid w:val="0077765B"/>
    <w:rsid w:val="0077769A"/>
    <w:rsid w:val="007776DB"/>
    <w:rsid w:val="0077771D"/>
    <w:rsid w:val="00777767"/>
    <w:rsid w:val="0077784D"/>
    <w:rsid w:val="00777865"/>
    <w:rsid w:val="007778B5"/>
    <w:rsid w:val="0077794A"/>
    <w:rsid w:val="00777976"/>
    <w:rsid w:val="007779BB"/>
    <w:rsid w:val="00777A40"/>
    <w:rsid w:val="00777A54"/>
    <w:rsid w:val="00777A61"/>
    <w:rsid w:val="00777A62"/>
    <w:rsid w:val="00777A92"/>
    <w:rsid w:val="00777AEA"/>
    <w:rsid w:val="00777B78"/>
    <w:rsid w:val="00777BB4"/>
    <w:rsid w:val="00777BE7"/>
    <w:rsid w:val="00777C5A"/>
    <w:rsid w:val="00777C8E"/>
    <w:rsid w:val="00777CC3"/>
    <w:rsid w:val="00777D57"/>
    <w:rsid w:val="00777DA8"/>
    <w:rsid w:val="00777DAE"/>
    <w:rsid w:val="00777DEE"/>
    <w:rsid w:val="00777E69"/>
    <w:rsid w:val="00777EFB"/>
    <w:rsid w:val="00777F42"/>
    <w:rsid w:val="00777F74"/>
    <w:rsid w:val="00777F83"/>
    <w:rsid w:val="00777F88"/>
    <w:rsid w:val="00777FA9"/>
    <w:rsid w:val="00780027"/>
    <w:rsid w:val="00780041"/>
    <w:rsid w:val="00780059"/>
    <w:rsid w:val="007800A9"/>
    <w:rsid w:val="007800C4"/>
    <w:rsid w:val="007800EF"/>
    <w:rsid w:val="007800F2"/>
    <w:rsid w:val="00780162"/>
    <w:rsid w:val="00780171"/>
    <w:rsid w:val="00780181"/>
    <w:rsid w:val="0078029E"/>
    <w:rsid w:val="007802B0"/>
    <w:rsid w:val="0078032B"/>
    <w:rsid w:val="00780336"/>
    <w:rsid w:val="00780358"/>
    <w:rsid w:val="007803DD"/>
    <w:rsid w:val="00780403"/>
    <w:rsid w:val="0078042D"/>
    <w:rsid w:val="00780445"/>
    <w:rsid w:val="00780454"/>
    <w:rsid w:val="0078047C"/>
    <w:rsid w:val="007804B0"/>
    <w:rsid w:val="0078052F"/>
    <w:rsid w:val="00780538"/>
    <w:rsid w:val="0078058F"/>
    <w:rsid w:val="0078059B"/>
    <w:rsid w:val="007805A4"/>
    <w:rsid w:val="007805A5"/>
    <w:rsid w:val="007805BC"/>
    <w:rsid w:val="00780624"/>
    <w:rsid w:val="00780654"/>
    <w:rsid w:val="00780689"/>
    <w:rsid w:val="007806B9"/>
    <w:rsid w:val="007806C3"/>
    <w:rsid w:val="007806CA"/>
    <w:rsid w:val="007806E4"/>
    <w:rsid w:val="0078086C"/>
    <w:rsid w:val="00780898"/>
    <w:rsid w:val="0078091E"/>
    <w:rsid w:val="00780933"/>
    <w:rsid w:val="007809FC"/>
    <w:rsid w:val="00780A03"/>
    <w:rsid w:val="00780A05"/>
    <w:rsid w:val="00780A0B"/>
    <w:rsid w:val="00780B02"/>
    <w:rsid w:val="00780B5F"/>
    <w:rsid w:val="00780B60"/>
    <w:rsid w:val="00780BAD"/>
    <w:rsid w:val="00780BE1"/>
    <w:rsid w:val="00780C0E"/>
    <w:rsid w:val="00780C1A"/>
    <w:rsid w:val="00780CDA"/>
    <w:rsid w:val="00780D29"/>
    <w:rsid w:val="00780DD8"/>
    <w:rsid w:val="00780E45"/>
    <w:rsid w:val="00780E54"/>
    <w:rsid w:val="00780E6D"/>
    <w:rsid w:val="00780E6E"/>
    <w:rsid w:val="00780F4D"/>
    <w:rsid w:val="00780F55"/>
    <w:rsid w:val="00780F83"/>
    <w:rsid w:val="00780FA6"/>
    <w:rsid w:val="00780FEA"/>
    <w:rsid w:val="00781020"/>
    <w:rsid w:val="0078104C"/>
    <w:rsid w:val="00781061"/>
    <w:rsid w:val="00781091"/>
    <w:rsid w:val="00781098"/>
    <w:rsid w:val="007810B5"/>
    <w:rsid w:val="007810DE"/>
    <w:rsid w:val="00781148"/>
    <w:rsid w:val="0078118B"/>
    <w:rsid w:val="007811E3"/>
    <w:rsid w:val="00781219"/>
    <w:rsid w:val="0078121F"/>
    <w:rsid w:val="00781268"/>
    <w:rsid w:val="00781295"/>
    <w:rsid w:val="007812B8"/>
    <w:rsid w:val="007812DF"/>
    <w:rsid w:val="007813B4"/>
    <w:rsid w:val="0078144C"/>
    <w:rsid w:val="007814B8"/>
    <w:rsid w:val="00781501"/>
    <w:rsid w:val="00781515"/>
    <w:rsid w:val="0078164A"/>
    <w:rsid w:val="0078164B"/>
    <w:rsid w:val="00781666"/>
    <w:rsid w:val="007816F1"/>
    <w:rsid w:val="00781719"/>
    <w:rsid w:val="00781723"/>
    <w:rsid w:val="0078177B"/>
    <w:rsid w:val="0078177F"/>
    <w:rsid w:val="00781791"/>
    <w:rsid w:val="007817AC"/>
    <w:rsid w:val="007817D9"/>
    <w:rsid w:val="007817E2"/>
    <w:rsid w:val="007817F1"/>
    <w:rsid w:val="00781823"/>
    <w:rsid w:val="007819EC"/>
    <w:rsid w:val="007819FD"/>
    <w:rsid w:val="00781A2B"/>
    <w:rsid w:val="00781A67"/>
    <w:rsid w:val="00781A6F"/>
    <w:rsid w:val="00781A95"/>
    <w:rsid w:val="00781A98"/>
    <w:rsid w:val="00781AC9"/>
    <w:rsid w:val="00781AE6"/>
    <w:rsid w:val="00781AEE"/>
    <w:rsid w:val="00781AF6"/>
    <w:rsid w:val="00781B26"/>
    <w:rsid w:val="00781B27"/>
    <w:rsid w:val="00781B33"/>
    <w:rsid w:val="00781B5D"/>
    <w:rsid w:val="00781BDB"/>
    <w:rsid w:val="00781BFC"/>
    <w:rsid w:val="00781C40"/>
    <w:rsid w:val="00781CC7"/>
    <w:rsid w:val="00781CEE"/>
    <w:rsid w:val="00781D1B"/>
    <w:rsid w:val="00781E1F"/>
    <w:rsid w:val="00781E46"/>
    <w:rsid w:val="00781E92"/>
    <w:rsid w:val="00781EA1"/>
    <w:rsid w:val="00781F37"/>
    <w:rsid w:val="00781F82"/>
    <w:rsid w:val="00781F9A"/>
    <w:rsid w:val="00781FF7"/>
    <w:rsid w:val="0078208F"/>
    <w:rsid w:val="00782123"/>
    <w:rsid w:val="0078212C"/>
    <w:rsid w:val="0078216F"/>
    <w:rsid w:val="00782198"/>
    <w:rsid w:val="007821CB"/>
    <w:rsid w:val="00782211"/>
    <w:rsid w:val="00782221"/>
    <w:rsid w:val="0078225B"/>
    <w:rsid w:val="007823AE"/>
    <w:rsid w:val="007823B7"/>
    <w:rsid w:val="007823BB"/>
    <w:rsid w:val="00782415"/>
    <w:rsid w:val="00782446"/>
    <w:rsid w:val="00782460"/>
    <w:rsid w:val="0078248E"/>
    <w:rsid w:val="00782498"/>
    <w:rsid w:val="007824A9"/>
    <w:rsid w:val="007824C3"/>
    <w:rsid w:val="007824ED"/>
    <w:rsid w:val="00782522"/>
    <w:rsid w:val="0078253A"/>
    <w:rsid w:val="00782559"/>
    <w:rsid w:val="00782562"/>
    <w:rsid w:val="007825A1"/>
    <w:rsid w:val="007825B4"/>
    <w:rsid w:val="0078261A"/>
    <w:rsid w:val="007826DF"/>
    <w:rsid w:val="007826E8"/>
    <w:rsid w:val="007827B7"/>
    <w:rsid w:val="007827C8"/>
    <w:rsid w:val="0078286B"/>
    <w:rsid w:val="0078289A"/>
    <w:rsid w:val="0078289F"/>
    <w:rsid w:val="0078291D"/>
    <w:rsid w:val="00782942"/>
    <w:rsid w:val="0078294E"/>
    <w:rsid w:val="00782951"/>
    <w:rsid w:val="007829C8"/>
    <w:rsid w:val="007829EB"/>
    <w:rsid w:val="00782A23"/>
    <w:rsid w:val="00782A9A"/>
    <w:rsid w:val="00782AED"/>
    <w:rsid w:val="00782B37"/>
    <w:rsid w:val="00782B5A"/>
    <w:rsid w:val="00782BDF"/>
    <w:rsid w:val="00782BE0"/>
    <w:rsid w:val="00782C0A"/>
    <w:rsid w:val="00782C45"/>
    <w:rsid w:val="00782D49"/>
    <w:rsid w:val="00782D50"/>
    <w:rsid w:val="00782DDD"/>
    <w:rsid w:val="00782E3A"/>
    <w:rsid w:val="00782EBD"/>
    <w:rsid w:val="00782F28"/>
    <w:rsid w:val="00782F62"/>
    <w:rsid w:val="00782F69"/>
    <w:rsid w:val="00782FEA"/>
    <w:rsid w:val="00782FF2"/>
    <w:rsid w:val="00783064"/>
    <w:rsid w:val="0078309F"/>
    <w:rsid w:val="007830D3"/>
    <w:rsid w:val="0078313D"/>
    <w:rsid w:val="0078314C"/>
    <w:rsid w:val="0078318E"/>
    <w:rsid w:val="007831DF"/>
    <w:rsid w:val="00783295"/>
    <w:rsid w:val="007832BF"/>
    <w:rsid w:val="007832D2"/>
    <w:rsid w:val="007832EE"/>
    <w:rsid w:val="00783376"/>
    <w:rsid w:val="007833BB"/>
    <w:rsid w:val="007833F4"/>
    <w:rsid w:val="0078341D"/>
    <w:rsid w:val="00783469"/>
    <w:rsid w:val="0078348B"/>
    <w:rsid w:val="0078349A"/>
    <w:rsid w:val="007834DF"/>
    <w:rsid w:val="007834E4"/>
    <w:rsid w:val="00783545"/>
    <w:rsid w:val="00783550"/>
    <w:rsid w:val="007835B3"/>
    <w:rsid w:val="00783610"/>
    <w:rsid w:val="0078363E"/>
    <w:rsid w:val="0078364D"/>
    <w:rsid w:val="00783667"/>
    <w:rsid w:val="00783692"/>
    <w:rsid w:val="007837D9"/>
    <w:rsid w:val="007838A2"/>
    <w:rsid w:val="0078391F"/>
    <w:rsid w:val="007839BD"/>
    <w:rsid w:val="00783A9A"/>
    <w:rsid w:val="00783AD7"/>
    <w:rsid w:val="00783AEB"/>
    <w:rsid w:val="00783B59"/>
    <w:rsid w:val="00783B9A"/>
    <w:rsid w:val="00783BBA"/>
    <w:rsid w:val="00783BC1"/>
    <w:rsid w:val="00783BD3"/>
    <w:rsid w:val="00783C05"/>
    <w:rsid w:val="00783C06"/>
    <w:rsid w:val="00783C09"/>
    <w:rsid w:val="00783C39"/>
    <w:rsid w:val="00783C46"/>
    <w:rsid w:val="00783C72"/>
    <w:rsid w:val="00783CFA"/>
    <w:rsid w:val="00783D38"/>
    <w:rsid w:val="00783D9F"/>
    <w:rsid w:val="00783DC8"/>
    <w:rsid w:val="00783E3C"/>
    <w:rsid w:val="00783E9A"/>
    <w:rsid w:val="00783EB4"/>
    <w:rsid w:val="00783F5F"/>
    <w:rsid w:val="00784076"/>
    <w:rsid w:val="0078408A"/>
    <w:rsid w:val="0078409E"/>
    <w:rsid w:val="00784336"/>
    <w:rsid w:val="00784355"/>
    <w:rsid w:val="0078435A"/>
    <w:rsid w:val="0078435C"/>
    <w:rsid w:val="0078438D"/>
    <w:rsid w:val="007843B8"/>
    <w:rsid w:val="007843DD"/>
    <w:rsid w:val="0078442B"/>
    <w:rsid w:val="0078444F"/>
    <w:rsid w:val="0078447A"/>
    <w:rsid w:val="00784487"/>
    <w:rsid w:val="007844E2"/>
    <w:rsid w:val="007844F4"/>
    <w:rsid w:val="0078450C"/>
    <w:rsid w:val="00784567"/>
    <w:rsid w:val="00784574"/>
    <w:rsid w:val="00784611"/>
    <w:rsid w:val="00784614"/>
    <w:rsid w:val="0078461A"/>
    <w:rsid w:val="00784646"/>
    <w:rsid w:val="00784692"/>
    <w:rsid w:val="007846DA"/>
    <w:rsid w:val="0078474D"/>
    <w:rsid w:val="00784775"/>
    <w:rsid w:val="00784784"/>
    <w:rsid w:val="0078479C"/>
    <w:rsid w:val="007847CC"/>
    <w:rsid w:val="00784808"/>
    <w:rsid w:val="00784817"/>
    <w:rsid w:val="00784829"/>
    <w:rsid w:val="00784860"/>
    <w:rsid w:val="00784879"/>
    <w:rsid w:val="007848C1"/>
    <w:rsid w:val="00784907"/>
    <w:rsid w:val="0078498F"/>
    <w:rsid w:val="007849D4"/>
    <w:rsid w:val="00784A37"/>
    <w:rsid w:val="00784A3A"/>
    <w:rsid w:val="00784BC5"/>
    <w:rsid w:val="00784BCD"/>
    <w:rsid w:val="00784C33"/>
    <w:rsid w:val="00784C4C"/>
    <w:rsid w:val="00784C68"/>
    <w:rsid w:val="00784CA9"/>
    <w:rsid w:val="00784CCE"/>
    <w:rsid w:val="00784CD6"/>
    <w:rsid w:val="00784CE8"/>
    <w:rsid w:val="00784D34"/>
    <w:rsid w:val="00784D95"/>
    <w:rsid w:val="00784E2C"/>
    <w:rsid w:val="00784E61"/>
    <w:rsid w:val="00784E6E"/>
    <w:rsid w:val="00784E80"/>
    <w:rsid w:val="00784EF5"/>
    <w:rsid w:val="00784F16"/>
    <w:rsid w:val="00784F30"/>
    <w:rsid w:val="00784F34"/>
    <w:rsid w:val="00784F53"/>
    <w:rsid w:val="00784FD2"/>
    <w:rsid w:val="00784FF1"/>
    <w:rsid w:val="007850BD"/>
    <w:rsid w:val="00785145"/>
    <w:rsid w:val="00785160"/>
    <w:rsid w:val="007851A5"/>
    <w:rsid w:val="007851AD"/>
    <w:rsid w:val="00785267"/>
    <w:rsid w:val="00785270"/>
    <w:rsid w:val="007852C5"/>
    <w:rsid w:val="00785312"/>
    <w:rsid w:val="0078535F"/>
    <w:rsid w:val="00785404"/>
    <w:rsid w:val="00785412"/>
    <w:rsid w:val="00785478"/>
    <w:rsid w:val="007854A8"/>
    <w:rsid w:val="0078555E"/>
    <w:rsid w:val="00785584"/>
    <w:rsid w:val="0078559F"/>
    <w:rsid w:val="007856F9"/>
    <w:rsid w:val="0078571C"/>
    <w:rsid w:val="0078572B"/>
    <w:rsid w:val="00785735"/>
    <w:rsid w:val="00785743"/>
    <w:rsid w:val="00785750"/>
    <w:rsid w:val="0078575C"/>
    <w:rsid w:val="00785762"/>
    <w:rsid w:val="007857B6"/>
    <w:rsid w:val="007857CE"/>
    <w:rsid w:val="007857F7"/>
    <w:rsid w:val="0078584A"/>
    <w:rsid w:val="007858D4"/>
    <w:rsid w:val="0078594C"/>
    <w:rsid w:val="00785958"/>
    <w:rsid w:val="0078595D"/>
    <w:rsid w:val="007859A4"/>
    <w:rsid w:val="007859D8"/>
    <w:rsid w:val="007859EC"/>
    <w:rsid w:val="00785A09"/>
    <w:rsid w:val="00785AA9"/>
    <w:rsid w:val="00785AC8"/>
    <w:rsid w:val="00785AE7"/>
    <w:rsid w:val="00785B70"/>
    <w:rsid w:val="00785BC9"/>
    <w:rsid w:val="00785C9C"/>
    <w:rsid w:val="00785CE3"/>
    <w:rsid w:val="00785D01"/>
    <w:rsid w:val="00785D30"/>
    <w:rsid w:val="00785D58"/>
    <w:rsid w:val="00785D7D"/>
    <w:rsid w:val="00785E4A"/>
    <w:rsid w:val="00785E6D"/>
    <w:rsid w:val="00785E7F"/>
    <w:rsid w:val="00785E96"/>
    <w:rsid w:val="00785ED1"/>
    <w:rsid w:val="00785F98"/>
    <w:rsid w:val="00785FEF"/>
    <w:rsid w:val="00786042"/>
    <w:rsid w:val="00786066"/>
    <w:rsid w:val="00786087"/>
    <w:rsid w:val="007860E1"/>
    <w:rsid w:val="00786105"/>
    <w:rsid w:val="00786107"/>
    <w:rsid w:val="00786124"/>
    <w:rsid w:val="00786159"/>
    <w:rsid w:val="00786193"/>
    <w:rsid w:val="007861A5"/>
    <w:rsid w:val="0078622E"/>
    <w:rsid w:val="0078623C"/>
    <w:rsid w:val="00786273"/>
    <w:rsid w:val="007862C6"/>
    <w:rsid w:val="007862E3"/>
    <w:rsid w:val="00786314"/>
    <w:rsid w:val="0078636A"/>
    <w:rsid w:val="00786392"/>
    <w:rsid w:val="007863F7"/>
    <w:rsid w:val="0078647C"/>
    <w:rsid w:val="007864FB"/>
    <w:rsid w:val="0078651D"/>
    <w:rsid w:val="00786548"/>
    <w:rsid w:val="007865FC"/>
    <w:rsid w:val="00786623"/>
    <w:rsid w:val="00786628"/>
    <w:rsid w:val="00786678"/>
    <w:rsid w:val="00786696"/>
    <w:rsid w:val="007867FA"/>
    <w:rsid w:val="0078680C"/>
    <w:rsid w:val="007868A6"/>
    <w:rsid w:val="007868BA"/>
    <w:rsid w:val="007868D1"/>
    <w:rsid w:val="00786975"/>
    <w:rsid w:val="007869CC"/>
    <w:rsid w:val="007869D2"/>
    <w:rsid w:val="007869DC"/>
    <w:rsid w:val="00786A1A"/>
    <w:rsid w:val="00786A2B"/>
    <w:rsid w:val="00786A68"/>
    <w:rsid w:val="00786AAD"/>
    <w:rsid w:val="00786AB2"/>
    <w:rsid w:val="00786B0B"/>
    <w:rsid w:val="00786B1E"/>
    <w:rsid w:val="00786B38"/>
    <w:rsid w:val="00786B4E"/>
    <w:rsid w:val="00786B55"/>
    <w:rsid w:val="00786BA8"/>
    <w:rsid w:val="00786BDF"/>
    <w:rsid w:val="00786D62"/>
    <w:rsid w:val="00786DAF"/>
    <w:rsid w:val="00786DC2"/>
    <w:rsid w:val="00786DF1"/>
    <w:rsid w:val="00786E13"/>
    <w:rsid w:val="00786F15"/>
    <w:rsid w:val="00786F2D"/>
    <w:rsid w:val="00786F71"/>
    <w:rsid w:val="0078701E"/>
    <w:rsid w:val="00787045"/>
    <w:rsid w:val="00787052"/>
    <w:rsid w:val="007870D5"/>
    <w:rsid w:val="00787130"/>
    <w:rsid w:val="00787192"/>
    <w:rsid w:val="007871BC"/>
    <w:rsid w:val="007871F9"/>
    <w:rsid w:val="00787200"/>
    <w:rsid w:val="0078724C"/>
    <w:rsid w:val="007872E3"/>
    <w:rsid w:val="0078735D"/>
    <w:rsid w:val="00787373"/>
    <w:rsid w:val="0078738E"/>
    <w:rsid w:val="007873CF"/>
    <w:rsid w:val="00787455"/>
    <w:rsid w:val="0078749C"/>
    <w:rsid w:val="0078752B"/>
    <w:rsid w:val="00787564"/>
    <w:rsid w:val="00787582"/>
    <w:rsid w:val="00787595"/>
    <w:rsid w:val="007875DB"/>
    <w:rsid w:val="007875F9"/>
    <w:rsid w:val="0078761B"/>
    <w:rsid w:val="007876BF"/>
    <w:rsid w:val="00787706"/>
    <w:rsid w:val="00787708"/>
    <w:rsid w:val="0078775C"/>
    <w:rsid w:val="0078779A"/>
    <w:rsid w:val="007877D4"/>
    <w:rsid w:val="00787866"/>
    <w:rsid w:val="0078786D"/>
    <w:rsid w:val="00787876"/>
    <w:rsid w:val="00787883"/>
    <w:rsid w:val="007878A7"/>
    <w:rsid w:val="00787901"/>
    <w:rsid w:val="00787906"/>
    <w:rsid w:val="0078797C"/>
    <w:rsid w:val="007879A2"/>
    <w:rsid w:val="007879AF"/>
    <w:rsid w:val="007879C9"/>
    <w:rsid w:val="007879F7"/>
    <w:rsid w:val="00787A0F"/>
    <w:rsid w:val="00787A14"/>
    <w:rsid w:val="00787A4B"/>
    <w:rsid w:val="00787AA3"/>
    <w:rsid w:val="00787B09"/>
    <w:rsid w:val="00787B30"/>
    <w:rsid w:val="00787B48"/>
    <w:rsid w:val="00787B56"/>
    <w:rsid w:val="00787BDE"/>
    <w:rsid w:val="00787C09"/>
    <w:rsid w:val="00787C22"/>
    <w:rsid w:val="00787C31"/>
    <w:rsid w:val="00787C38"/>
    <w:rsid w:val="00787C7B"/>
    <w:rsid w:val="00787C99"/>
    <w:rsid w:val="00787CDE"/>
    <w:rsid w:val="00787CF2"/>
    <w:rsid w:val="00787D2C"/>
    <w:rsid w:val="00787D57"/>
    <w:rsid w:val="00787D5F"/>
    <w:rsid w:val="00787D7B"/>
    <w:rsid w:val="00787DE7"/>
    <w:rsid w:val="00787E02"/>
    <w:rsid w:val="00787EA0"/>
    <w:rsid w:val="00787EE0"/>
    <w:rsid w:val="00787FA2"/>
    <w:rsid w:val="00787FA7"/>
    <w:rsid w:val="00787FDC"/>
    <w:rsid w:val="0079000C"/>
    <w:rsid w:val="00790015"/>
    <w:rsid w:val="00790043"/>
    <w:rsid w:val="0079007E"/>
    <w:rsid w:val="007900C2"/>
    <w:rsid w:val="007900DA"/>
    <w:rsid w:val="00790101"/>
    <w:rsid w:val="0079010F"/>
    <w:rsid w:val="0079014F"/>
    <w:rsid w:val="007901B5"/>
    <w:rsid w:val="007901E5"/>
    <w:rsid w:val="00790211"/>
    <w:rsid w:val="00790213"/>
    <w:rsid w:val="00790264"/>
    <w:rsid w:val="0079029A"/>
    <w:rsid w:val="007902B6"/>
    <w:rsid w:val="007902DC"/>
    <w:rsid w:val="00790313"/>
    <w:rsid w:val="00790351"/>
    <w:rsid w:val="00790358"/>
    <w:rsid w:val="00790446"/>
    <w:rsid w:val="0079044F"/>
    <w:rsid w:val="007904A8"/>
    <w:rsid w:val="007904CA"/>
    <w:rsid w:val="0079052A"/>
    <w:rsid w:val="00790542"/>
    <w:rsid w:val="00790583"/>
    <w:rsid w:val="007905DA"/>
    <w:rsid w:val="007905E5"/>
    <w:rsid w:val="007906B9"/>
    <w:rsid w:val="007906CE"/>
    <w:rsid w:val="007906D8"/>
    <w:rsid w:val="007906EF"/>
    <w:rsid w:val="00790739"/>
    <w:rsid w:val="0079077A"/>
    <w:rsid w:val="007907A5"/>
    <w:rsid w:val="007907B5"/>
    <w:rsid w:val="007907B6"/>
    <w:rsid w:val="00790858"/>
    <w:rsid w:val="00790881"/>
    <w:rsid w:val="007908C3"/>
    <w:rsid w:val="00790963"/>
    <w:rsid w:val="007909EF"/>
    <w:rsid w:val="00790AC4"/>
    <w:rsid w:val="00790ADE"/>
    <w:rsid w:val="00790AEF"/>
    <w:rsid w:val="00790AF2"/>
    <w:rsid w:val="00790B2A"/>
    <w:rsid w:val="00790B93"/>
    <w:rsid w:val="00790B9C"/>
    <w:rsid w:val="00790C3B"/>
    <w:rsid w:val="00790CC8"/>
    <w:rsid w:val="00790D59"/>
    <w:rsid w:val="00790D64"/>
    <w:rsid w:val="00790D9F"/>
    <w:rsid w:val="00790DCD"/>
    <w:rsid w:val="00790E0E"/>
    <w:rsid w:val="00790E81"/>
    <w:rsid w:val="00790F1B"/>
    <w:rsid w:val="00790F75"/>
    <w:rsid w:val="00790FDE"/>
    <w:rsid w:val="00790FF3"/>
    <w:rsid w:val="00791020"/>
    <w:rsid w:val="0079103C"/>
    <w:rsid w:val="00791069"/>
    <w:rsid w:val="0079107D"/>
    <w:rsid w:val="00791141"/>
    <w:rsid w:val="007912EE"/>
    <w:rsid w:val="007913C2"/>
    <w:rsid w:val="00791402"/>
    <w:rsid w:val="0079149C"/>
    <w:rsid w:val="00791510"/>
    <w:rsid w:val="0079155B"/>
    <w:rsid w:val="0079155F"/>
    <w:rsid w:val="00791564"/>
    <w:rsid w:val="0079159E"/>
    <w:rsid w:val="007915D1"/>
    <w:rsid w:val="007915F5"/>
    <w:rsid w:val="00791607"/>
    <w:rsid w:val="0079162F"/>
    <w:rsid w:val="007916C4"/>
    <w:rsid w:val="007916E2"/>
    <w:rsid w:val="007916FE"/>
    <w:rsid w:val="00791754"/>
    <w:rsid w:val="00791766"/>
    <w:rsid w:val="0079176F"/>
    <w:rsid w:val="0079178E"/>
    <w:rsid w:val="007917A7"/>
    <w:rsid w:val="007917A8"/>
    <w:rsid w:val="007917C6"/>
    <w:rsid w:val="007917D2"/>
    <w:rsid w:val="007917DB"/>
    <w:rsid w:val="0079186D"/>
    <w:rsid w:val="0079189D"/>
    <w:rsid w:val="00791969"/>
    <w:rsid w:val="0079199C"/>
    <w:rsid w:val="007919A2"/>
    <w:rsid w:val="00791A05"/>
    <w:rsid w:val="00791A2B"/>
    <w:rsid w:val="00791A4F"/>
    <w:rsid w:val="00791AAE"/>
    <w:rsid w:val="00791B1C"/>
    <w:rsid w:val="00791B44"/>
    <w:rsid w:val="00791B46"/>
    <w:rsid w:val="00791B72"/>
    <w:rsid w:val="00791B77"/>
    <w:rsid w:val="00791BE9"/>
    <w:rsid w:val="00791BEB"/>
    <w:rsid w:val="00791C37"/>
    <w:rsid w:val="00791CA2"/>
    <w:rsid w:val="00791CA4"/>
    <w:rsid w:val="00791CAD"/>
    <w:rsid w:val="00791CC7"/>
    <w:rsid w:val="00791CF6"/>
    <w:rsid w:val="00791EA3"/>
    <w:rsid w:val="00791F29"/>
    <w:rsid w:val="00791F3F"/>
    <w:rsid w:val="00792091"/>
    <w:rsid w:val="007920E0"/>
    <w:rsid w:val="007920FF"/>
    <w:rsid w:val="0079213B"/>
    <w:rsid w:val="0079214B"/>
    <w:rsid w:val="0079217A"/>
    <w:rsid w:val="0079221B"/>
    <w:rsid w:val="0079225C"/>
    <w:rsid w:val="007922C1"/>
    <w:rsid w:val="007922C8"/>
    <w:rsid w:val="00792316"/>
    <w:rsid w:val="007923CA"/>
    <w:rsid w:val="00792433"/>
    <w:rsid w:val="0079245D"/>
    <w:rsid w:val="0079245F"/>
    <w:rsid w:val="00792496"/>
    <w:rsid w:val="007924AF"/>
    <w:rsid w:val="007924C8"/>
    <w:rsid w:val="007924E5"/>
    <w:rsid w:val="007924F6"/>
    <w:rsid w:val="00792507"/>
    <w:rsid w:val="00792509"/>
    <w:rsid w:val="00792538"/>
    <w:rsid w:val="00792566"/>
    <w:rsid w:val="007925D1"/>
    <w:rsid w:val="007925D3"/>
    <w:rsid w:val="007925E7"/>
    <w:rsid w:val="0079268A"/>
    <w:rsid w:val="00792715"/>
    <w:rsid w:val="00792792"/>
    <w:rsid w:val="007927BF"/>
    <w:rsid w:val="007927CE"/>
    <w:rsid w:val="007927F4"/>
    <w:rsid w:val="0079281D"/>
    <w:rsid w:val="0079284B"/>
    <w:rsid w:val="00792898"/>
    <w:rsid w:val="007928E1"/>
    <w:rsid w:val="00792906"/>
    <w:rsid w:val="00792921"/>
    <w:rsid w:val="00792954"/>
    <w:rsid w:val="00792968"/>
    <w:rsid w:val="00792AC1"/>
    <w:rsid w:val="00792AE4"/>
    <w:rsid w:val="00792AF3"/>
    <w:rsid w:val="00792C2A"/>
    <w:rsid w:val="00792C2E"/>
    <w:rsid w:val="00792C4F"/>
    <w:rsid w:val="00792CCA"/>
    <w:rsid w:val="00792CDF"/>
    <w:rsid w:val="00792D43"/>
    <w:rsid w:val="00792D67"/>
    <w:rsid w:val="00792DFF"/>
    <w:rsid w:val="00792E04"/>
    <w:rsid w:val="00792E3D"/>
    <w:rsid w:val="00792E4A"/>
    <w:rsid w:val="00792E9D"/>
    <w:rsid w:val="00792F16"/>
    <w:rsid w:val="00792F21"/>
    <w:rsid w:val="00793015"/>
    <w:rsid w:val="00793036"/>
    <w:rsid w:val="00793050"/>
    <w:rsid w:val="00793070"/>
    <w:rsid w:val="007930B8"/>
    <w:rsid w:val="007930EE"/>
    <w:rsid w:val="0079311D"/>
    <w:rsid w:val="00793145"/>
    <w:rsid w:val="007931BD"/>
    <w:rsid w:val="007931CF"/>
    <w:rsid w:val="007931EF"/>
    <w:rsid w:val="0079320F"/>
    <w:rsid w:val="007932C9"/>
    <w:rsid w:val="007932FF"/>
    <w:rsid w:val="00793346"/>
    <w:rsid w:val="00793366"/>
    <w:rsid w:val="0079339D"/>
    <w:rsid w:val="0079339F"/>
    <w:rsid w:val="007933B6"/>
    <w:rsid w:val="007933C3"/>
    <w:rsid w:val="007933FF"/>
    <w:rsid w:val="00793430"/>
    <w:rsid w:val="0079343C"/>
    <w:rsid w:val="00793499"/>
    <w:rsid w:val="0079350E"/>
    <w:rsid w:val="0079350F"/>
    <w:rsid w:val="00793535"/>
    <w:rsid w:val="0079362E"/>
    <w:rsid w:val="0079363C"/>
    <w:rsid w:val="00793655"/>
    <w:rsid w:val="007936A4"/>
    <w:rsid w:val="0079375C"/>
    <w:rsid w:val="0079377F"/>
    <w:rsid w:val="007937CA"/>
    <w:rsid w:val="0079382D"/>
    <w:rsid w:val="007938DD"/>
    <w:rsid w:val="0079391B"/>
    <w:rsid w:val="00793949"/>
    <w:rsid w:val="00793960"/>
    <w:rsid w:val="00793966"/>
    <w:rsid w:val="0079396B"/>
    <w:rsid w:val="007939D2"/>
    <w:rsid w:val="007939EF"/>
    <w:rsid w:val="00793A16"/>
    <w:rsid w:val="00793ADD"/>
    <w:rsid w:val="00793AE7"/>
    <w:rsid w:val="00793AE8"/>
    <w:rsid w:val="00793B14"/>
    <w:rsid w:val="00793B17"/>
    <w:rsid w:val="00793B22"/>
    <w:rsid w:val="00793B5C"/>
    <w:rsid w:val="00793B77"/>
    <w:rsid w:val="00793B79"/>
    <w:rsid w:val="00793BB2"/>
    <w:rsid w:val="00793BBB"/>
    <w:rsid w:val="00793C65"/>
    <w:rsid w:val="00793D4E"/>
    <w:rsid w:val="00793D96"/>
    <w:rsid w:val="00793DE7"/>
    <w:rsid w:val="00793E44"/>
    <w:rsid w:val="00793E59"/>
    <w:rsid w:val="00793EBC"/>
    <w:rsid w:val="00793ED7"/>
    <w:rsid w:val="00793EF7"/>
    <w:rsid w:val="00793F03"/>
    <w:rsid w:val="00793F13"/>
    <w:rsid w:val="00793F35"/>
    <w:rsid w:val="00793FC2"/>
    <w:rsid w:val="00793FC5"/>
    <w:rsid w:val="00793FEA"/>
    <w:rsid w:val="00793FF9"/>
    <w:rsid w:val="007940A2"/>
    <w:rsid w:val="007940F2"/>
    <w:rsid w:val="0079415C"/>
    <w:rsid w:val="0079418F"/>
    <w:rsid w:val="00794190"/>
    <w:rsid w:val="0079419F"/>
    <w:rsid w:val="00794247"/>
    <w:rsid w:val="00794280"/>
    <w:rsid w:val="0079428B"/>
    <w:rsid w:val="0079429F"/>
    <w:rsid w:val="007942B7"/>
    <w:rsid w:val="007942D1"/>
    <w:rsid w:val="0079430D"/>
    <w:rsid w:val="0079431A"/>
    <w:rsid w:val="007943AF"/>
    <w:rsid w:val="007943CB"/>
    <w:rsid w:val="007943FB"/>
    <w:rsid w:val="00794466"/>
    <w:rsid w:val="007944D4"/>
    <w:rsid w:val="00794510"/>
    <w:rsid w:val="00794512"/>
    <w:rsid w:val="0079453B"/>
    <w:rsid w:val="0079455E"/>
    <w:rsid w:val="007945A6"/>
    <w:rsid w:val="007945E4"/>
    <w:rsid w:val="00794655"/>
    <w:rsid w:val="00794760"/>
    <w:rsid w:val="0079476B"/>
    <w:rsid w:val="00794797"/>
    <w:rsid w:val="007947DF"/>
    <w:rsid w:val="007948AB"/>
    <w:rsid w:val="007948D2"/>
    <w:rsid w:val="00794917"/>
    <w:rsid w:val="00794985"/>
    <w:rsid w:val="007949D8"/>
    <w:rsid w:val="00794A12"/>
    <w:rsid w:val="00794AAE"/>
    <w:rsid w:val="00794AD1"/>
    <w:rsid w:val="00794B1B"/>
    <w:rsid w:val="00794B20"/>
    <w:rsid w:val="00794B73"/>
    <w:rsid w:val="00794BDD"/>
    <w:rsid w:val="00794BE5"/>
    <w:rsid w:val="00794BEE"/>
    <w:rsid w:val="00794C4A"/>
    <w:rsid w:val="00794C5C"/>
    <w:rsid w:val="00794C74"/>
    <w:rsid w:val="00794CB4"/>
    <w:rsid w:val="00794CE7"/>
    <w:rsid w:val="00794CE9"/>
    <w:rsid w:val="00794D70"/>
    <w:rsid w:val="00794D93"/>
    <w:rsid w:val="00794DE7"/>
    <w:rsid w:val="00794DF5"/>
    <w:rsid w:val="00794E47"/>
    <w:rsid w:val="00794EF2"/>
    <w:rsid w:val="00794F11"/>
    <w:rsid w:val="00794F1F"/>
    <w:rsid w:val="00794F46"/>
    <w:rsid w:val="00794F96"/>
    <w:rsid w:val="00794F9D"/>
    <w:rsid w:val="00794FB4"/>
    <w:rsid w:val="00795009"/>
    <w:rsid w:val="00795010"/>
    <w:rsid w:val="00795025"/>
    <w:rsid w:val="00795111"/>
    <w:rsid w:val="007951CB"/>
    <w:rsid w:val="007951E5"/>
    <w:rsid w:val="007951E7"/>
    <w:rsid w:val="00795207"/>
    <w:rsid w:val="0079529B"/>
    <w:rsid w:val="007952B1"/>
    <w:rsid w:val="007952CF"/>
    <w:rsid w:val="007952D7"/>
    <w:rsid w:val="00795380"/>
    <w:rsid w:val="00795389"/>
    <w:rsid w:val="007953A1"/>
    <w:rsid w:val="007953A2"/>
    <w:rsid w:val="007953B9"/>
    <w:rsid w:val="007953DB"/>
    <w:rsid w:val="0079546D"/>
    <w:rsid w:val="00795511"/>
    <w:rsid w:val="0079551E"/>
    <w:rsid w:val="007955DE"/>
    <w:rsid w:val="007955FA"/>
    <w:rsid w:val="007956D9"/>
    <w:rsid w:val="00795716"/>
    <w:rsid w:val="0079577A"/>
    <w:rsid w:val="00795788"/>
    <w:rsid w:val="007957B8"/>
    <w:rsid w:val="007957C4"/>
    <w:rsid w:val="007957EB"/>
    <w:rsid w:val="00795884"/>
    <w:rsid w:val="0079588E"/>
    <w:rsid w:val="007958CA"/>
    <w:rsid w:val="007958F9"/>
    <w:rsid w:val="007958FA"/>
    <w:rsid w:val="00795947"/>
    <w:rsid w:val="007959C2"/>
    <w:rsid w:val="00795A73"/>
    <w:rsid w:val="00795AD7"/>
    <w:rsid w:val="00795AE9"/>
    <w:rsid w:val="00795B9C"/>
    <w:rsid w:val="00795BA7"/>
    <w:rsid w:val="00795C22"/>
    <w:rsid w:val="00795C37"/>
    <w:rsid w:val="00795C44"/>
    <w:rsid w:val="00795C97"/>
    <w:rsid w:val="00795CA2"/>
    <w:rsid w:val="00795CA4"/>
    <w:rsid w:val="00795CAE"/>
    <w:rsid w:val="00795D0C"/>
    <w:rsid w:val="00795D35"/>
    <w:rsid w:val="00795DE2"/>
    <w:rsid w:val="00795E3C"/>
    <w:rsid w:val="00795E6F"/>
    <w:rsid w:val="00795EBA"/>
    <w:rsid w:val="00795EEE"/>
    <w:rsid w:val="00795EF3"/>
    <w:rsid w:val="00795EF9"/>
    <w:rsid w:val="00795F64"/>
    <w:rsid w:val="0079603A"/>
    <w:rsid w:val="00796058"/>
    <w:rsid w:val="00796079"/>
    <w:rsid w:val="007960AA"/>
    <w:rsid w:val="007960E2"/>
    <w:rsid w:val="007960E6"/>
    <w:rsid w:val="00796108"/>
    <w:rsid w:val="00796114"/>
    <w:rsid w:val="00796142"/>
    <w:rsid w:val="00796203"/>
    <w:rsid w:val="0079625B"/>
    <w:rsid w:val="0079630B"/>
    <w:rsid w:val="00796318"/>
    <w:rsid w:val="0079633A"/>
    <w:rsid w:val="00796342"/>
    <w:rsid w:val="0079634F"/>
    <w:rsid w:val="00796366"/>
    <w:rsid w:val="00796391"/>
    <w:rsid w:val="00796437"/>
    <w:rsid w:val="007964A4"/>
    <w:rsid w:val="007964AA"/>
    <w:rsid w:val="007964D5"/>
    <w:rsid w:val="00796505"/>
    <w:rsid w:val="0079650A"/>
    <w:rsid w:val="0079656B"/>
    <w:rsid w:val="0079658C"/>
    <w:rsid w:val="007965B0"/>
    <w:rsid w:val="00796699"/>
    <w:rsid w:val="007966FC"/>
    <w:rsid w:val="00796760"/>
    <w:rsid w:val="007967B2"/>
    <w:rsid w:val="007967EF"/>
    <w:rsid w:val="0079681D"/>
    <w:rsid w:val="0079696C"/>
    <w:rsid w:val="00796980"/>
    <w:rsid w:val="0079698A"/>
    <w:rsid w:val="00796AAF"/>
    <w:rsid w:val="00796AF0"/>
    <w:rsid w:val="00796B34"/>
    <w:rsid w:val="00796B36"/>
    <w:rsid w:val="00796C55"/>
    <w:rsid w:val="00796CA5"/>
    <w:rsid w:val="00796CB0"/>
    <w:rsid w:val="00796CCC"/>
    <w:rsid w:val="00796CE1"/>
    <w:rsid w:val="00796D0D"/>
    <w:rsid w:val="00796D4E"/>
    <w:rsid w:val="00796D55"/>
    <w:rsid w:val="00796D84"/>
    <w:rsid w:val="00796E33"/>
    <w:rsid w:val="00796EB8"/>
    <w:rsid w:val="00796EE0"/>
    <w:rsid w:val="00796F5D"/>
    <w:rsid w:val="00796F83"/>
    <w:rsid w:val="00796FAE"/>
    <w:rsid w:val="00796FD6"/>
    <w:rsid w:val="00797003"/>
    <w:rsid w:val="0079700C"/>
    <w:rsid w:val="0079704B"/>
    <w:rsid w:val="0079708F"/>
    <w:rsid w:val="00797095"/>
    <w:rsid w:val="007970EA"/>
    <w:rsid w:val="007970F6"/>
    <w:rsid w:val="00797132"/>
    <w:rsid w:val="0079717D"/>
    <w:rsid w:val="00797208"/>
    <w:rsid w:val="00797276"/>
    <w:rsid w:val="007972C4"/>
    <w:rsid w:val="00797330"/>
    <w:rsid w:val="00797338"/>
    <w:rsid w:val="007973AF"/>
    <w:rsid w:val="007973BD"/>
    <w:rsid w:val="007973D1"/>
    <w:rsid w:val="007973DD"/>
    <w:rsid w:val="007973FA"/>
    <w:rsid w:val="00797438"/>
    <w:rsid w:val="00797454"/>
    <w:rsid w:val="0079754E"/>
    <w:rsid w:val="0079758E"/>
    <w:rsid w:val="007975B6"/>
    <w:rsid w:val="007975F6"/>
    <w:rsid w:val="0079762F"/>
    <w:rsid w:val="007976AE"/>
    <w:rsid w:val="007976E2"/>
    <w:rsid w:val="007976F8"/>
    <w:rsid w:val="00797722"/>
    <w:rsid w:val="007978A1"/>
    <w:rsid w:val="007978A8"/>
    <w:rsid w:val="007978AF"/>
    <w:rsid w:val="007978F8"/>
    <w:rsid w:val="007979E1"/>
    <w:rsid w:val="007979FA"/>
    <w:rsid w:val="00797A06"/>
    <w:rsid w:val="00797A9D"/>
    <w:rsid w:val="00797AB8"/>
    <w:rsid w:val="00797B29"/>
    <w:rsid w:val="00797B66"/>
    <w:rsid w:val="00797B87"/>
    <w:rsid w:val="00797B93"/>
    <w:rsid w:val="00797BC4"/>
    <w:rsid w:val="00797BE5"/>
    <w:rsid w:val="00797CAC"/>
    <w:rsid w:val="00797CCE"/>
    <w:rsid w:val="00797D05"/>
    <w:rsid w:val="00797D25"/>
    <w:rsid w:val="00797D5C"/>
    <w:rsid w:val="00797DA1"/>
    <w:rsid w:val="00797DAF"/>
    <w:rsid w:val="00797DC4"/>
    <w:rsid w:val="00797DCE"/>
    <w:rsid w:val="00797DFE"/>
    <w:rsid w:val="00797E3E"/>
    <w:rsid w:val="00797E42"/>
    <w:rsid w:val="00797E9B"/>
    <w:rsid w:val="00797EB8"/>
    <w:rsid w:val="00797ECD"/>
    <w:rsid w:val="00797ED6"/>
    <w:rsid w:val="00797F1A"/>
    <w:rsid w:val="00797F28"/>
    <w:rsid w:val="00797F37"/>
    <w:rsid w:val="00797F94"/>
    <w:rsid w:val="00797FAF"/>
    <w:rsid w:val="007A0053"/>
    <w:rsid w:val="007A0079"/>
    <w:rsid w:val="007A0086"/>
    <w:rsid w:val="007A00C3"/>
    <w:rsid w:val="007A0160"/>
    <w:rsid w:val="007A0195"/>
    <w:rsid w:val="007A01B8"/>
    <w:rsid w:val="007A01E7"/>
    <w:rsid w:val="007A026D"/>
    <w:rsid w:val="007A02A1"/>
    <w:rsid w:val="007A02D3"/>
    <w:rsid w:val="007A034B"/>
    <w:rsid w:val="007A0381"/>
    <w:rsid w:val="007A0384"/>
    <w:rsid w:val="007A03B8"/>
    <w:rsid w:val="007A0413"/>
    <w:rsid w:val="007A0415"/>
    <w:rsid w:val="007A041A"/>
    <w:rsid w:val="007A0461"/>
    <w:rsid w:val="007A047B"/>
    <w:rsid w:val="007A04CF"/>
    <w:rsid w:val="007A04DF"/>
    <w:rsid w:val="007A0567"/>
    <w:rsid w:val="007A056D"/>
    <w:rsid w:val="007A0588"/>
    <w:rsid w:val="007A059E"/>
    <w:rsid w:val="007A05B4"/>
    <w:rsid w:val="007A05EE"/>
    <w:rsid w:val="007A0618"/>
    <w:rsid w:val="007A061A"/>
    <w:rsid w:val="007A0648"/>
    <w:rsid w:val="007A06FB"/>
    <w:rsid w:val="007A0719"/>
    <w:rsid w:val="007A074E"/>
    <w:rsid w:val="007A07C5"/>
    <w:rsid w:val="007A07D9"/>
    <w:rsid w:val="007A0832"/>
    <w:rsid w:val="007A08A6"/>
    <w:rsid w:val="007A08EA"/>
    <w:rsid w:val="007A08ED"/>
    <w:rsid w:val="007A0954"/>
    <w:rsid w:val="007A0997"/>
    <w:rsid w:val="007A0AB2"/>
    <w:rsid w:val="007A0C3F"/>
    <w:rsid w:val="007A0C55"/>
    <w:rsid w:val="007A0C75"/>
    <w:rsid w:val="007A0C83"/>
    <w:rsid w:val="007A0D9F"/>
    <w:rsid w:val="007A0DAD"/>
    <w:rsid w:val="007A0DAF"/>
    <w:rsid w:val="007A0DC8"/>
    <w:rsid w:val="007A0DFD"/>
    <w:rsid w:val="007A0E5D"/>
    <w:rsid w:val="007A0E8E"/>
    <w:rsid w:val="007A0ED8"/>
    <w:rsid w:val="007A0EDB"/>
    <w:rsid w:val="007A0F15"/>
    <w:rsid w:val="007A0F5E"/>
    <w:rsid w:val="007A0F9E"/>
    <w:rsid w:val="007A1019"/>
    <w:rsid w:val="007A1024"/>
    <w:rsid w:val="007A1055"/>
    <w:rsid w:val="007A1071"/>
    <w:rsid w:val="007A10FB"/>
    <w:rsid w:val="007A1106"/>
    <w:rsid w:val="007A1181"/>
    <w:rsid w:val="007A11A0"/>
    <w:rsid w:val="007A11B9"/>
    <w:rsid w:val="007A1261"/>
    <w:rsid w:val="007A12D4"/>
    <w:rsid w:val="007A1309"/>
    <w:rsid w:val="007A13DF"/>
    <w:rsid w:val="007A1439"/>
    <w:rsid w:val="007A148A"/>
    <w:rsid w:val="007A14A0"/>
    <w:rsid w:val="007A14D7"/>
    <w:rsid w:val="007A14E1"/>
    <w:rsid w:val="007A1515"/>
    <w:rsid w:val="007A152A"/>
    <w:rsid w:val="007A15AF"/>
    <w:rsid w:val="007A15FE"/>
    <w:rsid w:val="007A1634"/>
    <w:rsid w:val="007A1666"/>
    <w:rsid w:val="007A1677"/>
    <w:rsid w:val="007A1753"/>
    <w:rsid w:val="007A1805"/>
    <w:rsid w:val="007A1829"/>
    <w:rsid w:val="007A1853"/>
    <w:rsid w:val="007A1959"/>
    <w:rsid w:val="007A1AA3"/>
    <w:rsid w:val="007A1B1F"/>
    <w:rsid w:val="007A1B3F"/>
    <w:rsid w:val="007A1B92"/>
    <w:rsid w:val="007A1BA1"/>
    <w:rsid w:val="007A1BC6"/>
    <w:rsid w:val="007A1C2D"/>
    <w:rsid w:val="007A1C61"/>
    <w:rsid w:val="007A1C66"/>
    <w:rsid w:val="007A1C9D"/>
    <w:rsid w:val="007A1CDD"/>
    <w:rsid w:val="007A1D06"/>
    <w:rsid w:val="007A1D3E"/>
    <w:rsid w:val="007A1D76"/>
    <w:rsid w:val="007A1D92"/>
    <w:rsid w:val="007A1DB0"/>
    <w:rsid w:val="007A1F1A"/>
    <w:rsid w:val="007A1F34"/>
    <w:rsid w:val="007A1F60"/>
    <w:rsid w:val="007A1F98"/>
    <w:rsid w:val="007A1FAC"/>
    <w:rsid w:val="007A2026"/>
    <w:rsid w:val="007A2125"/>
    <w:rsid w:val="007A214B"/>
    <w:rsid w:val="007A214D"/>
    <w:rsid w:val="007A2155"/>
    <w:rsid w:val="007A2198"/>
    <w:rsid w:val="007A224C"/>
    <w:rsid w:val="007A237B"/>
    <w:rsid w:val="007A2461"/>
    <w:rsid w:val="007A24E1"/>
    <w:rsid w:val="007A24EC"/>
    <w:rsid w:val="007A2525"/>
    <w:rsid w:val="007A2542"/>
    <w:rsid w:val="007A25C3"/>
    <w:rsid w:val="007A25F9"/>
    <w:rsid w:val="007A2627"/>
    <w:rsid w:val="007A277E"/>
    <w:rsid w:val="007A2780"/>
    <w:rsid w:val="007A27AD"/>
    <w:rsid w:val="007A27FA"/>
    <w:rsid w:val="007A2802"/>
    <w:rsid w:val="007A2817"/>
    <w:rsid w:val="007A28C7"/>
    <w:rsid w:val="007A2902"/>
    <w:rsid w:val="007A2905"/>
    <w:rsid w:val="007A296C"/>
    <w:rsid w:val="007A2975"/>
    <w:rsid w:val="007A29AF"/>
    <w:rsid w:val="007A2A1A"/>
    <w:rsid w:val="007A2A45"/>
    <w:rsid w:val="007A2A47"/>
    <w:rsid w:val="007A2AE5"/>
    <w:rsid w:val="007A2B05"/>
    <w:rsid w:val="007A2B36"/>
    <w:rsid w:val="007A2B53"/>
    <w:rsid w:val="007A2B5B"/>
    <w:rsid w:val="007A2BA9"/>
    <w:rsid w:val="007A2BE0"/>
    <w:rsid w:val="007A2BF6"/>
    <w:rsid w:val="007A2C4E"/>
    <w:rsid w:val="007A2C62"/>
    <w:rsid w:val="007A2C9B"/>
    <w:rsid w:val="007A2CD9"/>
    <w:rsid w:val="007A2DE5"/>
    <w:rsid w:val="007A2E0A"/>
    <w:rsid w:val="007A2F09"/>
    <w:rsid w:val="007A2F27"/>
    <w:rsid w:val="007A2FC0"/>
    <w:rsid w:val="007A301C"/>
    <w:rsid w:val="007A3097"/>
    <w:rsid w:val="007A3130"/>
    <w:rsid w:val="007A3151"/>
    <w:rsid w:val="007A31DF"/>
    <w:rsid w:val="007A3231"/>
    <w:rsid w:val="007A325E"/>
    <w:rsid w:val="007A3274"/>
    <w:rsid w:val="007A329B"/>
    <w:rsid w:val="007A32FD"/>
    <w:rsid w:val="007A3348"/>
    <w:rsid w:val="007A33D4"/>
    <w:rsid w:val="007A3409"/>
    <w:rsid w:val="007A3482"/>
    <w:rsid w:val="007A348A"/>
    <w:rsid w:val="007A350C"/>
    <w:rsid w:val="007A3525"/>
    <w:rsid w:val="007A352B"/>
    <w:rsid w:val="007A3542"/>
    <w:rsid w:val="007A354D"/>
    <w:rsid w:val="007A356E"/>
    <w:rsid w:val="007A357F"/>
    <w:rsid w:val="007A3590"/>
    <w:rsid w:val="007A3591"/>
    <w:rsid w:val="007A35B3"/>
    <w:rsid w:val="007A35BA"/>
    <w:rsid w:val="007A3630"/>
    <w:rsid w:val="007A3669"/>
    <w:rsid w:val="007A36C1"/>
    <w:rsid w:val="007A36DC"/>
    <w:rsid w:val="007A37B2"/>
    <w:rsid w:val="007A37B8"/>
    <w:rsid w:val="007A37E3"/>
    <w:rsid w:val="007A3834"/>
    <w:rsid w:val="007A38D5"/>
    <w:rsid w:val="007A39C0"/>
    <w:rsid w:val="007A3A37"/>
    <w:rsid w:val="007A3A6B"/>
    <w:rsid w:val="007A3B00"/>
    <w:rsid w:val="007A3B1F"/>
    <w:rsid w:val="007A3BA7"/>
    <w:rsid w:val="007A3CD8"/>
    <w:rsid w:val="007A3D3F"/>
    <w:rsid w:val="007A3DB0"/>
    <w:rsid w:val="007A3DC0"/>
    <w:rsid w:val="007A3E09"/>
    <w:rsid w:val="007A3E6D"/>
    <w:rsid w:val="007A3E9B"/>
    <w:rsid w:val="007A3EBD"/>
    <w:rsid w:val="007A3EC0"/>
    <w:rsid w:val="007A3F1B"/>
    <w:rsid w:val="007A3F78"/>
    <w:rsid w:val="007A3F8D"/>
    <w:rsid w:val="007A3FE0"/>
    <w:rsid w:val="007A40DF"/>
    <w:rsid w:val="007A40FC"/>
    <w:rsid w:val="007A41D2"/>
    <w:rsid w:val="007A4364"/>
    <w:rsid w:val="007A4379"/>
    <w:rsid w:val="007A43FA"/>
    <w:rsid w:val="007A43FE"/>
    <w:rsid w:val="007A440A"/>
    <w:rsid w:val="007A445A"/>
    <w:rsid w:val="007A447C"/>
    <w:rsid w:val="007A449F"/>
    <w:rsid w:val="007A44F2"/>
    <w:rsid w:val="007A456F"/>
    <w:rsid w:val="007A457B"/>
    <w:rsid w:val="007A4596"/>
    <w:rsid w:val="007A45A0"/>
    <w:rsid w:val="007A4609"/>
    <w:rsid w:val="007A464B"/>
    <w:rsid w:val="007A4676"/>
    <w:rsid w:val="007A4801"/>
    <w:rsid w:val="007A483D"/>
    <w:rsid w:val="007A4867"/>
    <w:rsid w:val="007A48AF"/>
    <w:rsid w:val="007A48D9"/>
    <w:rsid w:val="007A48E4"/>
    <w:rsid w:val="007A4905"/>
    <w:rsid w:val="007A4917"/>
    <w:rsid w:val="007A4965"/>
    <w:rsid w:val="007A49A3"/>
    <w:rsid w:val="007A4A16"/>
    <w:rsid w:val="007A4A2E"/>
    <w:rsid w:val="007A4A4B"/>
    <w:rsid w:val="007A4A65"/>
    <w:rsid w:val="007A4AB2"/>
    <w:rsid w:val="007A4AC3"/>
    <w:rsid w:val="007A4AEE"/>
    <w:rsid w:val="007A4B2B"/>
    <w:rsid w:val="007A4B4C"/>
    <w:rsid w:val="007A4B9C"/>
    <w:rsid w:val="007A4BFD"/>
    <w:rsid w:val="007A4C0E"/>
    <w:rsid w:val="007A4C95"/>
    <w:rsid w:val="007A4D58"/>
    <w:rsid w:val="007A4DC8"/>
    <w:rsid w:val="007A4E09"/>
    <w:rsid w:val="007A4F11"/>
    <w:rsid w:val="007A4F59"/>
    <w:rsid w:val="007A4FD5"/>
    <w:rsid w:val="007A4FED"/>
    <w:rsid w:val="007A5008"/>
    <w:rsid w:val="007A5010"/>
    <w:rsid w:val="007A5021"/>
    <w:rsid w:val="007A502F"/>
    <w:rsid w:val="007A505C"/>
    <w:rsid w:val="007A506D"/>
    <w:rsid w:val="007A512C"/>
    <w:rsid w:val="007A5137"/>
    <w:rsid w:val="007A51EC"/>
    <w:rsid w:val="007A51FB"/>
    <w:rsid w:val="007A5212"/>
    <w:rsid w:val="007A5220"/>
    <w:rsid w:val="007A52D6"/>
    <w:rsid w:val="007A5364"/>
    <w:rsid w:val="007A53C3"/>
    <w:rsid w:val="007A53E3"/>
    <w:rsid w:val="007A53FF"/>
    <w:rsid w:val="007A541F"/>
    <w:rsid w:val="007A545B"/>
    <w:rsid w:val="007A5495"/>
    <w:rsid w:val="007A549F"/>
    <w:rsid w:val="007A54A1"/>
    <w:rsid w:val="007A54B0"/>
    <w:rsid w:val="007A54F6"/>
    <w:rsid w:val="007A55F7"/>
    <w:rsid w:val="007A561A"/>
    <w:rsid w:val="007A562B"/>
    <w:rsid w:val="007A565D"/>
    <w:rsid w:val="007A568A"/>
    <w:rsid w:val="007A56C3"/>
    <w:rsid w:val="007A56D2"/>
    <w:rsid w:val="007A574A"/>
    <w:rsid w:val="007A5790"/>
    <w:rsid w:val="007A57AE"/>
    <w:rsid w:val="007A57C6"/>
    <w:rsid w:val="007A57DE"/>
    <w:rsid w:val="007A5802"/>
    <w:rsid w:val="007A5845"/>
    <w:rsid w:val="007A586E"/>
    <w:rsid w:val="007A587D"/>
    <w:rsid w:val="007A58DE"/>
    <w:rsid w:val="007A59BA"/>
    <w:rsid w:val="007A5A2A"/>
    <w:rsid w:val="007A5A42"/>
    <w:rsid w:val="007A5ACD"/>
    <w:rsid w:val="007A5B99"/>
    <w:rsid w:val="007A5C02"/>
    <w:rsid w:val="007A5C2A"/>
    <w:rsid w:val="007A5C57"/>
    <w:rsid w:val="007A5C61"/>
    <w:rsid w:val="007A5C82"/>
    <w:rsid w:val="007A5D7D"/>
    <w:rsid w:val="007A5D85"/>
    <w:rsid w:val="007A5DA6"/>
    <w:rsid w:val="007A5DA8"/>
    <w:rsid w:val="007A5DB1"/>
    <w:rsid w:val="007A5E01"/>
    <w:rsid w:val="007A5E53"/>
    <w:rsid w:val="007A5E79"/>
    <w:rsid w:val="007A5F03"/>
    <w:rsid w:val="007A5F33"/>
    <w:rsid w:val="007A6003"/>
    <w:rsid w:val="007A6011"/>
    <w:rsid w:val="007A6069"/>
    <w:rsid w:val="007A607D"/>
    <w:rsid w:val="007A60BC"/>
    <w:rsid w:val="007A60E7"/>
    <w:rsid w:val="007A60EE"/>
    <w:rsid w:val="007A613A"/>
    <w:rsid w:val="007A6254"/>
    <w:rsid w:val="007A62A9"/>
    <w:rsid w:val="007A62C7"/>
    <w:rsid w:val="007A62CB"/>
    <w:rsid w:val="007A637E"/>
    <w:rsid w:val="007A63B2"/>
    <w:rsid w:val="007A63F0"/>
    <w:rsid w:val="007A6402"/>
    <w:rsid w:val="007A6435"/>
    <w:rsid w:val="007A645A"/>
    <w:rsid w:val="007A6527"/>
    <w:rsid w:val="007A656A"/>
    <w:rsid w:val="007A65D5"/>
    <w:rsid w:val="007A6608"/>
    <w:rsid w:val="007A6616"/>
    <w:rsid w:val="007A661A"/>
    <w:rsid w:val="007A66A7"/>
    <w:rsid w:val="007A66F1"/>
    <w:rsid w:val="007A6700"/>
    <w:rsid w:val="007A6757"/>
    <w:rsid w:val="007A6777"/>
    <w:rsid w:val="007A6785"/>
    <w:rsid w:val="007A681A"/>
    <w:rsid w:val="007A6842"/>
    <w:rsid w:val="007A689C"/>
    <w:rsid w:val="007A68B0"/>
    <w:rsid w:val="007A6991"/>
    <w:rsid w:val="007A69E5"/>
    <w:rsid w:val="007A69EC"/>
    <w:rsid w:val="007A69FE"/>
    <w:rsid w:val="007A69FF"/>
    <w:rsid w:val="007A6A01"/>
    <w:rsid w:val="007A6AB0"/>
    <w:rsid w:val="007A6AE6"/>
    <w:rsid w:val="007A6B5B"/>
    <w:rsid w:val="007A6B6E"/>
    <w:rsid w:val="007A6B7D"/>
    <w:rsid w:val="007A6B80"/>
    <w:rsid w:val="007A6B89"/>
    <w:rsid w:val="007A6CAB"/>
    <w:rsid w:val="007A6D15"/>
    <w:rsid w:val="007A6D72"/>
    <w:rsid w:val="007A6DC5"/>
    <w:rsid w:val="007A6DCA"/>
    <w:rsid w:val="007A6DF3"/>
    <w:rsid w:val="007A6E04"/>
    <w:rsid w:val="007A6E96"/>
    <w:rsid w:val="007A6F27"/>
    <w:rsid w:val="007A6F8E"/>
    <w:rsid w:val="007A6F94"/>
    <w:rsid w:val="007A702F"/>
    <w:rsid w:val="007A70A5"/>
    <w:rsid w:val="007A70BD"/>
    <w:rsid w:val="007A70E8"/>
    <w:rsid w:val="007A711E"/>
    <w:rsid w:val="007A7147"/>
    <w:rsid w:val="007A7177"/>
    <w:rsid w:val="007A717F"/>
    <w:rsid w:val="007A71A9"/>
    <w:rsid w:val="007A71BD"/>
    <w:rsid w:val="007A71D5"/>
    <w:rsid w:val="007A7202"/>
    <w:rsid w:val="007A721B"/>
    <w:rsid w:val="007A72AC"/>
    <w:rsid w:val="007A72B5"/>
    <w:rsid w:val="007A72BC"/>
    <w:rsid w:val="007A7359"/>
    <w:rsid w:val="007A737D"/>
    <w:rsid w:val="007A73D7"/>
    <w:rsid w:val="007A73E8"/>
    <w:rsid w:val="007A7407"/>
    <w:rsid w:val="007A7497"/>
    <w:rsid w:val="007A74C7"/>
    <w:rsid w:val="007A74E0"/>
    <w:rsid w:val="007A758A"/>
    <w:rsid w:val="007A75A0"/>
    <w:rsid w:val="007A75CC"/>
    <w:rsid w:val="007A75E5"/>
    <w:rsid w:val="007A7699"/>
    <w:rsid w:val="007A771F"/>
    <w:rsid w:val="007A772A"/>
    <w:rsid w:val="007A776D"/>
    <w:rsid w:val="007A776F"/>
    <w:rsid w:val="007A782E"/>
    <w:rsid w:val="007A7843"/>
    <w:rsid w:val="007A7872"/>
    <w:rsid w:val="007A7893"/>
    <w:rsid w:val="007A78AF"/>
    <w:rsid w:val="007A78D1"/>
    <w:rsid w:val="007A7902"/>
    <w:rsid w:val="007A79B5"/>
    <w:rsid w:val="007A7A0D"/>
    <w:rsid w:val="007A7A3A"/>
    <w:rsid w:val="007A7AA5"/>
    <w:rsid w:val="007A7B4F"/>
    <w:rsid w:val="007A7B65"/>
    <w:rsid w:val="007A7B8D"/>
    <w:rsid w:val="007A7BA8"/>
    <w:rsid w:val="007A7BC0"/>
    <w:rsid w:val="007A7C6F"/>
    <w:rsid w:val="007A7C8E"/>
    <w:rsid w:val="007A7CA0"/>
    <w:rsid w:val="007A7CBB"/>
    <w:rsid w:val="007A7CC1"/>
    <w:rsid w:val="007A7CE3"/>
    <w:rsid w:val="007A7D2C"/>
    <w:rsid w:val="007A7D92"/>
    <w:rsid w:val="007A7E12"/>
    <w:rsid w:val="007A7EA3"/>
    <w:rsid w:val="007A7EE9"/>
    <w:rsid w:val="007A7F5F"/>
    <w:rsid w:val="007A7F97"/>
    <w:rsid w:val="007A7FA6"/>
    <w:rsid w:val="007B002A"/>
    <w:rsid w:val="007B0046"/>
    <w:rsid w:val="007B009F"/>
    <w:rsid w:val="007B00A7"/>
    <w:rsid w:val="007B0151"/>
    <w:rsid w:val="007B01FE"/>
    <w:rsid w:val="007B024C"/>
    <w:rsid w:val="007B0250"/>
    <w:rsid w:val="007B0272"/>
    <w:rsid w:val="007B02A8"/>
    <w:rsid w:val="007B02C7"/>
    <w:rsid w:val="007B0307"/>
    <w:rsid w:val="007B03F1"/>
    <w:rsid w:val="007B03F4"/>
    <w:rsid w:val="007B03FA"/>
    <w:rsid w:val="007B0438"/>
    <w:rsid w:val="007B0467"/>
    <w:rsid w:val="007B0498"/>
    <w:rsid w:val="007B04B3"/>
    <w:rsid w:val="007B056B"/>
    <w:rsid w:val="007B057C"/>
    <w:rsid w:val="007B058E"/>
    <w:rsid w:val="007B059F"/>
    <w:rsid w:val="007B05AF"/>
    <w:rsid w:val="007B05B3"/>
    <w:rsid w:val="007B05C4"/>
    <w:rsid w:val="007B064E"/>
    <w:rsid w:val="007B06E8"/>
    <w:rsid w:val="007B0717"/>
    <w:rsid w:val="007B0723"/>
    <w:rsid w:val="007B0726"/>
    <w:rsid w:val="007B076E"/>
    <w:rsid w:val="007B07C2"/>
    <w:rsid w:val="007B07CB"/>
    <w:rsid w:val="007B07E6"/>
    <w:rsid w:val="007B082D"/>
    <w:rsid w:val="007B089E"/>
    <w:rsid w:val="007B08B1"/>
    <w:rsid w:val="007B0931"/>
    <w:rsid w:val="007B09AC"/>
    <w:rsid w:val="007B0A09"/>
    <w:rsid w:val="007B0A44"/>
    <w:rsid w:val="007B0AC7"/>
    <w:rsid w:val="007B0AE9"/>
    <w:rsid w:val="007B0B87"/>
    <w:rsid w:val="007B0BA2"/>
    <w:rsid w:val="007B0C20"/>
    <w:rsid w:val="007B0C65"/>
    <w:rsid w:val="007B0C9B"/>
    <w:rsid w:val="007B0C9D"/>
    <w:rsid w:val="007B0DA2"/>
    <w:rsid w:val="007B0DAF"/>
    <w:rsid w:val="007B0DDF"/>
    <w:rsid w:val="007B0E35"/>
    <w:rsid w:val="007B0E65"/>
    <w:rsid w:val="007B0F32"/>
    <w:rsid w:val="007B0F4C"/>
    <w:rsid w:val="007B0F52"/>
    <w:rsid w:val="007B0F80"/>
    <w:rsid w:val="007B0F8A"/>
    <w:rsid w:val="007B0FBE"/>
    <w:rsid w:val="007B101A"/>
    <w:rsid w:val="007B102E"/>
    <w:rsid w:val="007B105A"/>
    <w:rsid w:val="007B10BF"/>
    <w:rsid w:val="007B10E1"/>
    <w:rsid w:val="007B1204"/>
    <w:rsid w:val="007B124C"/>
    <w:rsid w:val="007B1251"/>
    <w:rsid w:val="007B128B"/>
    <w:rsid w:val="007B1311"/>
    <w:rsid w:val="007B1375"/>
    <w:rsid w:val="007B13B7"/>
    <w:rsid w:val="007B13B8"/>
    <w:rsid w:val="007B13CA"/>
    <w:rsid w:val="007B1483"/>
    <w:rsid w:val="007B148E"/>
    <w:rsid w:val="007B14B4"/>
    <w:rsid w:val="007B1522"/>
    <w:rsid w:val="007B159F"/>
    <w:rsid w:val="007B15D3"/>
    <w:rsid w:val="007B161A"/>
    <w:rsid w:val="007B1663"/>
    <w:rsid w:val="007B1670"/>
    <w:rsid w:val="007B1691"/>
    <w:rsid w:val="007B16B3"/>
    <w:rsid w:val="007B1769"/>
    <w:rsid w:val="007B17C5"/>
    <w:rsid w:val="007B1820"/>
    <w:rsid w:val="007B18C1"/>
    <w:rsid w:val="007B18F1"/>
    <w:rsid w:val="007B199F"/>
    <w:rsid w:val="007B19A9"/>
    <w:rsid w:val="007B19BC"/>
    <w:rsid w:val="007B1A0C"/>
    <w:rsid w:val="007B1AD5"/>
    <w:rsid w:val="007B1AE5"/>
    <w:rsid w:val="007B1B02"/>
    <w:rsid w:val="007B1B11"/>
    <w:rsid w:val="007B1B54"/>
    <w:rsid w:val="007B1B93"/>
    <w:rsid w:val="007B1C1B"/>
    <w:rsid w:val="007B1C54"/>
    <w:rsid w:val="007B1C7D"/>
    <w:rsid w:val="007B1CBF"/>
    <w:rsid w:val="007B1D1F"/>
    <w:rsid w:val="007B1D3F"/>
    <w:rsid w:val="007B1D44"/>
    <w:rsid w:val="007B1F98"/>
    <w:rsid w:val="007B1FD4"/>
    <w:rsid w:val="007B1FFF"/>
    <w:rsid w:val="007B203F"/>
    <w:rsid w:val="007B2081"/>
    <w:rsid w:val="007B20A3"/>
    <w:rsid w:val="007B20CB"/>
    <w:rsid w:val="007B20DA"/>
    <w:rsid w:val="007B211D"/>
    <w:rsid w:val="007B2178"/>
    <w:rsid w:val="007B2197"/>
    <w:rsid w:val="007B21ED"/>
    <w:rsid w:val="007B2200"/>
    <w:rsid w:val="007B223D"/>
    <w:rsid w:val="007B2242"/>
    <w:rsid w:val="007B2249"/>
    <w:rsid w:val="007B2288"/>
    <w:rsid w:val="007B22A7"/>
    <w:rsid w:val="007B22C7"/>
    <w:rsid w:val="007B235E"/>
    <w:rsid w:val="007B238F"/>
    <w:rsid w:val="007B239D"/>
    <w:rsid w:val="007B241F"/>
    <w:rsid w:val="007B2438"/>
    <w:rsid w:val="007B2485"/>
    <w:rsid w:val="007B24A4"/>
    <w:rsid w:val="007B24CB"/>
    <w:rsid w:val="007B24D9"/>
    <w:rsid w:val="007B2526"/>
    <w:rsid w:val="007B2557"/>
    <w:rsid w:val="007B255B"/>
    <w:rsid w:val="007B255E"/>
    <w:rsid w:val="007B2571"/>
    <w:rsid w:val="007B2572"/>
    <w:rsid w:val="007B259D"/>
    <w:rsid w:val="007B25BB"/>
    <w:rsid w:val="007B25D3"/>
    <w:rsid w:val="007B261A"/>
    <w:rsid w:val="007B2632"/>
    <w:rsid w:val="007B26AC"/>
    <w:rsid w:val="007B26E7"/>
    <w:rsid w:val="007B26EE"/>
    <w:rsid w:val="007B2706"/>
    <w:rsid w:val="007B271E"/>
    <w:rsid w:val="007B27E6"/>
    <w:rsid w:val="007B2816"/>
    <w:rsid w:val="007B28AE"/>
    <w:rsid w:val="007B28CA"/>
    <w:rsid w:val="007B2929"/>
    <w:rsid w:val="007B292D"/>
    <w:rsid w:val="007B292F"/>
    <w:rsid w:val="007B2936"/>
    <w:rsid w:val="007B2954"/>
    <w:rsid w:val="007B29A1"/>
    <w:rsid w:val="007B29A7"/>
    <w:rsid w:val="007B29BF"/>
    <w:rsid w:val="007B2A3B"/>
    <w:rsid w:val="007B2A3D"/>
    <w:rsid w:val="007B2ABA"/>
    <w:rsid w:val="007B2B53"/>
    <w:rsid w:val="007B2B65"/>
    <w:rsid w:val="007B2BB1"/>
    <w:rsid w:val="007B2C2B"/>
    <w:rsid w:val="007B2C49"/>
    <w:rsid w:val="007B2C51"/>
    <w:rsid w:val="007B2C55"/>
    <w:rsid w:val="007B2CCB"/>
    <w:rsid w:val="007B2D26"/>
    <w:rsid w:val="007B2D9F"/>
    <w:rsid w:val="007B2DA9"/>
    <w:rsid w:val="007B2DD3"/>
    <w:rsid w:val="007B2EB9"/>
    <w:rsid w:val="007B2EFE"/>
    <w:rsid w:val="007B2F10"/>
    <w:rsid w:val="007B2FA5"/>
    <w:rsid w:val="007B2FC3"/>
    <w:rsid w:val="007B3021"/>
    <w:rsid w:val="007B3035"/>
    <w:rsid w:val="007B306C"/>
    <w:rsid w:val="007B3074"/>
    <w:rsid w:val="007B3094"/>
    <w:rsid w:val="007B30B1"/>
    <w:rsid w:val="007B30C0"/>
    <w:rsid w:val="007B30DA"/>
    <w:rsid w:val="007B30F0"/>
    <w:rsid w:val="007B31B0"/>
    <w:rsid w:val="007B3242"/>
    <w:rsid w:val="007B328F"/>
    <w:rsid w:val="007B3296"/>
    <w:rsid w:val="007B3361"/>
    <w:rsid w:val="007B33B4"/>
    <w:rsid w:val="007B344E"/>
    <w:rsid w:val="007B3475"/>
    <w:rsid w:val="007B34AA"/>
    <w:rsid w:val="007B34C4"/>
    <w:rsid w:val="007B352D"/>
    <w:rsid w:val="007B3537"/>
    <w:rsid w:val="007B3695"/>
    <w:rsid w:val="007B36AB"/>
    <w:rsid w:val="007B36C4"/>
    <w:rsid w:val="007B36CF"/>
    <w:rsid w:val="007B370B"/>
    <w:rsid w:val="007B3802"/>
    <w:rsid w:val="007B380C"/>
    <w:rsid w:val="007B385B"/>
    <w:rsid w:val="007B3866"/>
    <w:rsid w:val="007B38A4"/>
    <w:rsid w:val="007B38DB"/>
    <w:rsid w:val="007B395A"/>
    <w:rsid w:val="007B3964"/>
    <w:rsid w:val="007B3987"/>
    <w:rsid w:val="007B39AE"/>
    <w:rsid w:val="007B39EE"/>
    <w:rsid w:val="007B3A1E"/>
    <w:rsid w:val="007B3AA0"/>
    <w:rsid w:val="007B3AF9"/>
    <w:rsid w:val="007B3B1F"/>
    <w:rsid w:val="007B3B50"/>
    <w:rsid w:val="007B3B75"/>
    <w:rsid w:val="007B3C2E"/>
    <w:rsid w:val="007B3C8F"/>
    <w:rsid w:val="007B3C91"/>
    <w:rsid w:val="007B3CB0"/>
    <w:rsid w:val="007B3CCD"/>
    <w:rsid w:val="007B3CF5"/>
    <w:rsid w:val="007B3D3E"/>
    <w:rsid w:val="007B3D5E"/>
    <w:rsid w:val="007B3E0D"/>
    <w:rsid w:val="007B3F68"/>
    <w:rsid w:val="007B3F9F"/>
    <w:rsid w:val="007B3FAC"/>
    <w:rsid w:val="007B3FD2"/>
    <w:rsid w:val="007B4078"/>
    <w:rsid w:val="007B4082"/>
    <w:rsid w:val="007B40E7"/>
    <w:rsid w:val="007B41BA"/>
    <w:rsid w:val="007B421B"/>
    <w:rsid w:val="007B4263"/>
    <w:rsid w:val="007B4369"/>
    <w:rsid w:val="007B437D"/>
    <w:rsid w:val="007B44AE"/>
    <w:rsid w:val="007B451D"/>
    <w:rsid w:val="007B45EA"/>
    <w:rsid w:val="007B4603"/>
    <w:rsid w:val="007B4621"/>
    <w:rsid w:val="007B4657"/>
    <w:rsid w:val="007B46BE"/>
    <w:rsid w:val="007B4773"/>
    <w:rsid w:val="007B47E4"/>
    <w:rsid w:val="007B47EA"/>
    <w:rsid w:val="007B4850"/>
    <w:rsid w:val="007B488D"/>
    <w:rsid w:val="007B48BE"/>
    <w:rsid w:val="007B48D7"/>
    <w:rsid w:val="007B492F"/>
    <w:rsid w:val="007B4972"/>
    <w:rsid w:val="007B497C"/>
    <w:rsid w:val="007B4985"/>
    <w:rsid w:val="007B4997"/>
    <w:rsid w:val="007B49B9"/>
    <w:rsid w:val="007B4A85"/>
    <w:rsid w:val="007B4B71"/>
    <w:rsid w:val="007B4B92"/>
    <w:rsid w:val="007B4BF4"/>
    <w:rsid w:val="007B4C40"/>
    <w:rsid w:val="007B4C79"/>
    <w:rsid w:val="007B4C8D"/>
    <w:rsid w:val="007B4C90"/>
    <w:rsid w:val="007B4CC4"/>
    <w:rsid w:val="007B4CDE"/>
    <w:rsid w:val="007B4D2F"/>
    <w:rsid w:val="007B4D49"/>
    <w:rsid w:val="007B4D67"/>
    <w:rsid w:val="007B4D6D"/>
    <w:rsid w:val="007B4D89"/>
    <w:rsid w:val="007B4E2D"/>
    <w:rsid w:val="007B4F82"/>
    <w:rsid w:val="007B4FA3"/>
    <w:rsid w:val="007B501F"/>
    <w:rsid w:val="007B5025"/>
    <w:rsid w:val="007B506D"/>
    <w:rsid w:val="007B5099"/>
    <w:rsid w:val="007B50CF"/>
    <w:rsid w:val="007B5121"/>
    <w:rsid w:val="007B5138"/>
    <w:rsid w:val="007B5160"/>
    <w:rsid w:val="007B51AC"/>
    <w:rsid w:val="007B51BD"/>
    <w:rsid w:val="007B51CE"/>
    <w:rsid w:val="007B51E0"/>
    <w:rsid w:val="007B5225"/>
    <w:rsid w:val="007B523D"/>
    <w:rsid w:val="007B5274"/>
    <w:rsid w:val="007B52B3"/>
    <w:rsid w:val="007B5325"/>
    <w:rsid w:val="007B5335"/>
    <w:rsid w:val="007B534D"/>
    <w:rsid w:val="007B538F"/>
    <w:rsid w:val="007B53B0"/>
    <w:rsid w:val="007B55E9"/>
    <w:rsid w:val="007B55F0"/>
    <w:rsid w:val="007B5671"/>
    <w:rsid w:val="007B56EC"/>
    <w:rsid w:val="007B56F8"/>
    <w:rsid w:val="007B5718"/>
    <w:rsid w:val="007B5733"/>
    <w:rsid w:val="007B5747"/>
    <w:rsid w:val="007B575D"/>
    <w:rsid w:val="007B577A"/>
    <w:rsid w:val="007B57E4"/>
    <w:rsid w:val="007B57E9"/>
    <w:rsid w:val="007B58BE"/>
    <w:rsid w:val="007B58D0"/>
    <w:rsid w:val="007B5974"/>
    <w:rsid w:val="007B59CD"/>
    <w:rsid w:val="007B59D5"/>
    <w:rsid w:val="007B59FF"/>
    <w:rsid w:val="007B5A10"/>
    <w:rsid w:val="007B5A2E"/>
    <w:rsid w:val="007B5AD3"/>
    <w:rsid w:val="007B5AF7"/>
    <w:rsid w:val="007B5B23"/>
    <w:rsid w:val="007B5B40"/>
    <w:rsid w:val="007B5B49"/>
    <w:rsid w:val="007B5B60"/>
    <w:rsid w:val="007B5B6F"/>
    <w:rsid w:val="007B5BB9"/>
    <w:rsid w:val="007B5BCD"/>
    <w:rsid w:val="007B5C09"/>
    <w:rsid w:val="007B5CA0"/>
    <w:rsid w:val="007B5CD5"/>
    <w:rsid w:val="007B5CE7"/>
    <w:rsid w:val="007B5D2E"/>
    <w:rsid w:val="007B5E0C"/>
    <w:rsid w:val="007B5E86"/>
    <w:rsid w:val="007B5EBD"/>
    <w:rsid w:val="007B5F1D"/>
    <w:rsid w:val="007B5F42"/>
    <w:rsid w:val="007B5F48"/>
    <w:rsid w:val="007B5FA0"/>
    <w:rsid w:val="007B5FAC"/>
    <w:rsid w:val="007B5FC0"/>
    <w:rsid w:val="007B5FF4"/>
    <w:rsid w:val="007B60A6"/>
    <w:rsid w:val="007B60A9"/>
    <w:rsid w:val="007B60C5"/>
    <w:rsid w:val="007B60F9"/>
    <w:rsid w:val="007B6152"/>
    <w:rsid w:val="007B6184"/>
    <w:rsid w:val="007B61ED"/>
    <w:rsid w:val="007B6228"/>
    <w:rsid w:val="007B62BF"/>
    <w:rsid w:val="007B6396"/>
    <w:rsid w:val="007B63A2"/>
    <w:rsid w:val="007B63C7"/>
    <w:rsid w:val="007B641D"/>
    <w:rsid w:val="007B6421"/>
    <w:rsid w:val="007B6448"/>
    <w:rsid w:val="007B6459"/>
    <w:rsid w:val="007B646B"/>
    <w:rsid w:val="007B64D3"/>
    <w:rsid w:val="007B6537"/>
    <w:rsid w:val="007B6566"/>
    <w:rsid w:val="007B6579"/>
    <w:rsid w:val="007B657C"/>
    <w:rsid w:val="007B65B8"/>
    <w:rsid w:val="007B6644"/>
    <w:rsid w:val="007B6688"/>
    <w:rsid w:val="007B66CB"/>
    <w:rsid w:val="007B66EC"/>
    <w:rsid w:val="007B66EF"/>
    <w:rsid w:val="007B6779"/>
    <w:rsid w:val="007B67C2"/>
    <w:rsid w:val="007B67CC"/>
    <w:rsid w:val="007B680C"/>
    <w:rsid w:val="007B683B"/>
    <w:rsid w:val="007B695E"/>
    <w:rsid w:val="007B6977"/>
    <w:rsid w:val="007B69E6"/>
    <w:rsid w:val="007B6A4E"/>
    <w:rsid w:val="007B6AE4"/>
    <w:rsid w:val="007B6BA5"/>
    <w:rsid w:val="007B6CAE"/>
    <w:rsid w:val="007B6CC0"/>
    <w:rsid w:val="007B6D4D"/>
    <w:rsid w:val="007B6D50"/>
    <w:rsid w:val="007B6D99"/>
    <w:rsid w:val="007B6DA8"/>
    <w:rsid w:val="007B6DF4"/>
    <w:rsid w:val="007B6DF8"/>
    <w:rsid w:val="007B6E02"/>
    <w:rsid w:val="007B6EE0"/>
    <w:rsid w:val="007B6F27"/>
    <w:rsid w:val="007B6F34"/>
    <w:rsid w:val="007B6F36"/>
    <w:rsid w:val="007B6F57"/>
    <w:rsid w:val="007B6F69"/>
    <w:rsid w:val="007B6F74"/>
    <w:rsid w:val="007B6FB3"/>
    <w:rsid w:val="007B6FDA"/>
    <w:rsid w:val="007B7046"/>
    <w:rsid w:val="007B7054"/>
    <w:rsid w:val="007B7077"/>
    <w:rsid w:val="007B7087"/>
    <w:rsid w:val="007B70C6"/>
    <w:rsid w:val="007B715E"/>
    <w:rsid w:val="007B7254"/>
    <w:rsid w:val="007B725E"/>
    <w:rsid w:val="007B7273"/>
    <w:rsid w:val="007B72EF"/>
    <w:rsid w:val="007B7337"/>
    <w:rsid w:val="007B748E"/>
    <w:rsid w:val="007B74B7"/>
    <w:rsid w:val="007B74E5"/>
    <w:rsid w:val="007B74FE"/>
    <w:rsid w:val="007B7505"/>
    <w:rsid w:val="007B750C"/>
    <w:rsid w:val="007B753A"/>
    <w:rsid w:val="007B7562"/>
    <w:rsid w:val="007B75F1"/>
    <w:rsid w:val="007B7677"/>
    <w:rsid w:val="007B76CF"/>
    <w:rsid w:val="007B76FA"/>
    <w:rsid w:val="007B7714"/>
    <w:rsid w:val="007B77AC"/>
    <w:rsid w:val="007B77B1"/>
    <w:rsid w:val="007B77F0"/>
    <w:rsid w:val="007B782F"/>
    <w:rsid w:val="007B78E5"/>
    <w:rsid w:val="007B7936"/>
    <w:rsid w:val="007B7939"/>
    <w:rsid w:val="007B795D"/>
    <w:rsid w:val="007B7989"/>
    <w:rsid w:val="007B7A0D"/>
    <w:rsid w:val="007B7A25"/>
    <w:rsid w:val="007B7A30"/>
    <w:rsid w:val="007B7A5C"/>
    <w:rsid w:val="007B7A84"/>
    <w:rsid w:val="007B7A8F"/>
    <w:rsid w:val="007B7AAF"/>
    <w:rsid w:val="007B7B2F"/>
    <w:rsid w:val="007B7B79"/>
    <w:rsid w:val="007B7B9D"/>
    <w:rsid w:val="007B7BBE"/>
    <w:rsid w:val="007B7BF2"/>
    <w:rsid w:val="007B7C29"/>
    <w:rsid w:val="007B7C38"/>
    <w:rsid w:val="007B7C9B"/>
    <w:rsid w:val="007B7D1D"/>
    <w:rsid w:val="007B7D89"/>
    <w:rsid w:val="007B7DD0"/>
    <w:rsid w:val="007B7E37"/>
    <w:rsid w:val="007B7E5D"/>
    <w:rsid w:val="007B7E7B"/>
    <w:rsid w:val="007B7F1F"/>
    <w:rsid w:val="007B7F50"/>
    <w:rsid w:val="007B7F9A"/>
    <w:rsid w:val="007B7FA5"/>
    <w:rsid w:val="007B7FBB"/>
    <w:rsid w:val="007C0034"/>
    <w:rsid w:val="007C00D7"/>
    <w:rsid w:val="007C00E1"/>
    <w:rsid w:val="007C0146"/>
    <w:rsid w:val="007C016E"/>
    <w:rsid w:val="007C0193"/>
    <w:rsid w:val="007C01F1"/>
    <w:rsid w:val="007C0210"/>
    <w:rsid w:val="007C022E"/>
    <w:rsid w:val="007C02AC"/>
    <w:rsid w:val="007C02D4"/>
    <w:rsid w:val="007C02F7"/>
    <w:rsid w:val="007C036D"/>
    <w:rsid w:val="007C0380"/>
    <w:rsid w:val="007C03B0"/>
    <w:rsid w:val="007C03E4"/>
    <w:rsid w:val="007C0421"/>
    <w:rsid w:val="007C045C"/>
    <w:rsid w:val="007C047D"/>
    <w:rsid w:val="007C0487"/>
    <w:rsid w:val="007C049D"/>
    <w:rsid w:val="007C04B0"/>
    <w:rsid w:val="007C05C2"/>
    <w:rsid w:val="007C0642"/>
    <w:rsid w:val="007C0651"/>
    <w:rsid w:val="007C0676"/>
    <w:rsid w:val="007C06C4"/>
    <w:rsid w:val="007C0709"/>
    <w:rsid w:val="007C0721"/>
    <w:rsid w:val="007C075F"/>
    <w:rsid w:val="007C077B"/>
    <w:rsid w:val="007C079B"/>
    <w:rsid w:val="007C07CC"/>
    <w:rsid w:val="007C080C"/>
    <w:rsid w:val="007C0819"/>
    <w:rsid w:val="007C0851"/>
    <w:rsid w:val="007C0943"/>
    <w:rsid w:val="007C0A11"/>
    <w:rsid w:val="007C0A18"/>
    <w:rsid w:val="007C0A4D"/>
    <w:rsid w:val="007C0A68"/>
    <w:rsid w:val="007C0A88"/>
    <w:rsid w:val="007C0B27"/>
    <w:rsid w:val="007C0B44"/>
    <w:rsid w:val="007C0B4D"/>
    <w:rsid w:val="007C0B71"/>
    <w:rsid w:val="007C0BB7"/>
    <w:rsid w:val="007C0BE3"/>
    <w:rsid w:val="007C0C4F"/>
    <w:rsid w:val="007C0C70"/>
    <w:rsid w:val="007C0CFE"/>
    <w:rsid w:val="007C0D04"/>
    <w:rsid w:val="007C0D3D"/>
    <w:rsid w:val="007C0D44"/>
    <w:rsid w:val="007C0D9C"/>
    <w:rsid w:val="007C0DF7"/>
    <w:rsid w:val="007C0DF9"/>
    <w:rsid w:val="007C0E60"/>
    <w:rsid w:val="007C0E93"/>
    <w:rsid w:val="007C0E97"/>
    <w:rsid w:val="007C0EA7"/>
    <w:rsid w:val="007C0F2D"/>
    <w:rsid w:val="007C0FD7"/>
    <w:rsid w:val="007C102F"/>
    <w:rsid w:val="007C1079"/>
    <w:rsid w:val="007C109A"/>
    <w:rsid w:val="007C10C6"/>
    <w:rsid w:val="007C10DE"/>
    <w:rsid w:val="007C110A"/>
    <w:rsid w:val="007C111D"/>
    <w:rsid w:val="007C1144"/>
    <w:rsid w:val="007C1149"/>
    <w:rsid w:val="007C1151"/>
    <w:rsid w:val="007C115B"/>
    <w:rsid w:val="007C1165"/>
    <w:rsid w:val="007C1292"/>
    <w:rsid w:val="007C12C2"/>
    <w:rsid w:val="007C1325"/>
    <w:rsid w:val="007C134C"/>
    <w:rsid w:val="007C1350"/>
    <w:rsid w:val="007C1372"/>
    <w:rsid w:val="007C1399"/>
    <w:rsid w:val="007C13DE"/>
    <w:rsid w:val="007C13FE"/>
    <w:rsid w:val="007C1422"/>
    <w:rsid w:val="007C14A8"/>
    <w:rsid w:val="007C14E3"/>
    <w:rsid w:val="007C14FC"/>
    <w:rsid w:val="007C15DF"/>
    <w:rsid w:val="007C16B0"/>
    <w:rsid w:val="007C16D8"/>
    <w:rsid w:val="007C1718"/>
    <w:rsid w:val="007C176C"/>
    <w:rsid w:val="007C17B7"/>
    <w:rsid w:val="007C17FC"/>
    <w:rsid w:val="007C17FF"/>
    <w:rsid w:val="007C1816"/>
    <w:rsid w:val="007C1847"/>
    <w:rsid w:val="007C184B"/>
    <w:rsid w:val="007C1856"/>
    <w:rsid w:val="007C186B"/>
    <w:rsid w:val="007C1873"/>
    <w:rsid w:val="007C18BB"/>
    <w:rsid w:val="007C18DB"/>
    <w:rsid w:val="007C193E"/>
    <w:rsid w:val="007C1964"/>
    <w:rsid w:val="007C19BD"/>
    <w:rsid w:val="007C19E2"/>
    <w:rsid w:val="007C1A5F"/>
    <w:rsid w:val="007C1A96"/>
    <w:rsid w:val="007C1ACD"/>
    <w:rsid w:val="007C1AF6"/>
    <w:rsid w:val="007C1B07"/>
    <w:rsid w:val="007C1B52"/>
    <w:rsid w:val="007C1BF0"/>
    <w:rsid w:val="007C1BFC"/>
    <w:rsid w:val="007C1C0D"/>
    <w:rsid w:val="007C1C39"/>
    <w:rsid w:val="007C1C53"/>
    <w:rsid w:val="007C1C6E"/>
    <w:rsid w:val="007C1C75"/>
    <w:rsid w:val="007C1C85"/>
    <w:rsid w:val="007C1CB3"/>
    <w:rsid w:val="007C1D2F"/>
    <w:rsid w:val="007C1DE5"/>
    <w:rsid w:val="007C1DF3"/>
    <w:rsid w:val="007C1DF4"/>
    <w:rsid w:val="007C1E0B"/>
    <w:rsid w:val="007C1E34"/>
    <w:rsid w:val="007C1E75"/>
    <w:rsid w:val="007C1EA0"/>
    <w:rsid w:val="007C1EAB"/>
    <w:rsid w:val="007C1EF2"/>
    <w:rsid w:val="007C1F06"/>
    <w:rsid w:val="007C1F30"/>
    <w:rsid w:val="007C1F35"/>
    <w:rsid w:val="007C1F5F"/>
    <w:rsid w:val="007C1F8B"/>
    <w:rsid w:val="007C1F93"/>
    <w:rsid w:val="007C1FDA"/>
    <w:rsid w:val="007C20BA"/>
    <w:rsid w:val="007C2155"/>
    <w:rsid w:val="007C2183"/>
    <w:rsid w:val="007C21B9"/>
    <w:rsid w:val="007C21DA"/>
    <w:rsid w:val="007C220F"/>
    <w:rsid w:val="007C2300"/>
    <w:rsid w:val="007C2375"/>
    <w:rsid w:val="007C23D6"/>
    <w:rsid w:val="007C23EB"/>
    <w:rsid w:val="007C23F8"/>
    <w:rsid w:val="007C249C"/>
    <w:rsid w:val="007C24A5"/>
    <w:rsid w:val="007C24B2"/>
    <w:rsid w:val="007C24F1"/>
    <w:rsid w:val="007C24F4"/>
    <w:rsid w:val="007C2542"/>
    <w:rsid w:val="007C2576"/>
    <w:rsid w:val="007C2584"/>
    <w:rsid w:val="007C263A"/>
    <w:rsid w:val="007C26A6"/>
    <w:rsid w:val="007C26A7"/>
    <w:rsid w:val="007C2753"/>
    <w:rsid w:val="007C275F"/>
    <w:rsid w:val="007C27B8"/>
    <w:rsid w:val="007C280E"/>
    <w:rsid w:val="007C2821"/>
    <w:rsid w:val="007C2888"/>
    <w:rsid w:val="007C2897"/>
    <w:rsid w:val="007C2901"/>
    <w:rsid w:val="007C291A"/>
    <w:rsid w:val="007C2952"/>
    <w:rsid w:val="007C296D"/>
    <w:rsid w:val="007C29B3"/>
    <w:rsid w:val="007C29C8"/>
    <w:rsid w:val="007C2AEA"/>
    <w:rsid w:val="007C2B03"/>
    <w:rsid w:val="007C2BB9"/>
    <w:rsid w:val="007C2C79"/>
    <w:rsid w:val="007C2D42"/>
    <w:rsid w:val="007C2D45"/>
    <w:rsid w:val="007C2D59"/>
    <w:rsid w:val="007C2DE8"/>
    <w:rsid w:val="007C2E33"/>
    <w:rsid w:val="007C2E35"/>
    <w:rsid w:val="007C2EA1"/>
    <w:rsid w:val="007C2F32"/>
    <w:rsid w:val="007C2F5D"/>
    <w:rsid w:val="007C2FCE"/>
    <w:rsid w:val="007C2FE5"/>
    <w:rsid w:val="007C301F"/>
    <w:rsid w:val="007C3029"/>
    <w:rsid w:val="007C3049"/>
    <w:rsid w:val="007C3067"/>
    <w:rsid w:val="007C309C"/>
    <w:rsid w:val="007C3147"/>
    <w:rsid w:val="007C316A"/>
    <w:rsid w:val="007C3182"/>
    <w:rsid w:val="007C3190"/>
    <w:rsid w:val="007C31AD"/>
    <w:rsid w:val="007C31D1"/>
    <w:rsid w:val="007C3251"/>
    <w:rsid w:val="007C3286"/>
    <w:rsid w:val="007C3291"/>
    <w:rsid w:val="007C32B1"/>
    <w:rsid w:val="007C32BB"/>
    <w:rsid w:val="007C32E2"/>
    <w:rsid w:val="007C3363"/>
    <w:rsid w:val="007C33E4"/>
    <w:rsid w:val="007C3453"/>
    <w:rsid w:val="007C348A"/>
    <w:rsid w:val="007C348F"/>
    <w:rsid w:val="007C34DB"/>
    <w:rsid w:val="007C3553"/>
    <w:rsid w:val="007C3597"/>
    <w:rsid w:val="007C35C5"/>
    <w:rsid w:val="007C35C7"/>
    <w:rsid w:val="007C3625"/>
    <w:rsid w:val="007C3703"/>
    <w:rsid w:val="007C3726"/>
    <w:rsid w:val="007C37A7"/>
    <w:rsid w:val="007C37B4"/>
    <w:rsid w:val="007C37F9"/>
    <w:rsid w:val="007C380A"/>
    <w:rsid w:val="007C3836"/>
    <w:rsid w:val="007C387A"/>
    <w:rsid w:val="007C3887"/>
    <w:rsid w:val="007C38A8"/>
    <w:rsid w:val="007C38AA"/>
    <w:rsid w:val="007C38E0"/>
    <w:rsid w:val="007C3923"/>
    <w:rsid w:val="007C3934"/>
    <w:rsid w:val="007C39F5"/>
    <w:rsid w:val="007C3A3E"/>
    <w:rsid w:val="007C3A40"/>
    <w:rsid w:val="007C3B03"/>
    <w:rsid w:val="007C3B28"/>
    <w:rsid w:val="007C3B32"/>
    <w:rsid w:val="007C3B4F"/>
    <w:rsid w:val="007C3BAC"/>
    <w:rsid w:val="007C3BC4"/>
    <w:rsid w:val="007C3BC7"/>
    <w:rsid w:val="007C3BD9"/>
    <w:rsid w:val="007C3BF5"/>
    <w:rsid w:val="007C3C0D"/>
    <w:rsid w:val="007C3C25"/>
    <w:rsid w:val="007C3CB6"/>
    <w:rsid w:val="007C3CD2"/>
    <w:rsid w:val="007C3CDC"/>
    <w:rsid w:val="007C3D00"/>
    <w:rsid w:val="007C3D65"/>
    <w:rsid w:val="007C3D7D"/>
    <w:rsid w:val="007C3D9B"/>
    <w:rsid w:val="007C3DD7"/>
    <w:rsid w:val="007C3E10"/>
    <w:rsid w:val="007C3E31"/>
    <w:rsid w:val="007C3E36"/>
    <w:rsid w:val="007C3E6D"/>
    <w:rsid w:val="007C3E93"/>
    <w:rsid w:val="007C3FB0"/>
    <w:rsid w:val="007C3FCD"/>
    <w:rsid w:val="007C4064"/>
    <w:rsid w:val="007C407F"/>
    <w:rsid w:val="007C40DB"/>
    <w:rsid w:val="007C40F7"/>
    <w:rsid w:val="007C4118"/>
    <w:rsid w:val="007C412A"/>
    <w:rsid w:val="007C4148"/>
    <w:rsid w:val="007C417D"/>
    <w:rsid w:val="007C41F7"/>
    <w:rsid w:val="007C4213"/>
    <w:rsid w:val="007C4215"/>
    <w:rsid w:val="007C42D6"/>
    <w:rsid w:val="007C4329"/>
    <w:rsid w:val="007C4348"/>
    <w:rsid w:val="007C4402"/>
    <w:rsid w:val="007C444F"/>
    <w:rsid w:val="007C44E0"/>
    <w:rsid w:val="007C44E7"/>
    <w:rsid w:val="007C44F1"/>
    <w:rsid w:val="007C4504"/>
    <w:rsid w:val="007C451A"/>
    <w:rsid w:val="007C4579"/>
    <w:rsid w:val="007C4596"/>
    <w:rsid w:val="007C4672"/>
    <w:rsid w:val="007C46A3"/>
    <w:rsid w:val="007C46F3"/>
    <w:rsid w:val="007C47C0"/>
    <w:rsid w:val="007C47C7"/>
    <w:rsid w:val="007C47EB"/>
    <w:rsid w:val="007C47F9"/>
    <w:rsid w:val="007C4887"/>
    <w:rsid w:val="007C48A3"/>
    <w:rsid w:val="007C48CA"/>
    <w:rsid w:val="007C494B"/>
    <w:rsid w:val="007C4988"/>
    <w:rsid w:val="007C499F"/>
    <w:rsid w:val="007C49EE"/>
    <w:rsid w:val="007C4A3E"/>
    <w:rsid w:val="007C4A4C"/>
    <w:rsid w:val="007C4A9D"/>
    <w:rsid w:val="007C4B66"/>
    <w:rsid w:val="007C4B98"/>
    <w:rsid w:val="007C4C27"/>
    <w:rsid w:val="007C4C29"/>
    <w:rsid w:val="007C4C6A"/>
    <w:rsid w:val="007C4CCD"/>
    <w:rsid w:val="007C4CE6"/>
    <w:rsid w:val="007C4D0D"/>
    <w:rsid w:val="007C4D0F"/>
    <w:rsid w:val="007C4D1E"/>
    <w:rsid w:val="007C4D89"/>
    <w:rsid w:val="007C4E07"/>
    <w:rsid w:val="007C4EA5"/>
    <w:rsid w:val="007C4EBC"/>
    <w:rsid w:val="007C4F04"/>
    <w:rsid w:val="007C4F56"/>
    <w:rsid w:val="007C4F6C"/>
    <w:rsid w:val="007C4FC3"/>
    <w:rsid w:val="007C503F"/>
    <w:rsid w:val="007C504B"/>
    <w:rsid w:val="007C5065"/>
    <w:rsid w:val="007C512A"/>
    <w:rsid w:val="007C5191"/>
    <w:rsid w:val="007C51D9"/>
    <w:rsid w:val="007C5215"/>
    <w:rsid w:val="007C5231"/>
    <w:rsid w:val="007C5255"/>
    <w:rsid w:val="007C52E2"/>
    <w:rsid w:val="007C5301"/>
    <w:rsid w:val="007C5425"/>
    <w:rsid w:val="007C54A0"/>
    <w:rsid w:val="007C54BF"/>
    <w:rsid w:val="007C54CA"/>
    <w:rsid w:val="007C54CD"/>
    <w:rsid w:val="007C5534"/>
    <w:rsid w:val="007C5547"/>
    <w:rsid w:val="007C5549"/>
    <w:rsid w:val="007C5567"/>
    <w:rsid w:val="007C5579"/>
    <w:rsid w:val="007C55A1"/>
    <w:rsid w:val="007C563C"/>
    <w:rsid w:val="007C56BD"/>
    <w:rsid w:val="007C56C2"/>
    <w:rsid w:val="007C56E2"/>
    <w:rsid w:val="007C580F"/>
    <w:rsid w:val="007C5839"/>
    <w:rsid w:val="007C5898"/>
    <w:rsid w:val="007C589C"/>
    <w:rsid w:val="007C593F"/>
    <w:rsid w:val="007C5946"/>
    <w:rsid w:val="007C594A"/>
    <w:rsid w:val="007C5993"/>
    <w:rsid w:val="007C5A16"/>
    <w:rsid w:val="007C5A4C"/>
    <w:rsid w:val="007C5A5E"/>
    <w:rsid w:val="007C5ACB"/>
    <w:rsid w:val="007C5B83"/>
    <w:rsid w:val="007C5BD7"/>
    <w:rsid w:val="007C5C4D"/>
    <w:rsid w:val="007C5CFB"/>
    <w:rsid w:val="007C5D42"/>
    <w:rsid w:val="007C5D74"/>
    <w:rsid w:val="007C5D8F"/>
    <w:rsid w:val="007C5DC1"/>
    <w:rsid w:val="007C5DC9"/>
    <w:rsid w:val="007C5DCB"/>
    <w:rsid w:val="007C5DF0"/>
    <w:rsid w:val="007C5E3F"/>
    <w:rsid w:val="007C5E4C"/>
    <w:rsid w:val="007C5E52"/>
    <w:rsid w:val="007C5E72"/>
    <w:rsid w:val="007C5E9F"/>
    <w:rsid w:val="007C5F05"/>
    <w:rsid w:val="007C5F07"/>
    <w:rsid w:val="007C5F27"/>
    <w:rsid w:val="007C5F7A"/>
    <w:rsid w:val="007C5FAE"/>
    <w:rsid w:val="007C5FF0"/>
    <w:rsid w:val="007C5FF2"/>
    <w:rsid w:val="007C600D"/>
    <w:rsid w:val="007C6061"/>
    <w:rsid w:val="007C6064"/>
    <w:rsid w:val="007C6071"/>
    <w:rsid w:val="007C60AB"/>
    <w:rsid w:val="007C60D5"/>
    <w:rsid w:val="007C60F6"/>
    <w:rsid w:val="007C61B9"/>
    <w:rsid w:val="007C6237"/>
    <w:rsid w:val="007C6288"/>
    <w:rsid w:val="007C6296"/>
    <w:rsid w:val="007C62F7"/>
    <w:rsid w:val="007C62F8"/>
    <w:rsid w:val="007C633A"/>
    <w:rsid w:val="007C6485"/>
    <w:rsid w:val="007C6540"/>
    <w:rsid w:val="007C65CC"/>
    <w:rsid w:val="007C65DF"/>
    <w:rsid w:val="007C65F6"/>
    <w:rsid w:val="007C6628"/>
    <w:rsid w:val="007C6677"/>
    <w:rsid w:val="007C66A7"/>
    <w:rsid w:val="007C66B2"/>
    <w:rsid w:val="007C66F5"/>
    <w:rsid w:val="007C6720"/>
    <w:rsid w:val="007C67B9"/>
    <w:rsid w:val="007C67DA"/>
    <w:rsid w:val="007C6806"/>
    <w:rsid w:val="007C68DC"/>
    <w:rsid w:val="007C68FF"/>
    <w:rsid w:val="007C69CA"/>
    <w:rsid w:val="007C6A14"/>
    <w:rsid w:val="007C6AA4"/>
    <w:rsid w:val="007C6AEF"/>
    <w:rsid w:val="007C6B7A"/>
    <w:rsid w:val="007C6B91"/>
    <w:rsid w:val="007C6C0E"/>
    <w:rsid w:val="007C6C49"/>
    <w:rsid w:val="007C6C69"/>
    <w:rsid w:val="007C6C94"/>
    <w:rsid w:val="007C6CF1"/>
    <w:rsid w:val="007C6D13"/>
    <w:rsid w:val="007C6D83"/>
    <w:rsid w:val="007C6D8C"/>
    <w:rsid w:val="007C6D99"/>
    <w:rsid w:val="007C6E02"/>
    <w:rsid w:val="007C6E0C"/>
    <w:rsid w:val="007C6E13"/>
    <w:rsid w:val="007C6E6D"/>
    <w:rsid w:val="007C6E74"/>
    <w:rsid w:val="007C6E7B"/>
    <w:rsid w:val="007C6E92"/>
    <w:rsid w:val="007C6EAC"/>
    <w:rsid w:val="007C6EB1"/>
    <w:rsid w:val="007C6FBF"/>
    <w:rsid w:val="007C703E"/>
    <w:rsid w:val="007C7064"/>
    <w:rsid w:val="007C706B"/>
    <w:rsid w:val="007C707A"/>
    <w:rsid w:val="007C7105"/>
    <w:rsid w:val="007C7129"/>
    <w:rsid w:val="007C7190"/>
    <w:rsid w:val="007C71E9"/>
    <w:rsid w:val="007C7210"/>
    <w:rsid w:val="007C7244"/>
    <w:rsid w:val="007C727E"/>
    <w:rsid w:val="007C72E3"/>
    <w:rsid w:val="007C730E"/>
    <w:rsid w:val="007C7338"/>
    <w:rsid w:val="007C735A"/>
    <w:rsid w:val="007C736D"/>
    <w:rsid w:val="007C73E7"/>
    <w:rsid w:val="007C7480"/>
    <w:rsid w:val="007C74B1"/>
    <w:rsid w:val="007C74EA"/>
    <w:rsid w:val="007C763A"/>
    <w:rsid w:val="007C76F7"/>
    <w:rsid w:val="007C775A"/>
    <w:rsid w:val="007C776F"/>
    <w:rsid w:val="007C77BC"/>
    <w:rsid w:val="007C783A"/>
    <w:rsid w:val="007C784A"/>
    <w:rsid w:val="007C784C"/>
    <w:rsid w:val="007C7915"/>
    <w:rsid w:val="007C792E"/>
    <w:rsid w:val="007C79C7"/>
    <w:rsid w:val="007C7A55"/>
    <w:rsid w:val="007C7A5F"/>
    <w:rsid w:val="007C7A8C"/>
    <w:rsid w:val="007C7AA4"/>
    <w:rsid w:val="007C7ADC"/>
    <w:rsid w:val="007C7AED"/>
    <w:rsid w:val="007C7B14"/>
    <w:rsid w:val="007C7B9B"/>
    <w:rsid w:val="007C7BC0"/>
    <w:rsid w:val="007C7C27"/>
    <w:rsid w:val="007C7C3A"/>
    <w:rsid w:val="007C7C92"/>
    <w:rsid w:val="007C7C9F"/>
    <w:rsid w:val="007C7CD3"/>
    <w:rsid w:val="007C7CED"/>
    <w:rsid w:val="007C7D04"/>
    <w:rsid w:val="007C7D34"/>
    <w:rsid w:val="007C7DDB"/>
    <w:rsid w:val="007C7E39"/>
    <w:rsid w:val="007C7E9B"/>
    <w:rsid w:val="007C7EF2"/>
    <w:rsid w:val="007C7FA6"/>
    <w:rsid w:val="007D000A"/>
    <w:rsid w:val="007D0051"/>
    <w:rsid w:val="007D00FE"/>
    <w:rsid w:val="007D0150"/>
    <w:rsid w:val="007D016B"/>
    <w:rsid w:val="007D0250"/>
    <w:rsid w:val="007D0253"/>
    <w:rsid w:val="007D02A1"/>
    <w:rsid w:val="007D02AF"/>
    <w:rsid w:val="007D0308"/>
    <w:rsid w:val="007D037F"/>
    <w:rsid w:val="007D03F4"/>
    <w:rsid w:val="007D03FE"/>
    <w:rsid w:val="007D043D"/>
    <w:rsid w:val="007D0510"/>
    <w:rsid w:val="007D0542"/>
    <w:rsid w:val="007D0553"/>
    <w:rsid w:val="007D056E"/>
    <w:rsid w:val="007D0660"/>
    <w:rsid w:val="007D06AD"/>
    <w:rsid w:val="007D06AE"/>
    <w:rsid w:val="007D06AF"/>
    <w:rsid w:val="007D0719"/>
    <w:rsid w:val="007D078C"/>
    <w:rsid w:val="007D081A"/>
    <w:rsid w:val="007D0862"/>
    <w:rsid w:val="007D0901"/>
    <w:rsid w:val="007D0966"/>
    <w:rsid w:val="007D097E"/>
    <w:rsid w:val="007D09FD"/>
    <w:rsid w:val="007D0ACD"/>
    <w:rsid w:val="007D0B0B"/>
    <w:rsid w:val="007D0B35"/>
    <w:rsid w:val="007D0B4A"/>
    <w:rsid w:val="007D0B7F"/>
    <w:rsid w:val="007D0B80"/>
    <w:rsid w:val="007D0BFB"/>
    <w:rsid w:val="007D0C1F"/>
    <w:rsid w:val="007D0C7E"/>
    <w:rsid w:val="007D0C99"/>
    <w:rsid w:val="007D0CB9"/>
    <w:rsid w:val="007D0CCC"/>
    <w:rsid w:val="007D0CEA"/>
    <w:rsid w:val="007D0CF3"/>
    <w:rsid w:val="007D0D04"/>
    <w:rsid w:val="007D0D7C"/>
    <w:rsid w:val="007D0D90"/>
    <w:rsid w:val="007D0E36"/>
    <w:rsid w:val="007D0E8E"/>
    <w:rsid w:val="007D0EC4"/>
    <w:rsid w:val="007D0ED0"/>
    <w:rsid w:val="007D0F8D"/>
    <w:rsid w:val="007D0FF3"/>
    <w:rsid w:val="007D109D"/>
    <w:rsid w:val="007D10DF"/>
    <w:rsid w:val="007D10E4"/>
    <w:rsid w:val="007D10E9"/>
    <w:rsid w:val="007D11A8"/>
    <w:rsid w:val="007D12CC"/>
    <w:rsid w:val="007D131D"/>
    <w:rsid w:val="007D1332"/>
    <w:rsid w:val="007D1337"/>
    <w:rsid w:val="007D1364"/>
    <w:rsid w:val="007D1445"/>
    <w:rsid w:val="007D144A"/>
    <w:rsid w:val="007D1454"/>
    <w:rsid w:val="007D1465"/>
    <w:rsid w:val="007D14AE"/>
    <w:rsid w:val="007D14D7"/>
    <w:rsid w:val="007D155E"/>
    <w:rsid w:val="007D15A5"/>
    <w:rsid w:val="007D15B4"/>
    <w:rsid w:val="007D15C9"/>
    <w:rsid w:val="007D15FB"/>
    <w:rsid w:val="007D1617"/>
    <w:rsid w:val="007D1621"/>
    <w:rsid w:val="007D1668"/>
    <w:rsid w:val="007D1675"/>
    <w:rsid w:val="007D16A9"/>
    <w:rsid w:val="007D16BB"/>
    <w:rsid w:val="007D1726"/>
    <w:rsid w:val="007D1769"/>
    <w:rsid w:val="007D17DB"/>
    <w:rsid w:val="007D18A5"/>
    <w:rsid w:val="007D18D3"/>
    <w:rsid w:val="007D1911"/>
    <w:rsid w:val="007D198F"/>
    <w:rsid w:val="007D1A15"/>
    <w:rsid w:val="007D1A2F"/>
    <w:rsid w:val="007D1AF4"/>
    <w:rsid w:val="007D1B79"/>
    <w:rsid w:val="007D1BB8"/>
    <w:rsid w:val="007D1C0A"/>
    <w:rsid w:val="007D1C1C"/>
    <w:rsid w:val="007D1C58"/>
    <w:rsid w:val="007D1CC9"/>
    <w:rsid w:val="007D1DDA"/>
    <w:rsid w:val="007D1DF3"/>
    <w:rsid w:val="007D1DF5"/>
    <w:rsid w:val="007D1E22"/>
    <w:rsid w:val="007D1E55"/>
    <w:rsid w:val="007D1E91"/>
    <w:rsid w:val="007D1EB0"/>
    <w:rsid w:val="007D1EF2"/>
    <w:rsid w:val="007D1F0C"/>
    <w:rsid w:val="007D1F1A"/>
    <w:rsid w:val="007D1F37"/>
    <w:rsid w:val="007D1F68"/>
    <w:rsid w:val="007D1FB8"/>
    <w:rsid w:val="007D2007"/>
    <w:rsid w:val="007D2034"/>
    <w:rsid w:val="007D2156"/>
    <w:rsid w:val="007D2166"/>
    <w:rsid w:val="007D2197"/>
    <w:rsid w:val="007D21A7"/>
    <w:rsid w:val="007D220C"/>
    <w:rsid w:val="007D2217"/>
    <w:rsid w:val="007D223E"/>
    <w:rsid w:val="007D227B"/>
    <w:rsid w:val="007D2302"/>
    <w:rsid w:val="007D232E"/>
    <w:rsid w:val="007D2411"/>
    <w:rsid w:val="007D242C"/>
    <w:rsid w:val="007D244D"/>
    <w:rsid w:val="007D2456"/>
    <w:rsid w:val="007D2467"/>
    <w:rsid w:val="007D248B"/>
    <w:rsid w:val="007D24CD"/>
    <w:rsid w:val="007D2557"/>
    <w:rsid w:val="007D25B5"/>
    <w:rsid w:val="007D25C1"/>
    <w:rsid w:val="007D262D"/>
    <w:rsid w:val="007D2692"/>
    <w:rsid w:val="007D26D1"/>
    <w:rsid w:val="007D2732"/>
    <w:rsid w:val="007D2747"/>
    <w:rsid w:val="007D275B"/>
    <w:rsid w:val="007D27AA"/>
    <w:rsid w:val="007D27FB"/>
    <w:rsid w:val="007D2899"/>
    <w:rsid w:val="007D28BA"/>
    <w:rsid w:val="007D29AB"/>
    <w:rsid w:val="007D29C2"/>
    <w:rsid w:val="007D29CC"/>
    <w:rsid w:val="007D29F4"/>
    <w:rsid w:val="007D2B57"/>
    <w:rsid w:val="007D2B66"/>
    <w:rsid w:val="007D2BDB"/>
    <w:rsid w:val="007D2C8F"/>
    <w:rsid w:val="007D2CD8"/>
    <w:rsid w:val="007D2D3E"/>
    <w:rsid w:val="007D2D5A"/>
    <w:rsid w:val="007D2DAD"/>
    <w:rsid w:val="007D2E44"/>
    <w:rsid w:val="007D2E83"/>
    <w:rsid w:val="007D2F13"/>
    <w:rsid w:val="007D2F67"/>
    <w:rsid w:val="007D2F73"/>
    <w:rsid w:val="007D2F9B"/>
    <w:rsid w:val="007D3056"/>
    <w:rsid w:val="007D30D5"/>
    <w:rsid w:val="007D30F2"/>
    <w:rsid w:val="007D3138"/>
    <w:rsid w:val="007D31BA"/>
    <w:rsid w:val="007D3236"/>
    <w:rsid w:val="007D3275"/>
    <w:rsid w:val="007D3292"/>
    <w:rsid w:val="007D334F"/>
    <w:rsid w:val="007D3370"/>
    <w:rsid w:val="007D33D9"/>
    <w:rsid w:val="007D33E4"/>
    <w:rsid w:val="007D3459"/>
    <w:rsid w:val="007D3463"/>
    <w:rsid w:val="007D3497"/>
    <w:rsid w:val="007D34C6"/>
    <w:rsid w:val="007D3509"/>
    <w:rsid w:val="007D3531"/>
    <w:rsid w:val="007D35DE"/>
    <w:rsid w:val="007D3619"/>
    <w:rsid w:val="007D3674"/>
    <w:rsid w:val="007D36AA"/>
    <w:rsid w:val="007D36C1"/>
    <w:rsid w:val="007D36C5"/>
    <w:rsid w:val="007D3722"/>
    <w:rsid w:val="007D3771"/>
    <w:rsid w:val="007D3782"/>
    <w:rsid w:val="007D37CD"/>
    <w:rsid w:val="007D3898"/>
    <w:rsid w:val="007D38C3"/>
    <w:rsid w:val="007D3911"/>
    <w:rsid w:val="007D3971"/>
    <w:rsid w:val="007D39D0"/>
    <w:rsid w:val="007D39DE"/>
    <w:rsid w:val="007D3A08"/>
    <w:rsid w:val="007D3A10"/>
    <w:rsid w:val="007D3A39"/>
    <w:rsid w:val="007D3B26"/>
    <w:rsid w:val="007D3B89"/>
    <w:rsid w:val="007D3B93"/>
    <w:rsid w:val="007D3B9A"/>
    <w:rsid w:val="007D3BA1"/>
    <w:rsid w:val="007D3BC4"/>
    <w:rsid w:val="007D3BE8"/>
    <w:rsid w:val="007D3C06"/>
    <w:rsid w:val="007D3C1A"/>
    <w:rsid w:val="007D3C21"/>
    <w:rsid w:val="007D3CF9"/>
    <w:rsid w:val="007D3DD9"/>
    <w:rsid w:val="007D3E79"/>
    <w:rsid w:val="007D3EA5"/>
    <w:rsid w:val="007D3ECB"/>
    <w:rsid w:val="007D3EE4"/>
    <w:rsid w:val="007D3F09"/>
    <w:rsid w:val="007D3F2D"/>
    <w:rsid w:val="007D3F2E"/>
    <w:rsid w:val="007D3F47"/>
    <w:rsid w:val="007D3FA6"/>
    <w:rsid w:val="007D4008"/>
    <w:rsid w:val="007D4065"/>
    <w:rsid w:val="007D40AB"/>
    <w:rsid w:val="007D40C6"/>
    <w:rsid w:val="007D40CF"/>
    <w:rsid w:val="007D4147"/>
    <w:rsid w:val="007D414F"/>
    <w:rsid w:val="007D4270"/>
    <w:rsid w:val="007D42AC"/>
    <w:rsid w:val="007D42F9"/>
    <w:rsid w:val="007D4317"/>
    <w:rsid w:val="007D435B"/>
    <w:rsid w:val="007D4377"/>
    <w:rsid w:val="007D4393"/>
    <w:rsid w:val="007D43B7"/>
    <w:rsid w:val="007D43E3"/>
    <w:rsid w:val="007D450E"/>
    <w:rsid w:val="007D45AF"/>
    <w:rsid w:val="007D45CB"/>
    <w:rsid w:val="007D45CE"/>
    <w:rsid w:val="007D45D0"/>
    <w:rsid w:val="007D4637"/>
    <w:rsid w:val="007D4639"/>
    <w:rsid w:val="007D46A0"/>
    <w:rsid w:val="007D4710"/>
    <w:rsid w:val="007D478E"/>
    <w:rsid w:val="007D47B0"/>
    <w:rsid w:val="007D47B3"/>
    <w:rsid w:val="007D47EE"/>
    <w:rsid w:val="007D4892"/>
    <w:rsid w:val="007D48D3"/>
    <w:rsid w:val="007D48DB"/>
    <w:rsid w:val="007D49D7"/>
    <w:rsid w:val="007D49E4"/>
    <w:rsid w:val="007D4A13"/>
    <w:rsid w:val="007D4A3E"/>
    <w:rsid w:val="007D4A81"/>
    <w:rsid w:val="007D4B02"/>
    <w:rsid w:val="007D4B1B"/>
    <w:rsid w:val="007D4B21"/>
    <w:rsid w:val="007D4B4D"/>
    <w:rsid w:val="007D4B4E"/>
    <w:rsid w:val="007D4B66"/>
    <w:rsid w:val="007D4B9E"/>
    <w:rsid w:val="007D4C03"/>
    <w:rsid w:val="007D4C09"/>
    <w:rsid w:val="007D4C0D"/>
    <w:rsid w:val="007D4C77"/>
    <w:rsid w:val="007D4C97"/>
    <w:rsid w:val="007D4CF6"/>
    <w:rsid w:val="007D4D1B"/>
    <w:rsid w:val="007D4DC8"/>
    <w:rsid w:val="007D4E0F"/>
    <w:rsid w:val="007D4E4F"/>
    <w:rsid w:val="007D4E5C"/>
    <w:rsid w:val="007D4E5D"/>
    <w:rsid w:val="007D4E82"/>
    <w:rsid w:val="007D4E8F"/>
    <w:rsid w:val="007D4E9B"/>
    <w:rsid w:val="007D4EA4"/>
    <w:rsid w:val="007D4EC5"/>
    <w:rsid w:val="007D4EEB"/>
    <w:rsid w:val="007D4F0B"/>
    <w:rsid w:val="007D4F61"/>
    <w:rsid w:val="007D4F85"/>
    <w:rsid w:val="007D4FA6"/>
    <w:rsid w:val="007D4FB0"/>
    <w:rsid w:val="007D4FC4"/>
    <w:rsid w:val="007D502A"/>
    <w:rsid w:val="007D5072"/>
    <w:rsid w:val="007D5099"/>
    <w:rsid w:val="007D50E0"/>
    <w:rsid w:val="007D5108"/>
    <w:rsid w:val="007D510D"/>
    <w:rsid w:val="007D511A"/>
    <w:rsid w:val="007D5191"/>
    <w:rsid w:val="007D5203"/>
    <w:rsid w:val="007D5214"/>
    <w:rsid w:val="007D521A"/>
    <w:rsid w:val="007D522E"/>
    <w:rsid w:val="007D52C3"/>
    <w:rsid w:val="007D52DB"/>
    <w:rsid w:val="007D5355"/>
    <w:rsid w:val="007D5356"/>
    <w:rsid w:val="007D5378"/>
    <w:rsid w:val="007D5399"/>
    <w:rsid w:val="007D54B1"/>
    <w:rsid w:val="007D54E8"/>
    <w:rsid w:val="007D5507"/>
    <w:rsid w:val="007D5582"/>
    <w:rsid w:val="007D55C5"/>
    <w:rsid w:val="007D5691"/>
    <w:rsid w:val="007D5699"/>
    <w:rsid w:val="007D56A1"/>
    <w:rsid w:val="007D56C9"/>
    <w:rsid w:val="007D56EB"/>
    <w:rsid w:val="007D56F0"/>
    <w:rsid w:val="007D5713"/>
    <w:rsid w:val="007D5716"/>
    <w:rsid w:val="007D5790"/>
    <w:rsid w:val="007D57AE"/>
    <w:rsid w:val="007D57BB"/>
    <w:rsid w:val="007D57D1"/>
    <w:rsid w:val="007D5841"/>
    <w:rsid w:val="007D5953"/>
    <w:rsid w:val="007D5A0D"/>
    <w:rsid w:val="007D5A4E"/>
    <w:rsid w:val="007D5A74"/>
    <w:rsid w:val="007D5A93"/>
    <w:rsid w:val="007D5ABA"/>
    <w:rsid w:val="007D5AD2"/>
    <w:rsid w:val="007D5B15"/>
    <w:rsid w:val="007D5B62"/>
    <w:rsid w:val="007D5BBA"/>
    <w:rsid w:val="007D5BCC"/>
    <w:rsid w:val="007D5BD7"/>
    <w:rsid w:val="007D5C08"/>
    <w:rsid w:val="007D5C1C"/>
    <w:rsid w:val="007D5C63"/>
    <w:rsid w:val="007D5CDC"/>
    <w:rsid w:val="007D5D0B"/>
    <w:rsid w:val="007D5D2B"/>
    <w:rsid w:val="007D5D31"/>
    <w:rsid w:val="007D5D5B"/>
    <w:rsid w:val="007D5DB7"/>
    <w:rsid w:val="007D5DC0"/>
    <w:rsid w:val="007D5F25"/>
    <w:rsid w:val="007D5F41"/>
    <w:rsid w:val="007D5F51"/>
    <w:rsid w:val="007D5FD8"/>
    <w:rsid w:val="007D5FF0"/>
    <w:rsid w:val="007D6029"/>
    <w:rsid w:val="007D60BE"/>
    <w:rsid w:val="007D610E"/>
    <w:rsid w:val="007D6134"/>
    <w:rsid w:val="007D613D"/>
    <w:rsid w:val="007D615D"/>
    <w:rsid w:val="007D6162"/>
    <w:rsid w:val="007D61C5"/>
    <w:rsid w:val="007D61DE"/>
    <w:rsid w:val="007D61F3"/>
    <w:rsid w:val="007D61FB"/>
    <w:rsid w:val="007D625C"/>
    <w:rsid w:val="007D627F"/>
    <w:rsid w:val="007D63AE"/>
    <w:rsid w:val="007D63DD"/>
    <w:rsid w:val="007D6489"/>
    <w:rsid w:val="007D6499"/>
    <w:rsid w:val="007D64DE"/>
    <w:rsid w:val="007D667B"/>
    <w:rsid w:val="007D66A7"/>
    <w:rsid w:val="007D66C9"/>
    <w:rsid w:val="007D6755"/>
    <w:rsid w:val="007D676D"/>
    <w:rsid w:val="007D688E"/>
    <w:rsid w:val="007D68E4"/>
    <w:rsid w:val="007D68E9"/>
    <w:rsid w:val="007D6913"/>
    <w:rsid w:val="007D69BA"/>
    <w:rsid w:val="007D69E4"/>
    <w:rsid w:val="007D69FC"/>
    <w:rsid w:val="007D6A12"/>
    <w:rsid w:val="007D6A14"/>
    <w:rsid w:val="007D6A2F"/>
    <w:rsid w:val="007D6A5F"/>
    <w:rsid w:val="007D6A6E"/>
    <w:rsid w:val="007D6B44"/>
    <w:rsid w:val="007D6B66"/>
    <w:rsid w:val="007D6BFC"/>
    <w:rsid w:val="007D6C08"/>
    <w:rsid w:val="007D6C0A"/>
    <w:rsid w:val="007D6CAC"/>
    <w:rsid w:val="007D6CD8"/>
    <w:rsid w:val="007D6CDA"/>
    <w:rsid w:val="007D6CEA"/>
    <w:rsid w:val="007D6D6F"/>
    <w:rsid w:val="007D6DA0"/>
    <w:rsid w:val="007D6DB3"/>
    <w:rsid w:val="007D6DC6"/>
    <w:rsid w:val="007D6E1B"/>
    <w:rsid w:val="007D6E38"/>
    <w:rsid w:val="007D6E3A"/>
    <w:rsid w:val="007D6F0F"/>
    <w:rsid w:val="007D6F12"/>
    <w:rsid w:val="007D6F94"/>
    <w:rsid w:val="007D6FC7"/>
    <w:rsid w:val="007D7032"/>
    <w:rsid w:val="007D70B3"/>
    <w:rsid w:val="007D70C0"/>
    <w:rsid w:val="007D715C"/>
    <w:rsid w:val="007D71B1"/>
    <w:rsid w:val="007D71BC"/>
    <w:rsid w:val="007D71D0"/>
    <w:rsid w:val="007D71E1"/>
    <w:rsid w:val="007D71F1"/>
    <w:rsid w:val="007D723F"/>
    <w:rsid w:val="007D7269"/>
    <w:rsid w:val="007D7294"/>
    <w:rsid w:val="007D7338"/>
    <w:rsid w:val="007D7362"/>
    <w:rsid w:val="007D7383"/>
    <w:rsid w:val="007D738B"/>
    <w:rsid w:val="007D738F"/>
    <w:rsid w:val="007D73A9"/>
    <w:rsid w:val="007D73D4"/>
    <w:rsid w:val="007D73FF"/>
    <w:rsid w:val="007D74AE"/>
    <w:rsid w:val="007D74B1"/>
    <w:rsid w:val="007D7521"/>
    <w:rsid w:val="007D759F"/>
    <w:rsid w:val="007D7609"/>
    <w:rsid w:val="007D760C"/>
    <w:rsid w:val="007D7615"/>
    <w:rsid w:val="007D7643"/>
    <w:rsid w:val="007D76F2"/>
    <w:rsid w:val="007D7713"/>
    <w:rsid w:val="007D7735"/>
    <w:rsid w:val="007D77BA"/>
    <w:rsid w:val="007D780E"/>
    <w:rsid w:val="007D7818"/>
    <w:rsid w:val="007D7823"/>
    <w:rsid w:val="007D787B"/>
    <w:rsid w:val="007D78BA"/>
    <w:rsid w:val="007D78F0"/>
    <w:rsid w:val="007D7923"/>
    <w:rsid w:val="007D792A"/>
    <w:rsid w:val="007D794E"/>
    <w:rsid w:val="007D7969"/>
    <w:rsid w:val="007D79E7"/>
    <w:rsid w:val="007D7A42"/>
    <w:rsid w:val="007D7B19"/>
    <w:rsid w:val="007D7B51"/>
    <w:rsid w:val="007D7B59"/>
    <w:rsid w:val="007D7CBB"/>
    <w:rsid w:val="007D7CEE"/>
    <w:rsid w:val="007D7D06"/>
    <w:rsid w:val="007D7D4D"/>
    <w:rsid w:val="007D7DBC"/>
    <w:rsid w:val="007D7DD4"/>
    <w:rsid w:val="007D7DE8"/>
    <w:rsid w:val="007D7E06"/>
    <w:rsid w:val="007D7E50"/>
    <w:rsid w:val="007D7EA5"/>
    <w:rsid w:val="007D7EFC"/>
    <w:rsid w:val="007E000A"/>
    <w:rsid w:val="007E0094"/>
    <w:rsid w:val="007E012C"/>
    <w:rsid w:val="007E0149"/>
    <w:rsid w:val="007E01C7"/>
    <w:rsid w:val="007E0313"/>
    <w:rsid w:val="007E036D"/>
    <w:rsid w:val="007E03B3"/>
    <w:rsid w:val="007E03C2"/>
    <w:rsid w:val="007E03C9"/>
    <w:rsid w:val="007E0403"/>
    <w:rsid w:val="007E045B"/>
    <w:rsid w:val="007E048A"/>
    <w:rsid w:val="007E04AF"/>
    <w:rsid w:val="007E04B7"/>
    <w:rsid w:val="007E04FA"/>
    <w:rsid w:val="007E0541"/>
    <w:rsid w:val="007E05A1"/>
    <w:rsid w:val="007E05B8"/>
    <w:rsid w:val="007E068B"/>
    <w:rsid w:val="007E06F4"/>
    <w:rsid w:val="007E0784"/>
    <w:rsid w:val="007E07A8"/>
    <w:rsid w:val="007E07AA"/>
    <w:rsid w:val="007E08C7"/>
    <w:rsid w:val="007E08F6"/>
    <w:rsid w:val="007E0927"/>
    <w:rsid w:val="007E0951"/>
    <w:rsid w:val="007E0967"/>
    <w:rsid w:val="007E0986"/>
    <w:rsid w:val="007E09CD"/>
    <w:rsid w:val="007E09D2"/>
    <w:rsid w:val="007E0A7D"/>
    <w:rsid w:val="007E0AD9"/>
    <w:rsid w:val="007E0B22"/>
    <w:rsid w:val="007E0B69"/>
    <w:rsid w:val="007E0C5E"/>
    <w:rsid w:val="007E0C86"/>
    <w:rsid w:val="007E0CF5"/>
    <w:rsid w:val="007E0D17"/>
    <w:rsid w:val="007E0D1D"/>
    <w:rsid w:val="007E0D55"/>
    <w:rsid w:val="007E0DAD"/>
    <w:rsid w:val="007E0DD5"/>
    <w:rsid w:val="007E0E28"/>
    <w:rsid w:val="007E0EA9"/>
    <w:rsid w:val="007E0EEF"/>
    <w:rsid w:val="007E0EFE"/>
    <w:rsid w:val="007E0F55"/>
    <w:rsid w:val="007E0FAB"/>
    <w:rsid w:val="007E0FE7"/>
    <w:rsid w:val="007E0FE8"/>
    <w:rsid w:val="007E100D"/>
    <w:rsid w:val="007E1018"/>
    <w:rsid w:val="007E10AC"/>
    <w:rsid w:val="007E10FC"/>
    <w:rsid w:val="007E11B2"/>
    <w:rsid w:val="007E1254"/>
    <w:rsid w:val="007E1264"/>
    <w:rsid w:val="007E12B9"/>
    <w:rsid w:val="007E12C9"/>
    <w:rsid w:val="007E12D1"/>
    <w:rsid w:val="007E13A9"/>
    <w:rsid w:val="007E13FF"/>
    <w:rsid w:val="007E1421"/>
    <w:rsid w:val="007E14D8"/>
    <w:rsid w:val="007E156B"/>
    <w:rsid w:val="007E159E"/>
    <w:rsid w:val="007E15E2"/>
    <w:rsid w:val="007E1613"/>
    <w:rsid w:val="007E1616"/>
    <w:rsid w:val="007E1663"/>
    <w:rsid w:val="007E166C"/>
    <w:rsid w:val="007E16D0"/>
    <w:rsid w:val="007E174E"/>
    <w:rsid w:val="007E178B"/>
    <w:rsid w:val="007E1860"/>
    <w:rsid w:val="007E1933"/>
    <w:rsid w:val="007E194B"/>
    <w:rsid w:val="007E197C"/>
    <w:rsid w:val="007E199C"/>
    <w:rsid w:val="007E19CC"/>
    <w:rsid w:val="007E19D4"/>
    <w:rsid w:val="007E19E7"/>
    <w:rsid w:val="007E1A54"/>
    <w:rsid w:val="007E1A6D"/>
    <w:rsid w:val="007E1A81"/>
    <w:rsid w:val="007E1B06"/>
    <w:rsid w:val="007E1B1A"/>
    <w:rsid w:val="007E1B8B"/>
    <w:rsid w:val="007E1C87"/>
    <w:rsid w:val="007E1C94"/>
    <w:rsid w:val="007E1CC0"/>
    <w:rsid w:val="007E1CDD"/>
    <w:rsid w:val="007E1CE0"/>
    <w:rsid w:val="007E1CED"/>
    <w:rsid w:val="007E1D14"/>
    <w:rsid w:val="007E1D1C"/>
    <w:rsid w:val="007E1D23"/>
    <w:rsid w:val="007E1D46"/>
    <w:rsid w:val="007E1D7A"/>
    <w:rsid w:val="007E1DE8"/>
    <w:rsid w:val="007E1E2A"/>
    <w:rsid w:val="007E1E5B"/>
    <w:rsid w:val="007E1E8C"/>
    <w:rsid w:val="007E1F69"/>
    <w:rsid w:val="007E1FBD"/>
    <w:rsid w:val="007E1FE0"/>
    <w:rsid w:val="007E2017"/>
    <w:rsid w:val="007E2082"/>
    <w:rsid w:val="007E2088"/>
    <w:rsid w:val="007E20A2"/>
    <w:rsid w:val="007E20DB"/>
    <w:rsid w:val="007E20F0"/>
    <w:rsid w:val="007E2106"/>
    <w:rsid w:val="007E2135"/>
    <w:rsid w:val="007E2193"/>
    <w:rsid w:val="007E22B8"/>
    <w:rsid w:val="007E232E"/>
    <w:rsid w:val="007E241E"/>
    <w:rsid w:val="007E246F"/>
    <w:rsid w:val="007E253D"/>
    <w:rsid w:val="007E2571"/>
    <w:rsid w:val="007E257D"/>
    <w:rsid w:val="007E2598"/>
    <w:rsid w:val="007E25A1"/>
    <w:rsid w:val="007E2734"/>
    <w:rsid w:val="007E2738"/>
    <w:rsid w:val="007E2757"/>
    <w:rsid w:val="007E275E"/>
    <w:rsid w:val="007E277F"/>
    <w:rsid w:val="007E27D5"/>
    <w:rsid w:val="007E282C"/>
    <w:rsid w:val="007E286D"/>
    <w:rsid w:val="007E2977"/>
    <w:rsid w:val="007E29A8"/>
    <w:rsid w:val="007E2B47"/>
    <w:rsid w:val="007E2B7F"/>
    <w:rsid w:val="007E2BC3"/>
    <w:rsid w:val="007E2BD0"/>
    <w:rsid w:val="007E2C2A"/>
    <w:rsid w:val="007E2D70"/>
    <w:rsid w:val="007E2D9D"/>
    <w:rsid w:val="007E2DDC"/>
    <w:rsid w:val="007E2E7D"/>
    <w:rsid w:val="007E2E97"/>
    <w:rsid w:val="007E2E98"/>
    <w:rsid w:val="007E2EE3"/>
    <w:rsid w:val="007E2F09"/>
    <w:rsid w:val="007E2F95"/>
    <w:rsid w:val="007E2FE0"/>
    <w:rsid w:val="007E3023"/>
    <w:rsid w:val="007E303E"/>
    <w:rsid w:val="007E30BB"/>
    <w:rsid w:val="007E3175"/>
    <w:rsid w:val="007E31CC"/>
    <w:rsid w:val="007E31FA"/>
    <w:rsid w:val="007E329F"/>
    <w:rsid w:val="007E3371"/>
    <w:rsid w:val="007E33CD"/>
    <w:rsid w:val="007E33E4"/>
    <w:rsid w:val="007E3469"/>
    <w:rsid w:val="007E34C0"/>
    <w:rsid w:val="007E34EA"/>
    <w:rsid w:val="007E34F1"/>
    <w:rsid w:val="007E3505"/>
    <w:rsid w:val="007E3506"/>
    <w:rsid w:val="007E353E"/>
    <w:rsid w:val="007E356E"/>
    <w:rsid w:val="007E35B5"/>
    <w:rsid w:val="007E35C1"/>
    <w:rsid w:val="007E35C6"/>
    <w:rsid w:val="007E3606"/>
    <w:rsid w:val="007E360C"/>
    <w:rsid w:val="007E3699"/>
    <w:rsid w:val="007E369F"/>
    <w:rsid w:val="007E3704"/>
    <w:rsid w:val="007E371A"/>
    <w:rsid w:val="007E3769"/>
    <w:rsid w:val="007E377B"/>
    <w:rsid w:val="007E37F7"/>
    <w:rsid w:val="007E3848"/>
    <w:rsid w:val="007E3868"/>
    <w:rsid w:val="007E3869"/>
    <w:rsid w:val="007E3874"/>
    <w:rsid w:val="007E3875"/>
    <w:rsid w:val="007E3889"/>
    <w:rsid w:val="007E388D"/>
    <w:rsid w:val="007E3911"/>
    <w:rsid w:val="007E392E"/>
    <w:rsid w:val="007E3939"/>
    <w:rsid w:val="007E397D"/>
    <w:rsid w:val="007E3A32"/>
    <w:rsid w:val="007E3A83"/>
    <w:rsid w:val="007E3AAA"/>
    <w:rsid w:val="007E3AC2"/>
    <w:rsid w:val="007E3AFC"/>
    <w:rsid w:val="007E3B09"/>
    <w:rsid w:val="007E3B99"/>
    <w:rsid w:val="007E3BCC"/>
    <w:rsid w:val="007E3C78"/>
    <w:rsid w:val="007E3C9A"/>
    <w:rsid w:val="007E3CA9"/>
    <w:rsid w:val="007E3CC5"/>
    <w:rsid w:val="007E3CDF"/>
    <w:rsid w:val="007E3D3E"/>
    <w:rsid w:val="007E3D71"/>
    <w:rsid w:val="007E3DB7"/>
    <w:rsid w:val="007E3DC8"/>
    <w:rsid w:val="007E3E35"/>
    <w:rsid w:val="007E3E6C"/>
    <w:rsid w:val="007E3E70"/>
    <w:rsid w:val="007E3EBF"/>
    <w:rsid w:val="007E3F41"/>
    <w:rsid w:val="007E3FB0"/>
    <w:rsid w:val="007E4046"/>
    <w:rsid w:val="007E4106"/>
    <w:rsid w:val="007E4194"/>
    <w:rsid w:val="007E419A"/>
    <w:rsid w:val="007E419D"/>
    <w:rsid w:val="007E41A5"/>
    <w:rsid w:val="007E41FA"/>
    <w:rsid w:val="007E41FE"/>
    <w:rsid w:val="007E4225"/>
    <w:rsid w:val="007E4256"/>
    <w:rsid w:val="007E4260"/>
    <w:rsid w:val="007E429E"/>
    <w:rsid w:val="007E430E"/>
    <w:rsid w:val="007E4390"/>
    <w:rsid w:val="007E43B3"/>
    <w:rsid w:val="007E43E5"/>
    <w:rsid w:val="007E441B"/>
    <w:rsid w:val="007E441D"/>
    <w:rsid w:val="007E4428"/>
    <w:rsid w:val="007E4445"/>
    <w:rsid w:val="007E4458"/>
    <w:rsid w:val="007E44C5"/>
    <w:rsid w:val="007E44E2"/>
    <w:rsid w:val="007E4596"/>
    <w:rsid w:val="007E461D"/>
    <w:rsid w:val="007E4625"/>
    <w:rsid w:val="007E4626"/>
    <w:rsid w:val="007E466A"/>
    <w:rsid w:val="007E46B6"/>
    <w:rsid w:val="007E46E1"/>
    <w:rsid w:val="007E46EA"/>
    <w:rsid w:val="007E4731"/>
    <w:rsid w:val="007E4769"/>
    <w:rsid w:val="007E476F"/>
    <w:rsid w:val="007E47E5"/>
    <w:rsid w:val="007E481C"/>
    <w:rsid w:val="007E4847"/>
    <w:rsid w:val="007E4858"/>
    <w:rsid w:val="007E4875"/>
    <w:rsid w:val="007E4907"/>
    <w:rsid w:val="007E4988"/>
    <w:rsid w:val="007E49F1"/>
    <w:rsid w:val="007E49F4"/>
    <w:rsid w:val="007E4AE6"/>
    <w:rsid w:val="007E4B77"/>
    <w:rsid w:val="007E4C1A"/>
    <w:rsid w:val="007E4D6F"/>
    <w:rsid w:val="007E4D90"/>
    <w:rsid w:val="007E4D9F"/>
    <w:rsid w:val="007E4DB1"/>
    <w:rsid w:val="007E4E00"/>
    <w:rsid w:val="007E4E53"/>
    <w:rsid w:val="007E4EE6"/>
    <w:rsid w:val="007E4F6B"/>
    <w:rsid w:val="007E4FD8"/>
    <w:rsid w:val="007E4FEE"/>
    <w:rsid w:val="007E505D"/>
    <w:rsid w:val="007E50C8"/>
    <w:rsid w:val="007E5129"/>
    <w:rsid w:val="007E5180"/>
    <w:rsid w:val="007E51C3"/>
    <w:rsid w:val="007E51D0"/>
    <w:rsid w:val="007E51E4"/>
    <w:rsid w:val="007E5200"/>
    <w:rsid w:val="007E524C"/>
    <w:rsid w:val="007E52AE"/>
    <w:rsid w:val="007E52FA"/>
    <w:rsid w:val="007E5378"/>
    <w:rsid w:val="007E5391"/>
    <w:rsid w:val="007E53F7"/>
    <w:rsid w:val="007E5418"/>
    <w:rsid w:val="007E545D"/>
    <w:rsid w:val="007E549D"/>
    <w:rsid w:val="007E5561"/>
    <w:rsid w:val="007E5578"/>
    <w:rsid w:val="007E55A6"/>
    <w:rsid w:val="007E55A8"/>
    <w:rsid w:val="007E55E7"/>
    <w:rsid w:val="007E55EA"/>
    <w:rsid w:val="007E5628"/>
    <w:rsid w:val="007E56CA"/>
    <w:rsid w:val="007E56E2"/>
    <w:rsid w:val="007E56E3"/>
    <w:rsid w:val="007E5759"/>
    <w:rsid w:val="007E578B"/>
    <w:rsid w:val="007E57D6"/>
    <w:rsid w:val="007E57E3"/>
    <w:rsid w:val="007E57FB"/>
    <w:rsid w:val="007E5818"/>
    <w:rsid w:val="007E5887"/>
    <w:rsid w:val="007E58B4"/>
    <w:rsid w:val="007E5999"/>
    <w:rsid w:val="007E5A73"/>
    <w:rsid w:val="007E5C21"/>
    <w:rsid w:val="007E5CD5"/>
    <w:rsid w:val="007E5CFE"/>
    <w:rsid w:val="007E5D1E"/>
    <w:rsid w:val="007E5D27"/>
    <w:rsid w:val="007E5D6B"/>
    <w:rsid w:val="007E5D70"/>
    <w:rsid w:val="007E5DBC"/>
    <w:rsid w:val="007E5DF1"/>
    <w:rsid w:val="007E5DF4"/>
    <w:rsid w:val="007E5E2E"/>
    <w:rsid w:val="007E5ED4"/>
    <w:rsid w:val="007E5F2E"/>
    <w:rsid w:val="007E5F37"/>
    <w:rsid w:val="007E5F4D"/>
    <w:rsid w:val="007E5F81"/>
    <w:rsid w:val="007E6088"/>
    <w:rsid w:val="007E609A"/>
    <w:rsid w:val="007E6183"/>
    <w:rsid w:val="007E618F"/>
    <w:rsid w:val="007E61C1"/>
    <w:rsid w:val="007E61C7"/>
    <w:rsid w:val="007E6257"/>
    <w:rsid w:val="007E62BF"/>
    <w:rsid w:val="007E63E3"/>
    <w:rsid w:val="007E655B"/>
    <w:rsid w:val="007E65AB"/>
    <w:rsid w:val="007E65E1"/>
    <w:rsid w:val="007E662B"/>
    <w:rsid w:val="007E675A"/>
    <w:rsid w:val="007E6812"/>
    <w:rsid w:val="007E6847"/>
    <w:rsid w:val="007E6866"/>
    <w:rsid w:val="007E6868"/>
    <w:rsid w:val="007E68B2"/>
    <w:rsid w:val="007E68D8"/>
    <w:rsid w:val="007E695D"/>
    <w:rsid w:val="007E696F"/>
    <w:rsid w:val="007E69D0"/>
    <w:rsid w:val="007E6A15"/>
    <w:rsid w:val="007E6A20"/>
    <w:rsid w:val="007E6A66"/>
    <w:rsid w:val="007E6ABC"/>
    <w:rsid w:val="007E6AF4"/>
    <w:rsid w:val="007E6B23"/>
    <w:rsid w:val="007E6BFC"/>
    <w:rsid w:val="007E6C48"/>
    <w:rsid w:val="007E6C52"/>
    <w:rsid w:val="007E6CB8"/>
    <w:rsid w:val="007E6CD8"/>
    <w:rsid w:val="007E6CF7"/>
    <w:rsid w:val="007E6D1F"/>
    <w:rsid w:val="007E6D2C"/>
    <w:rsid w:val="007E6DAA"/>
    <w:rsid w:val="007E6DC5"/>
    <w:rsid w:val="007E6E00"/>
    <w:rsid w:val="007E6E05"/>
    <w:rsid w:val="007E6E1D"/>
    <w:rsid w:val="007E6E53"/>
    <w:rsid w:val="007E6EC3"/>
    <w:rsid w:val="007E6F0A"/>
    <w:rsid w:val="007E6F4E"/>
    <w:rsid w:val="007E6F6D"/>
    <w:rsid w:val="007E6FA5"/>
    <w:rsid w:val="007E6FB6"/>
    <w:rsid w:val="007E6FD9"/>
    <w:rsid w:val="007E709B"/>
    <w:rsid w:val="007E70D4"/>
    <w:rsid w:val="007E7139"/>
    <w:rsid w:val="007E7152"/>
    <w:rsid w:val="007E729F"/>
    <w:rsid w:val="007E7355"/>
    <w:rsid w:val="007E73CE"/>
    <w:rsid w:val="007E7402"/>
    <w:rsid w:val="007E7426"/>
    <w:rsid w:val="007E7451"/>
    <w:rsid w:val="007E7467"/>
    <w:rsid w:val="007E7486"/>
    <w:rsid w:val="007E7492"/>
    <w:rsid w:val="007E7494"/>
    <w:rsid w:val="007E74EB"/>
    <w:rsid w:val="007E74EE"/>
    <w:rsid w:val="007E7571"/>
    <w:rsid w:val="007E75B9"/>
    <w:rsid w:val="007E763A"/>
    <w:rsid w:val="007E764E"/>
    <w:rsid w:val="007E76C4"/>
    <w:rsid w:val="007E76E1"/>
    <w:rsid w:val="007E76F5"/>
    <w:rsid w:val="007E7741"/>
    <w:rsid w:val="007E7768"/>
    <w:rsid w:val="007E77A3"/>
    <w:rsid w:val="007E7819"/>
    <w:rsid w:val="007E7856"/>
    <w:rsid w:val="007E7866"/>
    <w:rsid w:val="007E78A9"/>
    <w:rsid w:val="007E796E"/>
    <w:rsid w:val="007E798B"/>
    <w:rsid w:val="007E7A66"/>
    <w:rsid w:val="007E7B19"/>
    <w:rsid w:val="007E7B91"/>
    <w:rsid w:val="007E7BA9"/>
    <w:rsid w:val="007E7BCC"/>
    <w:rsid w:val="007E7C5F"/>
    <w:rsid w:val="007E7CAC"/>
    <w:rsid w:val="007E7CC4"/>
    <w:rsid w:val="007E7CD6"/>
    <w:rsid w:val="007E7CDA"/>
    <w:rsid w:val="007E7D25"/>
    <w:rsid w:val="007E7D62"/>
    <w:rsid w:val="007E7DAE"/>
    <w:rsid w:val="007E7DD0"/>
    <w:rsid w:val="007E7E20"/>
    <w:rsid w:val="007E7E59"/>
    <w:rsid w:val="007E7EBF"/>
    <w:rsid w:val="007E7EED"/>
    <w:rsid w:val="007E7F13"/>
    <w:rsid w:val="007E7F4B"/>
    <w:rsid w:val="007E7F96"/>
    <w:rsid w:val="007E7FB5"/>
    <w:rsid w:val="007F0010"/>
    <w:rsid w:val="007F001F"/>
    <w:rsid w:val="007F00B0"/>
    <w:rsid w:val="007F0141"/>
    <w:rsid w:val="007F0143"/>
    <w:rsid w:val="007F024C"/>
    <w:rsid w:val="007F026D"/>
    <w:rsid w:val="007F02BC"/>
    <w:rsid w:val="007F02C1"/>
    <w:rsid w:val="007F0310"/>
    <w:rsid w:val="007F0324"/>
    <w:rsid w:val="007F034C"/>
    <w:rsid w:val="007F03EC"/>
    <w:rsid w:val="007F03F9"/>
    <w:rsid w:val="007F0447"/>
    <w:rsid w:val="007F0469"/>
    <w:rsid w:val="007F0499"/>
    <w:rsid w:val="007F054F"/>
    <w:rsid w:val="007F0554"/>
    <w:rsid w:val="007F05E3"/>
    <w:rsid w:val="007F0618"/>
    <w:rsid w:val="007F063B"/>
    <w:rsid w:val="007F0661"/>
    <w:rsid w:val="007F06D8"/>
    <w:rsid w:val="007F071B"/>
    <w:rsid w:val="007F0723"/>
    <w:rsid w:val="007F072A"/>
    <w:rsid w:val="007F0779"/>
    <w:rsid w:val="007F0896"/>
    <w:rsid w:val="007F0914"/>
    <w:rsid w:val="007F0943"/>
    <w:rsid w:val="007F094A"/>
    <w:rsid w:val="007F09C3"/>
    <w:rsid w:val="007F09FB"/>
    <w:rsid w:val="007F0A06"/>
    <w:rsid w:val="007F0A57"/>
    <w:rsid w:val="007F0A79"/>
    <w:rsid w:val="007F0AB4"/>
    <w:rsid w:val="007F0B2D"/>
    <w:rsid w:val="007F0B9A"/>
    <w:rsid w:val="007F0BEC"/>
    <w:rsid w:val="007F0BF0"/>
    <w:rsid w:val="007F0C05"/>
    <w:rsid w:val="007F0C35"/>
    <w:rsid w:val="007F0C3F"/>
    <w:rsid w:val="007F0C93"/>
    <w:rsid w:val="007F0C9A"/>
    <w:rsid w:val="007F0D11"/>
    <w:rsid w:val="007F0D6E"/>
    <w:rsid w:val="007F0E1F"/>
    <w:rsid w:val="007F0E53"/>
    <w:rsid w:val="007F0F07"/>
    <w:rsid w:val="007F0F3C"/>
    <w:rsid w:val="007F1001"/>
    <w:rsid w:val="007F100D"/>
    <w:rsid w:val="007F1018"/>
    <w:rsid w:val="007F108A"/>
    <w:rsid w:val="007F1145"/>
    <w:rsid w:val="007F11E9"/>
    <w:rsid w:val="007F123E"/>
    <w:rsid w:val="007F12F9"/>
    <w:rsid w:val="007F1318"/>
    <w:rsid w:val="007F132A"/>
    <w:rsid w:val="007F1341"/>
    <w:rsid w:val="007F13C5"/>
    <w:rsid w:val="007F13FF"/>
    <w:rsid w:val="007F1444"/>
    <w:rsid w:val="007F145C"/>
    <w:rsid w:val="007F1470"/>
    <w:rsid w:val="007F14BF"/>
    <w:rsid w:val="007F14C0"/>
    <w:rsid w:val="007F14D8"/>
    <w:rsid w:val="007F151D"/>
    <w:rsid w:val="007F1590"/>
    <w:rsid w:val="007F15B2"/>
    <w:rsid w:val="007F1691"/>
    <w:rsid w:val="007F16CB"/>
    <w:rsid w:val="007F1769"/>
    <w:rsid w:val="007F176D"/>
    <w:rsid w:val="007F1770"/>
    <w:rsid w:val="007F17A1"/>
    <w:rsid w:val="007F1897"/>
    <w:rsid w:val="007F18FF"/>
    <w:rsid w:val="007F199A"/>
    <w:rsid w:val="007F19A1"/>
    <w:rsid w:val="007F19F6"/>
    <w:rsid w:val="007F19F7"/>
    <w:rsid w:val="007F1A18"/>
    <w:rsid w:val="007F1A28"/>
    <w:rsid w:val="007F1AA1"/>
    <w:rsid w:val="007F1AB5"/>
    <w:rsid w:val="007F1ABF"/>
    <w:rsid w:val="007F1AFB"/>
    <w:rsid w:val="007F1B22"/>
    <w:rsid w:val="007F1C29"/>
    <w:rsid w:val="007F1CB1"/>
    <w:rsid w:val="007F1D1D"/>
    <w:rsid w:val="007F1D39"/>
    <w:rsid w:val="007F1D49"/>
    <w:rsid w:val="007F1D67"/>
    <w:rsid w:val="007F1D6A"/>
    <w:rsid w:val="007F1D9F"/>
    <w:rsid w:val="007F1DD8"/>
    <w:rsid w:val="007F1E1C"/>
    <w:rsid w:val="007F1E85"/>
    <w:rsid w:val="007F1EF3"/>
    <w:rsid w:val="007F1EFC"/>
    <w:rsid w:val="007F1EFD"/>
    <w:rsid w:val="007F1F81"/>
    <w:rsid w:val="007F1FCF"/>
    <w:rsid w:val="007F201E"/>
    <w:rsid w:val="007F202D"/>
    <w:rsid w:val="007F20FF"/>
    <w:rsid w:val="007F21DC"/>
    <w:rsid w:val="007F2265"/>
    <w:rsid w:val="007F22B4"/>
    <w:rsid w:val="007F2333"/>
    <w:rsid w:val="007F2354"/>
    <w:rsid w:val="007F2378"/>
    <w:rsid w:val="007F2383"/>
    <w:rsid w:val="007F23EC"/>
    <w:rsid w:val="007F2437"/>
    <w:rsid w:val="007F248C"/>
    <w:rsid w:val="007F249D"/>
    <w:rsid w:val="007F24B5"/>
    <w:rsid w:val="007F24DD"/>
    <w:rsid w:val="007F24DF"/>
    <w:rsid w:val="007F250C"/>
    <w:rsid w:val="007F2535"/>
    <w:rsid w:val="007F2554"/>
    <w:rsid w:val="007F25CF"/>
    <w:rsid w:val="007F25E6"/>
    <w:rsid w:val="007F25EE"/>
    <w:rsid w:val="007F2642"/>
    <w:rsid w:val="007F265B"/>
    <w:rsid w:val="007F26A2"/>
    <w:rsid w:val="007F26AC"/>
    <w:rsid w:val="007F26B9"/>
    <w:rsid w:val="007F26DA"/>
    <w:rsid w:val="007F2715"/>
    <w:rsid w:val="007F2728"/>
    <w:rsid w:val="007F2732"/>
    <w:rsid w:val="007F2768"/>
    <w:rsid w:val="007F277E"/>
    <w:rsid w:val="007F27B7"/>
    <w:rsid w:val="007F27E0"/>
    <w:rsid w:val="007F27F4"/>
    <w:rsid w:val="007F285B"/>
    <w:rsid w:val="007F2900"/>
    <w:rsid w:val="007F292B"/>
    <w:rsid w:val="007F2930"/>
    <w:rsid w:val="007F298D"/>
    <w:rsid w:val="007F29A6"/>
    <w:rsid w:val="007F2A10"/>
    <w:rsid w:val="007F2A48"/>
    <w:rsid w:val="007F2A59"/>
    <w:rsid w:val="007F2C4A"/>
    <w:rsid w:val="007F2CB3"/>
    <w:rsid w:val="007F2D13"/>
    <w:rsid w:val="007F2D41"/>
    <w:rsid w:val="007F2D64"/>
    <w:rsid w:val="007F2D71"/>
    <w:rsid w:val="007F2E09"/>
    <w:rsid w:val="007F2E1D"/>
    <w:rsid w:val="007F2EA2"/>
    <w:rsid w:val="007F2F16"/>
    <w:rsid w:val="007F2FFC"/>
    <w:rsid w:val="007F3003"/>
    <w:rsid w:val="007F3042"/>
    <w:rsid w:val="007F3085"/>
    <w:rsid w:val="007F308C"/>
    <w:rsid w:val="007F30AF"/>
    <w:rsid w:val="007F3119"/>
    <w:rsid w:val="007F3120"/>
    <w:rsid w:val="007F3195"/>
    <w:rsid w:val="007F319D"/>
    <w:rsid w:val="007F31DF"/>
    <w:rsid w:val="007F328C"/>
    <w:rsid w:val="007F329D"/>
    <w:rsid w:val="007F32CA"/>
    <w:rsid w:val="007F32EB"/>
    <w:rsid w:val="007F3316"/>
    <w:rsid w:val="007F3350"/>
    <w:rsid w:val="007F33AF"/>
    <w:rsid w:val="007F33B9"/>
    <w:rsid w:val="007F343C"/>
    <w:rsid w:val="007F3469"/>
    <w:rsid w:val="007F3475"/>
    <w:rsid w:val="007F34AF"/>
    <w:rsid w:val="007F358F"/>
    <w:rsid w:val="007F3594"/>
    <w:rsid w:val="007F35C5"/>
    <w:rsid w:val="007F35E0"/>
    <w:rsid w:val="007F36BA"/>
    <w:rsid w:val="007F36C9"/>
    <w:rsid w:val="007F3778"/>
    <w:rsid w:val="007F3824"/>
    <w:rsid w:val="007F388C"/>
    <w:rsid w:val="007F3897"/>
    <w:rsid w:val="007F389E"/>
    <w:rsid w:val="007F395D"/>
    <w:rsid w:val="007F3970"/>
    <w:rsid w:val="007F3989"/>
    <w:rsid w:val="007F39CD"/>
    <w:rsid w:val="007F39E9"/>
    <w:rsid w:val="007F39F5"/>
    <w:rsid w:val="007F3A0D"/>
    <w:rsid w:val="007F3AC7"/>
    <w:rsid w:val="007F3AD9"/>
    <w:rsid w:val="007F3AE7"/>
    <w:rsid w:val="007F3B30"/>
    <w:rsid w:val="007F3B6F"/>
    <w:rsid w:val="007F3B7C"/>
    <w:rsid w:val="007F3B85"/>
    <w:rsid w:val="007F3BBB"/>
    <w:rsid w:val="007F3C95"/>
    <w:rsid w:val="007F3CC2"/>
    <w:rsid w:val="007F3D53"/>
    <w:rsid w:val="007F3D5E"/>
    <w:rsid w:val="007F3D73"/>
    <w:rsid w:val="007F3DEF"/>
    <w:rsid w:val="007F3E02"/>
    <w:rsid w:val="007F3E06"/>
    <w:rsid w:val="007F3E32"/>
    <w:rsid w:val="007F3E6D"/>
    <w:rsid w:val="007F3EB6"/>
    <w:rsid w:val="007F3F7A"/>
    <w:rsid w:val="007F3F7E"/>
    <w:rsid w:val="007F4014"/>
    <w:rsid w:val="007F4026"/>
    <w:rsid w:val="007F403E"/>
    <w:rsid w:val="007F4113"/>
    <w:rsid w:val="007F419A"/>
    <w:rsid w:val="007F41A0"/>
    <w:rsid w:val="007F4232"/>
    <w:rsid w:val="007F423F"/>
    <w:rsid w:val="007F4253"/>
    <w:rsid w:val="007F426B"/>
    <w:rsid w:val="007F427A"/>
    <w:rsid w:val="007F42A7"/>
    <w:rsid w:val="007F42DA"/>
    <w:rsid w:val="007F42E9"/>
    <w:rsid w:val="007F42F2"/>
    <w:rsid w:val="007F4363"/>
    <w:rsid w:val="007F438B"/>
    <w:rsid w:val="007F4397"/>
    <w:rsid w:val="007F439B"/>
    <w:rsid w:val="007F43F2"/>
    <w:rsid w:val="007F4430"/>
    <w:rsid w:val="007F4459"/>
    <w:rsid w:val="007F44C3"/>
    <w:rsid w:val="007F44EA"/>
    <w:rsid w:val="007F4519"/>
    <w:rsid w:val="007F4659"/>
    <w:rsid w:val="007F46A3"/>
    <w:rsid w:val="007F46E0"/>
    <w:rsid w:val="007F477D"/>
    <w:rsid w:val="007F47C0"/>
    <w:rsid w:val="007F4847"/>
    <w:rsid w:val="007F4881"/>
    <w:rsid w:val="007F48AA"/>
    <w:rsid w:val="007F48AB"/>
    <w:rsid w:val="007F48CC"/>
    <w:rsid w:val="007F48D2"/>
    <w:rsid w:val="007F4935"/>
    <w:rsid w:val="007F4954"/>
    <w:rsid w:val="007F49A5"/>
    <w:rsid w:val="007F49E1"/>
    <w:rsid w:val="007F49E4"/>
    <w:rsid w:val="007F4BE6"/>
    <w:rsid w:val="007F4C1E"/>
    <w:rsid w:val="007F4C37"/>
    <w:rsid w:val="007F4C43"/>
    <w:rsid w:val="007F4C58"/>
    <w:rsid w:val="007F4C88"/>
    <w:rsid w:val="007F4CAA"/>
    <w:rsid w:val="007F4CD7"/>
    <w:rsid w:val="007F4CD9"/>
    <w:rsid w:val="007F4D29"/>
    <w:rsid w:val="007F4D43"/>
    <w:rsid w:val="007F4D94"/>
    <w:rsid w:val="007F4F50"/>
    <w:rsid w:val="007F4F7A"/>
    <w:rsid w:val="007F5057"/>
    <w:rsid w:val="007F5075"/>
    <w:rsid w:val="007F50CC"/>
    <w:rsid w:val="007F51BE"/>
    <w:rsid w:val="007F51D2"/>
    <w:rsid w:val="007F51E1"/>
    <w:rsid w:val="007F51E8"/>
    <w:rsid w:val="007F51E9"/>
    <w:rsid w:val="007F5200"/>
    <w:rsid w:val="007F52CF"/>
    <w:rsid w:val="007F531B"/>
    <w:rsid w:val="007F534F"/>
    <w:rsid w:val="007F538C"/>
    <w:rsid w:val="007F53C6"/>
    <w:rsid w:val="007F5400"/>
    <w:rsid w:val="007F5415"/>
    <w:rsid w:val="007F5451"/>
    <w:rsid w:val="007F54EB"/>
    <w:rsid w:val="007F54F6"/>
    <w:rsid w:val="007F5511"/>
    <w:rsid w:val="007F55DC"/>
    <w:rsid w:val="007F560D"/>
    <w:rsid w:val="007F5683"/>
    <w:rsid w:val="007F573A"/>
    <w:rsid w:val="007F5752"/>
    <w:rsid w:val="007F5793"/>
    <w:rsid w:val="007F57C1"/>
    <w:rsid w:val="007F57D3"/>
    <w:rsid w:val="007F58AB"/>
    <w:rsid w:val="007F58EA"/>
    <w:rsid w:val="007F58F7"/>
    <w:rsid w:val="007F590E"/>
    <w:rsid w:val="007F5942"/>
    <w:rsid w:val="007F5986"/>
    <w:rsid w:val="007F598D"/>
    <w:rsid w:val="007F5AAF"/>
    <w:rsid w:val="007F5ACE"/>
    <w:rsid w:val="007F5AF7"/>
    <w:rsid w:val="007F5B42"/>
    <w:rsid w:val="007F5B63"/>
    <w:rsid w:val="007F5B93"/>
    <w:rsid w:val="007F5BC8"/>
    <w:rsid w:val="007F5BE2"/>
    <w:rsid w:val="007F5C05"/>
    <w:rsid w:val="007F5C10"/>
    <w:rsid w:val="007F5C7E"/>
    <w:rsid w:val="007F5D0B"/>
    <w:rsid w:val="007F5D34"/>
    <w:rsid w:val="007F5D3C"/>
    <w:rsid w:val="007F5D49"/>
    <w:rsid w:val="007F5D53"/>
    <w:rsid w:val="007F5D90"/>
    <w:rsid w:val="007F5DAE"/>
    <w:rsid w:val="007F5DBC"/>
    <w:rsid w:val="007F5DBF"/>
    <w:rsid w:val="007F5DF4"/>
    <w:rsid w:val="007F5E02"/>
    <w:rsid w:val="007F5E83"/>
    <w:rsid w:val="007F5F2E"/>
    <w:rsid w:val="007F5F5F"/>
    <w:rsid w:val="007F6024"/>
    <w:rsid w:val="007F60E0"/>
    <w:rsid w:val="007F60ED"/>
    <w:rsid w:val="007F60FB"/>
    <w:rsid w:val="007F6100"/>
    <w:rsid w:val="007F6187"/>
    <w:rsid w:val="007F61C5"/>
    <w:rsid w:val="007F6277"/>
    <w:rsid w:val="007F62B6"/>
    <w:rsid w:val="007F635B"/>
    <w:rsid w:val="007F641A"/>
    <w:rsid w:val="007F6447"/>
    <w:rsid w:val="007F644C"/>
    <w:rsid w:val="007F6479"/>
    <w:rsid w:val="007F64BD"/>
    <w:rsid w:val="007F64C7"/>
    <w:rsid w:val="007F6504"/>
    <w:rsid w:val="007F6526"/>
    <w:rsid w:val="007F6546"/>
    <w:rsid w:val="007F6573"/>
    <w:rsid w:val="007F6587"/>
    <w:rsid w:val="007F65B8"/>
    <w:rsid w:val="007F6625"/>
    <w:rsid w:val="007F6633"/>
    <w:rsid w:val="007F6650"/>
    <w:rsid w:val="007F677B"/>
    <w:rsid w:val="007F688E"/>
    <w:rsid w:val="007F68B5"/>
    <w:rsid w:val="007F6933"/>
    <w:rsid w:val="007F69A5"/>
    <w:rsid w:val="007F6B22"/>
    <w:rsid w:val="007F6BC4"/>
    <w:rsid w:val="007F6C0F"/>
    <w:rsid w:val="007F6C9F"/>
    <w:rsid w:val="007F6CAB"/>
    <w:rsid w:val="007F6D5F"/>
    <w:rsid w:val="007F6D8D"/>
    <w:rsid w:val="007F6DA7"/>
    <w:rsid w:val="007F6DC5"/>
    <w:rsid w:val="007F6DEF"/>
    <w:rsid w:val="007F6E17"/>
    <w:rsid w:val="007F6E34"/>
    <w:rsid w:val="007F6E6F"/>
    <w:rsid w:val="007F6E79"/>
    <w:rsid w:val="007F6E8D"/>
    <w:rsid w:val="007F6EAA"/>
    <w:rsid w:val="007F6F04"/>
    <w:rsid w:val="007F6F07"/>
    <w:rsid w:val="007F6F83"/>
    <w:rsid w:val="007F6F90"/>
    <w:rsid w:val="007F6F9D"/>
    <w:rsid w:val="007F6FB5"/>
    <w:rsid w:val="007F6FC0"/>
    <w:rsid w:val="007F701C"/>
    <w:rsid w:val="007F7042"/>
    <w:rsid w:val="007F7075"/>
    <w:rsid w:val="007F70A9"/>
    <w:rsid w:val="007F70CB"/>
    <w:rsid w:val="007F70FB"/>
    <w:rsid w:val="007F7108"/>
    <w:rsid w:val="007F710F"/>
    <w:rsid w:val="007F713F"/>
    <w:rsid w:val="007F718D"/>
    <w:rsid w:val="007F71B1"/>
    <w:rsid w:val="007F71ED"/>
    <w:rsid w:val="007F7264"/>
    <w:rsid w:val="007F7265"/>
    <w:rsid w:val="007F733C"/>
    <w:rsid w:val="007F7348"/>
    <w:rsid w:val="007F7361"/>
    <w:rsid w:val="007F7387"/>
    <w:rsid w:val="007F73A3"/>
    <w:rsid w:val="007F73C1"/>
    <w:rsid w:val="007F73CE"/>
    <w:rsid w:val="007F741B"/>
    <w:rsid w:val="007F7448"/>
    <w:rsid w:val="007F7463"/>
    <w:rsid w:val="007F7467"/>
    <w:rsid w:val="007F74A6"/>
    <w:rsid w:val="007F7500"/>
    <w:rsid w:val="007F7511"/>
    <w:rsid w:val="007F751D"/>
    <w:rsid w:val="007F7521"/>
    <w:rsid w:val="007F7605"/>
    <w:rsid w:val="007F7640"/>
    <w:rsid w:val="007F767F"/>
    <w:rsid w:val="007F770C"/>
    <w:rsid w:val="007F773F"/>
    <w:rsid w:val="007F77FE"/>
    <w:rsid w:val="007F7824"/>
    <w:rsid w:val="007F785A"/>
    <w:rsid w:val="007F7892"/>
    <w:rsid w:val="007F7897"/>
    <w:rsid w:val="007F789A"/>
    <w:rsid w:val="007F789D"/>
    <w:rsid w:val="007F78B5"/>
    <w:rsid w:val="007F78CB"/>
    <w:rsid w:val="007F793D"/>
    <w:rsid w:val="007F7957"/>
    <w:rsid w:val="007F79AD"/>
    <w:rsid w:val="007F79AE"/>
    <w:rsid w:val="007F79B7"/>
    <w:rsid w:val="007F79CA"/>
    <w:rsid w:val="007F79F6"/>
    <w:rsid w:val="007F7A26"/>
    <w:rsid w:val="007F7A39"/>
    <w:rsid w:val="007F7A3C"/>
    <w:rsid w:val="007F7A40"/>
    <w:rsid w:val="007F7AA7"/>
    <w:rsid w:val="007F7ABE"/>
    <w:rsid w:val="007F7AC0"/>
    <w:rsid w:val="007F7AC8"/>
    <w:rsid w:val="007F7B04"/>
    <w:rsid w:val="007F7BCA"/>
    <w:rsid w:val="007F7BCB"/>
    <w:rsid w:val="007F7BDD"/>
    <w:rsid w:val="007F7CE7"/>
    <w:rsid w:val="007F7D57"/>
    <w:rsid w:val="007F7D68"/>
    <w:rsid w:val="007F7D77"/>
    <w:rsid w:val="007F7DBE"/>
    <w:rsid w:val="007F7E50"/>
    <w:rsid w:val="007F7E75"/>
    <w:rsid w:val="007F7EBE"/>
    <w:rsid w:val="007F7ECE"/>
    <w:rsid w:val="007F7EF0"/>
    <w:rsid w:val="007F7EF1"/>
    <w:rsid w:val="007F7F2E"/>
    <w:rsid w:val="007F7F3A"/>
    <w:rsid w:val="007F7F6C"/>
    <w:rsid w:val="00800088"/>
    <w:rsid w:val="0080008A"/>
    <w:rsid w:val="008001CB"/>
    <w:rsid w:val="0080021E"/>
    <w:rsid w:val="008002E6"/>
    <w:rsid w:val="008002F5"/>
    <w:rsid w:val="0080032F"/>
    <w:rsid w:val="00800374"/>
    <w:rsid w:val="00800379"/>
    <w:rsid w:val="00800385"/>
    <w:rsid w:val="00800391"/>
    <w:rsid w:val="008003CF"/>
    <w:rsid w:val="0080042D"/>
    <w:rsid w:val="008004F4"/>
    <w:rsid w:val="00800506"/>
    <w:rsid w:val="0080059B"/>
    <w:rsid w:val="008005C9"/>
    <w:rsid w:val="00800619"/>
    <w:rsid w:val="0080061D"/>
    <w:rsid w:val="0080063F"/>
    <w:rsid w:val="00800683"/>
    <w:rsid w:val="008006AA"/>
    <w:rsid w:val="008006B0"/>
    <w:rsid w:val="008006DA"/>
    <w:rsid w:val="008006E8"/>
    <w:rsid w:val="008006F3"/>
    <w:rsid w:val="00800727"/>
    <w:rsid w:val="00800855"/>
    <w:rsid w:val="0080094F"/>
    <w:rsid w:val="008009E5"/>
    <w:rsid w:val="008009E6"/>
    <w:rsid w:val="00800A56"/>
    <w:rsid w:val="00800A6C"/>
    <w:rsid w:val="00800A77"/>
    <w:rsid w:val="00800AAC"/>
    <w:rsid w:val="00800AE3"/>
    <w:rsid w:val="00800B05"/>
    <w:rsid w:val="00800B91"/>
    <w:rsid w:val="00800BDA"/>
    <w:rsid w:val="00800C36"/>
    <w:rsid w:val="00800C6D"/>
    <w:rsid w:val="00800C80"/>
    <w:rsid w:val="00800C95"/>
    <w:rsid w:val="00800C9D"/>
    <w:rsid w:val="00800DAF"/>
    <w:rsid w:val="00800E23"/>
    <w:rsid w:val="00800E43"/>
    <w:rsid w:val="00800E70"/>
    <w:rsid w:val="00800E7A"/>
    <w:rsid w:val="00800EA2"/>
    <w:rsid w:val="00800F36"/>
    <w:rsid w:val="00800F41"/>
    <w:rsid w:val="00800F65"/>
    <w:rsid w:val="00800FCB"/>
    <w:rsid w:val="00800FE1"/>
    <w:rsid w:val="00801042"/>
    <w:rsid w:val="008010F7"/>
    <w:rsid w:val="0080111A"/>
    <w:rsid w:val="00801124"/>
    <w:rsid w:val="00801176"/>
    <w:rsid w:val="008011D1"/>
    <w:rsid w:val="008011DF"/>
    <w:rsid w:val="008011E2"/>
    <w:rsid w:val="00801208"/>
    <w:rsid w:val="0080121F"/>
    <w:rsid w:val="00801291"/>
    <w:rsid w:val="008012D9"/>
    <w:rsid w:val="008012EA"/>
    <w:rsid w:val="008014C0"/>
    <w:rsid w:val="0080154D"/>
    <w:rsid w:val="00801556"/>
    <w:rsid w:val="008015FD"/>
    <w:rsid w:val="00801611"/>
    <w:rsid w:val="0080164E"/>
    <w:rsid w:val="0080171A"/>
    <w:rsid w:val="0080175B"/>
    <w:rsid w:val="00801770"/>
    <w:rsid w:val="0080178E"/>
    <w:rsid w:val="0080180C"/>
    <w:rsid w:val="00801843"/>
    <w:rsid w:val="0080186D"/>
    <w:rsid w:val="008018B6"/>
    <w:rsid w:val="008018C7"/>
    <w:rsid w:val="008018D1"/>
    <w:rsid w:val="008018DF"/>
    <w:rsid w:val="00801901"/>
    <w:rsid w:val="00801957"/>
    <w:rsid w:val="0080198F"/>
    <w:rsid w:val="008019AD"/>
    <w:rsid w:val="00801ACA"/>
    <w:rsid w:val="00801ACF"/>
    <w:rsid w:val="00801AD1"/>
    <w:rsid w:val="00801BBD"/>
    <w:rsid w:val="00801BF4"/>
    <w:rsid w:val="00801C19"/>
    <w:rsid w:val="00801C68"/>
    <w:rsid w:val="00801C7F"/>
    <w:rsid w:val="00801CAB"/>
    <w:rsid w:val="00801CEE"/>
    <w:rsid w:val="00801DDD"/>
    <w:rsid w:val="00801E5D"/>
    <w:rsid w:val="00801E78"/>
    <w:rsid w:val="00801EB3"/>
    <w:rsid w:val="00801ED3"/>
    <w:rsid w:val="00801F04"/>
    <w:rsid w:val="00801F08"/>
    <w:rsid w:val="00801F50"/>
    <w:rsid w:val="00801FA6"/>
    <w:rsid w:val="00801FE4"/>
    <w:rsid w:val="00802019"/>
    <w:rsid w:val="00802033"/>
    <w:rsid w:val="0080204A"/>
    <w:rsid w:val="0080209D"/>
    <w:rsid w:val="008020A4"/>
    <w:rsid w:val="008020C9"/>
    <w:rsid w:val="008020CB"/>
    <w:rsid w:val="0080224C"/>
    <w:rsid w:val="00802274"/>
    <w:rsid w:val="0080227B"/>
    <w:rsid w:val="00802290"/>
    <w:rsid w:val="00802376"/>
    <w:rsid w:val="008023F2"/>
    <w:rsid w:val="00802416"/>
    <w:rsid w:val="0080242B"/>
    <w:rsid w:val="008024BC"/>
    <w:rsid w:val="0080255A"/>
    <w:rsid w:val="008025A2"/>
    <w:rsid w:val="008025B4"/>
    <w:rsid w:val="00802611"/>
    <w:rsid w:val="0080263F"/>
    <w:rsid w:val="0080265E"/>
    <w:rsid w:val="0080268A"/>
    <w:rsid w:val="00802699"/>
    <w:rsid w:val="0080279F"/>
    <w:rsid w:val="008027B0"/>
    <w:rsid w:val="00802827"/>
    <w:rsid w:val="0080282A"/>
    <w:rsid w:val="008028AE"/>
    <w:rsid w:val="008028D2"/>
    <w:rsid w:val="0080290A"/>
    <w:rsid w:val="0080291F"/>
    <w:rsid w:val="00802A32"/>
    <w:rsid w:val="00802AFF"/>
    <w:rsid w:val="00802B05"/>
    <w:rsid w:val="00802B17"/>
    <w:rsid w:val="00802B93"/>
    <w:rsid w:val="00802BB8"/>
    <w:rsid w:val="00802BE5"/>
    <w:rsid w:val="00802BEE"/>
    <w:rsid w:val="00802C78"/>
    <w:rsid w:val="00802CB6"/>
    <w:rsid w:val="00802CBB"/>
    <w:rsid w:val="00802CCC"/>
    <w:rsid w:val="00802D14"/>
    <w:rsid w:val="00802D5D"/>
    <w:rsid w:val="00802DE7"/>
    <w:rsid w:val="00802DF4"/>
    <w:rsid w:val="00802E42"/>
    <w:rsid w:val="00802F2A"/>
    <w:rsid w:val="00802F37"/>
    <w:rsid w:val="00802F73"/>
    <w:rsid w:val="00802FC9"/>
    <w:rsid w:val="0080300C"/>
    <w:rsid w:val="00803051"/>
    <w:rsid w:val="0080306E"/>
    <w:rsid w:val="00803085"/>
    <w:rsid w:val="008030CA"/>
    <w:rsid w:val="008030E6"/>
    <w:rsid w:val="00803115"/>
    <w:rsid w:val="00803172"/>
    <w:rsid w:val="008031CD"/>
    <w:rsid w:val="008031EA"/>
    <w:rsid w:val="00803221"/>
    <w:rsid w:val="00803261"/>
    <w:rsid w:val="00803276"/>
    <w:rsid w:val="008032BE"/>
    <w:rsid w:val="008032D0"/>
    <w:rsid w:val="0080333A"/>
    <w:rsid w:val="00803385"/>
    <w:rsid w:val="00803389"/>
    <w:rsid w:val="008033E9"/>
    <w:rsid w:val="00803476"/>
    <w:rsid w:val="00803482"/>
    <w:rsid w:val="008034DF"/>
    <w:rsid w:val="008034E0"/>
    <w:rsid w:val="008034F9"/>
    <w:rsid w:val="00803514"/>
    <w:rsid w:val="008035AB"/>
    <w:rsid w:val="008035E8"/>
    <w:rsid w:val="00803602"/>
    <w:rsid w:val="00803630"/>
    <w:rsid w:val="00803654"/>
    <w:rsid w:val="0080370E"/>
    <w:rsid w:val="0080372A"/>
    <w:rsid w:val="00803840"/>
    <w:rsid w:val="00803891"/>
    <w:rsid w:val="008038D2"/>
    <w:rsid w:val="00803948"/>
    <w:rsid w:val="008039D9"/>
    <w:rsid w:val="00803A4C"/>
    <w:rsid w:val="00803A6F"/>
    <w:rsid w:val="00803A94"/>
    <w:rsid w:val="00803AB7"/>
    <w:rsid w:val="00803B00"/>
    <w:rsid w:val="00803B3F"/>
    <w:rsid w:val="00803BB2"/>
    <w:rsid w:val="00803C61"/>
    <w:rsid w:val="00803DAC"/>
    <w:rsid w:val="00803DBC"/>
    <w:rsid w:val="00803DDD"/>
    <w:rsid w:val="00803E40"/>
    <w:rsid w:val="00803EC0"/>
    <w:rsid w:val="00803F1D"/>
    <w:rsid w:val="00803FA2"/>
    <w:rsid w:val="00803FC7"/>
    <w:rsid w:val="00803FD8"/>
    <w:rsid w:val="00803FFD"/>
    <w:rsid w:val="00804003"/>
    <w:rsid w:val="0080403C"/>
    <w:rsid w:val="00804049"/>
    <w:rsid w:val="00804090"/>
    <w:rsid w:val="008040E9"/>
    <w:rsid w:val="008040F0"/>
    <w:rsid w:val="00804163"/>
    <w:rsid w:val="008041BA"/>
    <w:rsid w:val="008041C1"/>
    <w:rsid w:val="0080420D"/>
    <w:rsid w:val="00804221"/>
    <w:rsid w:val="0080429E"/>
    <w:rsid w:val="0080433A"/>
    <w:rsid w:val="008043B9"/>
    <w:rsid w:val="00804406"/>
    <w:rsid w:val="0080441B"/>
    <w:rsid w:val="0080452A"/>
    <w:rsid w:val="00804598"/>
    <w:rsid w:val="008045EB"/>
    <w:rsid w:val="00804610"/>
    <w:rsid w:val="0080463A"/>
    <w:rsid w:val="0080467D"/>
    <w:rsid w:val="0080468F"/>
    <w:rsid w:val="008046E2"/>
    <w:rsid w:val="00804707"/>
    <w:rsid w:val="00804773"/>
    <w:rsid w:val="0080480B"/>
    <w:rsid w:val="008048C2"/>
    <w:rsid w:val="008049CB"/>
    <w:rsid w:val="008049FD"/>
    <w:rsid w:val="00804A27"/>
    <w:rsid w:val="00804B5F"/>
    <w:rsid w:val="00804CB7"/>
    <w:rsid w:val="00804CF4"/>
    <w:rsid w:val="00804D42"/>
    <w:rsid w:val="00804D56"/>
    <w:rsid w:val="00804D64"/>
    <w:rsid w:val="00804DA9"/>
    <w:rsid w:val="00804DCA"/>
    <w:rsid w:val="00804DCC"/>
    <w:rsid w:val="00804E17"/>
    <w:rsid w:val="00804E3A"/>
    <w:rsid w:val="00804E9A"/>
    <w:rsid w:val="00804F28"/>
    <w:rsid w:val="00804F36"/>
    <w:rsid w:val="00804F4A"/>
    <w:rsid w:val="00804FAE"/>
    <w:rsid w:val="00804FCE"/>
    <w:rsid w:val="0080503D"/>
    <w:rsid w:val="00805078"/>
    <w:rsid w:val="0080508C"/>
    <w:rsid w:val="008050CB"/>
    <w:rsid w:val="008050E1"/>
    <w:rsid w:val="00805103"/>
    <w:rsid w:val="008052E5"/>
    <w:rsid w:val="008054C6"/>
    <w:rsid w:val="008054E3"/>
    <w:rsid w:val="008054EA"/>
    <w:rsid w:val="008054F3"/>
    <w:rsid w:val="00805504"/>
    <w:rsid w:val="008055EF"/>
    <w:rsid w:val="008055F5"/>
    <w:rsid w:val="008056F3"/>
    <w:rsid w:val="00805826"/>
    <w:rsid w:val="00805830"/>
    <w:rsid w:val="00805838"/>
    <w:rsid w:val="00805893"/>
    <w:rsid w:val="008058F0"/>
    <w:rsid w:val="008059A6"/>
    <w:rsid w:val="00805A07"/>
    <w:rsid w:val="00805A67"/>
    <w:rsid w:val="00805A7C"/>
    <w:rsid w:val="00805AAC"/>
    <w:rsid w:val="00805AB1"/>
    <w:rsid w:val="00805B2E"/>
    <w:rsid w:val="00805B51"/>
    <w:rsid w:val="00805B52"/>
    <w:rsid w:val="00805B89"/>
    <w:rsid w:val="00805BFE"/>
    <w:rsid w:val="00805C0F"/>
    <w:rsid w:val="00805C35"/>
    <w:rsid w:val="00805C67"/>
    <w:rsid w:val="00805CE4"/>
    <w:rsid w:val="00805D8C"/>
    <w:rsid w:val="00805E03"/>
    <w:rsid w:val="00805E96"/>
    <w:rsid w:val="00805EA9"/>
    <w:rsid w:val="00805EDF"/>
    <w:rsid w:val="00805EEE"/>
    <w:rsid w:val="00805EFA"/>
    <w:rsid w:val="0080602F"/>
    <w:rsid w:val="008060F3"/>
    <w:rsid w:val="008061D6"/>
    <w:rsid w:val="00806215"/>
    <w:rsid w:val="0080630F"/>
    <w:rsid w:val="008063C9"/>
    <w:rsid w:val="00806456"/>
    <w:rsid w:val="0080647A"/>
    <w:rsid w:val="008064D9"/>
    <w:rsid w:val="008064E1"/>
    <w:rsid w:val="008065E5"/>
    <w:rsid w:val="008065FF"/>
    <w:rsid w:val="0080660F"/>
    <w:rsid w:val="0080666F"/>
    <w:rsid w:val="00806699"/>
    <w:rsid w:val="008066AA"/>
    <w:rsid w:val="008066C5"/>
    <w:rsid w:val="00806722"/>
    <w:rsid w:val="0080678B"/>
    <w:rsid w:val="00806814"/>
    <w:rsid w:val="00806824"/>
    <w:rsid w:val="0080682F"/>
    <w:rsid w:val="0080683D"/>
    <w:rsid w:val="00806899"/>
    <w:rsid w:val="008068B2"/>
    <w:rsid w:val="008068EE"/>
    <w:rsid w:val="008068FD"/>
    <w:rsid w:val="00806944"/>
    <w:rsid w:val="008069AE"/>
    <w:rsid w:val="008069B4"/>
    <w:rsid w:val="008069D8"/>
    <w:rsid w:val="00806AE8"/>
    <w:rsid w:val="00806B61"/>
    <w:rsid w:val="00806BAC"/>
    <w:rsid w:val="00806BAE"/>
    <w:rsid w:val="00806C2B"/>
    <w:rsid w:val="00806D50"/>
    <w:rsid w:val="00806D86"/>
    <w:rsid w:val="00806E2F"/>
    <w:rsid w:val="00806E5C"/>
    <w:rsid w:val="00806EBA"/>
    <w:rsid w:val="00806EE0"/>
    <w:rsid w:val="00806F1F"/>
    <w:rsid w:val="00806F28"/>
    <w:rsid w:val="00806F40"/>
    <w:rsid w:val="00806F5A"/>
    <w:rsid w:val="00806F87"/>
    <w:rsid w:val="00806F9C"/>
    <w:rsid w:val="00806FD4"/>
    <w:rsid w:val="0080703E"/>
    <w:rsid w:val="0080705B"/>
    <w:rsid w:val="0080706D"/>
    <w:rsid w:val="008070E5"/>
    <w:rsid w:val="008071F6"/>
    <w:rsid w:val="00807201"/>
    <w:rsid w:val="0080720F"/>
    <w:rsid w:val="00807219"/>
    <w:rsid w:val="00807333"/>
    <w:rsid w:val="0080735A"/>
    <w:rsid w:val="008073F8"/>
    <w:rsid w:val="00807520"/>
    <w:rsid w:val="00807569"/>
    <w:rsid w:val="008075A8"/>
    <w:rsid w:val="008075B9"/>
    <w:rsid w:val="0080765F"/>
    <w:rsid w:val="008076F4"/>
    <w:rsid w:val="0080772E"/>
    <w:rsid w:val="008078D3"/>
    <w:rsid w:val="008078E1"/>
    <w:rsid w:val="00807957"/>
    <w:rsid w:val="00807975"/>
    <w:rsid w:val="00807A42"/>
    <w:rsid w:val="00807B2D"/>
    <w:rsid w:val="00807B46"/>
    <w:rsid w:val="00807B64"/>
    <w:rsid w:val="00807B74"/>
    <w:rsid w:val="00807BB2"/>
    <w:rsid w:val="00807BB8"/>
    <w:rsid w:val="00807C07"/>
    <w:rsid w:val="00807C22"/>
    <w:rsid w:val="00807C49"/>
    <w:rsid w:val="00807C5E"/>
    <w:rsid w:val="00807D35"/>
    <w:rsid w:val="00807D89"/>
    <w:rsid w:val="00807D8F"/>
    <w:rsid w:val="00807DB8"/>
    <w:rsid w:val="00807DE7"/>
    <w:rsid w:val="00807DF7"/>
    <w:rsid w:val="00807E05"/>
    <w:rsid w:val="00807E64"/>
    <w:rsid w:val="00807E75"/>
    <w:rsid w:val="00807EAC"/>
    <w:rsid w:val="00807EAE"/>
    <w:rsid w:val="00807F48"/>
    <w:rsid w:val="00807F62"/>
    <w:rsid w:val="00807F66"/>
    <w:rsid w:val="00807FD7"/>
    <w:rsid w:val="00810041"/>
    <w:rsid w:val="008100A4"/>
    <w:rsid w:val="008100C7"/>
    <w:rsid w:val="008100DD"/>
    <w:rsid w:val="008100E8"/>
    <w:rsid w:val="0081010C"/>
    <w:rsid w:val="008101E1"/>
    <w:rsid w:val="008101EA"/>
    <w:rsid w:val="0081020B"/>
    <w:rsid w:val="00810221"/>
    <w:rsid w:val="00810259"/>
    <w:rsid w:val="0081027D"/>
    <w:rsid w:val="00810291"/>
    <w:rsid w:val="008102A1"/>
    <w:rsid w:val="00810335"/>
    <w:rsid w:val="00810341"/>
    <w:rsid w:val="00810358"/>
    <w:rsid w:val="00810390"/>
    <w:rsid w:val="00810394"/>
    <w:rsid w:val="0081044B"/>
    <w:rsid w:val="00810478"/>
    <w:rsid w:val="008104A5"/>
    <w:rsid w:val="008104BD"/>
    <w:rsid w:val="00810506"/>
    <w:rsid w:val="0081052E"/>
    <w:rsid w:val="008105A5"/>
    <w:rsid w:val="00810615"/>
    <w:rsid w:val="00810662"/>
    <w:rsid w:val="0081068B"/>
    <w:rsid w:val="0081069D"/>
    <w:rsid w:val="0081073B"/>
    <w:rsid w:val="00810751"/>
    <w:rsid w:val="0081078C"/>
    <w:rsid w:val="008107B5"/>
    <w:rsid w:val="00810817"/>
    <w:rsid w:val="00810886"/>
    <w:rsid w:val="008108CA"/>
    <w:rsid w:val="0081092E"/>
    <w:rsid w:val="0081095A"/>
    <w:rsid w:val="00810975"/>
    <w:rsid w:val="008109D0"/>
    <w:rsid w:val="00810A1F"/>
    <w:rsid w:val="00810AFC"/>
    <w:rsid w:val="00810B3A"/>
    <w:rsid w:val="00810B50"/>
    <w:rsid w:val="00810BA2"/>
    <w:rsid w:val="00810C8B"/>
    <w:rsid w:val="00810CD6"/>
    <w:rsid w:val="00810D03"/>
    <w:rsid w:val="00810D06"/>
    <w:rsid w:val="00810D92"/>
    <w:rsid w:val="00810E6C"/>
    <w:rsid w:val="00810EC1"/>
    <w:rsid w:val="00810EDA"/>
    <w:rsid w:val="00810F42"/>
    <w:rsid w:val="00810F63"/>
    <w:rsid w:val="00810FC3"/>
    <w:rsid w:val="0081101C"/>
    <w:rsid w:val="00811044"/>
    <w:rsid w:val="00811169"/>
    <w:rsid w:val="0081119B"/>
    <w:rsid w:val="008111B1"/>
    <w:rsid w:val="008111FC"/>
    <w:rsid w:val="00811203"/>
    <w:rsid w:val="00811205"/>
    <w:rsid w:val="00811216"/>
    <w:rsid w:val="00811294"/>
    <w:rsid w:val="008112B1"/>
    <w:rsid w:val="008112F0"/>
    <w:rsid w:val="00811308"/>
    <w:rsid w:val="0081132F"/>
    <w:rsid w:val="0081133F"/>
    <w:rsid w:val="00811341"/>
    <w:rsid w:val="00811463"/>
    <w:rsid w:val="00811483"/>
    <w:rsid w:val="00811495"/>
    <w:rsid w:val="008114B0"/>
    <w:rsid w:val="00811533"/>
    <w:rsid w:val="00811564"/>
    <w:rsid w:val="0081158D"/>
    <w:rsid w:val="008115FB"/>
    <w:rsid w:val="00811743"/>
    <w:rsid w:val="00811869"/>
    <w:rsid w:val="00811927"/>
    <w:rsid w:val="00811977"/>
    <w:rsid w:val="00811999"/>
    <w:rsid w:val="008119B8"/>
    <w:rsid w:val="008119F5"/>
    <w:rsid w:val="00811B98"/>
    <w:rsid w:val="00811C1A"/>
    <w:rsid w:val="00811C69"/>
    <w:rsid w:val="00811CA1"/>
    <w:rsid w:val="00811D03"/>
    <w:rsid w:val="00811DC7"/>
    <w:rsid w:val="00811DF8"/>
    <w:rsid w:val="00811E46"/>
    <w:rsid w:val="00811E89"/>
    <w:rsid w:val="00811EED"/>
    <w:rsid w:val="00811F10"/>
    <w:rsid w:val="00811F1E"/>
    <w:rsid w:val="00811F35"/>
    <w:rsid w:val="00811F42"/>
    <w:rsid w:val="00811F5D"/>
    <w:rsid w:val="00811FC8"/>
    <w:rsid w:val="00811FF8"/>
    <w:rsid w:val="00811FFB"/>
    <w:rsid w:val="0081203A"/>
    <w:rsid w:val="00812075"/>
    <w:rsid w:val="008120A9"/>
    <w:rsid w:val="008120AD"/>
    <w:rsid w:val="00812145"/>
    <w:rsid w:val="00812169"/>
    <w:rsid w:val="00812190"/>
    <w:rsid w:val="00812197"/>
    <w:rsid w:val="008121B1"/>
    <w:rsid w:val="00812262"/>
    <w:rsid w:val="008122E1"/>
    <w:rsid w:val="00812318"/>
    <w:rsid w:val="0081233E"/>
    <w:rsid w:val="00812342"/>
    <w:rsid w:val="00812360"/>
    <w:rsid w:val="0081241C"/>
    <w:rsid w:val="008124C2"/>
    <w:rsid w:val="0081254D"/>
    <w:rsid w:val="0081265C"/>
    <w:rsid w:val="00812674"/>
    <w:rsid w:val="00812694"/>
    <w:rsid w:val="008126F8"/>
    <w:rsid w:val="00812795"/>
    <w:rsid w:val="008127D5"/>
    <w:rsid w:val="008128BE"/>
    <w:rsid w:val="00812967"/>
    <w:rsid w:val="008129BF"/>
    <w:rsid w:val="00812A0E"/>
    <w:rsid w:val="00812A13"/>
    <w:rsid w:val="00812A66"/>
    <w:rsid w:val="00812A91"/>
    <w:rsid w:val="00812AA1"/>
    <w:rsid w:val="00812AE2"/>
    <w:rsid w:val="00812B0D"/>
    <w:rsid w:val="00812B16"/>
    <w:rsid w:val="00812B1D"/>
    <w:rsid w:val="00812B31"/>
    <w:rsid w:val="00812B89"/>
    <w:rsid w:val="00812BA2"/>
    <w:rsid w:val="00812BDC"/>
    <w:rsid w:val="00812BE1"/>
    <w:rsid w:val="00812C11"/>
    <w:rsid w:val="00812C86"/>
    <w:rsid w:val="00812CCE"/>
    <w:rsid w:val="00812D1F"/>
    <w:rsid w:val="00812E3A"/>
    <w:rsid w:val="00812EAC"/>
    <w:rsid w:val="00812EB7"/>
    <w:rsid w:val="00812F4C"/>
    <w:rsid w:val="00812FC5"/>
    <w:rsid w:val="00812FD6"/>
    <w:rsid w:val="00812FFE"/>
    <w:rsid w:val="0081301B"/>
    <w:rsid w:val="0081302F"/>
    <w:rsid w:val="0081303C"/>
    <w:rsid w:val="00813070"/>
    <w:rsid w:val="0081309B"/>
    <w:rsid w:val="008130A9"/>
    <w:rsid w:val="008130E6"/>
    <w:rsid w:val="00813150"/>
    <w:rsid w:val="0081316B"/>
    <w:rsid w:val="008131AA"/>
    <w:rsid w:val="00813209"/>
    <w:rsid w:val="0081322B"/>
    <w:rsid w:val="0081327C"/>
    <w:rsid w:val="00813324"/>
    <w:rsid w:val="0081332F"/>
    <w:rsid w:val="00813425"/>
    <w:rsid w:val="0081346D"/>
    <w:rsid w:val="00813492"/>
    <w:rsid w:val="008134A8"/>
    <w:rsid w:val="008134B8"/>
    <w:rsid w:val="008135D9"/>
    <w:rsid w:val="00813698"/>
    <w:rsid w:val="00813699"/>
    <w:rsid w:val="00813753"/>
    <w:rsid w:val="00813771"/>
    <w:rsid w:val="008138AA"/>
    <w:rsid w:val="008138B1"/>
    <w:rsid w:val="0081391A"/>
    <w:rsid w:val="0081395E"/>
    <w:rsid w:val="008139B8"/>
    <w:rsid w:val="008139B9"/>
    <w:rsid w:val="00813A14"/>
    <w:rsid w:val="00813A98"/>
    <w:rsid w:val="00813AB8"/>
    <w:rsid w:val="00813AF3"/>
    <w:rsid w:val="00813B5D"/>
    <w:rsid w:val="00813BDD"/>
    <w:rsid w:val="00813BE9"/>
    <w:rsid w:val="00813CAF"/>
    <w:rsid w:val="00813D0F"/>
    <w:rsid w:val="00813DC9"/>
    <w:rsid w:val="00813DD0"/>
    <w:rsid w:val="00813E5D"/>
    <w:rsid w:val="00813E8F"/>
    <w:rsid w:val="00813F0B"/>
    <w:rsid w:val="00813F32"/>
    <w:rsid w:val="00813F36"/>
    <w:rsid w:val="00813F59"/>
    <w:rsid w:val="00813F82"/>
    <w:rsid w:val="00813F8D"/>
    <w:rsid w:val="00813F9E"/>
    <w:rsid w:val="0081402B"/>
    <w:rsid w:val="0081402E"/>
    <w:rsid w:val="00814092"/>
    <w:rsid w:val="008140E2"/>
    <w:rsid w:val="0081412D"/>
    <w:rsid w:val="00814130"/>
    <w:rsid w:val="0081416A"/>
    <w:rsid w:val="0081416F"/>
    <w:rsid w:val="0081419C"/>
    <w:rsid w:val="008141A2"/>
    <w:rsid w:val="008141B7"/>
    <w:rsid w:val="0081425B"/>
    <w:rsid w:val="008142A5"/>
    <w:rsid w:val="008142CD"/>
    <w:rsid w:val="0081434D"/>
    <w:rsid w:val="00814359"/>
    <w:rsid w:val="00814369"/>
    <w:rsid w:val="0081438A"/>
    <w:rsid w:val="00814396"/>
    <w:rsid w:val="0081443B"/>
    <w:rsid w:val="00814462"/>
    <w:rsid w:val="0081446B"/>
    <w:rsid w:val="00814475"/>
    <w:rsid w:val="008144A9"/>
    <w:rsid w:val="00814512"/>
    <w:rsid w:val="0081456E"/>
    <w:rsid w:val="008145C4"/>
    <w:rsid w:val="008145E2"/>
    <w:rsid w:val="008145F1"/>
    <w:rsid w:val="0081462D"/>
    <w:rsid w:val="00814663"/>
    <w:rsid w:val="00814673"/>
    <w:rsid w:val="008146DB"/>
    <w:rsid w:val="00814700"/>
    <w:rsid w:val="0081474A"/>
    <w:rsid w:val="0081477D"/>
    <w:rsid w:val="00814797"/>
    <w:rsid w:val="0081481F"/>
    <w:rsid w:val="0081482B"/>
    <w:rsid w:val="00814891"/>
    <w:rsid w:val="008148C9"/>
    <w:rsid w:val="0081493E"/>
    <w:rsid w:val="0081497A"/>
    <w:rsid w:val="008149E5"/>
    <w:rsid w:val="008149EC"/>
    <w:rsid w:val="008149F2"/>
    <w:rsid w:val="00814A0D"/>
    <w:rsid w:val="00814A3D"/>
    <w:rsid w:val="00814A53"/>
    <w:rsid w:val="00814ACC"/>
    <w:rsid w:val="00814AD8"/>
    <w:rsid w:val="00814AEC"/>
    <w:rsid w:val="00814B74"/>
    <w:rsid w:val="00814BBE"/>
    <w:rsid w:val="00814BD4"/>
    <w:rsid w:val="00814BF1"/>
    <w:rsid w:val="00814C4D"/>
    <w:rsid w:val="00814C5B"/>
    <w:rsid w:val="00814C63"/>
    <w:rsid w:val="00814D42"/>
    <w:rsid w:val="00814D48"/>
    <w:rsid w:val="00814D7B"/>
    <w:rsid w:val="00814E09"/>
    <w:rsid w:val="00814E39"/>
    <w:rsid w:val="00814E3A"/>
    <w:rsid w:val="00814E9C"/>
    <w:rsid w:val="00814EAF"/>
    <w:rsid w:val="00814EE1"/>
    <w:rsid w:val="00814EFD"/>
    <w:rsid w:val="00814F2D"/>
    <w:rsid w:val="00814F81"/>
    <w:rsid w:val="00814FBE"/>
    <w:rsid w:val="00814FD9"/>
    <w:rsid w:val="008150A3"/>
    <w:rsid w:val="0081513A"/>
    <w:rsid w:val="0081516C"/>
    <w:rsid w:val="008151B7"/>
    <w:rsid w:val="008151BC"/>
    <w:rsid w:val="008151DA"/>
    <w:rsid w:val="00815221"/>
    <w:rsid w:val="008152F1"/>
    <w:rsid w:val="00815323"/>
    <w:rsid w:val="0081536B"/>
    <w:rsid w:val="008153A1"/>
    <w:rsid w:val="008153A4"/>
    <w:rsid w:val="008153F5"/>
    <w:rsid w:val="00815409"/>
    <w:rsid w:val="00815485"/>
    <w:rsid w:val="008154C1"/>
    <w:rsid w:val="00815543"/>
    <w:rsid w:val="008155B6"/>
    <w:rsid w:val="0081563B"/>
    <w:rsid w:val="00815646"/>
    <w:rsid w:val="008156BA"/>
    <w:rsid w:val="008156EF"/>
    <w:rsid w:val="008156F7"/>
    <w:rsid w:val="0081574A"/>
    <w:rsid w:val="00815779"/>
    <w:rsid w:val="008157D3"/>
    <w:rsid w:val="008157FB"/>
    <w:rsid w:val="00815826"/>
    <w:rsid w:val="00815831"/>
    <w:rsid w:val="0081587E"/>
    <w:rsid w:val="0081588F"/>
    <w:rsid w:val="008158CE"/>
    <w:rsid w:val="00815962"/>
    <w:rsid w:val="00815A05"/>
    <w:rsid w:val="00815A30"/>
    <w:rsid w:val="00815A33"/>
    <w:rsid w:val="00815A59"/>
    <w:rsid w:val="00815A82"/>
    <w:rsid w:val="00815B5D"/>
    <w:rsid w:val="00815BAC"/>
    <w:rsid w:val="00815C11"/>
    <w:rsid w:val="00815C93"/>
    <w:rsid w:val="00815CD8"/>
    <w:rsid w:val="00815CDE"/>
    <w:rsid w:val="00815CEC"/>
    <w:rsid w:val="00815D2B"/>
    <w:rsid w:val="00815D8F"/>
    <w:rsid w:val="00815D90"/>
    <w:rsid w:val="00815D95"/>
    <w:rsid w:val="00815E38"/>
    <w:rsid w:val="00815EF9"/>
    <w:rsid w:val="00815F01"/>
    <w:rsid w:val="0081600D"/>
    <w:rsid w:val="00816011"/>
    <w:rsid w:val="00816022"/>
    <w:rsid w:val="00816026"/>
    <w:rsid w:val="008160CC"/>
    <w:rsid w:val="008160EB"/>
    <w:rsid w:val="0081611A"/>
    <w:rsid w:val="00816130"/>
    <w:rsid w:val="0081619A"/>
    <w:rsid w:val="0081619D"/>
    <w:rsid w:val="008161AB"/>
    <w:rsid w:val="008161F6"/>
    <w:rsid w:val="0081622E"/>
    <w:rsid w:val="0081628E"/>
    <w:rsid w:val="008163E6"/>
    <w:rsid w:val="00816422"/>
    <w:rsid w:val="00816423"/>
    <w:rsid w:val="00816438"/>
    <w:rsid w:val="00816475"/>
    <w:rsid w:val="0081648E"/>
    <w:rsid w:val="008164E3"/>
    <w:rsid w:val="008164F0"/>
    <w:rsid w:val="0081654A"/>
    <w:rsid w:val="00816597"/>
    <w:rsid w:val="008165A1"/>
    <w:rsid w:val="008165A3"/>
    <w:rsid w:val="00816641"/>
    <w:rsid w:val="008166BC"/>
    <w:rsid w:val="008166F5"/>
    <w:rsid w:val="0081670F"/>
    <w:rsid w:val="0081671A"/>
    <w:rsid w:val="00816747"/>
    <w:rsid w:val="00816781"/>
    <w:rsid w:val="008167CB"/>
    <w:rsid w:val="008167D7"/>
    <w:rsid w:val="008167E8"/>
    <w:rsid w:val="00816810"/>
    <w:rsid w:val="00816843"/>
    <w:rsid w:val="008168A9"/>
    <w:rsid w:val="008168D6"/>
    <w:rsid w:val="008168EE"/>
    <w:rsid w:val="00816907"/>
    <w:rsid w:val="0081694A"/>
    <w:rsid w:val="00816959"/>
    <w:rsid w:val="0081696B"/>
    <w:rsid w:val="0081698D"/>
    <w:rsid w:val="008169F5"/>
    <w:rsid w:val="008169FE"/>
    <w:rsid w:val="00816A5D"/>
    <w:rsid w:val="00816A5F"/>
    <w:rsid w:val="00816AC6"/>
    <w:rsid w:val="00816B21"/>
    <w:rsid w:val="00816B43"/>
    <w:rsid w:val="00816B8C"/>
    <w:rsid w:val="00816BB4"/>
    <w:rsid w:val="00816C14"/>
    <w:rsid w:val="00816C49"/>
    <w:rsid w:val="00816C60"/>
    <w:rsid w:val="00816D42"/>
    <w:rsid w:val="00816DB3"/>
    <w:rsid w:val="00816E3E"/>
    <w:rsid w:val="00816E5F"/>
    <w:rsid w:val="00816F3A"/>
    <w:rsid w:val="00816FA2"/>
    <w:rsid w:val="00816FE3"/>
    <w:rsid w:val="00817008"/>
    <w:rsid w:val="00817024"/>
    <w:rsid w:val="00817054"/>
    <w:rsid w:val="008171E4"/>
    <w:rsid w:val="00817213"/>
    <w:rsid w:val="00817255"/>
    <w:rsid w:val="00817258"/>
    <w:rsid w:val="00817272"/>
    <w:rsid w:val="00817286"/>
    <w:rsid w:val="008172F7"/>
    <w:rsid w:val="00817307"/>
    <w:rsid w:val="008173B1"/>
    <w:rsid w:val="008173DF"/>
    <w:rsid w:val="00817457"/>
    <w:rsid w:val="00817464"/>
    <w:rsid w:val="0081747B"/>
    <w:rsid w:val="00817506"/>
    <w:rsid w:val="00817535"/>
    <w:rsid w:val="008175C7"/>
    <w:rsid w:val="008175FF"/>
    <w:rsid w:val="008176A2"/>
    <w:rsid w:val="0081771B"/>
    <w:rsid w:val="00817750"/>
    <w:rsid w:val="008177D8"/>
    <w:rsid w:val="008178B1"/>
    <w:rsid w:val="008178E4"/>
    <w:rsid w:val="0081790B"/>
    <w:rsid w:val="00817A17"/>
    <w:rsid w:val="00817A21"/>
    <w:rsid w:val="00817A49"/>
    <w:rsid w:val="00817A50"/>
    <w:rsid w:val="00817AB5"/>
    <w:rsid w:val="00817AD0"/>
    <w:rsid w:val="00817B63"/>
    <w:rsid w:val="00817BE9"/>
    <w:rsid w:val="00817C89"/>
    <w:rsid w:val="00817C9A"/>
    <w:rsid w:val="00817CE3"/>
    <w:rsid w:val="00817CFD"/>
    <w:rsid w:val="00817D15"/>
    <w:rsid w:val="00817D1C"/>
    <w:rsid w:val="00817D5F"/>
    <w:rsid w:val="00817DB6"/>
    <w:rsid w:val="00817DCC"/>
    <w:rsid w:val="00817DD0"/>
    <w:rsid w:val="00817E10"/>
    <w:rsid w:val="00817E15"/>
    <w:rsid w:val="00817E32"/>
    <w:rsid w:val="00817EA9"/>
    <w:rsid w:val="00817ED3"/>
    <w:rsid w:val="00817F10"/>
    <w:rsid w:val="00817F35"/>
    <w:rsid w:val="00817F53"/>
    <w:rsid w:val="0082000B"/>
    <w:rsid w:val="00820095"/>
    <w:rsid w:val="008200C0"/>
    <w:rsid w:val="008200D9"/>
    <w:rsid w:val="0082017E"/>
    <w:rsid w:val="00820212"/>
    <w:rsid w:val="008202F4"/>
    <w:rsid w:val="00820383"/>
    <w:rsid w:val="008203AB"/>
    <w:rsid w:val="00820435"/>
    <w:rsid w:val="00820451"/>
    <w:rsid w:val="00820496"/>
    <w:rsid w:val="008204E0"/>
    <w:rsid w:val="00820519"/>
    <w:rsid w:val="00820548"/>
    <w:rsid w:val="00820549"/>
    <w:rsid w:val="00820589"/>
    <w:rsid w:val="00820601"/>
    <w:rsid w:val="00820602"/>
    <w:rsid w:val="0082065E"/>
    <w:rsid w:val="0082068C"/>
    <w:rsid w:val="00820698"/>
    <w:rsid w:val="008206B6"/>
    <w:rsid w:val="0082070E"/>
    <w:rsid w:val="00820712"/>
    <w:rsid w:val="00820717"/>
    <w:rsid w:val="00820726"/>
    <w:rsid w:val="00820748"/>
    <w:rsid w:val="00820776"/>
    <w:rsid w:val="0082077D"/>
    <w:rsid w:val="0082078A"/>
    <w:rsid w:val="008207A7"/>
    <w:rsid w:val="008207C0"/>
    <w:rsid w:val="00820869"/>
    <w:rsid w:val="0082086F"/>
    <w:rsid w:val="00820889"/>
    <w:rsid w:val="008209F6"/>
    <w:rsid w:val="00820A9D"/>
    <w:rsid w:val="00820AC4"/>
    <w:rsid w:val="00820AD8"/>
    <w:rsid w:val="00820B67"/>
    <w:rsid w:val="00820B73"/>
    <w:rsid w:val="00820B7F"/>
    <w:rsid w:val="00820BC8"/>
    <w:rsid w:val="00820BCC"/>
    <w:rsid w:val="00820C27"/>
    <w:rsid w:val="00820C5A"/>
    <w:rsid w:val="00820C7F"/>
    <w:rsid w:val="00820CE2"/>
    <w:rsid w:val="00820D64"/>
    <w:rsid w:val="00820E29"/>
    <w:rsid w:val="00820E2C"/>
    <w:rsid w:val="00820E54"/>
    <w:rsid w:val="00820F51"/>
    <w:rsid w:val="00820F68"/>
    <w:rsid w:val="00820F89"/>
    <w:rsid w:val="00820F9A"/>
    <w:rsid w:val="00820FA5"/>
    <w:rsid w:val="00820FC8"/>
    <w:rsid w:val="0082105D"/>
    <w:rsid w:val="008210F5"/>
    <w:rsid w:val="0082113C"/>
    <w:rsid w:val="008211A4"/>
    <w:rsid w:val="008211D8"/>
    <w:rsid w:val="00821200"/>
    <w:rsid w:val="008212AC"/>
    <w:rsid w:val="008212D7"/>
    <w:rsid w:val="0082131A"/>
    <w:rsid w:val="0082134A"/>
    <w:rsid w:val="00821381"/>
    <w:rsid w:val="008213CE"/>
    <w:rsid w:val="008213CF"/>
    <w:rsid w:val="00821421"/>
    <w:rsid w:val="00821462"/>
    <w:rsid w:val="00821487"/>
    <w:rsid w:val="00821580"/>
    <w:rsid w:val="00821581"/>
    <w:rsid w:val="008215C0"/>
    <w:rsid w:val="008215CB"/>
    <w:rsid w:val="008215DB"/>
    <w:rsid w:val="008215E4"/>
    <w:rsid w:val="008215FA"/>
    <w:rsid w:val="008216B4"/>
    <w:rsid w:val="00821819"/>
    <w:rsid w:val="00821873"/>
    <w:rsid w:val="008218B4"/>
    <w:rsid w:val="008218FD"/>
    <w:rsid w:val="00821914"/>
    <w:rsid w:val="00821917"/>
    <w:rsid w:val="00821927"/>
    <w:rsid w:val="0082192B"/>
    <w:rsid w:val="00821934"/>
    <w:rsid w:val="00821947"/>
    <w:rsid w:val="008219B7"/>
    <w:rsid w:val="00821A0F"/>
    <w:rsid w:val="00821A16"/>
    <w:rsid w:val="00821ACB"/>
    <w:rsid w:val="00821B23"/>
    <w:rsid w:val="00821BD8"/>
    <w:rsid w:val="00821C4B"/>
    <w:rsid w:val="00821C76"/>
    <w:rsid w:val="00821CC6"/>
    <w:rsid w:val="00821D13"/>
    <w:rsid w:val="00821D1B"/>
    <w:rsid w:val="00821D8E"/>
    <w:rsid w:val="00821DD4"/>
    <w:rsid w:val="00821DED"/>
    <w:rsid w:val="00821EA5"/>
    <w:rsid w:val="00821EC6"/>
    <w:rsid w:val="00821F52"/>
    <w:rsid w:val="00821FB4"/>
    <w:rsid w:val="00822047"/>
    <w:rsid w:val="0082206D"/>
    <w:rsid w:val="008220BC"/>
    <w:rsid w:val="008220DD"/>
    <w:rsid w:val="0082214D"/>
    <w:rsid w:val="00822218"/>
    <w:rsid w:val="00822220"/>
    <w:rsid w:val="0082222B"/>
    <w:rsid w:val="0082223D"/>
    <w:rsid w:val="00822265"/>
    <w:rsid w:val="00822268"/>
    <w:rsid w:val="00822315"/>
    <w:rsid w:val="008223A3"/>
    <w:rsid w:val="008223C5"/>
    <w:rsid w:val="0082248E"/>
    <w:rsid w:val="00822499"/>
    <w:rsid w:val="00822557"/>
    <w:rsid w:val="0082257A"/>
    <w:rsid w:val="00822759"/>
    <w:rsid w:val="00822771"/>
    <w:rsid w:val="00822794"/>
    <w:rsid w:val="008227D5"/>
    <w:rsid w:val="0082285A"/>
    <w:rsid w:val="008228D7"/>
    <w:rsid w:val="008229A4"/>
    <w:rsid w:val="008229B8"/>
    <w:rsid w:val="00822A92"/>
    <w:rsid w:val="00822AAB"/>
    <w:rsid w:val="00822B5A"/>
    <w:rsid w:val="00822B7F"/>
    <w:rsid w:val="00822B9C"/>
    <w:rsid w:val="00822BE5"/>
    <w:rsid w:val="00822BEB"/>
    <w:rsid w:val="00822C0E"/>
    <w:rsid w:val="00822C39"/>
    <w:rsid w:val="00822D1D"/>
    <w:rsid w:val="00822D1E"/>
    <w:rsid w:val="00822D69"/>
    <w:rsid w:val="00822D6E"/>
    <w:rsid w:val="00822D8F"/>
    <w:rsid w:val="00822E73"/>
    <w:rsid w:val="00822EE3"/>
    <w:rsid w:val="00822F05"/>
    <w:rsid w:val="00822FCE"/>
    <w:rsid w:val="00822FE8"/>
    <w:rsid w:val="0082300B"/>
    <w:rsid w:val="00823040"/>
    <w:rsid w:val="00823072"/>
    <w:rsid w:val="00823089"/>
    <w:rsid w:val="008230D3"/>
    <w:rsid w:val="00823110"/>
    <w:rsid w:val="00823163"/>
    <w:rsid w:val="00823183"/>
    <w:rsid w:val="00823185"/>
    <w:rsid w:val="0082318F"/>
    <w:rsid w:val="00823196"/>
    <w:rsid w:val="008231BF"/>
    <w:rsid w:val="008231CC"/>
    <w:rsid w:val="00823228"/>
    <w:rsid w:val="0082322E"/>
    <w:rsid w:val="008232E9"/>
    <w:rsid w:val="008232F9"/>
    <w:rsid w:val="008232FC"/>
    <w:rsid w:val="00823449"/>
    <w:rsid w:val="008234BE"/>
    <w:rsid w:val="0082350E"/>
    <w:rsid w:val="00823531"/>
    <w:rsid w:val="008235E4"/>
    <w:rsid w:val="008235EA"/>
    <w:rsid w:val="0082360C"/>
    <w:rsid w:val="00823631"/>
    <w:rsid w:val="00823633"/>
    <w:rsid w:val="0082366C"/>
    <w:rsid w:val="008236B5"/>
    <w:rsid w:val="0082373F"/>
    <w:rsid w:val="00823772"/>
    <w:rsid w:val="00823795"/>
    <w:rsid w:val="0082379A"/>
    <w:rsid w:val="008237BE"/>
    <w:rsid w:val="008237F3"/>
    <w:rsid w:val="008237F6"/>
    <w:rsid w:val="0082388B"/>
    <w:rsid w:val="008238B9"/>
    <w:rsid w:val="008238D2"/>
    <w:rsid w:val="00823973"/>
    <w:rsid w:val="008239A1"/>
    <w:rsid w:val="008239CD"/>
    <w:rsid w:val="00823A22"/>
    <w:rsid w:val="00823B83"/>
    <w:rsid w:val="00823BA4"/>
    <w:rsid w:val="00823C33"/>
    <w:rsid w:val="00823C55"/>
    <w:rsid w:val="00823C8B"/>
    <w:rsid w:val="00823CF4"/>
    <w:rsid w:val="00823D5E"/>
    <w:rsid w:val="00823D81"/>
    <w:rsid w:val="00823E7D"/>
    <w:rsid w:val="00823EC5"/>
    <w:rsid w:val="00823F3F"/>
    <w:rsid w:val="00823F78"/>
    <w:rsid w:val="008240B2"/>
    <w:rsid w:val="00824118"/>
    <w:rsid w:val="00824148"/>
    <w:rsid w:val="008241A6"/>
    <w:rsid w:val="008242CE"/>
    <w:rsid w:val="008242EC"/>
    <w:rsid w:val="00824375"/>
    <w:rsid w:val="00824388"/>
    <w:rsid w:val="00824431"/>
    <w:rsid w:val="0082443D"/>
    <w:rsid w:val="008244AA"/>
    <w:rsid w:val="008244B2"/>
    <w:rsid w:val="008244C2"/>
    <w:rsid w:val="008244FD"/>
    <w:rsid w:val="00824518"/>
    <w:rsid w:val="00824527"/>
    <w:rsid w:val="0082452F"/>
    <w:rsid w:val="00824558"/>
    <w:rsid w:val="008245AB"/>
    <w:rsid w:val="008245B3"/>
    <w:rsid w:val="0082460A"/>
    <w:rsid w:val="00824660"/>
    <w:rsid w:val="00824675"/>
    <w:rsid w:val="00824682"/>
    <w:rsid w:val="00824686"/>
    <w:rsid w:val="0082469C"/>
    <w:rsid w:val="00824727"/>
    <w:rsid w:val="0082472C"/>
    <w:rsid w:val="0082474F"/>
    <w:rsid w:val="008247A5"/>
    <w:rsid w:val="0082481A"/>
    <w:rsid w:val="00824830"/>
    <w:rsid w:val="0082484A"/>
    <w:rsid w:val="008248B3"/>
    <w:rsid w:val="008249BA"/>
    <w:rsid w:val="008249E4"/>
    <w:rsid w:val="008249E5"/>
    <w:rsid w:val="00824A93"/>
    <w:rsid w:val="00824B23"/>
    <w:rsid w:val="00824B5E"/>
    <w:rsid w:val="00824BF3"/>
    <w:rsid w:val="00824CA2"/>
    <w:rsid w:val="00824D27"/>
    <w:rsid w:val="00824D94"/>
    <w:rsid w:val="00824DD5"/>
    <w:rsid w:val="00824DED"/>
    <w:rsid w:val="00824E35"/>
    <w:rsid w:val="00824E64"/>
    <w:rsid w:val="00824E90"/>
    <w:rsid w:val="00824EB2"/>
    <w:rsid w:val="00824F40"/>
    <w:rsid w:val="00824F6A"/>
    <w:rsid w:val="00824FB0"/>
    <w:rsid w:val="00825049"/>
    <w:rsid w:val="00825063"/>
    <w:rsid w:val="00825067"/>
    <w:rsid w:val="008250F5"/>
    <w:rsid w:val="008251F8"/>
    <w:rsid w:val="0082528A"/>
    <w:rsid w:val="008252B9"/>
    <w:rsid w:val="0082531F"/>
    <w:rsid w:val="00825369"/>
    <w:rsid w:val="0082536F"/>
    <w:rsid w:val="008253AA"/>
    <w:rsid w:val="0082547C"/>
    <w:rsid w:val="00825492"/>
    <w:rsid w:val="00825532"/>
    <w:rsid w:val="00825653"/>
    <w:rsid w:val="00825676"/>
    <w:rsid w:val="0082568E"/>
    <w:rsid w:val="008256A8"/>
    <w:rsid w:val="00825731"/>
    <w:rsid w:val="00825782"/>
    <w:rsid w:val="00825788"/>
    <w:rsid w:val="008257F8"/>
    <w:rsid w:val="008257FB"/>
    <w:rsid w:val="0082581F"/>
    <w:rsid w:val="0082582B"/>
    <w:rsid w:val="00825875"/>
    <w:rsid w:val="008258FD"/>
    <w:rsid w:val="0082594C"/>
    <w:rsid w:val="008259AC"/>
    <w:rsid w:val="008259BD"/>
    <w:rsid w:val="008259E2"/>
    <w:rsid w:val="00825A4C"/>
    <w:rsid w:val="00825A97"/>
    <w:rsid w:val="00825ABC"/>
    <w:rsid w:val="00825ACD"/>
    <w:rsid w:val="00825B87"/>
    <w:rsid w:val="00825BE6"/>
    <w:rsid w:val="00825C1A"/>
    <w:rsid w:val="00825C45"/>
    <w:rsid w:val="00825CAC"/>
    <w:rsid w:val="00825CE8"/>
    <w:rsid w:val="00825D76"/>
    <w:rsid w:val="00825E05"/>
    <w:rsid w:val="00825E29"/>
    <w:rsid w:val="00825E6A"/>
    <w:rsid w:val="00825EF3"/>
    <w:rsid w:val="00825F27"/>
    <w:rsid w:val="00825F9A"/>
    <w:rsid w:val="00825FCB"/>
    <w:rsid w:val="00825FEB"/>
    <w:rsid w:val="0082602B"/>
    <w:rsid w:val="008260E2"/>
    <w:rsid w:val="008261B8"/>
    <w:rsid w:val="008261F1"/>
    <w:rsid w:val="0082624F"/>
    <w:rsid w:val="00826259"/>
    <w:rsid w:val="00826317"/>
    <w:rsid w:val="0082634E"/>
    <w:rsid w:val="008263FF"/>
    <w:rsid w:val="00826412"/>
    <w:rsid w:val="0082641C"/>
    <w:rsid w:val="0082648B"/>
    <w:rsid w:val="008264D4"/>
    <w:rsid w:val="008264D6"/>
    <w:rsid w:val="00826504"/>
    <w:rsid w:val="0082650B"/>
    <w:rsid w:val="00826520"/>
    <w:rsid w:val="0082652D"/>
    <w:rsid w:val="008265B4"/>
    <w:rsid w:val="008265B7"/>
    <w:rsid w:val="008265CF"/>
    <w:rsid w:val="008265FD"/>
    <w:rsid w:val="00826672"/>
    <w:rsid w:val="00826677"/>
    <w:rsid w:val="008266AB"/>
    <w:rsid w:val="008266BA"/>
    <w:rsid w:val="00826728"/>
    <w:rsid w:val="00826778"/>
    <w:rsid w:val="00826788"/>
    <w:rsid w:val="0082679E"/>
    <w:rsid w:val="008267A2"/>
    <w:rsid w:val="008267F2"/>
    <w:rsid w:val="0082688E"/>
    <w:rsid w:val="008268D5"/>
    <w:rsid w:val="00826904"/>
    <w:rsid w:val="00826B58"/>
    <w:rsid w:val="00826B91"/>
    <w:rsid w:val="00826B97"/>
    <w:rsid w:val="00826C40"/>
    <w:rsid w:val="00826CE3"/>
    <w:rsid w:val="00826DB8"/>
    <w:rsid w:val="00826DBC"/>
    <w:rsid w:val="00826E33"/>
    <w:rsid w:val="00826E45"/>
    <w:rsid w:val="00826EC6"/>
    <w:rsid w:val="00826EEB"/>
    <w:rsid w:val="00826F31"/>
    <w:rsid w:val="00826F40"/>
    <w:rsid w:val="00826F63"/>
    <w:rsid w:val="00826F6F"/>
    <w:rsid w:val="00826FB5"/>
    <w:rsid w:val="00826FC0"/>
    <w:rsid w:val="0082704C"/>
    <w:rsid w:val="0082706D"/>
    <w:rsid w:val="008270C5"/>
    <w:rsid w:val="0082711B"/>
    <w:rsid w:val="0082714F"/>
    <w:rsid w:val="00827159"/>
    <w:rsid w:val="00827167"/>
    <w:rsid w:val="00827185"/>
    <w:rsid w:val="008271A9"/>
    <w:rsid w:val="00827239"/>
    <w:rsid w:val="0082725C"/>
    <w:rsid w:val="00827266"/>
    <w:rsid w:val="00827285"/>
    <w:rsid w:val="00827321"/>
    <w:rsid w:val="0082735B"/>
    <w:rsid w:val="00827393"/>
    <w:rsid w:val="008273B9"/>
    <w:rsid w:val="008273BD"/>
    <w:rsid w:val="008273E1"/>
    <w:rsid w:val="00827468"/>
    <w:rsid w:val="008274D9"/>
    <w:rsid w:val="00827524"/>
    <w:rsid w:val="00827535"/>
    <w:rsid w:val="00827553"/>
    <w:rsid w:val="00827561"/>
    <w:rsid w:val="00827588"/>
    <w:rsid w:val="0082758D"/>
    <w:rsid w:val="0082764C"/>
    <w:rsid w:val="00827690"/>
    <w:rsid w:val="00827693"/>
    <w:rsid w:val="008276A2"/>
    <w:rsid w:val="008276B2"/>
    <w:rsid w:val="008276BA"/>
    <w:rsid w:val="008276FE"/>
    <w:rsid w:val="00827742"/>
    <w:rsid w:val="008277A3"/>
    <w:rsid w:val="008277C9"/>
    <w:rsid w:val="008277CA"/>
    <w:rsid w:val="00827851"/>
    <w:rsid w:val="0082789E"/>
    <w:rsid w:val="008278EE"/>
    <w:rsid w:val="0082791C"/>
    <w:rsid w:val="00827948"/>
    <w:rsid w:val="008279E3"/>
    <w:rsid w:val="00827A61"/>
    <w:rsid w:val="00827AC4"/>
    <w:rsid w:val="00827AC5"/>
    <w:rsid w:val="00827AE0"/>
    <w:rsid w:val="00827B0E"/>
    <w:rsid w:val="00827B29"/>
    <w:rsid w:val="00827B6F"/>
    <w:rsid w:val="00827B7F"/>
    <w:rsid w:val="00827BA2"/>
    <w:rsid w:val="00827BF4"/>
    <w:rsid w:val="00827C0E"/>
    <w:rsid w:val="00827C30"/>
    <w:rsid w:val="00827C42"/>
    <w:rsid w:val="00827C5A"/>
    <w:rsid w:val="00827DF4"/>
    <w:rsid w:val="00827DF7"/>
    <w:rsid w:val="00827E00"/>
    <w:rsid w:val="00827E1D"/>
    <w:rsid w:val="00827E2C"/>
    <w:rsid w:val="00827EDB"/>
    <w:rsid w:val="00827EF0"/>
    <w:rsid w:val="00827F09"/>
    <w:rsid w:val="00827F1F"/>
    <w:rsid w:val="00827F35"/>
    <w:rsid w:val="00827FD5"/>
    <w:rsid w:val="00830063"/>
    <w:rsid w:val="0083007B"/>
    <w:rsid w:val="008300CF"/>
    <w:rsid w:val="00830114"/>
    <w:rsid w:val="0083014B"/>
    <w:rsid w:val="00830195"/>
    <w:rsid w:val="0083025D"/>
    <w:rsid w:val="00830293"/>
    <w:rsid w:val="00830323"/>
    <w:rsid w:val="00830351"/>
    <w:rsid w:val="008303E7"/>
    <w:rsid w:val="00830402"/>
    <w:rsid w:val="00830420"/>
    <w:rsid w:val="0083047B"/>
    <w:rsid w:val="008304B1"/>
    <w:rsid w:val="008304EA"/>
    <w:rsid w:val="00830551"/>
    <w:rsid w:val="00830556"/>
    <w:rsid w:val="0083059F"/>
    <w:rsid w:val="008305CC"/>
    <w:rsid w:val="00830613"/>
    <w:rsid w:val="00830649"/>
    <w:rsid w:val="00830685"/>
    <w:rsid w:val="008306B5"/>
    <w:rsid w:val="00830800"/>
    <w:rsid w:val="00830841"/>
    <w:rsid w:val="00830856"/>
    <w:rsid w:val="008308C5"/>
    <w:rsid w:val="008308E8"/>
    <w:rsid w:val="00830909"/>
    <w:rsid w:val="00830929"/>
    <w:rsid w:val="0083096B"/>
    <w:rsid w:val="00830A10"/>
    <w:rsid w:val="00830AAD"/>
    <w:rsid w:val="00830B22"/>
    <w:rsid w:val="00830B97"/>
    <w:rsid w:val="00830C2D"/>
    <w:rsid w:val="00830CB9"/>
    <w:rsid w:val="00830D40"/>
    <w:rsid w:val="00830D52"/>
    <w:rsid w:val="00830E6C"/>
    <w:rsid w:val="00830E98"/>
    <w:rsid w:val="00830E9F"/>
    <w:rsid w:val="00830EAE"/>
    <w:rsid w:val="00830EB9"/>
    <w:rsid w:val="00830EC1"/>
    <w:rsid w:val="00830ED9"/>
    <w:rsid w:val="00830EEB"/>
    <w:rsid w:val="00830EF8"/>
    <w:rsid w:val="00830F3B"/>
    <w:rsid w:val="00830F54"/>
    <w:rsid w:val="00830F7B"/>
    <w:rsid w:val="00830FA9"/>
    <w:rsid w:val="0083104B"/>
    <w:rsid w:val="008310F9"/>
    <w:rsid w:val="00831125"/>
    <w:rsid w:val="0083121B"/>
    <w:rsid w:val="0083127B"/>
    <w:rsid w:val="008312EB"/>
    <w:rsid w:val="0083132A"/>
    <w:rsid w:val="00831344"/>
    <w:rsid w:val="00831470"/>
    <w:rsid w:val="00831481"/>
    <w:rsid w:val="008314AB"/>
    <w:rsid w:val="008314B7"/>
    <w:rsid w:val="0083153E"/>
    <w:rsid w:val="00831555"/>
    <w:rsid w:val="0083156D"/>
    <w:rsid w:val="008315A9"/>
    <w:rsid w:val="008315B0"/>
    <w:rsid w:val="008315BB"/>
    <w:rsid w:val="008315E1"/>
    <w:rsid w:val="00831637"/>
    <w:rsid w:val="00831641"/>
    <w:rsid w:val="00831655"/>
    <w:rsid w:val="00831662"/>
    <w:rsid w:val="0083167D"/>
    <w:rsid w:val="008316EB"/>
    <w:rsid w:val="00831722"/>
    <w:rsid w:val="00831736"/>
    <w:rsid w:val="008317F2"/>
    <w:rsid w:val="00831847"/>
    <w:rsid w:val="00831854"/>
    <w:rsid w:val="00831943"/>
    <w:rsid w:val="008319CC"/>
    <w:rsid w:val="00831A1F"/>
    <w:rsid w:val="00831A26"/>
    <w:rsid w:val="00831AB1"/>
    <w:rsid w:val="00831AC8"/>
    <w:rsid w:val="00831AF3"/>
    <w:rsid w:val="00831B23"/>
    <w:rsid w:val="00831CE9"/>
    <w:rsid w:val="00831DC6"/>
    <w:rsid w:val="00831DDD"/>
    <w:rsid w:val="00831E05"/>
    <w:rsid w:val="00831E25"/>
    <w:rsid w:val="00831E35"/>
    <w:rsid w:val="00831EB4"/>
    <w:rsid w:val="00831EBA"/>
    <w:rsid w:val="00831F3B"/>
    <w:rsid w:val="00831FD2"/>
    <w:rsid w:val="008320B6"/>
    <w:rsid w:val="00832153"/>
    <w:rsid w:val="00832157"/>
    <w:rsid w:val="00832158"/>
    <w:rsid w:val="0083217E"/>
    <w:rsid w:val="008321E8"/>
    <w:rsid w:val="008321F1"/>
    <w:rsid w:val="008321F2"/>
    <w:rsid w:val="0083224C"/>
    <w:rsid w:val="0083228C"/>
    <w:rsid w:val="008322B4"/>
    <w:rsid w:val="008322BE"/>
    <w:rsid w:val="008322E9"/>
    <w:rsid w:val="00832352"/>
    <w:rsid w:val="008323BB"/>
    <w:rsid w:val="00832480"/>
    <w:rsid w:val="008324BB"/>
    <w:rsid w:val="00832536"/>
    <w:rsid w:val="00832562"/>
    <w:rsid w:val="00832576"/>
    <w:rsid w:val="0083258B"/>
    <w:rsid w:val="0083260E"/>
    <w:rsid w:val="0083266E"/>
    <w:rsid w:val="0083268D"/>
    <w:rsid w:val="008326AD"/>
    <w:rsid w:val="008326DF"/>
    <w:rsid w:val="00832726"/>
    <w:rsid w:val="0083272D"/>
    <w:rsid w:val="00832763"/>
    <w:rsid w:val="0083279C"/>
    <w:rsid w:val="008327C1"/>
    <w:rsid w:val="00832833"/>
    <w:rsid w:val="008328A0"/>
    <w:rsid w:val="00832910"/>
    <w:rsid w:val="00832951"/>
    <w:rsid w:val="00832992"/>
    <w:rsid w:val="008329A2"/>
    <w:rsid w:val="00832A41"/>
    <w:rsid w:val="00832A66"/>
    <w:rsid w:val="00832AB3"/>
    <w:rsid w:val="00832B09"/>
    <w:rsid w:val="00832B89"/>
    <w:rsid w:val="00832BAC"/>
    <w:rsid w:val="00832BCF"/>
    <w:rsid w:val="00832C0D"/>
    <w:rsid w:val="00832C60"/>
    <w:rsid w:val="00832C7E"/>
    <w:rsid w:val="00832CF9"/>
    <w:rsid w:val="00832D03"/>
    <w:rsid w:val="00832D13"/>
    <w:rsid w:val="00832D33"/>
    <w:rsid w:val="00832D35"/>
    <w:rsid w:val="00832D75"/>
    <w:rsid w:val="00832DB6"/>
    <w:rsid w:val="00832DBF"/>
    <w:rsid w:val="00832DD3"/>
    <w:rsid w:val="00832DDB"/>
    <w:rsid w:val="00832E67"/>
    <w:rsid w:val="00832F0B"/>
    <w:rsid w:val="00832F51"/>
    <w:rsid w:val="00832F85"/>
    <w:rsid w:val="00832FCF"/>
    <w:rsid w:val="00832FF8"/>
    <w:rsid w:val="0083311D"/>
    <w:rsid w:val="008331D8"/>
    <w:rsid w:val="008331E0"/>
    <w:rsid w:val="00833217"/>
    <w:rsid w:val="00833286"/>
    <w:rsid w:val="00833308"/>
    <w:rsid w:val="00833357"/>
    <w:rsid w:val="00833389"/>
    <w:rsid w:val="008333FA"/>
    <w:rsid w:val="008334A0"/>
    <w:rsid w:val="008334B4"/>
    <w:rsid w:val="008334BF"/>
    <w:rsid w:val="0083351A"/>
    <w:rsid w:val="00833566"/>
    <w:rsid w:val="008335B3"/>
    <w:rsid w:val="008335C7"/>
    <w:rsid w:val="008335CB"/>
    <w:rsid w:val="00833713"/>
    <w:rsid w:val="008337A7"/>
    <w:rsid w:val="008337E0"/>
    <w:rsid w:val="0083385E"/>
    <w:rsid w:val="0083388B"/>
    <w:rsid w:val="00833902"/>
    <w:rsid w:val="008339E8"/>
    <w:rsid w:val="008339F2"/>
    <w:rsid w:val="00833A14"/>
    <w:rsid w:val="00833A29"/>
    <w:rsid w:val="00833ADF"/>
    <w:rsid w:val="00833B01"/>
    <w:rsid w:val="00833B4C"/>
    <w:rsid w:val="00833B58"/>
    <w:rsid w:val="00833BF0"/>
    <w:rsid w:val="00833C42"/>
    <w:rsid w:val="00833C83"/>
    <w:rsid w:val="00833D8E"/>
    <w:rsid w:val="00833D91"/>
    <w:rsid w:val="00833DCF"/>
    <w:rsid w:val="00833E0A"/>
    <w:rsid w:val="00833E16"/>
    <w:rsid w:val="00833E38"/>
    <w:rsid w:val="00833E6F"/>
    <w:rsid w:val="00833E76"/>
    <w:rsid w:val="00833E9D"/>
    <w:rsid w:val="00833EAB"/>
    <w:rsid w:val="00833EDA"/>
    <w:rsid w:val="00833EDD"/>
    <w:rsid w:val="00833FA6"/>
    <w:rsid w:val="00833FD3"/>
    <w:rsid w:val="00833FF6"/>
    <w:rsid w:val="00833FFB"/>
    <w:rsid w:val="008340B6"/>
    <w:rsid w:val="008340D1"/>
    <w:rsid w:val="008341B5"/>
    <w:rsid w:val="008341B8"/>
    <w:rsid w:val="0083423F"/>
    <w:rsid w:val="00834260"/>
    <w:rsid w:val="008342AF"/>
    <w:rsid w:val="008342B0"/>
    <w:rsid w:val="008342CA"/>
    <w:rsid w:val="008342E0"/>
    <w:rsid w:val="008342E7"/>
    <w:rsid w:val="00834348"/>
    <w:rsid w:val="0083436A"/>
    <w:rsid w:val="00834380"/>
    <w:rsid w:val="00834386"/>
    <w:rsid w:val="008343E6"/>
    <w:rsid w:val="008343FE"/>
    <w:rsid w:val="00834413"/>
    <w:rsid w:val="00834459"/>
    <w:rsid w:val="008344D6"/>
    <w:rsid w:val="008344E4"/>
    <w:rsid w:val="008345AB"/>
    <w:rsid w:val="00834669"/>
    <w:rsid w:val="008347E1"/>
    <w:rsid w:val="0083487D"/>
    <w:rsid w:val="008348AE"/>
    <w:rsid w:val="008348D4"/>
    <w:rsid w:val="00834916"/>
    <w:rsid w:val="00834953"/>
    <w:rsid w:val="00834985"/>
    <w:rsid w:val="00834990"/>
    <w:rsid w:val="00834991"/>
    <w:rsid w:val="008349B1"/>
    <w:rsid w:val="008349D8"/>
    <w:rsid w:val="00834A34"/>
    <w:rsid w:val="00834A8A"/>
    <w:rsid w:val="00834AFC"/>
    <w:rsid w:val="00834B06"/>
    <w:rsid w:val="00834B36"/>
    <w:rsid w:val="00834B62"/>
    <w:rsid w:val="00834BC5"/>
    <w:rsid w:val="00834C51"/>
    <w:rsid w:val="00834C68"/>
    <w:rsid w:val="00834C81"/>
    <w:rsid w:val="00834D0E"/>
    <w:rsid w:val="00834D2C"/>
    <w:rsid w:val="00834D7D"/>
    <w:rsid w:val="00834D97"/>
    <w:rsid w:val="00834EC4"/>
    <w:rsid w:val="00834ED7"/>
    <w:rsid w:val="00834F03"/>
    <w:rsid w:val="00834F0E"/>
    <w:rsid w:val="00834F64"/>
    <w:rsid w:val="00834F91"/>
    <w:rsid w:val="00834FCE"/>
    <w:rsid w:val="00835056"/>
    <w:rsid w:val="00835062"/>
    <w:rsid w:val="00835072"/>
    <w:rsid w:val="008350B3"/>
    <w:rsid w:val="008350E3"/>
    <w:rsid w:val="0083511D"/>
    <w:rsid w:val="0083517F"/>
    <w:rsid w:val="008351A1"/>
    <w:rsid w:val="008351AB"/>
    <w:rsid w:val="008351C9"/>
    <w:rsid w:val="00835217"/>
    <w:rsid w:val="008352C4"/>
    <w:rsid w:val="008352CD"/>
    <w:rsid w:val="00835314"/>
    <w:rsid w:val="00835359"/>
    <w:rsid w:val="008353DF"/>
    <w:rsid w:val="008353F4"/>
    <w:rsid w:val="00835411"/>
    <w:rsid w:val="00835432"/>
    <w:rsid w:val="008354FD"/>
    <w:rsid w:val="00835542"/>
    <w:rsid w:val="008355C0"/>
    <w:rsid w:val="008355DB"/>
    <w:rsid w:val="008355EA"/>
    <w:rsid w:val="0083560A"/>
    <w:rsid w:val="0083567A"/>
    <w:rsid w:val="00835692"/>
    <w:rsid w:val="008356A9"/>
    <w:rsid w:val="008356CB"/>
    <w:rsid w:val="00835759"/>
    <w:rsid w:val="00835788"/>
    <w:rsid w:val="008357BF"/>
    <w:rsid w:val="00835841"/>
    <w:rsid w:val="00835847"/>
    <w:rsid w:val="0083587E"/>
    <w:rsid w:val="008358B2"/>
    <w:rsid w:val="008358FD"/>
    <w:rsid w:val="0083596D"/>
    <w:rsid w:val="00835A77"/>
    <w:rsid w:val="00835AF5"/>
    <w:rsid w:val="00835B15"/>
    <w:rsid w:val="00835B2D"/>
    <w:rsid w:val="00835B31"/>
    <w:rsid w:val="00835B46"/>
    <w:rsid w:val="00835B56"/>
    <w:rsid w:val="00835BB5"/>
    <w:rsid w:val="00835BDC"/>
    <w:rsid w:val="00835BE3"/>
    <w:rsid w:val="00835C5E"/>
    <w:rsid w:val="00835C61"/>
    <w:rsid w:val="00835C9E"/>
    <w:rsid w:val="00835CF8"/>
    <w:rsid w:val="00835E2B"/>
    <w:rsid w:val="00835E40"/>
    <w:rsid w:val="00835EB1"/>
    <w:rsid w:val="00835EDC"/>
    <w:rsid w:val="00835EEB"/>
    <w:rsid w:val="00835F1D"/>
    <w:rsid w:val="00835F41"/>
    <w:rsid w:val="00835F6A"/>
    <w:rsid w:val="00835F77"/>
    <w:rsid w:val="00836040"/>
    <w:rsid w:val="00836041"/>
    <w:rsid w:val="0083604A"/>
    <w:rsid w:val="00836055"/>
    <w:rsid w:val="00836078"/>
    <w:rsid w:val="008360B3"/>
    <w:rsid w:val="0083616E"/>
    <w:rsid w:val="0083617B"/>
    <w:rsid w:val="00836252"/>
    <w:rsid w:val="00836302"/>
    <w:rsid w:val="00836325"/>
    <w:rsid w:val="00836340"/>
    <w:rsid w:val="0083637F"/>
    <w:rsid w:val="00836383"/>
    <w:rsid w:val="00836430"/>
    <w:rsid w:val="00836463"/>
    <w:rsid w:val="00836464"/>
    <w:rsid w:val="0083649A"/>
    <w:rsid w:val="008364B7"/>
    <w:rsid w:val="00836547"/>
    <w:rsid w:val="00836558"/>
    <w:rsid w:val="0083657A"/>
    <w:rsid w:val="008365B3"/>
    <w:rsid w:val="0083669E"/>
    <w:rsid w:val="008366FC"/>
    <w:rsid w:val="00836726"/>
    <w:rsid w:val="008367AF"/>
    <w:rsid w:val="008367C3"/>
    <w:rsid w:val="00836821"/>
    <w:rsid w:val="008368A8"/>
    <w:rsid w:val="00836900"/>
    <w:rsid w:val="0083692C"/>
    <w:rsid w:val="008369F3"/>
    <w:rsid w:val="00836A06"/>
    <w:rsid w:val="00836A07"/>
    <w:rsid w:val="00836A70"/>
    <w:rsid w:val="00836AC6"/>
    <w:rsid w:val="00836B47"/>
    <w:rsid w:val="00836BCC"/>
    <w:rsid w:val="00836BCD"/>
    <w:rsid w:val="00836BF0"/>
    <w:rsid w:val="00836C46"/>
    <w:rsid w:val="00836C4A"/>
    <w:rsid w:val="00836CF6"/>
    <w:rsid w:val="00836D08"/>
    <w:rsid w:val="00836D4C"/>
    <w:rsid w:val="00836D71"/>
    <w:rsid w:val="00836E06"/>
    <w:rsid w:val="00836E0B"/>
    <w:rsid w:val="00836E25"/>
    <w:rsid w:val="00836E88"/>
    <w:rsid w:val="00836EB4"/>
    <w:rsid w:val="00836EE3"/>
    <w:rsid w:val="00836F06"/>
    <w:rsid w:val="00836F3A"/>
    <w:rsid w:val="00836F5C"/>
    <w:rsid w:val="00836F7D"/>
    <w:rsid w:val="00836FE1"/>
    <w:rsid w:val="00836FFC"/>
    <w:rsid w:val="00837057"/>
    <w:rsid w:val="00837092"/>
    <w:rsid w:val="0083715F"/>
    <w:rsid w:val="0083718D"/>
    <w:rsid w:val="008371B6"/>
    <w:rsid w:val="00837248"/>
    <w:rsid w:val="0083727B"/>
    <w:rsid w:val="008372A3"/>
    <w:rsid w:val="008373B0"/>
    <w:rsid w:val="008373B7"/>
    <w:rsid w:val="008373D8"/>
    <w:rsid w:val="00837448"/>
    <w:rsid w:val="00837466"/>
    <w:rsid w:val="008374EB"/>
    <w:rsid w:val="00837528"/>
    <w:rsid w:val="0083757A"/>
    <w:rsid w:val="008375E7"/>
    <w:rsid w:val="008375EB"/>
    <w:rsid w:val="008375ED"/>
    <w:rsid w:val="008375FF"/>
    <w:rsid w:val="00837619"/>
    <w:rsid w:val="00837637"/>
    <w:rsid w:val="0083770B"/>
    <w:rsid w:val="0083771F"/>
    <w:rsid w:val="00837767"/>
    <w:rsid w:val="0083785E"/>
    <w:rsid w:val="00837924"/>
    <w:rsid w:val="00837969"/>
    <w:rsid w:val="008379FE"/>
    <w:rsid w:val="00837A23"/>
    <w:rsid w:val="00837AA7"/>
    <w:rsid w:val="00837ADE"/>
    <w:rsid w:val="00837B2B"/>
    <w:rsid w:val="00837B3C"/>
    <w:rsid w:val="00837B71"/>
    <w:rsid w:val="00837BAF"/>
    <w:rsid w:val="00837C11"/>
    <w:rsid w:val="00837C7C"/>
    <w:rsid w:val="00837C7F"/>
    <w:rsid w:val="00837CED"/>
    <w:rsid w:val="00837D3F"/>
    <w:rsid w:val="00837D48"/>
    <w:rsid w:val="00837D5D"/>
    <w:rsid w:val="00837D86"/>
    <w:rsid w:val="00837EC6"/>
    <w:rsid w:val="00837EE8"/>
    <w:rsid w:val="00837F4E"/>
    <w:rsid w:val="00837F99"/>
    <w:rsid w:val="00840063"/>
    <w:rsid w:val="008400D0"/>
    <w:rsid w:val="00840165"/>
    <w:rsid w:val="0084017E"/>
    <w:rsid w:val="008401E3"/>
    <w:rsid w:val="008401FE"/>
    <w:rsid w:val="00840238"/>
    <w:rsid w:val="008402D7"/>
    <w:rsid w:val="008402F2"/>
    <w:rsid w:val="00840313"/>
    <w:rsid w:val="0084035A"/>
    <w:rsid w:val="0084035C"/>
    <w:rsid w:val="00840381"/>
    <w:rsid w:val="008403C7"/>
    <w:rsid w:val="008403C9"/>
    <w:rsid w:val="008403CB"/>
    <w:rsid w:val="0084041B"/>
    <w:rsid w:val="00840450"/>
    <w:rsid w:val="0084055F"/>
    <w:rsid w:val="00840581"/>
    <w:rsid w:val="00840620"/>
    <w:rsid w:val="0084064B"/>
    <w:rsid w:val="00840678"/>
    <w:rsid w:val="00840680"/>
    <w:rsid w:val="008406AF"/>
    <w:rsid w:val="00840735"/>
    <w:rsid w:val="0084074D"/>
    <w:rsid w:val="00840755"/>
    <w:rsid w:val="0084075C"/>
    <w:rsid w:val="00840763"/>
    <w:rsid w:val="00840783"/>
    <w:rsid w:val="008407B8"/>
    <w:rsid w:val="008407EB"/>
    <w:rsid w:val="0084081A"/>
    <w:rsid w:val="00840845"/>
    <w:rsid w:val="008408A2"/>
    <w:rsid w:val="0084092C"/>
    <w:rsid w:val="0084095E"/>
    <w:rsid w:val="008409A8"/>
    <w:rsid w:val="008409B9"/>
    <w:rsid w:val="008409C7"/>
    <w:rsid w:val="008409EC"/>
    <w:rsid w:val="008409FB"/>
    <w:rsid w:val="00840A1A"/>
    <w:rsid w:val="00840A42"/>
    <w:rsid w:val="00840A6A"/>
    <w:rsid w:val="00840B81"/>
    <w:rsid w:val="00840BB0"/>
    <w:rsid w:val="00840D24"/>
    <w:rsid w:val="00840D2A"/>
    <w:rsid w:val="00840D65"/>
    <w:rsid w:val="00840D7A"/>
    <w:rsid w:val="00840DDA"/>
    <w:rsid w:val="00840DE7"/>
    <w:rsid w:val="00840E87"/>
    <w:rsid w:val="00840EC2"/>
    <w:rsid w:val="00840F2A"/>
    <w:rsid w:val="00840FB6"/>
    <w:rsid w:val="00840FDE"/>
    <w:rsid w:val="00841026"/>
    <w:rsid w:val="0084102D"/>
    <w:rsid w:val="00841047"/>
    <w:rsid w:val="0084104F"/>
    <w:rsid w:val="00841119"/>
    <w:rsid w:val="0084116B"/>
    <w:rsid w:val="00841208"/>
    <w:rsid w:val="00841244"/>
    <w:rsid w:val="0084124A"/>
    <w:rsid w:val="00841324"/>
    <w:rsid w:val="0084139B"/>
    <w:rsid w:val="008413C8"/>
    <w:rsid w:val="008413DB"/>
    <w:rsid w:val="008413E6"/>
    <w:rsid w:val="008413F4"/>
    <w:rsid w:val="00841405"/>
    <w:rsid w:val="00841421"/>
    <w:rsid w:val="008414BA"/>
    <w:rsid w:val="00841518"/>
    <w:rsid w:val="00841531"/>
    <w:rsid w:val="0084154F"/>
    <w:rsid w:val="008415B8"/>
    <w:rsid w:val="008415CB"/>
    <w:rsid w:val="008415F6"/>
    <w:rsid w:val="00841651"/>
    <w:rsid w:val="008416C6"/>
    <w:rsid w:val="008416D6"/>
    <w:rsid w:val="008416FA"/>
    <w:rsid w:val="0084176E"/>
    <w:rsid w:val="008417CA"/>
    <w:rsid w:val="00841832"/>
    <w:rsid w:val="0084187C"/>
    <w:rsid w:val="00841888"/>
    <w:rsid w:val="0084188F"/>
    <w:rsid w:val="008419FF"/>
    <w:rsid w:val="00841A67"/>
    <w:rsid w:val="00841B4D"/>
    <w:rsid w:val="00841B62"/>
    <w:rsid w:val="00841C04"/>
    <w:rsid w:val="00841C0A"/>
    <w:rsid w:val="00841C1A"/>
    <w:rsid w:val="00841C9F"/>
    <w:rsid w:val="00841CEF"/>
    <w:rsid w:val="00841D10"/>
    <w:rsid w:val="00841D4D"/>
    <w:rsid w:val="00841E0F"/>
    <w:rsid w:val="00841E22"/>
    <w:rsid w:val="00841E66"/>
    <w:rsid w:val="00841EE2"/>
    <w:rsid w:val="00841F3C"/>
    <w:rsid w:val="00841F6B"/>
    <w:rsid w:val="00841FE5"/>
    <w:rsid w:val="00842033"/>
    <w:rsid w:val="00842035"/>
    <w:rsid w:val="00842045"/>
    <w:rsid w:val="0084205E"/>
    <w:rsid w:val="008420C6"/>
    <w:rsid w:val="008420FC"/>
    <w:rsid w:val="00842186"/>
    <w:rsid w:val="0084218F"/>
    <w:rsid w:val="008421E8"/>
    <w:rsid w:val="00842225"/>
    <w:rsid w:val="00842265"/>
    <w:rsid w:val="0084226F"/>
    <w:rsid w:val="008422BC"/>
    <w:rsid w:val="00842330"/>
    <w:rsid w:val="00842425"/>
    <w:rsid w:val="00842448"/>
    <w:rsid w:val="008424CD"/>
    <w:rsid w:val="008425E6"/>
    <w:rsid w:val="008426AE"/>
    <w:rsid w:val="008427BD"/>
    <w:rsid w:val="008427C5"/>
    <w:rsid w:val="008427F1"/>
    <w:rsid w:val="00842841"/>
    <w:rsid w:val="00842875"/>
    <w:rsid w:val="008428D5"/>
    <w:rsid w:val="008428EC"/>
    <w:rsid w:val="00842960"/>
    <w:rsid w:val="00842975"/>
    <w:rsid w:val="00842999"/>
    <w:rsid w:val="008429F8"/>
    <w:rsid w:val="00842A91"/>
    <w:rsid w:val="00842AD2"/>
    <w:rsid w:val="00842AF9"/>
    <w:rsid w:val="00842B04"/>
    <w:rsid w:val="00842B93"/>
    <w:rsid w:val="00842B9D"/>
    <w:rsid w:val="00842BF2"/>
    <w:rsid w:val="00842C3A"/>
    <w:rsid w:val="00842C86"/>
    <w:rsid w:val="00842C8A"/>
    <w:rsid w:val="00842DA4"/>
    <w:rsid w:val="00842DAE"/>
    <w:rsid w:val="00842DCD"/>
    <w:rsid w:val="00842DD5"/>
    <w:rsid w:val="00842DEB"/>
    <w:rsid w:val="00842E20"/>
    <w:rsid w:val="00842F36"/>
    <w:rsid w:val="00842F49"/>
    <w:rsid w:val="00842FAD"/>
    <w:rsid w:val="00842FCE"/>
    <w:rsid w:val="0084301A"/>
    <w:rsid w:val="00843040"/>
    <w:rsid w:val="00843096"/>
    <w:rsid w:val="00843098"/>
    <w:rsid w:val="0084309A"/>
    <w:rsid w:val="00843159"/>
    <w:rsid w:val="00843169"/>
    <w:rsid w:val="0084321E"/>
    <w:rsid w:val="00843235"/>
    <w:rsid w:val="00843288"/>
    <w:rsid w:val="0084328A"/>
    <w:rsid w:val="008432FF"/>
    <w:rsid w:val="0084338D"/>
    <w:rsid w:val="008433EA"/>
    <w:rsid w:val="00843400"/>
    <w:rsid w:val="00843452"/>
    <w:rsid w:val="00843458"/>
    <w:rsid w:val="00843505"/>
    <w:rsid w:val="008435BD"/>
    <w:rsid w:val="00843662"/>
    <w:rsid w:val="00843740"/>
    <w:rsid w:val="00843792"/>
    <w:rsid w:val="00843845"/>
    <w:rsid w:val="0084384B"/>
    <w:rsid w:val="0084392B"/>
    <w:rsid w:val="00843965"/>
    <w:rsid w:val="0084397B"/>
    <w:rsid w:val="008439EE"/>
    <w:rsid w:val="00843B25"/>
    <w:rsid w:val="00843B33"/>
    <w:rsid w:val="00843B6E"/>
    <w:rsid w:val="00843BB4"/>
    <w:rsid w:val="00843BDC"/>
    <w:rsid w:val="00843CAA"/>
    <w:rsid w:val="00843D49"/>
    <w:rsid w:val="00843DCE"/>
    <w:rsid w:val="00843E51"/>
    <w:rsid w:val="00843E56"/>
    <w:rsid w:val="00843E60"/>
    <w:rsid w:val="00843E8B"/>
    <w:rsid w:val="00843ED6"/>
    <w:rsid w:val="00843F22"/>
    <w:rsid w:val="00843F23"/>
    <w:rsid w:val="00843F59"/>
    <w:rsid w:val="00843F8F"/>
    <w:rsid w:val="00843FBE"/>
    <w:rsid w:val="00843FF3"/>
    <w:rsid w:val="0084401F"/>
    <w:rsid w:val="0084404C"/>
    <w:rsid w:val="008441C6"/>
    <w:rsid w:val="00844217"/>
    <w:rsid w:val="00844230"/>
    <w:rsid w:val="008442A3"/>
    <w:rsid w:val="008442C6"/>
    <w:rsid w:val="00844318"/>
    <w:rsid w:val="00844380"/>
    <w:rsid w:val="00844386"/>
    <w:rsid w:val="00844398"/>
    <w:rsid w:val="008443B7"/>
    <w:rsid w:val="008443EA"/>
    <w:rsid w:val="00844413"/>
    <w:rsid w:val="00844422"/>
    <w:rsid w:val="00844477"/>
    <w:rsid w:val="008444E1"/>
    <w:rsid w:val="008444EF"/>
    <w:rsid w:val="008445B7"/>
    <w:rsid w:val="008445F7"/>
    <w:rsid w:val="008445FD"/>
    <w:rsid w:val="00844638"/>
    <w:rsid w:val="008446B1"/>
    <w:rsid w:val="008446F7"/>
    <w:rsid w:val="00844715"/>
    <w:rsid w:val="0084471A"/>
    <w:rsid w:val="00844725"/>
    <w:rsid w:val="0084472D"/>
    <w:rsid w:val="0084476E"/>
    <w:rsid w:val="008447A5"/>
    <w:rsid w:val="008447C6"/>
    <w:rsid w:val="00844883"/>
    <w:rsid w:val="008448E3"/>
    <w:rsid w:val="00844924"/>
    <w:rsid w:val="0084494B"/>
    <w:rsid w:val="008449C5"/>
    <w:rsid w:val="00844A32"/>
    <w:rsid w:val="00844A50"/>
    <w:rsid w:val="00844A6F"/>
    <w:rsid w:val="00844B12"/>
    <w:rsid w:val="00844B66"/>
    <w:rsid w:val="00844BAA"/>
    <w:rsid w:val="00844BF4"/>
    <w:rsid w:val="00844C72"/>
    <w:rsid w:val="00844C9C"/>
    <w:rsid w:val="00844D0F"/>
    <w:rsid w:val="00844D65"/>
    <w:rsid w:val="00844D72"/>
    <w:rsid w:val="00844DC2"/>
    <w:rsid w:val="00844DF5"/>
    <w:rsid w:val="00844E50"/>
    <w:rsid w:val="00844E9B"/>
    <w:rsid w:val="00844ECC"/>
    <w:rsid w:val="00844ED6"/>
    <w:rsid w:val="00845055"/>
    <w:rsid w:val="00845086"/>
    <w:rsid w:val="008450CE"/>
    <w:rsid w:val="00845109"/>
    <w:rsid w:val="00845125"/>
    <w:rsid w:val="00845151"/>
    <w:rsid w:val="00845157"/>
    <w:rsid w:val="0084515C"/>
    <w:rsid w:val="00845220"/>
    <w:rsid w:val="0084533B"/>
    <w:rsid w:val="00845356"/>
    <w:rsid w:val="008453B7"/>
    <w:rsid w:val="008454CF"/>
    <w:rsid w:val="0084555C"/>
    <w:rsid w:val="008455FD"/>
    <w:rsid w:val="00845654"/>
    <w:rsid w:val="00845683"/>
    <w:rsid w:val="00845684"/>
    <w:rsid w:val="0084568C"/>
    <w:rsid w:val="00845794"/>
    <w:rsid w:val="00845871"/>
    <w:rsid w:val="0084589D"/>
    <w:rsid w:val="008458DF"/>
    <w:rsid w:val="008458E8"/>
    <w:rsid w:val="008458ED"/>
    <w:rsid w:val="008458FF"/>
    <w:rsid w:val="00845934"/>
    <w:rsid w:val="00845937"/>
    <w:rsid w:val="0084599A"/>
    <w:rsid w:val="00845A9E"/>
    <w:rsid w:val="00845B02"/>
    <w:rsid w:val="00845B58"/>
    <w:rsid w:val="00845B91"/>
    <w:rsid w:val="00845BC9"/>
    <w:rsid w:val="00845C47"/>
    <w:rsid w:val="00845C72"/>
    <w:rsid w:val="00845C8E"/>
    <w:rsid w:val="00845CA8"/>
    <w:rsid w:val="00845CFF"/>
    <w:rsid w:val="00845D5D"/>
    <w:rsid w:val="00845D84"/>
    <w:rsid w:val="00845D9C"/>
    <w:rsid w:val="00845F49"/>
    <w:rsid w:val="00845F5E"/>
    <w:rsid w:val="00845F79"/>
    <w:rsid w:val="00845F87"/>
    <w:rsid w:val="00845F99"/>
    <w:rsid w:val="00845FC5"/>
    <w:rsid w:val="0084611A"/>
    <w:rsid w:val="0084613A"/>
    <w:rsid w:val="0084614C"/>
    <w:rsid w:val="008461FA"/>
    <w:rsid w:val="00846318"/>
    <w:rsid w:val="00846332"/>
    <w:rsid w:val="00846342"/>
    <w:rsid w:val="00846348"/>
    <w:rsid w:val="0084636F"/>
    <w:rsid w:val="0084638B"/>
    <w:rsid w:val="0084639D"/>
    <w:rsid w:val="008463BF"/>
    <w:rsid w:val="00846404"/>
    <w:rsid w:val="0084647D"/>
    <w:rsid w:val="008464B4"/>
    <w:rsid w:val="008464D3"/>
    <w:rsid w:val="00846517"/>
    <w:rsid w:val="00846589"/>
    <w:rsid w:val="00846600"/>
    <w:rsid w:val="0084661E"/>
    <w:rsid w:val="0084663C"/>
    <w:rsid w:val="0084665D"/>
    <w:rsid w:val="00846680"/>
    <w:rsid w:val="0084668C"/>
    <w:rsid w:val="0084669B"/>
    <w:rsid w:val="008466A0"/>
    <w:rsid w:val="008466C5"/>
    <w:rsid w:val="00846793"/>
    <w:rsid w:val="008467AD"/>
    <w:rsid w:val="008467B8"/>
    <w:rsid w:val="008467FC"/>
    <w:rsid w:val="00846907"/>
    <w:rsid w:val="00846977"/>
    <w:rsid w:val="0084698F"/>
    <w:rsid w:val="008469B4"/>
    <w:rsid w:val="008469BE"/>
    <w:rsid w:val="008469D3"/>
    <w:rsid w:val="008469E6"/>
    <w:rsid w:val="00846A09"/>
    <w:rsid w:val="00846A22"/>
    <w:rsid w:val="00846A99"/>
    <w:rsid w:val="00846ADF"/>
    <w:rsid w:val="00846AEC"/>
    <w:rsid w:val="00846B35"/>
    <w:rsid w:val="00846B5A"/>
    <w:rsid w:val="00846BA5"/>
    <w:rsid w:val="00846BA7"/>
    <w:rsid w:val="00846C26"/>
    <w:rsid w:val="00846C2C"/>
    <w:rsid w:val="00846D27"/>
    <w:rsid w:val="00846D6E"/>
    <w:rsid w:val="00846E68"/>
    <w:rsid w:val="00846E75"/>
    <w:rsid w:val="00846EB1"/>
    <w:rsid w:val="00846F10"/>
    <w:rsid w:val="00847093"/>
    <w:rsid w:val="00847099"/>
    <w:rsid w:val="008470B1"/>
    <w:rsid w:val="008470C4"/>
    <w:rsid w:val="00847116"/>
    <w:rsid w:val="008471A0"/>
    <w:rsid w:val="008471BF"/>
    <w:rsid w:val="008471D9"/>
    <w:rsid w:val="00847231"/>
    <w:rsid w:val="00847302"/>
    <w:rsid w:val="00847317"/>
    <w:rsid w:val="0084731D"/>
    <w:rsid w:val="008473A4"/>
    <w:rsid w:val="008473CE"/>
    <w:rsid w:val="008473D4"/>
    <w:rsid w:val="00847463"/>
    <w:rsid w:val="00847507"/>
    <w:rsid w:val="00847579"/>
    <w:rsid w:val="0084759B"/>
    <w:rsid w:val="008475B1"/>
    <w:rsid w:val="008475CC"/>
    <w:rsid w:val="008475F5"/>
    <w:rsid w:val="00847636"/>
    <w:rsid w:val="0084763F"/>
    <w:rsid w:val="0084768C"/>
    <w:rsid w:val="008476C6"/>
    <w:rsid w:val="008476F2"/>
    <w:rsid w:val="0084775B"/>
    <w:rsid w:val="00847774"/>
    <w:rsid w:val="008477AD"/>
    <w:rsid w:val="008477AE"/>
    <w:rsid w:val="008477D4"/>
    <w:rsid w:val="00847830"/>
    <w:rsid w:val="00847848"/>
    <w:rsid w:val="008478E6"/>
    <w:rsid w:val="008479D6"/>
    <w:rsid w:val="008479F6"/>
    <w:rsid w:val="00847A4D"/>
    <w:rsid w:val="00847A4F"/>
    <w:rsid w:val="00847B24"/>
    <w:rsid w:val="00847B91"/>
    <w:rsid w:val="00847BAB"/>
    <w:rsid w:val="00847BB5"/>
    <w:rsid w:val="00847BFA"/>
    <w:rsid w:val="00847C24"/>
    <w:rsid w:val="00847C57"/>
    <w:rsid w:val="00847CC5"/>
    <w:rsid w:val="00847D3A"/>
    <w:rsid w:val="00847D82"/>
    <w:rsid w:val="00847DB8"/>
    <w:rsid w:val="00847E86"/>
    <w:rsid w:val="00847EA9"/>
    <w:rsid w:val="00847ECC"/>
    <w:rsid w:val="00847F1E"/>
    <w:rsid w:val="00847F9F"/>
    <w:rsid w:val="00847FA1"/>
    <w:rsid w:val="00847FBC"/>
    <w:rsid w:val="00847FC1"/>
    <w:rsid w:val="008500B7"/>
    <w:rsid w:val="008500ED"/>
    <w:rsid w:val="00850103"/>
    <w:rsid w:val="00850119"/>
    <w:rsid w:val="00850121"/>
    <w:rsid w:val="0085019F"/>
    <w:rsid w:val="008501BD"/>
    <w:rsid w:val="008501FC"/>
    <w:rsid w:val="008502FC"/>
    <w:rsid w:val="0085035C"/>
    <w:rsid w:val="008503A8"/>
    <w:rsid w:val="008503C2"/>
    <w:rsid w:val="008503CD"/>
    <w:rsid w:val="00850413"/>
    <w:rsid w:val="00850432"/>
    <w:rsid w:val="0085045E"/>
    <w:rsid w:val="00850474"/>
    <w:rsid w:val="00850483"/>
    <w:rsid w:val="00850490"/>
    <w:rsid w:val="008504CC"/>
    <w:rsid w:val="00850519"/>
    <w:rsid w:val="0085054A"/>
    <w:rsid w:val="0085054F"/>
    <w:rsid w:val="00850552"/>
    <w:rsid w:val="00850587"/>
    <w:rsid w:val="0085058D"/>
    <w:rsid w:val="008505CB"/>
    <w:rsid w:val="008505F5"/>
    <w:rsid w:val="0085060D"/>
    <w:rsid w:val="00850697"/>
    <w:rsid w:val="008506E8"/>
    <w:rsid w:val="008507BA"/>
    <w:rsid w:val="00850890"/>
    <w:rsid w:val="008508E9"/>
    <w:rsid w:val="00850998"/>
    <w:rsid w:val="008509F7"/>
    <w:rsid w:val="00850AC6"/>
    <w:rsid w:val="00850B1E"/>
    <w:rsid w:val="00850B4F"/>
    <w:rsid w:val="00850B52"/>
    <w:rsid w:val="00850B7D"/>
    <w:rsid w:val="00850BD9"/>
    <w:rsid w:val="00850BF6"/>
    <w:rsid w:val="00850C00"/>
    <w:rsid w:val="00850C19"/>
    <w:rsid w:val="00850C50"/>
    <w:rsid w:val="00850C56"/>
    <w:rsid w:val="00850CEA"/>
    <w:rsid w:val="00850D3D"/>
    <w:rsid w:val="00850D54"/>
    <w:rsid w:val="00850D5D"/>
    <w:rsid w:val="00850D8B"/>
    <w:rsid w:val="00850DBF"/>
    <w:rsid w:val="00850DD6"/>
    <w:rsid w:val="00850E01"/>
    <w:rsid w:val="00850E28"/>
    <w:rsid w:val="00850E6D"/>
    <w:rsid w:val="00850E98"/>
    <w:rsid w:val="00850ED7"/>
    <w:rsid w:val="00850EFB"/>
    <w:rsid w:val="00850F18"/>
    <w:rsid w:val="00850F26"/>
    <w:rsid w:val="00850F7A"/>
    <w:rsid w:val="00850F9D"/>
    <w:rsid w:val="00850FE3"/>
    <w:rsid w:val="00851078"/>
    <w:rsid w:val="00851086"/>
    <w:rsid w:val="008510AB"/>
    <w:rsid w:val="008510E1"/>
    <w:rsid w:val="0085114C"/>
    <w:rsid w:val="00851151"/>
    <w:rsid w:val="0085117F"/>
    <w:rsid w:val="0085119A"/>
    <w:rsid w:val="008511B3"/>
    <w:rsid w:val="008511C5"/>
    <w:rsid w:val="008512A7"/>
    <w:rsid w:val="008512D5"/>
    <w:rsid w:val="008512F5"/>
    <w:rsid w:val="008513AB"/>
    <w:rsid w:val="00851429"/>
    <w:rsid w:val="0085146E"/>
    <w:rsid w:val="0085147E"/>
    <w:rsid w:val="008514FD"/>
    <w:rsid w:val="00851540"/>
    <w:rsid w:val="0085154E"/>
    <w:rsid w:val="0085156C"/>
    <w:rsid w:val="008515E6"/>
    <w:rsid w:val="00851614"/>
    <w:rsid w:val="00851656"/>
    <w:rsid w:val="008516ED"/>
    <w:rsid w:val="008516FB"/>
    <w:rsid w:val="0085174A"/>
    <w:rsid w:val="0085174C"/>
    <w:rsid w:val="0085176E"/>
    <w:rsid w:val="008518B1"/>
    <w:rsid w:val="008518E4"/>
    <w:rsid w:val="008519A1"/>
    <w:rsid w:val="008519AB"/>
    <w:rsid w:val="00851A1B"/>
    <w:rsid w:val="00851A62"/>
    <w:rsid w:val="00851A80"/>
    <w:rsid w:val="00851B6C"/>
    <w:rsid w:val="00851BDF"/>
    <w:rsid w:val="00851C39"/>
    <w:rsid w:val="00851CC1"/>
    <w:rsid w:val="00851CE4"/>
    <w:rsid w:val="00851D8F"/>
    <w:rsid w:val="00851DA9"/>
    <w:rsid w:val="00851DDE"/>
    <w:rsid w:val="00851E15"/>
    <w:rsid w:val="00851F1E"/>
    <w:rsid w:val="00851F32"/>
    <w:rsid w:val="00851FC8"/>
    <w:rsid w:val="0085205F"/>
    <w:rsid w:val="008520C0"/>
    <w:rsid w:val="008520D9"/>
    <w:rsid w:val="00852176"/>
    <w:rsid w:val="0085222D"/>
    <w:rsid w:val="00852243"/>
    <w:rsid w:val="00852293"/>
    <w:rsid w:val="008522A8"/>
    <w:rsid w:val="0085230C"/>
    <w:rsid w:val="008523D5"/>
    <w:rsid w:val="008524E8"/>
    <w:rsid w:val="0085253C"/>
    <w:rsid w:val="00852561"/>
    <w:rsid w:val="00852584"/>
    <w:rsid w:val="008525BC"/>
    <w:rsid w:val="008525EB"/>
    <w:rsid w:val="008525F2"/>
    <w:rsid w:val="0085261A"/>
    <w:rsid w:val="00852676"/>
    <w:rsid w:val="00852677"/>
    <w:rsid w:val="0085268F"/>
    <w:rsid w:val="008526FA"/>
    <w:rsid w:val="008526FC"/>
    <w:rsid w:val="00852716"/>
    <w:rsid w:val="008527CD"/>
    <w:rsid w:val="00852818"/>
    <w:rsid w:val="008528AD"/>
    <w:rsid w:val="008528F6"/>
    <w:rsid w:val="00852903"/>
    <w:rsid w:val="0085293A"/>
    <w:rsid w:val="00852978"/>
    <w:rsid w:val="00852986"/>
    <w:rsid w:val="008529C9"/>
    <w:rsid w:val="00852A01"/>
    <w:rsid w:val="00852A22"/>
    <w:rsid w:val="00852A2D"/>
    <w:rsid w:val="00852A4D"/>
    <w:rsid w:val="00852B0D"/>
    <w:rsid w:val="00852BAA"/>
    <w:rsid w:val="00852BAF"/>
    <w:rsid w:val="00852BB4"/>
    <w:rsid w:val="00852BE0"/>
    <w:rsid w:val="00852BEF"/>
    <w:rsid w:val="00852C30"/>
    <w:rsid w:val="00852C31"/>
    <w:rsid w:val="00852CCF"/>
    <w:rsid w:val="00852CD0"/>
    <w:rsid w:val="00852CD1"/>
    <w:rsid w:val="00852D09"/>
    <w:rsid w:val="00852D46"/>
    <w:rsid w:val="00852DEF"/>
    <w:rsid w:val="00852E40"/>
    <w:rsid w:val="00852EC2"/>
    <w:rsid w:val="00852F3E"/>
    <w:rsid w:val="00852F42"/>
    <w:rsid w:val="00852F58"/>
    <w:rsid w:val="00852FBF"/>
    <w:rsid w:val="0085304E"/>
    <w:rsid w:val="00853065"/>
    <w:rsid w:val="008530F1"/>
    <w:rsid w:val="00853125"/>
    <w:rsid w:val="00853127"/>
    <w:rsid w:val="0085312C"/>
    <w:rsid w:val="00853133"/>
    <w:rsid w:val="008531ED"/>
    <w:rsid w:val="00853228"/>
    <w:rsid w:val="0085327A"/>
    <w:rsid w:val="0085328D"/>
    <w:rsid w:val="00853294"/>
    <w:rsid w:val="00853300"/>
    <w:rsid w:val="00853309"/>
    <w:rsid w:val="008533C5"/>
    <w:rsid w:val="008533EC"/>
    <w:rsid w:val="0085340A"/>
    <w:rsid w:val="00853411"/>
    <w:rsid w:val="0085348F"/>
    <w:rsid w:val="00853512"/>
    <w:rsid w:val="00853521"/>
    <w:rsid w:val="00853530"/>
    <w:rsid w:val="00853554"/>
    <w:rsid w:val="0085356F"/>
    <w:rsid w:val="00853592"/>
    <w:rsid w:val="00853680"/>
    <w:rsid w:val="008536D6"/>
    <w:rsid w:val="008536DD"/>
    <w:rsid w:val="00853707"/>
    <w:rsid w:val="008537A0"/>
    <w:rsid w:val="008537B2"/>
    <w:rsid w:val="008537D3"/>
    <w:rsid w:val="0085380B"/>
    <w:rsid w:val="00853812"/>
    <w:rsid w:val="00853888"/>
    <w:rsid w:val="008538E0"/>
    <w:rsid w:val="00853948"/>
    <w:rsid w:val="00853957"/>
    <w:rsid w:val="00853998"/>
    <w:rsid w:val="008539B1"/>
    <w:rsid w:val="008539BA"/>
    <w:rsid w:val="00853A14"/>
    <w:rsid w:val="00853A24"/>
    <w:rsid w:val="00853AC8"/>
    <w:rsid w:val="00853ACF"/>
    <w:rsid w:val="00853BAE"/>
    <w:rsid w:val="00853BE5"/>
    <w:rsid w:val="00853C4D"/>
    <w:rsid w:val="00853CF8"/>
    <w:rsid w:val="00853D10"/>
    <w:rsid w:val="00853D14"/>
    <w:rsid w:val="00853D59"/>
    <w:rsid w:val="00853D79"/>
    <w:rsid w:val="00853D80"/>
    <w:rsid w:val="00853DAD"/>
    <w:rsid w:val="00853DC0"/>
    <w:rsid w:val="00853DE2"/>
    <w:rsid w:val="00853E8F"/>
    <w:rsid w:val="00853EA2"/>
    <w:rsid w:val="00853ED1"/>
    <w:rsid w:val="00853EEC"/>
    <w:rsid w:val="00853F46"/>
    <w:rsid w:val="00853F4D"/>
    <w:rsid w:val="00853F5C"/>
    <w:rsid w:val="00853F90"/>
    <w:rsid w:val="00853FA2"/>
    <w:rsid w:val="0085400C"/>
    <w:rsid w:val="00854057"/>
    <w:rsid w:val="0085405D"/>
    <w:rsid w:val="00854077"/>
    <w:rsid w:val="0085408B"/>
    <w:rsid w:val="0085409B"/>
    <w:rsid w:val="0085412F"/>
    <w:rsid w:val="0085416B"/>
    <w:rsid w:val="00854192"/>
    <w:rsid w:val="008541C1"/>
    <w:rsid w:val="00854200"/>
    <w:rsid w:val="0085425E"/>
    <w:rsid w:val="00854342"/>
    <w:rsid w:val="0085435F"/>
    <w:rsid w:val="00854361"/>
    <w:rsid w:val="00854392"/>
    <w:rsid w:val="0085439A"/>
    <w:rsid w:val="0085451A"/>
    <w:rsid w:val="0085451F"/>
    <w:rsid w:val="0085453E"/>
    <w:rsid w:val="0085454D"/>
    <w:rsid w:val="008545A7"/>
    <w:rsid w:val="00854649"/>
    <w:rsid w:val="00854676"/>
    <w:rsid w:val="008546A6"/>
    <w:rsid w:val="008546AA"/>
    <w:rsid w:val="008546AB"/>
    <w:rsid w:val="00854742"/>
    <w:rsid w:val="00854792"/>
    <w:rsid w:val="00854809"/>
    <w:rsid w:val="0085483E"/>
    <w:rsid w:val="00854964"/>
    <w:rsid w:val="008549BA"/>
    <w:rsid w:val="008549E4"/>
    <w:rsid w:val="008549FC"/>
    <w:rsid w:val="00854A1B"/>
    <w:rsid w:val="00854A48"/>
    <w:rsid w:val="00854A91"/>
    <w:rsid w:val="00854AE5"/>
    <w:rsid w:val="00854B85"/>
    <w:rsid w:val="00854BBA"/>
    <w:rsid w:val="00854C48"/>
    <w:rsid w:val="00854C77"/>
    <w:rsid w:val="00854C84"/>
    <w:rsid w:val="00854D1F"/>
    <w:rsid w:val="00854D58"/>
    <w:rsid w:val="00854D97"/>
    <w:rsid w:val="00854DA4"/>
    <w:rsid w:val="00854E21"/>
    <w:rsid w:val="00854EDF"/>
    <w:rsid w:val="00854F2D"/>
    <w:rsid w:val="00854F4B"/>
    <w:rsid w:val="00854F88"/>
    <w:rsid w:val="00855039"/>
    <w:rsid w:val="00855088"/>
    <w:rsid w:val="008550B7"/>
    <w:rsid w:val="008550D3"/>
    <w:rsid w:val="008551BE"/>
    <w:rsid w:val="008551C6"/>
    <w:rsid w:val="008551D2"/>
    <w:rsid w:val="008551F6"/>
    <w:rsid w:val="00855293"/>
    <w:rsid w:val="008552BE"/>
    <w:rsid w:val="00855330"/>
    <w:rsid w:val="0085534A"/>
    <w:rsid w:val="0085535C"/>
    <w:rsid w:val="008553A2"/>
    <w:rsid w:val="00855482"/>
    <w:rsid w:val="0085549A"/>
    <w:rsid w:val="008554B3"/>
    <w:rsid w:val="0085552A"/>
    <w:rsid w:val="0085554D"/>
    <w:rsid w:val="00855558"/>
    <w:rsid w:val="00855571"/>
    <w:rsid w:val="00855572"/>
    <w:rsid w:val="008555A8"/>
    <w:rsid w:val="008555B8"/>
    <w:rsid w:val="008555BD"/>
    <w:rsid w:val="008555C6"/>
    <w:rsid w:val="008555CE"/>
    <w:rsid w:val="008555E9"/>
    <w:rsid w:val="0085560D"/>
    <w:rsid w:val="00855634"/>
    <w:rsid w:val="008556BF"/>
    <w:rsid w:val="008556DC"/>
    <w:rsid w:val="0085573A"/>
    <w:rsid w:val="008557A1"/>
    <w:rsid w:val="0085582C"/>
    <w:rsid w:val="00855863"/>
    <w:rsid w:val="00855866"/>
    <w:rsid w:val="008558DC"/>
    <w:rsid w:val="00855958"/>
    <w:rsid w:val="008559B3"/>
    <w:rsid w:val="008559E9"/>
    <w:rsid w:val="00855A04"/>
    <w:rsid w:val="00855A1A"/>
    <w:rsid w:val="00855A74"/>
    <w:rsid w:val="00855A7C"/>
    <w:rsid w:val="00855ACE"/>
    <w:rsid w:val="00855B15"/>
    <w:rsid w:val="00855BF2"/>
    <w:rsid w:val="00855C27"/>
    <w:rsid w:val="00855C47"/>
    <w:rsid w:val="00855C9B"/>
    <w:rsid w:val="00855CB4"/>
    <w:rsid w:val="00855CEE"/>
    <w:rsid w:val="00855D01"/>
    <w:rsid w:val="00855D4B"/>
    <w:rsid w:val="00855DCE"/>
    <w:rsid w:val="00855E28"/>
    <w:rsid w:val="00855E79"/>
    <w:rsid w:val="00855F51"/>
    <w:rsid w:val="00855F7A"/>
    <w:rsid w:val="00855FFF"/>
    <w:rsid w:val="0085603F"/>
    <w:rsid w:val="00856078"/>
    <w:rsid w:val="00856088"/>
    <w:rsid w:val="00856096"/>
    <w:rsid w:val="00856098"/>
    <w:rsid w:val="008560A4"/>
    <w:rsid w:val="008560A7"/>
    <w:rsid w:val="008560BF"/>
    <w:rsid w:val="00856133"/>
    <w:rsid w:val="00856198"/>
    <w:rsid w:val="0085629B"/>
    <w:rsid w:val="00856330"/>
    <w:rsid w:val="00856408"/>
    <w:rsid w:val="00856485"/>
    <w:rsid w:val="008564A5"/>
    <w:rsid w:val="0085655F"/>
    <w:rsid w:val="0085657B"/>
    <w:rsid w:val="00856582"/>
    <w:rsid w:val="008565E6"/>
    <w:rsid w:val="0085660A"/>
    <w:rsid w:val="00856627"/>
    <w:rsid w:val="008566B6"/>
    <w:rsid w:val="0085674C"/>
    <w:rsid w:val="00856777"/>
    <w:rsid w:val="008567B0"/>
    <w:rsid w:val="008567B7"/>
    <w:rsid w:val="008567E3"/>
    <w:rsid w:val="008567F7"/>
    <w:rsid w:val="00856828"/>
    <w:rsid w:val="0085683F"/>
    <w:rsid w:val="00856856"/>
    <w:rsid w:val="008568D7"/>
    <w:rsid w:val="0085691F"/>
    <w:rsid w:val="00856998"/>
    <w:rsid w:val="008569EC"/>
    <w:rsid w:val="00856A44"/>
    <w:rsid w:val="00856A6A"/>
    <w:rsid w:val="00856ADC"/>
    <w:rsid w:val="00856AF6"/>
    <w:rsid w:val="00856B41"/>
    <w:rsid w:val="00856B5F"/>
    <w:rsid w:val="00856B90"/>
    <w:rsid w:val="00856CA6"/>
    <w:rsid w:val="00856D71"/>
    <w:rsid w:val="00856D92"/>
    <w:rsid w:val="00856D9C"/>
    <w:rsid w:val="00856DB0"/>
    <w:rsid w:val="00856E54"/>
    <w:rsid w:val="00856E62"/>
    <w:rsid w:val="00856EA0"/>
    <w:rsid w:val="00856EA7"/>
    <w:rsid w:val="00856EC6"/>
    <w:rsid w:val="00856F0F"/>
    <w:rsid w:val="00856F1C"/>
    <w:rsid w:val="00856F24"/>
    <w:rsid w:val="00856F3A"/>
    <w:rsid w:val="00856FA4"/>
    <w:rsid w:val="00856FED"/>
    <w:rsid w:val="00856FF9"/>
    <w:rsid w:val="00857032"/>
    <w:rsid w:val="00857033"/>
    <w:rsid w:val="00857073"/>
    <w:rsid w:val="00857080"/>
    <w:rsid w:val="00857151"/>
    <w:rsid w:val="0085716D"/>
    <w:rsid w:val="00857197"/>
    <w:rsid w:val="008571A7"/>
    <w:rsid w:val="008571EA"/>
    <w:rsid w:val="00857235"/>
    <w:rsid w:val="00857246"/>
    <w:rsid w:val="00857285"/>
    <w:rsid w:val="00857298"/>
    <w:rsid w:val="0085729C"/>
    <w:rsid w:val="008572F4"/>
    <w:rsid w:val="00857301"/>
    <w:rsid w:val="00857305"/>
    <w:rsid w:val="00857318"/>
    <w:rsid w:val="0085735E"/>
    <w:rsid w:val="00857399"/>
    <w:rsid w:val="0085739A"/>
    <w:rsid w:val="0085740E"/>
    <w:rsid w:val="00857432"/>
    <w:rsid w:val="00857436"/>
    <w:rsid w:val="0085744B"/>
    <w:rsid w:val="008574B6"/>
    <w:rsid w:val="008574B7"/>
    <w:rsid w:val="008574DA"/>
    <w:rsid w:val="008574E1"/>
    <w:rsid w:val="00857502"/>
    <w:rsid w:val="00857568"/>
    <w:rsid w:val="0085757D"/>
    <w:rsid w:val="0085757F"/>
    <w:rsid w:val="0085759D"/>
    <w:rsid w:val="008575D7"/>
    <w:rsid w:val="00857602"/>
    <w:rsid w:val="00857635"/>
    <w:rsid w:val="008576B6"/>
    <w:rsid w:val="0085772E"/>
    <w:rsid w:val="008577E6"/>
    <w:rsid w:val="00857822"/>
    <w:rsid w:val="0085785B"/>
    <w:rsid w:val="0085786A"/>
    <w:rsid w:val="00857886"/>
    <w:rsid w:val="008578E4"/>
    <w:rsid w:val="008578E9"/>
    <w:rsid w:val="0085790D"/>
    <w:rsid w:val="00857940"/>
    <w:rsid w:val="00857959"/>
    <w:rsid w:val="008579CA"/>
    <w:rsid w:val="008579D8"/>
    <w:rsid w:val="008579FE"/>
    <w:rsid w:val="00857A56"/>
    <w:rsid w:val="00857ADF"/>
    <w:rsid w:val="00857B5F"/>
    <w:rsid w:val="00857B98"/>
    <w:rsid w:val="00857BA3"/>
    <w:rsid w:val="00857BAA"/>
    <w:rsid w:val="00857C19"/>
    <w:rsid w:val="00857CA8"/>
    <w:rsid w:val="00857CB1"/>
    <w:rsid w:val="00857CEC"/>
    <w:rsid w:val="00857E42"/>
    <w:rsid w:val="00857EE5"/>
    <w:rsid w:val="00857F26"/>
    <w:rsid w:val="00857F33"/>
    <w:rsid w:val="00857F82"/>
    <w:rsid w:val="00857FBB"/>
    <w:rsid w:val="00860015"/>
    <w:rsid w:val="00860042"/>
    <w:rsid w:val="00860082"/>
    <w:rsid w:val="008600DF"/>
    <w:rsid w:val="0086021F"/>
    <w:rsid w:val="0086028D"/>
    <w:rsid w:val="00860299"/>
    <w:rsid w:val="0086036E"/>
    <w:rsid w:val="008603A6"/>
    <w:rsid w:val="008603DA"/>
    <w:rsid w:val="00860447"/>
    <w:rsid w:val="008604A4"/>
    <w:rsid w:val="0086051D"/>
    <w:rsid w:val="008605C6"/>
    <w:rsid w:val="008605CF"/>
    <w:rsid w:val="00860610"/>
    <w:rsid w:val="00860641"/>
    <w:rsid w:val="00860644"/>
    <w:rsid w:val="00860692"/>
    <w:rsid w:val="0086075C"/>
    <w:rsid w:val="008607EA"/>
    <w:rsid w:val="00860903"/>
    <w:rsid w:val="0086090A"/>
    <w:rsid w:val="008609EF"/>
    <w:rsid w:val="008609FD"/>
    <w:rsid w:val="00860A00"/>
    <w:rsid w:val="00860A47"/>
    <w:rsid w:val="00860A59"/>
    <w:rsid w:val="00860B26"/>
    <w:rsid w:val="00860B75"/>
    <w:rsid w:val="00860B8B"/>
    <w:rsid w:val="00860BDE"/>
    <w:rsid w:val="00860BE9"/>
    <w:rsid w:val="00860C25"/>
    <w:rsid w:val="00860C47"/>
    <w:rsid w:val="00860C6B"/>
    <w:rsid w:val="00860C7A"/>
    <w:rsid w:val="00860C84"/>
    <w:rsid w:val="00860CDB"/>
    <w:rsid w:val="00860D2B"/>
    <w:rsid w:val="00860D66"/>
    <w:rsid w:val="00860DD4"/>
    <w:rsid w:val="00860E47"/>
    <w:rsid w:val="00860E60"/>
    <w:rsid w:val="00860FCA"/>
    <w:rsid w:val="00860FDC"/>
    <w:rsid w:val="00860FE2"/>
    <w:rsid w:val="00861081"/>
    <w:rsid w:val="008610A3"/>
    <w:rsid w:val="008610E0"/>
    <w:rsid w:val="00861137"/>
    <w:rsid w:val="0086113E"/>
    <w:rsid w:val="0086119B"/>
    <w:rsid w:val="00861221"/>
    <w:rsid w:val="008612AD"/>
    <w:rsid w:val="008612D0"/>
    <w:rsid w:val="008612DD"/>
    <w:rsid w:val="00861329"/>
    <w:rsid w:val="00861347"/>
    <w:rsid w:val="0086134E"/>
    <w:rsid w:val="008613A0"/>
    <w:rsid w:val="008613A5"/>
    <w:rsid w:val="00861437"/>
    <w:rsid w:val="0086143F"/>
    <w:rsid w:val="00861484"/>
    <w:rsid w:val="008614AE"/>
    <w:rsid w:val="008614B8"/>
    <w:rsid w:val="008615F2"/>
    <w:rsid w:val="00861634"/>
    <w:rsid w:val="00861687"/>
    <w:rsid w:val="008616A4"/>
    <w:rsid w:val="00861703"/>
    <w:rsid w:val="008617B8"/>
    <w:rsid w:val="00861881"/>
    <w:rsid w:val="00861978"/>
    <w:rsid w:val="008619BC"/>
    <w:rsid w:val="00861A0E"/>
    <w:rsid w:val="00861ABD"/>
    <w:rsid w:val="00861AF5"/>
    <w:rsid w:val="00861C02"/>
    <w:rsid w:val="00861C0B"/>
    <w:rsid w:val="00861C1B"/>
    <w:rsid w:val="00861D10"/>
    <w:rsid w:val="00861D35"/>
    <w:rsid w:val="00861D54"/>
    <w:rsid w:val="00861D9C"/>
    <w:rsid w:val="00861DE4"/>
    <w:rsid w:val="00861E56"/>
    <w:rsid w:val="00861E91"/>
    <w:rsid w:val="00861EA9"/>
    <w:rsid w:val="00861EC9"/>
    <w:rsid w:val="00861ED0"/>
    <w:rsid w:val="00861EF1"/>
    <w:rsid w:val="00861F9C"/>
    <w:rsid w:val="00861FA7"/>
    <w:rsid w:val="00861FAF"/>
    <w:rsid w:val="00862046"/>
    <w:rsid w:val="00862066"/>
    <w:rsid w:val="0086206F"/>
    <w:rsid w:val="008620E0"/>
    <w:rsid w:val="008620F1"/>
    <w:rsid w:val="00862124"/>
    <w:rsid w:val="0086212A"/>
    <w:rsid w:val="0086212D"/>
    <w:rsid w:val="00862264"/>
    <w:rsid w:val="0086236E"/>
    <w:rsid w:val="00862412"/>
    <w:rsid w:val="008624BD"/>
    <w:rsid w:val="0086255A"/>
    <w:rsid w:val="0086259B"/>
    <w:rsid w:val="008625D2"/>
    <w:rsid w:val="008625FD"/>
    <w:rsid w:val="00862652"/>
    <w:rsid w:val="0086266A"/>
    <w:rsid w:val="008626CF"/>
    <w:rsid w:val="008626FA"/>
    <w:rsid w:val="0086271E"/>
    <w:rsid w:val="008627A1"/>
    <w:rsid w:val="008627CA"/>
    <w:rsid w:val="008628B7"/>
    <w:rsid w:val="008628DF"/>
    <w:rsid w:val="008629A5"/>
    <w:rsid w:val="00862AAD"/>
    <w:rsid w:val="00862B1C"/>
    <w:rsid w:val="00862B61"/>
    <w:rsid w:val="00862B9C"/>
    <w:rsid w:val="00862BA3"/>
    <w:rsid w:val="00862BA7"/>
    <w:rsid w:val="00862BB0"/>
    <w:rsid w:val="00862C07"/>
    <w:rsid w:val="00862D23"/>
    <w:rsid w:val="00862D73"/>
    <w:rsid w:val="00862DA0"/>
    <w:rsid w:val="00862DEB"/>
    <w:rsid w:val="00862DED"/>
    <w:rsid w:val="00862E1E"/>
    <w:rsid w:val="00862ECD"/>
    <w:rsid w:val="00862F9D"/>
    <w:rsid w:val="00862FCC"/>
    <w:rsid w:val="00862FD2"/>
    <w:rsid w:val="008630C7"/>
    <w:rsid w:val="008630E9"/>
    <w:rsid w:val="0086313B"/>
    <w:rsid w:val="00863148"/>
    <w:rsid w:val="00863158"/>
    <w:rsid w:val="00863191"/>
    <w:rsid w:val="0086321D"/>
    <w:rsid w:val="00863233"/>
    <w:rsid w:val="00863258"/>
    <w:rsid w:val="0086330F"/>
    <w:rsid w:val="00863374"/>
    <w:rsid w:val="0086340E"/>
    <w:rsid w:val="0086347B"/>
    <w:rsid w:val="008634BD"/>
    <w:rsid w:val="008634C2"/>
    <w:rsid w:val="008634D3"/>
    <w:rsid w:val="00863578"/>
    <w:rsid w:val="0086360B"/>
    <w:rsid w:val="008636D7"/>
    <w:rsid w:val="0086374B"/>
    <w:rsid w:val="0086378C"/>
    <w:rsid w:val="00863801"/>
    <w:rsid w:val="0086380C"/>
    <w:rsid w:val="00863842"/>
    <w:rsid w:val="008638A8"/>
    <w:rsid w:val="008638DD"/>
    <w:rsid w:val="00863906"/>
    <w:rsid w:val="00863924"/>
    <w:rsid w:val="00863940"/>
    <w:rsid w:val="00863968"/>
    <w:rsid w:val="00863996"/>
    <w:rsid w:val="008639AA"/>
    <w:rsid w:val="00863A83"/>
    <w:rsid w:val="00863AA5"/>
    <w:rsid w:val="00863AB9"/>
    <w:rsid w:val="00863AEA"/>
    <w:rsid w:val="00863B77"/>
    <w:rsid w:val="00863B9B"/>
    <w:rsid w:val="00863BE9"/>
    <w:rsid w:val="00863C14"/>
    <w:rsid w:val="00863C3B"/>
    <w:rsid w:val="00863C5C"/>
    <w:rsid w:val="00863C6E"/>
    <w:rsid w:val="00863C71"/>
    <w:rsid w:val="00863C7E"/>
    <w:rsid w:val="00863D0D"/>
    <w:rsid w:val="00863D76"/>
    <w:rsid w:val="00863DB5"/>
    <w:rsid w:val="00863DEB"/>
    <w:rsid w:val="00863E65"/>
    <w:rsid w:val="00863E67"/>
    <w:rsid w:val="00863E85"/>
    <w:rsid w:val="00863E93"/>
    <w:rsid w:val="00863E9F"/>
    <w:rsid w:val="00863EB0"/>
    <w:rsid w:val="00863F3F"/>
    <w:rsid w:val="00863F41"/>
    <w:rsid w:val="00863F47"/>
    <w:rsid w:val="00863F57"/>
    <w:rsid w:val="00863F6D"/>
    <w:rsid w:val="00863FC5"/>
    <w:rsid w:val="00863FCB"/>
    <w:rsid w:val="0086402D"/>
    <w:rsid w:val="008640B0"/>
    <w:rsid w:val="00864128"/>
    <w:rsid w:val="00864135"/>
    <w:rsid w:val="00864138"/>
    <w:rsid w:val="00864162"/>
    <w:rsid w:val="00864169"/>
    <w:rsid w:val="008641D2"/>
    <w:rsid w:val="008641DA"/>
    <w:rsid w:val="008641EE"/>
    <w:rsid w:val="00864207"/>
    <w:rsid w:val="00864225"/>
    <w:rsid w:val="008642AF"/>
    <w:rsid w:val="008642DD"/>
    <w:rsid w:val="008642F9"/>
    <w:rsid w:val="00864313"/>
    <w:rsid w:val="0086436A"/>
    <w:rsid w:val="0086438A"/>
    <w:rsid w:val="008643B8"/>
    <w:rsid w:val="00864494"/>
    <w:rsid w:val="008644BE"/>
    <w:rsid w:val="008644E1"/>
    <w:rsid w:val="008644E8"/>
    <w:rsid w:val="008645DC"/>
    <w:rsid w:val="00864636"/>
    <w:rsid w:val="00864647"/>
    <w:rsid w:val="008646C1"/>
    <w:rsid w:val="00864712"/>
    <w:rsid w:val="00864719"/>
    <w:rsid w:val="00864788"/>
    <w:rsid w:val="00864810"/>
    <w:rsid w:val="008648A0"/>
    <w:rsid w:val="008648CE"/>
    <w:rsid w:val="008648D1"/>
    <w:rsid w:val="00864950"/>
    <w:rsid w:val="008649A7"/>
    <w:rsid w:val="00864A13"/>
    <w:rsid w:val="00864A24"/>
    <w:rsid w:val="00864AAA"/>
    <w:rsid w:val="00864AD1"/>
    <w:rsid w:val="00864B6E"/>
    <w:rsid w:val="00864B79"/>
    <w:rsid w:val="00864C7D"/>
    <w:rsid w:val="00864CA8"/>
    <w:rsid w:val="00864CFD"/>
    <w:rsid w:val="00864D25"/>
    <w:rsid w:val="00864D6F"/>
    <w:rsid w:val="00864DA5"/>
    <w:rsid w:val="00864DC2"/>
    <w:rsid w:val="00864E7D"/>
    <w:rsid w:val="00864F29"/>
    <w:rsid w:val="00864F37"/>
    <w:rsid w:val="00864F9F"/>
    <w:rsid w:val="00864FDB"/>
    <w:rsid w:val="00864FEF"/>
    <w:rsid w:val="00864FF5"/>
    <w:rsid w:val="00864FFD"/>
    <w:rsid w:val="00865010"/>
    <w:rsid w:val="0086503D"/>
    <w:rsid w:val="0086507A"/>
    <w:rsid w:val="008650CB"/>
    <w:rsid w:val="008651F0"/>
    <w:rsid w:val="008652C0"/>
    <w:rsid w:val="008652C9"/>
    <w:rsid w:val="008652E0"/>
    <w:rsid w:val="00865325"/>
    <w:rsid w:val="0086534C"/>
    <w:rsid w:val="008653EA"/>
    <w:rsid w:val="00865416"/>
    <w:rsid w:val="00865421"/>
    <w:rsid w:val="008654DC"/>
    <w:rsid w:val="008654DE"/>
    <w:rsid w:val="0086558C"/>
    <w:rsid w:val="0086558D"/>
    <w:rsid w:val="00865618"/>
    <w:rsid w:val="00865642"/>
    <w:rsid w:val="0086567E"/>
    <w:rsid w:val="008656A8"/>
    <w:rsid w:val="008656DB"/>
    <w:rsid w:val="008656EF"/>
    <w:rsid w:val="0086576E"/>
    <w:rsid w:val="00865781"/>
    <w:rsid w:val="008657AF"/>
    <w:rsid w:val="008657DC"/>
    <w:rsid w:val="00865806"/>
    <w:rsid w:val="00865877"/>
    <w:rsid w:val="00865901"/>
    <w:rsid w:val="00865952"/>
    <w:rsid w:val="0086596B"/>
    <w:rsid w:val="0086596E"/>
    <w:rsid w:val="008659C3"/>
    <w:rsid w:val="00865A63"/>
    <w:rsid w:val="00865A95"/>
    <w:rsid w:val="00865B46"/>
    <w:rsid w:val="00865BE3"/>
    <w:rsid w:val="00865C11"/>
    <w:rsid w:val="00865C57"/>
    <w:rsid w:val="00865CF9"/>
    <w:rsid w:val="00865CFD"/>
    <w:rsid w:val="00865D65"/>
    <w:rsid w:val="00865DFC"/>
    <w:rsid w:val="00865E8E"/>
    <w:rsid w:val="00865EBE"/>
    <w:rsid w:val="00865EC4"/>
    <w:rsid w:val="00865EDB"/>
    <w:rsid w:val="00865F59"/>
    <w:rsid w:val="00865FCD"/>
    <w:rsid w:val="00865FFA"/>
    <w:rsid w:val="00866014"/>
    <w:rsid w:val="0086605E"/>
    <w:rsid w:val="00866091"/>
    <w:rsid w:val="00866095"/>
    <w:rsid w:val="008660AB"/>
    <w:rsid w:val="00866123"/>
    <w:rsid w:val="00866162"/>
    <w:rsid w:val="00866187"/>
    <w:rsid w:val="00866204"/>
    <w:rsid w:val="0086629F"/>
    <w:rsid w:val="008662B7"/>
    <w:rsid w:val="008662EE"/>
    <w:rsid w:val="008662F9"/>
    <w:rsid w:val="0086630A"/>
    <w:rsid w:val="0086631E"/>
    <w:rsid w:val="008663A9"/>
    <w:rsid w:val="00866439"/>
    <w:rsid w:val="0086651B"/>
    <w:rsid w:val="0086651C"/>
    <w:rsid w:val="0086655C"/>
    <w:rsid w:val="008665A1"/>
    <w:rsid w:val="008665E5"/>
    <w:rsid w:val="008665E6"/>
    <w:rsid w:val="00866671"/>
    <w:rsid w:val="008666BB"/>
    <w:rsid w:val="008666E3"/>
    <w:rsid w:val="008666F9"/>
    <w:rsid w:val="00866710"/>
    <w:rsid w:val="008667AA"/>
    <w:rsid w:val="00866817"/>
    <w:rsid w:val="0086685E"/>
    <w:rsid w:val="00866870"/>
    <w:rsid w:val="00866993"/>
    <w:rsid w:val="00866A4C"/>
    <w:rsid w:val="00866AAF"/>
    <w:rsid w:val="00866B03"/>
    <w:rsid w:val="00866B4E"/>
    <w:rsid w:val="00866B68"/>
    <w:rsid w:val="00866B6B"/>
    <w:rsid w:val="00866BD6"/>
    <w:rsid w:val="00866C0B"/>
    <w:rsid w:val="00866D64"/>
    <w:rsid w:val="00866D99"/>
    <w:rsid w:val="00866DE5"/>
    <w:rsid w:val="00866E16"/>
    <w:rsid w:val="00866E50"/>
    <w:rsid w:val="00866E70"/>
    <w:rsid w:val="00866ED3"/>
    <w:rsid w:val="00866EEB"/>
    <w:rsid w:val="00866F42"/>
    <w:rsid w:val="00866F69"/>
    <w:rsid w:val="00866F76"/>
    <w:rsid w:val="00866F9F"/>
    <w:rsid w:val="00867002"/>
    <w:rsid w:val="00867067"/>
    <w:rsid w:val="008670EC"/>
    <w:rsid w:val="00867111"/>
    <w:rsid w:val="008671A4"/>
    <w:rsid w:val="0086723F"/>
    <w:rsid w:val="008672A8"/>
    <w:rsid w:val="008673A1"/>
    <w:rsid w:val="008673C5"/>
    <w:rsid w:val="0086740D"/>
    <w:rsid w:val="00867474"/>
    <w:rsid w:val="00867481"/>
    <w:rsid w:val="008674C4"/>
    <w:rsid w:val="008674E4"/>
    <w:rsid w:val="008674E7"/>
    <w:rsid w:val="00867522"/>
    <w:rsid w:val="0086754D"/>
    <w:rsid w:val="0086758F"/>
    <w:rsid w:val="008675F5"/>
    <w:rsid w:val="0086764C"/>
    <w:rsid w:val="008676DE"/>
    <w:rsid w:val="008677B6"/>
    <w:rsid w:val="008677D6"/>
    <w:rsid w:val="00867858"/>
    <w:rsid w:val="008678D2"/>
    <w:rsid w:val="00867909"/>
    <w:rsid w:val="00867913"/>
    <w:rsid w:val="00867918"/>
    <w:rsid w:val="00867961"/>
    <w:rsid w:val="00867A8E"/>
    <w:rsid w:val="00867AAA"/>
    <w:rsid w:val="00867B64"/>
    <w:rsid w:val="00867BBC"/>
    <w:rsid w:val="00867BD4"/>
    <w:rsid w:val="00867C4B"/>
    <w:rsid w:val="00867C57"/>
    <w:rsid w:val="00867C89"/>
    <w:rsid w:val="00867CA5"/>
    <w:rsid w:val="00867CFD"/>
    <w:rsid w:val="00867D72"/>
    <w:rsid w:val="00867D8C"/>
    <w:rsid w:val="00867DAF"/>
    <w:rsid w:val="00867DE3"/>
    <w:rsid w:val="00867E1D"/>
    <w:rsid w:val="00867EC7"/>
    <w:rsid w:val="00867EEF"/>
    <w:rsid w:val="00867F22"/>
    <w:rsid w:val="00867FA1"/>
    <w:rsid w:val="00867FA4"/>
    <w:rsid w:val="0087002B"/>
    <w:rsid w:val="00870093"/>
    <w:rsid w:val="00870162"/>
    <w:rsid w:val="00870201"/>
    <w:rsid w:val="00870212"/>
    <w:rsid w:val="00870280"/>
    <w:rsid w:val="008702D6"/>
    <w:rsid w:val="0087035E"/>
    <w:rsid w:val="0087036F"/>
    <w:rsid w:val="008703A2"/>
    <w:rsid w:val="008703C0"/>
    <w:rsid w:val="00870402"/>
    <w:rsid w:val="00870420"/>
    <w:rsid w:val="00870465"/>
    <w:rsid w:val="00870477"/>
    <w:rsid w:val="00870478"/>
    <w:rsid w:val="0087048D"/>
    <w:rsid w:val="008704C3"/>
    <w:rsid w:val="00870501"/>
    <w:rsid w:val="0087053E"/>
    <w:rsid w:val="0087060A"/>
    <w:rsid w:val="0087065F"/>
    <w:rsid w:val="0087069D"/>
    <w:rsid w:val="00870748"/>
    <w:rsid w:val="00870749"/>
    <w:rsid w:val="008707CE"/>
    <w:rsid w:val="0087080E"/>
    <w:rsid w:val="00870852"/>
    <w:rsid w:val="00870865"/>
    <w:rsid w:val="00870890"/>
    <w:rsid w:val="008708DC"/>
    <w:rsid w:val="008708F6"/>
    <w:rsid w:val="00870904"/>
    <w:rsid w:val="0087093A"/>
    <w:rsid w:val="00870984"/>
    <w:rsid w:val="008709AB"/>
    <w:rsid w:val="008709E7"/>
    <w:rsid w:val="00870A45"/>
    <w:rsid w:val="00870A97"/>
    <w:rsid w:val="00870AEF"/>
    <w:rsid w:val="00870B62"/>
    <w:rsid w:val="00870B9A"/>
    <w:rsid w:val="00870BF0"/>
    <w:rsid w:val="00870BF8"/>
    <w:rsid w:val="00870C64"/>
    <w:rsid w:val="00870CEA"/>
    <w:rsid w:val="00870DE4"/>
    <w:rsid w:val="00870E06"/>
    <w:rsid w:val="00870E77"/>
    <w:rsid w:val="00870F5F"/>
    <w:rsid w:val="00870F9B"/>
    <w:rsid w:val="00871053"/>
    <w:rsid w:val="00871072"/>
    <w:rsid w:val="0087107F"/>
    <w:rsid w:val="008710E7"/>
    <w:rsid w:val="0087115D"/>
    <w:rsid w:val="008711C0"/>
    <w:rsid w:val="00871230"/>
    <w:rsid w:val="00871251"/>
    <w:rsid w:val="00871275"/>
    <w:rsid w:val="008712AF"/>
    <w:rsid w:val="008712E3"/>
    <w:rsid w:val="008712FE"/>
    <w:rsid w:val="00871317"/>
    <w:rsid w:val="00871318"/>
    <w:rsid w:val="00871341"/>
    <w:rsid w:val="00871344"/>
    <w:rsid w:val="008713A4"/>
    <w:rsid w:val="008713E7"/>
    <w:rsid w:val="00871448"/>
    <w:rsid w:val="0087153B"/>
    <w:rsid w:val="00871570"/>
    <w:rsid w:val="008715C6"/>
    <w:rsid w:val="00871636"/>
    <w:rsid w:val="0087166D"/>
    <w:rsid w:val="0087169D"/>
    <w:rsid w:val="008716BE"/>
    <w:rsid w:val="00871762"/>
    <w:rsid w:val="008717BA"/>
    <w:rsid w:val="008717C1"/>
    <w:rsid w:val="008717F2"/>
    <w:rsid w:val="00871875"/>
    <w:rsid w:val="00871890"/>
    <w:rsid w:val="008718FC"/>
    <w:rsid w:val="0087194B"/>
    <w:rsid w:val="00871953"/>
    <w:rsid w:val="00871984"/>
    <w:rsid w:val="008719D4"/>
    <w:rsid w:val="008719D7"/>
    <w:rsid w:val="00871A92"/>
    <w:rsid w:val="00871AC9"/>
    <w:rsid w:val="00871C18"/>
    <w:rsid w:val="00871C52"/>
    <w:rsid w:val="00871D63"/>
    <w:rsid w:val="00871DB1"/>
    <w:rsid w:val="00871E92"/>
    <w:rsid w:val="00871EB2"/>
    <w:rsid w:val="00871F37"/>
    <w:rsid w:val="00871F4D"/>
    <w:rsid w:val="00871F66"/>
    <w:rsid w:val="00871FB0"/>
    <w:rsid w:val="00871FE8"/>
    <w:rsid w:val="00871FF6"/>
    <w:rsid w:val="0087205D"/>
    <w:rsid w:val="00872077"/>
    <w:rsid w:val="00872097"/>
    <w:rsid w:val="0087209C"/>
    <w:rsid w:val="00872127"/>
    <w:rsid w:val="0087218C"/>
    <w:rsid w:val="00872218"/>
    <w:rsid w:val="0087221E"/>
    <w:rsid w:val="008722A8"/>
    <w:rsid w:val="00872329"/>
    <w:rsid w:val="0087235E"/>
    <w:rsid w:val="0087237B"/>
    <w:rsid w:val="0087241D"/>
    <w:rsid w:val="00872443"/>
    <w:rsid w:val="00872466"/>
    <w:rsid w:val="00872473"/>
    <w:rsid w:val="0087249D"/>
    <w:rsid w:val="008724A1"/>
    <w:rsid w:val="008724AE"/>
    <w:rsid w:val="008724C0"/>
    <w:rsid w:val="008724D6"/>
    <w:rsid w:val="0087258C"/>
    <w:rsid w:val="008725C7"/>
    <w:rsid w:val="008725CB"/>
    <w:rsid w:val="00872615"/>
    <w:rsid w:val="00872643"/>
    <w:rsid w:val="00872653"/>
    <w:rsid w:val="008726A3"/>
    <w:rsid w:val="008726B9"/>
    <w:rsid w:val="00872706"/>
    <w:rsid w:val="00872864"/>
    <w:rsid w:val="008728F1"/>
    <w:rsid w:val="008728F3"/>
    <w:rsid w:val="00872930"/>
    <w:rsid w:val="0087295D"/>
    <w:rsid w:val="0087296C"/>
    <w:rsid w:val="008729F9"/>
    <w:rsid w:val="00872A11"/>
    <w:rsid w:val="00872A21"/>
    <w:rsid w:val="00872A48"/>
    <w:rsid w:val="00872A62"/>
    <w:rsid w:val="00872AB3"/>
    <w:rsid w:val="00872AB9"/>
    <w:rsid w:val="00872B76"/>
    <w:rsid w:val="00872BB0"/>
    <w:rsid w:val="00872C0D"/>
    <w:rsid w:val="00872C35"/>
    <w:rsid w:val="00872C6B"/>
    <w:rsid w:val="00872CD7"/>
    <w:rsid w:val="00872D54"/>
    <w:rsid w:val="00872D62"/>
    <w:rsid w:val="00872DDF"/>
    <w:rsid w:val="00872E3B"/>
    <w:rsid w:val="00872E87"/>
    <w:rsid w:val="00872ECF"/>
    <w:rsid w:val="00872F62"/>
    <w:rsid w:val="00872FF8"/>
    <w:rsid w:val="00873084"/>
    <w:rsid w:val="00873125"/>
    <w:rsid w:val="0087314C"/>
    <w:rsid w:val="008731AE"/>
    <w:rsid w:val="0087320F"/>
    <w:rsid w:val="00873228"/>
    <w:rsid w:val="00873284"/>
    <w:rsid w:val="008732A7"/>
    <w:rsid w:val="008732AC"/>
    <w:rsid w:val="008732C0"/>
    <w:rsid w:val="008733EC"/>
    <w:rsid w:val="008733FC"/>
    <w:rsid w:val="00873434"/>
    <w:rsid w:val="00873456"/>
    <w:rsid w:val="0087346A"/>
    <w:rsid w:val="0087348C"/>
    <w:rsid w:val="008734CD"/>
    <w:rsid w:val="00873572"/>
    <w:rsid w:val="008735B1"/>
    <w:rsid w:val="00873624"/>
    <w:rsid w:val="00873643"/>
    <w:rsid w:val="008736B9"/>
    <w:rsid w:val="00873758"/>
    <w:rsid w:val="00873781"/>
    <w:rsid w:val="008737A3"/>
    <w:rsid w:val="008737E9"/>
    <w:rsid w:val="00873828"/>
    <w:rsid w:val="0087386F"/>
    <w:rsid w:val="008738D9"/>
    <w:rsid w:val="008738ED"/>
    <w:rsid w:val="0087395C"/>
    <w:rsid w:val="008739B0"/>
    <w:rsid w:val="008739B8"/>
    <w:rsid w:val="008739C9"/>
    <w:rsid w:val="008739FA"/>
    <w:rsid w:val="00873B33"/>
    <w:rsid w:val="00873B61"/>
    <w:rsid w:val="00873B69"/>
    <w:rsid w:val="00873B98"/>
    <w:rsid w:val="00873BF7"/>
    <w:rsid w:val="00873C35"/>
    <w:rsid w:val="00873D24"/>
    <w:rsid w:val="00873DE6"/>
    <w:rsid w:val="00873E21"/>
    <w:rsid w:val="00873ED3"/>
    <w:rsid w:val="00873EEE"/>
    <w:rsid w:val="00873F75"/>
    <w:rsid w:val="00873FD6"/>
    <w:rsid w:val="00874082"/>
    <w:rsid w:val="00874086"/>
    <w:rsid w:val="008740D8"/>
    <w:rsid w:val="008740E7"/>
    <w:rsid w:val="00874117"/>
    <w:rsid w:val="00874129"/>
    <w:rsid w:val="00874167"/>
    <w:rsid w:val="00874179"/>
    <w:rsid w:val="008741A5"/>
    <w:rsid w:val="008741F3"/>
    <w:rsid w:val="00874235"/>
    <w:rsid w:val="00874286"/>
    <w:rsid w:val="008742B3"/>
    <w:rsid w:val="008742C1"/>
    <w:rsid w:val="008742ED"/>
    <w:rsid w:val="00874375"/>
    <w:rsid w:val="00874379"/>
    <w:rsid w:val="008743C6"/>
    <w:rsid w:val="008744B0"/>
    <w:rsid w:val="008744E7"/>
    <w:rsid w:val="008745F5"/>
    <w:rsid w:val="00874672"/>
    <w:rsid w:val="008746DC"/>
    <w:rsid w:val="0087470B"/>
    <w:rsid w:val="0087470E"/>
    <w:rsid w:val="00874736"/>
    <w:rsid w:val="00874764"/>
    <w:rsid w:val="00874775"/>
    <w:rsid w:val="00874818"/>
    <w:rsid w:val="008748EB"/>
    <w:rsid w:val="00874952"/>
    <w:rsid w:val="00874972"/>
    <w:rsid w:val="008749C6"/>
    <w:rsid w:val="00874A0D"/>
    <w:rsid w:val="00874A56"/>
    <w:rsid w:val="00874ADF"/>
    <w:rsid w:val="00874AFF"/>
    <w:rsid w:val="00874BC1"/>
    <w:rsid w:val="00874C06"/>
    <w:rsid w:val="00874C24"/>
    <w:rsid w:val="00874DC3"/>
    <w:rsid w:val="00874DDC"/>
    <w:rsid w:val="00874E9A"/>
    <w:rsid w:val="00874EB2"/>
    <w:rsid w:val="00874EBE"/>
    <w:rsid w:val="00874ECF"/>
    <w:rsid w:val="00874F91"/>
    <w:rsid w:val="0087502B"/>
    <w:rsid w:val="0087502C"/>
    <w:rsid w:val="008750BE"/>
    <w:rsid w:val="008750CB"/>
    <w:rsid w:val="0087514B"/>
    <w:rsid w:val="00875157"/>
    <w:rsid w:val="008751B7"/>
    <w:rsid w:val="008751F6"/>
    <w:rsid w:val="00875247"/>
    <w:rsid w:val="00875254"/>
    <w:rsid w:val="00875255"/>
    <w:rsid w:val="0087529A"/>
    <w:rsid w:val="008752B6"/>
    <w:rsid w:val="008752C0"/>
    <w:rsid w:val="008752E7"/>
    <w:rsid w:val="008752F6"/>
    <w:rsid w:val="0087534F"/>
    <w:rsid w:val="00875355"/>
    <w:rsid w:val="008753B4"/>
    <w:rsid w:val="008754A8"/>
    <w:rsid w:val="008754B8"/>
    <w:rsid w:val="008754EE"/>
    <w:rsid w:val="008755A1"/>
    <w:rsid w:val="008755D7"/>
    <w:rsid w:val="008755F3"/>
    <w:rsid w:val="008755FA"/>
    <w:rsid w:val="00875639"/>
    <w:rsid w:val="00875650"/>
    <w:rsid w:val="00875704"/>
    <w:rsid w:val="0087572F"/>
    <w:rsid w:val="00875741"/>
    <w:rsid w:val="00875781"/>
    <w:rsid w:val="008757BA"/>
    <w:rsid w:val="0087580E"/>
    <w:rsid w:val="008758B1"/>
    <w:rsid w:val="008758CD"/>
    <w:rsid w:val="008758F1"/>
    <w:rsid w:val="008758FC"/>
    <w:rsid w:val="0087590D"/>
    <w:rsid w:val="00875999"/>
    <w:rsid w:val="008759C4"/>
    <w:rsid w:val="00875A9D"/>
    <w:rsid w:val="00875B0A"/>
    <w:rsid w:val="00875B79"/>
    <w:rsid w:val="00875C68"/>
    <w:rsid w:val="00875CBD"/>
    <w:rsid w:val="00875D57"/>
    <w:rsid w:val="00875D84"/>
    <w:rsid w:val="00875ED0"/>
    <w:rsid w:val="00875F83"/>
    <w:rsid w:val="00876055"/>
    <w:rsid w:val="0087606B"/>
    <w:rsid w:val="008760F2"/>
    <w:rsid w:val="00876141"/>
    <w:rsid w:val="0087615A"/>
    <w:rsid w:val="008761AE"/>
    <w:rsid w:val="008761C9"/>
    <w:rsid w:val="00876249"/>
    <w:rsid w:val="008762E0"/>
    <w:rsid w:val="008762E2"/>
    <w:rsid w:val="008762EB"/>
    <w:rsid w:val="00876385"/>
    <w:rsid w:val="008763C3"/>
    <w:rsid w:val="00876414"/>
    <w:rsid w:val="0087650F"/>
    <w:rsid w:val="008765B3"/>
    <w:rsid w:val="008765D4"/>
    <w:rsid w:val="008765EF"/>
    <w:rsid w:val="0087672C"/>
    <w:rsid w:val="0087676F"/>
    <w:rsid w:val="00876829"/>
    <w:rsid w:val="0087682B"/>
    <w:rsid w:val="00876838"/>
    <w:rsid w:val="0087686A"/>
    <w:rsid w:val="0087687F"/>
    <w:rsid w:val="00876897"/>
    <w:rsid w:val="008768C6"/>
    <w:rsid w:val="0087693D"/>
    <w:rsid w:val="008769DC"/>
    <w:rsid w:val="00876A35"/>
    <w:rsid w:val="00876A69"/>
    <w:rsid w:val="00876AAF"/>
    <w:rsid w:val="00876ABB"/>
    <w:rsid w:val="00876AE3"/>
    <w:rsid w:val="00876B8A"/>
    <w:rsid w:val="00876B8F"/>
    <w:rsid w:val="00876C73"/>
    <w:rsid w:val="00876CAD"/>
    <w:rsid w:val="00876CB4"/>
    <w:rsid w:val="00876CD0"/>
    <w:rsid w:val="00876CE5"/>
    <w:rsid w:val="00876D3E"/>
    <w:rsid w:val="00876DDB"/>
    <w:rsid w:val="00876DEF"/>
    <w:rsid w:val="00876E9D"/>
    <w:rsid w:val="00876EB0"/>
    <w:rsid w:val="00876F89"/>
    <w:rsid w:val="00876F97"/>
    <w:rsid w:val="00876F98"/>
    <w:rsid w:val="00876F9B"/>
    <w:rsid w:val="00876FC1"/>
    <w:rsid w:val="00876FC2"/>
    <w:rsid w:val="00876FDD"/>
    <w:rsid w:val="00876FE3"/>
    <w:rsid w:val="00877137"/>
    <w:rsid w:val="00877150"/>
    <w:rsid w:val="00877155"/>
    <w:rsid w:val="0087719A"/>
    <w:rsid w:val="00877245"/>
    <w:rsid w:val="008772DC"/>
    <w:rsid w:val="008772FE"/>
    <w:rsid w:val="0087732C"/>
    <w:rsid w:val="0087732D"/>
    <w:rsid w:val="0087734E"/>
    <w:rsid w:val="008773A8"/>
    <w:rsid w:val="0087741C"/>
    <w:rsid w:val="00877472"/>
    <w:rsid w:val="008774A1"/>
    <w:rsid w:val="00877522"/>
    <w:rsid w:val="00877542"/>
    <w:rsid w:val="00877587"/>
    <w:rsid w:val="0087766E"/>
    <w:rsid w:val="00877672"/>
    <w:rsid w:val="0087768B"/>
    <w:rsid w:val="008776BB"/>
    <w:rsid w:val="008776CB"/>
    <w:rsid w:val="008776F4"/>
    <w:rsid w:val="0087777E"/>
    <w:rsid w:val="008777A6"/>
    <w:rsid w:val="008777C9"/>
    <w:rsid w:val="008777FF"/>
    <w:rsid w:val="00877836"/>
    <w:rsid w:val="0087783D"/>
    <w:rsid w:val="008778BF"/>
    <w:rsid w:val="00877938"/>
    <w:rsid w:val="00877962"/>
    <w:rsid w:val="00877983"/>
    <w:rsid w:val="008779A5"/>
    <w:rsid w:val="008779C7"/>
    <w:rsid w:val="00877A07"/>
    <w:rsid w:val="00877A25"/>
    <w:rsid w:val="00877AD0"/>
    <w:rsid w:val="00877AF3"/>
    <w:rsid w:val="00877B6F"/>
    <w:rsid w:val="00877C6A"/>
    <w:rsid w:val="00877CDC"/>
    <w:rsid w:val="00877D50"/>
    <w:rsid w:val="00877E05"/>
    <w:rsid w:val="00877F03"/>
    <w:rsid w:val="00877F8C"/>
    <w:rsid w:val="00877F8F"/>
    <w:rsid w:val="0088000A"/>
    <w:rsid w:val="00880015"/>
    <w:rsid w:val="00880028"/>
    <w:rsid w:val="008800BE"/>
    <w:rsid w:val="008800BF"/>
    <w:rsid w:val="008800DC"/>
    <w:rsid w:val="00880108"/>
    <w:rsid w:val="0088013A"/>
    <w:rsid w:val="00880166"/>
    <w:rsid w:val="008801FA"/>
    <w:rsid w:val="008802CA"/>
    <w:rsid w:val="0088030C"/>
    <w:rsid w:val="00880364"/>
    <w:rsid w:val="008803CD"/>
    <w:rsid w:val="00880462"/>
    <w:rsid w:val="008804B2"/>
    <w:rsid w:val="008804B8"/>
    <w:rsid w:val="008804CE"/>
    <w:rsid w:val="0088051D"/>
    <w:rsid w:val="0088054F"/>
    <w:rsid w:val="0088059C"/>
    <w:rsid w:val="00880618"/>
    <w:rsid w:val="00880621"/>
    <w:rsid w:val="00880663"/>
    <w:rsid w:val="00880671"/>
    <w:rsid w:val="0088069E"/>
    <w:rsid w:val="008806B5"/>
    <w:rsid w:val="008806EF"/>
    <w:rsid w:val="0088074B"/>
    <w:rsid w:val="0088074C"/>
    <w:rsid w:val="008807E0"/>
    <w:rsid w:val="0088086B"/>
    <w:rsid w:val="008808D6"/>
    <w:rsid w:val="0088092D"/>
    <w:rsid w:val="0088095F"/>
    <w:rsid w:val="00880962"/>
    <w:rsid w:val="0088099C"/>
    <w:rsid w:val="008809A5"/>
    <w:rsid w:val="008809D0"/>
    <w:rsid w:val="008809DC"/>
    <w:rsid w:val="00880A3B"/>
    <w:rsid w:val="00880A7F"/>
    <w:rsid w:val="00880AB3"/>
    <w:rsid w:val="00880AFF"/>
    <w:rsid w:val="00880B72"/>
    <w:rsid w:val="00880C3C"/>
    <w:rsid w:val="00880C48"/>
    <w:rsid w:val="00880C58"/>
    <w:rsid w:val="00880C7E"/>
    <w:rsid w:val="00880CAA"/>
    <w:rsid w:val="00880DCC"/>
    <w:rsid w:val="00880DD2"/>
    <w:rsid w:val="00880DDF"/>
    <w:rsid w:val="00880E1B"/>
    <w:rsid w:val="00880EB4"/>
    <w:rsid w:val="00880EC1"/>
    <w:rsid w:val="00880F1C"/>
    <w:rsid w:val="00880F2B"/>
    <w:rsid w:val="00880F88"/>
    <w:rsid w:val="00880FFE"/>
    <w:rsid w:val="00881025"/>
    <w:rsid w:val="00881074"/>
    <w:rsid w:val="008810C4"/>
    <w:rsid w:val="008810CC"/>
    <w:rsid w:val="00881100"/>
    <w:rsid w:val="0088117B"/>
    <w:rsid w:val="008811AE"/>
    <w:rsid w:val="0088122A"/>
    <w:rsid w:val="0088124C"/>
    <w:rsid w:val="0088129D"/>
    <w:rsid w:val="008812BB"/>
    <w:rsid w:val="008812FE"/>
    <w:rsid w:val="00881319"/>
    <w:rsid w:val="00881369"/>
    <w:rsid w:val="00881399"/>
    <w:rsid w:val="008813FE"/>
    <w:rsid w:val="00881424"/>
    <w:rsid w:val="00881454"/>
    <w:rsid w:val="00881466"/>
    <w:rsid w:val="00881479"/>
    <w:rsid w:val="00881487"/>
    <w:rsid w:val="008814CA"/>
    <w:rsid w:val="00881538"/>
    <w:rsid w:val="008815D5"/>
    <w:rsid w:val="008815F7"/>
    <w:rsid w:val="00881611"/>
    <w:rsid w:val="0088161D"/>
    <w:rsid w:val="0088161E"/>
    <w:rsid w:val="0088162D"/>
    <w:rsid w:val="00881637"/>
    <w:rsid w:val="008816B8"/>
    <w:rsid w:val="008816BC"/>
    <w:rsid w:val="0088175E"/>
    <w:rsid w:val="008818B9"/>
    <w:rsid w:val="008818C6"/>
    <w:rsid w:val="008818E9"/>
    <w:rsid w:val="008818F6"/>
    <w:rsid w:val="008818FA"/>
    <w:rsid w:val="00881920"/>
    <w:rsid w:val="00881961"/>
    <w:rsid w:val="00881976"/>
    <w:rsid w:val="00881977"/>
    <w:rsid w:val="0088198F"/>
    <w:rsid w:val="00881A01"/>
    <w:rsid w:val="00881A0D"/>
    <w:rsid w:val="00881A44"/>
    <w:rsid w:val="00881A75"/>
    <w:rsid w:val="00881AD8"/>
    <w:rsid w:val="00881B6D"/>
    <w:rsid w:val="00881B76"/>
    <w:rsid w:val="00881B82"/>
    <w:rsid w:val="00881C54"/>
    <w:rsid w:val="00881C81"/>
    <w:rsid w:val="00881CC4"/>
    <w:rsid w:val="00881CCE"/>
    <w:rsid w:val="00881D57"/>
    <w:rsid w:val="00881E21"/>
    <w:rsid w:val="00881E4E"/>
    <w:rsid w:val="00881EB6"/>
    <w:rsid w:val="00881ED0"/>
    <w:rsid w:val="00881F16"/>
    <w:rsid w:val="00881F2B"/>
    <w:rsid w:val="00882016"/>
    <w:rsid w:val="00882057"/>
    <w:rsid w:val="00882068"/>
    <w:rsid w:val="0088207F"/>
    <w:rsid w:val="00882174"/>
    <w:rsid w:val="008821A2"/>
    <w:rsid w:val="0088221E"/>
    <w:rsid w:val="00882282"/>
    <w:rsid w:val="00882288"/>
    <w:rsid w:val="00882295"/>
    <w:rsid w:val="008823E0"/>
    <w:rsid w:val="00882418"/>
    <w:rsid w:val="008824A4"/>
    <w:rsid w:val="008824CB"/>
    <w:rsid w:val="0088253B"/>
    <w:rsid w:val="00882561"/>
    <w:rsid w:val="008825B0"/>
    <w:rsid w:val="008825D8"/>
    <w:rsid w:val="008825DE"/>
    <w:rsid w:val="00882606"/>
    <w:rsid w:val="00882748"/>
    <w:rsid w:val="008827BA"/>
    <w:rsid w:val="008827CA"/>
    <w:rsid w:val="00882821"/>
    <w:rsid w:val="008828A9"/>
    <w:rsid w:val="008828F1"/>
    <w:rsid w:val="008828F7"/>
    <w:rsid w:val="008828F8"/>
    <w:rsid w:val="00882946"/>
    <w:rsid w:val="00882A00"/>
    <w:rsid w:val="00882A01"/>
    <w:rsid w:val="00882A0E"/>
    <w:rsid w:val="00882A6F"/>
    <w:rsid w:val="00882AAE"/>
    <w:rsid w:val="00882BD1"/>
    <w:rsid w:val="00882C0D"/>
    <w:rsid w:val="00882C77"/>
    <w:rsid w:val="00882E0C"/>
    <w:rsid w:val="00882E40"/>
    <w:rsid w:val="00882E5A"/>
    <w:rsid w:val="00882E5D"/>
    <w:rsid w:val="00882EE1"/>
    <w:rsid w:val="00882EF8"/>
    <w:rsid w:val="00882F0E"/>
    <w:rsid w:val="00882FDB"/>
    <w:rsid w:val="008830B5"/>
    <w:rsid w:val="008830C0"/>
    <w:rsid w:val="008830CF"/>
    <w:rsid w:val="00883133"/>
    <w:rsid w:val="0088321B"/>
    <w:rsid w:val="00883232"/>
    <w:rsid w:val="00883256"/>
    <w:rsid w:val="00883264"/>
    <w:rsid w:val="0088327D"/>
    <w:rsid w:val="0088327E"/>
    <w:rsid w:val="008832B1"/>
    <w:rsid w:val="008832F9"/>
    <w:rsid w:val="008834A8"/>
    <w:rsid w:val="008834F7"/>
    <w:rsid w:val="008835F7"/>
    <w:rsid w:val="00883615"/>
    <w:rsid w:val="00883622"/>
    <w:rsid w:val="00883650"/>
    <w:rsid w:val="00883663"/>
    <w:rsid w:val="008836C3"/>
    <w:rsid w:val="00883744"/>
    <w:rsid w:val="00883750"/>
    <w:rsid w:val="0088375E"/>
    <w:rsid w:val="00883783"/>
    <w:rsid w:val="008837A7"/>
    <w:rsid w:val="008838D2"/>
    <w:rsid w:val="00883910"/>
    <w:rsid w:val="00883928"/>
    <w:rsid w:val="008839D9"/>
    <w:rsid w:val="00883A0D"/>
    <w:rsid w:val="00883A4B"/>
    <w:rsid w:val="00883A68"/>
    <w:rsid w:val="00883AB1"/>
    <w:rsid w:val="00883B1E"/>
    <w:rsid w:val="00883B8C"/>
    <w:rsid w:val="00883B8F"/>
    <w:rsid w:val="00883B97"/>
    <w:rsid w:val="00883BD9"/>
    <w:rsid w:val="00883BE8"/>
    <w:rsid w:val="00883BFE"/>
    <w:rsid w:val="00883C09"/>
    <w:rsid w:val="00883C12"/>
    <w:rsid w:val="00883C1A"/>
    <w:rsid w:val="00883C24"/>
    <w:rsid w:val="00883C45"/>
    <w:rsid w:val="00883C4C"/>
    <w:rsid w:val="00883C52"/>
    <w:rsid w:val="00883CAC"/>
    <w:rsid w:val="00883CCB"/>
    <w:rsid w:val="00883D4F"/>
    <w:rsid w:val="00883DBA"/>
    <w:rsid w:val="00883DCF"/>
    <w:rsid w:val="00883DD0"/>
    <w:rsid w:val="00883DF1"/>
    <w:rsid w:val="00883E37"/>
    <w:rsid w:val="00883F47"/>
    <w:rsid w:val="00883F6A"/>
    <w:rsid w:val="00883F7F"/>
    <w:rsid w:val="00883FB8"/>
    <w:rsid w:val="00883FEE"/>
    <w:rsid w:val="0088403D"/>
    <w:rsid w:val="00884065"/>
    <w:rsid w:val="008840D7"/>
    <w:rsid w:val="00884188"/>
    <w:rsid w:val="00884250"/>
    <w:rsid w:val="0088436D"/>
    <w:rsid w:val="008843BC"/>
    <w:rsid w:val="008843EA"/>
    <w:rsid w:val="008843FA"/>
    <w:rsid w:val="0088443A"/>
    <w:rsid w:val="00884475"/>
    <w:rsid w:val="008844D5"/>
    <w:rsid w:val="008845CC"/>
    <w:rsid w:val="008845DD"/>
    <w:rsid w:val="008845F5"/>
    <w:rsid w:val="0088461B"/>
    <w:rsid w:val="0088470B"/>
    <w:rsid w:val="0088471B"/>
    <w:rsid w:val="0088473D"/>
    <w:rsid w:val="00884779"/>
    <w:rsid w:val="0088479F"/>
    <w:rsid w:val="008847D2"/>
    <w:rsid w:val="008847E7"/>
    <w:rsid w:val="008847F3"/>
    <w:rsid w:val="008847F9"/>
    <w:rsid w:val="00884803"/>
    <w:rsid w:val="0088482F"/>
    <w:rsid w:val="0088484A"/>
    <w:rsid w:val="00884883"/>
    <w:rsid w:val="0088490E"/>
    <w:rsid w:val="00884998"/>
    <w:rsid w:val="008849B8"/>
    <w:rsid w:val="008849E3"/>
    <w:rsid w:val="008849F1"/>
    <w:rsid w:val="00884AA7"/>
    <w:rsid w:val="00884AA8"/>
    <w:rsid w:val="00884B28"/>
    <w:rsid w:val="00884B4D"/>
    <w:rsid w:val="00884BA2"/>
    <w:rsid w:val="00884C28"/>
    <w:rsid w:val="00884C83"/>
    <w:rsid w:val="00884D0B"/>
    <w:rsid w:val="00884D8C"/>
    <w:rsid w:val="00884E4A"/>
    <w:rsid w:val="00884EBE"/>
    <w:rsid w:val="008850A5"/>
    <w:rsid w:val="008850AA"/>
    <w:rsid w:val="008850CF"/>
    <w:rsid w:val="00885126"/>
    <w:rsid w:val="0088512C"/>
    <w:rsid w:val="0088518D"/>
    <w:rsid w:val="008851BC"/>
    <w:rsid w:val="008851CE"/>
    <w:rsid w:val="0088523B"/>
    <w:rsid w:val="008852E8"/>
    <w:rsid w:val="0088536B"/>
    <w:rsid w:val="008853F7"/>
    <w:rsid w:val="00885489"/>
    <w:rsid w:val="00885502"/>
    <w:rsid w:val="00885543"/>
    <w:rsid w:val="0088557B"/>
    <w:rsid w:val="0088563B"/>
    <w:rsid w:val="00885663"/>
    <w:rsid w:val="00885714"/>
    <w:rsid w:val="00885780"/>
    <w:rsid w:val="0088588F"/>
    <w:rsid w:val="0088592F"/>
    <w:rsid w:val="0088597A"/>
    <w:rsid w:val="008859CE"/>
    <w:rsid w:val="00885A2A"/>
    <w:rsid w:val="00885ACE"/>
    <w:rsid w:val="00885AEE"/>
    <w:rsid w:val="00885AF1"/>
    <w:rsid w:val="00885B10"/>
    <w:rsid w:val="00885B1E"/>
    <w:rsid w:val="00885B22"/>
    <w:rsid w:val="00885B3D"/>
    <w:rsid w:val="00885BA4"/>
    <w:rsid w:val="00885BB8"/>
    <w:rsid w:val="00885C0B"/>
    <w:rsid w:val="00885C1A"/>
    <w:rsid w:val="00885C1F"/>
    <w:rsid w:val="00885C27"/>
    <w:rsid w:val="00885C4A"/>
    <w:rsid w:val="00885C6F"/>
    <w:rsid w:val="00885CEC"/>
    <w:rsid w:val="00885D2D"/>
    <w:rsid w:val="00885DB3"/>
    <w:rsid w:val="00885DE0"/>
    <w:rsid w:val="00885EC1"/>
    <w:rsid w:val="00885EE8"/>
    <w:rsid w:val="00885F7B"/>
    <w:rsid w:val="00885F94"/>
    <w:rsid w:val="00885FA3"/>
    <w:rsid w:val="00885FC5"/>
    <w:rsid w:val="00885FD3"/>
    <w:rsid w:val="00886000"/>
    <w:rsid w:val="00886060"/>
    <w:rsid w:val="00886099"/>
    <w:rsid w:val="0088609D"/>
    <w:rsid w:val="008860C5"/>
    <w:rsid w:val="008860C9"/>
    <w:rsid w:val="008861C4"/>
    <w:rsid w:val="008861CF"/>
    <w:rsid w:val="008861F4"/>
    <w:rsid w:val="00886214"/>
    <w:rsid w:val="008862B5"/>
    <w:rsid w:val="008862DA"/>
    <w:rsid w:val="008862E7"/>
    <w:rsid w:val="008862EB"/>
    <w:rsid w:val="008863E8"/>
    <w:rsid w:val="008863E9"/>
    <w:rsid w:val="008863EE"/>
    <w:rsid w:val="008863FF"/>
    <w:rsid w:val="0088643F"/>
    <w:rsid w:val="00886447"/>
    <w:rsid w:val="008864FA"/>
    <w:rsid w:val="00886527"/>
    <w:rsid w:val="00886528"/>
    <w:rsid w:val="00886530"/>
    <w:rsid w:val="008865D2"/>
    <w:rsid w:val="008865DA"/>
    <w:rsid w:val="00886636"/>
    <w:rsid w:val="0088664D"/>
    <w:rsid w:val="0088664E"/>
    <w:rsid w:val="00886664"/>
    <w:rsid w:val="008866B8"/>
    <w:rsid w:val="008867B6"/>
    <w:rsid w:val="008867F6"/>
    <w:rsid w:val="0088683D"/>
    <w:rsid w:val="00886842"/>
    <w:rsid w:val="00886870"/>
    <w:rsid w:val="0088689F"/>
    <w:rsid w:val="00886993"/>
    <w:rsid w:val="008869B9"/>
    <w:rsid w:val="008869E8"/>
    <w:rsid w:val="00886A1E"/>
    <w:rsid w:val="00886A67"/>
    <w:rsid w:val="00886A7F"/>
    <w:rsid w:val="00886A9E"/>
    <w:rsid w:val="00886AA7"/>
    <w:rsid w:val="00886AA8"/>
    <w:rsid w:val="00886AEB"/>
    <w:rsid w:val="00886B59"/>
    <w:rsid w:val="00886B98"/>
    <w:rsid w:val="00886C3B"/>
    <w:rsid w:val="00886C86"/>
    <w:rsid w:val="00886CA1"/>
    <w:rsid w:val="00886D23"/>
    <w:rsid w:val="00886DDA"/>
    <w:rsid w:val="00886DE4"/>
    <w:rsid w:val="00886E6F"/>
    <w:rsid w:val="00886E72"/>
    <w:rsid w:val="00886F1C"/>
    <w:rsid w:val="00886F30"/>
    <w:rsid w:val="00886F3B"/>
    <w:rsid w:val="00886F8C"/>
    <w:rsid w:val="00886FD8"/>
    <w:rsid w:val="00887017"/>
    <w:rsid w:val="00887023"/>
    <w:rsid w:val="00887027"/>
    <w:rsid w:val="00887100"/>
    <w:rsid w:val="0088715A"/>
    <w:rsid w:val="00887160"/>
    <w:rsid w:val="008871CF"/>
    <w:rsid w:val="008871F0"/>
    <w:rsid w:val="00887202"/>
    <w:rsid w:val="0088720D"/>
    <w:rsid w:val="00887240"/>
    <w:rsid w:val="0088724D"/>
    <w:rsid w:val="00887260"/>
    <w:rsid w:val="00887307"/>
    <w:rsid w:val="00887309"/>
    <w:rsid w:val="00887350"/>
    <w:rsid w:val="008873B9"/>
    <w:rsid w:val="0088741C"/>
    <w:rsid w:val="008874A7"/>
    <w:rsid w:val="008874CD"/>
    <w:rsid w:val="0088751C"/>
    <w:rsid w:val="00887528"/>
    <w:rsid w:val="008875BC"/>
    <w:rsid w:val="008875CE"/>
    <w:rsid w:val="00887675"/>
    <w:rsid w:val="0088769E"/>
    <w:rsid w:val="00887711"/>
    <w:rsid w:val="00887712"/>
    <w:rsid w:val="00887788"/>
    <w:rsid w:val="0088779B"/>
    <w:rsid w:val="0088784E"/>
    <w:rsid w:val="00887876"/>
    <w:rsid w:val="00887888"/>
    <w:rsid w:val="008878D5"/>
    <w:rsid w:val="00887995"/>
    <w:rsid w:val="008879B3"/>
    <w:rsid w:val="008879C0"/>
    <w:rsid w:val="008879D6"/>
    <w:rsid w:val="008879E2"/>
    <w:rsid w:val="00887A24"/>
    <w:rsid w:val="00887A3B"/>
    <w:rsid w:val="00887A41"/>
    <w:rsid w:val="00887A5E"/>
    <w:rsid w:val="00887A6B"/>
    <w:rsid w:val="00887A87"/>
    <w:rsid w:val="00887AC2"/>
    <w:rsid w:val="00887B39"/>
    <w:rsid w:val="00887B44"/>
    <w:rsid w:val="00887B78"/>
    <w:rsid w:val="00887B98"/>
    <w:rsid w:val="00887B9E"/>
    <w:rsid w:val="00887BC3"/>
    <w:rsid w:val="00887BEF"/>
    <w:rsid w:val="00887C34"/>
    <w:rsid w:val="00887C94"/>
    <w:rsid w:val="00887CB6"/>
    <w:rsid w:val="00887D27"/>
    <w:rsid w:val="00887D55"/>
    <w:rsid w:val="00887D6A"/>
    <w:rsid w:val="00887F23"/>
    <w:rsid w:val="00887F85"/>
    <w:rsid w:val="00887FA0"/>
    <w:rsid w:val="00887FB8"/>
    <w:rsid w:val="0089004B"/>
    <w:rsid w:val="008900C0"/>
    <w:rsid w:val="008900FE"/>
    <w:rsid w:val="00890101"/>
    <w:rsid w:val="00890118"/>
    <w:rsid w:val="00890144"/>
    <w:rsid w:val="008901C4"/>
    <w:rsid w:val="008902D3"/>
    <w:rsid w:val="00890340"/>
    <w:rsid w:val="00890378"/>
    <w:rsid w:val="00890430"/>
    <w:rsid w:val="0089045B"/>
    <w:rsid w:val="008904D3"/>
    <w:rsid w:val="00890566"/>
    <w:rsid w:val="008905AE"/>
    <w:rsid w:val="00890613"/>
    <w:rsid w:val="0089064A"/>
    <w:rsid w:val="0089065D"/>
    <w:rsid w:val="00890664"/>
    <w:rsid w:val="008906C5"/>
    <w:rsid w:val="0089074D"/>
    <w:rsid w:val="0089074E"/>
    <w:rsid w:val="00890767"/>
    <w:rsid w:val="0089076F"/>
    <w:rsid w:val="008907E7"/>
    <w:rsid w:val="00890800"/>
    <w:rsid w:val="0089080B"/>
    <w:rsid w:val="00890816"/>
    <w:rsid w:val="00890826"/>
    <w:rsid w:val="0089082C"/>
    <w:rsid w:val="008908E5"/>
    <w:rsid w:val="00890920"/>
    <w:rsid w:val="0089093D"/>
    <w:rsid w:val="00890940"/>
    <w:rsid w:val="008909A0"/>
    <w:rsid w:val="008909AE"/>
    <w:rsid w:val="008909E6"/>
    <w:rsid w:val="00890A03"/>
    <w:rsid w:val="00890A46"/>
    <w:rsid w:val="00890B03"/>
    <w:rsid w:val="00890B30"/>
    <w:rsid w:val="00890B3E"/>
    <w:rsid w:val="00890B45"/>
    <w:rsid w:val="00890BD4"/>
    <w:rsid w:val="00890C31"/>
    <w:rsid w:val="00890C36"/>
    <w:rsid w:val="00890C77"/>
    <w:rsid w:val="00890CEC"/>
    <w:rsid w:val="00890D46"/>
    <w:rsid w:val="00890DAA"/>
    <w:rsid w:val="00890E09"/>
    <w:rsid w:val="00890E0E"/>
    <w:rsid w:val="00890E15"/>
    <w:rsid w:val="00890E20"/>
    <w:rsid w:val="00890EAB"/>
    <w:rsid w:val="00890EEC"/>
    <w:rsid w:val="00890F16"/>
    <w:rsid w:val="00890FBF"/>
    <w:rsid w:val="00891007"/>
    <w:rsid w:val="0089108E"/>
    <w:rsid w:val="008910B5"/>
    <w:rsid w:val="008910F1"/>
    <w:rsid w:val="00891134"/>
    <w:rsid w:val="0089113F"/>
    <w:rsid w:val="0089114C"/>
    <w:rsid w:val="00891150"/>
    <w:rsid w:val="00891171"/>
    <w:rsid w:val="0089118D"/>
    <w:rsid w:val="008911BD"/>
    <w:rsid w:val="00891219"/>
    <w:rsid w:val="008912A1"/>
    <w:rsid w:val="008912FA"/>
    <w:rsid w:val="0089132E"/>
    <w:rsid w:val="00891368"/>
    <w:rsid w:val="00891398"/>
    <w:rsid w:val="0089150C"/>
    <w:rsid w:val="0089150F"/>
    <w:rsid w:val="00891624"/>
    <w:rsid w:val="0089163C"/>
    <w:rsid w:val="00891653"/>
    <w:rsid w:val="0089167C"/>
    <w:rsid w:val="008916B1"/>
    <w:rsid w:val="008916CC"/>
    <w:rsid w:val="00891708"/>
    <w:rsid w:val="00891743"/>
    <w:rsid w:val="0089175E"/>
    <w:rsid w:val="0089177E"/>
    <w:rsid w:val="008917B8"/>
    <w:rsid w:val="00891817"/>
    <w:rsid w:val="0089184F"/>
    <w:rsid w:val="008918CF"/>
    <w:rsid w:val="008918D5"/>
    <w:rsid w:val="0089191B"/>
    <w:rsid w:val="0089192D"/>
    <w:rsid w:val="0089198B"/>
    <w:rsid w:val="008919E1"/>
    <w:rsid w:val="008919EB"/>
    <w:rsid w:val="00891A25"/>
    <w:rsid w:val="00891A37"/>
    <w:rsid w:val="00891A74"/>
    <w:rsid w:val="00891A76"/>
    <w:rsid w:val="00891A93"/>
    <w:rsid w:val="00891ABC"/>
    <w:rsid w:val="00891B2F"/>
    <w:rsid w:val="00891C00"/>
    <w:rsid w:val="00891C15"/>
    <w:rsid w:val="00891C82"/>
    <w:rsid w:val="00891D2E"/>
    <w:rsid w:val="00891D55"/>
    <w:rsid w:val="00891DA2"/>
    <w:rsid w:val="00891DC5"/>
    <w:rsid w:val="00891DEC"/>
    <w:rsid w:val="00891E04"/>
    <w:rsid w:val="00891E7B"/>
    <w:rsid w:val="00891F7B"/>
    <w:rsid w:val="00891F97"/>
    <w:rsid w:val="00892069"/>
    <w:rsid w:val="008920B1"/>
    <w:rsid w:val="008920BE"/>
    <w:rsid w:val="008920E3"/>
    <w:rsid w:val="008920ED"/>
    <w:rsid w:val="0089212E"/>
    <w:rsid w:val="0089215D"/>
    <w:rsid w:val="00892210"/>
    <w:rsid w:val="008922B8"/>
    <w:rsid w:val="008922C8"/>
    <w:rsid w:val="00892302"/>
    <w:rsid w:val="00892307"/>
    <w:rsid w:val="00892315"/>
    <w:rsid w:val="0089237B"/>
    <w:rsid w:val="008923CD"/>
    <w:rsid w:val="00892450"/>
    <w:rsid w:val="0089246D"/>
    <w:rsid w:val="008924A2"/>
    <w:rsid w:val="008924D4"/>
    <w:rsid w:val="00892564"/>
    <w:rsid w:val="00892625"/>
    <w:rsid w:val="0089264D"/>
    <w:rsid w:val="008926A5"/>
    <w:rsid w:val="008926B9"/>
    <w:rsid w:val="008926EB"/>
    <w:rsid w:val="0089277E"/>
    <w:rsid w:val="008927A8"/>
    <w:rsid w:val="008927AA"/>
    <w:rsid w:val="00892813"/>
    <w:rsid w:val="00892876"/>
    <w:rsid w:val="008928CA"/>
    <w:rsid w:val="0089298C"/>
    <w:rsid w:val="008929BB"/>
    <w:rsid w:val="008929C0"/>
    <w:rsid w:val="008929C6"/>
    <w:rsid w:val="008929DB"/>
    <w:rsid w:val="00892A18"/>
    <w:rsid w:val="00892A24"/>
    <w:rsid w:val="00892A38"/>
    <w:rsid w:val="00892A8C"/>
    <w:rsid w:val="00892A91"/>
    <w:rsid w:val="00892B32"/>
    <w:rsid w:val="00892B3D"/>
    <w:rsid w:val="00892B54"/>
    <w:rsid w:val="00892B90"/>
    <w:rsid w:val="00892BBD"/>
    <w:rsid w:val="00892BFA"/>
    <w:rsid w:val="00892C2E"/>
    <w:rsid w:val="00892C45"/>
    <w:rsid w:val="00892D0B"/>
    <w:rsid w:val="00892D4D"/>
    <w:rsid w:val="00892D5B"/>
    <w:rsid w:val="00892DA2"/>
    <w:rsid w:val="00892E47"/>
    <w:rsid w:val="00892E8B"/>
    <w:rsid w:val="00892E8F"/>
    <w:rsid w:val="00892E92"/>
    <w:rsid w:val="00892EDB"/>
    <w:rsid w:val="00892FEF"/>
    <w:rsid w:val="0089300C"/>
    <w:rsid w:val="0089301C"/>
    <w:rsid w:val="00893026"/>
    <w:rsid w:val="0089303D"/>
    <w:rsid w:val="00893080"/>
    <w:rsid w:val="00893095"/>
    <w:rsid w:val="0089311D"/>
    <w:rsid w:val="0089313D"/>
    <w:rsid w:val="0089315B"/>
    <w:rsid w:val="00893166"/>
    <w:rsid w:val="0089316F"/>
    <w:rsid w:val="008931C4"/>
    <w:rsid w:val="008931F2"/>
    <w:rsid w:val="00893221"/>
    <w:rsid w:val="00893277"/>
    <w:rsid w:val="008932FA"/>
    <w:rsid w:val="00893311"/>
    <w:rsid w:val="00893379"/>
    <w:rsid w:val="0089342D"/>
    <w:rsid w:val="008934E9"/>
    <w:rsid w:val="008934ED"/>
    <w:rsid w:val="00893578"/>
    <w:rsid w:val="0089358E"/>
    <w:rsid w:val="008935A2"/>
    <w:rsid w:val="008935E3"/>
    <w:rsid w:val="0089360F"/>
    <w:rsid w:val="0089361A"/>
    <w:rsid w:val="0089361C"/>
    <w:rsid w:val="008936AD"/>
    <w:rsid w:val="00893723"/>
    <w:rsid w:val="00893782"/>
    <w:rsid w:val="008937D9"/>
    <w:rsid w:val="00893856"/>
    <w:rsid w:val="0089386C"/>
    <w:rsid w:val="00893875"/>
    <w:rsid w:val="008938A2"/>
    <w:rsid w:val="008938F4"/>
    <w:rsid w:val="008938FE"/>
    <w:rsid w:val="0089391D"/>
    <w:rsid w:val="0089393F"/>
    <w:rsid w:val="00893971"/>
    <w:rsid w:val="00893994"/>
    <w:rsid w:val="0089399D"/>
    <w:rsid w:val="008939CA"/>
    <w:rsid w:val="00893A19"/>
    <w:rsid w:val="00893B3D"/>
    <w:rsid w:val="00893B63"/>
    <w:rsid w:val="00893BE2"/>
    <w:rsid w:val="00893C84"/>
    <w:rsid w:val="00893CDA"/>
    <w:rsid w:val="00893D12"/>
    <w:rsid w:val="00893D2F"/>
    <w:rsid w:val="00893D4D"/>
    <w:rsid w:val="00893E24"/>
    <w:rsid w:val="00893E69"/>
    <w:rsid w:val="00893EBE"/>
    <w:rsid w:val="00893F93"/>
    <w:rsid w:val="00893FD8"/>
    <w:rsid w:val="0089407A"/>
    <w:rsid w:val="0089407C"/>
    <w:rsid w:val="008940DF"/>
    <w:rsid w:val="0089418A"/>
    <w:rsid w:val="008941D3"/>
    <w:rsid w:val="00894237"/>
    <w:rsid w:val="00894245"/>
    <w:rsid w:val="00894351"/>
    <w:rsid w:val="0089435C"/>
    <w:rsid w:val="008943CD"/>
    <w:rsid w:val="00894405"/>
    <w:rsid w:val="00894430"/>
    <w:rsid w:val="00894443"/>
    <w:rsid w:val="008944E5"/>
    <w:rsid w:val="00894515"/>
    <w:rsid w:val="0089452D"/>
    <w:rsid w:val="00894549"/>
    <w:rsid w:val="00894572"/>
    <w:rsid w:val="00894596"/>
    <w:rsid w:val="008945B3"/>
    <w:rsid w:val="00894749"/>
    <w:rsid w:val="0089475B"/>
    <w:rsid w:val="0089476C"/>
    <w:rsid w:val="008947E1"/>
    <w:rsid w:val="008947EA"/>
    <w:rsid w:val="0089493E"/>
    <w:rsid w:val="00894941"/>
    <w:rsid w:val="00894977"/>
    <w:rsid w:val="0089497C"/>
    <w:rsid w:val="00894A2B"/>
    <w:rsid w:val="00894A72"/>
    <w:rsid w:val="00894A93"/>
    <w:rsid w:val="00894AEE"/>
    <w:rsid w:val="00894B55"/>
    <w:rsid w:val="00894B56"/>
    <w:rsid w:val="00894B8B"/>
    <w:rsid w:val="00894C7C"/>
    <w:rsid w:val="00894C91"/>
    <w:rsid w:val="00894C94"/>
    <w:rsid w:val="00894CD4"/>
    <w:rsid w:val="00894CDE"/>
    <w:rsid w:val="00894CF3"/>
    <w:rsid w:val="00894D16"/>
    <w:rsid w:val="00894D1B"/>
    <w:rsid w:val="00894D8C"/>
    <w:rsid w:val="00894DA7"/>
    <w:rsid w:val="00894E4B"/>
    <w:rsid w:val="00894E6E"/>
    <w:rsid w:val="00894F54"/>
    <w:rsid w:val="00894F98"/>
    <w:rsid w:val="00895009"/>
    <w:rsid w:val="00895023"/>
    <w:rsid w:val="008950EE"/>
    <w:rsid w:val="00895114"/>
    <w:rsid w:val="0089519C"/>
    <w:rsid w:val="008951F1"/>
    <w:rsid w:val="00895209"/>
    <w:rsid w:val="0089523C"/>
    <w:rsid w:val="0089525B"/>
    <w:rsid w:val="008952A6"/>
    <w:rsid w:val="008952E3"/>
    <w:rsid w:val="00895325"/>
    <w:rsid w:val="008953DD"/>
    <w:rsid w:val="008953EB"/>
    <w:rsid w:val="00895406"/>
    <w:rsid w:val="008954EE"/>
    <w:rsid w:val="00895502"/>
    <w:rsid w:val="00895508"/>
    <w:rsid w:val="00895645"/>
    <w:rsid w:val="008956B7"/>
    <w:rsid w:val="008956C7"/>
    <w:rsid w:val="008956FE"/>
    <w:rsid w:val="0089571A"/>
    <w:rsid w:val="00895723"/>
    <w:rsid w:val="0089574F"/>
    <w:rsid w:val="008958A1"/>
    <w:rsid w:val="00895A33"/>
    <w:rsid w:val="00895A3E"/>
    <w:rsid w:val="00895A4E"/>
    <w:rsid w:val="00895A74"/>
    <w:rsid w:val="00895AAA"/>
    <w:rsid w:val="00895AF3"/>
    <w:rsid w:val="00895B3A"/>
    <w:rsid w:val="00895B3E"/>
    <w:rsid w:val="00895B6B"/>
    <w:rsid w:val="00895B84"/>
    <w:rsid w:val="00895BC8"/>
    <w:rsid w:val="00895C10"/>
    <w:rsid w:val="00895C2E"/>
    <w:rsid w:val="00895C50"/>
    <w:rsid w:val="00895C83"/>
    <w:rsid w:val="00895D1F"/>
    <w:rsid w:val="00895D2E"/>
    <w:rsid w:val="00895D42"/>
    <w:rsid w:val="00895D63"/>
    <w:rsid w:val="00895D73"/>
    <w:rsid w:val="00895E08"/>
    <w:rsid w:val="00895E12"/>
    <w:rsid w:val="00895E2E"/>
    <w:rsid w:val="00895E33"/>
    <w:rsid w:val="00895E54"/>
    <w:rsid w:val="00895EAE"/>
    <w:rsid w:val="00895EC4"/>
    <w:rsid w:val="00895F45"/>
    <w:rsid w:val="00895F4D"/>
    <w:rsid w:val="00895F6A"/>
    <w:rsid w:val="00895FD7"/>
    <w:rsid w:val="00895FFF"/>
    <w:rsid w:val="0089602F"/>
    <w:rsid w:val="0089616D"/>
    <w:rsid w:val="00896198"/>
    <w:rsid w:val="008961C6"/>
    <w:rsid w:val="00896296"/>
    <w:rsid w:val="008962E6"/>
    <w:rsid w:val="0089630A"/>
    <w:rsid w:val="00896379"/>
    <w:rsid w:val="008963CF"/>
    <w:rsid w:val="008963EA"/>
    <w:rsid w:val="00896403"/>
    <w:rsid w:val="00896417"/>
    <w:rsid w:val="0089641D"/>
    <w:rsid w:val="00896478"/>
    <w:rsid w:val="00896530"/>
    <w:rsid w:val="00896546"/>
    <w:rsid w:val="00896583"/>
    <w:rsid w:val="008965A9"/>
    <w:rsid w:val="008965AB"/>
    <w:rsid w:val="008965C8"/>
    <w:rsid w:val="0089667B"/>
    <w:rsid w:val="008966ED"/>
    <w:rsid w:val="008966FA"/>
    <w:rsid w:val="00896736"/>
    <w:rsid w:val="00896766"/>
    <w:rsid w:val="00896789"/>
    <w:rsid w:val="008967A8"/>
    <w:rsid w:val="00896811"/>
    <w:rsid w:val="008968F4"/>
    <w:rsid w:val="00896901"/>
    <w:rsid w:val="00896993"/>
    <w:rsid w:val="00896999"/>
    <w:rsid w:val="008969C2"/>
    <w:rsid w:val="008969C5"/>
    <w:rsid w:val="00896A21"/>
    <w:rsid w:val="00896A36"/>
    <w:rsid w:val="00896A83"/>
    <w:rsid w:val="00896ABC"/>
    <w:rsid w:val="00896B30"/>
    <w:rsid w:val="00896B4D"/>
    <w:rsid w:val="00896B63"/>
    <w:rsid w:val="00896B99"/>
    <w:rsid w:val="00896B9E"/>
    <w:rsid w:val="00896BBD"/>
    <w:rsid w:val="00896C4F"/>
    <w:rsid w:val="00896CD8"/>
    <w:rsid w:val="00896D28"/>
    <w:rsid w:val="00896D82"/>
    <w:rsid w:val="00896D91"/>
    <w:rsid w:val="00896DB0"/>
    <w:rsid w:val="00896EA2"/>
    <w:rsid w:val="00896ED5"/>
    <w:rsid w:val="00896EE0"/>
    <w:rsid w:val="00896FCC"/>
    <w:rsid w:val="00897002"/>
    <w:rsid w:val="0089704C"/>
    <w:rsid w:val="00897083"/>
    <w:rsid w:val="008970F9"/>
    <w:rsid w:val="00897251"/>
    <w:rsid w:val="008972BE"/>
    <w:rsid w:val="008972C5"/>
    <w:rsid w:val="00897367"/>
    <w:rsid w:val="00897391"/>
    <w:rsid w:val="008973DD"/>
    <w:rsid w:val="008973FD"/>
    <w:rsid w:val="0089743C"/>
    <w:rsid w:val="0089745C"/>
    <w:rsid w:val="0089746F"/>
    <w:rsid w:val="008974C5"/>
    <w:rsid w:val="008974F9"/>
    <w:rsid w:val="00897526"/>
    <w:rsid w:val="0089759A"/>
    <w:rsid w:val="008975FB"/>
    <w:rsid w:val="00897674"/>
    <w:rsid w:val="0089768D"/>
    <w:rsid w:val="00897767"/>
    <w:rsid w:val="00897786"/>
    <w:rsid w:val="008977C5"/>
    <w:rsid w:val="008977D3"/>
    <w:rsid w:val="0089782B"/>
    <w:rsid w:val="0089787F"/>
    <w:rsid w:val="00897891"/>
    <w:rsid w:val="008978B1"/>
    <w:rsid w:val="008978B7"/>
    <w:rsid w:val="0089791C"/>
    <w:rsid w:val="00897980"/>
    <w:rsid w:val="00897982"/>
    <w:rsid w:val="0089798A"/>
    <w:rsid w:val="00897B36"/>
    <w:rsid w:val="00897B7B"/>
    <w:rsid w:val="00897C87"/>
    <w:rsid w:val="00897DB0"/>
    <w:rsid w:val="00897DDA"/>
    <w:rsid w:val="00897E60"/>
    <w:rsid w:val="00897E9E"/>
    <w:rsid w:val="00897ECA"/>
    <w:rsid w:val="00897EEF"/>
    <w:rsid w:val="00897F3A"/>
    <w:rsid w:val="00897F61"/>
    <w:rsid w:val="00897F84"/>
    <w:rsid w:val="00897FDF"/>
    <w:rsid w:val="008A002F"/>
    <w:rsid w:val="008A0036"/>
    <w:rsid w:val="008A00D1"/>
    <w:rsid w:val="008A0136"/>
    <w:rsid w:val="008A0148"/>
    <w:rsid w:val="008A01FF"/>
    <w:rsid w:val="008A020E"/>
    <w:rsid w:val="008A0255"/>
    <w:rsid w:val="008A0273"/>
    <w:rsid w:val="008A02F5"/>
    <w:rsid w:val="008A0371"/>
    <w:rsid w:val="008A03E4"/>
    <w:rsid w:val="008A0418"/>
    <w:rsid w:val="008A0463"/>
    <w:rsid w:val="008A04A0"/>
    <w:rsid w:val="008A04A2"/>
    <w:rsid w:val="008A04C8"/>
    <w:rsid w:val="008A04E6"/>
    <w:rsid w:val="008A052C"/>
    <w:rsid w:val="008A053E"/>
    <w:rsid w:val="008A0544"/>
    <w:rsid w:val="008A05B9"/>
    <w:rsid w:val="008A05FB"/>
    <w:rsid w:val="008A0636"/>
    <w:rsid w:val="008A0655"/>
    <w:rsid w:val="008A0750"/>
    <w:rsid w:val="008A075E"/>
    <w:rsid w:val="008A0768"/>
    <w:rsid w:val="008A0774"/>
    <w:rsid w:val="008A0790"/>
    <w:rsid w:val="008A0804"/>
    <w:rsid w:val="008A082B"/>
    <w:rsid w:val="008A0872"/>
    <w:rsid w:val="008A0879"/>
    <w:rsid w:val="008A08B3"/>
    <w:rsid w:val="008A0918"/>
    <w:rsid w:val="008A0964"/>
    <w:rsid w:val="008A09B3"/>
    <w:rsid w:val="008A09DD"/>
    <w:rsid w:val="008A0A1C"/>
    <w:rsid w:val="008A0BB2"/>
    <w:rsid w:val="008A0BFD"/>
    <w:rsid w:val="008A0C8C"/>
    <w:rsid w:val="008A0CE1"/>
    <w:rsid w:val="008A0CE7"/>
    <w:rsid w:val="008A0D72"/>
    <w:rsid w:val="008A0DAD"/>
    <w:rsid w:val="008A0DCA"/>
    <w:rsid w:val="008A0E5E"/>
    <w:rsid w:val="008A0E79"/>
    <w:rsid w:val="008A0E90"/>
    <w:rsid w:val="008A0F2A"/>
    <w:rsid w:val="008A0F8D"/>
    <w:rsid w:val="008A0F93"/>
    <w:rsid w:val="008A0F9B"/>
    <w:rsid w:val="008A0FCC"/>
    <w:rsid w:val="008A0FE7"/>
    <w:rsid w:val="008A1008"/>
    <w:rsid w:val="008A101D"/>
    <w:rsid w:val="008A1063"/>
    <w:rsid w:val="008A1085"/>
    <w:rsid w:val="008A10C8"/>
    <w:rsid w:val="008A10CC"/>
    <w:rsid w:val="008A10D5"/>
    <w:rsid w:val="008A11C3"/>
    <w:rsid w:val="008A11FA"/>
    <w:rsid w:val="008A1228"/>
    <w:rsid w:val="008A127B"/>
    <w:rsid w:val="008A1294"/>
    <w:rsid w:val="008A12A1"/>
    <w:rsid w:val="008A1317"/>
    <w:rsid w:val="008A1339"/>
    <w:rsid w:val="008A13D1"/>
    <w:rsid w:val="008A13E3"/>
    <w:rsid w:val="008A140A"/>
    <w:rsid w:val="008A1436"/>
    <w:rsid w:val="008A1492"/>
    <w:rsid w:val="008A14AA"/>
    <w:rsid w:val="008A15D3"/>
    <w:rsid w:val="008A15FC"/>
    <w:rsid w:val="008A1639"/>
    <w:rsid w:val="008A16C0"/>
    <w:rsid w:val="008A16C3"/>
    <w:rsid w:val="008A173B"/>
    <w:rsid w:val="008A1788"/>
    <w:rsid w:val="008A17A4"/>
    <w:rsid w:val="008A1826"/>
    <w:rsid w:val="008A1847"/>
    <w:rsid w:val="008A18B3"/>
    <w:rsid w:val="008A1912"/>
    <w:rsid w:val="008A199A"/>
    <w:rsid w:val="008A19F7"/>
    <w:rsid w:val="008A1A25"/>
    <w:rsid w:val="008A1C32"/>
    <w:rsid w:val="008A1C93"/>
    <w:rsid w:val="008A1CF2"/>
    <w:rsid w:val="008A1D54"/>
    <w:rsid w:val="008A1D5A"/>
    <w:rsid w:val="008A1DAD"/>
    <w:rsid w:val="008A1DDC"/>
    <w:rsid w:val="008A1E36"/>
    <w:rsid w:val="008A1E3E"/>
    <w:rsid w:val="008A1E5D"/>
    <w:rsid w:val="008A1E67"/>
    <w:rsid w:val="008A1E6F"/>
    <w:rsid w:val="008A1F04"/>
    <w:rsid w:val="008A1F26"/>
    <w:rsid w:val="008A1F2C"/>
    <w:rsid w:val="008A1F54"/>
    <w:rsid w:val="008A1FCA"/>
    <w:rsid w:val="008A1FE3"/>
    <w:rsid w:val="008A1FE4"/>
    <w:rsid w:val="008A2102"/>
    <w:rsid w:val="008A210E"/>
    <w:rsid w:val="008A2141"/>
    <w:rsid w:val="008A217B"/>
    <w:rsid w:val="008A21AB"/>
    <w:rsid w:val="008A223E"/>
    <w:rsid w:val="008A224B"/>
    <w:rsid w:val="008A2259"/>
    <w:rsid w:val="008A2262"/>
    <w:rsid w:val="008A22AA"/>
    <w:rsid w:val="008A2334"/>
    <w:rsid w:val="008A2397"/>
    <w:rsid w:val="008A23E7"/>
    <w:rsid w:val="008A24D8"/>
    <w:rsid w:val="008A251F"/>
    <w:rsid w:val="008A2528"/>
    <w:rsid w:val="008A2658"/>
    <w:rsid w:val="008A26C1"/>
    <w:rsid w:val="008A26E5"/>
    <w:rsid w:val="008A2798"/>
    <w:rsid w:val="008A27C4"/>
    <w:rsid w:val="008A2815"/>
    <w:rsid w:val="008A28FD"/>
    <w:rsid w:val="008A290A"/>
    <w:rsid w:val="008A2A36"/>
    <w:rsid w:val="008A2AAF"/>
    <w:rsid w:val="008A2AB7"/>
    <w:rsid w:val="008A2AE9"/>
    <w:rsid w:val="008A2AF3"/>
    <w:rsid w:val="008A2AF9"/>
    <w:rsid w:val="008A2B2E"/>
    <w:rsid w:val="008A2B42"/>
    <w:rsid w:val="008A2BB7"/>
    <w:rsid w:val="008A2BD7"/>
    <w:rsid w:val="008A2C1B"/>
    <w:rsid w:val="008A2C4D"/>
    <w:rsid w:val="008A2C5B"/>
    <w:rsid w:val="008A2C64"/>
    <w:rsid w:val="008A2C96"/>
    <w:rsid w:val="008A2CA6"/>
    <w:rsid w:val="008A2D90"/>
    <w:rsid w:val="008A2DCF"/>
    <w:rsid w:val="008A2DD0"/>
    <w:rsid w:val="008A2E3F"/>
    <w:rsid w:val="008A2E74"/>
    <w:rsid w:val="008A2EEA"/>
    <w:rsid w:val="008A2FF7"/>
    <w:rsid w:val="008A3024"/>
    <w:rsid w:val="008A30B4"/>
    <w:rsid w:val="008A3155"/>
    <w:rsid w:val="008A31DA"/>
    <w:rsid w:val="008A31DD"/>
    <w:rsid w:val="008A31EC"/>
    <w:rsid w:val="008A3245"/>
    <w:rsid w:val="008A3250"/>
    <w:rsid w:val="008A326A"/>
    <w:rsid w:val="008A3274"/>
    <w:rsid w:val="008A32B2"/>
    <w:rsid w:val="008A32E8"/>
    <w:rsid w:val="008A3395"/>
    <w:rsid w:val="008A33AE"/>
    <w:rsid w:val="008A3492"/>
    <w:rsid w:val="008A34F0"/>
    <w:rsid w:val="008A3551"/>
    <w:rsid w:val="008A3552"/>
    <w:rsid w:val="008A356E"/>
    <w:rsid w:val="008A3607"/>
    <w:rsid w:val="008A36CC"/>
    <w:rsid w:val="008A37A9"/>
    <w:rsid w:val="008A3870"/>
    <w:rsid w:val="008A3871"/>
    <w:rsid w:val="008A3877"/>
    <w:rsid w:val="008A3A21"/>
    <w:rsid w:val="008A3A2D"/>
    <w:rsid w:val="008A3A40"/>
    <w:rsid w:val="008A3A4D"/>
    <w:rsid w:val="008A3AAA"/>
    <w:rsid w:val="008A3B38"/>
    <w:rsid w:val="008A3B66"/>
    <w:rsid w:val="008A3B85"/>
    <w:rsid w:val="008A3BFA"/>
    <w:rsid w:val="008A3CA6"/>
    <w:rsid w:val="008A3CAF"/>
    <w:rsid w:val="008A3CCA"/>
    <w:rsid w:val="008A3CEE"/>
    <w:rsid w:val="008A3CF9"/>
    <w:rsid w:val="008A3D28"/>
    <w:rsid w:val="008A3D6D"/>
    <w:rsid w:val="008A3DDD"/>
    <w:rsid w:val="008A3E06"/>
    <w:rsid w:val="008A3E29"/>
    <w:rsid w:val="008A3E2C"/>
    <w:rsid w:val="008A3E91"/>
    <w:rsid w:val="008A3EA7"/>
    <w:rsid w:val="008A3EC7"/>
    <w:rsid w:val="008A3EDE"/>
    <w:rsid w:val="008A3EE0"/>
    <w:rsid w:val="008A3F06"/>
    <w:rsid w:val="008A3F15"/>
    <w:rsid w:val="008A3FDF"/>
    <w:rsid w:val="008A4045"/>
    <w:rsid w:val="008A4082"/>
    <w:rsid w:val="008A4084"/>
    <w:rsid w:val="008A40A4"/>
    <w:rsid w:val="008A40FD"/>
    <w:rsid w:val="008A410B"/>
    <w:rsid w:val="008A4137"/>
    <w:rsid w:val="008A41B1"/>
    <w:rsid w:val="008A4205"/>
    <w:rsid w:val="008A4217"/>
    <w:rsid w:val="008A427C"/>
    <w:rsid w:val="008A427D"/>
    <w:rsid w:val="008A42F0"/>
    <w:rsid w:val="008A443F"/>
    <w:rsid w:val="008A44F3"/>
    <w:rsid w:val="008A44FC"/>
    <w:rsid w:val="008A44FD"/>
    <w:rsid w:val="008A451C"/>
    <w:rsid w:val="008A451D"/>
    <w:rsid w:val="008A45C7"/>
    <w:rsid w:val="008A4665"/>
    <w:rsid w:val="008A4672"/>
    <w:rsid w:val="008A473E"/>
    <w:rsid w:val="008A4771"/>
    <w:rsid w:val="008A4783"/>
    <w:rsid w:val="008A4788"/>
    <w:rsid w:val="008A479F"/>
    <w:rsid w:val="008A4803"/>
    <w:rsid w:val="008A4935"/>
    <w:rsid w:val="008A4939"/>
    <w:rsid w:val="008A493C"/>
    <w:rsid w:val="008A4958"/>
    <w:rsid w:val="008A49ED"/>
    <w:rsid w:val="008A4A16"/>
    <w:rsid w:val="008A4A20"/>
    <w:rsid w:val="008A4A89"/>
    <w:rsid w:val="008A4AD0"/>
    <w:rsid w:val="008A4B08"/>
    <w:rsid w:val="008A4B1B"/>
    <w:rsid w:val="008A4B1F"/>
    <w:rsid w:val="008A4B9B"/>
    <w:rsid w:val="008A4BBC"/>
    <w:rsid w:val="008A4BF6"/>
    <w:rsid w:val="008A4C1B"/>
    <w:rsid w:val="008A4C51"/>
    <w:rsid w:val="008A4C6E"/>
    <w:rsid w:val="008A4C9B"/>
    <w:rsid w:val="008A4CD7"/>
    <w:rsid w:val="008A4CD8"/>
    <w:rsid w:val="008A4D75"/>
    <w:rsid w:val="008A4DAF"/>
    <w:rsid w:val="008A4DB4"/>
    <w:rsid w:val="008A4E20"/>
    <w:rsid w:val="008A4EBD"/>
    <w:rsid w:val="008A4F77"/>
    <w:rsid w:val="008A4F87"/>
    <w:rsid w:val="008A507D"/>
    <w:rsid w:val="008A50FD"/>
    <w:rsid w:val="008A5115"/>
    <w:rsid w:val="008A51DE"/>
    <w:rsid w:val="008A52B2"/>
    <w:rsid w:val="008A52B5"/>
    <w:rsid w:val="008A5324"/>
    <w:rsid w:val="008A5344"/>
    <w:rsid w:val="008A5495"/>
    <w:rsid w:val="008A54DC"/>
    <w:rsid w:val="008A5503"/>
    <w:rsid w:val="008A5555"/>
    <w:rsid w:val="008A5595"/>
    <w:rsid w:val="008A55A5"/>
    <w:rsid w:val="008A55A7"/>
    <w:rsid w:val="008A5602"/>
    <w:rsid w:val="008A560E"/>
    <w:rsid w:val="008A5611"/>
    <w:rsid w:val="008A5618"/>
    <w:rsid w:val="008A565D"/>
    <w:rsid w:val="008A5669"/>
    <w:rsid w:val="008A56B4"/>
    <w:rsid w:val="008A5704"/>
    <w:rsid w:val="008A5748"/>
    <w:rsid w:val="008A5764"/>
    <w:rsid w:val="008A5782"/>
    <w:rsid w:val="008A5842"/>
    <w:rsid w:val="008A58B9"/>
    <w:rsid w:val="008A597A"/>
    <w:rsid w:val="008A59A6"/>
    <w:rsid w:val="008A5A1F"/>
    <w:rsid w:val="008A5A84"/>
    <w:rsid w:val="008A5AFA"/>
    <w:rsid w:val="008A5BAE"/>
    <w:rsid w:val="008A5BDE"/>
    <w:rsid w:val="008A5BE0"/>
    <w:rsid w:val="008A5C91"/>
    <w:rsid w:val="008A5CC2"/>
    <w:rsid w:val="008A5D09"/>
    <w:rsid w:val="008A5D2A"/>
    <w:rsid w:val="008A5DD0"/>
    <w:rsid w:val="008A5E41"/>
    <w:rsid w:val="008A5ECA"/>
    <w:rsid w:val="008A5F0E"/>
    <w:rsid w:val="008A5F4E"/>
    <w:rsid w:val="008A5F78"/>
    <w:rsid w:val="008A5F99"/>
    <w:rsid w:val="008A5FF5"/>
    <w:rsid w:val="008A60FB"/>
    <w:rsid w:val="008A6107"/>
    <w:rsid w:val="008A61A3"/>
    <w:rsid w:val="008A61AB"/>
    <w:rsid w:val="008A61F4"/>
    <w:rsid w:val="008A62EB"/>
    <w:rsid w:val="008A630A"/>
    <w:rsid w:val="008A6367"/>
    <w:rsid w:val="008A63AB"/>
    <w:rsid w:val="008A63AC"/>
    <w:rsid w:val="008A63CA"/>
    <w:rsid w:val="008A641F"/>
    <w:rsid w:val="008A6424"/>
    <w:rsid w:val="008A6456"/>
    <w:rsid w:val="008A649F"/>
    <w:rsid w:val="008A6504"/>
    <w:rsid w:val="008A6541"/>
    <w:rsid w:val="008A654F"/>
    <w:rsid w:val="008A6582"/>
    <w:rsid w:val="008A65D9"/>
    <w:rsid w:val="008A663A"/>
    <w:rsid w:val="008A668B"/>
    <w:rsid w:val="008A66E9"/>
    <w:rsid w:val="008A6706"/>
    <w:rsid w:val="008A6775"/>
    <w:rsid w:val="008A67CF"/>
    <w:rsid w:val="008A67D5"/>
    <w:rsid w:val="008A6833"/>
    <w:rsid w:val="008A6853"/>
    <w:rsid w:val="008A6873"/>
    <w:rsid w:val="008A6883"/>
    <w:rsid w:val="008A68E5"/>
    <w:rsid w:val="008A6938"/>
    <w:rsid w:val="008A6985"/>
    <w:rsid w:val="008A69A4"/>
    <w:rsid w:val="008A69C8"/>
    <w:rsid w:val="008A6A0F"/>
    <w:rsid w:val="008A6A4E"/>
    <w:rsid w:val="008A6AD1"/>
    <w:rsid w:val="008A6B30"/>
    <w:rsid w:val="008A6C54"/>
    <w:rsid w:val="008A6CC0"/>
    <w:rsid w:val="008A6CDB"/>
    <w:rsid w:val="008A6CF5"/>
    <w:rsid w:val="008A6D6C"/>
    <w:rsid w:val="008A6DB3"/>
    <w:rsid w:val="008A6DD5"/>
    <w:rsid w:val="008A6E39"/>
    <w:rsid w:val="008A6E42"/>
    <w:rsid w:val="008A6E9F"/>
    <w:rsid w:val="008A6EF4"/>
    <w:rsid w:val="008A6F2A"/>
    <w:rsid w:val="008A6F3C"/>
    <w:rsid w:val="008A6F9F"/>
    <w:rsid w:val="008A7010"/>
    <w:rsid w:val="008A7042"/>
    <w:rsid w:val="008A7054"/>
    <w:rsid w:val="008A7072"/>
    <w:rsid w:val="008A7088"/>
    <w:rsid w:val="008A71BA"/>
    <w:rsid w:val="008A71D9"/>
    <w:rsid w:val="008A724F"/>
    <w:rsid w:val="008A7282"/>
    <w:rsid w:val="008A729F"/>
    <w:rsid w:val="008A72A7"/>
    <w:rsid w:val="008A72C9"/>
    <w:rsid w:val="008A72CD"/>
    <w:rsid w:val="008A72E4"/>
    <w:rsid w:val="008A72F8"/>
    <w:rsid w:val="008A73B9"/>
    <w:rsid w:val="008A73BB"/>
    <w:rsid w:val="008A73D9"/>
    <w:rsid w:val="008A7438"/>
    <w:rsid w:val="008A7466"/>
    <w:rsid w:val="008A751C"/>
    <w:rsid w:val="008A75F9"/>
    <w:rsid w:val="008A762B"/>
    <w:rsid w:val="008A7677"/>
    <w:rsid w:val="008A7697"/>
    <w:rsid w:val="008A76B9"/>
    <w:rsid w:val="008A7718"/>
    <w:rsid w:val="008A7752"/>
    <w:rsid w:val="008A7793"/>
    <w:rsid w:val="008A7805"/>
    <w:rsid w:val="008A7818"/>
    <w:rsid w:val="008A783D"/>
    <w:rsid w:val="008A7852"/>
    <w:rsid w:val="008A786E"/>
    <w:rsid w:val="008A78D6"/>
    <w:rsid w:val="008A78E7"/>
    <w:rsid w:val="008A7988"/>
    <w:rsid w:val="008A798E"/>
    <w:rsid w:val="008A79B5"/>
    <w:rsid w:val="008A79E3"/>
    <w:rsid w:val="008A7A12"/>
    <w:rsid w:val="008A7A1A"/>
    <w:rsid w:val="008A7AAF"/>
    <w:rsid w:val="008A7AE0"/>
    <w:rsid w:val="008A7AF1"/>
    <w:rsid w:val="008A7B3C"/>
    <w:rsid w:val="008A7B8A"/>
    <w:rsid w:val="008A7BB7"/>
    <w:rsid w:val="008A7C42"/>
    <w:rsid w:val="008A7C4B"/>
    <w:rsid w:val="008A7C4E"/>
    <w:rsid w:val="008A7C55"/>
    <w:rsid w:val="008A7C5D"/>
    <w:rsid w:val="008A7CC2"/>
    <w:rsid w:val="008A7CD1"/>
    <w:rsid w:val="008A7D19"/>
    <w:rsid w:val="008A7D1E"/>
    <w:rsid w:val="008A7DB8"/>
    <w:rsid w:val="008A7E39"/>
    <w:rsid w:val="008A7E4D"/>
    <w:rsid w:val="008A7E86"/>
    <w:rsid w:val="008A7EC9"/>
    <w:rsid w:val="008A7ED7"/>
    <w:rsid w:val="008A7EF2"/>
    <w:rsid w:val="008A7F3C"/>
    <w:rsid w:val="008A7F5E"/>
    <w:rsid w:val="008B000F"/>
    <w:rsid w:val="008B0061"/>
    <w:rsid w:val="008B0069"/>
    <w:rsid w:val="008B007E"/>
    <w:rsid w:val="008B0113"/>
    <w:rsid w:val="008B013E"/>
    <w:rsid w:val="008B0155"/>
    <w:rsid w:val="008B027B"/>
    <w:rsid w:val="008B027D"/>
    <w:rsid w:val="008B0306"/>
    <w:rsid w:val="008B030E"/>
    <w:rsid w:val="008B0367"/>
    <w:rsid w:val="008B036E"/>
    <w:rsid w:val="008B03B9"/>
    <w:rsid w:val="008B0427"/>
    <w:rsid w:val="008B0458"/>
    <w:rsid w:val="008B04F9"/>
    <w:rsid w:val="008B0519"/>
    <w:rsid w:val="008B0534"/>
    <w:rsid w:val="008B0595"/>
    <w:rsid w:val="008B0596"/>
    <w:rsid w:val="008B05CF"/>
    <w:rsid w:val="008B064A"/>
    <w:rsid w:val="008B068D"/>
    <w:rsid w:val="008B0707"/>
    <w:rsid w:val="008B07DA"/>
    <w:rsid w:val="008B083E"/>
    <w:rsid w:val="008B08D6"/>
    <w:rsid w:val="008B08F6"/>
    <w:rsid w:val="008B08FD"/>
    <w:rsid w:val="008B0910"/>
    <w:rsid w:val="008B094F"/>
    <w:rsid w:val="008B0A09"/>
    <w:rsid w:val="008B0A26"/>
    <w:rsid w:val="008B0A3E"/>
    <w:rsid w:val="008B0B23"/>
    <w:rsid w:val="008B0B9E"/>
    <w:rsid w:val="008B0BA7"/>
    <w:rsid w:val="008B0BC3"/>
    <w:rsid w:val="008B0BD1"/>
    <w:rsid w:val="008B0BF5"/>
    <w:rsid w:val="008B0BFB"/>
    <w:rsid w:val="008B0C73"/>
    <w:rsid w:val="008B0CE6"/>
    <w:rsid w:val="008B0D76"/>
    <w:rsid w:val="008B0E06"/>
    <w:rsid w:val="008B0E4F"/>
    <w:rsid w:val="008B0EA6"/>
    <w:rsid w:val="008B0EBB"/>
    <w:rsid w:val="008B0ECC"/>
    <w:rsid w:val="008B0EDC"/>
    <w:rsid w:val="008B0F59"/>
    <w:rsid w:val="008B0FA7"/>
    <w:rsid w:val="008B0FB7"/>
    <w:rsid w:val="008B1008"/>
    <w:rsid w:val="008B1098"/>
    <w:rsid w:val="008B10D1"/>
    <w:rsid w:val="008B10F1"/>
    <w:rsid w:val="008B11A3"/>
    <w:rsid w:val="008B11B1"/>
    <w:rsid w:val="008B11DC"/>
    <w:rsid w:val="008B11FD"/>
    <w:rsid w:val="008B120A"/>
    <w:rsid w:val="008B1212"/>
    <w:rsid w:val="008B122B"/>
    <w:rsid w:val="008B124B"/>
    <w:rsid w:val="008B1301"/>
    <w:rsid w:val="008B1304"/>
    <w:rsid w:val="008B130B"/>
    <w:rsid w:val="008B1375"/>
    <w:rsid w:val="008B13AC"/>
    <w:rsid w:val="008B14C2"/>
    <w:rsid w:val="008B14DC"/>
    <w:rsid w:val="008B150E"/>
    <w:rsid w:val="008B1526"/>
    <w:rsid w:val="008B1555"/>
    <w:rsid w:val="008B15AF"/>
    <w:rsid w:val="008B15F4"/>
    <w:rsid w:val="008B1636"/>
    <w:rsid w:val="008B1654"/>
    <w:rsid w:val="008B16AA"/>
    <w:rsid w:val="008B16CA"/>
    <w:rsid w:val="008B16EB"/>
    <w:rsid w:val="008B1736"/>
    <w:rsid w:val="008B1772"/>
    <w:rsid w:val="008B17B0"/>
    <w:rsid w:val="008B182D"/>
    <w:rsid w:val="008B193B"/>
    <w:rsid w:val="008B199B"/>
    <w:rsid w:val="008B1A4E"/>
    <w:rsid w:val="008B1A9F"/>
    <w:rsid w:val="008B1ABD"/>
    <w:rsid w:val="008B1B5C"/>
    <w:rsid w:val="008B1B7A"/>
    <w:rsid w:val="008B1B95"/>
    <w:rsid w:val="008B1BC9"/>
    <w:rsid w:val="008B1C15"/>
    <w:rsid w:val="008B1C40"/>
    <w:rsid w:val="008B1C73"/>
    <w:rsid w:val="008B1D3C"/>
    <w:rsid w:val="008B1D4B"/>
    <w:rsid w:val="008B1DC9"/>
    <w:rsid w:val="008B1E3A"/>
    <w:rsid w:val="008B1E50"/>
    <w:rsid w:val="008B1E6B"/>
    <w:rsid w:val="008B1E88"/>
    <w:rsid w:val="008B1F1F"/>
    <w:rsid w:val="008B1FB1"/>
    <w:rsid w:val="008B1FB7"/>
    <w:rsid w:val="008B1FFF"/>
    <w:rsid w:val="008B200E"/>
    <w:rsid w:val="008B201F"/>
    <w:rsid w:val="008B2090"/>
    <w:rsid w:val="008B20D9"/>
    <w:rsid w:val="008B20E2"/>
    <w:rsid w:val="008B2203"/>
    <w:rsid w:val="008B2215"/>
    <w:rsid w:val="008B222F"/>
    <w:rsid w:val="008B22BF"/>
    <w:rsid w:val="008B231B"/>
    <w:rsid w:val="008B2321"/>
    <w:rsid w:val="008B23E3"/>
    <w:rsid w:val="008B242D"/>
    <w:rsid w:val="008B24A3"/>
    <w:rsid w:val="008B24C8"/>
    <w:rsid w:val="008B252A"/>
    <w:rsid w:val="008B253F"/>
    <w:rsid w:val="008B2552"/>
    <w:rsid w:val="008B261C"/>
    <w:rsid w:val="008B271C"/>
    <w:rsid w:val="008B272C"/>
    <w:rsid w:val="008B2795"/>
    <w:rsid w:val="008B27B3"/>
    <w:rsid w:val="008B27E9"/>
    <w:rsid w:val="008B2923"/>
    <w:rsid w:val="008B2965"/>
    <w:rsid w:val="008B29BE"/>
    <w:rsid w:val="008B29D9"/>
    <w:rsid w:val="008B29F7"/>
    <w:rsid w:val="008B2A0A"/>
    <w:rsid w:val="008B2A4F"/>
    <w:rsid w:val="008B2A5C"/>
    <w:rsid w:val="008B2A7D"/>
    <w:rsid w:val="008B2AFF"/>
    <w:rsid w:val="008B2B43"/>
    <w:rsid w:val="008B2B91"/>
    <w:rsid w:val="008B2BEF"/>
    <w:rsid w:val="008B2C4C"/>
    <w:rsid w:val="008B2C7F"/>
    <w:rsid w:val="008B2CBF"/>
    <w:rsid w:val="008B2D12"/>
    <w:rsid w:val="008B2D80"/>
    <w:rsid w:val="008B2E73"/>
    <w:rsid w:val="008B2EE0"/>
    <w:rsid w:val="008B2F53"/>
    <w:rsid w:val="008B2FAF"/>
    <w:rsid w:val="008B3035"/>
    <w:rsid w:val="008B308E"/>
    <w:rsid w:val="008B30BF"/>
    <w:rsid w:val="008B30C5"/>
    <w:rsid w:val="008B3143"/>
    <w:rsid w:val="008B31A3"/>
    <w:rsid w:val="008B31A9"/>
    <w:rsid w:val="008B3285"/>
    <w:rsid w:val="008B32E9"/>
    <w:rsid w:val="008B32EC"/>
    <w:rsid w:val="008B3321"/>
    <w:rsid w:val="008B3329"/>
    <w:rsid w:val="008B3341"/>
    <w:rsid w:val="008B3360"/>
    <w:rsid w:val="008B33A5"/>
    <w:rsid w:val="008B3437"/>
    <w:rsid w:val="008B3497"/>
    <w:rsid w:val="008B34FC"/>
    <w:rsid w:val="008B35D9"/>
    <w:rsid w:val="008B3616"/>
    <w:rsid w:val="008B36B1"/>
    <w:rsid w:val="008B3745"/>
    <w:rsid w:val="008B37D9"/>
    <w:rsid w:val="008B3810"/>
    <w:rsid w:val="008B38AC"/>
    <w:rsid w:val="008B38C6"/>
    <w:rsid w:val="008B38C7"/>
    <w:rsid w:val="008B38D5"/>
    <w:rsid w:val="008B39A9"/>
    <w:rsid w:val="008B39AF"/>
    <w:rsid w:val="008B39B9"/>
    <w:rsid w:val="008B39BD"/>
    <w:rsid w:val="008B3A0F"/>
    <w:rsid w:val="008B3AA3"/>
    <w:rsid w:val="008B3ADE"/>
    <w:rsid w:val="008B3B07"/>
    <w:rsid w:val="008B3B1C"/>
    <w:rsid w:val="008B3B55"/>
    <w:rsid w:val="008B3B62"/>
    <w:rsid w:val="008B3B6F"/>
    <w:rsid w:val="008B3B82"/>
    <w:rsid w:val="008B3BBB"/>
    <w:rsid w:val="008B3C57"/>
    <w:rsid w:val="008B3C73"/>
    <w:rsid w:val="008B3C7C"/>
    <w:rsid w:val="008B3C94"/>
    <w:rsid w:val="008B3CEC"/>
    <w:rsid w:val="008B3D36"/>
    <w:rsid w:val="008B3D56"/>
    <w:rsid w:val="008B3D65"/>
    <w:rsid w:val="008B3D93"/>
    <w:rsid w:val="008B3DB9"/>
    <w:rsid w:val="008B3DBE"/>
    <w:rsid w:val="008B3E1F"/>
    <w:rsid w:val="008B3E43"/>
    <w:rsid w:val="008B3E8C"/>
    <w:rsid w:val="008B3EED"/>
    <w:rsid w:val="008B3F1D"/>
    <w:rsid w:val="008B3F89"/>
    <w:rsid w:val="008B3FF6"/>
    <w:rsid w:val="008B40DD"/>
    <w:rsid w:val="008B40E0"/>
    <w:rsid w:val="008B415F"/>
    <w:rsid w:val="008B4160"/>
    <w:rsid w:val="008B419C"/>
    <w:rsid w:val="008B41A9"/>
    <w:rsid w:val="008B41AB"/>
    <w:rsid w:val="008B41F3"/>
    <w:rsid w:val="008B4279"/>
    <w:rsid w:val="008B427C"/>
    <w:rsid w:val="008B4298"/>
    <w:rsid w:val="008B42AC"/>
    <w:rsid w:val="008B438F"/>
    <w:rsid w:val="008B43A2"/>
    <w:rsid w:val="008B43BA"/>
    <w:rsid w:val="008B4413"/>
    <w:rsid w:val="008B448A"/>
    <w:rsid w:val="008B44B8"/>
    <w:rsid w:val="008B4586"/>
    <w:rsid w:val="008B4625"/>
    <w:rsid w:val="008B46AA"/>
    <w:rsid w:val="008B46AE"/>
    <w:rsid w:val="008B4730"/>
    <w:rsid w:val="008B4790"/>
    <w:rsid w:val="008B47DF"/>
    <w:rsid w:val="008B487B"/>
    <w:rsid w:val="008B4882"/>
    <w:rsid w:val="008B488A"/>
    <w:rsid w:val="008B48C7"/>
    <w:rsid w:val="008B48CC"/>
    <w:rsid w:val="008B48EB"/>
    <w:rsid w:val="008B4A29"/>
    <w:rsid w:val="008B4AA9"/>
    <w:rsid w:val="008B4AB6"/>
    <w:rsid w:val="008B4B3D"/>
    <w:rsid w:val="008B4B42"/>
    <w:rsid w:val="008B4BA9"/>
    <w:rsid w:val="008B4BC9"/>
    <w:rsid w:val="008B4BD4"/>
    <w:rsid w:val="008B4C13"/>
    <w:rsid w:val="008B4C27"/>
    <w:rsid w:val="008B4C42"/>
    <w:rsid w:val="008B4CAD"/>
    <w:rsid w:val="008B4CC8"/>
    <w:rsid w:val="008B4D2E"/>
    <w:rsid w:val="008B4D31"/>
    <w:rsid w:val="008B4D33"/>
    <w:rsid w:val="008B4D44"/>
    <w:rsid w:val="008B4D69"/>
    <w:rsid w:val="008B4D8E"/>
    <w:rsid w:val="008B4DAA"/>
    <w:rsid w:val="008B4DBE"/>
    <w:rsid w:val="008B4DEA"/>
    <w:rsid w:val="008B4E09"/>
    <w:rsid w:val="008B4E0D"/>
    <w:rsid w:val="008B4E29"/>
    <w:rsid w:val="008B4E54"/>
    <w:rsid w:val="008B4E86"/>
    <w:rsid w:val="008B4E9B"/>
    <w:rsid w:val="008B4EAC"/>
    <w:rsid w:val="008B4ED2"/>
    <w:rsid w:val="008B4EE3"/>
    <w:rsid w:val="008B4F49"/>
    <w:rsid w:val="008B4F5A"/>
    <w:rsid w:val="008B4F85"/>
    <w:rsid w:val="008B4FBF"/>
    <w:rsid w:val="008B5037"/>
    <w:rsid w:val="008B507A"/>
    <w:rsid w:val="008B5092"/>
    <w:rsid w:val="008B50FC"/>
    <w:rsid w:val="008B51CE"/>
    <w:rsid w:val="008B5200"/>
    <w:rsid w:val="008B5259"/>
    <w:rsid w:val="008B525B"/>
    <w:rsid w:val="008B525D"/>
    <w:rsid w:val="008B52A1"/>
    <w:rsid w:val="008B52A7"/>
    <w:rsid w:val="008B52BF"/>
    <w:rsid w:val="008B5339"/>
    <w:rsid w:val="008B5343"/>
    <w:rsid w:val="008B5355"/>
    <w:rsid w:val="008B536D"/>
    <w:rsid w:val="008B53EF"/>
    <w:rsid w:val="008B542C"/>
    <w:rsid w:val="008B5454"/>
    <w:rsid w:val="008B5476"/>
    <w:rsid w:val="008B54BB"/>
    <w:rsid w:val="008B5512"/>
    <w:rsid w:val="008B5575"/>
    <w:rsid w:val="008B5576"/>
    <w:rsid w:val="008B55AA"/>
    <w:rsid w:val="008B5600"/>
    <w:rsid w:val="008B5602"/>
    <w:rsid w:val="008B560F"/>
    <w:rsid w:val="008B5667"/>
    <w:rsid w:val="008B5679"/>
    <w:rsid w:val="008B56A7"/>
    <w:rsid w:val="008B56FD"/>
    <w:rsid w:val="008B570D"/>
    <w:rsid w:val="008B5715"/>
    <w:rsid w:val="008B57AB"/>
    <w:rsid w:val="008B57B9"/>
    <w:rsid w:val="008B57FB"/>
    <w:rsid w:val="008B57FC"/>
    <w:rsid w:val="008B5851"/>
    <w:rsid w:val="008B5870"/>
    <w:rsid w:val="008B5916"/>
    <w:rsid w:val="008B5A16"/>
    <w:rsid w:val="008B5A65"/>
    <w:rsid w:val="008B5B05"/>
    <w:rsid w:val="008B5B09"/>
    <w:rsid w:val="008B5BFD"/>
    <w:rsid w:val="008B5C16"/>
    <w:rsid w:val="008B5C78"/>
    <w:rsid w:val="008B5CD8"/>
    <w:rsid w:val="008B5CFC"/>
    <w:rsid w:val="008B5D4B"/>
    <w:rsid w:val="008B5D7A"/>
    <w:rsid w:val="008B5D8E"/>
    <w:rsid w:val="008B5E63"/>
    <w:rsid w:val="008B5E67"/>
    <w:rsid w:val="008B5E8D"/>
    <w:rsid w:val="008B5EF5"/>
    <w:rsid w:val="008B5EF6"/>
    <w:rsid w:val="008B5F25"/>
    <w:rsid w:val="008B5F39"/>
    <w:rsid w:val="008B5F52"/>
    <w:rsid w:val="008B5F9E"/>
    <w:rsid w:val="008B602B"/>
    <w:rsid w:val="008B60A4"/>
    <w:rsid w:val="008B6188"/>
    <w:rsid w:val="008B6297"/>
    <w:rsid w:val="008B62D6"/>
    <w:rsid w:val="008B62DA"/>
    <w:rsid w:val="008B6330"/>
    <w:rsid w:val="008B634A"/>
    <w:rsid w:val="008B6427"/>
    <w:rsid w:val="008B6430"/>
    <w:rsid w:val="008B646B"/>
    <w:rsid w:val="008B646F"/>
    <w:rsid w:val="008B6470"/>
    <w:rsid w:val="008B64D7"/>
    <w:rsid w:val="008B64E8"/>
    <w:rsid w:val="008B6534"/>
    <w:rsid w:val="008B6599"/>
    <w:rsid w:val="008B65BB"/>
    <w:rsid w:val="008B6614"/>
    <w:rsid w:val="008B6667"/>
    <w:rsid w:val="008B66B3"/>
    <w:rsid w:val="008B66B9"/>
    <w:rsid w:val="008B671E"/>
    <w:rsid w:val="008B6727"/>
    <w:rsid w:val="008B676D"/>
    <w:rsid w:val="008B67D5"/>
    <w:rsid w:val="008B6824"/>
    <w:rsid w:val="008B689B"/>
    <w:rsid w:val="008B696D"/>
    <w:rsid w:val="008B69CD"/>
    <w:rsid w:val="008B6AC2"/>
    <w:rsid w:val="008B6AEC"/>
    <w:rsid w:val="008B6B1D"/>
    <w:rsid w:val="008B6B20"/>
    <w:rsid w:val="008B6B8C"/>
    <w:rsid w:val="008B6B9E"/>
    <w:rsid w:val="008B6BA0"/>
    <w:rsid w:val="008B6BA7"/>
    <w:rsid w:val="008B6BCA"/>
    <w:rsid w:val="008B6C1A"/>
    <w:rsid w:val="008B6C41"/>
    <w:rsid w:val="008B6C59"/>
    <w:rsid w:val="008B6C8E"/>
    <w:rsid w:val="008B6CBD"/>
    <w:rsid w:val="008B6CD8"/>
    <w:rsid w:val="008B6D1E"/>
    <w:rsid w:val="008B6D30"/>
    <w:rsid w:val="008B6DBC"/>
    <w:rsid w:val="008B6DDA"/>
    <w:rsid w:val="008B6DFE"/>
    <w:rsid w:val="008B6E5A"/>
    <w:rsid w:val="008B6E62"/>
    <w:rsid w:val="008B6E6E"/>
    <w:rsid w:val="008B6EA3"/>
    <w:rsid w:val="008B6ED1"/>
    <w:rsid w:val="008B7067"/>
    <w:rsid w:val="008B708B"/>
    <w:rsid w:val="008B70B6"/>
    <w:rsid w:val="008B70BD"/>
    <w:rsid w:val="008B71B8"/>
    <w:rsid w:val="008B72E9"/>
    <w:rsid w:val="008B7355"/>
    <w:rsid w:val="008B735A"/>
    <w:rsid w:val="008B737D"/>
    <w:rsid w:val="008B7403"/>
    <w:rsid w:val="008B748A"/>
    <w:rsid w:val="008B749F"/>
    <w:rsid w:val="008B7514"/>
    <w:rsid w:val="008B753D"/>
    <w:rsid w:val="008B7571"/>
    <w:rsid w:val="008B75FC"/>
    <w:rsid w:val="008B76B9"/>
    <w:rsid w:val="008B76BC"/>
    <w:rsid w:val="008B7709"/>
    <w:rsid w:val="008B7735"/>
    <w:rsid w:val="008B775B"/>
    <w:rsid w:val="008B77AF"/>
    <w:rsid w:val="008B7857"/>
    <w:rsid w:val="008B7858"/>
    <w:rsid w:val="008B7886"/>
    <w:rsid w:val="008B789D"/>
    <w:rsid w:val="008B78BE"/>
    <w:rsid w:val="008B78D3"/>
    <w:rsid w:val="008B78DA"/>
    <w:rsid w:val="008B7948"/>
    <w:rsid w:val="008B79A7"/>
    <w:rsid w:val="008B7A21"/>
    <w:rsid w:val="008B7A86"/>
    <w:rsid w:val="008B7B00"/>
    <w:rsid w:val="008B7B2F"/>
    <w:rsid w:val="008B7BEA"/>
    <w:rsid w:val="008B7CCE"/>
    <w:rsid w:val="008B7CE4"/>
    <w:rsid w:val="008B7D0A"/>
    <w:rsid w:val="008B7DF3"/>
    <w:rsid w:val="008B7E00"/>
    <w:rsid w:val="008B7E3E"/>
    <w:rsid w:val="008B7E42"/>
    <w:rsid w:val="008B7E6E"/>
    <w:rsid w:val="008B7E75"/>
    <w:rsid w:val="008B7E94"/>
    <w:rsid w:val="008B7EE5"/>
    <w:rsid w:val="008B7F4C"/>
    <w:rsid w:val="008B7F67"/>
    <w:rsid w:val="008B7F96"/>
    <w:rsid w:val="008B7F97"/>
    <w:rsid w:val="008B7FD7"/>
    <w:rsid w:val="008B7FFE"/>
    <w:rsid w:val="008C0037"/>
    <w:rsid w:val="008C0073"/>
    <w:rsid w:val="008C008C"/>
    <w:rsid w:val="008C0120"/>
    <w:rsid w:val="008C0174"/>
    <w:rsid w:val="008C01FC"/>
    <w:rsid w:val="008C021B"/>
    <w:rsid w:val="008C02B1"/>
    <w:rsid w:val="008C02D4"/>
    <w:rsid w:val="008C02F8"/>
    <w:rsid w:val="008C0335"/>
    <w:rsid w:val="008C03B1"/>
    <w:rsid w:val="008C0403"/>
    <w:rsid w:val="008C04A1"/>
    <w:rsid w:val="008C04A3"/>
    <w:rsid w:val="008C04EA"/>
    <w:rsid w:val="008C052E"/>
    <w:rsid w:val="008C05CC"/>
    <w:rsid w:val="008C0617"/>
    <w:rsid w:val="008C0656"/>
    <w:rsid w:val="008C06AC"/>
    <w:rsid w:val="008C06C2"/>
    <w:rsid w:val="008C0735"/>
    <w:rsid w:val="008C0793"/>
    <w:rsid w:val="008C07A3"/>
    <w:rsid w:val="008C0830"/>
    <w:rsid w:val="008C0835"/>
    <w:rsid w:val="008C0863"/>
    <w:rsid w:val="008C091F"/>
    <w:rsid w:val="008C095A"/>
    <w:rsid w:val="008C0981"/>
    <w:rsid w:val="008C099B"/>
    <w:rsid w:val="008C09EA"/>
    <w:rsid w:val="008C09FC"/>
    <w:rsid w:val="008C0A7F"/>
    <w:rsid w:val="008C0AAD"/>
    <w:rsid w:val="008C0ABA"/>
    <w:rsid w:val="008C0C0E"/>
    <w:rsid w:val="008C0C0F"/>
    <w:rsid w:val="008C0C37"/>
    <w:rsid w:val="008C0C55"/>
    <w:rsid w:val="008C0CCD"/>
    <w:rsid w:val="008C0D3D"/>
    <w:rsid w:val="008C0D5B"/>
    <w:rsid w:val="008C0D66"/>
    <w:rsid w:val="008C0D67"/>
    <w:rsid w:val="008C0DA2"/>
    <w:rsid w:val="008C0E36"/>
    <w:rsid w:val="008C0E8F"/>
    <w:rsid w:val="008C0EE0"/>
    <w:rsid w:val="008C0F00"/>
    <w:rsid w:val="008C0F2C"/>
    <w:rsid w:val="008C0FDD"/>
    <w:rsid w:val="008C101B"/>
    <w:rsid w:val="008C10C3"/>
    <w:rsid w:val="008C10E6"/>
    <w:rsid w:val="008C1124"/>
    <w:rsid w:val="008C1163"/>
    <w:rsid w:val="008C1178"/>
    <w:rsid w:val="008C11A2"/>
    <w:rsid w:val="008C1210"/>
    <w:rsid w:val="008C122E"/>
    <w:rsid w:val="008C127B"/>
    <w:rsid w:val="008C1340"/>
    <w:rsid w:val="008C1370"/>
    <w:rsid w:val="008C1374"/>
    <w:rsid w:val="008C1385"/>
    <w:rsid w:val="008C1408"/>
    <w:rsid w:val="008C144D"/>
    <w:rsid w:val="008C1467"/>
    <w:rsid w:val="008C1492"/>
    <w:rsid w:val="008C14CF"/>
    <w:rsid w:val="008C14F9"/>
    <w:rsid w:val="008C1520"/>
    <w:rsid w:val="008C155C"/>
    <w:rsid w:val="008C1592"/>
    <w:rsid w:val="008C159D"/>
    <w:rsid w:val="008C15A7"/>
    <w:rsid w:val="008C15C1"/>
    <w:rsid w:val="008C15D9"/>
    <w:rsid w:val="008C1646"/>
    <w:rsid w:val="008C16BC"/>
    <w:rsid w:val="008C1764"/>
    <w:rsid w:val="008C1786"/>
    <w:rsid w:val="008C178D"/>
    <w:rsid w:val="008C1792"/>
    <w:rsid w:val="008C1803"/>
    <w:rsid w:val="008C1820"/>
    <w:rsid w:val="008C1827"/>
    <w:rsid w:val="008C185D"/>
    <w:rsid w:val="008C1893"/>
    <w:rsid w:val="008C18BF"/>
    <w:rsid w:val="008C190F"/>
    <w:rsid w:val="008C1941"/>
    <w:rsid w:val="008C1945"/>
    <w:rsid w:val="008C19D2"/>
    <w:rsid w:val="008C19D3"/>
    <w:rsid w:val="008C19EA"/>
    <w:rsid w:val="008C1A9B"/>
    <w:rsid w:val="008C1AB8"/>
    <w:rsid w:val="008C1ACD"/>
    <w:rsid w:val="008C1B03"/>
    <w:rsid w:val="008C1B0C"/>
    <w:rsid w:val="008C1B5F"/>
    <w:rsid w:val="008C1B71"/>
    <w:rsid w:val="008C1C14"/>
    <w:rsid w:val="008C1C33"/>
    <w:rsid w:val="008C1C48"/>
    <w:rsid w:val="008C1C5A"/>
    <w:rsid w:val="008C1C92"/>
    <w:rsid w:val="008C1C94"/>
    <w:rsid w:val="008C1CBC"/>
    <w:rsid w:val="008C1D24"/>
    <w:rsid w:val="008C1D8D"/>
    <w:rsid w:val="008C1D97"/>
    <w:rsid w:val="008C1DDF"/>
    <w:rsid w:val="008C1E63"/>
    <w:rsid w:val="008C1F12"/>
    <w:rsid w:val="008C1F15"/>
    <w:rsid w:val="008C1F4B"/>
    <w:rsid w:val="008C1F87"/>
    <w:rsid w:val="008C1FBF"/>
    <w:rsid w:val="008C1FC0"/>
    <w:rsid w:val="008C1FEE"/>
    <w:rsid w:val="008C2011"/>
    <w:rsid w:val="008C2091"/>
    <w:rsid w:val="008C2095"/>
    <w:rsid w:val="008C20E3"/>
    <w:rsid w:val="008C20F0"/>
    <w:rsid w:val="008C2101"/>
    <w:rsid w:val="008C212D"/>
    <w:rsid w:val="008C21AC"/>
    <w:rsid w:val="008C224F"/>
    <w:rsid w:val="008C2275"/>
    <w:rsid w:val="008C22D2"/>
    <w:rsid w:val="008C2327"/>
    <w:rsid w:val="008C238D"/>
    <w:rsid w:val="008C23E1"/>
    <w:rsid w:val="008C23F1"/>
    <w:rsid w:val="008C24C5"/>
    <w:rsid w:val="008C24C8"/>
    <w:rsid w:val="008C24E9"/>
    <w:rsid w:val="008C25A0"/>
    <w:rsid w:val="008C2634"/>
    <w:rsid w:val="008C2650"/>
    <w:rsid w:val="008C2667"/>
    <w:rsid w:val="008C2725"/>
    <w:rsid w:val="008C2760"/>
    <w:rsid w:val="008C279C"/>
    <w:rsid w:val="008C27F8"/>
    <w:rsid w:val="008C2851"/>
    <w:rsid w:val="008C28F7"/>
    <w:rsid w:val="008C291E"/>
    <w:rsid w:val="008C2931"/>
    <w:rsid w:val="008C29C1"/>
    <w:rsid w:val="008C29CD"/>
    <w:rsid w:val="008C2A67"/>
    <w:rsid w:val="008C2A68"/>
    <w:rsid w:val="008C2A82"/>
    <w:rsid w:val="008C2AAA"/>
    <w:rsid w:val="008C2AB9"/>
    <w:rsid w:val="008C2B4E"/>
    <w:rsid w:val="008C2B69"/>
    <w:rsid w:val="008C2BB2"/>
    <w:rsid w:val="008C2BDB"/>
    <w:rsid w:val="008C2BED"/>
    <w:rsid w:val="008C2C2B"/>
    <w:rsid w:val="008C2C37"/>
    <w:rsid w:val="008C2C45"/>
    <w:rsid w:val="008C2CD8"/>
    <w:rsid w:val="008C2CE3"/>
    <w:rsid w:val="008C2CF0"/>
    <w:rsid w:val="008C2CFC"/>
    <w:rsid w:val="008C2D51"/>
    <w:rsid w:val="008C2E01"/>
    <w:rsid w:val="008C2E2B"/>
    <w:rsid w:val="008C2EA6"/>
    <w:rsid w:val="008C2F64"/>
    <w:rsid w:val="008C2F8D"/>
    <w:rsid w:val="008C2F9A"/>
    <w:rsid w:val="008C2FB7"/>
    <w:rsid w:val="008C2FE1"/>
    <w:rsid w:val="008C3099"/>
    <w:rsid w:val="008C3136"/>
    <w:rsid w:val="008C3169"/>
    <w:rsid w:val="008C3174"/>
    <w:rsid w:val="008C31C4"/>
    <w:rsid w:val="008C31CA"/>
    <w:rsid w:val="008C31E6"/>
    <w:rsid w:val="008C31EC"/>
    <w:rsid w:val="008C328D"/>
    <w:rsid w:val="008C333E"/>
    <w:rsid w:val="008C335B"/>
    <w:rsid w:val="008C3389"/>
    <w:rsid w:val="008C3399"/>
    <w:rsid w:val="008C33C3"/>
    <w:rsid w:val="008C341E"/>
    <w:rsid w:val="008C343C"/>
    <w:rsid w:val="008C34AB"/>
    <w:rsid w:val="008C3508"/>
    <w:rsid w:val="008C3560"/>
    <w:rsid w:val="008C359C"/>
    <w:rsid w:val="008C35A0"/>
    <w:rsid w:val="008C35A2"/>
    <w:rsid w:val="008C36EC"/>
    <w:rsid w:val="008C37D7"/>
    <w:rsid w:val="008C37FB"/>
    <w:rsid w:val="008C3871"/>
    <w:rsid w:val="008C388C"/>
    <w:rsid w:val="008C38D7"/>
    <w:rsid w:val="008C392D"/>
    <w:rsid w:val="008C398C"/>
    <w:rsid w:val="008C39A2"/>
    <w:rsid w:val="008C39D9"/>
    <w:rsid w:val="008C3A00"/>
    <w:rsid w:val="008C3A2A"/>
    <w:rsid w:val="008C3A45"/>
    <w:rsid w:val="008C3A7B"/>
    <w:rsid w:val="008C3B3F"/>
    <w:rsid w:val="008C3B95"/>
    <w:rsid w:val="008C3BD8"/>
    <w:rsid w:val="008C3BDD"/>
    <w:rsid w:val="008C3BE1"/>
    <w:rsid w:val="008C3D16"/>
    <w:rsid w:val="008C3DDB"/>
    <w:rsid w:val="008C3E22"/>
    <w:rsid w:val="008C3ECB"/>
    <w:rsid w:val="008C3EE0"/>
    <w:rsid w:val="008C3F5F"/>
    <w:rsid w:val="008C3FCC"/>
    <w:rsid w:val="008C3FFE"/>
    <w:rsid w:val="008C4035"/>
    <w:rsid w:val="008C40DB"/>
    <w:rsid w:val="008C40DC"/>
    <w:rsid w:val="008C4119"/>
    <w:rsid w:val="008C41C0"/>
    <w:rsid w:val="008C41CF"/>
    <w:rsid w:val="008C426A"/>
    <w:rsid w:val="008C42BA"/>
    <w:rsid w:val="008C4345"/>
    <w:rsid w:val="008C4347"/>
    <w:rsid w:val="008C4384"/>
    <w:rsid w:val="008C4464"/>
    <w:rsid w:val="008C44CC"/>
    <w:rsid w:val="008C44D8"/>
    <w:rsid w:val="008C462A"/>
    <w:rsid w:val="008C4719"/>
    <w:rsid w:val="008C471E"/>
    <w:rsid w:val="008C4746"/>
    <w:rsid w:val="008C47C7"/>
    <w:rsid w:val="008C4815"/>
    <w:rsid w:val="008C486E"/>
    <w:rsid w:val="008C4881"/>
    <w:rsid w:val="008C4889"/>
    <w:rsid w:val="008C4892"/>
    <w:rsid w:val="008C48E1"/>
    <w:rsid w:val="008C48F7"/>
    <w:rsid w:val="008C4911"/>
    <w:rsid w:val="008C494A"/>
    <w:rsid w:val="008C495C"/>
    <w:rsid w:val="008C4963"/>
    <w:rsid w:val="008C4965"/>
    <w:rsid w:val="008C499B"/>
    <w:rsid w:val="008C49FA"/>
    <w:rsid w:val="008C4A1E"/>
    <w:rsid w:val="008C4A69"/>
    <w:rsid w:val="008C4A93"/>
    <w:rsid w:val="008C4AAA"/>
    <w:rsid w:val="008C4AED"/>
    <w:rsid w:val="008C4AF5"/>
    <w:rsid w:val="008C4B44"/>
    <w:rsid w:val="008C4BB8"/>
    <w:rsid w:val="008C4BC2"/>
    <w:rsid w:val="008C4C2D"/>
    <w:rsid w:val="008C4CD7"/>
    <w:rsid w:val="008C4D1D"/>
    <w:rsid w:val="008C4D72"/>
    <w:rsid w:val="008C4DF8"/>
    <w:rsid w:val="008C4E2A"/>
    <w:rsid w:val="008C4E83"/>
    <w:rsid w:val="008C4EB4"/>
    <w:rsid w:val="008C4EC3"/>
    <w:rsid w:val="008C4ED3"/>
    <w:rsid w:val="008C4EEA"/>
    <w:rsid w:val="008C4F0E"/>
    <w:rsid w:val="008C4F43"/>
    <w:rsid w:val="008C4F7F"/>
    <w:rsid w:val="008C507D"/>
    <w:rsid w:val="008C5139"/>
    <w:rsid w:val="008C5151"/>
    <w:rsid w:val="008C5171"/>
    <w:rsid w:val="008C51D1"/>
    <w:rsid w:val="008C5299"/>
    <w:rsid w:val="008C5347"/>
    <w:rsid w:val="008C535D"/>
    <w:rsid w:val="008C542E"/>
    <w:rsid w:val="008C54A1"/>
    <w:rsid w:val="008C5594"/>
    <w:rsid w:val="008C5611"/>
    <w:rsid w:val="008C562C"/>
    <w:rsid w:val="008C5687"/>
    <w:rsid w:val="008C56EE"/>
    <w:rsid w:val="008C5743"/>
    <w:rsid w:val="008C578E"/>
    <w:rsid w:val="008C589E"/>
    <w:rsid w:val="008C589F"/>
    <w:rsid w:val="008C596C"/>
    <w:rsid w:val="008C59B4"/>
    <w:rsid w:val="008C59CE"/>
    <w:rsid w:val="008C59D3"/>
    <w:rsid w:val="008C5A72"/>
    <w:rsid w:val="008C5AB5"/>
    <w:rsid w:val="008C5AEC"/>
    <w:rsid w:val="008C5B3A"/>
    <w:rsid w:val="008C5BA1"/>
    <w:rsid w:val="008C5C1B"/>
    <w:rsid w:val="008C5C46"/>
    <w:rsid w:val="008C5CB8"/>
    <w:rsid w:val="008C5CE4"/>
    <w:rsid w:val="008C5D04"/>
    <w:rsid w:val="008C5D3D"/>
    <w:rsid w:val="008C5D64"/>
    <w:rsid w:val="008C5DAE"/>
    <w:rsid w:val="008C5E42"/>
    <w:rsid w:val="008C5E60"/>
    <w:rsid w:val="008C5E77"/>
    <w:rsid w:val="008C5E8D"/>
    <w:rsid w:val="008C5EFA"/>
    <w:rsid w:val="008C5F5D"/>
    <w:rsid w:val="008C5FC2"/>
    <w:rsid w:val="008C613D"/>
    <w:rsid w:val="008C6188"/>
    <w:rsid w:val="008C622A"/>
    <w:rsid w:val="008C622E"/>
    <w:rsid w:val="008C62FC"/>
    <w:rsid w:val="008C638F"/>
    <w:rsid w:val="008C6416"/>
    <w:rsid w:val="008C642A"/>
    <w:rsid w:val="008C6492"/>
    <w:rsid w:val="008C6517"/>
    <w:rsid w:val="008C655B"/>
    <w:rsid w:val="008C659B"/>
    <w:rsid w:val="008C65CC"/>
    <w:rsid w:val="008C65F8"/>
    <w:rsid w:val="008C6620"/>
    <w:rsid w:val="008C6625"/>
    <w:rsid w:val="008C662D"/>
    <w:rsid w:val="008C666A"/>
    <w:rsid w:val="008C6773"/>
    <w:rsid w:val="008C6783"/>
    <w:rsid w:val="008C679F"/>
    <w:rsid w:val="008C67C7"/>
    <w:rsid w:val="008C6818"/>
    <w:rsid w:val="008C6834"/>
    <w:rsid w:val="008C6842"/>
    <w:rsid w:val="008C684B"/>
    <w:rsid w:val="008C6872"/>
    <w:rsid w:val="008C6887"/>
    <w:rsid w:val="008C68C6"/>
    <w:rsid w:val="008C691C"/>
    <w:rsid w:val="008C6928"/>
    <w:rsid w:val="008C6929"/>
    <w:rsid w:val="008C6968"/>
    <w:rsid w:val="008C69C6"/>
    <w:rsid w:val="008C69FB"/>
    <w:rsid w:val="008C6A69"/>
    <w:rsid w:val="008C6A97"/>
    <w:rsid w:val="008C6AF5"/>
    <w:rsid w:val="008C6B25"/>
    <w:rsid w:val="008C6BAC"/>
    <w:rsid w:val="008C6BFE"/>
    <w:rsid w:val="008C6C23"/>
    <w:rsid w:val="008C6CDF"/>
    <w:rsid w:val="008C6D01"/>
    <w:rsid w:val="008C6D17"/>
    <w:rsid w:val="008C6D23"/>
    <w:rsid w:val="008C6D24"/>
    <w:rsid w:val="008C6D54"/>
    <w:rsid w:val="008C6D64"/>
    <w:rsid w:val="008C6D67"/>
    <w:rsid w:val="008C6E92"/>
    <w:rsid w:val="008C6EB6"/>
    <w:rsid w:val="008C6F48"/>
    <w:rsid w:val="008C6F6E"/>
    <w:rsid w:val="008C6FA0"/>
    <w:rsid w:val="008C6FEF"/>
    <w:rsid w:val="008C7093"/>
    <w:rsid w:val="008C70C0"/>
    <w:rsid w:val="008C70C1"/>
    <w:rsid w:val="008C70EB"/>
    <w:rsid w:val="008C713C"/>
    <w:rsid w:val="008C7141"/>
    <w:rsid w:val="008C7148"/>
    <w:rsid w:val="008C7159"/>
    <w:rsid w:val="008C7181"/>
    <w:rsid w:val="008C7266"/>
    <w:rsid w:val="008C72DD"/>
    <w:rsid w:val="008C7306"/>
    <w:rsid w:val="008C7310"/>
    <w:rsid w:val="008C7325"/>
    <w:rsid w:val="008C73DB"/>
    <w:rsid w:val="008C73F8"/>
    <w:rsid w:val="008C73FA"/>
    <w:rsid w:val="008C7470"/>
    <w:rsid w:val="008C74DC"/>
    <w:rsid w:val="008C756F"/>
    <w:rsid w:val="008C7615"/>
    <w:rsid w:val="008C761B"/>
    <w:rsid w:val="008C7660"/>
    <w:rsid w:val="008C7796"/>
    <w:rsid w:val="008C77A5"/>
    <w:rsid w:val="008C77B7"/>
    <w:rsid w:val="008C77BF"/>
    <w:rsid w:val="008C77F0"/>
    <w:rsid w:val="008C77F3"/>
    <w:rsid w:val="008C7826"/>
    <w:rsid w:val="008C787E"/>
    <w:rsid w:val="008C792A"/>
    <w:rsid w:val="008C7953"/>
    <w:rsid w:val="008C7961"/>
    <w:rsid w:val="008C7986"/>
    <w:rsid w:val="008C79A2"/>
    <w:rsid w:val="008C79AF"/>
    <w:rsid w:val="008C79BA"/>
    <w:rsid w:val="008C79C9"/>
    <w:rsid w:val="008C7A66"/>
    <w:rsid w:val="008C7A7A"/>
    <w:rsid w:val="008C7AAB"/>
    <w:rsid w:val="008C7AE1"/>
    <w:rsid w:val="008C7AEB"/>
    <w:rsid w:val="008C7B1D"/>
    <w:rsid w:val="008C7B2B"/>
    <w:rsid w:val="008C7BEC"/>
    <w:rsid w:val="008C7BF6"/>
    <w:rsid w:val="008C7C0B"/>
    <w:rsid w:val="008C7C27"/>
    <w:rsid w:val="008C7C71"/>
    <w:rsid w:val="008C7C8A"/>
    <w:rsid w:val="008C7CD5"/>
    <w:rsid w:val="008C7D1F"/>
    <w:rsid w:val="008C7D3D"/>
    <w:rsid w:val="008C7D51"/>
    <w:rsid w:val="008C7D8A"/>
    <w:rsid w:val="008C7E09"/>
    <w:rsid w:val="008C7E47"/>
    <w:rsid w:val="008C7E85"/>
    <w:rsid w:val="008C7ED6"/>
    <w:rsid w:val="008C7EF6"/>
    <w:rsid w:val="008C7F02"/>
    <w:rsid w:val="008C7FE3"/>
    <w:rsid w:val="008D001F"/>
    <w:rsid w:val="008D003C"/>
    <w:rsid w:val="008D0042"/>
    <w:rsid w:val="008D00E1"/>
    <w:rsid w:val="008D014E"/>
    <w:rsid w:val="008D0189"/>
    <w:rsid w:val="008D0220"/>
    <w:rsid w:val="008D028E"/>
    <w:rsid w:val="008D031B"/>
    <w:rsid w:val="008D0345"/>
    <w:rsid w:val="008D0389"/>
    <w:rsid w:val="008D03CD"/>
    <w:rsid w:val="008D03F1"/>
    <w:rsid w:val="008D0419"/>
    <w:rsid w:val="008D0454"/>
    <w:rsid w:val="008D04C2"/>
    <w:rsid w:val="008D04CD"/>
    <w:rsid w:val="008D0545"/>
    <w:rsid w:val="008D0554"/>
    <w:rsid w:val="008D05D1"/>
    <w:rsid w:val="008D05E5"/>
    <w:rsid w:val="008D05F7"/>
    <w:rsid w:val="008D076C"/>
    <w:rsid w:val="008D078F"/>
    <w:rsid w:val="008D0802"/>
    <w:rsid w:val="008D081D"/>
    <w:rsid w:val="008D084B"/>
    <w:rsid w:val="008D0891"/>
    <w:rsid w:val="008D08FC"/>
    <w:rsid w:val="008D08FE"/>
    <w:rsid w:val="008D091B"/>
    <w:rsid w:val="008D0AFE"/>
    <w:rsid w:val="008D0B80"/>
    <w:rsid w:val="008D0B85"/>
    <w:rsid w:val="008D0B92"/>
    <w:rsid w:val="008D0BC5"/>
    <w:rsid w:val="008D0C00"/>
    <w:rsid w:val="008D0C4C"/>
    <w:rsid w:val="008D0C7B"/>
    <w:rsid w:val="008D0C8C"/>
    <w:rsid w:val="008D0C96"/>
    <w:rsid w:val="008D0CA0"/>
    <w:rsid w:val="008D0CDB"/>
    <w:rsid w:val="008D0D3E"/>
    <w:rsid w:val="008D0D73"/>
    <w:rsid w:val="008D0D79"/>
    <w:rsid w:val="008D0F41"/>
    <w:rsid w:val="008D0F4B"/>
    <w:rsid w:val="008D0F9B"/>
    <w:rsid w:val="008D0FD5"/>
    <w:rsid w:val="008D1076"/>
    <w:rsid w:val="008D107C"/>
    <w:rsid w:val="008D1137"/>
    <w:rsid w:val="008D1170"/>
    <w:rsid w:val="008D118D"/>
    <w:rsid w:val="008D11B3"/>
    <w:rsid w:val="008D11DC"/>
    <w:rsid w:val="008D11EF"/>
    <w:rsid w:val="008D1248"/>
    <w:rsid w:val="008D1285"/>
    <w:rsid w:val="008D12D5"/>
    <w:rsid w:val="008D1321"/>
    <w:rsid w:val="008D13EE"/>
    <w:rsid w:val="008D143F"/>
    <w:rsid w:val="008D14EB"/>
    <w:rsid w:val="008D15B5"/>
    <w:rsid w:val="008D15B8"/>
    <w:rsid w:val="008D165F"/>
    <w:rsid w:val="008D1678"/>
    <w:rsid w:val="008D16E2"/>
    <w:rsid w:val="008D16E5"/>
    <w:rsid w:val="008D1755"/>
    <w:rsid w:val="008D175F"/>
    <w:rsid w:val="008D17A5"/>
    <w:rsid w:val="008D17DE"/>
    <w:rsid w:val="008D1854"/>
    <w:rsid w:val="008D1869"/>
    <w:rsid w:val="008D1883"/>
    <w:rsid w:val="008D18A6"/>
    <w:rsid w:val="008D18AE"/>
    <w:rsid w:val="008D1919"/>
    <w:rsid w:val="008D19AE"/>
    <w:rsid w:val="008D1A4B"/>
    <w:rsid w:val="008D1B03"/>
    <w:rsid w:val="008D1B4B"/>
    <w:rsid w:val="008D1B5E"/>
    <w:rsid w:val="008D1B74"/>
    <w:rsid w:val="008D1B88"/>
    <w:rsid w:val="008D1BC3"/>
    <w:rsid w:val="008D1C87"/>
    <w:rsid w:val="008D1DAB"/>
    <w:rsid w:val="008D1DD7"/>
    <w:rsid w:val="008D1E46"/>
    <w:rsid w:val="008D1E9D"/>
    <w:rsid w:val="008D1EAD"/>
    <w:rsid w:val="008D1EBB"/>
    <w:rsid w:val="008D1FC9"/>
    <w:rsid w:val="008D2007"/>
    <w:rsid w:val="008D2018"/>
    <w:rsid w:val="008D2038"/>
    <w:rsid w:val="008D2110"/>
    <w:rsid w:val="008D2132"/>
    <w:rsid w:val="008D21CB"/>
    <w:rsid w:val="008D21D4"/>
    <w:rsid w:val="008D21D9"/>
    <w:rsid w:val="008D221E"/>
    <w:rsid w:val="008D226F"/>
    <w:rsid w:val="008D2292"/>
    <w:rsid w:val="008D230A"/>
    <w:rsid w:val="008D231C"/>
    <w:rsid w:val="008D2336"/>
    <w:rsid w:val="008D233D"/>
    <w:rsid w:val="008D2348"/>
    <w:rsid w:val="008D235D"/>
    <w:rsid w:val="008D23D6"/>
    <w:rsid w:val="008D2453"/>
    <w:rsid w:val="008D2456"/>
    <w:rsid w:val="008D2463"/>
    <w:rsid w:val="008D253B"/>
    <w:rsid w:val="008D2542"/>
    <w:rsid w:val="008D2558"/>
    <w:rsid w:val="008D26AD"/>
    <w:rsid w:val="008D2759"/>
    <w:rsid w:val="008D2774"/>
    <w:rsid w:val="008D2787"/>
    <w:rsid w:val="008D2806"/>
    <w:rsid w:val="008D2812"/>
    <w:rsid w:val="008D28BA"/>
    <w:rsid w:val="008D28E8"/>
    <w:rsid w:val="008D28EF"/>
    <w:rsid w:val="008D2919"/>
    <w:rsid w:val="008D2941"/>
    <w:rsid w:val="008D2955"/>
    <w:rsid w:val="008D29AB"/>
    <w:rsid w:val="008D29E7"/>
    <w:rsid w:val="008D2A16"/>
    <w:rsid w:val="008D2A55"/>
    <w:rsid w:val="008D2A97"/>
    <w:rsid w:val="008D2AA0"/>
    <w:rsid w:val="008D2AD3"/>
    <w:rsid w:val="008D2AEB"/>
    <w:rsid w:val="008D2B5C"/>
    <w:rsid w:val="008D2BA9"/>
    <w:rsid w:val="008D2BAE"/>
    <w:rsid w:val="008D2BCC"/>
    <w:rsid w:val="008D2BD3"/>
    <w:rsid w:val="008D2C40"/>
    <w:rsid w:val="008D2CDA"/>
    <w:rsid w:val="008D2D36"/>
    <w:rsid w:val="008D2D79"/>
    <w:rsid w:val="008D2DB7"/>
    <w:rsid w:val="008D2DDF"/>
    <w:rsid w:val="008D2E07"/>
    <w:rsid w:val="008D2E0E"/>
    <w:rsid w:val="008D2E5F"/>
    <w:rsid w:val="008D2E84"/>
    <w:rsid w:val="008D2EB4"/>
    <w:rsid w:val="008D2EFB"/>
    <w:rsid w:val="008D2F3E"/>
    <w:rsid w:val="008D2FA2"/>
    <w:rsid w:val="008D2FCC"/>
    <w:rsid w:val="008D2FD1"/>
    <w:rsid w:val="008D3088"/>
    <w:rsid w:val="008D3091"/>
    <w:rsid w:val="008D30F1"/>
    <w:rsid w:val="008D30FF"/>
    <w:rsid w:val="008D31C2"/>
    <w:rsid w:val="008D325E"/>
    <w:rsid w:val="008D32FB"/>
    <w:rsid w:val="008D3329"/>
    <w:rsid w:val="008D332C"/>
    <w:rsid w:val="008D3350"/>
    <w:rsid w:val="008D343C"/>
    <w:rsid w:val="008D3449"/>
    <w:rsid w:val="008D348A"/>
    <w:rsid w:val="008D34B9"/>
    <w:rsid w:val="008D34C8"/>
    <w:rsid w:val="008D34D3"/>
    <w:rsid w:val="008D3570"/>
    <w:rsid w:val="008D358E"/>
    <w:rsid w:val="008D35BB"/>
    <w:rsid w:val="008D3638"/>
    <w:rsid w:val="008D36BC"/>
    <w:rsid w:val="008D370A"/>
    <w:rsid w:val="008D3725"/>
    <w:rsid w:val="008D3747"/>
    <w:rsid w:val="008D3782"/>
    <w:rsid w:val="008D37A0"/>
    <w:rsid w:val="008D3829"/>
    <w:rsid w:val="008D383B"/>
    <w:rsid w:val="008D3846"/>
    <w:rsid w:val="008D38C7"/>
    <w:rsid w:val="008D38E5"/>
    <w:rsid w:val="008D3913"/>
    <w:rsid w:val="008D393B"/>
    <w:rsid w:val="008D39D9"/>
    <w:rsid w:val="008D39E4"/>
    <w:rsid w:val="008D39E8"/>
    <w:rsid w:val="008D3A28"/>
    <w:rsid w:val="008D3A5F"/>
    <w:rsid w:val="008D3BDC"/>
    <w:rsid w:val="008D3C59"/>
    <w:rsid w:val="008D3D8C"/>
    <w:rsid w:val="008D3D94"/>
    <w:rsid w:val="008D3D9A"/>
    <w:rsid w:val="008D3DDC"/>
    <w:rsid w:val="008D3EF0"/>
    <w:rsid w:val="008D3EF2"/>
    <w:rsid w:val="008D4010"/>
    <w:rsid w:val="008D409D"/>
    <w:rsid w:val="008D40F2"/>
    <w:rsid w:val="008D4163"/>
    <w:rsid w:val="008D417D"/>
    <w:rsid w:val="008D41C5"/>
    <w:rsid w:val="008D41DD"/>
    <w:rsid w:val="008D4200"/>
    <w:rsid w:val="008D420A"/>
    <w:rsid w:val="008D4216"/>
    <w:rsid w:val="008D4221"/>
    <w:rsid w:val="008D4240"/>
    <w:rsid w:val="008D4246"/>
    <w:rsid w:val="008D4273"/>
    <w:rsid w:val="008D4286"/>
    <w:rsid w:val="008D429B"/>
    <w:rsid w:val="008D42BF"/>
    <w:rsid w:val="008D42DE"/>
    <w:rsid w:val="008D4482"/>
    <w:rsid w:val="008D4490"/>
    <w:rsid w:val="008D44A8"/>
    <w:rsid w:val="008D44D3"/>
    <w:rsid w:val="008D44DD"/>
    <w:rsid w:val="008D4569"/>
    <w:rsid w:val="008D457B"/>
    <w:rsid w:val="008D4696"/>
    <w:rsid w:val="008D46C7"/>
    <w:rsid w:val="008D473B"/>
    <w:rsid w:val="008D47C0"/>
    <w:rsid w:val="008D47E9"/>
    <w:rsid w:val="008D47EB"/>
    <w:rsid w:val="008D480D"/>
    <w:rsid w:val="008D4816"/>
    <w:rsid w:val="008D4829"/>
    <w:rsid w:val="008D4876"/>
    <w:rsid w:val="008D4877"/>
    <w:rsid w:val="008D489E"/>
    <w:rsid w:val="008D48B9"/>
    <w:rsid w:val="008D490E"/>
    <w:rsid w:val="008D4913"/>
    <w:rsid w:val="008D493C"/>
    <w:rsid w:val="008D4976"/>
    <w:rsid w:val="008D49A2"/>
    <w:rsid w:val="008D49AE"/>
    <w:rsid w:val="008D49CB"/>
    <w:rsid w:val="008D49EF"/>
    <w:rsid w:val="008D4A9B"/>
    <w:rsid w:val="008D4AE2"/>
    <w:rsid w:val="008D4BA9"/>
    <w:rsid w:val="008D4C1E"/>
    <w:rsid w:val="008D4C3E"/>
    <w:rsid w:val="008D4C5C"/>
    <w:rsid w:val="008D4CE9"/>
    <w:rsid w:val="008D4D01"/>
    <w:rsid w:val="008D4D23"/>
    <w:rsid w:val="008D4D62"/>
    <w:rsid w:val="008D4EE0"/>
    <w:rsid w:val="008D4EF1"/>
    <w:rsid w:val="008D4F33"/>
    <w:rsid w:val="008D4F53"/>
    <w:rsid w:val="008D4F55"/>
    <w:rsid w:val="008D5028"/>
    <w:rsid w:val="008D5048"/>
    <w:rsid w:val="008D5054"/>
    <w:rsid w:val="008D50B2"/>
    <w:rsid w:val="008D50E7"/>
    <w:rsid w:val="008D50F1"/>
    <w:rsid w:val="008D5118"/>
    <w:rsid w:val="008D5135"/>
    <w:rsid w:val="008D5177"/>
    <w:rsid w:val="008D51B3"/>
    <w:rsid w:val="008D51B6"/>
    <w:rsid w:val="008D51E2"/>
    <w:rsid w:val="008D520E"/>
    <w:rsid w:val="008D5224"/>
    <w:rsid w:val="008D5374"/>
    <w:rsid w:val="008D5385"/>
    <w:rsid w:val="008D559F"/>
    <w:rsid w:val="008D55DA"/>
    <w:rsid w:val="008D5603"/>
    <w:rsid w:val="008D565D"/>
    <w:rsid w:val="008D5661"/>
    <w:rsid w:val="008D56DD"/>
    <w:rsid w:val="008D56F7"/>
    <w:rsid w:val="008D570D"/>
    <w:rsid w:val="008D5732"/>
    <w:rsid w:val="008D5793"/>
    <w:rsid w:val="008D5799"/>
    <w:rsid w:val="008D57BF"/>
    <w:rsid w:val="008D57F8"/>
    <w:rsid w:val="008D57FF"/>
    <w:rsid w:val="008D582B"/>
    <w:rsid w:val="008D5858"/>
    <w:rsid w:val="008D5885"/>
    <w:rsid w:val="008D58C6"/>
    <w:rsid w:val="008D59C9"/>
    <w:rsid w:val="008D5A08"/>
    <w:rsid w:val="008D5A15"/>
    <w:rsid w:val="008D5A27"/>
    <w:rsid w:val="008D5A81"/>
    <w:rsid w:val="008D5AD4"/>
    <w:rsid w:val="008D5AE8"/>
    <w:rsid w:val="008D5AF0"/>
    <w:rsid w:val="008D5B61"/>
    <w:rsid w:val="008D5B6C"/>
    <w:rsid w:val="008D5B7D"/>
    <w:rsid w:val="008D5C35"/>
    <w:rsid w:val="008D5C7E"/>
    <w:rsid w:val="008D5CAA"/>
    <w:rsid w:val="008D5CE6"/>
    <w:rsid w:val="008D5D01"/>
    <w:rsid w:val="008D5D07"/>
    <w:rsid w:val="008D5D68"/>
    <w:rsid w:val="008D5E7C"/>
    <w:rsid w:val="008D5EA3"/>
    <w:rsid w:val="008D5F23"/>
    <w:rsid w:val="008D5F3D"/>
    <w:rsid w:val="008D6066"/>
    <w:rsid w:val="008D612E"/>
    <w:rsid w:val="008D617C"/>
    <w:rsid w:val="008D61BB"/>
    <w:rsid w:val="008D61F1"/>
    <w:rsid w:val="008D6229"/>
    <w:rsid w:val="008D6270"/>
    <w:rsid w:val="008D629E"/>
    <w:rsid w:val="008D62A0"/>
    <w:rsid w:val="008D62B4"/>
    <w:rsid w:val="008D636C"/>
    <w:rsid w:val="008D636D"/>
    <w:rsid w:val="008D63E5"/>
    <w:rsid w:val="008D63ED"/>
    <w:rsid w:val="008D6406"/>
    <w:rsid w:val="008D640E"/>
    <w:rsid w:val="008D6420"/>
    <w:rsid w:val="008D64C0"/>
    <w:rsid w:val="008D64D3"/>
    <w:rsid w:val="008D64F1"/>
    <w:rsid w:val="008D64FF"/>
    <w:rsid w:val="008D651A"/>
    <w:rsid w:val="008D653A"/>
    <w:rsid w:val="008D653F"/>
    <w:rsid w:val="008D659A"/>
    <w:rsid w:val="008D663B"/>
    <w:rsid w:val="008D66C0"/>
    <w:rsid w:val="008D66DF"/>
    <w:rsid w:val="008D6716"/>
    <w:rsid w:val="008D6726"/>
    <w:rsid w:val="008D6757"/>
    <w:rsid w:val="008D675C"/>
    <w:rsid w:val="008D67B4"/>
    <w:rsid w:val="008D67B8"/>
    <w:rsid w:val="008D680C"/>
    <w:rsid w:val="008D689B"/>
    <w:rsid w:val="008D692C"/>
    <w:rsid w:val="008D699F"/>
    <w:rsid w:val="008D69B3"/>
    <w:rsid w:val="008D69C8"/>
    <w:rsid w:val="008D69F9"/>
    <w:rsid w:val="008D6A67"/>
    <w:rsid w:val="008D6AE7"/>
    <w:rsid w:val="008D6B03"/>
    <w:rsid w:val="008D6B0F"/>
    <w:rsid w:val="008D6C27"/>
    <w:rsid w:val="008D6C5A"/>
    <w:rsid w:val="008D6D98"/>
    <w:rsid w:val="008D6DD6"/>
    <w:rsid w:val="008D6DF7"/>
    <w:rsid w:val="008D6E9C"/>
    <w:rsid w:val="008D6EED"/>
    <w:rsid w:val="008D6F00"/>
    <w:rsid w:val="008D6F21"/>
    <w:rsid w:val="008D6F28"/>
    <w:rsid w:val="008D6F64"/>
    <w:rsid w:val="008D70A3"/>
    <w:rsid w:val="008D70B1"/>
    <w:rsid w:val="008D70DA"/>
    <w:rsid w:val="008D723C"/>
    <w:rsid w:val="008D724C"/>
    <w:rsid w:val="008D732D"/>
    <w:rsid w:val="008D73A2"/>
    <w:rsid w:val="008D740A"/>
    <w:rsid w:val="008D7420"/>
    <w:rsid w:val="008D743D"/>
    <w:rsid w:val="008D7443"/>
    <w:rsid w:val="008D7446"/>
    <w:rsid w:val="008D7461"/>
    <w:rsid w:val="008D746E"/>
    <w:rsid w:val="008D74E2"/>
    <w:rsid w:val="008D7547"/>
    <w:rsid w:val="008D7602"/>
    <w:rsid w:val="008D7625"/>
    <w:rsid w:val="008D763E"/>
    <w:rsid w:val="008D765F"/>
    <w:rsid w:val="008D7663"/>
    <w:rsid w:val="008D771B"/>
    <w:rsid w:val="008D782E"/>
    <w:rsid w:val="008D7851"/>
    <w:rsid w:val="008D7883"/>
    <w:rsid w:val="008D7885"/>
    <w:rsid w:val="008D78FB"/>
    <w:rsid w:val="008D7941"/>
    <w:rsid w:val="008D798D"/>
    <w:rsid w:val="008D7A69"/>
    <w:rsid w:val="008D7AB0"/>
    <w:rsid w:val="008D7B75"/>
    <w:rsid w:val="008D7BBD"/>
    <w:rsid w:val="008D7BE5"/>
    <w:rsid w:val="008D7BF8"/>
    <w:rsid w:val="008D7C48"/>
    <w:rsid w:val="008D7CDF"/>
    <w:rsid w:val="008D7CFD"/>
    <w:rsid w:val="008D7D08"/>
    <w:rsid w:val="008D7D21"/>
    <w:rsid w:val="008D7D3A"/>
    <w:rsid w:val="008D7D62"/>
    <w:rsid w:val="008D7DAE"/>
    <w:rsid w:val="008D7DC7"/>
    <w:rsid w:val="008D7E04"/>
    <w:rsid w:val="008D7EC1"/>
    <w:rsid w:val="008D7ED9"/>
    <w:rsid w:val="008D7F30"/>
    <w:rsid w:val="008D7F94"/>
    <w:rsid w:val="008D7FD9"/>
    <w:rsid w:val="008D7FEF"/>
    <w:rsid w:val="008E001C"/>
    <w:rsid w:val="008E00AB"/>
    <w:rsid w:val="008E00B8"/>
    <w:rsid w:val="008E00EF"/>
    <w:rsid w:val="008E0100"/>
    <w:rsid w:val="008E0106"/>
    <w:rsid w:val="008E0152"/>
    <w:rsid w:val="008E0160"/>
    <w:rsid w:val="008E019A"/>
    <w:rsid w:val="008E01C8"/>
    <w:rsid w:val="008E01E2"/>
    <w:rsid w:val="008E02C8"/>
    <w:rsid w:val="008E033A"/>
    <w:rsid w:val="008E0341"/>
    <w:rsid w:val="008E0344"/>
    <w:rsid w:val="008E040D"/>
    <w:rsid w:val="008E041F"/>
    <w:rsid w:val="008E043B"/>
    <w:rsid w:val="008E043F"/>
    <w:rsid w:val="008E0444"/>
    <w:rsid w:val="008E049F"/>
    <w:rsid w:val="008E04A1"/>
    <w:rsid w:val="008E0555"/>
    <w:rsid w:val="008E055E"/>
    <w:rsid w:val="008E0579"/>
    <w:rsid w:val="008E060C"/>
    <w:rsid w:val="008E06A6"/>
    <w:rsid w:val="008E072E"/>
    <w:rsid w:val="008E075A"/>
    <w:rsid w:val="008E0852"/>
    <w:rsid w:val="008E08A9"/>
    <w:rsid w:val="008E0920"/>
    <w:rsid w:val="008E098D"/>
    <w:rsid w:val="008E0AB0"/>
    <w:rsid w:val="008E0AB2"/>
    <w:rsid w:val="008E0B58"/>
    <w:rsid w:val="008E0BD8"/>
    <w:rsid w:val="008E0C1B"/>
    <w:rsid w:val="008E0C50"/>
    <w:rsid w:val="008E0C79"/>
    <w:rsid w:val="008E0CB1"/>
    <w:rsid w:val="008E0CDE"/>
    <w:rsid w:val="008E0CF9"/>
    <w:rsid w:val="008E0D1E"/>
    <w:rsid w:val="008E0D51"/>
    <w:rsid w:val="008E0D78"/>
    <w:rsid w:val="008E0DE8"/>
    <w:rsid w:val="008E0E53"/>
    <w:rsid w:val="008E0E70"/>
    <w:rsid w:val="008E0EC1"/>
    <w:rsid w:val="008E0F00"/>
    <w:rsid w:val="008E0FD3"/>
    <w:rsid w:val="008E0FEA"/>
    <w:rsid w:val="008E1002"/>
    <w:rsid w:val="008E100B"/>
    <w:rsid w:val="008E1011"/>
    <w:rsid w:val="008E10FF"/>
    <w:rsid w:val="008E1156"/>
    <w:rsid w:val="008E1237"/>
    <w:rsid w:val="008E1250"/>
    <w:rsid w:val="008E128E"/>
    <w:rsid w:val="008E12D8"/>
    <w:rsid w:val="008E130B"/>
    <w:rsid w:val="008E133C"/>
    <w:rsid w:val="008E138A"/>
    <w:rsid w:val="008E138E"/>
    <w:rsid w:val="008E13BD"/>
    <w:rsid w:val="008E1431"/>
    <w:rsid w:val="008E14AC"/>
    <w:rsid w:val="008E14CE"/>
    <w:rsid w:val="008E156F"/>
    <w:rsid w:val="008E1592"/>
    <w:rsid w:val="008E15E1"/>
    <w:rsid w:val="008E1643"/>
    <w:rsid w:val="008E1681"/>
    <w:rsid w:val="008E16CC"/>
    <w:rsid w:val="008E16CD"/>
    <w:rsid w:val="008E176D"/>
    <w:rsid w:val="008E1794"/>
    <w:rsid w:val="008E17B3"/>
    <w:rsid w:val="008E17C3"/>
    <w:rsid w:val="008E17FD"/>
    <w:rsid w:val="008E1859"/>
    <w:rsid w:val="008E18B9"/>
    <w:rsid w:val="008E193E"/>
    <w:rsid w:val="008E1960"/>
    <w:rsid w:val="008E196A"/>
    <w:rsid w:val="008E1972"/>
    <w:rsid w:val="008E199E"/>
    <w:rsid w:val="008E19B2"/>
    <w:rsid w:val="008E1A2F"/>
    <w:rsid w:val="008E1A47"/>
    <w:rsid w:val="008E1A84"/>
    <w:rsid w:val="008E1AEB"/>
    <w:rsid w:val="008E1B14"/>
    <w:rsid w:val="008E1B4E"/>
    <w:rsid w:val="008E1B7D"/>
    <w:rsid w:val="008E1B8D"/>
    <w:rsid w:val="008E1BF9"/>
    <w:rsid w:val="008E1C4E"/>
    <w:rsid w:val="008E1C5B"/>
    <w:rsid w:val="008E1CB6"/>
    <w:rsid w:val="008E1CBC"/>
    <w:rsid w:val="008E1CC0"/>
    <w:rsid w:val="008E1CD7"/>
    <w:rsid w:val="008E1D09"/>
    <w:rsid w:val="008E1D84"/>
    <w:rsid w:val="008E1DD7"/>
    <w:rsid w:val="008E1DDD"/>
    <w:rsid w:val="008E1E1F"/>
    <w:rsid w:val="008E1E63"/>
    <w:rsid w:val="008E1ED6"/>
    <w:rsid w:val="008E1FF1"/>
    <w:rsid w:val="008E20DA"/>
    <w:rsid w:val="008E2180"/>
    <w:rsid w:val="008E238D"/>
    <w:rsid w:val="008E23D2"/>
    <w:rsid w:val="008E246D"/>
    <w:rsid w:val="008E24D5"/>
    <w:rsid w:val="008E2508"/>
    <w:rsid w:val="008E255D"/>
    <w:rsid w:val="008E2580"/>
    <w:rsid w:val="008E25BD"/>
    <w:rsid w:val="008E25CB"/>
    <w:rsid w:val="008E2694"/>
    <w:rsid w:val="008E26A8"/>
    <w:rsid w:val="008E26CD"/>
    <w:rsid w:val="008E26D3"/>
    <w:rsid w:val="008E26FE"/>
    <w:rsid w:val="008E2794"/>
    <w:rsid w:val="008E2800"/>
    <w:rsid w:val="008E2818"/>
    <w:rsid w:val="008E2831"/>
    <w:rsid w:val="008E283E"/>
    <w:rsid w:val="008E28CB"/>
    <w:rsid w:val="008E28CD"/>
    <w:rsid w:val="008E2918"/>
    <w:rsid w:val="008E2932"/>
    <w:rsid w:val="008E2A2A"/>
    <w:rsid w:val="008E2AB9"/>
    <w:rsid w:val="008E2AD4"/>
    <w:rsid w:val="008E2B63"/>
    <w:rsid w:val="008E2B66"/>
    <w:rsid w:val="008E2BDF"/>
    <w:rsid w:val="008E2BF5"/>
    <w:rsid w:val="008E2C31"/>
    <w:rsid w:val="008E2C37"/>
    <w:rsid w:val="008E2C54"/>
    <w:rsid w:val="008E2C75"/>
    <w:rsid w:val="008E2C93"/>
    <w:rsid w:val="008E2CA6"/>
    <w:rsid w:val="008E2CC5"/>
    <w:rsid w:val="008E2D4E"/>
    <w:rsid w:val="008E2D57"/>
    <w:rsid w:val="008E2D84"/>
    <w:rsid w:val="008E2DA3"/>
    <w:rsid w:val="008E2DB4"/>
    <w:rsid w:val="008E2DCE"/>
    <w:rsid w:val="008E2E21"/>
    <w:rsid w:val="008E2EE4"/>
    <w:rsid w:val="008E2EF0"/>
    <w:rsid w:val="008E2F07"/>
    <w:rsid w:val="008E2F94"/>
    <w:rsid w:val="008E3009"/>
    <w:rsid w:val="008E3096"/>
    <w:rsid w:val="008E30B5"/>
    <w:rsid w:val="008E31C0"/>
    <w:rsid w:val="008E3238"/>
    <w:rsid w:val="008E32EA"/>
    <w:rsid w:val="008E3346"/>
    <w:rsid w:val="008E3408"/>
    <w:rsid w:val="008E34A5"/>
    <w:rsid w:val="008E34CA"/>
    <w:rsid w:val="008E3583"/>
    <w:rsid w:val="008E35BD"/>
    <w:rsid w:val="008E36E3"/>
    <w:rsid w:val="008E378B"/>
    <w:rsid w:val="008E383D"/>
    <w:rsid w:val="008E388E"/>
    <w:rsid w:val="008E3911"/>
    <w:rsid w:val="008E3995"/>
    <w:rsid w:val="008E39AD"/>
    <w:rsid w:val="008E3A9B"/>
    <w:rsid w:val="008E3B85"/>
    <w:rsid w:val="008E3BF9"/>
    <w:rsid w:val="008E3C61"/>
    <w:rsid w:val="008E3CC4"/>
    <w:rsid w:val="008E3D4A"/>
    <w:rsid w:val="008E3D9A"/>
    <w:rsid w:val="008E3DF4"/>
    <w:rsid w:val="008E3E3E"/>
    <w:rsid w:val="008E3E97"/>
    <w:rsid w:val="008E3EA4"/>
    <w:rsid w:val="008E3EB3"/>
    <w:rsid w:val="008E3EBA"/>
    <w:rsid w:val="008E3EE2"/>
    <w:rsid w:val="008E3F49"/>
    <w:rsid w:val="008E3F68"/>
    <w:rsid w:val="008E3F69"/>
    <w:rsid w:val="008E3F97"/>
    <w:rsid w:val="008E3FA1"/>
    <w:rsid w:val="008E3FD9"/>
    <w:rsid w:val="008E40CD"/>
    <w:rsid w:val="008E40D3"/>
    <w:rsid w:val="008E40E1"/>
    <w:rsid w:val="008E4108"/>
    <w:rsid w:val="008E4158"/>
    <w:rsid w:val="008E4245"/>
    <w:rsid w:val="008E4246"/>
    <w:rsid w:val="008E42A0"/>
    <w:rsid w:val="008E4323"/>
    <w:rsid w:val="008E4332"/>
    <w:rsid w:val="008E43CA"/>
    <w:rsid w:val="008E4475"/>
    <w:rsid w:val="008E451E"/>
    <w:rsid w:val="008E4539"/>
    <w:rsid w:val="008E4592"/>
    <w:rsid w:val="008E45AC"/>
    <w:rsid w:val="008E467B"/>
    <w:rsid w:val="008E473C"/>
    <w:rsid w:val="008E47CA"/>
    <w:rsid w:val="008E47D0"/>
    <w:rsid w:val="008E47E1"/>
    <w:rsid w:val="008E4820"/>
    <w:rsid w:val="008E483B"/>
    <w:rsid w:val="008E484F"/>
    <w:rsid w:val="008E48C8"/>
    <w:rsid w:val="008E48D8"/>
    <w:rsid w:val="008E49E7"/>
    <w:rsid w:val="008E49FA"/>
    <w:rsid w:val="008E4A5E"/>
    <w:rsid w:val="008E4B00"/>
    <w:rsid w:val="008E4B32"/>
    <w:rsid w:val="008E4BCB"/>
    <w:rsid w:val="008E4C02"/>
    <w:rsid w:val="008E4C09"/>
    <w:rsid w:val="008E4C51"/>
    <w:rsid w:val="008E4C52"/>
    <w:rsid w:val="008E4CD0"/>
    <w:rsid w:val="008E4CFB"/>
    <w:rsid w:val="008E4D02"/>
    <w:rsid w:val="008E4D2F"/>
    <w:rsid w:val="008E4D58"/>
    <w:rsid w:val="008E4DE1"/>
    <w:rsid w:val="008E4EAF"/>
    <w:rsid w:val="008E4EBD"/>
    <w:rsid w:val="008E4ECF"/>
    <w:rsid w:val="008E4F9D"/>
    <w:rsid w:val="008E4FAF"/>
    <w:rsid w:val="008E501B"/>
    <w:rsid w:val="008E5034"/>
    <w:rsid w:val="008E5039"/>
    <w:rsid w:val="008E5048"/>
    <w:rsid w:val="008E5053"/>
    <w:rsid w:val="008E5060"/>
    <w:rsid w:val="008E5064"/>
    <w:rsid w:val="008E5079"/>
    <w:rsid w:val="008E516B"/>
    <w:rsid w:val="008E5231"/>
    <w:rsid w:val="008E5277"/>
    <w:rsid w:val="008E52E1"/>
    <w:rsid w:val="008E5433"/>
    <w:rsid w:val="008E5472"/>
    <w:rsid w:val="008E54A1"/>
    <w:rsid w:val="008E551C"/>
    <w:rsid w:val="008E5587"/>
    <w:rsid w:val="008E5620"/>
    <w:rsid w:val="008E5650"/>
    <w:rsid w:val="008E565F"/>
    <w:rsid w:val="008E566E"/>
    <w:rsid w:val="008E56AF"/>
    <w:rsid w:val="008E5796"/>
    <w:rsid w:val="008E5798"/>
    <w:rsid w:val="008E57C4"/>
    <w:rsid w:val="008E584A"/>
    <w:rsid w:val="008E591E"/>
    <w:rsid w:val="008E5973"/>
    <w:rsid w:val="008E59A7"/>
    <w:rsid w:val="008E5A08"/>
    <w:rsid w:val="008E5A09"/>
    <w:rsid w:val="008E5A18"/>
    <w:rsid w:val="008E5A5A"/>
    <w:rsid w:val="008E5A96"/>
    <w:rsid w:val="008E5A9C"/>
    <w:rsid w:val="008E5AA6"/>
    <w:rsid w:val="008E5AF5"/>
    <w:rsid w:val="008E5B00"/>
    <w:rsid w:val="008E5B38"/>
    <w:rsid w:val="008E5B41"/>
    <w:rsid w:val="008E5B6E"/>
    <w:rsid w:val="008E5BC9"/>
    <w:rsid w:val="008E5C10"/>
    <w:rsid w:val="008E5C13"/>
    <w:rsid w:val="008E5C58"/>
    <w:rsid w:val="008E5C61"/>
    <w:rsid w:val="008E5CB4"/>
    <w:rsid w:val="008E5D6D"/>
    <w:rsid w:val="008E5D78"/>
    <w:rsid w:val="008E5DBB"/>
    <w:rsid w:val="008E5F25"/>
    <w:rsid w:val="008E5F2F"/>
    <w:rsid w:val="008E5F71"/>
    <w:rsid w:val="008E5FAB"/>
    <w:rsid w:val="008E5FB0"/>
    <w:rsid w:val="008E6039"/>
    <w:rsid w:val="008E60A9"/>
    <w:rsid w:val="008E60B5"/>
    <w:rsid w:val="008E60BD"/>
    <w:rsid w:val="008E61DD"/>
    <w:rsid w:val="008E6227"/>
    <w:rsid w:val="008E62E9"/>
    <w:rsid w:val="008E631E"/>
    <w:rsid w:val="008E63F0"/>
    <w:rsid w:val="008E6465"/>
    <w:rsid w:val="008E648E"/>
    <w:rsid w:val="008E6491"/>
    <w:rsid w:val="008E64CB"/>
    <w:rsid w:val="008E64E5"/>
    <w:rsid w:val="008E6503"/>
    <w:rsid w:val="008E6561"/>
    <w:rsid w:val="008E656C"/>
    <w:rsid w:val="008E65DD"/>
    <w:rsid w:val="008E6629"/>
    <w:rsid w:val="008E666C"/>
    <w:rsid w:val="008E668F"/>
    <w:rsid w:val="008E66AA"/>
    <w:rsid w:val="008E66F0"/>
    <w:rsid w:val="008E66F2"/>
    <w:rsid w:val="008E671B"/>
    <w:rsid w:val="008E6773"/>
    <w:rsid w:val="008E684A"/>
    <w:rsid w:val="008E688E"/>
    <w:rsid w:val="008E688F"/>
    <w:rsid w:val="008E6898"/>
    <w:rsid w:val="008E68BC"/>
    <w:rsid w:val="008E6944"/>
    <w:rsid w:val="008E697D"/>
    <w:rsid w:val="008E6A47"/>
    <w:rsid w:val="008E6A6D"/>
    <w:rsid w:val="008E6B95"/>
    <w:rsid w:val="008E6C09"/>
    <w:rsid w:val="008E6C68"/>
    <w:rsid w:val="008E6D3D"/>
    <w:rsid w:val="008E6D4F"/>
    <w:rsid w:val="008E6D7D"/>
    <w:rsid w:val="008E6DA0"/>
    <w:rsid w:val="008E6E6B"/>
    <w:rsid w:val="008E6E9B"/>
    <w:rsid w:val="008E6F10"/>
    <w:rsid w:val="008E6F1C"/>
    <w:rsid w:val="008E6F4D"/>
    <w:rsid w:val="008E6FB2"/>
    <w:rsid w:val="008E7038"/>
    <w:rsid w:val="008E7060"/>
    <w:rsid w:val="008E706C"/>
    <w:rsid w:val="008E7110"/>
    <w:rsid w:val="008E7111"/>
    <w:rsid w:val="008E7152"/>
    <w:rsid w:val="008E7234"/>
    <w:rsid w:val="008E7271"/>
    <w:rsid w:val="008E727E"/>
    <w:rsid w:val="008E72C7"/>
    <w:rsid w:val="008E7319"/>
    <w:rsid w:val="008E7343"/>
    <w:rsid w:val="008E735B"/>
    <w:rsid w:val="008E742B"/>
    <w:rsid w:val="008E7441"/>
    <w:rsid w:val="008E7458"/>
    <w:rsid w:val="008E7461"/>
    <w:rsid w:val="008E746E"/>
    <w:rsid w:val="008E750A"/>
    <w:rsid w:val="008E7522"/>
    <w:rsid w:val="008E7529"/>
    <w:rsid w:val="008E7530"/>
    <w:rsid w:val="008E7547"/>
    <w:rsid w:val="008E7593"/>
    <w:rsid w:val="008E75FB"/>
    <w:rsid w:val="008E7634"/>
    <w:rsid w:val="008E7658"/>
    <w:rsid w:val="008E768D"/>
    <w:rsid w:val="008E76C3"/>
    <w:rsid w:val="008E76F4"/>
    <w:rsid w:val="008E771A"/>
    <w:rsid w:val="008E773A"/>
    <w:rsid w:val="008E77E1"/>
    <w:rsid w:val="008E7807"/>
    <w:rsid w:val="008E786E"/>
    <w:rsid w:val="008E7894"/>
    <w:rsid w:val="008E792B"/>
    <w:rsid w:val="008E7955"/>
    <w:rsid w:val="008E79D0"/>
    <w:rsid w:val="008E79F4"/>
    <w:rsid w:val="008E79FB"/>
    <w:rsid w:val="008E7AAA"/>
    <w:rsid w:val="008E7AD6"/>
    <w:rsid w:val="008E7B47"/>
    <w:rsid w:val="008E7B9F"/>
    <w:rsid w:val="008E7BC9"/>
    <w:rsid w:val="008E7BF9"/>
    <w:rsid w:val="008E7C05"/>
    <w:rsid w:val="008E7C21"/>
    <w:rsid w:val="008E7D70"/>
    <w:rsid w:val="008E7D95"/>
    <w:rsid w:val="008E7DDC"/>
    <w:rsid w:val="008E7E7B"/>
    <w:rsid w:val="008E7E9C"/>
    <w:rsid w:val="008E7ED8"/>
    <w:rsid w:val="008E7EDF"/>
    <w:rsid w:val="008E7EE3"/>
    <w:rsid w:val="008E7EF2"/>
    <w:rsid w:val="008E7F04"/>
    <w:rsid w:val="008E7F82"/>
    <w:rsid w:val="008E7FE5"/>
    <w:rsid w:val="008F0020"/>
    <w:rsid w:val="008F0105"/>
    <w:rsid w:val="008F01A3"/>
    <w:rsid w:val="008F01A9"/>
    <w:rsid w:val="008F0232"/>
    <w:rsid w:val="008F02DA"/>
    <w:rsid w:val="008F02EC"/>
    <w:rsid w:val="008F031F"/>
    <w:rsid w:val="008F0330"/>
    <w:rsid w:val="008F0355"/>
    <w:rsid w:val="008F0376"/>
    <w:rsid w:val="008F0391"/>
    <w:rsid w:val="008F040F"/>
    <w:rsid w:val="008F0423"/>
    <w:rsid w:val="008F04C6"/>
    <w:rsid w:val="008F0501"/>
    <w:rsid w:val="008F0599"/>
    <w:rsid w:val="008F05A0"/>
    <w:rsid w:val="008F05BB"/>
    <w:rsid w:val="008F05F4"/>
    <w:rsid w:val="008F0607"/>
    <w:rsid w:val="008F0651"/>
    <w:rsid w:val="008F0667"/>
    <w:rsid w:val="008F06B3"/>
    <w:rsid w:val="008F06B6"/>
    <w:rsid w:val="008F0702"/>
    <w:rsid w:val="008F070B"/>
    <w:rsid w:val="008F0710"/>
    <w:rsid w:val="008F0723"/>
    <w:rsid w:val="008F0769"/>
    <w:rsid w:val="008F078F"/>
    <w:rsid w:val="008F07D1"/>
    <w:rsid w:val="008F084E"/>
    <w:rsid w:val="008F0885"/>
    <w:rsid w:val="008F08CD"/>
    <w:rsid w:val="008F0935"/>
    <w:rsid w:val="008F0946"/>
    <w:rsid w:val="008F0985"/>
    <w:rsid w:val="008F0987"/>
    <w:rsid w:val="008F0A4A"/>
    <w:rsid w:val="008F0A53"/>
    <w:rsid w:val="008F0A83"/>
    <w:rsid w:val="008F0AA0"/>
    <w:rsid w:val="008F0AB0"/>
    <w:rsid w:val="008F0B7A"/>
    <w:rsid w:val="008F0BCE"/>
    <w:rsid w:val="008F0C26"/>
    <w:rsid w:val="008F0C43"/>
    <w:rsid w:val="008F0C90"/>
    <w:rsid w:val="008F0CF7"/>
    <w:rsid w:val="008F0D9F"/>
    <w:rsid w:val="008F0DFE"/>
    <w:rsid w:val="008F0ED8"/>
    <w:rsid w:val="008F0F54"/>
    <w:rsid w:val="008F0F91"/>
    <w:rsid w:val="008F0FAB"/>
    <w:rsid w:val="008F0FB0"/>
    <w:rsid w:val="008F0FE7"/>
    <w:rsid w:val="008F1067"/>
    <w:rsid w:val="008F109A"/>
    <w:rsid w:val="008F1104"/>
    <w:rsid w:val="008F110E"/>
    <w:rsid w:val="008F1158"/>
    <w:rsid w:val="008F1208"/>
    <w:rsid w:val="008F120E"/>
    <w:rsid w:val="008F126B"/>
    <w:rsid w:val="008F12A1"/>
    <w:rsid w:val="008F12B8"/>
    <w:rsid w:val="008F1328"/>
    <w:rsid w:val="008F1398"/>
    <w:rsid w:val="008F1422"/>
    <w:rsid w:val="008F143D"/>
    <w:rsid w:val="008F1492"/>
    <w:rsid w:val="008F1496"/>
    <w:rsid w:val="008F1498"/>
    <w:rsid w:val="008F1593"/>
    <w:rsid w:val="008F1599"/>
    <w:rsid w:val="008F15C2"/>
    <w:rsid w:val="008F16D8"/>
    <w:rsid w:val="008F1752"/>
    <w:rsid w:val="008F1786"/>
    <w:rsid w:val="008F17D6"/>
    <w:rsid w:val="008F1839"/>
    <w:rsid w:val="008F1862"/>
    <w:rsid w:val="008F187B"/>
    <w:rsid w:val="008F18A4"/>
    <w:rsid w:val="008F18AB"/>
    <w:rsid w:val="008F18DC"/>
    <w:rsid w:val="008F18F0"/>
    <w:rsid w:val="008F1948"/>
    <w:rsid w:val="008F1984"/>
    <w:rsid w:val="008F1985"/>
    <w:rsid w:val="008F199F"/>
    <w:rsid w:val="008F19A0"/>
    <w:rsid w:val="008F1A08"/>
    <w:rsid w:val="008F1A22"/>
    <w:rsid w:val="008F1A50"/>
    <w:rsid w:val="008F1A8C"/>
    <w:rsid w:val="008F1AB6"/>
    <w:rsid w:val="008F1AC6"/>
    <w:rsid w:val="008F1ADB"/>
    <w:rsid w:val="008F1B25"/>
    <w:rsid w:val="008F1B2F"/>
    <w:rsid w:val="008F1B33"/>
    <w:rsid w:val="008F1B39"/>
    <w:rsid w:val="008F1BBF"/>
    <w:rsid w:val="008F1BE3"/>
    <w:rsid w:val="008F1C06"/>
    <w:rsid w:val="008F1C6A"/>
    <w:rsid w:val="008F1CD2"/>
    <w:rsid w:val="008F1CF8"/>
    <w:rsid w:val="008F1D13"/>
    <w:rsid w:val="008F1D21"/>
    <w:rsid w:val="008F1DBC"/>
    <w:rsid w:val="008F1DD5"/>
    <w:rsid w:val="008F1E6E"/>
    <w:rsid w:val="008F1EE2"/>
    <w:rsid w:val="008F1EEB"/>
    <w:rsid w:val="008F1FBB"/>
    <w:rsid w:val="008F1FCE"/>
    <w:rsid w:val="008F1FD6"/>
    <w:rsid w:val="008F1FEB"/>
    <w:rsid w:val="008F2031"/>
    <w:rsid w:val="008F2063"/>
    <w:rsid w:val="008F20AC"/>
    <w:rsid w:val="008F20EA"/>
    <w:rsid w:val="008F2106"/>
    <w:rsid w:val="008F2153"/>
    <w:rsid w:val="008F22F3"/>
    <w:rsid w:val="008F2314"/>
    <w:rsid w:val="008F2342"/>
    <w:rsid w:val="008F234E"/>
    <w:rsid w:val="008F2372"/>
    <w:rsid w:val="008F2448"/>
    <w:rsid w:val="008F24DE"/>
    <w:rsid w:val="008F253D"/>
    <w:rsid w:val="008F2542"/>
    <w:rsid w:val="008F2585"/>
    <w:rsid w:val="008F2659"/>
    <w:rsid w:val="008F2689"/>
    <w:rsid w:val="008F2694"/>
    <w:rsid w:val="008F2730"/>
    <w:rsid w:val="008F2766"/>
    <w:rsid w:val="008F2775"/>
    <w:rsid w:val="008F277C"/>
    <w:rsid w:val="008F2781"/>
    <w:rsid w:val="008F278B"/>
    <w:rsid w:val="008F27AB"/>
    <w:rsid w:val="008F27C2"/>
    <w:rsid w:val="008F27EE"/>
    <w:rsid w:val="008F27F4"/>
    <w:rsid w:val="008F27F7"/>
    <w:rsid w:val="008F282C"/>
    <w:rsid w:val="008F28F6"/>
    <w:rsid w:val="008F2953"/>
    <w:rsid w:val="008F2956"/>
    <w:rsid w:val="008F298A"/>
    <w:rsid w:val="008F29B4"/>
    <w:rsid w:val="008F2A17"/>
    <w:rsid w:val="008F2A96"/>
    <w:rsid w:val="008F2B50"/>
    <w:rsid w:val="008F2BEE"/>
    <w:rsid w:val="008F2C8F"/>
    <w:rsid w:val="008F2D50"/>
    <w:rsid w:val="008F2D80"/>
    <w:rsid w:val="008F2F09"/>
    <w:rsid w:val="008F2F45"/>
    <w:rsid w:val="008F2FC0"/>
    <w:rsid w:val="008F2FF0"/>
    <w:rsid w:val="008F3004"/>
    <w:rsid w:val="008F303B"/>
    <w:rsid w:val="008F30AE"/>
    <w:rsid w:val="008F30E7"/>
    <w:rsid w:val="008F30F3"/>
    <w:rsid w:val="008F318F"/>
    <w:rsid w:val="008F31B2"/>
    <w:rsid w:val="008F32E3"/>
    <w:rsid w:val="008F32F5"/>
    <w:rsid w:val="008F3318"/>
    <w:rsid w:val="008F3433"/>
    <w:rsid w:val="008F34DC"/>
    <w:rsid w:val="008F3563"/>
    <w:rsid w:val="008F3581"/>
    <w:rsid w:val="008F3586"/>
    <w:rsid w:val="008F35FB"/>
    <w:rsid w:val="008F366C"/>
    <w:rsid w:val="008F370E"/>
    <w:rsid w:val="008F381A"/>
    <w:rsid w:val="008F38AD"/>
    <w:rsid w:val="008F38D7"/>
    <w:rsid w:val="008F38EE"/>
    <w:rsid w:val="008F3981"/>
    <w:rsid w:val="008F3A69"/>
    <w:rsid w:val="008F3B36"/>
    <w:rsid w:val="008F3B82"/>
    <w:rsid w:val="008F3BF1"/>
    <w:rsid w:val="008F3C75"/>
    <w:rsid w:val="008F3CCE"/>
    <w:rsid w:val="008F3DBD"/>
    <w:rsid w:val="008F3DED"/>
    <w:rsid w:val="008F3DF0"/>
    <w:rsid w:val="008F3E7B"/>
    <w:rsid w:val="008F3EB7"/>
    <w:rsid w:val="008F3ECA"/>
    <w:rsid w:val="008F3F09"/>
    <w:rsid w:val="008F4025"/>
    <w:rsid w:val="008F4091"/>
    <w:rsid w:val="008F40B2"/>
    <w:rsid w:val="008F40C9"/>
    <w:rsid w:val="008F4139"/>
    <w:rsid w:val="008F417A"/>
    <w:rsid w:val="008F41B6"/>
    <w:rsid w:val="008F41D9"/>
    <w:rsid w:val="008F41F1"/>
    <w:rsid w:val="008F41F8"/>
    <w:rsid w:val="008F420D"/>
    <w:rsid w:val="008F426B"/>
    <w:rsid w:val="008F429D"/>
    <w:rsid w:val="008F42A5"/>
    <w:rsid w:val="008F430B"/>
    <w:rsid w:val="008F4329"/>
    <w:rsid w:val="008F437D"/>
    <w:rsid w:val="008F43B6"/>
    <w:rsid w:val="008F43C9"/>
    <w:rsid w:val="008F4493"/>
    <w:rsid w:val="008F449B"/>
    <w:rsid w:val="008F44C9"/>
    <w:rsid w:val="008F44D2"/>
    <w:rsid w:val="008F44E6"/>
    <w:rsid w:val="008F44F1"/>
    <w:rsid w:val="008F44FF"/>
    <w:rsid w:val="008F4522"/>
    <w:rsid w:val="008F4557"/>
    <w:rsid w:val="008F456B"/>
    <w:rsid w:val="008F4583"/>
    <w:rsid w:val="008F45BA"/>
    <w:rsid w:val="008F45C2"/>
    <w:rsid w:val="008F45C4"/>
    <w:rsid w:val="008F45EC"/>
    <w:rsid w:val="008F4635"/>
    <w:rsid w:val="008F46B1"/>
    <w:rsid w:val="008F46B5"/>
    <w:rsid w:val="008F46B9"/>
    <w:rsid w:val="008F46EF"/>
    <w:rsid w:val="008F4733"/>
    <w:rsid w:val="008F479C"/>
    <w:rsid w:val="008F47C2"/>
    <w:rsid w:val="008F47FC"/>
    <w:rsid w:val="008F480C"/>
    <w:rsid w:val="008F4899"/>
    <w:rsid w:val="008F48DB"/>
    <w:rsid w:val="008F4921"/>
    <w:rsid w:val="008F49C0"/>
    <w:rsid w:val="008F49C9"/>
    <w:rsid w:val="008F4A70"/>
    <w:rsid w:val="008F4AFD"/>
    <w:rsid w:val="008F4B2E"/>
    <w:rsid w:val="008F4B62"/>
    <w:rsid w:val="008F4B6B"/>
    <w:rsid w:val="008F4B9E"/>
    <w:rsid w:val="008F4BC4"/>
    <w:rsid w:val="008F4C36"/>
    <w:rsid w:val="008F4C6F"/>
    <w:rsid w:val="008F4C86"/>
    <w:rsid w:val="008F4D2C"/>
    <w:rsid w:val="008F4D4B"/>
    <w:rsid w:val="008F4DB5"/>
    <w:rsid w:val="008F4DDB"/>
    <w:rsid w:val="008F4DFA"/>
    <w:rsid w:val="008F4E15"/>
    <w:rsid w:val="008F4E6D"/>
    <w:rsid w:val="008F4EB1"/>
    <w:rsid w:val="008F4EC6"/>
    <w:rsid w:val="008F4ED4"/>
    <w:rsid w:val="008F4EFC"/>
    <w:rsid w:val="008F4F2F"/>
    <w:rsid w:val="008F4FFF"/>
    <w:rsid w:val="008F5064"/>
    <w:rsid w:val="008F5099"/>
    <w:rsid w:val="008F50CB"/>
    <w:rsid w:val="008F5133"/>
    <w:rsid w:val="008F51EC"/>
    <w:rsid w:val="008F5248"/>
    <w:rsid w:val="008F52AD"/>
    <w:rsid w:val="008F52AE"/>
    <w:rsid w:val="008F53B5"/>
    <w:rsid w:val="008F53D6"/>
    <w:rsid w:val="008F53EF"/>
    <w:rsid w:val="008F5581"/>
    <w:rsid w:val="008F55B5"/>
    <w:rsid w:val="008F5691"/>
    <w:rsid w:val="008F569E"/>
    <w:rsid w:val="008F56A2"/>
    <w:rsid w:val="008F56C0"/>
    <w:rsid w:val="008F5709"/>
    <w:rsid w:val="008F581B"/>
    <w:rsid w:val="008F584A"/>
    <w:rsid w:val="008F586B"/>
    <w:rsid w:val="008F58CA"/>
    <w:rsid w:val="008F5904"/>
    <w:rsid w:val="008F5946"/>
    <w:rsid w:val="008F5972"/>
    <w:rsid w:val="008F59C7"/>
    <w:rsid w:val="008F59FA"/>
    <w:rsid w:val="008F5A1B"/>
    <w:rsid w:val="008F5AC2"/>
    <w:rsid w:val="008F5AD6"/>
    <w:rsid w:val="008F5AD7"/>
    <w:rsid w:val="008F5ADB"/>
    <w:rsid w:val="008F5B07"/>
    <w:rsid w:val="008F5B35"/>
    <w:rsid w:val="008F5B50"/>
    <w:rsid w:val="008F5BAD"/>
    <w:rsid w:val="008F5BC1"/>
    <w:rsid w:val="008F5BE2"/>
    <w:rsid w:val="008F5C56"/>
    <w:rsid w:val="008F5C89"/>
    <w:rsid w:val="008F5CA8"/>
    <w:rsid w:val="008F5CD2"/>
    <w:rsid w:val="008F5D73"/>
    <w:rsid w:val="008F5D9D"/>
    <w:rsid w:val="008F5E51"/>
    <w:rsid w:val="008F5E8F"/>
    <w:rsid w:val="008F5E9D"/>
    <w:rsid w:val="008F5EF5"/>
    <w:rsid w:val="008F5F0B"/>
    <w:rsid w:val="008F5F56"/>
    <w:rsid w:val="008F5F58"/>
    <w:rsid w:val="008F5F92"/>
    <w:rsid w:val="008F6017"/>
    <w:rsid w:val="008F6061"/>
    <w:rsid w:val="008F609C"/>
    <w:rsid w:val="008F60B7"/>
    <w:rsid w:val="008F60E7"/>
    <w:rsid w:val="008F611F"/>
    <w:rsid w:val="008F621C"/>
    <w:rsid w:val="008F622C"/>
    <w:rsid w:val="008F6236"/>
    <w:rsid w:val="008F6239"/>
    <w:rsid w:val="008F6240"/>
    <w:rsid w:val="008F6271"/>
    <w:rsid w:val="008F6329"/>
    <w:rsid w:val="008F638B"/>
    <w:rsid w:val="008F6391"/>
    <w:rsid w:val="008F63D0"/>
    <w:rsid w:val="008F63DE"/>
    <w:rsid w:val="008F63E0"/>
    <w:rsid w:val="008F640C"/>
    <w:rsid w:val="008F64CC"/>
    <w:rsid w:val="008F64D3"/>
    <w:rsid w:val="008F650B"/>
    <w:rsid w:val="008F6528"/>
    <w:rsid w:val="008F6584"/>
    <w:rsid w:val="008F65B2"/>
    <w:rsid w:val="008F66AC"/>
    <w:rsid w:val="008F66BD"/>
    <w:rsid w:val="008F6765"/>
    <w:rsid w:val="008F67CC"/>
    <w:rsid w:val="008F67E7"/>
    <w:rsid w:val="008F6835"/>
    <w:rsid w:val="008F6883"/>
    <w:rsid w:val="008F6889"/>
    <w:rsid w:val="008F6899"/>
    <w:rsid w:val="008F68DC"/>
    <w:rsid w:val="008F6A25"/>
    <w:rsid w:val="008F6A5F"/>
    <w:rsid w:val="008F6AB7"/>
    <w:rsid w:val="008F6AD9"/>
    <w:rsid w:val="008F6ADD"/>
    <w:rsid w:val="008F6AF4"/>
    <w:rsid w:val="008F6AF5"/>
    <w:rsid w:val="008F6B31"/>
    <w:rsid w:val="008F6C73"/>
    <w:rsid w:val="008F6CE6"/>
    <w:rsid w:val="008F6CFE"/>
    <w:rsid w:val="008F6E2B"/>
    <w:rsid w:val="008F6E54"/>
    <w:rsid w:val="008F6E71"/>
    <w:rsid w:val="008F6E7E"/>
    <w:rsid w:val="008F6F3C"/>
    <w:rsid w:val="008F6F5A"/>
    <w:rsid w:val="008F6F90"/>
    <w:rsid w:val="008F6FB5"/>
    <w:rsid w:val="008F6FC8"/>
    <w:rsid w:val="008F6FF6"/>
    <w:rsid w:val="008F7011"/>
    <w:rsid w:val="008F7056"/>
    <w:rsid w:val="008F7078"/>
    <w:rsid w:val="008F70A0"/>
    <w:rsid w:val="008F70AD"/>
    <w:rsid w:val="008F71C6"/>
    <w:rsid w:val="008F71FE"/>
    <w:rsid w:val="008F725B"/>
    <w:rsid w:val="008F7343"/>
    <w:rsid w:val="008F737B"/>
    <w:rsid w:val="008F7392"/>
    <w:rsid w:val="008F7397"/>
    <w:rsid w:val="008F73D8"/>
    <w:rsid w:val="008F7485"/>
    <w:rsid w:val="008F74F8"/>
    <w:rsid w:val="008F74FC"/>
    <w:rsid w:val="008F7507"/>
    <w:rsid w:val="008F75BB"/>
    <w:rsid w:val="008F7628"/>
    <w:rsid w:val="008F7644"/>
    <w:rsid w:val="008F7677"/>
    <w:rsid w:val="008F7688"/>
    <w:rsid w:val="008F7697"/>
    <w:rsid w:val="008F770F"/>
    <w:rsid w:val="008F775A"/>
    <w:rsid w:val="008F77E1"/>
    <w:rsid w:val="008F77F3"/>
    <w:rsid w:val="008F782A"/>
    <w:rsid w:val="008F7882"/>
    <w:rsid w:val="008F7937"/>
    <w:rsid w:val="008F7961"/>
    <w:rsid w:val="008F797A"/>
    <w:rsid w:val="008F7A05"/>
    <w:rsid w:val="008F7A24"/>
    <w:rsid w:val="008F7A73"/>
    <w:rsid w:val="008F7A8B"/>
    <w:rsid w:val="008F7A90"/>
    <w:rsid w:val="008F7A94"/>
    <w:rsid w:val="008F7B13"/>
    <w:rsid w:val="008F7B35"/>
    <w:rsid w:val="008F7B78"/>
    <w:rsid w:val="008F7BA2"/>
    <w:rsid w:val="008F7BB3"/>
    <w:rsid w:val="008F7C34"/>
    <w:rsid w:val="008F7C6A"/>
    <w:rsid w:val="008F7CA0"/>
    <w:rsid w:val="008F7CC2"/>
    <w:rsid w:val="008F7D13"/>
    <w:rsid w:val="008F7DB9"/>
    <w:rsid w:val="008F7E09"/>
    <w:rsid w:val="008F7E28"/>
    <w:rsid w:val="008F7E8F"/>
    <w:rsid w:val="008F7EC9"/>
    <w:rsid w:val="008F7F6C"/>
    <w:rsid w:val="008F7F8B"/>
    <w:rsid w:val="008F7FF1"/>
    <w:rsid w:val="008FC7C5"/>
    <w:rsid w:val="00900051"/>
    <w:rsid w:val="00900054"/>
    <w:rsid w:val="00900089"/>
    <w:rsid w:val="009000B9"/>
    <w:rsid w:val="009000C8"/>
    <w:rsid w:val="009000E4"/>
    <w:rsid w:val="00900189"/>
    <w:rsid w:val="0090019D"/>
    <w:rsid w:val="009002D4"/>
    <w:rsid w:val="009002E7"/>
    <w:rsid w:val="00900311"/>
    <w:rsid w:val="0090032B"/>
    <w:rsid w:val="00900336"/>
    <w:rsid w:val="0090033A"/>
    <w:rsid w:val="0090033B"/>
    <w:rsid w:val="00900347"/>
    <w:rsid w:val="0090036B"/>
    <w:rsid w:val="0090040D"/>
    <w:rsid w:val="00900448"/>
    <w:rsid w:val="0090045B"/>
    <w:rsid w:val="00900462"/>
    <w:rsid w:val="0090047C"/>
    <w:rsid w:val="009006A8"/>
    <w:rsid w:val="009007A0"/>
    <w:rsid w:val="009007EB"/>
    <w:rsid w:val="009007F8"/>
    <w:rsid w:val="00900819"/>
    <w:rsid w:val="0090081E"/>
    <w:rsid w:val="009008B9"/>
    <w:rsid w:val="009008D5"/>
    <w:rsid w:val="009008F2"/>
    <w:rsid w:val="00900973"/>
    <w:rsid w:val="009009A8"/>
    <w:rsid w:val="009009D3"/>
    <w:rsid w:val="009009F2"/>
    <w:rsid w:val="00900A50"/>
    <w:rsid w:val="00900A93"/>
    <w:rsid w:val="00900B3A"/>
    <w:rsid w:val="00900B69"/>
    <w:rsid w:val="00900BCF"/>
    <w:rsid w:val="00900BE1"/>
    <w:rsid w:val="00900BE8"/>
    <w:rsid w:val="00900BFC"/>
    <w:rsid w:val="00900C88"/>
    <w:rsid w:val="00900C9A"/>
    <w:rsid w:val="00900CB3"/>
    <w:rsid w:val="00900D09"/>
    <w:rsid w:val="00900D23"/>
    <w:rsid w:val="00900D4B"/>
    <w:rsid w:val="00900D9B"/>
    <w:rsid w:val="00900DDD"/>
    <w:rsid w:val="00900E42"/>
    <w:rsid w:val="00900EB2"/>
    <w:rsid w:val="00900EB6"/>
    <w:rsid w:val="00900EC0"/>
    <w:rsid w:val="00900EE1"/>
    <w:rsid w:val="00900EF5"/>
    <w:rsid w:val="00900F67"/>
    <w:rsid w:val="00900FBB"/>
    <w:rsid w:val="00900FF4"/>
    <w:rsid w:val="0090100B"/>
    <w:rsid w:val="0090101B"/>
    <w:rsid w:val="0090102C"/>
    <w:rsid w:val="00901044"/>
    <w:rsid w:val="00901087"/>
    <w:rsid w:val="009010A2"/>
    <w:rsid w:val="009010AC"/>
    <w:rsid w:val="00901111"/>
    <w:rsid w:val="00901115"/>
    <w:rsid w:val="0090111D"/>
    <w:rsid w:val="0090111E"/>
    <w:rsid w:val="009011BA"/>
    <w:rsid w:val="009011E6"/>
    <w:rsid w:val="00901226"/>
    <w:rsid w:val="0090136F"/>
    <w:rsid w:val="0090137C"/>
    <w:rsid w:val="0090140E"/>
    <w:rsid w:val="00901443"/>
    <w:rsid w:val="009014E3"/>
    <w:rsid w:val="009014E6"/>
    <w:rsid w:val="00901539"/>
    <w:rsid w:val="009015BB"/>
    <w:rsid w:val="009015DA"/>
    <w:rsid w:val="009015F2"/>
    <w:rsid w:val="0090161D"/>
    <w:rsid w:val="00901626"/>
    <w:rsid w:val="0090164B"/>
    <w:rsid w:val="00901724"/>
    <w:rsid w:val="00901792"/>
    <w:rsid w:val="009017B2"/>
    <w:rsid w:val="00901875"/>
    <w:rsid w:val="0090198C"/>
    <w:rsid w:val="00901A05"/>
    <w:rsid w:val="00901A14"/>
    <w:rsid w:val="00901A22"/>
    <w:rsid w:val="00901A28"/>
    <w:rsid w:val="00901AAD"/>
    <w:rsid w:val="00901AD3"/>
    <w:rsid w:val="00901B00"/>
    <w:rsid w:val="00901B59"/>
    <w:rsid w:val="00901B5D"/>
    <w:rsid w:val="00901C1C"/>
    <w:rsid w:val="00901C3B"/>
    <w:rsid w:val="00901C42"/>
    <w:rsid w:val="00901C7A"/>
    <w:rsid w:val="00901C8E"/>
    <w:rsid w:val="00901CAB"/>
    <w:rsid w:val="00901D0C"/>
    <w:rsid w:val="00901D24"/>
    <w:rsid w:val="00901D32"/>
    <w:rsid w:val="00901DBD"/>
    <w:rsid w:val="00901E29"/>
    <w:rsid w:val="00901E55"/>
    <w:rsid w:val="00901FB2"/>
    <w:rsid w:val="00901FB5"/>
    <w:rsid w:val="00902030"/>
    <w:rsid w:val="00902063"/>
    <w:rsid w:val="009020CF"/>
    <w:rsid w:val="009020D5"/>
    <w:rsid w:val="009020F4"/>
    <w:rsid w:val="009021DF"/>
    <w:rsid w:val="009021E3"/>
    <w:rsid w:val="00902215"/>
    <w:rsid w:val="00902269"/>
    <w:rsid w:val="00902272"/>
    <w:rsid w:val="00902298"/>
    <w:rsid w:val="009022B2"/>
    <w:rsid w:val="009022B5"/>
    <w:rsid w:val="00902309"/>
    <w:rsid w:val="00902324"/>
    <w:rsid w:val="009023AA"/>
    <w:rsid w:val="009023ED"/>
    <w:rsid w:val="009023EF"/>
    <w:rsid w:val="0090241A"/>
    <w:rsid w:val="00902426"/>
    <w:rsid w:val="009024CE"/>
    <w:rsid w:val="009024F0"/>
    <w:rsid w:val="0090256A"/>
    <w:rsid w:val="00902577"/>
    <w:rsid w:val="009025C8"/>
    <w:rsid w:val="00902624"/>
    <w:rsid w:val="00902630"/>
    <w:rsid w:val="00902681"/>
    <w:rsid w:val="00902697"/>
    <w:rsid w:val="009026C2"/>
    <w:rsid w:val="00902714"/>
    <w:rsid w:val="00902771"/>
    <w:rsid w:val="009027E7"/>
    <w:rsid w:val="00902842"/>
    <w:rsid w:val="00902851"/>
    <w:rsid w:val="009028BF"/>
    <w:rsid w:val="009028D7"/>
    <w:rsid w:val="00902986"/>
    <w:rsid w:val="0090298C"/>
    <w:rsid w:val="0090298E"/>
    <w:rsid w:val="00902A25"/>
    <w:rsid w:val="00902A2E"/>
    <w:rsid w:val="00902ABF"/>
    <w:rsid w:val="00902AD5"/>
    <w:rsid w:val="00902AD8"/>
    <w:rsid w:val="00902AF8"/>
    <w:rsid w:val="00902AFD"/>
    <w:rsid w:val="00902B02"/>
    <w:rsid w:val="00902BBD"/>
    <w:rsid w:val="00902BE1"/>
    <w:rsid w:val="00902C16"/>
    <w:rsid w:val="00902C26"/>
    <w:rsid w:val="00902C59"/>
    <w:rsid w:val="00902C69"/>
    <w:rsid w:val="00902C9F"/>
    <w:rsid w:val="00902CAB"/>
    <w:rsid w:val="00902CE8"/>
    <w:rsid w:val="00902D52"/>
    <w:rsid w:val="00902D93"/>
    <w:rsid w:val="00902DAD"/>
    <w:rsid w:val="00902DAE"/>
    <w:rsid w:val="00902DB9"/>
    <w:rsid w:val="00902DED"/>
    <w:rsid w:val="00902E20"/>
    <w:rsid w:val="00902E61"/>
    <w:rsid w:val="00902EAE"/>
    <w:rsid w:val="00902F0B"/>
    <w:rsid w:val="00902F47"/>
    <w:rsid w:val="00902F6E"/>
    <w:rsid w:val="00902F90"/>
    <w:rsid w:val="00902F95"/>
    <w:rsid w:val="00903003"/>
    <w:rsid w:val="0090301A"/>
    <w:rsid w:val="00903059"/>
    <w:rsid w:val="009030AB"/>
    <w:rsid w:val="009030DA"/>
    <w:rsid w:val="009030E3"/>
    <w:rsid w:val="009030F1"/>
    <w:rsid w:val="00903107"/>
    <w:rsid w:val="0090310E"/>
    <w:rsid w:val="00903114"/>
    <w:rsid w:val="0090311E"/>
    <w:rsid w:val="00903176"/>
    <w:rsid w:val="009031B2"/>
    <w:rsid w:val="009031B5"/>
    <w:rsid w:val="009031EC"/>
    <w:rsid w:val="00903216"/>
    <w:rsid w:val="00903245"/>
    <w:rsid w:val="00903252"/>
    <w:rsid w:val="00903271"/>
    <w:rsid w:val="00903375"/>
    <w:rsid w:val="009033B8"/>
    <w:rsid w:val="0090341E"/>
    <w:rsid w:val="00903509"/>
    <w:rsid w:val="00903599"/>
    <w:rsid w:val="009035A1"/>
    <w:rsid w:val="009035EE"/>
    <w:rsid w:val="00903627"/>
    <w:rsid w:val="00903628"/>
    <w:rsid w:val="0090365A"/>
    <w:rsid w:val="009036AF"/>
    <w:rsid w:val="009036C0"/>
    <w:rsid w:val="009036FF"/>
    <w:rsid w:val="00903756"/>
    <w:rsid w:val="00903785"/>
    <w:rsid w:val="00903809"/>
    <w:rsid w:val="0090384D"/>
    <w:rsid w:val="0090385B"/>
    <w:rsid w:val="00903865"/>
    <w:rsid w:val="00903899"/>
    <w:rsid w:val="009038D6"/>
    <w:rsid w:val="009038FC"/>
    <w:rsid w:val="00903945"/>
    <w:rsid w:val="0090394C"/>
    <w:rsid w:val="00903A07"/>
    <w:rsid w:val="00903A17"/>
    <w:rsid w:val="00903A33"/>
    <w:rsid w:val="00903A46"/>
    <w:rsid w:val="00903A52"/>
    <w:rsid w:val="00903B2E"/>
    <w:rsid w:val="00903B45"/>
    <w:rsid w:val="00903B69"/>
    <w:rsid w:val="00903B71"/>
    <w:rsid w:val="00903C63"/>
    <w:rsid w:val="00903C7B"/>
    <w:rsid w:val="00903CAB"/>
    <w:rsid w:val="00903CB7"/>
    <w:rsid w:val="00903CD5"/>
    <w:rsid w:val="00903CDE"/>
    <w:rsid w:val="00903D42"/>
    <w:rsid w:val="00903D58"/>
    <w:rsid w:val="00903D71"/>
    <w:rsid w:val="00903D96"/>
    <w:rsid w:val="00903DA1"/>
    <w:rsid w:val="00903DEC"/>
    <w:rsid w:val="00903E24"/>
    <w:rsid w:val="00903E7D"/>
    <w:rsid w:val="00903E99"/>
    <w:rsid w:val="00903ED7"/>
    <w:rsid w:val="00903F08"/>
    <w:rsid w:val="00903F0B"/>
    <w:rsid w:val="00903F7F"/>
    <w:rsid w:val="00903F83"/>
    <w:rsid w:val="00903FB7"/>
    <w:rsid w:val="00904000"/>
    <w:rsid w:val="0090402C"/>
    <w:rsid w:val="00904072"/>
    <w:rsid w:val="009040B0"/>
    <w:rsid w:val="009040F8"/>
    <w:rsid w:val="00904141"/>
    <w:rsid w:val="009041B7"/>
    <w:rsid w:val="009042EF"/>
    <w:rsid w:val="00904367"/>
    <w:rsid w:val="0090439A"/>
    <w:rsid w:val="009043C2"/>
    <w:rsid w:val="009043DD"/>
    <w:rsid w:val="009043F5"/>
    <w:rsid w:val="00904483"/>
    <w:rsid w:val="00904493"/>
    <w:rsid w:val="009044D3"/>
    <w:rsid w:val="00904573"/>
    <w:rsid w:val="0090468E"/>
    <w:rsid w:val="009046AE"/>
    <w:rsid w:val="0090476F"/>
    <w:rsid w:val="0090481A"/>
    <w:rsid w:val="009048A1"/>
    <w:rsid w:val="009048D7"/>
    <w:rsid w:val="0090494D"/>
    <w:rsid w:val="009049D4"/>
    <w:rsid w:val="00904A16"/>
    <w:rsid w:val="00904A2D"/>
    <w:rsid w:val="00904A36"/>
    <w:rsid w:val="00904A79"/>
    <w:rsid w:val="00904ACB"/>
    <w:rsid w:val="00904AED"/>
    <w:rsid w:val="00904AFD"/>
    <w:rsid w:val="00904B2D"/>
    <w:rsid w:val="00904B53"/>
    <w:rsid w:val="00904B5A"/>
    <w:rsid w:val="00904B60"/>
    <w:rsid w:val="00904B74"/>
    <w:rsid w:val="00904BD3"/>
    <w:rsid w:val="00904C7B"/>
    <w:rsid w:val="00904C83"/>
    <w:rsid w:val="00904C96"/>
    <w:rsid w:val="00904D28"/>
    <w:rsid w:val="00904D5D"/>
    <w:rsid w:val="00904DBD"/>
    <w:rsid w:val="00904DCE"/>
    <w:rsid w:val="00904FBF"/>
    <w:rsid w:val="00904FF4"/>
    <w:rsid w:val="00905036"/>
    <w:rsid w:val="00905063"/>
    <w:rsid w:val="00905064"/>
    <w:rsid w:val="009050B7"/>
    <w:rsid w:val="009050FC"/>
    <w:rsid w:val="00905160"/>
    <w:rsid w:val="0090516F"/>
    <w:rsid w:val="0090519C"/>
    <w:rsid w:val="0090519F"/>
    <w:rsid w:val="009051A4"/>
    <w:rsid w:val="009051AF"/>
    <w:rsid w:val="009051C4"/>
    <w:rsid w:val="00905225"/>
    <w:rsid w:val="009052AB"/>
    <w:rsid w:val="0090544C"/>
    <w:rsid w:val="00905551"/>
    <w:rsid w:val="009055BC"/>
    <w:rsid w:val="009055D8"/>
    <w:rsid w:val="00905602"/>
    <w:rsid w:val="00905607"/>
    <w:rsid w:val="0090564F"/>
    <w:rsid w:val="00905662"/>
    <w:rsid w:val="009056AF"/>
    <w:rsid w:val="009056EF"/>
    <w:rsid w:val="0090572E"/>
    <w:rsid w:val="00905731"/>
    <w:rsid w:val="009057AE"/>
    <w:rsid w:val="009057FD"/>
    <w:rsid w:val="00905800"/>
    <w:rsid w:val="0090581A"/>
    <w:rsid w:val="00905883"/>
    <w:rsid w:val="0090589F"/>
    <w:rsid w:val="009058B5"/>
    <w:rsid w:val="009058E0"/>
    <w:rsid w:val="009058FC"/>
    <w:rsid w:val="0090590F"/>
    <w:rsid w:val="0090599F"/>
    <w:rsid w:val="00905A2C"/>
    <w:rsid w:val="00905A5A"/>
    <w:rsid w:val="00905A9D"/>
    <w:rsid w:val="00905AB9"/>
    <w:rsid w:val="00905ADF"/>
    <w:rsid w:val="00905AE7"/>
    <w:rsid w:val="00905B0E"/>
    <w:rsid w:val="00905B15"/>
    <w:rsid w:val="00905B28"/>
    <w:rsid w:val="00905B66"/>
    <w:rsid w:val="00905C6E"/>
    <w:rsid w:val="00905C85"/>
    <w:rsid w:val="00905D02"/>
    <w:rsid w:val="00905D30"/>
    <w:rsid w:val="00905E0E"/>
    <w:rsid w:val="00905E53"/>
    <w:rsid w:val="00905E7E"/>
    <w:rsid w:val="00905EF2"/>
    <w:rsid w:val="00905EF7"/>
    <w:rsid w:val="00905F7C"/>
    <w:rsid w:val="00905FA8"/>
    <w:rsid w:val="00906040"/>
    <w:rsid w:val="00906069"/>
    <w:rsid w:val="009060A2"/>
    <w:rsid w:val="00906113"/>
    <w:rsid w:val="009061BD"/>
    <w:rsid w:val="009061F9"/>
    <w:rsid w:val="00906225"/>
    <w:rsid w:val="0090627A"/>
    <w:rsid w:val="009062C3"/>
    <w:rsid w:val="009062D2"/>
    <w:rsid w:val="0090633D"/>
    <w:rsid w:val="00906369"/>
    <w:rsid w:val="00906371"/>
    <w:rsid w:val="0090637D"/>
    <w:rsid w:val="009063BF"/>
    <w:rsid w:val="009063D0"/>
    <w:rsid w:val="009063D5"/>
    <w:rsid w:val="00906451"/>
    <w:rsid w:val="0090645A"/>
    <w:rsid w:val="009064C9"/>
    <w:rsid w:val="0090651F"/>
    <w:rsid w:val="00906520"/>
    <w:rsid w:val="0090652E"/>
    <w:rsid w:val="00906629"/>
    <w:rsid w:val="00906651"/>
    <w:rsid w:val="009066D1"/>
    <w:rsid w:val="00906741"/>
    <w:rsid w:val="0090675D"/>
    <w:rsid w:val="00906761"/>
    <w:rsid w:val="00906779"/>
    <w:rsid w:val="009068C8"/>
    <w:rsid w:val="009068F6"/>
    <w:rsid w:val="00906924"/>
    <w:rsid w:val="00906983"/>
    <w:rsid w:val="009069DF"/>
    <w:rsid w:val="00906AC6"/>
    <w:rsid w:val="00906AC8"/>
    <w:rsid w:val="00906AF2"/>
    <w:rsid w:val="00906B76"/>
    <w:rsid w:val="00906C16"/>
    <w:rsid w:val="00906C45"/>
    <w:rsid w:val="00906C4A"/>
    <w:rsid w:val="00906C8A"/>
    <w:rsid w:val="00906C9C"/>
    <w:rsid w:val="00906CC7"/>
    <w:rsid w:val="00906D33"/>
    <w:rsid w:val="00906D71"/>
    <w:rsid w:val="00906D7E"/>
    <w:rsid w:val="00906DC9"/>
    <w:rsid w:val="00906DCC"/>
    <w:rsid w:val="00906DD8"/>
    <w:rsid w:val="00906E03"/>
    <w:rsid w:val="00906E32"/>
    <w:rsid w:val="00906E3A"/>
    <w:rsid w:val="00906E49"/>
    <w:rsid w:val="00906E6A"/>
    <w:rsid w:val="00906E93"/>
    <w:rsid w:val="00906EC6"/>
    <w:rsid w:val="00906F13"/>
    <w:rsid w:val="00906F5E"/>
    <w:rsid w:val="00906F60"/>
    <w:rsid w:val="00906F99"/>
    <w:rsid w:val="00906FB3"/>
    <w:rsid w:val="00906FBE"/>
    <w:rsid w:val="00906FCD"/>
    <w:rsid w:val="00906FCE"/>
    <w:rsid w:val="00906FF2"/>
    <w:rsid w:val="009070AA"/>
    <w:rsid w:val="00907157"/>
    <w:rsid w:val="0090715B"/>
    <w:rsid w:val="00907166"/>
    <w:rsid w:val="00907185"/>
    <w:rsid w:val="009071B7"/>
    <w:rsid w:val="0090720D"/>
    <w:rsid w:val="00907211"/>
    <w:rsid w:val="009072C3"/>
    <w:rsid w:val="009072E9"/>
    <w:rsid w:val="009072ED"/>
    <w:rsid w:val="00907339"/>
    <w:rsid w:val="00907351"/>
    <w:rsid w:val="009073B9"/>
    <w:rsid w:val="009073C0"/>
    <w:rsid w:val="009073F9"/>
    <w:rsid w:val="00907435"/>
    <w:rsid w:val="009074BE"/>
    <w:rsid w:val="00907513"/>
    <w:rsid w:val="00907519"/>
    <w:rsid w:val="0090759D"/>
    <w:rsid w:val="009075DA"/>
    <w:rsid w:val="00907611"/>
    <w:rsid w:val="00907620"/>
    <w:rsid w:val="00907733"/>
    <w:rsid w:val="0090773B"/>
    <w:rsid w:val="009077EF"/>
    <w:rsid w:val="00907804"/>
    <w:rsid w:val="0090783D"/>
    <w:rsid w:val="00907868"/>
    <w:rsid w:val="009078DE"/>
    <w:rsid w:val="00907936"/>
    <w:rsid w:val="0090793F"/>
    <w:rsid w:val="009079CB"/>
    <w:rsid w:val="00907A27"/>
    <w:rsid w:val="00907AAB"/>
    <w:rsid w:val="00907AD1"/>
    <w:rsid w:val="00907AF2"/>
    <w:rsid w:val="00907B2B"/>
    <w:rsid w:val="00907CB4"/>
    <w:rsid w:val="00907CEB"/>
    <w:rsid w:val="00907D88"/>
    <w:rsid w:val="00907D9C"/>
    <w:rsid w:val="00907DF8"/>
    <w:rsid w:val="00907E23"/>
    <w:rsid w:val="00907E97"/>
    <w:rsid w:val="00907EC6"/>
    <w:rsid w:val="00907ED4"/>
    <w:rsid w:val="00907F20"/>
    <w:rsid w:val="00907F9A"/>
    <w:rsid w:val="0091005D"/>
    <w:rsid w:val="009100B5"/>
    <w:rsid w:val="009100BC"/>
    <w:rsid w:val="00910121"/>
    <w:rsid w:val="00910134"/>
    <w:rsid w:val="0091013A"/>
    <w:rsid w:val="00910193"/>
    <w:rsid w:val="00910196"/>
    <w:rsid w:val="00910199"/>
    <w:rsid w:val="009101CF"/>
    <w:rsid w:val="0091025D"/>
    <w:rsid w:val="0091026E"/>
    <w:rsid w:val="00910277"/>
    <w:rsid w:val="009102C9"/>
    <w:rsid w:val="00910303"/>
    <w:rsid w:val="00910328"/>
    <w:rsid w:val="009103B4"/>
    <w:rsid w:val="009103D1"/>
    <w:rsid w:val="009103F0"/>
    <w:rsid w:val="0091047D"/>
    <w:rsid w:val="00910490"/>
    <w:rsid w:val="00910530"/>
    <w:rsid w:val="00910537"/>
    <w:rsid w:val="00910553"/>
    <w:rsid w:val="0091055C"/>
    <w:rsid w:val="00910577"/>
    <w:rsid w:val="009105BA"/>
    <w:rsid w:val="009105D5"/>
    <w:rsid w:val="00910628"/>
    <w:rsid w:val="0091068E"/>
    <w:rsid w:val="00910719"/>
    <w:rsid w:val="0091073D"/>
    <w:rsid w:val="00910742"/>
    <w:rsid w:val="00910787"/>
    <w:rsid w:val="009107C5"/>
    <w:rsid w:val="009108D8"/>
    <w:rsid w:val="009108E3"/>
    <w:rsid w:val="00910911"/>
    <w:rsid w:val="00910A37"/>
    <w:rsid w:val="00910A4E"/>
    <w:rsid w:val="00910A50"/>
    <w:rsid w:val="00910ADF"/>
    <w:rsid w:val="00910AE5"/>
    <w:rsid w:val="00910B01"/>
    <w:rsid w:val="00910B1E"/>
    <w:rsid w:val="00910B49"/>
    <w:rsid w:val="00910B56"/>
    <w:rsid w:val="00910B5A"/>
    <w:rsid w:val="00910B64"/>
    <w:rsid w:val="00910BEC"/>
    <w:rsid w:val="00910C1B"/>
    <w:rsid w:val="00910C2E"/>
    <w:rsid w:val="00910C3E"/>
    <w:rsid w:val="00910C62"/>
    <w:rsid w:val="00910C6A"/>
    <w:rsid w:val="00910C75"/>
    <w:rsid w:val="00910C8C"/>
    <w:rsid w:val="00910C90"/>
    <w:rsid w:val="00910CC2"/>
    <w:rsid w:val="00910CC6"/>
    <w:rsid w:val="00910D0F"/>
    <w:rsid w:val="00910D48"/>
    <w:rsid w:val="00910D56"/>
    <w:rsid w:val="00910D64"/>
    <w:rsid w:val="00910DB0"/>
    <w:rsid w:val="00910DF9"/>
    <w:rsid w:val="00910E2D"/>
    <w:rsid w:val="00910E79"/>
    <w:rsid w:val="00910EB5"/>
    <w:rsid w:val="00910F3A"/>
    <w:rsid w:val="00910F4D"/>
    <w:rsid w:val="00910F5A"/>
    <w:rsid w:val="00910FE9"/>
    <w:rsid w:val="00910FF5"/>
    <w:rsid w:val="00911060"/>
    <w:rsid w:val="0091110D"/>
    <w:rsid w:val="00911193"/>
    <w:rsid w:val="009111CC"/>
    <w:rsid w:val="009112B5"/>
    <w:rsid w:val="00911306"/>
    <w:rsid w:val="0091130B"/>
    <w:rsid w:val="0091148A"/>
    <w:rsid w:val="00911579"/>
    <w:rsid w:val="009115A5"/>
    <w:rsid w:val="009115EA"/>
    <w:rsid w:val="009115FC"/>
    <w:rsid w:val="00911687"/>
    <w:rsid w:val="009116EF"/>
    <w:rsid w:val="0091171F"/>
    <w:rsid w:val="00911740"/>
    <w:rsid w:val="00911798"/>
    <w:rsid w:val="009117A5"/>
    <w:rsid w:val="009117F9"/>
    <w:rsid w:val="009118AD"/>
    <w:rsid w:val="00911909"/>
    <w:rsid w:val="0091196E"/>
    <w:rsid w:val="00911985"/>
    <w:rsid w:val="00911997"/>
    <w:rsid w:val="009119D2"/>
    <w:rsid w:val="00911AD6"/>
    <w:rsid w:val="00911B3C"/>
    <w:rsid w:val="00911B5F"/>
    <w:rsid w:val="00911BE7"/>
    <w:rsid w:val="00911D0F"/>
    <w:rsid w:val="00911D9C"/>
    <w:rsid w:val="00911DA7"/>
    <w:rsid w:val="00911DC5"/>
    <w:rsid w:val="00911DDF"/>
    <w:rsid w:val="00911E0D"/>
    <w:rsid w:val="00911E65"/>
    <w:rsid w:val="00911E74"/>
    <w:rsid w:val="00911F80"/>
    <w:rsid w:val="00911F86"/>
    <w:rsid w:val="00911FAD"/>
    <w:rsid w:val="00911FF1"/>
    <w:rsid w:val="0091204A"/>
    <w:rsid w:val="00912097"/>
    <w:rsid w:val="009120EC"/>
    <w:rsid w:val="00912127"/>
    <w:rsid w:val="0091216C"/>
    <w:rsid w:val="00912187"/>
    <w:rsid w:val="00912193"/>
    <w:rsid w:val="0091223D"/>
    <w:rsid w:val="0091225B"/>
    <w:rsid w:val="00912365"/>
    <w:rsid w:val="009123BF"/>
    <w:rsid w:val="009123DD"/>
    <w:rsid w:val="00912468"/>
    <w:rsid w:val="0091249D"/>
    <w:rsid w:val="009124BA"/>
    <w:rsid w:val="0091252A"/>
    <w:rsid w:val="0091258B"/>
    <w:rsid w:val="00912606"/>
    <w:rsid w:val="00912637"/>
    <w:rsid w:val="0091265D"/>
    <w:rsid w:val="009126AE"/>
    <w:rsid w:val="009126F0"/>
    <w:rsid w:val="009127B8"/>
    <w:rsid w:val="0091282F"/>
    <w:rsid w:val="00912890"/>
    <w:rsid w:val="009128EF"/>
    <w:rsid w:val="00912980"/>
    <w:rsid w:val="0091298E"/>
    <w:rsid w:val="00912A47"/>
    <w:rsid w:val="00912A74"/>
    <w:rsid w:val="00912A7F"/>
    <w:rsid w:val="00912B20"/>
    <w:rsid w:val="00912BF7"/>
    <w:rsid w:val="00912C06"/>
    <w:rsid w:val="00912C17"/>
    <w:rsid w:val="00912C20"/>
    <w:rsid w:val="00912C2C"/>
    <w:rsid w:val="00912C31"/>
    <w:rsid w:val="00912C9D"/>
    <w:rsid w:val="00912CAE"/>
    <w:rsid w:val="00912CDB"/>
    <w:rsid w:val="00912D7D"/>
    <w:rsid w:val="00912E09"/>
    <w:rsid w:val="00912E7D"/>
    <w:rsid w:val="00912EE9"/>
    <w:rsid w:val="00912F1B"/>
    <w:rsid w:val="00912F54"/>
    <w:rsid w:val="0091302E"/>
    <w:rsid w:val="0091309C"/>
    <w:rsid w:val="0091309E"/>
    <w:rsid w:val="009130AB"/>
    <w:rsid w:val="00913101"/>
    <w:rsid w:val="00913128"/>
    <w:rsid w:val="0091317E"/>
    <w:rsid w:val="009131B5"/>
    <w:rsid w:val="00913263"/>
    <w:rsid w:val="00913316"/>
    <w:rsid w:val="009133FB"/>
    <w:rsid w:val="0091343A"/>
    <w:rsid w:val="00913496"/>
    <w:rsid w:val="009134A7"/>
    <w:rsid w:val="00913533"/>
    <w:rsid w:val="00913542"/>
    <w:rsid w:val="00913547"/>
    <w:rsid w:val="0091354B"/>
    <w:rsid w:val="009135E3"/>
    <w:rsid w:val="00913601"/>
    <w:rsid w:val="0091361B"/>
    <w:rsid w:val="0091362A"/>
    <w:rsid w:val="00913641"/>
    <w:rsid w:val="00913670"/>
    <w:rsid w:val="009136A1"/>
    <w:rsid w:val="0091373F"/>
    <w:rsid w:val="00913740"/>
    <w:rsid w:val="00913747"/>
    <w:rsid w:val="00913783"/>
    <w:rsid w:val="009137A6"/>
    <w:rsid w:val="00913810"/>
    <w:rsid w:val="00913884"/>
    <w:rsid w:val="00913892"/>
    <w:rsid w:val="009138C4"/>
    <w:rsid w:val="0091391F"/>
    <w:rsid w:val="0091392E"/>
    <w:rsid w:val="00913974"/>
    <w:rsid w:val="00913984"/>
    <w:rsid w:val="009139D6"/>
    <w:rsid w:val="00913A08"/>
    <w:rsid w:val="00913A4A"/>
    <w:rsid w:val="00913A81"/>
    <w:rsid w:val="00913ABE"/>
    <w:rsid w:val="00913ADA"/>
    <w:rsid w:val="00913B4D"/>
    <w:rsid w:val="00913B50"/>
    <w:rsid w:val="00913BAB"/>
    <w:rsid w:val="00913BEE"/>
    <w:rsid w:val="00913C87"/>
    <w:rsid w:val="00913CE1"/>
    <w:rsid w:val="00913D62"/>
    <w:rsid w:val="00913D6A"/>
    <w:rsid w:val="00913D8B"/>
    <w:rsid w:val="00913DF6"/>
    <w:rsid w:val="00913EBB"/>
    <w:rsid w:val="00913F5B"/>
    <w:rsid w:val="00913F91"/>
    <w:rsid w:val="00913FA6"/>
    <w:rsid w:val="00914011"/>
    <w:rsid w:val="00914040"/>
    <w:rsid w:val="00914043"/>
    <w:rsid w:val="009140EF"/>
    <w:rsid w:val="00914129"/>
    <w:rsid w:val="0091416F"/>
    <w:rsid w:val="009141BF"/>
    <w:rsid w:val="00914275"/>
    <w:rsid w:val="009142B5"/>
    <w:rsid w:val="009142DB"/>
    <w:rsid w:val="009143BA"/>
    <w:rsid w:val="009143CE"/>
    <w:rsid w:val="0091441F"/>
    <w:rsid w:val="00914490"/>
    <w:rsid w:val="009144C8"/>
    <w:rsid w:val="0091450E"/>
    <w:rsid w:val="00914519"/>
    <w:rsid w:val="0091459A"/>
    <w:rsid w:val="009145AC"/>
    <w:rsid w:val="009145D4"/>
    <w:rsid w:val="009145F6"/>
    <w:rsid w:val="00914600"/>
    <w:rsid w:val="0091464F"/>
    <w:rsid w:val="009146B0"/>
    <w:rsid w:val="009146F7"/>
    <w:rsid w:val="00914701"/>
    <w:rsid w:val="00914831"/>
    <w:rsid w:val="0091483C"/>
    <w:rsid w:val="0091485B"/>
    <w:rsid w:val="0091487C"/>
    <w:rsid w:val="009148A5"/>
    <w:rsid w:val="0091491D"/>
    <w:rsid w:val="009149AD"/>
    <w:rsid w:val="009149DC"/>
    <w:rsid w:val="009149EE"/>
    <w:rsid w:val="00914A05"/>
    <w:rsid w:val="00914B97"/>
    <w:rsid w:val="00914C22"/>
    <w:rsid w:val="00914C7B"/>
    <w:rsid w:val="00914CC3"/>
    <w:rsid w:val="00914CFC"/>
    <w:rsid w:val="00914D00"/>
    <w:rsid w:val="00914D28"/>
    <w:rsid w:val="00914D81"/>
    <w:rsid w:val="00914E70"/>
    <w:rsid w:val="00914E99"/>
    <w:rsid w:val="00914E9C"/>
    <w:rsid w:val="00914EAF"/>
    <w:rsid w:val="00914F11"/>
    <w:rsid w:val="00914F27"/>
    <w:rsid w:val="00914F81"/>
    <w:rsid w:val="00914FF0"/>
    <w:rsid w:val="0091509C"/>
    <w:rsid w:val="009150BD"/>
    <w:rsid w:val="009150D1"/>
    <w:rsid w:val="009150E6"/>
    <w:rsid w:val="0091516B"/>
    <w:rsid w:val="009151F2"/>
    <w:rsid w:val="00915245"/>
    <w:rsid w:val="009152F3"/>
    <w:rsid w:val="00915310"/>
    <w:rsid w:val="0091531A"/>
    <w:rsid w:val="00915358"/>
    <w:rsid w:val="00915359"/>
    <w:rsid w:val="009153AF"/>
    <w:rsid w:val="00915419"/>
    <w:rsid w:val="0091544B"/>
    <w:rsid w:val="0091545A"/>
    <w:rsid w:val="009154DF"/>
    <w:rsid w:val="0091550F"/>
    <w:rsid w:val="00915556"/>
    <w:rsid w:val="0091555F"/>
    <w:rsid w:val="009155C5"/>
    <w:rsid w:val="00915649"/>
    <w:rsid w:val="00915665"/>
    <w:rsid w:val="009156E2"/>
    <w:rsid w:val="009156EE"/>
    <w:rsid w:val="00915710"/>
    <w:rsid w:val="00915721"/>
    <w:rsid w:val="00915743"/>
    <w:rsid w:val="00915746"/>
    <w:rsid w:val="009157D9"/>
    <w:rsid w:val="00915819"/>
    <w:rsid w:val="00915844"/>
    <w:rsid w:val="0091589A"/>
    <w:rsid w:val="0091596B"/>
    <w:rsid w:val="00915981"/>
    <w:rsid w:val="00915A0F"/>
    <w:rsid w:val="00915A6B"/>
    <w:rsid w:val="00915A7F"/>
    <w:rsid w:val="00915AC3"/>
    <w:rsid w:val="00915B0B"/>
    <w:rsid w:val="00915B51"/>
    <w:rsid w:val="00915B5D"/>
    <w:rsid w:val="00915C5C"/>
    <w:rsid w:val="00915C6C"/>
    <w:rsid w:val="00915CAF"/>
    <w:rsid w:val="00915D1F"/>
    <w:rsid w:val="00915D2C"/>
    <w:rsid w:val="00915D70"/>
    <w:rsid w:val="00915DF1"/>
    <w:rsid w:val="00915E6A"/>
    <w:rsid w:val="00915F1B"/>
    <w:rsid w:val="00915F71"/>
    <w:rsid w:val="00915F93"/>
    <w:rsid w:val="0091605F"/>
    <w:rsid w:val="00916106"/>
    <w:rsid w:val="00916146"/>
    <w:rsid w:val="00916193"/>
    <w:rsid w:val="009161A4"/>
    <w:rsid w:val="009161E7"/>
    <w:rsid w:val="00916267"/>
    <w:rsid w:val="0091629F"/>
    <w:rsid w:val="00916343"/>
    <w:rsid w:val="00916475"/>
    <w:rsid w:val="009164AD"/>
    <w:rsid w:val="009164BF"/>
    <w:rsid w:val="009164E8"/>
    <w:rsid w:val="009164F0"/>
    <w:rsid w:val="0091651D"/>
    <w:rsid w:val="0091659E"/>
    <w:rsid w:val="009165A4"/>
    <w:rsid w:val="009166E2"/>
    <w:rsid w:val="0091673A"/>
    <w:rsid w:val="00916778"/>
    <w:rsid w:val="00916788"/>
    <w:rsid w:val="009167C6"/>
    <w:rsid w:val="00916804"/>
    <w:rsid w:val="00916866"/>
    <w:rsid w:val="009168E9"/>
    <w:rsid w:val="0091691A"/>
    <w:rsid w:val="00916926"/>
    <w:rsid w:val="009169A8"/>
    <w:rsid w:val="009169C6"/>
    <w:rsid w:val="00916A70"/>
    <w:rsid w:val="00916AA6"/>
    <w:rsid w:val="00916AEC"/>
    <w:rsid w:val="00916B25"/>
    <w:rsid w:val="00916B60"/>
    <w:rsid w:val="00916BAE"/>
    <w:rsid w:val="00916BE4"/>
    <w:rsid w:val="00916C1D"/>
    <w:rsid w:val="00916C92"/>
    <w:rsid w:val="00916CE4"/>
    <w:rsid w:val="00916D34"/>
    <w:rsid w:val="00916D49"/>
    <w:rsid w:val="00916DCF"/>
    <w:rsid w:val="00916E81"/>
    <w:rsid w:val="00916ED9"/>
    <w:rsid w:val="00916EE8"/>
    <w:rsid w:val="00916F00"/>
    <w:rsid w:val="00916F20"/>
    <w:rsid w:val="00916F56"/>
    <w:rsid w:val="00916FA8"/>
    <w:rsid w:val="00916FDB"/>
    <w:rsid w:val="00916FDF"/>
    <w:rsid w:val="00916FE2"/>
    <w:rsid w:val="00916FF5"/>
    <w:rsid w:val="0091700A"/>
    <w:rsid w:val="00917093"/>
    <w:rsid w:val="009170CA"/>
    <w:rsid w:val="0091711D"/>
    <w:rsid w:val="0091712E"/>
    <w:rsid w:val="0091719A"/>
    <w:rsid w:val="009171EF"/>
    <w:rsid w:val="0091728D"/>
    <w:rsid w:val="009172AA"/>
    <w:rsid w:val="009172EA"/>
    <w:rsid w:val="00917339"/>
    <w:rsid w:val="009173B1"/>
    <w:rsid w:val="009173DE"/>
    <w:rsid w:val="009173DF"/>
    <w:rsid w:val="00917427"/>
    <w:rsid w:val="009174AE"/>
    <w:rsid w:val="009174BC"/>
    <w:rsid w:val="009174DF"/>
    <w:rsid w:val="0091764E"/>
    <w:rsid w:val="00917692"/>
    <w:rsid w:val="00917698"/>
    <w:rsid w:val="0091770E"/>
    <w:rsid w:val="00917750"/>
    <w:rsid w:val="009177FD"/>
    <w:rsid w:val="00917804"/>
    <w:rsid w:val="00917845"/>
    <w:rsid w:val="00917871"/>
    <w:rsid w:val="00917876"/>
    <w:rsid w:val="009178E8"/>
    <w:rsid w:val="009179B0"/>
    <w:rsid w:val="00917A2C"/>
    <w:rsid w:val="00917A36"/>
    <w:rsid w:val="00917AAD"/>
    <w:rsid w:val="00917AFB"/>
    <w:rsid w:val="00917B41"/>
    <w:rsid w:val="00917C71"/>
    <w:rsid w:val="00917CD3"/>
    <w:rsid w:val="00917CE2"/>
    <w:rsid w:val="00917D0E"/>
    <w:rsid w:val="00917D88"/>
    <w:rsid w:val="00917E1E"/>
    <w:rsid w:val="00917E42"/>
    <w:rsid w:val="00917E85"/>
    <w:rsid w:val="00917E8D"/>
    <w:rsid w:val="00917EA1"/>
    <w:rsid w:val="00917EB1"/>
    <w:rsid w:val="00917F56"/>
    <w:rsid w:val="00917F5E"/>
    <w:rsid w:val="00917FCE"/>
    <w:rsid w:val="00917FD5"/>
    <w:rsid w:val="00920005"/>
    <w:rsid w:val="00920059"/>
    <w:rsid w:val="009200D0"/>
    <w:rsid w:val="009200FA"/>
    <w:rsid w:val="0092015F"/>
    <w:rsid w:val="00920166"/>
    <w:rsid w:val="00920176"/>
    <w:rsid w:val="00920195"/>
    <w:rsid w:val="009201BC"/>
    <w:rsid w:val="009201CD"/>
    <w:rsid w:val="00920208"/>
    <w:rsid w:val="00920210"/>
    <w:rsid w:val="00920410"/>
    <w:rsid w:val="0092043F"/>
    <w:rsid w:val="0092044B"/>
    <w:rsid w:val="00920463"/>
    <w:rsid w:val="00920510"/>
    <w:rsid w:val="00920574"/>
    <w:rsid w:val="00920582"/>
    <w:rsid w:val="00920663"/>
    <w:rsid w:val="00920666"/>
    <w:rsid w:val="0092066A"/>
    <w:rsid w:val="00920692"/>
    <w:rsid w:val="009206B7"/>
    <w:rsid w:val="009206E8"/>
    <w:rsid w:val="0092072B"/>
    <w:rsid w:val="0092086D"/>
    <w:rsid w:val="0092089A"/>
    <w:rsid w:val="009208EE"/>
    <w:rsid w:val="00920905"/>
    <w:rsid w:val="00920958"/>
    <w:rsid w:val="009209A3"/>
    <w:rsid w:val="009209A8"/>
    <w:rsid w:val="009209BC"/>
    <w:rsid w:val="009209E3"/>
    <w:rsid w:val="00920AA3"/>
    <w:rsid w:val="00920AE6"/>
    <w:rsid w:val="00920B01"/>
    <w:rsid w:val="00920B0F"/>
    <w:rsid w:val="00920B1C"/>
    <w:rsid w:val="00920B30"/>
    <w:rsid w:val="00920C02"/>
    <w:rsid w:val="00920C50"/>
    <w:rsid w:val="00920C89"/>
    <w:rsid w:val="00920CD8"/>
    <w:rsid w:val="00920CEE"/>
    <w:rsid w:val="00920D6B"/>
    <w:rsid w:val="00920D9E"/>
    <w:rsid w:val="00920DA1"/>
    <w:rsid w:val="00920DAB"/>
    <w:rsid w:val="00920E1F"/>
    <w:rsid w:val="00920E47"/>
    <w:rsid w:val="00920E7A"/>
    <w:rsid w:val="00920F12"/>
    <w:rsid w:val="00920F38"/>
    <w:rsid w:val="00920F53"/>
    <w:rsid w:val="00920F6D"/>
    <w:rsid w:val="00920F72"/>
    <w:rsid w:val="00920F81"/>
    <w:rsid w:val="00920F8C"/>
    <w:rsid w:val="00921044"/>
    <w:rsid w:val="0092110A"/>
    <w:rsid w:val="00921117"/>
    <w:rsid w:val="00921123"/>
    <w:rsid w:val="00921190"/>
    <w:rsid w:val="0092119C"/>
    <w:rsid w:val="009211C1"/>
    <w:rsid w:val="009211CF"/>
    <w:rsid w:val="0092126B"/>
    <w:rsid w:val="0092127F"/>
    <w:rsid w:val="0092129A"/>
    <w:rsid w:val="009212EF"/>
    <w:rsid w:val="00921300"/>
    <w:rsid w:val="0092132F"/>
    <w:rsid w:val="00921416"/>
    <w:rsid w:val="00921428"/>
    <w:rsid w:val="00921430"/>
    <w:rsid w:val="00921487"/>
    <w:rsid w:val="009214EE"/>
    <w:rsid w:val="009214F3"/>
    <w:rsid w:val="00921588"/>
    <w:rsid w:val="00921595"/>
    <w:rsid w:val="009215CA"/>
    <w:rsid w:val="0092161C"/>
    <w:rsid w:val="00921630"/>
    <w:rsid w:val="00921666"/>
    <w:rsid w:val="009216E2"/>
    <w:rsid w:val="00921702"/>
    <w:rsid w:val="00921730"/>
    <w:rsid w:val="0092174E"/>
    <w:rsid w:val="0092178D"/>
    <w:rsid w:val="009217A1"/>
    <w:rsid w:val="00921801"/>
    <w:rsid w:val="00921811"/>
    <w:rsid w:val="00921817"/>
    <w:rsid w:val="00921824"/>
    <w:rsid w:val="0092184D"/>
    <w:rsid w:val="00921894"/>
    <w:rsid w:val="009218C6"/>
    <w:rsid w:val="00921943"/>
    <w:rsid w:val="0092194D"/>
    <w:rsid w:val="0092196D"/>
    <w:rsid w:val="009219F1"/>
    <w:rsid w:val="00921A8F"/>
    <w:rsid w:val="00921AFF"/>
    <w:rsid w:val="00921B3D"/>
    <w:rsid w:val="00921B5A"/>
    <w:rsid w:val="00921B79"/>
    <w:rsid w:val="00921B9E"/>
    <w:rsid w:val="00921BD3"/>
    <w:rsid w:val="00921CB2"/>
    <w:rsid w:val="00921D36"/>
    <w:rsid w:val="00921DF6"/>
    <w:rsid w:val="00921E32"/>
    <w:rsid w:val="00921EF9"/>
    <w:rsid w:val="00921F32"/>
    <w:rsid w:val="00921F7A"/>
    <w:rsid w:val="00921F98"/>
    <w:rsid w:val="00921F9F"/>
    <w:rsid w:val="00921FC5"/>
    <w:rsid w:val="00921FF2"/>
    <w:rsid w:val="00922072"/>
    <w:rsid w:val="009220C7"/>
    <w:rsid w:val="009220E7"/>
    <w:rsid w:val="009220F4"/>
    <w:rsid w:val="0092214D"/>
    <w:rsid w:val="0092215B"/>
    <w:rsid w:val="009221D0"/>
    <w:rsid w:val="00922282"/>
    <w:rsid w:val="00922315"/>
    <w:rsid w:val="00922387"/>
    <w:rsid w:val="0092239C"/>
    <w:rsid w:val="009223E6"/>
    <w:rsid w:val="0092242C"/>
    <w:rsid w:val="009224D3"/>
    <w:rsid w:val="00922534"/>
    <w:rsid w:val="0092253D"/>
    <w:rsid w:val="0092258A"/>
    <w:rsid w:val="009225B1"/>
    <w:rsid w:val="009225D5"/>
    <w:rsid w:val="00922608"/>
    <w:rsid w:val="009226B1"/>
    <w:rsid w:val="009226D4"/>
    <w:rsid w:val="0092273E"/>
    <w:rsid w:val="0092273F"/>
    <w:rsid w:val="00922778"/>
    <w:rsid w:val="009228D6"/>
    <w:rsid w:val="0092291D"/>
    <w:rsid w:val="00922920"/>
    <w:rsid w:val="0092294F"/>
    <w:rsid w:val="009229B5"/>
    <w:rsid w:val="00922A08"/>
    <w:rsid w:val="00922A13"/>
    <w:rsid w:val="00922A33"/>
    <w:rsid w:val="00922A5A"/>
    <w:rsid w:val="00922A62"/>
    <w:rsid w:val="00922B0A"/>
    <w:rsid w:val="00922C7A"/>
    <w:rsid w:val="00922D67"/>
    <w:rsid w:val="00922D70"/>
    <w:rsid w:val="00922DFD"/>
    <w:rsid w:val="00922E1A"/>
    <w:rsid w:val="00922E59"/>
    <w:rsid w:val="00922EBA"/>
    <w:rsid w:val="00922EC6"/>
    <w:rsid w:val="00922F20"/>
    <w:rsid w:val="00922F2E"/>
    <w:rsid w:val="00922F4E"/>
    <w:rsid w:val="00922FB0"/>
    <w:rsid w:val="00922FC8"/>
    <w:rsid w:val="00923000"/>
    <w:rsid w:val="00923077"/>
    <w:rsid w:val="0092312E"/>
    <w:rsid w:val="009231E7"/>
    <w:rsid w:val="009231F2"/>
    <w:rsid w:val="00923225"/>
    <w:rsid w:val="00923248"/>
    <w:rsid w:val="00923379"/>
    <w:rsid w:val="009233B3"/>
    <w:rsid w:val="009233BE"/>
    <w:rsid w:val="009233F4"/>
    <w:rsid w:val="00923403"/>
    <w:rsid w:val="00923475"/>
    <w:rsid w:val="00923497"/>
    <w:rsid w:val="0092349A"/>
    <w:rsid w:val="009234CF"/>
    <w:rsid w:val="00923512"/>
    <w:rsid w:val="00923514"/>
    <w:rsid w:val="0092353E"/>
    <w:rsid w:val="0092359D"/>
    <w:rsid w:val="0092360B"/>
    <w:rsid w:val="00923653"/>
    <w:rsid w:val="009236CA"/>
    <w:rsid w:val="009236CB"/>
    <w:rsid w:val="00923737"/>
    <w:rsid w:val="0092381D"/>
    <w:rsid w:val="00923862"/>
    <w:rsid w:val="00923890"/>
    <w:rsid w:val="009238CF"/>
    <w:rsid w:val="00923920"/>
    <w:rsid w:val="00923941"/>
    <w:rsid w:val="00923A38"/>
    <w:rsid w:val="00923A54"/>
    <w:rsid w:val="00923A67"/>
    <w:rsid w:val="00923AC6"/>
    <w:rsid w:val="00923AD3"/>
    <w:rsid w:val="00923AF3"/>
    <w:rsid w:val="00923B08"/>
    <w:rsid w:val="00923BBC"/>
    <w:rsid w:val="00923BBD"/>
    <w:rsid w:val="00923BCB"/>
    <w:rsid w:val="00923C04"/>
    <w:rsid w:val="00923C1A"/>
    <w:rsid w:val="00923C22"/>
    <w:rsid w:val="00923C27"/>
    <w:rsid w:val="00923C40"/>
    <w:rsid w:val="00923C66"/>
    <w:rsid w:val="00923C7C"/>
    <w:rsid w:val="00923CB1"/>
    <w:rsid w:val="00923CFD"/>
    <w:rsid w:val="00923D2D"/>
    <w:rsid w:val="00923D39"/>
    <w:rsid w:val="00923D4E"/>
    <w:rsid w:val="00923D60"/>
    <w:rsid w:val="00923DB8"/>
    <w:rsid w:val="00923DBF"/>
    <w:rsid w:val="00923DCE"/>
    <w:rsid w:val="00923DDD"/>
    <w:rsid w:val="00923E2D"/>
    <w:rsid w:val="00923F65"/>
    <w:rsid w:val="00923F6F"/>
    <w:rsid w:val="00923F93"/>
    <w:rsid w:val="00923FAD"/>
    <w:rsid w:val="00924027"/>
    <w:rsid w:val="0092406B"/>
    <w:rsid w:val="009240CA"/>
    <w:rsid w:val="00924111"/>
    <w:rsid w:val="00924157"/>
    <w:rsid w:val="009241A5"/>
    <w:rsid w:val="009241FC"/>
    <w:rsid w:val="0092421D"/>
    <w:rsid w:val="00924259"/>
    <w:rsid w:val="0092425B"/>
    <w:rsid w:val="009242B0"/>
    <w:rsid w:val="009242B4"/>
    <w:rsid w:val="009242FA"/>
    <w:rsid w:val="00924300"/>
    <w:rsid w:val="00924363"/>
    <w:rsid w:val="0092438C"/>
    <w:rsid w:val="00924421"/>
    <w:rsid w:val="00924424"/>
    <w:rsid w:val="0092448D"/>
    <w:rsid w:val="009244AF"/>
    <w:rsid w:val="009244F5"/>
    <w:rsid w:val="00924531"/>
    <w:rsid w:val="0092453B"/>
    <w:rsid w:val="00924559"/>
    <w:rsid w:val="009245B8"/>
    <w:rsid w:val="0092465F"/>
    <w:rsid w:val="009246B3"/>
    <w:rsid w:val="009246D7"/>
    <w:rsid w:val="009246F4"/>
    <w:rsid w:val="00924704"/>
    <w:rsid w:val="009247B8"/>
    <w:rsid w:val="009247FB"/>
    <w:rsid w:val="00924817"/>
    <w:rsid w:val="00924846"/>
    <w:rsid w:val="0092484B"/>
    <w:rsid w:val="00924860"/>
    <w:rsid w:val="009248A3"/>
    <w:rsid w:val="009248B3"/>
    <w:rsid w:val="0092492B"/>
    <w:rsid w:val="00924932"/>
    <w:rsid w:val="00924957"/>
    <w:rsid w:val="00924998"/>
    <w:rsid w:val="009249D2"/>
    <w:rsid w:val="00924B42"/>
    <w:rsid w:val="00924B53"/>
    <w:rsid w:val="00924B89"/>
    <w:rsid w:val="00924BB0"/>
    <w:rsid w:val="00924BF9"/>
    <w:rsid w:val="00924C0B"/>
    <w:rsid w:val="00924C3F"/>
    <w:rsid w:val="00924D37"/>
    <w:rsid w:val="00924E5B"/>
    <w:rsid w:val="00924E5C"/>
    <w:rsid w:val="00924EA3"/>
    <w:rsid w:val="00924EF3"/>
    <w:rsid w:val="00925061"/>
    <w:rsid w:val="0092506D"/>
    <w:rsid w:val="0092507B"/>
    <w:rsid w:val="009250AD"/>
    <w:rsid w:val="009250CB"/>
    <w:rsid w:val="00925187"/>
    <w:rsid w:val="009251DF"/>
    <w:rsid w:val="00925234"/>
    <w:rsid w:val="00925238"/>
    <w:rsid w:val="0092525B"/>
    <w:rsid w:val="00925273"/>
    <w:rsid w:val="00925281"/>
    <w:rsid w:val="0092529B"/>
    <w:rsid w:val="00925307"/>
    <w:rsid w:val="00925326"/>
    <w:rsid w:val="0092535D"/>
    <w:rsid w:val="00925379"/>
    <w:rsid w:val="009253EB"/>
    <w:rsid w:val="0092555B"/>
    <w:rsid w:val="00925584"/>
    <w:rsid w:val="009255CD"/>
    <w:rsid w:val="009255E2"/>
    <w:rsid w:val="00925668"/>
    <w:rsid w:val="00925669"/>
    <w:rsid w:val="0092566E"/>
    <w:rsid w:val="009256AC"/>
    <w:rsid w:val="009256C6"/>
    <w:rsid w:val="009256E1"/>
    <w:rsid w:val="009256E9"/>
    <w:rsid w:val="00925713"/>
    <w:rsid w:val="00925714"/>
    <w:rsid w:val="00925738"/>
    <w:rsid w:val="0092573A"/>
    <w:rsid w:val="0092573B"/>
    <w:rsid w:val="0092573F"/>
    <w:rsid w:val="00925760"/>
    <w:rsid w:val="0092579D"/>
    <w:rsid w:val="009257F5"/>
    <w:rsid w:val="009258A8"/>
    <w:rsid w:val="009258AA"/>
    <w:rsid w:val="009258AF"/>
    <w:rsid w:val="009259C1"/>
    <w:rsid w:val="009259F4"/>
    <w:rsid w:val="00925A0A"/>
    <w:rsid w:val="00925A47"/>
    <w:rsid w:val="00925A50"/>
    <w:rsid w:val="00925A7E"/>
    <w:rsid w:val="00925B67"/>
    <w:rsid w:val="00925B85"/>
    <w:rsid w:val="00925BAE"/>
    <w:rsid w:val="00925BB3"/>
    <w:rsid w:val="00925C08"/>
    <w:rsid w:val="00925C3F"/>
    <w:rsid w:val="00925C93"/>
    <w:rsid w:val="00925C9E"/>
    <w:rsid w:val="00925CC7"/>
    <w:rsid w:val="00925CC9"/>
    <w:rsid w:val="00925CCB"/>
    <w:rsid w:val="00925CE2"/>
    <w:rsid w:val="00925CFF"/>
    <w:rsid w:val="00925E11"/>
    <w:rsid w:val="00925E42"/>
    <w:rsid w:val="00925E88"/>
    <w:rsid w:val="00925EA4"/>
    <w:rsid w:val="00925F51"/>
    <w:rsid w:val="00925FAF"/>
    <w:rsid w:val="009260BD"/>
    <w:rsid w:val="0092611E"/>
    <w:rsid w:val="00926170"/>
    <w:rsid w:val="00926188"/>
    <w:rsid w:val="00926302"/>
    <w:rsid w:val="0092638A"/>
    <w:rsid w:val="009263CE"/>
    <w:rsid w:val="00926472"/>
    <w:rsid w:val="00926477"/>
    <w:rsid w:val="009264C9"/>
    <w:rsid w:val="00926512"/>
    <w:rsid w:val="00926524"/>
    <w:rsid w:val="00926558"/>
    <w:rsid w:val="00926564"/>
    <w:rsid w:val="00926587"/>
    <w:rsid w:val="0092659A"/>
    <w:rsid w:val="00926608"/>
    <w:rsid w:val="00926619"/>
    <w:rsid w:val="00926724"/>
    <w:rsid w:val="0092676E"/>
    <w:rsid w:val="0092677E"/>
    <w:rsid w:val="0092683A"/>
    <w:rsid w:val="00926855"/>
    <w:rsid w:val="00926887"/>
    <w:rsid w:val="00926A22"/>
    <w:rsid w:val="00926A24"/>
    <w:rsid w:val="00926A35"/>
    <w:rsid w:val="00926A98"/>
    <w:rsid w:val="00926AC6"/>
    <w:rsid w:val="00926ACB"/>
    <w:rsid w:val="00926AEE"/>
    <w:rsid w:val="00926B2D"/>
    <w:rsid w:val="00926CBA"/>
    <w:rsid w:val="00926CE5"/>
    <w:rsid w:val="00926D71"/>
    <w:rsid w:val="00926D8A"/>
    <w:rsid w:val="00926DA4"/>
    <w:rsid w:val="00926DD1"/>
    <w:rsid w:val="00926DEF"/>
    <w:rsid w:val="00926EE0"/>
    <w:rsid w:val="00926F5D"/>
    <w:rsid w:val="00926FB4"/>
    <w:rsid w:val="00926FD8"/>
    <w:rsid w:val="00926FD9"/>
    <w:rsid w:val="00926FF6"/>
    <w:rsid w:val="0092706F"/>
    <w:rsid w:val="00927091"/>
    <w:rsid w:val="009270B7"/>
    <w:rsid w:val="009270DB"/>
    <w:rsid w:val="00927169"/>
    <w:rsid w:val="009271C8"/>
    <w:rsid w:val="00927225"/>
    <w:rsid w:val="0092723C"/>
    <w:rsid w:val="0092724B"/>
    <w:rsid w:val="00927269"/>
    <w:rsid w:val="00927278"/>
    <w:rsid w:val="009272C6"/>
    <w:rsid w:val="009273A1"/>
    <w:rsid w:val="0092741C"/>
    <w:rsid w:val="00927420"/>
    <w:rsid w:val="00927480"/>
    <w:rsid w:val="0092750D"/>
    <w:rsid w:val="00927517"/>
    <w:rsid w:val="00927551"/>
    <w:rsid w:val="009275D4"/>
    <w:rsid w:val="00927601"/>
    <w:rsid w:val="0092767B"/>
    <w:rsid w:val="00927716"/>
    <w:rsid w:val="0092773E"/>
    <w:rsid w:val="00927821"/>
    <w:rsid w:val="00927830"/>
    <w:rsid w:val="00927869"/>
    <w:rsid w:val="009278AC"/>
    <w:rsid w:val="009278E0"/>
    <w:rsid w:val="0092790A"/>
    <w:rsid w:val="0092790C"/>
    <w:rsid w:val="00927914"/>
    <w:rsid w:val="00927961"/>
    <w:rsid w:val="00927972"/>
    <w:rsid w:val="0092798E"/>
    <w:rsid w:val="009279CD"/>
    <w:rsid w:val="00927A37"/>
    <w:rsid w:val="00927A79"/>
    <w:rsid w:val="00927A96"/>
    <w:rsid w:val="00927AC1"/>
    <w:rsid w:val="00927B01"/>
    <w:rsid w:val="00927B42"/>
    <w:rsid w:val="00927B5B"/>
    <w:rsid w:val="00927B6A"/>
    <w:rsid w:val="00927BD2"/>
    <w:rsid w:val="00927BD3"/>
    <w:rsid w:val="00927C02"/>
    <w:rsid w:val="00927C17"/>
    <w:rsid w:val="00927C8F"/>
    <w:rsid w:val="00927D79"/>
    <w:rsid w:val="00927DC0"/>
    <w:rsid w:val="00927E99"/>
    <w:rsid w:val="00927E9D"/>
    <w:rsid w:val="00927EAE"/>
    <w:rsid w:val="00927EC8"/>
    <w:rsid w:val="00927EEA"/>
    <w:rsid w:val="00927EEC"/>
    <w:rsid w:val="00927F14"/>
    <w:rsid w:val="00927F46"/>
    <w:rsid w:val="0093005E"/>
    <w:rsid w:val="0093011A"/>
    <w:rsid w:val="00930158"/>
    <w:rsid w:val="00930164"/>
    <w:rsid w:val="0093016A"/>
    <w:rsid w:val="009301C0"/>
    <w:rsid w:val="00930251"/>
    <w:rsid w:val="0093027E"/>
    <w:rsid w:val="00930383"/>
    <w:rsid w:val="00930391"/>
    <w:rsid w:val="009303ED"/>
    <w:rsid w:val="0093040B"/>
    <w:rsid w:val="00930435"/>
    <w:rsid w:val="00930470"/>
    <w:rsid w:val="00930476"/>
    <w:rsid w:val="009304DF"/>
    <w:rsid w:val="009304F8"/>
    <w:rsid w:val="0093056A"/>
    <w:rsid w:val="00930582"/>
    <w:rsid w:val="00930596"/>
    <w:rsid w:val="009305C2"/>
    <w:rsid w:val="0093060D"/>
    <w:rsid w:val="0093062C"/>
    <w:rsid w:val="00930689"/>
    <w:rsid w:val="009306BE"/>
    <w:rsid w:val="009306F1"/>
    <w:rsid w:val="0093074C"/>
    <w:rsid w:val="009307CE"/>
    <w:rsid w:val="0093084B"/>
    <w:rsid w:val="009308F4"/>
    <w:rsid w:val="00930969"/>
    <w:rsid w:val="009309AE"/>
    <w:rsid w:val="009309D1"/>
    <w:rsid w:val="00930A5B"/>
    <w:rsid w:val="00930A63"/>
    <w:rsid w:val="00930AD5"/>
    <w:rsid w:val="00930AF1"/>
    <w:rsid w:val="00930C25"/>
    <w:rsid w:val="00930C37"/>
    <w:rsid w:val="00930C39"/>
    <w:rsid w:val="00930C68"/>
    <w:rsid w:val="00930CAA"/>
    <w:rsid w:val="00930CC6"/>
    <w:rsid w:val="00930CD3"/>
    <w:rsid w:val="00930D09"/>
    <w:rsid w:val="00930D3F"/>
    <w:rsid w:val="00930D53"/>
    <w:rsid w:val="00930D5E"/>
    <w:rsid w:val="00930D92"/>
    <w:rsid w:val="00930DE6"/>
    <w:rsid w:val="00930E26"/>
    <w:rsid w:val="00930EAD"/>
    <w:rsid w:val="00930FAB"/>
    <w:rsid w:val="00930FB1"/>
    <w:rsid w:val="00930FDB"/>
    <w:rsid w:val="00930FE4"/>
    <w:rsid w:val="0093100D"/>
    <w:rsid w:val="00931047"/>
    <w:rsid w:val="009310D6"/>
    <w:rsid w:val="0093116D"/>
    <w:rsid w:val="00931175"/>
    <w:rsid w:val="0093119D"/>
    <w:rsid w:val="009311F6"/>
    <w:rsid w:val="0093129B"/>
    <w:rsid w:val="0093139E"/>
    <w:rsid w:val="009313C7"/>
    <w:rsid w:val="009313D6"/>
    <w:rsid w:val="00931419"/>
    <w:rsid w:val="00931480"/>
    <w:rsid w:val="0093158E"/>
    <w:rsid w:val="009315CC"/>
    <w:rsid w:val="009315E6"/>
    <w:rsid w:val="00931602"/>
    <w:rsid w:val="009316DD"/>
    <w:rsid w:val="00931702"/>
    <w:rsid w:val="0093170E"/>
    <w:rsid w:val="00931749"/>
    <w:rsid w:val="00931790"/>
    <w:rsid w:val="009317AD"/>
    <w:rsid w:val="00931883"/>
    <w:rsid w:val="00931893"/>
    <w:rsid w:val="009318A2"/>
    <w:rsid w:val="009318AE"/>
    <w:rsid w:val="009318BF"/>
    <w:rsid w:val="009318E7"/>
    <w:rsid w:val="0093190C"/>
    <w:rsid w:val="0093190E"/>
    <w:rsid w:val="00931946"/>
    <w:rsid w:val="009319BE"/>
    <w:rsid w:val="009319BF"/>
    <w:rsid w:val="00931A48"/>
    <w:rsid w:val="00931A6D"/>
    <w:rsid w:val="00931A91"/>
    <w:rsid w:val="00931AFB"/>
    <w:rsid w:val="00931BCA"/>
    <w:rsid w:val="00931BD3"/>
    <w:rsid w:val="00931BE1"/>
    <w:rsid w:val="00931C02"/>
    <w:rsid w:val="00931C40"/>
    <w:rsid w:val="00931C42"/>
    <w:rsid w:val="00931C45"/>
    <w:rsid w:val="00931C4F"/>
    <w:rsid w:val="00931D9B"/>
    <w:rsid w:val="00931DEE"/>
    <w:rsid w:val="00931E1D"/>
    <w:rsid w:val="00931E6A"/>
    <w:rsid w:val="00931F7C"/>
    <w:rsid w:val="00931FA1"/>
    <w:rsid w:val="00931FC0"/>
    <w:rsid w:val="0093201B"/>
    <w:rsid w:val="00932027"/>
    <w:rsid w:val="0093202C"/>
    <w:rsid w:val="0093203B"/>
    <w:rsid w:val="009320FF"/>
    <w:rsid w:val="0093219A"/>
    <w:rsid w:val="00932232"/>
    <w:rsid w:val="0093236C"/>
    <w:rsid w:val="0093237A"/>
    <w:rsid w:val="0093242F"/>
    <w:rsid w:val="00932463"/>
    <w:rsid w:val="009325CD"/>
    <w:rsid w:val="00932613"/>
    <w:rsid w:val="00932630"/>
    <w:rsid w:val="0093263E"/>
    <w:rsid w:val="00932670"/>
    <w:rsid w:val="0093271F"/>
    <w:rsid w:val="00932746"/>
    <w:rsid w:val="009327A5"/>
    <w:rsid w:val="009327C0"/>
    <w:rsid w:val="0093285C"/>
    <w:rsid w:val="009328E2"/>
    <w:rsid w:val="00932920"/>
    <w:rsid w:val="00932946"/>
    <w:rsid w:val="009329DA"/>
    <w:rsid w:val="00932A2A"/>
    <w:rsid w:val="00932A59"/>
    <w:rsid w:val="00932AAA"/>
    <w:rsid w:val="00932B0C"/>
    <w:rsid w:val="00932B3E"/>
    <w:rsid w:val="00932B51"/>
    <w:rsid w:val="00932B7D"/>
    <w:rsid w:val="00932BA1"/>
    <w:rsid w:val="00932C7B"/>
    <w:rsid w:val="00932D45"/>
    <w:rsid w:val="00932D92"/>
    <w:rsid w:val="00932E11"/>
    <w:rsid w:val="00932E81"/>
    <w:rsid w:val="00932E93"/>
    <w:rsid w:val="00932E9D"/>
    <w:rsid w:val="00932ED1"/>
    <w:rsid w:val="00932EE6"/>
    <w:rsid w:val="00932FF2"/>
    <w:rsid w:val="0093301C"/>
    <w:rsid w:val="0093306B"/>
    <w:rsid w:val="0093307A"/>
    <w:rsid w:val="009330F5"/>
    <w:rsid w:val="0093317E"/>
    <w:rsid w:val="00933182"/>
    <w:rsid w:val="009331A3"/>
    <w:rsid w:val="009331B2"/>
    <w:rsid w:val="00933282"/>
    <w:rsid w:val="00933298"/>
    <w:rsid w:val="009332D0"/>
    <w:rsid w:val="009332F8"/>
    <w:rsid w:val="0093332A"/>
    <w:rsid w:val="00933339"/>
    <w:rsid w:val="00933371"/>
    <w:rsid w:val="0093339C"/>
    <w:rsid w:val="009333A8"/>
    <w:rsid w:val="0093341D"/>
    <w:rsid w:val="0093346B"/>
    <w:rsid w:val="009334CC"/>
    <w:rsid w:val="009334D3"/>
    <w:rsid w:val="00933527"/>
    <w:rsid w:val="00933532"/>
    <w:rsid w:val="009335C4"/>
    <w:rsid w:val="0093363F"/>
    <w:rsid w:val="00933728"/>
    <w:rsid w:val="0093372C"/>
    <w:rsid w:val="0093376E"/>
    <w:rsid w:val="009337EA"/>
    <w:rsid w:val="009337FB"/>
    <w:rsid w:val="009338D3"/>
    <w:rsid w:val="0093390F"/>
    <w:rsid w:val="00933918"/>
    <w:rsid w:val="009339AB"/>
    <w:rsid w:val="00933A03"/>
    <w:rsid w:val="00933A3D"/>
    <w:rsid w:val="00933A56"/>
    <w:rsid w:val="00933A63"/>
    <w:rsid w:val="00933AD6"/>
    <w:rsid w:val="00933B23"/>
    <w:rsid w:val="00933B79"/>
    <w:rsid w:val="00933BF3"/>
    <w:rsid w:val="00933C8B"/>
    <w:rsid w:val="00933CC6"/>
    <w:rsid w:val="00933CCA"/>
    <w:rsid w:val="00933CE7"/>
    <w:rsid w:val="00933CF8"/>
    <w:rsid w:val="00933D27"/>
    <w:rsid w:val="00933D4B"/>
    <w:rsid w:val="00933D4E"/>
    <w:rsid w:val="00933DBD"/>
    <w:rsid w:val="00933E7C"/>
    <w:rsid w:val="00933EA8"/>
    <w:rsid w:val="00933F2E"/>
    <w:rsid w:val="00933F31"/>
    <w:rsid w:val="00933F71"/>
    <w:rsid w:val="00933FF3"/>
    <w:rsid w:val="0093402F"/>
    <w:rsid w:val="00934081"/>
    <w:rsid w:val="009340A5"/>
    <w:rsid w:val="00934107"/>
    <w:rsid w:val="0093411F"/>
    <w:rsid w:val="00934219"/>
    <w:rsid w:val="00934242"/>
    <w:rsid w:val="00934260"/>
    <w:rsid w:val="009342B9"/>
    <w:rsid w:val="009342F7"/>
    <w:rsid w:val="00934447"/>
    <w:rsid w:val="00934459"/>
    <w:rsid w:val="009344C2"/>
    <w:rsid w:val="009345A3"/>
    <w:rsid w:val="00934643"/>
    <w:rsid w:val="00934652"/>
    <w:rsid w:val="009346FE"/>
    <w:rsid w:val="0093472B"/>
    <w:rsid w:val="0093475E"/>
    <w:rsid w:val="0093476E"/>
    <w:rsid w:val="009347F1"/>
    <w:rsid w:val="00934856"/>
    <w:rsid w:val="00934870"/>
    <w:rsid w:val="0093491D"/>
    <w:rsid w:val="00934925"/>
    <w:rsid w:val="0093493D"/>
    <w:rsid w:val="009349EB"/>
    <w:rsid w:val="009349F4"/>
    <w:rsid w:val="00934A26"/>
    <w:rsid w:val="00934A7E"/>
    <w:rsid w:val="00934AA6"/>
    <w:rsid w:val="00934AD7"/>
    <w:rsid w:val="00934AF4"/>
    <w:rsid w:val="00934B43"/>
    <w:rsid w:val="00934BA1"/>
    <w:rsid w:val="00934C01"/>
    <w:rsid w:val="00934C3D"/>
    <w:rsid w:val="00934C81"/>
    <w:rsid w:val="00934D3D"/>
    <w:rsid w:val="00934DF5"/>
    <w:rsid w:val="00934E08"/>
    <w:rsid w:val="00934E1F"/>
    <w:rsid w:val="00934E83"/>
    <w:rsid w:val="00934E94"/>
    <w:rsid w:val="00934ED2"/>
    <w:rsid w:val="00934FC5"/>
    <w:rsid w:val="00935012"/>
    <w:rsid w:val="00935076"/>
    <w:rsid w:val="00935085"/>
    <w:rsid w:val="009350D3"/>
    <w:rsid w:val="00935118"/>
    <w:rsid w:val="00935136"/>
    <w:rsid w:val="009351DB"/>
    <w:rsid w:val="0093521B"/>
    <w:rsid w:val="0093523C"/>
    <w:rsid w:val="00935262"/>
    <w:rsid w:val="0093526C"/>
    <w:rsid w:val="00935284"/>
    <w:rsid w:val="00935330"/>
    <w:rsid w:val="00935331"/>
    <w:rsid w:val="00935371"/>
    <w:rsid w:val="009353C9"/>
    <w:rsid w:val="0093542D"/>
    <w:rsid w:val="0093543E"/>
    <w:rsid w:val="009354E6"/>
    <w:rsid w:val="00935579"/>
    <w:rsid w:val="009355DF"/>
    <w:rsid w:val="00935600"/>
    <w:rsid w:val="00935640"/>
    <w:rsid w:val="00935647"/>
    <w:rsid w:val="0093565F"/>
    <w:rsid w:val="009356AD"/>
    <w:rsid w:val="009356F9"/>
    <w:rsid w:val="0093573A"/>
    <w:rsid w:val="00935802"/>
    <w:rsid w:val="00935840"/>
    <w:rsid w:val="009358D4"/>
    <w:rsid w:val="00935963"/>
    <w:rsid w:val="009359A0"/>
    <w:rsid w:val="009359B2"/>
    <w:rsid w:val="009359E5"/>
    <w:rsid w:val="009359E8"/>
    <w:rsid w:val="00935A82"/>
    <w:rsid w:val="00935AC6"/>
    <w:rsid w:val="00935AFB"/>
    <w:rsid w:val="00935B5C"/>
    <w:rsid w:val="00935B62"/>
    <w:rsid w:val="00935BAA"/>
    <w:rsid w:val="00935BD1"/>
    <w:rsid w:val="00935BEC"/>
    <w:rsid w:val="00935CE7"/>
    <w:rsid w:val="00935D96"/>
    <w:rsid w:val="00935DE2"/>
    <w:rsid w:val="00935E07"/>
    <w:rsid w:val="00935E4F"/>
    <w:rsid w:val="00935EAA"/>
    <w:rsid w:val="00935F0A"/>
    <w:rsid w:val="00935F2A"/>
    <w:rsid w:val="00935F63"/>
    <w:rsid w:val="00935F7E"/>
    <w:rsid w:val="00936006"/>
    <w:rsid w:val="00936038"/>
    <w:rsid w:val="0093608C"/>
    <w:rsid w:val="009360C8"/>
    <w:rsid w:val="00936136"/>
    <w:rsid w:val="00936156"/>
    <w:rsid w:val="009361EF"/>
    <w:rsid w:val="0093633C"/>
    <w:rsid w:val="0093635E"/>
    <w:rsid w:val="0093644C"/>
    <w:rsid w:val="00936460"/>
    <w:rsid w:val="009364CB"/>
    <w:rsid w:val="0093651D"/>
    <w:rsid w:val="00936541"/>
    <w:rsid w:val="0093656F"/>
    <w:rsid w:val="00936593"/>
    <w:rsid w:val="009365B5"/>
    <w:rsid w:val="0093660A"/>
    <w:rsid w:val="00936661"/>
    <w:rsid w:val="009366E2"/>
    <w:rsid w:val="00936708"/>
    <w:rsid w:val="00936713"/>
    <w:rsid w:val="00936752"/>
    <w:rsid w:val="00936754"/>
    <w:rsid w:val="009367E3"/>
    <w:rsid w:val="00936849"/>
    <w:rsid w:val="0093688F"/>
    <w:rsid w:val="00936892"/>
    <w:rsid w:val="0093693D"/>
    <w:rsid w:val="00936986"/>
    <w:rsid w:val="0093699B"/>
    <w:rsid w:val="009369B7"/>
    <w:rsid w:val="00936A16"/>
    <w:rsid w:val="00936B00"/>
    <w:rsid w:val="00936B16"/>
    <w:rsid w:val="00936B22"/>
    <w:rsid w:val="00936B40"/>
    <w:rsid w:val="00936BB4"/>
    <w:rsid w:val="00936BC5"/>
    <w:rsid w:val="00936BD2"/>
    <w:rsid w:val="00936BF2"/>
    <w:rsid w:val="00936C01"/>
    <w:rsid w:val="00936C45"/>
    <w:rsid w:val="00936C7F"/>
    <w:rsid w:val="00936CAF"/>
    <w:rsid w:val="00936CD4"/>
    <w:rsid w:val="00936CDA"/>
    <w:rsid w:val="00936CE4"/>
    <w:rsid w:val="00936CEF"/>
    <w:rsid w:val="00936D12"/>
    <w:rsid w:val="00936DA8"/>
    <w:rsid w:val="00936DC3"/>
    <w:rsid w:val="00936DED"/>
    <w:rsid w:val="00936DFF"/>
    <w:rsid w:val="00936EFB"/>
    <w:rsid w:val="00936F3E"/>
    <w:rsid w:val="00936F70"/>
    <w:rsid w:val="00936F77"/>
    <w:rsid w:val="00936F9F"/>
    <w:rsid w:val="00936FC5"/>
    <w:rsid w:val="00937034"/>
    <w:rsid w:val="00937070"/>
    <w:rsid w:val="00937097"/>
    <w:rsid w:val="009370F3"/>
    <w:rsid w:val="00937105"/>
    <w:rsid w:val="00937124"/>
    <w:rsid w:val="00937178"/>
    <w:rsid w:val="009371B0"/>
    <w:rsid w:val="0093720D"/>
    <w:rsid w:val="0093723B"/>
    <w:rsid w:val="00937268"/>
    <w:rsid w:val="0093729B"/>
    <w:rsid w:val="009372D3"/>
    <w:rsid w:val="009372E0"/>
    <w:rsid w:val="0093730B"/>
    <w:rsid w:val="00937383"/>
    <w:rsid w:val="0093739C"/>
    <w:rsid w:val="009373B2"/>
    <w:rsid w:val="00937416"/>
    <w:rsid w:val="009374AB"/>
    <w:rsid w:val="009374CC"/>
    <w:rsid w:val="009374D5"/>
    <w:rsid w:val="0093750D"/>
    <w:rsid w:val="00937597"/>
    <w:rsid w:val="0093764D"/>
    <w:rsid w:val="009376A7"/>
    <w:rsid w:val="009376B7"/>
    <w:rsid w:val="00937711"/>
    <w:rsid w:val="00937719"/>
    <w:rsid w:val="0093772B"/>
    <w:rsid w:val="00937736"/>
    <w:rsid w:val="00937765"/>
    <w:rsid w:val="00937791"/>
    <w:rsid w:val="009377BF"/>
    <w:rsid w:val="009377DB"/>
    <w:rsid w:val="0093781E"/>
    <w:rsid w:val="00937846"/>
    <w:rsid w:val="009378C0"/>
    <w:rsid w:val="009378EA"/>
    <w:rsid w:val="0093794D"/>
    <w:rsid w:val="00937984"/>
    <w:rsid w:val="009379E2"/>
    <w:rsid w:val="00937A21"/>
    <w:rsid w:val="00937A3A"/>
    <w:rsid w:val="00937A40"/>
    <w:rsid w:val="00937A62"/>
    <w:rsid w:val="00937A79"/>
    <w:rsid w:val="00937B01"/>
    <w:rsid w:val="00937BF1"/>
    <w:rsid w:val="00937C26"/>
    <w:rsid w:val="00937C57"/>
    <w:rsid w:val="00937D93"/>
    <w:rsid w:val="00937DA3"/>
    <w:rsid w:val="00937E3A"/>
    <w:rsid w:val="00937E6A"/>
    <w:rsid w:val="00937E7B"/>
    <w:rsid w:val="00937F30"/>
    <w:rsid w:val="00937FAD"/>
    <w:rsid w:val="0094006F"/>
    <w:rsid w:val="009400C0"/>
    <w:rsid w:val="009400D7"/>
    <w:rsid w:val="009400F0"/>
    <w:rsid w:val="0094010B"/>
    <w:rsid w:val="009401A5"/>
    <w:rsid w:val="0094023F"/>
    <w:rsid w:val="009402A9"/>
    <w:rsid w:val="009402DD"/>
    <w:rsid w:val="00940344"/>
    <w:rsid w:val="009403EC"/>
    <w:rsid w:val="00940425"/>
    <w:rsid w:val="00940428"/>
    <w:rsid w:val="0094045D"/>
    <w:rsid w:val="0094048F"/>
    <w:rsid w:val="0094051E"/>
    <w:rsid w:val="00940566"/>
    <w:rsid w:val="00940577"/>
    <w:rsid w:val="0094058B"/>
    <w:rsid w:val="009405BB"/>
    <w:rsid w:val="009405C1"/>
    <w:rsid w:val="009405ED"/>
    <w:rsid w:val="00940626"/>
    <w:rsid w:val="00940754"/>
    <w:rsid w:val="00940755"/>
    <w:rsid w:val="00940764"/>
    <w:rsid w:val="0094076F"/>
    <w:rsid w:val="00940774"/>
    <w:rsid w:val="009407DA"/>
    <w:rsid w:val="00940833"/>
    <w:rsid w:val="009408A6"/>
    <w:rsid w:val="009409B7"/>
    <w:rsid w:val="00940AEF"/>
    <w:rsid w:val="00940AF9"/>
    <w:rsid w:val="00940B60"/>
    <w:rsid w:val="00940B90"/>
    <w:rsid w:val="00940B95"/>
    <w:rsid w:val="00940C18"/>
    <w:rsid w:val="00940D21"/>
    <w:rsid w:val="00940D37"/>
    <w:rsid w:val="00940DB1"/>
    <w:rsid w:val="00940DC4"/>
    <w:rsid w:val="00940DDF"/>
    <w:rsid w:val="00940DE6"/>
    <w:rsid w:val="00940DF4"/>
    <w:rsid w:val="00940E3C"/>
    <w:rsid w:val="00940E4A"/>
    <w:rsid w:val="00940E6C"/>
    <w:rsid w:val="00940EA7"/>
    <w:rsid w:val="00940ECE"/>
    <w:rsid w:val="00940F55"/>
    <w:rsid w:val="00940F79"/>
    <w:rsid w:val="00940F94"/>
    <w:rsid w:val="00940FFB"/>
    <w:rsid w:val="0094100B"/>
    <w:rsid w:val="00941024"/>
    <w:rsid w:val="00941070"/>
    <w:rsid w:val="00941199"/>
    <w:rsid w:val="00941223"/>
    <w:rsid w:val="0094122A"/>
    <w:rsid w:val="009412E8"/>
    <w:rsid w:val="00941364"/>
    <w:rsid w:val="0094138E"/>
    <w:rsid w:val="0094141A"/>
    <w:rsid w:val="0094147D"/>
    <w:rsid w:val="0094148B"/>
    <w:rsid w:val="0094148C"/>
    <w:rsid w:val="009414F5"/>
    <w:rsid w:val="0094156B"/>
    <w:rsid w:val="00941599"/>
    <w:rsid w:val="009415A9"/>
    <w:rsid w:val="00941607"/>
    <w:rsid w:val="00941698"/>
    <w:rsid w:val="009416E0"/>
    <w:rsid w:val="009416EA"/>
    <w:rsid w:val="009417B2"/>
    <w:rsid w:val="009418C6"/>
    <w:rsid w:val="009418F0"/>
    <w:rsid w:val="00941937"/>
    <w:rsid w:val="009419D3"/>
    <w:rsid w:val="009419E3"/>
    <w:rsid w:val="00941A18"/>
    <w:rsid w:val="00941A1F"/>
    <w:rsid w:val="00941A30"/>
    <w:rsid w:val="00941A3E"/>
    <w:rsid w:val="00941A58"/>
    <w:rsid w:val="00941A79"/>
    <w:rsid w:val="00941AEA"/>
    <w:rsid w:val="00941B44"/>
    <w:rsid w:val="00941B47"/>
    <w:rsid w:val="00941BE8"/>
    <w:rsid w:val="00941C0C"/>
    <w:rsid w:val="00941C2A"/>
    <w:rsid w:val="00941C77"/>
    <w:rsid w:val="00941DAE"/>
    <w:rsid w:val="00941E57"/>
    <w:rsid w:val="00941E6C"/>
    <w:rsid w:val="00941EC0"/>
    <w:rsid w:val="00941F51"/>
    <w:rsid w:val="0094200D"/>
    <w:rsid w:val="0094207A"/>
    <w:rsid w:val="0094209D"/>
    <w:rsid w:val="009420C8"/>
    <w:rsid w:val="0094211B"/>
    <w:rsid w:val="00942161"/>
    <w:rsid w:val="00942183"/>
    <w:rsid w:val="0094218B"/>
    <w:rsid w:val="009421DC"/>
    <w:rsid w:val="00942240"/>
    <w:rsid w:val="0094226F"/>
    <w:rsid w:val="0094228F"/>
    <w:rsid w:val="009422C7"/>
    <w:rsid w:val="009422F6"/>
    <w:rsid w:val="00942317"/>
    <w:rsid w:val="0094239E"/>
    <w:rsid w:val="009423C1"/>
    <w:rsid w:val="00942441"/>
    <w:rsid w:val="00942456"/>
    <w:rsid w:val="00942466"/>
    <w:rsid w:val="00942589"/>
    <w:rsid w:val="00942593"/>
    <w:rsid w:val="009425EB"/>
    <w:rsid w:val="00942610"/>
    <w:rsid w:val="00942614"/>
    <w:rsid w:val="00942682"/>
    <w:rsid w:val="009426A2"/>
    <w:rsid w:val="0094272C"/>
    <w:rsid w:val="009427D2"/>
    <w:rsid w:val="00942824"/>
    <w:rsid w:val="0094286F"/>
    <w:rsid w:val="009428D4"/>
    <w:rsid w:val="0094290A"/>
    <w:rsid w:val="00942929"/>
    <w:rsid w:val="0094295F"/>
    <w:rsid w:val="009429DE"/>
    <w:rsid w:val="00942A09"/>
    <w:rsid w:val="00942A24"/>
    <w:rsid w:val="00942A64"/>
    <w:rsid w:val="00942A7E"/>
    <w:rsid w:val="00942B24"/>
    <w:rsid w:val="00942B3E"/>
    <w:rsid w:val="00942B4D"/>
    <w:rsid w:val="00942B73"/>
    <w:rsid w:val="00942BBA"/>
    <w:rsid w:val="00942BBE"/>
    <w:rsid w:val="00942BD8"/>
    <w:rsid w:val="00942BE8"/>
    <w:rsid w:val="00942C13"/>
    <w:rsid w:val="00942C67"/>
    <w:rsid w:val="00942C81"/>
    <w:rsid w:val="00942CA1"/>
    <w:rsid w:val="00942CD3"/>
    <w:rsid w:val="00942D4E"/>
    <w:rsid w:val="00942D68"/>
    <w:rsid w:val="00942D8B"/>
    <w:rsid w:val="00942DA5"/>
    <w:rsid w:val="00942DB1"/>
    <w:rsid w:val="00942E5D"/>
    <w:rsid w:val="00942E6D"/>
    <w:rsid w:val="00942F56"/>
    <w:rsid w:val="00942FBB"/>
    <w:rsid w:val="00942FE3"/>
    <w:rsid w:val="00943119"/>
    <w:rsid w:val="00943159"/>
    <w:rsid w:val="0094317E"/>
    <w:rsid w:val="009432C6"/>
    <w:rsid w:val="009432DF"/>
    <w:rsid w:val="009432ED"/>
    <w:rsid w:val="009432FE"/>
    <w:rsid w:val="0094331F"/>
    <w:rsid w:val="00943352"/>
    <w:rsid w:val="00943404"/>
    <w:rsid w:val="00943476"/>
    <w:rsid w:val="0094347F"/>
    <w:rsid w:val="00943511"/>
    <w:rsid w:val="00943563"/>
    <w:rsid w:val="0094358B"/>
    <w:rsid w:val="009435DB"/>
    <w:rsid w:val="009435FF"/>
    <w:rsid w:val="009436B5"/>
    <w:rsid w:val="009436F0"/>
    <w:rsid w:val="0094376E"/>
    <w:rsid w:val="009437B2"/>
    <w:rsid w:val="009437C9"/>
    <w:rsid w:val="009437D9"/>
    <w:rsid w:val="009437DF"/>
    <w:rsid w:val="009437F2"/>
    <w:rsid w:val="0094380A"/>
    <w:rsid w:val="009438AC"/>
    <w:rsid w:val="009438E7"/>
    <w:rsid w:val="009438F5"/>
    <w:rsid w:val="00943920"/>
    <w:rsid w:val="00943937"/>
    <w:rsid w:val="0094395D"/>
    <w:rsid w:val="00943967"/>
    <w:rsid w:val="009439F3"/>
    <w:rsid w:val="009439F6"/>
    <w:rsid w:val="00943A4E"/>
    <w:rsid w:val="00943A94"/>
    <w:rsid w:val="00943AB7"/>
    <w:rsid w:val="00943B0F"/>
    <w:rsid w:val="00943B33"/>
    <w:rsid w:val="00943BD4"/>
    <w:rsid w:val="00943BEB"/>
    <w:rsid w:val="00943E41"/>
    <w:rsid w:val="00943E72"/>
    <w:rsid w:val="00943E91"/>
    <w:rsid w:val="00943F07"/>
    <w:rsid w:val="00943F12"/>
    <w:rsid w:val="00943F56"/>
    <w:rsid w:val="00943F59"/>
    <w:rsid w:val="00943FF3"/>
    <w:rsid w:val="0094401B"/>
    <w:rsid w:val="009440B0"/>
    <w:rsid w:val="009440F6"/>
    <w:rsid w:val="0094420D"/>
    <w:rsid w:val="00944216"/>
    <w:rsid w:val="0094422B"/>
    <w:rsid w:val="00944253"/>
    <w:rsid w:val="0094425A"/>
    <w:rsid w:val="00944276"/>
    <w:rsid w:val="009442F1"/>
    <w:rsid w:val="0094432F"/>
    <w:rsid w:val="009443C8"/>
    <w:rsid w:val="0094447F"/>
    <w:rsid w:val="009444B9"/>
    <w:rsid w:val="0094454D"/>
    <w:rsid w:val="00944577"/>
    <w:rsid w:val="00944616"/>
    <w:rsid w:val="00944743"/>
    <w:rsid w:val="00944765"/>
    <w:rsid w:val="00944766"/>
    <w:rsid w:val="009447CE"/>
    <w:rsid w:val="009447D6"/>
    <w:rsid w:val="00944807"/>
    <w:rsid w:val="00944821"/>
    <w:rsid w:val="009448A6"/>
    <w:rsid w:val="009448AD"/>
    <w:rsid w:val="0094490A"/>
    <w:rsid w:val="00944991"/>
    <w:rsid w:val="009449B7"/>
    <w:rsid w:val="00944A1C"/>
    <w:rsid w:val="00944A51"/>
    <w:rsid w:val="00944A5D"/>
    <w:rsid w:val="00944A9F"/>
    <w:rsid w:val="00944AA2"/>
    <w:rsid w:val="00944ABA"/>
    <w:rsid w:val="00944B1E"/>
    <w:rsid w:val="00944B5A"/>
    <w:rsid w:val="00944B62"/>
    <w:rsid w:val="00944B95"/>
    <w:rsid w:val="00944B99"/>
    <w:rsid w:val="00944BA1"/>
    <w:rsid w:val="00944C82"/>
    <w:rsid w:val="00944CA6"/>
    <w:rsid w:val="00944D1E"/>
    <w:rsid w:val="00944D28"/>
    <w:rsid w:val="00944D63"/>
    <w:rsid w:val="00944DD9"/>
    <w:rsid w:val="00944E4C"/>
    <w:rsid w:val="00944E77"/>
    <w:rsid w:val="00944ED4"/>
    <w:rsid w:val="00944EF9"/>
    <w:rsid w:val="00944F0B"/>
    <w:rsid w:val="00944F0E"/>
    <w:rsid w:val="00944F40"/>
    <w:rsid w:val="00944F4E"/>
    <w:rsid w:val="00944F5E"/>
    <w:rsid w:val="00944F76"/>
    <w:rsid w:val="00944F80"/>
    <w:rsid w:val="00945003"/>
    <w:rsid w:val="009450A5"/>
    <w:rsid w:val="009450D3"/>
    <w:rsid w:val="00945150"/>
    <w:rsid w:val="009451A6"/>
    <w:rsid w:val="00945358"/>
    <w:rsid w:val="00945369"/>
    <w:rsid w:val="009453C8"/>
    <w:rsid w:val="00945491"/>
    <w:rsid w:val="0094549D"/>
    <w:rsid w:val="009454E5"/>
    <w:rsid w:val="00945510"/>
    <w:rsid w:val="00945559"/>
    <w:rsid w:val="00945597"/>
    <w:rsid w:val="0094559F"/>
    <w:rsid w:val="009455B1"/>
    <w:rsid w:val="00945666"/>
    <w:rsid w:val="0094568C"/>
    <w:rsid w:val="009456A9"/>
    <w:rsid w:val="00945718"/>
    <w:rsid w:val="00945725"/>
    <w:rsid w:val="009457C9"/>
    <w:rsid w:val="00945801"/>
    <w:rsid w:val="009458CC"/>
    <w:rsid w:val="00945910"/>
    <w:rsid w:val="00945933"/>
    <w:rsid w:val="00945942"/>
    <w:rsid w:val="009459F1"/>
    <w:rsid w:val="00945A00"/>
    <w:rsid w:val="00945A1C"/>
    <w:rsid w:val="00945A73"/>
    <w:rsid w:val="00945AD9"/>
    <w:rsid w:val="00945AEC"/>
    <w:rsid w:val="00945B20"/>
    <w:rsid w:val="00945B39"/>
    <w:rsid w:val="00945B71"/>
    <w:rsid w:val="00945BA7"/>
    <w:rsid w:val="00945BBE"/>
    <w:rsid w:val="00945C00"/>
    <w:rsid w:val="00945C3B"/>
    <w:rsid w:val="00945C46"/>
    <w:rsid w:val="00945CCF"/>
    <w:rsid w:val="00945CFD"/>
    <w:rsid w:val="00945D13"/>
    <w:rsid w:val="00945DAE"/>
    <w:rsid w:val="00945DC6"/>
    <w:rsid w:val="00945E5C"/>
    <w:rsid w:val="00945EA9"/>
    <w:rsid w:val="00945EAA"/>
    <w:rsid w:val="00945ED6"/>
    <w:rsid w:val="00945F6C"/>
    <w:rsid w:val="00945F97"/>
    <w:rsid w:val="00945F9F"/>
    <w:rsid w:val="0094604D"/>
    <w:rsid w:val="009460B5"/>
    <w:rsid w:val="00946104"/>
    <w:rsid w:val="0094610F"/>
    <w:rsid w:val="0094614B"/>
    <w:rsid w:val="0094622F"/>
    <w:rsid w:val="0094632C"/>
    <w:rsid w:val="009463A2"/>
    <w:rsid w:val="009463AF"/>
    <w:rsid w:val="009463B4"/>
    <w:rsid w:val="00946417"/>
    <w:rsid w:val="0094644E"/>
    <w:rsid w:val="00946462"/>
    <w:rsid w:val="009464DA"/>
    <w:rsid w:val="0094650A"/>
    <w:rsid w:val="0094652A"/>
    <w:rsid w:val="0094655B"/>
    <w:rsid w:val="00946618"/>
    <w:rsid w:val="00946695"/>
    <w:rsid w:val="009466A5"/>
    <w:rsid w:val="009466AC"/>
    <w:rsid w:val="009466B0"/>
    <w:rsid w:val="0094673F"/>
    <w:rsid w:val="00946778"/>
    <w:rsid w:val="009467D7"/>
    <w:rsid w:val="00946836"/>
    <w:rsid w:val="0094684B"/>
    <w:rsid w:val="00946876"/>
    <w:rsid w:val="009468B2"/>
    <w:rsid w:val="009468D5"/>
    <w:rsid w:val="00946951"/>
    <w:rsid w:val="009469BF"/>
    <w:rsid w:val="009469ED"/>
    <w:rsid w:val="00946A0E"/>
    <w:rsid w:val="00946A67"/>
    <w:rsid w:val="00946AAA"/>
    <w:rsid w:val="00946AB4"/>
    <w:rsid w:val="00946AF8"/>
    <w:rsid w:val="00946B79"/>
    <w:rsid w:val="00946BD9"/>
    <w:rsid w:val="00946C08"/>
    <w:rsid w:val="00946CA0"/>
    <w:rsid w:val="00946CC4"/>
    <w:rsid w:val="00946DA4"/>
    <w:rsid w:val="00946DB4"/>
    <w:rsid w:val="00946DEE"/>
    <w:rsid w:val="00946ED4"/>
    <w:rsid w:val="00946ED9"/>
    <w:rsid w:val="00946EFF"/>
    <w:rsid w:val="00946F81"/>
    <w:rsid w:val="00946FC7"/>
    <w:rsid w:val="00946FE6"/>
    <w:rsid w:val="00947017"/>
    <w:rsid w:val="0094701D"/>
    <w:rsid w:val="00947028"/>
    <w:rsid w:val="00947055"/>
    <w:rsid w:val="009470B3"/>
    <w:rsid w:val="009470CB"/>
    <w:rsid w:val="009470F3"/>
    <w:rsid w:val="0094712D"/>
    <w:rsid w:val="00947172"/>
    <w:rsid w:val="00947198"/>
    <w:rsid w:val="00947268"/>
    <w:rsid w:val="009472C9"/>
    <w:rsid w:val="009472D5"/>
    <w:rsid w:val="009472DB"/>
    <w:rsid w:val="0094735A"/>
    <w:rsid w:val="00947375"/>
    <w:rsid w:val="00947378"/>
    <w:rsid w:val="0094737D"/>
    <w:rsid w:val="009474DD"/>
    <w:rsid w:val="009474E2"/>
    <w:rsid w:val="00947519"/>
    <w:rsid w:val="00947548"/>
    <w:rsid w:val="009475D5"/>
    <w:rsid w:val="009475F4"/>
    <w:rsid w:val="009475FB"/>
    <w:rsid w:val="0094767A"/>
    <w:rsid w:val="0094775A"/>
    <w:rsid w:val="00947763"/>
    <w:rsid w:val="009477A2"/>
    <w:rsid w:val="009477AD"/>
    <w:rsid w:val="009477CD"/>
    <w:rsid w:val="0094782D"/>
    <w:rsid w:val="00947831"/>
    <w:rsid w:val="0094786E"/>
    <w:rsid w:val="00947879"/>
    <w:rsid w:val="009478B7"/>
    <w:rsid w:val="009478D2"/>
    <w:rsid w:val="009478ED"/>
    <w:rsid w:val="0094790F"/>
    <w:rsid w:val="00947920"/>
    <w:rsid w:val="00947960"/>
    <w:rsid w:val="00947965"/>
    <w:rsid w:val="0094799D"/>
    <w:rsid w:val="009479A0"/>
    <w:rsid w:val="009479F3"/>
    <w:rsid w:val="00947A06"/>
    <w:rsid w:val="00947A32"/>
    <w:rsid w:val="00947A53"/>
    <w:rsid w:val="00947B03"/>
    <w:rsid w:val="00947B78"/>
    <w:rsid w:val="00947C68"/>
    <w:rsid w:val="00947C6B"/>
    <w:rsid w:val="00947C88"/>
    <w:rsid w:val="00947CB4"/>
    <w:rsid w:val="00947CF3"/>
    <w:rsid w:val="00947CFF"/>
    <w:rsid w:val="00947D21"/>
    <w:rsid w:val="00947DB8"/>
    <w:rsid w:val="00947DDD"/>
    <w:rsid w:val="00947E0D"/>
    <w:rsid w:val="00947E20"/>
    <w:rsid w:val="00947EA6"/>
    <w:rsid w:val="00947EE7"/>
    <w:rsid w:val="00947F00"/>
    <w:rsid w:val="00947FE5"/>
    <w:rsid w:val="00950065"/>
    <w:rsid w:val="009500EA"/>
    <w:rsid w:val="0095018C"/>
    <w:rsid w:val="00950262"/>
    <w:rsid w:val="009502A2"/>
    <w:rsid w:val="009502F1"/>
    <w:rsid w:val="00950316"/>
    <w:rsid w:val="009503BB"/>
    <w:rsid w:val="009503E2"/>
    <w:rsid w:val="0095047B"/>
    <w:rsid w:val="009504E3"/>
    <w:rsid w:val="0095051F"/>
    <w:rsid w:val="00950528"/>
    <w:rsid w:val="00950533"/>
    <w:rsid w:val="009505B6"/>
    <w:rsid w:val="00950645"/>
    <w:rsid w:val="00950651"/>
    <w:rsid w:val="00950655"/>
    <w:rsid w:val="0095065A"/>
    <w:rsid w:val="00950681"/>
    <w:rsid w:val="009506B4"/>
    <w:rsid w:val="009506C3"/>
    <w:rsid w:val="009506CF"/>
    <w:rsid w:val="0095082D"/>
    <w:rsid w:val="00950869"/>
    <w:rsid w:val="0095088F"/>
    <w:rsid w:val="00950893"/>
    <w:rsid w:val="009508E8"/>
    <w:rsid w:val="00950919"/>
    <w:rsid w:val="00950935"/>
    <w:rsid w:val="00950996"/>
    <w:rsid w:val="0095099B"/>
    <w:rsid w:val="00950A78"/>
    <w:rsid w:val="00950AE4"/>
    <w:rsid w:val="00950B10"/>
    <w:rsid w:val="00950BBB"/>
    <w:rsid w:val="00950BCE"/>
    <w:rsid w:val="00950C68"/>
    <w:rsid w:val="00950C69"/>
    <w:rsid w:val="00950DB0"/>
    <w:rsid w:val="00950E1D"/>
    <w:rsid w:val="00950E6D"/>
    <w:rsid w:val="00950F0D"/>
    <w:rsid w:val="00950F6C"/>
    <w:rsid w:val="00950F9E"/>
    <w:rsid w:val="0095101E"/>
    <w:rsid w:val="009510BF"/>
    <w:rsid w:val="009510E1"/>
    <w:rsid w:val="00951111"/>
    <w:rsid w:val="0095112A"/>
    <w:rsid w:val="00951152"/>
    <w:rsid w:val="0095117D"/>
    <w:rsid w:val="009511FC"/>
    <w:rsid w:val="00951228"/>
    <w:rsid w:val="00951282"/>
    <w:rsid w:val="00951330"/>
    <w:rsid w:val="00951356"/>
    <w:rsid w:val="009513A9"/>
    <w:rsid w:val="00951409"/>
    <w:rsid w:val="009514A2"/>
    <w:rsid w:val="009514F1"/>
    <w:rsid w:val="0095153D"/>
    <w:rsid w:val="00951602"/>
    <w:rsid w:val="0095162C"/>
    <w:rsid w:val="00951630"/>
    <w:rsid w:val="0095166F"/>
    <w:rsid w:val="009516FF"/>
    <w:rsid w:val="00951747"/>
    <w:rsid w:val="00951783"/>
    <w:rsid w:val="0095179B"/>
    <w:rsid w:val="009517FB"/>
    <w:rsid w:val="0095181D"/>
    <w:rsid w:val="009518FF"/>
    <w:rsid w:val="00951971"/>
    <w:rsid w:val="00951976"/>
    <w:rsid w:val="00951987"/>
    <w:rsid w:val="00951989"/>
    <w:rsid w:val="009519B0"/>
    <w:rsid w:val="009519B8"/>
    <w:rsid w:val="009519F8"/>
    <w:rsid w:val="00951A36"/>
    <w:rsid w:val="00951A6F"/>
    <w:rsid w:val="00951B01"/>
    <w:rsid w:val="00951BFA"/>
    <w:rsid w:val="00951C57"/>
    <w:rsid w:val="00951CD7"/>
    <w:rsid w:val="00951D02"/>
    <w:rsid w:val="00951D28"/>
    <w:rsid w:val="00951D80"/>
    <w:rsid w:val="00951D8F"/>
    <w:rsid w:val="00951E3B"/>
    <w:rsid w:val="00951E50"/>
    <w:rsid w:val="00951E57"/>
    <w:rsid w:val="00951EE2"/>
    <w:rsid w:val="00951EE9"/>
    <w:rsid w:val="00951EF7"/>
    <w:rsid w:val="00951F0A"/>
    <w:rsid w:val="00951F6D"/>
    <w:rsid w:val="00951FE0"/>
    <w:rsid w:val="00951FE8"/>
    <w:rsid w:val="00952018"/>
    <w:rsid w:val="0095201C"/>
    <w:rsid w:val="00952064"/>
    <w:rsid w:val="009520D9"/>
    <w:rsid w:val="009520F9"/>
    <w:rsid w:val="00952151"/>
    <w:rsid w:val="0095215F"/>
    <w:rsid w:val="00952172"/>
    <w:rsid w:val="00952236"/>
    <w:rsid w:val="0095226D"/>
    <w:rsid w:val="009522A7"/>
    <w:rsid w:val="009522C5"/>
    <w:rsid w:val="009522D9"/>
    <w:rsid w:val="00952300"/>
    <w:rsid w:val="0095232F"/>
    <w:rsid w:val="009523E4"/>
    <w:rsid w:val="009523F4"/>
    <w:rsid w:val="00952421"/>
    <w:rsid w:val="00952438"/>
    <w:rsid w:val="009524C5"/>
    <w:rsid w:val="009524D4"/>
    <w:rsid w:val="00952538"/>
    <w:rsid w:val="00952571"/>
    <w:rsid w:val="0095258F"/>
    <w:rsid w:val="0095259B"/>
    <w:rsid w:val="009525A0"/>
    <w:rsid w:val="00952641"/>
    <w:rsid w:val="009526D8"/>
    <w:rsid w:val="009526EC"/>
    <w:rsid w:val="009526FC"/>
    <w:rsid w:val="00952721"/>
    <w:rsid w:val="00952754"/>
    <w:rsid w:val="0095280B"/>
    <w:rsid w:val="00952863"/>
    <w:rsid w:val="00952864"/>
    <w:rsid w:val="009528F4"/>
    <w:rsid w:val="00952907"/>
    <w:rsid w:val="00952969"/>
    <w:rsid w:val="0095298C"/>
    <w:rsid w:val="00952999"/>
    <w:rsid w:val="00952A7F"/>
    <w:rsid w:val="00952B2A"/>
    <w:rsid w:val="00952B94"/>
    <w:rsid w:val="00952BAC"/>
    <w:rsid w:val="00952BB2"/>
    <w:rsid w:val="00952BB8"/>
    <w:rsid w:val="00952BCA"/>
    <w:rsid w:val="00952C01"/>
    <w:rsid w:val="00952CD7"/>
    <w:rsid w:val="00952CF3"/>
    <w:rsid w:val="00952DE3"/>
    <w:rsid w:val="00952E32"/>
    <w:rsid w:val="00952E81"/>
    <w:rsid w:val="00952E86"/>
    <w:rsid w:val="00952E9B"/>
    <w:rsid w:val="00952EF6"/>
    <w:rsid w:val="00952FA3"/>
    <w:rsid w:val="0095302F"/>
    <w:rsid w:val="0095307F"/>
    <w:rsid w:val="00953081"/>
    <w:rsid w:val="0095308D"/>
    <w:rsid w:val="00953193"/>
    <w:rsid w:val="009531B2"/>
    <w:rsid w:val="009531DF"/>
    <w:rsid w:val="009531F9"/>
    <w:rsid w:val="00953262"/>
    <w:rsid w:val="009532A4"/>
    <w:rsid w:val="00953329"/>
    <w:rsid w:val="00953393"/>
    <w:rsid w:val="00953396"/>
    <w:rsid w:val="00953397"/>
    <w:rsid w:val="009533C2"/>
    <w:rsid w:val="00953430"/>
    <w:rsid w:val="0095345A"/>
    <w:rsid w:val="009534ED"/>
    <w:rsid w:val="00953518"/>
    <w:rsid w:val="00953556"/>
    <w:rsid w:val="009535CE"/>
    <w:rsid w:val="00953604"/>
    <w:rsid w:val="00953630"/>
    <w:rsid w:val="0095363C"/>
    <w:rsid w:val="009536A4"/>
    <w:rsid w:val="009536C2"/>
    <w:rsid w:val="009536CD"/>
    <w:rsid w:val="009537AE"/>
    <w:rsid w:val="009537F9"/>
    <w:rsid w:val="0095380D"/>
    <w:rsid w:val="009538A0"/>
    <w:rsid w:val="009538B7"/>
    <w:rsid w:val="009538C0"/>
    <w:rsid w:val="00953941"/>
    <w:rsid w:val="00953994"/>
    <w:rsid w:val="009539E3"/>
    <w:rsid w:val="00953A0C"/>
    <w:rsid w:val="00953A81"/>
    <w:rsid w:val="00953B72"/>
    <w:rsid w:val="00953B78"/>
    <w:rsid w:val="00953C1B"/>
    <w:rsid w:val="00953C58"/>
    <w:rsid w:val="00953CB0"/>
    <w:rsid w:val="00953CE5"/>
    <w:rsid w:val="00953CF4"/>
    <w:rsid w:val="00953EB3"/>
    <w:rsid w:val="00953EEF"/>
    <w:rsid w:val="00953EFF"/>
    <w:rsid w:val="00953F5D"/>
    <w:rsid w:val="00953FAE"/>
    <w:rsid w:val="00953FD1"/>
    <w:rsid w:val="00953FDF"/>
    <w:rsid w:val="0095402C"/>
    <w:rsid w:val="009540BB"/>
    <w:rsid w:val="009540D6"/>
    <w:rsid w:val="009540EB"/>
    <w:rsid w:val="0095411B"/>
    <w:rsid w:val="0095411C"/>
    <w:rsid w:val="00954151"/>
    <w:rsid w:val="0095416A"/>
    <w:rsid w:val="0095417A"/>
    <w:rsid w:val="00954187"/>
    <w:rsid w:val="009542A8"/>
    <w:rsid w:val="0095430A"/>
    <w:rsid w:val="0095432E"/>
    <w:rsid w:val="0095433E"/>
    <w:rsid w:val="009543AD"/>
    <w:rsid w:val="009543B4"/>
    <w:rsid w:val="009543E1"/>
    <w:rsid w:val="0095445D"/>
    <w:rsid w:val="00954471"/>
    <w:rsid w:val="009544B0"/>
    <w:rsid w:val="009544CF"/>
    <w:rsid w:val="009544D8"/>
    <w:rsid w:val="009544E5"/>
    <w:rsid w:val="0095450B"/>
    <w:rsid w:val="00954511"/>
    <w:rsid w:val="00954529"/>
    <w:rsid w:val="00954538"/>
    <w:rsid w:val="009545F9"/>
    <w:rsid w:val="0095462E"/>
    <w:rsid w:val="009546B1"/>
    <w:rsid w:val="009546F9"/>
    <w:rsid w:val="00954747"/>
    <w:rsid w:val="00954750"/>
    <w:rsid w:val="00954759"/>
    <w:rsid w:val="00954774"/>
    <w:rsid w:val="00954786"/>
    <w:rsid w:val="009547BB"/>
    <w:rsid w:val="0095481A"/>
    <w:rsid w:val="00954853"/>
    <w:rsid w:val="0095486D"/>
    <w:rsid w:val="009548C7"/>
    <w:rsid w:val="00954901"/>
    <w:rsid w:val="00954961"/>
    <w:rsid w:val="0095499B"/>
    <w:rsid w:val="00954A11"/>
    <w:rsid w:val="00954A1E"/>
    <w:rsid w:val="00954A26"/>
    <w:rsid w:val="00954A68"/>
    <w:rsid w:val="00954A71"/>
    <w:rsid w:val="00954AEA"/>
    <w:rsid w:val="00954B65"/>
    <w:rsid w:val="00954CBF"/>
    <w:rsid w:val="00954CDD"/>
    <w:rsid w:val="00954CE2"/>
    <w:rsid w:val="00954CF7"/>
    <w:rsid w:val="00954D06"/>
    <w:rsid w:val="00954D0D"/>
    <w:rsid w:val="00954D11"/>
    <w:rsid w:val="00954D1A"/>
    <w:rsid w:val="00954D45"/>
    <w:rsid w:val="00954D52"/>
    <w:rsid w:val="00954D78"/>
    <w:rsid w:val="00954D87"/>
    <w:rsid w:val="00954E12"/>
    <w:rsid w:val="00954E96"/>
    <w:rsid w:val="00954ECE"/>
    <w:rsid w:val="00954EDC"/>
    <w:rsid w:val="00954F3C"/>
    <w:rsid w:val="00954F6D"/>
    <w:rsid w:val="00954F90"/>
    <w:rsid w:val="00954FC0"/>
    <w:rsid w:val="00955042"/>
    <w:rsid w:val="009550F5"/>
    <w:rsid w:val="00955151"/>
    <w:rsid w:val="00955160"/>
    <w:rsid w:val="00955218"/>
    <w:rsid w:val="009552C8"/>
    <w:rsid w:val="009553C1"/>
    <w:rsid w:val="00955404"/>
    <w:rsid w:val="00955421"/>
    <w:rsid w:val="0095543E"/>
    <w:rsid w:val="00955447"/>
    <w:rsid w:val="00955451"/>
    <w:rsid w:val="009554E4"/>
    <w:rsid w:val="00955500"/>
    <w:rsid w:val="00955506"/>
    <w:rsid w:val="00955554"/>
    <w:rsid w:val="0095564A"/>
    <w:rsid w:val="0095568D"/>
    <w:rsid w:val="009556AB"/>
    <w:rsid w:val="0095577B"/>
    <w:rsid w:val="009557BB"/>
    <w:rsid w:val="0095588B"/>
    <w:rsid w:val="0095588D"/>
    <w:rsid w:val="0095588F"/>
    <w:rsid w:val="009558A8"/>
    <w:rsid w:val="009558E5"/>
    <w:rsid w:val="0095597D"/>
    <w:rsid w:val="009559BA"/>
    <w:rsid w:val="00955AB5"/>
    <w:rsid w:val="00955AC1"/>
    <w:rsid w:val="00955AEA"/>
    <w:rsid w:val="00955B0A"/>
    <w:rsid w:val="00955B46"/>
    <w:rsid w:val="00955B4C"/>
    <w:rsid w:val="00955B64"/>
    <w:rsid w:val="00955B9E"/>
    <w:rsid w:val="00955BC7"/>
    <w:rsid w:val="00955BF6"/>
    <w:rsid w:val="00955C15"/>
    <w:rsid w:val="00955C17"/>
    <w:rsid w:val="00955C9D"/>
    <w:rsid w:val="00955CB2"/>
    <w:rsid w:val="00955CE1"/>
    <w:rsid w:val="00955D1C"/>
    <w:rsid w:val="00955D1E"/>
    <w:rsid w:val="00955D95"/>
    <w:rsid w:val="00955D97"/>
    <w:rsid w:val="00955D9E"/>
    <w:rsid w:val="00955DB3"/>
    <w:rsid w:val="00955E51"/>
    <w:rsid w:val="00955E91"/>
    <w:rsid w:val="00955EC0"/>
    <w:rsid w:val="00955ECB"/>
    <w:rsid w:val="00955F93"/>
    <w:rsid w:val="00955F99"/>
    <w:rsid w:val="00955FF6"/>
    <w:rsid w:val="009560D4"/>
    <w:rsid w:val="009560DC"/>
    <w:rsid w:val="009560E2"/>
    <w:rsid w:val="0095613B"/>
    <w:rsid w:val="00956159"/>
    <w:rsid w:val="009561EA"/>
    <w:rsid w:val="009561F6"/>
    <w:rsid w:val="00956237"/>
    <w:rsid w:val="00956247"/>
    <w:rsid w:val="0095624E"/>
    <w:rsid w:val="00956269"/>
    <w:rsid w:val="00956277"/>
    <w:rsid w:val="009562DB"/>
    <w:rsid w:val="009562E6"/>
    <w:rsid w:val="009563A4"/>
    <w:rsid w:val="009563EE"/>
    <w:rsid w:val="00956402"/>
    <w:rsid w:val="00956415"/>
    <w:rsid w:val="0095643F"/>
    <w:rsid w:val="009564EF"/>
    <w:rsid w:val="00956521"/>
    <w:rsid w:val="0095658D"/>
    <w:rsid w:val="00956598"/>
    <w:rsid w:val="009565A4"/>
    <w:rsid w:val="00956644"/>
    <w:rsid w:val="0095664C"/>
    <w:rsid w:val="009566DC"/>
    <w:rsid w:val="009566F4"/>
    <w:rsid w:val="009566F9"/>
    <w:rsid w:val="009566FE"/>
    <w:rsid w:val="0095679C"/>
    <w:rsid w:val="009567A3"/>
    <w:rsid w:val="009567B5"/>
    <w:rsid w:val="009567C4"/>
    <w:rsid w:val="00956815"/>
    <w:rsid w:val="00956878"/>
    <w:rsid w:val="0095689F"/>
    <w:rsid w:val="009568B5"/>
    <w:rsid w:val="00956921"/>
    <w:rsid w:val="00956978"/>
    <w:rsid w:val="009569EE"/>
    <w:rsid w:val="00956A1F"/>
    <w:rsid w:val="00956A23"/>
    <w:rsid w:val="00956A8C"/>
    <w:rsid w:val="00956A97"/>
    <w:rsid w:val="00956AB5"/>
    <w:rsid w:val="00956ABE"/>
    <w:rsid w:val="00956ADC"/>
    <w:rsid w:val="00956B57"/>
    <w:rsid w:val="00956B71"/>
    <w:rsid w:val="00956B80"/>
    <w:rsid w:val="00956BC3"/>
    <w:rsid w:val="00956BC4"/>
    <w:rsid w:val="00956C93"/>
    <w:rsid w:val="00956CDA"/>
    <w:rsid w:val="00956CE5"/>
    <w:rsid w:val="00956D11"/>
    <w:rsid w:val="00956D60"/>
    <w:rsid w:val="00956DA3"/>
    <w:rsid w:val="00956DE5"/>
    <w:rsid w:val="00956DEE"/>
    <w:rsid w:val="00956E37"/>
    <w:rsid w:val="00956E83"/>
    <w:rsid w:val="00956EDE"/>
    <w:rsid w:val="00956EFF"/>
    <w:rsid w:val="00956F25"/>
    <w:rsid w:val="00956F8B"/>
    <w:rsid w:val="00956FBA"/>
    <w:rsid w:val="00957001"/>
    <w:rsid w:val="00957071"/>
    <w:rsid w:val="009570B7"/>
    <w:rsid w:val="009570D2"/>
    <w:rsid w:val="009570E4"/>
    <w:rsid w:val="00957234"/>
    <w:rsid w:val="009572AA"/>
    <w:rsid w:val="009572F3"/>
    <w:rsid w:val="00957305"/>
    <w:rsid w:val="0095730D"/>
    <w:rsid w:val="00957400"/>
    <w:rsid w:val="00957435"/>
    <w:rsid w:val="0095744E"/>
    <w:rsid w:val="00957468"/>
    <w:rsid w:val="00957471"/>
    <w:rsid w:val="009574A5"/>
    <w:rsid w:val="009574E8"/>
    <w:rsid w:val="00957524"/>
    <w:rsid w:val="00957537"/>
    <w:rsid w:val="00957560"/>
    <w:rsid w:val="00957569"/>
    <w:rsid w:val="009575D3"/>
    <w:rsid w:val="009575F0"/>
    <w:rsid w:val="00957622"/>
    <w:rsid w:val="00957630"/>
    <w:rsid w:val="00957700"/>
    <w:rsid w:val="00957709"/>
    <w:rsid w:val="00957710"/>
    <w:rsid w:val="0095772B"/>
    <w:rsid w:val="00957733"/>
    <w:rsid w:val="00957759"/>
    <w:rsid w:val="00957789"/>
    <w:rsid w:val="009577F4"/>
    <w:rsid w:val="0095782A"/>
    <w:rsid w:val="009578F5"/>
    <w:rsid w:val="00957902"/>
    <w:rsid w:val="0095791C"/>
    <w:rsid w:val="00957978"/>
    <w:rsid w:val="00957A66"/>
    <w:rsid w:val="00957A82"/>
    <w:rsid w:val="00957A94"/>
    <w:rsid w:val="00957AEF"/>
    <w:rsid w:val="00957B5E"/>
    <w:rsid w:val="00957B82"/>
    <w:rsid w:val="00957BA4"/>
    <w:rsid w:val="00957BB5"/>
    <w:rsid w:val="00957BE6"/>
    <w:rsid w:val="00957C29"/>
    <w:rsid w:val="00957C33"/>
    <w:rsid w:val="00957C36"/>
    <w:rsid w:val="00957C65"/>
    <w:rsid w:val="00957C84"/>
    <w:rsid w:val="00957C98"/>
    <w:rsid w:val="00957D11"/>
    <w:rsid w:val="00957D5D"/>
    <w:rsid w:val="00957DD7"/>
    <w:rsid w:val="00957E24"/>
    <w:rsid w:val="00957ECA"/>
    <w:rsid w:val="00957F47"/>
    <w:rsid w:val="00957F8B"/>
    <w:rsid w:val="00957F95"/>
    <w:rsid w:val="00957FC0"/>
    <w:rsid w:val="00957FCB"/>
    <w:rsid w:val="00957FFE"/>
    <w:rsid w:val="0096006D"/>
    <w:rsid w:val="00960097"/>
    <w:rsid w:val="009600DC"/>
    <w:rsid w:val="0096010C"/>
    <w:rsid w:val="00960167"/>
    <w:rsid w:val="00960187"/>
    <w:rsid w:val="00960214"/>
    <w:rsid w:val="00960250"/>
    <w:rsid w:val="009602A5"/>
    <w:rsid w:val="00960309"/>
    <w:rsid w:val="00960337"/>
    <w:rsid w:val="00960362"/>
    <w:rsid w:val="00960396"/>
    <w:rsid w:val="0096039B"/>
    <w:rsid w:val="009603F7"/>
    <w:rsid w:val="0096049A"/>
    <w:rsid w:val="0096049C"/>
    <w:rsid w:val="009604EB"/>
    <w:rsid w:val="009604EF"/>
    <w:rsid w:val="0096061E"/>
    <w:rsid w:val="00960633"/>
    <w:rsid w:val="00960643"/>
    <w:rsid w:val="00960669"/>
    <w:rsid w:val="0096068B"/>
    <w:rsid w:val="009606EA"/>
    <w:rsid w:val="0096072D"/>
    <w:rsid w:val="0096073D"/>
    <w:rsid w:val="00960743"/>
    <w:rsid w:val="0096075C"/>
    <w:rsid w:val="009607A5"/>
    <w:rsid w:val="009607C2"/>
    <w:rsid w:val="009607E3"/>
    <w:rsid w:val="009607ED"/>
    <w:rsid w:val="009607F7"/>
    <w:rsid w:val="00960845"/>
    <w:rsid w:val="0096086F"/>
    <w:rsid w:val="009608CE"/>
    <w:rsid w:val="00960A56"/>
    <w:rsid w:val="00960ABA"/>
    <w:rsid w:val="00960B1C"/>
    <w:rsid w:val="00960B25"/>
    <w:rsid w:val="00960B2E"/>
    <w:rsid w:val="00960B8E"/>
    <w:rsid w:val="00960BB7"/>
    <w:rsid w:val="00960BD5"/>
    <w:rsid w:val="00960C2F"/>
    <w:rsid w:val="00960CE3"/>
    <w:rsid w:val="00960CFC"/>
    <w:rsid w:val="00960CFD"/>
    <w:rsid w:val="00960D1A"/>
    <w:rsid w:val="00960DE4"/>
    <w:rsid w:val="00960EDF"/>
    <w:rsid w:val="00960F08"/>
    <w:rsid w:val="00960F35"/>
    <w:rsid w:val="00960F6F"/>
    <w:rsid w:val="00961004"/>
    <w:rsid w:val="00961086"/>
    <w:rsid w:val="00961187"/>
    <w:rsid w:val="009611AC"/>
    <w:rsid w:val="009611EF"/>
    <w:rsid w:val="00961243"/>
    <w:rsid w:val="00961289"/>
    <w:rsid w:val="009612FB"/>
    <w:rsid w:val="0096132B"/>
    <w:rsid w:val="0096134B"/>
    <w:rsid w:val="0096136D"/>
    <w:rsid w:val="009613B8"/>
    <w:rsid w:val="009613C2"/>
    <w:rsid w:val="0096142D"/>
    <w:rsid w:val="00961451"/>
    <w:rsid w:val="00961457"/>
    <w:rsid w:val="00961495"/>
    <w:rsid w:val="0096149A"/>
    <w:rsid w:val="0096157F"/>
    <w:rsid w:val="009615AB"/>
    <w:rsid w:val="009615BA"/>
    <w:rsid w:val="009615C3"/>
    <w:rsid w:val="0096160A"/>
    <w:rsid w:val="00961610"/>
    <w:rsid w:val="00961635"/>
    <w:rsid w:val="009616CB"/>
    <w:rsid w:val="00961797"/>
    <w:rsid w:val="00961871"/>
    <w:rsid w:val="0096189D"/>
    <w:rsid w:val="00961991"/>
    <w:rsid w:val="009619A9"/>
    <w:rsid w:val="00961A3B"/>
    <w:rsid w:val="00961A63"/>
    <w:rsid w:val="00961AA0"/>
    <w:rsid w:val="00961B1C"/>
    <w:rsid w:val="00961B7D"/>
    <w:rsid w:val="00961BAD"/>
    <w:rsid w:val="00961BB2"/>
    <w:rsid w:val="00961BB9"/>
    <w:rsid w:val="00961C18"/>
    <w:rsid w:val="00961C1E"/>
    <w:rsid w:val="00961C24"/>
    <w:rsid w:val="00961C9A"/>
    <w:rsid w:val="00961CDE"/>
    <w:rsid w:val="00961CF2"/>
    <w:rsid w:val="00961CFE"/>
    <w:rsid w:val="00961D39"/>
    <w:rsid w:val="00961D56"/>
    <w:rsid w:val="00961D8D"/>
    <w:rsid w:val="00961DA8"/>
    <w:rsid w:val="00961DF4"/>
    <w:rsid w:val="00961EA5"/>
    <w:rsid w:val="00961EB5"/>
    <w:rsid w:val="00961EDF"/>
    <w:rsid w:val="00961F63"/>
    <w:rsid w:val="00961FE3"/>
    <w:rsid w:val="00961FF8"/>
    <w:rsid w:val="00961FFD"/>
    <w:rsid w:val="00962004"/>
    <w:rsid w:val="00962010"/>
    <w:rsid w:val="00962018"/>
    <w:rsid w:val="00962034"/>
    <w:rsid w:val="009620C8"/>
    <w:rsid w:val="00962107"/>
    <w:rsid w:val="0096214A"/>
    <w:rsid w:val="00962188"/>
    <w:rsid w:val="009621BB"/>
    <w:rsid w:val="009621F8"/>
    <w:rsid w:val="00962223"/>
    <w:rsid w:val="009622AC"/>
    <w:rsid w:val="009622B5"/>
    <w:rsid w:val="00962332"/>
    <w:rsid w:val="00962341"/>
    <w:rsid w:val="00962425"/>
    <w:rsid w:val="0096243D"/>
    <w:rsid w:val="00962444"/>
    <w:rsid w:val="0096244C"/>
    <w:rsid w:val="00962474"/>
    <w:rsid w:val="009624C7"/>
    <w:rsid w:val="009624E2"/>
    <w:rsid w:val="00962500"/>
    <w:rsid w:val="0096251F"/>
    <w:rsid w:val="0096257D"/>
    <w:rsid w:val="00962595"/>
    <w:rsid w:val="009625F8"/>
    <w:rsid w:val="00962611"/>
    <w:rsid w:val="00962668"/>
    <w:rsid w:val="00962680"/>
    <w:rsid w:val="009626B5"/>
    <w:rsid w:val="00962725"/>
    <w:rsid w:val="0096276F"/>
    <w:rsid w:val="00962770"/>
    <w:rsid w:val="009627AC"/>
    <w:rsid w:val="009627B1"/>
    <w:rsid w:val="009627C0"/>
    <w:rsid w:val="009627EA"/>
    <w:rsid w:val="00962808"/>
    <w:rsid w:val="00962832"/>
    <w:rsid w:val="0096284C"/>
    <w:rsid w:val="009628F9"/>
    <w:rsid w:val="0096291E"/>
    <w:rsid w:val="00962926"/>
    <w:rsid w:val="00962964"/>
    <w:rsid w:val="0096299C"/>
    <w:rsid w:val="00962A17"/>
    <w:rsid w:val="00962A2D"/>
    <w:rsid w:val="00962AD6"/>
    <w:rsid w:val="00962AEE"/>
    <w:rsid w:val="00962B09"/>
    <w:rsid w:val="00962B93"/>
    <w:rsid w:val="00962BB2"/>
    <w:rsid w:val="00962C05"/>
    <w:rsid w:val="00962C3B"/>
    <w:rsid w:val="00962CC0"/>
    <w:rsid w:val="00962CE9"/>
    <w:rsid w:val="00962D16"/>
    <w:rsid w:val="00962DE4"/>
    <w:rsid w:val="00962DF6"/>
    <w:rsid w:val="00962E31"/>
    <w:rsid w:val="00962EB0"/>
    <w:rsid w:val="00962ED2"/>
    <w:rsid w:val="00962F2F"/>
    <w:rsid w:val="00962FC8"/>
    <w:rsid w:val="00962FF5"/>
    <w:rsid w:val="0096300D"/>
    <w:rsid w:val="00963058"/>
    <w:rsid w:val="00963076"/>
    <w:rsid w:val="009630AF"/>
    <w:rsid w:val="009630B9"/>
    <w:rsid w:val="009630CC"/>
    <w:rsid w:val="0096318B"/>
    <w:rsid w:val="0096319E"/>
    <w:rsid w:val="009631AC"/>
    <w:rsid w:val="0096324F"/>
    <w:rsid w:val="009632CD"/>
    <w:rsid w:val="009632E4"/>
    <w:rsid w:val="00963334"/>
    <w:rsid w:val="00963345"/>
    <w:rsid w:val="0096334F"/>
    <w:rsid w:val="00963359"/>
    <w:rsid w:val="00963360"/>
    <w:rsid w:val="009633C6"/>
    <w:rsid w:val="00963421"/>
    <w:rsid w:val="00963422"/>
    <w:rsid w:val="0096343C"/>
    <w:rsid w:val="009634B2"/>
    <w:rsid w:val="0096353E"/>
    <w:rsid w:val="0096354A"/>
    <w:rsid w:val="00963580"/>
    <w:rsid w:val="009635BC"/>
    <w:rsid w:val="009635C7"/>
    <w:rsid w:val="00963622"/>
    <w:rsid w:val="00963631"/>
    <w:rsid w:val="00963691"/>
    <w:rsid w:val="009636D8"/>
    <w:rsid w:val="0096371F"/>
    <w:rsid w:val="009637A3"/>
    <w:rsid w:val="00963824"/>
    <w:rsid w:val="00963888"/>
    <w:rsid w:val="00963914"/>
    <w:rsid w:val="00963992"/>
    <w:rsid w:val="00963AF7"/>
    <w:rsid w:val="00963BA7"/>
    <w:rsid w:val="00963BEB"/>
    <w:rsid w:val="00963C6A"/>
    <w:rsid w:val="00963D0D"/>
    <w:rsid w:val="00963D24"/>
    <w:rsid w:val="00963D50"/>
    <w:rsid w:val="00963D5D"/>
    <w:rsid w:val="00963DD7"/>
    <w:rsid w:val="00963DEF"/>
    <w:rsid w:val="00963E19"/>
    <w:rsid w:val="00963F52"/>
    <w:rsid w:val="00963F61"/>
    <w:rsid w:val="00963F6E"/>
    <w:rsid w:val="00963F9E"/>
    <w:rsid w:val="00963FC4"/>
    <w:rsid w:val="00964156"/>
    <w:rsid w:val="00964182"/>
    <w:rsid w:val="009641AB"/>
    <w:rsid w:val="009642EC"/>
    <w:rsid w:val="0096430D"/>
    <w:rsid w:val="0096434C"/>
    <w:rsid w:val="009643A2"/>
    <w:rsid w:val="0096442C"/>
    <w:rsid w:val="0096443A"/>
    <w:rsid w:val="009644C7"/>
    <w:rsid w:val="009644CD"/>
    <w:rsid w:val="009645AA"/>
    <w:rsid w:val="009645E3"/>
    <w:rsid w:val="009645F6"/>
    <w:rsid w:val="00964619"/>
    <w:rsid w:val="0096462B"/>
    <w:rsid w:val="00964647"/>
    <w:rsid w:val="00964735"/>
    <w:rsid w:val="00964755"/>
    <w:rsid w:val="0096475E"/>
    <w:rsid w:val="00964769"/>
    <w:rsid w:val="00964783"/>
    <w:rsid w:val="009647EC"/>
    <w:rsid w:val="00964814"/>
    <w:rsid w:val="00964826"/>
    <w:rsid w:val="009648F7"/>
    <w:rsid w:val="00964968"/>
    <w:rsid w:val="00964994"/>
    <w:rsid w:val="009649A9"/>
    <w:rsid w:val="00964B5E"/>
    <w:rsid w:val="00964B8B"/>
    <w:rsid w:val="00964C10"/>
    <w:rsid w:val="00964C9F"/>
    <w:rsid w:val="00964CAC"/>
    <w:rsid w:val="00964CF2"/>
    <w:rsid w:val="00964D39"/>
    <w:rsid w:val="00964D93"/>
    <w:rsid w:val="00964D9E"/>
    <w:rsid w:val="00964DB8"/>
    <w:rsid w:val="00964DCF"/>
    <w:rsid w:val="00964E00"/>
    <w:rsid w:val="00964E62"/>
    <w:rsid w:val="00964E89"/>
    <w:rsid w:val="00964ED9"/>
    <w:rsid w:val="00964F11"/>
    <w:rsid w:val="00964F92"/>
    <w:rsid w:val="00965046"/>
    <w:rsid w:val="009650A7"/>
    <w:rsid w:val="009650E4"/>
    <w:rsid w:val="0096517C"/>
    <w:rsid w:val="0096517D"/>
    <w:rsid w:val="0096526A"/>
    <w:rsid w:val="0096529F"/>
    <w:rsid w:val="009652AB"/>
    <w:rsid w:val="00965385"/>
    <w:rsid w:val="009653DD"/>
    <w:rsid w:val="0096543C"/>
    <w:rsid w:val="0096546B"/>
    <w:rsid w:val="00965679"/>
    <w:rsid w:val="009656AC"/>
    <w:rsid w:val="009656D4"/>
    <w:rsid w:val="009657AF"/>
    <w:rsid w:val="009657F5"/>
    <w:rsid w:val="00965801"/>
    <w:rsid w:val="00965869"/>
    <w:rsid w:val="0096591B"/>
    <w:rsid w:val="00965929"/>
    <w:rsid w:val="0096593D"/>
    <w:rsid w:val="00965943"/>
    <w:rsid w:val="00965A13"/>
    <w:rsid w:val="00965A38"/>
    <w:rsid w:val="00965A6D"/>
    <w:rsid w:val="00965ACD"/>
    <w:rsid w:val="00965B06"/>
    <w:rsid w:val="00965B1A"/>
    <w:rsid w:val="00965B27"/>
    <w:rsid w:val="00965B3A"/>
    <w:rsid w:val="00965BDE"/>
    <w:rsid w:val="00965C05"/>
    <w:rsid w:val="00965C1F"/>
    <w:rsid w:val="00965C3A"/>
    <w:rsid w:val="00965C4B"/>
    <w:rsid w:val="00965CA3"/>
    <w:rsid w:val="00965D1F"/>
    <w:rsid w:val="00965D71"/>
    <w:rsid w:val="00965E2C"/>
    <w:rsid w:val="00965E33"/>
    <w:rsid w:val="00965F13"/>
    <w:rsid w:val="00965F58"/>
    <w:rsid w:val="00965FB4"/>
    <w:rsid w:val="00966037"/>
    <w:rsid w:val="009661DA"/>
    <w:rsid w:val="00966224"/>
    <w:rsid w:val="0096626D"/>
    <w:rsid w:val="0096627F"/>
    <w:rsid w:val="00966354"/>
    <w:rsid w:val="0096639A"/>
    <w:rsid w:val="009663A6"/>
    <w:rsid w:val="009663AA"/>
    <w:rsid w:val="009663BD"/>
    <w:rsid w:val="009663DD"/>
    <w:rsid w:val="009663E6"/>
    <w:rsid w:val="009663E9"/>
    <w:rsid w:val="0096642F"/>
    <w:rsid w:val="009664D6"/>
    <w:rsid w:val="009664E6"/>
    <w:rsid w:val="0096651C"/>
    <w:rsid w:val="00966554"/>
    <w:rsid w:val="009665C6"/>
    <w:rsid w:val="009665DD"/>
    <w:rsid w:val="0096665C"/>
    <w:rsid w:val="00966665"/>
    <w:rsid w:val="009666A7"/>
    <w:rsid w:val="009666DC"/>
    <w:rsid w:val="00966765"/>
    <w:rsid w:val="00966772"/>
    <w:rsid w:val="00966793"/>
    <w:rsid w:val="00966802"/>
    <w:rsid w:val="0096682D"/>
    <w:rsid w:val="00966855"/>
    <w:rsid w:val="0096685F"/>
    <w:rsid w:val="00966874"/>
    <w:rsid w:val="009668CC"/>
    <w:rsid w:val="00966909"/>
    <w:rsid w:val="0096690A"/>
    <w:rsid w:val="009669CE"/>
    <w:rsid w:val="00966A47"/>
    <w:rsid w:val="00966A7E"/>
    <w:rsid w:val="00966A8E"/>
    <w:rsid w:val="00966B09"/>
    <w:rsid w:val="00966B2A"/>
    <w:rsid w:val="00966BCD"/>
    <w:rsid w:val="00966C39"/>
    <w:rsid w:val="00966C77"/>
    <w:rsid w:val="00966C78"/>
    <w:rsid w:val="00966C7C"/>
    <w:rsid w:val="00966D7D"/>
    <w:rsid w:val="00966D87"/>
    <w:rsid w:val="00966E32"/>
    <w:rsid w:val="00966F6D"/>
    <w:rsid w:val="00966F8A"/>
    <w:rsid w:val="00966F96"/>
    <w:rsid w:val="00966FB4"/>
    <w:rsid w:val="00966FBA"/>
    <w:rsid w:val="00966FD4"/>
    <w:rsid w:val="00967001"/>
    <w:rsid w:val="00967031"/>
    <w:rsid w:val="00967049"/>
    <w:rsid w:val="0096706B"/>
    <w:rsid w:val="009670EE"/>
    <w:rsid w:val="0096712E"/>
    <w:rsid w:val="00967162"/>
    <w:rsid w:val="00967169"/>
    <w:rsid w:val="009671C4"/>
    <w:rsid w:val="00967260"/>
    <w:rsid w:val="009672B1"/>
    <w:rsid w:val="009672D4"/>
    <w:rsid w:val="0096730A"/>
    <w:rsid w:val="00967316"/>
    <w:rsid w:val="0096734E"/>
    <w:rsid w:val="009673A3"/>
    <w:rsid w:val="009673B3"/>
    <w:rsid w:val="009673C1"/>
    <w:rsid w:val="009673F0"/>
    <w:rsid w:val="00967447"/>
    <w:rsid w:val="00967485"/>
    <w:rsid w:val="00967494"/>
    <w:rsid w:val="009674A0"/>
    <w:rsid w:val="0096753E"/>
    <w:rsid w:val="0096757F"/>
    <w:rsid w:val="0096759B"/>
    <w:rsid w:val="009675A9"/>
    <w:rsid w:val="009675BB"/>
    <w:rsid w:val="00967617"/>
    <w:rsid w:val="009676E4"/>
    <w:rsid w:val="0096778A"/>
    <w:rsid w:val="00967792"/>
    <w:rsid w:val="00967798"/>
    <w:rsid w:val="009677AA"/>
    <w:rsid w:val="0096782E"/>
    <w:rsid w:val="00967840"/>
    <w:rsid w:val="00967897"/>
    <w:rsid w:val="009678DB"/>
    <w:rsid w:val="009678E4"/>
    <w:rsid w:val="0096792A"/>
    <w:rsid w:val="00967932"/>
    <w:rsid w:val="00967941"/>
    <w:rsid w:val="00967A2B"/>
    <w:rsid w:val="00967A6A"/>
    <w:rsid w:val="00967B1A"/>
    <w:rsid w:val="00967BBF"/>
    <w:rsid w:val="00967BDF"/>
    <w:rsid w:val="00967BFC"/>
    <w:rsid w:val="00967C02"/>
    <w:rsid w:val="00967C3D"/>
    <w:rsid w:val="00967C59"/>
    <w:rsid w:val="00967C5F"/>
    <w:rsid w:val="00967C7E"/>
    <w:rsid w:val="00967CB1"/>
    <w:rsid w:val="00967CEA"/>
    <w:rsid w:val="00967D30"/>
    <w:rsid w:val="00967D8A"/>
    <w:rsid w:val="00967E2C"/>
    <w:rsid w:val="00967E3D"/>
    <w:rsid w:val="00967E44"/>
    <w:rsid w:val="00967E6F"/>
    <w:rsid w:val="00967F02"/>
    <w:rsid w:val="00967F29"/>
    <w:rsid w:val="00967F4E"/>
    <w:rsid w:val="00967FC8"/>
    <w:rsid w:val="00967FCC"/>
    <w:rsid w:val="00967FF2"/>
    <w:rsid w:val="00970032"/>
    <w:rsid w:val="00970037"/>
    <w:rsid w:val="0097006B"/>
    <w:rsid w:val="0097012A"/>
    <w:rsid w:val="00970166"/>
    <w:rsid w:val="0097016F"/>
    <w:rsid w:val="009701EE"/>
    <w:rsid w:val="009701FC"/>
    <w:rsid w:val="009702EB"/>
    <w:rsid w:val="009702F5"/>
    <w:rsid w:val="00970466"/>
    <w:rsid w:val="00970499"/>
    <w:rsid w:val="009704D8"/>
    <w:rsid w:val="00970507"/>
    <w:rsid w:val="00970564"/>
    <w:rsid w:val="0097060D"/>
    <w:rsid w:val="00970649"/>
    <w:rsid w:val="00970681"/>
    <w:rsid w:val="009706A4"/>
    <w:rsid w:val="009706CB"/>
    <w:rsid w:val="00970758"/>
    <w:rsid w:val="0097075B"/>
    <w:rsid w:val="00970767"/>
    <w:rsid w:val="0097077A"/>
    <w:rsid w:val="00970792"/>
    <w:rsid w:val="009707C0"/>
    <w:rsid w:val="009707D4"/>
    <w:rsid w:val="009707DA"/>
    <w:rsid w:val="009707F4"/>
    <w:rsid w:val="009708B3"/>
    <w:rsid w:val="00970905"/>
    <w:rsid w:val="00970958"/>
    <w:rsid w:val="009709B1"/>
    <w:rsid w:val="00970A3A"/>
    <w:rsid w:val="00970AD8"/>
    <w:rsid w:val="00970B1F"/>
    <w:rsid w:val="00970B71"/>
    <w:rsid w:val="00970B8D"/>
    <w:rsid w:val="00970BDB"/>
    <w:rsid w:val="00970CBF"/>
    <w:rsid w:val="00970D0A"/>
    <w:rsid w:val="00970DE4"/>
    <w:rsid w:val="00970E08"/>
    <w:rsid w:val="00970EBF"/>
    <w:rsid w:val="00970ED6"/>
    <w:rsid w:val="00970FB8"/>
    <w:rsid w:val="00970FD0"/>
    <w:rsid w:val="00970FD3"/>
    <w:rsid w:val="00971038"/>
    <w:rsid w:val="00971098"/>
    <w:rsid w:val="009710B1"/>
    <w:rsid w:val="009710E7"/>
    <w:rsid w:val="009710FD"/>
    <w:rsid w:val="0097110B"/>
    <w:rsid w:val="0097112F"/>
    <w:rsid w:val="0097113D"/>
    <w:rsid w:val="0097117D"/>
    <w:rsid w:val="00971205"/>
    <w:rsid w:val="00971210"/>
    <w:rsid w:val="00971218"/>
    <w:rsid w:val="0097124B"/>
    <w:rsid w:val="00971259"/>
    <w:rsid w:val="00971263"/>
    <w:rsid w:val="00971280"/>
    <w:rsid w:val="009712E6"/>
    <w:rsid w:val="0097134C"/>
    <w:rsid w:val="0097135E"/>
    <w:rsid w:val="009713A1"/>
    <w:rsid w:val="009713A2"/>
    <w:rsid w:val="009713BD"/>
    <w:rsid w:val="009713D2"/>
    <w:rsid w:val="00971410"/>
    <w:rsid w:val="00971418"/>
    <w:rsid w:val="00971428"/>
    <w:rsid w:val="009714C6"/>
    <w:rsid w:val="00971500"/>
    <w:rsid w:val="0097153F"/>
    <w:rsid w:val="00971566"/>
    <w:rsid w:val="009715C1"/>
    <w:rsid w:val="009715E5"/>
    <w:rsid w:val="0097162B"/>
    <w:rsid w:val="00971641"/>
    <w:rsid w:val="00971688"/>
    <w:rsid w:val="00971699"/>
    <w:rsid w:val="0097170D"/>
    <w:rsid w:val="00971726"/>
    <w:rsid w:val="00971773"/>
    <w:rsid w:val="0097177B"/>
    <w:rsid w:val="0097183C"/>
    <w:rsid w:val="00971880"/>
    <w:rsid w:val="009718A2"/>
    <w:rsid w:val="009718FE"/>
    <w:rsid w:val="00971937"/>
    <w:rsid w:val="0097193B"/>
    <w:rsid w:val="00971954"/>
    <w:rsid w:val="00971964"/>
    <w:rsid w:val="009719A8"/>
    <w:rsid w:val="009719AD"/>
    <w:rsid w:val="009719CB"/>
    <w:rsid w:val="009719E3"/>
    <w:rsid w:val="00971A0C"/>
    <w:rsid w:val="00971A4D"/>
    <w:rsid w:val="00971A79"/>
    <w:rsid w:val="00971ACE"/>
    <w:rsid w:val="00971AE7"/>
    <w:rsid w:val="00971AF4"/>
    <w:rsid w:val="00971B70"/>
    <w:rsid w:val="00971BB0"/>
    <w:rsid w:val="00971BC3"/>
    <w:rsid w:val="00971C45"/>
    <w:rsid w:val="00971C9F"/>
    <w:rsid w:val="00971CA3"/>
    <w:rsid w:val="00971CE2"/>
    <w:rsid w:val="00971D03"/>
    <w:rsid w:val="00971D6D"/>
    <w:rsid w:val="00971DE5"/>
    <w:rsid w:val="00971E29"/>
    <w:rsid w:val="00971ED3"/>
    <w:rsid w:val="00971F18"/>
    <w:rsid w:val="00971F5D"/>
    <w:rsid w:val="00971FC8"/>
    <w:rsid w:val="0097206B"/>
    <w:rsid w:val="009720CF"/>
    <w:rsid w:val="009720DA"/>
    <w:rsid w:val="00972193"/>
    <w:rsid w:val="009721EB"/>
    <w:rsid w:val="0097222B"/>
    <w:rsid w:val="00972295"/>
    <w:rsid w:val="009722F9"/>
    <w:rsid w:val="00972348"/>
    <w:rsid w:val="0097236B"/>
    <w:rsid w:val="0097237D"/>
    <w:rsid w:val="00972392"/>
    <w:rsid w:val="009723A2"/>
    <w:rsid w:val="0097240E"/>
    <w:rsid w:val="00972438"/>
    <w:rsid w:val="009724A6"/>
    <w:rsid w:val="0097251C"/>
    <w:rsid w:val="00972559"/>
    <w:rsid w:val="009726DA"/>
    <w:rsid w:val="00972757"/>
    <w:rsid w:val="009727CD"/>
    <w:rsid w:val="009727F1"/>
    <w:rsid w:val="009727FB"/>
    <w:rsid w:val="00972812"/>
    <w:rsid w:val="0097283D"/>
    <w:rsid w:val="00972869"/>
    <w:rsid w:val="00972875"/>
    <w:rsid w:val="00972910"/>
    <w:rsid w:val="0097293F"/>
    <w:rsid w:val="00972945"/>
    <w:rsid w:val="0097294C"/>
    <w:rsid w:val="009729B2"/>
    <w:rsid w:val="00972A7D"/>
    <w:rsid w:val="00972AE4"/>
    <w:rsid w:val="00972B53"/>
    <w:rsid w:val="00972BD2"/>
    <w:rsid w:val="00972C21"/>
    <w:rsid w:val="00972C70"/>
    <w:rsid w:val="00972C72"/>
    <w:rsid w:val="00972D0C"/>
    <w:rsid w:val="00972DCE"/>
    <w:rsid w:val="00972DF9"/>
    <w:rsid w:val="00972E0E"/>
    <w:rsid w:val="00972E37"/>
    <w:rsid w:val="00972E7F"/>
    <w:rsid w:val="00972E8E"/>
    <w:rsid w:val="00972FBE"/>
    <w:rsid w:val="0097302F"/>
    <w:rsid w:val="00973041"/>
    <w:rsid w:val="0097306D"/>
    <w:rsid w:val="0097313A"/>
    <w:rsid w:val="0097313F"/>
    <w:rsid w:val="00973162"/>
    <w:rsid w:val="009731C3"/>
    <w:rsid w:val="009731EB"/>
    <w:rsid w:val="009731FF"/>
    <w:rsid w:val="0097324F"/>
    <w:rsid w:val="00973263"/>
    <w:rsid w:val="009732A1"/>
    <w:rsid w:val="009732DA"/>
    <w:rsid w:val="0097330D"/>
    <w:rsid w:val="00973321"/>
    <w:rsid w:val="00973323"/>
    <w:rsid w:val="0097332D"/>
    <w:rsid w:val="00973365"/>
    <w:rsid w:val="00973403"/>
    <w:rsid w:val="0097350C"/>
    <w:rsid w:val="0097355C"/>
    <w:rsid w:val="0097355E"/>
    <w:rsid w:val="0097356D"/>
    <w:rsid w:val="009735BF"/>
    <w:rsid w:val="00973600"/>
    <w:rsid w:val="0097360B"/>
    <w:rsid w:val="00973613"/>
    <w:rsid w:val="00973619"/>
    <w:rsid w:val="0097363E"/>
    <w:rsid w:val="0097364D"/>
    <w:rsid w:val="00973660"/>
    <w:rsid w:val="009736D7"/>
    <w:rsid w:val="009736F2"/>
    <w:rsid w:val="0097376D"/>
    <w:rsid w:val="009737F8"/>
    <w:rsid w:val="0097382F"/>
    <w:rsid w:val="00973875"/>
    <w:rsid w:val="00973980"/>
    <w:rsid w:val="00973A15"/>
    <w:rsid w:val="00973A33"/>
    <w:rsid w:val="00973A68"/>
    <w:rsid w:val="00973B46"/>
    <w:rsid w:val="00973B72"/>
    <w:rsid w:val="00973BC3"/>
    <w:rsid w:val="00973BE0"/>
    <w:rsid w:val="00973BF6"/>
    <w:rsid w:val="00973C13"/>
    <w:rsid w:val="00973C2C"/>
    <w:rsid w:val="00973C64"/>
    <w:rsid w:val="00973DB4"/>
    <w:rsid w:val="00973DC5"/>
    <w:rsid w:val="00973EC6"/>
    <w:rsid w:val="00973EEF"/>
    <w:rsid w:val="00973F52"/>
    <w:rsid w:val="00973FB2"/>
    <w:rsid w:val="009740E4"/>
    <w:rsid w:val="00974143"/>
    <w:rsid w:val="00974149"/>
    <w:rsid w:val="009741BB"/>
    <w:rsid w:val="00974220"/>
    <w:rsid w:val="00974230"/>
    <w:rsid w:val="009742A0"/>
    <w:rsid w:val="009742A6"/>
    <w:rsid w:val="009742D9"/>
    <w:rsid w:val="00974340"/>
    <w:rsid w:val="00974352"/>
    <w:rsid w:val="0097435B"/>
    <w:rsid w:val="0097441F"/>
    <w:rsid w:val="00974420"/>
    <w:rsid w:val="00974425"/>
    <w:rsid w:val="00974429"/>
    <w:rsid w:val="0097446D"/>
    <w:rsid w:val="00974509"/>
    <w:rsid w:val="00974518"/>
    <w:rsid w:val="0097452B"/>
    <w:rsid w:val="00974577"/>
    <w:rsid w:val="009745ED"/>
    <w:rsid w:val="009745F2"/>
    <w:rsid w:val="00974637"/>
    <w:rsid w:val="0097465E"/>
    <w:rsid w:val="009746A7"/>
    <w:rsid w:val="009746BF"/>
    <w:rsid w:val="009746DB"/>
    <w:rsid w:val="00974776"/>
    <w:rsid w:val="009747DA"/>
    <w:rsid w:val="009747DD"/>
    <w:rsid w:val="00974803"/>
    <w:rsid w:val="00974811"/>
    <w:rsid w:val="00974884"/>
    <w:rsid w:val="0097488E"/>
    <w:rsid w:val="0097495D"/>
    <w:rsid w:val="00974978"/>
    <w:rsid w:val="009749D2"/>
    <w:rsid w:val="009749F5"/>
    <w:rsid w:val="009749F9"/>
    <w:rsid w:val="009749FC"/>
    <w:rsid w:val="00974A05"/>
    <w:rsid w:val="00974A25"/>
    <w:rsid w:val="00974A26"/>
    <w:rsid w:val="00974A3E"/>
    <w:rsid w:val="00974A90"/>
    <w:rsid w:val="00974B32"/>
    <w:rsid w:val="00974B4F"/>
    <w:rsid w:val="00974BB2"/>
    <w:rsid w:val="00974BE6"/>
    <w:rsid w:val="00974BF8"/>
    <w:rsid w:val="00974C99"/>
    <w:rsid w:val="00974CF9"/>
    <w:rsid w:val="00974D91"/>
    <w:rsid w:val="00974E10"/>
    <w:rsid w:val="00974E2F"/>
    <w:rsid w:val="00974ECB"/>
    <w:rsid w:val="00974EE1"/>
    <w:rsid w:val="00974EE4"/>
    <w:rsid w:val="00974EE9"/>
    <w:rsid w:val="00974F4A"/>
    <w:rsid w:val="00974FB6"/>
    <w:rsid w:val="00974FD4"/>
    <w:rsid w:val="00974FF2"/>
    <w:rsid w:val="00975066"/>
    <w:rsid w:val="009750D8"/>
    <w:rsid w:val="00975161"/>
    <w:rsid w:val="009751F4"/>
    <w:rsid w:val="0097525C"/>
    <w:rsid w:val="009752BC"/>
    <w:rsid w:val="009753DB"/>
    <w:rsid w:val="009753F0"/>
    <w:rsid w:val="009754EB"/>
    <w:rsid w:val="009754EF"/>
    <w:rsid w:val="0097550A"/>
    <w:rsid w:val="00975563"/>
    <w:rsid w:val="00975706"/>
    <w:rsid w:val="00975720"/>
    <w:rsid w:val="00975737"/>
    <w:rsid w:val="0097574F"/>
    <w:rsid w:val="009757B7"/>
    <w:rsid w:val="009757BA"/>
    <w:rsid w:val="009757DC"/>
    <w:rsid w:val="009757DF"/>
    <w:rsid w:val="00975800"/>
    <w:rsid w:val="00975893"/>
    <w:rsid w:val="009758C1"/>
    <w:rsid w:val="0097596C"/>
    <w:rsid w:val="009759BE"/>
    <w:rsid w:val="00975A14"/>
    <w:rsid w:val="00975A74"/>
    <w:rsid w:val="00975A84"/>
    <w:rsid w:val="00975A97"/>
    <w:rsid w:val="00975AF0"/>
    <w:rsid w:val="00975B16"/>
    <w:rsid w:val="00975C56"/>
    <w:rsid w:val="00975C69"/>
    <w:rsid w:val="00975C89"/>
    <w:rsid w:val="00975CB4"/>
    <w:rsid w:val="00975D5F"/>
    <w:rsid w:val="00975D63"/>
    <w:rsid w:val="00975D76"/>
    <w:rsid w:val="00975E1B"/>
    <w:rsid w:val="00975EE5"/>
    <w:rsid w:val="00975F34"/>
    <w:rsid w:val="00975F44"/>
    <w:rsid w:val="00975F66"/>
    <w:rsid w:val="00975F74"/>
    <w:rsid w:val="00975FDB"/>
    <w:rsid w:val="0097602E"/>
    <w:rsid w:val="00976058"/>
    <w:rsid w:val="009760A8"/>
    <w:rsid w:val="009760CE"/>
    <w:rsid w:val="00976135"/>
    <w:rsid w:val="0097615A"/>
    <w:rsid w:val="00976197"/>
    <w:rsid w:val="00976211"/>
    <w:rsid w:val="00976273"/>
    <w:rsid w:val="009762C9"/>
    <w:rsid w:val="009762E7"/>
    <w:rsid w:val="009762EE"/>
    <w:rsid w:val="0097633C"/>
    <w:rsid w:val="009763E2"/>
    <w:rsid w:val="00976402"/>
    <w:rsid w:val="00976428"/>
    <w:rsid w:val="009764A6"/>
    <w:rsid w:val="009764B4"/>
    <w:rsid w:val="00976507"/>
    <w:rsid w:val="0097654A"/>
    <w:rsid w:val="0097665F"/>
    <w:rsid w:val="0097669C"/>
    <w:rsid w:val="009766E8"/>
    <w:rsid w:val="00976710"/>
    <w:rsid w:val="00976728"/>
    <w:rsid w:val="00976761"/>
    <w:rsid w:val="009767BE"/>
    <w:rsid w:val="00976823"/>
    <w:rsid w:val="00976874"/>
    <w:rsid w:val="009768AA"/>
    <w:rsid w:val="009768BA"/>
    <w:rsid w:val="0097693E"/>
    <w:rsid w:val="00976948"/>
    <w:rsid w:val="009769CC"/>
    <w:rsid w:val="00976A72"/>
    <w:rsid w:val="00976B35"/>
    <w:rsid w:val="00976B52"/>
    <w:rsid w:val="00976B85"/>
    <w:rsid w:val="00976B8A"/>
    <w:rsid w:val="00976BB4"/>
    <w:rsid w:val="00976BCF"/>
    <w:rsid w:val="00976C89"/>
    <w:rsid w:val="00976CB6"/>
    <w:rsid w:val="00976D4E"/>
    <w:rsid w:val="00976E86"/>
    <w:rsid w:val="00976ED5"/>
    <w:rsid w:val="00976F04"/>
    <w:rsid w:val="00976F51"/>
    <w:rsid w:val="00976F7C"/>
    <w:rsid w:val="00976F95"/>
    <w:rsid w:val="00976FA2"/>
    <w:rsid w:val="00976FCB"/>
    <w:rsid w:val="00976FFF"/>
    <w:rsid w:val="00977089"/>
    <w:rsid w:val="009770E3"/>
    <w:rsid w:val="009770F9"/>
    <w:rsid w:val="00977195"/>
    <w:rsid w:val="009771B4"/>
    <w:rsid w:val="00977223"/>
    <w:rsid w:val="009772AB"/>
    <w:rsid w:val="009772B5"/>
    <w:rsid w:val="009772B9"/>
    <w:rsid w:val="0097737E"/>
    <w:rsid w:val="009773E2"/>
    <w:rsid w:val="009773FA"/>
    <w:rsid w:val="00977420"/>
    <w:rsid w:val="00977469"/>
    <w:rsid w:val="00977473"/>
    <w:rsid w:val="00977480"/>
    <w:rsid w:val="009774E5"/>
    <w:rsid w:val="00977552"/>
    <w:rsid w:val="009775B1"/>
    <w:rsid w:val="009775B3"/>
    <w:rsid w:val="009775ED"/>
    <w:rsid w:val="009775F6"/>
    <w:rsid w:val="0097766D"/>
    <w:rsid w:val="00977672"/>
    <w:rsid w:val="00977679"/>
    <w:rsid w:val="009776A0"/>
    <w:rsid w:val="009776F1"/>
    <w:rsid w:val="0097775E"/>
    <w:rsid w:val="00977760"/>
    <w:rsid w:val="0097777A"/>
    <w:rsid w:val="0097778E"/>
    <w:rsid w:val="00977799"/>
    <w:rsid w:val="00977816"/>
    <w:rsid w:val="0097782E"/>
    <w:rsid w:val="00977878"/>
    <w:rsid w:val="0097787F"/>
    <w:rsid w:val="009778D3"/>
    <w:rsid w:val="0097798D"/>
    <w:rsid w:val="00977A8E"/>
    <w:rsid w:val="00977A90"/>
    <w:rsid w:val="00977AC6"/>
    <w:rsid w:val="00977B82"/>
    <w:rsid w:val="00977B8A"/>
    <w:rsid w:val="00977B92"/>
    <w:rsid w:val="00977C8D"/>
    <w:rsid w:val="00977CEB"/>
    <w:rsid w:val="00977DF5"/>
    <w:rsid w:val="00977E81"/>
    <w:rsid w:val="00977E86"/>
    <w:rsid w:val="00977EE4"/>
    <w:rsid w:val="00977F2D"/>
    <w:rsid w:val="00977F5A"/>
    <w:rsid w:val="00977F74"/>
    <w:rsid w:val="00977F7F"/>
    <w:rsid w:val="00977F8C"/>
    <w:rsid w:val="00977FBE"/>
    <w:rsid w:val="00977FE9"/>
    <w:rsid w:val="00977FF9"/>
    <w:rsid w:val="00980016"/>
    <w:rsid w:val="0098002E"/>
    <w:rsid w:val="00980055"/>
    <w:rsid w:val="0098008C"/>
    <w:rsid w:val="009800C5"/>
    <w:rsid w:val="009800FC"/>
    <w:rsid w:val="00980101"/>
    <w:rsid w:val="0098011E"/>
    <w:rsid w:val="0098013D"/>
    <w:rsid w:val="00980191"/>
    <w:rsid w:val="009801D3"/>
    <w:rsid w:val="009801DF"/>
    <w:rsid w:val="00980205"/>
    <w:rsid w:val="00980206"/>
    <w:rsid w:val="00980207"/>
    <w:rsid w:val="00980254"/>
    <w:rsid w:val="00980257"/>
    <w:rsid w:val="00980261"/>
    <w:rsid w:val="0098027D"/>
    <w:rsid w:val="00980294"/>
    <w:rsid w:val="0098029B"/>
    <w:rsid w:val="0098037D"/>
    <w:rsid w:val="00980412"/>
    <w:rsid w:val="00980445"/>
    <w:rsid w:val="00980447"/>
    <w:rsid w:val="0098049A"/>
    <w:rsid w:val="009804A2"/>
    <w:rsid w:val="00980633"/>
    <w:rsid w:val="009806AC"/>
    <w:rsid w:val="009806DA"/>
    <w:rsid w:val="009806DB"/>
    <w:rsid w:val="0098073E"/>
    <w:rsid w:val="0098076D"/>
    <w:rsid w:val="00980786"/>
    <w:rsid w:val="009807B7"/>
    <w:rsid w:val="009807C6"/>
    <w:rsid w:val="00980803"/>
    <w:rsid w:val="00980805"/>
    <w:rsid w:val="00980855"/>
    <w:rsid w:val="00980876"/>
    <w:rsid w:val="009808B4"/>
    <w:rsid w:val="009808F3"/>
    <w:rsid w:val="009808F4"/>
    <w:rsid w:val="00980A14"/>
    <w:rsid w:val="00980A57"/>
    <w:rsid w:val="00980B73"/>
    <w:rsid w:val="00980BB2"/>
    <w:rsid w:val="00980CA9"/>
    <w:rsid w:val="00980CC7"/>
    <w:rsid w:val="00980CFB"/>
    <w:rsid w:val="00980D45"/>
    <w:rsid w:val="00980DBD"/>
    <w:rsid w:val="00980E10"/>
    <w:rsid w:val="00980F76"/>
    <w:rsid w:val="00980F85"/>
    <w:rsid w:val="00980F91"/>
    <w:rsid w:val="00981097"/>
    <w:rsid w:val="009810E9"/>
    <w:rsid w:val="00981176"/>
    <w:rsid w:val="0098117B"/>
    <w:rsid w:val="009811D3"/>
    <w:rsid w:val="00981287"/>
    <w:rsid w:val="009812A7"/>
    <w:rsid w:val="00981366"/>
    <w:rsid w:val="009813AA"/>
    <w:rsid w:val="009813DD"/>
    <w:rsid w:val="00981412"/>
    <w:rsid w:val="00981486"/>
    <w:rsid w:val="009814D1"/>
    <w:rsid w:val="009814FC"/>
    <w:rsid w:val="0098156D"/>
    <w:rsid w:val="00981573"/>
    <w:rsid w:val="00981642"/>
    <w:rsid w:val="0098168E"/>
    <w:rsid w:val="009816C9"/>
    <w:rsid w:val="009816DB"/>
    <w:rsid w:val="009816F2"/>
    <w:rsid w:val="00981772"/>
    <w:rsid w:val="00981775"/>
    <w:rsid w:val="00981776"/>
    <w:rsid w:val="009817D4"/>
    <w:rsid w:val="00981815"/>
    <w:rsid w:val="0098184C"/>
    <w:rsid w:val="009818D2"/>
    <w:rsid w:val="009819A8"/>
    <w:rsid w:val="00981A0D"/>
    <w:rsid w:val="00981ACB"/>
    <w:rsid w:val="00981C18"/>
    <w:rsid w:val="00981CA8"/>
    <w:rsid w:val="00981CB3"/>
    <w:rsid w:val="00981CEA"/>
    <w:rsid w:val="00981D4D"/>
    <w:rsid w:val="00981DA5"/>
    <w:rsid w:val="00981DA8"/>
    <w:rsid w:val="00981DE1"/>
    <w:rsid w:val="00981DFA"/>
    <w:rsid w:val="00981E43"/>
    <w:rsid w:val="00981E45"/>
    <w:rsid w:val="00981E57"/>
    <w:rsid w:val="00981F36"/>
    <w:rsid w:val="00981F39"/>
    <w:rsid w:val="00981F59"/>
    <w:rsid w:val="00981F5C"/>
    <w:rsid w:val="00981F97"/>
    <w:rsid w:val="00981F9D"/>
    <w:rsid w:val="00981FD6"/>
    <w:rsid w:val="00981FE5"/>
    <w:rsid w:val="00982054"/>
    <w:rsid w:val="009820B2"/>
    <w:rsid w:val="00982147"/>
    <w:rsid w:val="0098214C"/>
    <w:rsid w:val="0098215B"/>
    <w:rsid w:val="009821AD"/>
    <w:rsid w:val="0098225A"/>
    <w:rsid w:val="009822DE"/>
    <w:rsid w:val="0098231F"/>
    <w:rsid w:val="00982358"/>
    <w:rsid w:val="0098238B"/>
    <w:rsid w:val="009823A3"/>
    <w:rsid w:val="009823C9"/>
    <w:rsid w:val="009823E1"/>
    <w:rsid w:val="009823EE"/>
    <w:rsid w:val="0098247C"/>
    <w:rsid w:val="009824F8"/>
    <w:rsid w:val="00982533"/>
    <w:rsid w:val="00982556"/>
    <w:rsid w:val="0098258F"/>
    <w:rsid w:val="00982596"/>
    <w:rsid w:val="0098264B"/>
    <w:rsid w:val="009826D6"/>
    <w:rsid w:val="0098275D"/>
    <w:rsid w:val="009827A4"/>
    <w:rsid w:val="009827BD"/>
    <w:rsid w:val="0098285C"/>
    <w:rsid w:val="00982889"/>
    <w:rsid w:val="0098291E"/>
    <w:rsid w:val="0098292B"/>
    <w:rsid w:val="0098295C"/>
    <w:rsid w:val="00982968"/>
    <w:rsid w:val="009829CB"/>
    <w:rsid w:val="009829D4"/>
    <w:rsid w:val="009829DD"/>
    <w:rsid w:val="00982A0F"/>
    <w:rsid w:val="00982A70"/>
    <w:rsid w:val="00982AC6"/>
    <w:rsid w:val="00982B75"/>
    <w:rsid w:val="00982BC1"/>
    <w:rsid w:val="00982C12"/>
    <w:rsid w:val="00982C50"/>
    <w:rsid w:val="00982CB0"/>
    <w:rsid w:val="00982CF5"/>
    <w:rsid w:val="00982D04"/>
    <w:rsid w:val="00982D57"/>
    <w:rsid w:val="00982D69"/>
    <w:rsid w:val="00982D7A"/>
    <w:rsid w:val="00982D86"/>
    <w:rsid w:val="00982E76"/>
    <w:rsid w:val="00982E77"/>
    <w:rsid w:val="00982EF2"/>
    <w:rsid w:val="00982EF5"/>
    <w:rsid w:val="00982F4C"/>
    <w:rsid w:val="00982F56"/>
    <w:rsid w:val="00982FAF"/>
    <w:rsid w:val="00982FE6"/>
    <w:rsid w:val="00982FEB"/>
    <w:rsid w:val="00982FF7"/>
    <w:rsid w:val="00983030"/>
    <w:rsid w:val="00983082"/>
    <w:rsid w:val="009830FA"/>
    <w:rsid w:val="009830FB"/>
    <w:rsid w:val="00983113"/>
    <w:rsid w:val="0098313E"/>
    <w:rsid w:val="00983189"/>
    <w:rsid w:val="0098318F"/>
    <w:rsid w:val="009831B0"/>
    <w:rsid w:val="009831B4"/>
    <w:rsid w:val="009831C4"/>
    <w:rsid w:val="00983206"/>
    <w:rsid w:val="0098322E"/>
    <w:rsid w:val="00983253"/>
    <w:rsid w:val="00983266"/>
    <w:rsid w:val="0098326B"/>
    <w:rsid w:val="009832A1"/>
    <w:rsid w:val="009832B9"/>
    <w:rsid w:val="009832EE"/>
    <w:rsid w:val="00983317"/>
    <w:rsid w:val="0098331C"/>
    <w:rsid w:val="00983350"/>
    <w:rsid w:val="0098335E"/>
    <w:rsid w:val="00983382"/>
    <w:rsid w:val="00983398"/>
    <w:rsid w:val="00983463"/>
    <w:rsid w:val="009834E3"/>
    <w:rsid w:val="0098353F"/>
    <w:rsid w:val="00983587"/>
    <w:rsid w:val="00983677"/>
    <w:rsid w:val="0098368B"/>
    <w:rsid w:val="00983703"/>
    <w:rsid w:val="00983736"/>
    <w:rsid w:val="0098373D"/>
    <w:rsid w:val="00983848"/>
    <w:rsid w:val="00983852"/>
    <w:rsid w:val="0098386B"/>
    <w:rsid w:val="00983883"/>
    <w:rsid w:val="009838BA"/>
    <w:rsid w:val="009838D2"/>
    <w:rsid w:val="009838FD"/>
    <w:rsid w:val="00983908"/>
    <w:rsid w:val="0098396A"/>
    <w:rsid w:val="00983996"/>
    <w:rsid w:val="009839CA"/>
    <w:rsid w:val="009839F4"/>
    <w:rsid w:val="009839F5"/>
    <w:rsid w:val="00983A55"/>
    <w:rsid w:val="00983A62"/>
    <w:rsid w:val="00983B39"/>
    <w:rsid w:val="00983B3E"/>
    <w:rsid w:val="00983BB7"/>
    <w:rsid w:val="00983BE0"/>
    <w:rsid w:val="00983BFC"/>
    <w:rsid w:val="00983C11"/>
    <w:rsid w:val="00983C28"/>
    <w:rsid w:val="00983C9F"/>
    <w:rsid w:val="00983CA2"/>
    <w:rsid w:val="00983D18"/>
    <w:rsid w:val="00983D4F"/>
    <w:rsid w:val="00983D73"/>
    <w:rsid w:val="00983D92"/>
    <w:rsid w:val="00983DC5"/>
    <w:rsid w:val="00983E3D"/>
    <w:rsid w:val="00983E7C"/>
    <w:rsid w:val="00983EBE"/>
    <w:rsid w:val="00983ECC"/>
    <w:rsid w:val="00983F19"/>
    <w:rsid w:val="00983F30"/>
    <w:rsid w:val="00983FA4"/>
    <w:rsid w:val="00983FD4"/>
    <w:rsid w:val="00984012"/>
    <w:rsid w:val="00984026"/>
    <w:rsid w:val="00984073"/>
    <w:rsid w:val="009840A0"/>
    <w:rsid w:val="009840C9"/>
    <w:rsid w:val="00984107"/>
    <w:rsid w:val="0098410D"/>
    <w:rsid w:val="00984135"/>
    <w:rsid w:val="00984186"/>
    <w:rsid w:val="0098418D"/>
    <w:rsid w:val="009841EA"/>
    <w:rsid w:val="009841F8"/>
    <w:rsid w:val="009842FA"/>
    <w:rsid w:val="00984327"/>
    <w:rsid w:val="00984330"/>
    <w:rsid w:val="0098438E"/>
    <w:rsid w:val="009843D5"/>
    <w:rsid w:val="00984408"/>
    <w:rsid w:val="0098440C"/>
    <w:rsid w:val="00984421"/>
    <w:rsid w:val="0098446A"/>
    <w:rsid w:val="009845A8"/>
    <w:rsid w:val="009845F3"/>
    <w:rsid w:val="00984619"/>
    <w:rsid w:val="00984647"/>
    <w:rsid w:val="009846EA"/>
    <w:rsid w:val="009846ED"/>
    <w:rsid w:val="00984711"/>
    <w:rsid w:val="00984754"/>
    <w:rsid w:val="0098477F"/>
    <w:rsid w:val="009847A0"/>
    <w:rsid w:val="009847AA"/>
    <w:rsid w:val="009847B5"/>
    <w:rsid w:val="009847D1"/>
    <w:rsid w:val="009847D8"/>
    <w:rsid w:val="009847F3"/>
    <w:rsid w:val="009847FA"/>
    <w:rsid w:val="0098480E"/>
    <w:rsid w:val="00984826"/>
    <w:rsid w:val="0098487B"/>
    <w:rsid w:val="00984891"/>
    <w:rsid w:val="009848BF"/>
    <w:rsid w:val="00984924"/>
    <w:rsid w:val="00984978"/>
    <w:rsid w:val="009849AE"/>
    <w:rsid w:val="009849BC"/>
    <w:rsid w:val="00984AA5"/>
    <w:rsid w:val="00984ABE"/>
    <w:rsid w:val="00984BE5"/>
    <w:rsid w:val="00984C06"/>
    <w:rsid w:val="00984C9F"/>
    <w:rsid w:val="00984CB3"/>
    <w:rsid w:val="00984D09"/>
    <w:rsid w:val="00984D0E"/>
    <w:rsid w:val="00984D94"/>
    <w:rsid w:val="00984DD1"/>
    <w:rsid w:val="00984E61"/>
    <w:rsid w:val="00984EFC"/>
    <w:rsid w:val="00984F56"/>
    <w:rsid w:val="00984F64"/>
    <w:rsid w:val="00984F94"/>
    <w:rsid w:val="00984FA7"/>
    <w:rsid w:val="00984FC3"/>
    <w:rsid w:val="00984FF8"/>
    <w:rsid w:val="00985046"/>
    <w:rsid w:val="009850AC"/>
    <w:rsid w:val="009850C4"/>
    <w:rsid w:val="009850DB"/>
    <w:rsid w:val="009850EF"/>
    <w:rsid w:val="009850FD"/>
    <w:rsid w:val="00985117"/>
    <w:rsid w:val="00985128"/>
    <w:rsid w:val="00985147"/>
    <w:rsid w:val="00985172"/>
    <w:rsid w:val="00985188"/>
    <w:rsid w:val="009851B1"/>
    <w:rsid w:val="009851BF"/>
    <w:rsid w:val="0098521D"/>
    <w:rsid w:val="0098527C"/>
    <w:rsid w:val="0098528F"/>
    <w:rsid w:val="00985291"/>
    <w:rsid w:val="009852AC"/>
    <w:rsid w:val="009852B0"/>
    <w:rsid w:val="00985303"/>
    <w:rsid w:val="009853EB"/>
    <w:rsid w:val="0098540A"/>
    <w:rsid w:val="00985417"/>
    <w:rsid w:val="00985457"/>
    <w:rsid w:val="0098547D"/>
    <w:rsid w:val="0098548C"/>
    <w:rsid w:val="00985490"/>
    <w:rsid w:val="009854A2"/>
    <w:rsid w:val="0098551A"/>
    <w:rsid w:val="00985528"/>
    <w:rsid w:val="00985537"/>
    <w:rsid w:val="009855A7"/>
    <w:rsid w:val="0098565D"/>
    <w:rsid w:val="009856A0"/>
    <w:rsid w:val="0098570E"/>
    <w:rsid w:val="00985755"/>
    <w:rsid w:val="009857CF"/>
    <w:rsid w:val="0098581E"/>
    <w:rsid w:val="00985838"/>
    <w:rsid w:val="009858F9"/>
    <w:rsid w:val="00985903"/>
    <w:rsid w:val="00985927"/>
    <w:rsid w:val="00985967"/>
    <w:rsid w:val="00985A47"/>
    <w:rsid w:val="00985B94"/>
    <w:rsid w:val="00985C14"/>
    <w:rsid w:val="00985C60"/>
    <w:rsid w:val="00985D8B"/>
    <w:rsid w:val="00985D98"/>
    <w:rsid w:val="00985E1F"/>
    <w:rsid w:val="00985E2B"/>
    <w:rsid w:val="00985E45"/>
    <w:rsid w:val="00985E4B"/>
    <w:rsid w:val="00985EA8"/>
    <w:rsid w:val="00985EBA"/>
    <w:rsid w:val="00985FD7"/>
    <w:rsid w:val="00986018"/>
    <w:rsid w:val="00986056"/>
    <w:rsid w:val="00986072"/>
    <w:rsid w:val="0098620F"/>
    <w:rsid w:val="0098625B"/>
    <w:rsid w:val="00986293"/>
    <w:rsid w:val="00986343"/>
    <w:rsid w:val="0098634C"/>
    <w:rsid w:val="0098635D"/>
    <w:rsid w:val="0098636C"/>
    <w:rsid w:val="009863B7"/>
    <w:rsid w:val="009863BC"/>
    <w:rsid w:val="009863D1"/>
    <w:rsid w:val="00986412"/>
    <w:rsid w:val="0098643E"/>
    <w:rsid w:val="00986478"/>
    <w:rsid w:val="00986488"/>
    <w:rsid w:val="009864D7"/>
    <w:rsid w:val="00986528"/>
    <w:rsid w:val="00986542"/>
    <w:rsid w:val="00986557"/>
    <w:rsid w:val="00986572"/>
    <w:rsid w:val="00986672"/>
    <w:rsid w:val="009866FA"/>
    <w:rsid w:val="0098675C"/>
    <w:rsid w:val="00986789"/>
    <w:rsid w:val="009867BA"/>
    <w:rsid w:val="009867EF"/>
    <w:rsid w:val="00986830"/>
    <w:rsid w:val="0098683C"/>
    <w:rsid w:val="0098684C"/>
    <w:rsid w:val="009868C6"/>
    <w:rsid w:val="009868D4"/>
    <w:rsid w:val="0098692C"/>
    <w:rsid w:val="00986935"/>
    <w:rsid w:val="00986936"/>
    <w:rsid w:val="009869A7"/>
    <w:rsid w:val="009869C0"/>
    <w:rsid w:val="009869EA"/>
    <w:rsid w:val="00986A0A"/>
    <w:rsid w:val="00986A75"/>
    <w:rsid w:val="00986AB8"/>
    <w:rsid w:val="00986AF5"/>
    <w:rsid w:val="00986B30"/>
    <w:rsid w:val="00986C17"/>
    <w:rsid w:val="00986C1A"/>
    <w:rsid w:val="00986C77"/>
    <w:rsid w:val="00986C94"/>
    <w:rsid w:val="00986CF2"/>
    <w:rsid w:val="00986D3F"/>
    <w:rsid w:val="00986D72"/>
    <w:rsid w:val="00986DEC"/>
    <w:rsid w:val="00986E0C"/>
    <w:rsid w:val="00986E5A"/>
    <w:rsid w:val="00986F02"/>
    <w:rsid w:val="00986F2C"/>
    <w:rsid w:val="00986F3E"/>
    <w:rsid w:val="00986F54"/>
    <w:rsid w:val="00986F5B"/>
    <w:rsid w:val="0098700B"/>
    <w:rsid w:val="00987054"/>
    <w:rsid w:val="00987062"/>
    <w:rsid w:val="0098709D"/>
    <w:rsid w:val="0098713F"/>
    <w:rsid w:val="009871A7"/>
    <w:rsid w:val="009871AE"/>
    <w:rsid w:val="00987206"/>
    <w:rsid w:val="00987226"/>
    <w:rsid w:val="0098725C"/>
    <w:rsid w:val="009872BE"/>
    <w:rsid w:val="00987361"/>
    <w:rsid w:val="0098736A"/>
    <w:rsid w:val="009873C5"/>
    <w:rsid w:val="009873D2"/>
    <w:rsid w:val="009873DD"/>
    <w:rsid w:val="009873E3"/>
    <w:rsid w:val="0098751F"/>
    <w:rsid w:val="00987573"/>
    <w:rsid w:val="0098759F"/>
    <w:rsid w:val="009875AC"/>
    <w:rsid w:val="00987601"/>
    <w:rsid w:val="00987644"/>
    <w:rsid w:val="00987656"/>
    <w:rsid w:val="00987671"/>
    <w:rsid w:val="0098767D"/>
    <w:rsid w:val="00987682"/>
    <w:rsid w:val="0098769A"/>
    <w:rsid w:val="009876BF"/>
    <w:rsid w:val="009876D5"/>
    <w:rsid w:val="009876F9"/>
    <w:rsid w:val="0098770C"/>
    <w:rsid w:val="00987717"/>
    <w:rsid w:val="00987810"/>
    <w:rsid w:val="0098784C"/>
    <w:rsid w:val="0098789A"/>
    <w:rsid w:val="009878D8"/>
    <w:rsid w:val="0098791B"/>
    <w:rsid w:val="00987927"/>
    <w:rsid w:val="0098793E"/>
    <w:rsid w:val="00987A23"/>
    <w:rsid w:val="00987A2F"/>
    <w:rsid w:val="00987A54"/>
    <w:rsid w:val="00987A82"/>
    <w:rsid w:val="00987AA9"/>
    <w:rsid w:val="00987C1D"/>
    <w:rsid w:val="00987C26"/>
    <w:rsid w:val="00987C9F"/>
    <w:rsid w:val="00987CA7"/>
    <w:rsid w:val="00987CC3"/>
    <w:rsid w:val="00987CCB"/>
    <w:rsid w:val="00987D76"/>
    <w:rsid w:val="00987D84"/>
    <w:rsid w:val="00987E2A"/>
    <w:rsid w:val="00987E2E"/>
    <w:rsid w:val="00987EB1"/>
    <w:rsid w:val="00987EC0"/>
    <w:rsid w:val="00987F1C"/>
    <w:rsid w:val="00987F47"/>
    <w:rsid w:val="00987F76"/>
    <w:rsid w:val="00987FA2"/>
    <w:rsid w:val="00987FC2"/>
    <w:rsid w:val="00987FDC"/>
    <w:rsid w:val="00987FE1"/>
    <w:rsid w:val="00990030"/>
    <w:rsid w:val="0099003A"/>
    <w:rsid w:val="00990074"/>
    <w:rsid w:val="00990088"/>
    <w:rsid w:val="009900B2"/>
    <w:rsid w:val="009900C6"/>
    <w:rsid w:val="009900D9"/>
    <w:rsid w:val="0099013F"/>
    <w:rsid w:val="00990241"/>
    <w:rsid w:val="00990255"/>
    <w:rsid w:val="00990299"/>
    <w:rsid w:val="0099029C"/>
    <w:rsid w:val="009902C4"/>
    <w:rsid w:val="009902CE"/>
    <w:rsid w:val="009902D3"/>
    <w:rsid w:val="00990346"/>
    <w:rsid w:val="00990362"/>
    <w:rsid w:val="00990405"/>
    <w:rsid w:val="009904C3"/>
    <w:rsid w:val="00990598"/>
    <w:rsid w:val="009905EB"/>
    <w:rsid w:val="0099060A"/>
    <w:rsid w:val="00990631"/>
    <w:rsid w:val="00990674"/>
    <w:rsid w:val="0099067B"/>
    <w:rsid w:val="009906F0"/>
    <w:rsid w:val="00990730"/>
    <w:rsid w:val="009907AC"/>
    <w:rsid w:val="009907E2"/>
    <w:rsid w:val="009907F8"/>
    <w:rsid w:val="009907FA"/>
    <w:rsid w:val="00990839"/>
    <w:rsid w:val="00990856"/>
    <w:rsid w:val="0099086C"/>
    <w:rsid w:val="00990871"/>
    <w:rsid w:val="009908AC"/>
    <w:rsid w:val="00990922"/>
    <w:rsid w:val="0099096D"/>
    <w:rsid w:val="00990996"/>
    <w:rsid w:val="009909F1"/>
    <w:rsid w:val="00990A33"/>
    <w:rsid w:val="00990A78"/>
    <w:rsid w:val="00990B52"/>
    <w:rsid w:val="00990C52"/>
    <w:rsid w:val="00990CD0"/>
    <w:rsid w:val="00990CE6"/>
    <w:rsid w:val="00990CEE"/>
    <w:rsid w:val="00990E9B"/>
    <w:rsid w:val="00990F4D"/>
    <w:rsid w:val="00990F5A"/>
    <w:rsid w:val="00990F8D"/>
    <w:rsid w:val="00990FB4"/>
    <w:rsid w:val="00990FCA"/>
    <w:rsid w:val="0099102D"/>
    <w:rsid w:val="0099108B"/>
    <w:rsid w:val="0099115C"/>
    <w:rsid w:val="009911C1"/>
    <w:rsid w:val="009911D4"/>
    <w:rsid w:val="0099120C"/>
    <w:rsid w:val="00991243"/>
    <w:rsid w:val="00991249"/>
    <w:rsid w:val="00991253"/>
    <w:rsid w:val="009912E4"/>
    <w:rsid w:val="00991310"/>
    <w:rsid w:val="0099133B"/>
    <w:rsid w:val="009913D7"/>
    <w:rsid w:val="00991415"/>
    <w:rsid w:val="0099147D"/>
    <w:rsid w:val="0099148B"/>
    <w:rsid w:val="009914A5"/>
    <w:rsid w:val="009914C9"/>
    <w:rsid w:val="009914F1"/>
    <w:rsid w:val="009914FB"/>
    <w:rsid w:val="00991559"/>
    <w:rsid w:val="00991584"/>
    <w:rsid w:val="0099159A"/>
    <w:rsid w:val="009915EE"/>
    <w:rsid w:val="00991690"/>
    <w:rsid w:val="0099170C"/>
    <w:rsid w:val="0099172B"/>
    <w:rsid w:val="00991730"/>
    <w:rsid w:val="0099173F"/>
    <w:rsid w:val="0099176F"/>
    <w:rsid w:val="009917CC"/>
    <w:rsid w:val="0099181C"/>
    <w:rsid w:val="009918CC"/>
    <w:rsid w:val="00991908"/>
    <w:rsid w:val="00991911"/>
    <w:rsid w:val="00991933"/>
    <w:rsid w:val="00991955"/>
    <w:rsid w:val="009919D5"/>
    <w:rsid w:val="00991A85"/>
    <w:rsid w:val="00991B2D"/>
    <w:rsid w:val="00991B9C"/>
    <w:rsid w:val="00991BA8"/>
    <w:rsid w:val="00991BC4"/>
    <w:rsid w:val="00991C78"/>
    <w:rsid w:val="00991D15"/>
    <w:rsid w:val="00991DA5"/>
    <w:rsid w:val="00991DCB"/>
    <w:rsid w:val="00991E5A"/>
    <w:rsid w:val="00991E6B"/>
    <w:rsid w:val="00991EC6"/>
    <w:rsid w:val="00991ECF"/>
    <w:rsid w:val="00991F30"/>
    <w:rsid w:val="00991FD4"/>
    <w:rsid w:val="00991FEB"/>
    <w:rsid w:val="0099204D"/>
    <w:rsid w:val="00992114"/>
    <w:rsid w:val="009921C2"/>
    <w:rsid w:val="00992256"/>
    <w:rsid w:val="0099228F"/>
    <w:rsid w:val="00992326"/>
    <w:rsid w:val="0099237E"/>
    <w:rsid w:val="009923FB"/>
    <w:rsid w:val="0099247D"/>
    <w:rsid w:val="00992488"/>
    <w:rsid w:val="0099250C"/>
    <w:rsid w:val="00992626"/>
    <w:rsid w:val="00992704"/>
    <w:rsid w:val="0099270E"/>
    <w:rsid w:val="00992724"/>
    <w:rsid w:val="00992730"/>
    <w:rsid w:val="0099276D"/>
    <w:rsid w:val="00992791"/>
    <w:rsid w:val="009927C8"/>
    <w:rsid w:val="009927C9"/>
    <w:rsid w:val="009928C0"/>
    <w:rsid w:val="009929C5"/>
    <w:rsid w:val="009929E9"/>
    <w:rsid w:val="00992A10"/>
    <w:rsid w:val="00992A9D"/>
    <w:rsid w:val="00992B0D"/>
    <w:rsid w:val="00992B71"/>
    <w:rsid w:val="00992BC4"/>
    <w:rsid w:val="00992BDE"/>
    <w:rsid w:val="00992CA0"/>
    <w:rsid w:val="00992CE4"/>
    <w:rsid w:val="00992D03"/>
    <w:rsid w:val="00992D20"/>
    <w:rsid w:val="00992D8A"/>
    <w:rsid w:val="00992DBF"/>
    <w:rsid w:val="00992DCB"/>
    <w:rsid w:val="00992F9E"/>
    <w:rsid w:val="00992FFA"/>
    <w:rsid w:val="009930AF"/>
    <w:rsid w:val="009930B9"/>
    <w:rsid w:val="009930D1"/>
    <w:rsid w:val="009930D6"/>
    <w:rsid w:val="009930FE"/>
    <w:rsid w:val="00993181"/>
    <w:rsid w:val="00993205"/>
    <w:rsid w:val="0099325D"/>
    <w:rsid w:val="0099335C"/>
    <w:rsid w:val="00993376"/>
    <w:rsid w:val="00993384"/>
    <w:rsid w:val="009934E7"/>
    <w:rsid w:val="00993521"/>
    <w:rsid w:val="0099355A"/>
    <w:rsid w:val="009935A1"/>
    <w:rsid w:val="00993676"/>
    <w:rsid w:val="009936CE"/>
    <w:rsid w:val="00993758"/>
    <w:rsid w:val="009937A7"/>
    <w:rsid w:val="009937E1"/>
    <w:rsid w:val="00993895"/>
    <w:rsid w:val="0099389E"/>
    <w:rsid w:val="009938F8"/>
    <w:rsid w:val="00993905"/>
    <w:rsid w:val="00993947"/>
    <w:rsid w:val="0099394E"/>
    <w:rsid w:val="00993951"/>
    <w:rsid w:val="00993A8E"/>
    <w:rsid w:val="00993B73"/>
    <w:rsid w:val="00993B89"/>
    <w:rsid w:val="00993B9A"/>
    <w:rsid w:val="00993CCD"/>
    <w:rsid w:val="00993D5B"/>
    <w:rsid w:val="00993D9E"/>
    <w:rsid w:val="00993E71"/>
    <w:rsid w:val="00993E93"/>
    <w:rsid w:val="00993EE9"/>
    <w:rsid w:val="00993F10"/>
    <w:rsid w:val="00993FE6"/>
    <w:rsid w:val="00994004"/>
    <w:rsid w:val="00994160"/>
    <w:rsid w:val="009941DE"/>
    <w:rsid w:val="009941E3"/>
    <w:rsid w:val="00994201"/>
    <w:rsid w:val="00994206"/>
    <w:rsid w:val="00994264"/>
    <w:rsid w:val="009942CA"/>
    <w:rsid w:val="00994300"/>
    <w:rsid w:val="0099437F"/>
    <w:rsid w:val="009943A3"/>
    <w:rsid w:val="0099445D"/>
    <w:rsid w:val="0099449F"/>
    <w:rsid w:val="009944A8"/>
    <w:rsid w:val="009944B1"/>
    <w:rsid w:val="009944B8"/>
    <w:rsid w:val="009944D8"/>
    <w:rsid w:val="009944DD"/>
    <w:rsid w:val="0099452D"/>
    <w:rsid w:val="0099458E"/>
    <w:rsid w:val="009945C5"/>
    <w:rsid w:val="0099461D"/>
    <w:rsid w:val="00994681"/>
    <w:rsid w:val="009946A9"/>
    <w:rsid w:val="009946C9"/>
    <w:rsid w:val="0099471C"/>
    <w:rsid w:val="00994758"/>
    <w:rsid w:val="009947B1"/>
    <w:rsid w:val="009947D0"/>
    <w:rsid w:val="00994891"/>
    <w:rsid w:val="009948CE"/>
    <w:rsid w:val="009948D5"/>
    <w:rsid w:val="00994947"/>
    <w:rsid w:val="00994954"/>
    <w:rsid w:val="0099496B"/>
    <w:rsid w:val="00994993"/>
    <w:rsid w:val="009949CB"/>
    <w:rsid w:val="00994A5A"/>
    <w:rsid w:val="00994B0E"/>
    <w:rsid w:val="00994B4A"/>
    <w:rsid w:val="00994B73"/>
    <w:rsid w:val="00994C23"/>
    <w:rsid w:val="00994D63"/>
    <w:rsid w:val="00994DB3"/>
    <w:rsid w:val="00994DC9"/>
    <w:rsid w:val="00994E05"/>
    <w:rsid w:val="00994E2B"/>
    <w:rsid w:val="00994E66"/>
    <w:rsid w:val="00994E9C"/>
    <w:rsid w:val="00994EBE"/>
    <w:rsid w:val="00994F29"/>
    <w:rsid w:val="00994FF7"/>
    <w:rsid w:val="0099505C"/>
    <w:rsid w:val="009950D8"/>
    <w:rsid w:val="00995133"/>
    <w:rsid w:val="00995138"/>
    <w:rsid w:val="009951E4"/>
    <w:rsid w:val="0099521F"/>
    <w:rsid w:val="0099525D"/>
    <w:rsid w:val="00995267"/>
    <w:rsid w:val="00995271"/>
    <w:rsid w:val="0099528E"/>
    <w:rsid w:val="00995318"/>
    <w:rsid w:val="00995328"/>
    <w:rsid w:val="009953C4"/>
    <w:rsid w:val="00995479"/>
    <w:rsid w:val="009954E2"/>
    <w:rsid w:val="00995521"/>
    <w:rsid w:val="00995524"/>
    <w:rsid w:val="00995574"/>
    <w:rsid w:val="00995595"/>
    <w:rsid w:val="009955C4"/>
    <w:rsid w:val="00995631"/>
    <w:rsid w:val="00995651"/>
    <w:rsid w:val="00995699"/>
    <w:rsid w:val="00995701"/>
    <w:rsid w:val="00995707"/>
    <w:rsid w:val="0099570B"/>
    <w:rsid w:val="0099578B"/>
    <w:rsid w:val="009957BE"/>
    <w:rsid w:val="009957C2"/>
    <w:rsid w:val="009957C9"/>
    <w:rsid w:val="009957EB"/>
    <w:rsid w:val="00995889"/>
    <w:rsid w:val="00995890"/>
    <w:rsid w:val="0099591B"/>
    <w:rsid w:val="009959C0"/>
    <w:rsid w:val="009959CD"/>
    <w:rsid w:val="00995A2F"/>
    <w:rsid w:val="00995A7F"/>
    <w:rsid w:val="00995AC3"/>
    <w:rsid w:val="00995B23"/>
    <w:rsid w:val="00995B36"/>
    <w:rsid w:val="00995B9D"/>
    <w:rsid w:val="00995BA5"/>
    <w:rsid w:val="00995C5C"/>
    <w:rsid w:val="00995C7B"/>
    <w:rsid w:val="00995D8F"/>
    <w:rsid w:val="00995DA4"/>
    <w:rsid w:val="00995DD4"/>
    <w:rsid w:val="00995DEC"/>
    <w:rsid w:val="00995E25"/>
    <w:rsid w:val="00995E83"/>
    <w:rsid w:val="00995F9E"/>
    <w:rsid w:val="00995FAB"/>
    <w:rsid w:val="00995FB6"/>
    <w:rsid w:val="00996034"/>
    <w:rsid w:val="0099605A"/>
    <w:rsid w:val="00996153"/>
    <w:rsid w:val="0099615E"/>
    <w:rsid w:val="0099618E"/>
    <w:rsid w:val="009961A2"/>
    <w:rsid w:val="009961D4"/>
    <w:rsid w:val="00996254"/>
    <w:rsid w:val="0099638E"/>
    <w:rsid w:val="009963B3"/>
    <w:rsid w:val="009963FF"/>
    <w:rsid w:val="00996466"/>
    <w:rsid w:val="00996482"/>
    <w:rsid w:val="009964E3"/>
    <w:rsid w:val="009964E7"/>
    <w:rsid w:val="00996510"/>
    <w:rsid w:val="00996530"/>
    <w:rsid w:val="00996544"/>
    <w:rsid w:val="00996670"/>
    <w:rsid w:val="0099671B"/>
    <w:rsid w:val="0099676B"/>
    <w:rsid w:val="00996781"/>
    <w:rsid w:val="009967F5"/>
    <w:rsid w:val="009968AD"/>
    <w:rsid w:val="00996923"/>
    <w:rsid w:val="00996945"/>
    <w:rsid w:val="00996971"/>
    <w:rsid w:val="00996A3F"/>
    <w:rsid w:val="00996AC6"/>
    <w:rsid w:val="00996B14"/>
    <w:rsid w:val="00996B15"/>
    <w:rsid w:val="00996B35"/>
    <w:rsid w:val="00996BA9"/>
    <w:rsid w:val="00996BAD"/>
    <w:rsid w:val="00996C03"/>
    <w:rsid w:val="00996C90"/>
    <w:rsid w:val="00996CA1"/>
    <w:rsid w:val="00996CE7"/>
    <w:rsid w:val="00996D41"/>
    <w:rsid w:val="00996D99"/>
    <w:rsid w:val="00996DAE"/>
    <w:rsid w:val="00996DD6"/>
    <w:rsid w:val="00996DF3"/>
    <w:rsid w:val="00996DF9"/>
    <w:rsid w:val="00996E0F"/>
    <w:rsid w:val="00996E66"/>
    <w:rsid w:val="00996E94"/>
    <w:rsid w:val="00996EB9"/>
    <w:rsid w:val="00996F04"/>
    <w:rsid w:val="00996F06"/>
    <w:rsid w:val="00996F49"/>
    <w:rsid w:val="00996FCB"/>
    <w:rsid w:val="00996FED"/>
    <w:rsid w:val="00996FF5"/>
    <w:rsid w:val="00996FFB"/>
    <w:rsid w:val="00997096"/>
    <w:rsid w:val="009970B5"/>
    <w:rsid w:val="0099711F"/>
    <w:rsid w:val="00997173"/>
    <w:rsid w:val="009971A8"/>
    <w:rsid w:val="009971D3"/>
    <w:rsid w:val="00997223"/>
    <w:rsid w:val="009972A5"/>
    <w:rsid w:val="009972A6"/>
    <w:rsid w:val="00997319"/>
    <w:rsid w:val="00997326"/>
    <w:rsid w:val="00997345"/>
    <w:rsid w:val="00997406"/>
    <w:rsid w:val="009974CE"/>
    <w:rsid w:val="00997546"/>
    <w:rsid w:val="009975DD"/>
    <w:rsid w:val="00997601"/>
    <w:rsid w:val="00997636"/>
    <w:rsid w:val="00997658"/>
    <w:rsid w:val="0099765B"/>
    <w:rsid w:val="00997679"/>
    <w:rsid w:val="0099768F"/>
    <w:rsid w:val="009976E6"/>
    <w:rsid w:val="00997768"/>
    <w:rsid w:val="009977B0"/>
    <w:rsid w:val="009977C4"/>
    <w:rsid w:val="00997891"/>
    <w:rsid w:val="009978B3"/>
    <w:rsid w:val="00997964"/>
    <w:rsid w:val="00997983"/>
    <w:rsid w:val="009979BD"/>
    <w:rsid w:val="009979F1"/>
    <w:rsid w:val="00997A0B"/>
    <w:rsid w:val="00997A1D"/>
    <w:rsid w:val="00997A2B"/>
    <w:rsid w:val="00997A46"/>
    <w:rsid w:val="00997A4C"/>
    <w:rsid w:val="00997A61"/>
    <w:rsid w:val="00997A87"/>
    <w:rsid w:val="00997AFC"/>
    <w:rsid w:val="00997AFE"/>
    <w:rsid w:val="00997AFF"/>
    <w:rsid w:val="00997B2F"/>
    <w:rsid w:val="00997B51"/>
    <w:rsid w:val="00997B8D"/>
    <w:rsid w:val="00997C10"/>
    <w:rsid w:val="00997C22"/>
    <w:rsid w:val="00997C7F"/>
    <w:rsid w:val="00997C96"/>
    <w:rsid w:val="00997C97"/>
    <w:rsid w:val="00997CB8"/>
    <w:rsid w:val="00997CB9"/>
    <w:rsid w:val="00997D63"/>
    <w:rsid w:val="00997D7B"/>
    <w:rsid w:val="00997D82"/>
    <w:rsid w:val="00997DC3"/>
    <w:rsid w:val="00997EA6"/>
    <w:rsid w:val="00997EB1"/>
    <w:rsid w:val="00997F1B"/>
    <w:rsid w:val="009A0005"/>
    <w:rsid w:val="009A0028"/>
    <w:rsid w:val="009A0067"/>
    <w:rsid w:val="009A0086"/>
    <w:rsid w:val="009A00AE"/>
    <w:rsid w:val="009A00E4"/>
    <w:rsid w:val="009A0268"/>
    <w:rsid w:val="009A026D"/>
    <w:rsid w:val="009A02CB"/>
    <w:rsid w:val="009A02D2"/>
    <w:rsid w:val="009A02DC"/>
    <w:rsid w:val="009A0351"/>
    <w:rsid w:val="009A0372"/>
    <w:rsid w:val="009A037A"/>
    <w:rsid w:val="009A0395"/>
    <w:rsid w:val="009A03A5"/>
    <w:rsid w:val="009A03E9"/>
    <w:rsid w:val="009A0427"/>
    <w:rsid w:val="009A0439"/>
    <w:rsid w:val="009A0445"/>
    <w:rsid w:val="009A044B"/>
    <w:rsid w:val="009A04E1"/>
    <w:rsid w:val="009A04E8"/>
    <w:rsid w:val="009A052F"/>
    <w:rsid w:val="009A05BA"/>
    <w:rsid w:val="009A05E5"/>
    <w:rsid w:val="009A0635"/>
    <w:rsid w:val="009A06EF"/>
    <w:rsid w:val="009A074F"/>
    <w:rsid w:val="009A0756"/>
    <w:rsid w:val="009A07FA"/>
    <w:rsid w:val="009A0876"/>
    <w:rsid w:val="009A0887"/>
    <w:rsid w:val="009A08E8"/>
    <w:rsid w:val="009A0923"/>
    <w:rsid w:val="009A093A"/>
    <w:rsid w:val="009A097D"/>
    <w:rsid w:val="009A09C1"/>
    <w:rsid w:val="009A09D1"/>
    <w:rsid w:val="009A09D3"/>
    <w:rsid w:val="009A09DE"/>
    <w:rsid w:val="009A09E7"/>
    <w:rsid w:val="009A09F9"/>
    <w:rsid w:val="009A0A90"/>
    <w:rsid w:val="009A0ADA"/>
    <w:rsid w:val="009A0AE7"/>
    <w:rsid w:val="009A0BD8"/>
    <w:rsid w:val="009A0BF9"/>
    <w:rsid w:val="009A0C2C"/>
    <w:rsid w:val="009A0C32"/>
    <w:rsid w:val="009A0C4D"/>
    <w:rsid w:val="009A0C86"/>
    <w:rsid w:val="009A0CDB"/>
    <w:rsid w:val="009A0D38"/>
    <w:rsid w:val="009A0D40"/>
    <w:rsid w:val="009A0D55"/>
    <w:rsid w:val="009A0D57"/>
    <w:rsid w:val="009A0D76"/>
    <w:rsid w:val="009A0D7A"/>
    <w:rsid w:val="009A0DC1"/>
    <w:rsid w:val="009A0E08"/>
    <w:rsid w:val="009A0E5C"/>
    <w:rsid w:val="009A0FF4"/>
    <w:rsid w:val="009A1001"/>
    <w:rsid w:val="009A1037"/>
    <w:rsid w:val="009A1040"/>
    <w:rsid w:val="009A1049"/>
    <w:rsid w:val="009A1076"/>
    <w:rsid w:val="009A10B8"/>
    <w:rsid w:val="009A10C9"/>
    <w:rsid w:val="009A1111"/>
    <w:rsid w:val="009A11B4"/>
    <w:rsid w:val="009A11DD"/>
    <w:rsid w:val="009A11E2"/>
    <w:rsid w:val="009A11F4"/>
    <w:rsid w:val="009A1224"/>
    <w:rsid w:val="009A1244"/>
    <w:rsid w:val="009A1255"/>
    <w:rsid w:val="009A125F"/>
    <w:rsid w:val="009A1294"/>
    <w:rsid w:val="009A12A7"/>
    <w:rsid w:val="009A12C7"/>
    <w:rsid w:val="009A12EA"/>
    <w:rsid w:val="009A131F"/>
    <w:rsid w:val="009A1374"/>
    <w:rsid w:val="009A13A2"/>
    <w:rsid w:val="009A145B"/>
    <w:rsid w:val="009A1465"/>
    <w:rsid w:val="009A151E"/>
    <w:rsid w:val="009A1566"/>
    <w:rsid w:val="009A1589"/>
    <w:rsid w:val="009A15D1"/>
    <w:rsid w:val="009A15E0"/>
    <w:rsid w:val="009A1684"/>
    <w:rsid w:val="009A1694"/>
    <w:rsid w:val="009A16F6"/>
    <w:rsid w:val="009A176F"/>
    <w:rsid w:val="009A1792"/>
    <w:rsid w:val="009A17EF"/>
    <w:rsid w:val="009A1848"/>
    <w:rsid w:val="009A18BA"/>
    <w:rsid w:val="009A1929"/>
    <w:rsid w:val="009A1A0C"/>
    <w:rsid w:val="009A1A2F"/>
    <w:rsid w:val="009A1A35"/>
    <w:rsid w:val="009A1B1D"/>
    <w:rsid w:val="009A1B47"/>
    <w:rsid w:val="009A1BB9"/>
    <w:rsid w:val="009A1BD5"/>
    <w:rsid w:val="009A1C0F"/>
    <w:rsid w:val="009A1C14"/>
    <w:rsid w:val="009A1C7C"/>
    <w:rsid w:val="009A1C94"/>
    <w:rsid w:val="009A1CCC"/>
    <w:rsid w:val="009A1D1E"/>
    <w:rsid w:val="009A1D57"/>
    <w:rsid w:val="009A1DBF"/>
    <w:rsid w:val="009A1DFA"/>
    <w:rsid w:val="009A1E6D"/>
    <w:rsid w:val="009A1EAA"/>
    <w:rsid w:val="009A1F09"/>
    <w:rsid w:val="009A1F5F"/>
    <w:rsid w:val="009A1F77"/>
    <w:rsid w:val="009A1FA8"/>
    <w:rsid w:val="009A1FA9"/>
    <w:rsid w:val="009A2053"/>
    <w:rsid w:val="009A20CA"/>
    <w:rsid w:val="009A217B"/>
    <w:rsid w:val="009A219F"/>
    <w:rsid w:val="009A21A4"/>
    <w:rsid w:val="009A21CE"/>
    <w:rsid w:val="009A2275"/>
    <w:rsid w:val="009A2327"/>
    <w:rsid w:val="009A2390"/>
    <w:rsid w:val="009A23B5"/>
    <w:rsid w:val="009A253F"/>
    <w:rsid w:val="009A2577"/>
    <w:rsid w:val="009A264C"/>
    <w:rsid w:val="009A26D8"/>
    <w:rsid w:val="009A2745"/>
    <w:rsid w:val="009A27BD"/>
    <w:rsid w:val="009A27D8"/>
    <w:rsid w:val="009A2813"/>
    <w:rsid w:val="009A281A"/>
    <w:rsid w:val="009A2890"/>
    <w:rsid w:val="009A28A9"/>
    <w:rsid w:val="009A28C6"/>
    <w:rsid w:val="009A295E"/>
    <w:rsid w:val="009A29D8"/>
    <w:rsid w:val="009A29E7"/>
    <w:rsid w:val="009A2A09"/>
    <w:rsid w:val="009A2A0E"/>
    <w:rsid w:val="009A2A3E"/>
    <w:rsid w:val="009A2A9B"/>
    <w:rsid w:val="009A2AA7"/>
    <w:rsid w:val="009A2AE0"/>
    <w:rsid w:val="009A2B3C"/>
    <w:rsid w:val="009A2B45"/>
    <w:rsid w:val="009A2BC4"/>
    <w:rsid w:val="009A2BE5"/>
    <w:rsid w:val="009A2BE7"/>
    <w:rsid w:val="009A2CB2"/>
    <w:rsid w:val="009A2CE2"/>
    <w:rsid w:val="009A2D09"/>
    <w:rsid w:val="009A2D59"/>
    <w:rsid w:val="009A2D97"/>
    <w:rsid w:val="009A2E7E"/>
    <w:rsid w:val="009A2EAE"/>
    <w:rsid w:val="009A2EF2"/>
    <w:rsid w:val="009A2F05"/>
    <w:rsid w:val="009A2F19"/>
    <w:rsid w:val="009A2F1A"/>
    <w:rsid w:val="009A2F38"/>
    <w:rsid w:val="009A2F4A"/>
    <w:rsid w:val="009A302D"/>
    <w:rsid w:val="009A3054"/>
    <w:rsid w:val="009A30DC"/>
    <w:rsid w:val="009A30ED"/>
    <w:rsid w:val="009A30FB"/>
    <w:rsid w:val="009A310A"/>
    <w:rsid w:val="009A3128"/>
    <w:rsid w:val="009A31D0"/>
    <w:rsid w:val="009A31D8"/>
    <w:rsid w:val="009A3211"/>
    <w:rsid w:val="009A3220"/>
    <w:rsid w:val="009A3227"/>
    <w:rsid w:val="009A324D"/>
    <w:rsid w:val="009A329E"/>
    <w:rsid w:val="009A32A6"/>
    <w:rsid w:val="009A32BB"/>
    <w:rsid w:val="009A3373"/>
    <w:rsid w:val="009A33AD"/>
    <w:rsid w:val="009A3419"/>
    <w:rsid w:val="009A3433"/>
    <w:rsid w:val="009A3490"/>
    <w:rsid w:val="009A34CC"/>
    <w:rsid w:val="009A3544"/>
    <w:rsid w:val="009A3548"/>
    <w:rsid w:val="009A35C6"/>
    <w:rsid w:val="009A35F8"/>
    <w:rsid w:val="009A3608"/>
    <w:rsid w:val="009A363A"/>
    <w:rsid w:val="009A3665"/>
    <w:rsid w:val="009A3673"/>
    <w:rsid w:val="009A3695"/>
    <w:rsid w:val="009A3696"/>
    <w:rsid w:val="009A3868"/>
    <w:rsid w:val="009A393F"/>
    <w:rsid w:val="009A39A4"/>
    <w:rsid w:val="009A39E9"/>
    <w:rsid w:val="009A3A52"/>
    <w:rsid w:val="009A3AEB"/>
    <w:rsid w:val="009A3AFC"/>
    <w:rsid w:val="009A3B05"/>
    <w:rsid w:val="009A3B1C"/>
    <w:rsid w:val="009A3B78"/>
    <w:rsid w:val="009A3C18"/>
    <w:rsid w:val="009A3C30"/>
    <w:rsid w:val="009A3CC9"/>
    <w:rsid w:val="009A3D61"/>
    <w:rsid w:val="009A3DF8"/>
    <w:rsid w:val="009A3E58"/>
    <w:rsid w:val="009A3EA9"/>
    <w:rsid w:val="009A3EEC"/>
    <w:rsid w:val="009A3F02"/>
    <w:rsid w:val="009A3F11"/>
    <w:rsid w:val="009A3F16"/>
    <w:rsid w:val="009A3F1D"/>
    <w:rsid w:val="009A3F98"/>
    <w:rsid w:val="009A401E"/>
    <w:rsid w:val="009A405A"/>
    <w:rsid w:val="009A407D"/>
    <w:rsid w:val="009A40B5"/>
    <w:rsid w:val="009A40DB"/>
    <w:rsid w:val="009A411E"/>
    <w:rsid w:val="009A412B"/>
    <w:rsid w:val="009A4135"/>
    <w:rsid w:val="009A413E"/>
    <w:rsid w:val="009A416F"/>
    <w:rsid w:val="009A419E"/>
    <w:rsid w:val="009A41A0"/>
    <w:rsid w:val="009A41BE"/>
    <w:rsid w:val="009A4247"/>
    <w:rsid w:val="009A4274"/>
    <w:rsid w:val="009A42B9"/>
    <w:rsid w:val="009A42BA"/>
    <w:rsid w:val="009A4362"/>
    <w:rsid w:val="009A43D5"/>
    <w:rsid w:val="009A43EE"/>
    <w:rsid w:val="009A4403"/>
    <w:rsid w:val="009A4440"/>
    <w:rsid w:val="009A445A"/>
    <w:rsid w:val="009A4471"/>
    <w:rsid w:val="009A448C"/>
    <w:rsid w:val="009A44DB"/>
    <w:rsid w:val="009A4516"/>
    <w:rsid w:val="009A4530"/>
    <w:rsid w:val="009A4572"/>
    <w:rsid w:val="009A45B7"/>
    <w:rsid w:val="009A45C3"/>
    <w:rsid w:val="009A4667"/>
    <w:rsid w:val="009A479B"/>
    <w:rsid w:val="009A47C7"/>
    <w:rsid w:val="009A47F5"/>
    <w:rsid w:val="009A48CD"/>
    <w:rsid w:val="009A48F0"/>
    <w:rsid w:val="009A48F3"/>
    <w:rsid w:val="009A496E"/>
    <w:rsid w:val="009A4A10"/>
    <w:rsid w:val="009A4A69"/>
    <w:rsid w:val="009A4A76"/>
    <w:rsid w:val="009A4A97"/>
    <w:rsid w:val="009A4AAE"/>
    <w:rsid w:val="009A4ADE"/>
    <w:rsid w:val="009A4BC2"/>
    <w:rsid w:val="009A4C11"/>
    <w:rsid w:val="009A4C9B"/>
    <w:rsid w:val="009A4CA0"/>
    <w:rsid w:val="009A4CFD"/>
    <w:rsid w:val="009A4D1D"/>
    <w:rsid w:val="009A4D6C"/>
    <w:rsid w:val="009A4DE7"/>
    <w:rsid w:val="009A4F6D"/>
    <w:rsid w:val="009A5098"/>
    <w:rsid w:val="009A5129"/>
    <w:rsid w:val="009A512D"/>
    <w:rsid w:val="009A514D"/>
    <w:rsid w:val="009A5211"/>
    <w:rsid w:val="009A521A"/>
    <w:rsid w:val="009A5248"/>
    <w:rsid w:val="009A52CC"/>
    <w:rsid w:val="009A52FE"/>
    <w:rsid w:val="009A5330"/>
    <w:rsid w:val="009A533B"/>
    <w:rsid w:val="009A535B"/>
    <w:rsid w:val="009A5370"/>
    <w:rsid w:val="009A5375"/>
    <w:rsid w:val="009A5379"/>
    <w:rsid w:val="009A53A4"/>
    <w:rsid w:val="009A53CC"/>
    <w:rsid w:val="009A53E7"/>
    <w:rsid w:val="009A5469"/>
    <w:rsid w:val="009A54C0"/>
    <w:rsid w:val="009A54C3"/>
    <w:rsid w:val="009A54CC"/>
    <w:rsid w:val="009A54D5"/>
    <w:rsid w:val="009A54E0"/>
    <w:rsid w:val="009A54E1"/>
    <w:rsid w:val="009A5500"/>
    <w:rsid w:val="009A5518"/>
    <w:rsid w:val="009A5578"/>
    <w:rsid w:val="009A55A3"/>
    <w:rsid w:val="009A562A"/>
    <w:rsid w:val="009A571D"/>
    <w:rsid w:val="009A572A"/>
    <w:rsid w:val="009A5767"/>
    <w:rsid w:val="009A5769"/>
    <w:rsid w:val="009A5773"/>
    <w:rsid w:val="009A57F0"/>
    <w:rsid w:val="009A5899"/>
    <w:rsid w:val="009A5900"/>
    <w:rsid w:val="009A59C0"/>
    <w:rsid w:val="009A59D0"/>
    <w:rsid w:val="009A59D6"/>
    <w:rsid w:val="009A5A3D"/>
    <w:rsid w:val="009A5A8F"/>
    <w:rsid w:val="009A5AA3"/>
    <w:rsid w:val="009A5AB2"/>
    <w:rsid w:val="009A5AC2"/>
    <w:rsid w:val="009A5AE3"/>
    <w:rsid w:val="009A5B15"/>
    <w:rsid w:val="009A5B25"/>
    <w:rsid w:val="009A5B98"/>
    <w:rsid w:val="009A5BC0"/>
    <w:rsid w:val="009A5C50"/>
    <w:rsid w:val="009A5C74"/>
    <w:rsid w:val="009A5C79"/>
    <w:rsid w:val="009A5D05"/>
    <w:rsid w:val="009A5D10"/>
    <w:rsid w:val="009A5D44"/>
    <w:rsid w:val="009A5D51"/>
    <w:rsid w:val="009A5D69"/>
    <w:rsid w:val="009A5DBD"/>
    <w:rsid w:val="009A5DDF"/>
    <w:rsid w:val="009A5DE8"/>
    <w:rsid w:val="009A5E40"/>
    <w:rsid w:val="009A5E59"/>
    <w:rsid w:val="009A5E81"/>
    <w:rsid w:val="009A5E95"/>
    <w:rsid w:val="009A5F1E"/>
    <w:rsid w:val="009A5F43"/>
    <w:rsid w:val="009A5F73"/>
    <w:rsid w:val="009A5F9D"/>
    <w:rsid w:val="009A5FAD"/>
    <w:rsid w:val="009A5FC9"/>
    <w:rsid w:val="009A603F"/>
    <w:rsid w:val="009A60A3"/>
    <w:rsid w:val="009A61DA"/>
    <w:rsid w:val="009A61EF"/>
    <w:rsid w:val="009A6258"/>
    <w:rsid w:val="009A626C"/>
    <w:rsid w:val="009A628F"/>
    <w:rsid w:val="009A631F"/>
    <w:rsid w:val="009A6322"/>
    <w:rsid w:val="009A63B5"/>
    <w:rsid w:val="009A64B1"/>
    <w:rsid w:val="009A651D"/>
    <w:rsid w:val="009A6623"/>
    <w:rsid w:val="009A6682"/>
    <w:rsid w:val="009A66F7"/>
    <w:rsid w:val="009A670D"/>
    <w:rsid w:val="009A678B"/>
    <w:rsid w:val="009A681D"/>
    <w:rsid w:val="009A6853"/>
    <w:rsid w:val="009A686F"/>
    <w:rsid w:val="009A6874"/>
    <w:rsid w:val="009A6888"/>
    <w:rsid w:val="009A688E"/>
    <w:rsid w:val="009A68CF"/>
    <w:rsid w:val="009A68F9"/>
    <w:rsid w:val="009A6968"/>
    <w:rsid w:val="009A6978"/>
    <w:rsid w:val="009A69BC"/>
    <w:rsid w:val="009A6AC0"/>
    <w:rsid w:val="009A6AD3"/>
    <w:rsid w:val="009A6BFE"/>
    <w:rsid w:val="009A6C48"/>
    <w:rsid w:val="009A6C86"/>
    <w:rsid w:val="009A6D27"/>
    <w:rsid w:val="009A6D5E"/>
    <w:rsid w:val="009A6D65"/>
    <w:rsid w:val="009A6D71"/>
    <w:rsid w:val="009A6DA5"/>
    <w:rsid w:val="009A6DAC"/>
    <w:rsid w:val="009A6DC4"/>
    <w:rsid w:val="009A6DDE"/>
    <w:rsid w:val="009A6DF2"/>
    <w:rsid w:val="009A6E19"/>
    <w:rsid w:val="009A6E1C"/>
    <w:rsid w:val="009A6E37"/>
    <w:rsid w:val="009A6F13"/>
    <w:rsid w:val="009A6F2A"/>
    <w:rsid w:val="009A6F54"/>
    <w:rsid w:val="009A6F6A"/>
    <w:rsid w:val="009A6F6E"/>
    <w:rsid w:val="009A6F8E"/>
    <w:rsid w:val="009A6FA1"/>
    <w:rsid w:val="009A6FDC"/>
    <w:rsid w:val="009A701E"/>
    <w:rsid w:val="009A7063"/>
    <w:rsid w:val="009A70A4"/>
    <w:rsid w:val="009A7144"/>
    <w:rsid w:val="009A71D2"/>
    <w:rsid w:val="009A71E1"/>
    <w:rsid w:val="009A7260"/>
    <w:rsid w:val="009A7289"/>
    <w:rsid w:val="009A729F"/>
    <w:rsid w:val="009A72F4"/>
    <w:rsid w:val="009A7309"/>
    <w:rsid w:val="009A73CB"/>
    <w:rsid w:val="009A7405"/>
    <w:rsid w:val="009A751C"/>
    <w:rsid w:val="009A7544"/>
    <w:rsid w:val="009A7546"/>
    <w:rsid w:val="009A7569"/>
    <w:rsid w:val="009A758D"/>
    <w:rsid w:val="009A75C3"/>
    <w:rsid w:val="009A75F0"/>
    <w:rsid w:val="009A75F3"/>
    <w:rsid w:val="009A75F5"/>
    <w:rsid w:val="009A7611"/>
    <w:rsid w:val="009A7620"/>
    <w:rsid w:val="009A76A0"/>
    <w:rsid w:val="009A76A7"/>
    <w:rsid w:val="009A76AC"/>
    <w:rsid w:val="009A7717"/>
    <w:rsid w:val="009A7719"/>
    <w:rsid w:val="009A777A"/>
    <w:rsid w:val="009A7781"/>
    <w:rsid w:val="009A7840"/>
    <w:rsid w:val="009A78A9"/>
    <w:rsid w:val="009A78AF"/>
    <w:rsid w:val="009A78D5"/>
    <w:rsid w:val="009A795A"/>
    <w:rsid w:val="009A79BC"/>
    <w:rsid w:val="009A79C0"/>
    <w:rsid w:val="009A7A5D"/>
    <w:rsid w:val="009A7AFF"/>
    <w:rsid w:val="009A7B36"/>
    <w:rsid w:val="009A7BE1"/>
    <w:rsid w:val="009A7BEB"/>
    <w:rsid w:val="009A7C30"/>
    <w:rsid w:val="009A7C6B"/>
    <w:rsid w:val="009A7CFF"/>
    <w:rsid w:val="009A7D27"/>
    <w:rsid w:val="009A7D37"/>
    <w:rsid w:val="009A7D90"/>
    <w:rsid w:val="009A7DB8"/>
    <w:rsid w:val="009A7DEC"/>
    <w:rsid w:val="009A7DF0"/>
    <w:rsid w:val="009A7DF6"/>
    <w:rsid w:val="009A7E03"/>
    <w:rsid w:val="009A7E2C"/>
    <w:rsid w:val="009A7F0F"/>
    <w:rsid w:val="009A7F8E"/>
    <w:rsid w:val="009A7FC2"/>
    <w:rsid w:val="009A7FEE"/>
    <w:rsid w:val="009B0049"/>
    <w:rsid w:val="009B0071"/>
    <w:rsid w:val="009B00AA"/>
    <w:rsid w:val="009B012C"/>
    <w:rsid w:val="009B015D"/>
    <w:rsid w:val="009B017A"/>
    <w:rsid w:val="009B01A5"/>
    <w:rsid w:val="009B01A7"/>
    <w:rsid w:val="009B01A9"/>
    <w:rsid w:val="009B0330"/>
    <w:rsid w:val="009B03FA"/>
    <w:rsid w:val="009B0419"/>
    <w:rsid w:val="009B052D"/>
    <w:rsid w:val="009B0568"/>
    <w:rsid w:val="009B057E"/>
    <w:rsid w:val="009B0635"/>
    <w:rsid w:val="009B0638"/>
    <w:rsid w:val="009B067D"/>
    <w:rsid w:val="009B067E"/>
    <w:rsid w:val="009B06D9"/>
    <w:rsid w:val="009B071B"/>
    <w:rsid w:val="009B07A2"/>
    <w:rsid w:val="009B07EB"/>
    <w:rsid w:val="009B07FA"/>
    <w:rsid w:val="009B083D"/>
    <w:rsid w:val="009B0843"/>
    <w:rsid w:val="009B0869"/>
    <w:rsid w:val="009B08CA"/>
    <w:rsid w:val="009B093F"/>
    <w:rsid w:val="009B09AF"/>
    <w:rsid w:val="009B09D3"/>
    <w:rsid w:val="009B09F7"/>
    <w:rsid w:val="009B0A0F"/>
    <w:rsid w:val="009B0A3B"/>
    <w:rsid w:val="009B0A45"/>
    <w:rsid w:val="009B0A85"/>
    <w:rsid w:val="009B0AC3"/>
    <w:rsid w:val="009B0B0F"/>
    <w:rsid w:val="009B0B17"/>
    <w:rsid w:val="009B0B64"/>
    <w:rsid w:val="009B0B84"/>
    <w:rsid w:val="009B0CD1"/>
    <w:rsid w:val="009B0CD5"/>
    <w:rsid w:val="009B0D0C"/>
    <w:rsid w:val="009B0D59"/>
    <w:rsid w:val="009B0D83"/>
    <w:rsid w:val="009B0E4C"/>
    <w:rsid w:val="009B0E83"/>
    <w:rsid w:val="009B0EAF"/>
    <w:rsid w:val="009B1021"/>
    <w:rsid w:val="009B104D"/>
    <w:rsid w:val="009B1101"/>
    <w:rsid w:val="009B1136"/>
    <w:rsid w:val="009B11E3"/>
    <w:rsid w:val="009B12D0"/>
    <w:rsid w:val="009B12D2"/>
    <w:rsid w:val="009B12FD"/>
    <w:rsid w:val="009B13CB"/>
    <w:rsid w:val="009B1453"/>
    <w:rsid w:val="009B1477"/>
    <w:rsid w:val="009B1495"/>
    <w:rsid w:val="009B159F"/>
    <w:rsid w:val="009B15D8"/>
    <w:rsid w:val="009B15FA"/>
    <w:rsid w:val="009B1698"/>
    <w:rsid w:val="009B1745"/>
    <w:rsid w:val="009B1752"/>
    <w:rsid w:val="009B17E9"/>
    <w:rsid w:val="009B1811"/>
    <w:rsid w:val="009B183A"/>
    <w:rsid w:val="009B1856"/>
    <w:rsid w:val="009B18AB"/>
    <w:rsid w:val="009B18F9"/>
    <w:rsid w:val="009B1940"/>
    <w:rsid w:val="009B195C"/>
    <w:rsid w:val="009B1979"/>
    <w:rsid w:val="009B1986"/>
    <w:rsid w:val="009B1996"/>
    <w:rsid w:val="009B1A71"/>
    <w:rsid w:val="009B1AC4"/>
    <w:rsid w:val="009B1B22"/>
    <w:rsid w:val="009B1B57"/>
    <w:rsid w:val="009B1B61"/>
    <w:rsid w:val="009B1B7B"/>
    <w:rsid w:val="009B1B96"/>
    <w:rsid w:val="009B1C32"/>
    <w:rsid w:val="009B1C4D"/>
    <w:rsid w:val="009B1C85"/>
    <w:rsid w:val="009B1C97"/>
    <w:rsid w:val="009B1CD9"/>
    <w:rsid w:val="009B1CE1"/>
    <w:rsid w:val="009B1D89"/>
    <w:rsid w:val="009B1D98"/>
    <w:rsid w:val="009B1DB8"/>
    <w:rsid w:val="009B1E7E"/>
    <w:rsid w:val="009B1F43"/>
    <w:rsid w:val="009B1F95"/>
    <w:rsid w:val="009B1FA5"/>
    <w:rsid w:val="009B2003"/>
    <w:rsid w:val="009B2063"/>
    <w:rsid w:val="009B20C0"/>
    <w:rsid w:val="009B20C1"/>
    <w:rsid w:val="009B211F"/>
    <w:rsid w:val="009B2144"/>
    <w:rsid w:val="009B2169"/>
    <w:rsid w:val="009B21A3"/>
    <w:rsid w:val="009B21F4"/>
    <w:rsid w:val="009B228E"/>
    <w:rsid w:val="009B2292"/>
    <w:rsid w:val="009B229F"/>
    <w:rsid w:val="009B22AC"/>
    <w:rsid w:val="009B230B"/>
    <w:rsid w:val="009B2323"/>
    <w:rsid w:val="009B2345"/>
    <w:rsid w:val="009B240A"/>
    <w:rsid w:val="009B240F"/>
    <w:rsid w:val="009B2446"/>
    <w:rsid w:val="009B251E"/>
    <w:rsid w:val="009B2610"/>
    <w:rsid w:val="009B2664"/>
    <w:rsid w:val="009B2669"/>
    <w:rsid w:val="009B267D"/>
    <w:rsid w:val="009B267F"/>
    <w:rsid w:val="009B2687"/>
    <w:rsid w:val="009B26E2"/>
    <w:rsid w:val="009B2790"/>
    <w:rsid w:val="009B27E9"/>
    <w:rsid w:val="009B2810"/>
    <w:rsid w:val="009B285B"/>
    <w:rsid w:val="009B289F"/>
    <w:rsid w:val="009B28BF"/>
    <w:rsid w:val="009B28E9"/>
    <w:rsid w:val="009B2959"/>
    <w:rsid w:val="009B2966"/>
    <w:rsid w:val="009B2988"/>
    <w:rsid w:val="009B2B31"/>
    <w:rsid w:val="009B2B45"/>
    <w:rsid w:val="009B2BE5"/>
    <w:rsid w:val="009B2C34"/>
    <w:rsid w:val="009B2C6C"/>
    <w:rsid w:val="009B2D62"/>
    <w:rsid w:val="009B2D98"/>
    <w:rsid w:val="009B2DC9"/>
    <w:rsid w:val="009B2E82"/>
    <w:rsid w:val="009B2EC9"/>
    <w:rsid w:val="009B2F59"/>
    <w:rsid w:val="009B2FA7"/>
    <w:rsid w:val="009B2FB3"/>
    <w:rsid w:val="009B3032"/>
    <w:rsid w:val="009B3039"/>
    <w:rsid w:val="009B3048"/>
    <w:rsid w:val="009B3052"/>
    <w:rsid w:val="009B3090"/>
    <w:rsid w:val="009B30A2"/>
    <w:rsid w:val="009B30AE"/>
    <w:rsid w:val="009B30DA"/>
    <w:rsid w:val="009B30E3"/>
    <w:rsid w:val="009B3171"/>
    <w:rsid w:val="009B321A"/>
    <w:rsid w:val="009B32B2"/>
    <w:rsid w:val="009B32FF"/>
    <w:rsid w:val="009B332C"/>
    <w:rsid w:val="009B3344"/>
    <w:rsid w:val="009B335E"/>
    <w:rsid w:val="009B33A3"/>
    <w:rsid w:val="009B33F1"/>
    <w:rsid w:val="009B3406"/>
    <w:rsid w:val="009B343A"/>
    <w:rsid w:val="009B3453"/>
    <w:rsid w:val="009B34EA"/>
    <w:rsid w:val="009B350F"/>
    <w:rsid w:val="009B3560"/>
    <w:rsid w:val="009B3576"/>
    <w:rsid w:val="009B3595"/>
    <w:rsid w:val="009B35F2"/>
    <w:rsid w:val="009B3628"/>
    <w:rsid w:val="009B362E"/>
    <w:rsid w:val="009B368D"/>
    <w:rsid w:val="009B371C"/>
    <w:rsid w:val="009B3761"/>
    <w:rsid w:val="009B37CC"/>
    <w:rsid w:val="009B382E"/>
    <w:rsid w:val="009B3849"/>
    <w:rsid w:val="009B3964"/>
    <w:rsid w:val="009B39AE"/>
    <w:rsid w:val="009B39C8"/>
    <w:rsid w:val="009B39D0"/>
    <w:rsid w:val="009B3A5F"/>
    <w:rsid w:val="009B3A74"/>
    <w:rsid w:val="009B3AA6"/>
    <w:rsid w:val="009B3B40"/>
    <w:rsid w:val="009B3BF3"/>
    <w:rsid w:val="009B3C37"/>
    <w:rsid w:val="009B3CA1"/>
    <w:rsid w:val="009B3D50"/>
    <w:rsid w:val="009B3DAF"/>
    <w:rsid w:val="009B3DB5"/>
    <w:rsid w:val="009B3E1E"/>
    <w:rsid w:val="009B3E58"/>
    <w:rsid w:val="009B3E6A"/>
    <w:rsid w:val="009B3EB1"/>
    <w:rsid w:val="009B3F14"/>
    <w:rsid w:val="009B3F58"/>
    <w:rsid w:val="009B3F5C"/>
    <w:rsid w:val="009B3F75"/>
    <w:rsid w:val="009B405B"/>
    <w:rsid w:val="009B406C"/>
    <w:rsid w:val="009B4163"/>
    <w:rsid w:val="009B416F"/>
    <w:rsid w:val="009B41B3"/>
    <w:rsid w:val="009B41E5"/>
    <w:rsid w:val="009B420F"/>
    <w:rsid w:val="009B4267"/>
    <w:rsid w:val="009B4269"/>
    <w:rsid w:val="009B427F"/>
    <w:rsid w:val="009B42C3"/>
    <w:rsid w:val="009B42EA"/>
    <w:rsid w:val="009B4323"/>
    <w:rsid w:val="009B4330"/>
    <w:rsid w:val="009B439E"/>
    <w:rsid w:val="009B43E1"/>
    <w:rsid w:val="009B43EB"/>
    <w:rsid w:val="009B43F5"/>
    <w:rsid w:val="009B4471"/>
    <w:rsid w:val="009B44B2"/>
    <w:rsid w:val="009B44BE"/>
    <w:rsid w:val="009B44C5"/>
    <w:rsid w:val="009B454E"/>
    <w:rsid w:val="009B455B"/>
    <w:rsid w:val="009B459D"/>
    <w:rsid w:val="009B4642"/>
    <w:rsid w:val="009B4660"/>
    <w:rsid w:val="009B46B9"/>
    <w:rsid w:val="009B46DF"/>
    <w:rsid w:val="009B4705"/>
    <w:rsid w:val="009B4735"/>
    <w:rsid w:val="009B4790"/>
    <w:rsid w:val="009B47FC"/>
    <w:rsid w:val="009B48FD"/>
    <w:rsid w:val="009B490D"/>
    <w:rsid w:val="009B496F"/>
    <w:rsid w:val="009B4A07"/>
    <w:rsid w:val="009B4A80"/>
    <w:rsid w:val="009B4AED"/>
    <w:rsid w:val="009B4BAE"/>
    <w:rsid w:val="009B4BD2"/>
    <w:rsid w:val="009B4BD9"/>
    <w:rsid w:val="009B4C30"/>
    <w:rsid w:val="009B4C45"/>
    <w:rsid w:val="009B4CB4"/>
    <w:rsid w:val="009B4CF3"/>
    <w:rsid w:val="009B4D83"/>
    <w:rsid w:val="009B4D86"/>
    <w:rsid w:val="009B4D92"/>
    <w:rsid w:val="009B4DCE"/>
    <w:rsid w:val="009B4E35"/>
    <w:rsid w:val="009B4E93"/>
    <w:rsid w:val="009B4EAE"/>
    <w:rsid w:val="009B4EB8"/>
    <w:rsid w:val="009B4EE7"/>
    <w:rsid w:val="009B4F13"/>
    <w:rsid w:val="009B4F57"/>
    <w:rsid w:val="009B4F62"/>
    <w:rsid w:val="009B4F90"/>
    <w:rsid w:val="009B4FDD"/>
    <w:rsid w:val="009B502D"/>
    <w:rsid w:val="009B507F"/>
    <w:rsid w:val="009B5087"/>
    <w:rsid w:val="009B50C5"/>
    <w:rsid w:val="009B5185"/>
    <w:rsid w:val="009B5233"/>
    <w:rsid w:val="009B5285"/>
    <w:rsid w:val="009B52AD"/>
    <w:rsid w:val="009B52E5"/>
    <w:rsid w:val="009B5326"/>
    <w:rsid w:val="009B534B"/>
    <w:rsid w:val="009B5352"/>
    <w:rsid w:val="009B538B"/>
    <w:rsid w:val="009B5402"/>
    <w:rsid w:val="009B545B"/>
    <w:rsid w:val="009B5486"/>
    <w:rsid w:val="009B54E4"/>
    <w:rsid w:val="009B54F2"/>
    <w:rsid w:val="009B561A"/>
    <w:rsid w:val="009B566A"/>
    <w:rsid w:val="009B56BD"/>
    <w:rsid w:val="009B56D6"/>
    <w:rsid w:val="009B5732"/>
    <w:rsid w:val="009B57A0"/>
    <w:rsid w:val="009B57D2"/>
    <w:rsid w:val="009B57DA"/>
    <w:rsid w:val="009B57FF"/>
    <w:rsid w:val="009B5807"/>
    <w:rsid w:val="009B5820"/>
    <w:rsid w:val="009B5833"/>
    <w:rsid w:val="009B588B"/>
    <w:rsid w:val="009B58B7"/>
    <w:rsid w:val="009B58D7"/>
    <w:rsid w:val="009B58E4"/>
    <w:rsid w:val="009B58F9"/>
    <w:rsid w:val="009B58FC"/>
    <w:rsid w:val="009B59F9"/>
    <w:rsid w:val="009B5A2D"/>
    <w:rsid w:val="009B5A65"/>
    <w:rsid w:val="009B5AAE"/>
    <w:rsid w:val="009B5AB6"/>
    <w:rsid w:val="009B5AFC"/>
    <w:rsid w:val="009B5B2C"/>
    <w:rsid w:val="009B5B68"/>
    <w:rsid w:val="009B5B93"/>
    <w:rsid w:val="009B5BFA"/>
    <w:rsid w:val="009B5C19"/>
    <w:rsid w:val="009B5C57"/>
    <w:rsid w:val="009B5CCB"/>
    <w:rsid w:val="009B5DA4"/>
    <w:rsid w:val="009B5DAF"/>
    <w:rsid w:val="009B5DC0"/>
    <w:rsid w:val="009B5DCE"/>
    <w:rsid w:val="009B5E11"/>
    <w:rsid w:val="009B5E2A"/>
    <w:rsid w:val="009B5E5D"/>
    <w:rsid w:val="009B5FEB"/>
    <w:rsid w:val="009B6089"/>
    <w:rsid w:val="009B6096"/>
    <w:rsid w:val="009B612A"/>
    <w:rsid w:val="009B6176"/>
    <w:rsid w:val="009B618E"/>
    <w:rsid w:val="009B61B1"/>
    <w:rsid w:val="009B61DA"/>
    <w:rsid w:val="009B6208"/>
    <w:rsid w:val="009B622B"/>
    <w:rsid w:val="009B62AF"/>
    <w:rsid w:val="009B62F9"/>
    <w:rsid w:val="009B62FB"/>
    <w:rsid w:val="009B6327"/>
    <w:rsid w:val="009B6351"/>
    <w:rsid w:val="009B635C"/>
    <w:rsid w:val="009B6376"/>
    <w:rsid w:val="009B6378"/>
    <w:rsid w:val="009B6381"/>
    <w:rsid w:val="009B638E"/>
    <w:rsid w:val="009B6423"/>
    <w:rsid w:val="009B64F8"/>
    <w:rsid w:val="009B6507"/>
    <w:rsid w:val="009B6521"/>
    <w:rsid w:val="009B6550"/>
    <w:rsid w:val="009B65DE"/>
    <w:rsid w:val="009B65E5"/>
    <w:rsid w:val="009B65E8"/>
    <w:rsid w:val="009B666F"/>
    <w:rsid w:val="009B6701"/>
    <w:rsid w:val="009B6725"/>
    <w:rsid w:val="009B6782"/>
    <w:rsid w:val="009B6809"/>
    <w:rsid w:val="009B6821"/>
    <w:rsid w:val="009B6881"/>
    <w:rsid w:val="009B699B"/>
    <w:rsid w:val="009B69EF"/>
    <w:rsid w:val="009B6A7A"/>
    <w:rsid w:val="009B6AC8"/>
    <w:rsid w:val="009B6AD9"/>
    <w:rsid w:val="009B6B0D"/>
    <w:rsid w:val="009B6B72"/>
    <w:rsid w:val="009B6B78"/>
    <w:rsid w:val="009B6BEE"/>
    <w:rsid w:val="009B6C0B"/>
    <w:rsid w:val="009B6C82"/>
    <w:rsid w:val="009B6C8E"/>
    <w:rsid w:val="009B6CBC"/>
    <w:rsid w:val="009B6CC8"/>
    <w:rsid w:val="009B6D32"/>
    <w:rsid w:val="009B6D83"/>
    <w:rsid w:val="009B6DA8"/>
    <w:rsid w:val="009B6DBB"/>
    <w:rsid w:val="009B6DCD"/>
    <w:rsid w:val="009B6DD0"/>
    <w:rsid w:val="009B6DD1"/>
    <w:rsid w:val="009B6DF2"/>
    <w:rsid w:val="009B6E57"/>
    <w:rsid w:val="009B6E83"/>
    <w:rsid w:val="009B6EDC"/>
    <w:rsid w:val="009B6EF3"/>
    <w:rsid w:val="009B6F3D"/>
    <w:rsid w:val="009B6FE7"/>
    <w:rsid w:val="009B701D"/>
    <w:rsid w:val="009B709C"/>
    <w:rsid w:val="009B7106"/>
    <w:rsid w:val="009B7179"/>
    <w:rsid w:val="009B720E"/>
    <w:rsid w:val="009B7210"/>
    <w:rsid w:val="009B7216"/>
    <w:rsid w:val="009B7345"/>
    <w:rsid w:val="009B739C"/>
    <w:rsid w:val="009B73E4"/>
    <w:rsid w:val="009B740D"/>
    <w:rsid w:val="009B7414"/>
    <w:rsid w:val="009B7481"/>
    <w:rsid w:val="009B74AA"/>
    <w:rsid w:val="009B7500"/>
    <w:rsid w:val="009B7526"/>
    <w:rsid w:val="009B752A"/>
    <w:rsid w:val="009B75A7"/>
    <w:rsid w:val="009B75BA"/>
    <w:rsid w:val="009B75FE"/>
    <w:rsid w:val="009B7601"/>
    <w:rsid w:val="009B7672"/>
    <w:rsid w:val="009B7697"/>
    <w:rsid w:val="009B77A8"/>
    <w:rsid w:val="009B77CF"/>
    <w:rsid w:val="009B77DF"/>
    <w:rsid w:val="009B77F7"/>
    <w:rsid w:val="009B7875"/>
    <w:rsid w:val="009B78E8"/>
    <w:rsid w:val="009B7930"/>
    <w:rsid w:val="009B7953"/>
    <w:rsid w:val="009B79A7"/>
    <w:rsid w:val="009B79AA"/>
    <w:rsid w:val="009B7A0A"/>
    <w:rsid w:val="009B7A38"/>
    <w:rsid w:val="009B7B00"/>
    <w:rsid w:val="009B7C37"/>
    <w:rsid w:val="009B7C8C"/>
    <w:rsid w:val="009B7CBB"/>
    <w:rsid w:val="009B7CF4"/>
    <w:rsid w:val="009B7D4A"/>
    <w:rsid w:val="009B7D78"/>
    <w:rsid w:val="009B7D8C"/>
    <w:rsid w:val="009B7EEA"/>
    <w:rsid w:val="009B7F18"/>
    <w:rsid w:val="009B7F9E"/>
    <w:rsid w:val="009C0014"/>
    <w:rsid w:val="009C0067"/>
    <w:rsid w:val="009C0075"/>
    <w:rsid w:val="009C009D"/>
    <w:rsid w:val="009C00A6"/>
    <w:rsid w:val="009C00BF"/>
    <w:rsid w:val="009C011D"/>
    <w:rsid w:val="009C0149"/>
    <w:rsid w:val="009C0166"/>
    <w:rsid w:val="009C0200"/>
    <w:rsid w:val="009C0210"/>
    <w:rsid w:val="009C0224"/>
    <w:rsid w:val="009C038D"/>
    <w:rsid w:val="009C0431"/>
    <w:rsid w:val="009C044D"/>
    <w:rsid w:val="009C045F"/>
    <w:rsid w:val="009C0513"/>
    <w:rsid w:val="009C05A0"/>
    <w:rsid w:val="009C05B2"/>
    <w:rsid w:val="009C0603"/>
    <w:rsid w:val="009C0661"/>
    <w:rsid w:val="009C06FC"/>
    <w:rsid w:val="009C0758"/>
    <w:rsid w:val="009C07ED"/>
    <w:rsid w:val="009C080B"/>
    <w:rsid w:val="009C0832"/>
    <w:rsid w:val="009C083C"/>
    <w:rsid w:val="009C084D"/>
    <w:rsid w:val="009C0857"/>
    <w:rsid w:val="009C087D"/>
    <w:rsid w:val="009C0881"/>
    <w:rsid w:val="009C0918"/>
    <w:rsid w:val="009C09EB"/>
    <w:rsid w:val="009C09F2"/>
    <w:rsid w:val="009C09FE"/>
    <w:rsid w:val="009C0A34"/>
    <w:rsid w:val="009C0A3D"/>
    <w:rsid w:val="009C0A41"/>
    <w:rsid w:val="009C0AF2"/>
    <w:rsid w:val="009C0B35"/>
    <w:rsid w:val="009C0B4A"/>
    <w:rsid w:val="009C0B72"/>
    <w:rsid w:val="009C0B7B"/>
    <w:rsid w:val="009C0C50"/>
    <w:rsid w:val="009C0C9A"/>
    <w:rsid w:val="009C0D75"/>
    <w:rsid w:val="009C0E41"/>
    <w:rsid w:val="009C0E92"/>
    <w:rsid w:val="009C0F4F"/>
    <w:rsid w:val="009C0F5E"/>
    <w:rsid w:val="009C0F93"/>
    <w:rsid w:val="009C1070"/>
    <w:rsid w:val="009C108C"/>
    <w:rsid w:val="009C10AF"/>
    <w:rsid w:val="009C10DF"/>
    <w:rsid w:val="009C1102"/>
    <w:rsid w:val="009C1236"/>
    <w:rsid w:val="009C123A"/>
    <w:rsid w:val="009C12C7"/>
    <w:rsid w:val="009C12E7"/>
    <w:rsid w:val="009C133A"/>
    <w:rsid w:val="009C1394"/>
    <w:rsid w:val="009C139B"/>
    <w:rsid w:val="009C13A8"/>
    <w:rsid w:val="009C142D"/>
    <w:rsid w:val="009C1431"/>
    <w:rsid w:val="009C1453"/>
    <w:rsid w:val="009C155B"/>
    <w:rsid w:val="009C1617"/>
    <w:rsid w:val="009C1698"/>
    <w:rsid w:val="009C16B9"/>
    <w:rsid w:val="009C180E"/>
    <w:rsid w:val="009C1843"/>
    <w:rsid w:val="009C1861"/>
    <w:rsid w:val="009C18A8"/>
    <w:rsid w:val="009C18BF"/>
    <w:rsid w:val="009C1905"/>
    <w:rsid w:val="009C19C9"/>
    <w:rsid w:val="009C19DC"/>
    <w:rsid w:val="009C1A03"/>
    <w:rsid w:val="009C1A2A"/>
    <w:rsid w:val="009C1A5D"/>
    <w:rsid w:val="009C1A83"/>
    <w:rsid w:val="009C1AAE"/>
    <w:rsid w:val="009C1B60"/>
    <w:rsid w:val="009C1B90"/>
    <w:rsid w:val="009C1BB0"/>
    <w:rsid w:val="009C1BC3"/>
    <w:rsid w:val="009C1C33"/>
    <w:rsid w:val="009C1C53"/>
    <w:rsid w:val="009C1C5C"/>
    <w:rsid w:val="009C1C75"/>
    <w:rsid w:val="009C1CC9"/>
    <w:rsid w:val="009C1CD2"/>
    <w:rsid w:val="009C1D04"/>
    <w:rsid w:val="009C1D0C"/>
    <w:rsid w:val="009C1D5F"/>
    <w:rsid w:val="009C1D69"/>
    <w:rsid w:val="009C1E33"/>
    <w:rsid w:val="009C1E94"/>
    <w:rsid w:val="009C1EC6"/>
    <w:rsid w:val="009C1F64"/>
    <w:rsid w:val="009C1FEA"/>
    <w:rsid w:val="009C2014"/>
    <w:rsid w:val="009C2025"/>
    <w:rsid w:val="009C2042"/>
    <w:rsid w:val="009C2045"/>
    <w:rsid w:val="009C204F"/>
    <w:rsid w:val="009C2060"/>
    <w:rsid w:val="009C208A"/>
    <w:rsid w:val="009C20D1"/>
    <w:rsid w:val="009C2113"/>
    <w:rsid w:val="009C21E5"/>
    <w:rsid w:val="009C222E"/>
    <w:rsid w:val="009C2268"/>
    <w:rsid w:val="009C22FC"/>
    <w:rsid w:val="009C22FE"/>
    <w:rsid w:val="009C234D"/>
    <w:rsid w:val="009C2351"/>
    <w:rsid w:val="009C2392"/>
    <w:rsid w:val="009C2399"/>
    <w:rsid w:val="009C244D"/>
    <w:rsid w:val="009C245F"/>
    <w:rsid w:val="009C2530"/>
    <w:rsid w:val="009C2579"/>
    <w:rsid w:val="009C259C"/>
    <w:rsid w:val="009C25BF"/>
    <w:rsid w:val="009C2617"/>
    <w:rsid w:val="009C262A"/>
    <w:rsid w:val="009C2633"/>
    <w:rsid w:val="009C2652"/>
    <w:rsid w:val="009C2660"/>
    <w:rsid w:val="009C2663"/>
    <w:rsid w:val="009C267A"/>
    <w:rsid w:val="009C2693"/>
    <w:rsid w:val="009C2709"/>
    <w:rsid w:val="009C27FF"/>
    <w:rsid w:val="009C280B"/>
    <w:rsid w:val="009C2862"/>
    <w:rsid w:val="009C2936"/>
    <w:rsid w:val="009C29D3"/>
    <w:rsid w:val="009C2A5F"/>
    <w:rsid w:val="009C2B1B"/>
    <w:rsid w:val="009C2B54"/>
    <w:rsid w:val="009C2BFB"/>
    <w:rsid w:val="009C2C2F"/>
    <w:rsid w:val="009C2C3E"/>
    <w:rsid w:val="009C2C68"/>
    <w:rsid w:val="009C2C7F"/>
    <w:rsid w:val="009C2C89"/>
    <w:rsid w:val="009C2C8B"/>
    <w:rsid w:val="009C2CE2"/>
    <w:rsid w:val="009C2D5F"/>
    <w:rsid w:val="009C2D88"/>
    <w:rsid w:val="009C2DA2"/>
    <w:rsid w:val="009C2DBF"/>
    <w:rsid w:val="009C2DE7"/>
    <w:rsid w:val="009C2E3B"/>
    <w:rsid w:val="009C2E4C"/>
    <w:rsid w:val="009C2E8D"/>
    <w:rsid w:val="009C2ED1"/>
    <w:rsid w:val="009C2F1A"/>
    <w:rsid w:val="009C2F42"/>
    <w:rsid w:val="009C2F8E"/>
    <w:rsid w:val="009C2FA6"/>
    <w:rsid w:val="009C2FB2"/>
    <w:rsid w:val="009C303F"/>
    <w:rsid w:val="009C304F"/>
    <w:rsid w:val="009C3098"/>
    <w:rsid w:val="009C30DC"/>
    <w:rsid w:val="009C30ED"/>
    <w:rsid w:val="009C3117"/>
    <w:rsid w:val="009C31BD"/>
    <w:rsid w:val="009C31F2"/>
    <w:rsid w:val="009C31F4"/>
    <w:rsid w:val="009C32D3"/>
    <w:rsid w:val="009C3340"/>
    <w:rsid w:val="009C335A"/>
    <w:rsid w:val="009C33A8"/>
    <w:rsid w:val="009C3408"/>
    <w:rsid w:val="009C340E"/>
    <w:rsid w:val="009C341F"/>
    <w:rsid w:val="009C346A"/>
    <w:rsid w:val="009C34CE"/>
    <w:rsid w:val="009C3535"/>
    <w:rsid w:val="009C3575"/>
    <w:rsid w:val="009C3599"/>
    <w:rsid w:val="009C35A2"/>
    <w:rsid w:val="009C35DE"/>
    <w:rsid w:val="009C35F4"/>
    <w:rsid w:val="009C361D"/>
    <w:rsid w:val="009C3626"/>
    <w:rsid w:val="009C3689"/>
    <w:rsid w:val="009C368F"/>
    <w:rsid w:val="009C36B9"/>
    <w:rsid w:val="009C36EC"/>
    <w:rsid w:val="009C36FE"/>
    <w:rsid w:val="009C3723"/>
    <w:rsid w:val="009C3859"/>
    <w:rsid w:val="009C3875"/>
    <w:rsid w:val="009C3893"/>
    <w:rsid w:val="009C389F"/>
    <w:rsid w:val="009C38FA"/>
    <w:rsid w:val="009C392F"/>
    <w:rsid w:val="009C3971"/>
    <w:rsid w:val="009C3972"/>
    <w:rsid w:val="009C39AB"/>
    <w:rsid w:val="009C3A2C"/>
    <w:rsid w:val="009C3A5A"/>
    <w:rsid w:val="009C3A87"/>
    <w:rsid w:val="009C3A8D"/>
    <w:rsid w:val="009C3A95"/>
    <w:rsid w:val="009C3B62"/>
    <w:rsid w:val="009C3BEE"/>
    <w:rsid w:val="009C3BFA"/>
    <w:rsid w:val="009C3C1B"/>
    <w:rsid w:val="009C3C51"/>
    <w:rsid w:val="009C3C52"/>
    <w:rsid w:val="009C3CDA"/>
    <w:rsid w:val="009C3D4F"/>
    <w:rsid w:val="009C3D5D"/>
    <w:rsid w:val="009C3D9B"/>
    <w:rsid w:val="009C3DD7"/>
    <w:rsid w:val="009C3E2B"/>
    <w:rsid w:val="009C3E43"/>
    <w:rsid w:val="009C3E57"/>
    <w:rsid w:val="009C3EE2"/>
    <w:rsid w:val="009C3F1D"/>
    <w:rsid w:val="009C3FAD"/>
    <w:rsid w:val="009C3FE9"/>
    <w:rsid w:val="009C4010"/>
    <w:rsid w:val="009C403F"/>
    <w:rsid w:val="009C4071"/>
    <w:rsid w:val="009C407B"/>
    <w:rsid w:val="009C40F3"/>
    <w:rsid w:val="009C4166"/>
    <w:rsid w:val="009C4177"/>
    <w:rsid w:val="009C4205"/>
    <w:rsid w:val="009C422F"/>
    <w:rsid w:val="009C4288"/>
    <w:rsid w:val="009C42BB"/>
    <w:rsid w:val="009C4319"/>
    <w:rsid w:val="009C4424"/>
    <w:rsid w:val="009C444C"/>
    <w:rsid w:val="009C4486"/>
    <w:rsid w:val="009C44AD"/>
    <w:rsid w:val="009C4504"/>
    <w:rsid w:val="009C453A"/>
    <w:rsid w:val="009C4560"/>
    <w:rsid w:val="009C4690"/>
    <w:rsid w:val="009C469E"/>
    <w:rsid w:val="009C46AE"/>
    <w:rsid w:val="009C46E5"/>
    <w:rsid w:val="009C4723"/>
    <w:rsid w:val="009C4733"/>
    <w:rsid w:val="009C478F"/>
    <w:rsid w:val="009C47E3"/>
    <w:rsid w:val="009C4847"/>
    <w:rsid w:val="009C487D"/>
    <w:rsid w:val="009C48B5"/>
    <w:rsid w:val="009C493D"/>
    <w:rsid w:val="009C4952"/>
    <w:rsid w:val="009C496A"/>
    <w:rsid w:val="009C4988"/>
    <w:rsid w:val="009C49A8"/>
    <w:rsid w:val="009C49E3"/>
    <w:rsid w:val="009C4A17"/>
    <w:rsid w:val="009C4A8F"/>
    <w:rsid w:val="009C4ADD"/>
    <w:rsid w:val="009C4ADE"/>
    <w:rsid w:val="009C4B34"/>
    <w:rsid w:val="009C4C8E"/>
    <w:rsid w:val="009C4D0D"/>
    <w:rsid w:val="009C4D43"/>
    <w:rsid w:val="009C4D7C"/>
    <w:rsid w:val="009C4DBF"/>
    <w:rsid w:val="009C4DD5"/>
    <w:rsid w:val="009C4DE8"/>
    <w:rsid w:val="009C4E0F"/>
    <w:rsid w:val="009C4E98"/>
    <w:rsid w:val="009C4EC7"/>
    <w:rsid w:val="009C4F10"/>
    <w:rsid w:val="009C4F9F"/>
    <w:rsid w:val="009C501C"/>
    <w:rsid w:val="009C503B"/>
    <w:rsid w:val="009C5076"/>
    <w:rsid w:val="009C50C0"/>
    <w:rsid w:val="009C50CE"/>
    <w:rsid w:val="009C50DB"/>
    <w:rsid w:val="009C5138"/>
    <w:rsid w:val="009C5235"/>
    <w:rsid w:val="009C52A4"/>
    <w:rsid w:val="009C52BD"/>
    <w:rsid w:val="009C52E7"/>
    <w:rsid w:val="009C5302"/>
    <w:rsid w:val="009C537D"/>
    <w:rsid w:val="009C5398"/>
    <w:rsid w:val="009C53FD"/>
    <w:rsid w:val="009C5412"/>
    <w:rsid w:val="009C542C"/>
    <w:rsid w:val="009C5434"/>
    <w:rsid w:val="009C5449"/>
    <w:rsid w:val="009C549E"/>
    <w:rsid w:val="009C54B7"/>
    <w:rsid w:val="009C55D2"/>
    <w:rsid w:val="009C55D7"/>
    <w:rsid w:val="009C5672"/>
    <w:rsid w:val="009C567F"/>
    <w:rsid w:val="009C5703"/>
    <w:rsid w:val="009C5795"/>
    <w:rsid w:val="009C57AA"/>
    <w:rsid w:val="009C57BE"/>
    <w:rsid w:val="009C57CE"/>
    <w:rsid w:val="009C5888"/>
    <w:rsid w:val="009C58AB"/>
    <w:rsid w:val="009C58B2"/>
    <w:rsid w:val="009C59B2"/>
    <w:rsid w:val="009C59C0"/>
    <w:rsid w:val="009C59F3"/>
    <w:rsid w:val="009C5A26"/>
    <w:rsid w:val="009C5A2E"/>
    <w:rsid w:val="009C5A45"/>
    <w:rsid w:val="009C5A5F"/>
    <w:rsid w:val="009C5A83"/>
    <w:rsid w:val="009C5A84"/>
    <w:rsid w:val="009C5AA3"/>
    <w:rsid w:val="009C5AF7"/>
    <w:rsid w:val="009C5B44"/>
    <w:rsid w:val="009C5B4F"/>
    <w:rsid w:val="009C5C19"/>
    <w:rsid w:val="009C5D52"/>
    <w:rsid w:val="009C5D67"/>
    <w:rsid w:val="009C5DD4"/>
    <w:rsid w:val="009C5E8E"/>
    <w:rsid w:val="009C5F19"/>
    <w:rsid w:val="009C5F92"/>
    <w:rsid w:val="009C6066"/>
    <w:rsid w:val="009C6080"/>
    <w:rsid w:val="009C60AD"/>
    <w:rsid w:val="009C6106"/>
    <w:rsid w:val="009C6132"/>
    <w:rsid w:val="009C6190"/>
    <w:rsid w:val="009C622A"/>
    <w:rsid w:val="009C6252"/>
    <w:rsid w:val="009C6275"/>
    <w:rsid w:val="009C629C"/>
    <w:rsid w:val="009C62F7"/>
    <w:rsid w:val="009C6371"/>
    <w:rsid w:val="009C6383"/>
    <w:rsid w:val="009C63B0"/>
    <w:rsid w:val="009C63B1"/>
    <w:rsid w:val="009C6487"/>
    <w:rsid w:val="009C64BB"/>
    <w:rsid w:val="009C6509"/>
    <w:rsid w:val="009C652B"/>
    <w:rsid w:val="009C6734"/>
    <w:rsid w:val="009C6755"/>
    <w:rsid w:val="009C6769"/>
    <w:rsid w:val="009C6770"/>
    <w:rsid w:val="009C67C8"/>
    <w:rsid w:val="009C67E1"/>
    <w:rsid w:val="009C67E3"/>
    <w:rsid w:val="009C686E"/>
    <w:rsid w:val="009C68BA"/>
    <w:rsid w:val="009C6910"/>
    <w:rsid w:val="009C6927"/>
    <w:rsid w:val="009C69AF"/>
    <w:rsid w:val="009C6A06"/>
    <w:rsid w:val="009C6AD0"/>
    <w:rsid w:val="009C6AE8"/>
    <w:rsid w:val="009C6AEF"/>
    <w:rsid w:val="009C6B0C"/>
    <w:rsid w:val="009C6B10"/>
    <w:rsid w:val="009C6B58"/>
    <w:rsid w:val="009C6B85"/>
    <w:rsid w:val="009C6CA8"/>
    <w:rsid w:val="009C6D6C"/>
    <w:rsid w:val="009C6D91"/>
    <w:rsid w:val="009C6DED"/>
    <w:rsid w:val="009C6E4E"/>
    <w:rsid w:val="009C6ED4"/>
    <w:rsid w:val="009C6F47"/>
    <w:rsid w:val="009C6F78"/>
    <w:rsid w:val="009C6F8A"/>
    <w:rsid w:val="009C6FCA"/>
    <w:rsid w:val="009C6FE4"/>
    <w:rsid w:val="009C7026"/>
    <w:rsid w:val="009C703E"/>
    <w:rsid w:val="009C705B"/>
    <w:rsid w:val="009C7067"/>
    <w:rsid w:val="009C709B"/>
    <w:rsid w:val="009C70E4"/>
    <w:rsid w:val="009C7153"/>
    <w:rsid w:val="009C7216"/>
    <w:rsid w:val="009C729B"/>
    <w:rsid w:val="009C7337"/>
    <w:rsid w:val="009C7374"/>
    <w:rsid w:val="009C7451"/>
    <w:rsid w:val="009C7471"/>
    <w:rsid w:val="009C74F1"/>
    <w:rsid w:val="009C74FA"/>
    <w:rsid w:val="009C75F2"/>
    <w:rsid w:val="009C7607"/>
    <w:rsid w:val="009C7618"/>
    <w:rsid w:val="009C7653"/>
    <w:rsid w:val="009C7665"/>
    <w:rsid w:val="009C76BB"/>
    <w:rsid w:val="009C76C3"/>
    <w:rsid w:val="009C771D"/>
    <w:rsid w:val="009C772C"/>
    <w:rsid w:val="009C7794"/>
    <w:rsid w:val="009C782D"/>
    <w:rsid w:val="009C7846"/>
    <w:rsid w:val="009C7849"/>
    <w:rsid w:val="009C786A"/>
    <w:rsid w:val="009C786B"/>
    <w:rsid w:val="009C7893"/>
    <w:rsid w:val="009C7898"/>
    <w:rsid w:val="009C78AD"/>
    <w:rsid w:val="009C78B6"/>
    <w:rsid w:val="009C7920"/>
    <w:rsid w:val="009C798C"/>
    <w:rsid w:val="009C799C"/>
    <w:rsid w:val="009C7A88"/>
    <w:rsid w:val="009C7A97"/>
    <w:rsid w:val="009C7AA8"/>
    <w:rsid w:val="009C7ACB"/>
    <w:rsid w:val="009C7AD2"/>
    <w:rsid w:val="009C7AD9"/>
    <w:rsid w:val="009C7B81"/>
    <w:rsid w:val="009C7B84"/>
    <w:rsid w:val="009C7CF2"/>
    <w:rsid w:val="009C7D3C"/>
    <w:rsid w:val="009C7D90"/>
    <w:rsid w:val="009C7E83"/>
    <w:rsid w:val="009C7EFB"/>
    <w:rsid w:val="009C7F01"/>
    <w:rsid w:val="009C7F11"/>
    <w:rsid w:val="009C7F40"/>
    <w:rsid w:val="009C7F4A"/>
    <w:rsid w:val="009C7F70"/>
    <w:rsid w:val="009C7F9F"/>
    <w:rsid w:val="009D0023"/>
    <w:rsid w:val="009D003E"/>
    <w:rsid w:val="009D0116"/>
    <w:rsid w:val="009D0174"/>
    <w:rsid w:val="009D01D2"/>
    <w:rsid w:val="009D01ED"/>
    <w:rsid w:val="009D0266"/>
    <w:rsid w:val="009D02BF"/>
    <w:rsid w:val="009D02C7"/>
    <w:rsid w:val="009D02E1"/>
    <w:rsid w:val="009D0306"/>
    <w:rsid w:val="009D0327"/>
    <w:rsid w:val="009D033E"/>
    <w:rsid w:val="009D0369"/>
    <w:rsid w:val="009D0420"/>
    <w:rsid w:val="009D0423"/>
    <w:rsid w:val="009D046F"/>
    <w:rsid w:val="009D05D2"/>
    <w:rsid w:val="009D0699"/>
    <w:rsid w:val="009D06BB"/>
    <w:rsid w:val="009D0760"/>
    <w:rsid w:val="009D0780"/>
    <w:rsid w:val="009D0802"/>
    <w:rsid w:val="009D086D"/>
    <w:rsid w:val="009D08B8"/>
    <w:rsid w:val="009D08CD"/>
    <w:rsid w:val="009D0934"/>
    <w:rsid w:val="009D0983"/>
    <w:rsid w:val="009D0A3C"/>
    <w:rsid w:val="009D0A4D"/>
    <w:rsid w:val="009D0A6B"/>
    <w:rsid w:val="009D0A76"/>
    <w:rsid w:val="009D0AA8"/>
    <w:rsid w:val="009D0B4A"/>
    <w:rsid w:val="009D0BC6"/>
    <w:rsid w:val="009D0BF2"/>
    <w:rsid w:val="009D0C12"/>
    <w:rsid w:val="009D0C3A"/>
    <w:rsid w:val="009D0C4D"/>
    <w:rsid w:val="009D0D53"/>
    <w:rsid w:val="009D0D6A"/>
    <w:rsid w:val="009D0D77"/>
    <w:rsid w:val="009D0D96"/>
    <w:rsid w:val="009D0DA5"/>
    <w:rsid w:val="009D0E0A"/>
    <w:rsid w:val="009D0E29"/>
    <w:rsid w:val="009D0E38"/>
    <w:rsid w:val="009D0E4D"/>
    <w:rsid w:val="009D0E83"/>
    <w:rsid w:val="009D0F31"/>
    <w:rsid w:val="009D0F4E"/>
    <w:rsid w:val="009D0FB4"/>
    <w:rsid w:val="009D1021"/>
    <w:rsid w:val="009D104C"/>
    <w:rsid w:val="009D109D"/>
    <w:rsid w:val="009D10A7"/>
    <w:rsid w:val="009D10E1"/>
    <w:rsid w:val="009D10EC"/>
    <w:rsid w:val="009D10F7"/>
    <w:rsid w:val="009D1151"/>
    <w:rsid w:val="009D1175"/>
    <w:rsid w:val="009D119E"/>
    <w:rsid w:val="009D11D3"/>
    <w:rsid w:val="009D127C"/>
    <w:rsid w:val="009D12E3"/>
    <w:rsid w:val="009D12EC"/>
    <w:rsid w:val="009D131B"/>
    <w:rsid w:val="009D134F"/>
    <w:rsid w:val="009D13E6"/>
    <w:rsid w:val="009D149D"/>
    <w:rsid w:val="009D14B2"/>
    <w:rsid w:val="009D14CC"/>
    <w:rsid w:val="009D15C1"/>
    <w:rsid w:val="009D15D0"/>
    <w:rsid w:val="009D15E7"/>
    <w:rsid w:val="009D166D"/>
    <w:rsid w:val="009D1700"/>
    <w:rsid w:val="009D1720"/>
    <w:rsid w:val="009D1732"/>
    <w:rsid w:val="009D175A"/>
    <w:rsid w:val="009D17EE"/>
    <w:rsid w:val="009D181A"/>
    <w:rsid w:val="009D1871"/>
    <w:rsid w:val="009D1939"/>
    <w:rsid w:val="009D194E"/>
    <w:rsid w:val="009D1995"/>
    <w:rsid w:val="009D19E7"/>
    <w:rsid w:val="009D19F3"/>
    <w:rsid w:val="009D1A1A"/>
    <w:rsid w:val="009D1A25"/>
    <w:rsid w:val="009D1A5A"/>
    <w:rsid w:val="009D1A7B"/>
    <w:rsid w:val="009D1AC2"/>
    <w:rsid w:val="009D1B2F"/>
    <w:rsid w:val="009D1B3F"/>
    <w:rsid w:val="009D1B6B"/>
    <w:rsid w:val="009D1BA1"/>
    <w:rsid w:val="009D1BC8"/>
    <w:rsid w:val="009D1BE7"/>
    <w:rsid w:val="009D1C02"/>
    <w:rsid w:val="009D1C80"/>
    <w:rsid w:val="009D1D2C"/>
    <w:rsid w:val="009D1F66"/>
    <w:rsid w:val="009D1FB8"/>
    <w:rsid w:val="009D1FC7"/>
    <w:rsid w:val="009D1FE4"/>
    <w:rsid w:val="009D1FF9"/>
    <w:rsid w:val="009D1FFB"/>
    <w:rsid w:val="009D2036"/>
    <w:rsid w:val="009D2067"/>
    <w:rsid w:val="009D2130"/>
    <w:rsid w:val="009D2135"/>
    <w:rsid w:val="009D217B"/>
    <w:rsid w:val="009D2190"/>
    <w:rsid w:val="009D21D5"/>
    <w:rsid w:val="009D2214"/>
    <w:rsid w:val="009D227E"/>
    <w:rsid w:val="009D22F9"/>
    <w:rsid w:val="009D2324"/>
    <w:rsid w:val="009D232A"/>
    <w:rsid w:val="009D236F"/>
    <w:rsid w:val="009D23CD"/>
    <w:rsid w:val="009D23E0"/>
    <w:rsid w:val="009D23EB"/>
    <w:rsid w:val="009D2408"/>
    <w:rsid w:val="009D2479"/>
    <w:rsid w:val="009D248B"/>
    <w:rsid w:val="009D24A2"/>
    <w:rsid w:val="009D24A6"/>
    <w:rsid w:val="009D24A7"/>
    <w:rsid w:val="009D24CE"/>
    <w:rsid w:val="009D257E"/>
    <w:rsid w:val="009D25BF"/>
    <w:rsid w:val="009D2603"/>
    <w:rsid w:val="009D266B"/>
    <w:rsid w:val="009D26C9"/>
    <w:rsid w:val="009D26F5"/>
    <w:rsid w:val="009D26F7"/>
    <w:rsid w:val="009D2731"/>
    <w:rsid w:val="009D2784"/>
    <w:rsid w:val="009D27FE"/>
    <w:rsid w:val="009D283D"/>
    <w:rsid w:val="009D2855"/>
    <w:rsid w:val="009D288A"/>
    <w:rsid w:val="009D28EF"/>
    <w:rsid w:val="009D2998"/>
    <w:rsid w:val="009D29BA"/>
    <w:rsid w:val="009D29E2"/>
    <w:rsid w:val="009D2B43"/>
    <w:rsid w:val="009D2B6D"/>
    <w:rsid w:val="009D2BB7"/>
    <w:rsid w:val="009D2BC0"/>
    <w:rsid w:val="009D2BFF"/>
    <w:rsid w:val="009D2C30"/>
    <w:rsid w:val="009D2C65"/>
    <w:rsid w:val="009D2CED"/>
    <w:rsid w:val="009D2D3D"/>
    <w:rsid w:val="009D2D67"/>
    <w:rsid w:val="009D2DC5"/>
    <w:rsid w:val="009D2DCF"/>
    <w:rsid w:val="009D2EA0"/>
    <w:rsid w:val="009D2F0B"/>
    <w:rsid w:val="009D2F17"/>
    <w:rsid w:val="009D2F43"/>
    <w:rsid w:val="009D2FB3"/>
    <w:rsid w:val="009D3006"/>
    <w:rsid w:val="009D30C5"/>
    <w:rsid w:val="009D3134"/>
    <w:rsid w:val="009D31AE"/>
    <w:rsid w:val="009D31DE"/>
    <w:rsid w:val="009D31FA"/>
    <w:rsid w:val="009D325E"/>
    <w:rsid w:val="009D32CD"/>
    <w:rsid w:val="009D3312"/>
    <w:rsid w:val="009D33A8"/>
    <w:rsid w:val="009D33A9"/>
    <w:rsid w:val="009D33D6"/>
    <w:rsid w:val="009D34BA"/>
    <w:rsid w:val="009D34ED"/>
    <w:rsid w:val="009D34FA"/>
    <w:rsid w:val="009D351D"/>
    <w:rsid w:val="009D3523"/>
    <w:rsid w:val="009D35C0"/>
    <w:rsid w:val="009D35C7"/>
    <w:rsid w:val="009D35DF"/>
    <w:rsid w:val="009D35ED"/>
    <w:rsid w:val="009D3683"/>
    <w:rsid w:val="009D37A7"/>
    <w:rsid w:val="009D37B7"/>
    <w:rsid w:val="009D37F5"/>
    <w:rsid w:val="009D3826"/>
    <w:rsid w:val="009D3855"/>
    <w:rsid w:val="009D38D4"/>
    <w:rsid w:val="009D38F8"/>
    <w:rsid w:val="009D397B"/>
    <w:rsid w:val="009D39D3"/>
    <w:rsid w:val="009D39D8"/>
    <w:rsid w:val="009D3A42"/>
    <w:rsid w:val="009D3A7A"/>
    <w:rsid w:val="009D3AB0"/>
    <w:rsid w:val="009D3AD7"/>
    <w:rsid w:val="009D3AF5"/>
    <w:rsid w:val="009D3B78"/>
    <w:rsid w:val="009D3B91"/>
    <w:rsid w:val="009D3C28"/>
    <w:rsid w:val="009D3CB4"/>
    <w:rsid w:val="009D3CBC"/>
    <w:rsid w:val="009D3D2B"/>
    <w:rsid w:val="009D3D89"/>
    <w:rsid w:val="009D3D91"/>
    <w:rsid w:val="009D3E26"/>
    <w:rsid w:val="009D3E37"/>
    <w:rsid w:val="009D3EE7"/>
    <w:rsid w:val="009D3F26"/>
    <w:rsid w:val="009D3F2F"/>
    <w:rsid w:val="009D405B"/>
    <w:rsid w:val="009D405C"/>
    <w:rsid w:val="009D410E"/>
    <w:rsid w:val="009D4143"/>
    <w:rsid w:val="009D416A"/>
    <w:rsid w:val="009D41B0"/>
    <w:rsid w:val="009D41EC"/>
    <w:rsid w:val="009D41F5"/>
    <w:rsid w:val="009D41FE"/>
    <w:rsid w:val="009D4245"/>
    <w:rsid w:val="009D425C"/>
    <w:rsid w:val="009D425D"/>
    <w:rsid w:val="009D428C"/>
    <w:rsid w:val="009D428F"/>
    <w:rsid w:val="009D429F"/>
    <w:rsid w:val="009D4428"/>
    <w:rsid w:val="009D44ED"/>
    <w:rsid w:val="009D44F4"/>
    <w:rsid w:val="009D4521"/>
    <w:rsid w:val="009D4535"/>
    <w:rsid w:val="009D4561"/>
    <w:rsid w:val="009D45C9"/>
    <w:rsid w:val="009D4617"/>
    <w:rsid w:val="009D4669"/>
    <w:rsid w:val="009D46B2"/>
    <w:rsid w:val="009D46EC"/>
    <w:rsid w:val="009D48AB"/>
    <w:rsid w:val="009D4905"/>
    <w:rsid w:val="009D4926"/>
    <w:rsid w:val="009D49DF"/>
    <w:rsid w:val="009D4A00"/>
    <w:rsid w:val="009D4A06"/>
    <w:rsid w:val="009D4A63"/>
    <w:rsid w:val="009D4A7F"/>
    <w:rsid w:val="009D4A9D"/>
    <w:rsid w:val="009D4BAE"/>
    <w:rsid w:val="009D4C69"/>
    <w:rsid w:val="009D4C78"/>
    <w:rsid w:val="009D4D65"/>
    <w:rsid w:val="009D4DA2"/>
    <w:rsid w:val="009D4E5C"/>
    <w:rsid w:val="009D4EBC"/>
    <w:rsid w:val="009D4EC2"/>
    <w:rsid w:val="009D4F31"/>
    <w:rsid w:val="009D4F46"/>
    <w:rsid w:val="009D4F60"/>
    <w:rsid w:val="009D502D"/>
    <w:rsid w:val="009D504F"/>
    <w:rsid w:val="009D5070"/>
    <w:rsid w:val="009D50AC"/>
    <w:rsid w:val="009D50E9"/>
    <w:rsid w:val="009D5101"/>
    <w:rsid w:val="009D5175"/>
    <w:rsid w:val="009D51AC"/>
    <w:rsid w:val="009D520B"/>
    <w:rsid w:val="009D5220"/>
    <w:rsid w:val="009D523D"/>
    <w:rsid w:val="009D5249"/>
    <w:rsid w:val="009D5298"/>
    <w:rsid w:val="009D52B6"/>
    <w:rsid w:val="009D52DC"/>
    <w:rsid w:val="009D5372"/>
    <w:rsid w:val="009D5374"/>
    <w:rsid w:val="009D5390"/>
    <w:rsid w:val="009D53B1"/>
    <w:rsid w:val="009D541D"/>
    <w:rsid w:val="009D548E"/>
    <w:rsid w:val="009D549B"/>
    <w:rsid w:val="009D54C1"/>
    <w:rsid w:val="009D5505"/>
    <w:rsid w:val="009D550B"/>
    <w:rsid w:val="009D553A"/>
    <w:rsid w:val="009D56D0"/>
    <w:rsid w:val="009D56E0"/>
    <w:rsid w:val="009D56F0"/>
    <w:rsid w:val="009D5736"/>
    <w:rsid w:val="009D5757"/>
    <w:rsid w:val="009D57BE"/>
    <w:rsid w:val="009D57DE"/>
    <w:rsid w:val="009D57E4"/>
    <w:rsid w:val="009D5825"/>
    <w:rsid w:val="009D58BA"/>
    <w:rsid w:val="009D58C1"/>
    <w:rsid w:val="009D58F7"/>
    <w:rsid w:val="009D58FA"/>
    <w:rsid w:val="009D595E"/>
    <w:rsid w:val="009D59AC"/>
    <w:rsid w:val="009D59C7"/>
    <w:rsid w:val="009D5A52"/>
    <w:rsid w:val="009D5A55"/>
    <w:rsid w:val="009D5ABE"/>
    <w:rsid w:val="009D5B0E"/>
    <w:rsid w:val="009D5B50"/>
    <w:rsid w:val="009D5B9C"/>
    <w:rsid w:val="009D5C0C"/>
    <w:rsid w:val="009D5C26"/>
    <w:rsid w:val="009D5CC0"/>
    <w:rsid w:val="009D5D65"/>
    <w:rsid w:val="009D5D94"/>
    <w:rsid w:val="009D5E23"/>
    <w:rsid w:val="009D5E64"/>
    <w:rsid w:val="009D5ECD"/>
    <w:rsid w:val="009D5F31"/>
    <w:rsid w:val="009D5F64"/>
    <w:rsid w:val="009D5F9E"/>
    <w:rsid w:val="009D5FA4"/>
    <w:rsid w:val="009D5FEE"/>
    <w:rsid w:val="009D6021"/>
    <w:rsid w:val="009D6074"/>
    <w:rsid w:val="009D60D4"/>
    <w:rsid w:val="009D60F0"/>
    <w:rsid w:val="009D60F8"/>
    <w:rsid w:val="009D6118"/>
    <w:rsid w:val="009D6126"/>
    <w:rsid w:val="009D619B"/>
    <w:rsid w:val="009D61C3"/>
    <w:rsid w:val="009D61F1"/>
    <w:rsid w:val="009D6215"/>
    <w:rsid w:val="009D62B8"/>
    <w:rsid w:val="009D6323"/>
    <w:rsid w:val="009D635D"/>
    <w:rsid w:val="009D63AD"/>
    <w:rsid w:val="009D63CF"/>
    <w:rsid w:val="009D63F6"/>
    <w:rsid w:val="009D6414"/>
    <w:rsid w:val="009D64CE"/>
    <w:rsid w:val="009D64D3"/>
    <w:rsid w:val="009D6515"/>
    <w:rsid w:val="009D6530"/>
    <w:rsid w:val="009D653E"/>
    <w:rsid w:val="009D6547"/>
    <w:rsid w:val="009D6561"/>
    <w:rsid w:val="009D6569"/>
    <w:rsid w:val="009D6572"/>
    <w:rsid w:val="009D661F"/>
    <w:rsid w:val="009D6666"/>
    <w:rsid w:val="009D667C"/>
    <w:rsid w:val="009D66E4"/>
    <w:rsid w:val="009D6711"/>
    <w:rsid w:val="009D6735"/>
    <w:rsid w:val="009D6764"/>
    <w:rsid w:val="009D6769"/>
    <w:rsid w:val="009D68A5"/>
    <w:rsid w:val="009D68D0"/>
    <w:rsid w:val="009D68DE"/>
    <w:rsid w:val="009D68F6"/>
    <w:rsid w:val="009D6952"/>
    <w:rsid w:val="009D69A8"/>
    <w:rsid w:val="009D69DA"/>
    <w:rsid w:val="009D69E8"/>
    <w:rsid w:val="009D6AC8"/>
    <w:rsid w:val="009D6ADC"/>
    <w:rsid w:val="009D6B35"/>
    <w:rsid w:val="009D6B94"/>
    <w:rsid w:val="009D6BDF"/>
    <w:rsid w:val="009D6BFF"/>
    <w:rsid w:val="009D6C1B"/>
    <w:rsid w:val="009D6C2B"/>
    <w:rsid w:val="009D6C71"/>
    <w:rsid w:val="009D6CDF"/>
    <w:rsid w:val="009D6CF2"/>
    <w:rsid w:val="009D6E19"/>
    <w:rsid w:val="009D6E53"/>
    <w:rsid w:val="009D6EDC"/>
    <w:rsid w:val="009D6FE3"/>
    <w:rsid w:val="009D6FF1"/>
    <w:rsid w:val="009D7015"/>
    <w:rsid w:val="009D7028"/>
    <w:rsid w:val="009D7077"/>
    <w:rsid w:val="009D71CC"/>
    <w:rsid w:val="009D7330"/>
    <w:rsid w:val="009D73AD"/>
    <w:rsid w:val="009D73B0"/>
    <w:rsid w:val="009D7401"/>
    <w:rsid w:val="009D7456"/>
    <w:rsid w:val="009D74C9"/>
    <w:rsid w:val="009D74D2"/>
    <w:rsid w:val="009D757A"/>
    <w:rsid w:val="009D757E"/>
    <w:rsid w:val="009D7589"/>
    <w:rsid w:val="009D75CA"/>
    <w:rsid w:val="009D75D0"/>
    <w:rsid w:val="009D75D7"/>
    <w:rsid w:val="009D7630"/>
    <w:rsid w:val="009D766A"/>
    <w:rsid w:val="009D76FF"/>
    <w:rsid w:val="009D7710"/>
    <w:rsid w:val="009D774C"/>
    <w:rsid w:val="009D778A"/>
    <w:rsid w:val="009D77CC"/>
    <w:rsid w:val="009D781F"/>
    <w:rsid w:val="009D7836"/>
    <w:rsid w:val="009D788C"/>
    <w:rsid w:val="009D7897"/>
    <w:rsid w:val="009D78C9"/>
    <w:rsid w:val="009D78E4"/>
    <w:rsid w:val="009D796D"/>
    <w:rsid w:val="009D79E6"/>
    <w:rsid w:val="009D7ACE"/>
    <w:rsid w:val="009D7AF9"/>
    <w:rsid w:val="009D7BD5"/>
    <w:rsid w:val="009D7BF0"/>
    <w:rsid w:val="009D7BFC"/>
    <w:rsid w:val="009D7C0C"/>
    <w:rsid w:val="009D7C5D"/>
    <w:rsid w:val="009D7C82"/>
    <w:rsid w:val="009D7CC3"/>
    <w:rsid w:val="009D7CDF"/>
    <w:rsid w:val="009D7CFA"/>
    <w:rsid w:val="009D7DFA"/>
    <w:rsid w:val="009D7F59"/>
    <w:rsid w:val="009D7FCB"/>
    <w:rsid w:val="009D7FE2"/>
    <w:rsid w:val="009E001E"/>
    <w:rsid w:val="009E0033"/>
    <w:rsid w:val="009E0036"/>
    <w:rsid w:val="009E0059"/>
    <w:rsid w:val="009E0069"/>
    <w:rsid w:val="009E008D"/>
    <w:rsid w:val="009E00A6"/>
    <w:rsid w:val="009E00AA"/>
    <w:rsid w:val="009E010A"/>
    <w:rsid w:val="009E0162"/>
    <w:rsid w:val="009E01E3"/>
    <w:rsid w:val="009E02A1"/>
    <w:rsid w:val="009E032D"/>
    <w:rsid w:val="009E0338"/>
    <w:rsid w:val="009E0393"/>
    <w:rsid w:val="009E03A6"/>
    <w:rsid w:val="009E03C1"/>
    <w:rsid w:val="009E03E8"/>
    <w:rsid w:val="009E040D"/>
    <w:rsid w:val="009E0448"/>
    <w:rsid w:val="009E0517"/>
    <w:rsid w:val="009E0540"/>
    <w:rsid w:val="009E055A"/>
    <w:rsid w:val="009E0601"/>
    <w:rsid w:val="009E0624"/>
    <w:rsid w:val="009E0638"/>
    <w:rsid w:val="009E0652"/>
    <w:rsid w:val="009E0654"/>
    <w:rsid w:val="009E0691"/>
    <w:rsid w:val="009E06F8"/>
    <w:rsid w:val="009E070D"/>
    <w:rsid w:val="009E0723"/>
    <w:rsid w:val="009E0798"/>
    <w:rsid w:val="009E07B0"/>
    <w:rsid w:val="009E07EF"/>
    <w:rsid w:val="009E0867"/>
    <w:rsid w:val="009E08BC"/>
    <w:rsid w:val="009E08D6"/>
    <w:rsid w:val="009E08FB"/>
    <w:rsid w:val="009E0946"/>
    <w:rsid w:val="009E09A0"/>
    <w:rsid w:val="009E09A7"/>
    <w:rsid w:val="009E0A00"/>
    <w:rsid w:val="009E0B33"/>
    <w:rsid w:val="009E0C64"/>
    <w:rsid w:val="009E0C98"/>
    <w:rsid w:val="009E0CA9"/>
    <w:rsid w:val="009E0CAF"/>
    <w:rsid w:val="009E0D11"/>
    <w:rsid w:val="009E0D34"/>
    <w:rsid w:val="009E0D43"/>
    <w:rsid w:val="009E0D80"/>
    <w:rsid w:val="009E0DD1"/>
    <w:rsid w:val="009E0E01"/>
    <w:rsid w:val="009E0E0C"/>
    <w:rsid w:val="009E0E15"/>
    <w:rsid w:val="009E0E1E"/>
    <w:rsid w:val="009E0E8D"/>
    <w:rsid w:val="009E0E8E"/>
    <w:rsid w:val="009E0EB2"/>
    <w:rsid w:val="009E0EF2"/>
    <w:rsid w:val="009E0EFE"/>
    <w:rsid w:val="009E0F4C"/>
    <w:rsid w:val="009E0F55"/>
    <w:rsid w:val="009E100C"/>
    <w:rsid w:val="009E11AE"/>
    <w:rsid w:val="009E1212"/>
    <w:rsid w:val="009E124E"/>
    <w:rsid w:val="009E1274"/>
    <w:rsid w:val="009E12FE"/>
    <w:rsid w:val="009E1323"/>
    <w:rsid w:val="009E13C3"/>
    <w:rsid w:val="009E13DD"/>
    <w:rsid w:val="009E14BD"/>
    <w:rsid w:val="009E153C"/>
    <w:rsid w:val="009E154A"/>
    <w:rsid w:val="009E157B"/>
    <w:rsid w:val="009E160A"/>
    <w:rsid w:val="009E1614"/>
    <w:rsid w:val="009E1639"/>
    <w:rsid w:val="009E1727"/>
    <w:rsid w:val="009E175C"/>
    <w:rsid w:val="009E17F1"/>
    <w:rsid w:val="009E18BC"/>
    <w:rsid w:val="009E18DD"/>
    <w:rsid w:val="009E191E"/>
    <w:rsid w:val="009E1923"/>
    <w:rsid w:val="009E1939"/>
    <w:rsid w:val="009E19F2"/>
    <w:rsid w:val="009E1A41"/>
    <w:rsid w:val="009E1B5A"/>
    <w:rsid w:val="009E1B64"/>
    <w:rsid w:val="009E1BB1"/>
    <w:rsid w:val="009E1BBD"/>
    <w:rsid w:val="009E1CB0"/>
    <w:rsid w:val="009E1CD9"/>
    <w:rsid w:val="009E1CF7"/>
    <w:rsid w:val="009E1D3A"/>
    <w:rsid w:val="009E1D6A"/>
    <w:rsid w:val="009E1D6B"/>
    <w:rsid w:val="009E1DDA"/>
    <w:rsid w:val="009E1DED"/>
    <w:rsid w:val="009E1E02"/>
    <w:rsid w:val="009E1E63"/>
    <w:rsid w:val="009E1E79"/>
    <w:rsid w:val="009E1E7B"/>
    <w:rsid w:val="009E1EA6"/>
    <w:rsid w:val="009E1EEB"/>
    <w:rsid w:val="009E1F5B"/>
    <w:rsid w:val="009E1F99"/>
    <w:rsid w:val="009E1F9A"/>
    <w:rsid w:val="009E1FC2"/>
    <w:rsid w:val="009E2055"/>
    <w:rsid w:val="009E20B2"/>
    <w:rsid w:val="009E211F"/>
    <w:rsid w:val="009E213B"/>
    <w:rsid w:val="009E2147"/>
    <w:rsid w:val="009E2167"/>
    <w:rsid w:val="009E2189"/>
    <w:rsid w:val="009E21CF"/>
    <w:rsid w:val="009E2209"/>
    <w:rsid w:val="009E221D"/>
    <w:rsid w:val="009E222E"/>
    <w:rsid w:val="009E2257"/>
    <w:rsid w:val="009E225D"/>
    <w:rsid w:val="009E226C"/>
    <w:rsid w:val="009E22E2"/>
    <w:rsid w:val="009E2328"/>
    <w:rsid w:val="009E2337"/>
    <w:rsid w:val="009E2375"/>
    <w:rsid w:val="009E23E2"/>
    <w:rsid w:val="009E248A"/>
    <w:rsid w:val="009E25C5"/>
    <w:rsid w:val="009E25E1"/>
    <w:rsid w:val="009E2624"/>
    <w:rsid w:val="009E2680"/>
    <w:rsid w:val="009E273D"/>
    <w:rsid w:val="009E2786"/>
    <w:rsid w:val="009E27DE"/>
    <w:rsid w:val="009E27F3"/>
    <w:rsid w:val="009E2808"/>
    <w:rsid w:val="009E283A"/>
    <w:rsid w:val="009E283B"/>
    <w:rsid w:val="009E2868"/>
    <w:rsid w:val="009E288B"/>
    <w:rsid w:val="009E2896"/>
    <w:rsid w:val="009E292E"/>
    <w:rsid w:val="009E2982"/>
    <w:rsid w:val="009E29FD"/>
    <w:rsid w:val="009E2A1A"/>
    <w:rsid w:val="009E2A5D"/>
    <w:rsid w:val="009E2A7B"/>
    <w:rsid w:val="009E2AB4"/>
    <w:rsid w:val="009E2AFE"/>
    <w:rsid w:val="009E2B46"/>
    <w:rsid w:val="009E2D12"/>
    <w:rsid w:val="009E2D91"/>
    <w:rsid w:val="009E2E7B"/>
    <w:rsid w:val="009E2E97"/>
    <w:rsid w:val="009E2EA7"/>
    <w:rsid w:val="009E2F86"/>
    <w:rsid w:val="009E2F91"/>
    <w:rsid w:val="009E2FC7"/>
    <w:rsid w:val="009E2FC8"/>
    <w:rsid w:val="009E2FFF"/>
    <w:rsid w:val="009E300C"/>
    <w:rsid w:val="009E30A1"/>
    <w:rsid w:val="009E30C8"/>
    <w:rsid w:val="009E3138"/>
    <w:rsid w:val="009E3192"/>
    <w:rsid w:val="009E319A"/>
    <w:rsid w:val="009E319B"/>
    <w:rsid w:val="009E31B7"/>
    <w:rsid w:val="009E31E4"/>
    <w:rsid w:val="009E3206"/>
    <w:rsid w:val="009E32BA"/>
    <w:rsid w:val="009E32EE"/>
    <w:rsid w:val="009E3384"/>
    <w:rsid w:val="009E33F5"/>
    <w:rsid w:val="009E3424"/>
    <w:rsid w:val="009E34CB"/>
    <w:rsid w:val="009E354C"/>
    <w:rsid w:val="009E35B3"/>
    <w:rsid w:val="009E35B6"/>
    <w:rsid w:val="009E35DB"/>
    <w:rsid w:val="009E35F6"/>
    <w:rsid w:val="009E3629"/>
    <w:rsid w:val="009E366C"/>
    <w:rsid w:val="009E367E"/>
    <w:rsid w:val="009E36B6"/>
    <w:rsid w:val="009E36C6"/>
    <w:rsid w:val="009E36E5"/>
    <w:rsid w:val="009E36FA"/>
    <w:rsid w:val="009E3768"/>
    <w:rsid w:val="009E37A0"/>
    <w:rsid w:val="009E37F7"/>
    <w:rsid w:val="009E3815"/>
    <w:rsid w:val="009E38C9"/>
    <w:rsid w:val="009E392E"/>
    <w:rsid w:val="009E3933"/>
    <w:rsid w:val="009E3973"/>
    <w:rsid w:val="009E3A01"/>
    <w:rsid w:val="009E3A60"/>
    <w:rsid w:val="009E3B15"/>
    <w:rsid w:val="009E3B20"/>
    <w:rsid w:val="009E3B34"/>
    <w:rsid w:val="009E3B80"/>
    <w:rsid w:val="009E3B82"/>
    <w:rsid w:val="009E3C18"/>
    <w:rsid w:val="009E3C1C"/>
    <w:rsid w:val="009E3C2A"/>
    <w:rsid w:val="009E3C36"/>
    <w:rsid w:val="009E3C8B"/>
    <w:rsid w:val="009E3CA4"/>
    <w:rsid w:val="009E3CDB"/>
    <w:rsid w:val="009E3DA7"/>
    <w:rsid w:val="009E3DB8"/>
    <w:rsid w:val="009E3E2F"/>
    <w:rsid w:val="009E3E4D"/>
    <w:rsid w:val="009E3EC5"/>
    <w:rsid w:val="009E3F1B"/>
    <w:rsid w:val="009E3F2F"/>
    <w:rsid w:val="009E3F4A"/>
    <w:rsid w:val="009E3FDB"/>
    <w:rsid w:val="009E4000"/>
    <w:rsid w:val="009E4048"/>
    <w:rsid w:val="009E4058"/>
    <w:rsid w:val="009E4151"/>
    <w:rsid w:val="009E415F"/>
    <w:rsid w:val="009E416F"/>
    <w:rsid w:val="009E418A"/>
    <w:rsid w:val="009E4195"/>
    <w:rsid w:val="009E4265"/>
    <w:rsid w:val="009E42DE"/>
    <w:rsid w:val="009E42F4"/>
    <w:rsid w:val="009E4316"/>
    <w:rsid w:val="009E43DC"/>
    <w:rsid w:val="009E442E"/>
    <w:rsid w:val="009E4497"/>
    <w:rsid w:val="009E459E"/>
    <w:rsid w:val="009E4656"/>
    <w:rsid w:val="009E4698"/>
    <w:rsid w:val="009E46A5"/>
    <w:rsid w:val="009E46B4"/>
    <w:rsid w:val="009E46F0"/>
    <w:rsid w:val="009E4734"/>
    <w:rsid w:val="009E481F"/>
    <w:rsid w:val="009E4877"/>
    <w:rsid w:val="009E4900"/>
    <w:rsid w:val="009E4912"/>
    <w:rsid w:val="009E4941"/>
    <w:rsid w:val="009E494A"/>
    <w:rsid w:val="009E4952"/>
    <w:rsid w:val="009E49EA"/>
    <w:rsid w:val="009E4A77"/>
    <w:rsid w:val="009E4B89"/>
    <w:rsid w:val="009E4BFF"/>
    <w:rsid w:val="009E4C0E"/>
    <w:rsid w:val="009E4C2A"/>
    <w:rsid w:val="009E4D2D"/>
    <w:rsid w:val="009E4D8A"/>
    <w:rsid w:val="009E4D9C"/>
    <w:rsid w:val="009E4DD7"/>
    <w:rsid w:val="009E4EC1"/>
    <w:rsid w:val="009E4F6C"/>
    <w:rsid w:val="009E4FA9"/>
    <w:rsid w:val="009E4FDF"/>
    <w:rsid w:val="009E517A"/>
    <w:rsid w:val="009E518D"/>
    <w:rsid w:val="009E51C9"/>
    <w:rsid w:val="009E52D9"/>
    <w:rsid w:val="009E532A"/>
    <w:rsid w:val="009E5350"/>
    <w:rsid w:val="009E5397"/>
    <w:rsid w:val="009E53DC"/>
    <w:rsid w:val="009E53EC"/>
    <w:rsid w:val="009E53F9"/>
    <w:rsid w:val="009E53FE"/>
    <w:rsid w:val="009E5436"/>
    <w:rsid w:val="009E5460"/>
    <w:rsid w:val="009E5501"/>
    <w:rsid w:val="009E5570"/>
    <w:rsid w:val="009E5574"/>
    <w:rsid w:val="009E55C3"/>
    <w:rsid w:val="009E5614"/>
    <w:rsid w:val="009E5665"/>
    <w:rsid w:val="009E5669"/>
    <w:rsid w:val="009E57EF"/>
    <w:rsid w:val="009E5848"/>
    <w:rsid w:val="009E5887"/>
    <w:rsid w:val="009E5891"/>
    <w:rsid w:val="009E58E3"/>
    <w:rsid w:val="009E58F0"/>
    <w:rsid w:val="009E590E"/>
    <w:rsid w:val="009E5960"/>
    <w:rsid w:val="009E59BF"/>
    <w:rsid w:val="009E5A0F"/>
    <w:rsid w:val="009E5A7C"/>
    <w:rsid w:val="009E5ABE"/>
    <w:rsid w:val="009E5BBD"/>
    <w:rsid w:val="009E5BD9"/>
    <w:rsid w:val="009E5BF8"/>
    <w:rsid w:val="009E5C6A"/>
    <w:rsid w:val="009E5C77"/>
    <w:rsid w:val="009E5D37"/>
    <w:rsid w:val="009E5D86"/>
    <w:rsid w:val="009E5DDD"/>
    <w:rsid w:val="009E5DFE"/>
    <w:rsid w:val="009E5E8D"/>
    <w:rsid w:val="009E5EAD"/>
    <w:rsid w:val="009E5EE3"/>
    <w:rsid w:val="009E5F08"/>
    <w:rsid w:val="009E5F0B"/>
    <w:rsid w:val="009E5F52"/>
    <w:rsid w:val="009E5F72"/>
    <w:rsid w:val="009E5FBF"/>
    <w:rsid w:val="009E5FF3"/>
    <w:rsid w:val="009E6104"/>
    <w:rsid w:val="009E613B"/>
    <w:rsid w:val="009E6148"/>
    <w:rsid w:val="009E6197"/>
    <w:rsid w:val="009E61DD"/>
    <w:rsid w:val="009E61E6"/>
    <w:rsid w:val="009E61F2"/>
    <w:rsid w:val="009E625F"/>
    <w:rsid w:val="009E62BD"/>
    <w:rsid w:val="009E62F7"/>
    <w:rsid w:val="009E63BE"/>
    <w:rsid w:val="009E63C0"/>
    <w:rsid w:val="009E63F5"/>
    <w:rsid w:val="009E640B"/>
    <w:rsid w:val="009E648B"/>
    <w:rsid w:val="009E64C2"/>
    <w:rsid w:val="009E64F7"/>
    <w:rsid w:val="009E650C"/>
    <w:rsid w:val="009E65D0"/>
    <w:rsid w:val="009E65E0"/>
    <w:rsid w:val="009E661D"/>
    <w:rsid w:val="009E664D"/>
    <w:rsid w:val="009E6678"/>
    <w:rsid w:val="009E66BF"/>
    <w:rsid w:val="009E6736"/>
    <w:rsid w:val="009E673D"/>
    <w:rsid w:val="009E6750"/>
    <w:rsid w:val="009E675B"/>
    <w:rsid w:val="009E67E9"/>
    <w:rsid w:val="009E67F5"/>
    <w:rsid w:val="009E6888"/>
    <w:rsid w:val="009E6899"/>
    <w:rsid w:val="009E68B8"/>
    <w:rsid w:val="009E68CB"/>
    <w:rsid w:val="009E68F5"/>
    <w:rsid w:val="009E699D"/>
    <w:rsid w:val="009E6A61"/>
    <w:rsid w:val="009E6AB3"/>
    <w:rsid w:val="009E6B06"/>
    <w:rsid w:val="009E6B74"/>
    <w:rsid w:val="009E6BA8"/>
    <w:rsid w:val="009E6C3C"/>
    <w:rsid w:val="009E6CC2"/>
    <w:rsid w:val="009E6D5D"/>
    <w:rsid w:val="009E6D8F"/>
    <w:rsid w:val="009E6DA8"/>
    <w:rsid w:val="009E6DB5"/>
    <w:rsid w:val="009E6E01"/>
    <w:rsid w:val="009E6E1B"/>
    <w:rsid w:val="009E6E77"/>
    <w:rsid w:val="009E6EC2"/>
    <w:rsid w:val="009E6EDB"/>
    <w:rsid w:val="009E6F01"/>
    <w:rsid w:val="009E6F46"/>
    <w:rsid w:val="009E703E"/>
    <w:rsid w:val="009E71A9"/>
    <w:rsid w:val="009E71BD"/>
    <w:rsid w:val="009E724C"/>
    <w:rsid w:val="009E728F"/>
    <w:rsid w:val="009E72A7"/>
    <w:rsid w:val="009E72C2"/>
    <w:rsid w:val="009E72E4"/>
    <w:rsid w:val="009E72E5"/>
    <w:rsid w:val="009E7320"/>
    <w:rsid w:val="009E7343"/>
    <w:rsid w:val="009E7346"/>
    <w:rsid w:val="009E7357"/>
    <w:rsid w:val="009E73BE"/>
    <w:rsid w:val="009E73CE"/>
    <w:rsid w:val="009E7409"/>
    <w:rsid w:val="009E7414"/>
    <w:rsid w:val="009E7423"/>
    <w:rsid w:val="009E7443"/>
    <w:rsid w:val="009E745A"/>
    <w:rsid w:val="009E75B0"/>
    <w:rsid w:val="009E75F0"/>
    <w:rsid w:val="009E769B"/>
    <w:rsid w:val="009E76AA"/>
    <w:rsid w:val="009E76B7"/>
    <w:rsid w:val="009E76CF"/>
    <w:rsid w:val="009E76D1"/>
    <w:rsid w:val="009E771A"/>
    <w:rsid w:val="009E772B"/>
    <w:rsid w:val="009E775A"/>
    <w:rsid w:val="009E787A"/>
    <w:rsid w:val="009E78C9"/>
    <w:rsid w:val="009E78EE"/>
    <w:rsid w:val="009E791F"/>
    <w:rsid w:val="009E792F"/>
    <w:rsid w:val="009E7942"/>
    <w:rsid w:val="009E797F"/>
    <w:rsid w:val="009E7A90"/>
    <w:rsid w:val="009E7A9F"/>
    <w:rsid w:val="009E7AC9"/>
    <w:rsid w:val="009E7B05"/>
    <w:rsid w:val="009E7B93"/>
    <w:rsid w:val="009E7B94"/>
    <w:rsid w:val="009E7C51"/>
    <w:rsid w:val="009E7C77"/>
    <w:rsid w:val="009E7C8A"/>
    <w:rsid w:val="009E7CF8"/>
    <w:rsid w:val="009E7DED"/>
    <w:rsid w:val="009E7DF2"/>
    <w:rsid w:val="009E7E9A"/>
    <w:rsid w:val="009E7F24"/>
    <w:rsid w:val="009E7FA1"/>
    <w:rsid w:val="009E7FD8"/>
    <w:rsid w:val="009F0054"/>
    <w:rsid w:val="009F0064"/>
    <w:rsid w:val="009F0065"/>
    <w:rsid w:val="009F0066"/>
    <w:rsid w:val="009F00B2"/>
    <w:rsid w:val="009F00D9"/>
    <w:rsid w:val="009F00E9"/>
    <w:rsid w:val="009F01D6"/>
    <w:rsid w:val="009F01DF"/>
    <w:rsid w:val="009F0230"/>
    <w:rsid w:val="009F031B"/>
    <w:rsid w:val="009F0374"/>
    <w:rsid w:val="009F037B"/>
    <w:rsid w:val="009F03BA"/>
    <w:rsid w:val="009F03DA"/>
    <w:rsid w:val="009F03F9"/>
    <w:rsid w:val="009F043A"/>
    <w:rsid w:val="009F0448"/>
    <w:rsid w:val="009F0462"/>
    <w:rsid w:val="009F0474"/>
    <w:rsid w:val="009F04B0"/>
    <w:rsid w:val="009F04C6"/>
    <w:rsid w:val="009F0509"/>
    <w:rsid w:val="009F05ED"/>
    <w:rsid w:val="009F05F1"/>
    <w:rsid w:val="009F0643"/>
    <w:rsid w:val="009F0646"/>
    <w:rsid w:val="009F066D"/>
    <w:rsid w:val="009F069A"/>
    <w:rsid w:val="009F06C4"/>
    <w:rsid w:val="009F06CD"/>
    <w:rsid w:val="009F0759"/>
    <w:rsid w:val="009F0800"/>
    <w:rsid w:val="009F0836"/>
    <w:rsid w:val="009F088B"/>
    <w:rsid w:val="009F08AB"/>
    <w:rsid w:val="009F08ED"/>
    <w:rsid w:val="009F08F3"/>
    <w:rsid w:val="009F0962"/>
    <w:rsid w:val="009F0A03"/>
    <w:rsid w:val="009F0A5F"/>
    <w:rsid w:val="009F0B5B"/>
    <w:rsid w:val="009F0BA2"/>
    <w:rsid w:val="009F0BAE"/>
    <w:rsid w:val="009F0C8E"/>
    <w:rsid w:val="009F0CFF"/>
    <w:rsid w:val="009F0D5B"/>
    <w:rsid w:val="009F0D9F"/>
    <w:rsid w:val="009F0E26"/>
    <w:rsid w:val="009F0E5B"/>
    <w:rsid w:val="009F0E79"/>
    <w:rsid w:val="009F0EAF"/>
    <w:rsid w:val="009F0EF1"/>
    <w:rsid w:val="009F0F07"/>
    <w:rsid w:val="009F0F1E"/>
    <w:rsid w:val="009F0FD6"/>
    <w:rsid w:val="009F1076"/>
    <w:rsid w:val="009F1083"/>
    <w:rsid w:val="009F10D8"/>
    <w:rsid w:val="009F111E"/>
    <w:rsid w:val="009F112A"/>
    <w:rsid w:val="009F113C"/>
    <w:rsid w:val="009F11E6"/>
    <w:rsid w:val="009F1310"/>
    <w:rsid w:val="009F1378"/>
    <w:rsid w:val="009F13A7"/>
    <w:rsid w:val="009F141A"/>
    <w:rsid w:val="009F144F"/>
    <w:rsid w:val="009F148E"/>
    <w:rsid w:val="009F14D2"/>
    <w:rsid w:val="009F1526"/>
    <w:rsid w:val="009F1598"/>
    <w:rsid w:val="009F1631"/>
    <w:rsid w:val="009F164B"/>
    <w:rsid w:val="009F1660"/>
    <w:rsid w:val="009F1680"/>
    <w:rsid w:val="009F16F3"/>
    <w:rsid w:val="009F17CF"/>
    <w:rsid w:val="009F17EE"/>
    <w:rsid w:val="009F1838"/>
    <w:rsid w:val="009F1890"/>
    <w:rsid w:val="009F18AE"/>
    <w:rsid w:val="009F18B4"/>
    <w:rsid w:val="009F18EE"/>
    <w:rsid w:val="009F1913"/>
    <w:rsid w:val="009F19E5"/>
    <w:rsid w:val="009F1A64"/>
    <w:rsid w:val="009F1B2A"/>
    <w:rsid w:val="009F1B30"/>
    <w:rsid w:val="009F1BA3"/>
    <w:rsid w:val="009F1BCF"/>
    <w:rsid w:val="009F1C68"/>
    <w:rsid w:val="009F1C94"/>
    <w:rsid w:val="009F1CA2"/>
    <w:rsid w:val="009F1D74"/>
    <w:rsid w:val="009F1D84"/>
    <w:rsid w:val="009F1DF0"/>
    <w:rsid w:val="009F1E3E"/>
    <w:rsid w:val="009F1ED3"/>
    <w:rsid w:val="009F1ED4"/>
    <w:rsid w:val="009F1F34"/>
    <w:rsid w:val="009F1F43"/>
    <w:rsid w:val="009F1F4F"/>
    <w:rsid w:val="009F1FB7"/>
    <w:rsid w:val="009F1FDC"/>
    <w:rsid w:val="009F1FF4"/>
    <w:rsid w:val="009F2021"/>
    <w:rsid w:val="009F202D"/>
    <w:rsid w:val="009F20B1"/>
    <w:rsid w:val="009F20EE"/>
    <w:rsid w:val="009F2132"/>
    <w:rsid w:val="009F2162"/>
    <w:rsid w:val="009F2163"/>
    <w:rsid w:val="009F216E"/>
    <w:rsid w:val="009F21E1"/>
    <w:rsid w:val="009F2227"/>
    <w:rsid w:val="009F2369"/>
    <w:rsid w:val="009F239B"/>
    <w:rsid w:val="009F2421"/>
    <w:rsid w:val="009F2472"/>
    <w:rsid w:val="009F2494"/>
    <w:rsid w:val="009F249E"/>
    <w:rsid w:val="009F249F"/>
    <w:rsid w:val="009F24BB"/>
    <w:rsid w:val="009F24D5"/>
    <w:rsid w:val="009F24FE"/>
    <w:rsid w:val="009F250B"/>
    <w:rsid w:val="009F251B"/>
    <w:rsid w:val="009F251D"/>
    <w:rsid w:val="009F2540"/>
    <w:rsid w:val="009F2564"/>
    <w:rsid w:val="009F2590"/>
    <w:rsid w:val="009F25A3"/>
    <w:rsid w:val="009F25EE"/>
    <w:rsid w:val="009F25F6"/>
    <w:rsid w:val="009F2613"/>
    <w:rsid w:val="009F26D3"/>
    <w:rsid w:val="009F273B"/>
    <w:rsid w:val="009F27AB"/>
    <w:rsid w:val="009F2814"/>
    <w:rsid w:val="009F2849"/>
    <w:rsid w:val="009F284C"/>
    <w:rsid w:val="009F28D9"/>
    <w:rsid w:val="009F29BE"/>
    <w:rsid w:val="009F29CA"/>
    <w:rsid w:val="009F2A1E"/>
    <w:rsid w:val="009F2A2E"/>
    <w:rsid w:val="009F2A33"/>
    <w:rsid w:val="009F2A5D"/>
    <w:rsid w:val="009F2A9B"/>
    <w:rsid w:val="009F2AE6"/>
    <w:rsid w:val="009F2AF8"/>
    <w:rsid w:val="009F2B2E"/>
    <w:rsid w:val="009F2B47"/>
    <w:rsid w:val="009F2B4D"/>
    <w:rsid w:val="009F2BBE"/>
    <w:rsid w:val="009F2BFD"/>
    <w:rsid w:val="009F2D83"/>
    <w:rsid w:val="009F2DEC"/>
    <w:rsid w:val="009F2E04"/>
    <w:rsid w:val="009F2F48"/>
    <w:rsid w:val="009F2F5C"/>
    <w:rsid w:val="009F3056"/>
    <w:rsid w:val="009F3115"/>
    <w:rsid w:val="009F3145"/>
    <w:rsid w:val="009F3149"/>
    <w:rsid w:val="009F3156"/>
    <w:rsid w:val="009F31D2"/>
    <w:rsid w:val="009F31E6"/>
    <w:rsid w:val="009F324E"/>
    <w:rsid w:val="009F33BD"/>
    <w:rsid w:val="009F33D9"/>
    <w:rsid w:val="009F3425"/>
    <w:rsid w:val="009F342F"/>
    <w:rsid w:val="009F347B"/>
    <w:rsid w:val="009F34C2"/>
    <w:rsid w:val="009F34CE"/>
    <w:rsid w:val="009F3515"/>
    <w:rsid w:val="009F3519"/>
    <w:rsid w:val="009F35CC"/>
    <w:rsid w:val="009F360B"/>
    <w:rsid w:val="009F3673"/>
    <w:rsid w:val="009F36B2"/>
    <w:rsid w:val="009F36D4"/>
    <w:rsid w:val="009F3702"/>
    <w:rsid w:val="009F374F"/>
    <w:rsid w:val="009F376A"/>
    <w:rsid w:val="009F37A2"/>
    <w:rsid w:val="009F37CB"/>
    <w:rsid w:val="009F3879"/>
    <w:rsid w:val="009F3880"/>
    <w:rsid w:val="009F3922"/>
    <w:rsid w:val="009F392A"/>
    <w:rsid w:val="009F393A"/>
    <w:rsid w:val="009F39F9"/>
    <w:rsid w:val="009F3A20"/>
    <w:rsid w:val="009F3A36"/>
    <w:rsid w:val="009F3A38"/>
    <w:rsid w:val="009F3AAD"/>
    <w:rsid w:val="009F3ACD"/>
    <w:rsid w:val="009F3BC6"/>
    <w:rsid w:val="009F3C42"/>
    <w:rsid w:val="009F3C7D"/>
    <w:rsid w:val="009F3C8B"/>
    <w:rsid w:val="009F3CB6"/>
    <w:rsid w:val="009F3CC5"/>
    <w:rsid w:val="009F3D09"/>
    <w:rsid w:val="009F3D3D"/>
    <w:rsid w:val="009F3D4A"/>
    <w:rsid w:val="009F3D93"/>
    <w:rsid w:val="009F3DB6"/>
    <w:rsid w:val="009F3DB8"/>
    <w:rsid w:val="009F3DD3"/>
    <w:rsid w:val="009F3E04"/>
    <w:rsid w:val="009F3E74"/>
    <w:rsid w:val="009F3E86"/>
    <w:rsid w:val="009F3EA2"/>
    <w:rsid w:val="009F3EB5"/>
    <w:rsid w:val="009F3EFA"/>
    <w:rsid w:val="009F3F68"/>
    <w:rsid w:val="009F4013"/>
    <w:rsid w:val="009F407B"/>
    <w:rsid w:val="009F40F9"/>
    <w:rsid w:val="009F4136"/>
    <w:rsid w:val="009F41CD"/>
    <w:rsid w:val="009F41DC"/>
    <w:rsid w:val="009F425D"/>
    <w:rsid w:val="009F42C6"/>
    <w:rsid w:val="009F42DC"/>
    <w:rsid w:val="009F4304"/>
    <w:rsid w:val="009F430C"/>
    <w:rsid w:val="009F430F"/>
    <w:rsid w:val="009F4325"/>
    <w:rsid w:val="009F43B5"/>
    <w:rsid w:val="009F4491"/>
    <w:rsid w:val="009F44AC"/>
    <w:rsid w:val="009F450D"/>
    <w:rsid w:val="009F4511"/>
    <w:rsid w:val="009F4512"/>
    <w:rsid w:val="009F4550"/>
    <w:rsid w:val="009F4563"/>
    <w:rsid w:val="009F4598"/>
    <w:rsid w:val="009F45BE"/>
    <w:rsid w:val="009F45EF"/>
    <w:rsid w:val="009F460E"/>
    <w:rsid w:val="009F4663"/>
    <w:rsid w:val="009F46A5"/>
    <w:rsid w:val="009F472D"/>
    <w:rsid w:val="009F4865"/>
    <w:rsid w:val="009F4966"/>
    <w:rsid w:val="009F49A2"/>
    <w:rsid w:val="009F49D4"/>
    <w:rsid w:val="009F49E5"/>
    <w:rsid w:val="009F4A09"/>
    <w:rsid w:val="009F4A0A"/>
    <w:rsid w:val="009F4A20"/>
    <w:rsid w:val="009F4A2B"/>
    <w:rsid w:val="009F4A3C"/>
    <w:rsid w:val="009F4A51"/>
    <w:rsid w:val="009F4A79"/>
    <w:rsid w:val="009F4A9A"/>
    <w:rsid w:val="009F4AB8"/>
    <w:rsid w:val="009F4BF4"/>
    <w:rsid w:val="009F4C19"/>
    <w:rsid w:val="009F4CAF"/>
    <w:rsid w:val="009F4D01"/>
    <w:rsid w:val="009F4D62"/>
    <w:rsid w:val="009F4D9F"/>
    <w:rsid w:val="009F4DC8"/>
    <w:rsid w:val="009F4F5D"/>
    <w:rsid w:val="009F4FAE"/>
    <w:rsid w:val="009F4FED"/>
    <w:rsid w:val="009F505C"/>
    <w:rsid w:val="009F50A5"/>
    <w:rsid w:val="009F516A"/>
    <w:rsid w:val="009F51C2"/>
    <w:rsid w:val="009F51E3"/>
    <w:rsid w:val="009F51F0"/>
    <w:rsid w:val="009F5211"/>
    <w:rsid w:val="009F5296"/>
    <w:rsid w:val="009F5352"/>
    <w:rsid w:val="009F53B7"/>
    <w:rsid w:val="009F5431"/>
    <w:rsid w:val="009F544E"/>
    <w:rsid w:val="009F54A8"/>
    <w:rsid w:val="009F54E9"/>
    <w:rsid w:val="009F5500"/>
    <w:rsid w:val="009F5551"/>
    <w:rsid w:val="009F55E5"/>
    <w:rsid w:val="009F5679"/>
    <w:rsid w:val="009F56C7"/>
    <w:rsid w:val="009F56D7"/>
    <w:rsid w:val="009F56FA"/>
    <w:rsid w:val="009F573A"/>
    <w:rsid w:val="009F5743"/>
    <w:rsid w:val="009F5807"/>
    <w:rsid w:val="009F5815"/>
    <w:rsid w:val="009F581E"/>
    <w:rsid w:val="009F5828"/>
    <w:rsid w:val="009F58B3"/>
    <w:rsid w:val="009F58C5"/>
    <w:rsid w:val="009F58CE"/>
    <w:rsid w:val="009F59E1"/>
    <w:rsid w:val="009F5A8E"/>
    <w:rsid w:val="009F5B0C"/>
    <w:rsid w:val="009F5B50"/>
    <w:rsid w:val="009F5BB1"/>
    <w:rsid w:val="009F5BB9"/>
    <w:rsid w:val="009F5C32"/>
    <w:rsid w:val="009F5C7E"/>
    <w:rsid w:val="009F5CE0"/>
    <w:rsid w:val="009F5D91"/>
    <w:rsid w:val="009F5D9D"/>
    <w:rsid w:val="009F5DF8"/>
    <w:rsid w:val="009F5E07"/>
    <w:rsid w:val="009F5E7C"/>
    <w:rsid w:val="009F5E7E"/>
    <w:rsid w:val="009F5EC4"/>
    <w:rsid w:val="009F5F0B"/>
    <w:rsid w:val="009F60E2"/>
    <w:rsid w:val="009F6112"/>
    <w:rsid w:val="009F611E"/>
    <w:rsid w:val="009F6140"/>
    <w:rsid w:val="009F6153"/>
    <w:rsid w:val="009F615D"/>
    <w:rsid w:val="009F61EE"/>
    <w:rsid w:val="009F62BC"/>
    <w:rsid w:val="009F62E3"/>
    <w:rsid w:val="009F632A"/>
    <w:rsid w:val="009F636F"/>
    <w:rsid w:val="009F6393"/>
    <w:rsid w:val="009F63BB"/>
    <w:rsid w:val="009F6409"/>
    <w:rsid w:val="009F640B"/>
    <w:rsid w:val="009F6447"/>
    <w:rsid w:val="009F650E"/>
    <w:rsid w:val="009F6515"/>
    <w:rsid w:val="009F65BD"/>
    <w:rsid w:val="009F6647"/>
    <w:rsid w:val="009F6686"/>
    <w:rsid w:val="009F66C8"/>
    <w:rsid w:val="009F671B"/>
    <w:rsid w:val="009F679C"/>
    <w:rsid w:val="009F67F9"/>
    <w:rsid w:val="009F683F"/>
    <w:rsid w:val="009F6882"/>
    <w:rsid w:val="009F68D5"/>
    <w:rsid w:val="009F68EF"/>
    <w:rsid w:val="009F68F6"/>
    <w:rsid w:val="009F6922"/>
    <w:rsid w:val="009F6949"/>
    <w:rsid w:val="009F69F5"/>
    <w:rsid w:val="009F6A68"/>
    <w:rsid w:val="009F6AB0"/>
    <w:rsid w:val="009F6AD4"/>
    <w:rsid w:val="009F6AE9"/>
    <w:rsid w:val="009F6B59"/>
    <w:rsid w:val="009F6B8E"/>
    <w:rsid w:val="009F6BC0"/>
    <w:rsid w:val="009F6C3C"/>
    <w:rsid w:val="009F6CD0"/>
    <w:rsid w:val="009F6D01"/>
    <w:rsid w:val="009F6D03"/>
    <w:rsid w:val="009F6D56"/>
    <w:rsid w:val="009F6D70"/>
    <w:rsid w:val="009F6DE4"/>
    <w:rsid w:val="009F6EA2"/>
    <w:rsid w:val="009F6EB9"/>
    <w:rsid w:val="009F6F4F"/>
    <w:rsid w:val="009F6F55"/>
    <w:rsid w:val="009F6F57"/>
    <w:rsid w:val="009F6F9F"/>
    <w:rsid w:val="009F6FC2"/>
    <w:rsid w:val="009F702B"/>
    <w:rsid w:val="009F70E3"/>
    <w:rsid w:val="009F70F1"/>
    <w:rsid w:val="009F712C"/>
    <w:rsid w:val="009F7155"/>
    <w:rsid w:val="009F719C"/>
    <w:rsid w:val="009F71B3"/>
    <w:rsid w:val="009F71E3"/>
    <w:rsid w:val="009F71F3"/>
    <w:rsid w:val="009F726C"/>
    <w:rsid w:val="009F72B7"/>
    <w:rsid w:val="009F7355"/>
    <w:rsid w:val="009F7364"/>
    <w:rsid w:val="009F7406"/>
    <w:rsid w:val="009F7437"/>
    <w:rsid w:val="009F748A"/>
    <w:rsid w:val="009F7512"/>
    <w:rsid w:val="009F7538"/>
    <w:rsid w:val="009F758E"/>
    <w:rsid w:val="009F75D5"/>
    <w:rsid w:val="009F760A"/>
    <w:rsid w:val="009F7635"/>
    <w:rsid w:val="009F76C7"/>
    <w:rsid w:val="009F776D"/>
    <w:rsid w:val="009F7831"/>
    <w:rsid w:val="009F7837"/>
    <w:rsid w:val="009F7859"/>
    <w:rsid w:val="009F78A0"/>
    <w:rsid w:val="009F78E6"/>
    <w:rsid w:val="009F7908"/>
    <w:rsid w:val="009F7979"/>
    <w:rsid w:val="009F7996"/>
    <w:rsid w:val="009F79BE"/>
    <w:rsid w:val="009F79C0"/>
    <w:rsid w:val="009F79D1"/>
    <w:rsid w:val="009F7A28"/>
    <w:rsid w:val="009F7A6B"/>
    <w:rsid w:val="009F7AA3"/>
    <w:rsid w:val="009F7AE5"/>
    <w:rsid w:val="009F7B16"/>
    <w:rsid w:val="009F7B2E"/>
    <w:rsid w:val="009F7B78"/>
    <w:rsid w:val="009F7BC8"/>
    <w:rsid w:val="009F7BE5"/>
    <w:rsid w:val="009F7C21"/>
    <w:rsid w:val="009F7CB4"/>
    <w:rsid w:val="009F7CCC"/>
    <w:rsid w:val="009F7CD3"/>
    <w:rsid w:val="009F7D55"/>
    <w:rsid w:val="009F7D67"/>
    <w:rsid w:val="009F7D8A"/>
    <w:rsid w:val="009F7E56"/>
    <w:rsid w:val="009F7E7C"/>
    <w:rsid w:val="009F7EBF"/>
    <w:rsid w:val="009F7F16"/>
    <w:rsid w:val="009F7F20"/>
    <w:rsid w:val="009F7F4D"/>
    <w:rsid w:val="009F7FC1"/>
    <w:rsid w:val="00A000BA"/>
    <w:rsid w:val="00A000DC"/>
    <w:rsid w:val="00A000F2"/>
    <w:rsid w:val="00A00101"/>
    <w:rsid w:val="00A0018F"/>
    <w:rsid w:val="00A001B7"/>
    <w:rsid w:val="00A001E5"/>
    <w:rsid w:val="00A0025A"/>
    <w:rsid w:val="00A002C9"/>
    <w:rsid w:val="00A002CE"/>
    <w:rsid w:val="00A0031C"/>
    <w:rsid w:val="00A00358"/>
    <w:rsid w:val="00A0035B"/>
    <w:rsid w:val="00A003BC"/>
    <w:rsid w:val="00A003CA"/>
    <w:rsid w:val="00A004D6"/>
    <w:rsid w:val="00A0052D"/>
    <w:rsid w:val="00A00546"/>
    <w:rsid w:val="00A00565"/>
    <w:rsid w:val="00A00604"/>
    <w:rsid w:val="00A0064E"/>
    <w:rsid w:val="00A0072D"/>
    <w:rsid w:val="00A0079E"/>
    <w:rsid w:val="00A007A0"/>
    <w:rsid w:val="00A007AB"/>
    <w:rsid w:val="00A007BE"/>
    <w:rsid w:val="00A0080B"/>
    <w:rsid w:val="00A0081A"/>
    <w:rsid w:val="00A0084C"/>
    <w:rsid w:val="00A00900"/>
    <w:rsid w:val="00A0092D"/>
    <w:rsid w:val="00A00940"/>
    <w:rsid w:val="00A00950"/>
    <w:rsid w:val="00A00A18"/>
    <w:rsid w:val="00A00ABF"/>
    <w:rsid w:val="00A00B53"/>
    <w:rsid w:val="00A00BA7"/>
    <w:rsid w:val="00A00BB2"/>
    <w:rsid w:val="00A00BF9"/>
    <w:rsid w:val="00A00C1E"/>
    <w:rsid w:val="00A00C22"/>
    <w:rsid w:val="00A00C3B"/>
    <w:rsid w:val="00A00C94"/>
    <w:rsid w:val="00A00CBD"/>
    <w:rsid w:val="00A00D80"/>
    <w:rsid w:val="00A00D86"/>
    <w:rsid w:val="00A00D8F"/>
    <w:rsid w:val="00A00E09"/>
    <w:rsid w:val="00A00E0E"/>
    <w:rsid w:val="00A00E4D"/>
    <w:rsid w:val="00A00EB1"/>
    <w:rsid w:val="00A00F44"/>
    <w:rsid w:val="00A00FE8"/>
    <w:rsid w:val="00A00FFD"/>
    <w:rsid w:val="00A01006"/>
    <w:rsid w:val="00A01099"/>
    <w:rsid w:val="00A0109D"/>
    <w:rsid w:val="00A010C1"/>
    <w:rsid w:val="00A010C7"/>
    <w:rsid w:val="00A010E8"/>
    <w:rsid w:val="00A0118F"/>
    <w:rsid w:val="00A01258"/>
    <w:rsid w:val="00A01262"/>
    <w:rsid w:val="00A012CB"/>
    <w:rsid w:val="00A01317"/>
    <w:rsid w:val="00A0132F"/>
    <w:rsid w:val="00A013D7"/>
    <w:rsid w:val="00A0141E"/>
    <w:rsid w:val="00A0142D"/>
    <w:rsid w:val="00A01469"/>
    <w:rsid w:val="00A01499"/>
    <w:rsid w:val="00A015D5"/>
    <w:rsid w:val="00A015DD"/>
    <w:rsid w:val="00A016DB"/>
    <w:rsid w:val="00A0171B"/>
    <w:rsid w:val="00A017B8"/>
    <w:rsid w:val="00A017E6"/>
    <w:rsid w:val="00A017ED"/>
    <w:rsid w:val="00A018C1"/>
    <w:rsid w:val="00A018CA"/>
    <w:rsid w:val="00A01966"/>
    <w:rsid w:val="00A019F4"/>
    <w:rsid w:val="00A01A80"/>
    <w:rsid w:val="00A01A94"/>
    <w:rsid w:val="00A01ABF"/>
    <w:rsid w:val="00A01ADA"/>
    <w:rsid w:val="00A01C9A"/>
    <w:rsid w:val="00A01C9D"/>
    <w:rsid w:val="00A01CAE"/>
    <w:rsid w:val="00A01CF8"/>
    <w:rsid w:val="00A01E8A"/>
    <w:rsid w:val="00A01E91"/>
    <w:rsid w:val="00A01E93"/>
    <w:rsid w:val="00A01EC2"/>
    <w:rsid w:val="00A01F3C"/>
    <w:rsid w:val="00A01F76"/>
    <w:rsid w:val="00A01F7A"/>
    <w:rsid w:val="00A01F83"/>
    <w:rsid w:val="00A01FA5"/>
    <w:rsid w:val="00A0204E"/>
    <w:rsid w:val="00A0207A"/>
    <w:rsid w:val="00A0208C"/>
    <w:rsid w:val="00A020BD"/>
    <w:rsid w:val="00A020EA"/>
    <w:rsid w:val="00A02194"/>
    <w:rsid w:val="00A02239"/>
    <w:rsid w:val="00A022CB"/>
    <w:rsid w:val="00A02363"/>
    <w:rsid w:val="00A023ED"/>
    <w:rsid w:val="00A0246A"/>
    <w:rsid w:val="00A0248C"/>
    <w:rsid w:val="00A02497"/>
    <w:rsid w:val="00A0253B"/>
    <w:rsid w:val="00A025D6"/>
    <w:rsid w:val="00A02657"/>
    <w:rsid w:val="00A026EF"/>
    <w:rsid w:val="00A0270D"/>
    <w:rsid w:val="00A02726"/>
    <w:rsid w:val="00A02737"/>
    <w:rsid w:val="00A0275A"/>
    <w:rsid w:val="00A02804"/>
    <w:rsid w:val="00A0283B"/>
    <w:rsid w:val="00A02912"/>
    <w:rsid w:val="00A02939"/>
    <w:rsid w:val="00A02961"/>
    <w:rsid w:val="00A02A1E"/>
    <w:rsid w:val="00A02AD2"/>
    <w:rsid w:val="00A02B10"/>
    <w:rsid w:val="00A02B1D"/>
    <w:rsid w:val="00A02B1E"/>
    <w:rsid w:val="00A02BB9"/>
    <w:rsid w:val="00A02BC7"/>
    <w:rsid w:val="00A02C8D"/>
    <w:rsid w:val="00A02C99"/>
    <w:rsid w:val="00A02CB5"/>
    <w:rsid w:val="00A02CCD"/>
    <w:rsid w:val="00A02CEA"/>
    <w:rsid w:val="00A02D61"/>
    <w:rsid w:val="00A02E38"/>
    <w:rsid w:val="00A02EDA"/>
    <w:rsid w:val="00A02EF2"/>
    <w:rsid w:val="00A02FAC"/>
    <w:rsid w:val="00A02FD4"/>
    <w:rsid w:val="00A03027"/>
    <w:rsid w:val="00A03038"/>
    <w:rsid w:val="00A03041"/>
    <w:rsid w:val="00A030B6"/>
    <w:rsid w:val="00A03185"/>
    <w:rsid w:val="00A031A1"/>
    <w:rsid w:val="00A031BD"/>
    <w:rsid w:val="00A031EA"/>
    <w:rsid w:val="00A031FD"/>
    <w:rsid w:val="00A0320D"/>
    <w:rsid w:val="00A032C7"/>
    <w:rsid w:val="00A03301"/>
    <w:rsid w:val="00A033A0"/>
    <w:rsid w:val="00A033E9"/>
    <w:rsid w:val="00A03428"/>
    <w:rsid w:val="00A03441"/>
    <w:rsid w:val="00A0346F"/>
    <w:rsid w:val="00A034BD"/>
    <w:rsid w:val="00A034DB"/>
    <w:rsid w:val="00A03511"/>
    <w:rsid w:val="00A03523"/>
    <w:rsid w:val="00A03569"/>
    <w:rsid w:val="00A035A3"/>
    <w:rsid w:val="00A035BB"/>
    <w:rsid w:val="00A035DE"/>
    <w:rsid w:val="00A035E9"/>
    <w:rsid w:val="00A0364F"/>
    <w:rsid w:val="00A0365E"/>
    <w:rsid w:val="00A03692"/>
    <w:rsid w:val="00A036A9"/>
    <w:rsid w:val="00A036BC"/>
    <w:rsid w:val="00A03705"/>
    <w:rsid w:val="00A03709"/>
    <w:rsid w:val="00A03798"/>
    <w:rsid w:val="00A03799"/>
    <w:rsid w:val="00A037C6"/>
    <w:rsid w:val="00A037D1"/>
    <w:rsid w:val="00A03817"/>
    <w:rsid w:val="00A03818"/>
    <w:rsid w:val="00A0384E"/>
    <w:rsid w:val="00A038E1"/>
    <w:rsid w:val="00A038E6"/>
    <w:rsid w:val="00A0391A"/>
    <w:rsid w:val="00A039BE"/>
    <w:rsid w:val="00A03A1B"/>
    <w:rsid w:val="00A03A89"/>
    <w:rsid w:val="00A03A8A"/>
    <w:rsid w:val="00A03AFF"/>
    <w:rsid w:val="00A03B53"/>
    <w:rsid w:val="00A03B68"/>
    <w:rsid w:val="00A03BA6"/>
    <w:rsid w:val="00A03BC9"/>
    <w:rsid w:val="00A03C93"/>
    <w:rsid w:val="00A03CBF"/>
    <w:rsid w:val="00A03CDB"/>
    <w:rsid w:val="00A03CE8"/>
    <w:rsid w:val="00A03D24"/>
    <w:rsid w:val="00A03D47"/>
    <w:rsid w:val="00A03DD2"/>
    <w:rsid w:val="00A03F30"/>
    <w:rsid w:val="00A0403B"/>
    <w:rsid w:val="00A0405F"/>
    <w:rsid w:val="00A04126"/>
    <w:rsid w:val="00A041FE"/>
    <w:rsid w:val="00A0427F"/>
    <w:rsid w:val="00A04304"/>
    <w:rsid w:val="00A0432D"/>
    <w:rsid w:val="00A04341"/>
    <w:rsid w:val="00A04343"/>
    <w:rsid w:val="00A0434F"/>
    <w:rsid w:val="00A04364"/>
    <w:rsid w:val="00A043AB"/>
    <w:rsid w:val="00A043D8"/>
    <w:rsid w:val="00A043E5"/>
    <w:rsid w:val="00A043F3"/>
    <w:rsid w:val="00A04412"/>
    <w:rsid w:val="00A04429"/>
    <w:rsid w:val="00A04494"/>
    <w:rsid w:val="00A044BE"/>
    <w:rsid w:val="00A044BF"/>
    <w:rsid w:val="00A044E9"/>
    <w:rsid w:val="00A044EA"/>
    <w:rsid w:val="00A044EB"/>
    <w:rsid w:val="00A04514"/>
    <w:rsid w:val="00A04557"/>
    <w:rsid w:val="00A04560"/>
    <w:rsid w:val="00A04568"/>
    <w:rsid w:val="00A045CD"/>
    <w:rsid w:val="00A045EF"/>
    <w:rsid w:val="00A0465D"/>
    <w:rsid w:val="00A046F2"/>
    <w:rsid w:val="00A0470D"/>
    <w:rsid w:val="00A0474A"/>
    <w:rsid w:val="00A0475D"/>
    <w:rsid w:val="00A0478C"/>
    <w:rsid w:val="00A04819"/>
    <w:rsid w:val="00A0486D"/>
    <w:rsid w:val="00A0488C"/>
    <w:rsid w:val="00A0488E"/>
    <w:rsid w:val="00A04892"/>
    <w:rsid w:val="00A048F0"/>
    <w:rsid w:val="00A04906"/>
    <w:rsid w:val="00A04927"/>
    <w:rsid w:val="00A0495F"/>
    <w:rsid w:val="00A0497F"/>
    <w:rsid w:val="00A04994"/>
    <w:rsid w:val="00A04997"/>
    <w:rsid w:val="00A049A8"/>
    <w:rsid w:val="00A049B8"/>
    <w:rsid w:val="00A049DA"/>
    <w:rsid w:val="00A049EF"/>
    <w:rsid w:val="00A049F6"/>
    <w:rsid w:val="00A04A22"/>
    <w:rsid w:val="00A04AA4"/>
    <w:rsid w:val="00A04ACE"/>
    <w:rsid w:val="00A04AF2"/>
    <w:rsid w:val="00A04B09"/>
    <w:rsid w:val="00A04B2C"/>
    <w:rsid w:val="00A04B36"/>
    <w:rsid w:val="00A04B38"/>
    <w:rsid w:val="00A04C21"/>
    <w:rsid w:val="00A04C43"/>
    <w:rsid w:val="00A04CD6"/>
    <w:rsid w:val="00A04D52"/>
    <w:rsid w:val="00A04DDB"/>
    <w:rsid w:val="00A04E48"/>
    <w:rsid w:val="00A04E8A"/>
    <w:rsid w:val="00A04EC6"/>
    <w:rsid w:val="00A04F04"/>
    <w:rsid w:val="00A04FBB"/>
    <w:rsid w:val="00A050A9"/>
    <w:rsid w:val="00A050BF"/>
    <w:rsid w:val="00A050C4"/>
    <w:rsid w:val="00A050E3"/>
    <w:rsid w:val="00A0512F"/>
    <w:rsid w:val="00A0516C"/>
    <w:rsid w:val="00A05181"/>
    <w:rsid w:val="00A051BA"/>
    <w:rsid w:val="00A05237"/>
    <w:rsid w:val="00A0523E"/>
    <w:rsid w:val="00A0528D"/>
    <w:rsid w:val="00A052BE"/>
    <w:rsid w:val="00A0544D"/>
    <w:rsid w:val="00A05488"/>
    <w:rsid w:val="00A054AA"/>
    <w:rsid w:val="00A054DC"/>
    <w:rsid w:val="00A054F4"/>
    <w:rsid w:val="00A055E0"/>
    <w:rsid w:val="00A05601"/>
    <w:rsid w:val="00A05625"/>
    <w:rsid w:val="00A05631"/>
    <w:rsid w:val="00A056C3"/>
    <w:rsid w:val="00A056DB"/>
    <w:rsid w:val="00A056EB"/>
    <w:rsid w:val="00A056FE"/>
    <w:rsid w:val="00A05720"/>
    <w:rsid w:val="00A0577D"/>
    <w:rsid w:val="00A05895"/>
    <w:rsid w:val="00A058BE"/>
    <w:rsid w:val="00A058DF"/>
    <w:rsid w:val="00A0597A"/>
    <w:rsid w:val="00A05A44"/>
    <w:rsid w:val="00A05A4B"/>
    <w:rsid w:val="00A05AC1"/>
    <w:rsid w:val="00A05B5F"/>
    <w:rsid w:val="00A05B61"/>
    <w:rsid w:val="00A05B92"/>
    <w:rsid w:val="00A05BDA"/>
    <w:rsid w:val="00A05C20"/>
    <w:rsid w:val="00A05C9E"/>
    <w:rsid w:val="00A05CCF"/>
    <w:rsid w:val="00A05DE9"/>
    <w:rsid w:val="00A05E4E"/>
    <w:rsid w:val="00A05E82"/>
    <w:rsid w:val="00A05E8D"/>
    <w:rsid w:val="00A05EE6"/>
    <w:rsid w:val="00A05EED"/>
    <w:rsid w:val="00A05F12"/>
    <w:rsid w:val="00A05F52"/>
    <w:rsid w:val="00A05F56"/>
    <w:rsid w:val="00A05F78"/>
    <w:rsid w:val="00A06139"/>
    <w:rsid w:val="00A0615E"/>
    <w:rsid w:val="00A061C6"/>
    <w:rsid w:val="00A0624F"/>
    <w:rsid w:val="00A06271"/>
    <w:rsid w:val="00A06290"/>
    <w:rsid w:val="00A06291"/>
    <w:rsid w:val="00A062C0"/>
    <w:rsid w:val="00A06388"/>
    <w:rsid w:val="00A0639F"/>
    <w:rsid w:val="00A063B2"/>
    <w:rsid w:val="00A06421"/>
    <w:rsid w:val="00A064B9"/>
    <w:rsid w:val="00A06575"/>
    <w:rsid w:val="00A065F2"/>
    <w:rsid w:val="00A06632"/>
    <w:rsid w:val="00A06688"/>
    <w:rsid w:val="00A066FB"/>
    <w:rsid w:val="00A06752"/>
    <w:rsid w:val="00A06779"/>
    <w:rsid w:val="00A06788"/>
    <w:rsid w:val="00A067A3"/>
    <w:rsid w:val="00A06830"/>
    <w:rsid w:val="00A06843"/>
    <w:rsid w:val="00A068BC"/>
    <w:rsid w:val="00A068E0"/>
    <w:rsid w:val="00A068ED"/>
    <w:rsid w:val="00A068EF"/>
    <w:rsid w:val="00A068F1"/>
    <w:rsid w:val="00A06991"/>
    <w:rsid w:val="00A069D2"/>
    <w:rsid w:val="00A069F2"/>
    <w:rsid w:val="00A06A09"/>
    <w:rsid w:val="00A06A62"/>
    <w:rsid w:val="00A06AB5"/>
    <w:rsid w:val="00A06AB6"/>
    <w:rsid w:val="00A06B32"/>
    <w:rsid w:val="00A06B44"/>
    <w:rsid w:val="00A06B4F"/>
    <w:rsid w:val="00A06B53"/>
    <w:rsid w:val="00A06BD7"/>
    <w:rsid w:val="00A06BF8"/>
    <w:rsid w:val="00A06C2E"/>
    <w:rsid w:val="00A06C74"/>
    <w:rsid w:val="00A06D40"/>
    <w:rsid w:val="00A06D72"/>
    <w:rsid w:val="00A06D95"/>
    <w:rsid w:val="00A06DBD"/>
    <w:rsid w:val="00A06DBE"/>
    <w:rsid w:val="00A06E1A"/>
    <w:rsid w:val="00A06E1F"/>
    <w:rsid w:val="00A06E71"/>
    <w:rsid w:val="00A06EC9"/>
    <w:rsid w:val="00A06F1F"/>
    <w:rsid w:val="00A06F45"/>
    <w:rsid w:val="00A06F4D"/>
    <w:rsid w:val="00A06F57"/>
    <w:rsid w:val="00A06F69"/>
    <w:rsid w:val="00A06F98"/>
    <w:rsid w:val="00A0703A"/>
    <w:rsid w:val="00A0703F"/>
    <w:rsid w:val="00A070D0"/>
    <w:rsid w:val="00A07216"/>
    <w:rsid w:val="00A0722A"/>
    <w:rsid w:val="00A07257"/>
    <w:rsid w:val="00A07288"/>
    <w:rsid w:val="00A072BA"/>
    <w:rsid w:val="00A072CF"/>
    <w:rsid w:val="00A072E6"/>
    <w:rsid w:val="00A07324"/>
    <w:rsid w:val="00A0733E"/>
    <w:rsid w:val="00A07355"/>
    <w:rsid w:val="00A073A0"/>
    <w:rsid w:val="00A073BB"/>
    <w:rsid w:val="00A073E9"/>
    <w:rsid w:val="00A07402"/>
    <w:rsid w:val="00A0742F"/>
    <w:rsid w:val="00A0743E"/>
    <w:rsid w:val="00A07443"/>
    <w:rsid w:val="00A074AD"/>
    <w:rsid w:val="00A074E3"/>
    <w:rsid w:val="00A074F6"/>
    <w:rsid w:val="00A0753B"/>
    <w:rsid w:val="00A07564"/>
    <w:rsid w:val="00A0756D"/>
    <w:rsid w:val="00A0758F"/>
    <w:rsid w:val="00A075A0"/>
    <w:rsid w:val="00A075CD"/>
    <w:rsid w:val="00A075ED"/>
    <w:rsid w:val="00A07674"/>
    <w:rsid w:val="00A076C9"/>
    <w:rsid w:val="00A076CF"/>
    <w:rsid w:val="00A076E7"/>
    <w:rsid w:val="00A076F4"/>
    <w:rsid w:val="00A0770C"/>
    <w:rsid w:val="00A07742"/>
    <w:rsid w:val="00A07753"/>
    <w:rsid w:val="00A07783"/>
    <w:rsid w:val="00A077A2"/>
    <w:rsid w:val="00A077A7"/>
    <w:rsid w:val="00A077AE"/>
    <w:rsid w:val="00A077DC"/>
    <w:rsid w:val="00A07820"/>
    <w:rsid w:val="00A07858"/>
    <w:rsid w:val="00A078AD"/>
    <w:rsid w:val="00A07999"/>
    <w:rsid w:val="00A07A5F"/>
    <w:rsid w:val="00A07A7C"/>
    <w:rsid w:val="00A07B33"/>
    <w:rsid w:val="00A07BDA"/>
    <w:rsid w:val="00A07BF9"/>
    <w:rsid w:val="00A07C1F"/>
    <w:rsid w:val="00A07C95"/>
    <w:rsid w:val="00A07CE2"/>
    <w:rsid w:val="00A07D2B"/>
    <w:rsid w:val="00A07D4F"/>
    <w:rsid w:val="00A07D5F"/>
    <w:rsid w:val="00A07D61"/>
    <w:rsid w:val="00A07D7A"/>
    <w:rsid w:val="00A07DC5"/>
    <w:rsid w:val="00A07DD6"/>
    <w:rsid w:val="00A07E66"/>
    <w:rsid w:val="00A07EB3"/>
    <w:rsid w:val="00A07EEC"/>
    <w:rsid w:val="00A07F26"/>
    <w:rsid w:val="00A07FDE"/>
    <w:rsid w:val="00A07FF1"/>
    <w:rsid w:val="00A1005E"/>
    <w:rsid w:val="00A10156"/>
    <w:rsid w:val="00A1023E"/>
    <w:rsid w:val="00A10271"/>
    <w:rsid w:val="00A10283"/>
    <w:rsid w:val="00A10295"/>
    <w:rsid w:val="00A102AA"/>
    <w:rsid w:val="00A1031B"/>
    <w:rsid w:val="00A10368"/>
    <w:rsid w:val="00A10405"/>
    <w:rsid w:val="00A1043D"/>
    <w:rsid w:val="00A1047F"/>
    <w:rsid w:val="00A10481"/>
    <w:rsid w:val="00A1048C"/>
    <w:rsid w:val="00A10525"/>
    <w:rsid w:val="00A1055A"/>
    <w:rsid w:val="00A1058A"/>
    <w:rsid w:val="00A105B0"/>
    <w:rsid w:val="00A105B6"/>
    <w:rsid w:val="00A106D9"/>
    <w:rsid w:val="00A106FD"/>
    <w:rsid w:val="00A1077D"/>
    <w:rsid w:val="00A107AC"/>
    <w:rsid w:val="00A107C9"/>
    <w:rsid w:val="00A107CB"/>
    <w:rsid w:val="00A1086E"/>
    <w:rsid w:val="00A1088B"/>
    <w:rsid w:val="00A10898"/>
    <w:rsid w:val="00A108BA"/>
    <w:rsid w:val="00A108D7"/>
    <w:rsid w:val="00A1092B"/>
    <w:rsid w:val="00A10999"/>
    <w:rsid w:val="00A10B20"/>
    <w:rsid w:val="00A10B55"/>
    <w:rsid w:val="00A10B82"/>
    <w:rsid w:val="00A10B90"/>
    <w:rsid w:val="00A10BD3"/>
    <w:rsid w:val="00A10BF3"/>
    <w:rsid w:val="00A10C06"/>
    <w:rsid w:val="00A10C3A"/>
    <w:rsid w:val="00A10C3C"/>
    <w:rsid w:val="00A10D27"/>
    <w:rsid w:val="00A10D8F"/>
    <w:rsid w:val="00A10DDD"/>
    <w:rsid w:val="00A10DFC"/>
    <w:rsid w:val="00A10E5D"/>
    <w:rsid w:val="00A10E7D"/>
    <w:rsid w:val="00A10E7E"/>
    <w:rsid w:val="00A10EB3"/>
    <w:rsid w:val="00A10EDE"/>
    <w:rsid w:val="00A10F33"/>
    <w:rsid w:val="00A10F7E"/>
    <w:rsid w:val="00A1104A"/>
    <w:rsid w:val="00A1109E"/>
    <w:rsid w:val="00A110E1"/>
    <w:rsid w:val="00A110E9"/>
    <w:rsid w:val="00A11119"/>
    <w:rsid w:val="00A11126"/>
    <w:rsid w:val="00A1112E"/>
    <w:rsid w:val="00A11160"/>
    <w:rsid w:val="00A1116F"/>
    <w:rsid w:val="00A1124B"/>
    <w:rsid w:val="00A11284"/>
    <w:rsid w:val="00A112CA"/>
    <w:rsid w:val="00A112FA"/>
    <w:rsid w:val="00A1133B"/>
    <w:rsid w:val="00A11398"/>
    <w:rsid w:val="00A1142F"/>
    <w:rsid w:val="00A11446"/>
    <w:rsid w:val="00A114DE"/>
    <w:rsid w:val="00A11501"/>
    <w:rsid w:val="00A1150A"/>
    <w:rsid w:val="00A11534"/>
    <w:rsid w:val="00A1155F"/>
    <w:rsid w:val="00A115B1"/>
    <w:rsid w:val="00A11615"/>
    <w:rsid w:val="00A1161C"/>
    <w:rsid w:val="00A11624"/>
    <w:rsid w:val="00A116B2"/>
    <w:rsid w:val="00A116EF"/>
    <w:rsid w:val="00A11704"/>
    <w:rsid w:val="00A11717"/>
    <w:rsid w:val="00A11751"/>
    <w:rsid w:val="00A1176B"/>
    <w:rsid w:val="00A117C9"/>
    <w:rsid w:val="00A11841"/>
    <w:rsid w:val="00A1186F"/>
    <w:rsid w:val="00A11899"/>
    <w:rsid w:val="00A11955"/>
    <w:rsid w:val="00A119B0"/>
    <w:rsid w:val="00A11A11"/>
    <w:rsid w:val="00A11A23"/>
    <w:rsid w:val="00A11A33"/>
    <w:rsid w:val="00A11A78"/>
    <w:rsid w:val="00A11AC9"/>
    <w:rsid w:val="00A11BAE"/>
    <w:rsid w:val="00A11C0B"/>
    <w:rsid w:val="00A11C20"/>
    <w:rsid w:val="00A11C24"/>
    <w:rsid w:val="00A11C67"/>
    <w:rsid w:val="00A11CC2"/>
    <w:rsid w:val="00A11D18"/>
    <w:rsid w:val="00A11D1C"/>
    <w:rsid w:val="00A11D52"/>
    <w:rsid w:val="00A11D57"/>
    <w:rsid w:val="00A11D67"/>
    <w:rsid w:val="00A11DBD"/>
    <w:rsid w:val="00A11E0B"/>
    <w:rsid w:val="00A11E3A"/>
    <w:rsid w:val="00A11E71"/>
    <w:rsid w:val="00A11EB3"/>
    <w:rsid w:val="00A11F09"/>
    <w:rsid w:val="00A11F1A"/>
    <w:rsid w:val="00A11F1F"/>
    <w:rsid w:val="00A11F95"/>
    <w:rsid w:val="00A11FA9"/>
    <w:rsid w:val="00A11FE7"/>
    <w:rsid w:val="00A1200C"/>
    <w:rsid w:val="00A120C9"/>
    <w:rsid w:val="00A120F6"/>
    <w:rsid w:val="00A120F8"/>
    <w:rsid w:val="00A121D7"/>
    <w:rsid w:val="00A121DC"/>
    <w:rsid w:val="00A121F4"/>
    <w:rsid w:val="00A121F7"/>
    <w:rsid w:val="00A1224B"/>
    <w:rsid w:val="00A1229C"/>
    <w:rsid w:val="00A122B3"/>
    <w:rsid w:val="00A122CC"/>
    <w:rsid w:val="00A12405"/>
    <w:rsid w:val="00A1243A"/>
    <w:rsid w:val="00A1250E"/>
    <w:rsid w:val="00A12535"/>
    <w:rsid w:val="00A1254C"/>
    <w:rsid w:val="00A125BC"/>
    <w:rsid w:val="00A125DF"/>
    <w:rsid w:val="00A1260D"/>
    <w:rsid w:val="00A12669"/>
    <w:rsid w:val="00A1272A"/>
    <w:rsid w:val="00A12779"/>
    <w:rsid w:val="00A127E4"/>
    <w:rsid w:val="00A127EA"/>
    <w:rsid w:val="00A1280E"/>
    <w:rsid w:val="00A12811"/>
    <w:rsid w:val="00A128A9"/>
    <w:rsid w:val="00A128EB"/>
    <w:rsid w:val="00A128FB"/>
    <w:rsid w:val="00A12926"/>
    <w:rsid w:val="00A1295C"/>
    <w:rsid w:val="00A12980"/>
    <w:rsid w:val="00A129CD"/>
    <w:rsid w:val="00A12A12"/>
    <w:rsid w:val="00A12A3A"/>
    <w:rsid w:val="00A12A3E"/>
    <w:rsid w:val="00A12A5C"/>
    <w:rsid w:val="00A12AA9"/>
    <w:rsid w:val="00A12AB4"/>
    <w:rsid w:val="00A12B37"/>
    <w:rsid w:val="00A12B5D"/>
    <w:rsid w:val="00A12BB5"/>
    <w:rsid w:val="00A12C53"/>
    <w:rsid w:val="00A12D55"/>
    <w:rsid w:val="00A12D84"/>
    <w:rsid w:val="00A12DD5"/>
    <w:rsid w:val="00A12E14"/>
    <w:rsid w:val="00A12E3E"/>
    <w:rsid w:val="00A12E7E"/>
    <w:rsid w:val="00A12F65"/>
    <w:rsid w:val="00A12F9A"/>
    <w:rsid w:val="00A13085"/>
    <w:rsid w:val="00A1308C"/>
    <w:rsid w:val="00A130A6"/>
    <w:rsid w:val="00A131A9"/>
    <w:rsid w:val="00A131C1"/>
    <w:rsid w:val="00A131DA"/>
    <w:rsid w:val="00A13254"/>
    <w:rsid w:val="00A132ED"/>
    <w:rsid w:val="00A132EE"/>
    <w:rsid w:val="00A132F0"/>
    <w:rsid w:val="00A13325"/>
    <w:rsid w:val="00A1333C"/>
    <w:rsid w:val="00A13351"/>
    <w:rsid w:val="00A13377"/>
    <w:rsid w:val="00A1339C"/>
    <w:rsid w:val="00A133E3"/>
    <w:rsid w:val="00A133F0"/>
    <w:rsid w:val="00A1340C"/>
    <w:rsid w:val="00A1348F"/>
    <w:rsid w:val="00A13490"/>
    <w:rsid w:val="00A134B1"/>
    <w:rsid w:val="00A135A7"/>
    <w:rsid w:val="00A135BD"/>
    <w:rsid w:val="00A135D9"/>
    <w:rsid w:val="00A135DB"/>
    <w:rsid w:val="00A13646"/>
    <w:rsid w:val="00A13668"/>
    <w:rsid w:val="00A136EE"/>
    <w:rsid w:val="00A13850"/>
    <w:rsid w:val="00A138FC"/>
    <w:rsid w:val="00A13903"/>
    <w:rsid w:val="00A1392A"/>
    <w:rsid w:val="00A13949"/>
    <w:rsid w:val="00A13994"/>
    <w:rsid w:val="00A13B2F"/>
    <w:rsid w:val="00A13B41"/>
    <w:rsid w:val="00A13B6E"/>
    <w:rsid w:val="00A13B7C"/>
    <w:rsid w:val="00A13B95"/>
    <w:rsid w:val="00A13C48"/>
    <w:rsid w:val="00A13C69"/>
    <w:rsid w:val="00A13CAA"/>
    <w:rsid w:val="00A13CDE"/>
    <w:rsid w:val="00A13D19"/>
    <w:rsid w:val="00A13D57"/>
    <w:rsid w:val="00A13D68"/>
    <w:rsid w:val="00A13D73"/>
    <w:rsid w:val="00A13E0D"/>
    <w:rsid w:val="00A13E63"/>
    <w:rsid w:val="00A13EB5"/>
    <w:rsid w:val="00A13EFC"/>
    <w:rsid w:val="00A13F46"/>
    <w:rsid w:val="00A13F77"/>
    <w:rsid w:val="00A13FD7"/>
    <w:rsid w:val="00A14002"/>
    <w:rsid w:val="00A14004"/>
    <w:rsid w:val="00A1406B"/>
    <w:rsid w:val="00A140B1"/>
    <w:rsid w:val="00A140C0"/>
    <w:rsid w:val="00A140E7"/>
    <w:rsid w:val="00A14104"/>
    <w:rsid w:val="00A14175"/>
    <w:rsid w:val="00A1418B"/>
    <w:rsid w:val="00A141B6"/>
    <w:rsid w:val="00A141E2"/>
    <w:rsid w:val="00A14207"/>
    <w:rsid w:val="00A14221"/>
    <w:rsid w:val="00A14225"/>
    <w:rsid w:val="00A1425E"/>
    <w:rsid w:val="00A14263"/>
    <w:rsid w:val="00A142BF"/>
    <w:rsid w:val="00A142CC"/>
    <w:rsid w:val="00A1430F"/>
    <w:rsid w:val="00A1439D"/>
    <w:rsid w:val="00A14409"/>
    <w:rsid w:val="00A1440F"/>
    <w:rsid w:val="00A1445E"/>
    <w:rsid w:val="00A144C9"/>
    <w:rsid w:val="00A14592"/>
    <w:rsid w:val="00A145E6"/>
    <w:rsid w:val="00A14603"/>
    <w:rsid w:val="00A1463B"/>
    <w:rsid w:val="00A14689"/>
    <w:rsid w:val="00A146BD"/>
    <w:rsid w:val="00A146DC"/>
    <w:rsid w:val="00A1473B"/>
    <w:rsid w:val="00A14774"/>
    <w:rsid w:val="00A14776"/>
    <w:rsid w:val="00A14813"/>
    <w:rsid w:val="00A1483E"/>
    <w:rsid w:val="00A1484A"/>
    <w:rsid w:val="00A14854"/>
    <w:rsid w:val="00A14875"/>
    <w:rsid w:val="00A148E9"/>
    <w:rsid w:val="00A14A0C"/>
    <w:rsid w:val="00A14A97"/>
    <w:rsid w:val="00A14B2E"/>
    <w:rsid w:val="00A14B5F"/>
    <w:rsid w:val="00A14B93"/>
    <w:rsid w:val="00A14BE4"/>
    <w:rsid w:val="00A14BFC"/>
    <w:rsid w:val="00A14C3B"/>
    <w:rsid w:val="00A14C52"/>
    <w:rsid w:val="00A14C73"/>
    <w:rsid w:val="00A14CB9"/>
    <w:rsid w:val="00A14DBE"/>
    <w:rsid w:val="00A14E3B"/>
    <w:rsid w:val="00A14EBE"/>
    <w:rsid w:val="00A14ED8"/>
    <w:rsid w:val="00A14F4B"/>
    <w:rsid w:val="00A14F59"/>
    <w:rsid w:val="00A14F81"/>
    <w:rsid w:val="00A14FDA"/>
    <w:rsid w:val="00A14FF3"/>
    <w:rsid w:val="00A150AA"/>
    <w:rsid w:val="00A150D4"/>
    <w:rsid w:val="00A150ED"/>
    <w:rsid w:val="00A15141"/>
    <w:rsid w:val="00A15199"/>
    <w:rsid w:val="00A151CA"/>
    <w:rsid w:val="00A151F5"/>
    <w:rsid w:val="00A15270"/>
    <w:rsid w:val="00A153A3"/>
    <w:rsid w:val="00A153F6"/>
    <w:rsid w:val="00A15465"/>
    <w:rsid w:val="00A1547A"/>
    <w:rsid w:val="00A1547B"/>
    <w:rsid w:val="00A154AE"/>
    <w:rsid w:val="00A1557B"/>
    <w:rsid w:val="00A15626"/>
    <w:rsid w:val="00A15658"/>
    <w:rsid w:val="00A1566F"/>
    <w:rsid w:val="00A156F6"/>
    <w:rsid w:val="00A156F9"/>
    <w:rsid w:val="00A156FF"/>
    <w:rsid w:val="00A15714"/>
    <w:rsid w:val="00A15726"/>
    <w:rsid w:val="00A1576A"/>
    <w:rsid w:val="00A157BD"/>
    <w:rsid w:val="00A157D2"/>
    <w:rsid w:val="00A15814"/>
    <w:rsid w:val="00A15862"/>
    <w:rsid w:val="00A15870"/>
    <w:rsid w:val="00A158BA"/>
    <w:rsid w:val="00A1590E"/>
    <w:rsid w:val="00A15924"/>
    <w:rsid w:val="00A1594C"/>
    <w:rsid w:val="00A159E7"/>
    <w:rsid w:val="00A15A22"/>
    <w:rsid w:val="00A15A8D"/>
    <w:rsid w:val="00A15AC4"/>
    <w:rsid w:val="00A15B09"/>
    <w:rsid w:val="00A15B30"/>
    <w:rsid w:val="00A15C2E"/>
    <w:rsid w:val="00A15C81"/>
    <w:rsid w:val="00A15CAB"/>
    <w:rsid w:val="00A15D19"/>
    <w:rsid w:val="00A15D95"/>
    <w:rsid w:val="00A15D96"/>
    <w:rsid w:val="00A15DF0"/>
    <w:rsid w:val="00A15E40"/>
    <w:rsid w:val="00A15EC4"/>
    <w:rsid w:val="00A15EE7"/>
    <w:rsid w:val="00A15F1B"/>
    <w:rsid w:val="00A15F32"/>
    <w:rsid w:val="00A15F61"/>
    <w:rsid w:val="00A15F6D"/>
    <w:rsid w:val="00A15FE8"/>
    <w:rsid w:val="00A15FE9"/>
    <w:rsid w:val="00A16042"/>
    <w:rsid w:val="00A16061"/>
    <w:rsid w:val="00A160A4"/>
    <w:rsid w:val="00A16103"/>
    <w:rsid w:val="00A16189"/>
    <w:rsid w:val="00A161D4"/>
    <w:rsid w:val="00A16275"/>
    <w:rsid w:val="00A16325"/>
    <w:rsid w:val="00A163B1"/>
    <w:rsid w:val="00A163C3"/>
    <w:rsid w:val="00A163DC"/>
    <w:rsid w:val="00A163EE"/>
    <w:rsid w:val="00A163FC"/>
    <w:rsid w:val="00A16425"/>
    <w:rsid w:val="00A16441"/>
    <w:rsid w:val="00A16454"/>
    <w:rsid w:val="00A1646E"/>
    <w:rsid w:val="00A164BB"/>
    <w:rsid w:val="00A164CA"/>
    <w:rsid w:val="00A164E7"/>
    <w:rsid w:val="00A164F7"/>
    <w:rsid w:val="00A1652B"/>
    <w:rsid w:val="00A16564"/>
    <w:rsid w:val="00A165FC"/>
    <w:rsid w:val="00A1663C"/>
    <w:rsid w:val="00A16668"/>
    <w:rsid w:val="00A16684"/>
    <w:rsid w:val="00A166C6"/>
    <w:rsid w:val="00A16701"/>
    <w:rsid w:val="00A1670A"/>
    <w:rsid w:val="00A1675F"/>
    <w:rsid w:val="00A167C0"/>
    <w:rsid w:val="00A16800"/>
    <w:rsid w:val="00A1693D"/>
    <w:rsid w:val="00A16956"/>
    <w:rsid w:val="00A16A3C"/>
    <w:rsid w:val="00A16AB5"/>
    <w:rsid w:val="00A16B2C"/>
    <w:rsid w:val="00A16B65"/>
    <w:rsid w:val="00A16BBD"/>
    <w:rsid w:val="00A16BEE"/>
    <w:rsid w:val="00A16C88"/>
    <w:rsid w:val="00A16DB7"/>
    <w:rsid w:val="00A16E72"/>
    <w:rsid w:val="00A16E94"/>
    <w:rsid w:val="00A16EFA"/>
    <w:rsid w:val="00A16F27"/>
    <w:rsid w:val="00A16F33"/>
    <w:rsid w:val="00A16F49"/>
    <w:rsid w:val="00A16F90"/>
    <w:rsid w:val="00A16FD8"/>
    <w:rsid w:val="00A1706C"/>
    <w:rsid w:val="00A170AD"/>
    <w:rsid w:val="00A170C8"/>
    <w:rsid w:val="00A17103"/>
    <w:rsid w:val="00A171AD"/>
    <w:rsid w:val="00A17205"/>
    <w:rsid w:val="00A1720A"/>
    <w:rsid w:val="00A1720D"/>
    <w:rsid w:val="00A172DE"/>
    <w:rsid w:val="00A1730E"/>
    <w:rsid w:val="00A17343"/>
    <w:rsid w:val="00A1734A"/>
    <w:rsid w:val="00A173BC"/>
    <w:rsid w:val="00A173EA"/>
    <w:rsid w:val="00A1740F"/>
    <w:rsid w:val="00A174A8"/>
    <w:rsid w:val="00A17578"/>
    <w:rsid w:val="00A175A9"/>
    <w:rsid w:val="00A1760B"/>
    <w:rsid w:val="00A1760C"/>
    <w:rsid w:val="00A1764E"/>
    <w:rsid w:val="00A17682"/>
    <w:rsid w:val="00A176EC"/>
    <w:rsid w:val="00A17716"/>
    <w:rsid w:val="00A1775C"/>
    <w:rsid w:val="00A1779E"/>
    <w:rsid w:val="00A17817"/>
    <w:rsid w:val="00A1781C"/>
    <w:rsid w:val="00A17848"/>
    <w:rsid w:val="00A17886"/>
    <w:rsid w:val="00A17892"/>
    <w:rsid w:val="00A178AB"/>
    <w:rsid w:val="00A178C3"/>
    <w:rsid w:val="00A17959"/>
    <w:rsid w:val="00A179D3"/>
    <w:rsid w:val="00A17A2B"/>
    <w:rsid w:val="00A17B0F"/>
    <w:rsid w:val="00A17B35"/>
    <w:rsid w:val="00A17B53"/>
    <w:rsid w:val="00A17B66"/>
    <w:rsid w:val="00A17C81"/>
    <w:rsid w:val="00A17D48"/>
    <w:rsid w:val="00A17D56"/>
    <w:rsid w:val="00A17D6D"/>
    <w:rsid w:val="00A17D6F"/>
    <w:rsid w:val="00A17D73"/>
    <w:rsid w:val="00A17DAE"/>
    <w:rsid w:val="00A17E33"/>
    <w:rsid w:val="00A17E6C"/>
    <w:rsid w:val="00A17EBE"/>
    <w:rsid w:val="00A17F49"/>
    <w:rsid w:val="00A17FB4"/>
    <w:rsid w:val="00A17FBA"/>
    <w:rsid w:val="00A20005"/>
    <w:rsid w:val="00A20082"/>
    <w:rsid w:val="00A200A9"/>
    <w:rsid w:val="00A200F0"/>
    <w:rsid w:val="00A20110"/>
    <w:rsid w:val="00A201AB"/>
    <w:rsid w:val="00A20207"/>
    <w:rsid w:val="00A20228"/>
    <w:rsid w:val="00A2022C"/>
    <w:rsid w:val="00A20282"/>
    <w:rsid w:val="00A20323"/>
    <w:rsid w:val="00A20326"/>
    <w:rsid w:val="00A2036B"/>
    <w:rsid w:val="00A20394"/>
    <w:rsid w:val="00A203B6"/>
    <w:rsid w:val="00A203DB"/>
    <w:rsid w:val="00A20441"/>
    <w:rsid w:val="00A2046D"/>
    <w:rsid w:val="00A204E4"/>
    <w:rsid w:val="00A204E5"/>
    <w:rsid w:val="00A204EE"/>
    <w:rsid w:val="00A204F0"/>
    <w:rsid w:val="00A20504"/>
    <w:rsid w:val="00A20517"/>
    <w:rsid w:val="00A2051E"/>
    <w:rsid w:val="00A20531"/>
    <w:rsid w:val="00A2056D"/>
    <w:rsid w:val="00A20572"/>
    <w:rsid w:val="00A20579"/>
    <w:rsid w:val="00A20585"/>
    <w:rsid w:val="00A205F8"/>
    <w:rsid w:val="00A20622"/>
    <w:rsid w:val="00A2069D"/>
    <w:rsid w:val="00A20704"/>
    <w:rsid w:val="00A20780"/>
    <w:rsid w:val="00A20809"/>
    <w:rsid w:val="00A20853"/>
    <w:rsid w:val="00A20880"/>
    <w:rsid w:val="00A208A9"/>
    <w:rsid w:val="00A209A0"/>
    <w:rsid w:val="00A209D2"/>
    <w:rsid w:val="00A20A1F"/>
    <w:rsid w:val="00A20A3F"/>
    <w:rsid w:val="00A20A5A"/>
    <w:rsid w:val="00A20A5C"/>
    <w:rsid w:val="00A20A6A"/>
    <w:rsid w:val="00A20A72"/>
    <w:rsid w:val="00A20A82"/>
    <w:rsid w:val="00A20A8F"/>
    <w:rsid w:val="00A20B0A"/>
    <w:rsid w:val="00A20B14"/>
    <w:rsid w:val="00A20BA4"/>
    <w:rsid w:val="00A20BAC"/>
    <w:rsid w:val="00A20BB0"/>
    <w:rsid w:val="00A20BD9"/>
    <w:rsid w:val="00A20C49"/>
    <w:rsid w:val="00A20C91"/>
    <w:rsid w:val="00A20CD4"/>
    <w:rsid w:val="00A20E7A"/>
    <w:rsid w:val="00A20E7C"/>
    <w:rsid w:val="00A20E97"/>
    <w:rsid w:val="00A20EE1"/>
    <w:rsid w:val="00A20F25"/>
    <w:rsid w:val="00A20FAB"/>
    <w:rsid w:val="00A21010"/>
    <w:rsid w:val="00A2102F"/>
    <w:rsid w:val="00A210FC"/>
    <w:rsid w:val="00A21131"/>
    <w:rsid w:val="00A21171"/>
    <w:rsid w:val="00A211A6"/>
    <w:rsid w:val="00A2120D"/>
    <w:rsid w:val="00A21246"/>
    <w:rsid w:val="00A2125E"/>
    <w:rsid w:val="00A2126D"/>
    <w:rsid w:val="00A212BA"/>
    <w:rsid w:val="00A212BB"/>
    <w:rsid w:val="00A21305"/>
    <w:rsid w:val="00A2131A"/>
    <w:rsid w:val="00A2131B"/>
    <w:rsid w:val="00A2135B"/>
    <w:rsid w:val="00A21369"/>
    <w:rsid w:val="00A213CC"/>
    <w:rsid w:val="00A21442"/>
    <w:rsid w:val="00A21465"/>
    <w:rsid w:val="00A214B2"/>
    <w:rsid w:val="00A214DE"/>
    <w:rsid w:val="00A214EF"/>
    <w:rsid w:val="00A2153F"/>
    <w:rsid w:val="00A21571"/>
    <w:rsid w:val="00A21588"/>
    <w:rsid w:val="00A215B7"/>
    <w:rsid w:val="00A215B9"/>
    <w:rsid w:val="00A215BA"/>
    <w:rsid w:val="00A216C2"/>
    <w:rsid w:val="00A21715"/>
    <w:rsid w:val="00A2175B"/>
    <w:rsid w:val="00A217A4"/>
    <w:rsid w:val="00A217B9"/>
    <w:rsid w:val="00A217C3"/>
    <w:rsid w:val="00A217E2"/>
    <w:rsid w:val="00A2180A"/>
    <w:rsid w:val="00A21823"/>
    <w:rsid w:val="00A218B7"/>
    <w:rsid w:val="00A218D4"/>
    <w:rsid w:val="00A2191B"/>
    <w:rsid w:val="00A21943"/>
    <w:rsid w:val="00A2194E"/>
    <w:rsid w:val="00A21992"/>
    <w:rsid w:val="00A219BB"/>
    <w:rsid w:val="00A219CD"/>
    <w:rsid w:val="00A219D0"/>
    <w:rsid w:val="00A21A11"/>
    <w:rsid w:val="00A21A1B"/>
    <w:rsid w:val="00A21A1F"/>
    <w:rsid w:val="00A21ACA"/>
    <w:rsid w:val="00A21B24"/>
    <w:rsid w:val="00A21B3A"/>
    <w:rsid w:val="00A21B80"/>
    <w:rsid w:val="00A21BE3"/>
    <w:rsid w:val="00A21C2F"/>
    <w:rsid w:val="00A21C99"/>
    <w:rsid w:val="00A21CA8"/>
    <w:rsid w:val="00A21CAC"/>
    <w:rsid w:val="00A21CC4"/>
    <w:rsid w:val="00A21CCC"/>
    <w:rsid w:val="00A21D4D"/>
    <w:rsid w:val="00A21D58"/>
    <w:rsid w:val="00A21D5C"/>
    <w:rsid w:val="00A21DE1"/>
    <w:rsid w:val="00A21E14"/>
    <w:rsid w:val="00A21E52"/>
    <w:rsid w:val="00A21EDD"/>
    <w:rsid w:val="00A21EE1"/>
    <w:rsid w:val="00A21EE4"/>
    <w:rsid w:val="00A21F6D"/>
    <w:rsid w:val="00A2202B"/>
    <w:rsid w:val="00A22035"/>
    <w:rsid w:val="00A22055"/>
    <w:rsid w:val="00A22068"/>
    <w:rsid w:val="00A22091"/>
    <w:rsid w:val="00A220C6"/>
    <w:rsid w:val="00A220D0"/>
    <w:rsid w:val="00A22117"/>
    <w:rsid w:val="00A22119"/>
    <w:rsid w:val="00A221B3"/>
    <w:rsid w:val="00A221CD"/>
    <w:rsid w:val="00A2228A"/>
    <w:rsid w:val="00A22294"/>
    <w:rsid w:val="00A222B9"/>
    <w:rsid w:val="00A222C4"/>
    <w:rsid w:val="00A22363"/>
    <w:rsid w:val="00A223F2"/>
    <w:rsid w:val="00A22482"/>
    <w:rsid w:val="00A22499"/>
    <w:rsid w:val="00A224C0"/>
    <w:rsid w:val="00A224F8"/>
    <w:rsid w:val="00A2250C"/>
    <w:rsid w:val="00A2253D"/>
    <w:rsid w:val="00A2256B"/>
    <w:rsid w:val="00A22580"/>
    <w:rsid w:val="00A2258F"/>
    <w:rsid w:val="00A225B5"/>
    <w:rsid w:val="00A22603"/>
    <w:rsid w:val="00A22614"/>
    <w:rsid w:val="00A22651"/>
    <w:rsid w:val="00A22768"/>
    <w:rsid w:val="00A227A4"/>
    <w:rsid w:val="00A227F9"/>
    <w:rsid w:val="00A22875"/>
    <w:rsid w:val="00A228D1"/>
    <w:rsid w:val="00A228D2"/>
    <w:rsid w:val="00A228F6"/>
    <w:rsid w:val="00A2293C"/>
    <w:rsid w:val="00A2293E"/>
    <w:rsid w:val="00A229BB"/>
    <w:rsid w:val="00A229C4"/>
    <w:rsid w:val="00A229D3"/>
    <w:rsid w:val="00A22A16"/>
    <w:rsid w:val="00A22AC0"/>
    <w:rsid w:val="00A22ADC"/>
    <w:rsid w:val="00A22B02"/>
    <w:rsid w:val="00A22B0C"/>
    <w:rsid w:val="00A22B27"/>
    <w:rsid w:val="00A22B61"/>
    <w:rsid w:val="00A22B6A"/>
    <w:rsid w:val="00A22BB7"/>
    <w:rsid w:val="00A22C42"/>
    <w:rsid w:val="00A22CAD"/>
    <w:rsid w:val="00A22CB7"/>
    <w:rsid w:val="00A22CDF"/>
    <w:rsid w:val="00A22CEE"/>
    <w:rsid w:val="00A22D15"/>
    <w:rsid w:val="00A22D2E"/>
    <w:rsid w:val="00A22D65"/>
    <w:rsid w:val="00A22D67"/>
    <w:rsid w:val="00A22D99"/>
    <w:rsid w:val="00A22DD1"/>
    <w:rsid w:val="00A22E26"/>
    <w:rsid w:val="00A22E89"/>
    <w:rsid w:val="00A22E95"/>
    <w:rsid w:val="00A22E9F"/>
    <w:rsid w:val="00A22F9E"/>
    <w:rsid w:val="00A22FCC"/>
    <w:rsid w:val="00A22FD8"/>
    <w:rsid w:val="00A22FF9"/>
    <w:rsid w:val="00A2302B"/>
    <w:rsid w:val="00A23035"/>
    <w:rsid w:val="00A23053"/>
    <w:rsid w:val="00A2308A"/>
    <w:rsid w:val="00A2312F"/>
    <w:rsid w:val="00A2314A"/>
    <w:rsid w:val="00A23156"/>
    <w:rsid w:val="00A2317D"/>
    <w:rsid w:val="00A2319B"/>
    <w:rsid w:val="00A231B0"/>
    <w:rsid w:val="00A23225"/>
    <w:rsid w:val="00A23257"/>
    <w:rsid w:val="00A2325C"/>
    <w:rsid w:val="00A2331A"/>
    <w:rsid w:val="00A23347"/>
    <w:rsid w:val="00A23351"/>
    <w:rsid w:val="00A23358"/>
    <w:rsid w:val="00A233AD"/>
    <w:rsid w:val="00A233C6"/>
    <w:rsid w:val="00A233DB"/>
    <w:rsid w:val="00A233F2"/>
    <w:rsid w:val="00A2343D"/>
    <w:rsid w:val="00A23456"/>
    <w:rsid w:val="00A2345C"/>
    <w:rsid w:val="00A23478"/>
    <w:rsid w:val="00A234C6"/>
    <w:rsid w:val="00A23519"/>
    <w:rsid w:val="00A23590"/>
    <w:rsid w:val="00A235B2"/>
    <w:rsid w:val="00A235F7"/>
    <w:rsid w:val="00A2363A"/>
    <w:rsid w:val="00A236DE"/>
    <w:rsid w:val="00A23760"/>
    <w:rsid w:val="00A23795"/>
    <w:rsid w:val="00A237B6"/>
    <w:rsid w:val="00A237C4"/>
    <w:rsid w:val="00A237E4"/>
    <w:rsid w:val="00A237F1"/>
    <w:rsid w:val="00A237F5"/>
    <w:rsid w:val="00A23814"/>
    <w:rsid w:val="00A2386D"/>
    <w:rsid w:val="00A238C9"/>
    <w:rsid w:val="00A23950"/>
    <w:rsid w:val="00A23962"/>
    <w:rsid w:val="00A239D2"/>
    <w:rsid w:val="00A239EF"/>
    <w:rsid w:val="00A23A64"/>
    <w:rsid w:val="00A23A66"/>
    <w:rsid w:val="00A23A98"/>
    <w:rsid w:val="00A23AC5"/>
    <w:rsid w:val="00A23AD6"/>
    <w:rsid w:val="00A23B03"/>
    <w:rsid w:val="00A23B23"/>
    <w:rsid w:val="00A23BC0"/>
    <w:rsid w:val="00A23BE4"/>
    <w:rsid w:val="00A23BF6"/>
    <w:rsid w:val="00A23C14"/>
    <w:rsid w:val="00A23C85"/>
    <w:rsid w:val="00A23CB3"/>
    <w:rsid w:val="00A23CBD"/>
    <w:rsid w:val="00A23CF2"/>
    <w:rsid w:val="00A23D1B"/>
    <w:rsid w:val="00A23D3B"/>
    <w:rsid w:val="00A23D46"/>
    <w:rsid w:val="00A23E12"/>
    <w:rsid w:val="00A23E56"/>
    <w:rsid w:val="00A23E5F"/>
    <w:rsid w:val="00A23EA9"/>
    <w:rsid w:val="00A23EC4"/>
    <w:rsid w:val="00A23EC5"/>
    <w:rsid w:val="00A23ED2"/>
    <w:rsid w:val="00A23F31"/>
    <w:rsid w:val="00A23F62"/>
    <w:rsid w:val="00A23F8C"/>
    <w:rsid w:val="00A23FCC"/>
    <w:rsid w:val="00A23FD3"/>
    <w:rsid w:val="00A23FE9"/>
    <w:rsid w:val="00A2404B"/>
    <w:rsid w:val="00A2404E"/>
    <w:rsid w:val="00A2405E"/>
    <w:rsid w:val="00A2407E"/>
    <w:rsid w:val="00A24099"/>
    <w:rsid w:val="00A240D5"/>
    <w:rsid w:val="00A2413B"/>
    <w:rsid w:val="00A24160"/>
    <w:rsid w:val="00A24186"/>
    <w:rsid w:val="00A2420A"/>
    <w:rsid w:val="00A24266"/>
    <w:rsid w:val="00A2428B"/>
    <w:rsid w:val="00A24296"/>
    <w:rsid w:val="00A2429D"/>
    <w:rsid w:val="00A242A3"/>
    <w:rsid w:val="00A242EC"/>
    <w:rsid w:val="00A2433B"/>
    <w:rsid w:val="00A244F7"/>
    <w:rsid w:val="00A24529"/>
    <w:rsid w:val="00A245A9"/>
    <w:rsid w:val="00A245BB"/>
    <w:rsid w:val="00A245D8"/>
    <w:rsid w:val="00A2466D"/>
    <w:rsid w:val="00A24694"/>
    <w:rsid w:val="00A2469E"/>
    <w:rsid w:val="00A246EF"/>
    <w:rsid w:val="00A247E8"/>
    <w:rsid w:val="00A248BE"/>
    <w:rsid w:val="00A248F5"/>
    <w:rsid w:val="00A24990"/>
    <w:rsid w:val="00A249AD"/>
    <w:rsid w:val="00A249D4"/>
    <w:rsid w:val="00A249DB"/>
    <w:rsid w:val="00A24A3D"/>
    <w:rsid w:val="00A24A56"/>
    <w:rsid w:val="00A24A80"/>
    <w:rsid w:val="00A24ACB"/>
    <w:rsid w:val="00A24B51"/>
    <w:rsid w:val="00A24B71"/>
    <w:rsid w:val="00A24B74"/>
    <w:rsid w:val="00A24BCC"/>
    <w:rsid w:val="00A24CD2"/>
    <w:rsid w:val="00A24D93"/>
    <w:rsid w:val="00A24DA1"/>
    <w:rsid w:val="00A24DAF"/>
    <w:rsid w:val="00A24E0D"/>
    <w:rsid w:val="00A24E64"/>
    <w:rsid w:val="00A24E92"/>
    <w:rsid w:val="00A24E98"/>
    <w:rsid w:val="00A24EB2"/>
    <w:rsid w:val="00A24EB6"/>
    <w:rsid w:val="00A24F06"/>
    <w:rsid w:val="00A24F47"/>
    <w:rsid w:val="00A24F61"/>
    <w:rsid w:val="00A24F83"/>
    <w:rsid w:val="00A24FA6"/>
    <w:rsid w:val="00A24FDC"/>
    <w:rsid w:val="00A25060"/>
    <w:rsid w:val="00A25134"/>
    <w:rsid w:val="00A25161"/>
    <w:rsid w:val="00A251EC"/>
    <w:rsid w:val="00A252CE"/>
    <w:rsid w:val="00A252CF"/>
    <w:rsid w:val="00A2530F"/>
    <w:rsid w:val="00A253B2"/>
    <w:rsid w:val="00A25405"/>
    <w:rsid w:val="00A254C8"/>
    <w:rsid w:val="00A254DA"/>
    <w:rsid w:val="00A254DF"/>
    <w:rsid w:val="00A254F3"/>
    <w:rsid w:val="00A254F9"/>
    <w:rsid w:val="00A25530"/>
    <w:rsid w:val="00A2553B"/>
    <w:rsid w:val="00A25562"/>
    <w:rsid w:val="00A255AA"/>
    <w:rsid w:val="00A255BA"/>
    <w:rsid w:val="00A255CD"/>
    <w:rsid w:val="00A25667"/>
    <w:rsid w:val="00A2568A"/>
    <w:rsid w:val="00A256A3"/>
    <w:rsid w:val="00A2571E"/>
    <w:rsid w:val="00A25769"/>
    <w:rsid w:val="00A2589E"/>
    <w:rsid w:val="00A258D5"/>
    <w:rsid w:val="00A2596B"/>
    <w:rsid w:val="00A259D9"/>
    <w:rsid w:val="00A259DD"/>
    <w:rsid w:val="00A25A05"/>
    <w:rsid w:val="00A25A24"/>
    <w:rsid w:val="00A25A77"/>
    <w:rsid w:val="00A25A93"/>
    <w:rsid w:val="00A25AE8"/>
    <w:rsid w:val="00A25B0C"/>
    <w:rsid w:val="00A25B0F"/>
    <w:rsid w:val="00A25B66"/>
    <w:rsid w:val="00A25B7C"/>
    <w:rsid w:val="00A25BEE"/>
    <w:rsid w:val="00A25C94"/>
    <w:rsid w:val="00A25CBF"/>
    <w:rsid w:val="00A25D1A"/>
    <w:rsid w:val="00A25D4A"/>
    <w:rsid w:val="00A25DBD"/>
    <w:rsid w:val="00A25DEE"/>
    <w:rsid w:val="00A25E00"/>
    <w:rsid w:val="00A25E52"/>
    <w:rsid w:val="00A25E7C"/>
    <w:rsid w:val="00A25EB4"/>
    <w:rsid w:val="00A25F70"/>
    <w:rsid w:val="00A25F7F"/>
    <w:rsid w:val="00A25F82"/>
    <w:rsid w:val="00A25F89"/>
    <w:rsid w:val="00A25FAB"/>
    <w:rsid w:val="00A25FB3"/>
    <w:rsid w:val="00A260B1"/>
    <w:rsid w:val="00A260B6"/>
    <w:rsid w:val="00A2612F"/>
    <w:rsid w:val="00A26160"/>
    <w:rsid w:val="00A26175"/>
    <w:rsid w:val="00A261FA"/>
    <w:rsid w:val="00A26229"/>
    <w:rsid w:val="00A26350"/>
    <w:rsid w:val="00A26361"/>
    <w:rsid w:val="00A263A7"/>
    <w:rsid w:val="00A263C0"/>
    <w:rsid w:val="00A263C9"/>
    <w:rsid w:val="00A26416"/>
    <w:rsid w:val="00A2646F"/>
    <w:rsid w:val="00A264A0"/>
    <w:rsid w:val="00A264C4"/>
    <w:rsid w:val="00A26594"/>
    <w:rsid w:val="00A26596"/>
    <w:rsid w:val="00A265CB"/>
    <w:rsid w:val="00A265E2"/>
    <w:rsid w:val="00A265F1"/>
    <w:rsid w:val="00A265F3"/>
    <w:rsid w:val="00A26619"/>
    <w:rsid w:val="00A26655"/>
    <w:rsid w:val="00A2665F"/>
    <w:rsid w:val="00A2667B"/>
    <w:rsid w:val="00A266BB"/>
    <w:rsid w:val="00A266C8"/>
    <w:rsid w:val="00A266CF"/>
    <w:rsid w:val="00A2671E"/>
    <w:rsid w:val="00A267CF"/>
    <w:rsid w:val="00A267E5"/>
    <w:rsid w:val="00A2680A"/>
    <w:rsid w:val="00A26814"/>
    <w:rsid w:val="00A26836"/>
    <w:rsid w:val="00A26899"/>
    <w:rsid w:val="00A268BA"/>
    <w:rsid w:val="00A268EB"/>
    <w:rsid w:val="00A268EC"/>
    <w:rsid w:val="00A2696B"/>
    <w:rsid w:val="00A26970"/>
    <w:rsid w:val="00A269A9"/>
    <w:rsid w:val="00A269DF"/>
    <w:rsid w:val="00A26A17"/>
    <w:rsid w:val="00A26A2E"/>
    <w:rsid w:val="00A26A31"/>
    <w:rsid w:val="00A26A78"/>
    <w:rsid w:val="00A26B1C"/>
    <w:rsid w:val="00A26B35"/>
    <w:rsid w:val="00A26B3B"/>
    <w:rsid w:val="00A26B4C"/>
    <w:rsid w:val="00A26B60"/>
    <w:rsid w:val="00A26BA7"/>
    <w:rsid w:val="00A26BC5"/>
    <w:rsid w:val="00A26BD6"/>
    <w:rsid w:val="00A26C51"/>
    <w:rsid w:val="00A26C71"/>
    <w:rsid w:val="00A26C9B"/>
    <w:rsid w:val="00A26D3C"/>
    <w:rsid w:val="00A26D5A"/>
    <w:rsid w:val="00A26D8C"/>
    <w:rsid w:val="00A26D99"/>
    <w:rsid w:val="00A26DBD"/>
    <w:rsid w:val="00A26E14"/>
    <w:rsid w:val="00A26EBD"/>
    <w:rsid w:val="00A26F44"/>
    <w:rsid w:val="00A26F4E"/>
    <w:rsid w:val="00A26F63"/>
    <w:rsid w:val="00A26FF5"/>
    <w:rsid w:val="00A2703D"/>
    <w:rsid w:val="00A27049"/>
    <w:rsid w:val="00A270D2"/>
    <w:rsid w:val="00A270DD"/>
    <w:rsid w:val="00A2713F"/>
    <w:rsid w:val="00A272F9"/>
    <w:rsid w:val="00A2730F"/>
    <w:rsid w:val="00A27346"/>
    <w:rsid w:val="00A273C5"/>
    <w:rsid w:val="00A273D2"/>
    <w:rsid w:val="00A273DE"/>
    <w:rsid w:val="00A273E2"/>
    <w:rsid w:val="00A273E4"/>
    <w:rsid w:val="00A2740A"/>
    <w:rsid w:val="00A27419"/>
    <w:rsid w:val="00A27461"/>
    <w:rsid w:val="00A274B5"/>
    <w:rsid w:val="00A274BE"/>
    <w:rsid w:val="00A274D3"/>
    <w:rsid w:val="00A274F3"/>
    <w:rsid w:val="00A27532"/>
    <w:rsid w:val="00A2759E"/>
    <w:rsid w:val="00A275F3"/>
    <w:rsid w:val="00A275F4"/>
    <w:rsid w:val="00A275F5"/>
    <w:rsid w:val="00A27683"/>
    <w:rsid w:val="00A276A7"/>
    <w:rsid w:val="00A276B3"/>
    <w:rsid w:val="00A276C8"/>
    <w:rsid w:val="00A27702"/>
    <w:rsid w:val="00A27710"/>
    <w:rsid w:val="00A27735"/>
    <w:rsid w:val="00A2774D"/>
    <w:rsid w:val="00A27751"/>
    <w:rsid w:val="00A2778F"/>
    <w:rsid w:val="00A27794"/>
    <w:rsid w:val="00A277C2"/>
    <w:rsid w:val="00A277E1"/>
    <w:rsid w:val="00A277F4"/>
    <w:rsid w:val="00A27831"/>
    <w:rsid w:val="00A2783F"/>
    <w:rsid w:val="00A27855"/>
    <w:rsid w:val="00A27869"/>
    <w:rsid w:val="00A278A5"/>
    <w:rsid w:val="00A278BB"/>
    <w:rsid w:val="00A279B3"/>
    <w:rsid w:val="00A279CF"/>
    <w:rsid w:val="00A27A4A"/>
    <w:rsid w:val="00A27A61"/>
    <w:rsid w:val="00A27ADC"/>
    <w:rsid w:val="00A27BCA"/>
    <w:rsid w:val="00A27BF8"/>
    <w:rsid w:val="00A27C6B"/>
    <w:rsid w:val="00A27CA6"/>
    <w:rsid w:val="00A27CBA"/>
    <w:rsid w:val="00A27CF9"/>
    <w:rsid w:val="00A27E58"/>
    <w:rsid w:val="00A27EE0"/>
    <w:rsid w:val="00A27F03"/>
    <w:rsid w:val="00A27F1E"/>
    <w:rsid w:val="00A27F36"/>
    <w:rsid w:val="00A27FD6"/>
    <w:rsid w:val="00A3003B"/>
    <w:rsid w:val="00A30047"/>
    <w:rsid w:val="00A300B4"/>
    <w:rsid w:val="00A301AA"/>
    <w:rsid w:val="00A30258"/>
    <w:rsid w:val="00A30286"/>
    <w:rsid w:val="00A3029C"/>
    <w:rsid w:val="00A302A3"/>
    <w:rsid w:val="00A302DB"/>
    <w:rsid w:val="00A303AF"/>
    <w:rsid w:val="00A303F1"/>
    <w:rsid w:val="00A3057C"/>
    <w:rsid w:val="00A30593"/>
    <w:rsid w:val="00A305D4"/>
    <w:rsid w:val="00A306AE"/>
    <w:rsid w:val="00A306BA"/>
    <w:rsid w:val="00A306C7"/>
    <w:rsid w:val="00A306F6"/>
    <w:rsid w:val="00A30748"/>
    <w:rsid w:val="00A307B2"/>
    <w:rsid w:val="00A30858"/>
    <w:rsid w:val="00A3085E"/>
    <w:rsid w:val="00A30888"/>
    <w:rsid w:val="00A3093E"/>
    <w:rsid w:val="00A3097B"/>
    <w:rsid w:val="00A3098D"/>
    <w:rsid w:val="00A309CD"/>
    <w:rsid w:val="00A30A77"/>
    <w:rsid w:val="00A30AA0"/>
    <w:rsid w:val="00A30AC8"/>
    <w:rsid w:val="00A30AD0"/>
    <w:rsid w:val="00A30B0A"/>
    <w:rsid w:val="00A30BB6"/>
    <w:rsid w:val="00A30BD5"/>
    <w:rsid w:val="00A30BEB"/>
    <w:rsid w:val="00A30BEF"/>
    <w:rsid w:val="00A30BFE"/>
    <w:rsid w:val="00A30C32"/>
    <w:rsid w:val="00A30C39"/>
    <w:rsid w:val="00A30C5D"/>
    <w:rsid w:val="00A30C7C"/>
    <w:rsid w:val="00A30C9B"/>
    <w:rsid w:val="00A30D8F"/>
    <w:rsid w:val="00A30E1D"/>
    <w:rsid w:val="00A30EA2"/>
    <w:rsid w:val="00A30EC4"/>
    <w:rsid w:val="00A30F28"/>
    <w:rsid w:val="00A30F30"/>
    <w:rsid w:val="00A30F31"/>
    <w:rsid w:val="00A30F7A"/>
    <w:rsid w:val="00A30F8A"/>
    <w:rsid w:val="00A31091"/>
    <w:rsid w:val="00A310B5"/>
    <w:rsid w:val="00A310CC"/>
    <w:rsid w:val="00A310CF"/>
    <w:rsid w:val="00A31192"/>
    <w:rsid w:val="00A31199"/>
    <w:rsid w:val="00A311D7"/>
    <w:rsid w:val="00A31204"/>
    <w:rsid w:val="00A3124A"/>
    <w:rsid w:val="00A312B4"/>
    <w:rsid w:val="00A312F8"/>
    <w:rsid w:val="00A3133D"/>
    <w:rsid w:val="00A3136E"/>
    <w:rsid w:val="00A313CF"/>
    <w:rsid w:val="00A31455"/>
    <w:rsid w:val="00A31465"/>
    <w:rsid w:val="00A31469"/>
    <w:rsid w:val="00A31473"/>
    <w:rsid w:val="00A3147F"/>
    <w:rsid w:val="00A314E4"/>
    <w:rsid w:val="00A31619"/>
    <w:rsid w:val="00A3162B"/>
    <w:rsid w:val="00A3163A"/>
    <w:rsid w:val="00A31687"/>
    <w:rsid w:val="00A3177E"/>
    <w:rsid w:val="00A31784"/>
    <w:rsid w:val="00A317F6"/>
    <w:rsid w:val="00A31837"/>
    <w:rsid w:val="00A31859"/>
    <w:rsid w:val="00A318B4"/>
    <w:rsid w:val="00A31929"/>
    <w:rsid w:val="00A31970"/>
    <w:rsid w:val="00A31981"/>
    <w:rsid w:val="00A31A5B"/>
    <w:rsid w:val="00A31AA6"/>
    <w:rsid w:val="00A31AD9"/>
    <w:rsid w:val="00A31B0F"/>
    <w:rsid w:val="00A31B16"/>
    <w:rsid w:val="00A31BB1"/>
    <w:rsid w:val="00A31BC1"/>
    <w:rsid w:val="00A31BCB"/>
    <w:rsid w:val="00A31BD7"/>
    <w:rsid w:val="00A31C05"/>
    <w:rsid w:val="00A31C48"/>
    <w:rsid w:val="00A31C79"/>
    <w:rsid w:val="00A31D4C"/>
    <w:rsid w:val="00A31DA5"/>
    <w:rsid w:val="00A31DB3"/>
    <w:rsid w:val="00A31ED1"/>
    <w:rsid w:val="00A31F04"/>
    <w:rsid w:val="00A31F05"/>
    <w:rsid w:val="00A31F0F"/>
    <w:rsid w:val="00A31F28"/>
    <w:rsid w:val="00A31F2A"/>
    <w:rsid w:val="00A31F9E"/>
    <w:rsid w:val="00A3203C"/>
    <w:rsid w:val="00A3205F"/>
    <w:rsid w:val="00A320F8"/>
    <w:rsid w:val="00A32110"/>
    <w:rsid w:val="00A3212F"/>
    <w:rsid w:val="00A32142"/>
    <w:rsid w:val="00A321AF"/>
    <w:rsid w:val="00A321F9"/>
    <w:rsid w:val="00A32232"/>
    <w:rsid w:val="00A322A7"/>
    <w:rsid w:val="00A322D8"/>
    <w:rsid w:val="00A322F8"/>
    <w:rsid w:val="00A323A1"/>
    <w:rsid w:val="00A323D1"/>
    <w:rsid w:val="00A3240A"/>
    <w:rsid w:val="00A3243D"/>
    <w:rsid w:val="00A32491"/>
    <w:rsid w:val="00A324E4"/>
    <w:rsid w:val="00A324EF"/>
    <w:rsid w:val="00A324F8"/>
    <w:rsid w:val="00A3256B"/>
    <w:rsid w:val="00A325BD"/>
    <w:rsid w:val="00A32630"/>
    <w:rsid w:val="00A32663"/>
    <w:rsid w:val="00A32692"/>
    <w:rsid w:val="00A326E5"/>
    <w:rsid w:val="00A326F7"/>
    <w:rsid w:val="00A3278D"/>
    <w:rsid w:val="00A32813"/>
    <w:rsid w:val="00A32885"/>
    <w:rsid w:val="00A328A0"/>
    <w:rsid w:val="00A328BA"/>
    <w:rsid w:val="00A328D5"/>
    <w:rsid w:val="00A328EB"/>
    <w:rsid w:val="00A328EE"/>
    <w:rsid w:val="00A3290B"/>
    <w:rsid w:val="00A3291B"/>
    <w:rsid w:val="00A3295A"/>
    <w:rsid w:val="00A32964"/>
    <w:rsid w:val="00A3296D"/>
    <w:rsid w:val="00A329B1"/>
    <w:rsid w:val="00A329C7"/>
    <w:rsid w:val="00A329EE"/>
    <w:rsid w:val="00A32A18"/>
    <w:rsid w:val="00A32A32"/>
    <w:rsid w:val="00A32ABD"/>
    <w:rsid w:val="00A32BB4"/>
    <w:rsid w:val="00A32BB7"/>
    <w:rsid w:val="00A32BCA"/>
    <w:rsid w:val="00A32BEB"/>
    <w:rsid w:val="00A32DA1"/>
    <w:rsid w:val="00A32DA9"/>
    <w:rsid w:val="00A32DB4"/>
    <w:rsid w:val="00A32DBB"/>
    <w:rsid w:val="00A32DCB"/>
    <w:rsid w:val="00A32DD1"/>
    <w:rsid w:val="00A32E09"/>
    <w:rsid w:val="00A32E19"/>
    <w:rsid w:val="00A32E1A"/>
    <w:rsid w:val="00A32E31"/>
    <w:rsid w:val="00A32E43"/>
    <w:rsid w:val="00A32E77"/>
    <w:rsid w:val="00A32F47"/>
    <w:rsid w:val="00A32FAD"/>
    <w:rsid w:val="00A32FB7"/>
    <w:rsid w:val="00A32FDF"/>
    <w:rsid w:val="00A33017"/>
    <w:rsid w:val="00A33023"/>
    <w:rsid w:val="00A33092"/>
    <w:rsid w:val="00A33107"/>
    <w:rsid w:val="00A3315D"/>
    <w:rsid w:val="00A33167"/>
    <w:rsid w:val="00A3328F"/>
    <w:rsid w:val="00A33306"/>
    <w:rsid w:val="00A3331A"/>
    <w:rsid w:val="00A333A9"/>
    <w:rsid w:val="00A333B1"/>
    <w:rsid w:val="00A33418"/>
    <w:rsid w:val="00A3345A"/>
    <w:rsid w:val="00A33463"/>
    <w:rsid w:val="00A334D6"/>
    <w:rsid w:val="00A33504"/>
    <w:rsid w:val="00A3353E"/>
    <w:rsid w:val="00A3358C"/>
    <w:rsid w:val="00A3375F"/>
    <w:rsid w:val="00A337BF"/>
    <w:rsid w:val="00A337D9"/>
    <w:rsid w:val="00A3380B"/>
    <w:rsid w:val="00A3385F"/>
    <w:rsid w:val="00A33876"/>
    <w:rsid w:val="00A338B6"/>
    <w:rsid w:val="00A338D3"/>
    <w:rsid w:val="00A33902"/>
    <w:rsid w:val="00A33913"/>
    <w:rsid w:val="00A33948"/>
    <w:rsid w:val="00A33998"/>
    <w:rsid w:val="00A33999"/>
    <w:rsid w:val="00A339BD"/>
    <w:rsid w:val="00A339C3"/>
    <w:rsid w:val="00A339F7"/>
    <w:rsid w:val="00A33A05"/>
    <w:rsid w:val="00A33A0A"/>
    <w:rsid w:val="00A33A44"/>
    <w:rsid w:val="00A33ACE"/>
    <w:rsid w:val="00A33AFE"/>
    <w:rsid w:val="00A33BBD"/>
    <w:rsid w:val="00A33C83"/>
    <w:rsid w:val="00A33C9E"/>
    <w:rsid w:val="00A33CD5"/>
    <w:rsid w:val="00A33D85"/>
    <w:rsid w:val="00A33DA0"/>
    <w:rsid w:val="00A33E13"/>
    <w:rsid w:val="00A33EB9"/>
    <w:rsid w:val="00A33ED5"/>
    <w:rsid w:val="00A33F4C"/>
    <w:rsid w:val="00A33FB3"/>
    <w:rsid w:val="00A33FEC"/>
    <w:rsid w:val="00A3402F"/>
    <w:rsid w:val="00A3403C"/>
    <w:rsid w:val="00A34059"/>
    <w:rsid w:val="00A340B2"/>
    <w:rsid w:val="00A34128"/>
    <w:rsid w:val="00A34163"/>
    <w:rsid w:val="00A341C0"/>
    <w:rsid w:val="00A3423D"/>
    <w:rsid w:val="00A34301"/>
    <w:rsid w:val="00A34325"/>
    <w:rsid w:val="00A343D5"/>
    <w:rsid w:val="00A343E0"/>
    <w:rsid w:val="00A34400"/>
    <w:rsid w:val="00A344E3"/>
    <w:rsid w:val="00A344E8"/>
    <w:rsid w:val="00A34538"/>
    <w:rsid w:val="00A3454A"/>
    <w:rsid w:val="00A345AA"/>
    <w:rsid w:val="00A34626"/>
    <w:rsid w:val="00A34677"/>
    <w:rsid w:val="00A346E9"/>
    <w:rsid w:val="00A34711"/>
    <w:rsid w:val="00A34755"/>
    <w:rsid w:val="00A34814"/>
    <w:rsid w:val="00A34874"/>
    <w:rsid w:val="00A348C2"/>
    <w:rsid w:val="00A348D3"/>
    <w:rsid w:val="00A348E5"/>
    <w:rsid w:val="00A348EB"/>
    <w:rsid w:val="00A34965"/>
    <w:rsid w:val="00A349A2"/>
    <w:rsid w:val="00A349D1"/>
    <w:rsid w:val="00A349D2"/>
    <w:rsid w:val="00A34A21"/>
    <w:rsid w:val="00A34A4D"/>
    <w:rsid w:val="00A34AC9"/>
    <w:rsid w:val="00A34ADC"/>
    <w:rsid w:val="00A34B59"/>
    <w:rsid w:val="00A34B64"/>
    <w:rsid w:val="00A34BD7"/>
    <w:rsid w:val="00A34C4D"/>
    <w:rsid w:val="00A34C57"/>
    <w:rsid w:val="00A34C7A"/>
    <w:rsid w:val="00A34E5E"/>
    <w:rsid w:val="00A34E72"/>
    <w:rsid w:val="00A34E75"/>
    <w:rsid w:val="00A34F1A"/>
    <w:rsid w:val="00A34F36"/>
    <w:rsid w:val="00A34FC1"/>
    <w:rsid w:val="00A35009"/>
    <w:rsid w:val="00A35010"/>
    <w:rsid w:val="00A3502B"/>
    <w:rsid w:val="00A35041"/>
    <w:rsid w:val="00A3505C"/>
    <w:rsid w:val="00A3506A"/>
    <w:rsid w:val="00A350AE"/>
    <w:rsid w:val="00A35190"/>
    <w:rsid w:val="00A35246"/>
    <w:rsid w:val="00A35303"/>
    <w:rsid w:val="00A3534C"/>
    <w:rsid w:val="00A35374"/>
    <w:rsid w:val="00A35375"/>
    <w:rsid w:val="00A3543E"/>
    <w:rsid w:val="00A354BC"/>
    <w:rsid w:val="00A354CE"/>
    <w:rsid w:val="00A3550C"/>
    <w:rsid w:val="00A35524"/>
    <w:rsid w:val="00A35587"/>
    <w:rsid w:val="00A35601"/>
    <w:rsid w:val="00A3564D"/>
    <w:rsid w:val="00A3567D"/>
    <w:rsid w:val="00A356EB"/>
    <w:rsid w:val="00A357A3"/>
    <w:rsid w:val="00A357CE"/>
    <w:rsid w:val="00A3589F"/>
    <w:rsid w:val="00A35932"/>
    <w:rsid w:val="00A3599D"/>
    <w:rsid w:val="00A359B4"/>
    <w:rsid w:val="00A359CB"/>
    <w:rsid w:val="00A35A24"/>
    <w:rsid w:val="00A35A36"/>
    <w:rsid w:val="00A35A3F"/>
    <w:rsid w:val="00A35AEB"/>
    <w:rsid w:val="00A35B31"/>
    <w:rsid w:val="00A35B9F"/>
    <w:rsid w:val="00A35BA7"/>
    <w:rsid w:val="00A35BE8"/>
    <w:rsid w:val="00A35C96"/>
    <w:rsid w:val="00A35C9A"/>
    <w:rsid w:val="00A35CCD"/>
    <w:rsid w:val="00A35D98"/>
    <w:rsid w:val="00A35E0C"/>
    <w:rsid w:val="00A35E20"/>
    <w:rsid w:val="00A35E39"/>
    <w:rsid w:val="00A35E3B"/>
    <w:rsid w:val="00A35E3C"/>
    <w:rsid w:val="00A35E50"/>
    <w:rsid w:val="00A35E81"/>
    <w:rsid w:val="00A35F42"/>
    <w:rsid w:val="00A35F51"/>
    <w:rsid w:val="00A35FB6"/>
    <w:rsid w:val="00A36059"/>
    <w:rsid w:val="00A3607A"/>
    <w:rsid w:val="00A360D0"/>
    <w:rsid w:val="00A360E0"/>
    <w:rsid w:val="00A360F9"/>
    <w:rsid w:val="00A36131"/>
    <w:rsid w:val="00A36156"/>
    <w:rsid w:val="00A36175"/>
    <w:rsid w:val="00A36180"/>
    <w:rsid w:val="00A36185"/>
    <w:rsid w:val="00A3618A"/>
    <w:rsid w:val="00A361E0"/>
    <w:rsid w:val="00A3623B"/>
    <w:rsid w:val="00A3625A"/>
    <w:rsid w:val="00A362F6"/>
    <w:rsid w:val="00A36300"/>
    <w:rsid w:val="00A3636A"/>
    <w:rsid w:val="00A36373"/>
    <w:rsid w:val="00A36382"/>
    <w:rsid w:val="00A363A5"/>
    <w:rsid w:val="00A36401"/>
    <w:rsid w:val="00A3643C"/>
    <w:rsid w:val="00A3645D"/>
    <w:rsid w:val="00A364AC"/>
    <w:rsid w:val="00A364B7"/>
    <w:rsid w:val="00A365EE"/>
    <w:rsid w:val="00A3662D"/>
    <w:rsid w:val="00A36646"/>
    <w:rsid w:val="00A3665E"/>
    <w:rsid w:val="00A3665F"/>
    <w:rsid w:val="00A36665"/>
    <w:rsid w:val="00A36696"/>
    <w:rsid w:val="00A366E4"/>
    <w:rsid w:val="00A36731"/>
    <w:rsid w:val="00A3680A"/>
    <w:rsid w:val="00A36832"/>
    <w:rsid w:val="00A3685D"/>
    <w:rsid w:val="00A3693F"/>
    <w:rsid w:val="00A3694E"/>
    <w:rsid w:val="00A36990"/>
    <w:rsid w:val="00A369BF"/>
    <w:rsid w:val="00A36A1E"/>
    <w:rsid w:val="00A36A39"/>
    <w:rsid w:val="00A36A78"/>
    <w:rsid w:val="00A36AA2"/>
    <w:rsid w:val="00A36AAE"/>
    <w:rsid w:val="00A36B03"/>
    <w:rsid w:val="00A36B40"/>
    <w:rsid w:val="00A36B56"/>
    <w:rsid w:val="00A36BB5"/>
    <w:rsid w:val="00A36C73"/>
    <w:rsid w:val="00A36CBD"/>
    <w:rsid w:val="00A36D1F"/>
    <w:rsid w:val="00A36E9E"/>
    <w:rsid w:val="00A36EE8"/>
    <w:rsid w:val="00A36EEA"/>
    <w:rsid w:val="00A36F0B"/>
    <w:rsid w:val="00A36F41"/>
    <w:rsid w:val="00A36F87"/>
    <w:rsid w:val="00A36FA0"/>
    <w:rsid w:val="00A36FB0"/>
    <w:rsid w:val="00A37039"/>
    <w:rsid w:val="00A37044"/>
    <w:rsid w:val="00A370A3"/>
    <w:rsid w:val="00A370F3"/>
    <w:rsid w:val="00A3712F"/>
    <w:rsid w:val="00A37135"/>
    <w:rsid w:val="00A3714B"/>
    <w:rsid w:val="00A37173"/>
    <w:rsid w:val="00A371D4"/>
    <w:rsid w:val="00A371DE"/>
    <w:rsid w:val="00A37295"/>
    <w:rsid w:val="00A3729F"/>
    <w:rsid w:val="00A372AC"/>
    <w:rsid w:val="00A37349"/>
    <w:rsid w:val="00A37365"/>
    <w:rsid w:val="00A37377"/>
    <w:rsid w:val="00A373C0"/>
    <w:rsid w:val="00A373D3"/>
    <w:rsid w:val="00A37462"/>
    <w:rsid w:val="00A37472"/>
    <w:rsid w:val="00A374AE"/>
    <w:rsid w:val="00A3750B"/>
    <w:rsid w:val="00A37516"/>
    <w:rsid w:val="00A375BD"/>
    <w:rsid w:val="00A375D7"/>
    <w:rsid w:val="00A37600"/>
    <w:rsid w:val="00A3761A"/>
    <w:rsid w:val="00A376B2"/>
    <w:rsid w:val="00A376E3"/>
    <w:rsid w:val="00A378BA"/>
    <w:rsid w:val="00A378D0"/>
    <w:rsid w:val="00A3790C"/>
    <w:rsid w:val="00A37951"/>
    <w:rsid w:val="00A379A0"/>
    <w:rsid w:val="00A379F4"/>
    <w:rsid w:val="00A37A4E"/>
    <w:rsid w:val="00A37A6F"/>
    <w:rsid w:val="00A37AA0"/>
    <w:rsid w:val="00A37B21"/>
    <w:rsid w:val="00A37B74"/>
    <w:rsid w:val="00A37BC2"/>
    <w:rsid w:val="00A37C26"/>
    <w:rsid w:val="00A37C3C"/>
    <w:rsid w:val="00A37C41"/>
    <w:rsid w:val="00A37C5D"/>
    <w:rsid w:val="00A37C9D"/>
    <w:rsid w:val="00A37D1A"/>
    <w:rsid w:val="00A37E16"/>
    <w:rsid w:val="00A37E1E"/>
    <w:rsid w:val="00A37E21"/>
    <w:rsid w:val="00A37E54"/>
    <w:rsid w:val="00A37E62"/>
    <w:rsid w:val="00A37EA3"/>
    <w:rsid w:val="00A37EB2"/>
    <w:rsid w:val="00A37ED4"/>
    <w:rsid w:val="00A37EDD"/>
    <w:rsid w:val="00A37F17"/>
    <w:rsid w:val="00A37F43"/>
    <w:rsid w:val="00A37F87"/>
    <w:rsid w:val="00A37F97"/>
    <w:rsid w:val="00A37FAB"/>
    <w:rsid w:val="00A37FE9"/>
    <w:rsid w:val="00A4002D"/>
    <w:rsid w:val="00A4005D"/>
    <w:rsid w:val="00A40093"/>
    <w:rsid w:val="00A400A9"/>
    <w:rsid w:val="00A400CE"/>
    <w:rsid w:val="00A4014F"/>
    <w:rsid w:val="00A401A9"/>
    <w:rsid w:val="00A401BF"/>
    <w:rsid w:val="00A401E9"/>
    <w:rsid w:val="00A4029A"/>
    <w:rsid w:val="00A4029C"/>
    <w:rsid w:val="00A402F2"/>
    <w:rsid w:val="00A402FA"/>
    <w:rsid w:val="00A40315"/>
    <w:rsid w:val="00A40329"/>
    <w:rsid w:val="00A403A2"/>
    <w:rsid w:val="00A403A7"/>
    <w:rsid w:val="00A403FB"/>
    <w:rsid w:val="00A40435"/>
    <w:rsid w:val="00A40437"/>
    <w:rsid w:val="00A4045E"/>
    <w:rsid w:val="00A4050D"/>
    <w:rsid w:val="00A4051C"/>
    <w:rsid w:val="00A40527"/>
    <w:rsid w:val="00A405BB"/>
    <w:rsid w:val="00A40665"/>
    <w:rsid w:val="00A406D1"/>
    <w:rsid w:val="00A406D7"/>
    <w:rsid w:val="00A40714"/>
    <w:rsid w:val="00A4073D"/>
    <w:rsid w:val="00A40742"/>
    <w:rsid w:val="00A4074C"/>
    <w:rsid w:val="00A4075F"/>
    <w:rsid w:val="00A40770"/>
    <w:rsid w:val="00A40795"/>
    <w:rsid w:val="00A407D7"/>
    <w:rsid w:val="00A407EB"/>
    <w:rsid w:val="00A4080D"/>
    <w:rsid w:val="00A40833"/>
    <w:rsid w:val="00A4083E"/>
    <w:rsid w:val="00A4084B"/>
    <w:rsid w:val="00A40859"/>
    <w:rsid w:val="00A408F2"/>
    <w:rsid w:val="00A40900"/>
    <w:rsid w:val="00A40920"/>
    <w:rsid w:val="00A40923"/>
    <w:rsid w:val="00A4092F"/>
    <w:rsid w:val="00A40942"/>
    <w:rsid w:val="00A4095B"/>
    <w:rsid w:val="00A40973"/>
    <w:rsid w:val="00A409CA"/>
    <w:rsid w:val="00A40AEC"/>
    <w:rsid w:val="00A40B5B"/>
    <w:rsid w:val="00A40BD2"/>
    <w:rsid w:val="00A40C11"/>
    <w:rsid w:val="00A40C63"/>
    <w:rsid w:val="00A40CA0"/>
    <w:rsid w:val="00A40D65"/>
    <w:rsid w:val="00A40D67"/>
    <w:rsid w:val="00A40DC3"/>
    <w:rsid w:val="00A40E00"/>
    <w:rsid w:val="00A40E3C"/>
    <w:rsid w:val="00A40E68"/>
    <w:rsid w:val="00A40E92"/>
    <w:rsid w:val="00A40EA7"/>
    <w:rsid w:val="00A40EB1"/>
    <w:rsid w:val="00A40EF8"/>
    <w:rsid w:val="00A40FA0"/>
    <w:rsid w:val="00A40FD5"/>
    <w:rsid w:val="00A40FE2"/>
    <w:rsid w:val="00A40FE4"/>
    <w:rsid w:val="00A41021"/>
    <w:rsid w:val="00A41087"/>
    <w:rsid w:val="00A410CA"/>
    <w:rsid w:val="00A410CB"/>
    <w:rsid w:val="00A41132"/>
    <w:rsid w:val="00A4114F"/>
    <w:rsid w:val="00A41182"/>
    <w:rsid w:val="00A411AF"/>
    <w:rsid w:val="00A41258"/>
    <w:rsid w:val="00A412A1"/>
    <w:rsid w:val="00A41325"/>
    <w:rsid w:val="00A41368"/>
    <w:rsid w:val="00A413CD"/>
    <w:rsid w:val="00A41470"/>
    <w:rsid w:val="00A4148A"/>
    <w:rsid w:val="00A414EA"/>
    <w:rsid w:val="00A41500"/>
    <w:rsid w:val="00A4155F"/>
    <w:rsid w:val="00A415A6"/>
    <w:rsid w:val="00A415CD"/>
    <w:rsid w:val="00A41617"/>
    <w:rsid w:val="00A4162C"/>
    <w:rsid w:val="00A41651"/>
    <w:rsid w:val="00A41674"/>
    <w:rsid w:val="00A4175C"/>
    <w:rsid w:val="00A417B8"/>
    <w:rsid w:val="00A4189E"/>
    <w:rsid w:val="00A41937"/>
    <w:rsid w:val="00A41983"/>
    <w:rsid w:val="00A41997"/>
    <w:rsid w:val="00A419B5"/>
    <w:rsid w:val="00A41A28"/>
    <w:rsid w:val="00A41A59"/>
    <w:rsid w:val="00A41A6D"/>
    <w:rsid w:val="00A41BB4"/>
    <w:rsid w:val="00A41C2C"/>
    <w:rsid w:val="00A41C4F"/>
    <w:rsid w:val="00A41C73"/>
    <w:rsid w:val="00A41CC0"/>
    <w:rsid w:val="00A41D15"/>
    <w:rsid w:val="00A41D84"/>
    <w:rsid w:val="00A41DB2"/>
    <w:rsid w:val="00A41E81"/>
    <w:rsid w:val="00A41F00"/>
    <w:rsid w:val="00A41F45"/>
    <w:rsid w:val="00A41F60"/>
    <w:rsid w:val="00A41FF0"/>
    <w:rsid w:val="00A420BC"/>
    <w:rsid w:val="00A420C5"/>
    <w:rsid w:val="00A420E6"/>
    <w:rsid w:val="00A420E9"/>
    <w:rsid w:val="00A421FE"/>
    <w:rsid w:val="00A422A6"/>
    <w:rsid w:val="00A422C2"/>
    <w:rsid w:val="00A422D9"/>
    <w:rsid w:val="00A422EF"/>
    <w:rsid w:val="00A42351"/>
    <w:rsid w:val="00A4237B"/>
    <w:rsid w:val="00A4237F"/>
    <w:rsid w:val="00A42389"/>
    <w:rsid w:val="00A42459"/>
    <w:rsid w:val="00A42522"/>
    <w:rsid w:val="00A4257B"/>
    <w:rsid w:val="00A42675"/>
    <w:rsid w:val="00A426DC"/>
    <w:rsid w:val="00A427B5"/>
    <w:rsid w:val="00A42837"/>
    <w:rsid w:val="00A428D4"/>
    <w:rsid w:val="00A42939"/>
    <w:rsid w:val="00A42967"/>
    <w:rsid w:val="00A429A0"/>
    <w:rsid w:val="00A429B0"/>
    <w:rsid w:val="00A42ABC"/>
    <w:rsid w:val="00A42B04"/>
    <w:rsid w:val="00A42B33"/>
    <w:rsid w:val="00A42B6A"/>
    <w:rsid w:val="00A42B86"/>
    <w:rsid w:val="00A42B9A"/>
    <w:rsid w:val="00A42BA8"/>
    <w:rsid w:val="00A42C6B"/>
    <w:rsid w:val="00A42CD7"/>
    <w:rsid w:val="00A42D62"/>
    <w:rsid w:val="00A42D99"/>
    <w:rsid w:val="00A42DC7"/>
    <w:rsid w:val="00A42DDD"/>
    <w:rsid w:val="00A42E08"/>
    <w:rsid w:val="00A42E1C"/>
    <w:rsid w:val="00A42EFC"/>
    <w:rsid w:val="00A43004"/>
    <w:rsid w:val="00A43058"/>
    <w:rsid w:val="00A43060"/>
    <w:rsid w:val="00A4310C"/>
    <w:rsid w:val="00A4313C"/>
    <w:rsid w:val="00A4329D"/>
    <w:rsid w:val="00A432A2"/>
    <w:rsid w:val="00A4330F"/>
    <w:rsid w:val="00A43340"/>
    <w:rsid w:val="00A433F8"/>
    <w:rsid w:val="00A43413"/>
    <w:rsid w:val="00A43423"/>
    <w:rsid w:val="00A4345A"/>
    <w:rsid w:val="00A434C3"/>
    <w:rsid w:val="00A434D4"/>
    <w:rsid w:val="00A434EB"/>
    <w:rsid w:val="00A4352E"/>
    <w:rsid w:val="00A43544"/>
    <w:rsid w:val="00A43566"/>
    <w:rsid w:val="00A435A5"/>
    <w:rsid w:val="00A435B2"/>
    <w:rsid w:val="00A435B6"/>
    <w:rsid w:val="00A436AD"/>
    <w:rsid w:val="00A436DA"/>
    <w:rsid w:val="00A436F2"/>
    <w:rsid w:val="00A43735"/>
    <w:rsid w:val="00A4379A"/>
    <w:rsid w:val="00A437A0"/>
    <w:rsid w:val="00A437D5"/>
    <w:rsid w:val="00A43832"/>
    <w:rsid w:val="00A4385E"/>
    <w:rsid w:val="00A438CF"/>
    <w:rsid w:val="00A438E5"/>
    <w:rsid w:val="00A43950"/>
    <w:rsid w:val="00A43989"/>
    <w:rsid w:val="00A439FB"/>
    <w:rsid w:val="00A43A0E"/>
    <w:rsid w:val="00A43A27"/>
    <w:rsid w:val="00A43AB0"/>
    <w:rsid w:val="00A43B07"/>
    <w:rsid w:val="00A43B58"/>
    <w:rsid w:val="00A43BD1"/>
    <w:rsid w:val="00A43BD9"/>
    <w:rsid w:val="00A43C05"/>
    <w:rsid w:val="00A43D13"/>
    <w:rsid w:val="00A43D47"/>
    <w:rsid w:val="00A43D5C"/>
    <w:rsid w:val="00A43D64"/>
    <w:rsid w:val="00A43D94"/>
    <w:rsid w:val="00A43E51"/>
    <w:rsid w:val="00A43E5C"/>
    <w:rsid w:val="00A43E82"/>
    <w:rsid w:val="00A43EA4"/>
    <w:rsid w:val="00A43EB8"/>
    <w:rsid w:val="00A43EF2"/>
    <w:rsid w:val="00A43F06"/>
    <w:rsid w:val="00A43F2B"/>
    <w:rsid w:val="00A43F62"/>
    <w:rsid w:val="00A43FDF"/>
    <w:rsid w:val="00A43FF8"/>
    <w:rsid w:val="00A43FFD"/>
    <w:rsid w:val="00A44087"/>
    <w:rsid w:val="00A440FC"/>
    <w:rsid w:val="00A44193"/>
    <w:rsid w:val="00A441DB"/>
    <w:rsid w:val="00A44204"/>
    <w:rsid w:val="00A4420D"/>
    <w:rsid w:val="00A442D6"/>
    <w:rsid w:val="00A442F7"/>
    <w:rsid w:val="00A44305"/>
    <w:rsid w:val="00A44330"/>
    <w:rsid w:val="00A44365"/>
    <w:rsid w:val="00A44393"/>
    <w:rsid w:val="00A444CB"/>
    <w:rsid w:val="00A4450A"/>
    <w:rsid w:val="00A445C1"/>
    <w:rsid w:val="00A445CE"/>
    <w:rsid w:val="00A445EA"/>
    <w:rsid w:val="00A4461E"/>
    <w:rsid w:val="00A44647"/>
    <w:rsid w:val="00A446D6"/>
    <w:rsid w:val="00A446EC"/>
    <w:rsid w:val="00A44737"/>
    <w:rsid w:val="00A4475F"/>
    <w:rsid w:val="00A44768"/>
    <w:rsid w:val="00A44772"/>
    <w:rsid w:val="00A447A3"/>
    <w:rsid w:val="00A447F6"/>
    <w:rsid w:val="00A44838"/>
    <w:rsid w:val="00A44949"/>
    <w:rsid w:val="00A44966"/>
    <w:rsid w:val="00A449A6"/>
    <w:rsid w:val="00A44A18"/>
    <w:rsid w:val="00A44A46"/>
    <w:rsid w:val="00A44A94"/>
    <w:rsid w:val="00A44AD1"/>
    <w:rsid w:val="00A44B2A"/>
    <w:rsid w:val="00A44B44"/>
    <w:rsid w:val="00A44B4C"/>
    <w:rsid w:val="00A44B5B"/>
    <w:rsid w:val="00A44B83"/>
    <w:rsid w:val="00A44BA0"/>
    <w:rsid w:val="00A44BD9"/>
    <w:rsid w:val="00A44C9E"/>
    <w:rsid w:val="00A44CC1"/>
    <w:rsid w:val="00A44D28"/>
    <w:rsid w:val="00A44D2F"/>
    <w:rsid w:val="00A44D6C"/>
    <w:rsid w:val="00A44EBB"/>
    <w:rsid w:val="00A44ED9"/>
    <w:rsid w:val="00A44F96"/>
    <w:rsid w:val="00A44F9E"/>
    <w:rsid w:val="00A44FCD"/>
    <w:rsid w:val="00A4501C"/>
    <w:rsid w:val="00A4503C"/>
    <w:rsid w:val="00A4505B"/>
    <w:rsid w:val="00A450F9"/>
    <w:rsid w:val="00A4515E"/>
    <w:rsid w:val="00A45202"/>
    <w:rsid w:val="00A45229"/>
    <w:rsid w:val="00A45261"/>
    <w:rsid w:val="00A45268"/>
    <w:rsid w:val="00A452F0"/>
    <w:rsid w:val="00A45318"/>
    <w:rsid w:val="00A45406"/>
    <w:rsid w:val="00A4541C"/>
    <w:rsid w:val="00A45437"/>
    <w:rsid w:val="00A45456"/>
    <w:rsid w:val="00A45469"/>
    <w:rsid w:val="00A45473"/>
    <w:rsid w:val="00A45581"/>
    <w:rsid w:val="00A455CF"/>
    <w:rsid w:val="00A455E9"/>
    <w:rsid w:val="00A455EB"/>
    <w:rsid w:val="00A45718"/>
    <w:rsid w:val="00A45724"/>
    <w:rsid w:val="00A45738"/>
    <w:rsid w:val="00A4573D"/>
    <w:rsid w:val="00A45780"/>
    <w:rsid w:val="00A45786"/>
    <w:rsid w:val="00A457E4"/>
    <w:rsid w:val="00A45878"/>
    <w:rsid w:val="00A45886"/>
    <w:rsid w:val="00A458AD"/>
    <w:rsid w:val="00A45995"/>
    <w:rsid w:val="00A45A0F"/>
    <w:rsid w:val="00A45A2A"/>
    <w:rsid w:val="00A45A2E"/>
    <w:rsid w:val="00A45A9A"/>
    <w:rsid w:val="00A45AEB"/>
    <w:rsid w:val="00A45B3C"/>
    <w:rsid w:val="00A45BE7"/>
    <w:rsid w:val="00A45CDF"/>
    <w:rsid w:val="00A45D00"/>
    <w:rsid w:val="00A45D1A"/>
    <w:rsid w:val="00A45D7D"/>
    <w:rsid w:val="00A45F17"/>
    <w:rsid w:val="00A45F1A"/>
    <w:rsid w:val="00A45F29"/>
    <w:rsid w:val="00A45F4A"/>
    <w:rsid w:val="00A45F7D"/>
    <w:rsid w:val="00A45F92"/>
    <w:rsid w:val="00A45FAB"/>
    <w:rsid w:val="00A45FB0"/>
    <w:rsid w:val="00A45FFC"/>
    <w:rsid w:val="00A460B6"/>
    <w:rsid w:val="00A460FE"/>
    <w:rsid w:val="00A46133"/>
    <w:rsid w:val="00A4614A"/>
    <w:rsid w:val="00A46165"/>
    <w:rsid w:val="00A461DE"/>
    <w:rsid w:val="00A46216"/>
    <w:rsid w:val="00A4629A"/>
    <w:rsid w:val="00A462C5"/>
    <w:rsid w:val="00A462D8"/>
    <w:rsid w:val="00A462F1"/>
    <w:rsid w:val="00A4631F"/>
    <w:rsid w:val="00A4637F"/>
    <w:rsid w:val="00A463A5"/>
    <w:rsid w:val="00A463B1"/>
    <w:rsid w:val="00A463F4"/>
    <w:rsid w:val="00A463FC"/>
    <w:rsid w:val="00A463FF"/>
    <w:rsid w:val="00A4642F"/>
    <w:rsid w:val="00A46455"/>
    <w:rsid w:val="00A46462"/>
    <w:rsid w:val="00A4648F"/>
    <w:rsid w:val="00A464E0"/>
    <w:rsid w:val="00A464F9"/>
    <w:rsid w:val="00A4653F"/>
    <w:rsid w:val="00A46611"/>
    <w:rsid w:val="00A46696"/>
    <w:rsid w:val="00A4676E"/>
    <w:rsid w:val="00A467AC"/>
    <w:rsid w:val="00A467B6"/>
    <w:rsid w:val="00A4681B"/>
    <w:rsid w:val="00A4682D"/>
    <w:rsid w:val="00A46858"/>
    <w:rsid w:val="00A46887"/>
    <w:rsid w:val="00A468C5"/>
    <w:rsid w:val="00A468D0"/>
    <w:rsid w:val="00A4690E"/>
    <w:rsid w:val="00A46919"/>
    <w:rsid w:val="00A46942"/>
    <w:rsid w:val="00A46945"/>
    <w:rsid w:val="00A46971"/>
    <w:rsid w:val="00A46990"/>
    <w:rsid w:val="00A4699E"/>
    <w:rsid w:val="00A469A2"/>
    <w:rsid w:val="00A469AC"/>
    <w:rsid w:val="00A469D1"/>
    <w:rsid w:val="00A469EE"/>
    <w:rsid w:val="00A469F4"/>
    <w:rsid w:val="00A46B0F"/>
    <w:rsid w:val="00A46B18"/>
    <w:rsid w:val="00A46B3A"/>
    <w:rsid w:val="00A46B44"/>
    <w:rsid w:val="00A46BB9"/>
    <w:rsid w:val="00A46C14"/>
    <w:rsid w:val="00A46C41"/>
    <w:rsid w:val="00A46CCE"/>
    <w:rsid w:val="00A46CDB"/>
    <w:rsid w:val="00A46CFD"/>
    <w:rsid w:val="00A46D07"/>
    <w:rsid w:val="00A46D0A"/>
    <w:rsid w:val="00A46D17"/>
    <w:rsid w:val="00A46D39"/>
    <w:rsid w:val="00A46E36"/>
    <w:rsid w:val="00A46E43"/>
    <w:rsid w:val="00A46F42"/>
    <w:rsid w:val="00A46F48"/>
    <w:rsid w:val="00A46F4D"/>
    <w:rsid w:val="00A46FCB"/>
    <w:rsid w:val="00A46FE4"/>
    <w:rsid w:val="00A46FEF"/>
    <w:rsid w:val="00A47019"/>
    <w:rsid w:val="00A4709C"/>
    <w:rsid w:val="00A470B0"/>
    <w:rsid w:val="00A470E3"/>
    <w:rsid w:val="00A47105"/>
    <w:rsid w:val="00A4713F"/>
    <w:rsid w:val="00A47159"/>
    <w:rsid w:val="00A4719E"/>
    <w:rsid w:val="00A471C6"/>
    <w:rsid w:val="00A47214"/>
    <w:rsid w:val="00A4722C"/>
    <w:rsid w:val="00A47262"/>
    <w:rsid w:val="00A47264"/>
    <w:rsid w:val="00A472D9"/>
    <w:rsid w:val="00A47386"/>
    <w:rsid w:val="00A47434"/>
    <w:rsid w:val="00A47445"/>
    <w:rsid w:val="00A47458"/>
    <w:rsid w:val="00A47460"/>
    <w:rsid w:val="00A4746C"/>
    <w:rsid w:val="00A474A8"/>
    <w:rsid w:val="00A47535"/>
    <w:rsid w:val="00A4754B"/>
    <w:rsid w:val="00A475D2"/>
    <w:rsid w:val="00A475D7"/>
    <w:rsid w:val="00A4761B"/>
    <w:rsid w:val="00A47628"/>
    <w:rsid w:val="00A47645"/>
    <w:rsid w:val="00A47693"/>
    <w:rsid w:val="00A47695"/>
    <w:rsid w:val="00A476D3"/>
    <w:rsid w:val="00A47702"/>
    <w:rsid w:val="00A4776E"/>
    <w:rsid w:val="00A4776F"/>
    <w:rsid w:val="00A47770"/>
    <w:rsid w:val="00A47797"/>
    <w:rsid w:val="00A477D1"/>
    <w:rsid w:val="00A47842"/>
    <w:rsid w:val="00A47864"/>
    <w:rsid w:val="00A478EB"/>
    <w:rsid w:val="00A4790B"/>
    <w:rsid w:val="00A47940"/>
    <w:rsid w:val="00A479F3"/>
    <w:rsid w:val="00A47AA9"/>
    <w:rsid w:val="00A47AB9"/>
    <w:rsid w:val="00A47C09"/>
    <w:rsid w:val="00A47C4D"/>
    <w:rsid w:val="00A47CE3"/>
    <w:rsid w:val="00A47D04"/>
    <w:rsid w:val="00A47D14"/>
    <w:rsid w:val="00A47E63"/>
    <w:rsid w:val="00A47EB3"/>
    <w:rsid w:val="00A47EDE"/>
    <w:rsid w:val="00A47FA0"/>
    <w:rsid w:val="00A47FD9"/>
    <w:rsid w:val="00A47FED"/>
    <w:rsid w:val="00A50064"/>
    <w:rsid w:val="00A5008C"/>
    <w:rsid w:val="00A500CC"/>
    <w:rsid w:val="00A501E7"/>
    <w:rsid w:val="00A502A3"/>
    <w:rsid w:val="00A502D6"/>
    <w:rsid w:val="00A50319"/>
    <w:rsid w:val="00A50335"/>
    <w:rsid w:val="00A50362"/>
    <w:rsid w:val="00A50369"/>
    <w:rsid w:val="00A50421"/>
    <w:rsid w:val="00A50455"/>
    <w:rsid w:val="00A5046F"/>
    <w:rsid w:val="00A5054C"/>
    <w:rsid w:val="00A505DD"/>
    <w:rsid w:val="00A50640"/>
    <w:rsid w:val="00A50642"/>
    <w:rsid w:val="00A50691"/>
    <w:rsid w:val="00A5069E"/>
    <w:rsid w:val="00A5070F"/>
    <w:rsid w:val="00A50720"/>
    <w:rsid w:val="00A50799"/>
    <w:rsid w:val="00A507B1"/>
    <w:rsid w:val="00A507B9"/>
    <w:rsid w:val="00A507DD"/>
    <w:rsid w:val="00A50854"/>
    <w:rsid w:val="00A5086B"/>
    <w:rsid w:val="00A5089A"/>
    <w:rsid w:val="00A50901"/>
    <w:rsid w:val="00A50973"/>
    <w:rsid w:val="00A509DD"/>
    <w:rsid w:val="00A509EF"/>
    <w:rsid w:val="00A50A1C"/>
    <w:rsid w:val="00A50A3B"/>
    <w:rsid w:val="00A50A56"/>
    <w:rsid w:val="00A50A57"/>
    <w:rsid w:val="00A50AB7"/>
    <w:rsid w:val="00A50BF9"/>
    <w:rsid w:val="00A50C9A"/>
    <w:rsid w:val="00A50CD6"/>
    <w:rsid w:val="00A50D0A"/>
    <w:rsid w:val="00A50D40"/>
    <w:rsid w:val="00A50D46"/>
    <w:rsid w:val="00A50DF8"/>
    <w:rsid w:val="00A50E19"/>
    <w:rsid w:val="00A50E57"/>
    <w:rsid w:val="00A50F08"/>
    <w:rsid w:val="00A50F53"/>
    <w:rsid w:val="00A50FB0"/>
    <w:rsid w:val="00A50FEC"/>
    <w:rsid w:val="00A510BD"/>
    <w:rsid w:val="00A510C1"/>
    <w:rsid w:val="00A511A7"/>
    <w:rsid w:val="00A511D6"/>
    <w:rsid w:val="00A511F3"/>
    <w:rsid w:val="00A51206"/>
    <w:rsid w:val="00A5127B"/>
    <w:rsid w:val="00A512DE"/>
    <w:rsid w:val="00A513B7"/>
    <w:rsid w:val="00A513F9"/>
    <w:rsid w:val="00A5143E"/>
    <w:rsid w:val="00A514A2"/>
    <w:rsid w:val="00A51530"/>
    <w:rsid w:val="00A515C5"/>
    <w:rsid w:val="00A515DA"/>
    <w:rsid w:val="00A515DE"/>
    <w:rsid w:val="00A51612"/>
    <w:rsid w:val="00A5163F"/>
    <w:rsid w:val="00A51698"/>
    <w:rsid w:val="00A516CE"/>
    <w:rsid w:val="00A51722"/>
    <w:rsid w:val="00A51725"/>
    <w:rsid w:val="00A5172C"/>
    <w:rsid w:val="00A51733"/>
    <w:rsid w:val="00A517D6"/>
    <w:rsid w:val="00A518A0"/>
    <w:rsid w:val="00A518B8"/>
    <w:rsid w:val="00A51925"/>
    <w:rsid w:val="00A5192A"/>
    <w:rsid w:val="00A51957"/>
    <w:rsid w:val="00A519AA"/>
    <w:rsid w:val="00A51BC2"/>
    <w:rsid w:val="00A51BF8"/>
    <w:rsid w:val="00A51C0C"/>
    <w:rsid w:val="00A51C20"/>
    <w:rsid w:val="00A51C51"/>
    <w:rsid w:val="00A51CCF"/>
    <w:rsid w:val="00A51D58"/>
    <w:rsid w:val="00A51DE6"/>
    <w:rsid w:val="00A51E3F"/>
    <w:rsid w:val="00A51E5C"/>
    <w:rsid w:val="00A51E75"/>
    <w:rsid w:val="00A51E9E"/>
    <w:rsid w:val="00A51EB1"/>
    <w:rsid w:val="00A51EF9"/>
    <w:rsid w:val="00A51F33"/>
    <w:rsid w:val="00A51F8D"/>
    <w:rsid w:val="00A51F9E"/>
    <w:rsid w:val="00A5206E"/>
    <w:rsid w:val="00A52078"/>
    <w:rsid w:val="00A52106"/>
    <w:rsid w:val="00A52145"/>
    <w:rsid w:val="00A52193"/>
    <w:rsid w:val="00A521A5"/>
    <w:rsid w:val="00A521AA"/>
    <w:rsid w:val="00A522C8"/>
    <w:rsid w:val="00A52308"/>
    <w:rsid w:val="00A52344"/>
    <w:rsid w:val="00A52350"/>
    <w:rsid w:val="00A523A6"/>
    <w:rsid w:val="00A5240E"/>
    <w:rsid w:val="00A52418"/>
    <w:rsid w:val="00A5247D"/>
    <w:rsid w:val="00A5249D"/>
    <w:rsid w:val="00A524A7"/>
    <w:rsid w:val="00A524E5"/>
    <w:rsid w:val="00A52542"/>
    <w:rsid w:val="00A52613"/>
    <w:rsid w:val="00A526C0"/>
    <w:rsid w:val="00A526D8"/>
    <w:rsid w:val="00A526EE"/>
    <w:rsid w:val="00A52710"/>
    <w:rsid w:val="00A52739"/>
    <w:rsid w:val="00A52793"/>
    <w:rsid w:val="00A527AF"/>
    <w:rsid w:val="00A527E1"/>
    <w:rsid w:val="00A52818"/>
    <w:rsid w:val="00A5281B"/>
    <w:rsid w:val="00A52873"/>
    <w:rsid w:val="00A52885"/>
    <w:rsid w:val="00A52892"/>
    <w:rsid w:val="00A52990"/>
    <w:rsid w:val="00A52B2E"/>
    <w:rsid w:val="00A52B43"/>
    <w:rsid w:val="00A52B4F"/>
    <w:rsid w:val="00A52B5D"/>
    <w:rsid w:val="00A52BAE"/>
    <w:rsid w:val="00A52BB2"/>
    <w:rsid w:val="00A52CA8"/>
    <w:rsid w:val="00A52CB2"/>
    <w:rsid w:val="00A52CBD"/>
    <w:rsid w:val="00A52CDC"/>
    <w:rsid w:val="00A52CFB"/>
    <w:rsid w:val="00A52D16"/>
    <w:rsid w:val="00A52D5B"/>
    <w:rsid w:val="00A52D95"/>
    <w:rsid w:val="00A52DBF"/>
    <w:rsid w:val="00A52DC9"/>
    <w:rsid w:val="00A52E57"/>
    <w:rsid w:val="00A52F3A"/>
    <w:rsid w:val="00A52F50"/>
    <w:rsid w:val="00A52F6A"/>
    <w:rsid w:val="00A52F7F"/>
    <w:rsid w:val="00A52F80"/>
    <w:rsid w:val="00A52F97"/>
    <w:rsid w:val="00A52FD5"/>
    <w:rsid w:val="00A52FD7"/>
    <w:rsid w:val="00A52FDD"/>
    <w:rsid w:val="00A53049"/>
    <w:rsid w:val="00A53080"/>
    <w:rsid w:val="00A530B2"/>
    <w:rsid w:val="00A53102"/>
    <w:rsid w:val="00A53103"/>
    <w:rsid w:val="00A5323E"/>
    <w:rsid w:val="00A532FB"/>
    <w:rsid w:val="00A53328"/>
    <w:rsid w:val="00A53334"/>
    <w:rsid w:val="00A533F9"/>
    <w:rsid w:val="00A53440"/>
    <w:rsid w:val="00A53456"/>
    <w:rsid w:val="00A534CE"/>
    <w:rsid w:val="00A534D6"/>
    <w:rsid w:val="00A5356F"/>
    <w:rsid w:val="00A53594"/>
    <w:rsid w:val="00A535CD"/>
    <w:rsid w:val="00A535D9"/>
    <w:rsid w:val="00A535E1"/>
    <w:rsid w:val="00A53624"/>
    <w:rsid w:val="00A5363F"/>
    <w:rsid w:val="00A53677"/>
    <w:rsid w:val="00A536BE"/>
    <w:rsid w:val="00A536C1"/>
    <w:rsid w:val="00A536F6"/>
    <w:rsid w:val="00A537E6"/>
    <w:rsid w:val="00A537EC"/>
    <w:rsid w:val="00A53845"/>
    <w:rsid w:val="00A5387E"/>
    <w:rsid w:val="00A53918"/>
    <w:rsid w:val="00A5391F"/>
    <w:rsid w:val="00A539A4"/>
    <w:rsid w:val="00A539C1"/>
    <w:rsid w:val="00A539D1"/>
    <w:rsid w:val="00A539E2"/>
    <w:rsid w:val="00A53A23"/>
    <w:rsid w:val="00A53A64"/>
    <w:rsid w:val="00A53B77"/>
    <w:rsid w:val="00A53BBE"/>
    <w:rsid w:val="00A53BC7"/>
    <w:rsid w:val="00A53C8B"/>
    <w:rsid w:val="00A53CDF"/>
    <w:rsid w:val="00A53D6E"/>
    <w:rsid w:val="00A53DD7"/>
    <w:rsid w:val="00A53E08"/>
    <w:rsid w:val="00A53E19"/>
    <w:rsid w:val="00A53E32"/>
    <w:rsid w:val="00A53E76"/>
    <w:rsid w:val="00A53F0B"/>
    <w:rsid w:val="00A53F13"/>
    <w:rsid w:val="00A53FCB"/>
    <w:rsid w:val="00A53FDD"/>
    <w:rsid w:val="00A53FF1"/>
    <w:rsid w:val="00A54009"/>
    <w:rsid w:val="00A54022"/>
    <w:rsid w:val="00A54071"/>
    <w:rsid w:val="00A5418B"/>
    <w:rsid w:val="00A54207"/>
    <w:rsid w:val="00A5423B"/>
    <w:rsid w:val="00A5423E"/>
    <w:rsid w:val="00A54252"/>
    <w:rsid w:val="00A542AE"/>
    <w:rsid w:val="00A542C7"/>
    <w:rsid w:val="00A5433E"/>
    <w:rsid w:val="00A54377"/>
    <w:rsid w:val="00A543AC"/>
    <w:rsid w:val="00A54499"/>
    <w:rsid w:val="00A54515"/>
    <w:rsid w:val="00A54524"/>
    <w:rsid w:val="00A54529"/>
    <w:rsid w:val="00A54571"/>
    <w:rsid w:val="00A54574"/>
    <w:rsid w:val="00A545B4"/>
    <w:rsid w:val="00A54601"/>
    <w:rsid w:val="00A5461A"/>
    <w:rsid w:val="00A54690"/>
    <w:rsid w:val="00A546CC"/>
    <w:rsid w:val="00A546F2"/>
    <w:rsid w:val="00A5472A"/>
    <w:rsid w:val="00A547C8"/>
    <w:rsid w:val="00A5482B"/>
    <w:rsid w:val="00A54852"/>
    <w:rsid w:val="00A54854"/>
    <w:rsid w:val="00A5489D"/>
    <w:rsid w:val="00A548CE"/>
    <w:rsid w:val="00A54912"/>
    <w:rsid w:val="00A5494C"/>
    <w:rsid w:val="00A5499C"/>
    <w:rsid w:val="00A549B5"/>
    <w:rsid w:val="00A549F5"/>
    <w:rsid w:val="00A54A30"/>
    <w:rsid w:val="00A54A41"/>
    <w:rsid w:val="00A54A57"/>
    <w:rsid w:val="00A54A96"/>
    <w:rsid w:val="00A54B43"/>
    <w:rsid w:val="00A54B45"/>
    <w:rsid w:val="00A54B94"/>
    <w:rsid w:val="00A54C02"/>
    <w:rsid w:val="00A54C03"/>
    <w:rsid w:val="00A54C14"/>
    <w:rsid w:val="00A54C23"/>
    <w:rsid w:val="00A54C9F"/>
    <w:rsid w:val="00A54CE1"/>
    <w:rsid w:val="00A54CFE"/>
    <w:rsid w:val="00A54D19"/>
    <w:rsid w:val="00A54D56"/>
    <w:rsid w:val="00A54DBF"/>
    <w:rsid w:val="00A54DDE"/>
    <w:rsid w:val="00A54E7C"/>
    <w:rsid w:val="00A54EF4"/>
    <w:rsid w:val="00A55019"/>
    <w:rsid w:val="00A5501C"/>
    <w:rsid w:val="00A55025"/>
    <w:rsid w:val="00A55027"/>
    <w:rsid w:val="00A550B1"/>
    <w:rsid w:val="00A550D6"/>
    <w:rsid w:val="00A5512A"/>
    <w:rsid w:val="00A5515E"/>
    <w:rsid w:val="00A551A8"/>
    <w:rsid w:val="00A55204"/>
    <w:rsid w:val="00A55243"/>
    <w:rsid w:val="00A5526F"/>
    <w:rsid w:val="00A552C0"/>
    <w:rsid w:val="00A552C7"/>
    <w:rsid w:val="00A552FF"/>
    <w:rsid w:val="00A553C6"/>
    <w:rsid w:val="00A55406"/>
    <w:rsid w:val="00A554B8"/>
    <w:rsid w:val="00A554F1"/>
    <w:rsid w:val="00A55519"/>
    <w:rsid w:val="00A5555D"/>
    <w:rsid w:val="00A555C0"/>
    <w:rsid w:val="00A555D0"/>
    <w:rsid w:val="00A5562A"/>
    <w:rsid w:val="00A556A4"/>
    <w:rsid w:val="00A556BE"/>
    <w:rsid w:val="00A55733"/>
    <w:rsid w:val="00A55747"/>
    <w:rsid w:val="00A55773"/>
    <w:rsid w:val="00A557CD"/>
    <w:rsid w:val="00A557D9"/>
    <w:rsid w:val="00A557DD"/>
    <w:rsid w:val="00A557F2"/>
    <w:rsid w:val="00A55837"/>
    <w:rsid w:val="00A55845"/>
    <w:rsid w:val="00A55859"/>
    <w:rsid w:val="00A5586B"/>
    <w:rsid w:val="00A5588B"/>
    <w:rsid w:val="00A558A9"/>
    <w:rsid w:val="00A558FA"/>
    <w:rsid w:val="00A55A0F"/>
    <w:rsid w:val="00A55A48"/>
    <w:rsid w:val="00A55AA8"/>
    <w:rsid w:val="00A55AC8"/>
    <w:rsid w:val="00A55AD7"/>
    <w:rsid w:val="00A55B34"/>
    <w:rsid w:val="00A55B67"/>
    <w:rsid w:val="00A55BD2"/>
    <w:rsid w:val="00A55BFD"/>
    <w:rsid w:val="00A55C08"/>
    <w:rsid w:val="00A55C2E"/>
    <w:rsid w:val="00A55C54"/>
    <w:rsid w:val="00A55D1C"/>
    <w:rsid w:val="00A55D24"/>
    <w:rsid w:val="00A55D94"/>
    <w:rsid w:val="00A55E3E"/>
    <w:rsid w:val="00A55EDE"/>
    <w:rsid w:val="00A55EFC"/>
    <w:rsid w:val="00A55F35"/>
    <w:rsid w:val="00A560B5"/>
    <w:rsid w:val="00A560D9"/>
    <w:rsid w:val="00A56137"/>
    <w:rsid w:val="00A56138"/>
    <w:rsid w:val="00A5613C"/>
    <w:rsid w:val="00A56178"/>
    <w:rsid w:val="00A56191"/>
    <w:rsid w:val="00A561A2"/>
    <w:rsid w:val="00A561E4"/>
    <w:rsid w:val="00A56228"/>
    <w:rsid w:val="00A5626D"/>
    <w:rsid w:val="00A562F9"/>
    <w:rsid w:val="00A56308"/>
    <w:rsid w:val="00A563BA"/>
    <w:rsid w:val="00A5642D"/>
    <w:rsid w:val="00A56435"/>
    <w:rsid w:val="00A56439"/>
    <w:rsid w:val="00A56461"/>
    <w:rsid w:val="00A56487"/>
    <w:rsid w:val="00A56495"/>
    <w:rsid w:val="00A564C8"/>
    <w:rsid w:val="00A5652E"/>
    <w:rsid w:val="00A56584"/>
    <w:rsid w:val="00A565FE"/>
    <w:rsid w:val="00A56600"/>
    <w:rsid w:val="00A5662F"/>
    <w:rsid w:val="00A56662"/>
    <w:rsid w:val="00A566A6"/>
    <w:rsid w:val="00A566B4"/>
    <w:rsid w:val="00A56718"/>
    <w:rsid w:val="00A56780"/>
    <w:rsid w:val="00A56785"/>
    <w:rsid w:val="00A567E0"/>
    <w:rsid w:val="00A56877"/>
    <w:rsid w:val="00A5687A"/>
    <w:rsid w:val="00A56889"/>
    <w:rsid w:val="00A569BC"/>
    <w:rsid w:val="00A569D4"/>
    <w:rsid w:val="00A56A0B"/>
    <w:rsid w:val="00A56A18"/>
    <w:rsid w:val="00A56A65"/>
    <w:rsid w:val="00A56C1E"/>
    <w:rsid w:val="00A56C47"/>
    <w:rsid w:val="00A56CF8"/>
    <w:rsid w:val="00A56D1D"/>
    <w:rsid w:val="00A56D86"/>
    <w:rsid w:val="00A56D9E"/>
    <w:rsid w:val="00A56DEA"/>
    <w:rsid w:val="00A56DEC"/>
    <w:rsid w:val="00A56E0A"/>
    <w:rsid w:val="00A56E7F"/>
    <w:rsid w:val="00A56EF9"/>
    <w:rsid w:val="00A56F2D"/>
    <w:rsid w:val="00A56FA7"/>
    <w:rsid w:val="00A56FA8"/>
    <w:rsid w:val="00A56FCE"/>
    <w:rsid w:val="00A56FD9"/>
    <w:rsid w:val="00A56FDD"/>
    <w:rsid w:val="00A57010"/>
    <w:rsid w:val="00A57022"/>
    <w:rsid w:val="00A5707E"/>
    <w:rsid w:val="00A570FE"/>
    <w:rsid w:val="00A57219"/>
    <w:rsid w:val="00A57241"/>
    <w:rsid w:val="00A5725C"/>
    <w:rsid w:val="00A57297"/>
    <w:rsid w:val="00A572E6"/>
    <w:rsid w:val="00A5732C"/>
    <w:rsid w:val="00A57340"/>
    <w:rsid w:val="00A5740E"/>
    <w:rsid w:val="00A574A4"/>
    <w:rsid w:val="00A5751F"/>
    <w:rsid w:val="00A5759C"/>
    <w:rsid w:val="00A575A6"/>
    <w:rsid w:val="00A57619"/>
    <w:rsid w:val="00A576EF"/>
    <w:rsid w:val="00A576F1"/>
    <w:rsid w:val="00A5773D"/>
    <w:rsid w:val="00A57757"/>
    <w:rsid w:val="00A57823"/>
    <w:rsid w:val="00A57837"/>
    <w:rsid w:val="00A5792E"/>
    <w:rsid w:val="00A5799E"/>
    <w:rsid w:val="00A57B10"/>
    <w:rsid w:val="00A57B5C"/>
    <w:rsid w:val="00A57BAA"/>
    <w:rsid w:val="00A57C3F"/>
    <w:rsid w:val="00A57C4C"/>
    <w:rsid w:val="00A57C61"/>
    <w:rsid w:val="00A57CA1"/>
    <w:rsid w:val="00A57CAE"/>
    <w:rsid w:val="00A57CD1"/>
    <w:rsid w:val="00A57DD4"/>
    <w:rsid w:val="00A57EEF"/>
    <w:rsid w:val="00A57F36"/>
    <w:rsid w:val="00A57F82"/>
    <w:rsid w:val="00A57F89"/>
    <w:rsid w:val="00A57FA5"/>
    <w:rsid w:val="00A57FC8"/>
    <w:rsid w:val="00A6007A"/>
    <w:rsid w:val="00A60080"/>
    <w:rsid w:val="00A600D8"/>
    <w:rsid w:val="00A600EE"/>
    <w:rsid w:val="00A6014A"/>
    <w:rsid w:val="00A601A0"/>
    <w:rsid w:val="00A601F0"/>
    <w:rsid w:val="00A6021C"/>
    <w:rsid w:val="00A6022B"/>
    <w:rsid w:val="00A6024E"/>
    <w:rsid w:val="00A60278"/>
    <w:rsid w:val="00A60279"/>
    <w:rsid w:val="00A602C7"/>
    <w:rsid w:val="00A602DF"/>
    <w:rsid w:val="00A60320"/>
    <w:rsid w:val="00A6036A"/>
    <w:rsid w:val="00A603B1"/>
    <w:rsid w:val="00A603D3"/>
    <w:rsid w:val="00A6040B"/>
    <w:rsid w:val="00A60419"/>
    <w:rsid w:val="00A6047D"/>
    <w:rsid w:val="00A604A6"/>
    <w:rsid w:val="00A604D4"/>
    <w:rsid w:val="00A6054A"/>
    <w:rsid w:val="00A60550"/>
    <w:rsid w:val="00A60582"/>
    <w:rsid w:val="00A60592"/>
    <w:rsid w:val="00A606B0"/>
    <w:rsid w:val="00A606F1"/>
    <w:rsid w:val="00A60709"/>
    <w:rsid w:val="00A607C8"/>
    <w:rsid w:val="00A607DC"/>
    <w:rsid w:val="00A6080A"/>
    <w:rsid w:val="00A6084C"/>
    <w:rsid w:val="00A608BE"/>
    <w:rsid w:val="00A608D3"/>
    <w:rsid w:val="00A60933"/>
    <w:rsid w:val="00A60934"/>
    <w:rsid w:val="00A6099C"/>
    <w:rsid w:val="00A609ED"/>
    <w:rsid w:val="00A609F3"/>
    <w:rsid w:val="00A60ABC"/>
    <w:rsid w:val="00A60B03"/>
    <w:rsid w:val="00A60B37"/>
    <w:rsid w:val="00A60B45"/>
    <w:rsid w:val="00A60BA7"/>
    <w:rsid w:val="00A60C54"/>
    <w:rsid w:val="00A60D41"/>
    <w:rsid w:val="00A60E26"/>
    <w:rsid w:val="00A60E92"/>
    <w:rsid w:val="00A60ECA"/>
    <w:rsid w:val="00A60EEB"/>
    <w:rsid w:val="00A60F61"/>
    <w:rsid w:val="00A60F7A"/>
    <w:rsid w:val="00A60F9B"/>
    <w:rsid w:val="00A60FB4"/>
    <w:rsid w:val="00A60FBD"/>
    <w:rsid w:val="00A61030"/>
    <w:rsid w:val="00A6103A"/>
    <w:rsid w:val="00A6104B"/>
    <w:rsid w:val="00A610AA"/>
    <w:rsid w:val="00A610AD"/>
    <w:rsid w:val="00A6115F"/>
    <w:rsid w:val="00A61168"/>
    <w:rsid w:val="00A61171"/>
    <w:rsid w:val="00A611BC"/>
    <w:rsid w:val="00A611FB"/>
    <w:rsid w:val="00A61257"/>
    <w:rsid w:val="00A61322"/>
    <w:rsid w:val="00A6138E"/>
    <w:rsid w:val="00A613E3"/>
    <w:rsid w:val="00A61428"/>
    <w:rsid w:val="00A614B7"/>
    <w:rsid w:val="00A614D0"/>
    <w:rsid w:val="00A614E0"/>
    <w:rsid w:val="00A61520"/>
    <w:rsid w:val="00A61582"/>
    <w:rsid w:val="00A61587"/>
    <w:rsid w:val="00A61738"/>
    <w:rsid w:val="00A61751"/>
    <w:rsid w:val="00A617E8"/>
    <w:rsid w:val="00A617F8"/>
    <w:rsid w:val="00A61818"/>
    <w:rsid w:val="00A6182D"/>
    <w:rsid w:val="00A61840"/>
    <w:rsid w:val="00A61897"/>
    <w:rsid w:val="00A618B5"/>
    <w:rsid w:val="00A6192F"/>
    <w:rsid w:val="00A619D5"/>
    <w:rsid w:val="00A61A77"/>
    <w:rsid w:val="00A61A7C"/>
    <w:rsid w:val="00A61ABD"/>
    <w:rsid w:val="00A61AC5"/>
    <w:rsid w:val="00A61B09"/>
    <w:rsid w:val="00A61BB4"/>
    <w:rsid w:val="00A61BE1"/>
    <w:rsid w:val="00A61BE7"/>
    <w:rsid w:val="00A61C35"/>
    <w:rsid w:val="00A61C4E"/>
    <w:rsid w:val="00A61C8D"/>
    <w:rsid w:val="00A61DBD"/>
    <w:rsid w:val="00A61DCB"/>
    <w:rsid w:val="00A61DF4"/>
    <w:rsid w:val="00A61DFF"/>
    <w:rsid w:val="00A61E01"/>
    <w:rsid w:val="00A61E40"/>
    <w:rsid w:val="00A61E46"/>
    <w:rsid w:val="00A61E70"/>
    <w:rsid w:val="00A61F04"/>
    <w:rsid w:val="00A61F19"/>
    <w:rsid w:val="00A61F2C"/>
    <w:rsid w:val="00A61F54"/>
    <w:rsid w:val="00A6205C"/>
    <w:rsid w:val="00A62096"/>
    <w:rsid w:val="00A621B5"/>
    <w:rsid w:val="00A621BB"/>
    <w:rsid w:val="00A62303"/>
    <w:rsid w:val="00A62354"/>
    <w:rsid w:val="00A623DF"/>
    <w:rsid w:val="00A623E1"/>
    <w:rsid w:val="00A62428"/>
    <w:rsid w:val="00A62452"/>
    <w:rsid w:val="00A6248E"/>
    <w:rsid w:val="00A6251F"/>
    <w:rsid w:val="00A6252D"/>
    <w:rsid w:val="00A62587"/>
    <w:rsid w:val="00A625A8"/>
    <w:rsid w:val="00A625C1"/>
    <w:rsid w:val="00A62602"/>
    <w:rsid w:val="00A62607"/>
    <w:rsid w:val="00A6263A"/>
    <w:rsid w:val="00A6265B"/>
    <w:rsid w:val="00A62713"/>
    <w:rsid w:val="00A62758"/>
    <w:rsid w:val="00A62778"/>
    <w:rsid w:val="00A6277A"/>
    <w:rsid w:val="00A6277B"/>
    <w:rsid w:val="00A62852"/>
    <w:rsid w:val="00A6287F"/>
    <w:rsid w:val="00A62892"/>
    <w:rsid w:val="00A628B8"/>
    <w:rsid w:val="00A628BC"/>
    <w:rsid w:val="00A628F7"/>
    <w:rsid w:val="00A62963"/>
    <w:rsid w:val="00A62A13"/>
    <w:rsid w:val="00A62A89"/>
    <w:rsid w:val="00A62B3F"/>
    <w:rsid w:val="00A62BED"/>
    <w:rsid w:val="00A62C00"/>
    <w:rsid w:val="00A62C10"/>
    <w:rsid w:val="00A62CE3"/>
    <w:rsid w:val="00A62D21"/>
    <w:rsid w:val="00A62D3A"/>
    <w:rsid w:val="00A62D67"/>
    <w:rsid w:val="00A62D69"/>
    <w:rsid w:val="00A62DF1"/>
    <w:rsid w:val="00A62E88"/>
    <w:rsid w:val="00A62EBA"/>
    <w:rsid w:val="00A62ED0"/>
    <w:rsid w:val="00A62FA8"/>
    <w:rsid w:val="00A62FC4"/>
    <w:rsid w:val="00A63009"/>
    <w:rsid w:val="00A6305D"/>
    <w:rsid w:val="00A63073"/>
    <w:rsid w:val="00A63079"/>
    <w:rsid w:val="00A630B7"/>
    <w:rsid w:val="00A6315A"/>
    <w:rsid w:val="00A631B1"/>
    <w:rsid w:val="00A63201"/>
    <w:rsid w:val="00A63212"/>
    <w:rsid w:val="00A6321B"/>
    <w:rsid w:val="00A6328B"/>
    <w:rsid w:val="00A633C1"/>
    <w:rsid w:val="00A6354F"/>
    <w:rsid w:val="00A63576"/>
    <w:rsid w:val="00A635AC"/>
    <w:rsid w:val="00A635CE"/>
    <w:rsid w:val="00A635D7"/>
    <w:rsid w:val="00A635E6"/>
    <w:rsid w:val="00A635E8"/>
    <w:rsid w:val="00A63637"/>
    <w:rsid w:val="00A6366C"/>
    <w:rsid w:val="00A63675"/>
    <w:rsid w:val="00A636FB"/>
    <w:rsid w:val="00A63747"/>
    <w:rsid w:val="00A63785"/>
    <w:rsid w:val="00A637D0"/>
    <w:rsid w:val="00A637D2"/>
    <w:rsid w:val="00A637D4"/>
    <w:rsid w:val="00A63806"/>
    <w:rsid w:val="00A6384E"/>
    <w:rsid w:val="00A638C7"/>
    <w:rsid w:val="00A63937"/>
    <w:rsid w:val="00A63938"/>
    <w:rsid w:val="00A639D1"/>
    <w:rsid w:val="00A639FF"/>
    <w:rsid w:val="00A63A71"/>
    <w:rsid w:val="00A63AAB"/>
    <w:rsid w:val="00A63AE9"/>
    <w:rsid w:val="00A63B6F"/>
    <w:rsid w:val="00A63B74"/>
    <w:rsid w:val="00A63BAF"/>
    <w:rsid w:val="00A63BE3"/>
    <w:rsid w:val="00A63C90"/>
    <w:rsid w:val="00A63CBC"/>
    <w:rsid w:val="00A63CC9"/>
    <w:rsid w:val="00A63D7E"/>
    <w:rsid w:val="00A63D9C"/>
    <w:rsid w:val="00A63DC0"/>
    <w:rsid w:val="00A63DD9"/>
    <w:rsid w:val="00A63E17"/>
    <w:rsid w:val="00A63E25"/>
    <w:rsid w:val="00A63E8A"/>
    <w:rsid w:val="00A63E9C"/>
    <w:rsid w:val="00A63EA9"/>
    <w:rsid w:val="00A63EB6"/>
    <w:rsid w:val="00A63EF1"/>
    <w:rsid w:val="00A63F17"/>
    <w:rsid w:val="00A63F65"/>
    <w:rsid w:val="00A63FCC"/>
    <w:rsid w:val="00A63FF4"/>
    <w:rsid w:val="00A64034"/>
    <w:rsid w:val="00A640CC"/>
    <w:rsid w:val="00A64129"/>
    <w:rsid w:val="00A64146"/>
    <w:rsid w:val="00A641A4"/>
    <w:rsid w:val="00A64216"/>
    <w:rsid w:val="00A64268"/>
    <w:rsid w:val="00A642FB"/>
    <w:rsid w:val="00A6433A"/>
    <w:rsid w:val="00A64340"/>
    <w:rsid w:val="00A643B4"/>
    <w:rsid w:val="00A643CA"/>
    <w:rsid w:val="00A643E1"/>
    <w:rsid w:val="00A6440D"/>
    <w:rsid w:val="00A64416"/>
    <w:rsid w:val="00A644AE"/>
    <w:rsid w:val="00A64560"/>
    <w:rsid w:val="00A6459D"/>
    <w:rsid w:val="00A645D3"/>
    <w:rsid w:val="00A64674"/>
    <w:rsid w:val="00A6470E"/>
    <w:rsid w:val="00A647B5"/>
    <w:rsid w:val="00A647CE"/>
    <w:rsid w:val="00A647E4"/>
    <w:rsid w:val="00A6482E"/>
    <w:rsid w:val="00A64845"/>
    <w:rsid w:val="00A64862"/>
    <w:rsid w:val="00A6488B"/>
    <w:rsid w:val="00A648D7"/>
    <w:rsid w:val="00A648EE"/>
    <w:rsid w:val="00A649FB"/>
    <w:rsid w:val="00A64A06"/>
    <w:rsid w:val="00A64A2A"/>
    <w:rsid w:val="00A64ABB"/>
    <w:rsid w:val="00A64B2E"/>
    <w:rsid w:val="00A64BA0"/>
    <w:rsid w:val="00A64BB3"/>
    <w:rsid w:val="00A64BCA"/>
    <w:rsid w:val="00A64C4F"/>
    <w:rsid w:val="00A64CEB"/>
    <w:rsid w:val="00A64CFA"/>
    <w:rsid w:val="00A64D2A"/>
    <w:rsid w:val="00A64E19"/>
    <w:rsid w:val="00A64E4C"/>
    <w:rsid w:val="00A64E57"/>
    <w:rsid w:val="00A64F37"/>
    <w:rsid w:val="00A64F3B"/>
    <w:rsid w:val="00A64FA7"/>
    <w:rsid w:val="00A64FC3"/>
    <w:rsid w:val="00A64FE4"/>
    <w:rsid w:val="00A650B0"/>
    <w:rsid w:val="00A650D8"/>
    <w:rsid w:val="00A65169"/>
    <w:rsid w:val="00A65174"/>
    <w:rsid w:val="00A651CA"/>
    <w:rsid w:val="00A65203"/>
    <w:rsid w:val="00A6520B"/>
    <w:rsid w:val="00A6528E"/>
    <w:rsid w:val="00A65360"/>
    <w:rsid w:val="00A65364"/>
    <w:rsid w:val="00A65366"/>
    <w:rsid w:val="00A65374"/>
    <w:rsid w:val="00A653CA"/>
    <w:rsid w:val="00A653CE"/>
    <w:rsid w:val="00A653DD"/>
    <w:rsid w:val="00A653F7"/>
    <w:rsid w:val="00A653FA"/>
    <w:rsid w:val="00A6547F"/>
    <w:rsid w:val="00A65492"/>
    <w:rsid w:val="00A654AB"/>
    <w:rsid w:val="00A65520"/>
    <w:rsid w:val="00A65527"/>
    <w:rsid w:val="00A6556B"/>
    <w:rsid w:val="00A65572"/>
    <w:rsid w:val="00A655B9"/>
    <w:rsid w:val="00A655FF"/>
    <w:rsid w:val="00A65696"/>
    <w:rsid w:val="00A656CA"/>
    <w:rsid w:val="00A656D1"/>
    <w:rsid w:val="00A656DE"/>
    <w:rsid w:val="00A65734"/>
    <w:rsid w:val="00A6578B"/>
    <w:rsid w:val="00A65795"/>
    <w:rsid w:val="00A6583B"/>
    <w:rsid w:val="00A65858"/>
    <w:rsid w:val="00A65865"/>
    <w:rsid w:val="00A65873"/>
    <w:rsid w:val="00A65888"/>
    <w:rsid w:val="00A658B5"/>
    <w:rsid w:val="00A658F9"/>
    <w:rsid w:val="00A65981"/>
    <w:rsid w:val="00A65AA0"/>
    <w:rsid w:val="00A65B15"/>
    <w:rsid w:val="00A65C13"/>
    <w:rsid w:val="00A65C29"/>
    <w:rsid w:val="00A65C35"/>
    <w:rsid w:val="00A65C5A"/>
    <w:rsid w:val="00A65D1E"/>
    <w:rsid w:val="00A65D25"/>
    <w:rsid w:val="00A65E6E"/>
    <w:rsid w:val="00A65EBF"/>
    <w:rsid w:val="00A65EC7"/>
    <w:rsid w:val="00A65F72"/>
    <w:rsid w:val="00A65F98"/>
    <w:rsid w:val="00A66014"/>
    <w:rsid w:val="00A6601B"/>
    <w:rsid w:val="00A660CF"/>
    <w:rsid w:val="00A660D8"/>
    <w:rsid w:val="00A660E6"/>
    <w:rsid w:val="00A6629F"/>
    <w:rsid w:val="00A662AE"/>
    <w:rsid w:val="00A662B4"/>
    <w:rsid w:val="00A6634D"/>
    <w:rsid w:val="00A663A8"/>
    <w:rsid w:val="00A663F1"/>
    <w:rsid w:val="00A66409"/>
    <w:rsid w:val="00A66427"/>
    <w:rsid w:val="00A6644B"/>
    <w:rsid w:val="00A664CC"/>
    <w:rsid w:val="00A664D2"/>
    <w:rsid w:val="00A664F2"/>
    <w:rsid w:val="00A6653B"/>
    <w:rsid w:val="00A66593"/>
    <w:rsid w:val="00A66598"/>
    <w:rsid w:val="00A665A4"/>
    <w:rsid w:val="00A665D2"/>
    <w:rsid w:val="00A6669D"/>
    <w:rsid w:val="00A666DF"/>
    <w:rsid w:val="00A666EF"/>
    <w:rsid w:val="00A666F6"/>
    <w:rsid w:val="00A6676F"/>
    <w:rsid w:val="00A667B6"/>
    <w:rsid w:val="00A667BB"/>
    <w:rsid w:val="00A6684A"/>
    <w:rsid w:val="00A66869"/>
    <w:rsid w:val="00A6686A"/>
    <w:rsid w:val="00A6688D"/>
    <w:rsid w:val="00A668AC"/>
    <w:rsid w:val="00A66908"/>
    <w:rsid w:val="00A66990"/>
    <w:rsid w:val="00A669BD"/>
    <w:rsid w:val="00A66AB3"/>
    <w:rsid w:val="00A66B0E"/>
    <w:rsid w:val="00A66B7C"/>
    <w:rsid w:val="00A66BF9"/>
    <w:rsid w:val="00A66C5F"/>
    <w:rsid w:val="00A66C8D"/>
    <w:rsid w:val="00A66CEC"/>
    <w:rsid w:val="00A66D0A"/>
    <w:rsid w:val="00A66E08"/>
    <w:rsid w:val="00A66E4C"/>
    <w:rsid w:val="00A66EC3"/>
    <w:rsid w:val="00A66ED1"/>
    <w:rsid w:val="00A66EF9"/>
    <w:rsid w:val="00A66F37"/>
    <w:rsid w:val="00A66F54"/>
    <w:rsid w:val="00A66FA9"/>
    <w:rsid w:val="00A67019"/>
    <w:rsid w:val="00A67080"/>
    <w:rsid w:val="00A670AB"/>
    <w:rsid w:val="00A6710C"/>
    <w:rsid w:val="00A671C1"/>
    <w:rsid w:val="00A671D8"/>
    <w:rsid w:val="00A67205"/>
    <w:rsid w:val="00A6725D"/>
    <w:rsid w:val="00A67275"/>
    <w:rsid w:val="00A672AC"/>
    <w:rsid w:val="00A672AF"/>
    <w:rsid w:val="00A672ED"/>
    <w:rsid w:val="00A67318"/>
    <w:rsid w:val="00A67344"/>
    <w:rsid w:val="00A67345"/>
    <w:rsid w:val="00A67348"/>
    <w:rsid w:val="00A67374"/>
    <w:rsid w:val="00A67383"/>
    <w:rsid w:val="00A67397"/>
    <w:rsid w:val="00A673DA"/>
    <w:rsid w:val="00A67426"/>
    <w:rsid w:val="00A67454"/>
    <w:rsid w:val="00A67478"/>
    <w:rsid w:val="00A67503"/>
    <w:rsid w:val="00A675E8"/>
    <w:rsid w:val="00A67633"/>
    <w:rsid w:val="00A6767C"/>
    <w:rsid w:val="00A6773B"/>
    <w:rsid w:val="00A677C4"/>
    <w:rsid w:val="00A677D4"/>
    <w:rsid w:val="00A677D9"/>
    <w:rsid w:val="00A67818"/>
    <w:rsid w:val="00A67833"/>
    <w:rsid w:val="00A67850"/>
    <w:rsid w:val="00A67881"/>
    <w:rsid w:val="00A678B8"/>
    <w:rsid w:val="00A679B9"/>
    <w:rsid w:val="00A679E2"/>
    <w:rsid w:val="00A67A06"/>
    <w:rsid w:val="00A67A0A"/>
    <w:rsid w:val="00A67A6B"/>
    <w:rsid w:val="00A67A98"/>
    <w:rsid w:val="00A67ABD"/>
    <w:rsid w:val="00A67B3E"/>
    <w:rsid w:val="00A67B51"/>
    <w:rsid w:val="00A67B70"/>
    <w:rsid w:val="00A67BE0"/>
    <w:rsid w:val="00A67C0C"/>
    <w:rsid w:val="00A67C50"/>
    <w:rsid w:val="00A67C61"/>
    <w:rsid w:val="00A67D13"/>
    <w:rsid w:val="00A67D1D"/>
    <w:rsid w:val="00A67D42"/>
    <w:rsid w:val="00A67D9E"/>
    <w:rsid w:val="00A67DAE"/>
    <w:rsid w:val="00A67DD2"/>
    <w:rsid w:val="00A67E3F"/>
    <w:rsid w:val="00A67EFC"/>
    <w:rsid w:val="00A67F5D"/>
    <w:rsid w:val="00A67FD6"/>
    <w:rsid w:val="00A6F6E9"/>
    <w:rsid w:val="00A7000A"/>
    <w:rsid w:val="00A7003D"/>
    <w:rsid w:val="00A7008C"/>
    <w:rsid w:val="00A700AE"/>
    <w:rsid w:val="00A7011F"/>
    <w:rsid w:val="00A7014E"/>
    <w:rsid w:val="00A7017E"/>
    <w:rsid w:val="00A7018D"/>
    <w:rsid w:val="00A701F9"/>
    <w:rsid w:val="00A7022B"/>
    <w:rsid w:val="00A7023B"/>
    <w:rsid w:val="00A7028B"/>
    <w:rsid w:val="00A7029D"/>
    <w:rsid w:val="00A702AA"/>
    <w:rsid w:val="00A702E3"/>
    <w:rsid w:val="00A702E9"/>
    <w:rsid w:val="00A702FC"/>
    <w:rsid w:val="00A70332"/>
    <w:rsid w:val="00A703BF"/>
    <w:rsid w:val="00A70495"/>
    <w:rsid w:val="00A704E0"/>
    <w:rsid w:val="00A704E7"/>
    <w:rsid w:val="00A704EC"/>
    <w:rsid w:val="00A70528"/>
    <w:rsid w:val="00A70589"/>
    <w:rsid w:val="00A70595"/>
    <w:rsid w:val="00A705B4"/>
    <w:rsid w:val="00A705D8"/>
    <w:rsid w:val="00A705D9"/>
    <w:rsid w:val="00A706F0"/>
    <w:rsid w:val="00A70739"/>
    <w:rsid w:val="00A70778"/>
    <w:rsid w:val="00A707A7"/>
    <w:rsid w:val="00A7081C"/>
    <w:rsid w:val="00A7089D"/>
    <w:rsid w:val="00A7091C"/>
    <w:rsid w:val="00A70970"/>
    <w:rsid w:val="00A709CC"/>
    <w:rsid w:val="00A70A21"/>
    <w:rsid w:val="00A70A56"/>
    <w:rsid w:val="00A70A71"/>
    <w:rsid w:val="00A70A78"/>
    <w:rsid w:val="00A70AFE"/>
    <w:rsid w:val="00A70BD4"/>
    <w:rsid w:val="00A70BEF"/>
    <w:rsid w:val="00A70CE3"/>
    <w:rsid w:val="00A70D19"/>
    <w:rsid w:val="00A70D8A"/>
    <w:rsid w:val="00A70DD2"/>
    <w:rsid w:val="00A70DE9"/>
    <w:rsid w:val="00A70DED"/>
    <w:rsid w:val="00A70E14"/>
    <w:rsid w:val="00A70E52"/>
    <w:rsid w:val="00A70E6F"/>
    <w:rsid w:val="00A70F31"/>
    <w:rsid w:val="00A70F98"/>
    <w:rsid w:val="00A70FA6"/>
    <w:rsid w:val="00A70FAC"/>
    <w:rsid w:val="00A70FF4"/>
    <w:rsid w:val="00A7101C"/>
    <w:rsid w:val="00A7104D"/>
    <w:rsid w:val="00A710AD"/>
    <w:rsid w:val="00A7112A"/>
    <w:rsid w:val="00A71142"/>
    <w:rsid w:val="00A7114D"/>
    <w:rsid w:val="00A71166"/>
    <w:rsid w:val="00A7119B"/>
    <w:rsid w:val="00A711B2"/>
    <w:rsid w:val="00A711DE"/>
    <w:rsid w:val="00A7124F"/>
    <w:rsid w:val="00A712BB"/>
    <w:rsid w:val="00A7134C"/>
    <w:rsid w:val="00A713CD"/>
    <w:rsid w:val="00A71428"/>
    <w:rsid w:val="00A7145E"/>
    <w:rsid w:val="00A71499"/>
    <w:rsid w:val="00A714B2"/>
    <w:rsid w:val="00A714F8"/>
    <w:rsid w:val="00A7152C"/>
    <w:rsid w:val="00A71534"/>
    <w:rsid w:val="00A7158D"/>
    <w:rsid w:val="00A715F9"/>
    <w:rsid w:val="00A71726"/>
    <w:rsid w:val="00A71735"/>
    <w:rsid w:val="00A7176A"/>
    <w:rsid w:val="00A71777"/>
    <w:rsid w:val="00A7179B"/>
    <w:rsid w:val="00A717F1"/>
    <w:rsid w:val="00A7189D"/>
    <w:rsid w:val="00A718A1"/>
    <w:rsid w:val="00A718CC"/>
    <w:rsid w:val="00A718E8"/>
    <w:rsid w:val="00A718E9"/>
    <w:rsid w:val="00A719BE"/>
    <w:rsid w:val="00A71A31"/>
    <w:rsid w:val="00A71A78"/>
    <w:rsid w:val="00A71A85"/>
    <w:rsid w:val="00A71AD5"/>
    <w:rsid w:val="00A71B1D"/>
    <w:rsid w:val="00A71B97"/>
    <w:rsid w:val="00A71CC2"/>
    <w:rsid w:val="00A71CF2"/>
    <w:rsid w:val="00A71D1F"/>
    <w:rsid w:val="00A71D8C"/>
    <w:rsid w:val="00A71D9F"/>
    <w:rsid w:val="00A71DAA"/>
    <w:rsid w:val="00A71E3E"/>
    <w:rsid w:val="00A71E5B"/>
    <w:rsid w:val="00A71EA2"/>
    <w:rsid w:val="00A71EE6"/>
    <w:rsid w:val="00A71F76"/>
    <w:rsid w:val="00A71F81"/>
    <w:rsid w:val="00A71FAA"/>
    <w:rsid w:val="00A71FB5"/>
    <w:rsid w:val="00A71FE9"/>
    <w:rsid w:val="00A720B5"/>
    <w:rsid w:val="00A720D0"/>
    <w:rsid w:val="00A720FE"/>
    <w:rsid w:val="00A72209"/>
    <w:rsid w:val="00A7223F"/>
    <w:rsid w:val="00A7225D"/>
    <w:rsid w:val="00A722D2"/>
    <w:rsid w:val="00A722E7"/>
    <w:rsid w:val="00A723EE"/>
    <w:rsid w:val="00A72424"/>
    <w:rsid w:val="00A724FC"/>
    <w:rsid w:val="00A72569"/>
    <w:rsid w:val="00A725A9"/>
    <w:rsid w:val="00A72669"/>
    <w:rsid w:val="00A7269D"/>
    <w:rsid w:val="00A726DD"/>
    <w:rsid w:val="00A72722"/>
    <w:rsid w:val="00A727B5"/>
    <w:rsid w:val="00A72812"/>
    <w:rsid w:val="00A72857"/>
    <w:rsid w:val="00A72859"/>
    <w:rsid w:val="00A728E4"/>
    <w:rsid w:val="00A72918"/>
    <w:rsid w:val="00A72923"/>
    <w:rsid w:val="00A72925"/>
    <w:rsid w:val="00A72954"/>
    <w:rsid w:val="00A72971"/>
    <w:rsid w:val="00A72972"/>
    <w:rsid w:val="00A7299E"/>
    <w:rsid w:val="00A729EB"/>
    <w:rsid w:val="00A72AA8"/>
    <w:rsid w:val="00A72BCA"/>
    <w:rsid w:val="00A72BDD"/>
    <w:rsid w:val="00A72BE0"/>
    <w:rsid w:val="00A72BEB"/>
    <w:rsid w:val="00A72BFE"/>
    <w:rsid w:val="00A72C0C"/>
    <w:rsid w:val="00A72C35"/>
    <w:rsid w:val="00A72C38"/>
    <w:rsid w:val="00A72C6E"/>
    <w:rsid w:val="00A72C7E"/>
    <w:rsid w:val="00A72CE0"/>
    <w:rsid w:val="00A72D0B"/>
    <w:rsid w:val="00A72D4F"/>
    <w:rsid w:val="00A72DDF"/>
    <w:rsid w:val="00A72DE4"/>
    <w:rsid w:val="00A72DFC"/>
    <w:rsid w:val="00A72E25"/>
    <w:rsid w:val="00A72E38"/>
    <w:rsid w:val="00A72E4E"/>
    <w:rsid w:val="00A72E94"/>
    <w:rsid w:val="00A72EBE"/>
    <w:rsid w:val="00A72F0A"/>
    <w:rsid w:val="00A72FBA"/>
    <w:rsid w:val="00A72FD6"/>
    <w:rsid w:val="00A72FFA"/>
    <w:rsid w:val="00A73039"/>
    <w:rsid w:val="00A73070"/>
    <w:rsid w:val="00A73075"/>
    <w:rsid w:val="00A7309C"/>
    <w:rsid w:val="00A730C1"/>
    <w:rsid w:val="00A7312B"/>
    <w:rsid w:val="00A73130"/>
    <w:rsid w:val="00A73158"/>
    <w:rsid w:val="00A73216"/>
    <w:rsid w:val="00A73249"/>
    <w:rsid w:val="00A7339C"/>
    <w:rsid w:val="00A733D5"/>
    <w:rsid w:val="00A73405"/>
    <w:rsid w:val="00A7340F"/>
    <w:rsid w:val="00A73422"/>
    <w:rsid w:val="00A73441"/>
    <w:rsid w:val="00A7344D"/>
    <w:rsid w:val="00A7348E"/>
    <w:rsid w:val="00A734AA"/>
    <w:rsid w:val="00A734D8"/>
    <w:rsid w:val="00A734F1"/>
    <w:rsid w:val="00A73540"/>
    <w:rsid w:val="00A73598"/>
    <w:rsid w:val="00A735FA"/>
    <w:rsid w:val="00A73616"/>
    <w:rsid w:val="00A73695"/>
    <w:rsid w:val="00A73699"/>
    <w:rsid w:val="00A736AA"/>
    <w:rsid w:val="00A73712"/>
    <w:rsid w:val="00A73723"/>
    <w:rsid w:val="00A73764"/>
    <w:rsid w:val="00A7377F"/>
    <w:rsid w:val="00A737E7"/>
    <w:rsid w:val="00A73804"/>
    <w:rsid w:val="00A73827"/>
    <w:rsid w:val="00A73838"/>
    <w:rsid w:val="00A73956"/>
    <w:rsid w:val="00A739B3"/>
    <w:rsid w:val="00A739BA"/>
    <w:rsid w:val="00A739C7"/>
    <w:rsid w:val="00A73A17"/>
    <w:rsid w:val="00A73A46"/>
    <w:rsid w:val="00A73A8F"/>
    <w:rsid w:val="00A73A9E"/>
    <w:rsid w:val="00A73AFA"/>
    <w:rsid w:val="00A73B48"/>
    <w:rsid w:val="00A73B52"/>
    <w:rsid w:val="00A73B66"/>
    <w:rsid w:val="00A73B7E"/>
    <w:rsid w:val="00A73BC2"/>
    <w:rsid w:val="00A73C2B"/>
    <w:rsid w:val="00A73C87"/>
    <w:rsid w:val="00A73C88"/>
    <w:rsid w:val="00A73C9C"/>
    <w:rsid w:val="00A73D28"/>
    <w:rsid w:val="00A73E0E"/>
    <w:rsid w:val="00A73E31"/>
    <w:rsid w:val="00A73E3F"/>
    <w:rsid w:val="00A73EF6"/>
    <w:rsid w:val="00A73F07"/>
    <w:rsid w:val="00A7402A"/>
    <w:rsid w:val="00A7406C"/>
    <w:rsid w:val="00A7408D"/>
    <w:rsid w:val="00A7411E"/>
    <w:rsid w:val="00A7415F"/>
    <w:rsid w:val="00A7417D"/>
    <w:rsid w:val="00A7418D"/>
    <w:rsid w:val="00A74194"/>
    <w:rsid w:val="00A741C3"/>
    <w:rsid w:val="00A741CB"/>
    <w:rsid w:val="00A741DF"/>
    <w:rsid w:val="00A74240"/>
    <w:rsid w:val="00A742D6"/>
    <w:rsid w:val="00A742F3"/>
    <w:rsid w:val="00A7433D"/>
    <w:rsid w:val="00A743CF"/>
    <w:rsid w:val="00A74418"/>
    <w:rsid w:val="00A7441A"/>
    <w:rsid w:val="00A74455"/>
    <w:rsid w:val="00A74474"/>
    <w:rsid w:val="00A74486"/>
    <w:rsid w:val="00A744B4"/>
    <w:rsid w:val="00A7454D"/>
    <w:rsid w:val="00A7458B"/>
    <w:rsid w:val="00A745A1"/>
    <w:rsid w:val="00A745CD"/>
    <w:rsid w:val="00A74654"/>
    <w:rsid w:val="00A74659"/>
    <w:rsid w:val="00A746E4"/>
    <w:rsid w:val="00A74759"/>
    <w:rsid w:val="00A7478A"/>
    <w:rsid w:val="00A747CD"/>
    <w:rsid w:val="00A7480D"/>
    <w:rsid w:val="00A7486B"/>
    <w:rsid w:val="00A748AC"/>
    <w:rsid w:val="00A748D1"/>
    <w:rsid w:val="00A748E7"/>
    <w:rsid w:val="00A748E8"/>
    <w:rsid w:val="00A748EC"/>
    <w:rsid w:val="00A748FF"/>
    <w:rsid w:val="00A74925"/>
    <w:rsid w:val="00A74965"/>
    <w:rsid w:val="00A74975"/>
    <w:rsid w:val="00A74998"/>
    <w:rsid w:val="00A7499D"/>
    <w:rsid w:val="00A749A2"/>
    <w:rsid w:val="00A749D4"/>
    <w:rsid w:val="00A749FD"/>
    <w:rsid w:val="00A74A4D"/>
    <w:rsid w:val="00A74A76"/>
    <w:rsid w:val="00A74A86"/>
    <w:rsid w:val="00A74AB4"/>
    <w:rsid w:val="00A74AFA"/>
    <w:rsid w:val="00A74B10"/>
    <w:rsid w:val="00A74B42"/>
    <w:rsid w:val="00A74C2B"/>
    <w:rsid w:val="00A74CD5"/>
    <w:rsid w:val="00A74D3A"/>
    <w:rsid w:val="00A74DF8"/>
    <w:rsid w:val="00A74E32"/>
    <w:rsid w:val="00A74E3A"/>
    <w:rsid w:val="00A74E4F"/>
    <w:rsid w:val="00A74E6E"/>
    <w:rsid w:val="00A74EC3"/>
    <w:rsid w:val="00A74F62"/>
    <w:rsid w:val="00A74FA7"/>
    <w:rsid w:val="00A74FEF"/>
    <w:rsid w:val="00A75019"/>
    <w:rsid w:val="00A75082"/>
    <w:rsid w:val="00A750C4"/>
    <w:rsid w:val="00A75182"/>
    <w:rsid w:val="00A7519C"/>
    <w:rsid w:val="00A751BB"/>
    <w:rsid w:val="00A751C9"/>
    <w:rsid w:val="00A751F0"/>
    <w:rsid w:val="00A7523B"/>
    <w:rsid w:val="00A75260"/>
    <w:rsid w:val="00A7526A"/>
    <w:rsid w:val="00A75294"/>
    <w:rsid w:val="00A7529A"/>
    <w:rsid w:val="00A752CD"/>
    <w:rsid w:val="00A752EB"/>
    <w:rsid w:val="00A75377"/>
    <w:rsid w:val="00A75385"/>
    <w:rsid w:val="00A7546B"/>
    <w:rsid w:val="00A7549C"/>
    <w:rsid w:val="00A754E6"/>
    <w:rsid w:val="00A754FA"/>
    <w:rsid w:val="00A755E0"/>
    <w:rsid w:val="00A7562E"/>
    <w:rsid w:val="00A75699"/>
    <w:rsid w:val="00A7569C"/>
    <w:rsid w:val="00A756A8"/>
    <w:rsid w:val="00A756B1"/>
    <w:rsid w:val="00A756E5"/>
    <w:rsid w:val="00A7576E"/>
    <w:rsid w:val="00A75795"/>
    <w:rsid w:val="00A75866"/>
    <w:rsid w:val="00A75875"/>
    <w:rsid w:val="00A7590E"/>
    <w:rsid w:val="00A75A3E"/>
    <w:rsid w:val="00A75A77"/>
    <w:rsid w:val="00A75A81"/>
    <w:rsid w:val="00A75A9E"/>
    <w:rsid w:val="00A75AB2"/>
    <w:rsid w:val="00A75AC6"/>
    <w:rsid w:val="00A75B45"/>
    <w:rsid w:val="00A75BB2"/>
    <w:rsid w:val="00A75BCB"/>
    <w:rsid w:val="00A75BCC"/>
    <w:rsid w:val="00A75CC8"/>
    <w:rsid w:val="00A75D11"/>
    <w:rsid w:val="00A75D4B"/>
    <w:rsid w:val="00A75D8D"/>
    <w:rsid w:val="00A75DEF"/>
    <w:rsid w:val="00A75E6D"/>
    <w:rsid w:val="00A75F5C"/>
    <w:rsid w:val="00A75FAE"/>
    <w:rsid w:val="00A75FC3"/>
    <w:rsid w:val="00A75FDC"/>
    <w:rsid w:val="00A75FF4"/>
    <w:rsid w:val="00A75FFF"/>
    <w:rsid w:val="00A76068"/>
    <w:rsid w:val="00A7607A"/>
    <w:rsid w:val="00A76220"/>
    <w:rsid w:val="00A76250"/>
    <w:rsid w:val="00A76283"/>
    <w:rsid w:val="00A762C4"/>
    <w:rsid w:val="00A762EB"/>
    <w:rsid w:val="00A76337"/>
    <w:rsid w:val="00A7634B"/>
    <w:rsid w:val="00A763E4"/>
    <w:rsid w:val="00A76484"/>
    <w:rsid w:val="00A764E6"/>
    <w:rsid w:val="00A764F6"/>
    <w:rsid w:val="00A76500"/>
    <w:rsid w:val="00A76535"/>
    <w:rsid w:val="00A76539"/>
    <w:rsid w:val="00A765D4"/>
    <w:rsid w:val="00A765DE"/>
    <w:rsid w:val="00A765FD"/>
    <w:rsid w:val="00A76607"/>
    <w:rsid w:val="00A766EB"/>
    <w:rsid w:val="00A766F7"/>
    <w:rsid w:val="00A76745"/>
    <w:rsid w:val="00A76749"/>
    <w:rsid w:val="00A7676F"/>
    <w:rsid w:val="00A76771"/>
    <w:rsid w:val="00A767C0"/>
    <w:rsid w:val="00A76868"/>
    <w:rsid w:val="00A76889"/>
    <w:rsid w:val="00A7689B"/>
    <w:rsid w:val="00A768D8"/>
    <w:rsid w:val="00A768E8"/>
    <w:rsid w:val="00A768EC"/>
    <w:rsid w:val="00A7692D"/>
    <w:rsid w:val="00A769AB"/>
    <w:rsid w:val="00A769CB"/>
    <w:rsid w:val="00A76A07"/>
    <w:rsid w:val="00A76A5C"/>
    <w:rsid w:val="00A76B2E"/>
    <w:rsid w:val="00A76B35"/>
    <w:rsid w:val="00A76B3B"/>
    <w:rsid w:val="00A76B76"/>
    <w:rsid w:val="00A76BB7"/>
    <w:rsid w:val="00A76BE0"/>
    <w:rsid w:val="00A76CC5"/>
    <w:rsid w:val="00A76CDE"/>
    <w:rsid w:val="00A76CE2"/>
    <w:rsid w:val="00A76D02"/>
    <w:rsid w:val="00A76D2B"/>
    <w:rsid w:val="00A76D59"/>
    <w:rsid w:val="00A76DA0"/>
    <w:rsid w:val="00A76DDC"/>
    <w:rsid w:val="00A76DDF"/>
    <w:rsid w:val="00A76E0A"/>
    <w:rsid w:val="00A76E25"/>
    <w:rsid w:val="00A76E8E"/>
    <w:rsid w:val="00A76EA1"/>
    <w:rsid w:val="00A76EE0"/>
    <w:rsid w:val="00A76EFD"/>
    <w:rsid w:val="00A76F49"/>
    <w:rsid w:val="00A76FA7"/>
    <w:rsid w:val="00A76FF4"/>
    <w:rsid w:val="00A77005"/>
    <w:rsid w:val="00A77012"/>
    <w:rsid w:val="00A770A2"/>
    <w:rsid w:val="00A770EB"/>
    <w:rsid w:val="00A7710E"/>
    <w:rsid w:val="00A7711F"/>
    <w:rsid w:val="00A771B7"/>
    <w:rsid w:val="00A771CE"/>
    <w:rsid w:val="00A771FD"/>
    <w:rsid w:val="00A7721C"/>
    <w:rsid w:val="00A77266"/>
    <w:rsid w:val="00A7729B"/>
    <w:rsid w:val="00A77356"/>
    <w:rsid w:val="00A7735E"/>
    <w:rsid w:val="00A77386"/>
    <w:rsid w:val="00A774A0"/>
    <w:rsid w:val="00A774BB"/>
    <w:rsid w:val="00A775F0"/>
    <w:rsid w:val="00A775F3"/>
    <w:rsid w:val="00A7763F"/>
    <w:rsid w:val="00A7767B"/>
    <w:rsid w:val="00A77681"/>
    <w:rsid w:val="00A77683"/>
    <w:rsid w:val="00A77686"/>
    <w:rsid w:val="00A776E6"/>
    <w:rsid w:val="00A77767"/>
    <w:rsid w:val="00A777E9"/>
    <w:rsid w:val="00A77825"/>
    <w:rsid w:val="00A77835"/>
    <w:rsid w:val="00A77867"/>
    <w:rsid w:val="00A7787A"/>
    <w:rsid w:val="00A7788C"/>
    <w:rsid w:val="00A7788E"/>
    <w:rsid w:val="00A778B8"/>
    <w:rsid w:val="00A77917"/>
    <w:rsid w:val="00A7797A"/>
    <w:rsid w:val="00A77982"/>
    <w:rsid w:val="00A779EE"/>
    <w:rsid w:val="00A77A44"/>
    <w:rsid w:val="00A77A8A"/>
    <w:rsid w:val="00A77AAE"/>
    <w:rsid w:val="00A77ADC"/>
    <w:rsid w:val="00A77B0F"/>
    <w:rsid w:val="00A77BB6"/>
    <w:rsid w:val="00A77CDE"/>
    <w:rsid w:val="00A77CFB"/>
    <w:rsid w:val="00A77D38"/>
    <w:rsid w:val="00A77D91"/>
    <w:rsid w:val="00A77DB9"/>
    <w:rsid w:val="00A77DDD"/>
    <w:rsid w:val="00A77E89"/>
    <w:rsid w:val="00A77EBD"/>
    <w:rsid w:val="00A77EC9"/>
    <w:rsid w:val="00A77EF2"/>
    <w:rsid w:val="00A77F20"/>
    <w:rsid w:val="00A77FAD"/>
    <w:rsid w:val="00A77FDF"/>
    <w:rsid w:val="00A80021"/>
    <w:rsid w:val="00A8002B"/>
    <w:rsid w:val="00A80057"/>
    <w:rsid w:val="00A800AF"/>
    <w:rsid w:val="00A8013B"/>
    <w:rsid w:val="00A8037E"/>
    <w:rsid w:val="00A8038F"/>
    <w:rsid w:val="00A803C9"/>
    <w:rsid w:val="00A8042D"/>
    <w:rsid w:val="00A80431"/>
    <w:rsid w:val="00A80569"/>
    <w:rsid w:val="00A80626"/>
    <w:rsid w:val="00A806DE"/>
    <w:rsid w:val="00A8073C"/>
    <w:rsid w:val="00A807BB"/>
    <w:rsid w:val="00A807F3"/>
    <w:rsid w:val="00A80856"/>
    <w:rsid w:val="00A8086A"/>
    <w:rsid w:val="00A80870"/>
    <w:rsid w:val="00A808CF"/>
    <w:rsid w:val="00A80993"/>
    <w:rsid w:val="00A809B5"/>
    <w:rsid w:val="00A80A43"/>
    <w:rsid w:val="00A80A52"/>
    <w:rsid w:val="00A80A70"/>
    <w:rsid w:val="00A80A7E"/>
    <w:rsid w:val="00A80AC3"/>
    <w:rsid w:val="00A80AFF"/>
    <w:rsid w:val="00A80B1D"/>
    <w:rsid w:val="00A80B27"/>
    <w:rsid w:val="00A80B8E"/>
    <w:rsid w:val="00A80BA7"/>
    <w:rsid w:val="00A80BBF"/>
    <w:rsid w:val="00A80BFA"/>
    <w:rsid w:val="00A80C07"/>
    <w:rsid w:val="00A80C88"/>
    <w:rsid w:val="00A80CB1"/>
    <w:rsid w:val="00A80D5A"/>
    <w:rsid w:val="00A80D91"/>
    <w:rsid w:val="00A80E0B"/>
    <w:rsid w:val="00A80E9A"/>
    <w:rsid w:val="00A80EFB"/>
    <w:rsid w:val="00A80F6A"/>
    <w:rsid w:val="00A80FCB"/>
    <w:rsid w:val="00A81036"/>
    <w:rsid w:val="00A81045"/>
    <w:rsid w:val="00A810B1"/>
    <w:rsid w:val="00A810CF"/>
    <w:rsid w:val="00A8111B"/>
    <w:rsid w:val="00A81138"/>
    <w:rsid w:val="00A81175"/>
    <w:rsid w:val="00A81238"/>
    <w:rsid w:val="00A8126F"/>
    <w:rsid w:val="00A81272"/>
    <w:rsid w:val="00A8127C"/>
    <w:rsid w:val="00A81295"/>
    <w:rsid w:val="00A812AF"/>
    <w:rsid w:val="00A8135D"/>
    <w:rsid w:val="00A813C9"/>
    <w:rsid w:val="00A81403"/>
    <w:rsid w:val="00A81419"/>
    <w:rsid w:val="00A814B8"/>
    <w:rsid w:val="00A814C7"/>
    <w:rsid w:val="00A814FB"/>
    <w:rsid w:val="00A815DA"/>
    <w:rsid w:val="00A81602"/>
    <w:rsid w:val="00A81610"/>
    <w:rsid w:val="00A81625"/>
    <w:rsid w:val="00A816A6"/>
    <w:rsid w:val="00A816D7"/>
    <w:rsid w:val="00A8171B"/>
    <w:rsid w:val="00A81755"/>
    <w:rsid w:val="00A81782"/>
    <w:rsid w:val="00A817A0"/>
    <w:rsid w:val="00A817A2"/>
    <w:rsid w:val="00A817C2"/>
    <w:rsid w:val="00A8184F"/>
    <w:rsid w:val="00A81892"/>
    <w:rsid w:val="00A818E1"/>
    <w:rsid w:val="00A818F1"/>
    <w:rsid w:val="00A81920"/>
    <w:rsid w:val="00A819B4"/>
    <w:rsid w:val="00A819BD"/>
    <w:rsid w:val="00A819EF"/>
    <w:rsid w:val="00A81A48"/>
    <w:rsid w:val="00A81AC2"/>
    <w:rsid w:val="00A81B7C"/>
    <w:rsid w:val="00A81BF6"/>
    <w:rsid w:val="00A81BFE"/>
    <w:rsid w:val="00A81C20"/>
    <w:rsid w:val="00A81C2F"/>
    <w:rsid w:val="00A81CDF"/>
    <w:rsid w:val="00A81D2D"/>
    <w:rsid w:val="00A81D6B"/>
    <w:rsid w:val="00A81EB6"/>
    <w:rsid w:val="00A81EF8"/>
    <w:rsid w:val="00A81F4A"/>
    <w:rsid w:val="00A81F9E"/>
    <w:rsid w:val="00A81FAC"/>
    <w:rsid w:val="00A8202E"/>
    <w:rsid w:val="00A820B3"/>
    <w:rsid w:val="00A820CF"/>
    <w:rsid w:val="00A820D0"/>
    <w:rsid w:val="00A82133"/>
    <w:rsid w:val="00A8214B"/>
    <w:rsid w:val="00A821B4"/>
    <w:rsid w:val="00A821C4"/>
    <w:rsid w:val="00A82296"/>
    <w:rsid w:val="00A82299"/>
    <w:rsid w:val="00A82321"/>
    <w:rsid w:val="00A82322"/>
    <w:rsid w:val="00A82382"/>
    <w:rsid w:val="00A823A5"/>
    <w:rsid w:val="00A823C2"/>
    <w:rsid w:val="00A82488"/>
    <w:rsid w:val="00A82494"/>
    <w:rsid w:val="00A824AC"/>
    <w:rsid w:val="00A824C3"/>
    <w:rsid w:val="00A824EA"/>
    <w:rsid w:val="00A82517"/>
    <w:rsid w:val="00A82558"/>
    <w:rsid w:val="00A82561"/>
    <w:rsid w:val="00A82573"/>
    <w:rsid w:val="00A8259E"/>
    <w:rsid w:val="00A825D5"/>
    <w:rsid w:val="00A82658"/>
    <w:rsid w:val="00A826F7"/>
    <w:rsid w:val="00A826F8"/>
    <w:rsid w:val="00A826FE"/>
    <w:rsid w:val="00A8271C"/>
    <w:rsid w:val="00A8274E"/>
    <w:rsid w:val="00A827BC"/>
    <w:rsid w:val="00A8287C"/>
    <w:rsid w:val="00A8288D"/>
    <w:rsid w:val="00A8293A"/>
    <w:rsid w:val="00A82956"/>
    <w:rsid w:val="00A829FC"/>
    <w:rsid w:val="00A82A56"/>
    <w:rsid w:val="00A82A8E"/>
    <w:rsid w:val="00A82A92"/>
    <w:rsid w:val="00A82AC1"/>
    <w:rsid w:val="00A82AD5"/>
    <w:rsid w:val="00A82B04"/>
    <w:rsid w:val="00A82B9E"/>
    <w:rsid w:val="00A82BB9"/>
    <w:rsid w:val="00A82C1A"/>
    <w:rsid w:val="00A82CA7"/>
    <w:rsid w:val="00A82CAF"/>
    <w:rsid w:val="00A82CDB"/>
    <w:rsid w:val="00A82D28"/>
    <w:rsid w:val="00A82DF8"/>
    <w:rsid w:val="00A82E11"/>
    <w:rsid w:val="00A82E27"/>
    <w:rsid w:val="00A82E40"/>
    <w:rsid w:val="00A82E4A"/>
    <w:rsid w:val="00A82F10"/>
    <w:rsid w:val="00A82F17"/>
    <w:rsid w:val="00A82F3F"/>
    <w:rsid w:val="00A82F7D"/>
    <w:rsid w:val="00A83049"/>
    <w:rsid w:val="00A830B5"/>
    <w:rsid w:val="00A830F7"/>
    <w:rsid w:val="00A8311E"/>
    <w:rsid w:val="00A8316E"/>
    <w:rsid w:val="00A831A8"/>
    <w:rsid w:val="00A8322B"/>
    <w:rsid w:val="00A83231"/>
    <w:rsid w:val="00A83299"/>
    <w:rsid w:val="00A832FC"/>
    <w:rsid w:val="00A83301"/>
    <w:rsid w:val="00A83376"/>
    <w:rsid w:val="00A83381"/>
    <w:rsid w:val="00A833D9"/>
    <w:rsid w:val="00A83427"/>
    <w:rsid w:val="00A8344C"/>
    <w:rsid w:val="00A834A3"/>
    <w:rsid w:val="00A834A5"/>
    <w:rsid w:val="00A834CC"/>
    <w:rsid w:val="00A8350C"/>
    <w:rsid w:val="00A8352F"/>
    <w:rsid w:val="00A835EB"/>
    <w:rsid w:val="00A83632"/>
    <w:rsid w:val="00A83674"/>
    <w:rsid w:val="00A8369B"/>
    <w:rsid w:val="00A83744"/>
    <w:rsid w:val="00A837FD"/>
    <w:rsid w:val="00A8380B"/>
    <w:rsid w:val="00A83833"/>
    <w:rsid w:val="00A8384E"/>
    <w:rsid w:val="00A838CF"/>
    <w:rsid w:val="00A838DC"/>
    <w:rsid w:val="00A839C1"/>
    <w:rsid w:val="00A839EB"/>
    <w:rsid w:val="00A83A07"/>
    <w:rsid w:val="00A83A22"/>
    <w:rsid w:val="00A83A70"/>
    <w:rsid w:val="00A83A92"/>
    <w:rsid w:val="00A83A9E"/>
    <w:rsid w:val="00A83B6D"/>
    <w:rsid w:val="00A83B82"/>
    <w:rsid w:val="00A83BB6"/>
    <w:rsid w:val="00A83BC8"/>
    <w:rsid w:val="00A83C13"/>
    <w:rsid w:val="00A83C19"/>
    <w:rsid w:val="00A83C3A"/>
    <w:rsid w:val="00A83C59"/>
    <w:rsid w:val="00A83C94"/>
    <w:rsid w:val="00A83CA5"/>
    <w:rsid w:val="00A83D0B"/>
    <w:rsid w:val="00A83D16"/>
    <w:rsid w:val="00A83D5C"/>
    <w:rsid w:val="00A83D84"/>
    <w:rsid w:val="00A83DDF"/>
    <w:rsid w:val="00A83E55"/>
    <w:rsid w:val="00A83E62"/>
    <w:rsid w:val="00A83E6D"/>
    <w:rsid w:val="00A83E72"/>
    <w:rsid w:val="00A83F1C"/>
    <w:rsid w:val="00A83F54"/>
    <w:rsid w:val="00A83F90"/>
    <w:rsid w:val="00A83FB7"/>
    <w:rsid w:val="00A83FF0"/>
    <w:rsid w:val="00A8404E"/>
    <w:rsid w:val="00A84088"/>
    <w:rsid w:val="00A840A3"/>
    <w:rsid w:val="00A840AF"/>
    <w:rsid w:val="00A840C9"/>
    <w:rsid w:val="00A840E3"/>
    <w:rsid w:val="00A8412D"/>
    <w:rsid w:val="00A84135"/>
    <w:rsid w:val="00A84164"/>
    <w:rsid w:val="00A8419B"/>
    <w:rsid w:val="00A841A3"/>
    <w:rsid w:val="00A841CC"/>
    <w:rsid w:val="00A841ED"/>
    <w:rsid w:val="00A84201"/>
    <w:rsid w:val="00A8421F"/>
    <w:rsid w:val="00A84320"/>
    <w:rsid w:val="00A84397"/>
    <w:rsid w:val="00A843BE"/>
    <w:rsid w:val="00A8449B"/>
    <w:rsid w:val="00A844B1"/>
    <w:rsid w:val="00A8453F"/>
    <w:rsid w:val="00A84542"/>
    <w:rsid w:val="00A845DA"/>
    <w:rsid w:val="00A84610"/>
    <w:rsid w:val="00A84678"/>
    <w:rsid w:val="00A84697"/>
    <w:rsid w:val="00A846F4"/>
    <w:rsid w:val="00A84790"/>
    <w:rsid w:val="00A847BB"/>
    <w:rsid w:val="00A847E0"/>
    <w:rsid w:val="00A84814"/>
    <w:rsid w:val="00A848DF"/>
    <w:rsid w:val="00A849ED"/>
    <w:rsid w:val="00A849F8"/>
    <w:rsid w:val="00A84A41"/>
    <w:rsid w:val="00A84AC5"/>
    <w:rsid w:val="00A84B19"/>
    <w:rsid w:val="00A84B6D"/>
    <w:rsid w:val="00A84BB3"/>
    <w:rsid w:val="00A84BBD"/>
    <w:rsid w:val="00A84BE7"/>
    <w:rsid w:val="00A84BE9"/>
    <w:rsid w:val="00A84BEB"/>
    <w:rsid w:val="00A84C0C"/>
    <w:rsid w:val="00A84C7A"/>
    <w:rsid w:val="00A84CA4"/>
    <w:rsid w:val="00A84D69"/>
    <w:rsid w:val="00A84D77"/>
    <w:rsid w:val="00A84E04"/>
    <w:rsid w:val="00A84E49"/>
    <w:rsid w:val="00A84E80"/>
    <w:rsid w:val="00A84F7A"/>
    <w:rsid w:val="00A84FAF"/>
    <w:rsid w:val="00A84FF6"/>
    <w:rsid w:val="00A85043"/>
    <w:rsid w:val="00A8504C"/>
    <w:rsid w:val="00A850BD"/>
    <w:rsid w:val="00A85100"/>
    <w:rsid w:val="00A8516A"/>
    <w:rsid w:val="00A8516C"/>
    <w:rsid w:val="00A85176"/>
    <w:rsid w:val="00A85184"/>
    <w:rsid w:val="00A851E2"/>
    <w:rsid w:val="00A85230"/>
    <w:rsid w:val="00A85275"/>
    <w:rsid w:val="00A852B6"/>
    <w:rsid w:val="00A852E9"/>
    <w:rsid w:val="00A852F9"/>
    <w:rsid w:val="00A85306"/>
    <w:rsid w:val="00A85316"/>
    <w:rsid w:val="00A8532D"/>
    <w:rsid w:val="00A85407"/>
    <w:rsid w:val="00A85451"/>
    <w:rsid w:val="00A85463"/>
    <w:rsid w:val="00A85488"/>
    <w:rsid w:val="00A854F1"/>
    <w:rsid w:val="00A8554C"/>
    <w:rsid w:val="00A85558"/>
    <w:rsid w:val="00A855AF"/>
    <w:rsid w:val="00A855D3"/>
    <w:rsid w:val="00A8563D"/>
    <w:rsid w:val="00A85683"/>
    <w:rsid w:val="00A856D9"/>
    <w:rsid w:val="00A85722"/>
    <w:rsid w:val="00A857CB"/>
    <w:rsid w:val="00A85819"/>
    <w:rsid w:val="00A85828"/>
    <w:rsid w:val="00A85874"/>
    <w:rsid w:val="00A85970"/>
    <w:rsid w:val="00A85A00"/>
    <w:rsid w:val="00A85AED"/>
    <w:rsid w:val="00A85AEF"/>
    <w:rsid w:val="00A85B5C"/>
    <w:rsid w:val="00A85B69"/>
    <w:rsid w:val="00A85B9F"/>
    <w:rsid w:val="00A85BC8"/>
    <w:rsid w:val="00A85BED"/>
    <w:rsid w:val="00A85BF4"/>
    <w:rsid w:val="00A85C17"/>
    <w:rsid w:val="00A85C56"/>
    <w:rsid w:val="00A85CAD"/>
    <w:rsid w:val="00A85CCD"/>
    <w:rsid w:val="00A85D6F"/>
    <w:rsid w:val="00A85EA5"/>
    <w:rsid w:val="00A85EEE"/>
    <w:rsid w:val="00A85F0B"/>
    <w:rsid w:val="00A85F40"/>
    <w:rsid w:val="00A85F59"/>
    <w:rsid w:val="00A85FEF"/>
    <w:rsid w:val="00A86023"/>
    <w:rsid w:val="00A86031"/>
    <w:rsid w:val="00A860B1"/>
    <w:rsid w:val="00A8615E"/>
    <w:rsid w:val="00A86196"/>
    <w:rsid w:val="00A861FA"/>
    <w:rsid w:val="00A8620D"/>
    <w:rsid w:val="00A86223"/>
    <w:rsid w:val="00A86279"/>
    <w:rsid w:val="00A86290"/>
    <w:rsid w:val="00A86296"/>
    <w:rsid w:val="00A862C7"/>
    <w:rsid w:val="00A862C8"/>
    <w:rsid w:val="00A862E2"/>
    <w:rsid w:val="00A86304"/>
    <w:rsid w:val="00A86421"/>
    <w:rsid w:val="00A86479"/>
    <w:rsid w:val="00A86489"/>
    <w:rsid w:val="00A864BC"/>
    <w:rsid w:val="00A865AB"/>
    <w:rsid w:val="00A865B0"/>
    <w:rsid w:val="00A865E9"/>
    <w:rsid w:val="00A86645"/>
    <w:rsid w:val="00A86668"/>
    <w:rsid w:val="00A866B0"/>
    <w:rsid w:val="00A866BC"/>
    <w:rsid w:val="00A866BD"/>
    <w:rsid w:val="00A866EA"/>
    <w:rsid w:val="00A86730"/>
    <w:rsid w:val="00A86770"/>
    <w:rsid w:val="00A8683C"/>
    <w:rsid w:val="00A868B4"/>
    <w:rsid w:val="00A86906"/>
    <w:rsid w:val="00A86976"/>
    <w:rsid w:val="00A869C6"/>
    <w:rsid w:val="00A86A62"/>
    <w:rsid w:val="00A86A7D"/>
    <w:rsid w:val="00A86A7E"/>
    <w:rsid w:val="00A86AB1"/>
    <w:rsid w:val="00A86BEC"/>
    <w:rsid w:val="00A86CC0"/>
    <w:rsid w:val="00A86D15"/>
    <w:rsid w:val="00A86D8C"/>
    <w:rsid w:val="00A86DE2"/>
    <w:rsid w:val="00A86E7E"/>
    <w:rsid w:val="00A86EBB"/>
    <w:rsid w:val="00A86F7C"/>
    <w:rsid w:val="00A86F87"/>
    <w:rsid w:val="00A86FDC"/>
    <w:rsid w:val="00A86FDF"/>
    <w:rsid w:val="00A87039"/>
    <w:rsid w:val="00A8708D"/>
    <w:rsid w:val="00A87110"/>
    <w:rsid w:val="00A87140"/>
    <w:rsid w:val="00A8719B"/>
    <w:rsid w:val="00A87246"/>
    <w:rsid w:val="00A87267"/>
    <w:rsid w:val="00A872C3"/>
    <w:rsid w:val="00A87301"/>
    <w:rsid w:val="00A87329"/>
    <w:rsid w:val="00A8732F"/>
    <w:rsid w:val="00A8736B"/>
    <w:rsid w:val="00A873B1"/>
    <w:rsid w:val="00A873D2"/>
    <w:rsid w:val="00A873F3"/>
    <w:rsid w:val="00A87412"/>
    <w:rsid w:val="00A8742B"/>
    <w:rsid w:val="00A8744F"/>
    <w:rsid w:val="00A8746C"/>
    <w:rsid w:val="00A8748A"/>
    <w:rsid w:val="00A874C5"/>
    <w:rsid w:val="00A874F8"/>
    <w:rsid w:val="00A875BD"/>
    <w:rsid w:val="00A87606"/>
    <w:rsid w:val="00A87623"/>
    <w:rsid w:val="00A87625"/>
    <w:rsid w:val="00A8772B"/>
    <w:rsid w:val="00A87734"/>
    <w:rsid w:val="00A877B3"/>
    <w:rsid w:val="00A877B9"/>
    <w:rsid w:val="00A877C8"/>
    <w:rsid w:val="00A877E6"/>
    <w:rsid w:val="00A8784F"/>
    <w:rsid w:val="00A87890"/>
    <w:rsid w:val="00A87896"/>
    <w:rsid w:val="00A878A7"/>
    <w:rsid w:val="00A878F2"/>
    <w:rsid w:val="00A8798D"/>
    <w:rsid w:val="00A879E9"/>
    <w:rsid w:val="00A87A1A"/>
    <w:rsid w:val="00A87A39"/>
    <w:rsid w:val="00A87A61"/>
    <w:rsid w:val="00A87ACF"/>
    <w:rsid w:val="00A87B42"/>
    <w:rsid w:val="00A87B67"/>
    <w:rsid w:val="00A87B90"/>
    <w:rsid w:val="00A87BEB"/>
    <w:rsid w:val="00A87BF6"/>
    <w:rsid w:val="00A87C01"/>
    <w:rsid w:val="00A87C7C"/>
    <w:rsid w:val="00A87C82"/>
    <w:rsid w:val="00A87CEB"/>
    <w:rsid w:val="00A87D06"/>
    <w:rsid w:val="00A87D52"/>
    <w:rsid w:val="00A87D57"/>
    <w:rsid w:val="00A87DBC"/>
    <w:rsid w:val="00A87E54"/>
    <w:rsid w:val="00A87EA7"/>
    <w:rsid w:val="00A87FC6"/>
    <w:rsid w:val="00A87FF4"/>
    <w:rsid w:val="00A90044"/>
    <w:rsid w:val="00A90072"/>
    <w:rsid w:val="00A9007A"/>
    <w:rsid w:val="00A9008B"/>
    <w:rsid w:val="00A900D2"/>
    <w:rsid w:val="00A90104"/>
    <w:rsid w:val="00A9010A"/>
    <w:rsid w:val="00A90169"/>
    <w:rsid w:val="00A9018C"/>
    <w:rsid w:val="00A901D8"/>
    <w:rsid w:val="00A901FF"/>
    <w:rsid w:val="00A9023F"/>
    <w:rsid w:val="00A90251"/>
    <w:rsid w:val="00A9027F"/>
    <w:rsid w:val="00A90322"/>
    <w:rsid w:val="00A90380"/>
    <w:rsid w:val="00A903B7"/>
    <w:rsid w:val="00A903C8"/>
    <w:rsid w:val="00A903D9"/>
    <w:rsid w:val="00A90421"/>
    <w:rsid w:val="00A90425"/>
    <w:rsid w:val="00A90465"/>
    <w:rsid w:val="00A90472"/>
    <w:rsid w:val="00A9047E"/>
    <w:rsid w:val="00A904C3"/>
    <w:rsid w:val="00A904FF"/>
    <w:rsid w:val="00A9060F"/>
    <w:rsid w:val="00A9065D"/>
    <w:rsid w:val="00A9074A"/>
    <w:rsid w:val="00A907CF"/>
    <w:rsid w:val="00A9080F"/>
    <w:rsid w:val="00A908CC"/>
    <w:rsid w:val="00A908DD"/>
    <w:rsid w:val="00A908E7"/>
    <w:rsid w:val="00A90920"/>
    <w:rsid w:val="00A909B1"/>
    <w:rsid w:val="00A909BB"/>
    <w:rsid w:val="00A90A65"/>
    <w:rsid w:val="00A90B66"/>
    <w:rsid w:val="00A90B99"/>
    <w:rsid w:val="00A90C40"/>
    <w:rsid w:val="00A90C46"/>
    <w:rsid w:val="00A90C6D"/>
    <w:rsid w:val="00A90D8E"/>
    <w:rsid w:val="00A90DA3"/>
    <w:rsid w:val="00A90E0B"/>
    <w:rsid w:val="00A90EE9"/>
    <w:rsid w:val="00A90F71"/>
    <w:rsid w:val="00A90F91"/>
    <w:rsid w:val="00A90FF5"/>
    <w:rsid w:val="00A90FFA"/>
    <w:rsid w:val="00A91058"/>
    <w:rsid w:val="00A910CA"/>
    <w:rsid w:val="00A911B5"/>
    <w:rsid w:val="00A9121E"/>
    <w:rsid w:val="00A91284"/>
    <w:rsid w:val="00A9129B"/>
    <w:rsid w:val="00A912C8"/>
    <w:rsid w:val="00A912D6"/>
    <w:rsid w:val="00A912FA"/>
    <w:rsid w:val="00A91303"/>
    <w:rsid w:val="00A91307"/>
    <w:rsid w:val="00A91331"/>
    <w:rsid w:val="00A91362"/>
    <w:rsid w:val="00A91386"/>
    <w:rsid w:val="00A913AE"/>
    <w:rsid w:val="00A913CF"/>
    <w:rsid w:val="00A91450"/>
    <w:rsid w:val="00A9147D"/>
    <w:rsid w:val="00A91497"/>
    <w:rsid w:val="00A914D0"/>
    <w:rsid w:val="00A914D9"/>
    <w:rsid w:val="00A914F6"/>
    <w:rsid w:val="00A9150F"/>
    <w:rsid w:val="00A91527"/>
    <w:rsid w:val="00A91572"/>
    <w:rsid w:val="00A9158D"/>
    <w:rsid w:val="00A9158F"/>
    <w:rsid w:val="00A915A6"/>
    <w:rsid w:val="00A91642"/>
    <w:rsid w:val="00A9166C"/>
    <w:rsid w:val="00A916AF"/>
    <w:rsid w:val="00A916B8"/>
    <w:rsid w:val="00A916F9"/>
    <w:rsid w:val="00A91796"/>
    <w:rsid w:val="00A917BB"/>
    <w:rsid w:val="00A91801"/>
    <w:rsid w:val="00A91808"/>
    <w:rsid w:val="00A91921"/>
    <w:rsid w:val="00A91931"/>
    <w:rsid w:val="00A91950"/>
    <w:rsid w:val="00A919F6"/>
    <w:rsid w:val="00A91A46"/>
    <w:rsid w:val="00A91A4B"/>
    <w:rsid w:val="00A91A98"/>
    <w:rsid w:val="00A91AAA"/>
    <w:rsid w:val="00A91AC9"/>
    <w:rsid w:val="00A91AD7"/>
    <w:rsid w:val="00A91AE8"/>
    <w:rsid w:val="00A91B54"/>
    <w:rsid w:val="00A91B7D"/>
    <w:rsid w:val="00A91B83"/>
    <w:rsid w:val="00A91BAF"/>
    <w:rsid w:val="00A91BD4"/>
    <w:rsid w:val="00A91C03"/>
    <w:rsid w:val="00A91C52"/>
    <w:rsid w:val="00A91D1B"/>
    <w:rsid w:val="00A91D22"/>
    <w:rsid w:val="00A91D78"/>
    <w:rsid w:val="00A91D84"/>
    <w:rsid w:val="00A91E15"/>
    <w:rsid w:val="00A91E45"/>
    <w:rsid w:val="00A91E9A"/>
    <w:rsid w:val="00A91EE1"/>
    <w:rsid w:val="00A91F7A"/>
    <w:rsid w:val="00A91F8B"/>
    <w:rsid w:val="00A91FA5"/>
    <w:rsid w:val="00A91FC0"/>
    <w:rsid w:val="00A9207D"/>
    <w:rsid w:val="00A9208F"/>
    <w:rsid w:val="00A920D0"/>
    <w:rsid w:val="00A9210E"/>
    <w:rsid w:val="00A92124"/>
    <w:rsid w:val="00A9218F"/>
    <w:rsid w:val="00A92214"/>
    <w:rsid w:val="00A9221C"/>
    <w:rsid w:val="00A92226"/>
    <w:rsid w:val="00A9225F"/>
    <w:rsid w:val="00A9227D"/>
    <w:rsid w:val="00A92282"/>
    <w:rsid w:val="00A92379"/>
    <w:rsid w:val="00A92398"/>
    <w:rsid w:val="00A9249E"/>
    <w:rsid w:val="00A924BA"/>
    <w:rsid w:val="00A924D2"/>
    <w:rsid w:val="00A924E9"/>
    <w:rsid w:val="00A9250A"/>
    <w:rsid w:val="00A92557"/>
    <w:rsid w:val="00A92563"/>
    <w:rsid w:val="00A925D6"/>
    <w:rsid w:val="00A925EA"/>
    <w:rsid w:val="00A92619"/>
    <w:rsid w:val="00A926DD"/>
    <w:rsid w:val="00A92722"/>
    <w:rsid w:val="00A927E1"/>
    <w:rsid w:val="00A927F4"/>
    <w:rsid w:val="00A9280E"/>
    <w:rsid w:val="00A92891"/>
    <w:rsid w:val="00A928C9"/>
    <w:rsid w:val="00A928E3"/>
    <w:rsid w:val="00A928FF"/>
    <w:rsid w:val="00A929B3"/>
    <w:rsid w:val="00A929BE"/>
    <w:rsid w:val="00A929D0"/>
    <w:rsid w:val="00A92A41"/>
    <w:rsid w:val="00A92AF8"/>
    <w:rsid w:val="00A92AF9"/>
    <w:rsid w:val="00A92AFD"/>
    <w:rsid w:val="00A92B1C"/>
    <w:rsid w:val="00A92B41"/>
    <w:rsid w:val="00A92B91"/>
    <w:rsid w:val="00A92B97"/>
    <w:rsid w:val="00A92C57"/>
    <w:rsid w:val="00A92E27"/>
    <w:rsid w:val="00A92E28"/>
    <w:rsid w:val="00A92E64"/>
    <w:rsid w:val="00A92E6D"/>
    <w:rsid w:val="00A92EAE"/>
    <w:rsid w:val="00A92FC5"/>
    <w:rsid w:val="00A92FD4"/>
    <w:rsid w:val="00A9301C"/>
    <w:rsid w:val="00A93085"/>
    <w:rsid w:val="00A930B7"/>
    <w:rsid w:val="00A930F5"/>
    <w:rsid w:val="00A93130"/>
    <w:rsid w:val="00A93188"/>
    <w:rsid w:val="00A931AF"/>
    <w:rsid w:val="00A931C5"/>
    <w:rsid w:val="00A93221"/>
    <w:rsid w:val="00A93269"/>
    <w:rsid w:val="00A93276"/>
    <w:rsid w:val="00A932F6"/>
    <w:rsid w:val="00A93324"/>
    <w:rsid w:val="00A9337B"/>
    <w:rsid w:val="00A933D7"/>
    <w:rsid w:val="00A933F8"/>
    <w:rsid w:val="00A934AA"/>
    <w:rsid w:val="00A9350D"/>
    <w:rsid w:val="00A9356A"/>
    <w:rsid w:val="00A93585"/>
    <w:rsid w:val="00A9364F"/>
    <w:rsid w:val="00A9366F"/>
    <w:rsid w:val="00A936EB"/>
    <w:rsid w:val="00A93734"/>
    <w:rsid w:val="00A93759"/>
    <w:rsid w:val="00A93766"/>
    <w:rsid w:val="00A937FE"/>
    <w:rsid w:val="00A9382A"/>
    <w:rsid w:val="00A9383C"/>
    <w:rsid w:val="00A93868"/>
    <w:rsid w:val="00A9386F"/>
    <w:rsid w:val="00A93874"/>
    <w:rsid w:val="00A93878"/>
    <w:rsid w:val="00A9388A"/>
    <w:rsid w:val="00A93894"/>
    <w:rsid w:val="00A9389F"/>
    <w:rsid w:val="00A938BF"/>
    <w:rsid w:val="00A938F1"/>
    <w:rsid w:val="00A9391B"/>
    <w:rsid w:val="00A93954"/>
    <w:rsid w:val="00A93976"/>
    <w:rsid w:val="00A939B7"/>
    <w:rsid w:val="00A93A12"/>
    <w:rsid w:val="00A93AEA"/>
    <w:rsid w:val="00A93B09"/>
    <w:rsid w:val="00A93B54"/>
    <w:rsid w:val="00A93B87"/>
    <w:rsid w:val="00A93BA3"/>
    <w:rsid w:val="00A93BB3"/>
    <w:rsid w:val="00A93C27"/>
    <w:rsid w:val="00A93C38"/>
    <w:rsid w:val="00A93C57"/>
    <w:rsid w:val="00A93C86"/>
    <w:rsid w:val="00A93CF2"/>
    <w:rsid w:val="00A93D3F"/>
    <w:rsid w:val="00A93D96"/>
    <w:rsid w:val="00A93DD7"/>
    <w:rsid w:val="00A93E43"/>
    <w:rsid w:val="00A93E97"/>
    <w:rsid w:val="00A93EB6"/>
    <w:rsid w:val="00A93F11"/>
    <w:rsid w:val="00A93F45"/>
    <w:rsid w:val="00A93F75"/>
    <w:rsid w:val="00A93F84"/>
    <w:rsid w:val="00A93F98"/>
    <w:rsid w:val="00A93FC1"/>
    <w:rsid w:val="00A93FE8"/>
    <w:rsid w:val="00A940A5"/>
    <w:rsid w:val="00A94151"/>
    <w:rsid w:val="00A941F1"/>
    <w:rsid w:val="00A941FF"/>
    <w:rsid w:val="00A94218"/>
    <w:rsid w:val="00A94227"/>
    <w:rsid w:val="00A94232"/>
    <w:rsid w:val="00A94280"/>
    <w:rsid w:val="00A94281"/>
    <w:rsid w:val="00A942C1"/>
    <w:rsid w:val="00A94302"/>
    <w:rsid w:val="00A94370"/>
    <w:rsid w:val="00A94387"/>
    <w:rsid w:val="00A943C6"/>
    <w:rsid w:val="00A94402"/>
    <w:rsid w:val="00A9442E"/>
    <w:rsid w:val="00A94462"/>
    <w:rsid w:val="00A944CF"/>
    <w:rsid w:val="00A94500"/>
    <w:rsid w:val="00A9457C"/>
    <w:rsid w:val="00A94585"/>
    <w:rsid w:val="00A945A9"/>
    <w:rsid w:val="00A94620"/>
    <w:rsid w:val="00A946C5"/>
    <w:rsid w:val="00A94706"/>
    <w:rsid w:val="00A94721"/>
    <w:rsid w:val="00A9472A"/>
    <w:rsid w:val="00A94744"/>
    <w:rsid w:val="00A947DE"/>
    <w:rsid w:val="00A947E7"/>
    <w:rsid w:val="00A947F3"/>
    <w:rsid w:val="00A94970"/>
    <w:rsid w:val="00A9497B"/>
    <w:rsid w:val="00A949A5"/>
    <w:rsid w:val="00A94A11"/>
    <w:rsid w:val="00A94A78"/>
    <w:rsid w:val="00A94AE6"/>
    <w:rsid w:val="00A94B0A"/>
    <w:rsid w:val="00A94B9F"/>
    <w:rsid w:val="00A94D21"/>
    <w:rsid w:val="00A94D22"/>
    <w:rsid w:val="00A94E1D"/>
    <w:rsid w:val="00A94E51"/>
    <w:rsid w:val="00A94E6D"/>
    <w:rsid w:val="00A94EAD"/>
    <w:rsid w:val="00A94ED7"/>
    <w:rsid w:val="00A94EF9"/>
    <w:rsid w:val="00A94F10"/>
    <w:rsid w:val="00A94F59"/>
    <w:rsid w:val="00A94F64"/>
    <w:rsid w:val="00A95017"/>
    <w:rsid w:val="00A95019"/>
    <w:rsid w:val="00A95055"/>
    <w:rsid w:val="00A9509E"/>
    <w:rsid w:val="00A95189"/>
    <w:rsid w:val="00A951C2"/>
    <w:rsid w:val="00A952C2"/>
    <w:rsid w:val="00A952F1"/>
    <w:rsid w:val="00A95363"/>
    <w:rsid w:val="00A9536C"/>
    <w:rsid w:val="00A95383"/>
    <w:rsid w:val="00A9540C"/>
    <w:rsid w:val="00A9546C"/>
    <w:rsid w:val="00A95491"/>
    <w:rsid w:val="00A95512"/>
    <w:rsid w:val="00A955BA"/>
    <w:rsid w:val="00A955F0"/>
    <w:rsid w:val="00A95684"/>
    <w:rsid w:val="00A95686"/>
    <w:rsid w:val="00A956EA"/>
    <w:rsid w:val="00A95707"/>
    <w:rsid w:val="00A95721"/>
    <w:rsid w:val="00A9573E"/>
    <w:rsid w:val="00A95744"/>
    <w:rsid w:val="00A9578C"/>
    <w:rsid w:val="00A9578D"/>
    <w:rsid w:val="00A95795"/>
    <w:rsid w:val="00A957B3"/>
    <w:rsid w:val="00A957C0"/>
    <w:rsid w:val="00A957F7"/>
    <w:rsid w:val="00A95808"/>
    <w:rsid w:val="00A95853"/>
    <w:rsid w:val="00A958A0"/>
    <w:rsid w:val="00A958AE"/>
    <w:rsid w:val="00A958DC"/>
    <w:rsid w:val="00A958EE"/>
    <w:rsid w:val="00A95912"/>
    <w:rsid w:val="00A959A6"/>
    <w:rsid w:val="00A959DA"/>
    <w:rsid w:val="00A95A0E"/>
    <w:rsid w:val="00A95A0F"/>
    <w:rsid w:val="00A95ADC"/>
    <w:rsid w:val="00A95AF2"/>
    <w:rsid w:val="00A95B0C"/>
    <w:rsid w:val="00A95B0F"/>
    <w:rsid w:val="00A95B5A"/>
    <w:rsid w:val="00A95C3B"/>
    <w:rsid w:val="00A95D8C"/>
    <w:rsid w:val="00A95E00"/>
    <w:rsid w:val="00A95E9B"/>
    <w:rsid w:val="00A95EE0"/>
    <w:rsid w:val="00A95EFB"/>
    <w:rsid w:val="00A95EFF"/>
    <w:rsid w:val="00A95F42"/>
    <w:rsid w:val="00A95F52"/>
    <w:rsid w:val="00A95FB1"/>
    <w:rsid w:val="00A9605A"/>
    <w:rsid w:val="00A960A3"/>
    <w:rsid w:val="00A960B4"/>
    <w:rsid w:val="00A961EF"/>
    <w:rsid w:val="00A961F4"/>
    <w:rsid w:val="00A96209"/>
    <w:rsid w:val="00A9624B"/>
    <w:rsid w:val="00A962D9"/>
    <w:rsid w:val="00A9632F"/>
    <w:rsid w:val="00A96367"/>
    <w:rsid w:val="00A96387"/>
    <w:rsid w:val="00A963B2"/>
    <w:rsid w:val="00A963C0"/>
    <w:rsid w:val="00A963FE"/>
    <w:rsid w:val="00A96495"/>
    <w:rsid w:val="00A96513"/>
    <w:rsid w:val="00A96529"/>
    <w:rsid w:val="00A96553"/>
    <w:rsid w:val="00A9657B"/>
    <w:rsid w:val="00A96627"/>
    <w:rsid w:val="00A9664D"/>
    <w:rsid w:val="00A9665C"/>
    <w:rsid w:val="00A966A4"/>
    <w:rsid w:val="00A966D2"/>
    <w:rsid w:val="00A96728"/>
    <w:rsid w:val="00A96777"/>
    <w:rsid w:val="00A967A7"/>
    <w:rsid w:val="00A96813"/>
    <w:rsid w:val="00A968A6"/>
    <w:rsid w:val="00A96927"/>
    <w:rsid w:val="00A9694F"/>
    <w:rsid w:val="00A9695C"/>
    <w:rsid w:val="00A969AC"/>
    <w:rsid w:val="00A969D5"/>
    <w:rsid w:val="00A969E9"/>
    <w:rsid w:val="00A96A47"/>
    <w:rsid w:val="00A96A85"/>
    <w:rsid w:val="00A96ACA"/>
    <w:rsid w:val="00A96B89"/>
    <w:rsid w:val="00A96B96"/>
    <w:rsid w:val="00A96BA0"/>
    <w:rsid w:val="00A96BD0"/>
    <w:rsid w:val="00A96C0E"/>
    <w:rsid w:val="00A96C1B"/>
    <w:rsid w:val="00A96D0A"/>
    <w:rsid w:val="00A96D0E"/>
    <w:rsid w:val="00A96D7A"/>
    <w:rsid w:val="00A96D87"/>
    <w:rsid w:val="00A96E01"/>
    <w:rsid w:val="00A96E34"/>
    <w:rsid w:val="00A96E47"/>
    <w:rsid w:val="00A96E8A"/>
    <w:rsid w:val="00A96EC7"/>
    <w:rsid w:val="00A96EED"/>
    <w:rsid w:val="00A96FB3"/>
    <w:rsid w:val="00A9701A"/>
    <w:rsid w:val="00A970DF"/>
    <w:rsid w:val="00A97177"/>
    <w:rsid w:val="00A97198"/>
    <w:rsid w:val="00A971FF"/>
    <w:rsid w:val="00A97229"/>
    <w:rsid w:val="00A9725F"/>
    <w:rsid w:val="00A97303"/>
    <w:rsid w:val="00A97304"/>
    <w:rsid w:val="00A973B6"/>
    <w:rsid w:val="00A973ED"/>
    <w:rsid w:val="00A97449"/>
    <w:rsid w:val="00A97461"/>
    <w:rsid w:val="00A9750F"/>
    <w:rsid w:val="00A97532"/>
    <w:rsid w:val="00A975A5"/>
    <w:rsid w:val="00A975ED"/>
    <w:rsid w:val="00A9762B"/>
    <w:rsid w:val="00A9762C"/>
    <w:rsid w:val="00A9768D"/>
    <w:rsid w:val="00A976A2"/>
    <w:rsid w:val="00A976CB"/>
    <w:rsid w:val="00A97705"/>
    <w:rsid w:val="00A9774E"/>
    <w:rsid w:val="00A97762"/>
    <w:rsid w:val="00A97780"/>
    <w:rsid w:val="00A97788"/>
    <w:rsid w:val="00A977E5"/>
    <w:rsid w:val="00A97803"/>
    <w:rsid w:val="00A978C5"/>
    <w:rsid w:val="00A97921"/>
    <w:rsid w:val="00A97B42"/>
    <w:rsid w:val="00A97B4A"/>
    <w:rsid w:val="00A97BEE"/>
    <w:rsid w:val="00A97C04"/>
    <w:rsid w:val="00A97C40"/>
    <w:rsid w:val="00A97C56"/>
    <w:rsid w:val="00A97CB8"/>
    <w:rsid w:val="00A97D17"/>
    <w:rsid w:val="00A97D64"/>
    <w:rsid w:val="00A97DF0"/>
    <w:rsid w:val="00A97E2E"/>
    <w:rsid w:val="00A97E74"/>
    <w:rsid w:val="00A97E80"/>
    <w:rsid w:val="00A97EB7"/>
    <w:rsid w:val="00A97F0D"/>
    <w:rsid w:val="00A97F44"/>
    <w:rsid w:val="00A97F4B"/>
    <w:rsid w:val="00A97F74"/>
    <w:rsid w:val="00A97FCC"/>
    <w:rsid w:val="00A97FCF"/>
    <w:rsid w:val="00A97FE6"/>
    <w:rsid w:val="00A97FED"/>
    <w:rsid w:val="00AA0008"/>
    <w:rsid w:val="00AA0013"/>
    <w:rsid w:val="00AA0062"/>
    <w:rsid w:val="00AA0111"/>
    <w:rsid w:val="00AA0121"/>
    <w:rsid w:val="00AA0151"/>
    <w:rsid w:val="00AA0164"/>
    <w:rsid w:val="00AA01DF"/>
    <w:rsid w:val="00AA0251"/>
    <w:rsid w:val="00AA026D"/>
    <w:rsid w:val="00AA0270"/>
    <w:rsid w:val="00AA02BD"/>
    <w:rsid w:val="00AA02D2"/>
    <w:rsid w:val="00AA02D4"/>
    <w:rsid w:val="00AA0311"/>
    <w:rsid w:val="00AA034F"/>
    <w:rsid w:val="00AA037A"/>
    <w:rsid w:val="00AA037D"/>
    <w:rsid w:val="00AA0386"/>
    <w:rsid w:val="00AA0401"/>
    <w:rsid w:val="00AA0496"/>
    <w:rsid w:val="00AA04BD"/>
    <w:rsid w:val="00AA04CA"/>
    <w:rsid w:val="00AA04E1"/>
    <w:rsid w:val="00AA052E"/>
    <w:rsid w:val="00AA053B"/>
    <w:rsid w:val="00AA054D"/>
    <w:rsid w:val="00AA0586"/>
    <w:rsid w:val="00AA062A"/>
    <w:rsid w:val="00AA062F"/>
    <w:rsid w:val="00AA0643"/>
    <w:rsid w:val="00AA0652"/>
    <w:rsid w:val="00AA06B9"/>
    <w:rsid w:val="00AA073E"/>
    <w:rsid w:val="00AA0751"/>
    <w:rsid w:val="00AA07B0"/>
    <w:rsid w:val="00AA07DA"/>
    <w:rsid w:val="00AA07FD"/>
    <w:rsid w:val="00AA0839"/>
    <w:rsid w:val="00AA083A"/>
    <w:rsid w:val="00AA08A6"/>
    <w:rsid w:val="00AA08D7"/>
    <w:rsid w:val="00AA0936"/>
    <w:rsid w:val="00AA0971"/>
    <w:rsid w:val="00AA099B"/>
    <w:rsid w:val="00AA09BB"/>
    <w:rsid w:val="00AA0A53"/>
    <w:rsid w:val="00AA0A77"/>
    <w:rsid w:val="00AA0AAA"/>
    <w:rsid w:val="00AA0B21"/>
    <w:rsid w:val="00AA0B7D"/>
    <w:rsid w:val="00AA0B96"/>
    <w:rsid w:val="00AA0BD5"/>
    <w:rsid w:val="00AA0C14"/>
    <w:rsid w:val="00AA0C3D"/>
    <w:rsid w:val="00AA0CCA"/>
    <w:rsid w:val="00AA0D0A"/>
    <w:rsid w:val="00AA0D8D"/>
    <w:rsid w:val="00AA0E21"/>
    <w:rsid w:val="00AA0E4E"/>
    <w:rsid w:val="00AA0EB0"/>
    <w:rsid w:val="00AA0EF0"/>
    <w:rsid w:val="00AA0F09"/>
    <w:rsid w:val="00AA0F1C"/>
    <w:rsid w:val="00AA0FE4"/>
    <w:rsid w:val="00AA0FEC"/>
    <w:rsid w:val="00AA101E"/>
    <w:rsid w:val="00AA1058"/>
    <w:rsid w:val="00AA1060"/>
    <w:rsid w:val="00AA106F"/>
    <w:rsid w:val="00AA10BD"/>
    <w:rsid w:val="00AA10DD"/>
    <w:rsid w:val="00AA10FF"/>
    <w:rsid w:val="00AA1175"/>
    <w:rsid w:val="00AA11C5"/>
    <w:rsid w:val="00AA122A"/>
    <w:rsid w:val="00AA1252"/>
    <w:rsid w:val="00AA125C"/>
    <w:rsid w:val="00AA1299"/>
    <w:rsid w:val="00AA12CD"/>
    <w:rsid w:val="00AA12D4"/>
    <w:rsid w:val="00AA133F"/>
    <w:rsid w:val="00AA134B"/>
    <w:rsid w:val="00AA13A0"/>
    <w:rsid w:val="00AA1402"/>
    <w:rsid w:val="00AA141C"/>
    <w:rsid w:val="00AA1442"/>
    <w:rsid w:val="00AA145F"/>
    <w:rsid w:val="00AA14C2"/>
    <w:rsid w:val="00AA1537"/>
    <w:rsid w:val="00AA15EC"/>
    <w:rsid w:val="00AA1605"/>
    <w:rsid w:val="00AA1609"/>
    <w:rsid w:val="00AA1636"/>
    <w:rsid w:val="00AA165F"/>
    <w:rsid w:val="00AA16C5"/>
    <w:rsid w:val="00AA1783"/>
    <w:rsid w:val="00AA178A"/>
    <w:rsid w:val="00AA179C"/>
    <w:rsid w:val="00AA1841"/>
    <w:rsid w:val="00AA1878"/>
    <w:rsid w:val="00AA1886"/>
    <w:rsid w:val="00AA1891"/>
    <w:rsid w:val="00AA18DF"/>
    <w:rsid w:val="00AA18FE"/>
    <w:rsid w:val="00AA190C"/>
    <w:rsid w:val="00AA1931"/>
    <w:rsid w:val="00AA1935"/>
    <w:rsid w:val="00AA1982"/>
    <w:rsid w:val="00AA19CD"/>
    <w:rsid w:val="00AA19E2"/>
    <w:rsid w:val="00AA1A2F"/>
    <w:rsid w:val="00AA1A65"/>
    <w:rsid w:val="00AA1A7B"/>
    <w:rsid w:val="00AA1A8A"/>
    <w:rsid w:val="00AA1AFB"/>
    <w:rsid w:val="00AA1B2D"/>
    <w:rsid w:val="00AA1B8C"/>
    <w:rsid w:val="00AA1D12"/>
    <w:rsid w:val="00AA1D3C"/>
    <w:rsid w:val="00AA1D6A"/>
    <w:rsid w:val="00AA1D6C"/>
    <w:rsid w:val="00AA1DAC"/>
    <w:rsid w:val="00AA1E11"/>
    <w:rsid w:val="00AA1E29"/>
    <w:rsid w:val="00AA1E66"/>
    <w:rsid w:val="00AA1E75"/>
    <w:rsid w:val="00AA1E88"/>
    <w:rsid w:val="00AA1E99"/>
    <w:rsid w:val="00AA1E9B"/>
    <w:rsid w:val="00AA1ED9"/>
    <w:rsid w:val="00AA1F0A"/>
    <w:rsid w:val="00AA1F2D"/>
    <w:rsid w:val="00AA1F56"/>
    <w:rsid w:val="00AA1F5D"/>
    <w:rsid w:val="00AA1FA6"/>
    <w:rsid w:val="00AA1FBA"/>
    <w:rsid w:val="00AA1FD1"/>
    <w:rsid w:val="00AA1FEA"/>
    <w:rsid w:val="00AA2007"/>
    <w:rsid w:val="00AA2121"/>
    <w:rsid w:val="00AA2123"/>
    <w:rsid w:val="00AA21B6"/>
    <w:rsid w:val="00AA21C4"/>
    <w:rsid w:val="00AA21E6"/>
    <w:rsid w:val="00AA21EC"/>
    <w:rsid w:val="00AA2212"/>
    <w:rsid w:val="00AA2233"/>
    <w:rsid w:val="00AA2263"/>
    <w:rsid w:val="00AA2312"/>
    <w:rsid w:val="00AA23C8"/>
    <w:rsid w:val="00AA2431"/>
    <w:rsid w:val="00AA245C"/>
    <w:rsid w:val="00AA2475"/>
    <w:rsid w:val="00AA249F"/>
    <w:rsid w:val="00AA24C6"/>
    <w:rsid w:val="00AA24E3"/>
    <w:rsid w:val="00AA2536"/>
    <w:rsid w:val="00AA25EB"/>
    <w:rsid w:val="00AA25F9"/>
    <w:rsid w:val="00AA2609"/>
    <w:rsid w:val="00AA2618"/>
    <w:rsid w:val="00AA2640"/>
    <w:rsid w:val="00AA2692"/>
    <w:rsid w:val="00AA26AB"/>
    <w:rsid w:val="00AA26AC"/>
    <w:rsid w:val="00AA26E1"/>
    <w:rsid w:val="00AA270E"/>
    <w:rsid w:val="00AA27FF"/>
    <w:rsid w:val="00AA285B"/>
    <w:rsid w:val="00AA28A4"/>
    <w:rsid w:val="00AA28E7"/>
    <w:rsid w:val="00AA29AE"/>
    <w:rsid w:val="00AA29EC"/>
    <w:rsid w:val="00AA2A06"/>
    <w:rsid w:val="00AA2A70"/>
    <w:rsid w:val="00AA2B0C"/>
    <w:rsid w:val="00AA2B0E"/>
    <w:rsid w:val="00AA2B5B"/>
    <w:rsid w:val="00AA2BAE"/>
    <w:rsid w:val="00AA2BCF"/>
    <w:rsid w:val="00AA2C1F"/>
    <w:rsid w:val="00AA2C2D"/>
    <w:rsid w:val="00AA2CE6"/>
    <w:rsid w:val="00AA2D4C"/>
    <w:rsid w:val="00AA2D89"/>
    <w:rsid w:val="00AA2D93"/>
    <w:rsid w:val="00AA2DB7"/>
    <w:rsid w:val="00AA2DC4"/>
    <w:rsid w:val="00AA2E2B"/>
    <w:rsid w:val="00AA2E63"/>
    <w:rsid w:val="00AA2E6A"/>
    <w:rsid w:val="00AA2ECC"/>
    <w:rsid w:val="00AA2F03"/>
    <w:rsid w:val="00AA2F0C"/>
    <w:rsid w:val="00AA2F95"/>
    <w:rsid w:val="00AA2FE4"/>
    <w:rsid w:val="00AA2FEB"/>
    <w:rsid w:val="00AA3021"/>
    <w:rsid w:val="00AA30AC"/>
    <w:rsid w:val="00AA31B1"/>
    <w:rsid w:val="00AA31D1"/>
    <w:rsid w:val="00AA31FF"/>
    <w:rsid w:val="00AA320D"/>
    <w:rsid w:val="00AA3219"/>
    <w:rsid w:val="00AA3241"/>
    <w:rsid w:val="00AA3246"/>
    <w:rsid w:val="00AA325F"/>
    <w:rsid w:val="00AA327D"/>
    <w:rsid w:val="00AA32D8"/>
    <w:rsid w:val="00AA32FA"/>
    <w:rsid w:val="00AA3314"/>
    <w:rsid w:val="00AA33B6"/>
    <w:rsid w:val="00AA33ED"/>
    <w:rsid w:val="00AA3414"/>
    <w:rsid w:val="00AA3464"/>
    <w:rsid w:val="00AA34A2"/>
    <w:rsid w:val="00AA34A9"/>
    <w:rsid w:val="00AA3547"/>
    <w:rsid w:val="00AA3572"/>
    <w:rsid w:val="00AA3609"/>
    <w:rsid w:val="00AA364F"/>
    <w:rsid w:val="00AA3709"/>
    <w:rsid w:val="00AA3719"/>
    <w:rsid w:val="00AA3729"/>
    <w:rsid w:val="00AA375E"/>
    <w:rsid w:val="00AA37E5"/>
    <w:rsid w:val="00AA383C"/>
    <w:rsid w:val="00AA3892"/>
    <w:rsid w:val="00AA39FD"/>
    <w:rsid w:val="00AA3A24"/>
    <w:rsid w:val="00AA3A6A"/>
    <w:rsid w:val="00AA3A6D"/>
    <w:rsid w:val="00AA3A9C"/>
    <w:rsid w:val="00AA3AC4"/>
    <w:rsid w:val="00AA3AE0"/>
    <w:rsid w:val="00AA3AE5"/>
    <w:rsid w:val="00AA3AEA"/>
    <w:rsid w:val="00AA3AFE"/>
    <w:rsid w:val="00AA3B25"/>
    <w:rsid w:val="00AA3B78"/>
    <w:rsid w:val="00AA3B85"/>
    <w:rsid w:val="00AA3BE8"/>
    <w:rsid w:val="00AA3BEC"/>
    <w:rsid w:val="00AA3BF3"/>
    <w:rsid w:val="00AA3C2C"/>
    <w:rsid w:val="00AA3C61"/>
    <w:rsid w:val="00AA3C6E"/>
    <w:rsid w:val="00AA3C7C"/>
    <w:rsid w:val="00AA3CD4"/>
    <w:rsid w:val="00AA3D14"/>
    <w:rsid w:val="00AA3DA2"/>
    <w:rsid w:val="00AA3DF5"/>
    <w:rsid w:val="00AA3E09"/>
    <w:rsid w:val="00AA3E2F"/>
    <w:rsid w:val="00AA3E56"/>
    <w:rsid w:val="00AA3E78"/>
    <w:rsid w:val="00AA3F03"/>
    <w:rsid w:val="00AA3F1E"/>
    <w:rsid w:val="00AA3F27"/>
    <w:rsid w:val="00AA3F66"/>
    <w:rsid w:val="00AA3F7A"/>
    <w:rsid w:val="00AA402A"/>
    <w:rsid w:val="00AA4060"/>
    <w:rsid w:val="00AA408A"/>
    <w:rsid w:val="00AA417F"/>
    <w:rsid w:val="00AA418A"/>
    <w:rsid w:val="00AA41DA"/>
    <w:rsid w:val="00AA426D"/>
    <w:rsid w:val="00AA426E"/>
    <w:rsid w:val="00AA4289"/>
    <w:rsid w:val="00AA434C"/>
    <w:rsid w:val="00AA43BA"/>
    <w:rsid w:val="00AA43FB"/>
    <w:rsid w:val="00AA4406"/>
    <w:rsid w:val="00AA4447"/>
    <w:rsid w:val="00AA4464"/>
    <w:rsid w:val="00AA4503"/>
    <w:rsid w:val="00AA4645"/>
    <w:rsid w:val="00AA468C"/>
    <w:rsid w:val="00AA46A3"/>
    <w:rsid w:val="00AA46DE"/>
    <w:rsid w:val="00AA478B"/>
    <w:rsid w:val="00AA47A5"/>
    <w:rsid w:val="00AA47C7"/>
    <w:rsid w:val="00AA485F"/>
    <w:rsid w:val="00AA4889"/>
    <w:rsid w:val="00AA489D"/>
    <w:rsid w:val="00AA4911"/>
    <w:rsid w:val="00AA4981"/>
    <w:rsid w:val="00AA49A3"/>
    <w:rsid w:val="00AA49AC"/>
    <w:rsid w:val="00AA49ED"/>
    <w:rsid w:val="00AA4A20"/>
    <w:rsid w:val="00AA4A45"/>
    <w:rsid w:val="00AA4A53"/>
    <w:rsid w:val="00AA4A82"/>
    <w:rsid w:val="00AA4B5C"/>
    <w:rsid w:val="00AA4B72"/>
    <w:rsid w:val="00AA4C6C"/>
    <w:rsid w:val="00AA4C70"/>
    <w:rsid w:val="00AA4C8A"/>
    <w:rsid w:val="00AA4CE8"/>
    <w:rsid w:val="00AA4D3C"/>
    <w:rsid w:val="00AA4E21"/>
    <w:rsid w:val="00AA4E2C"/>
    <w:rsid w:val="00AA4EDE"/>
    <w:rsid w:val="00AA4EFF"/>
    <w:rsid w:val="00AA4F98"/>
    <w:rsid w:val="00AA4FD2"/>
    <w:rsid w:val="00AA4FED"/>
    <w:rsid w:val="00AA5055"/>
    <w:rsid w:val="00AA5081"/>
    <w:rsid w:val="00AA50C4"/>
    <w:rsid w:val="00AA50DC"/>
    <w:rsid w:val="00AA50EB"/>
    <w:rsid w:val="00AA5131"/>
    <w:rsid w:val="00AA5164"/>
    <w:rsid w:val="00AA518D"/>
    <w:rsid w:val="00AA51B1"/>
    <w:rsid w:val="00AA51D7"/>
    <w:rsid w:val="00AA51F4"/>
    <w:rsid w:val="00AA5253"/>
    <w:rsid w:val="00AA52A0"/>
    <w:rsid w:val="00AA52AC"/>
    <w:rsid w:val="00AA52AD"/>
    <w:rsid w:val="00AA52F7"/>
    <w:rsid w:val="00AA5327"/>
    <w:rsid w:val="00AA5334"/>
    <w:rsid w:val="00AA533B"/>
    <w:rsid w:val="00AA5340"/>
    <w:rsid w:val="00AA53B3"/>
    <w:rsid w:val="00AA5400"/>
    <w:rsid w:val="00AA540E"/>
    <w:rsid w:val="00AA5411"/>
    <w:rsid w:val="00AA5493"/>
    <w:rsid w:val="00AA54AC"/>
    <w:rsid w:val="00AA54B2"/>
    <w:rsid w:val="00AA54C1"/>
    <w:rsid w:val="00AA550B"/>
    <w:rsid w:val="00AA5676"/>
    <w:rsid w:val="00AA5687"/>
    <w:rsid w:val="00AA56C0"/>
    <w:rsid w:val="00AA5706"/>
    <w:rsid w:val="00AA5759"/>
    <w:rsid w:val="00AA5775"/>
    <w:rsid w:val="00AA57C7"/>
    <w:rsid w:val="00AA5809"/>
    <w:rsid w:val="00AA5827"/>
    <w:rsid w:val="00AA5858"/>
    <w:rsid w:val="00AA5915"/>
    <w:rsid w:val="00AA5987"/>
    <w:rsid w:val="00AA59F4"/>
    <w:rsid w:val="00AA5A27"/>
    <w:rsid w:val="00AA5A99"/>
    <w:rsid w:val="00AA5AB7"/>
    <w:rsid w:val="00AA5AC9"/>
    <w:rsid w:val="00AA5B62"/>
    <w:rsid w:val="00AA5B67"/>
    <w:rsid w:val="00AA5B68"/>
    <w:rsid w:val="00AA5BC2"/>
    <w:rsid w:val="00AA5C52"/>
    <w:rsid w:val="00AA5CA7"/>
    <w:rsid w:val="00AA5CEC"/>
    <w:rsid w:val="00AA5D4B"/>
    <w:rsid w:val="00AA5D93"/>
    <w:rsid w:val="00AA5DD1"/>
    <w:rsid w:val="00AA5DEC"/>
    <w:rsid w:val="00AA5DED"/>
    <w:rsid w:val="00AA5E14"/>
    <w:rsid w:val="00AA5E7A"/>
    <w:rsid w:val="00AA5E8E"/>
    <w:rsid w:val="00AA5F58"/>
    <w:rsid w:val="00AA5F7C"/>
    <w:rsid w:val="00AA5FCB"/>
    <w:rsid w:val="00AA602F"/>
    <w:rsid w:val="00AA606C"/>
    <w:rsid w:val="00AA614C"/>
    <w:rsid w:val="00AA6161"/>
    <w:rsid w:val="00AA61F6"/>
    <w:rsid w:val="00AA625B"/>
    <w:rsid w:val="00AA6327"/>
    <w:rsid w:val="00AA6396"/>
    <w:rsid w:val="00AA63C7"/>
    <w:rsid w:val="00AA647F"/>
    <w:rsid w:val="00AA64AB"/>
    <w:rsid w:val="00AA64C3"/>
    <w:rsid w:val="00AA64D9"/>
    <w:rsid w:val="00AA655C"/>
    <w:rsid w:val="00AA6702"/>
    <w:rsid w:val="00AA6733"/>
    <w:rsid w:val="00AA6759"/>
    <w:rsid w:val="00AA675C"/>
    <w:rsid w:val="00AA6765"/>
    <w:rsid w:val="00AA677E"/>
    <w:rsid w:val="00AA686F"/>
    <w:rsid w:val="00AA68E0"/>
    <w:rsid w:val="00AA68FC"/>
    <w:rsid w:val="00AA6902"/>
    <w:rsid w:val="00AA6927"/>
    <w:rsid w:val="00AA6993"/>
    <w:rsid w:val="00AA69F9"/>
    <w:rsid w:val="00AA6A30"/>
    <w:rsid w:val="00AA6A32"/>
    <w:rsid w:val="00AA6A5F"/>
    <w:rsid w:val="00AA6AA5"/>
    <w:rsid w:val="00AA6AC8"/>
    <w:rsid w:val="00AA6B0C"/>
    <w:rsid w:val="00AA6B78"/>
    <w:rsid w:val="00AA6C74"/>
    <w:rsid w:val="00AA6D92"/>
    <w:rsid w:val="00AA6D97"/>
    <w:rsid w:val="00AA6E06"/>
    <w:rsid w:val="00AA6E33"/>
    <w:rsid w:val="00AA6E4B"/>
    <w:rsid w:val="00AA6E5C"/>
    <w:rsid w:val="00AA6ED7"/>
    <w:rsid w:val="00AA6F1F"/>
    <w:rsid w:val="00AA6F22"/>
    <w:rsid w:val="00AA6F61"/>
    <w:rsid w:val="00AA6F77"/>
    <w:rsid w:val="00AA6F85"/>
    <w:rsid w:val="00AA6F8D"/>
    <w:rsid w:val="00AA6FB2"/>
    <w:rsid w:val="00AA6FB9"/>
    <w:rsid w:val="00AA7097"/>
    <w:rsid w:val="00AA70A9"/>
    <w:rsid w:val="00AA7102"/>
    <w:rsid w:val="00AA71C6"/>
    <w:rsid w:val="00AA7200"/>
    <w:rsid w:val="00AA7221"/>
    <w:rsid w:val="00AA723A"/>
    <w:rsid w:val="00AA7277"/>
    <w:rsid w:val="00AA72A3"/>
    <w:rsid w:val="00AA737C"/>
    <w:rsid w:val="00AA7404"/>
    <w:rsid w:val="00AA7568"/>
    <w:rsid w:val="00AA7576"/>
    <w:rsid w:val="00AA7589"/>
    <w:rsid w:val="00AA7593"/>
    <w:rsid w:val="00AA7615"/>
    <w:rsid w:val="00AA7625"/>
    <w:rsid w:val="00AA7653"/>
    <w:rsid w:val="00AA768A"/>
    <w:rsid w:val="00AA769C"/>
    <w:rsid w:val="00AA76F1"/>
    <w:rsid w:val="00AA779C"/>
    <w:rsid w:val="00AA77EF"/>
    <w:rsid w:val="00AA78CD"/>
    <w:rsid w:val="00AA7946"/>
    <w:rsid w:val="00AA7968"/>
    <w:rsid w:val="00AA7981"/>
    <w:rsid w:val="00AA79DC"/>
    <w:rsid w:val="00AA7A5B"/>
    <w:rsid w:val="00AA7AD1"/>
    <w:rsid w:val="00AA7AF0"/>
    <w:rsid w:val="00AA7B0F"/>
    <w:rsid w:val="00AA7B3B"/>
    <w:rsid w:val="00AA7B4D"/>
    <w:rsid w:val="00AA7BCB"/>
    <w:rsid w:val="00AA7BE0"/>
    <w:rsid w:val="00AA7C1A"/>
    <w:rsid w:val="00AA7C58"/>
    <w:rsid w:val="00AA7D56"/>
    <w:rsid w:val="00AA7D74"/>
    <w:rsid w:val="00AA7DBE"/>
    <w:rsid w:val="00AA7DE1"/>
    <w:rsid w:val="00AA7E27"/>
    <w:rsid w:val="00AA7E7F"/>
    <w:rsid w:val="00AA7EB9"/>
    <w:rsid w:val="00AA7EC0"/>
    <w:rsid w:val="00AA7ED2"/>
    <w:rsid w:val="00AA7F2D"/>
    <w:rsid w:val="00AA7F9C"/>
    <w:rsid w:val="00AB005B"/>
    <w:rsid w:val="00AB00C3"/>
    <w:rsid w:val="00AB00D6"/>
    <w:rsid w:val="00AB012B"/>
    <w:rsid w:val="00AB0181"/>
    <w:rsid w:val="00AB01D2"/>
    <w:rsid w:val="00AB0224"/>
    <w:rsid w:val="00AB0252"/>
    <w:rsid w:val="00AB0256"/>
    <w:rsid w:val="00AB028F"/>
    <w:rsid w:val="00AB02C3"/>
    <w:rsid w:val="00AB0345"/>
    <w:rsid w:val="00AB036A"/>
    <w:rsid w:val="00AB03A9"/>
    <w:rsid w:val="00AB03AF"/>
    <w:rsid w:val="00AB04AD"/>
    <w:rsid w:val="00AB05D8"/>
    <w:rsid w:val="00AB060E"/>
    <w:rsid w:val="00AB06EC"/>
    <w:rsid w:val="00AB0701"/>
    <w:rsid w:val="00AB0782"/>
    <w:rsid w:val="00AB07AC"/>
    <w:rsid w:val="00AB07EF"/>
    <w:rsid w:val="00AB0801"/>
    <w:rsid w:val="00AB0850"/>
    <w:rsid w:val="00AB0855"/>
    <w:rsid w:val="00AB0866"/>
    <w:rsid w:val="00AB0891"/>
    <w:rsid w:val="00AB09D0"/>
    <w:rsid w:val="00AB09E7"/>
    <w:rsid w:val="00AB0A63"/>
    <w:rsid w:val="00AB0A68"/>
    <w:rsid w:val="00AB0A8D"/>
    <w:rsid w:val="00AB0ACC"/>
    <w:rsid w:val="00AB0B01"/>
    <w:rsid w:val="00AB0B11"/>
    <w:rsid w:val="00AB0B60"/>
    <w:rsid w:val="00AB0B64"/>
    <w:rsid w:val="00AB0BB1"/>
    <w:rsid w:val="00AB0BBF"/>
    <w:rsid w:val="00AB0C13"/>
    <w:rsid w:val="00AB0CFF"/>
    <w:rsid w:val="00AB0D4B"/>
    <w:rsid w:val="00AB0E15"/>
    <w:rsid w:val="00AB0EA6"/>
    <w:rsid w:val="00AB0F56"/>
    <w:rsid w:val="00AB0F80"/>
    <w:rsid w:val="00AB0FB4"/>
    <w:rsid w:val="00AB0FFA"/>
    <w:rsid w:val="00AB1000"/>
    <w:rsid w:val="00AB113B"/>
    <w:rsid w:val="00AB1188"/>
    <w:rsid w:val="00AB121E"/>
    <w:rsid w:val="00AB123A"/>
    <w:rsid w:val="00AB12E9"/>
    <w:rsid w:val="00AB1382"/>
    <w:rsid w:val="00AB13C3"/>
    <w:rsid w:val="00AB1433"/>
    <w:rsid w:val="00AB1511"/>
    <w:rsid w:val="00AB1537"/>
    <w:rsid w:val="00AB156A"/>
    <w:rsid w:val="00AB15B2"/>
    <w:rsid w:val="00AB15B3"/>
    <w:rsid w:val="00AB1651"/>
    <w:rsid w:val="00AB16CA"/>
    <w:rsid w:val="00AB1703"/>
    <w:rsid w:val="00AB1761"/>
    <w:rsid w:val="00AB176D"/>
    <w:rsid w:val="00AB1837"/>
    <w:rsid w:val="00AB1842"/>
    <w:rsid w:val="00AB187E"/>
    <w:rsid w:val="00AB1880"/>
    <w:rsid w:val="00AB18C7"/>
    <w:rsid w:val="00AB18FF"/>
    <w:rsid w:val="00AB190F"/>
    <w:rsid w:val="00AB19D5"/>
    <w:rsid w:val="00AB19EC"/>
    <w:rsid w:val="00AB19F2"/>
    <w:rsid w:val="00AB1A19"/>
    <w:rsid w:val="00AB1A2B"/>
    <w:rsid w:val="00AB1A39"/>
    <w:rsid w:val="00AB1A9D"/>
    <w:rsid w:val="00AB1B4F"/>
    <w:rsid w:val="00AB1BFD"/>
    <w:rsid w:val="00AB1C31"/>
    <w:rsid w:val="00AB1C8F"/>
    <w:rsid w:val="00AB1C92"/>
    <w:rsid w:val="00AB1D12"/>
    <w:rsid w:val="00AB1D47"/>
    <w:rsid w:val="00AB1D54"/>
    <w:rsid w:val="00AB1D9B"/>
    <w:rsid w:val="00AB1E42"/>
    <w:rsid w:val="00AB1E6B"/>
    <w:rsid w:val="00AB1F15"/>
    <w:rsid w:val="00AB1F6B"/>
    <w:rsid w:val="00AB1F73"/>
    <w:rsid w:val="00AB1FC2"/>
    <w:rsid w:val="00AB1FE7"/>
    <w:rsid w:val="00AB1FF6"/>
    <w:rsid w:val="00AB2013"/>
    <w:rsid w:val="00AB2085"/>
    <w:rsid w:val="00AB20A6"/>
    <w:rsid w:val="00AB214B"/>
    <w:rsid w:val="00AB214D"/>
    <w:rsid w:val="00AB2236"/>
    <w:rsid w:val="00AB22E4"/>
    <w:rsid w:val="00AB2314"/>
    <w:rsid w:val="00AB236B"/>
    <w:rsid w:val="00AB23B5"/>
    <w:rsid w:val="00AB23F4"/>
    <w:rsid w:val="00AB2488"/>
    <w:rsid w:val="00AB249F"/>
    <w:rsid w:val="00AB24D8"/>
    <w:rsid w:val="00AB258E"/>
    <w:rsid w:val="00AB259D"/>
    <w:rsid w:val="00AB25CA"/>
    <w:rsid w:val="00AB25CF"/>
    <w:rsid w:val="00AB2641"/>
    <w:rsid w:val="00AB2644"/>
    <w:rsid w:val="00AB26A0"/>
    <w:rsid w:val="00AB26B2"/>
    <w:rsid w:val="00AB270B"/>
    <w:rsid w:val="00AB276B"/>
    <w:rsid w:val="00AB277B"/>
    <w:rsid w:val="00AB27CA"/>
    <w:rsid w:val="00AB2801"/>
    <w:rsid w:val="00AB2921"/>
    <w:rsid w:val="00AB292C"/>
    <w:rsid w:val="00AB2938"/>
    <w:rsid w:val="00AB295A"/>
    <w:rsid w:val="00AB296C"/>
    <w:rsid w:val="00AB2A7C"/>
    <w:rsid w:val="00AB2B02"/>
    <w:rsid w:val="00AB2B08"/>
    <w:rsid w:val="00AB2B0D"/>
    <w:rsid w:val="00AB2B36"/>
    <w:rsid w:val="00AB2BB3"/>
    <w:rsid w:val="00AB2CC3"/>
    <w:rsid w:val="00AB2CCD"/>
    <w:rsid w:val="00AB2D78"/>
    <w:rsid w:val="00AB2DB4"/>
    <w:rsid w:val="00AB2E23"/>
    <w:rsid w:val="00AB2E7C"/>
    <w:rsid w:val="00AB2E92"/>
    <w:rsid w:val="00AB2F22"/>
    <w:rsid w:val="00AB2F46"/>
    <w:rsid w:val="00AB2F5D"/>
    <w:rsid w:val="00AB2F7D"/>
    <w:rsid w:val="00AB30C1"/>
    <w:rsid w:val="00AB3209"/>
    <w:rsid w:val="00AB321B"/>
    <w:rsid w:val="00AB3252"/>
    <w:rsid w:val="00AB32D4"/>
    <w:rsid w:val="00AB32D7"/>
    <w:rsid w:val="00AB32E4"/>
    <w:rsid w:val="00AB3322"/>
    <w:rsid w:val="00AB3490"/>
    <w:rsid w:val="00AB34E6"/>
    <w:rsid w:val="00AB34FC"/>
    <w:rsid w:val="00AB3564"/>
    <w:rsid w:val="00AB356F"/>
    <w:rsid w:val="00AB35A3"/>
    <w:rsid w:val="00AB35B0"/>
    <w:rsid w:val="00AB36D3"/>
    <w:rsid w:val="00AB37B7"/>
    <w:rsid w:val="00AB37D8"/>
    <w:rsid w:val="00AB3801"/>
    <w:rsid w:val="00AB38E8"/>
    <w:rsid w:val="00AB3905"/>
    <w:rsid w:val="00AB3906"/>
    <w:rsid w:val="00AB39E1"/>
    <w:rsid w:val="00AB39EB"/>
    <w:rsid w:val="00AB3A4A"/>
    <w:rsid w:val="00AB3A71"/>
    <w:rsid w:val="00AB3AA1"/>
    <w:rsid w:val="00AB3B30"/>
    <w:rsid w:val="00AB3B93"/>
    <w:rsid w:val="00AB3BC0"/>
    <w:rsid w:val="00AB3BD2"/>
    <w:rsid w:val="00AB3C01"/>
    <w:rsid w:val="00AB3C30"/>
    <w:rsid w:val="00AB3CA6"/>
    <w:rsid w:val="00AB3D28"/>
    <w:rsid w:val="00AB3D30"/>
    <w:rsid w:val="00AB3D67"/>
    <w:rsid w:val="00AB3DDA"/>
    <w:rsid w:val="00AB3EA9"/>
    <w:rsid w:val="00AB3EEF"/>
    <w:rsid w:val="00AB3F00"/>
    <w:rsid w:val="00AB3F27"/>
    <w:rsid w:val="00AB3F3E"/>
    <w:rsid w:val="00AB3FB4"/>
    <w:rsid w:val="00AB4001"/>
    <w:rsid w:val="00AB402B"/>
    <w:rsid w:val="00AB405D"/>
    <w:rsid w:val="00AB4060"/>
    <w:rsid w:val="00AB4155"/>
    <w:rsid w:val="00AB41BE"/>
    <w:rsid w:val="00AB41DB"/>
    <w:rsid w:val="00AB41ED"/>
    <w:rsid w:val="00AB420B"/>
    <w:rsid w:val="00AB428A"/>
    <w:rsid w:val="00AB42BB"/>
    <w:rsid w:val="00AB42DF"/>
    <w:rsid w:val="00AB4345"/>
    <w:rsid w:val="00AB43A5"/>
    <w:rsid w:val="00AB43CE"/>
    <w:rsid w:val="00AB4453"/>
    <w:rsid w:val="00AB4578"/>
    <w:rsid w:val="00AB45C6"/>
    <w:rsid w:val="00AB45F8"/>
    <w:rsid w:val="00AB4614"/>
    <w:rsid w:val="00AB4634"/>
    <w:rsid w:val="00AB46D6"/>
    <w:rsid w:val="00AB47EA"/>
    <w:rsid w:val="00AB480C"/>
    <w:rsid w:val="00AB4882"/>
    <w:rsid w:val="00AB48A8"/>
    <w:rsid w:val="00AB48DF"/>
    <w:rsid w:val="00AB4992"/>
    <w:rsid w:val="00AB499A"/>
    <w:rsid w:val="00AB49AF"/>
    <w:rsid w:val="00AB49C2"/>
    <w:rsid w:val="00AB4A07"/>
    <w:rsid w:val="00AB4A08"/>
    <w:rsid w:val="00AB4A28"/>
    <w:rsid w:val="00AB4A2C"/>
    <w:rsid w:val="00AB4A7C"/>
    <w:rsid w:val="00AB4AB1"/>
    <w:rsid w:val="00AB4AF2"/>
    <w:rsid w:val="00AB4B19"/>
    <w:rsid w:val="00AB4B38"/>
    <w:rsid w:val="00AB4B98"/>
    <w:rsid w:val="00AB4BBB"/>
    <w:rsid w:val="00AB4C56"/>
    <w:rsid w:val="00AB4C86"/>
    <w:rsid w:val="00AB4C9A"/>
    <w:rsid w:val="00AB4C9E"/>
    <w:rsid w:val="00AB4CB7"/>
    <w:rsid w:val="00AB4CFD"/>
    <w:rsid w:val="00AB4D1A"/>
    <w:rsid w:val="00AB4DB3"/>
    <w:rsid w:val="00AB4DBD"/>
    <w:rsid w:val="00AB4E6A"/>
    <w:rsid w:val="00AB4EBC"/>
    <w:rsid w:val="00AB4F8D"/>
    <w:rsid w:val="00AB50C0"/>
    <w:rsid w:val="00AB511E"/>
    <w:rsid w:val="00AB516A"/>
    <w:rsid w:val="00AB51B9"/>
    <w:rsid w:val="00AB5265"/>
    <w:rsid w:val="00AB5295"/>
    <w:rsid w:val="00AB52D9"/>
    <w:rsid w:val="00AB52EC"/>
    <w:rsid w:val="00AB534C"/>
    <w:rsid w:val="00AB53C1"/>
    <w:rsid w:val="00AB53FA"/>
    <w:rsid w:val="00AB5428"/>
    <w:rsid w:val="00AB5461"/>
    <w:rsid w:val="00AB5469"/>
    <w:rsid w:val="00AB547C"/>
    <w:rsid w:val="00AB54BE"/>
    <w:rsid w:val="00AB54F2"/>
    <w:rsid w:val="00AB554D"/>
    <w:rsid w:val="00AB556B"/>
    <w:rsid w:val="00AB55DB"/>
    <w:rsid w:val="00AB5619"/>
    <w:rsid w:val="00AB5658"/>
    <w:rsid w:val="00AB565B"/>
    <w:rsid w:val="00AB56B8"/>
    <w:rsid w:val="00AB56EB"/>
    <w:rsid w:val="00AB56F1"/>
    <w:rsid w:val="00AB5700"/>
    <w:rsid w:val="00AB570D"/>
    <w:rsid w:val="00AB5723"/>
    <w:rsid w:val="00AB574A"/>
    <w:rsid w:val="00AB574C"/>
    <w:rsid w:val="00AB57BD"/>
    <w:rsid w:val="00AB57D4"/>
    <w:rsid w:val="00AB57E5"/>
    <w:rsid w:val="00AB5808"/>
    <w:rsid w:val="00AB5885"/>
    <w:rsid w:val="00AB58E3"/>
    <w:rsid w:val="00AB5929"/>
    <w:rsid w:val="00AB59A0"/>
    <w:rsid w:val="00AB59AE"/>
    <w:rsid w:val="00AB5A96"/>
    <w:rsid w:val="00AB5AC4"/>
    <w:rsid w:val="00AB5B0C"/>
    <w:rsid w:val="00AB5B18"/>
    <w:rsid w:val="00AB5B21"/>
    <w:rsid w:val="00AB5B2D"/>
    <w:rsid w:val="00AB5B60"/>
    <w:rsid w:val="00AB5B77"/>
    <w:rsid w:val="00AB5B79"/>
    <w:rsid w:val="00AB5BA8"/>
    <w:rsid w:val="00AB5BD4"/>
    <w:rsid w:val="00AB5C4E"/>
    <w:rsid w:val="00AB5C51"/>
    <w:rsid w:val="00AB5D50"/>
    <w:rsid w:val="00AB5DB2"/>
    <w:rsid w:val="00AB5DDC"/>
    <w:rsid w:val="00AB5E03"/>
    <w:rsid w:val="00AB5E7C"/>
    <w:rsid w:val="00AB5EDD"/>
    <w:rsid w:val="00AB5F05"/>
    <w:rsid w:val="00AB5F46"/>
    <w:rsid w:val="00AB5FC0"/>
    <w:rsid w:val="00AB6035"/>
    <w:rsid w:val="00AB609E"/>
    <w:rsid w:val="00AB60A2"/>
    <w:rsid w:val="00AB60C6"/>
    <w:rsid w:val="00AB60DC"/>
    <w:rsid w:val="00AB6233"/>
    <w:rsid w:val="00AB627E"/>
    <w:rsid w:val="00AB6282"/>
    <w:rsid w:val="00AB6289"/>
    <w:rsid w:val="00AB6299"/>
    <w:rsid w:val="00AB6325"/>
    <w:rsid w:val="00AB6340"/>
    <w:rsid w:val="00AB6368"/>
    <w:rsid w:val="00AB6389"/>
    <w:rsid w:val="00AB64C6"/>
    <w:rsid w:val="00AB652A"/>
    <w:rsid w:val="00AB6538"/>
    <w:rsid w:val="00AB6568"/>
    <w:rsid w:val="00AB65F2"/>
    <w:rsid w:val="00AB65FA"/>
    <w:rsid w:val="00AB667E"/>
    <w:rsid w:val="00AB6683"/>
    <w:rsid w:val="00AB6688"/>
    <w:rsid w:val="00AB66AC"/>
    <w:rsid w:val="00AB67D4"/>
    <w:rsid w:val="00AB67F2"/>
    <w:rsid w:val="00AB6846"/>
    <w:rsid w:val="00AB6864"/>
    <w:rsid w:val="00AB691C"/>
    <w:rsid w:val="00AB69BA"/>
    <w:rsid w:val="00AB6A27"/>
    <w:rsid w:val="00AB6ADC"/>
    <w:rsid w:val="00AB6B8F"/>
    <w:rsid w:val="00AB6B99"/>
    <w:rsid w:val="00AB6CD8"/>
    <w:rsid w:val="00AB6CED"/>
    <w:rsid w:val="00AB6D5E"/>
    <w:rsid w:val="00AB6D69"/>
    <w:rsid w:val="00AB6D79"/>
    <w:rsid w:val="00AB6D92"/>
    <w:rsid w:val="00AB6D96"/>
    <w:rsid w:val="00AB6DC6"/>
    <w:rsid w:val="00AB6E25"/>
    <w:rsid w:val="00AB6EAB"/>
    <w:rsid w:val="00AB6EB5"/>
    <w:rsid w:val="00AB6EC5"/>
    <w:rsid w:val="00AB6EEB"/>
    <w:rsid w:val="00AB6F6C"/>
    <w:rsid w:val="00AB6F9E"/>
    <w:rsid w:val="00AB7086"/>
    <w:rsid w:val="00AB70AA"/>
    <w:rsid w:val="00AB70EE"/>
    <w:rsid w:val="00AB7105"/>
    <w:rsid w:val="00AB71A7"/>
    <w:rsid w:val="00AB727A"/>
    <w:rsid w:val="00AB739E"/>
    <w:rsid w:val="00AB73DF"/>
    <w:rsid w:val="00AB7404"/>
    <w:rsid w:val="00AB7484"/>
    <w:rsid w:val="00AB75D6"/>
    <w:rsid w:val="00AB7667"/>
    <w:rsid w:val="00AB76DF"/>
    <w:rsid w:val="00AB774C"/>
    <w:rsid w:val="00AB7785"/>
    <w:rsid w:val="00AB7824"/>
    <w:rsid w:val="00AB7828"/>
    <w:rsid w:val="00AB7836"/>
    <w:rsid w:val="00AB789C"/>
    <w:rsid w:val="00AB7905"/>
    <w:rsid w:val="00AB791E"/>
    <w:rsid w:val="00AB794F"/>
    <w:rsid w:val="00AB7983"/>
    <w:rsid w:val="00AB79A9"/>
    <w:rsid w:val="00AB7A52"/>
    <w:rsid w:val="00AB7A5D"/>
    <w:rsid w:val="00AB7A85"/>
    <w:rsid w:val="00AB7ACE"/>
    <w:rsid w:val="00AB7AE2"/>
    <w:rsid w:val="00AB7B03"/>
    <w:rsid w:val="00AB7B0A"/>
    <w:rsid w:val="00AB7BA6"/>
    <w:rsid w:val="00AB7BB4"/>
    <w:rsid w:val="00AB7BCF"/>
    <w:rsid w:val="00AB7CD6"/>
    <w:rsid w:val="00AB7CDE"/>
    <w:rsid w:val="00AB7D66"/>
    <w:rsid w:val="00AB7E31"/>
    <w:rsid w:val="00AB7E7E"/>
    <w:rsid w:val="00AB7EAB"/>
    <w:rsid w:val="00AB7F9F"/>
    <w:rsid w:val="00AC0013"/>
    <w:rsid w:val="00AC0046"/>
    <w:rsid w:val="00AC00F0"/>
    <w:rsid w:val="00AC010A"/>
    <w:rsid w:val="00AC017A"/>
    <w:rsid w:val="00AC01F9"/>
    <w:rsid w:val="00AC0200"/>
    <w:rsid w:val="00AC0209"/>
    <w:rsid w:val="00AC024E"/>
    <w:rsid w:val="00AC027B"/>
    <w:rsid w:val="00AC02C7"/>
    <w:rsid w:val="00AC0323"/>
    <w:rsid w:val="00AC0330"/>
    <w:rsid w:val="00AC0370"/>
    <w:rsid w:val="00AC0389"/>
    <w:rsid w:val="00AC047D"/>
    <w:rsid w:val="00AC0482"/>
    <w:rsid w:val="00AC0484"/>
    <w:rsid w:val="00AC0509"/>
    <w:rsid w:val="00AC0591"/>
    <w:rsid w:val="00AC05D7"/>
    <w:rsid w:val="00AC06D7"/>
    <w:rsid w:val="00AC06F2"/>
    <w:rsid w:val="00AC0711"/>
    <w:rsid w:val="00AC0714"/>
    <w:rsid w:val="00AC0746"/>
    <w:rsid w:val="00AC096A"/>
    <w:rsid w:val="00AC0B69"/>
    <w:rsid w:val="00AC0CF6"/>
    <w:rsid w:val="00AC0D92"/>
    <w:rsid w:val="00AC0DF4"/>
    <w:rsid w:val="00AC0E35"/>
    <w:rsid w:val="00AC0ECF"/>
    <w:rsid w:val="00AC0F2B"/>
    <w:rsid w:val="00AC0F3E"/>
    <w:rsid w:val="00AC0F46"/>
    <w:rsid w:val="00AC10A1"/>
    <w:rsid w:val="00AC1129"/>
    <w:rsid w:val="00AC112D"/>
    <w:rsid w:val="00AC118E"/>
    <w:rsid w:val="00AC11EE"/>
    <w:rsid w:val="00AC122F"/>
    <w:rsid w:val="00AC1236"/>
    <w:rsid w:val="00AC1237"/>
    <w:rsid w:val="00AC1259"/>
    <w:rsid w:val="00AC12E6"/>
    <w:rsid w:val="00AC1336"/>
    <w:rsid w:val="00AC13D5"/>
    <w:rsid w:val="00AC1422"/>
    <w:rsid w:val="00AC1430"/>
    <w:rsid w:val="00AC148C"/>
    <w:rsid w:val="00AC14D4"/>
    <w:rsid w:val="00AC1564"/>
    <w:rsid w:val="00AC1568"/>
    <w:rsid w:val="00AC1579"/>
    <w:rsid w:val="00AC158B"/>
    <w:rsid w:val="00AC15A1"/>
    <w:rsid w:val="00AC15B9"/>
    <w:rsid w:val="00AC15C1"/>
    <w:rsid w:val="00AC15C7"/>
    <w:rsid w:val="00AC16F0"/>
    <w:rsid w:val="00AC1727"/>
    <w:rsid w:val="00AC176B"/>
    <w:rsid w:val="00AC17BF"/>
    <w:rsid w:val="00AC1895"/>
    <w:rsid w:val="00AC194C"/>
    <w:rsid w:val="00AC195D"/>
    <w:rsid w:val="00AC195E"/>
    <w:rsid w:val="00AC19AD"/>
    <w:rsid w:val="00AC1A19"/>
    <w:rsid w:val="00AC1A54"/>
    <w:rsid w:val="00AC1A7B"/>
    <w:rsid w:val="00AC1AAF"/>
    <w:rsid w:val="00AC1B89"/>
    <w:rsid w:val="00AC1BC7"/>
    <w:rsid w:val="00AC1BF6"/>
    <w:rsid w:val="00AC1CA5"/>
    <w:rsid w:val="00AC1D2B"/>
    <w:rsid w:val="00AC1D52"/>
    <w:rsid w:val="00AC1D62"/>
    <w:rsid w:val="00AC1E46"/>
    <w:rsid w:val="00AC1E51"/>
    <w:rsid w:val="00AC1F74"/>
    <w:rsid w:val="00AC1F92"/>
    <w:rsid w:val="00AC2004"/>
    <w:rsid w:val="00AC201C"/>
    <w:rsid w:val="00AC2023"/>
    <w:rsid w:val="00AC2027"/>
    <w:rsid w:val="00AC202D"/>
    <w:rsid w:val="00AC2036"/>
    <w:rsid w:val="00AC20A1"/>
    <w:rsid w:val="00AC214A"/>
    <w:rsid w:val="00AC21DF"/>
    <w:rsid w:val="00AC2248"/>
    <w:rsid w:val="00AC225D"/>
    <w:rsid w:val="00AC2294"/>
    <w:rsid w:val="00AC22BA"/>
    <w:rsid w:val="00AC2383"/>
    <w:rsid w:val="00AC23EA"/>
    <w:rsid w:val="00AC2406"/>
    <w:rsid w:val="00AC2488"/>
    <w:rsid w:val="00AC24D7"/>
    <w:rsid w:val="00AC2527"/>
    <w:rsid w:val="00AC25C4"/>
    <w:rsid w:val="00AC264A"/>
    <w:rsid w:val="00AC26C5"/>
    <w:rsid w:val="00AC26FD"/>
    <w:rsid w:val="00AC272B"/>
    <w:rsid w:val="00AC2783"/>
    <w:rsid w:val="00AC27E2"/>
    <w:rsid w:val="00AC28F9"/>
    <w:rsid w:val="00AC29A2"/>
    <w:rsid w:val="00AC29B0"/>
    <w:rsid w:val="00AC29F9"/>
    <w:rsid w:val="00AC2A14"/>
    <w:rsid w:val="00AC2A33"/>
    <w:rsid w:val="00AC2A43"/>
    <w:rsid w:val="00AC2A6C"/>
    <w:rsid w:val="00AC2AD7"/>
    <w:rsid w:val="00AC2AFA"/>
    <w:rsid w:val="00AC2B13"/>
    <w:rsid w:val="00AC2B57"/>
    <w:rsid w:val="00AC2B91"/>
    <w:rsid w:val="00AC2BA8"/>
    <w:rsid w:val="00AC2C3C"/>
    <w:rsid w:val="00AC2C41"/>
    <w:rsid w:val="00AC2CB3"/>
    <w:rsid w:val="00AC2CBA"/>
    <w:rsid w:val="00AC2D05"/>
    <w:rsid w:val="00AC2D2F"/>
    <w:rsid w:val="00AC2E7B"/>
    <w:rsid w:val="00AC2E9B"/>
    <w:rsid w:val="00AC2EF6"/>
    <w:rsid w:val="00AC2EFD"/>
    <w:rsid w:val="00AC2F50"/>
    <w:rsid w:val="00AC2F66"/>
    <w:rsid w:val="00AC2F72"/>
    <w:rsid w:val="00AC2F87"/>
    <w:rsid w:val="00AC2FC2"/>
    <w:rsid w:val="00AC2FE3"/>
    <w:rsid w:val="00AC3013"/>
    <w:rsid w:val="00AC30F0"/>
    <w:rsid w:val="00AC3172"/>
    <w:rsid w:val="00AC321D"/>
    <w:rsid w:val="00AC3246"/>
    <w:rsid w:val="00AC325A"/>
    <w:rsid w:val="00AC3269"/>
    <w:rsid w:val="00AC32CE"/>
    <w:rsid w:val="00AC3330"/>
    <w:rsid w:val="00AC33AF"/>
    <w:rsid w:val="00AC3401"/>
    <w:rsid w:val="00AC3421"/>
    <w:rsid w:val="00AC344D"/>
    <w:rsid w:val="00AC3486"/>
    <w:rsid w:val="00AC3584"/>
    <w:rsid w:val="00AC3598"/>
    <w:rsid w:val="00AC35F0"/>
    <w:rsid w:val="00AC3653"/>
    <w:rsid w:val="00AC3676"/>
    <w:rsid w:val="00AC368E"/>
    <w:rsid w:val="00AC36C7"/>
    <w:rsid w:val="00AC36FC"/>
    <w:rsid w:val="00AC372F"/>
    <w:rsid w:val="00AC3757"/>
    <w:rsid w:val="00AC3760"/>
    <w:rsid w:val="00AC380A"/>
    <w:rsid w:val="00AC3982"/>
    <w:rsid w:val="00AC39E6"/>
    <w:rsid w:val="00AC39F7"/>
    <w:rsid w:val="00AC3B24"/>
    <w:rsid w:val="00AC3B8F"/>
    <w:rsid w:val="00AC3BC9"/>
    <w:rsid w:val="00AC3BD9"/>
    <w:rsid w:val="00AC3BDA"/>
    <w:rsid w:val="00AC3BDC"/>
    <w:rsid w:val="00AC3C2E"/>
    <w:rsid w:val="00AC3C42"/>
    <w:rsid w:val="00AC3C7C"/>
    <w:rsid w:val="00AC3CA0"/>
    <w:rsid w:val="00AC3D3E"/>
    <w:rsid w:val="00AC3D57"/>
    <w:rsid w:val="00AC3D5C"/>
    <w:rsid w:val="00AC3D7D"/>
    <w:rsid w:val="00AC3DC7"/>
    <w:rsid w:val="00AC3DD1"/>
    <w:rsid w:val="00AC3DE2"/>
    <w:rsid w:val="00AC3E3D"/>
    <w:rsid w:val="00AC3E6B"/>
    <w:rsid w:val="00AC3E96"/>
    <w:rsid w:val="00AC3E9C"/>
    <w:rsid w:val="00AC3EAD"/>
    <w:rsid w:val="00AC3EF6"/>
    <w:rsid w:val="00AC3F53"/>
    <w:rsid w:val="00AC3F9C"/>
    <w:rsid w:val="00AC40BD"/>
    <w:rsid w:val="00AC40BE"/>
    <w:rsid w:val="00AC40BF"/>
    <w:rsid w:val="00AC411E"/>
    <w:rsid w:val="00AC4178"/>
    <w:rsid w:val="00AC41A3"/>
    <w:rsid w:val="00AC41E4"/>
    <w:rsid w:val="00AC41EF"/>
    <w:rsid w:val="00AC41FB"/>
    <w:rsid w:val="00AC42AC"/>
    <w:rsid w:val="00AC42B8"/>
    <w:rsid w:val="00AC42C4"/>
    <w:rsid w:val="00AC42FE"/>
    <w:rsid w:val="00AC435C"/>
    <w:rsid w:val="00AC43DB"/>
    <w:rsid w:val="00AC43E4"/>
    <w:rsid w:val="00AC442A"/>
    <w:rsid w:val="00AC4446"/>
    <w:rsid w:val="00AC4518"/>
    <w:rsid w:val="00AC458C"/>
    <w:rsid w:val="00AC45D3"/>
    <w:rsid w:val="00AC45DF"/>
    <w:rsid w:val="00AC45F8"/>
    <w:rsid w:val="00AC4635"/>
    <w:rsid w:val="00AC468E"/>
    <w:rsid w:val="00AC46DB"/>
    <w:rsid w:val="00AC46E9"/>
    <w:rsid w:val="00AC4706"/>
    <w:rsid w:val="00AC470C"/>
    <w:rsid w:val="00AC4820"/>
    <w:rsid w:val="00AC4867"/>
    <w:rsid w:val="00AC4917"/>
    <w:rsid w:val="00AC491B"/>
    <w:rsid w:val="00AC4972"/>
    <w:rsid w:val="00AC49CF"/>
    <w:rsid w:val="00AC49D0"/>
    <w:rsid w:val="00AC49F5"/>
    <w:rsid w:val="00AC4A24"/>
    <w:rsid w:val="00AC4A95"/>
    <w:rsid w:val="00AC4AC8"/>
    <w:rsid w:val="00AC4AEF"/>
    <w:rsid w:val="00AC4B5C"/>
    <w:rsid w:val="00AC4B72"/>
    <w:rsid w:val="00AC4B8B"/>
    <w:rsid w:val="00AC4B97"/>
    <w:rsid w:val="00AC4BA5"/>
    <w:rsid w:val="00AC4BB2"/>
    <w:rsid w:val="00AC4C35"/>
    <w:rsid w:val="00AC4C44"/>
    <w:rsid w:val="00AC4C9A"/>
    <w:rsid w:val="00AC4CBD"/>
    <w:rsid w:val="00AC4D37"/>
    <w:rsid w:val="00AC4D5A"/>
    <w:rsid w:val="00AC4D61"/>
    <w:rsid w:val="00AC4D99"/>
    <w:rsid w:val="00AC4D9B"/>
    <w:rsid w:val="00AC4DB0"/>
    <w:rsid w:val="00AC4DEC"/>
    <w:rsid w:val="00AC4E54"/>
    <w:rsid w:val="00AC4E70"/>
    <w:rsid w:val="00AC4E74"/>
    <w:rsid w:val="00AC4EEF"/>
    <w:rsid w:val="00AC4F45"/>
    <w:rsid w:val="00AC4F58"/>
    <w:rsid w:val="00AC4F5A"/>
    <w:rsid w:val="00AC4F63"/>
    <w:rsid w:val="00AC4FA2"/>
    <w:rsid w:val="00AC4FF0"/>
    <w:rsid w:val="00AC5018"/>
    <w:rsid w:val="00AC5102"/>
    <w:rsid w:val="00AC5153"/>
    <w:rsid w:val="00AC51F7"/>
    <w:rsid w:val="00AC521D"/>
    <w:rsid w:val="00AC5248"/>
    <w:rsid w:val="00AC5354"/>
    <w:rsid w:val="00AC536F"/>
    <w:rsid w:val="00AC5385"/>
    <w:rsid w:val="00AC5389"/>
    <w:rsid w:val="00AC538E"/>
    <w:rsid w:val="00AC539C"/>
    <w:rsid w:val="00AC5478"/>
    <w:rsid w:val="00AC54C2"/>
    <w:rsid w:val="00AC54DC"/>
    <w:rsid w:val="00AC5548"/>
    <w:rsid w:val="00AC558C"/>
    <w:rsid w:val="00AC558F"/>
    <w:rsid w:val="00AC559A"/>
    <w:rsid w:val="00AC55C3"/>
    <w:rsid w:val="00AC564E"/>
    <w:rsid w:val="00AC5698"/>
    <w:rsid w:val="00AC56B4"/>
    <w:rsid w:val="00AC56DC"/>
    <w:rsid w:val="00AC5706"/>
    <w:rsid w:val="00AC5771"/>
    <w:rsid w:val="00AC5793"/>
    <w:rsid w:val="00AC584A"/>
    <w:rsid w:val="00AC5869"/>
    <w:rsid w:val="00AC5876"/>
    <w:rsid w:val="00AC5900"/>
    <w:rsid w:val="00AC5906"/>
    <w:rsid w:val="00AC5996"/>
    <w:rsid w:val="00AC5A3A"/>
    <w:rsid w:val="00AC5AB1"/>
    <w:rsid w:val="00AC5AD2"/>
    <w:rsid w:val="00AC5AD5"/>
    <w:rsid w:val="00AC5B06"/>
    <w:rsid w:val="00AC5B40"/>
    <w:rsid w:val="00AC5BCD"/>
    <w:rsid w:val="00AC5C07"/>
    <w:rsid w:val="00AC5C1A"/>
    <w:rsid w:val="00AC5C4C"/>
    <w:rsid w:val="00AC5C9D"/>
    <w:rsid w:val="00AC5CBD"/>
    <w:rsid w:val="00AC5DFD"/>
    <w:rsid w:val="00AC5E55"/>
    <w:rsid w:val="00AC5ED2"/>
    <w:rsid w:val="00AC5EE8"/>
    <w:rsid w:val="00AC5F08"/>
    <w:rsid w:val="00AC5F10"/>
    <w:rsid w:val="00AC5F5F"/>
    <w:rsid w:val="00AC5F73"/>
    <w:rsid w:val="00AC608A"/>
    <w:rsid w:val="00AC60A8"/>
    <w:rsid w:val="00AC60EE"/>
    <w:rsid w:val="00AC612F"/>
    <w:rsid w:val="00AC6182"/>
    <w:rsid w:val="00AC6198"/>
    <w:rsid w:val="00AC6239"/>
    <w:rsid w:val="00AC6282"/>
    <w:rsid w:val="00AC62C2"/>
    <w:rsid w:val="00AC62F0"/>
    <w:rsid w:val="00AC62F6"/>
    <w:rsid w:val="00AC6331"/>
    <w:rsid w:val="00AC6372"/>
    <w:rsid w:val="00AC643A"/>
    <w:rsid w:val="00AC655C"/>
    <w:rsid w:val="00AC657C"/>
    <w:rsid w:val="00AC65E6"/>
    <w:rsid w:val="00AC660F"/>
    <w:rsid w:val="00AC6633"/>
    <w:rsid w:val="00AC675E"/>
    <w:rsid w:val="00AC6825"/>
    <w:rsid w:val="00AC685E"/>
    <w:rsid w:val="00AC68AF"/>
    <w:rsid w:val="00AC68C8"/>
    <w:rsid w:val="00AC6923"/>
    <w:rsid w:val="00AC6938"/>
    <w:rsid w:val="00AC694B"/>
    <w:rsid w:val="00AC6A8B"/>
    <w:rsid w:val="00AC6ABE"/>
    <w:rsid w:val="00AC6B31"/>
    <w:rsid w:val="00AC6B49"/>
    <w:rsid w:val="00AC6B76"/>
    <w:rsid w:val="00AC6B7B"/>
    <w:rsid w:val="00AC6BC2"/>
    <w:rsid w:val="00AC6BEC"/>
    <w:rsid w:val="00AC6CC3"/>
    <w:rsid w:val="00AC6CDE"/>
    <w:rsid w:val="00AC6DAF"/>
    <w:rsid w:val="00AC6E12"/>
    <w:rsid w:val="00AC6E80"/>
    <w:rsid w:val="00AC6F40"/>
    <w:rsid w:val="00AC6F5C"/>
    <w:rsid w:val="00AC6F62"/>
    <w:rsid w:val="00AC6FFD"/>
    <w:rsid w:val="00AC7007"/>
    <w:rsid w:val="00AC7027"/>
    <w:rsid w:val="00AC7034"/>
    <w:rsid w:val="00AC7036"/>
    <w:rsid w:val="00AC7050"/>
    <w:rsid w:val="00AC70EF"/>
    <w:rsid w:val="00AC714A"/>
    <w:rsid w:val="00AC7181"/>
    <w:rsid w:val="00AC7244"/>
    <w:rsid w:val="00AC725F"/>
    <w:rsid w:val="00AC730E"/>
    <w:rsid w:val="00AC7317"/>
    <w:rsid w:val="00AC7346"/>
    <w:rsid w:val="00AC7379"/>
    <w:rsid w:val="00AC73B0"/>
    <w:rsid w:val="00AC73CC"/>
    <w:rsid w:val="00AC73FD"/>
    <w:rsid w:val="00AC743E"/>
    <w:rsid w:val="00AC7488"/>
    <w:rsid w:val="00AC74DC"/>
    <w:rsid w:val="00AC753E"/>
    <w:rsid w:val="00AC7599"/>
    <w:rsid w:val="00AC75DC"/>
    <w:rsid w:val="00AC76C3"/>
    <w:rsid w:val="00AC7731"/>
    <w:rsid w:val="00AC779E"/>
    <w:rsid w:val="00AC77DF"/>
    <w:rsid w:val="00AC780F"/>
    <w:rsid w:val="00AC7819"/>
    <w:rsid w:val="00AC7861"/>
    <w:rsid w:val="00AC796D"/>
    <w:rsid w:val="00AC799F"/>
    <w:rsid w:val="00AC79BF"/>
    <w:rsid w:val="00AC79F5"/>
    <w:rsid w:val="00AC7A2B"/>
    <w:rsid w:val="00AC7A3B"/>
    <w:rsid w:val="00AC7A7D"/>
    <w:rsid w:val="00AC7AEE"/>
    <w:rsid w:val="00AC7B34"/>
    <w:rsid w:val="00AC7B61"/>
    <w:rsid w:val="00AC7B7E"/>
    <w:rsid w:val="00AC7C19"/>
    <w:rsid w:val="00AC7D50"/>
    <w:rsid w:val="00AC7D85"/>
    <w:rsid w:val="00AC7DC9"/>
    <w:rsid w:val="00AC7DD0"/>
    <w:rsid w:val="00AC7E67"/>
    <w:rsid w:val="00AC7E9C"/>
    <w:rsid w:val="00AC7ED7"/>
    <w:rsid w:val="00AC7EDD"/>
    <w:rsid w:val="00AC7F2E"/>
    <w:rsid w:val="00AC7F44"/>
    <w:rsid w:val="00AC7F83"/>
    <w:rsid w:val="00AD0004"/>
    <w:rsid w:val="00AD0030"/>
    <w:rsid w:val="00AD0067"/>
    <w:rsid w:val="00AD0078"/>
    <w:rsid w:val="00AD00B8"/>
    <w:rsid w:val="00AD00E1"/>
    <w:rsid w:val="00AD0103"/>
    <w:rsid w:val="00AD0107"/>
    <w:rsid w:val="00AD021C"/>
    <w:rsid w:val="00AD0239"/>
    <w:rsid w:val="00AD02D2"/>
    <w:rsid w:val="00AD03C8"/>
    <w:rsid w:val="00AD0465"/>
    <w:rsid w:val="00AD0468"/>
    <w:rsid w:val="00AD0484"/>
    <w:rsid w:val="00AD0580"/>
    <w:rsid w:val="00AD0586"/>
    <w:rsid w:val="00AD0587"/>
    <w:rsid w:val="00AD05D1"/>
    <w:rsid w:val="00AD0601"/>
    <w:rsid w:val="00AD0617"/>
    <w:rsid w:val="00AD0626"/>
    <w:rsid w:val="00AD0650"/>
    <w:rsid w:val="00AD0708"/>
    <w:rsid w:val="00AD0749"/>
    <w:rsid w:val="00AD0784"/>
    <w:rsid w:val="00AD078B"/>
    <w:rsid w:val="00AD078D"/>
    <w:rsid w:val="00AD0863"/>
    <w:rsid w:val="00AD08C7"/>
    <w:rsid w:val="00AD08F7"/>
    <w:rsid w:val="00AD091E"/>
    <w:rsid w:val="00AD0983"/>
    <w:rsid w:val="00AD09BD"/>
    <w:rsid w:val="00AD09BF"/>
    <w:rsid w:val="00AD09E4"/>
    <w:rsid w:val="00AD0A01"/>
    <w:rsid w:val="00AD0A1E"/>
    <w:rsid w:val="00AD0AAA"/>
    <w:rsid w:val="00AD0B0B"/>
    <w:rsid w:val="00AD0C39"/>
    <w:rsid w:val="00AD0CD7"/>
    <w:rsid w:val="00AD0D01"/>
    <w:rsid w:val="00AD0D48"/>
    <w:rsid w:val="00AD0D7B"/>
    <w:rsid w:val="00AD0DD5"/>
    <w:rsid w:val="00AD0E0A"/>
    <w:rsid w:val="00AD0E78"/>
    <w:rsid w:val="00AD0E88"/>
    <w:rsid w:val="00AD0F4C"/>
    <w:rsid w:val="00AD0FB5"/>
    <w:rsid w:val="00AD1000"/>
    <w:rsid w:val="00AD101F"/>
    <w:rsid w:val="00AD105D"/>
    <w:rsid w:val="00AD1093"/>
    <w:rsid w:val="00AD10BD"/>
    <w:rsid w:val="00AD10CE"/>
    <w:rsid w:val="00AD10DA"/>
    <w:rsid w:val="00AD1111"/>
    <w:rsid w:val="00AD1115"/>
    <w:rsid w:val="00AD111F"/>
    <w:rsid w:val="00AD1131"/>
    <w:rsid w:val="00AD11A4"/>
    <w:rsid w:val="00AD11A9"/>
    <w:rsid w:val="00AD125B"/>
    <w:rsid w:val="00AD1273"/>
    <w:rsid w:val="00AD1276"/>
    <w:rsid w:val="00AD1294"/>
    <w:rsid w:val="00AD12E8"/>
    <w:rsid w:val="00AD13CE"/>
    <w:rsid w:val="00AD1422"/>
    <w:rsid w:val="00AD1431"/>
    <w:rsid w:val="00AD1483"/>
    <w:rsid w:val="00AD1507"/>
    <w:rsid w:val="00AD1552"/>
    <w:rsid w:val="00AD15C3"/>
    <w:rsid w:val="00AD1610"/>
    <w:rsid w:val="00AD166B"/>
    <w:rsid w:val="00AD16BB"/>
    <w:rsid w:val="00AD1736"/>
    <w:rsid w:val="00AD174D"/>
    <w:rsid w:val="00AD17C5"/>
    <w:rsid w:val="00AD17CD"/>
    <w:rsid w:val="00AD1823"/>
    <w:rsid w:val="00AD1838"/>
    <w:rsid w:val="00AD18D5"/>
    <w:rsid w:val="00AD18E1"/>
    <w:rsid w:val="00AD196E"/>
    <w:rsid w:val="00AD19AA"/>
    <w:rsid w:val="00AD1A0A"/>
    <w:rsid w:val="00AD1A26"/>
    <w:rsid w:val="00AD1A2B"/>
    <w:rsid w:val="00AD1AC6"/>
    <w:rsid w:val="00AD1B0E"/>
    <w:rsid w:val="00AD1B1A"/>
    <w:rsid w:val="00AD1BC6"/>
    <w:rsid w:val="00AD1C68"/>
    <w:rsid w:val="00AD1C6C"/>
    <w:rsid w:val="00AD1D46"/>
    <w:rsid w:val="00AD1D5C"/>
    <w:rsid w:val="00AD1D7A"/>
    <w:rsid w:val="00AD1D88"/>
    <w:rsid w:val="00AD1E65"/>
    <w:rsid w:val="00AD1E6A"/>
    <w:rsid w:val="00AD1F28"/>
    <w:rsid w:val="00AD1F61"/>
    <w:rsid w:val="00AD1F63"/>
    <w:rsid w:val="00AD1FE3"/>
    <w:rsid w:val="00AD209E"/>
    <w:rsid w:val="00AD20A8"/>
    <w:rsid w:val="00AD20D4"/>
    <w:rsid w:val="00AD21A9"/>
    <w:rsid w:val="00AD2207"/>
    <w:rsid w:val="00AD2218"/>
    <w:rsid w:val="00AD2251"/>
    <w:rsid w:val="00AD22F3"/>
    <w:rsid w:val="00AD2303"/>
    <w:rsid w:val="00AD230D"/>
    <w:rsid w:val="00AD23B3"/>
    <w:rsid w:val="00AD2427"/>
    <w:rsid w:val="00AD2434"/>
    <w:rsid w:val="00AD24A9"/>
    <w:rsid w:val="00AD2509"/>
    <w:rsid w:val="00AD250F"/>
    <w:rsid w:val="00AD2534"/>
    <w:rsid w:val="00AD2535"/>
    <w:rsid w:val="00AD2607"/>
    <w:rsid w:val="00AD261E"/>
    <w:rsid w:val="00AD2629"/>
    <w:rsid w:val="00AD2649"/>
    <w:rsid w:val="00AD267C"/>
    <w:rsid w:val="00AD26CA"/>
    <w:rsid w:val="00AD26D4"/>
    <w:rsid w:val="00AD2759"/>
    <w:rsid w:val="00AD2776"/>
    <w:rsid w:val="00AD27FB"/>
    <w:rsid w:val="00AD280E"/>
    <w:rsid w:val="00AD28A9"/>
    <w:rsid w:val="00AD29B0"/>
    <w:rsid w:val="00AD29DF"/>
    <w:rsid w:val="00AD29F9"/>
    <w:rsid w:val="00AD2A11"/>
    <w:rsid w:val="00AD2A84"/>
    <w:rsid w:val="00AD2B0A"/>
    <w:rsid w:val="00AD2B56"/>
    <w:rsid w:val="00AD2B95"/>
    <w:rsid w:val="00AD2BD8"/>
    <w:rsid w:val="00AD2C44"/>
    <w:rsid w:val="00AD2D32"/>
    <w:rsid w:val="00AD2D59"/>
    <w:rsid w:val="00AD2D65"/>
    <w:rsid w:val="00AD2E33"/>
    <w:rsid w:val="00AD2EFE"/>
    <w:rsid w:val="00AD2F7A"/>
    <w:rsid w:val="00AD2FAE"/>
    <w:rsid w:val="00AD3033"/>
    <w:rsid w:val="00AD3043"/>
    <w:rsid w:val="00AD308F"/>
    <w:rsid w:val="00AD3159"/>
    <w:rsid w:val="00AD318A"/>
    <w:rsid w:val="00AD31D2"/>
    <w:rsid w:val="00AD31F2"/>
    <w:rsid w:val="00AD3258"/>
    <w:rsid w:val="00AD327B"/>
    <w:rsid w:val="00AD32A9"/>
    <w:rsid w:val="00AD336C"/>
    <w:rsid w:val="00AD3399"/>
    <w:rsid w:val="00AD3438"/>
    <w:rsid w:val="00AD3496"/>
    <w:rsid w:val="00AD351E"/>
    <w:rsid w:val="00AD3520"/>
    <w:rsid w:val="00AD3562"/>
    <w:rsid w:val="00AD3574"/>
    <w:rsid w:val="00AD3587"/>
    <w:rsid w:val="00AD35B2"/>
    <w:rsid w:val="00AD360C"/>
    <w:rsid w:val="00AD362A"/>
    <w:rsid w:val="00AD36DD"/>
    <w:rsid w:val="00AD3837"/>
    <w:rsid w:val="00AD383E"/>
    <w:rsid w:val="00AD38DB"/>
    <w:rsid w:val="00AD38EC"/>
    <w:rsid w:val="00AD3922"/>
    <w:rsid w:val="00AD3961"/>
    <w:rsid w:val="00AD39F7"/>
    <w:rsid w:val="00AD3A18"/>
    <w:rsid w:val="00AD3A20"/>
    <w:rsid w:val="00AD3A57"/>
    <w:rsid w:val="00AD3A83"/>
    <w:rsid w:val="00AD3ABD"/>
    <w:rsid w:val="00AD3B05"/>
    <w:rsid w:val="00AD3B33"/>
    <w:rsid w:val="00AD3B7C"/>
    <w:rsid w:val="00AD3B89"/>
    <w:rsid w:val="00AD3C19"/>
    <w:rsid w:val="00AD3C4D"/>
    <w:rsid w:val="00AD3D41"/>
    <w:rsid w:val="00AD3D75"/>
    <w:rsid w:val="00AD3DA1"/>
    <w:rsid w:val="00AD3DA4"/>
    <w:rsid w:val="00AD3E0C"/>
    <w:rsid w:val="00AD3E2D"/>
    <w:rsid w:val="00AD3E34"/>
    <w:rsid w:val="00AD3E74"/>
    <w:rsid w:val="00AD3E89"/>
    <w:rsid w:val="00AD3E8B"/>
    <w:rsid w:val="00AD3E8E"/>
    <w:rsid w:val="00AD3EB6"/>
    <w:rsid w:val="00AD3FE6"/>
    <w:rsid w:val="00AD4051"/>
    <w:rsid w:val="00AD40CF"/>
    <w:rsid w:val="00AD40E7"/>
    <w:rsid w:val="00AD4146"/>
    <w:rsid w:val="00AD4189"/>
    <w:rsid w:val="00AD4194"/>
    <w:rsid w:val="00AD41C7"/>
    <w:rsid w:val="00AD41CD"/>
    <w:rsid w:val="00AD420B"/>
    <w:rsid w:val="00AD422C"/>
    <w:rsid w:val="00AD429D"/>
    <w:rsid w:val="00AD42A6"/>
    <w:rsid w:val="00AD430E"/>
    <w:rsid w:val="00AD4349"/>
    <w:rsid w:val="00AD4374"/>
    <w:rsid w:val="00AD4398"/>
    <w:rsid w:val="00AD43BB"/>
    <w:rsid w:val="00AD4434"/>
    <w:rsid w:val="00AD4459"/>
    <w:rsid w:val="00AD44BD"/>
    <w:rsid w:val="00AD44F2"/>
    <w:rsid w:val="00AD454C"/>
    <w:rsid w:val="00AD465E"/>
    <w:rsid w:val="00AD4679"/>
    <w:rsid w:val="00AD471F"/>
    <w:rsid w:val="00AD477C"/>
    <w:rsid w:val="00AD47A4"/>
    <w:rsid w:val="00AD47A7"/>
    <w:rsid w:val="00AD47BB"/>
    <w:rsid w:val="00AD4833"/>
    <w:rsid w:val="00AD4871"/>
    <w:rsid w:val="00AD489C"/>
    <w:rsid w:val="00AD48AD"/>
    <w:rsid w:val="00AD492F"/>
    <w:rsid w:val="00AD4946"/>
    <w:rsid w:val="00AD49F6"/>
    <w:rsid w:val="00AD4A63"/>
    <w:rsid w:val="00AD4A86"/>
    <w:rsid w:val="00AD4BD6"/>
    <w:rsid w:val="00AD4C30"/>
    <w:rsid w:val="00AD4C33"/>
    <w:rsid w:val="00AD4CC6"/>
    <w:rsid w:val="00AD4D51"/>
    <w:rsid w:val="00AD4D8A"/>
    <w:rsid w:val="00AD4DE5"/>
    <w:rsid w:val="00AD4DF8"/>
    <w:rsid w:val="00AD4E83"/>
    <w:rsid w:val="00AD4E8C"/>
    <w:rsid w:val="00AD4E94"/>
    <w:rsid w:val="00AD4F03"/>
    <w:rsid w:val="00AD4F93"/>
    <w:rsid w:val="00AD5069"/>
    <w:rsid w:val="00AD5077"/>
    <w:rsid w:val="00AD5096"/>
    <w:rsid w:val="00AD50BC"/>
    <w:rsid w:val="00AD50BF"/>
    <w:rsid w:val="00AD50CE"/>
    <w:rsid w:val="00AD5121"/>
    <w:rsid w:val="00AD512F"/>
    <w:rsid w:val="00AD513E"/>
    <w:rsid w:val="00AD5168"/>
    <w:rsid w:val="00AD524A"/>
    <w:rsid w:val="00AD525E"/>
    <w:rsid w:val="00AD52A3"/>
    <w:rsid w:val="00AD52D8"/>
    <w:rsid w:val="00AD52DA"/>
    <w:rsid w:val="00AD5329"/>
    <w:rsid w:val="00AD5339"/>
    <w:rsid w:val="00AD5372"/>
    <w:rsid w:val="00AD53B6"/>
    <w:rsid w:val="00AD53D6"/>
    <w:rsid w:val="00AD53D7"/>
    <w:rsid w:val="00AD540F"/>
    <w:rsid w:val="00AD54A3"/>
    <w:rsid w:val="00AD54DA"/>
    <w:rsid w:val="00AD54EF"/>
    <w:rsid w:val="00AD5509"/>
    <w:rsid w:val="00AD5567"/>
    <w:rsid w:val="00AD5576"/>
    <w:rsid w:val="00AD55A0"/>
    <w:rsid w:val="00AD55C9"/>
    <w:rsid w:val="00AD5621"/>
    <w:rsid w:val="00AD562C"/>
    <w:rsid w:val="00AD564A"/>
    <w:rsid w:val="00AD5668"/>
    <w:rsid w:val="00AD5738"/>
    <w:rsid w:val="00AD57E2"/>
    <w:rsid w:val="00AD5831"/>
    <w:rsid w:val="00AD5930"/>
    <w:rsid w:val="00AD5941"/>
    <w:rsid w:val="00AD59ED"/>
    <w:rsid w:val="00AD5A03"/>
    <w:rsid w:val="00AD5A7E"/>
    <w:rsid w:val="00AD5AA0"/>
    <w:rsid w:val="00AD5AB7"/>
    <w:rsid w:val="00AD5AC2"/>
    <w:rsid w:val="00AD5AF0"/>
    <w:rsid w:val="00AD5AF3"/>
    <w:rsid w:val="00AD5B3A"/>
    <w:rsid w:val="00AD5B77"/>
    <w:rsid w:val="00AD5C6B"/>
    <w:rsid w:val="00AD5C92"/>
    <w:rsid w:val="00AD5CC4"/>
    <w:rsid w:val="00AD5CF9"/>
    <w:rsid w:val="00AD5D3D"/>
    <w:rsid w:val="00AD5D84"/>
    <w:rsid w:val="00AD5D92"/>
    <w:rsid w:val="00AD5DFF"/>
    <w:rsid w:val="00AD5E16"/>
    <w:rsid w:val="00AD5E73"/>
    <w:rsid w:val="00AD5FA0"/>
    <w:rsid w:val="00AD5FC2"/>
    <w:rsid w:val="00AD6047"/>
    <w:rsid w:val="00AD6066"/>
    <w:rsid w:val="00AD6072"/>
    <w:rsid w:val="00AD60FA"/>
    <w:rsid w:val="00AD6110"/>
    <w:rsid w:val="00AD6115"/>
    <w:rsid w:val="00AD611D"/>
    <w:rsid w:val="00AD6182"/>
    <w:rsid w:val="00AD61D9"/>
    <w:rsid w:val="00AD61ED"/>
    <w:rsid w:val="00AD61F1"/>
    <w:rsid w:val="00AD6267"/>
    <w:rsid w:val="00AD628E"/>
    <w:rsid w:val="00AD6331"/>
    <w:rsid w:val="00AD6351"/>
    <w:rsid w:val="00AD6383"/>
    <w:rsid w:val="00AD63DE"/>
    <w:rsid w:val="00AD6400"/>
    <w:rsid w:val="00AD6524"/>
    <w:rsid w:val="00AD65A1"/>
    <w:rsid w:val="00AD65C1"/>
    <w:rsid w:val="00AD6652"/>
    <w:rsid w:val="00AD669C"/>
    <w:rsid w:val="00AD669F"/>
    <w:rsid w:val="00AD66F3"/>
    <w:rsid w:val="00AD66F4"/>
    <w:rsid w:val="00AD66F9"/>
    <w:rsid w:val="00AD6736"/>
    <w:rsid w:val="00AD67AA"/>
    <w:rsid w:val="00AD680C"/>
    <w:rsid w:val="00AD6841"/>
    <w:rsid w:val="00AD695F"/>
    <w:rsid w:val="00AD69C0"/>
    <w:rsid w:val="00AD6A03"/>
    <w:rsid w:val="00AD6A22"/>
    <w:rsid w:val="00AD6AB2"/>
    <w:rsid w:val="00AD6ACA"/>
    <w:rsid w:val="00AD6BAA"/>
    <w:rsid w:val="00AD6BCF"/>
    <w:rsid w:val="00AD6BE5"/>
    <w:rsid w:val="00AD6BFD"/>
    <w:rsid w:val="00AD6C05"/>
    <w:rsid w:val="00AD6C5D"/>
    <w:rsid w:val="00AD6C66"/>
    <w:rsid w:val="00AD6CD1"/>
    <w:rsid w:val="00AD6CF8"/>
    <w:rsid w:val="00AD6D14"/>
    <w:rsid w:val="00AD6D37"/>
    <w:rsid w:val="00AD6D8B"/>
    <w:rsid w:val="00AD6E0F"/>
    <w:rsid w:val="00AD6E19"/>
    <w:rsid w:val="00AD6E8F"/>
    <w:rsid w:val="00AD6EB6"/>
    <w:rsid w:val="00AD6F29"/>
    <w:rsid w:val="00AD6F35"/>
    <w:rsid w:val="00AD6F60"/>
    <w:rsid w:val="00AD6FA9"/>
    <w:rsid w:val="00AD6FEB"/>
    <w:rsid w:val="00AD7097"/>
    <w:rsid w:val="00AD70BD"/>
    <w:rsid w:val="00AD7211"/>
    <w:rsid w:val="00AD72A0"/>
    <w:rsid w:val="00AD7340"/>
    <w:rsid w:val="00AD737C"/>
    <w:rsid w:val="00AD7462"/>
    <w:rsid w:val="00AD754A"/>
    <w:rsid w:val="00AD7576"/>
    <w:rsid w:val="00AD75BC"/>
    <w:rsid w:val="00AD75D1"/>
    <w:rsid w:val="00AD7611"/>
    <w:rsid w:val="00AD7663"/>
    <w:rsid w:val="00AD7689"/>
    <w:rsid w:val="00AD76C7"/>
    <w:rsid w:val="00AD76EA"/>
    <w:rsid w:val="00AD773D"/>
    <w:rsid w:val="00AD77B8"/>
    <w:rsid w:val="00AD77DF"/>
    <w:rsid w:val="00AD77E0"/>
    <w:rsid w:val="00AD787D"/>
    <w:rsid w:val="00AD788D"/>
    <w:rsid w:val="00AD78E9"/>
    <w:rsid w:val="00AD78EC"/>
    <w:rsid w:val="00AD7936"/>
    <w:rsid w:val="00AD79A9"/>
    <w:rsid w:val="00AD79D0"/>
    <w:rsid w:val="00AD79DA"/>
    <w:rsid w:val="00AD79E5"/>
    <w:rsid w:val="00AD7AA9"/>
    <w:rsid w:val="00AD7AD3"/>
    <w:rsid w:val="00AD7AD6"/>
    <w:rsid w:val="00AD7AF2"/>
    <w:rsid w:val="00AD7B18"/>
    <w:rsid w:val="00AD7B47"/>
    <w:rsid w:val="00AD7B53"/>
    <w:rsid w:val="00AD7B7F"/>
    <w:rsid w:val="00AD7BD4"/>
    <w:rsid w:val="00AD7C1A"/>
    <w:rsid w:val="00AD7C3F"/>
    <w:rsid w:val="00AD7C4E"/>
    <w:rsid w:val="00AD7C78"/>
    <w:rsid w:val="00AD7CA0"/>
    <w:rsid w:val="00AD7CC6"/>
    <w:rsid w:val="00AD7DF3"/>
    <w:rsid w:val="00AD7E18"/>
    <w:rsid w:val="00AD7E2D"/>
    <w:rsid w:val="00AD7E35"/>
    <w:rsid w:val="00AD7E45"/>
    <w:rsid w:val="00AD7E50"/>
    <w:rsid w:val="00AD7FA6"/>
    <w:rsid w:val="00AD7FB5"/>
    <w:rsid w:val="00AE0054"/>
    <w:rsid w:val="00AE0140"/>
    <w:rsid w:val="00AE0167"/>
    <w:rsid w:val="00AE0186"/>
    <w:rsid w:val="00AE01E2"/>
    <w:rsid w:val="00AE01F5"/>
    <w:rsid w:val="00AE0283"/>
    <w:rsid w:val="00AE02A2"/>
    <w:rsid w:val="00AE02A3"/>
    <w:rsid w:val="00AE03CC"/>
    <w:rsid w:val="00AE0499"/>
    <w:rsid w:val="00AE04ED"/>
    <w:rsid w:val="00AE0567"/>
    <w:rsid w:val="00AE0583"/>
    <w:rsid w:val="00AE05B3"/>
    <w:rsid w:val="00AE0649"/>
    <w:rsid w:val="00AE066B"/>
    <w:rsid w:val="00AE06A1"/>
    <w:rsid w:val="00AE06A2"/>
    <w:rsid w:val="00AE06A5"/>
    <w:rsid w:val="00AE0753"/>
    <w:rsid w:val="00AE07B7"/>
    <w:rsid w:val="00AE07C4"/>
    <w:rsid w:val="00AE07DA"/>
    <w:rsid w:val="00AE07FF"/>
    <w:rsid w:val="00AE0863"/>
    <w:rsid w:val="00AE088B"/>
    <w:rsid w:val="00AE08BE"/>
    <w:rsid w:val="00AE0918"/>
    <w:rsid w:val="00AE0993"/>
    <w:rsid w:val="00AE0995"/>
    <w:rsid w:val="00AE0A45"/>
    <w:rsid w:val="00AE0A64"/>
    <w:rsid w:val="00AE0A8F"/>
    <w:rsid w:val="00AE0ABC"/>
    <w:rsid w:val="00AE0B28"/>
    <w:rsid w:val="00AE0B6F"/>
    <w:rsid w:val="00AE0B7B"/>
    <w:rsid w:val="00AE0BD3"/>
    <w:rsid w:val="00AE0C1C"/>
    <w:rsid w:val="00AE0C57"/>
    <w:rsid w:val="00AE0CAC"/>
    <w:rsid w:val="00AE0CBD"/>
    <w:rsid w:val="00AE0CC7"/>
    <w:rsid w:val="00AE0CCE"/>
    <w:rsid w:val="00AE0CE6"/>
    <w:rsid w:val="00AE0CE9"/>
    <w:rsid w:val="00AE0D6D"/>
    <w:rsid w:val="00AE0D7D"/>
    <w:rsid w:val="00AE0E6E"/>
    <w:rsid w:val="00AE0E8B"/>
    <w:rsid w:val="00AE0ECD"/>
    <w:rsid w:val="00AE0F0A"/>
    <w:rsid w:val="00AE0F11"/>
    <w:rsid w:val="00AE0F66"/>
    <w:rsid w:val="00AE0FF8"/>
    <w:rsid w:val="00AE101A"/>
    <w:rsid w:val="00AE10D3"/>
    <w:rsid w:val="00AE10E6"/>
    <w:rsid w:val="00AE117F"/>
    <w:rsid w:val="00AE11B0"/>
    <w:rsid w:val="00AE120F"/>
    <w:rsid w:val="00AE121C"/>
    <w:rsid w:val="00AE122A"/>
    <w:rsid w:val="00AE12A8"/>
    <w:rsid w:val="00AE1312"/>
    <w:rsid w:val="00AE1344"/>
    <w:rsid w:val="00AE140F"/>
    <w:rsid w:val="00AE1431"/>
    <w:rsid w:val="00AE14B0"/>
    <w:rsid w:val="00AE1511"/>
    <w:rsid w:val="00AE1538"/>
    <w:rsid w:val="00AE15F4"/>
    <w:rsid w:val="00AE1654"/>
    <w:rsid w:val="00AE1658"/>
    <w:rsid w:val="00AE1685"/>
    <w:rsid w:val="00AE16E1"/>
    <w:rsid w:val="00AE1701"/>
    <w:rsid w:val="00AE175D"/>
    <w:rsid w:val="00AE17A7"/>
    <w:rsid w:val="00AE1805"/>
    <w:rsid w:val="00AE1862"/>
    <w:rsid w:val="00AE18B7"/>
    <w:rsid w:val="00AE18DB"/>
    <w:rsid w:val="00AE18E3"/>
    <w:rsid w:val="00AE18EF"/>
    <w:rsid w:val="00AE18FA"/>
    <w:rsid w:val="00AE1988"/>
    <w:rsid w:val="00AE19C9"/>
    <w:rsid w:val="00AE19D7"/>
    <w:rsid w:val="00AE19F0"/>
    <w:rsid w:val="00AE1A20"/>
    <w:rsid w:val="00AE1A27"/>
    <w:rsid w:val="00AE1A32"/>
    <w:rsid w:val="00AE1A52"/>
    <w:rsid w:val="00AE1A7E"/>
    <w:rsid w:val="00AE1AC0"/>
    <w:rsid w:val="00AE1AEB"/>
    <w:rsid w:val="00AE1B59"/>
    <w:rsid w:val="00AE1BE0"/>
    <w:rsid w:val="00AE1C39"/>
    <w:rsid w:val="00AE1C70"/>
    <w:rsid w:val="00AE1CB8"/>
    <w:rsid w:val="00AE1CFF"/>
    <w:rsid w:val="00AE1D25"/>
    <w:rsid w:val="00AE1D69"/>
    <w:rsid w:val="00AE1D7E"/>
    <w:rsid w:val="00AE1DDB"/>
    <w:rsid w:val="00AE1E56"/>
    <w:rsid w:val="00AE1E5A"/>
    <w:rsid w:val="00AE1EED"/>
    <w:rsid w:val="00AE1FBA"/>
    <w:rsid w:val="00AE1FE9"/>
    <w:rsid w:val="00AE1FFC"/>
    <w:rsid w:val="00AE202D"/>
    <w:rsid w:val="00AE204D"/>
    <w:rsid w:val="00AE206D"/>
    <w:rsid w:val="00AE207E"/>
    <w:rsid w:val="00AE20CC"/>
    <w:rsid w:val="00AE210C"/>
    <w:rsid w:val="00AE2222"/>
    <w:rsid w:val="00AE222F"/>
    <w:rsid w:val="00AE2254"/>
    <w:rsid w:val="00AE22BB"/>
    <w:rsid w:val="00AE2314"/>
    <w:rsid w:val="00AE2374"/>
    <w:rsid w:val="00AE23EF"/>
    <w:rsid w:val="00AE23FD"/>
    <w:rsid w:val="00AE243F"/>
    <w:rsid w:val="00AE2490"/>
    <w:rsid w:val="00AE24F9"/>
    <w:rsid w:val="00AE24FE"/>
    <w:rsid w:val="00AE2507"/>
    <w:rsid w:val="00AE2539"/>
    <w:rsid w:val="00AE258B"/>
    <w:rsid w:val="00AE25F0"/>
    <w:rsid w:val="00AE2618"/>
    <w:rsid w:val="00AE2647"/>
    <w:rsid w:val="00AE26CD"/>
    <w:rsid w:val="00AE271A"/>
    <w:rsid w:val="00AE27B2"/>
    <w:rsid w:val="00AE280F"/>
    <w:rsid w:val="00AE2826"/>
    <w:rsid w:val="00AE2867"/>
    <w:rsid w:val="00AE288D"/>
    <w:rsid w:val="00AE289C"/>
    <w:rsid w:val="00AE28F4"/>
    <w:rsid w:val="00AE290E"/>
    <w:rsid w:val="00AE291D"/>
    <w:rsid w:val="00AE2951"/>
    <w:rsid w:val="00AE29B7"/>
    <w:rsid w:val="00AE29EC"/>
    <w:rsid w:val="00AE2A47"/>
    <w:rsid w:val="00AE2A9A"/>
    <w:rsid w:val="00AE2C1B"/>
    <w:rsid w:val="00AE2C42"/>
    <w:rsid w:val="00AE2CD5"/>
    <w:rsid w:val="00AE2CD8"/>
    <w:rsid w:val="00AE2D28"/>
    <w:rsid w:val="00AE2D2C"/>
    <w:rsid w:val="00AE2D4E"/>
    <w:rsid w:val="00AE2E61"/>
    <w:rsid w:val="00AE2EDD"/>
    <w:rsid w:val="00AE2FA2"/>
    <w:rsid w:val="00AE2FDA"/>
    <w:rsid w:val="00AE3004"/>
    <w:rsid w:val="00AE301A"/>
    <w:rsid w:val="00AE3074"/>
    <w:rsid w:val="00AE3090"/>
    <w:rsid w:val="00AE3128"/>
    <w:rsid w:val="00AE315C"/>
    <w:rsid w:val="00AE316C"/>
    <w:rsid w:val="00AE316F"/>
    <w:rsid w:val="00AE3179"/>
    <w:rsid w:val="00AE317B"/>
    <w:rsid w:val="00AE317E"/>
    <w:rsid w:val="00AE329A"/>
    <w:rsid w:val="00AE333B"/>
    <w:rsid w:val="00AE3454"/>
    <w:rsid w:val="00AE348B"/>
    <w:rsid w:val="00AE3493"/>
    <w:rsid w:val="00AE34EC"/>
    <w:rsid w:val="00AE3506"/>
    <w:rsid w:val="00AE3530"/>
    <w:rsid w:val="00AE359E"/>
    <w:rsid w:val="00AE35C2"/>
    <w:rsid w:val="00AE35EA"/>
    <w:rsid w:val="00AE3607"/>
    <w:rsid w:val="00AE3620"/>
    <w:rsid w:val="00AE362A"/>
    <w:rsid w:val="00AE3643"/>
    <w:rsid w:val="00AE36C2"/>
    <w:rsid w:val="00AE36C6"/>
    <w:rsid w:val="00AE36E6"/>
    <w:rsid w:val="00AE3809"/>
    <w:rsid w:val="00AE3836"/>
    <w:rsid w:val="00AE384C"/>
    <w:rsid w:val="00AE3855"/>
    <w:rsid w:val="00AE38C8"/>
    <w:rsid w:val="00AE38D6"/>
    <w:rsid w:val="00AE3917"/>
    <w:rsid w:val="00AE39A5"/>
    <w:rsid w:val="00AE39B0"/>
    <w:rsid w:val="00AE3A34"/>
    <w:rsid w:val="00AE3A39"/>
    <w:rsid w:val="00AE3B01"/>
    <w:rsid w:val="00AE3B5E"/>
    <w:rsid w:val="00AE3B7B"/>
    <w:rsid w:val="00AE3BBD"/>
    <w:rsid w:val="00AE3C10"/>
    <w:rsid w:val="00AE3C62"/>
    <w:rsid w:val="00AE3D47"/>
    <w:rsid w:val="00AE3D70"/>
    <w:rsid w:val="00AE3F15"/>
    <w:rsid w:val="00AE3F1D"/>
    <w:rsid w:val="00AE3F30"/>
    <w:rsid w:val="00AE3F36"/>
    <w:rsid w:val="00AE3F4D"/>
    <w:rsid w:val="00AE3F8B"/>
    <w:rsid w:val="00AE3F97"/>
    <w:rsid w:val="00AE3F9B"/>
    <w:rsid w:val="00AE3FFF"/>
    <w:rsid w:val="00AE403E"/>
    <w:rsid w:val="00AE40BE"/>
    <w:rsid w:val="00AE40F3"/>
    <w:rsid w:val="00AE415A"/>
    <w:rsid w:val="00AE4160"/>
    <w:rsid w:val="00AE422E"/>
    <w:rsid w:val="00AE4274"/>
    <w:rsid w:val="00AE42DD"/>
    <w:rsid w:val="00AE430D"/>
    <w:rsid w:val="00AE4345"/>
    <w:rsid w:val="00AE4393"/>
    <w:rsid w:val="00AE44B6"/>
    <w:rsid w:val="00AE4531"/>
    <w:rsid w:val="00AE45BC"/>
    <w:rsid w:val="00AE45BE"/>
    <w:rsid w:val="00AE45F8"/>
    <w:rsid w:val="00AE4666"/>
    <w:rsid w:val="00AE4669"/>
    <w:rsid w:val="00AE46AE"/>
    <w:rsid w:val="00AE471C"/>
    <w:rsid w:val="00AE477C"/>
    <w:rsid w:val="00AE47D2"/>
    <w:rsid w:val="00AE47D8"/>
    <w:rsid w:val="00AE47DA"/>
    <w:rsid w:val="00AE4942"/>
    <w:rsid w:val="00AE495C"/>
    <w:rsid w:val="00AE49C0"/>
    <w:rsid w:val="00AE4A19"/>
    <w:rsid w:val="00AE4A27"/>
    <w:rsid w:val="00AE4A81"/>
    <w:rsid w:val="00AE4A87"/>
    <w:rsid w:val="00AE4A98"/>
    <w:rsid w:val="00AE4AEC"/>
    <w:rsid w:val="00AE4AEE"/>
    <w:rsid w:val="00AE4B41"/>
    <w:rsid w:val="00AE4B58"/>
    <w:rsid w:val="00AE4BA7"/>
    <w:rsid w:val="00AE4BE4"/>
    <w:rsid w:val="00AE4BF6"/>
    <w:rsid w:val="00AE4C3A"/>
    <w:rsid w:val="00AE4CEF"/>
    <w:rsid w:val="00AE4CFF"/>
    <w:rsid w:val="00AE4D36"/>
    <w:rsid w:val="00AE4D38"/>
    <w:rsid w:val="00AE4D3F"/>
    <w:rsid w:val="00AE4D72"/>
    <w:rsid w:val="00AE4D96"/>
    <w:rsid w:val="00AE4D99"/>
    <w:rsid w:val="00AE4DDC"/>
    <w:rsid w:val="00AE4E7C"/>
    <w:rsid w:val="00AE4EC7"/>
    <w:rsid w:val="00AE4F0D"/>
    <w:rsid w:val="00AE4F85"/>
    <w:rsid w:val="00AE4F92"/>
    <w:rsid w:val="00AE4FCE"/>
    <w:rsid w:val="00AE500F"/>
    <w:rsid w:val="00AE5061"/>
    <w:rsid w:val="00AE5069"/>
    <w:rsid w:val="00AE509C"/>
    <w:rsid w:val="00AE50B4"/>
    <w:rsid w:val="00AE50B7"/>
    <w:rsid w:val="00AE517B"/>
    <w:rsid w:val="00AE51B0"/>
    <w:rsid w:val="00AE51BB"/>
    <w:rsid w:val="00AE523F"/>
    <w:rsid w:val="00AE5267"/>
    <w:rsid w:val="00AE5380"/>
    <w:rsid w:val="00AE5402"/>
    <w:rsid w:val="00AE5454"/>
    <w:rsid w:val="00AE5467"/>
    <w:rsid w:val="00AE54DF"/>
    <w:rsid w:val="00AE550B"/>
    <w:rsid w:val="00AE5514"/>
    <w:rsid w:val="00AE5555"/>
    <w:rsid w:val="00AE5562"/>
    <w:rsid w:val="00AE5594"/>
    <w:rsid w:val="00AE55B2"/>
    <w:rsid w:val="00AE55E2"/>
    <w:rsid w:val="00AE55F5"/>
    <w:rsid w:val="00AE55FF"/>
    <w:rsid w:val="00AE5615"/>
    <w:rsid w:val="00AE5616"/>
    <w:rsid w:val="00AE5728"/>
    <w:rsid w:val="00AE58A3"/>
    <w:rsid w:val="00AE58BD"/>
    <w:rsid w:val="00AE58DD"/>
    <w:rsid w:val="00AE5932"/>
    <w:rsid w:val="00AE595D"/>
    <w:rsid w:val="00AE598F"/>
    <w:rsid w:val="00AE59C7"/>
    <w:rsid w:val="00AE59FE"/>
    <w:rsid w:val="00AE5A0B"/>
    <w:rsid w:val="00AE5AFE"/>
    <w:rsid w:val="00AE5B1C"/>
    <w:rsid w:val="00AE5B66"/>
    <w:rsid w:val="00AE5B73"/>
    <w:rsid w:val="00AE5BF2"/>
    <w:rsid w:val="00AE5C22"/>
    <w:rsid w:val="00AE5D79"/>
    <w:rsid w:val="00AE5D7E"/>
    <w:rsid w:val="00AE5DA8"/>
    <w:rsid w:val="00AE5DCB"/>
    <w:rsid w:val="00AE5E43"/>
    <w:rsid w:val="00AE5EE5"/>
    <w:rsid w:val="00AE5F17"/>
    <w:rsid w:val="00AE5F7D"/>
    <w:rsid w:val="00AE5FA6"/>
    <w:rsid w:val="00AE5FE8"/>
    <w:rsid w:val="00AE60D8"/>
    <w:rsid w:val="00AE60E7"/>
    <w:rsid w:val="00AE6128"/>
    <w:rsid w:val="00AE615C"/>
    <w:rsid w:val="00AE61F3"/>
    <w:rsid w:val="00AE620A"/>
    <w:rsid w:val="00AE620D"/>
    <w:rsid w:val="00AE62AB"/>
    <w:rsid w:val="00AE62F8"/>
    <w:rsid w:val="00AE636E"/>
    <w:rsid w:val="00AE6468"/>
    <w:rsid w:val="00AE649C"/>
    <w:rsid w:val="00AE64CE"/>
    <w:rsid w:val="00AE6522"/>
    <w:rsid w:val="00AE652B"/>
    <w:rsid w:val="00AE6655"/>
    <w:rsid w:val="00AE6697"/>
    <w:rsid w:val="00AE6732"/>
    <w:rsid w:val="00AE6749"/>
    <w:rsid w:val="00AE68AE"/>
    <w:rsid w:val="00AE68F6"/>
    <w:rsid w:val="00AE6922"/>
    <w:rsid w:val="00AE69B2"/>
    <w:rsid w:val="00AE69BA"/>
    <w:rsid w:val="00AE69F0"/>
    <w:rsid w:val="00AE6A74"/>
    <w:rsid w:val="00AE6B12"/>
    <w:rsid w:val="00AE6C28"/>
    <w:rsid w:val="00AE6C99"/>
    <w:rsid w:val="00AE6CBC"/>
    <w:rsid w:val="00AE6D5A"/>
    <w:rsid w:val="00AE6D85"/>
    <w:rsid w:val="00AE6E17"/>
    <w:rsid w:val="00AE6E37"/>
    <w:rsid w:val="00AE6F0A"/>
    <w:rsid w:val="00AE6F61"/>
    <w:rsid w:val="00AE7030"/>
    <w:rsid w:val="00AE7064"/>
    <w:rsid w:val="00AE70D1"/>
    <w:rsid w:val="00AE711C"/>
    <w:rsid w:val="00AE7124"/>
    <w:rsid w:val="00AE717C"/>
    <w:rsid w:val="00AE7194"/>
    <w:rsid w:val="00AE71A5"/>
    <w:rsid w:val="00AE721F"/>
    <w:rsid w:val="00AE729B"/>
    <w:rsid w:val="00AE72DF"/>
    <w:rsid w:val="00AE7350"/>
    <w:rsid w:val="00AE745B"/>
    <w:rsid w:val="00AE747B"/>
    <w:rsid w:val="00AE748F"/>
    <w:rsid w:val="00AE74B4"/>
    <w:rsid w:val="00AE7503"/>
    <w:rsid w:val="00AE7522"/>
    <w:rsid w:val="00AE7591"/>
    <w:rsid w:val="00AE75BD"/>
    <w:rsid w:val="00AE75C4"/>
    <w:rsid w:val="00AE75D6"/>
    <w:rsid w:val="00AE7694"/>
    <w:rsid w:val="00AE76F4"/>
    <w:rsid w:val="00AE7719"/>
    <w:rsid w:val="00AE772A"/>
    <w:rsid w:val="00AE77B0"/>
    <w:rsid w:val="00AE77D8"/>
    <w:rsid w:val="00AE787A"/>
    <w:rsid w:val="00AE78AA"/>
    <w:rsid w:val="00AE78AC"/>
    <w:rsid w:val="00AE78D0"/>
    <w:rsid w:val="00AE78E1"/>
    <w:rsid w:val="00AE78F5"/>
    <w:rsid w:val="00AE78FC"/>
    <w:rsid w:val="00AE7904"/>
    <w:rsid w:val="00AE7949"/>
    <w:rsid w:val="00AE7985"/>
    <w:rsid w:val="00AE798D"/>
    <w:rsid w:val="00AE7A34"/>
    <w:rsid w:val="00AE7A53"/>
    <w:rsid w:val="00AE7A62"/>
    <w:rsid w:val="00AE7B54"/>
    <w:rsid w:val="00AE7B80"/>
    <w:rsid w:val="00AE7B9C"/>
    <w:rsid w:val="00AE7C21"/>
    <w:rsid w:val="00AE7C51"/>
    <w:rsid w:val="00AE7C98"/>
    <w:rsid w:val="00AE7CB3"/>
    <w:rsid w:val="00AE7CB4"/>
    <w:rsid w:val="00AE7CE3"/>
    <w:rsid w:val="00AE7CEA"/>
    <w:rsid w:val="00AE7D05"/>
    <w:rsid w:val="00AE7D3C"/>
    <w:rsid w:val="00AE7D8D"/>
    <w:rsid w:val="00AE7DBB"/>
    <w:rsid w:val="00AE7DED"/>
    <w:rsid w:val="00AE7E45"/>
    <w:rsid w:val="00AE7E80"/>
    <w:rsid w:val="00AE7ED6"/>
    <w:rsid w:val="00AE7EFB"/>
    <w:rsid w:val="00AE7F5A"/>
    <w:rsid w:val="00AE7F87"/>
    <w:rsid w:val="00AE7F9F"/>
    <w:rsid w:val="00AE7FB5"/>
    <w:rsid w:val="00AE7FB8"/>
    <w:rsid w:val="00AE7FF6"/>
    <w:rsid w:val="00AF00BF"/>
    <w:rsid w:val="00AF00F9"/>
    <w:rsid w:val="00AF0128"/>
    <w:rsid w:val="00AF0271"/>
    <w:rsid w:val="00AF0280"/>
    <w:rsid w:val="00AF02D9"/>
    <w:rsid w:val="00AF034E"/>
    <w:rsid w:val="00AF0367"/>
    <w:rsid w:val="00AF03E6"/>
    <w:rsid w:val="00AF0456"/>
    <w:rsid w:val="00AF0479"/>
    <w:rsid w:val="00AF0494"/>
    <w:rsid w:val="00AF0534"/>
    <w:rsid w:val="00AF055F"/>
    <w:rsid w:val="00AF056C"/>
    <w:rsid w:val="00AF057D"/>
    <w:rsid w:val="00AF0717"/>
    <w:rsid w:val="00AF0720"/>
    <w:rsid w:val="00AF073D"/>
    <w:rsid w:val="00AF0756"/>
    <w:rsid w:val="00AF081B"/>
    <w:rsid w:val="00AF0855"/>
    <w:rsid w:val="00AF0861"/>
    <w:rsid w:val="00AF0862"/>
    <w:rsid w:val="00AF0899"/>
    <w:rsid w:val="00AF08A7"/>
    <w:rsid w:val="00AF0921"/>
    <w:rsid w:val="00AF0965"/>
    <w:rsid w:val="00AF09C2"/>
    <w:rsid w:val="00AF0AA1"/>
    <w:rsid w:val="00AF0B23"/>
    <w:rsid w:val="00AF0B31"/>
    <w:rsid w:val="00AF0B33"/>
    <w:rsid w:val="00AF0B90"/>
    <w:rsid w:val="00AF0BC3"/>
    <w:rsid w:val="00AF0BD3"/>
    <w:rsid w:val="00AF0BEE"/>
    <w:rsid w:val="00AF0CD2"/>
    <w:rsid w:val="00AF0D5C"/>
    <w:rsid w:val="00AF0D96"/>
    <w:rsid w:val="00AF0DC6"/>
    <w:rsid w:val="00AF0E30"/>
    <w:rsid w:val="00AF0F08"/>
    <w:rsid w:val="00AF0F6E"/>
    <w:rsid w:val="00AF0F6F"/>
    <w:rsid w:val="00AF0F7B"/>
    <w:rsid w:val="00AF1010"/>
    <w:rsid w:val="00AF1014"/>
    <w:rsid w:val="00AF1025"/>
    <w:rsid w:val="00AF1075"/>
    <w:rsid w:val="00AF1133"/>
    <w:rsid w:val="00AF113D"/>
    <w:rsid w:val="00AF11B8"/>
    <w:rsid w:val="00AF12A0"/>
    <w:rsid w:val="00AF12B7"/>
    <w:rsid w:val="00AF1308"/>
    <w:rsid w:val="00AF1316"/>
    <w:rsid w:val="00AF1381"/>
    <w:rsid w:val="00AF139B"/>
    <w:rsid w:val="00AF13DE"/>
    <w:rsid w:val="00AF142F"/>
    <w:rsid w:val="00AF1485"/>
    <w:rsid w:val="00AF1491"/>
    <w:rsid w:val="00AF1593"/>
    <w:rsid w:val="00AF15CB"/>
    <w:rsid w:val="00AF15F6"/>
    <w:rsid w:val="00AF1622"/>
    <w:rsid w:val="00AF1670"/>
    <w:rsid w:val="00AF1710"/>
    <w:rsid w:val="00AF177C"/>
    <w:rsid w:val="00AF178D"/>
    <w:rsid w:val="00AF17B1"/>
    <w:rsid w:val="00AF17C6"/>
    <w:rsid w:val="00AF17ED"/>
    <w:rsid w:val="00AF1895"/>
    <w:rsid w:val="00AF189B"/>
    <w:rsid w:val="00AF1925"/>
    <w:rsid w:val="00AF1943"/>
    <w:rsid w:val="00AF1956"/>
    <w:rsid w:val="00AF1957"/>
    <w:rsid w:val="00AF1961"/>
    <w:rsid w:val="00AF197B"/>
    <w:rsid w:val="00AF1A22"/>
    <w:rsid w:val="00AF1A32"/>
    <w:rsid w:val="00AF1A60"/>
    <w:rsid w:val="00AF1A7D"/>
    <w:rsid w:val="00AF1AD5"/>
    <w:rsid w:val="00AF1B63"/>
    <w:rsid w:val="00AF1B77"/>
    <w:rsid w:val="00AF1BD9"/>
    <w:rsid w:val="00AF1BDB"/>
    <w:rsid w:val="00AF1BE1"/>
    <w:rsid w:val="00AF1C12"/>
    <w:rsid w:val="00AF1C40"/>
    <w:rsid w:val="00AF1C50"/>
    <w:rsid w:val="00AF1C72"/>
    <w:rsid w:val="00AF1CA8"/>
    <w:rsid w:val="00AF1CBB"/>
    <w:rsid w:val="00AF1CF6"/>
    <w:rsid w:val="00AF1D2C"/>
    <w:rsid w:val="00AF1DEE"/>
    <w:rsid w:val="00AF1E00"/>
    <w:rsid w:val="00AF1E39"/>
    <w:rsid w:val="00AF1E42"/>
    <w:rsid w:val="00AF1E67"/>
    <w:rsid w:val="00AF1E78"/>
    <w:rsid w:val="00AF1EBA"/>
    <w:rsid w:val="00AF1F10"/>
    <w:rsid w:val="00AF1F97"/>
    <w:rsid w:val="00AF2009"/>
    <w:rsid w:val="00AF2021"/>
    <w:rsid w:val="00AF2071"/>
    <w:rsid w:val="00AF20B7"/>
    <w:rsid w:val="00AF211E"/>
    <w:rsid w:val="00AF212B"/>
    <w:rsid w:val="00AF2174"/>
    <w:rsid w:val="00AF219C"/>
    <w:rsid w:val="00AF219D"/>
    <w:rsid w:val="00AF21EB"/>
    <w:rsid w:val="00AF2268"/>
    <w:rsid w:val="00AF230B"/>
    <w:rsid w:val="00AF237C"/>
    <w:rsid w:val="00AF23DF"/>
    <w:rsid w:val="00AF242E"/>
    <w:rsid w:val="00AF246F"/>
    <w:rsid w:val="00AF24D5"/>
    <w:rsid w:val="00AF24E6"/>
    <w:rsid w:val="00AF24F9"/>
    <w:rsid w:val="00AF2530"/>
    <w:rsid w:val="00AF253A"/>
    <w:rsid w:val="00AF2587"/>
    <w:rsid w:val="00AF25AF"/>
    <w:rsid w:val="00AF25D6"/>
    <w:rsid w:val="00AF263F"/>
    <w:rsid w:val="00AF2640"/>
    <w:rsid w:val="00AF2659"/>
    <w:rsid w:val="00AF2669"/>
    <w:rsid w:val="00AF2742"/>
    <w:rsid w:val="00AF2787"/>
    <w:rsid w:val="00AF27DC"/>
    <w:rsid w:val="00AF2864"/>
    <w:rsid w:val="00AF28AB"/>
    <w:rsid w:val="00AF2967"/>
    <w:rsid w:val="00AF299D"/>
    <w:rsid w:val="00AF29A5"/>
    <w:rsid w:val="00AF2B0C"/>
    <w:rsid w:val="00AF2B0D"/>
    <w:rsid w:val="00AF2B22"/>
    <w:rsid w:val="00AF2B5F"/>
    <w:rsid w:val="00AF2B7A"/>
    <w:rsid w:val="00AF2BAF"/>
    <w:rsid w:val="00AF2BDD"/>
    <w:rsid w:val="00AF2C1A"/>
    <w:rsid w:val="00AF2D22"/>
    <w:rsid w:val="00AF2E33"/>
    <w:rsid w:val="00AF2E68"/>
    <w:rsid w:val="00AF2EEA"/>
    <w:rsid w:val="00AF2F3B"/>
    <w:rsid w:val="00AF2F77"/>
    <w:rsid w:val="00AF2F91"/>
    <w:rsid w:val="00AF2FBC"/>
    <w:rsid w:val="00AF2FDA"/>
    <w:rsid w:val="00AF2FE4"/>
    <w:rsid w:val="00AF3016"/>
    <w:rsid w:val="00AF303B"/>
    <w:rsid w:val="00AF304A"/>
    <w:rsid w:val="00AF30BD"/>
    <w:rsid w:val="00AF311C"/>
    <w:rsid w:val="00AF3121"/>
    <w:rsid w:val="00AF316F"/>
    <w:rsid w:val="00AF318C"/>
    <w:rsid w:val="00AF31D9"/>
    <w:rsid w:val="00AF3235"/>
    <w:rsid w:val="00AF323E"/>
    <w:rsid w:val="00AF324D"/>
    <w:rsid w:val="00AF3269"/>
    <w:rsid w:val="00AF326C"/>
    <w:rsid w:val="00AF3277"/>
    <w:rsid w:val="00AF32AB"/>
    <w:rsid w:val="00AF32AD"/>
    <w:rsid w:val="00AF32C1"/>
    <w:rsid w:val="00AF32D1"/>
    <w:rsid w:val="00AF331D"/>
    <w:rsid w:val="00AF3346"/>
    <w:rsid w:val="00AF337C"/>
    <w:rsid w:val="00AF34FA"/>
    <w:rsid w:val="00AF3538"/>
    <w:rsid w:val="00AF3542"/>
    <w:rsid w:val="00AF354F"/>
    <w:rsid w:val="00AF35DB"/>
    <w:rsid w:val="00AF35FF"/>
    <w:rsid w:val="00AF3609"/>
    <w:rsid w:val="00AF3622"/>
    <w:rsid w:val="00AF3661"/>
    <w:rsid w:val="00AF3669"/>
    <w:rsid w:val="00AF3785"/>
    <w:rsid w:val="00AF37A0"/>
    <w:rsid w:val="00AF37A9"/>
    <w:rsid w:val="00AF37EF"/>
    <w:rsid w:val="00AF3814"/>
    <w:rsid w:val="00AF3846"/>
    <w:rsid w:val="00AF395E"/>
    <w:rsid w:val="00AF395F"/>
    <w:rsid w:val="00AF39AB"/>
    <w:rsid w:val="00AF39E3"/>
    <w:rsid w:val="00AF39F0"/>
    <w:rsid w:val="00AF39FB"/>
    <w:rsid w:val="00AF3ADB"/>
    <w:rsid w:val="00AF3ADD"/>
    <w:rsid w:val="00AF3BA5"/>
    <w:rsid w:val="00AF3BB6"/>
    <w:rsid w:val="00AF3C09"/>
    <w:rsid w:val="00AF3C54"/>
    <w:rsid w:val="00AF3C5A"/>
    <w:rsid w:val="00AF3C89"/>
    <w:rsid w:val="00AF3CBF"/>
    <w:rsid w:val="00AF3CFA"/>
    <w:rsid w:val="00AF3DEF"/>
    <w:rsid w:val="00AF3DFC"/>
    <w:rsid w:val="00AF3E35"/>
    <w:rsid w:val="00AF3EA5"/>
    <w:rsid w:val="00AF3EBF"/>
    <w:rsid w:val="00AF3ED5"/>
    <w:rsid w:val="00AF3F24"/>
    <w:rsid w:val="00AF4087"/>
    <w:rsid w:val="00AF40ED"/>
    <w:rsid w:val="00AF415A"/>
    <w:rsid w:val="00AF4169"/>
    <w:rsid w:val="00AF416A"/>
    <w:rsid w:val="00AF4177"/>
    <w:rsid w:val="00AF417D"/>
    <w:rsid w:val="00AF4183"/>
    <w:rsid w:val="00AF41AD"/>
    <w:rsid w:val="00AF420E"/>
    <w:rsid w:val="00AF427A"/>
    <w:rsid w:val="00AF4427"/>
    <w:rsid w:val="00AF4437"/>
    <w:rsid w:val="00AF4442"/>
    <w:rsid w:val="00AF4453"/>
    <w:rsid w:val="00AF4472"/>
    <w:rsid w:val="00AF4514"/>
    <w:rsid w:val="00AF4566"/>
    <w:rsid w:val="00AF45B7"/>
    <w:rsid w:val="00AF45F2"/>
    <w:rsid w:val="00AF461D"/>
    <w:rsid w:val="00AF461E"/>
    <w:rsid w:val="00AF46AB"/>
    <w:rsid w:val="00AF46B7"/>
    <w:rsid w:val="00AF4724"/>
    <w:rsid w:val="00AF4754"/>
    <w:rsid w:val="00AF479D"/>
    <w:rsid w:val="00AF483A"/>
    <w:rsid w:val="00AF4846"/>
    <w:rsid w:val="00AF484E"/>
    <w:rsid w:val="00AF4860"/>
    <w:rsid w:val="00AF48C1"/>
    <w:rsid w:val="00AF4902"/>
    <w:rsid w:val="00AF493A"/>
    <w:rsid w:val="00AF4967"/>
    <w:rsid w:val="00AF4999"/>
    <w:rsid w:val="00AF4A19"/>
    <w:rsid w:val="00AF4A54"/>
    <w:rsid w:val="00AF4AA2"/>
    <w:rsid w:val="00AF4AAA"/>
    <w:rsid w:val="00AF4B0E"/>
    <w:rsid w:val="00AF4B2D"/>
    <w:rsid w:val="00AF4B53"/>
    <w:rsid w:val="00AF4B5A"/>
    <w:rsid w:val="00AF4B77"/>
    <w:rsid w:val="00AF4B9E"/>
    <w:rsid w:val="00AF4BB4"/>
    <w:rsid w:val="00AF4BFC"/>
    <w:rsid w:val="00AF4CC9"/>
    <w:rsid w:val="00AF4D32"/>
    <w:rsid w:val="00AF4D4F"/>
    <w:rsid w:val="00AF4D51"/>
    <w:rsid w:val="00AF4D5B"/>
    <w:rsid w:val="00AF4D7E"/>
    <w:rsid w:val="00AF4DB2"/>
    <w:rsid w:val="00AF4DE1"/>
    <w:rsid w:val="00AF4E1A"/>
    <w:rsid w:val="00AF4E2C"/>
    <w:rsid w:val="00AF4E57"/>
    <w:rsid w:val="00AF4E68"/>
    <w:rsid w:val="00AF4EA3"/>
    <w:rsid w:val="00AF4EC7"/>
    <w:rsid w:val="00AF4ECA"/>
    <w:rsid w:val="00AF4F22"/>
    <w:rsid w:val="00AF4F3A"/>
    <w:rsid w:val="00AF4F40"/>
    <w:rsid w:val="00AF4FC8"/>
    <w:rsid w:val="00AF4FC9"/>
    <w:rsid w:val="00AF506A"/>
    <w:rsid w:val="00AF508E"/>
    <w:rsid w:val="00AF50B9"/>
    <w:rsid w:val="00AF5140"/>
    <w:rsid w:val="00AF5149"/>
    <w:rsid w:val="00AF5185"/>
    <w:rsid w:val="00AF5195"/>
    <w:rsid w:val="00AF51D4"/>
    <w:rsid w:val="00AF5251"/>
    <w:rsid w:val="00AF5271"/>
    <w:rsid w:val="00AF5282"/>
    <w:rsid w:val="00AF528A"/>
    <w:rsid w:val="00AF529D"/>
    <w:rsid w:val="00AF52E4"/>
    <w:rsid w:val="00AF539B"/>
    <w:rsid w:val="00AF53D9"/>
    <w:rsid w:val="00AF53F2"/>
    <w:rsid w:val="00AF53F8"/>
    <w:rsid w:val="00AF5400"/>
    <w:rsid w:val="00AF5424"/>
    <w:rsid w:val="00AF542F"/>
    <w:rsid w:val="00AF5454"/>
    <w:rsid w:val="00AF54CD"/>
    <w:rsid w:val="00AF54F1"/>
    <w:rsid w:val="00AF5511"/>
    <w:rsid w:val="00AF553C"/>
    <w:rsid w:val="00AF555D"/>
    <w:rsid w:val="00AF5562"/>
    <w:rsid w:val="00AF5579"/>
    <w:rsid w:val="00AF55C2"/>
    <w:rsid w:val="00AF5639"/>
    <w:rsid w:val="00AF5665"/>
    <w:rsid w:val="00AF56B0"/>
    <w:rsid w:val="00AF56CE"/>
    <w:rsid w:val="00AF56E0"/>
    <w:rsid w:val="00AF571C"/>
    <w:rsid w:val="00AF57A3"/>
    <w:rsid w:val="00AF5838"/>
    <w:rsid w:val="00AF588B"/>
    <w:rsid w:val="00AF58A5"/>
    <w:rsid w:val="00AF58D6"/>
    <w:rsid w:val="00AF58EF"/>
    <w:rsid w:val="00AF5934"/>
    <w:rsid w:val="00AF595F"/>
    <w:rsid w:val="00AF598A"/>
    <w:rsid w:val="00AF59B1"/>
    <w:rsid w:val="00AF59CB"/>
    <w:rsid w:val="00AF5A14"/>
    <w:rsid w:val="00AF5B03"/>
    <w:rsid w:val="00AF5B99"/>
    <w:rsid w:val="00AF5BFE"/>
    <w:rsid w:val="00AF5D1E"/>
    <w:rsid w:val="00AF5D2C"/>
    <w:rsid w:val="00AF5D76"/>
    <w:rsid w:val="00AF5DB6"/>
    <w:rsid w:val="00AF5DE9"/>
    <w:rsid w:val="00AF5E39"/>
    <w:rsid w:val="00AF5E99"/>
    <w:rsid w:val="00AF5EAE"/>
    <w:rsid w:val="00AF5EEB"/>
    <w:rsid w:val="00AF5F9F"/>
    <w:rsid w:val="00AF6016"/>
    <w:rsid w:val="00AF604A"/>
    <w:rsid w:val="00AF6064"/>
    <w:rsid w:val="00AF60AD"/>
    <w:rsid w:val="00AF60C1"/>
    <w:rsid w:val="00AF60D9"/>
    <w:rsid w:val="00AF6127"/>
    <w:rsid w:val="00AF6133"/>
    <w:rsid w:val="00AF61CC"/>
    <w:rsid w:val="00AF622B"/>
    <w:rsid w:val="00AF62A3"/>
    <w:rsid w:val="00AF62C7"/>
    <w:rsid w:val="00AF62FB"/>
    <w:rsid w:val="00AF6304"/>
    <w:rsid w:val="00AF637A"/>
    <w:rsid w:val="00AF640F"/>
    <w:rsid w:val="00AF6488"/>
    <w:rsid w:val="00AF64A2"/>
    <w:rsid w:val="00AF64CF"/>
    <w:rsid w:val="00AF6543"/>
    <w:rsid w:val="00AF660E"/>
    <w:rsid w:val="00AF6658"/>
    <w:rsid w:val="00AF6692"/>
    <w:rsid w:val="00AF669B"/>
    <w:rsid w:val="00AF66D9"/>
    <w:rsid w:val="00AF670B"/>
    <w:rsid w:val="00AF676A"/>
    <w:rsid w:val="00AF676B"/>
    <w:rsid w:val="00AF677E"/>
    <w:rsid w:val="00AF678E"/>
    <w:rsid w:val="00AF6791"/>
    <w:rsid w:val="00AF67EB"/>
    <w:rsid w:val="00AF680A"/>
    <w:rsid w:val="00AF683E"/>
    <w:rsid w:val="00AF68D5"/>
    <w:rsid w:val="00AF68F3"/>
    <w:rsid w:val="00AF68FC"/>
    <w:rsid w:val="00AF693A"/>
    <w:rsid w:val="00AF69D9"/>
    <w:rsid w:val="00AF6A01"/>
    <w:rsid w:val="00AF6A87"/>
    <w:rsid w:val="00AF6AF6"/>
    <w:rsid w:val="00AF6B10"/>
    <w:rsid w:val="00AF6B8C"/>
    <w:rsid w:val="00AF6BA1"/>
    <w:rsid w:val="00AF6BAF"/>
    <w:rsid w:val="00AF6BB5"/>
    <w:rsid w:val="00AF6C74"/>
    <w:rsid w:val="00AF6D01"/>
    <w:rsid w:val="00AF6D14"/>
    <w:rsid w:val="00AF6D29"/>
    <w:rsid w:val="00AF6D2C"/>
    <w:rsid w:val="00AF6D6F"/>
    <w:rsid w:val="00AF6D9B"/>
    <w:rsid w:val="00AF6DA2"/>
    <w:rsid w:val="00AF6DB4"/>
    <w:rsid w:val="00AF6EBC"/>
    <w:rsid w:val="00AF6EFE"/>
    <w:rsid w:val="00AF6F34"/>
    <w:rsid w:val="00AF6F62"/>
    <w:rsid w:val="00AF6F99"/>
    <w:rsid w:val="00AF6F9A"/>
    <w:rsid w:val="00AF7069"/>
    <w:rsid w:val="00AF70A8"/>
    <w:rsid w:val="00AF70E7"/>
    <w:rsid w:val="00AF70E9"/>
    <w:rsid w:val="00AF7141"/>
    <w:rsid w:val="00AF717D"/>
    <w:rsid w:val="00AF71B6"/>
    <w:rsid w:val="00AF722C"/>
    <w:rsid w:val="00AF7264"/>
    <w:rsid w:val="00AF7268"/>
    <w:rsid w:val="00AF72E4"/>
    <w:rsid w:val="00AF73FC"/>
    <w:rsid w:val="00AF7492"/>
    <w:rsid w:val="00AF7507"/>
    <w:rsid w:val="00AF750E"/>
    <w:rsid w:val="00AF7566"/>
    <w:rsid w:val="00AF7599"/>
    <w:rsid w:val="00AF75AB"/>
    <w:rsid w:val="00AF75EC"/>
    <w:rsid w:val="00AF7632"/>
    <w:rsid w:val="00AF7678"/>
    <w:rsid w:val="00AF76D9"/>
    <w:rsid w:val="00AF76E1"/>
    <w:rsid w:val="00AF772B"/>
    <w:rsid w:val="00AF776C"/>
    <w:rsid w:val="00AF7784"/>
    <w:rsid w:val="00AF77D4"/>
    <w:rsid w:val="00AF77DB"/>
    <w:rsid w:val="00AF7807"/>
    <w:rsid w:val="00AF783A"/>
    <w:rsid w:val="00AF784E"/>
    <w:rsid w:val="00AF78C3"/>
    <w:rsid w:val="00AF7941"/>
    <w:rsid w:val="00AF797C"/>
    <w:rsid w:val="00AF79B9"/>
    <w:rsid w:val="00AF79FE"/>
    <w:rsid w:val="00AF7A09"/>
    <w:rsid w:val="00AF7A52"/>
    <w:rsid w:val="00AF7A7B"/>
    <w:rsid w:val="00AF7A9A"/>
    <w:rsid w:val="00AF7B2E"/>
    <w:rsid w:val="00AF7B39"/>
    <w:rsid w:val="00AF7B9C"/>
    <w:rsid w:val="00AF7C18"/>
    <w:rsid w:val="00AF7C2E"/>
    <w:rsid w:val="00AF7CD8"/>
    <w:rsid w:val="00AF7D92"/>
    <w:rsid w:val="00AF7D9F"/>
    <w:rsid w:val="00AF7DB9"/>
    <w:rsid w:val="00AF7DD8"/>
    <w:rsid w:val="00AF7E09"/>
    <w:rsid w:val="00AF7E70"/>
    <w:rsid w:val="00AF7EAD"/>
    <w:rsid w:val="00AF7EF4"/>
    <w:rsid w:val="00AF7F4B"/>
    <w:rsid w:val="00B00016"/>
    <w:rsid w:val="00B0002F"/>
    <w:rsid w:val="00B0005A"/>
    <w:rsid w:val="00B00069"/>
    <w:rsid w:val="00B000ED"/>
    <w:rsid w:val="00B000FA"/>
    <w:rsid w:val="00B00235"/>
    <w:rsid w:val="00B0026A"/>
    <w:rsid w:val="00B00272"/>
    <w:rsid w:val="00B00278"/>
    <w:rsid w:val="00B00282"/>
    <w:rsid w:val="00B00292"/>
    <w:rsid w:val="00B00388"/>
    <w:rsid w:val="00B003B9"/>
    <w:rsid w:val="00B00403"/>
    <w:rsid w:val="00B00569"/>
    <w:rsid w:val="00B005BE"/>
    <w:rsid w:val="00B005CD"/>
    <w:rsid w:val="00B005D1"/>
    <w:rsid w:val="00B00616"/>
    <w:rsid w:val="00B00636"/>
    <w:rsid w:val="00B0063C"/>
    <w:rsid w:val="00B00641"/>
    <w:rsid w:val="00B00680"/>
    <w:rsid w:val="00B00682"/>
    <w:rsid w:val="00B0069C"/>
    <w:rsid w:val="00B006BE"/>
    <w:rsid w:val="00B006F5"/>
    <w:rsid w:val="00B00712"/>
    <w:rsid w:val="00B0079E"/>
    <w:rsid w:val="00B007E8"/>
    <w:rsid w:val="00B007F3"/>
    <w:rsid w:val="00B00822"/>
    <w:rsid w:val="00B0082A"/>
    <w:rsid w:val="00B00830"/>
    <w:rsid w:val="00B0084F"/>
    <w:rsid w:val="00B00859"/>
    <w:rsid w:val="00B00862"/>
    <w:rsid w:val="00B008B9"/>
    <w:rsid w:val="00B008E0"/>
    <w:rsid w:val="00B00906"/>
    <w:rsid w:val="00B0094D"/>
    <w:rsid w:val="00B0094F"/>
    <w:rsid w:val="00B00967"/>
    <w:rsid w:val="00B0097B"/>
    <w:rsid w:val="00B009B4"/>
    <w:rsid w:val="00B00A7A"/>
    <w:rsid w:val="00B00ABA"/>
    <w:rsid w:val="00B00B90"/>
    <w:rsid w:val="00B00C98"/>
    <w:rsid w:val="00B00C9D"/>
    <w:rsid w:val="00B00CEC"/>
    <w:rsid w:val="00B00CF8"/>
    <w:rsid w:val="00B00D60"/>
    <w:rsid w:val="00B00D75"/>
    <w:rsid w:val="00B00D8E"/>
    <w:rsid w:val="00B00DCC"/>
    <w:rsid w:val="00B00E00"/>
    <w:rsid w:val="00B00E7A"/>
    <w:rsid w:val="00B00EB5"/>
    <w:rsid w:val="00B00EEB"/>
    <w:rsid w:val="00B00F8D"/>
    <w:rsid w:val="00B00FD3"/>
    <w:rsid w:val="00B010E7"/>
    <w:rsid w:val="00B0112C"/>
    <w:rsid w:val="00B011AC"/>
    <w:rsid w:val="00B011BD"/>
    <w:rsid w:val="00B011E5"/>
    <w:rsid w:val="00B01248"/>
    <w:rsid w:val="00B01268"/>
    <w:rsid w:val="00B0126C"/>
    <w:rsid w:val="00B012B8"/>
    <w:rsid w:val="00B01310"/>
    <w:rsid w:val="00B01330"/>
    <w:rsid w:val="00B0133B"/>
    <w:rsid w:val="00B0135C"/>
    <w:rsid w:val="00B0135E"/>
    <w:rsid w:val="00B01364"/>
    <w:rsid w:val="00B01412"/>
    <w:rsid w:val="00B01424"/>
    <w:rsid w:val="00B0142C"/>
    <w:rsid w:val="00B01443"/>
    <w:rsid w:val="00B0146F"/>
    <w:rsid w:val="00B014E2"/>
    <w:rsid w:val="00B01522"/>
    <w:rsid w:val="00B016E9"/>
    <w:rsid w:val="00B017FA"/>
    <w:rsid w:val="00B0183F"/>
    <w:rsid w:val="00B0186A"/>
    <w:rsid w:val="00B018B5"/>
    <w:rsid w:val="00B01923"/>
    <w:rsid w:val="00B0192D"/>
    <w:rsid w:val="00B01949"/>
    <w:rsid w:val="00B01A19"/>
    <w:rsid w:val="00B01A7B"/>
    <w:rsid w:val="00B01ABA"/>
    <w:rsid w:val="00B01B19"/>
    <w:rsid w:val="00B01BE2"/>
    <w:rsid w:val="00B01C2C"/>
    <w:rsid w:val="00B01C98"/>
    <w:rsid w:val="00B01CB2"/>
    <w:rsid w:val="00B01CC1"/>
    <w:rsid w:val="00B01CE1"/>
    <w:rsid w:val="00B01D52"/>
    <w:rsid w:val="00B01D81"/>
    <w:rsid w:val="00B01D94"/>
    <w:rsid w:val="00B01E30"/>
    <w:rsid w:val="00B01EB8"/>
    <w:rsid w:val="00B01EF9"/>
    <w:rsid w:val="00B01F98"/>
    <w:rsid w:val="00B01FA2"/>
    <w:rsid w:val="00B01FF1"/>
    <w:rsid w:val="00B02006"/>
    <w:rsid w:val="00B02049"/>
    <w:rsid w:val="00B02050"/>
    <w:rsid w:val="00B0213E"/>
    <w:rsid w:val="00B0217B"/>
    <w:rsid w:val="00B021C4"/>
    <w:rsid w:val="00B0220B"/>
    <w:rsid w:val="00B022C2"/>
    <w:rsid w:val="00B022C9"/>
    <w:rsid w:val="00B02318"/>
    <w:rsid w:val="00B02361"/>
    <w:rsid w:val="00B02404"/>
    <w:rsid w:val="00B02408"/>
    <w:rsid w:val="00B024CA"/>
    <w:rsid w:val="00B024D4"/>
    <w:rsid w:val="00B024D6"/>
    <w:rsid w:val="00B02551"/>
    <w:rsid w:val="00B0257F"/>
    <w:rsid w:val="00B02583"/>
    <w:rsid w:val="00B0258F"/>
    <w:rsid w:val="00B0260C"/>
    <w:rsid w:val="00B02658"/>
    <w:rsid w:val="00B0265F"/>
    <w:rsid w:val="00B02661"/>
    <w:rsid w:val="00B02690"/>
    <w:rsid w:val="00B026DA"/>
    <w:rsid w:val="00B026F2"/>
    <w:rsid w:val="00B02724"/>
    <w:rsid w:val="00B02771"/>
    <w:rsid w:val="00B027C6"/>
    <w:rsid w:val="00B027EA"/>
    <w:rsid w:val="00B027EF"/>
    <w:rsid w:val="00B02857"/>
    <w:rsid w:val="00B0288C"/>
    <w:rsid w:val="00B02952"/>
    <w:rsid w:val="00B02A0A"/>
    <w:rsid w:val="00B02A81"/>
    <w:rsid w:val="00B02B13"/>
    <w:rsid w:val="00B02B32"/>
    <w:rsid w:val="00B02B55"/>
    <w:rsid w:val="00B02B61"/>
    <w:rsid w:val="00B02BA4"/>
    <w:rsid w:val="00B02BF3"/>
    <w:rsid w:val="00B02C73"/>
    <w:rsid w:val="00B02C7B"/>
    <w:rsid w:val="00B02CAC"/>
    <w:rsid w:val="00B02CC0"/>
    <w:rsid w:val="00B02CF7"/>
    <w:rsid w:val="00B02D24"/>
    <w:rsid w:val="00B02D40"/>
    <w:rsid w:val="00B02D41"/>
    <w:rsid w:val="00B02D77"/>
    <w:rsid w:val="00B02DDE"/>
    <w:rsid w:val="00B02E16"/>
    <w:rsid w:val="00B02E59"/>
    <w:rsid w:val="00B02E8A"/>
    <w:rsid w:val="00B02EAB"/>
    <w:rsid w:val="00B02EFF"/>
    <w:rsid w:val="00B02F07"/>
    <w:rsid w:val="00B02F8B"/>
    <w:rsid w:val="00B02FA3"/>
    <w:rsid w:val="00B0300F"/>
    <w:rsid w:val="00B03060"/>
    <w:rsid w:val="00B0307F"/>
    <w:rsid w:val="00B030B1"/>
    <w:rsid w:val="00B030B7"/>
    <w:rsid w:val="00B030C3"/>
    <w:rsid w:val="00B0315A"/>
    <w:rsid w:val="00B0317C"/>
    <w:rsid w:val="00B03187"/>
    <w:rsid w:val="00B031BD"/>
    <w:rsid w:val="00B031C4"/>
    <w:rsid w:val="00B031C5"/>
    <w:rsid w:val="00B0322A"/>
    <w:rsid w:val="00B0323D"/>
    <w:rsid w:val="00B03240"/>
    <w:rsid w:val="00B0325C"/>
    <w:rsid w:val="00B0325F"/>
    <w:rsid w:val="00B03264"/>
    <w:rsid w:val="00B03297"/>
    <w:rsid w:val="00B032F1"/>
    <w:rsid w:val="00B0334C"/>
    <w:rsid w:val="00B033EF"/>
    <w:rsid w:val="00B03428"/>
    <w:rsid w:val="00B0343F"/>
    <w:rsid w:val="00B03442"/>
    <w:rsid w:val="00B035B9"/>
    <w:rsid w:val="00B0360D"/>
    <w:rsid w:val="00B036BB"/>
    <w:rsid w:val="00B036D5"/>
    <w:rsid w:val="00B037C3"/>
    <w:rsid w:val="00B03846"/>
    <w:rsid w:val="00B0389A"/>
    <w:rsid w:val="00B038E5"/>
    <w:rsid w:val="00B038E9"/>
    <w:rsid w:val="00B03925"/>
    <w:rsid w:val="00B03995"/>
    <w:rsid w:val="00B03A12"/>
    <w:rsid w:val="00B03A46"/>
    <w:rsid w:val="00B03A87"/>
    <w:rsid w:val="00B03AAE"/>
    <w:rsid w:val="00B03AB4"/>
    <w:rsid w:val="00B03AF6"/>
    <w:rsid w:val="00B03AF7"/>
    <w:rsid w:val="00B03B3E"/>
    <w:rsid w:val="00B03BCA"/>
    <w:rsid w:val="00B03C5A"/>
    <w:rsid w:val="00B03C79"/>
    <w:rsid w:val="00B03C9F"/>
    <w:rsid w:val="00B03CB5"/>
    <w:rsid w:val="00B03D16"/>
    <w:rsid w:val="00B03D1D"/>
    <w:rsid w:val="00B03DA0"/>
    <w:rsid w:val="00B03E0B"/>
    <w:rsid w:val="00B03E32"/>
    <w:rsid w:val="00B03E64"/>
    <w:rsid w:val="00B03EBA"/>
    <w:rsid w:val="00B03EDB"/>
    <w:rsid w:val="00B03EED"/>
    <w:rsid w:val="00B03F8D"/>
    <w:rsid w:val="00B03F90"/>
    <w:rsid w:val="00B03F92"/>
    <w:rsid w:val="00B03FD6"/>
    <w:rsid w:val="00B040E8"/>
    <w:rsid w:val="00B04155"/>
    <w:rsid w:val="00B0418D"/>
    <w:rsid w:val="00B041BA"/>
    <w:rsid w:val="00B0426F"/>
    <w:rsid w:val="00B042B6"/>
    <w:rsid w:val="00B042D8"/>
    <w:rsid w:val="00B0430D"/>
    <w:rsid w:val="00B0431C"/>
    <w:rsid w:val="00B0432D"/>
    <w:rsid w:val="00B04372"/>
    <w:rsid w:val="00B04397"/>
    <w:rsid w:val="00B043DB"/>
    <w:rsid w:val="00B0444A"/>
    <w:rsid w:val="00B0444E"/>
    <w:rsid w:val="00B04451"/>
    <w:rsid w:val="00B04475"/>
    <w:rsid w:val="00B0449E"/>
    <w:rsid w:val="00B044E7"/>
    <w:rsid w:val="00B045A1"/>
    <w:rsid w:val="00B045F7"/>
    <w:rsid w:val="00B04610"/>
    <w:rsid w:val="00B04613"/>
    <w:rsid w:val="00B046B0"/>
    <w:rsid w:val="00B04738"/>
    <w:rsid w:val="00B0473D"/>
    <w:rsid w:val="00B0474E"/>
    <w:rsid w:val="00B047FA"/>
    <w:rsid w:val="00B04819"/>
    <w:rsid w:val="00B0482A"/>
    <w:rsid w:val="00B04841"/>
    <w:rsid w:val="00B048C7"/>
    <w:rsid w:val="00B048CB"/>
    <w:rsid w:val="00B048D5"/>
    <w:rsid w:val="00B049C6"/>
    <w:rsid w:val="00B049EC"/>
    <w:rsid w:val="00B049F7"/>
    <w:rsid w:val="00B049FC"/>
    <w:rsid w:val="00B04A11"/>
    <w:rsid w:val="00B04A25"/>
    <w:rsid w:val="00B04A86"/>
    <w:rsid w:val="00B04B64"/>
    <w:rsid w:val="00B04B90"/>
    <w:rsid w:val="00B04BB7"/>
    <w:rsid w:val="00B04BDF"/>
    <w:rsid w:val="00B04C0D"/>
    <w:rsid w:val="00B04C16"/>
    <w:rsid w:val="00B04CCF"/>
    <w:rsid w:val="00B04D2C"/>
    <w:rsid w:val="00B04D3E"/>
    <w:rsid w:val="00B04D75"/>
    <w:rsid w:val="00B04DB1"/>
    <w:rsid w:val="00B04DC1"/>
    <w:rsid w:val="00B04E0D"/>
    <w:rsid w:val="00B04E82"/>
    <w:rsid w:val="00B04F15"/>
    <w:rsid w:val="00B04F33"/>
    <w:rsid w:val="00B04F5E"/>
    <w:rsid w:val="00B04F83"/>
    <w:rsid w:val="00B04FAA"/>
    <w:rsid w:val="00B0500C"/>
    <w:rsid w:val="00B05041"/>
    <w:rsid w:val="00B050B4"/>
    <w:rsid w:val="00B050FB"/>
    <w:rsid w:val="00B05215"/>
    <w:rsid w:val="00B05221"/>
    <w:rsid w:val="00B05272"/>
    <w:rsid w:val="00B052A4"/>
    <w:rsid w:val="00B0530A"/>
    <w:rsid w:val="00B05333"/>
    <w:rsid w:val="00B0534E"/>
    <w:rsid w:val="00B05356"/>
    <w:rsid w:val="00B05373"/>
    <w:rsid w:val="00B05390"/>
    <w:rsid w:val="00B053A8"/>
    <w:rsid w:val="00B053F3"/>
    <w:rsid w:val="00B0545B"/>
    <w:rsid w:val="00B0545C"/>
    <w:rsid w:val="00B054E8"/>
    <w:rsid w:val="00B054EE"/>
    <w:rsid w:val="00B0554A"/>
    <w:rsid w:val="00B05578"/>
    <w:rsid w:val="00B05600"/>
    <w:rsid w:val="00B0560A"/>
    <w:rsid w:val="00B0560C"/>
    <w:rsid w:val="00B0561A"/>
    <w:rsid w:val="00B0563B"/>
    <w:rsid w:val="00B0565F"/>
    <w:rsid w:val="00B0567F"/>
    <w:rsid w:val="00B056A7"/>
    <w:rsid w:val="00B056C7"/>
    <w:rsid w:val="00B056FF"/>
    <w:rsid w:val="00B0570B"/>
    <w:rsid w:val="00B05736"/>
    <w:rsid w:val="00B05837"/>
    <w:rsid w:val="00B05843"/>
    <w:rsid w:val="00B058EA"/>
    <w:rsid w:val="00B059D1"/>
    <w:rsid w:val="00B059E9"/>
    <w:rsid w:val="00B059EF"/>
    <w:rsid w:val="00B05AC8"/>
    <w:rsid w:val="00B05AEC"/>
    <w:rsid w:val="00B05AFE"/>
    <w:rsid w:val="00B05B3C"/>
    <w:rsid w:val="00B05B4B"/>
    <w:rsid w:val="00B05BA9"/>
    <w:rsid w:val="00B05BF6"/>
    <w:rsid w:val="00B05C16"/>
    <w:rsid w:val="00B05C27"/>
    <w:rsid w:val="00B05C68"/>
    <w:rsid w:val="00B05CA1"/>
    <w:rsid w:val="00B05CA9"/>
    <w:rsid w:val="00B05CBF"/>
    <w:rsid w:val="00B05DFC"/>
    <w:rsid w:val="00B05E9C"/>
    <w:rsid w:val="00B05EC4"/>
    <w:rsid w:val="00B05ED6"/>
    <w:rsid w:val="00B05F0D"/>
    <w:rsid w:val="00B0604B"/>
    <w:rsid w:val="00B06160"/>
    <w:rsid w:val="00B06171"/>
    <w:rsid w:val="00B061A7"/>
    <w:rsid w:val="00B061F1"/>
    <w:rsid w:val="00B062B5"/>
    <w:rsid w:val="00B062BC"/>
    <w:rsid w:val="00B06346"/>
    <w:rsid w:val="00B063E0"/>
    <w:rsid w:val="00B06472"/>
    <w:rsid w:val="00B0650F"/>
    <w:rsid w:val="00B0653C"/>
    <w:rsid w:val="00B065F0"/>
    <w:rsid w:val="00B06626"/>
    <w:rsid w:val="00B06675"/>
    <w:rsid w:val="00B06681"/>
    <w:rsid w:val="00B066D7"/>
    <w:rsid w:val="00B066DB"/>
    <w:rsid w:val="00B067D5"/>
    <w:rsid w:val="00B06806"/>
    <w:rsid w:val="00B06808"/>
    <w:rsid w:val="00B06835"/>
    <w:rsid w:val="00B0688D"/>
    <w:rsid w:val="00B068F3"/>
    <w:rsid w:val="00B06947"/>
    <w:rsid w:val="00B06A37"/>
    <w:rsid w:val="00B06B0A"/>
    <w:rsid w:val="00B06B67"/>
    <w:rsid w:val="00B06B8F"/>
    <w:rsid w:val="00B06BE9"/>
    <w:rsid w:val="00B06BFC"/>
    <w:rsid w:val="00B06C01"/>
    <w:rsid w:val="00B06C37"/>
    <w:rsid w:val="00B06CA5"/>
    <w:rsid w:val="00B06CA9"/>
    <w:rsid w:val="00B06CE9"/>
    <w:rsid w:val="00B06D0C"/>
    <w:rsid w:val="00B06D7A"/>
    <w:rsid w:val="00B06E2D"/>
    <w:rsid w:val="00B06E77"/>
    <w:rsid w:val="00B06E8E"/>
    <w:rsid w:val="00B06EF6"/>
    <w:rsid w:val="00B06F3D"/>
    <w:rsid w:val="00B06F4D"/>
    <w:rsid w:val="00B06F96"/>
    <w:rsid w:val="00B06FAF"/>
    <w:rsid w:val="00B06FE6"/>
    <w:rsid w:val="00B07012"/>
    <w:rsid w:val="00B0701D"/>
    <w:rsid w:val="00B0703E"/>
    <w:rsid w:val="00B07068"/>
    <w:rsid w:val="00B0706F"/>
    <w:rsid w:val="00B07085"/>
    <w:rsid w:val="00B0708A"/>
    <w:rsid w:val="00B07091"/>
    <w:rsid w:val="00B07210"/>
    <w:rsid w:val="00B0724C"/>
    <w:rsid w:val="00B07251"/>
    <w:rsid w:val="00B07263"/>
    <w:rsid w:val="00B072C0"/>
    <w:rsid w:val="00B072F8"/>
    <w:rsid w:val="00B07361"/>
    <w:rsid w:val="00B073FE"/>
    <w:rsid w:val="00B07439"/>
    <w:rsid w:val="00B07449"/>
    <w:rsid w:val="00B0758F"/>
    <w:rsid w:val="00B07592"/>
    <w:rsid w:val="00B075CB"/>
    <w:rsid w:val="00B075F5"/>
    <w:rsid w:val="00B075F8"/>
    <w:rsid w:val="00B0760C"/>
    <w:rsid w:val="00B0768C"/>
    <w:rsid w:val="00B077E0"/>
    <w:rsid w:val="00B07811"/>
    <w:rsid w:val="00B078AF"/>
    <w:rsid w:val="00B0791B"/>
    <w:rsid w:val="00B079F7"/>
    <w:rsid w:val="00B07A09"/>
    <w:rsid w:val="00B07A89"/>
    <w:rsid w:val="00B07AA4"/>
    <w:rsid w:val="00B07B08"/>
    <w:rsid w:val="00B07B44"/>
    <w:rsid w:val="00B07B70"/>
    <w:rsid w:val="00B07BC5"/>
    <w:rsid w:val="00B07BCB"/>
    <w:rsid w:val="00B07C65"/>
    <w:rsid w:val="00B07C78"/>
    <w:rsid w:val="00B07CAE"/>
    <w:rsid w:val="00B07CEB"/>
    <w:rsid w:val="00B07CFC"/>
    <w:rsid w:val="00B07D16"/>
    <w:rsid w:val="00B07D34"/>
    <w:rsid w:val="00B07E6E"/>
    <w:rsid w:val="00B07E90"/>
    <w:rsid w:val="00B07E91"/>
    <w:rsid w:val="00B07EB3"/>
    <w:rsid w:val="00B07EFF"/>
    <w:rsid w:val="00B07F19"/>
    <w:rsid w:val="00B07F37"/>
    <w:rsid w:val="00B07F68"/>
    <w:rsid w:val="00B07F74"/>
    <w:rsid w:val="00B07FA6"/>
    <w:rsid w:val="00B07FA7"/>
    <w:rsid w:val="00B07FCF"/>
    <w:rsid w:val="00B10007"/>
    <w:rsid w:val="00B10008"/>
    <w:rsid w:val="00B10031"/>
    <w:rsid w:val="00B10045"/>
    <w:rsid w:val="00B100A0"/>
    <w:rsid w:val="00B1011C"/>
    <w:rsid w:val="00B10226"/>
    <w:rsid w:val="00B102AF"/>
    <w:rsid w:val="00B102CA"/>
    <w:rsid w:val="00B102E4"/>
    <w:rsid w:val="00B102EC"/>
    <w:rsid w:val="00B1030F"/>
    <w:rsid w:val="00B10400"/>
    <w:rsid w:val="00B1042C"/>
    <w:rsid w:val="00B10477"/>
    <w:rsid w:val="00B104B1"/>
    <w:rsid w:val="00B104B7"/>
    <w:rsid w:val="00B104ED"/>
    <w:rsid w:val="00B1050F"/>
    <w:rsid w:val="00B10579"/>
    <w:rsid w:val="00B10584"/>
    <w:rsid w:val="00B1058A"/>
    <w:rsid w:val="00B105D5"/>
    <w:rsid w:val="00B10693"/>
    <w:rsid w:val="00B10718"/>
    <w:rsid w:val="00B10801"/>
    <w:rsid w:val="00B108BE"/>
    <w:rsid w:val="00B108E0"/>
    <w:rsid w:val="00B10917"/>
    <w:rsid w:val="00B1098E"/>
    <w:rsid w:val="00B109B7"/>
    <w:rsid w:val="00B109CC"/>
    <w:rsid w:val="00B109D6"/>
    <w:rsid w:val="00B109FC"/>
    <w:rsid w:val="00B10A53"/>
    <w:rsid w:val="00B10AD5"/>
    <w:rsid w:val="00B10B20"/>
    <w:rsid w:val="00B10B72"/>
    <w:rsid w:val="00B10B7A"/>
    <w:rsid w:val="00B10BC9"/>
    <w:rsid w:val="00B10BCE"/>
    <w:rsid w:val="00B10BE4"/>
    <w:rsid w:val="00B10C26"/>
    <w:rsid w:val="00B10C74"/>
    <w:rsid w:val="00B10D88"/>
    <w:rsid w:val="00B10DCD"/>
    <w:rsid w:val="00B10DE7"/>
    <w:rsid w:val="00B10EA4"/>
    <w:rsid w:val="00B10F45"/>
    <w:rsid w:val="00B10F48"/>
    <w:rsid w:val="00B10F99"/>
    <w:rsid w:val="00B10FCC"/>
    <w:rsid w:val="00B10FEB"/>
    <w:rsid w:val="00B10FEF"/>
    <w:rsid w:val="00B110B0"/>
    <w:rsid w:val="00B1116B"/>
    <w:rsid w:val="00B1122A"/>
    <w:rsid w:val="00B11248"/>
    <w:rsid w:val="00B11275"/>
    <w:rsid w:val="00B1127C"/>
    <w:rsid w:val="00B11378"/>
    <w:rsid w:val="00B1147C"/>
    <w:rsid w:val="00B114BE"/>
    <w:rsid w:val="00B114C9"/>
    <w:rsid w:val="00B114F6"/>
    <w:rsid w:val="00B11529"/>
    <w:rsid w:val="00B115E0"/>
    <w:rsid w:val="00B116A0"/>
    <w:rsid w:val="00B116D6"/>
    <w:rsid w:val="00B1175B"/>
    <w:rsid w:val="00B117E0"/>
    <w:rsid w:val="00B1182E"/>
    <w:rsid w:val="00B11837"/>
    <w:rsid w:val="00B11863"/>
    <w:rsid w:val="00B118C7"/>
    <w:rsid w:val="00B1193D"/>
    <w:rsid w:val="00B1196D"/>
    <w:rsid w:val="00B1197D"/>
    <w:rsid w:val="00B119E6"/>
    <w:rsid w:val="00B119EB"/>
    <w:rsid w:val="00B119F7"/>
    <w:rsid w:val="00B11A30"/>
    <w:rsid w:val="00B11A4C"/>
    <w:rsid w:val="00B11A52"/>
    <w:rsid w:val="00B11A60"/>
    <w:rsid w:val="00B11C4B"/>
    <w:rsid w:val="00B11C6B"/>
    <w:rsid w:val="00B11C7D"/>
    <w:rsid w:val="00B11CF3"/>
    <w:rsid w:val="00B11DBF"/>
    <w:rsid w:val="00B11EF9"/>
    <w:rsid w:val="00B11EFD"/>
    <w:rsid w:val="00B11F25"/>
    <w:rsid w:val="00B11FB7"/>
    <w:rsid w:val="00B11FD3"/>
    <w:rsid w:val="00B11FF6"/>
    <w:rsid w:val="00B12039"/>
    <w:rsid w:val="00B120B1"/>
    <w:rsid w:val="00B120E0"/>
    <w:rsid w:val="00B12181"/>
    <w:rsid w:val="00B121A4"/>
    <w:rsid w:val="00B121C9"/>
    <w:rsid w:val="00B1226A"/>
    <w:rsid w:val="00B12276"/>
    <w:rsid w:val="00B122F2"/>
    <w:rsid w:val="00B1230A"/>
    <w:rsid w:val="00B1230B"/>
    <w:rsid w:val="00B12347"/>
    <w:rsid w:val="00B1234F"/>
    <w:rsid w:val="00B12354"/>
    <w:rsid w:val="00B1235F"/>
    <w:rsid w:val="00B123A3"/>
    <w:rsid w:val="00B123F3"/>
    <w:rsid w:val="00B1240C"/>
    <w:rsid w:val="00B124BC"/>
    <w:rsid w:val="00B12533"/>
    <w:rsid w:val="00B1253B"/>
    <w:rsid w:val="00B1254F"/>
    <w:rsid w:val="00B125E7"/>
    <w:rsid w:val="00B125F3"/>
    <w:rsid w:val="00B12647"/>
    <w:rsid w:val="00B12675"/>
    <w:rsid w:val="00B12687"/>
    <w:rsid w:val="00B12721"/>
    <w:rsid w:val="00B12748"/>
    <w:rsid w:val="00B127A4"/>
    <w:rsid w:val="00B1285F"/>
    <w:rsid w:val="00B128D2"/>
    <w:rsid w:val="00B128E7"/>
    <w:rsid w:val="00B128EA"/>
    <w:rsid w:val="00B12921"/>
    <w:rsid w:val="00B129F7"/>
    <w:rsid w:val="00B12AA7"/>
    <w:rsid w:val="00B12B85"/>
    <w:rsid w:val="00B12B93"/>
    <w:rsid w:val="00B12BC7"/>
    <w:rsid w:val="00B12C2E"/>
    <w:rsid w:val="00B12C53"/>
    <w:rsid w:val="00B12D65"/>
    <w:rsid w:val="00B12DD2"/>
    <w:rsid w:val="00B12EBC"/>
    <w:rsid w:val="00B12F02"/>
    <w:rsid w:val="00B12F45"/>
    <w:rsid w:val="00B12F81"/>
    <w:rsid w:val="00B12F8C"/>
    <w:rsid w:val="00B12FA6"/>
    <w:rsid w:val="00B12FC2"/>
    <w:rsid w:val="00B13013"/>
    <w:rsid w:val="00B130A0"/>
    <w:rsid w:val="00B130C2"/>
    <w:rsid w:val="00B130F3"/>
    <w:rsid w:val="00B13122"/>
    <w:rsid w:val="00B13153"/>
    <w:rsid w:val="00B13174"/>
    <w:rsid w:val="00B1318D"/>
    <w:rsid w:val="00B131F5"/>
    <w:rsid w:val="00B1324B"/>
    <w:rsid w:val="00B13273"/>
    <w:rsid w:val="00B132F1"/>
    <w:rsid w:val="00B13356"/>
    <w:rsid w:val="00B13358"/>
    <w:rsid w:val="00B13392"/>
    <w:rsid w:val="00B13459"/>
    <w:rsid w:val="00B134B1"/>
    <w:rsid w:val="00B134D6"/>
    <w:rsid w:val="00B1353F"/>
    <w:rsid w:val="00B13662"/>
    <w:rsid w:val="00B13691"/>
    <w:rsid w:val="00B136AB"/>
    <w:rsid w:val="00B136BA"/>
    <w:rsid w:val="00B136D9"/>
    <w:rsid w:val="00B13729"/>
    <w:rsid w:val="00B13782"/>
    <w:rsid w:val="00B137B7"/>
    <w:rsid w:val="00B137D2"/>
    <w:rsid w:val="00B137D8"/>
    <w:rsid w:val="00B13894"/>
    <w:rsid w:val="00B13895"/>
    <w:rsid w:val="00B1393B"/>
    <w:rsid w:val="00B1397D"/>
    <w:rsid w:val="00B1398A"/>
    <w:rsid w:val="00B139E1"/>
    <w:rsid w:val="00B139F1"/>
    <w:rsid w:val="00B13A89"/>
    <w:rsid w:val="00B13A92"/>
    <w:rsid w:val="00B13AFA"/>
    <w:rsid w:val="00B13AFB"/>
    <w:rsid w:val="00B13B6C"/>
    <w:rsid w:val="00B13B6E"/>
    <w:rsid w:val="00B13B8F"/>
    <w:rsid w:val="00B13B9A"/>
    <w:rsid w:val="00B13C13"/>
    <w:rsid w:val="00B13CE6"/>
    <w:rsid w:val="00B13DAD"/>
    <w:rsid w:val="00B13DB0"/>
    <w:rsid w:val="00B13DBF"/>
    <w:rsid w:val="00B13DC0"/>
    <w:rsid w:val="00B13E60"/>
    <w:rsid w:val="00B13EB4"/>
    <w:rsid w:val="00B13F20"/>
    <w:rsid w:val="00B13F7B"/>
    <w:rsid w:val="00B13FB9"/>
    <w:rsid w:val="00B13FED"/>
    <w:rsid w:val="00B13FF2"/>
    <w:rsid w:val="00B14021"/>
    <w:rsid w:val="00B1403A"/>
    <w:rsid w:val="00B14070"/>
    <w:rsid w:val="00B14084"/>
    <w:rsid w:val="00B140B2"/>
    <w:rsid w:val="00B14148"/>
    <w:rsid w:val="00B1414F"/>
    <w:rsid w:val="00B141F6"/>
    <w:rsid w:val="00B1422E"/>
    <w:rsid w:val="00B1423C"/>
    <w:rsid w:val="00B1427F"/>
    <w:rsid w:val="00B14283"/>
    <w:rsid w:val="00B14298"/>
    <w:rsid w:val="00B142D2"/>
    <w:rsid w:val="00B1433A"/>
    <w:rsid w:val="00B14357"/>
    <w:rsid w:val="00B14437"/>
    <w:rsid w:val="00B14452"/>
    <w:rsid w:val="00B1449B"/>
    <w:rsid w:val="00B14523"/>
    <w:rsid w:val="00B14545"/>
    <w:rsid w:val="00B145DC"/>
    <w:rsid w:val="00B1462C"/>
    <w:rsid w:val="00B1462F"/>
    <w:rsid w:val="00B1467F"/>
    <w:rsid w:val="00B1468D"/>
    <w:rsid w:val="00B14695"/>
    <w:rsid w:val="00B146A1"/>
    <w:rsid w:val="00B14744"/>
    <w:rsid w:val="00B14812"/>
    <w:rsid w:val="00B14818"/>
    <w:rsid w:val="00B1486A"/>
    <w:rsid w:val="00B148BF"/>
    <w:rsid w:val="00B149AC"/>
    <w:rsid w:val="00B149C0"/>
    <w:rsid w:val="00B149DF"/>
    <w:rsid w:val="00B14AB1"/>
    <w:rsid w:val="00B14B04"/>
    <w:rsid w:val="00B14B10"/>
    <w:rsid w:val="00B14B19"/>
    <w:rsid w:val="00B14B5A"/>
    <w:rsid w:val="00B14C5E"/>
    <w:rsid w:val="00B14C9F"/>
    <w:rsid w:val="00B14CEC"/>
    <w:rsid w:val="00B14CEE"/>
    <w:rsid w:val="00B14CF2"/>
    <w:rsid w:val="00B14CF7"/>
    <w:rsid w:val="00B14D9A"/>
    <w:rsid w:val="00B14DD8"/>
    <w:rsid w:val="00B14DEC"/>
    <w:rsid w:val="00B14E41"/>
    <w:rsid w:val="00B14E60"/>
    <w:rsid w:val="00B14EAD"/>
    <w:rsid w:val="00B14EE4"/>
    <w:rsid w:val="00B14F2F"/>
    <w:rsid w:val="00B14FA0"/>
    <w:rsid w:val="00B14FC2"/>
    <w:rsid w:val="00B14FF8"/>
    <w:rsid w:val="00B14FFE"/>
    <w:rsid w:val="00B15002"/>
    <w:rsid w:val="00B1508D"/>
    <w:rsid w:val="00B1509F"/>
    <w:rsid w:val="00B150DA"/>
    <w:rsid w:val="00B1513F"/>
    <w:rsid w:val="00B15153"/>
    <w:rsid w:val="00B1515A"/>
    <w:rsid w:val="00B1518B"/>
    <w:rsid w:val="00B151E9"/>
    <w:rsid w:val="00B15203"/>
    <w:rsid w:val="00B15338"/>
    <w:rsid w:val="00B1539C"/>
    <w:rsid w:val="00B1539E"/>
    <w:rsid w:val="00B15435"/>
    <w:rsid w:val="00B154AB"/>
    <w:rsid w:val="00B1551D"/>
    <w:rsid w:val="00B15546"/>
    <w:rsid w:val="00B15587"/>
    <w:rsid w:val="00B155F3"/>
    <w:rsid w:val="00B15628"/>
    <w:rsid w:val="00B156A8"/>
    <w:rsid w:val="00B156B7"/>
    <w:rsid w:val="00B156FF"/>
    <w:rsid w:val="00B1571F"/>
    <w:rsid w:val="00B15799"/>
    <w:rsid w:val="00B1580F"/>
    <w:rsid w:val="00B1584A"/>
    <w:rsid w:val="00B1588B"/>
    <w:rsid w:val="00B158A2"/>
    <w:rsid w:val="00B159C7"/>
    <w:rsid w:val="00B15A30"/>
    <w:rsid w:val="00B15A51"/>
    <w:rsid w:val="00B15A7F"/>
    <w:rsid w:val="00B15AAC"/>
    <w:rsid w:val="00B15AAE"/>
    <w:rsid w:val="00B15AEB"/>
    <w:rsid w:val="00B15B6A"/>
    <w:rsid w:val="00B15B8D"/>
    <w:rsid w:val="00B15BAD"/>
    <w:rsid w:val="00B15BD3"/>
    <w:rsid w:val="00B15CC2"/>
    <w:rsid w:val="00B15CD1"/>
    <w:rsid w:val="00B15CE2"/>
    <w:rsid w:val="00B15CF0"/>
    <w:rsid w:val="00B15D07"/>
    <w:rsid w:val="00B15D7C"/>
    <w:rsid w:val="00B15DD3"/>
    <w:rsid w:val="00B15EBF"/>
    <w:rsid w:val="00B15F6F"/>
    <w:rsid w:val="00B15F73"/>
    <w:rsid w:val="00B1608C"/>
    <w:rsid w:val="00B160B2"/>
    <w:rsid w:val="00B160EC"/>
    <w:rsid w:val="00B1611B"/>
    <w:rsid w:val="00B1615F"/>
    <w:rsid w:val="00B16173"/>
    <w:rsid w:val="00B161EB"/>
    <w:rsid w:val="00B16216"/>
    <w:rsid w:val="00B16233"/>
    <w:rsid w:val="00B1632B"/>
    <w:rsid w:val="00B1634B"/>
    <w:rsid w:val="00B16358"/>
    <w:rsid w:val="00B1636D"/>
    <w:rsid w:val="00B163A6"/>
    <w:rsid w:val="00B164CB"/>
    <w:rsid w:val="00B164F9"/>
    <w:rsid w:val="00B1655A"/>
    <w:rsid w:val="00B1655F"/>
    <w:rsid w:val="00B16561"/>
    <w:rsid w:val="00B165B2"/>
    <w:rsid w:val="00B165C8"/>
    <w:rsid w:val="00B165CC"/>
    <w:rsid w:val="00B165D6"/>
    <w:rsid w:val="00B165DC"/>
    <w:rsid w:val="00B165DE"/>
    <w:rsid w:val="00B16605"/>
    <w:rsid w:val="00B16681"/>
    <w:rsid w:val="00B1668D"/>
    <w:rsid w:val="00B16744"/>
    <w:rsid w:val="00B16772"/>
    <w:rsid w:val="00B167FC"/>
    <w:rsid w:val="00B16827"/>
    <w:rsid w:val="00B168AD"/>
    <w:rsid w:val="00B168EF"/>
    <w:rsid w:val="00B16921"/>
    <w:rsid w:val="00B169A2"/>
    <w:rsid w:val="00B169D2"/>
    <w:rsid w:val="00B169FF"/>
    <w:rsid w:val="00B16A5D"/>
    <w:rsid w:val="00B16A70"/>
    <w:rsid w:val="00B16AA3"/>
    <w:rsid w:val="00B16AEA"/>
    <w:rsid w:val="00B16B2C"/>
    <w:rsid w:val="00B16B87"/>
    <w:rsid w:val="00B16BBE"/>
    <w:rsid w:val="00B16BC0"/>
    <w:rsid w:val="00B16BD1"/>
    <w:rsid w:val="00B16BDD"/>
    <w:rsid w:val="00B16C55"/>
    <w:rsid w:val="00B16C63"/>
    <w:rsid w:val="00B16C8D"/>
    <w:rsid w:val="00B16CCC"/>
    <w:rsid w:val="00B16CD9"/>
    <w:rsid w:val="00B16E46"/>
    <w:rsid w:val="00B16ED3"/>
    <w:rsid w:val="00B16EF0"/>
    <w:rsid w:val="00B16EF5"/>
    <w:rsid w:val="00B16FA1"/>
    <w:rsid w:val="00B16FA9"/>
    <w:rsid w:val="00B16FB7"/>
    <w:rsid w:val="00B16FE2"/>
    <w:rsid w:val="00B1702F"/>
    <w:rsid w:val="00B17031"/>
    <w:rsid w:val="00B17055"/>
    <w:rsid w:val="00B170CB"/>
    <w:rsid w:val="00B170E7"/>
    <w:rsid w:val="00B17127"/>
    <w:rsid w:val="00B17133"/>
    <w:rsid w:val="00B171DC"/>
    <w:rsid w:val="00B1721A"/>
    <w:rsid w:val="00B1721C"/>
    <w:rsid w:val="00B17241"/>
    <w:rsid w:val="00B1724D"/>
    <w:rsid w:val="00B17284"/>
    <w:rsid w:val="00B172DD"/>
    <w:rsid w:val="00B172E7"/>
    <w:rsid w:val="00B17339"/>
    <w:rsid w:val="00B1735E"/>
    <w:rsid w:val="00B173D0"/>
    <w:rsid w:val="00B1747B"/>
    <w:rsid w:val="00B17505"/>
    <w:rsid w:val="00B1754C"/>
    <w:rsid w:val="00B17596"/>
    <w:rsid w:val="00B175A3"/>
    <w:rsid w:val="00B175B3"/>
    <w:rsid w:val="00B175FF"/>
    <w:rsid w:val="00B17657"/>
    <w:rsid w:val="00B17688"/>
    <w:rsid w:val="00B176CE"/>
    <w:rsid w:val="00B1772F"/>
    <w:rsid w:val="00B1773C"/>
    <w:rsid w:val="00B17759"/>
    <w:rsid w:val="00B177C8"/>
    <w:rsid w:val="00B177E3"/>
    <w:rsid w:val="00B177F9"/>
    <w:rsid w:val="00B17812"/>
    <w:rsid w:val="00B17852"/>
    <w:rsid w:val="00B178EA"/>
    <w:rsid w:val="00B178EE"/>
    <w:rsid w:val="00B17925"/>
    <w:rsid w:val="00B1793A"/>
    <w:rsid w:val="00B1796D"/>
    <w:rsid w:val="00B179C1"/>
    <w:rsid w:val="00B17A78"/>
    <w:rsid w:val="00B17ADC"/>
    <w:rsid w:val="00B17BFB"/>
    <w:rsid w:val="00B17C67"/>
    <w:rsid w:val="00B17C7C"/>
    <w:rsid w:val="00B17C8F"/>
    <w:rsid w:val="00B17D7A"/>
    <w:rsid w:val="00B17DB0"/>
    <w:rsid w:val="00B17DB5"/>
    <w:rsid w:val="00B17E06"/>
    <w:rsid w:val="00B17E4D"/>
    <w:rsid w:val="00B17E95"/>
    <w:rsid w:val="00B17EDA"/>
    <w:rsid w:val="00B17F82"/>
    <w:rsid w:val="00B17F92"/>
    <w:rsid w:val="00B17F9B"/>
    <w:rsid w:val="00B2002B"/>
    <w:rsid w:val="00B2005B"/>
    <w:rsid w:val="00B200CC"/>
    <w:rsid w:val="00B201AC"/>
    <w:rsid w:val="00B201D3"/>
    <w:rsid w:val="00B201D6"/>
    <w:rsid w:val="00B20201"/>
    <w:rsid w:val="00B2021D"/>
    <w:rsid w:val="00B202E1"/>
    <w:rsid w:val="00B20329"/>
    <w:rsid w:val="00B20376"/>
    <w:rsid w:val="00B20445"/>
    <w:rsid w:val="00B204D3"/>
    <w:rsid w:val="00B204D9"/>
    <w:rsid w:val="00B20548"/>
    <w:rsid w:val="00B20569"/>
    <w:rsid w:val="00B2057A"/>
    <w:rsid w:val="00B205A1"/>
    <w:rsid w:val="00B205BF"/>
    <w:rsid w:val="00B20619"/>
    <w:rsid w:val="00B20630"/>
    <w:rsid w:val="00B20697"/>
    <w:rsid w:val="00B2069A"/>
    <w:rsid w:val="00B206E2"/>
    <w:rsid w:val="00B20737"/>
    <w:rsid w:val="00B20739"/>
    <w:rsid w:val="00B2076D"/>
    <w:rsid w:val="00B207A5"/>
    <w:rsid w:val="00B207C8"/>
    <w:rsid w:val="00B20810"/>
    <w:rsid w:val="00B2089E"/>
    <w:rsid w:val="00B2089F"/>
    <w:rsid w:val="00B208F8"/>
    <w:rsid w:val="00B20975"/>
    <w:rsid w:val="00B2097E"/>
    <w:rsid w:val="00B209B2"/>
    <w:rsid w:val="00B20A16"/>
    <w:rsid w:val="00B20A2D"/>
    <w:rsid w:val="00B20A2E"/>
    <w:rsid w:val="00B20A70"/>
    <w:rsid w:val="00B20A8E"/>
    <w:rsid w:val="00B20A99"/>
    <w:rsid w:val="00B20AA6"/>
    <w:rsid w:val="00B20ACD"/>
    <w:rsid w:val="00B20AEB"/>
    <w:rsid w:val="00B20AFB"/>
    <w:rsid w:val="00B20B02"/>
    <w:rsid w:val="00B20B1A"/>
    <w:rsid w:val="00B20B7F"/>
    <w:rsid w:val="00B20B98"/>
    <w:rsid w:val="00B20C28"/>
    <w:rsid w:val="00B20C33"/>
    <w:rsid w:val="00B20C66"/>
    <w:rsid w:val="00B20C7A"/>
    <w:rsid w:val="00B20D0F"/>
    <w:rsid w:val="00B20D42"/>
    <w:rsid w:val="00B20D4E"/>
    <w:rsid w:val="00B20E06"/>
    <w:rsid w:val="00B20E10"/>
    <w:rsid w:val="00B20E6C"/>
    <w:rsid w:val="00B20E84"/>
    <w:rsid w:val="00B20E90"/>
    <w:rsid w:val="00B20EAB"/>
    <w:rsid w:val="00B20F3D"/>
    <w:rsid w:val="00B20F71"/>
    <w:rsid w:val="00B20F7C"/>
    <w:rsid w:val="00B20FBC"/>
    <w:rsid w:val="00B20FDF"/>
    <w:rsid w:val="00B20FE4"/>
    <w:rsid w:val="00B2100E"/>
    <w:rsid w:val="00B21102"/>
    <w:rsid w:val="00B21171"/>
    <w:rsid w:val="00B21172"/>
    <w:rsid w:val="00B21185"/>
    <w:rsid w:val="00B2119D"/>
    <w:rsid w:val="00B21295"/>
    <w:rsid w:val="00B212C8"/>
    <w:rsid w:val="00B2132C"/>
    <w:rsid w:val="00B21349"/>
    <w:rsid w:val="00B21365"/>
    <w:rsid w:val="00B21385"/>
    <w:rsid w:val="00B21390"/>
    <w:rsid w:val="00B213A5"/>
    <w:rsid w:val="00B21439"/>
    <w:rsid w:val="00B21443"/>
    <w:rsid w:val="00B2145E"/>
    <w:rsid w:val="00B21486"/>
    <w:rsid w:val="00B21518"/>
    <w:rsid w:val="00B215AA"/>
    <w:rsid w:val="00B21625"/>
    <w:rsid w:val="00B216CF"/>
    <w:rsid w:val="00B216EF"/>
    <w:rsid w:val="00B217D0"/>
    <w:rsid w:val="00B217EA"/>
    <w:rsid w:val="00B21839"/>
    <w:rsid w:val="00B2184F"/>
    <w:rsid w:val="00B21878"/>
    <w:rsid w:val="00B21889"/>
    <w:rsid w:val="00B21902"/>
    <w:rsid w:val="00B2194C"/>
    <w:rsid w:val="00B21962"/>
    <w:rsid w:val="00B21985"/>
    <w:rsid w:val="00B219DD"/>
    <w:rsid w:val="00B21A00"/>
    <w:rsid w:val="00B21A9F"/>
    <w:rsid w:val="00B21AFD"/>
    <w:rsid w:val="00B21B2F"/>
    <w:rsid w:val="00B21B9B"/>
    <w:rsid w:val="00B21BF5"/>
    <w:rsid w:val="00B21BF8"/>
    <w:rsid w:val="00B21C42"/>
    <w:rsid w:val="00B21C81"/>
    <w:rsid w:val="00B21CF7"/>
    <w:rsid w:val="00B21CF9"/>
    <w:rsid w:val="00B21CFB"/>
    <w:rsid w:val="00B21D69"/>
    <w:rsid w:val="00B21D8D"/>
    <w:rsid w:val="00B21D9F"/>
    <w:rsid w:val="00B21DC1"/>
    <w:rsid w:val="00B21DF5"/>
    <w:rsid w:val="00B21E42"/>
    <w:rsid w:val="00B21E50"/>
    <w:rsid w:val="00B21EB1"/>
    <w:rsid w:val="00B21F8A"/>
    <w:rsid w:val="00B21FC5"/>
    <w:rsid w:val="00B21FE0"/>
    <w:rsid w:val="00B2205A"/>
    <w:rsid w:val="00B22089"/>
    <w:rsid w:val="00B220BE"/>
    <w:rsid w:val="00B22180"/>
    <w:rsid w:val="00B221B9"/>
    <w:rsid w:val="00B221D8"/>
    <w:rsid w:val="00B2222B"/>
    <w:rsid w:val="00B22230"/>
    <w:rsid w:val="00B22294"/>
    <w:rsid w:val="00B22309"/>
    <w:rsid w:val="00B2232F"/>
    <w:rsid w:val="00B223D4"/>
    <w:rsid w:val="00B223DA"/>
    <w:rsid w:val="00B22425"/>
    <w:rsid w:val="00B224A9"/>
    <w:rsid w:val="00B224B8"/>
    <w:rsid w:val="00B224CF"/>
    <w:rsid w:val="00B224DA"/>
    <w:rsid w:val="00B2251B"/>
    <w:rsid w:val="00B2258D"/>
    <w:rsid w:val="00B22597"/>
    <w:rsid w:val="00B2259E"/>
    <w:rsid w:val="00B225A2"/>
    <w:rsid w:val="00B225AC"/>
    <w:rsid w:val="00B225B2"/>
    <w:rsid w:val="00B225C2"/>
    <w:rsid w:val="00B2260B"/>
    <w:rsid w:val="00B22662"/>
    <w:rsid w:val="00B226BC"/>
    <w:rsid w:val="00B226CB"/>
    <w:rsid w:val="00B22709"/>
    <w:rsid w:val="00B2272E"/>
    <w:rsid w:val="00B2277D"/>
    <w:rsid w:val="00B227B2"/>
    <w:rsid w:val="00B22909"/>
    <w:rsid w:val="00B22950"/>
    <w:rsid w:val="00B22980"/>
    <w:rsid w:val="00B229A3"/>
    <w:rsid w:val="00B229F1"/>
    <w:rsid w:val="00B22A0D"/>
    <w:rsid w:val="00B22A12"/>
    <w:rsid w:val="00B22A3A"/>
    <w:rsid w:val="00B22A82"/>
    <w:rsid w:val="00B22ACE"/>
    <w:rsid w:val="00B22B3A"/>
    <w:rsid w:val="00B22B45"/>
    <w:rsid w:val="00B22B78"/>
    <w:rsid w:val="00B22BEC"/>
    <w:rsid w:val="00B22C3F"/>
    <w:rsid w:val="00B22D83"/>
    <w:rsid w:val="00B22DC6"/>
    <w:rsid w:val="00B22DCF"/>
    <w:rsid w:val="00B22DE0"/>
    <w:rsid w:val="00B22E09"/>
    <w:rsid w:val="00B22E0A"/>
    <w:rsid w:val="00B22E9A"/>
    <w:rsid w:val="00B22ED3"/>
    <w:rsid w:val="00B22F0F"/>
    <w:rsid w:val="00B22F2D"/>
    <w:rsid w:val="00B22F89"/>
    <w:rsid w:val="00B22FA6"/>
    <w:rsid w:val="00B22FCC"/>
    <w:rsid w:val="00B22FDF"/>
    <w:rsid w:val="00B230C3"/>
    <w:rsid w:val="00B230CE"/>
    <w:rsid w:val="00B230EF"/>
    <w:rsid w:val="00B23193"/>
    <w:rsid w:val="00B231CA"/>
    <w:rsid w:val="00B231F2"/>
    <w:rsid w:val="00B2321F"/>
    <w:rsid w:val="00B232BB"/>
    <w:rsid w:val="00B23306"/>
    <w:rsid w:val="00B23368"/>
    <w:rsid w:val="00B23483"/>
    <w:rsid w:val="00B234C7"/>
    <w:rsid w:val="00B234DC"/>
    <w:rsid w:val="00B23560"/>
    <w:rsid w:val="00B23588"/>
    <w:rsid w:val="00B235F6"/>
    <w:rsid w:val="00B23613"/>
    <w:rsid w:val="00B2369A"/>
    <w:rsid w:val="00B2369F"/>
    <w:rsid w:val="00B236A1"/>
    <w:rsid w:val="00B236CF"/>
    <w:rsid w:val="00B23728"/>
    <w:rsid w:val="00B23735"/>
    <w:rsid w:val="00B237E1"/>
    <w:rsid w:val="00B237FB"/>
    <w:rsid w:val="00B2380D"/>
    <w:rsid w:val="00B23826"/>
    <w:rsid w:val="00B2383E"/>
    <w:rsid w:val="00B2388B"/>
    <w:rsid w:val="00B238C2"/>
    <w:rsid w:val="00B238ED"/>
    <w:rsid w:val="00B23998"/>
    <w:rsid w:val="00B239CD"/>
    <w:rsid w:val="00B23A13"/>
    <w:rsid w:val="00B23A6F"/>
    <w:rsid w:val="00B23A73"/>
    <w:rsid w:val="00B23B52"/>
    <w:rsid w:val="00B23BF6"/>
    <w:rsid w:val="00B23C4C"/>
    <w:rsid w:val="00B23C96"/>
    <w:rsid w:val="00B23CDB"/>
    <w:rsid w:val="00B23D00"/>
    <w:rsid w:val="00B23D24"/>
    <w:rsid w:val="00B23DCE"/>
    <w:rsid w:val="00B23DDB"/>
    <w:rsid w:val="00B23DE2"/>
    <w:rsid w:val="00B23E18"/>
    <w:rsid w:val="00B23ED3"/>
    <w:rsid w:val="00B23EFD"/>
    <w:rsid w:val="00B23EFF"/>
    <w:rsid w:val="00B23F43"/>
    <w:rsid w:val="00B23FD5"/>
    <w:rsid w:val="00B240D3"/>
    <w:rsid w:val="00B2410B"/>
    <w:rsid w:val="00B24135"/>
    <w:rsid w:val="00B24173"/>
    <w:rsid w:val="00B24198"/>
    <w:rsid w:val="00B241E1"/>
    <w:rsid w:val="00B2426C"/>
    <w:rsid w:val="00B2427F"/>
    <w:rsid w:val="00B24280"/>
    <w:rsid w:val="00B242B2"/>
    <w:rsid w:val="00B24324"/>
    <w:rsid w:val="00B2435B"/>
    <w:rsid w:val="00B24387"/>
    <w:rsid w:val="00B243AD"/>
    <w:rsid w:val="00B243C2"/>
    <w:rsid w:val="00B24424"/>
    <w:rsid w:val="00B2451D"/>
    <w:rsid w:val="00B24543"/>
    <w:rsid w:val="00B2457A"/>
    <w:rsid w:val="00B245BF"/>
    <w:rsid w:val="00B245CD"/>
    <w:rsid w:val="00B2462F"/>
    <w:rsid w:val="00B24633"/>
    <w:rsid w:val="00B2463B"/>
    <w:rsid w:val="00B24644"/>
    <w:rsid w:val="00B246A9"/>
    <w:rsid w:val="00B2474B"/>
    <w:rsid w:val="00B247DB"/>
    <w:rsid w:val="00B248C2"/>
    <w:rsid w:val="00B248D0"/>
    <w:rsid w:val="00B24A42"/>
    <w:rsid w:val="00B24AB1"/>
    <w:rsid w:val="00B24AC4"/>
    <w:rsid w:val="00B24ACC"/>
    <w:rsid w:val="00B24AD5"/>
    <w:rsid w:val="00B24B66"/>
    <w:rsid w:val="00B24B9A"/>
    <w:rsid w:val="00B24BE0"/>
    <w:rsid w:val="00B24C4F"/>
    <w:rsid w:val="00B24CA4"/>
    <w:rsid w:val="00B24CE8"/>
    <w:rsid w:val="00B24CFF"/>
    <w:rsid w:val="00B24D5D"/>
    <w:rsid w:val="00B24D77"/>
    <w:rsid w:val="00B24E05"/>
    <w:rsid w:val="00B24E1D"/>
    <w:rsid w:val="00B24E30"/>
    <w:rsid w:val="00B24E54"/>
    <w:rsid w:val="00B24EAB"/>
    <w:rsid w:val="00B24EB1"/>
    <w:rsid w:val="00B24EE7"/>
    <w:rsid w:val="00B24F6E"/>
    <w:rsid w:val="00B24F73"/>
    <w:rsid w:val="00B25009"/>
    <w:rsid w:val="00B2500E"/>
    <w:rsid w:val="00B25057"/>
    <w:rsid w:val="00B250BC"/>
    <w:rsid w:val="00B250CD"/>
    <w:rsid w:val="00B250DC"/>
    <w:rsid w:val="00B250F0"/>
    <w:rsid w:val="00B25110"/>
    <w:rsid w:val="00B25159"/>
    <w:rsid w:val="00B251C9"/>
    <w:rsid w:val="00B25221"/>
    <w:rsid w:val="00B252B8"/>
    <w:rsid w:val="00B252C7"/>
    <w:rsid w:val="00B252D1"/>
    <w:rsid w:val="00B252E6"/>
    <w:rsid w:val="00B25325"/>
    <w:rsid w:val="00B2532D"/>
    <w:rsid w:val="00B2538E"/>
    <w:rsid w:val="00B25430"/>
    <w:rsid w:val="00B254DC"/>
    <w:rsid w:val="00B25512"/>
    <w:rsid w:val="00B25516"/>
    <w:rsid w:val="00B25559"/>
    <w:rsid w:val="00B25584"/>
    <w:rsid w:val="00B255AD"/>
    <w:rsid w:val="00B2573C"/>
    <w:rsid w:val="00B25905"/>
    <w:rsid w:val="00B2590A"/>
    <w:rsid w:val="00B2590D"/>
    <w:rsid w:val="00B25987"/>
    <w:rsid w:val="00B259AA"/>
    <w:rsid w:val="00B25A36"/>
    <w:rsid w:val="00B25A56"/>
    <w:rsid w:val="00B25A8B"/>
    <w:rsid w:val="00B25ACA"/>
    <w:rsid w:val="00B25B3F"/>
    <w:rsid w:val="00B25B55"/>
    <w:rsid w:val="00B25B8A"/>
    <w:rsid w:val="00B25BE2"/>
    <w:rsid w:val="00B25C0C"/>
    <w:rsid w:val="00B25C31"/>
    <w:rsid w:val="00B25C71"/>
    <w:rsid w:val="00B25CED"/>
    <w:rsid w:val="00B25D2D"/>
    <w:rsid w:val="00B25DB2"/>
    <w:rsid w:val="00B25DED"/>
    <w:rsid w:val="00B25E35"/>
    <w:rsid w:val="00B25EB4"/>
    <w:rsid w:val="00B25EB8"/>
    <w:rsid w:val="00B25F49"/>
    <w:rsid w:val="00B25F4D"/>
    <w:rsid w:val="00B25F62"/>
    <w:rsid w:val="00B25F91"/>
    <w:rsid w:val="00B25FBE"/>
    <w:rsid w:val="00B26044"/>
    <w:rsid w:val="00B26185"/>
    <w:rsid w:val="00B261E4"/>
    <w:rsid w:val="00B261E5"/>
    <w:rsid w:val="00B2620F"/>
    <w:rsid w:val="00B26247"/>
    <w:rsid w:val="00B26261"/>
    <w:rsid w:val="00B26281"/>
    <w:rsid w:val="00B2628E"/>
    <w:rsid w:val="00B262BB"/>
    <w:rsid w:val="00B26316"/>
    <w:rsid w:val="00B263BF"/>
    <w:rsid w:val="00B263F8"/>
    <w:rsid w:val="00B263FB"/>
    <w:rsid w:val="00B26440"/>
    <w:rsid w:val="00B26454"/>
    <w:rsid w:val="00B2649E"/>
    <w:rsid w:val="00B264E0"/>
    <w:rsid w:val="00B26509"/>
    <w:rsid w:val="00B26512"/>
    <w:rsid w:val="00B2652B"/>
    <w:rsid w:val="00B26534"/>
    <w:rsid w:val="00B26574"/>
    <w:rsid w:val="00B26578"/>
    <w:rsid w:val="00B265DE"/>
    <w:rsid w:val="00B26637"/>
    <w:rsid w:val="00B266C5"/>
    <w:rsid w:val="00B2672A"/>
    <w:rsid w:val="00B26781"/>
    <w:rsid w:val="00B26799"/>
    <w:rsid w:val="00B267D6"/>
    <w:rsid w:val="00B267ED"/>
    <w:rsid w:val="00B267EF"/>
    <w:rsid w:val="00B26813"/>
    <w:rsid w:val="00B2688D"/>
    <w:rsid w:val="00B2694C"/>
    <w:rsid w:val="00B26A0E"/>
    <w:rsid w:val="00B26AA5"/>
    <w:rsid w:val="00B26AF5"/>
    <w:rsid w:val="00B26B3A"/>
    <w:rsid w:val="00B26B5F"/>
    <w:rsid w:val="00B26B6F"/>
    <w:rsid w:val="00B26B86"/>
    <w:rsid w:val="00B26B9D"/>
    <w:rsid w:val="00B26BBB"/>
    <w:rsid w:val="00B26C09"/>
    <w:rsid w:val="00B26C1C"/>
    <w:rsid w:val="00B26C2D"/>
    <w:rsid w:val="00B26CD8"/>
    <w:rsid w:val="00B26D2A"/>
    <w:rsid w:val="00B26DC2"/>
    <w:rsid w:val="00B26E02"/>
    <w:rsid w:val="00B26E4F"/>
    <w:rsid w:val="00B26E7C"/>
    <w:rsid w:val="00B26E9C"/>
    <w:rsid w:val="00B26F2B"/>
    <w:rsid w:val="00B26F71"/>
    <w:rsid w:val="00B26FAE"/>
    <w:rsid w:val="00B2709F"/>
    <w:rsid w:val="00B2715F"/>
    <w:rsid w:val="00B27184"/>
    <w:rsid w:val="00B271BE"/>
    <w:rsid w:val="00B2720B"/>
    <w:rsid w:val="00B2723E"/>
    <w:rsid w:val="00B27298"/>
    <w:rsid w:val="00B272A2"/>
    <w:rsid w:val="00B272D3"/>
    <w:rsid w:val="00B27302"/>
    <w:rsid w:val="00B27326"/>
    <w:rsid w:val="00B2734D"/>
    <w:rsid w:val="00B27367"/>
    <w:rsid w:val="00B2736A"/>
    <w:rsid w:val="00B273DD"/>
    <w:rsid w:val="00B2742A"/>
    <w:rsid w:val="00B27451"/>
    <w:rsid w:val="00B27485"/>
    <w:rsid w:val="00B27491"/>
    <w:rsid w:val="00B274EE"/>
    <w:rsid w:val="00B274EF"/>
    <w:rsid w:val="00B274F0"/>
    <w:rsid w:val="00B274F1"/>
    <w:rsid w:val="00B27528"/>
    <w:rsid w:val="00B27565"/>
    <w:rsid w:val="00B2762B"/>
    <w:rsid w:val="00B27682"/>
    <w:rsid w:val="00B276A3"/>
    <w:rsid w:val="00B276C9"/>
    <w:rsid w:val="00B27748"/>
    <w:rsid w:val="00B277F0"/>
    <w:rsid w:val="00B27856"/>
    <w:rsid w:val="00B2785A"/>
    <w:rsid w:val="00B278C8"/>
    <w:rsid w:val="00B278ED"/>
    <w:rsid w:val="00B2792A"/>
    <w:rsid w:val="00B27950"/>
    <w:rsid w:val="00B279C0"/>
    <w:rsid w:val="00B279EC"/>
    <w:rsid w:val="00B27A12"/>
    <w:rsid w:val="00B27A1A"/>
    <w:rsid w:val="00B27A1B"/>
    <w:rsid w:val="00B27B3A"/>
    <w:rsid w:val="00B27B6E"/>
    <w:rsid w:val="00B27B80"/>
    <w:rsid w:val="00B27B93"/>
    <w:rsid w:val="00B27BA9"/>
    <w:rsid w:val="00B27BCC"/>
    <w:rsid w:val="00B27BE5"/>
    <w:rsid w:val="00B27C50"/>
    <w:rsid w:val="00B27C8F"/>
    <w:rsid w:val="00B27D30"/>
    <w:rsid w:val="00B27D50"/>
    <w:rsid w:val="00B27DF5"/>
    <w:rsid w:val="00B27E13"/>
    <w:rsid w:val="00B27E22"/>
    <w:rsid w:val="00B27E2A"/>
    <w:rsid w:val="00B27E3D"/>
    <w:rsid w:val="00B27E48"/>
    <w:rsid w:val="00B27E59"/>
    <w:rsid w:val="00B27E6B"/>
    <w:rsid w:val="00B27E77"/>
    <w:rsid w:val="00B27E91"/>
    <w:rsid w:val="00B27EDE"/>
    <w:rsid w:val="00B27EEA"/>
    <w:rsid w:val="00B27EED"/>
    <w:rsid w:val="00B27F54"/>
    <w:rsid w:val="00B3000E"/>
    <w:rsid w:val="00B30058"/>
    <w:rsid w:val="00B3006C"/>
    <w:rsid w:val="00B300BF"/>
    <w:rsid w:val="00B30138"/>
    <w:rsid w:val="00B302A0"/>
    <w:rsid w:val="00B302E7"/>
    <w:rsid w:val="00B30355"/>
    <w:rsid w:val="00B303B2"/>
    <w:rsid w:val="00B303BF"/>
    <w:rsid w:val="00B30423"/>
    <w:rsid w:val="00B3042D"/>
    <w:rsid w:val="00B30470"/>
    <w:rsid w:val="00B304B6"/>
    <w:rsid w:val="00B305EA"/>
    <w:rsid w:val="00B30668"/>
    <w:rsid w:val="00B3066E"/>
    <w:rsid w:val="00B3068F"/>
    <w:rsid w:val="00B306A4"/>
    <w:rsid w:val="00B306E8"/>
    <w:rsid w:val="00B30715"/>
    <w:rsid w:val="00B30757"/>
    <w:rsid w:val="00B30779"/>
    <w:rsid w:val="00B30794"/>
    <w:rsid w:val="00B307C2"/>
    <w:rsid w:val="00B307E9"/>
    <w:rsid w:val="00B307FB"/>
    <w:rsid w:val="00B3080D"/>
    <w:rsid w:val="00B30823"/>
    <w:rsid w:val="00B30831"/>
    <w:rsid w:val="00B30875"/>
    <w:rsid w:val="00B308B4"/>
    <w:rsid w:val="00B308E3"/>
    <w:rsid w:val="00B30AA3"/>
    <w:rsid w:val="00B30B5E"/>
    <w:rsid w:val="00B30BA0"/>
    <w:rsid w:val="00B30BCC"/>
    <w:rsid w:val="00B30BFF"/>
    <w:rsid w:val="00B30C20"/>
    <w:rsid w:val="00B30C57"/>
    <w:rsid w:val="00B30C89"/>
    <w:rsid w:val="00B30CB5"/>
    <w:rsid w:val="00B30D15"/>
    <w:rsid w:val="00B30D34"/>
    <w:rsid w:val="00B30D8D"/>
    <w:rsid w:val="00B30DAC"/>
    <w:rsid w:val="00B30DB6"/>
    <w:rsid w:val="00B30E1E"/>
    <w:rsid w:val="00B30E34"/>
    <w:rsid w:val="00B30E8E"/>
    <w:rsid w:val="00B30E9A"/>
    <w:rsid w:val="00B30EC0"/>
    <w:rsid w:val="00B30F1D"/>
    <w:rsid w:val="00B30F5D"/>
    <w:rsid w:val="00B30F6C"/>
    <w:rsid w:val="00B30FB6"/>
    <w:rsid w:val="00B30FED"/>
    <w:rsid w:val="00B3100C"/>
    <w:rsid w:val="00B31040"/>
    <w:rsid w:val="00B31076"/>
    <w:rsid w:val="00B310B0"/>
    <w:rsid w:val="00B310D6"/>
    <w:rsid w:val="00B3115C"/>
    <w:rsid w:val="00B3116F"/>
    <w:rsid w:val="00B31171"/>
    <w:rsid w:val="00B31184"/>
    <w:rsid w:val="00B31197"/>
    <w:rsid w:val="00B311D8"/>
    <w:rsid w:val="00B311E7"/>
    <w:rsid w:val="00B3120B"/>
    <w:rsid w:val="00B3128C"/>
    <w:rsid w:val="00B3129B"/>
    <w:rsid w:val="00B312F9"/>
    <w:rsid w:val="00B31325"/>
    <w:rsid w:val="00B31327"/>
    <w:rsid w:val="00B3134D"/>
    <w:rsid w:val="00B3139A"/>
    <w:rsid w:val="00B313F9"/>
    <w:rsid w:val="00B31403"/>
    <w:rsid w:val="00B3140E"/>
    <w:rsid w:val="00B3145B"/>
    <w:rsid w:val="00B314CF"/>
    <w:rsid w:val="00B31581"/>
    <w:rsid w:val="00B315E0"/>
    <w:rsid w:val="00B3160C"/>
    <w:rsid w:val="00B3163F"/>
    <w:rsid w:val="00B3168D"/>
    <w:rsid w:val="00B3169B"/>
    <w:rsid w:val="00B316A0"/>
    <w:rsid w:val="00B3177B"/>
    <w:rsid w:val="00B3178A"/>
    <w:rsid w:val="00B317CA"/>
    <w:rsid w:val="00B3185C"/>
    <w:rsid w:val="00B31896"/>
    <w:rsid w:val="00B31962"/>
    <w:rsid w:val="00B31A04"/>
    <w:rsid w:val="00B31A64"/>
    <w:rsid w:val="00B31A9E"/>
    <w:rsid w:val="00B31B3C"/>
    <w:rsid w:val="00B31B6E"/>
    <w:rsid w:val="00B31B83"/>
    <w:rsid w:val="00B31BC4"/>
    <w:rsid w:val="00B31BF5"/>
    <w:rsid w:val="00B31C35"/>
    <w:rsid w:val="00B31C9F"/>
    <w:rsid w:val="00B31CD6"/>
    <w:rsid w:val="00B31D3D"/>
    <w:rsid w:val="00B31D7A"/>
    <w:rsid w:val="00B31D81"/>
    <w:rsid w:val="00B31DA3"/>
    <w:rsid w:val="00B31DA8"/>
    <w:rsid w:val="00B31DD4"/>
    <w:rsid w:val="00B31E82"/>
    <w:rsid w:val="00B31E92"/>
    <w:rsid w:val="00B31ECA"/>
    <w:rsid w:val="00B31EE7"/>
    <w:rsid w:val="00B31F06"/>
    <w:rsid w:val="00B31FCE"/>
    <w:rsid w:val="00B32023"/>
    <w:rsid w:val="00B3206D"/>
    <w:rsid w:val="00B3208F"/>
    <w:rsid w:val="00B3209F"/>
    <w:rsid w:val="00B320AC"/>
    <w:rsid w:val="00B3214D"/>
    <w:rsid w:val="00B32171"/>
    <w:rsid w:val="00B32194"/>
    <w:rsid w:val="00B32292"/>
    <w:rsid w:val="00B3229F"/>
    <w:rsid w:val="00B322B0"/>
    <w:rsid w:val="00B322DE"/>
    <w:rsid w:val="00B32310"/>
    <w:rsid w:val="00B32311"/>
    <w:rsid w:val="00B323EB"/>
    <w:rsid w:val="00B323EF"/>
    <w:rsid w:val="00B32434"/>
    <w:rsid w:val="00B32442"/>
    <w:rsid w:val="00B32572"/>
    <w:rsid w:val="00B325B7"/>
    <w:rsid w:val="00B325E1"/>
    <w:rsid w:val="00B325F4"/>
    <w:rsid w:val="00B32649"/>
    <w:rsid w:val="00B32690"/>
    <w:rsid w:val="00B326A5"/>
    <w:rsid w:val="00B3271D"/>
    <w:rsid w:val="00B327A3"/>
    <w:rsid w:val="00B327B1"/>
    <w:rsid w:val="00B327B7"/>
    <w:rsid w:val="00B32830"/>
    <w:rsid w:val="00B3287B"/>
    <w:rsid w:val="00B328A2"/>
    <w:rsid w:val="00B32A09"/>
    <w:rsid w:val="00B32A5F"/>
    <w:rsid w:val="00B32A6A"/>
    <w:rsid w:val="00B32BAC"/>
    <w:rsid w:val="00B32BB6"/>
    <w:rsid w:val="00B32BCF"/>
    <w:rsid w:val="00B32BF8"/>
    <w:rsid w:val="00B32C95"/>
    <w:rsid w:val="00B32CB8"/>
    <w:rsid w:val="00B32CE4"/>
    <w:rsid w:val="00B32D46"/>
    <w:rsid w:val="00B32D4D"/>
    <w:rsid w:val="00B32E22"/>
    <w:rsid w:val="00B32E5C"/>
    <w:rsid w:val="00B32ECA"/>
    <w:rsid w:val="00B32EE1"/>
    <w:rsid w:val="00B32F8D"/>
    <w:rsid w:val="00B32F99"/>
    <w:rsid w:val="00B33013"/>
    <w:rsid w:val="00B33061"/>
    <w:rsid w:val="00B3311D"/>
    <w:rsid w:val="00B3322B"/>
    <w:rsid w:val="00B3325B"/>
    <w:rsid w:val="00B33305"/>
    <w:rsid w:val="00B33319"/>
    <w:rsid w:val="00B33361"/>
    <w:rsid w:val="00B333A0"/>
    <w:rsid w:val="00B333C3"/>
    <w:rsid w:val="00B333D8"/>
    <w:rsid w:val="00B3345F"/>
    <w:rsid w:val="00B33462"/>
    <w:rsid w:val="00B33486"/>
    <w:rsid w:val="00B3353D"/>
    <w:rsid w:val="00B335A8"/>
    <w:rsid w:val="00B335E9"/>
    <w:rsid w:val="00B335FD"/>
    <w:rsid w:val="00B33631"/>
    <w:rsid w:val="00B33778"/>
    <w:rsid w:val="00B3378B"/>
    <w:rsid w:val="00B33806"/>
    <w:rsid w:val="00B3386A"/>
    <w:rsid w:val="00B33951"/>
    <w:rsid w:val="00B3395E"/>
    <w:rsid w:val="00B339B1"/>
    <w:rsid w:val="00B33A0A"/>
    <w:rsid w:val="00B33A1C"/>
    <w:rsid w:val="00B33A2E"/>
    <w:rsid w:val="00B33A34"/>
    <w:rsid w:val="00B33A9F"/>
    <w:rsid w:val="00B33ADE"/>
    <w:rsid w:val="00B33B75"/>
    <w:rsid w:val="00B33B85"/>
    <w:rsid w:val="00B33BB4"/>
    <w:rsid w:val="00B33BCD"/>
    <w:rsid w:val="00B33C59"/>
    <w:rsid w:val="00B33C8C"/>
    <w:rsid w:val="00B33D22"/>
    <w:rsid w:val="00B33D53"/>
    <w:rsid w:val="00B33D75"/>
    <w:rsid w:val="00B33DB1"/>
    <w:rsid w:val="00B33DDB"/>
    <w:rsid w:val="00B33E34"/>
    <w:rsid w:val="00B33E55"/>
    <w:rsid w:val="00B33EA3"/>
    <w:rsid w:val="00B33EB0"/>
    <w:rsid w:val="00B33EC2"/>
    <w:rsid w:val="00B33EC4"/>
    <w:rsid w:val="00B33ECA"/>
    <w:rsid w:val="00B33EF2"/>
    <w:rsid w:val="00B33F5F"/>
    <w:rsid w:val="00B33F93"/>
    <w:rsid w:val="00B33FA5"/>
    <w:rsid w:val="00B33FB5"/>
    <w:rsid w:val="00B3400B"/>
    <w:rsid w:val="00B3404E"/>
    <w:rsid w:val="00B34060"/>
    <w:rsid w:val="00B3406E"/>
    <w:rsid w:val="00B34175"/>
    <w:rsid w:val="00B341B8"/>
    <w:rsid w:val="00B341BD"/>
    <w:rsid w:val="00B341FD"/>
    <w:rsid w:val="00B34244"/>
    <w:rsid w:val="00B3426E"/>
    <w:rsid w:val="00B34271"/>
    <w:rsid w:val="00B3428E"/>
    <w:rsid w:val="00B34304"/>
    <w:rsid w:val="00B34327"/>
    <w:rsid w:val="00B3436A"/>
    <w:rsid w:val="00B343EE"/>
    <w:rsid w:val="00B34407"/>
    <w:rsid w:val="00B344F5"/>
    <w:rsid w:val="00B34588"/>
    <w:rsid w:val="00B345AF"/>
    <w:rsid w:val="00B345D6"/>
    <w:rsid w:val="00B34690"/>
    <w:rsid w:val="00B346DC"/>
    <w:rsid w:val="00B346E2"/>
    <w:rsid w:val="00B347F7"/>
    <w:rsid w:val="00B3495B"/>
    <w:rsid w:val="00B349F7"/>
    <w:rsid w:val="00B34A09"/>
    <w:rsid w:val="00B34A14"/>
    <w:rsid w:val="00B34A39"/>
    <w:rsid w:val="00B34A8C"/>
    <w:rsid w:val="00B34B5D"/>
    <w:rsid w:val="00B34B64"/>
    <w:rsid w:val="00B34D42"/>
    <w:rsid w:val="00B34D43"/>
    <w:rsid w:val="00B34DAD"/>
    <w:rsid w:val="00B34DB3"/>
    <w:rsid w:val="00B34DBB"/>
    <w:rsid w:val="00B34DDA"/>
    <w:rsid w:val="00B34DDB"/>
    <w:rsid w:val="00B34E4E"/>
    <w:rsid w:val="00B34E89"/>
    <w:rsid w:val="00B34EA6"/>
    <w:rsid w:val="00B34EB4"/>
    <w:rsid w:val="00B34EBB"/>
    <w:rsid w:val="00B34F98"/>
    <w:rsid w:val="00B35076"/>
    <w:rsid w:val="00B3507C"/>
    <w:rsid w:val="00B35092"/>
    <w:rsid w:val="00B3509F"/>
    <w:rsid w:val="00B35180"/>
    <w:rsid w:val="00B3518B"/>
    <w:rsid w:val="00B351A8"/>
    <w:rsid w:val="00B35230"/>
    <w:rsid w:val="00B35232"/>
    <w:rsid w:val="00B35274"/>
    <w:rsid w:val="00B3529D"/>
    <w:rsid w:val="00B352C2"/>
    <w:rsid w:val="00B352C4"/>
    <w:rsid w:val="00B352C5"/>
    <w:rsid w:val="00B352D7"/>
    <w:rsid w:val="00B352FA"/>
    <w:rsid w:val="00B35321"/>
    <w:rsid w:val="00B35328"/>
    <w:rsid w:val="00B3535D"/>
    <w:rsid w:val="00B3537F"/>
    <w:rsid w:val="00B353A5"/>
    <w:rsid w:val="00B35411"/>
    <w:rsid w:val="00B35430"/>
    <w:rsid w:val="00B3546C"/>
    <w:rsid w:val="00B3548D"/>
    <w:rsid w:val="00B354C5"/>
    <w:rsid w:val="00B35514"/>
    <w:rsid w:val="00B35527"/>
    <w:rsid w:val="00B355EC"/>
    <w:rsid w:val="00B35616"/>
    <w:rsid w:val="00B35626"/>
    <w:rsid w:val="00B35671"/>
    <w:rsid w:val="00B3569E"/>
    <w:rsid w:val="00B356B7"/>
    <w:rsid w:val="00B35744"/>
    <w:rsid w:val="00B35758"/>
    <w:rsid w:val="00B35838"/>
    <w:rsid w:val="00B358C6"/>
    <w:rsid w:val="00B35913"/>
    <w:rsid w:val="00B3591B"/>
    <w:rsid w:val="00B35928"/>
    <w:rsid w:val="00B35933"/>
    <w:rsid w:val="00B3597F"/>
    <w:rsid w:val="00B35987"/>
    <w:rsid w:val="00B3599D"/>
    <w:rsid w:val="00B359DC"/>
    <w:rsid w:val="00B35A64"/>
    <w:rsid w:val="00B35A76"/>
    <w:rsid w:val="00B35AA9"/>
    <w:rsid w:val="00B35AC7"/>
    <w:rsid w:val="00B35AE0"/>
    <w:rsid w:val="00B35AE8"/>
    <w:rsid w:val="00B35AE9"/>
    <w:rsid w:val="00B35B0A"/>
    <w:rsid w:val="00B35B0B"/>
    <w:rsid w:val="00B35B12"/>
    <w:rsid w:val="00B35BDC"/>
    <w:rsid w:val="00B35C1D"/>
    <w:rsid w:val="00B35C45"/>
    <w:rsid w:val="00B35C4D"/>
    <w:rsid w:val="00B35CA7"/>
    <w:rsid w:val="00B35CBC"/>
    <w:rsid w:val="00B35CF6"/>
    <w:rsid w:val="00B35D2C"/>
    <w:rsid w:val="00B35D40"/>
    <w:rsid w:val="00B35D43"/>
    <w:rsid w:val="00B35D4E"/>
    <w:rsid w:val="00B35D5F"/>
    <w:rsid w:val="00B35D98"/>
    <w:rsid w:val="00B35DDE"/>
    <w:rsid w:val="00B35DF4"/>
    <w:rsid w:val="00B35E4C"/>
    <w:rsid w:val="00B35EAA"/>
    <w:rsid w:val="00B35EC8"/>
    <w:rsid w:val="00B35F25"/>
    <w:rsid w:val="00B35F42"/>
    <w:rsid w:val="00B35FAE"/>
    <w:rsid w:val="00B35FBC"/>
    <w:rsid w:val="00B35FC2"/>
    <w:rsid w:val="00B35FE8"/>
    <w:rsid w:val="00B360D3"/>
    <w:rsid w:val="00B360D8"/>
    <w:rsid w:val="00B3611B"/>
    <w:rsid w:val="00B36129"/>
    <w:rsid w:val="00B36132"/>
    <w:rsid w:val="00B36224"/>
    <w:rsid w:val="00B362C0"/>
    <w:rsid w:val="00B362C8"/>
    <w:rsid w:val="00B362CF"/>
    <w:rsid w:val="00B362D2"/>
    <w:rsid w:val="00B362D6"/>
    <w:rsid w:val="00B362DB"/>
    <w:rsid w:val="00B36328"/>
    <w:rsid w:val="00B36373"/>
    <w:rsid w:val="00B36389"/>
    <w:rsid w:val="00B36391"/>
    <w:rsid w:val="00B363D6"/>
    <w:rsid w:val="00B3641B"/>
    <w:rsid w:val="00B3641F"/>
    <w:rsid w:val="00B36426"/>
    <w:rsid w:val="00B36435"/>
    <w:rsid w:val="00B364A3"/>
    <w:rsid w:val="00B364D8"/>
    <w:rsid w:val="00B36520"/>
    <w:rsid w:val="00B36524"/>
    <w:rsid w:val="00B3652D"/>
    <w:rsid w:val="00B365AE"/>
    <w:rsid w:val="00B3662E"/>
    <w:rsid w:val="00B36693"/>
    <w:rsid w:val="00B36749"/>
    <w:rsid w:val="00B36776"/>
    <w:rsid w:val="00B367CB"/>
    <w:rsid w:val="00B3683C"/>
    <w:rsid w:val="00B36855"/>
    <w:rsid w:val="00B36882"/>
    <w:rsid w:val="00B36961"/>
    <w:rsid w:val="00B3698E"/>
    <w:rsid w:val="00B369A8"/>
    <w:rsid w:val="00B369DB"/>
    <w:rsid w:val="00B36A79"/>
    <w:rsid w:val="00B36AE2"/>
    <w:rsid w:val="00B36B04"/>
    <w:rsid w:val="00B36B42"/>
    <w:rsid w:val="00B36B58"/>
    <w:rsid w:val="00B36B87"/>
    <w:rsid w:val="00B36BFA"/>
    <w:rsid w:val="00B36C46"/>
    <w:rsid w:val="00B36C5E"/>
    <w:rsid w:val="00B36C70"/>
    <w:rsid w:val="00B36CCE"/>
    <w:rsid w:val="00B36D20"/>
    <w:rsid w:val="00B36D73"/>
    <w:rsid w:val="00B36DAD"/>
    <w:rsid w:val="00B36DF6"/>
    <w:rsid w:val="00B36E3F"/>
    <w:rsid w:val="00B36E66"/>
    <w:rsid w:val="00B36F80"/>
    <w:rsid w:val="00B36F96"/>
    <w:rsid w:val="00B36FD3"/>
    <w:rsid w:val="00B36FF0"/>
    <w:rsid w:val="00B36FF9"/>
    <w:rsid w:val="00B3707B"/>
    <w:rsid w:val="00B3707E"/>
    <w:rsid w:val="00B370BD"/>
    <w:rsid w:val="00B37110"/>
    <w:rsid w:val="00B37116"/>
    <w:rsid w:val="00B3712C"/>
    <w:rsid w:val="00B3713D"/>
    <w:rsid w:val="00B37173"/>
    <w:rsid w:val="00B371DB"/>
    <w:rsid w:val="00B371DE"/>
    <w:rsid w:val="00B37234"/>
    <w:rsid w:val="00B3725C"/>
    <w:rsid w:val="00B372AF"/>
    <w:rsid w:val="00B372CB"/>
    <w:rsid w:val="00B372FB"/>
    <w:rsid w:val="00B37316"/>
    <w:rsid w:val="00B3737B"/>
    <w:rsid w:val="00B373EC"/>
    <w:rsid w:val="00B374A0"/>
    <w:rsid w:val="00B374CE"/>
    <w:rsid w:val="00B37556"/>
    <w:rsid w:val="00B375A7"/>
    <w:rsid w:val="00B375C0"/>
    <w:rsid w:val="00B375EB"/>
    <w:rsid w:val="00B37627"/>
    <w:rsid w:val="00B37675"/>
    <w:rsid w:val="00B376DF"/>
    <w:rsid w:val="00B37722"/>
    <w:rsid w:val="00B377B7"/>
    <w:rsid w:val="00B377D0"/>
    <w:rsid w:val="00B37800"/>
    <w:rsid w:val="00B37826"/>
    <w:rsid w:val="00B378DC"/>
    <w:rsid w:val="00B378F7"/>
    <w:rsid w:val="00B37934"/>
    <w:rsid w:val="00B3793D"/>
    <w:rsid w:val="00B3799E"/>
    <w:rsid w:val="00B379E8"/>
    <w:rsid w:val="00B37A4C"/>
    <w:rsid w:val="00B37A72"/>
    <w:rsid w:val="00B37A79"/>
    <w:rsid w:val="00B37AB5"/>
    <w:rsid w:val="00B37AF7"/>
    <w:rsid w:val="00B37B67"/>
    <w:rsid w:val="00B37B75"/>
    <w:rsid w:val="00B37C0D"/>
    <w:rsid w:val="00B37C81"/>
    <w:rsid w:val="00B37C90"/>
    <w:rsid w:val="00B37CE7"/>
    <w:rsid w:val="00B37D2A"/>
    <w:rsid w:val="00B37D6E"/>
    <w:rsid w:val="00B37D7F"/>
    <w:rsid w:val="00B37DA9"/>
    <w:rsid w:val="00B37DB5"/>
    <w:rsid w:val="00B37DD0"/>
    <w:rsid w:val="00B37EDA"/>
    <w:rsid w:val="00B37F00"/>
    <w:rsid w:val="00B37F7F"/>
    <w:rsid w:val="00B37FA5"/>
    <w:rsid w:val="00B37FE2"/>
    <w:rsid w:val="00B37FF3"/>
    <w:rsid w:val="00B4000C"/>
    <w:rsid w:val="00B4000E"/>
    <w:rsid w:val="00B40086"/>
    <w:rsid w:val="00B4016F"/>
    <w:rsid w:val="00B40199"/>
    <w:rsid w:val="00B401D5"/>
    <w:rsid w:val="00B4023B"/>
    <w:rsid w:val="00B40242"/>
    <w:rsid w:val="00B40305"/>
    <w:rsid w:val="00B40336"/>
    <w:rsid w:val="00B40463"/>
    <w:rsid w:val="00B40471"/>
    <w:rsid w:val="00B4048A"/>
    <w:rsid w:val="00B404A1"/>
    <w:rsid w:val="00B404CC"/>
    <w:rsid w:val="00B4062C"/>
    <w:rsid w:val="00B40649"/>
    <w:rsid w:val="00B406F1"/>
    <w:rsid w:val="00B408B9"/>
    <w:rsid w:val="00B40907"/>
    <w:rsid w:val="00B40913"/>
    <w:rsid w:val="00B409BB"/>
    <w:rsid w:val="00B40A42"/>
    <w:rsid w:val="00B40A48"/>
    <w:rsid w:val="00B40A6D"/>
    <w:rsid w:val="00B40A7B"/>
    <w:rsid w:val="00B40A8E"/>
    <w:rsid w:val="00B40AB0"/>
    <w:rsid w:val="00B40ADB"/>
    <w:rsid w:val="00B40B0F"/>
    <w:rsid w:val="00B40B12"/>
    <w:rsid w:val="00B40B54"/>
    <w:rsid w:val="00B40B62"/>
    <w:rsid w:val="00B40BC3"/>
    <w:rsid w:val="00B40BEB"/>
    <w:rsid w:val="00B40C1B"/>
    <w:rsid w:val="00B40C3A"/>
    <w:rsid w:val="00B40C58"/>
    <w:rsid w:val="00B40CA6"/>
    <w:rsid w:val="00B40CDB"/>
    <w:rsid w:val="00B40CDD"/>
    <w:rsid w:val="00B40D00"/>
    <w:rsid w:val="00B40D55"/>
    <w:rsid w:val="00B40D5B"/>
    <w:rsid w:val="00B40D74"/>
    <w:rsid w:val="00B40D76"/>
    <w:rsid w:val="00B40DE1"/>
    <w:rsid w:val="00B40DF2"/>
    <w:rsid w:val="00B40DFC"/>
    <w:rsid w:val="00B40E10"/>
    <w:rsid w:val="00B40E2B"/>
    <w:rsid w:val="00B40E4C"/>
    <w:rsid w:val="00B40ECA"/>
    <w:rsid w:val="00B40ECC"/>
    <w:rsid w:val="00B40ED5"/>
    <w:rsid w:val="00B40F17"/>
    <w:rsid w:val="00B40F4B"/>
    <w:rsid w:val="00B40F79"/>
    <w:rsid w:val="00B410AC"/>
    <w:rsid w:val="00B410F3"/>
    <w:rsid w:val="00B4114C"/>
    <w:rsid w:val="00B41156"/>
    <w:rsid w:val="00B411DE"/>
    <w:rsid w:val="00B41232"/>
    <w:rsid w:val="00B41267"/>
    <w:rsid w:val="00B41280"/>
    <w:rsid w:val="00B412FA"/>
    <w:rsid w:val="00B41313"/>
    <w:rsid w:val="00B4137A"/>
    <w:rsid w:val="00B41390"/>
    <w:rsid w:val="00B413D6"/>
    <w:rsid w:val="00B41470"/>
    <w:rsid w:val="00B414A1"/>
    <w:rsid w:val="00B414CC"/>
    <w:rsid w:val="00B414E7"/>
    <w:rsid w:val="00B41508"/>
    <w:rsid w:val="00B41567"/>
    <w:rsid w:val="00B41571"/>
    <w:rsid w:val="00B41599"/>
    <w:rsid w:val="00B415A8"/>
    <w:rsid w:val="00B4160D"/>
    <w:rsid w:val="00B4164C"/>
    <w:rsid w:val="00B41765"/>
    <w:rsid w:val="00B41768"/>
    <w:rsid w:val="00B417F2"/>
    <w:rsid w:val="00B41841"/>
    <w:rsid w:val="00B41868"/>
    <w:rsid w:val="00B41889"/>
    <w:rsid w:val="00B41899"/>
    <w:rsid w:val="00B418C1"/>
    <w:rsid w:val="00B418CB"/>
    <w:rsid w:val="00B41957"/>
    <w:rsid w:val="00B419B2"/>
    <w:rsid w:val="00B41A23"/>
    <w:rsid w:val="00B41A45"/>
    <w:rsid w:val="00B41B63"/>
    <w:rsid w:val="00B41B68"/>
    <w:rsid w:val="00B41BF2"/>
    <w:rsid w:val="00B41C17"/>
    <w:rsid w:val="00B41C24"/>
    <w:rsid w:val="00B41C2B"/>
    <w:rsid w:val="00B41CEC"/>
    <w:rsid w:val="00B41DF8"/>
    <w:rsid w:val="00B41EAD"/>
    <w:rsid w:val="00B41EDD"/>
    <w:rsid w:val="00B41FB8"/>
    <w:rsid w:val="00B42005"/>
    <w:rsid w:val="00B4201F"/>
    <w:rsid w:val="00B4206D"/>
    <w:rsid w:val="00B420DB"/>
    <w:rsid w:val="00B420EE"/>
    <w:rsid w:val="00B4211D"/>
    <w:rsid w:val="00B421EE"/>
    <w:rsid w:val="00B42204"/>
    <w:rsid w:val="00B4229A"/>
    <w:rsid w:val="00B422FF"/>
    <w:rsid w:val="00B4231C"/>
    <w:rsid w:val="00B4235E"/>
    <w:rsid w:val="00B423F8"/>
    <w:rsid w:val="00B42478"/>
    <w:rsid w:val="00B42488"/>
    <w:rsid w:val="00B424A1"/>
    <w:rsid w:val="00B424F4"/>
    <w:rsid w:val="00B4251E"/>
    <w:rsid w:val="00B42523"/>
    <w:rsid w:val="00B42613"/>
    <w:rsid w:val="00B42678"/>
    <w:rsid w:val="00B426A0"/>
    <w:rsid w:val="00B427A2"/>
    <w:rsid w:val="00B4295A"/>
    <w:rsid w:val="00B4297F"/>
    <w:rsid w:val="00B429B0"/>
    <w:rsid w:val="00B429DA"/>
    <w:rsid w:val="00B429FE"/>
    <w:rsid w:val="00B42AF8"/>
    <w:rsid w:val="00B42B82"/>
    <w:rsid w:val="00B42C75"/>
    <w:rsid w:val="00B42CAA"/>
    <w:rsid w:val="00B42D38"/>
    <w:rsid w:val="00B42D5D"/>
    <w:rsid w:val="00B42D6C"/>
    <w:rsid w:val="00B42D6D"/>
    <w:rsid w:val="00B42EE1"/>
    <w:rsid w:val="00B42F57"/>
    <w:rsid w:val="00B43046"/>
    <w:rsid w:val="00B43050"/>
    <w:rsid w:val="00B43074"/>
    <w:rsid w:val="00B43080"/>
    <w:rsid w:val="00B43118"/>
    <w:rsid w:val="00B43178"/>
    <w:rsid w:val="00B431CA"/>
    <w:rsid w:val="00B431DA"/>
    <w:rsid w:val="00B431E2"/>
    <w:rsid w:val="00B432EB"/>
    <w:rsid w:val="00B432F2"/>
    <w:rsid w:val="00B43303"/>
    <w:rsid w:val="00B43368"/>
    <w:rsid w:val="00B4339B"/>
    <w:rsid w:val="00B433E4"/>
    <w:rsid w:val="00B4342A"/>
    <w:rsid w:val="00B4345D"/>
    <w:rsid w:val="00B43462"/>
    <w:rsid w:val="00B434A5"/>
    <w:rsid w:val="00B434A8"/>
    <w:rsid w:val="00B434D4"/>
    <w:rsid w:val="00B434D6"/>
    <w:rsid w:val="00B43508"/>
    <w:rsid w:val="00B4350F"/>
    <w:rsid w:val="00B435A9"/>
    <w:rsid w:val="00B435B3"/>
    <w:rsid w:val="00B435BD"/>
    <w:rsid w:val="00B435BF"/>
    <w:rsid w:val="00B435D0"/>
    <w:rsid w:val="00B4365B"/>
    <w:rsid w:val="00B436A0"/>
    <w:rsid w:val="00B436C2"/>
    <w:rsid w:val="00B43781"/>
    <w:rsid w:val="00B43795"/>
    <w:rsid w:val="00B437B4"/>
    <w:rsid w:val="00B437D9"/>
    <w:rsid w:val="00B4380B"/>
    <w:rsid w:val="00B4382E"/>
    <w:rsid w:val="00B4387A"/>
    <w:rsid w:val="00B438E6"/>
    <w:rsid w:val="00B438EE"/>
    <w:rsid w:val="00B4393B"/>
    <w:rsid w:val="00B4395F"/>
    <w:rsid w:val="00B439F6"/>
    <w:rsid w:val="00B43A43"/>
    <w:rsid w:val="00B43AEB"/>
    <w:rsid w:val="00B43B31"/>
    <w:rsid w:val="00B43B60"/>
    <w:rsid w:val="00B43B88"/>
    <w:rsid w:val="00B43B89"/>
    <w:rsid w:val="00B43B9D"/>
    <w:rsid w:val="00B43BDC"/>
    <w:rsid w:val="00B43CD5"/>
    <w:rsid w:val="00B43CE6"/>
    <w:rsid w:val="00B43D51"/>
    <w:rsid w:val="00B43DED"/>
    <w:rsid w:val="00B43E46"/>
    <w:rsid w:val="00B43E69"/>
    <w:rsid w:val="00B43E79"/>
    <w:rsid w:val="00B43EA8"/>
    <w:rsid w:val="00B43F7A"/>
    <w:rsid w:val="00B4402D"/>
    <w:rsid w:val="00B4404C"/>
    <w:rsid w:val="00B44059"/>
    <w:rsid w:val="00B4406B"/>
    <w:rsid w:val="00B44094"/>
    <w:rsid w:val="00B440BA"/>
    <w:rsid w:val="00B440D1"/>
    <w:rsid w:val="00B440E7"/>
    <w:rsid w:val="00B44188"/>
    <w:rsid w:val="00B44191"/>
    <w:rsid w:val="00B441A2"/>
    <w:rsid w:val="00B441F6"/>
    <w:rsid w:val="00B442D2"/>
    <w:rsid w:val="00B4435F"/>
    <w:rsid w:val="00B44380"/>
    <w:rsid w:val="00B444A9"/>
    <w:rsid w:val="00B444FC"/>
    <w:rsid w:val="00B44517"/>
    <w:rsid w:val="00B44546"/>
    <w:rsid w:val="00B4454F"/>
    <w:rsid w:val="00B44579"/>
    <w:rsid w:val="00B445AA"/>
    <w:rsid w:val="00B445E0"/>
    <w:rsid w:val="00B4466A"/>
    <w:rsid w:val="00B446D2"/>
    <w:rsid w:val="00B44715"/>
    <w:rsid w:val="00B447E8"/>
    <w:rsid w:val="00B44832"/>
    <w:rsid w:val="00B44845"/>
    <w:rsid w:val="00B449B2"/>
    <w:rsid w:val="00B44B2B"/>
    <w:rsid w:val="00B44BDD"/>
    <w:rsid w:val="00B44C17"/>
    <w:rsid w:val="00B44C72"/>
    <w:rsid w:val="00B44CC1"/>
    <w:rsid w:val="00B44CE2"/>
    <w:rsid w:val="00B44CE8"/>
    <w:rsid w:val="00B44D2F"/>
    <w:rsid w:val="00B44D52"/>
    <w:rsid w:val="00B44D80"/>
    <w:rsid w:val="00B44DEB"/>
    <w:rsid w:val="00B44E24"/>
    <w:rsid w:val="00B44E62"/>
    <w:rsid w:val="00B44E84"/>
    <w:rsid w:val="00B44EB9"/>
    <w:rsid w:val="00B44F77"/>
    <w:rsid w:val="00B44F84"/>
    <w:rsid w:val="00B450E8"/>
    <w:rsid w:val="00B450FC"/>
    <w:rsid w:val="00B4516B"/>
    <w:rsid w:val="00B451AD"/>
    <w:rsid w:val="00B451B3"/>
    <w:rsid w:val="00B451DF"/>
    <w:rsid w:val="00B4532B"/>
    <w:rsid w:val="00B453FD"/>
    <w:rsid w:val="00B45441"/>
    <w:rsid w:val="00B45465"/>
    <w:rsid w:val="00B4546A"/>
    <w:rsid w:val="00B454A9"/>
    <w:rsid w:val="00B45531"/>
    <w:rsid w:val="00B455F3"/>
    <w:rsid w:val="00B45666"/>
    <w:rsid w:val="00B45733"/>
    <w:rsid w:val="00B4575F"/>
    <w:rsid w:val="00B457CE"/>
    <w:rsid w:val="00B458A7"/>
    <w:rsid w:val="00B458F6"/>
    <w:rsid w:val="00B4591A"/>
    <w:rsid w:val="00B45A42"/>
    <w:rsid w:val="00B45A4C"/>
    <w:rsid w:val="00B45AA5"/>
    <w:rsid w:val="00B45ABE"/>
    <w:rsid w:val="00B45B22"/>
    <w:rsid w:val="00B45B65"/>
    <w:rsid w:val="00B45B76"/>
    <w:rsid w:val="00B45BC3"/>
    <w:rsid w:val="00B45BDA"/>
    <w:rsid w:val="00B45C05"/>
    <w:rsid w:val="00B45CB8"/>
    <w:rsid w:val="00B45CBB"/>
    <w:rsid w:val="00B45D12"/>
    <w:rsid w:val="00B45D20"/>
    <w:rsid w:val="00B45D2E"/>
    <w:rsid w:val="00B45D4F"/>
    <w:rsid w:val="00B45D92"/>
    <w:rsid w:val="00B45D97"/>
    <w:rsid w:val="00B45DAE"/>
    <w:rsid w:val="00B45DD0"/>
    <w:rsid w:val="00B45E14"/>
    <w:rsid w:val="00B45E1F"/>
    <w:rsid w:val="00B45E6F"/>
    <w:rsid w:val="00B45ED1"/>
    <w:rsid w:val="00B45F14"/>
    <w:rsid w:val="00B45F20"/>
    <w:rsid w:val="00B4604E"/>
    <w:rsid w:val="00B46059"/>
    <w:rsid w:val="00B460AE"/>
    <w:rsid w:val="00B460CA"/>
    <w:rsid w:val="00B46101"/>
    <w:rsid w:val="00B46116"/>
    <w:rsid w:val="00B46159"/>
    <w:rsid w:val="00B46176"/>
    <w:rsid w:val="00B46178"/>
    <w:rsid w:val="00B4619E"/>
    <w:rsid w:val="00B461D1"/>
    <w:rsid w:val="00B46225"/>
    <w:rsid w:val="00B46311"/>
    <w:rsid w:val="00B4639B"/>
    <w:rsid w:val="00B46405"/>
    <w:rsid w:val="00B46435"/>
    <w:rsid w:val="00B4645F"/>
    <w:rsid w:val="00B46487"/>
    <w:rsid w:val="00B4649E"/>
    <w:rsid w:val="00B4652E"/>
    <w:rsid w:val="00B46557"/>
    <w:rsid w:val="00B4659B"/>
    <w:rsid w:val="00B465C7"/>
    <w:rsid w:val="00B46612"/>
    <w:rsid w:val="00B4664E"/>
    <w:rsid w:val="00B46788"/>
    <w:rsid w:val="00B4678C"/>
    <w:rsid w:val="00B46851"/>
    <w:rsid w:val="00B4685C"/>
    <w:rsid w:val="00B4686A"/>
    <w:rsid w:val="00B468C9"/>
    <w:rsid w:val="00B468FA"/>
    <w:rsid w:val="00B46908"/>
    <w:rsid w:val="00B46918"/>
    <w:rsid w:val="00B469C6"/>
    <w:rsid w:val="00B46A5B"/>
    <w:rsid w:val="00B46A77"/>
    <w:rsid w:val="00B46A78"/>
    <w:rsid w:val="00B46A95"/>
    <w:rsid w:val="00B46AED"/>
    <w:rsid w:val="00B46B19"/>
    <w:rsid w:val="00B46B2C"/>
    <w:rsid w:val="00B46B5A"/>
    <w:rsid w:val="00B46BD7"/>
    <w:rsid w:val="00B46C04"/>
    <w:rsid w:val="00B46D93"/>
    <w:rsid w:val="00B46E19"/>
    <w:rsid w:val="00B46ECC"/>
    <w:rsid w:val="00B46EFE"/>
    <w:rsid w:val="00B46F02"/>
    <w:rsid w:val="00B46F25"/>
    <w:rsid w:val="00B46F56"/>
    <w:rsid w:val="00B46FAF"/>
    <w:rsid w:val="00B46FEC"/>
    <w:rsid w:val="00B46FFD"/>
    <w:rsid w:val="00B47000"/>
    <w:rsid w:val="00B47019"/>
    <w:rsid w:val="00B4707B"/>
    <w:rsid w:val="00B470DA"/>
    <w:rsid w:val="00B470E0"/>
    <w:rsid w:val="00B4712B"/>
    <w:rsid w:val="00B471A1"/>
    <w:rsid w:val="00B471BE"/>
    <w:rsid w:val="00B471BF"/>
    <w:rsid w:val="00B471E2"/>
    <w:rsid w:val="00B4723B"/>
    <w:rsid w:val="00B4730F"/>
    <w:rsid w:val="00B4733A"/>
    <w:rsid w:val="00B4735C"/>
    <w:rsid w:val="00B47376"/>
    <w:rsid w:val="00B473E3"/>
    <w:rsid w:val="00B47422"/>
    <w:rsid w:val="00B474DA"/>
    <w:rsid w:val="00B4752D"/>
    <w:rsid w:val="00B4754B"/>
    <w:rsid w:val="00B4756F"/>
    <w:rsid w:val="00B475A5"/>
    <w:rsid w:val="00B475E0"/>
    <w:rsid w:val="00B475E3"/>
    <w:rsid w:val="00B47640"/>
    <w:rsid w:val="00B47649"/>
    <w:rsid w:val="00B47657"/>
    <w:rsid w:val="00B476AA"/>
    <w:rsid w:val="00B476AD"/>
    <w:rsid w:val="00B47770"/>
    <w:rsid w:val="00B477D4"/>
    <w:rsid w:val="00B477FE"/>
    <w:rsid w:val="00B4782C"/>
    <w:rsid w:val="00B4788E"/>
    <w:rsid w:val="00B478C4"/>
    <w:rsid w:val="00B478F3"/>
    <w:rsid w:val="00B47983"/>
    <w:rsid w:val="00B479E2"/>
    <w:rsid w:val="00B47A5A"/>
    <w:rsid w:val="00B47B0E"/>
    <w:rsid w:val="00B47B52"/>
    <w:rsid w:val="00B47BAF"/>
    <w:rsid w:val="00B47BB8"/>
    <w:rsid w:val="00B47CDC"/>
    <w:rsid w:val="00B47CE5"/>
    <w:rsid w:val="00B47D45"/>
    <w:rsid w:val="00B47D55"/>
    <w:rsid w:val="00B47D5A"/>
    <w:rsid w:val="00B47D6B"/>
    <w:rsid w:val="00B47DD8"/>
    <w:rsid w:val="00B47DDF"/>
    <w:rsid w:val="00B47EA6"/>
    <w:rsid w:val="00B47EC7"/>
    <w:rsid w:val="00B47ED0"/>
    <w:rsid w:val="00B47EDB"/>
    <w:rsid w:val="00B47F2F"/>
    <w:rsid w:val="00B47F92"/>
    <w:rsid w:val="00B47FC9"/>
    <w:rsid w:val="00B50045"/>
    <w:rsid w:val="00B50080"/>
    <w:rsid w:val="00B500FD"/>
    <w:rsid w:val="00B5010D"/>
    <w:rsid w:val="00B50145"/>
    <w:rsid w:val="00B501EC"/>
    <w:rsid w:val="00B50244"/>
    <w:rsid w:val="00B5025F"/>
    <w:rsid w:val="00B5027B"/>
    <w:rsid w:val="00B502C4"/>
    <w:rsid w:val="00B502F3"/>
    <w:rsid w:val="00B50335"/>
    <w:rsid w:val="00B50350"/>
    <w:rsid w:val="00B50373"/>
    <w:rsid w:val="00B503B1"/>
    <w:rsid w:val="00B503D8"/>
    <w:rsid w:val="00B503E3"/>
    <w:rsid w:val="00B5041C"/>
    <w:rsid w:val="00B504FD"/>
    <w:rsid w:val="00B50552"/>
    <w:rsid w:val="00B50580"/>
    <w:rsid w:val="00B50597"/>
    <w:rsid w:val="00B505C6"/>
    <w:rsid w:val="00B5065A"/>
    <w:rsid w:val="00B50681"/>
    <w:rsid w:val="00B506B8"/>
    <w:rsid w:val="00B50708"/>
    <w:rsid w:val="00B50733"/>
    <w:rsid w:val="00B5076D"/>
    <w:rsid w:val="00B50786"/>
    <w:rsid w:val="00B5082E"/>
    <w:rsid w:val="00B5089C"/>
    <w:rsid w:val="00B508E1"/>
    <w:rsid w:val="00B5099D"/>
    <w:rsid w:val="00B509BA"/>
    <w:rsid w:val="00B50A18"/>
    <w:rsid w:val="00B50A5A"/>
    <w:rsid w:val="00B50AA9"/>
    <w:rsid w:val="00B50AAE"/>
    <w:rsid w:val="00B50B16"/>
    <w:rsid w:val="00B50B67"/>
    <w:rsid w:val="00B50B84"/>
    <w:rsid w:val="00B50BE0"/>
    <w:rsid w:val="00B50BFA"/>
    <w:rsid w:val="00B50C36"/>
    <w:rsid w:val="00B50C48"/>
    <w:rsid w:val="00B50CB4"/>
    <w:rsid w:val="00B50D24"/>
    <w:rsid w:val="00B50D68"/>
    <w:rsid w:val="00B50D91"/>
    <w:rsid w:val="00B50DD0"/>
    <w:rsid w:val="00B50DE1"/>
    <w:rsid w:val="00B50E03"/>
    <w:rsid w:val="00B50E1C"/>
    <w:rsid w:val="00B50E83"/>
    <w:rsid w:val="00B50EA2"/>
    <w:rsid w:val="00B50EC6"/>
    <w:rsid w:val="00B50EF0"/>
    <w:rsid w:val="00B50EFB"/>
    <w:rsid w:val="00B50FB4"/>
    <w:rsid w:val="00B50FD3"/>
    <w:rsid w:val="00B5110F"/>
    <w:rsid w:val="00B51128"/>
    <w:rsid w:val="00B51169"/>
    <w:rsid w:val="00B51188"/>
    <w:rsid w:val="00B511C2"/>
    <w:rsid w:val="00B51230"/>
    <w:rsid w:val="00B51248"/>
    <w:rsid w:val="00B512EA"/>
    <w:rsid w:val="00B51349"/>
    <w:rsid w:val="00B51350"/>
    <w:rsid w:val="00B513BB"/>
    <w:rsid w:val="00B513BD"/>
    <w:rsid w:val="00B513C4"/>
    <w:rsid w:val="00B51408"/>
    <w:rsid w:val="00B51411"/>
    <w:rsid w:val="00B51490"/>
    <w:rsid w:val="00B514B1"/>
    <w:rsid w:val="00B514B5"/>
    <w:rsid w:val="00B514D3"/>
    <w:rsid w:val="00B51536"/>
    <w:rsid w:val="00B51541"/>
    <w:rsid w:val="00B5164C"/>
    <w:rsid w:val="00B51681"/>
    <w:rsid w:val="00B516BD"/>
    <w:rsid w:val="00B51728"/>
    <w:rsid w:val="00B51746"/>
    <w:rsid w:val="00B5179A"/>
    <w:rsid w:val="00B517D1"/>
    <w:rsid w:val="00B517EF"/>
    <w:rsid w:val="00B51822"/>
    <w:rsid w:val="00B51838"/>
    <w:rsid w:val="00B51874"/>
    <w:rsid w:val="00B51938"/>
    <w:rsid w:val="00B51953"/>
    <w:rsid w:val="00B51958"/>
    <w:rsid w:val="00B51974"/>
    <w:rsid w:val="00B51A19"/>
    <w:rsid w:val="00B51A53"/>
    <w:rsid w:val="00B51A67"/>
    <w:rsid w:val="00B51B2C"/>
    <w:rsid w:val="00B51B58"/>
    <w:rsid w:val="00B51B6C"/>
    <w:rsid w:val="00B51BA4"/>
    <w:rsid w:val="00B51BFC"/>
    <w:rsid w:val="00B51C19"/>
    <w:rsid w:val="00B51D46"/>
    <w:rsid w:val="00B51D61"/>
    <w:rsid w:val="00B51D84"/>
    <w:rsid w:val="00B51DD5"/>
    <w:rsid w:val="00B51DF0"/>
    <w:rsid w:val="00B51DF4"/>
    <w:rsid w:val="00B51DFC"/>
    <w:rsid w:val="00B51E5F"/>
    <w:rsid w:val="00B51EB1"/>
    <w:rsid w:val="00B51ED9"/>
    <w:rsid w:val="00B51F02"/>
    <w:rsid w:val="00B51F26"/>
    <w:rsid w:val="00B51F98"/>
    <w:rsid w:val="00B51FA0"/>
    <w:rsid w:val="00B51FCF"/>
    <w:rsid w:val="00B52051"/>
    <w:rsid w:val="00B520CD"/>
    <w:rsid w:val="00B5214B"/>
    <w:rsid w:val="00B521B9"/>
    <w:rsid w:val="00B52259"/>
    <w:rsid w:val="00B5229B"/>
    <w:rsid w:val="00B522AF"/>
    <w:rsid w:val="00B52322"/>
    <w:rsid w:val="00B52357"/>
    <w:rsid w:val="00B523C4"/>
    <w:rsid w:val="00B52461"/>
    <w:rsid w:val="00B5246A"/>
    <w:rsid w:val="00B52477"/>
    <w:rsid w:val="00B52489"/>
    <w:rsid w:val="00B5252C"/>
    <w:rsid w:val="00B525BE"/>
    <w:rsid w:val="00B52633"/>
    <w:rsid w:val="00B526B6"/>
    <w:rsid w:val="00B526ED"/>
    <w:rsid w:val="00B52709"/>
    <w:rsid w:val="00B52739"/>
    <w:rsid w:val="00B52791"/>
    <w:rsid w:val="00B527B4"/>
    <w:rsid w:val="00B527C0"/>
    <w:rsid w:val="00B527C7"/>
    <w:rsid w:val="00B527E0"/>
    <w:rsid w:val="00B5282A"/>
    <w:rsid w:val="00B528C7"/>
    <w:rsid w:val="00B52979"/>
    <w:rsid w:val="00B529B2"/>
    <w:rsid w:val="00B529CB"/>
    <w:rsid w:val="00B52AB1"/>
    <w:rsid w:val="00B52B72"/>
    <w:rsid w:val="00B52B7F"/>
    <w:rsid w:val="00B52B8E"/>
    <w:rsid w:val="00B52BAB"/>
    <w:rsid w:val="00B52BE9"/>
    <w:rsid w:val="00B52C22"/>
    <w:rsid w:val="00B52CEE"/>
    <w:rsid w:val="00B52D06"/>
    <w:rsid w:val="00B52D0F"/>
    <w:rsid w:val="00B52D13"/>
    <w:rsid w:val="00B52DC6"/>
    <w:rsid w:val="00B52DE4"/>
    <w:rsid w:val="00B52DF9"/>
    <w:rsid w:val="00B52E08"/>
    <w:rsid w:val="00B52E1E"/>
    <w:rsid w:val="00B52E44"/>
    <w:rsid w:val="00B52F10"/>
    <w:rsid w:val="00B52F17"/>
    <w:rsid w:val="00B52F58"/>
    <w:rsid w:val="00B52F6A"/>
    <w:rsid w:val="00B5300D"/>
    <w:rsid w:val="00B53064"/>
    <w:rsid w:val="00B53071"/>
    <w:rsid w:val="00B53169"/>
    <w:rsid w:val="00B5316D"/>
    <w:rsid w:val="00B5317B"/>
    <w:rsid w:val="00B53203"/>
    <w:rsid w:val="00B53204"/>
    <w:rsid w:val="00B5322C"/>
    <w:rsid w:val="00B53237"/>
    <w:rsid w:val="00B53268"/>
    <w:rsid w:val="00B53393"/>
    <w:rsid w:val="00B533A3"/>
    <w:rsid w:val="00B5340F"/>
    <w:rsid w:val="00B5341E"/>
    <w:rsid w:val="00B5346E"/>
    <w:rsid w:val="00B534EC"/>
    <w:rsid w:val="00B535C2"/>
    <w:rsid w:val="00B536DA"/>
    <w:rsid w:val="00B536E1"/>
    <w:rsid w:val="00B536EA"/>
    <w:rsid w:val="00B53724"/>
    <w:rsid w:val="00B5373B"/>
    <w:rsid w:val="00B5373C"/>
    <w:rsid w:val="00B537EE"/>
    <w:rsid w:val="00B5383B"/>
    <w:rsid w:val="00B5386B"/>
    <w:rsid w:val="00B5388A"/>
    <w:rsid w:val="00B538B2"/>
    <w:rsid w:val="00B538DB"/>
    <w:rsid w:val="00B53923"/>
    <w:rsid w:val="00B5399A"/>
    <w:rsid w:val="00B539F6"/>
    <w:rsid w:val="00B539FB"/>
    <w:rsid w:val="00B53A3E"/>
    <w:rsid w:val="00B53A82"/>
    <w:rsid w:val="00B53ABC"/>
    <w:rsid w:val="00B53B07"/>
    <w:rsid w:val="00B53BDB"/>
    <w:rsid w:val="00B53BF4"/>
    <w:rsid w:val="00B53C40"/>
    <w:rsid w:val="00B53C84"/>
    <w:rsid w:val="00B53C86"/>
    <w:rsid w:val="00B53C98"/>
    <w:rsid w:val="00B53CD6"/>
    <w:rsid w:val="00B53CD7"/>
    <w:rsid w:val="00B53D1D"/>
    <w:rsid w:val="00B53D3E"/>
    <w:rsid w:val="00B53D9C"/>
    <w:rsid w:val="00B53DCC"/>
    <w:rsid w:val="00B53E0E"/>
    <w:rsid w:val="00B53E1E"/>
    <w:rsid w:val="00B53FD3"/>
    <w:rsid w:val="00B53FD9"/>
    <w:rsid w:val="00B54063"/>
    <w:rsid w:val="00B5406E"/>
    <w:rsid w:val="00B540B1"/>
    <w:rsid w:val="00B5410B"/>
    <w:rsid w:val="00B5415F"/>
    <w:rsid w:val="00B54186"/>
    <w:rsid w:val="00B541E9"/>
    <w:rsid w:val="00B54204"/>
    <w:rsid w:val="00B5423F"/>
    <w:rsid w:val="00B54255"/>
    <w:rsid w:val="00B54266"/>
    <w:rsid w:val="00B5427F"/>
    <w:rsid w:val="00B5429C"/>
    <w:rsid w:val="00B542A1"/>
    <w:rsid w:val="00B5430D"/>
    <w:rsid w:val="00B543E4"/>
    <w:rsid w:val="00B54418"/>
    <w:rsid w:val="00B54462"/>
    <w:rsid w:val="00B54470"/>
    <w:rsid w:val="00B544D4"/>
    <w:rsid w:val="00B5451E"/>
    <w:rsid w:val="00B5458D"/>
    <w:rsid w:val="00B5469E"/>
    <w:rsid w:val="00B5470C"/>
    <w:rsid w:val="00B5475B"/>
    <w:rsid w:val="00B547AB"/>
    <w:rsid w:val="00B5487F"/>
    <w:rsid w:val="00B54882"/>
    <w:rsid w:val="00B54937"/>
    <w:rsid w:val="00B5496E"/>
    <w:rsid w:val="00B5496F"/>
    <w:rsid w:val="00B5498B"/>
    <w:rsid w:val="00B549DD"/>
    <w:rsid w:val="00B549E6"/>
    <w:rsid w:val="00B54A14"/>
    <w:rsid w:val="00B54A8F"/>
    <w:rsid w:val="00B54A90"/>
    <w:rsid w:val="00B54ABD"/>
    <w:rsid w:val="00B54AD9"/>
    <w:rsid w:val="00B54B55"/>
    <w:rsid w:val="00B54B76"/>
    <w:rsid w:val="00B54B86"/>
    <w:rsid w:val="00B54B9E"/>
    <w:rsid w:val="00B54BB9"/>
    <w:rsid w:val="00B54BFA"/>
    <w:rsid w:val="00B54C32"/>
    <w:rsid w:val="00B54C5A"/>
    <w:rsid w:val="00B54C8F"/>
    <w:rsid w:val="00B54CED"/>
    <w:rsid w:val="00B54D12"/>
    <w:rsid w:val="00B54D4E"/>
    <w:rsid w:val="00B54D78"/>
    <w:rsid w:val="00B54D84"/>
    <w:rsid w:val="00B54E14"/>
    <w:rsid w:val="00B54E2B"/>
    <w:rsid w:val="00B54EEC"/>
    <w:rsid w:val="00B54F38"/>
    <w:rsid w:val="00B5500C"/>
    <w:rsid w:val="00B55012"/>
    <w:rsid w:val="00B5503E"/>
    <w:rsid w:val="00B551F8"/>
    <w:rsid w:val="00B55232"/>
    <w:rsid w:val="00B5527F"/>
    <w:rsid w:val="00B552EF"/>
    <w:rsid w:val="00B55396"/>
    <w:rsid w:val="00B553DB"/>
    <w:rsid w:val="00B553FE"/>
    <w:rsid w:val="00B55430"/>
    <w:rsid w:val="00B55462"/>
    <w:rsid w:val="00B554E5"/>
    <w:rsid w:val="00B5551B"/>
    <w:rsid w:val="00B55524"/>
    <w:rsid w:val="00B55579"/>
    <w:rsid w:val="00B555B3"/>
    <w:rsid w:val="00B55650"/>
    <w:rsid w:val="00B55681"/>
    <w:rsid w:val="00B55687"/>
    <w:rsid w:val="00B55762"/>
    <w:rsid w:val="00B55775"/>
    <w:rsid w:val="00B557C6"/>
    <w:rsid w:val="00B557D1"/>
    <w:rsid w:val="00B557F7"/>
    <w:rsid w:val="00B557FB"/>
    <w:rsid w:val="00B55830"/>
    <w:rsid w:val="00B55852"/>
    <w:rsid w:val="00B55868"/>
    <w:rsid w:val="00B558BA"/>
    <w:rsid w:val="00B558D0"/>
    <w:rsid w:val="00B558E1"/>
    <w:rsid w:val="00B55913"/>
    <w:rsid w:val="00B55A6B"/>
    <w:rsid w:val="00B55A79"/>
    <w:rsid w:val="00B55A84"/>
    <w:rsid w:val="00B55A97"/>
    <w:rsid w:val="00B55AD3"/>
    <w:rsid w:val="00B55B86"/>
    <w:rsid w:val="00B55BB5"/>
    <w:rsid w:val="00B55BE6"/>
    <w:rsid w:val="00B55BE8"/>
    <w:rsid w:val="00B55C57"/>
    <w:rsid w:val="00B55C5F"/>
    <w:rsid w:val="00B55C78"/>
    <w:rsid w:val="00B55CB1"/>
    <w:rsid w:val="00B55CC7"/>
    <w:rsid w:val="00B55D7A"/>
    <w:rsid w:val="00B55D7C"/>
    <w:rsid w:val="00B55DA7"/>
    <w:rsid w:val="00B55DAF"/>
    <w:rsid w:val="00B55DB8"/>
    <w:rsid w:val="00B55DC5"/>
    <w:rsid w:val="00B55E04"/>
    <w:rsid w:val="00B55E13"/>
    <w:rsid w:val="00B55F0A"/>
    <w:rsid w:val="00B55F0C"/>
    <w:rsid w:val="00B55F5A"/>
    <w:rsid w:val="00B55F6F"/>
    <w:rsid w:val="00B55FBD"/>
    <w:rsid w:val="00B55FF0"/>
    <w:rsid w:val="00B5604E"/>
    <w:rsid w:val="00B560A8"/>
    <w:rsid w:val="00B560C3"/>
    <w:rsid w:val="00B560F1"/>
    <w:rsid w:val="00B56112"/>
    <w:rsid w:val="00B5614A"/>
    <w:rsid w:val="00B56167"/>
    <w:rsid w:val="00B561F6"/>
    <w:rsid w:val="00B56237"/>
    <w:rsid w:val="00B5626A"/>
    <w:rsid w:val="00B56275"/>
    <w:rsid w:val="00B562C8"/>
    <w:rsid w:val="00B562E4"/>
    <w:rsid w:val="00B5635E"/>
    <w:rsid w:val="00B563CF"/>
    <w:rsid w:val="00B5643A"/>
    <w:rsid w:val="00B56445"/>
    <w:rsid w:val="00B564BC"/>
    <w:rsid w:val="00B5656A"/>
    <w:rsid w:val="00B5657B"/>
    <w:rsid w:val="00B56640"/>
    <w:rsid w:val="00B56657"/>
    <w:rsid w:val="00B5666C"/>
    <w:rsid w:val="00B566C9"/>
    <w:rsid w:val="00B566DC"/>
    <w:rsid w:val="00B566FA"/>
    <w:rsid w:val="00B566FF"/>
    <w:rsid w:val="00B56746"/>
    <w:rsid w:val="00B5679E"/>
    <w:rsid w:val="00B567D7"/>
    <w:rsid w:val="00B5681D"/>
    <w:rsid w:val="00B56860"/>
    <w:rsid w:val="00B5693E"/>
    <w:rsid w:val="00B56A53"/>
    <w:rsid w:val="00B56A80"/>
    <w:rsid w:val="00B56BB5"/>
    <w:rsid w:val="00B56C7E"/>
    <w:rsid w:val="00B56C8B"/>
    <w:rsid w:val="00B56CDA"/>
    <w:rsid w:val="00B56CEF"/>
    <w:rsid w:val="00B56D21"/>
    <w:rsid w:val="00B56D97"/>
    <w:rsid w:val="00B56EAA"/>
    <w:rsid w:val="00B56EE0"/>
    <w:rsid w:val="00B56F67"/>
    <w:rsid w:val="00B56F71"/>
    <w:rsid w:val="00B56F8E"/>
    <w:rsid w:val="00B56FD6"/>
    <w:rsid w:val="00B56FFB"/>
    <w:rsid w:val="00B570B8"/>
    <w:rsid w:val="00B570D7"/>
    <w:rsid w:val="00B57126"/>
    <w:rsid w:val="00B5716C"/>
    <w:rsid w:val="00B57182"/>
    <w:rsid w:val="00B57185"/>
    <w:rsid w:val="00B5718E"/>
    <w:rsid w:val="00B571F1"/>
    <w:rsid w:val="00B57226"/>
    <w:rsid w:val="00B5726D"/>
    <w:rsid w:val="00B572B0"/>
    <w:rsid w:val="00B572DA"/>
    <w:rsid w:val="00B57301"/>
    <w:rsid w:val="00B57348"/>
    <w:rsid w:val="00B573BC"/>
    <w:rsid w:val="00B573C5"/>
    <w:rsid w:val="00B573CF"/>
    <w:rsid w:val="00B573FB"/>
    <w:rsid w:val="00B57404"/>
    <w:rsid w:val="00B57459"/>
    <w:rsid w:val="00B5746E"/>
    <w:rsid w:val="00B574C2"/>
    <w:rsid w:val="00B5750D"/>
    <w:rsid w:val="00B57518"/>
    <w:rsid w:val="00B57522"/>
    <w:rsid w:val="00B57539"/>
    <w:rsid w:val="00B5759F"/>
    <w:rsid w:val="00B575D7"/>
    <w:rsid w:val="00B575E5"/>
    <w:rsid w:val="00B5763C"/>
    <w:rsid w:val="00B5766A"/>
    <w:rsid w:val="00B576C8"/>
    <w:rsid w:val="00B57743"/>
    <w:rsid w:val="00B5774E"/>
    <w:rsid w:val="00B577CA"/>
    <w:rsid w:val="00B57809"/>
    <w:rsid w:val="00B57825"/>
    <w:rsid w:val="00B5783E"/>
    <w:rsid w:val="00B57870"/>
    <w:rsid w:val="00B57876"/>
    <w:rsid w:val="00B5787B"/>
    <w:rsid w:val="00B578B7"/>
    <w:rsid w:val="00B578CD"/>
    <w:rsid w:val="00B578F0"/>
    <w:rsid w:val="00B57902"/>
    <w:rsid w:val="00B579BE"/>
    <w:rsid w:val="00B579C6"/>
    <w:rsid w:val="00B579CC"/>
    <w:rsid w:val="00B57AC7"/>
    <w:rsid w:val="00B57AD2"/>
    <w:rsid w:val="00B57B69"/>
    <w:rsid w:val="00B57BF5"/>
    <w:rsid w:val="00B57C5B"/>
    <w:rsid w:val="00B57CE5"/>
    <w:rsid w:val="00B57CFA"/>
    <w:rsid w:val="00B57D41"/>
    <w:rsid w:val="00B57D42"/>
    <w:rsid w:val="00B57D7C"/>
    <w:rsid w:val="00B57DE0"/>
    <w:rsid w:val="00B57E1C"/>
    <w:rsid w:val="00B57E54"/>
    <w:rsid w:val="00B57E78"/>
    <w:rsid w:val="00B57F4C"/>
    <w:rsid w:val="00B57F6C"/>
    <w:rsid w:val="00B57F9B"/>
    <w:rsid w:val="00B6002D"/>
    <w:rsid w:val="00B60041"/>
    <w:rsid w:val="00B60047"/>
    <w:rsid w:val="00B6007D"/>
    <w:rsid w:val="00B60089"/>
    <w:rsid w:val="00B6008E"/>
    <w:rsid w:val="00B600E1"/>
    <w:rsid w:val="00B60145"/>
    <w:rsid w:val="00B601C9"/>
    <w:rsid w:val="00B60232"/>
    <w:rsid w:val="00B60278"/>
    <w:rsid w:val="00B602B2"/>
    <w:rsid w:val="00B602EB"/>
    <w:rsid w:val="00B60364"/>
    <w:rsid w:val="00B603B6"/>
    <w:rsid w:val="00B603CF"/>
    <w:rsid w:val="00B6044B"/>
    <w:rsid w:val="00B604CF"/>
    <w:rsid w:val="00B6057C"/>
    <w:rsid w:val="00B605A9"/>
    <w:rsid w:val="00B605B6"/>
    <w:rsid w:val="00B605BC"/>
    <w:rsid w:val="00B605D2"/>
    <w:rsid w:val="00B6064A"/>
    <w:rsid w:val="00B6067B"/>
    <w:rsid w:val="00B60696"/>
    <w:rsid w:val="00B6069B"/>
    <w:rsid w:val="00B6069F"/>
    <w:rsid w:val="00B606EB"/>
    <w:rsid w:val="00B606FB"/>
    <w:rsid w:val="00B60718"/>
    <w:rsid w:val="00B6077C"/>
    <w:rsid w:val="00B6086C"/>
    <w:rsid w:val="00B608BF"/>
    <w:rsid w:val="00B608CD"/>
    <w:rsid w:val="00B608D9"/>
    <w:rsid w:val="00B6093D"/>
    <w:rsid w:val="00B60944"/>
    <w:rsid w:val="00B609BA"/>
    <w:rsid w:val="00B60A37"/>
    <w:rsid w:val="00B60A54"/>
    <w:rsid w:val="00B60A56"/>
    <w:rsid w:val="00B60B96"/>
    <w:rsid w:val="00B60BBF"/>
    <w:rsid w:val="00B60C29"/>
    <w:rsid w:val="00B60C39"/>
    <w:rsid w:val="00B60C56"/>
    <w:rsid w:val="00B60C7C"/>
    <w:rsid w:val="00B60CA4"/>
    <w:rsid w:val="00B60CDA"/>
    <w:rsid w:val="00B60CE9"/>
    <w:rsid w:val="00B60D16"/>
    <w:rsid w:val="00B60D34"/>
    <w:rsid w:val="00B60D9D"/>
    <w:rsid w:val="00B60E18"/>
    <w:rsid w:val="00B60E8C"/>
    <w:rsid w:val="00B60F11"/>
    <w:rsid w:val="00B60FAF"/>
    <w:rsid w:val="00B60FB3"/>
    <w:rsid w:val="00B60FE9"/>
    <w:rsid w:val="00B60FF8"/>
    <w:rsid w:val="00B6100B"/>
    <w:rsid w:val="00B61049"/>
    <w:rsid w:val="00B61053"/>
    <w:rsid w:val="00B61059"/>
    <w:rsid w:val="00B610A9"/>
    <w:rsid w:val="00B610D9"/>
    <w:rsid w:val="00B61156"/>
    <w:rsid w:val="00B611C7"/>
    <w:rsid w:val="00B6122D"/>
    <w:rsid w:val="00B6122F"/>
    <w:rsid w:val="00B61288"/>
    <w:rsid w:val="00B613C7"/>
    <w:rsid w:val="00B613D3"/>
    <w:rsid w:val="00B613E4"/>
    <w:rsid w:val="00B61459"/>
    <w:rsid w:val="00B6152D"/>
    <w:rsid w:val="00B61564"/>
    <w:rsid w:val="00B615CF"/>
    <w:rsid w:val="00B615D5"/>
    <w:rsid w:val="00B615EB"/>
    <w:rsid w:val="00B6164F"/>
    <w:rsid w:val="00B616D9"/>
    <w:rsid w:val="00B6170E"/>
    <w:rsid w:val="00B61763"/>
    <w:rsid w:val="00B61780"/>
    <w:rsid w:val="00B618A3"/>
    <w:rsid w:val="00B6190C"/>
    <w:rsid w:val="00B61922"/>
    <w:rsid w:val="00B6195D"/>
    <w:rsid w:val="00B6197A"/>
    <w:rsid w:val="00B61984"/>
    <w:rsid w:val="00B61993"/>
    <w:rsid w:val="00B61A3A"/>
    <w:rsid w:val="00B61A7E"/>
    <w:rsid w:val="00B61AA8"/>
    <w:rsid w:val="00B61B0B"/>
    <w:rsid w:val="00B61B15"/>
    <w:rsid w:val="00B61BE8"/>
    <w:rsid w:val="00B61BFA"/>
    <w:rsid w:val="00B61C00"/>
    <w:rsid w:val="00B61C58"/>
    <w:rsid w:val="00B61E46"/>
    <w:rsid w:val="00B61E5A"/>
    <w:rsid w:val="00B61E5C"/>
    <w:rsid w:val="00B61EB1"/>
    <w:rsid w:val="00B61F4E"/>
    <w:rsid w:val="00B61F58"/>
    <w:rsid w:val="00B61F79"/>
    <w:rsid w:val="00B6201F"/>
    <w:rsid w:val="00B6204B"/>
    <w:rsid w:val="00B6219B"/>
    <w:rsid w:val="00B62224"/>
    <w:rsid w:val="00B62258"/>
    <w:rsid w:val="00B62289"/>
    <w:rsid w:val="00B622DE"/>
    <w:rsid w:val="00B622F6"/>
    <w:rsid w:val="00B623A2"/>
    <w:rsid w:val="00B623B7"/>
    <w:rsid w:val="00B6240B"/>
    <w:rsid w:val="00B62464"/>
    <w:rsid w:val="00B62492"/>
    <w:rsid w:val="00B624AD"/>
    <w:rsid w:val="00B624D3"/>
    <w:rsid w:val="00B6251D"/>
    <w:rsid w:val="00B6255A"/>
    <w:rsid w:val="00B62591"/>
    <w:rsid w:val="00B625BF"/>
    <w:rsid w:val="00B62726"/>
    <w:rsid w:val="00B6272E"/>
    <w:rsid w:val="00B62757"/>
    <w:rsid w:val="00B627A0"/>
    <w:rsid w:val="00B627E6"/>
    <w:rsid w:val="00B62890"/>
    <w:rsid w:val="00B62901"/>
    <w:rsid w:val="00B62910"/>
    <w:rsid w:val="00B6291F"/>
    <w:rsid w:val="00B629AB"/>
    <w:rsid w:val="00B629CF"/>
    <w:rsid w:val="00B629D6"/>
    <w:rsid w:val="00B62A88"/>
    <w:rsid w:val="00B62A96"/>
    <w:rsid w:val="00B62ADB"/>
    <w:rsid w:val="00B62B28"/>
    <w:rsid w:val="00B62B61"/>
    <w:rsid w:val="00B62C02"/>
    <w:rsid w:val="00B62C78"/>
    <w:rsid w:val="00B62CBE"/>
    <w:rsid w:val="00B62D15"/>
    <w:rsid w:val="00B62D28"/>
    <w:rsid w:val="00B62E76"/>
    <w:rsid w:val="00B62EF0"/>
    <w:rsid w:val="00B62EF6"/>
    <w:rsid w:val="00B62F2D"/>
    <w:rsid w:val="00B62F5D"/>
    <w:rsid w:val="00B62FA0"/>
    <w:rsid w:val="00B62FB5"/>
    <w:rsid w:val="00B63092"/>
    <w:rsid w:val="00B630B0"/>
    <w:rsid w:val="00B630C0"/>
    <w:rsid w:val="00B630EF"/>
    <w:rsid w:val="00B63109"/>
    <w:rsid w:val="00B63162"/>
    <w:rsid w:val="00B6316F"/>
    <w:rsid w:val="00B631A4"/>
    <w:rsid w:val="00B63216"/>
    <w:rsid w:val="00B63221"/>
    <w:rsid w:val="00B63245"/>
    <w:rsid w:val="00B63269"/>
    <w:rsid w:val="00B632A8"/>
    <w:rsid w:val="00B632E9"/>
    <w:rsid w:val="00B63344"/>
    <w:rsid w:val="00B6339B"/>
    <w:rsid w:val="00B633BC"/>
    <w:rsid w:val="00B633C7"/>
    <w:rsid w:val="00B6345B"/>
    <w:rsid w:val="00B6345F"/>
    <w:rsid w:val="00B634A9"/>
    <w:rsid w:val="00B634E2"/>
    <w:rsid w:val="00B63521"/>
    <w:rsid w:val="00B635BF"/>
    <w:rsid w:val="00B635FB"/>
    <w:rsid w:val="00B63611"/>
    <w:rsid w:val="00B63650"/>
    <w:rsid w:val="00B63685"/>
    <w:rsid w:val="00B6368B"/>
    <w:rsid w:val="00B6372A"/>
    <w:rsid w:val="00B63739"/>
    <w:rsid w:val="00B6373E"/>
    <w:rsid w:val="00B63745"/>
    <w:rsid w:val="00B63747"/>
    <w:rsid w:val="00B63808"/>
    <w:rsid w:val="00B63838"/>
    <w:rsid w:val="00B63848"/>
    <w:rsid w:val="00B6389E"/>
    <w:rsid w:val="00B638A8"/>
    <w:rsid w:val="00B638AC"/>
    <w:rsid w:val="00B638F8"/>
    <w:rsid w:val="00B638FF"/>
    <w:rsid w:val="00B63901"/>
    <w:rsid w:val="00B63924"/>
    <w:rsid w:val="00B6397D"/>
    <w:rsid w:val="00B639A1"/>
    <w:rsid w:val="00B639A2"/>
    <w:rsid w:val="00B639A4"/>
    <w:rsid w:val="00B63A67"/>
    <w:rsid w:val="00B63AD0"/>
    <w:rsid w:val="00B63B12"/>
    <w:rsid w:val="00B63B2C"/>
    <w:rsid w:val="00B63B3E"/>
    <w:rsid w:val="00B63B5F"/>
    <w:rsid w:val="00B63C14"/>
    <w:rsid w:val="00B63D92"/>
    <w:rsid w:val="00B63DD3"/>
    <w:rsid w:val="00B63DF3"/>
    <w:rsid w:val="00B63E0B"/>
    <w:rsid w:val="00B63E17"/>
    <w:rsid w:val="00B63E23"/>
    <w:rsid w:val="00B63E34"/>
    <w:rsid w:val="00B63E75"/>
    <w:rsid w:val="00B63E76"/>
    <w:rsid w:val="00B63E77"/>
    <w:rsid w:val="00B63EBA"/>
    <w:rsid w:val="00B63EED"/>
    <w:rsid w:val="00B63F1B"/>
    <w:rsid w:val="00B63F57"/>
    <w:rsid w:val="00B63F93"/>
    <w:rsid w:val="00B63FE0"/>
    <w:rsid w:val="00B64052"/>
    <w:rsid w:val="00B64071"/>
    <w:rsid w:val="00B64076"/>
    <w:rsid w:val="00B64147"/>
    <w:rsid w:val="00B6415A"/>
    <w:rsid w:val="00B6419B"/>
    <w:rsid w:val="00B641CC"/>
    <w:rsid w:val="00B641CD"/>
    <w:rsid w:val="00B64221"/>
    <w:rsid w:val="00B64253"/>
    <w:rsid w:val="00B6432C"/>
    <w:rsid w:val="00B64377"/>
    <w:rsid w:val="00B6439C"/>
    <w:rsid w:val="00B64437"/>
    <w:rsid w:val="00B64472"/>
    <w:rsid w:val="00B64481"/>
    <w:rsid w:val="00B644D3"/>
    <w:rsid w:val="00B644DB"/>
    <w:rsid w:val="00B64630"/>
    <w:rsid w:val="00B6463A"/>
    <w:rsid w:val="00B646F7"/>
    <w:rsid w:val="00B6470F"/>
    <w:rsid w:val="00B6473F"/>
    <w:rsid w:val="00B64771"/>
    <w:rsid w:val="00B6477C"/>
    <w:rsid w:val="00B647D7"/>
    <w:rsid w:val="00B647E4"/>
    <w:rsid w:val="00B648F4"/>
    <w:rsid w:val="00B64942"/>
    <w:rsid w:val="00B6494E"/>
    <w:rsid w:val="00B64951"/>
    <w:rsid w:val="00B649B7"/>
    <w:rsid w:val="00B649C7"/>
    <w:rsid w:val="00B64A8E"/>
    <w:rsid w:val="00B64B1C"/>
    <w:rsid w:val="00B64B6D"/>
    <w:rsid w:val="00B64B98"/>
    <w:rsid w:val="00B64BB0"/>
    <w:rsid w:val="00B64C59"/>
    <w:rsid w:val="00B64CE6"/>
    <w:rsid w:val="00B64D07"/>
    <w:rsid w:val="00B64D69"/>
    <w:rsid w:val="00B64DD5"/>
    <w:rsid w:val="00B64E52"/>
    <w:rsid w:val="00B64E81"/>
    <w:rsid w:val="00B64EBA"/>
    <w:rsid w:val="00B64EF0"/>
    <w:rsid w:val="00B64F3D"/>
    <w:rsid w:val="00B64FD1"/>
    <w:rsid w:val="00B64FDF"/>
    <w:rsid w:val="00B6500C"/>
    <w:rsid w:val="00B65057"/>
    <w:rsid w:val="00B650B1"/>
    <w:rsid w:val="00B650F6"/>
    <w:rsid w:val="00B65125"/>
    <w:rsid w:val="00B65150"/>
    <w:rsid w:val="00B6515B"/>
    <w:rsid w:val="00B6517E"/>
    <w:rsid w:val="00B65181"/>
    <w:rsid w:val="00B6518A"/>
    <w:rsid w:val="00B651AF"/>
    <w:rsid w:val="00B651B3"/>
    <w:rsid w:val="00B651F2"/>
    <w:rsid w:val="00B65258"/>
    <w:rsid w:val="00B652A7"/>
    <w:rsid w:val="00B652D5"/>
    <w:rsid w:val="00B652E9"/>
    <w:rsid w:val="00B65347"/>
    <w:rsid w:val="00B6537A"/>
    <w:rsid w:val="00B653B3"/>
    <w:rsid w:val="00B6543C"/>
    <w:rsid w:val="00B6544A"/>
    <w:rsid w:val="00B65471"/>
    <w:rsid w:val="00B6549E"/>
    <w:rsid w:val="00B6550C"/>
    <w:rsid w:val="00B65517"/>
    <w:rsid w:val="00B6553A"/>
    <w:rsid w:val="00B65596"/>
    <w:rsid w:val="00B655F1"/>
    <w:rsid w:val="00B65648"/>
    <w:rsid w:val="00B6567E"/>
    <w:rsid w:val="00B65691"/>
    <w:rsid w:val="00B65757"/>
    <w:rsid w:val="00B6577E"/>
    <w:rsid w:val="00B657DE"/>
    <w:rsid w:val="00B657E8"/>
    <w:rsid w:val="00B6582B"/>
    <w:rsid w:val="00B65892"/>
    <w:rsid w:val="00B65927"/>
    <w:rsid w:val="00B6596A"/>
    <w:rsid w:val="00B65973"/>
    <w:rsid w:val="00B659C8"/>
    <w:rsid w:val="00B65A01"/>
    <w:rsid w:val="00B65A0F"/>
    <w:rsid w:val="00B65A27"/>
    <w:rsid w:val="00B65A94"/>
    <w:rsid w:val="00B65A9C"/>
    <w:rsid w:val="00B65B95"/>
    <w:rsid w:val="00B65BAA"/>
    <w:rsid w:val="00B65BB4"/>
    <w:rsid w:val="00B65BCE"/>
    <w:rsid w:val="00B65BD8"/>
    <w:rsid w:val="00B65BDB"/>
    <w:rsid w:val="00B65CD1"/>
    <w:rsid w:val="00B65D0F"/>
    <w:rsid w:val="00B65D6D"/>
    <w:rsid w:val="00B65DAC"/>
    <w:rsid w:val="00B65DE8"/>
    <w:rsid w:val="00B65E20"/>
    <w:rsid w:val="00B65E5F"/>
    <w:rsid w:val="00B65E63"/>
    <w:rsid w:val="00B65E65"/>
    <w:rsid w:val="00B66086"/>
    <w:rsid w:val="00B660BB"/>
    <w:rsid w:val="00B660D7"/>
    <w:rsid w:val="00B6611B"/>
    <w:rsid w:val="00B66131"/>
    <w:rsid w:val="00B66158"/>
    <w:rsid w:val="00B661FA"/>
    <w:rsid w:val="00B6627D"/>
    <w:rsid w:val="00B662A9"/>
    <w:rsid w:val="00B662F7"/>
    <w:rsid w:val="00B6630F"/>
    <w:rsid w:val="00B6639C"/>
    <w:rsid w:val="00B66470"/>
    <w:rsid w:val="00B6648A"/>
    <w:rsid w:val="00B6648B"/>
    <w:rsid w:val="00B664FF"/>
    <w:rsid w:val="00B66512"/>
    <w:rsid w:val="00B66528"/>
    <w:rsid w:val="00B6659A"/>
    <w:rsid w:val="00B665F9"/>
    <w:rsid w:val="00B66602"/>
    <w:rsid w:val="00B66667"/>
    <w:rsid w:val="00B666E7"/>
    <w:rsid w:val="00B666E8"/>
    <w:rsid w:val="00B666F6"/>
    <w:rsid w:val="00B6670C"/>
    <w:rsid w:val="00B66790"/>
    <w:rsid w:val="00B66886"/>
    <w:rsid w:val="00B668F8"/>
    <w:rsid w:val="00B66A25"/>
    <w:rsid w:val="00B66AB1"/>
    <w:rsid w:val="00B66ACC"/>
    <w:rsid w:val="00B66CF2"/>
    <w:rsid w:val="00B66D28"/>
    <w:rsid w:val="00B66D2B"/>
    <w:rsid w:val="00B66D93"/>
    <w:rsid w:val="00B66DCA"/>
    <w:rsid w:val="00B66DE8"/>
    <w:rsid w:val="00B66DFB"/>
    <w:rsid w:val="00B66E7C"/>
    <w:rsid w:val="00B66EA9"/>
    <w:rsid w:val="00B66EDF"/>
    <w:rsid w:val="00B66F00"/>
    <w:rsid w:val="00B66F37"/>
    <w:rsid w:val="00B66F44"/>
    <w:rsid w:val="00B66F8F"/>
    <w:rsid w:val="00B6703B"/>
    <w:rsid w:val="00B6704C"/>
    <w:rsid w:val="00B67052"/>
    <w:rsid w:val="00B6705A"/>
    <w:rsid w:val="00B67086"/>
    <w:rsid w:val="00B670F8"/>
    <w:rsid w:val="00B6711C"/>
    <w:rsid w:val="00B6715E"/>
    <w:rsid w:val="00B6716D"/>
    <w:rsid w:val="00B671B0"/>
    <w:rsid w:val="00B671BA"/>
    <w:rsid w:val="00B671D6"/>
    <w:rsid w:val="00B67233"/>
    <w:rsid w:val="00B67300"/>
    <w:rsid w:val="00B67309"/>
    <w:rsid w:val="00B67430"/>
    <w:rsid w:val="00B67439"/>
    <w:rsid w:val="00B67459"/>
    <w:rsid w:val="00B674FD"/>
    <w:rsid w:val="00B6751C"/>
    <w:rsid w:val="00B67545"/>
    <w:rsid w:val="00B6759C"/>
    <w:rsid w:val="00B67678"/>
    <w:rsid w:val="00B67710"/>
    <w:rsid w:val="00B67776"/>
    <w:rsid w:val="00B67784"/>
    <w:rsid w:val="00B677AF"/>
    <w:rsid w:val="00B67805"/>
    <w:rsid w:val="00B67839"/>
    <w:rsid w:val="00B67843"/>
    <w:rsid w:val="00B67868"/>
    <w:rsid w:val="00B678AE"/>
    <w:rsid w:val="00B67926"/>
    <w:rsid w:val="00B67938"/>
    <w:rsid w:val="00B6795E"/>
    <w:rsid w:val="00B679B0"/>
    <w:rsid w:val="00B679B5"/>
    <w:rsid w:val="00B679CA"/>
    <w:rsid w:val="00B67A06"/>
    <w:rsid w:val="00B67B3D"/>
    <w:rsid w:val="00B67B76"/>
    <w:rsid w:val="00B67BB0"/>
    <w:rsid w:val="00B67C0B"/>
    <w:rsid w:val="00B67C45"/>
    <w:rsid w:val="00B67CF3"/>
    <w:rsid w:val="00B67DC7"/>
    <w:rsid w:val="00B67E7D"/>
    <w:rsid w:val="00B67E8D"/>
    <w:rsid w:val="00B67EB1"/>
    <w:rsid w:val="00B67EF2"/>
    <w:rsid w:val="00B67F5D"/>
    <w:rsid w:val="00B67F8E"/>
    <w:rsid w:val="00B69E29"/>
    <w:rsid w:val="00B70003"/>
    <w:rsid w:val="00B700C4"/>
    <w:rsid w:val="00B70132"/>
    <w:rsid w:val="00B70140"/>
    <w:rsid w:val="00B70144"/>
    <w:rsid w:val="00B70158"/>
    <w:rsid w:val="00B701A2"/>
    <w:rsid w:val="00B701E0"/>
    <w:rsid w:val="00B7024E"/>
    <w:rsid w:val="00B70272"/>
    <w:rsid w:val="00B702C1"/>
    <w:rsid w:val="00B7038B"/>
    <w:rsid w:val="00B7038E"/>
    <w:rsid w:val="00B70413"/>
    <w:rsid w:val="00B70416"/>
    <w:rsid w:val="00B70433"/>
    <w:rsid w:val="00B70438"/>
    <w:rsid w:val="00B704F6"/>
    <w:rsid w:val="00B70539"/>
    <w:rsid w:val="00B705B2"/>
    <w:rsid w:val="00B705C8"/>
    <w:rsid w:val="00B706A1"/>
    <w:rsid w:val="00B706B7"/>
    <w:rsid w:val="00B706D9"/>
    <w:rsid w:val="00B706F3"/>
    <w:rsid w:val="00B70739"/>
    <w:rsid w:val="00B70771"/>
    <w:rsid w:val="00B707B3"/>
    <w:rsid w:val="00B708DB"/>
    <w:rsid w:val="00B708F6"/>
    <w:rsid w:val="00B70910"/>
    <w:rsid w:val="00B70980"/>
    <w:rsid w:val="00B70981"/>
    <w:rsid w:val="00B70994"/>
    <w:rsid w:val="00B709C7"/>
    <w:rsid w:val="00B709CD"/>
    <w:rsid w:val="00B709D3"/>
    <w:rsid w:val="00B70A09"/>
    <w:rsid w:val="00B70ADA"/>
    <w:rsid w:val="00B70B31"/>
    <w:rsid w:val="00B70B77"/>
    <w:rsid w:val="00B70BA5"/>
    <w:rsid w:val="00B70C72"/>
    <w:rsid w:val="00B70C87"/>
    <w:rsid w:val="00B70CC3"/>
    <w:rsid w:val="00B70CD7"/>
    <w:rsid w:val="00B70CF4"/>
    <w:rsid w:val="00B70D4E"/>
    <w:rsid w:val="00B70D57"/>
    <w:rsid w:val="00B70DB0"/>
    <w:rsid w:val="00B70E9F"/>
    <w:rsid w:val="00B70F03"/>
    <w:rsid w:val="00B70F04"/>
    <w:rsid w:val="00B70F26"/>
    <w:rsid w:val="00B70F48"/>
    <w:rsid w:val="00B70F88"/>
    <w:rsid w:val="00B70FBB"/>
    <w:rsid w:val="00B7101F"/>
    <w:rsid w:val="00B7107F"/>
    <w:rsid w:val="00B710A3"/>
    <w:rsid w:val="00B711CB"/>
    <w:rsid w:val="00B71229"/>
    <w:rsid w:val="00B71231"/>
    <w:rsid w:val="00B71276"/>
    <w:rsid w:val="00B71277"/>
    <w:rsid w:val="00B7128B"/>
    <w:rsid w:val="00B71343"/>
    <w:rsid w:val="00B7135D"/>
    <w:rsid w:val="00B713D2"/>
    <w:rsid w:val="00B713EC"/>
    <w:rsid w:val="00B71447"/>
    <w:rsid w:val="00B7146D"/>
    <w:rsid w:val="00B71472"/>
    <w:rsid w:val="00B714E2"/>
    <w:rsid w:val="00B714E6"/>
    <w:rsid w:val="00B714F7"/>
    <w:rsid w:val="00B7150D"/>
    <w:rsid w:val="00B7153B"/>
    <w:rsid w:val="00B7154C"/>
    <w:rsid w:val="00B715C2"/>
    <w:rsid w:val="00B715EB"/>
    <w:rsid w:val="00B715EF"/>
    <w:rsid w:val="00B715F1"/>
    <w:rsid w:val="00B71743"/>
    <w:rsid w:val="00B71798"/>
    <w:rsid w:val="00B717B0"/>
    <w:rsid w:val="00B7185D"/>
    <w:rsid w:val="00B7186C"/>
    <w:rsid w:val="00B7191E"/>
    <w:rsid w:val="00B7192B"/>
    <w:rsid w:val="00B7198F"/>
    <w:rsid w:val="00B71995"/>
    <w:rsid w:val="00B719C3"/>
    <w:rsid w:val="00B719CE"/>
    <w:rsid w:val="00B719FE"/>
    <w:rsid w:val="00B71A26"/>
    <w:rsid w:val="00B71A51"/>
    <w:rsid w:val="00B71AED"/>
    <w:rsid w:val="00B71B09"/>
    <w:rsid w:val="00B71B26"/>
    <w:rsid w:val="00B71B65"/>
    <w:rsid w:val="00B71B6E"/>
    <w:rsid w:val="00B71B80"/>
    <w:rsid w:val="00B71BD1"/>
    <w:rsid w:val="00B71C44"/>
    <w:rsid w:val="00B71C4A"/>
    <w:rsid w:val="00B71C54"/>
    <w:rsid w:val="00B71CD4"/>
    <w:rsid w:val="00B71D03"/>
    <w:rsid w:val="00B71D28"/>
    <w:rsid w:val="00B71D53"/>
    <w:rsid w:val="00B71D88"/>
    <w:rsid w:val="00B71DCC"/>
    <w:rsid w:val="00B71E8A"/>
    <w:rsid w:val="00B71E95"/>
    <w:rsid w:val="00B71EA8"/>
    <w:rsid w:val="00B71EB7"/>
    <w:rsid w:val="00B71EE7"/>
    <w:rsid w:val="00B71F22"/>
    <w:rsid w:val="00B71F4F"/>
    <w:rsid w:val="00B71F5F"/>
    <w:rsid w:val="00B71F6A"/>
    <w:rsid w:val="00B71F72"/>
    <w:rsid w:val="00B71F99"/>
    <w:rsid w:val="00B71FA5"/>
    <w:rsid w:val="00B71FE9"/>
    <w:rsid w:val="00B72002"/>
    <w:rsid w:val="00B7208E"/>
    <w:rsid w:val="00B7215C"/>
    <w:rsid w:val="00B72196"/>
    <w:rsid w:val="00B721FC"/>
    <w:rsid w:val="00B72227"/>
    <w:rsid w:val="00B72264"/>
    <w:rsid w:val="00B7229A"/>
    <w:rsid w:val="00B722AC"/>
    <w:rsid w:val="00B722D1"/>
    <w:rsid w:val="00B72327"/>
    <w:rsid w:val="00B723A2"/>
    <w:rsid w:val="00B7242D"/>
    <w:rsid w:val="00B7242F"/>
    <w:rsid w:val="00B72439"/>
    <w:rsid w:val="00B72495"/>
    <w:rsid w:val="00B72518"/>
    <w:rsid w:val="00B72565"/>
    <w:rsid w:val="00B7257F"/>
    <w:rsid w:val="00B725D4"/>
    <w:rsid w:val="00B72651"/>
    <w:rsid w:val="00B7268B"/>
    <w:rsid w:val="00B726E1"/>
    <w:rsid w:val="00B726FC"/>
    <w:rsid w:val="00B7273F"/>
    <w:rsid w:val="00B72743"/>
    <w:rsid w:val="00B72792"/>
    <w:rsid w:val="00B727AC"/>
    <w:rsid w:val="00B727B4"/>
    <w:rsid w:val="00B727B6"/>
    <w:rsid w:val="00B727B7"/>
    <w:rsid w:val="00B72843"/>
    <w:rsid w:val="00B728C3"/>
    <w:rsid w:val="00B728DD"/>
    <w:rsid w:val="00B72946"/>
    <w:rsid w:val="00B72991"/>
    <w:rsid w:val="00B729AE"/>
    <w:rsid w:val="00B729E1"/>
    <w:rsid w:val="00B72A2E"/>
    <w:rsid w:val="00B72A3F"/>
    <w:rsid w:val="00B72A8E"/>
    <w:rsid w:val="00B72B73"/>
    <w:rsid w:val="00B72C40"/>
    <w:rsid w:val="00B72C8F"/>
    <w:rsid w:val="00B72CB6"/>
    <w:rsid w:val="00B72CF0"/>
    <w:rsid w:val="00B72D11"/>
    <w:rsid w:val="00B72D25"/>
    <w:rsid w:val="00B72D98"/>
    <w:rsid w:val="00B72DA1"/>
    <w:rsid w:val="00B72DB1"/>
    <w:rsid w:val="00B72DBF"/>
    <w:rsid w:val="00B72DE1"/>
    <w:rsid w:val="00B72E0D"/>
    <w:rsid w:val="00B72E6F"/>
    <w:rsid w:val="00B72F02"/>
    <w:rsid w:val="00B72FAF"/>
    <w:rsid w:val="00B72FC7"/>
    <w:rsid w:val="00B72FD8"/>
    <w:rsid w:val="00B73028"/>
    <w:rsid w:val="00B7302E"/>
    <w:rsid w:val="00B730A0"/>
    <w:rsid w:val="00B730E4"/>
    <w:rsid w:val="00B73115"/>
    <w:rsid w:val="00B73129"/>
    <w:rsid w:val="00B73188"/>
    <w:rsid w:val="00B73219"/>
    <w:rsid w:val="00B73224"/>
    <w:rsid w:val="00B732B7"/>
    <w:rsid w:val="00B732BB"/>
    <w:rsid w:val="00B7330D"/>
    <w:rsid w:val="00B73352"/>
    <w:rsid w:val="00B73377"/>
    <w:rsid w:val="00B733AE"/>
    <w:rsid w:val="00B7347C"/>
    <w:rsid w:val="00B734AE"/>
    <w:rsid w:val="00B7359B"/>
    <w:rsid w:val="00B735AC"/>
    <w:rsid w:val="00B735C0"/>
    <w:rsid w:val="00B735C3"/>
    <w:rsid w:val="00B73600"/>
    <w:rsid w:val="00B73688"/>
    <w:rsid w:val="00B7368C"/>
    <w:rsid w:val="00B736E2"/>
    <w:rsid w:val="00B73709"/>
    <w:rsid w:val="00B7373C"/>
    <w:rsid w:val="00B73748"/>
    <w:rsid w:val="00B73758"/>
    <w:rsid w:val="00B73807"/>
    <w:rsid w:val="00B73833"/>
    <w:rsid w:val="00B7383B"/>
    <w:rsid w:val="00B73851"/>
    <w:rsid w:val="00B73892"/>
    <w:rsid w:val="00B738C9"/>
    <w:rsid w:val="00B73927"/>
    <w:rsid w:val="00B73937"/>
    <w:rsid w:val="00B73962"/>
    <w:rsid w:val="00B7399E"/>
    <w:rsid w:val="00B739C3"/>
    <w:rsid w:val="00B739C5"/>
    <w:rsid w:val="00B739C9"/>
    <w:rsid w:val="00B73A27"/>
    <w:rsid w:val="00B73A8B"/>
    <w:rsid w:val="00B73AA2"/>
    <w:rsid w:val="00B73AE7"/>
    <w:rsid w:val="00B73AEF"/>
    <w:rsid w:val="00B73B1D"/>
    <w:rsid w:val="00B73B3A"/>
    <w:rsid w:val="00B73BE6"/>
    <w:rsid w:val="00B73CF9"/>
    <w:rsid w:val="00B73D33"/>
    <w:rsid w:val="00B73DCD"/>
    <w:rsid w:val="00B73DDB"/>
    <w:rsid w:val="00B73DE9"/>
    <w:rsid w:val="00B73E30"/>
    <w:rsid w:val="00B73E71"/>
    <w:rsid w:val="00B73E85"/>
    <w:rsid w:val="00B73F74"/>
    <w:rsid w:val="00B73F7C"/>
    <w:rsid w:val="00B7400E"/>
    <w:rsid w:val="00B740B3"/>
    <w:rsid w:val="00B740DC"/>
    <w:rsid w:val="00B7427C"/>
    <w:rsid w:val="00B74285"/>
    <w:rsid w:val="00B742E4"/>
    <w:rsid w:val="00B7431B"/>
    <w:rsid w:val="00B7433B"/>
    <w:rsid w:val="00B74372"/>
    <w:rsid w:val="00B743EB"/>
    <w:rsid w:val="00B744D0"/>
    <w:rsid w:val="00B744E3"/>
    <w:rsid w:val="00B744FB"/>
    <w:rsid w:val="00B7451E"/>
    <w:rsid w:val="00B745B3"/>
    <w:rsid w:val="00B745B9"/>
    <w:rsid w:val="00B745D3"/>
    <w:rsid w:val="00B745DB"/>
    <w:rsid w:val="00B746BC"/>
    <w:rsid w:val="00B746D6"/>
    <w:rsid w:val="00B74747"/>
    <w:rsid w:val="00B74776"/>
    <w:rsid w:val="00B74779"/>
    <w:rsid w:val="00B747DD"/>
    <w:rsid w:val="00B74857"/>
    <w:rsid w:val="00B74896"/>
    <w:rsid w:val="00B748E0"/>
    <w:rsid w:val="00B74903"/>
    <w:rsid w:val="00B7492E"/>
    <w:rsid w:val="00B749B9"/>
    <w:rsid w:val="00B749EC"/>
    <w:rsid w:val="00B74A10"/>
    <w:rsid w:val="00B74A36"/>
    <w:rsid w:val="00B74A7C"/>
    <w:rsid w:val="00B74A80"/>
    <w:rsid w:val="00B74B27"/>
    <w:rsid w:val="00B74B38"/>
    <w:rsid w:val="00B74B45"/>
    <w:rsid w:val="00B74B64"/>
    <w:rsid w:val="00B74B70"/>
    <w:rsid w:val="00B74B80"/>
    <w:rsid w:val="00B74BBD"/>
    <w:rsid w:val="00B74BCD"/>
    <w:rsid w:val="00B74BEB"/>
    <w:rsid w:val="00B74C38"/>
    <w:rsid w:val="00B74C75"/>
    <w:rsid w:val="00B74C7F"/>
    <w:rsid w:val="00B74CBB"/>
    <w:rsid w:val="00B74CD3"/>
    <w:rsid w:val="00B74D04"/>
    <w:rsid w:val="00B74E2C"/>
    <w:rsid w:val="00B74E36"/>
    <w:rsid w:val="00B74E7C"/>
    <w:rsid w:val="00B74EA0"/>
    <w:rsid w:val="00B74EEF"/>
    <w:rsid w:val="00B74F26"/>
    <w:rsid w:val="00B74F93"/>
    <w:rsid w:val="00B74FAB"/>
    <w:rsid w:val="00B74FBE"/>
    <w:rsid w:val="00B74FCE"/>
    <w:rsid w:val="00B74FD9"/>
    <w:rsid w:val="00B74FFA"/>
    <w:rsid w:val="00B75043"/>
    <w:rsid w:val="00B75051"/>
    <w:rsid w:val="00B750F7"/>
    <w:rsid w:val="00B75150"/>
    <w:rsid w:val="00B752B9"/>
    <w:rsid w:val="00B75362"/>
    <w:rsid w:val="00B7539E"/>
    <w:rsid w:val="00B7543B"/>
    <w:rsid w:val="00B754DC"/>
    <w:rsid w:val="00B75512"/>
    <w:rsid w:val="00B7553D"/>
    <w:rsid w:val="00B7555C"/>
    <w:rsid w:val="00B75565"/>
    <w:rsid w:val="00B75590"/>
    <w:rsid w:val="00B75615"/>
    <w:rsid w:val="00B7562C"/>
    <w:rsid w:val="00B75645"/>
    <w:rsid w:val="00B7564C"/>
    <w:rsid w:val="00B756F8"/>
    <w:rsid w:val="00B75747"/>
    <w:rsid w:val="00B75817"/>
    <w:rsid w:val="00B7587D"/>
    <w:rsid w:val="00B75895"/>
    <w:rsid w:val="00B758F7"/>
    <w:rsid w:val="00B75B21"/>
    <w:rsid w:val="00B75B45"/>
    <w:rsid w:val="00B75B5C"/>
    <w:rsid w:val="00B75C92"/>
    <w:rsid w:val="00B75ECC"/>
    <w:rsid w:val="00B75FAF"/>
    <w:rsid w:val="00B75FC0"/>
    <w:rsid w:val="00B76033"/>
    <w:rsid w:val="00B76043"/>
    <w:rsid w:val="00B7608A"/>
    <w:rsid w:val="00B7616C"/>
    <w:rsid w:val="00B7617E"/>
    <w:rsid w:val="00B76189"/>
    <w:rsid w:val="00B761E7"/>
    <w:rsid w:val="00B7624C"/>
    <w:rsid w:val="00B7627B"/>
    <w:rsid w:val="00B762D5"/>
    <w:rsid w:val="00B76457"/>
    <w:rsid w:val="00B764C0"/>
    <w:rsid w:val="00B7650E"/>
    <w:rsid w:val="00B76526"/>
    <w:rsid w:val="00B76551"/>
    <w:rsid w:val="00B76591"/>
    <w:rsid w:val="00B7659F"/>
    <w:rsid w:val="00B765B2"/>
    <w:rsid w:val="00B765C6"/>
    <w:rsid w:val="00B765EC"/>
    <w:rsid w:val="00B76600"/>
    <w:rsid w:val="00B766B1"/>
    <w:rsid w:val="00B766E4"/>
    <w:rsid w:val="00B76727"/>
    <w:rsid w:val="00B767B7"/>
    <w:rsid w:val="00B76816"/>
    <w:rsid w:val="00B76852"/>
    <w:rsid w:val="00B7691C"/>
    <w:rsid w:val="00B76941"/>
    <w:rsid w:val="00B76951"/>
    <w:rsid w:val="00B76968"/>
    <w:rsid w:val="00B769A4"/>
    <w:rsid w:val="00B769C9"/>
    <w:rsid w:val="00B769D0"/>
    <w:rsid w:val="00B769EF"/>
    <w:rsid w:val="00B76AC8"/>
    <w:rsid w:val="00B76AF2"/>
    <w:rsid w:val="00B76B06"/>
    <w:rsid w:val="00B76B15"/>
    <w:rsid w:val="00B76B18"/>
    <w:rsid w:val="00B76B1C"/>
    <w:rsid w:val="00B76B2C"/>
    <w:rsid w:val="00B76BFD"/>
    <w:rsid w:val="00B76D08"/>
    <w:rsid w:val="00B76D2E"/>
    <w:rsid w:val="00B76E52"/>
    <w:rsid w:val="00B76E6E"/>
    <w:rsid w:val="00B76E71"/>
    <w:rsid w:val="00B76E72"/>
    <w:rsid w:val="00B76EA5"/>
    <w:rsid w:val="00B76F03"/>
    <w:rsid w:val="00B76F37"/>
    <w:rsid w:val="00B76FF3"/>
    <w:rsid w:val="00B77028"/>
    <w:rsid w:val="00B77054"/>
    <w:rsid w:val="00B77065"/>
    <w:rsid w:val="00B7708B"/>
    <w:rsid w:val="00B771C0"/>
    <w:rsid w:val="00B771C1"/>
    <w:rsid w:val="00B771F5"/>
    <w:rsid w:val="00B77212"/>
    <w:rsid w:val="00B77250"/>
    <w:rsid w:val="00B77276"/>
    <w:rsid w:val="00B77337"/>
    <w:rsid w:val="00B7744B"/>
    <w:rsid w:val="00B774C4"/>
    <w:rsid w:val="00B77513"/>
    <w:rsid w:val="00B77529"/>
    <w:rsid w:val="00B7755B"/>
    <w:rsid w:val="00B77613"/>
    <w:rsid w:val="00B776A4"/>
    <w:rsid w:val="00B776B9"/>
    <w:rsid w:val="00B776BD"/>
    <w:rsid w:val="00B776EF"/>
    <w:rsid w:val="00B77779"/>
    <w:rsid w:val="00B777FD"/>
    <w:rsid w:val="00B77804"/>
    <w:rsid w:val="00B77849"/>
    <w:rsid w:val="00B77875"/>
    <w:rsid w:val="00B778F1"/>
    <w:rsid w:val="00B77912"/>
    <w:rsid w:val="00B7798D"/>
    <w:rsid w:val="00B779A0"/>
    <w:rsid w:val="00B779FF"/>
    <w:rsid w:val="00B77A56"/>
    <w:rsid w:val="00B77A98"/>
    <w:rsid w:val="00B77B20"/>
    <w:rsid w:val="00B77B24"/>
    <w:rsid w:val="00B77B29"/>
    <w:rsid w:val="00B77B95"/>
    <w:rsid w:val="00B77BB5"/>
    <w:rsid w:val="00B77BB6"/>
    <w:rsid w:val="00B77BE2"/>
    <w:rsid w:val="00B77BE8"/>
    <w:rsid w:val="00B77C25"/>
    <w:rsid w:val="00B77C3C"/>
    <w:rsid w:val="00B77C6C"/>
    <w:rsid w:val="00B77CC3"/>
    <w:rsid w:val="00B77CE3"/>
    <w:rsid w:val="00B77D05"/>
    <w:rsid w:val="00B77D57"/>
    <w:rsid w:val="00B77D7D"/>
    <w:rsid w:val="00B77D7E"/>
    <w:rsid w:val="00B77DB2"/>
    <w:rsid w:val="00B77E7C"/>
    <w:rsid w:val="00B77E91"/>
    <w:rsid w:val="00B77EF8"/>
    <w:rsid w:val="00B77F71"/>
    <w:rsid w:val="00B77FAC"/>
    <w:rsid w:val="00B77FBC"/>
    <w:rsid w:val="00B80036"/>
    <w:rsid w:val="00B800BE"/>
    <w:rsid w:val="00B80109"/>
    <w:rsid w:val="00B80123"/>
    <w:rsid w:val="00B80159"/>
    <w:rsid w:val="00B801BB"/>
    <w:rsid w:val="00B801D1"/>
    <w:rsid w:val="00B801EA"/>
    <w:rsid w:val="00B80210"/>
    <w:rsid w:val="00B8023D"/>
    <w:rsid w:val="00B8025F"/>
    <w:rsid w:val="00B802A6"/>
    <w:rsid w:val="00B802BE"/>
    <w:rsid w:val="00B80368"/>
    <w:rsid w:val="00B80392"/>
    <w:rsid w:val="00B80394"/>
    <w:rsid w:val="00B803BC"/>
    <w:rsid w:val="00B803D4"/>
    <w:rsid w:val="00B80425"/>
    <w:rsid w:val="00B8046E"/>
    <w:rsid w:val="00B80495"/>
    <w:rsid w:val="00B804B4"/>
    <w:rsid w:val="00B804B6"/>
    <w:rsid w:val="00B8052E"/>
    <w:rsid w:val="00B80530"/>
    <w:rsid w:val="00B80540"/>
    <w:rsid w:val="00B8060C"/>
    <w:rsid w:val="00B80619"/>
    <w:rsid w:val="00B80665"/>
    <w:rsid w:val="00B806B0"/>
    <w:rsid w:val="00B806D5"/>
    <w:rsid w:val="00B806EB"/>
    <w:rsid w:val="00B80707"/>
    <w:rsid w:val="00B80734"/>
    <w:rsid w:val="00B8075A"/>
    <w:rsid w:val="00B8076D"/>
    <w:rsid w:val="00B80771"/>
    <w:rsid w:val="00B807A9"/>
    <w:rsid w:val="00B807C3"/>
    <w:rsid w:val="00B807F1"/>
    <w:rsid w:val="00B80846"/>
    <w:rsid w:val="00B80881"/>
    <w:rsid w:val="00B8093C"/>
    <w:rsid w:val="00B809A4"/>
    <w:rsid w:val="00B809DC"/>
    <w:rsid w:val="00B80A63"/>
    <w:rsid w:val="00B80A8D"/>
    <w:rsid w:val="00B80B14"/>
    <w:rsid w:val="00B80BC6"/>
    <w:rsid w:val="00B80BD5"/>
    <w:rsid w:val="00B80BEE"/>
    <w:rsid w:val="00B80C02"/>
    <w:rsid w:val="00B80C06"/>
    <w:rsid w:val="00B80C28"/>
    <w:rsid w:val="00B80C4A"/>
    <w:rsid w:val="00B80C58"/>
    <w:rsid w:val="00B80D0F"/>
    <w:rsid w:val="00B80E10"/>
    <w:rsid w:val="00B80E13"/>
    <w:rsid w:val="00B80F07"/>
    <w:rsid w:val="00B80F1C"/>
    <w:rsid w:val="00B80F3A"/>
    <w:rsid w:val="00B80FA5"/>
    <w:rsid w:val="00B80FD0"/>
    <w:rsid w:val="00B80FDE"/>
    <w:rsid w:val="00B81032"/>
    <w:rsid w:val="00B8105B"/>
    <w:rsid w:val="00B8106B"/>
    <w:rsid w:val="00B810A4"/>
    <w:rsid w:val="00B810EF"/>
    <w:rsid w:val="00B8111B"/>
    <w:rsid w:val="00B81220"/>
    <w:rsid w:val="00B81233"/>
    <w:rsid w:val="00B8129B"/>
    <w:rsid w:val="00B81355"/>
    <w:rsid w:val="00B81378"/>
    <w:rsid w:val="00B8137F"/>
    <w:rsid w:val="00B813A4"/>
    <w:rsid w:val="00B813AE"/>
    <w:rsid w:val="00B813C0"/>
    <w:rsid w:val="00B813DE"/>
    <w:rsid w:val="00B813E5"/>
    <w:rsid w:val="00B8145E"/>
    <w:rsid w:val="00B81461"/>
    <w:rsid w:val="00B81480"/>
    <w:rsid w:val="00B81485"/>
    <w:rsid w:val="00B814AA"/>
    <w:rsid w:val="00B814DF"/>
    <w:rsid w:val="00B8153E"/>
    <w:rsid w:val="00B8154A"/>
    <w:rsid w:val="00B81571"/>
    <w:rsid w:val="00B81646"/>
    <w:rsid w:val="00B81651"/>
    <w:rsid w:val="00B81666"/>
    <w:rsid w:val="00B816A2"/>
    <w:rsid w:val="00B816FB"/>
    <w:rsid w:val="00B8171E"/>
    <w:rsid w:val="00B81736"/>
    <w:rsid w:val="00B8179A"/>
    <w:rsid w:val="00B81806"/>
    <w:rsid w:val="00B81850"/>
    <w:rsid w:val="00B8185D"/>
    <w:rsid w:val="00B8186C"/>
    <w:rsid w:val="00B8189E"/>
    <w:rsid w:val="00B81922"/>
    <w:rsid w:val="00B8197D"/>
    <w:rsid w:val="00B81988"/>
    <w:rsid w:val="00B81992"/>
    <w:rsid w:val="00B819B1"/>
    <w:rsid w:val="00B81A4B"/>
    <w:rsid w:val="00B81BC7"/>
    <w:rsid w:val="00B81BDA"/>
    <w:rsid w:val="00B81BE7"/>
    <w:rsid w:val="00B81C9B"/>
    <w:rsid w:val="00B81CBE"/>
    <w:rsid w:val="00B81D27"/>
    <w:rsid w:val="00B81D29"/>
    <w:rsid w:val="00B81D2A"/>
    <w:rsid w:val="00B81D3D"/>
    <w:rsid w:val="00B81E06"/>
    <w:rsid w:val="00B81E07"/>
    <w:rsid w:val="00B81F24"/>
    <w:rsid w:val="00B81F4F"/>
    <w:rsid w:val="00B81FBE"/>
    <w:rsid w:val="00B82030"/>
    <w:rsid w:val="00B82045"/>
    <w:rsid w:val="00B820C1"/>
    <w:rsid w:val="00B820DF"/>
    <w:rsid w:val="00B8212D"/>
    <w:rsid w:val="00B82154"/>
    <w:rsid w:val="00B82180"/>
    <w:rsid w:val="00B8218C"/>
    <w:rsid w:val="00B821AC"/>
    <w:rsid w:val="00B821B1"/>
    <w:rsid w:val="00B82267"/>
    <w:rsid w:val="00B82303"/>
    <w:rsid w:val="00B82319"/>
    <w:rsid w:val="00B823FC"/>
    <w:rsid w:val="00B824C6"/>
    <w:rsid w:val="00B824E5"/>
    <w:rsid w:val="00B82504"/>
    <w:rsid w:val="00B82509"/>
    <w:rsid w:val="00B8258D"/>
    <w:rsid w:val="00B82593"/>
    <w:rsid w:val="00B825C6"/>
    <w:rsid w:val="00B825CC"/>
    <w:rsid w:val="00B8264D"/>
    <w:rsid w:val="00B82653"/>
    <w:rsid w:val="00B826EE"/>
    <w:rsid w:val="00B827A2"/>
    <w:rsid w:val="00B827EA"/>
    <w:rsid w:val="00B8280F"/>
    <w:rsid w:val="00B82825"/>
    <w:rsid w:val="00B82849"/>
    <w:rsid w:val="00B82864"/>
    <w:rsid w:val="00B8286D"/>
    <w:rsid w:val="00B82878"/>
    <w:rsid w:val="00B8289C"/>
    <w:rsid w:val="00B828F5"/>
    <w:rsid w:val="00B8295C"/>
    <w:rsid w:val="00B82978"/>
    <w:rsid w:val="00B82A0C"/>
    <w:rsid w:val="00B82A20"/>
    <w:rsid w:val="00B82A42"/>
    <w:rsid w:val="00B82A7F"/>
    <w:rsid w:val="00B82B35"/>
    <w:rsid w:val="00B82B47"/>
    <w:rsid w:val="00B82B93"/>
    <w:rsid w:val="00B82BFA"/>
    <w:rsid w:val="00B82C76"/>
    <w:rsid w:val="00B82CA8"/>
    <w:rsid w:val="00B82D6B"/>
    <w:rsid w:val="00B82D78"/>
    <w:rsid w:val="00B82E34"/>
    <w:rsid w:val="00B82EA9"/>
    <w:rsid w:val="00B82F99"/>
    <w:rsid w:val="00B82FBF"/>
    <w:rsid w:val="00B82FD2"/>
    <w:rsid w:val="00B82FF4"/>
    <w:rsid w:val="00B83085"/>
    <w:rsid w:val="00B830D3"/>
    <w:rsid w:val="00B830FB"/>
    <w:rsid w:val="00B83158"/>
    <w:rsid w:val="00B8319F"/>
    <w:rsid w:val="00B831C4"/>
    <w:rsid w:val="00B83214"/>
    <w:rsid w:val="00B8321C"/>
    <w:rsid w:val="00B8321F"/>
    <w:rsid w:val="00B83220"/>
    <w:rsid w:val="00B83231"/>
    <w:rsid w:val="00B83292"/>
    <w:rsid w:val="00B83295"/>
    <w:rsid w:val="00B832E5"/>
    <w:rsid w:val="00B832FC"/>
    <w:rsid w:val="00B8332E"/>
    <w:rsid w:val="00B833AA"/>
    <w:rsid w:val="00B833B6"/>
    <w:rsid w:val="00B833F3"/>
    <w:rsid w:val="00B8342A"/>
    <w:rsid w:val="00B83430"/>
    <w:rsid w:val="00B83456"/>
    <w:rsid w:val="00B834B4"/>
    <w:rsid w:val="00B834F4"/>
    <w:rsid w:val="00B834FE"/>
    <w:rsid w:val="00B835B3"/>
    <w:rsid w:val="00B835BD"/>
    <w:rsid w:val="00B8362E"/>
    <w:rsid w:val="00B83644"/>
    <w:rsid w:val="00B836BA"/>
    <w:rsid w:val="00B836D9"/>
    <w:rsid w:val="00B836E8"/>
    <w:rsid w:val="00B8375B"/>
    <w:rsid w:val="00B83790"/>
    <w:rsid w:val="00B837F6"/>
    <w:rsid w:val="00B83819"/>
    <w:rsid w:val="00B83960"/>
    <w:rsid w:val="00B8396D"/>
    <w:rsid w:val="00B83AA4"/>
    <w:rsid w:val="00B83AE9"/>
    <w:rsid w:val="00B83B79"/>
    <w:rsid w:val="00B83B87"/>
    <w:rsid w:val="00B83BEA"/>
    <w:rsid w:val="00B83C27"/>
    <w:rsid w:val="00B83C54"/>
    <w:rsid w:val="00B83C73"/>
    <w:rsid w:val="00B83CC6"/>
    <w:rsid w:val="00B83D22"/>
    <w:rsid w:val="00B83D7C"/>
    <w:rsid w:val="00B83EB6"/>
    <w:rsid w:val="00B83EDB"/>
    <w:rsid w:val="00B83F4C"/>
    <w:rsid w:val="00B83F5B"/>
    <w:rsid w:val="00B83FB5"/>
    <w:rsid w:val="00B83FE3"/>
    <w:rsid w:val="00B84009"/>
    <w:rsid w:val="00B840EB"/>
    <w:rsid w:val="00B84121"/>
    <w:rsid w:val="00B841A0"/>
    <w:rsid w:val="00B8437B"/>
    <w:rsid w:val="00B84400"/>
    <w:rsid w:val="00B844EA"/>
    <w:rsid w:val="00B84525"/>
    <w:rsid w:val="00B84583"/>
    <w:rsid w:val="00B846EF"/>
    <w:rsid w:val="00B84793"/>
    <w:rsid w:val="00B8479E"/>
    <w:rsid w:val="00B847BA"/>
    <w:rsid w:val="00B847BD"/>
    <w:rsid w:val="00B847DA"/>
    <w:rsid w:val="00B84806"/>
    <w:rsid w:val="00B84849"/>
    <w:rsid w:val="00B848C8"/>
    <w:rsid w:val="00B84932"/>
    <w:rsid w:val="00B84947"/>
    <w:rsid w:val="00B849C8"/>
    <w:rsid w:val="00B849E1"/>
    <w:rsid w:val="00B84A06"/>
    <w:rsid w:val="00B84A59"/>
    <w:rsid w:val="00B84BBE"/>
    <w:rsid w:val="00B84C01"/>
    <w:rsid w:val="00B84C16"/>
    <w:rsid w:val="00B84C22"/>
    <w:rsid w:val="00B84C5D"/>
    <w:rsid w:val="00B84CCE"/>
    <w:rsid w:val="00B84D2E"/>
    <w:rsid w:val="00B84D42"/>
    <w:rsid w:val="00B84D4D"/>
    <w:rsid w:val="00B84D69"/>
    <w:rsid w:val="00B84D9C"/>
    <w:rsid w:val="00B84EB9"/>
    <w:rsid w:val="00B84EBA"/>
    <w:rsid w:val="00B84F6E"/>
    <w:rsid w:val="00B84FB6"/>
    <w:rsid w:val="00B85008"/>
    <w:rsid w:val="00B85033"/>
    <w:rsid w:val="00B8503A"/>
    <w:rsid w:val="00B850DE"/>
    <w:rsid w:val="00B85191"/>
    <w:rsid w:val="00B851D4"/>
    <w:rsid w:val="00B85205"/>
    <w:rsid w:val="00B8527C"/>
    <w:rsid w:val="00B8528A"/>
    <w:rsid w:val="00B852AE"/>
    <w:rsid w:val="00B852DD"/>
    <w:rsid w:val="00B852EC"/>
    <w:rsid w:val="00B85332"/>
    <w:rsid w:val="00B85470"/>
    <w:rsid w:val="00B854C2"/>
    <w:rsid w:val="00B854F0"/>
    <w:rsid w:val="00B854FE"/>
    <w:rsid w:val="00B855D5"/>
    <w:rsid w:val="00B85684"/>
    <w:rsid w:val="00B85693"/>
    <w:rsid w:val="00B856C2"/>
    <w:rsid w:val="00B856FD"/>
    <w:rsid w:val="00B85771"/>
    <w:rsid w:val="00B8578D"/>
    <w:rsid w:val="00B857C0"/>
    <w:rsid w:val="00B857D7"/>
    <w:rsid w:val="00B8585E"/>
    <w:rsid w:val="00B8587E"/>
    <w:rsid w:val="00B858B4"/>
    <w:rsid w:val="00B858C6"/>
    <w:rsid w:val="00B858E8"/>
    <w:rsid w:val="00B858FB"/>
    <w:rsid w:val="00B85912"/>
    <w:rsid w:val="00B85952"/>
    <w:rsid w:val="00B859CE"/>
    <w:rsid w:val="00B859F5"/>
    <w:rsid w:val="00B85AC5"/>
    <w:rsid w:val="00B85B92"/>
    <w:rsid w:val="00B85BB1"/>
    <w:rsid w:val="00B85BD4"/>
    <w:rsid w:val="00B85C07"/>
    <w:rsid w:val="00B85C17"/>
    <w:rsid w:val="00B85C26"/>
    <w:rsid w:val="00B85C31"/>
    <w:rsid w:val="00B85C6E"/>
    <w:rsid w:val="00B85CF1"/>
    <w:rsid w:val="00B85D2D"/>
    <w:rsid w:val="00B85D3F"/>
    <w:rsid w:val="00B85D59"/>
    <w:rsid w:val="00B85D9D"/>
    <w:rsid w:val="00B85DAD"/>
    <w:rsid w:val="00B85DFE"/>
    <w:rsid w:val="00B85E7D"/>
    <w:rsid w:val="00B85F16"/>
    <w:rsid w:val="00B85F41"/>
    <w:rsid w:val="00B85F8D"/>
    <w:rsid w:val="00B85FEF"/>
    <w:rsid w:val="00B86033"/>
    <w:rsid w:val="00B8605E"/>
    <w:rsid w:val="00B8606E"/>
    <w:rsid w:val="00B8609A"/>
    <w:rsid w:val="00B86121"/>
    <w:rsid w:val="00B861B6"/>
    <w:rsid w:val="00B861C6"/>
    <w:rsid w:val="00B861D8"/>
    <w:rsid w:val="00B8621D"/>
    <w:rsid w:val="00B86243"/>
    <w:rsid w:val="00B8625D"/>
    <w:rsid w:val="00B8626C"/>
    <w:rsid w:val="00B86332"/>
    <w:rsid w:val="00B8634E"/>
    <w:rsid w:val="00B86361"/>
    <w:rsid w:val="00B8637A"/>
    <w:rsid w:val="00B8639F"/>
    <w:rsid w:val="00B863A6"/>
    <w:rsid w:val="00B863BC"/>
    <w:rsid w:val="00B86434"/>
    <w:rsid w:val="00B864A9"/>
    <w:rsid w:val="00B864C9"/>
    <w:rsid w:val="00B8650C"/>
    <w:rsid w:val="00B8651E"/>
    <w:rsid w:val="00B86576"/>
    <w:rsid w:val="00B8657C"/>
    <w:rsid w:val="00B8657D"/>
    <w:rsid w:val="00B86585"/>
    <w:rsid w:val="00B8659E"/>
    <w:rsid w:val="00B865A6"/>
    <w:rsid w:val="00B865E8"/>
    <w:rsid w:val="00B86603"/>
    <w:rsid w:val="00B8663C"/>
    <w:rsid w:val="00B866AE"/>
    <w:rsid w:val="00B86706"/>
    <w:rsid w:val="00B867A3"/>
    <w:rsid w:val="00B867EB"/>
    <w:rsid w:val="00B86820"/>
    <w:rsid w:val="00B868A8"/>
    <w:rsid w:val="00B868C4"/>
    <w:rsid w:val="00B868CD"/>
    <w:rsid w:val="00B868E1"/>
    <w:rsid w:val="00B8692F"/>
    <w:rsid w:val="00B8693E"/>
    <w:rsid w:val="00B869B5"/>
    <w:rsid w:val="00B86A9E"/>
    <w:rsid w:val="00B86AD3"/>
    <w:rsid w:val="00B86BA3"/>
    <w:rsid w:val="00B86BBC"/>
    <w:rsid w:val="00B86BC1"/>
    <w:rsid w:val="00B86C78"/>
    <w:rsid w:val="00B86C99"/>
    <w:rsid w:val="00B86CB3"/>
    <w:rsid w:val="00B86CB7"/>
    <w:rsid w:val="00B86D04"/>
    <w:rsid w:val="00B86D7C"/>
    <w:rsid w:val="00B86D88"/>
    <w:rsid w:val="00B86E65"/>
    <w:rsid w:val="00B86FD3"/>
    <w:rsid w:val="00B87032"/>
    <w:rsid w:val="00B87056"/>
    <w:rsid w:val="00B87087"/>
    <w:rsid w:val="00B870CA"/>
    <w:rsid w:val="00B870EF"/>
    <w:rsid w:val="00B8719D"/>
    <w:rsid w:val="00B871A2"/>
    <w:rsid w:val="00B871A8"/>
    <w:rsid w:val="00B871B3"/>
    <w:rsid w:val="00B871E9"/>
    <w:rsid w:val="00B872B5"/>
    <w:rsid w:val="00B872F8"/>
    <w:rsid w:val="00B87307"/>
    <w:rsid w:val="00B87345"/>
    <w:rsid w:val="00B87436"/>
    <w:rsid w:val="00B874DA"/>
    <w:rsid w:val="00B87547"/>
    <w:rsid w:val="00B87567"/>
    <w:rsid w:val="00B875A0"/>
    <w:rsid w:val="00B875A4"/>
    <w:rsid w:val="00B87627"/>
    <w:rsid w:val="00B8765A"/>
    <w:rsid w:val="00B8767F"/>
    <w:rsid w:val="00B876D8"/>
    <w:rsid w:val="00B8770B"/>
    <w:rsid w:val="00B8770C"/>
    <w:rsid w:val="00B8774D"/>
    <w:rsid w:val="00B877E3"/>
    <w:rsid w:val="00B87802"/>
    <w:rsid w:val="00B8780F"/>
    <w:rsid w:val="00B87811"/>
    <w:rsid w:val="00B878BF"/>
    <w:rsid w:val="00B8795A"/>
    <w:rsid w:val="00B879A8"/>
    <w:rsid w:val="00B879D9"/>
    <w:rsid w:val="00B879E2"/>
    <w:rsid w:val="00B87A00"/>
    <w:rsid w:val="00B87A04"/>
    <w:rsid w:val="00B87A32"/>
    <w:rsid w:val="00B87A93"/>
    <w:rsid w:val="00B87B12"/>
    <w:rsid w:val="00B87B44"/>
    <w:rsid w:val="00B87B8B"/>
    <w:rsid w:val="00B87B94"/>
    <w:rsid w:val="00B87B98"/>
    <w:rsid w:val="00B87B99"/>
    <w:rsid w:val="00B87BB2"/>
    <w:rsid w:val="00B87D07"/>
    <w:rsid w:val="00B87D23"/>
    <w:rsid w:val="00B87E4A"/>
    <w:rsid w:val="00B87F21"/>
    <w:rsid w:val="00B87F9C"/>
    <w:rsid w:val="00B87FC3"/>
    <w:rsid w:val="00B87FCA"/>
    <w:rsid w:val="00B90109"/>
    <w:rsid w:val="00B90139"/>
    <w:rsid w:val="00B90150"/>
    <w:rsid w:val="00B9020C"/>
    <w:rsid w:val="00B9020F"/>
    <w:rsid w:val="00B90217"/>
    <w:rsid w:val="00B902DD"/>
    <w:rsid w:val="00B90384"/>
    <w:rsid w:val="00B90386"/>
    <w:rsid w:val="00B903EF"/>
    <w:rsid w:val="00B9042B"/>
    <w:rsid w:val="00B90441"/>
    <w:rsid w:val="00B90472"/>
    <w:rsid w:val="00B9047B"/>
    <w:rsid w:val="00B904A6"/>
    <w:rsid w:val="00B9051C"/>
    <w:rsid w:val="00B90540"/>
    <w:rsid w:val="00B905A9"/>
    <w:rsid w:val="00B9064E"/>
    <w:rsid w:val="00B90696"/>
    <w:rsid w:val="00B906C3"/>
    <w:rsid w:val="00B906CA"/>
    <w:rsid w:val="00B90763"/>
    <w:rsid w:val="00B90766"/>
    <w:rsid w:val="00B90781"/>
    <w:rsid w:val="00B9083F"/>
    <w:rsid w:val="00B90856"/>
    <w:rsid w:val="00B908E1"/>
    <w:rsid w:val="00B90920"/>
    <w:rsid w:val="00B90924"/>
    <w:rsid w:val="00B9096A"/>
    <w:rsid w:val="00B9097A"/>
    <w:rsid w:val="00B909CA"/>
    <w:rsid w:val="00B909FB"/>
    <w:rsid w:val="00B90A05"/>
    <w:rsid w:val="00B90A2D"/>
    <w:rsid w:val="00B90A92"/>
    <w:rsid w:val="00B90B3E"/>
    <w:rsid w:val="00B90B48"/>
    <w:rsid w:val="00B90B83"/>
    <w:rsid w:val="00B90BB5"/>
    <w:rsid w:val="00B90BD8"/>
    <w:rsid w:val="00B90C09"/>
    <w:rsid w:val="00B90C21"/>
    <w:rsid w:val="00B90C32"/>
    <w:rsid w:val="00B90CF7"/>
    <w:rsid w:val="00B90D9D"/>
    <w:rsid w:val="00B90DB6"/>
    <w:rsid w:val="00B90DD5"/>
    <w:rsid w:val="00B90E64"/>
    <w:rsid w:val="00B90EE4"/>
    <w:rsid w:val="00B90EEF"/>
    <w:rsid w:val="00B90F1E"/>
    <w:rsid w:val="00B90FFD"/>
    <w:rsid w:val="00B9105A"/>
    <w:rsid w:val="00B91092"/>
    <w:rsid w:val="00B910AD"/>
    <w:rsid w:val="00B910D3"/>
    <w:rsid w:val="00B9113C"/>
    <w:rsid w:val="00B91151"/>
    <w:rsid w:val="00B911A9"/>
    <w:rsid w:val="00B91296"/>
    <w:rsid w:val="00B912BC"/>
    <w:rsid w:val="00B912C6"/>
    <w:rsid w:val="00B91300"/>
    <w:rsid w:val="00B91317"/>
    <w:rsid w:val="00B913C8"/>
    <w:rsid w:val="00B913D9"/>
    <w:rsid w:val="00B913EF"/>
    <w:rsid w:val="00B91408"/>
    <w:rsid w:val="00B91476"/>
    <w:rsid w:val="00B9149A"/>
    <w:rsid w:val="00B914C5"/>
    <w:rsid w:val="00B914D9"/>
    <w:rsid w:val="00B916DD"/>
    <w:rsid w:val="00B916E1"/>
    <w:rsid w:val="00B9174B"/>
    <w:rsid w:val="00B9174F"/>
    <w:rsid w:val="00B91766"/>
    <w:rsid w:val="00B917D4"/>
    <w:rsid w:val="00B91941"/>
    <w:rsid w:val="00B91998"/>
    <w:rsid w:val="00B919AC"/>
    <w:rsid w:val="00B919D9"/>
    <w:rsid w:val="00B919F6"/>
    <w:rsid w:val="00B91A11"/>
    <w:rsid w:val="00B91A38"/>
    <w:rsid w:val="00B91A79"/>
    <w:rsid w:val="00B91AE5"/>
    <w:rsid w:val="00B91B38"/>
    <w:rsid w:val="00B91B9B"/>
    <w:rsid w:val="00B91BA7"/>
    <w:rsid w:val="00B91BB1"/>
    <w:rsid w:val="00B91BDF"/>
    <w:rsid w:val="00B91C01"/>
    <w:rsid w:val="00B91C30"/>
    <w:rsid w:val="00B91C40"/>
    <w:rsid w:val="00B91C55"/>
    <w:rsid w:val="00B91CA7"/>
    <w:rsid w:val="00B91D13"/>
    <w:rsid w:val="00B91D56"/>
    <w:rsid w:val="00B91DA1"/>
    <w:rsid w:val="00B91E85"/>
    <w:rsid w:val="00B91F35"/>
    <w:rsid w:val="00B9200F"/>
    <w:rsid w:val="00B9202D"/>
    <w:rsid w:val="00B92049"/>
    <w:rsid w:val="00B920A5"/>
    <w:rsid w:val="00B920C3"/>
    <w:rsid w:val="00B92100"/>
    <w:rsid w:val="00B92137"/>
    <w:rsid w:val="00B92179"/>
    <w:rsid w:val="00B92199"/>
    <w:rsid w:val="00B921C9"/>
    <w:rsid w:val="00B9229A"/>
    <w:rsid w:val="00B922A4"/>
    <w:rsid w:val="00B922BB"/>
    <w:rsid w:val="00B922C1"/>
    <w:rsid w:val="00B922D4"/>
    <w:rsid w:val="00B922DC"/>
    <w:rsid w:val="00B922F5"/>
    <w:rsid w:val="00B9233E"/>
    <w:rsid w:val="00B92385"/>
    <w:rsid w:val="00B9238E"/>
    <w:rsid w:val="00B923B2"/>
    <w:rsid w:val="00B924B2"/>
    <w:rsid w:val="00B924C4"/>
    <w:rsid w:val="00B9253F"/>
    <w:rsid w:val="00B9257E"/>
    <w:rsid w:val="00B9262B"/>
    <w:rsid w:val="00B92639"/>
    <w:rsid w:val="00B9263B"/>
    <w:rsid w:val="00B92661"/>
    <w:rsid w:val="00B926B9"/>
    <w:rsid w:val="00B926DA"/>
    <w:rsid w:val="00B92765"/>
    <w:rsid w:val="00B927AB"/>
    <w:rsid w:val="00B92800"/>
    <w:rsid w:val="00B92807"/>
    <w:rsid w:val="00B9284C"/>
    <w:rsid w:val="00B92893"/>
    <w:rsid w:val="00B928C7"/>
    <w:rsid w:val="00B92994"/>
    <w:rsid w:val="00B92999"/>
    <w:rsid w:val="00B929B9"/>
    <w:rsid w:val="00B929C7"/>
    <w:rsid w:val="00B929FD"/>
    <w:rsid w:val="00B92A0D"/>
    <w:rsid w:val="00B92A14"/>
    <w:rsid w:val="00B92A42"/>
    <w:rsid w:val="00B92A7C"/>
    <w:rsid w:val="00B92A8B"/>
    <w:rsid w:val="00B92ABF"/>
    <w:rsid w:val="00B92AD4"/>
    <w:rsid w:val="00B92B05"/>
    <w:rsid w:val="00B92B16"/>
    <w:rsid w:val="00B92BE1"/>
    <w:rsid w:val="00B92C57"/>
    <w:rsid w:val="00B92C64"/>
    <w:rsid w:val="00B92C99"/>
    <w:rsid w:val="00B92DC2"/>
    <w:rsid w:val="00B92E46"/>
    <w:rsid w:val="00B92EC0"/>
    <w:rsid w:val="00B92EF0"/>
    <w:rsid w:val="00B92F07"/>
    <w:rsid w:val="00B92F26"/>
    <w:rsid w:val="00B92F5C"/>
    <w:rsid w:val="00B92F82"/>
    <w:rsid w:val="00B92F86"/>
    <w:rsid w:val="00B92FA9"/>
    <w:rsid w:val="00B92FD7"/>
    <w:rsid w:val="00B92FE8"/>
    <w:rsid w:val="00B93081"/>
    <w:rsid w:val="00B93083"/>
    <w:rsid w:val="00B930A0"/>
    <w:rsid w:val="00B930AB"/>
    <w:rsid w:val="00B930F8"/>
    <w:rsid w:val="00B93126"/>
    <w:rsid w:val="00B9312C"/>
    <w:rsid w:val="00B93146"/>
    <w:rsid w:val="00B931CB"/>
    <w:rsid w:val="00B931F2"/>
    <w:rsid w:val="00B9325D"/>
    <w:rsid w:val="00B93282"/>
    <w:rsid w:val="00B93289"/>
    <w:rsid w:val="00B93302"/>
    <w:rsid w:val="00B9332A"/>
    <w:rsid w:val="00B93360"/>
    <w:rsid w:val="00B93398"/>
    <w:rsid w:val="00B933B2"/>
    <w:rsid w:val="00B9354C"/>
    <w:rsid w:val="00B9356D"/>
    <w:rsid w:val="00B935E8"/>
    <w:rsid w:val="00B935F0"/>
    <w:rsid w:val="00B935F1"/>
    <w:rsid w:val="00B93649"/>
    <w:rsid w:val="00B9372D"/>
    <w:rsid w:val="00B93781"/>
    <w:rsid w:val="00B937C5"/>
    <w:rsid w:val="00B937F1"/>
    <w:rsid w:val="00B937F3"/>
    <w:rsid w:val="00B9382F"/>
    <w:rsid w:val="00B93891"/>
    <w:rsid w:val="00B93935"/>
    <w:rsid w:val="00B939C1"/>
    <w:rsid w:val="00B939E5"/>
    <w:rsid w:val="00B93A72"/>
    <w:rsid w:val="00B93AC3"/>
    <w:rsid w:val="00B93AE3"/>
    <w:rsid w:val="00B93AE6"/>
    <w:rsid w:val="00B93C16"/>
    <w:rsid w:val="00B93CC1"/>
    <w:rsid w:val="00B93CD8"/>
    <w:rsid w:val="00B93D4F"/>
    <w:rsid w:val="00B93D97"/>
    <w:rsid w:val="00B93DC1"/>
    <w:rsid w:val="00B93DC9"/>
    <w:rsid w:val="00B93E56"/>
    <w:rsid w:val="00B93E7A"/>
    <w:rsid w:val="00B93EA7"/>
    <w:rsid w:val="00B93EBC"/>
    <w:rsid w:val="00B93F2A"/>
    <w:rsid w:val="00B93F32"/>
    <w:rsid w:val="00B93F4D"/>
    <w:rsid w:val="00B93F7B"/>
    <w:rsid w:val="00B93FAB"/>
    <w:rsid w:val="00B93FB2"/>
    <w:rsid w:val="00B93FDE"/>
    <w:rsid w:val="00B94077"/>
    <w:rsid w:val="00B9410F"/>
    <w:rsid w:val="00B94137"/>
    <w:rsid w:val="00B94147"/>
    <w:rsid w:val="00B9418F"/>
    <w:rsid w:val="00B941A3"/>
    <w:rsid w:val="00B941C6"/>
    <w:rsid w:val="00B941FA"/>
    <w:rsid w:val="00B9421C"/>
    <w:rsid w:val="00B9421E"/>
    <w:rsid w:val="00B9422C"/>
    <w:rsid w:val="00B94242"/>
    <w:rsid w:val="00B94318"/>
    <w:rsid w:val="00B94328"/>
    <w:rsid w:val="00B94335"/>
    <w:rsid w:val="00B9436E"/>
    <w:rsid w:val="00B94385"/>
    <w:rsid w:val="00B94397"/>
    <w:rsid w:val="00B943DC"/>
    <w:rsid w:val="00B943E6"/>
    <w:rsid w:val="00B94452"/>
    <w:rsid w:val="00B944D1"/>
    <w:rsid w:val="00B94574"/>
    <w:rsid w:val="00B945C2"/>
    <w:rsid w:val="00B94604"/>
    <w:rsid w:val="00B94678"/>
    <w:rsid w:val="00B9468A"/>
    <w:rsid w:val="00B946A8"/>
    <w:rsid w:val="00B946BB"/>
    <w:rsid w:val="00B94701"/>
    <w:rsid w:val="00B94705"/>
    <w:rsid w:val="00B9476E"/>
    <w:rsid w:val="00B94791"/>
    <w:rsid w:val="00B947A8"/>
    <w:rsid w:val="00B947C6"/>
    <w:rsid w:val="00B947E9"/>
    <w:rsid w:val="00B94807"/>
    <w:rsid w:val="00B94897"/>
    <w:rsid w:val="00B948FF"/>
    <w:rsid w:val="00B94927"/>
    <w:rsid w:val="00B9492E"/>
    <w:rsid w:val="00B94940"/>
    <w:rsid w:val="00B9494F"/>
    <w:rsid w:val="00B9495D"/>
    <w:rsid w:val="00B94960"/>
    <w:rsid w:val="00B94972"/>
    <w:rsid w:val="00B94973"/>
    <w:rsid w:val="00B949CD"/>
    <w:rsid w:val="00B949E7"/>
    <w:rsid w:val="00B949E8"/>
    <w:rsid w:val="00B94A07"/>
    <w:rsid w:val="00B94A1D"/>
    <w:rsid w:val="00B94A56"/>
    <w:rsid w:val="00B94A7D"/>
    <w:rsid w:val="00B94A96"/>
    <w:rsid w:val="00B94A9E"/>
    <w:rsid w:val="00B94AF9"/>
    <w:rsid w:val="00B94B2B"/>
    <w:rsid w:val="00B94B38"/>
    <w:rsid w:val="00B94BF6"/>
    <w:rsid w:val="00B94C06"/>
    <w:rsid w:val="00B94C72"/>
    <w:rsid w:val="00B94D48"/>
    <w:rsid w:val="00B94D7B"/>
    <w:rsid w:val="00B94DA7"/>
    <w:rsid w:val="00B94DF8"/>
    <w:rsid w:val="00B94EA5"/>
    <w:rsid w:val="00B94EF8"/>
    <w:rsid w:val="00B94F3D"/>
    <w:rsid w:val="00B94F8A"/>
    <w:rsid w:val="00B94FC0"/>
    <w:rsid w:val="00B95009"/>
    <w:rsid w:val="00B9500D"/>
    <w:rsid w:val="00B9501A"/>
    <w:rsid w:val="00B95035"/>
    <w:rsid w:val="00B9516F"/>
    <w:rsid w:val="00B95188"/>
    <w:rsid w:val="00B9518A"/>
    <w:rsid w:val="00B951C7"/>
    <w:rsid w:val="00B951E5"/>
    <w:rsid w:val="00B951FB"/>
    <w:rsid w:val="00B951FF"/>
    <w:rsid w:val="00B9520D"/>
    <w:rsid w:val="00B95227"/>
    <w:rsid w:val="00B95258"/>
    <w:rsid w:val="00B95293"/>
    <w:rsid w:val="00B952CC"/>
    <w:rsid w:val="00B952EF"/>
    <w:rsid w:val="00B9531C"/>
    <w:rsid w:val="00B9537F"/>
    <w:rsid w:val="00B953C2"/>
    <w:rsid w:val="00B953DC"/>
    <w:rsid w:val="00B953F3"/>
    <w:rsid w:val="00B95458"/>
    <w:rsid w:val="00B9549A"/>
    <w:rsid w:val="00B954E4"/>
    <w:rsid w:val="00B95553"/>
    <w:rsid w:val="00B9555A"/>
    <w:rsid w:val="00B95570"/>
    <w:rsid w:val="00B95574"/>
    <w:rsid w:val="00B9557C"/>
    <w:rsid w:val="00B955A1"/>
    <w:rsid w:val="00B955B7"/>
    <w:rsid w:val="00B95610"/>
    <w:rsid w:val="00B956A5"/>
    <w:rsid w:val="00B956A7"/>
    <w:rsid w:val="00B956BF"/>
    <w:rsid w:val="00B956F0"/>
    <w:rsid w:val="00B957A3"/>
    <w:rsid w:val="00B957BE"/>
    <w:rsid w:val="00B957ED"/>
    <w:rsid w:val="00B957FA"/>
    <w:rsid w:val="00B95832"/>
    <w:rsid w:val="00B9584E"/>
    <w:rsid w:val="00B95875"/>
    <w:rsid w:val="00B958E7"/>
    <w:rsid w:val="00B958FB"/>
    <w:rsid w:val="00B9593A"/>
    <w:rsid w:val="00B95964"/>
    <w:rsid w:val="00B95973"/>
    <w:rsid w:val="00B959BB"/>
    <w:rsid w:val="00B959C1"/>
    <w:rsid w:val="00B959EB"/>
    <w:rsid w:val="00B95A10"/>
    <w:rsid w:val="00B95A1C"/>
    <w:rsid w:val="00B95A9D"/>
    <w:rsid w:val="00B95AD1"/>
    <w:rsid w:val="00B95AF6"/>
    <w:rsid w:val="00B95B60"/>
    <w:rsid w:val="00B95B6A"/>
    <w:rsid w:val="00B95B90"/>
    <w:rsid w:val="00B95BC0"/>
    <w:rsid w:val="00B95BEC"/>
    <w:rsid w:val="00B95C17"/>
    <w:rsid w:val="00B95C52"/>
    <w:rsid w:val="00B95CF8"/>
    <w:rsid w:val="00B95D02"/>
    <w:rsid w:val="00B95D0A"/>
    <w:rsid w:val="00B95DE2"/>
    <w:rsid w:val="00B95E07"/>
    <w:rsid w:val="00B95E3A"/>
    <w:rsid w:val="00B95E4D"/>
    <w:rsid w:val="00B95E78"/>
    <w:rsid w:val="00B95F09"/>
    <w:rsid w:val="00B96049"/>
    <w:rsid w:val="00B96081"/>
    <w:rsid w:val="00B9610E"/>
    <w:rsid w:val="00B96131"/>
    <w:rsid w:val="00B9619F"/>
    <w:rsid w:val="00B961E7"/>
    <w:rsid w:val="00B96236"/>
    <w:rsid w:val="00B9624D"/>
    <w:rsid w:val="00B9625E"/>
    <w:rsid w:val="00B9627D"/>
    <w:rsid w:val="00B962A2"/>
    <w:rsid w:val="00B96321"/>
    <w:rsid w:val="00B96342"/>
    <w:rsid w:val="00B96402"/>
    <w:rsid w:val="00B9643C"/>
    <w:rsid w:val="00B96450"/>
    <w:rsid w:val="00B966CF"/>
    <w:rsid w:val="00B96775"/>
    <w:rsid w:val="00B9682A"/>
    <w:rsid w:val="00B96837"/>
    <w:rsid w:val="00B96879"/>
    <w:rsid w:val="00B9687A"/>
    <w:rsid w:val="00B9689E"/>
    <w:rsid w:val="00B96925"/>
    <w:rsid w:val="00B969E0"/>
    <w:rsid w:val="00B96A1E"/>
    <w:rsid w:val="00B96A8C"/>
    <w:rsid w:val="00B96AFD"/>
    <w:rsid w:val="00B96B03"/>
    <w:rsid w:val="00B96B52"/>
    <w:rsid w:val="00B96BCB"/>
    <w:rsid w:val="00B96BF8"/>
    <w:rsid w:val="00B96C65"/>
    <w:rsid w:val="00B96C8C"/>
    <w:rsid w:val="00B96CF7"/>
    <w:rsid w:val="00B96D3F"/>
    <w:rsid w:val="00B96D40"/>
    <w:rsid w:val="00B96DB0"/>
    <w:rsid w:val="00B96DE7"/>
    <w:rsid w:val="00B96DF7"/>
    <w:rsid w:val="00B96E12"/>
    <w:rsid w:val="00B96F47"/>
    <w:rsid w:val="00B96F7C"/>
    <w:rsid w:val="00B96FD9"/>
    <w:rsid w:val="00B96FFE"/>
    <w:rsid w:val="00B97006"/>
    <w:rsid w:val="00B97038"/>
    <w:rsid w:val="00B97072"/>
    <w:rsid w:val="00B970F8"/>
    <w:rsid w:val="00B9714D"/>
    <w:rsid w:val="00B971AA"/>
    <w:rsid w:val="00B971F8"/>
    <w:rsid w:val="00B97205"/>
    <w:rsid w:val="00B9723A"/>
    <w:rsid w:val="00B9723E"/>
    <w:rsid w:val="00B97262"/>
    <w:rsid w:val="00B972DF"/>
    <w:rsid w:val="00B97326"/>
    <w:rsid w:val="00B9732A"/>
    <w:rsid w:val="00B97339"/>
    <w:rsid w:val="00B97394"/>
    <w:rsid w:val="00B973CD"/>
    <w:rsid w:val="00B973D3"/>
    <w:rsid w:val="00B97402"/>
    <w:rsid w:val="00B9745B"/>
    <w:rsid w:val="00B97494"/>
    <w:rsid w:val="00B9749E"/>
    <w:rsid w:val="00B9752B"/>
    <w:rsid w:val="00B97572"/>
    <w:rsid w:val="00B97593"/>
    <w:rsid w:val="00B97598"/>
    <w:rsid w:val="00B9761C"/>
    <w:rsid w:val="00B97637"/>
    <w:rsid w:val="00B97647"/>
    <w:rsid w:val="00B97778"/>
    <w:rsid w:val="00B97789"/>
    <w:rsid w:val="00B9780C"/>
    <w:rsid w:val="00B9781F"/>
    <w:rsid w:val="00B9782C"/>
    <w:rsid w:val="00B97835"/>
    <w:rsid w:val="00B97851"/>
    <w:rsid w:val="00B97858"/>
    <w:rsid w:val="00B97861"/>
    <w:rsid w:val="00B97882"/>
    <w:rsid w:val="00B97925"/>
    <w:rsid w:val="00B9793A"/>
    <w:rsid w:val="00B97946"/>
    <w:rsid w:val="00B97952"/>
    <w:rsid w:val="00B97958"/>
    <w:rsid w:val="00B9795B"/>
    <w:rsid w:val="00B97970"/>
    <w:rsid w:val="00B979C4"/>
    <w:rsid w:val="00B979D4"/>
    <w:rsid w:val="00B97A41"/>
    <w:rsid w:val="00B97A45"/>
    <w:rsid w:val="00B97A6D"/>
    <w:rsid w:val="00B97A80"/>
    <w:rsid w:val="00B97AA4"/>
    <w:rsid w:val="00B97AC9"/>
    <w:rsid w:val="00B97B3C"/>
    <w:rsid w:val="00B97B6D"/>
    <w:rsid w:val="00B97B81"/>
    <w:rsid w:val="00B97BA9"/>
    <w:rsid w:val="00B97BD7"/>
    <w:rsid w:val="00B97C01"/>
    <w:rsid w:val="00B97CD2"/>
    <w:rsid w:val="00B97CDB"/>
    <w:rsid w:val="00B97CE9"/>
    <w:rsid w:val="00B97CF8"/>
    <w:rsid w:val="00B97D2E"/>
    <w:rsid w:val="00B97D3C"/>
    <w:rsid w:val="00B97DEB"/>
    <w:rsid w:val="00B97DF2"/>
    <w:rsid w:val="00B97E9A"/>
    <w:rsid w:val="00B97ECF"/>
    <w:rsid w:val="00B97EEC"/>
    <w:rsid w:val="00B97EF1"/>
    <w:rsid w:val="00B97EF5"/>
    <w:rsid w:val="00B97F14"/>
    <w:rsid w:val="00B97FD8"/>
    <w:rsid w:val="00B97FE7"/>
    <w:rsid w:val="00BA008B"/>
    <w:rsid w:val="00BA0096"/>
    <w:rsid w:val="00BA0129"/>
    <w:rsid w:val="00BA0163"/>
    <w:rsid w:val="00BA018A"/>
    <w:rsid w:val="00BA02A2"/>
    <w:rsid w:val="00BA0422"/>
    <w:rsid w:val="00BA042E"/>
    <w:rsid w:val="00BA0441"/>
    <w:rsid w:val="00BA0472"/>
    <w:rsid w:val="00BA0495"/>
    <w:rsid w:val="00BA04EA"/>
    <w:rsid w:val="00BA0588"/>
    <w:rsid w:val="00BA0611"/>
    <w:rsid w:val="00BA067F"/>
    <w:rsid w:val="00BA068F"/>
    <w:rsid w:val="00BA0693"/>
    <w:rsid w:val="00BA06BB"/>
    <w:rsid w:val="00BA071A"/>
    <w:rsid w:val="00BA0771"/>
    <w:rsid w:val="00BA0788"/>
    <w:rsid w:val="00BA07C2"/>
    <w:rsid w:val="00BA07E6"/>
    <w:rsid w:val="00BA0859"/>
    <w:rsid w:val="00BA0873"/>
    <w:rsid w:val="00BA0885"/>
    <w:rsid w:val="00BA088B"/>
    <w:rsid w:val="00BA08C4"/>
    <w:rsid w:val="00BA08F2"/>
    <w:rsid w:val="00BA091E"/>
    <w:rsid w:val="00BA0953"/>
    <w:rsid w:val="00BA097A"/>
    <w:rsid w:val="00BA0B16"/>
    <w:rsid w:val="00BA0B1F"/>
    <w:rsid w:val="00BA0B4A"/>
    <w:rsid w:val="00BA0BF6"/>
    <w:rsid w:val="00BA0C18"/>
    <w:rsid w:val="00BA0C74"/>
    <w:rsid w:val="00BA0C87"/>
    <w:rsid w:val="00BA0CB9"/>
    <w:rsid w:val="00BA0CE4"/>
    <w:rsid w:val="00BA0D4B"/>
    <w:rsid w:val="00BA0D9E"/>
    <w:rsid w:val="00BA0DA8"/>
    <w:rsid w:val="00BA0DDD"/>
    <w:rsid w:val="00BA0DE1"/>
    <w:rsid w:val="00BA0F27"/>
    <w:rsid w:val="00BA0F81"/>
    <w:rsid w:val="00BA0FB5"/>
    <w:rsid w:val="00BA103B"/>
    <w:rsid w:val="00BA1067"/>
    <w:rsid w:val="00BA1082"/>
    <w:rsid w:val="00BA1154"/>
    <w:rsid w:val="00BA1159"/>
    <w:rsid w:val="00BA117C"/>
    <w:rsid w:val="00BA11B9"/>
    <w:rsid w:val="00BA11CB"/>
    <w:rsid w:val="00BA11DD"/>
    <w:rsid w:val="00BA11E1"/>
    <w:rsid w:val="00BA125B"/>
    <w:rsid w:val="00BA12C1"/>
    <w:rsid w:val="00BA1318"/>
    <w:rsid w:val="00BA1332"/>
    <w:rsid w:val="00BA1347"/>
    <w:rsid w:val="00BA13A5"/>
    <w:rsid w:val="00BA1430"/>
    <w:rsid w:val="00BA1441"/>
    <w:rsid w:val="00BA1448"/>
    <w:rsid w:val="00BA14C1"/>
    <w:rsid w:val="00BA14C7"/>
    <w:rsid w:val="00BA14D3"/>
    <w:rsid w:val="00BA14E5"/>
    <w:rsid w:val="00BA14FF"/>
    <w:rsid w:val="00BA152D"/>
    <w:rsid w:val="00BA15C9"/>
    <w:rsid w:val="00BA1643"/>
    <w:rsid w:val="00BA1655"/>
    <w:rsid w:val="00BA166D"/>
    <w:rsid w:val="00BA1733"/>
    <w:rsid w:val="00BA1782"/>
    <w:rsid w:val="00BA17C6"/>
    <w:rsid w:val="00BA1804"/>
    <w:rsid w:val="00BA1857"/>
    <w:rsid w:val="00BA18C2"/>
    <w:rsid w:val="00BA190B"/>
    <w:rsid w:val="00BA1948"/>
    <w:rsid w:val="00BA1A22"/>
    <w:rsid w:val="00BA1A35"/>
    <w:rsid w:val="00BA1AD4"/>
    <w:rsid w:val="00BA1AE7"/>
    <w:rsid w:val="00BA1AF2"/>
    <w:rsid w:val="00BA1AF4"/>
    <w:rsid w:val="00BA1BC2"/>
    <w:rsid w:val="00BA1BD5"/>
    <w:rsid w:val="00BA1BE2"/>
    <w:rsid w:val="00BA1C98"/>
    <w:rsid w:val="00BA1CC2"/>
    <w:rsid w:val="00BA1D52"/>
    <w:rsid w:val="00BA1D62"/>
    <w:rsid w:val="00BA1D85"/>
    <w:rsid w:val="00BA1DAE"/>
    <w:rsid w:val="00BA1DBE"/>
    <w:rsid w:val="00BA1E37"/>
    <w:rsid w:val="00BA1EC8"/>
    <w:rsid w:val="00BA1EE1"/>
    <w:rsid w:val="00BA1F37"/>
    <w:rsid w:val="00BA1F48"/>
    <w:rsid w:val="00BA1F50"/>
    <w:rsid w:val="00BA1FA4"/>
    <w:rsid w:val="00BA201E"/>
    <w:rsid w:val="00BA202F"/>
    <w:rsid w:val="00BA2089"/>
    <w:rsid w:val="00BA2097"/>
    <w:rsid w:val="00BA20BE"/>
    <w:rsid w:val="00BA2126"/>
    <w:rsid w:val="00BA216E"/>
    <w:rsid w:val="00BA21F0"/>
    <w:rsid w:val="00BA226F"/>
    <w:rsid w:val="00BA2306"/>
    <w:rsid w:val="00BA23A1"/>
    <w:rsid w:val="00BA23C6"/>
    <w:rsid w:val="00BA23F7"/>
    <w:rsid w:val="00BA249F"/>
    <w:rsid w:val="00BA24C6"/>
    <w:rsid w:val="00BA2502"/>
    <w:rsid w:val="00BA2504"/>
    <w:rsid w:val="00BA2512"/>
    <w:rsid w:val="00BA2533"/>
    <w:rsid w:val="00BA257D"/>
    <w:rsid w:val="00BA280D"/>
    <w:rsid w:val="00BA2819"/>
    <w:rsid w:val="00BA294D"/>
    <w:rsid w:val="00BA2995"/>
    <w:rsid w:val="00BA29BE"/>
    <w:rsid w:val="00BA29E4"/>
    <w:rsid w:val="00BA29E5"/>
    <w:rsid w:val="00BA2A31"/>
    <w:rsid w:val="00BA2AA6"/>
    <w:rsid w:val="00BA2B3D"/>
    <w:rsid w:val="00BA2B59"/>
    <w:rsid w:val="00BA2B6E"/>
    <w:rsid w:val="00BA2B7A"/>
    <w:rsid w:val="00BA2B9F"/>
    <w:rsid w:val="00BA2BCB"/>
    <w:rsid w:val="00BA2BFC"/>
    <w:rsid w:val="00BA2C1D"/>
    <w:rsid w:val="00BA2C35"/>
    <w:rsid w:val="00BA2C60"/>
    <w:rsid w:val="00BA2C9C"/>
    <w:rsid w:val="00BA2DEC"/>
    <w:rsid w:val="00BA2DFC"/>
    <w:rsid w:val="00BA2E4D"/>
    <w:rsid w:val="00BA2F5C"/>
    <w:rsid w:val="00BA2F7E"/>
    <w:rsid w:val="00BA2FC3"/>
    <w:rsid w:val="00BA2FC4"/>
    <w:rsid w:val="00BA301A"/>
    <w:rsid w:val="00BA303B"/>
    <w:rsid w:val="00BA304F"/>
    <w:rsid w:val="00BA309A"/>
    <w:rsid w:val="00BA30B8"/>
    <w:rsid w:val="00BA30BC"/>
    <w:rsid w:val="00BA3184"/>
    <w:rsid w:val="00BA31B3"/>
    <w:rsid w:val="00BA3256"/>
    <w:rsid w:val="00BA3264"/>
    <w:rsid w:val="00BA32DF"/>
    <w:rsid w:val="00BA333B"/>
    <w:rsid w:val="00BA335E"/>
    <w:rsid w:val="00BA338D"/>
    <w:rsid w:val="00BA343A"/>
    <w:rsid w:val="00BA3444"/>
    <w:rsid w:val="00BA34A6"/>
    <w:rsid w:val="00BA34ED"/>
    <w:rsid w:val="00BA34F1"/>
    <w:rsid w:val="00BA35E1"/>
    <w:rsid w:val="00BA3625"/>
    <w:rsid w:val="00BA369F"/>
    <w:rsid w:val="00BA3728"/>
    <w:rsid w:val="00BA377F"/>
    <w:rsid w:val="00BA3790"/>
    <w:rsid w:val="00BA379B"/>
    <w:rsid w:val="00BA38E1"/>
    <w:rsid w:val="00BA3924"/>
    <w:rsid w:val="00BA3970"/>
    <w:rsid w:val="00BA3984"/>
    <w:rsid w:val="00BA39B8"/>
    <w:rsid w:val="00BA3A8E"/>
    <w:rsid w:val="00BA3AB8"/>
    <w:rsid w:val="00BA3B36"/>
    <w:rsid w:val="00BA3B66"/>
    <w:rsid w:val="00BA3B73"/>
    <w:rsid w:val="00BA3CA7"/>
    <w:rsid w:val="00BA3CBA"/>
    <w:rsid w:val="00BA3D34"/>
    <w:rsid w:val="00BA3D3F"/>
    <w:rsid w:val="00BA3D73"/>
    <w:rsid w:val="00BA3DFB"/>
    <w:rsid w:val="00BA3EA2"/>
    <w:rsid w:val="00BA3F8C"/>
    <w:rsid w:val="00BA3FEB"/>
    <w:rsid w:val="00BA4016"/>
    <w:rsid w:val="00BA4037"/>
    <w:rsid w:val="00BA4093"/>
    <w:rsid w:val="00BA40AE"/>
    <w:rsid w:val="00BA413B"/>
    <w:rsid w:val="00BA414A"/>
    <w:rsid w:val="00BA4165"/>
    <w:rsid w:val="00BA416E"/>
    <w:rsid w:val="00BA41EA"/>
    <w:rsid w:val="00BA4297"/>
    <w:rsid w:val="00BA42CD"/>
    <w:rsid w:val="00BA4349"/>
    <w:rsid w:val="00BA4359"/>
    <w:rsid w:val="00BA43D1"/>
    <w:rsid w:val="00BA440C"/>
    <w:rsid w:val="00BA4420"/>
    <w:rsid w:val="00BA442A"/>
    <w:rsid w:val="00BA44DC"/>
    <w:rsid w:val="00BA44DF"/>
    <w:rsid w:val="00BA453B"/>
    <w:rsid w:val="00BA45FB"/>
    <w:rsid w:val="00BA4624"/>
    <w:rsid w:val="00BA4697"/>
    <w:rsid w:val="00BA46C3"/>
    <w:rsid w:val="00BA46E0"/>
    <w:rsid w:val="00BA4704"/>
    <w:rsid w:val="00BA483C"/>
    <w:rsid w:val="00BA487A"/>
    <w:rsid w:val="00BA4894"/>
    <w:rsid w:val="00BA48C7"/>
    <w:rsid w:val="00BA4926"/>
    <w:rsid w:val="00BA4927"/>
    <w:rsid w:val="00BA495E"/>
    <w:rsid w:val="00BA4964"/>
    <w:rsid w:val="00BA4965"/>
    <w:rsid w:val="00BA4994"/>
    <w:rsid w:val="00BA499C"/>
    <w:rsid w:val="00BA49F2"/>
    <w:rsid w:val="00BA4A2D"/>
    <w:rsid w:val="00BA4AD0"/>
    <w:rsid w:val="00BA4B19"/>
    <w:rsid w:val="00BA4C50"/>
    <w:rsid w:val="00BA4C90"/>
    <w:rsid w:val="00BA4D74"/>
    <w:rsid w:val="00BA4D7C"/>
    <w:rsid w:val="00BA4D85"/>
    <w:rsid w:val="00BA4DA9"/>
    <w:rsid w:val="00BA4E38"/>
    <w:rsid w:val="00BA4E80"/>
    <w:rsid w:val="00BA4E8D"/>
    <w:rsid w:val="00BA4ECF"/>
    <w:rsid w:val="00BA4F1E"/>
    <w:rsid w:val="00BA5006"/>
    <w:rsid w:val="00BA5020"/>
    <w:rsid w:val="00BA5023"/>
    <w:rsid w:val="00BA5095"/>
    <w:rsid w:val="00BA50A5"/>
    <w:rsid w:val="00BA50F5"/>
    <w:rsid w:val="00BA5126"/>
    <w:rsid w:val="00BA512E"/>
    <w:rsid w:val="00BA51AA"/>
    <w:rsid w:val="00BA5200"/>
    <w:rsid w:val="00BA5213"/>
    <w:rsid w:val="00BA5236"/>
    <w:rsid w:val="00BA5278"/>
    <w:rsid w:val="00BA529C"/>
    <w:rsid w:val="00BA52F6"/>
    <w:rsid w:val="00BA5346"/>
    <w:rsid w:val="00BA5364"/>
    <w:rsid w:val="00BA5369"/>
    <w:rsid w:val="00BA53FA"/>
    <w:rsid w:val="00BA5443"/>
    <w:rsid w:val="00BA54EC"/>
    <w:rsid w:val="00BA5593"/>
    <w:rsid w:val="00BA55BD"/>
    <w:rsid w:val="00BA55C4"/>
    <w:rsid w:val="00BA55F9"/>
    <w:rsid w:val="00BA5696"/>
    <w:rsid w:val="00BA5770"/>
    <w:rsid w:val="00BA57EB"/>
    <w:rsid w:val="00BA58E3"/>
    <w:rsid w:val="00BA5919"/>
    <w:rsid w:val="00BA59D2"/>
    <w:rsid w:val="00BA5A5F"/>
    <w:rsid w:val="00BA5AB1"/>
    <w:rsid w:val="00BA5ABC"/>
    <w:rsid w:val="00BA5ACF"/>
    <w:rsid w:val="00BA5B2E"/>
    <w:rsid w:val="00BA5B3C"/>
    <w:rsid w:val="00BA5B76"/>
    <w:rsid w:val="00BA5BCE"/>
    <w:rsid w:val="00BA5C2D"/>
    <w:rsid w:val="00BA5C34"/>
    <w:rsid w:val="00BA5D5E"/>
    <w:rsid w:val="00BA5DAE"/>
    <w:rsid w:val="00BA5E05"/>
    <w:rsid w:val="00BA5E1C"/>
    <w:rsid w:val="00BA5EDA"/>
    <w:rsid w:val="00BA5FE7"/>
    <w:rsid w:val="00BA5FF5"/>
    <w:rsid w:val="00BA604E"/>
    <w:rsid w:val="00BA6088"/>
    <w:rsid w:val="00BA60BE"/>
    <w:rsid w:val="00BA60E4"/>
    <w:rsid w:val="00BA6130"/>
    <w:rsid w:val="00BA61B5"/>
    <w:rsid w:val="00BA61DA"/>
    <w:rsid w:val="00BA61E9"/>
    <w:rsid w:val="00BA62F0"/>
    <w:rsid w:val="00BA6319"/>
    <w:rsid w:val="00BA63CA"/>
    <w:rsid w:val="00BA63D5"/>
    <w:rsid w:val="00BA63D8"/>
    <w:rsid w:val="00BA63E1"/>
    <w:rsid w:val="00BA63F1"/>
    <w:rsid w:val="00BA644E"/>
    <w:rsid w:val="00BA6486"/>
    <w:rsid w:val="00BA648A"/>
    <w:rsid w:val="00BA650E"/>
    <w:rsid w:val="00BA6536"/>
    <w:rsid w:val="00BA653F"/>
    <w:rsid w:val="00BA6581"/>
    <w:rsid w:val="00BA6597"/>
    <w:rsid w:val="00BA659F"/>
    <w:rsid w:val="00BA666C"/>
    <w:rsid w:val="00BA66C5"/>
    <w:rsid w:val="00BA66D2"/>
    <w:rsid w:val="00BA6723"/>
    <w:rsid w:val="00BA674E"/>
    <w:rsid w:val="00BA6781"/>
    <w:rsid w:val="00BA678D"/>
    <w:rsid w:val="00BA67B7"/>
    <w:rsid w:val="00BA688E"/>
    <w:rsid w:val="00BA68A2"/>
    <w:rsid w:val="00BA68C4"/>
    <w:rsid w:val="00BA68F6"/>
    <w:rsid w:val="00BA6917"/>
    <w:rsid w:val="00BA69A2"/>
    <w:rsid w:val="00BA69FF"/>
    <w:rsid w:val="00BA6A3F"/>
    <w:rsid w:val="00BA6A43"/>
    <w:rsid w:val="00BA6A7F"/>
    <w:rsid w:val="00BA6AE2"/>
    <w:rsid w:val="00BA6B25"/>
    <w:rsid w:val="00BA6B31"/>
    <w:rsid w:val="00BA6B38"/>
    <w:rsid w:val="00BA6B3C"/>
    <w:rsid w:val="00BA6B40"/>
    <w:rsid w:val="00BA6C91"/>
    <w:rsid w:val="00BA6CB2"/>
    <w:rsid w:val="00BA6D37"/>
    <w:rsid w:val="00BA6D94"/>
    <w:rsid w:val="00BA6DA9"/>
    <w:rsid w:val="00BA6E14"/>
    <w:rsid w:val="00BA6E72"/>
    <w:rsid w:val="00BA6E8F"/>
    <w:rsid w:val="00BA6E93"/>
    <w:rsid w:val="00BA6EC3"/>
    <w:rsid w:val="00BA6ECC"/>
    <w:rsid w:val="00BA6EDE"/>
    <w:rsid w:val="00BA6EEF"/>
    <w:rsid w:val="00BA6F1B"/>
    <w:rsid w:val="00BA6F52"/>
    <w:rsid w:val="00BA70ED"/>
    <w:rsid w:val="00BA70FE"/>
    <w:rsid w:val="00BA7150"/>
    <w:rsid w:val="00BA71D0"/>
    <w:rsid w:val="00BA71F3"/>
    <w:rsid w:val="00BA721C"/>
    <w:rsid w:val="00BA726E"/>
    <w:rsid w:val="00BA7279"/>
    <w:rsid w:val="00BA727A"/>
    <w:rsid w:val="00BA72F6"/>
    <w:rsid w:val="00BA72FA"/>
    <w:rsid w:val="00BA7338"/>
    <w:rsid w:val="00BA7362"/>
    <w:rsid w:val="00BA7425"/>
    <w:rsid w:val="00BA744F"/>
    <w:rsid w:val="00BA74B2"/>
    <w:rsid w:val="00BA74D9"/>
    <w:rsid w:val="00BA7500"/>
    <w:rsid w:val="00BA7521"/>
    <w:rsid w:val="00BA7522"/>
    <w:rsid w:val="00BA752E"/>
    <w:rsid w:val="00BA755B"/>
    <w:rsid w:val="00BA758F"/>
    <w:rsid w:val="00BA7752"/>
    <w:rsid w:val="00BA7783"/>
    <w:rsid w:val="00BA77B2"/>
    <w:rsid w:val="00BA77CA"/>
    <w:rsid w:val="00BA7820"/>
    <w:rsid w:val="00BA7847"/>
    <w:rsid w:val="00BA7883"/>
    <w:rsid w:val="00BA78BD"/>
    <w:rsid w:val="00BA78D9"/>
    <w:rsid w:val="00BA79C7"/>
    <w:rsid w:val="00BA7A05"/>
    <w:rsid w:val="00BA7A2A"/>
    <w:rsid w:val="00BA7C7B"/>
    <w:rsid w:val="00BA7CA9"/>
    <w:rsid w:val="00BA7CDA"/>
    <w:rsid w:val="00BA7D7E"/>
    <w:rsid w:val="00BA7DB8"/>
    <w:rsid w:val="00BA7DDC"/>
    <w:rsid w:val="00BA7E1D"/>
    <w:rsid w:val="00BA7E5C"/>
    <w:rsid w:val="00BA7E61"/>
    <w:rsid w:val="00BA7E7A"/>
    <w:rsid w:val="00BA7E98"/>
    <w:rsid w:val="00BA7EA2"/>
    <w:rsid w:val="00BA7EBD"/>
    <w:rsid w:val="00BA7F20"/>
    <w:rsid w:val="00BA7FDB"/>
    <w:rsid w:val="00BB002E"/>
    <w:rsid w:val="00BB0061"/>
    <w:rsid w:val="00BB006A"/>
    <w:rsid w:val="00BB0096"/>
    <w:rsid w:val="00BB00A9"/>
    <w:rsid w:val="00BB00E1"/>
    <w:rsid w:val="00BB00FA"/>
    <w:rsid w:val="00BB017B"/>
    <w:rsid w:val="00BB01DD"/>
    <w:rsid w:val="00BB025A"/>
    <w:rsid w:val="00BB0268"/>
    <w:rsid w:val="00BB0290"/>
    <w:rsid w:val="00BB0292"/>
    <w:rsid w:val="00BB029E"/>
    <w:rsid w:val="00BB02B1"/>
    <w:rsid w:val="00BB03AB"/>
    <w:rsid w:val="00BB0485"/>
    <w:rsid w:val="00BB0490"/>
    <w:rsid w:val="00BB0493"/>
    <w:rsid w:val="00BB04C8"/>
    <w:rsid w:val="00BB04EC"/>
    <w:rsid w:val="00BB0546"/>
    <w:rsid w:val="00BB05E1"/>
    <w:rsid w:val="00BB06A6"/>
    <w:rsid w:val="00BB0722"/>
    <w:rsid w:val="00BB0725"/>
    <w:rsid w:val="00BB0775"/>
    <w:rsid w:val="00BB07E2"/>
    <w:rsid w:val="00BB0824"/>
    <w:rsid w:val="00BB088B"/>
    <w:rsid w:val="00BB08C3"/>
    <w:rsid w:val="00BB08E3"/>
    <w:rsid w:val="00BB091C"/>
    <w:rsid w:val="00BB0947"/>
    <w:rsid w:val="00BB0953"/>
    <w:rsid w:val="00BB0970"/>
    <w:rsid w:val="00BB09A1"/>
    <w:rsid w:val="00BB0A0E"/>
    <w:rsid w:val="00BB0A1D"/>
    <w:rsid w:val="00BB0A29"/>
    <w:rsid w:val="00BB0A44"/>
    <w:rsid w:val="00BB0AA0"/>
    <w:rsid w:val="00BB0C07"/>
    <w:rsid w:val="00BB0C72"/>
    <w:rsid w:val="00BB0C9B"/>
    <w:rsid w:val="00BB0CA7"/>
    <w:rsid w:val="00BB0CC2"/>
    <w:rsid w:val="00BB0D2D"/>
    <w:rsid w:val="00BB0D4A"/>
    <w:rsid w:val="00BB0D9A"/>
    <w:rsid w:val="00BB0DAE"/>
    <w:rsid w:val="00BB0DBD"/>
    <w:rsid w:val="00BB0DE1"/>
    <w:rsid w:val="00BB0DEB"/>
    <w:rsid w:val="00BB0E74"/>
    <w:rsid w:val="00BB0E94"/>
    <w:rsid w:val="00BB0F18"/>
    <w:rsid w:val="00BB0F8C"/>
    <w:rsid w:val="00BB0FCA"/>
    <w:rsid w:val="00BB0FDF"/>
    <w:rsid w:val="00BB1023"/>
    <w:rsid w:val="00BB104A"/>
    <w:rsid w:val="00BB1060"/>
    <w:rsid w:val="00BB1076"/>
    <w:rsid w:val="00BB1098"/>
    <w:rsid w:val="00BB109C"/>
    <w:rsid w:val="00BB10B1"/>
    <w:rsid w:val="00BB10BE"/>
    <w:rsid w:val="00BB10DC"/>
    <w:rsid w:val="00BB10F7"/>
    <w:rsid w:val="00BB10FD"/>
    <w:rsid w:val="00BB110D"/>
    <w:rsid w:val="00BB1190"/>
    <w:rsid w:val="00BB11D8"/>
    <w:rsid w:val="00BB11F3"/>
    <w:rsid w:val="00BB11FB"/>
    <w:rsid w:val="00BB1240"/>
    <w:rsid w:val="00BB1265"/>
    <w:rsid w:val="00BB12DC"/>
    <w:rsid w:val="00BB1301"/>
    <w:rsid w:val="00BB1319"/>
    <w:rsid w:val="00BB1352"/>
    <w:rsid w:val="00BB143D"/>
    <w:rsid w:val="00BB1456"/>
    <w:rsid w:val="00BB1480"/>
    <w:rsid w:val="00BB1497"/>
    <w:rsid w:val="00BB14EE"/>
    <w:rsid w:val="00BB152A"/>
    <w:rsid w:val="00BB152B"/>
    <w:rsid w:val="00BB156C"/>
    <w:rsid w:val="00BB1665"/>
    <w:rsid w:val="00BB16B7"/>
    <w:rsid w:val="00BB1765"/>
    <w:rsid w:val="00BB17CB"/>
    <w:rsid w:val="00BB17D9"/>
    <w:rsid w:val="00BB17E4"/>
    <w:rsid w:val="00BB17ED"/>
    <w:rsid w:val="00BB188B"/>
    <w:rsid w:val="00BB189F"/>
    <w:rsid w:val="00BB1934"/>
    <w:rsid w:val="00BB196A"/>
    <w:rsid w:val="00BB19C0"/>
    <w:rsid w:val="00BB19C3"/>
    <w:rsid w:val="00BB1AD4"/>
    <w:rsid w:val="00BB1AD9"/>
    <w:rsid w:val="00BB1B12"/>
    <w:rsid w:val="00BB1B3A"/>
    <w:rsid w:val="00BB1B70"/>
    <w:rsid w:val="00BB1B92"/>
    <w:rsid w:val="00BB1BE4"/>
    <w:rsid w:val="00BB1C2A"/>
    <w:rsid w:val="00BB1CB2"/>
    <w:rsid w:val="00BB1D0A"/>
    <w:rsid w:val="00BB1D66"/>
    <w:rsid w:val="00BB1DA5"/>
    <w:rsid w:val="00BB1E02"/>
    <w:rsid w:val="00BB1E21"/>
    <w:rsid w:val="00BB1E26"/>
    <w:rsid w:val="00BB1E2E"/>
    <w:rsid w:val="00BB1EC5"/>
    <w:rsid w:val="00BB1FDE"/>
    <w:rsid w:val="00BB1FE7"/>
    <w:rsid w:val="00BB1FF2"/>
    <w:rsid w:val="00BB2041"/>
    <w:rsid w:val="00BB20C4"/>
    <w:rsid w:val="00BB20C6"/>
    <w:rsid w:val="00BB22A3"/>
    <w:rsid w:val="00BB22DD"/>
    <w:rsid w:val="00BB232A"/>
    <w:rsid w:val="00BB2357"/>
    <w:rsid w:val="00BB2381"/>
    <w:rsid w:val="00BB2391"/>
    <w:rsid w:val="00BB23C3"/>
    <w:rsid w:val="00BB23F3"/>
    <w:rsid w:val="00BB242E"/>
    <w:rsid w:val="00BB24EB"/>
    <w:rsid w:val="00BB25C2"/>
    <w:rsid w:val="00BB25C6"/>
    <w:rsid w:val="00BB260A"/>
    <w:rsid w:val="00BB261D"/>
    <w:rsid w:val="00BB26D5"/>
    <w:rsid w:val="00BB26EE"/>
    <w:rsid w:val="00BB2757"/>
    <w:rsid w:val="00BB2767"/>
    <w:rsid w:val="00BB276C"/>
    <w:rsid w:val="00BB2842"/>
    <w:rsid w:val="00BB2868"/>
    <w:rsid w:val="00BB2887"/>
    <w:rsid w:val="00BB289B"/>
    <w:rsid w:val="00BB2929"/>
    <w:rsid w:val="00BB2934"/>
    <w:rsid w:val="00BB2960"/>
    <w:rsid w:val="00BB2974"/>
    <w:rsid w:val="00BB29F9"/>
    <w:rsid w:val="00BB29FE"/>
    <w:rsid w:val="00BB2A16"/>
    <w:rsid w:val="00BB2A1B"/>
    <w:rsid w:val="00BB2A4F"/>
    <w:rsid w:val="00BB2A75"/>
    <w:rsid w:val="00BB2A7F"/>
    <w:rsid w:val="00BB2AB5"/>
    <w:rsid w:val="00BB2ADE"/>
    <w:rsid w:val="00BB2B01"/>
    <w:rsid w:val="00BB2B10"/>
    <w:rsid w:val="00BB2B14"/>
    <w:rsid w:val="00BB2BBC"/>
    <w:rsid w:val="00BB2C72"/>
    <w:rsid w:val="00BB2C83"/>
    <w:rsid w:val="00BB2C99"/>
    <w:rsid w:val="00BB2CC6"/>
    <w:rsid w:val="00BB2CEA"/>
    <w:rsid w:val="00BB2D66"/>
    <w:rsid w:val="00BB2D93"/>
    <w:rsid w:val="00BB2DFF"/>
    <w:rsid w:val="00BB2E41"/>
    <w:rsid w:val="00BB2E7F"/>
    <w:rsid w:val="00BB2E9D"/>
    <w:rsid w:val="00BB2F3B"/>
    <w:rsid w:val="00BB2F6D"/>
    <w:rsid w:val="00BB2F92"/>
    <w:rsid w:val="00BB2FA6"/>
    <w:rsid w:val="00BB2FA7"/>
    <w:rsid w:val="00BB2FB2"/>
    <w:rsid w:val="00BB2FBF"/>
    <w:rsid w:val="00BB2FE0"/>
    <w:rsid w:val="00BB306F"/>
    <w:rsid w:val="00BB30A8"/>
    <w:rsid w:val="00BB30CD"/>
    <w:rsid w:val="00BB30D1"/>
    <w:rsid w:val="00BB30FB"/>
    <w:rsid w:val="00BB312B"/>
    <w:rsid w:val="00BB3185"/>
    <w:rsid w:val="00BB31CF"/>
    <w:rsid w:val="00BB31ED"/>
    <w:rsid w:val="00BB3205"/>
    <w:rsid w:val="00BB3298"/>
    <w:rsid w:val="00BB32B3"/>
    <w:rsid w:val="00BB3357"/>
    <w:rsid w:val="00BB335E"/>
    <w:rsid w:val="00BB3363"/>
    <w:rsid w:val="00BB3390"/>
    <w:rsid w:val="00BB33BE"/>
    <w:rsid w:val="00BB33D8"/>
    <w:rsid w:val="00BB3449"/>
    <w:rsid w:val="00BB3472"/>
    <w:rsid w:val="00BB3485"/>
    <w:rsid w:val="00BB34C1"/>
    <w:rsid w:val="00BB34E6"/>
    <w:rsid w:val="00BB351C"/>
    <w:rsid w:val="00BB35C8"/>
    <w:rsid w:val="00BB35CD"/>
    <w:rsid w:val="00BB35D7"/>
    <w:rsid w:val="00BB3616"/>
    <w:rsid w:val="00BB3676"/>
    <w:rsid w:val="00BB377D"/>
    <w:rsid w:val="00BB3850"/>
    <w:rsid w:val="00BB3859"/>
    <w:rsid w:val="00BB3903"/>
    <w:rsid w:val="00BB398B"/>
    <w:rsid w:val="00BB39B8"/>
    <w:rsid w:val="00BB3A3F"/>
    <w:rsid w:val="00BB3A6E"/>
    <w:rsid w:val="00BB3A7B"/>
    <w:rsid w:val="00BB3A98"/>
    <w:rsid w:val="00BB3ABD"/>
    <w:rsid w:val="00BB3AF4"/>
    <w:rsid w:val="00BB3B0B"/>
    <w:rsid w:val="00BB3BA7"/>
    <w:rsid w:val="00BB3BB2"/>
    <w:rsid w:val="00BB3BB3"/>
    <w:rsid w:val="00BB3BC0"/>
    <w:rsid w:val="00BB3BC6"/>
    <w:rsid w:val="00BB3C01"/>
    <w:rsid w:val="00BB3C8F"/>
    <w:rsid w:val="00BB3CBB"/>
    <w:rsid w:val="00BB3D14"/>
    <w:rsid w:val="00BB3D34"/>
    <w:rsid w:val="00BB3D7F"/>
    <w:rsid w:val="00BB3DBC"/>
    <w:rsid w:val="00BB3DC5"/>
    <w:rsid w:val="00BB3E5B"/>
    <w:rsid w:val="00BB3E95"/>
    <w:rsid w:val="00BB3E98"/>
    <w:rsid w:val="00BB3F1F"/>
    <w:rsid w:val="00BB3F52"/>
    <w:rsid w:val="00BB3F58"/>
    <w:rsid w:val="00BB3FAE"/>
    <w:rsid w:val="00BB3FDD"/>
    <w:rsid w:val="00BB4083"/>
    <w:rsid w:val="00BB40E8"/>
    <w:rsid w:val="00BB4110"/>
    <w:rsid w:val="00BB4113"/>
    <w:rsid w:val="00BB4132"/>
    <w:rsid w:val="00BB4147"/>
    <w:rsid w:val="00BB4156"/>
    <w:rsid w:val="00BB4160"/>
    <w:rsid w:val="00BB4192"/>
    <w:rsid w:val="00BB41B4"/>
    <w:rsid w:val="00BB41F1"/>
    <w:rsid w:val="00BB420D"/>
    <w:rsid w:val="00BB42B2"/>
    <w:rsid w:val="00BB42FA"/>
    <w:rsid w:val="00BB431D"/>
    <w:rsid w:val="00BB437C"/>
    <w:rsid w:val="00BB437D"/>
    <w:rsid w:val="00BB438C"/>
    <w:rsid w:val="00BB4399"/>
    <w:rsid w:val="00BB441B"/>
    <w:rsid w:val="00BB445E"/>
    <w:rsid w:val="00BB4489"/>
    <w:rsid w:val="00BB44A4"/>
    <w:rsid w:val="00BB44AE"/>
    <w:rsid w:val="00BB4585"/>
    <w:rsid w:val="00BB4631"/>
    <w:rsid w:val="00BB4641"/>
    <w:rsid w:val="00BB46CA"/>
    <w:rsid w:val="00BB46CC"/>
    <w:rsid w:val="00BB47D1"/>
    <w:rsid w:val="00BB4861"/>
    <w:rsid w:val="00BB48FE"/>
    <w:rsid w:val="00BB491F"/>
    <w:rsid w:val="00BB4985"/>
    <w:rsid w:val="00BB49CE"/>
    <w:rsid w:val="00BB49EB"/>
    <w:rsid w:val="00BB4AFC"/>
    <w:rsid w:val="00BB4BF1"/>
    <w:rsid w:val="00BB4C43"/>
    <w:rsid w:val="00BB4C4C"/>
    <w:rsid w:val="00BB4C52"/>
    <w:rsid w:val="00BB4C74"/>
    <w:rsid w:val="00BB4C9B"/>
    <w:rsid w:val="00BB4CD7"/>
    <w:rsid w:val="00BB4CE1"/>
    <w:rsid w:val="00BB4D53"/>
    <w:rsid w:val="00BB4E75"/>
    <w:rsid w:val="00BB4F27"/>
    <w:rsid w:val="00BB4F4A"/>
    <w:rsid w:val="00BB4F86"/>
    <w:rsid w:val="00BB4FE4"/>
    <w:rsid w:val="00BB5044"/>
    <w:rsid w:val="00BB5083"/>
    <w:rsid w:val="00BB5136"/>
    <w:rsid w:val="00BB51B4"/>
    <w:rsid w:val="00BB51DC"/>
    <w:rsid w:val="00BB5211"/>
    <w:rsid w:val="00BB523C"/>
    <w:rsid w:val="00BB5252"/>
    <w:rsid w:val="00BB52B7"/>
    <w:rsid w:val="00BB52DF"/>
    <w:rsid w:val="00BB5324"/>
    <w:rsid w:val="00BB5355"/>
    <w:rsid w:val="00BB5358"/>
    <w:rsid w:val="00BB535C"/>
    <w:rsid w:val="00BB53C5"/>
    <w:rsid w:val="00BB53DB"/>
    <w:rsid w:val="00BB542A"/>
    <w:rsid w:val="00BB544A"/>
    <w:rsid w:val="00BB5474"/>
    <w:rsid w:val="00BB54A5"/>
    <w:rsid w:val="00BB54D5"/>
    <w:rsid w:val="00BB555F"/>
    <w:rsid w:val="00BB557B"/>
    <w:rsid w:val="00BB5589"/>
    <w:rsid w:val="00BB56EC"/>
    <w:rsid w:val="00BB56FB"/>
    <w:rsid w:val="00BB57B4"/>
    <w:rsid w:val="00BB5889"/>
    <w:rsid w:val="00BB5891"/>
    <w:rsid w:val="00BB58E6"/>
    <w:rsid w:val="00BB5914"/>
    <w:rsid w:val="00BB592B"/>
    <w:rsid w:val="00BB594D"/>
    <w:rsid w:val="00BB595B"/>
    <w:rsid w:val="00BB5999"/>
    <w:rsid w:val="00BB5A02"/>
    <w:rsid w:val="00BB5A11"/>
    <w:rsid w:val="00BB5B00"/>
    <w:rsid w:val="00BB5B20"/>
    <w:rsid w:val="00BB5B31"/>
    <w:rsid w:val="00BB5B9E"/>
    <w:rsid w:val="00BB5BE3"/>
    <w:rsid w:val="00BB5C5E"/>
    <w:rsid w:val="00BB5C98"/>
    <w:rsid w:val="00BB5DA8"/>
    <w:rsid w:val="00BB5E10"/>
    <w:rsid w:val="00BB5E2A"/>
    <w:rsid w:val="00BB5E5F"/>
    <w:rsid w:val="00BB5E6E"/>
    <w:rsid w:val="00BB5EB0"/>
    <w:rsid w:val="00BB5EB6"/>
    <w:rsid w:val="00BB5EC0"/>
    <w:rsid w:val="00BB5F16"/>
    <w:rsid w:val="00BB5F25"/>
    <w:rsid w:val="00BB5F2B"/>
    <w:rsid w:val="00BB5F77"/>
    <w:rsid w:val="00BB5F8F"/>
    <w:rsid w:val="00BB5FCD"/>
    <w:rsid w:val="00BB5FD9"/>
    <w:rsid w:val="00BB5FF1"/>
    <w:rsid w:val="00BB606D"/>
    <w:rsid w:val="00BB6077"/>
    <w:rsid w:val="00BB60D0"/>
    <w:rsid w:val="00BB618C"/>
    <w:rsid w:val="00BB618F"/>
    <w:rsid w:val="00BB61B6"/>
    <w:rsid w:val="00BB6205"/>
    <w:rsid w:val="00BB62D3"/>
    <w:rsid w:val="00BB632D"/>
    <w:rsid w:val="00BB6334"/>
    <w:rsid w:val="00BB638A"/>
    <w:rsid w:val="00BB6399"/>
    <w:rsid w:val="00BB63BD"/>
    <w:rsid w:val="00BB63ED"/>
    <w:rsid w:val="00BB6443"/>
    <w:rsid w:val="00BB6470"/>
    <w:rsid w:val="00BB6473"/>
    <w:rsid w:val="00BB6479"/>
    <w:rsid w:val="00BB6486"/>
    <w:rsid w:val="00BB6494"/>
    <w:rsid w:val="00BB64C3"/>
    <w:rsid w:val="00BB64D6"/>
    <w:rsid w:val="00BB6534"/>
    <w:rsid w:val="00BB6540"/>
    <w:rsid w:val="00BB6559"/>
    <w:rsid w:val="00BB6587"/>
    <w:rsid w:val="00BB65BC"/>
    <w:rsid w:val="00BB65D1"/>
    <w:rsid w:val="00BB65D4"/>
    <w:rsid w:val="00BB660E"/>
    <w:rsid w:val="00BB664D"/>
    <w:rsid w:val="00BB6697"/>
    <w:rsid w:val="00BB66F6"/>
    <w:rsid w:val="00BB66FE"/>
    <w:rsid w:val="00BB6739"/>
    <w:rsid w:val="00BB6758"/>
    <w:rsid w:val="00BB675D"/>
    <w:rsid w:val="00BB675F"/>
    <w:rsid w:val="00BB676F"/>
    <w:rsid w:val="00BB67F0"/>
    <w:rsid w:val="00BB6819"/>
    <w:rsid w:val="00BB68CD"/>
    <w:rsid w:val="00BB6931"/>
    <w:rsid w:val="00BB696A"/>
    <w:rsid w:val="00BB69A6"/>
    <w:rsid w:val="00BB69CF"/>
    <w:rsid w:val="00BB69D2"/>
    <w:rsid w:val="00BB6A09"/>
    <w:rsid w:val="00BB6A7F"/>
    <w:rsid w:val="00BB6B22"/>
    <w:rsid w:val="00BB6B2A"/>
    <w:rsid w:val="00BB6B37"/>
    <w:rsid w:val="00BB6B43"/>
    <w:rsid w:val="00BB6B6E"/>
    <w:rsid w:val="00BB6B7D"/>
    <w:rsid w:val="00BB6C1F"/>
    <w:rsid w:val="00BB6C28"/>
    <w:rsid w:val="00BB6C39"/>
    <w:rsid w:val="00BB6C86"/>
    <w:rsid w:val="00BB6C9A"/>
    <w:rsid w:val="00BB6CDC"/>
    <w:rsid w:val="00BB6CFF"/>
    <w:rsid w:val="00BB6D54"/>
    <w:rsid w:val="00BB6D59"/>
    <w:rsid w:val="00BB6DCE"/>
    <w:rsid w:val="00BB6E0E"/>
    <w:rsid w:val="00BB6E61"/>
    <w:rsid w:val="00BB6F1A"/>
    <w:rsid w:val="00BB6F2F"/>
    <w:rsid w:val="00BB6F62"/>
    <w:rsid w:val="00BB6F8D"/>
    <w:rsid w:val="00BB6FD0"/>
    <w:rsid w:val="00BB702C"/>
    <w:rsid w:val="00BB7057"/>
    <w:rsid w:val="00BB70A5"/>
    <w:rsid w:val="00BB7123"/>
    <w:rsid w:val="00BB7128"/>
    <w:rsid w:val="00BB713B"/>
    <w:rsid w:val="00BB7182"/>
    <w:rsid w:val="00BB71B0"/>
    <w:rsid w:val="00BB71BC"/>
    <w:rsid w:val="00BB71F5"/>
    <w:rsid w:val="00BB7204"/>
    <w:rsid w:val="00BB7213"/>
    <w:rsid w:val="00BB721B"/>
    <w:rsid w:val="00BB7275"/>
    <w:rsid w:val="00BB727D"/>
    <w:rsid w:val="00BB72C4"/>
    <w:rsid w:val="00BB72DA"/>
    <w:rsid w:val="00BB72EE"/>
    <w:rsid w:val="00BB730B"/>
    <w:rsid w:val="00BB7329"/>
    <w:rsid w:val="00BB7371"/>
    <w:rsid w:val="00BB7382"/>
    <w:rsid w:val="00BB73DE"/>
    <w:rsid w:val="00BB73ED"/>
    <w:rsid w:val="00BB7429"/>
    <w:rsid w:val="00BB7442"/>
    <w:rsid w:val="00BB75A3"/>
    <w:rsid w:val="00BB75AB"/>
    <w:rsid w:val="00BB75E1"/>
    <w:rsid w:val="00BB7603"/>
    <w:rsid w:val="00BB76A4"/>
    <w:rsid w:val="00BB76AF"/>
    <w:rsid w:val="00BB774E"/>
    <w:rsid w:val="00BB7776"/>
    <w:rsid w:val="00BB77D7"/>
    <w:rsid w:val="00BB780D"/>
    <w:rsid w:val="00BB7825"/>
    <w:rsid w:val="00BB78EB"/>
    <w:rsid w:val="00BB7929"/>
    <w:rsid w:val="00BB792C"/>
    <w:rsid w:val="00BB7979"/>
    <w:rsid w:val="00BB7986"/>
    <w:rsid w:val="00BB798C"/>
    <w:rsid w:val="00BB79CC"/>
    <w:rsid w:val="00BB79DA"/>
    <w:rsid w:val="00BB7A05"/>
    <w:rsid w:val="00BB7A84"/>
    <w:rsid w:val="00BB7B1D"/>
    <w:rsid w:val="00BB7B23"/>
    <w:rsid w:val="00BB7B30"/>
    <w:rsid w:val="00BB7B47"/>
    <w:rsid w:val="00BB7B90"/>
    <w:rsid w:val="00BB7B94"/>
    <w:rsid w:val="00BB7C1F"/>
    <w:rsid w:val="00BB7C6C"/>
    <w:rsid w:val="00BB7CED"/>
    <w:rsid w:val="00BB7D1A"/>
    <w:rsid w:val="00BB7D22"/>
    <w:rsid w:val="00BB7D43"/>
    <w:rsid w:val="00BB7DB7"/>
    <w:rsid w:val="00BB7DD2"/>
    <w:rsid w:val="00BB7E03"/>
    <w:rsid w:val="00BB7E26"/>
    <w:rsid w:val="00BB7ECF"/>
    <w:rsid w:val="00BB7EFD"/>
    <w:rsid w:val="00BB7F36"/>
    <w:rsid w:val="00BB7FCD"/>
    <w:rsid w:val="00BC00E0"/>
    <w:rsid w:val="00BC010A"/>
    <w:rsid w:val="00BC015E"/>
    <w:rsid w:val="00BC017A"/>
    <w:rsid w:val="00BC01FA"/>
    <w:rsid w:val="00BC0211"/>
    <w:rsid w:val="00BC0219"/>
    <w:rsid w:val="00BC021F"/>
    <w:rsid w:val="00BC0221"/>
    <w:rsid w:val="00BC024A"/>
    <w:rsid w:val="00BC025A"/>
    <w:rsid w:val="00BC026C"/>
    <w:rsid w:val="00BC02EF"/>
    <w:rsid w:val="00BC0307"/>
    <w:rsid w:val="00BC03BF"/>
    <w:rsid w:val="00BC03CE"/>
    <w:rsid w:val="00BC03D4"/>
    <w:rsid w:val="00BC03E7"/>
    <w:rsid w:val="00BC03F9"/>
    <w:rsid w:val="00BC0449"/>
    <w:rsid w:val="00BC0470"/>
    <w:rsid w:val="00BC0472"/>
    <w:rsid w:val="00BC04EA"/>
    <w:rsid w:val="00BC05CA"/>
    <w:rsid w:val="00BC0646"/>
    <w:rsid w:val="00BC0653"/>
    <w:rsid w:val="00BC068D"/>
    <w:rsid w:val="00BC06BB"/>
    <w:rsid w:val="00BC06BD"/>
    <w:rsid w:val="00BC076B"/>
    <w:rsid w:val="00BC077A"/>
    <w:rsid w:val="00BC0780"/>
    <w:rsid w:val="00BC07E7"/>
    <w:rsid w:val="00BC07F7"/>
    <w:rsid w:val="00BC083C"/>
    <w:rsid w:val="00BC087D"/>
    <w:rsid w:val="00BC088D"/>
    <w:rsid w:val="00BC0987"/>
    <w:rsid w:val="00BC0A4D"/>
    <w:rsid w:val="00BC0AF4"/>
    <w:rsid w:val="00BC0B26"/>
    <w:rsid w:val="00BC0B2D"/>
    <w:rsid w:val="00BC0B65"/>
    <w:rsid w:val="00BC0BBB"/>
    <w:rsid w:val="00BC0BC8"/>
    <w:rsid w:val="00BC0C95"/>
    <w:rsid w:val="00BC0D28"/>
    <w:rsid w:val="00BC0D65"/>
    <w:rsid w:val="00BC0D66"/>
    <w:rsid w:val="00BC0D6E"/>
    <w:rsid w:val="00BC0E03"/>
    <w:rsid w:val="00BC0E8D"/>
    <w:rsid w:val="00BC0ED8"/>
    <w:rsid w:val="00BC0F35"/>
    <w:rsid w:val="00BC1056"/>
    <w:rsid w:val="00BC1087"/>
    <w:rsid w:val="00BC109E"/>
    <w:rsid w:val="00BC10BC"/>
    <w:rsid w:val="00BC10D7"/>
    <w:rsid w:val="00BC1123"/>
    <w:rsid w:val="00BC1145"/>
    <w:rsid w:val="00BC1177"/>
    <w:rsid w:val="00BC1184"/>
    <w:rsid w:val="00BC1199"/>
    <w:rsid w:val="00BC119A"/>
    <w:rsid w:val="00BC1215"/>
    <w:rsid w:val="00BC1231"/>
    <w:rsid w:val="00BC1260"/>
    <w:rsid w:val="00BC1298"/>
    <w:rsid w:val="00BC129E"/>
    <w:rsid w:val="00BC12B7"/>
    <w:rsid w:val="00BC1309"/>
    <w:rsid w:val="00BC1327"/>
    <w:rsid w:val="00BC13AF"/>
    <w:rsid w:val="00BC141D"/>
    <w:rsid w:val="00BC1482"/>
    <w:rsid w:val="00BC14B5"/>
    <w:rsid w:val="00BC14FF"/>
    <w:rsid w:val="00BC15D2"/>
    <w:rsid w:val="00BC15D4"/>
    <w:rsid w:val="00BC1647"/>
    <w:rsid w:val="00BC164B"/>
    <w:rsid w:val="00BC1655"/>
    <w:rsid w:val="00BC1681"/>
    <w:rsid w:val="00BC1749"/>
    <w:rsid w:val="00BC17E3"/>
    <w:rsid w:val="00BC1800"/>
    <w:rsid w:val="00BC1841"/>
    <w:rsid w:val="00BC184F"/>
    <w:rsid w:val="00BC1874"/>
    <w:rsid w:val="00BC18EF"/>
    <w:rsid w:val="00BC191D"/>
    <w:rsid w:val="00BC19A8"/>
    <w:rsid w:val="00BC19D3"/>
    <w:rsid w:val="00BC19DA"/>
    <w:rsid w:val="00BC1A1B"/>
    <w:rsid w:val="00BC1A29"/>
    <w:rsid w:val="00BC1A34"/>
    <w:rsid w:val="00BC1A3F"/>
    <w:rsid w:val="00BC1AAB"/>
    <w:rsid w:val="00BC1ADC"/>
    <w:rsid w:val="00BC1B05"/>
    <w:rsid w:val="00BC1B4A"/>
    <w:rsid w:val="00BC1B9B"/>
    <w:rsid w:val="00BC1C2C"/>
    <w:rsid w:val="00BC1C37"/>
    <w:rsid w:val="00BC1C74"/>
    <w:rsid w:val="00BC1CA6"/>
    <w:rsid w:val="00BC1CB1"/>
    <w:rsid w:val="00BC1D29"/>
    <w:rsid w:val="00BC1D2C"/>
    <w:rsid w:val="00BC1DEB"/>
    <w:rsid w:val="00BC1DF8"/>
    <w:rsid w:val="00BC1E23"/>
    <w:rsid w:val="00BC1E6A"/>
    <w:rsid w:val="00BC1EBB"/>
    <w:rsid w:val="00BC1EE5"/>
    <w:rsid w:val="00BC1EF4"/>
    <w:rsid w:val="00BC1F4E"/>
    <w:rsid w:val="00BC1F8B"/>
    <w:rsid w:val="00BC1FB1"/>
    <w:rsid w:val="00BC1FBE"/>
    <w:rsid w:val="00BC200D"/>
    <w:rsid w:val="00BC2071"/>
    <w:rsid w:val="00BC207A"/>
    <w:rsid w:val="00BC20E5"/>
    <w:rsid w:val="00BC21A1"/>
    <w:rsid w:val="00BC21B5"/>
    <w:rsid w:val="00BC2231"/>
    <w:rsid w:val="00BC22FC"/>
    <w:rsid w:val="00BC2305"/>
    <w:rsid w:val="00BC2373"/>
    <w:rsid w:val="00BC2396"/>
    <w:rsid w:val="00BC2405"/>
    <w:rsid w:val="00BC2431"/>
    <w:rsid w:val="00BC2506"/>
    <w:rsid w:val="00BC257F"/>
    <w:rsid w:val="00BC2605"/>
    <w:rsid w:val="00BC260F"/>
    <w:rsid w:val="00BC2625"/>
    <w:rsid w:val="00BC262C"/>
    <w:rsid w:val="00BC2679"/>
    <w:rsid w:val="00BC2698"/>
    <w:rsid w:val="00BC26DF"/>
    <w:rsid w:val="00BC270D"/>
    <w:rsid w:val="00BC2718"/>
    <w:rsid w:val="00BC277C"/>
    <w:rsid w:val="00BC2789"/>
    <w:rsid w:val="00BC27A9"/>
    <w:rsid w:val="00BC27AD"/>
    <w:rsid w:val="00BC27EA"/>
    <w:rsid w:val="00BC2802"/>
    <w:rsid w:val="00BC2822"/>
    <w:rsid w:val="00BC282F"/>
    <w:rsid w:val="00BC2861"/>
    <w:rsid w:val="00BC2935"/>
    <w:rsid w:val="00BC297F"/>
    <w:rsid w:val="00BC2992"/>
    <w:rsid w:val="00BC29C7"/>
    <w:rsid w:val="00BC29D4"/>
    <w:rsid w:val="00BC2A5C"/>
    <w:rsid w:val="00BC2A8B"/>
    <w:rsid w:val="00BC2A9F"/>
    <w:rsid w:val="00BC2B08"/>
    <w:rsid w:val="00BC2B9D"/>
    <w:rsid w:val="00BC2BCA"/>
    <w:rsid w:val="00BC2BF4"/>
    <w:rsid w:val="00BC2BFA"/>
    <w:rsid w:val="00BC2C2E"/>
    <w:rsid w:val="00BC2C2F"/>
    <w:rsid w:val="00BC2C34"/>
    <w:rsid w:val="00BC2C73"/>
    <w:rsid w:val="00BC2CC9"/>
    <w:rsid w:val="00BC2D6E"/>
    <w:rsid w:val="00BC2D8D"/>
    <w:rsid w:val="00BC2D95"/>
    <w:rsid w:val="00BC2DAC"/>
    <w:rsid w:val="00BC2DB3"/>
    <w:rsid w:val="00BC2DD9"/>
    <w:rsid w:val="00BC2E17"/>
    <w:rsid w:val="00BC2E46"/>
    <w:rsid w:val="00BC2E9F"/>
    <w:rsid w:val="00BC3047"/>
    <w:rsid w:val="00BC304C"/>
    <w:rsid w:val="00BC3073"/>
    <w:rsid w:val="00BC308F"/>
    <w:rsid w:val="00BC30AF"/>
    <w:rsid w:val="00BC3115"/>
    <w:rsid w:val="00BC3153"/>
    <w:rsid w:val="00BC316E"/>
    <w:rsid w:val="00BC31BC"/>
    <w:rsid w:val="00BC31FE"/>
    <w:rsid w:val="00BC3225"/>
    <w:rsid w:val="00BC32D0"/>
    <w:rsid w:val="00BC3334"/>
    <w:rsid w:val="00BC333C"/>
    <w:rsid w:val="00BC3369"/>
    <w:rsid w:val="00BC33FF"/>
    <w:rsid w:val="00BC3438"/>
    <w:rsid w:val="00BC3447"/>
    <w:rsid w:val="00BC3482"/>
    <w:rsid w:val="00BC34A1"/>
    <w:rsid w:val="00BC3505"/>
    <w:rsid w:val="00BC3554"/>
    <w:rsid w:val="00BC3567"/>
    <w:rsid w:val="00BC358A"/>
    <w:rsid w:val="00BC359F"/>
    <w:rsid w:val="00BC3722"/>
    <w:rsid w:val="00BC3765"/>
    <w:rsid w:val="00BC3793"/>
    <w:rsid w:val="00BC3794"/>
    <w:rsid w:val="00BC382C"/>
    <w:rsid w:val="00BC3835"/>
    <w:rsid w:val="00BC38B4"/>
    <w:rsid w:val="00BC395A"/>
    <w:rsid w:val="00BC395F"/>
    <w:rsid w:val="00BC3966"/>
    <w:rsid w:val="00BC3996"/>
    <w:rsid w:val="00BC39AC"/>
    <w:rsid w:val="00BC39D4"/>
    <w:rsid w:val="00BC3A11"/>
    <w:rsid w:val="00BC3AEC"/>
    <w:rsid w:val="00BC3B59"/>
    <w:rsid w:val="00BC3B73"/>
    <w:rsid w:val="00BC3C2A"/>
    <w:rsid w:val="00BC3CD6"/>
    <w:rsid w:val="00BC3CE9"/>
    <w:rsid w:val="00BC3D9D"/>
    <w:rsid w:val="00BC3DCD"/>
    <w:rsid w:val="00BC3DF3"/>
    <w:rsid w:val="00BC3E87"/>
    <w:rsid w:val="00BC3F25"/>
    <w:rsid w:val="00BC3FF2"/>
    <w:rsid w:val="00BC3FF3"/>
    <w:rsid w:val="00BC400A"/>
    <w:rsid w:val="00BC4029"/>
    <w:rsid w:val="00BC4065"/>
    <w:rsid w:val="00BC406C"/>
    <w:rsid w:val="00BC40CC"/>
    <w:rsid w:val="00BC40EF"/>
    <w:rsid w:val="00BC410A"/>
    <w:rsid w:val="00BC4146"/>
    <w:rsid w:val="00BC419B"/>
    <w:rsid w:val="00BC41A7"/>
    <w:rsid w:val="00BC41BA"/>
    <w:rsid w:val="00BC41C0"/>
    <w:rsid w:val="00BC4277"/>
    <w:rsid w:val="00BC4286"/>
    <w:rsid w:val="00BC4331"/>
    <w:rsid w:val="00BC433A"/>
    <w:rsid w:val="00BC43F9"/>
    <w:rsid w:val="00BC44F7"/>
    <w:rsid w:val="00BC454A"/>
    <w:rsid w:val="00BC4593"/>
    <w:rsid w:val="00BC4594"/>
    <w:rsid w:val="00BC45DD"/>
    <w:rsid w:val="00BC4612"/>
    <w:rsid w:val="00BC4684"/>
    <w:rsid w:val="00BC4693"/>
    <w:rsid w:val="00BC46DF"/>
    <w:rsid w:val="00BC4748"/>
    <w:rsid w:val="00BC4776"/>
    <w:rsid w:val="00BC47BB"/>
    <w:rsid w:val="00BC47ED"/>
    <w:rsid w:val="00BC4852"/>
    <w:rsid w:val="00BC4853"/>
    <w:rsid w:val="00BC4924"/>
    <w:rsid w:val="00BC498A"/>
    <w:rsid w:val="00BC49A4"/>
    <w:rsid w:val="00BC4AFB"/>
    <w:rsid w:val="00BC4B22"/>
    <w:rsid w:val="00BC4B37"/>
    <w:rsid w:val="00BC4B54"/>
    <w:rsid w:val="00BC4C2D"/>
    <w:rsid w:val="00BC4C30"/>
    <w:rsid w:val="00BC4CBA"/>
    <w:rsid w:val="00BC4CF6"/>
    <w:rsid w:val="00BC4D38"/>
    <w:rsid w:val="00BC4D3C"/>
    <w:rsid w:val="00BC4D4E"/>
    <w:rsid w:val="00BC4D83"/>
    <w:rsid w:val="00BC4E21"/>
    <w:rsid w:val="00BC4EEB"/>
    <w:rsid w:val="00BC4FA7"/>
    <w:rsid w:val="00BC507E"/>
    <w:rsid w:val="00BC50B1"/>
    <w:rsid w:val="00BC50D7"/>
    <w:rsid w:val="00BC5164"/>
    <w:rsid w:val="00BC51A6"/>
    <w:rsid w:val="00BC51FA"/>
    <w:rsid w:val="00BC522A"/>
    <w:rsid w:val="00BC5254"/>
    <w:rsid w:val="00BC52B2"/>
    <w:rsid w:val="00BC52E3"/>
    <w:rsid w:val="00BC52F8"/>
    <w:rsid w:val="00BC5386"/>
    <w:rsid w:val="00BC5416"/>
    <w:rsid w:val="00BC5439"/>
    <w:rsid w:val="00BC5461"/>
    <w:rsid w:val="00BC5493"/>
    <w:rsid w:val="00BC54C9"/>
    <w:rsid w:val="00BC5530"/>
    <w:rsid w:val="00BC5549"/>
    <w:rsid w:val="00BC5570"/>
    <w:rsid w:val="00BC5613"/>
    <w:rsid w:val="00BC5624"/>
    <w:rsid w:val="00BC5641"/>
    <w:rsid w:val="00BC565F"/>
    <w:rsid w:val="00BC5661"/>
    <w:rsid w:val="00BC56C7"/>
    <w:rsid w:val="00BC579C"/>
    <w:rsid w:val="00BC57A8"/>
    <w:rsid w:val="00BC57CA"/>
    <w:rsid w:val="00BC57F2"/>
    <w:rsid w:val="00BC57FE"/>
    <w:rsid w:val="00BC58D4"/>
    <w:rsid w:val="00BC58E1"/>
    <w:rsid w:val="00BC58F1"/>
    <w:rsid w:val="00BC595F"/>
    <w:rsid w:val="00BC5A70"/>
    <w:rsid w:val="00BC5A79"/>
    <w:rsid w:val="00BC5AD7"/>
    <w:rsid w:val="00BC5AF2"/>
    <w:rsid w:val="00BC5B42"/>
    <w:rsid w:val="00BC5B48"/>
    <w:rsid w:val="00BC5B51"/>
    <w:rsid w:val="00BC5B6F"/>
    <w:rsid w:val="00BC5BBB"/>
    <w:rsid w:val="00BC5BDB"/>
    <w:rsid w:val="00BC5BEB"/>
    <w:rsid w:val="00BC5BF1"/>
    <w:rsid w:val="00BC5CA7"/>
    <w:rsid w:val="00BC5CE9"/>
    <w:rsid w:val="00BC5CFD"/>
    <w:rsid w:val="00BC5D75"/>
    <w:rsid w:val="00BC5DC3"/>
    <w:rsid w:val="00BC5DEE"/>
    <w:rsid w:val="00BC5DEF"/>
    <w:rsid w:val="00BC5E65"/>
    <w:rsid w:val="00BC5ECE"/>
    <w:rsid w:val="00BC5EE6"/>
    <w:rsid w:val="00BC5F68"/>
    <w:rsid w:val="00BC5F6F"/>
    <w:rsid w:val="00BC5F93"/>
    <w:rsid w:val="00BC5F9C"/>
    <w:rsid w:val="00BC6040"/>
    <w:rsid w:val="00BC60FD"/>
    <w:rsid w:val="00BC610D"/>
    <w:rsid w:val="00BC614B"/>
    <w:rsid w:val="00BC6177"/>
    <w:rsid w:val="00BC61AB"/>
    <w:rsid w:val="00BC61AD"/>
    <w:rsid w:val="00BC61F5"/>
    <w:rsid w:val="00BC621C"/>
    <w:rsid w:val="00BC62AB"/>
    <w:rsid w:val="00BC630E"/>
    <w:rsid w:val="00BC6378"/>
    <w:rsid w:val="00BC63B8"/>
    <w:rsid w:val="00BC63D1"/>
    <w:rsid w:val="00BC6408"/>
    <w:rsid w:val="00BC6464"/>
    <w:rsid w:val="00BC6472"/>
    <w:rsid w:val="00BC64C4"/>
    <w:rsid w:val="00BC6519"/>
    <w:rsid w:val="00BC6525"/>
    <w:rsid w:val="00BC6580"/>
    <w:rsid w:val="00BC65D0"/>
    <w:rsid w:val="00BC65D3"/>
    <w:rsid w:val="00BC6608"/>
    <w:rsid w:val="00BC6648"/>
    <w:rsid w:val="00BC6690"/>
    <w:rsid w:val="00BC66B4"/>
    <w:rsid w:val="00BC6703"/>
    <w:rsid w:val="00BC6749"/>
    <w:rsid w:val="00BC6760"/>
    <w:rsid w:val="00BC6897"/>
    <w:rsid w:val="00BC68D2"/>
    <w:rsid w:val="00BC68F3"/>
    <w:rsid w:val="00BC695F"/>
    <w:rsid w:val="00BC6965"/>
    <w:rsid w:val="00BC699F"/>
    <w:rsid w:val="00BC6A00"/>
    <w:rsid w:val="00BC6A69"/>
    <w:rsid w:val="00BC6AFF"/>
    <w:rsid w:val="00BC6B38"/>
    <w:rsid w:val="00BC6B48"/>
    <w:rsid w:val="00BC6B4B"/>
    <w:rsid w:val="00BC6BAF"/>
    <w:rsid w:val="00BC6C83"/>
    <w:rsid w:val="00BC6C8B"/>
    <w:rsid w:val="00BC6D16"/>
    <w:rsid w:val="00BC6D2C"/>
    <w:rsid w:val="00BC6D4A"/>
    <w:rsid w:val="00BC6D50"/>
    <w:rsid w:val="00BC6DAC"/>
    <w:rsid w:val="00BC6E1C"/>
    <w:rsid w:val="00BC6F1A"/>
    <w:rsid w:val="00BC6F61"/>
    <w:rsid w:val="00BC6FB7"/>
    <w:rsid w:val="00BC701E"/>
    <w:rsid w:val="00BC7043"/>
    <w:rsid w:val="00BC704B"/>
    <w:rsid w:val="00BC7061"/>
    <w:rsid w:val="00BC70D6"/>
    <w:rsid w:val="00BC70F1"/>
    <w:rsid w:val="00BC7151"/>
    <w:rsid w:val="00BC71A6"/>
    <w:rsid w:val="00BC7242"/>
    <w:rsid w:val="00BC725C"/>
    <w:rsid w:val="00BC732A"/>
    <w:rsid w:val="00BC7335"/>
    <w:rsid w:val="00BC73AC"/>
    <w:rsid w:val="00BC73D2"/>
    <w:rsid w:val="00BC742A"/>
    <w:rsid w:val="00BC7471"/>
    <w:rsid w:val="00BC7478"/>
    <w:rsid w:val="00BC7547"/>
    <w:rsid w:val="00BC7592"/>
    <w:rsid w:val="00BC75B3"/>
    <w:rsid w:val="00BC7604"/>
    <w:rsid w:val="00BC763E"/>
    <w:rsid w:val="00BC7644"/>
    <w:rsid w:val="00BC7666"/>
    <w:rsid w:val="00BC7673"/>
    <w:rsid w:val="00BC767B"/>
    <w:rsid w:val="00BC774B"/>
    <w:rsid w:val="00BC77A6"/>
    <w:rsid w:val="00BC77FA"/>
    <w:rsid w:val="00BC77FD"/>
    <w:rsid w:val="00BC7830"/>
    <w:rsid w:val="00BC7846"/>
    <w:rsid w:val="00BC792B"/>
    <w:rsid w:val="00BC7976"/>
    <w:rsid w:val="00BC79C9"/>
    <w:rsid w:val="00BC79FD"/>
    <w:rsid w:val="00BC7A16"/>
    <w:rsid w:val="00BC7A19"/>
    <w:rsid w:val="00BC7A44"/>
    <w:rsid w:val="00BC7A46"/>
    <w:rsid w:val="00BC7A66"/>
    <w:rsid w:val="00BC7A8C"/>
    <w:rsid w:val="00BC7A9A"/>
    <w:rsid w:val="00BC7AEE"/>
    <w:rsid w:val="00BC7B05"/>
    <w:rsid w:val="00BC7B78"/>
    <w:rsid w:val="00BC7BBC"/>
    <w:rsid w:val="00BC7BCE"/>
    <w:rsid w:val="00BC7C65"/>
    <w:rsid w:val="00BC7C7F"/>
    <w:rsid w:val="00BC7CBA"/>
    <w:rsid w:val="00BC7CBF"/>
    <w:rsid w:val="00BC7CCA"/>
    <w:rsid w:val="00BC7CE6"/>
    <w:rsid w:val="00BC7D6A"/>
    <w:rsid w:val="00BC7E0E"/>
    <w:rsid w:val="00BC7E24"/>
    <w:rsid w:val="00BC7E39"/>
    <w:rsid w:val="00BC7E80"/>
    <w:rsid w:val="00BC7E96"/>
    <w:rsid w:val="00BC7ED8"/>
    <w:rsid w:val="00BC7EF2"/>
    <w:rsid w:val="00BC7F5E"/>
    <w:rsid w:val="00BC7F69"/>
    <w:rsid w:val="00BD003F"/>
    <w:rsid w:val="00BD0108"/>
    <w:rsid w:val="00BD0122"/>
    <w:rsid w:val="00BD0155"/>
    <w:rsid w:val="00BD0186"/>
    <w:rsid w:val="00BD01DE"/>
    <w:rsid w:val="00BD0214"/>
    <w:rsid w:val="00BD0237"/>
    <w:rsid w:val="00BD0290"/>
    <w:rsid w:val="00BD02DC"/>
    <w:rsid w:val="00BD02E3"/>
    <w:rsid w:val="00BD0331"/>
    <w:rsid w:val="00BD033E"/>
    <w:rsid w:val="00BD0376"/>
    <w:rsid w:val="00BD0394"/>
    <w:rsid w:val="00BD03A0"/>
    <w:rsid w:val="00BD03D8"/>
    <w:rsid w:val="00BD03EB"/>
    <w:rsid w:val="00BD043F"/>
    <w:rsid w:val="00BD0489"/>
    <w:rsid w:val="00BD0490"/>
    <w:rsid w:val="00BD04C2"/>
    <w:rsid w:val="00BD04F8"/>
    <w:rsid w:val="00BD0570"/>
    <w:rsid w:val="00BD0571"/>
    <w:rsid w:val="00BD05F9"/>
    <w:rsid w:val="00BD0600"/>
    <w:rsid w:val="00BD066F"/>
    <w:rsid w:val="00BD06BE"/>
    <w:rsid w:val="00BD06F2"/>
    <w:rsid w:val="00BD077C"/>
    <w:rsid w:val="00BD07DF"/>
    <w:rsid w:val="00BD081E"/>
    <w:rsid w:val="00BD0875"/>
    <w:rsid w:val="00BD0894"/>
    <w:rsid w:val="00BD08B6"/>
    <w:rsid w:val="00BD08BF"/>
    <w:rsid w:val="00BD090C"/>
    <w:rsid w:val="00BD09A3"/>
    <w:rsid w:val="00BD0A97"/>
    <w:rsid w:val="00BD0AB2"/>
    <w:rsid w:val="00BD0B56"/>
    <w:rsid w:val="00BD0B57"/>
    <w:rsid w:val="00BD0B6C"/>
    <w:rsid w:val="00BD0B75"/>
    <w:rsid w:val="00BD0BBE"/>
    <w:rsid w:val="00BD0C24"/>
    <w:rsid w:val="00BD0C39"/>
    <w:rsid w:val="00BD0C65"/>
    <w:rsid w:val="00BD0CA6"/>
    <w:rsid w:val="00BD0CB9"/>
    <w:rsid w:val="00BD0D35"/>
    <w:rsid w:val="00BD0DB8"/>
    <w:rsid w:val="00BD0DD4"/>
    <w:rsid w:val="00BD0E3E"/>
    <w:rsid w:val="00BD0ED0"/>
    <w:rsid w:val="00BD0F8A"/>
    <w:rsid w:val="00BD0FCC"/>
    <w:rsid w:val="00BD103C"/>
    <w:rsid w:val="00BD107F"/>
    <w:rsid w:val="00BD10F2"/>
    <w:rsid w:val="00BD1118"/>
    <w:rsid w:val="00BD1149"/>
    <w:rsid w:val="00BD11C2"/>
    <w:rsid w:val="00BD1229"/>
    <w:rsid w:val="00BD1273"/>
    <w:rsid w:val="00BD132B"/>
    <w:rsid w:val="00BD1337"/>
    <w:rsid w:val="00BD1369"/>
    <w:rsid w:val="00BD1373"/>
    <w:rsid w:val="00BD13A0"/>
    <w:rsid w:val="00BD13A4"/>
    <w:rsid w:val="00BD13DC"/>
    <w:rsid w:val="00BD141B"/>
    <w:rsid w:val="00BD1458"/>
    <w:rsid w:val="00BD147C"/>
    <w:rsid w:val="00BD148A"/>
    <w:rsid w:val="00BD1549"/>
    <w:rsid w:val="00BD1584"/>
    <w:rsid w:val="00BD15AC"/>
    <w:rsid w:val="00BD15DB"/>
    <w:rsid w:val="00BD160B"/>
    <w:rsid w:val="00BD165B"/>
    <w:rsid w:val="00BD16B0"/>
    <w:rsid w:val="00BD16B6"/>
    <w:rsid w:val="00BD16F8"/>
    <w:rsid w:val="00BD1753"/>
    <w:rsid w:val="00BD1774"/>
    <w:rsid w:val="00BD178D"/>
    <w:rsid w:val="00BD17DB"/>
    <w:rsid w:val="00BD17E6"/>
    <w:rsid w:val="00BD1818"/>
    <w:rsid w:val="00BD185D"/>
    <w:rsid w:val="00BD18AA"/>
    <w:rsid w:val="00BD18ED"/>
    <w:rsid w:val="00BD193B"/>
    <w:rsid w:val="00BD1966"/>
    <w:rsid w:val="00BD1A16"/>
    <w:rsid w:val="00BD1A70"/>
    <w:rsid w:val="00BD1B6E"/>
    <w:rsid w:val="00BD1BD1"/>
    <w:rsid w:val="00BD1BF1"/>
    <w:rsid w:val="00BD1C9A"/>
    <w:rsid w:val="00BD1CE1"/>
    <w:rsid w:val="00BD1D36"/>
    <w:rsid w:val="00BD1D6E"/>
    <w:rsid w:val="00BD1DA1"/>
    <w:rsid w:val="00BD1DA6"/>
    <w:rsid w:val="00BD1E15"/>
    <w:rsid w:val="00BD1E4D"/>
    <w:rsid w:val="00BD1E8D"/>
    <w:rsid w:val="00BD1EAA"/>
    <w:rsid w:val="00BD1EDB"/>
    <w:rsid w:val="00BD1F24"/>
    <w:rsid w:val="00BD2049"/>
    <w:rsid w:val="00BD2066"/>
    <w:rsid w:val="00BD207C"/>
    <w:rsid w:val="00BD20E7"/>
    <w:rsid w:val="00BD2106"/>
    <w:rsid w:val="00BD2185"/>
    <w:rsid w:val="00BD21EA"/>
    <w:rsid w:val="00BD2275"/>
    <w:rsid w:val="00BD22D9"/>
    <w:rsid w:val="00BD2369"/>
    <w:rsid w:val="00BD2379"/>
    <w:rsid w:val="00BD24C8"/>
    <w:rsid w:val="00BD2511"/>
    <w:rsid w:val="00BD2535"/>
    <w:rsid w:val="00BD260B"/>
    <w:rsid w:val="00BD263D"/>
    <w:rsid w:val="00BD2651"/>
    <w:rsid w:val="00BD26D8"/>
    <w:rsid w:val="00BD26E4"/>
    <w:rsid w:val="00BD27C2"/>
    <w:rsid w:val="00BD2834"/>
    <w:rsid w:val="00BD288F"/>
    <w:rsid w:val="00BD28CF"/>
    <w:rsid w:val="00BD2913"/>
    <w:rsid w:val="00BD2936"/>
    <w:rsid w:val="00BD293F"/>
    <w:rsid w:val="00BD29A9"/>
    <w:rsid w:val="00BD29C8"/>
    <w:rsid w:val="00BD2A21"/>
    <w:rsid w:val="00BD2A24"/>
    <w:rsid w:val="00BD2A37"/>
    <w:rsid w:val="00BD2A5C"/>
    <w:rsid w:val="00BD2B21"/>
    <w:rsid w:val="00BD2B46"/>
    <w:rsid w:val="00BD2BD8"/>
    <w:rsid w:val="00BD2C21"/>
    <w:rsid w:val="00BD2C29"/>
    <w:rsid w:val="00BD2C3D"/>
    <w:rsid w:val="00BD2C83"/>
    <w:rsid w:val="00BD2CC9"/>
    <w:rsid w:val="00BD2D03"/>
    <w:rsid w:val="00BD2D54"/>
    <w:rsid w:val="00BD2DA6"/>
    <w:rsid w:val="00BD2DCB"/>
    <w:rsid w:val="00BD2DFF"/>
    <w:rsid w:val="00BD2E28"/>
    <w:rsid w:val="00BD2EDA"/>
    <w:rsid w:val="00BD2FA8"/>
    <w:rsid w:val="00BD2FC7"/>
    <w:rsid w:val="00BD3040"/>
    <w:rsid w:val="00BD304D"/>
    <w:rsid w:val="00BD30A3"/>
    <w:rsid w:val="00BD30B0"/>
    <w:rsid w:val="00BD318A"/>
    <w:rsid w:val="00BD31D1"/>
    <w:rsid w:val="00BD31DB"/>
    <w:rsid w:val="00BD3268"/>
    <w:rsid w:val="00BD327A"/>
    <w:rsid w:val="00BD32A8"/>
    <w:rsid w:val="00BD32CD"/>
    <w:rsid w:val="00BD3370"/>
    <w:rsid w:val="00BD3386"/>
    <w:rsid w:val="00BD338B"/>
    <w:rsid w:val="00BD3482"/>
    <w:rsid w:val="00BD34B7"/>
    <w:rsid w:val="00BD34F7"/>
    <w:rsid w:val="00BD3540"/>
    <w:rsid w:val="00BD35EA"/>
    <w:rsid w:val="00BD3654"/>
    <w:rsid w:val="00BD365A"/>
    <w:rsid w:val="00BD36D2"/>
    <w:rsid w:val="00BD3759"/>
    <w:rsid w:val="00BD381E"/>
    <w:rsid w:val="00BD3824"/>
    <w:rsid w:val="00BD386F"/>
    <w:rsid w:val="00BD38EA"/>
    <w:rsid w:val="00BD38F6"/>
    <w:rsid w:val="00BD3A43"/>
    <w:rsid w:val="00BD3AF7"/>
    <w:rsid w:val="00BD3AFB"/>
    <w:rsid w:val="00BD3B3B"/>
    <w:rsid w:val="00BD3B5A"/>
    <w:rsid w:val="00BD3BB7"/>
    <w:rsid w:val="00BD3BF1"/>
    <w:rsid w:val="00BD3C06"/>
    <w:rsid w:val="00BD3C4D"/>
    <w:rsid w:val="00BD3C64"/>
    <w:rsid w:val="00BD3C9A"/>
    <w:rsid w:val="00BD3CE4"/>
    <w:rsid w:val="00BD3CFD"/>
    <w:rsid w:val="00BD3D28"/>
    <w:rsid w:val="00BD3DA3"/>
    <w:rsid w:val="00BD3DA8"/>
    <w:rsid w:val="00BD3DEB"/>
    <w:rsid w:val="00BD3DFA"/>
    <w:rsid w:val="00BD3E44"/>
    <w:rsid w:val="00BD3E56"/>
    <w:rsid w:val="00BD3F03"/>
    <w:rsid w:val="00BD3F10"/>
    <w:rsid w:val="00BD3FD2"/>
    <w:rsid w:val="00BD403D"/>
    <w:rsid w:val="00BD4042"/>
    <w:rsid w:val="00BD40B4"/>
    <w:rsid w:val="00BD40B7"/>
    <w:rsid w:val="00BD4130"/>
    <w:rsid w:val="00BD4157"/>
    <w:rsid w:val="00BD4189"/>
    <w:rsid w:val="00BD418F"/>
    <w:rsid w:val="00BD41FE"/>
    <w:rsid w:val="00BD4228"/>
    <w:rsid w:val="00BD42FE"/>
    <w:rsid w:val="00BD4314"/>
    <w:rsid w:val="00BD431F"/>
    <w:rsid w:val="00BD4352"/>
    <w:rsid w:val="00BD438E"/>
    <w:rsid w:val="00BD439F"/>
    <w:rsid w:val="00BD43B3"/>
    <w:rsid w:val="00BD43DC"/>
    <w:rsid w:val="00BD4473"/>
    <w:rsid w:val="00BD448E"/>
    <w:rsid w:val="00BD44A9"/>
    <w:rsid w:val="00BD44B2"/>
    <w:rsid w:val="00BD44E9"/>
    <w:rsid w:val="00BD45AE"/>
    <w:rsid w:val="00BD45DF"/>
    <w:rsid w:val="00BD468F"/>
    <w:rsid w:val="00BD46A7"/>
    <w:rsid w:val="00BD46D7"/>
    <w:rsid w:val="00BD46F0"/>
    <w:rsid w:val="00BD472E"/>
    <w:rsid w:val="00BD4781"/>
    <w:rsid w:val="00BD4787"/>
    <w:rsid w:val="00BD47A8"/>
    <w:rsid w:val="00BD4808"/>
    <w:rsid w:val="00BD489F"/>
    <w:rsid w:val="00BD48D5"/>
    <w:rsid w:val="00BD4958"/>
    <w:rsid w:val="00BD495B"/>
    <w:rsid w:val="00BD499F"/>
    <w:rsid w:val="00BD4A3A"/>
    <w:rsid w:val="00BD4A8A"/>
    <w:rsid w:val="00BD4AC4"/>
    <w:rsid w:val="00BD4B07"/>
    <w:rsid w:val="00BD4B4C"/>
    <w:rsid w:val="00BD4BF4"/>
    <w:rsid w:val="00BD4C11"/>
    <w:rsid w:val="00BD4C20"/>
    <w:rsid w:val="00BD4C2D"/>
    <w:rsid w:val="00BD4C62"/>
    <w:rsid w:val="00BD4C7E"/>
    <w:rsid w:val="00BD4C93"/>
    <w:rsid w:val="00BD4CB2"/>
    <w:rsid w:val="00BD4CD6"/>
    <w:rsid w:val="00BD4D06"/>
    <w:rsid w:val="00BD4D16"/>
    <w:rsid w:val="00BD4D7C"/>
    <w:rsid w:val="00BD4D7D"/>
    <w:rsid w:val="00BD4D8B"/>
    <w:rsid w:val="00BD4E5C"/>
    <w:rsid w:val="00BD4F1C"/>
    <w:rsid w:val="00BD4F33"/>
    <w:rsid w:val="00BD4F43"/>
    <w:rsid w:val="00BD4F9E"/>
    <w:rsid w:val="00BD4FC5"/>
    <w:rsid w:val="00BD5055"/>
    <w:rsid w:val="00BD5056"/>
    <w:rsid w:val="00BD5066"/>
    <w:rsid w:val="00BD515F"/>
    <w:rsid w:val="00BD51B9"/>
    <w:rsid w:val="00BD51EC"/>
    <w:rsid w:val="00BD527E"/>
    <w:rsid w:val="00BD52CF"/>
    <w:rsid w:val="00BD52D4"/>
    <w:rsid w:val="00BD52F3"/>
    <w:rsid w:val="00BD531E"/>
    <w:rsid w:val="00BD5351"/>
    <w:rsid w:val="00BD5381"/>
    <w:rsid w:val="00BD5391"/>
    <w:rsid w:val="00BD5438"/>
    <w:rsid w:val="00BD54B0"/>
    <w:rsid w:val="00BD54FB"/>
    <w:rsid w:val="00BD5602"/>
    <w:rsid w:val="00BD561C"/>
    <w:rsid w:val="00BD562F"/>
    <w:rsid w:val="00BD5722"/>
    <w:rsid w:val="00BD5726"/>
    <w:rsid w:val="00BD572F"/>
    <w:rsid w:val="00BD5777"/>
    <w:rsid w:val="00BD5881"/>
    <w:rsid w:val="00BD5935"/>
    <w:rsid w:val="00BD594B"/>
    <w:rsid w:val="00BD5953"/>
    <w:rsid w:val="00BD5977"/>
    <w:rsid w:val="00BD5A40"/>
    <w:rsid w:val="00BD5A66"/>
    <w:rsid w:val="00BD5ADE"/>
    <w:rsid w:val="00BD5B0F"/>
    <w:rsid w:val="00BD5B3C"/>
    <w:rsid w:val="00BD5BD3"/>
    <w:rsid w:val="00BD5BE9"/>
    <w:rsid w:val="00BD5BF9"/>
    <w:rsid w:val="00BD5C46"/>
    <w:rsid w:val="00BD5CEB"/>
    <w:rsid w:val="00BD5DA8"/>
    <w:rsid w:val="00BD5DCB"/>
    <w:rsid w:val="00BD5E5A"/>
    <w:rsid w:val="00BD5EF5"/>
    <w:rsid w:val="00BD5F80"/>
    <w:rsid w:val="00BD5F85"/>
    <w:rsid w:val="00BD60CA"/>
    <w:rsid w:val="00BD60EA"/>
    <w:rsid w:val="00BD60ED"/>
    <w:rsid w:val="00BD6103"/>
    <w:rsid w:val="00BD6118"/>
    <w:rsid w:val="00BD6136"/>
    <w:rsid w:val="00BD6227"/>
    <w:rsid w:val="00BD62BE"/>
    <w:rsid w:val="00BD633A"/>
    <w:rsid w:val="00BD6432"/>
    <w:rsid w:val="00BD64E2"/>
    <w:rsid w:val="00BD65B3"/>
    <w:rsid w:val="00BD65E0"/>
    <w:rsid w:val="00BD65E5"/>
    <w:rsid w:val="00BD65E8"/>
    <w:rsid w:val="00BD6621"/>
    <w:rsid w:val="00BD6638"/>
    <w:rsid w:val="00BD6679"/>
    <w:rsid w:val="00BD669B"/>
    <w:rsid w:val="00BD66BC"/>
    <w:rsid w:val="00BD66C2"/>
    <w:rsid w:val="00BD6716"/>
    <w:rsid w:val="00BD678C"/>
    <w:rsid w:val="00BD67CE"/>
    <w:rsid w:val="00BD67FA"/>
    <w:rsid w:val="00BD680E"/>
    <w:rsid w:val="00BD68A6"/>
    <w:rsid w:val="00BD68BC"/>
    <w:rsid w:val="00BD6909"/>
    <w:rsid w:val="00BD6941"/>
    <w:rsid w:val="00BD694F"/>
    <w:rsid w:val="00BD6B09"/>
    <w:rsid w:val="00BD6B56"/>
    <w:rsid w:val="00BD6B85"/>
    <w:rsid w:val="00BD6C22"/>
    <w:rsid w:val="00BD6C2B"/>
    <w:rsid w:val="00BD6CB2"/>
    <w:rsid w:val="00BD6CBA"/>
    <w:rsid w:val="00BD6D03"/>
    <w:rsid w:val="00BD6D47"/>
    <w:rsid w:val="00BD6D50"/>
    <w:rsid w:val="00BD6DD4"/>
    <w:rsid w:val="00BD6DED"/>
    <w:rsid w:val="00BD6E2B"/>
    <w:rsid w:val="00BD6F1F"/>
    <w:rsid w:val="00BD6F4E"/>
    <w:rsid w:val="00BD6F7F"/>
    <w:rsid w:val="00BD6F8B"/>
    <w:rsid w:val="00BD6FD8"/>
    <w:rsid w:val="00BD70D3"/>
    <w:rsid w:val="00BD7100"/>
    <w:rsid w:val="00BD710F"/>
    <w:rsid w:val="00BD7113"/>
    <w:rsid w:val="00BD7142"/>
    <w:rsid w:val="00BD719A"/>
    <w:rsid w:val="00BD71AB"/>
    <w:rsid w:val="00BD71F3"/>
    <w:rsid w:val="00BD7241"/>
    <w:rsid w:val="00BD7269"/>
    <w:rsid w:val="00BD72E2"/>
    <w:rsid w:val="00BD7305"/>
    <w:rsid w:val="00BD739C"/>
    <w:rsid w:val="00BD73E9"/>
    <w:rsid w:val="00BD7419"/>
    <w:rsid w:val="00BD7434"/>
    <w:rsid w:val="00BD7480"/>
    <w:rsid w:val="00BD74C8"/>
    <w:rsid w:val="00BD7510"/>
    <w:rsid w:val="00BD75C1"/>
    <w:rsid w:val="00BD7638"/>
    <w:rsid w:val="00BD7643"/>
    <w:rsid w:val="00BD7687"/>
    <w:rsid w:val="00BD76DC"/>
    <w:rsid w:val="00BD76E7"/>
    <w:rsid w:val="00BD76FE"/>
    <w:rsid w:val="00BD7838"/>
    <w:rsid w:val="00BD78A9"/>
    <w:rsid w:val="00BD78D9"/>
    <w:rsid w:val="00BD78DB"/>
    <w:rsid w:val="00BD792A"/>
    <w:rsid w:val="00BD793C"/>
    <w:rsid w:val="00BD7951"/>
    <w:rsid w:val="00BD795E"/>
    <w:rsid w:val="00BD7976"/>
    <w:rsid w:val="00BD7988"/>
    <w:rsid w:val="00BD7A28"/>
    <w:rsid w:val="00BD7A48"/>
    <w:rsid w:val="00BD7B36"/>
    <w:rsid w:val="00BD7B89"/>
    <w:rsid w:val="00BD7BCC"/>
    <w:rsid w:val="00BD7C7F"/>
    <w:rsid w:val="00BD7D32"/>
    <w:rsid w:val="00BD7D5E"/>
    <w:rsid w:val="00BD7D71"/>
    <w:rsid w:val="00BD7DB8"/>
    <w:rsid w:val="00BD7E56"/>
    <w:rsid w:val="00BD7E60"/>
    <w:rsid w:val="00BD7EFE"/>
    <w:rsid w:val="00BD7F49"/>
    <w:rsid w:val="00BD7F6E"/>
    <w:rsid w:val="00BD7FB1"/>
    <w:rsid w:val="00BD7FD8"/>
    <w:rsid w:val="00BE001F"/>
    <w:rsid w:val="00BE0039"/>
    <w:rsid w:val="00BE00CD"/>
    <w:rsid w:val="00BE00E6"/>
    <w:rsid w:val="00BE019D"/>
    <w:rsid w:val="00BE01C4"/>
    <w:rsid w:val="00BE01EE"/>
    <w:rsid w:val="00BE0218"/>
    <w:rsid w:val="00BE0272"/>
    <w:rsid w:val="00BE0296"/>
    <w:rsid w:val="00BE0375"/>
    <w:rsid w:val="00BE039E"/>
    <w:rsid w:val="00BE03AF"/>
    <w:rsid w:val="00BE03B9"/>
    <w:rsid w:val="00BE03CA"/>
    <w:rsid w:val="00BE0401"/>
    <w:rsid w:val="00BE0412"/>
    <w:rsid w:val="00BE045D"/>
    <w:rsid w:val="00BE04DE"/>
    <w:rsid w:val="00BE04E2"/>
    <w:rsid w:val="00BE053C"/>
    <w:rsid w:val="00BE0545"/>
    <w:rsid w:val="00BE058D"/>
    <w:rsid w:val="00BE0607"/>
    <w:rsid w:val="00BE069C"/>
    <w:rsid w:val="00BE06EF"/>
    <w:rsid w:val="00BE0734"/>
    <w:rsid w:val="00BE0757"/>
    <w:rsid w:val="00BE0765"/>
    <w:rsid w:val="00BE07C0"/>
    <w:rsid w:val="00BE07DB"/>
    <w:rsid w:val="00BE0827"/>
    <w:rsid w:val="00BE0839"/>
    <w:rsid w:val="00BE08F1"/>
    <w:rsid w:val="00BE094A"/>
    <w:rsid w:val="00BE0982"/>
    <w:rsid w:val="00BE09E2"/>
    <w:rsid w:val="00BE0A41"/>
    <w:rsid w:val="00BE0BC8"/>
    <w:rsid w:val="00BE0BED"/>
    <w:rsid w:val="00BE0C28"/>
    <w:rsid w:val="00BE0C29"/>
    <w:rsid w:val="00BE0C41"/>
    <w:rsid w:val="00BE0C67"/>
    <w:rsid w:val="00BE0C93"/>
    <w:rsid w:val="00BE0CB9"/>
    <w:rsid w:val="00BE0D96"/>
    <w:rsid w:val="00BE0DB2"/>
    <w:rsid w:val="00BE0DC0"/>
    <w:rsid w:val="00BE0E10"/>
    <w:rsid w:val="00BE0E37"/>
    <w:rsid w:val="00BE0E7D"/>
    <w:rsid w:val="00BE0E7E"/>
    <w:rsid w:val="00BE0E9E"/>
    <w:rsid w:val="00BE0EBE"/>
    <w:rsid w:val="00BE0EF0"/>
    <w:rsid w:val="00BE0F3D"/>
    <w:rsid w:val="00BE0F86"/>
    <w:rsid w:val="00BE0FD5"/>
    <w:rsid w:val="00BE1006"/>
    <w:rsid w:val="00BE1010"/>
    <w:rsid w:val="00BE101A"/>
    <w:rsid w:val="00BE1030"/>
    <w:rsid w:val="00BE1071"/>
    <w:rsid w:val="00BE10CE"/>
    <w:rsid w:val="00BE1107"/>
    <w:rsid w:val="00BE119B"/>
    <w:rsid w:val="00BE1225"/>
    <w:rsid w:val="00BE12F2"/>
    <w:rsid w:val="00BE1309"/>
    <w:rsid w:val="00BE1337"/>
    <w:rsid w:val="00BE13A4"/>
    <w:rsid w:val="00BE13A6"/>
    <w:rsid w:val="00BE1437"/>
    <w:rsid w:val="00BE15A7"/>
    <w:rsid w:val="00BE15CC"/>
    <w:rsid w:val="00BE165B"/>
    <w:rsid w:val="00BE16BA"/>
    <w:rsid w:val="00BE178E"/>
    <w:rsid w:val="00BE17B1"/>
    <w:rsid w:val="00BE17F5"/>
    <w:rsid w:val="00BE17FA"/>
    <w:rsid w:val="00BE1842"/>
    <w:rsid w:val="00BE18C5"/>
    <w:rsid w:val="00BE1906"/>
    <w:rsid w:val="00BE1913"/>
    <w:rsid w:val="00BE192E"/>
    <w:rsid w:val="00BE19B0"/>
    <w:rsid w:val="00BE19B4"/>
    <w:rsid w:val="00BE19C9"/>
    <w:rsid w:val="00BE19DD"/>
    <w:rsid w:val="00BE1A17"/>
    <w:rsid w:val="00BE1A4C"/>
    <w:rsid w:val="00BE1A64"/>
    <w:rsid w:val="00BE1AEE"/>
    <w:rsid w:val="00BE1B5F"/>
    <w:rsid w:val="00BE1B69"/>
    <w:rsid w:val="00BE1B70"/>
    <w:rsid w:val="00BE1B78"/>
    <w:rsid w:val="00BE1BA3"/>
    <w:rsid w:val="00BE1BB7"/>
    <w:rsid w:val="00BE1BF2"/>
    <w:rsid w:val="00BE1C36"/>
    <w:rsid w:val="00BE1C9C"/>
    <w:rsid w:val="00BE1CC8"/>
    <w:rsid w:val="00BE1CCB"/>
    <w:rsid w:val="00BE1D26"/>
    <w:rsid w:val="00BE1D3B"/>
    <w:rsid w:val="00BE1DF0"/>
    <w:rsid w:val="00BE1DFC"/>
    <w:rsid w:val="00BE1E66"/>
    <w:rsid w:val="00BE1E89"/>
    <w:rsid w:val="00BE1EC8"/>
    <w:rsid w:val="00BE1F59"/>
    <w:rsid w:val="00BE1F64"/>
    <w:rsid w:val="00BE1F8B"/>
    <w:rsid w:val="00BE2041"/>
    <w:rsid w:val="00BE205B"/>
    <w:rsid w:val="00BE2066"/>
    <w:rsid w:val="00BE2077"/>
    <w:rsid w:val="00BE20D2"/>
    <w:rsid w:val="00BE2173"/>
    <w:rsid w:val="00BE217A"/>
    <w:rsid w:val="00BE218D"/>
    <w:rsid w:val="00BE2193"/>
    <w:rsid w:val="00BE21A2"/>
    <w:rsid w:val="00BE2202"/>
    <w:rsid w:val="00BE2210"/>
    <w:rsid w:val="00BE229B"/>
    <w:rsid w:val="00BE22E7"/>
    <w:rsid w:val="00BE22E8"/>
    <w:rsid w:val="00BE230C"/>
    <w:rsid w:val="00BE2345"/>
    <w:rsid w:val="00BE2492"/>
    <w:rsid w:val="00BE24B8"/>
    <w:rsid w:val="00BE24E2"/>
    <w:rsid w:val="00BE25A2"/>
    <w:rsid w:val="00BE25E7"/>
    <w:rsid w:val="00BE2625"/>
    <w:rsid w:val="00BE2655"/>
    <w:rsid w:val="00BE26A6"/>
    <w:rsid w:val="00BE26C8"/>
    <w:rsid w:val="00BE26D0"/>
    <w:rsid w:val="00BE2706"/>
    <w:rsid w:val="00BE275A"/>
    <w:rsid w:val="00BE2832"/>
    <w:rsid w:val="00BE2890"/>
    <w:rsid w:val="00BE290E"/>
    <w:rsid w:val="00BE295A"/>
    <w:rsid w:val="00BE2965"/>
    <w:rsid w:val="00BE298C"/>
    <w:rsid w:val="00BE29B8"/>
    <w:rsid w:val="00BE29C5"/>
    <w:rsid w:val="00BE2A83"/>
    <w:rsid w:val="00BE2AB4"/>
    <w:rsid w:val="00BE2B07"/>
    <w:rsid w:val="00BE2B3D"/>
    <w:rsid w:val="00BE2BC3"/>
    <w:rsid w:val="00BE2C00"/>
    <w:rsid w:val="00BE2C5D"/>
    <w:rsid w:val="00BE2C70"/>
    <w:rsid w:val="00BE2CD6"/>
    <w:rsid w:val="00BE2D13"/>
    <w:rsid w:val="00BE2D44"/>
    <w:rsid w:val="00BE2D8C"/>
    <w:rsid w:val="00BE2DB0"/>
    <w:rsid w:val="00BE2E1D"/>
    <w:rsid w:val="00BE2E2B"/>
    <w:rsid w:val="00BE2EB2"/>
    <w:rsid w:val="00BE2EFA"/>
    <w:rsid w:val="00BE2EFD"/>
    <w:rsid w:val="00BE2F33"/>
    <w:rsid w:val="00BE2F65"/>
    <w:rsid w:val="00BE2FD5"/>
    <w:rsid w:val="00BE3066"/>
    <w:rsid w:val="00BE3187"/>
    <w:rsid w:val="00BE31AB"/>
    <w:rsid w:val="00BE31D4"/>
    <w:rsid w:val="00BE3204"/>
    <w:rsid w:val="00BE323C"/>
    <w:rsid w:val="00BE328A"/>
    <w:rsid w:val="00BE3309"/>
    <w:rsid w:val="00BE3328"/>
    <w:rsid w:val="00BE334D"/>
    <w:rsid w:val="00BE338C"/>
    <w:rsid w:val="00BE33EC"/>
    <w:rsid w:val="00BE33F9"/>
    <w:rsid w:val="00BE3448"/>
    <w:rsid w:val="00BE349C"/>
    <w:rsid w:val="00BE351F"/>
    <w:rsid w:val="00BE35B9"/>
    <w:rsid w:val="00BE35D9"/>
    <w:rsid w:val="00BE3696"/>
    <w:rsid w:val="00BE3718"/>
    <w:rsid w:val="00BE372D"/>
    <w:rsid w:val="00BE3739"/>
    <w:rsid w:val="00BE3769"/>
    <w:rsid w:val="00BE3795"/>
    <w:rsid w:val="00BE37F6"/>
    <w:rsid w:val="00BE3810"/>
    <w:rsid w:val="00BE3860"/>
    <w:rsid w:val="00BE386F"/>
    <w:rsid w:val="00BE389C"/>
    <w:rsid w:val="00BE3906"/>
    <w:rsid w:val="00BE39F4"/>
    <w:rsid w:val="00BE3A0C"/>
    <w:rsid w:val="00BE3A2E"/>
    <w:rsid w:val="00BE3A8E"/>
    <w:rsid w:val="00BE3AFD"/>
    <w:rsid w:val="00BE3AFE"/>
    <w:rsid w:val="00BE3B23"/>
    <w:rsid w:val="00BE3B4D"/>
    <w:rsid w:val="00BE3B82"/>
    <w:rsid w:val="00BE3B83"/>
    <w:rsid w:val="00BE3B9F"/>
    <w:rsid w:val="00BE3C16"/>
    <w:rsid w:val="00BE3C21"/>
    <w:rsid w:val="00BE3C65"/>
    <w:rsid w:val="00BE3C82"/>
    <w:rsid w:val="00BE3CAA"/>
    <w:rsid w:val="00BE3CCC"/>
    <w:rsid w:val="00BE3D5E"/>
    <w:rsid w:val="00BE3D94"/>
    <w:rsid w:val="00BE3DAA"/>
    <w:rsid w:val="00BE3DCC"/>
    <w:rsid w:val="00BE3DF3"/>
    <w:rsid w:val="00BE3E06"/>
    <w:rsid w:val="00BE3E09"/>
    <w:rsid w:val="00BE3E55"/>
    <w:rsid w:val="00BE3E6A"/>
    <w:rsid w:val="00BE3E94"/>
    <w:rsid w:val="00BE3EAA"/>
    <w:rsid w:val="00BE3F3A"/>
    <w:rsid w:val="00BE3FB8"/>
    <w:rsid w:val="00BE404D"/>
    <w:rsid w:val="00BE40A9"/>
    <w:rsid w:val="00BE40AE"/>
    <w:rsid w:val="00BE40D3"/>
    <w:rsid w:val="00BE40DA"/>
    <w:rsid w:val="00BE40EF"/>
    <w:rsid w:val="00BE4153"/>
    <w:rsid w:val="00BE4162"/>
    <w:rsid w:val="00BE4193"/>
    <w:rsid w:val="00BE41DC"/>
    <w:rsid w:val="00BE420F"/>
    <w:rsid w:val="00BE422E"/>
    <w:rsid w:val="00BE4328"/>
    <w:rsid w:val="00BE433A"/>
    <w:rsid w:val="00BE4344"/>
    <w:rsid w:val="00BE437D"/>
    <w:rsid w:val="00BE4394"/>
    <w:rsid w:val="00BE4396"/>
    <w:rsid w:val="00BE43CD"/>
    <w:rsid w:val="00BE43FD"/>
    <w:rsid w:val="00BE440D"/>
    <w:rsid w:val="00BE4411"/>
    <w:rsid w:val="00BE4496"/>
    <w:rsid w:val="00BE449F"/>
    <w:rsid w:val="00BE44D7"/>
    <w:rsid w:val="00BE4526"/>
    <w:rsid w:val="00BE45BB"/>
    <w:rsid w:val="00BE45F8"/>
    <w:rsid w:val="00BE462C"/>
    <w:rsid w:val="00BE464A"/>
    <w:rsid w:val="00BE468B"/>
    <w:rsid w:val="00BE4730"/>
    <w:rsid w:val="00BE4744"/>
    <w:rsid w:val="00BE4757"/>
    <w:rsid w:val="00BE47AC"/>
    <w:rsid w:val="00BE47B8"/>
    <w:rsid w:val="00BE483F"/>
    <w:rsid w:val="00BE489C"/>
    <w:rsid w:val="00BE489F"/>
    <w:rsid w:val="00BE48EA"/>
    <w:rsid w:val="00BE4929"/>
    <w:rsid w:val="00BE492A"/>
    <w:rsid w:val="00BE4957"/>
    <w:rsid w:val="00BE4992"/>
    <w:rsid w:val="00BE49C2"/>
    <w:rsid w:val="00BE4A55"/>
    <w:rsid w:val="00BE4A96"/>
    <w:rsid w:val="00BE4C49"/>
    <w:rsid w:val="00BE4D01"/>
    <w:rsid w:val="00BE4D20"/>
    <w:rsid w:val="00BE4D6C"/>
    <w:rsid w:val="00BE4D7D"/>
    <w:rsid w:val="00BE4DFC"/>
    <w:rsid w:val="00BE4E6E"/>
    <w:rsid w:val="00BE4E7D"/>
    <w:rsid w:val="00BE4EDD"/>
    <w:rsid w:val="00BE4F21"/>
    <w:rsid w:val="00BE4F30"/>
    <w:rsid w:val="00BE4F45"/>
    <w:rsid w:val="00BE4F88"/>
    <w:rsid w:val="00BE4FB9"/>
    <w:rsid w:val="00BE500F"/>
    <w:rsid w:val="00BE503F"/>
    <w:rsid w:val="00BE5063"/>
    <w:rsid w:val="00BE506A"/>
    <w:rsid w:val="00BE506C"/>
    <w:rsid w:val="00BE50FD"/>
    <w:rsid w:val="00BE51AB"/>
    <w:rsid w:val="00BE521E"/>
    <w:rsid w:val="00BE522E"/>
    <w:rsid w:val="00BE5280"/>
    <w:rsid w:val="00BE5290"/>
    <w:rsid w:val="00BE52B3"/>
    <w:rsid w:val="00BE52EA"/>
    <w:rsid w:val="00BE534F"/>
    <w:rsid w:val="00BE5372"/>
    <w:rsid w:val="00BE5373"/>
    <w:rsid w:val="00BE538C"/>
    <w:rsid w:val="00BE53CB"/>
    <w:rsid w:val="00BE53D6"/>
    <w:rsid w:val="00BE540E"/>
    <w:rsid w:val="00BE5491"/>
    <w:rsid w:val="00BE5525"/>
    <w:rsid w:val="00BE55D3"/>
    <w:rsid w:val="00BE567D"/>
    <w:rsid w:val="00BE56CA"/>
    <w:rsid w:val="00BE577B"/>
    <w:rsid w:val="00BE57E2"/>
    <w:rsid w:val="00BE5814"/>
    <w:rsid w:val="00BE5843"/>
    <w:rsid w:val="00BE5857"/>
    <w:rsid w:val="00BE58E7"/>
    <w:rsid w:val="00BE5936"/>
    <w:rsid w:val="00BE5960"/>
    <w:rsid w:val="00BE5961"/>
    <w:rsid w:val="00BE5977"/>
    <w:rsid w:val="00BE59AE"/>
    <w:rsid w:val="00BE59B6"/>
    <w:rsid w:val="00BE59D7"/>
    <w:rsid w:val="00BE59DD"/>
    <w:rsid w:val="00BE5A5D"/>
    <w:rsid w:val="00BE5AE6"/>
    <w:rsid w:val="00BE5AED"/>
    <w:rsid w:val="00BE5B2F"/>
    <w:rsid w:val="00BE5B37"/>
    <w:rsid w:val="00BE5B52"/>
    <w:rsid w:val="00BE5B66"/>
    <w:rsid w:val="00BE5B86"/>
    <w:rsid w:val="00BE5C1C"/>
    <w:rsid w:val="00BE5C39"/>
    <w:rsid w:val="00BE5CDB"/>
    <w:rsid w:val="00BE5CF0"/>
    <w:rsid w:val="00BE5D47"/>
    <w:rsid w:val="00BE5D5C"/>
    <w:rsid w:val="00BE5D61"/>
    <w:rsid w:val="00BE5D65"/>
    <w:rsid w:val="00BE5D6F"/>
    <w:rsid w:val="00BE5D89"/>
    <w:rsid w:val="00BE5E6B"/>
    <w:rsid w:val="00BE5EED"/>
    <w:rsid w:val="00BE5FC7"/>
    <w:rsid w:val="00BE6081"/>
    <w:rsid w:val="00BE6085"/>
    <w:rsid w:val="00BE6147"/>
    <w:rsid w:val="00BE6188"/>
    <w:rsid w:val="00BE6218"/>
    <w:rsid w:val="00BE621C"/>
    <w:rsid w:val="00BE6226"/>
    <w:rsid w:val="00BE6290"/>
    <w:rsid w:val="00BE629A"/>
    <w:rsid w:val="00BE62B2"/>
    <w:rsid w:val="00BE638A"/>
    <w:rsid w:val="00BE639C"/>
    <w:rsid w:val="00BE63AF"/>
    <w:rsid w:val="00BE63B7"/>
    <w:rsid w:val="00BE63E1"/>
    <w:rsid w:val="00BE63F0"/>
    <w:rsid w:val="00BE63F3"/>
    <w:rsid w:val="00BE642C"/>
    <w:rsid w:val="00BE6431"/>
    <w:rsid w:val="00BE6433"/>
    <w:rsid w:val="00BE644B"/>
    <w:rsid w:val="00BE64DC"/>
    <w:rsid w:val="00BE65BD"/>
    <w:rsid w:val="00BE65D9"/>
    <w:rsid w:val="00BE6627"/>
    <w:rsid w:val="00BE6649"/>
    <w:rsid w:val="00BE66B2"/>
    <w:rsid w:val="00BE66D2"/>
    <w:rsid w:val="00BE675B"/>
    <w:rsid w:val="00BE67F6"/>
    <w:rsid w:val="00BE683A"/>
    <w:rsid w:val="00BE6843"/>
    <w:rsid w:val="00BE68B0"/>
    <w:rsid w:val="00BE68E9"/>
    <w:rsid w:val="00BE68F1"/>
    <w:rsid w:val="00BE68F7"/>
    <w:rsid w:val="00BE69E6"/>
    <w:rsid w:val="00BE6A22"/>
    <w:rsid w:val="00BE6A65"/>
    <w:rsid w:val="00BE6B09"/>
    <w:rsid w:val="00BE6B1A"/>
    <w:rsid w:val="00BE6B4B"/>
    <w:rsid w:val="00BE6BC8"/>
    <w:rsid w:val="00BE6C36"/>
    <w:rsid w:val="00BE6C8A"/>
    <w:rsid w:val="00BE6CB6"/>
    <w:rsid w:val="00BE6D1F"/>
    <w:rsid w:val="00BE6DA1"/>
    <w:rsid w:val="00BE6E15"/>
    <w:rsid w:val="00BE6F01"/>
    <w:rsid w:val="00BE6FAC"/>
    <w:rsid w:val="00BE704F"/>
    <w:rsid w:val="00BE7076"/>
    <w:rsid w:val="00BE7176"/>
    <w:rsid w:val="00BE721F"/>
    <w:rsid w:val="00BE7232"/>
    <w:rsid w:val="00BE72A9"/>
    <w:rsid w:val="00BE72FF"/>
    <w:rsid w:val="00BE735B"/>
    <w:rsid w:val="00BE73A1"/>
    <w:rsid w:val="00BE73F2"/>
    <w:rsid w:val="00BE740F"/>
    <w:rsid w:val="00BE741D"/>
    <w:rsid w:val="00BE7423"/>
    <w:rsid w:val="00BE7488"/>
    <w:rsid w:val="00BE74E5"/>
    <w:rsid w:val="00BE7501"/>
    <w:rsid w:val="00BE7511"/>
    <w:rsid w:val="00BE7541"/>
    <w:rsid w:val="00BE7575"/>
    <w:rsid w:val="00BE75AF"/>
    <w:rsid w:val="00BE7606"/>
    <w:rsid w:val="00BE7657"/>
    <w:rsid w:val="00BE7665"/>
    <w:rsid w:val="00BE767D"/>
    <w:rsid w:val="00BE7689"/>
    <w:rsid w:val="00BE768E"/>
    <w:rsid w:val="00BE76E4"/>
    <w:rsid w:val="00BE77BC"/>
    <w:rsid w:val="00BE77F2"/>
    <w:rsid w:val="00BE7844"/>
    <w:rsid w:val="00BE7864"/>
    <w:rsid w:val="00BE7993"/>
    <w:rsid w:val="00BE7A18"/>
    <w:rsid w:val="00BE7AE1"/>
    <w:rsid w:val="00BE7AE2"/>
    <w:rsid w:val="00BE7AFF"/>
    <w:rsid w:val="00BE7B1F"/>
    <w:rsid w:val="00BE7BD0"/>
    <w:rsid w:val="00BE7C0A"/>
    <w:rsid w:val="00BE7C0D"/>
    <w:rsid w:val="00BE7C8C"/>
    <w:rsid w:val="00BE7CDE"/>
    <w:rsid w:val="00BE7D18"/>
    <w:rsid w:val="00BE7D49"/>
    <w:rsid w:val="00BE7D6A"/>
    <w:rsid w:val="00BE7DC8"/>
    <w:rsid w:val="00BE7DEE"/>
    <w:rsid w:val="00BE7E30"/>
    <w:rsid w:val="00BE7E64"/>
    <w:rsid w:val="00BE7E70"/>
    <w:rsid w:val="00BE7F19"/>
    <w:rsid w:val="00BE7F21"/>
    <w:rsid w:val="00BE7FA4"/>
    <w:rsid w:val="00BE7FB2"/>
    <w:rsid w:val="00BE7FD8"/>
    <w:rsid w:val="00BE7FDC"/>
    <w:rsid w:val="00BECC7F"/>
    <w:rsid w:val="00BF0053"/>
    <w:rsid w:val="00BF0059"/>
    <w:rsid w:val="00BF0070"/>
    <w:rsid w:val="00BF014A"/>
    <w:rsid w:val="00BF0179"/>
    <w:rsid w:val="00BF01BB"/>
    <w:rsid w:val="00BF01E0"/>
    <w:rsid w:val="00BF0220"/>
    <w:rsid w:val="00BF0239"/>
    <w:rsid w:val="00BF0256"/>
    <w:rsid w:val="00BF0280"/>
    <w:rsid w:val="00BF02A3"/>
    <w:rsid w:val="00BF02B1"/>
    <w:rsid w:val="00BF03BF"/>
    <w:rsid w:val="00BF0434"/>
    <w:rsid w:val="00BF047C"/>
    <w:rsid w:val="00BF049F"/>
    <w:rsid w:val="00BF04A3"/>
    <w:rsid w:val="00BF04B5"/>
    <w:rsid w:val="00BF0522"/>
    <w:rsid w:val="00BF0541"/>
    <w:rsid w:val="00BF0600"/>
    <w:rsid w:val="00BF063F"/>
    <w:rsid w:val="00BF06BA"/>
    <w:rsid w:val="00BF0731"/>
    <w:rsid w:val="00BF08C0"/>
    <w:rsid w:val="00BF0945"/>
    <w:rsid w:val="00BF098D"/>
    <w:rsid w:val="00BF09F0"/>
    <w:rsid w:val="00BF09FF"/>
    <w:rsid w:val="00BF0A52"/>
    <w:rsid w:val="00BF0A95"/>
    <w:rsid w:val="00BF0ABA"/>
    <w:rsid w:val="00BF0ACA"/>
    <w:rsid w:val="00BF0B18"/>
    <w:rsid w:val="00BF0B33"/>
    <w:rsid w:val="00BF0BB2"/>
    <w:rsid w:val="00BF0BBB"/>
    <w:rsid w:val="00BF0BE7"/>
    <w:rsid w:val="00BF0C68"/>
    <w:rsid w:val="00BF0CE0"/>
    <w:rsid w:val="00BF0D5F"/>
    <w:rsid w:val="00BF0D7A"/>
    <w:rsid w:val="00BF0DF3"/>
    <w:rsid w:val="00BF0E00"/>
    <w:rsid w:val="00BF0E59"/>
    <w:rsid w:val="00BF0E74"/>
    <w:rsid w:val="00BF0EA2"/>
    <w:rsid w:val="00BF0F77"/>
    <w:rsid w:val="00BF0FAC"/>
    <w:rsid w:val="00BF0FC0"/>
    <w:rsid w:val="00BF0FCC"/>
    <w:rsid w:val="00BF1026"/>
    <w:rsid w:val="00BF1087"/>
    <w:rsid w:val="00BF10AB"/>
    <w:rsid w:val="00BF10CE"/>
    <w:rsid w:val="00BF1100"/>
    <w:rsid w:val="00BF1148"/>
    <w:rsid w:val="00BF114C"/>
    <w:rsid w:val="00BF1197"/>
    <w:rsid w:val="00BF11EC"/>
    <w:rsid w:val="00BF1212"/>
    <w:rsid w:val="00BF1337"/>
    <w:rsid w:val="00BF133B"/>
    <w:rsid w:val="00BF133E"/>
    <w:rsid w:val="00BF1353"/>
    <w:rsid w:val="00BF1406"/>
    <w:rsid w:val="00BF1449"/>
    <w:rsid w:val="00BF1496"/>
    <w:rsid w:val="00BF14D0"/>
    <w:rsid w:val="00BF1578"/>
    <w:rsid w:val="00BF1589"/>
    <w:rsid w:val="00BF159D"/>
    <w:rsid w:val="00BF16BA"/>
    <w:rsid w:val="00BF16ED"/>
    <w:rsid w:val="00BF172C"/>
    <w:rsid w:val="00BF173A"/>
    <w:rsid w:val="00BF174E"/>
    <w:rsid w:val="00BF17D1"/>
    <w:rsid w:val="00BF1803"/>
    <w:rsid w:val="00BF1830"/>
    <w:rsid w:val="00BF1840"/>
    <w:rsid w:val="00BF1859"/>
    <w:rsid w:val="00BF18D1"/>
    <w:rsid w:val="00BF1914"/>
    <w:rsid w:val="00BF1916"/>
    <w:rsid w:val="00BF1918"/>
    <w:rsid w:val="00BF1921"/>
    <w:rsid w:val="00BF197A"/>
    <w:rsid w:val="00BF1996"/>
    <w:rsid w:val="00BF19E2"/>
    <w:rsid w:val="00BF19EB"/>
    <w:rsid w:val="00BF1A2C"/>
    <w:rsid w:val="00BF1A99"/>
    <w:rsid w:val="00BF1ABB"/>
    <w:rsid w:val="00BF1ADD"/>
    <w:rsid w:val="00BF1B27"/>
    <w:rsid w:val="00BF1B6C"/>
    <w:rsid w:val="00BF1B6E"/>
    <w:rsid w:val="00BF1C2F"/>
    <w:rsid w:val="00BF1C44"/>
    <w:rsid w:val="00BF1C47"/>
    <w:rsid w:val="00BF1C57"/>
    <w:rsid w:val="00BF1CCD"/>
    <w:rsid w:val="00BF1E3F"/>
    <w:rsid w:val="00BF1EBA"/>
    <w:rsid w:val="00BF1EC2"/>
    <w:rsid w:val="00BF1F3D"/>
    <w:rsid w:val="00BF1F88"/>
    <w:rsid w:val="00BF1FAA"/>
    <w:rsid w:val="00BF1FDE"/>
    <w:rsid w:val="00BF207C"/>
    <w:rsid w:val="00BF210A"/>
    <w:rsid w:val="00BF2147"/>
    <w:rsid w:val="00BF2149"/>
    <w:rsid w:val="00BF21AB"/>
    <w:rsid w:val="00BF2248"/>
    <w:rsid w:val="00BF231D"/>
    <w:rsid w:val="00BF234C"/>
    <w:rsid w:val="00BF235A"/>
    <w:rsid w:val="00BF2390"/>
    <w:rsid w:val="00BF23B1"/>
    <w:rsid w:val="00BF23F1"/>
    <w:rsid w:val="00BF2417"/>
    <w:rsid w:val="00BF2480"/>
    <w:rsid w:val="00BF2516"/>
    <w:rsid w:val="00BF2553"/>
    <w:rsid w:val="00BF25A5"/>
    <w:rsid w:val="00BF25F5"/>
    <w:rsid w:val="00BF2617"/>
    <w:rsid w:val="00BF2638"/>
    <w:rsid w:val="00BF2696"/>
    <w:rsid w:val="00BF26B0"/>
    <w:rsid w:val="00BF26D8"/>
    <w:rsid w:val="00BF26DC"/>
    <w:rsid w:val="00BF2707"/>
    <w:rsid w:val="00BF273E"/>
    <w:rsid w:val="00BF2784"/>
    <w:rsid w:val="00BF27C3"/>
    <w:rsid w:val="00BF288C"/>
    <w:rsid w:val="00BF289D"/>
    <w:rsid w:val="00BF2961"/>
    <w:rsid w:val="00BF296A"/>
    <w:rsid w:val="00BF297B"/>
    <w:rsid w:val="00BF298D"/>
    <w:rsid w:val="00BF29E0"/>
    <w:rsid w:val="00BF2A39"/>
    <w:rsid w:val="00BF2A8C"/>
    <w:rsid w:val="00BF2A99"/>
    <w:rsid w:val="00BF2AF6"/>
    <w:rsid w:val="00BF2B39"/>
    <w:rsid w:val="00BF2B3D"/>
    <w:rsid w:val="00BF2B46"/>
    <w:rsid w:val="00BF2BAF"/>
    <w:rsid w:val="00BF2BD9"/>
    <w:rsid w:val="00BF2C2D"/>
    <w:rsid w:val="00BF2C36"/>
    <w:rsid w:val="00BF2C6B"/>
    <w:rsid w:val="00BF2C77"/>
    <w:rsid w:val="00BF2C8E"/>
    <w:rsid w:val="00BF2CC3"/>
    <w:rsid w:val="00BF2CE4"/>
    <w:rsid w:val="00BF2D15"/>
    <w:rsid w:val="00BF2D31"/>
    <w:rsid w:val="00BF2D76"/>
    <w:rsid w:val="00BF2DC5"/>
    <w:rsid w:val="00BF2E2F"/>
    <w:rsid w:val="00BF2E67"/>
    <w:rsid w:val="00BF2EFA"/>
    <w:rsid w:val="00BF2FB5"/>
    <w:rsid w:val="00BF2FCD"/>
    <w:rsid w:val="00BF305D"/>
    <w:rsid w:val="00BF3075"/>
    <w:rsid w:val="00BF309B"/>
    <w:rsid w:val="00BF30CE"/>
    <w:rsid w:val="00BF3117"/>
    <w:rsid w:val="00BF3120"/>
    <w:rsid w:val="00BF3180"/>
    <w:rsid w:val="00BF3201"/>
    <w:rsid w:val="00BF3254"/>
    <w:rsid w:val="00BF3361"/>
    <w:rsid w:val="00BF339A"/>
    <w:rsid w:val="00BF33AA"/>
    <w:rsid w:val="00BF33E3"/>
    <w:rsid w:val="00BF3405"/>
    <w:rsid w:val="00BF3477"/>
    <w:rsid w:val="00BF3504"/>
    <w:rsid w:val="00BF3564"/>
    <w:rsid w:val="00BF35CA"/>
    <w:rsid w:val="00BF3636"/>
    <w:rsid w:val="00BF3684"/>
    <w:rsid w:val="00BF369A"/>
    <w:rsid w:val="00BF36B9"/>
    <w:rsid w:val="00BF36DF"/>
    <w:rsid w:val="00BF3788"/>
    <w:rsid w:val="00BF37AC"/>
    <w:rsid w:val="00BF37F2"/>
    <w:rsid w:val="00BF3815"/>
    <w:rsid w:val="00BF3825"/>
    <w:rsid w:val="00BF387A"/>
    <w:rsid w:val="00BF387F"/>
    <w:rsid w:val="00BF38B7"/>
    <w:rsid w:val="00BF38C4"/>
    <w:rsid w:val="00BF38FE"/>
    <w:rsid w:val="00BF3953"/>
    <w:rsid w:val="00BF395F"/>
    <w:rsid w:val="00BF396C"/>
    <w:rsid w:val="00BF39AD"/>
    <w:rsid w:val="00BF39ED"/>
    <w:rsid w:val="00BF3A2C"/>
    <w:rsid w:val="00BF3A31"/>
    <w:rsid w:val="00BF3A87"/>
    <w:rsid w:val="00BF3A88"/>
    <w:rsid w:val="00BF3A9B"/>
    <w:rsid w:val="00BF3AA0"/>
    <w:rsid w:val="00BF3AAA"/>
    <w:rsid w:val="00BF3AAF"/>
    <w:rsid w:val="00BF3B11"/>
    <w:rsid w:val="00BF3BA0"/>
    <w:rsid w:val="00BF3BBE"/>
    <w:rsid w:val="00BF3BDE"/>
    <w:rsid w:val="00BF3C2F"/>
    <w:rsid w:val="00BF3C7D"/>
    <w:rsid w:val="00BF3C9D"/>
    <w:rsid w:val="00BF3D7E"/>
    <w:rsid w:val="00BF3DB8"/>
    <w:rsid w:val="00BF3DED"/>
    <w:rsid w:val="00BF3E41"/>
    <w:rsid w:val="00BF3E80"/>
    <w:rsid w:val="00BF3E8C"/>
    <w:rsid w:val="00BF3EC3"/>
    <w:rsid w:val="00BF3F94"/>
    <w:rsid w:val="00BF40B9"/>
    <w:rsid w:val="00BF40E7"/>
    <w:rsid w:val="00BF41DC"/>
    <w:rsid w:val="00BF41E2"/>
    <w:rsid w:val="00BF428F"/>
    <w:rsid w:val="00BF42AF"/>
    <w:rsid w:val="00BF42D1"/>
    <w:rsid w:val="00BF430E"/>
    <w:rsid w:val="00BF4344"/>
    <w:rsid w:val="00BF43F6"/>
    <w:rsid w:val="00BF4402"/>
    <w:rsid w:val="00BF449E"/>
    <w:rsid w:val="00BF44AE"/>
    <w:rsid w:val="00BF44FC"/>
    <w:rsid w:val="00BF458A"/>
    <w:rsid w:val="00BF459D"/>
    <w:rsid w:val="00BF45C0"/>
    <w:rsid w:val="00BF460B"/>
    <w:rsid w:val="00BF461C"/>
    <w:rsid w:val="00BF4620"/>
    <w:rsid w:val="00BF463D"/>
    <w:rsid w:val="00BF46E3"/>
    <w:rsid w:val="00BF4738"/>
    <w:rsid w:val="00BF4757"/>
    <w:rsid w:val="00BF4765"/>
    <w:rsid w:val="00BF477D"/>
    <w:rsid w:val="00BF4809"/>
    <w:rsid w:val="00BF4857"/>
    <w:rsid w:val="00BF4864"/>
    <w:rsid w:val="00BF48B5"/>
    <w:rsid w:val="00BF48BD"/>
    <w:rsid w:val="00BF48C9"/>
    <w:rsid w:val="00BF48EB"/>
    <w:rsid w:val="00BF490C"/>
    <w:rsid w:val="00BF4999"/>
    <w:rsid w:val="00BF4A2A"/>
    <w:rsid w:val="00BF4A69"/>
    <w:rsid w:val="00BF4A75"/>
    <w:rsid w:val="00BF4A7E"/>
    <w:rsid w:val="00BF4A80"/>
    <w:rsid w:val="00BF4ACF"/>
    <w:rsid w:val="00BF4AD9"/>
    <w:rsid w:val="00BF4B00"/>
    <w:rsid w:val="00BF4B0B"/>
    <w:rsid w:val="00BF4B2E"/>
    <w:rsid w:val="00BF4B5C"/>
    <w:rsid w:val="00BF4B88"/>
    <w:rsid w:val="00BF4B8C"/>
    <w:rsid w:val="00BF4BCE"/>
    <w:rsid w:val="00BF4BEC"/>
    <w:rsid w:val="00BF4C28"/>
    <w:rsid w:val="00BF4C4D"/>
    <w:rsid w:val="00BF4DCE"/>
    <w:rsid w:val="00BF4E8F"/>
    <w:rsid w:val="00BF4F0D"/>
    <w:rsid w:val="00BF4F20"/>
    <w:rsid w:val="00BF4F32"/>
    <w:rsid w:val="00BF4F7D"/>
    <w:rsid w:val="00BF4F8A"/>
    <w:rsid w:val="00BF4F90"/>
    <w:rsid w:val="00BF4FDC"/>
    <w:rsid w:val="00BF4FF2"/>
    <w:rsid w:val="00BF5004"/>
    <w:rsid w:val="00BF5034"/>
    <w:rsid w:val="00BF505D"/>
    <w:rsid w:val="00BF5064"/>
    <w:rsid w:val="00BF508E"/>
    <w:rsid w:val="00BF50B8"/>
    <w:rsid w:val="00BF50E2"/>
    <w:rsid w:val="00BF50F4"/>
    <w:rsid w:val="00BF522E"/>
    <w:rsid w:val="00BF52C1"/>
    <w:rsid w:val="00BF5309"/>
    <w:rsid w:val="00BF530A"/>
    <w:rsid w:val="00BF5392"/>
    <w:rsid w:val="00BF5398"/>
    <w:rsid w:val="00BF53AE"/>
    <w:rsid w:val="00BF54DC"/>
    <w:rsid w:val="00BF553A"/>
    <w:rsid w:val="00BF558D"/>
    <w:rsid w:val="00BF55B8"/>
    <w:rsid w:val="00BF55D0"/>
    <w:rsid w:val="00BF5627"/>
    <w:rsid w:val="00BF563E"/>
    <w:rsid w:val="00BF5647"/>
    <w:rsid w:val="00BF56C5"/>
    <w:rsid w:val="00BF56EC"/>
    <w:rsid w:val="00BF57BF"/>
    <w:rsid w:val="00BF57DB"/>
    <w:rsid w:val="00BF592F"/>
    <w:rsid w:val="00BF5949"/>
    <w:rsid w:val="00BF595E"/>
    <w:rsid w:val="00BF5988"/>
    <w:rsid w:val="00BF59CC"/>
    <w:rsid w:val="00BF59DB"/>
    <w:rsid w:val="00BF5A23"/>
    <w:rsid w:val="00BF5A38"/>
    <w:rsid w:val="00BF5A45"/>
    <w:rsid w:val="00BF5A68"/>
    <w:rsid w:val="00BF5A74"/>
    <w:rsid w:val="00BF5B00"/>
    <w:rsid w:val="00BF5B43"/>
    <w:rsid w:val="00BF5B84"/>
    <w:rsid w:val="00BF5B95"/>
    <w:rsid w:val="00BF5BA3"/>
    <w:rsid w:val="00BF5BFE"/>
    <w:rsid w:val="00BF5C0A"/>
    <w:rsid w:val="00BF5C6D"/>
    <w:rsid w:val="00BF5CEE"/>
    <w:rsid w:val="00BF5D00"/>
    <w:rsid w:val="00BF5D01"/>
    <w:rsid w:val="00BF5D02"/>
    <w:rsid w:val="00BF5D2D"/>
    <w:rsid w:val="00BF5E10"/>
    <w:rsid w:val="00BF5E1D"/>
    <w:rsid w:val="00BF5E70"/>
    <w:rsid w:val="00BF5EBC"/>
    <w:rsid w:val="00BF5EFA"/>
    <w:rsid w:val="00BF5F40"/>
    <w:rsid w:val="00BF5F51"/>
    <w:rsid w:val="00BF6013"/>
    <w:rsid w:val="00BF6019"/>
    <w:rsid w:val="00BF603A"/>
    <w:rsid w:val="00BF6068"/>
    <w:rsid w:val="00BF6070"/>
    <w:rsid w:val="00BF60D0"/>
    <w:rsid w:val="00BF6124"/>
    <w:rsid w:val="00BF6149"/>
    <w:rsid w:val="00BF6197"/>
    <w:rsid w:val="00BF61B3"/>
    <w:rsid w:val="00BF61D1"/>
    <w:rsid w:val="00BF61D7"/>
    <w:rsid w:val="00BF62BD"/>
    <w:rsid w:val="00BF62CC"/>
    <w:rsid w:val="00BF62D1"/>
    <w:rsid w:val="00BF6397"/>
    <w:rsid w:val="00BF63A0"/>
    <w:rsid w:val="00BF641D"/>
    <w:rsid w:val="00BF645B"/>
    <w:rsid w:val="00BF6476"/>
    <w:rsid w:val="00BF6494"/>
    <w:rsid w:val="00BF64F2"/>
    <w:rsid w:val="00BF6590"/>
    <w:rsid w:val="00BF65BC"/>
    <w:rsid w:val="00BF6636"/>
    <w:rsid w:val="00BF6673"/>
    <w:rsid w:val="00BF667C"/>
    <w:rsid w:val="00BF66A6"/>
    <w:rsid w:val="00BF6849"/>
    <w:rsid w:val="00BF6880"/>
    <w:rsid w:val="00BF69C4"/>
    <w:rsid w:val="00BF69D3"/>
    <w:rsid w:val="00BF6A12"/>
    <w:rsid w:val="00BF6A21"/>
    <w:rsid w:val="00BF6A4C"/>
    <w:rsid w:val="00BF6A7A"/>
    <w:rsid w:val="00BF6A8D"/>
    <w:rsid w:val="00BF6AFD"/>
    <w:rsid w:val="00BF6B81"/>
    <w:rsid w:val="00BF6B8D"/>
    <w:rsid w:val="00BF6BBC"/>
    <w:rsid w:val="00BF6BD9"/>
    <w:rsid w:val="00BF6BE2"/>
    <w:rsid w:val="00BF6BF6"/>
    <w:rsid w:val="00BF6BF7"/>
    <w:rsid w:val="00BF6C33"/>
    <w:rsid w:val="00BF6C36"/>
    <w:rsid w:val="00BF6C8A"/>
    <w:rsid w:val="00BF6D08"/>
    <w:rsid w:val="00BF6D33"/>
    <w:rsid w:val="00BF6DB8"/>
    <w:rsid w:val="00BF6E3B"/>
    <w:rsid w:val="00BF6E4A"/>
    <w:rsid w:val="00BF6E6B"/>
    <w:rsid w:val="00BF6E99"/>
    <w:rsid w:val="00BF6EA0"/>
    <w:rsid w:val="00BF6F03"/>
    <w:rsid w:val="00BF6F62"/>
    <w:rsid w:val="00BF6FAB"/>
    <w:rsid w:val="00BF6FAE"/>
    <w:rsid w:val="00BF6FC4"/>
    <w:rsid w:val="00BF6FD1"/>
    <w:rsid w:val="00BF6FD3"/>
    <w:rsid w:val="00BF6FE8"/>
    <w:rsid w:val="00BF704B"/>
    <w:rsid w:val="00BF7070"/>
    <w:rsid w:val="00BF707A"/>
    <w:rsid w:val="00BF7105"/>
    <w:rsid w:val="00BF712A"/>
    <w:rsid w:val="00BF7173"/>
    <w:rsid w:val="00BF71A2"/>
    <w:rsid w:val="00BF7218"/>
    <w:rsid w:val="00BF7227"/>
    <w:rsid w:val="00BF724C"/>
    <w:rsid w:val="00BF726E"/>
    <w:rsid w:val="00BF7295"/>
    <w:rsid w:val="00BF72CD"/>
    <w:rsid w:val="00BF7312"/>
    <w:rsid w:val="00BF7346"/>
    <w:rsid w:val="00BF736B"/>
    <w:rsid w:val="00BF7393"/>
    <w:rsid w:val="00BF7400"/>
    <w:rsid w:val="00BF746D"/>
    <w:rsid w:val="00BF7497"/>
    <w:rsid w:val="00BF74BD"/>
    <w:rsid w:val="00BF74D3"/>
    <w:rsid w:val="00BF74E9"/>
    <w:rsid w:val="00BF7559"/>
    <w:rsid w:val="00BF7596"/>
    <w:rsid w:val="00BF75B9"/>
    <w:rsid w:val="00BF75CE"/>
    <w:rsid w:val="00BF75FD"/>
    <w:rsid w:val="00BF7622"/>
    <w:rsid w:val="00BF7649"/>
    <w:rsid w:val="00BF766D"/>
    <w:rsid w:val="00BF76EF"/>
    <w:rsid w:val="00BF7778"/>
    <w:rsid w:val="00BF77B2"/>
    <w:rsid w:val="00BF7924"/>
    <w:rsid w:val="00BF7A89"/>
    <w:rsid w:val="00BF7BB9"/>
    <w:rsid w:val="00BF7BE2"/>
    <w:rsid w:val="00BF7BFA"/>
    <w:rsid w:val="00BF7C07"/>
    <w:rsid w:val="00BF7C8E"/>
    <w:rsid w:val="00BF7CE2"/>
    <w:rsid w:val="00BF7D2F"/>
    <w:rsid w:val="00BF7D32"/>
    <w:rsid w:val="00BF7DAB"/>
    <w:rsid w:val="00BF7F2A"/>
    <w:rsid w:val="00BF7FC0"/>
    <w:rsid w:val="00C000A1"/>
    <w:rsid w:val="00C00108"/>
    <w:rsid w:val="00C00163"/>
    <w:rsid w:val="00C0017E"/>
    <w:rsid w:val="00C0017F"/>
    <w:rsid w:val="00C00189"/>
    <w:rsid w:val="00C0029A"/>
    <w:rsid w:val="00C002AC"/>
    <w:rsid w:val="00C0031F"/>
    <w:rsid w:val="00C003EB"/>
    <w:rsid w:val="00C003EE"/>
    <w:rsid w:val="00C003F0"/>
    <w:rsid w:val="00C0042A"/>
    <w:rsid w:val="00C0043E"/>
    <w:rsid w:val="00C0047A"/>
    <w:rsid w:val="00C004B0"/>
    <w:rsid w:val="00C0050B"/>
    <w:rsid w:val="00C0050F"/>
    <w:rsid w:val="00C00514"/>
    <w:rsid w:val="00C00537"/>
    <w:rsid w:val="00C0053E"/>
    <w:rsid w:val="00C0059C"/>
    <w:rsid w:val="00C005D6"/>
    <w:rsid w:val="00C005E3"/>
    <w:rsid w:val="00C005E6"/>
    <w:rsid w:val="00C005FB"/>
    <w:rsid w:val="00C006A2"/>
    <w:rsid w:val="00C006B0"/>
    <w:rsid w:val="00C0075E"/>
    <w:rsid w:val="00C0078F"/>
    <w:rsid w:val="00C00796"/>
    <w:rsid w:val="00C007AE"/>
    <w:rsid w:val="00C007BA"/>
    <w:rsid w:val="00C00846"/>
    <w:rsid w:val="00C00857"/>
    <w:rsid w:val="00C008A7"/>
    <w:rsid w:val="00C008B1"/>
    <w:rsid w:val="00C00B0B"/>
    <w:rsid w:val="00C00BA2"/>
    <w:rsid w:val="00C00BB2"/>
    <w:rsid w:val="00C00BEA"/>
    <w:rsid w:val="00C00C33"/>
    <w:rsid w:val="00C00C9B"/>
    <w:rsid w:val="00C00CA8"/>
    <w:rsid w:val="00C00CCF"/>
    <w:rsid w:val="00C00D19"/>
    <w:rsid w:val="00C00D3A"/>
    <w:rsid w:val="00C00D5E"/>
    <w:rsid w:val="00C00D7E"/>
    <w:rsid w:val="00C00EA0"/>
    <w:rsid w:val="00C00EAF"/>
    <w:rsid w:val="00C00EDC"/>
    <w:rsid w:val="00C00F09"/>
    <w:rsid w:val="00C00F24"/>
    <w:rsid w:val="00C00F3B"/>
    <w:rsid w:val="00C00F7A"/>
    <w:rsid w:val="00C00FB4"/>
    <w:rsid w:val="00C00FD7"/>
    <w:rsid w:val="00C01079"/>
    <w:rsid w:val="00C01188"/>
    <w:rsid w:val="00C011A9"/>
    <w:rsid w:val="00C011B0"/>
    <w:rsid w:val="00C011BC"/>
    <w:rsid w:val="00C011CE"/>
    <w:rsid w:val="00C01250"/>
    <w:rsid w:val="00C012BE"/>
    <w:rsid w:val="00C012DF"/>
    <w:rsid w:val="00C01350"/>
    <w:rsid w:val="00C013DE"/>
    <w:rsid w:val="00C01444"/>
    <w:rsid w:val="00C0144B"/>
    <w:rsid w:val="00C01465"/>
    <w:rsid w:val="00C014E6"/>
    <w:rsid w:val="00C01536"/>
    <w:rsid w:val="00C0153A"/>
    <w:rsid w:val="00C01573"/>
    <w:rsid w:val="00C01577"/>
    <w:rsid w:val="00C015C9"/>
    <w:rsid w:val="00C0162A"/>
    <w:rsid w:val="00C016E6"/>
    <w:rsid w:val="00C01751"/>
    <w:rsid w:val="00C0175F"/>
    <w:rsid w:val="00C01805"/>
    <w:rsid w:val="00C0185C"/>
    <w:rsid w:val="00C01875"/>
    <w:rsid w:val="00C0187A"/>
    <w:rsid w:val="00C01902"/>
    <w:rsid w:val="00C01911"/>
    <w:rsid w:val="00C01920"/>
    <w:rsid w:val="00C01975"/>
    <w:rsid w:val="00C019C2"/>
    <w:rsid w:val="00C01A03"/>
    <w:rsid w:val="00C01A20"/>
    <w:rsid w:val="00C01A8B"/>
    <w:rsid w:val="00C01AFC"/>
    <w:rsid w:val="00C01B1B"/>
    <w:rsid w:val="00C01BB2"/>
    <w:rsid w:val="00C01BC4"/>
    <w:rsid w:val="00C01C25"/>
    <w:rsid w:val="00C01C9B"/>
    <w:rsid w:val="00C01E3F"/>
    <w:rsid w:val="00C01E95"/>
    <w:rsid w:val="00C01EA6"/>
    <w:rsid w:val="00C01F0A"/>
    <w:rsid w:val="00C01F1B"/>
    <w:rsid w:val="00C01F8E"/>
    <w:rsid w:val="00C01FE0"/>
    <w:rsid w:val="00C02069"/>
    <w:rsid w:val="00C020FA"/>
    <w:rsid w:val="00C0211E"/>
    <w:rsid w:val="00C0214C"/>
    <w:rsid w:val="00C0216A"/>
    <w:rsid w:val="00C02189"/>
    <w:rsid w:val="00C02198"/>
    <w:rsid w:val="00C02258"/>
    <w:rsid w:val="00C0241C"/>
    <w:rsid w:val="00C02473"/>
    <w:rsid w:val="00C02475"/>
    <w:rsid w:val="00C0249D"/>
    <w:rsid w:val="00C024B1"/>
    <w:rsid w:val="00C024D2"/>
    <w:rsid w:val="00C024E7"/>
    <w:rsid w:val="00C025CA"/>
    <w:rsid w:val="00C02609"/>
    <w:rsid w:val="00C02668"/>
    <w:rsid w:val="00C02669"/>
    <w:rsid w:val="00C02673"/>
    <w:rsid w:val="00C026A1"/>
    <w:rsid w:val="00C02711"/>
    <w:rsid w:val="00C0271B"/>
    <w:rsid w:val="00C02750"/>
    <w:rsid w:val="00C027E8"/>
    <w:rsid w:val="00C0288D"/>
    <w:rsid w:val="00C02926"/>
    <w:rsid w:val="00C02954"/>
    <w:rsid w:val="00C029B7"/>
    <w:rsid w:val="00C029D2"/>
    <w:rsid w:val="00C02A2C"/>
    <w:rsid w:val="00C02A87"/>
    <w:rsid w:val="00C02AD7"/>
    <w:rsid w:val="00C02B2F"/>
    <w:rsid w:val="00C02B6B"/>
    <w:rsid w:val="00C02B88"/>
    <w:rsid w:val="00C02BEF"/>
    <w:rsid w:val="00C02C13"/>
    <w:rsid w:val="00C02C71"/>
    <w:rsid w:val="00C02C95"/>
    <w:rsid w:val="00C02C9B"/>
    <w:rsid w:val="00C02CA1"/>
    <w:rsid w:val="00C02CD4"/>
    <w:rsid w:val="00C02D86"/>
    <w:rsid w:val="00C02E04"/>
    <w:rsid w:val="00C02E25"/>
    <w:rsid w:val="00C02E3D"/>
    <w:rsid w:val="00C02E3F"/>
    <w:rsid w:val="00C02E78"/>
    <w:rsid w:val="00C02EE8"/>
    <w:rsid w:val="00C02F08"/>
    <w:rsid w:val="00C02F60"/>
    <w:rsid w:val="00C02F81"/>
    <w:rsid w:val="00C02F8D"/>
    <w:rsid w:val="00C03059"/>
    <w:rsid w:val="00C03088"/>
    <w:rsid w:val="00C030D4"/>
    <w:rsid w:val="00C030DA"/>
    <w:rsid w:val="00C030FE"/>
    <w:rsid w:val="00C0310C"/>
    <w:rsid w:val="00C03116"/>
    <w:rsid w:val="00C03137"/>
    <w:rsid w:val="00C0313D"/>
    <w:rsid w:val="00C031C4"/>
    <w:rsid w:val="00C03208"/>
    <w:rsid w:val="00C03238"/>
    <w:rsid w:val="00C03266"/>
    <w:rsid w:val="00C032A7"/>
    <w:rsid w:val="00C032B6"/>
    <w:rsid w:val="00C032BD"/>
    <w:rsid w:val="00C03338"/>
    <w:rsid w:val="00C0343F"/>
    <w:rsid w:val="00C0354E"/>
    <w:rsid w:val="00C036DF"/>
    <w:rsid w:val="00C03777"/>
    <w:rsid w:val="00C037AF"/>
    <w:rsid w:val="00C037D6"/>
    <w:rsid w:val="00C037F9"/>
    <w:rsid w:val="00C03863"/>
    <w:rsid w:val="00C0388A"/>
    <w:rsid w:val="00C038C1"/>
    <w:rsid w:val="00C038E8"/>
    <w:rsid w:val="00C038EB"/>
    <w:rsid w:val="00C039EE"/>
    <w:rsid w:val="00C039FA"/>
    <w:rsid w:val="00C03A90"/>
    <w:rsid w:val="00C03AE3"/>
    <w:rsid w:val="00C03B3F"/>
    <w:rsid w:val="00C03B5C"/>
    <w:rsid w:val="00C03B8D"/>
    <w:rsid w:val="00C03BCE"/>
    <w:rsid w:val="00C03C17"/>
    <w:rsid w:val="00C03C88"/>
    <w:rsid w:val="00C03CD3"/>
    <w:rsid w:val="00C03D96"/>
    <w:rsid w:val="00C03D9F"/>
    <w:rsid w:val="00C03E61"/>
    <w:rsid w:val="00C03ED1"/>
    <w:rsid w:val="00C03ED9"/>
    <w:rsid w:val="00C03F28"/>
    <w:rsid w:val="00C03F2B"/>
    <w:rsid w:val="00C03F86"/>
    <w:rsid w:val="00C03FED"/>
    <w:rsid w:val="00C0403B"/>
    <w:rsid w:val="00C040BA"/>
    <w:rsid w:val="00C040BC"/>
    <w:rsid w:val="00C040F4"/>
    <w:rsid w:val="00C04133"/>
    <w:rsid w:val="00C041E9"/>
    <w:rsid w:val="00C041EB"/>
    <w:rsid w:val="00C04204"/>
    <w:rsid w:val="00C04232"/>
    <w:rsid w:val="00C04278"/>
    <w:rsid w:val="00C043B3"/>
    <w:rsid w:val="00C043C8"/>
    <w:rsid w:val="00C044A3"/>
    <w:rsid w:val="00C04505"/>
    <w:rsid w:val="00C04506"/>
    <w:rsid w:val="00C04578"/>
    <w:rsid w:val="00C045D8"/>
    <w:rsid w:val="00C045DC"/>
    <w:rsid w:val="00C04608"/>
    <w:rsid w:val="00C04631"/>
    <w:rsid w:val="00C0464F"/>
    <w:rsid w:val="00C0468B"/>
    <w:rsid w:val="00C0479C"/>
    <w:rsid w:val="00C04830"/>
    <w:rsid w:val="00C04878"/>
    <w:rsid w:val="00C048F2"/>
    <w:rsid w:val="00C049A0"/>
    <w:rsid w:val="00C049EC"/>
    <w:rsid w:val="00C04AA4"/>
    <w:rsid w:val="00C04B2F"/>
    <w:rsid w:val="00C04B41"/>
    <w:rsid w:val="00C04BA8"/>
    <w:rsid w:val="00C04BAA"/>
    <w:rsid w:val="00C04C78"/>
    <w:rsid w:val="00C04CC7"/>
    <w:rsid w:val="00C04D16"/>
    <w:rsid w:val="00C04D2C"/>
    <w:rsid w:val="00C04D30"/>
    <w:rsid w:val="00C04D31"/>
    <w:rsid w:val="00C04D36"/>
    <w:rsid w:val="00C04DA7"/>
    <w:rsid w:val="00C04E76"/>
    <w:rsid w:val="00C04E7A"/>
    <w:rsid w:val="00C04EDE"/>
    <w:rsid w:val="00C04EE5"/>
    <w:rsid w:val="00C04F52"/>
    <w:rsid w:val="00C04F76"/>
    <w:rsid w:val="00C04F92"/>
    <w:rsid w:val="00C04FBB"/>
    <w:rsid w:val="00C0500E"/>
    <w:rsid w:val="00C05055"/>
    <w:rsid w:val="00C05097"/>
    <w:rsid w:val="00C0509A"/>
    <w:rsid w:val="00C050F8"/>
    <w:rsid w:val="00C05196"/>
    <w:rsid w:val="00C051B0"/>
    <w:rsid w:val="00C051BF"/>
    <w:rsid w:val="00C051DC"/>
    <w:rsid w:val="00C05248"/>
    <w:rsid w:val="00C0529B"/>
    <w:rsid w:val="00C052EF"/>
    <w:rsid w:val="00C052F2"/>
    <w:rsid w:val="00C0533C"/>
    <w:rsid w:val="00C053FF"/>
    <w:rsid w:val="00C0548A"/>
    <w:rsid w:val="00C054D7"/>
    <w:rsid w:val="00C0551B"/>
    <w:rsid w:val="00C055DF"/>
    <w:rsid w:val="00C0561F"/>
    <w:rsid w:val="00C05683"/>
    <w:rsid w:val="00C056AD"/>
    <w:rsid w:val="00C05709"/>
    <w:rsid w:val="00C05711"/>
    <w:rsid w:val="00C05760"/>
    <w:rsid w:val="00C05799"/>
    <w:rsid w:val="00C057B0"/>
    <w:rsid w:val="00C057B4"/>
    <w:rsid w:val="00C0580A"/>
    <w:rsid w:val="00C05873"/>
    <w:rsid w:val="00C05899"/>
    <w:rsid w:val="00C058BF"/>
    <w:rsid w:val="00C05931"/>
    <w:rsid w:val="00C0593A"/>
    <w:rsid w:val="00C05968"/>
    <w:rsid w:val="00C059C4"/>
    <w:rsid w:val="00C059D6"/>
    <w:rsid w:val="00C059F4"/>
    <w:rsid w:val="00C059FB"/>
    <w:rsid w:val="00C05A03"/>
    <w:rsid w:val="00C05A39"/>
    <w:rsid w:val="00C05A84"/>
    <w:rsid w:val="00C05B2B"/>
    <w:rsid w:val="00C05B5A"/>
    <w:rsid w:val="00C05B69"/>
    <w:rsid w:val="00C05B6C"/>
    <w:rsid w:val="00C05BA1"/>
    <w:rsid w:val="00C05BF1"/>
    <w:rsid w:val="00C05C8B"/>
    <w:rsid w:val="00C05CC7"/>
    <w:rsid w:val="00C05D06"/>
    <w:rsid w:val="00C05DC8"/>
    <w:rsid w:val="00C05DE7"/>
    <w:rsid w:val="00C05E16"/>
    <w:rsid w:val="00C05E43"/>
    <w:rsid w:val="00C05FD4"/>
    <w:rsid w:val="00C05FF1"/>
    <w:rsid w:val="00C06049"/>
    <w:rsid w:val="00C0608D"/>
    <w:rsid w:val="00C060B1"/>
    <w:rsid w:val="00C06122"/>
    <w:rsid w:val="00C06130"/>
    <w:rsid w:val="00C06164"/>
    <w:rsid w:val="00C06170"/>
    <w:rsid w:val="00C061F3"/>
    <w:rsid w:val="00C06208"/>
    <w:rsid w:val="00C0622C"/>
    <w:rsid w:val="00C06447"/>
    <w:rsid w:val="00C064AB"/>
    <w:rsid w:val="00C06545"/>
    <w:rsid w:val="00C06554"/>
    <w:rsid w:val="00C06556"/>
    <w:rsid w:val="00C06569"/>
    <w:rsid w:val="00C06579"/>
    <w:rsid w:val="00C065A8"/>
    <w:rsid w:val="00C065E9"/>
    <w:rsid w:val="00C065F6"/>
    <w:rsid w:val="00C06638"/>
    <w:rsid w:val="00C0664A"/>
    <w:rsid w:val="00C0665C"/>
    <w:rsid w:val="00C06706"/>
    <w:rsid w:val="00C0670E"/>
    <w:rsid w:val="00C06768"/>
    <w:rsid w:val="00C06781"/>
    <w:rsid w:val="00C067BC"/>
    <w:rsid w:val="00C067F4"/>
    <w:rsid w:val="00C067F5"/>
    <w:rsid w:val="00C0680A"/>
    <w:rsid w:val="00C0680F"/>
    <w:rsid w:val="00C06822"/>
    <w:rsid w:val="00C06875"/>
    <w:rsid w:val="00C06893"/>
    <w:rsid w:val="00C06988"/>
    <w:rsid w:val="00C069A7"/>
    <w:rsid w:val="00C06A36"/>
    <w:rsid w:val="00C06A50"/>
    <w:rsid w:val="00C06A95"/>
    <w:rsid w:val="00C06B0C"/>
    <w:rsid w:val="00C06B3A"/>
    <w:rsid w:val="00C06B4D"/>
    <w:rsid w:val="00C06B7A"/>
    <w:rsid w:val="00C06BD8"/>
    <w:rsid w:val="00C06C28"/>
    <w:rsid w:val="00C06C5C"/>
    <w:rsid w:val="00C06C60"/>
    <w:rsid w:val="00C06D26"/>
    <w:rsid w:val="00C06D38"/>
    <w:rsid w:val="00C06D3F"/>
    <w:rsid w:val="00C06E1A"/>
    <w:rsid w:val="00C06E43"/>
    <w:rsid w:val="00C06ECD"/>
    <w:rsid w:val="00C06F0F"/>
    <w:rsid w:val="00C06F27"/>
    <w:rsid w:val="00C06F2A"/>
    <w:rsid w:val="00C06F44"/>
    <w:rsid w:val="00C06F46"/>
    <w:rsid w:val="00C06FB5"/>
    <w:rsid w:val="00C06FC2"/>
    <w:rsid w:val="00C07010"/>
    <w:rsid w:val="00C07032"/>
    <w:rsid w:val="00C0704B"/>
    <w:rsid w:val="00C07061"/>
    <w:rsid w:val="00C07081"/>
    <w:rsid w:val="00C070B5"/>
    <w:rsid w:val="00C070EA"/>
    <w:rsid w:val="00C07106"/>
    <w:rsid w:val="00C0713B"/>
    <w:rsid w:val="00C07257"/>
    <w:rsid w:val="00C0728F"/>
    <w:rsid w:val="00C072D6"/>
    <w:rsid w:val="00C07371"/>
    <w:rsid w:val="00C0737F"/>
    <w:rsid w:val="00C07406"/>
    <w:rsid w:val="00C07467"/>
    <w:rsid w:val="00C074C3"/>
    <w:rsid w:val="00C07542"/>
    <w:rsid w:val="00C075A0"/>
    <w:rsid w:val="00C0760F"/>
    <w:rsid w:val="00C07620"/>
    <w:rsid w:val="00C07659"/>
    <w:rsid w:val="00C07674"/>
    <w:rsid w:val="00C076E4"/>
    <w:rsid w:val="00C076E6"/>
    <w:rsid w:val="00C0774F"/>
    <w:rsid w:val="00C0786D"/>
    <w:rsid w:val="00C078FC"/>
    <w:rsid w:val="00C07954"/>
    <w:rsid w:val="00C07A28"/>
    <w:rsid w:val="00C07A8D"/>
    <w:rsid w:val="00C07B76"/>
    <w:rsid w:val="00C07B9E"/>
    <w:rsid w:val="00C07C0A"/>
    <w:rsid w:val="00C07CA3"/>
    <w:rsid w:val="00C07CAE"/>
    <w:rsid w:val="00C07D11"/>
    <w:rsid w:val="00C07D1A"/>
    <w:rsid w:val="00C07D2D"/>
    <w:rsid w:val="00C07D4B"/>
    <w:rsid w:val="00C07D61"/>
    <w:rsid w:val="00C07DA0"/>
    <w:rsid w:val="00C07E9F"/>
    <w:rsid w:val="00C07F17"/>
    <w:rsid w:val="00C07F39"/>
    <w:rsid w:val="00C07FA7"/>
    <w:rsid w:val="00C10051"/>
    <w:rsid w:val="00C1005E"/>
    <w:rsid w:val="00C100A5"/>
    <w:rsid w:val="00C100D2"/>
    <w:rsid w:val="00C100F2"/>
    <w:rsid w:val="00C10235"/>
    <w:rsid w:val="00C10245"/>
    <w:rsid w:val="00C102C9"/>
    <w:rsid w:val="00C102E5"/>
    <w:rsid w:val="00C10340"/>
    <w:rsid w:val="00C10365"/>
    <w:rsid w:val="00C103B3"/>
    <w:rsid w:val="00C10455"/>
    <w:rsid w:val="00C10475"/>
    <w:rsid w:val="00C10485"/>
    <w:rsid w:val="00C104CB"/>
    <w:rsid w:val="00C104EB"/>
    <w:rsid w:val="00C1052D"/>
    <w:rsid w:val="00C106D9"/>
    <w:rsid w:val="00C10715"/>
    <w:rsid w:val="00C107C8"/>
    <w:rsid w:val="00C10837"/>
    <w:rsid w:val="00C10895"/>
    <w:rsid w:val="00C108D9"/>
    <w:rsid w:val="00C10911"/>
    <w:rsid w:val="00C1094A"/>
    <w:rsid w:val="00C109CE"/>
    <w:rsid w:val="00C109F0"/>
    <w:rsid w:val="00C109FC"/>
    <w:rsid w:val="00C10A15"/>
    <w:rsid w:val="00C10B14"/>
    <w:rsid w:val="00C10B96"/>
    <w:rsid w:val="00C10B9A"/>
    <w:rsid w:val="00C10BA0"/>
    <w:rsid w:val="00C10C0B"/>
    <w:rsid w:val="00C10C34"/>
    <w:rsid w:val="00C10CB7"/>
    <w:rsid w:val="00C10E69"/>
    <w:rsid w:val="00C10E8B"/>
    <w:rsid w:val="00C10EA1"/>
    <w:rsid w:val="00C10F18"/>
    <w:rsid w:val="00C10F49"/>
    <w:rsid w:val="00C10FE8"/>
    <w:rsid w:val="00C110AC"/>
    <w:rsid w:val="00C110F4"/>
    <w:rsid w:val="00C11136"/>
    <w:rsid w:val="00C11170"/>
    <w:rsid w:val="00C11172"/>
    <w:rsid w:val="00C111A4"/>
    <w:rsid w:val="00C111A6"/>
    <w:rsid w:val="00C1123B"/>
    <w:rsid w:val="00C112A4"/>
    <w:rsid w:val="00C112D0"/>
    <w:rsid w:val="00C1132A"/>
    <w:rsid w:val="00C1138D"/>
    <w:rsid w:val="00C113D7"/>
    <w:rsid w:val="00C113F2"/>
    <w:rsid w:val="00C1145C"/>
    <w:rsid w:val="00C114C3"/>
    <w:rsid w:val="00C11517"/>
    <w:rsid w:val="00C11541"/>
    <w:rsid w:val="00C1154E"/>
    <w:rsid w:val="00C1155C"/>
    <w:rsid w:val="00C1157D"/>
    <w:rsid w:val="00C11583"/>
    <w:rsid w:val="00C11585"/>
    <w:rsid w:val="00C115AF"/>
    <w:rsid w:val="00C1161E"/>
    <w:rsid w:val="00C116D7"/>
    <w:rsid w:val="00C116FD"/>
    <w:rsid w:val="00C116FF"/>
    <w:rsid w:val="00C11728"/>
    <w:rsid w:val="00C1172F"/>
    <w:rsid w:val="00C117A6"/>
    <w:rsid w:val="00C117D6"/>
    <w:rsid w:val="00C11839"/>
    <w:rsid w:val="00C11853"/>
    <w:rsid w:val="00C11957"/>
    <w:rsid w:val="00C119A5"/>
    <w:rsid w:val="00C119AE"/>
    <w:rsid w:val="00C119C8"/>
    <w:rsid w:val="00C11A78"/>
    <w:rsid w:val="00C11A8A"/>
    <w:rsid w:val="00C11AD9"/>
    <w:rsid w:val="00C11B4B"/>
    <w:rsid w:val="00C11B95"/>
    <w:rsid w:val="00C11BCC"/>
    <w:rsid w:val="00C11BEA"/>
    <w:rsid w:val="00C11BF0"/>
    <w:rsid w:val="00C11C54"/>
    <w:rsid w:val="00C11C7B"/>
    <w:rsid w:val="00C11CF9"/>
    <w:rsid w:val="00C11E3A"/>
    <w:rsid w:val="00C11E7F"/>
    <w:rsid w:val="00C11ECB"/>
    <w:rsid w:val="00C11EE4"/>
    <w:rsid w:val="00C11EEF"/>
    <w:rsid w:val="00C11F55"/>
    <w:rsid w:val="00C11FA6"/>
    <w:rsid w:val="00C120D2"/>
    <w:rsid w:val="00C1210B"/>
    <w:rsid w:val="00C12123"/>
    <w:rsid w:val="00C121A7"/>
    <w:rsid w:val="00C121D7"/>
    <w:rsid w:val="00C121E7"/>
    <w:rsid w:val="00C1222D"/>
    <w:rsid w:val="00C12237"/>
    <w:rsid w:val="00C1227E"/>
    <w:rsid w:val="00C1228D"/>
    <w:rsid w:val="00C122A7"/>
    <w:rsid w:val="00C12311"/>
    <w:rsid w:val="00C12317"/>
    <w:rsid w:val="00C12331"/>
    <w:rsid w:val="00C12353"/>
    <w:rsid w:val="00C123ED"/>
    <w:rsid w:val="00C12539"/>
    <w:rsid w:val="00C12597"/>
    <w:rsid w:val="00C125D7"/>
    <w:rsid w:val="00C12614"/>
    <w:rsid w:val="00C1261B"/>
    <w:rsid w:val="00C1264C"/>
    <w:rsid w:val="00C12650"/>
    <w:rsid w:val="00C126C3"/>
    <w:rsid w:val="00C126D5"/>
    <w:rsid w:val="00C126F0"/>
    <w:rsid w:val="00C12726"/>
    <w:rsid w:val="00C12791"/>
    <w:rsid w:val="00C1279C"/>
    <w:rsid w:val="00C127E3"/>
    <w:rsid w:val="00C1282D"/>
    <w:rsid w:val="00C1282E"/>
    <w:rsid w:val="00C12831"/>
    <w:rsid w:val="00C12840"/>
    <w:rsid w:val="00C128B0"/>
    <w:rsid w:val="00C12903"/>
    <w:rsid w:val="00C1290A"/>
    <w:rsid w:val="00C1295A"/>
    <w:rsid w:val="00C129C3"/>
    <w:rsid w:val="00C12AE0"/>
    <w:rsid w:val="00C12B1C"/>
    <w:rsid w:val="00C12B2B"/>
    <w:rsid w:val="00C12B94"/>
    <w:rsid w:val="00C12BDB"/>
    <w:rsid w:val="00C12BF2"/>
    <w:rsid w:val="00C12C6D"/>
    <w:rsid w:val="00C12C84"/>
    <w:rsid w:val="00C12CF8"/>
    <w:rsid w:val="00C12D02"/>
    <w:rsid w:val="00C12D44"/>
    <w:rsid w:val="00C12DD5"/>
    <w:rsid w:val="00C12DFB"/>
    <w:rsid w:val="00C12E36"/>
    <w:rsid w:val="00C12E55"/>
    <w:rsid w:val="00C12F51"/>
    <w:rsid w:val="00C12F70"/>
    <w:rsid w:val="00C12FB9"/>
    <w:rsid w:val="00C12FF3"/>
    <w:rsid w:val="00C13037"/>
    <w:rsid w:val="00C130C6"/>
    <w:rsid w:val="00C13104"/>
    <w:rsid w:val="00C13113"/>
    <w:rsid w:val="00C1320F"/>
    <w:rsid w:val="00C13274"/>
    <w:rsid w:val="00C132A1"/>
    <w:rsid w:val="00C132D8"/>
    <w:rsid w:val="00C13327"/>
    <w:rsid w:val="00C1332D"/>
    <w:rsid w:val="00C133E6"/>
    <w:rsid w:val="00C133EB"/>
    <w:rsid w:val="00C1349E"/>
    <w:rsid w:val="00C134A5"/>
    <w:rsid w:val="00C134C3"/>
    <w:rsid w:val="00C13502"/>
    <w:rsid w:val="00C135A9"/>
    <w:rsid w:val="00C135FC"/>
    <w:rsid w:val="00C13645"/>
    <w:rsid w:val="00C136BD"/>
    <w:rsid w:val="00C136D1"/>
    <w:rsid w:val="00C137F2"/>
    <w:rsid w:val="00C1382F"/>
    <w:rsid w:val="00C138B2"/>
    <w:rsid w:val="00C138FA"/>
    <w:rsid w:val="00C13976"/>
    <w:rsid w:val="00C13977"/>
    <w:rsid w:val="00C139D1"/>
    <w:rsid w:val="00C139FD"/>
    <w:rsid w:val="00C13A18"/>
    <w:rsid w:val="00C13A3D"/>
    <w:rsid w:val="00C13AD3"/>
    <w:rsid w:val="00C13B0D"/>
    <w:rsid w:val="00C13B17"/>
    <w:rsid w:val="00C13B35"/>
    <w:rsid w:val="00C13B3F"/>
    <w:rsid w:val="00C13B4A"/>
    <w:rsid w:val="00C13B55"/>
    <w:rsid w:val="00C13B7F"/>
    <w:rsid w:val="00C13BD5"/>
    <w:rsid w:val="00C13C14"/>
    <w:rsid w:val="00C13C3A"/>
    <w:rsid w:val="00C13C78"/>
    <w:rsid w:val="00C13C8E"/>
    <w:rsid w:val="00C13CF9"/>
    <w:rsid w:val="00C13D04"/>
    <w:rsid w:val="00C13D0F"/>
    <w:rsid w:val="00C13D17"/>
    <w:rsid w:val="00C13D29"/>
    <w:rsid w:val="00C13DBB"/>
    <w:rsid w:val="00C13E1F"/>
    <w:rsid w:val="00C13E21"/>
    <w:rsid w:val="00C13E59"/>
    <w:rsid w:val="00C13EB1"/>
    <w:rsid w:val="00C13F08"/>
    <w:rsid w:val="00C13F1E"/>
    <w:rsid w:val="00C13F28"/>
    <w:rsid w:val="00C13F78"/>
    <w:rsid w:val="00C1400C"/>
    <w:rsid w:val="00C14016"/>
    <w:rsid w:val="00C14076"/>
    <w:rsid w:val="00C140A3"/>
    <w:rsid w:val="00C140E9"/>
    <w:rsid w:val="00C14115"/>
    <w:rsid w:val="00C141A8"/>
    <w:rsid w:val="00C14200"/>
    <w:rsid w:val="00C1421F"/>
    <w:rsid w:val="00C14245"/>
    <w:rsid w:val="00C14346"/>
    <w:rsid w:val="00C1434B"/>
    <w:rsid w:val="00C14382"/>
    <w:rsid w:val="00C14389"/>
    <w:rsid w:val="00C143C8"/>
    <w:rsid w:val="00C143FC"/>
    <w:rsid w:val="00C14446"/>
    <w:rsid w:val="00C144C5"/>
    <w:rsid w:val="00C144D3"/>
    <w:rsid w:val="00C144E0"/>
    <w:rsid w:val="00C14503"/>
    <w:rsid w:val="00C14529"/>
    <w:rsid w:val="00C1452D"/>
    <w:rsid w:val="00C14539"/>
    <w:rsid w:val="00C1458F"/>
    <w:rsid w:val="00C145A3"/>
    <w:rsid w:val="00C1460D"/>
    <w:rsid w:val="00C1470F"/>
    <w:rsid w:val="00C14717"/>
    <w:rsid w:val="00C14718"/>
    <w:rsid w:val="00C1471B"/>
    <w:rsid w:val="00C1472A"/>
    <w:rsid w:val="00C147A0"/>
    <w:rsid w:val="00C14821"/>
    <w:rsid w:val="00C14840"/>
    <w:rsid w:val="00C148F1"/>
    <w:rsid w:val="00C14911"/>
    <w:rsid w:val="00C14917"/>
    <w:rsid w:val="00C14962"/>
    <w:rsid w:val="00C1496C"/>
    <w:rsid w:val="00C1497D"/>
    <w:rsid w:val="00C14985"/>
    <w:rsid w:val="00C14988"/>
    <w:rsid w:val="00C14A29"/>
    <w:rsid w:val="00C14A83"/>
    <w:rsid w:val="00C14B86"/>
    <w:rsid w:val="00C14BBE"/>
    <w:rsid w:val="00C14BF9"/>
    <w:rsid w:val="00C14C22"/>
    <w:rsid w:val="00C14C28"/>
    <w:rsid w:val="00C14C95"/>
    <w:rsid w:val="00C14C9C"/>
    <w:rsid w:val="00C14D0D"/>
    <w:rsid w:val="00C14D65"/>
    <w:rsid w:val="00C14D98"/>
    <w:rsid w:val="00C14E53"/>
    <w:rsid w:val="00C14FAB"/>
    <w:rsid w:val="00C1502D"/>
    <w:rsid w:val="00C15043"/>
    <w:rsid w:val="00C15061"/>
    <w:rsid w:val="00C150A9"/>
    <w:rsid w:val="00C15162"/>
    <w:rsid w:val="00C1517D"/>
    <w:rsid w:val="00C151ED"/>
    <w:rsid w:val="00C151F8"/>
    <w:rsid w:val="00C15253"/>
    <w:rsid w:val="00C15272"/>
    <w:rsid w:val="00C15281"/>
    <w:rsid w:val="00C15349"/>
    <w:rsid w:val="00C1534E"/>
    <w:rsid w:val="00C153AC"/>
    <w:rsid w:val="00C15474"/>
    <w:rsid w:val="00C154B8"/>
    <w:rsid w:val="00C15513"/>
    <w:rsid w:val="00C1552F"/>
    <w:rsid w:val="00C155EE"/>
    <w:rsid w:val="00C15651"/>
    <w:rsid w:val="00C1568E"/>
    <w:rsid w:val="00C157AE"/>
    <w:rsid w:val="00C157E6"/>
    <w:rsid w:val="00C1585F"/>
    <w:rsid w:val="00C15884"/>
    <w:rsid w:val="00C1590A"/>
    <w:rsid w:val="00C15943"/>
    <w:rsid w:val="00C159C2"/>
    <w:rsid w:val="00C159C4"/>
    <w:rsid w:val="00C15A4F"/>
    <w:rsid w:val="00C15AD4"/>
    <w:rsid w:val="00C15ADA"/>
    <w:rsid w:val="00C15AF9"/>
    <w:rsid w:val="00C15B07"/>
    <w:rsid w:val="00C15BA3"/>
    <w:rsid w:val="00C15BD5"/>
    <w:rsid w:val="00C15C12"/>
    <w:rsid w:val="00C15C1B"/>
    <w:rsid w:val="00C15C81"/>
    <w:rsid w:val="00C15CA7"/>
    <w:rsid w:val="00C15D5E"/>
    <w:rsid w:val="00C15D79"/>
    <w:rsid w:val="00C15E5E"/>
    <w:rsid w:val="00C15E66"/>
    <w:rsid w:val="00C15EBF"/>
    <w:rsid w:val="00C15F65"/>
    <w:rsid w:val="00C15FB3"/>
    <w:rsid w:val="00C1609A"/>
    <w:rsid w:val="00C160EB"/>
    <w:rsid w:val="00C160FB"/>
    <w:rsid w:val="00C160FF"/>
    <w:rsid w:val="00C16152"/>
    <w:rsid w:val="00C1616C"/>
    <w:rsid w:val="00C16256"/>
    <w:rsid w:val="00C1627A"/>
    <w:rsid w:val="00C1635A"/>
    <w:rsid w:val="00C16387"/>
    <w:rsid w:val="00C163C0"/>
    <w:rsid w:val="00C163F0"/>
    <w:rsid w:val="00C1644D"/>
    <w:rsid w:val="00C16472"/>
    <w:rsid w:val="00C164E5"/>
    <w:rsid w:val="00C164FD"/>
    <w:rsid w:val="00C16517"/>
    <w:rsid w:val="00C1651F"/>
    <w:rsid w:val="00C16564"/>
    <w:rsid w:val="00C16575"/>
    <w:rsid w:val="00C165AF"/>
    <w:rsid w:val="00C165D2"/>
    <w:rsid w:val="00C16681"/>
    <w:rsid w:val="00C166C6"/>
    <w:rsid w:val="00C166E0"/>
    <w:rsid w:val="00C16702"/>
    <w:rsid w:val="00C1677D"/>
    <w:rsid w:val="00C167EA"/>
    <w:rsid w:val="00C1686A"/>
    <w:rsid w:val="00C168A7"/>
    <w:rsid w:val="00C16900"/>
    <w:rsid w:val="00C1694F"/>
    <w:rsid w:val="00C1695A"/>
    <w:rsid w:val="00C1695B"/>
    <w:rsid w:val="00C16993"/>
    <w:rsid w:val="00C169A4"/>
    <w:rsid w:val="00C169BB"/>
    <w:rsid w:val="00C16A5B"/>
    <w:rsid w:val="00C16AE7"/>
    <w:rsid w:val="00C16B2B"/>
    <w:rsid w:val="00C16B66"/>
    <w:rsid w:val="00C16C5F"/>
    <w:rsid w:val="00C16C62"/>
    <w:rsid w:val="00C16C93"/>
    <w:rsid w:val="00C16CFB"/>
    <w:rsid w:val="00C16D4E"/>
    <w:rsid w:val="00C16DD9"/>
    <w:rsid w:val="00C16E13"/>
    <w:rsid w:val="00C16E26"/>
    <w:rsid w:val="00C16E36"/>
    <w:rsid w:val="00C16E48"/>
    <w:rsid w:val="00C16E74"/>
    <w:rsid w:val="00C16EC4"/>
    <w:rsid w:val="00C16FBE"/>
    <w:rsid w:val="00C1705B"/>
    <w:rsid w:val="00C17068"/>
    <w:rsid w:val="00C17082"/>
    <w:rsid w:val="00C17084"/>
    <w:rsid w:val="00C17095"/>
    <w:rsid w:val="00C170E5"/>
    <w:rsid w:val="00C170F7"/>
    <w:rsid w:val="00C17111"/>
    <w:rsid w:val="00C17129"/>
    <w:rsid w:val="00C171B0"/>
    <w:rsid w:val="00C1720C"/>
    <w:rsid w:val="00C172A9"/>
    <w:rsid w:val="00C172C4"/>
    <w:rsid w:val="00C17344"/>
    <w:rsid w:val="00C173A4"/>
    <w:rsid w:val="00C173BA"/>
    <w:rsid w:val="00C173D9"/>
    <w:rsid w:val="00C1743D"/>
    <w:rsid w:val="00C1749F"/>
    <w:rsid w:val="00C17523"/>
    <w:rsid w:val="00C1759B"/>
    <w:rsid w:val="00C175CA"/>
    <w:rsid w:val="00C176CD"/>
    <w:rsid w:val="00C176FD"/>
    <w:rsid w:val="00C1784E"/>
    <w:rsid w:val="00C178C3"/>
    <w:rsid w:val="00C178DE"/>
    <w:rsid w:val="00C17936"/>
    <w:rsid w:val="00C17A41"/>
    <w:rsid w:val="00C17A8E"/>
    <w:rsid w:val="00C17B28"/>
    <w:rsid w:val="00C17B4E"/>
    <w:rsid w:val="00C17D2A"/>
    <w:rsid w:val="00C17DB7"/>
    <w:rsid w:val="00C17DDB"/>
    <w:rsid w:val="00C17DF1"/>
    <w:rsid w:val="00C17E5D"/>
    <w:rsid w:val="00C17EA9"/>
    <w:rsid w:val="00C17EFD"/>
    <w:rsid w:val="00C17F0F"/>
    <w:rsid w:val="00C17F7A"/>
    <w:rsid w:val="00C17FAD"/>
    <w:rsid w:val="00C17FFE"/>
    <w:rsid w:val="00C2012E"/>
    <w:rsid w:val="00C20172"/>
    <w:rsid w:val="00C20178"/>
    <w:rsid w:val="00C20187"/>
    <w:rsid w:val="00C201B7"/>
    <w:rsid w:val="00C202A6"/>
    <w:rsid w:val="00C202AA"/>
    <w:rsid w:val="00C202B1"/>
    <w:rsid w:val="00C20327"/>
    <w:rsid w:val="00C2039E"/>
    <w:rsid w:val="00C20425"/>
    <w:rsid w:val="00C20501"/>
    <w:rsid w:val="00C20576"/>
    <w:rsid w:val="00C2057D"/>
    <w:rsid w:val="00C20600"/>
    <w:rsid w:val="00C20612"/>
    <w:rsid w:val="00C206BA"/>
    <w:rsid w:val="00C206F9"/>
    <w:rsid w:val="00C2070C"/>
    <w:rsid w:val="00C20765"/>
    <w:rsid w:val="00C2076B"/>
    <w:rsid w:val="00C20776"/>
    <w:rsid w:val="00C207CF"/>
    <w:rsid w:val="00C20813"/>
    <w:rsid w:val="00C20851"/>
    <w:rsid w:val="00C208CE"/>
    <w:rsid w:val="00C2090F"/>
    <w:rsid w:val="00C209B4"/>
    <w:rsid w:val="00C209FA"/>
    <w:rsid w:val="00C20A0E"/>
    <w:rsid w:val="00C20A7C"/>
    <w:rsid w:val="00C20AB0"/>
    <w:rsid w:val="00C20AB2"/>
    <w:rsid w:val="00C20B33"/>
    <w:rsid w:val="00C20BB4"/>
    <w:rsid w:val="00C20C34"/>
    <w:rsid w:val="00C20C51"/>
    <w:rsid w:val="00C20C90"/>
    <w:rsid w:val="00C20CB2"/>
    <w:rsid w:val="00C20CC9"/>
    <w:rsid w:val="00C20CF5"/>
    <w:rsid w:val="00C20D18"/>
    <w:rsid w:val="00C20D6C"/>
    <w:rsid w:val="00C20D8A"/>
    <w:rsid w:val="00C20DC3"/>
    <w:rsid w:val="00C20DE2"/>
    <w:rsid w:val="00C20E0F"/>
    <w:rsid w:val="00C20E6F"/>
    <w:rsid w:val="00C20EFF"/>
    <w:rsid w:val="00C20F0E"/>
    <w:rsid w:val="00C20F25"/>
    <w:rsid w:val="00C20F34"/>
    <w:rsid w:val="00C20F3B"/>
    <w:rsid w:val="00C20F48"/>
    <w:rsid w:val="00C20F9D"/>
    <w:rsid w:val="00C20FBF"/>
    <w:rsid w:val="00C21012"/>
    <w:rsid w:val="00C21085"/>
    <w:rsid w:val="00C210FE"/>
    <w:rsid w:val="00C21121"/>
    <w:rsid w:val="00C21150"/>
    <w:rsid w:val="00C21165"/>
    <w:rsid w:val="00C21199"/>
    <w:rsid w:val="00C2119A"/>
    <w:rsid w:val="00C212E8"/>
    <w:rsid w:val="00C2132D"/>
    <w:rsid w:val="00C21353"/>
    <w:rsid w:val="00C21388"/>
    <w:rsid w:val="00C2142A"/>
    <w:rsid w:val="00C214A0"/>
    <w:rsid w:val="00C214D4"/>
    <w:rsid w:val="00C214E0"/>
    <w:rsid w:val="00C21562"/>
    <w:rsid w:val="00C2157E"/>
    <w:rsid w:val="00C215B6"/>
    <w:rsid w:val="00C2162A"/>
    <w:rsid w:val="00C21630"/>
    <w:rsid w:val="00C2165C"/>
    <w:rsid w:val="00C216C9"/>
    <w:rsid w:val="00C216CF"/>
    <w:rsid w:val="00C21742"/>
    <w:rsid w:val="00C21754"/>
    <w:rsid w:val="00C21767"/>
    <w:rsid w:val="00C217F5"/>
    <w:rsid w:val="00C2183F"/>
    <w:rsid w:val="00C218DE"/>
    <w:rsid w:val="00C2191C"/>
    <w:rsid w:val="00C21974"/>
    <w:rsid w:val="00C2197D"/>
    <w:rsid w:val="00C219C9"/>
    <w:rsid w:val="00C219CA"/>
    <w:rsid w:val="00C219EA"/>
    <w:rsid w:val="00C21A9D"/>
    <w:rsid w:val="00C21ABA"/>
    <w:rsid w:val="00C21ABF"/>
    <w:rsid w:val="00C21ADA"/>
    <w:rsid w:val="00C21BDF"/>
    <w:rsid w:val="00C21BEB"/>
    <w:rsid w:val="00C21C3D"/>
    <w:rsid w:val="00C21C42"/>
    <w:rsid w:val="00C21C4E"/>
    <w:rsid w:val="00C21C5F"/>
    <w:rsid w:val="00C21C61"/>
    <w:rsid w:val="00C21C67"/>
    <w:rsid w:val="00C21C84"/>
    <w:rsid w:val="00C21CF8"/>
    <w:rsid w:val="00C21D26"/>
    <w:rsid w:val="00C21D3D"/>
    <w:rsid w:val="00C21DEF"/>
    <w:rsid w:val="00C21E3F"/>
    <w:rsid w:val="00C21EE7"/>
    <w:rsid w:val="00C22024"/>
    <w:rsid w:val="00C2204C"/>
    <w:rsid w:val="00C22085"/>
    <w:rsid w:val="00C22144"/>
    <w:rsid w:val="00C221AC"/>
    <w:rsid w:val="00C22221"/>
    <w:rsid w:val="00C22222"/>
    <w:rsid w:val="00C2222E"/>
    <w:rsid w:val="00C22278"/>
    <w:rsid w:val="00C222E0"/>
    <w:rsid w:val="00C2243E"/>
    <w:rsid w:val="00C22457"/>
    <w:rsid w:val="00C22474"/>
    <w:rsid w:val="00C22484"/>
    <w:rsid w:val="00C224E0"/>
    <w:rsid w:val="00C224E2"/>
    <w:rsid w:val="00C224FE"/>
    <w:rsid w:val="00C2250D"/>
    <w:rsid w:val="00C22540"/>
    <w:rsid w:val="00C225C8"/>
    <w:rsid w:val="00C225EC"/>
    <w:rsid w:val="00C2264C"/>
    <w:rsid w:val="00C22651"/>
    <w:rsid w:val="00C22667"/>
    <w:rsid w:val="00C2266E"/>
    <w:rsid w:val="00C22671"/>
    <w:rsid w:val="00C2267C"/>
    <w:rsid w:val="00C226BF"/>
    <w:rsid w:val="00C226D3"/>
    <w:rsid w:val="00C226E0"/>
    <w:rsid w:val="00C22722"/>
    <w:rsid w:val="00C22749"/>
    <w:rsid w:val="00C227A8"/>
    <w:rsid w:val="00C22852"/>
    <w:rsid w:val="00C22880"/>
    <w:rsid w:val="00C229B9"/>
    <w:rsid w:val="00C22A26"/>
    <w:rsid w:val="00C22A63"/>
    <w:rsid w:val="00C22B25"/>
    <w:rsid w:val="00C22BE2"/>
    <w:rsid w:val="00C22CD5"/>
    <w:rsid w:val="00C22CEF"/>
    <w:rsid w:val="00C22D03"/>
    <w:rsid w:val="00C22D42"/>
    <w:rsid w:val="00C22E58"/>
    <w:rsid w:val="00C22E8F"/>
    <w:rsid w:val="00C22E93"/>
    <w:rsid w:val="00C22EAA"/>
    <w:rsid w:val="00C22EF8"/>
    <w:rsid w:val="00C22F08"/>
    <w:rsid w:val="00C22FB3"/>
    <w:rsid w:val="00C22FC3"/>
    <w:rsid w:val="00C22FE5"/>
    <w:rsid w:val="00C23005"/>
    <w:rsid w:val="00C2300F"/>
    <w:rsid w:val="00C23063"/>
    <w:rsid w:val="00C230CB"/>
    <w:rsid w:val="00C230FD"/>
    <w:rsid w:val="00C23146"/>
    <w:rsid w:val="00C2318A"/>
    <w:rsid w:val="00C231FF"/>
    <w:rsid w:val="00C232A2"/>
    <w:rsid w:val="00C232A9"/>
    <w:rsid w:val="00C232C4"/>
    <w:rsid w:val="00C2335A"/>
    <w:rsid w:val="00C23377"/>
    <w:rsid w:val="00C2339C"/>
    <w:rsid w:val="00C233C1"/>
    <w:rsid w:val="00C23408"/>
    <w:rsid w:val="00C23425"/>
    <w:rsid w:val="00C2347D"/>
    <w:rsid w:val="00C2349C"/>
    <w:rsid w:val="00C23507"/>
    <w:rsid w:val="00C23549"/>
    <w:rsid w:val="00C2354C"/>
    <w:rsid w:val="00C2359A"/>
    <w:rsid w:val="00C235B5"/>
    <w:rsid w:val="00C235BE"/>
    <w:rsid w:val="00C23677"/>
    <w:rsid w:val="00C236FD"/>
    <w:rsid w:val="00C23737"/>
    <w:rsid w:val="00C2375F"/>
    <w:rsid w:val="00C23770"/>
    <w:rsid w:val="00C237A4"/>
    <w:rsid w:val="00C237CB"/>
    <w:rsid w:val="00C2380E"/>
    <w:rsid w:val="00C23844"/>
    <w:rsid w:val="00C23848"/>
    <w:rsid w:val="00C23853"/>
    <w:rsid w:val="00C23866"/>
    <w:rsid w:val="00C2391D"/>
    <w:rsid w:val="00C2396F"/>
    <w:rsid w:val="00C2398F"/>
    <w:rsid w:val="00C239E8"/>
    <w:rsid w:val="00C239F0"/>
    <w:rsid w:val="00C23A14"/>
    <w:rsid w:val="00C23A45"/>
    <w:rsid w:val="00C23AF3"/>
    <w:rsid w:val="00C23AFB"/>
    <w:rsid w:val="00C23B8B"/>
    <w:rsid w:val="00C23BF5"/>
    <w:rsid w:val="00C23C6B"/>
    <w:rsid w:val="00C23C7F"/>
    <w:rsid w:val="00C23D29"/>
    <w:rsid w:val="00C23D52"/>
    <w:rsid w:val="00C23DF6"/>
    <w:rsid w:val="00C23E4C"/>
    <w:rsid w:val="00C23E59"/>
    <w:rsid w:val="00C23EC3"/>
    <w:rsid w:val="00C23EEA"/>
    <w:rsid w:val="00C23F1D"/>
    <w:rsid w:val="00C23F20"/>
    <w:rsid w:val="00C23F37"/>
    <w:rsid w:val="00C23FA4"/>
    <w:rsid w:val="00C23FBF"/>
    <w:rsid w:val="00C24067"/>
    <w:rsid w:val="00C240CE"/>
    <w:rsid w:val="00C240E0"/>
    <w:rsid w:val="00C242D2"/>
    <w:rsid w:val="00C24300"/>
    <w:rsid w:val="00C24335"/>
    <w:rsid w:val="00C243AA"/>
    <w:rsid w:val="00C2446C"/>
    <w:rsid w:val="00C24489"/>
    <w:rsid w:val="00C24510"/>
    <w:rsid w:val="00C2454E"/>
    <w:rsid w:val="00C245A6"/>
    <w:rsid w:val="00C245E8"/>
    <w:rsid w:val="00C2461B"/>
    <w:rsid w:val="00C24633"/>
    <w:rsid w:val="00C24658"/>
    <w:rsid w:val="00C24673"/>
    <w:rsid w:val="00C247E8"/>
    <w:rsid w:val="00C2480B"/>
    <w:rsid w:val="00C24811"/>
    <w:rsid w:val="00C2483E"/>
    <w:rsid w:val="00C2486F"/>
    <w:rsid w:val="00C2487F"/>
    <w:rsid w:val="00C2489A"/>
    <w:rsid w:val="00C248A0"/>
    <w:rsid w:val="00C24908"/>
    <w:rsid w:val="00C24935"/>
    <w:rsid w:val="00C2494A"/>
    <w:rsid w:val="00C24951"/>
    <w:rsid w:val="00C2496D"/>
    <w:rsid w:val="00C2498D"/>
    <w:rsid w:val="00C249A0"/>
    <w:rsid w:val="00C249D3"/>
    <w:rsid w:val="00C249F0"/>
    <w:rsid w:val="00C24A01"/>
    <w:rsid w:val="00C24A51"/>
    <w:rsid w:val="00C24A52"/>
    <w:rsid w:val="00C24A7B"/>
    <w:rsid w:val="00C24ABB"/>
    <w:rsid w:val="00C24AE9"/>
    <w:rsid w:val="00C24B85"/>
    <w:rsid w:val="00C24D2C"/>
    <w:rsid w:val="00C24D67"/>
    <w:rsid w:val="00C24DDC"/>
    <w:rsid w:val="00C24DE1"/>
    <w:rsid w:val="00C24E52"/>
    <w:rsid w:val="00C24EA0"/>
    <w:rsid w:val="00C24EA8"/>
    <w:rsid w:val="00C24EE1"/>
    <w:rsid w:val="00C24EF4"/>
    <w:rsid w:val="00C24F0A"/>
    <w:rsid w:val="00C24F59"/>
    <w:rsid w:val="00C24FE9"/>
    <w:rsid w:val="00C25041"/>
    <w:rsid w:val="00C25093"/>
    <w:rsid w:val="00C2509B"/>
    <w:rsid w:val="00C2509F"/>
    <w:rsid w:val="00C250C2"/>
    <w:rsid w:val="00C25105"/>
    <w:rsid w:val="00C25129"/>
    <w:rsid w:val="00C251CD"/>
    <w:rsid w:val="00C251DB"/>
    <w:rsid w:val="00C251EC"/>
    <w:rsid w:val="00C25267"/>
    <w:rsid w:val="00C2528F"/>
    <w:rsid w:val="00C252C3"/>
    <w:rsid w:val="00C252C7"/>
    <w:rsid w:val="00C25375"/>
    <w:rsid w:val="00C253A1"/>
    <w:rsid w:val="00C253C2"/>
    <w:rsid w:val="00C2545A"/>
    <w:rsid w:val="00C25467"/>
    <w:rsid w:val="00C254A8"/>
    <w:rsid w:val="00C254F5"/>
    <w:rsid w:val="00C25553"/>
    <w:rsid w:val="00C25584"/>
    <w:rsid w:val="00C2565F"/>
    <w:rsid w:val="00C25669"/>
    <w:rsid w:val="00C256B5"/>
    <w:rsid w:val="00C256D6"/>
    <w:rsid w:val="00C2576D"/>
    <w:rsid w:val="00C25793"/>
    <w:rsid w:val="00C25826"/>
    <w:rsid w:val="00C25833"/>
    <w:rsid w:val="00C25881"/>
    <w:rsid w:val="00C2596C"/>
    <w:rsid w:val="00C25996"/>
    <w:rsid w:val="00C25A5D"/>
    <w:rsid w:val="00C25A89"/>
    <w:rsid w:val="00C25AF3"/>
    <w:rsid w:val="00C25B1A"/>
    <w:rsid w:val="00C25BF0"/>
    <w:rsid w:val="00C25C2D"/>
    <w:rsid w:val="00C25C3E"/>
    <w:rsid w:val="00C25C47"/>
    <w:rsid w:val="00C25C65"/>
    <w:rsid w:val="00C25C76"/>
    <w:rsid w:val="00C25C82"/>
    <w:rsid w:val="00C25D4A"/>
    <w:rsid w:val="00C25D59"/>
    <w:rsid w:val="00C25D86"/>
    <w:rsid w:val="00C25E21"/>
    <w:rsid w:val="00C25E2B"/>
    <w:rsid w:val="00C25E2E"/>
    <w:rsid w:val="00C25F31"/>
    <w:rsid w:val="00C25F6A"/>
    <w:rsid w:val="00C25F89"/>
    <w:rsid w:val="00C260E2"/>
    <w:rsid w:val="00C26152"/>
    <w:rsid w:val="00C26208"/>
    <w:rsid w:val="00C2622D"/>
    <w:rsid w:val="00C26239"/>
    <w:rsid w:val="00C2627C"/>
    <w:rsid w:val="00C262EC"/>
    <w:rsid w:val="00C2633B"/>
    <w:rsid w:val="00C263C7"/>
    <w:rsid w:val="00C26414"/>
    <w:rsid w:val="00C2646B"/>
    <w:rsid w:val="00C2650B"/>
    <w:rsid w:val="00C26622"/>
    <w:rsid w:val="00C26663"/>
    <w:rsid w:val="00C266EA"/>
    <w:rsid w:val="00C26708"/>
    <w:rsid w:val="00C26782"/>
    <w:rsid w:val="00C267F9"/>
    <w:rsid w:val="00C267FE"/>
    <w:rsid w:val="00C2681B"/>
    <w:rsid w:val="00C26827"/>
    <w:rsid w:val="00C268D6"/>
    <w:rsid w:val="00C268E1"/>
    <w:rsid w:val="00C268F1"/>
    <w:rsid w:val="00C26902"/>
    <w:rsid w:val="00C26970"/>
    <w:rsid w:val="00C269C9"/>
    <w:rsid w:val="00C269FC"/>
    <w:rsid w:val="00C26A02"/>
    <w:rsid w:val="00C26A13"/>
    <w:rsid w:val="00C26A2C"/>
    <w:rsid w:val="00C26A4C"/>
    <w:rsid w:val="00C26A52"/>
    <w:rsid w:val="00C26A63"/>
    <w:rsid w:val="00C26AC7"/>
    <w:rsid w:val="00C26B5A"/>
    <w:rsid w:val="00C26B5C"/>
    <w:rsid w:val="00C26B61"/>
    <w:rsid w:val="00C26B9E"/>
    <w:rsid w:val="00C26BD8"/>
    <w:rsid w:val="00C26BFC"/>
    <w:rsid w:val="00C26C02"/>
    <w:rsid w:val="00C26C3B"/>
    <w:rsid w:val="00C26C9E"/>
    <w:rsid w:val="00C26CAD"/>
    <w:rsid w:val="00C26D24"/>
    <w:rsid w:val="00C26D5E"/>
    <w:rsid w:val="00C26D6D"/>
    <w:rsid w:val="00C26D96"/>
    <w:rsid w:val="00C26E03"/>
    <w:rsid w:val="00C26E1E"/>
    <w:rsid w:val="00C26F15"/>
    <w:rsid w:val="00C26F33"/>
    <w:rsid w:val="00C26F3C"/>
    <w:rsid w:val="00C26FD7"/>
    <w:rsid w:val="00C270EC"/>
    <w:rsid w:val="00C27136"/>
    <w:rsid w:val="00C271D6"/>
    <w:rsid w:val="00C2721F"/>
    <w:rsid w:val="00C272A0"/>
    <w:rsid w:val="00C272DA"/>
    <w:rsid w:val="00C27301"/>
    <w:rsid w:val="00C27346"/>
    <w:rsid w:val="00C2736F"/>
    <w:rsid w:val="00C273DA"/>
    <w:rsid w:val="00C274D0"/>
    <w:rsid w:val="00C27511"/>
    <w:rsid w:val="00C27514"/>
    <w:rsid w:val="00C2751C"/>
    <w:rsid w:val="00C2753E"/>
    <w:rsid w:val="00C27546"/>
    <w:rsid w:val="00C27555"/>
    <w:rsid w:val="00C275CC"/>
    <w:rsid w:val="00C2761A"/>
    <w:rsid w:val="00C27624"/>
    <w:rsid w:val="00C27704"/>
    <w:rsid w:val="00C27736"/>
    <w:rsid w:val="00C27823"/>
    <w:rsid w:val="00C27848"/>
    <w:rsid w:val="00C278A9"/>
    <w:rsid w:val="00C278C8"/>
    <w:rsid w:val="00C279A6"/>
    <w:rsid w:val="00C279C7"/>
    <w:rsid w:val="00C279E9"/>
    <w:rsid w:val="00C27AD4"/>
    <w:rsid w:val="00C27AE8"/>
    <w:rsid w:val="00C27B1C"/>
    <w:rsid w:val="00C27BA9"/>
    <w:rsid w:val="00C27BD9"/>
    <w:rsid w:val="00C27C06"/>
    <w:rsid w:val="00C27C4E"/>
    <w:rsid w:val="00C27C7F"/>
    <w:rsid w:val="00C27CDA"/>
    <w:rsid w:val="00C27D0C"/>
    <w:rsid w:val="00C27D52"/>
    <w:rsid w:val="00C27D7A"/>
    <w:rsid w:val="00C27DAD"/>
    <w:rsid w:val="00C27DEE"/>
    <w:rsid w:val="00C27ECB"/>
    <w:rsid w:val="00C27F6D"/>
    <w:rsid w:val="00C27FA5"/>
    <w:rsid w:val="00C27FBF"/>
    <w:rsid w:val="00C30053"/>
    <w:rsid w:val="00C30086"/>
    <w:rsid w:val="00C300EF"/>
    <w:rsid w:val="00C300FD"/>
    <w:rsid w:val="00C3011E"/>
    <w:rsid w:val="00C30173"/>
    <w:rsid w:val="00C301BE"/>
    <w:rsid w:val="00C301BF"/>
    <w:rsid w:val="00C301EA"/>
    <w:rsid w:val="00C3022B"/>
    <w:rsid w:val="00C30260"/>
    <w:rsid w:val="00C302AE"/>
    <w:rsid w:val="00C30326"/>
    <w:rsid w:val="00C30375"/>
    <w:rsid w:val="00C3039F"/>
    <w:rsid w:val="00C303E7"/>
    <w:rsid w:val="00C30440"/>
    <w:rsid w:val="00C3053B"/>
    <w:rsid w:val="00C30553"/>
    <w:rsid w:val="00C30572"/>
    <w:rsid w:val="00C30681"/>
    <w:rsid w:val="00C306A8"/>
    <w:rsid w:val="00C306F0"/>
    <w:rsid w:val="00C3071F"/>
    <w:rsid w:val="00C3078B"/>
    <w:rsid w:val="00C307B5"/>
    <w:rsid w:val="00C30814"/>
    <w:rsid w:val="00C30823"/>
    <w:rsid w:val="00C30833"/>
    <w:rsid w:val="00C30892"/>
    <w:rsid w:val="00C3095C"/>
    <w:rsid w:val="00C30A04"/>
    <w:rsid w:val="00C30AEC"/>
    <w:rsid w:val="00C30B57"/>
    <w:rsid w:val="00C30B90"/>
    <w:rsid w:val="00C30BCD"/>
    <w:rsid w:val="00C30BCF"/>
    <w:rsid w:val="00C30BD3"/>
    <w:rsid w:val="00C30C65"/>
    <w:rsid w:val="00C30CA0"/>
    <w:rsid w:val="00C30D6C"/>
    <w:rsid w:val="00C30DCC"/>
    <w:rsid w:val="00C30DE7"/>
    <w:rsid w:val="00C30E4E"/>
    <w:rsid w:val="00C30E74"/>
    <w:rsid w:val="00C30EC5"/>
    <w:rsid w:val="00C30ECA"/>
    <w:rsid w:val="00C30F11"/>
    <w:rsid w:val="00C30F1D"/>
    <w:rsid w:val="00C30FB3"/>
    <w:rsid w:val="00C30FBA"/>
    <w:rsid w:val="00C30FDB"/>
    <w:rsid w:val="00C30FEC"/>
    <w:rsid w:val="00C31001"/>
    <w:rsid w:val="00C31012"/>
    <w:rsid w:val="00C3101A"/>
    <w:rsid w:val="00C3101B"/>
    <w:rsid w:val="00C31023"/>
    <w:rsid w:val="00C3106A"/>
    <w:rsid w:val="00C31085"/>
    <w:rsid w:val="00C31086"/>
    <w:rsid w:val="00C310FD"/>
    <w:rsid w:val="00C31162"/>
    <w:rsid w:val="00C3119D"/>
    <w:rsid w:val="00C311DF"/>
    <w:rsid w:val="00C311E3"/>
    <w:rsid w:val="00C311F4"/>
    <w:rsid w:val="00C31210"/>
    <w:rsid w:val="00C31219"/>
    <w:rsid w:val="00C31224"/>
    <w:rsid w:val="00C3126A"/>
    <w:rsid w:val="00C31276"/>
    <w:rsid w:val="00C31290"/>
    <w:rsid w:val="00C312A0"/>
    <w:rsid w:val="00C312C0"/>
    <w:rsid w:val="00C312F0"/>
    <w:rsid w:val="00C31347"/>
    <w:rsid w:val="00C31395"/>
    <w:rsid w:val="00C313CD"/>
    <w:rsid w:val="00C31412"/>
    <w:rsid w:val="00C31458"/>
    <w:rsid w:val="00C31527"/>
    <w:rsid w:val="00C31535"/>
    <w:rsid w:val="00C31569"/>
    <w:rsid w:val="00C3158C"/>
    <w:rsid w:val="00C315D2"/>
    <w:rsid w:val="00C31653"/>
    <w:rsid w:val="00C316FC"/>
    <w:rsid w:val="00C31762"/>
    <w:rsid w:val="00C31779"/>
    <w:rsid w:val="00C317B0"/>
    <w:rsid w:val="00C317BA"/>
    <w:rsid w:val="00C317DA"/>
    <w:rsid w:val="00C31837"/>
    <w:rsid w:val="00C3186A"/>
    <w:rsid w:val="00C31947"/>
    <w:rsid w:val="00C31958"/>
    <w:rsid w:val="00C319CD"/>
    <w:rsid w:val="00C319E6"/>
    <w:rsid w:val="00C31A42"/>
    <w:rsid w:val="00C31AB5"/>
    <w:rsid w:val="00C31B05"/>
    <w:rsid w:val="00C31B12"/>
    <w:rsid w:val="00C31B47"/>
    <w:rsid w:val="00C31BAF"/>
    <w:rsid w:val="00C31BB8"/>
    <w:rsid w:val="00C31BEB"/>
    <w:rsid w:val="00C31C42"/>
    <w:rsid w:val="00C31C90"/>
    <w:rsid w:val="00C31C93"/>
    <w:rsid w:val="00C31C99"/>
    <w:rsid w:val="00C31CD2"/>
    <w:rsid w:val="00C31DA4"/>
    <w:rsid w:val="00C31E01"/>
    <w:rsid w:val="00C31E19"/>
    <w:rsid w:val="00C31E23"/>
    <w:rsid w:val="00C31E95"/>
    <w:rsid w:val="00C31EB2"/>
    <w:rsid w:val="00C31EF1"/>
    <w:rsid w:val="00C31EF6"/>
    <w:rsid w:val="00C31F00"/>
    <w:rsid w:val="00C31F45"/>
    <w:rsid w:val="00C31FA1"/>
    <w:rsid w:val="00C31FEF"/>
    <w:rsid w:val="00C32050"/>
    <w:rsid w:val="00C320DD"/>
    <w:rsid w:val="00C320E4"/>
    <w:rsid w:val="00C320E5"/>
    <w:rsid w:val="00C320EE"/>
    <w:rsid w:val="00C32122"/>
    <w:rsid w:val="00C32132"/>
    <w:rsid w:val="00C321D8"/>
    <w:rsid w:val="00C321DC"/>
    <w:rsid w:val="00C3221A"/>
    <w:rsid w:val="00C32251"/>
    <w:rsid w:val="00C3225E"/>
    <w:rsid w:val="00C3226B"/>
    <w:rsid w:val="00C3239F"/>
    <w:rsid w:val="00C323BA"/>
    <w:rsid w:val="00C32413"/>
    <w:rsid w:val="00C32433"/>
    <w:rsid w:val="00C324D0"/>
    <w:rsid w:val="00C32506"/>
    <w:rsid w:val="00C32535"/>
    <w:rsid w:val="00C3257F"/>
    <w:rsid w:val="00C325AB"/>
    <w:rsid w:val="00C325BA"/>
    <w:rsid w:val="00C32641"/>
    <w:rsid w:val="00C3267E"/>
    <w:rsid w:val="00C32723"/>
    <w:rsid w:val="00C327EE"/>
    <w:rsid w:val="00C32823"/>
    <w:rsid w:val="00C32857"/>
    <w:rsid w:val="00C32872"/>
    <w:rsid w:val="00C328BC"/>
    <w:rsid w:val="00C328C8"/>
    <w:rsid w:val="00C328E9"/>
    <w:rsid w:val="00C3290D"/>
    <w:rsid w:val="00C329D9"/>
    <w:rsid w:val="00C32A7C"/>
    <w:rsid w:val="00C32B9E"/>
    <w:rsid w:val="00C32BD3"/>
    <w:rsid w:val="00C32BD6"/>
    <w:rsid w:val="00C32C39"/>
    <w:rsid w:val="00C32C53"/>
    <w:rsid w:val="00C32C6A"/>
    <w:rsid w:val="00C32CBC"/>
    <w:rsid w:val="00C32CFC"/>
    <w:rsid w:val="00C32D0F"/>
    <w:rsid w:val="00C32D5F"/>
    <w:rsid w:val="00C32D8C"/>
    <w:rsid w:val="00C32E13"/>
    <w:rsid w:val="00C32E37"/>
    <w:rsid w:val="00C32E83"/>
    <w:rsid w:val="00C32E88"/>
    <w:rsid w:val="00C32E96"/>
    <w:rsid w:val="00C32F90"/>
    <w:rsid w:val="00C3302C"/>
    <w:rsid w:val="00C3304E"/>
    <w:rsid w:val="00C3305A"/>
    <w:rsid w:val="00C330A3"/>
    <w:rsid w:val="00C330A7"/>
    <w:rsid w:val="00C330FD"/>
    <w:rsid w:val="00C3311E"/>
    <w:rsid w:val="00C3313A"/>
    <w:rsid w:val="00C33151"/>
    <w:rsid w:val="00C332B2"/>
    <w:rsid w:val="00C332B3"/>
    <w:rsid w:val="00C332D0"/>
    <w:rsid w:val="00C332EE"/>
    <w:rsid w:val="00C332EF"/>
    <w:rsid w:val="00C332F6"/>
    <w:rsid w:val="00C33334"/>
    <w:rsid w:val="00C3333C"/>
    <w:rsid w:val="00C33359"/>
    <w:rsid w:val="00C33464"/>
    <w:rsid w:val="00C334A4"/>
    <w:rsid w:val="00C334DE"/>
    <w:rsid w:val="00C33570"/>
    <w:rsid w:val="00C33593"/>
    <w:rsid w:val="00C33635"/>
    <w:rsid w:val="00C33843"/>
    <w:rsid w:val="00C338BF"/>
    <w:rsid w:val="00C338EF"/>
    <w:rsid w:val="00C3391C"/>
    <w:rsid w:val="00C3396D"/>
    <w:rsid w:val="00C33AA4"/>
    <w:rsid w:val="00C33B1C"/>
    <w:rsid w:val="00C33B2D"/>
    <w:rsid w:val="00C33B77"/>
    <w:rsid w:val="00C33BC9"/>
    <w:rsid w:val="00C33BE8"/>
    <w:rsid w:val="00C33C22"/>
    <w:rsid w:val="00C33C51"/>
    <w:rsid w:val="00C33C5E"/>
    <w:rsid w:val="00C33CC5"/>
    <w:rsid w:val="00C33CD7"/>
    <w:rsid w:val="00C33CE3"/>
    <w:rsid w:val="00C33D0C"/>
    <w:rsid w:val="00C33D8A"/>
    <w:rsid w:val="00C33DC9"/>
    <w:rsid w:val="00C33DCE"/>
    <w:rsid w:val="00C33E57"/>
    <w:rsid w:val="00C33E59"/>
    <w:rsid w:val="00C33E6C"/>
    <w:rsid w:val="00C33E70"/>
    <w:rsid w:val="00C33E88"/>
    <w:rsid w:val="00C33ED1"/>
    <w:rsid w:val="00C33F18"/>
    <w:rsid w:val="00C33F1A"/>
    <w:rsid w:val="00C33F5C"/>
    <w:rsid w:val="00C33F68"/>
    <w:rsid w:val="00C33F71"/>
    <w:rsid w:val="00C33F73"/>
    <w:rsid w:val="00C33FB1"/>
    <w:rsid w:val="00C3422C"/>
    <w:rsid w:val="00C3422E"/>
    <w:rsid w:val="00C34272"/>
    <w:rsid w:val="00C34344"/>
    <w:rsid w:val="00C34361"/>
    <w:rsid w:val="00C343A6"/>
    <w:rsid w:val="00C343A8"/>
    <w:rsid w:val="00C343EC"/>
    <w:rsid w:val="00C3448D"/>
    <w:rsid w:val="00C34495"/>
    <w:rsid w:val="00C3451D"/>
    <w:rsid w:val="00C3452B"/>
    <w:rsid w:val="00C34538"/>
    <w:rsid w:val="00C34556"/>
    <w:rsid w:val="00C34595"/>
    <w:rsid w:val="00C345A7"/>
    <w:rsid w:val="00C345B6"/>
    <w:rsid w:val="00C345C8"/>
    <w:rsid w:val="00C34626"/>
    <w:rsid w:val="00C34628"/>
    <w:rsid w:val="00C34674"/>
    <w:rsid w:val="00C3479F"/>
    <w:rsid w:val="00C347B8"/>
    <w:rsid w:val="00C347E5"/>
    <w:rsid w:val="00C34808"/>
    <w:rsid w:val="00C34820"/>
    <w:rsid w:val="00C34830"/>
    <w:rsid w:val="00C348BD"/>
    <w:rsid w:val="00C348D9"/>
    <w:rsid w:val="00C348F7"/>
    <w:rsid w:val="00C34A07"/>
    <w:rsid w:val="00C34ACA"/>
    <w:rsid w:val="00C34AE2"/>
    <w:rsid w:val="00C34BB2"/>
    <w:rsid w:val="00C34C2C"/>
    <w:rsid w:val="00C34C2D"/>
    <w:rsid w:val="00C34C84"/>
    <w:rsid w:val="00C34D72"/>
    <w:rsid w:val="00C34DA0"/>
    <w:rsid w:val="00C34DFA"/>
    <w:rsid w:val="00C34E30"/>
    <w:rsid w:val="00C34E5B"/>
    <w:rsid w:val="00C34E66"/>
    <w:rsid w:val="00C34E70"/>
    <w:rsid w:val="00C34F00"/>
    <w:rsid w:val="00C34F2F"/>
    <w:rsid w:val="00C34F62"/>
    <w:rsid w:val="00C34F68"/>
    <w:rsid w:val="00C34F86"/>
    <w:rsid w:val="00C34F9C"/>
    <w:rsid w:val="00C35017"/>
    <w:rsid w:val="00C35078"/>
    <w:rsid w:val="00C35089"/>
    <w:rsid w:val="00C350A2"/>
    <w:rsid w:val="00C350A9"/>
    <w:rsid w:val="00C3510C"/>
    <w:rsid w:val="00C35129"/>
    <w:rsid w:val="00C3513C"/>
    <w:rsid w:val="00C35198"/>
    <w:rsid w:val="00C351AC"/>
    <w:rsid w:val="00C351FA"/>
    <w:rsid w:val="00C35269"/>
    <w:rsid w:val="00C352A2"/>
    <w:rsid w:val="00C352EB"/>
    <w:rsid w:val="00C35321"/>
    <w:rsid w:val="00C353BE"/>
    <w:rsid w:val="00C35412"/>
    <w:rsid w:val="00C355FA"/>
    <w:rsid w:val="00C35643"/>
    <w:rsid w:val="00C35674"/>
    <w:rsid w:val="00C3573B"/>
    <w:rsid w:val="00C35855"/>
    <w:rsid w:val="00C358B7"/>
    <w:rsid w:val="00C358C0"/>
    <w:rsid w:val="00C358C1"/>
    <w:rsid w:val="00C358CA"/>
    <w:rsid w:val="00C358F2"/>
    <w:rsid w:val="00C3593B"/>
    <w:rsid w:val="00C359DA"/>
    <w:rsid w:val="00C35AFD"/>
    <w:rsid w:val="00C35AFF"/>
    <w:rsid w:val="00C35B1C"/>
    <w:rsid w:val="00C35B75"/>
    <w:rsid w:val="00C35BCF"/>
    <w:rsid w:val="00C35C17"/>
    <w:rsid w:val="00C35C42"/>
    <w:rsid w:val="00C35CDB"/>
    <w:rsid w:val="00C35CE2"/>
    <w:rsid w:val="00C35CFD"/>
    <w:rsid w:val="00C35DD3"/>
    <w:rsid w:val="00C35DE4"/>
    <w:rsid w:val="00C35DFE"/>
    <w:rsid w:val="00C35E03"/>
    <w:rsid w:val="00C35E1E"/>
    <w:rsid w:val="00C35E45"/>
    <w:rsid w:val="00C35E6C"/>
    <w:rsid w:val="00C35E94"/>
    <w:rsid w:val="00C35F65"/>
    <w:rsid w:val="00C35F7D"/>
    <w:rsid w:val="00C35FA7"/>
    <w:rsid w:val="00C36008"/>
    <w:rsid w:val="00C36015"/>
    <w:rsid w:val="00C36025"/>
    <w:rsid w:val="00C36036"/>
    <w:rsid w:val="00C36089"/>
    <w:rsid w:val="00C36127"/>
    <w:rsid w:val="00C36184"/>
    <w:rsid w:val="00C362CF"/>
    <w:rsid w:val="00C362F4"/>
    <w:rsid w:val="00C36335"/>
    <w:rsid w:val="00C363E7"/>
    <w:rsid w:val="00C36401"/>
    <w:rsid w:val="00C3647E"/>
    <w:rsid w:val="00C36523"/>
    <w:rsid w:val="00C36547"/>
    <w:rsid w:val="00C36583"/>
    <w:rsid w:val="00C365D4"/>
    <w:rsid w:val="00C36607"/>
    <w:rsid w:val="00C36623"/>
    <w:rsid w:val="00C3665C"/>
    <w:rsid w:val="00C3669B"/>
    <w:rsid w:val="00C36741"/>
    <w:rsid w:val="00C367D1"/>
    <w:rsid w:val="00C3680A"/>
    <w:rsid w:val="00C36874"/>
    <w:rsid w:val="00C36889"/>
    <w:rsid w:val="00C368A7"/>
    <w:rsid w:val="00C368AA"/>
    <w:rsid w:val="00C368D2"/>
    <w:rsid w:val="00C368ED"/>
    <w:rsid w:val="00C36914"/>
    <w:rsid w:val="00C36943"/>
    <w:rsid w:val="00C36957"/>
    <w:rsid w:val="00C369C7"/>
    <w:rsid w:val="00C36A0B"/>
    <w:rsid w:val="00C36ABB"/>
    <w:rsid w:val="00C36ABF"/>
    <w:rsid w:val="00C36B01"/>
    <w:rsid w:val="00C36B37"/>
    <w:rsid w:val="00C36BD6"/>
    <w:rsid w:val="00C36BFD"/>
    <w:rsid w:val="00C36C01"/>
    <w:rsid w:val="00C36C3E"/>
    <w:rsid w:val="00C36CEC"/>
    <w:rsid w:val="00C36CF8"/>
    <w:rsid w:val="00C36D58"/>
    <w:rsid w:val="00C36D97"/>
    <w:rsid w:val="00C36E21"/>
    <w:rsid w:val="00C36EA0"/>
    <w:rsid w:val="00C36EC6"/>
    <w:rsid w:val="00C36EF1"/>
    <w:rsid w:val="00C36EFE"/>
    <w:rsid w:val="00C36F3C"/>
    <w:rsid w:val="00C36F5A"/>
    <w:rsid w:val="00C36F63"/>
    <w:rsid w:val="00C36F65"/>
    <w:rsid w:val="00C36F99"/>
    <w:rsid w:val="00C36FAE"/>
    <w:rsid w:val="00C37034"/>
    <w:rsid w:val="00C3709A"/>
    <w:rsid w:val="00C3709B"/>
    <w:rsid w:val="00C37127"/>
    <w:rsid w:val="00C37148"/>
    <w:rsid w:val="00C37181"/>
    <w:rsid w:val="00C371C0"/>
    <w:rsid w:val="00C371C3"/>
    <w:rsid w:val="00C371DB"/>
    <w:rsid w:val="00C3724C"/>
    <w:rsid w:val="00C3727B"/>
    <w:rsid w:val="00C37319"/>
    <w:rsid w:val="00C37356"/>
    <w:rsid w:val="00C3739D"/>
    <w:rsid w:val="00C373E4"/>
    <w:rsid w:val="00C37482"/>
    <w:rsid w:val="00C37534"/>
    <w:rsid w:val="00C37555"/>
    <w:rsid w:val="00C37587"/>
    <w:rsid w:val="00C375D4"/>
    <w:rsid w:val="00C375E1"/>
    <w:rsid w:val="00C37652"/>
    <w:rsid w:val="00C37691"/>
    <w:rsid w:val="00C376BC"/>
    <w:rsid w:val="00C3770B"/>
    <w:rsid w:val="00C37737"/>
    <w:rsid w:val="00C37771"/>
    <w:rsid w:val="00C377EB"/>
    <w:rsid w:val="00C377EE"/>
    <w:rsid w:val="00C37815"/>
    <w:rsid w:val="00C37826"/>
    <w:rsid w:val="00C378A2"/>
    <w:rsid w:val="00C37987"/>
    <w:rsid w:val="00C379E8"/>
    <w:rsid w:val="00C37A33"/>
    <w:rsid w:val="00C37ACE"/>
    <w:rsid w:val="00C37B16"/>
    <w:rsid w:val="00C37B67"/>
    <w:rsid w:val="00C37CBA"/>
    <w:rsid w:val="00C37CC4"/>
    <w:rsid w:val="00C37CE9"/>
    <w:rsid w:val="00C37CF2"/>
    <w:rsid w:val="00C37D65"/>
    <w:rsid w:val="00C37D68"/>
    <w:rsid w:val="00C37D9E"/>
    <w:rsid w:val="00C37DB5"/>
    <w:rsid w:val="00C37E06"/>
    <w:rsid w:val="00C37E86"/>
    <w:rsid w:val="00C37E96"/>
    <w:rsid w:val="00C37EA8"/>
    <w:rsid w:val="00C37EF1"/>
    <w:rsid w:val="00C37F2E"/>
    <w:rsid w:val="00C37FCC"/>
    <w:rsid w:val="00C37FD5"/>
    <w:rsid w:val="00C40004"/>
    <w:rsid w:val="00C4001D"/>
    <w:rsid w:val="00C40151"/>
    <w:rsid w:val="00C4015C"/>
    <w:rsid w:val="00C40170"/>
    <w:rsid w:val="00C40248"/>
    <w:rsid w:val="00C40331"/>
    <w:rsid w:val="00C403A0"/>
    <w:rsid w:val="00C403BC"/>
    <w:rsid w:val="00C4041E"/>
    <w:rsid w:val="00C404FB"/>
    <w:rsid w:val="00C40529"/>
    <w:rsid w:val="00C405A3"/>
    <w:rsid w:val="00C405DD"/>
    <w:rsid w:val="00C40666"/>
    <w:rsid w:val="00C406BF"/>
    <w:rsid w:val="00C406CB"/>
    <w:rsid w:val="00C40790"/>
    <w:rsid w:val="00C407C6"/>
    <w:rsid w:val="00C4084F"/>
    <w:rsid w:val="00C408D3"/>
    <w:rsid w:val="00C4092A"/>
    <w:rsid w:val="00C4099A"/>
    <w:rsid w:val="00C409C6"/>
    <w:rsid w:val="00C409D9"/>
    <w:rsid w:val="00C409E8"/>
    <w:rsid w:val="00C40A1F"/>
    <w:rsid w:val="00C40A58"/>
    <w:rsid w:val="00C40AA7"/>
    <w:rsid w:val="00C40AF8"/>
    <w:rsid w:val="00C40B04"/>
    <w:rsid w:val="00C40B3C"/>
    <w:rsid w:val="00C40B45"/>
    <w:rsid w:val="00C40B87"/>
    <w:rsid w:val="00C40C08"/>
    <w:rsid w:val="00C40C69"/>
    <w:rsid w:val="00C40C74"/>
    <w:rsid w:val="00C40CBB"/>
    <w:rsid w:val="00C40CE0"/>
    <w:rsid w:val="00C40D1A"/>
    <w:rsid w:val="00C40DD4"/>
    <w:rsid w:val="00C40DD9"/>
    <w:rsid w:val="00C40DFD"/>
    <w:rsid w:val="00C40E2D"/>
    <w:rsid w:val="00C40EEF"/>
    <w:rsid w:val="00C40F5E"/>
    <w:rsid w:val="00C40F73"/>
    <w:rsid w:val="00C4101D"/>
    <w:rsid w:val="00C410AE"/>
    <w:rsid w:val="00C410C5"/>
    <w:rsid w:val="00C410C7"/>
    <w:rsid w:val="00C4111A"/>
    <w:rsid w:val="00C41190"/>
    <w:rsid w:val="00C411A0"/>
    <w:rsid w:val="00C411FC"/>
    <w:rsid w:val="00C41207"/>
    <w:rsid w:val="00C41208"/>
    <w:rsid w:val="00C4126D"/>
    <w:rsid w:val="00C412B8"/>
    <w:rsid w:val="00C41305"/>
    <w:rsid w:val="00C413CA"/>
    <w:rsid w:val="00C4140B"/>
    <w:rsid w:val="00C41430"/>
    <w:rsid w:val="00C4155C"/>
    <w:rsid w:val="00C41580"/>
    <w:rsid w:val="00C415C7"/>
    <w:rsid w:val="00C415D9"/>
    <w:rsid w:val="00C4164F"/>
    <w:rsid w:val="00C4165F"/>
    <w:rsid w:val="00C416BF"/>
    <w:rsid w:val="00C416FA"/>
    <w:rsid w:val="00C41714"/>
    <w:rsid w:val="00C4173E"/>
    <w:rsid w:val="00C4176D"/>
    <w:rsid w:val="00C41775"/>
    <w:rsid w:val="00C41886"/>
    <w:rsid w:val="00C418A8"/>
    <w:rsid w:val="00C418AB"/>
    <w:rsid w:val="00C4190C"/>
    <w:rsid w:val="00C4191D"/>
    <w:rsid w:val="00C41920"/>
    <w:rsid w:val="00C419EC"/>
    <w:rsid w:val="00C41A25"/>
    <w:rsid w:val="00C41A26"/>
    <w:rsid w:val="00C41A76"/>
    <w:rsid w:val="00C41A98"/>
    <w:rsid w:val="00C41AB0"/>
    <w:rsid w:val="00C41AF5"/>
    <w:rsid w:val="00C41B1F"/>
    <w:rsid w:val="00C41B5B"/>
    <w:rsid w:val="00C41B95"/>
    <w:rsid w:val="00C41BD3"/>
    <w:rsid w:val="00C41C6F"/>
    <w:rsid w:val="00C41C86"/>
    <w:rsid w:val="00C41C88"/>
    <w:rsid w:val="00C41CAF"/>
    <w:rsid w:val="00C41D09"/>
    <w:rsid w:val="00C41DAC"/>
    <w:rsid w:val="00C41DB3"/>
    <w:rsid w:val="00C41DBE"/>
    <w:rsid w:val="00C41DF9"/>
    <w:rsid w:val="00C41E6C"/>
    <w:rsid w:val="00C41F4F"/>
    <w:rsid w:val="00C41F68"/>
    <w:rsid w:val="00C42009"/>
    <w:rsid w:val="00C420CE"/>
    <w:rsid w:val="00C4210F"/>
    <w:rsid w:val="00C42124"/>
    <w:rsid w:val="00C42222"/>
    <w:rsid w:val="00C422C8"/>
    <w:rsid w:val="00C422D7"/>
    <w:rsid w:val="00C422E9"/>
    <w:rsid w:val="00C422F2"/>
    <w:rsid w:val="00C42300"/>
    <w:rsid w:val="00C42333"/>
    <w:rsid w:val="00C42363"/>
    <w:rsid w:val="00C42369"/>
    <w:rsid w:val="00C42380"/>
    <w:rsid w:val="00C423AF"/>
    <w:rsid w:val="00C423B8"/>
    <w:rsid w:val="00C424B3"/>
    <w:rsid w:val="00C424C0"/>
    <w:rsid w:val="00C424DE"/>
    <w:rsid w:val="00C42515"/>
    <w:rsid w:val="00C42534"/>
    <w:rsid w:val="00C42584"/>
    <w:rsid w:val="00C4259B"/>
    <w:rsid w:val="00C425F6"/>
    <w:rsid w:val="00C42643"/>
    <w:rsid w:val="00C426CF"/>
    <w:rsid w:val="00C426F9"/>
    <w:rsid w:val="00C4270D"/>
    <w:rsid w:val="00C4277A"/>
    <w:rsid w:val="00C42799"/>
    <w:rsid w:val="00C42885"/>
    <w:rsid w:val="00C428CC"/>
    <w:rsid w:val="00C4291D"/>
    <w:rsid w:val="00C42922"/>
    <w:rsid w:val="00C42937"/>
    <w:rsid w:val="00C42953"/>
    <w:rsid w:val="00C42983"/>
    <w:rsid w:val="00C42A2D"/>
    <w:rsid w:val="00C42A53"/>
    <w:rsid w:val="00C42A95"/>
    <w:rsid w:val="00C42B2F"/>
    <w:rsid w:val="00C42B61"/>
    <w:rsid w:val="00C42BDD"/>
    <w:rsid w:val="00C42C1A"/>
    <w:rsid w:val="00C42C27"/>
    <w:rsid w:val="00C42C32"/>
    <w:rsid w:val="00C42C53"/>
    <w:rsid w:val="00C42C61"/>
    <w:rsid w:val="00C42D5E"/>
    <w:rsid w:val="00C42D92"/>
    <w:rsid w:val="00C42DB5"/>
    <w:rsid w:val="00C42DBD"/>
    <w:rsid w:val="00C42E28"/>
    <w:rsid w:val="00C42EAF"/>
    <w:rsid w:val="00C42F2D"/>
    <w:rsid w:val="00C42F78"/>
    <w:rsid w:val="00C42FA6"/>
    <w:rsid w:val="00C42FAB"/>
    <w:rsid w:val="00C42FC4"/>
    <w:rsid w:val="00C4301F"/>
    <w:rsid w:val="00C43024"/>
    <w:rsid w:val="00C43043"/>
    <w:rsid w:val="00C43068"/>
    <w:rsid w:val="00C43098"/>
    <w:rsid w:val="00C430B7"/>
    <w:rsid w:val="00C4311A"/>
    <w:rsid w:val="00C43123"/>
    <w:rsid w:val="00C4313D"/>
    <w:rsid w:val="00C431C9"/>
    <w:rsid w:val="00C432AC"/>
    <w:rsid w:val="00C432B4"/>
    <w:rsid w:val="00C432EC"/>
    <w:rsid w:val="00C43311"/>
    <w:rsid w:val="00C4332F"/>
    <w:rsid w:val="00C43372"/>
    <w:rsid w:val="00C43375"/>
    <w:rsid w:val="00C4338A"/>
    <w:rsid w:val="00C43409"/>
    <w:rsid w:val="00C43480"/>
    <w:rsid w:val="00C4348E"/>
    <w:rsid w:val="00C434A8"/>
    <w:rsid w:val="00C434D6"/>
    <w:rsid w:val="00C434E7"/>
    <w:rsid w:val="00C4351E"/>
    <w:rsid w:val="00C4354D"/>
    <w:rsid w:val="00C4356D"/>
    <w:rsid w:val="00C43573"/>
    <w:rsid w:val="00C43604"/>
    <w:rsid w:val="00C4378D"/>
    <w:rsid w:val="00C437F1"/>
    <w:rsid w:val="00C43856"/>
    <w:rsid w:val="00C4386C"/>
    <w:rsid w:val="00C43874"/>
    <w:rsid w:val="00C43875"/>
    <w:rsid w:val="00C43892"/>
    <w:rsid w:val="00C43912"/>
    <w:rsid w:val="00C43947"/>
    <w:rsid w:val="00C439BC"/>
    <w:rsid w:val="00C439C8"/>
    <w:rsid w:val="00C439E5"/>
    <w:rsid w:val="00C439F9"/>
    <w:rsid w:val="00C43A24"/>
    <w:rsid w:val="00C43A83"/>
    <w:rsid w:val="00C43AAE"/>
    <w:rsid w:val="00C43AC2"/>
    <w:rsid w:val="00C43ACD"/>
    <w:rsid w:val="00C43B29"/>
    <w:rsid w:val="00C43B89"/>
    <w:rsid w:val="00C43BB4"/>
    <w:rsid w:val="00C43BC0"/>
    <w:rsid w:val="00C43C79"/>
    <w:rsid w:val="00C43CA7"/>
    <w:rsid w:val="00C43CE0"/>
    <w:rsid w:val="00C43D31"/>
    <w:rsid w:val="00C43D66"/>
    <w:rsid w:val="00C43D6C"/>
    <w:rsid w:val="00C43D79"/>
    <w:rsid w:val="00C43D7D"/>
    <w:rsid w:val="00C43D99"/>
    <w:rsid w:val="00C43DE6"/>
    <w:rsid w:val="00C43DFE"/>
    <w:rsid w:val="00C43E1B"/>
    <w:rsid w:val="00C43E9B"/>
    <w:rsid w:val="00C43EA9"/>
    <w:rsid w:val="00C43EE9"/>
    <w:rsid w:val="00C43F02"/>
    <w:rsid w:val="00C43F24"/>
    <w:rsid w:val="00C43FB9"/>
    <w:rsid w:val="00C43FD9"/>
    <w:rsid w:val="00C4405E"/>
    <w:rsid w:val="00C44060"/>
    <w:rsid w:val="00C4409F"/>
    <w:rsid w:val="00C440F9"/>
    <w:rsid w:val="00C441B1"/>
    <w:rsid w:val="00C44212"/>
    <w:rsid w:val="00C44245"/>
    <w:rsid w:val="00C442F1"/>
    <w:rsid w:val="00C44352"/>
    <w:rsid w:val="00C44357"/>
    <w:rsid w:val="00C443D3"/>
    <w:rsid w:val="00C443E1"/>
    <w:rsid w:val="00C4440C"/>
    <w:rsid w:val="00C4441F"/>
    <w:rsid w:val="00C444F0"/>
    <w:rsid w:val="00C4451E"/>
    <w:rsid w:val="00C44521"/>
    <w:rsid w:val="00C44532"/>
    <w:rsid w:val="00C44570"/>
    <w:rsid w:val="00C44580"/>
    <w:rsid w:val="00C445DA"/>
    <w:rsid w:val="00C44650"/>
    <w:rsid w:val="00C446CE"/>
    <w:rsid w:val="00C447F7"/>
    <w:rsid w:val="00C44897"/>
    <w:rsid w:val="00C44938"/>
    <w:rsid w:val="00C44961"/>
    <w:rsid w:val="00C4496C"/>
    <w:rsid w:val="00C449AE"/>
    <w:rsid w:val="00C44A01"/>
    <w:rsid w:val="00C44A1B"/>
    <w:rsid w:val="00C44A21"/>
    <w:rsid w:val="00C44AD4"/>
    <w:rsid w:val="00C44AE3"/>
    <w:rsid w:val="00C44B35"/>
    <w:rsid w:val="00C44B7C"/>
    <w:rsid w:val="00C44BA9"/>
    <w:rsid w:val="00C44BAB"/>
    <w:rsid w:val="00C44C30"/>
    <w:rsid w:val="00C44C48"/>
    <w:rsid w:val="00C44C85"/>
    <w:rsid w:val="00C44CDE"/>
    <w:rsid w:val="00C44D07"/>
    <w:rsid w:val="00C44D1A"/>
    <w:rsid w:val="00C44D2C"/>
    <w:rsid w:val="00C44D6F"/>
    <w:rsid w:val="00C44D7D"/>
    <w:rsid w:val="00C44DCF"/>
    <w:rsid w:val="00C44DD7"/>
    <w:rsid w:val="00C44DE9"/>
    <w:rsid w:val="00C44E15"/>
    <w:rsid w:val="00C44E8C"/>
    <w:rsid w:val="00C44EE7"/>
    <w:rsid w:val="00C44F11"/>
    <w:rsid w:val="00C44F2F"/>
    <w:rsid w:val="00C44F3B"/>
    <w:rsid w:val="00C44F3F"/>
    <w:rsid w:val="00C44FA4"/>
    <w:rsid w:val="00C44FA6"/>
    <w:rsid w:val="00C45054"/>
    <w:rsid w:val="00C4505B"/>
    <w:rsid w:val="00C45067"/>
    <w:rsid w:val="00C45098"/>
    <w:rsid w:val="00C450AF"/>
    <w:rsid w:val="00C450DB"/>
    <w:rsid w:val="00C45163"/>
    <w:rsid w:val="00C4516D"/>
    <w:rsid w:val="00C451E7"/>
    <w:rsid w:val="00C45201"/>
    <w:rsid w:val="00C45210"/>
    <w:rsid w:val="00C45279"/>
    <w:rsid w:val="00C45358"/>
    <w:rsid w:val="00C453B1"/>
    <w:rsid w:val="00C45438"/>
    <w:rsid w:val="00C45444"/>
    <w:rsid w:val="00C45582"/>
    <w:rsid w:val="00C455BF"/>
    <w:rsid w:val="00C45623"/>
    <w:rsid w:val="00C4565B"/>
    <w:rsid w:val="00C456C9"/>
    <w:rsid w:val="00C4571F"/>
    <w:rsid w:val="00C4572A"/>
    <w:rsid w:val="00C4574B"/>
    <w:rsid w:val="00C45834"/>
    <w:rsid w:val="00C4584C"/>
    <w:rsid w:val="00C45859"/>
    <w:rsid w:val="00C45889"/>
    <w:rsid w:val="00C45923"/>
    <w:rsid w:val="00C45933"/>
    <w:rsid w:val="00C4594D"/>
    <w:rsid w:val="00C45967"/>
    <w:rsid w:val="00C459B4"/>
    <w:rsid w:val="00C459F8"/>
    <w:rsid w:val="00C45A39"/>
    <w:rsid w:val="00C45AF1"/>
    <w:rsid w:val="00C45B28"/>
    <w:rsid w:val="00C45B4B"/>
    <w:rsid w:val="00C45B8B"/>
    <w:rsid w:val="00C45B8D"/>
    <w:rsid w:val="00C45BA5"/>
    <w:rsid w:val="00C45BB2"/>
    <w:rsid w:val="00C45BD2"/>
    <w:rsid w:val="00C45C35"/>
    <w:rsid w:val="00C45C3B"/>
    <w:rsid w:val="00C45C4E"/>
    <w:rsid w:val="00C45C5D"/>
    <w:rsid w:val="00C45CAD"/>
    <w:rsid w:val="00C45CE2"/>
    <w:rsid w:val="00C45CE6"/>
    <w:rsid w:val="00C45D9A"/>
    <w:rsid w:val="00C45DB2"/>
    <w:rsid w:val="00C45DB6"/>
    <w:rsid w:val="00C45DD1"/>
    <w:rsid w:val="00C45E14"/>
    <w:rsid w:val="00C45E17"/>
    <w:rsid w:val="00C45EAF"/>
    <w:rsid w:val="00C45EDD"/>
    <w:rsid w:val="00C45F1F"/>
    <w:rsid w:val="00C45F63"/>
    <w:rsid w:val="00C45F6F"/>
    <w:rsid w:val="00C45F85"/>
    <w:rsid w:val="00C45FA6"/>
    <w:rsid w:val="00C46064"/>
    <w:rsid w:val="00C46090"/>
    <w:rsid w:val="00C46092"/>
    <w:rsid w:val="00C460D1"/>
    <w:rsid w:val="00C460EF"/>
    <w:rsid w:val="00C46136"/>
    <w:rsid w:val="00C46141"/>
    <w:rsid w:val="00C4616E"/>
    <w:rsid w:val="00C46174"/>
    <w:rsid w:val="00C461A6"/>
    <w:rsid w:val="00C461F8"/>
    <w:rsid w:val="00C46217"/>
    <w:rsid w:val="00C46222"/>
    <w:rsid w:val="00C46336"/>
    <w:rsid w:val="00C46462"/>
    <w:rsid w:val="00C464A1"/>
    <w:rsid w:val="00C46560"/>
    <w:rsid w:val="00C46577"/>
    <w:rsid w:val="00C4658E"/>
    <w:rsid w:val="00C46591"/>
    <w:rsid w:val="00C465C5"/>
    <w:rsid w:val="00C465E8"/>
    <w:rsid w:val="00C46695"/>
    <w:rsid w:val="00C466CA"/>
    <w:rsid w:val="00C4677C"/>
    <w:rsid w:val="00C467B7"/>
    <w:rsid w:val="00C467CF"/>
    <w:rsid w:val="00C467D7"/>
    <w:rsid w:val="00C46884"/>
    <w:rsid w:val="00C4688A"/>
    <w:rsid w:val="00C4691E"/>
    <w:rsid w:val="00C4693A"/>
    <w:rsid w:val="00C4694B"/>
    <w:rsid w:val="00C46957"/>
    <w:rsid w:val="00C46967"/>
    <w:rsid w:val="00C46A11"/>
    <w:rsid w:val="00C46A59"/>
    <w:rsid w:val="00C46ADF"/>
    <w:rsid w:val="00C46B62"/>
    <w:rsid w:val="00C46BAA"/>
    <w:rsid w:val="00C46D75"/>
    <w:rsid w:val="00C46D82"/>
    <w:rsid w:val="00C46DB4"/>
    <w:rsid w:val="00C46DB8"/>
    <w:rsid w:val="00C46DE0"/>
    <w:rsid w:val="00C46E67"/>
    <w:rsid w:val="00C46E7F"/>
    <w:rsid w:val="00C46EC4"/>
    <w:rsid w:val="00C46EF3"/>
    <w:rsid w:val="00C46EFA"/>
    <w:rsid w:val="00C46F0B"/>
    <w:rsid w:val="00C46F5A"/>
    <w:rsid w:val="00C46F6F"/>
    <w:rsid w:val="00C46F74"/>
    <w:rsid w:val="00C46FBB"/>
    <w:rsid w:val="00C46FC4"/>
    <w:rsid w:val="00C46FD5"/>
    <w:rsid w:val="00C4702B"/>
    <w:rsid w:val="00C4703B"/>
    <w:rsid w:val="00C47075"/>
    <w:rsid w:val="00C470D1"/>
    <w:rsid w:val="00C470EB"/>
    <w:rsid w:val="00C4714B"/>
    <w:rsid w:val="00C47189"/>
    <w:rsid w:val="00C4718E"/>
    <w:rsid w:val="00C47191"/>
    <w:rsid w:val="00C471EE"/>
    <w:rsid w:val="00C4720A"/>
    <w:rsid w:val="00C47297"/>
    <w:rsid w:val="00C472E9"/>
    <w:rsid w:val="00C472FA"/>
    <w:rsid w:val="00C4733E"/>
    <w:rsid w:val="00C473A7"/>
    <w:rsid w:val="00C473CE"/>
    <w:rsid w:val="00C4740B"/>
    <w:rsid w:val="00C4749A"/>
    <w:rsid w:val="00C47522"/>
    <w:rsid w:val="00C47530"/>
    <w:rsid w:val="00C47576"/>
    <w:rsid w:val="00C475E6"/>
    <w:rsid w:val="00C4761A"/>
    <w:rsid w:val="00C476BD"/>
    <w:rsid w:val="00C4773E"/>
    <w:rsid w:val="00C47769"/>
    <w:rsid w:val="00C47790"/>
    <w:rsid w:val="00C477CA"/>
    <w:rsid w:val="00C4789D"/>
    <w:rsid w:val="00C47904"/>
    <w:rsid w:val="00C4793B"/>
    <w:rsid w:val="00C47986"/>
    <w:rsid w:val="00C479C6"/>
    <w:rsid w:val="00C479CD"/>
    <w:rsid w:val="00C47A2D"/>
    <w:rsid w:val="00C47A63"/>
    <w:rsid w:val="00C47B5C"/>
    <w:rsid w:val="00C47B6B"/>
    <w:rsid w:val="00C47B81"/>
    <w:rsid w:val="00C47C0C"/>
    <w:rsid w:val="00C47C17"/>
    <w:rsid w:val="00C47C28"/>
    <w:rsid w:val="00C47C6F"/>
    <w:rsid w:val="00C47D00"/>
    <w:rsid w:val="00C47D0E"/>
    <w:rsid w:val="00C47D20"/>
    <w:rsid w:val="00C47DE7"/>
    <w:rsid w:val="00C47DF3"/>
    <w:rsid w:val="00C47EA3"/>
    <w:rsid w:val="00C47ECC"/>
    <w:rsid w:val="00C47F79"/>
    <w:rsid w:val="00C47F8F"/>
    <w:rsid w:val="00C47FE0"/>
    <w:rsid w:val="00C47FE3"/>
    <w:rsid w:val="00C47FEA"/>
    <w:rsid w:val="00C50025"/>
    <w:rsid w:val="00C5007A"/>
    <w:rsid w:val="00C50120"/>
    <w:rsid w:val="00C501C8"/>
    <w:rsid w:val="00C501E3"/>
    <w:rsid w:val="00C50212"/>
    <w:rsid w:val="00C5026B"/>
    <w:rsid w:val="00C50283"/>
    <w:rsid w:val="00C502BF"/>
    <w:rsid w:val="00C502C7"/>
    <w:rsid w:val="00C502E6"/>
    <w:rsid w:val="00C502EC"/>
    <w:rsid w:val="00C5030D"/>
    <w:rsid w:val="00C50313"/>
    <w:rsid w:val="00C50317"/>
    <w:rsid w:val="00C50376"/>
    <w:rsid w:val="00C50445"/>
    <w:rsid w:val="00C5048B"/>
    <w:rsid w:val="00C504B9"/>
    <w:rsid w:val="00C504DF"/>
    <w:rsid w:val="00C50513"/>
    <w:rsid w:val="00C50571"/>
    <w:rsid w:val="00C505A7"/>
    <w:rsid w:val="00C505E7"/>
    <w:rsid w:val="00C50610"/>
    <w:rsid w:val="00C50624"/>
    <w:rsid w:val="00C50664"/>
    <w:rsid w:val="00C50671"/>
    <w:rsid w:val="00C50694"/>
    <w:rsid w:val="00C506A0"/>
    <w:rsid w:val="00C506F5"/>
    <w:rsid w:val="00C50729"/>
    <w:rsid w:val="00C5076E"/>
    <w:rsid w:val="00C507F9"/>
    <w:rsid w:val="00C50817"/>
    <w:rsid w:val="00C50837"/>
    <w:rsid w:val="00C5084F"/>
    <w:rsid w:val="00C50867"/>
    <w:rsid w:val="00C508EE"/>
    <w:rsid w:val="00C508FB"/>
    <w:rsid w:val="00C50932"/>
    <w:rsid w:val="00C50941"/>
    <w:rsid w:val="00C5094E"/>
    <w:rsid w:val="00C50964"/>
    <w:rsid w:val="00C509A7"/>
    <w:rsid w:val="00C50A36"/>
    <w:rsid w:val="00C50A45"/>
    <w:rsid w:val="00C50A52"/>
    <w:rsid w:val="00C50A66"/>
    <w:rsid w:val="00C50A67"/>
    <w:rsid w:val="00C50A9E"/>
    <w:rsid w:val="00C50AE7"/>
    <w:rsid w:val="00C50B0F"/>
    <w:rsid w:val="00C50B11"/>
    <w:rsid w:val="00C50B16"/>
    <w:rsid w:val="00C50B42"/>
    <w:rsid w:val="00C50B56"/>
    <w:rsid w:val="00C50BD1"/>
    <w:rsid w:val="00C50BF4"/>
    <w:rsid w:val="00C50C04"/>
    <w:rsid w:val="00C50CB5"/>
    <w:rsid w:val="00C50CBA"/>
    <w:rsid w:val="00C50CCF"/>
    <w:rsid w:val="00C50CEC"/>
    <w:rsid w:val="00C50CFD"/>
    <w:rsid w:val="00C50D1B"/>
    <w:rsid w:val="00C50D76"/>
    <w:rsid w:val="00C50D86"/>
    <w:rsid w:val="00C50DA8"/>
    <w:rsid w:val="00C50DD6"/>
    <w:rsid w:val="00C50DF4"/>
    <w:rsid w:val="00C50EC3"/>
    <w:rsid w:val="00C50F1D"/>
    <w:rsid w:val="00C50F6B"/>
    <w:rsid w:val="00C50F87"/>
    <w:rsid w:val="00C50FAE"/>
    <w:rsid w:val="00C50FC2"/>
    <w:rsid w:val="00C51054"/>
    <w:rsid w:val="00C510A0"/>
    <w:rsid w:val="00C510A3"/>
    <w:rsid w:val="00C510AB"/>
    <w:rsid w:val="00C510D7"/>
    <w:rsid w:val="00C51110"/>
    <w:rsid w:val="00C51123"/>
    <w:rsid w:val="00C5112D"/>
    <w:rsid w:val="00C5121B"/>
    <w:rsid w:val="00C51292"/>
    <w:rsid w:val="00C512E0"/>
    <w:rsid w:val="00C51327"/>
    <w:rsid w:val="00C51333"/>
    <w:rsid w:val="00C5136C"/>
    <w:rsid w:val="00C513B1"/>
    <w:rsid w:val="00C513E3"/>
    <w:rsid w:val="00C5149B"/>
    <w:rsid w:val="00C514B1"/>
    <w:rsid w:val="00C514EF"/>
    <w:rsid w:val="00C515CA"/>
    <w:rsid w:val="00C516AD"/>
    <w:rsid w:val="00C516B7"/>
    <w:rsid w:val="00C516F5"/>
    <w:rsid w:val="00C51700"/>
    <w:rsid w:val="00C51709"/>
    <w:rsid w:val="00C5173A"/>
    <w:rsid w:val="00C5175D"/>
    <w:rsid w:val="00C51770"/>
    <w:rsid w:val="00C51820"/>
    <w:rsid w:val="00C5183E"/>
    <w:rsid w:val="00C51856"/>
    <w:rsid w:val="00C51889"/>
    <w:rsid w:val="00C51891"/>
    <w:rsid w:val="00C518E7"/>
    <w:rsid w:val="00C518FB"/>
    <w:rsid w:val="00C5190A"/>
    <w:rsid w:val="00C51972"/>
    <w:rsid w:val="00C51A6D"/>
    <w:rsid w:val="00C51B24"/>
    <w:rsid w:val="00C51B3C"/>
    <w:rsid w:val="00C51B56"/>
    <w:rsid w:val="00C51B5F"/>
    <w:rsid w:val="00C51BD7"/>
    <w:rsid w:val="00C51BF5"/>
    <w:rsid w:val="00C51C2E"/>
    <w:rsid w:val="00C51C4F"/>
    <w:rsid w:val="00C51CAB"/>
    <w:rsid w:val="00C51CB7"/>
    <w:rsid w:val="00C51D0A"/>
    <w:rsid w:val="00C51D16"/>
    <w:rsid w:val="00C51D5A"/>
    <w:rsid w:val="00C51D8B"/>
    <w:rsid w:val="00C51DB3"/>
    <w:rsid w:val="00C51DC2"/>
    <w:rsid w:val="00C51E08"/>
    <w:rsid w:val="00C51ED2"/>
    <w:rsid w:val="00C51F0E"/>
    <w:rsid w:val="00C51F12"/>
    <w:rsid w:val="00C51F28"/>
    <w:rsid w:val="00C51F94"/>
    <w:rsid w:val="00C51FD5"/>
    <w:rsid w:val="00C51FF5"/>
    <w:rsid w:val="00C5200F"/>
    <w:rsid w:val="00C52030"/>
    <w:rsid w:val="00C52066"/>
    <w:rsid w:val="00C520C2"/>
    <w:rsid w:val="00C520D5"/>
    <w:rsid w:val="00C521A8"/>
    <w:rsid w:val="00C521C3"/>
    <w:rsid w:val="00C5220F"/>
    <w:rsid w:val="00C52291"/>
    <w:rsid w:val="00C522B3"/>
    <w:rsid w:val="00C522D4"/>
    <w:rsid w:val="00C522FD"/>
    <w:rsid w:val="00C52341"/>
    <w:rsid w:val="00C5234A"/>
    <w:rsid w:val="00C523FB"/>
    <w:rsid w:val="00C52409"/>
    <w:rsid w:val="00C5243B"/>
    <w:rsid w:val="00C52447"/>
    <w:rsid w:val="00C524B0"/>
    <w:rsid w:val="00C5254D"/>
    <w:rsid w:val="00C5258B"/>
    <w:rsid w:val="00C52634"/>
    <w:rsid w:val="00C52637"/>
    <w:rsid w:val="00C52652"/>
    <w:rsid w:val="00C52717"/>
    <w:rsid w:val="00C5277C"/>
    <w:rsid w:val="00C5283C"/>
    <w:rsid w:val="00C52878"/>
    <w:rsid w:val="00C528A3"/>
    <w:rsid w:val="00C52920"/>
    <w:rsid w:val="00C529ED"/>
    <w:rsid w:val="00C52A3A"/>
    <w:rsid w:val="00C52A61"/>
    <w:rsid w:val="00C52A82"/>
    <w:rsid w:val="00C52AAC"/>
    <w:rsid w:val="00C52AB0"/>
    <w:rsid w:val="00C52B0A"/>
    <w:rsid w:val="00C52B0E"/>
    <w:rsid w:val="00C52B77"/>
    <w:rsid w:val="00C52B82"/>
    <w:rsid w:val="00C52BE0"/>
    <w:rsid w:val="00C52C1E"/>
    <w:rsid w:val="00C52C72"/>
    <w:rsid w:val="00C52C7E"/>
    <w:rsid w:val="00C52C8F"/>
    <w:rsid w:val="00C52CB3"/>
    <w:rsid w:val="00C52D58"/>
    <w:rsid w:val="00C52D5F"/>
    <w:rsid w:val="00C52D9F"/>
    <w:rsid w:val="00C52E58"/>
    <w:rsid w:val="00C52E6B"/>
    <w:rsid w:val="00C52F3F"/>
    <w:rsid w:val="00C52F86"/>
    <w:rsid w:val="00C5304B"/>
    <w:rsid w:val="00C53178"/>
    <w:rsid w:val="00C531ED"/>
    <w:rsid w:val="00C531F0"/>
    <w:rsid w:val="00C53203"/>
    <w:rsid w:val="00C53226"/>
    <w:rsid w:val="00C53230"/>
    <w:rsid w:val="00C53285"/>
    <w:rsid w:val="00C53314"/>
    <w:rsid w:val="00C53339"/>
    <w:rsid w:val="00C5335E"/>
    <w:rsid w:val="00C53430"/>
    <w:rsid w:val="00C53434"/>
    <w:rsid w:val="00C53464"/>
    <w:rsid w:val="00C53466"/>
    <w:rsid w:val="00C53475"/>
    <w:rsid w:val="00C534C1"/>
    <w:rsid w:val="00C534CB"/>
    <w:rsid w:val="00C534CF"/>
    <w:rsid w:val="00C53501"/>
    <w:rsid w:val="00C53504"/>
    <w:rsid w:val="00C53531"/>
    <w:rsid w:val="00C53580"/>
    <w:rsid w:val="00C5363A"/>
    <w:rsid w:val="00C5367E"/>
    <w:rsid w:val="00C53685"/>
    <w:rsid w:val="00C5368E"/>
    <w:rsid w:val="00C5372E"/>
    <w:rsid w:val="00C53766"/>
    <w:rsid w:val="00C53767"/>
    <w:rsid w:val="00C5379C"/>
    <w:rsid w:val="00C537E3"/>
    <w:rsid w:val="00C53898"/>
    <w:rsid w:val="00C53942"/>
    <w:rsid w:val="00C53B25"/>
    <w:rsid w:val="00C53B70"/>
    <w:rsid w:val="00C53C4C"/>
    <w:rsid w:val="00C53C53"/>
    <w:rsid w:val="00C53CC1"/>
    <w:rsid w:val="00C53CC9"/>
    <w:rsid w:val="00C53CF9"/>
    <w:rsid w:val="00C53DE2"/>
    <w:rsid w:val="00C53DEF"/>
    <w:rsid w:val="00C53EB6"/>
    <w:rsid w:val="00C53EF5"/>
    <w:rsid w:val="00C53F76"/>
    <w:rsid w:val="00C53FA1"/>
    <w:rsid w:val="00C53FAF"/>
    <w:rsid w:val="00C54082"/>
    <w:rsid w:val="00C540DC"/>
    <w:rsid w:val="00C540EF"/>
    <w:rsid w:val="00C54211"/>
    <w:rsid w:val="00C54215"/>
    <w:rsid w:val="00C542AC"/>
    <w:rsid w:val="00C542C9"/>
    <w:rsid w:val="00C542FB"/>
    <w:rsid w:val="00C543B7"/>
    <w:rsid w:val="00C544E5"/>
    <w:rsid w:val="00C5452D"/>
    <w:rsid w:val="00C54531"/>
    <w:rsid w:val="00C5454C"/>
    <w:rsid w:val="00C5455C"/>
    <w:rsid w:val="00C545F0"/>
    <w:rsid w:val="00C54671"/>
    <w:rsid w:val="00C546A1"/>
    <w:rsid w:val="00C546EF"/>
    <w:rsid w:val="00C54712"/>
    <w:rsid w:val="00C54751"/>
    <w:rsid w:val="00C5485E"/>
    <w:rsid w:val="00C5486E"/>
    <w:rsid w:val="00C5491E"/>
    <w:rsid w:val="00C549F8"/>
    <w:rsid w:val="00C54A11"/>
    <w:rsid w:val="00C54A30"/>
    <w:rsid w:val="00C54A76"/>
    <w:rsid w:val="00C54AA6"/>
    <w:rsid w:val="00C54ACC"/>
    <w:rsid w:val="00C54BA9"/>
    <w:rsid w:val="00C54BB3"/>
    <w:rsid w:val="00C54BF8"/>
    <w:rsid w:val="00C54BFE"/>
    <w:rsid w:val="00C54C16"/>
    <w:rsid w:val="00C54D05"/>
    <w:rsid w:val="00C54D17"/>
    <w:rsid w:val="00C54D54"/>
    <w:rsid w:val="00C54DCF"/>
    <w:rsid w:val="00C54DD2"/>
    <w:rsid w:val="00C54DEB"/>
    <w:rsid w:val="00C54F1F"/>
    <w:rsid w:val="00C54F2F"/>
    <w:rsid w:val="00C54F94"/>
    <w:rsid w:val="00C54FC0"/>
    <w:rsid w:val="00C55038"/>
    <w:rsid w:val="00C5503A"/>
    <w:rsid w:val="00C5504B"/>
    <w:rsid w:val="00C5506E"/>
    <w:rsid w:val="00C550B1"/>
    <w:rsid w:val="00C5515E"/>
    <w:rsid w:val="00C551A5"/>
    <w:rsid w:val="00C5524B"/>
    <w:rsid w:val="00C55284"/>
    <w:rsid w:val="00C5528C"/>
    <w:rsid w:val="00C552D5"/>
    <w:rsid w:val="00C552D9"/>
    <w:rsid w:val="00C552EC"/>
    <w:rsid w:val="00C552F9"/>
    <w:rsid w:val="00C5537A"/>
    <w:rsid w:val="00C553B5"/>
    <w:rsid w:val="00C55401"/>
    <w:rsid w:val="00C55414"/>
    <w:rsid w:val="00C554B0"/>
    <w:rsid w:val="00C554D1"/>
    <w:rsid w:val="00C554D5"/>
    <w:rsid w:val="00C5550E"/>
    <w:rsid w:val="00C5568C"/>
    <w:rsid w:val="00C556B8"/>
    <w:rsid w:val="00C556BB"/>
    <w:rsid w:val="00C556C6"/>
    <w:rsid w:val="00C55739"/>
    <w:rsid w:val="00C55773"/>
    <w:rsid w:val="00C5577E"/>
    <w:rsid w:val="00C5578F"/>
    <w:rsid w:val="00C557D0"/>
    <w:rsid w:val="00C557E9"/>
    <w:rsid w:val="00C557EF"/>
    <w:rsid w:val="00C5581C"/>
    <w:rsid w:val="00C5582C"/>
    <w:rsid w:val="00C55843"/>
    <w:rsid w:val="00C558C6"/>
    <w:rsid w:val="00C5593A"/>
    <w:rsid w:val="00C55954"/>
    <w:rsid w:val="00C55975"/>
    <w:rsid w:val="00C559CA"/>
    <w:rsid w:val="00C559E5"/>
    <w:rsid w:val="00C559F6"/>
    <w:rsid w:val="00C55A26"/>
    <w:rsid w:val="00C55A2C"/>
    <w:rsid w:val="00C55A3C"/>
    <w:rsid w:val="00C55A91"/>
    <w:rsid w:val="00C55AB4"/>
    <w:rsid w:val="00C55AC4"/>
    <w:rsid w:val="00C55B13"/>
    <w:rsid w:val="00C55B5D"/>
    <w:rsid w:val="00C55B5F"/>
    <w:rsid w:val="00C55B7D"/>
    <w:rsid w:val="00C55B85"/>
    <w:rsid w:val="00C55B97"/>
    <w:rsid w:val="00C55C10"/>
    <w:rsid w:val="00C55C46"/>
    <w:rsid w:val="00C55C61"/>
    <w:rsid w:val="00C55C9E"/>
    <w:rsid w:val="00C55D1D"/>
    <w:rsid w:val="00C55D2B"/>
    <w:rsid w:val="00C55D34"/>
    <w:rsid w:val="00C55D46"/>
    <w:rsid w:val="00C55D80"/>
    <w:rsid w:val="00C55D87"/>
    <w:rsid w:val="00C55DC1"/>
    <w:rsid w:val="00C55E42"/>
    <w:rsid w:val="00C55E51"/>
    <w:rsid w:val="00C55E58"/>
    <w:rsid w:val="00C55E81"/>
    <w:rsid w:val="00C55EAA"/>
    <w:rsid w:val="00C55F70"/>
    <w:rsid w:val="00C55FF9"/>
    <w:rsid w:val="00C5606F"/>
    <w:rsid w:val="00C560A4"/>
    <w:rsid w:val="00C560BB"/>
    <w:rsid w:val="00C56125"/>
    <w:rsid w:val="00C56197"/>
    <w:rsid w:val="00C5622F"/>
    <w:rsid w:val="00C562A2"/>
    <w:rsid w:val="00C56399"/>
    <w:rsid w:val="00C563D0"/>
    <w:rsid w:val="00C563E7"/>
    <w:rsid w:val="00C5642B"/>
    <w:rsid w:val="00C56489"/>
    <w:rsid w:val="00C56526"/>
    <w:rsid w:val="00C565E4"/>
    <w:rsid w:val="00C5663F"/>
    <w:rsid w:val="00C56642"/>
    <w:rsid w:val="00C56676"/>
    <w:rsid w:val="00C56693"/>
    <w:rsid w:val="00C566D5"/>
    <w:rsid w:val="00C566EE"/>
    <w:rsid w:val="00C5676A"/>
    <w:rsid w:val="00C567E8"/>
    <w:rsid w:val="00C56837"/>
    <w:rsid w:val="00C56843"/>
    <w:rsid w:val="00C5684E"/>
    <w:rsid w:val="00C568CD"/>
    <w:rsid w:val="00C5692E"/>
    <w:rsid w:val="00C56991"/>
    <w:rsid w:val="00C569A7"/>
    <w:rsid w:val="00C569C4"/>
    <w:rsid w:val="00C56A3A"/>
    <w:rsid w:val="00C56A4B"/>
    <w:rsid w:val="00C56AB0"/>
    <w:rsid w:val="00C56AC6"/>
    <w:rsid w:val="00C56AD9"/>
    <w:rsid w:val="00C56B0B"/>
    <w:rsid w:val="00C56B1A"/>
    <w:rsid w:val="00C56B1E"/>
    <w:rsid w:val="00C56B34"/>
    <w:rsid w:val="00C56B93"/>
    <w:rsid w:val="00C56BA1"/>
    <w:rsid w:val="00C56BB1"/>
    <w:rsid w:val="00C56BD0"/>
    <w:rsid w:val="00C56C01"/>
    <w:rsid w:val="00C56D21"/>
    <w:rsid w:val="00C56E48"/>
    <w:rsid w:val="00C56E69"/>
    <w:rsid w:val="00C56EFC"/>
    <w:rsid w:val="00C56F41"/>
    <w:rsid w:val="00C56F96"/>
    <w:rsid w:val="00C57014"/>
    <w:rsid w:val="00C5708D"/>
    <w:rsid w:val="00C570D1"/>
    <w:rsid w:val="00C57168"/>
    <w:rsid w:val="00C5717A"/>
    <w:rsid w:val="00C5718D"/>
    <w:rsid w:val="00C57217"/>
    <w:rsid w:val="00C57282"/>
    <w:rsid w:val="00C5728D"/>
    <w:rsid w:val="00C572F4"/>
    <w:rsid w:val="00C5731A"/>
    <w:rsid w:val="00C5732B"/>
    <w:rsid w:val="00C57386"/>
    <w:rsid w:val="00C573A3"/>
    <w:rsid w:val="00C573AA"/>
    <w:rsid w:val="00C57410"/>
    <w:rsid w:val="00C57472"/>
    <w:rsid w:val="00C5749F"/>
    <w:rsid w:val="00C574B2"/>
    <w:rsid w:val="00C57501"/>
    <w:rsid w:val="00C57540"/>
    <w:rsid w:val="00C57589"/>
    <w:rsid w:val="00C575BF"/>
    <w:rsid w:val="00C57653"/>
    <w:rsid w:val="00C57708"/>
    <w:rsid w:val="00C57738"/>
    <w:rsid w:val="00C57744"/>
    <w:rsid w:val="00C5776F"/>
    <w:rsid w:val="00C577ED"/>
    <w:rsid w:val="00C57824"/>
    <w:rsid w:val="00C5787A"/>
    <w:rsid w:val="00C5787D"/>
    <w:rsid w:val="00C578A3"/>
    <w:rsid w:val="00C57909"/>
    <w:rsid w:val="00C57925"/>
    <w:rsid w:val="00C5794E"/>
    <w:rsid w:val="00C5794F"/>
    <w:rsid w:val="00C57955"/>
    <w:rsid w:val="00C57996"/>
    <w:rsid w:val="00C579CA"/>
    <w:rsid w:val="00C57A0F"/>
    <w:rsid w:val="00C57A5A"/>
    <w:rsid w:val="00C57A83"/>
    <w:rsid w:val="00C57AB3"/>
    <w:rsid w:val="00C57ACA"/>
    <w:rsid w:val="00C57ADB"/>
    <w:rsid w:val="00C57B13"/>
    <w:rsid w:val="00C57B1E"/>
    <w:rsid w:val="00C57B6C"/>
    <w:rsid w:val="00C57BAF"/>
    <w:rsid w:val="00C57C2C"/>
    <w:rsid w:val="00C57C39"/>
    <w:rsid w:val="00C57CE6"/>
    <w:rsid w:val="00C57D84"/>
    <w:rsid w:val="00C57D8A"/>
    <w:rsid w:val="00C57DF9"/>
    <w:rsid w:val="00C57E1C"/>
    <w:rsid w:val="00C57E47"/>
    <w:rsid w:val="00C57E59"/>
    <w:rsid w:val="00C57EDA"/>
    <w:rsid w:val="00C57EE1"/>
    <w:rsid w:val="00C57EF6"/>
    <w:rsid w:val="00C57F03"/>
    <w:rsid w:val="00C57F0B"/>
    <w:rsid w:val="00C57F26"/>
    <w:rsid w:val="00C57F3D"/>
    <w:rsid w:val="00C57F87"/>
    <w:rsid w:val="00C57FAC"/>
    <w:rsid w:val="00C6008E"/>
    <w:rsid w:val="00C600CE"/>
    <w:rsid w:val="00C60180"/>
    <w:rsid w:val="00C60195"/>
    <w:rsid w:val="00C6026A"/>
    <w:rsid w:val="00C60279"/>
    <w:rsid w:val="00C602B1"/>
    <w:rsid w:val="00C602CC"/>
    <w:rsid w:val="00C602F2"/>
    <w:rsid w:val="00C60339"/>
    <w:rsid w:val="00C60398"/>
    <w:rsid w:val="00C603C1"/>
    <w:rsid w:val="00C603CA"/>
    <w:rsid w:val="00C6044B"/>
    <w:rsid w:val="00C60460"/>
    <w:rsid w:val="00C60467"/>
    <w:rsid w:val="00C60468"/>
    <w:rsid w:val="00C60474"/>
    <w:rsid w:val="00C604D5"/>
    <w:rsid w:val="00C604D8"/>
    <w:rsid w:val="00C604E7"/>
    <w:rsid w:val="00C6052F"/>
    <w:rsid w:val="00C60542"/>
    <w:rsid w:val="00C6056A"/>
    <w:rsid w:val="00C60595"/>
    <w:rsid w:val="00C6059C"/>
    <w:rsid w:val="00C6064D"/>
    <w:rsid w:val="00C606B2"/>
    <w:rsid w:val="00C6076E"/>
    <w:rsid w:val="00C60771"/>
    <w:rsid w:val="00C60798"/>
    <w:rsid w:val="00C607F0"/>
    <w:rsid w:val="00C60820"/>
    <w:rsid w:val="00C608B7"/>
    <w:rsid w:val="00C608E0"/>
    <w:rsid w:val="00C608FA"/>
    <w:rsid w:val="00C60930"/>
    <w:rsid w:val="00C60937"/>
    <w:rsid w:val="00C6093B"/>
    <w:rsid w:val="00C6094C"/>
    <w:rsid w:val="00C60957"/>
    <w:rsid w:val="00C6097F"/>
    <w:rsid w:val="00C609EB"/>
    <w:rsid w:val="00C60A7C"/>
    <w:rsid w:val="00C60AAB"/>
    <w:rsid w:val="00C60AD5"/>
    <w:rsid w:val="00C60B11"/>
    <w:rsid w:val="00C60C06"/>
    <w:rsid w:val="00C60C26"/>
    <w:rsid w:val="00C60CAC"/>
    <w:rsid w:val="00C60CE3"/>
    <w:rsid w:val="00C60D1C"/>
    <w:rsid w:val="00C60D40"/>
    <w:rsid w:val="00C60DE2"/>
    <w:rsid w:val="00C60DF7"/>
    <w:rsid w:val="00C60E2B"/>
    <w:rsid w:val="00C60E56"/>
    <w:rsid w:val="00C60E5A"/>
    <w:rsid w:val="00C60E76"/>
    <w:rsid w:val="00C60EC8"/>
    <w:rsid w:val="00C60F44"/>
    <w:rsid w:val="00C60F93"/>
    <w:rsid w:val="00C6100D"/>
    <w:rsid w:val="00C61015"/>
    <w:rsid w:val="00C61035"/>
    <w:rsid w:val="00C61039"/>
    <w:rsid w:val="00C610A9"/>
    <w:rsid w:val="00C610F1"/>
    <w:rsid w:val="00C6110C"/>
    <w:rsid w:val="00C61151"/>
    <w:rsid w:val="00C6116F"/>
    <w:rsid w:val="00C61170"/>
    <w:rsid w:val="00C61173"/>
    <w:rsid w:val="00C61219"/>
    <w:rsid w:val="00C61285"/>
    <w:rsid w:val="00C61338"/>
    <w:rsid w:val="00C61378"/>
    <w:rsid w:val="00C613D1"/>
    <w:rsid w:val="00C613FD"/>
    <w:rsid w:val="00C6147A"/>
    <w:rsid w:val="00C6148B"/>
    <w:rsid w:val="00C614CD"/>
    <w:rsid w:val="00C6150C"/>
    <w:rsid w:val="00C61530"/>
    <w:rsid w:val="00C61582"/>
    <w:rsid w:val="00C61588"/>
    <w:rsid w:val="00C615D4"/>
    <w:rsid w:val="00C615D6"/>
    <w:rsid w:val="00C61608"/>
    <w:rsid w:val="00C6169C"/>
    <w:rsid w:val="00C616EF"/>
    <w:rsid w:val="00C61715"/>
    <w:rsid w:val="00C6176E"/>
    <w:rsid w:val="00C61797"/>
    <w:rsid w:val="00C61820"/>
    <w:rsid w:val="00C6184A"/>
    <w:rsid w:val="00C6187E"/>
    <w:rsid w:val="00C6187F"/>
    <w:rsid w:val="00C61912"/>
    <w:rsid w:val="00C61913"/>
    <w:rsid w:val="00C61939"/>
    <w:rsid w:val="00C6193D"/>
    <w:rsid w:val="00C61946"/>
    <w:rsid w:val="00C619A6"/>
    <w:rsid w:val="00C619EC"/>
    <w:rsid w:val="00C619F2"/>
    <w:rsid w:val="00C61A41"/>
    <w:rsid w:val="00C61A65"/>
    <w:rsid w:val="00C61AEE"/>
    <w:rsid w:val="00C61B03"/>
    <w:rsid w:val="00C61B13"/>
    <w:rsid w:val="00C61C0C"/>
    <w:rsid w:val="00C61C2E"/>
    <w:rsid w:val="00C61C7B"/>
    <w:rsid w:val="00C61C7F"/>
    <w:rsid w:val="00C61CEC"/>
    <w:rsid w:val="00C61D0A"/>
    <w:rsid w:val="00C61D29"/>
    <w:rsid w:val="00C61D64"/>
    <w:rsid w:val="00C61D7E"/>
    <w:rsid w:val="00C61D82"/>
    <w:rsid w:val="00C61EEB"/>
    <w:rsid w:val="00C61F09"/>
    <w:rsid w:val="00C61F15"/>
    <w:rsid w:val="00C61F73"/>
    <w:rsid w:val="00C61FA0"/>
    <w:rsid w:val="00C61FCF"/>
    <w:rsid w:val="00C61FD8"/>
    <w:rsid w:val="00C61FDA"/>
    <w:rsid w:val="00C62005"/>
    <w:rsid w:val="00C6205F"/>
    <w:rsid w:val="00C62063"/>
    <w:rsid w:val="00C6206F"/>
    <w:rsid w:val="00C6208C"/>
    <w:rsid w:val="00C62098"/>
    <w:rsid w:val="00C620B6"/>
    <w:rsid w:val="00C6212F"/>
    <w:rsid w:val="00C62135"/>
    <w:rsid w:val="00C621C8"/>
    <w:rsid w:val="00C62203"/>
    <w:rsid w:val="00C62217"/>
    <w:rsid w:val="00C62239"/>
    <w:rsid w:val="00C62288"/>
    <w:rsid w:val="00C622C3"/>
    <w:rsid w:val="00C62315"/>
    <w:rsid w:val="00C6232F"/>
    <w:rsid w:val="00C62338"/>
    <w:rsid w:val="00C6233D"/>
    <w:rsid w:val="00C6233E"/>
    <w:rsid w:val="00C623DA"/>
    <w:rsid w:val="00C623E5"/>
    <w:rsid w:val="00C623F3"/>
    <w:rsid w:val="00C624B9"/>
    <w:rsid w:val="00C624CC"/>
    <w:rsid w:val="00C624DE"/>
    <w:rsid w:val="00C62541"/>
    <w:rsid w:val="00C62567"/>
    <w:rsid w:val="00C62621"/>
    <w:rsid w:val="00C62659"/>
    <w:rsid w:val="00C6276C"/>
    <w:rsid w:val="00C627CB"/>
    <w:rsid w:val="00C62822"/>
    <w:rsid w:val="00C62835"/>
    <w:rsid w:val="00C6285B"/>
    <w:rsid w:val="00C6287B"/>
    <w:rsid w:val="00C6287D"/>
    <w:rsid w:val="00C62884"/>
    <w:rsid w:val="00C6289F"/>
    <w:rsid w:val="00C62911"/>
    <w:rsid w:val="00C6296C"/>
    <w:rsid w:val="00C629E9"/>
    <w:rsid w:val="00C62A5C"/>
    <w:rsid w:val="00C62A83"/>
    <w:rsid w:val="00C62B4B"/>
    <w:rsid w:val="00C62B72"/>
    <w:rsid w:val="00C62BC1"/>
    <w:rsid w:val="00C62BDC"/>
    <w:rsid w:val="00C62BE2"/>
    <w:rsid w:val="00C62BF3"/>
    <w:rsid w:val="00C62C6F"/>
    <w:rsid w:val="00C62C91"/>
    <w:rsid w:val="00C62CD0"/>
    <w:rsid w:val="00C62D46"/>
    <w:rsid w:val="00C62D54"/>
    <w:rsid w:val="00C62FAE"/>
    <w:rsid w:val="00C62FFE"/>
    <w:rsid w:val="00C63083"/>
    <w:rsid w:val="00C631BC"/>
    <w:rsid w:val="00C631BD"/>
    <w:rsid w:val="00C631D5"/>
    <w:rsid w:val="00C63261"/>
    <w:rsid w:val="00C63288"/>
    <w:rsid w:val="00C632CF"/>
    <w:rsid w:val="00C632E2"/>
    <w:rsid w:val="00C632F7"/>
    <w:rsid w:val="00C6343C"/>
    <w:rsid w:val="00C6345A"/>
    <w:rsid w:val="00C6345B"/>
    <w:rsid w:val="00C63468"/>
    <w:rsid w:val="00C6350E"/>
    <w:rsid w:val="00C63515"/>
    <w:rsid w:val="00C6353B"/>
    <w:rsid w:val="00C6355B"/>
    <w:rsid w:val="00C635AB"/>
    <w:rsid w:val="00C635EA"/>
    <w:rsid w:val="00C63656"/>
    <w:rsid w:val="00C6367C"/>
    <w:rsid w:val="00C636B9"/>
    <w:rsid w:val="00C636EF"/>
    <w:rsid w:val="00C63807"/>
    <w:rsid w:val="00C6383E"/>
    <w:rsid w:val="00C63850"/>
    <w:rsid w:val="00C63874"/>
    <w:rsid w:val="00C63914"/>
    <w:rsid w:val="00C639F2"/>
    <w:rsid w:val="00C63A1B"/>
    <w:rsid w:val="00C63A3B"/>
    <w:rsid w:val="00C63A58"/>
    <w:rsid w:val="00C63A5D"/>
    <w:rsid w:val="00C63A65"/>
    <w:rsid w:val="00C63A6A"/>
    <w:rsid w:val="00C63A76"/>
    <w:rsid w:val="00C63A8A"/>
    <w:rsid w:val="00C63AA2"/>
    <w:rsid w:val="00C63AB2"/>
    <w:rsid w:val="00C63AD1"/>
    <w:rsid w:val="00C63AED"/>
    <w:rsid w:val="00C63B0B"/>
    <w:rsid w:val="00C63B0F"/>
    <w:rsid w:val="00C63B47"/>
    <w:rsid w:val="00C63B51"/>
    <w:rsid w:val="00C63BC0"/>
    <w:rsid w:val="00C63BC8"/>
    <w:rsid w:val="00C63BDB"/>
    <w:rsid w:val="00C63BEC"/>
    <w:rsid w:val="00C63C41"/>
    <w:rsid w:val="00C63C42"/>
    <w:rsid w:val="00C63C62"/>
    <w:rsid w:val="00C63CB9"/>
    <w:rsid w:val="00C63CED"/>
    <w:rsid w:val="00C63D50"/>
    <w:rsid w:val="00C63D73"/>
    <w:rsid w:val="00C63DC6"/>
    <w:rsid w:val="00C63DEC"/>
    <w:rsid w:val="00C63E04"/>
    <w:rsid w:val="00C63E84"/>
    <w:rsid w:val="00C63E9E"/>
    <w:rsid w:val="00C63ED6"/>
    <w:rsid w:val="00C63F0C"/>
    <w:rsid w:val="00C63F75"/>
    <w:rsid w:val="00C63FC8"/>
    <w:rsid w:val="00C64023"/>
    <w:rsid w:val="00C64045"/>
    <w:rsid w:val="00C6405C"/>
    <w:rsid w:val="00C6409A"/>
    <w:rsid w:val="00C640AC"/>
    <w:rsid w:val="00C641C1"/>
    <w:rsid w:val="00C641D0"/>
    <w:rsid w:val="00C6421B"/>
    <w:rsid w:val="00C64240"/>
    <w:rsid w:val="00C64247"/>
    <w:rsid w:val="00C6426D"/>
    <w:rsid w:val="00C64273"/>
    <w:rsid w:val="00C642BF"/>
    <w:rsid w:val="00C64330"/>
    <w:rsid w:val="00C64365"/>
    <w:rsid w:val="00C6436A"/>
    <w:rsid w:val="00C643A7"/>
    <w:rsid w:val="00C643ED"/>
    <w:rsid w:val="00C643FF"/>
    <w:rsid w:val="00C64403"/>
    <w:rsid w:val="00C64436"/>
    <w:rsid w:val="00C6446F"/>
    <w:rsid w:val="00C64483"/>
    <w:rsid w:val="00C6448E"/>
    <w:rsid w:val="00C644B4"/>
    <w:rsid w:val="00C644FC"/>
    <w:rsid w:val="00C6451E"/>
    <w:rsid w:val="00C64567"/>
    <w:rsid w:val="00C64618"/>
    <w:rsid w:val="00C64644"/>
    <w:rsid w:val="00C646FD"/>
    <w:rsid w:val="00C647B0"/>
    <w:rsid w:val="00C647D5"/>
    <w:rsid w:val="00C647D8"/>
    <w:rsid w:val="00C647F9"/>
    <w:rsid w:val="00C6494B"/>
    <w:rsid w:val="00C6495B"/>
    <w:rsid w:val="00C64A61"/>
    <w:rsid w:val="00C64AD4"/>
    <w:rsid w:val="00C64BA5"/>
    <w:rsid w:val="00C64BF2"/>
    <w:rsid w:val="00C64C7A"/>
    <w:rsid w:val="00C64CBC"/>
    <w:rsid w:val="00C64D6C"/>
    <w:rsid w:val="00C64D74"/>
    <w:rsid w:val="00C64D7D"/>
    <w:rsid w:val="00C64DEE"/>
    <w:rsid w:val="00C64DFF"/>
    <w:rsid w:val="00C64E73"/>
    <w:rsid w:val="00C64E8B"/>
    <w:rsid w:val="00C64E8F"/>
    <w:rsid w:val="00C64EE3"/>
    <w:rsid w:val="00C65014"/>
    <w:rsid w:val="00C651CA"/>
    <w:rsid w:val="00C651D5"/>
    <w:rsid w:val="00C651E0"/>
    <w:rsid w:val="00C651FF"/>
    <w:rsid w:val="00C65208"/>
    <w:rsid w:val="00C6522F"/>
    <w:rsid w:val="00C65250"/>
    <w:rsid w:val="00C6526C"/>
    <w:rsid w:val="00C65275"/>
    <w:rsid w:val="00C6527B"/>
    <w:rsid w:val="00C65293"/>
    <w:rsid w:val="00C652B2"/>
    <w:rsid w:val="00C652BF"/>
    <w:rsid w:val="00C6531A"/>
    <w:rsid w:val="00C65325"/>
    <w:rsid w:val="00C65354"/>
    <w:rsid w:val="00C653AD"/>
    <w:rsid w:val="00C6544E"/>
    <w:rsid w:val="00C6549C"/>
    <w:rsid w:val="00C65527"/>
    <w:rsid w:val="00C65539"/>
    <w:rsid w:val="00C65580"/>
    <w:rsid w:val="00C65608"/>
    <w:rsid w:val="00C65622"/>
    <w:rsid w:val="00C65660"/>
    <w:rsid w:val="00C65675"/>
    <w:rsid w:val="00C65690"/>
    <w:rsid w:val="00C656C0"/>
    <w:rsid w:val="00C656C1"/>
    <w:rsid w:val="00C65729"/>
    <w:rsid w:val="00C6578E"/>
    <w:rsid w:val="00C65797"/>
    <w:rsid w:val="00C657D7"/>
    <w:rsid w:val="00C6580A"/>
    <w:rsid w:val="00C65823"/>
    <w:rsid w:val="00C6584D"/>
    <w:rsid w:val="00C6584F"/>
    <w:rsid w:val="00C65879"/>
    <w:rsid w:val="00C658B7"/>
    <w:rsid w:val="00C658BA"/>
    <w:rsid w:val="00C65956"/>
    <w:rsid w:val="00C65960"/>
    <w:rsid w:val="00C659D3"/>
    <w:rsid w:val="00C65A14"/>
    <w:rsid w:val="00C65A2C"/>
    <w:rsid w:val="00C65B0C"/>
    <w:rsid w:val="00C65B13"/>
    <w:rsid w:val="00C65B15"/>
    <w:rsid w:val="00C65B6F"/>
    <w:rsid w:val="00C65B9D"/>
    <w:rsid w:val="00C65CAD"/>
    <w:rsid w:val="00C65D2A"/>
    <w:rsid w:val="00C65D5D"/>
    <w:rsid w:val="00C65DA3"/>
    <w:rsid w:val="00C65DA8"/>
    <w:rsid w:val="00C65DBB"/>
    <w:rsid w:val="00C65DD9"/>
    <w:rsid w:val="00C65E0F"/>
    <w:rsid w:val="00C65E31"/>
    <w:rsid w:val="00C65E5F"/>
    <w:rsid w:val="00C65E91"/>
    <w:rsid w:val="00C65E9D"/>
    <w:rsid w:val="00C65F25"/>
    <w:rsid w:val="00C65F64"/>
    <w:rsid w:val="00C65F9B"/>
    <w:rsid w:val="00C65F9E"/>
    <w:rsid w:val="00C65FC4"/>
    <w:rsid w:val="00C65FC7"/>
    <w:rsid w:val="00C660FB"/>
    <w:rsid w:val="00C661DE"/>
    <w:rsid w:val="00C661E5"/>
    <w:rsid w:val="00C66215"/>
    <w:rsid w:val="00C66290"/>
    <w:rsid w:val="00C66310"/>
    <w:rsid w:val="00C6631D"/>
    <w:rsid w:val="00C66385"/>
    <w:rsid w:val="00C663B5"/>
    <w:rsid w:val="00C66417"/>
    <w:rsid w:val="00C6641B"/>
    <w:rsid w:val="00C66457"/>
    <w:rsid w:val="00C664B0"/>
    <w:rsid w:val="00C66529"/>
    <w:rsid w:val="00C66535"/>
    <w:rsid w:val="00C665B7"/>
    <w:rsid w:val="00C665C3"/>
    <w:rsid w:val="00C665FE"/>
    <w:rsid w:val="00C6665D"/>
    <w:rsid w:val="00C666EB"/>
    <w:rsid w:val="00C6671B"/>
    <w:rsid w:val="00C66754"/>
    <w:rsid w:val="00C6677E"/>
    <w:rsid w:val="00C667A1"/>
    <w:rsid w:val="00C669E0"/>
    <w:rsid w:val="00C66A56"/>
    <w:rsid w:val="00C66AAE"/>
    <w:rsid w:val="00C66B1B"/>
    <w:rsid w:val="00C66B52"/>
    <w:rsid w:val="00C66B71"/>
    <w:rsid w:val="00C66BEC"/>
    <w:rsid w:val="00C66C09"/>
    <w:rsid w:val="00C66C21"/>
    <w:rsid w:val="00C66C50"/>
    <w:rsid w:val="00C66CBE"/>
    <w:rsid w:val="00C66CCE"/>
    <w:rsid w:val="00C66CD4"/>
    <w:rsid w:val="00C66D8D"/>
    <w:rsid w:val="00C66D8E"/>
    <w:rsid w:val="00C66DC3"/>
    <w:rsid w:val="00C66EC5"/>
    <w:rsid w:val="00C66EEA"/>
    <w:rsid w:val="00C66FE3"/>
    <w:rsid w:val="00C66FFD"/>
    <w:rsid w:val="00C6709E"/>
    <w:rsid w:val="00C670BC"/>
    <w:rsid w:val="00C670FB"/>
    <w:rsid w:val="00C67111"/>
    <w:rsid w:val="00C67136"/>
    <w:rsid w:val="00C671B9"/>
    <w:rsid w:val="00C671C6"/>
    <w:rsid w:val="00C671CA"/>
    <w:rsid w:val="00C672CA"/>
    <w:rsid w:val="00C67396"/>
    <w:rsid w:val="00C673D9"/>
    <w:rsid w:val="00C673F6"/>
    <w:rsid w:val="00C67449"/>
    <w:rsid w:val="00C67451"/>
    <w:rsid w:val="00C67457"/>
    <w:rsid w:val="00C67468"/>
    <w:rsid w:val="00C674E0"/>
    <w:rsid w:val="00C674EE"/>
    <w:rsid w:val="00C67518"/>
    <w:rsid w:val="00C67588"/>
    <w:rsid w:val="00C67603"/>
    <w:rsid w:val="00C67606"/>
    <w:rsid w:val="00C67671"/>
    <w:rsid w:val="00C6767B"/>
    <w:rsid w:val="00C676A2"/>
    <w:rsid w:val="00C676AE"/>
    <w:rsid w:val="00C676B1"/>
    <w:rsid w:val="00C6771C"/>
    <w:rsid w:val="00C67831"/>
    <w:rsid w:val="00C67840"/>
    <w:rsid w:val="00C67880"/>
    <w:rsid w:val="00C67892"/>
    <w:rsid w:val="00C67902"/>
    <w:rsid w:val="00C6793F"/>
    <w:rsid w:val="00C679AF"/>
    <w:rsid w:val="00C679C4"/>
    <w:rsid w:val="00C67A2E"/>
    <w:rsid w:val="00C67A73"/>
    <w:rsid w:val="00C67AA9"/>
    <w:rsid w:val="00C67B85"/>
    <w:rsid w:val="00C67B93"/>
    <w:rsid w:val="00C67BEF"/>
    <w:rsid w:val="00C67C9A"/>
    <w:rsid w:val="00C67E14"/>
    <w:rsid w:val="00C67E5B"/>
    <w:rsid w:val="00C67E98"/>
    <w:rsid w:val="00C67EC5"/>
    <w:rsid w:val="00C67EE4"/>
    <w:rsid w:val="00C67EF1"/>
    <w:rsid w:val="00C67EF8"/>
    <w:rsid w:val="00C67F49"/>
    <w:rsid w:val="00C67F64"/>
    <w:rsid w:val="00C67F74"/>
    <w:rsid w:val="00C67FE3"/>
    <w:rsid w:val="00C67FED"/>
    <w:rsid w:val="00C7009D"/>
    <w:rsid w:val="00C70123"/>
    <w:rsid w:val="00C701B0"/>
    <w:rsid w:val="00C701C4"/>
    <w:rsid w:val="00C70256"/>
    <w:rsid w:val="00C70296"/>
    <w:rsid w:val="00C702B2"/>
    <w:rsid w:val="00C702EA"/>
    <w:rsid w:val="00C70301"/>
    <w:rsid w:val="00C70306"/>
    <w:rsid w:val="00C70323"/>
    <w:rsid w:val="00C7035C"/>
    <w:rsid w:val="00C704E2"/>
    <w:rsid w:val="00C705A5"/>
    <w:rsid w:val="00C705B3"/>
    <w:rsid w:val="00C705B8"/>
    <w:rsid w:val="00C705CC"/>
    <w:rsid w:val="00C70657"/>
    <w:rsid w:val="00C70678"/>
    <w:rsid w:val="00C706CB"/>
    <w:rsid w:val="00C706DF"/>
    <w:rsid w:val="00C706F9"/>
    <w:rsid w:val="00C7076A"/>
    <w:rsid w:val="00C7077F"/>
    <w:rsid w:val="00C70798"/>
    <w:rsid w:val="00C708A7"/>
    <w:rsid w:val="00C708E3"/>
    <w:rsid w:val="00C70950"/>
    <w:rsid w:val="00C709CE"/>
    <w:rsid w:val="00C709E8"/>
    <w:rsid w:val="00C70A11"/>
    <w:rsid w:val="00C70B01"/>
    <w:rsid w:val="00C70BF0"/>
    <w:rsid w:val="00C70C21"/>
    <w:rsid w:val="00C70C47"/>
    <w:rsid w:val="00C70C97"/>
    <w:rsid w:val="00C70CA8"/>
    <w:rsid w:val="00C70CB6"/>
    <w:rsid w:val="00C70D44"/>
    <w:rsid w:val="00C70D90"/>
    <w:rsid w:val="00C70DA5"/>
    <w:rsid w:val="00C70DE1"/>
    <w:rsid w:val="00C70DED"/>
    <w:rsid w:val="00C70E3A"/>
    <w:rsid w:val="00C70E4C"/>
    <w:rsid w:val="00C70E8E"/>
    <w:rsid w:val="00C70EE5"/>
    <w:rsid w:val="00C70FB5"/>
    <w:rsid w:val="00C71021"/>
    <w:rsid w:val="00C71076"/>
    <w:rsid w:val="00C710D9"/>
    <w:rsid w:val="00C7110C"/>
    <w:rsid w:val="00C71112"/>
    <w:rsid w:val="00C7119A"/>
    <w:rsid w:val="00C7127B"/>
    <w:rsid w:val="00C71332"/>
    <w:rsid w:val="00C71361"/>
    <w:rsid w:val="00C713A7"/>
    <w:rsid w:val="00C713D4"/>
    <w:rsid w:val="00C71422"/>
    <w:rsid w:val="00C714B7"/>
    <w:rsid w:val="00C714B8"/>
    <w:rsid w:val="00C714D5"/>
    <w:rsid w:val="00C71556"/>
    <w:rsid w:val="00C7155F"/>
    <w:rsid w:val="00C7156E"/>
    <w:rsid w:val="00C71596"/>
    <w:rsid w:val="00C715E2"/>
    <w:rsid w:val="00C71634"/>
    <w:rsid w:val="00C716DF"/>
    <w:rsid w:val="00C71787"/>
    <w:rsid w:val="00C717C3"/>
    <w:rsid w:val="00C717DB"/>
    <w:rsid w:val="00C717EB"/>
    <w:rsid w:val="00C71887"/>
    <w:rsid w:val="00C718B1"/>
    <w:rsid w:val="00C718F3"/>
    <w:rsid w:val="00C7190F"/>
    <w:rsid w:val="00C7192A"/>
    <w:rsid w:val="00C71955"/>
    <w:rsid w:val="00C71964"/>
    <w:rsid w:val="00C71978"/>
    <w:rsid w:val="00C719CE"/>
    <w:rsid w:val="00C71A3D"/>
    <w:rsid w:val="00C71A89"/>
    <w:rsid w:val="00C71AC1"/>
    <w:rsid w:val="00C71AEF"/>
    <w:rsid w:val="00C71B20"/>
    <w:rsid w:val="00C71B2A"/>
    <w:rsid w:val="00C71B63"/>
    <w:rsid w:val="00C71B7E"/>
    <w:rsid w:val="00C71C74"/>
    <w:rsid w:val="00C71CD5"/>
    <w:rsid w:val="00C71D35"/>
    <w:rsid w:val="00C71D5A"/>
    <w:rsid w:val="00C71D75"/>
    <w:rsid w:val="00C71D83"/>
    <w:rsid w:val="00C71D98"/>
    <w:rsid w:val="00C71DA6"/>
    <w:rsid w:val="00C71DD5"/>
    <w:rsid w:val="00C71E51"/>
    <w:rsid w:val="00C71E9E"/>
    <w:rsid w:val="00C71EC5"/>
    <w:rsid w:val="00C71ED8"/>
    <w:rsid w:val="00C71F05"/>
    <w:rsid w:val="00C71F65"/>
    <w:rsid w:val="00C71FD6"/>
    <w:rsid w:val="00C7200D"/>
    <w:rsid w:val="00C7201E"/>
    <w:rsid w:val="00C72024"/>
    <w:rsid w:val="00C72061"/>
    <w:rsid w:val="00C72081"/>
    <w:rsid w:val="00C72104"/>
    <w:rsid w:val="00C72134"/>
    <w:rsid w:val="00C72155"/>
    <w:rsid w:val="00C721B3"/>
    <w:rsid w:val="00C7224D"/>
    <w:rsid w:val="00C722F6"/>
    <w:rsid w:val="00C723C7"/>
    <w:rsid w:val="00C72402"/>
    <w:rsid w:val="00C72403"/>
    <w:rsid w:val="00C7241E"/>
    <w:rsid w:val="00C72491"/>
    <w:rsid w:val="00C72494"/>
    <w:rsid w:val="00C724FE"/>
    <w:rsid w:val="00C7255C"/>
    <w:rsid w:val="00C72597"/>
    <w:rsid w:val="00C72601"/>
    <w:rsid w:val="00C72625"/>
    <w:rsid w:val="00C72674"/>
    <w:rsid w:val="00C726B6"/>
    <w:rsid w:val="00C726D5"/>
    <w:rsid w:val="00C72741"/>
    <w:rsid w:val="00C7277B"/>
    <w:rsid w:val="00C727BC"/>
    <w:rsid w:val="00C727D2"/>
    <w:rsid w:val="00C7284C"/>
    <w:rsid w:val="00C72874"/>
    <w:rsid w:val="00C72909"/>
    <w:rsid w:val="00C72926"/>
    <w:rsid w:val="00C72929"/>
    <w:rsid w:val="00C729A3"/>
    <w:rsid w:val="00C729D2"/>
    <w:rsid w:val="00C72A88"/>
    <w:rsid w:val="00C72A8D"/>
    <w:rsid w:val="00C72A8E"/>
    <w:rsid w:val="00C72C38"/>
    <w:rsid w:val="00C72C57"/>
    <w:rsid w:val="00C72CC9"/>
    <w:rsid w:val="00C72CEC"/>
    <w:rsid w:val="00C72D21"/>
    <w:rsid w:val="00C72D2D"/>
    <w:rsid w:val="00C72D56"/>
    <w:rsid w:val="00C72D5B"/>
    <w:rsid w:val="00C72D60"/>
    <w:rsid w:val="00C72E2D"/>
    <w:rsid w:val="00C72E3A"/>
    <w:rsid w:val="00C72E44"/>
    <w:rsid w:val="00C72EB1"/>
    <w:rsid w:val="00C72EF4"/>
    <w:rsid w:val="00C72F21"/>
    <w:rsid w:val="00C72F50"/>
    <w:rsid w:val="00C7301A"/>
    <w:rsid w:val="00C73095"/>
    <w:rsid w:val="00C730CE"/>
    <w:rsid w:val="00C730D8"/>
    <w:rsid w:val="00C73103"/>
    <w:rsid w:val="00C7310B"/>
    <w:rsid w:val="00C73131"/>
    <w:rsid w:val="00C73151"/>
    <w:rsid w:val="00C7315C"/>
    <w:rsid w:val="00C7315F"/>
    <w:rsid w:val="00C73172"/>
    <w:rsid w:val="00C7322E"/>
    <w:rsid w:val="00C73234"/>
    <w:rsid w:val="00C732C5"/>
    <w:rsid w:val="00C7330C"/>
    <w:rsid w:val="00C7331E"/>
    <w:rsid w:val="00C73348"/>
    <w:rsid w:val="00C733D4"/>
    <w:rsid w:val="00C73406"/>
    <w:rsid w:val="00C73475"/>
    <w:rsid w:val="00C734DA"/>
    <w:rsid w:val="00C735B9"/>
    <w:rsid w:val="00C73677"/>
    <w:rsid w:val="00C736AE"/>
    <w:rsid w:val="00C73796"/>
    <w:rsid w:val="00C7382B"/>
    <w:rsid w:val="00C73A0E"/>
    <w:rsid w:val="00C73A9B"/>
    <w:rsid w:val="00C73AA2"/>
    <w:rsid w:val="00C73B16"/>
    <w:rsid w:val="00C73B29"/>
    <w:rsid w:val="00C73B4C"/>
    <w:rsid w:val="00C73B73"/>
    <w:rsid w:val="00C73BA2"/>
    <w:rsid w:val="00C73BAA"/>
    <w:rsid w:val="00C73C0A"/>
    <w:rsid w:val="00C73C74"/>
    <w:rsid w:val="00C73CA7"/>
    <w:rsid w:val="00C73CAA"/>
    <w:rsid w:val="00C73CC2"/>
    <w:rsid w:val="00C73CDD"/>
    <w:rsid w:val="00C73CE0"/>
    <w:rsid w:val="00C73D18"/>
    <w:rsid w:val="00C73D82"/>
    <w:rsid w:val="00C73DA9"/>
    <w:rsid w:val="00C73DCD"/>
    <w:rsid w:val="00C73E41"/>
    <w:rsid w:val="00C73E45"/>
    <w:rsid w:val="00C73E47"/>
    <w:rsid w:val="00C73E77"/>
    <w:rsid w:val="00C73E7F"/>
    <w:rsid w:val="00C73E8C"/>
    <w:rsid w:val="00C73ED4"/>
    <w:rsid w:val="00C73F9F"/>
    <w:rsid w:val="00C740F5"/>
    <w:rsid w:val="00C7410C"/>
    <w:rsid w:val="00C74133"/>
    <w:rsid w:val="00C741D2"/>
    <w:rsid w:val="00C741E4"/>
    <w:rsid w:val="00C74265"/>
    <w:rsid w:val="00C742EB"/>
    <w:rsid w:val="00C74346"/>
    <w:rsid w:val="00C743EF"/>
    <w:rsid w:val="00C7442E"/>
    <w:rsid w:val="00C7449B"/>
    <w:rsid w:val="00C744FE"/>
    <w:rsid w:val="00C74540"/>
    <w:rsid w:val="00C745AB"/>
    <w:rsid w:val="00C745B0"/>
    <w:rsid w:val="00C745B3"/>
    <w:rsid w:val="00C7466C"/>
    <w:rsid w:val="00C746B0"/>
    <w:rsid w:val="00C746C6"/>
    <w:rsid w:val="00C746FC"/>
    <w:rsid w:val="00C746FF"/>
    <w:rsid w:val="00C74726"/>
    <w:rsid w:val="00C7477E"/>
    <w:rsid w:val="00C7479F"/>
    <w:rsid w:val="00C74815"/>
    <w:rsid w:val="00C74817"/>
    <w:rsid w:val="00C748CF"/>
    <w:rsid w:val="00C74936"/>
    <w:rsid w:val="00C74983"/>
    <w:rsid w:val="00C749F1"/>
    <w:rsid w:val="00C749F6"/>
    <w:rsid w:val="00C749FA"/>
    <w:rsid w:val="00C74A33"/>
    <w:rsid w:val="00C74B14"/>
    <w:rsid w:val="00C74B1A"/>
    <w:rsid w:val="00C74B98"/>
    <w:rsid w:val="00C74B9D"/>
    <w:rsid w:val="00C74BE7"/>
    <w:rsid w:val="00C74C1A"/>
    <w:rsid w:val="00C74C52"/>
    <w:rsid w:val="00C74CDB"/>
    <w:rsid w:val="00C74CF0"/>
    <w:rsid w:val="00C74D13"/>
    <w:rsid w:val="00C74DC9"/>
    <w:rsid w:val="00C74DE4"/>
    <w:rsid w:val="00C74E08"/>
    <w:rsid w:val="00C74E0D"/>
    <w:rsid w:val="00C74E97"/>
    <w:rsid w:val="00C74EEC"/>
    <w:rsid w:val="00C74F04"/>
    <w:rsid w:val="00C74F30"/>
    <w:rsid w:val="00C74F79"/>
    <w:rsid w:val="00C74F81"/>
    <w:rsid w:val="00C74F8C"/>
    <w:rsid w:val="00C74FB7"/>
    <w:rsid w:val="00C74FE6"/>
    <w:rsid w:val="00C75042"/>
    <w:rsid w:val="00C7507B"/>
    <w:rsid w:val="00C750EF"/>
    <w:rsid w:val="00C75102"/>
    <w:rsid w:val="00C75118"/>
    <w:rsid w:val="00C7513E"/>
    <w:rsid w:val="00C7518F"/>
    <w:rsid w:val="00C75340"/>
    <w:rsid w:val="00C75347"/>
    <w:rsid w:val="00C7534F"/>
    <w:rsid w:val="00C75357"/>
    <w:rsid w:val="00C75373"/>
    <w:rsid w:val="00C7538F"/>
    <w:rsid w:val="00C753CC"/>
    <w:rsid w:val="00C75411"/>
    <w:rsid w:val="00C75462"/>
    <w:rsid w:val="00C7546C"/>
    <w:rsid w:val="00C754C0"/>
    <w:rsid w:val="00C754F6"/>
    <w:rsid w:val="00C75574"/>
    <w:rsid w:val="00C755C5"/>
    <w:rsid w:val="00C75642"/>
    <w:rsid w:val="00C75648"/>
    <w:rsid w:val="00C7569C"/>
    <w:rsid w:val="00C75757"/>
    <w:rsid w:val="00C75784"/>
    <w:rsid w:val="00C757EA"/>
    <w:rsid w:val="00C757FE"/>
    <w:rsid w:val="00C75878"/>
    <w:rsid w:val="00C758F9"/>
    <w:rsid w:val="00C7590E"/>
    <w:rsid w:val="00C75920"/>
    <w:rsid w:val="00C75924"/>
    <w:rsid w:val="00C7592C"/>
    <w:rsid w:val="00C7593E"/>
    <w:rsid w:val="00C75971"/>
    <w:rsid w:val="00C75984"/>
    <w:rsid w:val="00C75997"/>
    <w:rsid w:val="00C75A24"/>
    <w:rsid w:val="00C75A41"/>
    <w:rsid w:val="00C75AEC"/>
    <w:rsid w:val="00C75B02"/>
    <w:rsid w:val="00C75B87"/>
    <w:rsid w:val="00C75BA9"/>
    <w:rsid w:val="00C75BC4"/>
    <w:rsid w:val="00C75CD8"/>
    <w:rsid w:val="00C75D5C"/>
    <w:rsid w:val="00C75D60"/>
    <w:rsid w:val="00C75D85"/>
    <w:rsid w:val="00C75DC7"/>
    <w:rsid w:val="00C75DFA"/>
    <w:rsid w:val="00C75E1C"/>
    <w:rsid w:val="00C75E22"/>
    <w:rsid w:val="00C75E84"/>
    <w:rsid w:val="00C75E94"/>
    <w:rsid w:val="00C75E9E"/>
    <w:rsid w:val="00C75EA5"/>
    <w:rsid w:val="00C75EAF"/>
    <w:rsid w:val="00C75F4A"/>
    <w:rsid w:val="00C75FDB"/>
    <w:rsid w:val="00C75FE8"/>
    <w:rsid w:val="00C76010"/>
    <w:rsid w:val="00C76028"/>
    <w:rsid w:val="00C76069"/>
    <w:rsid w:val="00C7606E"/>
    <w:rsid w:val="00C760A0"/>
    <w:rsid w:val="00C760F1"/>
    <w:rsid w:val="00C760FA"/>
    <w:rsid w:val="00C76184"/>
    <w:rsid w:val="00C76199"/>
    <w:rsid w:val="00C7619A"/>
    <w:rsid w:val="00C76213"/>
    <w:rsid w:val="00C76251"/>
    <w:rsid w:val="00C762AC"/>
    <w:rsid w:val="00C762DB"/>
    <w:rsid w:val="00C7635D"/>
    <w:rsid w:val="00C76363"/>
    <w:rsid w:val="00C76367"/>
    <w:rsid w:val="00C76374"/>
    <w:rsid w:val="00C76397"/>
    <w:rsid w:val="00C763D5"/>
    <w:rsid w:val="00C7644C"/>
    <w:rsid w:val="00C7649F"/>
    <w:rsid w:val="00C764DE"/>
    <w:rsid w:val="00C764F6"/>
    <w:rsid w:val="00C765B0"/>
    <w:rsid w:val="00C765C3"/>
    <w:rsid w:val="00C76648"/>
    <w:rsid w:val="00C766BE"/>
    <w:rsid w:val="00C766C3"/>
    <w:rsid w:val="00C766F6"/>
    <w:rsid w:val="00C76790"/>
    <w:rsid w:val="00C767BC"/>
    <w:rsid w:val="00C767EF"/>
    <w:rsid w:val="00C76859"/>
    <w:rsid w:val="00C76867"/>
    <w:rsid w:val="00C76869"/>
    <w:rsid w:val="00C768F2"/>
    <w:rsid w:val="00C76961"/>
    <w:rsid w:val="00C769A7"/>
    <w:rsid w:val="00C76A1A"/>
    <w:rsid w:val="00C76A31"/>
    <w:rsid w:val="00C76A85"/>
    <w:rsid w:val="00C76A87"/>
    <w:rsid w:val="00C76AA8"/>
    <w:rsid w:val="00C76AC0"/>
    <w:rsid w:val="00C76AD3"/>
    <w:rsid w:val="00C76AE3"/>
    <w:rsid w:val="00C76B4B"/>
    <w:rsid w:val="00C76B6B"/>
    <w:rsid w:val="00C76BD5"/>
    <w:rsid w:val="00C76BEF"/>
    <w:rsid w:val="00C76BFD"/>
    <w:rsid w:val="00C76C38"/>
    <w:rsid w:val="00C76D29"/>
    <w:rsid w:val="00C76D33"/>
    <w:rsid w:val="00C76DB6"/>
    <w:rsid w:val="00C76DB7"/>
    <w:rsid w:val="00C76DBE"/>
    <w:rsid w:val="00C76EAC"/>
    <w:rsid w:val="00C76EAE"/>
    <w:rsid w:val="00C76F49"/>
    <w:rsid w:val="00C76FB6"/>
    <w:rsid w:val="00C76FC7"/>
    <w:rsid w:val="00C77033"/>
    <w:rsid w:val="00C770BD"/>
    <w:rsid w:val="00C770E6"/>
    <w:rsid w:val="00C77102"/>
    <w:rsid w:val="00C77125"/>
    <w:rsid w:val="00C771AA"/>
    <w:rsid w:val="00C7724B"/>
    <w:rsid w:val="00C7725F"/>
    <w:rsid w:val="00C772B8"/>
    <w:rsid w:val="00C77328"/>
    <w:rsid w:val="00C7736C"/>
    <w:rsid w:val="00C7739E"/>
    <w:rsid w:val="00C773F7"/>
    <w:rsid w:val="00C77438"/>
    <w:rsid w:val="00C77465"/>
    <w:rsid w:val="00C7748A"/>
    <w:rsid w:val="00C77520"/>
    <w:rsid w:val="00C77568"/>
    <w:rsid w:val="00C77600"/>
    <w:rsid w:val="00C77687"/>
    <w:rsid w:val="00C7768F"/>
    <w:rsid w:val="00C776B3"/>
    <w:rsid w:val="00C776E2"/>
    <w:rsid w:val="00C77765"/>
    <w:rsid w:val="00C777A1"/>
    <w:rsid w:val="00C77822"/>
    <w:rsid w:val="00C778FD"/>
    <w:rsid w:val="00C77947"/>
    <w:rsid w:val="00C77953"/>
    <w:rsid w:val="00C77A44"/>
    <w:rsid w:val="00C77A6E"/>
    <w:rsid w:val="00C77A70"/>
    <w:rsid w:val="00C77A71"/>
    <w:rsid w:val="00C77A99"/>
    <w:rsid w:val="00C77AF1"/>
    <w:rsid w:val="00C77B2C"/>
    <w:rsid w:val="00C77BC0"/>
    <w:rsid w:val="00C77BC5"/>
    <w:rsid w:val="00C77BC7"/>
    <w:rsid w:val="00C77BD8"/>
    <w:rsid w:val="00C77BE0"/>
    <w:rsid w:val="00C77C02"/>
    <w:rsid w:val="00C77C17"/>
    <w:rsid w:val="00C77C44"/>
    <w:rsid w:val="00C77D0D"/>
    <w:rsid w:val="00C77D96"/>
    <w:rsid w:val="00C77DA9"/>
    <w:rsid w:val="00C77DD1"/>
    <w:rsid w:val="00C77F04"/>
    <w:rsid w:val="00C77F88"/>
    <w:rsid w:val="00C77FB7"/>
    <w:rsid w:val="00C80083"/>
    <w:rsid w:val="00C80089"/>
    <w:rsid w:val="00C80098"/>
    <w:rsid w:val="00C80100"/>
    <w:rsid w:val="00C80115"/>
    <w:rsid w:val="00C80127"/>
    <w:rsid w:val="00C80135"/>
    <w:rsid w:val="00C80235"/>
    <w:rsid w:val="00C8023B"/>
    <w:rsid w:val="00C8025B"/>
    <w:rsid w:val="00C80269"/>
    <w:rsid w:val="00C80284"/>
    <w:rsid w:val="00C80317"/>
    <w:rsid w:val="00C80323"/>
    <w:rsid w:val="00C8039C"/>
    <w:rsid w:val="00C80421"/>
    <w:rsid w:val="00C80433"/>
    <w:rsid w:val="00C80488"/>
    <w:rsid w:val="00C804BE"/>
    <w:rsid w:val="00C8050A"/>
    <w:rsid w:val="00C8058A"/>
    <w:rsid w:val="00C805D4"/>
    <w:rsid w:val="00C805EE"/>
    <w:rsid w:val="00C8060A"/>
    <w:rsid w:val="00C80652"/>
    <w:rsid w:val="00C8070F"/>
    <w:rsid w:val="00C80732"/>
    <w:rsid w:val="00C8077B"/>
    <w:rsid w:val="00C80831"/>
    <w:rsid w:val="00C80855"/>
    <w:rsid w:val="00C80862"/>
    <w:rsid w:val="00C8086D"/>
    <w:rsid w:val="00C8089D"/>
    <w:rsid w:val="00C80925"/>
    <w:rsid w:val="00C809F4"/>
    <w:rsid w:val="00C80A13"/>
    <w:rsid w:val="00C80ADC"/>
    <w:rsid w:val="00C80B73"/>
    <w:rsid w:val="00C80B90"/>
    <w:rsid w:val="00C80B91"/>
    <w:rsid w:val="00C80B96"/>
    <w:rsid w:val="00C80BAE"/>
    <w:rsid w:val="00C80CAB"/>
    <w:rsid w:val="00C80CB5"/>
    <w:rsid w:val="00C80CC6"/>
    <w:rsid w:val="00C80D31"/>
    <w:rsid w:val="00C80D37"/>
    <w:rsid w:val="00C80D67"/>
    <w:rsid w:val="00C80DA4"/>
    <w:rsid w:val="00C80DBF"/>
    <w:rsid w:val="00C80E1D"/>
    <w:rsid w:val="00C80E24"/>
    <w:rsid w:val="00C80E3B"/>
    <w:rsid w:val="00C80E4D"/>
    <w:rsid w:val="00C80EB8"/>
    <w:rsid w:val="00C80EE5"/>
    <w:rsid w:val="00C80F16"/>
    <w:rsid w:val="00C80FA8"/>
    <w:rsid w:val="00C80FC0"/>
    <w:rsid w:val="00C80FF3"/>
    <w:rsid w:val="00C8104E"/>
    <w:rsid w:val="00C8106B"/>
    <w:rsid w:val="00C81087"/>
    <w:rsid w:val="00C8120E"/>
    <w:rsid w:val="00C81227"/>
    <w:rsid w:val="00C81244"/>
    <w:rsid w:val="00C81281"/>
    <w:rsid w:val="00C81298"/>
    <w:rsid w:val="00C81338"/>
    <w:rsid w:val="00C81343"/>
    <w:rsid w:val="00C81367"/>
    <w:rsid w:val="00C81438"/>
    <w:rsid w:val="00C814BB"/>
    <w:rsid w:val="00C8150F"/>
    <w:rsid w:val="00C81548"/>
    <w:rsid w:val="00C81562"/>
    <w:rsid w:val="00C81571"/>
    <w:rsid w:val="00C815C1"/>
    <w:rsid w:val="00C815D0"/>
    <w:rsid w:val="00C81602"/>
    <w:rsid w:val="00C8160B"/>
    <w:rsid w:val="00C81616"/>
    <w:rsid w:val="00C81622"/>
    <w:rsid w:val="00C81643"/>
    <w:rsid w:val="00C816E1"/>
    <w:rsid w:val="00C816FD"/>
    <w:rsid w:val="00C8175A"/>
    <w:rsid w:val="00C8178C"/>
    <w:rsid w:val="00C81794"/>
    <w:rsid w:val="00C817DC"/>
    <w:rsid w:val="00C817F6"/>
    <w:rsid w:val="00C817FE"/>
    <w:rsid w:val="00C81810"/>
    <w:rsid w:val="00C8184D"/>
    <w:rsid w:val="00C818C5"/>
    <w:rsid w:val="00C818C7"/>
    <w:rsid w:val="00C818D6"/>
    <w:rsid w:val="00C81973"/>
    <w:rsid w:val="00C819A0"/>
    <w:rsid w:val="00C819F2"/>
    <w:rsid w:val="00C819FD"/>
    <w:rsid w:val="00C81A2D"/>
    <w:rsid w:val="00C81A64"/>
    <w:rsid w:val="00C81AAA"/>
    <w:rsid w:val="00C81B45"/>
    <w:rsid w:val="00C81B4E"/>
    <w:rsid w:val="00C81B64"/>
    <w:rsid w:val="00C81B68"/>
    <w:rsid w:val="00C81BD2"/>
    <w:rsid w:val="00C81BF1"/>
    <w:rsid w:val="00C81C1C"/>
    <w:rsid w:val="00C81C28"/>
    <w:rsid w:val="00C81C95"/>
    <w:rsid w:val="00C81CE2"/>
    <w:rsid w:val="00C81CE7"/>
    <w:rsid w:val="00C81D48"/>
    <w:rsid w:val="00C81DB7"/>
    <w:rsid w:val="00C81DCF"/>
    <w:rsid w:val="00C81E83"/>
    <w:rsid w:val="00C81E85"/>
    <w:rsid w:val="00C81F07"/>
    <w:rsid w:val="00C81F0B"/>
    <w:rsid w:val="00C81F24"/>
    <w:rsid w:val="00C81F50"/>
    <w:rsid w:val="00C81F99"/>
    <w:rsid w:val="00C81FE4"/>
    <w:rsid w:val="00C8204F"/>
    <w:rsid w:val="00C82096"/>
    <w:rsid w:val="00C820C7"/>
    <w:rsid w:val="00C820D3"/>
    <w:rsid w:val="00C820E9"/>
    <w:rsid w:val="00C82180"/>
    <w:rsid w:val="00C821BF"/>
    <w:rsid w:val="00C82201"/>
    <w:rsid w:val="00C82238"/>
    <w:rsid w:val="00C82271"/>
    <w:rsid w:val="00C822B5"/>
    <w:rsid w:val="00C82363"/>
    <w:rsid w:val="00C824A6"/>
    <w:rsid w:val="00C82539"/>
    <w:rsid w:val="00C82580"/>
    <w:rsid w:val="00C82597"/>
    <w:rsid w:val="00C82619"/>
    <w:rsid w:val="00C82672"/>
    <w:rsid w:val="00C82740"/>
    <w:rsid w:val="00C8277C"/>
    <w:rsid w:val="00C8279E"/>
    <w:rsid w:val="00C827A5"/>
    <w:rsid w:val="00C8281F"/>
    <w:rsid w:val="00C828C3"/>
    <w:rsid w:val="00C8292B"/>
    <w:rsid w:val="00C82996"/>
    <w:rsid w:val="00C829E2"/>
    <w:rsid w:val="00C82A21"/>
    <w:rsid w:val="00C82A32"/>
    <w:rsid w:val="00C82ACA"/>
    <w:rsid w:val="00C82B46"/>
    <w:rsid w:val="00C82B94"/>
    <w:rsid w:val="00C82C0D"/>
    <w:rsid w:val="00C82C4D"/>
    <w:rsid w:val="00C82C5D"/>
    <w:rsid w:val="00C82C87"/>
    <w:rsid w:val="00C82CF9"/>
    <w:rsid w:val="00C82D41"/>
    <w:rsid w:val="00C82D64"/>
    <w:rsid w:val="00C82D88"/>
    <w:rsid w:val="00C82DC0"/>
    <w:rsid w:val="00C82E31"/>
    <w:rsid w:val="00C82E43"/>
    <w:rsid w:val="00C82E82"/>
    <w:rsid w:val="00C82E90"/>
    <w:rsid w:val="00C82EFA"/>
    <w:rsid w:val="00C82F48"/>
    <w:rsid w:val="00C82F9A"/>
    <w:rsid w:val="00C82FBD"/>
    <w:rsid w:val="00C82FCF"/>
    <w:rsid w:val="00C82FDD"/>
    <w:rsid w:val="00C8303D"/>
    <w:rsid w:val="00C83044"/>
    <w:rsid w:val="00C8304A"/>
    <w:rsid w:val="00C83070"/>
    <w:rsid w:val="00C83109"/>
    <w:rsid w:val="00C83123"/>
    <w:rsid w:val="00C83287"/>
    <w:rsid w:val="00C83405"/>
    <w:rsid w:val="00C834AD"/>
    <w:rsid w:val="00C834DD"/>
    <w:rsid w:val="00C83508"/>
    <w:rsid w:val="00C83509"/>
    <w:rsid w:val="00C8359A"/>
    <w:rsid w:val="00C8359D"/>
    <w:rsid w:val="00C835AD"/>
    <w:rsid w:val="00C8365C"/>
    <w:rsid w:val="00C83672"/>
    <w:rsid w:val="00C83696"/>
    <w:rsid w:val="00C83699"/>
    <w:rsid w:val="00C836F9"/>
    <w:rsid w:val="00C836FE"/>
    <w:rsid w:val="00C8373D"/>
    <w:rsid w:val="00C8375E"/>
    <w:rsid w:val="00C83767"/>
    <w:rsid w:val="00C837AB"/>
    <w:rsid w:val="00C837D5"/>
    <w:rsid w:val="00C837DE"/>
    <w:rsid w:val="00C8388D"/>
    <w:rsid w:val="00C838A0"/>
    <w:rsid w:val="00C838C3"/>
    <w:rsid w:val="00C838E7"/>
    <w:rsid w:val="00C838FE"/>
    <w:rsid w:val="00C839E3"/>
    <w:rsid w:val="00C839F3"/>
    <w:rsid w:val="00C83A5E"/>
    <w:rsid w:val="00C83A97"/>
    <w:rsid w:val="00C83AE4"/>
    <w:rsid w:val="00C83B13"/>
    <w:rsid w:val="00C83B4D"/>
    <w:rsid w:val="00C83B8A"/>
    <w:rsid w:val="00C83BD0"/>
    <w:rsid w:val="00C83BF3"/>
    <w:rsid w:val="00C83C22"/>
    <w:rsid w:val="00C83C30"/>
    <w:rsid w:val="00C83C80"/>
    <w:rsid w:val="00C83C98"/>
    <w:rsid w:val="00C83CBC"/>
    <w:rsid w:val="00C83D8B"/>
    <w:rsid w:val="00C83D9D"/>
    <w:rsid w:val="00C83DDC"/>
    <w:rsid w:val="00C83E63"/>
    <w:rsid w:val="00C83EE3"/>
    <w:rsid w:val="00C83F14"/>
    <w:rsid w:val="00C83F15"/>
    <w:rsid w:val="00C83FCB"/>
    <w:rsid w:val="00C83FE8"/>
    <w:rsid w:val="00C84069"/>
    <w:rsid w:val="00C840AB"/>
    <w:rsid w:val="00C840B7"/>
    <w:rsid w:val="00C840CE"/>
    <w:rsid w:val="00C840DD"/>
    <w:rsid w:val="00C840DE"/>
    <w:rsid w:val="00C84158"/>
    <w:rsid w:val="00C84245"/>
    <w:rsid w:val="00C8424A"/>
    <w:rsid w:val="00C84387"/>
    <w:rsid w:val="00C843FA"/>
    <w:rsid w:val="00C8440E"/>
    <w:rsid w:val="00C84457"/>
    <w:rsid w:val="00C8450C"/>
    <w:rsid w:val="00C845FB"/>
    <w:rsid w:val="00C8462A"/>
    <w:rsid w:val="00C84660"/>
    <w:rsid w:val="00C8467E"/>
    <w:rsid w:val="00C846F2"/>
    <w:rsid w:val="00C84703"/>
    <w:rsid w:val="00C84714"/>
    <w:rsid w:val="00C8474A"/>
    <w:rsid w:val="00C84782"/>
    <w:rsid w:val="00C847F7"/>
    <w:rsid w:val="00C848AE"/>
    <w:rsid w:val="00C848C0"/>
    <w:rsid w:val="00C848F1"/>
    <w:rsid w:val="00C849BB"/>
    <w:rsid w:val="00C84A05"/>
    <w:rsid w:val="00C84A4D"/>
    <w:rsid w:val="00C84AA8"/>
    <w:rsid w:val="00C84B02"/>
    <w:rsid w:val="00C84B3A"/>
    <w:rsid w:val="00C84B5C"/>
    <w:rsid w:val="00C84B5E"/>
    <w:rsid w:val="00C84BA6"/>
    <w:rsid w:val="00C84BB3"/>
    <w:rsid w:val="00C84BB6"/>
    <w:rsid w:val="00C84BCA"/>
    <w:rsid w:val="00C84BDD"/>
    <w:rsid w:val="00C84C41"/>
    <w:rsid w:val="00C84C55"/>
    <w:rsid w:val="00C84C81"/>
    <w:rsid w:val="00C84CD3"/>
    <w:rsid w:val="00C84D68"/>
    <w:rsid w:val="00C84DEF"/>
    <w:rsid w:val="00C84DFB"/>
    <w:rsid w:val="00C84E0E"/>
    <w:rsid w:val="00C84E1F"/>
    <w:rsid w:val="00C84E29"/>
    <w:rsid w:val="00C84E91"/>
    <w:rsid w:val="00C84EAA"/>
    <w:rsid w:val="00C84EE4"/>
    <w:rsid w:val="00C84F19"/>
    <w:rsid w:val="00C84F43"/>
    <w:rsid w:val="00C84F67"/>
    <w:rsid w:val="00C84F7E"/>
    <w:rsid w:val="00C84FB6"/>
    <w:rsid w:val="00C85065"/>
    <w:rsid w:val="00C8509C"/>
    <w:rsid w:val="00C850B6"/>
    <w:rsid w:val="00C85139"/>
    <w:rsid w:val="00C852A5"/>
    <w:rsid w:val="00C852C0"/>
    <w:rsid w:val="00C85419"/>
    <w:rsid w:val="00C8543A"/>
    <w:rsid w:val="00C85445"/>
    <w:rsid w:val="00C85472"/>
    <w:rsid w:val="00C85495"/>
    <w:rsid w:val="00C854BE"/>
    <w:rsid w:val="00C854E7"/>
    <w:rsid w:val="00C8550B"/>
    <w:rsid w:val="00C85583"/>
    <w:rsid w:val="00C855A4"/>
    <w:rsid w:val="00C85650"/>
    <w:rsid w:val="00C8573F"/>
    <w:rsid w:val="00C8574D"/>
    <w:rsid w:val="00C85778"/>
    <w:rsid w:val="00C857C1"/>
    <w:rsid w:val="00C85815"/>
    <w:rsid w:val="00C85860"/>
    <w:rsid w:val="00C85874"/>
    <w:rsid w:val="00C858A9"/>
    <w:rsid w:val="00C85905"/>
    <w:rsid w:val="00C859B2"/>
    <w:rsid w:val="00C859E0"/>
    <w:rsid w:val="00C859F6"/>
    <w:rsid w:val="00C85A17"/>
    <w:rsid w:val="00C85A65"/>
    <w:rsid w:val="00C85B0F"/>
    <w:rsid w:val="00C85B34"/>
    <w:rsid w:val="00C85BB4"/>
    <w:rsid w:val="00C85BD6"/>
    <w:rsid w:val="00C85C3C"/>
    <w:rsid w:val="00C85C56"/>
    <w:rsid w:val="00C85D1D"/>
    <w:rsid w:val="00C85D81"/>
    <w:rsid w:val="00C85DA1"/>
    <w:rsid w:val="00C85DE0"/>
    <w:rsid w:val="00C85DE4"/>
    <w:rsid w:val="00C85DF3"/>
    <w:rsid w:val="00C85E2E"/>
    <w:rsid w:val="00C85E92"/>
    <w:rsid w:val="00C85E9E"/>
    <w:rsid w:val="00C85F7F"/>
    <w:rsid w:val="00C85F96"/>
    <w:rsid w:val="00C85FF1"/>
    <w:rsid w:val="00C85FFE"/>
    <w:rsid w:val="00C86005"/>
    <w:rsid w:val="00C86027"/>
    <w:rsid w:val="00C86036"/>
    <w:rsid w:val="00C860B3"/>
    <w:rsid w:val="00C860C0"/>
    <w:rsid w:val="00C860DC"/>
    <w:rsid w:val="00C860F9"/>
    <w:rsid w:val="00C86104"/>
    <w:rsid w:val="00C8616D"/>
    <w:rsid w:val="00C861AA"/>
    <w:rsid w:val="00C861CC"/>
    <w:rsid w:val="00C861CF"/>
    <w:rsid w:val="00C8622E"/>
    <w:rsid w:val="00C86258"/>
    <w:rsid w:val="00C8626A"/>
    <w:rsid w:val="00C8626B"/>
    <w:rsid w:val="00C8629C"/>
    <w:rsid w:val="00C862C2"/>
    <w:rsid w:val="00C86310"/>
    <w:rsid w:val="00C8632A"/>
    <w:rsid w:val="00C86357"/>
    <w:rsid w:val="00C86439"/>
    <w:rsid w:val="00C86494"/>
    <w:rsid w:val="00C864AD"/>
    <w:rsid w:val="00C8654D"/>
    <w:rsid w:val="00C8655E"/>
    <w:rsid w:val="00C8656F"/>
    <w:rsid w:val="00C86592"/>
    <w:rsid w:val="00C865A9"/>
    <w:rsid w:val="00C86608"/>
    <w:rsid w:val="00C866B8"/>
    <w:rsid w:val="00C8671B"/>
    <w:rsid w:val="00C8672A"/>
    <w:rsid w:val="00C86732"/>
    <w:rsid w:val="00C86735"/>
    <w:rsid w:val="00C86767"/>
    <w:rsid w:val="00C867AF"/>
    <w:rsid w:val="00C8681B"/>
    <w:rsid w:val="00C86881"/>
    <w:rsid w:val="00C868F0"/>
    <w:rsid w:val="00C8696C"/>
    <w:rsid w:val="00C869CE"/>
    <w:rsid w:val="00C86A25"/>
    <w:rsid w:val="00C86AAF"/>
    <w:rsid w:val="00C86AEB"/>
    <w:rsid w:val="00C86B1A"/>
    <w:rsid w:val="00C86B32"/>
    <w:rsid w:val="00C86B66"/>
    <w:rsid w:val="00C86B8D"/>
    <w:rsid w:val="00C86BCD"/>
    <w:rsid w:val="00C86BDD"/>
    <w:rsid w:val="00C86C0B"/>
    <w:rsid w:val="00C86C11"/>
    <w:rsid w:val="00C86C69"/>
    <w:rsid w:val="00C86C71"/>
    <w:rsid w:val="00C86CA3"/>
    <w:rsid w:val="00C86CAA"/>
    <w:rsid w:val="00C86D27"/>
    <w:rsid w:val="00C86D76"/>
    <w:rsid w:val="00C86DA9"/>
    <w:rsid w:val="00C86E2E"/>
    <w:rsid w:val="00C86F4A"/>
    <w:rsid w:val="00C86F88"/>
    <w:rsid w:val="00C86FAF"/>
    <w:rsid w:val="00C87029"/>
    <w:rsid w:val="00C87035"/>
    <w:rsid w:val="00C8703A"/>
    <w:rsid w:val="00C8715A"/>
    <w:rsid w:val="00C871BF"/>
    <w:rsid w:val="00C871E5"/>
    <w:rsid w:val="00C8726D"/>
    <w:rsid w:val="00C87300"/>
    <w:rsid w:val="00C87463"/>
    <w:rsid w:val="00C87477"/>
    <w:rsid w:val="00C874F2"/>
    <w:rsid w:val="00C87593"/>
    <w:rsid w:val="00C875A3"/>
    <w:rsid w:val="00C8761D"/>
    <w:rsid w:val="00C87680"/>
    <w:rsid w:val="00C87689"/>
    <w:rsid w:val="00C87690"/>
    <w:rsid w:val="00C87696"/>
    <w:rsid w:val="00C8781B"/>
    <w:rsid w:val="00C87836"/>
    <w:rsid w:val="00C87843"/>
    <w:rsid w:val="00C8784B"/>
    <w:rsid w:val="00C8789C"/>
    <w:rsid w:val="00C878CD"/>
    <w:rsid w:val="00C8796D"/>
    <w:rsid w:val="00C879B4"/>
    <w:rsid w:val="00C879B7"/>
    <w:rsid w:val="00C879BD"/>
    <w:rsid w:val="00C879C1"/>
    <w:rsid w:val="00C879D0"/>
    <w:rsid w:val="00C879D4"/>
    <w:rsid w:val="00C879E8"/>
    <w:rsid w:val="00C879EB"/>
    <w:rsid w:val="00C87A5F"/>
    <w:rsid w:val="00C87A70"/>
    <w:rsid w:val="00C87ACD"/>
    <w:rsid w:val="00C87B2E"/>
    <w:rsid w:val="00C87B8B"/>
    <w:rsid w:val="00C87B93"/>
    <w:rsid w:val="00C87B98"/>
    <w:rsid w:val="00C87BDA"/>
    <w:rsid w:val="00C87C33"/>
    <w:rsid w:val="00C87C37"/>
    <w:rsid w:val="00C87C6A"/>
    <w:rsid w:val="00C87C76"/>
    <w:rsid w:val="00C87C7D"/>
    <w:rsid w:val="00C87D75"/>
    <w:rsid w:val="00C87DB8"/>
    <w:rsid w:val="00C87E76"/>
    <w:rsid w:val="00C87E8B"/>
    <w:rsid w:val="00C87ED4"/>
    <w:rsid w:val="00C87F68"/>
    <w:rsid w:val="00C87F75"/>
    <w:rsid w:val="00C87FB2"/>
    <w:rsid w:val="00C87FDE"/>
    <w:rsid w:val="00C87FE8"/>
    <w:rsid w:val="00C87FFE"/>
    <w:rsid w:val="00C900BF"/>
    <w:rsid w:val="00C90105"/>
    <w:rsid w:val="00C9017B"/>
    <w:rsid w:val="00C90226"/>
    <w:rsid w:val="00C902A5"/>
    <w:rsid w:val="00C902B2"/>
    <w:rsid w:val="00C902E1"/>
    <w:rsid w:val="00C902F3"/>
    <w:rsid w:val="00C9040D"/>
    <w:rsid w:val="00C90418"/>
    <w:rsid w:val="00C90457"/>
    <w:rsid w:val="00C904B7"/>
    <w:rsid w:val="00C90510"/>
    <w:rsid w:val="00C90527"/>
    <w:rsid w:val="00C90557"/>
    <w:rsid w:val="00C90563"/>
    <w:rsid w:val="00C905B7"/>
    <w:rsid w:val="00C905F5"/>
    <w:rsid w:val="00C90619"/>
    <w:rsid w:val="00C90669"/>
    <w:rsid w:val="00C907DA"/>
    <w:rsid w:val="00C90811"/>
    <w:rsid w:val="00C9081A"/>
    <w:rsid w:val="00C90877"/>
    <w:rsid w:val="00C908AC"/>
    <w:rsid w:val="00C908D3"/>
    <w:rsid w:val="00C90947"/>
    <w:rsid w:val="00C9096B"/>
    <w:rsid w:val="00C9098F"/>
    <w:rsid w:val="00C909E1"/>
    <w:rsid w:val="00C909F1"/>
    <w:rsid w:val="00C909F5"/>
    <w:rsid w:val="00C90A5B"/>
    <w:rsid w:val="00C90AA7"/>
    <w:rsid w:val="00C90AB1"/>
    <w:rsid w:val="00C90B20"/>
    <w:rsid w:val="00C90B4A"/>
    <w:rsid w:val="00C90B6C"/>
    <w:rsid w:val="00C90BDA"/>
    <w:rsid w:val="00C90BE9"/>
    <w:rsid w:val="00C90C07"/>
    <w:rsid w:val="00C90C46"/>
    <w:rsid w:val="00C90C57"/>
    <w:rsid w:val="00C90C87"/>
    <w:rsid w:val="00C90CB1"/>
    <w:rsid w:val="00C90CCD"/>
    <w:rsid w:val="00C90CF3"/>
    <w:rsid w:val="00C90D43"/>
    <w:rsid w:val="00C90D57"/>
    <w:rsid w:val="00C90DC9"/>
    <w:rsid w:val="00C90E31"/>
    <w:rsid w:val="00C90E33"/>
    <w:rsid w:val="00C90E9A"/>
    <w:rsid w:val="00C90EC7"/>
    <w:rsid w:val="00C90FC2"/>
    <w:rsid w:val="00C90FF9"/>
    <w:rsid w:val="00C91032"/>
    <w:rsid w:val="00C91036"/>
    <w:rsid w:val="00C9104B"/>
    <w:rsid w:val="00C91067"/>
    <w:rsid w:val="00C910C4"/>
    <w:rsid w:val="00C910CB"/>
    <w:rsid w:val="00C910EC"/>
    <w:rsid w:val="00C910F7"/>
    <w:rsid w:val="00C91128"/>
    <w:rsid w:val="00C9113F"/>
    <w:rsid w:val="00C91171"/>
    <w:rsid w:val="00C911CE"/>
    <w:rsid w:val="00C9120A"/>
    <w:rsid w:val="00C9125A"/>
    <w:rsid w:val="00C91277"/>
    <w:rsid w:val="00C91280"/>
    <w:rsid w:val="00C9128A"/>
    <w:rsid w:val="00C912C6"/>
    <w:rsid w:val="00C912D0"/>
    <w:rsid w:val="00C912D5"/>
    <w:rsid w:val="00C912F2"/>
    <w:rsid w:val="00C912F3"/>
    <w:rsid w:val="00C9131D"/>
    <w:rsid w:val="00C91342"/>
    <w:rsid w:val="00C91363"/>
    <w:rsid w:val="00C91383"/>
    <w:rsid w:val="00C9139A"/>
    <w:rsid w:val="00C913CF"/>
    <w:rsid w:val="00C91473"/>
    <w:rsid w:val="00C91475"/>
    <w:rsid w:val="00C9147E"/>
    <w:rsid w:val="00C9148A"/>
    <w:rsid w:val="00C914D3"/>
    <w:rsid w:val="00C914F5"/>
    <w:rsid w:val="00C9152C"/>
    <w:rsid w:val="00C91594"/>
    <w:rsid w:val="00C915B2"/>
    <w:rsid w:val="00C91607"/>
    <w:rsid w:val="00C91609"/>
    <w:rsid w:val="00C91736"/>
    <w:rsid w:val="00C9173E"/>
    <w:rsid w:val="00C9179B"/>
    <w:rsid w:val="00C917F7"/>
    <w:rsid w:val="00C917F8"/>
    <w:rsid w:val="00C91867"/>
    <w:rsid w:val="00C91885"/>
    <w:rsid w:val="00C918B2"/>
    <w:rsid w:val="00C91933"/>
    <w:rsid w:val="00C91997"/>
    <w:rsid w:val="00C91A50"/>
    <w:rsid w:val="00C91A60"/>
    <w:rsid w:val="00C91B1C"/>
    <w:rsid w:val="00C91B93"/>
    <w:rsid w:val="00C91BBB"/>
    <w:rsid w:val="00C91C18"/>
    <w:rsid w:val="00C91C9D"/>
    <w:rsid w:val="00C91CC2"/>
    <w:rsid w:val="00C91D2F"/>
    <w:rsid w:val="00C91D4B"/>
    <w:rsid w:val="00C91D65"/>
    <w:rsid w:val="00C91D88"/>
    <w:rsid w:val="00C91DAF"/>
    <w:rsid w:val="00C91DC2"/>
    <w:rsid w:val="00C91DD7"/>
    <w:rsid w:val="00C91DF4"/>
    <w:rsid w:val="00C91E42"/>
    <w:rsid w:val="00C91E67"/>
    <w:rsid w:val="00C91E9D"/>
    <w:rsid w:val="00C91F0F"/>
    <w:rsid w:val="00C91FB3"/>
    <w:rsid w:val="00C91FE1"/>
    <w:rsid w:val="00C91FF9"/>
    <w:rsid w:val="00C92069"/>
    <w:rsid w:val="00C920B4"/>
    <w:rsid w:val="00C920C4"/>
    <w:rsid w:val="00C920CA"/>
    <w:rsid w:val="00C920EC"/>
    <w:rsid w:val="00C92115"/>
    <w:rsid w:val="00C9212D"/>
    <w:rsid w:val="00C92146"/>
    <w:rsid w:val="00C921BD"/>
    <w:rsid w:val="00C921EC"/>
    <w:rsid w:val="00C92284"/>
    <w:rsid w:val="00C9228F"/>
    <w:rsid w:val="00C922A5"/>
    <w:rsid w:val="00C922F4"/>
    <w:rsid w:val="00C92373"/>
    <w:rsid w:val="00C92387"/>
    <w:rsid w:val="00C92459"/>
    <w:rsid w:val="00C9246B"/>
    <w:rsid w:val="00C9247C"/>
    <w:rsid w:val="00C924AB"/>
    <w:rsid w:val="00C924B4"/>
    <w:rsid w:val="00C924E3"/>
    <w:rsid w:val="00C924E4"/>
    <w:rsid w:val="00C9252F"/>
    <w:rsid w:val="00C92581"/>
    <w:rsid w:val="00C925A1"/>
    <w:rsid w:val="00C925DA"/>
    <w:rsid w:val="00C925F8"/>
    <w:rsid w:val="00C92780"/>
    <w:rsid w:val="00C927A2"/>
    <w:rsid w:val="00C927D2"/>
    <w:rsid w:val="00C927E8"/>
    <w:rsid w:val="00C92854"/>
    <w:rsid w:val="00C9296A"/>
    <w:rsid w:val="00C92A17"/>
    <w:rsid w:val="00C92A18"/>
    <w:rsid w:val="00C92A2A"/>
    <w:rsid w:val="00C92B1E"/>
    <w:rsid w:val="00C92B73"/>
    <w:rsid w:val="00C92C2D"/>
    <w:rsid w:val="00C92C70"/>
    <w:rsid w:val="00C92D03"/>
    <w:rsid w:val="00C92D71"/>
    <w:rsid w:val="00C92D74"/>
    <w:rsid w:val="00C92D75"/>
    <w:rsid w:val="00C92D92"/>
    <w:rsid w:val="00C92EB1"/>
    <w:rsid w:val="00C92ED4"/>
    <w:rsid w:val="00C92EEE"/>
    <w:rsid w:val="00C92EF5"/>
    <w:rsid w:val="00C92EFE"/>
    <w:rsid w:val="00C92F6F"/>
    <w:rsid w:val="00C92FA2"/>
    <w:rsid w:val="00C93042"/>
    <w:rsid w:val="00C93064"/>
    <w:rsid w:val="00C93097"/>
    <w:rsid w:val="00C93114"/>
    <w:rsid w:val="00C93134"/>
    <w:rsid w:val="00C93135"/>
    <w:rsid w:val="00C93177"/>
    <w:rsid w:val="00C93191"/>
    <w:rsid w:val="00C931A1"/>
    <w:rsid w:val="00C931AB"/>
    <w:rsid w:val="00C931D3"/>
    <w:rsid w:val="00C931E6"/>
    <w:rsid w:val="00C9323A"/>
    <w:rsid w:val="00C9324F"/>
    <w:rsid w:val="00C9327F"/>
    <w:rsid w:val="00C93289"/>
    <w:rsid w:val="00C9332D"/>
    <w:rsid w:val="00C9338A"/>
    <w:rsid w:val="00C93433"/>
    <w:rsid w:val="00C93436"/>
    <w:rsid w:val="00C9346B"/>
    <w:rsid w:val="00C93481"/>
    <w:rsid w:val="00C934EE"/>
    <w:rsid w:val="00C9350E"/>
    <w:rsid w:val="00C93511"/>
    <w:rsid w:val="00C935D4"/>
    <w:rsid w:val="00C936A4"/>
    <w:rsid w:val="00C936CF"/>
    <w:rsid w:val="00C93703"/>
    <w:rsid w:val="00C93721"/>
    <w:rsid w:val="00C93727"/>
    <w:rsid w:val="00C937F8"/>
    <w:rsid w:val="00C93819"/>
    <w:rsid w:val="00C93838"/>
    <w:rsid w:val="00C93842"/>
    <w:rsid w:val="00C9389C"/>
    <w:rsid w:val="00C93934"/>
    <w:rsid w:val="00C9395B"/>
    <w:rsid w:val="00C939D6"/>
    <w:rsid w:val="00C939D9"/>
    <w:rsid w:val="00C93A46"/>
    <w:rsid w:val="00C93A99"/>
    <w:rsid w:val="00C93AC2"/>
    <w:rsid w:val="00C93AF5"/>
    <w:rsid w:val="00C93AFD"/>
    <w:rsid w:val="00C93B17"/>
    <w:rsid w:val="00C93B1A"/>
    <w:rsid w:val="00C93B32"/>
    <w:rsid w:val="00C93B7E"/>
    <w:rsid w:val="00C93BFF"/>
    <w:rsid w:val="00C93C7E"/>
    <w:rsid w:val="00C93C80"/>
    <w:rsid w:val="00C93C8B"/>
    <w:rsid w:val="00C93CB4"/>
    <w:rsid w:val="00C93D7A"/>
    <w:rsid w:val="00C93DA6"/>
    <w:rsid w:val="00C93DDA"/>
    <w:rsid w:val="00C93E0C"/>
    <w:rsid w:val="00C93E3D"/>
    <w:rsid w:val="00C93E9D"/>
    <w:rsid w:val="00C93F4E"/>
    <w:rsid w:val="00C93F87"/>
    <w:rsid w:val="00C93F99"/>
    <w:rsid w:val="00C93FCE"/>
    <w:rsid w:val="00C94058"/>
    <w:rsid w:val="00C9416D"/>
    <w:rsid w:val="00C941F2"/>
    <w:rsid w:val="00C94228"/>
    <w:rsid w:val="00C94284"/>
    <w:rsid w:val="00C942A2"/>
    <w:rsid w:val="00C942C2"/>
    <w:rsid w:val="00C942F0"/>
    <w:rsid w:val="00C94311"/>
    <w:rsid w:val="00C94325"/>
    <w:rsid w:val="00C9432B"/>
    <w:rsid w:val="00C9437B"/>
    <w:rsid w:val="00C943A4"/>
    <w:rsid w:val="00C943BD"/>
    <w:rsid w:val="00C943FA"/>
    <w:rsid w:val="00C944BF"/>
    <w:rsid w:val="00C944DA"/>
    <w:rsid w:val="00C944DB"/>
    <w:rsid w:val="00C944DD"/>
    <w:rsid w:val="00C944F4"/>
    <w:rsid w:val="00C94512"/>
    <w:rsid w:val="00C9451D"/>
    <w:rsid w:val="00C94544"/>
    <w:rsid w:val="00C94559"/>
    <w:rsid w:val="00C94595"/>
    <w:rsid w:val="00C94613"/>
    <w:rsid w:val="00C94648"/>
    <w:rsid w:val="00C946F6"/>
    <w:rsid w:val="00C946FA"/>
    <w:rsid w:val="00C9471D"/>
    <w:rsid w:val="00C9476E"/>
    <w:rsid w:val="00C947E7"/>
    <w:rsid w:val="00C94892"/>
    <w:rsid w:val="00C948C6"/>
    <w:rsid w:val="00C948E2"/>
    <w:rsid w:val="00C9490C"/>
    <w:rsid w:val="00C94973"/>
    <w:rsid w:val="00C94981"/>
    <w:rsid w:val="00C94994"/>
    <w:rsid w:val="00C949CF"/>
    <w:rsid w:val="00C949E3"/>
    <w:rsid w:val="00C94A5D"/>
    <w:rsid w:val="00C94A61"/>
    <w:rsid w:val="00C94A86"/>
    <w:rsid w:val="00C94A97"/>
    <w:rsid w:val="00C94AA8"/>
    <w:rsid w:val="00C94AB5"/>
    <w:rsid w:val="00C94B07"/>
    <w:rsid w:val="00C94BB0"/>
    <w:rsid w:val="00C94C5E"/>
    <w:rsid w:val="00C94C6A"/>
    <w:rsid w:val="00C94C7F"/>
    <w:rsid w:val="00C94CC3"/>
    <w:rsid w:val="00C94CEF"/>
    <w:rsid w:val="00C94CF8"/>
    <w:rsid w:val="00C94D5A"/>
    <w:rsid w:val="00C94D5F"/>
    <w:rsid w:val="00C94D68"/>
    <w:rsid w:val="00C94E20"/>
    <w:rsid w:val="00C94E4C"/>
    <w:rsid w:val="00C94ED4"/>
    <w:rsid w:val="00C94EDF"/>
    <w:rsid w:val="00C94F17"/>
    <w:rsid w:val="00C94F4B"/>
    <w:rsid w:val="00C94FCF"/>
    <w:rsid w:val="00C94FD0"/>
    <w:rsid w:val="00C94FDE"/>
    <w:rsid w:val="00C95022"/>
    <w:rsid w:val="00C9512A"/>
    <w:rsid w:val="00C95149"/>
    <w:rsid w:val="00C951D1"/>
    <w:rsid w:val="00C95210"/>
    <w:rsid w:val="00C95216"/>
    <w:rsid w:val="00C95254"/>
    <w:rsid w:val="00C95258"/>
    <w:rsid w:val="00C952AD"/>
    <w:rsid w:val="00C952E8"/>
    <w:rsid w:val="00C952F5"/>
    <w:rsid w:val="00C952F6"/>
    <w:rsid w:val="00C95318"/>
    <w:rsid w:val="00C953FA"/>
    <w:rsid w:val="00C9543C"/>
    <w:rsid w:val="00C9549E"/>
    <w:rsid w:val="00C954E8"/>
    <w:rsid w:val="00C95502"/>
    <w:rsid w:val="00C9550A"/>
    <w:rsid w:val="00C95532"/>
    <w:rsid w:val="00C955AB"/>
    <w:rsid w:val="00C956BB"/>
    <w:rsid w:val="00C95709"/>
    <w:rsid w:val="00C9571B"/>
    <w:rsid w:val="00C95747"/>
    <w:rsid w:val="00C95822"/>
    <w:rsid w:val="00C9583C"/>
    <w:rsid w:val="00C9583E"/>
    <w:rsid w:val="00C958A7"/>
    <w:rsid w:val="00C958D8"/>
    <w:rsid w:val="00C958E7"/>
    <w:rsid w:val="00C95938"/>
    <w:rsid w:val="00C95957"/>
    <w:rsid w:val="00C959BD"/>
    <w:rsid w:val="00C95A2A"/>
    <w:rsid w:val="00C95A3C"/>
    <w:rsid w:val="00C95A56"/>
    <w:rsid w:val="00C95BEA"/>
    <w:rsid w:val="00C95CD3"/>
    <w:rsid w:val="00C95CEA"/>
    <w:rsid w:val="00C95D58"/>
    <w:rsid w:val="00C95DEC"/>
    <w:rsid w:val="00C95DED"/>
    <w:rsid w:val="00C95E24"/>
    <w:rsid w:val="00C95F12"/>
    <w:rsid w:val="00C95F39"/>
    <w:rsid w:val="00C95F5B"/>
    <w:rsid w:val="00C9603B"/>
    <w:rsid w:val="00C960A4"/>
    <w:rsid w:val="00C960DB"/>
    <w:rsid w:val="00C96159"/>
    <w:rsid w:val="00C96166"/>
    <w:rsid w:val="00C961D4"/>
    <w:rsid w:val="00C9624E"/>
    <w:rsid w:val="00C96262"/>
    <w:rsid w:val="00C96352"/>
    <w:rsid w:val="00C963C6"/>
    <w:rsid w:val="00C963DE"/>
    <w:rsid w:val="00C96462"/>
    <w:rsid w:val="00C9649F"/>
    <w:rsid w:val="00C964A1"/>
    <w:rsid w:val="00C964AB"/>
    <w:rsid w:val="00C964C0"/>
    <w:rsid w:val="00C9655E"/>
    <w:rsid w:val="00C96586"/>
    <w:rsid w:val="00C96628"/>
    <w:rsid w:val="00C9665D"/>
    <w:rsid w:val="00C966A5"/>
    <w:rsid w:val="00C966B4"/>
    <w:rsid w:val="00C9672A"/>
    <w:rsid w:val="00C96759"/>
    <w:rsid w:val="00C9679A"/>
    <w:rsid w:val="00C967F9"/>
    <w:rsid w:val="00C9684A"/>
    <w:rsid w:val="00C96894"/>
    <w:rsid w:val="00C96979"/>
    <w:rsid w:val="00C969D5"/>
    <w:rsid w:val="00C96A60"/>
    <w:rsid w:val="00C96A70"/>
    <w:rsid w:val="00C96A9C"/>
    <w:rsid w:val="00C96AE8"/>
    <w:rsid w:val="00C96B72"/>
    <w:rsid w:val="00C96C32"/>
    <w:rsid w:val="00C96C61"/>
    <w:rsid w:val="00C96C99"/>
    <w:rsid w:val="00C96D70"/>
    <w:rsid w:val="00C96DB0"/>
    <w:rsid w:val="00C96E86"/>
    <w:rsid w:val="00C96EEB"/>
    <w:rsid w:val="00C96FBB"/>
    <w:rsid w:val="00C96FCF"/>
    <w:rsid w:val="00C97034"/>
    <w:rsid w:val="00C970C4"/>
    <w:rsid w:val="00C970C5"/>
    <w:rsid w:val="00C970CF"/>
    <w:rsid w:val="00C9712C"/>
    <w:rsid w:val="00C9712D"/>
    <w:rsid w:val="00C971B4"/>
    <w:rsid w:val="00C971CC"/>
    <w:rsid w:val="00C9722E"/>
    <w:rsid w:val="00C97235"/>
    <w:rsid w:val="00C97244"/>
    <w:rsid w:val="00C972E9"/>
    <w:rsid w:val="00C972ED"/>
    <w:rsid w:val="00C972F5"/>
    <w:rsid w:val="00C972F9"/>
    <w:rsid w:val="00C9739F"/>
    <w:rsid w:val="00C973AB"/>
    <w:rsid w:val="00C973C4"/>
    <w:rsid w:val="00C973D8"/>
    <w:rsid w:val="00C97428"/>
    <w:rsid w:val="00C9742B"/>
    <w:rsid w:val="00C9748C"/>
    <w:rsid w:val="00C974A2"/>
    <w:rsid w:val="00C97566"/>
    <w:rsid w:val="00C975C0"/>
    <w:rsid w:val="00C975C9"/>
    <w:rsid w:val="00C975EA"/>
    <w:rsid w:val="00C9760F"/>
    <w:rsid w:val="00C97659"/>
    <w:rsid w:val="00C9765F"/>
    <w:rsid w:val="00C97707"/>
    <w:rsid w:val="00C97718"/>
    <w:rsid w:val="00C977C8"/>
    <w:rsid w:val="00C97829"/>
    <w:rsid w:val="00C978A4"/>
    <w:rsid w:val="00C978BD"/>
    <w:rsid w:val="00C978C0"/>
    <w:rsid w:val="00C9792C"/>
    <w:rsid w:val="00C97934"/>
    <w:rsid w:val="00C97964"/>
    <w:rsid w:val="00C9798F"/>
    <w:rsid w:val="00C979E4"/>
    <w:rsid w:val="00C97A19"/>
    <w:rsid w:val="00C97A36"/>
    <w:rsid w:val="00C97A6E"/>
    <w:rsid w:val="00C97A9F"/>
    <w:rsid w:val="00C97B07"/>
    <w:rsid w:val="00C97B70"/>
    <w:rsid w:val="00C97BAA"/>
    <w:rsid w:val="00C97BED"/>
    <w:rsid w:val="00C97BFD"/>
    <w:rsid w:val="00C97C20"/>
    <w:rsid w:val="00C97C3F"/>
    <w:rsid w:val="00C97C59"/>
    <w:rsid w:val="00C97C7E"/>
    <w:rsid w:val="00C97CA4"/>
    <w:rsid w:val="00C97CFF"/>
    <w:rsid w:val="00C97D0D"/>
    <w:rsid w:val="00C97DDE"/>
    <w:rsid w:val="00C97DEE"/>
    <w:rsid w:val="00C97E24"/>
    <w:rsid w:val="00C97E68"/>
    <w:rsid w:val="00C97F01"/>
    <w:rsid w:val="00C97F1D"/>
    <w:rsid w:val="00C97FF5"/>
    <w:rsid w:val="00CA0020"/>
    <w:rsid w:val="00CA009B"/>
    <w:rsid w:val="00CA01BF"/>
    <w:rsid w:val="00CA021F"/>
    <w:rsid w:val="00CA026C"/>
    <w:rsid w:val="00CA027F"/>
    <w:rsid w:val="00CA02C9"/>
    <w:rsid w:val="00CA0301"/>
    <w:rsid w:val="00CA0312"/>
    <w:rsid w:val="00CA0414"/>
    <w:rsid w:val="00CA0435"/>
    <w:rsid w:val="00CA052E"/>
    <w:rsid w:val="00CA0555"/>
    <w:rsid w:val="00CA056D"/>
    <w:rsid w:val="00CA059B"/>
    <w:rsid w:val="00CA05D3"/>
    <w:rsid w:val="00CA05D9"/>
    <w:rsid w:val="00CA05E8"/>
    <w:rsid w:val="00CA0646"/>
    <w:rsid w:val="00CA06FE"/>
    <w:rsid w:val="00CA077E"/>
    <w:rsid w:val="00CA0786"/>
    <w:rsid w:val="00CA07A6"/>
    <w:rsid w:val="00CA07AA"/>
    <w:rsid w:val="00CA0830"/>
    <w:rsid w:val="00CA08D2"/>
    <w:rsid w:val="00CA08F8"/>
    <w:rsid w:val="00CA09A8"/>
    <w:rsid w:val="00CA09EB"/>
    <w:rsid w:val="00CA09F3"/>
    <w:rsid w:val="00CA09F4"/>
    <w:rsid w:val="00CA0A0F"/>
    <w:rsid w:val="00CA0A87"/>
    <w:rsid w:val="00CA0A8A"/>
    <w:rsid w:val="00CA0AF6"/>
    <w:rsid w:val="00CA0B53"/>
    <w:rsid w:val="00CA0BBA"/>
    <w:rsid w:val="00CA0C2C"/>
    <w:rsid w:val="00CA0C35"/>
    <w:rsid w:val="00CA0C42"/>
    <w:rsid w:val="00CA0C58"/>
    <w:rsid w:val="00CA0CB6"/>
    <w:rsid w:val="00CA0D47"/>
    <w:rsid w:val="00CA0DAE"/>
    <w:rsid w:val="00CA0E11"/>
    <w:rsid w:val="00CA0E73"/>
    <w:rsid w:val="00CA0E97"/>
    <w:rsid w:val="00CA0ECA"/>
    <w:rsid w:val="00CA0EFF"/>
    <w:rsid w:val="00CA0F10"/>
    <w:rsid w:val="00CA0F3E"/>
    <w:rsid w:val="00CA0F44"/>
    <w:rsid w:val="00CA0F8E"/>
    <w:rsid w:val="00CA0FB5"/>
    <w:rsid w:val="00CA0FF0"/>
    <w:rsid w:val="00CA1032"/>
    <w:rsid w:val="00CA107A"/>
    <w:rsid w:val="00CA10AB"/>
    <w:rsid w:val="00CA10F7"/>
    <w:rsid w:val="00CA1135"/>
    <w:rsid w:val="00CA113A"/>
    <w:rsid w:val="00CA1188"/>
    <w:rsid w:val="00CA12FE"/>
    <w:rsid w:val="00CA133B"/>
    <w:rsid w:val="00CA136B"/>
    <w:rsid w:val="00CA148E"/>
    <w:rsid w:val="00CA14CC"/>
    <w:rsid w:val="00CA1529"/>
    <w:rsid w:val="00CA157C"/>
    <w:rsid w:val="00CA159F"/>
    <w:rsid w:val="00CA1621"/>
    <w:rsid w:val="00CA1728"/>
    <w:rsid w:val="00CA17AF"/>
    <w:rsid w:val="00CA1812"/>
    <w:rsid w:val="00CA1917"/>
    <w:rsid w:val="00CA1973"/>
    <w:rsid w:val="00CA1975"/>
    <w:rsid w:val="00CA19CB"/>
    <w:rsid w:val="00CA19F7"/>
    <w:rsid w:val="00CA1A07"/>
    <w:rsid w:val="00CA1A21"/>
    <w:rsid w:val="00CA1A2E"/>
    <w:rsid w:val="00CA1AA9"/>
    <w:rsid w:val="00CA1ACB"/>
    <w:rsid w:val="00CA1AE5"/>
    <w:rsid w:val="00CA1C39"/>
    <w:rsid w:val="00CA1C78"/>
    <w:rsid w:val="00CA1D41"/>
    <w:rsid w:val="00CA1D79"/>
    <w:rsid w:val="00CA1D7E"/>
    <w:rsid w:val="00CA1DAC"/>
    <w:rsid w:val="00CA1DC5"/>
    <w:rsid w:val="00CA1E04"/>
    <w:rsid w:val="00CA1EBB"/>
    <w:rsid w:val="00CA1EBC"/>
    <w:rsid w:val="00CA1EFE"/>
    <w:rsid w:val="00CA1F6A"/>
    <w:rsid w:val="00CA1FB1"/>
    <w:rsid w:val="00CA2080"/>
    <w:rsid w:val="00CA20C5"/>
    <w:rsid w:val="00CA20E9"/>
    <w:rsid w:val="00CA211D"/>
    <w:rsid w:val="00CA2159"/>
    <w:rsid w:val="00CA2162"/>
    <w:rsid w:val="00CA2190"/>
    <w:rsid w:val="00CA219A"/>
    <w:rsid w:val="00CA21CB"/>
    <w:rsid w:val="00CA2282"/>
    <w:rsid w:val="00CA232B"/>
    <w:rsid w:val="00CA2339"/>
    <w:rsid w:val="00CA2354"/>
    <w:rsid w:val="00CA2429"/>
    <w:rsid w:val="00CA245F"/>
    <w:rsid w:val="00CA248C"/>
    <w:rsid w:val="00CA25AA"/>
    <w:rsid w:val="00CA25B4"/>
    <w:rsid w:val="00CA25EE"/>
    <w:rsid w:val="00CA2638"/>
    <w:rsid w:val="00CA26AC"/>
    <w:rsid w:val="00CA26B7"/>
    <w:rsid w:val="00CA271A"/>
    <w:rsid w:val="00CA282D"/>
    <w:rsid w:val="00CA28A5"/>
    <w:rsid w:val="00CA28C8"/>
    <w:rsid w:val="00CA28E0"/>
    <w:rsid w:val="00CA294E"/>
    <w:rsid w:val="00CA29A5"/>
    <w:rsid w:val="00CA29C2"/>
    <w:rsid w:val="00CA29E3"/>
    <w:rsid w:val="00CA2A0F"/>
    <w:rsid w:val="00CA2A44"/>
    <w:rsid w:val="00CA2A75"/>
    <w:rsid w:val="00CA2AAF"/>
    <w:rsid w:val="00CA2AB6"/>
    <w:rsid w:val="00CA2BB2"/>
    <w:rsid w:val="00CA2BC1"/>
    <w:rsid w:val="00CA2C17"/>
    <w:rsid w:val="00CA2C48"/>
    <w:rsid w:val="00CA2C51"/>
    <w:rsid w:val="00CA2C8A"/>
    <w:rsid w:val="00CA2CA4"/>
    <w:rsid w:val="00CA2D53"/>
    <w:rsid w:val="00CA2D68"/>
    <w:rsid w:val="00CA2D81"/>
    <w:rsid w:val="00CA2DEF"/>
    <w:rsid w:val="00CA2E38"/>
    <w:rsid w:val="00CA2E53"/>
    <w:rsid w:val="00CA2EAC"/>
    <w:rsid w:val="00CA2EAF"/>
    <w:rsid w:val="00CA2EBD"/>
    <w:rsid w:val="00CA2EEC"/>
    <w:rsid w:val="00CA2F45"/>
    <w:rsid w:val="00CA2F58"/>
    <w:rsid w:val="00CA2FA6"/>
    <w:rsid w:val="00CA2FBA"/>
    <w:rsid w:val="00CA3032"/>
    <w:rsid w:val="00CA306D"/>
    <w:rsid w:val="00CA30A2"/>
    <w:rsid w:val="00CA30CF"/>
    <w:rsid w:val="00CA30DE"/>
    <w:rsid w:val="00CA30E2"/>
    <w:rsid w:val="00CA30F5"/>
    <w:rsid w:val="00CA3140"/>
    <w:rsid w:val="00CA3200"/>
    <w:rsid w:val="00CA3225"/>
    <w:rsid w:val="00CA3308"/>
    <w:rsid w:val="00CA3365"/>
    <w:rsid w:val="00CA3389"/>
    <w:rsid w:val="00CA33D1"/>
    <w:rsid w:val="00CA33F8"/>
    <w:rsid w:val="00CA345D"/>
    <w:rsid w:val="00CA34A7"/>
    <w:rsid w:val="00CA34B0"/>
    <w:rsid w:val="00CA34DE"/>
    <w:rsid w:val="00CA34EA"/>
    <w:rsid w:val="00CA34F6"/>
    <w:rsid w:val="00CA35CD"/>
    <w:rsid w:val="00CA35E2"/>
    <w:rsid w:val="00CA35E5"/>
    <w:rsid w:val="00CA3670"/>
    <w:rsid w:val="00CA367A"/>
    <w:rsid w:val="00CA367F"/>
    <w:rsid w:val="00CA36B0"/>
    <w:rsid w:val="00CA36CE"/>
    <w:rsid w:val="00CA3723"/>
    <w:rsid w:val="00CA37D3"/>
    <w:rsid w:val="00CA3812"/>
    <w:rsid w:val="00CA38BD"/>
    <w:rsid w:val="00CA392B"/>
    <w:rsid w:val="00CA3996"/>
    <w:rsid w:val="00CA39A5"/>
    <w:rsid w:val="00CA39C7"/>
    <w:rsid w:val="00CA39C9"/>
    <w:rsid w:val="00CA3A17"/>
    <w:rsid w:val="00CA3A23"/>
    <w:rsid w:val="00CA3A5F"/>
    <w:rsid w:val="00CA3A89"/>
    <w:rsid w:val="00CA3A8B"/>
    <w:rsid w:val="00CA3A95"/>
    <w:rsid w:val="00CA3A9D"/>
    <w:rsid w:val="00CA3B04"/>
    <w:rsid w:val="00CA3B0B"/>
    <w:rsid w:val="00CA3B5B"/>
    <w:rsid w:val="00CA3B95"/>
    <w:rsid w:val="00CA3BB9"/>
    <w:rsid w:val="00CA3BC4"/>
    <w:rsid w:val="00CA3C10"/>
    <w:rsid w:val="00CA3C2D"/>
    <w:rsid w:val="00CA3C31"/>
    <w:rsid w:val="00CA3CA0"/>
    <w:rsid w:val="00CA3CDC"/>
    <w:rsid w:val="00CA3D89"/>
    <w:rsid w:val="00CA3DB5"/>
    <w:rsid w:val="00CA3E0D"/>
    <w:rsid w:val="00CA3E0F"/>
    <w:rsid w:val="00CA3E23"/>
    <w:rsid w:val="00CA3F06"/>
    <w:rsid w:val="00CA3F17"/>
    <w:rsid w:val="00CA3F47"/>
    <w:rsid w:val="00CA4002"/>
    <w:rsid w:val="00CA405C"/>
    <w:rsid w:val="00CA40C7"/>
    <w:rsid w:val="00CA40CA"/>
    <w:rsid w:val="00CA40DD"/>
    <w:rsid w:val="00CA40E2"/>
    <w:rsid w:val="00CA4121"/>
    <w:rsid w:val="00CA4153"/>
    <w:rsid w:val="00CA415B"/>
    <w:rsid w:val="00CA417D"/>
    <w:rsid w:val="00CA41CF"/>
    <w:rsid w:val="00CA41FA"/>
    <w:rsid w:val="00CA41FD"/>
    <w:rsid w:val="00CA420E"/>
    <w:rsid w:val="00CA4228"/>
    <w:rsid w:val="00CA4261"/>
    <w:rsid w:val="00CA4307"/>
    <w:rsid w:val="00CA4368"/>
    <w:rsid w:val="00CA4385"/>
    <w:rsid w:val="00CA43FF"/>
    <w:rsid w:val="00CA4405"/>
    <w:rsid w:val="00CA44B3"/>
    <w:rsid w:val="00CA44BC"/>
    <w:rsid w:val="00CA44D8"/>
    <w:rsid w:val="00CA4543"/>
    <w:rsid w:val="00CA454A"/>
    <w:rsid w:val="00CA4562"/>
    <w:rsid w:val="00CA45BA"/>
    <w:rsid w:val="00CA45BE"/>
    <w:rsid w:val="00CA45CB"/>
    <w:rsid w:val="00CA4633"/>
    <w:rsid w:val="00CA4726"/>
    <w:rsid w:val="00CA475E"/>
    <w:rsid w:val="00CA4764"/>
    <w:rsid w:val="00CA4776"/>
    <w:rsid w:val="00CA4799"/>
    <w:rsid w:val="00CA47A7"/>
    <w:rsid w:val="00CA47A8"/>
    <w:rsid w:val="00CA4801"/>
    <w:rsid w:val="00CA4871"/>
    <w:rsid w:val="00CA4875"/>
    <w:rsid w:val="00CA48AE"/>
    <w:rsid w:val="00CA48B0"/>
    <w:rsid w:val="00CA4956"/>
    <w:rsid w:val="00CA49C9"/>
    <w:rsid w:val="00CA49E9"/>
    <w:rsid w:val="00CA49FF"/>
    <w:rsid w:val="00CA4A56"/>
    <w:rsid w:val="00CA4AF4"/>
    <w:rsid w:val="00CA4B0C"/>
    <w:rsid w:val="00CA4B35"/>
    <w:rsid w:val="00CA4B3D"/>
    <w:rsid w:val="00CA4B43"/>
    <w:rsid w:val="00CA4BAD"/>
    <w:rsid w:val="00CA4BB6"/>
    <w:rsid w:val="00CA4BE0"/>
    <w:rsid w:val="00CA4BEE"/>
    <w:rsid w:val="00CA4BF6"/>
    <w:rsid w:val="00CA4C05"/>
    <w:rsid w:val="00CA4C5F"/>
    <w:rsid w:val="00CA4C79"/>
    <w:rsid w:val="00CA4C9B"/>
    <w:rsid w:val="00CA4CAB"/>
    <w:rsid w:val="00CA4CCA"/>
    <w:rsid w:val="00CA4D31"/>
    <w:rsid w:val="00CA4D89"/>
    <w:rsid w:val="00CA4DC7"/>
    <w:rsid w:val="00CA4DD0"/>
    <w:rsid w:val="00CA4E7D"/>
    <w:rsid w:val="00CA4EC8"/>
    <w:rsid w:val="00CA4F11"/>
    <w:rsid w:val="00CA4F3A"/>
    <w:rsid w:val="00CA4F5D"/>
    <w:rsid w:val="00CA4F6D"/>
    <w:rsid w:val="00CA4FC1"/>
    <w:rsid w:val="00CA4FDF"/>
    <w:rsid w:val="00CA514E"/>
    <w:rsid w:val="00CA51BF"/>
    <w:rsid w:val="00CA51D0"/>
    <w:rsid w:val="00CA5295"/>
    <w:rsid w:val="00CA52A4"/>
    <w:rsid w:val="00CA52C1"/>
    <w:rsid w:val="00CA52D3"/>
    <w:rsid w:val="00CA52F1"/>
    <w:rsid w:val="00CA536B"/>
    <w:rsid w:val="00CA5387"/>
    <w:rsid w:val="00CA5393"/>
    <w:rsid w:val="00CA53E9"/>
    <w:rsid w:val="00CA5435"/>
    <w:rsid w:val="00CA5441"/>
    <w:rsid w:val="00CA5474"/>
    <w:rsid w:val="00CA547D"/>
    <w:rsid w:val="00CA54D2"/>
    <w:rsid w:val="00CA54E4"/>
    <w:rsid w:val="00CA5532"/>
    <w:rsid w:val="00CA5542"/>
    <w:rsid w:val="00CA5577"/>
    <w:rsid w:val="00CA5621"/>
    <w:rsid w:val="00CA5636"/>
    <w:rsid w:val="00CA5646"/>
    <w:rsid w:val="00CA56E0"/>
    <w:rsid w:val="00CA5736"/>
    <w:rsid w:val="00CA5789"/>
    <w:rsid w:val="00CA5799"/>
    <w:rsid w:val="00CA57DF"/>
    <w:rsid w:val="00CA57E0"/>
    <w:rsid w:val="00CA5818"/>
    <w:rsid w:val="00CA5830"/>
    <w:rsid w:val="00CA5850"/>
    <w:rsid w:val="00CA5897"/>
    <w:rsid w:val="00CA58C0"/>
    <w:rsid w:val="00CA58D9"/>
    <w:rsid w:val="00CA594B"/>
    <w:rsid w:val="00CA5975"/>
    <w:rsid w:val="00CA5A97"/>
    <w:rsid w:val="00CA5A9A"/>
    <w:rsid w:val="00CA5AE1"/>
    <w:rsid w:val="00CA5B38"/>
    <w:rsid w:val="00CA5B6A"/>
    <w:rsid w:val="00CA5C77"/>
    <w:rsid w:val="00CA5CD1"/>
    <w:rsid w:val="00CA5CE5"/>
    <w:rsid w:val="00CA5D6B"/>
    <w:rsid w:val="00CA5DE0"/>
    <w:rsid w:val="00CA5E05"/>
    <w:rsid w:val="00CA5E37"/>
    <w:rsid w:val="00CA5E6E"/>
    <w:rsid w:val="00CA5E7B"/>
    <w:rsid w:val="00CA5E92"/>
    <w:rsid w:val="00CA5F26"/>
    <w:rsid w:val="00CA5F85"/>
    <w:rsid w:val="00CA5FA7"/>
    <w:rsid w:val="00CA602D"/>
    <w:rsid w:val="00CA609F"/>
    <w:rsid w:val="00CA60CA"/>
    <w:rsid w:val="00CA6227"/>
    <w:rsid w:val="00CA6230"/>
    <w:rsid w:val="00CA6287"/>
    <w:rsid w:val="00CA6296"/>
    <w:rsid w:val="00CA629C"/>
    <w:rsid w:val="00CA632B"/>
    <w:rsid w:val="00CA6345"/>
    <w:rsid w:val="00CA636A"/>
    <w:rsid w:val="00CA638F"/>
    <w:rsid w:val="00CA63AE"/>
    <w:rsid w:val="00CA63BB"/>
    <w:rsid w:val="00CA63D1"/>
    <w:rsid w:val="00CA6414"/>
    <w:rsid w:val="00CA641C"/>
    <w:rsid w:val="00CA641D"/>
    <w:rsid w:val="00CA646F"/>
    <w:rsid w:val="00CA64AB"/>
    <w:rsid w:val="00CA64C1"/>
    <w:rsid w:val="00CA64EB"/>
    <w:rsid w:val="00CA6523"/>
    <w:rsid w:val="00CA6688"/>
    <w:rsid w:val="00CA676B"/>
    <w:rsid w:val="00CA67C2"/>
    <w:rsid w:val="00CA67C5"/>
    <w:rsid w:val="00CA6819"/>
    <w:rsid w:val="00CA681B"/>
    <w:rsid w:val="00CA6848"/>
    <w:rsid w:val="00CA68C1"/>
    <w:rsid w:val="00CA6910"/>
    <w:rsid w:val="00CA6915"/>
    <w:rsid w:val="00CA6925"/>
    <w:rsid w:val="00CA694C"/>
    <w:rsid w:val="00CA6993"/>
    <w:rsid w:val="00CA69AD"/>
    <w:rsid w:val="00CA6A05"/>
    <w:rsid w:val="00CA6A10"/>
    <w:rsid w:val="00CA6A49"/>
    <w:rsid w:val="00CA6A4B"/>
    <w:rsid w:val="00CA6A68"/>
    <w:rsid w:val="00CA6A6F"/>
    <w:rsid w:val="00CA6A77"/>
    <w:rsid w:val="00CA6AE7"/>
    <w:rsid w:val="00CA6B13"/>
    <w:rsid w:val="00CA6B16"/>
    <w:rsid w:val="00CA6B35"/>
    <w:rsid w:val="00CA6B40"/>
    <w:rsid w:val="00CA6B43"/>
    <w:rsid w:val="00CA6B58"/>
    <w:rsid w:val="00CA6BA6"/>
    <w:rsid w:val="00CA6BFF"/>
    <w:rsid w:val="00CA6C1B"/>
    <w:rsid w:val="00CA6C1D"/>
    <w:rsid w:val="00CA6C40"/>
    <w:rsid w:val="00CA6C62"/>
    <w:rsid w:val="00CA6D87"/>
    <w:rsid w:val="00CA6E1B"/>
    <w:rsid w:val="00CA6E9A"/>
    <w:rsid w:val="00CA6ECD"/>
    <w:rsid w:val="00CA6F2F"/>
    <w:rsid w:val="00CA6F51"/>
    <w:rsid w:val="00CA7008"/>
    <w:rsid w:val="00CA7056"/>
    <w:rsid w:val="00CA7075"/>
    <w:rsid w:val="00CA7092"/>
    <w:rsid w:val="00CA711C"/>
    <w:rsid w:val="00CA712B"/>
    <w:rsid w:val="00CA7147"/>
    <w:rsid w:val="00CA720F"/>
    <w:rsid w:val="00CA7210"/>
    <w:rsid w:val="00CA7212"/>
    <w:rsid w:val="00CA721F"/>
    <w:rsid w:val="00CA7277"/>
    <w:rsid w:val="00CA7284"/>
    <w:rsid w:val="00CA729B"/>
    <w:rsid w:val="00CA72A7"/>
    <w:rsid w:val="00CA7355"/>
    <w:rsid w:val="00CA7368"/>
    <w:rsid w:val="00CA73EB"/>
    <w:rsid w:val="00CA746D"/>
    <w:rsid w:val="00CA7484"/>
    <w:rsid w:val="00CA7519"/>
    <w:rsid w:val="00CA75C7"/>
    <w:rsid w:val="00CA75D2"/>
    <w:rsid w:val="00CA7689"/>
    <w:rsid w:val="00CA76A9"/>
    <w:rsid w:val="00CA76CF"/>
    <w:rsid w:val="00CA76D0"/>
    <w:rsid w:val="00CA7702"/>
    <w:rsid w:val="00CA7756"/>
    <w:rsid w:val="00CA775B"/>
    <w:rsid w:val="00CA776E"/>
    <w:rsid w:val="00CA77A4"/>
    <w:rsid w:val="00CA77CF"/>
    <w:rsid w:val="00CA77E4"/>
    <w:rsid w:val="00CA7837"/>
    <w:rsid w:val="00CA789B"/>
    <w:rsid w:val="00CA78A3"/>
    <w:rsid w:val="00CA78A6"/>
    <w:rsid w:val="00CA78C2"/>
    <w:rsid w:val="00CA794F"/>
    <w:rsid w:val="00CA7997"/>
    <w:rsid w:val="00CA79CC"/>
    <w:rsid w:val="00CA7A07"/>
    <w:rsid w:val="00CA7A71"/>
    <w:rsid w:val="00CA7B4F"/>
    <w:rsid w:val="00CA7B84"/>
    <w:rsid w:val="00CA7C01"/>
    <w:rsid w:val="00CA7C13"/>
    <w:rsid w:val="00CA7C7C"/>
    <w:rsid w:val="00CA7C80"/>
    <w:rsid w:val="00CA7CD7"/>
    <w:rsid w:val="00CA7CF3"/>
    <w:rsid w:val="00CA7E8D"/>
    <w:rsid w:val="00CA7EA1"/>
    <w:rsid w:val="00CA7EB0"/>
    <w:rsid w:val="00CA7EF9"/>
    <w:rsid w:val="00CA7F7E"/>
    <w:rsid w:val="00CA7FDC"/>
    <w:rsid w:val="00CB0016"/>
    <w:rsid w:val="00CB0026"/>
    <w:rsid w:val="00CB0034"/>
    <w:rsid w:val="00CB0057"/>
    <w:rsid w:val="00CB006C"/>
    <w:rsid w:val="00CB006F"/>
    <w:rsid w:val="00CB00AE"/>
    <w:rsid w:val="00CB00C3"/>
    <w:rsid w:val="00CB017C"/>
    <w:rsid w:val="00CB0184"/>
    <w:rsid w:val="00CB01E2"/>
    <w:rsid w:val="00CB0298"/>
    <w:rsid w:val="00CB02AC"/>
    <w:rsid w:val="00CB02DC"/>
    <w:rsid w:val="00CB0307"/>
    <w:rsid w:val="00CB03AF"/>
    <w:rsid w:val="00CB03B7"/>
    <w:rsid w:val="00CB03E6"/>
    <w:rsid w:val="00CB0483"/>
    <w:rsid w:val="00CB056F"/>
    <w:rsid w:val="00CB0601"/>
    <w:rsid w:val="00CB06C5"/>
    <w:rsid w:val="00CB06FD"/>
    <w:rsid w:val="00CB075F"/>
    <w:rsid w:val="00CB0791"/>
    <w:rsid w:val="00CB079C"/>
    <w:rsid w:val="00CB079F"/>
    <w:rsid w:val="00CB0822"/>
    <w:rsid w:val="00CB082A"/>
    <w:rsid w:val="00CB082C"/>
    <w:rsid w:val="00CB086E"/>
    <w:rsid w:val="00CB08D6"/>
    <w:rsid w:val="00CB08F5"/>
    <w:rsid w:val="00CB08FB"/>
    <w:rsid w:val="00CB0945"/>
    <w:rsid w:val="00CB096F"/>
    <w:rsid w:val="00CB0996"/>
    <w:rsid w:val="00CB09B4"/>
    <w:rsid w:val="00CB09FA"/>
    <w:rsid w:val="00CB0A7D"/>
    <w:rsid w:val="00CB0A94"/>
    <w:rsid w:val="00CB0AAC"/>
    <w:rsid w:val="00CB0AD1"/>
    <w:rsid w:val="00CB0B0C"/>
    <w:rsid w:val="00CB0B80"/>
    <w:rsid w:val="00CB0CB8"/>
    <w:rsid w:val="00CB0D36"/>
    <w:rsid w:val="00CB0D44"/>
    <w:rsid w:val="00CB0D4C"/>
    <w:rsid w:val="00CB0D4D"/>
    <w:rsid w:val="00CB0D8B"/>
    <w:rsid w:val="00CB0D8E"/>
    <w:rsid w:val="00CB0DC4"/>
    <w:rsid w:val="00CB0E1F"/>
    <w:rsid w:val="00CB0E77"/>
    <w:rsid w:val="00CB0E7E"/>
    <w:rsid w:val="00CB0E8C"/>
    <w:rsid w:val="00CB0E8F"/>
    <w:rsid w:val="00CB0E9E"/>
    <w:rsid w:val="00CB0ED6"/>
    <w:rsid w:val="00CB0EE7"/>
    <w:rsid w:val="00CB0F17"/>
    <w:rsid w:val="00CB0F26"/>
    <w:rsid w:val="00CB100E"/>
    <w:rsid w:val="00CB108D"/>
    <w:rsid w:val="00CB1097"/>
    <w:rsid w:val="00CB10C2"/>
    <w:rsid w:val="00CB10CF"/>
    <w:rsid w:val="00CB118C"/>
    <w:rsid w:val="00CB11D9"/>
    <w:rsid w:val="00CB1278"/>
    <w:rsid w:val="00CB12CC"/>
    <w:rsid w:val="00CB12DC"/>
    <w:rsid w:val="00CB136A"/>
    <w:rsid w:val="00CB13A9"/>
    <w:rsid w:val="00CB141C"/>
    <w:rsid w:val="00CB1459"/>
    <w:rsid w:val="00CB148C"/>
    <w:rsid w:val="00CB159A"/>
    <w:rsid w:val="00CB15C6"/>
    <w:rsid w:val="00CB160F"/>
    <w:rsid w:val="00CB16EF"/>
    <w:rsid w:val="00CB1743"/>
    <w:rsid w:val="00CB1785"/>
    <w:rsid w:val="00CB1788"/>
    <w:rsid w:val="00CB17DD"/>
    <w:rsid w:val="00CB17F1"/>
    <w:rsid w:val="00CB1836"/>
    <w:rsid w:val="00CB188D"/>
    <w:rsid w:val="00CB191B"/>
    <w:rsid w:val="00CB1A1D"/>
    <w:rsid w:val="00CB1B0B"/>
    <w:rsid w:val="00CB1B1E"/>
    <w:rsid w:val="00CB1B2F"/>
    <w:rsid w:val="00CB1B7E"/>
    <w:rsid w:val="00CB1BD8"/>
    <w:rsid w:val="00CB1C0A"/>
    <w:rsid w:val="00CB1C42"/>
    <w:rsid w:val="00CB1C53"/>
    <w:rsid w:val="00CB1C8C"/>
    <w:rsid w:val="00CB1CE1"/>
    <w:rsid w:val="00CB1CE3"/>
    <w:rsid w:val="00CB1D06"/>
    <w:rsid w:val="00CB1D7F"/>
    <w:rsid w:val="00CB1D87"/>
    <w:rsid w:val="00CB1DA3"/>
    <w:rsid w:val="00CB1DD4"/>
    <w:rsid w:val="00CB1DE1"/>
    <w:rsid w:val="00CB1ED6"/>
    <w:rsid w:val="00CB1F5A"/>
    <w:rsid w:val="00CB1F75"/>
    <w:rsid w:val="00CB1F97"/>
    <w:rsid w:val="00CB1FDB"/>
    <w:rsid w:val="00CB1FDD"/>
    <w:rsid w:val="00CB212C"/>
    <w:rsid w:val="00CB2163"/>
    <w:rsid w:val="00CB21DE"/>
    <w:rsid w:val="00CB21E1"/>
    <w:rsid w:val="00CB2202"/>
    <w:rsid w:val="00CB22B4"/>
    <w:rsid w:val="00CB22D4"/>
    <w:rsid w:val="00CB22FD"/>
    <w:rsid w:val="00CB2327"/>
    <w:rsid w:val="00CB2375"/>
    <w:rsid w:val="00CB23AE"/>
    <w:rsid w:val="00CB2428"/>
    <w:rsid w:val="00CB2468"/>
    <w:rsid w:val="00CB248B"/>
    <w:rsid w:val="00CB24E1"/>
    <w:rsid w:val="00CB24E9"/>
    <w:rsid w:val="00CB253C"/>
    <w:rsid w:val="00CB255E"/>
    <w:rsid w:val="00CB25A3"/>
    <w:rsid w:val="00CB2688"/>
    <w:rsid w:val="00CB26BE"/>
    <w:rsid w:val="00CB26DB"/>
    <w:rsid w:val="00CB271A"/>
    <w:rsid w:val="00CB271E"/>
    <w:rsid w:val="00CB279C"/>
    <w:rsid w:val="00CB288C"/>
    <w:rsid w:val="00CB294D"/>
    <w:rsid w:val="00CB2A25"/>
    <w:rsid w:val="00CB2A3D"/>
    <w:rsid w:val="00CB2A65"/>
    <w:rsid w:val="00CB2B70"/>
    <w:rsid w:val="00CB2BBB"/>
    <w:rsid w:val="00CB2BD4"/>
    <w:rsid w:val="00CB2C57"/>
    <w:rsid w:val="00CB2C5E"/>
    <w:rsid w:val="00CB2CAF"/>
    <w:rsid w:val="00CB2D58"/>
    <w:rsid w:val="00CB2D67"/>
    <w:rsid w:val="00CB2D9D"/>
    <w:rsid w:val="00CB2E62"/>
    <w:rsid w:val="00CB2E6F"/>
    <w:rsid w:val="00CB2EF9"/>
    <w:rsid w:val="00CB2FB1"/>
    <w:rsid w:val="00CB2FD7"/>
    <w:rsid w:val="00CB2FF4"/>
    <w:rsid w:val="00CB3093"/>
    <w:rsid w:val="00CB309E"/>
    <w:rsid w:val="00CB311A"/>
    <w:rsid w:val="00CB3141"/>
    <w:rsid w:val="00CB3187"/>
    <w:rsid w:val="00CB31CF"/>
    <w:rsid w:val="00CB31E3"/>
    <w:rsid w:val="00CB31EA"/>
    <w:rsid w:val="00CB320A"/>
    <w:rsid w:val="00CB3234"/>
    <w:rsid w:val="00CB3295"/>
    <w:rsid w:val="00CB32CE"/>
    <w:rsid w:val="00CB32EC"/>
    <w:rsid w:val="00CB3329"/>
    <w:rsid w:val="00CB33A3"/>
    <w:rsid w:val="00CB35BC"/>
    <w:rsid w:val="00CB36A6"/>
    <w:rsid w:val="00CB3709"/>
    <w:rsid w:val="00CB3796"/>
    <w:rsid w:val="00CB379A"/>
    <w:rsid w:val="00CB37D8"/>
    <w:rsid w:val="00CB37DA"/>
    <w:rsid w:val="00CB37ED"/>
    <w:rsid w:val="00CB386E"/>
    <w:rsid w:val="00CB3980"/>
    <w:rsid w:val="00CB3987"/>
    <w:rsid w:val="00CB398F"/>
    <w:rsid w:val="00CB3A8E"/>
    <w:rsid w:val="00CB3AAD"/>
    <w:rsid w:val="00CB3AB5"/>
    <w:rsid w:val="00CB3AD4"/>
    <w:rsid w:val="00CB3B63"/>
    <w:rsid w:val="00CB3BC7"/>
    <w:rsid w:val="00CB3C2F"/>
    <w:rsid w:val="00CB3CD5"/>
    <w:rsid w:val="00CB3CD8"/>
    <w:rsid w:val="00CB3D29"/>
    <w:rsid w:val="00CB3D82"/>
    <w:rsid w:val="00CB3DAE"/>
    <w:rsid w:val="00CB3DBE"/>
    <w:rsid w:val="00CB3DE6"/>
    <w:rsid w:val="00CB3E0F"/>
    <w:rsid w:val="00CB3E1D"/>
    <w:rsid w:val="00CB3E2E"/>
    <w:rsid w:val="00CB3E94"/>
    <w:rsid w:val="00CB3ED9"/>
    <w:rsid w:val="00CB3FD3"/>
    <w:rsid w:val="00CB3FE4"/>
    <w:rsid w:val="00CB4013"/>
    <w:rsid w:val="00CB40A2"/>
    <w:rsid w:val="00CB40F7"/>
    <w:rsid w:val="00CB417B"/>
    <w:rsid w:val="00CB418D"/>
    <w:rsid w:val="00CB4193"/>
    <w:rsid w:val="00CB419C"/>
    <w:rsid w:val="00CB4212"/>
    <w:rsid w:val="00CB4220"/>
    <w:rsid w:val="00CB424F"/>
    <w:rsid w:val="00CB42AE"/>
    <w:rsid w:val="00CB42BE"/>
    <w:rsid w:val="00CB42C0"/>
    <w:rsid w:val="00CB42CA"/>
    <w:rsid w:val="00CB42E3"/>
    <w:rsid w:val="00CB431B"/>
    <w:rsid w:val="00CB4374"/>
    <w:rsid w:val="00CB43AC"/>
    <w:rsid w:val="00CB43BD"/>
    <w:rsid w:val="00CB43D9"/>
    <w:rsid w:val="00CB43DF"/>
    <w:rsid w:val="00CB4415"/>
    <w:rsid w:val="00CB441E"/>
    <w:rsid w:val="00CB4459"/>
    <w:rsid w:val="00CB44EC"/>
    <w:rsid w:val="00CB450B"/>
    <w:rsid w:val="00CB451E"/>
    <w:rsid w:val="00CB4557"/>
    <w:rsid w:val="00CB4593"/>
    <w:rsid w:val="00CB45B8"/>
    <w:rsid w:val="00CB460C"/>
    <w:rsid w:val="00CB463D"/>
    <w:rsid w:val="00CB467C"/>
    <w:rsid w:val="00CB46C3"/>
    <w:rsid w:val="00CB46CB"/>
    <w:rsid w:val="00CB46DC"/>
    <w:rsid w:val="00CB46E2"/>
    <w:rsid w:val="00CB46F6"/>
    <w:rsid w:val="00CB4745"/>
    <w:rsid w:val="00CB4783"/>
    <w:rsid w:val="00CB4796"/>
    <w:rsid w:val="00CB48EB"/>
    <w:rsid w:val="00CB4933"/>
    <w:rsid w:val="00CB49FD"/>
    <w:rsid w:val="00CB4AC2"/>
    <w:rsid w:val="00CB4AFA"/>
    <w:rsid w:val="00CB4B1A"/>
    <w:rsid w:val="00CB4B50"/>
    <w:rsid w:val="00CB4C59"/>
    <w:rsid w:val="00CB4C81"/>
    <w:rsid w:val="00CB4CAC"/>
    <w:rsid w:val="00CB4CC1"/>
    <w:rsid w:val="00CB4D53"/>
    <w:rsid w:val="00CB4E3E"/>
    <w:rsid w:val="00CB4E76"/>
    <w:rsid w:val="00CB4E7B"/>
    <w:rsid w:val="00CB4EAC"/>
    <w:rsid w:val="00CB4F03"/>
    <w:rsid w:val="00CB4F29"/>
    <w:rsid w:val="00CB4FF2"/>
    <w:rsid w:val="00CB5011"/>
    <w:rsid w:val="00CB5029"/>
    <w:rsid w:val="00CB5071"/>
    <w:rsid w:val="00CB5088"/>
    <w:rsid w:val="00CB50DC"/>
    <w:rsid w:val="00CB51A8"/>
    <w:rsid w:val="00CB529A"/>
    <w:rsid w:val="00CB52A1"/>
    <w:rsid w:val="00CB52E1"/>
    <w:rsid w:val="00CB53A1"/>
    <w:rsid w:val="00CB53B4"/>
    <w:rsid w:val="00CB53E7"/>
    <w:rsid w:val="00CB53F5"/>
    <w:rsid w:val="00CB5414"/>
    <w:rsid w:val="00CB54A3"/>
    <w:rsid w:val="00CB54D4"/>
    <w:rsid w:val="00CB5592"/>
    <w:rsid w:val="00CB5599"/>
    <w:rsid w:val="00CB55E6"/>
    <w:rsid w:val="00CB55EA"/>
    <w:rsid w:val="00CB564C"/>
    <w:rsid w:val="00CB5670"/>
    <w:rsid w:val="00CB5681"/>
    <w:rsid w:val="00CB5690"/>
    <w:rsid w:val="00CB56D6"/>
    <w:rsid w:val="00CB5764"/>
    <w:rsid w:val="00CB5790"/>
    <w:rsid w:val="00CB57BE"/>
    <w:rsid w:val="00CB58B6"/>
    <w:rsid w:val="00CB58D0"/>
    <w:rsid w:val="00CB58DD"/>
    <w:rsid w:val="00CB58E2"/>
    <w:rsid w:val="00CB5901"/>
    <w:rsid w:val="00CB59D6"/>
    <w:rsid w:val="00CB5A9D"/>
    <w:rsid w:val="00CB5B33"/>
    <w:rsid w:val="00CB5BAA"/>
    <w:rsid w:val="00CB5BCA"/>
    <w:rsid w:val="00CB5C12"/>
    <w:rsid w:val="00CB5C2C"/>
    <w:rsid w:val="00CB5CD5"/>
    <w:rsid w:val="00CB5CDD"/>
    <w:rsid w:val="00CB5D28"/>
    <w:rsid w:val="00CB5DB8"/>
    <w:rsid w:val="00CB5DE0"/>
    <w:rsid w:val="00CB5EA8"/>
    <w:rsid w:val="00CB5EA9"/>
    <w:rsid w:val="00CB5EBB"/>
    <w:rsid w:val="00CB5EC4"/>
    <w:rsid w:val="00CB5F33"/>
    <w:rsid w:val="00CB5F99"/>
    <w:rsid w:val="00CB5FB0"/>
    <w:rsid w:val="00CB6037"/>
    <w:rsid w:val="00CB604E"/>
    <w:rsid w:val="00CB60DD"/>
    <w:rsid w:val="00CB60E0"/>
    <w:rsid w:val="00CB60E1"/>
    <w:rsid w:val="00CB610D"/>
    <w:rsid w:val="00CB613F"/>
    <w:rsid w:val="00CB614D"/>
    <w:rsid w:val="00CB615F"/>
    <w:rsid w:val="00CB6174"/>
    <w:rsid w:val="00CB617B"/>
    <w:rsid w:val="00CB61A7"/>
    <w:rsid w:val="00CB6249"/>
    <w:rsid w:val="00CB6287"/>
    <w:rsid w:val="00CB631E"/>
    <w:rsid w:val="00CB632E"/>
    <w:rsid w:val="00CB64D9"/>
    <w:rsid w:val="00CB64FD"/>
    <w:rsid w:val="00CB6538"/>
    <w:rsid w:val="00CB6542"/>
    <w:rsid w:val="00CB65A8"/>
    <w:rsid w:val="00CB6607"/>
    <w:rsid w:val="00CB6624"/>
    <w:rsid w:val="00CB6680"/>
    <w:rsid w:val="00CB6685"/>
    <w:rsid w:val="00CB66A0"/>
    <w:rsid w:val="00CB66F7"/>
    <w:rsid w:val="00CB6726"/>
    <w:rsid w:val="00CB67BC"/>
    <w:rsid w:val="00CB67DA"/>
    <w:rsid w:val="00CB67E8"/>
    <w:rsid w:val="00CB67FC"/>
    <w:rsid w:val="00CB682D"/>
    <w:rsid w:val="00CB684E"/>
    <w:rsid w:val="00CB6893"/>
    <w:rsid w:val="00CB68EE"/>
    <w:rsid w:val="00CB68F1"/>
    <w:rsid w:val="00CB693C"/>
    <w:rsid w:val="00CB6962"/>
    <w:rsid w:val="00CB697F"/>
    <w:rsid w:val="00CB69C4"/>
    <w:rsid w:val="00CB6A04"/>
    <w:rsid w:val="00CB6A52"/>
    <w:rsid w:val="00CB6AD1"/>
    <w:rsid w:val="00CB6B08"/>
    <w:rsid w:val="00CB6B16"/>
    <w:rsid w:val="00CB6B1C"/>
    <w:rsid w:val="00CB6B2C"/>
    <w:rsid w:val="00CB6B5A"/>
    <w:rsid w:val="00CB6B7B"/>
    <w:rsid w:val="00CB6BA2"/>
    <w:rsid w:val="00CB6C0D"/>
    <w:rsid w:val="00CB6C16"/>
    <w:rsid w:val="00CB6D03"/>
    <w:rsid w:val="00CB6D77"/>
    <w:rsid w:val="00CB6D9A"/>
    <w:rsid w:val="00CB6DE4"/>
    <w:rsid w:val="00CB6DFE"/>
    <w:rsid w:val="00CB6E00"/>
    <w:rsid w:val="00CB6E68"/>
    <w:rsid w:val="00CB6E9F"/>
    <w:rsid w:val="00CB6EDC"/>
    <w:rsid w:val="00CB6F14"/>
    <w:rsid w:val="00CB6F44"/>
    <w:rsid w:val="00CB6F5C"/>
    <w:rsid w:val="00CB6FA7"/>
    <w:rsid w:val="00CB6FE1"/>
    <w:rsid w:val="00CB700E"/>
    <w:rsid w:val="00CB709E"/>
    <w:rsid w:val="00CB70D3"/>
    <w:rsid w:val="00CB70E0"/>
    <w:rsid w:val="00CB70E5"/>
    <w:rsid w:val="00CB7102"/>
    <w:rsid w:val="00CB7126"/>
    <w:rsid w:val="00CB717F"/>
    <w:rsid w:val="00CB71D9"/>
    <w:rsid w:val="00CB723F"/>
    <w:rsid w:val="00CB73A0"/>
    <w:rsid w:val="00CB73CB"/>
    <w:rsid w:val="00CB7421"/>
    <w:rsid w:val="00CB7477"/>
    <w:rsid w:val="00CB7503"/>
    <w:rsid w:val="00CB75DA"/>
    <w:rsid w:val="00CB763F"/>
    <w:rsid w:val="00CB7673"/>
    <w:rsid w:val="00CB7694"/>
    <w:rsid w:val="00CB7751"/>
    <w:rsid w:val="00CB77B2"/>
    <w:rsid w:val="00CB77CD"/>
    <w:rsid w:val="00CB7814"/>
    <w:rsid w:val="00CB7845"/>
    <w:rsid w:val="00CB78AE"/>
    <w:rsid w:val="00CB78C1"/>
    <w:rsid w:val="00CB78C2"/>
    <w:rsid w:val="00CB790F"/>
    <w:rsid w:val="00CB7930"/>
    <w:rsid w:val="00CB7944"/>
    <w:rsid w:val="00CB7960"/>
    <w:rsid w:val="00CB79AB"/>
    <w:rsid w:val="00CB79B9"/>
    <w:rsid w:val="00CB79BC"/>
    <w:rsid w:val="00CB79C4"/>
    <w:rsid w:val="00CB79CD"/>
    <w:rsid w:val="00CB79E8"/>
    <w:rsid w:val="00CB7A11"/>
    <w:rsid w:val="00CB7B55"/>
    <w:rsid w:val="00CB7B6B"/>
    <w:rsid w:val="00CB7BC3"/>
    <w:rsid w:val="00CB7BD5"/>
    <w:rsid w:val="00CB7C05"/>
    <w:rsid w:val="00CB7C7A"/>
    <w:rsid w:val="00CB7C89"/>
    <w:rsid w:val="00CB7C97"/>
    <w:rsid w:val="00CB7CA5"/>
    <w:rsid w:val="00CB7CCC"/>
    <w:rsid w:val="00CB7D61"/>
    <w:rsid w:val="00CB7DA0"/>
    <w:rsid w:val="00CB7DA5"/>
    <w:rsid w:val="00CB7E0C"/>
    <w:rsid w:val="00CB7E12"/>
    <w:rsid w:val="00CB7E16"/>
    <w:rsid w:val="00CB7E25"/>
    <w:rsid w:val="00CB7EA6"/>
    <w:rsid w:val="00CB7EEC"/>
    <w:rsid w:val="00CB7F42"/>
    <w:rsid w:val="00CB7F6D"/>
    <w:rsid w:val="00CB7FD7"/>
    <w:rsid w:val="00CC0032"/>
    <w:rsid w:val="00CC00D3"/>
    <w:rsid w:val="00CC016C"/>
    <w:rsid w:val="00CC01D8"/>
    <w:rsid w:val="00CC0223"/>
    <w:rsid w:val="00CC022B"/>
    <w:rsid w:val="00CC02A9"/>
    <w:rsid w:val="00CC02AE"/>
    <w:rsid w:val="00CC02DF"/>
    <w:rsid w:val="00CC0378"/>
    <w:rsid w:val="00CC0396"/>
    <w:rsid w:val="00CC049D"/>
    <w:rsid w:val="00CC0522"/>
    <w:rsid w:val="00CC053D"/>
    <w:rsid w:val="00CC05DA"/>
    <w:rsid w:val="00CC05ED"/>
    <w:rsid w:val="00CC0645"/>
    <w:rsid w:val="00CC06B1"/>
    <w:rsid w:val="00CC06E3"/>
    <w:rsid w:val="00CC074B"/>
    <w:rsid w:val="00CC075B"/>
    <w:rsid w:val="00CC0798"/>
    <w:rsid w:val="00CC079A"/>
    <w:rsid w:val="00CC07A4"/>
    <w:rsid w:val="00CC07B7"/>
    <w:rsid w:val="00CC0844"/>
    <w:rsid w:val="00CC08D2"/>
    <w:rsid w:val="00CC08DD"/>
    <w:rsid w:val="00CC08FE"/>
    <w:rsid w:val="00CC090D"/>
    <w:rsid w:val="00CC091A"/>
    <w:rsid w:val="00CC09C2"/>
    <w:rsid w:val="00CC09E5"/>
    <w:rsid w:val="00CC0A4B"/>
    <w:rsid w:val="00CC0A87"/>
    <w:rsid w:val="00CC0AE8"/>
    <w:rsid w:val="00CC0AEA"/>
    <w:rsid w:val="00CC0B3C"/>
    <w:rsid w:val="00CC0C1D"/>
    <w:rsid w:val="00CC0C29"/>
    <w:rsid w:val="00CC0C5B"/>
    <w:rsid w:val="00CC0CA4"/>
    <w:rsid w:val="00CC0CBB"/>
    <w:rsid w:val="00CC0CCD"/>
    <w:rsid w:val="00CC0D0E"/>
    <w:rsid w:val="00CC0D5B"/>
    <w:rsid w:val="00CC0D60"/>
    <w:rsid w:val="00CC0D99"/>
    <w:rsid w:val="00CC0EDD"/>
    <w:rsid w:val="00CC0F9B"/>
    <w:rsid w:val="00CC0FB0"/>
    <w:rsid w:val="00CC1015"/>
    <w:rsid w:val="00CC1043"/>
    <w:rsid w:val="00CC1050"/>
    <w:rsid w:val="00CC108C"/>
    <w:rsid w:val="00CC10A6"/>
    <w:rsid w:val="00CC10C5"/>
    <w:rsid w:val="00CC1135"/>
    <w:rsid w:val="00CC114B"/>
    <w:rsid w:val="00CC1276"/>
    <w:rsid w:val="00CC131E"/>
    <w:rsid w:val="00CC1498"/>
    <w:rsid w:val="00CC155B"/>
    <w:rsid w:val="00CC1561"/>
    <w:rsid w:val="00CC15D5"/>
    <w:rsid w:val="00CC15E9"/>
    <w:rsid w:val="00CC1694"/>
    <w:rsid w:val="00CC16E6"/>
    <w:rsid w:val="00CC1719"/>
    <w:rsid w:val="00CC1789"/>
    <w:rsid w:val="00CC178E"/>
    <w:rsid w:val="00CC17C7"/>
    <w:rsid w:val="00CC17F4"/>
    <w:rsid w:val="00CC1830"/>
    <w:rsid w:val="00CC1841"/>
    <w:rsid w:val="00CC1844"/>
    <w:rsid w:val="00CC1854"/>
    <w:rsid w:val="00CC18FC"/>
    <w:rsid w:val="00CC1958"/>
    <w:rsid w:val="00CC19A3"/>
    <w:rsid w:val="00CC19C1"/>
    <w:rsid w:val="00CC1A08"/>
    <w:rsid w:val="00CC1A61"/>
    <w:rsid w:val="00CC1A7E"/>
    <w:rsid w:val="00CC1AF6"/>
    <w:rsid w:val="00CC1B3D"/>
    <w:rsid w:val="00CC1B48"/>
    <w:rsid w:val="00CC1D0B"/>
    <w:rsid w:val="00CC1D24"/>
    <w:rsid w:val="00CC1D6F"/>
    <w:rsid w:val="00CC1D70"/>
    <w:rsid w:val="00CC1D7C"/>
    <w:rsid w:val="00CC1D9C"/>
    <w:rsid w:val="00CC1DBB"/>
    <w:rsid w:val="00CC1E22"/>
    <w:rsid w:val="00CC1E42"/>
    <w:rsid w:val="00CC1E8F"/>
    <w:rsid w:val="00CC1EA2"/>
    <w:rsid w:val="00CC1ED6"/>
    <w:rsid w:val="00CC1F1C"/>
    <w:rsid w:val="00CC1F30"/>
    <w:rsid w:val="00CC1F4C"/>
    <w:rsid w:val="00CC1F74"/>
    <w:rsid w:val="00CC1FA5"/>
    <w:rsid w:val="00CC2049"/>
    <w:rsid w:val="00CC2083"/>
    <w:rsid w:val="00CC20AC"/>
    <w:rsid w:val="00CC20C8"/>
    <w:rsid w:val="00CC2171"/>
    <w:rsid w:val="00CC21C1"/>
    <w:rsid w:val="00CC21CB"/>
    <w:rsid w:val="00CC21D2"/>
    <w:rsid w:val="00CC21D8"/>
    <w:rsid w:val="00CC2200"/>
    <w:rsid w:val="00CC221E"/>
    <w:rsid w:val="00CC2234"/>
    <w:rsid w:val="00CC226D"/>
    <w:rsid w:val="00CC233D"/>
    <w:rsid w:val="00CC2343"/>
    <w:rsid w:val="00CC2375"/>
    <w:rsid w:val="00CC2386"/>
    <w:rsid w:val="00CC23EB"/>
    <w:rsid w:val="00CC24D8"/>
    <w:rsid w:val="00CC2527"/>
    <w:rsid w:val="00CC257C"/>
    <w:rsid w:val="00CC25C4"/>
    <w:rsid w:val="00CC25EA"/>
    <w:rsid w:val="00CC260C"/>
    <w:rsid w:val="00CC262B"/>
    <w:rsid w:val="00CC2642"/>
    <w:rsid w:val="00CC2762"/>
    <w:rsid w:val="00CC278E"/>
    <w:rsid w:val="00CC27A6"/>
    <w:rsid w:val="00CC27E0"/>
    <w:rsid w:val="00CC27F9"/>
    <w:rsid w:val="00CC293F"/>
    <w:rsid w:val="00CC297F"/>
    <w:rsid w:val="00CC2A62"/>
    <w:rsid w:val="00CC2A63"/>
    <w:rsid w:val="00CC2A69"/>
    <w:rsid w:val="00CC2AF1"/>
    <w:rsid w:val="00CC2AFF"/>
    <w:rsid w:val="00CC2B0F"/>
    <w:rsid w:val="00CC2B4B"/>
    <w:rsid w:val="00CC2BF9"/>
    <w:rsid w:val="00CC2C4E"/>
    <w:rsid w:val="00CC2C65"/>
    <w:rsid w:val="00CC2C79"/>
    <w:rsid w:val="00CC2CC2"/>
    <w:rsid w:val="00CC2CC4"/>
    <w:rsid w:val="00CC2CC8"/>
    <w:rsid w:val="00CC2D4D"/>
    <w:rsid w:val="00CC2DA9"/>
    <w:rsid w:val="00CC2DE1"/>
    <w:rsid w:val="00CC2DEE"/>
    <w:rsid w:val="00CC2DF9"/>
    <w:rsid w:val="00CC2E09"/>
    <w:rsid w:val="00CC2E2F"/>
    <w:rsid w:val="00CC2EA3"/>
    <w:rsid w:val="00CC2F50"/>
    <w:rsid w:val="00CC2FBE"/>
    <w:rsid w:val="00CC3085"/>
    <w:rsid w:val="00CC30D0"/>
    <w:rsid w:val="00CC30EB"/>
    <w:rsid w:val="00CC3101"/>
    <w:rsid w:val="00CC3145"/>
    <w:rsid w:val="00CC314F"/>
    <w:rsid w:val="00CC31E7"/>
    <w:rsid w:val="00CC32C3"/>
    <w:rsid w:val="00CC32F1"/>
    <w:rsid w:val="00CC3320"/>
    <w:rsid w:val="00CC332B"/>
    <w:rsid w:val="00CC3392"/>
    <w:rsid w:val="00CC3477"/>
    <w:rsid w:val="00CC34CE"/>
    <w:rsid w:val="00CC3519"/>
    <w:rsid w:val="00CC35DE"/>
    <w:rsid w:val="00CC3619"/>
    <w:rsid w:val="00CC363D"/>
    <w:rsid w:val="00CC367B"/>
    <w:rsid w:val="00CC367D"/>
    <w:rsid w:val="00CC36C3"/>
    <w:rsid w:val="00CC36D3"/>
    <w:rsid w:val="00CC372D"/>
    <w:rsid w:val="00CC3744"/>
    <w:rsid w:val="00CC3758"/>
    <w:rsid w:val="00CC3797"/>
    <w:rsid w:val="00CC381E"/>
    <w:rsid w:val="00CC3860"/>
    <w:rsid w:val="00CC38AE"/>
    <w:rsid w:val="00CC38FA"/>
    <w:rsid w:val="00CC3923"/>
    <w:rsid w:val="00CC392B"/>
    <w:rsid w:val="00CC399C"/>
    <w:rsid w:val="00CC399F"/>
    <w:rsid w:val="00CC3A4C"/>
    <w:rsid w:val="00CC3A52"/>
    <w:rsid w:val="00CC3A6A"/>
    <w:rsid w:val="00CC3A74"/>
    <w:rsid w:val="00CC3A7A"/>
    <w:rsid w:val="00CC3AA6"/>
    <w:rsid w:val="00CC3AB2"/>
    <w:rsid w:val="00CC3B00"/>
    <w:rsid w:val="00CC3CDF"/>
    <w:rsid w:val="00CC3D6E"/>
    <w:rsid w:val="00CC3E20"/>
    <w:rsid w:val="00CC3E42"/>
    <w:rsid w:val="00CC3E82"/>
    <w:rsid w:val="00CC3EE1"/>
    <w:rsid w:val="00CC3F43"/>
    <w:rsid w:val="00CC3F48"/>
    <w:rsid w:val="00CC3F6F"/>
    <w:rsid w:val="00CC3F81"/>
    <w:rsid w:val="00CC3FED"/>
    <w:rsid w:val="00CC40C0"/>
    <w:rsid w:val="00CC4128"/>
    <w:rsid w:val="00CC412B"/>
    <w:rsid w:val="00CC413C"/>
    <w:rsid w:val="00CC416B"/>
    <w:rsid w:val="00CC420C"/>
    <w:rsid w:val="00CC421B"/>
    <w:rsid w:val="00CC4220"/>
    <w:rsid w:val="00CC4228"/>
    <w:rsid w:val="00CC4259"/>
    <w:rsid w:val="00CC4294"/>
    <w:rsid w:val="00CC42F5"/>
    <w:rsid w:val="00CC42F6"/>
    <w:rsid w:val="00CC430E"/>
    <w:rsid w:val="00CC435B"/>
    <w:rsid w:val="00CC4364"/>
    <w:rsid w:val="00CC43D0"/>
    <w:rsid w:val="00CC4406"/>
    <w:rsid w:val="00CC440D"/>
    <w:rsid w:val="00CC449B"/>
    <w:rsid w:val="00CC44C1"/>
    <w:rsid w:val="00CC4520"/>
    <w:rsid w:val="00CC453D"/>
    <w:rsid w:val="00CC45A0"/>
    <w:rsid w:val="00CC45E3"/>
    <w:rsid w:val="00CC466C"/>
    <w:rsid w:val="00CC4670"/>
    <w:rsid w:val="00CC467A"/>
    <w:rsid w:val="00CC4699"/>
    <w:rsid w:val="00CC4708"/>
    <w:rsid w:val="00CC4717"/>
    <w:rsid w:val="00CC4779"/>
    <w:rsid w:val="00CC47CB"/>
    <w:rsid w:val="00CC47D6"/>
    <w:rsid w:val="00CC4821"/>
    <w:rsid w:val="00CC4858"/>
    <w:rsid w:val="00CC4865"/>
    <w:rsid w:val="00CC48B3"/>
    <w:rsid w:val="00CC48E6"/>
    <w:rsid w:val="00CC493B"/>
    <w:rsid w:val="00CC49EF"/>
    <w:rsid w:val="00CC4A34"/>
    <w:rsid w:val="00CC4B1A"/>
    <w:rsid w:val="00CC4B73"/>
    <w:rsid w:val="00CC4BB4"/>
    <w:rsid w:val="00CC4C59"/>
    <w:rsid w:val="00CC4CA0"/>
    <w:rsid w:val="00CC4CAE"/>
    <w:rsid w:val="00CC4D22"/>
    <w:rsid w:val="00CC4D83"/>
    <w:rsid w:val="00CC4E08"/>
    <w:rsid w:val="00CC4E3D"/>
    <w:rsid w:val="00CC4EE8"/>
    <w:rsid w:val="00CC4F55"/>
    <w:rsid w:val="00CC4F61"/>
    <w:rsid w:val="00CC4F69"/>
    <w:rsid w:val="00CC5019"/>
    <w:rsid w:val="00CC5102"/>
    <w:rsid w:val="00CC510E"/>
    <w:rsid w:val="00CC5111"/>
    <w:rsid w:val="00CC5121"/>
    <w:rsid w:val="00CC518C"/>
    <w:rsid w:val="00CC51F3"/>
    <w:rsid w:val="00CC5206"/>
    <w:rsid w:val="00CC524E"/>
    <w:rsid w:val="00CC5281"/>
    <w:rsid w:val="00CC52C7"/>
    <w:rsid w:val="00CC52FE"/>
    <w:rsid w:val="00CC530F"/>
    <w:rsid w:val="00CC5349"/>
    <w:rsid w:val="00CC536D"/>
    <w:rsid w:val="00CC537D"/>
    <w:rsid w:val="00CC53D0"/>
    <w:rsid w:val="00CC54FC"/>
    <w:rsid w:val="00CC55A6"/>
    <w:rsid w:val="00CC55C2"/>
    <w:rsid w:val="00CC55F1"/>
    <w:rsid w:val="00CC5607"/>
    <w:rsid w:val="00CC568A"/>
    <w:rsid w:val="00CC56BB"/>
    <w:rsid w:val="00CC56E9"/>
    <w:rsid w:val="00CC5706"/>
    <w:rsid w:val="00CC570F"/>
    <w:rsid w:val="00CC5749"/>
    <w:rsid w:val="00CC5763"/>
    <w:rsid w:val="00CC57D8"/>
    <w:rsid w:val="00CC57E1"/>
    <w:rsid w:val="00CC587C"/>
    <w:rsid w:val="00CC58A8"/>
    <w:rsid w:val="00CC58AF"/>
    <w:rsid w:val="00CC58FD"/>
    <w:rsid w:val="00CC597B"/>
    <w:rsid w:val="00CC598F"/>
    <w:rsid w:val="00CC59A0"/>
    <w:rsid w:val="00CC59DD"/>
    <w:rsid w:val="00CC5A11"/>
    <w:rsid w:val="00CC5A6B"/>
    <w:rsid w:val="00CC5AED"/>
    <w:rsid w:val="00CC5B01"/>
    <w:rsid w:val="00CC5B3A"/>
    <w:rsid w:val="00CC5C24"/>
    <w:rsid w:val="00CC5C5F"/>
    <w:rsid w:val="00CC5CA1"/>
    <w:rsid w:val="00CC5D3C"/>
    <w:rsid w:val="00CC5D45"/>
    <w:rsid w:val="00CC5D59"/>
    <w:rsid w:val="00CC5D5B"/>
    <w:rsid w:val="00CC5DE2"/>
    <w:rsid w:val="00CC5E42"/>
    <w:rsid w:val="00CC5EB5"/>
    <w:rsid w:val="00CC5F9E"/>
    <w:rsid w:val="00CC6011"/>
    <w:rsid w:val="00CC60B9"/>
    <w:rsid w:val="00CC60CA"/>
    <w:rsid w:val="00CC60D0"/>
    <w:rsid w:val="00CC6131"/>
    <w:rsid w:val="00CC6196"/>
    <w:rsid w:val="00CC61D0"/>
    <w:rsid w:val="00CC6277"/>
    <w:rsid w:val="00CC627F"/>
    <w:rsid w:val="00CC6295"/>
    <w:rsid w:val="00CC62CE"/>
    <w:rsid w:val="00CC6326"/>
    <w:rsid w:val="00CC63C1"/>
    <w:rsid w:val="00CC6406"/>
    <w:rsid w:val="00CC641F"/>
    <w:rsid w:val="00CC6481"/>
    <w:rsid w:val="00CC64DF"/>
    <w:rsid w:val="00CC64EC"/>
    <w:rsid w:val="00CC651C"/>
    <w:rsid w:val="00CC653E"/>
    <w:rsid w:val="00CC65D2"/>
    <w:rsid w:val="00CC65DB"/>
    <w:rsid w:val="00CC6618"/>
    <w:rsid w:val="00CC666D"/>
    <w:rsid w:val="00CC667F"/>
    <w:rsid w:val="00CC6697"/>
    <w:rsid w:val="00CC66C3"/>
    <w:rsid w:val="00CC66DB"/>
    <w:rsid w:val="00CC6754"/>
    <w:rsid w:val="00CC6759"/>
    <w:rsid w:val="00CC675C"/>
    <w:rsid w:val="00CC676B"/>
    <w:rsid w:val="00CC677B"/>
    <w:rsid w:val="00CC6782"/>
    <w:rsid w:val="00CC6791"/>
    <w:rsid w:val="00CC6799"/>
    <w:rsid w:val="00CC67AF"/>
    <w:rsid w:val="00CC6874"/>
    <w:rsid w:val="00CC687C"/>
    <w:rsid w:val="00CC68AA"/>
    <w:rsid w:val="00CC6A60"/>
    <w:rsid w:val="00CC6A97"/>
    <w:rsid w:val="00CC6AAF"/>
    <w:rsid w:val="00CC6AB3"/>
    <w:rsid w:val="00CC6AB7"/>
    <w:rsid w:val="00CC6C25"/>
    <w:rsid w:val="00CC6C60"/>
    <w:rsid w:val="00CC6C9C"/>
    <w:rsid w:val="00CC6CF1"/>
    <w:rsid w:val="00CC6DD2"/>
    <w:rsid w:val="00CC6E1A"/>
    <w:rsid w:val="00CC6E86"/>
    <w:rsid w:val="00CC6ED1"/>
    <w:rsid w:val="00CC6F48"/>
    <w:rsid w:val="00CC701E"/>
    <w:rsid w:val="00CC7054"/>
    <w:rsid w:val="00CC70B8"/>
    <w:rsid w:val="00CC70F3"/>
    <w:rsid w:val="00CC710E"/>
    <w:rsid w:val="00CC71A3"/>
    <w:rsid w:val="00CC73AA"/>
    <w:rsid w:val="00CC7455"/>
    <w:rsid w:val="00CC74B9"/>
    <w:rsid w:val="00CC74CF"/>
    <w:rsid w:val="00CC750C"/>
    <w:rsid w:val="00CC7541"/>
    <w:rsid w:val="00CC756B"/>
    <w:rsid w:val="00CC7614"/>
    <w:rsid w:val="00CC76ED"/>
    <w:rsid w:val="00CC774D"/>
    <w:rsid w:val="00CC77A7"/>
    <w:rsid w:val="00CC78B1"/>
    <w:rsid w:val="00CC78EE"/>
    <w:rsid w:val="00CC7939"/>
    <w:rsid w:val="00CC79ED"/>
    <w:rsid w:val="00CC79F9"/>
    <w:rsid w:val="00CC79FB"/>
    <w:rsid w:val="00CC7A58"/>
    <w:rsid w:val="00CC7A96"/>
    <w:rsid w:val="00CC7B10"/>
    <w:rsid w:val="00CC7B68"/>
    <w:rsid w:val="00CC7BD4"/>
    <w:rsid w:val="00CC7C22"/>
    <w:rsid w:val="00CC7C42"/>
    <w:rsid w:val="00CC7C60"/>
    <w:rsid w:val="00CC7C99"/>
    <w:rsid w:val="00CC7CA6"/>
    <w:rsid w:val="00CC7CA7"/>
    <w:rsid w:val="00CC7CC7"/>
    <w:rsid w:val="00CC7CCC"/>
    <w:rsid w:val="00CC7CD3"/>
    <w:rsid w:val="00CC7D6D"/>
    <w:rsid w:val="00CC7D9D"/>
    <w:rsid w:val="00CC7DBA"/>
    <w:rsid w:val="00CC7ED7"/>
    <w:rsid w:val="00CC7F3D"/>
    <w:rsid w:val="00CC7F67"/>
    <w:rsid w:val="00CC7FB3"/>
    <w:rsid w:val="00CC7FE6"/>
    <w:rsid w:val="00CC7FF7"/>
    <w:rsid w:val="00CD0026"/>
    <w:rsid w:val="00CD002D"/>
    <w:rsid w:val="00CD0087"/>
    <w:rsid w:val="00CD009A"/>
    <w:rsid w:val="00CD00ED"/>
    <w:rsid w:val="00CD018D"/>
    <w:rsid w:val="00CD01FB"/>
    <w:rsid w:val="00CD0258"/>
    <w:rsid w:val="00CD0278"/>
    <w:rsid w:val="00CD0299"/>
    <w:rsid w:val="00CD02CA"/>
    <w:rsid w:val="00CD02D4"/>
    <w:rsid w:val="00CD0361"/>
    <w:rsid w:val="00CD038F"/>
    <w:rsid w:val="00CD0417"/>
    <w:rsid w:val="00CD046A"/>
    <w:rsid w:val="00CD047B"/>
    <w:rsid w:val="00CD049B"/>
    <w:rsid w:val="00CD04B2"/>
    <w:rsid w:val="00CD052E"/>
    <w:rsid w:val="00CD0541"/>
    <w:rsid w:val="00CD0579"/>
    <w:rsid w:val="00CD05EC"/>
    <w:rsid w:val="00CD05FE"/>
    <w:rsid w:val="00CD0626"/>
    <w:rsid w:val="00CD0699"/>
    <w:rsid w:val="00CD06BB"/>
    <w:rsid w:val="00CD06F2"/>
    <w:rsid w:val="00CD0741"/>
    <w:rsid w:val="00CD0850"/>
    <w:rsid w:val="00CD0859"/>
    <w:rsid w:val="00CD08B1"/>
    <w:rsid w:val="00CD092F"/>
    <w:rsid w:val="00CD097A"/>
    <w:rsid w:val="00CD099D"/>
    <w:rsid w:val="00CD09DF"/>
    <w:rsid w:val="00CD0A93"/>
    <w:rsid w:val="00CD0ACE"/>
    <w:rsid w:val="00CD0B1D"/>
    <w:rsid w:val="00CD0B2B"/>
    <w:rsid w:val="00CD0BA3"/>
    <w:rsid w:val="00CD0BDD"/>
    <w:rsid w:val="00CD0C42"/>
    <w:rsid w:val="00CD0CB1"/>
    <w:rsid w:val="00CD0CBD"/>
    <w:rsid w:val="00CD0CF0"/>
    <w:rsid w:val="00CD0D45"/>
    <w:rsid w:val="00CD0D72"/>
    <w:rsid w:val="00CD0DC7"/>
    <w:rsid w:val="00CD0DE1"/>
    <w:rsid w:val="00CD0E54"/>
    <w:rsid w:val="00CD0EB1"/>
    <w:rsid w:val="00CD0F96"/>
    <w:rsid w:val="00CD10DF"/>
    <w:rsid w:val="00CD1145"/>
    <w:rsid w:val="00CD114A"/>
    <w:rsid w:val="00CD1175"/>
    <w:rsid w:val="00CD118B"/>
    <w:rsid w:val="00CD11A4"/>
    <w:rsid w:val="00CD11AC"/>
    <w:rsid w:val="00CD11AD"/>
    <w:rsid w:val="00CD11D3"/>
    <w:rsid w:val="00CD1202"/>
    <w:rsid w:val="00CD122D"/>
    <w:rsid w:val="00CD1255"/>
    <w:rsid w:val="00CD12B1"/>
    <w:rsid w:val="00CD12EB"/>
    <w:rsid w:val="00CD1340"/>
    <w:rsid w:val="00CD1382"/>
    <w:rsid w:val="00CD13AD"/>
    <w:rsid w:val="00CD1416"/>
    <w:rsid w:val="00CD1441"/>
    <w:rsid w:val="00CD1486"/>
    <w:rsid w:val="00CD149B"/>
    <w:rsid w:val="00CD14BA"/>
    <w:rsid w:val="00CD14FF"/>
    <w:rsid w:val="00CD1526"/>
    <w:rsid w:val="00CD157F"/>
    <w:rsid w:val="00CD159A"/>
    <w:rsid w:val="00CD1603"/>
    <w:rsid w:val="00CD16D5"/>
    <w:rsid w:val="00CD16E1"/>
    <w:rsid w:val="00CD1710"/>
    <w:rsid w:val="00CD171B"/>
    <w:rsid w:val="00CD171E"/>
    <w:rsid w:val="00CD17B4"/>
    <w:rsid w:val="00CD182D"/>
    <w:rsid w:val="00CD186F"/>
    <w:rsid w:val="00CD189A"/>
    <w:rsid w:val="00CD1946"/>
    <w:rsid w:val="00CD19A3"/>
    <w:rsid w:val="00CD19D1"/>
    <w:rsid w:val="00CD1A2E"/>
    <w:rsid w:val="00CD1A4D"/>
    <w:rsid w:val="00CD1A7A"/>
    <w:rsid w:val="00CD1A94"/>
    <w:rsid w:val="00CD1AA5"/>
    <w:rsid w:val="00CD1AF2"/>
    <w:rsid w:val="00CD1B9F"/>
    <w:rsid w:val="00CD1BBD"/>
    <w:rsid w:val="00CD1BDF"/>
    <w:rsid w:val="00CD1BF1"/>
    <w:rsid w:val="00CD1C33"/>
    <w:rsid w:val="00CD1C6F"/>
    <w:rsid w:val="00CD1CF6"/>
    <w:rsid w:val="00CD1D71"/>
    <w:rsid w:val="00CD1D73"/>
    <w:rsid w:val="00CD1D75"/>
    <w:rsid w:val="00CD1D79"/>
    <w:rsid w:val="00CD1DE9"/>
    <w:rsid w:val="00CD1E12"/>
    <w:rsid w:val="00CD1E94"/>
    <w:rsid w:val="00CD1EE6"/>
    <w:rsid w:val="00CD1F1C"/>
    <w:rsid w:val="00CD1FA7"/>
    <w:rsid w:val="00CD1FDE"/>
    <w:rsid w:val="00CD1FF9"/>
    <w:rsid w:val="00CD2046"/>
    <w:rsid w:val="00CD20B2"/>
    <w:rsid w:val="00CD20D6"/>
    <w:rsid w:val="00CD20DE"/>
    <w:rsid w:val="00CD20E6"/>
    <w:rsid w:val="00CD2144"/>
    <w:rsid w:val="00CD21A5"/>
    <w:rsid w:val="00CD21CB"/>
    <w:rsid w:val="00CD2254"/>
    <w:rsid w:val="00CD22D1"/>
    <w:rsid w:val="00CD22D2"/>
    <w:rsid w:val="00CD2316"/>
    <w:rsid w:val="00CD238F"/>
    <w:rsid w:val="00CD2413"/>
    <w:rsid w:val="00CD253A"/>
    <w:rsid w:val="00CD2557"/>
    <w:rsid w:val="00CD2565"/>
    <w:rsid w:val="00CD2573"/>
    <w:rsid w:val="00CD2594"/>
    <w:rsid w:val="00CD25E8"/>
    <w:rsid w:val="00CD26A5"/>
    <w:rsid w:val="00CD26CA"/>
    <w:rsid w:val="00CD26DF"/>
    <w:rsid w:val="00CD26E2"/>
    <w:rsid w:val="00CD26EA"/>
    <w:rsid w:val="00CD279B"/>
    <w:rsid w:val="00CD27C7"/>
    <w:rsid w:val="00CD27DB"/>
    <w:rsid w:val="00CD2827"/>
    <w:rsid w:val="00CD286A"/>
    <w:rsid w:val="00CD28CF"/>
    <w:rsid w:val="00CD28F0"/>
    <w:rsid w:val="00CD28F3"/>
    <w:rsid w:val="00CD28F4"/>
    <w:rsid w:val="00CD28FF"/>
    <w:rsid w:val="00CD2950"/>
    <w:rsid w:val="00CD2993"/>
    <w:rsid w:val="00CD2994"/>
    <w:rsid w:val="00CD2A04"/>
    <w:rsid w:val="00CD2A4D"/>
    <w:rsid w:val="00CD2AB8"/>
    <w:rsid w:val="00CD2B09"/>
    <w:rsid w:val="00CD2B47"/>
    <w:rsid w:val="00CD2BF8"/>
    <w:rsid w:val="00CD2C90"/>
    <w:rsid w:val="00CD2CC6"/>
    <w:rsid w:val="00CD2D75"/>
    <w:rsid w:val="00CD2DAC"/>
    <w:rsid w:val="00CD2E2B"/>
    <w:rsid w:val="00CD2E67"/>
    <w:rsid w:val="00CD2EAD"/>
    <w:rsid w:val="00CD2EF4"/>
    <w:rsid w:val="00CD2EF6"/>
    <w:rsid w:val="00CD2F18"/>
    <w:rsid w:val="00CD2FAD"/>
    <w:rsid w:val="00CD304B"/>
    <w:rsid w:val="00CD304D"/>
    <w:rsid w:val="00CD3076"/>
    <w:rsid w:val="00CD30A3"/>
    <w:rsid w:val="00CD3147"/>
    <w:rsid w:val="00CD323C"/>
    <w:rsid w:val="00CD3255"/>
    <w:rsid w:val="00CD330E"/>
    <w:rsid w:val="00CD3389"/>
    <w:rsid w:val="00CD3411"/>
    <w:rsid w:val="00CD3433"/>
    <w:rsid w:val="00CD3453"/>
    <w:rsid w:val="00CD3470"/>
    <w:rsid w:val="00CD3517"/>
    <w:rsid w:val="00CD3579"/>
    <w:rsid w:val="00CD3595"/>
    <w:rsid w:val="00CD35A1"/>
    <w:rsid w:val="00CD35E5"/>
    <w:rsid w:val="00CD36DC"/>
    <w:rsid w:val="00CD3762"/>
    <w:rsid w:val="00CD3785"/>
    <w:rsid w:val="00CD37D7"/>
    <w:rsid w:val="00CD3864"/>
    <w:rsid w:val="00CD38DD"/>
    <w:rsid w:val="00CD38E8"/>
    <w:rsid w:val="00CD38F8"/>
    <w:rsid w:val="00CD3915"/>
    <w:rsid w:val="00CD393F"/>
    <w:rsid w:val="00CD3A0E"/>
    <w:rsid w:val="00CD3A13"/>
    <w:rsid w:val="00CD3A7B"/>
    <w:rsid w:val="00CD3A8A"/>
    <w:rsid w:val="00CD3B28"/>
    <w:rsid w:val="00CD3B2F"/>
    <w:rsid w:val="00CD3B85"/>
    <w:rsid w:val="00CD3B86"/>
    <w:rsid w:val="00CD3B95"/>
    <w:rsid w:val="00CD3BCF"/>
    <w:rsid w:val="00CD3C25"/>
    <w:rsid w:val="00CD3C8E"/>
    <w:rsid w:val="00CD3CC7"/>
    <w:rsid w:val="00CD3CF4"/>
    <w:rsid w:val="00CD3D14"/>
    <w:rsid w:val="00CD3D62"/>
    <w:rsid w:val="00CD3D97"/>
    <w:rsid w:val="00CD3E41"/>
    <w:rsid w:val="00CD3E88"/>
    <w:rsid w:val="00CD3F52"/>
    <w:rsid w:val="00CD3FAE"/>
    <w:rsid w:val="00CD3FC8"/>
    <w:rsid w:val="00CD4025"/>
    <w:rsid w:val="00CD405D"/>
    <w:rsid w:val="00CD4167"/>
    <w:rsid w:val="00CD41C1"/>
    <w:rsid w:val="00CD41CF"/>
    <w:rsid w:val="00CD41D2"/>
    <w:rsid w:val="00CD41E2"/>
    <w:rsid w:val="00CD4232"/>
    <w:rsid w:val="00CD42A5"/>
    <w:rsid w:val="00CD42AD"/>
    <w:rsid w:val="00CD42D9"/>
    <w:rsid w:val="00CD4343"/>
    <w:rsid w:val="00CD43BD"/>
    <w:rsid w:val="00CD43E5"/>
    <w:rsid w:val="00CD4489"/>
    <w:rsid w:val="00CD44C7"/>
    <w:rsid w:val="00CD44F7"/>
    <w:rsid w:val="00CD4573"/>
    <w:rsid w:val="00CD458F"/>
    <w:rsid w:val="00CD45C6"/>
    <w:rsid w:val="00CD45D9"/>
    <w:rsid w:val="00CD45DC"/>
    <w:rsid w:val="00CD466C"/>
    <w:rsid w:val="00CD4685"/>
    <w:rsid w:val="00CD46B0"/>
    <w:rsid w:val="00CD46F3"/>
    <w:rsid w:val="00CD472E"/>
    <w:rsid w:val="00CD4737"/>
    <w:rsid w:val="00CD474F"/>
    <w:rsid w:val="00CD479E"/>
    <w:rsid w:val="00CD47B6"/>
    <w:rsid w:val="00CD47D4"/>
    <w:rsid w:val="00CD48A7"/>
    <w:rsid w:val="00CD4952"/>
    <w:rsid w:val="00CD4998"/>
    <w:rsid w:val="00CD4A20"/>
    <w:rsid w:val="00CD4A80"/>
    <w:rsid w:val="00CD4AA2"/>
    <w:rsid w:val="00CD4B31"/>
    <w:rsid w:val="00CD4B52"/>
    <w:rsid w:val="00CD4BE5"/>
    <w:rsid w:val="00CD4C00"/>
    <w:rsid w:val="00CD4C5D"/>
    <w:rsid w:val="00CD4C97"/>
    <w:rsid w:val="00CD4CD9"/>
    <w:rsid w:val="00CD4CF2"/>
    <w:rsid w:val="00CD4CFC"/>
    <w:rsid w:val="00CD4DFA"/>
    <w:rsid w:val="00CD4E31"/>
    <w:rsid w:val="00CD4E41"/>
    <w:rsid w:val="00CD4E53"/>
    <w:rsid w:val="00CD4E7A"/>
    <w:rsid w:val="00CD4F04"/>
    <w:rsid w:val="00CD4F05"/>
    <w:rsid w:val="00CD4F17"/>
    <w:rsid w:val="00CD4F46"/>
    <w:rsid w:val="00CD5008"/>
    <w:rsid w:val="00CD5016"/>
    <w:rsid w:val="00CD5073"/>
    <w:rsid w:val="00CD50A1"/>
    <w:rsid w:val="00CD50C1"/>
    <w:rsid w:val="00CD50C3"/>
    <w:rsid w:val="00CD5132"/>
    <w:rsid w:val="00CD5135"/>
    <w:rsid w:val="00CD513F"/>
    <w:rsid w:val="00CD52A6"/>
    <w:rsid w:val="00CD52E4"/>
    <w:rsid w:val="00CD5303"/>
    <w:rsid w:val="00CD5305"/>
    <w:rsid w:val="00CD5347"/>
    <w:rsid w:val="00CD5354"/>
    <w:rsid w:val="00CD5378"/>
    <w:rsid w:val="00CD53A4"/>
    <w:rsid w:val="00CD541A"/>
    <w:rsid w:val="00CD547E"/>
    <w:rsid w:val="00CD54C4"/>
    <w:rsid w:val="00CD5530"/>
    <w:rsid w:val="00CD5553"/>
    <w:rsid w:val="00CD561F"/>
    <w:rsid w:val="00CD5665"/>
    <w:rsid w:val="00CD5682"/>
    <w:rsid w:val="00CD5696"/>
    <w:rsid w:val="00CD56D7"/>
    <w:rsid w:val="00CD56E2"/>
    <w:rsid w:val="00CD579F"/>
    <w:rsid w:val="00CD57F4"/>
    <w:rsid w:val="00CD581A"/>
    <w:rsid w:val="00CD581C"/>
    <w:rsid w:val="00CD585E"/>
    <w:rsid w:val="00CD5868"/>
    <w:rsid w:val="00CD58F3"/>
    <w:rsid w:val="00CD5996"/>
    <w:rsid w:val="00CD599E"/>
    <w:rsid w:val="00CD5A4E"/>
    <w:rsid w:val="00CD5A6D"/>
    <w:rsid w:val="00CD5AB3"/>
    <w:rsid w:val="00CD5ADC"/>
    <w:rsid w:val="00CD5B1C"/>
    <w:rsid w:val="00CD5B2F"/>
    <w:rsid w:val="00CD5BB3"/>
    <w:rsid w:val="00CD5C09"/>
    <w:rsid w:val="00CD5CFA"/>
    <w:rsid w:val="00CD5D09"/>
    <w:rsid w:val="00CD5D76"/>
    <w:rsid w:val="00CD5DBB"/>
    <w:rsid w:val="00CD5DF6"/>
    <w:rsid w:val="00CD5E8D"/>
    <w:rsid w:val="00CD5F01"/>
    <w:rsid w:val="00CD5F09"/>
    <w:rsid w:val="00CD5F5F"/>
    <w:rsid w:val="00CD6010"/>
    <w:rsid w:val="00CD602C"/>
    <w:rsid w:val="00CD6050"/>
    <w:rsid w:val="00CD6096"/>
    <w:rsid w:val="00CD60AC"/>
    <w:rsid w:val="00CD60BA"/>
    <w:rsid w:val="00CD611B"/>
    <w:rsid w:val="00CD6159"/>
    <w:rsid w:val="00CD6184"/>
    <w:rsid w:val="00CD61A5"/>
    <w:rsid w:val="00CD61C3"/>
    <w:rsid w:val="00CD620E"/>
    <w:rsid w:val="00CD6216"/>
    <w:rsid w:val="00CD622E"/>
    <w:rsid w:val="00CD62A6"/>
    <w:rsid w:val="00CD62C4"/>
    <w:rsid w:val="00CD632E"/>
    <w:rsid w:val="00CD6453"/>
    <w:rsid w:val="00CD64D3"/>
    <w:rsid w:val="00CD6513"/>
    <w:rsid w:val="00CD65AF"/>
    <w:rsid w:val="00CD6636"/>
    <w:rsid w:val="00CD6655"/>
    <w:rsid w:val="00CD665D"/>
    <w:rsid w:val="00CD66E7"/>
    <w:rsid w:val="00CD6780"/>
    <w:rsid w:val="00CD678F"/>
    <w:rsid w:val="00CD67B3"/>
    <w:rsid w:val="00CD67B5"/>
    <w:rsid w:val="00CD67B8"/>
    <w:rsid w:val="00CD683D"/>
    <w:rsid w:val="00CD6855"/>
    <w:rsid w:val="00CD6859"/>
    <w:rsid w:val="00CD685F"/>
    <w:rsid w:val="00CD6867"/>
    <w:rsid w:val="00CD689A"/>
    <w:rsid w:val="00CD6956"/>
    <w:rsid w:val="00CD6958"/>
    <w:rsid w:val="00CD6976"/>
    <w:rsid w:val="00CD69F4"/>
    <w:rsid w:val="00CD6A37"/>
    <w:rsid w:val="00CD6A3F"/>
    <w:rsid w:val="00CD6AF7"/>
    <w:rsid w:val="00CD6B46"/>
    <w:rsid w:val="00CD6B91"/>
    <w:rsid w:val="00CD6BAE"/>
    <w:rsid w:val="00CD6BF6"/>
    <w:rsid w:val="00CD6C14"/>
    <w:rsid w:val="00CD6C1C"/>
    <w:rsid w:val="00CD6C61"/>
    <w:rsid w:val="00CD6C93"/>
    <w:rsid w:val="00CD6D23"/>
    <w:rsid w:val="00CD6D49"/>
    <w:rsid w:val="00CD6D71"/>
    <w:rsid w:val="00CD6E0A"/>
    <w:rsid w:val="00CD6E0F"/>
    <w:rsid w:val="00CD6E2C"/>
    <w:rsid w:val="00CD6E54"/>
    <w:rsid w:val="00CD6E5E"/>
    <w:rsid w:val="00CD6E79"/>
    <w:rsid w:val="00CD6F54"/>
    <w:rsid w:val="00CD6FDB"/>
    <w:rsid w:val="00CD6FDD"/>
    <w:rsid w:val="00CD7066"/>
    <w:rsid w:val="00CD70A9"/>
    <w:rsid w:val="00CD70F8"/>
    <w:rsid w:val="00CD7114"/>
    <w:rsid w:val="00CD7167"/>
    <w:rsid w:val="00CD71D0"/>
    <w:rsid w:val="00CD71DD"/>
    <w:rsid w:val="00CD7272"/>
    <w:rsid w:val="00CD72DA"/>
    <w:rsid w:val="00CD72EC"/>
    <w:rsid w:val="00CD7346"/>
    <w:rsid w:val="00CD73CF"/>
    <w:rsid w:val="00CD7546"/>
    <w:rsid w:val="00CD7689"/>
    <w:rsid w:val="00CD7691"/>
    <w:rsid w:val="00CD76DD"/>
    <w:rsid w:val="00CD777F"/>
    <w:rsid w:val="00CD7781"/>
    <w:rsid w:val="00CD77CC"/>
    <w:rsid w:val="00CD77CD"/>
    <w:rsid w:val="00CD7805"/>
    <w:rsid w:val="00CD781E"/>
    <w:rsid w:val="00CD786A"/>
    <w:rsid w:val="00CD7877"/>
    <w:rsid w:val="00CD78AB"/>
    <w:rsid w:val="00CD7997"/>
    <w:rsid w:val="00CD79BD"/>
    <w:rsid w:val="00CD79C0"/>
    <w:rsid w:val="00CD7AEE"/>
    <w:rsid w:val="00CD7B33"/>
    <w:rsid w:val="00CD7BA7"/>
    <w:rsid w:val="00CD7C99"/>
    <w:rsid w:val="00CD7CC6"/>
    <w:rsid w:val="00CD7D46"/>
    <w:rsid w:val="00CD7D4F"/>
    <w:rsid w:val="00CD7D57"/>
    <w:rsid w:val="00CD7D74"/>
    <w:rsid w:val="00CD7E1A"/>
    <w:rsid w:val="00CD7E21"/>
    <w:rsid w:val="00CD7E60"/>
    <w:rsid w:val="00CD7E64"/>
    <w:rsid w:val="00CD7E87"/>
    <w:rsid w:val="00CD7EA1"/>
    <w:rsid w:val="00CD7EA5"/>
    <w:rsid w:val="00CD7EAE"/>
    <w:rsid w:val="00CD7F0B"/>
    <w:rsid w:val="00CD7FEB"/>
    <w:rsid w:val="00CE0011"/>
    <w:rsid w:val="00CE007F"/>
    <w:rsid w:val="00CE0082"/>
    <w:rsid w:val="00CE0091"/>
    <w:rsid w:val="00CE009F"/>
    <w:rsid w:val="00CE00CB"/>
    <w:rsid w:val="00CE0103"/>
    <w:rsid w:val="00CE01AF"/>
    <w:rsid w:val="00CE01C4"/>
    <w:rsid w:val="00CE01C7"/>
    <w:rsid w:val="00CE0202"/>
    <w:rsid w:val="00CE021B"/>
    <w:rsid w:val="00CE02A9"/>
    <w:rsid w:val="00CE0337"/>
    <w:rsid w:val="00CE0459"/>
    <w:rsid w:val="00CE05A4"/>
    <w:rsid w:val="00CE05AF"/>
    <w:rsid w:val="00CE05C2"/>
    <w:rsid w:val="00CE0614"/>
    <w:rsid w:val="00CE062D"/>
    <w:rsid w:val="00CE0647"/>
    <w:rsid w:val="00CE06F1"/>
    <w:rsid w:val="00CE0700"/>
    <w:rsid w:val="00CE071F"/>
    <w:rsid w:val="00CE073B"/>
    <w:rsid w:val="00CE077F"/>
    <w:rsid w:val="00CE0791"/>
    <w:rsid w:val="00CE079E"/>
    <w:rsid w:val="00CE07AD"/>
    <w:rsid w:val="00CE07D8"/>
    <w:rsid w:val="00CE08D8"/>
    <w:rsid w:val="00CE08DA"/>
    <w:rsid w:val="00CE08DB"/>
    <w:rsid w:val="00CE0924"/>
    <w:rsid w:val="00CE095F"/>
    <w:rsid w:val="00CE09A4"/>
    <w:rsid w:val="00CE0A3D"/>
    <w:rsid w:val="00CE0A41"/>
    <w:rsid w:val="00CE0A57"/>
    <w:rsid w:val="00CE0A64"/>
    <w:rsid w:val="00CE0A6C"/>
    <w:rsid w:val="00CE0BBE"/>
    <w:rsid w:val="00CE0BBF"/>
    <w:rsid w:val="00CE0BDD"/>
    <w:rsid w:val="00CE0C17"/>
    <w:rsid w:val="00CE0C3C"/>
    <w:rsid w:val="00CE0C74"/>
    <w:rsid w:val="00CE0C82"/>
    <w:rsid w:val="00CE0CC2"/>
    <w:rsid w:val="00CE0D35"/>
    <w:rsid w:val="00CE0E45"/>
    <w:rsid w:val="00CE0E51"/>
    <w:rsid w:val="00CE0E67"/>
    <w:rsid w:val="00CE0E74"/>
    <w:rsid w:val="00CE0EC8"/>
    <w:rsid w:val="00CE0EE7"/>
    <w:rsid w:val="00CE0F68"/>
    <w:rsid w:val="00CE0F9E"/>
    <w:rsid w:val="00CE0FA8"/>
    <w:rsid w:val="00CE0FD5"/>
    <w:rsid w:val="00CE1021"/>
    <w:rsid w:val="00CE1031"/>
    <w:rsid w:val="00CE105C"/>
    <w:rsid w:val="00CE10A3"/>
    <w:rsid w:val="00CE10DA"/>
    <w:rsid w:val="00CE10EC"/>
    <w:rsid w:val="00CE115A"/>
    <w:rsid w:val="00CE11EA"/>
    <w:rsid w:val="00CE121B"/>
    <w:rsid w:val="00CE125E"/>
    <w:rsid w:val="00CE1279"/>
    <w:rsid w:val="00CE12E2"/>
    <w:rsid w:val="00CE12E7"/>
    <w:rsid w:val="00CE1384"/>
    <w:rsid w:val="00CE140D"/>
    <w:rsid w:val="00CE1474"/>
    <w:rsid w:val="00CE148F"/>
    <w:rsid w:val="00CE158F"/>
    <w:rsid w:val="00CE1610"/>
    <w:rsid w:val="00CE1627"/>
    <w:rsid w:val="00CE1640"/>
    <w:rsid w:val="00CE16B2"/>
    <w:rsid w:val="00CE1742"/>
    <w:rsid w:val="00CE174D"/>
    <w:rsid w:val="00CE1765"/>
    <w:rsid w:val="00CE178E"/>
    <w:rsid w:val="00CE1801"/>
    <w:rsid w:val="00CE185E"/>
    <w:rsid w:val="00CE1946"/>
    <w:rsid w:val="00CE1985"/>
    <w:rsid w:val="00CE199E"/>
    <w:rsid w:val="00CE19AF"/>
    <w:rsid w:val="00CE1A56"/>
    <w:rsid w:val="00CE1A7C"/>
    <w:rsid w:val="00CE1A8E"/>
    <w:rsid w:val="00CE1AFC"/>
    <w:rsid w:val="00CE1B87"/>
    <w:rsid w:val="00CE1BBB"/>
    <w:rsid w:val="00CE1BBE"/>
    <w:rsid w:val="00CE1C1D"/>
    <w:rsid w:val="00CE1C24"/>
    <w:rsid w:val="00CE1D2E"/>
    <w:rsid w:val="00CE1D92"/>
    <w:rsid w:val="00CE1DF7"/>
    <w:rsid w:val="00CE1E0C"/>
    <w:rsid w:val="00CE1E6A"/>
    <w:rsid w:val="00CE1EE6"/>
    <w:rsid w:val="00CE1EE9"/>
    <w:rsid w:val="00CE1F13"/>
    <w:rsid w:val="00CE1F3E"/>
    <w:rsid w:val="00CE1FD8"/>
    <w:rsid w:val="00CE1FF0"/>
    <w:rsid w:val="00CE203F"/>
    <w:rsid w:val="00CE204A"/>
    <w:rsid w:val="00CE2079"/>
    <w:rsid w:val="00CE20A7"/>
    <w:rsid w:val="00CE20CF"/>
    <w:rsid w:val="00CE2168"/>
    <w:rsid w:val="00CE21B4"/>
    <w:rsid w:val="00CE2210"/>
    <w:rsid w:val="00CE227E"/>
    <w:rsid w:val="00CE22EF"/>
    <w:rsid w:val="00CE2328"/>
    <w:rsid w:val="00CE2336"/>
    <w:rsid w:val="00CE234C"/>
    <w:rsid w:val="00CE2398"/>
    <w:rsid w:val="00CE2411"/>
    <w:rsid w:val="00CE2451"/>
    <w:rsid w:val="00CE2453"/>
    <w:rsid w:val="00CE24A2"/>
    <w:rsid w:val="00CE25B9"/>
    <w:rsid w:val="00CE2661"/>
    <w:rsid w:val="00CE2683"/>
    <w:rsid w:val="00CE270B"/>
    <w:rsid w:val="00CE270D"/>
    <w:rsid w:val="00CE2788"/>
    <w:rsid w:val="00CE2798"/>
    <w:rsid w:val="00CE27B1"/>
    <w:rsid w:val="00CE2807"/>
    <w:rsid w:val="00CE2834"/>
    <w:rsid w:val="00CE2837"/>
    <w:rsid w:val="00CE291A"/>
    <w:rsid w:val="00CE2952"/>
    <w:rsid w:val="00CE297E"/>
    <w:rsid w:val="00CE2A11"/>
    <w:rsid w:val="00CE2A57"/>
    <w:rsid w:val="00CE2AC7"/>
    <w:rsid w:val="00CE2AE1"/>
    <w:rsid w:val="00CE2B56"/>
    <w:rsid w:val="00CE2B87"/>
    <w:rsid w:val="00CE2C0F"/>
    <w:rsid w:val="00CE2C2D"/>
    <w:rsid w:val="00CE2C6E"/>
    <w:rsid w:val="00CE2D52"/>
    <w:rsid w:val="00CE2DB5"/>
    <w:rsid w:val="00CE2DB7"/>
    <w:rsid w:val="00CE2DC0"/>
    <w:rsid w:val="00CE2EBA"/>
    <w:rsid w:val="00CE2F0C"/>
    <w:rsid w:val="00CE2F7C"/>
    <w:rsid w:val="00CE2F9E"/>
    <w:rsid w:val="00CE3073"/>
    <w:rsid w:val="00CE30BC"/>
    <w:rsid w:val="00CE3163"/>
    <w:rsid w:val="00CE31E3"/>
    <w:rsid w:val="00CE31FD"/>
    <w:rsid w:val="00CE320D"/>
    <w:rsid w:val="00CE32CB"/>
    <w:rsid w:val="00CE32F6"/>
    <w:rsid w:val="00CE3366"/>
    <w:rsid w:val="00CE3418"/>
    <w:rsid w:val="00CE342A"/>
    <w:rsid w:val="00CE342E"/>
    <w:rsid w:val="00CE343C"/>
    <w:rsid w:val="00CE343F"/>
    <w:rsid w:val="00CE34F3"/>
    <w:rsid w:val="00CE35AB"/>
    <w:rsid w:val="00CE365A"/>
    <w:rsid w:val="00CE365E"/>
    <w:rsid w:val="00CE3734"/>
    <w:rsid w:val="00CE3797"/>
    <w:rsid w:val="00CE37D8"/>
    <w:rsid w:val="00CE3845"/>
    <w:rsid w:val="00CE385B"/>
    <w:rsid w:val="00CE38A0"/>
    <w:rsid w:val="00CE38E4"/>
    <w:rsid w:val="00CE39B2"/>
    <w:rsid w:val="00CE39E7"/>
    <w:rsid w:val="00CE3A1A"/>
    <w:rsid w:val="00CE3A1C"/>
    <w:rsid w:val="00CE3A35"/>
    <w:rsid w:val="00CE3A57"/>
    <w:rsid w:val="00CE3A77"/>
    <w:rsid w:val="00CE3A82"/>
    <w:rsid w:val="00CE3AAE"/>
    <w:rsid w:val="00CE3B17"/>
    <w:rsid w:val="00CE3BAC"/>
    <w:rsid w:val="00CE3D64"/>
    <w:rsid w:val="00CE3D8C"/>
    <w:rsid w:val="00CE3DB3"/>
    <w:rsid w:val="00CE3DD0"/>
    <w:rsid w:val="00CE3DFF"/>
    <w:rsid w:val="00CE3E30"/>
    <w:rsid w:val="00CE3E6E"/>
    <w:rsid w:val="00CE3EF1"/>
    <w:rsid w:val="00CE3F92"/>
    <w:rsid w:val="00CE3FA3"/>
    <w:rsid w:val="00CE3FBA"/>
    <w:rsid w:val="00CE406A"/>
    <w:rsid w:val="00CE40AC"/>
    <w:rsid w:val="00CE40B6"/>
    <w:rsid w:val="00CE411A"/>
    <w:rsid w:val="00CE412E"/>
    <w:rsid w:val="00CE4152"/>
    <w:rsid w:val="00CE4199"/>
    <w:rsid w:val="00CE41A1"/>
    <w:rsid w:val="00CE41A7"/>
    <w:rsid w:val="00CE41AE"/>
    <w:rsid w:val="00CE4201"/>
    <w:rsid w:val="00CE4206"/>
    <w:rsid w:val="00CE42CB"/>
    <w:rsid w:val="00CE4345"/>
    <w:rsid w:val="00CE43B9"/>
    <w:rsid w:val="00CE43C1"/>
    <w:rsid w:val="00CE43F3"/>
    <w:rsid w:val="00CE43FC"/>
    <w:rsid w:val="00CE444C"/>
    <w:rsid w:val="00CE448E"/>
    <w:rsid w:val="00CE4513"/>
    <w:rsid w:val="00CE451B"/>
    <w:rsid w:val="00CE4554"/>
    <w:rsid w:val="00CE458F"/>
    <w:rsid w:val="00CE459E"/>
    <w:rsid w:val="00CE4623"/>
    <w:rsid w:val="00CE46AE"/>
    <w:rsid w:val="00CE4701"/>
    <w:rsid w:val="00CE472E"/>
    <w:rsid w:val="00CE4818"/>
    <w:rsid w:val="00CE4890"/>
    <w:rsid w:val="00CE4909"/>
    <w:rsid w:val="00CE494B"/>
    <w:rsid w:val="00CE496C"/>
    <w:rsid w:val="00CE4A6E"/>
    <w:rsid w:val="00CE4AA1"/>
    <w:rsid w:val="00CE4B51"/>
    <w:rsid w:val="00CE4BAD"/>
    <w:rsid w:val="00CE4BD6"/>
    <w:rsid w:val="00CE4BE3"/>
    <w:rsid w:val="00CE4C4F"/>
    <w:rsid w:val="00CE4CB7"/>
    <w:rsid w:val="00CE4CC0"/>
    <w:rsid w:val="00CE4CC7"/>
    <w:rsid w:val="00CE4CF9"/>
    <w:rsid w:val="00CE4D48"/>
    <w:rsid w:val="00CE4D6B"/>
    <w:rsid w:val="00CE4D7C"/>
    <w:rsid w:val="00CE4DCA"/>
    <w:rsid w:val="00CE4DFD"/>
    <w:rsid w:val="00CE4E96"/>
    <w:rsid w:val="00CE4E97"/>
    <w:rsid w:val="00CE4EB0"/>
    <w:rsid w:val="00CE4F90"/>
    <w:rsid w:val="00CE4FBC"/>
    <w:rsid w:val="00CE504A"/>
    <w:rsid w:val="00CE5070"/>
    <w:rsid w:val="00CE510C"/>
    <w:rsid w:val="00CE516E"/>
    <w:rsid w:val="00CE51A9"/>
    <w:rsid w:val="00CE51B8"/>
    <w:rsid w:val="00CE5203"/>
    <w:rsid w:val="00CE520B"/>
    <w:rsid w:val="00CE521E"/>
    <w:rsid w:val="00CE5254"/>
    <w:rsid w:val="00CE528D"/>
    <w:rsid w:val="00CE52B2"/>
    <w:rsid w:val="00CE52D1"/>
    <w:rsid w:val="00CE52DC"/>
    <w:rsid w:val="00CE5314"/>
    <w:rsid w:val="00CE532D"/>
    <w:rsid w:val="00CE5336"/>
    <w:rsid w:val="00CE5390"/>
    <w:rsid w:val="00CE5392"/>
    <w:rsid w:val="00CE53CB"/>
    <w:rsid w:val="00CE53CD"/>
    <w:rsid w:val="00CE540F"/>
    <w:rsid w:val="00CE546A"/>
    <w:rsid w:val="00CE549E"/>
    <w:rsid w:val="00CE54A8"/>
    <w:rsid w:val="00CE54BC"/>
    <w:rsid w:val="00CE54BE"/>
    <w:rsid w:val="00CE54DA"/>
    <w:rsid w:val="00CE5517"/>
    <w:rsid w:val="00CE552C"/>
    <w:rsid w:val="00CE55E3"/>
    <w:rsid w:val="00CE5630"/>
    <w:rsid w:val="00CE5637"/>
    <w:rsid w:val="00CE5652"/>
    <w:rsid w:val="00CE569D"/>
    <w:rsid w:val="00CE56A9"/>
    <w:rsid w:val="00CE5735"/>
    <w:rsid w:val="00CE5750"/>
    <w:rsid w:val="00CE57B7"/>
    <w:rsid w:val="00CE57BB"/>
    <w:rsid w:val="00CE57CC"/>
    <w:rsid w:val="00CE5815"/>
    <w:rsid w:val="00CE5844"/>
    <w:rsid w:val="00CE58C0"/>
    <w:rsid w:val="00CE596A"/>
    <w:rsid w:val="00CE59AA"/>
    <w:rsid w:val="00CE59D1"/>
    <w:rsid w:val="00CE5A99"/>
    <w:rsid w:val="00CE5AAE"/>
    <w:rsid w:val="00CE5AC2"/>
    <w:rsid w:val="00CE5B2B"/>
    <w:rsid w:val="00CE5B5C"/>
    <w:rsid w:val="00CE5BBD"/>
    <w:rsid w:val="00CE5C55"/>
    <w:rsid w:val="00CE5CE5"/>
    <w:rsid w:val="00CE5DAD"/>
    <w:rsid w:val="00CE5E0F"/>
    <w:rsid w:val="00CE5E17"/>
    <w:rsid w:val="00CE5E1E"/>
    <w:rsid w:val="00CE5E8F"/>
    <w:rsid w:val="00CE5F3F"/>
    <w:rsid w:val="00CE5F6F"/>
    <w:rsid w:val="00CE5FCF"/>
    <w:rsid w:val="00CE602D"/>
    <w:rsid w:val="00CE60F7"/>
    <w:rsid w:val="00CE6114"/>
    <w:rsid w:val="00CE6166"/>
    <w:rsid w:val="00CE617B"/>
    <w:rsid w:val="00CE6205"/>
    <w:rsid w:val="00CE6241"/>
    <w:rsid w:val="00CE6257"/>
    <w:rsid w:val="00CE6264"/>
    <w:rsid w:val="00CE627E"/>
    <w:rsid w:val="00CE62AB"/>
    <w:rsid w:val="00CE62BB"/>
    <w:rsid w:val="00CE62F2"/>
    <w:rsid w:val="00CE6306"/>
    <w:rsid w:val="00CE6346"/>
    <w:rsid w:val="00CE6395"/>
    <w:rsid w:val="00CE63C1"/>
    <w:rsid w:val="00CE63C7"/>
    <w:rsid w:val="00CE63E0"/>
    <w:rsid w:val="00CE63EC"/>
    <w:rsid w:val="00CE6493"/>
    <w:rsid w:val="00CE649E"/>
    <w:rsid w:val="00CE64DE"/>
    <w:rsid w:val="00CE64E7"/>
    <w:rsid w:val="00CE64EF"/>
    <w:rsid w:val="00CE653F"/>
    <w:rsid w:val="00CE6562"/>
    <w:rsid w:val="00CE657D"/>
    <w:rsid w:val="00CE657E"/>
    <w:rsid w:val="00CE66C0"/>
    <w:rsid w:val="00CE671B"/>
    <w:rsid w:val="00CE6732"/>
    <w:rsid w:val="00CE6775"/>
    <w:rsid w:val="00CE67B9"/>
    <w:rsid w:val="00CE6806"/>
    <w:rsid w:val="00CE685B"/>
    <w:rsid w:val="00CE685D"/>
    <w:rsid w:val="00CE6889"/>
    <w:rsid w:val="00CE68DD"/>
    <w:rsid w:val="00CE693D"/>
    <w:rsid w:val="00CE6962"/>
    <w:rsid w:val="00CE6973"/>
    <w:rsid w:val="00CE6974"/>
    <w:rsid w:val="00CE69B7"/>
    <w:rsid w:val="00CE69F0"/>
    <w:rsid w:val="00CE6A70"/>
    <w:rsid w:val="00CE6ADE"/>
    <w:rsid w:val="00CE6B45"/>
    <w:rsid w:val="00CE6B4D"/>
    <w:rsid w:val="00CE6BB3"/>
    <w:rsid w:val="00CE6C10"/>
    <w:rsid w:val="00CE6C82"/>
    <w:rsid w:val="00CE6CC9"/>
    <w:rsid w:val="00CE6D2E"/>
    <w:rsid w:val="00CE6D7E"/>
    <w:rsid w:val="00CE6DAB"/>
    <w:rsid w:val="00CE6DE7"/>
    <w:rsid w:val="00CE6E32"/>
    <w:rsid w:val="00CE6E37"/>
    <w:rsid w:val="00CE6ECD"/>
    <w:rsid w:val="00CE6F89"/>
    <w:rsid w:val="00CE6FF9"/>
    <w:rsid w:val="00CE7028"/>
    <w:rsid w:val="00CE704E"/>
    <w:rsid w:val="00CE707E"/>
    <w:rsid w:val="00CE70C1"/>
    <w:rsid w:val="00CE7146"/>
    <w:rsid w:val="00CE7147"/>
    <w:rsid w:val="00CE7169"/>
    <w:rsid w:val="00CE7178"/>
    <w:rsid w:val="00CE7207"/>
    <w:rsid w:val="00CE720E"/>
    <w:rsid w:val="00CE7274"/>
    <w:rsid w:val="00CE7287"/>
    <w:rsid w:val="00CE7345"/>
    <w:rsid w:val="00CE737A"/>
    <w:rsid w:val="00CE7383"/>
    <w:rsid w:val="00CE7477"/>
    <w:rsid w:val="00CE74BD"/>
    <w:rsid w:val="00CE7559"/>
    <w:rsid w:val="00CE7564"/>
    <w:rsid w:val="00CE7599"/>
    <w:rsid w:val="00CE75A2"/>
    <w:rsid w:val="00CE75AD"/>
    <w:rsid w:val="00CE75B4"/>
    <w:rsid w:val="00CE75B6"/>
    <w:rsid w:val="00CE75FF"/>
    <w:rsid w:val="00CE7624"/>
    <w:rsid w:val="00CE7654"/>
    <w:rsid w:val="00CE7674"/>
    <w:rsid w:val="00CE76D0"/>
    <w:rsid w:val="00CE777B"/>
    <w:rsid w:val="00CE77F5"/>
    <w:rsid w:val="00CE77FB"/>
    <w:rsid w:val="00CE788C"/>
    <w:rsid w:val="00CE7931"/>
    <w:rsid w:val="00CE7975"/>
    <w:rsid w:val="00CE7A09"/>
    <w:rsid w:val="00CE7A8B"/>
    <w:rsid w:val="00CE7ABC"/>
    <w:rsid w:val="00CE7AF9"/>
    <w:rsid w:val="00CE7B6E"/>
    <w:rsid w:val="00CE7B97"/>
    <w:rsid w:val="00CE7BBB"/>
    <w:rsid w:val="00CE7C31"/>
    <w:rsid w:val="00CE7C9B"/>
    <w:rsid w:val="00CE7CB2"/>
    <w:rsid w:val="00CE7CDE"/>
    <w:rsid w:val="00CE7DE1"/>
    <w:rsid w:val="00CE7DE2"/>
    <w:rsid w:val="00CE7E19"/>
    <w:rsid w:val="00CE7E6A"/>
    <w:rsid w:val="00CE7E6F"/>
    <w:rsid w:val="00CE7E79"/>
    <w:rsid w:val="00CE7EAE"/>
    <w:rsid w:val="00CE7EF1"/>
    <w:rsid w:val="00CF000C"/>
    <w:rsid w:val="00CF002F"/>
    <w:rsid w:val="00CF0056"/>
    <w:rsid w:val="00CF006D"/>
    <w:rsid w:val="00CF00ED"/>
    <w:rsid w:val="00CF0114"/>
    <w:rsid w:val="00CF0116"/>
    <w:rsid w:val="00CF0148"/>
    <w:rsid w:val="00CF0154"/>
    <w:rsid w:val="00CF018E"/>
    <w:rsid w:val="00CF01D6"/>
    <w:rsid w:val="00CF01D7"/>
    <w:rsid w:val="00CF02B0"/>
    <w:rsid w:val="00CF02D7"/>
    <w:rsid w:val="00CF02E3"/>
    <w:rsid w:val="00CF02F1"/>
    <w:rsid w:val="00CF02F4"/>
    <w:rsid w:val="00CF0333"/>
    <w:rsid w:val="00CF0353"/>
    <w:rsid w:val="00CF035C"/>
    <w:rsid w:val="00CF03C0"/>
    <w:rsid w:val="00CF03D0"/>
    <w:rsid w:val="00CF041D"/>
    <w:rsid w:val="00CF0474"/>
    <w:rsid w:val="00CF04A5"/>
    <w:rsid w:val="00CF04AB"/>
    <w:rsid w:val="00CF04E2"/>
    <w:rsid w:val="00CF0526"/>
    <w:rsid w:val="00CF0556"/>
    <w:rsid w:val="00CF055A"/>
    <w:rsid w:val="00CF0570"/>
    <w:rsid w:val="00CF057F"/>
    <w:rsid w:val="00CF0581"/>
    <w:rsid w:val="00CF05E8"/>
    <w:rsid w:val="00CF0675"/>
    <w:rsid w:val="00CF0695"/>
    <w:rsid w:val="00CF06D5"/>
    <w:rsid w:val="00CF06D7"/>
    <w:rsid w:val="00CF0721"/>
    <w:rsid w:val="00CF07D5"/>
    <w:rsid w:val="00CF080B"/>
    <w:rsid w:val="00CF0872"/>
    <w:rsid w:val="00CF0894"/>
    <w:rsid w:val="00CF08D1"/>
    <w:rsid w:val="00CF08F2"/>
    <w:rsid w:val="00CF0910"/>
    <w:rsid w:val="00CF0950"/>
    <w:rsid w:val="00CF0964"/>
    <w:rsid w:val="00CF096F"/>
    <w:rsid w:val="00CF0975"/>
    <w:rsid w:val="00CF09BE"/>
    <w:rsid w:val="00CF09EA"/>
    <w:rsid w:val="00CF0A3A"/>
    <w:rsid w:val="00CF0A5A"/>
    <w:rsid w:val="00CF0A78"/>
    <w:rsid w:val="00CF0A83"/>
    <w:rsid w:val="00CF0ACC"/>
    <w:rsid w:val="00CF0B0F"/>
    <w:rsid w:val="00CF0B81"/>
    <w:rsid w:val="00CF0BCB"/>
    <w:rsid w:val="00CF0C4B"/>
    <w:rsid w:val="00CF0C5B"/>
    <w:rsid w:val="00CF0C98"/>
    <w:rsid w:val="00CF0CBA"/>
    <w:rsid w:val="00CF0D4F"/>
    <w:rsid w:val="00CF0D54"/>
    <w:rsid w:val="00CF0DC7"/>
    <w:rsid w:val="00CF0EFB"/>
    <w:rsid w:val="00CF0F6E"/>
    <w:rsid w:val="00CF0FCF"/>
    <w:rsid w:val="00CF0FE7"/>
    <w:rsid w:val="00CF102B"/>
    <w:rsid w:val="00CF1047"/>
    <w:rsid w:val="00CF1063"/>
    <w:rsid w:val="00CF1101"/>
    <w:rsid w:val="00CF1115"/>
    <w:rsid w:val="00CF113B"/>
    <w:rsid w:val="00CF11ED"/>
    <w:rsid w:val="00CF1211"/>
    <w:rsid w:val="00CF128C"/>
    <w:rsid w:val="00CF1318"/>
    <w:rsid w:val="00CF1334"/>
    <w:rsid w:val="00CF13A9"/>
    <w:rsid w:val="00CF13ED"/>
    <w:rsid w:val="00CF13FE"/>
    <w:rsid w:val="00CF144C"/>
    <w:rsid w:val="00CF155A"/>
    <w:rsid w:val="00CF15B7"/>
    <w:rsid w:val="00CF15C1"/>
    <w:rsid w:val="00CF1632"/>
    <w:rsid w:val="00CF1656"/>
    <w:rsid w:val="00CF173F"/>
    <w:rsid w:val="00CF1741"/>
    <w:rsid w:val="00CF17E9"/>
    <w:rsid w:val="00CF1833"/>
    <w:rsid w:val="00CF184C"/>
    <w:rsid w:val="00CF188D"/>
    <w:rsid w:val="00CF18A7"/>
    <w:rsid w:val="00CF18DD"/>
    <w:rsid w:val="00CF18EC"/>
    <w:rsid w:val="00CF1940"/>
    <w:rsid w:val="00CF1A40"/>
    <w:rsid w:val="00CF1A50"/>
    <w:rsid w:val="00CF1A75"/>
    <w:rsid w:val="00CF1B0B"/>
    <w:rsid w:val="00CF1B0C"/>
    <w:rsid w:val="00CF1B3C"/>
    <w:rsid w:val="00CF1B6D"/>
    <w:rsid w:val="00CF1BAF"/>
    <w:rsid w:val="00CF1BB3"/>
    <w:rsid w:val="00CF1CDF"/>
    <w:rsid w:val="00CF1D35"/>
    <w:rsid w:val="00CF1D6D"/>
    <w:rsid w:val="00CF1DD3"/>
    <w:rsid w:val="00CF1E63"/>
    <w:rsid w:val="00CF1E64"/>
    <w:rsid w:val="00CF1EB0"/>
    <w:rsid w:val="00CF1F1F"/>
    <w:rsid w:val="00CF1F4B"/>
    <w:rsid w:val="00CF1FCC"/>
    <w:rsid w:val="00CF1FE0"/>
    <w:rsid w:val="00CF2004"/>
    <w:rsid w:val="00CF202B"/>
    <w:rsid w:val="00CF2034"/>
    <w:rsid w:val="00CF203A"/>
    <w:rsid w:val="00CF2068"/>
    <w:rsid w:val="00CF208E"/>
    <w:rsid w:val="00CF2118"/>
    <w:rsid w:val="00CF2121"/>
    <w:rsid w:val="00CF2168"/>
    <w:rsid w:val="00CF23B3"/>
    <w:rsid w:val="00CF23B4"/>
    <w:rsid w:val="00CF2417"/>
    <w:rsid w:val="00CF2434"/>
    <w:rsid w:val="00CF24C8"/>
    <w:rsid w:val="00CF250D"/>
    <w:rsid w:val="00CF254E"/>
    <w:rsid w:val="00CF25D0"/>
    <w:rsid w:val="00CF25ED"/>
    <w:rsid w:val="00CF265A"/>
    <w:rsid w:val="00CF2687"/>
    <w:rsid w:val="00CF26F5"/>
    <w:rsid w:val="00CF2720"/>
    <w:rsid w:val="00CF2804"/>
    <w:rsid w:val="00CF2832"/>
    <w:rsid w:val="00CF292B"/>
    <w:rsid w:val="00CF2A54"/>
    <w:rsid w:val="00CF2AAA"/>
    <w:rsid w:val="00CF2B44"/>
    <w:rsid w:val="00CF2B77"/>
    <w:rsid w:val="00CF2BA8"/>
    <w:rsid w:val="00CF2CE4"/>
    <w:rsid w:val="00CF2D52"/>
    <w:rsid w:val="00CF2D5E"/>
    <w:rsid w:val="00CF2DB5"/>
    <w:rsid w:val="00CF2DBF"/>
    <w:rsid w:val="00CF2DE4"/>
    <w:rsid w:val="00CF2E37"/>
    <w:rsid w:val="00CF2E41"/>
    <w:rsid w:val="00CF2E44"/>
    <w:rsid w:val="00CF2E7B"/>
    <w:rsid w:val="00CF2F0E"/>
    <w:rsid w:val="00CF2F11"/>
    <w:rsid w:val="00CF2F72"/>
    <w:rsid w:val="00CF2FA1"/>
    <w:rsid w:val="00CF300C"/>
    <w:rsid w:val="00CF30DF"/>
    <w:rsid w:val="00CF30F9"/>
    <w:rsid w:val="00CF30FC"/>
    <w:rsid w:val="00CF3125"/>
    <w:rsid w:val="00CF3129"/>
    <w:rsid w:val="00CF3207"/>
    <w:rsid w:val="00CF3259"/>
    <w:rsid w:val="00CF3372"/>
    <w:rsid w:val="00CF33B1"/>
    <w:rsid w:val="00CF33D5"/>
    <w:rsid w:val="00CF3493"/>
    <w:rsid w:val="00CF353E"/>
    <w:rsid w:val="00CF3627"/>
    <w:rsid w:val="00CF3648"/>
    <w:rsid w:val="00CF3665"/>
    <w:rsid w:val="00CF36EC"/>
    <w:rsid w:val="00CF3723"/>
    <w:rsid w:val="00CF3779"/>
    <w:rsid w:val="00CF3813"/>
    <w:rsid w:val="00CF3871"/>
    <w:rsid w:val="00CF387C"/>
    <w:rsid w:val="00CF3894"/>
    <w:rsid w:val="00CF38CB"/>
    <w:rsid w:val="00CF393F"/>
    <w:rsid w:val="00CF3972"/>
    <w:rsid w:val="00CF39AD"/>
    <w:rsid w:val="00CF3A08"/>
    <w:rsid w:val="00CF3A45"/>
    <w:rsid w:val="00CF3A46"/>
    <w:rsid w:val="00CF3A63"/>
    <w:rsid w:val="00CF3A7D"/>
    <w:rsid w:val="00CF3A99"/>
    <w:rsid w:val="00CF3ACA"/>
    <w:rsid w:val="00CF3D28"/>
    <w:rsid w:val="00CF3D80"/>
    <w:rsid w:val="00CF3DCA"/>
    <w:rsid w:val="00CF3E7A"/>
    <w:rsid w:val="00CF3E92"/>
    <w:rsid w:val="00CF3EFC"/>
    <w:rsid w:val="00CF402B"/>
    <w:rsid w:val="00CF40BA"/>
    <w:rsid w:val="00CF40C0"/>
    <w:rsid w:val="00CF40DD"/>
    <w:rsid w:val="00CF40F1"/>
    <w:rsid w:val="00CF4148"/>
    <w:rsid w:val="00CF416C"/>
    <w:rsid w:val="00CF4185"/>
    <w:rsid w:val="00CF41D1"/>
    <w:rsid w:val="00CF41E5"/>
    <w:rsid w:val="00CF4212"/>
    <w:rsid w:val="00CF4262"/>
    <w:rsid w:val="00CF429D"/>
    <w:rsid w:val="00CF4304"/>
    <w:rsid w:val="00CF430A"/>
    <w:rsid w:val="00CF438A"/>
    <w:rsid w:val="00CF43D5"/>
    <w:rsid w:val="00CF441E"/>
    <w:rsid w:val="00CF443E"/>
    <w:rsid w:val="00CF447B"/>
    <w:rsid w:val="00CF4519"/>
    <w:rsid w:val="00CF4633"/>
    <w:rsid w:val="00CF4665"/>
    <w:rsid w:val="00CF4666"/>
    <w:rsid w:val="00CF4667"/>
    <w:rsid w:val="00CF46A7"/>
    <w:rsid w:val="00CF46B4"/>
    <w:rsid w:val="00CF46E0"/>
    <w:rsid w:val="00CF4714"/>
    <w:rsid w:val="00CF474D"/>
    <w:rsid w:val="00CF4795"/>
    <w:rsid w:val="00CF4844"/>
    <w:rsid w:val="00CF4846"/>
    <w:rsid w:val="00CF48CF"/>
    <w:rsid w:val="00CF48FB"/>
    <w:rsid w:val="00CF4907"/>
    <w:rsid w:val="00CF490D"/>
    <w:rsid w:val="00CF4913"/>
    <w:rsid w:val="00CF4948"/>
    <w:rsid w:val="00CF494D"/>
    <w:rsid w:val="00CF49C6"/>
    <w:rsid w:val="00CF4A04"/>
    <w:rsid w:val="00CF4A5D"/>
    <w:rsid w:val="00CF4A71"/>
    <w:rsid w:val="00CF4A86"/>
    <w:rsid w:val="00CF4B55"/>
    <w:rsid w:val="00CF4B63"/>
    <w:rsid w:val="00CF4B69"/>
    <w:rsid w:val="00CF4BB3"/>
    <w:rsid w:val="00CF4C04"/>
    <w:rsid w:val="00CF4C2A"/>
    <w:rsid w:val="00CF4CC0"/>
    <w:rsid w:val="00CF4CC4"/>
    <w:rsid w:val="00CF4D6E"/>
    <w:rsid w:val="00CF4E0B"/>
    <w:rsid w:val="00CF4E18"/>
    <w:rsid w:val="00CF4E19"/>
    <w:rsid w:val="00CF4F68"/>
    <w:rsid w:val="00CF4FA7"/>
    <w:rsid w:val="00CF4FD1"/>
    <w:rsid w:val="00CF505B"/>
    <w:rsid w:val="00CF505C"/>
    <w:rsid w:val="00CF509D"/>
    <w:rsid w:val="00CF50B1"/>
    <w:rsid w:val="00CF5161"/>
    <w:rsid w:val="00CF51A0"/>
    <w:rsid w:val="00CF51F8"/>
    <w:rsid w:val="00CF5202"/>
    <w:rsid w:val="00CF521F"/>
    <w:rsid w:val="00CF5226"/>
    <w:rsid w:val="00CF52EE"/>
    <w:rsid w:val="00CF5347"/>
    <w:rsid w:val="00CF5349"/>
    <w:rsid w:val="00CF5376"/>
    <w:rsid w:val="00CF537A"/>
    <w:rsid w:val="00CF539D"/>
    <w:rsid w:val="00CF53A8"/>
    <w:rsid w:val="00CF53B8"/>
    <w:rsid w:val="00CF53BD"/>
    <w:rsid w:val="00CF5408"/>
    <w:rsid w:val="00CF540F"/>
    <w:rsid w:val="00CF5424"/>
    <w:rsid w:val="00CF5538"/>
    <w:rsid w:val="00CF5573"/>
    <w:rsid w:val="00CF55BD"/>
    <w:rsid w:val="00CF55C8"/>
    <w:rsid w:val="00CF5629"/>
    <w:rsid w:val="00CF564F"/>
    <w:rsid w:val="00CF5651"/>
    <w:rsid w:val="00CF57ED"/>
    <w:rsid w:val="00CF5803"/>
    <w:rsid w:val="00CF580A"/>
    <w:rsid w:val="00CF5834"/>
    <w:rsid w:val="00CF5862"/>
    <w:rsid w:val="00CF5865"/>
    <w:rsid w:val="00CF58D7"/>
    <w:rsid w:val="00CF58E4"/>
    <w:rsid w:val="00CF59C6"/>
    <w:rsid w:val="00CF59DF"/>
    <w:rsid w:val="00CF5A9B"/>
    <w:rsid w:val="00CF5AE9"/>
    <w:rsid w:val="00CF5B6D"/>
    <w:rsid w:val="00CF5B7C"/>
    <w:rsid w:val="00CF5C13"/>
    <w:rsid w:val="00CF5C6A"/>
    <w:rsid w:val="00CF5C8D"/>
    <w:rsid w:val="00CF5D23"/>
    <w:rsid w:val="00CF5DED"/>
    <w:rsid w:val="00CF5E89"/>
    <w:rsid w:val="00CF5F46"/>
    <w:rsid w:val="00CF5F49"/>
    <w:rsid w:val="00CF5FB6"/>
    <w:rsid w:val="00CF6030"/>
    <w:rsid w:val="00CF6089"/>
    <w:rsid w:val="00CF61C9"/>
    <w:rsid w:val="00CF6268"/>
    <w:rsid w:val="00CF6269"/>
    <w:rsid w:val="00CF62C6"/>
    <w:rsid w:val="00CF62F0"/>
    <w:rsid w:val="00CF6374"/>
    <w:rsid w:val="00CF6387"/>
    <w:rsid w:val="00CF63C5"/>
    <w:rsid w:val="00CF642E"/>
    <w:rsid w:val="00CF6457"/>
    <w:rsid w:val="00CF6497"/>
    <w:rsid w:val="00CF6569"/>
    <w:rsid w:val="00CF65B3"/>
    <w:rsid w:val="00CF6675"/>
    <w:rsid w:val="00CF66BB"/>
    <w:rsid w:val="00CF671B"/>
    <w:rsid w:val="00CF6757"/>
    <w:rsid w:val="00CF675F"/>
    <w:rsid w:val="00CF6785"/>
    <w:rsid w:val="00CF67AA"/>
    <w:rsid w:val="00CF6815"/>
    <w:rsid w:val="00CF6852"/>
    <w:rsid w:val="00CF6924"/>
    <w:rsid w:val="00CF693F"/>
    <w:rsid w:val="00CF6960"/>
    <w:rsid w:val="00CF69C9"/>
    <w:rsid w:val="00CF69FA"/>
    <w:rsid w:val="00CF6A20"/>
    <w:rsid w:val="00CF6A57"/>
    <w:rsid w:val="00CF6A62"/>
    <w:rsid w:val="00CF6ACC"/>
    <w:rsid w:val="00CF6B30"/>
    <w:rsid w:val="00CF6B35"/>
    <w:rsid w:val="00CF6C0D"/>
    <w:rsid w:val="00CF6C1D"/>
    <w:rsid w:val="00CF6CCD"/>
    <w:rsid w:val="00CF6CED"/>
    <w:rsid w:val="00CF6D07"/>
    <w:rsid w:val="00CF6D91"/>
    <w:rsid w:val="00CF6DB4"/>
    <w:rsid w:val="00CF6DB9"/>
    <w:rsid w:val="00CF6E2E"/>
    <w:rsid w:val="00CF6E4A"/>
    <w:rsid w:val="00CF6EA9"/>
    <w:rsid w:val="00CF6F2E"/>
    <w:rsid w:val="00CF6F4A"/>
    <w:rsid w:val="00CF6FD9"/>
    <w:rsid w:val="00CF7061"/>
    <w:rsid w:val="00CF70A9"/>
    <w:rsid w:val="00CF70BE"/>
    <w:rsid w:val="00CF70DA"/>
    <w:rsid w:val="00CF710F"/>
    <w:rsid w:val="00CF71D7"/>
    <w:rsid w:val="00CF71F6"/>
    <w:rsid w:val="00CF72CA"/>
    <w:rsid w:val="00CF72CB"/>
    <w:rsid w:val="00CF73BB"/>
    <w:rsid w:val="00CF744E"/>
    <w:rsid w:val="00CF7479"/>
    <w:rsid w:val="00CF74A1"/>
    <w:rsid w:val="00CF74C5"/>
    <w:rsid w:val="00CF7505"/>
    <w:rsid w:val="00CF751A"/>
    <w:rsid w:val="00CF7589"/>
    <w:rsid w:val="00CF75A9"/>
    <w:rsid w:val="00CF75DA"/>
    <w:rsid w:val="00CF75FA"/>
    <w:rsid w:val="00CF761B"/>
    <w:rsid w:val="00CF7630"/>
    <w:rsid w:val="00CF7677"/>
    <w:rsid w:val="00CF76A5"/>
    <w:rsid w:val="00CF76AD"/>
    <w:rsid w:val="00CF76CC"/>
    <w:rsid w:val="00CF7721"/>
    <w:rsid w:val="00CF773F"/>
    <w:rsid w:val="00CF776E"/>
    <w:rsid w:val="00CF77B8"/>
    <w:rsid w:val="00CF77D2"/>
    <w:rsid w:val="00CF79CC"/>
    <w:rsid w:val="00CF79F8"/>
    <w:rsid w:val="00CF7A09"/>
    <w:rsid w:val="00CF7A0A"/>
    <w:rsid w:val="00CF7A11"/>
    <w:rsid w:val="00CF7A49"/>
    <w:rsid w:val="00CF7AAC"/>
    <w:rsid w:val="00CF7ADF"/>
    <w:rsid w:val="00CF7B55"/>
    <w:rsid w:val="00CF7B65"/>
    <w:rsid w:val="00CF7B7D"/>
    <w:rsid w:val="00CF7C8A"/>
    <w:rsid w:val="00CF7CE6"/>
    <w:rsid w:val="00CF7D45"/>
    <w:rsid w:val="00CF7D72"/>
    <w:rsid w:val="00CF7D95"/>
    <w:rsid w:val="00CF7DB1"/>
    <w:rsid w:val="00CF7DD7"/>
    <w:rsid w:val="00CF7E05"/>
    <w:rsid w:val="00CF7E1B"/>
    <w:rsid w:val="00CF7E50"/>
    <w:rsid w:val="00CF7E99"/>
    <w:rsid w:val="00CF7EBF"/>
    <w:rsid w:val="00CF7F2D"/>
    <w:rsid w:val="00CF7F61"/>
    <w:rsid w:val="00CF7F70"/>
    <w:rsid w:val="00CF7F7A"/>
    <w:rsid w:val="00CF7FBA"/>
    <w:rsid w:val="00CF7FD0"/>
    <w:rsid w:val="00CF7FDC"/>
    <w:rsid w:val="00D0000E"/>
    <w:rsid w:val="00D00076"/>
    <w:rsid w:val="00D00084"/>
    <w:rsid w:val="00D000F2"/>
    <w:rsid w:val="00D0011F"/>
    <w:rsid w:val="00D00147"/>
    <w:rsid w:val="00D00187"/>
    <w:rsid w:val="00D001B9"/>
    <w:rsid w:val="00D001E1"/>
    <w:rsid w:val="00D00231"/>
    <w:rsid w:val="00D00255"/>
    <w:rsid w:val="00D00272"/>
    <w:rsid w:val="00D0029F"/>
    <w:rsid w:val="00D002E8"/>
    <w:rsid w:val="00D00318"/>
    <w:rsid w:val="00D0035D"/>
    <w:rsid w:val="00D00380"/>
    <w:rsid w:val="00D003CE"/>
    <w:rsid w:val="00D00430"/>
    <w:rsid w:val="00D0045E"/>
    <w:rsid w:val="00D0048D"/>
    <w:rsid w:val="00D0048F"/>
    <w:rsid w:val="00D004A8"/>
    <w:rsid w:val="00D00528"/>
    <w:rsid w:val="00D0060B"/>
    <w:rsid w:val="00D00610"/>
    <w:rsid w:val="00D00752"/>
    <w:rsid w:val="00D007D5"/>
    <w:rsid w:val="00D00811"/>
    <w:rsid w:val="00D00849"/>
    <w:rsid w:val="00D00883"/>
    <w:rsid w:val="00D00936"/>
    <w:rsid w:val="00D0097F"/>
    <w:rsid w:val="00D009AB"/>
    <w:rsid w:val="00D009B1"/>
    <w:rsid w:val="00D009ED"/>
    <w:rsid w:val="00D00A07"/>
    <w:rsid w:val="00D00A34"/>
    <w:rsid w:val="00D00AA3"/>
    <w:rsid w:val="00D00B66"/>
    <w:rsid w:val="00D00B87"/>
    <w:rsid w:val="00D00B93"/>
    <w:rsid w:val="00D00B9C"/>
    <w:rsid w:val="00D00C6E"/>
    <w:rsid w:val="00D00C6F"/>
    <w:rsid w:val="00D00CCD"/>
    <w:rsid w:val="00D00D38"/>
    <w:rsid w:val="00D00D3A"/>
    <w:rsid w:val="00D00D48"/>
    <w:rsid w:val="00D00DB8"/>
    <w:rsid w:val="00D00DE9"/>
    <w:rsid w:val="00D00E4E"/>
    <w:rsid w:val="00D00E57"/>
    <w:rsid w:val="00D00EBA"/>
    <w:rsid w:val="00D00F16"/>
    <w:rsid w:val="00D00F51"/>
    <w:rsid w:val="00D00F56"/>
    <w:rsid w:val="00D00F92"/>
    <w:rsid w:val="00D00FE2"/>
    <w:rsid w:val="00D01059"/>
    <w:rsid w:val="00D010D6"/>
    <w:rsid w:val="00D010F6"/>
    <w:rsid w:val="00D010F8"/>
    <w:rsid w:val="00D0110F"/>
    <w:rsid w:val="00D0114D"/>
    <w:rsid w:val="00D011D7"/>
    <w:rsid w:val="00D011E5"/>
    <w:rsid w:val="00D01253"/>
    <w:rsid w:val="00D01255"/>
    <w:rsid w:val="00D01275"/>
    <w:rsid w:val="00D012FA"/>
    <w:rsid w:val="00D01303"/>
    <w:rsid w:val="00D01335"/>
    <w:rsid w:val="00D01337"/>
    <w:rsid w:val="00D0137A"/>
    <w:rsid w:val="00D013F7"/>
    <w:rsid w:val="00D01483"/>
    <w:rsid w:val="00D014B6"/>
    <w:rsid w:val="00D014E7"/>
    <w:rsid w:val="00D014F6"/>
    <w:rsid w:val="00D01543"/>
    <w:rsid w:val="00D015E8"/>
    <w:rsid w:val="00D0162F"/>
    <w:rsid w:val="00D0166B"/>
    <w:rsid w:val="00D0166C"/>
    <w:rsid w:val="00D01695"/>
    <w:rsid w:val="00D0182B"/>
    <w:rsid w:val="00D018B0"/>
    <w:rsid w:val="00D018D2"/>
    <w:rsid w:val="00D018D3"/>
    <w:rsid w:val="00D018E8"/>
    <w:rsid w:val="00D019AD"/>
    <w:rsid w:val="00D019AE"/>
    <w:rsid w:val="00D01A52"/>
    <w:rsid w:val="00D01A83"/>
    <w:rsid w:val="00D01B2C"/>
    <w:rsid w:val="00D01B63"/>
    <w:rsid w:val="00D01BD1"/>
    <w:rsid w:val="00D01C80"/>
    <w:rsid w:val="00D01CE2"/>
    <w:rsid w:val="00D01CE6"/>
    <w:rsid w:val="00D01CF7"/>
    <w:rsid w:val="00D01D8B"/>
    <w:rsid w:val="00D01D90"/>
    <w:rsid w:val="00D01DFC"/>
    <w:rsid w:val="00D01E0A"/>
    <w:rsid w:val="00D01ED3"/>
    <w:rsid w:val="00D01F26"/>
    <w:rsid w:val="00D01F2A"/>
    <w:rsid w:val="00D01F68"/>
    <w:rsid w:val="00D0206B"/>
    <w:rsid w:val="00D02106"/>
    <w:rsid w:val="00D0211A"/>
    <w:rsid w:val="00D02120"/>
    <w:rsid w:val="00D02147"/>
    <w:rsid w:val="00D02218"/>
    <w:rsid w:val="00D0228D"/>
    <w:rsid w:val="00D0236F"/>
    <w:rsid w:val="00D0238D"/>
    <w:rsid w:val="00D023DD"/>
    <w:rsid w:val="00D023FA"/>
    <w:rsid w:val="00D0240E"/>
    <w:rsid w:val="00D02458"/>
    <w:rsid w:val="00D024F0"/>
    <w:rsid w:val="00D02511"/>
    <w:rsid w:val="00D02512"/>
    <w:rsid w:val="00D025CC"/>
    <w:rsid w:val="00D025D7"/>
    <w:rsid w:val="00D025F8"/>
    <w:rsid w:val="00D02619"/>
    <w:rsid w:val="00D02662"/>
    <w:rsid w:val="00D02681"/>
    <w:rsid w:val="00D0268E"/>
    <w:rsid w:val="00D02721"/>
    <w:rsid w:val="00D02744"/>
    <w:rsid w:val="00D02796"/>
    <w:rsid w:val="00D027AB"/>
    <w:rsid w:val="00D027AD"/>
    <w:rsid w:val="00D027C7"/>
    <w:rsid w:val="00D02802"/>
    <w:rsid w:val="00D02837"/>
    <w:rsid w:val="00D02871"/>
    <w:rsid w:val="00D02886"/>
    <w:rsid w:val="00D028B4"/>
    <w:rsid w:val="00D028DD"/>
    <w:rsid w:val="00D028E2"/>
    <w:rsid w:val="00D02900"/>
    <w:rsid w:val="00D0296B"/>
    <w:rsid w:val="00D02A08"/>
    <w:rsid w:val="00D02B7E"/>
    <w:rsid w:val="00D02BC2"/>
    <w:rsid w:val="00D02C06"/>
    <w:rsid w:val="00D02C13"/>
    <w:rsid w:val="00D02CC8"/>
    <w:rsid w:val="00D02D6B"/>
    <w:rsid w:val="00D02DD0"/>
    <w:rsid w:val="00D02E05"/>
    <w:rsid w:val="00D02EF5"/>
    <w:rsid w:val="00D02F1A"/>
    <w:rsid w:val="00D02FCE"/>
    <w:rsid w:val="00D02FD1"/>
    <w:rsid w:val="00D02FE5"/>
    <w:rsid w:val="00D02FF0"/>
    <w:rsid w:val="00D02FFA"/>
    <w:rsid w:val="00D0301B"/>
    <w:rsid w:val="00D030A2"/>
    <w:rsid w:val="00D030BE"/>
    <w:rsid w:val="00D030C4"/>
    <w:rsid w:val="00D030CB"/>
    <w:rsid w:val="00D030EB"/>
    <w:rsid w:val="00D0313B"/>
    <w:rsid w:val="00D0314C"/>
    <w:rsid w:val="00D03161"/>
    <w:rsid w:val="00D031AC"/>
    <w:rsid w:val="00D03262"/>
    <w:rsid w:val="00D0328B"/>
    <w:rsid w:val="00D032B7"/>
    <w:rsid w:val="00D032D6"/>
    <w:rsid w:val="00D0339F"/>
    <w:rsid w:val="00D033F6"/>
    <w:rsid w:val="00D0345C"/>
    <w:rsid w:val="00D03462"/>
    <w:rsid w:val="00D034BA"/>
    <w:rsid w:val="00D0354D"/>
    <w:rsid w:val="00D0363B"/>
    <w:rsid w:val="00D03661"/>
    <w:rsid w:val="00D0368E"/>
    <w:rsid w:val="00D03776"/>
    <w:rsid w:val="00D037B9"/>
    <w:rsid w:val="00D03823"/>
    <w:rsid w:val="00D03828"/>
    <w:rsid w:val="00D03854"/>
    <w:rsid w:val="00D03862"/>
    <w:rsid w:val="00D03869"/>
    <w:rsid w:val="00D0386A"/>
    <w:rsid w:val="00D0387B"/>
    <w:rsid w:val="00D0387F"/>
    <w:rsid w:val="00D038DA"/>
    <w:rsid w:val="00D03941"/>
    <w:rsid w:val="00D0396C"/>
    <w:rsid w:val="00D03A1C"/>
    <w:rsid w:val="00D03A7A"/>
    <w:rsid w:val="00D03AA2"/>
    <w:rsid w:val="00D03AA8"/>
    <w:rsid w:val="00D03ACD"/>
    <w:rsid w:val="00D03B8F"/>
    <w:rsid w:val="00D03BA2"/>
    <w:rsid w:val="00D03BAA"/>
    <w:rsid w:val="00D03BD3"/>
    <w:rsid w:val="00D03BFB"/>
    <w:rsid w:val="00D03CC7"/>
    <w:rsid w:val="00D03CEB"/>
    <w:rsid w:val="00D03D47"/>
    <w:rsid w:val="00D03D5C"/>
    <w:rsid w:val="00D03E11"/>
    <w:rsid w:val="00D03E19"/>
    <w:rsid w:val="00D03E45"/>
    <w:rsid w:val="00D03E63"/>
    <w:rsid w:val="00D03E99"/>
    <w:rsid w:val="00D03F8F"/>
    <w:rsid w:val="00D04057"/>
    <w:rsid w:val="00D040DE"/>
    <w:rsid w:val="00D0416C"/>
    <w:rsid w:val="00D0416E"/>
    <w:rsid w:val="00D04235"/>
    <w:rsid w:val="00D04241"/>
    <w:rsid w:val="00D0426B"/>
    <w:rsid w:val="00D0426F"/>
    <w:rsid w:val="00D042D5"/>
    <w:rsid w:val="00D042E8"/>
    <w:rsid w:val="00D04310"/>
    <w:rsid w:val="00D04313"/>
    <w:rsid w:val="00D0431D"/>
    <w:rsid w:val="00D04321"/>
    <w:rsid w:val="00D04412"/>
    <w:rsid w:val="00D04417"/>
    <w:rsid w:val="00D0452B"/>
    <w:rsid w:val="00D04536"/>
    <w:rsid w:val="00D0456C"/>
    <w:rsid w:val="00D045A4"/>
    <w:rsid w:val="00D045BF"/>
    <w:rsid w:val="00D045ED"/>
    <w:rsid w:val="00D04678"/>
    <w:rsid w:val="00D0467A"/>
    <w:rsid w:val="00D04748"/>
    <w:rsid w:val="00D04751"/>
    <w:rsid w:val="00D04817"/>
    <w:rsid w:val="00D048A3"/>
    <w:rsid w:val="00D048CE"/>
    <w:rsid w:val="00D048E3"/>
    <w:rsid w:val="00D04912"/>
    <w:rsid w:val="00D04929"/>
    <w:rsid w:val="00D0494A"/>
    <w:rsid w:val="00D0496F"/>
    <w:rsid w:val="00D049FF"/>
    <w:rsid w:val="00D04ACD"/>
    <w:rsid w:val="00D04AE9"/>
    <w:rsid w:val="00D04B26"/>
    <w:rsid w:val="00D04B6A"/>
    <w:rsid w:val="00D04B6D"/>
    <w:rsid w:val="00D04BB8"/>
    <w:rsid w:val="00D04BF6"/>
    <w:rsid w:val="00D04C3C"/>
    <w:rsid w:val="00D04C47"/>
    <w:rsid w:val="00D04C5E"/>
    <w:rsid w:val="00D04CBF"/>
    <w:rsid w:val="00D04CCB"/>
    <w:rsid w:val="00D04D1B"/>
    <w:rsid w:val="00D04D29"/>
    <w:rsid w:val="00D04D3A"/>
    <w:rsid w:val="00D04D52"/>
    <w:rsid w:val="00D04D67"/>
    <w:rsid w:val="00D04E95"/>
    <w:rsid w:val="00D04F6C"/>
    <w:rsid w:val="00D04FCB"/>
    <w:rsid w:val="00D04FD0"/>
    <w:rsid w:val="00D04FD7"/>
    <w:rsid w:val="00D04FE0"/>
    <w:rsid w:val="00D04FE8"/>
    <w:rsid w:val="00D05035"/>
    <w:rsid w:val="00D0505C"/>
    <w:rsid w:val="00D0509C"/>
    <w:rsid w:val="00D050D8"/>
    <w:rsid w:val="00D05110"/>
    <w:rsid w:val="00D051E4"/>
    <w:rsid w:val="00D051EC"/>
    <w:rsid w:val="00D05211"/>
    <w:rsid w:val="00D05222"/>
    <w:rsid w:val="00D05341"/>
    <w:rsid w:val="00D05378"/>
    <w:rsid w:val="00D0537F"/>
    <w:rsid w:val="00D0538F"/>
    <w:rsid w:val="00D053CB"/>
    <w:rsid w:val="00D05460"/>
    <w:rsid w:val="00D05465"/>
    <w:rsid w:val="00D0548E"/>
    <w:rsid w:val="00D0548F"/>
    <w:rsid w:val="00D054A9"/>
    <w:rsid w:val="00D054D7"/>
    <w:rsid w:val="00D054DC"/>
    <w:rsid w:val="00D054ED"/>
    <w:rsid w:val="00D05552"/>
    <w:rsid w:val="00D05577"/>
    <w:rsid w:val="00D05579"/>
    <w:rsid w:val="00D0559D"/>
    <w:rsid w:val="00D055F6"/>
    <w:rsid w:val="00D05619"/>
    <w:rsid w:val="00D05621"/>
    <w:rsid w:val="00D05635"/>
    <w:rsid w:val="00D05643"/>
    <w:rsid w:val="00D056BE"/>
    <w:rsid w:val="00D05719"/>
    <w:rsid w:val="00D0579F"/>
    <w:rsid w:val="00D057AD"/>
    <w:rsid w:val="00D057BB"/>
    <w:rsid w:val="00D057F2"/>
    <w:rsid w:val="00D05855"/>
    <w:rsid w:val="00D05856"/>
    <w:rsid w:val="00D0587D"/>
    <w:rsid w:val="00D058A2"/>
    <w:rsid w:val="00D058B7"/>
    <w:rsid w:val="00D05904"/>
    <w:rsid w:val="00D0599F"/>
    <w:rsid w:val="00D059B8"/>
    <w:rsid w:val="00D059CD"/>
    <w:rsid w:val="00D059D7"/>
    <w:rsid w:val="00D05A41"/>
    <w:rsid w:val="00D05A60"/>
    <w:rsid w:val="00D05A65"/>
    <w:rsid w:val="00D05B10"/>
    <w:rsid w:val="00D05B27"/>
    <w:rsid w:val="00D05B8A"/>
    <w:rsid w:val="00D05BC0"/>
    <w:rsid w:val="00D05C0B"/>
    <w:rsid w:val="00D05C18"/>
    <w:rsid w:val="00D05C36"/>
    <w:rsid w:val="00D05CA3"/>
    <w:rsid w:val="00D05D5B"/>
    <w:rsid w:val="00D05D8D"/>
    <w:rsid w:val="00D05D91"/>
    <w:rsid w:val="00D05DA2"/>
    <w:rsid w:val="00D05DF1"/>
    <w:rsid w:val="00D05E3C"/>
    <w:rsid w:val="00D05E89"/>
    <w:rsid w:val="00D05E8A"/>
    <w:rsid w:val="00D05ED0"/>
    <w:rsid w:val="00D05F67"/>
    <w:rsid w:val="00D05FCC"/>
    <w:rsid w:val="00D05FDD"/>
    <w:rsid w:val="00D06083"/>
    <w:rsid w:val="00D06089"/>
    <w:rsid w:val="00D060A1"/>
    <w:rsid w:val="00D060B1"/>
    <w:rsid w:val="00D0616F"/>
    <w:rsid w:val="00D061B3"/>
    <w:rsid w:val="00D061C7"/>
    <w:rsid w:val="00D06239"/>
    <w:rsid w:val="00D06261"/>
    <w:rsid w:val="00D062DE"/>
    <w:rsid w:val="00D06326"/>
    <w:rsid w:val="00D06374"/>
    <w:rsid w:val="00D0642B"/>
    <w:rsid w:val="00D0643A"/>
    <w:rsid w:val="00D064AA"/>
    <w:rsid w:val="00D064D2"/>
    <w:rsid w:val="00D064F3"/>
    <w:rsid w:val="00D06558"/>
    <w:rsid w:val="00D0657B"/>
    <w:rsid w:val="00D065FD"/>
    <w:rsid w:val="00D06633"/>
    <w:rsid w:val="00D0665E"/>
    <w:rsid w:val="00D066B3"/>
    <w:rsid w:val="00D066B5"/>
    <w:rsid w:val="00D06719"/>
    <w:rsid w:val="00D0679E"/>
    <w:rsid w:val="00D067AC"/>
    <w:rsid w:val="00D06810"/>
    <w:rsid w:val="00D06871"/>
    <w:rsid w:val="00D068CA"/>
    <w:rsid w:val="00D068CD"/>
    <w:rsid w:val="00D068D0"/>
    <w:rsid w:val="00D06961"/>
    <w:rsid w:val="00D0698B"/>
    <w:rsid w:val="00D069B2"/>
    <w:rsid w:val="00D06A6C"/>
    <w:rsid w:val="00D06A83"/>
    <w:rsid w:val="00D06A89"/>
    <w:rsid w:val="00D06A9F"/>
    <w:rsid w:val="00D06AE1"/>
    <w:rsid w:val="00D06B31"/>
    <w:rsid w:val="00D06BE5"/>
    <w:rsid w:val="00D06C5C"/>
    <w:rsid w:val="00D06CB4"/>
    <w:rsid w:val="00D06CC4"/>
    <w:rsid w:val="00D06CD9"/>
    <w:rsid w:val="00D06CDF"/>
    <w:rsid w:val="00D06CEF"/>
    <w:rsid w:val="00D06D0E"/>
    <w:rsid w:val="00D06D60"/>
    <w:rsid w:val="00D06D63"/>
    <w:rsid w:val="00D06D85"/>
    <w:rsid w:val="00D06DBC"/>
    <w:rsid w:val="00D06DFE"/>
    <w:rsid w:val="00D06EEF"/>
    <w:rsid w:val="00D06F17"/>
    <w:rsid w:val="00D06F89"/>
    <w:rsid w:val="00D06F8D"/>
    <w:rsid w:val="00D06F98"/>
    <w:rsid w:val="00D070C4"/>
    <w:rsid w:val="00D070D3"/>
    <w:rsid w:val="00D0710E"/>
    <w:rsid w:val="00D0715E"/>
    <w:rsid w:val="00D07163"/>
    <w:rsid w:val="00D07189"/>
    <w:rsid w:val="00D072CA"/>
    <w:rsid w:val="00D072F8"/>
    <w:rsid w:val="00D0731C"/>
    <w:rsid w:val="00D073AC"/>
    <w:rsid w:val="00D07459"/>
    <w:rsid w:val="00D07483"/>
    <w:rsid w:val="00D0752B"/>
    <w:rsid w:val="00D07544"/>
    <w:rsid w:val="00D0754A"/>
    <w:rsid w:val="00D07587"/>
    <w:rsid w:val="00D075D2"/>
    <w:rsid w:val="00D076CE"/>
    <w:rsid w:val="00D076E3"/>
    <w:rsid w:val="00D0771A"/>
    <w:rsid w:val="00D07725"/>
    <w:rsid w:val="00D07737"/>
    <w:rsid w:val="00D07741"/>
    <w:rsid w:val="00D07785"/>
    <w:rsid w:val="00D07786"/>
    <w:rsid w:val="00D077C5"/>
    <w:rsid w:val="00D077CF"/>
    <w:rsid w:val="00D077FC"/>
    <w:rsid w:val="00D07864"/>
    <w:rsid w:val="00D078A1"/>
    <w:rsid w:val="00D078E3"/>
    <w:rsid w:val="00D07917"/>
    <w:rsid w:val="00D07919"/>
    <w:rsid w:val="00D07922"/>
    <w:rsid w:val="00D0793F"/>
    <w:rsid w:val="00D079A7"/>
    <w:rsid w:val="00D079EF"/>
    <w:rsid w:val="00D079FD"/>
    <w:rsid w:val="00D07A26"/>
    <w:rsid w:val="00D07A41"/>
    <w:rsid w:val="00D07A89"/>
    <w:rsid w:val="00D07AE9"/>
    <w:rsid w:val="00D07B25"/>
    <w:rsid w:val="00D07B4F"/>
    <w:rsid w:val="00D07BB8"/>
    <w:rsid w:val="00D07C0C"/>
    <w:rsid w:val="00D07C1B"/>
    <w:rsid w:val="00D07C53"/>
    <w:rsid w:val="00D07C87"/>
    <w:rsid w:val="00D07C99"/>
    <w:rsid w:val="00D07C9F"/>
    <w:rsid w:val="00D07CB5"/>
    <w:rsid w:val="00D07CEE"/>
    <w:rsid w:val="00D07D72"/>
    <w:rsid w:val="00D07D8B"/>
    <w:rsid w:val="00D07F62"/>
    <w:rsid w:val="00D07F7E"/>
    <w:rsid w:val="00D1005A"/>
    <w:rsid w:val="00D10074"/>
    <w:rsid w:val="00D100BF"/>
    <w:rsid w:val="00D100DE"/>
    <w:rsid w:val="00D10163"/>
    <w:rsid w:val="00D10187"/>
    <w:rsid w:val="00D10198"/>
    <w:rsid w:val="00D101C6"/>
    <w:rsid w:val="00D1022A"/>
    <w:rsid w:val="00D10249"/>
    <w:rsid w:val="00D10266"/>
    <w:rsid w:val="00D102D2"/>
    <w:rsid w:val="00D10366"/>
    <w:rsid w:val="00D103A9"/>
    <w:rsid w:val="00D10450"/>
    <w:rsid w:val="00D105C0"/>
    <w:rsid w:val="00D105DD"/>
    <w:rsid w:val="00D10683"/>
    <w:rsid w:val="00D10689"/>
    <w:rsid w:val="00D10710"/>
    <w:rsid w:val="00D1076D"/>
    <w:rsid w:val="00D10781"/>
    <w:rsid w:val="00D10792"/>
    <w:rsid w:val="00D107CB"/>
    <w:rsid w:val="00D10843"/>
    <w:rsid w:val="00D1086E"/>
    <w:rsid w:val="00D10926"/>
    <w:rsid w:val="00D10927"/>
    <w:rsid w:val="00D109C1"/>
    <w:rsid w:val="00D109F9"/>
    <w:rsid w:val="00D10AAE"/>
    <w:rsid w:val="00D10B1A"/>
    <w:rsid w:val="00D10B57"/>
    <w:rsid w:val="00D10B5F"/>
    <w:rsid w:val="00D10B8C"/>
    <w:rsid w:val="00D10BB9"/>
    <w:rsid w:val="00D10BCA"/>
    <w:rsid w:val="00D10BFF"/>
    <w:rsid w:val="00D10C7B"/>
    <w:rsid w:val="00D10C89"/>
    <w:rsid w:val="00D10CAF"/>
    <w:rsid w:val="00D10D27"/>
    <w:rsid w:val="00D10D53"/>
    <w:rsid w:val="00D10E00"/>
    <w:rsid w:val="00D10E19"/>
    <w:rsid w:val="00D10EA6"/>
    <w:rsid w:val="00D10EF9"/>
    <w:rsid w:val="00D10F46"/>
    <w:rsid w:val="00D10F78"/>
    <w:rsid w:val="00D10F89"/>
    <w:rsid w:val="00D10F97"/>
    <w:rsid w:val="00D10FC1"/>
    <w:rsid w:val="00D10FF2"/>
    <w:rsid w:val="00D11064"/>
    <w:rsid w:val="00D1108B"/>
    <w:rsid w:val="00D1109E"/>
    <w:rsid w:val="00D110B7"/>
    <w:rsid w:val="00D110E6"/>
    <w:rsid w:val="00D110F6"/>
    <w:rsid w:val="00D1110A"/>
    <w:rsid w:val="00D11237"/>
    <w:rsid w:val="00D1124C"/>
    <w:rsid w:val="00D1125A"/>
    <w:rsid w:val="00D11268"/>
    <w:rsid w:val="00D1127C"/>
    <w:rsid w:val="00D112F6"/>
    <w:rsid w:val="00D1133D"/>
    <w:rsid w:val="00D1135E"/>
    <w:rsid w:val="00D11392"/>
    <w:rsid w:val="00D113AC"/>
    <w:rsid w:val="00D113BF"/>
    <w:rsid w:val="00D113EB"/>
    <w:rsid w:val="00D113FC"/>
    <w:rsid w:val="00D11416"/>
    <w:rsid w:val="00D1142D"/>
    <w:rsid w:val="00D11472"/>
    <w:rsid w:val="00D11476"/>
    <w:rsid w:val="00D11495"/>
    <w:rsid w:val="00D11498"/>
    <w:rsid w:val="00D114ED"/>
    <w:rsid w:val="00D114FA"/>
    <w:rsid w:val="00D11551"/>
    <w:rsid w:val="00D1159B"/>
    <w:rsid w:val="00D11630"/>
    <w:rsid w:val="00D11650"/>
    <w:rsid w:val="00D11689"/>
    <w:rsid w:val="00D11693"/>
    <w:rsid w:val="00D11695"/>
    <w:rsid w:val="00D116B0"/>
    <w:rsid w:val="00D11714"/>
    <w:rsid w:val="00D117C6"/>
    <w:rsid w:val="00D1183E"/>
    <w:rsid w:val="00D1186B"/>
    <w:rsid w:val="00D1189B"/>
    <w:rsid w:val="00D118D7"/>
    <w:rsid w:val="00D11935"/>
    <w:rsid w:val="00D11999"/>
    <w:rsid w:val="00D1199E"/>
    <w:rsid w:val="00D119AC"/>
    <w:rsid w:val="00D119DC"/>
    <w:rsid w:val="00D11A07"/>
    <w:rsid w:val="00D11A1D"/>
    <w:rsid w:val="00D11A85"/>
    <w:rsid w:val="00D11B4C"/>
    <w:rsid w:val="00D11C4D"/>
    <w:rsid w:val="00D11C7F"/>
    <w:rsid w:val="00D11CB2"/>
    <w:rsid w:val="00D11CBA"/>
    <w:rsid w:val="00D11D06"/>
    <w:rsid w:val="00D11D35"/>
    <w:rsid w:val="00D11D57"/>
    <w:rsid w:val="00D11D5B"/>
    <w:rsid w:val="00D11D78"/>
    <w:rsid w:val="00D11D98"/>
    <w:rsid w:val="00D11D9D"/>
    <w:rsid w:val="00D11ED4"/>
    <w:rsid w:val="00D11EF6"/>
    <w:rsid w:val="00D11F75"/>
    <w:rsid w:val="00D120CA"/>
    <w:rsid w:val="00D1210F"/>
    <w:rsid w:val="00D12135"/>
    <w:rsid w:val="00D1213B"/>
    <w:rsid w:val="00D12147"/>
    <w:rsid w:val="00D12148"/>
    <w:rsid w:val="00D1215C"/>
    <w:rsid w:val="00D1218F"/>
    <w:rsid w:val="00D1219C"/>
    <w:rsid w:val="00D121A0"/>
    <w:rsid w:val="00D121DB"/>
    <w:rsid w:val="00D1221E"/>
    <w:rsid w:val="00D1222E"/>
    <w:rsid w:val="00D12271"/>
    <w:rsid w:val="00D122A4"/>
    <w:rsid w:val="00D122AB"/>
    <w:rsid w:val="00D122DB"/>
    <w:rsid w:val="00D122E8"/>
    <w:rsid w:val="00D123A6"/>
    <w:rsid w:val="00D12446"/>
    <w:rsid w:val="00D12452"/>
    <w:rsid w:val="00D124EE"/>
    <w:rsid w:val="00D1259C"/>
    <w:rsid w:val="00D12626"/>
    <w:rsid w:val="00D1262A"/>
    <w:rsid w:val="00D126CD"/>
    <w:rsid w:val="00D126D8"/>
    <w:rsid w:val="00D126E6"/>
    <w:rsid w:val="00D12727"/>
    <w:rsid w:val="00D12760"/>
    <w:rsid w:val="00D12792"/>
    <w:rsid w:val="00D12846"/>
    <w:rsid w:val="00D12873"/>
    <w:rsid w:val="00D128C6"/>
    <w:rsid w:val="00D128F5"/>
    <w:rsid w:val="00D12962"/>
    <w:rsid w:val="00D129C3"/>
    <w:rsid w:val="00D12A4B"/>
    <w:rsid w:val="00D12AA0"/>
    <w:rsid w:val="00D12ACB"/>
    <w:rsid w:val="00D12B23"/>
    <w:rsid w:val="00D12B2B"/>
    <w:rsid w:val="00D12B3A"/>
    <w:rsid w:val="00D12B4E"/>
    <w:rsid w:val="00D12BC3"/>
    <w:rsid w:val="00D12C08"/>
    <w:rsid w:val="00D12C1A"/>
    <w:rsid w:val="00D12C41"/>
    <w:rsid w:val="00D12C90"/>
    <w:rsid w:val="00D12CAC"/>
    <w:rsid w:val="00D12CD5"/>
    <w:rsid w:val="00D12D08"/>
    <w:rsid w:val="00D12D1B"/>
    <w:rsid w:val="00D12D7D"/>
    <w:rsid w:val="00D12D86"/>
    <w:rsid w:val="00D12D8E"/>
    <w:rsid w:val="00D12DAA"/>
    <w:rsid w:val="00D12DD4"/>
    <w:rsid w:val="00D12DE0"/>
    <w:rsid w:val="00D12EA0"/>
    <w:rsid w:val="00D12EC6"/>
    <w:rsid w:val="00D12F04"/>
    <w:rsid w:val="00D12F0F"/>
    <w:rsid w:val="00D12F3D"/>
    <w:rsid w:val="00D12F40"/>
    <w:rsid w:val="00D12F51"/>
    <w:rsid w:val="00D12F9C"/>
    <w:rsid w:val="00D12FF7"/>
    <w:rsid w:val="00D13029"/>
    <w:rsid w:val="00D13059"/>
    <w:rsid w:val="00D130E8"/>
    <w:rsid w:val="00D13102"/>
    <w:rsid w:val="00D13150"/>
    <w:rsid w:val="00D1318B"/>
    <w:rsid w:val="00D1318C"/>
    <w:rsid w:val="00D13274"/>
    <w:rsid w:val="00D132DD"/>
    <w:rsid w:val="00D1337A"/>
    <w:rsid w:val="00D1338A"/>
    <w:rsid w:val="00D134BB"/>
    <w:rsid w:val="00D13547"/>
    <w:rsid w:val="00D1356F"/>
    <w:rsid w:val="00D13575"/>
    <w:rsid w:val="00D1359C"/>
    <w:rsid w:val="00D135A4"/>
    <w:rsid w:val="00D135D8"/>
    <w:rsid w:val="00D1377C"/>
    <w:rsid w:val="00D137A6"/>
    <w:rsid w:val="00D137AB"/>
    <w:rsid w:val="00D137C1"/>
    <w:rsid w:val="00D13838"/>
    <w:rsid w:val="00D1383A"/>
    <w:rsid w:val="00D1383F"/>
    <w:rsid w:val="00D138A3"/>
    <w:rsid w:val="00D138B2"/>
    <w:rsid w:val="00D138BB"/>
    <w:rsid w:val="00D138D3"/>
    <w:rsid w:val="00D1394C"/>
    <w:rsid w:val="00D13955"/>
    <w:rsid w:val="00D13A2B"/>
    <w:rsid w:val="00D13A97"/>
    <w:rsid w:val="00D13AA9"/>
    <w:rsid w:val="00D13AF2"/>
    <w:rsid w:val="00D13B0C"/>
    <w:rsid w:val="00D13B1B"/>
    <w:rsid w:val="00D13B8C"/>
    <w:rsid w:val="00D13BA7"/>
    <w:rsid w:val="00D13C4B"/>
    <w:rsid w:val="00D13DAD"/>
    <w:rsid w:val="00D13DC9"/>
    <w:rsid w:val="00D13DCB"/>
    <w:rsid w:val="00D13E74"/>
    <w:rsid w:val="00D13EA2"/>
    <w:rsid w:val="00D13EBB"/>
    <w:rsid w:val="00D13F16"/>
    <w:rsid w:val="00D13F42"/>
    <w:rsid w:val="00D13F61"/>
    <w:rsid w:val="00D13F83"/>
    <w:rsid w:val="00D13F8B"/>
    <w:rsid w:val="00D14147"/>
    <w:rsid w:val="00D1424E"/>
    <w:rsid w:val="00D14271"/>
    <w:rsid w:val="00D142C4"/>
    <w:rsid w:val="00D142E5"/>
    <w:rsid w:val="00D142E9"/>
    <w:rsid w:val="00D1434E"/>
    <w:rsid w:val="00D143CB"/>
    <w:rsid w:val="00D143FE"/>
    <w:rsid w:val="00D1443C"/>
    <w:rsid w:val="00D14470"/>
    <w:rsid w:val="00D14499"/>
    <w:rsid w:val="00D1450B"/>
    <w:rsid w:val="00D1454B"/>
    <w:rsid w:val="00D14584"/>
    <w:rsid w:val="00D145E4"/>
    <w:rsid w:val="00D14601"/>
    <w:rsid w:val="00D1460F"/>
    <w:rsid w:val="00D1461B"/>
    <w:rsid w:val="00D1466A"/>
    <w:rsid w:val="00D1466D"/>
    <w:rsid w:val="00D1474F"/>
    <w:rsid w:val="00D14782"/>
    <w:rsid w:val="00D147F9"/>
    <w:rsid w:val="00D14810"/>
    <w:rsid w:val="00D14861"/>
    <w:rsid w:val="00D148EA"/>
    <w:rsid w:val="00D148FB"/>
    <w:rsid w:val="00D1490B"/>
    <w:rsid w:val="00D14970"/>
    <w:rsid w:val="00D149E1"/>
    <w:rsid w:val="00D14A36"/>
    <w:rsid w:val="00D14A8E"/>
    <w:rsid w:val="00D14BDF"/>
    <w:rsid w:val="00D14BEC"/>
    <w:rsid w:val="00D14BF5"/>
    <w:rsid w:val="00D14C06"/>
    <w:rsid w:val="00D14C81"/>
    <w:rsid w:val="00D14CDB"/>
    <w:rsid w:val="00D14CEF"/>
    <w:rsid w:val="00D14D1A"/>
    <w:rsid w:val="00D14D4E"/>
    <w:rsid w:val="00D14DC7"/>
    <w:rsid w:val="00D14E03"/>
    <w:rsid w:val="00D14E29"/>
    <w:rsid w:val="00D14E7D"/>
    <w:rsid w:val="00D14EF7"/>
    <w:rsid w:val="00D14F28"/>
    <w:rsid w:val="00D14F40"/>
    <w:rsid w:val="00D14F61"/>
    <w:rsid w:val="00D14F7C"/>
    <w:rsid w:val="00D15057"/>
    <w:rsid w:val="00D150B1"/>
    <w:rsid w:val="00D150ED"/>
    <w:rsid w:val="00D15147"/>
    <w:rsid w:val="00D151E8"/>
    <w:rsid w:val="00D15207"/>
    <w:rsid w:val="00D1520D"/>
    <w:rsid w:val="00D1522E"/>
    <w:rsid w:val="00D1523B"/>
    <w:rsid w:val="00D1528B"/>
    <w:rsid w:val="00D15295"/>
    <w:rsid w:val="00D152AD"/>
    <w:rsid w:val="00D15342"/>
    <w:rsid w:val="00D1537D"/>
    <w:rsid w:val="00D153B1"/>
    <w:rsid w:val="00D154B8"/>
    <w:rsid w:val="00D15556"/>
    <w:rsid w:val="00D15598"/>
    <w:rsid w:val="00D15614"/>
    <w:rsid w:val="00D1567B"/>
    <w:rsid w:val="00D15731"/>
    <w:rsid w:val="00D157C6"/>
    <w:rsid w:val="00D15802"/>
    <w:rsid w:val="00D15882"/>
    <w:rsid w:val="00D15894"/>
    <w:rsid w:val="00D158D1"/>
    <w:rsid w:val="00D158D2"/>
    <w:rsid w:val="00D15998"/>
    <w:rsid w:val="00D15A86"/>
    <w:rsid w:val="00D15C05"/>
    <w:rsid w:val="00D15C3A"/>
    <w:rsid w:val="00D15C6A"/>
    <w:rsid w:val="00D15C8A"/>
    <w:rsid w:val="00D15D37"/>
    <w:rsid w:val="00D15D96"/>
    <w:rsid w:val="00D15D9A"/>
    <w:rsid w:val="00D15E1D"/>
    <w:rsid w:val="00D15ED9"/>
    <w:rsid w:val="00D15F26"/>
    <w:rsid w:val="00D15F2C"/>
    <w:rsid w:val="00D15FCF"/>
    <w:rsid w:val="00D15FE5"/>
    <w:rsid w:val="00D1606F"/>
    <w:rsid w:val="00D160D5"/>
    <w:rsid w:val="00D1615B"/>
    <w:rsid w:val="00D1622A"/>
    <w:rsid w:val="00D162B6"/>
    <w:rsid w:val="00D162D3"/>
    <w:rsid w:val="00D162E4"/>
    <w:rsid w:val="00D162EE"/>
    <w:rsid w:val="00D1631D"/>
    <w:rsid w:val="00D163E2"/>
    <w:rsid w:val="00D1643F"/>
    <w:rsid w:val="00D16467"/>
    <w:rsid w:val="00D1651E"/>
    <w:rsid w:val="00D16538"/>
    <w:rsid w:val="00D16565"/>
    <w:rsid w:val="00D165AF"/>
    <w:rsid w:val="00D165E3"/>
    <w:rsid w:val="00D16605"/>
    <w:rsid w:val="00D16643"/>
    <w:rsid w:val="00D1667C"/>
    <w:rsid w:val="00D1673D"/>
    <w:rsid w:val="00D16760"/>
    <w:rsid w:val="00D1676E"/>
    <w:rsid w:val="00D167C6"/>
    <w:rsid w:val="00D167F3"/>
    <w:rsid w:val="00D167FA"/>
    <w:rsid w:val="00D1681C"/>
    <w:rsid w:val="00D168EE"/>
    <w:rsid w:val="00D16900"/>
    <w:rsid w:val="00D169B2"/>
    <w:rsid w:val="00D169C2"/>
    <w:rsid w:val="00D169EE"/>
    <w:rsid w:val="00D16A2A"/>
    <w:rsid w:val="00D16A42"/>
    <w:rsid w:val="00D16AC0"/>
    <w:rsid w:val="00D16AC6"/>
    <w:rsid w:val="00D16AD4"/>
    <w:rsid w:val="00D16AF3"/>
    <w:rsid w:val="00D16AFE"/>
    <w:rsid w:val="00D16B85"/>
    <w:rsid w:val="00D16B95"/>
    <w:rsid w:val="00D16BD5"/>
    <w:rsid w:val="00D16BF5"/>
    <w:rsid w:val="00D16C48"/>
    <w:rsid w:val="00D16C52"/>
    <w:rsid w:val="00D16CFA"/>
    <w:rsid w:val="00D16D38"/>
    <w:rsid w:val="00D16D5E"/>
    <w:rsid w:val="00D16D70"/>
    <w:rsid w:val="00D16DE2"/>
    <w:rsid w:val="00D16E71"/>
    <w:rsid w:val="00D16F16"/>
    <w:rsid w:val="00D16F24"/>
    <w:rsid w:val="00D16F2D"/>
    <w:rsid w:val="00D16F6D"/>
    <w:rsid w:val="00D16FB9"/>
    <w:rsid w:val="00D16FE2"/>
    <w:rsid w:val="00D17021"/>
    <w:rsid w:val="00D1703D"/>
    <w:rsid w:val="00D17061"/>
    <w:rsid w:val="00D17062"/>
    <w:rsid w:val="00D170C3"/>
    <w:rsid w:val="00D17120"/>
    <w:rsid w:val="00D17122"/>
    <w:rsid w:val="00D1712D"/>
    <w:rsid w:val="00D17137"/>
    <w:rsid w:val="00D171AD"/>
    <w:rsid w:val="00D171D0"/>
    <w:rsid w:val="00D172A0"/>
    <w:rsid w:val="00D172ED"/>
    <w:rsid w:val="00D17423"/>
    <w:rsid w:val="00D17446"/>
    <w:rsid w:val="00D1745B"/>
    <w:rsid w:val="00D1746B"/>
    <w:rsid w:val="00D1746F"/>
    <w:rsid w:val="00D17477"/>
    <w:rsid w:val="00D17549"/>
    <w:rsid w:val="00D175FC"/>
    <w:rsid w:val="00D17689"/>
    <w:rsid w:val="00D176E5"/>
    <w:rsid w:val="00D17735"/>
    <w:rsid w:val="00D177B0"/>
    <w:rsid w:val="00D177B7"/>
    <w:rsid w:val="00D177D1"/>
    <w:rsid w:val="00D177E0"/>
    <w:rsid w:val="00D178EB"/>
    <w:rsid w:val="00D17994"/>
    <w:rsid w:val="00D17A35"/>
    <w:rsid w:val="00D17A52"/>
    <w:rsid w:val="00D17A56"/>
    <w:rsid w:val="00D17A83"/>
    <w:rsid w:val="00D17ABA"/>
    <w:rsid w:val="00D17ACE"/>
    <w:rsid w:val="00D17AEA"/>
    <w:rsid w:val="00D17B1D"/>
    <w:rsid w:val="00D17B2D"/>
    <w:rsid w:val="00D17B34"/>
    <w:rsid w:val="00D17BBE"/>
    <w:rsid w:val="00D17BC1"/>
    <w:rsid w:val="00D17BE7"/>
    <w:rsid w:val="00D17C1E"/>
    <w:rsid w:val="00D17C42"/>
    <w:rsid w:val="00D17CAA"/>
    <w:rsid w:val="00D17CD2"/>
    <w:rsid w:val="00D17DE8"/>
    <w:rsid w:val="00D17E15"/>
    <w:rsid w:val="00D17E3A"/>
    <w:rsid w:val="00D17E51"/>
    <w:rsid w:val="00D17E5C"/>
    <w:rsid w:val="00D17EB1"/>
    <w:rsid w:val="00D17EFB"/>
    <w:rsid w:val="00D17F31"/>
    <w:rsid w:val="00D17F3E"/>
    <w:rsid w:val="00D17F53"/>
    <w:rsid w:val="00D20006"/>
    <w:rsid w:val="00D2002E"/>
    <w:rsid w:val="00D200DB"/>
    <w:rsid w:val="00D200F0"/>
    <w:rsid w:val="00D2024E"/>
    <w:rsid w:val="00D2029B"/>
    <w:rsid w:val="00D202F3"/>
    <w:rsid w:val="00D20345"/>
    <w:rsid w:val="00D20351"/>
    <w:rsid w:val="00D20367"/>
    <w:rsid w:val="00D20381"/>
    <w:rsid w:val="00D203FB"/>
    <w:rsid w:val="00D204F2"/>
    <w:rsid w:val="00D2054D"/>
    <w:rsid w:val="00D2067B"/>
    <w:rsid w:val="00D206C7"/>
    <w:rsid w:val="00D206ED"/>
    <w:rsid w:val="00D20748"/>
    <w:rsid w:val="00D20775"/>
    <w:rsid w:val="00D207D6"/>
    <w:rsid w:val="00D207DA"/>
    <w:rsid w:val="00D207F3"/>
    <w:rsid w:val="00D20811"/>
    <w:rsid w:val="00D20817"/>
    <w:rsid w:val="00D20840"/>
    <w:rsid w:val="00D20855"/>
    <w:rsid w:val="00D2088B"/>
    <w:rsid w:val="00D208DF"/>
    <w:rsid w:val="00D2096B"/>
    <w:rsid w:val="00D209BC"/>
    <w:rsid w:val="00D20A28"/>
    <w:rsid w:val="00D20A29"/>
    <w:rsid w:val="00D20A61"/>
    <w:rsid w:val="00D20A71"/>
    <w:rsid w:val="00D20AC7"/>
    <w:rsid w:val="00D20B74"/>
    <w:rsid w:val="00D20C88"/>
    <w:rsid w:val="00D20C8C"/>
    <w:rsid w:val="00D20DA8"/>
    <w:rsid w:val="00D20DB0"/>
    <w:rsid w:val="00D20DB9"/>
    <w:rsid w:val="00D20DCD"/>
    <w:rsid w:val="00D20DEE"/>
    <w:rsid w:val="00D20DF8"/>
    <w:rsid w:val="00D20E02"/>
    <w:rsid w:val="00D20E61"/>
    <w:rsid w:val="00D20FB4"/>
    <w:rsid w:val="00D21047"/>
    <w:rsid w:val="00D210F5"/>
    <w:rsid w:val="00D2111C"/>
    <w:rsid w:val="00D21126"/>
    <w:rsid w:val="00D21143"/>
    <w:rsid w:val="00D211A9"/>
    <w:rsid w:val="00D211CE"/>
    <w:rsid w:val="00D211D0"/>
    <w:rsid w:val="00D211EC"/>
    <w:rsid w:val="00D211FA"/>
    <w:rsid w:val="00D21221"/>
    <w:rsid w:val="00D21276"/>
    <w:rsid w:val="00D212B2"/>
    <w:rsid w:val="00D2139C"/>
    <w:rsid w:val="00D213AB"/>
    <w:rsid w:val="00D213C3"/>
    <w:rsid w:val="00D213EE"/>
    <w:rsid w:val="00D214CC"/>
    <w:rsid w:val="00D214D6"/>
    <w:rsid w:val="00D2152D"/>
    <w:rsid w:val="00D21532"/>
    <w:rsid w:val="00D21545"/>
    <w:rsid w:val="00D2155E"/>
    <w:rsid w:val="00D21569"/>
    <w:rsid w:val="00D215A2"/>
    <w:rsid w:val="00D215A3"/>
    <w:rsid w:val="00D21617"/>
    <w:rsid w:val="00D21626"/>
    <w:rsid w:val="00D2171E"/>
    <w:rsid w:val="00D21762"/>
    <w:rsid w:val="00D2176A"/>
    <w:rsid w:val="00D217B9"/>
    <w:rsid w:val="00D217D4"/>
    <w:rsid w:val="00D218E3"/>
    <w:rsid w:val="00D21905"/>
    <w:rsid w:val="00D21971"/>
    <w:rsid w:val="00D21974"/>
    <w:rsid w:val="00D219B7"/>
    <w:rsid w:val="00D21A93"/>
    <w:rsid w:val="00D21AB7"/>
    <w:rsid w:val="00D21ACD"/>
    <w:rsid w:val="00D21AFD"/>
    <w:rsid w:val="00D21B2D"/>
    <w:rsid w:val="00D21BB2"/>
    <w:rsid w:val="00D21BB3"/>
    <w:rsid w:val="00D21BC8"/>
    <w:rsid w:val="00D21BED"/>
    <w:rsid w:val="00D21D11"/>
    <w:rsid w:val="00D21D23"/>
    <w:rsid w:val="00D21D31"/>
    <w:rsid w:val="00D21D6A"/>
    <w:rsid w:val="00D21DA4"/>
    <w:rsid w:val="00D21E8A"/>
    <w:rsid w:val="00D21EAB"/>
    <w:rsid w:val="00D21FAE"/>
    <w:rsid w:val="00D22006"/>
    <w:rsid w:val="00D22018"/>
    <w:rsid w:val="00D220CB"/>
    <w:rsid w:val="00D221B9"/>
    <w:rsid w:val="00D221D8"/>
    <w:rsid w:val="00D2221D"/>
    <w:rsid w:val="00D22244"/>
    <w:rsid w:val="00D22261"/>
    <w:rsid w:val="00D22272"/>
    <w:rsid w:val="00D222A5"/>
    <w:rsid w:val="00D222E6"/>
    <w:rsid w:val="00D222EE"/>
    <w:rsid w:val="00D222FC"/>
    <w:rsid w:val="00D2236A"/>
    <w:rsid w:val="00D22380"/>
    <w:rsid w:val="00D2238C"/>
    <w:rsid w:val="00D223AE"/>
    <w:rsid w:val="00D223DA"/>
    <w:rsid w:val="00D22400"/>
    <w:rsid w:val="00D2246F"/>
    <w:rsid w:val="00D22551"/>
    <w:rsid w:val="00D225BE"/>
    <w:rsid w:val="00D225C4"/>
    <w:rsid w:val="00D225CE"/>
    <w:rsid w:val="00D225EA"/>
    <w:rsid w:val="00D22619"/>
    <w:rsid w:val="00D22668"/>
    <w:rsid w:val="00D2267E"/>
    <w:rsid w:val="00D226A8"/>
    <w:rsid w:val="00D226E8"/>
    <w:rsid w:val="00D22700"/>
    <w:rsid w:val="00D22772"/>
    <w:rsid w:val="00D2277C"/>
    <w:rsid w:val="00D22781"/>
    <w:rsid w:val="00D227DC"/>
    <w:rsid w:val="00D2284C"/>
    <w:rsid w:val="00D22892"/>
    <w:rsid w:val="00D22948"/>
    <w:rsid w:val="00D229BD"/>
    <w:rsid w:val="00D22A73"/>
    <w:rsid w:val="00D22A96"/>
    <w:rsid w:val="00D22B21"/>
    <w:rsid w:val="00D22BA4"/>
    <w:rsid w:val="00D22BD6"/>
    <w:rsid w:val="00D22BF4"/>
    <w:rsid w:val="00D22BF8"/>
    <w:rsid w:val="00D22C33"/>
    <w:rsid w:val="00D22C41"/>
    <w:rsid w:val="00D22C6D"/>
    <w:rsid w:val="00D22DAC"/>
    <w:rsid w:val="00D22DFA"/>
    <w:rsid w:val="00D22F28"/>
    <w:rsid w:val="00D22F8E"/>
    <w:rsid w:val="00D22F92"/>
    <w:rsid w:val="00D23088"/>
    <w:rsid w:val="00D230A2"/>
    <w:rsid w:val="00D23164"/>
    <w:rsid w:val="00D23180"/>
    <w:rsid w:val="00D23215"/>
    <w:rsid w:val="00D2326E"/>
    <w:rsid w:val="00D232DB"/>
    <w:rsid w:val="00D23329"/>
    <w:rsid w:val="00D2332E"/>
    <w:rsid w:val="00D2340A"/>
    <w:rsid w:val="00D23415"/>
    <w:rsid w:val="00D23433"/>
    <w:rsid w:val="00D23487"/>
    <w:rsid w:val="00D234AE"/>
    <w:rsid w:val="00D234E8"/>
    <w:rsid w:val="00D2355B"/>
    <w:rsid w:val="00D235A7"/>
    <w:rsid w:val="00D235AC"/>
    <w:rsid w:val="00D235CE"/>
    <w:rsid w:val="00D2365B"/>
    <w:rsid w:val="00D23695"/>
    <w:rsid w:val="00D236CB"/>
    <w:rsid w:val="00D236DE"/>
    <w:rsid w:val="00D23733"/>
    <w:rsid w:val="00D2373D"/>
    <w:rsid w:val="00D237F9"/>
    <w:rsid w:val="00D2380C"/>
    <w:rsid w:val="00D238A2"/>
    <w:rsid w:val="00D23912"/>
    <w:rsid w:val="00D23953"/>
    <w:rsid w:val="00D23985"/>
    <w:rsid w:val="00D239D2"/>
    <w:rsid w:val="00D23A45"/>
    <w:rsid w:val="00D23A5E"/>
    <w:rsid w:val="00D23B11"/>
    <w:rsid w:val="00D23B33"/>
    <w:rsid w:val="00D23B42"/>
    <w:rsid w:val="00D23B73"/>
    <w:rsid w:val="00D23B78"/>
    <w:rsid w:val="00D23BC0"/>
    <w:rsid w:val="00D23BDF"/>
    <w:rsid w:val="00D23BF6"/>
    <w:rsid w:val="00D23C00"/>
    <w:rsid w:val="00D23C0F"/>
    <w:rsid w:val="00D23C85"/>
    <w:rsid w:val="00D23D3C"/>
    <w:rsid w:val="00D23DE3"/>
    <w:rsid w:val="00D23DF4"/>
    <w:rsid w:val="00D23E0F"/>
    <w:rsid w:val="00D23E12"/>
    <w:rsid w:val="00D23E35"/>
    <w:rsid w:val="00D23E5B"/>
    <w:rsid w:val="00D23E84"/>
    <w:rsid w:val="00D23ECB"/>
    <w:rsid w:val="00D23ED9"/>
    <w:rsid w:val="00D23F1F"/>
    <w:rsid w:val="00D23F4F"/>
    <w:rsid w:val="00D23F62"/>
    <w:rsid w:val="00D23FC2"/>
    <w:rsid w:val="00D24086"/>
    <w:rsid w:val="00D240A0"/>
    <w:rsid w:val="00D2410A"/>
    <w:rsid w:val="00D24130"/>
    <w:rsid w:val="00D24163"/>
    <w:rsid w:val="00D241E1"/>
    <w:rsid w:val="00D24287"/>
    <w:rsid w:val="00D242D8"/>
    <w:rsid w:val="00D242F8"/>
    <w:rsid w:val="00D2431F"/>
    <w:rsid w:val="00D24386"/>
    <w:rsid w:val="00D24433"/>
    <w:rsid w:val="00D24442"/>
    <w:rsid w:val="00D244F7"/>
    <w:rsid w:val="00D2451C"/>
    <w:rsid w:val="00D2454A"/>
    <w:rsid w:val="00D24590"/>
    <w:rsid w:val="00D24606"/>
    <w:rsid w:val="00D24659"/>
    <w:rsid w:val="00D246B7"/>
    <w:rsid w:val="00D246C9"/>
    <w:rsid w:val="00D2472A"/>
    <w:rsid w:val="00D24744"/>
    <w:rsid w:val="00D247A3"/>
    <w:rsid w:val="00D247ED"/>
    <w:rsid w:val="00D24819"/>
    <w:rsid w:val="00D2484E"/>
    <w:rsid w:val="00D24897"/>
    <w:rsid w:val="00D248A8"/>
    <w:rsid w:val="00D248FA"/>
    <w:rsid w:val="00D24919"/>
    <w:rsid w:val="00D2495C"/>
    <w:rsid w:val="00D24960"/>
    <w:rsid w:val="00D24A2B"/>
    <w:rsid w:val="00D24A38"/>
    <w:rsid w:val="00D24A42"/>
    <w:rsid w:val="00D24A5E"/>
    <w:rsid w:val="00D24AB4"/>
    <w:rsid w:val="00D24ACD"/>
    <w:rsid w:val="00D24AE1"/>
    <w:rsid w:val="00D24AE3"/>
    <w:rsid w:val="00D24B20"/>
    <w:rsid w:val="00D24B52"/>
    <w:rsid w:val="00D24B72"/>
    <w:rsid w:val="00D24B7E"/>
    <w:rsid w:val="00D24BBD"/>
    <w:rsid w:val="00D24BE6"/>
    <w:rsid w:val="00D24C6C"/>
    <w:rsid w:val="00D24C99"/>
    <w:rsid w:val="00D24CC2"/>
    <w:rsid w:val="00D24D43"/>
    <w:rsid w:val="00D24D4F"/>
    <w:rsid w:val="00D24E27"/>
    <w:rsid w:val="00D24E6B"/>
    <w:rsid w:val="00D24E98"/>
    <w:rsid w:val="00D24EB1"/>
    <w:rsid w:val="00D24EBB"/>
    <w:rsid w:val="00D24F1C"/>
    <w:rsid w:val="00D24F43"/>
    <w:rsid w:val="00D24F5D"/>
    <w:rsid w:val="00D24FA3"/>
    <w:rsid w:val="00D24FB1"/>
    <w:rsid w:val="00D2501B"/>
    <w:rsid w:val="00D2501E"/>
    <w:rsid w:val="00D250C5"/>
    <w:rsid w:val="00D25130"/>
    <w:rsid w:val="00D25142"/>
    <w:rsid w:val="00D25188"/>
    <w:rsid w:val="00D251A4"/>
    <w:rsid w:val="00D251B4"/>
    <w:rsid w:val="00D251BD"/>
    <w:rsid w:val="00D251DD"/>
    <w:rsid w:val="00D25213"/>
    <w:rsid w:val="00D2526B"/>
    <w:rsid w:val="00D25270"/>
    <w:rsid w:val="00D253A0"/>
    <w:rsid w:val="00D25516"/>
    <w:rsid w:val="00D2551C"/>
    <w:rsid w:val="00D2566C"/>
    <w:rsid w:val="00D256C2"/>
    <w:rsid w:val="00D2577E"/>
    <w:rsid w:val="00D25811"/>
    <w:rsid w:val="00D25848"/>
    <w:rsid w:val="00D2587E"/>
    <w:rsid w:val="00D258D4"/>
    <w:rsid w:val="00D25950"/>
    <w:rsid w:val="00D25995"/>
    <w:rsid w:val="00D259B7"/>
    <w:rsid w:val="00D259DA"/>
    <w:rsid w:val="00D25A05"/>
    <w:rsid w:val="00D25A2E"/>
    <w:rsid w:val="00D25A6B"/>
    <w:rsid w:val="00D25AB1"/>
    <w:rsid w:val="00D25AB6"/>
    <w:rsid w:val="00D25ABF"/>
    <w:rsid w:val="00D25B10"/>
    <w:rsid w:val="00D25B63"/>
    <w:rsid w:val="00D25B7A"/>
    <w:rsid w:val="00D25B8E"/>
    <w:rsid w:val="00D25BD2"/>
    <w:rsid w:val="00D25C17"/>
    <w:rsid w:val="00D25C41"/>
    <w:rsid w:val="00D25C78"/>
    <w:rsid w:val="00D25CA8"/>
    <w:rsid w:val="00D25CFF"/>
    <w:rsid w:val="00D25D06"/>
    <w:rsid w:val="00D25D6E"/>
    <w:rsid w:val="00D25D9F"/>
    <w:rsid w:val="00D25DEB"/>
    <w:rsid w:val="00D25E03"/>
    <w:rsid w:val="00D25EA5"/>
    <w:rsid w:val="00D25EAB"/>
    <w:rsid w:val="00D25EB2"/>
    <w:rsid w:val="00D25ED8"/>
    <w:rsid w:val="00D25F06"/>
    <w:rsid w:val="00D25F1B"/>
    <w:rsid w:val="00D25F41"/>
    <w:rsid w:val="00D25FA1"/>
    <w:rsid w:val="00D25FB8"/>
    <w:rsid w:val="00D26027"/>
    <w:rsid w:val="00D260C5"/>
    <w:rsid w:val="00D260C6"/>
    <w:rsid w:val="00D260D0"/>
    <w:rsid w:val="00D260FC"/>
    <w:rsid w:val="00D26175"/>
    <w:rsid w:val="00D2617B"/>
    <w:rsid w:val="00D261C9"/>
    <w:rsid w:val="00D2626D"/>
    <w:rsid w:val="00D2627E"/>
    <w:rsid w:val="00D26284"/>
    <w:rsid w:val="00D26300"/>
    <w:rsid w:val="00D2635C"/>
    <w:rsid w:val="00D26477"/>
    <w:rsid w:val="00D26496"/>
    <w:rsid w:val="00D26498"/>
    <w:rsid w:val="00D264A4"/>
    <w:rsid w:val="00D264F4"/>
    <w:rsid w:val="00D26526"/>
    <w:rsid w:val="00D2654B"/>
    <w:rsid w:val="00D2656B"/>
    <w:rsid w:val="00D26630"/>
    <w:rsid w:val="00D2664D"/>
    <w:rsid w:val="00D266BD"/>
    <w:rsid w:val="00D266CE"/>
    <w:rsid w:val="00D26738"/>
    <w:rsid w:val="00D2674C"/>
    <w:rsid w:val="00D26766"/>
    <w:rsid w:val="00D2679B"/>
    <w:rsid w:val="00D267AC"/>
    <w:rsid w:val="00D267D2"/>
    <w:rsid w:val="00D268AE"/>
    <w:rsid w:val="00D26924"/>
    <w:rsid w:val="00D2692B"/>
    <w:rsid w:val="00D26933"/>
    <w:rsid w:val="00D26961"/>
    <w:rsid w:val="00D2696E"/>
    <w:rsid w:val="00D26980"/>
    <w:rsid w:val="00D26987"/>
    <w:rsid w:val="00D2699F"/>
    <w:rsid w:val="00D26A85"/>
    <w:rsid w:val="00D26AC4"/>
    <w:rsid w:val="00D26BFD"/>
    <w:rsid w:val="00D26C3A"/>
    <w:rsid w:val="00D26C3D"/>
    <w:rsid w:val="00D26C5B"/>
    <w:rsid w:val="00D26C94"/>
    <w:rsid w:val="00D26CDC"/>
    <w:rsid w:val="00D26DE3"/>
    <w:rsid w:val="00D26E9D"/>
    <w:rsid w:val="00D26F90"/>
    <w:rsid w:val="00D26FD6"/>
    <w:rsid w:val="00D2701F"/>
    <w:rsid w:val="00D27043"/>
    <w:rsid w:val="00D2709B"/>
    <w:rsid w:val="00D2709C"/>
    <w:rsid w:val="00D270B6"/>
    <w:rsid w:val="00D27118"/>
    <w:rsid w:val="00D2713E"/>
    <w:rsid w:val="00D271B9"/>
    <w:rsid w:val="00D2726C"/>
    <w:rsid w:val="00D2728F"/>
    <w:rsid w:val="00D27293"/>
    <w:rsid w:val="00D27295"/>
    <w:rsid w:val="00D27328"/>
    <w:rsid w:val="00D27342"/>
    <w:rsid w:val="00D273A5"/>
    <w:rsid w:val="00D273B6"/>
    <w:rsid w:val="00D273BB"/>
    <w:rsid w:val="00D273C6"/>
    <w:rsid w:val="00D273F1"/>
    <w:rsid w:val="00D273F9"/>
    <w:rsid w:val="00D2742F"/>
    <w:rsid w:val="00D274BF"/>
    <w:rsid w:val="00D27535"/>
    <w:rsid w:val="00D27536"/>
    <w:rsid w:val="00D2753A"/>
    <w:rsid w:val="00D2755F"/>
    <w:rsid w:val="00D27569"/>
    <w:rsid w:val="00D275B9"/>
    <w:rsid w:val="00D275C6"/>
    <w:rsid w:val="00D27609"/>
    <w:rsid w:val="00D2764C"/>
    <w:rsid w:val="00D27655"/>
    <w:rsid w:val="00D2769B"/>
    <w:rsid w:val="00D27745"/>
    <w:rsid w:val="00D2779F"/>
    <w:rsid w:val="00D277C6"/>
    <w:rsid w:val="00D277EE"/>
    <w:rsid w:val="00D27856"/>
    <w:rsid w:val="00D27868"/>
    <w:rsid w:val="00D278DF"/>
    <w:rsid w:val="00D27911"/>
    <w:rsid w:val="00D2792D"/>
    <w:rsid w:val="00D27951"/>
    <w:rsid w:val="00D2798C"/>
    <w:rsid w:val="00D279FB"/>
    <w:rsid w:val="00D27A2F"/>
    <w:rsid w:val="00D27A3E"/>
    <w:rsid w:val="00D27AAA"/>
    <w:rsid w:val="00D27AEB"/>
    <w:rsid w:val="00D27AEC"/>
    <w:rsid w:val="00D27AED"/>
    <w:rsid w:val="00D27AFC"/>
    <w:rsid w:val="00D27B14"/>
    <w:rsid w:val="00D27B19"/>
    <w:rsid w:val="00D27B9D"/>
    <w:rsid w:val="00D27BCB"/>
    <w:rsid w:val="00D27C00"/>
    <w:rsid w:val="00D27C95"/>
    <w:rsid w:val="00D27DAC"/>
    <w:rsid w:val="00D27E7A"/>
    <w:rsid w:val="00D27E9B"/>
    <w:rsid w:val="00D27ED0"/>
    <w:rsid w:val="00D27F0A"/>
    <w:rsid w:val="00D27F13"/>
    <w:rsid w:val="00D27F1C"/>
    <w:rsid w:val="00D27F9A"/>
    <w:rsid w:val="00D27FCD"/>
    <w:rsid w:val="00D27FF7"/>
    <w:rsid w:val="00D30050"/>
    <w:rsid w:val="00D3006A"/>
    <w:rsid w:val="00D300BA"/>
    <w:rsid w:val="00D3012F"/>
    <w:rsid w:val="00D30133"/>
    <w:rsid w:val="00D30137"/>
    <w:rsid w:val="00D30163"/>
    <w:rsid w:val="00D301AF"/>
    <w:rsid w:val="00D301FA"/>
    <w:rsid w:val="00D30239"/>
    <w:rsid w:val="00D30267"/>
    <w:rsid w:val="00D302E0"/>
    <w:rsid w:val="00D3032F"/>
    <w:rsid w:val="00D30440"/>
    <w:rsid w:val="00D30457"/>
    <w:rsid w:val="00D304EC"/>
    <w:rsid w:val="00D3056A"/>
    <w:rsid w:val="00D305DB"/>
    <w:rsid w:val="00D3061C"/>
    <w:rsid w:val="00D3062D"/>
    <w:rsid w:val="00D30636"/>
    <w:rsid w:val="00D3064E"/>
    <w:rsid w:val="00D306BA"/>
    <w:rsid w:val="00D306F4"/>
    <w:rsid w:val="00D306FF"/>
    <w:rsid w:val="00D30739"/>
    <w:rsid w:val="00D307A3"/>
    <w:rsid w:val="00D307A8"/>
    <w:rsid w:val="00D30862"/>
    <w:rsid w:val="00D308E7"/>
    <w:rsid w:val="00D30955"/>
    <w:rsid w:val="00D3096B"/>
    <w:rsid w:val="00D30973"/>
    <w:rsid w:val="00D30A18"/>
    <w:rsid w:val="00D30A61"/>
    <w:rsid w:val="00D30A9A"/>
    <w:rsid w:val="00D30CDF"/>
    <w:rsid w:val="00D30CFA"/>
    <w:rsid w:val="00D30D09"/>
    <w:rsid w:val="00D30D1A"/>
    <w:rsid w:val="00D30D2F"/>
    <w:rsid w:val="00D30D30"/>
    <w:rsid w:val="00D30D32"/>
    <w:rsid w:val="00D30D6B"/>
    <w:rsid w:val="00D30D7F"/>
    <w:rsid w:val="00D30D87"/>
    <w:rsid w:val="00D30EB9"/>
    <w:rsid w:val="00D30EDE"/>
    <w:rsid w:val="00D30EE1"/>
    <w:rsid w:val="00D30F73"/>
    <w:rsid w:val="00D30F7D"/>
    <w:rsid w:val="00D30FBD"/>
    <w:rsid w:val="00D31005"/>
    <w:rsid w:val="00D31072"/>
    <w:rsid w:val="00D3107B"/>
    <w:rsid w:val="00D310A1"/>
    <w:rsid w:val="00D310AD"/>
    <w:rsid w:val="00D3111B"/>
    <w:rsid w:val="00D31122"/>
    <w:rsid w:val="00D31156"/>
    <w:rsid w:val="00D31178"/>
    <w:rsid w:val="00D31218"/>
    <w:rsid w:val="00D312AF"/>
    <w:rsid w:val="00D312D0"/>
    <w:rsid w:val="00D312EB"/>
    <w:rsid w:val="00D31341"/>
    <w:rsid w:val="00D31369"/>
    <w:rsid w:val="00D31417"/>
    <w:rsid w:val="00D3141B"/>
    <w:rsid w:val="00D3142A"/>
    <w:rsid w:val="00D314A2"/>
    <w:rsid w:val="00D314B7"/>
    <w:rsid w:val="00D31551"/>
    <w:rsid w:val="00D31654"/>
    <w:rsid w:val="00D31677"/>
    <w:rsid w:val="00D3167B"/>
    <w:rsid w:val="00D316AF"/>
    <w:rsid w:val="00D316C5"/>
    <w:rsid w:val="00D31725"/>
    <w:rsid w:val="00D31758"/>
    <w:rsid w:val="00D3176B"/>
    <w:rsid w:val="00D317C6"/>
    <w:rsid w:val="00D31827"/>
    <w:rsid w:val="00D318C6"/>
    <w:rsid w:val="00D31934"/>
    <w:rsid w:val="00D31950"/>
    <w:rsid w:val="00D319A3"/>
    <w:rsid w:val="00D319BD"/>
    <w:rsid w:val="00D31A83"/>
    <w:rsid w:val="00D31ADD"/>
    <w:rsid w:val="00D31B24"/>
    <w:rsid w:val="00D31B59"/>
    <w:rsid w:val="00D31BFB"/>
    <w:rsid w:val="00D31C3E"/>
    <w:rsid w:val="00D31CDB"/>
    <w:rsid w:val="00D31D98"/>
    <w:rsid w:val="00D31E15"/>
    <w:rsid w:val="00D31E1A"/>
    <w:rsid w:val="00D31ED5"/>
    <w:rsid w:val="00D31EEE"/>
    <w:rsid w:val="00D31EF3"/>
    <w:rsid w:val="00D31F2D"/>
    <w:rsid w:val="00D31F4A"/>
    <w:rsid w:val="00D31F8C"/>
    <w:rsid w:val="00D31FD7"/>
    <w:rsid w:val="00D32022"/>
    <w:rsid w:val="00D32057"/>
    <w:rsid w:val="00D320A0"/>
    <w:rsid w:val="00D32129"/>
    <w:rsid w:val="00D32133"/>
    <w:rsid w:val="00D321DC"/>
    <w:rsid w:val="00D321EF"/>
    <w:rsid w:val="00D321F4"/>
    <w:rsid w:val="00D3223E"/>
    <w:rsid w:val="00D3225B"/>
    <w:rsid w:val="00D32311"/>
    <w:rsid w:val="00D32353"/>
    <w:rsid w:val="00D32355"/>
    <w:rsid w:val="00D32420"/>
    <w:rsid w:val="00D324AE"/>
    <w:rsid w:val="00D324C9"/>
    <w:rsid w:val="00D324D2"/>
    <w:rsid w:val="00D324E6"/>
    <w:rsid w:val="00D325C0"/>
    <w:rsid w:val="00D3261C"/>
    <w:rsid w:val="00D326B4"/>
    <w:rsid w:val="00D326BB"/>
    <w:rsid w:val="00D326CC"/>
    <w:rsid w:val="00D326E3"/>
    <w:rsid w:val="00D326E9"/>
    <w:rsid w:val="00D32738"/>
    <w:rsid w:val="00D32750"/>
    <w:rsid w:val="00D32753"/>
    <w:rsid w:val="00D32786"/>
    <w:rsid w:val="00D3278F"/>
    <w:rsid w:val="00D327E1"/>
    <w:rsid w:val="00D32800"/>
    <w:rsid w:val="00D3280F"/>
    <w:rsid w:val="00D3282A"/>
    <w:rsid w:val="00D3289D"/>
    <w:rsid w:val="00D328A0"/>
    <w:rsid w:val="00D32931"/>
    <w:rsid w:val="00D3294B"/>
    <w:rsid w:val="00D32955"/>
    <w:rsid w:val="00D329CF"/>
    <w:rsid w:val="00D32A21"/>
    <w:rsid w:val="00D32A8C"/>
    <w:rsid w:val="00D32AB5"/>
    <w:rsid w:val="00D32B14"/>
    <w:rsid w:val="00D32B2D"/>
    <w:rsid w:val="00D32C12"/>
    <w:rsid w:val="00D32C2B"/>
    <w:rsid w:val="00D32C65"/>
    <w:rsid w:val="00D32CBD"/>
    <w:rsid w:val="00D32CF0"/>
    <w:rsid w:val="00D32CFC"/>
    <w:rsid w:val="00D32D03"/>
    <w:rsid w:val="00D32D86"/>
    <w:rsid w:val="00D32D8D"/>
    <w:rsid w:val="00D32DA9"/>
    <w:rsid w:val="00D32E4A"/>
    <w:rsid w:val="00D32EC7"/>
    <w:rsid w:val="00D32F65"/>
    <w:rsid w:val="00D32F72"/>
    <w:rsid w:val="00D32FAF"/>
    <w:rsid w:val="00D32FB3"/>
    <w:rsid w:val="00D32FB6"/>
    <w:rsid w:val="00D32FDD"/>
    <w:rsid w:val="00D33016"/>
    <w:rsid w:val="00D330A3"/>
    <w:rsid w:val="00D33136"/>
    <w:rsid w:val="00D3315C"/>
    <w:rsid w:val="00D3316F"/>
    <w:rsid w:val="00D33176"/>
    <w:rsid w:val="00D33182"/>
    <w:rsid w:val="00D3318E"/>
    <w:rsid w:val="00D33198"/>
    <w:rsid w:val="00D33296"/>
    <w:rsid w:val="00D332C7"/>
    <w:rsid w:val="00D3331A"/>
    <w:rsid w:val="00D33352"/>
    <w:rsid w:val="00D333AE"/>
    <w:rsid w:val="00D33418"/>
    <w:rsid w:val="00D3344F"/>
    <w:rsid w:val="00D334BE"/>
    <w:rsid w:val="00D3352B"/>
    <w:rsid w:val="00D33536"/>
    <w:rsid w:val="00D3353D"/>
    <w:rsid w:val="00D33573"/>
    <w:rsid w:val="00D335FD"/>
    <w:rsid w:val="00D3366D"/>
    <w:rsid w:val="00D336E3"/>
    <w:rsid w:val="00D336EF"/>
    <w:rsid w:val="00D33748"/>
    <w:rsid w:val="00D3377C"/>
    <w:rsid w:val="00D338FE"/>
    <w:rsid w:val="00D33909"/>
    <w:rsid w:val="00D339DE"/>
    <w:rsid w:val="00D33A05"/>
    <w:rsid w:val="00D33B0C"/>
    <w:rsid w:val="00D33B4F"/>
    <w:rsid w:val="00D33B70"/>
    <w:rsid w:val="00D33BE5"/>
    <w:rsid w:val="00D33C48"/>
    <w:rsid w:val="00D33D07"/>
    <w:rsid w:val="00D33D16"/>
    <w:rsid w:val="00D33D4E"/>
    <w:rsid w:val="00D33D5C"/>
    <w:rsid w:val="00D33D7A"/>
    <w:rsid w:val="00D33D7C"/>
    <w:rsid w:val="00D33E20"/>
    <w:rsid w:val="00D33E60"/>
    <w:rsid w:val="00D33EA4"/>
    <w:rsid w:val="00D33EE1"/>
    <w:rsid w:val="00D33EE4"/>
    <w:rsid w:val="00D33F08"/>
    <w:rsid w:val="00D33F4C"/>
    <w:rsid w:val="00D33F62"/>
    <w:rsid w:val="00D33F79"/>
    <w:rsid w:val="00D33FA3"/>
    <w:rsid w:val="00D33FAD"/>
    <w:rsid w:val="00D33FD1"/>
    <w:rsid w:val="00D34008"/>
    <w:rsid w:val="00D34021"/>
    <w:rsid w:val="00D34031"/>
    <w:rsid w:val="00D34035"/>
    <w:rsid w:val="00D3406C"/>
    <w:rsid w:val="00D340E8"/>
    <w:rsid w:val="00D3413F"/>
    <w:rsid w:val="00D34141"/>
    <w:rsid w:val="00D3423C"/>
    <w:rsid w:val="00D3423D"/>
    <w:rsid w:val="00D3423F"/>
    <w:rsid w:val="00D34273"/>
    <w:rsid w:val="00D34277"/>
    <w:rsid w:val="00D342AD"/>
    <w:rsid w:val="00D342C1"/>
    <w:rsid w:val="00D342D1"/>
    <w:rsid w:val="00D34342"/>
    <w:rsid w:val="00D3437F"/>
    <w:rsid w:val="00D34392"/>
    <w:rsid w:val="00D34398"/>
    <w:rsid w:val="00D3439A"/>
    <w:rsid w:val="00D343A8"/>
    <w:rsid w:val="00D343C0"/>
    <w:rsid w:val="00D345E6"/>
    <w:rsid w:val="00D345EB"/>
    <w:rsid w:val="00D34607"/>
    <w:rsid w:val="00D346C5"/>
    <w:rsid w:val="00D3473C"/>
    <w:rsid w:val="00D347A5"/>
    <w:rsid w:val="00D347B3"/>
    <w:rsid w:val="00D34858"/>
    <w:rsid w:val="00D34876"/>
    <w:rsid w:val="00D3488A"/>
    <w:rsid w:val="00D348DA"/>
    <w:rsid w:val="00D3496F"/>
    <w:rsid w:val="00D349D3"/>
    <w:rsid w:val="00D34A49"/>
    <w:rsid w:val="00D34A59"/>
    <w:rsid w:val="00D34A90"/>
    <w:rsid w:val="00D34AED"/>
    <w:rsid w:val="00D34B78"/>
    <w:rsid w:val="00D34B7D"/>
    <w:rsid w:val="00D34B88"/>
    <w:rsid w:val="00D34BA5"/>
    <w:rsid w:val="00D34BDF"/>
    <w:rsid w:val="00D34C09"/>
    <w:rsid w:val="00D34C39"/>
    <w:rsid w:val="00D34CBB"/>
    <w:rsid w:val="00D34CE8"/>
    <w:rsid w:val="00D34CED"/>
    <w:rsid w:val="00D34CFD"/>
    <w:rsid w:val="00D34D09"/>
    <w:rsid w:val="00D34D0F"/>
    <w:rsid w:val="00D34D1E"/>
    <w:rsid w:val="00D34D6A"/>
    <w:rsid w:val="00D34E1F"/>
    <w:rsid w:val="00D34E46"/>
    <w:rsid w:val="00D34E91"/>
    <w:rsid w:val="00D34E9B"/>
    <w:rsid w:val="00D34F2C"/>
    <w:rsid w:val="00D34F3B"/>
    <w:rsid w:val="00D34F44"/>
    <w:rsid w:val="00D35003"/>
    <w:rsid w:val="00D3500B"/>
    <w:rsid w:val="00D35066"/>
    <w:rsid w:val="00D3507D"/>
    <w:rsid w:val="00D35087"/>
    <w:rsid w:val="00D350BE"/>
    <w:rsid w:val="00D35185"/>
    <w:rsid w:val="00D35219"/>
    <w:rsid w:val="00D352AB"/>
    <w:rsid w:val="00D352C8"/>
    <w:rsid w:val="00D352F2"/>
    <w:rsid w:val="00D3530D"/>
    <w:rsid w:val="00D3531D"/>
    <w:rsid w:val="00D35356"/>
    <w:rsid w:val="00D353AF"/>
    <w:rsid w:val="00D353FB"/>
    <w:rsid w:val="00D35403"/>
    <w:rsid w:val="00D35425"/>
    <w:rsid w:val="00D3546C"/>
    <w:rsid w:val="00D354E2"/>
    <w:rsid w:val="00D355C6"/>
    <w:rsid w:val="00D355E0"/>
    <w:rsid w:val="00D3560C"/>
    <w:rsid w:val="00D35655"/>
    <w:rsid w:val="00D35668"/>
    <w:rsid w:val="00D35699"/>
    <w:rsid w:val="00D356E3"/>
    <w:rsid w:val="00D35724"/>
    <w:rsid w:val="00D35745"/>
    <w:rsid w:val="00D35795"/>
    <w:rsid w:val="00D3581C"/>
    <w:rsid w:val="00D3586F"/>
    <w:rsid w:val="00D35876"/>
    <w:rsid w:val="00D3590D"/>
    <w:rsid w:val="00D35939"/>
    <w:rsid w:val="00D3596A"/>
    <w:rsid w:val="00D359C7"/>
    <w:rsid w:val="00D35A0A"/>
    <w:rsid w:val="00D35A71"/>
    <w:rsid w:val="00D35A88"/>
    <w:rsid w:val="00D35A91"/>
    <w:rsid w:val="00D35A9C"/>
    <w:rsid w:val="00D35AAC"/>
    <w:rsid w:val="00D35AB8"/>
    <w:rsid w:val="00D35AB9"/>
    <w:rsid w:val="00D35ABB"/>
    <w:rsid w:val="00D35ACE"/>
    <w:rsid w:val="00D35AD5"/>
    <w:rsid w:val="00D35B6C"/>
    <w:rsid w:val="00D35B81"/>
    <w:rsid w:val="00D35BF6"/>
    <w:rsid w:val="00D35C1C"/>
    <w:rsid w:val="00D35C2B"/>
    <w:rsid w:val="00D35C8C"/>
    <w:rsid w:val="00D35D27"/>
    <w:rsid w:val="00D35D29"/>
    <w:rsid w:val="00D35DF3"/>
    <w:rsid w:val="00D35EBF"/>
    <w:rsid w:val="00D35EEF"/>
    <w:rsid w:val="00D35F09"/>
    <w:rsid w:val="00D35F7E"/>
    <w:rsid w:val="00D35F9B"/>
    <w:rsid w:val="00D35FA9"/>
    <w:rsid w:val="00D36097"/>
    <w:rsid w:val="00D360DB"/>
    <w:rsid w:val="00D360F0"/>
    <w:rsid w:val="00D3613F"/>
    <w:rsid w:val="00D361B1"/>
    <w:rsid w:val="00D361C9"/>
    <w:rsid w:val="00D361CA"/>
    <w:rsid w:val="00D36218"/>
    <w:rsid w:val="00D3626F"/>
    <w:rsid w:val="00D3629E"/>
    <w:rsid w:val="00D36330"/>
    <w:rsid w:val="00D363C0"/>
    <w:rsid w:val="00D363E5"/>
    <w:rsid w:val="00D3644B"/>
    <w:rsid w:val="00D364E4"/>
    <w:rsid w:val="00D364FC"/>
    <w:rsid w:val="00D3651E"/>
    <w:rsid w:val="00D36528"/>
    <w:rsid w:val="00D36551"/>
    <w:rsid w:val="00D36568"/>
    <w:rsid w:val="00D3659F"/>
    <w:rsid w:val="00D365A9"/>
    <w:rsid w:val="00D365CD"/>
    <w:rsid w:val="00D365D0"/>
    <w:rsid w:val="00D36607"/>
    <w:rsid w:val="00D366D2"/>
    <w:rsid w:val="00D366EA"/>
    <w:rsid w:val="00D3673C"/>
    <w:rsid w:val="00D3680B"/>
    <w:rsid w:val="00D3687C"/>
    <w:rsid w:val="00D368B4"/>
    <w:rsid w:val="00D368CB"/>
    <w:rsid w:val="00D36925"/>
    <w:rsid w:val="00D36944"/>
    <w:rsid w:val="00D36963"/>
    <w:rsid w:val="00D36997"/>
    <w:rsid w:val="00D36A1C"/>
    <w:rsid w:val="00D36A61"/>
    <w:rsid w:val="00D36A97"/>
    <w:rsid w:val="00D36A99"/>
    <w:rsid w:val="00D36B1B"/>
    <w:rsid w:val="00D36B8C"/>
    <w:rsid w:val="00D36C5E"/>
    <w:rsid w:val="00D36C6D"/>
    <w:rsid w:val="00D36CBA"/>
    <w:rsid w:val="00D36CBC"/>
    <w:rsid w:val="00D36D3D"/>
    <w:rsid w:val="00D36D74"/>
    <w:rsid w:val="00D36DFF"/>
    <w:rsid w:val="00D36E59"/>
    <w:rsid w:val="00D36E99"/>
    <w:rsid w:val="00D36ED1"/>
    <w:rsid w:val="00D36F00"/>
    <w:rsid w:val="00D36F02"/>
    <w:rsid w:val="00D36F58"/>
    <w:rsid w:val="00D37076"/>
    <w:rsid w:val="00D371C0"/>
    <w:rsid w:val="00D371CE"/>
    <w:rsid w:val="00D371DB"/>
    <w:rsid w:val="00D371E9"/>
    <w:rsid w:val="00D371EE"/>
    <w:rsid w:val="00D37202"/>
    <w:rsid w:val="00D37298"/>
    <w:rsid w:val="00D372D0"/>
    <w:rsid w:val="00D372E7"/>
    <w:rsid w:val="00D37369"/>
    <w:rsid w:val="00D373D4"/>
    <w:rsid w:val="00D3750D"/>
    <w:rsid w:val="00D37543"/>
    <w:rsid w:val="00D3758B"/>
    <w:rsid w:val="00D375E6"/>
    <w:rsid w:val="00D37605"/>
    <w:rsid w:val="00D37663"/>
    <w:rsid w:val="00D37694"/>
    <w:rsid w:val="00D3769A"/>
    <w:rsid w:val="00D376AD"/>
    <w:rsid w:val="00D376BD"/>
    <w:rsid w:val="00D37742"/>
    <w:rsid w:val="00D37799"/>
    <w:rsid w:val="00D377D6"/>
    <w:rsid w:val="00D377DE"/>
    <w:rsid w:val="00D377E0"/>
    <w:rsid w:val="00D37881"/>
    <w:rsid w:val="00D378E0"/>
    <w:rsid w:val="00D378E4"/>
    <w:rsid w:val="00D3795F"/>
    <w:rsid w:val="00D3796E"/>
    <w:rsid w:val="00D379EB"/>
    <w:rsid w:val="00D37A50"/>
    <w:rsid w:val="00D37A6B"/>
    <w:rsid w:val="00D37AB2"/>
    <w:rsid w:val="00D37AEB"/>
    <w:rsid w:val="00D37B3A"/>
    <w:rsid w:val="00D37B5C"/>
    <w:rsid w:val="00D37B7D"/>
    <w:rsid w:val="00D37BB7"/>
    <w:rsid w:val="00D37BBA"/>
    <w:rsid w:val="00D37C19"/>
    <w:rsid w:val="00D37C4A"/>
    <w:rsid w:val="00D37C76"/>
    <w:rsid w:val="00D37DB4"/>
    <w:rsid w:val="00D37E12"/>
    <w:rsid w:val="00D37E8B"/>
    <w:rsid w:val="00D37ED0"/>
    <w:rsid w:val="00D37F09"/>
    <w:rsid w:val="00D37F94"/>
    <w:rsid w:val="00D37FD0"/>
    <w:rsid w:val="00D37FD9"/>
    <w:rsid w:val="00D4003A"/>
    <w:rsid w:val="00D400F1"/>
    <w:rsid w:val="00D4021E"/>
    <w:rsid w:val="00D402BB"/>
    <w:rsid w:val="00D403CC"/>
    <w:rsid w:val="00D4045E"/>
    <w:rsid w:val="00D4046A"/>
    <w:rsid w:val="00D4050F"/>
    <w:rsid w:val="00D405E8"/>
    <w:rsid w:val="00D40630"/>
    <w:rsid w:val="00D40650"/>
    <w:rsid w:val="00D40689"/>
    <w:rsid w:val="00D406C1"/>
    <w:rsid w:val="00D40781"/>
    <w:rsid w:val="00D407BF"/>
    <w:rsid w:val="00D40828"/>
    <w:rsid w:val="00D40830"/>
    <w:rsid w:val="00D4083D"/>
    <w:rsid w:val="00D4088B"/>
    <w:rsid w:val="00D408D9"/>
    <w:rsid w:val="00D409CB"/>
    <w:rsid w:val="00D409EB"/>
    <w:rsid w:val="00D40A01"/>
    <w:rsid w:val="00D40ABB"/>
    <w:rsid w:val="00D40ADE"/>
    <w:rsid w:val="00D40B21"/>
    <w:rsid w:val="00D40B82"/>
    <w:rsid w:val="00D40BB8"/>
    <w:rsid w:val="00D40C74"/>
    <w:rsid w:val="00D40C86"/>
    <w:rsid w:val="00D40CAB"/>
    <w:rsid w:val="00D40CD5"/>
    <w:rsid w:val="00D40CFD"/>
    <w:rsid w:val="00D40D90"/>
    <w:rsid w:val="00D40D99"/>
    <w:rsid w:val="00D40DAB"/>
    <w:rsid w:val="00D40DB0"/>
    <w:rsid w:val="00D40E1F"/>
    <w:rsid w:val="00D40E25"/>
    <w:rsid w:val="00D40E49"/>
    <w:rsid w:val="00D40E6A"/>
    <w:rsid w:val="00D40EC7"/>
    <w:rsid w:val="00D40F1E"/>
    <w:rsid w:val="00D40F3D"/>
    <w:rsid w:val="00D40FB0"/>
    <w:rsid w:val="00D41005"/>
    <w:rsid w:val="00D410FC"/>
    <w:rsid w:val="00D4111D"/>
    <w:rsid w:val="00D411CE"/>
    <w:rsid w:val="00D41200"/>
    <w:rsid w:val="00D41228"/>
    <w:rsid w:val="00D41248"/>
    <w:rsid w:val="00D4124F"/>
    <w:rsid w:val="00D412E1"/>
    <w:rsid w:val="00D4132D"/>
    <w:rsid w:val="00D41339"/>
    <w:rsid w:val="00D41362"/>
    <w:rsid w:val="00D4139A"/>
    <w:rsid w:val="00D413BD"/>
    <w:rsid w:val="00D4141E"/>
    <w:rsid w:val="00D41424"/>
    <w:rsid w:val="00D41481"/>
    <w:rsid w:val="00D414BF"/>
    <w:rsid w:val="00D414D8"/>
    <w:rsid w:val="00D415D4"/>
    <w:rsid w:val="00D41604"/>
    <w:rsid w:val="00D4164B"/>
    <w:rsid w:val="00D41668"/>
    <w:rsid w:val="00D4167C"/>
    <w:rsid w:val="00D41698"/>
    <w:rsid w:val="00D4169D"/>
    <w:rsid w:val="00D41796"/>
    <w:rsid w:val="00D417B0"/>
    <w:rsid w:val="00D417CF"/>
    <w:rsid w:val="00D417D6"/>
    <w:rsid w:val="00D4182E"/>
    <w:rsid w:val="00D41892"/>
    <w:rsid w:val="00D41902"/>
    <w:rsid w:val="00D41930"/>
    <w:rsid w:val="00D4195E"/>
    <w:rsid w:val="00D419A2"/>
    <w:rsid w:val="00D419B3"/>
    <w:rsid w:val="00D41A2E"/>
    <w:rsid w:val="00D41A4B"/>
    <w:rsid w:val="00D41ADD"/>
    <w:rsid w:val="00D41AF1"/>
    <w:rsid w:val="00D41AF6"/>
    <w:rsid w:val="00D41BD6"/>
    <w:rsid w:val="00D41C87"/>
    <w:rsid w:val="00D41CD3"/>
    <w:rsid w:val="00D41CD7"/>
    <w:rsid w:val="00D41CDE"/>
    <w:rsid w:val="00D41DA4"/>
    <w:rsid w:val="00D41DEC"/>
    <w:rsid w:val="00D41E8E"/>
    <w:rsid w:val="00D41ED6"/>
    <w:rsid w:val="00D41EDB"/>
    <w:rsid w:val="00D41EE9"/>
    <w:rsid w:val="00D41FE9"/>
    <w:rsid w:val="00D42067"/>
    <w:rsid w:val="00D42095"/>
    <w:rsid w:val="00D42098"/>
    <w:rsid w:val="00D420CE"/>
    <w:rsid w:val="00D420D0"/>
    <w:rsid w:val="00D420EC"/>
    <w:rsid w:val="00D420EF"/>
    <w:rsid w:val="00D4215D"/>
    <w:rsid w:val="00D42258"/>
    <w:rsid w:val="00D422DF"/>
    <w:rsid w:val="00D422F4"/>
    <w:rsid w:val="00D42360"/>
    <w:rsid w:val="00D4238D"/>
    <w:rsid w:val="00D42395"/>
    <w:rsid w:val="00D423C9"/>
    <w:rsid w:val="00D423EA"/>
    <w:rsid w:val="00D42472"/>
    <w:rsid w:val="00D424B5"/>
    <w:rsid w:val="00D424BA"/>
    <w:rsid w:val="00D424DE"/>
    <w:rsid w:val="00D424E9"/>
    <w:rsid w:val="00D42516"/>
    <w:rsid w:val="00D42555"/>
    <w:rsid w:val="00D42687"/>
    <w:rsid w:val="00D42699"/>
    <w:rsid w:val="00D42728"/>
    <w:rsid w:val="00D4278D"/>
    <w:rsid w:val="00D427DB"/>
    <w:rsid w:val="00D42826"/>
    <w:rsid w:val="00D42856"/>
    <w:rsid w:val="00D42888"/>
    <w:rsid w:val="00D428DA"/>
    <w:rsid w:val="00D428E2"/>
    <w:rsid w:val="00D428F4"/>
    <w:rsid w:val="00D42917"/>
    <w:rsid w:val="00D42965"/>
    <w:rsid w:val="00D429F3"/>
    <w:rsid w:val="00D42ACF"/>
    <w:rsid w:val="00D42B11"/>
    <w:rsid w:val="00D42B4C"/>
    <w:rsid w:val="00D42B4E"/>
    <w:rsid w:val="00D42B93"/>
    <w:rsid w:val="00D42BBE"/>
    <w:rsid w:val="00D42C02"/>
    <w:rsid w:val="00D42D4C"/>
    <w:rsid w:val="00D42D71"/>
    <w:rsid w:val="00D42D72"/>
    <w:rsid w:val="00D42D88"/>
    <w:rsid w:val="00D42DCF"/>
    <w:rsid w:val="00D42DDA"/>
    <w:rsid w:val="00D42E19"/>
    <w:rsid w:val="00D42E61"/>
    <w:rsid w:val="00D42E8A"/>
    <w:rsid w:val="00D42F4D"/>
    <w:rsid w:val="00D42F5A"/>
    <w:rsid w:val="00D42FD2"/>
    <w:rsid w:val="00D42FE8"/>
    <w:rsid w:val="00D430D2"/>
    <w:rsid w:val="00D43174"/>
    <w:rsid w:val="00D43216"/>
    <w:rsid w:val="00D4321F"/>
    <w:rsid w:val="00D43263"/>
    <w:rsid w:val="00D432F3"/>
    <w:rsid w:val="00D43331"/>
    <w:rsid w:val="00D433BC"/>
    <w:rsid w:val="00D4341E"/>
    <w:rsid w:val="00D43472"/>
    <w:rsid w:val="00D4349E"/>
    <w:rsid w:val="00D4355E"/>
    <w:rsid w:val="00D4357E"/>
    <w:rsid w:val="00D435A3"/>
    <w:rsid w:val="00D43622"/>
    <w:rsid w:val="00D4366C"/>
    <w:rsid w:val="00D4377F"/>
    <w:rsid w:val="00D43865"/>
    <w:rsid w:val="00D43897"/>
    <w:rsid w:val="00D4389D"/>
    <w:rsid w:val="00D438C9"/>
    <w:rsid w:val="00D438E8"/>
    <w:rsid w:val="00D4390A"/>
    <w:rsid w:val="00D4399E"/>
    <w:rsid w:val="00D439E3"/>
    <w:rsid w:val="00D43A2E"/>
    <w:rsid w:val="00D43A82"/>
    <w:rsid w:val="00D43AC6"/>
    <w:rsid w:val="00D43AE0"/>
    <w:rsid w:val="00D43AF6"/>
    <w:rsid w:val="00D43BBB"/>
    <w:rsid w:val="00D43BED"/>
    <w:rsid w:val="00D43C0C"/>
    <w:rsid w:val="00D43C61"/>
    <w:rsid w:val="00D43C8D"/>
    <w:rsid w:val="00D43C9E"/>
    <w:rsid w:val="00D43D3B"/>
    <w:rsid w:val="00D43D43"/>
    <w:rsid w:val="00D43D83"/>
    <w:rsid w:val="00D43D93"/>
    <w:rsid w:val="00D43DD0"/>
    <w:rsid w:val="00D43DDB"/>
    <w:rsid w:val="00D43F51"/>
    <w:rsid w:val="00D43F64"/>
    <w:rsid w:val="00D43F66"/>
    <w:rsid w:val="00D44011"/>
    <w:rsid w:val="00D4401F"/>
    <w:rsid w:val="00D44036"/>
    <w:rsid w:val="00D4404E"/>
    <w:rsid w:val="00D44054"/>
    <w:rsid w:val="00D4406F"/>
    <w:rsid w:val="00D44095"/>
    <w:rsid w:val="00D440AB"/>
    <w:rsid w:val="00D440C7"/>
    <w:rsid w:val="00D44117"/>
    <w:rsid w:val="00D441A8"/>
    <w:rsid w:val="00D4429B"/>
    <w:rsid w:val="00D442BA"/>
    <w:rsid w:val="00D442C4"/>
    <w:rsid w:val="00D442D2"/>
    <w:rsid w:val="00D443E1"/>
    <w:rsid w:val="00D443F5"/>
    <w:rsid w:val="00D443FC"/>
    <w:rsid w:val="00D44415"/>
    <w:rsid w:val="00D4444B"/>
    <w:rsid w:val="00D44472"/>
    <w:rsid w:val="00D444CC"/>
    <w:rsid w:val="00D445AF"/>
    <w:rsid w:val="00D445BC"/>
    <w:rsid w:val="00D445F2"/>
    <w:rsid w:val="00D445FA"/>
    <w:rsid w:val="00D44684"/>
    <w:rsid w:val="00D446BB"/>
    <w:rsid w:val="00D4471C"/>
    <w:rsid w:val="00D4478D"/>
    <w:rsid w:val="00D447B2"/>
    <w:rsid w:val="00D447B9"/>
    <w:rsid w:val="00D44885"/>
    <w:rsid w:val="00D448DC"/>
    <w:rsid w:val="00D44930"/>
    <w:rsid w:val="00D44969"/>
    <w:rsid w:val="00D4497D"/>
    <w:rsid w:val="00D44995"/>
    <w:rsid w:val="00D44A11"/>
    <w:rsid w:val="00D44A22"/>
    <w:rsid w:val="00D44A41"/>
    <w:rsid w:val="00D44A5E"/>
    <w:rsid w:val="00D44A6C"/>
    <w:rsid w:val="00D44A90"/>
    <w:rsid w:val="00D44AC2"/>
    <w:rsid w:val="00D44B56"/>
    <w:rsid w:val="00D44B60"/>
    <w:rsid w:val="00D44B8D"/>
    <w:rsid w:val="00D44CC5"/>
    <w:rsid w:val="00D44CEB"/>
    <w:rsid w:val="00D44D01"/>
    <w:rsid w:val="00D44DB8"/>
    <w:rsid w:val="00D44DCC"/>
    <w:rsid w:val="00D44E90"/>
    <w:rsid w:val="00D44EA5"/>
    <w:rsid w:val="00D44EA8"/>
    <w:rsid w:val="00D44F59"/>
    <w:rsid w:val="00D44F90"/>
    <w:rsid w:val="00D45070"/>
    <w:rsid w:val="00D450FF"/>
    <w:rsid w:val="00D4517B"/>
    <w:rsid w:val="00D451FC"/>
    <w:rsid w:val="00D45213"/>
    <w:rsid w:val="00D4521A"/>
    <w:rsid w:val="00D4523F"/>
    <w:rsid w:val="00D4524D"/>
    <w:rsid w:val="00D4528B"/>
    <w:rsid w:val="00D45296"/>
    <w:rsid w:val="00D452CF"/>
    <w:rsid w:val="00D452E1"/>
    <w:rsid w:val="00D45308"/>
    <w:rsid w:val="00D45318"/>
    <w:rsid w:val="00D45330"/>
    <w:rsid w:val="00D45367"/>
    <w:rsid w:val="00D4537A"/>
    <w:rsid w:val="00D4537E"/>
    <w:rsid w:val="00D453BC"/>
    <w:rsid w:val="00D454AA"/>
    <w:rsid w:val="00D454CC"/>
    <w:rsid w:val="00D454F4"/>
    <w:rsid w:val="00D45520"/>
    <w:rsid w:val="00D45527"/>
    <w:rsid w:val="00D45544"/>
    <w:rsid w:val="00D45553"/>
    <w:rsid w:val="00D4559E"/>
    <w:rsid w:val="00D455B6"/>
    <w:rsid w:val="00D45615"/>
    <w:rsid w:val="00D4563A"/>
    <w:rsid w:val="00D456AB"/>
    <w:rsid w:val="00D456B6"/>
    <w:rsid w:val="00D456FA"/>
    <w:rsid w:val="00D45731"/>
    <w:rsid w:val="00D457D8"/>
    <w:rsid w:val="00D457F0"/>
    <w:rsid w:val="00D457F6"/>
    <w:rsid w:val="00D45809"/>
    <w:rsid w:val="00D45815"/>
    <w:rsid w:val="00D45823"/>
    <w:rsid w:val="00D45834"/>
    <w:rsid w:val="00D458ED"/>
    <w:rsid w:val="00D459D1"/>
    <w:rsid w:val="00D45A8C"/>
    <w:rsid w:val="00D45ADA"/>
    <w:rsid w:val="00D45AE9"/>
    <w:rsid w:val="00D45AFF"/>
    <w:rsid w:val="00D45B83"/>
    <w:rsid w:val="00D45BAF"/>
    <w:rsid w:val="00D45BCF"/>
    <w:rsid w:val="00D45BE6"/>
    <w:rsid w:val="00D45C66"/>
    <w:rsid w:val="00D45C8C"/>
    <w:rsid w:val="00D45C9A"/>
    <w:rsid w:val="00D45CFB"/>
    <w:rsid w:val="00D45DDA"/>
    <w:rsid w:val="00D45E06"/>
    <w:rsid w:val="00D45E22"/>
    <w:rsid w:val="00D45E52"/>
    <w:rsid w:val="00D45EB4"/>
    <w:rsid w:val="00D45F3E"/>
    <w:rsid w:val="00D46027"/>
    <w:rsid w:val="00D4602F"/>
    <w:rsid w:val="00D46043"/>
    <w:rsid w:val="00D46083"/>
    <w:rsid w:val="00D460B0"/>
    <w:rsid w:val="00D460D7"/>
    <w:rsid w:val="00D46120"/>
    <w:rsid w:val="00D462A6"/>
    <w:rsid w:val="00D462C3"/>
    <w:rsid w:val="00D462DF"/>
    <w:rsid w:val="00D4635E"/>
    <w:rsid w:val="00D463F5"/>
    <w:rsid w:val="00D463FA"/>
    <w:rsid w:val="00D46413"/>
    <w:rsid w:val="00D46434"/>
    <w:rsid w:val="00D46495"/>
    <w:rsid w:val="00D464B1"/>
    <w:rsid w:val="00D464D8"/>
    <w:rsid w:val="00D46536"/>
    <w:rsid w:val="00D4653B"/>
    <w:rsid w:val="00D4655F"/>
    <w:rsid w:val="00D46618"/>
    <w:rsid w:val="00D4662E"/>
    <w:rsid w:val="00D46641"/>
    <w:rsid w:val="00D46652"/>
    <w:rsid w:val="00D46748"/>
    <w:rsid w:val="00D4674F"/>
    <w:rsid w:val="00D46758"/>
    <w:rsid w:val="00D46792"/>
    <w:rsid w:val="00D467F9"/>
    <w:rsid w:val="00D468DF"/>
    <w:rsid w:val="00D468E3"/>
    <w:rsid w:val="00D4692B"/>
    <w:rsid w:val="00D46973"/>
    <w:rsid w:val="00D469AA"/>
    <w:rsid w:val="00D469E9"/>
    <w:rsid w:val="00D46AA7"/>
    <w:rsid w:val="00D46AB5"/>
    <w:rsid w:val="00D46B13"/>
    <w:rsid w:val="00D46B61"/>
    <w:rsid w:val="00D46C3F"/>
    <w:rsid w:val="00D46CA9"/>
    <w:rsid w:val="00D46CCE"/>
    <w:rsid w:val="00D46D53"/>
    <w:rsid w:val="00D46D58"/>
    <w:rsid w:val="00D46D5A"/>
    <w:rsid w:val="00D46D5B"/>
    <w:rsid w:val="00D46D69"/>
    <w:rsid w:val="00D46D6F"/>
    <w:rsid w:val="00D46D97"/>
    <w:rsid w:val="00D46DAF"/>
    <w:rsid w:val="00D46E43"/>
    <w:rsid w:val="00D46F12"/>
    <w:rsid w:val="00D46F43"/>
    <w:rsid w:val="00D46F4D"/>
    <w:rsid w:val="00D46F61"/>
    <w:rsid w:val="00D46FA4"/>
    <w:rsid w:val="00D46FA5"/>
    <w:rsid w:val="00D47125"/>
    <w:rsid w:val="00D4720C"/>
    <w:rsid w:val="00D4722B"/>
    <w:rsid w:val="00D47296"/>
    <w:rsid w:val="00D472DA"/>
    <w:rsid w:val="00D472FB"/>
    <w:rsid w:val="00D47334"/>
    <w:rsid w:val="00D47466"/>
    <w:rsid w:val="00D4748E"/>
    <w:rsid w:val="00D4749D"/>
    <w:rsid w:val="00D474DA"/>
    <w:rsid w:val="00D4754D"/>
    <w:rsid w:val="00D475B3"/>
    <w:rsid w:val="00D47637"/>
    <w:rsid w:val="00D4764B"/>
    <w:rsid w:val="00D4766F"/>
    <w:rsid w:val="00D476BD"/>
    <w:rsid w:val="00D4772F"/>
    <w:rsid w:val="00D4775C"/>
    <w:rsid w:val="00D47846"/>
    <w:rsid w:val="00D47920"/>
    <w:rsid w:val="00D47A24"/>
    <w:rsid w:val="00D47A94"/>
    <w:rsid w:val="00D47AA4"/>
    <w:rsid w:val="00D47B19"/>
    <w:rsid w:val="00D47B34"/>
    <w:rsid w:val="00D47B63"/>
    <w:rsid w:val="00D47BA3"/>
    <w:rsid w:val="00D47BC0"/>
    <w:rsid w:val="00D47CD0"/>
    <w:rsid w:val="00D47D05"/>
    <w:rsid w:val="00D47DB0"/>
    <w:rsid w:val="00D47DF3"/>
    <w:rsid w:val="00D47E29"/>
    <w:rsid w:val="00D47E30"/>
    <w:rsid w:val="00D47E45"/>
    <w:rsid w:val="00D47E58"/>
    <w:rsid w:val="00D47EB8"/>
    <w:rsid w:val="00D47EE3"/>
    <w:rsid w:val="00D47EF2"/>
    <w:rsid w:val="00D47F30"/>
    <w:rsid w:val="00D50064"/>
    <w:rsid w:val="00D500BA"/>
    <w:rsid w:val="00D501F5"/>
    <w:rsid w:val="00D50215"/>
    <w:rsid w:val="00D50228"/>
    <w:rsid w:val="00D502C0"/>
    <w:rsid w:val="00D502E6"/>
    <w:rsid w:val="00D50347"/>
    <w:rsid w:val="00D5035E"/>
    <w:rsid w:val="00D50394"/>
    <w:rsid w:val="00D5040F"/>
    <w:rsid w:val="00D50417"/>
    <w:rsid w:val="00D504B4"/>
    <w:rsid w:val="00D504D5"/>
    <w:rsid w:val="00D5050A"/>
    <w:rsid w:val="00D5055B"/>
    <w:rsid w:val="00D50560"/>
    <w:rsid w:val="00D5057D"/>
    <w:rsid w:val="00D5057F"/>
    <w:rsid w:val="00D50593"/>
    <w:rsid w:val="00D50626"/>
    <w:rsid w:val="00D5062A"/>
    <w:rsid w:val="00D50643"/>
    <w:rsid w:val="00D50672"/>
    <w:rsid w:val="00D50673"/>
    <w:rsid w:val="00D50677"/>
    <w:rsid w:val="00D5068B"/>
    <w:rsid w:val="00D507EF"/>
    <w:rsid w:val="00D507F5"/>
    <w:rsid w:val="00D50862"/>
    <w:rsid w:val="00D50895"/>
    <w:rsid w:val="00D508C8"/>
    <w:rsid w:val="00D50964"/>
    <w:rsid w:val="00D5097D"/>
    <w:rsid w:val="00D509A7"/>
    <w:rsid w:val="00D50A28"/>
    <w:rsid w:val="00D50A81"/>
    <w:rsid w:val="00D50A95"/>
    <w:rsid w:val="00D50AB0"/>
    <w:rsid w:val="00D50AD6"/>
    <w:rsid w:val="00D50AE4"/>
    <w:rsid w:val="00D50B7C"/>
    <w:rsid w:val="00D50B8A"/>
    <w:rsid w:val="00D50B8B"/>
    <w:rsid w:val="00D50B96"/>
    <w:rsid w:val="00D50B98"/>
    <w:rsid w:val="00D50B9A"/>
    <w:rsid w:val="00D50BB2"/>
    <w:rsid w:val="00D50C19"/>
    <w:rsid w:val="00D50CC2"/>
    <w:rsid w:val="00D50D11"/>
    <w:rsid w:val="00D50D31"/>
    <w:rsid w:val="00D50D33"/>
    <w:rsid w:val="00D50D82"/>
    <w:rsid w:val="00D50DA9"/>
    <w:rsid w:val="00D50DB0"/>
    <w:rsid w:val="00D50DB1"/>
    <w:rsid w:val="00D50DFA"/>
    <w:rsid w:val="00D50E12"/>
    <w:rsid w:val="00D50E3C"/>
    <w:rsid w:val="00D50E49"/>
    <w:rsid w:val="00D50E6B"/>
    <w:rsid w:val="00D50EDC"/>
    <w:rsid w:val="00D50EE4"/>
    <w:rsid w:val="00D50EE7"/>
    <w:rsid w:val="00D50EEE"/>
    <w:rsid w:val="00D50FFA"/>
    <w:rsid w:val="00D51015"/>
    <w:rsid w:val="00D51054"/>
    <w:rsid w:val="00D510A5"/>
    <w:rsid w:val="00D510A8"/>
    <w:rsid w:val="00D51156"/>
    <w:rsid w:val="00D511A4"/>
    <w:rsid w:val="00D511BB"/>
    <w:rsid w:val="00D51201"/>
    <w:rsid w:val="00D5121F"/>
    <w:rsid w:val="00D5123B"/>
    <w:rsid w:val="00D51249"/>
    <w:rsid w:val="00D51277"/>
    <w:rsid w:val="00D512C0"/>
    <w:rsid w:val="00D51323"/>
    <w:rsid w:val="00D513ED"/>
    <w:rsid w:val="00D51429"/>
    <w:rsid w:val="00D5142D"/>
    <w:rsid w:val="00D5149A"/>
    <w:rsid w:val="00D514A1"/>
    <w:rsid w:val="00D5165D"/>
    <w:rsid w:val="00D516E6"/>
    <w:rsid w:val="00D5171E"/>
    <w:rsid w:val="00D51733"/>
    <w:rsid w:val="00D51782"/>
    <w:rsid w:val="00D517C4"/>
    <w:rsid w:val="00D51851"/>
    <w:rsid w:val="00D5187D"/>
    <w:rsid w:val="00D518D1"/>
    <w:rsid w:val="00D51925"/>
    <w:rsid w:val="00D51943"/>
    <w:rsid w:val="00D5194A"/>
    <w:rsid w:val="00D51969"/>
    <w:rsid w:val="00D5198A"/>
    <w:rsid w:val="00D51991"/>
    <w:rsid w:val="00D51997"/>
    <w:rsid w:val="00D51B0E"/>
    <w:rsid w:val="00D51B47"/>
    <w:rsid w:val="00D51BB2"/>
    <w:rsid w:val="00D51BC4"/>
    <w:rsid w:val="00D51BD4"/>
    <w:rsid w:val="00D51BF4"/>
    <w:rsid w:val="00D51C2B"/>
    <w:rsid w:val="00D51C8F"/>
    <w:rsid w:val="00D51CA2"/>
    <w:rsid w:val="00D51D80"/>
    <w:rsid w:val="00D51DF4"/>
    <w:rsid w:val="00D51E61"/>
    <w:rsid w:val="00D51E62"/>
    <w:rsid w:val="00D51E9F"/>
    <w:rsid w:val="00D51EEA"/>
    <w:rsid w:val="00D51FC0"/>
    <w:rsid w:val="00D51FEE"/>
    <w:rsid w:val="00D52092"/>
    <w:rsid w:val="00D520C6"/>
    <w:rsid w:val="00D520D4"/>
    <w:rsid w:val="00D52108"/>
    <w:rsid w:val="00D52179"/>
    <w:rsid w:val="00D52202"/>
    <w:rsid w:val="00D52284"/>
    <w:rsid w:val="00D523F2"/>
    <w:rsid w:val="00D52425"/>
    <w:rsid w:val="00D52455"/>
    <w:rsid w:val="00D524A3"/>
    <w:rsid w:val="00D52511"/>
    <w:rsid w:val="00D525A9"/>
    <w:rsid w:val="00D525BE"/>
    <w:rsid w:val="00D5265B"/>
    <w:rsid w:val="00D52675"/>
    <w:rsid w:val="00D52676"/>
    <w:rsid w:val="00D526BA"/>
    <w:rsid w:val="00D526E7"/>
    <w:rsid w:val="00D526F0"/>
    <w:rsid w:val="00D5271F"/>
    <w:rsid w:val="00D527F8"/>
    <w:rsid w:val="00D52847"/>
    <w:rsid w:val="00D52859"/>
    <w:rsid w:val="00D52892"/>
    <w:rsid w:val="00D528AF"/>
    <w:rsid w:val="00D52946"/>
    <w:rsid w:val="00D529DF"/>
    <w:rsid w:val="00D52A3E"/>
    <w:rsid w:val="00D52A49"/>
    <w:rsid w:val="00D52A57"/>
    <w:rsid w:val="00D52AAD"/>
    <w:rsid w:val="00D52AB3"/>
    <w:rsid w:val="00D52AEF"/>
    <w:rsid w:val="00D52B10"/>
    <w:rsid w:val="00D52BAF"/>
    <w:rsid w:val="00D52BC7"/>
    <w:rsid w:val="00D52C05"/>
    <w:rsid w:val="00D52C72"/>
    <w:rsid w:val="00D52C9A"/>
    <w:rsid w:val="00D52C9C"/>
    <w:rsid w:val="00D52DB6"/>
    <w:rsid w:val="00D52E18"/>
    <w:rsid w:val="00D52EEC"/>
    <w:rsid w:val="00D52F35"/>
    <w:rsid w:val="00D52F3F"/>
    <w:rsid w:val="00D52F79"/>
    <w:rsid w:val="00D52F89"/>
    <w:rsid w:val="00D52F8A"/>
    <w:rsid w:val="00D52F9C"/>
    <w:rsid w:val="00D52FD8"/>
    <w:rsid w:val="00D52FE1"/>
    <w:rsid w:val="00D53017"/>
    <w:rsid w:val="00D53045"/>
    <w:rsid w:val="00D53046"/>
    <w:rsid w:val="00D5304D"/>
    <w:rsid w:val="00D5306B"/>
    <w:rsid w:val="00D53081"/>
    <w:rsid w:val="00D530C1"/>
    <w:rsid w:val="00D530C5"/>
    <w:rsid w:val="00D530F2"/>
    <w:rsid w:val="00D5311F"/>
    <w:rsid w:val="00D53191"/>
    <w:rsid w:val="00D532F3"/>
    <w:rsid w:val="00D53326"/>
    <w:rsid w:val="00D53341"/>
    <w:rsid w:val="00D5335B"/>
    <w:rsid w:val="00D533E0"/>
    <w:rsid w:val="00D533F1"/>
    <w:rsid w:val="00D533FB"/>
    <w:rsid w:val="00D533FC"/>
    <w:rsid w:val="00D53456"/>
    <w:rsid w:val="00D5345F"/>
    <w:rsid w:val="00D53476"/>
    <w:rsid w:val="00D5348B"/>
    <w:rsid w:val="00D53634"/>
    <w:rsid w:val="00D53648"/>
    <w:rsid w:val="00D536A0"/>
    <w:rsid w:val="00D536AA"/>
    <w:rsid w:val="00D53714"/>
    <w:rsid w:val="00D53739"/>
    <w:rsid w:val="00D537AA"/>
    <w:rsid w:val="00D53820"/>
    <w:rsid w:val="00D53838"/>
    <w:rsid w:val="00D53856"/>
    <w:rsid w:val="00D53866"/>
    <w:rsid w:val="00D538D3"/>
    <w:rsid w:val="00D538E0"/>
    <w:rsid w:val="00D5394A"/>
    <w:rsid w:val="00D53999"/>
    <w:rsid w:val="00D539ED"/>
    <w:rsid w:val="00D53A67"/>
    <w:rsid w:val="00D53A8A"/>
    <w:rsid w:val="00D53AB2"/>
    <w:rsid w:val="00D53AF1"/>
    <w:rsid w:val="00D53B0F"/>
    <w:rsid w:val="00D53BEB"/>
    <w:rsid w:val="00D53C4B"/>
    <w:rsid w:val="00D53C4D"/>
    <w:rsid w:val="00D53CD9"/>
    <w:rsid w:val="00D53D09"/>
    <w:rsid w:val="00D53D34"/>
    <w:rsid w:val="00D53D3F"/>
    <w:rsid w:val="00D53D4A"/>
    <w:rsid w:val="00D53DE7"/>
    <w:rsid w:val="00D53E2B"/>
    <w:rsid w:val="00D53E33"/>
    <w:rsid w:val="00D53F32"/>
    <w:rsid w:val="00D53F6D"/>
    <w:rsid w:val="00D53F9F"/>
    <w:rsid w:val="00D53FCF"/>
    <w:rsid w:val="00D53FF3"/>
    <w:rsid w:val="00D54049"/>
    <w:rsid w:val="00D54071"/>
    <w:rsid w:val="00D540BF"/>
    <w:rsid w:val="00D540F8"/>
    <w:rsid w:val="00D54140"/>
    <w:rsid w:val="00D54188"/>
    <w:rsid w:val="00D541A1"/>
    <w:rsid w:val="00D541FC"/>
    <w:rsid w:val="00D54255"/>
    <w:rsid w:val="00D5426E"/>
    <w:rsid w:val="00D5428D"/>
    <w:rsid w:val="00D54291"/>
    <w:rsid w:val="00D542C8"/>
    <w:rsid w:val="00D543F2"/>
    <w:rsid w:val="00D54430"/>
    <w:rsid w:val="00D5445D"/>
    <w:rsid w:val="00D5446C"/>
    <w:rsid w:val="00D54515"/>
    <w:rsid w:val="00D54535"/>
    <w:rsid w:val="00D54585"/>
    <w:rsid w:val="00D54605"/>
    <w:rsid w:val="00D54610"/>
    <w:rsid w:val="00D5461E"/>
    <w:rsid w:val="00D54648"/>
    <w:rsid w:val="00D54681"/>
    <w:rsid w:val="00D546D4"/>
    <w:rsid w:val="00D54708"/>
    <w:rsid w:val="00D5476D"/>
    <w:rsid w:val="00D54774"/>
    <w:rsid w:val="00D54782"/>
    <w:rsid w:val="00D547D0"/>
    <w:rsid w:val="00D547DB"/>
    <w:rsid w:val="00D54843"/>
    <w:rsid w:val="00D548A4"/>
    <w:rsid w:val="00D54962"/>
    <w:rsid w:val="00D549A8"/>
    <w:rsid w:val="00D549C1"/>
    <w:rsid w:val="00D54A74"/>
    <w:rsid w:val="00D54A94"/>
    <w:rsid w:val="00D54AD1"/>
    <w:rsid w:val="00D54AE2"/>
    <w:rsid w:val="00D54B0E"/>
    <w:rsid w:val="00D54B18"/>
    <w:rsid w:val="00D54BA7"/>
    <w:rsid w:val="00D54C03"/>
    <w:rsid w:val="00D54C2F"/>
    <w:rsid w:val="00D54CC1"/>
    <w:rsid w:val="00D54CD0"/>
    <w:rsid w:val="00D54CDB"/>
    <w:rsid w:val="00D54D0F"/>
    <w:rsid w:val="00D54E0A"/>
    <w:rsid w:val="00D54E6F"/>
    <w:rsid w:val="00D54E7C"/>
    <w:rsid w:val="00D54ED9"/>
    <w:rsid w:val="00D54F72"/>
    <w:rsid w:val="00D54FD6"/>
    <w:rsid w:val="00D55003"/>
    <w:rsid w:val="00D55021"/>
    <w:rsid w:val="00D55024"/>
    <w:rsid w:val="00D5508B"/>
    <w:rsid w:val="00D5523D"/>
    <w:rsid w:val="00D55275"/>
    <w:rsid w:val="00D552A0"/>
    <w:rsid w:val="00D5538F"/>
    <w:rsid w:val="00D553A1"/>
    <w:rsid w:val="00D553A3"/>
    <w:rsid w:val="00D553C7"/>
    <w:rsid w:val="00D553E3"/>
    <w:rsid w:val="00D553FF"/>
    <w:rsid w:val="00D55413"/>
    <w:rsid w:val="00D5542D"/>
    <w:rsid w:val="00D55479"/>
    <w:rsid w:val="00D5550A"/>
    <w:rsid w:val="00D55537"/>
    <w:rsid w:val="00D5557C"/>
    <w:rsid w:val="00D555E5"/>
    <w:rsid w:val="00D555FB"/>
    <w:rsid w:val="00D55612"/>
    <w:rsid w:val="00D5568C"/>
    <w:rsid w:val="00D556A8"/>
    <w:rsid w:val="00D556AA"/>
    <w:rsid w:val="00D556ED"/>
    <w:rsid w:val="00D55729"/>
    <w:rsid w:val="00D5573D"/>
    <w:rsid w:val="00D55740"/>
    <w:rsid w:val="00D5574D"/>
    <w:rsid w:val="00D55775"/>
    <w:rsid w:val="00D55793"/>
    <w:rsid w:val="00D557B4"/>
    <w:rsid w:val="00D557BF"/>
    <w:rsid w:val="00D557DA"/>
    <w:rsid w:val="00D557F3"/>
    <w:rsid w:val="00D5580E"/>
    <w:rsid w:val="00D55819"/>
    <w:rsid w:val="00D5582E"/>
    <w:rsid w:val="00D55886"/>
    <w:rsid w:val="00D5588B"/>
    <w:rsid w:val="00D55928"/>
    <w:rsid w:val="00D55962"/>
    <w:rsid w:val="00D55987"/>
    <w:rsid w:val="00D55A07"/>
    <w:rsid w:val="00D55A1C"/>
    <w:rsid w:val="00D55A54"/>
    <w:rsid w:val="00D55A96"/>
    <w:rsid w:val="00D55ADA"/>
    <w:rsid w:val="00D55B65"/>
    <w:rsid w:val="00D55BFD"/>
    <w:rsid w:val="00D55C3F"/>
    <w:rsid w:val="00D55C53"/>
    <w:rsid w:val="00D55C95"/>
    <w:rsid w:val="00D55CA8"/>
    <w:rsid w:val="00D55CCF"/>
    <w:rsid w:val="00D55D11"/>
    <w:rsid w:val="00D55D3C"/>
    <w:rsid w:val="00D55D3D"/>
    <w:rsid w:val="00D55D62"/>
    <w:rsid w:val="00D55D8C"/>
    <w:rsid w:val="00D55DAC"/>
    <w:rsid w:val="00D55DCE"/>
    <w:rsid w:val="00D55E4C"/>
    <w:rsid w:val="00D55F6B"/>
    <w:rsid w:val="00D55F9F"/>
    <w:rsid w:val="00D55FE8"/>
    <w:rsid w:val="00D55FFF"/>
    <w:rsid w:val="00D560DD"/>
    <w:rsid w:val="00D560E4"/>
    <w:rsid w:val="00D56128"/>
    <w:rsid w:val="00D5613E"/>
    <w:rsid w:val="00D561B8"/>
    <w:rsid w:val="00D561EB"/>
    <w:rsid w:val="00D561F9"/>
    <w:rsid w:val="00D562CD"/>
    <w:rsid w:val="00D562DE"/>
    <w:rsid w:val="00D56366"/>
    <w:rsid w:val="00D563BC"/>
    <w:rsid w:val="00D5643C"/>
    <w:rsid w:val="00D564A9"/>
    <w:rsid w:val="00D56541"/>
    <w:rsid w:val="00D5655B"/>
    <w:rsid w:val="00D565A7"/>
    <w:rsid w:val="00D56676"/>
    <w:rsid w:val="00D56685"/>
    <w:rsid w:val="00D566B8"/>
    <w:rsid w:val="00D5677F"/>
    <w:rsid w:val="00D567A7"/>
    <w:rsid w:val="00D567B7"/>
    <w:rsid w:val="00D5687F"/>
    <w:rsid w:val="00D56917"/>
    <w:rsid w:val="00D56963"/>
    <w:rsid w:val="00D569A9"/>
    <w:rsid w:val="00D569CB"/>
    <w:rsid w:val="00D569E5"/>
    <w:rsid w:val="00D56A01"/>
    <w:rsid w:val="00D56A3C"/>
    <w:rsid w:val="00D56BE7"/>
    <w:rsid w:val="00D56C23"/>
    <w:rsid w:val="00D56C89"/>
    <w:rsid w:val="00D56C8E"/>
    <w:rsid w:val="00D56CD9"/>
    <w:rsid w:val="00D56D0C"/>
    <w:rsid w:val="00D56D16"/>
    <w:rsid w:val="00D56D91"/>
    <w:rsid w:val="00D56DC9"/>
    <w:rsid w:val="00D56DE4"/>
    <w:rsid w:val="00D56E16"/>
    <w:rsid w:val="00D56E2F"/>
    <w:rsid w:val="00D56E41"/>
    <w:rsid w:val="00D56E56"/>
    <w:rsid w:val="00D56E6F"/>
    <w:rsid w:val="00D56EBA"/>
    <w:rsid w:val="00D56EC9"/>
    <w:rsid w:val="00D56F49"/>
    <w:rsid w:val="00D56F95"/>
    <w:rsid w:val="00D56FA0"/>
    <w:rsid w:val="00D57020"/>
    <w:rsid w:val="00D5702E"/>
    <w:rsid w:val="00D5707B"/>
    <w:rsid w:val="00D57090"/>
    <w:rsid w:val="00D57130"/>
    <w:rsid w:val="00D5718A"/>
    <w:rsid w:val="00D57234"/>
    <w:rsid w:val="00D5729E"/>
    <w:rsid w:val="00D572EE"/>
    <w:rsid w:val="00D57309"/>
    <w:rsid w:val="00D5737E"/>
    <w:rsid w:val="00D57395"/>
    <w:rsid w:val="00D573AA"/>
    <w:rsid w:val="00D573B7"/>
    <w:rsid w:val="00D57514"/>
    <w:rsid w:val="00D57539"/>
    <w:rsid w:val="00D57572"/>
    <w:rsid w:val="00D57590"/>
    <w:rsid w:val="00D5763B"/>
    <w:rsid w:val="00D57682"/>
    <w:rsid w:val="00D57688"/>
    <w:rsid w:val="00D576D6"/>
    <w:rsid w:val="00D576DF"/>
    <w:rsid w:val="00D5775D"/>
    <w:rsid w:val="00D57763"/>
    <w:rsid w:val="00D577A2"/>
    <w:rsid w:val="00D577FA"/>
    <w:rsid w:val="00D577FC"/>
    <w:rsid w:val="00D57A0F"/>
    <w:rsid w:val="00D57A35"/>
    <w:rsid w:val="00D57B64"/>
    <w:rsid w:val="00D57BA3"/>
    <w:rsid w:val="00D57C51"/>
    <w:rsid w:val="00D57CA8"/>
    <w:rsid w:val="00D57CF0"/>
    <w:rsid w:val="00D57D45"/>
    <w:rsid w:val="00D57E15"/>
    <w:rsid w:val="00D57E3B"/>
    <w:rsid w:val="00D57E45"/>
    <w:rsid w:val="00D57EBF"/>
    <w:rsid w:val="00D57EF7"/>
    <w:rsid w:val="00D57F56"/>
    <w:rsid w:val="00D57FF6"/>
    <w:rsid w:val="00D6001B"/>
    <w:rsid w:val="00D6003D"/>
    <w:rsid w:val="00D60110"/>
    <w:rsid w:val="00D6012A"/>
    <w:rsid w:val="00D601F8"/>
    <w:rsid w:val="00D60259"/>
    <w:rsid w:val="00D6029A"/>
    <w:rsid w:val="00D60314"/>
    <w:rsid w:val="00D6032B"/>
    <w:rsid w:val="00D60347"/>
    <w:rsid w:val="00D603A7"/>
    <w:rsid w:val="00D60475"/>
    <w:rsid w:val="00D604E5"/>
    <w:rsid w:val="00D6051A"/>
    <w:rsid w:val="00D60527"/>
    <w:rsid w:val="00D6053B"/>
    <w:rsid w:val="00D605BA"/>
    <w:rsid w:val="00D605C8"/>
    <w:rsid w:val="00D60600"/>
    <w:rsid w:val="00D6066D"/>
    <w:rsid w:val="00D6069B"/>
    <w:rsid w:val="00D608B3"/>
    <w:rsid w:val="00D608D1"/>
    <w:rsid w:val="00D608F7"/>
    <w:rsid w:val="00D60908"/>
    <w:rsid w:val="00D60A6B"/>
    <w:rsid w:val="00D60B86"/>
    <w:rsid w:val="00D60B9E"/>
    <w:rsid w:val="00D60BB1"/>
    <w:rsid w:val="00D60C51"/>
    <w:rsid w:val="00D60D25"/>
    <w:rsid w:val="00D60D3E"/>
    <w:rsid w:val="00D60D6C"/>
    <w:rsid w:val="00D60E1A"/>
    <w:rsid w:val="00D60E60"/>
    <w:rsid w:val="00D60EB9"/>
    <w:rsid w:val="00D60F0B"/>
    <w:rsid w:val="00D60F41"/>
    <w:rsid w:val="00D60F5A"/>
    <w:rsid w:val="00D60F87"/>
    <w:rsid w:val="00D60FDD"/>
    <w:rsid w:val="00D61008"/>
    <w:rsid w:val="00D61009"/>
    <w:rsid w:val="00D610A7"/>
    <w:rsid w:val="00D61110"/>
    <w:rsid w:val="00D61111"/>
    <w:rsid w:val="00D61247"/>
    <w:rsid w:val="00D61273"/>
    <w:rsid w:val="00D61292"/>
    <w:rsid w:val="00D612B3"/>
    <w:rsid w:val="00D6131A"/>
    <w:rsid w:val="00D61387"/>
    <w:rsid w:val="00D61449"/>
    <w:rsid w:val="00D61475"/>
    <w:rsid w:val="00D6148D"/>
    <w:rsid w:val="00D6148E"/>
    <w:rsid w:val="00D614A1"/>
    <w:rsid w:val="00D61516"/>
    <w:rsid w:val="00D61575"/>
    <w:rsid w:val="00D615A4"/>
    <w:rsid w:val="00D615D6"/>
    <w:rsid w:val="00D61623"/>
    <w:rsid w:val="00D61656"/>
    <w:rsid w:val="00D6168E"/>
    <w:rsid w:val="00D616EB"/>
    <w:rsid w:val="00D61703"/>
    <w:rsid w:val="00D6174E"/>
    <w:rsid w:val="00D61774"/>
    <w:rsid w:val="00D61777"/>
    <w:rsid w:val="00D617CA"/>
    <w:rsid w:val="00D617DA"/>
    <w:rsid w:val="00D617E2"/>
    <w:rsid w:val="00D6183B"/>
    <w:rsid w:val="00D61841"/>
    <w:rsid w:val="00D61939"/>
    <w:rsid w:val="00D61947"/>
    <w:rsid w:val="00D61992"/>
    <w:rsid w:val="00D619B9"/>
    <w:rsid w:val="00D61AC1"/>
    <w:rsid w:val="00D61B05"/>
    <w:rsid w:val="00D61B0A"/>
    <w:rsid w:val="00D61B18"/>
    <w:rsid w:val="00D61B4F"/>
    <w:rsid w:val="00D61B64"/>
    <w:rsid w:val="00D61C02"/>
    <w:rsid w:val="00D61C35"/>
    <w:rsid w:val="00D61C3F"/>
    <w:rsid w:val="00D61C4A"/>
    <w:rsid w:val="00D61CC6"/>
    <w:rsid w:val="00D61CFE"/>
    <w:rsid w:val="00D61D4F"/>
    <w:rsid w:val="00D61D60"/>
    <w:rsid w:val="00D61D74"/>
    <w:rsid w:val="00D61D87"/>
    <w:rsid w:val="00D61E7F"/>
    <w:rsid w:val="00D61EC1"/>
    <w:rsid w:val="00D61EF7"/>
    <w:rsid w:val="00D61F08"/>
    <w:rsid w:val="00D61F1D"/>
    <w:rsid w:val="00D61F6B"/>
    <w:rsid w:val="00D61F9C"/>
    <w:rsid w:val="00D61FA0"/>
    <w:rsid w:val="00D61FB3"/>
    <w:rsid w:val="00D62119"/>
    <w:rsid w:val="00D6211F"/>
    <w:rsid w:val="00D62130"/>
    <w:rsid w:val="00D621E3"/>
    <w:rsid w:val="00D6220D"/>
    <w:rsid w:val="00D6222C"/>
    <w:rsid w:val="00D622A1"/>
    <w:rsid w:val="00D62366"/>
    <w:rsid w:val="00D623C8"/>
    <w:rsid w:val="00D623E2"/>
    <w:rsid w:val="00D62427"/>
    <w:rsid w:val="00D6243A"/>
    <w:rsid w:val="00D62488"/>
    <w:rsid w:val="00D625C4"/>
    <w:rsid w:val="00D62602"/>
    <w:rsid w:val="00D62608"/>
    <w:rsid w:val="00D62669"/>
    <w:rsid w:val="00D6270C"/>
    <w:rsid w:val="00D62723"/>
    <w:rsid w:val="00D62748"/>
    <w:rsid w:val="00D6277F"/>
    <w:rsid w:val="00D627A5"/>
    <w:rsid w:val="00D62849"/>
    <w:rsid w:val="00D628CE"/>
    <w:rsid w:val="00D628E9"/>
    <w:rsid w:val="00D62900"/>
    <w:rsid w:val="00D62AB8"/>
    <w:rsid w:val="00D62B50"/>
    <w:rsid w:val="00D62BDC"/>
    <w:rsid w:val="00D62C0D"/>
    <w:rsid w:val="00D62C13"/>
    <w:rsid w:val="00D62C9C"/>
    <w:rsid w:val="00D62D2F"/>
    <w:rsid w:val="00D62D48"/>
    <w:rsid w:val="00D62D61"/>
    <w:rsid w:val="00D62D85"/>
    <w:rsid w:val="00D62DAB"/>
    <w:rsid w:val="00D62DB8"/>
    <w:rsid w:val="00D62DBA"/>
    <w:rsid w:val="00D62EE7"/>
    <w:rsid w:val="00D62F46"/>
    <w:rsid w:val="00D62F54"/>
    <w:rsid w:val="00D62FC7"/>
    <w:rsid w:val="00D62FE3"/>
    <w:rsid w:val="00D630B9"/>
    <w:rsid w:val="00D631DB"/>
    <w:rsid w:val="00D631F0"/>
    <w:rsid w:val="00D63209"/>
    <w:rsid w:val="00D63284"/>
    <w:rsid w:val="00D63335"/>
    <w:rsid w:val="00D63383"/>
    <w:rsid w:val="00D633CA"/>
    <w:rsid w:val="00D633CC"/>
    <w:rsid w:val="00D63441"/>
    <w:rsid w:val="00D63453"/>
    <w:rsid w:val="00D63483"/>
    <w:rsid w:val="00D6348E"/>
    <w:rsid w:val="00D6350E"/>
    <w:rsid w:val="00D6352A"/>
    <w:rsid w:val="00D6352D"/>
    <w:rsid w:val="00D63548"/>
    <w:rsid w:val="00D63560"/>
    <w:rsid w:val="00D6356B"/>
    <w:rsid w:val="00D63576"/>
    <w:rsid w:val="00D63596"/>
    <w:rsid w:val="00D63673"/>
    <w:rsid w:val="00D63686"/>
    <w:rsid w:val="00D636B6"/>
    <w:rsid w:val="00D636FC"/>
    <w:rsid w:val="00D63711"/>
    <w:rsid w:val="00D63744"/>
    <w:rsid w:val="00D637B3"/>
    <w:rsid w:val="00D637BF"/>
    <w:rsid w:val="00D638B0"/>
    <w:rsid w:val="00D638E9"/>
    <w:rsid w:val="00D638F0"/>
    <w:rsid w:val="00D6390D"/>
    <w:rsid w:val="00D639CC"/>
    <w:rsid w:val="00D63A72"/>
    <w:rsid w:val="00D63A73"/>
    <w:rsid w:val="00D63AB7"/>
    <w:rsid w:val="00D63AF9"/>
    <w:rsid w:val="00D63B0E"/>
    <w:rsid w:val="00D63B17"/>
    <w:rsid w:val="00D63BBE"/>
    <w:rsid w:val="00D63BC8"/>
    <w:rsid w:val="00D63C2C"/>
    <w:rsid w:val="00D63C35"/>
    <w:rsid w:val="00D63CD3"/>
    <w:rsid w:val="00D63D70"/>
    <w:rsid w:val="00D63D76"/>
    <w:rsid w:val="00D63DE5"/>
    <w:rsid w:val="00D63E31"/>
    <w:rsid w:val="00D63E43"/>
    <w:rsid w:val="00D63E82"/>
    <w:rsid w:val="00D63E9B"/>
    <w:rsid w:val="00D63EA3"/>
    <w:rsid w:val="00D63F24"/>
    <w:rsid w:val="00D63F6E"/>
    <w:rsid w:val="00D64000"/>
    <w:rsid w:val="00D6403D"/>
    <w:rsid w:val="00D64081"/>
    <w:rsid w:val="00D64087"/>
    <w:rsid w:val="00D6412E"/>
    <w:rsid w:val="00D6417C"/>
    <w:rsid w:val="00D641E2"/>
    <w:rsid w:val="00D641F1"/>
    <w:rsid w:val="00D64244"/>
    <w:rsid w:val="00D6427C"/>
    <w:rsid w:val="00D642C6"/>
    <w:rsid w:val="00D642F9"/>
    <w:rsid w:val="00D64316"/>
    <w:rsid w:val="00D6433B"/>
    <w:rsid w:val="00D64359"/>
    <w:rsid w:val="00D6435E"/>
    <w:rsid w:val="00D64372"/>
    <w:rsid w:val="00D643B0"/>
    <w:rsid w:val="00D643DE"/>
    <w:rsid w:val="00D64407"/>
    <w:rsid w:val="00D6443E"/>
    <w:rsid w:val="00D6449C"/>
    <w:rsid w:val="00D644F7"/>
    <w:rsid w:val="00D644FE"/>
    <w:rsid w:val="00D64533"/>
    <w:rsid w:val="00D64535"/>
    <w:rsid w:val="00D645DF"/>
    <w:rsid w:val="00D64633"/>
    <w:rsid w:val="00D646B6"/>
    <w:rsid w:val="00D64725"/>
    <w:rsid w:val="00D64770"/>
    <w:rsid w:val="00D64778"/>
    <w:rsid w:val="00D6478E"/>
    <w:rsid w:val="00D647C0"/>
    <w:rsid w:val="00D64829"/>
    <w:rsid w:val="00D64894"/>
    <w:rsid w:val="00D648EC"/>
    <w:rsid w:val="00D64A70"/>
    <w:rsid w:val="00D64A7C"/>
    <w:rsid w:val="00D64B28"/>
    <w:rsid w:val="00D64B6F"/>
    <w:rsid w:val="00D64B83"/>
    <w:rsid w:val="00D64C90"/>
    <w:rsid w:val="00D64C97"/>
    <w:rsid w:val="00D64DD7"/>
    <w:rsid w:val="00D64E34"/>
    <w:rsid w:val="00D64EC6"/>
    <w:rsid w:val="00D64F03"/>
    <w:rsid w:val="00D64F55"/>
    <w:rsid w:val="00D64F6A"/>
    <w:rsid w:val="00D64F7E"/>
    <w:rsid w:val="00D64F84"/>
    <w:rsid w:val="00D64F9C"/>
    <w:rsid w:val="00D65054"/>
    <w:rsid w:val="00D6506D"/>
    <w:rsid w:val="00D651AC"/>
    <w:rsid w:val="00D65217"/>
    <w:rsid w:val="00D6521E"/>
    <w:rsid w:val="00D65229"/>
    <w:rsid w:val="00D65262"/>
    <w:rsid w:val="00D65270"/>
    <w:rsid w:val="00D652AC"/>
    <w:rsid w:val="00D65307"/>
    <w:rsid w:val="00D653EC"/>
    <w:rsid w:val="00D653F1"/>
    <w:rsid w:val="00D65407"/>
    <w:rsid w:val="00D6540A"/>
    <w:rsid w:val="00D6544F"/>
    <w:rsid w:val="00D65459"/>
    <w:rsid w:val="00D65555"/>
    <w:rsid w:val="00D655A7"/>
    <w:rsid w:val="00D6560F"/>
    <w:rsid w:val="00D6567D"/>
    <w:rsid w:val="00D6568B"/>
    <w:rsid w:val="00D65760"/>
    <w:rsid w:val="00D65781"/>
    <w:rsid w:val="00D657C4"/>
    <w:rsid w:val="00D6587E"/>
    <w:rsid w:val="00D65894"/>
    <w:rsid w:val="00D658FB"/>
    <w:rsid w:val="00D6599F"/>
    <w:rsid w:val="00D659E4"/>
    <w:rsid w:val="00D65A25"/>
    <w:rsid w:val="00D65A35"/>
    <w:rsid w:val="00D65A68"/>
    <w:rsid w:val="00D65A9E"/>
    <w:rsid w:val="00D65B4B"/>
    <w:rsid w:val="00D65B94"/>
    <w:rsid w:val="00D65C04"/>
    <w:rsid w:val="00D65C0D"/>
    <w:rsid w:val="00D65C59"/>
    <w:rsid w:val="00D65C98"/>
    <w:rsid w:val="00D65CA6"/>
    <w:rsid w:val="00D65D21"/>
    <w:rsid w:val="00D65D33"/>
    <w:rsid w:val="00D65D41"/>
    <w:rsid w:val="00D65D52"/>
    <w:rsid w:val="00D65DD6"/>
    <w:rsid w:val="00D65E0D"/>
    <w:rsid w:val="00D65E91"/>
    <w:rsid w:val="00D65E9F"/>
    <w:rsid w:val="00D65EB9"/>
    <w:rsid w:val="00D65ECC"/>
    <w:rsid w:val="00D65F3B"/>
    <w:rsid w:val="00D65F6D"/>
    <w:rsid w:val="00D65FA0"/>
    <w:rsid w:val="00D65FB7"/>
    <w:rsid w:val="00D6600F"/>
    <w:rsid w:val="00D660C5"/>
    <w:rsid w:val="00D660FC"/>
    <w:rsid w:val="00D66105"/>
    <w:rsid w:val="00D66181"/>
    <w:rsid w:val="00D661C4"/>
    <w:rsid w:val="00D661D1"/>
    <w:rsid w:val="00D66223"/>
    <w:rsid w:val="00D66294"/>
    <w:rsid w:val="00D662F7"/>
    <w:rsid w:val="00D6639D"/>
    <w:rsid w:val="00D663F3"/>
    <w:rsid w:val="00D663FA"/>
    <w:rsid w:val="00D66404"/>
    <w:rsid w:val="00D66406"/>
    <w:rsid w:val="00D66409"/>
    <w:rsid w:val="00D6640C"/>
    <w:rsid w:val="00D664A0"/>
    <w:rsid w:val="00D664EC"/>
    <w:rsid w:val="00D664F8"/>
    <w:rsid w:val="00D665AD"/>
    <w:rsid w:val="00D665E4"/>
    <w:rsid w:val="00D66625"/>
    <w:rsid w:val="00D66631"/>
    <w:rsid w:val="00D66645"/>
    <w:rsid w:val="00D666A4"/>
    <w:rsid w:val="00D666A9"/>
    <w:rsid w:val="00D666DD"/>
    <w:rsid w:val="00D667CC"/>
    <w:rsid w:val="00D667CE"/>
    <w:rsid w:val="00D667FF"/>
    <w:rsid w:val="00D6680A"/>
    <w:rsid w:val="00D6683A"/>
    <w:rsid w:val="00D66858"/>
    <w:rsid w:val="00D66861"/>
    <w:rsid w:val="00D668D5"/>
    <w:rsid w:val="00D6692F"/>
    <w:rsid w:val="00D6694E"/>
    <w:rsid w:val="00D66969"/>
    <w:rsid w:val="00D66986"/>
    <w:rsid w:val="00D669CC"/>
    <w:rsid w:val="00D66A25"/>
    <w:rsid w:val="00D66A30"/>
    <w:rsid w:val="00D66A59"/>
    <w:rsid w:val="00D66A6C"/>
    <w:rsid w:val="00D66A86"/>
    <w:rsid w:val="00D66AB8"/>
    <w:rsid w:val="00D66AD1"/>
    <w:rsid w:val="00D66B40"/>
    <w:rsid w:val="00D66C37"/>
    <w:rsid w:val="00D66C7E"/>
    <w:rsid w:val="00D66CA7"/>
    <w:rsid w:val="00D66CB9"/>
    <w:rsid w:val="00D66D3E"/>
    <w:rsid w:val="00D66DF9"/>
    <w:rsid w:val="00D66E73"/>
    <w:rsid w:val="00D66EA4"/>
    <w:rsid w:val="00D66EE3"/>
    <w:rsid w:val="00D66F4E"/>
    <w:rsid w:val="00D66F53"/>
    <w:rsid w:val="00D66F6A"/>
    <w:rsid w:val="00D66F96"/>
    <w:rsid w:val="00D66FB4"/>
    <w:rsid w:val="00D67061"/>
    <w:rsid w:val="00D67109"/>
    <w:rsid w:val="00D6710C"/>
    <w:rsid w:val="00D671D3"/>
    <w:rsid w:val="00D67224"/>
    <w:rsid w:val="00D67232"/>
    <w:rsid w:val="00D6724E"/>
    <w:rsid w:val="00D6731E"/>
    <w:rsid w:val="00D67407"/>
    <w:rsid w:val="00D67424"/>
    <w:rsid w:val="00D67428"/>
    <w:rsid w:val="00D6743A"/>
    <w:rsid w:val="00D6747D"/>
    <w:rsid w:val="00D67483"/>
    <w:rsid w:val="00D674A7"/>
    <w:rsid w:val="00D674B8"/>
    <w:rsid w:val="00D674C0"/>
    <w:rsid w:val="00D6754A"/>
    <w:rsid w:val="00D675F0"/>
    <w:rsid w:val="00D67691"/>
    <w:rsid w:val="00D676BF"/>
    <w:rsid w:val="00D6775B"/>
    <w:rsid w:val="00D67789"/>
    <w:rsid w:val="00D6778C"/>
    <w:rsid w:val="00D67796"/>
    <w:rsid w:val="00D677A4"/>
    <w:rsid w:val="00D677B3"/>
    <w:rsid w:val="00D677CA"/>
    <w:rsid w:val="00D677CF"/>
    <w:rsid w:val="00D67838"/>
    <w:rsid w:val="00D67870"/>
    <w:rsid w:val="00D67877"/>
    <w:rsid w:val="00D67888"/>
    <w:rsid w:val="00D67953"/>
    <w:rsid w:val="00D67986"/>
    <w:rsid w:val="00D679C2"/>
    <w:rsid w:val="00D679C3"/>
    <w:rsid w:val="00D679CC"/>
    <w:rsid w:val="00D679D3"/>
    <w:rsid w:val="00D679E1"/>
    <w:rsid w:val="00D67A2B"/>
    <w:rsid w:val="00D67A7F"/>
    <w:rsid w:val="00D67B1E"/>
    <w:rsid w:val="00D67BA8"/>
    <w:rsid w:val="00D67CDB"/>
    <w:rsid w:val="00D67D33"/>
    <w:rsid w:val="00D67D3B"/>
    <w:rsid w:val="00D67D83"/>
    <w:rsid w:val="00D67D8D"/>
    <w:rsid w:val="00D67DF2"/>
    <w:rsid w:val="00D67E8D"/>
    <w:rsid w:val="00D67EB0"/>
    <w:rsid w:val="00D67ECF"/>
    <w:rsid w:val="00D67F0F"/>
    <w:rsid w:val="00D67FEA"/>
    <w:rsid w:val="00D70047"/>
    <w:rsid w:val="00D700EB"/>
    <w:rsid w:val="00D70230"/>
    <w:rsid w:val="00D70231"/>
    <w:rsid w:val="00D7023D"/>
    <w:rsid w:val="00D7027C"/>
    <w:rsid w:val="00D7034E"/>
    <w:rsid w:val="00D7035F"/>
    <w:rsid w:val="00D70362"/>
    <w:rsid w:val="00D7036E"/>
    <w:rsid w:val="00D70389"/>
    <w:rsid w:val="00D703E3"/>
    <w:rsid w:val="00D70490"/>
    <w:rsid w:val="00D70496"/>
    <w:rsid w:val="00D70529"/>
    <w:rsid w:val="00D70540"/>
    <w:rsid w:val="00D70551"/>
    <w:rsid w:val="00D705E6"/>
    <w:rsid w:val="00D70681"/>
    <w:rsid w:val="00D706AB"/>
    <w:rsid w:val="00D706E5"/>
    <w:rsid w:val="00D7074E"/>
    <w:rsid w:val="00D707B6"/>
    <w:rsid w:val="00D707B9"/>
    <w:rsid w:val="00D707C6"/>
    <w:rsid w:val="00D707F0"/>
    <w:rsid w:val="00D707FE"/>
    <w:rsid w:val="00D7083C"/>
    <w:rsid w:val="00D708DC"/>
    <w:rsid w:val="00D708E5"/>
    <w:rsid w:val="00D708FD"/>
    <w:rsid w:val="00D70909"/>
    <w:rsid w:val="00D709D2"/>
    <w:rsid w:val="00D709E7"/>
    <w:rsid w:val="00D70A1C"/>
    <w:rsid w:val="00D70A41"/>
    <w:rsid w:val="00D70A73"/>
    <w:rsid w:val="00D70A7D"/>
    <w:rsid w:val="00D70AC3"/>
    <w:rsid w:val="00D70B21"/>
    <w:rsid w:val="00D70B58"/>
    <w:rsid w:val="00D70BFB"/>
    <w:rsid w:val="00D70C38"/>
    <w:rsid w:val="00D70CBB"/>
    <w:rsid w:val="00D70D89"/>
    <w:rsid w:val="00D70DF8"/>
    <w:rsid w:val="00D70E1B"/>
    <w:rsid w:val="00D70E61"/>
    <w:rsid w:val="00D70E6D"/>
    <w:rsid w:val="00D70E88"/>
    <w:rsid w:val="00D70EAF"/>
    <w:rsid w:val="00D70ED3"/>
    <w:rsid w:val="00D70EEE"/>
    <w:rsid w:val="00D70F0D"/>
    <w:rsid w:val="00D70F4D"/>
    <w:rsid w:val="00D71075"/>
    <w:rsid w:val="00D710E9"/>
    <w:rsid w:val="00D71114"/>
    <w:rsid w:val="00D7113B"/>
    <w:rsid w:val="00D7118C"/>
    <w:rsid w:val="00D711B6"/>
    <w:rsid w:val="00D711E3"/>
    <w:rsid w:val="00D71288"/>
    <w:rsid w:val="00D7136A"/>
    <w:rsid w:val="00D71372"/>
    <w:rsid w:val="00D71396"/>
    <w:rsid w:val="00D71462"/>
    <w:rsid w:val="00D714CA"/>
    <w:rsid w:val="00D7152D"/>
    <w:rsid w:val="00D7153B"/>
    <w:rsid w:val="00D71599"/>
    <w:rsid w:val="00D715BB"/>
    <w:rsid w:val="00D715D1"/>
    <w:rsid w:val="00D715E9"/>
    <w:rsid w:val="00D7164E"/>
    <w:rsid w:val="00D71674"/>
    <w:rsid w:val="00D7168E"/>
    <w:rsid w:val="00D716C1"/>
    <w:rsid w:val="00D716D2"/>
    <w:rsid w:val="00D716D4"/>
    <w:rsid w:val="00D7171A"/>
    <w:rsid w:val="00D71734"/>
    <w:rsid w:val="00D71739"/>
    <w:rsid w:val="00D7174F"/>
    <w:rsid w:val="00D717BA"/>
    <w:rsid w:val="00D71842"/>
    <w:rsid w:val="00D71850"/>
    <w:rsid w:val="00D71872"/>
    <w:rsid w:val="00D71883"/>
    <w:rsid w:val="00D718B1"/>
    <w:rsid w:val="00D718B6"/>
    <w:rsid w:val="00D7191D"/>
    <w:rsid w:val="00D7193B"/>
    <w:rsid w:val="00D719A3"/>
    <w:rsid w:val="00D719D7"/>
    <w:rsid w:val="00D719DE"/>
    <w:rsid w:val="00D71A40"/>
    <w:rsid w:val="00D71B04"/>
    <w:rsid w:val="00D71B15"/>
    <w:rsid w:val="00D71B9E"/>
    <w:rsid w:val="00D71D18"/>
    <w:rsid w:val="00D71D49"/>
    <w:rsid w:val="00D71D4B"/>
    <w:rsid w:val="00D71D52"/>
    <w:rsid w:val="00D71D57"/>
    <w:rsid w:val="00D71D5B"/>
    <w:rsid w:val="00D71E0B"/>
    <w:rsid w:val="00D71E5D"/>
    <w:rsid w:val="00D71E5E"/>
    <w:rsid w:val="00D71EA2"/>
    <w:rsid w:val="00D71F14"/>
    <w:rsid w:val="00D71F3F"/>
    <w:rsid w:val="00D71F48"/>
    <w:rsid w:val="00D71FAE"/>
    <w:rsid w:val="00D71FE0"/>
    <w:rsid w:val="00D720EE"/>
    <w:rsid w:val="00D720F9"/>
    <w:rsid w:val="00D72100"/>
    <w:rsid w:val="00D72113"/>
    <w:rsid w:val="00D72142"/>
    <w:rsid w:val="00D72157"/>
    <w:rsid w:val="00D721D2"/>
    <w:rsid w:val="00D721E4"/>
    <w:rsid w:val="00D722A3"/>
    <w:rsid w:val="00D722DA"/>
    <w:rsid w:val="00D72343"/>
    <w:rsid w:val="00D72350"/>
    <w:rsid w:val="00D723A7"/>
    <w:rsid w:val="00D723BB"/>
    <w:rsid w:val="00D723E6"/>
    <w:rsid w:val="00D72494"/>
    <w:rsid w:val="00D724A6"/>
    <w:rsid w:val="00D724D7"/>
    <w:rsid w:val="00D724E9"/>
    <w:rsid w:val="00D724FF"/>
    <w:rsid w:val="00D72528"/>
    <w:rsid w:val="00D72551"/>
    <w:rsid w:val="00D725D1"/>
    <w:rsid w:val="00D725F6"/>
    <w:rsid w:val="00D7264A"/>
    <w:rsid w:val="00D726A9"/>
    <w:rsid w:val="00D726C9"/>
    <w:rsid w:val="00D726CC"/>
    <w:rsid w:val="00D726FA"/>
    <w:rsid w:val="00D7275F"/>
    <w:rsid w:val="00D7279A"/>
    <w:rsid w:val="00D727B9"/>
    <w:rsid w:val="00D7282C"/>
    <w:rsid w:val="00D7284B"/>
    <w:rsid w:val="00D72878"/>
    <w:rsid w:val="00D72905"/>
    <w:rsid w:val="00D72908"/>
    <w:rsid w:val="00D7296D"/>
    <w:rsid w:val="00D7298E"/>
    <w:rsid w:val="00D72A1A"/>
    <w:rsid w:val="00D72A3E"/>
    <w:rsid w:val="00D72B18"/>
    <w:rsid w:val="00D72B30"/>
    <w:rsid w:val="00D72B54"/>
    <w:rsid w:val="00D72B91"/>
    <w:rsid w:val="00D72BBF"/>
    <w:rsid w:val="00D72BE0"/>
    <w:rsid w:val="00D72BF9"/>
    <w:rsid w:val="00D72C03"/>
    <w:rsid w:val="00D72C58"/>
    <w:rsid w:val="00D72CED"/>
    <w:rsid w:val="00D72CF7"/>
    <w:rsid w:val="00D72D4F"/>
    <w:rsid w:val="00D72D89"/>
    <w:rsid w:val="00D72DAD"/>
    <w:rsid w:val="00D72E90"/>
    <w:rsid w:val="00D72EA0"/>
    <w:rsid w:val="00D72F50"/>
    <w:rsid w:val="00D72F93"/>
    <w:rsid w:val="00D72FF8"/>
    <w:rsid w:val="00D7308B"/>
    <w:rsid w:val="00D730CF"/>
    <w:rsid w:val="00D73158"/>
    <w:rsid w:val="00D73175"/>
    <w:rsid w:val="00D731B9"/>
    <w:rsid w:val="00D73206"/>
    <w:rsid w:val="00D7323B"/>
    <w:rsid w:val="00D7324E"/>
    <w:rsid w:val="00D73266"/>
    <w:rsid w:val="00D732CB"/>
    <w:rsid w:val="00D732FC"/>
    <w:rsid w:val="00D7335B"/>
    <w:rsid w:val="00D73399"/>
    <w:rsid w:val="00D733C8"/>
    <w:rsid w:val="00D7340F"/>
    <w:rsid w:val="00D7349D"/>
    <w:rsid w:val="00D7350D"/>
    <w:rsid w:val="00D73533"/>
    <w:rsid w:val="00D7354E"/>
    <w:rsid w:val="00D735FC"/>
    <w:rsid w:val="00D73646"/>
    <w:rsid w:val="00D73655"/>
    <w:rsid w:val="00D7365A"/>
    <w:rsid w:val="00D736B5"/>
    <w:rsid w:val="00D736DD"/>
    <w:rsid w:val="00D7374C"/>
    <w:rsid w:val="00D73794"/>
    <w:rsid w:val="00D737A7"/>
    <w:rsid w:val="00D73814"/>
    <w:rsid w:val="00D73871"/>
    <w:rsid w:val="00D7392D"/>
    <w:rsid w:val="00D73934"/>
    <w:rsid w:val="00D739BD"/>
    <w:rsid w:val="00D73A78"/>
    <w:rsid w:val="00D73AA6"/>
    <w:rsid w:val="00D73AC2"/>
    <w:rsid w:val="00D73B2F"/>
    <w:rsid w:val="00D73B54"/>
    <w:rsid w:val="00D73B89"/>
    <w:rsid w:val="00D73BE6"/>
    <w:rsid w:val="00D73C11"/>
    <w:rsid w:val="00D73C76"/>
    <w:rsid w:val="00D73D11"/>
    <w:rsid w:val="00D73D2F"/>
    <w:rsid w:val="00D73D59"/>
    <w:rsid w:val="00D73D7C"/>
    <w:rsid w:val="00D73DB4"/>
    <w:rsid w:val="00D73DBB"/>
    <w:rsid w:val="00D73DC3"/>
    <w:rsid w:val="00D73DEA"/>
    <w:rsid w:val="00D73DEC"/>
    <w:rsid w:val="00D73E9B"/>
    <w:rsid w:val="00D73EFE"/>
    <w:rsid w:val="00D73FB0"/>
    <w:rsid w:val="00D73FB4"/>
    <w:rsid w:val="00D73FBE"/>
    <w:rsid w:val="00D7404C"/>
    <w:rsid w:val="00D740F5"/>
    <w:rsid w:val="00D741D5"/>
    <w:rsid w:val="00D7423C"/>
    <w:rsid w:val="00D7424B"/>
    <w:rsid w:val="00D74279"/>
    <w:rsid w:val="00D7428A"/>
    <w:rsid w:val="00D74296"/>
    <w:rsid w:val="00D7429C"/>
    <w:rsid w:val="00D74303"/>
    <w:rsid w:val="00D7433B"/>
    <w:rsid w:val="00D74395"/>
    <w:rsid w:val="00D743D0"/>
    <w:rsid w:val="00D743E8"/>
    <w:rsid w:val="00D74402"/>
    <w:rsid w:val="00D7444D"/>
    <w:rsid w:val="00D74453"/>
    <w:rsid w:val="00D74461"/>
    <w:rsid w:val="00D744C4"/>
    <w:rsid w:val="00D74528"/>
    <w:rsid w:val="00D745E7"/>
    <w:rsid w:val="00D745F0"/>
    <w:rsid w:val="00D74601"/>
    <w:rsid w:val="00D74609"/>
    <w:rsid w:val="00D74632"/>
    <w:rsid w:val="00D74639"/>
    <w:rsid w:val="00D74644"/>
    <w:rsid w:val="00D74690"/>
    <w:rsid w:val="00D746B0"/>
    <w:rsid w:val="00D74763"/>
    <w:rsid w:val="00D747B4"/>
    <w:rsid w:val="00D747B7"/>
    <w:rsid w:val="00D747D0"/>
    <w:rsid w:val="00D74812"/>
    <w:rsid w:val="00D74814"/>
    <w:rsid w:val="00D7486B"/>
    <w:rsid w:val="00D7487E"/>
    <w:rsid w:val="00D748FB"/>
    <w:rsid w:val="00D749BA"/>
    <w:rsid w:val="00D749DC"/>
    <w:rsid w:val="00D749FC"/>
    <w:rsid w:val="00D74A47"/>
    <w:rsid w:val="00D74AA2"/>
    <w:rsid w:val="00D74AF4"/>
    <w:rsid w:val="00D74B02"/>
    <w:rsid w:val="00D74B6F"/>
    <w:rsid w:val="00D74B7A"/>
    <w:rsid w:val="00D74BAA"/>
    <w:rsid w:val="00D74BC1"/>
    <w:rsid w:val="00D74BE8"/>
    <w:rsid w:val="00D74C22"/>
    <w:rsid w:val="00D74C91"/>
    <w:rsid w:val="00D74C96"/>
    <w:rsid w:val="00D74D31"/>
    <w:rsid w:val="00D74D83"/>
    <w:rsid w:val="00D74DFD"/>
    <w:rsid w:val="00D74E25"/>
    <w:rsid w:val="00D74E74"/>
    <w:rsid w:val="00D74F1B"/>
    <w:rsid w:val="00D74F25"/>
    <w:rsid w:val="00D74F3C"/>
    <w:rsid w:val="00D74F7A"/>
    <w:rsid w:val="00D74F89"/>
    <w:rsid w:val="00D74FAE"/>
    <w:rsid w:val="00D74FD9"/>
    <w:rsid w:val="00D74FF3"/>
    <w:rsid w:val="00D75015"/>
    <w:rsid w:val="00D750A6"/>
    <w:rsid w:val="00D750D7"/>
    <w:rsid w:val="00D750DC"/>
    <w:rsid w:val="00D75157"/>
    <w:rsid w:val="00D75166"/>
    <w:rsid w:val="00D7518B"/>
    <w:rsid w:val="00D751A6"/>
    <w:rsid w:val="00D751AB"/>
    <w:rsid w:val="00D7521E"/>
    <w:rsid w:val="00D7529C"/>
    <w:rsid w:val="00D752F4"/>
    <w:rsid w:val="00D7534B"/>
    <w:rsid w:val="00D7535C"/>
    <w:rsid w:val="00D753B8"/>
    <w:rsid w:val="00D753F8"/>
    <w:rsid w:val="00D75474"/>
    <w:rsid w:val="00D754C7"/>
    <w:rsid w:val="00D754CB"/>
    <w:rsid w:val="00D7550A"/>
    <w:rsid w:val="00D75518"/>
    <w:rsid w:val="00D7559C"/>
    <w:rsid w:val="00D755A8"/>
    <w:rsid w:val="00D755B4"/>
    <w:rsid w:val="00D755DE"/>
    <w:rsid w:val="00D75618"/>
    <w:rsid w:val="00D75645"/>
    <w:rsid w:val="00D75678"/>
    <w:rsid w:val="00D756B4"/>
    <w:rsid w:val="00D756B9"/>
    <w:rsid w:val="00D7570F"/>
    <w:rsid w:val="00D75717"/>
    <w:rsid w:val="00D75746"/>
    <w:rsid w:val="00D75759"/>
    <w:rsid w:val="00D7575C"/>
    <w:rsid w:val="00D75769"/>
    <w:rsid w:val="00D75772"/>
    <w:rsid w:val="00D757D6"/>
    <w:rsid w:val="00D75823"/>
    <w:rsid w:val="00D75885"/>
    <w:rsid w:val="00D758A1"/>
    <w:rsid w:val="00D75938"/>
    <w:rsid w:val="00D7594A"/>
    <w:rsid w:val="00D75973"/>
    <w:rsid w:val="00D7598F"/>
    <w:rsid w:val="00D759BD"/>
    <w:rsid w:val="00D75A2A"/>
    <w:rsid w:val="00D75A59"/>
    <w:rsid w:val="00D75A80"/>
    <w:rsid w:val="00D75AA6"/>
    <w:rsid w:val="00D75ABB"/>
    <w:rsid w:val="00D75B99"/>
    <w:rsid w:val="00D75C43"/>
    <w:rsid w:val="00D75C62"/>
    <w:rsid w:val="00D75C99"/>
    <w:rsid w:val="00D75CAC"/>
    <w:rsid w:val="00D75CB8"/>
    <w:rsid w:val="00D75D80"/>
    <w:rsid w:val="00D75DB5"/>
    <w:rsid w:val="00D75E7F"/>
    <w:rsid w:val="00D75ECC"/>
    <w:rsid w:val="00D75F0C"/>
    <w:rsid w:val="00D75F65"/>
    <w:rsid w:val="00D7603F"/>
    <w:rsid w:val="00D760A0"/>
    <w:rsid w:val="00D761DB"/>
    <w:rsid w:val="00D761F6"/>
    <w:rsid w:val="00D76215"/>
    <w:rsid w:val="00D7625E"/>
    <w:rsid w:val="00D76311"/>
    <w:rsid w:val="00D76380"/>
    <w:rsid w:val="00D76392"/>
    <w:rsid w:val="00D763B1"/>
    <w:rsid w:val="00D763FC"/>
    <w:rsid w:val="00D76475"/>
    <w:rsid w:val="00D7649D"/>
    <w:rsid w:val="00D76506"/>
    <w:rsid w:val="00D7653E"/>
    <w:rsid w:val="00D76544"/>
    <w:rsid w:val="00D765B2"/>
    <w:rsid w:val="00D76614"/>
    <w:rsid w:val="00D7668D"/>
    <w:rsid w:val="00D7668E"/>
    <w:rsid w:val="00D766AE"/>
    <w:rsid w:val="00D766FD"/>
    <w:rsid w:val="00D767C9"/>
    <w:rsid w:val="00D767CB"/>
    <w:rsid w:val="00D76855"/>
    <w:rsid w:val="00D76862"/>
    <w:rsid w:val="00D7689C"/>
    <w:rsid w:val="00D76939"/>
    <w:rsid w:val="00D76951"/>
    <w:rsid w:val="00D76981"/>
    <w:rsid w:val="00D769CB"/>
    <w:rsid w:val="00D769D9"/>
    <w:rsid w:val="00D769E0"/>
    <w:rsid w:val="00D76A0B"/>
    <w:rsid w:val="00D76A59"/>
    <w:rsid w:val="00D76A7C"/>
    <w:rsid w:val="00D76B01"/>
    <w:rsid w:val="00D76BAA"/>
    <w:rsid w:val="00D76BC7"/>
    <w:rsid w:val="00D76BD3"/>
    <w:rsid w:val="00D76BF2"/>
    <w:rsid w:val="00D76BFC"/>
    <w:rsid w:val="00D76C6E"/>
    <w:rsid w:val="00D76C88"/>
    <w:rsid w:val="00D76DA8"/>
    <w:rsid w:val="00D76EA3"/>
    <w:rsid w:val="00D76EDA"/>
    <w:rsid w:val="00D76F09"/>
    <w:rsid w:val="00D76F42"/>
    <w:rsid w:val="00D76F52"/>
    <w:rsid w:val="00D76F64"/>
    <w:rsid w:val="00D76F73"/>
    <w:rsid w:val="00D76F76"/>
    <w:rsid w:val="00D76FD6"/>
    <w:rsid w:val="00D7707C"/>
    <w:rsid w:val="00D7709C"/>
    <w:rsid w:val="00D770A1"/>
    <w:rsid w:val="00D770E3"/>
    <w:rsid w:val="00D77164"/>
    <w:rsid w:val="00D771D2"/>
    <w:rsid w:val="00D771E6"/>
    <w:rsid w:val="00D771EA"/>
    <w:rsid w:val="00D772A4"/>
    <w:rsid w:val="00D772A8"/>
    <w:rsid w:val="00D7730C"/>
    <w:rsid w:val="00D7737F"/>
    <w:rsid w:val="00D7738A"/>
    <w:rsid w:val="00D7741F"/>
    <w:rsid w:val="00D7743B"/>
    <w:rsid w:val="00D77496"/>
    <w:rsid w:val="00D77586"/>
    <w:rsid w:val="00D7759C"/>
    <w:rsid w:val="00D7763D"/>
    <w:rsid w:val="00D77677"/>
    <w:rsid w:val="00D77697"/>
    <w:rsid w:val="00D7769C"/>
    <w:rsid w:val="00D776B0"/>
    <w:rsid w:val="00D776E0"/>
    <w:rsid w:val="00D776ED"/>
    <w:rsid w:val="00D77737"/>
    <w:rsid w:val="00D777B1"/>
    <w:rsid w:val="00D777E8"/>
    <w:rsid w:val="00D777EE"/>
    <w:rsid w:val="00D77805"/>
    <w:rsid w:val="00D7786C"/>
    <w:rsid w:val="00D77870"/>
    <w:rsid w:val="00D778C9"/>
    <w:rsid w:val="00D77A11"/>
    <w:rsid w:val="00D77AA1"/>
    <w:rsid w:val="00D77B72"/>
    <w:rsid w:val="00D77B7D"/>
    <w:rsid w:val="00D77BA0"/>
    <w:rsid w:val="00D77BB0"/>
    <w:rsid w:val="00D77BF2"/>
    <w:rsid w:val="00D77BFB"/>
    <w:rsid w:val="00D77BFC"/>
    <w:rsid w:val="00D77C39"/>
    <w:rsid w:val="00D77CB7"/>
    <w:rsid w:val="00D77CCE"/>
    <w:rsid w:val="00D77CEF"/>
    <w:rsid w:val="00D77D11"/>
    <w:rsid w:val="00D77D18"/>
    <w:rsid w:val="00D77D24"/>
    <w:rsid w:val="00D77D4F"/>
    <w:rsid w:val="00D77DCF"/>
    <w:rsid w:val="00D77E22"/>
    <w:rsid w:val="00D77E60"/>
    <w:rsid w:val="00D77E79"/>
    <w:rsid w:val="00D77F2F"/>
    <w:rsid w:val="00D8003E"/>
    <w:rsid w:val="00D80175"/>
    <w:rsid w:val="00D801E8"/>
    <w:rsid w:val="00D801F0"/>
    <w:rsid w:val="00D801FF"/>
    <w:rsid w:val="00D8022E"/>
    <w:rsid w:val="00D8023B"/>
    <w:rsid w:val="00D80249"/>
    <w:rsid w:val="00D802BB"/>
    <w:rsid w:val="00D802C3"/>
    <w:rsid w:val="00D8032D"/>
    <w:rsid w:val="00D8039F"/>
    <w:rsid w:val="00D803A8"/>
    <w:rsid w:val="00D8041E"/>
    <w:rsid w:val="00D80461"/>
    <w:rsid w:val="00D8047D"/>
    <w:rsid w:val="00D80489"/>
    <w:rsid w:val="00D8050C"/>
    <w:rsid w:val="00D80552"/>
    <w:rsid w:val="00D80575"/>
    <w:rsid w:val="00D805E2"/>
    <w:rsid w:val="00D80645"/>
    <w:rsid w:val="00D80674"/>
    <w:rsid w:val="00D806A0"/>
    <w:rsid w:val="00D806CF"/>
    <w:rsid w:val="00D8072F"/>
    <w:rsid w:val="00D8081A"/>
    <w:rsid w:val="00D80854"/>
    <w:rsid w:val="00D80893"/>
    <w:rsid w:val="00D808B4"/>
    <w:rsid w:val="00D808BC"/>
    <w:rsid w:val="00D808E8"/>
    <w:rsid w:val="00D8090B"/>
    <w:rsid w:val="00D80930"/>
    <w:rsid w:val="00D80A23"/>
    <w:rsid w:val="00D80A3F"/>
    <w:rsid w:val="00D80A77"/>
    <w:rsid w:val="00D80ACC"/>
    <w:rsid w:val="00D80AD7"/>
    <w:rsid w:val="00D80AEA"/>
    <w:rsid w:val="00D80B0E"/>
    <w:rsid w:val="00D80B22"/>
    <w:rsid w:val="00D80B4B"/>
    <w:rsid w:val="00D80B70"/>
    <w:rsid w:val="00D80B93"/>
    <w:rsid w:val="00D80BBD"/>
    <w:rsid w:val="00D80BE0"/>
    <w:rsid w:val="00D80BFD"/>
    <w:rsid w:val="00D80C1C"/>
    <w:rsid w:val="00D80C3C"/>
    <w:rsid w:val="00D80C78"/>
    <w:rsid w:val="00D80D04"/>
    <w:rsid w:val="00D80DF0"/>
    <w:rsid w:val="00D80E0E"/>
    <w:rsid w:val="00D80E95"/>
    <w:rsid w:val="00D80EB3"/>
    <w:rsid w:val="00D80EBF"/>
    <w:rsid w:val="00D80FBC"/>
    <w:rsid w:val="00D80FBE"/>
    <w:rsid w:val="00D80FC3"/>
    <w:rsid w:val="00D80FCC"/>
    <w:rsid w:val="00D80FEA"/>
    <w:rsid w:val="00D80FEE"/>
    <w:rsid w:val="00D8101B"/>
    <w:rsid w:val="00D81030"/>
    <w:rsid w:val="00D8106D"/>
    <w:rsid w:val="00D810AF"/>
    <w:rsid w:val="00D810D9"/>
    <w:rsid w:val="00D8112D"/>
    <w:rsid w:val="00D8115D"/>
    <w:rsid w:val="00D8118F"/>
    <w:rsid w:val="00D8119F"/>
    <w:rsid w:val="00D811C0"/>
    <w:rsid w:val="00D811C3"/>
    <w:rsid w:val="00D811D3"/>
    <w:rsid w:val="00D811E1"/>
    <w:rsid w:val="00D811E6"/>
    <w:rsid w:val="00D8126D"/>
    <w:rsid w:val="00D8128B"/>
    <w:rsid w:val="00D812CF"/>
    <w:rsid w:val="00D8130C"/>
    <w:rsid w:val="00D813A6"/>
    <w:rsid w:val="00D81511"/>
    <w:rsid w:val="00D81577"/>
    <w:rsid w:val="00D815A2"/>
    <w:rsid w:val="00D815D1"/>
    <w:rsid w:val="00D815F9"/>
    <w:rsid w:val="00D815FC"/>
    <w:rsid w:val="00D81624"/>
    <w:rsid w:val="00D8166E"/>
    <w:rsid w:val="00D816AD"/>
    <w:rsid w:val="00D81756"/>
    <w:rsid w:val="00D8176F"/>
    <w:rsid w:val="00D8177C"/>
    <w:rsid w:val="00D817AF"/>
    <w:rsid w:val="00D81802"/>
    <w:rsid w:val="00D81831"/>
    <w:rsid w:val="00D8188B"/>
    <w:rsid w:val="00D818EA"/>
    <w:rsid w:val="00D8194F"/>
    <w:rsid w:val="00D81975"/>
    <w:rsid w:val="00D819D0"/>
    <w:rsid w:val="00D81A19"/>
    <w:rsid w:val="00D81A30"/>
    <w:rsid w:val="00D81B2C"/>
    <w:rsid w:val="00D81B69"/>
    <w:rsid w:val="00D81B95"/>
    <w:rsid w:val="00D81BCC"/>
    <w:rsid w:val="00D81C2B"/>
    <w:rsid w:val="00D81C59"/>
    <w:rsid w:val="00D81C69"/>
    <w:rsid w:val="00D81CC6"/>
    <w:rsid w:val="00D81CEA"/>
    <w:rsid w:val="00D81D5A"/>
    <w:rsid w:val="00D81DBE"/>
    <w:rsid w:val="00D81DE2"/>
    <w:rsid w:val="00D81E0E"/>
    <w:rsid w:val="00D81E45"/>
    <w:rsid w:val="00D81EE3"/>
    <w:rsid w:val="00D81EE6"/>
    <w:rsid w:val="00D81F0F"/>
    <w:rsid w:val="00D81F1C"/>
    <w:rsid w:val="00D81F48"/>
    <w:rsid w:val="00D81F63"/>
    <w:rsid w:val="00D81FC9"/>
    <w:rsid w:val="00D8201A"/>
    <w:rsid w:val="00D82072"/>
    <w:rsid w:val="00D820D2"/>
    <w:rsid w:val="00D820EA"/>
    <w:rsid w:val="00D82117"/>
    <w:rsid w:val="00D8213F"/>
    <w:rsid w:val="00D8215B"/>
    <w:rsid w:val="00D821A4"/>
    <w:rsid w:val="00D8226F"/>
    <w:rsid w:val="00D82331"/>
    <w:rsid w:val="00D823A4"/>
    <w:rsid w:val="00D823B1"/>
    <w:rsid w:val="00D823B4"/>
    <w:rsid w:val="00D82406"/>
    <w:rsid w:val="00D824B6"/>
    <w:rsid w:val="00D8260A"/>
    <w:rsid w:val="00D8262E"/>
    <w:rsid w:val="00D82659"/>
    <w:rsid w:val="00D82688"/>
    <w:rsid w:val="00D826B9"/>
    <w:rsid w:val="00D826D1"/>
    <w:rsid w:val="00D826D2"/>
    <w:rsid w:val="00D826FD"/>
    <w:rsid w:val="00D82715"/>
    <w:rsid w:val="00D82733"/>
    <w:rsid w:val="00D82739"/>
    <w:rsid w:val="00D8273D"/>
    <w:rsid w:val="00D82767"/>
    <w:rsid w:val="00D82789"/>
    <w:rsid w:val="00D8281D"/>
    <w:rsid w:val="00D828FA"/>
    <w:rsid w:val="00D8294E"/>
    <w:rsid w:val="00D82961"/>
    <w:rsid w:val="00D82A01"/>
    <w:rsid w:val="00D82A91"/>
    <w:rsid w:val="00D82AB3"/>
    <w:rsid w:val="00D82B2E"/>
    <w:rsid w:val="00D82B4A"/>
    <w:rsid w:val="00D82B66"/>
    <w:rsid w:val="00D82BF4"/>
    <w:rsid w:val="00D82C08"/>
    <w:rsid w:val="00D82C3C"/>
    <w:rsid w:val="00D82C43"/>
    <w:rsid w:val="00D82C80"/>
    <w:rsid w:val="00D82CBB"/>
    <w:rsid w:val="00D82CBC"/>
    <w:rsid w:val="00D82CBE"/>
    <w:rsid w:val="00D82CC6"/>
    <w:rsid w:val="00D82CCD"/>
    <w:rsid w:val="00D82E8E"/>
    <w:rsid w:val="00D82EDA"/>
    <w:rsid w:val="00D82EF7"/>
    <w:rsid w:val="00D82F19"/>
    <w:rsid w:val="00D82F62"/>
    <w:rsid w:val="00D830B6"/>
    <w:rsid w:val="00D830C0"/>
    <w:rsid w:val="00D8318D"/>
    <w:rsid w:val="00D831AD"/>
    <w:rsid w:val="00D831D8"/>
    <w:rsid w:val="00D832E7"/>
    <w:rsid w:val="00D832F9"/>
    <w:rsid w:val="00D83324"/>
    <w:rsid w:val="00D83374"/>
    <w:rsid w:val="00D833AA"/>
    <w:rsid w:val="00D833CA"/>
    <w:rsid w:val="00D833D2"/>
    <w:rsid w:val="00D833F2"/>
    <w:rsid w:val="00D83422"/>
    <w:rsid w:val="00D83452"/>
    <w:rsid w:val="00D834C3"/>
    <w:rsid w:val="00D834CA"/>
    <w:rsid w:val="00D83511"/>
    <w:rsid w:val="00D83552"/>
    <w:rsid w:val="00D835C6"/>
    <w:rsid w:val="00D83620"/>
    <w:rsid w:val="00D83684"/>
    <w:rsid w:val="00D836A4"/>
    <w:rsid w:val="00D8371E"/>
    <w:rsid w:val="00D83762"/>
    <w:rsid w:val="00D8377C"/>
    <w:rsid w:val="00D837B5"/>
    <w:rsid w:val="00D837D4"/>
    <w:rsid w:val="00D8387D"/>
    <w:rsid w:val="00D8388B"/>
    <w:rsid w:val="00D83893"/>
    <w:rsid w:val="00D838B9"/>
    <w:rsid w:val="00D838BE"/>
    <w:rsid w:val="00D838DC"/>
    <w:rsid w:val="00D838F9"/>
    <w:rsid w:val="00D83915"/>
    <w:rsid w:val="00D8391E"/>
    <w:rsid w:val="00D8394C"/>
    <w:rsid w:val="00D8396E"/>
    <w:rsid w:val="00D83980"/>
    <w:rsid w:val="00D839B4"/>
    <w:rsid w:val="00D839D7"/>
    <w:rsid w:val="00D83AAD"/>
    <w:rsid w:val="00D83B4D"/>
    <w:rsid w:val="00D83C37"/>
    <w:rsid w:val="00D83C68"/>
    <w:rsid w:val="00D83CA0"/>
    <w:rsid w:val="00D83CDE"/>
    <w:rsid w:val="00D83D2D"/>
    <w:rsid w:val="00D83D46"/>
    <w:rsid w:val="00D83D9A"/>
    <w:rsid w:val="00D83E50"/>
    <w:rsid w:val="00D83E74"/>
    <w:rsid w:val="00D83EEA"/>
    <w:rsid w:val="00D83EEB"/>
    <w:rsid w:val="00D83F34"/>
    <w:rsid w:val="00D83F52"/>
    <w:rsid w:val="00D83FEC"/>
    <w:rsid w:val="00D83FF8"/>
    <w:rsid w:val="00D84039"/>
    <w:rsid w:val="00D84054"/>
    <w:rsid w:val="00D84087"/>
    <w:rsid w:val="00D8408E"/>
    <w:rsid w:val="00D840B8"/>
    <w:rsid w:val="00D840FD"/>
    <w:rsid w:val="00D84119"/>
    <w:rsid w:val="00D84125"/>
    <w:rsid w:val="00D84185"/>
    <w:rsid w:val="00D8418F"/>
    <w:rsid w:val="00D841EB"/>
    <w:rsid w:val="00D84213"/>
    <w:rsid w:val="00D84219"/>
    <w:rsid w:val="00D842CD"/>
    <w:rsid w:val="00D842D3"/>
    <w:rsid w:val="00D84367"/>
    <w:rsid w:val="00D8436F"/>
    <w:rsid w:val="00D8439E"/>
    <w:rsid w:val="00D843A1"/>
    <w:rsid w:val="00D843AE"/>
    <w:rsid w:val="00D843D5"/>
    <w:rsid w:val="00D843E1"/>
    <w:rsid w:val="00D84406"/>
    <w:rsid w:val="00D8440D"/>
    <w:rsid w:val="00D844C7"/>
    <w:rsid w:val="00D844D1"/>
    <w:rsid w:val="00D84533"/>
    <w:rsid w:val="00D84541"/>
    <w:rsid w:val="00D8454F"/>
    <w:rsid w:val="00D84560"/>
    <w:rsid w:val="00D8457F"/>
    <w:rsid w:val="00D84599"/>
    <w:rsid w:val="00D845EF"/>
    <w:rsid w:val="00D8460D"/>
    <w:rsid w:val="00D84634"/>
    <w:rsid w:val="00D84689"/>
    <w:rsid w:val="00D846EF"/>
    <w:rsid w:val="00D84749"/>
    <w:rsid w:val="00D84760"/>
    <w:rsid w:val="00D8478E"/>
    <w:rsid w:val="00D8484C"/>
    <w:rsid w:val="00D8485E"/>
    <w:rsid w:val="00D84981"/>
    <w:rsid w:val="00D84986"/>
    <w:rsid w:val="00D84A29"/>
    <w:rsid w:val="00D84A3B"/>
    <w:rsid w:val="00D84A3C"/>
    <w:rsid w:val="00D84AC6"/>
    <w:rsid w:val="00D84B2C"/>
    <w:rsid w:val="00D84B81"/>
    <w:rsid w:val="00D84BE8"/>
    <w:rsid w:val="00D84C2F"/>
    <w:rsid w:val="00D84C5D"/>
    <w:rsid w:val="00D84C60"/>
    <w:rsid w:val="00D84CEB"/>
    <w:rsid w:val="00D84E13"/>
    <w:rsid w:val="00D84E4C"/>
    <w:rsid w:val="00D84E5F"/>
    <w:rsid w:val="00D84E9F"/>
    <w:rsid w:val="00D84F79"/>
    <w:rsid w:val="00D84FC6"/>
    <w:rsid w:val="00D8501C"/>
    <w:rsid w:val="00D85058"/>
    <w:rsid w:val="00D85068"/>
    <w:rsid w:val="00D85102"/>
    <w:rsid w:val="00D8517E"/>
    <w:rsid w:val="00D85189"/>
    <w:rsid w:val="00D85253"/>
    <w:rsid w:val="00D85309"/>
    <w:rsid w:val="00D8532E"/>
    <w:rsid w:val="00D85342"/>
    <w:rsid w:val="00D85394"/>
    <w:rsid w:val="00D853E2"/>
    <w:rsid w:val="00D85401"/>
    <w:rsid w:val="00D85414"/>
    <w:rsid w:val="00D85437"/>
    <w:rsid w:val="00D85442"/>
    <w:rsid w:val="00D85446"/>
    <w:rsid w:val="00D85455"/>
    <w:rsid w:val="00D85493"/>
    <w:rsid w:val="00D854C7"/>
    <w:rsid w:val="00D8554A"/>
    <w:rsid w:val="00D85571"/>
    <w:rsid w:val="00D85574"/>
    <w:rsid w:val="00D85590"/>
    <w:rsid w:val="00D85591"/>
    <w:rsid w:val="00D8567D"/>
    <w:rsid w:val="00D856DA"/>
    <w:rsid w:val="00D85767"/>
    <w:rsid w:val="00D85865"/>
    <w:rsid w:val="00D85895"/>
    <w:rsid w:val="00D858D4"/>
    <w:rsid w:val="00D8590B"/>
    <w:rsid w:val="00D85951"/>
    <w:rsid w:val="00D85985"/>
    <w:rsid w:val="00D859A5"/>
    <w:rsid w:val="00D859D8"/>
    <w:rsid w:val="00D85A93"/>
    <w:rsid w:val="00D85AB5"/>
    <w:rsid w:val="00D85AEC"/>
    <w:rsid w:val="00D85AF5"/>
    <w:rsid w:val="00D85B3E"/>
    <w:rsid w:val="00D85B90"/>
    <w:rsid w:val="00D85BAB"/>
    <w:rsid w:val="00D85BDE"/>
    <w:rsid w:val="00D85BF2"/>
    <w:rsid w:val="00D85C81"/>
    <w:rsid w:val="00D85C85"/>
    <w:rsid w:val="00D85C8A"/>
    <w:rsid w:val="00D85D90"/>
    <w:rsid w:val="00D85DD3"/>
    <w:rsid w:val="00D85DDF"/>
    <w:rsid w:val="00D85E3D"/>
    <w:rsid w:val="00D85E46"/>
    <w:rsid w:val="00D85E83"/>
    <w:rsid w:val="00D85F0E"/>
    <w:rsid w:val="00D85F19"/>
    <w:rsid w:val="00D85FAF"/>
    <w:rsid w:val="00D85FE7"/>
    <w:rsid w:val="00D85FEF"/>
    <w:rsid w:val="00D86117"/>
    <w:rsid w:val="00D861D0"/>
    <w:rsid w:val="00D861D5"/>
    <w:rsid w:val="00D861DB"/>
    <w:rsid w:val="00D8626B"/>
    <w:rsid w:val="00D862AA"/>
    <w:rsid w:val="00D862CA"/>
    <w:rsid w:val="00D862E9"/>
    <w:rsid w:val="00D862FB"/>
    <w:rsid w:val="00D86302"/>
    <w:rsid w:val="00D86357"/>
    <w:rsid w:val="00D8635E"/>
    <w:rsid w:val="00D863AC"/>
    <w:rsid w:val="00D863BB"/>
    <w:rsid w:val="00D8642C"/>
    <w:rsid w:val="00D86455"/>
    <w:rsid w:val="00D86478"/>
    <w:rsid w:val="00D864FC"/>
    <w:rsid w:val="00D86599"/>
    <w:rsid w:val="00D865AF"/>
    <w:rsid w:val="00D865B3"/>
    <w:rsid w:val="00D865D5"/>
    <w:rsid w:val="00D865D8"/>
    <w:rsid w:val="00D86636"/>
    <w:rsid w:val="00D8667B"/>
    <w:rsid w:val="00D8668E"/>
    <w:rsid w:val="00D866CF"/>
    <w:rsid w:val="00D867BF"/>
    <w:rsid w:val="00D867D9"/>
    <w:rsid w:val="00D868A9"/>
    <w:rsid w:val="00D8691C"/>
    <w:rsid w:val="00D8691F"/>
    <w:rsid w:val="00D86937"/>
    <w:rsid w:val="00D8695C"/>
    <w:rsid w:val="00D869AC"/>
    <w:rsid w:val="00D86B12"/>
    <w:rsid w:val="00D86B82"/>
    <w:rsid w:val="00D86B8A"/>
    <w:rsid w:val="00D86BA6"/>
    <w:rsid w:val="00D86CC4"/>
    <w:rsid w:val="00D86CE6"/>
    <w:rsid w:val="00D86CF5"/>
    <w:rsid w:val="00D86CFB"/>
    <w:rsid w:val="00D86D3D"/>
    <w:rsid w:val="00D86D44"/>
    <w:rsid w:val="00D86D81"/>
    <w:rsid w:val="00D86D8C"/>
    <w:rsid w:val="00D86E1C"/>
    <w:rsid w:val="00D86E4B"/>
    <w:rsid w:val="00D86EAE"/>
    <w:rsid w:val="00D86F0A"/>
    <w:rsid w:val="00D86F26"/>
    <w:rsid w:val="00D86F6B"/>
    <w:rsid w:val="00D86F7B"/>
    <w:rsid w:val="00D86FA8"/>
    <w:rsid w:val="00D86FB7"/>
    <w:rsid w:val="00D86FB9"/>
    <w:rsid w:val="00D87010"/>
    <w:rsid w:val="00D87033"/>
    <w:rsid w:val="00D871B7"/>
    <w:rsid w:val="00D871F5"/>
    <w:rsid w:val="00D87252"/>
    <w:rsid w:val="00D87358"/>
    <w:rsid w:val="00D87440"/>
    <w:rsid w:val="00D874B6"/>
    <w:rsid w:val="00D874E3"/>
    <w:rsid w:val="00D874EE"/>
    <w:rsid w:val="00D87554"/>
    <w:rsid w:val="00D8758D"/>
    <w:rsid w:val="00D875BE"/>
    <w:rsid w:val="00D875C8"/>
    <w:rsid w:val="00D875CA"/>
    <w:rsid w:val="00D875E2"/>
    <w:rsid w:val="00D8762B"/>
    <w:rsid w:val="00D87640"/>
    <w:rsid w:val="00D876AE"/>
    <w:rsid w:val="00D87730"/>
    <w:rsid w:val="00D87734"/>
    <w:rsid w:val="00D877F5"/>
    <w:rsid w:val="00D87847"/>
    <w:rsid w:val="00D8786F"/>
    <w:rsid w:val="00D87882"/>
    <w:rsid w:val="00D878DB"/>
    <w:rsid w:val="00D878E0"/>
    <w:rsid w:val="00D87922"/>
    <w:rsid w:val="00D8792A"/>
    <w:rsid w:val="00D87953"/>
    <w:rsid w:val="00D87969"/>
    <w:rsid w:val="00D879A2"/>
    <w:rsid w:val="00D879F3"/>
    <w:rsid w:val="00D87AA5"/>
    <w:rsid w:val="00D87ABD"/>
    <w:rsid w:val="00D87AE6"/>
    <w:rsid w:val="00D87B29"/>
    <w:rsid w:val="00D87C2C"/>
    <w:rsid w:val="00D87C3A"/>
    <w:rsid w:val="00D87C48"/>
    <w:rsid w:val="00D87C74"/>
    <w:rsid w:val="00D87CFA"/>
    <w:rsid w:val="00D87D07"/>
    <w:rsid w:val="00D87D5D"/>
    <w:rsid w:val="00D87E0D"/>
    <w:rsid w:val="00D87E20"/>
    <w:rsid w:val="00D87E30"/>
    <w:rsid w:val="00D87E34"/>
    <w:rsid w:val="00D87EDD"/>
    <w:rsid w:val="00D87F5C"/>
    <w:rsid w:val="00D87F78"/>
    <w:rsid w:val="00D87FC3"/>
    <w:rsid w:val="00D90034"/>
    <w:rsid w:val="00D9004E"/>
    <w:rsid w:val="00D90059"/>
    <w:rsid w:val="00D900AE"/>
    <w:rsid w:val="00D900F3"/>
    <w:rsid w:val="00D901A9"/>
    <w:rsid w:val="00D901EB"/>
    <w:rsid w:val="00D90228"/>
    <w:rsid w:val="00D902FB"/>
    <w:rsid w:val="00D90373"/>
    <w:rsid w:val="00D903B2"/>
    <w:rsid w:val="00D903BD"/>
    <w:rsid w:val="00D90429"/>
    <w:rsid w:val="00D9043A"/>
    <w:rsid w:val="00D904A3"/>
    <w:rsid w:val="00D904E6"/>
    <w:rsid w:val="00D9052D"/>
    <w:rsid w:val="00D9054D"/>
    <w:rsid w:val="00D9056A"/>
    <w:rsid w:val="00D90580"/>
    <w:rsid w:val="00D90594"/>
    <w:rsid w:val="00D90598"/>
    <w:rsid w:val="00D90644"/>
    <w:rsid w:val="00D906FE"/>
    <w:rsid w:val="00D90717"/>
    <w:rsid w:val="00D90895"/>
    <w:rsid w:val="00D90899"/>
    <w:rsid w:val="00D90908"/>
    <w:rsid w:val="00D90A4F"/>
    <w:rsid w:val="00D90B23"/>
    <w:rsid w:val="00D90B43"/>
    <w:rsid w:val="00D90C27"/>
    <w:rsid w:val="00D90C54"/>
    <w:rsid w:val="00D90CCE"/>
    <w:rsid w:val="00D90CF9"/>
    <w:rsid w:val="00D90D56"/>
    <w:rsid w:val="00D90D8D"/>
    <w:rsid w:val="00D90DAC"/>
    <w:rsid w:val="00D90DCB"/>
    <w:rsid w:val="00D90DCF"/>
    <w:rsid w:val="00D90E31"/>
    <w:rsid w:val="00D90E67"/>
    <w:rsid w:val="00D90EAC"/>
    <w:rsid w:val="00D90F6C"/>
    <w:rsid w:val="00D90F80"/>
    <w:rsid w:val="00D9102F"/>
    <w:rsid w:val="00D91056"/>
    <w:rsid w:val="00D910A4"/>
    <w:rsid w:val="00D910B1"/>
    <w:rsid w:val="00D910B5"/>
    <w:rsid w:val="00D910ED"/>
    <w:rsid w:val="00D9111C"/>
    <w:rsid w:val="00D911C9"/>
    <w:rsid w:val="00D911CA"/>
    <w:rsid w:val="00D91217"/>
    <w:rsid w:val="00D91220"/>
    <w:rsid w:val="00D91231"/>
    <w:rsid w:val="00D91249"/>
    <w:rsid w:val="00D91294"/>
    <w:rsid w:val="00D912E8"/>
    <w:rsid w:val="00D91316"/>
    <w:rsid w:val="00D91422"/>
    <w:rsid w:val="00D9145D"/>
    <w:rsid w:val="00D914F4"/>
    <w:rsid w:val="00D9151A"/>
    <w:rsid w:val="00D91553"/>
    <w:rsid w:val="00D91578"/>
    <w:rsid w:val="00D915F9"/>
    <w:rsid w:val="00D91600"/>
    <w:rsid w:val="00D91680"/>
    <w:rsid w:val="00D916DA"/>
    <w:rsid w:val="00D91708"/>
    <w:rsid w:val="00D917CA"/>
    <w:rsid w:val="00D917FE"/>
    <w:rsid w:val="00D91850"/>
    <w:rsid w:val="00D918EF"/>
    <w:rsid w:val="00D91973"/>
    <w:rsid w:val="00D9197D"/>
    <w:rsid w:val="00D91AB9"/>
    <w:rsid w:val="00D91AC9"/>
    <w:rsid w:val="00D91B08"/>
    <w:rsid w:val="00D91BE3"/>
    <w:rsid w:val="00D91C85"/>
    <w:rsid w:val="00D91CE7"/>
    <w:rsid w:val="00D91CEB"/>
    <w:rsid w:val="00D91D2E"/>
    <w:rsid w:val="00D91D82"/>
    <w:rsid w:val="00D91E0C"/>
    <w:rsid w:val="00D91E0F"/>
    <w:rsid w:val="00D91EB8"/>
    <w:rsid w:val="00D91F01"/>
    <w:rsid w:val="00D91F0A"/>
    <w:rsid w:val="00D91F2C"/>
    <w:rsid w:val="00D91F7F"/>
    <w:rsid w:val="00D91FA5"/>
    <w:rsid w:val="00D91FA8"/>
    <w:rsid w:val="00D92059"/>
    <w:rsid w:val="00D92073"/>
    <w:rsid w:val="00D9215E"/>
    <w:rsid w:val="00D9224F"/>
    <w:rsid w:val="00D9225E"/>
    <w:rsid w:val="00D92290"/>
    <w:rsid w:val="00D922B7"/>
    <w:rsid w:val="00D922D5"/>
    <w:rsid w:val="00D9230C"/>
    <w:rsid w:val="00D9231D"/>
    <w:rsid w:val="00D92347"/>
    <w:rsid w:val="00D923D0"/>
    <w:rsid w:val="00D9244B"/>
    <w:rsid w:val="00D92453"/>
    <w:rsid w:val="00D92456"/>
    <w:rsid w:val="00D9249F"/>
    <w:rsid w:val="00D924A7"/>
    <w:rsid w:val="00D924A8"/>
    <w:rsid w:val="00D924D4"/>
    <w:rsid w:val="00D92546"/>
    <w:rsid w:val="00D9255E"/>
    <w:rsid w:val="00D92626"/>
    <w:rsid w:val="00D9268D"/>
    <w:rsid w:val="00D926F2"/>
    <w:rsid w:val="00D9283F"/>
    <w:rsid w:val="00D928A1"/>
    <w:rsid w:val="00D928B9"/>
    <w:rsid w:val="00D928C0"/>
    <w:rsid w:val="00D928D2"/>
    <w:rsid w:val="00D92905"/>
    <w:rsid w:val="00D92949"/>
    <w:rsid w:val="00D92961"/>
    <w:rsid w:val="00D929A4"/>
    <w:rsid w:val="00D92A50"/>
    <w:rsid w:val="00D92AA7"/>
    <w:rsid w:val="00D92AAD"/>
    <w:rsid w:val="00D92B0C"/>
    <w:rsid w:val="00D92B4A"/>
    <w:rsid w:val="00D92BAA"/>
    <w:rsid w:val="00D92BBC"/>
    <w:rsid w:val="00D92BF9"/>
    <w:rsid w:val="00D92C56"/>
    <w:rsid w:val="00D92C82"/>
    <w:rsid w:val="00D92DB9"/>
    <w:rsid w:val="00D92DD8"/>
    <w:rsid w:val="00D92E65"/>
    <w:rsid w:val="00D92E95"/>
    <w:rsid w:val="00D92EB4"/>
    <w:rsid w:val="00D92F0E"/>
    <w:rsid w:val="00D92F45"/>
    <w:rsid w:val="00D92FE1"/>
    <w:rsid w:val="00D93135"/>
    <w:rsid w:val="00D9314F"/>
    <w:rsid w:val="00D9315B"/>
    <w:rsid w:val="00D931A2"/>
    <w:rsid w:val="00D931DB"/>
    <w:rsid w:val="00D93203"/>
    <w:rsid w:val="00D93251"/>
    <w:rsid w:val="00D932AD"/>
    <w:rsid w:val="00D932AF"/>
    <w:rsid w:val="00D932CA"/>
    <w:rsid w:val="00D93379"/>
    <w:rsid w:val="00D93395"/>
    <w:rsid w:val="00D933CA"/>
    <w:rsid w:val="00D93444"/>
    <w:rsid w:val="00D9346B"/>
    <w:rsid w:val="00D93487"/>
    <w:rsid w:val="00D93488"/>
    <w:rsid w:val="00D9359B"/>
    <w:rsid w:val="00D935AC"/>
    <w:rsid w:val="00D935DF"/>
    <w:rsid w:val="00D935E1"/>
    <w:rsid w:val="00D93620"/>
    <w:rsid w:val="00D9363A"/>
    <w:rsid w:val="00D93641"/>
    <w:rsid w:val="00D93659"/>
    <w:rsid w:val="00D9368A"/>
    <w:rsid w:val="00D9373D"/>
    <w:rsid w:val="00D9377E"/>
    <w:rsid w:val="00D93790"/>
    <w:rsid w:val="00D9379F"/>
    <w:rsid w:val="00D937CB"/>
    <w:rsid w:val="00D93858"/>
    <w:rsid w:val="00D939C1"/>
    <w:rsid w:val="00D939E2"/>
    <w:rsid w:val="00D93A3C"/>
    <w:rsid w:val="00D93A48"/>
    <w:rsid w:val="00D93A55"/>
    <w:rsid w:val="00D93A6A"/>
    <w:rsid w:val="00D93A87"/>
    <w:rsid w:val="00D93AE3"/>
    <w:rsid w:val="00D93B05"/>
    <w:rsid w:val="00D93BB3"/>
    <w:rsid w:val="00D93BB5"/>
    <w:rsid w:val="00D93C7C"/>
    <w:rsid w:val="00D93D06"/>
    <w:rsid w:val="00D93DF0"/>
    <w:rsid w:val="00D93E86"/>
    <w:rsid w:val="00D93FC1"/>
    <w:rsid w:val="00D93FD9"/>
    <w:rsid w:val="00D93FE1"/>
    <w:rsid w:val="00D93FEB"/>
    <w:rsid w:val="00D93FF1"/>
    <w:rsid w:val="00D9400E"/>
    <w:rsid w:val="00D94093"/>
    <w:rsid w:val="00D940C5"/>
    <w:rsid w:val="00D940CC"/>
    <w:rsid w:val="00D940DE"/>
    <w:rsid w:val="00D940EA"/>
    <w:rsid w:val="00D94129"/>
    <w:rsid w:val="00D9415E"/>
    <w:rsid w:val="00D94174"/>
    <w:rsid w:val="00D941AF"/>
    <w:rsid w:val="00D941B4"/>
    <w:rsid w:val="00D942AE"/>
    <w:rsid w:val="00D942F5"/>
    <w:rsid w:val="00D9430F"/>
    <w:rsid w:val="00D94311"/>
    <w:rsid w:val="00D943A4"/>
    <w:rsid w:val="00D943AC"/>
    <w:rsid w:val="00D943F1"/>
    <w:rsid w:val="00D9440D"/>
    <w:rsid w:val="00D94429"/>
    <w:rsid w:val="00D94465"/>
    <w:rsid w:val="00D94474"/>
    <w:rsid w:val="00D94490"/>
    <w:rsid w:val="00D944A3"/>
    <w:rsid w:val="00D944F2"/>
    <w:rsid w:val="00D94521"/>
    <w:rsid w:val="00D94555"/>
    <w:rsid w:val="00D94557"/>
    <w:rsid w:val="00D94567"/>
    <w:rsid w:val="00D94579"/>
    <w:rsid w:val="00D945ED"/>
    <w:rsid w:val="00D94670"/>
    <w:rsid w:val="00D94675"/>
    <w:rsid w:val="00D94677"/>
    <w:rsid w:val="00D9469C"/>
    <w:rsid w:val="00D946E5"/>
    <w:rsid w:val="00D94748"/>
    <w:rsid w:val="00D9482A"/>
    <w:rsid w:val="00D9482E"/>
    <w:rsid w:val="00D94835"/>
    <w:rsid w:val="00D94853"/>
    <w:rsid w:val="00D9488C"/>
    <w:rsid w:val="00D94893"/>
    <w:rsid w:val="00D94903"/>
    <w:rsid w:val="00D9491A"/>
    <w:rsid w:val="00D949F0"/>
    <w:rsid w:val="00D94A8B"/>
    <w:rsid w:val="00D94AB4"/>
    <w:rsid w:val="00D94B03"/>
    <w:rsid w:val="00D94B49"/>
    <w:rsid w:val="00D94B5B"/>
    <w:rsid w:val="00D94B75"/>
    <w:rsid w:val="00D94B7C"/>
    <w:rsid w:val="00D94B7F"/>
    <w:rsid w:val="00D94BB5"/>
    <w:rsid w:val="00D94C3D"/>
    <w:rsid w:val="00D94C60"/>
    <w:rsid w:val="00D94CD0"/>
    <w:rsid w:val="00D94DF8"/>
    <w:rsid w:val="00D94E85"/>
    <w:rsid w:val="00D94EA4"/>
    <w:rsid w:val="00D94F07"/>
    <w:rsid w:val="00D94F17"/>
    <w:rsid w:val="00D94F36"/>
    <w:rsid w:val="00D94F47"/>
    <w:rsid w:val="00D94F5B"/>
    <w:rsid w:val="00D94FCF"/>
    <w:rsid w:val="00D95029"/>
    <w:rsid w:val="00D950A9"/>
    <w:rsid w:val="00D950B5"/>
    <w:rsid w:val="00D950E9"/>
    <w:rsid w:val="00D95120"/>
    <w:rsid w:val="00D9515F"/>
    <w:rsid w:val="00D95185"/>
    <w:rsid w:val="00D95186"/>
    <w:rsid w:val="00D951B4"/>
    <w:rsid w:val="00D95208"/>
    <w:rsid w:val="00D95252"/>
    <w:rsid w:val="00D95270"/>
    <w:rsid w:val="00D952DD"/>
    <w:rsid w:val="00D952F8"/>
    <w:rsid w:val="00D95334"/>
    <w:rsid w:val="00D95363"/>
    <w:rsid w:val="00D953A8"/>
    <w:rsid w:val="00D953D3"/>
    <w:rsid w:val="00D954A9"/>
    <w:rsid w:val="00D954DB"/>
    <w:rsid w:val="00D9552C"/>
    <w:rsid w:val="00D95538"/>
    <w:rsid w:val="00D95543"/>
    <w:rsid w:val="00D955A6"/>
    <w:rsid w:val="00D955AF"/>
    <w:rsid w:val="00D955B5"/>
    <w:rsid w:val="00D955DE"/>
    <w:rsid w:val="00D955FC"/>
    <w:rsid w:val="00D95615"/>
    <w:rsid w:val="00D95733"/>
    <w:rsid w:val="00D9573A"/>
    <w:rsid w:val="00D957AD"/>
    <w:rsid w:val="00D95812"/>
    <w:rsid w:val="00D95840"/>
    <w:rsid w:val="00D95911"/>
    <w:rsid w:val="00D9595B"/>
    <w:rsid w:val="00D959DE"/>
    <w:rsid w:val="00D95A73"/>
    <w:rsid w:val="00D95A7F"/>
    <w:rsid w:val="00D95A8A"/>
    <w:rsid w:val="00D95B37"/>
    <w:rsid w:val="00D95B3A"/>
    <w:rsid w:val="00D95B6D"/>
    <w:rsid w:val="00D95BC0"/>
    <w:rsid w:val="00D95C18"/>
    <w:rsid w:val="00D95C45"/>
    <w:rsid w:val="00D95CBD"/>
    <w:rsid w:val="00D95CE0"/>
    <w:rsid w:val="00D95D4E"/>
    <w:rsid w:val="00D95DE5"/>
    <w:rsid w:val="00D95E16"/>
    <w:rsid w:val="00D95E33"/>
    <w:rsid w:val="00D95ED5"/>
    <w:rsid w:val="00D95EFD"/>
    <w:rsid w:val="00D95F0B"/>
    <w:rsid w:val="00D96043"/>
    <w:rsid w:val="00D960AB"/>
    <w:rsid w:val="00D9617B"/>
    <w:rsid w:val="00D9617C"/>
    <w:rsid w:val="00D9619B"/>
    <w:rsid w:val="00D961DE"/>
    <w:rsid w:val="00D9630E"/>
    <w:rsid w:val="00D96366"/>
    <w:rsid w:val="00D96383"/>
    <w:rsid w:val="00D963EF"/>
    <w:rsid w:val="00D96486"/>
    <w:rsid w:val="00D965A6"/>
    <w:rsid w:val="00D9663C"/>
    <w:rsid w:val="00D96641"/>
    <w:rsid w:val="00D966B4"/>
    <w:rsid w:val="00D966C7"/>
    <w:rsid w:val="00D966D8"/>
    <w:rsid w:val="00D9673B"/>
    <w:rsid w:val="00D96799"/>
    <w:rsid w:val="00D967CD"/>
    <w:rsid w:val="00D96822"/>
    <w:rsid w:val="00D9683C"/>
    <w:rsid w:val="00D96913"/>
    <w:rsid w:val="00D96951"/>
    <w:rsid w:val="00D96997"/>
    <w:rsid w:val="00D96A87"/>
    <w:rsid w:val="00D96B0B"/>
    <w:rsid w:val="00D96B28"/>
    <w:rsid w:val="00D96B2D"/>
    <w:rsid w:val="00D96B42"/>
    <w:rsid w:val="00D96B56"/>
    <w:rsid w:val="00D96B99"/>
    <w:rsid w:val="00D96C57"/>
    <w:rsid w:val="00D96C61"/>
    <w:rsid w:val="00D96C64"/>
    <w:rsid w:val="00D96CEC"/>
    <w:rsid w:val="00D96D38"/>
    <w:rsid w:val="00D96D64"/>
    <w:rsid w:val="00D96D71"/>
    <w:rsid w:val="00D96D9B"/>
    <w:rsid w:val="00D96DA2"/>
    <w:rsid w:val="00D96DA3"/>
    <w:rsid w:val="00D96DE1"/>
    <w:rsid w:val="00D96E06"/>
    <w:rsid w:val="00D96E69"/>
    <w:rsid w:val="00D96E6B"/>
    <w:rsid w:val="00D96E89"/>
    <w:rsid w:val="00D96E8B"/>
    <w:rsid w:val="00D96E9F"/>
    <w:rsid w:val="00D96EEA"/>
    <w:rsid w:val="00D96EEB"/>
    <w:rsid w:val="00D96F21"/>
    <w:rsid w:val="00D97064"/>
    <w:rsid w:val="00D97065"/>
    <w:rsid w:val="00D9706E"/>
    <w:rsid w:val="00D97076"/>
    <w:rsid w:val="00D970B0"/>
    <w:rsid w:val="00D970B6"/>
    <w:rsid w:val="00D97124"/>
    <w:rsid w:val="00D9719A"/>
    <w:rsid w:val="00D97209"/>
    <w:rsid w:val="00D9720C"/>
    <w:rsid w:val="00D97244"/>
    <w:rsid w:val="00D97254"/>
    <w:rsid w:val="00D9726D"/>
    <w:rsid w:val="00D9729C"/>
    <w:rsid w:val="00D9730F"/>
    <w:rsid w:val="00D97323"/>
    <w:rsid w:val="00D97339"/>
    <w:rsid w:val="00D97394"/>
    <w:rsid w:val="00D973A8"/>
    <w:rsid w:val="00D973B4"/>
    <w:rsid w:val="00D97439"/>
    <w:rsid w:val="00D974A2"/>
    <w:rsid w:val="00D97542"/>
    <w:rsid w:val="00D97569"/>
    <w:rsid w:val="00D9756B"/>
    <w:rsid w:val="00D9762C"/>
    <w:rsid w:val="00D97658"/>
    <w:rsid w:val="00D9766A"/>
    <w:rsid w:val="00D97680"/>
    <w:rsid w:val="00D97716"/>
    <w:rsid w:val="00D9777A"/>
    <w:rsid w:val="00D977B4"/>
    <w:rsid w:val="00D97843"/>
    <w:rsid w:val="00D9789C"/>
    <w:rsid w:val="00D978C4"/>
    <w:rsid w:val="00D978DA"/>
    <w:rsid w:val="00D978DF"/>
    <w:rsid w:val="00D97904"/>
    <w:rsid w:val="00D97909"/>
    <w:rsid w:val="00D979BA"/>
    <w:rsid w:val="00D979BD"/>
    <w:rsid w:val="00D979CC"/>
    <w:rsid w:val="00D97A65"/>
    <w:rsid w:val="00D97AA7"/>
    <w:rsid w:val="00D97AC4"/>
    <w:rsid w:val="00D97B8F"/>
    <w:rsid w:val="00D97BA2"/>
    <w:rsid w:val="00D97C5D"/>
    <w:rsid w:val="00D97CC2"/>
    <w:rsid w:val="00D97CCA"/>
    <w:rsid w:val="00D97D06"/>
    <w:rsid w:val="00D97D2B"/>
    <w:rsid w:val="00D97D3B"/>
    <w:rsid w:val="00D97D85"/>
    <w:rsid w:val="00D97D91"/>
    <w:rsid w:val="00D97DB9"/>
    <w:rsid w:val="00D97DC4"/>
    <w:rsid w:val="00D97E1E"/>
    <w:rsid w:val="00D97EAA"/>
    <w:rsid w:val="00D97F27"/>
    <w:rsid w:val="00D97F80"/>
    <w:rsid w:val="00D97FF1"/>
    <w:rsid w:val="00DA004B"/>
    <w:rsid w:val="00DA007C"/>
    <w:rsid w:val="00DA0163"/>
    <w:rsid w:val="00DA0167"/>
    <w:rsid w:val="00DA016C"/>
    <w:rsid w:val="00DA01A8"/>
    <w:rsid w:val="00DA01AB"/>
    <w:rsid w:val="00DA0230"/>
    <w:rsid w:val="00DA02BB"/>
    <w:rsid w:val="00DA02F7"/>
    <w:rsid w:val="00DA0313"/>
    <w:rsid w:val="00DA0391"/>
    <w:rsid w:val="00DA0426"/>
    <w:rsid w:val="00DA0443"/>
    <w:rsid w:val="00DA0445"/>
    <w:rsid w:val="00DA04F3"/>
    <w:rsid w:val="00DA051A"/>
    <w:rsid w:val="00DA0544"/>
    <w:rsid w:val="00DA0591"/>
    <w:rsid w:val="00DA05A4"/>
    <w:rsid w:val="00DA05D2"/>
    <w:rsid w:val="00DA0613"/>
    <w:rsid w:val="00DA0624"/>
    <w:rsid w:val="00DA06F5"/>
    <w:rsid w:val="00DA0773"/>
    <w:rsid w:val="00DA081D"/>
    <w:rsid w:val="00DA0823"/>
    <w:rsid w:val="00DA0825"/>
    <w:rsid w:val="00DA085A"/>
    <w:rsid w:val="00DA08CB"/>
    <w:rsid w:val="00DA08F3"/>
    <w:rsid w:val="00DA08FA"/>
    <w:rsid w:val="00DA095A"/>
    <w:rsid w:val="00DA09AA"/>
    <w:rsid w:val="00DA09BD"/>
    <w:rsid w:val="00DA09CA"/>
    <w:rsid w:val="00DA09E2"/>
    <w:rsid w:val="00DA0B69"/>
    <w:rsid w:val="00DA0B7B"/>
    <w:rsid w:val="00DA0B9A"/>
    <w:rsid w:val="00DA0BB8"/>
    <w:rsid w:val="00DA0C2F"/>
    <w:rsid w:val="00DA0C59"/>
    <w:rsid w:val="00DA0C79"/>
    <w:rsid w:val="00DA0C8E"/>
    <w:rsid w:val="00DA0C94"/>
    <w:rsid w:val="00DA0CE4"/>
    <w:rsid w:val="00DA0D5E"/>
    <w:rsid w:val="00DA0D89"/>
    <w:rsid w:val="00DA0DB4"/>
    <w:rsid w:val="00DA0E37"/>
    <w:rsid w:val="00DA0E5C"/>
    <w:rsid w:val="00DA0EE0"/>
    <w:rsid w:val="00DA0EEE"/>
    <w:rsid w:val="00DA0F40"/>
    <w:rsid w:val="00DA1037"/>
    <w:rsid w:val="00DA1088"/>
    <w:rsid w:val="00DA1125"/>
    <w:rsid w:val="00DA1188"/>
    <w:rsid w:val="00DA121E"/>
    <w:rsid w:val="00DA129F"/>
    <w:rsid w:val="00DA12D5"/>
    <w:rsid w:val="00DA12E7"/>
    <w:rsid w:val="00DA1370"/>
    <w:rsid w:val="00DA13BA"/>
    <w:rsid w:val="00DA1405"/>
    <w:rsid w:val="00DA14B5"/>
    <w:rsid w:val="00DA1585"/>
    <w:rsid w:val="00DA158E"/>
    <w:rsid w:val="00DA15D3"/>
    <w:rsid w:val="00DA15DE"/>
    <w:rsid w:val="00DA1603"/>
    <w:rsid w:val="00DA1616"/>
    <w:rsid w:val="00DA1649"/>
    <w:rsid w:val="00DA16D4"/>
    <w:rsid w:val="00DA16E7"/>
    <w:rsid w:val="00DA16F0"/>
    <w:rsid w:val="00DA172B"/>
    <w:rsid w:val="00DA17B8"/>
    <w:rsid w:val="00DA17CA"/>
    <w:rsid w:val="00DA186F"/>
    <w:rsid w:val="00DA1874"/>
    <w:rsid w:val="00DA18FE"/>
    <w:rsid w:val="00DA192B"/>
    <w:rsid w:val="00DA193B"/>
    <w:rsid w:val="00DA193E"/>
    <w:rsid w:val="00DA1975"/>
    <w:rsid w:val="00DA19B1"/>
    <w:rsid w:val="00DA19D1"/>
    <w:rsid w:val="00DA19EB"/>
    <w:rsid w:val="00DA1A29"/>
    <w:rsid w:val="00DA1A35"/>
    <w:rsid w:val="00DA1A6A"/>
    <w:rsid w:val="00DA1A76"/>
    <w:rsid w:val="00DA1A86"/>
    <w:rsid w:val="00DA1A94"/>
    <w:rsid w:val="00DA1ACC"/>
    <w:rsid w:val="00DA1AFC"/>
    <w:rsid w:val="00DA1B08"/>
    <w:rsid w:val="00DA1B45"/>
    <w:rsid w:val="00DA1B80"/>
    <w:rsid w:val="00DA1BA2"/>
    <w:rsid w:val="00DA1BB3"/>
    <w:rsid w:val="00DA1BBA"/>
    <w:rsid w:val="00DA1BEA"/>
    <w:rsid w:val="00DA1BF7"/>
    <w:rsid w:val="00DA1C24"/>
    <w:rsid w:val="00DA1C51"/>
    <w:rsid w:val="00DA1C6F"/>
    <w:rsid w:val="00DA1CE4"/>
    <w:rsid w:val="00DA1D4C"/>
    <w:rsid w:val="00DA1D5E"/>
    <w:rsid w:val="00DA1D6C"/>
    <w:rsid w:val="00DA1D8D"/>
    <w:rsid w:val="00DA1D96"/>
    <w:rsid w:val="00DA1D9E"/>
    <w:rsid w:val="00DA1DA9"/>
    <w:rsid w:val="00DA1E9B"/>
    <w:rsid w:val="00DA1EE2"/>
    <w:rsid w:val="00DA1F08"/>
    <w:rsid w:val="00DA1F15"/>
    <w:rsid w:val="00DA1F28"/>
    <w:rsid w:val="00DA1F9A"/>
    <w:rsid w:val="00DA1FC8"/>
    <w:rsid w:val="00DA201D"/>
    <w:rsid w:val="00DA2096"/>
    <w:rsid w:val="00DA20A5"/>
    <w:rsid w:val="00DA20AB"/>
    <w:rsid w:val="00DA20B5"/>
    <w:rsid w:val="00DA20C9"/>
    <w:rsid w:val="00DA2138"/>
    <w:rsid w:val="00DA2168"/>
    <w:rsid w:val="00DA2255"/>
    <w:rsid w:val="00DA22AF"/>
    <w:rsid w:val="00DA2398"/>
    <w:rsid w:val="00DA239B"/>
    <w:rsid w:val="00DA244A"/>
    <w:rsid w:val="00DA2472"/>
    <w:rsid w:val="00DA24A2"/>
    <w:rsid w:val="00DA255C"/>
    <w:rsid w:val="00DA2581"/>
    <w:rsid w:val="00DA25B2"/>
    <w:rsid w:val="00DA26A3"/>
    <w:rsid w:val="00DA2713"/>
    <w:rsid w:val="00DA275C"/>
    <w:rsid w:val="00DA2783"/>
    <w:rsid w:val="00DA2795"/>
    <w:rsid w:val="00DA27D0"/>
    <w:rsid w:val="00DA2812"/>
    <w:rsid w:val="00DA2847"/>
    <w:rsid w:val="00DA2869"/>
    <w:rsid w:val="00DA28BA"/>
    <w:rsid w:val="00DA28DA"/>
    <w:rsid w:val="00DA2901"/>
    <w:rsid w:val="00DA29BF"/>
    <w:rsid w:val="00DA29DA"/>
    <w:rsid w:val="00DA2A87"/>
    <w:rsid w:val="00DA2B24"/>
    <w:rsid w:val="00DA2B87"/>
    <w:rsid w:val="00DA2C51"/>
    <w:rsid w:val="00DA2C9F"/>
    <w:rsid w:val="00DA2CD8"/>
    <w:rsid w:val="00DA2DB7"/>
    <w:rsid w:val="00DA2DE4"/>
    <w:rsid w:val="00DA2E49"/>
    <w:rsid w:val="00DA2E51"/>
    <w:rsid w:val="00DA2F0D"/>
    <w:rsid w:val="00DA2F33"/>
    <w:rsid w:val="00DA2F9E"/>
    <w:rsid w:val="00DA2FAF"/>
    <w:rsid w:val="00DA2FB5"/>
    <w:rsid w:val="00DA300F"/>
    <w:rsid w:val="00DA3035"/>
    <w:rsid w:val="00DA3065"/>
    <w:rsid w:val="00DA30B5"/>
    <w:rsid w:val="00DA30D4"/>
    <w:rsid w:val="00DA30E9"/>
    <w:rsid w:val="00DA3160"/>
    <w:rsid w:val="00DA3170"/>
    <w:rsid w:val="00DA31CA"/>
    <w:rsid w:val="00DA31DC"/>
    <w:rsid w:val="00DA31F3"/>
    <w:rsid w:val="00DA322E"/>
    <w:rsid w:val="00DA3248"/>
    <w:rsid w:val="00DA3253"/>
    <w:rsid w:val="00DA32D9"/>
    <w:rsid w:val="00DA33A9"/>
    <w:rsid w:val="00DA33C0"/>
    <w:rsid w:val="00DA33D5"/>
    <w:rsid w:val="00DA3454"/>
    <w:rsid w:val="00DA3462"/>
    <w:rsid w:val="00DA3468"/>
    <w:rsid w:val="00DA34D0"/>
    <w:rsid w:val="00DA34F5"/>
    <w:rsid w:val="00DA353A"/>
    <w:rsid w:val="00DA35AF"/>
    <w:rsid w:val="00DA35D4"/>
    <w:rsid w:val="00DA362D"/>
    <w:rsid w:val="00DA3666"/>
    <w:rsid w:val="00DA3673"/>
    <w:rsid w:val="00DA3691"/>
    <w:rsid w:val="00DA36A6"/>
    <w:rsid w:val="00DA36ED"/>
    <w:rsid w:val="00DA36F1"/>
    <w:rsid w:val="00DA36FB"/>
    <w:rsid w:val="00DA3782"/>
    <w:rsid w:val="00DA3783"/>
    <w:rsid w:val="00DA3827"/>
    <w:rsid w:val="00DA389B"/>
    <w:rsid w:val="00DA398C"/>
    <w:rsid w:val="00DA39DF"/>
    <w:rsid w:val="00DA3A96"/>
    <w:rsid w:val="00DA3B07"/>
    <w:rsid w:val="00DA3B14"/>
    <w:rsid w:val="00DA3B36"/>
    <w:rsid w:val="00DA3B79"/>
    <w:rsid w:val="00DA3B7B"/>
    <w:rsid w:val="00DA3BC3"/>
    <w:rsid w:val="00DA3C43"/>
    <w:rsid w:val="00DA3CE1"/>
    <w:rsid w:val="00DA3CFD"/>
    <w:rsid w:val="00DA3D0D"/>
    <w:rsid w:val="00DA3D69"/>
    <w:rsid w:val="00DA3D94"/>
    <w:rsid w:val="00DA3DE0"/>
    <w:rsid w:val="00DA3EC8"/>
    <w:rsid w:val="00DA4035"/>
    <w:rsid w:val="00DA40A0"/>
    <w:rsid w:val="00DA40D3"/>
    <w:rsid w:val="00DA40E3"/>
    <w:rsid w:val="00DA4181"/>
    <w:rsid w:val="00DA41BF"/>
    <w:rsid w:val="00DA42BB"/>
    <w:rsid w:val="00DA437F"/>
    <w:rsid w:val="00DA43A4"/>
    <w:rsid w:val="00DA4416"/>
    <w:rsid w:val="00DA44C8"/>
    <w:rsid w:val="00DA44E9"/>
    <w:rsid w:val="00DA4550"/>
    <w:rsid w:val="00DA456F"/>
    <w:rsid w:val="00DA4599"/>
    <w:rsid w:val="00DA45E0"/>
    <w:rsid w:val="00DA4605"/>
    <w:rsid w:val="00DA4609"/>
    <w:rsid w:val="00DA4682"/>
    <w:rsid w:val="00DA4683"/>
    <w:rsid w:val="00DA46B0"/>
    <w:rsid w:val="00DA46B4"/>
    <w:rsid w:val="00DA4764"/>
    <w:rsid w:val="00DA4766"/>
    <w:rsid w:val="00DA47BD"/>
    <w:rsid w:val="00DA4812"/>
    <w:rsid w:val="00DA488A"/>
    <w:rsid w:val="00DA48D1"/>
    <w:rsid w:val="00DA491C"/>
    <w:rsid w:val="00DA49B6"/>
    <w:rsid w:val="00DA4A2C"/>
    <w:rsid w:val="00DA4A74"/>
    <w:rsid w:val="00DA4A77"/>
    <w:rsid w:val="00DA4A86"/>
    <w:rsid w:val="00DA4B05"/>
    <w:rsid w:val="00DA4B31"/>
    <w:rsid w:val="00DA4B51"/>
    <w:rsid w:val="00DA4BDE"/>
    <w:rsid w:val="00DA4C7B"/>
    <w:rsid w:val="00DA4C8E"/>
    <w:rsid w:val="00DA4CBF"/>
    <w:rsid w:val="00DA4CEB"/>
    <w:rsid w:val="00DA4D45"/>
    <w:rsid w:val="00DA4DA1"/>
    <w:rsid w:val="00DA4E11"/>
    <w:rsid w:val="00DA4E1E"/>
    <w:rsid w:val="00DA4E42"/>
    <w:rsid w:val="00DA4EAA"/>
    <w:rsid w:val="00DA4F4F"/>
    <w:rsid w:val="00DA4FA5"/>
    <w:rsid w:val="00DA4FB1"/>
    <w:rsid w:val="00DA50AA"/>
    <w:rsid w:val="00DA5121"/>
    <w:rsid w:val="00DA5198"/>
    <w:rsid w:val="00DA51D3"/>
    <w:rsid w:val="00DA5234"/>
    <w:rsid w:val="00DA5250"/>
    <w:rsid w:val="00DA5291"/>
    <w:rsid w:val="00DA530F"/>
    <w:rsid w:val="00DA531A"/>
    <w:rsid w:val="00DA53DA"/>
    <w:rsid w:val="00DA5409"/>
    <w:rsid w:val="00DA546D"/>
    <w:rsid w:val="00DA5472"/>
    <w:rsid w:val="00DA5491"/>
    <w:rsid w:val="00DA553E"/>
    <w:rsid w:val="00DA554B"/>
    <w:rsid w:val="00DA554C"/>
    <w:rsid w:val="00DA5581"/>
    <w:rsid w:val="00DA558A"/>
    <w:rsid w:val="00DA5593"/>
    <w:rsid w:val="00DA55B8"/>
    <w:rsid w:val="00DA5611"/>
    <w:rsid w:val="00DA563A"/>
    <w:rsid w:val="00DA5660"/>
    <w:rsid w:val="00DA5685"/>
    <w:rsid w:val="00DA5693"/>
    <w:rsid w:val="00DA56AA"/>
    <w:rsid w:val="00DA56BC"/>
    <w:rsid w:val="00DA56E5"/>
    <w:rsid w:val="00DA5712"/>
    <w:rsid w:val="00DA5715"/>
    <w:rsid w:val="00DA5750"/>
    <w:rsid w:val="00DA5754"/>
    <w:rsid w:val="00DA5755"/>
    <w:rsid w:val="00DA5787"/>
    <w:rsid w:val="00DA57CC"/>
    <w:rsid w:val="00DA5869"/>
    <w:rsid w:val="00DA58B3"/>
    <w:rsid w:val="00DA59BC"/>
    <w:rsid w:val="00DA59C0"/>
    <w:rsid w:val="00DA59D2"/>
    <w:rsid w:val="00DA59DD"/>
    <w:rsid w:val="00DA5A02"/>
    <w:rsid w:val="00DA5A23"/>
    <w:rsid w:val="00DA5ACF"/>
    <w:rsid w:val="00DA5B20"/>
    <w:rsid w:val="00DA5B62"/>
    <w:rsid w:val="00DA5BD5"/>
    <w:rsid w:val="00DA5BEA"/>
    <w:rsid w:val="00DA5C3E"/>
    <w:rsid w:val="00DA5C6E"/>
    <w:rsid w:val="00DA5C96"/>
    <w:rsid w:val="00DA5CAB"/>
    <w:rsid w:val="00DA5CFD"/>
    <w:rsid w:val="00DA5D06"/>
    <w:rsid w:val="00DA5D11"/>
    <w:rsid w:val="00DA5D13"/>
    <w:rsid w:val="00DA5D72"/>
    <w:rsid w:val="00DA5DCA"/>
    <w:rsid w:val="00DA5EBD"/>
    <w:rsid w:val="00DA5F77"/>
    <w:rsid w:val="00DA60B7"/>
    <w:rsid w:val="00DA60BF"/>
    <w:rsid w:val="00DA60D6"/>
    <w:rsid w:val="00DA6198"/>
    <w:rsid w:val="00DA61C5"/>
    <w:rsid w:val="00DA61E4"/>
    <w:rsid w:val="00DA6207"/>
    <w:rsid w:val="00DA6219"/>
    <w:rsid w:val="00DA6273"/>
    <w:rsid w:val="00DA629F"/>
    <w:rsid w:val="00DA62B2"/>
    <w:rsid w:val="00DA62DD"/>
    <w:rsid w:val="00DA62E0"/>
    <w:rsid w:val="00DA636D"/>
    <w:rsid w:val="00DA6414"/>
    <w:rsid w:val="00DA6456"/>
    <w:rsid w:val="00DA64F0"/>
    <w:rsid w:val="00DA6533"/>
    <w:rsid w:val="00DA65B7"/>
    <w:rsid w:val="00DA65D9"/>
    <w:rsid w:val="00DA6608"/>
    <w:rsid w:val="00DA6611"/>
    <w:rsid w:val="00DA665B"/>
    <w:rsid w:val="00DA666F"/>
    <w:rsid w:val="00DA66D0"/>
    <w:rsid w:val="00DA66D1"/>
    <w:rsid w:val="00DA6706"/>
    <w:rsid w:val="00DA673C"/>
    <w:rsid w:val="00DA674D"/>
    <w:rsid w:val="00DA67BC"/>
    <w:rsid w:val="00DA680F"/>
    <w:rsid w:val="00DA686D"/>
    <w:rsid w:val="00DA68D7"/>
    <w:rsid w:val="00DA68FA"/>
    <w:rsid w:val="00DA6961"/>
    <w:rsid w:val="00DA69C5"/>
    <w:rsid w:val="00DA6A17"/>
    <w:rsid w:val="00DA6A31"/>
    <w:rsid w:val="00DA6ABE"/>
    <w:rsid w:val="00DA6B43"/>
    <w:rsid w:val="00DA6C1A"/>
    <w:rsid w:val="00DA6C38"/>
    <w:rsid w:val="00DA6C85"/>
    <w:rsid w:val="00DA6C8F"/>
    <w:rsid w:val="00DA6C9D"/>
    <w:rsid w:val="00DA6D28"/>
    <w:rsid w:val="00DA6D5E"/>
    <w:rsid w:val="00DA6DAD"/>
    <w:rsid w:val="00DA6DFD"/>
    <w:rsid w:val="00DA6E12"/>
    <w:rsid w:val="00DA6ECC"/>
    <w:rsid w:val="00DA6F08"/>
    <w:rsid w:val="00DA6F92"/>
    <w:rsid w:val="00DA6FC5"/>
    <w:rsid w:val="00DA7030"/>
    <w:rsid w:val="00DA703A"/>
    <w:rsid w:val="00DA70A6"/>
    <w:rsid w:val="00DA70C0"/>
    <w:rsid w:val="00DA70DE"/>
    <w:rsid w:val="00DA7103"/>
    <w:rsid w:val="00DA711A"/>
    <w:rsid w:val="00DA711B"/>
    <w:rsid w:val="00DA717B"/>
    <w:rsid w:val="00DA71F2"/>
    <w:rsid w:val="00DA71FC"/>
    <w:rsid w:val="00DA72BF"/>
    <w:rsid w:val="00DA7309"/>
    <w:rsid w:val="00DA730B"/>
    <w:rsid w:val="00DA733C"/>
    <w:rsid w:val="00DA7359"/>
    <w:rsid w:val="00DA73CD"/>
    <w:rsid w:val="00DA74EF"/>
    <w:rsid w:val="00DA74F7"/>
    <w:rsid w:val="00DA74FB"/>
    <w:rsid w:val="00DA7526"/>
    <w:rsid w:val="00DA7583"/>
    <w:rsid w:val="00DA75C8"/>
    <w:rsid w:val="00DA75E6"/>
    <w:rsid w:val="00DA75F0"/>
    <w:rsid w:val="00DA75F6"/>
    <w:rsid w:val="00DA7658"/>
    <w:rsid w:val="00DA76F5"/>
    <w:rsid w:val="00DA76FA"/>
    <w:rsid w:val="00DA776B"/>
    <w:rsid w:val="00DA781B"/>
    <w:rsid w:val="00DA7826"/>
    <w:rsid w:val="00DA782E"/>
    <w:rsid w:val="00DA786E"/>
    <w:rsid w:val="00DA7892"/>
    <w:rsid w:val="00DA78B5"/>
    <w:rsid w:val="00DA7910"/>
    <w:rsid w:val="00DA791B"/>
    <w:rsid w:val="00DA791C"/>
    <w:rsid w:val="00DA7926"/>
    <w:rsid w:val="00DA792A"/>
    <w:rsid w:val="00DA7946"/>
    <w:rsid w:val="00DA7957"/>
    <w:rsid w:val="00DA7A40"/>
    <w:rsid w:val="00DA7AA3"/>
    <w:rsid w:val="00DA7ACE"/>
    <w:rsid w:val="00DA7B0C"/>
    <w:rsid w:val="00DA7B30"/>
    <w:rsid w:val="00DA7B44"/>
    <w:rsid w:val="00DA7B4B"/>
    <w:rsid w:val="00DA7B92"/>
    <w:rsid w:val="00DA7BB3"/>
    <w:rsid w:val="00DA7BC0"/>
    <w:rsid w:val="00DA7BCD"/>
    <w:rsid w:val="00DA7C5A"/>
    <w:rsid w:val="00DA7C5C"/>
    <w:rsid w:val="00DA7D27"/>
    <w:rsid w:val="00DA7DB8"/>
    <w:rsid w:val="00DA7DF5"/>
    <w:rsid w:val="00DA7E65"/>
    <w:rsid w:val="00DA7EE3"/>
    <w:rsid w:val="00DA7F59"/>
    <w:rsid w:val="00DA7FC2"/>
    <w:rsid w:val="00DB0000"/>
    <w:rsid w:val="00DB003C"/>
    <w:rsid w:val="00DB008D"/>
    <w:rsid w:val="00DB00C3"/>
    <w:rsid w:val="00DB0115"/>
    <w:rsid w:val="00DB0134"/>
    <w:rsid w:val="00DB013B"/>
    <w:rsid w:val="00DB013D"/>
    <w:rsid w:val="00DB018C"/>
    <w:rsid w:val="00DB01A3"/>
    <w:rsid w:val="00DB01F5"/>
    <w:rsid w:val="00DB01F9"/>
    <w:rsid w:val="00DB02E5"/>
    <w:rsid w:val="00DB0384"/>
    <w:rsid w:val="00DB039D"/>
    <w:rsid w:val="00DB0444"/>
    <w:rsid w:val="00DB046E"/>
    <w:rsid w:val="00DB050B"/>
    <w:rsid w:val="00DB05BA"/>
    <w:rsid w:val="00DB0608"/>
    <w:rsid w:val="00DB0609"/>
    <w:rsid w:val="00DB0631"/>
    <w:rsid w:val="00DB063D"/>
    <w:rsid w:val="00DB06BE"/>
    <w:rsid w:val="00DB06C0"/>
    <w:rsid w:val="00DB0731"/>
    <w:rsid w:val="00DB0788"/>
    <w:rsid w:val="00DB07C2"/>
    <w:rsid w:val="00DB081C"/>
    <w:rsid w:val="00DB08AC"/>
    <w:rsid w:val="00DB08B3"/>
    <w:rsid w:val="00DB08D3"/>
    <w:rsid w:val="00DB08D7"/>
    <w:rsid w:val="00DB093D"/>
    <w:rsid w:val="00DB0947"/>
    <w:rsid w:val="00DB0985"/>
    <w:rsid w:val="00DB09E6"/>
    <w:rsid w:val="00DB0AC3"/>
    <w:rsid w:val="00DB0ADA"/>
    <w:rsid w:val="00DB0B07"/>
    <w:rsid w:val="00DB0C47"/>
    <w:rsid w:val="00DB0C5A"/>
    <w:rsid w:val="00DB0C84"/>
    <w:rsid w:val="00DB0CC7"/>
    <w:rsid w:val="00DB0D47"/>
    <w:rsid w:val="00DB0DB2"/>
    <w:rsid w:val="00DB0DBE"/>
    <w:rsid w:val="00DB0DCA"/>
    <w:rsid w:val="00DB0E15"/>
    <w:rsid w:val="00DB0E8D"/>
    <w:rsid w:val="00DB0E91"/>
    <w:rsid w:val="00DB0E92"/>
    <w:rsid w:val="00DB0EB9"/>
    <w:rsid w:val="00DB0F36"/>
    <w:rsid w:val="00DB0F61"/>
    <w:rsid w:val="00DB0FA4"/>
    <w:rsid w:val="00DB10F7"/>
    <w:rsid w:val="00DB115F"/>
    <w:rsid w:val="00DB116F"/>
    <w:rsid w:val="00DB11A5"/>
    <w:rsid w:val="00DB11BE"/>
    <w:rsid w:val="00DB11DF"/>
    <w:rsid w:val="00DB11F3"/>
    <w:rsid w:val="00DB120C"/>
    <w:rsid w:val="00DB124A"/>
    <w:rsid w:val="00DB129D"/>
    <w:rsid w:val="00DB12C6"/>
    <w:rsid w:val="00DB130C"/>
    <w:rsid w:val="00DB1332"/>
    <w:rsid w:val="00DB133D"/>
    <w:rsid w:val="00DB1362"/>
    <w:rsid w:val="00DB1383"/>
    <w:rsid w:val="00DB1393"/>
    <w:rsid w:val="00DB139D"/>
    <w:rsid w:val="00DB13E6"/>
    <w:rsid w:val="00DB1475"/>
    <w:rsid w:val="00DB14B4"/>
    <w:rsid w:val="00DB14B5"/>
    <w:rsid w:val="00DB14FB"/>
    <w:rsid w:val="00DB1533"/>
    <w:rsid w:val="00DB1536"/>
    <w:rsid w:val="00DB153F"/>
    <w:rsid w:val="00DB155D"/>
    <w:rsid w:val="00DB156A"/>
    <w:rsid w:val="00DB15AA"/>
    <w:rsid w:val="00DB15D9"/>
    <w:rsid w:val="00DB15EC"/>
    <w:rsid w:val="00DB16B9"/>
    <w:rsid w:val="00DB173D"/>
    <w:rsid w:val="00DB17D1"/>
    <w:rsid w:val="00DB1803"/>
    <w:rsid w:val="00DB1828"/>
    <w:rsid w:val="00DB1841"/>
    <w:rsid w:val="00DB1853"/>
    <w:rsid w:val="00DB1878"/>
    <w:rsid w:val="00DB18CA"/>
    <w:rsid w:val="00DB18D5"/>
    <w:rsid w:val="00DB192A"/>
    <w:rsid w:val="00DB1970"/>
    <w:rsid w:val="00DB1998"/>
    <w:rsid w:val="00DB19AE"/>
    <w:rsid w:val="00DB1A43"/>
    <w:rsid w:val="00DB1A66"/>
    <w:rsid w:val="00DB1A6B"/>
    <w:rsid w:val="00DB1AB9"/>
    <w:rsid w:val="00DB1AF1"/>
    <w:rsid w:val="00DB1AF2"/>
    <w:rsid w:val="00DB1B58"/>
    <w:rsid w:val="00DB1C1F"/>
    <w:rsid w:val="00DB1C30"/>
    <w:rsid w:val="00DB1C76"/>
    <w:rsid w:val="00DB1D05"/>
    <w:rsid w:val="00DB1D6D"/>
    <w:rsid w:val="00DB1DA0"/>
    <w:rsid w:val="00DB1DA1"/>
    <w:rsid w:val="00DB1DBD"/>
    <w:rsid w:val="00DB1DF5"/>
    <w:rsid w:val="00DB1E0B"/>
    <w:rsid w:val="00DB1E2E"/>
    <w:rsid w:val="00DB1F15"/>
    <w:rsid w:val="00DB1F26"/>
    <w:rsid w:val="00DB1FA9"/>
    <w:rsid w:val="00DB1FF2"/>
    <w:rsid w:val="00DB2029"/>
    <w:rsid w:val="00DB20C0"/>
    <w:rsid w:val="00DB20CF"/>
    <w:rsid w:val="00DB2106"/>
    <w:rsid w:val="00DB21D7"/>
    <w:rsid w:val="00DB21F9"/>
    <w:rsid w:val="00DB2261"/>
    <w:rsid w:val="00DB238F"/>
    <w:rsid w:val="00DB23A0"/>
    <w:rsid w:val="00DB2410"/>
    <w:rsid w:val="00DB244E"/>
    <w:rsid w:val="00DB24B9"/>
    <w:rsid w:val="00DB25EB"/>
    <w:rsid w:val="00DB2605"/>
    <w:rsid w:val="00DB2620"/>
    <w:rsid w:val="00DB265F"/>
    <w:rsid w:val="00DB2670"/>
    <w:rsid w:val="00DB267A"/>
    <w:rsid w:val="00DB2768"/>
    <w:rsid w:val="00DB27C9"/>
    <w:rsid w:val="00DB27E9"/>
    <w:rsid w:val="00DB285C"/>
    <w:rsid w:val="00DB28A1"/>
    <w:rsid w:val="00DB28BD"/>
    <w:rsid w:val="00DB2930"/>
    <w:rsid w:val="00DB2969"/>
    <w:rsid w:val="00DB2987"/>
    <w:rsid w:val="00DB298C"/>
    <w:rsid w:val="00DB29BB"/>
    <w:rsid w:val="00DB2AB0"/>
    <w:rsid w:val="00DB2AB8"/>
    <w:rsid w:val="00DB2ABB"/>
    <w:rsid w:val="00DB2ACB"/>
    <w:rsid w:val="00DB2AE7"/>
    <w:rsid w:val="00DB2AF1"/>
    <w:rsid w:val="00DB2B1D"/>
    <w:rsid w:val="00DB2B82"/>
    <w:rsid w:val="00DB2C1C"/>
    <w:rsid w:val="00DB2C3B"/>
    <w:rsid w:val="00DB2C6A"/>
    <w:rsid w:val="00DB2CEC"/>
    <w:rsid w:val="00DB2D25"/>
    <w:rsid w:val="00DB2E0E"/>
    <w:rsid w:val="00DB2E5D"/>
    <w:rsid w:val="00DB2EF4"/>
    <w:rsid w:val="00DB2F31"/>
    <w:rsid w:val="00DB2F40"/>
    <w:rsid w:val="00DB2F70"/>
    <w:rsid w:val="00DB2FB0"/>
    <w:rsid w:val="00DB2FCA"/>
    <w:rsid w:val="00DB3015"/>
    <w:rsid w:val="00DB3021"/>
    <w:rsid w:val="00DB3080"/>
    <w:rsid w:val="00DB327A"/>
    <w:rsid w:val="00DB330F"/>
    <w:rsid w:val="00DB3337"/>
    <w:rsid w:val="00DB33C5"/>
    <w:rsid w:val="00DB33DD"/>
    <w:rsid w:val="00DB3428"/>
    <w:rsid w:val="00DB345E"/>
    <w:rsid w:val="00DB354F"/>
    <w:rsid w:val="00DB35CC"/>
    <w:rsid w:val="00DB35FF"/>
    <w:rsid w:val="00DB3613"/>
    <w:rsid w:val="00DB361B"/>
    <w:rsid w:val="00DB3626"/>
    <w:rsid w:val="00DB3649"/>
    <w:rsid w:val="00DB3670"/>
    <w:rsid w:val="00DB367D"/>
    <w:rsid w:val="00DB3698"/>
    <w:rsid w:val="00DB36B5"/>
    <w:rsid w:val="00DB371B"/>
    <w:rsid w:val="00DB3727"/>
    <w:rsid w:val="00DB377B"/>
    <w:rsid w:val="00DB38C0"/>
    <w:rsid w:val="00DB38EC"/>
    <w:rsid w:val="00DB3904"/>
    <w:rsid w:val="00DB390E"/>
    <w:rsid w:val="00DB3935"/>
    <w:rsid w:val="00DB3965"/>
    <w:rsid w:val="00DB397B"/>
    <w:rsid w:val="00DB39DF"/>
    <w:rsid w:val="00DB3A04"/>
    <w:rsid w:val="00DB3AD5"/>
    <w:rsid w:val="00DB3AE5"/>
    <w:rsid w:val="00DB3B20"/>
    <w:rsid w:val="00DB3BDC"/>
    <w:rsid w:val="00DB3C15"/>
    <w:rsid w:val="00DB3C17"/>
    <w:rsid w:val="00DB3C4E"/>
    <w:rsid w:val="00DB3C74"/>
    <w:rsid w:val="00DB3C93"/>
    <w:rsid w:val="00DB3CAF"/>
    <w:rsid w:val="00DB3CE1"/>
    <w:rsid w:val="00DB3D26"/>
    <w:rsid w:val="00DB3D5F"/>
    <w:rsid w:val="00DB3DA9"/>
    <w:rsid w:val="00DB3DDE"/>
    <w:rsid w:val="00DB3E04"/>
    <w:rsid w:val="00DB3E55"/>
    <w:rsid w:val="00DB3E88"/>
    <w:rsid w:val="00DB3E99"/>
    <w:rsid w:val="00DB3EA8"/>
    <w:rsid w:val="00DB3F9A"/>
    <w:rsid w:val="00DB3FA4"/>
    <w:rsid w:val="00DB3FF2"/>
    <w:rsid w:val="00DB403D"/>
    <w:rsid w:val="00DB4065"/>
    <w:rsid w:val="00DB4085"/>
    <w:rsid w:val="00DB412A"/>
    <w:rsid w:val="00DB415F"/>
    <w:rsid w:val="00DB4258"/>
    <w:rsid w:val="00DB42EF"/>
    <w:rsid w:val="00DB42FA"/>
    <w:rsid w:val="00DB437C"/>
    <w:rsid w:val="00DB43AD"/>
    <w:rsid w:val="00DB43CF"/>
    <w:rsid w:val="00DB4422"/>
    <w:rsid w:val="00DB451C"/>
    <w:rsid w:val="00DB45AB"/>
    <w:rsid w:val="00DB45B9"/>
    <w:rsid w:val="00DB45C7"/>
    <w:rsid w:val="00DB45D5"/>
    <w:rsid w:val="00DB465C"/>
    <w:rsid w:val="00DB467D"/>
    <w:rsid w:val="00DB468A"/>
    <w:rsid w:val="00DB46B9"/>
    <w:rsid w:val="00DB46CC"/>
    <w:rsid w:val="00DB46ED"/>
    <w:rsid w:val="00DB46EE"/>
    <w:rsid w:val="00DB4723"/>
    <w:rsid w:val="00DB475F"/>
    <w:rsid w:val="00DB4836"/>
    <w:rsid w:val="00DB4864"/>
    <w:rsid w:val="00DB4894"/>
    <w:rsid w:val="00DB4919"/>
    <w:rsid w:val="00DB4949"/>
    <w:rsid w:val="00DB4992"/>
    <w:rsid w:val="00DB49ED"/>
    <w:rsid w:val="00DB4A27"/>
    <w:rsid w:val="00DB4A71"/>
    <w:rsid w:val="00DB4AA5"/>
    <w:rsid w:val="00DB4AE2"/>
    <w:rsid w:val="00DB4B0D"/>
    <w:rsid w:val="00DB4B22"/>
    <w:rsid w:val="00DB4B6F"/>
    <w:rsid w:val="00DB4B9E"/>
    <w:rsid w:val="00DB4BBE"/>
    <w:rsid w:val="00DB4BE4"/>
    <w:rsid w:val="00DB4BEF"/>
    <w:rsid w:val="00DB4C34"/>
    <w:rsid w:val="00DB4C44"/>
    <w:rsid w:val="00DB4D19"/>
    <w:rsid w:val="00DB4D29"/>
    <w:rsid w:val="00DB4DD6"/>
    <w:rsid w:val="00DB4E04"/>
    <w:rsid w:val="00DB4E56"/>
    <w:rsid w:val="00DB4EFC"/>
    <w:rsid w:val="00DB4F3C"/>
    <w:rsid w:val="00DB4F79"/>
    <w:rsid w:val="00DB4FA2"/>
    <w:rsid w:val="00DB500B"/>
    <w:rsid w:val="00DB5013"/>
    <w:rsid w:val="00DB505F"/>
    <w:rsid w:val="00DB514D"/>
    <w:rsid w:val="00DB5166"/>
    <w:rsid w:val="00DB5167"/>
    <w:rsid w:val="00DB5209"/>
    <w:rsid w:val="00DB521F"/>
    <w:rsid w:val="00DB5228"/>
    <w:rsid w:val="00DB523D"/>
    <w:rsid w:val="00DB531C"/>
    <w:rsid w:val="00DB539F"/>
    <w:rsid w:val="00DB53B7"/>
    <w:rsid w:val="00DB5458"/>
    <w:rsid w:val="00DB546C"/>
    <w:rsid w:val="00DB54AE"/>
    <w:rsid w:val="00DB54CD"/>
    <w:rsid w:val="00DB54D2"/>
    <w:rsid w:val="00DB54FE"/>
    <w:rsid w:val="00DB558D"/>
    <w:rsid w:val="00DB55AD"/>
    <w:rsid w:val="00DB55FA"/>
    <w:rsid w:val="00DB55FF"/>
    <w:rsid w:val="00DB56A5"/>
    <w:rsid w:val="00DB5768"/>
    <w:rsid w:val="00DB5841"/>
    <w:rsid w:val="00DB587D"/>
    <w:rsid w:val="00DB58BA"/>
    <w:rsid w:val="00DB58F6"/>
    <w:rsid w:val="00DB5984"/>
    <w:rsid w:val="00DB59A6"/>
    <w:rsid w:val="00DB5A53"/>
    <w:rsid w:val="00DB5A5B"/>
    <w:rsid w:val="00DB5AA4"/>
    <w:rsid w:val="00DB5AEA"/>
    <w:rsid w:val="00DB5B20"/>
    <w:rsid w:val="00DB5B3F"/>
    <w:rsid w:val="00DB5B47"/>
    <w:rsid w:val="00DB5B78"/>
    <w:rsid w:val="00DB5BA7"/>
    <w:rsid w:val="00DB5C66"/>
    <w:rsid w:val="00DB5C7C"/>
    <w:rsid w:val="00DB5C82"/>
    <w:rsid w:val="00DB5CDE"/>
    <w:rsid w:val="00DB5D3A"/>
    <w:rsid w:val="00DB5D49"/>
    <w:rsid w:val="00DB5DB7"/>
    <w:rsid w:val="00DB5DD5"/>
    <w:rsid w:val="00DB5DDE"/>
    <w:rsid w:val="00DB5EA7"/>
    <w:rsid w:val="00DB5EAE"/>
    <w:rsid w:val="00DB5EB9"/>
    <w:rsid w:val="00DB5F0D"/>
    <w:rsid w:val="00DB5F85"/>
    <w:rsid w:val="00DB5FA1"/>
    <w:rsid w:val="00DB601B"/>
    <w:rsid w:val="00DB6025"/>
    <w:rsid w:val="00DB60B8"/>
    <w:rsid w:val="00DB614E"/>
    <w:rsid w:val="00DB619C"/>
    <w:rsid w:val="00DB61BB"/>
    <w:rsid w:val="00DB6275"/>
    <w:rsid w:val="00DB636D"/>
    <w:rsid w:val="00DB6399"/>
    <w:rsid w:val="00DB63A6"/>
    <w:rsid w:val="00DB63DA"/>
    <w:rsid w:val="00DB63FF"/>
    <w:rsid w:val="00DB6444"/>
    <w:rsid w:val="00DB65DB"/>
    <w:rsid w:val="00DB661C"/>
    <w:rsid w:val="00DB6661"/>
    <w:rsid w:val="00DB67C2"/>
    <w:rsid w:val="00DB67E7"/>
    <w:rsid w:val="00DB67ED"/>
    <w:rsid w:val="00DB6800"/>
    <w:rsid w:val="00DB6819"/>
    <w:rsid w:val="00DB6911"/>
    <w:rsid w:val="00DB698E"/>
    <w:rsid w:val="00DB6A14"/>
    <w:rsid w:val="00DB6A63"/>
    <w:rsid w:val="00DB6B4B"/>
    <w:rsid w:val="00DB6BAD"/>
    <w:rsid w:val="00DB6C20"/>
    <w:rsid w:val="00DB6C34"/>
    <w:rsid w:val="00DB6C47"/>
    <w:rsid w:val="00DB6C58"/>
    <w:rsid w:val="00DB6C71"/>
    <w:rsid w:val="00DB6C87"/>
    <w:rsid w:val="00DB6C8C"/>
    <w:rsid w:val="00DB6CE6"/>
    <w:rsid w:val="00DB6D4B"/>
    <w:rsid w:val="00DB6D9D"/>
    <w:rsid w:val="00DB6D9F"/>
    <w:rsid w:val="00DB6E38"/>
    <w:rsid w:val="00DB6E39"/>
    <w:rsid w:val="00DB6E3C"/>
    <w:rsid w:val="00DB6E87"/>
    <w:rsid w:val="00DB6EAB"/>
    <w:rsid w:val="00DB6EB0"/>
    <w:rsid w:val="00DB6EC3"/>
    <w:rsid w:val="00DB6F18"/>
    <w:rsid w:val="00DB6F24"/>
    <w:rsid w:val="00DB6F78"/>
    <w:rsid w:val="00DB6FB2"/>
    <w:rsid w:val="00DB7005"/>
    <w:rsid w:val="00DB7008"/>
    <w:rsid w:val="00DB701B"/>
    <w:rsid w:val="00DB7043"/>
    <w:rsid w:val="00DB7084"/>
    <w:rsid w:val="00DB715B"/>
    <w:rsid w:val="00DB7172"/>
    <w:rsid w:val="00DB718F"/>
    <w:rsid w:val="00DB71C0"/>
    <w:rsid w:val="00DB71CB"/>
    <w:rsid w:val="00DB71E7"/>
    <w:rsid w:val="00DB7279"/>
    <w:rsid w:val="00DB72A0"/>
    <w:rsid w:val="00DB72A5"/>
    <w:rsid w:val="00DB7326"/>
    <w:rsid w:val="00DB7361"/>
    <w:rsid w:val="00DB739A"/>
    <w:rsid w:val="00DB74B9"/>
    <w:rsid w:val="00DB74C3"/>
    <w:rsid w:val="00DB74E4"/>
    <w:rsid w:val="00DB755B"/>
    <w:rsid w:val="00DB758A"/>
    <w:rsid w:val="00DB758C"/>
    <w:rsid w:val="00DB7631"/>
    <w:rsid w:val="00DB7645"/>
    <w:rsid w:val="00DB7676"/>
    <w:rsid w:val="00DB7680"/>
    <w:rsid w:val="00DB76C1"/>
    <w:rsid w:val="00DB774C"/>
    <w:rsid w:val="00DB77BC"/>
    <w:rsid w:val="00DB782E"/>
    <w:rsid w:val="00DB7871"/>
    <w:rsid w:val="00DB78D1"/>
    <w:rsid w:val="00DB78F5"/>
    <w:rsid w:val="00DB7910"/>
    <w:rsid w:val="00DB7913"/>
    <w:rsid w:val="00DB79BC"/>
    <w:rsid w:val="00DB79F0"/>
    <w:rsid w:val="00DB7A07"/>
    <w:rsid w:val="00DB7A10"/>
    <w:rsid w:val="00DB7A2A"/>
    <w:rsid w:val="00DB7A6A"/>
    <w:rsid w:val="00DB7AA7"/>
    <w:rsid w:val="00DB7B0F"/>
    <w:rsid w:val="00DB7B16"/>
    <w:rsid w:val="00DB7B3D"/>
    <w:rsid w:val="00DB7B6F"/>
    <w:rsid w:val="00DB7B83"/>
    <w:rsid w:val="00DB7B89"/>
    <w:rsid w:val="00DB7C48"/>
    <w:rsid w:val="00DB7CC9"/>
    <w:rsid w:val="00DB7CCA"/>
    <w:rsid w:val="00DB7D0B"/>
    <w:rsid w:val="00DB7D37"/>
    <w:rsid w:val="00DB7D74"/>
    <w:rsid w:val="00DB7E49"/>
    <w:rsid w:val="00DB7E4B"/>
    <w:rsid w:val="00DB7EA0"/>
    <w:rsid w:val="00DB7FEB"/>
    <w:rsid w:val="00DC0019"/>
    <w:rsid w:val="00DC001C"/>
    <w:rsid w:val="00DC00B8"/>
    <w:rsid w:val="00DC00DA"/>
    <w:rsid w:val="00DC00E2"/>
    <w:rsid w:val="00DC0100"/>
    <w:rsid w:val="00DC0180"/>
    <w:rsid w:val="00DC01C1"/>
    <w:rsid w:val="00DC01E3"/>
    <w:rsid w:val="00DC0219"/>
    <w:rsid w:val="00DC027C"/>
    <w:rsid w:val="00DC0284"/>
    <w:rsid w:val="00DC028B"/>
    <w:rsid w:val="00DC02FF"/>
    <w:rsid w:val="00DC031A"/>
    <w:rsid w:val="00DC033E"/>
    <w:rsid w:val="00DC0368"/>
    <w:rsid w:val="00DC03AD"/>
    <w:rsid w:val="00DC03C7"/>
    <w:rsid w:val="00DC043C"/>
    <w:rsid w:val="00DC04B5"/>
    <w:rsid w:val="00DC04DE"/>
    <w:rsid w:val="00DC05CF"/>
    <w:rsid w:val="00DC05ED"/>
    <w:rsid w:val="00DC0663"/>
    <w:rsid w:val="00DC068B"/>
    <w:rsid w:val="00DC072A"/>
    <w:rsid w:val="00DC077F"/>
    <w:rsid w:val="00DC07A7"/>
    <w:rsid w:val="00DC087C"/>
    <w:rsid w:val="00DC0886"/>
    <w:rsid w:val="00DC08DB"/>
    <w:rsid w:val="00DC0966"/>
    <w:rsid w:val="00DC099D"/>
    <w:rsid w:val="00DC09AC"/>
    <w:rsid w:val="00DC0A61"/>
    <w:rsid w:val="00DC0AB9"/>
    <w:rsid w:val="00DC0BC6"/>
    <w:rsid w:val="00DC0BFF"/>
    <w:rsid w:val="00DC0C37"/>
    <w:rsid w:val="00DC0C69"/>
    <w:rsid w:val="00DC0CEA"/>
    <w:rsid w:val="00DC0D34"/>
    <w:rsid w:val="00DC0D51"/>
    <w:rsid w:val="00DC0D5C"/>
    <w:rsid w:val="00DC0D6B"/>
    <w:rsid w:val="00DC0DE9"/>
    <w:rsid w:val="00DC0E61"/>
    <w:rsid w:val="00DC0E98"/>
    <w:rsid w:val="00DC0EBC"/>
    <w:rsid w:val="00DC0F0E"/>
    <w:rsid w:val="00DC0F37"/>
    <w:rsid w:val="00DC0F41"/>
    <w:rsid w:val="00DC0FD7"/>
    <w:rsid w:val="00DC1041"/>
    <w:rsid w:val="00DC107B"/>
    <w:rsid w:val="00DC1081"/>
    <w:rsid w:val="00DC1085"/>
    <w:rsid w:val="00DC10CA"/>
    <w:rsid w:val="00DC1111"/>
    <w:rsid w:val="00DC1230"/>
    <w:rsid w:val="00DC125E"/>
    <w:rsid w:val="00DC12D0"/>
    <w:rsid w:val="00DC12E1"/>
    <w:rsid w:val="00DC12F7"/>
    <w:rsid w:val="00DC1383"/>
    <w:rsid w:val="00DC13C4"/>
    <w:rsid w:val="00DC13DB"/>
    <w:rsid w:val="00DC1486"/>
    <w:rsid w:val="00DC14A4"/>
    <w:rsid w:val="00DC15A1"/>
    <w:rsid w:val="00DC15B8"/>
    <w:rsid w:val="00DC16BF"/>
    <w:rsid w:val="00DC16F3"/>
    <w:rsid w:val="00DC1789"/>
    <w:rsid w:val="00DC1797"/>
    <w:rsid w:val="00DC17D3"/>
    <w:rsid w:val="00DC17E1"/>
    <w:rsid w:val="00DC17E3"/>
    <w:rsid w:val="00DC17EA"/>
    <w:rsid w:val="00DC1810"/>
    <w:rsid w:val="00DC1859"/>
    <w:rsid w:val="00DC1871"/>
    <w:rsid w:val="00DC18F8"/>
    <w:rsid w:val="00DC1912"/>
    <w:rsid w:val="00DC191E"/>
    <w:rsid w:val="00DC194A"/>
    <w:rsid w:val="00DC197E"/>
    <w:rsid w:val="00DC19BF"/>
    <w:rsid w:val="00DC1A0A"/>
    <w:rsid w:val="00DC1A5D"/>
    <w:rsid w:val="00DC1A70"/>
    <w:rsid w:val="00DC1A74"/>
    <w:rsid w:val="00DC1A7B"/>
    <w:rsid w:val="00DC1ADB"/>
    <w:rsid w:val="00DC1AED"/>
    <w:rsid w:val="00DC1AF0"/>
    <w:rsid w:val="00DC1B24"/>
    <w:rsid w:val="00DC1B2D"/>
    <w:rsid w:val="00DC1B61"/>
    <w:rsid w:val="00DC1C35"/>
    <w:rsid w:val="00DC1C8E"/>
    <w:rsid w:val="00DC1DC2"/>
    <w:rsid w:val="00DC1DEE"/>
    <w:rsid w:val="00DC1E03"/>
    <w:rsid w:val="00DC1F11"/>
    <w:rsid w:val="00DC1F1E"/>
    <w:rsid w:val="00DC1F27"/>
    <w:rsid w:val="00DC1F69"/>
    <w:rsid w:val="00DC1FB4"/>
    <w:rsid w:val="00DC20DA"/>
    <w:rsid w:val="00DC20FC"/>
    <w:rsid w:val="00DC2126"/>
    <w:rsid w:val="00DC2144"/>
    <w:rsid w:val="00DC2155"/>
    <w:rsid w:val="00DC215B"/>
    <w:rsid w:val="00DC21E1"/>
    <w:rsid w:val="00DC21F7"/>
    <w:rsid w:val="00DC220D"/>
    <w:rsid w:val="00DC2213"/>
    <w:rsid w:val="00DC2216"/>
    <w:rsid w:val="00DC2221"/>
    <w:rsid w:val="00DC2268"/>
    <w:rsid w:val="00DC22CA"/>
    <w:rsid w:val="00DC22F7"/>
    <w:rsid w:val="00DC2341"/>
    <w:rsid w:val="00DC235A"/>
    <w:rsid w:val="00DC2395"/>
    <w:rsid w:val="00DC23A0"/>
    <w:rsid w:val="00DC23E1"/>
    <w:rsid w:val="00DC2401"/>
    <w:rsid w:val="00DC2437"/>
    <w:rsid w:val="00DC248B"/>
    <w:rsid w:val="00DC24A9"/>
    <w:rsid w:val="00DC24B9"/>
    <w:rsid w:val="00DC24C4"/>
    <w:rsid w:val="00DC24EC"/>
    <w:rsid w:val="00DC256E"/>
    <w:rsid w:val="00DC258C"/>
    <w:rsid w:val="00DC2594"/>
    <w:rsid w:val="00DC25B4"/>
    <w:rsid w:val="00DC25ED"/>
    <w:rsid w:val="00DC2656"/>
    <w:rsid w:val="00DC2763"/>
    <w:rsid w:val="00DC27B5"/>
    <w:rsid w:val="00DC27E6"/>
    <w:rsid w:val="00DC27E7"/>
    <w:rsid w:val="00DC2857"/>
    <w:rsid w:val="00DC28D7"/>
    <w:rsid w:val="00DC2951"/>
    <w:rsid w:val="00DC2988"/>
    <w:rsid w:val="00DC2A15"/>
    <w:rsid w:val="00DC2A2E"/>
    <w:rsid w:val="00DC2A31"/>
    <w:rsid w:val="00DC2A42"/>
    <w:rsid w:val="00DC2AAE"/>
    <w:rsid w:val="00DC2ADD"/>
    <w:rsid w:val="00DC2AF6"/>
    <w:rsid w:val="00DC2B00"/>
    <w:rsid w:val="00DC2B40"/>
    <w:rsid w:val="00DC2B5C"/>
    <w:rsid w:val="00DC2BEF"/>
    <w:rsid w:val="00DC2C35"/>
    <w:rsid w:val="00DC2C6E"/>
    <w:rsid w:val="00DC2D19"/>
    <w:rsid w:val="00DC2E35"/>
    <w:rsid w:val="00DC2E42"/>
    <w:rsid w:val="00DC2ED4"/>
    <w:rsid w:val="00DC2EF3"/>
    <w:rsid w:val="00DC2F01"/>
    <w:rsid w:val="00DC2FC0"/>
    <w:rsid w:val="00DC3002"/>
    <w:rsid w:val="00DC3036"/>
    <w:rsid w:val="00DC3048"/>
    <w:rsid w:val="00DC3067"/>
    <w:rsid w:val="00DC30C2"/>
    <w:rsid w:val="00DC31AD"/>
    <w:rsid w:val="00DC327B"/>
    <w:rsid w:val="00DC32A0"/>
    <w:rsid w:val="00DC32C8"/>
    <w:rsid w:val="00DC330E"/>
    <w:rsid w:val="00DC3376"/>
    <w:rsid w:val="00DC33E8"/>
    <w:rsid w:val="00DC34A2"/>
    <w:rsid w:val="00DC352F"/>
    <w:rsid w:val="00DC3560"/>
    <w:rsid w:val="00DC35E0"/>
    <w:rsid w:val="00DC35FF"/>
    <w:rsid w:val="00DC3640"/>
    <w:rsid w:val="00DC365E"/>
    <w:rsid w:val="00DC36BB"/>
    <w:rsid w:val="00DC36F8"/>
    <w:rsid w:val="00DC36FC"/>
    <w:rsid w:val="00DC37A2"/>
    <w:rsid w:val="00DC37D2"/>
    <w:rsid w:val="00DC37D5"/>
    <w:rsid w:val="00DC37E2"/>
    <w:rsid w:val="00DC384A"/>
    <w:rsid w:val="00DC384E"/>
    <w:rsid w:val="00DC38A6"/>
    <w:rsid w:val="00DC3911"/>
    <w:rsid w:val="00DC3962"/>
    <w:rsid w:val="00DC3964"/>
    <w:rsid w:val="00DC3A8C"/>
    <w:rsid w:val="00DC3AB2"/>
    <w:rsid w:val="00DC3B31"/>
    <w:rsid w:val="00DC3CC6"/>
    <w:rsid w:val="00DC3CDA"/>
    <w:rsid w:val="00DC3CE7"/>
    <w:rsid w:val="00DC3DA4"/>
    <w:rsid w:val="00DC3E2D"/>
    <w:rsid w:val="00DC3E3E"/>
    <w:rsid w:val="00DC3E3F"/>
    <w:rsid w:val="00DC3E40"/>
    <w:rsid w:val="00DC3E76"/>
    <w:rsid w:val="00DC3E88"/>
    <w:rsid w:val="00DC3EBE"/>
    <w:rsid w:val="00DC3ECE"/>
    <w:rsid w:val="00DC3F28"/>
    <w:rsid w:val="00DC3F83"/>
    <w:rsid w:val="00DC410C"/>
    <w:rsid w:val="00DC4140"/>
    <w:rsid w:val="00DC4154"/>
    <w:rsid w:val="00DC4160"/>
    <w:rsid w:val="00DC417D"/>
    <w:rsid w:val="00DC418F"/>
    <w:rsid w:val="00DC41EC"/>
    <w:rsid w:val="00DC41F3"/>
    <w:rsid w:val="00DC421D"/>
    <w:rsid w:val="00DC42F3"/>
    <w:rsid w:val="00DC4336"/>
    <w:rsid w:val="00DC4340"/>
    <w:rsid w:val="00DC4494"/>
    <w:rsid w:val="00DC456E"/>
    <w:rsid w:val="00DC45B1"/>
    <w:rsid w:val="00DC45EA"/>
    <w:rsid w:val="00DC4618"/>
    <w:rsid w:val="00DC464E"/>
    <w:rsid w:val="00DC46A8"/>
    <w:rsid w:val="00DC46E4"/>
    <w:rsid w:val="00DC4711"/>
    <w:rsid w:val="00DC4732"/>
    <w:rsid w:val="00DC4734"/>
    <w:rsid w:val="00DC4763"/>
    <w:rsid w:val="00DC4769"/>
    <w:rsid w:val="00DC4772"/>
    <w:rsid w:val="00DC478E"/>
    <w:rsid w:val="00DC481A"/>
    <w:rsid w:val="00DC482D"/>
    <w:rsid w:val="00DC482E"/>
    <w:rsid w:val="00DC483B"/>
    <w:rsid w:val="00DC4871"/>
    <w:rsid w:val="00DC4872"/>
    <w:rsid w:val="00DC4890"/>
    <w:rsid w:val="00DC48A4"/>
    <w:rsid w:val="00DC491B"/>
    <w:rsid w:val="00DC4932"/>
    <w:rsid w:val="00DC4934"/>
    <w:rsid w:val="00DC494D"/>
    <w:rsid w:val="00DC495A"/>
    <w:rsid w:val="00DC497F"/>
    <w:rsid w:val="00DC4991"/>
    <w:rsid w:val="00DC4999"/>
    <w:rsid w:val="00DC49EF"/>
    <w:rsid w:val="00DC4A0E"/>
    <w:rsid w:val="00DC4A14"/>
    <w:rsid w:val="00DC4A37"/>
    <w:rsid w:val="00DC4A59"/>
    <w:rsid w:val="00DC4A89"/>
    <w:rsid w:val="00DC4AB2"/>
    <w:rsid w:val="00DC4AF1"/>
    <w:rsid w:val="00DC4B1A"/>
    <w:rsid w:val="00DC4B24"/>
    <w:rsid w:val="00DC4B2A"/>
    <w:rsid w:val="00DC4B91"/>
    <w:rsid w:val="00DC4B99"/>
    <w:rsid w:val="00DC4C09"/>
    <w:rsid w:val="00DC4C34"/>
    <w:rsid w:val="00DC4C4B"/>
    <w:rsid w:val="00DC4C4E"/>
    <w:rsid w:val="00DC4CB3"/>
    <w:rsid w:val="00DC4D87"/>
    <w:rsid w:val="00DC4E30"/>
    <w:rsid w:val="00DC4E92"/>
    <w:rsid w:val="00DC4F4C"/>
    <w:rsid w:val="00DC4F5E"/>
    <w:rsid w:val="00DC4F85"/>
    <w:rsid w:val="00DC4FA0"/>
    <w:rsid w:val="00DC4FBD"/>
    <w:rsid w:val="00DC500E"/>
    <w:rsid w:val="00DC5019"/>
    <w:rsid w:val="00DC50DE"/>
    <w:rsid w:val="00DC50FB"/>
    <w:rsid w:val="00DC510D"/>
    <w:rsid w:val="00DC51B1"/>
    <w:rsid w:val="00DC51B9"/>
    <w:rsid w:val="00DC51C4"/>
    <w:rsid w:val="00DC5239"/>
    <w:rsid w:val="00DC523B"/>
    <w:rsid w:val="00DC5289"/>
    <w:rsid w:val="00DC5296"/>
    <w:rsid w:val="00DC52AE"/>
    <w:rsid w:val="00DC52CF"/>
    <w:rsid w:val="00DC52DE"/>
    <w:rsid w:val="00DC53DF"/>
    <w:rsid w:val="00DC5468"/>
    <w:rsid w:val="00DC54DF"/>
    <w:rsid w:val="00DC55BA"/>
    <w:rsid w:val="00DC564A"/>
    <w:rsid w:val="00DC56D1"/>
    <w:rsid w:val="00DC5729"/>
    <w:rsid w:val="00DC574B"/>
    <w:rsid w:val="00DC5778"/>
    <w:rsid w:val="00DC57CA"/>
    <w:rsid w:val="00DC57E7"/>
    <w:rsid w:val="00DC5846"/>
    <w:rsid w:val="00DC5874"/>
    <w:rsid w:val="00DC58B1"/>
    <w:rsid w:val="00DC58B8"/>
    <w:rsid w:val="00DC58D9"/>
    <w:rsid w:val="00DC590A"/>
    <w:rsid w:val="00DC592B"/>
    <w:rsid w:val="00DC5932"/>
    <w:rsid w:val="00DC59CE"/>
    <w:rsid w:val="00DC59EF"/>
    <w:rsid w:val="00DC5A36"/>
    <w:rsid w:val="00DC5A46"/>
    <w:rsid w:val="00DC5A67"/>
    <w:rsid w:val="00DC5AC1"/>
    <w:rsid w:val="00DC5B1C"/>
    <w:rsid w:val="00DC5B4C"/>
    <w:rsid w:val="00DC5B83"/>
    <w:rsid w:val="00DC5B85"/>
    <w:rsid w:val="00DC5B86"/>
    <w:rsid w:val="00DC5BCB"/>
    <w:rsid w:val="00DC5BE1"/>
    <w:rsid w:val="00DC5C43"/>
    <w:rsid w:val="00DC5C76"/>
    <w:rsid w:val="00DC5D42"/>
    <w:rsid w:val="00DC5D43"/>
    <w:rsid w:val="00DC5EB7"/>
    <w:rsid w:val="00DC5F63"/>
    <w:rsid w:val="00DC5F75"/>
    <w:rsid w:val="00DC5FB7"/>
    <w:rsid w:val="00DC6029"/>
    <w:rsid w:val="00DC604C"/>
    <w:rsid w:val="00DC605E"/>
    <w:rsid w:val="00DC606C"/>
    <w:rsid w:val="00DC60A3"/>
    <w:rsid w:val="00DC60B4"/>
    <w:rsid w:val="00DC6127"/>
    <w:rsid w:val="00DC6135"/>
    <w:rsid w:val="00DC61F8"/>
    <w:rsid w:val="00DC623D"/>
    <w:rsid w:val="00DC624A"/>
    <w:rsid w:val="00DC6288"/>
    <w:rsid w:val="00DC62B4"/>
    <w:rsid w:val="00DC62EB"/>
    <w:rsid w:val="00DC6313"/>
    <w:rsid w:val="00DC6330"/>
    <w:rsid w:val="00DC6333"/>
    <w:rsid w:val="00DC6340"/>
    <w:rsid w:val="00DC638C"/>
    <w:rsid w:val="00DC6401"/>
    <w:rsid w:val="00DC641D"/>
    <w:rsid w:val="00DC6467"/>
    <w:rsid w:val="00DC647E"/>
    <w:rsid w:val="00DC64FF"/>
    <w:rsid w:val="00DC6516"/>
    <w:rsid w:val="00DC6537"/>
    <w:rsid w:val="00DC654B"/>
    <w:rsid w:val="00DC65A5"/>
    <w:rsid w:val="00DC65A7"/>
    <w:rsid w:val="00DC660B"/>
    <w:rsid w:val="00DC661B"/>
    <w:rsid w:val="00DC6625"/>
    <w:rsid w:val="00DC66C3"/>
    <w:rsid w:val="00DC66F8"/>
    <w:rsid w:val="00DC6756"/>
    <w:rsid w:val="00DC6790"/>
    <w:rsid w:val="00DC67A5"/>
    <w:rsid w:val="00DC67C1"/>
    <w:rsid w:val="00DC6808"/>
    <w:rsid w:val="00DC685D"/>
    <w:rsid w:val="00DC68CA"/>
    <w:rsid w:val="00DC68FA"/>
    <w:rsid w:val="00DC6A1B"/>
    <w:rsid w:val="00DC6A4E"/>
    <w:rsid w:val="00DC6B2A"/>
    <w:rsid w:val="00DC6B2C"/>
    <w:rsid w:val="00DC6B4C"/>
    <w:rsid w:val="00DC6B65"/>
    <w:rsid w:val="00DC6B71"/>
    <w:rsid w:val="00DC6B9D"/>
    <w:rsid w:val="00DC6BA8"/>
    <w:rsid w:val="00DC6BDE"/>
    <w:rsid w:val="00DC6C1F"/>
    <w:rsid w:val="00DC6C26"/>
    <w:rsid w:val="00DC6C46"/>
    <w:rsid w:val="00DC6C64"/>
    <w:rsid w:val="00DC6CCD"/>
    <w:rsid w:val="00DC6D5E"/>
    <w:rsid w:val="00DC6D61"/>
    <w:rsid w:val="00DC6D8B"/>
    <w:rsid w:val="00DC6E4D"/>
    <w:rsid w:val="00DC6EC3"/>
    <w:rsid w:val="00DC6F1F"/>
    <w:rsid w:val="00DC7036"/>
    <w:rsid w:val="00DC7043"/>
    <w:rsid w:val="00DC7068"/>
    <w:rsid w:val="00DC709B"/>
    <w:rsid w:val="00DC70BF"/>
    <w:rsid w:val="00DC710C"/>
    <w:rsid w:val="00DC710D"/>
    <w:rsid w:val="00DC713A"/>
    <w:rsid w:val="00DC718A"/>
    <w:rsid w:val="00DC7198"/>
    <w:rsid w:val="00DC719C"/>
    <w:rsid w:val="00DC7211"/>
    <w:rsid w:val="00DC7236"/>
    <w:rsid w:val="00DC738F"/>
    <w:rsid w:val="00DC73B1"/>
    <w:rsid w:val="00DC7478"/>
    <w:rsid w:val="00DC7493"/>
    <w:rsid w:val="00DC7521"/>
    <w:rsid w:val="00DC752E"/>
    <w:rsid w:val="00DC755D"/>
    <w:rsid w:val="00DC756C"/>
    <w:rsid w:val="00DC758F"/>
    <w:rsid w:val="00DC75DC"/>
    <w:rsid w:val="00DC763C"/>
    <w:rsid w:val="00DC7664"/>
    <w:rsid w:val="00DC76DB"/>
    <w:rsid w:val="00DC76EB"/>
    <w:rsid w:val="00DC76FA"/>
    <w:rsid w:val="00DC772C"/>
    <w:rsid w:val="00DC7769"/>
    <w:rsid w:val="00DC7827"/>
    <w:rsid w:val="00DC7837"/>
    <w:rsid w:val="00DC7842"/>
    <w:rsid w:val="00DC785A"/>
    <w:rsid w:val="00DC787B"/>
    <w:rsid w:val="00DC78F2"/>
    <w:rsid w:val="00DC78FF"/>
    <w:rsid w:val="00DC790A"/>
    <w:rsid w:val="00DC793A"/>
    <w:rsid w:val="00DC7AA9"/>
    <w:rsid w:val="00DC7ADD"/>
    <w:rsid w:val="00DC7B2C"/>
    <w:rsid w:val="00DC7B42"/>
    <w:rsid w:val="00DC7B62"/>
    <w:rsid w:val="00DC7B71"/>
    <w:rsid w:val="00DC7B9E"/>
    <w:rsid w:val="00DC7BD7"/>
    <w:rsid w:val="00DC7CE8"/>
    <w:rsid w:val="00DC7D3C"/>
    <w:rsid w:val="00DC7D5E"/>
    <w:rsid w:val="00DC7D78"/>
    <w:rsid w:val="00DC7DAB"/>
    <w:rsid w:val="00DC7DB4"/>
    <w:rsid w:val="00DC7E2D"/>
    <w:rsid w:val="00DC7E4E"/>
    <w:rsid w:val="00DC7EAF"/>
    <w:rsid w:val="00DC7F6F"/>
    <w:rsid w:val="00DC7F84"/>
    <w:rsid w:val="00DD0028"/>
    <w:rsid w:val="00DD00D0"/>
    <w:rsid w:val="00DD0158"/>
    <w:rsid w:val="00DD016D"/>
    <w:rsid w:val="00DD019C"/>
    <w:rsid w:val="00DD01CC"/>
    <w:rsid w:val="00DD01E6"/>
    <w:rsid w:val="00DD01E9"/>
    <w:rsid w:val="00DD021A"/>
    <w:rsid w:val="00DD023A"/>
    <w:rsid w:val="00DD0262"/>
    <w:rsid w:val="00DD029D"/>
    <w:rsid w:val="00DD02BA"/>
    <w:rsid w:val="00DD02E6"/>
    <w:rsid w:val="00DD031A"/>
    <w:rsid w:val="00DD0353"/>
    <w:rsid w:val="00DD036B"/>
    <w:rsid w:val="00DD039A"/>
    <w:rsid w:val="00DD03E0"/>
    <w:rsid w:val="00DD0469"/>
    <w:rsid w:val="00DD0478"/>
    <w:rsid w:val="00DD04C6"/>
    <w:rsid w:val="00DD04D8"/>
    <w:rsid w:val="00DD054A"/>
    <w:rsid w:val="00DD0590"/>
    <w:rsid w:val="00DD05A3"/>
    <w:rsid w:val="00DD05A9"/>
    <w:rsid w:val="00DD05DA"/>
    <w:rsid w:val="00DD061C"/>
    <w:rsid w:val="00DD0624"/>
    <w:rsid w:val="00DD066F"/>
    <w:rsid w:val="00DD069F"/>
    <w:rsid w:val="00DD06A6"/>
    <w:rsid w:val="00DD06A8"/>
    <w:rsid w:val="00DD06E2"/>
    <w:rsid w:val="00DD072C"/>
    <w:rsid w:val="00DD07D8"/>
    <w:rsid w:val="00DD07F5"/>
    <w:rsid w:val="00DD0898"/>
    <w:rsid w:val="00DD09FF"/>
    <w:rsid w:val="00DD0A39"/>
    <w:rsid w:val="00DD0A50"/>
    <w:rsid w:val="00DD0A65"/>
    <w:rsid w:val="00DD0AD9"/>
    <w:rsid w:val="00DD0AE3"/>
    <w:rsid w:val="00DD0B0A"/>
    <w:rsid w:val="00DD0B1D"/>
    <w:rsid w:val="00DD0B62"/>
    <w:rsid w:val="00DD0BA0"/>
    <w:rsid w:val="00DD0C37"/>
    <w:rsid w:val="00DD0CA6"/>
    <w:rsid w:val="00DD0D8C"/>
    <w:rsid w:val="00DD0E3C"/>
    <w:rsid w:val="00DD0E61"/>
    <w:rsid w:val="00DD0E8E"/>
    <w:rsid w:val="00DD0EF6"/>
    <w:rsid w:val="00DD0F0C"/>
    <w:rsid w:val="00DD0F0F"/>
    <w:rsid w:val="00DD0F3D"/>
    <w:rsid w:val="00DD0F58"/>
    <w:rsid w:val="00DD0F90"/>
    <w:rsid w:val="00DD0FC8"/>
    <w:rsid w:val="00DD1020"/>
    <w:rsid w:val="00DD1041"/>
    <w:rsid w:val="00DD1052"/>
    <w:rsid w:val="00DD1055"/>
    <w:rsid w:val="00DD1065"/>
    <w:rsid w:val="00DD1071"/>
    <w:rsid w:val="00DD1078"/>
    <w:rsid w:val="00DD107C"/>
    <w:rsid w:val="00DD10AC"/>
    <w:rsid w:val="00DD1125"/>
    <w:rsid w:val="00DD11EB"/>
    <w:rsid w:val="00DD121F"/>
    <w:rsid w:val="00DD122A"/>
    <w:rsid w:val="00DD125B"/>
    <w:rsid w:val="00DD12A8"/>
    <w:rsid w:val="00DD12EB"/>
    <w:rsid w:val="00DD1368"/>
    <w:rsid w:val="00DD1394"/>
    <w:rsid w:val="00DD13DB"/>
    <w:rsid w:val="00DD145E"/>
    <w:rsid w:val="00DD1489"/>
    <w:rsid w:val="00DD1519"/>
    <w:rsid w:val="00DD15FB"/>
    <w:rsid w:val="00DD16ED"/>
    <w:rsid w:val="00DD17BA"/>
    <w:rsid w:val="00DD17EC"/>
    <w:rsid w:val="00DD1809"/>
    <w:rsid w:val="00DD1835"/>
    <w:rsid w:val="00DD185A"/>
    <w:rsid w:val="00DD1911"/>
    <w:rsid w:val="00DD1930"/>
    <w:rsid w:val="00DD195D"/>
    <w:rsid w:val="00DD19B2"/>
    <w:rsid w:val="00DD19DB"/>
    <w:rsid w:val="00DD1A1D"/>
    <w:rsid w:val="00DD1A65"/>
    <w:rsid w:val="00DD1AC6"/>
    <w:rsid w:val="00DD1B00"/>
    <w:rsid w:val="00DD1B20"/>
    <w:rsid w:val="00DD1B26"/>
    <w:rsid w:val="00DD1BA3"/>
    <w:rsid w:val="00DD1BAF"/>
    <w:rsid w:val="00DD1C0A"/>
    <w:rsid w:val="00DD1C10"/>
    <w:rsid w:val="00DD1C61"/>
    <w:rsid w:val="00DD1CAF"/>
    <w:rsid w:val="00DD1D0A"/>
    <w:rsid w:val="00DD1D15"/>
    <w:rsid w:val="00DD1D1A"/>
    <w:rsid w:val="00DD1D41"/>
    <w:rsid w:val="00DD1D61"/>
    <w:rsid w:val="00DD1D8C"/>
    <w:rsid w:val="00DD1DCA"/>
    <w:rsid w:val="00DD1DDF"/>
    <w:rsid w:val="00DD1E07"/>
    <w:rsid w:val="00DD1E1D"/>
    <w:rsid w:val="00DD1E2F"/>
    <w:rsid w:val="00DD1E3B"/>
    <w:rsid w:val="00DD1E53"/>
    <w:rsid w:val="00DD1EAD"/>
    <w:rsid w:val="00DD1F27"/>
    <w:rsid w:val="00DD1F30"/>
    <w:rsid w:val="00DD1F32"/>
    <w:rsid w:val="00DD1F41"/>
    <w:rsid w:val="00DD1F53"/>
    <w:rsid w:val="00DD1FB6"/>
    <w:rsid w:val="00DD205D"/>
    <w:rsid w:val="00DD2087"/>
    <w:rsid w:val="00DD2117"/>
    <w:rsid w:val="00DD2129"/>
    <w:rsid w:val="00DD2138"/>
    <w:rsid w:val="00DD2140"/>
    <w:rsid w:val="00DD2180"/>
    <w:rsid w:val="00DD21A6"/>
    <w:rsid w:val="00DD2252"/>
    <w:rsid w:val="00DD230B"/>
    <w:rsid w:val="00DD231E"/>
    <w:rsid w:val="00DD23F8"/>
    <w:rsid w:val="00DD242C"/>
    <w:rsid w:val="00DD2488"/>
    <w:rsid w:val="00DD24BB"/>
    <w:rsid w:val="00DD262E"/>
    <w:rsid w:val="00DD269E"/>
    <w:rsid w:val="00DD26BC"/>
    <w:rsid w:val="00DD26D3"/>
    <w:rsid w:val="00DD2752"/>
    <w:rsid w:val="00DD2818"/>
    <w:rsid w:val="00DD28A0"/>
    <w:rsid w:val="00DD28BC"/>
    <w:rsid w:val="00DD28FC"/>
    <w:rsid w:val="00DD2925"/>
    <w:rsid w:val="00DD2966"/>
    <w:rsid w:val="00DD29A8"/>
    <w:rsid w:val="00DD29BB"/>
    <w:rsid w:val="00DD2BC4"/>
    <w:rsid w:val="00DD2C06"/>
    <w:rsid w:val="00DD2C2C"/>
    <w:rsid w:val="00DD2CA9"/>
    <w:rsid w:val="00DD2CD7"/>
    <w:rsid w:val="00DD2CEE"/>
    <w:rsid w:val="00DD2CF5"/>
    <w:rsid w:val="00DD2D7D"/>
    <w:rsid w:val="00DD2DEB"/>
    <w:rsid w:val="00DD2E70"/>
    <w:rsid w:val="00DD2E7B"/>
    <w:rsid w:val="00DD2E9A"/>
    <w:rsid w:val="00DD2F3C"/>
    <w:rsid w:val="00DD2F70"/>
    <w:rsid w:val="00DD2F72"/>
    <w:rsid w:val="00DD2F7A"/>
    <w:rsid w:val="00DD2FB6"/>
    <w:rsid w:val="00DD2FBD"/>
    <w:rsid w:val="00DD2FC5"/>
    <w:rsid w:val="00DD2FD4"/>
    <w:rsid w:val="00DD300B"/>
    <w:rsid w:val="00DD3015"/>
    <w:rsid w:val="00DD311F"/>
    <w:rsid w:val="00DD31C0"/>
    <w:rsid w:val="00DD31F3"/>
    <w:rsid w:val="00DD3297"/>
    <w:rsid w:val="00DD332C"/>
    <w:rsid w:val="00DD336A"/>
    <w:rsid w:val="00DD339A"/>
    <w:rsid w:val="00DD33A9"/>
    <w:rsid w:val="00DD3466"/>
    <w:rsid w:val="00DD34D6"/>
    <w:rsid w:val="00DD34F2"/>
    <w:rsid w:val="00DD3507"/>
    <w:rsid w:val="00DD360D"/>
    <w:rsid w:val="00DD362B"/>
    <w:rsid w:val="00DD366A"/>
    <w:rsid w:val="00DD3685"/>
    <w:rsid w:val="00DD38B9"/>
    <w:rsid w:val="00DD38BF"/>
    <w:rsid w:val="00DD393C"/>
    <w:rsid w:val="00DD399D"/>
    <w:rsid w:val="00DD39BD"/>
    <w:rsid w:val="00DD3A24"/>
    <w:rsid w:val="00DD3A2E"/>
    <w:rsid w:val="00DD3A33"/>
    <w:rsid w:val="00DD3B84"/>
    <w:rsid w:val="00DD3BA0"/>
    <w:rsid w:val="00DD3BDD"/>
    <w:rsid w:val="00DD3BE3"/>
    <w:rsid w:val="00DD3C23"/>
    <w:rsid w:val="00DD3C38"/>
    <w:rsid w:val="00DD3C54"/>
    <w:rsid w:val="00DD3C75"/>
    <w:rsid w:val="00DD3D8D"/>
    <w:rsid w:val="00DD3E76"/>
    <w:rsid w:val="00DD3EAF"/>
    <w:rsid w:val="00DD3F05"/>
    <w:rsid w:val="00DD3F8E"/>
    <w:rsid w:val="00DD3FAF"/>
    <w:rsid w:val="00DD4006"/>
    <w:rsid w:val="00DD400E"/>
    <w:rsid w:val="00DD4014"/>
    <w:rsid w:val="00DD4022"/>
    <w:rsid w:val="00DD40CC"/>
    <w:rsid w:val="00DD4186"/>
    <w:rsid w:val="00DD418C"/>
    <w:rsid w:val="00DD41F4"/>
    <w:rsid w:val="00DD4224"/>
    <w:rsid w:val="00DD4229"/>
    <w:rsid w:val="00DD4251"/>
    <w:rsid w:val="00DD42D8"/>
    <w:rsid w:val="00DD430D"/>
    <w:rsid w:val="00DD4352"/>
    <w:rsid w:val="00DD437E"/>
    <w:rsid w:val="00DD43B7"/>
    <w:rsid w:val="00DD4466"/>
    <w:rsid w:val="00DD449C"/>
    <w:rsid w:val="00DD44DD"/>
    <w:rsid w:val="00DD4563"/>
    <w:rsid w:val="00DD4578"/>
    <w:rsid w:val="00DD4678"/>
    <w:rsid w:val="00DD46B6"/>
    <w:rsid w:val="00DD46D5"/>
    <w:rsid w:val="00DD46F2"/>
    <w:rsid w:val="00DD4785"/>
    <w:rsid w:val="00DD47EF"/>
    <w:rsid w:val="00DD483F"/>
    <w:rsid w:val="00DD487A"/>
    <w:rsid w:val="00DD48A5"/>
    <w:rsid w:val="00DD49ED"/>
    <w:rsid w:val="00DD4A69"/>
    <w:rsid w:val="00DD4A7C"/>
    <w:rsid w:val="00DD4A89"/>
    <w:rsid w:val="00DD4AE7"/>
    <w:rsid w:val="00DD4AE8"/>
    <w:rsid w:val="00DD4B17"/>
    <w:rsid w:val="00DD4C1F"/>
    <w:rsid w:val="00DD4C5A"/>
    <w:rsid w:val="00DD4C65"/>
    <w:rsid w:val="00DD4C6B"/>
    <w:rsid w:val="00DD4C88"/>
    <w:rsid w:val="00DD4CA1"/>
    <w:rsid w:val="00DD4D13"/>
    <w:rsid w:val="00DD4DB4"/>
    <w:rsid w:val="00DD4DCA"/>
    <w:rsid w:val="00DD4E34"/>
    <w:rsid w:val="00DD4E46"/>
    <w:rsid w:val="00DD4F4D"/>
    <w:rsid w:val="00DD4F9A"/>
    <w:rsid w:val="00DD4FC7"/>
    <w:rsid w:val="00DD5015"/>
    <w:rsid w:val="00DD5031"/>
    <w:rsid w:val="00DD5065"/>
    <w:rsid w:val="00DD5067"/>
    <w:rsid w:val="00DD515F"/>
    <w:rsid w:val="00DD51AE"/>
    <w:rsid w:val="00DD5225"/>
    <w:rsid w:val="00DD527F"/>
    <w:rsid w:val="00DD5294"/>
    <w:rsid w:val="00DD529D"/>
    <w:rsid w:val="00DD52A9"/>
    <w:rsid w:val="00DD5335"/>
    <w:rsid w:val="00DD5363"/>
    <w:rsid w:val="00DD538C"/>
    <w:rsid w:val="00DD541E"/>
    <w:rsid w:val="00DD54AB"/>
    <w:rsid w:val="00DD54B6"/>
    <w:rsid w:val="00DD54C6"/>
    <w:rsid w:val="00DD54C7"/>
    <w:rsid w:val="00DD54D5"/>
    <w:rsid w:val="00DD555E"/>
    <w:rsid w:val="00DD5599"/>
    <w:rsid w:val="00DD55B9"/>
    <w:rsid w:val="00DD55CF"/>
    <w:rsid w:val="00DD55D1"/>
    <w:rsid w:val="00DD55DF"/>
    <w:rsid w:val="00DD5600"/>
    <w:rsid w:val="00DD56D0"/>
    <w:rsid w:val="00DD57F6"/>
    <w:rsid w:val="00DD5827"/>
    <w:rsid w:val="00DD584A"/>
    <w:rsid w:val="00DD5865"/>
    <w:rsid w:val="00DD589C"/>
    <w:rsid w:val="00DD58AF"/>
    <w:rsid w:val="00DD590B"/>
    <w:rsid w:val="00DD5937"/>
    <w:rsid w:val="00DD5988"/>
    <w:rsid w:val="00DD59C1"/>
    <w:rsid w:val="00DD59E5"/>
    <w:rsid w:val="00DD5A3D"/>
    <w:rsid w:val="00DD5A3E"/>
    <w:rsid w:val="00DD5A51"/>
    <w:rsid w:val="00DD5A5F"/>
    <w:rsid w:val="00DD5AA5"/>
    <w:rsid w:val="00DD5AC0"/>
    <w:rsid w:val="00DD5AF1"/>
    <w:rsid w:val="00DD5B19"/>
    <w:rsid w:val="00DD5B28"/>
    <w:rsid w:val="00DD5BDE"/>
    <w:rsid w:val="00DD5C0D"/>
    <w:rsid w:val="00DD5CB8"/>
    <w:rsid w:val="00DD5CD8"/>
    <w:rsid w:val="00DD5CE6"/>
    <w:rsid w:val="00DD5D33"/>
    <w:rsid w:val="00DD5D75"/>
    <w:rsid w:val="00DD5DC5"/>
    <w:rsid w:val="00DD5DE5"/>
    <w:rsid w:val="00DD5E0D"/>
    <w:rsid w:val="00DD5E6F"/>
    <w:rsid w:val="00DD5E71"/>
    <w:rsid w:val="00DD5F3A"/>
    <w:rsid w:val="00DD5F43"/>
    <w:rsid w:val="00DD5F46"/>
    <w:rsid w:val="00DD5F7F"/>
    <w:rsid w:val="00DD5FD7"/>
    <w:rsid w:val="00DD6065"/>
    <w:rsid w:val="00DD609D"/>
    <w:rsid w:val="00DD60CF"/>
    <w:rsid w:val="00DD60EE"/>
    <w:rsid w:val="00DD6108"/>
    <w:rsid w:val="00DD6110"/>
    <w:rsid w:val="00DD6131"/>
    <w:rsid w:val="00DD616F"/>
    <w:rsid w:val="00DD6179"/>
    <w:rsid w:val="00DD61A2"/>
    <w:rsid w:val="00DD6227"/>
    <w:rsid w:val="00DD6236"/>
    <w:rsid w:val="00DD6290"/>
    <w:rsid w:val="00DD62AD"/>
    <w:rsid w:val="00DD62F7"/>
    <w:rsid w:val="00DD6326"/>
    <w:rsid w:val="00DD634F"/>
    <w:rsid w:val="00DD637E"/>
    <w:rsid w:val="00DD652C"/>
    <w:rsid w:val="00DD6544"/>
    <w:rsid w:val="00DD65D2"/>
    <w:rsid w:val="00DD6654"/>
    <w:rsid w:val="00DD66A6"/>
    <w:rsid w:val="00DD66BA"/>
    <w:rsid w:val="00DD6744"/>
    <w:rsid w:val="00DD675B"/>
    <w:rsid w:val="00DD67A3"/>
    <w:rsid w:val="00DD67E8"/>
    <w:rsid w:val="00DD6802"/>
    <w:rsid w:val="00DD6811"/>
    <w:rsid w:val="00DD6819"/>
    <w:rsid w:val="00DD687D"/>
    <w:rsid w:val="00DD68C8"/>
    <w:rsid w:val="00DD68E8"/>
    <w:rsid w:val="00DD68EA"/>
    <w:rsid w:val="00DD690B"/>
    <w:rsid w:val="00DD6A13"/>
    <w:rsid w:val="00DD6AA2"/>
    <w:rsid w:val="00DD6B10"/>
    <w:rsid w:val="00DD6B5B"/>
    <w:rsid w:val="00DD6B84"/>
    <w:rsid w:val="00DD6BB0"/>
    <w:rsid w:val="00DD6BC8"/>
    <w:rsid w:val="00DD6CAB"/>
    <w:rsid w:val="00DD6CB7"/>
    <w:rsid w:val="00DD6D2D"/>
    <w:rsid w:val="00DD6D32"/>
    <w:rsid w:val="00DD6D3B"/>
    <w:rsid w:val="00DD6D43"/>
    <w:rsid w:val="00DD6D61"/>
    <w:rsid w:val="00DD6D8A"/>
    <w:rsid w:val="00DD6D9C"/>
    <w:rsid w:val="00DD6DE5"/>
    <w:rsid w:val="00DD6E1A"/>
    <w:rsid w:val="00DD6E2B"/>
    <w:rsid w:val="00DD6E3A"/>
    <w:rsid w:val="00DD6E62"/>
    <w:rsid w:val="00DD6E7F"/>
    <w:rsid w:val="00DD6E89"/>
    <w:rsid w:val="00DD6E94"/>
    <w:rsid w:val="00DD6EAA"/>
    <w:rsid w:val="00DD6F00"/>
    <w:rsid w:val="00DD6FBA"/>
    <w:rsid w:val="00DD6FBF"/>
    <w:rsid w:val="00DD704B"/>
    <w:rsid w:val="00DD7063"/>
    <w:rsid w:val="00DD7070"/>
    <w:rsid w:val="00DD70B3"/>
    <w:rsid w:val="00DD70E8"/>
    <w:rsid w:val="00DD7134"/>
    <w:rsid w:val="00DD71B9"/>
    <w:rsid w:val="00DD724B"/>
    <w:rsid w:val="00DD7293"/>
    <w:rsid w:val="00DD7303"/>
    <w:rsid w:val="00DD731C"/>
    <w:rsid w:val="00DD7341"/>
    <w:rsid w:val="00DD7407"/>
    <w:rsid w:val="00DD74CA"/>
    <w:rsid w:val="00DD74DD"/>
    <w:rsid w:val="00DD754E"/>
    <w:rsid w:val="00DD75D5"/>
    <w:rsid w:val="00DD767B"/>
    <w:rsid w:val="00DD76A1"/>
    <w:rsid w:val="00DD76C3"/>
    <w:rsid w:val="00DD76F0"/>
    <w:rsid w:val="00DD76FB"/>
    <w:rsid w:val="00DD77BC"/>
    <w:rsid w:val="00DD77CD"/>
    <w:rsid w:val="00DD77CE"/>
    <w:rsid w:val="00DD77EA"/>
    <w:rsid w:val="00DD78FB"/>
    <w:rsid w:val="00DD7973"/>
    <w:rsid w:val="00DD79D9"/>
    <w:rsid w:val="00DD79E4"/>
    <w:rsid w:val="00DD7A2A"/>
    <w:rsid w:val="00DD7A5C"/>
    <w:rsid w:val="00DD7AAE"/>
    <w:rsid w:val="00DD7AD2"/>
    <w:rsid w:val="00DD7B04"/>
    <w:rsid w:val="00DD7B15"/>
    <w:rsid w:val="00DD7B83"/>
    <w:rsid w:val="00DD7C42"/>
    <w:rsid w:val="00DD7C68"/>
    <w:rsid w:val="00DD7CB0"/>
    <w:rsid w:val="00DD7CE9"/>
    <w:rsid w:val="00DD7D35"/>
    <w:rsid w:val="00DD7D6B"/>
    <w:rsid w:val="00DD7E35"/>
    <w:rsid w:val="00DD7EB1"/>
    <w:rsid w:val="00DD7EFD"/>
    <w:rsid w:val="00DE0030"/>
    <w:rsid w:val="00DE005F"/>
    <w:rsid w:val="00DE0106"/>
    <w:rsid w:val="00DE01B1"/>
    <w:rsid w:val="00DE01CE"/>
    <w:rsid w:val="00DE0222"/>
    <w:rsid w:val="00DE025D"/>
    <w:rsid w:val="00DE026E"/>
    <w:rsid w:val="00DE033D"/>
    <w:rsid w:val="00DE035E"/>
    <w:rsid w:val="00DE047D"/>
    <w:rsid w:val="00DE05E2"/>
    <w:rsid w:val="00DE05EE"/>
    <w:rsid w:val="00DE05F0"/>
    <w:rsid w:val="00DE0693"/>
    <w:rsid w:val="00DE06A0"/>
    <w:rsid w:val="00DE06B7"/>
    <w:rsid w:val="00DE06E5"/>
    <w:rsid w:val="00DE0707"/>
    <w:rsid w:val="00DE0734"/>
    <w:rsid w:val="00DE0755"/>
    <w:rsid w:val="00DE0778"/>
    <w:rsid w:val="00DE0784"/>
    <w:rsid w:val="00DE0816"/>
    <w:rsid w:val="00DE0825"/>
    <w:rsid w:val="00DE087C"/>
    <w:rsid w:val="00DE08E4"/>
    <w:rsid w:val="00DE0A63"/>
    <w:rsid w:val="00DE0A74"/>
    <w:rsid w:val="00DE0ABE"/>
    <w:rsid w:val="00DE0AD7"/>
    <w:rsid w:val="00DE0B2F"/>
    <w:rsid w:val="00DE0B45"/>
    <w:rsid w:val="00DE0BA3"/>
    <w:rsid w:val="00DE0BB6"/>
    <w:rsid w:val="00DE0BFD"/>
    <w:rsid w:val="00DE0C1F"/>
    <w:rsid w:val="00DE0C6C"/>
    <w:rsid w:val="00DE0C78"/>
    <w:rsid w:val="00DE0CA8"/>
    <w:rsid w:val="00DE0D22"/>
    <w:rsid w:val="00DE0E51"/>
    <w:rsid w:val="00DE0E54"/>
    <w:rsid w:val="00DE0E8F"/>
    <w:rsid w:val="00DE0E95"/>
    <w:rsid w:val="00DE0EE7"/>
    <w:rsid w:val="00DE0F81"/>
    <w:rsid w:val="00DE1080"/>
    <w:rsid w:val="00DE110E"/>
    <w:rsid w:val="00DE110F"/>
    <w:rsid w:val="00DE1118"/>
    <w:rsid w:val="00DE1170"/>
    <w:rsid w:val="00DE125D"/>
    <w:rsid w:val="00DE125F"/>
    <w:rsid w:val="00DE12DB"/>
    <w:rsid w:val="00DE12E8"/>
    <w:rsid w:val="00DE14A6"/>
    <w:rsid w:val="00DE14DE"/>
    <w:rsid w:val="00DE1511"/>
    <w:rsid w:val="00DE15BD"/>
    <w:rsid w:val="00DE15F8"/>
    <w:rsid w:val="00DE16E8"/>
    <w:rsid w:val="00DE172F"/>
    <w:rsid w:val="00DE1768"/>
    <w:rsid w:val="00DE1779"/>
    <w:rsid w:val="00DE181E"/>
    <w:rsid w:val="00DE184D"/>
    <w:rsid w:val="00DE18AE"/>
    <w:rsid w:val="00DE18B6"/>
    <w:rsid w:val="00DE18C2"/>
    <w:rsid w:val="00DE19D8"/>
    <w:rsid w:val="00DE19F2"/>
    <w:rsid w:val="00DE1A18"/>
    <w:rsid w:val="00DE1AC2"/>
    <w:rsid w:val="00DE1B46"/>
    <w:rsid w:val="00DE1B59"/>
    <w:rsid w:val="00DE1B80"/>
    <w:rsid w:val="00DE1B89"/>
    <w:rsid w:val="00DE1BF2"/>
    <w:rsid w:val="00DE1C29"/>
    <w:rsid w:val="00DE1C36"/>
    <w:rsid w:val="00DE1C82"/>
    <w:rsid w:val="00DE1CDC"/>
    <w:rsid w:val="00DE1CF0"/>
    <w:rsid w:val="00DE1CF1"/>
    <w:rsid w:val="00DE1D09"/>
    <w:rsid w:val="00DE1D17"/>
    <w:rsid w:val="00DE1D2E"/>
    <w:rsid w:val="00DE1D65"/>
    <w:rsid w:val="00DE1D69"/>
    <w:rsid w:val="00DE1DFF"/>
    <w:rsid w:val="00DE1E78"/>
    <w:rsid w:val="00DE1E95"/>
    <w:rsid w:val="00DE1EDB"/>
    <w:rsid w:val="00DE1EDE"/>
    <w:rsid w:val="00DE1EF2"/>
    <w:rsid w:val="00DE1F19"/>
    <w:rsid w:val="00DE1F53"/>
    <w:rsid w:val="00DE2088"/>
    <w:rsid w:val="00DE209E"/>
    <w:rsid w:val="00DE20A4"/>
    <w:rsid w:val="00DE20B7"/>
    <w:rsid w:val="00DE20E6"/>
    <w:rsid w:val="00DE20EE"/>
    <w:rsid w:val="00DE213E"/>
    <w:rsid w:val="00DE2194"/>
    <w:rsid w:val="00DE222B"/>
    <w:rsid w:val="00DE22D6"/>
    <w:rsid w:val="00DE230C"/>
    <w:rsid w:val="00DE2332"/>
    <w:rsid w:val="00DE2343"/>
    <w:rsid w:val="00DE23CA"/>
    <w:rsid w:val="00DE23F2"/>
    <w:rsid w:val="00DE2410"/>
    <w:rsid w:val="00DE2494"/>
    <w:rsid w:val="00DE256D"/>
    <w:rsid w:val="00DE257E"/>
    <w:rsid w:val="00DE259E"/>
    <w:rsid w:val="00DE25BD"/>
    <w:rsid w:val="00DE25CC"/>
    <w:rsid w:val="00DE25E0"/>
    <w:rsid w:val="00DE25ED"/>
    <w:rsid w:val="00DE261B"/>
    <w:rsid w:val="00DE2627"/>
    <w:rsid w:val="00DE264F"/>
    <w:rsid w:val="00DE2860"/>
    <w:rsid w:val="00DE28A3"/>
    <w:rsid w:val="00DE28C2"/>
    <w:rsid w:val="00DE28E1"/>
    <w:rsid w:val="00DE2911"/>
    <w:rsid w:val="00DE2959"/>
    <w:rsid w:val="00DE29C4"/>
    <w:rsid w:val="00DE2A0F"/>
    <w:rsid w:val="00DE2A61"/>
    <w:rsid w:val="00DE2AC8"/>
    <w:rsid w:val="00DE2B03"/>
    <w:rsid w:val="00DE2B43"/>
    <w:rsid w:val="00DE2B87"/>
    <w:rsid w:val="00DE2BB2"/>
    <w:rsid w:val="00DE2C02"/>
    <w:rsid w:val="00DE2C35"/>
    <w:rsid w:val="00DE2C89"/>
    <w:rsid w:val="00DE2C8E"/>
    <w:rsid w:val="00DE2C93"/>
    <w:rsid w:val="00DE2CEA"/>
    <w:rsid w:val="00DE2D63"/>
    <w:rsid w:val="00DE2D84"/>
    <w:rsid w:val="00DE2DBC"/>
    <w:rsid w:val="00DE2DD6"/>
    <w:rsid w:val="00DE2E46"/>
    <w:rsid w:val="00DE2E66"/>
    <w:rsid w:val="00DE2E8A"/>
    <w:rsid w:val="00DE2EA4"/>
    <w:rsid w:val="00DE2F35"/>
    <w:rsid w:val="00DE2F85"/>
    <w:rsid w:val="00DE2FFD"/>
    <w:rsid w:val="00DE300C"/>
    <w:rsid w:val="00DE3133"/>
    <w:rsid w:val="00DE3158"/>
    <w:rsid w:val="00DE315F"/>
    <w:rsid w:val="00DE3182"/>
    <w:rsid w:val="00DE31B7"/>
    <w:rsid w:val="00DE323B"/>
    <w:rsid w:val="00DE329B"/>
    <w:rsid w:val="00DE32EA"/>
    <w:rsid w:val="00DE3305"/>
    <w:rsid w:val="00DE330E"/>
    <w:rsid w:val="00DE3349"/>
    <w:rsid w:val="00DE339E"/>
    <w:rsid w:val="00DE33B6"/>
    <w:rsid w:val="00DE341D"/>
    <w:rsid w:val="00DE34B9"/>
    <w:rsid w:val="00DE3568"/>
    <w:rsid w:val="00DE3583"/>
    <w:rsid w:val="00DE35CB"/>
    <w:rsid w:val="00DE3607"/>
    <w:rsid w:val="00DE364C"/>
    <w:rsid w:val="00DE36C0"/>
    <w:rsid w:val="00DE3714"/>
    <w:rsid w:val="00DE3801"/>
    <w:rsid w:val="00DE380F"/>
    <w:rsid w:val="00DE381A"/>
    <w:rsid w:val="00DE3828"/>
    <w:rsid w:val="00DE38BD"/>
    <w:rsid w:val="00DE390F"/>
    <w:rsid w:val="00DE393E"/>
    <w:rsid w:val="00DE3961"/>
    <w:rsid w:val="00DE399A"/>
    <w:rsid w:val="00DE39BB"/>
    <w:rsid w:val="00DE39C7"/>
    <w:rsid w:val="00DE39E2"/>
    <w:rsid w:val="00DE3AD2"/>
    <w:rsid w:val="00DE3B0E"/>
    <w:rsid w:val="00DE3B8A"/>
    <w:rsid w:val="00DE3B96"/>
    <w:rsid w:val="00DE3B99"/>
    <w:rsid w:val="00DE3BB3"/>
    <w:rsid w:val="00DE3BCA"/>
    <w:rsid w:val="00DE3C13"/>
    <w:rsid w:val="00DE3C3B"/>
    <w:rsid w:val="00DE3C40"/>
    <w:rsid w:val="00DE3C76"/>
    <w:rsid w:val="00DE3C92"/>
    <w:rsid w:val="00DE3D88"/>
    <w:rsid w:val="00DE3DA7"/>
    <w:rsid w:val="00DE3DD4"/>
    <w:rsid w:val="00DE3DF4"/>
    <w:rsid w:val="00DE3E97"/>
    <w:rsid w:val="00DE3F3E"/>
    <w:rsid w:val="00DE3F6E"/>
    <w:rsid w:val="00DE3FA8"/>
    <w:rsid w:val="00DE3FC9"/>
    <w:rsid w:val="00DE40B6"/>
    <w:rsid w:val="00DE4113"/>
    <w:rsid w:val="00DE411C"/>
    <w:rsid w:val="00DE4186"/>
    <w:rsid w:val="00DE421D"/>
    <w:rsid w:val="00DE42C4"/>
    <w:rsid w:val="00DE42C8"/>
    <w:rsid w:val="00DE435A"/>
    <w:rsid w:val="00DE4430"/>
    <w:rsid w:val="00DE447B"/>
    <w:rsid w:val="00DE449F"/>
    <w:rsid w:val="00DE44D5"/>
    <w:rsid w:val="00DE44DF"/>
    <w:rsid w:val="00DE4539"/>
    <w:rsid w:val="00DE453F"/>
    <w:rsid w:val="00DE4545"/>
    <w:rsid w:val="00DE4589"/>
    <w:rsid w:val="00DE45AB"/>
    <w:rsid w:val="00DE4694"/>
    <w:rsid w:val="00DE46C9"/>
    <w:rsid w:val="00DE46D1"/>
    <w:rsid w:val="00DE46E3"/>
    <w:rsid w:val="00DE47F8"/>
    <w:rsid w:val="00DE480D"/>
    <w:rsid w:val="00DE4822"/>
    <w:rsid w:val="00DE485F"/>
    <w:rsid w:val="00DE494A"/>
    <w:rsid w:val="00DE4960"/>
    <w:rsid w:val="00DE4970"/>
    <w:rsid w:val="00DE4975"/>
    <w:rsid w:val="00DE497D"/>
    <w:rsid w:val="00DE4993"/>
    <w:rsid w:val="00DE49D2"/>
    <w:rsid w:val="00DE49D9"/>
    <w:rsid w:val="00DE49DE"/>
    <w:rsid w:val="00DE4A1B"/>
    <w:rsid w:val="00DE4A30"/>
    <w:rsid w:val="00DE4AD4"/>
    <w:rsid w:val="00DE4ADE"/>
    <w:rsid w:val="00DE4B6B"/>
    <w:rsid w:val="00DE4B92"/>
    <w:rsid w:val="00DE4BF6"/>
    <w:rsid w:val="00DE4CEB"/>
    <w:rsid w:val="00DE4D23"/>
    <w:rsid w:val="00DE4D37"/>
    <w:rsid w:val="00DE4D39"/>
    <w:rsid w:val="00DE4D3D"/>
    <w:rsid w:val="00DE4E38"/>
    <w:rsid w:val="00DE4EBD"/>
    <w:rsid w:val="00DE4ECB"/>
    <w:rsid w:val="00DE4F1A"/>
    <w:rsid w:val="00DE4F66"/>
    <w:rsid w:val="00DE4F8D"/>
    <w:rsid w:val="00DE4FEC"/>
    <w:rsid w:val="00DE5002"/>
    <w:rsid w:val="00DE5042"/>
    <w:rsid w:val="00DE507C"/>
    <w:rsid w:val="00DE5115"/>
    <w:rsid w:val="00DE5136"/>
    <w:rsid w:val="00DE5156"/>
    <w:rsid w:val="00DE5175"/>
    <w:rsid w:val="00DE51C2"/>
    <w:rsid w:val="00DE5223"/>
    <w:rsid w:val="00DE524D"/>
    <w:rsid w:val="00DE5285"/>
    <w:rsid w:val="00DE5411"/>
    <w:rsid w:val="00DE542A"/>
    <w:rsid w:val="00DE5437"/>
    <w:rsid w:val="00DE5447"/>
    <w:rsid w:val="00DE5451"/>
    <w:rsid w:val="00DE545A"/>
    <w:rsid w:val="00DE5501"/>
    <w:rsid w:val="00DE5519"/>
    <w:rsid w:val="00DE5579"/>
    <w:rsid w:val="00DE55AC"/>
    <w:rsid w:val="00DE562F"/>
    <w:rsid w:val="00DE5638"/>
    <w:rsid w:val="00DE56D6"/>
    <w:rsid w:val="00DE56F5"/>
    <w:rsid w:val="00DE571B"/>
    <w:rsid w:val="00DE573B"/>
    <w:rsid w:val="00DE57F4"/>
    <w:rsid w:val="00DE58AC"/>
    <w:rsid w:val="00DE590D"/>
    <w:rsid w:val="00DE5910"/>
    <w:rsid w:val="00DE5920"/>
    <w:rsid w:val="00DE594D"/>
    <w:rsid w:val="00DE5993"/>
    <w:rsid w:val="00DE599C"/>
    <w:rsid w:val="00DE59EF"/>
    <w:rsid w:val="00DE5A00"/>
    <w:rsid w:val="00DE5A70"/>
    <w:rsid w:val="00DE5A9D"/>
    <w:rsid w:val="00DE5B2B"/>
    <w:rsid w:val="00DE5B6F"/>
    <w:rsid w:val="00DE5B83"/>
    <w:rsid w:val="00DE5B8A"/>
    <w:rsid w:val="00DE5C31"/>
    <w:rsid w:val="00DE5C61"/>
    <w:rsid w:val="00DE5CDC"/>
    <w:rsid w:val="00DE5CF7"/>
    <w:rsid w:val="00DE5D20"/>
    <w:rsid w:val="00DE5D35"/>
    <w:rsid w:val="00DE5D52"/>
    <w:rsid w:val="00DE5D9E"/>
    <w:rsid w:val="00DE5DC3"/>
    <w:rsid w:val="00DE5DDD"/>
    <w:rsid w:val="00DE5EAF"/>
    <w:rsid w:val="00DE5EBB"/>
    <w:rsid w:val="00DE5ED7"/>
    <w:rsid w:val="00DE5F14"/>
    <w:rsid w:val="00DE5F2D"/>
    <w:rsid w:val="00DE5F3F"/>
    <w:rsid w:val="00DE5F84"/>
    <w:rsid w:val="00DE60AB"/>
    <w:rsid w:val="00DE613C"/>
    <w:rsid w:val="00DE6169"/>
    <w:rsid w:val="00DE619C"/>
    <w:rsid w:val="00DE61B8"/>
    <w:rsid w:val="00DE6203"/>
    <w:rsid w:val="00DE620D"/>
    <w:rsid w:val="00DE622D"/>
    <w:rsid w:val="00DE6301"/>
    <w:rsid w:val="00DE6356"/>
    <w:rsid w:val="00DE6375"/>
    <w:rsid w:val="00DE64E8"/>
    <w:rsid w:val="00DE652C"/>
    <w:rsid w:val="00DE6537"/>
    <w:rsid w:val="00DE6555"/>
    <w:rsid w:val="00DE6573"/>
    <w:rsid w:val="00DE6580"/>
    <w:rsid w:val="00DE658B"/>
    <w:rsid w:val="00DE660C"/>
    <w:rsid w:val="00DE6619"/>
    <w:rsid w:val="00DE662C"/>
    <w:rsid w:val="00DE6634"/>
    <w:rsid w:val="00DE66A1"/>
    <w:rsid w:val="00DE66DC"/>
    <w:rsid w:val="00DE66E5"/>
    <w:rsid w:val="00DE671A"/>
    <w:rsid w:val="00DE679D"/>
    <w:rsid w:val="00DE67B3"/>
    <w:rsid w:val="00DE67F5"/>
    <w:rsid w:val="00DE6865"/>
    <w:rsid w:val="00DE68C8"/>
    <w:rsid w:val="00DE6930"/>
    <w:rsid w:val="00DE6960"/>
    <w:rsid w:val="00DE6997"/>
    <w:rsid w:val="00DE69AE"/>
    <w:rsid w:val="00DE6A0C"/>
    <w:rsid w:val="00DE6B10"/>
    <w:rsid w:val="00DE6B1F"/>
    <w:rsid w:val="00DE6B38"/>
    <w:rsid w:val="00DE6B47"/>
    <w:rsid w:val="00DE6B86"/>
    <w:rsid w:val="00DE6C49"/>
    <w:rsid w:val="00DE6C75"/>
    <w:rsid w:val="00DE6D14"/>
    <w:rsid w:val="00DE6DAC"/>
    <w:rsid w:val="00DE6DEC"/>
    <w:rsid w:val="00DE6EB3"/>
    <w:rsid w:val="00DE6F0F"/>
    <w:rsid w:val="00DE6F33"/>
    <w:rsid w:val="00DE6FFC"/>
    <w:rsid w:val="00DE70B9"/>
    <w:rsid w:val="00DE70D6"/>
    <w:rsid w:val="00DE7105"/>
    <w:rsid w:val="00DE712E"/>
    <w:rsid w:val="00DE713C"/>
    <w:rsid w:val="00DE7148"/>
    <w:rsid w:val="00DE714D"/>
    <w:rsid w:val="00DE71FE"/>
    <w:rsid w:val="00DE722F"/>
    <w:rsid w:val="00DE725D"/>
    <w:rsid w:val="00DE725F"/>
    <w:rsid w:val="00DE7263"/>
    <w:rsid w:val="00DE728A"/>
    <w:rsid w:val="00DE72CE"/>
    <w:rsid w:val="00DE72E3"/>
    <w:rsid w:val="00DE72E4"/>
    <w:rsid w:val="00DE72FA"/>
    <w:rsid w:val="00DE7314"/>
    <w:rsid w:val="00DE7436"/>
    <w:rsid w:val="00DE7454"/>
    <w:rsid w:val="00DE7495"/>
    <w:rsid w:val="00DE74D5"/>
    <w:rsid w:val="00DE752D"/>
    <w:rsid w:val="00DE7549"/>
    <w:rsid w:val="00DE7685"/>
    <w:rsid w:val="00DE76BA"/>
    <w:rsid w:val="00DE76C7"/>
    <w:rsid w:val="00DE76FC"/>
    <w:rsid w:val="00DE7768"/>
    <w:rsid w:val="00DE776A"/>
    <w:rsid w:val="00DE7844"/>
    <w:rsid w:val="00DE78BA"/>
    <w:rsid w:val="00DE78CF"/>
    <w:rsid w:val="00DE78DC"/>
    <w:rsid w:val="00DE7922"/>
    <w:rsid w:val="00DE7958"/>
    <w:rsid w:val="00DE7977"/>
    <w:rsid w:val="00DE798B"/>
    <w:rsid w:val="00DE7991"/>
    <w:rsid w:val="00DE7998"/>
    <w:rsid w:val="00DE79B0"/>
    <w:rsid w:val="00DE79BD"/>
    <w:rsid w:val="00DE79C4"/>
    <w:rsid w:val="00DE7A34"/>
    <w:rsid w:val="00DE7A89"/>
    <w:rsid w:val="00DE7AE3"/>
    <w:rsid w:val="00DE7B37"/>
    <w:rsid w:val="00DE7B5C"/>
    <w:rsid w:val="00DE7B9B"/>
    <w:rsid w:val="00DE7C09"/>
    <w:rsid w:val="00DE7C0C"/>
    <w:rsid w:val="00DE7C1D"/>
    <w:rsid w:val="00DE7CD4"/>
    <w:rsid w:val="00DE7CE7"/>
    <w:rsid w:val="00DE7D04"/>
    <w:rsid w:val="00DE7DA8"/>
    <w:rsid w:val="00DE7DCF"/>
    <w:rsid w:val="00DE7DF2"/>
    <w:rsid w:val="00DE7E04"/>
    <w:rsid w:val="00DE7F21"/>
    <w:rsid w:val="00DE7F72"/>
    <w:rsid w:val="00DE7F8D"/>
    <w:rsid w:val="00DE7FA9"/>
    <w:rsid w:val="00DF002F"/>
    <w:rsid w:val="00DF0063"/>
    <w:rsid w:val="00DF0141"/>
    <w:rsid w:val="00DF0167"/>
    <w:rsid w:val="00DF0190"/>
    <w:rsid w:val="00DF01C5"/>
    <w:rsid w:val="00DF0229"/>
    <w:rsid w:val="00DF0250"/>
    <w:rsid w:val="00DF028F"/>
    <w:rsid w:val="00DF02EA"/>
    <w:rsid w:val="00DF036B"/>
    <w:rsid w:val="00DF03C6"/>
    <w:rsid w:val="00DF03F7"/>
    <w:rsid w:val="00DF044E"/>
    <w:rsid w:val="00DF0455"/>
    <w:rsid w:val="00DF049F"/>
    <w:rsid w:val="00DF04B1"/>
    <w:rsid w:val="00DF04F4"/>
    <w:rsid w:val="00DF0524"/>
    <w:rsid w:val="00DF05BD"/>
    <w:rsid w:val="00DF065D"/>
    <w:rsid w:val="00DF0783"/>
    <w:rsid w:val="00DF07CD"/>
    <w:rsid w:val="00DF084A"/>
    <w:rsid w:val="00DF087B"/>
    <w:rsid w:val="00DF08C5"/>
    <w:rsid w:val="00DF0916"/>
    <w:rsid w:val="00DF0966"/>
    <w:rsid w:val="00DF0996"/>
    <w:rsid w:val="00DF09C2"/>
    <w:rsid w:val="00DF09DD"/>
    <w:rsid w:val="00DF0A3C"/>
    <w:rsid w:val="00DF0A4D"/>
    <w:rsid w:val="00DF0A53"/>
    <w:rsid w:val="00DF0ABC"/>
    <w:rsid w:val="00DF0B60"/>
    <w:rsid w:val="00DF0B69"/>
    <w:rsid w:val="00DF0BCB"/>
    <w:rsid w:val="00DF0C03"/>
    <w:rsid w:val="00DF0C36"/>
    <w:rsid w:val="00DF0C4D"/>
    <w:rsid w:val="00DF0C71"/>
    <w:rsid w:val="00DF0CD4"/>
    <w:rsid w:val="00DF0CE4"/>
    <w:rsid w:val="00DF0D24"/>
    <w:rsid w:val="00DF0D2E"/>
    <w:rsid w:val="00DF0D58"/>
    <w:rsid w:val="00DF0DD2"/>
    <w:rsid w:val="00DF0E5C"/>
    <w:rsid w:val="00DF0E75"/>
    <w:rsid w:val="00DF0E9C"/>
    <w:rsid w:val="00DF0EBA"/>
    <w:rsid w:val="00DF0F45"/>
    <w:rsid w:val="00DF0F55"/>
    <w:rsid w:val="00DF0FD1"/>
    <w:rsid w:val="00DF0FF0"/>
    <w:rsid w:val="00DF0FFE"/>
    <w:rsid w:val="00DF1061"/>
    <w:rsid w:val="00DF1075"/>
    <w:rsid w:val="00DF1088"/>
    <w:rsid w:val="00DF10C0"/>
    <w:rsid w:val="00DF1124"/>
    <w:rsid w:val="00DF11EF"/>
    <w:rsid w:val="00DF11F5"/>
    <w:rsid w:val="00DF121A"/>
    <w:rsid w:val="00DF1287"/>
    <w:rsid w:val="00DF1295"/>
    <w:rsid w:val="00DF12AE"/>
    <w:rsid w:val="00DF12B3"/>
    <w:rsid w:val="00DF12C7"/>
    <w:rsid w:val="00DF12D2"/>
    <w:rsid w:val="00DF12F5"/>
    <w:rsid w:val="00DF13F7"/>
    <w:rsid w:val="00DF1413"/>
    <w:rsid w:val="00DF141D"/>
    <w:rsid w:val="00DF1446"/>
    <w:rsid w:val="00DF1475"/>
    <w:rsid w:val="00DF14B0"/>
    <w:rsid w:val="00DF14EC"/>
    <w:rsid w:val="00DF159B"/>
    <w:rsid w:val="00DF15B0"/>
    <w:rsid w:val="00DF1651"/>
    <w:rsid w:val="00DF17A9"/>
    <w:rsid w:val="00DF1815"/>
    <w:rsid w:val="00DF1847"/>
    <w:rsid w:val="00DF184C"/>
    <w:rsid w:val="00DF1881"/>
    <w:rsid w:val="00DF18BB"/>
    <w:rsid w:val="00DF18DF"/>
    <w:rsid w:val="00DF1972"/>
    <w:rsid w:val="00DF1A5D"/>
    <w:rsid w:val="00DF1A7E"/>
    <w:rsid w:val="00DF1ACF"/>
    <w:rsid w:val="00DF1B0B"/>
    <w:rsid w:val="00DF1B5B"/>
    <w:rsid w:val="00DF1BAE"/>
    <w:rsid w:val="00DF1BF9"/>
    <w:rsid w:val="00DF1C16"/>
    <w:rsid w:val="00DF1C8E"/>
    <w:rsid w:val="00DF1CCA"/>
    <w:rsid w:val="00DF1E19"/>
    <w:rsid w:val="00DF1EAB"/>
    <w:rsid w:val="00DF1EAC"/>
    <w:rsid w:val="00DF1F22"/>
    <w:rsid w:val="00DF1F2B"/>
    <w:rsid w:val="00DF1F6C"/>
    <w:rsid w:val="00DF1FFD"/>
    <w:rsid w:val="00DF205A"/>
    <w:rsid w:val="00DF20DE"/>
    <w:rsid w:val="00DF210D"/>
    <w:rsid w:val="00DF2115"/>
    <w:rsid w:val="00DF2125"/>
    <w:rsid w:val="00DF2146"/>
    <w:rsid w:val="00DF216E"/>
    <w:rsid w:val="00DF21FF"/>
    <w:rsid w:val="00DF2232"/>
    <w:rsid w:val="00DF22A0"/>
    <w:rsid w:val="00DF22A8"/>
    <w:rsid w:val="00DF22E6"/>
    <w:rsid w:val="00DF2302"/>
    <w:rsid w:val="00DF2321"/>
    <w:rsid w:val="00DF2326"/>
    <w:rsid w:val="00DF2390"/>
    <w:rsid w:val="00DF239C"/>
    <w:rsid w:val="00DF241B"/>
    <w:rsid w:val="00DF246B"/>
    <w:rsid w:val="00DF24E1"/>
    <w:rsid w:val="00DF2563"/>
    <w:rsid w:val="00DF268B"/>
    <w:rsid w:val="00DF2729"/>
    <w:rsid w:val="00DF27AC"/>
    <w:rsid w:val="00DF27C0"/>
    <w:rsid w:val="00DF2839"/>
    <w:rsid w:val="00DF2846"/>
    <w:rsid w:val="00DF286C"/>
    <w:rsid w:val="00DF28C7"/>
    <w:rsid w:val="00DF2921"/>
    <w:rsid w:val="00DF2969"/>
    <w:rsid w:val="00DF29BC"/>
    <w:rsid w:val="00DF29CC"/>
    <w:rsid w:val="00DF2A4C"/>
    <w:rsid w:val="00DF2A57"/>
    <w:rsid w:val="00DF2AD3"/>
    <w:rsid w:val="00DF2B45"/>
    <w:rsid w:val="00DF2B72"/>
    <w:rsid w:val="00DF2BE1"/>
    <w:rsid w:val="00DF2C20"/>
    <w:rsid w:val="00DF2C4B"/>
    <w:rsid w:val="00DF2C70"/>
    <w:rsid w:val="00DF2C9D"/>
    <w:rsid w:val="00DF2CCF"/>
    <w:rsid w:val="00DF2D47"/>
    <w:rsid w:val="00DF2E7F"/>
    <w:rsid w:val="00DF2EC9"/>
    <w:rsid w:val="00DF2EFC"/>
    <w:rsid w:val="00DF2F04"/>
    <w:rsid w:val="00DF2F1C"/>
    <w:rsid w:val="00DF2F30"/>
    <w:rsid w:val="00DF2F3C"/>
    <w:rsid w:val="00DF2F76"/>
    <w:rsid w:val="00DF2F7A"/>
    <w:rsid w:val="00DF3040"/>
    <w:rsid w:val="00DF305C"/>
    <w:rsid w:val="00DF3079"/>
    <w:rsid w:val="00DF3143"/>
    <w:rsid w:val="00DF318E"/>
    <w:rsid w:val="00DF3192"/>
    <w:rsid w:val="00DF319C"/>
    <w:rsid w:val="00DF3207"/>
    <w:rsid w:val="00DF32CD"/>
    <w:rsid w:val="00DF32F6"/>
    <w:rsid w:val="00DF3351"/>
    <w:rsid w:val="00DF3364"/>
    <w:rsid w:val="00DF3368"/>
    <w:rsid w:val="00DF3378"/>
    <w:rsid w:val="00DF3505"/>
    <w:rsid w:val="00DF3541"/>
    <w:rsid w:val="00DF3623"/>
    <w:rsid w:val="00DF362E"/>
    <w:rsid w:val="00DF3658"/>
    <w:rsid w:val="00DF36AB"/>
    <w:rsid w:val="00DF36BB"/>
    <w:rsid w:val="00DF3748"/>
    <w:rsid w:val="00DF3780"/>
    <w:rsid w:val="00DF378D"/>
    <w:rsid w:val="00DF37A0"/>
    <w:rsid w:val="00DF3813"/>
    <w:rsid w:val="00DF381F"/>
    <w:rsid w:val="00DF383C"/>
    <w:rsid w:val="00DF385B"/>
    <w:rsid w:val="00DF3889"/>
    <w:rsid w:val="00DF38F1"/>
    <w:rsid w:val="00DF38F3"/>
    <w:rsid w:val="00DF390A"/>
    <w:rsid w:val="00DF393F"/>
    <w:rsid w:val="00DF3948"/>
    <w:rsid w:val="00DF39E3"/>
    <w:rsid w:val="00DF39F2"/>
    <w:rsid w:val="00DF3A14"/>
    <w:rsid w:val="00DF3AA0"/>
    <w:rsid w:val="00DF3AB8"/>
    <w:rsid w:val="00DF3B3A"/>
    <w:rsid w:val="00DF3B64"/>
    <w:rsid w:val="00DF3BA9"/>
    <w:rsid w:val="00DF3BCD"/>
    <w:rsid w:val="00DF3BD3"/>
    <w:rsid w:val="00DF3C81"/>
    <w:rsid w:val="00DF3CFE"/>
    <w:rsid w:val="00DF3E2A"/>
    <w:rsid w:val="00DF3E4C"/>
    <w:rsid w:val="00DF3E4D"/>
    <w:rsid w:val="00DF3E6B"/>
    <w:rsid w:val="00DF3E73"/>
    <w:rsid w:val="00DF3E8B"/>
    <w:rsid w:val="00DF3ECE"/>
    <w:rsid w:val="00DF3EF4"/>
    <w:rsid w:val="00DF3F10"/>
    <w:rsid w:val="00DF3F24"/>
    <w:rsid w:val="00DF3F3D"/>
    <w:rsid w:val="00DF3F73"/>
    <w:rsid w:val="00DF3FFC"/>
    <w:rsid w:val="00DF4044"/>
    <w:rsid w:val="00DF40D1"/>
    <w:rsid w:val="00DF416A"/>
    <w:rsid w:val="00DF418B"/>
    <w:rsid w:val="00DF41A4"/>
    <w:rsid w:val="00DF41F8"/>
    <w:rsid w:val="00DF4240"/>
    <w:rsid w:val="00DF42FF"/>
    <w:rsid w:val="00DF43A6"/>
    <w:rsid w:val="00DF4412"/>
    <w:rsid w:val="00DF442B"/>
    <w:rsid w:val="00DF4470"/>
    <w:rsid w:val="00DF44FE"/>
    <w:rsid w:val="00DF4527"/>
    <w:rsid w:val="00DF4528"/>
    <w:rsid w:val="00DF4566"/>
    <w:rsid w:val="00DF4601"/>
    <w:rsid w:val="00DF4622"/>
    <w:rsid w:val="00DF463C"/>
    <w:rsid w:val="00DF4651"/>
    <w:rsid w:val="00DF465C"/>
    <w:rsid w:val="00DF469A"/>
    <w:rsid w:val="00DF46FF"/>
    <w:rsid w:val="00DF471A"/>
    <w:rsid w:val="00DF472D"/>
    <w:rsid w:val="00DF4749"/>
    <w:rsid w:val="00DF477A"/>
    <w:rsid w:val="00DF47CD"/>
    <w:rsid w:val="00DF482B"/>
    <w:rsid w:val="00DF48FA"/>
    <w:rsid w:val="00DF4951"/>
    <w:rsid w:val="00DF496E"/>
    <w:rsid w:val="00DF499E"/>
    <w:rsid w:val="00DF49AA"/>
    <w:rsid w:val="00DF49CE"/>
    <w:rsid w:val="00DF49D1"/>
    <w:rsid w:val="00DF49D5"/>
    <w:rsid w:val="00DF4A19"/>
    <w:rsid w:val="00DF4A33"/>
    <w:rsid w:val="00DF4A37"/>
    <w:rsid w:val="00DF4A95"/>
    <w:rsid w:val="00DF4ABE"/>
    <w:rsid w:val="00DF4AEE"/>
    <w:rsid w:val="00DF4B49"/>
    <w:rsid w:val="00DF4B99"/>
    <w:rsid w:val="00DF4B9B"/>
    <w:rsid w:val="00DF4BDD"/>
    <w:rsid w:val="00DF4D22"/>
    <w:rsid w:val="00DF4D59"/>
    <w:rsid w:val="00DF4D85"/>
    <w:rsid w:val="00DF4DE3"/>
    <w:rsid w:val="00DF4E47"/>
    <w:rsid w:val="00DF4EB9"/>
    <w:rsid w:val="00DF4EBF"/>
    <w:rsid w:val="00DF4EE0"/>
    <w:rsid w:val="00DF4F10"/>
    <w:rsid w:val="00DF4F2F"/>
    <w:rsid w:val="00DF4FEE"/>
    <w:rsid w:val="00DF5033"/>
    <w:rsid w:val="00DF506B"/>
    <w:rsid w:val="00DF5086"/>
    <w:rsid w:val="00DF512E"/>
    <w:rsid w:val="00DF5139"/>
    <w:rsid w:val="00DF513F"/>
    <w:rsid w:val="00DF5163"/>
    <w:rsid w:val="00DF5183"/>
    <w:rsid w:val="00DF51CD"/>
    <w:rsid w:val="00DF520B"/>
    <w:rsid w:val="00DF523D"/>
    <w:rsid w:val="00DF5250"/>
    <w:rsid w:val="00DF536C"/>
    <w:rsid w:val="00DF53C0"/>
    <w:rsid w:val="00DF53E2"/>
    <w:rsid w:val="00DF54B1"/>
    <w:rsid w:val="00DF54E7"/>
    <w:rsid w:val="00DF5542"/>
    <w:rsid w:val="00DF55B8"/>
    <w:rsid w:val="00DF55C3"/>
    <w:rsid w:val="00DF5618"/>
    <w:rsid w:val="00DF5666"/>
    <w:rsid w:val="00DF56AB"/>
    <w:rsid w:val="00DF5703"/>
    <w:rsid w:val="00DF574D"/>
    <w:rsid w:val="00DF57CA"/>
    <w:rsid w:val="00DF57E8"/>
    <w:rsid w:val="00DF57F6"/>
    <w:rsid w:val="00DF580E"/>
    <w:rsid w:val="00DF585B"/>
    <w:rsid w:val="00DF5881"/>
    <w:rsid w:val="00DF5894"/>
    <w:rsid w:val="00DF58AB"/>
    <w:rsid w:val="00DF58C5"/>
    <w:rsid w:val="00DF592A"/>
    <w:rsid w:val="00DF5975"/>
    <w:rsid w:val="00DF598A"/>
    <w:rsid w:val="00DF59C8"/>
    <w:rsid w:val="00DF59F7"/>
    <w:rsid w:val="00DF5A4B"/>
    <w:rsid w:val="00DF5A81"/>
    <w:rsid w:val="00DF5A8C"/>
    <w:rsid w:val="00DF5AF7"/>
    <w:rsid w:val="00DF5B60"/>
    <w:rsid w:val="00DF5B6A"/>
    <w:rsid w:val="00DF5BA1"/>
    <w:rsid w:val="00DF5BB0"/>
    <w:rsid w:val="00DF5BE0"/>
    <w:rsid w:val="00DF5C77"/>
    <w:rsid w:val="00DF5CDA"/>
    <w:rsid w:val="00DF5D66"/>
    <w:rsid w:val="00DF5D6E"/>
    <w:rsid w:val="00DF5D98"/>
    <w:rsid w:val="00DF5DDA"/>
    <w:rsid w:val="00DF5E07"/>
    <w:rsid w:val="00DF5E40"/>
    <w:rsid w:val="00DF5E58"/>
    <w:rsid w:val="00DF5ED1"/>
    <w:rsid w:val="00DF5EFA"/>
    <w:rsid w:val="00DF5F4B"/>
    <w:rsid w:val="00DF5F5C"/>
    <w:rsid w:val="00DF5FAD"/>
    <w:rsid w:val="00DF602F"/>
    <w:rsid w:val="00DF6058"/>
    <w:rsid w:val="00DF608A"/>
    <w:rsid w:val="00DF609F"/>
    <w:rsid w:val="00DF60D1"/>
    <w:rsid w:val="00DF61DB"/>
    <w:rsid w:val="00DF61F5"/>
    <w:rsid w:val="00DF6209"/>
    <w:rsid w:val="00DF622A"/>
    <w:rsid w:val="00DF6245"/>
    <w:rsid w:val="00DF627C"/>
    <w:rsid w:val="00DF629B"/>
    <w:rsid w:val="00DF62BD"/>
    <w:rsid w:val="00DF62DB"/>
    <w:rsid w:val="00DF635D"/>
    <w:rsid w:val="00DF6379"/>
    <w:rsid w:val="00DF63A5"/>
    <w:rsid w:val="00DF63E9"/>
    <w:rsid w:val="00DF6401"/>
    <w:rsid w:val="00DF6441"/>
    <w:rsid w:val="00DF6450"/>
    <w:rsid w:val="00DF64A9"/>
    <w:rsid w:val="00DF6515"/>
    <w:rsid w:val="00DF6553"/>
    <w:rsid w:val="00DF6554"/>
    <w:rsid w:val="00DF6568"/>
    <w:rsid w:val="00DF6598"/>
    <w:rsid w:val="00DF65DF"/>
    <w:rsid w:val="00DF6644"/>
    <w:rsid w:val="00DF666D"/>
    <w:rsid w:val="00DF669C"/>
    <w:rsid w:val="00DF66B5"/>
    <w:rsid w:val="00DF66C7"/>
    <w:rsid w:val="00DF6712"/>
    <w:rsid w:val="00DF6740"/>
    <w:rsid w:val="00DF679E"/>
    <w:rsid w:val="00DF689C"/>
    <w:rsid w:val="00DF68BB"/>
    <w:rsid w:val="00DF68D8"/>
    <w:rsid w:val="00DF68DC"/>
    <w:rsid w:val="00DF68F5"/>
    <w:rsid w:val="00DF692F"/>
    <w:rsid w:val="00DF6953"/>
    <w:rsid w:val="00DF698B"/>
    <w:rsid w:val="00DF6A4A"/>
    <w:rsid w:val="00DF6ABF"/>
    <w:rsid w:val="00DF6B1C"/>
    <w:rsid w:val="00DF6B30"/>
    <w:rsid w:val="00DF6B6C"/>
    <w:rsid w:val="00DF6BA8"/>
    <w:rsid w:val="00DF6BC2"/>
    <w:rsid w:val="00DF6BCA"/>
    <w:rsid w:val="00DF6BF0"/>
    <w:rsid w:val="00DF6C06"/>
    <w:rsid w:val="00DF6C2D"/>
    <w:rsid w:val="00DF6C97"/>
    <w:rsid w:val="00DF6CB6"/>
    <w:rsid w:val="00DF6D16"/>
    <w:rsid w:val="00DF6D3D"/>
    <w:rsid w:val="00DF6D47"/>
    <w:rsid w:val="00DF6E06"/>
    <w:rsid w:val="00DF6E6F"/>
    <w:rsid w:val="00DF6E76"/>
    <w:rsid w:val="00DF6E92"/>
    <w:rsid w:val="00DF6E97"/>
    <w:rsid w:val="00DF6EC2"/>
    <w:rsid w:val="00DF6EEB"/>
    <w:rsid w:val="00DF6F05"/>
    <w:rsid w:val="00DF6F1C"/>
    <w:rsid w:val="00DF6F34"/>
    <w:rsid w:val="00DF6FD1"/>
    <w:rsid w:val="00DF6FD7"/>
    <w:rsid w:val="00DF70B4"/>
    <w:rsid w:val="00DF70C6"/>
    <w:rsid w:val="00DF70D3"/>
    <w:rsid w:val="00DF70F3"/>
    <w:rsid w:val="00DF70F4"/>
    <w:rsid w:val="00DF7117"/>
    <w:rsid w:val="00DF7158"/>
    <w:rsid w:val="00DF718B"/>
    <w:rsid w:val="00DF7199"/>
    <w:rsid w:val="00DF71ED"/>
    <w:rsid w:val="00DF733D"/>
    <w:rsid w:val="00DF73B8"/>
    <w:rsid w:val="00DF73E6"/>
    <w:rsid w:val="00DF740A"/>
    <w:rsid w:val="00DF742B"/>
    <w:rsid w:val="00DF7435"/>
    <w:rsid w:val="00DF75D8"/>
    <w:rsid w:val="00DF7658"/>
    <w:rsid w:val="00DF76A1"/>
    <w:rsid w:val="00DF76E3"/>
    <w:rsid w:val="00DF7704"/>
    <w:rsid w:val="00DF771B"/>
    <w:rsid w:val="00DF775C"/>
    <w:rsid w:val="00DF7850"/>
    <w:rsid w:val="00DF786A"/>
    <w:rsid w:val="00DF78C2"/>
    <w:rsid w:val="00DF78D1"/>
    <w:rsid w:val="00DF791B"/>
    <w:rsid w:val="00DF798A"/>
    <w:rsid w:val="00DF7A84"/>
    <w:rsid w:val="00DF7AA4"/>
    <w:rsid w:val="00DF7AB7"/>
    <w:rsid w:val="00DF7B04"/>
    <w:rsid w:val="00DF7B0B"/>
    <w:rsid w:val="00DF7B0F"/>
    <w:rsid w:val="00DF7B20"/>
    <w:rsid w:val="00DF7B22"/>
    <w:rsid w:val="00DF7B6B"/>
    <w:rsid w:val="00DF7B6C"/>
    <w:rsid w:val="00DF7BD1"/>
    <w:rsid w:val="00DF7C10"/>
    <w:rsid w:val="00DF7C16"/>
    <w:rsid w:val="00DF7C39"/>
    <w:rsid w:val="00DF7C80"/>
    <w:rsid w:val="00DF7CC8"/>
    <w:rsid w:val="00DF7CD7"/>
    <w:rsid w:val="00DF7CFB"/>
    <w:rsid w:val="00DF7CFC"/>
    <w:rsid w:val="00DF7D50"/>
    <w:rsid w:val="00DF7DDA"/>
    <w:rsid w:val="00DF7E23"/>
    <w:rsid w:val="00DF7E5D"/>
    <w:rsid w:val="00DF7EDE"/>
    <w:rsid w:val="00DF7EE8"/>
    <w:rsid w:val="00DF7F04"/>
    <w:rsid w:val="00DF7F7A"/>
    <w:rsid w:val="00DF7FA6"/>
    <w:rsid w:val="00E0000B"/>
    <w:rsid w:val="00E00059"/>
    <w:rsid w:val="00E0007E"/>
    <w:rsid w:val="00E000FE"/>
    <w:rsid w:val="00E0015F"/>
    <w:rsid w:val="00E0018F"/>
    <w:rsid w:val="00E00236"/>
    <w:rsid w:val="00E002AB"/>
    <w:rsid w:val="00E00311"/>
    <w:rsid w:val="00E00332"/>
    <w:rsid w:val="00E00342"/>
    <w:rsid w:val="00E00357"/>
    <w:rsid w:val="00E0035D"/>
    <w:rsid w:val="00E00380"/>
    <w:rsid w:val="00E00417"/>
    <w:rsid w:val="00E00506"/>
    <w:rsid w:val="00E00515"/>
    <w:rsid w:val="00E0053A"/>
    <w:rsid w:val="00E00543"/>
    <w:rsid w:val="00E0054E"/>
    <w:rsid w:val="00E005F6"/>
    <w:rsid w:val="00E0063F"/>
    <w:rsid w:val="00E006F9"/>
    <w:rsid w:val="00E006FD"/>
    <w:rsid w:val="00E0071B"/>
    <w:rsid w:val="00E00777"/>
    <w:rsid w:val="00E007C4"/>
    <w:rsid w:val="00E007EC"/>
    <w:rsid w:val="00E00812"/>
    <w:rsid w:val="00E00843"/>
    <w:rsid w:val="00E008B5"/>
    <w:rsid w:val="00E008EF"/>
    <w:rsid w:val="00E0091D"/>
    <w:rsid w:val="00E00920"/>
    <w:rsid w:val="00E009E1"/>
    <w:rsid w:val="00E00A0B"/>
    <w:rsid w:val="00E00A3C"/>
    <w:rsid w:val="00E00A50"/>
    <w:rsid w:val="00E00A71"/>
    <w:rsid w:val="00E00A84"/>
    <w:rsid w:val="00E00AB6"/>
    <w:rsid w:val="00E00B07"/>
    <w:rsid w:val="00E00B65"/>
    <w:rsid w:val="00E00B70"/>
    <w:rsid w:val="00E00B9D"/>
    <w:rsid w:val="00E00BCB"/>
    <w:rsid w:val="00E00BD4"/>
    <w:rsid w:val="00E00BE0"/>
    <w:rsid w:val="00E00BE5"/>
    <w:rsid w:val="00E00BFB"/>
    <w:rsid w:val="00E00C00"/>
    <w:rsid w:val="00E00C11"/>
    <w:rsid w:val="00E00CA5"/>
    <w:rsid w:val="00E00CEA"/>
    <w:rsid w:val="00E00D1E"/>
    <w:rsid w:val="00E00D25"/>
    <w:rsid w:val="00E00D2C"/>
    <w:rsid w:val="00E00D36"/>
    <w:rsid w:val="00E00D40"/>
    <w:rsid w:val="00E00DD1"/>
    <w:rsid w:val="00E00E1F"/>
    <w:rsid w:val="00E00E9A"/>
    <w:rsid w:val="00E00EB2"/>
    <w:rsid w:val="00E00F67"/>
    <w:rsid w:val="00E01014"/>
    <w:rsid w:val="00E01017"/>
    <w:rsid w:val="00E01046"/>
    <w:rsid w:val="00E0112A"/>
    <w:rsid w:val="00E0116A"/>
    <w:rsid w:val="00E01170"/>
    <w:rsid w:val="00E011A1"/>
    <w:rsid w:val="00E011EB"/>
    <w:rsid w:val="00E01213"/>
    <w:rsid w:val="00E0121C"/>
    <w:rsid w:val="00E0125C"/>
    <w:rsid w:val="00E012A5"/>
    <w:rsid w:val="00E012C0"/>
    <w:rsid w:val="00E01368"/>
    <w:rsid w:val="00E013B3"/>
    <w:rsid w:val="00E013BC"/>
    <w:rsid w:val="00E013DD"/>
    <w:rsid w:val="00E0145B"/>
    <w:rsid w:val="00E01477"/>
    <w:rsid w:val="00E0149B"/>
    <w:rsid w:val="00E014AF"/>
    <w:rsid w:val="00E014F6"/>
    <w:rsid w:val="00E0157E"/>
    <w:rsid w:val="00E01592"/>
    <w:rsid w:val="00E015CC"/>
    <w:rsid w:val="00E0169F"/>
    <w:rsid w:val="00E016DB"/>
    <w:rsid w:val="00E0173C"/>
    <w:rsid w:val="00E017FC"/>
    <w:rsid w:val="00E01844"/>
    <w:rsid w:val="00E01896"/>
    <w:rsid w:val="00E01898"/>
    <w:rsid w:val="00E018BA"/>
    <w:rsid w:val="00E01900"/>
    <w:rsid w:val="00E0192C"/>
    <w:rsid w:val="00E01949"/>
    <w:rsid w:val="00E01965"/>
    <w:rsid w:val="00E019AA"/>
    <w:rsid w:val="00E019AF"/>
    <w:rsid w:val="00E019D9"/>
    <w:rsid w:val="00E01A49"/>
    <w:rsid w:val="00E01A5D"/>
    <w:rsid w:val="00E01A61"/>
    <w:rsid w:val="00E01A89"/>
    <w:rsid w:val="00E01ACF"/>
    <w:rsid w:val="00E01ADB"/>
    <w:rsid w:val="00E01B21"/>
    <w:rsid w:val="00E01B3F"/>
    <w:rsid w:val="00E01B71"/>
    <w:rsid w:val="00E01C1F"/>
    <w:rsid w:val="00E01CA5"/>
    <w:rsid w:val="00E01D1F"/>
    <w:rsid w:val="00E01D2A"/>
    <w:rsid w:val="00E01D51"/>
    <w:rsid w:val="00E01D8B"/>
    <w:rsid w:val="00E01DC8"/>
    <w:rsid w:val="00E01E31"/>
    <w:rsid w:val="00E01E61"/>
    <w:rsid w:val="00E01EF6"/>
    <w:rsid w:val="00E01F2E"/>
    <w:rsid w:val="00E01FCB"/>
    <w:rsid w:val="00E01FCC"/>
    <w:rsid w:val="00E0203A"/>
    <w:rsid w:val="00E02065"/>
    <w:rsid w:val="00E020BA"/>
    <w:rsid w:val="00E02179"/>
    <w:rsid w:val="00E02194"/>
    <w:rsid w:val="00E021AF"/>
    <w:rsid w:val="00E021F0"/>
    <w:rsid w:val="00E021F2"/>
    <w:rsid w:val="00E0221F"/>
    <w:rsid w:val="00E02230"/>
    <w:rsid w:val="00E0223F"/>
    <w:rsid w:val="00E0229C"/>
    <w:rsid w:val="00E022A1"/>
    <w:rsid w:val="00E022B5"/>
    <w:rsid w:val="00E02313"/>
    <w:rsid w:val="00E02332"/>
    <w:rsid w:val="00E02361"/>
    <w:rsid w:val="00E023AF"/>
    <w:rsid w:val="00E023E1"/>
    <w:rsid w:val="00E023F7"/>
    <w:rsid w:val="00E023FC"/>
    <w:rsid w:val="00E02476"/>
    <w:rsid w:val="00E024A5"/>
    <w:rsid w:val="00E024B6"/>
    <w:rsid w:val="00E024C8"/>
    <w:rsid w:val="00E024DE"/>
    <w:rsid w:val="00E024EC"/>
    <w:rsid w:val="00E0250A"/>
    <w:rsid w:val="00E02520"/>
    <w:rsid w:val="00E025A1"/>
    <w:rsid w:val="00E025D9"/>
    <w:rsid w:val="00E025F7"/>
    <w:rsid w:val="00E0263D"/>
    <w:rsid w:val="00E02809"/>
    <w:rsid w:val="00E02919"/>
    <w:rsid w:val="00E02989"/>
    <w:rsid w:val="00E02A05"/>
    <w:rsid w:val="00E02A38"/>
    <w:rsid w:val="00E02A46"/>
    <w:rsid w:val="00E02B06"/>
    <w:rsid w:val="00E02B0A"/>
    <w:rsid w:val="00E02BC5"/>
    <w:rsid w:val="00E02BF5"/>
    <w:rsid w:val="00E02C3B"/>
    <w:rsid w:val="00E02C57"/>
    <w:rsid w:val="00E02D8E"/>
    <w:rsid w:val="00E02D91"/>
    <w:rsid w:val="00E02DEC"/>
    <w:rsid w:val="00E02E03"/>
    <w:rsid w:val="00E02E4C"/>
    <w:rsid w:val="00E02ECA"/>
    <w:rsid w:val="00E02F26"/>
    <w:rsid w:val="00E02F81"/>
    <w:rsid w:val="00E02FE6"/>
    <w:rsid w:val="00E0300B"/>
    <w:rsid w:val="00E0304F"/>
    <w:rsid w:val="00E0309C"/>
    <w:rsid w:val="00E030A4"/>
    <w:rsid w:val="00E030B6"/>
    <w:rsid w:val="00E03120"/>
    <w:rsid w:val="00E03128"/>
    <w:rsid w:val="00E03205"/>
    <w:rsid w:val="00E03234"/>
    <w:rsid w:val="00E03255"/>
    <w:rsid w:val="00E032B4"/>
    <w:rsid w:val="00E03317"/>
    <w:rsid w:val="00E033B1"/>
    <w:rsid w:val="00E033B8"/>
    <w:rsid w:val="00E033CA"/>
    <w:rsid w:val="00E033CC"/>
    <w:rsid w:val="00E033EA"/>
    <w:rsid w:val="00E03418"/>
    <w:rsid w:val="00E03481"/>
    <w:rsid w:val="00E034D7"/>
    <w:rsid w:val="00E034EB"/>
    <w:rsid w:val="00E03560"/>
    <w:rsid w:val="00E0357C"/>
    <w:rsid w:val="00E035B8"/>
    <w:rsid w:val="00E035C4"/>
    <w:rsid w:val="00E0361F"/>
    <w:rsid w:val="00E0366F"/>
    <w:rsid w:val="00E03686"/>
    <w:rsid w:val="00E03692"/>
    <w:rsid w:val="00E03701"/>
    <w:rsid w:val="00E03762"/>
    <w:rsid w:val="00E03765"/>
    <w:rsid w:val="00E037E0"/>
    <w:rsid w:val="00E037E5"/>
    <w:rsid w:val="00E037F6"/>
    <w:rsid w:val="00E038C6"/>
    <w:rsid w:val="00E03917"/>
    <w:rsid w:val="00E03942"/>
    <w:rsid w:val="00E0394A"/>
    <w:rsid w:val="00E0395B"/>
    <w:rsid w:val="00E03A65"/>
    <w:rsid w:val="00E03AD3"/>
    <w:rsid w:val="00E03B02"/>
    <w:rsid w:val="00E03BC9"/>
    <w:rsid w:val="00E03BEE"/>
    <w:rsid w:val="00E03BF6"/>
    <w:rsid w:val="00E03C15"/>
    <w:rsid w:val="00E03C38"/>
    <w:rsid w:val="00E03C44"/>
    <w:rsid w:val="00E03C48"/>
    <w:rsid w:val="00E03C88"/>
    <w:rsid w:val="00E03D3D"/>
    <w:rsid w:val="00E03D48"/>
    <w:rsid w:val="00E03D6B"/>
    <w:rsid w:val="00E03DDB"/>
    <w:rsid w:val="00E03DDE"/>
    <w:rsid w:val="00E03DE7"/>
    <w:rsid w:val="00E03E0B"/>
    <w:rsid w:val="00E03E3F"/>
    <w:rsid w:val="00E03E59"/>
    <w:rsid w:val="00E03E69"/>
    <w:rsid w:val="00E03E7F"/>
    <w:rsid w:val="00E03EE0"/>
    <w:rsid w:val="00E03F50"/>
    <w:rsid w:val="00E03F69"/>
    <w:rsid w:val="00E03FA7"/>
    <w:rsid w:val="00E03FB4"/>
    <w:rsid w:val="00E03FF7"/>
    <w:rsid w:val="00E04118"/>
    <w:rsid w:val="00E0419F"/>
    <w:rsid w:val="00E04283"/>
    <w:rsid w:val="00E04285"/>
    <w:rsid w:val="00E0428A"/>
    <w:rsid w:val="00E042D1"/>
    <w:rsid w:val="00E042F8"/>
    <w:rsid w:val="00E04320"/>
    <w:rsid w:val="00E04329"/>
    <w:rsid w:val="00E0433F"/>
    <w:rsid w:val="00E04370"/>
    <w:rsid w:val="00E04393"/>
    <w:rsid w:val="00E0446D"/>
    <w:rsid w:val="00E044B2"/>
    <w:rsid w:val="00E044CA"/>
    <w:rsid w:val="00E04501"/>
    <w:rsid w:val="00E04593"/>
    <w:rsid w:val="00E045A6"/>
    <w:rsid w:val="00E0464C"/>
    <w:rsid w:val="00E04669"/>
    <w:rsid w:val="00E046C2"/>
    <w:rsid w:val="00E0471D"/>
    <w:rsid w:val="00E0475F"/>
    <w:rsid w:val="00E047BD"/>
    <w:rsid w:val="00E047E2"/>
    <w:rsid w:val="00E0480F"/>
    <w:rsid w:val="00E04853"/>
    <w:rsid w:val="00E048C6"/>
    <w:rsid w:val="00E0490E"/>
    <w:rsid w:val="00E04918"/>
    <w:rsid w:val="00E0493C"/>
    <w:rsid w:val="00E049EA"/>
    <w:rsid w:val="00E04A77"/>
    <w:rsid w:val="00E04AB2"/>
    <w:rsid w:val="00E04AEF"/>
    <w:rsid w:val="00E04AFD"/>
    <w:rsid w:val="00E04B42"/>
    <w:rsid w:val="00E04B4D"/>
    <w:rsid w:val="00E04B9B"/>
    <w:rsid w:val="00E04BE4"/>
    <w:rsid w:val="00E04C20"/>
    <w:rsid w:val="00E04C7E"/>
    <w:rsid w:val="00E04C97"/>
    <w:rsid w:val="00E04CE6"/>
    <w:rsid w:val="00E04D0B"/>
    <w:rsid w:val="00E04D5C"/>
    <w:rsid w:val="00E04DE8"/>
    <w:rsid w:val="00E04EAE"/>
    <w:rsid w:val="00E04F24"/>
    <w:rsid w:val="00E04F94"/>
    <w:rsid w:val="00E04FA3"/>
    <w:rsid w:val="00E05000"/>
    <w:rsid w:val="00E05048"/>
    <w:rsid w:val="00E05050"/>
    <w:rsid w:val="00E05074"/>
    <w:rsid w:val="00E0508F"/>
    <w:rsid w:val="00E050DE"/>
    <w:rsid w:val="00E050F5"/>
    <w:rsid w:val="00E050FD"/>
    <w:rsid w:val="00E05169"/>
    <w:rsid w:val="00E051D3"/>
    <w:rsid w:val="00E052B6"/>
    <w:rsid w:val="00E052D1"/>
    <w:rsid w:val="00E05331"/>
    <w:rsid w:val="00E05388"/>
    <w:rsid w:val="00E053BB"/>
    <w:rsid w:val="00E05408"/>
    <w:rsid w:val="00E054BC"/>
    <w:rsid w:val="00E054D0"/>
    <w:rsid w:val="00E0551A"/>
    <w:rsid w:val="00E0553F"/>
    <w:rsid w:val="00E0555F"/>
    <w:rsid w:val="00E05744"/>
    <w:rsid w:val="00E05750"/>
    <w:rsid w:val="00E05767"/>
    <w:rsid w:val="00E05862"/>
    <w:rsid w:val="00E05911"/>
    <w:rsid w:val="00E0594D"/>
    <w:rsid w:val="00E0596A"/>
    <w:rsid w:val="00E059A5"/>
    <w:rsid w:val="00E059E4"/>
    <w:rsid w:val="00E05A3E"/>
    <w:rsid w:val="00E05B50"/>
    <w:rsid w:val="00E05BB9"/>
    <w:rsid w:val="00E05C0F"/>
    <w:rsid w:val="00E05C37"/>
    <w:rsid w:val="00E05C7B"/>
    <w:rsid w:val="00E05D2A"/>
    <w:rsid w:val="00E05D33"/>
    <w:rsid w:val="00E05D60"/>
    <w:rsid w:val="00E05D89"/>
    <w:rsid w:val="00E05D9B"/>
    <w:rsid w:val="00E05DAB"/>
    <w:rsid w:val="00E05DCC"/>
    <w:rsid w:val="00E05E4E"/>
    <w:rsid w:val="00E05E51"/>
    <w:rsid w:val="00E05E7C"/>
    <w:rsid w:val="00E05E89"/>
    <w:rsid w:val="00E05F04"/>
    <w:rsid w:val="00E05F0B"/>
    <w:rsid w:val="00E05FBC"/>
    <w:rsid w:val="00E05FED"/>
    <w:rsid w:val="00E0604A"/>
    <w:rsid w:val="00E06099"/>
    <w:rsid w:val="00E060AE"/>
    <w:rsid w:val="00E060C6"/>
    <w:rsid w:val="00E060F2"/>
    <w:rsid w:val="00E06140"/>
    <w:rsid w:val="00E061E0"/>
    <w:rsid w:val="00E06220"/>
    <w:rsid w:val="00E06249"/>
    <w:rsid w:val="00E06252"/>
    <w:rsid w:val="00E06293"/>
    <w:rsid w:val="00E0630E"/>
    <w:rsid w:val="00E06327"/>
    <w:rsid w:val="00E06338"/>
    <w:rsid w:val="00E0635B"/>
    <w:rsid w:val="00E06378"/>
    <w:rsid w:val="00E063A5"/>
    <w:rsid w:val="00E063C0"/>
    <w:rsid w:val="00E06401"/>
    <w:rsid w:val="00E06404"/>
    <w:rsid w:val="00E06479"/>
    <w:rsid w:val="00E06542"/>
    <w:rsid w:val="00E0654C"/>
    <w:rsid w:val="00E06580"/>
    <w:rsid w:val="00E065A3"/>
    <w:rsid w:val="00E06612"/>
    <w:rsid w:val="00E0666D"/>
    <w:rsid w:val="00E066F5"/>
    <w:rsid w:val="00E06707"/>
    <w:rsid w:val="00E06731"/>
    <w:rsid w:val="00E067B1"/>
    <w:rsid w:val="00E067D3"/>
    <w:rsid w:val="00E067F0"/>
    <w:rsid w:val="00E068BF"/>
    <w:rsid w:val="00E068CF"/>
    <w:rsid w:val="00E068E5"/>
    <w:rsid w:val="00E068F1"/>
    <w:rsid w:val="00E0694F"/>
    <w:rsid w:val="00E069A9"/>
    <w:rsid w:val="00E06A13"/>
    <w:rsid w:val="00E06A21"/>
    <w:rsid w:val="00E06A83"/>
    <w:rsid w:val="00E06BAD"/>
    <w:rsid w:val="00E06CF1"/>
    <w:rsid w:val="00E06D2F"/>
    <w:rsid w:val="00E06D3B"/>
    <w:rsid w:val="00E06DEE"/>
    <w:rsid w:val="00E06DEF"/>
    <w:rsid w:val="00E06E01"/>
    <w:rsid w:val="00E06E27"/>
    <w:rsid w:val="00E06E40"/>
    <w:rsid w:val="00E06E54"/>
    <w:rsid w:val="00E06E8A"/>
    <w:rsid w:val="00E06FB1"/>
    <w:rsid w:val="00E06FB9"/>
    <w:rsid w:val="00E07078"/>
    <w:rsid w:val="00E070F0"/>
    <w:rsid w:val="00E07150"/>
    <w:rsid w:val="00E07164"/>
    <w:rsid w:val="00E0716D"/>
    <w:rsid w:val="00E071E5"/>
    <w:rsid w:val="00E0720F"/>
    <w:rsid w:val="00E0721C"/>
    <w:rsid w:val="00E072E3"/>
    <w:rsid w:val="00E072E8"/>
    <w:rsid w:val="00E07315"/>
    <w:rsid w:val="00E073C3"/>
    <w:rsid w:val="00E073CC"/>
    <w:rsid w:val="00E074A2"/>
    <w:rsid w:val="00E074B7"/>
    <w:rsid w:val="00E074FB"/>
    <w:rsid w:val="00E07521"/>
    <w:rsid w:val="00E0752A"/>
    <w:rsid w:val="00E0754B"/>
    <w:rsid w:val="00E075A8"/>
    <w:rsid w:val="00E07628"/>
    <w:rsid w:val="00E07632"/>
    <w:rsid w:val="00E07691"/>
    <w:rsid w:val="00E076A7"/>
    <w:rsid w:val="00E07724"/>
    <w:rsid w:val="00E07725"/>
    <w:rsid w:val="00E07742"/>
    <w:rsid w:val="00E07754"/>
    <w:rsid w:val="00E077C7"/>
    <w:rsid w:val="00E0780E"/>
    <w:rsid w:val="00E07813"/>
    <w:rsid w:val="00E07869"/>
    <w:rsid w:val="00E07881"/>
    <w:rsid w:val="00E0788A"/>
    <w:rsid w:val="00E07895"/>
    <w:rsid w:val="00E07936"/>
    <w:rsid w:val="00E079E6"/>
    <w:rsid w:val="00E07AE8"/>
    <w:rsid w:val="00E07B06"/>
    <w:rsid w:val="00E07B1B"/>
    <w:rsid w:val="00E07B74"/>
    <w:rsid w:val="00E07C4D"/>
    <w:rsid w:val="00E07C52"/>
    <w:rsid w:val="00E07CA0"/>
    <w:rsid w:val="00E07CAA"/>
    <w:rsid w:val="00E07CC1"/>
    <w:rsid w:val="00E07CEB"/>
    <w:rsid w:val="00E07CFD"/>
    <w:rsid w:val="00E07D14"/>
    <w:rsid w:val="00E07D16"/>
    <w:rsid w:val="00E07E59"/>
    <w:rsid w:val="00E07E6C"/>
    <w:rsid w:val="00E07EA0"/>
    <w:rsid w:val="00E07F30"/>
    <w:rsid w:val="00E07F78"/>
    <w:rsid w:val="00E07FE7"/>
    <w:rsid w:val="00E0ECBB"/>
    <w:rsid w:val="00E10158"/>
    <w:rsid w:val="00E1016D"/>
    <w:rsid w:val="00E10173"/>
    <w:rsid w:val="00E10194"/>
    <w:rsid w:val="00E101C8"/>
    <w:rsid w:val="00E101DE"/>
    <w:rsid w:val="00E101FC"/>
    <w:rsid w:val="00E102F1"/>
    <w:rsid w:val="00E10320"/>
    <w:rsid w:val="00E10354"/>
    <w:rsid w:val="00E10415"/>
    <w:rsid w:val="00E10426"/>
    <w:rsid w:val="00E10452"/>
    <w:rsid w:val="00E104E8"/>
    <w:rsid w:val="00E104EF"/>
    <w:rsid w:val="00E104FB"/>
    <w:rsid w:val="00E10524"/>
    <w:rsid w:val="00E105E7"/>
    <w:rsid w:val="00E10604"/>
    <w:rsid w:val="00E1063E"/>
    <w:rsid w:val="00E106BD"/>
    <w:rsid w:val="00E106ED"/>
    <w:rsid w:val="00E1079E"/>
    <w:rsid w:val="00E108DC"/>
    <w:rsid w:val="00E1095C"/>
    <w:rsid w:val="00E10967"/>
    <w:rsid w:val="00E10969"/>
    <w:rsid w:val="00E10A24"/>
    <w:rsid w:val="00E10A30"/>
    <w:rsid w:val="00E10A39"/>
    <w:rsid w:val="00E10AC1"/>
    <w:rsid w:val="00E10AE1"/>
    <w:rsid w:val="00E10B1E"/>
    <w:rsid w:val="00E10B4C"/>
    <w:rsid w:val="00E10B96"/>
    <w:rsid w:val="00E10BAF"/>
    <w:rsid w:val="00E10BB2"/>
    <w:rsid w:val="00E10C38"/>
    <w:rsid w:val="00E10C71"/>
    <w:rsid w:val="00E10CF1"/>
    <w:rsid w:val="00E10D8B"/>
    <w:rsid w:val="00E10DF4"/>
    <w:rsid w:val="00E10E9A"/>
    <w:rsid w:val="00E10EB2"/>
    <w:rsid w:val="00E10EBB"/>
    <w:rsid w:val="00E10F0A"/>
    <w:rsid w:val="00E10F67"/>
    <w:rsid w:val="00E10F6F"/>
    <w:rsid w:val="00E10F8D"/>
    <w:rsid w:val="00E10FA0"/>
    <w:rsid w:val="00E11066"/>
    <w:rsid w:val="00E110C0"/>
    <w:rsid w:val="00E110D9"/>
    <w:rsid w:val="00E110F9"/>
    <w:rsid w:val="00E1110D"/>
    <w:rsid w:val="00E11163"/>
    <w:rsid w:val="00E1126C"/>
    <w:rsid w:val="00E112A5"/>
    <w:rsid w:val="00E112EC"/>
    <w:rsid w:val="00E11366"/>
    <w:rsid w:val="00E113F4"/>
    <w:rsid w:val="00E114FD"/>
    <w:rsid w:val="00E1150C"/>
    <w:rsid w:val="00E1152F"/>
    <w:rsid w:val="00E1157D"/>
    <w:rsid w:val="00E115F2"/>
    <w:rsid w:val="00E11616"/>
    <w:rsid w:val="00E116CF"/>
    <w:rsid w:val="00E11704"/>
    <w:rsid w:val="00E11781"/>
    <w:rsid w:val="00E117BC"/>
    <w:rsid w:val="00E117EA"/>
    <w:rsid w:val="00E11836"/>
    <w:rsid w:val="00E1183E"/>
    <w:rsid w:val="00E1190A"/>
    <w:rsid w:val="00E1190E"/>
    <w:rsid w:val="00E1198E"/>
    <w:rsid w:val="00E119EB"/>
    <w:rsid w:val="00E119FD"/>
    <w:rsid w:val="00E11A2A"/>
    <w:rsid w:val="00E11A32"/>
    <w:rsid w:val="00E11A64"/>
    <w:rsid w:val="00E11A71"/>
    <w:rsid w:val="00E11AA0"/>
    <w:rsid w:val="00E11AD7"/>
    <w:rsid w:val="00E11ADD"/>
    <w:rsid w:val="00E11AE2"/>
    <w:rsid w:val="00E11B09"/>
    <w:rsid w:val="00E11B3D"/>
    <w:rsid w:val="00E11BA6"/>
    <w:rsid w:val="00E11BB4"/>
    <w:rsid w:val="00E11BE7"/>
    <w:rsid w:val="00E11BF9"/>
    <w:rsid w:val="00E11C02"/>
    <w:rsid w:val="00E11C77"/>
    <w:rsid w:val="00E11C80"/>
    <w:rsid w:val="00E11C95"/>
    <w:rsid w:val="00E11CB1"/>
    <w:rsid w:val="00E11CFC"/>
    <w:rsid w:val="00E11CFD"/>
    <w:rsid w:val="00E11D1A"/>
    <w:rsid w:val="00E11D72"/>
    <w:rsid w:val="00E11E28"/>
    <w:rsid w:val="00E11E32"/>
    <w:rsid w:val="00E11E50"/>
    <w:rsid w:val="00E11E82"/>
    <w:rsid w:val="00E11E98"/>
    <w:rsid w:val="00E11F65"/>
    <w:rsid w:val="00E11F67"/>
    <w:rsid w:val="00E11F8C"/>
    <w:rsid w:val="00E11FD5"/>
    <w:rsid w:val="00E11FED"/>
    <w:rsid w:val="00E11FF7"/>
    <w:rsid w:val="00E11FF8"/>
    <w:rsid w:val="00E12052"/>
    <w:rsid w:val="00E12099"/>
    <w:rsid w:val="00E120D1"/>
    <w:rsid w:val="00E120D9"/>
    <w:rsid w:val="00E120E7"/>
    <w:rsid w:val="00E12230"/>
    <w:rsid w:val="00E122EB"/>
    <w:rsid w:val="00E12304"/>
    <w:rsid w:val="00E12339"/>
    <w:rsid w:val="00E1233A"/>
    <w:rsid w:val="00E123A1"/>
    <w:rsid w:val="00E124B1"/>
    <w:rsid w:val="00E12517"/>
    <w:rsid w:val="00E12537"/>
    <w:rsid w:val="00E1255D"/>
    <w:rsid w:val="00E126C4"/>
    <w:rsid w:val="00E1271F"/>
    <w:rsid w:val="00E1276F"/>
    <w:rsid w:val="00E127B0"/>
    <w:rsid w:val="00E127F1"/>
    <w:rsid w:val="00E12844"/>
    <w:rsid w:val="00E12845"/>
    <w:rsid w:val="00E12895"/>
    <w:rsid w:val="00E128F4"/>
    <w:rsid w:val="00E1291A"/>
    <w:rsid w:val="00E129A8"/>
    <w:rsid w:val="00E129C9"/>
    <w:rsid w:val="00E129D2"/>
    <w:rsid w:val="00E12A05"/>
    <w:rsid w:val="00E12A26"/>
    <w:rsid w:val="00E12A3D"/>
    <w:rsid w:val="00E12A42"/>
    <w:rsid w:val="00E12A7A"/>
    <w:rsid w:val="00E12A88"/>
    <w:rsid w:val="00E12AAA"/>
    <w:rsid w:val="00E12AE6"/>
    <w:rsid w:val="00E12AE8"/>
    <w:rsid w:val="00E12B43"/>
    <w:rsid w:val="00E12B53"/>
    <w:rsid w:val="00E12B73"/>
    <w:rsid w:val="00E12B86"/>
    <w:rsid w:val="00E12BB8"/>
    <w:rsid w:val="00E12BC6"/>
    <w:rsid w:val="00E12CF9"/>
    <w:rsid w:val="00E12CFF"/>
    <w:rsid w:val="00E12D35"/>
    <w:rsid w:val="00E12D77"/>
    <w:rsid w:val="00E12DA0"/>
    <w:rsid w:val="00E12DA5"/>
    <w:rsid w:val="00E12DB8"/>
    <w:rsid w:val="00E12E13"/>
    <w:rsid w:val="00E12E49"/>
    <w:rsid w:val="00E12F3A"/>
    <w:rsid w:val="00E12F68"/>
    <w:rsid w:val="00E1304E"/>
    <w:rsid w:val="00E13084"/>
    <w:rsid w:val="00E13096"/>
    <w:rsid w:val="00E130A6"/>
    <w:rsid w:val="00E13114"/>
    <w:rsid w:val="00E1311D"/>
    <w:rsid w:val="00E13153"/>
    <w:rsid w:val="00E131A4"/>
    <w:rsid w:val="00E131E1"/>
    <w:rsid w:val="00E13214"/>
    <w:rsid w:val="00E13218"/>
    <w:rsid w:val="00E13230"/>
    <w:rsid w:val="00E13240"/>
    <w:rsid w:val="00E1329C"/>
    <w:rsid w:val="00E1329F"/>
    <w:rsid w:val="00E132A4"/>
    <w:rsid w:val="00E132DA"/>
    <w:rsid w:val="00E133E8"/>
    <w:rsid w:val="00E1343E"/>
    <w:rsid w:val="00E13462"/>
    <w:rsid w:val="00E134A9"/>
    <w:rsid w:val="00E134C8"/>
    <w:rsid w:val="00E1354A"/>
    <w:rsid w:val="00E13560"/>
    <w:rsid w:val="00E13563"/>
    <w:rsid w:val="00E13571"/>
    <w:rsid w:val="00E13579"/>
    <w:rsid w:val="00E1365A"/>
    <w:rsid w:val="00E1366C"/>
    <w:rsid w:val="00E136AF"/>
    <w:rsid w:val="00E136C2"/>
    <w:rsid w:val="00E1373D"/>
    <w:rsid w:val="00E137A3"/>
    <w:rsid w:val="00E137C1"/>
    <w:rsid w:val="00E137E1"/>
    <w:rsid w:val="00E13879"/>
    <w:rsid w:val="00E13882"/>
    <w:rsid w:val="00E13953"/>
    <w:rsid w:val="00E1396D"/>
    <w:rsid w:val="00E13A21"/>
    <w:rsid w:val="00E13A68"/>
    <w:rsid w:val="00E13A99"/>
    <w:rsid w:val="00E13AB1"/>
    <w:rsid w:val="00E13ACE"/>
    <w:rsid w:val="00E13B51"/>
    <w:rsid w:val="00E13B7A"/>
    <w:rsid w:val="00E13B87"/>
    <w:rsid w:val="00E13BA5"/>
    <w:rsid w:val="00E13BEE"/>
    <w:rsid w:val="00E13BF1"/>
    <w:rsid w:val="00E13C18"/>
    <w:rsid w:val="00E13C51"/>
    <w:rsid w:val="00E13CD6"/>
    <w:rsid w:val="00E13D91"/>
    <w:rsid w:val="00E13DB7"/>
    <w:rsid w:val="00E13DCA"/>
    <w:rsid w:val="00E13DEB"/>
    <w:rsid w:val="00E13E00"/>
    <w:rsid w:val="00E13E7B"/>
    <w:rsid w:val="00E13EE9"/>
    <w:rsid w:val="00E13FDD"/>
    <w:rsid w:val="00E1409C"/>
    <w:rsid w:val="00E14152"/>
    <w:rsid w:val="00E141C5"/>
    <w:rsid w:val="00E141D9"/>
    <w:rsid w:val="00E14292"/>
    <w:rsid w:val="00E142CF"/>
    <w:rsid w:val="00E142E3"/>
    <w:rsid w:val="00E142F0"/>
    <w:rsid w:val="00E142F2"/>
    <w:rsid w:val="00E143A7"/>
    <w:rsid w:val="00E14429"/>
    <w:rsid w:val="00E1446B"/>
    <w:rsid w:val="00E144DC"/>
    <w:rsid w:val="00E14577"/>
    <w:rsid w:val="00E145A1"/>
    <w:rsid w:val="00E1460D"/>
    <w:rsid w:val="00E14621"/>
    <w:rsid w:val="00E1468A"/>
    <w:rsid w:val="00E14697"/>
    <w:rsid w:val="00E146E9"/>
    <w:rsid w:val="00E14701"/>
    <w:rsid w:val="00E1474F"/>
    <w:rsid w:val="00E1475C"/>
    <w:rsid w:val="00E14772"/>
    <w:rsid w:val="00E147A1"/>
    <w:rsid w:val="00E147D3"/>
    <w:rsid w:val="00E14846"/>
    <w:rsid w:val="00E14863"/>
    <w:rsid w:val="00E14883"/>
    <w:rsid w:val="00E1489C"/>
    <w:rsid w:val="00E148DE"/>
    <w:rsid w:val="00E148E5"/>
    <w:rsid w:val="00E14960"/>
    <w:rsid w:val="00E14977"/>
    <w:rsid w:val="00E149BE"/>
    <w:rsid w:val="00E149E3"/>
    <w:rsid w:val="00E14A07"/>
    <w:rsid w:val="00E14A49"/>
    <w:rsid w:val="00E14A5F"/>
    <w:rsid w:val="00E14A75"/>
    <w:rsid w:val="00E14AA8"/>
    <w:rsid w:val="00E14AE5"/>
    <w:rsid w:val="00E14B08"/>
    <w:rsid w:val="00E14C0D"/>
    <w:rsid w:val="00E14C2A"/>
    <w:rsid w:val="00E14C39"/>
    <w:rsid w:val="00E14C6C"/>
    <w:rsid w:val="00E14DB5"/>
    <w:rsid w:val="00E14DBC"/>
    <w:rsid w:val="00E14F20"/>
    <w:rsid w:val="00E14FD0"/>
    <w:rsid w:val="00E15012"/>
    <w:rsid w:val="00E150D4"/>
    <w:rsid w:val="00E1512C"/>
    <w:rsid w:val="00E15146"/>
    <w:rsid w:val="00E151AF"/>
    <w:rsid w:val="00E151F1"/>
    <w:rsid w:val="00E15207"/>
    <w:rsid w:val="00E1525C"/>
    <w:rsid w:val="00E15292"/>
    <w:rsid w:val="00E153A5"/>
    <w:rsid w:val="00E153A9"/>
    <w:rsid w:val="00E15400"/>
    <w:rsid w:val="00E15464"/>
    <w:rsid w:val="00E15489"/>
    <w:rsid w:val="00E1548C"/>
    <w:rsid w:val="00E154F6"/>
    <w:rsid w:val="00E15512"/>
    <w:rsid w:val="00E15535"/>
    <w:rsid w:val="00E15536"/>
    <w:rsid w:val="00E15554"/>
    <w:rsid w:val="00E15622"/>
    <w:rsid w:val="00E15663"/>
    <w:rsid w:val="00E156BF"/>
    <w:rsid w:val="00E156CD"/>
    <w:rsid w:val="00E156FA"/>
    <w:rsid w:val="00E1570D"/>
    <w:rsid w:val="00E157E9"/>
    <w:rsid w:val="00E1580C"/>
    <w:rsid w:val="00E1581E"/>
    <w:rsid w:val="00E1585D"/>
    <w:rsid w:val="00E1586A"/>
    <w:rsid w:val="00E158C0"/>
    <w:rsid w:val="00E158E2"/>
    <w:rsid w:val="00E1592A"/>
    <w:rsid w:val="00E15930"/>
    <w:rsid w:val="00E15938"/>
    <w:rsid w:val="00E1599A"/>
    <w:rsid w:val="00E159E2"/>
    <w:rsid w:val="00E159EE"/>
    <w:rsid w:val="00E15A31"/>
    <w:rsid w:val="00E15A71"/>
    <w:rsid w:val="00E15A77"/>
    <w:rsid w:val="00E15AB2"/>
    <w:rsid w:val="00E15AEA"/>
    <w:rsid w:val="00E15B30"/>
    <w:rsid w:val="00E15B52"/>
    <w:rsid w:val="00E15B83"/>
    <w:rsid w:val="00E15B9D"/>
    <w:rsid w:val="00E15BA1"/>
    <w:rsid w:val="00E15BE6"/>
    <w:rsid w:val="00E15C1A"/>
    <w:rsid w:val="00E15C47"/>
    <w:rsid w:val="00E15CBE"/>
    <w:rsid w:val="00E15CBF"/>
    <w:rsid w:val="00E15D33"/>
    <w:rsid w:val="00E15D4E"/>
    <w:rsid w:val="00E15D62"/>
    <w:rsid w:val="00E15E17"/>
    <w:rsid w:val="00E15E1A"/>
    <w:rsid w:val="00E15EBF"/>
    <w:rsid w:val="00E15FCB"/>
    <w:rsid w:val="00E15FFB"/>
    <w:rsid w:val="00E16003"/>
    <w:rsid w:val="00E16062"/>
    <w:rsid w:val="00E160B3"/>
    <w:rsid w:val="00E160FB"/>
    <w:rsid w:val="00E16103"/>
    <w:rsid w:val="00E16107"/>
    <w:rsid w:val="00E1614E"/>
    <w:rsid w:val="00E16164"/>
    <w:rsid w:val="00E161A7"/>
    <w:rsid w:val="00E161F3"/>
    <w:rsid w:val="00E16288"/>
    <w:rsid w:val="00E162A1"/>
    <w:rsid w:val="00E162B4"/>
    <w:rsid w:val="00E1635E"/>
    <w:rsid w:val="00E1636A"/>
    <w:rsid w:val="00E1637A"/>
    <w:rsid w:val="00E163CD"/>
    <w:rsid w:val="00E163CF"/>
    <w:rsid w:val="00E1642B"/>
    <w:rsid w:val="00E1646E"/>
    <w:rsid w:val="00E164AE"/>
    <w:rsid w:val="00E164C2"/>
    <w:rsid w:val="00E16505"/>
    <w:rsid w:val="00E1650F"/>
    <w:rsid w:val="00E1651F"/>
    <w:rsid w:val="00E1652D"/>
    <w:rsid w:val="00E1653B"/>
    <w:rsid w:val="00E1660E"/>
    <w:rsid w:val="00E16624"/>
    <w:rsid w:val="00E16678"/>
    <w:rsid w:val="00E1669A"/>
    <w:rsid w:val="00E166CC"/>
    <w:rsid w:val="00E1670A"/>
    <w:rsid w:val="00E16729"/>
    <w:rsid w:val="00E16756"/>
    <w:rsid w:val="00E1675E"/>
    <w:rsid w:val="00E1676C"/>
    <w:rsid w:val="00E16847"/>
    <w:rsid w:val="00E1692F"/>
    <w:rsid w:val="00E16990"/>
    <w:rsid w:val="00E169C7"/>
    <w:rsid w:val="00E16A71"/>
    <w:rsid w:val="00E16B0E"/>
    <w:rsid w:val="00E16B36"/>
    <w:rsid w:val="00E16B59"/>
    <w:rsid w:val="00E16B7B"/>
    <w:rsid w:val="00E16C22"/>
    <w:rsid w:val="00E16C51"/>
    <w:rsid w:val="00E16C77"/>
    <w:rsid w:val="00E16C9A"/>
    <w:rsid w:val="00E16CB7"/>
    <w:rsid w:val="00E16CCA"/>
    <w:rsid w:val="00E16D35"/>
    <w:rsid w:val="00E16D4B"/>
    <w:rsid w:val="00E16D61"/>
    <w:rsid w:val="00E16D85"/>
    <w:rsid w:val="00E16DDC"/>
    <w:rsid w:val="00E16E09"/>
    <w:rsid w:val="00E16E2A"/>
    <w:rsid w:val="00E16E78"/>
    <w:rsid w:val="00E16F2D"/>
    <w:rsid w:val="00E16FD6"/>
    <w:rsid w:val="00E16FF5"/>
    <w:rsid w:val="00E16FFE"/>
    <w:rsid w:val="00E17023"/>
    <w:rsid w:val="00E17032"/>
    <w:rsid w:val="00E17038"/>
    <w:rsid w:val="00E1707D"/>
    <w:rsid w:val="00E17096"/>
    <w:rsid w:val="00E170D1"/>
    <w:rsid w:val="00E1716B"/>
    <w:rsid w:val="00E171B7"/>
    <w:rsid w:val="00E17238"/>
    <w:rsid w:val="00E17286"/>
    <w:rsid w:val="00E1728D"/>
    <w:rsid w:val="00E172A5"/>
    <w:rsid w:val="00E172AE"/>
    <w:rsid w:val="00E172DC"/>
    <w:rsid w:val="00E172E4"/>
    <w:rsid w:val="00E172F6"/>
    <w:rsid w:val="00E1738F"/>
    <w:rsid w:val="00E1739C"/>
    <w:rsid w:val="00E173A6"/>
    <w:rsid w:val="00E1750C"/>
    <w:rsid w:val="00E17523"/>
    <w:rsid w:val="00E17567"/>
    <w:rsid w:val="00E175D2"/>
    <w:rsid w:val="00E175F8"/>
    <w:rsid w:val="00E175FE"/>
    <w:rsid w:val="00E17678"/>
    <w:rsid w:val="00E17719"/>
    <w:rsid w:val="00E17725"/>
    <w:rsid w:val="00E17799"/>
    <w:rsid w:val="00E177B3"/>
    <w:rsid w:val="00E177D1"/>
    <w:rsid w:val="00E17814"/>
    <w:rsid w:val="00E17818"/>
    <w:rsid w:val="00E17872"/>
    <w:rsid w:val="00E178B2"/>
    <w:rsid w:val="00E178F1"/>
    <w:rsid w:val="00E1792F"/>
    <w:rsid w:val="00E17957"/>
    <w:rsid w:val="00E17995"/>
    <w:rsid w:val="00E179AA"/>
    <w:rsid w:val="00E179DA"/>
    <w:rsid w:val="00E179DC"/>
    <w:rsid w:val="00E179E1"/>
    <w:rsid w:val="00E17A7E"/>
    <w:rsid w:val="00E17A88"/>
    <w:rsid w:val="00E17AD2"/>
    <w:rsid w:val="00E17B25"/>
    <w:rsid w:val="00E17C2B"/>
    <w:rsid w:val="00E17CD7"/>
    <w:rsid w:val="00E17D15"/>
    <w:rsid w:val="00E17D4A"/>
    <w:rsid w:val="00E17E06"/>
    <w:rsid w:val="00E17E16"/>
    <w:rsid w:val="00E17E21"/>
    <w:rsid w:val="00E17E29"/>
    <w:rsid w:val="00E17E36"/>
    <w:rsid w:val="00E17F7E"/>
    <w:rsid w:val="00E17F93"/>
    <w:rsid w:val="00E17FA8"/>
    <w:rsid w:val="00E2002A"/>
    <w:rsid w:val="00E2004B"/>
    <w:rsid w:val="00E20062"/>
    <w:rsid w:val="00E20073"/>
    <w:rsid w:val="00E2017A"/>
    <w:rsid w:val="00E20231"/>
    <w:rsid w:val="00E20369"/>
    <w:rsid w:val="00E20388"/>
    <w:rsid w:val="00E203B1"/>
    <w:rsid w:val="00E2042C"/>
    <w:rsid w:val="00E20431"/>
    <w:rsid w:val="00E20442"/>
    <w:rsid w:val="00E204C0"/>
    <w:rsid w:val="00E204F3"/>
    <w:rsid w:val="00E2053C"/>
    <w:rsid w:val="00E2059E"/>
    <w:rsid w:val="00E20622"/>
    <w:rsid w:val="00E206C6"/>
    <w:rsid w:val="00E207B5"/>
    <w:rsid w:val="00E207F0"/>
    <w:rsid w:val="00E207FF"/>
    <w:rsid w:val="00E20811"/>
    <w:rsid w:val="00E2081B"/>
    <w:rsid w:val="00E20870"/>
    <w:rsid w:val="00E20885"/>
    <w:rsid w:val="00E208EA"/>
    <w:rsid w:val="00E20917"/>
    <w:rsid w:val="00E20918"/>
    <w:rsid w:val="00E2092B"/>
    <w:rsid w:val="00E20998"/>
    <w:rsid w:val="00E2099E"/>
    <w:rsid w:val="00E209B9"/>
    <w:rsid w:val="00E20A2E"/>
    <w:rsid w:val="00E20AAD"/>
    <w:rsid w:val="00E20B1B"/>
    <w:rsid w:val="00E20B54"/>
    <w:rsid w:val="00E20B64"/>
    <w:rsid w:val="00E20BAC"/>
    <w:rsid w:val="00E20BFA"/>
    <w:rsid w:val="00E20C80"/>
    <w:rsid w:val="00E20CF4"/>
    <w:rsid w:val="00E20D45"/>
    <w:rsid w:val="00E20D7D"/>
    <w:rsid w:val="00E20D80"/>
    <w:rsid w:val="00E20E94"/>
    <w:rsid w:val="00E20EB4"/>
    <w:rsid w:val="00E20EC9"/>
    <w:rsid w:val="00E20EE8"/>
    <w:rsid w:val="00E20F32"/>
    <w:rsid w:val="00E20F7E"/>
    <w:rsid w:val="00E20FFD"/>
    <w:rsid w:val="00E21008"/>
    <w:rsid w:val="00E21026"/>
    <w:rsid w:val="00E21050"/>
    <w:rsid w:val="00E21059"/>
    <w:rsid w:val="00E21088"/>
    <w:rsid w:val="00E210FF"/>
    <w:rsid w:val="00E2116E"/>
    <w:rsid w:val="00E2119E"/>
    <w:rsid w:val="00E21223"/>
    <w:rsid w:val="00E21278"/>
    <w:rsid w:val="00E21294"/>
    <w:rsid w:val="00E212F9"/>
    <w:rsid w:val="00E2130A"/>
    <w:rsid w:val="00E21330"/>
    <w:rsid w:val="00E21343"/>
    <w:rsid w:val="00E2137D"/>
    <w:rsid w:val="00E21389"/>
    <w:rsid w:val="00E213B5"/>
    <w:rsid w:val="00E213C3"/>
    <w:rsid w:val="00E2142A"/>
    <w:rsid w:val="00E21452"/>
    <w:rsid w:val="00E21467"/>
    <w:rsid w:val="00E21475"/>
    <w:rsid w:val="00E21476"/>
    <w:rsid w:val="00E21484"/>
    <w:rsid w:val="00E214B9"/>
    <w:rsid w:val="00E21537"/>
    <w:rsid w:val="00E21578"/>
    <w:rsid w:val="00E215AB"/>
    <w:rsid w:val="00E215C8"/>
    <w:rsid w:val="00E215E1"/>
    <w:rsid w:val="00E215FA"/>
    <w:rsid w:val="00E2160F"/>
    <w:rsid w:val="00E21649"/>
    <w:rsid w:val="00E21659"/>
    <w:rsid w:val="00E21675"/>
    <w:rsid w:val="00E21771"/>
    <w:rsid w:val="00E21802"/>
    <w:rsid w:val="00E2183C"/>
    <w:rsid w:val="00E21876"/>
    <w:rsid w:val="00E218BA"/>
    <w:rsid w:val="00E218D2"/>
    <w:rsid w:val="00E218F0"/>
    <w:rsid w:val="00E218F1"/>
    <w:rsid w:val="00E2197C"/>
    <w:rsid w:val="00E219D5"/>
    <w:rsid w:val="00E219FC"/>
    <w:rsid w:val="00E21A42"/>
    <w:rsid w:val="00E21A48"/>
    <w:rsid w:val="00E21AB5"/>
    <w:rsid w:val="00E21ADD"/>
    <w:rsid w:val="00E21C2F"/>
    <w:rsid w:val="00E21CA5"/>
    <w:rsid w:val="00E21CCD"/>
    <w:rsid w:val="00E21CD8"/>
    <w:rsid w:val="00E21CDA"/>
    <w:rsid w:val="00E21D81"/>
    <w:rsid w:val="00E21DC0"/>
    <w:rsid w:val="00E21E0A"/>
    <w:rsid w:val="00E21E89"/>
    <w:rsid w:val="00E21EAB"/>
    <w:rsid w:val="00E21F3C"/>
    <w:rsid w:val="00E21F58"/>
    <w:rsid w:val="00E21F96"/>
    <w:rsid w:val="00E21FDF"/>
    <w:rsid w:val="00E220B9"/>
    <w:rsid w:val="00E22100"/>
    <w:rsid w:val="00E22120"/>
    <w:rsid w:val="00E2218C"/>
    <w:rsid w:val="00E222A5"/>
    <w:rsid w:val="00E222BF"/>
    <w:rsid w:val="00E222C8"/>
    <w:rsid w:val="00E222FC"/>
    <w:rsid w:val="00E2234E"/>
    <w:rsid w:val="00E22382"/>
    <w:rsid w:val="00E223A5"/>
    <w:rsid w:val="00E223C4"/>
    <w:rsid w:val="00E223ED"/>
    <w:rsid w:val="00E22430"/>
    <w:rsid w:val="00E224B2"/>
    <w:rsid w:val="00E224C5"/>
    <w:rsid w:val="00E224ED"/>
    <w:rsid w:val="00E22596"/>
    <w:rsid w:val="00E225CA"/>
    <w:rsid w:val="00E225FD"/>
    <w:rsid w:val="00E226E0"/>
    <w:rsid w:val="00E226F1"/>
    <w:rsid w:val="00E2270E"/>
    <w:rsid w:val="00E22739"/>
    <w:rsid w:val="00E2279D"/>
    <w:rsid w:val="00E227A5"/>
    <w:rsid w:val="00E227A9"/>
    <w:rsid w:val="00E227E8"/>
    <w:rsid w:val="00E22838"/>
    <w:rsid w:val="00E22899"/>
    <w:rsid w:val="00E22911"/>
    <w:rsid w:val="00E22967"/>
    <w:rsid w:val="00E2299C"/>
    <w:rsid w:val="00E229BC"/>
    <w:rsid w:val="00E229D4"/>
    <w:rsid w:val="00E229E6"/>
    <w:rsid w:val="00E229EC"/>
    <w:rsid w:val="00E22A26"/>
    <w:rsid w:val="00E22A4E"/>
    <w:rsid w:val="00E22A6B"/>
    <w:rsid w:val="00E22AAD"/>
    <w:rsid w:val="00E22AEE"/>
    <w:rsid w:val="00E22B1F"/>
    <w:rsid w:val="00E22BFE"/>
    <w:rsid w:val="00E22C06"/>
    <w:rsid w:val="00E22C0D"/>
    <w:rsid w:val="00E22C5D"/>
    <w:rsid w:val="00E22CD9"/>
    <w:rsid w:val="00E22D13"/>
    <w:rsid w:val="00E22D3B"/>
    <w:rsid w:val="00E22D6F"/>
    <w:rsid w:val="00E22DEA"/>
    <w:rsid w:val="00E22E07"/>
    <w:rsid w:val="00E22E12"/>
    <w:rsid w:val="00E22E26"/>
    <w:rsid w:val="00E22E65"/>
    <w:rsid w:val="00E22EAD"/>
    <w:rsid w:val="00E22EE6"/>
    <w:rsid w:val="00E22FC8"/>
    <w:rsid w:val="00E22FDC"/>
    <w:rsid w:val="00E22FF4"/>
    <w:rsid w:val="00E22FFB"/>
    <w:rsid w:val="00E23043"/>
    <w:rsid w:val="00E2304E"/>
    <w:rsid w:val="00E23070"/>
    <w:rsid w:val="00E230E2"/>
    <w:rsid w:val="00E230FA"/>
    <w:rsid w:val="00E23124"/>
    <w:rsid w:val="00E2313B"/>
    <w:rsid w:val="00E23143"/>
    <w:rsid w:val="00E2315A"/>
    <w:rsid w:val="00E231C3"/>
    <w:rsid w:val="00E231FE"/>
    <w:rsid w:val="00E232AB"/>
    <w:rsid w:val="00E232B5"/>
    <w:rsid w:val="00E232C6"/>
    <w:rsid w:val="00E2330E"/>
    <w:rsid w:val="00E23344"/>
    <w:rsid w:val="00E2344B"/>
    <w:rsid w:val="00E2347A"/>
    <w:rsid w:val="00E234A7"/>
    <w:rsid w:val="00E234B0"/>
    <w:rsid w:val="00E234EC"/>
    <w:rsid w:val="00E23501"/>
    <w:rsid w:val="00E2357F"/>
    <w:rsid w:val="00E23599"/>
    <w:rsid w:val="00E235B5"/>
    <w:rsid w:val="00E23655"/>
    <w:rsid w:val="00E236C5"/>
    <w:rsid w:val="00E236F6"/>
    <w:rsid w:val="00E23763"/>
    <w:rsid w:val="00E23792"/>
    <w:rsid w:val="00E23797"/>
    <w:rsid w:val="00E23814"/>
    <w:rsid w:val="00E23822"/>
    <w:rsid w:val="00E2383A"/>
    <w:rsid w:val="00E23875"/>
    <w:rsid w:val="00E23877"/>
    <w:rsid w:val="00E23896"/>
    <w:rsid w:val="00E238C7"/>
    <w:rsid w:val="00E238F5"/>
    <w:rsid w:val="00E238FF"/>
    <w:rsid w:val="00E23902"/>
    <w:rsid w:val="00E23932"/>
    <w:rsid w:val="00E23954"/>
    <w:rsid w:val="00E23982"/>
    <w:rsid w:val="00E239A2"/>
    <w:rsid w:val="00E239BC"/>
    <w:rsid w:val="00E23A3C"/>
    <w:rsid w:val="00E23A6A"/>
    <w:rsid w:val="00E23A92"/>
    <w:rsid w:val="00E23AC4"/>
    <w:rsid w:val="00E23BA9"/>
    <w:rsid w:val="00E23BEC"/>
    <w:rsid w:val="00E23C1C"/>
    <w:rsid w:val="00E23C63"/>
    <w:rsid w:val="00E23CF3"/>
    <w:rsid w:val="00E23D56"/>
    <w:rsid w:val="00E23D6C"/>
    <w:rsid w:val="00E23D99"/>
    <w:rsid w:val="00E23DC9"/>
    <w:rsid w:val="00E23DF7"/>
    <w:rsid w:val="00E23E92"/>
    <w:rsid w:val="00E23F60"/>
    <w:rsid w:val="00E23F74"/>
    <w:rsid w:val="00E23F7F"/>
    <w:rsid w:val="00E2401A"/>
    <w:rsid w:val="00E2405E"/>
    <w:rsid w:val="00E24060"/>
    <w:rsid w:val="00E2406A"/>
    <w:rsid w:val="00E24075"/>
    <w:rsid w:val="00E24088"/>
    <w:rsid w:val="00E240F0"/>
    <w:rsid w:val="00E24155"/>
    <w:rsid w:val="00E2417D"/>
    <w:rsid w:val="00E241B4"/>
    <w:rsid w:val="00E241BB"/>
    <w:rsid w:val="00E241FD"/>
    <w:rsid w:val="00E24220"/>
    <w:rsid w:val="00E2422C"/>
    <w:rsid w:val="00E24295"/>
    <w:rsid w:val="00E242C7"/>
    <w:rsid w:val="00E242DE"/>
    <w:rsid w:val="00E24307"/>
    <w:rsid w:val="00E24391"/>
    <w:rsid w:val="00E243D0"/>
    <w:rsid w:val="00E2444D"/>
    <w:rsid w:val="00E244B9"/>
    <w:rsid w:val="00E244E1"/>
    <w:rsid w:val="00E24596"/>
    <w:rsid w:val="00E245A7"/>
    <w:rsid w:val="00E245CB"/>
    <w:rsid w:val="00E24658"/>
    <w:rsid w:val="00E2465E"/>
    <w:rsid w:val="00E2466A"/>
    <w:rsid w:val="00E2474F"/>
    <w:rsid w:val="00E247FD"/>
    <w:rsid w:val="00E2486B"/>
    <w:rsid w:val="00E248AA"/>
    <w:rsid w:val="00E248F2"/>
    <w:rsid w:val="00E2491E"/>
    <w:rsid w:val="00E24950"/>
    <w:rsid w:val="00E249E4"/>
    <w:rsid w:val="00E24A03"/>
    <w:rsid w:val="00E24AEF"/>
    <w:rsid w:val="00E24BD4"/>
    <w:rsid w:val="00E24BDF"/>
    <w:rsid w:val="00E24C53"/>
    <w:rsid w:val="00E24CD2"/>
    <w:rsid w:val="00E24D08"/>
    <w:rsid w:val="00E24DD4"/>
    <w:rsid w:val="00E24E16"/>
    <w:rsid w:val="00E24E24"/>
    <w:rsid w:val="00E24E2F"/>
    <w:rsid w:val="00E24E5A"/>
    <w:rsid w:val="00E24E74"/>
    <w:rsid w:val="00E24E85"/>
    <w:rsid w:val="00E24EA0"/>
    <w:rsid w:val="00E24EE4"/>
    <w:rsid w:val="00E24EFF"/>
    <w:rsid w:val="00E24F44"/>
    <w:rsid w:val="00E2506F"/>
    <w:rsid w:val="00E250C8"/>
    <w:rsid w:val="00E250E6"/>
    <w:rsid w:val="00E2516B"/>
    <w:rsid w:val="00E25236"/>
    <w:rsid w:val="00E25243"/>
    <w:rsid w:val="00E25300"/>
    <w:rsid w:val="00E25340"/>
    <w:rsid w:val="00E253E2"/>
    <w:rsid w:val="00E25441"/>
    <w:rsid w:val="00E25450"/>
    <w:rsid w:val="00E25453"/>
    <w:rsid w:val="00E2545C"/>
    <w:rsid w:val="00E25489"/>
    <w:rsid w:val="00E254D4"/>
    <w:rsid w:val="00E2550F"/>
    <w:rsid w:val="00E25538"/>
    <w:rsid w:val="00E25545"/>
    <w:rsid w:val="00E2559B"/>
    <w:rsid w:val="00E2559E"/>
    <w:rsid w:val="00E255AA"/>
    <w:rsid w:val="00E255B1"/>
    <w:rsid w:val="00E255C3"/>
    <w:rsid w:val="00E255E4"/>
    <w:rsid w:val="00E25668"/>
    <w:rsid w:val="00E2566B"/>
    <w:rsid w:val="00E256AE"/>
    <w:rsid w:val="00E256BF"/>
    <w:rsid w:val="00E256DE"/>
    <w:rsid w:val="00E25701"/>
    <w:rsid w:val="00E25706"/>
    <w:rsid w:val="00E25707"/>
    <w:rsid w:val="00E2570E"/>
    <w:rsid w:val="00E2576A"/>
    <w:rsid w:val="00E2585E"/>
    <w:rsid w:val="00E2589B"/>
    <w:rsid w:val="00E2591D"/>
    <w:rsid w:val="00E25947"/>
    <w:rsid w:val="00E2597E"/>
    <w:rsid w:val="00E25A96"/>
    <w:rsid w:val="00E25AC4"/>
    <w:rsid w:val="00E25ACA"/>
    <w:rsid w:val="00E25AD1"/>
    <w:rsid w:val="00E25B22"/>
    <w:rsid w:val="00E25B36"/>
    <w:rsid w:val="00E25B4C"/>
    <w:rsid w:val="00E25B5E"/>
    <w:rsid w:val="00E25BA6"/>
    <w:rsid w:val="00E25BBA"/>
    <w:rsid w:val="00E25BD7"/>
    <w:rsid w:val="00E25BDD"/>
    <w:rsid w:val="00E25C18"/>
    <w:rsid w:val="00E25C47"/>
    <w:rsid w:val="00E25C9E"/>
    <w:rsid w:val="00E25CB4"/>
    <w:rsid w:val="00E25D21"/>
    <w:rsid w:val="00E25D61"/>
    <w:rsid w:val="00E25DAE"/>
    <w:rsid w:val="00E25E57"/>
    <w:rsid w:val="00E25E77"/>
    <w:rsid w:val="00E25E99"/>
    <w:rsid w:val="00E25F23"/>
    <w:rsid w:val="00E25FCF"/>
    <w:rsid w:val="00E25FDF"/>
    <w:rsid w:val="00E26095"/>
    <w:rsid w:val="00E260B0"/>
    <w:rsid w:val="00E261AA"/>
    <w:rsid w:val="00E261BD"/>
    <w:rsid w:val="00E26209"/>
    <w:rsid w:val="00E26223"/>
    <w:rsid w:val="00E26231"/>
    <w:rsid w:val="00E262E3"/>
    <w:rsid w:val="00E262F1"/>
    <w:rsid w:val="00E262FB"/>
    <w:rsid w:val="00E26372"/>
    <w:rsid w:val="00E263BA"/>
    <w:rsid w:val="00E263C6"/>
    <w:rsid w:val="00E263C7"/>
    <w:rsid w:val="00E26416"/>
    <w:rsid w:val="00E26491"/>
    <w:rsid w:val="00E26494"/>
    <w:rsid w:val="00E264DF"/>
    <w:rsid w:val="00E26508"/>
    <w:rsid w:val="00E26524"/>
    <w:rsid w:val="00E2652F"/>
    <w:rsid w:val="00E26550"/>
    <w:rsid w:val="00E265A3"/>
    <w:rsid w:val="00E265B2"/>
    <w:rsid w:val="00E265F9"/>
    <w:rsid w:val="00E26683"/>
    <w:rsid w:val="00E266FA"/>
    <w:rsid w:val="00E26724"/>
    <w:rsid w:val="00E26731"/>
    <w:rsid w:val="00E26783"/>
    <w:rsid w:val="00E26792"/>
    <w:rsid w:val="00E267E8"/>
    <w:rsid w:val="00E267F6"/>
    <w:rsid w:val="00E26802"/>
    <w:rsid w:val="00E2684E"/>
    <w:rsid w:val="00E2685D"/>
    <w:rsid w:val="00E26888"/>
    <w:rsid w:val="00E2688C"/>
    <w:rsid w:val="00E268F0"/>
    <w:rsid w:val="00E2695A"/>
    <w:rsid w:val="00E26988"/>
    <w:rsid w:val="00E26A28"/>
    <w:rsid w:val="00E26A2D"/>
    <w:rsid w:val="00E26A6B"/>
    <w:rsid w:val="00E26A77"/>
    <w:rsid w:val="00E26AAB"/>
    <w:rsid w:val="00E26AE5"/>
    <w:rsid w:val="00E26C13"/>
    <w:rsid w:val="00E26C49"/>
    <w:rsid w:val="00E26C6A"/>
    <w:rsid w:val="00E26C96"/>
    <w:rsid w:val="00E26C9B"/>
    <w:rsid w:val="00E26CCB"/>
    <w:rsid w:val="00E26D40"/>
    <w:rsid w:val="00E26D70"/>
    <w:rsid w:val="00E26DCA"/>
    <w:rsid w:val="00E26E5C"/>
    <w:rsid w:val="00E26E6C"/>
    <w:rsid w:val="00E26F87"/>
    <w:rsid w:val="00E26FEF"/>
    <w:rsid w:val="00E27008"/>
    <w:rsid w:val="00E2705A"/>
    <w:rsid w:val="00E27064"/>
    <w:rsid w:val="00E2706D"/>
    <w:rsid w:val="00E27091"/>
    <w:rsid w:val="00E270AC"/>
    <w:rsid w:val="00E270C4"/>
    <w:rsid w:val="00E270EB"/>
    <w:rsid w:val="00E2716B"/>
    <w:rsid w:val="00E2716C"/>
    <w:rsid w:val="00E271F3"/>
    <w:rsid w:val="00E271FC"/>
    <w:rsid w:val="00E27229"/>
    <w:rsid w:val="00E27260"/>
    <w:rsid w:val="00E272E9"/>
    <w:rsid w:val="00E2735A"/>
    <w:rsid w:val="00E273E1"/>
    <w:rsid w:val="00E273EF"/>
    <w:rsid w:val="00E273FC"/>
    <w:rsid w:val="00E2742B"/>
    <w:rsid w:val="00E27434"/>
    <w:rsid w:val="00E274A1"/>
    <w:rsid w:val="00E275A4"/>
    <w:rsid w:val="00E275CB"/>
    <w:rsid w:val="00E2766C"/>
    <w:rsid w:val="00E276C3"/>
    <w:rsid w:val="00E276D9"/>
    <w:rsid w:val="00E27770"/>
    <w:rsid w:val="00E2777F"/>
    <w:rsid w:val="00E2779D"/>
    <w:rsid w:val="00E277AA"/>
    <w:rsid w:val="00E27860"/>
    <w:rsid w:val="00E2787E"/>
    <w:rsid w:val="00E278AE"/>
    <w:rsid w:val="00E278C9"/>
    <w:rsid w:val="00E278EB"/>
    <w:rsid w:val="00E27908"/>
    <w:rsid w:val="00E2796E"/>
    <w:rsid w:val="00E27A31"/>
    <w:rsid w:val="00E27A4F"/>
    <w:rsid w:val="00E27A6B"/>
    <w:rsid w:val="00E27B61"/>
    <w:rsid w:val="00E27BF5"/>
    <w:rsid w:val="00E27C7F"/>
    <w:rsid w:val="00E27C80"/>
    <w:rsid w:val="00E27CAB"/>
    <w:rsid w:val="00E27D01"/>
    <w:rsid w:val="00E27D52"/>
    <w:rsid w:val="00E27DA3"/>
    <w:rsid w:val="00E27DE9"/>
    <w:rsid w:val="00E27E17"/>
    <w:rsid w:val="00E27F3D"/>
    <w:rsid w:val="00E27F69"/>
    <w:rsid w:val="00E3000C"/>
    <w:rsid w:val="00E30017"/>
    <w:rsid w:val="00E30047"/>
    <w:rsid w:val="00E300A9"/>
    <w:rsid w:val="00E300E5"/>
    <w:rsid w:val="00E30148"/>
    <w:rsid w:val="00E301B2"/>
    <w:rsid w:val="00E30216"/>
    <w:rsid w:val="00E302B9"/>
    <w:rsid w:val="00E30312"/>
    <w:rsid w:val="00E30324"/>
    <w:rsid w:val="00E303A1"/>
    <w:rsid w:val="00E304AC"/>
    <w:rsid w:val="00E304C2"/>
    <w:rsid w:val="00E304C8"/>
    <w:rsid w:val="00E304E1"/>
    <w:rsid w:val="00E304F6"/>
    <w:rsid w:val="00E304FF"/>
    <w:rsid w:val="00E30534"/>
    <w:rsid w:val="00E3054C"/>
    <w:rsid w:val="00E30557"/>
    <w:rsid w:val="00E3055A"/>
    <w:rsid w:val="00E30598"/>
    <w:rsid w:val="00E30602"/>
    <w:rsid w:val="00E30623"/>
    <w:rsid w:val="00E3062F"/>
    <w:rsid w:val="00E3066E"/>
    <w:rsid w:val="00E30687"/>
    <w:rsid w:val="00E306A3"/>
    <w:rsid w:val="00E3071B"/>
    <w:rsid w:val="00E30730"/>
    <w:rsid w:val="00E30737"/>
    <w:rsid w:val="00E30776"/>
    <w:rsid w:val="00E307B6"/>
    <w:rsid w:val="00E307C9"/>
    <w:rsid w:val="00E307DA"/>
    <w:rsid w:val="00E307F2"/>
    <w:rsid w:val="00E30847"/>
    <w:rsid w:val="00E3088D"/>
    <w:rsid w:val="00E3089D"/>
    <w:rsid w:val="00E3089F"/>
    <w:rsid w:val="00E308C3"/>
    <w:rsid w:val="00E30914"/>
    <w:rsid w:val="00E30971"/>
    <w:rsid w:val="00E30972"/>
    <w:rsid w:val="00E309C8"/>
    <w:rsid w:val="00E309E1"/>
    <w:rsid w:val="00E30A2F"/>
    <w:rsid w:val="00E30A6E"/>
    <w:rsid w:val="00E30A77"/>
    <w:rsid w:val="00E30A79"/>
    <w:rsid w:val="00E30A9C"/>
    <w:rsid w:val="00E30ACF"/>
    <w:rsid w:val="00E30BF4"/>
    <w:rsid w:val="00E30C37"/>
    <w:rsid w:val="00E30C75"/>
    <w:rsid w:val="00E30CA7"/>
    <w:rsid w:val="00E30D4C"/>
    <w:rsid w:val="00E30EE6"/>
    <w:rsid w:val="00E30EE9"/>
    <w:rsid w:val="00E30F01"/>
    <w:rsid w:val="00E30F32"/>
    <w:rsid w:val="00E30F43"/>
    <w:rsid w:val="00E3102B"/>
    <w:rsid w:val="00E3103C"/>
    <w:rsid w:val="00E310DB"/>
    <w:rsid w:val="00E310E7"/>
    <w:rsid w:val="00E31127"/>
    <w:rsid w:val="00E31167"/>
    <w:rsid w:val="00E311C3"/>
    <w:rsid w:val="00E311C4"/>
    <w:rsid w:val="00E31224"/>
    <w:rsid w:val="00E3122C"/>
    <w:rsid w:val="00E31238"/>
    <w:rsid w:val="00E312EB"/>
    <w:rsid w:val="00E312F8"/>
    <w:rsid w:val="00E3131C"/>
    <w:rsid w:val="00E31328"/>
    <w:rsid w:val="00E31344"/>
    <w:rsid w:val="00E3135B"/>
    <w:rsid w:val="00E31363"/>
    <w:rsid w:val="00E31369"/>
    <w:rsid w:val="00E313B3"/>
    <w:rsid w:val="00E31578"/>
    <w:rsid w:val="00E315AB"/>
    <w:rsid w:val="00E315CA"/>
    <w:rsid w:val="00E31617"/>
    <w:rsid w:val="00E3162C"/>
    <w:rsid w:val="00E31631"/>
    <w:rsid w:val="00E316C4"/>
    <w:rsid w:val="00E31719"/>
    <w:rsid w:val="00E3171B"/>
    <w:rsid w:val="00E31743"/>
    <w:rsid w:val="00E31777"/>
    <w:rsid w:val="00E317B3"/>
    <w:rsid w:val="00E317C2"/>
    <w:rsid w:val="00E31821"/>
    <w:rsid w:val="00E31857"/>
    <w:rsid w:val="00E31916"/>
    <w:rsid w:val="00E3191C"/>
    <w:rsid w:val="00E31969"/>
    <w:rsid w:val="00E319A2"/>
    <w:rsid w:val="00E31A06"/>
    <w:rsid w:val="00E31A97"/>
    <w:rsid w:val="00E31AA0"/>
    <w:rsid w:val="00E31ABD"/>
    <w:rsid w:val="00E31AFD"/>
    <w:rsid w:val="00E31B60"/>
    <w:rsid w:val="00E31B70"/>
    <w:rsid w:val="00E31B9A"/>
    <w:rsid w:val="00E31CB0"/>
    <w:rsid w:val="00E31CE3"/>
    <w:rsid w:val="00E31D09"/>
    <w:rsid w:val="00E31D1D"/>
    <w:rsid w:val="00E31D45"/>
    <w:rsid w:val="00E31DC2"/>
    <w:rsid w:val="00E31E2A"/>
    <w:rsid w:val="00E31E4E"/>
    <w:rsid w:val="00E31E7B"/>
    <w:rsid w:val="00E3200D"/>
    <w:rsid w:val="00E32024"/>
    <w:rsid w:val="00E32026"/>
    <w:rsid w:val="00E3204B"/>
    <w:rsid w:val="00E32073"/>
    <w:rsid w:val="00E320BE"/>
    <w:rsid w:val="00E32111"/>
    <w:rsid w:val="00E32168"/>
    <w:rsid w:val="00E32175"/>
    <w:rsid w:val="00E321BA"/>
    <w:rsid w:val="00E321BF"/>
    <w:rsid w:val="00E32328"/>
    <w:rsid w:val="00E32387"/>
    <w:rsid w:val="00E3238E"/>
    <w:rsid w:val="00E3239F"/>
    <w:rsid w:val="00E323AC"/>
    <w:rsid w:val="00E32489"/>
    <w:rsid w:val="00E3249A"/>
    <w:rsid w:val="00E324A9"/>
    <w:rsid w:val="00E325B5"/>
    <w:rsid w:val="00E325CC"/>
    <w:rsid w:val="00E32634"/>
    <w:rsid w:val="00E32672"/>
    <w:rsid w:val="00E3268D"/>
    <w:rsid w:val="00E326B9"/>
    <w:rsid w:val="00E326F9"/>
    <w:rsid w:val="00E32718"/>
    <w:rsid w:val="00E32724"/>
    <w:rsid w:val="00E3272E"/>
    <w:rsid w:val="00E3279A"/>
    <w:rsid w:val="00E3279E"/>
    <w:rsid w:val="00E327BF"/>
    <w:rsid w:val="00E327DC"/>
    <w:rsid w:val="00E32885"/>
    <w:rsid w:val="00E328AB"/>
    <w:rsid w:val="00E328DB"/>
    <w:rsid w:val="00E32946"/>
    <w:rsid w:val="00E32949"/>
    <w:rsid w:val="00E3296E"/>
    <w:rsid w:val="00E329C3"/>
    <w:rsid w:val="00E329D3"/>
    <w:rsid w:val="00E329D5"/>
    <w:rsid w:val="00E32A34"/>
    <w:rsid w:val="00E32A3A"/>
    <w:rsid w:val="00E32A47"/>
    <w:rsid w:val="00E32A4A"/>
    <w:rsid w:val="00E32A5D"/>
    <w:rsid w:val="00E32A97"/>
    <w:rsid w:val="00E32AB4"/>
    <w:rsid w:val="00E32ACF"/>
    <w:rsid w:val="00E32B3A"/>
    <w:rsid w:val="00E32B4D"/>
    <w:rsid w:val="00E32B5A"/>
    <w:rsid w:val="00E32B60"/>
    <w:rsid w:val="00E32B64"/>
    <w:rsid w:val="00E32B8B"/>
    <w:rsid w:val="00E32B9C"/>
    <w:rsid w:val="00E32BC4"/>
    <w:rsid w:val="00E32BD2"/>
    <w:rsid w:val="00E32C0A"/>
    <w:rsid w:val="00E32D13"/>
    <w:rsid w:val="00E32D79"/>
    <w:rsid w:val="00E32D7C"/>
    <w:rsid w:val="00E32D8D"/>
    <w:rsid w:val="00E32DBD"/>
    <w:rsid w:val="00E32E08"/>
    <w:rsid w:val="00E32E16"/>
    <w:rsid w:val="00E32E42"/>
    <w:rsid w:val="00E32E4F"/>
    <w:rsid w:val="00E32ED3"/>
    <w:rsid w:val="00E32ED9"/>
    <w:rsid w:val="00E32F2B"/>
    <w:rsid w:val="00E32F7E"/>
    <w:rsid w:val="00E32F81"/>
    <w:rsid w:val="00E32FCD"/>
    <w:rsid w:val="00E33053"/>
    <w:rsid w:val="00E33093"/>
    <w:rsid w:val="00E330A3"/>
    <w:rsid w:val="00E330A5"/>
    <w:rsid w:val="00E330B2"/>
    <w:rsid w:val="00E330B5"/>
    <w:rsid w:val="00E330CE"/>
    <w:rsid w:val="00E33136"/>
    <w:rsid w:val="00E33171"/>
    <w:rsid w:val="00E331A4"/>
    <w:rsid w:val="00E33245"/>
    <w:rsid w:val="00E33291"/>
    <w:rsid w:val="00E332BC"/>
    <w:rsid w:val="00E332BD"/>
    <w:rsid w:val="00E33318"/>
    <w:rsid w:val="00E33331"/>
    <w:rsid w:val="00E33380"/>
    <w:rsid w:val="00E33381"/>
    <w:rsid w:val="00E3338E"/>
    <w:rsid w:val="00E333AB"/>
    <w:rsid w:val="00E333FB"/>
    <w:rsid w:val="00E334AA"/>
    <w:rsid w:val="00E33576"/>
    <w:rsid w:val="00E33690"/>
    <w:rsid w:val="00E336EA"/>
    <w:rsid w:val="00E336EC"/>
    <w:rsid w:val="00E3372E"/>
    <w:rsid w:val="00E33752"/>
    <w:rsid w:val="00E3376E"/>
    <w:rsid w:val="00E3377F"/>
    <w:rsid w:val="00E33819"/>
    <w:rsid w:val="00E338D2"/>
    <w:rsid w:val="00E33932"/>
    <w:rsid w:val="00E3398F"/>
    <w:rsid w:val="00E339BD"/>
    <w:rsid w:val="00E339C7"/>
    <w:rsid w:val="00E33A2E"/>
    <w:rsid w:val="00E33A4C"/>
    <w:rsid w:val="00E33B1C"/>
    <w:rsid w:val="00E33B68"/>
    <w:rsid w:val="00E33B71"/>
    <w:rsid w:val="00E33B9C"/>
    <w:rsid w:val="00E33BA4"/>
    <w:rsid w:val="00E33BDD"/>
    <w:rsid w:val="00E33BF7"/>
    <w:rsid w:val="00E33C01"/>
    <w:rsid w:val="00E33C8A"/>
    <w:rsid w:val="00E33CCC"/>
    <w:rsid w:val="00E33CD7"/>
    <w:rsid w:val="00E33D99"/>
    <w:rsid w:val="00E33DB9"/>
    <w:rsid w:val="00E33DC8"/>
    <w:rsid w:val="00E33E27"/>
    <w:rsid w:val="00E33E4E"/>
    <w:rsid w:val="00E33E89"/>
    <w:rsid w:val="00E33EAA"/>
    <w:rsid w:val="00E33EB7"/>
    <w:rsid w:val="00E33ECB"/>
    <w:rsid w:val="00E33FAD"/>
    <w:rsid w:val="00E33FAF"/>
    <w:rsid w:val="00E34067"/>
    <w:rsid w:val="00E3407C"/>
    <w:rsid w:val="00E3408F"/>
    <w:rsid w:val="00E340A9"/>
    <w:rsid w:val="00E340CC"/>
    <w:rsid w:val="00E340D5"/>
    <w:rsid w:val="00E34193"/>
    <w:rsid w:val="00E34211"/>
    <w:rsid w:val="00E3422E"/>
    <w:rsid w:val="00E34236"/>
    <w:rsid w:val="00E342BB"/>
    <w:rsid w:val="00E342D8"/>
    <w:rsid w:val="00E342E8"/>
    <w:rsid w:val="00E34370"/>
    <w:rsid w:val="00E343B7"/>
    <w:rsid w:val="00E343C5"/>
    <w:rsid w:val="00E343E5"/>
    <w:rsid w:val="00E3442A"/>
    <w:rsid w:val="00E3443A"/>
    <w:rsid w:val="00E344A4"/>
    <w:rsid w:val="00E344E8"/>
    <w:rsid w:val="00E34534"/>
    <w:rsid w:val="00E34543"/>
    <w:rsid w:val="00E345BF"/>
    <w:rsid w:val="00E34628"/>
    <w:rsid w:val="00E34665"/>
    <w:rsid w:val="00E346BB"/>
    <w:rsid w:val="00E34704"/>
    <w:rsid w:val="00E3474B"/>
    <w:rsid w:val="00E34799"/>
    <w:rsid w:val="00E34884"/>
    <w:rsid w:val="00E348ED"/>
    <w:rsid w:val="00E34960"/>
    <w:rsid w:val="00E34964"/>
    <w:rsid w:val="00E34996"/>
    <w:rsid w:val="00E349BD"/>
    <w:rsid w:val="00E349E6"/>
    <w:rsid w:val="00E34A23"/>
    <w:rsid w:val="00E34A52"/>
    <w:rsid w:val="00E34A95"/>
    <w:rsid w:val="00E34AE5"/>
    <w:rsid w:val="00E34B3C"/>
    <w:rsid w:val="00E34BA5"/>
    <w:rsid w:val="00E34BA7"/>
    <w:rsid w:val="00E34BB2"/>
    <w:rsid w:val="00E34C04"/>
    <w:rsid w:val="00E34CAE"/>
    <w:rsid w:val="00E34D33"/>
    <w:rsid w:val="00E34DB0"/>
    <w:rsid w:val="00E34DBB"/>
    <w:rsid w:val="00E34E11"/>
    <w:rsid w:val="00E34E5D"/>
    <w:rsid w:val="00E34E63"/>
    <w:rsid w:val="00E34E64"/>
    <w:rsid w:val="00E34E97"/>
    <w:rsid w:val="00E34EAC"/>
    <w:rsid w:val="00E34F38"/>
    <w:rsid w:val="00E34FD2"/>
    <w:rsid w:val="00E3503F"/>
    <w:rsid w:val="00E3506D"/>
    <w:rsid w:val="00E3513E"/>
    <w:rsid w:val="00E351A0"/>
    <w:rsid w:val="00E351A3"/>
    <w:rsid w:val="00E35213"/>
    <w:rsid w:val="00E35220"/>
    <w:rsid w:val="00E35277"/>
    <w:rsid w:val="00E352A0"/>
    <w:rsid w:val="00E3530C"/>
    <w:rsid w:val="00E3531C"/>
    <w:rsid w:val="00E3537B"/>
    <w:rsid w:val="00E353B9"/>
    <w:rsid w:val="00E35469"/>
    <w:rsid w:val="00E3547D"/>
    <w:rsid w:val="00E354D4"/>
    <w:rsid w:val="00E354F1"/>
    <w:rsid w:val="00E35516"/>
    <w:rsid w:val="00E35557"/>
    <w:rsid w:val="00E35655"/>
    <w:rsid w:val="00E35695"/>
    <w:rsid w:val="00E356C6"/>
    <w:rsid w:val="00E3574C"/>
    <w:rsid w:val="00E35767"/>
    <w:rsid w:val="00E35768"/>
    <w:rsid w:val="00E35775"/>
    <w:rsid w:val="00E357A2"/>
    <w:rsid w:val="00E35806"/>
    <w:rsid w:val="00E35842"/>
    <w:rsid w:val="00E35854"/>
    <w:rsid w:val="00E35887"/>
    <w:rsid w:val="00E358B9"/>
    <w:rsid w:val="00E358FF"/>
    <w:rsid w:val="00E359A3"/>
    <w:rsid w:val="00E359C7"/>
    <w:rsid w:val="00E35A16"/>
    <w:rsid w:val="00E35A44"/>
    <w:rsid w:val="00E35A56"/>
    <w:rsid w:val="00E35AEB"/>
    <w:rsid w:val="00E35AEE"/>
    <w:rsid w:val="00E35B15"/>
    <w:rsid w:val="00E35B7A"/>
    <w:rsid w:val="00E35B90"/>
    <w:rsid w:val="00E35BEB"/>
    <w:rsid w:val="00E35C11"/>
    <w:rsid w:val="00E35C64"/>
    <w:rsid w:val="00E35C67"/>
    <w:rsid w:val="00E35C8E"/>
    <w:rsid w:val="00E35C93"/>
    <w:rsid w:val="00E35CB4"/>
    <w:rsid w:val="00E35CD0"/>
    <w:rsid w:val="00E35DF4"/>
    <w:rsid w:val="00E35DFB"/>
    <w:rsid w:val="00E35E2C"/>
    <w:rsid w:val="00E35E3F"/>
    <w:rsid w:val="00E35E4C"/>
    <w:rsid w:val="00E35E79"/>
    <w:rsid w:val="00E35E99"/>
    <w:rsid w:val="00E35EFE"/>
    <w:rsid w:val="00E35F1C"/>
    <w:rsid w:val="00E36017"/>
    <w:rsid w:val="00E36193"/>
    <w:rsid w:val="00E362DE"/>
    <w:rsid w:val="00E362FC"/>
    <w:rsid w:val="00E36355"/>
    <w:rsid w:val="00E3638A"/>
    <w:rsid w:val="00E363CB"/>
    <w:rsid w:val="00E363F0"/>
    <w:rsid w:val="00E36496"/>
    <w:rsid w:val="00E3649E"/>
    <w:rsid w:val="00E364A7"/>
    <w:rsid w:val="00E364C2"/>
    <w:rsid w:val="00E364DB"/>
    <w:rsid w:val="00E364E1"/>
    <w:rsid w:val="00E365B0"/>
    <w:rsid w:val="00E3661D"/>
    <w:rsid w:val="00E36633"/>
    <w:rsid w:val="00E366EB"/>
    <w:rsid w:val="00E367A7"/>
    <w:rsid w:val="00E36882"/>
    <w:rsid w:val="00E368EB"/>
    <w:rsid w:val="00E36944"/>
    <w:rsid w:val="00E3696C"/>
    <w:rsid w:val="00E36973"/>
    <w:rsid w:val="00E369A8"/>
    <w:rsid w:val="00E36A00"/>
    <w:rsid w:val="00E36A12"/>
    <w:rsid w:val="00E36A40"/>
    <w:rsid w:val="00E36A51"/>
    <w:rsid w:val="00E36AAF"/>
    <w:rsid w:val="00E36B16"/>
    <w:rsid w:val="00E36B21"/>
    <w:rsid w:val="00E36BCF"/>
    <w:rsid w:val="00E36C7B"/>
    <w:rsid w:val="00E36CD0"/>
    <w:rsid w:val="00E36DF3"/>
    <w:rsid w:val="00E36EE9"/>
    <w:rsid w:val="00E36F66"/>
    <w:rsid w:val="00E36FDE"/>
    <w:rsid w:val="00E36FFE"/>
    <w:rsid w:val="00E37008"/>
    <w:rsid w:val="00E3701F"/>
    <w:rsid w:val="00E3703C"/>
    <w:rsid w:val="00E370EF"/>
    <w:rsid w:val="00E37145"/>
    <w:rsid w:val="00E37181"/>
    <w:rsid w:val="00E37185"/>
    <w:rsid w:val="00E371AA"/>
    <w:rsid w:val="00E371BF"/>
    <w:rsid w:val="00E37225"/>
    <w:rsid w:val="00E3729E"/>
    <w:rsid w:val="00E372DF"/>
    <w:rsid w:val="00E37313"/>
    <w:rsid w:val="00E3734C"/>
    <w:rsid w:val="00E37369"/>
    <w:rsid w:val="00E373EB"/>
    <w:rsid w:val="00E37425"/>
    <w:rsid w:val="00E3746C"/>
    <w:rsid w:val="00E37474"/>
    <w:rsid w:val="00E37515"/>
    <w:rsid w:val="00E37587"/>
    <w:rsid w:val="00E375CE"/>
    <w:rsid w:val="00E3764A"/>
    <w:rsid w:val="00E3765F"/>
    <w:rsid w:val="00E3770B"/>
    <w:rsid w:val="00E37713"/>
    <w:rsid w:val="00E37800"/>
    <w:rsid w:val="00E37807"/>
    <w:rsid w:val="00E3785C"/>
    <w:rsid w:val="00E378B3"/>
    <w:rsid w:val="00E3792B"/>
    <w:rsid w:val="00E379CF"/>
    <w:rsid w:val="00E37A0D"/>
    <w:rsid w:val="00E37A18"/>
    <w:rsid w:val="00E37A39"/>
    <w:rsid w:val="00E37A77"/>
    <w:rsid w:val="00E37AAA"/>
    <w:rsid w:val="00E37AAD"/>
    <w:rsid w:val="00E37B5C"/>
    <w:rsid w:val="00E37BD9"/>
    <w:rsid w:val="00E37C8B"/>
    <w:rsid w:val="00E37CE2"/>
    <w:rsid w:val="00E37D15"/>
    <w:rsid w:val="00E37D25"/>
    <w:rsid w:val="00E37D43"/>
    <w:rsid w:val="00E37D7C"/>
    <w:rsid w:val="00E37D83"/>
    <w:rsid w:val="00E37DA3"/>
    <w:rsid w:val="00E37DD0"/>
    <w:rsid w:val="00E37E1A"/>
    <w:rsid w:val="00E37E7E"/>
    <w:rsid w:val="00E37FA9"/>
    <w:rsid w:val="00E37FD3"/>
    <w:rsid w:val="00E37FF0"/>
    <w:rsid w:val="00E37FF2"/>
    <w:rsid w:val="00E40018"/>
    <w:rsid w:val="00E4009A"/>
    <w:rsid w:val="00E40178"/>
    <w:rsid w:val="00E401A2"/>
    <w:rsid w:val="00E401D0"/>
    <w:rsid w:val="00E401E5"/>
    <w:rsid w:val="00E40217"/>
    <w:rsid w:val="00E4026E"/>
    <w:rsid w:val="00E4029A"/>
    <w:rsid w:val="00E40322"/>
    <w:rsid w:val="00E4032D"/>
    <w:rsid w:val="00E4033C"/>
    <w:rsid w:val="00E40358"/>
    <w:rsid w:val="00E40383"/>
    <w:rsid w:val="00E4038C"/>
    <w:rsid w:val="00E403DD"/>
    <w:rsid w:val="00E40421"/>
    <w:rsid w:val="00E40485"/>
    <w:rsid w:val="00E40529"/>
    <w:rsid w:val="00E4053A"/>
    <w:rsid w:val="00E4053E"/>
    <w:rsid w:val="00E405BC"/>
    <w:rsid w:val="00E405DE"/>
    <w:rsid w:val="00E405F6"/>
    <w:rsid w:val="00E405FA"/>
    <w:rsid w:val="00E4068A"/>
    <w:rsid w:val="00E4069D"/>
    <w:rsid w:val="00E406A3"/>
    <w:rsid w:val="00E406A8"/>
    <w:rsid w:val="00E406D4"/>
    <w:rsid w:val="00E406F2"/>
    <w:rsid w:val="00E406FC"/>
    <w:rsid w:val="00E40721"/>
    <w:rsid w:val="00E4076F"/>
    <w:rsid w:val="00E407B5"/>
    <w:rsid w:val="00E407DB"/>
    <w:rsid w:val="00E40808"/>
    <w:rsid w:val="00E4080A"/>
    <w:rsid w:val="00E408C1"/>
    <w:rsid w:val="00E408C9"/>
    <w:rsid w:val="00E40926"/>
    <w:rsid w:val="00E409A7"/>
    <w:rsid w:val="00E409D1"/>
    <w:rsid w:val="00E40A28"/>
    <w:rsid w:val="00E40A2A"/>
    <w:rsid w:val="00E40A4D"/>
    <w:rsid w:val="00E40A56"/>
    <w:rsid w:val="00E40A77"/>
    <w:rsid w:val="00E40AB8"/>
    <w:rsid w:val="00E40ACA"/>
    <w:rsid w:val="00E40B0D"/>
    <w:rsid w:val="00E40B12"/>
    <w:rsid w:val="00E40B56"/>
    <w:rsid w:val="00E40BAE"/>
    <w:rsid w:val="00E40BF4"/>
    <w:rsid w:val="00E40C5F"/>
    <w:rsid w:val="00E40C6F"/>
    <w:rsid w:val="00E40CFB"/>
    <w:rsid w:val="00E40D04"/>
    <w:rsid w:val="00E40D06"/>
    <w:rsid w:val="00E40D16"/>
    <w:rsid w:val="00E40D3C"/>
    <w:rsid w:val="00E40D48"/>
    <w:rsid w:val="00E40DC5"/>
    <w:rsid w:val="00E40E7C"/>
    <w:rsid w:val="00E40E9D"/>
    <w:rsid w:val="00E40EA1"/>
    <w:rsid w:val="00E40F09"/>
    <w:rsid w:val="00E40F15"/>
    <w:rsid w:val="00E40FA6"/>
    <w:rsid w:val="00E4102A"/>
    <w:rsid w:val="00E4102D"/>
    <w:rsid w:val="00E4113C"/>
    <w:rsid w:val="00E41151"/>
    <w:rsid w:val="00E41162"/>
    <w:rsid w:val="00E41187"/>
    <w:rsid w:val="00E41233"/>
    <w:rsid w:val="00E41258"/>
    <w:rsid w:val="00E41294"/>
    <w:rsid w:val="00E41372"/>
    <w:rsid w:val="00E4139D"/>
    <w:rsid w:val="00E41419"/>
    <w:rsid w:val="00E4143D"/>
    <w:rsid w:val="00E4144F"/>
    <w:rsid w:val="00E414B4"/>
    <w:rsid w:val="00E41514"/>
    <w:rsid w:val="00E41557"/>
    <w:rsid w:val="00E4157C"/>
    <w:rsid w:val="00E415AA"/>
    <w:rsid w:val="00E41600"/>
    <w:rsid w:val="00E4160D"/>
    <w:rsid w:val="00E4169D"/>
    <w:rsid w:val="00E416EB"/>
    <w:rsid w:val="00E41771"/>
    <w:rsid w:val="00E4177B"/>
    <w:rsid w:val="00E4181D"/>
    <w:rsid w:val="00E41858"/>
    <w:rsid w:val="00E418D6"/>
    <w:rsid w:val="00E41976"/>
    <w:rsid w:val="00E419C5"/>
    <w:rsid w:val="00E419D4"/>
    <w:rsid w:val="00E41A0A"/>
    <w:rsid w:val="00E41A1F"/>
    <w:rsid w:val="00E41A31"/>
    <w:rsid w:val="00E41A87"/>
    <w:rsid w:val="00E41AF8"/>
    <w:rsid w:val="00E41B03"/>
    <w:rsid w:val="00E41B40"/>
    <w:rsid w:val="00E41D0C"/>
    <w:rsid w:val="00E41D2E"/>
    <w:rsid w:val="00E41DF0"/>
    <w:rsid w:val="00E41E22"/>
    <w:rsid w:val="00E41E52"/>
    <w:rsid w:val="00E41E6A"/>
    <w:rsid w:val="00E41F55"/>
    <w:rsid w:val="00E41FA0"/>
    <w:rsid w:val="00E41FD4"/>
    <w:rsid w:val="00E41FDD"/>
    <w:rsid w:val="00E41FFF"/>
    <w:rsid w:val="00E42121"/>
    <w:rsid w:val="00E42140"/>
    <w:rsid w:val="00E42143"/>
    <w:rsid w:val="00E42181"/>
    <w:rsid w:val="00E421B1"/>
    <w:rsid w:val="00E421C5"/>
    <w:rsid w:val="00E42202"/>
    <w:rsid w:val="00E422AF"/>
    <w:rsid w:val="00E42330"/>
    <w:rsid w:val="00E423A5"/>
    <w:rsid w:val="00E423CC"/>
    <w:rsid w:val="00E42446"/>
    <w:rsid w:val="00E4248B"/>
    <w:rsid w:val="00E424E6"/>
    <w:rsid w:val="00E4250B"/>
    <w:rsid w:val="00E4251B"/>
    <w:rsid w:val="00E425A0"/>
    <w:rsid w:val="00E425BA"/>
    <w:rsid w:val="00E425C1"/>
    <w:rsid w:val="00E42657"/>
    <w:rsid w:val="00E426B2"/>
    <w:rsid w:val="00E426E3"/>
    <w:rsid w:val="00E4272D"/>
    <w:rsid w:val="00E4278E"/>
    <w:rsid w:val="00E4279F"/>
    <w:rsid w:val="00E427E0"/>
    <w:rsid w:val="00E427F4"/>
    <w:rsid w:val="00E42808"/>
    <w:rsid w:val="00E4281B"/>
    <w:rsid w:val="00E4287E"/>
    <w:rsid w:val="00E428C3"/>
    <w:rsid w:val="00E4297B"/>
    <w:rsid w:val="00E42988"/>
    <w:rsid w:val="00E42A27"/>
    <w:rsid w:val="00E42A9E"/>
    <w:rsid w:val="00E42AC9"/>
    <w:rsid w:val="00E42B69"/>
    <w:rsid w:val="00E42B8E"/>
    <w:rsid w:val="00E42BA6"/>
    <w:rsid w:val="00E42BBF"/>
    <w:rsid w:val="00E42BC8"/>
    <w:rsid w:val="00E42BF0"/>
    <w:rsid w:val="00E42C44"/>
    <w:rsid w:val="00E42CB5"/>
    <w:rsid w:val="00E42CC4"/>
    <w:rsid w:val="00E42D61"/>
    <w:rsid w:val="00E42E6B"/>
    <w:rsid w:val="00E42F4D"/>
    <w:rsid w:val="00E42F87"/>
    <w:rsid w:val="00E42FC6"/>
    <w:rsid w:val="00E4302F"/>
    <w:rsid w:val="00E43042"/>
    <w:rsid w:val="00E43089"/>
    <w:rsid w:val="00E43098"/>
    <w:rsid w:val="00E431D5"/>
    <w:rsid w:val="00E431E1"/>
    <w:rsid w:val="00E4321C"/>
    <w:rsid w:val="00E43244"/>
    <w:rsid w:val="00E432C0"/>
    <w:rsid w:val="00E432D7"/>
    <w:rsid w:val="00E432E0"/>
    <w:rsid w:val="00E432F9"/>
    <w:rsid w:val="00E43302"/>
    <w:rsid w:val="00E43335"/>
    <w:rsid w:val="00E43378"/>
    <w:rsid w:val="00E43395"/>
    <w:rsid w:val="00E433D0"/>
    <w:rsid w:val="00E43429"/>
    <w:rsid w:val="00E434A8"/>
    <w:rsid w:val="00E434D2"/>
    <w:rsid w:val="00E434DC"/>
    <w:rsid w:val="00E4352D"/>
    <w:rsid w:val="00E4358E"/>
    <w:rsid w:val="00E435B1"/>
    <w:rsid w:val="00E435FD"/>
    <w:rsid w:val="00E43679"/>
    <w:rsid w:val="00E43710"/>
    <w:rsid w:val="00E4374C"/>
    <w:rsid w:val="00E437AE"/>
    <w:rsid w:val="00E437CC"/>
    <w:rsid w:val="00E437CD"/>
    <w:rsid w:val="00E43878"/>
    <w:rsid w:val="00E4389C"/>
    <w:rsid w:val="00E438CD"/>
    <w:rsid w:val="00E43928"/>
    <w:rsid w:val="00E4397D"/>
    <w:rsid w:val="00E43996"/>
    <w:rsid w:val="00E439A4"/>
    <w:rsid w:val="00E439C1"/>
    <w:rsid w:val="00E439E3"/>
    <w:rsid w:val="00E43A9D"/>
    <w:rsid w:val="00E43AB8"/>
    <w:rsid w:val="00E43ADE"/>
    <w:rsid w:val="00E43B2B"/>
    <w:rsid w:val="00E43B98"/>
    <w:rsid w:val="00E43BA8"/>
    <w:rsid w:val="00E43BF3"/>
    <w:rsid w:val="00E43C56"/>
    <w:rsid w:val="00E43C85"/>
    <w:rsid w:val="00E43C93"/>
    <w:rsid w:val="00E43CA6"/>
    <w:rsid w:val="00E43CBE"/>
    <w:rsid w:val="00E43D79"/>
    <w:rsid w:val="00E43E35"/>
    <w:rsid w:val="00E43E62"/>
    <w:rsid w:val="00E43F0A"/>
    <w:rsid w:val="00E43F23"/>
    <w:rsid w:val="00E43FA4"/>
    <w:rsid w:val="00E43FFD"/>
    <w:rsid w:val="00E44036"/>
    <w:rsid w:val="00E44142"/>
    <w:rsid w:val="00E4416F"/>
    <w:rsid w:val="00E44197"/>
    <w:rsid w:val="00E441B2"/>
    <w:rsid w:val="00E441D0"/>
    <w:rsid w:val="00E4420F"/>
    <w:rsid w:val="00E44262"/>
    <w:rsid w:val="00E44269"/>
    <w:rsid w:val="00E442B6"/>
    <w:rsid w:val="00E442EE"/>
    <w:rsid w:val="00E442F1"/>
    <w:rsid w:val="00E44360"/>
    <w:rsid w:val="00E44390"/>
    <w:rsid w:val="00E44392"/>
    <w:rsid w:val="00E443C6"/>
    <w:rsid w:val="00E443C9"/>
    <w:rsid w:val="00E44461"/>
    <w:rsid w:val="00E4446D"/>
    <w:rsid w:val="00E44474"/>
    <w:rsid w:val="00E444A3"/>
    <w:rsid w:val="00E444BA"/>
    <w:rsid w:val="00E44552"/>
    <w:rsid w:val="00E445A4"/>
    <w:rsid w:val="00E4465F"/>
    <w:rsid w:val="00E44713"/>
    <w:rsid w:val="00E4478F"/>
    <w:rsid w:val="00E447A8"/>
    <w:rsid w:val="00E4482B"/>
    <w:rsid w:val="00E44885"/>
    <w:rsid w:val="00E4489C"/>
    <w:rsid w:val="00E4489D"/>
    <w:rsid w:val="00E448C9"/>
    <w:rsid w:val="00E448D9"/>
    <w:rsid w:val="00E448E2"/>
    <w:rsid w:val="00E4495D"/>
    <w:rsid w:val="00E4499C"/>
    <w:rsid w:val="00E449C9"/>
    <w:rsid w:val="00E449FC"/>
    <w:rsid w:val="00E44A0E"/>
    <w:rsid w:val="00E44A31"/>
    <w:rsid w:val="00E44A74"/>
    <w:rsid w:val="00E44B19"/>
    <w:rsid w:val="00E44B57"/>
    <w:rsid w:val="00E44BA5"/>
    <w:rsid w:val="00E44BB0"/>
    <w:rsid w:val="00E44BB1"/>
    <w:rsid w:val="00E44BCE"/>
    <w:rsid w:val="00E44BFA"/>
    <w:rsid w:val="00E44C04"/>
    <w:rsid w:val="00E44C1E"/>
    <w:rsid w:val="00E44C92"/>
    <w:rsid w:val="00E44CDB"/>
    <w:rsid w:val="00E44CE2"/>
    <w:rsid w:val="00E44D0C"/>
    <w:rsid w:val="00E44D15"/>
    <w:rsid w:val="00E44D40"/>
    <w:rsid w:val="00E44D58"/>
    <w:rsid w:val="00E44D62"/>
    <w:rsid w:val="00E44D73"/>
    <w:rsid w:val="00E44D87"/>
    <w:rsid w:val="00E44DBC"/>
    <w:rsid w:val="00E44DC5"/>
    <w:rsid w:val="00E44E24"/>
    <w:rsid w:val="00E44E57"/>
    <w:rsid w:val="00E44E6A"/>
    <w:rsid w:val="00E44EAF"/>
    <w:rsid w:val="00E44F08"/>
    <w:rsid w:val="00E44F1C"/>
    <w:rsid w:val="00E44F89"/>
    <w:rsid w:val="00E44FC9"/>
    <w:rsid w:val="00E44FD2"/>
    <w:rsid w:val="00E450B9"/>
    <w:rsid w:val="00E451A9"/>
    <w:rsid w:val="00E451F0"/>
    <w:rsid w:val="00E45282"/>
    <w:rsid w:val="00E452AA"/>
    <w:rsid w:val="00E452F8"/>
    <w:rsid w:val="00E45310"/>
    <w:rsid w:val="00E45340"/>
    <w:rsid w:val="00E453C5"/>
    <w:rsid w:val="00E453FE"/>
    <w:rsid w:val="00E45461"/>
    <w:rsid w:val="00E45502"/>
    <w:rsid w:val="00E45548"/>
    <w:rsid w:val="00E45587"/>
    <w:rsid w:val="00E455B4"/>
    <w:rsid w:val="00E455DE"/>
    <w:rsid w:val="00E455E9"/>
    <w:rsid w:val="00E45613"/>
    <w:rsid w:val="00E4563A"/>
    <w:rsid w:val="00E456BD"/>
    <w:rsid w:val="00E456E7"/>
    <w:rsid w:val="00E456FE"/>
    <w:rsid w:val="00E45705"/>
    <w:rsid w:val="00E457E2"/>
    <w:rsid w:val="00E45830"/>
    <w:rsid w:val="00E45840"/>
    <w:rsid w:val="00E4584A"/>
    <w:rsid w:val="00E45875"/>
    <w:rsid w:val="00E45890"/>
    <w:rsid w:val="00E458AB"/>
    <w:rsid w:val="00E458EC"/>
    <w:rsid w:val="00E45920"/>
    <w:rsid w:val="00E4593C"/>
    <w:rsid w:val="00E4596A"/>
    <w:rsid w:val="00E45980"/>
    <w:rsid w:val="00E459C7"/>
    <w:rsid w:val="00E45A11"/>
    <w:rsid w:val="00E45A13"/>
    <w:rsid w:val="00E45A28"/>
    <w:rsid w:val="00E45A8F"/>
    <w:rsid w:val="00E45ABE"/>
    <w:rsid w:val="00E45B22"/>
    <w:rsid w:val="00E45B6C"/>
    <w:rsid w:val="00E45B86"/>
    <w:rsid w:val="00E45BAF"/>
    <w:rsid w:val="00E45BB7"/>
    <w:rsid w:val="00E45BBF"/>
    <w:rsid w:val="00E45BD8"/>
    <w:rsid w:val="00E45C5B"/>
    <w:rsid w:val="00E45C75"/>
    <w:rsid w:val="00E45C88"/>
    <w:rsid w:val="00E45CEC"/>
    <w:rsid w:val="00E45D30"/>
    <w:rsid w:val="00E45D78"/>
    <w:rsid w:val="00E45DBA"/>
    <w:rsid w:val="00E45DD8"/>
    <w:rsid w:val="00E45DFF"/>
    <w:rsid w:val="00E45F41"/>
    <w:rsid w:val="00E45F77"/>
    <w:rsid w:val="00E45FE5"/>
    <w:rsid w:val="00E46031"/>
    <w:rsid w:val="00E4607A"/>
    <w:rsid w:val="00E460C7"/>
    <w:rsid w:val="00E460CF"/>
    <w:rsid w:val="00E46179"/>
    <w:rsid w:val="00E461A2"/>
    <w:rsid w:val="00E461BA"/>
    <w:rsid w:val="00E461F7"/>
    <w:rsid w:val="00E46206"/>
    <w:rsid w:val="00E46275"/>
    <w:rsid w:val="00E4627F"/>
    <w:rsid w:val="00E462AF"/>
    <w:rsid w:val="00E462EB"/>
    <w:rsid w:val="00E46347"/>
    <w:rsid w:val="00E46365"/>
    <w:rsid w:val="00E4637B"/>
    <w:rsid w:val="00E463BC"/>
    <w:rsid w:val="00E46411"/>
    <w:rsid w:val="00E4641F"/>
    <w:rsid w:val="00E46449"/>
    <w:rsid w:val="00E46491"/>
    <w:rsid w:val="00E464DF"/>
    <w:rsid w:val="00E4650F"/>
    <w:rsid w:val="00E46539"/>
    <w:rsid w:val="00E46543"/>
    <w:rsid w:val="00E465AC"/>
    <w:rsid w:val="00E465B7"/>
    <w:rsid w:val="00E4660F"/>
    <w:rsid w:val="00E4665D"/>
    <w:rsid w:val="00E466B7"/>
    <w:rsid w:val="00E4675D"/>
    <w:rsid w:val="00E46799"/>
    <w:rsid w:val="00E467FD"/>
    <w:rsid w:val="00E4681E"/>
    <w:rsid w:val="00E46854"/>
    <w:rsid w:val="00E4686D"/>
    <w:rsid w:val="00E468B2"/>
    <w:rsid w:val="00E468DA"/>
    <w:rsid w:val="00E468DF"/>
    <w:rsid w:val="00E468EE"/>
    <w:rsid w:val="00E4698A"/>
    <w:rsid w:val="00E4699C"/>
    <w:rsid w:val="00E469D6"/>
    <w:rsid w:val="00E469DE"/>
    <w:rsid w:val="00E46A69"/>
    <w:rsid w:val="00E46A8A"/>
    <w:rsid w:val="00E46AEB"/>
    <w:rsid w:val="00E46AF6"/>
    <w:rsid w:val="00E46B2D"/>
    <w:rsid w:val="00E46B4B"/>
    <w:rsid w:val="00E46B6A"/>
    <w:rsid w:val="00E46BBB"/>
    <w:rsid w:val="00E46BC0"/>
    <w:rsid w:val="00E46BE1"/>
    <w:rsid w:val="00E46C20"/>
    <w:rsid w:val="00E46C58"/>
    <w:rsid w:val="00E46C9D"/>
    <w:rsid w:val="00E46CCA"/>
    <w:rsid w:val="00E46D9D"/>
    <w:rsid w:val="00E46E1A"/>
    <w:rsid w:val="00E46E2A"/>
    <w:rsid w:val="00E46ECE"/>
    <w:rsid w:val="00E46EFD"/>
    <w:rsid w:val="00E46F9D"/>
    <w:rsid w:val="00E46FAD"/>
    <w:rsid w:val="00E4703B"/>
    <w:rsid w:val="00E47049"/>
    <w:rsid w:val="00E47085"/>
    <w:rsid w:val="00E4709D"/>
    <w:rsid w:val="00E470DA"/>
    <w:rsid w:val="00E4711A"/>
    <w:rsid w:val="00E47137"/>
    <w:rsid w:val="00E471D9"/>
    <w:rsid w:val="00E472E7"/>
    <w:rsid w:val="00E472FB"/>
    <w:rsid w:val="00E47367"/>
    <w:rsid w:val="00E4737C"/>
    <w:rsid w:val="00E47400"/>
    <w:rsid w:val="00E4741F"/>
    <w:rsid w:val="00E474E5"/>
    <w:rsid w:val="00E47500"/>
    <w:rsid w:val="00E47598"/>
    <w:rsid w:val="00E475B5"/>
    <w:rsid w:val="00E47604"/>
    <w:rsid w:val="00E47652"/>
    <w:rsid w:val="00E47665"/>
    <w:rsid w:val="00E4767E"/>
    <w:rsid w:val="00E476DD"/>
    <w:rsid w:val="00E47734"/>
    <w:rsid w:val="00E47743"/>
    <w:rsid w:val="00E477B3"/>
    <w:rsid w:val="00E477C7"/>
    <w:rsid w:val="00E477E1"/>
    <w:rsid w:val="00E477F9"/>
    <w:rsid w:val="00E478A3"/>
    <w:rsid w:val="00E47915"/>
    <w:rsid w:val="00E47941"/>
    <w:rsid w:val="00E4795B"/>
    <w:rsid w:val="00E47974"/>
    <w:rsid w:val="00E479BF"/>
    <w:rsid w:val="00E479D2"/>
    <w:rsid w:val="00E479D8"/>
    <w:rsid w:val="00E479EF"/>
    <w:rsid w:val="00E47A58"/>
    <w:rsid w:val="00E47ABE"/>
    <w:rsid w:val="00E47ABF"/>
    <w:rsid w:val="00E47AD5"/>
    <w:rsid w:val="00E47B53"/>
    <w:rsid w:val="00E47B5F"/>
    <w:rsid w:val="00E47BE9"/>
    <w:rsid w:val="00E47C35"/>
    <w:rsid w:val="00E47C3F"/>
    <w:rsid w:val="00E47CC6"/>
    <w:rsid w:val="00E47D08"/>
    <w:rsid w:val="00E47D1E"/>
    <w:rsid w:val="00E47D81"/>
    <w:rsid w:val="00E47DBB"/>
    <w:rsid w:val="00E47DE4"/>
    <w:rsid w:val="00E47E8E"/>
    <w:rsid w:val="00E47F71"/>
    <w:rsid w:val="00E47FF5"/>
    <w:rsid w:val="00E5004C"/>
    <w:rsid w:val="00E500EC"/>
    <w:rsid w:val="00E500F2"/>
    <w:rsid w:val="00E501A6"/>
    <w:rsid w:val="00E501BA"/>
    <w:rsid w:val="00E50205"/>
    <w:rsid w:val="00E5020F"/>
    <w:rsid w:val="00E5024C"/>
    <w:rsid w:val="00E50273"/>
    <w:rsid w:val="00E5028A"/>
    <w:rsid w:val="00E502A4"/>
    <w:rsid w:val="00E50389"/>
    <w:rsid w:val="00E50399"/>
    <w:rsid w:val="00E504A5"/>
    <w:rsid w:val="00E504AD"/>
    <w:rsid w:val="00E504BD"/>
    <w:rsid w:val="00E504E6"/>
    <w:rsid w:val="00E50539"/>
    <w:rsid w:val="00E5055F"/>
    <w:rsid w:val="00E50582"/>
    <w:rsid w:val="00E505F1"/>
    <w:rsid w:val="00E50622"/>
    <w:rsid w:val="00E5062F"/>
    <w:rsid w:val="00E50648"/>
    <w:rsid w:val="00E50660"/>
    <w:rsid w:val="00E50681"/>
    <w:rsid w:val="00E507B4"/>
    <w:rsid w:val="00E507E0"/>
    <w:rsid w:val="00E50823"/>
    <w:rsid w:val="00E50844"/>
    <w:rsid w:val="00E5097A"/>
    <w:rsid w:val="00E5098D"/>
    <w:rsid w:val="00E509D3"/>
    <w:rsid w:val="00E50A04"/>
    <w:rsid w:val="00E50A2E"/>
    <w:rsid w:val="00E50A38"/>
    <w:rsid w:val="00E50A94"/>
    <w:rsid w:val="00E50BB3"/>
    <w:rsid w:val="00E50BD5"/>
    <w:rsid w:val="00E50BE4"/>
    <w:rsid w:val="00E50C04"/>
    <w:rsid w:val="00E50C77"/>
    <w:rsid w:val="00E50CE7"/>
    <w:rsid w:val="00E50CF5"/>
    <w:rsid w:val="00E50D00"/>
    <w:rsid w:val="00E50D25"/>
    <w:rsid w:val="00E50D98"/>
    <w:rsid w:val="00E50DFB"/>
    <w:rsid w:val="00E50EFD"/>
    <w:rsid w:val="00E50F7F"/>
    <w:rsid w:val="00E51013"/>
    <w:rsid w:val="00E5101D"/>
    <w:rsid w:val="00E51038"/>
    <w:rsid w:val="00E5104E"/>
    <w:rsid w:val="00E51077"/>
    <w:rsid w:val="00E510E2"/>
    <w:rsid w:val="00E51125"/>
    <w:rsid w:val="00E511DD"/>
    <w:rsid w:val="00E512CF"/>
    <w:rsid w:val="00E5135B"/>
    <w:rsid w:val="00E51386"/>
    <w:rsid w:val="00E51389"/>
    <w:rsid w:val="00E513AB"/>
    <w:rsid w:val="00E513BE"/>
    <w:rsid w:val="00E5142C"/>
    <w:rsid w:val="00E5143E"/>
    <w:rsid w:val="00E514B6"/>
    <w:rsid w:val="00E514D8"/>
    <w:rsid w:val="00E514D9"/>
    <w:rsid w:val="00E51558"/>
    <w:rsid w:val="00E51575"/>
    <w:rsid w:val="00E515A0"/>
    <w:rsid w:val="00E515C8"/>
    <w:rsid w:val="00E51616"/>
    <w:rsid w:val="00E5162D"/>
    <w:rsid w:val="00E5165E"/>
    <w:rsid w:val="00E5166A"/>
    <w:rsid w:val="00E5177E"/>
    <w:rsid w:val="00E517B5"/>
    <w:rsid w:val="00E51814"/>
    <w:rsid w:val="00E51846"/>
    <w:rsid w:val="00E5189F"/>
    <w:rsid w:val="00E518BB"/>
    <w:rsid w:val="00E518F9"/>
    <w:rsid w:val="00E51938"/>
    <w:rsid w:val="00E51995"/>
    <w:rsid w:val="00E5199E"/>
    <w:rsid w:val="00E519E2"/>
    <w:rsid w:val="00E51A1B"/>
    <w:rsid w:val="00E51A24"/>
    <w:rsid w:val="00E51A37"/>
    <w:rsid w:val="00E51ADF"/>
    <w:rsid w:val="00E51B15"/>
    <w:rsid w:val="00E51B2C"/>
    <w:rsid w:val="00E51C5C"/>
    <w:rsid w:val="00E51D40"/>
    <w:rsid w:val="00E51D53"/>
    <w:rsid w:val="00E51D77"/>
    <w:rsid w:val="00E51DB9"/>
    <w:rsid w:val="00E51DD7"/>
    <w:rsid w:val="00E51E3A"/>
    <w:rsid w:val="00E51F00"/>
    <w:rsid w:val="00E51F01"/>
    <w:rsid w:val="00E51F54"/>
    <w:rsid w:val="00E51FCC"/>
    <w:rsid w:val="00E51FEE"/>
    <w:rsid w:val="00E52035"/>
    <w:rsid w:val="00E52043"/>
    <w:rsid w:val="00E52049"/>
    <w:rsid w:val="00E52079"/>
    <w:rsid w:val="00E520B2"/>
    <w:rsid w:val="00E52108"/>
    <w:rsid w:val="00E5212F"/>
    <w:rsid w:val="00E5215A"/>
    <w:rsid w:val="00E521CA"/>
    <w:rsid w:val="00E52218"/>
    <w:rsid w:val="00E52293"/>
    <w:rsid w:val="00E522AA"/>
    <w:rsid w:val="00E522C8"/>
    <w:rsid w:val="00E52386"/>
    <w:rsid w:val="00E5239F"/>
    <w:rsid w:val="00E52434"/>
    <w:rsid w:val="00E524CF"/>
    <w:rsid w:val="00E5254D"/>
    <w:rsid w:val="00E52556"/>
    <w:rsid w:val="00E525D4"/>
    <w:rsid w:val="00E5264E"/>
    <w:rsid w:val="00E526AA"/>
    <w:rsid w:val="00E527C3"/>
    <w:rsid w:val="00E52821"/>
    <w:rsid w:val="00E52832"/>
    <w:rsid w:val="00E5285F"/>
    <w:rsid w:val="00E528AE"/>
    <w:rsid w:val="00E52945"/>
    <w:rsid w:val="00E52948"/>
    <w:rsid w:val="00E52991"/>
    <w:rsid w:val="00E529B8"/>
    <w:rsid w:val="00E52A1B"/>
    <w:rsid w:val="00E52A32"/>
    <w:rsid w:val="00E52A9A"/>
    <w:rsid w:val="00E52AA1"/>
    <w:rsid w:val="00E52AFB"/>
    <w:rsid w:val="00E52B1D"/>
    <w:rsid w:val="00E52B6C"/>
    <w:rsid w:val="00E52BA1"/>
    <w:rsid w:val="00E52BF8"/>
    <w:rsid w:val="00E52C42"/>
    <w:rsid w:val="00E52C7D"/>
    <w:rsid w:val="00E52CA6"/>
    <w:rsid w:val="00E52CDA"/>
    <w:rsid w:val="00E52CE0"/>
    <w:rsid w:val="00E52D17"/>
    <w:rsid w:val="00E52D5F"/>
    <w:rsid w:val="00E52D9B"/>
    <w:rsid w:val="00E52DE7"/>
    <w:rsid w:val="00E52E2F"/>
    <w:rsid w:val="00E52E32"/>
    <w:rsid w:val="00E52E41"/>
    <w:rsid w:val="00E52EE4"/>
    <w:rsid w:val="00E52EFD"/>
    <w:rsid w:val="00E52F01"/>
    <w:rsid w:val="00E52FDC"/>
    <w:rsid w:val="00E52FE7"/>
    <w:rsid w:val="00E5304F"/>
    <w:rsid w:val="00E530C9"/>
    <w:rsid w:val="00E530EB"/>
    <w:rsid w:val="00E53101"/>
    <w:rsid w:val="00E531BD"/>
    <w:rsid w:val="00E5323E"/>
    <w:rsid w:val="00E53391"/>
    <w:rsid w:val="00E53445"/>
    <w:rsid w:val="00E5344A"/>
    <w:rsid w:val="00E53460"/>
    <w:rsid w:val="00E534F9"/>
    <w:rsid w:val="00E5352B"/>
    <w:rsid w:val="00E53542"/>
    <w:rsid w:val="00E5359D"/>
    <w:rsid w:val="00E53606"/>
    <w:rsid w:val="00E53611"/>
    <w:rsid w:val="00E536E8"/>
    <w:rsid w:val="00E536F3"/>
    <w:rsid w:val="00E5375B"/>
    <w:rsid w:val="00E53780"/>
    <w:rsid w:val="00E5379F"/>
    <w:rsid w:val="00E53832"/>
    <w:rsid w:val="00E5389E"/>
    <w:rsid w:val="00E539A8"/>
    <w:rsid w:val="00E539D0"/>
    <w:rsid w:val="00E53ACA"/>
    <w:rsid w:val="00E53AD5"/>
    <w:rsid w:val="00E53AD8"/>
    <w:rsid w:val="00E53B12"/>
    <w:rsid w:val="00E53B1D"/>
    <w:rsid w:val="00E53C3F"/>
    <w:rsid w:val="00E53C5A"/>
    <w:rsid w:val="00E53C63"/>
    <w:rsid w:val="00E53C7F"/>
    <w:rsid w:val="00E53CB2"/>
    <w:rsid w:val="00E53D0B"/>
    <w:rsid w:val="00E53D58"/>
    <w:rsid w:val="00E53D81"/>
    <w:rsid w:val="00E53DCB"/>
    <w:rsid w:val="00E53E23"/>
    <w:rsid w:val="00E53E40"/>
    <w:rsid w:val="00E53E56"/>
    <w:rsid w:val="00E53EA3"/>
    <w:rsid w:val="00E53EAE"/>
    <w:rsid w:val="00E53EAF"/>
    <w:rsid w:val="00E53EB7"/>
    <w:rsid w:val="00E53ED1"/>
    <w:rsid w:val="00E5401A"/>
    <w:rsid w:val="00E54029"/>
    <w:rsid w:val="00E54069"/>
    <w:rsid w:val="00E5406D"/>
    <w:rsid w:val="00E54169"/>
    <w:rsid w:val="00E541A4"/>
    <w:rsid w:val="00E541E9"/>
    <w:rsid w:val="00E541EC"/>
    <w:rsid w:val="00E5425A"/>
    <w:rsid w:val="00E5428B"/>
    <w:rsid w:val="00E542D0"/>
    <w:rsid w:val="00E54305"/>
    <w:rsid w:val="00E54309"/>
    <w:rsid w:val="00E54342"/>
    <w:rsid w:val="00E54370"/>
    <w:rsid w:val="00E54392"/>
    <w:rsid w:val="00E543D3"/>
    <w:rsid w:val="00E543DE"/>
    <w:rsid w:val="00E543F4"/>
    <w:rsid w:val="00E54436"/>
    <w:rsid w:val="00E54458"/>
    <w:rsid w:val="00E5445B"/>
    <w:rsid w:val="00E54499"/>
    <w:rsid w:val="00E545A2"/>
    <w:rsid w:val="00E546AE"/>
    <w:rsid w:val="00E5474F"/>
    <w:rsid w:val="00E547AA"/>
    <w:rsid w:val="00E547DD"/>
    <w:rsid w:val="00E5480B"/>
    <w:rsid w:val="00E54811"/>
    <w:rsid w:val="00E54823"/>
    <w:rsid w:val="00E54890"/>
    <w:rsid w:val="00E548B6"/>
    <w:rsid w:val="00E548DC"/>
    <w:rsid w:val="00E54924"/>
    <w:rsid w:val="00E54960"/>
    <w:rsid w:val="00E549D1"/>
    <w:rsid w:val="00E549E7"/>
    <w:rsid w:val="00E549FA"/>
    <w:rsid w:val="00E54A18"/>
    <w:rsid w:val="00E54B24"/>
    <w:rsid w:val="00E54B2B"/>
    <w:rsid w:val="00E54B89"/>
    <w:rsid w:val="00E54B8B"/>
    <w:rsid w:val="00E54B9E"/>
    <w:rsid w:val="00E54C22"/>
    <w:rsid w:val="00E54C73"/>
    <w:rsid w:val="00E54D55"/>
    <w:rsid w:val="00E54DA4"/>
    <w:rsid w:val="00E54DBB"/>
    <w:rsid w:val="00E54E24"/>
    <w:rsid w:val="00E54E37"/>
    <w:rsid w:val="00E54E57"/>
    <w:rsid w:val="00E54ED6"/>
    <w:rsid w:val="00E54EEE"/>
    <w:rsid w:val="00E54F41"/>
    <w:rsid w:val="00E54F86"/>
    <w:rsid w:val="00E54F94"/>
    <w:rsid w:val="00E55001"/>
    <w:rsid w:val="00E55007"/>
    <w:rsid w:val="00E550A9"/>
    <w:rsid w:val="00E550AA"/>
    <w:rsid w:val="00E55136"/>
    <w:rsid w:val="00E5515B"/>
    <w:rsid w:val="00E551B4"/>
    <w:rsid w:val="00E551EF"/>
    <w:rsid w:val="00E55209"/>
    <w:rsid w:val="00E55227"/>
    <w:rsid w:val="00E55316"/>
    <w:rsid w:val="00E554E7"/>
    <w:rsid w:val="00E5553C"/>
    <w:rsid w:val="00E555D7"/>
    <w:rsid w:val="00E5569F"/>
    <w:rsid w:val="00E5582D"/>
    <w:rsid w:val="00E5585C"/>
    <w:rsid w:val="00E5586F"/>
    <w:rsid w:val="00E5588C"/>
    <w:rsid w:val="00E55890"/>
    <w:rsid w:val="00E558C8"/>
    <w:rsid w:val="00E558CB"/>
    <w:rsid w:val="00E558FB"/>
    <w:rsid w:val="00E559B0"/>
    <w:rsid w:val="00E559B2"/>
    <w:rsid w:val="00E55A0E"/>
    <w:rsid w:val="00E55A1C"/>
    <w:rsid w:val="00E55A3B"/>
    <w:rsid w:val="00E55A46"/>
    <w:rsid w:val="00E55A94"/>
    <w:rsid w:val="00E55B19"/>
    <w:rsid w:val="00E55B55"/>
    <w:rsid w:val="00E55B8C"/>
    <w:rsid w:val="00E55BE4"/>
    <w:rsid w:val="00E55BFB"/>
    <w:rsid w:val="00E55C53"/>
    <w:rsid w:val="00E55C5B"/>
    <w:rsid w:val="00E55CB8"/>
    <w:rsid w:val="00E55D14"/>
    <w:rsid w:val="00E55D5C"/>
    <w:rsid w:val="00E55DF7"/>
    <w:rsid w:val="00E55E6A"/>
    <w:rsid w:val="00E55E82"/>
    <w:rsid w:val="00E55E85"/>
    <w:rsid w:val="00E55E8F"/>
    <w:rsid w:val="00E55F5F"/>
    <w:rsid w:val="00E55FAD"/>
    <w:rsid w:val="00E55FD0"/>
    <w:rsid w:val="00E55FD7"/>
    <w:rsid w:val="00E55FFE"/>
    <w:rsid w:val="00E56060"/>
    <w:rsid w:val="00E560E5"/>
    <w:rsid w:val="00E560F5"/>
    <w:rsid w:val="00E56176"/>
    <w:rsid w:val="00E561BA"/>
    <w:rsid w:val="00E561EE"/>
    <w:rsid w:val="00E562A0"/>
    <w:rsid w:val="00E562BD"/>
    <w:rsid w:val="00E562C6"/>
    <w:rsid w:val="00E56368"/>
    <w:rsid w:val="00E5636C"/>
    <w:rsid w:val="00E563C3"/>
    <w:rsid w:val="00E563C5"/>
    <w:rsid w:val="00E56453"/>
    <w:rsid w:val="00E5645A"/>
    <w:rsid w:val="00E564BB"/>
    <w:rsid w:val="00E564FA"/>
    <w:rsid w:val="00E5654F"/>
    <w:rsid w:val="00E56588"/>
    <w:rsid w:val="00E565C5"/>
    <w:rsid w:val="00E565E7"/>
    <w:rsid w:val="00E5664A"/>
    <w:rsid w:val="00E56660"/>
    <w:rsid w:val="00E566B3"/>
    <w:rsid w:val="00E566EF"/>
    <w:rsid w:val="00E56785"/>
    <w:rsid w:val="00E56790"/>
    <w:rsid w:val="00E567A2"/>
    <w:rsid w:val="00E567C6"/>
    <w:rsid w:val="00E567ED"/>
    <w:rsid w:val="00E56803"/>
    <w:rsid w:val="00E56A09"/>
    <w:rsid w:val="00E56A42"/>
    <w:rsid w:val="00E56ABD"/>
    <w:rsid w:val="00E56ADE"/>
    <w:rsid w:val="00E56B7A"/>
    <w:rsid w:val="00E56B7E"/>
    <w:rsid w:val="00E56B91"/>
    <w:rsid w:val="00E56BBA"/>
    <w:rsid w:val="00E56C11"/>
    <w:rsid w:val="00E56C48"/>
    <w:rsid w:val="00E56C5D"/>
    <w:rsid w:val="00E56C7D"/>
    <w:rsid w:val="00E56D74"/>
    <w:rsid w:val="00E56D86"/>
    <w:rsid w:val="00E56D92"/>
    <w:rsid w:val="00E56DC0"/>
    <w:rsid w:val="00E56DFE"/>
    <w:rsid w:val="00E56E01"/>
    <w:rsid w:val="00E56E23"/>
    <w:rsid w:val="00E56E29"/>
    <w:rsid w:val="00E56E49"/>
    <w:rsid w:val="00E56EC1"/>
    <w:rsid w:val="00E56F22"/>
    <w:rsid w:val="00E56F52"/>
    <w:rsid w:val="00E5701B"/>
    <w:rsid w:val="00E5702B"/>
    <w:rsid w:val="00E57055"/>
    <w:rsid w:val="00E570D4"/>
    <w:rsid w:val="00E5713C"/>
    <w:rsid w:val="00E57201"/>
    <w:rsid w:val="00E5723D"/>
    <w:rsid w:val="00E57251"/>
    <w:rsid w:val="00E57302"/>
    <w:rsid w:val="00E57325"/>
    <w:rsid w:val="00E573DE"/>
    <w:rsid w:val="00E57444"/>
    <w:rsid w:val="00E57499"/>
    <w:rsid w:val="00E574A4"/>
    <w:rsid w:val="00E574F6"/>
    <w:rsid w:val="00E57536"/>
    <w:rsid w:val="00E5755D"/>
    <w:rsid w:val="00E57590"/>
    <w:rsid w:val="00E5759F"/>
    <w:rsid w:val="00E57661"/>
    <w:rsid w:val="00E57699"/>
    <w:rsid w:val="00E577DC"/>
    <w:rsid w:val="00E57808"/>
    <w:rsid w:val="00E57820"/>
    <w:rsid w:val="00E578D7"/>
    <w:rsid w:val="00E578E1"/>
    <w:rsid w:val="00E57924"/>
    <w:rsid w:val="00E5798A"/>
    <w:rsid w:val="00E579CA"/>
    <w:rsid w:val="00E579E9"/>
    <w:rsid w:val="00E57A12"/>
    <w:rsid w:val="00E57A2C"/>
    <w:rsid w:val="00E57A54"/>
    <w:rsid w:val="00E57A71"/>
    <w:rsid w:val="00E57AF1"/>
    <w:rsid w:val="00E57B00"/>
    <w:rsid w:val="00E57B1A"/>
    <w:rsid w:val="00E57B2A"/>
    <w:rsid w:val="00E57BD9"/>
    <w:rsid w:val="00E57BE6"/>
    <w:rsid w:val="00E57C0D"/>
    <w:rsid w:val="00E57C77"/>
    <w:rsid w:val="00E57C78"/>
    <w:rsid w:val="00E57D56"/>
    <w:rsid w:val="00E57D67"/>
    <w:rsid w:val="00E57DF7"/>
    <w:rsid w:val="00E57E35"/>
    <w:rsid w:val="00E57E38"/>
    <w:rsid w:val="00E57E44"/>
    <w:rsid w:val="00E57F05"/>
    <w:rsid w:val="00E57F86"/>
    <w:rsid w:val="00E57FEB"/>
    <w:rsid w:val="00E60082"/>
    <w:rsid w:val="00E600B6"/>
    <w:rsid w:val="00E600D3"/>
    <w:rsid w:val="00E600FE"/>
    <w:rsid w:val="00E6016A"/>
    <w:rsid w:val="00E601A9"/>
    <w:rsid w:val="00E6029C"/>
    <w:rsid w:val="00E602CB"/>
    <w:rsid w:val="00E60356"/>
    <w:rsid w:val="00E604BD"/>
    <w:rsid w:val="00E604C5"/>
    <w:rsid w:val="00E604CF"/>
    <w:rsid w:val="00E604FD"/>
    <w:rsid w:val="00E6052D"/>
    <w:rsid w:val="00E6054D"/>
    <w:rsid w:val="00E6059E"/>
    <w:rsid w:val="00E60602"/>
    <w:rsid w:val="00E6062C"/>
    <w:rsid w:val="00E6066B"/>
    <w:rsid w:val="00E606BB"/>
    <w:rsid w:val="00E606EC"/>
    <w:rsid w:val="00E606FB"/>
    <w:rsid w:val="00E60713"/>
    <w:rsid w:val="00E60715"/>
    <w:rsid w:val="00E607A1"/>
    <w:rsid w:val="00E607D4"/>
    <w:rsid w:val="00E607ED"/>
    <w:rsid w:val="00E60823"/>
    <w:rsid w:val="00E6087C"/>
    <w:rsid w:val="00E608B2"/>
    <w:rsid w:val="00E60930"/>
    <w:rsid w:val="00E60966"/>
    <w:rsid w:val="00E6099A"/>
    <w:rsid w:val="00E609FF"/>
    <w:rsid w:val="00E60A05"/>
    <w:rsid w:val="00E60A0A"/>
    <w:rsid w:val="00E60A53"/>
    <w:rsid w:val="00E60AE5"/>
    <w:rsid w:val="00E60AF5"/>
    <w:rsid w:val="00E60B4C"/>
    <w:rsid w:val="00E60BB8"/>
    <w:rsid w:val="00E60BF4"/>
    <w:rsid w:val="00E60C2F"/>
    <w:rsid w:val="00E60C52"/>
    <w:rsid w:val="00E60C7A"/>
    <w:rsid w:val="00E60C7B"/>
    <w:rsid w:val="00E60CB4"/>
    <w:rsid w:val="00E60CC0"/>
    <w:rsid w:val="00E60CCB"/>
    <w:rsid w:val="00E60D26"/>
    <w:rsid w:val="00E60D70"/>
    <w:rsid w:val="00E60DE4"/>
    <w:rsid w:val="00E60DEE"/>
    <w:rsid w:val="00E60EA0"/>
    <w:rsid w:val="00E60EE4"/>
    <w:rsid w:val="00E60F3E"/>
    <w:rsid w:val="00E60F44"/>
    <w:rsid w:val="00E60F48"/>
    <w:rsid w:val="00E60F76"/>
    <w:rsid w:val="00E60FAD"/>
    <w:rsid w:val="00E60FB3"/>
    <w:rsid w:val="00E60FD0"/>
    <w:rsid w:val="00E610D0"/>
    <w:rsid w:val="00E61130"/>
    <w:rsid w:val="00E61149"/>
    <w:rsid w:val="00E6119C"/>
    <w:rsid w:val="00E6119F"/>
    <w:rsid w:val="00E611BC"/>
    <w:rsid w:val="00E611EC"/>
    <w:rsid w:val="00E611F2"/>
    <w:rsid w:val="00E612DC"/>
    <w:rsid w:val="00E612EF"/>
    <w:rsid w:val="00E61361"/>
    <w:rsid w:val="00E6136C"/>
    <w:rsid w:val="00E613D3"/>
    <w:rsid w:val="00E61464"/>
    <w:rsid w:val="00E614DF"/>
    <w:rsid w:val="00E61517"/>
    <w:rsid w:val="00E6152E"/>
    <w:rsid w:val="00E61627"/>
    <w:rsid w:val="00E6163F"/>
    <w:rsid w:val="00E6165E"/>
    <w:rsid w:val="00E616B9"/>
    <w:rsid w:val="00E616C7"/>
    <w:rsid w:val="00E6177E"/>
    <w:rsid w:val="00E61839"/>
    <w:rsid w:val="00E6184A"/>
    <w:rsid w:val="00E6187B"/>
    <w:rsid w:val="00E618E5"/>
    <w:rsid w:val="00E61902"/>
    <w:rsid w:val="00E6190E"/>
    <w:rsid w:val="00E61933"/>
    <w:rsid w:val="00E619BD"/>
    <w:rsid w:val="00E61A1E"/>
    <w:rsid w:val="00E61A24"/>
    <w:rsid w:val="00E61A32"/>
    <w:rsid w:val="00E61A33"/>
    <w:rsid w:val="00E61ABB"/>
    <w:rsid w:val="00E61ADC"/>
    <w:rsid w:val="00E61AE5"/>
    <w:rsid w:val="00E61B04"/>
    <w:rsid w:val="00E61B09"/>
    <w:rsid w:val="00E61B5C"/>
    <w:rsid w:val="00E61B85"/>
    <w:rsid w:val="00E61CAC"/>
    <w:rsid w:val="00E61DB0"/>
    <w:rsid w:val="00E61DB9"/>
    <w:rsid w:val="00E61E07"/>
    <w:rsid w:val="00E61E79"/>
    <w:rsid w:val="00E61F0A"/>
    <w:rsid w:val="00E61F96"/>
    <w:rsid w:val="00E62039"/>
    <w:rsid w:val="00E6207A"/>
    <w:rsid w:val="00E620D4"/>
    <w:rsid w:val="00E62120"/>
    <w:rsid w:val="00E6214A"/>
    <w:rsid w:val="00E62167"/>
    <w:rsid w:val="00E621AA"/>
    <w:rsid w:val="00E621C0"/>
    <w:rsid w:val="00E621C2"/>
    <w:rsid w:val="00E621C7"/>
    <w:rsid w:val="00E6229C"/>
    <w:rsid w:val="00E6229E"/>
    <w:rsid w:val="00E622A7"/>
    <w:rsid w:val="00E622DF"/>
    <w:rsid w:val="00E62344"/>
    <w:rsid w:val="00E623B2"/>
    <w:rsid w:val="00E62562"/>
    <w:rsid w:val="00E62587"/>
    <w:rsid w:val="00E625FF"/>
    <w:rsid w:val="00E62648"/>
    <w:rsid w:val="00E62673"/>
    <w:rsid w:val="00E626B8"/>
    <w:rsid w:val="00E626B9"/>
    <w:rsid w:val="00E627A5"/>
    <w:rsid w:val="00E627E4"/>
    <w:rsid w:val="00E62902"/>
    <w:rsid w:val="00E6294C"/>
    <w:rsid w:val="00E629A9"/>
    <w:rsid w:val="00E62A0E"/>
    <w:rsid w:val="00E62A26"/>
    <w:rsid w:val="00E62ADE"/>
    <w:rsid w:val="00E62B59"/>
    <w:rsid w:val="00E62B90"/>
    <w:rsid w:val="00E62B99"/>
    <w:rsid w:val="00E62B9F"/>
    <w:rsid w:val="00E62BFD"/>
    <w:rsid w:val="00E62C0B"/>
    <w:rsid w:val="00E62C16"/>
    <w:rsid w:val="00E62C52"/>
    <w:rsid w:val="00E62CFB"/>
    <w:rsid w:val="00E62D06"/>
    <w:rsid w:val="00E62D18"/>
    <w:rsid w:val="00E62D2C"/>
    <w:rsid w:val="00E62D47"/>
    <w:rsid w:val="00E62D89"/>
    <w:rsid w:val="00E62DA5"/>
    <w:rsid w:val="00E62E01"/>
    <w:rsid w:val="00E62E14"/>
    <w:rsid w:val="00E62E7C"/>
    <w:rsid w:val="00E62EB7"/>
    <w:rsid w:val="00E62EB9"/>
    <w:rsid w:val="00E62ECA"/>
    <w:rsid w:val="00E62F3D"/>
    <w:rsid w:val="00E62FA5"/>
    <w:rsid w:val="00E6317E"/>
    <w:rsid w:val="00E631EB"/>
    <w:rsid w:val="00E6325F"/>
    <w:rsid w:val="00E632B9"/>
    <w:rsid w:val="00E632DD"/>
    <w:rsid w:val="00E63307"/>
    <w:rsid w:val="00E63322"/>
    <w:rsid w:val="00E63342"/>
    <w:rsid w:val="00E6335E"/>
    <w:rsid w:val="00E63383"/>
    <w:rsid w:val="00E633F4"/>
    <w:rsid w:val="00E63467"/>
    <w:rsid w:val="00E6346D"/>
    <w:rsid w:val="00E63499"/>
    <w:rsid w:val="00E63504"/>
    <w:rsid w:val="00E63527"/>
    <w:rsid w:val="00E6352A"/>
    <w:rsid w:val="00E635A6"/>
    <w:rsid w:val="00E636BC"/>
    <w:rsid w:val="00E6370E"/>
    <w:rsid w:val="00E6372C"/>
    <w:rsid w:val="00E63732"/>
    <w:rsid w:val="00E6376B"/>
    <w:rsid w:val="00E63794"/>
    <w:rsid w:val="00E637BD"/>
    <w:rsid w:val="00E63838"/>
    <w:rsid w:val="00E6388F"/>
    <w:rsid w:val="00E63926"/>
    <w:rsid w:val="00E63928"/>
    <w:rsid w:val="00E639FC"/>
    <w:rsid w:val="00E63A06"/>
    <w:rsid w:val="00E63A3A"/>
    <w:rsid w:val="00E63A9E"/>
    <w:rsid w:val="00E63AAE"/>
    <w:rsid w:val="00E63AC1"/>
    <w:rsid w:val="00E63AF2"/>
    <w:rsid w:val="00E63B13"/>
    <w:rsid w:val="00E63B18"/>
    <w:rsid w:val="00E63B64"/>
    <w:rsid w:val="00E63B7D"/>
    <w:rsid w:val="00E63B9C"/>
    <w:rsid w:val="00E63BCC"/>
    <w:rsid w:val="00E63BD4"/>
    <w:rsid w:val="00E63C07"/>
    <w:rsid w:val="00E63CAA"/>
    <w:rsid w:val="00E63CBB"/>
    <w:rsid w:val="00E63D1F"/>
    <w:rsid w:val="00E63D27"/>
    <w:rsid w:val="00E63D64"/>
    <w:rsid w:val="00E63D75"/>
    <w:rsid w:val="00E63DCF"/>
    <w:rsid w:val="00E63EF8"/>
    <w:rsid w:val="00E63F6E"/>
    <w:rsid w:val="00E64004"/>
    <w:rsid w:val="00E6401C"/>
    <w:rsid w:val="00E6401F"/>
    <w:rsid w:val="00E64053"/>
    <w:rsid w:val="00E6409A"/>
    <w:rsid w:val="00E640D5"/>
    <w:rsid w:val="00E640DF"/>
    <w:rsid w:val="00E640E1"/>
    <w:rsid w:val="00E64110"/>
    <w:rsid w:val="00E64140"/>
    <w:rsid w:val="00E64154"/>
    <w:rsid w:val="00E64196"/>
    <w:rsid w:val="00E641AC"/>
    <w:rsid w:val="00E641BA"/>
    <w:rsid w:val="00E641DA"/>
    <w:rsid w:val="00E64211"/>
    <w:rsid w:val="00E6421E"/>
    <w:rsid w:val="00E64231"/>
    <w:rsid w:val="00E642D3"/>
    <w:rsid w:val="00E642DF"/>
    <w:rsid w:val="00E64314"/>
    <w:rsid w:val="00E6431F"/>
    <w:rsid w:val="00E6443B"/>
    <w:rsid w:val="00E644AA"/>
    <w:rsid w:val="00E644C2"/>
    <w:rsid w:val="00E6451B"/>
    <w:rsid w:val="00E645B5"/>
    <w:rsid w:val="00E645DE"/>
    <w:rsid w:val="00E645DF"/>
    <w:rsid w:val="00E645FB"/>
    <w:rsid w:val="00E64620"/>
    <w:rsid w:val="00E646B9"/>
    <w:rsid w:val="00E646C2"/>
    <w:rsid w:val="00E646EE"/>
    <w:rsid w:val="00E64752"/>
    <w:rsid w:val="00E64783"/>
    <w:rsid w:val="00E6481D"/>
    <w:rsid w:val="00E6483C"/>
    <w:rsid w:val="00E64854"/>
    <w:rsid w:val="00E64982"/>
    <w:rsid w:val="00E649C3"/>
    <w:rsid w:val="00E64A55"/>
    <w:rsid w:val="00E64A68"/>
    <w:rsid w:val="00E64A77"/>
    <w:rsid w:val="00E64A91"/>
    <w:rsid w:val="00E64B1F"/>
    <w:rsid w:val="00E64B44"/>
    <w:rsid w:val="00E64B63"/>
    <w:rsid w:val="00E64B78"/>
    <w:rsid w:val="00E64B97"/>
    <w:rsid w:val="00E64BC7"/>
    <w:rsid w:val="00E64BE4"/>
    <w:rsid w:val="00E64BF8"/>
    <w:rsid w:val="00E64C35"/>
    <w:rsid w:val="00E64C65"/>
    <w:rsid w:val="00E64CAE"/>
    <w:rsid w:val="00E64CD5"/>
    <w:rsid w:val="00E64D18"/>
    <w:rsid w:val="00E64DA4"/>
    <w:rsid w:val="00E64DAF"/>
    <w:rsid w:val="00E64DD4"/>
    <w:rsid w:val="00E64DE4"/>
    <w:rsid w:val="00E64E8F"/>
    <w:rsid w:val="00E64EA8"/>
    <w:rsid w:val="00E64EAB"/>
    <w:rsid w:val="00E64EAE"/>
    <w:rsid w:val="00E64F8B"/>
    <w:rsid w:val="00E6501B"/>
    <w:rsid w:val="00E6501F"/>
    <w:rsid w:val="00E65101"/>
    <w:rsid w:val="00E6510C"/>
    <w:rsid w:val="00E65113"/>
    <w:rsid w:val="00E651A2"/>
    <w:rsid w:val="00E651D7"/>
    <w:rsid w:val="00E65246"/>
    <w:rsid w:val="00E652B5"/>
    <w:rsid w:val="00E652F1"/>
    <w:rsid w:val="00E65326"/>
    <w:rsid w:val="00E65348"/>
    <w:rsid w:val="00E6534C"/>
    <w:rsid w:val="00E6534F"/>
    <w:rsid w:val="00E6537C"/>
    <w:rsid w:val="00E65389"/>
    <w:rsid w:val="00E653DF"/>
    <w:rsid w:val="00E653F8"/>
    <w:rsid w:val="00E6541C"/>
    <w:rsid w:val="00E6541E"/>
    <w:rsid w:val="00E654C5"/>
    <w:rsid w:val="00E654D1"/>
    <w:rsid w:val="00E654E7"/>
    <w:rsid w:val="00E6552F"/>
    <w:rsid w:val="00E65583"/>
    <w:rsid w:val="00E655B3"/>
    <w:rsid w:val="00E655E8"/>
    <w:rsid w:val="00E6561D"/>
    <w:rsid w:val="00E6565B"/>
    <w:rsid w:val="00E65671"/>
    <w:rsid w:val="00E656C9"/>
    <w:rsid w:val="00E65742"/>
    <w:rsid w:val="00E65750"/>
    <w:rsid w:val="00E65888"/>
    <w:rsid w:val="00E6590D"/>
    <w:rsid w:val="00E65949"/>
    <w:rsid w:val="00E6597E"/>
    <w:rsid w:val="00E659AA"/>
    <w:rsid w:val="00E659E0"/>
    <w:rsid w:val="00E659E6"/>
    <w:rsid w:val="00E659F4"/>
    <w:rsid w:val="00E65A12"/>
    <w:rsid w:val="00E65A65"/>
    <w:rsid w:val="00E65A7E"/>
    <w:rsid w:val="00E65AEF"/>
    <w:rsid w:val="00E65BC2"/>
    <w:rsid w:val="00E65BE8"/>
    <w:rsid w:val="00E65C64"/>
    <w:rsid w:val="00E65C68"/>
    <w:rsid w:val="00E65C6E"/>
    <w:rsid w:val="00E65C88"/>
    <w:rsid w:val="00E65CEA"/>
    <w:rsid w:val="00E65D00"/>
    <w:rsid w:val="00E65D03"/>
    <w:rsid w:val="00E65D9D"/>
    <w:rsid w:val="00E65E11"/>
    <w:rsid w:val="00E65E3D"/>
    <w:rsid w:val="00E65E43"/>
    <w:rsid w:val="00E65E45"/>
    <w:rsid w:val="00E65EC7"/>
    <w:rsid w:val="00E65F7B"/>
    <w:rsid w:val="00E66086"/>
    <w:rsid w:val="00E660C1"/>
    <w:rsid w:val="00E66122"/>
    <w:rsid w:val="00E66136"/>
    <w:rsid w:val="00E6617C"/>
    <w:rsid w:val="00E66208"/>
    <w:rsid w:val="00E66212"/>
    <w:rsid w:val="00E66219"/>
    <w:rsid w:val="00E66235"/>
    <w:rsid w:val="00E6624C"/>
    <w:rsid w:val="00E662D9"/>
    <w:rsid w:val="00E662F8"/>
    <w:rsid w:val="00E66304"/>
    <w:rsid w:val="00E66314"/>
    <w:rsid w:val="00E66360"/>
    <w:rsid w:val="00E663A7"/>
    <w:rsid w:val="00E663C1"/>
    <w:rsid w:val="00E663E5"/>
    <w:rsid w:val="00E663EA"/>
    <w:rsid w:val="00E66436"/>
    <w:rsid w:val="00E66462"/>
    <w:rsid w:val="00E664CD"/>
    <w:rsid w:val="00E664FC"/>
    <w:rsid w:val="00E66575"/>
    <w:rsid w:val="00E66627"/>
    <w:rsid w:val="00E6662A"/>
    <w:rsid w:val="00E66686"/>
    <w:rsid w:val="00E666D6"/>
    <w:rsid w:val="00E66711"/>
    <w:rsid w:val="00E66712"/>
    <w:rsid w:val="00E66724"/>
    <w:rsid w:val="00E667D8"/>
    <w:rsid w:val="00E6687E"/>
    <w:rsid w:val="00E668C0"/>
    <w:rsid w:val="00E668D6"/>
    <w:rsid w:val="00E6691C"/>
    <w:rsid w:val="00E6694C"/>
    <w:rsid w:val="00E6696E"/>
    <w:rsid w:val="00E669DB"/>
    <w:rsid w:val="00E66A09"/>
    <w:rsid w:val="00E66A77"/>
    <w:rsid w:val="00E66AC2"/>
    <w:rsid w:val="00E66AFF"/>
    <w:rsid w:val="00E66B08"/>
    <w:rsid w:val="00E66B43"/>
    <w:rsid w:val="00E66B62"/>
    <w:rsid w:val="00E66BA4"/>
    <w:rsid w:val="00E66C31"/>
    <w:rsid w:val="00E66C3A"/>
    <w:rsid w:val="00E66C44"/>
    <w:rsid w:val="00E66CBE"/>
    <w:rsid w:val="00E66CD0"/>
    <w:rsid w:val="00E66CE5"/>
    <w:rsid w:val="00E66CF8"/>
    <w:rsid w:val="00E66D18"/>
    <w:rsid w:val="00E66DD1"/>
    <w:rsid w:val="00E66DFB"/>
    <w:rsid w:val="00E66DFE"/>
    <w:rsid w:val="00E66E94"/>
    <w:rsid w:val="00E67044"/>
    <w:rsid w:val="00E67072"/>
    <w:rsid w:val="00E67076"/>
    <w:rsid w:val="00E6707D"/>
    <w:rsid w:val="00E670FF"/>
    <w:rsid w:val="00E67113"/>
    <w:rsid w:val="00E67140"/>
    <w:rsid w:val="00E67279"/>
    <w:rsid w:val="00E672B7"/>
    <w:rsid w:val="00E67333"/>
    <w:rsid w:val="00E673CC"/>
    <w:rsid w:val="00E67414"/>
    <w:rsid w:val="00E67422"/>
    <w:rsid w:val="00E6747A"/>
    <w:rsid w:val="00E674B7"/>
    <w:rsid w:val="00E674BE"/>
    <w:rsid w:val="00E674CF"/>
    <w:rsid w:val="00E675CB"/>
    <w:rsid w:val="00E67612"/>
    <w:rsid w:val="00E67667"/>
    <w:rsid w:val="00E6774C"/>
    <w:rsid w:val="00E6777B"/>
    <w:rsid w:val="00E67795"/>
    <w:rsid w:val="00E677AC"/>
    <w:rsid w:val="00E677C5"/>
    <w:rsid w:val="00E6781A"/>
    <w:rsid w:val="00E67836"/>
    <w:rsid w:val="00E6785A"/>
    <w:rsid w:val="00E6786A"/>
    <w:rsid w:val="00E678D9"/>
    <w:rsid w:val="00E67900"/>
    <w:rsid w:val="00E679AC"/>
    <w:rsid w:val="00E679F7"/>
    <w:rsid w:val="00E67A26"/>
    <w:rsid w:val="00E67A58"/>
    <w:rsid w:val="00E67A65"/>
    <w:rsid w:val="00E67A7E"/>
    <w:rsid w:val="00E67ABD"/>
    <w:rsid w:val="00E67B2B"/>
    <w:rsid w:val="00E67B97"/>
    <w:rsid w:val="00E67BD1"/>
    <w:rsid w:val="00E67BE6"/>
    <w:rsid w:val="00E67C14"/>
    <w:rsid w:val="00E67C3F"/>
    <w:rsid w:val="00E67CAB"/>
    <w:rsid w:val="00E67D0A"/>
    <w:rsid w:val="00E67E25"/>
    <w:rsid w:val="00E67E30"/>
    <w:rsid w:val="00E67E3A"/>
    <w:rsid w:val="00E67E8F"/>
    <w:rsid w:val="00E67EF0"/>
    <w:rsid w:val="00E67F1A"/>
    <w:rsid w:val="00E67F1B"/>
    <w:rsid w:val="00E67F36"/>
    <w:rsid w:val="00E67F50"/>
    <w:rsid w:val="00E67FCA"/>
    <w:rsid w:val="00E67FDD"/>
    <w:rsid w:val="00E70014"/>
    <w:rsid w:val="00E7001E"/>
    <w:rsid w:val="00E7005A"/>
    <w:rsid w:val="00E70098"/>
    <w:rsid w:val="00E700C1"/>
    <w:rsid w:val="00E7011E"/>
    <w:rsid w:val="00E7016E"/>
    <w:rsid w:val="00E70180"/>
    <w:rsid w:val="00E70254"/>
    <w:rsid w:val="00E702B4"/>
    <w:rsid w:val="00E702C4"/>
    <w:rsid w:val="00E702E7"/>
    <w:rsid w:val="00E702E9"/>
    <w:rsid w:val="00E70302"/>
    <w:rsid w:val="00E7032B"/>
    <w:rsid w:val="00E703C4"/>
    <w:rsid w:val="00E703FF"/>
    <w:rsid w:val="00E70438"/>
    <w:rsid w:val="00E7049C"/>
    <w:rsid w:val="00E704A0"/>
    <w:rsid w:val="00E704EB"/>
    <w:rsid w:val="00E70531"/>
    <w:rsid w:val="00E705F5"/>
    <w:rsid w:val="00E70633"/>
    <w:rsid w:val="00E70654"/>
    <w:rsid w:val="00E70681"/>
    <w:rsid w:val="00E7068E"/>
    <w:rsid w:val="00E706E3"/>
    <w:rsid w:val="00E70707"/>
    <w:rsid w:val="00E7070C"/>
    <w:rsid w:val="00E707AA"/>
    <w:rsid w:val="00E70809"/>
    <w:rsid w:val="00E70832"/>
    <w:rsid w:val="00E7090F"/>
    <w:rsid w:val="00E7091C"/>
    <w:rsid w:val="00E70959"/>
    <w:rsid w:val="00E709C5"/>
    <w:rsid w:val="00E70A4D"/>
    <w:rsid w:val="00E70A54"/>
    <w:rsid w:val="00E70B49"/>
    <w:rsid w:val="00E70BCB"/>
    <w:rsid w:val="00E70BE3"/>
    <w:rsid w:val="00E70C0D"/>
    <w:rsid w:val="00E70C1E"/>
    <w:rsid w:val="00E70CD6"/>
    <w:rsid w:val="00E70CDC"/>
    <w:rsid w:val="00E70D55"/>
    <w:rsid w:val="00E70DC3"/>
    <w:rsid w:val="00E70DF3"/>
    <w:rsid w:val="00E70DFF"/>
    <w:rsid w:val="00E70E0B"/>
    <w:rsid w:val="00E70F0F"/>
    <w:rsid w:val="00E70F8D"/>
    <w:rsid w:val="00E71057"/>
    <w:rsid w:val="00E7107F"/>
    <w:rsid w:val="00E710A4"/>
    <w:rsid w:val="00E710CD"/>
    <w:rsid w:val="00E71103"/>
    <w:rsid w:val="00E71183"/>
    <w:rsid w:val="00E711A6"/>
    <w:rsid w:val="00E711C8"/>
    <w:rsid w:val="00E712B2"/>
    <w:rsid w:val="00E712CE"/>
    <w:rsid w:val="00E712F0"/>
    <w:rsid w:val="00E71324"/>
    <w:rsid w:val="00E7133A"/>
    <w:rsid w:val="00E71359"/>
    <w:rsid w:val="00E71393"/>
    <w:rsid w:val="00E7139F"/>
    <w:rsid w:val="00E713A3"/>
    <w:rsid w:val="00E713CD"/>
    <w:rsid w:val="00E713E0"/>
    <w:rsid w:val="00E7145D"/>
    <w:rsid w:val="00E71470"/>
    <w:rsid w:val="00E7148C"/>
    <w:rsid w:val="00E71497"/>
    <w:rsid w:val="00E714C0"/>
    <w:rsid w:val="00E71556"/>
    <w:rsid w:val="00E715C0"/>
    <w:rsid w:val="00E71601"/>
    <w:rsid w:val="00E7160F"/>
    <w:rsid w:val="00E71610"/>
    <w:rsid w:val="00E7162F"/>
    <w:rsid w:val="00E71683"/>
    <w:rsid w:val="00E716E3"/>
    <w:rsid w:val="00E71780"/>
    <w:rsid w:val="00E71788"/>
    <w:rsid w:val="00E717AE"/>
    <w:rsid w:val="00E717B3"/>
    <w:rsid w:val="00E717CC"/>
    <w:rsid w:val="00E717F0"/>
    <w:rsid w:val="00E71832"/>
    <w:rsid w:val="00E718C2"/>
    <w:rsid w:val="00E718C9"/>
    <w:rsid w:val="00E718D9"/>
    <w:rsid w:val="00E71964"/>
    <w:rsid w:val="00E71971"/>
    <w:rsid w:val="00E719B1"/>
    <w:rsid w:val="00E71A76"/>
    <w:rsid w:val="00E71A87"/>
    <w:rsid w:val="00E71ABB"/>
    <w:rsid w:val="00E71AC5"/>
    <w:rsid w:val="00E71ACA"/>
    <w:rsid w:val="00E71AD7"/>
    <w:rsid w:val="00E71B09"/>
    <w:rsid w:val="00E71B0B"/>
    <w:rsid w:val="00E71B6A"/>
    <w:rsid w:val="00E71C0B"/>
    <w:rsid w:val="00E71C8B"/>
    <w:rsid w:val="00E71DBA"/>
    <w:rsid w:val="00E71E95"/>
    <w:rsid w:val="00E71EDA"/>
    <w:rsid w:val="00E71EE4"/>
    <w:rsid w:val="00E71FA4"/>
    <w:rsid w:val="00E72132"/>
    <w:rsid w:val="00E72145"/>
    <w:rsid w:val="00E721A9"/>
    <w:rsid w:val="00E721BA"/>
    <w:rsid w:val="00E72254"/>
    <w:rsid w:val="00E722A9"/>
    <w:rsid w:val="00E722CC"/>
    <w:rsid w:val="00E72381"/>
    <w:rsid w:val="00E7240C"/>
    <w:rsid w:val="00E72432"/>
    <w:rsid w:val="00E72446"/>
    <w:rsid w:val="00E724CF"/>
    <w:rsid w:val="00E724E5"/>
    <w:rsid w:val="00E724FA"/>
    <w:rsid w:val="00E72581"/>
    <w:rsid w:val="00E72582"/>
    <w:rsid w:val="00E725E0"/>
    <w:rsid w:val="00E7264F"/>
    <w:rsid w:val="00E72682"/>
    <w:rsid w:val="00E7269B"/>
    <w:rsid w:val="00E726BC"/>
    <w:rsid w:val="00E726DD"/>
    <w:rsid w:val="00E726EE"/>
    <w:rsid w:val="00E726F8"/>
    <w:rsid w:val="00E72729"/>
    <w:rsid w:val="00E7278B"/>
    <w:rsid w:val="00E727E2"/>
    <w:rsid w:val="00E72850"/>
    <w:rsid w:val="00E72855"/>
    <w:rsid w:val="00E72876"/>
    <w:rsid w:val="00E728BE"/>
    <w:rsid w:val="00E728FC"/>
    <w:rsid w:val="00E7293A"/>
    <w:rsid w:val="00E729FA"/>
    <w:rsid w:val="00E72A79"/>
    <w:rsid w:val="00E72AD4"/>
    <w:rsid w:val="00E72AE0"/>
    <w:rsid w:val="00E72B95"/>
    <w:rsid w:val="00E72BB9"/>
    <w:rsid w:val="00E72BBE"/>
    <w:rsid w:val="00E72BCC"/>
    <w:rsid w:val="00E72CEA"/>
    <w:rsid w:val="00E72D50"/>
    <w:rsid w:val="00E72DCF"/>
    <w:rsid w:val="00E72E7F"/>
    <w:rsid w:val="00E72EC9"/>
    <w:rsid w:val="00E72FC3"/>
    <w:rsid w:val="00E73006"/>
    <w:rsid w:val="00E7308D"/>
    <w:rsid w:val="00E730D0"/>
    <w:rsid w:val="00E730FA"/>
    <w:rsid w:val="00E7310B"/>
    <w:rsid w:val="00E73178"/>
    <w:rsid w:val="00E73186"/>
    <w:rsid w:val="00E731CA"/>
    <w:rsid w:val="00E73246"/>
    <w:rsid w:val="00E73248"/>
    <w:rsid w:val="00E7325D"/>
    <w:rsid w:val="00E73321"/>
    <w:rsid w:val="00E733AB"/>
    <w:rsid w:val="00E733D0"/>
    <w:rsid w:val="00E733D3"/>
    <w:rsid w:val="00E73537"/>
    <w:rsid w:val="00E735CE"/>
    <w:rsid w:val="00E7361C"/>
    <w:rsid w:val="00E73650"/>
    <w:rsid w:val="00E7365A"/>
    <w:rsid w:val="00E736EC"/>
    <w:rsid w:val="00E73708"/>
    <w:rsid w:val="00E73790"/>
    <w:rsid w:val="00E73791"/>
    <w:rsid w:val="00E73840"/>
    <w:rsid w:val="00E73869"/>
    <w:rsid w:val="00E7387B"/>
    <w:rsid w:val="00E73927"/>
    <w:rsid w:val="00E73937"/>
    <w:rsid w:val="00E7393F"/>
    <w:rsid w:val="00E7394B"/>
    <w:rsid w:val="00E73963"/>
    <w:rsid w:val="00E739E4"/>
    <w:rsid w:val="00E739E8"/>
    <w:rsid w:val="00E739ED"/>
    <w:rsid w:val="00E73A6E"/>
    <w:rsid w:val="00E73A83"/>
    <w:rsid w:val="00E73A87"/>
    <w:rsid w:val="00E73A93"/>
    <w:rsid w:val="00E73AC8"/>
    <w:rsid w:val="00E73B20"/>
    <w:rsid w:val="00E73B57"/>
    <w:rsid w:val="00E73B6B"/>
    <w:rsid w:val="00E73B7F"/>
    <w:rsid w:val="00E73C1C"/>
    <w:rsid w:val="00E73C49"/>
    <w:rsid w:val="00E73CE9"/>
    <w:rsid w:val="00E73D0B"/>
    <w:rsid w:val="00E73E01"/>
    <w:rsid w:val="00E73EB1"/>
    <w:rsid w:val="00E73EE7"/>
    <w:rsid w:val="00E73F16"/>
    <w:rsid w:val="00E73F4B"/>
    <w:rsid w:val="00E73F7B"/>
    <w:rsid w:val="00E73F8D"/>
    <w:rsid w:val="00E73FCC"/>
    <w:rsid w:val="00E74037"/>
    <w:rsid w:val="00E74072"/>
    <w:rsid w:val="00E74139"/>
    <w:rsid w:val="00E7419D"/>
    <w:rsid w:val="00E741BF"/>
    <w:rsid w:val="00E741EE"/>
    <w:rsid w:val="00E7428C"/>
    <w:rsid w:val="00E743DE"/>
    <w:rsid w:val="00E743EB"/>
    <w:rsid w:val="00E744FF"/>
    <w:rsid w:val="00E7451A"/>
    <w:rsid w:val="00E7451E"/>
    <w:rsid w:val="00E74525"/>
    <w:rsid w:val="00E745D5"/>
    <w:rsid w:val="00E74603"/>
    <w:rsid w:val="00E7463D"/>
    <w:rsid w:val="00E7464C"/>
    <w:rsid w:val="00E746EA"/>
    <w:rsid w:val="00E74739"/>
    <w:rsid w:val="00E7476D"/>
    <w:rsid w:val="00E747CD"/>
    <w:rsid w:val="00E747E8"/>
    <w:rsid w:val="00E7485C"/>
    <w:rsid w:val="00E748C1"/>
    <w:rsid w:val="00E749AD"/>
    <w:rsid w:val="00E749F4"/>
    <w:rsid w:val="00E74A05"/>
    <w:rsid w:val="00E74A87"/>
    <w:rsid w:val="00E74AD9"/>
    <w:rsid w:val="00E74AF3"/>
    <w:rsid w:val="00E74B1B"/>
    <w:rsid w:val="00E74B5B"/>
    <w:rsid w:val="00E74BBC"/>
    <w:rsid w:val="00E74CF2"/>
    <w:rsid w:val="00E74D24"/>
    <w:rsid w:val="00E74DE6"/>
    <w:rsid w:val="00E74E59"/>
    <w:rsid w:val="00E74EDD"/>
    <w:rsid w:val="00E74EF0"/>
    <w:rsid w:val="00E74EF1"/>
    <w:rsid w:val="00E74EFA"/>
    <w:rsid w:val="00E74F3E"/>
    <w:rsid w:val="00E74F9D"/>
    <w:rsid w:val="00E74FD5"/>
    <w:rsid w:val="00E74FE8"/>
    <w:rsid w:val="00E74FFA"/>
    <w:rsid w:val="00E75021"/>
    <w:rsid w:val="00E750C2"/>
    <w:rsid w:val="00E751F0"/>
    <w:rsid w:val="00E75234"/>
    <w:rsid w:val="00E75265"/>
    <w:rsid w:val="00E7529A"/>
    <w:rsid w:val="00E752ED"/>
    <w:rsid w:val="00E75308"/>
    <w:rsid w:val="00E753A6"/>
    <w:rsid w:val="00E753D6"/>
    <w:rsid w:val="00E75433"/>
    <w:rsid w:val="00E7548B"/>
    <w:rsid w:val="00E754AE"/>
    <w:rsid w:val="00E754ED"/>
    <w:rsid w:val="00E75585"/>
    <w:rsid w:val="00E7566F"/>
    <w:rsid w:val="00E75679"/>
    <w:rsid w:val="00E7574A"/>
    <w:rsid w:val="00E75760"/>
    <w:rsid w:val="00E757C7"/>
    <w:rsid w:val="00E75815"/>
    <w:rsid w:val="00E75859"/>
    <w:rsid w:val="00E7585C"/>
    <w:rsid w:val="00E75862"/>
    <w:rsid w:val="00E758C9"/>
    <w:rsid w:val="00E7599D"/>
    <w:rsid w:val="00E759A5"/>
    <w:rsid w:val="00E759BF"/>
    <w:rsid w:val="00E759F0"/>
    <w:rsid w:val="00E75AC8"/>
    <w:rsid w:val="00E75B4A"/>
    <w:rsid w:val="00E75B53"/>
    <w:rsid w:val="00E75BB2"/>
    <w:rsid w:val="00E75BB7"/>
    <w:rsid w:val="00E75BE0"/>
    <w:rsid w:val="00E75C13"/>
    <w:rsid w:val="00E75D1B"/>
    <w:rsid w:val="00E75D3A"/>
    <w:rsid w:val="00E75DBF"/>
    <w:rsid w:val="00E75DE4"/>
    <w:rsid w:val="00E75E01"/>
    <w:rsid w:val="00E75E56"/>
    <w:rsid w:val="00E75E90"/>
    <w:rsid w:val="00E75EB6"/>
    <w:rsid w:val="00E75ED1"/>
    <w:rsid w:val="00E75FD0"/>
    <w:rsid w:val="00E76000"/>
    <w:rsid w:val="00E7607E"/>
    <w:rsid w:val="00E760D0"/>
    <w:rsid w:val="00E760FB"/>
    <w:rsid w:val="00E760FF"/>
    <w:rsid w:val="00E76121"/>
    <w:rsid w:val="00E76176"/>
    <w:rsid w:val="00E7618B"/>
    <w:rsid w:val="00E761AA"/>
    <w:rsid w:val="00E761B4"/>
    <w:rsid w:val="00E761CC"/>
    <w:rsid w:val="00E761EB"/>
    <w:rsid w:val="00E76217"/>
    <w:rsid w:val="00E76294"/>
    <w:rsid w:val="00E762EB"/>
    <w:rsid w:val="00E76428"/>
    <w:rsid w:val="00E76440"/>
    <w:rsid w:val="00E7647F"/>
    <w:rsid w:val="00E764F3"/>
    <w:rsid w:val="00E7650D"/>
    <w:rsid w:val="00E7653A"/>
    <w:rsid w:val="00E76559"/>
    <w:rsid w:val="00E765EF"/>
    <w:rsid w:val="00E76600"/>
    <w:rsid w:val="00E76652"/>
    <w:rsid w:val="00E76706"/>
    <w:rsid w:val="00E7680E"/>
    <w:rsid w:val="00E76838"/>
    <w:rsid w:val="00E768C0"/>
    <w:rsid w:val="00E7696B"/>
    <w:rsid w:val="00E7697A"/>
    <w:rsid w:val="00E769D4"/>
    <w:rsid w:val="00E76A4D"/>
    <w:rsid w:val="00E76A53"/>
    <w:rsid w:val="00E76A6A"/>
    <w:rsid w:val="00E76AB3"/>
    <w:rsid w:val="00E76B2B"/>
    <w:rsid w:val="00E76B9E"/>
    <w:rsid w:val="00E76BAD"/>
    <w:rsid w:val="00E76BD3"/>
    <w:rsid w:val="00E76BD7"/>
    <w:rsid w:val="00E76BF1"/>
    <w:rsid w:val="00E76BF4"/>
    <w:rsid w:val="00E76CAC"/>
    <w:rsid w:val="00E76D54"/>
    <w:rsid w:val="00E76D75"/>
    <w:rsid w:val="00E76DC6"/>
    <w:rsid w:val="00E76E0F"/>
    <w:rsid w:val="00E76E28"/>
    <w:rsid w:val="00E76EAC"/>
    <w:rsid w:val="00E76F69"/>
    <w:rsid w:val="00E76F6C"/>
    <w:rsid w:val="00E77060"/>
    <w:rsid w:val="00E7707A"/>
    <w:rsid w:val="00E7709F"/>
    <w:rsid w:val="00E770A4"/>
    <w:rsid w:val="00E770C5"/>
    <w:rsid w:val="00E77100"/>
    <w:rsid w:val="00E77134"/>
    <w:rsid w:val="00E77187"/>
    <w:rsid w:val="00E77256"/>
    <w:rsid w:val="00E772E5"/>
    <w:rsid w:val="00E77348"/>
    <w:rsid w:val="00E77358"/>
    <w:rsid w:val="00E77370"/>
    <w:rsid w:val="00E773DA"/>
    <w:rsid w:val="00E77400"/>
    <w:rsid w:val="00E77425"/>
    <w:rsid w:val="00E775DE"/>
    <w:rsid w:val="00E77616"/>
    <w:rsid w:val="00E7763A"/>
    <w:rsid w:val="00E776DA"/>
    <w:rsid w:val="00E77724"/>
    <w:rsid w:val="00E77725"/>
    <w:rsid w:val="00E777F6"/>
    <w:rsid w:val="00E7780E"/>
    <w:rsid w:val="00E77827"/>
    <w:rsid w:val="00E7783E"/>
    <w:rsid w:val="00E77856"/>
    <w:rsid w:val="00E778D4"/>
    <w:rsid w:val="00E77916"/>
    <w:rsid w:val="00E77949"/>
    <w:rsid w:val="00E77958"/>
    <w:rsid w:val="00E77974"/>
    <w:rsid w:val="00E77A64"/>
    <w:rsid w:val="00E77ABF"/>
    <w:rsid w:val="00E77ACD"/>
    <w:rsid w:val="00E77ADE"/>
    <w:rsid w:val="00E77B05"/>
    <w:rsid w:val="00E77B81"/>
    <w:rsid w:val="00E77BEA"/>
    <w:rsid w:val="00E77C00"/>
    <w:rsid w:val="00E77C45"/>
    <w:rsid w:val="00E77C5D"/>
    <w:rsid w:val="00E77D84"/>
    <w:rsid w:val="00E77DB4"/>
    <w:rsid w:val="00E77DBA"/>
    <w:rsid w:val="00E77DF6"/>
    <w:rsid w:val="00E77E20"/>
    <w:rsid w:val="00E8004E"/>
    <w:rsid w:val="00E800BE"/>
    <w:rsid w:val="00E800DE"/>
    <w:rsid w:val="00E80119"/>
    <w:rsid w:val="00E8016E"/>
    <w:rsid w:val="00E80190"/>
    <w:rsid w:val="00E801B7"/>
    <w:rsid w:val="00E801E6"/>
    <w:rsid w:val="00E8020B"/>
    <w:rsid w:val="00E8026E"/>
    <w:rsid w:val="00E8032B"/>
    <w:rsid w:val="00E80360"/>
    <w:rsid w:val="00E8036C"/>
    <w:rsid w:val="00E80397"/>
    <w:rsid w:val="00E803FE"/>
    <w:rsid w:val="00E8040E"/>
    <w:rsid w:val="00E8041B"/>
    <w:rsid w:val="00E8047D"/>
    <w:rsid w:val="00E804B9"/>
    <w:rsid w:val="00E8051A"/>
    <w:rsid w:val="00E80529"/>
    <w:rsid w:val="00E80559"/>
    <w:rsid w:val="00E8061F"/>
    <w:rsid w:val="00E806D1"/>
    <w:rsid w:val="00E806E4"/>
    <w:rsid w:val="00E80755"/>
    <w:rsid w:val="00E80782"/>
    <w:rsid w:val="00E8080A"/>
    <w:rsid w:val="00E80897"/>
    <w:rsid w:val="00E808AC"/>
    <w:rsid w:val="00E808EE"/>
    <w:rsid w:val="00E80908"/>
    <w:rsid w:val="00E8096B"/>
    <w:rsid w:val="00E809C3"/>
    <w:rsid w:val="00E80A07"/>
    <w:rsid w:val="00E80A35"/>
    <w:rsid w:val="00E80A7C"/>
    <w:rsid w:val="00E80B06"/>
    <w:rsid w:val="00E80BEA"/>
    <w:rsid w:val="00E80D31"/>
    <w:rsid w:val="00E80D4F"/>
    <w:rsid w:val="00E80D68"/>
    <w:rsid w:val="00E80DBA"/>
    <w:rsid w:val="00E80E2F"/>
    <w:rsid w:val="00E80E5C"/>
    <w:rsid w:val="00E80E89"/>
    <w:rsid w:val="00E80EBC"/>
    <w:rsid w:val="00E80EFF"/>
    <w:rsid w:val="00E80F5B"/>
    <w:rsid w:val="00E80FFE"/>
    <w:rsid w:val="00E810A7"/>
    <w:rsid w:val="00E810F4"/>
    <w:rsid w:val="00E81113"/>
    <w:rsid w:val="00E81132"/>
    <w:rsid w:val="00E812E8"/>
    <w:rsid w:val="00E81343"/>
    <w:rsid w:val="00E81397"/>
    <w:rsid w:val="00E81430"/>
    <w:rsid w:val="00E81452"/>
    <w:rsid w:val="00E81495"/>
    <w:rsid w:val="00E814FB"/>
    <w:rsid w:val="00E81548"/>
    <w:rsid w:val="00E8159B"/>
    <w:rsid w:val="00E815A1"/>
    <w:rsid w:val="00E81600"/>
    <w:rsid w:val="00E81619"/>
    <w:rsid w:val="00E8164F"/>
    <w:rsid w:val="00E81652"/>
    <w:rsid w:val="00E81661"/>
    <w:rsid w:val="00E8167E"/>
    <w:rsid w:val="00E817EE"/>
    <w:rsid w:val="00E81856"/>
    <w:rsid w:val="00E8194B"/>
    <w:rsid w:val="00E81A28"/>
    <w:rsid w:val="00E81AA5"/>
    <w:rsid w:val="00E81B93"/>
    <w:rsid w:val="00E81BE3"/>
    <w:rsid w:val="00E81C04"/>
    <w:rsid w:val="00E81C24"/>
    <w:rsid w:val="00E81C79"/>
    <w:rsid w:val="00E81C8D"/>
    <w:rsid w:val="00E81CCE"/>
    <w:rsid w:val="00E81E9C"/>
    <w:rsid w:val="00E81F2A"/>
    <w:rsid w:val="00E81FDE"/>
    <w:rsid w:val="00E8200D"/>
    <w:rsid w:val="00E82014"/>
    <w:rsid w:val="00E8201F"/>
    <w:rsid w:val="00E8207C"/>
    <w:rsid w:val="00E820B1"/>
    <w:rsid w:val="00E82116"/>
    <w:rsid w:val="00E82167"/>
    <w:rsid w:val="00E82177"/>
    <w:rsid w:val="00E82186"/>
    <w:rsid w:val="00E821DB"/>
    <w:rsid w:val="00E82228"/>
    <w:rsid w:val="00E8224B"/>
    <w:rsid w:val="00E82293"/>
    <w:rsid w:val="00E82294"/>
    <w:rsid w:val="00E822A7"/>
    <w:rsid w:val="00E822DA"/>
    <w:rsid w:val="00E823C9"/>
    <w:rsid w:val="00E823CD"/>
    <w:rsid w:val="00E82415"/>
    <w:rsid w:val="00E8245D"/>
    <w:rsid w:val="00E82478"/>
    <w:rsid w:val="00E82479"/>
    <w:rsid w:val="00E824E9"/>
    <w:rsid w:val="00E8258B"/>
    <w:rsid w:val="00E825EE"/>
    <w:rsid w:val="00E82604"/>
    <w:rsid w:val="00E826B2"/>
    <w:rsid w:val="00E826E1"/>
    <w:rsid w:val="00E8271B"/>
    <w:rsid w:val="00E82774"/>
    <w:rsid w:val="00E8279B"/>
    <w:rsid w:val="00E827C8"/>
    <w:rsid w:val="00E82807"/>
    <w:rsid w:val="00E82848"/>
    <w:rsid w:val="00E8290D"/>
    <w:rsid w:val="00E8290E"/>
    <w:rsid w:val="00E82961"/>
    <w:rsid w:val="00E82984"/>
    <w:rsid w:val="00E829FF"/>
    <w:rsid w:val="00E82A76"/>
    <w:rsid w:val="00E82A9F"/>
    <w:rsid w:val="00E82AE4"/>
    <w:rsid w:val="00E82B30"/>
    <w:rsid w:val="00E82B48"/>
    <w:rsid w:val="00E82B8D"/>
    <w:rsid w:val="00E82BE0"/>
    <w:rsid w:val="00E82BF2"/>
    <w:rsid w:val="00E82C28"/>
    <w:rsid w:val="00E82C7C"/>
    <w:rsid w:val="00E82C9D"/>
    <w:rsid w:val="00E82CAD"/>
    <w:rsid w:val="00E82CF2"/>
    <w:rsid w:val="00E82CF5"/>
    <w:rsid w:val="00E82D37"/>
    <w:rsid w:val="00E82DC7"/>
    <w:rsid w:val="00E82DCE"/>
    <w:rsid w:val="00E82DD9"/>
    <w:rsid w:val="00E82E37"/>
    <w:rsid w:val="00E82E3C"/>
    <w:rsid w:val="00E82F0B"/>
    <w:rsid w:val="00E82F38"/>
    <w:rsid w:val="00E82F43"/>
    <w:rsid w:val="00E82F85"/>
    <w:rsid w:val="00E8304E"/>
    <w:rsid w:val="00E8307C"/>
    <w:rsid w:val="00E830E1"/>
    <w:rsid w:val="00E8310B"/>
    <w:rsid w:val="00E83129"/>
    <w:rsid w:val="00E83197"/>
    <w:rsid w:val="00E831CF"/>
    <w:rsid w:val="00E831FE"/>
    <w:rsid w:val="00E83224"/>
    <w:rsid w:val="00E832F7"/>
    <w:rsid w:val="00E83340"/>
    <w:rsid w:val="00E833B8"/>
    <w:rsid w:val="00E833D2"/>
    <w:rsid w:val="00E833FC"/>
    <w:rsid w:val="00E8345F"/>
    <w:rsid w:val="00E83464"/>
    <w:rsid w:val="00E8346F"/>
    <w:rsid w:val="00E834E3"/>
    <w:rsid w:val="00E83506"/>
    <w:rsid w:val="00E835B4"/>
    <w:rsid w:val="00E835D5"/>
    <w:rsid w:val="00E8361B"/>
    <w:rsid w:val="00E836C0"/>
    <w:rsid w:val="00E836C7"/>
    <w:rsid w:val="00E836E6"/>
    <w:rsid w:val="00E83719"/>
    <w:rsid w:val="00E8375F"/>
    <w:rsid w:val="00E837BA"/>
    <w:rsid w:val="00E837C3"/>
    <w:rsid w:val="00E837D2"/>
    <w:rsid w:val="00E837FD"/>
    <w:rsid w:val="00E83827"/>
    <w:rsid w:val="00E8382F"/>
    <w:rsid w:val="00E83849"/>
    <w:rsid w:val="00E8387A"/>
    <w:rsid w:val="00E838F3"/>
    <w:rsid w:val="00E83927"/>
    <w:rsid w:val="00E83938"/>
    <w:rsid w:val="00E839C0"/>
    <w:rsid w:val="00E839DB"/>
    <w:rsid w:val="00E839F1"/>
    <w:rsid w:val="00E83A17"/>
    <w:rsid w:val="00E83A28"/>
    <w:rsid w:val="00E83A5B"/>
    <w:rsid w:val="00E83C38"/>
    <w:rsid w:val="00E83C67"/>
    <w:rsid w:val="00E83CC2"/>
    <w:rsid w:val="00E83CF6"/>
    <w:rsid w:val="00E83D0F"/>
    <w:rsid w:val="00E83D15"/>
    <w:rsid w:val="00E83D60"/>
    <w:rsid w:val="00E83D9B"/>
    <w:rsid w:val="00E83E07"/>
    <w:rsid w:val="00E83E8F"/>
    <w:rsid w:val="00E83EDD"/>
    <w:rsid w:val="00E83EFA"/>
    <w:rsid w:val="00E83F3E"/>
    <w:rsid w:val="00E83F47"/>
    <w:rsid w:val="00E83F5D"/>
    <w:rsid w:val="00E83F9E"/>
    <w:rsid w:val="00E84048"/>
    <w:rsid w:val="00E840BB"/>
    <w:rsid w:val="00E840D5"/>
    <w:rsid w:val="00E840E6"/>
    <w:rsid w:val="00E840F8"/>
    <w:rsid w:val="00E84266"/>
    <w:rsid w:val="00E8426A"/>
    <w:rsid w:val="00E842A2"/>
    <w:rsid w:val="00E84350"/>
    <w:rsid w:val="00E84352"/>
    <w:rsid w:val="00E84396"/>
    <w:rsid w:val="00E843C8"/>
    <w:rsid w:val="00E843FA"/>
    <w:rsid w:val="00E84412"/>
    <w:rsid w:val="00E8441D"/>
    <w:rsid w:val="00E844C5"/>
    <w:rsid w:val="00E84514"/>
    <w:rsid w:val="00E8459C"/>
    <w:rsid w:val="00E845B8"/>
    <w:rsid w:val="00E845FB"/>
    <w:rsid w:val="00E84603"/>
    <w:rsid w:val="00E84616"/>
    <w:rsid w:val="00E8463C"/>
    <w:rsid w:val="00E846D1"/>
    <w:rsid w:val="00E847CD"/>
    <w:rsid w:val="00E84880"/>
    <w:rsid w:val="00E848AC"/>
    <w:rsid w:val="00E8496D"/>
    <w:rsid w:val="00E84999"/>
    <w:rsid w:val="00E849BB"/>
    <w:rsid w:val="00E849D8"/>
    <w:rsid w:val="00E84A1E"/>
    <w:rsid w:val="00E84A5B"/>
    <w:rsid w:val="00E84AB0"/>
    <w:rsid w:val="00E84B10"/>
    <w:rsid w:val="00E84B34"/>
    <w:rsid w:val="00E84BBB"/>
    <w:rsid w:val="00E84BFB"/>
    <w:rsid w:val="00E84C03"/>
    <w:rsid w:val="00E84C98"/>
    <w:rsid w:val="00E84CEC"/>
    <w:rsid w:val="00E84D50"/>
    <w:rsid w:val="00E84D92"/>
    <w:rsid w:val="00E84DA9"/>
    <w:rsid w:val="00E84E1F"/>
    <w:rsid w:val="00E84E30"/>
    <w:rsid w:val="00E84F83"/>
    <w:rsid w:val="00E85036"/>
    <w:rsid w:val="00E85089"/>
    <w:rsid w:val="00E85123"/>
    <w:rsid w:val="00E8517E"/>
    <w:rsid w:val="00E85181"/>
    <w:rsid w:val="00E851A2"/>
    <w:rsid w:val="00E85278"/>
    <w:rsid w:val="00E852CE"/>
    <w:rsid w:val="00E852EF"/>
    <w:rsid w:val="00E852F5"/>
    <w:rsid w:val="00E85357"/>
    <w:rsid w:val="00E854A2"/>
    <w:rsid w:val="00E854F8"/>
    <w:rsid w:val="00E8553B"/>
    <w:rsid w:val="00E855EE"/>
    <w:rsid w:val="00E8564E"/>
    <w:rsid w:val="00E85657"/>
    <w:rsid w:val="00E85674"/>
    <w:rsid w:val="00E856B9"/>
    <w:rsid w:val="00E85700"/>
    <w:rsid w:val="00E85728"/>
    <w:rsid w:val="00E85789"/>
    <w:rsid w:val="00E857A0"/>
    <w:rsid w:val="00E857CD"/>
    <w:rsid w:val="00E85839"/>
    <w:rsid w:val="00E858B8"/>
    <w:rsid w:val="00E858F9"/>
    <w:rsid w:val="00E8591E"/>
    <w:rsid w:val="00E859B2"/>
    <w:rsid w:val="00E859BC"/>
    <w:rsid w:val="00E85A98"/>
    <w:rsid w:val="00E85A9E"/>
    <w:rsid w:val="00E85B6B"/>
    <w:rsid w:val="00E85B72"/>
    <w:rsid w:val="00E85B96"/>
    <w:rsid w:val="00E85BF0"/>
    <w:rsid w:val="00E85C40"/>
    <w:rsid w:val="00E85CA3"/>
    <w:rsid w:val="00E85D5B"/>
    <w:rsid w:val="00E85D65"/>
    <w:rsid w:val="00E85DA1"/>
    <w:rsid w:val="00E85E37"/>
    <w:rsid w:val="00E85E3C"/>
    <w:rsid w:val="00E85E81"/>
    <w:rsid w:val="00E85E87"/>
    <w:rsid w:val="00E85F17"/>
    <w:rsid w:val="00E85F2B"/>
    <w:rsid w:val="00E85F4A"/>
    <w:rsid w:val="00E85F61"/>
    <w:rsid w:val="00E85FBF"/>
    <w:rsid w:val="00E85FFA"/>
    <w:rsid w:val="00E8600E"/>
    <w:rsid w:val="00E8604E"/>
    <w:rsid w:val="00E86074"/>
    <w:rsid w:val="00E860C7"/>
    <w:rsid w:val="00E860F6"/>
    <w:rsid w:val="00E86222"/>
    <w:rsid w:val="00E8631D"/>
    <w:rsid w:val="00E86329"/>
    <w:rsid w:val="00E86337"/>
    <w:rsid w:val="00E863C0"/>
    <w:rsid w:val="00E86411"/>
    <w:rsid w:val="00E86492"/>
    <w:rsid w:val="00E864B8"/>
    <w:rsid w:val="00E86513"/>
    <w:rsid w:val="00E8653C"/>
    <w:rsid w:val="00E86543"/>
    <w:rsid w:val="00E8656D"/>
    <w:rsid w:val="00E865A6"/>
    <w:rsid w:val="00E86659"/>
    <w:rsid w:val="00E86660"/>
    <w:rsid w:val="00E866A1"/>
    <w:rsid w:val="00E866B1"/>
    <w:rsid w:val="00E8672B"/>
    <w:rsid w:val="00E8673F"/>
    <w:rsid w:val="00E8677F"/>
    <w:rsid w:val="00E86797"/>
    <w:rsid w:val="00E867A5"/>
    <w:rsid w:val="00E867C1"/>
    <w:rsid w:val="00E86808"/>
    <w:rsid w:val="00E8680D"/>
    <w:rsid w:val="00E8687F"/>
    <w:rsid w:val="00E868C6"/>
    <w:rsid w:val="00E868ED"/>
    <w:rsid w:val="00E86930"/>
    <w:rsid w:val="00E869CF"/>
    <w:rsid w:val="00E86A13"/>
    <w:rsid w:val="00E86A4E"/>
    <w:rsid w:val="00E86A50"/>
    <w:rsid w:val="00E86A64"/>
    <w:rsid w:val="00E86AA7"/>
    <w:rsid w:val="00E86AB9"/>
    <w:rsid w:val="00E86B04"/>
    <w:rsid w:val="00E86B71"/>
    <w:rsid w:val="00E86B86"/>
    <w:rsid w:val="00E86B9C"/>
    <w:rsid w:val="00E86BD6"/>
    <w:rsid w:val="00E86BED"/>
    <w:rsid w:val="00E86C0E"/>
    <w:rsid w:val="00E86C2A"/>
    <w:rsid w:val="00E86C65"/>
    <w:rsid w:val="00E86C7B"/>
    <w:rsid w:val="00E86C9D"/>
    <w:rsid w:val="00E86CBF"/>
    <w:rsid w:val="00E86CCE"/>
    <w:rsid w:val="00E86CDF"/>
    <w:rsid w:val="00E86D19"/>
    <w:rsid w:val="00E86E56"/>
    <w:rsid w:val="00E86E85"/>
    <w:rsid w:val="00E87027"/>
    <w:rsid w:val="00E8707F"/>
    <w:rsid w:val="00E8709A"/>
    <w:rsid w:val="00E8709F"/>
    <w:rsid w:val="00E870F6"/>
    <w:rsid w:val="00E870F7"/>
    <w:rsid w:val="00E8710A"/>
    <w:rsid w:val="00E87112"/>
    <w:rsid w:val="00E87165"/>
    <w:rsid w:val="00E87194"/>
    <w:rsid w:val="00E87195"/>
    <w:rsid w:val="00E871AE"/>
    <w:rsid w:val="00E871D3"/>
    <w:rsid w:val="00E871FA"/>
    <w:rsid w:val="00E8724E"/>
    <w:rsid w:val="00E8726F"/>
    <w:rsid w:val="00E872A6"/>
    <w:rsid w:val="00E87359"/>
    <w:rsid w:val="00E8736B"/>
    <w:rsid w:val="00E8739F"/>
    <w:rsid w:val="00E87417"/>
    <w:rsid w:val="00E8744F"/>
    <w:rsid w:val="00E874B1"/>
    <w:rsid w:val="00E874E5"/>
    <w:rsid w:val="00E87577"/>
    <w:rsid w:val="00E875D1"/>
    <w:rsid w:val="00E8760C"/>
    <w:rsid w:val="00E87611"/>
    <w:rsid w:val="00E876EF"/>
    <w:rsid w:val="00E877BA"/>
    <w:rsid w:val="00E87808"/>
    <w:rsid w:val="00E87958"/>
    <w:rsid w:val="00E8795D"/>
    <w:rsid w:val="00E87990"/>
    <w:rsid w:val="00E879A3"/>
    <w:rsid w:val="00E87A45"/>
    <w:rsid w:val="00E87A76"/>
    <w:rsid w:val="00E87AE4"/>
    <w:rsid w:val="00E87BAD"/>
    <w:rsid w:val="00E87BCA"/>
    <w:rsid w:val="00E87BF6"/>
    <w:rsid w:val="00E87C29"/>
    <w:rsid w:val="00E87C32"/>
    <w:rsid w:val="00E87C9E"/>
    <w:rsid w:val="00E87D09"/>
    <w:rsid w:val="00E87D34"/>
    <w:rsid w:val="00E87D59"/>
    <w:rsid w:val="00E87D70"/>
    <w:rsid w:val="00E87DBA"/>
    <w:rsid w:val="00E87DEE"/>
    <w:rsid w:val="00E87E3C"/>
    <w:rsid w:val="00E87E8D"/>
    <w:rsid w:val="00E87F5D"/>
    <w:rsid w:val="00E9000F"/>
    <w:rsid w:val="00E900B6"/>
    <w:rsid w:val="00E90103"/>
    <w:rsid w:val="00E90125"/>
    <w:rsid w:val="00E901D9"/>
    <w:rsid w:val="00E901FF"/>
    <w:rsid w:val="00E90252"/>
    <w:rsid w:val="00E902AD"/>
    <w:rsid w:val="00E902BF"/>
    <w:rsid w:val="00E9034E"/>
    <w:rsid w:val="00E90394"/>
    <w:rsid w:val="00E903D9"/>
    <w:rsid w:val="00E90402"/>
    <w:rsid w:val="00E9044E"/>
    <w:rsid w:val="00E90454"/>
    <w:rsid w:val="00E9047A"/>
    <w:rsid w:val="00E904BD"/>
    <w:rsid w:val="00E904C1"/>
    <w:rsid w:val="00E904C8"/>
    <w:rsid w:val="00E90520"/>
    <w:rsid w:val="00E90538"/>
    <w:rsid w:val="00E9053A"/>
    <w:rsid w:val="00E9059C"/>
    <w:rsid w:val="00E905C5"/>
    <w:rsid w:val="00E905E9"/>
    <w:rsid w:val="00E905ED"/>
    <w:rsid w:val="00E905EF"/>
    <w:rsid w:val="00E90635"/>
    <w:rsid w:val="00E90694"/>
    <w:rsid w:val="00E906B2"/>
    <w:rsid w:val="00E906E7"/>
    <w:rsid w:val="00E90707"/>
    <w:rsid w:val="00E90732"/>
    <w:rsid w:val="00E90755"/>
    <w:rsid w:val="00E9078C"/>
    <w:rsid w:val="00E90793"/>
    <w:rsid w:val="00E90876"/>
    <w:rsid w:val="00E908C4"/>
    <w:rsid w:val="00E90911"/>
    <w:rsid w:val="00E90954"/>
    <w:rsid w:val="00E90960"/>
    <w:rsid w:val="00E90A65"/>
    <w:rsid w:val="00E90B4D"/>
    <w:rsid w:val="00E90B6F"/>
    <w:rsid w:val="00E90BD5"/>
    <w:rsid w:val="00E90BEF"/>
    <w:rsid w:val="00E90C01"/>
    <w:rsid w:val="00E90C2A"/>
    <w:rsid w:val="00E90C34"/>
    <w:rsid w:val="00E90CAD"/>
    <w:rsid w:val="00E90CCA"/>
    <w:rsid w:val="00E90CCD"/>
    <w:rsid w:val="00E90D4E"/>
    <w:rsid w:val="00E90D5B"/>
    <w:rsid w:val="00E90E0B"/>
    <w:rsid w:val="00E90E19"/>
    <w:rsid w:val="00E90E52"/>
    <w:rsid w:val="00E90EA3"/>
    <w:rsid w:val="00E90F56"/>
    <w:rsid w:val="00E90F64"/>
    <w:rsid w:val="00E90FBA"/>
    <w:rsid w:val="00E90FF4"/>
    <w:rsid w:val="00E9105E"/>
    <w:rsid w:val="00E9106F"/>
    <w:rsid w:val="00E91090"/>
    <w:rsid w:val="00E910A7"/>
    <w:rsid w:val="00E910FD"/>
    <w:rsid w:val="00E91161"/>
    <w:rsid w:val="00E911BA"/>
    <w:rsid w:val="00E91244"/>
    <w:rsid w:val="00E9125E"/>
    <w:rsid w:val="00E91260"/>
    <w:rsid w:val="00E91281"/>
    <w:rsid w:val="00E912B0"/>
    <w:rsid w:val="00E912DD"/>
    <w:rsid w:val="00E912E0"/>
    <w:rsid w:val="00E912F7"/>
    <w:rsid w:val="00E91389"/>
    <w:rsid w:val="00E9140D"/>
    <w:rsid w:val="00E9147A"/>
    <w:rsid w:val="00E914EE"/>
    <w:rsid w:val="00E91504"/>
    <w:rsid w:val="00E9151A"/>
    <w:rsid w:val="00E91548"/>
    <w:rsid w:val="00E91549"/>
    <w:rsid w:val="00E9154F"/>
    <w:rsid w:val="00E91568"/>
    <w:rsid w:val="00E915D5"/>
    <w:rsid w:val="00E915D7"/>
    <w:rsid w:val="00E91609"/>
    <w:rsid w:val="00E91629"/>
    <w:rsid w:val="00E9168A"/>
    <w:rsid w:val="00E91691"/>
    <w:rsid w:val="00E916E9"/>
    <w:rsid w:val="00E91718"/>
    <w:rsid w:val="00E9178E"/>
    <w:rsid w:val="00E917D9"/>
    <w:rsid w:val="00E918C3"/>
    <w:rsid w:val="00E918E3"/>
    <w:rsid w:val="00E91935"/>
    <w:rsid w:val="00E91995"/>
    <w:rsid w:val="00E919D2"/>
    <w:rsid w:val="00E91A29"/>
    <w:rsid w:val="00E91A4E"/>
    <w:rsid w:val="00E91A50"/>
    <w:rsid w:val="00E91A93"/>
    <w:rsid w:val="00E91B23"/>
    <w:rsid w:val="00E91B24"/>
    <w:rsid w:val="00E91B6A"/>
    <w:rsid w:val="00E91B78"/>
    <w:rsid w:val="00E91B86"/>
    <w:rsid w:val="00E91C21"/>
    <w:rsid w:val="00E91C4E"/>
    <w:rsid w:val="00E91CB3"/>
    <w:rsid w:val="00E91CE9"/>
    <w:rsid w:val="00E91D31"/>
    <w:rsid w:val="00E91DA6"/>
    <w:rsid w:val="00E91DD7"/>
    <w:rsid w:val="00E91DDD"/>
    <w:rsid w:val="00E91E7D"/>
    <w:rsid w:val="00E91EEC"/>
    <w:rsid w:val="00E91EFF"/>
    <w:rsid w:val="00E91F0B"/>
    <w:rsid w:val="00E91F1E"/>
    <w:rsid w:val="00E91F59"/>
    <w:rsid w:val="00E91F8D"/>
    <w:rsid w:val="00E91FB3"/>
    <w:rsid w:val="00E92024"/>
    <w:rsid w:val="00E92091"/>
    <w:rsid w:val="00E92192"/>
    <w:rsid w:val="00E921DC"/>
    <w:rsid w:val="00E921FF"/>
    <w:rsid w:val="00E92227"/>
    <w:rsid w:val="00E9224C"/>
    <w:rsid w:val="00E92255"/>
    <w:rsid w:val="00E92278"/>
    <w:rsid w:val="00E92296"/>
    <w:rsid w:val="00E9229E"/>
    <w:rsid w:val="00E922BC"/>
    <w:rsid w:val="00E922FF"/>
    <w:rsid w:val="00E92384"/>
    <w:rsid w:val="00E92388"/>
    <w:rsid w:val="00E923B9"/>
    <w:rsid w:val="00E923D0"/>
    <w:rsid w:val="00E9245D"/>
    <w:rsid w:val="00E924CF"/>
    <w:rsid w:val="00E924D1"/>
    <w:rsid w:val="00E924EA"/>
    <w:rsid w:val="00E92576"/>
    <w:rsid w:val="00E925AE"/>
    <w:rsid w:val="00E92690"/>
    <w:rsid w:val="00E926DD"/>
    <w:rsid w:val="00E926FF"/>
    <w:rsid w:val="00E927C0"/>
    <w:rsid w:val="00E927E0"/>
    <w:rsid w:val="00E9283F"/>
    <w:rsid w:val="00E928FC"/>
    <w:rsid w:val="00E9293F"/>
    <w:rsid w:val="00E92956"/>
    <w:rsid w:val="00E92978"/>
    <w:rsid w:val="00E929C3"/>
    <w:rsid w:val="00E929F1"/>
    <w:rsid w:val="00E92A2C"/>
    <w:rsid w:val="00E92A4E"/>
    <w:rsid w:val="00E92A6E"/>
    <w:rsid w:val="00E92A9D"/>
    <w:rsid w:val="00E92ABA"/>
    <w:rsid w:val="00E92AF5"/>
    <w:rsid w:val="00E92B48"/>
    <w:rsid w:val="00E92B95"/>
    <w:rsid w:val="00E92C1B"/>
    <w:rsid w:val="00E92C32"/>
    <w:rsid w:val="00E92C65"/>
    <w:rsid w:val="00E92CA4"/>
    <w:rsid w:val="00E92CB2"/>
    <w:rsid w:val="00E92D56"/>
    <w:rsid w:val="00E92D57"/>
    <w:rsid w:val="00E92D95"/>
    <w:rsid w:val="00E92DC0"/>
    <w:rsid w:val="00E92E01"/>
    <w:rsid w:val="00E92E22"/>
    <w:rsid w:val="00E92E3E"/>
    <w:rsid w:val="00E92E60"/>
    <w:rsid w:val="00E92E9B"/>
    <w:rsid w:val="00E92EB1"/>
    <w:rsid w:val="00E92EF0"/>
    <w:rsid w:val="00E92F57"/>
    <w:rsid w:val="00E92F95"/>
    <w:rsid w:val="00E92FB3"/>
    <w:rsid w:val="00E93048"/>
    <w:rsid w:val="00E93071"/>
    <w:rsid w:val="00E930C3"/>
    <w:rsid w:val="00E930D6"/>
    <w:rsid w:val="00E93112"/>
    <w:rsid w:val="00E93125"/>
    <w:rsid w:val="00E93130"/>
    <w:rsid w:val="00E931A8"/>
    <w:rsid w:val="00E931C7"/>
    <w:rsid w:val="00E93278"/>
    <w:rsid w:val="00E932E2"/>
    <w:rsid w:val="00E93395"/>
    <w:rsid w:val="00E933A5"/>
    <w:rsid w:val="00E933B4"/>
    <w:rsid w:val="00E933DE"/>
    <w:rsid w:val="00E933F8"/>
    <w:rsid w:val="00E9349A"/>
    <w:rsid w:val="00E934CC"/>
    <w:rsid w:val="00E93515"/>
    <w:rsid w:val="00E9354F"/>
    <w:rsid w:val="00E93599"/>
    <w:rsid w:val="00E93622"/>
    <w:rsid w:val="00E93625"/>
    <w:rsid w:val="00E93673"/>
    <w:rsid w:val="00E937DC"/>
    <w:rsid w:val="00E93852"/>
    <w:rsid w:val="00E939A7"/>
    <w:rsid w:val="00E939BC"/>
    <w:rsid w:val="00E93A76"/>
    <w:rsid w:val="00E93AB0"/>
    <w:rsid w:val="00E93AF8"/>
    <w:rsid w:val="00E93B21"/>
    <w:rsid w:val="00E93BDA"/>
    <w:rsid w:val="00E93C54"/>
    <w:rsid w:val="00E93CAB"/>
    <w:rsid w:val="00E93CB2"/>
    <w:rsid w:val="00E93CFF"/>
    <w:rsid w:val="00E93D90"/>
    <w:rsid w:val="00E93E4F"/>
    <w:rsid w:val="00E93E5F"/>
    <w:rsid w:val="00E93F18"/>
    <w:rsid w:val="00E93F2C"/>
    <w:rsid w:val="00E93F4B"/>
    <w:rsid w:val="00E93F82"/>
    <w:rsid w:val="00E93F86"/>
    <w:rsid w:val="00E93FCA"/>
    <w:rsid w:val="00E93FF9"/>
    <w:rsid w:val="00E9401B"/>
    <w:rsid w:val="00E94024"/>
    <w:rsid w:val="00E9402C"/>
    <w:rsid w:val="00E9403F"/>
    <w:rsid w:val="00E94088"/>
    <w:rsid w:val="00E940AC"/>
    <w:rsid w:val="00E94149"/>
    <w:rsid w:val="00E9416C"/>
    <w:rsid w:val="00E9417B"/>
    <w:rsid w:val="00E9418E"/>
    <w:rsid w:val="00E941B5"/>
    <w:rsid w:val="00E9421B"/>
    <w:rsid w:val="00E9421F"/>
    <w:rsid w:val="00E94227"/>
    <w:rsid w:val="00E94248"/>
    <w:rsid w:val="00E942D0"/>
    <w:rsid w:val="00E942D2"/>
    <w:rsid w:val="00E94308"/>
    <w:rsid w:val="00E9436A"/>
    <w:rsid w:val="00E94378"/>
    <w:rsid w:val="00E9439D"/>
    <w:rsid w:val="00E94512"/>
    <w:rsid w:val="00E9451E"/>
    <w:rsid w:val="00E94527"/>
    <w:rsid w:val="00E94580"/>
    <w:rsid w:val="00E9459B"/>
    <w:rsid w:val="00E945B3"/>
    <w:rsid w:val="00E94620"/>
    <w:rsid w:val="00E9463B"/>
    <w:rsid w:val="00E94653"/>
    <w:rsid w:val="00E94686"/>
    <w:rsid w:val="00E94699"/>
    <w:rsid w:val="00E946D0"/>
    <w:rsid w:val="00E946F6"/>
    <w:rsid w:val="00E946FF"/>
    <w:rsid w:val="00E947F3"/>
    <w:rsid w:val="00E9485E"/>
    <w:rsid w:val="00E948BA"/>
    <w:rsid w:val="00E948BD"/>
    <w:rsid w:val="00E948D4"/>
    <w:rsid w:val="00E94916"/>
    <w:rsid w:val="00E9494A"/>
    <w:rsid w:val="00E9499B"/>
    <w:rsid w:val="00E94A0E"/>
    <w:rsid w:val="00E94A30"/>
    <w:rsid w:val="00E94AB0"/>
    <w:rsid w:val="00E94ABD"/>
    <w:rsid w:val="00E94B7B"/>
    <w:rsid w:val="00E94BB3"/>
    <w:rsid w:val="00E94BEC"/>
    <w:rsid w:val="00E94C2E"/>
    <w:rsid w:val="00E94C2F"/>
    <w:rsid w:val="00E94C75"/>
    <w:rsid w:val="00E94C99"/>
    <w:rsid w:val="00E94CA7"/>
    <w:rsid w:val="00E94CDC"/>
    <w:rsid w:val="00E94D50"/>
    <w:rsid w:val="00E94D57"/>
    <w:rsid w:val="00E94DA5"/>
    <w:rsid w:val="00E94E41"/>
    <w:rsid w:val="00E94EE1"/>
    <w:rsid w:val="00E94EFD"/>
    <w:rsid w:val="00E94F14"/>
    <w:rsid w:val="00E94F2B"/>
    <w:rsid w:val="00E94FB8"/>
    <w:rsid w:val="00E94FDA"/>
    <w:rsid w:val="00E95010"/>
    <w:rsid w:val="00E9501B"/>
    <w:rsid w:val="00E9501D"/>
    <w:rsid w:val="00E95084"/>
    <w:rsid w:val="00E950C6"/>
    <w:rsid w:val="00E95191"/>
    <w:rsid w:val="00E951B1"/>
    <w:rsid w:val="00E951CD"/>
    <w:rsid w:val="00E9520B"/>
    <w:rsid w:val="00E9520D"/>
    <w:rsid w:val="00E95217"/>
    <w:rsid w:val="00E95276"/>
    <w:rsid w:val="00E952F6"/>
    <w:rsid w:val="00E95302"/>
    <w:rsid w:val="00E9536A"/>
    <w:rsid w:val="00E953E6"/>
    <w:rsid w:val="00E9540D"/>
    <w:rsid w:val="00E9543A"/>
    <w:rsid w:val="00E95447"/>
    <w:rsid w:val="00E95449"/>
    <w:rsid w:val="00E954BC"/>
    <w:rsid w:val="00E954E0"/>
    <w:rsid w:val="00E95597"/>
    <w:rsid w:val="00E955CB"/>
    <w:rsid w:val="00E95662"/>
    <w:rsid w:val="00E956B2"/>
    <w:rsid w:val="00E956E9"/>
    <w:rsid w:val="00E95741"/>
    <w:rsid w:val="00E95759"/>
    <w:rsid w:val="00E95772"/>
    <w:rsid w:val="00E9578A"/>
    <w:rsid w:val="00E957F8"/>
    <w:rsid w:val="00E958BE"/>
    <w:rsid w:val="00E958D5"/>
    <w:rsid w:val="00E95922"/>
    <w:rsid w:val="00E959A5"/>
    <w:rsid w:val="00E959EC"/>
    <w:rsid w:val="00E95A14"/>
    <w:rsid w:val="00E95AB7"/>
    <w:rsid w:val="00E95B90"/>
    <w:rsid w:val="00E95BB8"/>
    <w:rsid w:val="00E95BEE"/>
    <w:rsid w:val="00E95BFF"/>
    <w:rsid w:val="00E95C72"/>
    <w:rsid w:val="00E95CB3"/>
    <w:rsid w:val="00E95CD7"/>
    <w:rsid w:val="00E95D17"/>
    <w:rsid w:val="00E95D65"/>
    <w:rsid w:val="00E95D9F"/>
    <w:rsid w:val="00E95DA3"/>
    <w:rsid w:val="00E95EF2"/>
    <w:rsid w:val="00E95F4C"/>
    <w:rsid w:val="00E96001"/>
    <w:rsid w:val="00E96022"/>
    <w:rsid w:val="00E96041"/>
    <w:rsid w:val="00E9608E"/>
    <w:rsid w:val="00E9609F"/>
    <w:rsid w:val="00E960C6"/>
    <w:rsid w:val="00E9611E"/>
    <w:rsid w:val="00E96289"/>
    <w:rsid w:val="00E962EC"/>
    <w:rsid w:val="00E962F1"/>
    <w:rsid w:val="00E962FD"/>
    <w:rsid w:val="00E9636E"/>
    <w:rsid w:val="00E96374"/>
    <w:rsid w:val="00E963AF"/>
    <w:rsid w:val="00E96476"/>
    <w:rsid w:val="00E96487"/>
    <w:rsid w:val="00E96509"/>
    <w:rsid w:val="00E9660A"/>
    <w:rsid w:val="00E96663"/>
    <w:rsid w:val="00E9669C"/>
    <w:rsid w:val="00E966AA"/>
    <w:rsid w:val="00E966DE"/>
    <w:rsid w:val="00E9677E"/>
    <w:rsid w:val="00E967C9"/>
    <w:rsid w:val="00E967E9"/>
    <w:rsid w:val="00E96861"/>
    <w:rsid w:val="00E96870"/>
    <w:rsid w:val="00E9688B"/>
    <w:rsid w:val="00E968A1"/>
    <w:rsid w:val="00E968BA"/>
    <w:rsid w:val="00E96934"/>
    <w:rsid w:val="00E96947"/>
    <w:rsid w:val="00E96984"/>
    <w:rsid w:val="00E969D2"/>
    <w:rsid w:val="00E969FC"/>
    <w:rsid w:val="00E96A42"/>
    <w:rsid w:val="00E96AEF"/>
    <w:rsid w:val="00E96B9F"/>
    <w:rsid w:val="00E96BD9"/>
    <w:rsid w:val="00E96BDE"/>
    <w:rsid w:val="00E96BE4"/>
    <w:rsid w:val="00E96BFF"/>
    <w:rsid w:val="00E96D34"/>
    <w:rsid w:val="00E96D6B"/>
    <w:rsid w:val="00E96D84"/>
    <w:rsid w:val="00E96D88"/>
    <w:rsid w:val="00E96E12"/>
    <w:rsid w:val="00E96E24"/>
    <w:rsid w:val="00E96E8F"/>
    <w:rsid w:val="00E96F33"/>
    <w:rsid w:val="00E96F9D"/>
    <w:rsid w:val="00E97098"/>
    <w:rsid w:val="00E970E0"/>
    <w:rsid w:val="00E971BF"/>
    <w:rsid w:val="00E971D2"/>
    <w:rsid w:val="00E971F3"/>
    <w:rsid w:val="00E97315"/>
    <w:rsid w:val="00E97341"/>
    <w:rsid w:val="00E97358"/>
    <w:rsid w:val="00E97399"/>
    <w:rsid w:val="00E973E0"/>
    <w:rsid w:val="00E9742E"/>
    <w:rsid w:val="00E97436"/>
    <w:rsid w:val="00E9750D"/>
    <w:rsid w:val="00E97613"/>
    <w:rsid w:val="00E97643"/>
    <w:rsid w:val="00E9770D"/>
    <w:rsid w:val="00E9780B"/>
    <w:rsid w:val="00E97817"/>
    <w:rsid w:val="00E97874"/>
    <w:rsid w:val="00E97902"/>
    <w:rsid w:val="00E9799B"/>
    <w:rsid w:val="00E9799D"/>
    <w:rsid w:val="00E979C2"/>
    <w:rsid w:val="00E97A4D"/>
    <w:rsid w:val="00E97A50"/>
    <w:rsid w:val="00E97A8B"/>
    <w:rsid w:val="00E97AC6"/>
    <w:rsid w:val="00E97AFE"/>
    <w:rsid w:val="00E97B8D"/>
    <w:rsid w:val="00E97B96"/>
    <w:rsid w:val="00E97BA0"/>
    <w:rsid w:val="00E97BD7"/>
    <w:rsid w:val="00E97CAE"/>
    <w:rsid w:val="00E97D4D"/>
    <w:rsid w:val="00E97D97"/>
    <w:rsid w:val="00E97DBA"/>
    <w:rsid w:val="00E97DC5"/>
    <w:rsid w:val="00E97E49"/>
    <w:rsid w:val="00E97E54"/>
    <w:rsid w:val="00E97E70"/>
    <w:rsid w:val="00E97E74"/>
    <w:rsid w:val="00E97F18"/>
    <w:rsid w:val="00E97FC7"/>
    <w:rsid w:val="00EA0014"/>
    <w:rsid w:val="00EA0019"/>
    <w:rsid w:val="00EA001E"/>
    <w:rsid w:val="00EA0027"/>
    <w:rsid w:val="00EA0049"/>
    <w:rsid w:val="00EA0065"/>
    <w:rsid w:val="00EA0067"/>
    <w:rsid w:val="00EA0070"/>
    <w:rsid w:val="00EA00C3"/>
    <w:rsid w:val="00EA0158"/>
    <w:rsid w:val="00EA0185"/>
    <w:rsid w:val="00EA028D"/>
    <w:rsid w:val="00EA0294"/>
    <w:rsid w:val="00EA02C3"/>
    <w:rsid w:val="00EA02F0"/>
    <w:rsid w:val="00EA02FC"/>
    <w:rsid w:val="00EA036A"/>
    <w:rsid w:val="00EA03B1"/>
    <w:rsid w:val="00EA042E"/>
    <w:rsid w:val="00EA0491"/>
    <w:rsid w:val="00EA0499"/>
    <w:rsid w:val="00EA04B7"/>
    <w:rsid w:val="00EA05B0"/>
    <w:rsid w:val="00EA05CB"/>
    <w:rsid w:val="00EA05EC"/>
    <w:rsid w:val="00EA0675"/>
    <w:rsid w:val="00EA069C"/>
    <w:rsid w:val="00EA069E"/>
    <w:rsid w:val="00EA0721"/>
    <w:rsid w:val="00EA0726"/>
    <w:rsid w:val="00EA0790"/>
    <w:rsid w:val="00EA07C3"/>
    <w:rsid w:val="00EA07D5"/>
    <w:rsid w:val="00EA07FA"/>
    <w:rsid w:val="00EA0800"/>
    <w:rsid w:val="00EA08D7"/>
    <w:rsid w:val="00EA08DF"/>
    <w:rsid w:val="00EA08E2"/>
    <w:rsid w:val="00EA090E"/>
    <w:rsid w:val="00EA0A06"/>
    <w:rsid w:val="00EA0AD5"/>
    <w:rsid w:val="00EA0B1C"/>
    <w:rsid w:val="00EA0B5C"/>
    <w:rsid w:val="00EA0B75"/>
    <w:rsid w:val="00EA0BAE"/>
    <w:rsid w:val="00EA0C74"/>
    <w:rsid w:val="00EA0D06"/>
    <w:rsid w:val="00EA0D0D"/>
    <w:rsid w:val="00EA0D21"/>
    <w:rsid w:val="00EA0D4F"/>
    <w:rsid w:val="00EA0D65"/>
    <w:rsid w:val="00EA0DED"/>
    <w:rsid w:val="00EA0E03"/>
    <w:rsid w:val="00EA0E05"/>
    <w:rsid w:val="00EA0E58"/>
    <w:rsid w:val="00EA0F1A"/>
    <w:rsid w:val="00EA0F24"/>
    <w:rsid w:val="00EA0F45"/>
    <w:rsid w:val="00EA0F78"/>
    <w:rsid w:val="00EA0FD7"/>
    <w:rsid w:val="00EA0FEF"/>
    <w:rsid w:val="00EA0FFF"/>
    <w:rsid w:val="00EA1069"/>
    <w:rsid w:val="00EA1132"/>
    <w:rsid w:val="00EA118C"/>
    <w:rsid w:val="00EA1232"/>
    <w:rsid w:val="00EA1237"/>
    <w:rsid w:val="00EA1278"/>
    <w:rsid w:val="00EA128A"/>
    <w:rsid w:val="00EA12FB"/>
    <w:rsid w:val="00EA1361"/>
    <w:rsid w:val="00EA1363"/>
    <w:rsid w:val="00EA1379"/>
    <w:rsid w:val="00EA13B8"/>
    <w:rsid w:val="00EA13BC"/>
    <w:rsid w:val="00EA13E5"/>
    <w:rsid w:val="00EA1488"/>
    <w:rsid w:val="00EA1558"/>
    <w:rsid w:val="00EA1602"/>
    <w:rsid w:val="00EA164F"/>
    <w:rsid w:val="00EA1657"/>
    <w:rsid w:val="00EA168E"/>
    <w:rsid w:val="00EA17EF"/>
    <w:rsid w:val="00EA182D"/>
    <w:rsid w:val="00EA187A"/>
    <w:rsid w:val="00EA18C3"/>
    <w:rsid w:val="00EA18E7"/>
    <w:rsid w:val="00EA1951"/>
    <w:rsid w:val="00EA1A07"/>
    <w:rsid w:val="00EA1A11"/>
    <w:rsid w:val="00EA1B4F"/>
    <w:rsid w:val="00EA1B72"/>
    <w:rsid w:val="00EA1BFD"/>
    <w:rsid w:val="00EA1C48"/>
    <w:rsid w:val="00EA1C9E"/>
    <w:rsid w:val="00EA1D2A"/>
    <w:rsid w:val="00EA1D7C"/>
    <w:rsid w:val="00EA1D88"/>
    <w:rsid w:val="00EA1DB8"/>
    <w:rsid w:val="00EA1E01"/>
    <w:rsid w:val="00EA1E49"/>
    <w:rsid w:val="00EA1E8C"/>
    <w:rsid w:val="00EA1ECF"/>
    <w:rsid w:val="00EA1F68"/>
    <w:rsid w:val="00EA1F74"/>
    <w:rsid w:val="00EA1FF2"/>
    <w:rsid w:val="00EA202B"/>
    <w:rsid w:val="00EA20A5"/>
    <w:rsid w:val="00EA20B6"/>
    <w:rsid w:val="00EA20E1"/>
    <w:rsid w:val="00EA20EC"/>
    <w:rsid w:val="00EA210D"/>
    <w:rsid w:val="00EA21E5"/>
    <w:rsid w:val="00EA2220"/>
    <w:rsid w:val="00EA226C"/>
    <w:rsid w:val="00EA2295"/>
    <w:rsid w:val="00EA22E8"/>
    <w:rsid w:val="00EA22F9"/>
    <w:rsid w:val="00EA2398"/>
    <w:rsid w:val="00EA23AC"/>
    <w:rsid w:val="00EA23F2"/>
    <w:rsid w:val="00EA242F"/>
    <w:rsid w:val="00EA24BE"/>
    <w:rsid w:val="00EA2534"/>
    <w:rsid w:val="00EA254B"/>
    <w:rsid w:val="00EA25A7"/>
    <w:rsid w:val="00EA26AB"/>
    <w:rsid w:val="00EA26DA"/>
    <w:rsid w:val="00EA26E5"/>
    <w:rsid w:val="00EA26FE"/>
    <w:rsid w:val="00EA27A1"/>
    <w:rsid w:val="00EA27C0"/>
    <w:rsid w:val="00EA284E"/>
    <w:rsid w:val="00EA2868"/>
    <w:rsid w:val="00EA28AB"/>
    <w:rsid w:val="00EA28CE"/>
    <w:rsid w:val="00EA28F9"/>
    <w:rsid w:val="00EA290C"/>
    <w:rsid w:val="00EA2920"/>
    <w:rsid w:val="00EA29BB"/>
    <w:rsid w:val="00EA2AA1"/>
    <w:rsid w:val="00EA2AC8"/>
    <w:rsid w:val="00EA2B2E"/>
    <w:rsid w:val="00EA2B67"/>
    <w:rsid w:val="00EA2B8D"/>
    <w:rsid w:val="00EA2C07"/>
    <w:rsid w:val="00EA2C3D"/>
    <w:rsid w:val="00EA2CA3"/>
    <w:rsid w:val="00EA2D23"/>
    <w:rsid w:val="00EA2D35"/>
    <w:rsid w:val="00EA2D54"/>
    <w:rsid w:val="00EA2DA5"/>
    <w:rsid w:val="00EA2DCD"/>
    <w:rsid w:val="00EA2DCF"/>
    <w:rsid w:val="00EA2E11"/>
    <w:rsid w:val="00EA2E1B"/>
    <w:rsid w:val="00EA2E5B"/>
    <w:rsid w:val="00EA2EA9"/>
    <w:rsid w:val="00EA2ED3"/>
    <w:rsid w:val="00EA2F1A"/>
    <w:rsid w:val="00EA2F33"/>
    <w:rsid w:val="00EA2F40"/>
    <w:rsid w:val="00EA2F79"/>
    <w:rsid w:val="00EA3044"/>
    <w:rsid w:val="00EA3057"/>
    <w:rsid w:val="00EA305D"/>
    <w:rsid w:val="00EA30C1"/>
    <w:rsid w:val="00EA3204"/>
    <w:rsid w:val="00EA334E"/>
    <w:rsid w:val="00EA3395"/>
    <w:rsid w:val="00EA33E7"/>
    <w:rsid w:val="00EA34BB"/>
    <w:rsid w:val="00EA34E6"/>
    <w:rsid w:val="00EA34FB"/>
    <w:rsid w:val="00EA3508"/>
    <w:rsid w:val="00EA3571"/>
    <w:rsid w:val="00EA364D"/>
    <w:rsid w:val="00EA3693"/>
    <w:rsid w:val="00EA36FA"/>
    <w:rsid w:val="00EA3706"/>
    <w:rsid w:val="00EA3723"/>
    <w:rsid w:val="00EA3820"/>
    <w:rsid w:val="00EA3840"/>
    <w:rsid w:val="00EA395A"/>
    <w:rsid w:val="00EA3967"/>
    <w:rsid w:val="00EA398D"/>
    <w:rsid w:val="00EA39AB"/>
    <w:rsid w:val="00EA39C2"/>
    <w:rsid w:val="00EA39E9"/>
    <w:rsid w:val="00EA39EE"/>
    <w:rsid w:val="00EA3A0D"/>
    <w:rsid w:val="00EA3A19"/>
    <w:rsid w:val="00EA3A22"/>
    <w:rsid w:val="00EA3A2F"/>
    <w:rsid w:val="00EA3A3C"/>
    <w:rsid w:val="00EA3AC8"/>
    <w:rsid w:val="00EA3B0B"/>
    <w:rsid w:val="00EA3B0C"/>
    <w:rsid w:val="00EA3B48"/>
    <w:rsid w:val="00EA3C94"/>
    <w:rsid w:val="00EA3DA4"/>
    <w:rsid w:val="00EA3DDE"/>
    <w:rsid w:val="00EA3E3F"/>
    <w:rsid w:val="00EA3E82"/>
    <w:rsid w:val="00EA3EC3"/>
    <w:rsid w:val="00EA3F36"/>
    <w:rsid w:val="00EA3FC4"/>
    <w:rsid w:val="00EA4045"/>
    <w:rsid w:val="00EA4072"/>
    <w:rsid w:val="00EA409E"/>
    <w:rsid w:val="00EA40B2"/>
    <w:rsid w:val="00EA4148"/>
    <w:rsid w:val="00EA41B0"/>
    <w:rsid w:val="00EA4238"/>
    <w:rsid w:val="00EA4275"/>
    <w:rsid w:val="00EA428D"/>
    <w:rsid w:val="00EA42B9"/>
    <w:rsid w:val="00EA42E6"/>
    <w:rsid w:val="00EA4303"/>
    <w:rsid w:val="00EA431F"/>
    <w:rsid w:val="00EA432D"/>
    <w:rsid w:val="00EA433B"/>
    <w:rsid w:val="00EA4345"/>
    <w:rsid w:val="00EA4379"/>
    <w:rsid w:val="00EA43AE"/>
    <w:rsid w:val="00EA43ED"/>
    <w:rsid w:val="00EA444E"/>
    <w:rsid w:val="00EA4468"/>
    <w:rsid w:val="00EA44FC"/>
    <w:rsid w:val="00EA451A"/>
    <w:rsid w:val="00EA4564"/>
    <w:rsid w:val="00EA45EC"/>
    <w:rsid w:val="00EA4607"/>
    <w:rsid w:val="00EA4614"/>
    <w:rsid w:val="00EA4615"/>
    <w:rsid w:val="00EA4621"/>
    <w:rsid w:val="00EA4639"/>
    <w:rsid w:val="00EA465E"/>
    <w:rsid w:val="00EA4693"/>
    <w:rsid w:val="00EA46A2"/>
    <w:rsid w:val="00EA4717"/>
    <w:rsid w:val="00EA4732"/>
    <w:rsid w:val="00EA4741"/>
    <w:rsid w:val="00EA47C9"/>
    <w:rsid w:val="00EA47E8"/>
    <w:rsid w:val="00EA4804"/>
    <w:rsid w:val="00EA4867"/>
    <w:rsid w:val="00EA48AC"/>
    <w:rsid w:val="00EA48E0"/>
    <w:rsid w:val="00EA48E5"/>
    <w:rsid w:val="00EA48F9"/>
    <w:rsid w:val="00EA4932"/>
    <w:rsid w:val="00EA4969"/>
    <w:rsid w:val="00EA49FB"/>
    <w:rsid w:val="00EA4A49"/>
    <w:rsid w:val="00EA4A9A"/>
    <w:rsid w:val="00EA4ABC"/>
    <w:rsid w:val="00EA4AD5"/>
    <w:rsid w:val="00EA4AF6"/>
    <w:rsid w:val="00EA4AFC"/>
    <w:rsid w:val="00EA4B5B"/>
    <w:rsid w:val="00EA4BE2"/>
    <w:rsid w:val="00EA4BF5"/>
    <w:rsid w:val="00EA4C55"/>
    <w:rsid w:val="00EA4CA0"/>
    <w:rsid w:val="00EA4CA2"/>
    <w:rsid w:val="00EA4D13"/>
    <w:rsid w:val="00EA4D6E"/>
    <w:rsid w:val="00EA4DB9"/>
    <w:rsid w:val="00EA4DD3"/>
    <w:rsid w:val="00EA4E04"/>
    <w:rsid w:val="00EA4E0A"/>
    <w:rsid w:val="00EA4E70"/>
    <w:rsid w:val="00EA4EC9"/>
    <w:rsid w:val="00EA4FB3"/>
    <w:rsid w:val="00EA5014"/>
    <w:rsid w:val="00EA5030"/>
    <w:rsid w:val="00EA5082"/>
    <w:rsid w:val="00EA50F7"/>
    <w:rsid w:val="00EA5216"/>
    <w:rsid w:val="00EA527E"/>
    <w:rsid w:val="00EA5284"/>
    <w:rsid w:val="00EA52E7"/>
    <w:rsid w:val="00EA5321"/>
    <w:rsid w:val="00EA537E"/>
    <w:rsid w:val="00EA53F1"/>
    <w:rsid w:val="00EA5424"/>
    <w:rsid w:val="00EA544D"/>
    <w:rsid w:val="00EA549E"/>
    <w:rsid w:val="00EA54BD"/>
    <w:rsid w:val="00EA54C8"/>
    <w:rsid w:val="00EA54F9"/>
    <w:rsid w:val="00EA556B"/>
    <w:rsid w:val="00EA558B"/>
    <w:rsid w:val="00EA5597"/>
    <w:rsid w:val="00EA55EA"/>
    <w:rsid w:val="00EA5631"/>
    <w:rsid w:val="00EA5686"/>
    <w:rsid w:val="00EA56CE"/>
    <w:rsid w:val="00EA56DB"/>
    <w:rsid w:val="00EA56F3"/>
    <w:rsid w:val="00EA571B"/>
    <w:rsid w:val="00EA5750"/>
    <w:rsid w:val="00EA577D"/>
    <w:rsid w:val="00EA5786"/>
    <w:rsid w:val="00EA57D0"/>
    <w:rsid w:val="00EA57F3"/>
    <w:rsid w:val="00EA5805"/>
    <w:rsid w:val="00EA583A"/>
    <w:rsid w:val="00EA5859"/>
    <w:rsid w:val="00EA58C8"/>
    <w:rsid w:val="00EA58D0"/>
    <w:rsid w:val="00EA592C"/>
    <w:rsid w:val="00EA5940"/>
    <w:rsid w:val="00EA59BD"/>
    <w:rsid w:val="00EA5A96"/>
    <w:rsid w:val="00EA5AFA"/>
    <w:rsid w:val="00EA5B37"/>
    <w:rsid w:val="00EA5B7D"/>
    <w:rsid w:val="00EA5BD4"/>
    <w:rsid w:val="00EA5BDC"/>
    <w:rsid w:val="00EA5C08"/>
    <w:rsid w:val="00EA5C18"/>
    <w:rsid w:val="00EA5C37"/>
    <w:rsid w:val="00EA5C6B"/>
    <w:rsid w:val="00EA5C97"/>
    <w:rsid w:val="00EA5D0D"/>
    <w:rsid w:val="00EA5D15"/>
    <w:rsid w:val="00EA5DF8"/>
    <w:rsid w:val="00EA5E1F"/>
    <w:rsid w:val="00EA5E3D"/>
    <w:rsid w:val="00EA5F24"/>
    <w:rsid w:val="00EA5F8F"/>
    <w:rsid w:val="00EA5F90"/>
    <w:rsid w:val="00EA6093"/>
    <w:rsid w:val="00EA60B1"/>
    <w:rsid w:val="00EA60DD"/>
    <w:rsid w:val="00EA6129"/>
    <w:rsid w:val="00EA617D"/>
    <w:rsid w:val="00EA6180"/>
    <w:rsid w:val="00EA61E8"/>
    <w:rsid w:val="00EA620D"/>
    <w:rsid w:val="00EA623A"/>
    <w:rsid w:val="00EA6254"/>
    <w:rsid w:val="00EA6267"/>
    <w:rsid w:val="00EA6366"/>
    <w:rsid w:val="00EA6469"/>
    <w:rsid w:val="00EA6486"/>
    <w:rsid w:val="00EA64F5"/>
    <w:rsid w:val="00EA64FD"/>
    <w:rsid w:val="00EA650A"/>
    <w:rsid w:val="00EA651F"/>
    <w:rsid w:val="00EA653D"/>
    <w:rsid w:val="00EA6552"/>
    <w:rsid w:val="00EA65F2"/>
    <w:rsid w:val="00EA65F7"/>
    <w:rsid w:val="00EA660C"/>
    <w:rsid w:val="00EA6645"/>
    <w:rsid w:val="00EA6662"/>
    <w:rsid w:val="00EA668D"/>
    <w:rsid w:val="00EA66D3"/>
    <w:rsid w:val="00EA674B"/>
    <w:rsid w:val="00EA6799"/>
    <w:rsid w:val="00EA67A9"/>
    <w:rsid w:val="00EA67AC"/>
    <w:rsid w:val="00EA67DC"/>
    <w:rsid w:val="00EA6838"/>
    <w:rsid w:val="00EA688D"/>
    <w:rsid w:val="00EA68C4"/>
    <w:rsid w:val="00EA69E5"/>
    <w:rsid w:val="00EA6A1A"/>
    <w:rsid w:val="00EA6A7C"/>
    <w:rsid w:val="00EA6A99"/>
    <w:rsid w:val="00EA6B39"/>
    <w:rsid w:val="00EA6BBF"/>
    <w:rsid w:val="00EA6BC7"/>
    <w:rsid w:val="00EA6C99"/>
    <w:rsid w:val="00EA6D41"/>
    <w:rsid w:val="00EA6DC5"/>
    <w:rsid w:val="00EA6E0F"/>
    <w:rsid w:val="00EA6E64"/>
    <w:rsid w:val="00EA6EC3"/>
    <w:rsid w:val="00EA6ED5"/>
    <w:rsid w:val="00EA6EE2"/>
    <w:rsid w:val="00EA6F44"/>
    <w:rsid w:val="00EA6FC4"/>
    <w:rsid w:val="00EA7022"/>
    <w:rsid w:val="00EA70AC"/>
    <w:rsid w:val="00EA70DA"/>
    <w:rsid w:val="00EA7105"/>
    <w:rsid w:val="00EA7126"/>
    <w:rsid w:val="00EA7140"/>
    <w:rsid w:val="00EA71AE"/>
    <w:rsid w:val="00EA7273"/>
    <w:rsid w:val="00EA727A"/>
    <w:rsid w:val="00EA7280"/>
    <w:rsid w:val="00EA7368"/>
    <w:rsid w:val="00EA7376"/>
    <w:rsid w:val="00EA73AC"/>
    <w:rsid w:val="00EA74BB"/>
    <w:rsid w:val="00EA74BD"/>
    <w:rsid w:val="00EA74E7"/>
    <w:rsid w:val="00EA74F6"/>
    <w:rsid w:val="00EA7510"/>
    <w:rsid w:val="00EA7663"/>
    <w:rsid w:val="00EA76A6"/>
    <w:rsid w:val="00EA76B2"/>
    <w:rsid w:val="00EA7781"/>
    <w:rsid w:val="00EA778A"/>
    <w:rsid w:val="00EA7792"/>
    <w:rsid w:val="00EA77A5"/>
    <w:rsid w:val="00EA77D2"/>
    <w:rsid w:val="00EA7976"/>
    <w:rsid w:val="00EA7978"/>
    <w:rsid w:val="00EA7A1F"/>
    <w:rsid w:val="00EA7A32"/>
    <w:rsid w:val="00EA7A33"/>
    <w:rsid w:val="00EA7A43"/>
    <w:rsid w:val="00EA7A4A"/>
    <w:rsid w:val="00EA7A6A"/>
    <w:rsid w:val="00EA7AE4"/>
    <w:rsid w:val="00EA7AF8"/>
    <w:rsid w:val="00EA7B67"/>
    <w:rsid w:val="00EA7BF2"/>
    <w:rsid w:val="00EA7C02"/>
    <w:rsid w:val="00EA7CF1"/>
    <w:rsid w:val="00EA7D0C"/>
    <w:rsid w:val="00EA7D53"/>
    <w:rsid w:val="00EA7DD9"/>
    <w:rsid w:val="00EA7DE9"/>
    <w:rsid w:val="00EA7E3A"/>
    <w:rsid w:val="00EA7E47"/>
    <w:rsid w:val="00EA7E4B"/>
    <w:rsid w:val="00EA7ECD"/>
    <w:rsid w:val="00EA7F56"/>
    <w:rsid w:val="00EA7FD7"/>
    <w:rsid w:val="00EB0014"/>
    <w:rsid w:val="00EB0035"/>
    <w:rsid w:val="00EB010E"/>
    <w:rsid w:val="00EB0156"/>
    <w:rsid w:val="00EB0172"/>
    <w:rsid w:val="00EB0175"/>
    <w:rsid w:val="00EB01D0"/>
    <w:rsid w:val="00EB01DC"/>
    <w:rsid w:val="00EB01FB"/>
    <w:rsid w:val="00EB01FF"/>
    <w:rsid w:val="00EB0282"/>
    <w:rsid w:val="00EB02AD"/>
    <w:rsid w:val="00EB02C9"/>
    <w:rsid w:val="00EB02E6"/>
    <w:rsid w:val="00EB0306"/>
    <w:rsid w:val="00EB034D"/>
    <w:rsid w:val="00EB037C"/>
    <w:rsid w:val="00EB0393"/>
    <w:rsid w:val="00EB03AC"/>
    <w:rsid w:val="00EB03CE"/>
    <w:rsid w:val="00EB03E7"/>
    <w:rsid w:val="00EB043B"/>
    <w:rsid w:val="00EB0442"/>
    <w:rsid w:val="00EB0468"/>
    <w:rsid w:val="00EB04AA"/>
    <w:rsid w:val="00EB04B0"/>
    <w:rsid w:val="00EB04F5"/>
    <w:rsid w:val="00EB0521"/>
    <w:rsid w:val="00EB059B"/>
    <w:rsid w:val="00EB05B6"/>
    <w:rsid w:val="00EB0605"/>
    <w:rsid w:val="00EB0671"/>
    <w:rsid w:val="00EB0675"/>
    <w:rsid w:val="00EB0682"/>
    <w:rsid w:val="00EB06A0"/>
    <w:rsid w:val="00EB06D6"/>
    <w:rsid w:val="00EB0712"/>
    <w:rsid w:val="00EB0752"/>
    <w:rsid w:val="00EB0760"/>
    <w:rsid w:val="00EB0763"/>
    <w:rsid w:val="00EB0764"/>
    <w:rsid w:val="00EB07B8"/>
    <w:rsid w:val="00EB07E2"/>
    <w:rsid w:val="00EB07EF"/>
    <w:rsid w:val="00EB07FE"/>
    <w:rsid w:val="00EB0808"/>
    <w:rsid w:val="00EB0903"/>
    <w:rsid w:val="00EB0937"/>
    <w:rsid w:val="00EB093E"/>
    <w:rsid w:val="00EB0954"/>
    <w:rsid w:val="00EB095E"/>
    <w:rsid w:val="00EB09A8"/>
    <w:rsid w:val="00EB09B9"/>
    <w:rsid w:val="00EB0A17"/>
    <w:rsid w:val="00EB0AAC"/>
    <w:rsid w:val="00EB0ACC"/>
    <w:rsid w:val="00EB0B69"/>
    <w:rsid w:val="00EB0C6F"/>
    <w:rsid w:val="00EB0CCA"/>
    <w:rsid w:val="00EB0CD5"/>
    <w:rsid w:val="00EB0CDD"/>
    <w:rsid w:val="00EB0CE8"/>
    <w:rsid w:val="00EB0D85"/>
    <w:rsid w:val="00EB0E28"/>
    <w:rsid w:val="00EB0E4B"/>
    <w:rsid w:val="00EB0EA1"/>
    <w:rsid w:val="00EB0F4A"/>
    <w:rsid w:val="00EB0F54"/>
    <w:rsid w:val="00EB0F5B"/>
    <w:rsid w:val="00EB0F8F"/>
    <w:rsid w:val="00EB1071"/>
    <w:rsid w:val="00EB10CB"/>
    <w:rsid w:val="00EB10CD"/>
    <w:rsid w:val="00EB118C"/>
    <w:rsid w:val="00EB119A"/>
    <w:rsid w:val="00EB119E"/>
    <w:rsid w:val="00EB11D3"/>
    <w:rsid w:val="00EB11D7"/>
    <w:rsid w:val="00EB134B"/>
    <w:rsid w:val="00EB13D2"/>
    <w:rsid w:val="00EB13F4"/>
    <w:rsid w:val="00EB1434"/>
    <w:rsid w:val="00EB144B"/>
    <w:rsid w:val="00EB14DB"/>
    <w:rsid w:val="00EB1519"/>
    <w:rsid w:val="00EB15C9"/>
    <w:rsid w:val="00EB1619"/>
    <w:rsid w:val="00EB16D3"/>
    <w:rsid w:val="00EB1757"/>
    <w:rsid w:val="00EB1799"/>
    <w:rsid w:val="00EB1873"/>
    <w:rsid w:val="00EB18AC"/>
    <w:rsid w:val="00EB1929"/>
    <w:rsid w:val="00EB1976"/>
    <w:rsid w:val="00EB19B3"/>
    <w:rsid w:val="00EB1ADB"/>
    <w:rsid w:val="00EB1B4D"/>
    <w:rsid w:val="00EB1B5A"/>
    <w:rsid w:val="00EB1B87"/>
    <w:rsid w:val="00EB1B88"/>
    <w:rsid w:val="00EB1B9C"/>
    <w:rsid w:val="00EB1BF4"/>
    <w:rsid w:val="00EB1BF8"/>
    <w:rsid w:val="00EB1C15"/>
    <w:rsid w:val="00EB1C6E"/>
    <w:rsid w:val="00EB1CC5"/>
    <w:rsid w:val="00EB1CD3"/>
    <w:rsid w:val="00EB1CE8"/>
    <w:rsid w:val="00EB1CFA"/>
    <w:rsid w:val="00EB1D80"/>
    <w:rsid w:val="00EB1D89"/>
    <w:rsid w:val="00EB1DEC"/>
    <w:rsid w:val="00EB1E2F"/>
    <w:rsid w:val="00EB1E46"/>
    <w:rsid w:val="00EB1EA1"/>
    <w:rsid w:val="00EB1EEB"/>
    <w:rsid w:val="00EB1F69"/>
    <w:rsid w:val="00EB1F8E"/>
    <w:rsid w:val="00EB1FC3"/>
    <w:rsid w:val="00EB1FE3"/>
    <w:rsid w:val="00EB1FEF"/>
    <w:rsid w:val="00EB2032"/>
    <w:rsid w:val="00EB2091"/>
    <w:rsid w:val="00EB20DD"/>
    <w:rsid w:val="00EB2103"/>
    <w:rsid w:val="00EB2116"/>
    <w:rsid w:val="00EB211B"/>
    <w:rsid w:val="00EB2147"/>
    <w:rsid w:val="00EB2150"/>
    <w:rsid w:val="00EB21AA"/>
    <w:rsid w:val="00EB21D4"/>
    <w:rsid w:val="00EB222E"/>
    <w:rsid w:val="00EB2260"/>
    <w:rsid w:val="00EB22A4"/>
    <w:rsid w:val="00EB2367"/>
    <w:rsid w:val="00EB23E6"/>
    <w:rsid w:val="00EB241C"/>
    <w:rsid w:val="00EB2421"/>
    <w:rsid w:val="00EB2444"/>
    <w:rsid w:val="00EB246C"/>
    <w:rsid w:val="00EB2542"/>
    <w:rsid w:val="00EB2588"/>
    <w:rsid w:val="00EB260C"/>
    <w:rsid w:val="00EB2663"/>
    <w:rsid w:val="00EB26BE"/>
    <w:rsid w:val="00EB26C4"/>
    <w:rsid w:val="00EB2714"/>
    <w:rsid w:val="00EB2717"/>
    <w:rsid w:val="00EB273A"/>
    <w:rsid w:val="00EB27CC"/>
    <w:rsid w:val="00EB282F"/>
    <w:rsid w:val="00EB288F"/>
    <w:rsid w:val="00EB2930"/>
    <w:rsid w:val="00EB2940"/>
    <w:rsid w:val="00EB2997"/>
    <w:rsid w:val="00EB2A30"/>
    <w:rsid w:val="00EB2A40"/>
    <w:rsid w:val="00EB2B5F"/>
    <w:rsid w:val="00EB2B73"/>
    <w:rsid w:val="00EB2B77"/>
    <w:rsid w:val="00EB2BE6"/>
    <w:rsid w:val="00EB2C1F"/>
    <w:rsid w:val="00EB2C21"/>
    <w:rsid w:val="00EB2CCF"/>
    <w:rsid w:val="00EB2D11"/>
    <w:rsid w:val="00EB2D87"/>
    <w:rsid w:val="00EB2DBC"/>
    <w:rsid w:val="00EB2DCF"/>
    <w:rsid w:val="00EB2EB1"/>
    <w:rsid w:val="00EB2EC2"/>
    <w:rsid w:val="00EB2EDA"/>
    <w:rsid w:val="00EB2F57"/>
    <w:rsid w:val="00EB2F73"/>
    <w:rsid w:val="00EB2FA4"/>
    <w:rsid w:val="00EB2FD4"/>
    <w:rsid w:val="00EB3016"/>
    <w:rsid w:val="00EB3026"/>
    <w:rsid w:val="00EB3080"/>
    <w:rsid w:val="00EB30D4"/>
    <w:rsid w:val="00EB30DF"/>
    <w:rsid w:val="00EB30EA"/>
    <w:rsid w:val="00EB3130"/>
    <w:rsid w:val="00EB3133"/>
    <w:rsid w:val="00EB3199"/>
    <w:rsid w:val="00EB3203"/>
    <w:rsid w:val="00EB3221"/>
    <w:rsid w:val="00EB3230"/>
    <w:rsid w:val="00EB3276"/>
    <w:rsid w:val="00EB329D"/>
    <w:rsid w:val="00EB32AE"/>
    <w:rsid w:val="00EB330D"/>
    <w:rsid w:val="00EB330E"/>
    <w:rsid w:val="00EB331F"/>
    <w:rsid w:val="00EB33A8"/>
    <w:rsid w:val="00EB33B0"/>
    <w:rsid w:val="00EB33BE"/>
    <w:rsid w:val="00EB3455"/>
    <w:rsid w:val="00EB34B9"/>
    <w:rsid w:val="00EB34BE"/>
    <w:rsid w:val="00EB34E4"/>
    <w:rsid w:val="00EB3516"/>
    <w:rsid w:val="00EB3526"/>
    <w:rsid w:val="00EB352C"/>
    <w:rsid w:val="00EB3571"/>
    <w:rsid w:val="00EB35B9"/>
    <w:rsid w:val="00EB35C6"/>
    <w:rsid w:val="00EB368F"/>
    <w:rsid w:val="00EB3707"/>
    <w:rsid w:val="00EB3761"/>
    <w:rsid w:val="00EB376D"/>
    <w:rsid w:val="00EB3794"/>
    <w:rsid w:val="00EB3823"/>
    <w:rsid w:val="00EB3850"/>
    <w:rsid w:val="00EB3854"/>
    <w:rsid w:val="00EB3891"/>
    <w:rsid w:val="00EB38E5"/>
    <w:rsid w:val="00EB38FB"/>
    <w:rsid w:val="00EB3932"/>
    <w:rsid w:val="00EB397F"/>
    <w:rsid w:val="00EB3994"/>
    <w:rsid w:val="00EB39ED"/>
    <w:rsid w:val="00EB3A0A"/>
    <w:rsid w:val="00EB3A17"/>
    <w:rsid w:val="00EB3A43"/>
    <w:rsid w:val="00EB3A8D"/>
    <w:rsid w:val="00EB3C37"/>
    <w:rsid w:val="00EB3C6F"/>
    <w:rsid w:val="00EB3CFD"/>
    <w:rsid w:val="00EB3CFF"/>
    <w:rsid w:val="00EB3D09"/>
    <w:rsid w:val="00EB3D7A"/>
    <w:rsid w:val="00EB3DE0"/>
    <w:rsid w:val="00EB3E12"/>
    <w:rsid w:val="00EB3E24"/>
    <w:rsid w:val="00EB3E5D"/>
    <w:rsid w:val="00EB3E65"/>
    <w:rsid w:val="00EB3EA5"/>
    <w:rsid w:val="00EB3EFE"/>
    <w:rsid w:val="00EB3EFF"/>
    <w:rsid w:val="00EB3F6A"/>
    <w:rsid w:val="00EB3FB7"/>
    <w:rsid w:val="00EB406E"/>
    <w:rsid w:val="00EB408F"/>
    <w:rsid w:val="00EB40D6"/>
    <w:rsid w:val="00EB41BB"/>
    <w:rsid w:val="00EB41EF"/>
    <w:rsid w:val="00EB4201"/>
    <w:rsid w:val="00EB421F"/>
    <w:rsid w:val="00EB4312"/>
    <w:rsid w:val="00EB4351"/>
    <w:rsid w:val="00EB4396"/>
    <w:rsid w:val="00EB43D0"/>
    <w:rsid w:val="00EB43F4"/>
    <w:rsid w:val="00EB43FD"/>
    <w:rsid w:val="00EB440D"/>
    <w:rsid w:val="00EB44B0"/>
    <w:rsid w:val="00EB452D"/>
    <w:rsid w:val="00EB457A"/>
    <w:rsid w:val="00EB4593"/>
    <w:rsid w:val="00EB45F8"/>
    <w:rsid w:val="00EB464D"/>
    <w:rsid w:val="00EB4683"/>
    <w:rsid w:val="00EB4719"/>
    <w:rsid w:val="00EB4724"/>
    <w:rsid w:val="00EB47B7"/>
    <w:rsid w:val="00EB481E"/>
    <w:rsid w:val="00EB483F"/>
    <w:rsid w:val="00EB4866"/>
    <w:rsid w:val="00EB48B3"/>
    <w:rsid w:val="00EB48B8"/>
    <w:rsid w:val="00EB4903"/>
    <w:rsid w:val="00EB4915"/>
    <w:rsid w:val="00EB497D"/>
    <w:rsid w:val="00EB4A40"/>
    <w:rsid w:val="00EB4A44"/>
    <w:rsid w:val="00EB4A57"/>
    <w:rsid w:val="00EB4ABC"/>
    <w:rsid w:val="00EB4AE2"/>
    <w:rsid w:val="00EB4BBA"/>
    <w:rsid w:val="00EB4D22"/>
    <w:rsid w:val="00EB4DBE"/>
    <w:rsid w:val="00EB4DCD"/>
    <w:rsid w:val="00EB4E64"/>
    <w:rsid w:val="00EB4EDA"/>
    <w:rsid w:val="00EB4EF6"/>
    <w:rsid w:val="00EB4FBC"/>
    <w:rsid w:val="00EB4FF9"/>
    <w:rsid w:val="00EB5052"/>
    <w:rsid w:val="00EB50DE"/>
    <w:rsid w:val="00EB514A"/>
    <w:rsid w:val="00EB514E"/>
    <w:rsid w:val="00EB517B"/>
    <w:rsid w:val="00EB51B0"/>
    <w:rsid w:val="00EB5236"/>
    <w:rsid w:val="00EB5265"/>
    <w:rsid w:val="00EB5277"/>
    <w:rsid w:val="00EB536B"/>
    <w:rsid w:val="00EB539E"/>
    <w:rsid w:val="00EB53A5"/>
    <w:rsid w:val="00EB53AB"/>
    <w:rsid w:val="00EB53B7"/>
    <w:rsid w:val="00EB53B8"/>
    <w:rsid w:val="00EB53CC"/>
    <w:rsid w:val="00EB5446"/>
    <w:rsid w:val="00EB54C7"/>
    <w:rsid w:val="00EB5547"/>
    <w:rsid w:val="00EB5558"/>
    <w:rsid w:val="00EB5577"/>
    <w:rsid w:val="00EB55AE"/>
    <w:rsid w:val="00EB55DE"/>
    <w:rsid w:val="00EB5609"/>
    <w:rsid w:val="00EB56C5"/>
    <w:rsid w:val="00EB5732"/>
    <w:rsid w:val="00EB57C5"/>
    <w:rsid w:val="00EB57ED"/>
    <w:rsid w:val="00EB5800"/>
    <w:rsid w:val="00EB5813"/>
    <w:rsid w:val="00EB5826"/>
    <w:rsid w:val="00EB5846"/>
    <w:rsid w:val="00EB587A"/>
    <w:rsid w:val="00EB5914"/>
    <w:rsid w:val="00EB5915"/>
    <w:rsid w:val="00EB592A"/>
    <w:rsid w:val="00EB59C5"/>
    <w:rsid w:val="00EB59D6"/>
    <w:rsid w:val="00EB5A84"/>
    <w:rsid w:val="00EB5B39"/>
    <w:rsid w:val="00EB5B5E"/>
    <w:rsid w:val="00EB5B84"/>
    <w:rsid w:val="00EB5BAE"/>
    <w:rsid w:val="00EB5BC0"/>
    <w:rsid w:val="00EB5BDD"/>
    <w:rsid w:val="00EB5BEB"/>
    <w:rsid w:val="00EB5C03"/>
    <w:rsid w:val="00EB5C10"/>
    <w:rsid w:val="00EB5D6D"/>
    <w:rsid w:val="00EB5D77"/>
    <w:rsid w:val="00EB5F16"/>
    <w:rsid w:val="00EB5F6F"/>
    <w:rsid w:val="00EB5FA3"/>
    <w:rsid w:val="00EB5FCF"/>
    <w:rsid w:val="00EB6093"/>
    <w:rsid w:val="00EB61BF"/>
    <w:rsid w:val="00EB6227"/>
    <w:rsid w:val="00EB62A2"/>
    <w:rsid w:val="00EB62B0"/>
    <w:rsid w:val="00EB62BD"/>
    <w:rsid w:val="00EB6300"/>
    <w:rsid w:val="00EB6328"/>
    <w:rsid w:val="00EB6391"/>
    <w:rsid w:val="00EB63EC"/>
    <w:rsid w:val="00EB6471"/>
    <w:rsid w:val="00EB648D"/>
    <w:rsid w:val="00EB6506"/>
    <w:rsid w:val="00EB654F"/>
    <w:rsid w:val="00EB65C5"/>
    <w:rsid w:val="00EB6646"/>
    <w:rsid w:val="00EB66C2"/>
    <w:rsid w:val="00EB67C5"/>
    <w:rsid w:val="00EB67DA"/>
    <w:rsid w:val="00EB67E7"/>
    <w:rsid w:val="00EB68AE"/>
    <w:rsid w:val="00EB68B6"/>
    <w:rsid w:val="00EB691D"/>
    <w:rsid w:val="00EB6942"/>
    <w:rsid w:val="00EB6946"/>
    <w:rsid w:val="00EB694C"/>
    <w:rsid w:val="00EB696F"/>
    <w:rsid w:val="00EB6A15"/>
    <w:rsid w:val="00EB6AC8"/>
    <w:rsid w:val="00EB6AD8"/>
    <w:rsid w:val="00EB6B39"/>
    <w:rsid w:val="00EB6B7E"/>
    <w:rsid w:val="00EB6BF7"/>
    <w:rsid w:val="00EB6C10"/>
    <w:rsid w:val="00EB6C12"/>
    <w:rsid w:val="00EB6C36"/>
    <w:rsid w:val="00EB6C74"/>
    <w:rsid w:val="00EB6CAC"/>
    <w:rsid w:val="00EB6D2E"/>
    <w:rsid w:val="00EB6D5D"/>
    <w:rsid w:val="00EB6DBC"/>
    <w:rsid w:val="00EB6DE0"/>
    <w:rsid w:val="00EB6DF7"/>
    <w:rsid w:val="00EB6E0A"/>
    <w:rsid w:val="00EB6E66"/>
    <w:rsid w:val="00EB6E97"/>
    <w:rsid w:val="00EB6EE0"/>
    <w:rsid w:val="00EB6F7C"/>
    <w:rsid w:val="00EB6F98"/>
    <w:rsid w:val="00EB6FAF"/>
    <w:rsid w:val="00EB6FB4"/>
    <w:rsid w:val="00EB7046"/>
    <w:rsid w:val="00EB7082"/>
    <w:rsid w:val="00EB7115"/>
    <w:rsid w:val="00EB7165"/>
    <w:rsid w:val="00EB71B1"/>
    <w:rsid w:val="00EB7296"/>
    <w:rsid w:val="00EB72F7"/>
    <w:rsid w:val="00EB73C3"/>
    <w:rsid w:val="00EB73D7"/>
    <w:rsid w:val="00EB745A"/>
    <w:rsid w:val="00EB74C0"/>
    <w:rsid w:val="00EB7508"/>
    <w:rsid w:val="00EB750E"/>
    <w:rsid w:val="00EB756A"/>
    <w:rsid w:val="00EB7592"/>
    <w:rsid w:val="00EB7650"/>
    <w:rsid w:val="00EB768E"/>
    <w:rsid w:val="00EB7730"/>
    <w:rsid w:val="00EB775C"/>
    <w:rsid w:val="00EB776F"/>
    <w:rsid w:val="00EB7792"/>
    <w:rsid w:val="00EB77F6"/>
    <w:rsid w:val="00EB7822"/>
    <w:rsid w:val="00EB7832"/>
    <w:rsid w:val="00EB787B"/>
    <w:rsid w:val="00EB792D"/>
    <w:rsid w:val="00EB7967"/>
    <w:rsid w:val="00EB7A57"/>
    <w:rsid w:val="00EB7A5C"/>
    <w:rsid w:val="00EB7AA7"/>
    <w:rsid w:val="00EB7B8E"/>
    <w:rsid w:val="00EB7B92"/>
    <w:rsid w:val="00EB7B97"/>
    <w:rsid w:val="00EB7BB2"/>
    <w:rsid w:val="00EB7BC9"/>
    <w:rsid w:val="00EB7BD2"/>
    <w:rsid w:val="00EB7C02"/>
    <w:rsid w:val="00EB7C0B"/>
    <w:rsid w:val="00EB7C54"/>
    <w:rsid w:val="00EB7C8C"/>
    <w:rsid w:val="00EB7CF6"/>
    <w:rsid w:val="00EB7D6D"/>
    <w:rsid w:val="00EB7E03"/>
    <w:rsid w:val="00EB7E1C"/>
    <w:rsid w:val="00EB7E62"/>
    <w:rsid w:val="00EB7E82"/>
    <w:rsid w:val="00EB7E8F"/>
    <w:rsid w:val="00EB7EC3"/>
    <w:rsid w:val="00EB7EEF"/>
    <w:rsid w:val="00EB7F3D"/>
    <w:rsid w:val="00EB7F3F"/>
    <w:rsid w:val="00EB7F5D"/>
    <w:rsid w:val="00EBA42F"/>
    <w:rsid w:val="00EBD700"/>
    <w:rsid w:val="00EC0047"/>
    <w:rsid w:val="00EC006E"/>
    <w:rsid w:val="00EC00AE"/>
    <w:rsid w:val="00EC00CF"/>
    <w:rsid w:val="00EC00EB"/>
    <w:rsid w:val="00EC0124"/>
    <w:rsid w:val="00EC0130"/>
    <w:rsid w:val="00EC01DD"/>
    <w:rsid w:val="00EC027C"/>
    <w:rsid w:val="00EC02B2"/>
    <w:rsid w:val="00EC02E0"/>
    <w:rsid w:val="00EC0322"/>
    <w:rsid w:val="00EC0342"/>
    <w:rsid w:val="00EC0349"/>
    <w:rsid w:val="00EC0370"/>
    <w:rsid w:val="00EC03A6"/>
    <w:rsid w:val="00EC0408"/>
    <w:rsid w:val="00EC040A"/>
    <w:rsid w:val="00EC0420"/>
    <w:rsid w:val="00EC042C"/>
    <w:rsid w:val="00EC046C"/>
    <w:rsid w:val="00EC047E"/>
    <w:rsid w:val="00EC04D3"/>
    <w:rsid w:val="00EC050A"/>
    <w:rsid w:val="00EC0517"/>
    <w:rsid w:val="00EC05A8"/>
    <w:rsid w:val="00EC05F3"/>
    <w:rsid w:val="00EC0620"/>
    <w:rsid w:val="00EC0626"/>
    <w:rsid w:val="00EC06AF"/>
    <w:rsid w:val="00EC06F4"/>
    <w:rsid w:val="00EC0710"/>
    <w:rsid w:val="00EC0754"/>
    <w:rsid w:val="00EC0765"/>
    <w:rsid w:val="00EC0818"/>
    <w:rsid w:val="00EC0828"/>
    <w:rsid w:val="00EC082E"/>
    <w:rsid w:val="00EC0898"/>
    <w:rsid w:val="00EC08C4"/>
    <w:rsid w:val="00EC08E7"/>
    <w:rsid w:val="00EC08FC"/>
    <w:rsid w:val="00EC093E"/>
    <w:rsid w:val="00EC0942"/>
    <w:rsid w:val="00EC0968"/>
    <w:rsid w:val="00EC0A32"/>
    <w:rsid w:val="00EC0B7B"/>
    <w:rsid w:val="00EC0B7E"/>
    <w:rsid w:val="00EC0C1A"/>
    <w:rsid w:val="00EC0C3F"/>
    <w:rsid w:val="00EC0C67"/>
    <w:rsid w:val="00EC0D31"/>
    <w:rsid w:val="00EC0D7A"/>
    <w:rsid w:val="00EC0D92"/>
    <w:rsid w:val="00EC0E01"/>
    <w:rsid w:val="00EC0E8A"/>
    <w:rsid w:val="00EC0EE3"/>
    <w:rsid w:val="00EC0F14"/>
    <w:rsid w:val="00EC0F5C"/>
    <w:rsid w:val="00EC0FDA"/>
    <w:rsid w:val="00EC1064"/>
    <w:rsid w:val="00EC1096"/>
    <w:rsid w:val="00EC10FE"/>
    <w:rsid w:val="00EC1172"/>
    <w:rsid w:val="00EC11AB"/>
    <w:rsid w:val="00EC1220"/>
    <w:rsid w:val="00EC128A"/>
    <w:rsid w:val="00EC1295"/>
    <w:rsid w:val="00EC1322"/>
    <w:rsid w:val="00EC133A"/>
    <w:rsid w:val="00EC1348"/>
    <w:rsid w:val="00EC1355"/>
    <w:rsid w:val="00EC13CE"/>
    <w:rsid w:val="00EC1492"/>
    <w:rsid w:val="00EC14E0"/>
    <w:rsid w:val="00EC14E4"/>
    <w:rsid w:val="00EC150A"/>
    <w:rsid w:val="00EC1541"/>
    <w:rsid w:val="00EC1564"/>
    <w:rsid w:val="00EC15B2"/>
    <w:rsid w:val="00EC15F7"/>
    <w:rsid w:val="00EC1680"/>
    <w:rsid w:val="00EC16B0"/>
    <w:rsid w:val="00EC16C9"/>
    <w:rsid w:val="00EC16DC"/>
    <w:rsid w:val="00EC1715"/>
    <w:rsid w:val="00EC173C"/>
    <w:rsid w:val="00EC1791"/>
    <w:rsid w:val="00EC186B"/>
    <w:rsid w:val="00EC1888"/>
    <w:rsid w:val="00EC1914"/>
    <w:rsid w:val="00EC1917"/>
    <w:rsid w:val="00EC197E"/>
    <w:rsid w:val="00EC1988"/>
    <w:rsid w:val="00EC1A09"/>
    <w:rsid w:val="00EC1A60"/>
    <w:rsid w:val="00EC1A65"/>
    <w:rsid w:val="00EC1A79"/>
    <w:rsid w:val="00EC1A7A"/>
    <w:rsid w:val="00EC1A85"/>
    <w:rsid w:val="00EC1AEF"/>
    <w:rsid w:val="00EC1B3D"/>
    <w:rsid w:val="00EC1C52"/>
    <w:rsid w:val="00EC1D01"/>
    <w:rsid w:val="00EC1D82"/>
    <w:rsid w:val="00EC1D9F"/>
    <w:rsid w:val="00EC1DC9"/>
    <w:rsid w:val="00EC1DF8"/>
    <w:rsid w:val="00EC1DFE"/>
    <w:rsid w:val="00EC1E29"/>
    <w:rsid w:val="00EC1E95"/>
    <w:rsid w:val="00EC1EA0"/>
    <w:rsid w:val="00EC1F64"/>
    <w:rsid w:val="00EC205D"/>
    <w:rsid w:val="00EC207C"/>
    <w:rsid w:val="00EC20A6"/>
    <w:rsid w:val="00EC20F7"/>
    <w:rsid w:val="00EC213B"/>
    <w:rsid w:val="00EC21B6"/>
    <w:rsid w:val="00EC225E"/>
    <w:rsid w:val="00EC228F"/>
    <w:rsid w:val="00EC2296"/>
    <w:rsid w:val="00EC229C"/>
    <w:rsid w:val="00EC22B1"/>
    <w:rsid w:val="00EC22C4"/>
    <w:rsid w:val="00EC2327"/>
    <w:rsid w:val="00EC239E"/>
    <w:rsid w:val="00EC23BE"/>
    <w:rsid w:val="00EC241C"/>
    <w:rsid w:val="00EC2466"/>
    <w:rsid w:val="00EC248D"/>
    <w:rsid w:val="00EC24FA"/>
    <w:rsid w:val="00EC2524"/>
    <w:rsid w:val="00EC256F"/>
    <w:rsid w:val="00EC25AF"/>
    <w:rsid w:val="00EC25CD"/>
    <w:rsid w:val="00EC268D"/>
    <w:rsid w:val="00EC26E8"/>
    <w:rsid w:val="00EC27E0"/>
    <w:rsid w:val="00EC27FB"/>
    <w:rsid w:val="00EC2862"/>
    <w:rsid w:val="00EC28E1"/>
    <w:rsid w:val="00EC293C"/>
    <w:rsid w:val="00EC299B"/>
    <w:rsid w:val="00EC29A6"/>
    <w:rsid w:val="00EC2A1E"/>
    <w:rsid w:val="00EC2A90"/>
    <w:rsid w:val="00EC2AA3"/>
    <w:rsid w:val="00EC2AD2"/>
    <w:rsid w:val="00EC2B27"/>
    <w:rsid w:val="00EC2B2D"/>
    <w:rsid w:val="00EC2B3F"/>
    <w:rsid w:val="00EC2C57"/>
    <w:rsid w:val="00EC2C67"/>
    <w:rsid w:val="00EC2C68"/>
    <w:rsid w:val="00EC2CB1"/>
    <w:rsid w:val="00EC2CED"/>
    <w:rsid w:val="00EC2D56"/>
    <w:rsid w:val="00EC2DE8"/>
    <w:rsid w:val="00EC2EA0"/>
    <w:rsid w:val="00EC2ED6"/>
    <w:rsid w:val="00EC2F11"/>
    <w:rsid w:val="00EC2F1F"/>
    <w:rsid w:val="00EC2F8B"/>
    <w:rsid w:val="00EC2FA1"/>
    <w:rsid w:val="00EC2FD9"/>
    <w:rsid w:val="00EC2FFF"/>
    <w:rsid w:val="00EC300F"/>
    <w:rsid w:val="00EC3039"/>
    <w:rsid w:val="00EC31A9"/>
    <w:rsid w:val="00EC31DF"/>
    <w:rsid w:val="00EC32C5"/>
    <w:rsid w:val="00EC32DC"/>
    <w:rsid w:val="00EC32F8"/>
    <w:rsid w:val="00EC332D"/>
    <w:rsid w:val="00EC3341"/>
    <w:rsid w:val="00EC3349"/>
    <w:rsid w:val="00EC33AA"/>
    <w:rsid w:val="00EC33FF"/>
    <w:rsid w:val="00EC343E"/>
    <w:rsid w:val="00EC3477"/>
    <w:rsid w:val="00EC3490"/>
    <w:rsid w:val="00EC349F"/>
    <w:rsid w:val="00EC34DF"/>
    <w:rsid w:val="00EC350C"/>
    <w:rsid w:val="00EC35BC"/>
    <w:rsid w:val="00EC365A"/>
    <w:rsid w:val="00EC36CE"/>
    <w:rsid w:val="00EC36D6"/>
    <w:rsid w:val="00EC36D7"/>
    <w:rsid w:val="00EC36D8"/>
    <w:rsid w:val="00EC36E6"/>
    <w:rsid w:val="00EC3758"/>
    <w:rsid w:val="00EC3865"/>
    <w:rsid w:val="00EC38A5"/>
    <w:rsid w:val="00EC38B6"/>
    <w:rsid w:val="00EC3901"/>
    <w:rsid w:val="00EC3906"/>
    <w:rsid w:val="00EC395F"/>
    <w:rsid w:val="00EC39CE"/>
    <w:rsid w:val="00EC3A42"/>
    <w:rsid w:val="00EC3A4D"/>
    <w:rsid w:val="00EC3A80"/>
    <w:rsid w:val="00EC3A8C"/>
    <w:rsid w:val="00EC3B1D"/>
    <w:rsid w:val="00EC3B2C"/>
    <w:rsid w:val="00EC3B6D"/>
    <w:rsid w:val="00EC3BAA"/>
    <w:rsid w:val="00EC3BBD"/>
    <w:rsid w:val="00EC3BCD"/>
    <w:rsid w:val="00EC3C78"/>
    <w:rsid w:val="00EC3CEF"/>
    <w:rsid w:val="00EC3D04"/>
    <w:rsid w:val="00EC3D2F"/>
    <w:rsid w:val="00EC3DED"/>
    <w:rsid w:val="00EC3DF4"/>
    <w:rsid w:val="00EC3E03"/>
    <w:rsid w:val="00EC3F16"/>
    <w:rsid w:val="00EC3F57"/>
    <w:rsid w:val="00EC3FE0"/>
    <w:rsid w:val="00EC402E"/>
    <w:rsid w:val="00EC40BA"/>
    <w:rsid w:val="00EC414E"/>
    <w:rsid w:val="00EC41A5"/>
    <w:rsid w:val="00EC41EE"/>
    <w:rsid w:val="00EC41FA"/>
    <w:rsid w:val="00EC420E"/>
    <w:rsid w:val="00EC428B"/>
    <w:rsid w:val="00EC42C4"/>
    <w:rsid w:val="00EC42EB"/>
    <w:rsid w:val="00EC42FD"/>
    <w:rsid w:val="00EC4352"/>
    <w:rsid w:val="00EC437B"/>
    <w:rsid w:val="00EC43B8"/>
    <w:rsid w:val="00EC44DA"/>
    <w:rsid w:val="00EC4503"/>
    <w:rsid w:val="00EC45AC"/>
    <w:rsid w:val="00EC45C1"/>
    <w:rsid w:val="00EC45C9"/>
    <w:rsid w:val="00EC4626"/>
    <w:rsid w:val="00EC4641"/>
    <w:rsid w:val="00EC46EA"/>
    <w:rsid w:val="00EC46EE"/>
    <w:rsid w:val="00EC46F1"/>
    <w:rsid w:val="00EC4762"/>
    <w:rsid w:val="00EC477B"/>
    <w:rsid w:val="00EC478C"/>
    <w:rsid w:val="00EC4799"/>
    <w:rsid w:val="00EC47D5"/>
    <w:rsid w:val="00EC4804"/>
    <w:rsid w:val="00EC481A"/>
    <w:rsid w:val="00EC4852"/>
    <w:rsid w:val="00EC4856"/>
    <w:rsid w:val="00EC48C5"/>
    <w:rsid w:val="00EC48CD"/>
    <w:rsid w:val="00EC48E9"/>
    <w:rsid w:val="00EC49A0"/>
    <w:rsid w:val="00EC49AC"/>
    <w:rsid w:val="00EC49D4"/>
    <w:rsid w:val="00EC4A3B"/>
    <w:rsid w:val="00EC4A70"/>
    <w:rsid w:val="00EC4B75"/>
    <w:rsid w:val="00EC4B9F"/>
    <w:rsid w:val="00EC4C06"/>
    <w:rsid w:val="00EC4C44"/>
    <w:rsid w:val="00EC4C8B"/>
    <w:rsid w:val="00EC4CA8"/>
    <w:rsid w:val="00EC4CBC"/>
    <w:rsid w:val="00EC4CC2"/>
    <w:rsid w:val="00EC4CF8"/>
    <w:rsid w:val="00EC4D4D"/>
    <w:rsid w:val="00EC4D7F"/>
    <w:rsid w:val="00EC4D80"/>
    <w:rsid w:val="00EC4DB7"/>
    <w:rsid w:val="00EC4DD9"/>
    <w:rsid w:val="00EC4E3B"/>
    <w:rsid w:val="00EC4ECB"/>
    <w:rsid w:val="00EC4F35"/>
    <w:rsid w:val="00EC4F60"/>
    <w:rsid w:val="00EC4FCA"/>
    <w:rsid w:val="00EC5034"/>
    <w:rsid w:val="00EC5042"/>
    <w:rsid w:val="00EC5043"/>
    <w:rsid w:val="00EC508D"/>
    <w:rsid w:val="00EC511E"/>
    <w:rsid w:val="00EC5144"/>
    <w:rsid w:val="00EC5180"/>
    <w:rsid w:val="00EC51FF"/>
    <w:rsid w:val="00EC522D"/>
    <w:rsid w:val="00EC5247"/>
    <w:rsid w:val="00EC527B"/>
    <w:rsid w:val="00EC5323"/>
    <w:rsid w:val="00EC536B"/>
    <w:rsid w:val="00EC537F"/>
    <w:rsid w:val="00EC53DF"/>
    <w:rsid w:val="00EC5472"/>
    <w:rsid w:val="00EC5510"/>
    <w:rsid w:val="00EC55BB"/>
    <w:rsid w:val="00EC55D9"/>
    <w:rsid w:val="00EC55F2"/>
    <w:rsid w:val="00EC560B"/>
    <w:rsid w:val="00EC5657"/>
    <w:rsid w:val="00EC565D"/>
    <w:rsid w:val="00EC566A"/>
    <w:rsid w:val="00EC56DD"/>
    <w:rsid w:val="00EC573A"/>
    <w:rsid w:val="00EC5774"/>
    <w:rsid w:val="00EC583F"/>
    <w:rsid w:val="00EC5910"/>
    <w:rsid w:val="00EC5947"/>
    <w:rsid w:val="00EC597C"/>
    <w:rsid w:val="00EC5981"/>
    <w:rsid w:val="00EC59CE"/>
    <w:rsid w:val="00EC5A4F"/>
    <w:rsid w:val="00EC5A5F"/>
    <w:rsid w:val="00EC5A6C"/>
    <w:rsid w:val="00EC5B18"/>
    <w:rsid w:val="00EC5B5E"/>
    <w:rsid w:val="00EC5B68"/>
    <w:rsid w:val="00EC5B6D"/>
    <w:rsid w:val="00EC5BC1"/>
    <w:rsid w:val="00EC5BDE"/>
    <w:rsid w:val="00EC5C50"/>
    <w:rsid w:val="00EC5C7F"/>
    <w:rsid w:val="00EC5C96"/>
    <w:rsid w:val="00EC5C97"/>
    <w:rsid w:val="00EC5CB1"/>
    <w:rsid w:val="00EC5CC2"/>
    <w:rsid w:val="00EC5CE9"/>
    <w:rsid w:val="00EC5CF4"/>
    <w:rsid w:val="00EC5D21"/>
    <w:rsid w:val="00EC5DCE"/>
    <w:rsid w:val="00EC5EA8"/>
    <w:rsid w:val="00EC5EC8"/>
    <w:rsid w:val="00EC5EE1"/>
    <w:rsid w:val="00EC5F1B"/>
    <w:rsid w:val="00EC5F3F"/>
    <w:rsid w:val="00EC5FD9"/>
    <w:rsid w:val="00EC6027"/>
    <w:rsid w:val="00EC6074"/>
    <w:rsid w:val="00EC608B"/>
    <w:rsid w:val="00EC60E3"/>
    <w:rsid w:val="00EC6107"/>
    <w:rsid w:val="00EC6113"/>
    <w:rsid w:val="00EC6182"/>
    <w:rsid w:val="00EC61E9"/>
    <w:rsid w:val="00EC6213"/>
    <w:rsid w:val="00EC6253"/>
    <w:rsid w:val="00EC6294"/>
    <w:rsid w:val="00EC6296"/>
    <w:rsid w:val="00EC62F1"/>
    <w:rsid w:val="00EC6322"/>
    <w:rsid w:val="00EC63D9"/>
    <w:rsid w:val="00EC63E1"/>
    <w:rsid w:val="00EC63E5"/>
    <w:rsid w:val="00EC6411"/>
    <w:rsid w:val="00EC6417"/>
    <w:rsid w:val="00EC649F"/>
    <w:rsid w:val="00EC64D3"/>
    <w:rsid w:val="00EC6569"/>
    <w:rsid w:val="00EC6595"/>
    <w:rsid w:val="00EC6644"/>
    <w:rsid w:val="00EC6687"/>
    <w:rsid w:val="00EC668C"/>
    <w:rsid w:val="00EC66AF"/>
    <w:rsid w:val="00EC66D5"/>
    <w:rsid w:val="00EC673E"/>
    <w:rsid w:val="00EC6779"/>
    <w:rsid w:val="00EC6799"/>
    <w:rsid w:val="00EC67A8"/>
    <w:rsid w:val="00EC6840"/>
    <w:rsid w:val="00EC684F"/>
    <w:rsid w:val="00EC6885"/>
    <w:rsid w:val="00EC68A9"/>
    <w:rsid w:val="00EC68C9"/>
    <w:rsid w:val="00EC68E3"/>
    <w:rsid w:val="00EC69A1"/>
    <w:rsid w:val="00EC69B3"/>
    <w:rsid w:val="00EC6A7F"/>
    <w:rsid w:val="00EC6A89"/>
    <w:rsid w:val="00EC6AFD"/>
    <w:rsid w:val="00EC6B22"/>
    <w:rsid w:val="00EC6B37"/>
    <w:rsid w:val="00EC6B58"/>
    <w:rsid w:val="00EC6B61"/>
    <w:rsid w:val="00EC6B83"/>
    <w:rsid w:val="00EC6C0F"/>
    <w:rsid w:val="00EC6C2D"/>
    <w:rsid w:val="00EC6C5B"/>
    <w:rsid w:val="00EC6CA3"/>
    <w:rsid w:val="00EC6CBA"/>
    <w:rsid w:val="00EC6CCF"/>
    <w:rsid w:val="00EC6D30"/>
    <w:rsid w:val="00EC6D3D"/>
    <w:rsid w:val="00EC6D60"/>
    <w:rsid w:val="00EC6D65"/>
    <w:rsid w:val="00EC6DAF"/>
    <w:rsid w:val="00EC6DF5"/>
    <w:rsid w:val="00EC6E7E"/>
    <w:rsid w:val="00EC6EA4"/>
    <w:rsid w:val="00EC6ED1"/>
    <w:rsid w:val="00EC6EEE"/>
    <w:rsid w:val="00EC6EFA"/>
    <w:rsid w:val="00EC6F07"/>
    <w:rsid w:val="00EC6F3F"/>
    <w:rsid w:val="00EC6F71"/>
    <w:rsid w:val="00EC6FE9"/>
    <w:rsid w:val="00EC700E"/>
    <w:rsid w:val="00EC708A"/>
    <w:rsid w:val="00EC70AA"/>
    <w:rsid w:val="00EC70D6"/>
    <w:rsid w:val="00EC712E"/>
    <w:rsid w:val="00EC71E8"/>
    <w:rsid w:val="00EC7215"/>
    <w:rsid w:val="00EC723F"/>
    <w:rsid w:val="00EC724A"/>
    <w:rsid w:val="00EC7297"/>
    <w:rsid w:val="00EC732D"/>
    <w:rsid w:val="00EC7350"/>
    <w:rsid w:val="00EC7384"/>
    <w:rsid w:val="00EC73DA"/>
    <w:rsid w:val="00EC7419"/>
    <w:rsid w:val="00EC7446"/>
    <w:rsid w:val="00EC744C"/>
    <w:rsid w:val="00EC7456"/>
    <w:rsid w:val="00EC7472"/>
    <w:rsid w:val="00EC7481"/>
    <w:rsid w:val="00EC7499"/>
    <w:rsid w:val="00EC74D4"/>
    <w:rsid w:val="00EC74D6"/>
    <w:rsid w:val="00EC7526"/>
    <w:rsid w:val="00EC75A7"/>
    <w:rsid w:val="00EC75BB"/>
    <w:rsid w:val="00EC75F6"/>
    <w:rsid w:val="00EC765C"/>
    <w:rsid w:val="00EC7663"/>
    <w:rsid w:val="00EC76CC"/>
    <w:rsid w:val="00EC76D6"/>
    <w:rsid w:val="00EC773A"/>
    <w:rsid w:val="00EC775C"/>
    <w:rsid w:val="00EC7771"/>
    <w:rsid w:val="00EC77B5"/>
    <w:rsid w:val="00EC77DC"/>
    <w:rsid w:val="00EC7811"/>
    <w:rsid w:val="00EC7830"/>
    <w:rsid w:val="00EC783C"/>
    <w:rsid w:val="00EC7852"/>
    <w:rsid w:val="00EC786E"/>
    <w:rsid w:val="00EC78D7"/>
    <w:rsid w:val="00EC79F6"/>
    <w:rsid w:val="00EC7A5F"/>
    <w:rsid w:val="00EC7A65"/>
    <w:rsid w:val="00EC7A67"/>
    <w:rsid w:val="00EC7AB1"/>
    <w:rsid w:val="00EC7AD1"/>
    <w:rsid w:val="00EC7B3C"/>
    <w:rsid w:val="00EC7BB7"/>
    <w:rsid w:val="00EC7BC8"/>
    <w:rsid w:val="00EC7BD9"/>
    <w:rsid w:val="00EC7C02"/>
    <w:rsid w:val="00EC7C7E"/>
    <w:rsid w:val="00EC7CCA"/>
    <w:rsid w:val="00EC7CF2"/>
    <w:rsid w:val="00EC7D57"/>
    <w:rsid w:val="00EC7D78"/>
    <w:rsid w:val="00EC7D92"/>
    <w:rsid w:val="00EC7DF3"/>
    <w:rsid w:val="00EC7E12"/>
    <w:rsid w:val="00EC7F2F"/>
    <w:rsid w:val="00EC7F55"/>
    <w:rsid w:val="00EC7FED"/>
    <w:rsid w:val="00EC7FFD"/>
    <w:rsid w:val="00ED006A"/>
    <w:rsid w:val="00ED0089"/>
    <w:rsid w:val="00ED00DC"/>
    <w:rsid w:val="00ED00F4"/>
    <w:rsid w:val="00ED012E"/>
    <w:rsid w:val="00ED018B"/>
    <w:rsid w:val="00ED01A2"/>
    <w:rsid w:val="00ED01A9"/>
    <w:rsid w:val="00ED01C0"/>
    <w:rsid w:val="00ED01EF"/>
    <w:rsid w:val="00ED01F7"/>
    <w:rsid w:val="00ED01FD"/>
    <w:rsid w:val="00ED0219"/>
    <w:rsid w:val="00ED0248"/>
    <w:rsid w:val="00ED02AD"/>
    <w:rsid w:val="00ED03C1"/>
    <w:rsid w:val="00ED0412"/>
    <w:rsid w:val="00ED0471"/>
    <w:rsid w:val="00ED050D"/>
    <w:rsid w:val="00ED0518"/>
    <w:rsid w:val="00ED0550"/>
    <w:rsid w:val="00ED0568"/>
    <w:rsid w:val="00ED057A"/>
    <w:rsid w:val="00ED05E9"/>
    <w:rsid w:val="00ED0603"/>
    <w:rsid w:val="00ED066B"/>
    <w:rsid w:val="00ED06C2"/>
    <w:rsid w:val="00ED06EA"/>
    <w:rsid w:val="00ED0755"/>
    <w:rsid w:val="00ED07DA"/>
    <w:rsid w:val="00ED082F"/>
    <w:rsid w:val="00ED083E"/>
    <w:rsid w:val="00ED0869"/>
    <w:rsid w:val="00ED0874"/>
    <w:rsid w:val="00ED089C"/>
    <w:rsid w:val="00ED08D4"/>
    <w:rsid w:val="00ED09B7"/>
    <w:rsid w:val="00ED09E0"/>
    <w:rsid w:val="00ED09ED"/>
    <w:rsid w:val="00ED0B29"/>
    <w:rsid w:val="00ED0B2F"/>
    <w:rsid w:val="00ED0BF6"/>
    <w:rsid w:val="00ED0C44"/>
    <w:rsid w:val="00ED0C45"/>
    <w:rsid w:val="00ED0D2B"/>
    <w:rsid w:val="00ED0D49"/>
    <w:rsid w:val="00ED0D5B"/>
    <w:rsid w:val="00ED0D69"/>
    <w:rsid w:val="00ED0D85"/>
    <w:rsid w:val="00ED0D8F"/>
    <w:rsid w:val="00ED0D98"/>
    <w:rsid w:val="00ED0DB7"/>
    <w:rsid w:val="00ED0DE0"/>
    <w:rsid w:val="00ED0E66"/>
    <w:rsid w:val="00ED0EA5"/>
    <w:rsid w:val="00ED0EB6"/>
    <w:rsid w:val="00ED0FA8"/>
    <w:rsid w:val="00ED0FB5"/>
    <w:rsid w:val="00ED0FBE"/>
    <w:rsid w:val="00ED10CE"/>
    <w:rsid w:val="00ED10D3"/>
    <w:rsid w:val="00ED10EF"/>
    <w:rsid w:val="00ED10F0"/>
    <w:rsid w:val="00ED1142"/>
    <w:rsid w:val="00ED11E7"/>
    <w:rsid w:val="00ED1229"/>
    <w:rsid w:val="00ED1254"/>
    <w:rsid w:val="00ED1256"/>
    <w:rsid w:val="00ED1289"/>
    <w:rsid w:val="00ED129F"/>
    <w:rsid w:val="00ED12BC"/>
    <w:rsid w:val="00ED1343"/>
    <w:rsid w:val="00ED135F"/>
    <w:rsid w:val="00ED1396"/>
    <w:rsid w:val="00ED13C9"/>
    <w:rsid w:val="00ED14E3"/>
    <w:rsid w:val="00ED1565"/>
    <w:rsid w:val="00ED156E"/>
    <w:rsid w:val="00ED159E"/>
    <w:rsid w:val="00ED1699"/>
    <w:rsid w:val="00ED170B"/>
    <w:rsid w:val="00ED1721"/>
    <w:rsid w:val="00ED1786"/>
    <w:rsid w:val="00ED17BB"/>
    <w:rsid w:val="00ED17CD"/>
    <w:rsid w:val="00ED1844"/>
    <w:rsid w:val="00ED1877"/>
    <w:rsid w:val="00ED18B8"/>
    <w:rsid w:val="00ED18C6"/>
    <w:rsid w:val="00ED18F5"/>
    <w:rsid w:val="00ED19C0"/>
    <w:rsid w:val="00ED19C5"/>
    <w:rsid w:val="00ED19D0"/>
    <w:rsid w:val="00ED19D9"/>
    <w:rsid w:val="00ED19FD"/>
    <w:rsid w:val="00ED1A47"/>
    <w:rsid w:val="00ED1AE8"/>
    <w:rsid w:val="00ED1B01"/>
    <w:rsid w:val="00ED1B27"/>
    <w:rsid w:val="00ED1B40"/>
    <w:rsid w:val="00ED1B47"/>
    <w:rsid w:val="00ED1BC8"/>
    <w:rsid w:val="00ED1C58"/>
    <w:rsid w:val="00ED1C95"/>
    <w:rsid w:val="00ED1CC0"/>
    <w:rsid w:val="00ED1CCC"/>
    <w:rsid w:val="00ED1D08"/>
    <w:rsid w:val="00ED1DD2"/>
    <w:rsid w:val="00ED1E93"/>
    <w:rsid w:val="00ED1F13"/>
    <w:rsid w:val="00ED1F82"/>
    <w:rsid w:val="00ED1FDC"/>
    <w:rsid w:val="00ED1FEF"/>
    <w:rsid w:val="00ED2046"/>
    <w:rsid w:val="00ED2048"/>
    <w:rsid w:val="00ED2085"/>
    <w:rsid w:val="00ED20E2"/>
    <w:rsid w:val="00ED212C"/>
    <w:rsid w:val="00ED2194"/>
    <w:rsid w:val="00ED219F"/>
    <w:rsid w:val="00ED21C1"/>
    <w:rsid w:val="00ED21C9"/>
    <w:rsid w:val="00ED2295"/>
    <w:rsid w:val="00ED22D1"/>
    <w:rsid w:val="00ED22E1"/>
    <w:rsid w:val="00ED2304"/>
    <w:rsid w:val="00ED239D"/>
    <w:rsid w:val="00ED2442"/>
    <w:rsid w:val="00ED24E2"/>
    <w:rsid w:val="00ED255F"/>
    <w:rsid w:val="00ED2579"/>
    <w:rsid w:val="00ED2598"/>
    <w:rsid w:val="00ED259E"/>
    <w:rsid w:val="00ED25C6"/>
    <w:rsid w:val="00ED25CC"/>
    <w:rsid w:val="00ED265F"/>
    <w:rsid w:val="00ED2671"/>
    <w:rsid w:val="00ED268D"/>
    <w:rsid w:val="00ED26EF"/>
    <w:rsid w:val="00ED273B"/>
    <w:rsid w:val="00ED273E"/>
    <w:rsid w:val="00ED2759"/>
    <w:rsid w:val="00ED2784"/>
    <w:rsid w:val="00ED27A3"/>
    <w:rsid w:val="00ED282F"/>
    <w:rsid w:val="00ED283F"/>
    <w:rsid w:val="00ED284B"/>
    <w:rsid w:val="00ED2896"/>
    <w:rsid w:val="00ED2916"/>
    <w:rsid w:val="00ED2956"/>
    <w:rsid w:val="00ED299B"/>
    <w:rsid w:val="00ED29B6"/>
    <w:rsid w:val="00ED29D1"/>
    <w:rsid w:val="00ED2A0E"/>
    <w:rsid w:val="00ED2A26"/>
    <w:rsid w:val="00ED2A61"/>
    <w:rsid w:val="00ED2A71"/>
    <w:rsid w:val="00ED2A9F"/>
    <w:rsid w:val="00ED2ACD"/>
    <w:rsid w:val="00ED2AD0"/>
    <w:rsid w:val="00ED2ADB"/>
    <w:rsid w:val="00ED2AE3"/>
    <w:rsid w:val="00ED2B2C"/>
    <w:rsid w:val="00ED2BCF"/>
    <w:rsid w:val="00ED2BD4"/>
    <w:rsid w:val="00ED2C24"/>
    <w:rsid w:val="00ED2C55"/>
    <w:rsid w:val="00ED2D01"/>
    <w:rsid w:val="00ED2D5F"/>
    <w:rsid w:val="00ED2DD9"/>
    <w:rsid w:val="00ED2DEC"/>
    <w:rsid w:val="00ED2E2C"/>
    <w:rsid w:val="00ED2E43"/>
    <w:rsid w:val="00ED2E7E"/>
    <w:rsid w:val="00ED2F12"/>
    <w:rsid w:val="00ED2FA8"/>
    <w:rsid w:val="00ED2FF9"/>
    <w:rsid w:val="00ED303A"/>
    <w:rsid w:val="00ED3099"/>
    <w:rsid w:val="00ED30AC"/>
    <w:rsid w:val="00ED30B3"/>
    <w:rsid w:val="00ED30D0"/>
    <w:rsid w:val="00ED30FF"/>
    <w:rsid w:val="00ED3162"/>
    <w:rsid w:val="00ED31A1"/>
    <w:rsid w:val="00ED31B9"/>
    <w:rsid w:val="00ED31C8"/>
    <w:rsid w:val="00ED3204"/>
    <w:rsid w:val="00ED325C"/>
    <w:rsid w:val="00ED32B1"/>
    <w:rsid w:val="00ED3316"/>
    <w:rsid w:val="00ED3387"/>
    <w:rsid w:val="00ED3389"/>
    <w:rsid w:val="00ED34AA"/>
    <w:rsid w:val="00ED352F"/>
    <w:rsid w:val="00ED353F"/>
    <w:rsid w:val="00ED3580"/>
    <w:rsid w:val="00ED358E"/>
    <w:rsid w:val="00ED35E3"/>
    <w:rsid w:val="00ED35EC"/>
    <w:rsid w:val="00ED3687"/>
    <w:rsid w:val="00ED36AE"/>
    <w:rsid w:val="00ED3737"/>
    <w:rsid w:val="00ED3752"/>
    <w:rsid w:val="00ED3768"/>
    <w:rsid w:val="00ED3868"/>
    <w:rsid w:val="00ED3870"/>
    <w:rsid w:val="00ED394E"/>
    <w:rsid w:val="00ED3975"/>
    <w:rsid w:val="00ED39A4"/>
    <w:rsid w:val="00ED3A5A"/>
    <w:rsid w:val="00ED3A7F"/>
    <w:rsid w:val="00ED3AC0"/>
    <w:rsid w:val="00ED3AC4"/>
    <w:rsid w:val="00ED3AFB"/>
    <w:rsid w:val="00ED3B28"/>
    <w:rsid w:val="00ED3B31"/>
    <w:rsid w:val="00ED3B33"/>
    <w:rsid w:val="00ED3B3E"/>
    <w:rsid w:val="00ED3B6D"/>
    <w:rsid w:val="00ED3BB7"/>
    <w:rsid w:val="00ED3C1D"/>
    <w:rsid w:val="00ED3D59"/>
    <w:rsid w:val="00ED3D79"/>
    <w:rsid w:val="00ED3D8E"/>
    <w:rsid w:val="00ED3DE6"/>
    <w:rsid w:val="00ED3EAD"/>
    <w:rsid w:val="00ED3F6A"/>
    <w:rsid w:val="00ED3F78"/>
    <w:rsid w:val="00ED4019"/>
    <w:rsid w:val="00ED4044"/>
    <w:rsid w:val="00ED411A"/>
    <w:rsid w:val="00ED4157"/>
    <w:rsid w:val="00ED420F"/>
    <w:rsid w:val="00ED4236"/>
    <w:rsid w:val="00ED426E"/>
    <w:rsid w:val="00ED427C"/>
    <w:rsid w:val="00ED42C6"/>
    <w:rsid w:val="00ED42FA"/>
    <w:rsid w:val="00ED431E"/>
    <w:rsid w:val="00ED433A"/>
    <w:rsid w:val="00ED4390"/>
    <w:rsid w:val="00ED43C7"/>
    <w:rsid w:val="00ED446A"/>
    <w:rsid w:val="00ED447D"/>
    <w:rsid w:val="00ED452E"/>
    <w:rsid w:val="00ED45AA"/>
    <w:rsid w:val="00ED45EB"/>
    <w:rsid w:val="00ED4655"/>
    <w:rsid w:val="00ED46FE"/>
    <w:rsid w:val="00ED4710"/>
    <w:rsid w:val="00ED479A"/>
    <w:rsid w:val="00ED479E"/>
    <w:rsid w:val="00ED47CE"/>
    <w:rsid w:val="00ED47F0"/>
    <w:rsid w:val="00ED4915"/>
    <w:rsid w:val="00ED498E"/>
    <w:rsid w:val="00ED49A1"/>
    <w:rsid w:val="00ED4A39"/>
    <w:rsid w:val="00ED4A5D"/>
    <w:rsid w:val="00ED4AB7"/>
    <w:rsid w:val="00ED4B20"/>
    <w:rsid w:val="00ED4BB2"/>
    <w:rsid w:val="00ED4CC3"/>
    <w:rsid w:val="00ED4CE5"/>
    <w:rsid w:val="00ED4D0E"/>
    <w:rsid w:val="00ED4D1B"/>
    <w:rsid w:val="00ED4D57"/>
    <w:rsid w:val="00ED4DE8"/>
    <w:rsid w:val="00ED4E08"/>
    <w:rsid w:val="00ED4E36"/>
    <w:rsid w:val="00ED4E47"/>
    <w:rsid w:val="00ED4E64"/>
    <w:rsid w:val="00ED4E65"/>
    <w:rsid w:val="00ED4ED7"/>
    <w:rsid w:val="00ED4F88"/>
    <w:rsid w:val="00ED4F97"/>
    <w:rsid w:val="00ED4FA6"/>
    <w:rsid w:val="00ED4FD4"/>
    <w:rsid w:val="00ED4FEF"/>
    <w:rsid w:val="00ED50E3"/>
    <w:rsid w:val="00ED511B"/>
    <w:rsid w:val="00ED5172"/>
    <w:rsid w:val="00ED51B7"/>
    <w:rsid w:val="00ED5266"/>
    <w:rsid w:val="00ED52D7"/>
    <w:rsid w:val="00ED52E2"/>
    <w:rsid w:val="00ED533A"/>
    <w:rsid w:val="00ED536F"/>
    <w:rsid w:val="00ED538E"/>
    <w:rsid w:val="00ED53DC"/>
    <w:rsid w:val="00ED5429"/>
    <w:rsid w:val="00ED54A5"/>
    <w:rsid w:val="00ED54AB"/>
    <w:rsid w:val="00ED54B5"/>
    <w:rsid w:val="00ED54EC"/>
    <w:rsid w:val="00ED54FF"/>
    <w:rsid w:val="00ED5515"/>
    <w:rsid w:val="00ED55AD"/>
    <w:rsid w:val="00ED55D9"/>
    <w:rsid w:val="00ED56AA"/>
    <w:rsid w:val="00ED56B2"/>
    <w:rsid w:val="00ED56C5"/>
    <w:rsid w:val="00ED5766"/>
    <w:rsid w:val="00ED5799"/>
    <w:rsid w:val="00ED581E"/>
    <w:rsid w:val="00ED5865"/>
    <w:rsid w:val="00ED591D"/>
    <w:rsid w:val="00ED5986"/>
    <w:rsid w:val="00ED59D2"/>
    <w:rsid w:val="00ED59D8"/>
    <w:rsid w:val="00ED5A06"/>
    <w:rsid w:val="00ED5A43"/>
    <w:rsid w:val="00ED5A67"/>
    <w:rsid w:val="00ED5AB7"/>
    <w:rsid w:val="00ED5ABB"/>
    <w:rsid w:val="00ED5B03"/>
    <w:rsid w:val="00ED5B9D"/>
    <w:rsid w:val="00ED5BC1"/>
    <w:rsid w:val="00ED5C1A"/>
    <w:rsid w:val="00ED5C46"/>
    <w:rsid w:val="00ED5C53"/>
    <w:rsid w:val="00ED5C65"/>
    <w:rsid w:val="00ED5C7C"/>
    <w:rsid w:val="00ED5CC3"/>
    <w:rsid w:val="00ED5D68"/>
    <w:rsid w:val="00ED5D8A"/>
    <w:rsid w:val="00ED5DE6"/>
    <w:rsid w:val="00ED5EDA"/>
    <w:rsid w:val="00ED5F2B"/>
    <w:rsid w:val="00ED5F38"/>
    <w:rsid w:val="00ED5F6F"/>
    <w:rsid w:val="00ED5FC4"/>
    <w:rsid w:val="00ED5FCD"/>
    <w:rsid w:val="00ED600E"/>
    <w:rsid w:val="00ED6127"/>
    <w:rsid w:val="00ED612D"/>
    <w:rsid w:val="00ED612F"/>
    <w:rsid w:val="00ED615A"/>
    <w:rsid w:val="00ED61CE"/>
    <w:rsid w:val="00ED61E0"/>
    <w:rsid w:val="00ED61E1"/>
    <w:rsid w:val="00ED6253"/>
    <w:rsid w:val="00ED629A"/>
    <w:rsid w:val="00ED62A1"/>
    <w:rsid w:val="00ED62B1"/>
    <w:rsid w:val="00ED62F3"/>
    <w:rsid w:val="00ED62FD"/>
    <w:rsid w:val="00ED6379"/>
    <w:rsid w:val="00ED6389"/>
    <w:rsid w:val="00ED6496"/>
    <w:rsid w:val="00ED64BE"/>
    <w:rsid w:val="00ED652F"/>
    <w:rsid w:val="00ED6581"/>
    <w:rsid w:val="00ED65C7"/>
    <w:rsid w:val="00ED6628"/>
    <w:rsid w:val="00ED6660"/>
    <w:rsid w:val="00ED66CB"/>
    <w:rsid w:val="00ED6742"/>
    <w:rsid w:val="00ED677E"/>
    <w:rsid w:val="00ED6784"/>
    <w:rsid w:val="00ED67E5"/>
    <w:rsid w:val="00ED6875"/>
    <w:rsid w:val="00ED68BC"/>
    <w:rsid w:val="00ED68C7"/>
    <w:rsid w:val="00ED693B"/>
    <w:rsid w:val="00ED6946"/>
    <w:rsid w:val="00ED6985"/>
    <w:rsid w:val="00ED69A2"/>
    <w:rsid w:val="00ED69BA"/>
    <w:rsid w:val="00ED69CB"/>
    <w:rsid w:val="00ED6A01"/>
    <w:rsid w:val="00ED6A07"/>
    <w:rsid w:val="00ED6AA3"/>
    <w:rsid w:val="00ED6AAE"/>
    <w:rsid w:val="00ED6AEF"/>
    <w:rsid w:val="00ED6B00"/>
    <w:rsid w:val="00ED6B05"/>
    <w:rsid w:val="00ED6B34"/>
    <w:rsid w:val="00ED6B3C"/>
    <w:rsid w:val="00ED6B4A"/>
    <w:rsid w:val="00ED6B6C"/>
    <w:rsid w:val="00ED6B89"/>
    <w:rsid w:val="00ED6BE7"/>
    <w:rsid w:val="00ED6C69"/>
    <w:rsid w:val="00ED6C70"/>
    <w:rsid w:val="00ED6C7E"/>
    <w:rsid w:val="00ED6D30"/>
    <w:rsid w:val="00ED6E46"/>
    <w:rsid w:val="00ED6E5E"/>
    <w:rsid w:val="00ED6E8D"/>
    <w:rsid w:val="00ED6E98"/>
    <w:rsid w:val="00ED6EA6"/>
    <w:rsid w:val="00ED6EB6"/>
    <w:rsid w:val="00ED6ED8"/>
    <w:rsid w:val="00ED6EDC"/>
    <w:rsid w:val="00ED6EEB"/>
    <w:rsid w:val="00ED6F2A"/>
    <w:rsid w:val="00ED6F45"/>
    <w:rsid w:val="00ED6F59"/>
    <w:rsid w:val="00ED6F8E"/>
    <w:rsid w:val="00ED7000"/>
    <w:rsid w:val="00ED7086"/>
    <w:rsid w:val="00ED716F"/>
    <w:rsid w:val="00ED7187"/>
    <w:rsid w:val="00ED719F"/>
    <w:rsid w:val="00ED7237"/>
    <w:rsid w:val="00ED7240"/>
    <w:rsid w:val="00ED7276"/>
    <w:rsid w:val="00ED72ED"/>
    <w:rsid w:val="00ED734E"/>
    <w:rsid w:val="00ED735D"/>
    <w:rsid w:val="00ED7361"/>
    <w:rsid w:val="00ED738F"/>
    <w:rsid w:val="00ED73A2"/>
    <w:rsid w:val="00ED741A"/>
    <w:rsid w:val="00ED74E7"/>
    <w:rsid w:val="00ED75A0"/>
    <w:rsid w:val="00ED75C8"/>
    <w:rsid w:val="00ED75ED"/>
    <w:rsid w:val="00ED7623"/>
    <w:rsid w:val="00ED769A"/>
    <w:rsid w:val="00ED76C6"/>
    <w:rsid w:val="00ED76E5"/>
    <w:rsid w:val="00ED76F1"/>
    <w:rsid w:val="00ED770F"/>
    <w:rsid w:val="00ED7758"/>
    <w:rsid w:val="00ED778B"/>
    <w:rsid w:val="00ED7793"/>
    <w:rsid w:val="00ED77D0"/>
    <w:rsid w:val="00ED7810"/>
    <w:rsid w:val="00ED79CB"/>
    <w:rsid w:val="00ED79FA"/>
    <w:rsid w:val="00ED7A72"/>
    <w:rsid w:val="00ED7A9F"/>
    <w:rsid w:val="00ED7AF3"/>
    <w:rsid w:val="00ED7BB4"/>
    <w:rsid w:val="00ED7BB7"/>
    <w:rsid w:val="00ED7C07"/>
    <w:rsid w:val="00ED7C60"/>
    <w:rsid w:val="00ED7C67"/>
    <w:rsid w:val="00ED7C8C"/>
    <w:rsid w:val="00ED7CAD"/>
    <w:rsid w:val="00ED7D4E"/>
    <w:rsid w:val="00ED7DBD"/>
    <w:rsid w:val="00ED7F28"/>
    <w:rsid w:val="00ED7F9F"/>
    <w:rsid w:val="00ED7FB7"/>
    <w:rsid w:val="00ED7FE9"/>
    <w:rsid w:val="00EE0014"/>
    <w:rsid w:val="00EE005E"/>
    <w:rsid w:val="00EE009E"/>
    <w:rsid w:val="00EE01AC"/>
    <w:rsid w:val="00EE01D3"/>
    <w:rsid w:val="00EE01FD"/>
    <w:rsid w:val="00EE025F"/>
    <w:rsid w:val="00EE02A1"/>
    <w:rsid w:val="00EE0328"/>
    <w:rsid w:val="00EE032E"/>
    <w:rsid w:val="00EE0373"/>
    <w:rsid w:val="00EE03B5"/>
    <w:rsid w:val="00EE03F8"/>
    <w:rsid w:val="00EE041E"/>
    <w:rsid w:val="00EE045C"/>
    <w:rsid w:val="00EE04D0"/>
    <w:rsid w:val="00EE04DB"/>
    <w:rsid w:val="00EE0521"/>
    <w:rsid w:val="00EE054C"/>
    <w:rsid w:val="00EE0582"/>
    <w:rsid w:val="00EE058F"/>
    <w:rsid w:val="00EE05A5"/>
    <w:rsid w:val="00EE05B8"/>
    <w:rsid w:val="00EE05DC"/>
    <w:rsid w:val="00EE05FA"/>
    <w:rsid w:val="00EE0678"/>
    <w:rsid w:val="00EE06A0"/>
    <w:rsid w:val="00EE06AA"/>
    <w:rsid w:val="00EE06B7"/>
    <w:rsid w:val="00EE0708"/>
    <w:rsid w:val="00EE07C4"/>
    <w:rsid w:val="00EE0800"/>
    <w:rsid w:val="00EE081E"/>
    <w:rsid w:val="00EE08EF"/>
    <w:rsid w:val="00EE0901"/>
    <w:rsid w:val="00EE093E"/>
    <w:rsid w:val="00EE0971"/>
    <w:rsid w:val="00EE0A5E"/>
    <w:rsid w:val="00EE0A9A"/>
    <w:rsid w:val="00EE0AD1"/>
    <w:rsid w:val="00EE0B71"/>
    <w:rsid w:val="00EE0CCA"/>
    <w:rsid w:val="00EE0D0D"/>
    <w:rsid w:val="00EE0E1C"/>
    <w:rsid w:val="00EE0E27"/>
    <w:rsid w:val="00EE0E57"/>
    <w:rsid w:val="00EE0E66"/>
    <w:rsid w:val="00EE0E7D"/>
    <w:rsid w:val="00EE0E88"/>
    <w:rsid w:val="00EE0E8B"/>
    <w:rsid w:val="00EE0E9F"/>
    <w:rsid w:val="00EE0F1E"/>
    <w:rsid w:val="00EE0FD8"/>
    <w:rsid w:val="00EE0FDB"/>
    <w:rsid w:val="00EE0FDC"/>
    <w:rsid w:val="00EE1074"/>
    <w:rsid w:val="00EE1078"/>
    <w:rsid w:val="00EE108A"/>
    <w:rsid w:val="00EE1116"/>
    <w:rsid w:val="00EE1120"/>
    <w:rsid w:val="00EE11EE"/>
    <w:rsid w:val="00EE1200"/>
    <w:rsid w:val="00EE128D"/>
    <w:rsid w:val="00EE12A0"/>
    <w:rsid w:val="00EE1329"/>
    <w:rsid w:val="00EE1347"/>
    <w:rsid w:val="00EE137C"/>
    <w:rsid w:val="00EE13FB"/>
    <w:rsid w:val="00EE1417"/>
    <w:rsid w:val="00EE1448"/>
    <w:rsid w:val="00EE144F"/>
    <w:rsid w:val="00EE1465"/>
    <w:rsid w:val="00EE14DC"/>
    <w:rsid w:val="00EE14E7"/>
    <w:rsid w:val="00EE1597"/>
    <w:rsid w:val="00EE15A5"/>
    <w:rsid w:val="00EE15BC"/>
    <w:rsid w:val="00EE15E7"/>
    <w:rsid w:val="00EE15F7"/>
    <w:rsid w:val="00EE169E"/>
    <w:rsid w:val="00EE16EB"/>
    <w:rsid w:val="00EE1713"/>
    <w:rsid w:val="00EE1717"/>
    <w:rsid w:val="00EE1742"/>
    <w:rsid w:val="00EE1759"/>
    <w:rsid w:val="00EE17C9"/>
    <w:rsid w:val="00EE17D8"/>
    <w:rsid w:val="00EE17E2"/>
    <w:rsid w:val="00EE1885"/>
    <w:rsid w:val="00EE18A8"/>
    <w:rsid w:val="00EE1950"/>
    <w:rsid w:val="00EE19A3"/>
    <w:rsid w:val="00EE19DD"/>
    <w:rsid w:val="00EE19F1"/>
    <w:rsid w:val="00EE1A46"/>
    <w:rsid w:val="00EE1A5C"/>
    <w:rsid w:val="00EE1B14"/>
    <w:rsid w:val="00EE1BF8"/>
    <w:rsid w:val="00EE1C3D"/>
    <w:rsid w:val="00EE1C9E"/>
    <w:rsid w:val="00EE1CC5"/>
    <w:rsid w:val="00EE1E16"/>
    <w:rsid w:val="00EE1E66"/>
    <w:rsid w:val="00EE1ED3"/>
    <w:rsid w:val="00EE1ED7"/>
    <w:rsid w:val="00EE1F79"/>
    <w:rsid w:val="00EE1FDC"/>
    <w:rsid w:val="00EE200A"/>
    <w:rsid w:val="00EE2027"/>
    <w:rsid w:val="00EE205B"/>
    <w:rsid w:val="00EE20C0"/>
    <w:rsid w:val="00EE20D8"/>
    <w:rsid w:val="00EE20E8"/>
    <w:rsid w:val="00EE2138"/>
    <w:rsid w:val="00EE2141"/>
    <w:rsid w:val="00EE21FF"/>
    <w:rsid w:val="00EE2209"/>
    <w:rsid w:val="00EE2221"/>
    <w:rsid w:val="00EE2240"/>
    <w:rsid w:val="00EE2268"/>
    <w:rsid w:val="00EE2315"/>
    <w:rsid w:val="00EE2332"/>
    <w:rsid w:val="00EE2340"/>
    <w:rsid w:val="00EE2393"/>
    <w:rsid w:val="00EE23B0"/>
    <w:rsid w:val="00EE23DB"/>
    <w:rsid w:val="00EE2440"/>
    <w:rsid w:val="00EE2552"/>
    <w:rsid w:val="00EE2625"/>
    <w:rsid w:val="00EE2672"/>
    <w:rsid w:val="00EE267D"/>
    <w:rsid w:val="00EE268B"/>
    <w:rsid w:val="00EE26AD"/>
    <w:rsid w:val="00EE27F0"/>
    <w:rsid w:val="00EE284A"/>
    <w:rsid w:val="00EE2877"/>
    <w:rsid w:val="00EE28BD"/>
    <w:rsid w:val="00EE28D6"/>
    <w:rsid w:val="00EE2912"/>
    <w:rsid w:val="00EE2913"/>
    <w:rsid w:val="00EE2930"/>
    <w:rsid w:val="00EE293E"/>
    <w:rsid w:val="00EE29AC"/>
    <w:rsid w:val="00EE2A6E"/>
    <w:rsid w:val="00EE2AE5"/>
    <w:rsid w:val="00EE2B0A"/>
    <w:rsid w:val="00EE2B1C"/>
    <w:rsid w:val="00EE2B63"/>
    <w:rsid w:val="00EE2B74"/>
    <w:rsid w:val="00EE2B77"/>
    <w:rsid w:val="00EE2BC1"/>
    <w:rsid w:val="00EE2CD8"/>
    <w:rsid w:val="00EE2D09"/>
    <w:rsid w:val="00EE2D47"/>
    <w:rsid w:val="00EE2D9D"/>
    <w:rsid w:val="00EE2DCB"/>
    <w:rsid w:val="00EE2DCD"/>
    <w:rsid w:val="00EE2E03"/>
    <w:rsid w:val="00EE2E26"/>
    <w:rsid w:val="00EE2E40"/>
    <w:rsid w:val="00EE2E5C"/>
    <w:rsid w:val="00EE2F26"/>
    <w:rsid w:val="00EE2FA1"/>
    <w:rsid w:val="00EE3007"/>
    <w:rsid w:val="00EE3057"/>
    <w:rsid w:val="00EE30AD"/>
    <w:rsid w:val="00EE30E7"/>
    <w:rsid w:val="00EE3113"/>
    <w:rsid w:val="00EE3140"/>
    <w:rsid w:val="00EE325C"/>
    <w:rsid w:val="00EE3282"/>
    <w:rsid w:val="00EE32A9"/>
    <w:rsid w:val="00EE32BC"/>
    <w:rsid w:val="00EE32CB"/>
    <w:rsid w:val="00EE3307"/>
    <w:rsid w:val="00EE3438"/>
    <w:rsid w:val="00EE3486"/>
    <w:rsid w:val="00EE34CE"/>
    <w:rsid w:val="00EE3588"/>
    <w:rsid w:val="00EE35D5"/>
    <w:rsid w:val="00EE35F1"/>
    <w:rsid w:val="00EE3604"/>
    <w:rsid w:val="00EE363B"/>
    <w:rsid w:val="00EE3671"/>
    <w:rsid w:val="00EE36B6"/>
    <w:rsid w:val="00EE36F9"/>
    <w:rsid w:val="00EE371F"/>
    <w:rsid w:val="00EE3742"/>
    <w:rsid w:val="00EE378D"/>
    <w:rsid w:val="00EE37B6"/>
    <w:rsid w:val="00EE3804"/>
    <w:rsid w:val="00EE38DC"/>
    <w:rsid w:val="00EE38FF"/>
    <w:rsid w:val="00EE3902"/>
    <w:rsid w:val="00EE3921"/>
    <w:rsid w:val="00EE3936"/>
    <w:rsid w:val="00EE39C1"/>
    <w:rsid w:val="00EE3A30"/>
    <w:rsid w:val="00EE3A70"/>
    <w:rsid w:val="00EE3A80"/>
    <w:rsid w:val="00EE3ABE"/>
    <w:rsid w:val="00EE3B16"/>
    <w:rsid w:val="00EE3B4B"/>
    <w:rsid w:val="00EE3BB2"/>
    <w:rsid w:val="00EE3BE3"/>
    <w:rsid w:val="00EE3CEE"/>
    <w:rsid w:val="00EE3D31"/>
    <w:rsid w:val="00EE3E6E"/>
    <w:rsid w:val="00EE3EA5"/>
    <w:rsid w:val="00EE3ECF"/>
    <w:rsid w:val="00EE3F21"/>
    <w:rsid w:val="00EE3F3E"/>
    <w:rsid w:val="00EE3F90"/>
    <w:rsid w:val="00EE3FC1"/>
    <w:rsid w:val="00EE402A"/>
    <w:rsid w:val="00EE4074"/>
    <w:rsid w:val="00EE40D3"/>
    <w:rsid w:val="00EE40D4"/>
    <w:rsid w:val="00EE414A"/>
    <w:rsid w:val="00EE4174"/>
    <w:rsid w:val="00EE419A"/>
    <w:rsid w:val="00EE41BD"/>
    <w:rsid w:val="00EE41BF"/>
    <w:rsid w:val="00EE41DC"/>
    <w:rsid w:val="00EE41E5"/>
    <w:rsid w:val="00EE427B"/>
    <w:rsid w:val="00EE42BD"/>
    <w:rsid w:val="00EE4303"/>
    <w:rsid w:val="00EE4311"/>
    <w:rsid w:val="00EE431C"/>
    <w:rsid w:val="00EE43AE"/>
    <w:rsid w:val="00EE442E"/>
    <w:rsid w:val="00EE44C1"/>
    <w:rsid w:val="00EE44DD"/>
    <w:rsid w:val="00EE45B3"/>
    <w:rsid w:val="00EE462B"/>
    <w:rsid w:val="00EE46AC"/>
    <w:rsid w:val="00EE4702"/>
    <w:rsid w:val="00EE4711"/>
    <w:rsid w:val="00EE47FE"/>
    <w:rsid w:val="00EE4884"/>
    <w:rsid w:val="00EE48AD"/>
    <w:rsid w:val="00EE48E4"/>
    <w:rsid w:val="00EE4923"/>
    <w:rsid w:val="00EE493B"/>
    <w:rsid w:val="00EE493E"/>
    <w:rsid w:val="00EE4966"/>
    <w:rsid w:val="00EE49B4"/>
    <w:rsid w:val="00EE49F1"/>
    <w:rsid w:val="00EE4A2E"/>
    <w:rsid w:val="00EE4A45"/>
    <w:rsid w:val="00EE4A53"/>
    <w:rsid w:val="00EE4B38"/>
    <w:rsid w:val="00EE4BA5"/>
    <w:rsid w:val="00EE4C34"/>
    <w:rsid w:val="00EE4C96"/>
    <w:rsid w:val="00EE4CBC"/>
    <w:rsid w:val="00EE4CCD"/>
    <w:rsid w:val="00EE4CEE"/>
    <w:rsid w:val="00EE4D3E"/>
    <w:rsid w:val="00EE4D6A"/>
    <w:rsid w:val="00EE4DAC"/>
    <w:rsid w:val="00EE4DE1"/>
    <w:rsid w:val="00EE4ECC"/>
    <w:rsid w:val="00EE4FA5"/>
    <w:rsid w:val="00EE4FB4"/>
    <w:rsid w:val="00EE5088"/>
    <w:rsid w:val="00EE50B5"/>
    <w:rsid w:val="00EE50F6"/>
    <w:rsid w:val="00EE5135"/>
    <w:rsid w:val="00EE520F"/>
    <w:rsid w:val="00EE5211"/>
    <w:rsid w:val="00EE5248"/>
    <w:rsid w:val="00EE5249"/>
    <w:rsid w:val="00EE5251"/>
    <w:rsid w:val="00EE52C5"/>
    <w:rsid w:val="00EE5369"/>
    <w:rsid w:val="00EE53D5"/>
    <w:rsid w:val="00EE54FC"/>
    <w:rsid w:val="00EE550E"/>
    <w:rsid w:val="00EE5542"/>
    <w:rsid w:val="00EE5556"/>
    <w:rsid w:val="00EE5611"/>
    <w:rsid w:val="00EE5635"/>
    <w:rsid w:val="00EE56D6"/>
    <w:rsid w:val="00EE572D"/>
    <w:rsid w:val="00EE575A"/>
    <w:rsid w:val="00EE5762"/>
    <w:rsid w:val="00EE57AC"/>
    <w:rsid w:val="00EE57DD"/>
    <w:rsid w:val="00EE57F4"/>
    <w:rsid w:val="00EE5826"/>
    <w:rsid w:val="00EE58C6"/>
    <w:rsid w:val="00EE5909"/>
    <w:rsid w:val="00EE5940"/>
    <w:rsid w:val="00EE5945"/>
    <w:rsid w:val="00EE5979"/>
    <w:rsid w:val="00EE59DC"/>
    <w:rsid w:val="00EE5A7E"/>
    <w:rsid w:val="00EE5A90"/>
    <w:rsid w:val="00EE5AF6"/>
    <w:rsid w:val="00EE5B04"/>
    <w:rsid w:val="00EE5B29"/>
    <w:rsid w:val="00EE5B30"/>
    <w:rsid w:val="00EE5B69"/>
    <w:rsid w:val="00EE5B80"/>
    <w:rsid w:val="00EE5BE0"/>
    <w:rsid w:val="00EE5C01"/>
    <w:rsid w:val="00EE5C49"/>
    <w:rsid w:val="00EE5C62"/>
    <w:rsid w:val="00EE5C68"/>
    <w:rsid w:val="00EE5D03"/>
    <w:rsid w:val="00EE5DBC"/>
    <w:rsid w:val="00EE5E6A"/>
    <w:rsid w:val="00EE5E78"/>
    <w:rsid w:val="00EE5E99"/>
    <w:rsid w:val="00EE5ECE"/>
    <w:rsid w:val="00EE5F55"/>
    <w:rsid w:val="00EE5F6F"/>
    <w:rsid w:val="00EE5F7C"/>
    <w:rsid w:val="00EE603B"/>
    <w:rsid w:val="00EE6072"/>
    <w:rsid w:val="00EE60E8"/>
    <w:rsid w:val="00EE610A"/>
    <w:rsid w:val="00EE6143"/>
    <w:rsid w:val="00EE61A3"/>
    <w:rsid w:val="00EE61E4"/>
    <w:rsid w:val="00EE6307"/>
    <w:rsid w:val="00EE635B"/>
    <w:rsid w:val="00EE636A"/>
    <w:rsid w:val="00EE6372"/>
    <w:rsid w:val="00EE637A"/>
    <w:rsid w:val="00EE63D1"/>
    <w:rsid w:val="00EE645A"/>
    <w:rsid w:val="00EE646B"/>
    <w:rsid w:val="00EE64CB"/>
    <w:rsid w:val="00EE64DA"/>
    <w:rsid w:val="00EE64E2"/>
    <w:rsid w:val="00EE650A"/>
    <w:rsid w:val="00EE6537"/>
    <w:rsid w:val="00EE6616"/>
    <w:rsid w:val="00EE6625"/>
    <w:rsid w:val="00EE66AB"/>
    <w:rsid w:val="00EE66B8"/>
    <w:rsid w:val="00EE66BE"/>
    <w:rsid w:val="00EE6705"/>
    <w:rsid w:val="00EE6720"/>
    <w:rsid w:val="00EE67EF"/>
    <w:rsid w:val="00EE6811"/>
    <w:rsid w:val="00EE6831"/>
    <w:rsid w:val="00EE687D"/>
    <w:rsid w:val="00EE68B6"/>
    <w:rsid w:val="00EE68B7"/>
    <w:rsid w:val="00EE68FD"/>
    <w:rsid w:val="00EE6928"/>
    <w:rsid w:val="00EE6950"/>
    <w:rsid w:val="00EE695D"/>
    <w:rsid w:val="00EE6970"/>
    <w:rsid w:val="00EE6973"/>
    <w:rsid w:val="00EE6A33"/>
    <w:rsid w:val="00EE6AA1"/>
    <w:rsid w:val="00EE6ABC"/>
    <w:rsid w:val="00EE6AE9"/>
    <w:rsid w:val="00EE6B9B"/>
    <w:rsid w:val="00EE6C0A"/>
    <w:rsid w:val="00EE6CDF"/>
    <w:rsid w:val="00EE6D11"/>
    <w:rsid w:val="00EE6D8C"/>
    <w:rsid w:val="00EE6D95"/>
    <w:rsid w:val="00EE6DC2"/>
    <w:rsid w:val="00EE6DDD"/>
    <w:rsid w:val="00EE6E21"/>
    <w:rsid w:val="00EE6E23"/>
    <w:rsid w:val="00EE6E7E"/>
    <w:rsid w:val="00EE6E9A"/>
    <w:rsid w:val="00EE6EA5"/>
    <w:rsid w:val="00EE6EAB"/>
    <w:rsid w:val="00EE6EAD"/>
    <w:rsid w:val="00EE6F0B"/>
    <w:rsid w:val="00EE6F19"/>
    <w:rsid w:val="00EE6F36"/>
    <w:rsid w:val="00EE6F62"/>
    <w:rsid w:val="00EE6FDF"/>
    <w:rsid w:val="00EE6FF4"/>
    <w:rsid w:val="00EE7010"/>
    <w:rsid w:val="00EE7046"/>
    <w:rsid w:val="00EE70CC"/>
    <w:rsid w:val="00EE70DB"/>
    <w:rsid w:val="00EE7105"/>
    <w:rsid w:val="00EE71B1"/>
    <w:rsid w:val="00EE7213"/>
    <w:rsid w:val="00EE7265"/>
    <w:rsid w:val="00EE7283"/>
    <w:rsid w:val="00EE72E0"/>
    <w:rsid w:val="00EE73B3"/>
    <w:rsid w:val="00EE73BC"/>
    <w:rsid w:val="00EE73E7"/>
    <w:rsid w:val="00EE7467"/>
    <w:rsid w:val="00EE749A"/>
    <w:rsid w:val="00EE749C"/>
    <w:rsid w:val="00EE74CA"/>
    <w:rsid w:val="00EE755E"/>
    <w:rsid w:val="00EE75B4"/>
    <w:rsid w:val="00EE763C"/>
    <w:rsid w:val="00EE765D"/>
    <w:rsid w:val="00EE766D"/>
    <w:rsid w:val="00EE768A"/>
    <w:rsid w:val="00EE768C"/>
    <w:rsid w:val="00EE76B1"/>
    <w:rsid w:val="00EE774C"/>
    <w:rsid w:val="00EE7834"/>
    <w:rsid w:val="00EE78D8"/>
    <w:rsid w:val="00EE7977"/>
    <w:rsid w:val="00EE79B1"/>
    <w:rsid w:val="00EE79B9"/>
    <w:rsid w:val="00EE79FA"/>
    <w:rsid w:val="00EE7A17"/>
    <w:rsid w:val="00EE7A51"/>
    <w:rsid w:val="00EE7A6D"/>
    <w:rsid w:val="00EE7B02"/>
    <w:rsid w:val="00EE7B44"/>
    <w:rsid w:val="00EE7B6A"/>
    <w:rsid w:val="00EE7BB1"/>
    <w:rsid w:val="00EE7C19"/>
    <w:rsid w:val="00EE7C57"/>
    <w:rsid w:val="00EE7C63"/>
    <w:rsid w:val="00EE7D8B"/>
    <w:rsid w:val="00EE7F3F"/>
    <w:rsid w:val="00EE7F5F"/>
    <w:rsid w:val="00EE7FD6"/>
    <w:rsid w:val="00EF002D"/>
    <w:rsid w:val="00EF0044"/>
    <w:rsid w:val="00EF0051"/>
    <w:rsid w:val="00EF0199"/>
    <w:rsid w:val="00EF01E1"/>
    <w:rsid w:val="00EF01E2"/>
    <w:rsid w:val="00EF020E"/>
    <w:rsid w:val="00EF0251"/>
    <w:rsid w:val="00EF0272"/>
    <w:rsid w:val="00EF02C5"/>
    <w:rsid w:val="00EF0377"/>
    <w:rsid w:val="00EF03D5"/>
    <w:rsid w:val="00EF041E"/>
    <w:rsid w:val="00EF0475"/>
    <w:rsid w:val="00EF04D3"/>
    <w:rsid w:val="00EF04DF"/>
    <w:rsid w:val="00EF0540"/>
    <w:rsid w:val="00EF0555"/>
    <w:rsid w:val="00EF059C"/>
    <w:rsid w:val="00EF05EC"/>
    <w:rsid w:val="00EF0657"/>
    <w:rsid w:val="00EF0682"/>
    <w:rsid w:val="00EF0694"/>
    <w:rsid w:val="00EF06E4"/>
    <w:rsid w:val="00EF06EA"/>
    <w:rsid w:val="00EF06ED"/>
    <w:rsid w:val="00EF0707"/>
    <w:rsid w:val="00EF0745"/>
    <w:rsid w:val="00EF07BE"/>
    <w:rsid w:val="00EF07DF"/>
    <w:rsid w:val="00EF080A"/>
    <w:rsid w:val="00EF0819"/>
    <w:rsid w:val="00EF0869"/>
    <w:rsid w:val="00EF0891"/>
    <w:rsid w:val="00EF08CE"/>
    <w:rsid w:val="00EF0A03"/>
    <w:rsid w:val="00EF0ABA"/>
    <w:rsid w:val="00EF0ADF"/>
    <w:rsid w:val="00EF0AED"/>
    <w:rsid w:val="00EF0B99"/>
    <w:rsid w:val="00EF0BA3"/>
    <w:rsid w:val="00EF0C03"/>
    <w:rsid w:val="00EF0C14"/>
    <w:rsid w:val="00EF0C1E"/>
    <w:rsid w:val="00EF0C3A"/>
    <w:rsid w:val="00EF0C68"/>
    <w:rsid w:val="00EF0C9D"/>
    <w:rsid w:val="00EF0CD8"/>
    <w:rsid w:val="00EF0D01"/>
    <w:rsid w:val="00EF0D13"/>
    <w:rsid w:val="00EF0D1C"/>
    <w:rsid w:val="00EF0D41"/>
    <w:rsid w:val="00EF0D4C"/>
    <w:rsid w:val="00EF0D85"/>
    <w:rsid w:val="00EF0D9D"/>
    <w:rsid w:val="00EF0DC8"/>
    <w:rsid w:val="00EF0DEE"/>
    <w:rsid w:val="00EF0E9F"/>
    <w:rsid w:val="00EF0F25"/>
    <w:rsid w:val="00EF0F65"/>
    <w:rsid w:val="00EF0FD3"/>
    <w:rsid w:val="00EF1035"/>
    <w:rsid w:val="00EF1073"/>
    <w:rsid w:val="00EF108B"/>
    <w:rsid w:val="00EF10A0"/>
    <w:rsid w:val="00EF10B3"/>
    <w:rsid w:val="00EF10DF"/>
    <w:rsid w:val="00EF1142"/>
    <w:rsid w:val="00EF1170"/>
    <w:rsid w:val="00EF11C8"/>
    <w:rsid w:val="00EF11FE"/>
    <w:rsid w:val="00EF1207"/>
    <w:rsid w:val="00EF1228"/>
    <w:rsid w:val="00EF127A"/>
    <w:rsid w:val="00EF1314"/>
    <w:rsid w:val="00EF1329"/>
    <w:rsid w:val="00EF137F"/>
    <w:rsid w:val="00EF13B2"/>
    <w:rsid w:val="00EF13CD"/>
    <w:rsid w:val="00EF13DF"/>
    <w:rsid w:val="00EF13EF"/>
    <w:rsid w:val="00EF13FD"/>
    <w:rsid w:val="00EF142E"/>
    <w:rsid w:val="00EF1449"/>
    <w:rsid w:val="00EF14A5"/>
    <w:rsid w:val="00EF1509"/>
    <w:rsid w:val="00EF1554"/>
    <w:rsid w:val="00EF1562"/>
    <w:rsid w:val="00EF15B5"/>
    <w:rsid w:val="00EF1623"/>
    <w:rsid w:val="00EF1627"/>
    <w:rsid w:val="00EF16C1"/>
    <w:rsid w:val="00EF17DB"/>
    <w:rsid w:val="00EF180F"/>
    <w:rsid w:val="00EF1819"/>
    <w:rsid w:val="00EF1827"/>
    <w:rsid w:val="00EF1842"/>
    <w:rsid w:val="00EF1845"/>
    <w:rsid w:val="00EF189B"/>
    <w:rsid w:val="00EF18C4"/>
    <w:rsid w:val="00EF18F7"/>
    <w:rsid w:val="00EF18F9"/>
    <w:rsid w:val="00EF190F"/>
    <w:rsid w:val="00EF1922"/>
    <w:rsid w:val="00EF193A"/>
    <w:rsid w:val="00EF193C"/>
    <w:rsid w:val="00EF1987"/>
    <w:rsid w:val="00EF19C5"/>
    <w:rsid w:val="00EF1A24"/>
    <w:rsid w:val="00EF1A66"/>
    <w:rsid w:val="00EF1A70"/>
    <w:rsid w:val="00EF1AA7"/>
    <w:rsid w:val="00EF1AAB"/>
    <w:rsid w:val="00EF1AB0"/>
    <w:rsid w:val="00EF1AC0"/>
    <w:rsid w:val="00EF1AF4"/>
    <w:rsid w:val="00EF1BAC"/>
    <w:rsid w:val="00EF1CF9"/>
    <w:rsid w:val="00EF1D0A"/>
    <w:rsid w:val="00EF1D73"/>
    <w:rsid w:val="00EF1D87"/>
    <w:rsid w:val="00EF1DAC"/>
    <w:rsid w:val="00EF1DB2"/>
    <w:rsid w:val="00EF1DBA"/>
    <w:rsid w:val="00EF1DE8"/>
    <w:rsid w:val="00EF1DEC"/>
    <w:rsid w:val="00EF1DF4"/>
    <w:rsid w:val="00EF1E14"/>
    <w:rsid w:val="00EF1E61"/>
    <w:rsid w:val="00EF1ECE"/>
    <w:rsid w:val="00EF1ED4"/>
    <w:rsid w:val="00EF1FD1"/>
    <w:rsid w:val="00EF207A"/>
    <w:rsid w:val="00EF20AD"/>
    <w:rsid w:val="00EF20B1"/>
    <w:rsid w:val="00EF20B6"/>
    <w:rsid w:val="00EF214A"/>
    <w:rsid w:val="00EF2152"/>
    <w:rsid w:val="00EF215F"/>
    <w:rsid w:val="00EF21EF"/>
    <w:rsid w:val="00EF2203"/>
    <w:rsid w:val="00EF2216"/>
    <w:rsid w:val="00EF2250"/>
    <w:rsid w:val="00EF22EC"/>
    <w:rsid w:val="00EF237D"/>
    <w:rsid w:val="00EF2396"/>
    <w:rsid w:val="00EF23B2"/>
    <w:rsid w:val="00EF2478"/>
    <w:rsid w:val="00EF2486"/>
    <w:rsid w:val="00EF2499"/>
    <w:rsid w:val="00EF2541"/>
    <w:rsid w:val="00EF2558"/>
    <w:rsid w:val="00EF2621"/>
    <w:rsid w:val="00EF2622"/>
    <w:rsid w:val="00EF262E"/>
    <w:rsid w:val="00EF2630"/>
    <w:rsid w:val="00EF2634"/>
    <w:rsid w:val="00EF2651"/>
    <w:rsid w:val="00EF2655"/>
    <w:rsid w:val="00EF265D"/>
    <w:rsid w:val="00EF2663"/>
    <w:rsid w:val="00EF267D"/>
    <w:rsid w:val="00EF268B"/>
    <w:rsid w:val="00EF2690"/>
    <w:rsid w:val="00EF2719"/>
    <w:rsid w:val="00EF271F"/>
    <w:rsid w:val="00EF27B9"/>
    <w:rsid w:val="00EF27BC"/>
    <w:rsid w:val="00EF2862"/>
    <w:rsid w:val="00EF2873"/>
    <w:rsid w:val="00EF288A"/>
    <w:rsid w:val="00EF28C9"/>
    <w:rsid w:val="00EF2916"/>
    <w:rsid w:val="00EF292D"/>
    <w:rsid w:val="00EF2956"/>
    <w:rsid w:val="00EF2968"/>
    <w:rsid w:val="00EF2992"/>
    <w:rsid w:val="00EF29CE"/>
    <w:rsid w:val="00EF2A08"/>
    <w:rsid w:val="00EF2A75"/>
    <w:rsid w:val="00EF2A80"/>
    <w:rsid w:val="00EF2AE4"/>
    <w:rsid w:val="00EF2AFD"/>
    <w:rsid w:val="00EF2B95"/>
    <w:rsid w:val="00EF2BD7"/>
    <w:rsid w:val="00EF2C04"/>
    <w:rsid w:val="00EF2C36"/>
    <w:rsid w:val="00EF2C7B"/>
    <w:rsid w:val="00EF2C85"/>
    <w:rsid w:val="00EF2C8E"/>
    <w:rsid w:val="00EF2CB7"/>
    <w:rsid w:val="00EF2CE4"/>
    <w:rsid w:val="00EF2E02"/>
    <w:rsid w:val="00EF2E2F"/>
    <w:rsid w:val="00EF2E45"/>
    <w:rsid w:val="00EF2E4D"/>
    <w:rsid w:val="00EF2E52"/>
    <w:rsid w:val="00EF2E5B"/>
    <w:rsid w:val="00EF2EA6"/>
    <w:rsid w:val="00EF2F30"/>
    <w:rsid w:val="00EF2F37"/>
    <w:rsid w:val="00EF2F9F"/>
    <w:rsid w:val="00EF2FBC"/>
    <w:rsid w:val="00EF2FD5"/>
    <w:rsid w:val="00EF2FE1"/>
    <w:rsid w:val="00EF3052"/>
    <w:rsid w:val="00EF30AA"/>
    <w:rsid w:val="00EF30AC"/>
    <w:rsid w:val="00EF30C4"/>
    <w:rsid w:val="00EF30D1"/>
    <w:rsid w:val="00EF30E5"/>
    <w:rsid w:val="00EF3128"/>
    <w:rsid w:val="00EF3186"/>
    <w:rsid w:val="00EF31A1"/>
    <w:rsid w:val="00EF31C1"/>
    <w:rsid w:val="00EF328B"/>
    <w:rsid w:val="00EF3315"/>
    <w:rsid w:val="00EF3321"/>
    <w:rsid w:val="00EF333C"/>
    <w:rsid w:val="00EF33A1"/>
    <w:rsid w:val="00EF33C9"/>
    <w:rsid w:val="00EF33DB"/>
    <w:rsid w:val="00EF3462"/>
    <w:rsid w:val="00EF3466"/>
    <w:rsid w:val="00EF348C"/>
    <w:rsid w:val="00EF349C"/>
    <w:rsid w:val="00EF34E5"/>
    <w:rsid w:val="00EF3523"/>
    <w:rsid w:val="00EF354C"/>
    <w:rsid w:val="00EF354D"/>
    <w:rsid w:val="00EF356B"/>
    <w:rsid w:val="00EF356C"/>
    <w:rsid w:val="00EF35E0"/>
    <w:rsid w:val="00EF3630"/>
    <w:rsid w:val="00EF3649"/>
    <w:rsid w:val="00EF3664"/>
    <w:rsid w:val="00EF36B9"/>
    <w:rsid w:val="00EF36E7"/>
    <w:rsid w:val="00EF36F5"/>
    <w:rsid w:val="00EF3702"/>
    <w:rsid w:val="00EF370F"/>
    <w:rsid w:val="00EF372A"/>
    <w:rsid w:val="00EF3738"/>
    <w:rsid w:val="00EF37F2"/>
    <w:rsid w:val="00EF38E7"/>
    <w:rsid w:val="00EF3912"/>
    <w:rsid w:val="00EF3969"/>
    <w:rsid w:val="00EF39CF"/>
    <w:rsid w:val="00EF39DD"/>
    <w:rsid w:val="00EF3A99"/>
    <w:rsid w:val="00EF3AB7"/>
    <w:rsid w:val="00EF3B1F"/>
    <w:rsid w:val="00EF3B3D"/>
    <w:rsid w:val="00EF3B5F"/>
    <w:rsid w:val="00EF3B87"/>
    <w:rsid w:val="00EF3BF2"/>
    <w:rsid w:val="00EF3C17"/>
    <w:rsid w:val="00EF3C6D"/>
    <w:rsid w:val="00EF3D11"/>
    <w:rsid w:val="00EF3D19"/>
    <w:rsid w:val="00EF3D63"/>
    <w:rsid w:val="00EF3D6C"/>
    <w:rsid w:val="00EF3DAE"/>
    <w:rsid w:val="00EF3DD0"/>
    <w:rsid w:val="00EF3E29"/>
    <w:rsid w:val="00EF3E44"/>
    <w:rsid w:val="00EF3E5C"/>
    <w:rsid w:val="00EF3E76"/>
    <w:rsid w:val="00EF3F5A"/>
    <w:rsid w:val="00EF3FB0"/>
    <w:rsid w:val="00EF3FB8"/>
    <w:rsid w:val="00EF3FC4"/>
    <w:rsid w:val="00EF3FC6"/>
    <w:rsid w:val="00EF3FF4"/>
    <w:rsid w:val="00EF404D"/>
    <w:rsid w:val="00EF407E"/>
    <w:rsid w:val="00EF40D7"/>
    <w:rsid w:val="00EF4104"/>
    <w:rsid w:val="00EF414E"/>
    <w:rsid w:val="00EF4185"/>
    <w:rsid w:val="00EF41B1"/>
    <w:rsid w:val="00EF41D0"/>
    <w:rsid w:val="00EF42A0"/>
    <w:rsid w:val="00EF42D5"/>
    <w:rsid w:val="00EF4321"/>
    <w:rsid w:val="00EF4323"/>
    <w:rsid w:val="00EF4332"/>
    <w:rsid w:val="00EF43A0"/>
    <w:rsid w:val="00EF43B8"/>
    <w:rsid w:val="00EF447D"/>
    <w:rsid w:val="00EF451F"/>
    <w:rsid w:val="00EF45A1"/>
    <w:rsid w:val="00EF45EA"/>
    <w:rsid w:val="00EF4657"/>
    <w:rsid w:val="00EF4664"/>
    <w:rsid w:val="00EF46BA"/>
    <w:rsid w:val="00EF477B"/>
    <w:rsid w:val="00EF4807"/>
    <w:rsid w:val="00EF48C7"/>
    <w:rsid w:val="00EF4909"/>
    <w:rsid w:val="00EF4977"/>
    <w:rsid w:val="00EF499F"/>
    <w:rsid w:val="00EF49B3"/>
    <w:rsid w:val="00EF4A92"/>
    <w:rsid w:val="00EF4B9B"/>
    <w:rsid w:val="00EF4BBC"/>
    <w:rsid w:val="00EF4BEB"/>
    <w:rsid w:val="00EF4BFC"/>
    <w:rsid w:val="00EF4C54"/>
    <w:rsid w:val="00EF4C73"/>
    <w:rsid w:val="00EF4C7B"/>
    <w:rsid w:val="00EF4C8D"/>
    <w:rsid w:val="00EF4CAF"/>
    <w:rsid w:val="00EF4CBA"/>
    <w:rsid w:val="00EF4D0B"/>
    <w:rsid w:val="00EF4DBE"/>
    <w:rsid w:val="00EF4E7D"/>
    <w:rsid w:val="00EF4E99"/>
    <w:rsid w:val="00EF4F29"/>
    <w:rsid w:val="00EF4FAC"/>
    <w:rsid w:val="00EF4FB7"/>
    <w:rsid w:val="00EF4FD8"/>
    <w:rsid w:val="00EF4FDD"/>
    <w:rsid w:val="00EF5011"/>
    <w:rsid w:val="00EF5091"/>
    <w:rsid w:val="00EF50E7"/>
    <w:rsid w:val="00EF50EC"/>
    <w:rsid w:val="00EF5137"/>
    <w:rsid w:val="00EF522C"/>
    <w:rsid w:val="00EF5263"/>
    <w:rsid w:val="00EF52A8"/>
    <w:rsid w:val="00EF52C2"/>
    <w:rsid w:val="00EF5303"/>
    <w:rsid w:val="00EF5324"/>
    <w:rsid w:val="00EF5372"/>
    <w:rsid w:val="00EF539F"/>
    <w:rsid w:val="00EF53A4"/>
    <w:rsid w:val="00EF5407"/>
    <w:rsid w:val="00EF5552"/>
    <w:rsid w:val="00EF5556"/>
    <w:rsid w:val="00EF555A"/>
    <w:rsid w:val="00EF55DF"/>
    <w:rsid w:val="00EF5619"/>
    <w:rsid w:val="00EF561E"/>
    <w:rsid w:val="00EF5646"/>
    <w:rsid w:val="00EF5654"/>
    <w:rsid w:val="00EF56A6"/>
    <w:rsid w:val="00EF56BE"/>
    <w:rsid w:val="00EF56ED"/>
    <w:rsid w:val="00EF574E"/>
    <w:rsid w:val="00EF576B"/>
    <w:rsid w:val="00EF5773"/>
    <w:rsid w:val="00EF579E"/>
    <w:rsid w:val="00EF57A0"/>
    <w:rsid w:val="00EF57B3"/>
    <w:rsid w:val="00EF585E"/>
    <w:rsid w:val="00EF58B4"/>
    <w:rsid w:val="00EF58B8"/>
    <w:rsid w:val="00EF58F8"/>
    <w:rsid w:val="00EF595D"/>
    <w:rsid w:val="00EF5A3A"/>
    <w:rsid w:val="00EF5A7E"/>
    <w:rsid w:val="00EF5AC9"/>
    <w:rsid w:val="00EF5ACA"/>
    <w:rsid w:val="00EF5ADF"/>
    <w:rsid w:val="00EF5B26"/>
    <w:rsid w:val="00EF5BE8"/>
    <w:rsid w:val="00EF5C29"/>
    <w:rsid w:val="00EF5C7D"/>
    <w:rsid w:val="00EF5C7E"/>
    <w:rsid w:val="00EF5C81"/>
    <w:rsid w:val="00EF5E15"/>
    <w:rsid w:val="00EF5E48"/>
    <w:rsid w:val="00EF5E4B"/>
    <w:rsid w:val="00EF5E5F"/>
    <w:rsid w:val="00EF5EC8"/>
    <w:rsid w:val="00EF5F07"/>
    <w:rsid w:val="00EF5F0E"/>
    <w:rsid w:val="00EF5F71"/>
    <w:rsid w:val="00EF5F9D"/>
    <w:rsid w:val="00EF5FA1"/>
    <w:rsid w:val="00EF601A"/>
    <w:rsid w:val="00EF607B"/>
    <w:rsid w:val="00EF60DF"/>
    <w:rsid w:val="00EF610C"/>
    <w:rsid w:val="00EF613B"/>
    <w:rsid w:val="00EF614C"/>
    <w:rsid w:val="00EF617D"/>
    <w:rsid w:val="00EF6269"/>
    <w:rsid w:val="00EF6278"/>
    <w:rsid w:val="00EF627D"/>
    <w:rsid w:val="00EF62EC"/>
    <w:rsid w:val="00EF640E"/>
    <w:rsid w:val="00EF6419"/>
    <w:rsid w:val="00EF6523"/>
    <w:rsid w:val="00EF6526"/>
    <w:rsid w:val="00EF6545"/>
    <w:rsid w:val="00EF6548"/>
    <w:rsid w:val="00EF6564"/>
    <w:rsid w:val="00EF65ED"/>
    <w:rsid w:val="00EF65F7"/>
    <w:rsid w:val="00EF660B"/>
    <w:rsid w:val="00EF661C"/>
    <w:rsid w:val="00EF66EA"/>
    <w:rsid w:val="00EF678A"/>
    <w:rsid w:val="00EF67D9"/>
    <w:rsid w:val="00EF6806"/>
    <w:rsid w:val="00EF6832"/>
    <w:rsid w:val="00EF68C5"/>
    <w:rsid w:val="00EF6A03"/>
    <w:rsid w:val="00EF6A20"/>
    <w:rsid w:val="00EF6A2E"/>
    <w:rsid w:val="00EF6A7A"/>
    <w:rsid w:val="00EF6A7D"/>
    <w:rsid w:val="00EF6AB2"/>
    <w:rsid w:val="00EF6ADF"/>
    <w:rsid w:val="00EF6B01"/>
    <w:rsid w:val="00EF6B11"/>
    <w:rsid w:val="00EF6B29"/>
    <w:rsid w:val="00EF6B5B"/>
    <w:rsid w:val="00EF6B6B"/>
    <w:rsid w:val="00EF6C4E"/>
    <w:rsid w:val="00EF6C55"/>
    <w:rsid w:val="00EF6C64"/>
    <w:rsid w:val="00EF6CC0"/>
    <w:rsid w:val="00EF6CC4"/>
    <w:rsid w:val="00EF6F4E"/>
    <w:rsid w:val="00EF6F6F"/>
    <w:rsid w:val="00EF6FA3"/>
    <w:rsid w:val="00EF6FF2"/>
    <w:rsid w:val="00EF700A"/>
    <w:rsid w:val="00EF7023"/>
    <w:rsid w:val="00EF7029"/>
    <w:rsid w:val="00EF705D"/>
    <w:rsid w:val="00EF7066"/>
    <w:rsid w:val="00EF7121"/>
    <w:rsid w:val="00EF713A"/>
    <w:rsid w:val="00EF713B"/>
    <w:rsid w:val="00EF7192"/>
    <w:rsid w:val="00EF719D"/>
    <w:rsid w:val="00EF71CC"/>
    <w:rsid w:val="00EF71D3"/>
    <w:rsid w:val="00EF72FC"/>
    <w:rsid w:val="00EF732A"/>
    <w:rsid w:val="00EF7331"/>
    <w:rsid w:val="00EF7358"/>
    <w:rsid w:val="00EF7382"/>
    <w:rsid w:val="00EF73ED"/>
    <w:rsid w:val="00EF73F4"/>
    <w:rsid w:val="00EF749E"/>
    <w:rsid w:val="00EF7547"/>
    <w:rsid w:val="00EF7555"/>
    <w:rsid w:val="00EF756F"/>
    <w:rsid w:val="00EF75CF"/>
    <w:rsid w:val="00EF75EC"/>
    <w:rsid w:val="00EF7603"/>
    <w:rsid w:val="00EF7678"/>
    <w:rsid w:val="00EF76A6"/>
    <w:rsid w:val="00EF76D6"/>
    <w:rsid w:val="00EF7743"/>
    <w:rsid w:val="00EF77A0"/>
    <w:rsid w:val="00EF77C8"/>
    <w:rsid w:val="00EF77CB"/>
    <w:rsid w:val="00EF787D"/>
    <w:rsid w:val="00EF78AC"/>
    <w:rsid w:val="00EF78C5"/>
    <w:rsid w:val="00EF78DE"/>
    <w:rsid w:val="00EF7938"/>
    <w:rsid w:val="00EF7974"/>
    <w:rsid w:val="00EF7977"/>
    <w:rsid w:val="00EF79BF"/>
    <w:rsid w:val="00EF79F8"/>
    <w:rsid w:val="00EF7A1B"/>
    <w:rsid w:val="00EF7A65"/>
    <w:rsid w:val="00EF7A8A"/>
    <w:rsid w:val="00EF7AD1"/>
    <w:rsid w:val="00EF7AD9"/>
    <w:rsid w:val="00EF7B1B"/>
    <w:rsid w:val="00EF7B2F"/>
    <w:rsid w:val="00EF7BD3"/>
    <w:rsid w:val="00EF7BD4"/>
    <w:rsid w:val="00EF7BD5"/>
    <w:rsid w:val="00EF7BD8"/>
    <w:rsid w:val="00EF7C5F"/>
    <w:rsid w:val="00EF7D09"/>
    <w:rsid w:val="00EF7D17"/>
    <w:rsid w:val="00EF7D42"/>
    <w:rsid w:val="00EF7D5B"/>
    <w:rsid w:val="00EF7D6A"/>
    <w:rsid w:val="00EF7D9D"/>
    <w:rsid w:val="00EF7DFC"/>
    <w:rsid w:val="00EF7E2B"/>
    <w:rsid w:val="00EF7E6D"/>
    <w:rsid w:val="00EF7E93"/>
    <w:rsid w:val="00EF7EDF"/>
    <w:rsid w:val="00EF7EE4"/>
    <w:rsid w:val="00EF7F7D"/>
    <w:rsid w:val="00EF7FB5"/>
    <w:rsid w:val="00EF7FD9"/>
    <w:rsid w:val="00F0004F"/>
    <w:rsid w:val="00F00060"/>
    <w:rsid w:val="00F000A7"/>
    <w:rsid w:val="00F000BD"/>
    <w:rsid w:val="00F000DC"/>
    <w:rsid w:val="00F000E9"/>
    <w:rsid w:val="00F000F5"/>
    <w:rsid w:val="00F00272"/>
    <w:rsid w:val="00F00370"/>
    <w:rsid w:val="00F00387"/>
    <w:rsid w:val="00F003CC"/>
    <w:rsid w:val="00F003FA"/>
    <w:rsid w:val="00F00486"/>
    <w:rsid w:val="00F00490"/>
    <w:rsid w:val="00F004E0"/>
    <w:rsid w:val="00F00503"/>
    <w:rsid w:val="00F0055A"/>
    <w:rsid w:val="00F00581"/>
    <w:rsid w:val="00F005A7"/>
    <w:rsid w:val="00F005F2"/>
    <w:rsid w:val="00F00604"/>
    <w:rsid w:val="00F0061A"/>
    <w:rsid w:val="00F0065A"/>
    <w:rsid w:val="00F006B3"/>
    <w:rsid w:val="00F0074C"/>
    <w:rsid w:val="00F00787"/>
    <w:rsid w:val="00F00898"/>
    <w:rsid w:val="00F008AC"/>
    <w:rsid w:val="00F008E0"/>
    <w:rsid w:val="00F00929"/>
    <w:rsid w:val="00F00938"/>
    <w:rsid w:val="00F0095D"/>
    <w:rsid w:val="00F00A07"/>
    <w:rsid w:val="00F00A6A"/>
    <w:rsid w:val="00F00A85"/>
    <w:rsid w:val="00F00AB0"/>
    <w:rsid w:val="00F00AC5"/>
    <w:rsid w:val="00F00AD5"/>
    <w:rsid w:val="00F00AFA"/>
    <w:rsid w:val="00F00B2F"/>
    <w:rsid w:val="00F00B55"/>
    <w:rsid w:val="00F00C34"/>
    <w:rsid w:val="00F00C35"/>
    <w:rsid w:val="00F00CBA"/>
    <w:rsid w:val="00F00CD9"/>
    <w:rsid w:val="00F00CEE"/>
    <w:rsid w:val="00F00CF2"/>
    <w:rsid w:val="00F00D78"/>
    <w:rsid w:val="00F00DBF"/>
    <w:rsid w:val="00F00DCE"/>
    <w:rsid w:val="00F00DEE"/>
    <w:rsid w:val="00F00E17"/>
    <w:rsid w:val="00F00E61"/>
    <w:rsid w:val="00F00E94"/>
    <w:rsid w:val="00F00EA9"/>
    <w:rsid w:val="00F00F58"/>
    <w:rsid w:val="00F00F62"/>
    <w:rsid w:val="00F00F6C"/>
    <w:rsid w:val="00F00F73"/>
    <w:rsid w:val="00F00FF0"/>
    <w:rsid w:val="00F01018"/>
    <w:rsid w:val="00F0104E"/>
    <w:rsid w:val="00F0104F"/>
    <w:rsid w:val="00F010C9"/>
    <w:rsid w:val="00F010D4"/>
    <w:rsid w:val="00F0111F"/>
    <w:rsid w:val="00F01120"/>
    <w:rsid w:val="00F0114B"/>
    <w:rsid w:val="00F01226"/>
    <w:rsid w:val="00F01240"/>
    <w:rsid w:val="00F012A0"/>
    <w:rsid w:val="00F012BB"/>
    <w:rsid w:val="00F012DB"/>
    <w:rsid w:val="00F012DF"/>
    <w:rsid w:val="00F012F6"/>
    <w:rsid w:val="00F012FC"/>
    <w:rsid w:val="00F0131B"/>
    <w:rsid w:val="00F01331"/>
    <w:rsid w:val="00F01342"/>
    <w:rsid w:val="00F01420"/>
    <w:rsid w:val="00F0144F"/>
    <w:rsid w:val="00F01479"/>
    <w:rsid w:val="00F014C9"/>
    <w:rsid w:val="00F0156C"/>
    <w:rsid w:val="00F0161E"/>
    <w:rsid w:val="00F0162C"/>
    <w:rsid w:val="00F01673"/>
    <w:rsid w:val="00F016AB"/>
    <w:rsid w:val="00F016AC"/>
    <w:rsid w:val="00F01747"/>
    <w:rsid w:val="00F01755"/>
    <w:rsid w:val="00F01764"/>
    <w:rsid w:val="00F01798"/>
    <w:rsid w:val="00F017C6"/>
    <w:rsid w:val="00F01832"/>
    <w:rsid w:val="00F01912"/>
    <w:rsid w:val="00F01935"/>
    <w:rsid w:val="00F0195D"/>
    <w:rsid w:val="00F01968"/>
    <w:rsid w:val="00F0198E"/>
    <w:rsid w:val="00F0199E"/>
    <w:rsid w:val="00F019AA"/>
    <w:rsid w:val="00F019BF"/>
    <w:rsid w:val="00F019D6"/>
    <w:rsid w:val="00F01A1A"/>
    <w:rsid w:val="00F01A84"/>
    <w:rsid w:val="00F01AED"/>
    <w:rsid w:val="00F01B3A"/>
    <w:rsid w:val="00F01BEB"/>
    <w:rsid w:val="00F01C40"/>
    <w:rsid w:val="00F01CE4"/>
    <w:rsid w:val="00F01D2D"/>
    <w:rsid w:val="00F01D54"/>
    <w:rsid w:val="00F01D76"/>
    <w:rsid w:val="00F01DAA"/>
    <w:rsid w:val="00F01E37"/>
    <w:rsid w:val="00F01E78"/>
    <w:rsid w:val="00F01EB8"/>
    <w:rsid w:val="00F01ECF"/>
    <w:rsid w:val="00F01F51"/>
    <w:rsid w:val="00F01F58"/>
    <w:rsid w:val="00F02077"/>
    <w:rsid w:val="00F020B5"/>
    <w:rsid w:val="00F020C5"/>
    <w:rsid w:val="00F0214B"/>
    <w:rsid w:val="00F0223F"/>
    <w:rsid w:val="00F0225D"/>
    <w:rsid w:val="00F02280"/>
    <w:rsid w:val="00F022B2"/>
    <w:rsid w:val="00F0234C"/>
    <w:rsid w:val="00F023D8"/>
    <w:rsid w:val="00F02419"/>
    <w:rsid w:val="00F024A9"/>
    <w:rsid w:val="00F024BE"/>
    <w:rsid w:val="00F024E9"/>
    <w:rsid w:val="00F025AD"/>
    <w:rsid w:val="00F02651"/>
    <w:rsid w:val="00F02778"/>
    <w:rsid w:val="00F02816"/>
    <w:rsid w:val="00F02838"/>
    <w:rsid w:val="00F02884"/>
    <w:rsid w:val="00F02892"/>
    <w:rsid w:val="00F028D6"/>
    <w:rsid w:val="00F02901"/>
    <w:rsid w:val="00F0290F"/>
    <w:rsid w:val="00F0299C"/>
    <w:rsid w:val="00F029FB"/>
    <w:rsid w:val="00F02A62"/>
    <w:rsid w:val="00F02A6D"/>
    <w:rsid w:val="00F02A99"/>
    <w:rsid w:val="00F02AA2"/>
    <w:rsid w:val="00F02AB9"/>
    <w:rsid w:val="00F02ABA"/>
    <w:rsid w:val="00F02B98"/>
    <w:rsid w:val="00F02BE7"/>
    <w:rsid w:val="00F02BEC"/>
    <w:rsid w:val="00F02C75"/>
    <w:rsid w:val="00F02CDA"/>
    <w:rsid w:val="00F02CE5"/>
    <w:rsid w:val="00F02DBE"/>
    <w:rsid w:val="00F02DCC"/>
    <w:rsid w:val="00F02DE8"/>
    <w:rsid w:val="00F02E0C"/>
    <w:rsid w:val="00F02EA0"/>
    <w:rsid w:val="00F02EC2"/>
    <w:rsid w:val="00F02EF9"/>
    <w:rsid w:val="00F02F07"/>
    <w:rsid w:val="00F02F47"/>
    <w:rsid w:val="00F02F49"/>
    <w:rsid w:val="00F02F52"/>
    <w:rsid w:val="00F02F65"/>
    <w:rsid w:val="00F02FAF"/>
    <w:rsid w:val="00F03000"/>
    <w:rsid w:val="00F03004"/>
    <w:rsid w:val="00F030C7"/>
    <w:rsid w:val="00F030D8"/>
    <w:rsid w:val="00F030E4"/>
    <w:rsid w:val="00F030F1"/>
    <w:rsid w:val="00F03114"/>
    <w:rsid w:val="00F0313E"/>
    <w:rsid w:val="00F0315C"/>
    <w:rsid w:val="00F031D5"/>
    <w:rsid w:val="00F031F6"/>
    <w:rsid w:val="00F0324E"/>
    <w:rsid w:val="00F03263"/>
    <w:rsid w:val="00F032A1"/>
    <w:rsid w:val="00F03322"/>
    <w:rsid w:val="00F033A8"/>
    <w:rsid w:val="00F03401"/>
    <w:rsid w:val="00F0344A"/>
    <w:rsid w:val="00F0346B"/>
    <w:rsid w:val="00F0348F"/>
    <w:rsid w:val="00F034A3"/>
    <w:rsid w:val="00F034AB"/>
    <w:rsid w:val="00F0357C"/>
    <w:rsid w:val="00F035B6"/>
    <w:rsid w:val="00F03644"/>
    <w:rsid w:val="00F03653"/>
    <w:rsid w:val="00F03677"/>
    <w:rsid w:val="00F0367B"/>
    <w:rsid w:val="00F0370B"/>
    <w:rsid w:val="00F03732"/>
    <w:rsid w:val="00F03798"/>
    <w:rsid w:val="00F037A7"/>
    <w:rsid w:val="00F03862"/>
    <w:rsid w:val="00F038A8"/>
    <w:rsid w:val="00F038B7"/>
    <w:rsid w:val="00F038BF"/>
    <w:rsid w:val="00F03930"/>
    <w:rsid w:val="00F03968"/>
    <w:rsid w:val="00F03A69"/>
    <w:rsid w:val="00F03ABE"/>
    <w:rsid w:val="00F03AE6"/>
    <w:rsid w:val="00F03AFE"/>
    <w:rsid w:val="00F03B15"/>
    <w:rsid w:val="00F03B3C"/>
    <w:rsid w:val="00F03CC1"/>
    <w:rsid w:val="00F03CD4"/>
    <w:rsid w:val="00F03CDC"/>
    <w:rsid w:val="00F03D10"/>
    <w:rsid w:val="00F03D9E"/>
    <w:rsid w:val="00F03E42"/>
    <w:rsid w:val="00F03E4B"/>
    <w:rsid w:val="00F03E61"/>
    <w:rsid w:val="00F03EA8"/>
    <w:rsid w:val="00F03EF1"/>
    <w:rsid w:val="00F03F2F"/>
    <w:rsid w:val="00F03F56"/>
    <w:rsid w:val="00F03F5E"/>
    <w:rsid w:val="00F03F87"/>
    <w:rsid w:val="00F0402B"/>
    <w:rsid w:val="00F0415C"/>
    <w:rsid w:val="00F04184"/>
    <w:rsid w:val="00F0419A"/>
    <w:rsid w:val="00F0419C"/>
    <w:rsid w:val="00F041BA"/>
    <w:rsid w:val="00F041EA"/>
    <w:rsid w:val="00F042C3"/>
    <w:rsid w:val="00F0434C"/>
    <w:rsid w:val="00F04365"/>
    <w:rsid w:val="00F04401"/>
    <w:rsid w:val="00F044C6"/>
    <w:rsid w:val="00F04540"/>
    <w:rsid w:val="00F04545"/>
    <w:rsid w:val="00F0454F"/>
    <w:rsid w:val="00F045C3"/>
    <w:rsid w:val="00F045CE"/>
    <w:rsid w:val="00F04604"/>
    <w:rsid w:val="00F0460F"/>
    <w:rsid w:val="00F0464E"/>
    <w:rsid w:val="00F0465B"/>
    <w:rsid w:val="00F04669"/>
    <w:rsid w:val="00F0467E"/>
    <w:rsid w:val="00F046B4"/>
    <w:rsid w:val="00F046E1"/>
    <w:rsid w:val="00F04746"/>
    <w:rsid w:val="00F0476F"/>
    <w:rsid w:val="00F04781"/>
    <w:rsid w:val="00F0486A"/>
    <w:rsid w:val="00F048CF"/>
    <w:rsid w:val="00F048E7"/>
    <w:rsid w:val="00F048FA"/>
    <w:rsid w:val="00F0491C"/>
    <w:rsid w:val="00F04964"/>
    <w:rsid w:val="00F0497F"/>
    <w:rsid w:val="00F04A2A"/>
    <w:rsid w:val="00F04A53"/>
    <w:rsid w:val="00F04AD9"/>
    <w:rsid w:val="00F04B5C"/>
    <w:rsid w:val="00F04BD0"/>
    <w:rsid w:val="00F04C29"/>
    <w:rsid w:val="00F04C35"/>
    <w:rsid w:val="00F04C36"/>
    <w:rsid w:val="00F04C3E"/>
    <w:rsid w:val="00F04C48"/>
    <w:rsid w:val="00F04CCA"/>
    <w:rsid w:val="00F04CD7"/>
    <w:rsid w:val="00F04CF9"/>
    <w:rsid w:val="00F04D95"/>
    <w:rsid w:val="00F04E7B"/>
    <w:rsid w:val="00F04E94"/>
    <w:rsid w:val="00F04EA6"/>
    <w:rsid w:val="00F04ECD"/>
    <w:rsid w:val="00F04F09"/>
    <w:rsid w:val="00F04F3C"/>
    <w:rsid w:val="00F04F65"/>
    <w:rsid w:val="00F04FE0"/>
    <w:rsid w:val="00F0504C"/>
    <w:rsid w:val="00F05066"/>
    <w:rsid w:val="00F05121"/>
    <w:rsid w:val="00F0512E"/>
    <w:rsid w:val="00F0513D"/>
    <w:rsid w:val="00F05199"/>
    <w:rsid w:val="00F05285"/>
    <w:rsid w:val="00F052B3"/>
    <w:rsid w:val="00F05315"/>
    <w:rsid w:val="00F0531E"/>
    <w:rsid w:val="00F0542D"/>
    <w:rsid w:val="00F05478"/>
    <w:rsid w:val="00F0547E"/>
    <w:rsid w:val="00F054BB"/>
    <w:rsid w:val="00F0551F"/>
    <w:rsid w:val="00F0552E"/>
    <w:rsid w:val="00F05600"/>
    <w:rsid w:val="00F0561C"/>
    <w:rsid w:val="00F056AC"/>
    <w:rsid w:val="00F056C3"/>
    <w:rsid w:val="00F0570F"/>
    <w:rsid w:val="00F057B6"/>
    <w:rsid w:val="00F057E3"/>
    <w:rsid w:val="00F05809"/>
    <w:rsid w:val="00F05830"/>
    <w:rsid w:val="00F05996"/>
    <w:rsid w:val="00F059A0"/>
    <w:rsid w:val="00F059FC"/>
    <w:rsid w:val="00F05A50"/>
    <w:rsid w:val="00F05A65"/>
    <w:rsid w:val="00F05A69"/>
    <w:rsid w:val="00F05A89"/>
    <w:rsid w:val="00F05A8D"/>
    <w:rsid w:val="00F05B15"/>
    <w:rsid w:val="00F05BB1"/>
    <w:rsid w:val="00F05C9B"/>
    <w:rsid w:val="00F05CA4"/>
    <w:rsid w:val="00F05CB3"/>
    <w:rsid w:val="00F05CBD"/>
    <w:rsid w:val="00F05CC6"/>
    <w:rsid w:val="00F05D37"/>
    <w:rsid w:val="00F05D3F"/>
    <w:rsid w:val="00F05DBC"/>
    <w:rsid w:val="00F05DBD"/>
    <w:rsid w:val="00F05DDB"/>
    <w:rsid w:val="00F05E1D"/>
    <w:rsid w:val="00F05E27"/>
    <w:rsid w:val="00F05E2F"/>
    <w:rsid w:val="00F05E58"/>
    <w:rsid w:val="00F05F5F"/>
    <w:rsid w:val="00F05FCB"/>
    <w:rsid w:val="00F05FEB"/>
    <w:rsid w:val="00F06009"/>
    <w:rsid w:val="00F0601B"/>
    <w:rsid w:val="00F06106"/>
    <w:rsid w:val="00F06198"/>
    <w:rsid w:val="00F061A6"/>
    <w:rsid w:val="00F061BF"/>
    <w:rsid w:val="00F062CA"/>
    <w:rsid w:val="00F063A0"/>
    <w:rsid w:val="00F0642C"/>
    <w:rsid w:val="00F06430"/>
    <w:rsid w:val="00F06462"/>
    <w:rsid w:val="00F064A9"/>
    <w:rsid w:val="00F064B4"/>
    <w:rsid w:val="00F064DC"/>
    <w:rsid w:val="00F0652E"/>
    <w:rsid w:val="00F06567"/>
    <w:rsid w:val="00F06598"/>
    <w:rsid w:val="00F065C2"/>
    <w:rsid w:val="00F06608"/>
    <w:rsid w:val="00F06641"/>
    <w:rsid w:val="00F06665"/>
    <w:rsid w:val="00F06694"/>
    <w:rsid w:val="00F066C4"/>
    <w:rsid w:val="00F066DA"/>
    <w:rsid w:val="00F06716"/>
    <w:rsid w:val="00F06717"/>
    <w:rsid w:val="00F06814"/>
    <w:rsid w:val="00F06831"/>
    <w:rsid w:val="00F0686E"/>
    <w:rsid w:val="00F06877"/>
    <w:rsid w:val="00F068D6"/>
    <w:rsid w:val="00F068F3"/>
    <w:rsid w:val="00F06988"/>
    <w:rsid w:val="00F06A21"/>
    <w:rsid w:val="00F06A2C"/>
    <w:rsid w:val="00F06A71"/>
    <w:rsid w:val="00F06B2E"/>
    <w:rsid w:val="00F06B37"/>
    <w:rsid w:val="00F06B5F"/>
    <w:rsid w:val="00F06BB3"/>
    <w:rsid w:val="00F06BCA"/>
    <w:rsid w:val="00F06BD3"/>
    <w:rsid w:val="00F06BF6"/>
    <w:rsid w:val="00F06C01"/>
    <w:rsid w:val="00F06C0C"/>
    <w:rsid w:val="00F06C15"/>
    <w:rsid w:val="00F06C2D"/>
    <w:rsid w:val="00F06C33"/>
    <w:rsid w:val="00F06C3A"/>
    <w:rsid w:val="00F06C4B"/>
    <w:rsid w:val="00F06C84"/>
    <w:rsid w:val="00F06CA2"/>
    <w:rsid w:val="00F06D08"/>
    <w:rsid w:val="00F06D84"/>
    <w:rsid w:val="00F06D90"/>
    <w:rsid w:val="00F06E3D"/>
    <w:rsid w:val="00F06EA2"/>
    <w:rsid w:val="00F06F3C"/>
    <w:rsid w:val="00F06F61"/>
    <w:rsid w:val="00F06FA3"/>
    <w:rsid w:val="00F06FDA"/>
    <w:rsid w:val="00F07004"/>
    <w:rsid w:val="00F070A1"/>
    <w:rsid w:val="00F070DB"/>
    <w:rsid w:val="00F0713C"/>
    <w:rsid w:val="00F0717B"/>
    <w:rsid w:val="00F0719F"/>
    <w:rsid w:val="00F07210"/>
    <w:rsid w:val="00F07215"/>
    <w:rsid w:val="00F072BB"/>
    <w:rsid w:val="00F072F8"/>
    <w:rsid w:val="00F0738D"/>
    <w:rsid w:val="00F073CD"/>
    <w:rsid w:val="00F0742B"/>
    <w:rsid w:val="00F074DB"/>
    <w:rsid w:val="00F07509"/>
    <w:rsid w:val="00F07547"/>
    <w:rsid w:val="00F0754B"/>
    <w:rsid w:val="00F0763F"/>
    <w:rsid w:val="00F07761"/>
    <w:rsid w:val="00F077CB"/>
    <w:rsid w:val="00F07826"/>
    <w:rsid w:val="00F078A9"/>
    <w:rsid w:val="00F078C5"/>
    <w:rsid w:val="00F078E1"/>
    <w:rsid w:val="00F07A10"/>
    <w:rsid w:val="00F07A37"/>
    <w:rsid w:val="00F07ADB"/>
    <w:rsid w:val="00F07AEA"/>
    <w:rsid w:val="00F07B44"/>
    <w:rsid w:val="00F07B9F"/>
    <w:rsid w:val="00F07BAC"/>
    <w:rsid w:val="00F07BB5"/>
    <w:rsid w:val="00F07BF8"/>
    <w:rsid w:val="00F07C47"/>
    <w:rsid w:val="00F07C6C"/>
    <w:rsid w:val="00F07CD0"/>
    <w:rsid w:val="00F07CE0"/>
    <w:rsid w:val="00F07CF9"/>
    <w:rsid w:val="00F07D97"/>
    <w:rsid w:val="00F07DB5"/>
    <w:rsid w:val="00F07E04"/>
    <w:rsid w:val="00F07E28"/>
    <w:rsid w:val="00F07E3F"/>
    <w:rsid w:val="00F07EB5"/>
    <w:rsid w:val="00F07EDA"/>
    <w:rsid w:val="00F07F37"/>
    <w:rsid w:val="00F07F80"/>
    <w:rsid w:val="00F07FFA"/>
    <w:rsid w:val="00F1007A"/>
    <w:rsid w:val="00F100A6"/>
    <w:rsid w:val="00F100C5"/>
    <w:rsid w:val="00F10122"/>
    <w:rsid w:val="00F1019E"/>
    <w:rsid w:val="00F101C1"/>
    <w:rsid w:val="00F10266"/>
    <w:rsid w:val="00F102B9"/>
    <w:rsid w:val="00F102CB"/>
    <w:rsid w:val="00F10335"/>
    <w:rsid w:val="00F10344"/>
    <w:rsid w:val="00F103A8"/>
    <w:rsid w:val="00F10488"/>
    <w:rsid w:val="00F104E1"/>
    <w:rsid w:val="00F104FA"/>
    <w:rsid w:val="00F105C7"/>
    <w:rsid w:val="00F105D4"/>
    <w:rsid w:val="00F10640"/>
    <w:rsid w:val="00F10679"/>
    <w:rsid w:val="00F106D0"/>
    <w:rsid w:val="00F106D8"/>
    <w:rsid w:val="00F1071A"/>
    <w:rsid w:val="00F1079F"/>
    <w:rsid w:val="00F107BF"/>
    <w:rsid w:val="00F107D7"/>
    <w:rsid w:val="00F107DF"/>
    <w:rsid w:val="00F107F8"/>
    <w:rsid w:val="00F1081B"/>
    <w:rsid w:val="00F10856"/>
    <w:rsid w:val="00F10890"/>
    <w:rsid w:val="00F10B48"/>
    <w:rsid w:val="00F10BBC"/>
    <w:rsid w:val="00F10C1C"/>
    <w:rsid w:val="00F10C5A"/>
    <w:rsid w:val="00F10C5D"/>
    <w:rsid w:val="00F10C88"/>
    <w:rsid w:val="00F10CE7"/>
    <w:rsid w:val="00F10D76"/>
    <w:rsid w:val="00F10D82"/>
    <w:rsid w:val="00F10DD4"/>
    <w:rsid w:val="00F10DDC"/>
    <w:rsid w:val="00F10E1F"/>
    <w:rsid w:val="00F10E6B"/>
    <w:rsid w:val="00F10E8E"/>
    <w:rsid w:val="00F10EC5"/>
    <w:rsid w:val="00F10F36"/>
    <w:rsid w:val="00F10F42"/>
    <w:rsid w:val="00F10F71"/>
    <w:rsid w:val="00F1105F"/>
    <w:rsid w:val="00F110DE"/>
    <w:rsid w:val="00F110EB"/>
    <w:rsid w:val="00F11135"/>
    <w:rsid w:val="00F1115C"/>
    <w:rsid w:val="00F11179"/>
    <w:rsid w:val="00F111F2"/>
    <w:rsid w:val="00F11286"/>
    <w:rsid w:val="00F1132D"/>
    <w:rsid w:val="00F1138C"/>
    <w:rsid w:val="00F11393"/>
    <w:rsid w:val="00F113BB"/>
    <w:rsid w:val="00F1146B"/>
    <w:rsid w:val="00F11494"/>
    <w:rsid w:val="00F114B1"/>
    <w:rsid w:val="00F11555"/>
    <w:rsid w:val="00F11574"/>
    <w:rsid w:val="00F11594"/>
    <w:rsid w:val="00F11597"/>
    <w:rsid w:val="00F115E3"/>
    <w:rsid w:val="00F11611"/>
    <w:rsid w:val="00F1166E"/>
    <w:rsid w:val="00F116F2"/>
    <w:rsid w:val="00F11708"/>
    <w:rsid w:val="00F11710"/>
    <w:rsid w:val="00F11716"/>
    <w:rsid w:val="00F11784"/>
    <w:rsid w:val="00F117F6"/>
    <w:rsid w:val="00F1180F"/>
    <w:rsid w:val="00F11848"/>
    <w:rsid w:val="00F1187C"/>
    <w:rsid w:val="00F11881"/>
    <w:rsid w:val="00F118D7"/>
    <w:rsid w:val="00F118DD"/>
    <w:rsid w:val="00F11916"/>
    <w:rsid w:val="00F11986"/>
    <w:rsid w:val="00F119B5"/>
    <w:rsid w:val="00F11AAD"/>
    <w:rsid w:val="00F11B00"/>
    <w:rsid w:val="00F11B2F"/>
    <w:rsid w:val="00F11B7D"/>
    <w:rsid w:val="00F11B8E"/>
    <w:rsid w:val="00F11B93"/>
    <w:rsid w:val="00F11C17"/>
    <w:rsid w:val="00F11C66"/>
    <w:rsid w:val="00F11CC2"/>
    <w:rsid w:val="00F11D28"/>
    <w:rsid w:val="00F11DBF"/>
    <w:rsid w:val="00F11DDF"/>
    <w:rsid w:val="00F11E51"/>
    <w:rsid w:val="00F11E83"/>
    <w:rsid w:val="00F11EC2"/>
    <w:rsid w:val="00F11F50"/>
    <w:rsid w:val="00F11FAB"/>
    <w:rsid w:val="00F12006"/>
    <w:rsid w:val="00F12047"/>
    <w:rsid w:val="00F12070"/>
    <w:rsid w:val="00F120D2"/>
    <w:rsid w:val="00F12156"/>
    <w:rsid w:val="00F1217A"/>
    <w:rsid w:val="00F121D9"/>
    <w:rsid w:val="00F121F5"/>
    <w:rsid w:val="00F122A3"/>
    <w:rsid w:val="00F122A7"/>
    <w:rsid w:val="00F12335"/>
    <w:rsid w:val="00F12375"/>
    <w:rsid w:val="00F1238D"/>
    <w:rsid w:val="00F123AE"/>
    <w:rsid w:val="00F1240F"/>
    <w:rsid w:val="00F12414"/>
    <w:rsid w:val="00F12433"/>
    <w:rsid w:val="00F1243F"/>
    <w:rsid w:val="00F1247F"/>
    <w:rsid w:val="00F12496"/>
    <w:rsid w:val="00F124CF"/>
    <w:rsid w:val="00F12531"/>
    <w:rsid w:val="00F1259D"/>
    <w:rsid w:val="00F12615"/>
    <w:rsid w:val="00F12634"/>
    <w:rsid w:val="00F1268E"/>
    <w:rsid w:val="00F12690"/>
    <w:rsid w:val="00F126F8"/>
    <w:rsid w:val="00F12730"/>
    <w:rsid w:val="00F127A6"/>
    <w:rsid w:val="00F127AE"/>
    <w:rsid w:val="00F127F2"/>
    <w:rsid w:val="00F12804"/>
    <w:rsid w:val="00F12874"/>
    <w:rsid w:val="00F12886"/>
    <w:rsid w:val="00F128C3"/>
    <w:rsid w:val="00F128DF"/>
    <w:rsid w:val="00F12935"/>
    <w:rsid w:val="00F12936"/>
    <w:rsid w:val="00F12988"/>
    <w:rsid w:val="00F12A7F"/>
    <w:rsid w:val="00F12ADD"/>
    <w:rsid w:val="00F12B0C"/>
    <w:rsid w:val="00F12B1C"/>
    <w:rsid w:val="00F12B29"/>
    <w:rsid w:val="00F12B48"/>
    <w:rsid w:val="00F12C74"/>
    <w:rsid w:val="00F12C7E"/>
    <w:rsid w:val="00F12CD3"/>
    <w:rsid w:val="00F12D19"/>
    <w:rsid w:val="00F12D86"/>
    <w:rsid w:val="00F12D97"/>
    <w:rsid w:val="00F12DC3"/>
    <w:rsid w:val="00F12DD3"/>
    <w:rsid w:val="00F12E06"/>
    <w:rsid w:val="00F12E30"/>
    <w:rsid w:val="00F12E43"/>
    <w:rsid w:val="00F12E4F"/>
    <w:rsid w:val="00F12E82"/>
    <w:rsid w:val="00F12EDB"/>
    <w:rsid w:val="00F12F51"/>
    <w:rsid w:val="00F12F54"/>
    <w:rsid w:val="00F12FD7"/>
    <w:rsid w:val="00F12FDA"/>
    <w:rsid w:val="00F130A4"/>
    <w:rsid w:val="00F1315C"/>
    <w:rsid w:val="00F1320D"/>
    <w:rsid w:val="00F13210"/>
    <w:rsid w:val="00F13246"/>
    <w:rsid w:val="00F1327E"/>
    <w:rsid w:val="00F133C9"/>
    <w:rsid w:val="00F133F9"/>
    <w:rsid w:val="00F13403"/>
    <w:rsid w:val="00F1342B"/>
    <w:rsid w:val="00F13459"/>
    <w:rsid w:val="00F134D3"/>
    <w:rsid w:val="00F13509"/>
    <w:rsid w:val="00F1354F"/>
    <w:rsid w:val="00F1358C"/>
    <w:rsid w:val="00F135A4"/>
    <w:rsid w:val="00F135F5"/>
    <w:rsid w:val="00F1363B"/>
    <w:rsid w:val="00F136DC"/>
    <w:rsid w:val="00F136DF"/>
    <w:rsid w:val="00F13786"/>
    <w:rsid w:val="00F13796"/>
    <w:rsid w:val="00F137E8"/>
    <w:rsid w:val="00F137EE"/>
    <w:rsid w:val="00F13850"/>
    <w:rsid w:val="00F1389F"/>
    <w:rsid w:val="00F13928"/>
    <w:rsid w:val="00F1392F"/>
    <w:rsid w:val="00F13965"/>
    <w:rsid w:val="00F13975"/>
    <w:rsid w:val="00F139A0"/>
    <w:rsid w:val="00F139AF"/>
    <w:rsid w:val="00F13AA4"/>
    <w:rsid w:val="00F13AEA"/>
    <w:rsid w:val="00F13AEE"/>
    <w:rsid w:val="00F13B33"/>
    <w:rsid w:val="00F13B80"/>
    <w:rsid w:val="00F13B97"/>
    <w:rsid w:val="00F13BA2"/>
    <w:rsid w:val="00F13C0E"/>
    <w:rsid w:val="00F13C0F"/>
    <w:rsid w:val="00F13C6D"/>
    <w:rsid w:val="00F13C9B"/>
    <w:rsid w:val="00F13CB6"/>
    <w:rsid w:val="00F13D01"/>
    <w:rsid w:val="00F13DC9"/>
    <w:rsid w:val="00F13DCB"/>
    <w:rsid w:val="00F13E01"/>
    <w:rsid w:val="00F13E29"/>
    <w:rsid w:val="00F13E6C"/>
    <w:rsid w:val="00F13E77"/>
    <w:rsid w:val="00F13E7C"/>
    <w:rsid w:val="00F13E90"/>
    <w:rsid w:val="00F13F5B"/>
    <w:rsid w:val="00F13FAB"/>
    <w:rsid w:val="00F1402E"/>
    <w:rsid w:val="00F1409E"/>
    <w:rsid w:val="00F140D5"/>
    <w:rsid w:val="00F140E0"/>
    <w:rsid w:val="00F140E5"/>
    <w:rsid w:val="00F140F0"/>
    <w:rsid w:val="00F14115"/>
    <w:rsid w:val="00F14144"/>
    <w:rsid w:val="00F141C8"/>
    <w:rsid w:val="00F141EA"/>
    <w:rsid w:val="00F1431C"/>
    <w:rsid w:val="00F1432C"/>
    <w:rsid w:val="00F143EF"/>
    <w:rsid w:val="00F143FA"/>
    <w:rsid w:val="00F144AE"/>
    <w:rsid w:val="00F144E4"/>
    <w:rsid w:val="00F144E8"/>
    <w:rsid w:val="00F14504"/>
    <w:rsid w:val="00F14505"/>
    <w:rsid w:val="00F1454F"/>
    <w:rsid w:val="00F145C3"/>
    <w:rsid w:val="00F145CF"/>
    <w:rsid w:val="00F145D5"/>
    <w:rsid w:val="00F145FD"/>
    <w:rsid w:val="00F1464A"/>
    <w:rsid w:val="00F14657"/>
    <w:rsid w:val="00F146B3"/>
    <w:rsid w:val="00F146BF"/>
    <w:rsid w:val="00F146D1"/>
    <w:rsid w:val="00F146E1"/>
    <w:rsid w:val="00F146F7"/>
    <w:rsid w:val="00F147B1"/>
    <w:rsid w:val="00F14878"/>
    <w:rsid w:val="00F14885"/>
    <w:rsid w:val="00F148A4"/>
    <w:rsid w:val="00F148A7"/>
    <w:rsid w:val="00F148B8"/>
    <w:rsid w:val="00F148DE"/>
    <w:rsid w:val="00F14942"/>
    <w:rsid w:val="00F14948"/>
    <w:rsid w:val="00F14951"/>
    <w:rsid w:val="00F14987"/>
    <w:rsid w:val="00F149D9"/>
    <w:rsid w:val="00F14A7A"/>
    <w:rsid w:val="00F14A97"/>
    <w:rsid w:val="00F14AAD"/>
    <w:rsid w:val="00F14B5A"/>
    <w:rsid w:val="00F14C09"/>
    <w:rsid w:val="00F14C23"/>
    <w:rsid w:val="00F14C32"/>
    <w:rsid w:val="00F14CED"/>
    <w:rsid w:val="00F14D11"/>
    <w:rsid w:val="00F14D98"/>
    <w:rsid w:val="00F14DCA"/>
    <w:rsid w:val="00F14DDF"/>
    <w:rsid w:val="00F14DF9"/>
    <w:rsid w:val="00F14E97"/>
    <w:rsid w:val="00F14EB6"/>
    <w:rsid w:val="00F14EDE"/>
    <w:rsid w:val="00F14EEF"/>
    <w:rsid w:val="00F14F70"/>
    <w:rsid w:val="00F14F76"/>
    <w:rsid w:val="00F14FDC"/>
    <w:rsid w:val="00F15115"/>
    <w:rsid w:val="00F1513A"/>
    <w:rsid w:val="00F15162"/>
    <w:rsid w:val="00F151A3"/>
    <w:rsid w:val="00F15214"/>
    <w:rsid w:val="00F15294"/>
    <w:rsid w:val="00F152C2"/>
    <w:rsid w:val="00F152D5"/>
    <w:rsid w:val="00F152ED"/>
    <w:rsid w:val="00F15306"/>
    <w:rsid w:val="00F15310"/>
    <w:rsid w:val="00F15336"/>
    <w:rsid w:val="00F15369"/>
    <w:rsid w:val="00F1539B"/>
    <w:rsid w:val="00F153B0"/>
    <w:rsid w:val="00F153DA"/>
    <w:rsid w:val="00F153FE"/>
    <w:rsid w:val="00F1542C"/>
    <w:rsid w:val="00F1543D"/>
    <w:rsid w:val="00F15472"/>
    <w:rsid w:val="00F15496"/>
    <w:rsid w:val="00F154DC"/>
    <w:rsid w:val="00F1551D"/>
    <w:rsid w:val="00F1553F"/>
    <w:rsid w:val="00F15584"/>
    <w:rsid w:val="00F155C9"/>
    <w:rsid w:val="00F155E8"/>
    <w:rsid w:val="00F155F5"/>
    <w:rsid w:val="00F15669"/>
    <w:rsid w:val="00F157F0"/>
    <w:rsid w:val="00F1580B"/>
    <w:rsid w:val="00F15844"/>
    <w:rsid w:val="00F15858"/>
    <w:rsid w:val="00F1585F"/>
    <w:rsid w:val="00F158C6"/>
    <w:rsid w:val="00F1591C"/>
    <w:rsid w:val="00F15A28"/>
    <w:rsid w:val="00F15A32"/>
    <w:rsid w:val="00F15A3D"/>
    <w:rsid w:val="00F15A4C"/>
    <w:rsid w:val="00F15B43"/>
    <w:rsid w:val="00F15B5E"/>
    <w:rsid w:val="00F15B82"/>
    <w:rsid w:val="00F15BA4"/>
    <w:rsid w:val="00F15BBE"/>
    <w:rsid w:val="00F15BCF"/>
    <w:rsid w:val="00F15C3D"/>
    <w:rsid w:val="00F15C4A"/>
    <w:rsid w:val="00F15C85"/>
    <w:rsid w:val="00F15D52"/>
    <w:rsid w:val="00F15DFA"/>
    <w:rsid w:val="00F15E45"/>
    <w:rsid w:val="00F15E74"/>
    <w:rsid w:val="00F15F8F"/>
    <w:rsid w:val="00F16014"/>
    <w:rsid w:val="00F1602D"/>
    <w:rsid w:val="00F1603D"/>
    <w:rsid w:val="00F1604D"/>
    <w:rsid w:val="00F160A2"/>
    <w:rsid w:val="00F16105"/>
    <w:rsid w:val="00F1612A"/>
    <w:rsid w:val="00F161CB"/>
    <w:rsid w:val="00F16387"/>
    <w:rsid w:val="00F1643C"/>
    <w:rsid w:val="00F164E0"/>
    <w:rsid w:val="00F164FD"/>
    <w:rsid w:val="00F16503"/>
    <w:rsid w:val="00F1651C"/>
    <w:rsid w:val="00F1654A"/>
    <w:rsid w:val="00F1658C"/>
    <w:rsid w:val="00F16592"/>
    <w:rsid w:val="00F165D3"/>
    <w:rsid w:val="00F1663B"/>
    <w:rsid w:val="00F16669"/>
    <w:rsid w:val="00F1668A"/>
    <w:rsid w:val="00F1668E"/>
    <w:rsid w:val="00F166EC"/>
    <w:rsid w:val="00F16786"/>
    <w:rsid w:val="00F167D6"/>
    <w:rsid w:val="00F167F5"/>
    <w:rsid w:val="00F16851"/>
    <w:rsid w:val="00F168DB"/>
    <w:rsid w:val="00F168FF"/>
    <w:rsid w:val="00F16960"/>
    <w:rsid w:val="00F169A3"/>
    <w:rsid w:val="00F169F0"/>
    <w:rsid w:val="00F16A3C"/>
    <w:rsid w:val="00F16A4A"/>
    <w:rsid w:val="00F16A8B"/>
    <w:rsid w:val="00F16A9B"/>
    <w:rsid w:val="00F16A9F"/>
    <w:rsid w:val="00F16AA0"/>
    <w:rsid w:val="00F16ABA"/>
    <w:rsid w:val="00F16AC7"/>
    <w:rsid w:val="00F16AE0"/>
    <w:rsid w:val="00F16B7F"/>
    <w:rsid w:val="00F16CE2"/>
    <w:rsid w:val="00F16DC7"/>
    <w:rsid w:val="00F16E4F"/>
    <w:rsid w:val="00F16EA7"/>
    <w:rsid w:val="00F16EEC"/>
    <w:rsid w:val="00F16F5C"/>
    <w:rsid w:val="00F16FD7"/>
    <w:rsid w:val="00F16FFC"/>
    <w:rsid w:val="00F1709C"/>
    <w:rsid w:val="00F1709D"/>
    <w:rsid w:val="00F170B9"/>
    <w:rsid w:val="00F170E1"/>
    <w:rsid w:val="00F170E2"/>
    <w:rsid w:val="00F17128"/>
    <w:rsid w:val="00F17167"/>
    <w:rsid w:val="00F1716E"/>
    <w:rsid w:val="00F171D5"/>
    <w:rsid w:val="00F1722D"/>
    <w:rsid w:val="00F17265"/>
    <w:rsid w:val="00F1728A"/>
    <w:rsid w:val="00F17302"/>
    <w:rsid w:val="00F1730D"/>
    <w:rsid w:val="00F17385"/>
    <w:rsid w:val="00F173C2"/>
    <w:rsid w:val="00F17429"/>
    <w:rsid w:val="00F17458"/>
    <w:rsid w:val="00F17480"/>
    <w:rsid w:val="00F1749E"/>
    <w:rsid w:val="00F174F4"/>
    <w:rsid w:val="00F17520"/>
    <w:rsid w:val="00F17538"/>
    <w:rsid w:val="00F175E8"/>
    <w:rsid w:val="00F17635"/>
    <w:rsid w:val="00F1766C"/>
    <w:rsid w:val="00F176D9"/>
    <w:rsid w:val="00F176E7"/>
    <w:rsid w:val="00F17702"/>
    <w:rsid w:val="00F17708"/>
    <w:rsid w:val="00F177D1"/>
    <w:rsid w:val="00F177F2"/>
    <w:rsid w:val="00F17846"/>
    <w:rsid w:val="00F178A1"/>
    <w:rsid w:val="00F1797F"/>
    <w:rsid w:val="00F17981"/>
    <w:rsid w:val="00F179E1"/>
    <w:rsid w:val="00F179FA"/>
    <w:rsid w:val="00F17A14"/>
    <w:rsid w:val="00F17A25"/>
    <w:rsid w:val="00F17A38"/>
    <w:rsid w:val="00F17A3B"/>
    <w:rsid w:val="00F17B19"/>
    <w:rsid w:val="00F17B29"/>
    <w:rsid w:val="00F17C2C"/>
    <w:rsid w:val="00F17CF3"/>
    <w:rsid w:val="00F17DEA"/>
    <w:rsid w:val="00F17E37"/>
    <w:rsid w:val="00F17F43"/>
    <w:rsid w:val="00F17FA5"/>
    <w:rsid w:val="00F17FB9"/>
    <w:rsid w:val="00F2006A"/>
    <w:rsid w:val="00F2007A"/>
    <w:rsid w:val="00F200BF"/>
    <w:rsid w:val="00F201A9"/>
    <w:rsid w:val="00F201C1"/>
    <w:rsid w:val="00F202B7"/>
    <w:rsid w:val="00F202C8"/>
    <w:rsid w:val="00F202CB"/>
    <w:rsid w:val="00F2031B"/>
    <w:rsid w:val="00F2031C"/>
    <w:rsid w:val="00F20339"/>
    <w:rsid w:val="00F20347"/>
    <w:rsid w:val="00F2035C"/>
    <w:rsid w:val="00F203B2"/>
    <w:rsid w:val="00F20415"/>
    <w:rsid w:val="00F20480"/>
    <w:rsid w:val="00F204A8"/>
    <w:rsid w:val="00F2050D"/>
    <w:rsid w:val="00F20534"/>
    <w:rsid w:val="00F205B4"/>
    <w:rsid w:val="00F205C5"/>
    <w:rsid w:val="00F205E8"/>
    <w:rsid w:val="00F20634"/>
    <w:rsid w:val="00F20664"/>
    <w:rsid w:val="00F20686"/>
    <w:rsid w:val="00F2069F"/>
    <w:rsid w:val="00F206F3"/>
    <w:rsid w:val="00F20703"/>
    <w:rsid w:val="00F20772"/>
    <w:rsid w:val="00F20778"/>
    <w:rsid w:val="00F207DB"/>
    <w:rsid w:val="00F20807"/>
    <w:rsid w:val="00F20820"/>
    <w:rsid w:val="00F20912"/>
    <w:rsid w:val="00F2094F"/>
    <w:rsid w:val="00F2095B"/>
    <w:rsid w:val="00F2096F"/>
    <w:rsid w:val="00F20A4C"/>
    <w:rsid w:val="00F20AAC"/>
    <w:rsid w:val="00F20B1C"/>
    <w:rsid w:val="00F20B82"/>
    <w:rsid w:val="00F20BD1"/>
    <w:rsid w:val="00F20C1E"/>
    <w:rsid w:val="00F20C58"/>
    <w:rsid w:val="00F20C68"/>
    <w:rsid w:val="00F20C69"/>
    <w:rsid w:val="00F20C84"/>
    <w:rsid w:val="00F20CB2"/>
    <w:rsid w:val="00F20CCC"/>
    <w:rsid w:val="00F20CD5"/>
    <w:rsid w:val="00F20D0B"/>
    <w:rsid w:val="00F20D91"/>
    <w:rsid w:val="00F20DDD"/>
    <w:rsid w:val="00F20DF2"/>
    <w:rsid w:val="00F20E14"/>
    <w:rsid w:val="00F20E23"/>
    <w:rsid w:val="00F20E34"/>
    <w:rsid w:val="00F20E7C"/>
    <w:rsid w:val="00F20E90"/>
    <w:rsid w:val="00F20EBD"/>
    <w:rsid w:val="00F20ED5"/>
    <w:rsid w:val="00F20ED6"/>
    <w:rsid w:val="00F20FA1"/>
    <w:rsid w:val="00F21003"/>
    <w:rsid w:val="00F2111B"/>
    <w:rsid w:val="00F211A9"/>
    <w:rsid w:val="00F211C0"/>
    <w:rsid w:val="00F2121B"/>
    <w:rsid w:val="00F21254"/>
    <w:rsid w:val="00F21265"/>
    <w:rsid w:val="00F21269"/>
    <w:rsid w:val="00F21356"/>
    <w:rsid w:val="00F213D1"/>
    <w:rsid w:val="00F2140F"/>
    <w:rsid w:val="00F21425"/>
    <w:rsid w:val="00F21454"/>
    <w:rsid w:val="00F2153C"/>
    <w:rsid w:val="00F215B6"/>
    <w:rsid w:val="00F215C2"/>
    <w:rsid w:val="00F215DD"/>
    <w:rsid w:val="00F21628"/>
    <w:rsid w:val="00F2162F"/>
    <w:rsid w:val="00F21674"/>
    <w:rsid w:val="00F216A8"/>
    <w:rsid w:val="00F216ED"/>
    <w:rsid w:val="00F2170C"/>
    <w:rsid w:val="00F2174E"/>
    <w:rsid w:val="00F217C9"/>
    <w:rsid w:val="00F217E4"/>
    <w:rsid w:val="00F217FD"/>
    <w:rsid w:val="00F218B0"/>
    <w:rsid w:val="00F21937"/>
    <w:rsid w:val="00F21953"/>
    <w:rsid w:val="00F21964"/>
    <w:rsid w:val="00F21969"/>
    <w:rsid w:val="00F2197C"/>
    <w:rsid w:val="00F219BF"/>
    <w:rsid w:val="00F21A73"/>
    <w:rsid w:val="00F21A9C"/>
    <w:rsid w:val="00F21ACD"/>
    <w:rsid w:val="00F21AF4"/>
    <w:rsid w:val="00F21BF8"/>
    <w:rsid w:val="00F21C44"/>
    <w:rsid w:val="00F21C61"/>
    <w:rsid w:val="00F21C68"/>
    <w:rsid w:val="00F21C96"/>
    <w:rsid w:val="00F21CC5"/>
    <w:rsid w:val="00F21D26"/>
    <w:rsid w:val="00F21D3D"/>
    <w:rsid w:val="00F21D6C"/>
    <w:rsid w:val="00F21DC4"/>
    <w:rsid w:val="00F21E0C"/>
    <w:rsid w:val="00F21E2C"/>
    <w:rsid w:val="00F21E86"/>
    <w:rsid w:val="00F21EB5"/>
    <w:rsid w:val="00F21EC8"/>
    <w:rsid w:val="00F21F3D"/>
    <w:rsid w:val="00F21F4E"/>
    <w:rsid w:val="00F21F94"/>
    <w:rsid w:val="00F21FA2"/>
    <w:rsid w:val="00F21FF6"/>
    <w:rsid w:val="00F2200C"/>
    <w:rsid w:val="00F2202B"/>
    <w:rsid w:val="00F22100"/>
    <w:rsid w:val="00F221C1"/>
    <w:rsid w:val="00F221E3"/>
    <w:rsid w:val="00F222BD"/>
    <w:rsid w:val="00F222DB"/>
    <w:rsid w:val="00F222E5"/>
    <w:rsid w:val="00F222F9"/>
    <w:rsid w:val="00F2230A"/>
    <w:rsid w:val="00F2230D"/>
    <w:rsid w:val="00F22310"/>
    <w:rsid w:val="00F2233B"/>
    <w:rsid w:val="00F22340"/>
    <w:rsid w:val="00F22346"/>
    <w:rsid w:val="00F22378"/>
    <w:rsid w:val="00F2237C"/>
    <w:rsid w:val="00F2237D"/>
    <w:rsid w:val="00F223EE"/>
    <w:rsid w:val="00F22474"/>
    <w:rsid w:val="00F22488"/>
    <w:rsid w:val="00F22500"/>
    <w:rsid w:val="00F2258B"/>
    <w:rsid w:val="00F225FB"/>
    <w:rsid w:val="00F22618"/>
    <w:rsid w:val="00F226CC"/>
    <w:rsid w:val="00F2279B"/>
    <w:rsid w:val="00F22891"/>
    <w:rsid w:val="00F228BD"/>
    <w:rsid w:val="00F22903"/>
    <w:rsid w:val="00F22909"/>
    <w:rsid w:val="00F22935"/>
    <w:rsid w:val="00F22965"/>
    <w:rsid w:val="00F22986"/>
    <w:rsid w:val="00F229CC"/>
    <w:rsid w:val="00F22A27"/>
    <w:rsid w:val="00F22A7F"/>
    <w:rsid w:val="00F22AA4"/>
    <w:rsid w:val="00F22AD5"/>
    <w:rsid w:val="00F22AF2"/>
    <w:rsid w:val="00F22B03"/>
    <w:rsid w:val="00F22B1B"/>
    <w:rsid w:val="00F22B2B"/>
    <w:rsid w:val="00F22B79"/>
    <w:rsid w:val="00F22BB3"/>
    <w:rsid w:val="00F22C03"/>
    <w:rsid w:val="00F22C45"/>
    <w:rsid w:val="00F22C54"/>
    <w:rsid w:val="00F22C82"/>
    <w:rsid w:val="00F22C9A"/>
    <w:rsid w:val="00F22C9F"/>
    <w:rsid w:val="00F22CAF"/>
    <w:rsid w:val="00F22CB1"/>
    <w:rsid w:val="00F22CF1"/>
    <w:rsid w:val="00F22D1B"/>
    <w:rsid w:val="00F22D39"/>
    <w:rsid w:val="00F22FF5"/>
    <w:rsid w:val="00F23006"/>
    <w:rsid w:val="00F23058"/>
    <w:rsid w:val="00F23062"/>
    <w:rsid w:val="00F23074"/>
    <w:rsid w:val="00F230B3"/>
    <w:rsid w:val="00F230B6"/>
    <w:rsid w:val="00F230EE"/>
    <w:rsid w:val="00F23122"/>
    <w:rsid w:val="00F2317E"/>
    <w:rsid w:val="00F231B3"/>
    <w:rsid w:val="00F231D8"/>
    <w:rsid w:val="00F231DB"/>
    <w:rsid w:val="00F231F4"/>
    <w:rsid w:val="00F23201"/>
    <w:rsid w:val="00F2321C"/>
    <w:rsid w:val="00F23224"/>
    <w:rsid w:val="00F2322F"/>
    <w:rsid w:val="00F2327F"/>
    <w:rsid w:val="00F2340D"/>
    <w:rsid w:val="00F23420"/>
    <w:rsid w:val="00F234D3"/>
    <w:rsid w:val="00F23511"/>
    <w:rsid w:val="00F23530"/>
    <w:rsid w:val="00F2354A"/>
    <w:rsid w:val="00F235BF"/>
    <w:rsid w:val="00F235D4"/>
    <w:rsid w:val="00F235DA"/>
    <w:rsid w:val="00F23652"/>
    <w:rsid w:val="00F23659"/>
    <w:rsid w:val="00F2370D"/>
    <w:rsid w:val="00F23710"/>
    <w:rsid w:val="00F23768"/>
    <w:rsid w:val="00F23795"/>
    <w:rsid w:val="00F237A1"/>
    <w:rsid w:val="00F237AD"/>
    <w:rsid w:val="00F2387D"/>
    <w:rsid w:val="00F238C5"/>
    <w:rsid w:val="00F238D3"/>
    <w:rsid w:val="00F239AB"/>
    <w:rsid w:val="00F239C2"/>
    <w:rsid w:val="00F239CB"/>
    <w:rsid w:val="00F239D0"/>
    <w:rsid w:val="00F23A25"/>
    <w:rsid w:val="00F23A54"/>
    <w:rsid w:val="00F23ACE"/>
    <w:rsid w:val="00F23B0B"/>
    <w:rsid w:val="00F23BD1"/>
    <w:rsid w:val="00F23C99"/>
    <w:rsid w:val="00F23CC9"/>
    <w:rsid w:val="00F23D2B"/>
    <w:rsid w:val="00F23D39"/>
    <w:rsid w:val="00F23D40"/>
    <w:rsid w:val="00F23D4A"/>
    <w:rsid w:val="00F23DB3"/>
    <w:rsid w:val="00F23E6C"/>
    <w:rsid w:val="00F23E7F"/>
    <w:rsid w:val="00F23EBA"/>
    <w:rsid w:val="00F23F46"/>
    <w:rsid w:val="00F23F91"/>
    <w:rsid w:val="00F23FBE"/>
    <w:rsid w:val="00F23FEA"/>
    <w:rsid w:val="00F23FFC"/>
    <w:rsid w:val="00F2403F"/>
    <w:rsid w:val="00F24059"/>
    <w:rsid w:val="00F24078"/>
    <w:rsid w:val="00F2414A"/>
    <w:rsid w:val="00F241A6"/>
    <w:rsid w:val="00F241FE"/>
    <w:rsid w:val="00F2420C"/>
    <w:rsid w:val="00F2426E"/>
    <w:rsid w:val="00F24288"/>
    <w:rsid w:val="00F242C2"/>
    <w:rsid w:val="00F24319"/>
    <w:rsid w:val="00F2431F"/>
    <w:rsid w:val="00F243D2"/>
    <w:rsid w:val="00F2440A"/>
    <w:rsid w:val="00F24445"/>
    <w:rsid w:val="00F2449F"/>
    <w:rsid w:val="00F244A3"/>
    <w:rsid w:val="00F244AC"/>
    <w:rsid w:val="00F2454C"/>
    <w:rsid w:val="00F245AD"/>
    <w:rsid w:val="00F245D0"/>
    <w:rsid w:val="00F24637"/>
    <w:rsid w:val="00F24654"/>
    <w:rsid w:val="00F24657"/>
    <w:rsid w:val="00F2466F"/>
    <w:rsid w:val="00F24711"/>
    <w:rsid w:val="00F2471B"/>
    <w:rsid w:val="00F247C3"/>
    <w:rsid w:val="00F247F9"/>
    <w:rsid w:val="00F24868"/>
    <w:rsid w:val="00F24876"/>
    <w:rsid w:val="00F248F1"/>
    <w:rsid w:val="00F24914"/>
    <w:rsid w:val="00F24936"/>
    <w:rsid w:val="00F249BE"/>
    <w:rsid w:val="00F249DA"/>
    <w:rsid w:val="00F249E1"/>
    <w:rsid w:val="00F249F3"/>
    <w:rsid w:val="00F24A2D"/>
    <w:rsid w:val="00F24A99"/>
    <w:rsid w:val="00F24B29"/>
    <w:rsid w:val="00F24B39"/>
    <w:rsid w:val="00F24B40"/>
    <w:rsid w:val="00F24B69"/>
    <w:rsid w:val="00F24BA6"/>
    <w:rsid w:val="00F24BBA"/>
    <w:rsid w:val="00F24C28"/>
    <w:rsid w:val="00F24C6C"/>
    <w:rsid w:val="00F24CF5"/>
    <w:rsid w:val="00F24D48"/>
    <w:rsid w:val="00F24D55"/>
    <w:rsid w:val="00F24D5E"/>
    <w:rsid w:val="00F24D68"/>
    <w:rsid w:val="00F24DA4"/>
    <w:rsid w:val="00F24DA6"/>
    <w:rsid w:val="00F24DA7"/>
    <w:rsid w:val="00F24DBD"/>
    <w:rsid w:val="00F24DE4"/>
    <w:rsid w:val="00F24E16"/>
    <w:rsid w:val="00F24E1B"/>
    <w:rsid w:val="00F24F14"/>
    <w:rsid w:val="00F24F21"/>
    <w:rsid w:val="00F24FC9"/>
    <w:rsid w:val="00F2501E"/>
    <w:rsid w:val="00F2502B"/>
    <w:rsid w:val="00F250B6"/>
    <w:rsid w:val="00F2511A"/>
    <w:rsid w:val="00F25259"/>
    <w:rsid w:val="00F25263"/>
    <w:rsid w:val="00F25318"/>
    <w:rsid w:val="00F25385"/>
    <w:rsid w:val="00F2548E"/>
    <w:rsid w:val="00F25496"/>
    <w:rsid w:val="00F254AA"/>
    <w:rsid w:val="00F254B5"/>
    <w:rsid w:val="00F25543"/>
    <w:rsid w:val="00F255A6"/>
    <w:rsid w:val="00F255F5"/>
    <w:rsid w:val="00F25607"/>
    <w:rsid w:val="00F2560D"/>
    <w:rsid w:val="00F25629"/>
    <w:rsid w:val="00F2570A"/>
    <w:rsid w:val="00F25763"/>
    <w:rsid w:val="00F25769"/>
    <w:rsid w:val="00F25789"/>
    <w:rsid w:val="00F25792"/>
    <w:rsid w:val="00F25811"/>
    <w:rsid w:val="00F25829"/>
    <w:rsid w:val="00F25886"/>
    <w:rsid w:val="00F258D3"/>
    <w:rsid w:val="00F258D4"/>
    <w:rsid w:val="00F25982"/>
    <w:rsid w:val="00F259F6"/>
    <w:rsid w:val="00F25A58"/>
    <w:rsid w:val="00F25A64"/>
    <w:rsid w:val="00F25A6A"/>
    <w:rsid w:val="00F25A97"/>
    <w:rsid w:val="00F25B10"/>
    <w:rsid w:val="00F25B59"/>
    <w:rsid w:val="00F25BD3"/>
    <w:rsid w:val="00F25CCE"/>
    <w:rsid w:val="00F25CF2"/>
    <w:rsid w:val="00F25D04"/>
    <w:rsid w:val="00F25D38"/>
    <w:rsid w:val="00F25D8A"/>
    <w:rsid w:val="00F25DCB"/>
    <w:rsid w:val="00F25DD3"/>
    <w:rsid w:val="00F25E1F"/>
    <w:rsid w:val="00F25E2F"/>
    <w:rsid w:val="00F25EDF"/>
    <w:rsid w:val="00F25EE8"/>
    <w:rsid w:val="00F25F32"/>
    <w:rsid w:val="00F25FEB"/>
    <w:rsid w:val="00F260C6"/>
    <w:rsid w:val="00F2610E"/>
    <w:rsid w:val="00F2612E"/>
    <w:rsid w:val="00F26168"/>
    <w:rsid w:val="00F26190"/>
    <w:rsid w:val="00F26290"/>
    <w:rsid w:val="00F262D6"/>
    <w:rsid w:val="00F262DE"/>
    <w:rsid w:val="00F263A3"/>
    <w:rsid w:val="00F26426"/>
    <w:rsid w:val="00F26436"/>
    <w:rsid w:val="00F26472"/>
    <w:rsid w:val="00F264C1"/>
    <w:rsid w:val="00F26555"/>
    <w:rsid w:val="00F265B1"/>
    <w:rsid w:val="00F265FA"/>
    <w:rsid w:val="00F2663D"/>
    <w:rsid w:val="00F26652"/>
    <w:rsid w:val="00F26669"/>
    <w:rsid w:val="00F2668F"/>
    <w:rsid w:val="00F2669F"/>
    <w:rsid w:val="00F266D5"/>
    <w:rsid w:val="00F266F2"/>
    <w:rsid w:val="00F267BF"/>
    <w:rsid w:val="00F26829"/>
    <w:rsid w:val="00F2691D"/>
    <w:rsid w:val="00F26927"/>
    <w:rsid w:val="00F26A32"/>
    <w:rsid w:val="00F26A8D"/>
    <w:rsid w:val="00F26AA0"/>
    <w:rsid w:val="00F26B38"/>
    <w:rsid w:val="00F26C73"/>
    <w:rsid w:val="00F26CA7"/>
    <w:rsid w:val="00F26D2C"/>
    <w:rsid w:val="00F26D4A"/>
    <w:rsid w:val="00F26DFF"/>
    <w:rsid w:val="00F26E06"/>
    <w:rsid w:val="00F26E5B"/>
    <w:rsid w:val="00F26EB9"/>
    <w:rsid w:val="00F271B2"/>
    <w:rsid w:val="00F271BA"/>
    <w:rsid w:val="00F27234"/>
    <w:rsid w:val="00F2723B"/>
    <w:rsid w:val="00F27295"/>
    <w:rsid w:val="00F272DA"/>
    <w:rsid w:val="00F272E8"/>
    <w:rsid w:val="00F272EC"/>
    <w:rsid w:val="00F2731E"/>
    <w:rsid w:val="00F27386"/>
    <w:rsid w:val="00F27437"/>
    <w:rsid w:val="00F2747B"/>
    <w:rsid w:val="00F274D5"/>
    <w:rsid w:val="00F276B3"/>
    <w:rsid w:val="00F276C5"/>
    <w:rsid w:val="00F27747"/>
    <w:rsid w:val="00F27771"/>
    <w:rsid w:val="00F277A6"/>
    <w:rsid w:val="00F277A8"/>
    <w:rsid w:val="00F277A9"/>
    <w:rsid w:val="00F2782D"/>
    <w:rsid w:val="00F279D6"/>
    <w:rsid w:val="00F27A7E"/>
    <w:rsid w:val="00F27B5B"/>
    <w:rsid w:val="00F27B5E"/>
    <w:rsid w:val="00F27B74"/>
    <w:rsid w:val="00F27B96"/>
    <w:rsid w:val="00F27B97"/>
    <w:rsid w:val="00F27C43"/>
    <w:rsid w:val="00F27C55"/>
    <w:rsid w:val="00F27C73"/>
    <w:rsid w:val="00F27C75"/>
    <w:rsid w:val="00F27C79"/>
    <w:rsid w:val="00F27E3B"/>
    <w:rsid w:val="00F27E4E"/>
    <w:rsid w:val="00F27E5F"/>
    <w:rsid w:val="00F27EA0"/>
    <w:rsid w:val="00F27ED4"/>
    <w:rsid w:val="00F27EF1"/>
    <w:rsid w:val="00F27F10"/>
    <w:rsid w:val="00F27F85"/>
    <w:rsid w:val="00F27FB6"/>
    <w:rsid w:val="00F27FEE"/>
    <w:rsid w:val="00F30054"/>
    <w:rsid w:val="00F300E3"/>
    <w:rsid w:val="00F302E8"/>
    <w:rsid w:val="00F30341"/>
    <w:rsid w:val="00F30380"/>
    <w:rsid w:val="00F303E8"/>
    <w:rsid w:val="00F303F0"/>
    <w:rsid w:val="00F30504"/>
    <w:rsid w:val="00F30526"/>
    <w:rsid w:val="00F30599"/>
    <w:rsid w:val="00F30600"/>
    <w:rsid w:val="00F306BE"/>
    <w:rsid w:val="00F307E6"/>
    <w:rsid w:val="00F307FB"/>
    <w:rsid w:val="00F308C2"/>
    <w:rsid w:val="00F30946"/>
    <w:rsid w:val="00F3096F"/>
    <w:rsid w:val="00F30997"/>
    <w:rsid w:val="00F309BE"/>
    <w:rsid w:val="00F309C3"/>
    <w:rsid w:val="00F309D3"/>
    <w:rsid w:val="00F309E1"/>
    <w:rsid w:val="00F30A85"/>
    <w:rsid w:val="00F30A8C"/>
    <w:rsid w:val="00F30B59"/>
    <w:rsid w:val="00F30B85"/>
    <w:rsid w:val="00F30BB2"/>
    <w:rsid w:val="00F30BF9"/>
    <w:rsid w:val="00F30C06"/>
    <w:rsid w:val="00F30C65"/>
    <w:rsid w:val="00F30C70"/>
    <w:rsid w:val="00F30CC1"/>
    <w:rsid w:val="00F30D13"/>
    <w:rsid w:val="00F30E1B"/>
    <w:rsid w:val="00F30ED4"/>
    <w:rsid w:val="00F30FA0"/>
    <w:rsid w:val="00F30FA7"/>
    <w:rsid w:val="00F30FD7"/>
    <w:rsid w:val="00F30FD9"/>
    <w:rsid w:val="00F31053"/>
    <w:rsid w:val="00F31061"/>
    <w:rsid w:val="00F310D3"/>
    <w:rsid w:val="00F31156"/>
    <w:rsid w:val="00F311AE"/>
    <w:rsid w:val="00F311F0"/>
    <w:rsid w:val="00F311F2"/>
    <w:rsid w:val="00F31212"/>
    <w:rsid w:val="00F3127C"/>
    <w:rsid w:val="00F312C7"/>
    <w:rsid w:val="00F31343"/>
    <w:rsid w:val="00F31374"/>
    <w:rsid w:val="00F314C5"/>
    <w:rsid w:val="00F314EB"/>
    <w:rsid w:val="00F3157E"/>
    <w:rsid w:val="00F315D1"/>
    <w:rsid w:val="00F3165F"/>
    <w:rsid w:val="00F31672"/>
    <w:rsid w:val="00F316CB"/>
    <w:rsid w:val="00F316F5"/>
    <w:rsid w:val="00F316FC"/>
    <w:rsid w:val="00F3174A"/>
    <w:rsid w:val="00F31781"/>
    <w:rsid w:val="00F3179C"/>
    <w:rsid w:val="00F31818"/>
    <w:rsid w:val="00F318D4"/>
    <w:rsid w:val="00F318EB"/>
    <w:rsid w:val="00F31949"/>
    <w:rsid w:val="00F31A1E"/>
    <w:rsid w:val="00F31A47"/>
    <w:rsid w:val="00F31A97"/>
    <w:rsid w:val="00F31AE2"/>
    <w:rsid w:val="00F31AF4"/>
    <w:rsid w:val="00F31B61"/>
    <w:rsid w:val="00F31BDD"/>
    <w:rsid w:val="00F31C39"/>
    <w:rsid w:val="00F31C9B"/>
    <w:rsid w:val="00F31CAD"/>
    <w:rsid w:val="00F31CCB"/>
    <w:rsid w:val="00F31D69"/>
    <w:rsid w:val="00F31DB2"/>
    <w:rsid w:val="00F31E40"/>
    <w:rsid w:val="00F31E54"/>
    <w:rsid w:val="00F31E62"/>
    <w:rsid w:val="00F31E64"/>
    <w:rsid w:val="00F31EAA"/>
    <w:rsid w:val="00F31F24"/>
    <w:rsid w:val="00F31F26"/>
    <w:rsid w:val="00F31F83"/>
    <w:rsid w:val="00F31F93"/>
    <w:rsid w:val="00F31FF0"/>
    <w:rsid w:val="00F31FF1"/>
    <w:rsid w:val="00F32028"/>
    <w:rsid w:val="00F3203D"/>
    <w:rsid w:val="00F3207D"/>
    <w:rsid w:val="00F3208F"/>
    <w:rsid w:val="00F320B2"/>
    <w:rsid w:val="00F320DE"/>
    <w:rsid w:val="00F320ED"/>
    <w:rsid w:val="00F321B3"/>
    <w:rsid w:val="00F3220D"/>
    <w:rsid w:val="00F32231"/>
    <w:rsid w:val="00F322BA"/>
    <w:rsid w:val="00F3236B"/>
    <w:rsid w:val="00F323D4"/>
    <w:rsid w:val="00F323DE"/>
    <w:rsid w:val="00F32411"/>
    <w:rsid w:val="00F3244D"/>
    <w:rsid w:val="00F324CE"/>
    <w:rsid w:val="00F32529"/>
    <w:rsid w:val="00F32588"/>
    <w:rsid w:val="00F325A1"/>
    <w:rsid w:val="00F325DE"/>
    <w:rsid w:val="00F32647"/>
    <w:rsid w:val="00F32794"/>
    <w:rsid w:val="00F32897"/>
    <w:rsid w:val="00F3292F"/>
    <w:rsid w:val="00F32945"/>
    <w:rsid w:val="00F32A01"/>
    <w:rsid w:val="00F32A39"/>
    <w:rsid w:val="00F32A9A"/>
    <w:rsid w:val="00F32ABC"/>
    <w:rsid w:val="00F32AD9"/>
    <w:rsid w:val="00F32AE2"/>
    <w:rsid w:val="00F32B83"/>
    <w:rsid w:val="00F32BA1"/>
    <w:rsid w:val="00F32BB3"/>
    <w:rsid w:val="00F32BB6"/>
    <w:rsid w:val="00F32CB8"/>
    <w:rsid w:val="00F32CDF"/>
    <w:rsid w:val="00F32D0A"/>
    <w:rsid w:val="00F32D38"/>
    <w:rsid w:val="00F32E0B"/>
    <w:rsid w:val="00F32E12"/>
    <w:rsid w:val="00F32E38"/>
    <w:rsid w:val="00F32E6C"/>
    <w:rsid w:val="00F32EE6"/>
    <w:rsid w:val="00F32F20"/>
    <w:rsid w:val="00F32F2D"/>
    <w:rsid w:val="00F32F5D"/>
    <w:rsid w:val="00F32F63"/>
    <w:rsid w:val="00F32F72"/>
    <w:rsid w:val="00F32F7F"/>
    <w:rsid w:val="00F32F87"/>
    <w:rsid w:val="00F32FDD"/>
    <w:rsid w:val="00F3306A"/>
    <w:rsid w:val="00F33093"/>
    <w:rsid w:val="00F33097"/>
    <w:rsid w:val="00F330C2"/>
    <w:rsid w:val="00F33101"/>
    <w:rsid w:val="00F331D5"/>
    <w:rsid w:val="00F332A2"/>
    <w:rsid w:val="00F332D8"/>
    <w:rsid w:val="00F332EF"/>
    <w:rsid w:val="00F33313"/>
    <w:rsid w:val="00F33347"/>
    <w:rsid w:val="00F33431"/>
    <w:rsid w:val="00F33484"/>
    <w:rsid w:val="00F33488"/>
    <w:rsid w:val="00F3349C"/>
    <w:rsid w:val="00F33520"/>
    <w:rsid w:val="00F33569"/>
    <w:rsid w:val="00F3356B"/>
    <w:rsid w:val="00F3356F"/>
    <w:rsid w:val="00F33597"/>
    <w:rsid w:val="00F33620"/>
    <w:rsid w:val="00F33621"/>
    <w:rsid w:val="00F33680"/>
    <w:rsid w:val="00F336AD"/>
    <w:rsid w:val="00F336BE"/>
    <w:rsid w:val="00F336FB"/>
    <w:rsid w:val="00F33707"/>
    <w:rsid w:val="00F33746"/>
    <w:rsid w:val="00F3375F"/>
    <w:rsid w:val="00F33798"/>
    <w:rsid w:val="00F33814"/>
    <w:rsid w:val="00F33828"/>
    <w:rsid w:val="00F3384D"/>
    <w:rsid w:val="00F338C3"/>
    <w:rsid w:val="00F338FE"/>
    <w:rsid w:val="00F3390B"/>
    <w:rsid w:val="00F33924"/>
    <w:rsid w:val="00F3392A"/>
    <w:rsid w:val="00F33966"/>
    <w:rsid w:val="00F3398B"/>
    <w:rsid w:val="00F3398C"/>
    <w:rsid w:val="00F33A36"/>
    <w:rsid w:val="00F33AA7"/>
    <w:rsid w:val="00F33AC4"/>
    <w:rsid w:val="00F33AE8"/>
    <w:rsid w:val="00F33AF5"/>
    <w:rsid w:val="00F33B05"/>
    <w:rsid w:val="00F33B53"/>
    <w:rsid w:val="00F33B7C"/>
    <w:rsid w:val="00F33B88"/>
    <w:rsid w:val="00F33BCE"/>
    <w:rsid w:val="00F33BE0"/>
    <w:rsid w:val="00F33C1C"/>
    <w:rsid w:val="00F33C1F"/>
    <w:rsid w:val="00F33C8C"/>
    <w:rsid w:val="00F33DA7"/>
    <w:rsid w:val="00F33E0A"/>
    <w:rsid w:val="00F33E2E"/>
    <w:rsid w:val="00F33EBB"/>
    <w:rsid w:val="00F33EF8"/>
    <w:rsid w:val="00F33F1F"/>
    <w:rsid w:val="00F33F4B"/>
    <w:rsid w:val="00F34012"/>
    <w:rsid w:val="00F34019"/>
    <w:rsid w:val="00F34116"/>
    <w:rsid w:val="00F3414B"/>
    <w:rsid w:val="00F34176"/>
    <w:rsid w:val="00F3417D"/>
    <w:rsid w:val="00F34184"/>
    <w:rsid w:val="00F3419D"/>
    <w:rsid w:val="00F341E8"/>
    <w:rsid w:val="00F3433B"/>
    <w:rsid w:val="00F34416"/>
    <w:rsid w:val="00F34476"/>
    <w:rsid w:val="00F344C1"/>
    <w:rsid w:val="00F344E5"/>
    <w:rsid w:val="00F344F1"/>
    <w:rsid w:val="00F344FB"/>
    <w:rsid w:val="00F3450A"/>
    <w:rsid w:val="00F34526"/>
    <w:rsid w:val="00F34621"/>
    <w:rsid w:val="00F34633"/>
    <w:rsid w:val="00F3465A"/>
    <w:rsid w:val="00F34672"/>
    <w:rsid w:val="00F34788"/>
    <w:rsid w:val="00F347AD"/>
    <w:rsid w:val="00F347CD"/>
    <w:rsid w:val="00F347E1"/>
    <w:rsid w:val="00F3480B"/>
    <w:rsid w:val="00F34831"/>
    <w:rsid w:val="00F34976"/>
    <w:rsid w:val="00F349C0"/>
    <w:rsid w:val="00F34A25"/>
    <w:rsid w:val="00F34A98"/>
    <w:rsid w:val="00F34ABE"/>
    <w:rsid w:val="00F34ACE"/>
    <w:rsid w:val="00F34AE4"/>
    <w:rsid w:val="00F34B12"/>
    <w:rsid w:val="00F34B46"/>
    <w:rsid w:val="00F34B51"/>
    <w:rsid w:val="00F34B72"/>
    <w:rsid w:val="00F34B9E"/>
    <w:rsid w:val="00F34BA4"/>
    <w:rsid w:val="00F34BA8"/>
    <w:rsid w:val="00F34BCA"/>
    <w:rsid w:val="00F34BEC"/>
    <w:rsid w:val="00F34C05"/>
    <w:rsid w:val="00F34C44"/>
    <w:rsid w:val="00F34D6E"/>
    <w:rsid w:val="00F34D9F"/>
    <w:rsid w:val="00F34E1D"/>
    <w:rsid w:val="00F34E41"/>
    <w:rsid w:val="00F34E79"/>
    <w:rsid w:val="00F34EAB"/>
    <w:rsid w:val="00F34EC2"/>
    <w:rsid w:val="00F34EDF"/>
    <w:rsid w:val="00F34F3E"/>
    <w:rsid w:val="00F35058"/>
    <w:rsid w:val="00F35112"/>
    <w:rsid w:val="00F351DF"/>
    <w:rsid w:val="00F351EF"/>
    <w:rsid w:val="00F3522D"/>
    <w:rsid w:val="00F3523C"/>
    <w:rsid w:val="00F352A5"/>
    <w:rsid w:val="00F352AE"/>
    <w:rsid w:val="00F35321"/>
    <w:rsid w:val="00F35329"/>
    <w:rsid w:val="00F35333"/>
    <w:rsid w:val="00F35337"/>
    <w:rsid w:val="00F353A8"/>
    <w:rsid w:val="00F35442"/>
    <w:rsid w:val="00F3549B"/>
    <w:rsid w:val="00F354D6"/>
    <w:rsid w:val="00F354D9"/>
    <w:rsid w:val="00F354F6"/>
    <w:rsid w:val="00F35538"/>
    <w:rsid w:val="00F3555B"/>
    <w:rsid w:val="00F355DA"/>
    <w:rsid w:val="00F35648"/>
    <w:rsid w:val="00F35694"/>
    <w:rsid w:val="00F35695"/>
    <w:rsid w:val="00F35704"/>
    <w:rsid w:val="00F35728"/>
    <w:rsid w:val="00F35758"/>
    <w:rsid w:val="00F357D5"/>
    <w:rsid w:val="00F357E3"/>
    <w:rsid w:val="00F35809"/>
    <w:rsid w:val="00F35853"/>
    <w:rsid w:val="00F35856"/>
    <w:rsid w:val="00F3585A"/>
    <w:rsid w:val="00F35874"/>
    <w:rsid w:val="00F35928"/>
    <w:rsid w:val="00F35935"/>
    <w:rsid w:val="00F35946"/>
    <w:rsid w:val="00F35948"/>
    <w:rsid w:val="00F35951"/>
    <w:rsid w:val="00F359BE"/>
    <w:rsid w:val="00F359D6"/>
    <w:rsid w:val="00F35A67"/>
    <w:rsid w:val="00F35A86"/>
    <w:rsid w:val="00F35B05"/>
    <w:rsid w:val="00F35B33"/>
    <w:rsid w:val="00F35BA0"/>
    <w:rsid w:val="00F35C2D"/>
    <w:rsid w:val="00F35C61"/>
    <w:rsid w:val="00F35C7E"/>
    <w:rsid w:val="00F35C82"/>
    <w:rsid w:val="00F35C8B"/>
    <w:rsid w:val="00F35CB7"/>
    <w:rsid w:val="00F35E1E"/>
    <w:rsid w:val="00F35EAD"/>
    <w:rsid w:val="00F35FAC"/>
    <w:rsid w:val="00F35FCB"/>
    <w:rsid w:val="00F35FE6"/>
    <w:rsid w:val="00F36058"/>
    <w:rsid w:val="00F36067"/>
    <w:rsid w:val="00F36070"/>
    <w:rsid w:val="00F36093"/>
    <w:rsid w:val="00F36123"/>
    <w:rsid w:val="00F36153"/>
    <w:rsid w:val="00F3616B"/>
    <w:rsid w:val="00F361CA"/>
    <w:rsid w:val="00F3623C"/>
    <w:rsid w:val="00F362D0"/>
    <w:rsid w:val="00F362FA"/>
    <w:rsid w:val="00F36352"/>
    <w:rsid w:val="00F3636F"/>
    <w:rsid w:val="00F363BD"/>
    <w:rsid w:val="00F363CE"/>
    <w:rsid w:val="00F363D2"/>
    <w:rsid w:val="00F363FD"/>
    <w:rsid w:val="00F36429"/>
    <w:rsid w:val="00F3645F"/>
    <w:rsid w:val="00F36481"/>
    <w:rsid w:val="00F36492"/>
    <w:rsid w:val="00F364B3"/>
    <w:rsid w:val="00F364F2"/>
    <w:rsid w:val="00F364F9"/>
    <w:rsid w:val="00F36566"/>
    <w:rsid w:val="00F365B7"/>
    <w:rsid w:val="00F365C8"/>
    <w:rsid w:val="00F365C9"/>
    <w:rsid w:val="00F365CF"/>
    <w:rsid w:val="00F3663E"/>
    <w:rsid w:val="00F36647"/>
    <w:rsid w:val="00F36686"/>
    <w:rsid w:val="00F3671C"/>
    <w:rsid w:val="00F3676F"/>
    <w:rsid w:val="00F36787"/>
    <w:rsid w:val="00F367DE"/>
    <w:rsid w:val="00F368B7"/>
    <w:rsid w:val="00F368CD"/>
    <w:rsid w:val="00F369A9"/>
    <w:rsid w:val="00F369AF"/>
    <w:rsid w:val="00F36A04"/>
    <w:rsid w:val="00F36AAA"/>
    <w:rsid w:val="00F36AFB"/>
    <w:rsid w:val="00F36B09"/>
    <w:rsid w:val="00F36B57"/>
    <w:rsid w:val="00F36B5E"/>
    <w:rsid w:val="00F36B74"/>
    <w:rsid w:val="00F36BDD"/>
    <w:rsid w:val="00F36BED"/>
    <w:rsid w:val="00F36BF2"/>
    <w:rsid w:val="00F36BF5"/>
    <w:rsid w:val="00F36C34"/>
    <w:rsid w:val="00F36C5F"/>
    <w:rsid w:val="00F36CAA"/>
    <w:rsid w:val="00F36CD4"/>
    <w:rsid w:val="00F36CE1"/>
    <w:rsid w:val="00F36D97"/>
    <w:rsid w:val="00F36DDA"/>
    <w:rsid w:val="00F36DE8"/>
    <w:rsid w:val="00F36E4A"/>
    <w:rsid w:val="00F36FDB"/>
    <w:rsid w:val="00F36FF9"/>
    <w:rsid w:val="00F37002"/>
    <w:rsid w:val="00F3700F"/>
    <w:rsid w:val="00F37032"/>
    <w:rsid w:val="00F37059"/>
    <w:rsid w:val="00F37072"/>
    <w:rsid w:val="00F37080"/>
    <w:rsid w:val="00F37086"/>
    <w:rsid w:val="00F370C4"/>
    <w:rsid w:val="00F370FB"/>
    <w:rsid w:val="00F37172"/>
    <w:rsid w:val="00F371A1"/>
    <w:rsid w:val="00F371D6"/>
    <w:rsid w:val="00F371F0"/>
    <w:rsid w:val="00F3724E"/>
    <w:rsid w:val="00F372A9"/>
    <w:rsid w:val="00F37326"/>
    <w:rsid w:val="00F37380"/>
    <w:rsid w:val="00F37393"/>
    <w:rsid w:val="00F3741B"/>
    <w:rsid w:val="00F37439"/>
    <w:rsid w:val="00F374AD"/>
    <w:rsid w:val="00F374C9"/>
    <w:rsid w:val="00F374F5"/>
    <w:rsid w:val="00F37508"/>
    <w:rsid w:val="00F3753D"/>
    <w:rsid w:val="00F3758B"/>
    <w:rsid w:val="00F37595"/>
    <w:rsid w:val="00F37624"/>
    <w:rsid w:val="00F37637"/>
    <w:rsid w:val="00F37708"/>
    <w:rsid w:val="00F3775D"/>
    <w:rsid w:val="00F3789C"/>
    <w:rsid w:val="00F3790F"/>
    <w:rsid w:val="00F37958"/>
    <w:rsid w:val="00F3797D"/>
    <w:rsid w:val="00F37985"/>
    <w:rsid w:val="00F379AC"/>
    <w:rsid w:val="00F37A2D"/>
    <w:rsid w:val="00F37A82"/>
    <w:rsid w:val="00F37ABF"/>
    <w:rsid w:val="00F37AC3"/>
    <w:rsid w:val="00F37AC6"/>
    <w:rsid w:val="00F37AD5"/>
    <w:rsid w:val="00F37B87"/>
    <w:rsid w:val="00F37BF5"/>
    <w:rsid w:val="00F37C18"/>
    <w:rsid w:val="00F37C57"/>
    <w:rsid w:val="00F37C86"/>
    <w:rsid w:val="00F37CDF"/>
    <w:rsid w:val="00F37D0A"/>
    <w:rsid w:val="00F37D0C"/>
    <w:rsid w:val="00F37D3F"/>
    <w:rsid w:val="00F37E03"/>
    <w:rsid w:val="00F37E30"/>
    <w:rsid w:val="00F37E8D"/>
    <w:rsid w:val="00F37EDE"/>
    <w:rsid w:val="00F37EE1"/>
    <w:rsid w:val="00F37F0E"/>
    <w:rsid w:val="00F37F44"/>
    <w:rsid w:val="00F37F6C"/>
    <w:rsid w:val="00F37F8C"/>
    <w:rsid w:val="00F37FF3"/>
    <w:rsid w:val="00F40085"/>
    <w:rsid w:val="00F400CE"/>
    <w:rsid w:val="00F4015C"/>
    <w:rsid w:val="00F40169"/>
    <w:rsid w:val="00F4016B"/>
    <w:rsid w:val="00F40170"/>
    <w:rsid w:val="00F40171"/>
    <w:rsid w:val="00F401B0"/>
    <w:rsid w:val="00F401F7"/>
    <w:rsid w:val="00F402D8"/>
    <w:rsid w:val="00F40363"/>
    <w:rsid w:val="00F4057D"/>
    <w:rsid w:val="00F40591"/>
    <w:rsid w:val="00F406AE"/>
    <w:rsid w:val="00F406F8"/>
    <w:rsid w:val="00F40744"/>
    <w:rsid w:val="00F407E1"/>
    <w:rsid w:val="00F407E2"/>
    <w:rsid w:val="00F408CB"/>
    <w:rsid w:val="00F408D0"/>
    <w:rsid w:val="00F408E0"/>
    <w:rsid w:val="00F409C0"/>
    <w:rsid w:val="00F409D2"/>
    <w:rsid w:val="00F409F5"/>
    <w:rsid w:val="00F40A84"/>
    <w:rsid w:val="00F40A97"/>
    <w:rsid w:val="00F40ADA"/>
    <w:rsid w:val="00F40B47"/>
    <w:rsid w:val="00F40C75"/>
    <w:rsid w:val="00F40CC3"/>
    <w:rsid w:val="00F40CE7"/>
    <w:rsid w:val="00F40D12"/>
    <w:rsid w:val="00F40D70"/>
    <w:rsid w:val="00F40DBC"/>
    <w:rsid w:val="00F40DC8"/>
    <w:rsid w:val="00F40DE6"/>
    <w:rsid w:val="00F40E11"/>
    <w:rsid w:val="00F40E1F"/>
    <w:rsid w:val="00F40E5B"/>
    <w:rsid w:val="00F40E6B"/>
    <w:rsid w:val="00F40E85"/>
    <w:rsid w:val="00F40EE0"/>
    <w:rsid w:val="00F40F3B"/>
    <w:rsid w:val="00F40F4B"/>
    <w:rsid w:val="00F40F68"/>
    <w:rsid w:val="00F40F9E"/>
    <w:rsid w:val="00F410D6"/>
    <w:rsid w:val="00F41130"/>
    <w:rsid w:val="00F411DA"/>
    <w:rsid w:val="00F41206"/>
    <w:rsid w:val="00F41299"/>
    <w:rsid w:val="00F4132F"/>
    <w:rsid w:val="00F4135F"/>
    <w:rsid w:val="00F41361"/>
    <w:rsid w:val="00F413B4"/>
    <w:rsid w:val="00F413CC"/>
    <w:rsid w:val="00F415B8"/>
    <w:rsid w:val="00F415C8"/>
    <w:rsid w:val="00F415C9"/>
    <w:rsid w:val="00F415D1"/>
    <w:rsid w:val="00F415D5"/>
    <w:rsid w:val="00F41610"/>
    <w:rsid w:val="00F4165B"/>
    <w:rsid w:val="00F4166B"/>
    <w:rsid w:val="00F416E9"/>
    <w:rsid w:val="00F416ED"/>
    <w:rsid w:val="00F41729"/>
    <w:rsid w:val="00F4172D"/>
    <w:rsid w:val="00F41770"/>
    <w:rsid w:val="00F41771"/>
    <w:rsid w:val="00F41795"/>
    <w:rsid w:val="00F41807"/>
    <w:rsid w:val="00F4181C"/>
    <w:rsid w:val="00F4184F"/>
    <w:rsid w:val="00F41866"/>
    <w:rsid w:val="00F41889"/>
    <w:rsid w:val="00F418D4"/>
    <w:rsid w:val="00F419FE"/>
    <w:rsid w:val="00F41AC9"/>
    <w:rsid w:val="00F41AF5"/>
    <w:rsid w:val="00F41B00"/>
    <w:rsid w:val="00F41B2F"/>
    <w:rsid w:val="00F41B51"/>
    <w:rsid w:val="00F41BCD"/>
    <w:rsid w:val="00F41C52"/>
    <w:rsid w:val="00F41C55"/>
    <w:rsid w:val="00F41CC1"/>
    <w:rsid w:val="00F41D14"/>
    <w:rsid w:val="00F41D25"/>
    <w:rsid w:val="00F41D4F"/>
    <w:rsid w:val="00F41D62"/>
    <w:rsid w:val="00F41D7B"/>
    <w:rsid w:val="00F41E43"/>
    <w:rsid w:val="00F41E66"/>
    <w:rsid w:val="00F41E88"/>
    <w:rsid w:val="00F41F7D"/>
    <w:rsid w:val="00F41F8D"/>
    <w:rsid w:val="00F41FA0"/>
    <w:rsid w:val="00F41FA2"/>
    <w:rsid w:val="00F42056"/>
    <w:rsid w:val="00F4205C"/>
    <w:rsid w:val="00F42074"/>
    <w:rsid w:val="00F420C2"/>
    <w:rsid w:val="00F4211E"/>
    <w:rsid w:val="00F42156"/>
    <w:rsid w:val="00F4219B"/>
    <w:rsid w:val="00F42229"/>
    <w:rsid w:val="00F42231"/>
    <w:rsid w:val="00F42241"/>
    <w:rsid w:val="00F422D7"/>
    <w:rsid w:val="00F423A4"/>
    <w:rsid w:val="00F42459"/>
    <w:rsid w:val="00F424AC"/>
    <w:rsid w:val="00F424CA"/>
    <w:rsid w:val="00F424E2"/>
    <w:rsid w:val="00F4253D"/>
    <w:rsid w:val="00F42544"/>
    <w:rsid w:val="00F4257F"/>
    <w:rsid w:val="00F425D8"/>
    <w:rsid w:val="00F4266F"/>
    <w:rsid w:val="00F42670"/>
    <w:rsid w:val="00F426BE"/>
    <w:rsid w:val="00F426C2"/>
    <w:rsid w:val="00F426C4"/>
    <w:rsid w:val="00F426FA"/>
    <w:rsid w:val="00F4274C"/>
    <w:rsid w:val="00F42787"/>
    <w:rsid w:val="00F42795"/>
    <w:rsid w:val="00F427A4"/>
    <w:rsid w:val="00F427AC"/>
    <w:rsid w:val="00F427BC"/>
    <w:rsid w:val="00F427FE"/>
    <w:rsid w:val="00F42805"/>
    <w:rsid w:val="00F42851"/>
    <w:rsid w:val="00F428E2"/>
    <w:rsid w:val="00F428FC"/>
    <w:rsid w:val="00F42919"/>
    <w:rsid w:val="00F4291E"/>
    <w:rsid w:val="00F42A14"/>
    <w:rsid w:val="00F42A74"/>
    <w:rsid w:val="00F42AF1"/>
    <w:rsid w:val="00F42B8D"/>
    <w:rsid w:val="00F42BD3"/>
    <w:rsid w:val="00F42C6B"/>
    <w:rsid w:val="00F42D70"/>
    <w:rsid w:val="00F42DB0"/>
    <w:rsid w:val="00F42DE2"/>
    <w:rsid w:val="00F42E1E"/>
    <w:rsid w:val="00F42E20"/>
    <w:rsid w:val="00F42EB3"/>
    <w:rsid w:val="00F42EF6"/>
    <w:rsid w:val="00F42F32"/>
    <w:rsid w:val="00F42F33"/>
    <w:rsid w:val="00F42F67"/>
    <w:rsid w:val="00F42FAC"/>
    <w:rsid w:val="00F42FBC"/>
    <w:rsid w:val="00F42FE3"/>
    <w:rsid w:val="00F43048"/>
    <w:rsid w:val="00F43143"/>
    <w:rsid w:val="00F43170"/>
    <w:rsid w:val="00F43175"/>
    <w:rsid w:val="00F431CF"/>
    <w:rsid w:val="00F431D0"/>
    <w:rsid w:val="00F43328"/>
    <w:rsid w:val="00F43335"/>
    <w:rsid w:val="00F4333D"/>
    <w:rsid w:val="00F433B3"/>
    <w:rsid w:val="00F43400"/>
    <w:rsid w:val="00F43442"/>
    <w:rsid w:val="00F4344D"/>
    <w:rsid w:val="00F43496"/>
    <w:rsid w:val="00F43508"/>
    <w:rsid w:val="00F4356F"/>
    <w:rsid w:val="00F435A9"/>
    <w:rsid w:val="00F435DE"/>
    <w:rsid w:val="00F43616"/>
    <w:rsid w:val="00F4362A"/>
    <w:rsid w:val="00F43720"/>
    <w:rsid w:val="00F4372B"/>
    <w:rsid w:val="00F43762"/>
    <w:rsid w:val="00F43763"/>
    <w:rsid w:val="00F437E0"/>
    <w:rsid w:val="00F438AF"/>
    <w:rsid w:val="00F4390F"/>
    <w:rsid w:val="00F43942"/>
    <w:rsid w:val="00F4395E"/>
    <w:rsid w:val="00F4398A"/>
    <w:rsid w:val="00F43A04"/>
    <w:rsid w:val="00F43A08"/>
    <w:rsid w:val="00F43A4D"/>
    <w:rsid w:val="00F43A55"/>
    <w:rsid w:val="00F43A78"/>
    <w:rsid w:val="00F43AEE"/>
    <w:rsid w:val="00F43B19"/>
    <w:rsid w:val="00F43B20"/>
    <w:rsid w:val="00F43B74"/>
    <w:rsid w:val="00F43B96"/>
    <w:rsid w:val="00F43C89"/>
    <w:rsid w:val="00F43CEF"/>
    <w:rsid w:val="00F43D59"/>
    <w:rsid w:val="00F43D85"/>
    <w:rsid w:val="00F43DA7"/>
    <w:rsid w:val="00F43DB2"/>
    <w:rsid w:val="00F43DD9"/>
    <w:rsid w:val="00F43E20"/>
    <w:rsid w:val="00F43E53"/>
    <w:rsid w:val="00F43E79"/>
    <w:rsid w:val="00F43EA0"/>
    <w:rsid w:val="00F43EC3"/>
    <w:rsid w:val="00F43F4A"/>
    <w:rsid w:val="00F43F75"/>
    <w:rsid w:val="00F43F9A"/>
    <w:rsid w:val="00F43FA6"/>
    <w:rsid w:val="00F43FF9"/>
    <w:rsid w:val="00F44022"/>
    <w:rsid w:val="00F44043"/>
    <w:rsid w:val="00F4407F"/>
    <w:rsid w:val="00F44096"/>
    <w:rsid w:val="00F440B7"/>
    <w:rsid w:val="00F440CE"/>
    <w:rsid w:val="00F440F9"/>
    <w:rsid w:val="00F44106"/>
    <w:rsid w:val="00F44137"/>
    <w:rsid w:val="00F4413F"/>
    <w:rsid w:val="00F44147"/>
    <w:rsid w:val="00F441FD"/>
    <w:rsid w:val="00F44240"/>
    <w:rsid w:val="00F4425B"/>
    <w:rsid w:val="00F442D0"/>
    <w:rsid w:val="00F442E0"/>
    <w:rsid w:val="00F44312"/>
    <w:rsid w:val="00F44320"/>
    <w:rsid w:val="00F44371"/>
    <w:rsid w:val="00F4438E"/>
    <w:rsid w:val="00F443E1"/>
    <w:rsid w:val="00F4440B"/>
    <w:rsid w:val="00F44438"/>
    <w:rsid w:val="00F44499"/>
    <w:rsid w:val="00F4449D"/>
    <w:rsid w:val="00F4452D"/>
    <w:rsid w:val="00F44569"/>
    <w:rsid w:val="00F4458C"/>
    <w:rsid w:val="00F4458D"/>
    <w:rsid w:val="00F445B2"/>
    <w:rsid w:val="00F445D4"/>
    <w:rsid w:val="00F445E1"/>
    <w:rsid w:val="00F445E8"/>
    <w:rsid w:val="00F44665"/>
    <w:rsid w:val="00F4474A"/>
    <w:rsid w:val="00F447A3"/>
    <w:rsid w:val="00F447F3"/>
    <w:rsid w:val="00F448A4"/>
    <w:rsid w:val="00F448D2"/>
    <w:rsid w:val="00F448FA"/>
    <w:rsid w:val="00F44953"/>
    <w:rsid w:val="00F449AC"/>
    <w:rsid w:val="00F44A38"/>
    <w:rsid w:val="00F44A4E"/>
    <w:rsid w:val="00F44A71"/>
    <w:rsid w:val="00F44A7A"/>
    <w:rsid w:val="00F44AC8"/>
    <w:rsid w:val="00F44B19"/>
    <w:rsid w:val="00F44BD4"/>
    <w:rsid w:val="00F44C68"/>
    <w:rsid w:val="00F44C78"/>
    <w:rsid w:val="00F44CC1"/>
    <w:rsid w:val="00F44D4B"/>
    <w:rsid w:val="00F44D4F"/>
    <w:rsid w:val="00F44DC0"/>
    <w:rsid w:val="00F44E45"/>
    <w:rsid w:val="00F44EC9"/>
    <w:rsid w:val="00F44F14"/>
    <w:rsid w:val="00F44F7C"/>
    <w:rsid w:val="00F44F93"/>
    <w:rsid w:val="00F45028"/>
    <w:rsid w:val="00F45049"/>
    <w:rsid w:val="00F4507D"/>
    <w:rsid w:val="00F45184"/>
    <w:rsid w:val="00F451EA"/>
    <w:rsid w:val="00F451FC"/>
    <w:rsid w:val="00F4521E"/>
    <w:rsid w:val="00F4524A"/>
    <w:rsid w:val="00F45251"/>
    <w:rsid w:val="00F45266"/>
    <w:rsid w:val="00F4526D"/>
    <w:rsid w:val="00F45316"/>
    <w:rsid w:val="00F45357"/>
    <w:rsid w:val="00F45365"/>
    <w:rsid w:val="00F4539D"/>
    <w:rsid w:val="00F45403"/>
    <w:rsid w:val="00F4542A"/>
    <w:rsid w:val="00F4542E"/>
    <w:rsid w:val="00F45475"/>
    <w:rsid w:val="00F454CD"/>
    <w:rsid w:val="00F455C2"/>
    <w:rsid w:val="00F455DE"/>
    <w:rsid w:val="00F4560C"/>
    <w:rsid w:val="00F456BA"/>
    <w:rsid w:val="00F456FC"/>
    <w:rsid w:val="00F45751"/>
    <w:rsid w:val="00F45773"/>
    <w:rsid w:val="00F457AE"/>
    <w:rsid w:val="00F457EA"/>
    <w:rsid w:val="00F458D3"/>
    <w:rsid w:val="00F4590A"/>
    <w:rsid w:val="00F459BD"/>
    <w:rsid w:val="00F459EA"/>
    <w:rsid w:val="00F459F5"/>
    <w:rsid w:val="00F45A8B"/>
    <w:rsid w:val="00F45A99"/>
    <w:rsid w:val="00F45B06"/>
    <w:rsid w:val="00F45BE6"/>
    <w:rsid w:val="00F45CB2"/>
    <w:rsid w:val="00F45CD1"/>
    <w:rsid w:val="00F45D1A"/>
    <w:rsid w:val="00F45D40"/>
    <w:rsid w:val="00F45D71"/>
    <w:rsid w:val="00F45DA1"/>
    <w:rsid w:val="00F45E54"/>
    <w:rsid w:val="00F45EDF"/>
    <w:rsid w:val="00F45F77"/>
    <w:rsid w:val="00F45F8C"/>
    <w:rsid w:val="00F45FA7"/>
    <w:rsid w:val="00F45FB2"/>
    <w:rsid w:val="00F45FB8"/>
    <w:rsid w:val="00F45FE3"/>
    <w:rsid w:val="00F460F0"/>
    <w:rsid w:val="00F46128"/>
    <w:rsid w:val="00F46163"/>
    <w:rsid w:val="00F4617D"/>
    <w:rsid w:val="00F461A9"/>
    <w:rsid w:val="00F461BB"/>
    <w:rsid w:val="00F461DE"/>
    <w:rsid w:val="00F4621D"/>
    <w:rsid w:val="00F46246"/>
    <w:rsid w:val="00F46355"/>
    <w:rsid w:val="00F46390"/>
    <w:rsid w:val="00F463A5"/>
    <w:rsid w:val="00F463AD"/>
    <w:rsid w:val="00F463AF"/>
    <w:rsid w:val="00F463DA"/>
    <w:rsid w:val="00F46444"/>
    <w:rsid w:val="00F46457"/>
    <w:rsid w:val="00F4649E"/>
    <w:rsid w:val="00F464F6"/>
    <w:rsid w:val="00F46557"/>
    <w:rsid w:val="00F46587"/>
    <w:rsid w:val="00F4658A"/>
    <w:rsid w:val="00F465A0"/>
    <w:rsid w:val="00F465DE"/>
    <w:rsid w:val="00F46673"/>
    <w:rsid w:val="00F46677"/>
    <w:rsid w:val="00F46678"/>
    <w:rsid w:val="00F4668F"/>
    <w:rsid w:val="00F466EE"/>
    <w:rsid w:val="00F467D4"/>
    <w:rsid w:val="00F46819"/>
    <w:rsid w:val="00F4685C"/>
    <w:rsid w:val="00F46871"/>
    <w:rsid w:val="00F4688C"/>
    <w:rsid w:val="00F468E1"/>
    <w:rsid w:val="00F468FF"/>
    <w:rsid w:val="00F46944"/>
    <w:rsid w:val="00F46971"/>
    <w:rsid w:val="00F469B7"/>
    <w:rsid w:val="00F469CC"/>
    <w:rsid w:val="00F469DD"/>
    <w:rsid w:val="00F469FA"/>
    <w:rsid w:val="00F46A13"/>
    <w:rsid w:val="00F46A4F"/>
    <w:rsid w:val="00F46A58"/>
    <w:rsid w:val="00F46A79"/>
    <w:rsid w:val="00F46B1A"/>
    <w:rsid w:val="00F46C12"/>
    <w:rsid w:val="00F46C6E"/>
    <w:rsid w:val="00F46CAD"/>
    <w:rsid w:val="00F46CDF"/>
    <w:rsid w:val="00F46CE6"/>
    <w:rsid w:val="00F46D17"/>
    <w:rsid w:val="00F46D25"/>
    <w:rsid w:val="00F46DA9"/>
    <w:rsid w:val="00F46E19"/>
    <w:rsid w:val="00F46EA6"/>
    <w:rsid w:val="00F46EE5"/>
    <w:rsid w:val="00F46FE3"/>
    <w:rsid w:val="00F47005"/>
    <w:rsid w:val="00F4706B"/>
    <w:rsid w:val="00F47096"/>
    <w:rsid w:val="00F470A7"/>
    <w:rsid w:val="00F4714C"/>
    <w:rsid w:val="00F47160"/>
    <w:rsid w:val="00F471A3"/>
    <w:rsid w:val="00F471EF"/>
    <w:rsid w:val="00F47204"/>
    <w:rsid w:val="00F472C3"/>
    <w:rsid w:val="00F47384"/>
    <w:rsid w:val="00F473D1"/>
    <w:rsid w:val="00F47408"/>
    <w:rsid w:val="00F4744D"/>
    <w:rsid w:val="00F47467"/>
    <w:rsid w:val="00F4746F"/>
    <w:rsid w:val="00F47532"/>
    <w:rsid w:val="00F47584"/>
    <w:rsid w:val="00F475A1"/>
    <w:rsid w:val="00F475D0"/>
    <w:rsid w:val="00F475DF"/>
    <w:rsid w:val="00F475F8"/>
    <w:rsid w:val="00F47610"/>
    <w:rsid w:val="00F4763C"/>
    <w:rsid w:val="00F476B4"/>
    <w:rsid w:val="00F477C6"/>
    <w:rsid w:val="00F4788D"/>
    <w:rsid w:val="00F478CD"/>
    <w:rsid w:val="00F478E6"/>
    <w:rsid w:val="00F478F0"/>
    <w:rsid w:val="00F4791B"/>
    <w:rsid w:val="00F47922"/>
    <w:rsid w:val="00F47946"/>
    <w:rsid w:val="00F479A6"/>
    <w:rsid w:val="00F479B9"/>
    <w:rsid w:val="00F479DF"/>
    <w:rsid w:val="00F47A4B"/>
    <w:rsid w:val="00F47A5A"/>
    <w:rsid w:val="00F47A70"/>
    <w:rsid w:val="00F47A75"/>
    <w:rsid w:val="00F47A82"/>
    <w:rsid w:val="00F47ACC"/>
    <w:rsid w:val="00F47B88"/>
    <w:rsid w:val="00F47CD9"/>
    <w:rsid w:val="00F47D22"/>
    <w:rsid w:val="00F47E06"/>
    <w:rsid w:val="00F47E4E"/>
    <w:rsid w:val="00F47ECE"/>
    <w:rsid w:val="00F47F28"/>
    <w:rsid w:val="00F47F45"/>
    <w:rsid w:val="00F47F9F"/>
    <w:rsid w:val="00F47FD5"/>
    <w:rsid w:val="00F47FFD"/>
    <w:rsid w:val="00F5009F"/>
    <w:rsid w:val="00F500FA"/>
    <w:rsid w:val="00F50109"/>
    <w:rsid w:val="00F50111"/>
    <w:rsid w:val="00F50154"/>
    <w:rsid w:val="00F50159"/>
    <w:rsid w:val="00F50187"/>
    <w:rsid w:val="00F501F6"/>
    <w:rsid w:val="00F50244"/>
    <w:rsid w:val="00F50275"/>
    <w:rsid w:val="00F5031D"/>
    <w:rsid w:val="00F50347"/>
    <w:rsid w:val="00F50389"/>
    <w:rsid w:val="00F5039B"/>
    <w:rsid w:val="00F503E4"/>
    <w:rsid w:val="00F50431"/>
    <w:rsid w:val="00F50491"/>
    <w:rsid w:val="00F504AF"/>
    <w:rsid w:val="00F50528"/>
    <w:rsid w:val="00F5054C"/>
    <w:rsid w:val="00F505F1"/>
    <w:rsid w:val="00F50635"/>
    <w:rsid w:val="00F50698"/>
    <w:rsid w:val="00F506CD"/>
    <w:rsid w:val="00F506E4"/>
    <w:rsid w:val="00F50740"/>
    <w:rsid w:val="00F5074A"/>
    <w:rsid w:val="00F5080A"/>
    <w:rsid w:val="00F50828"/>
    <w:rsid w:val="00F50834"/>
    <w:rsid w:val="00F5086B"/>
    <w:rsid w:val="00F508EE"/>
    <w:rsid w:val="00F508FA"/>
    <w:rsid w:val="00F508FE"/>
    <w:rsid w:val="00F509C7"/>
    <w:rsid w:val="00F50A26"/>
    <w:rsid w:val="00F50A56"/>
    <w:rsid w:val="00F50C09"/>
    <w:rsid w:val="00F50C75"/>
    <w:rsid w:val="00F50CDB"/>
    <w:rsid w:val="00F50D0E"/>
    <w:rsid w:val="00F50D82"/>
    <w:rsid w:val="00F50D9E"/>
    <w:rsid w:val="00F50DB7"/>
    <w:rsid w:val="00F50E60"/>
    <w:rsid w:val="00F50F0B"/>
    <w:rsid w:val="00F50F1E"/>
    <w:rsid w:val="00F50F21"/>
    <w:rsid w:val="00F50FF2"/>
    <w:rsid w:val="00F5100C"/>
    <w:rsid w:val="00F5100D"/>
    <w:rsid w:val="00F51079"/>
    <w:rsid w:val="00F510B1"/>
    <w:rsid w:val="00F510C5"/>
    <w:rsid w:val="00F510F2"/>
    <w:rsid w:val="00F511C3"/>
    <w:rsid w:val="00F511F0"/>
    <w:rsid w:val="00F511F4"/>
    <w:rsid w:val="00F511FA"/>
    <w:rsid w:val="00F5124A"/>
    <w:rsid w:val="00F51285"/>
    <w:rsid w:val="00F512AB"/>
    <w:rsid w:val="00F512E2"/>
    <w:rsid w:val="00F512FB"/>
    <w:rsid w:val="00F512FF"/>
    <w:rsid w:val="00F5132F"/>
    <w:rsid w:val="00F513D0"/>
    <w:rsid w:val="00F5140B"/>
    <w:rsid w:val="00F51448"/>
    <w:rsid w:val="00F5144E"/>
    <w:rsid w:val="00F51498"/>
    <w:rsid w:val="00F514B7"/>
    <w:rsid w:val="00F514CA"/>
    <w:rsid w:val="00F514CC"/>
    <w:rsid w:val="00F514DB"/>
    <w:rsid w:val="00F51578"/>
    <w:rsid w:val="00F51590"/>
    <w:rsid w:val="00F51598"/>
    <w:rsid w:val="00F515C1"/>
    <w:rsid w:val="00F51608"/>
    <w:rsid w:val="00F5164F"/>
    <w:rsid w:val="00F516CD"/>
    <w:rsid w:val="00F516DF"/>
    <w:rsid w:val="00F516E0"/>
    <w:rsid w:val="00F517B4"/>
    <w:rsid w:val="00F517D3"/>
    <w:rsid w:val="00F5180A"/>
    <w:rsid w:val="00F5180C"/>
    <w:rsid w:val="00F51828"/>
    <w:rsid w:val="00F51893"/>
    <w:rsid w:val="00F518CC"/>
    <w:rsid w:val="00F5192E"/>
    <w:rsid w:val="00F519A2"/>
    <w:rsid w:val="00F51A38"/>
    <w:rsid w:val="00F51A68"/>
    <w:rsid w:val="00F51AB5"/>
    <w:rsid w:val="00F51B0A"/>
    <w:rsid w:val="00F51B0E"/>
    <w:rsid w:val="00F51B1A"/>
    <w:rsid w:val="00F51BA1"/>
    <w:rsid w:val="00F51BB1"/>
    <w:rsid w:val="00F51BB7"/>
    <w:rsid w:val="00F51C54"/>
    <w:rsid w:val="00F51C6B"/>
    <w:rsid w:val="00F51CB0"/>
    <w:rsid w:val="00F51CC6"/>
    <w:rsid w:val="00F51D20"/>
    <w:rsid w:val="00F51D29"/>
    <w:rsid w:val="00F51D2A"/>
    <w:rsid w:val="00F51D51"/>
    <w:rsid w:val="00F51D78"/>
    <w:rsid w:val="00F51DDF"/>
    <w:rsid w:val="00F51E09"/>
    <w:rsid w:val="00F51E76"/>
    <w:rsid w:val="00F51E77"/>
    <w:rsid w:val="00F51E7B"/>
    <w:rsid w:val="00F51ECF"/>
    <w:rsid w:val="00F51F60"/>
    <w:rsid w:val="00F51FFC"/>
    <w:rsid w:val="00F5200C"/>
    <w:rsid w:val="00F52058"/>
    <w:rsid w:val="00F5205F"/>
    <w:rsid w:val="00F52099"/>
    <w:rsid w:val="00F52107"/>
    <w:rsid w:val="00F52134"/>
    <w:rsid w:val="00F52190"/>
    <w:rsid w:val="00F52194"/>
    <w:rsid w:val="00F5219D"/>
    <w:rsid w:val="00F521D1"/>
    <w:rsid w:val="00F52222"/>
    <w:rsid w:val="00F522A6"/>
    <w:rsid w:val="00F522B7"/>
    <w:rsid w:val="00F522F0"/>
    <w:rsid w:val="00F52342"/>
    <w:rsid w:val="00F52379"/>
    <w:rsid w:val="00F523FA"/>
    <w:rsid w:val="00F5245F"/>
    <w:rsid w:val="00F52465"/>
    <w:rsid w:val="00F52477"/>
    <w:rsid w:val="00F524A3"/>
    <w:rsid w:val="00F524AF"/>
    <w:rsid w:val="00F524ED"/>
    <w:rsid w:val="00F5251F"/>
    <w:rsid w:val="00F52521"/>
    <w:rsid w:val="00F52528"/>
    <w:rsid w:val="00F5253C"/>
    <w:rsid w:val="00F52563"/>
    <w:rsid w:val="00F52590"/>
    <w:rsid w:val="00F525AA"/>
    <w:rsid w:val="00F525D2"/>
    <w:rsid w:val="00F525E4"/>
    <w:rsid w:val="00F525FE"/>
    <w:rsid w:val="00F52657"/>
    <w:rsid w:val="00F526A4"/>
    <w:rsid w:val="00F5271D"/>
    <w:rsid w:val="00F52769"/>
    <w:rsid w:val="00F52842"/>
    <w:rsid w:val="00F52874"/>
    <w:rsid w:val="00F5288E"/>
    <w:rsid w:val="00F52900"/>
    <w:rsid w:val="00F52905"/>
    <w:rsid w:val="00F52938"/>
    <w:rsid w:val="00F529D1"/>
    <w:rsid w:val="00F52A0E"/>
    <w:rsid w:val="00F52A8E"/>
    <w:rsid w:val="00F52B05"/>
    <w:rsid w:val="00F52B4A"/>
    <w:rsid w:val="00F52B59"/>
    <w:rsid w:val="00F52B77"/>
    <w:rsid w:val="00F52B7D"/>
    <w:rsid w:val="00F52BA3"/>
    <w:rsid w:val="00F52BB1"/>
    <w:rsid w:val="00F52C02"/>
    <w:rsid w:val="00F52C34"/>
    <w:rsid w:val="00F52C4B"/>
    <w:rsid w:val="00F52C8B"/>
    <w:rsid w:val="00F52CE4"/>
    <w:rsid w:val="00F52D50"/>
    <w:rsid w:val="00F52DC8"/>
    <w:rsid w:val="00F52DCD"/>
    <w:rsid w:val="00F52E89"/>
    <w:rsid w:val="00F52ED1"/>
    <w:rsid w:val="00F52F2F"/>
    <w:rsid w:val="00F52F71"/>
    <w:rsid w:val="00F52F90"/>
    <w:rsid w:val="00F53018"/>
    <w:rsid w:val="00F53037"/>
    <w:rsid w:val="00F5307D"/>
    <w:rsid w:val="00F5311F"/>
    <w:rsid w:val="00F5312C"/>
    <w:rsid w:val="00F53140"/>
    <w:rsid w:val="00F53195"/>
    <w:rsid w:val="00F531CB"/>
    <w:rsid w:val="00F53232"/>
    <w:rsid w:val="00F53276"/>
    <w:rsid w:val="00F532C3"/>
    <w:rsid w:val="00F532F1"/>
    <w:rsid w:val="00F5331D"/>
    <w:rsid w:val="00F5333F"/>
    <w:rsid w:val="00F53340"/>
    <w:rsid w:val="00F5334C"/>
    <w:rsid w:val="00F53369"/>
    <w:rsid w:val="00F53387"/>
    <w:rsid w:val="00F533DF"/>
    <w:rsid w:val="00F5348C"/>
    <w:rsid w:val="00F534BB"/>
    <w:rsid w:val="00F534BC"/>
    <w:rsid w:val="00F534BD"/>
    <w:rsid w:val="00F53520"/>
    <w:rsid w:val="00F53532"/>
    <w:rsid w:val="00F53568"/>
    <w:rsid w:val="00F53574"/>
    <w:rsid w:val="00F5365A"/>
    <w:rsid w:val="00F5365F"/>
    <w:rsid w:val="00F53699"/>
    <w:rsid w:val="00F53715"/>
    <w:rsid w:val="00F53743"/>
    <w:rsid w:val="00F5374A"/>
    <w:rsid w:val="00F53763"/>
    <w:rsid w:val="00F53833"/>
    <w:rsid w:val="00F538F1"/>
    <w:rsid w:val="00F538FF"/>
    <w:rsid w:val="00F5391F"/>
    <w:rsid w:val="00F53947"/>
    <w:rsid w:val="00F5395D"/>
    <w:rsid w:val="00F53960"/>
    <w:rsid w:val="00F53A02"/>
    <w:rsid w:val="00F53A76"/>
    <w:rsid w:val="00F53AC3"/>
    <w:rsid w:val="00F53BB5"/>
    <w:rsid w:val="00F53BD2"/>
    <w:rsid w:val="00F53BD7"/>
    <w:rsid w:val="00F53C18"/>
    <w:rsid w:val="00F53C60"/>
    <w:rsid w:val="00F53CAF"/>
    <w:rsid w:val="00F53CD0"/>
    <w:rsid w:val="00F53D16"/>
    <w:rsid w:val="00F53D4B"/>
    <w:rsid w:val="00F53DA9"/>
    <w:rsid w:val="00F53DB7"/>
    <w:rsid w:val="00F53E1E"/>
    <w:rsid w:val="00F53E7D"/>
    <w:rsid w:val="00F53FDC"/>
    <w:rsid w:val="00F54000"/>
    <w:rsid w:val="00F54087"/>
    <w:rsid w:val="00F540B5"/>
    <w:rsid w:val="00F540DF"/>
    <w:rsid w:val="00F54132"/>
    <w:rsid w:val="00F541BB"/>
    <w:rsid w:val="00F542A8"/>
    <w:rsid w:val="00F542A9"/>
    <w:rsid w:val="00F542B6"/>
    <w:rsid w:val="00F542B9"/>
    <w:rsid w:val="00F5430A"/>
    <w:rsid w:val="00F54316"/>
    <w:rsid w:val="00F54345"/>
    <w:rsid w:val="00F54380"/>
    <w:rsid w:val="00F543E8"/>
    <w:rsid w:val="00F54465"/>
    <w:rsid w:val="00F544E1"/>
    <w:rsid w:val="00F54576"/>
    <w:rsid w:val="00F54685"/>
    <w:rsid w:val="00F546AD"/>
    <w:rsid w:val="00F54772"/>
    <w:rsid w:val="00F547FF"/>
    <w:rsid w:val="00F54874"/>
    <w:rsid w:val="00F548AC"/>
    <w:rsid w:val="00F548B6"/>
    <w:rsid w:val="00F5495D"/>
    <w:rsid w:val="00F54A1D"/>
    <w:rsid w:val="00F54A2D"/>
    <w:rsid w:val="00F54AC5"/>
    <w:rsid w:val="00F54AD2"/>
    <w:rsid w:val="00F54B00"/>
    <w:rsid w:val="00F54B10"/>
    <w:rsid w:val="00F54B5A"/>
    <w:rsid w:val="00F54BA1"/>
    <w:rsid w:val="00F54BF3"/>
    <w:rsid w:val="00F54C0B"/>
    <w:rsid w:val="00F54C1D"/>
    <w:rsid w:val="00F54CB9"/>
    <w:rsid w:val="00F54CF2"/>
    <w:rsid w:val="00F54CFD"/>
    <w:rsid w:val="00F54E1B"/>
    <w:rsid w:val="00F54EBA"/>
    <w:rsid w:val="00F54F6D"/>
    <w:rsid w:val="00F54FBD"/>
    <w:rsid w:val="00F55004"/>
    <w:rsid w:val="00F550CC"/>
    <w:rsid w:val="00F550DF"/>
    <w:rsid w:val="00F550E6"/>
    <w:rsid w:val="00F55117"/>
    <w:rsid w:val="00F551BA"/>
    <w:rsid w:val="00F551D2"/>
    <w:rsid w:val="00F551F2"/>
    <w:rsid w:val="00F5525A"/>
    <w:rsid w:val="00F55309"/>
    <w:rsid w:val="00F55328"/>
    <w:rsid w:val="00F5537C"/>
    <w:rsid w:val="00F55433"/>
    <w:rsid w:val="00F5547A"/>
    <w:rsid w:val="00F554B4"/>
    <w:rsid w:val="00F554FF"/>
    <w:rsid w:val="00F5552A"/>
    <w:rsid w:val="00F555EC"/>
    <w:rsid w:val="00F55628"/>
    <w:rsid w:val="00F5562D"/>
    <w:rsid w:val="00F5568A"/>
    <w:rsid w:val="00F556C6"/>
    <w:rsid w:val="00F5570C"/>
    <w:rsid w:val="00F5570F"/>
    <w:rsid w:val="00F55765"/>
    <w:rsid w:val="00F55878"/>
    <w:rsid w:val="00F558A8"/>
    <w:rsid w:val="00F5591A"/>
    <w:rsid w:val="00F55966"/>
    <w:rsid w:val="00F55973"/>
    <w:rsid w:val="00F5597F"/>
    <w:rsid w:val="00F559CB"/>
    <w:rsid w:val="00F559DD"/>
    <w:rsid w:val="00F55A9D"/>
    <w:rsid w:val="00F55ACA"/>
    <w:rsid w:val="00F55AF5"/>
    <w:rsid w:val="00F55B03"/>
    <w:rsid w:val="00F55B20"/>
    <w:rsid w:val="00F55C2F"/>
    <w:rsid w:val="00F55C41"/>
    <w:rsid w:val="00F55C51"/>
    <w:rsid w:val="00F55C7C"/>
    <w:rsid w:val="00F55C87"/>
    <w:rsid w:val="00F55D34"/>
    <w:rsid w:val="00F55DC8"/>
    <w:rsid w:val="00F55E20"/>
    <w:rsid w:val="00F55E8E"/>
    <w:rsid w:val="00F55EC1"/>
    <w:rsid w:val="00F55F92"/>
    <w:rsid w:val="00F55FAD"/>
    <w:rsid w:val="00F55FDF"/>
    <w:rsid w:val="00F56000"/>
    <w:rsid w:val="00F56061"/>
    <w:rsid w:val="00F56098"/>
    <w:rsid w:val="00F56125"/>
    <w:rsid w:val="00F56128"/>
    <w:rsid w:val="00F5612F"/>
    <w:rsid w:val="00F56147"/>
    <w:rsid w:val="00F561B1"/>
    <w:rsid w:val="00F561BE"/>
    <w:rsid w:val="00F56262"/>
    <w:rsid w:val="00F562C1"/>
    <w:rsid w:val="00F562D3"/>
    <w:rsid w:val="00F562E9"/>
    <w:rsid w:val="00F56342"/>
    <w:rsid w:val="00F56385"/>
    <w:rsid w:val="00F563A3"/>
    <w:rsid w:val="00F563B3"/>
    <w:rsid w:val="00F563B7"/>
    <w:rsid w:val="00F563CA"/>
    <w:rsid w:val="00F56453"/>
    <w:rsid w:val="00F5648F"/>
    <w:rsid w:val="00F564D1"/>
    <w:rsid w:val="00F565C1"/>
    <w:rsid w:val="00F56722"/>
    <w:rsid w:val="00F56732"/>
    <w:rsid w:val="00F56743"/>
    <w:rsid w:val="00F56777"/>
    <w:rsid w:val="00F567B4"/>
    <w:rsid w:val="00F567B5"/>
    <w:rsid w:val="00F567F2"/>
    <w:rsid w:val="00F56851"/>
    <w:rsid w:val="00F5687B"/>
    <w:rsid w:val="00F568A7"/>
    <w:rsid w:val="00F5692C"/>
    <w:rsid w:val="00F56954"/>
    <w:rsid w:val="00F5698C"/>
    <w:rsid w:val="00F569B5"/>
    <w:rsid w:val="00F56A48"/>
    <w:rsid w:val="00F56A6F"/>
    <w:rsid w:val="00F56AAF"/>
    <w:rsid w:val="00F56ACF"/>
    <w:rsid w:val="00F56AF6"/>
    <w:rsid w:val="00F56B02"/>
    <w:rsid w:val="00F56BC4"/>
    <w:rsid w:val="00F56C2E"/>
    <w:rsid w:val="00F56C74"/>
    <w:rsid w:val="00F56D54"/>
    <w:rsid w:val="00F56D5A"/>
    <w:rsid w:val="00F56D72"/>
    <w:rsid w:val="00F56D95"/>
    <w:rsid w:val="00F56DAD"/>
    <w:rsid w:val="00F56DBA"/>
    <w:rsid w:val="00F56DE9"/>
    <w:rsid w:val="00F56E06"/>
    <w:rsid w:val="00F56E11"/>
    <w:rsid w:val="00F56E3B"/>
    <w:rsid w:val="00F56E4D"/>
    <w:rsid w:val="00F56E63"/>
    <w:rsid w:val="00F56E6E"/>
    <w:rsid w:val="00F56E9A"/>
    <w:rsid w:val="00F56EDE"/>
    <w:rsid w:val="00F56F08"/>
    <w:rsid w:val="00F56F24"/>
    <w:rsid w:val="00F56F42"/>
    <w:rsid w:val="00F56F44"/>
    <w:rsid w:val="00F56F46"/>
    <w:rsid w:val="00F56F9F"/>
    <w:rsid w:val="00F56FDF"/>
    <w:rsid w:val="00F57028"/>
    <w:rsid w:val="00F57035"/>
    <w:rsid w:val="00F57068"/>
    <w:rsid w:val="00F570DC"/>
    <w:rsid w:val="00F570E6"/>
    <w:rsid w:val="00F57170"/>
    <w:rsid w:val="00F571D3"/>
    <w:rsid w:val="00F571F4"/>
    <w:rsid w:val="00F57215"/>
    <w:rsid w:val="00F5729C"/>
    <w:rsid w:val="00F572D5"/>
    <w:rsid w:val="00F572D9"/>
    <w:rsid w:val="00F572E7"/>
    <w:rsid w:val="00F57312"/>
    <w:rsid w:val="00F5736F"/>
    <w:rsid w:val="00F57481"/>
    <w:rsid w:val="00F574B1"/>
    <w:rsid w:val="00F574B8"/>
    <w:rsid w:val="00F574D1"/>
    <w:rsid w:val="00F574DF"/>
    <w:rsid w:val="00F57523"/>
    <w:rsid w:val="00F57531"/>
    <w:rsid w:val="00F57548"/>
    <w:rsid w:val="00F5760A"/>
    <w:rsid w:val="00F57648"/>
    <w:rsid w:val="00F5764C"/>
    <w:rsid w:val="00F576D8"/>
    <w:rsid w:val="00F57706"/>
    <w:rsid w:val="00F5772E"/>
    <w:rsid w:val="00F5776E"/>
    <w:rsid w:val="00F578A3"/>
    <w:rsid w:val="00F578A4"/>
    <w:rsid w:val="00F578AD"/>
    <w:rsid w:val="00F578E5"/>
    <w:rsid w:val="00F57913"/>
    <w:rsid w:val="00F5793E"/>
    <w:rsid w:val="00F579A4"/>
    <w:rsid w:val="00F579A7"/>
    <w:rsid w:val="00F579DD"/>
    <w:rsid w:val="00F57A4E"/>
    <w:rsid w:val="00F57A79"/>
    <w:rsid w:val="00F57A84"/>
    <w:rsid w:val="00F57ABE"/>
    <w:rsid w:val="00F57B12"/>
    <w:rsid w:val="00F57B60"/>
    <w:rsid w:val="00F57BD9"/>
    <w:rsid w:val="00F57C10"/>
    <w:rsid w:val="00F57C4A"/>
    <w:rsid w:val="00F57CC5"/>
    <w:rsid w:val="00F57D0E"/>
    <w:rsid w:val="00F57DA8"/>
    <w:rsid w:val="00F57DAC"/>
    <w:rsid w:val="00F57DB2"/>
    <w:rsid w:val="00F57DC7"/>
    <w:rsid w:val="00F57E54"/>
    <w:rsid w:val="00F57F2E"/>
    <w:rsid w:val="00F57F58"/>
    <w:rsid w:val="00F57F90"/>
    <w:rsid w:val="00F57F9B"/>
    <w:rsid w:val="00F57FC2"/>
    <w:rsid w:val="00F6003D"/>
    <w:rsid w:val="00F60050"/>
    <w:rsid w:val="00F6005A"/>
    <w:rsid w:val="00F60070"/>
    <w:rsid w:val="00F600F1"/>
    <w:rsid w:val="00F60119"/>
    <w:rsid w:val="00F60122"/>
    <w:rsid w:val="00F601A8"/>
    <w:rsid w:val="00F601C9"/>
    <w:rsid w:val="00F601D2"/>
    <w:rsid w:val="00F601D9"/>
    <w:rsid w:val="00F6021C"/>
    <w:rsid w:val="00F6022B"/>
    <w:rsid w:val="00F602B1"/>
    <w:rsid w:val="00F60308"/>
    <w:rsid w:val="00F603B8"/>
    <w:rsid w:val="00F603DD"/>
    <w:rsid w:val="00F60435"/>
    <w:rsid w:val="00F60495"/>
    <w:rsid w:val="00F604DF"/>
    <w:rsid w:val="00F6052E"/>
    <w:rsid w:val="00F60544"/>
    <w:rsid w:val="00F60644"/>
    <w:rsid w:val="00F606CB"/>
    <w:rsid w:val="00F6071B"/>
    <w:rsid w:val="00F60797"/>
    <w:rsid w:val="00F60836"/>
    <w:rsid w:val="00F6083F"/>
    <w:rsid w:val="00F608AE"/>
    <w:rsid w:val="00F608F9"/>
    <w:rsid w:val="00F60900"/>
    <w:rsid w:val="00F60973"/>
    <w:rsid w:val="00F609C2"/>
    <w:rsid w:val="00F60A10"/>
    <w:rsid w:val="00F60A30"/>
    <w:rsid w:val="00F60A4E"/>
    <w:rsid w:val="00F60A88"/>
    <w:rsid w:val="00F60ABE"/>
    <w:rsid w:val="00F60B0C"/>
    <w:rsid w:val="00F60BEB"/>
    <w:rsid w:val="00F60C15"/>
    <w:rsid w:val="00F60C6F"/>
    <w:rsid w:val="00F60C70"/>
    <w:rsid w:val="00F60C76"/>
    <w:rsid w:val="00F60CE4"/>
    <w:rsid w:val="00F60CF3"/>
    <w:rsid w:val="00F60D14"/>
    <w:rsid w:val="00F60D20"/>
    <w:rsid w:val="00F60D79"/>
    <w:rsid w:val="00F60DFB"/>
    <w:rsid w:val="00F60E36"/>
    <w:rsid w:val="00F60E63"/>
    <w:rsid w:val="00F60EA6"/>
    <w:rsid w:val="00F60EB4"/>
    <w:rsid w:val="00F60EC2"/>
    <w:rsid w:val="00F60EC7"/>
    <w:rsid w:val="00F60ECC"/>
    <w:rsid w:val="00F60ED0"/>
    <w:rsid w:val="00F60ED6"/>
    <w:rsid w:val="00F60EE6"/>
    <w:rsid w:val="00F60EEB"/>
    <w:rsid w:val="00F60F8C"/>
    <w:rsid w:val="00F60F91"/>
    <w:rsid w:val="00F60FDB"/>
    <w:rsid w:val="00F6101C"/>
    <w:rsid w:val="00F61071"/>
    <w:rsid w:val="00F610BF"/>
    <w:rsid w:val="00F610F0"/>
    <w:rsid w:val="00F6113A"/>
    <w:rsid w:val="00F61173"/>
    <w:rsid w:val="00F611D2"/>
    <w:rsid w:val="00F611D3"/>
    <w:rsid w:val="00F611DD"/>
    <w:rsid w:val="00F61219"/>
    <w:rsid w:val="00F61227"/>
    <w:rsid w:val="00F61290"/>
    <w:rsid w:val="00F612AD"/>
    <w:rsid w:val="00F612B6"/>
    <w:rsid w:val="00F612CD"/>
    <w:rsid w:val="00F612CE"/>
    <w:rsid w:val="00F6131C"/>
    <w:rsid w:val="00F61322"/>
    <w:rsid w:val="00F61323"/>
    <w:rsid w:val="00F61371"/>
    <w:rsid w:val="00F61372"/>
    <w:rsid w:val="00F61373"/>
    <w:rsid w:val="00F613D0"/>
    <w:rsid w:val="00F613EA"/>
    <w:rsid w:val="00F6145F"/>
    <w:rsid w:val="00F61483"/>
    <w:rsid w:val="00F6149B"/>
    <w:rsid w:val="00F614F5"/>
    <w:rsid w:val="00F6156D"/>
    <w:rsid w:val="00F61595"/>
    <w:rsid w:val="00F6159F"/>
    <w:rsid w:val="00F615C2"/>
    <w:rsid w:val="00F61642"/>
    <w:rsid w:val="00F61643"/>
    <w:rsid w:val="00F61649"/>
    <w:rsid w:val="00F6167A"/>
    <w:rsid w:val="00F61691"/>
    <w:rsid w:val="00F6171E"/>
    <w:rsid w:val="00F617CC"/>
    <w:rsid w:val="00F617F9"/>
    <w:rsid w:val="00F6184D"/>
    <w:rsid w:val="00F618BF"/>
    <w:rsid w:val="00F61A0C"/>
    <w:rsid w:val="00F61A1A"/>
    <w:rsid w:val="00F61A34"/>
    <w:rsid w:val="00F61A7D"/>
    <w:rsid w:val="00F61A84"/>
    <w:rsid w:val="00F61ACB"/>
    <w:rsid w:val="00F61AE0"/>
    <w:rsid w:val="00F61B23"/>
    <w:rsid w:val="00F61B27"/>
    <w:rsid w:val="00F61B2B"/>
    <w:rsid w:val="00F61B3E"/>
    <w:rsid w:val="00F61BA7"/>
    <w:rsid w:val="00F61C08"/>
    <w:rsid w:val="00F61C09"/>
    <w:rsid w:val="00F61C3A"/>
    <w:rsid w:val="00F61C40"/>
    <w:rsid w:val="00F61C80"/>
    <w:rsid w:val="00F61CCA"/>
    <w:rsid w:val="00F61CDE"/>
    <w:rsid w:val="00F61CE4"/>
    <w:rsid w:val="00F61D72"/>
    <w:rsid w:val="00F61DDE"/>
    <w:rsid w:val="00F61E15"/>
    <w:rsid w:val="00F61E8D"/>
    <w:rsid w:val="00F61EA1"/>
    <w:rsid w:val="00F61ECF"/>
    <w:rsid w:val="00F61F65"/>
    <w:rsid w:val="00F61F6B"/>
    <w:rsid w:val="00F61F6E"/>
    <w:rsid w:val="00F61F91"/>
    <w:rsid w:val="00F61FDA"/>
    <w:rsid w:val="00F6200A"/>
    <w:rsid w:val="00F6204B"/>
    <w:rsid w:val="00F620B8"/>
    <w:rsid w:val="00F620EC"/>
    <w:rsid w:val="00F621B0"/>
    <w:rsid w:val="00F621F6"/>
    <w:rsid w:val="00F6220B"/>
    <w:rsid w:val="00F62226"/>
    <w:rsid w:val="00F6225B"/>
    <w:rsid w:val="00F62358"/>
    <w:rsid w:val="00F62376"/>
    <w:rsid w:val="00F62380"/>
    <w:rsid w:val="00F6244B"/>
    <w:rsid w:val="00F624A5"/>
    <w:rsid w:val="00F624C9"/>
    <w:rsid w:val="00F6257B"/>
    <w:rsid w:val="00F625D9"/>
    <w:rsid w:val="00F626EE"/>
    <w:rsid w:val="00F626FF"/>
    <w:rsid w:val="00F6270F"/>
    <w:rsid w:val="00F62719"/>
    <w:rsid w:val="00F62794"/>
    <w:rsid w:val="00F627C2"/>
    <w:rsid w:val="00F627CE"/>
    <w:rsid w:val="00F627EC"/>
    <w:rsid w:val="00F62880"/>
    <w:rsid w:val="00F628F2"/>
    <w:rsid w:val="00F62919"/>
    <w:rsid w:val="00F629A9"/>
    <w:rsid w:val="00F629C0"/>
    <w:rsid w:val="00F629DB"/>
    <w:rsid w:val="00F62A3B"/>
    <w:rsid w:val="00F62A58"/>
    <w:rsid w:val="00F62B01"/>
    <w:rsid w:val="00F62B1C"/>
    <w:rsid w:val="00F62B5C"/>
    <w:rsid w:val="00F62B63"/>
    <w:rsid w:val="00F62C24"/>
    <w:rsid w:val="00F62CAE"/>
    <w:rsid w:val="00F62CCE"/>
    <w:rsid w:val="00F62DEE"/>
    <w:rsid w:val="00F62E39"/>
    <w:rsid w:val="00F62F85"/>
    <w:rsid w:val="00F62F99"/>
    <w:rsid w:val="00F62FA2"/>
    <w:rsid w:val="00F62FB1"/>
    <w:rsid w:val="00F62FCA"/>
    <w:rsid w:val="00F630FE"/>
    <w:rsid w:val="00F631C3"/>
    <w:rsid w:val="00F6321C"/>
    <w:rsid w:val="00F6322F"/>
    <w:rsid w:val="00F63231"/>
    <w:rsid w:val="00F63247"/>
    <w:rsid w:val="00F6328B"/>
    <w:rsid w:val="00F633F6"/>
    <w:rsid w:val="00F63417"/>
    <w:rsid w:val="00F6357C"/>
    <w:rsid w:val="00F63601"/>
    <w:rsid w:val="00F63606"/>
    <w:rsid w:val="00F63623"/>
    <w:rsid w:val="00F6362F"/>
    <w:rsid w:val="00F63643"/>
    <w:rsid w:val="00F63658"/>
    <w:rsid w:val="00F6366C"/>
    <w:rsid w:val="00F6367C"/>
    <w:rsid w:val="00F63682"/>
    <w:rsid w:val="00F63756"/>
    <w:rsid w:val="00F6377F"/>
    <w:rsid w:val="00F637C7"/>
    <w:rsid w:val="00F637CC"/>
    <w:rsid w:val="00F6384B"/>
    <w:rsid w:val="00F638A9"/>
    <w:rsid w:val="00F63919"/>
    <w:rsid w:val="00F6396C"/>
    <w:rsid w:val="00F6399E"/>
    <w:rsid w:val="00F639A5"/>
    <w:rsid w:val="00F639BF"/>
    <w:rsid w:val="00F63A2E"/>
    <w:rsid w:val="00F63AA3"/>
    <w:rsid w:val="00F63AF5"/>
    <w:rsid w:val="00F63B02"/>
    <w:rsid w:val="00F63B2F"/>
    <w:rsid w:val="00F63B47"/>
    <w:rsid w:val="00F63B56"/>
    <w:rsid w:val="00F63BE0"/>
    <w:rsid w:val="00F63C2A"/>
    <w:rsid w:val="00F63D02"/>
    <w:rsid w:val="00F63D2E"/>
    <w:rsid w:val="00F63D32"/>
    <w:rsid w:val="00F63D3D"/>
    <w:rsid w:val="00F63D79"/>
    <w:rsid w:val="00F63DBF"/>
    <w:rsid w:val="00F63DDA"/>
    <w:rsid w:val="00F63E52"/>
    <w:rsid w:val="00F63EB2"/>
    <w:rsid w:val="00F63EF4"/>
    <w:rsid w:val="00F63F5C"/>
    <w:rsid w:val="00F63FBD"/>
    <w:rsid w:val="00F63FD0"/>
    <w:rsid w:val="00F6407D"/>
    <w:rsid w:val="00F6409E"/>
    <w:rsid w:val="00F6410E"/>
    <w:rsid w:val="00F64118"/>
    <w:rsid w:val="00F641CB"/>
    <w:rsid w:val="00F642A4"/>
    <w:rsid w:val="00F642E4"/>
    <w:rsid w:val="00F64394"/>
    <w:rsid w:val="00F643AF"/>
    <w:rsid w:val="00F643CD"/>
    <w:rsid w:val="00F6440F"/>
    <w:rsid w:val="00F6441A"/>
    <w:rsid w:val="00F64433"/>
    <w:rsid w:val="00F6446B"/>
    <w:rsid w:val="00F64532"/>
    <w:rsid w:val="00F64562"/>
    <w:rsid w:val="00F64586"/>
    <w:rsid w:val="00F645C5"/>
    <w:rsid w:val="00F64600"/>
    <w:rsid w:val="00F64649"/>
    <w:rsid w:val="00F6464E"/>
    <w:rsid w:val="00F64686"/>
    <w:rsid w:val="00F646C4"/>
    <w:rsid w:val="00F647E2"/>
    <w:rsid w:val="00F6485F"/>
    <w:rsid w:val="00F64964"/>
    <w:rsid w:val="00F649D4"/>
    <w:rsid w:val="00F64A0B"/>
    <w:rsid w:val="00F64A3B"/>
    <w:rsid w:val="00F64A50"/>
    <w:rsid w:val="00F64A74"/>
    <w:rsid w:val="00F64ADD"/>
    <w:rsid w:val="00F64B0E"/>
    <w:rsid w:val="00F64B1D"/>
    <w:rsid w:val="00F64B2D"/>
    <w:rsid w:val="00F64B7D"/>
    <w:rsid w:val="00F64B90"/>
    <w:rsid w:val="00F64BD3"/>
    <w:rsid w:val="00F64BF3"/>
    <w:rsid w:val="00F64CBD"/>
    <w:rsid w:val="00F64D7B"/>
    <w:rsid w:val="00F64E75"/>
    <w:rsid w:val="00F64EBE"/>
    <w:rsid w:val="00F64EC3"/>
    <w:rsid w:val="00F64ED1"/>
    <w:rsid w:val="00F64EF2"/>
    <w:rsid w:val="00F64EF7"/>
    <w:rsid w:val="00F64F62"/>
    <w:rsid w:val="00F64FC4"/>
    <w:rsid w:val="00F64FDA"/>
    <w:rsid w:val="00F65009"/>
    <w:rsid w:val="00F65087"/>
    <w:rsid w:val="00F65098"/>
    <w:rsid w:val="00F650B1"/>
    <w:rsid w:val="00F6522A"/>
    <w:rsid w:val="00F65264"/>
    <w:rsid w:val="00F652D6"/>
    <w:rsid w:val="00F652F8"/>
    <w:rsid w:val="00F65344"/>
    <w:rsid w:val="00F65349"/>
    <w:rsid w:val="00F653C3"/>
    <w:rsid w:val="00F653E8"/>
    <w:rsid w:val="00F654D7"/>
    <w:rsid w:val="00F65542"/>
    <w:rsid w:val="00F655C0"/>
    <w:rsid w:val="00F655F8"/>
    <w:rsid w:val="00F65604"/>
    <w:rsid w:val="00F65653"/>
    <w:rsid w:val="00F6567A"/>
    <w:rsid w:val="00F65712"/>
    <w:rsid w:val="00F65726"/>
    <w:rsid w:val="00F6576B"/>
    <w:rsid w:val="00F657DC"/>
    <w:rsid w:val="00F6584B"/>
    <w:rsid w:val="00F658D9"/>
    <w:rsid w:val="00F6592D"/>
    <w:rsid w:val="00F65959"/>
    <w:rsid w:val="00F6595C"/>
    <w:rsid w:val="00F65A41"/>
    <w:rsid w:val="00F65A4C"/>
    <w:rsid w:val="00F65A67"/>
    <w:rsid w:val="00F65A9B"/>
    <w:rsid w:val="00F65AD2"/>
    <w:rsid w:val="00F65AF5"/>
    <w:rsid w:val="00F65C4A"/>
    <w:rsid w:val="00F65C5E"/>
    <w:rsid w:val="00F65D72"/>
    <w:rsid w:val="00F65DB1"/>
    <w:rsid w:val="00F65DD9"/>
    <w:rsid w:val="00F65DE4"/>
    <w:rsid w:val="00F65DFA"/>
    <w:rsid w:val="00F65E2E"/>
    <w:rsid w:val="00F65E3B"/>
    <w:rsid w:val="00F65E6C"/>
    <w:rsid w:val="00F65EA3"/>
    <w:rsid w:val="00F65ED8"/>
    <w:rsid w:val="00F65FB7"/>
    <w:rsid w:val="00F66010"/>
    <w:rsid w:val="00F66017"/>
    <w:rsid w:val="00F66032"/>
    <w:rsid w:val="00F6604D"/>
    <w:rsid w:val="00F660D5"/>
    <w:rsid w:val="00F660F9"/>
    <w:rsid w:val="00F66103"/>
    <w:rsid w:val="00F66104"/>
    <w:rsid w:val="00F6617A"/>
    <w:rsid w:val="00F6617D"/>
    <w:rsid w:val="00F661F8"/>
    <w:rsid w:val="00F66204"/>
    <w:rsid w:val="00F66249"/>
    <w:rsid w:val="00F662E2"/>
    <w:rsid w:val="00F662ED"/>
    <w:rsid w:val="00F6639F"/>
    <w:rsid w:val="00F663AA"/>
    <w:rsid w:val="00F663C6"/>
    <w:rsid w:val="00F6641E"/>
    <w:rsid w:val="00F66474"/>
    <w:rsid w:val="00F66480"/>
    <w:rsid w:val="00F664AA"/>
    <w:rsid w:val="00F66503"/>
    <w:rsid w:val="00F66510"/>
    <w:rsid w:val="00F665AC"/>
    <w:rsid w:val="00F665BC"/>
    <w:rsid w:val="00F665BD"/>
    <w:rsid w:val="00F6664D"/>
    <w:rsid w:val="00F66656"/>
    <w:rsid w:val="00F66731"/>
    <w:rsid w:val="00F66737"/>
    <w:rsid w:val="00F6674C"/>
    <w:rsid w:val="00F66759"/>
    <w:rsid w:val="00F66788"/>
    <w:rsid w:val="00F667C0"/>
    <w:rsid w:val="00F667CA"/>
    <w:rsid w:val="00F667F9"/>
    <w:rsid w:val="00F6686C"/>
    <w:rsid w:val="00F66898"/>
    <w:rsid w:val="00F668AC"/>
    <w:rsid w:val="00F668F8"/>
    <w:rsid w:val="00F66914"/>
    <w:rsid w:val="00F6692A"/>
    <w:rsid w:val="00F669D3"/>
    <w:rsid w:val="00F669ED"/>
    <w:rsid w:val="00F66A12"/>
    <w:rsid w:val="00F66A16"/>
    <w:rsid w:val="00F66A18"/>
    <w:rsid w:val="00F66A45"/>
    <w:rsid w:val="00F66A9C"/>
    <w:rsid w:val="00F66AF3"/>
    <w:rsid w:val="00F66B0F"/>
    <w:rsid w:val="00F66C3F"/>
    <w:rsid w:val="00F66C51"/>
    <w:rsid w:val="00F66CCD"/>
    <w:rsid w:val="00F66D3A"/>
    <w:rsid w:val="00F66E09"/>
    <w:rsid w:val="00F66E18"/>
    <w:rsid w:val="00F66E1C"/>
    <w:rsid w:val="00F66E51"/>
    <w:rsid w:val="00F66E5C"/>
    <w:rsid w:val="00F66EA7"/>
    <w:rsid w:val="00F66ECD"/>
    <w:rsid w:val="00F66EDB"/>
    <w:rsid w:val="00F66F66"/>
    <w:rsid w:val="00F66FBC"/>
    <w:rsid w:val="00F67014"/>
    <w:rsid w:val="00F67016"/>
    <w:rsid w:val="00F6707E"/>
    <w:rsid w:val="00F670AE"/>
    <w:rsid w:val="00F67130"/>
    <w:rsid w:val="00F6719C"/>
    <w:rsid w:val="00F671B1"/>
    <w:rsid w:val="00F671DB"/>
    <w:rsid w:val="00F671FF"/>
    <w:rsid w:val="00F672AD"/>
    <w:rsid w:val="00F672B3"/>
    <w:rsid w:val="00F67301"/>
    <w:rsid w:val="00F6736C"/>
    <w:rsid w:val="00F67379"/>
    <w:rsid w:val="00F67491"/>
    <w:rsid w:val="00F674B6"/>
    <w:rsid w:val="00F674B7"/>
    <w:rsid w:val="00F674C8"/>
    <w:rsid w:val="00F67518"/>
    <w:rsid w:val="00F6752A"/>
    <w:rsid w:val="00F67573"/>
    <w:rsid w:val="00F67580"/>
    <w:rsid w:val="00F675A7"/>
    <w:rsid w:val="00F67689"/>
    <w:rsid w:val="00F676AD"/>
    <w:rsid w:val="00F676BF"/>
    <w:rsid w:val="00F67784"/>
    <w:rsid w:val="00F677A6"/>
    <w:rsid w:val="00F677F4"/>
    <w:rsid w:val="00F67894"/>
    <w:rsid w:val="00F678A5"/>
    <w:rsid w:val="00F678EE"/>
    <w:rsid w:val="00F678F6"/>
    <w:rsid w:val="00F67905"/>
    <w:rsid w:val="00F6794E"/>
    <w:rsid w:val="00F67977"/>
    <w:rsid w:val="00F67990"/>
    <w:rsid w:val="00F67A94"/>
    <w:rsid w:val="00F67AF8"/>
    <w:rsid w:val="00F67B04"/>
    <w:rsid w:val="00F67BAB"/>
    <w:rsid w:val="00F67BEA"/>
    <w:rsid w:val="00F67BEE"/>
    <w:rsid w:val="00F67C41"/>
    <w:rsid w:val="00F67C9D"/>
    <w:rsid w:val="00F67CD6"/>
    <w:rsid w:val="00F67CEE"/>
    <w:rsid w:val="00F67DA5"/>
    <w:rsid w:val="00F67DD4"/>
    <w:rsid w:val="00F67DFB"/>
    <w:rsid w:val="00F67E01"/>
    <w:rsid w:val="00F67E12"/>
    <w:rsid w:val="00F67E66"/>
    <w:rsid w:val="00F67F44"/>
    <w:rsid w:val="00F67F90"/>
    <w:rsid w:val="00F67FCE"/>
    <w:rsid w:val="00F7001D"/>
    <w:rsid w:val="00F700B3"/>
    <w:rsid w:val="00F700B8"/>
    <w:rsid w:val="00F700E2"/>
    <w:rsid w:val="00F700E5"/>
    <w:rsid w:val="00F70126"/>
    <w:rsid w:val="00F7018B"/>
    <w:rsid w:val="00F701BA"/>
    <w:rsid w:val="00F70241"/>
    <w:rsid w:val="00F70280"/>
    <w:rsid w:val="00F702D2"/>
    <w:rsid w:val="00F70330"/>
    <w:rsid w:val="00F70358"/>
    <w:rsid w:val="00F7039A"/>
    <w:rsid w:val="00F703AD"/>
    <w:rsid w:val="00F703C8"/>
    <w:rsid w:val="00F70457"/>
    <w:rsid w:val="00F7046A"/>
    <w:rsid w:val="00F70486"/>
    <w:rsid w:val="00F7048C"/>
    <w:rsid w:val="00F7053C"/>
    <w:rsid w:val="00F7056B"/>
    <w:rsid w:val="00F705A5"/>
    <w:rsid w:val="00F705FB"/>
    <w:rsid w:val="00F70656"/>
    <w:rsid w:val="00F70663"/>
    <w:rsid w:val="00F70674"/>
    <w:rsid w:val="00F706E2"/>
    <w:rsid w:val="00F706F5"/>
    <w:rsid w:val="00F7070C"/>
    <w:rsid w:val="00F70806"/>
    <w:rsid w:val="00F70827"/>
    <w:rsid w:val="00F7087C"/>
    <w:rsid w:val="00F708AA"/>
    <w:rsid w:val="00F708E0"/>
    <w:rsid w:val="00F70919"/>
    <w:rsid w:val="00F70A90"/>
    <w:rsid w:val="00F70AA4"/>
    <w:rsid w:val="00F70AF7"/>
    <w:rsid w:val="00F70BA8"/>
    <w:rsid w:val="00F70BCE"/>
    <w:rsid w:val="00F70BEC"/>
    <w:rsid w:val="00F70BEE"/>
    <w:rsid w:val="00F70C1A"/>
    <w:rsid w:val="00F70C38"/>
    <w:rsid w:val="00F70C84"/>
    <w:rsid w:val="00F70CF4"/>
    <w:rsid w:val="00F70D05"/>
    <w:rsid w:val="00F70D2A"/>
    <w:rsid w:val="00F70D34"/>
    <w:rsid w:val="00F70D37"/>
    <w:rsid w:val="00F70D4A"/>
    <w:rsid w:val="00F70D8E"/>
    <w:rsid w:val="00F70E5B"/>
    <w:rsid w:val="00F70E64"/>
    <w:rsid w:val="00F70ECC"/>
    <w:rsid w:val="00F70F06"/>
    <w:rsid w:val="00F70F08"/>
    <w:rsid w:val="00F70F2B"/>
    <w:rsid w:val="00F70F3D"/>
    <w:rsid w:val="00F70F7B"/>
    <w:rsid w:val="00F70F80"/>
    <w:rsid w:val="00F70F86"/>
    <w:rsid w:val="00F70FA4"/>
    <w:rsid w:val="00F70FA6"/>
    <w:rsid w:val="00F70FB1"/>
    <w:rsid w:val="00F7100B"/>
    <w:rsid w:val="00F71013"/>
    <w:rsid w:val="00F7103A"/>
    <w:rsid w:val="00F71057"/>
    <w:rsid w:val="00F7111C"/>
    <w:rsid w:val="00F71139"/>
    <w:rsid w:val="00F71150"/>
    <w:rsid w:val="00F7117C"/>
    <w:rsid w:val="00F71181"/>
    <w:rsid w:val="00F71236"/>
    <w:rsid w:val="00F71268"/>
    <w:rsid w:val="00F712DC"/>
    <w:rsid w:val="00F7135B"/>
    <w:rsid w:val="00F71392"/>
    <w:rsid w:val="00F713AF"/>
    <w:rsid w:val="00F713B3"/>
    <w:rsid w:val="00F713CB"/>
    <w:rsid w:val="00F71450"/>
    <w:rsid w:val="00F7147A"/>
    <w:rsid w:val="00F714B5"/>
    <w:rsid w:val="00F714BD"/>
    <w:rsid w:val="00F714EE"/>
    <w:rsid w:val="00F71542"/>
    <w:rsid w:val="00F71556"/>
    <w:rsid w:val="00F7159B"/>
    <w:rsid w:val="00F715A2"/>
    <w:rsid w:val="00F715BA"/>
    <w:rsid w:val="00F715C8"/>
    <w:rsid w:val="00F715EE"/>
    <w:rsid w:val="00F716BA"/>
    <w:rsid w:val="00F716E7"/>
    <w:rsid w:val="00F716E9"/>
    <w:rsid w:val="00F71715"/>
    <w:rsid w:val="00F71717"/>
    <w:rsid w:val="00F71751"/>
    <w:rsid w:val="00F71761"/>
    <w:rsid w:val="00F71783"/>
    <w:rsid w:val="00F717AF"/>
    <w:rsid w:val="00F717B1"/>
    <w:rsid w:val="00F717F9"/>
    <w:rsid w:val="00F71803"/>
    <w:rsid w:val="00F71808"/>
    <w:rsid w:val="00F7180E"/>
    <w:rsid w:val="00F7189D"/>
    <w:rsid w:val="00F718D3"/>
    <w:rsid w:val="00F718DA"/>
    <w:rsid w:val="00F718DC"/>
    <w:rsid w:val="00F718FF"/>
    <w:rsid w:val="00F7193F"/>
    <w:rsid w:val="00F719A0"/>
    <w:rsid w:val="00F719E8"/>
    <w:rsid w:val="00F71A01"/>
    <w:rsid w:val="00F71A08"/>
    <w:rsid w:val="00F71A9D"/>
    <w:rsid w:val="00F71AAE"/>
    <w:rsid w:val="00F71AB0"/>
    <w:rsid w:val="00F71B20"/>
    <w:rsid w:val="00F71C19"/>
    <w:rsid w:val="00F71D11"/>
    <w:rsid w:val="00F71D54"/>
    <w:rsid w:val="00F71DFE"/>
    <w:rsid w:val="00F71ECE"/>
    <w:rsid w:val="00F71ECF"/>
    <w:rsid w:val="00F71F20"/>
    <w:rsid w:val="00F71FD7"/>
    <w:rsid w:val="00F72029"/>
    <w:rsid w:val="00F72072"/>
    <w:rsid w:val="00F7209B"/>
    <w:rsid w:val="00F720FC"/>
    <w:rsid w:val="00F72114"/>
    <w:rsid w:val="00F721F8"/>
    <w:rsid w:val="00F7225E"/>
    <w:rsid w:val="00F7227F"/>
    <w:rsid w:val="00F722F5"/>
    <w:rsid w:val="00F7232F"/>
    <w:rsid w:val="00F72350"/>
    <w:rsid w:val="00F7235B"/>
    <w:rsid w:val="00F723BC"/>
    <w:rsid w:val="00F723F0"/>
    <w:rsid w:val="00F724B2"/>
    <w:rsid w:val="00F724E6"/>
    <w:rsid w:val="00F724E9"/>
    <w:rsid w:val="00F7251A"/>
    <w:rsid w:val="00F72574"/>
    <w:rsid w:val="00F72591"/>
    <w:rsid w:val="00F725BB"/>
    <w:rsid w:val="00F72606"/>
    <w:rsid w:val="00F72612"/>
    <w:rsid w:val="00F726CD"/>
    <w:rsid w:val="00F726D5"/>
    <w:rsid w:val="00F72704"/>
    <w:rsid w:val="00F72709"/>
    <w:rsid w:val="00F7271A"/>
    <w:rsid w:val="00F72805"/>
    <w:rsid w:val="00F7284B"/>
    <w:rsid w:val="00F72859"/>
    <w:rsid w:val="00F72867"/>
    <w:rsid w:val="00F7290D"/>
    <w:rsid w:val="00F7295B"/>
    <w:rsid w:val="00F72972"/>
    <w:rsid w:val="00F729E2"/>
    <w:rsid w:val="00F72A2B"/>
    <w:rsid w:val="00F72B5C"/>
    <w:rsid w:val="00F72BB8"/>
    <w:rsid w:val="00F72BD0"/>
    <w:rsid w:val="00F72BFE"/>
    <w:rsid w:val="00F72BFF"/>
    <w:rsid w:val="00F72C21"/>
    <w:rsid w:val="00F72C45"/>
    <w:rsid w:val="00F72C84"/>
    <w:rsid w:val="00F72D2D"/>
    <w:rsid w:val="00F72D57"/>
    <w:rsid w:val="00F72D59"/>
    <w:rsid w:val="00F72D9B"/>
    <w:rsid w:val="00F72D9D"/>
    <w:rsid w:val="00F72DA5"/>
    <w:rsid w:val="00F72DFF"/>
    <w:rsid w:val="00F72E07"/>
    <w:rsid w:val="00F72E84"/>
    <w:rsid w:val="00F72EA1"/>
    <w:rsid w:val="00F72EA8"/>
    <w:rsid w:val="00F72EB7"/>
    <w:rsid w:val="00F72F19"/>
    <w:rsid w:val="00F7300D"/>
    <w:rsid w:val="00F7302D"/>
    <w:rsid w:val="00F7306C"/>
    <w:rsid w:val="00F73099"/>
    <w:rsid w:val="00F7313E"/>
    <w:rsid w:val="00F73142"/>
    <w:rsid w:val="00F7315C"/>
    <w:rsid w:val="00F7327F"/>
    <w:rsid w:val="00F732ED"/>
    <w:rsid w:val="00F73379"/>
    <w:rsid w:val="00F733C1"/>
    <w:rsid w:val="00F7343F"/>
    <w:rsid w:val="00F734B1"/>
    <w:rsid w:val="00F734D2"/>
    <w:rsid w:val="00F7359A"/>
    <w:rsid w:val="00F735FF"/>
    <w:rsid w:val="00F7362B"/>
    <w:rsid w:val="00F73663"/>
    <w:rsid w:val="00F7366D"/>
    <w:rsid w:val="00F736EF"/>
    <w:rsid w:val="00F73724"/>
    <w:rsid w:val="00F7378D"/>
    <w:rsid w:val="00F737AC"/>
    <w:rsid w:val="00F737EB"/>
    <w:rsid w:val="00F73811"/>
    <w:rsid w:val="00F7386D"/>
    <w:rsid w:val="00F738CC"/>
    <w:rsid w:val="00F738E8"/>
    <w:rsid w:val="00F73910"/>
    <w:rsid w:val="00F7391C"/>
    <w:rsid w:val="00F73922"/>
    <w:rsid w:val="00F739C6"/>
    <w:rsid w:val="00F739C9"/>
    <w:rsid w:val="00F73A2F"/>
    <w:rsid w:val="00F73A68"/>
    <w:rsid w:val="00F73AAF"/>
    <w:rsid w:val="00F73AE6"/>
    <w:rsid w:val="00F73B00"/>
    <w:rsid w:val="00F73B06"/>
    <w:rsid w:val="00F73BB3"/>
    <w:rsid w:val="00F73BC8"/>
    <w:rsid w:val="00F73C03"/>
    <w:rsid w:val="00F73C26"/>
    <w:rsid w:val="00F73C3B"/>
    <w:rsid w:val="00F73C96"/>
    <w:rsid w:val="00F73CFC"/>
    <w:rsid w:val="00F73D77"/>
    <w:rsid w:val="00F73E1A"/>
    <w:rsid w:val="00F73E60"/>
    <w:rsid w:val="00F73E69"/>
    <w:rsid w:val="00F73EFD"/>
    <w:rsid w:val="00F73F53"/>
    <w:rsid w:val="00F73FA9"/>
    <w:rsid w:val="00F73FCF"/>
    <w:rsid w:val="00F73FF2"/>
    <w:rsid w:val="00F74010"/>
    <w:rsid w:val="00F7404C"/>
    <w:rsid w:val="00F7410F"/>
    <w:rsid w:val="00F74146"/>
    <w:rsid w:val="00F7415E"/>
    <w:rsid w:val="00F74195"/>
    <w:rsid w:val="00F74228"/>
    <w:rsid w:val="00F74304"/>
    <w:rsid w:val="00F74372"/>
    <w:rsid w:val="00F743E3"/>
    <w:rsid w:val="00F743F2"/>
    <w:rsid w:val="00F7440D"/>
    <w:rsid w:val="00F74454"/>
    <w:rsid w:val="00F74459"/>
    <w:rsid w:val="00F7446A"/>
    <w:rsid w:val="00F74532"/>
    <w:rsid w:val="00F7453E"/>
    <w:rsid w:val="00F745C2"/>
    <w:rsid w:val="00F7461A"/>
    <w:rsid w:val="00F74620"/>
    <w:rsid w:val="00F7463D"/>
    <w:rsid w:val="00F7474C"/>
    <w:rsid w:val="00F74762"/>
    <w:rsid w:val="00F747EE"/>
    <w:rsid w:val="00F7480F"/>
    <w:rsid w:val="00F74839"/>
    <w:rsid w:val="00F7483F"/>
    <w:rsid w:val="00F748EC"/>
    <w:rsid w:val="00F748F4"/>
    <w:rsid w:val="00F74918"/>
    <w:rsid w:val="00F7494B"/>
    <w:rsid w:val="00F74963"/>
    <w:rsid w:val="00F749BC"/>
    <w:rsid w:val="00F749E6"/>
    <w:rsid w:val="00F74AB4"/>
    <w:rsid w:val="00F74AB8"/>
    <w:rsid w:val="00F74B08"/>
    <w:rsid w:val="00F74B8D"/>
    <w:rsid w:val="00F74BE7"/>
    <w:rsid w:val="00F74C39"/>
    <w:rsid w:val="00F74C5D"/>
    <w:rsid w:val="00F74CC0"/>
    <w:rsid w:val="00F74CC2"/>
    <w:rsid w:val="00F74CE7"/>
    <w:rsid w:val="00F74D69"/>
    <w:rsid w:val="00F74DA2"/>
    <w:rsid w:val="00F74DE4"/>
    <w:rsid w:val="00F74E28"/>
    <w:rsid w:val="00F74E35"/>
    <w:rsid w:val="00F74E98"/>
    <w:rsid w:val="00F74F38"/>
    <w:rsid w:val="00F74FA4"/>
    <w:rsid w:val="00F750AD"/>
    <w:rsid w:val="00F750B8"/>
    <w:rsid w:val="00F7514E"/>
    <w:rsid w:val="00F7527E"/>
    <w:rsid w:val="00F752E9"/>
    <w:rsid w:val="00F75326"/>
    <w:rsid w:val="00F753A6"/>
    <w:rsid w:val="00F753B1"/>
    <w:rsid w:val="00F7540A"/>
    <w:rsid w:val="00F7542E"/>
    <w:rsid w:val="00F75462"/>
    <w:rsid w:val="00F754E7"/>
    <w:rsid w:val="00F75508"/>
    <w:rsid w:val="00F75591"/>
    <w:rsid w:val="00F75596"/>
    <w:rsid w:val="00F75625"/>
    <w:rsid w:val="00F75677"/>
    <w:rsid w:val="00F756B7"/>
    <w:rsid w:val="00F756BC"/>
    <w:rsid w:val="00F756DF"/>
    <w:rsid w:val="00F75808"/>
    <w:rsid w:val="00F75836"/>
    <w:rsid w:val="00F758C6"/>
    <w:rsid w:val="00F758F5"/>
    <w:rsid w:val="00F75956"/>
    <w:rsid w:val="00F759D5"/>
    <w:rsid w:val="00F75A91"/>
    <w:rsid w:val="00F75B0B"/>
    <w:rsid w:val="00F75B96"/>
    <w:rsid w:val="00F75BD4"/>
    <w:rsid w:val="00F75C8A"/>
    <w:rsid w:val="00F75D0A"/>
    <w:rsid w:val="00F75D56"/>
    <w:rsid w:val="00F75E9B"/>
    <w:rsid w:val="00F75EF6"/>
    <w:rsid w:val="00F75F02"/>
    <w:rsid w:val="00F75F0B"/>
    <w:rsid w:val="00F75FB3"/>
    <w:rsid w:val="00F75FFC"/>
    <w:rsid w:val="00F76009"/>
    <w:rsid w:val="00F76089"/>
    <w:rsid w:val="00F7608E"/>
    <w:rsid w:val="00F76090"/>
    <w:rsid w:val="00F760AA"/>
    <w:rsid w:val="00F761A3"/>
    <w:rsid w:val="00F761A9"/>
    <w:rsid w:val="00F761BE"/>
    <w:rsid w:val="00F761D9"/>
    <w:rsid w:val="00F76207"/>
    <w:rsid w:val="00F76231"/>
    <w:rsid w:val="00F7623E"/>
    <w:rsid w:val="00F76244"/>
    <w:rsid w:val="00F762BA"/>
    <w:rsid w:val="00F762BE"/>
    <w:rsid w:val="00F76351"/>
    <w:rsid w:val="00F763DF"/>
    <w:rsid w:val="00F763ED"/>
    <w:rsid w:val="00F76430"/>
    <w:rsid w:val="00F76440"/>
    <w:rsid w:val="00F7649C"/>
    <w:rsid w:val="00F764D5"/>
    <w:rsid w:val="00F764EC"/>
    <w:rsid w:val="00F7651E"/>
    <w:rsid w:val="00F7655C"/>
    <w:rsid w:val="00F7657F"/>
    <w:rsid w:val="00F76592"/>
    <w:rsid w:val="00F76606"/>
    <w:rsid w:val="00F7661B"/>
    <w:rsid w:val="00F76722"/>
    <w:rsid w:val="00F7678F"/>
    <w:rsid w:val="00F767A2"/>
    <w:rsid w:val="00F767A4"/>
    <w:rsid w:val="00F767D0"/>
    <w:rsid w:val="00F7682C"/>
    <w:rsid w:val="00F7685C"/>
    <w:rsid w:val="00F7686D"/>
    <w:rsid w:val="00F76873"/>
    <w:rsid w:val="00F76895"/>
    <w:rsid w:val="00F768EC"/>
    <w:rsid w:val="00F7699C"/>
    <w:rsid w:val="00F76A03"/>
    <w:rsid w:val="00F76AD4"/>
    <w:rsid w:val="00F76B36"/>
    <w:rsid w:val="00F76BD8"/>
    <w:rsid w:val="00F76BF5"/>
    <w:rsid w:val="00F76C3C"/>
    <w:rsid w:val="00F76CF7"/>
    <w:rsid w:val="00F76D0C"/>
    <w:rsid w:val="00F76D52"/>
    <w:rsid w:val="00F76D53"/>
    <w:rsid w:val="00F76D71"/>
    <w:rsid w:val="00F76DDD"/>
    <w:rsid w:val="00F76DF4"/>
    <w:rsid w:val="00F76DF9"/>
    <w:rsid w:val="00F76E2E"/>
    <w:rsid w:val="00F76E6A"/>
    <w:rsid w:val="00F76EB7"/>
    <w:rsid w:val="00F76F30"/>
    <w:rsid w:val="00F76F75"/>
    <w:rsid w:val="00F76FEE"/>
    <w:rsid w:val="00F77033"/>
    <w:rsid w:val="00F770C1"/>
    <w:rsid w:val="00F770FE"/>
    <w:rsid w:val="00F77137"/>
    <w:rsid w:val="00F77161"/>
    <w:rsid w:val="00F7716A"/>
    <w:rsid w:val="00F7721C"/>
    <w:rsid w:val="00F77269"/>
    <w:rsid w:val="00F772A6"/>
    <w:rsid w:val="00F772C1"/>
    <w:rsid w:val="00F772CC"/>
    <w:rsid w:val="00F772F6"/>
    <w:rsid w:val="00F77366"/>
    <w:rsid w:val="00F773D3"/>
    <w:rsid w:val="00F774A5"/>
    <w:rsid w:val="00F77512"/>
    <w:rsid w:val="00F77533"/>
    <w:rsid w:val="00F7757E"/>
    <w:rsid w:val="00F775C8"/>
    <w:rsid w:val="00F775E5"/>
    <w:rsid w:val="00F77655"/>
    <w:rsid w:val="00F77688"/>
    <w:rsid w:val="00F77690"/>
    <w:rsid w:val="00F776D6"/>
    <w:rsid w:val="00F77741"/>
    <w:rsid w:val="00F77821"/>
    <w:rsid w:val="00F77857"/>
    <w:rsid w:val="00F77864"/>
    <w:rsid w:val="00F7789E"/>
    <w:rsid w:val="00F778E6"/>
    <w:rsid w:val="00F7794A"/>
    <w:rsid w:val="00F77973"/>
    <w:rsid w:val="00F77975"/>
    <w:rsid w:val="00F77997"/>
    <w:rsid w:val="00F779C1"/>
    <w:rsid w:val="00F779C8"/>
    <w:rsid w:val="00F77A10"/>
    <w:rsid w:val="00F77ABE"/>
    <w:rsid w:val="00F77AC1"/>
    <w:rsid w:val="00F77AFB"/>
    <w:rsid w:val="00F77AFF"/>
    <w:rsid w:val="00F77B75"/>
    <w:rsid w:val="00F77CB1"/>
    <w:rsid w:val="00F77CBE"/>
    <w:rsid w:val="00F77D71"/>
    <w:rsid w:val="00F77D76"/>
    <w:rsid w:val="00F77D9A"/>
    <w:rsid w:val="00F77DFB"/>
    <w:rsid w:val="00F77E9D"/>
    <w:rsid w:val="00F77EDB"/>
    <w:rsid w:val="00F77EE9"/>
    <w:rsid w:val="00F77F67"/>
    <w:rsid w:val="00F77FA7"/>
    <w:rsid w:val="00F77FB9"/>
    <w:rsid w:val="00F77FD9"/>
    <w:rsid w:val="00F80018"/>
    <w:rsid w:val="00F80023"/>
    <w:rsid w:val="00F80062"/>
    <w:rsid w:val="00F8009B"/>
    <w:rsid w:val="00F800EF"/>
    <w:rsid w:val="00F80134"/>
    <w:rsid w:val="00F8018C"/>
    <w:rsid w:val="00F801B8"/>
    <w:rsid w:val="00F801BC"/>
    <w:rsid w:val="00F801F1"/>
    <w:rsid w:val="00F80234"/>
    <w:rsid w:val="00F802AC"/>
    <w:rsid w:val="00F8038D"/>
    <w:rsid w:val="00F80429"/>
    <w:rsid w:val="00F80445"/>
    <w:rsid w:val="00F804AC"/>
    <w:rsid w:val="00F804B9"/>
    <w:rsid w:val="00F804F1"/>
    <w:rsid w:val="00F804FA"/>
    <w:rsid w:val="00F8051B"/>
    <w:rsid w:val="00F80559"/>
    <w:rsid w:val="00F80572"/>
    <w:rsid w:val="00F805F8"/>
    <w:rsid w:val="00F8063A"/>
    <w:rsid w:val="00F8065A"/>
    <w:rsid w:val="00F8069A"/>
    <w:rsid w:val="00F806AD"/>
    <w:rsid w:val="00F806F3"/>
    <w:rsid w:val="00F806FF"/>
    <w:rsid w:val="00F80722"/>
    <w:rsid w:val="00F80736"/>
    <w:rsid w:val="00F8076A"/>
    <w:rsid w:val="00F80773"/>
    <w:rsid w:val="00F807BF"/>
    <w:rsid w:val="00F807FF"/>
    <w:rsid w:val="00F8087C"/>
    <w:rsid w:val="00F808C3"/>
    <w:rsid w:val="00F80922"/>
    <w:rsid w:val="00F80994"/>
    <w:rsid w:val="00F8099D"/>
    <w:rsid w:val="00F809A1"/>
    <w:rsid w:val="00F809A2"/>
    <w:rsid w:val="00F80A1D"/>
    <w:rsid w:val="00F80A3A"/>
    <w:rsid w:val="00F80AA8"/>
    <w:rsid w:val="00F80B92"/>
    <w:rsid w:val="00F80BE6"/>
    <w:rsid w:val="00F80C25"/>
    <w:rsid w:val="00F80CBD"/>
    <w:rsid w:val="00F80D46"/>
    <w:rsid w:val="00F80D47"/>
    <w:rsid w:val="00F80D8F"/>
    <w:rsid w:val="00F80E85"/>
    <w:rsid w:val="00F80EA7"/>
    <w:rsid w:val="00F80EAD"/>
    <w:rsid w:val="00F80FBD"/>
    <w:rsid w:val="00F81013"/>
    <w:rsid w:val="00F81066"/>
    <w:rsid w:val="00F810AC"/>
    <w:rsid w:val="00F810EC"/>
    <w:rsid w:val="00F811FA"/>
    <w:rsid w:val="00F8120C"/>
    <w:rsid w:val="00F8129C"/>
    <w:rsid w:val="00F8133E"/>
    <w:rsid w:val="00F813BD"/>
    <w:rsid w:val="00F813E1"/>
    <w:rsid w:val="00F81411"/>
    <w:rsid w:val="00F8141D"/>
    <w:rsid w:val="00F814E1"/>
    <w:rsid w:val="00F814E6"/>
    <w:rsid w:val="00F815CB"/>
    <w:rsid w:val="00F815E4"/>
    <w:rsid w:val="00F81655"/>
    <w:rsid w:val="00F81657"/>
    <w:rsid w:val="00F81658"/>
    <w:rsid w:val="00F81684"/>
    <w:rsid w:val="00F81718"/>
    <w:rsid w:val="00F81754"/>
    <w:rsid w:val="00F81762"/>
    <w:rsid w:val="00F817BD"/>
    <w:rsid w:val="00F817F0"/>
    <w:rsid w:val="00F81828"/>
    <w:rsid w:val="00F81853"/>
    <w:rsid w:val="00F81867"/>
    <w:rsid w:val="00F81903"/>
    <w:rsid w:val="00F8191B"/>
    <w:rsid w:val="00F819F9"/>
    <w:rsid w:val="00F81A0D"/>
    <w:rsid w:val="00F81A27"/>
    <w:rsid w:val="00F81A50"/>
    <w:rsid w:val="00F81A5C"/>
    <w:rsid w:val="00F81A85"/>
    <w:rsid w:val="00F81AA1"/>
    <w:rsid w:val="00F81AE3"/>
    <w:rsid w:val="00F81B05"/>
    <w:rsid w:val="00F81B74"/>
    <w:rsid w:val="00F81B8B"/>
    <w:rsid w:val="00F81CB2"/>
    <w:rsid w:val="00F81CE9"/>
    <w:rsid w:val="00F81CF2"/>
    <w:rsid w:val="00F81D17"/>
    <w:rsid w:val="00F81D48"/>
    <w:rsid w:val="00F81D55"/>
    <w:rsid w:val="00F81DBA"/>
    <w:rsid w:val="00F81EC2"/>
    <w:rsid w:val="00F81FA3"/>
    <w:rsid w:val="00F81FDF"/>
    <w:rsid w:val="00F82024"/>
    <w:rsid w:val="00F8205C"/>
    <w:rsid w:val="00F8210E"/>
    <w:rsid w:val="00F82118"/>
    <w:rsid w:val="00F82142"/>
    <w:rsid w:val="00F82146"/>
    <w:rsid w:val="00F82151"/>
    <w:rsid w:val="00F8218E"/>
    <w:rsid w:val="00F821D7"/>
    <w:rsid w:val="00F821E6"/>
    <w:rsid w:val="00F8223C"/>
    <w:rsid w:val="00F82246"/>
    <w:rsid w:val="00F82254"/>
    <w:rsid w:val="00F82293"/>
    <w:rsid w:val="00F822E5"/>
    <w:rsid w:val="00F82307"/>
    <w:rsid w:val="00F82339"/>
    <w:rsid w:val="00F82352"/>
    <w:rsid w:val="00F823F0"/>
    <w:rsid w:val="00F82431"/>
    <w:rsid w:val="00F82453"/>
    <w:rsid w:val="00F82461"/>
    <w:rsid w:val="00F824BC"/>
    <w:rsid w:val="00F824FE"/>
    <w:rsid w:val="00F8250F"/>
    <w:rsid w:val="00F82529"/>
    <w:rsid w:val="00F825AC"/>
    <w:rsid w:val="00F825F4"/>
    <w:rsid w:val="00F826D2"/>
    <w:rsid w:val="00F82720"/>
    <w:rsid w:val="00F827AA"/>
    <w:rsid w:val="00F827B6"/>
    <w:rsid w:val="00F827CD"/>
    <w:rsid w:val="00F827F9"/>
    <w:rsid w:val="00F82810"/>
    <w:rsid w:val="00F82846"/>
    <w:rsid w:val="00F82849"/>
    <w:rsid w:val="00F82889"/>
    <w:rsid w:val="00F828A5"/>
    <w:rsid w:val="00F828E4"/>
    <w:rsid w:val="00F828FF"/>
    <w:rsid w:val="00F82918"/>
    <w:rsid w:val="00F829A4"/>
    <w:rsid w:val="00F829A7"/>
    <w:rsid w:val="00F82A61"/>
    <w:rsid w:val="00F82A77"/>
    <w:rsid w:val="00F82B09"/>
    <w:rsid w:val="00F82B1C"/>
    <w:rsid w:val="00F82B5C"/>
    <w:rsid w:val="00F82B7E"/>
    <w:rsid w:val="00F82BC2"/>
    <w:rsid w:val="00F82C21"/>
    <w:rsid w:val="00F82C39"/>
    <w:rsid w:val="00F82C5B"/>
    <w:rsid w:val="00F82C6D"/>
    <w:rsid w:val="00F82D4A"/>
    <w:rsid w:val="00F82D5B"/>
    <w:rsid w:val="00F82D9D"/>
    <w:rsid w:val="00F82DAE"/>
    <w:rsid w:val="00F82E4B"/>
    <w:rsid w:val="00F82ED0"/>
    <w:rsid w:val="00F82EDF"/>
    <w:rsid w:val="00F82FC7"/>
    <w:rsid w:val="00F830AE"/>
    <w:rsid w:val="00F830E1"/>
    <w:rsid w:val="00F830E2"/>
    <w:rsid w:val="00F831B0"/>
    <w:rsid w:val="00F832AB"/>
    <w:rsid w:val="00F832BF"/>
    <w:rsid w:val="00F832CF"/>
    <w:rsid w:val="00F832DA"/>
    <w:rsid w:val="00F832E0"/>
    <w:rsid w:val="00F83311"/>
    <w:rsid w:val="00F8332A"/>
    <w:rsid w:val="00F83377"/>
    <w:rsid w:val="00F83415"/>
    <w:rsid w:val="00F83425"/>
    <w:rsid w:val="00F8349D"/>
    <w:rsid w:val="00F834AE"/>
    <w:rsid w:val="00F834FF"/>
    <w:rsid w:val="00F835B0"/>
    <w:rsid w:val="00F835D7"/>
    <w:rsid w:val="00F835DA"/>
    <w:rsid w:val="00F83625"/>
    <w:rsid w:val="00F8362B"/>
    <w:rsid w:val="00F8366F"/>
    <w:rsid w:val="00F83685"/>
    <w:rsid w:val="00F8369E"/>
    <w:rsid w:val="00F836E7"/>
    <w:rsid w:val="00F836F9"/>
    <w:rsid w:val="00F8370D"/>
    <w:rsid w:val="00F8371B"/>
    <w:rsid w:val="00F83785"/>
    <w:rsid w:val="00F837A5"/>
    <w:rsid w:val="00F8380E"/>
    <w:rsid w:val="00F83819"/>
    <w:rsid w:val="00F8381A"/>
    <w:rsid w:val="00F838AB"/>
    <w:rsid w:val="00F838D6"/>
    <w:rsid w:val="00F83944"/>
    <w:rsid w:val="00F839E7"/>
    <w:rsid w:val="00F83A07"/>
    <w:rsid w:val="00F83A20"/>
    <w:rsid w:val="00F83A83"/>
    <w:rsid w:val="00F83AC9"/>
    <w:rsid w:val="00F83B5C"/>
    <w:rsid w:val="00F83C38"/>
    <w:rsid w:val="00F83CAC"/>
    <w:rsid w:val="00F83CC7"/>
    <w:rsid w:val="00F83CE0"/>
    <w:rsid w:val="00F83D24"/>
    <w:rsid w:val="00F83D37"/>
    <w:rsid w:val="00F83DE1"/>
    <w:rsid w:val="00F83DFF"/>
    <w:rsid w:val="00F83E20"/>
    <w:rsid w:val="00F83E41"/>
    <w:rsid w:val="00F83E65"/>
    <w:rsid w:val="00F83EBC"/>
    <w:rsid w:val="00F83F0A"/>
    <w:rsid w:val="00F83F1C"/>
    <w:rsid w:val="00F83F52"/>
    <w:rsid w:val="00F83F94"/>
    <w:rsid w:val="00F83FFA"/>
    <w:rsid w:val="00F84053"/>
    <w:rsid w:val="00F84113"/>
    <w:rsid w:val="00F84240"/>
    <w:rsid w:val="00F84257"/>
    <w:rsid w:val="00F8425E"/>
    <w:rsid w:val="00F84311"/>
    <w:rsid w:val="00F84381"/>
    <w:rsid w:val="00F84384"/>
    <w:rsid w:val="00F843A8"/>
    <w:rsid w:val="00F844A7"/>
    <w:rsid w:val="00F844AA"/>
    <w:rsid w:val="00F844C0"/>
    <w:rsid w:val="00F84591"/>
    <w:rsid w:val="00F846BC"/>
    <w:rsid w:val="00F846D7"/>
    <w:rsid w:val="00F84731"/>
    <w:rsid w:val="00F847C3"/>
    <w:rsid w:val="00F847C7"/>
    <w:rsid w:val="00F847CA"/>
    <w:rsid w:val="00F847CF"/>
    <w:rsid w:val="00F848BA"/>
    <w:rsid w:val="00F848D8"/>
    <w:rsid w:val="00F8493E"/>
    <w:rsid w:val="00F84949"/>
    <w:rsid w:val="00F84951"/>
    <w:rsid w:val="00F84965"/>
    <w:rsid w:val="00F8496C"/>
    <w:rsid w:val="00F8498D"/>
    <w:rsid w:val="00F84996"/>
    <w:rsid w:val="00F849A8"/>
    <w:rsid w:val="00F84AAE"/>
    <w:rsid w:val="00F84ABD"/>
    <w:rsid w:val="00F84ADF"/>
    <w:rsid w:val="00F84BE0"/>
    <w:rsid w:val="00F84BEC"/>
    <w:rsid w:val="00F84C03"/>
    <w:rsid w:val="00F84C1E"/>
    <w:rsid w:val="00F84C29"/>
    <w:rsid w:val="00F84C57"/>
    <w:rsid w:val="00F84C81"/>
    <w:rsid w:val="00F84C94"/>
    <w:rsid w:val="00F84CCD"/>
    <w:rsid w:val="00F84D56"/>
    <w:rsid w:val="00F84D5D"/>
    <w:rsid w:val="00F84D8C"/>
    <w:rsid w:val="00F84D9E"/>
    <w:rsid w:val="00F84DF8"/>
    <w:rsid w:val="00F84E00"/>
    <w:rsid w:val="00F84EC1"/>
    <w:rsid w:val="00F84ECA"/>
    <w:rsid w:val="00F84EDB"/>
    <w:rsid w:val="00F84F4F"/>
    <w:rsid w:val="00F84F61"/>
    <w:rsid w:val="00F84F72"/>
    <w:rsid w:val="00F84F8B"/>
    <w:rsid w:val="00F84F97"/>
    <w:rsid w:val="00F84FDA"/>
    <w:rsid w:val="00F84FFC"/>
    <w:rsid w:val="00F8500A"/>
    <w:rsid w:val="00F8502C"/>
    <w:rsid w:val="00F8504C"/>
    <w:rsid w:val="00F8510F"/>
    <w:rsid w:val="00F85121"/>
    <w:rsid w:val="00F85129"/>
    <w:rsid w:val="00F8513D"/>
    <w:rsid w:val="00F85169"/>
    <w:rsid w:val="00F851BD"/>
    <w:rsid w:val="00F851C0"/>
    <w:rsid w:val="00F851C5"/>
    <w:rsid w:val="00F8521A"/>
    <w:rsid w:val="00F8525E"/>
    <w:rsid w:val="00F852B5"/>
    <w:rsid w:val="00F852BD"/>
    <w:rsid w:val="00F853CB"/>
    <w:rsid w:val="00F853DE"/>
    <w:rsid w:val="00F853E7"/>
    <w:rsid w:val="00F85408"/>
    <w:rsid w:val="00F85440"/>
    <w:rsid w:val="00F8546A"/>
    <w:rsid w:val="00F85497"/>
    <w:rsid w:val="00F854BD"/>
    <w:rsid w:val="00F855EB"/>
    <w:rsid w:val="00F85666"/>
    <w:rsid w:val="00F85679"/>
    <w:rsid w:val="00F856DD"/>
    <w:rsid w:val="00F85798"/>
    <w:rsid w:val="00F857F4"/>
    <w:rsid w:val="00F85861"/>
    <w:rsid w:val="00F85872"/>
    <w:rsid w:val="00F8588B"/>
    <w:rsid w:val="00F858EF"/>
    <w:rsid w:val="00F85905"/>
    <w:rsid w:val="00F85921"/>
    <w:rsid w:val="00F8592A"/>
    <w:rsid w:val="00F85965"/>
    <w:rsid w:val="00F85967"/>
    <w:rsid w:val="00F85A05"/>
    <w:rsid w:val="00F85A18"/>
    <w:rsid w:val="00F85A42"/>
    <w:rsid w:val="00F85A67"/>
    <w:rsid w:val="00F85AC3"/>
    <w:rsid w:val="00F85B25"/>
    <w:rsid w:val="00F85B26"/>
    <w:rsid w:val="00F85B38"/>
    <w:rsid w:val="00F85BA9"/>
    <w:rsid w:val="00F85C22"/>
    <w:rsid w:val="00F85CC0"/>
    <w:rsid w:val="00F85CEF"/>
    <w:rsid w:val="00F85CFE"/>
    <w:rsid w:val="00F85DB3"/>
    <w:rsid w:val="00F85DE5"/>
    <w:rsid w:val="00F85E18"/>
    <w:rsid w:val="00F85E22"/>
    <w:rsid w:val="00F85ECD"/>
    <w:rsid w:val="00F85EE9"/>
    <w:rsid w:val="00F85F7F"/>
    <w:rsid w:val="00F8604D"/>
    <w:rsid w:val="00F8607B"/>
    <w:rsid w:val="00F860D9"/>
    <w:rsid w:val="00F860F0"/>
    <w:rsid w:val="00F8613A"/>
    <w:rsid w:val="00F86160"/>
    <w:rsid w:val="00F861C6"/>
    <w:rsid w:val="00F861CD"/>
    <w:rsid w:val="00F861DE"/>
    <w:rsid w:val="00F86231"/>
    <w:rsid w:val="00F862AD"/>
    <w:rsid w:val="00F862FA"/>
    <w:rsid w:val="00F86320"/>
    <w:rsid w:val="00F86347"/>
    <w:rsid w:val="00F86373"/>
    <w:rsid w:val="00F86391"/>
    <w:rsid w:val="00F863DC"/>
    <w:rsid w:val="00F863FD"/>
    <w:rsid w:val="00F86445"/>
    <w:rsid w:val="00F86448"/>
    <w:rsid w:val="00F8649D"/>
    <w:rsid w:val="00F864B6"/>
    <w:rsid w:val="00F864FB"/>
    <w:rsid w:val="00F86510"/>
    <w:rsid w:val="00F86567"/>
    <w:rsid w:val="00F8659D"/>
    <w:rsid w:val="00F865B4"/>
    <w:rsid w:val="00F8661E"/>
    <w:rsid w:val="00F86626"/>
    <w:rsid w:val="00F8666C"/>
    <w:rsid w:val="00F866B2"/>
    <w:rsid w:val="00F86714"/>
    <w:rsid w:val="00F8672F"/>
    <w:rsid w:val="00F86789"/>
    <w:rsid w:val="00F867B7"/>
    <w:rsid w:val="00F867C6"/>
    <w:rsid w:val="00F867DE"/>
    <w:rsid w:val="00F86849"/>
    <w:rsid w:val="00F86862"/>
    <w:rsid w:val="00F8687A"/>
    <w:rsid w:val="00F8687B"/>
    <w:rsid w:val="00F8689B"/>
    <w:rsid w:val="00F868CA"/>
    <w:rsid w:val="00F86941"/>
    <w:rsid w:val="00F86A77"/>
    <w:rsid w:val="00F86A9D"/>
    <w:rsid w:val="00F86AEE"/>
    <w:rsid w:val="00F86B20"/>
    <w:rsid w:val="00F86B3D"/>
    <w:rsid w:val="00F86B6D"/>
    <w:rsid w:val="00F86BA1"/>
    <w:rsid w:val="00F86BBE"/>
    <w:rsid w:val="00F86C53"/>
    <w:rsid w:val="00F86CBF"/>
    <w:rsid w:val="00F86CC1"/>
    <w:rsid w:val="00F86D10"/>
    <w:rsid w:val="00F86D5E"/>
    <w:rsid w:val="00F86D83"/>
    <w:rsid w:val="00F86DD4"/>
    <w:rsid w:val="00F86DF6"/>
    <w:rsid w:val="00F86E1F"/>
    <w:rsid w:val="00F86EA8"/>
    <w:rsid w:val="00F86EBA"/>
    <w:rsid w:val="00F86F4F"/>
    <w:rsid w:val="00F86FB7"/>
    <w:rsid w:val="00F8701E"/>
    <w:rsid w:val="00F8701F"/>
    <w:rsid w:val="00F870AB"/>
    <w:rsid w:val="00F870C4"/>
    <w:rsid w:val="00F870E4"/>
    <w:rsid w:val="00F87110"/>
    <w:rsid w:val="00F8712F"/>
    <w:rsid w:val="00F871A0"/>
    <w:rsid w:val="00F871BD"/>
    <w:rsid w:val="00F8725F"/>
    <w:rsid w:val="00F87264"/>
    <w:rsid w:val="00F872BA"/>
    <w:rsid w:val="00F87312"/>
    <w:rsid w:val="00F8733A"/>
    <w:rsid w:val="00F87385"/>
    <w:rsid w:val="00F87388"/>
    <w:rsid w:val="00F87389"/>
    <w:rsid w:val="00F87394"/>
    <w:rsid w:val="00F8739B"/>
    <w:rsid w:val="00F873C3"/>
    <w:rsid w:val="00F873CB"/>
    <w:rsid w:val="00F873DF"/>
    <w:rsid w:val="00F87432"/>
    <w:rsid w:val="00F8746D"/>
    <w:rsid w:val="00F87501"/>
    <w:rsid w:val="00F87503"/>
    <w:rsid w:val="00F8753F"/>
    <w:rsid w:val="00F8755E"/>
    <w:rsid w:val="00F87628"/>
    <w:rsid w:val="00F87665"/>
    <w:rsid w:val="00F87735"/>
    <w:rsid w:val="00F87789"/>
    <w:rsid w:val="00F877E3"/>
    <w:rsid w:val="00F877EB"/>
    <w:rsid w:val="00F87810"/>
    <w:rsid w:val="00F8781D"/>
    <w:rsid w:val="00F87838"/>
    <w:rsid w:val="00F8787A"/>
    <w:rsid w:val="00F87889"/>
    <w:rsid w:val="00F87898"/>
    <w:rsid w:val="00F878D7"/>
    <w:rsid w:val="00F8790C"/>
    <w:rsid w:val="00F879B0"/>
    <w:rsid w:val="00F879B1"/>
    <w:rsid w:val="00F879DE"/>
    <w:rsid w:val="00F879FC"/>
    <w:rsid w:val="00F87A02"/>
    <w:rsid w:val="00F87A52"/>
    <w:rsid w:val="00F87A59"/>
    <w:rsid w:val="00F87B0D"/>
    <w:rsid w:val="00F87B14"/>
    <w:rsid w:val="00F87BA3"/>
    <w:rsid w:val="00F87BB1"/>
    <w:rsid w:val="00F87BDF"/>
    <w:rsid w:val="00F87BEA"/>
    <w:rsid w:val="00F87C1D"/>
    <w:rsid w:val="00F87CFD"/>
    <w:rsid w:val="00F87D20"/>
    <w:rsid w:val="00F87DD9"/>
    <w:rsid w:val="00F87DE9"/>
    <w:rsid w:val="00F87E21"/>
    <w:rsid w:val="00F87E32"/>
    <w:rsid w:val="00F87ED8"/>
    <w:rsid w:val="00F87EF6"/>
    <w:rsid w:val="00F87F31"/>
    <w:rsid w:val="00F87F58"/>
    <w:rsid w:val="00F87F93"/>
    <w:rsid w:val="00F87FAD"/>
    <w:rsid w:val="00F87FD4"/>
    <w:rsid w:val="00F9000B"/>
    <w:rsid w:val="00F9000F"/>
    <w:rsid w:val="00F90013"/>
    <w:rsid w:val="00F90036"/>
    <w:rsid w:val="00F90062"/>
    <w:rsid w:val="00F900C2"/>
    <w:rsid w:val="00F900F7"/>
    <w:rsid w:val="00F90188"/>
    <w:rsid w:val="00F9019A"/>
    <w:rsid w:val="00F90282"/>
    <w:rsid w:val="00F902F8"/>
    <w:rsid w:val="00F9032E"/>
    <w:rsid w:val="00F90360"/>
    <w:rsid w:val="00F90396"/>
    <w:rsid w:val="00F903D3"/>
    <w:rsid w:val="00F90406"/>
    <w:rsid w:val="00F904DD"/>
    <w:rsid w:val="00F904EE"/>
    <w:rsid w:val="00F90501"/>
    <w:rsid w:val="00F90517"/>
    <w:rsid w:val="00F905AA"/>
    <w:rsid w:val="00F905CD"/>
    <w:rsid w:val="00F905F6"/>
    <w:rsid w:val="00F90602"/>
    <w:rsid w:val="00F90619"/>
    <w:rsid w:val="00F90648"/>
    <w:rsid w:val="00F906F2"/>
    <w:rsid w:val="00F90787"/>
    <w:rsid w:val="00F907CE"/>
    <w:rsid w:val="00F907D1"/>
    <w:rsid w:val="00F907D9"/>
    <w:rsid w:val="00F90813"/>
    <w:rsid w:val="00F90861"/>
    <w:rsid w:val="00F9086F"/>
    <w:rsid w:val="00F908B5"/>
    <w:rsid w:val="00F90908"/>
    <w:rsid w:val="00F90986"/>
    <w:rsid w:val="00F909AA"/>
    <w:rsid w:val="00F909BD"/>
    <w:rsid w:val="00F909BE"/>
    <w:rsid w:val="00F90A84"/>
    <w:rsid w:val="00F90AD0"/>
    <w:rsid w:val="00F90B69"/>
    <w:rsid w:val="00F90B6E"/>
    <w:rsid w:val="00F90B9E"/>
    <w:rsid w:val="00F90BA9"/>
    <w:rsid w:val="00F90C29"/>
    <w:rsid w:val="00F90C4F"/>
    <w:rsid w:val="00F90C80"/>
    <w:rsid w:val="00F90C8B"/>
    <w:rsid w:val="00F90C9D"/>
    <w:rsid w:val="00F90CA0"/>
    <w:rsid w:val="00F90D72"/>
    <w:rsid w:val="00F90D81"/>
    <w:rsid w:val="00F90D9B"/>
    <w:rsid w:val="00F90DBF"/>
    <w:rsid w:val="00F90DF3"/>
    <w:rsid w:val="00F90E05"/>
    <w:rsid w:val="00F90E2F"/>
    <w:rsid w:val="00F90EBF"/>
    <w:rsid w:val="00F90F8D"/>
    <w:rsid w:val="00F90F96"/>
    <w:rsid w:val="00F9102E"/>
    <w:rsid w:val="00F91065"/>
    <w:rsid w:val="00F9107E"/>
    <w:rsid w:val="00F910E8"/>
    <w:rsid w:val="00F910EB"/>
    <w:rsid w:val="00F910F0"/>
    <w:rsid w:val="00F910F4"/>
    <w:rsid w:val="00F91101"/>
    <w:rsid w:val="00F9118F"/>
    <w:rsid w:val="00F911AF"/>
    <w:rsid w:val="00F9121B"/>
    <w:rsid w:val="00F9121D"/>
    <w:rsid w:val="00F91298"/>
    <w:rsid w:val="00F91305"/>
    <w:rsid w:val="00F913B7"/>
    <w:rsid w:val="00F913E5"/>
    <w:rsid w:val="00F91401"/>
    <w:rsid w:val="00F914B9"/>
    <w:rsid w:val="00F914D0"/>
    <w:rsid w:val="00F914F0"/>
    <w:rsid w:val="00F91536"/>
    <w:rsid w:val="00F91571"/>
    <w:rsid w:val="00F915AC"/>
    <w:rsid w:val="00F9163B"/>
    <w:rsid w:val="00F91657"/>
    <w:rsid w:val="00F91685"/>
    <w:rsid w:val="00F9169C"/>
    <w:rsid w:val="00F916A7"/>
    <w:rsid w:val="00F916C2"/>
    <w:rsid w:val="00F91789"/>
    <w:rsid w:val="00F9179C"/>
    <w:rsid w:val="00F917AF"/>
    <w:rsid w:val="00F917DF"/>
    <w:rsid w:val="00F9182E"/>
    <w:rsid w:val="00F91858"/>
    <w:rsid w:val="00F9185E"/>
    <w:rsid w:val="00F91873"/>
    <w:rsid w:val="00F918A7"/>
    <w:rsid w:val="00F918D9"/>
    <w:rsid w:val="00F91906"/>
    <w:rsid w:val="00F9193E"/>
    <w:rsid w:val="00F91953"/>
    <w:rsid w:val="00F91A49"/>
    <w:rsid w:val="00F91AAD"/>
    <w:rsid w:val="00F91AD6"/>
    <w:rsid w:val="00F91ADD"/>
    <w:rsid w:val="00F91B3C"/>
    <w:rsid w:val="00F91C4E"/>
    <w:rsid w:val="00F91C99"/>
    <w:rsid w:val="00F91CAF"/>
    <w:rsid w:val="00F91CE5"/>
    <w:rsid w:val="00F91D1A"/>
    <w:rsid w:val="00F91D5C"/>
    <w:rsid w:val="00F91D8F"/>
    <w:rsid w:val="00F91D96"/>
    <w:rsid w:val="00F91D98"/>
    <w:rsid w:val="00F91D9F"/>
    <w:rsid w:val="00F91DAD"/>
    <w:rsid w:val="00F91DBB"/>
    <w:rsid w:val="00F91DD1"/>
    <w:rsid w:val="00F91DD9"/>
    <w:rsid w:val="00F91DFD"/>
    <w:rsid w:val="00F91E43"/>
    <w:rsid w:val="00F91EDB"/>
    <w:rsid w:val="00F91F2A"/>
    <w:rsid w:val="00F91F31"/>
    <w:rsid w:val="00F91F3E"/>
    <w:rsid w:val="00F91F85"/>
    <w:rsid w:val="00F91FB3"/>
    <w:rsid w:val="00F91FC0"/>
    <w:rsid w:val="00F91FCE"/>
    <w:rsid w:val="00F91FF9"/>
    <w:rsid w:val="00F920B4"/>
    <w:rsid w:val="00F92242"/>
    <w:rsid w:val="00F922A9"/>
    <w:rsid w:val="00F922BC"/>
    <w:rsid w:val="00F922D4"/>
    <w:rsid w:val="00F922DE"/>
    <w:rsid w:val="00F92360"/>
    <w:rsid w:val="00F92375"/>
    <w:rsid w:val="00F9237C"/>
    <w:rsid w:val="00F9237F"/>
    <w:rsid w:val="00F923FF"/>
    <w:rsid w:val="00F92400"/>
    <w:rsid w:val="00F92431"/>
    <w:rsid w:val="00F92439"/>
    <w:rsid w:val="00F92445"/>
    <w:rsid w:val="00F924DF"/>
    <w:rsid w:val="00F92508"/>
    <w:rsid w:val="00F92554"/>
    <w:rsid w:val="00F925DE"/>
    <w:rsid w:val="00F9262F"/>
    <w:rsid w:val="00F92630"/>
    <w:rsid w:val="00F926BF"/>
    <w:rsid w:val="00F926F7"/>
    <w:rsid w:val="00F92740"/>
    <w:rsid w:val="00F9278B"/>
    <w:rsid w:val="00F92886"/>
    <w:rsid w:val="00F9291D"/>
    <w:rsid w:val="00F929C6"/>
    <w:rsid w:val="00F929D9"/>
    <w:rsid w:val="00F92A47"/>
    <w:rsid w:val="00F92AAC"/>
    <w:rsid w:val="00F92AF1"/>
    <w:rsid w:val="00F92B74"/>
    <w:rsid w:val="00F92B8A"/>
    <w:rsid w:val="00F92BD3"/>
    <w:rsid w:val="00F92C00"/>
    <w:rsid w:val="00F92DA3"/>
    <w:rsid w:val="00F92DE3"/>
    <w:rsid w:val="00F92E12"/>
    <w:rsid w:val="00F92E5C"/>
    <w:rsid w:val="00F92E5E"/>
    <w:rsid w:val="00F92E7B"/>
    <w:rsid w:val="00F92E8E"/>
    <w:rsid w:val="00F92FDE"/>
    <w:rsid w:val="00F93007"/>
    <w:rsid w:val="00F93044"/>
    <w:rsid w:val="00F9305B"/>
    <w:rsid w:val="00F93081"/>
    <w:rsid w:val="00F93239"/>
    <w:rsid w:val="00F93262"/>
    <w:rsid w:val="00F93291"/>
    <w:rsid w:val="00F932A6"/>
    <w:rsid w:val="00F932A9"/>
    <w:rsid w:val="00F9331F"/>
    <w:rsid w:val="00F933C5"/>
    <w:rsid w:val="00F933DD"/>
    <w:rsid w:val="00F93423"/>
    <w:rsid w:val="00F9352B"/>
    <w:rsid w:val="00F935AB"/>
    <w:rsid w:val="00F9362C"/>
    <w:rsid w:val="00F93635"/>
    <w:rsid w:val="00F9363F"/>
    <w:rsid w:val="00F936AC"/>
    <w:rsid w:val="00F936EA"/>
    <w:rsid w:val="00F936F0"/>
    <w:rsid w:val="00F93802"/>
    <w:rsid w:val="00F9381D"/>
    <w:rsid w:val="00F93878"/>
    <w:rsid w:val="00F93893"/>
    <w:rsid w:val="00F938B9"/>
    <w:rsid w:val="00F938D2"/>
    <w:rsid w:val="00F938DC"/>
    <w:rsid w:val="00F93904"/>
    <w:rsid w:val="00F93920"/>
    <w:rsid w:val="00F939AD"/>
    <w:rsid w:val="00F939E1"/>
    <w:rsid w:val="00F93A59"/>
    <w:rsid w:val="00F93A7A"/>
    <w:rsid w:val="00F93AC6"/>
    <w:rsid w:val="00F93AC8"/>
    <w:rsid w:val="00F93BB4"/>
    <w:rsid w:val="00F93BCC"/>
    <w:rsid w:val="00F93BD4"/>
    <w:rsid w:val="00F93BD7"/>
    <w:rsid w:val="00F93C3C"/>
    <w:rsid w:val="00F93C94"/>
    <w:rsid w:val="00F93CB8"/>
    <w:rsid w:val="00F93CCD"/>
    <w:rsid w:val="00F93CFE"/>
    <w:rsid w:val="00F93DA1"/>
    <w:rsid w:val="00F93DC2"/>
    <w:rsid w:val="00F93E73"/>
    <w:rsid w:val="00F93E7E"/>
    <w:rsid w:val="00F93EE1"/>
    <w:rsid w:val="00F93F35"/>
    <w:rsid w:val="00F94001"/>
    <w:rsid w:val="00F940DE"/>
    <w:rsid w:val="00F940E0"/>
    <w:rsid w:val="00F94166"/>
    <w:rsid w:val="00F941D2"/>
    <w:rsid w:val="00F941FE"/>
    <w:rsid w:val="00F94270"/>
    <w:rsid w:val="00F94275"/>
    <w:rsid w:val="00F942A2"/>
    <w:rsid w:val="00F942EB"/>
    <w:rsid w:val="00F942F5"/>
    <w:rsid w:val="00F9431B"/>
    <w:rsid w:val="00F9432C"/>
    <w:rsid w:val="00F94340"/>
    <w:rsid w:val="00F94350"/>
    <w:rsid w:val="00F943E3"/>
    <w:rsid w:val="00F944C4"/>
    <w:rsid w:val="00F944E1"/>
    <w:rsid w:val="00F9451C"/>
    <w:rsid w:val="00F9455D"/>
    <w:rsid w:val="00F94611"/>
    <w:rsid w:val="00F94629"/>
    <w:rsid w:val="00F9465B"/>
    <w:rsid w:val="00F946E0"/>
    <w:rsid w:val="00F9471E"/>
    <w:rsid w:val="00F94768"/>
    <w:rsid w:val="00F947AF"/>
    <w:rsid w:val="00F9482E"/>
    <w:rsid w:val="00F9484A"/>
    <w:rsid w:val="00F94886"/>
    <w:rsid w:val="00F94894"/>
    <w:rsid w:val="00F9492B"/>
    <w:rsid w:val="00F94999"/>
    <w:rsid w:val="00F94A07"/>
    <w:rsid w:val="00F94A47"/>
    <w:rsid w:val="00F94A55"/>
    <w:rsid w:val="00F94AA7"/>
    <w:rsid w:val="00F94B30"/>
    <w:rsid w:val="00F94B48"/>
    <w:rsid w:val="00F94B78"/>
    <w:rsid w:val="00F94BE4"/>
    <w:rsid w:val="00F94C11"/>
    <w:rsid w:val="00F94CA0"/>
    <w:rsid w:val="00F94D1E"/>
    <w:rsid w:val="00F94DA6"/>
    <w:rsid w:val="00F94E7C"/>
    <w:rsid w:val="00F94EA2"/>
    <w:rsid w:val="00F94EE5"/>
    <w:rsid w:val="00F94F5C"/>
    <w:rsid w:val="00F94FBA"/>
    <w:rsid w:val="00F94FF4"/>
    <w:rsid w:val="00F95022"/>
    <w:rsid w:val="00F95064"/>
    <w:rsid w:val="00F95068"/>
    <w:rsid w:val="00F950FB"/>
    <w:rsid w:val="00F95106"/>
    <w:rsid w:val="00F95152"/>
    <w:rsid w:val="00F9519C"/>
    <w:rsid w:val="00F95211"/>
    <w:rsid w:val="00F952F1"/>
    <w:rsid w:val="00F95303"/>
    <w:rsid w:val="00F95375"/>
    <w:rsid w:val="00F953BE"/>
    <w:rsid w:val="00F953FC"/>
    <w:rsid w:val="00F95433"/>
    <w:rsid w:val="00F954C9"/>
    <w:rsid w:val="00F9550E"/>
    <w:rsid w:val="00F95552"/>
    <w:rsid w:val="00F9557B"/>
    <w:rsid w:val="00F955CA"/>
    <w:rsid w:val="00F9561A"/>
    <w:rsid w:val="00F95684"/>
    <w:rsid w:val="00F956AD"/>
    <w:rsid w:val="00F956B4"/>
    <w:rsid w:val="00F956F8"/>
    <w:rsid w:val="00F9582A"/>
    <w:rsid w:val="00F95843"/>
    <w:rsid w:val="00F9585D"/>
    <w:rsid w:val="00F95895"/>
    <w:rsid w:val="00F958CC"/>
    <w:rsid w:val="00F9594E"/>
    <w:rsid w:val="00F959A0"/>
    <w:rsid w:val="00F959E7"/>
    <w:rsid w:val="00F95AD0"/>
    <w:rsid w:val="00F95AE5"/>
    <w:rsid w:val="00F95B11"/>
    <w:rsid w:val="00F95B53"/>
    <w:rsid w:val="00F95BC4"/>
    <w:rsid w:val="00F95BE9"/>
    <w:rsid w:val="00F95C67"/>
    <w:rsid w:val="00F95C75"/>
    <w:rsid w:val="00F95C8A"/>
    <w:rsid w:val="00F95CCB"/>
    <w:rsid w:val="00F95D3D"/>
    <w:rsid w:val="00F95DB3"/>
    <w:rsid w:val="00F95DD1"/>
    <w:rsid w:val="00F95DE0"/>
    <w:rsid w:val="00F95DEC"/>
    <w:rsid w:val="00F95E13"/>
    <w:rsid w:val="00F95E78"/>
    <w:rsid w:val="00F95EA4"/>
    <w:rsid w:val="00F95FB3"/>
    <w:rsid w:val="00F95FED"/>
    <w:rsid w:val="00F96105"/>
    <w:rsid w:val="00F96126"/>
    <w:rsid w:val="00F96143"/>
    <w:rsid w:val="00F96205"/>
    <w:rsid w:val="00F96211"/>
    <w:rsid w:val="00F9625A"/>
    <w:rsid w:val="00F962A9"/>
    <w:rsid w:val="00F9636F"/>
    <w:rsid w:val="00F96373"/>
    <w:rsid w:val="00F96380"/>
    <w:rsid w:val="00F96391"/>
    <w:rsid w:val="00F9639C"/>
    <w:rsid w:val="00F963C5"/>
    <w:rsid w:val="00F963EE"/>
    <w:rsid w:val="00F96434"/>
    <w:rsid w:val="00F96475"/>
    <w:rsid w:val="00F964D0"/>
    <w:rsid w:val="00F964FA"/>
    <w:rsid w:val="00F9652D"/>
    <w:rsid w:val="00F9656E"/>
    <w:rsid w:val="00F966BA"/>
    <w:rsid w:val="00F9673F"/>
    <w:rsid w:val="00F9674A"/>
    <w:rsid w:val="00F9679B"/>
    <w:rsid w:val="00F967C4"/>
    <w:rsid w:val="00F96843"/>
    <w:rsid w:val="00F968E3"/>
    <w:rsid w:val="00F9691F"/>
    <w:rsid w:val="00F96954"/>
    <w:rsid w:val="00F969EC"/>
    <w:rsid w:val="00F969F6"/>
    <w:rsid w:val="00F96A59"/>
    <w:rsid w:val="00F96A7E"/>
    <w:rsid w:val="00F96AFA"/>
    <w:rsid w:val="00F96B16"/>
    <w:rsid w:val="00F96B66"/>
    <w:rsid w:val="00F96B8F"/>
    <w:rsid w:val="00F96B93"/>
    <w:rsid w:val="00F96C29"/>
    <w:rsid w:val="00F96CD7"/>
    <w:rsid w:val="00F96D8E"/>
    <w:rsid w:val="00F96D97"/>
    <w:rsid w:val="00F96DEA"/>
    <w:rsid w:val="00F96DEE"/>
    <w:rsid w:val="00F96E22"/>
    <w:rsid w:val="00F96E55"/>
    <w:rsid w:val="00F96E69"/>
    <w:rsid w:val="00F96EC4"/>
    <w:rsid w:val="00F96F03"/>
    <w:rsid w:val="00F96F11"/>
    <w:rsid w:val="00F96F66"/>
    <w:rsid w:val="00F96FA1"/>
    <w:rsid w:val="00F96FFF"/>
    <w:rsid w:val="00F97007"/>
    <w:rsid w:val="00F97034"/>
    <w:rsid w:val="00F97046"/>
    <w:rsid w:val="00F9706F"/>
    <w:rsid w:val="00F9709E"/>
    <w:rsid w:val="00F970A5"/>
    <w:rsid w:val="00F971EE"/>
    <w:rsid w:val="00F971F8"/>
    <w:rsid w:val="00F97204"/>
    <w:rsid w:val="00F9720F"/>
    <w:rsid w:val="00F9726A"/>
    <w:rsid w:val="00F9726B"/>
    <w:rsid w:val="00F97290"/>
    <w:rsid w:val="00F972D8"/>
    <w:rsid w:val="00F972EF"/>
    <w:rsid w:val="00F972F6"/>
    <w:rsid w:val="00F9731C"/>
    <w:rsid w:val="00F97421"/>
    <w:rsid w:val="00F97440"/>
    <w:rsid w:val="00F9746C"/>
    <w:rsid w:val="00F97486"/>
    <w:rsid w:val="00F9750C"/>
    <w:rsid w:val="00F9754B"/>
    <w:rsid w:val="00F97573"/>
    <w:rsid w:val="00F97589"/>
    <w:rsid w:val="00F975A0"/>
    <w:rsid w:val="00F975C9"/>
    <w:rsid w:val="00F97622"/>
    <w:rsid w:val="00F97639"/>
    <w:rsid w:val="00F97654"/>
    <w:rsid w:val="00F97657"/>
    <w:rsid w:val="00F976AC"/>
    <w:rsid w:val="00F976F6"/>
    <w:rsid w:val="00F97749"/>
    <w:rsid w:val="00F9775F"/>
    <w:rsid w:val="00F977A3"/>
    <w:rsid w:val="00F977DF"/>
    <w:rsid w:val="00F977F2"/>
    <w:rsid w:val="00F97816"/>
    <w:rsid w:val="00F9787D"/>
    <w:rsid w:val="00F978E2"/>
    <w:rsid w:val="00F978EE"/>
    <w:rsid w:val="00F9790E"/>
    <w:rsid w:val="00F97967"/>
    <w:rsid w:val="00F97978"/>
    <w:rsid w:val="00F97991"/>
    <w:rsid w:val="00F9799E"/>
    <w:rsid w:val="00F97A62"/>
    <w:rsid w:val="00F97B16"/>
    <w:rsid w:val="00F97BAB"/>
    <w:rsid w:val="00F97BF6"/>
    <w:rsid w:val="00F97C37"/>
    <w:rsid w:val="00F97C78"/>
    <w:rsid w:val="00F97CA0"/>
    <w:rsid w:val="00F97D01"/>
    <w:rsid w:val="00F97D0C"/>
    <w:rsid w:val="00F97D0E"/>
    <w:rsid w:val="00F97D22"/>
    <w:rsid w:val="00F97D2E"/>
    <w:rsid w:val="00F97E08"/>
    <w:rsid w:val="00F97E34"/>
    <w:rsid w:val="00F97E42"/>
    <w:rsid w:val="00F97EA0"/>
    <w:rsid w:val="00F97F03"/>
    <w:rsid w:val="00F97F60"/>
    <w:rsid w:val="00F97F81"/>
    <w:rsid w:val="00F97F9A"/>
    <w:rsid w:val="00FA0039"/>
    <w:rsid w:val="00FA0055"/>
    <w:rsid w:val="00FA008D"/>
    <w:rsid w:val="00FA0093"/>
    <w:rsid w:val="00FA0161"/>
    <w:rsid w:val="00FA017E"/>
    <w:rsid w:val="00FA01B7"/>
    <w:rsid w:val="00FA0299"/>
    <w:rsid w:val="00FA029B"/>
    <w:rsid w:val="00FA02E1"/>
    <w:rsid w:val="00FA030A"/>
    <w:rsid w:val="00FA0337"/>
    <w:rsid w:val="00FA0380"/>
    <w:rsid w:val="00FA0386"/>
    <w:rsid w:val="00FA042F"/>
    <w:rsid w:val="00FA043E"/>
    <w:rsid w:val="00FA0453"/>
    <w:rsid w:val="00FA0463"/>
    <w:rsid w:val="00FA04A8"/>
    <w:rsid w:val="00FA04AB"/>
    <w:rsid w:val="00FA04E7"/>
    <w:rsid w:val="00FA054E"/>
    <w:rsid w:val="00FA055D"/>
    <w:rsid w:val="00FA060F"/>
    <w:rsid w:val="00FA062B"/>
    <w:rsid w:val="00FA0640"/>
    <w:rsid w:val="00FA0641"/>
    <w:rsid w:val="00FA0659"/>
    <w:rsid w:val="00FA067D"/>
    <w:rsid w:val="00FA06CD"/>
    <w:rsid w:val="00FA0703"/>
    <w:rsid w:val="00FA0719"/>
    <w:rsid w:val="00FA073A"/>
    <w:rsid w:val="00FA078A"/>
    <w:rsid w:val="00FA0799"/>
    <w:rsid w:val="00FA082A"/>
    <w:rsid w:val="00FA088E"/>
    <w:rsid w:val="00FA089C"/>
    <w:rsid w:val="00FA089D"/>
    <w:rsid w:val="00FA08F3"/>
    <w:rsid w:val="00FA0913"/>
    <w:rsid w:val="00FA09CF"/>
    <w:rsid w:val="00FA09D7"/>
    <w:rsid w:val="00FA0A01"/>
    <w:rsid w:val="00FA0A0E"/>
    <w:rsid w:val="00FA0A40"/>
    <w:rsid w:val="00FA0AA6"/>
    <w:rsid w:val="00FA0AB8"/>
    <w:rsid w:val="00FA0AE4"/>
    <w:rsid w:val="00FA0BBE"/>
    <w:rsid w:val="00FA0BD4"/>
    <w:rsid w:val="00FA0C14"/>
    <w:rsid w:val="00FA0C2A"/>
    <w:rsid w:val="00FA0C4B"/>
    <w:rsid w:val="00FA0C84"/>
    <w:rsid w:val="00FA0C92"/>
    <w:rsid w:val="00FA0CCA"/>
    <w:rsid w:val="00FA0CD5"/>
    <w:rsid w:val="00FA0CE3"/>
    <w:rsid w:val="00FA0D10"/>
    <w:rsid w:val="00FA0D49"/>
    <w:rsid w:val="00FA0D5C"/>
    <w:rsid w:val="00FA0E0D"/>
    <w:rsid w:val="00FA0E12"/>
    <w:rsid w:val="00FA0E66"/>
    <w:rsid w:val="00FA0F76"/>
    <w:rsid w:val="00FA0FBA"/>
    <w:rsid w:val="00FA102F"/>
    <w:rsid w:val="00FA10EA"/>
    <w:rsid w:val="00FA10FB"/>
    <w:rsid w:val="00FA1105"/>
    <w:rsid w:val="00FA113A"/>
    <w:rsid w:val="00FA1156"/>
    <w:rsid w:val="00FA117E"/>
    <w:rsid w:val="00FA11C3"/>
    <w:rsid w:val="00FA11E7"/>
    <w:rsid w:val="00FA126A"/>
    <w:rsid w:val="00FA1273"/>
    <w:rsid w:val="00FA1325"/>
    <w:rsid w:val="00FA137D"/>
    <w:rsid w:val="00FA13FD"/>
    <w:rsid w:val="00FA13FF"/>
    <w:rsid w:val="00FA140D"/>
    <w:rsid w:val="00FA1442"/>
    <w:rsid w:val="00FA14A4"/>
    <w:rsid w:val="00FA14BE"/>
    <w:rsid w:val="00FA14CF"/>
    <w:rsid w:val="00FA14F8"/>
    <w:rsid w:val="00FA14FB"/>
    <w:rsid w:val="00FA1519"/>
    <w:rsid w:val="00FA152D"/>
    <w:rsid w:val="00FA15A8"/>
    <w:rsid w:val="00FA15D3"/>
    <w:rsid w:val="00FA15E2"/>
    <w:rsid w:val="00FA15F0"/>
    <w:rsid w:val="00FA15F6"/>
    <w:rsid w:val="00FA163C"/>
    <w:rsid w:val="00FA164F"/>
    <w:rsid w:val="00FA173B"/>
    <w:rsid w:val="00FA173D"/>
    <w:rsid w:val="00FA1755"/>
    <w:rsid w:val="00FA1762"/>
    <w:rsid w:val="00FA179B"/>
    <w:rsid w:val="00FA17ED"/>
    <w:rsid w:val="00FA1847"/>
    <w:rsid w:val="00FA1886"/>
    <w:rsid w:val="00FA18F7"/>
    <w:rsid w:val="00FA1937"/>
    <w:rsid w:val="00FA19A7"/>
    <w:rsid w:val="00FA19BB"/>
    <w:rsid w:val="00FA1A2D"/>
    <w:rsid w:val="00FA1A3D"/>
    <w:rsid w:val="00FA1AA9"/>
    <w:rsid w:val="00FA1AC7"/>
    <w:rsid w:val="00FA1ADE"/>
    <w:rsid w:val="00FA1AE4"/>
    <w:rsid w:val="00FA1B78"/>
    <w:rsid w:val="00FA1B99"/>
    <w:rsid w:val="00FA1BAB"/>
    <w:rsid w:val="00FA1C2E"/>
    <w:rsid w:val="00FA1DCD"/>
    <w:rsid w:val="00FA1DD3"/>
    <w:rsid w:val="00FA1E05"/>
    <w:rsid w:val="00FA1F40"/>
    <w:rsid w:val="00FA1FBE"/>
    <w:rsid w:val="00FA1FFE"/>
    <w:rsid w:val="00FA2011"/>
    <w:rsid w:val="00FA201E"/>
    <w:rsid w:val="00FA204A"/>
    <w:rsid w:val="00FA20D9"/>
    <w:rsid w:val="00FA21AE"/>
    <w:rsid w:val="00FA21DC"/>
    <w:rsid w:val="00FA222C"/>
    <w:rsid w:val="00FA224B"/>
    <w:rsid w:val="00FA2294"/>
    <w:rsid w:val="00FA22AE"/>
    <w:rsid w:val="00FA22F4"/>
    <w:rsid w:val="00FA2335"/>
    <w:rsid w:val="00FA2378"/>
    <w:rsid w:val="00FA23B4"/>
    <w:rsid w:val="00FA23D9"/>
    <w:rsid w:val="00FA2408"/>
    <w:rsid w:val="00FA24AB"/>
    <w:rsid w:val="00FA2528"/>
    <w:rsid w:val="00FA2536"/>
    <w:rsid w:val="00FA2592"/>
    <w:rsid w:val="00FA25B4"/>
    <w:rsid w:val="00FA25C9"/>
    <w:rsid w:val="00FA2619"/>
    <w:rsid w:val="00FA2677"/>
    <w:rsid w:val="00FA267E"/>
    <w:rsid w:val="00FA2696"/>
    <w:rsid w:val="00FA26A2"/>
    <w:rsid w:val="00FA273F"/>
    <w:rsid w:val="00FA274C"/>
    <w:rsid w:val="00FA27DF"/>
    <w:rsid w:val="00FA2813"/>
    <w:rsid w:val="00FA2832"/>
    <w:rsid w:val="00FA2860"/>
    <w:rsid w:val="00FA28A0"/>
    <w:rsid w:val="00FA28A3"/>
    <w:rsid w:val="00FA292F"/>
    <w:rsid w:val="00FA2977"/>
    <w:rsid w:val="00FA2AC3"/>
    <w:rsid w:val="00FA2B19"/>
    <w:rsid w:val="00FA2B57"/>
    <w:rsid w:val="00FA2B8F"/>
    <w:rsid w:val="00FA2C58"/>
    <w:rsid w:val="00FA2C86"/>
    <w:rsid w:val="00FA2CAF"/>
    <w:rsid w:val="00FA2CB9"/>
    <w:rsid w:val="00FA2CC1"/>
    <w:rsid w:val="00FA2CC6"/>
    <w:rsid w:val="00FA2CD7"/>
    <w:rsid w:val="00FA2D58"/>
    <w:rsid w:val="00FA2D7B"/>
    <w:rsid w:val="00FA2E06"/>
    <w:rsid w:val="00FA2E7F"/>
    <w:rsid w:val="00FA2EAB"/>
    <w:rsid w:val="00FA2F00"/>
    <w:rsid w:val="00FA2F80"/>
    <w:rsid w:val="00FA2FA0"/>
    <w:rsid w:val="00FA3013"/>
    <w:rsid w:val="00FA305A"/>
    <w:rsid w:val="00FA3068"/>
    <w:rsid w:val="00FA3150"/>
    <w:rsid w:val="00FA31DB"/>
    <w:rsid w:val="00FA324F"/>
    <w:rsid w:val="00FA3292"/>
    <w:rsid w:val="00FA32AD"/>
    <w:rsid w:val="00FA32C2"/>
    <w:rsid w:val="00FA32E7"/>
    <w:rsid w:val="00FA32F0"/>
    <w:rsid w:val="00FA3369"/>
    <w:rsid w:val="00FA34BB"/>
    <w:rsid w:val="00FA355F"/>
    <w:rsid w:val="00FA35D8"/>
    <w:rsid w:val="00FA35E4"/>
    <w:rsid w:val="00FA369F"/>
    <w:rsid w:val="00FA36B4"/>
    <w:rsid w:val="00FA36D0"/>
    <w:rsid w:val="00FA3704"/>
    <w:rsid w:val="00FA3804"/>
    <w:rsid w:val="00FA3860"/>
    <w:rsid w:val="00FA389B"/>
    <w:rsid w:val="00FA38DC"/>
    <w:rsid w:val="00FA390B"/>
    <w:rsid w:val="00FA3980"/>
    <w:rsid w:val="00FA398D"/>
    <w:rsid w:val="00FA39BF"/>
    <w:rsid w:val="00FA39C9"/>
    <w:rsid w:val="00FA3A5E"/>
    <w:rsid w:val="00FA3ACC"/>
    <w:rsid w:val="00FA3AF4"/>
    <w:rsid w:val="00FA3B7C"/>
    <w:rsid w:val="00FA3C57"/>
    <w:rsid w:val="00FA3CCF"/>
    <w:rsid w:val="00FA3D06"/>
    <w:rsid w:val="00FA3D12"/>
    <w:rsid w:val="00FA3D13"/>
    <w:rsid w:val="00FA3D3E"/>
    <w:rsid w:val="00FA3DBC"/>
    <w:rsid w:val="00FA3E01"/>
    <w:rsid w:val="00FA3E0B"/>
    <w:rsid w:val="00FA3E8D"/>
    <w:rsid w:val="00FA3F09"/>
    <w:rsid w:val="00FA3F20"/>
    <w:rsid w:val="00FA3F8C"/>
    <w:rsid w:val="00FA3FBC"/>
    <w:rsid w:val="00FA3FDC"/>
    <w:rsid w:val="00FA3FE6"/>
    <w:rsid w:val="00FA4005"/>
    <w:rsid w:val="00FA4136"/>
    <w:rsid w:val="00FA41E5"/>
    <w:rsid w:val="00FA41E7"/>
    <w:rsid w:val="00FA421C"/>
    <w:rsid w:val="00FA4235"/>
    <w:rsid w:val="00FA42BA"/>
    <w:rsid w:val="00FA42DD"/>
    <w:rsid w:val="00FA43F8"/>
    <w:rsid w:val="00FA442A"/>
    <w:rsid w:val="00FA4445"/>
    <w:rsid w:val="00FA4467"/>
    <w:rsid w:val="00FA448C"/>
    <w:rsid w:val="00FA4490"/>
    <w:rsid w:val="00FA4527"/>
    <w:rsid w:val="00FA4570"/>
    <w:rsid w:val="00FA45DA"/>
    <w:rsid w:val="00FA45E6"/>
    <w:rsid w:val="00FA46FF"/>
    <w:rsid w:val="00FA475D"/>
    <w:rsid w:val="00FA47AC"/>
    <w:rsid w:val="00FA47CD"/>
    <w:rsid w:val="00FA480A"/>
    <w:rsid w:val="00FA4888"/>
    <w:rsid w:val="00FA48F9"/>
    <w:rsid w:val="00FA494F"/>
    <w:rsid w:val="00FA4982"/>
    <w:rsid w:val="00FA49C6"/>
    <w:rsid w:val="00FA4A38"/>
    <w:rsid w:val="00FA4A69"/>
    <w:rsid w:val="00FA4A76"/>
    <w:rsid w:val="00FA4B7E"/>
    <w:rsid w:val="00FA4C0E"/>
    <w:rsid w:val="00FA4C1C"/>
    <w:rsid w:val="00FA4C4E"/>
    <w:rsid w:val="00FA4C7E"/>
    <w:rsid w:val="00FA4C8A"/>
    <w:rsid w:val="00FA4C98"/>
    <w:rsid w:val="00FA4CD7"/>
    <w:rsid w:val="00FA4CED"/>
    <w:rsid w:val="00FA4CF1"/>
    <w:rsid w:val="00FA4F20"/>
    <w:rsid w:val="00FA4F26"/>
    <w:rsid w:val="00FA4F2E"/>
    <w:rsid w:val="00FA4F85"/>
    <w:rsid w:val="00FA5021"/>
    <w:rsid w:val="00FA5066"/>
    <w:rsid w:val="00FA5088"/>
    <w:rsid w:val="00FA50A7"/>
    <w:rsid w:val="00FA50C2"/>
    <w:rsid w:val="00FA51A4"/>
    <w:rsid w:val="00FA51EE"/>
    <w:rsid w:val="00FA51FE"/>
    <w:rsid w:val="00FA5293"/>
    <w:rsid w:val="00FA52F3"/>
    <w:rsid w:val="00FA53BB"/>
    <w:rsid w:val="00FA53C4"/>
    <w:rsid w:val="00FA53D2"/>
    <w:rsid w:val="00FA53DB"/>
    <w:rsid w:val="00FA5404"/>
    <w:rsid w:val="00FA5405"/>
    <w:rsid w:val="00FA544C"/>
    <w:rsid w:val="00FA5481"/>
    <w:rsid w:val="00FA54D9"/>
    <w:rsid w:val="00FA5568"/>
    <w:rsid w:val="00FA568B"/>
    <w:rsid w:val="00FA56ED"/>
    <w:rsid w:val="00FA5709"/>
    <w:rsid w:val="00FA570C"/>
    <w:rsid w:val="00FA571A"/>
    <w:rsid w:val="00FA5755"/>
    <w:rsid w:val="00FA57C5"/>
    <w:rsid w:val="00FA57D9"/>
    <w:rsid w:val="00FA581F"/>
    <w:rsid w:val="00FA586B"/>
    <w:rsid w:val="00FA591C"/>
    <w:rsid w:val="00FA5926"/>
    <w:rsid w:val="00FA593B"/>
    <w:rsid w:val="00FA593F"/>
    <w:rsid w:val="00FA5975"/>
    <w:rsid w:val="00FA5997"/>
    <w:rsid w:val="00FA59A0"/>
    <w:rsid w:val="00FA59DB"/>
    <w:rsid w:val="00FA59E3"/>
    <w:rsid w:val="00FA5A2B"/>
    <w:rsid w:val="00FA5A53"/>
    <w:rsid w:val="00FA5A8A"/>
    <w:rsid w:val="00FA5AA0"/>
    <w:rsid w:val="00FA5ACA"/>
    <w:rsid w:val="00FA5B10"/>
    <w:rsid w:val="00FA5B2B"/>
    <w:rsid w:val="00FA5B38"/>
    <w:rsid w:val="00FA5B41"/>
    <w:rsid w:val="00FA5B73"/>
    <w:rsid w:val="00FA5BB8"/>
    <w:rsid w:val="00FA5BC1"/>
    <w:rsid w:val="00FA5BDE"/>
    <w:rsid w:val="00FA5BFC"/>
    <w:rsid w:val="00FA5C07"/>
    <w:rsid w:val="00FA5C3B"/>
    <w:rsid w:val="00FA5C7B"/>
    <w:rsid w:val="00FA5C89"/>
    <w:rsid w:val="00FA5CC2"/>
    <w:rsid w:val="00FA5D0A"/>
    <w:rsid w:val="00FA5D16"/>
    <w:rsid w:val="00FA5D33"/>
    <w:rsid w:val="00FA5D53"/>
    <w:rsid w:val="00FA5D97"/>
    <w:rsid w:val="00FA5E04"/>
    <w:rsid w:val="00FA5E54"/>
    <w:rsid w:val="00FA5F1F"/>
    <w:rsid w:val="00FA5F64"/>
    <w:rsid w:val="00FA5FC2"/>
    <w:rsid w:val="00FA6052"/>
    <w:rsid w:val="00FA6074"/>
    <w:rsid w:val="00FA60CE"/>
    <w:rsid w:val="00FA60DF"/>
    <w:rsid w:val="00FA6142"/>
    <w:rsid w:val="00FA6150"/>
    <w:rsid w:val="00FA6183"/>
    <w:rsid w:val="00FA6288"/>
    <w:rsid w:val="00FA6305"/>
    <w:rsid w:val="00FA6336"/>
    <w:rsid w:val="00FA63B1"/>
    <w:rsid w:val="00FA644C"/>
    <w:rsid w:val="00FA64A8"/>
    <w:rsid w:val="00FA64AC"/>
    <w:rsid w:val="00FA64DE"/>
    <w:rsid w:val="00FA64FC"/>
    <w:rsid w:val="00FA6505"/>
    <w:rsid w:val="00FA6539"/>
    <w:rsid w:val="00FA65A2"/>
    <w:rsid w:val="00FA65C1"/>
    <w:rsid w:val="00FA662E"/>
    <w:rsid w:val="00FA6644"/>
    <w:rsid w:val="00FA6664"/>
    <w:rsid w:val="00FA66A4"/>
    <w:rsid w:val="00FA671F"/>
    <w:rsid w:val="00FA672F"/>
    <w:rsid w:val="00FA6732"/>
    <w:rsid w:val="00FA6734"/>
    <w:rsid w:val="00FA676F"/>
    <w:rsid w:val="00FA67A0"/>
    <w:rsid w:val="00FA6812"/>
    <w:rsid w:val="00FA6817"/>
    <w:rsid w:val="00FA6874"/>
    <w:rsid w:val="00FA68BA"/>
    <w:rsid w:val="00FA68BE"/>
    <w:rsid w:val="00FA6908"/>
    <w:rsid w:val="00FA6911"/>
    <w:rsid w:val="00FA6954"/>
    <w:rsid w:val="00FA69F3"/>
    <w:rsid w:val="00FA69F9"/>
    <w:rsid w:val="00FA6A48"/>
    <w:rsid w:val="00FA6A53"/>
    <w:rsid w:val="00FA6AA3"/>
    <w:rsid w:val="00FA6AFA"/>
    <w:rsid w:val="00FA6B5E"/>
    <w:rsid w:val="00FA6BAF"/>
    <w:rsid w:val="00FA6BD6"/>
    <w:rsid w:val="00FA6BD9"/>
    <w:rsid w:val="00FA6C7C"/>
    <w:rsid w:val="00FA6CAB"/>
    <w:rsid w:val="00FA6CCD"/>
    <w:rsid w:val="00FA6CE5"/>
    <w:rsid w:val="00FA6D13"/>
    <w:rsid w:val="00FA6D29"/>
    <w:rsid w:val="00FA6D48"/>
    <w:rsid w:val="00FA6D6C"/>
    <w:rsid w:val="00FA6D93"/>
    <w:rsid w:val="00FA6E27"/>
    <w:rsid w:val="00FA6E31"/>
    <w:rsid w:val="00FA6E91"/>
    <w:rsid w:val="00FA6EAB"/>
    <w:rsid w:val="00FA6F3B"/>
    <w:rsid w:val="00FA6FA7"/>
    <w:rsid w:val="00FA6FC2"/>
    <w:rsid w:val="00FA6FD6"/>
    <w:rsid w:val="00FA6FE3"/>
    <w:rsid w:val="00FA7001"/>
    <w:rsid w:val="00FA7063"/>
    <w:rsid w:val="00FA7087"/>
    <w:rsid w:val="00FA712C"/>
    <w:rsid w:val="00FA7163"/>
    <w:rsid w:val="00FA71AC"/>
    <w:rsid w:val="00FA7211"/>
    <w:rsid w:val="00FA7212"/>
    <w:rsid w:val="00FA721E"/>
    <w:rsid w:val="00FA7229"/>
    <w:rsid w:val="00FA723D"/>
    <w:rsid w:val="00FA726B"/>
    <w:rsid w:val="00FA727A"/>
    <w:rsid w:val="00FA72A9"/>
    <w:rsid w:val="00FA72B5"/>
    <w:rsid w:val="00FA72C1"/>
    <w:rsid w:val="00FA72D3"/>
    <w:rsid w:val="00FA72F5"/>
    <w:rsid w:val="00FA72FE"/>
    <w:rsid w:val="00FA7350"/>
    <w:rsid w:val="00FA74BF"/>
    <w:rsid w:val="00FA74D0"/>
    <w:rsid w:val="00FA74D3"/>
    <w:rsid w:val="00FA7505"/>
    <w:rsid w:val="00FA7520"/>
    <w:rsid w:val="00FA75FE"/>
    <w:rsid w:val="00FA7632"/>
    <w:rsid w:val="00FA764A"/>
    <w:rsid w:val="00FA7675"/>
    <w:rsid w:val="00FA7696"/>
    <w:rsid w:val="00FA76E3"/>
    <w:rsid w:val="00FA76F1"/>
    <w:rsid w:val="00FA7741"/>
    <w:rsid w:val="00FA77A3"/>
    <w:rsid w:val="00FA77DC"/>
    <w:rsid w:val="00FA7813"/>
    <w:rsid w:val="00FA7822"/>
    <w:rsid w:val="00FA7851"/>
    <w:rsid w:val="00FA789B"/>
    <w:rsid w:val="00FA78B1"/>
    <w:rsid w:val="00FA790E"/>
    <w:rsid w:val="00FA792F"/>
    <w:rsid w:val="00FA7946"/>
    <w:rsid w:val="00FA79BB"/>
    <w:rsid w:val="00FA7A01"/>
    <w:rsid w:val="00FA7A05"/>
    <w:rsid w:val="00FA7A30"/>
    <w:rsid w:val="00FA7A74"/>
    <w:rsid w:val="00FA7A98"/>
    <w:rsid w:val="00FA7AE7"/>
    <w:rsid w:val="00FA7AF6"/>
    <w:rsid w:val="00FA7B53"/>
    <w:rsid w:val="00FA7B7D"/>
    <w:rsid w:val="00FA7BB3"/>
    <w:rsid w:val="00FA7BC9"/>
    <w:rsid w:val="00FA7BCE"/>
    <w:rsid w:val="00FA7C43"/>
    <w:rsid w:val="00FA7CDF"/>
    <w:rsid w:val="00FA7CE9"/>
    <w:rsid w:val="00FA7D86"/>
    <w:rsid w:val="00FA7DB7"/>
    <w:rsid w:val="00FA7E21"/>
    <w:rsid w:val="00FA7E51"/>
    <w:rsid w:val="00FA7EC9"/>
    <w:rsid w:val="00FA7F32"/>
    <w:rsid w:val="00FA7F86"/>
    <w:rsid w:val="00FA7FDD"/>
    <w:rsid w:val="00FB00C8"/>
    <w:rsid w:val="00FB00FF"/>
    <w:rsid w:val="00FB010E"/>
    <w:rsid w:val="00FB0116"/>
    <w:rsid w:val="00FB0171"/>
    <w:rsid w:val="00FB01BB"/>
    <w:rsid w:val="00FB020F"/>
    <w:rsid w:val="00FB022D"/>
    <w:rsid w:val="00FB0248"/>
    <w:rsid w:val="00FB024B"/>
    <w:rsid w:val="00FB0256"/>
    <w:rsid w:val="00FB0287"/>
    <w:rsid w:val="00FB02D2"/>
    <w:rsid w:val="00FB0307"/>
    <w:rsid w:val="00FB0343"/>
    <w:rsid w:val="00FB0345"/>
    <w:rsid w:val="00FB03C0"/>
    <w:rsid w:val="00FB03F6"/>
    <w:rsid w:val="00FB0440"/>
    <w:rsid w:val="00FB0442"/>
    <w:rsid w:val="00FB046A"/>
    <w:rsid w:val="00FB04B3"/>
    <w:rsid w:val="00FB04D9"/>
    <w:rsid w:val="00FB0559"/>
    <w:rsid w:val="00FB0591"/>
    <w:rsid w:val="00FB0598"/>
    <w:rsid w:val="00FB0606"/>
    <w:rsid w:val="00FB063E"/>
    <w:rsid w:val="00FB0642"/>
    <w:rsid w:val="00FB064A"/>
    <w:rsid w:val="00FB0685"/>
    <w:rsid w:val="00FB06A1"/>
    <w:rsid w:val="00FB06C1"/>
    <w:rsid w:val="00FB06C9"/>
    <w:rsid w:val="00FB06EE"/>
    <w:rsid w:val="00FB0718"/>
    <w:rsid w:val="00FB076D"/>
    <w:rsid w:val="00FB08A4"/>
    <w:rsid w:val="00FB08E1"/>
    <w:rsid w:val="00FB0908"/>
    <w:rsid w:val="00FB0949"/>
    <w:rsid w:val="00FB099D"/>
    <w:rsid w:val="00FB0A36"/>
    <w:rsid w:val="00FB0A45"/>
    <w:rsid w:val="00FB0AA5"/>
    <w:rsid w:val="00FB0ACC"/>
    <w:rsid w:val="00FB0B28"/>
    <w:rsid w:val="00FB0B71"/>
    <w:rsid w:val="00FB0B7E"/>
    <w:rsid w:val="00FB0BCE"/>
    <w:rsid w:val="00FB0C51"/>
    <w:rsid w:val="00FB0C91"/>
    <w:rsid w:val="00FB0DD3"/>
    <w:rsid w:val="00FB0E2C"/>
    <w:rsid w:val="00FB0E55"/>
    <w:rsid w:val="00FB0E80"/>
    <w:rsid w:val="00FB0E98"/>
    <w:rsid w:val="00FB0EBB"/>
    <w:rsid w:val="00FB0ED7"/>
    <w:rsid w:val="00FB0EEE"/>
    <w:rsid w:val="00FB0EF7"/>
    <w:rsid w:val="00FB0EFC"/>
    <w:rsid w:val="00FB0FF4"/>
    <w:rsid w:val="00FB0FF6"/>
    <w:rsid w:val="00FB1002"/>
    <w:rsid w:val="00FB1067"/>
    <w:rsid w:val="00FB10E9"/>
    <w:rsid w:val="00FB1122"/>
    <w:rsid w:val="00FB1154"/>
    <w:rsid w:val="00FB116F"/>
    <w:rsid w:val="00FB119F"/>
    <w:rsid w:val="00FB121F"/>
    <w:rsid w:val="00FB122E"/>
    <w:rsid w:val="00FB124D"/>
    <w:rsid w:val="00FB1254"/>
    <w:rsid w:val="00FB1277"/>
    <w:rsid w:val="00FB12CC"/>
    <w:rsid w:val="00FB12DB"/>
    <w:rsid w:val="00FB12FB"/>
    <w:rsid w:val="00FB1324"/>
    <w:rsid w:val="00FB13DE"/>
    <w:rsid w:val="00FB13E2"/>
    <w:rsid w:val="00FB13E3"/>
    <w:rsid w:val="00FB1411"/>
    <w:rsid w:val="00FB1417"/>
    <w:rsid w:val="00FB1418"/>
    <w:rsid w:val="00FB1435"/>
    <w:rsid w:val="00FB14A3"/>
    <w:rsid w:val="00FB153C"/>
    <w:rsid w:val="00FB154E"/>
    <w:rsid w:val="00FB15AD"/>
    <w:rsid w:val="00FB161D"/>
    <w:rsid w:val="00FB1692"/>
    <w:rsid w:val="00FB16C0"/>
    <w:rsid w:val="00FB16DB"/>
    <w:rsid w:val="00FB17BE"/>
    <w:rsid w:val="00FB17D9"/>
    <w:rsid w:val="00FB18AA"/>
    <w:rsid w:val="00FB18AB"/>
    <w:rsid w:val="00FB18E9"/>
    <w:rsid w:val="00FB18FC"/>
    <w:rsid w:val="00FB1940"/>
    <w:rsid w:val="00FB1942"/>
    <w:rsid w:val="00FB1999"/>
    <w:rsid w:val="00FB19B2"/>
    <w:rsid w:val="00FB19C5"/>
    <w:rsid w:val="00FB1A17"/>
    <w:rsid w:val="00FB1A27"/>
    <w:rsid w:val="00FB1A56"/>
    <w:rsid w:val="00FB1AAA"/>
    <w:rsid w:val="00FB1B07"/>
    <w:rsid w:val="00FB1B43"/>
    <w:rsid w:val="00FB1BFD"/>
    <w:rsid w:val="00FB1C25"/>
    <w:rsid w:val="00FB1C9C"/>
    <w:rsid w:val="00FB1D04"/>
    <w:rsid w:val="00FB1D1F"/>
    <w:rsid w:val="00FB1D9D"/>
    <w:rsid w:val="00FB1DDE"/>
    <w:rsid w:val="00FB1E01"/>
    <w:rsid w:val="00FB1E40"/>
    <w:rsid w:val="00FB1E89"/>
    <w:rsid w:val="00FB1E99"/>
    <w:rsid w:val="00FB1EFF"/>
    <w:rsid w:val="00FB1F8C"/>
    <w:rsid w:val="00FB2032"/>
    <w:rsid w:val="00FB205A"/>
    <w:rsid w:val="00FB2061"/>
    <w:rsid w:val="00FB20D4"/>
    <w:rsid w:val="00FB210C"/>
    <w:rsid w:val="00FB211E"/>
    <w:rsid w:val="00FB2162"/>
    <w:rsid w:val="00FB219C"/>
    <w:rsid w:val="00FB2252"/>
    <w:rsid w:val="00FB2315"/>
    <w:rsid w:val="00FB23C7"/>
    <w:rsid w:val="00FB23E6"/>
    <w:rsid w:val="00FB2535"/>
    <w:rsid w:val="00FB2539"/>
    <w:rsid w:val="00FB25BC"/>
    <w:rsid w:val="00FB25E2"/>
    <w:rsid w:val="00FB267C"/>
    <w:rsid w:val="00FB2694"/>
    <w:rsid w:val="00FB26C7"/>
    <w:rsid w:val="00FB2767"/>
    <w:rsid w:val="00FB2812"/>
    <w:rsid w:val="00FB282E"/>
    <w:rsid w:val="00FB286C"/>
    <w:rsid w:val="00FB28A6"/>
    <w:rsid w:val="00FB2936"/>
    <w:rsid w:val="00FB29B7"/>
    <w:rsid w:val="00FB29DB"/>
    <w:rsid w:val="00FB2A24"/>
    <w:rsid w:val="00FB2A4A"/>
    <w:rsid w:val="00FB2B65"/>
    <w:rsid w:val="00FB2C00"/>
    <w:rsid w:val="00FB2C32"/>
    <w:rsid w:val="00FB2D41"/>
    <w:rsid w:val="00FB2DB6"/>
    <w:rsid w:val="00FB2DD1"/>
    <w:rsid w:val="00FB2DEE"/>
    <w:rsid w:val="00FB2DF3"/>
    <w:rsid w:val="00FB2DFD"/>
    <w:rsid w:val="00FB2E6B"/>
    <w:rsid w:val="00FB2ECB"/>
    <w:rsid w:val="00FB2EE5"/>
    <w:rsid w:val="00FB2F0B"/>
    <w:rsid w:val="00FB2F21"/>
    <w:rsid w:val="00FB2F52"/>
    <w:rsid w:val="00FB2F5E"/>
    <w:rsid w:val="00FB2F7D"/>
    <w:rsid w:val="00FB2FB5"/>
    <w:rsid w:val="00FB2FC7"/>
    <w:rsid w:val="00FB3067"/>
    <w:rsid w:val="00FB30C4"/>
    <w:rsid w:val="00FB30F5"/>
    <w:rsid w:val="00FB30FC"/>
    <w:rsid w:val="00FB30FF"/>
    <w:rsid w:val="00FB3123"/>
    <w:rsid w:val="00FB3133"/>
    <w:rsid w:val="00FB3150"/>
    <w:rsid w:val="00FB31E4"/>
    <w:rsid w:val="00FB3205"/>
    <w:rsid w:val="00FB32A4"/>
    <w:rsid w:val="00FB32F2"/>
    <w:rsid w:val="00FB330D"/>
    <w:rsid w:val="00FB33D8"/>
    <w:rsid w:val="00FB3415"/>
    <w:rsid w:val="00FB3470"/>
    <w:rsid w:val="00FB3472"/>
    <w:rsid w:val="00FB34A0"/>
    <w:rsid w:val="00FB350B"/>
    <w:rsid w:val="00FB351A"/>
    <w:rsid w:val="00FB357D"/>
    <w:rsid w:val="00FB36C1"/>
    <w:rsid w:val="00FB36DC"/>
    <w:rsid w:val="00FB36DF"/>
    <w:rsid w:val="00FB36E3"/>
    <w:rsid w:val="00FB377F"/>
    <w:rsid w:val="00FB3795"/>
    <w:rsid w:val="00FB37B6"/>
    <w:rsid w:val="00FB37D0"/>
    <w:rsid w:val="00FB37D9"/>
    <w:rsid w:val="00FB37DB"/>
    <w:rsid w:val="00FB37E7"/>
    <w:rsid w:val="00FB38C1"/>
    <w:rsid w:val="00FB38E4"/>
    <w:rsid w:val="00FB3964"/>
    <w:rsid w:val="00FB39A6"/>
    <w:rsid w:val="00FB39B2"/>
    <w:rsid w:val="00FB39F3"/>
    <w:rsid w:val="00FB3A86"/>
    <w:rsid w:val="00FB3A87"/>
    <w:rsid w:val="00FB3AC5"/>
    <w:rsid w:val="00FB3AD9"/>
    <w:rsid w:val="00FB3AE8"/>
    <w:rsid w:val="00FB3B64"/>
    <w:rsid w:val="00FB3BB0"/>
    <w:rsid w:val="00FB3C29"/>
    <w:rsid w:val="00FB3C2A"/>
    <w:rsid w:val="00FB3C75"/>
    <w:rsid w:val="00FB3CEA"/>
    <w:rsid w:val="00FB3D67"/>
    <w:rsid w:val="00FB3DAC"/>
    <w:rsid w:val="00FB3DD2"/>
    <w:rsid w:val="00FB3DF5"/>
    <w:rsid w:val="00FB3E02"/>
    <w:rsid w:val="00FB3E20"/>
    <w:rsid w:val="00FB3E40"/>
    <w:rsid w:val="00FB3E9B"/>
    <w:rsid w:val="00FB3EBF"/>
    <w:rsid w:val="00FB3F09"/>
    <w:rsid w:val="00FB3F55"/>
    <w:rsid w:val="00FB3FD9"/>
    <w:rsid w:val="00FB3FFD"/>
    <w:rsid w:val="00FB4037"/>
    <w:rsid w:val="00FB40BC"/>
    <w:rsid w:val="00FB411A"/>
    <w:rsid w:val="00FB413D"/>
    <w:rsid w:val="00FB417A"/>
    <w:rsid w:val="00FB4190"/>
    <w:rsid w:val="00FB41A6"/>
    <w:rsid w:val="00FB4248"/>
    <w:rsid w:val="00FB425C"/>
    <w:rsid w:val="00FB4295"/>
    <w:rsid w:val="00FB42C6"/>
    <w:rsid w:val="00FB4317"/>
    <w:rsid w:val="00FB43EC"/>
    <w:rsid w:val="00FB43F7"/>
    <w:rsid w:val="00FB441E"/>
    <w:rsid w:val="00FB4451"/>
    <w:rsid w:val="00FB44CF"/>
    <w:rsid w:val="00FB44E3"/>
    <w:rsid w:val="00FB4511"/>
    <w:rsid w:val="00FB4520"/>
    <w:rsid w:val="00FB4540"/>
    <w:rsid w:val="00FB465F"/>
    <w:rsid w:val="00FB46EA"/>
    <w:rsid w:val="00FB4705"/>
    <w:rsid w:val="00FB470C"/>
    <w:rsid w:val="00FB4713"/>
    <w:rsid w:val="00FB4714"/>
    <w:rsid w:val="00FB4752"/>
    <w:rsid w:val="00FB4762"/>
    <w:rsid w:val="00FB47BB"/>
    <w:rsid w:val="00FB47D1"/>
    <w:rsid w:val="00FB47F5"/>
    <w:rsid w:val="00FB4816"/>
    <w:rsid w:val="00FB4879"/>
    <w:rsid w:val="00FB48C6"/>
    <w:rsid w:val="00FB4980"/>
    <w:rsid w:val="00FB4988"/>
    <w:rsid w:val="00FB49A8"/>
    <w:rsid w:val="00FB49B2"/>
    <w:rsid w:val="00FB49E9"/>
    <w:rsid w:val="00FB4A3E"/>
    <w:rsid w:val="00FB4AEB"/>
    <w:rsid w:val="00FB4AEE"/>
    <w:rsid w:val="00FB4BDA"/>
    <w:rsid w:val="00FB4BE0"/>
    <w:rsid w:val="00FB4C54"/>
    <w:rsid w:val="00FB4C72"/>
    <w:rsid w:val="00FB4C97"/>
    <w:rsid w:val="00FB4CBE"/>
    <w:rsid w:val="00FB4DEC"/>
    <w:rsid w:val="00FB4E6F"/>
    <w:rsid w:val="00FB4EFF"/>
    <w:rsid w:val="00FB4F28"/>
    <w:rsid w:val="00FB4F29"/>
    <w:rsid w:val="00FB4F7E"/>
    <w:rsid w:val="00FB4F80"/>
    <w:rsid w:val="00FB50FC"/>
    <w:rsid w:val="00FB5132"/>
    <w:rsid w:val="00FB5170"/>
    <w:rsid w:val="00FB52EF"/>
    <w:rsid w:val="00FB5305"/>
    <w:rsid w:val="00FB5368"/>
    <w:rsid w:val="00FB537E"/>
    <w:rsid w:val="00FB538F"/>
    <w:rsid w:val="00FB5393"/>
    <w:rsid w:val="00FB5410"/>
    <w:rsid w:val="00FB5469"/>
    <w:rsid w:val="00FB5489"/>
    <w:rsid w:val="00FB54AB"/>
    <w:rsid w:val="00FB551E"/>
    <w:rsid w:val="00FB5542"/>
    <w:rsid w:val="00FB56B2"/>
    <w:rsid w:val="00FB5767"/>
    <w:rsid w:val="00FB57E3"/>
    <w:rsid w:val="00FB5883"/>
    <w:rsid w:val="00FB588E"/>
    <w:rsid w:val="00FB58B4"/>
    <w:rsid w:val="00FB58B5"/>
    <w:rsid w:val="00FB58C2"/>
    <w:rsid w:val="00FB58C7"/>
    <w:rsid w:val="00FB58D0"/>
    <w:rsid w:val="00FB5955"/>
    <w:rsid w:val="00FB598B"/>
    <w:rsid w:val="00FB5998"/>
    <w:rsid w:val="00FB59F1"/>
    <w:rsid w:val="00FB5A17"/>
    <w:rsid w:val="00FB5A5E"/>
    <w:rsid w:val="00FB5A74"/>
    <w:rsid w:val="00FB5AA5"/>
    <w:rsid w:val="00FB5ADA"/>
    <w:rsid w:val="00FB5CC4"/>
    <w:rsid w:val="00FB5CC9"/>
    <w:rsid w:val="00FB5CCA"/>
    <w:rsid w:val="00FB5D7D"/>
    <w:rsid w:val="00FB5D9C"/>
    <w:rsid w:val="00FB5DD8"/>
    <w:rsid w:val="00FB5DF2"/>
    <w:rsid w:val="00FB5E32"/>
    <w:rsid w:val="00FB5F19"/>
    <w:rsid w:val="00FB5F92"/>
    <w:rsid w:val="00FB5FB6"/>
    <w:rsid w:val="00FB5FF8"/>
    <w:rsid w:val="00FB5FFC"/>
    <w:rsid w:val="00FB60C6"/>
    <w:rsid w:val="00FB60D2"/>
    <w:rsid w:val="00FB6113"/>
    <w:rsid w:val="00FB6116"/>
    <w:rsid w:val="00FB6155"/>
    <w:rsid w:val="00FB6165"/>
    <w:rsid w:val="00FB6178"/>
    <w:rsid w:val="00FB6199"/>
    <w:rsid w:val="00FB61BF"/>
    <w:rsid w:val="00FB6209"/>
    <w:rsid w:val="00FB621A"/>
    <w:rsid w:val="00FB627D"/>
    <w:rsid w:val="00FB62DE"/>
    <w:rsid w:val="00FB6340"/>
    <w:rsid w:val="00FB637B"/>
    <w:rsid w:val="00FB637C"/>
    <w:rsid w:val="00FB639C"/>
    <w:rsid w:val="00FB63AF"/>
    <w:rsid w:val="00FB63FD"/>
    <w:rsid w:val="00FB6495"/>
    <w:rsid w:val="00FB64DE"/>
    <w:rsid w:val="00FB6540"/>
    <w:rsid w:val="00FB657C"/>
    <w:rsid w:val="00FB65F7"/>
    <w:rsid w:val="00FB6602"/>
    <w:rsid w:val="00FB661C"/>
    <w:rsid w:val="00FB6646"/>
    <w:rsid w:val="00FB66F2"/>
    <w:rsid w:val="00FB6730"/>
    <w:rsid w:val="00FB674C"/>
    <w:rsid w:val="00FB6813"/>
    <w:rsid w:val="00FB6838"/>
    <w:rsid w:val="00FB688D"/>
    <w:rsid w:val="00FB68BC"/>
    <w:rsid w:val="00FB6942"/>
    <w:rsid w:val="00FB698C"/>
    <w:rsid w:val="00FB69CD"/>
    <w:rsid w:val="00FB6A11"/>
    <w:rsid w:val="00FB6A2F"/>
    <w:rsid w:val="00FB6A7A"/>
    <w:rsid w:val="00FB6A9E"/>
    <w:rsid w:val="00FB6AA5"/>
    <w:rsid w:val="00FB6AD7"/>
    <w:rsid w:val="00FB6B1B"/>
    <w:rsid w:val="00FB6B8F"/>
    <w:rsid w:val="00FB6BD2"/>
    <w:rsid w:val="00FB6C53"/>
    <w:rsid w:val="00FB6C7B"/>
    <w:rsid w:val="00FB6C81"/>
    <w:rsid w:val="00FB6D33"/>
    <w:rsid w:val="00FB6D52"/>
    <w:rsid w:val="00FB6DB1"/>
    <w:rsid w:val="00FB6EA9"/>
    <w:rsid w:val="00FB6EF0"/>
    <w:rsid w:val="00FB6F06"/>
    <w:rsid w:val="00FB6F44"/>
    <w:rsid w:val="00FB6F4F"/>
    <w:rsid w:val="00FB6F96"/>
    <w:rsid w:val="00FB6FA9"/>
    <w:rsid w:val="00FB6FF0"/>
    <w:rsid w:val="00FB707F"/>
    <w:rsid w:val="00FB70E7"/>
    <w:rsid w:val="00FB714A"/>
    <w:rsid w:val="00FB7223"/>
    <w:rsid w:val="00FB7264"/>
    <w:rsid w:val="00FB72C3"/>
    <w:rsid w:val="00FB7341"/>
    <w:rsid w:val="00FB7465"/>
    <w:rsid w:val="00FB7472"/>
    <w:rsid w:val="00FB74EB"/>
    <w:rsid w:val="00FB74EC"/>
    <w:rsid w:val="00FB75A1"/>
    <w:rsid w:val="00FB75B0"/>
    <w:rsid w:val="00FB75E4"/>
    <w:rsid w:val="00FB75FE"/>
    <w:rsid w:val="00FB764D"/>
    <w:rsid w:val="00FB76AE"/>
    <w:rsid w:val="00FB76CB"/>
    <w:rsid w:val="00FB76E4"/>
    <w:rsid w:val="00FB773E"/>
    <w:rsid w:val="00FB779F"/>
    <w:rsid w:val="00FB7847"/>
    <w:rsid w:val="00FB788B"/>
    <w:rsid w:val="00FB78EA"/>
    <w:rsid w:val="00FB7982"/>
    <w:rsid w:val="00FB7A45"/>
    <w:rsid w:val="00FB7A59"/>
    <w:rsid w:val="00FB7A76"/>
    <w:rsid w:val="00FB7A8D"/>
    <w:rsid w:val="00FB7A97"/>
    <w:rsid w:val="00FB7ABB"/>
    <w:rsid w:val="00FB7AC9"/>
    <w:rsid w:val="00FB7AE3"/>
    <w:rsid w:val="00FB7B21"/>
    <w:rsid w:val="00FB7C32"/>
    <w:rsid w:val="00FB7CD2"/>
    <w:rsid w:val="00FB7D11"/>
    <w:rsid w:val="00FB7D8F"/>
    <w:rsid w:val="00FB7DC5"/>
    <w:rsid w:val="00FB7DCC"/>
    <w:rsid w:val="00FB7E6D"/>
    <w:rsid w:val="00FB7E79"/>
    <w:rsid w:val="00FB7EC8"/>
    <w:rsid w:val="00FB7F27"/>
    <w:rsid w:val="00FB7FBC"/>
    <w:rsid w:val="00FC0066"/>
    <w:rsid w:val="00FC0127"/>
    <w:rsid w:val="00FC0154"/>
    <w:rsid w:val="00FC0157"/>
    <w:rsid w:val="00FC0229"/>
    <w:rsid w:val="00FC022E"/>
    <w:rsid w:val="00FC023C"/>
    <w:rsid w:val="00FC0298"/>
    <w:rsid w:val="00FC029C"/>
    <w:rsid w:val="00FC02A4"/>
    <w:rsid w:val="00FC0327"/>
    <w:rsid w:val="00FC0334"/>
    <w:rsid w:val="00FC0403"/>
    <w:rsid w:val="00FC0443"/>
    <w:rsid w:val="00FC0450"/>
    <w:rsid w:val="00FC04B4"/>
    <w:rsid w:val="00FC055B"/>
    <w:rsid w:val="00FC0569"/>
    <w:rsid w:val="00FC05BB"/>
    <w:rsid w:val="00FC0647"/>
    <w:rsid w:val="00FC067F"/>
    <w:rsid w:val="00FC06F0"/>
    <w:rsid w:val="00FC0731"/>
    <w:rsid w:val="00FC086B"/>
    <w:rsid w:val="00FC0872"/>
    <w:rsid w:val="00FC091E"/>
    <w:rsid w:val="00FC0939"/>
    <w:rsid w:val="00FC093D"/>
    <w:rsid w:val="00FC0955"/>
    <w:rsid w:val="00FC0AC8"/>
    <w:rsid w:val="00FC0ACD"/>
    <w:rsid w:val="00FC0AE6"/>
    <w:rsid w:val="00FC0B34"/>
    <w:rsid w:val="00FC0B81"/>
    <w:rsid w:val="00FC0B8E"/>
    <w:rsid w:val="00FC0BA7"/>
    <w:rsid w:val="00FC0C12"/>
    <w:rsid w:val="00FC0C25"/>
    <w:rsid w:val="00FC0CAE"/>
    <w:rsid w:val="00FC0D1A"/>
    <w:rsid w:val="00FC0D60"/>
    <w:rsid w:val="00FC0E02"/>
    <w:rsid w:val="00FC0E76"/>
    <w:rsid w:val="00FC0EB1"/>
    <w:rsid w:val="00FC0F3A"/>
    <w:rsid w:val="00FC0FDA"/>
    <w:rsid w:val="00FC1048"/>
    <w:rsid w:val="00FC110E"/>
    <w:rsid w:val="00FC1152"/>
    <w:rsid w:val="00FC117D"/>
    <w:rsid w:val="00FC118B"/>
    <w:rsid w:val="00FC11C8"/>
    <w:rsid w:val="00FC11E4"/>
    <w:rsid w:val="00FC1202"/>
    <w:rsid w:val="00FC1214"/>
    <w:rsid w:val="00FC12D9"/>
    <w:rsid w:val="00FC1344"/>
    <w:rsid w:val="00FC1375"/>
    <w:rsid w:val="00FC1390"/>
    <w:rsid w:val="00FC140A"/>
    <w:rsid w:val="00FC1487"/>
    <w:rsid w:val="00FC148B"/>
    <w:rsid w:val="00FC14E4"/>
    <w:rsid w:val="00FC151A"/>
    <w:rsid w:val="00FC15B0"/>
    <w:rsid w:val="00FC15D8"/>
    <w:rsid w:val="00FC1633"/>
    <w:rsid w:val="00FC1648"/>
    <w:rsid w:val="00FC16B5"/>
    <w:rsid w:val="00FC16CB"/>
    <w:rsid w:val="00FC171E"/>
    <w:rsid w:val="00FC17DB"/>
    <w:rsid w:val="00FC1899"/>
    <w:rsid w:val="00FC18DB"/>
    <w:rsid w:val="00FC192B"/>
    <w:rsid w:val="00FC1954"/>
    <w:rsid w:val="00FC1956"/>
    <w:rsid w:val="00FC19AA"/>
    <w:rsid w:val="00FC19C8"/>
    <w:rsid w:val="00FC1A2A"/>
    <w:rsid w:val="00FC1A34"/>
    <w:rsid w:val="00FC1ABF"/>
    <w:rsid w:val="00FC1B2E"/>
    <w:rsid w:val="00FC1B79"/>
    <w:rsid w:val="00FC1B7D"/>
    <w:rsid w:val="00FC1C03"/>
    <w:rsid w:val="00FC1C99"/>
    <w:rsid w:val="00FC1D30"/>
    <w:rsid w:val="00FC1D3A"/>
    <w:rsid w:val="00FC1D47"/>
    <w:rsid w:val="00FC1D7C"/>
    <w:rsid w:val="00FC1D99"/>
    <w:rsid w:val="00FC1E1A"/>
    <w:rsid w:val="00FC1E79"/>
    <w:rsid w:val="00FC1E85"/>
    <w:rsid w:val="00FC1E99"/>
    <w:rsid w:val="00FC1FC9"/>
    <w:rsid w:val="00FC2024"/>
    <w:rsid w:val="00FC2236"/>
    <w:rsid w:val="00FC2249"/>
    <w:rsid w:val="00FC229E"/>
    <w:rsid w:val="00FC231A"/>
    <w:rsid w:val="00FC2329"/>
    <w:rsid w:val="00FC233A"/>
    <w:rsid w:val="00FC23A6"/>
    <w:rsid w:val="00FC23D9"/>
    <w:rsid w:val="00FC2410"/>
    <w:rsid w:val="00FC2423"/>
    <w:rsid w:val="00FC247D"/>
    <w:rsid w:val="00FC2545"/>
    <w:rsid w:val="00FC255B"/>
    <w:rsid w:val="00FC2615"/>
    <w:rsid w:val="00FC2650"/>
    <w:rsid w:val="00FC2708"/>
    <w:rsid w:val="00FC270E"/>
    <w:rsid w:val="00FC2783"/>
    <w:rsid w:val="00FC27E9"/>
    <w:rsid w:val="00FC28DE"/>
    <w:rsid w:val="00FC29AA"/>
    <w:rsid w:val="00FC2A46"/>
    <w:rsid w:val="00FC2AC8"/>
    <w:rsid w:val="00FC2AE9"/>
    <w:rsid w:val="00FC2AFA"/>
    <w:rsid w:val="00FC2B1A"/>
    <w:rsid w:val="00FC2BB0"/>
    <w:rsid w:val="00FC2BC2"/>
    <w:rsid w:val="00FC2C2B"/>
    <w:rsid w:val="00FC2C41"/>
    <w:rsid w:val="00FC2C65"/>
    <w:rsid w:val="00FC2C77"/>
    <w:rsid w:val="00FC2C78"/>
    <w:rsid w:val="00FC2CA4"/>
    <w:rsid w:val="00FC2CD0"/>
    <w:rsid w:val="00FC2CE7"/>
    <w:rsid w:val="00FC2CED"/>
    <w:rsid w:val="00FC2D1A"/>
    <w:rsid w:val="00FC2D37"/>
    <w:rsid w:val="00FC2D58"/>
    <w:rsid w:val="00FC2DD2"/>
    <w:rsid w:val="00FC2DEF"/>
    <w:rsid w:val="00FC2DFA"/>
    <w:rsid w:val="00FC2E41"/>
    <w:rsid w:val="00FC2E8B"/>
    <w:rsid w:val="00FC2E8C"/>
    <w:rsid w:val="00FC2EE6"/>
    <w:rsid w:val="00FC2EF4"/>
    <w:rsid w:val="00FC2F57"/>
    <w:rsid w:val="00FC2FBB"/>
    <w:rsid w:val="00FC2FC1"/>
    <w:rsid w:val="00FC2FC2"/>
    <w:rsid w:val="00FC305B"/>
    <w:rsid w:val="00FC3075"/>
    <w:rsid w:val="00FC3089"/>
    <w:rsid w:val="00FC30E5"/>
    <w:rsid w:val="00FC30F8"/>
    <w:rsid w:val="00FC31BA"/>
    <w:rsid w:val="00FC31CF"/>
    <w:rsid w:val="00FC322C"/>
    <w:rsid w:val="00FC3241"/>
    <w:rsid w:val="00FC3312"/>
    <w:rsid w:val="00FC333F"/>
    <w:rsid w:val="00FC335E"/>
    <w:rsid w:val="00FC3381"/>
    <w:rsid w:val="00FC33BA"/>
    <w:rsid w:val="00FC33F2"/>
    <w:rsid w:val="00FC3415"/>
    <w:rsid w:val="00FC3421"/>
    <w:rsid w:val="00FC342A"/>
    <w:rsid w:val="00FC3461"/>
    <w:rsid w:val="00FC34F1"/>
    <w:rsid w:val="00FC3536"/>
    <w:rsid w:val="00FC353A"/>
    <w:rsid w:val="00FC35E2"/>
    <w:rsid w:val="00FC35E7"/>
    <w:rsid w:val="00FC3699"/>
    <w:rsid w:val="00FC36E4"/>
    <w:rsid w:val="00FC370F"/>
    <w:rsid w:val="00FC3733"/>
    <w:rsid w:val="00FC3744"/>
    <w:rsid w:val="00FC379D"/>
    <w:rsid w:val="00FC3803"/>
    <w:rsid w:val="00FC381C"/>
    <w:rsid w:val="00FC3827"/>
    <w:rsid w:val="00FC3860"/>
    <w:rsid w:val="00FC3871"/>
    <w:rsid w:val="00FC387D"/>
    <w:rsid w:val="00FC38AE"/>
    <w:rsid w:val="00FC38C7"/>
    <w:rsid w:val="00FC38EC"/>
    <w:rsid w:val="00FC3938"/>
    <w:rsid w:val="00FC3A03"/>
    <w:rsid w:val="00FC3A34"/>
    <w:rsid w:val="00FC3AA3"/>
    <w:rsid w:val="00FC3AB4"/>
    <w:rsid w:val="00FC3ACB"/>
    <w:rsid w:val="00FC3AD9"/>
    <w:rsid w:val="00FC3AF3"/>
    <w:rsid w:val="00FC3B1F"/>
    <w:rsid w:val="00FC3BB6"/>
    <w:rsid w:val="00FC3BBA"/>
    <w:rsid w:val="00FC3C45"/>
    <w:rsid w:val="00FC3C62"/>
    <w:rsid w:val="00FC3C64"/>
    <w:rsid w:val="00FC3C8A"/>
    <w:rsid w:val="00FC3CEA"/>
    <w:rsid w:val="00FC3D02"/>
    <w:rsid w:val="00FC3D12"/>
    <w:rsid w:val="00FC3D49"/>
    <w:rsid w:val="00FC3DD7"/>
    <w:rsid w:val="00FC3DEC"/>
    <w:rsid w:val="00FC3DFE"/>
    <w:rsid w:val="00FC3E62"/>
    <w:rsid w:val="00FC3F49"/>
    <w:rsid w:val="00FC3F50"/>
    <w:rsid w:val="00FC3F70"/>
    <w:rsid w:val="00FC4013"/>
    <w:rsid w:val="00FC4045"/>
    <w:rsid w:val="00FC4064"/>
    <w:rsid w:val="00FC406E"/>
    <w:rsid w:val="00FC4087"/>
    <w:rsid w:val="00FC40BA"/>
    <w:rsid w:val="00FC4107"/>
    <w:rsid w:val="00FC4148"/>
    <w:rsid w:val="00FC4150"/>
    <w:rsid w:val="00FC41F5"/>
    <w:rsid w:val="00FC4213"/>
    <w:rsid w:val="00FC428D"/>
    <w:rsid w:val="00FC429F"/>
    <w:rsid w:val="00FC42C5"/>
    <w:rsid w:val="00FC42FF"/>
    <w:rsid w:val="00FC4303"/>
    <w:rsid w:val="00FC4309"/>
    <w:rsid w:val="00FC4331"/>
    <w:rsid w:val="00FC4361"/>
    <w:rsid w:val="00FC43CB"/>
    <w:rsid w:val="00FC43DC"/>
    <w:rsid w:val="00FC443D"/>
    <w:rsid w:val="00FC4467"/>
    <w:rsid w:val="00FC4498"/>
    <w:rsid w:val="00FC45BE"/>
    <w:rsid w:val="00FC4619"/>
    <w:rsid w:val="00FC462C"/>
    <w:rsid w:val="00FC46C7"/>
    <w:rsid w:val="00FC46CA"/>
    <w:rsid w:val="00FC475C"/>
    <w:rsid w:val="00FC4797"/>
    <w:rsid w:val="00FC47A4"/>
    <w:rsid w:val="00FC47EA"/>
    <w:rsid w:val="00FC483D"/>
    <w:rsid w:val="00FC4848"/>
    <w:rsid w:val="00FC489B"/>
    <w:rsid w:val="00FC48C5"/>
    <w:rsid w:val="00FC48F9"/>
    <w:rsid w:val="00FC494F"/>
    <w:rsid w:val="00FC496E"/>
    <w:rsid w:val="00FC4992"/>
    <w:rsid w:val="00FC4994"/>
    <w:rsid w:val="00FC4B36"/>
    <w:rsid w:val="00FC4B82"/>
    <w:rsid w:val="00FC4BD1"/>
    <w:rsid w:val="00FC4BF8"/>
    <w:rsid w:val="00FC4C05"/>
    <w:rsid w:val="00FC4C5C"/>
    <w:rsid w:val="00FC4C6B"/>
    <w:rsid w:val="00FC4D2D"/>
    <w:rsid w:val="00FC4D69"/>
    <w:rsid w:val="00FC4DA4"/>
    <w:rsid w:val="00FC4DDC"/>
    <w:rsid w:val="00FC4DDD"/>
    <w:rsid w:val="00FC4E53"/>
    <w:rsid w:val="00FC4E67"/>
    <w:rsid w:val="00FC4E87"/>
    <w:rsid w:val="00FC4E89"/>
    <w:rsid w:val="00FC4F71"/>
    <w:rsid w:val="00FC4FC5"/>
    <w:rsid w:val="00FC4FF5"/>
    <w:rsid w:val="00FC5012"/>
    <w:rsid w:val="00FC5099"/>
    <w:rsid w:val="00FC50A4"/>
    <w:rsid w:val="00FC513D"/>
    <w:rsid w:val="00FC5152"/>
    <w:rsid w:val="00FC51B0"/>
    <w:rsid w:val="00FC51F4"/>
    <w:rsid w:val="00FC5206"/>
    <w:rsid w:val="00FC522B"/>
    <w:rsid w:val="00FC522C"/>
    <w:rsid w:val="00FC524C"/>
    <w:rsid w:val="00FC52A2"/>
    <w:rsid w:val="00FC52B8"/>
    <w:rsid w:val="00FC52BF"/>
    <w:rsid w:val="00FC5318"/>
    <w:rsid w:val="00FC5329"/>
    <w:rsid w:val="00FC532C"/>
    <w:rsid w:val="00FC5379"/>
    <w:rsid w:val="00FC539C"/>
    <w:rsid w:val="00FC53EB"/>
    <w:rsid w:val="00FC5406"/>
    <w:rsid w:val="00FC5487"/>
    <w:rsid w:val="00FC5579"/>
    <w:rsid w:val="00FC5581"/>
    <w:rsid w:val="00FC55A8"/>
    <w:rsid w:val="00FC55F2"/>
    <w:rsid w:val="00FC5671"/>
    <w:rsid w:val="00FC56AD"/>
    <w:rsid w:val="00FC56AE"/>
    <w:rsid w:val="00FC56CD"/>
    <w:rsid w:val="00FC56E2"/>
    <w:rsid w:val="00FC56E6"/>
    <w:rsid w:val="00FC5762"/>
    <w:rsid w:val="00FC5783"/>
    <w:rsid w:val="00FC57A9"/>
    <w:rsid w:val="00FC5822"/>
    <w:rsid w:val="00FC58BC"/>
    <w:rsid w:val="00FC58EE"/>
    <w:rsid w:val="00FC5907"/>
    <w:rsid w:val="00FC593F"/>
    <w:rsid w:val="00FC59C9"/>
    <w:rsid w:val="00FC5A17"/>
    <w:rsid w:val="00FC5A26"/>
    <w:rsid w:val="00FC5A8D"/>
    <w:rsid w:val="00FC5AE4"/>
    <w:rsid w:val="00FC5B13"/>
    <w:rsid w:val="00FC5B7F"/>
    <w:rsid w:val="00FC5BE5"/>
    <w:rsid w:val="00FC5BFB"/>
    <w:rsid w:val="00FC5C05"/>
    <w:rsid w:val="00FC5C4A"/>
    <w:rsid w:val="00FC5C83"/>
    <w:rsid w:val="00FC5D5B"/>
    <w:rsid w:val="00FC5E28"/>
    <w:rsid w:val="00FC5E3E"/>
    <w:rsid w:val="00FC5E60"/>
    <w:rsid w:val="00FC5EEA"/>
    <w:rsid w:val="00FC5F09"/>
    <w:rsid w:val="00FC5F47"/>
    <w:rsid w:val="00FC5F7A"/>
    <w:rsid w:val="00FC5F85"/>
    <w:rsid w:val="00FC5FD4"/>
    <w:rsid w:val="00FC602D"/>
    <w:rsid w:val="00FC6052"/>
    <w:rsid w:val="00FC6067"/>
    <w:rsid w:val="00FC6089"/>
    <w:rsid w:val="00FC6121"/>
    <w:rsid w:val="00FC61E9"/>
    <w:rsid w:val="00FC6269"/>
    <w:rsid w:val="00FC628E"/>
    <w:rsid w:val="00FC630F"/>
    <w:rsid w:val="00FC6358"/>
    <w:rsid w:val="00FC6390"/>
    <w:rsid w:val="00FC63F8"/>
    <w:rsid w:val="00FC64B3"/>
    <w:rsid w:val="00FC64C0"/>
    <w:rsid w:val="00FC64F4"/>
    <w:rsid w:val="00FC65C2"/>
    <w:rsid w:val="00FC65F0"/>
    <w:rsid w:val="00FC66BA"/>
    <w:rsid w:val="00FC66F9"/>
    <w:rsid w:val="00FC6744"/>
    <w:rsid w:val="00FC681F"/>
    <w:rsid w:val="00FC68D3"/>
    <w:rsid w:val="00FC6968"/>
    <w:rsid w:val="00FC6971"/>
    <w:rsid w:val="00FC69AF"/>
    <w:rsid w:val="00FC69B1"/>
    <w:rsid w:val="00FC6A91"/>
    <w:rsid w:val="00FC6ADA"/>
    <w:rsid w:val="00FC6B3C"/>
    <w:rsid w:val="00FC6B77"/>
    <w:rsid w:val="00FC6B89"/>
    <w:rsid w:val="00FC6BA7"/>
    <w:rsid w:val="00FC6BCD"/>
    <w:rsid w:val="00FC6C25"/>
    <w:rsid w:val="00FC6C2A"/>
    <w:rsid w:val="00FC6D02"/>
    <w:rsid w:val="00FC6D23"/>
    <w:rsid w:val="00FC6D3A"/>
    <w:rsid w:val="00FC6D5D"/>
    <w:rsid w:val="00FC6E19"/>
    <w:rsid w:val="00FC6E2E"/>
    <w:rsid w:val="00FC6E36"/>
    <w:rsid w:val="00FC6EA0"/>
    <w:rsid w:val="00FC6EE1"/>
    <w:rsid w:val="00FC6F0D"/>
    <w:rsid w:val="00FC6FAB"/>
    <w:rsid w:val="00FC6FAE"/>
    <w:rsid w:val="00FC6FB4"/>
    <w:rsid w:val="00FC7009"/>
    <w:rsid w:val="00FC701F"/>
    <w:rsid w:val="00FC7066"/>
    <w:rsid w:val="00FC70D1"/>
    <w:rsid w:val="00FC714D"/>
    <w:rsid w:val="00FC7150"/>
    <w:rsid w:val="00FC7161"/>
    <w:rsid w:val="00FC7200"/>
    <w:rsid w:val="00FC726C"/>
    <w:rsid w:val="00FC7277"/>
    <w:rsid w:val="00FC72AA"/>
    <w:rsid w:val="00FC72F2"/>
    <w:rsid w:val="00FC7305"/>
    <w:rsid w:val="00FC731C"/>
    <w:rsid w:val="00FC7323"/>
    <w:rsid w:val="00FC736E"/>
    <w:rsid w:val="00FC73B0"/>
    <w:rsid w:val="00FC73B9"/>
    <w:rsid w:val="00FC73FF"/>
    <w:rsid w:val="00FC7409"/>
    <w:rsid w:val="00FC7428"/>
    <w:rsid w:val="00FC7433"/>
    <w:rsid w:val="00FC747A"/>
    <w:rsid w:val="00FC74D4"/>
    <w:rsid w:val="00FC7505"/>
    <w:rsid w:val="00FC752C"/>
    <w:rsid w:val="00FC7553"/>
    <w:rsid w:val="00FC75C4"/>
    <w:rsid w:val="00FC7695"/>
    <w:rsid w:val="00FC76EA"/>
    <w:rsid w:val="00FC76FB"/>
    <w:rsid w:val="00FC772C"/>
    <w:rsid w:val="00FC7797"/>
    <w:rsid w:val="00FC77D5"/>
    <w:rsid w:val="00FC78B0"/>
    <w:rsid w:val="00FC78CC"/>
    <w:rsid w:val="00FC78E5"/>
    <w:rsid w:val="00FC78FA"/>
    <w:rsid w:val="00FC7924"/>
    <w:rsid w:val="00FC796A"/>
    <w:rsid w:val="00FC7A92"/>
    <w:rsid w:val="00FC7AD8"/>
    <w:rsid w:val="00FC7AF0"/>
    <w:rsid w:val="00FC7B4F"/>
    <w:rsid w:val="00FC7B79"/>
    <w:rsid w:val="00FC7B7A"/>
    <w:rsid w:val="00FC7BF3"/>
    <w:rsid w:val="00FC7C14"/>
    <w:rsid w:val="00FC7C35"/>
    <w:rsid w:val="00FC7C6C"/>
    <w:rsid w:val="00FC7C9C"/>
    <w:rsid w:val="00FC7D54"/>
    <w:rsid w:val="00FC7D7D"/>
    <w:rsid w:val="00FC7DA0"/>
    <w:rsid w:val="00FC7E8D"/>
    <w:rsid w:val="00FC7EA2"/>
    <w:rsid w:val="00FC7F63"/>
    <w:rsid w:val="00FD000F"/>
    <w:rsid w:val="00FD007C"/>
    <w:rsid w:val="00FD00D4"/>
    <w:rsid w:val="00FD00F7"/>
    <w:rsid w:val="00FD0112"/>
    <w:rsid w:val="00FD0144"/>
    <w:rsid w:val="00FD0150"/>
    <w:rsid w:val="00FD016E"/>
    <w:rsid w:val="00FD0187"/>
    <w:rsid w:val="00FD019A"/>
    <w:rsid w:val="00FD01B9"/>
    <w:rsid w:val="00FD01EC"/>
    <w:rsid w:val="00FD01F0"/>
    <w:rsid w:val="00FD0220"/>
    <w:rsid w:val="00FD022C"/>
    <w:rsid w:val="00FD0237"/>
    <w:rsid w:val="00FD0249"/>
    <w:rsid w:val="00FD0295"/>
    <w:rsid w:val="00FD0300"/>
    <w:rsid w:val="00FD0309"/>
    <w:rsid w:val="00FD0316"/>
    <w:rsid w:val="00FD0327"/>
    <w:rsid w:val="00FD0335"/>
    <w:rsid w:val="00FD0359"/>
    <w:rsid w:val="00FD03DE"/>
    <w:rsid w:val="00FD0423"/>
    <w:rsid w:val="00FD04A3"/>
    <w:rsid w:val="00FD04BD"/>
    <w:rsid w:val="00FD04F0"/>
    <w:rsid w:val="00FD05A2"/>
    <w:rsid w:val="00FD05A7"/>
    <w:rsid w:val="00FD05E9"/>
    <w:rsid w:val="00FD05F8"/>
    <w:rsid w:val="00FD06B2"/>
    <w:rsid w:val="00FD06E0"/>
    <w:rsid w:val="00FD0731"/>
    <w:rsid w:val="00FD07BD"/>
    <w:rsid w:val="00FD0828"/>
    <w:rsid w:val="00FD0854"/>
    <w:rsid w:val="00FD08B0"/>
    <w:rsid w:val="00FD08F2"/>
    <w:rsid w:val="00FD0910"/>
    <w:rsid w:val="00FD09B2"/>
    <w:rsid w:val="00FD09BC"/>
    <w:rsid w:val="00FD09D4"/>
    <w:rsid w:val="00FD0A1C"/>
    <w:rsid w:val="00FD0B6F"/>
    <w:rsid w:val="00FD0B76"/>
    <w:rsid w:val="00FD0BD5"/>
    <w:rsid w:val="00FD0C31"/>
    <w:rsid w:val="00FD0C3F"/>
    <w:rsid w:val="00FD0C6D"/>
    <w:rsid w:val="00FD0C86"/>
    <w:rsid w:val="00FD0CE5"/>
    <w:rsid w:val="00FD0D3C"/>
    <w:rsid w:val="00FD0DAF"/>
    <w:rsid w:val="00FD0DCF"/>
    <w:rsid w:val="00FD0E20"/>
    <w:rsid w:val="00FD0E24"/>
    <w:rsid w:val="00FD0E4F"/>
    <w:rsid w:val="00FD0E7A"/>
    <w:rsid w:val="00FD0ED2"/>
    <w:rsid w:val="00FD0EDC"/>
    <w:rsid w:val="00FD0EF5"/>
    <w:rsid w:val="00FD0F1B"/>
    <w:rsid w:val="00FD0F4C"/>
    <w:rsid w:val="00FD0F87"/>
    <w:rsid w:val="00FD0FAC"/>
    <w:rsid w:val="00FD0FB4"/>
    <w:rsid w:val="00FD1073"/>
    <w:rsid w:val="00FD109E"/>
    <w:rsid w:val="00FD10CD"/>
    <w:rsid w:val="00FD10ED"/>
    <w:rsid w:val="00FD1120"/>
    <w:rsid w:val="00FD1157"/>
    <w:rsid w:val="00FD119C"/>
    <w:rsid w:val="00FD1254"/>
    <w:rsid w:val="00FD1274"/>
    <w:rsid w:val="00FD12FE"/>
    <w:rsid w:val="00FD130E"/>
    <w:rsid w:val="00FD1351"/>
    <w:rsid w:val="00FD139B"/>
    <w:rsid w:val="00FD13B6"/>
    <w:rsid w:val="00FD1404"/>
    <w:rsid w:val="00FD144D"/>
    <w:rsid w:val="00FD1492"/>
    <w:rsid w:val="00FD14F6"/>
    <w:rsid w:val="00FD1537"/>
    <w:rsid w:val="00FD1552"/>
    <w:rsid w:val="00FD155D"/>
    <w:rsid w:val="00FD1593"/>
    <w:rsid w:val="00FD15A8"/>
    <w:rsid w:val="00FD15E3"/>
    <w:rsid w:val="00FD15F4"/>
    <w:rsid w:val="00FD1636"/>
    <w:rsid w:val="00FD16AE"/>
    <w:rsid w:val="00FD173D"/>
    <w:rsid w:val="00FD1793"/>
    <w:rsid w:val="00FD17A1"/>
    <w:rsid w:val="00FD17D2"/>
    <w:rsid w:val="00FD17DC"/>
    <w:rsid w:val="00FD1818"/>
    <w:rsid w:val="00FD1839"/>
    <w:rsid w:val="00FD18A6"/>
    <w:rsid w:val="00FD18C0"/>
    <w:rsid w:val="00FD1933"/>
    <w:rsid w:val="00FD196E"/>
    <w:rsid w:val="00FD1983"/>
    <w:rsid w:val="00FD19C3"/>
    <w:rsid w:val="00FD19EB"/>
    <w:rsid w:val="00FD1A66"/>
    <w:rsid w:val="00FD1A9F"/>
    <w:rsid w:val="00FD1AC2"/>
    <w:rsid w:val="00FD1AD9"/>
    <w:rsid w:val="00FD1B7C"/>
    <w:rsid w:val="00FD1B9F"/>
    <w:rsid w:val="00FD1BA4"/>
    <w:rsid w:val="00FD1C18"/>
    <w:rsid w:val="00FD1C2D"/>
    <w:rsid w:val="00FD1C2E"/>
    <w:rsid w:val="00FD1C33"/>
    <w:rsid w:val="00FD1C98"/>
    <w:rsid w:val="00FD1CC1"/>
    <w:rsid w:val="00FD1D10"/>
    <w:rsid w:val="00FD1DB7"/>
    <w:rsid w:val="00FD1E3C"/>
    <w:rsid w:val="00FD1E42"/>
    <w:rsid w:val="00FD1E46"/>
    <w:rsid w:val="00FD1E56"/>
    <w:rsid w:val="00FD1E60"/>
    <w:rsid w:val="00FD1E98"/>
    <w:rsid w:val="00FD1E9D"/>
    <w:rsid w:val="00FD1EBA"/>
    <w:rsid w:val="00FD1EBF"/>
    <w:rsid w:val="00FD1F6B"/>
    <w:rsid w:val="00FD1F77"/>
    <w:rsid w:val="00FD2010"/>
    <w:rsid w:val="00FD205A"/>
    <w:rsid w:val="00FD2079"/>
    <w:rsid w:val="00FD2089"/>
    <w:rsid w:val="00FD20CD"/>
    <w:rsid w:val="00FD2128"/>
    <w:rsid w:val="00FD2152"/>
    <w:rsid w:val="00FD215E"/>
    <w:rsid w:val="00FD2180"/>
    <w:rsid w:val="00FD2203"/>
    <w:rsid w:val="00FD2277"/>
    <w:rsid w:val="00FD22A1"/>
    <w:rsid w:val="00FD22A6"/>
    <w:rsid w:val="00FD2330"/>
    <w:rsid w:val="00FD2363"/>
    <w:rsid w:val="00FD23B9"/>
    <w:rsid w:val="00FD23E8"/>
    <w:rsid w:val="00FD2439"/>
    <w:rsid w:val="00FD2476"/>
    <w:rsid w:val="00FD250D"/>
    <w:rsid w:val="00FD2554"/>
    <w:rsid w:val="00FD25BE"/>
    <w:rsid w:val="00FD2611"/>
    <w:rsid w:val="00FD2614"/>
    <w:rsid w:val="00FD264F"/>
    <w:rsid w:val="00FD2657"/>
    <w:rsid w:val="00FD268C"/>
    <w:rsid w:val="00FD26BE"/>
    <w:rsid w:val="00FD2709"/>
    <w:rsid w:val="00FD274E"/>
    <w:rsid w:val="00FD27A4"/>
    <w:rsid w:val="00FD27B9"/>
    <w:rsid w:val="00FD2828"/>
    <w:rsid w:val="00FD2830"/>
    <w:rsid w:val="00FD284B"/>
    <w:rsid w:val="00FD28A6"/>
    <w:rsid w:val="00FD2A46"/>
    <w:rsid w:val="00FD2A87"/>
    <w:rsid w:val="00FD2A94"/>
    <w:rsid w:val="00FD2AA5"/>
    <w:rsid w:val="00FD2AC8"/>
    <w:rsid w:val="00FD2AFF"/>
    <w:rsid w:val="00FD2B51"/>
    <w:rsid w:val="00FD2B75"/>
    <w:rsid w:val="00FD2BD5"/>
    <w:rsid w:val="00FD2C14"/>
    <w:rsid w:val="00FD2C16"/>
    <w:rsid w:val="00FD2C31"/>
    <w:rsid w:val="00FD2CBE"/>
    <w:rsid w:val="00FD2D47"/>
    <w:rsid w:val="00FD2DBF"/>
    <w:rsid w:val="00FD2E18"/>
    <w:rsid w:val="00FD2E3A"/>
    <w:rsid w:val="00FD2F20"/>
    <w:rsid w:val="00FD2F36"/>
    <w:rsid w:val="00FD2F5D"/>
    <w:rsid w:val="00FD2F7E"/>
    <w:rsid w:val="00FD2F84"/>
    <w:rsid w:val="00FD2FA5"/>
    <w:rsid w:val="00FD2FF3"/>
    <w:rsid w:val="00FD3049"/>
    <w:rsid w:val="00FD3061"/>
    <w:rsid w:val="00FD306A"/>
    <w:rsid w:val="00FD3075"/>
    <w:rsid w:val="00FD309E"/>
    <w:rsid w:val="00FD30DD"/>
    <w:rsid w:val="00FD30F3"/>
    <w:rsid w:val="00FD3161"/>
    <w:rsid w:val="00FD325A"/>
    <w:rsid w:val="00FD325C"/>
    <w:rsid w:val="00FD3278"/>
    <w:rsid w:val="00FD3356"/>
    <w:rsid w:val="00FD3399"/>
    <w:rsid w:val="00FD33A7"/>
    <w:rsid w:val="00FD33CE"/>
    <w:rsid w:val="00FD3413"/>
    <w:rsid w:val="00FD3419"/>
    <w:rsid w:val="00FD3439"/>
    <w:rsid w:val="00FD3466"/>
    <w:rsid w:val="00FD3485"/>
    <w:rsid w:val="00FD34AB"/>
    <w:rsid w:val="00FD34ED"/>
    <w:rsid w:val="00FD3500"/>
    <w:rsid w:val="00FD359C"/>
    <w:rsid w:val="00FD35E5"/>
    <w:rsid w:val="00FD3608"/>
    <w:rsid w:val="00FD368C"/>
    <w:rsid w:val="00FD370C"/>
    <w:rsid w:val="00FD3756"/>
    <w:rsid w:val="00FD375D"/>
    <w:rsid w:val="00FD3778"/>
    <w:rsid w:val="00FD3786"/>
    <w:rsid w:val="00FD379C"/>
    <w:rsid w:val="00FD37AB"/>
    <w:rsid w:val="00FD37D9"/>
    <w:rsid w:val="00FD3834"/>
    <w:rsid w:val="00FD388B"/>
    <w:rsid w:val="00FD38AA"/>
    <w:rsid w:val="00FD38C0"/>
    <w:rsid w:val="00FD38E9"/>
    <w:rsid w:val="00FD3919"/>
    <w:rsid w:val="00FD39AF"/>
    <w:rsid w:val="00FD39E1"/>
    <w:rsid w:val="00FD39F4"/>
    <w:rsid w:val="00FD39FE"/>
    <w:rsid w:val="00FD3A34"/>
    <w:rsid w:val="00FD3ABE"/>
    <w:rsid w:val="00FD3B43"/>
    <w:rsid w:val="00FD3B91"/>
    <w:rsid w:val="00FD3BA3"/>
    <w:rsid w:val="00FD3BE6"/>
    <w:rsid w:val="00FD3BF0"/>
    <w:rsid w:val="00FD3C16"/>
    <w:rsid w:val="00FD3C33"/>
    <w:rsid w:val="00FD3C8C"/>
    <w:rsid w:val="00FD3CF1"/>
    <w:rsid w:val="00FD3D80"/>
    <w:rsid w:val="00FD3DAE"/>
    <w:rsid w:val="00FD3DB5"/>
    <w:rsid w:val="00FD3DCC"/>
    <w:rsid w:val="00FD3DDE"/>
    <w:rsid w:val="00FD3EA8"/>
    <w:rsid w:val="00FD3EBC"/>
    <w:rsid w:val="00FD3F39"/>
    <w:rsid w:val="00FD3F7B"/>
    <w:rsid w:val="00FD3F7D"/>
    <w:rsid w:val="00FD3F94"/>
    <w:rsid w:val="00FD3FC4"/>
    <w:rsid w:val="00FD40B2"/>
    <w:rsid w:val="00FD40ED"/>
    <w:rsid w:val="00FD414A"/>
    <w:rsid w:val="00FD414C"/>
    <w:rsid w:val="00FD41C0"/>
    <w:rsid w:val="00FD424E"/>
    <w:rsid w:val="00FD427C"/>
    <w:rsid w:val="00FD42BC"/>
    <w:rsid w:val="00FD4328"/>
    <w:rsid w:val="00FD433F"/>
    <w:rsid w:val="00FD4395"/>
    <w:rsid w:val="00FD43A4"/>
    <w:rsid w:val="00FD43C0"/>
    <w:rsid w:val="00FD4437"/>
    <w:rsid w:val="00FD4451"/>
    <w:rsid w:val="00FD44B9"/>
    <w:rsid w:val="00FD44BB"/>
    <w:rsid w:val="00FD44C1"/>
    <w:rsid w:val="00FD4559"/>
    <w:rsid w:val="00FD456B"/>
    <w:rsid w:val="00FD45A5"/>
    <w:rsid w:val="00FD45BB"/>
    <w:rsid w:val="00FD45C5"/>
    <w:rsid w:val="00FD45E7"/>
    <w:rsid w:val="00FD463D"/>
    <w:rsid w:val="00FD465E"/>
    <w:rsid w:val="00FD4696"/>
    <w:rsid w:val="00FD4761"/>
    <w:rsid w:val="00FD4840"/>
    <w:rsid w:val="00FD485A"/>
    <w:rsid w:val="00FD485E"/>
    <w:rsid w:val="00FD4892"/>
    <w:rsid w:val="00FD49D0"/>
    <w:rsid w:val="00FD49F0"/>
    <w:rsid w:val="00FD4A20"/>
    <w:rsid w:val="00FD4A37"/>
    <w:rsid w:val="00FD4A3D"/>
    <w:rsid w:val="00FD4A8C"/>
    <w:rsid w:val="00FD4AB3"/>
    <w:rsid w:val="00FD4B3B"/>
    <w:rsid w:val="00FD4BA6"/>
    <w:rsid w:val="00FD4BFF"/>
    <w:rsid w:val="00FD4C0D"/>
    <w:rsid w:val="00FD4CB4"/>
    <w:rsid w:val="00FD4CD2"/>
    <w:rsid w:val="00FD4CE6"/>
    <w:rsid w:val="00FD4CFC"/>
    <w:rsid w:val="00FD4D65"/>
    <w:rsid w:val="00FD4E97"/>
    <w:rsid w:val="00FD4F52"/>
    <w:rsid w:val="00FD4F67"/>
    <w:rsid w:val="00FD4F6A"/>
    <w:rsid w:val="00FD4FAA"/>
    <w:rsid w:val="00FD4FE1"/>
    <w:rsid w:val="00FD5135"/>
    <w:rsid w:val="00FD5136"/>
    <w:rsid w:val="00FD515C"/>
    <w:rsid w:val="00FD51E6"/>
    <w:rsid w:val="00FD520F"/>
    <w:rsid w:val="00FD52D3"/>
    <w:rsid w:val="00FD5317"/>
    <w:rsid w:val="00FD5344"/>
    <w:rsid w:val="00FD536B"/>
    <w:rsid w:val="00FD539E"/>
    <w:rsid w:val="00FD53C4"/>
    <w:rsid w:val="00FD5487"/>
    <w:rsid w:val="00FD54D2"/>
    <w:rsid w:val="00FD5509"/>
    <w:rsid w:val="00FD5518"/>
    <w:rsid w:val="00FD558B"/>
    <w:rsid w:val="00FD55A4"/>
    <w:rsid w:val="00FD5659"/>
    <w:rsid w:val="00FD5694"/>
    <w:rsid w:val="00FD56CE"/>
    <w:rsid w:val="00FD56FE"/>
    <w:rsid w:val="00FD5701"/>
    <w:rsid w:val="00FD574A"/>
    <w:rsid w:val="00FD575E"/>
    <w:rsid w:val="00FD5773"/>
    <w:rsid w:val="00FD5784"/>
    <w:rsid w:val="00FD57EA"/>
    <w:rsid w:val="00FD57F3"/>
    <w:rsid w:val="00FD57F7"/>
    <w:rsid w:val="00FD5849"/>
    <w:rsid w:val="00FD5850"/>
    <w:rsid w:val="00FD588A"/>
    <w:rsid w:val="00FD588D"/>
    <w:rsid w:val="00FD5898"/>
    <w:rsid w:val="00FD58D5"/>
    <w:rsid w:val="00FD597C"/>
    <w:rsid w:val="00FD59CC"/>
    <w:rsid w:val="00FD59D9"/>
    <w:rsid w:val="00FD5A15"/>
    <w:rsid w:val="00FD5A17"/>
    <w:rsid w:val="00FD5A2A"/>
    <w:rsid w:val="00FD5A52"/>
    <w:rsid w:val="00FD5A61"/>
    <w:rsid w:val="00FD5A64"/>
    <w:rsid w:val="00FD5A71"/>
    <w:rsid w:val="00FD5B6A"/>
    <w:rsid w:val="00FD5B8B"/>
    <w:rsid w:val="00FD5BF0"/>
    <w:rsid w:val="00FD5C29"/>
    <w:rsid w:val="00FD5C7B"/>
    <w:rsid w:val="00FD5CA9"/>
    <w:rsid w:val="00FD5CB7"/>
    <w:rsid w:val="00FD5CB8"/>
    <w:rsid w:val="00FD5CD2"/>
    <w:rsid w:val="00FD5CE4"/>
    <w:rsid w:val="00FD5D8E"/>
    <w:rsid w:val="00FD5DA9"/>
    <w:rsid w:val="00FD5DDE"/>
    <w:rsid w:val="00FD5E07"/>
    <w:rsid w:val="00FD5E3C"/>
    <w:rsid w:val="00FD5E4C"/>
    <w:rsid w:val="00FD5E60"/>
    <w:rsid w:val="00FD5E7F"/>
    <w:rsid w:val="00FD5E8D"/>
    <w:rsid w:val="00FD5EB4"/>
    <w:rsid w:val="00FD5EBB"/>
    <w:rsid w:val="00FD5EBF"/>
    <w:rsid w:val="00FD5EFE"/>
    <w:rsid w:val="00FD5FE1"/>
    <w:rsid w:val="00FD600E"/>
    <w:rsid w:val="00FD6010"/>
    <w:rsid w:val="00FD601D"/>
    <w:rsid w:val="00FD6023"/>
    <w:rsid w:val="00FD60FF"/>
    <w:rsid w:val="00FD610E"/>
    <w:rsid w:val="00FD6128"/>
    <w:rsid w:val="00FD6129"/>
    <w:rsid w:val="00FD61CF"/>
    <w:rsid w:val="00FD6244"/>
    <w:rsid w:val="00FD6289"/>
    <w:rsid w:val="00FD62C4"/>
    <w:rsid w:val="00FD62D2"/>
    <w:rsid w:val="00FD63D8"/>
    <w:rsid w:val="00FD640A"/>
    <w:rsid w:val="00FD6436"/>
    <w:rsid w:val="00FD6505"/>
    <w:rsid w:val="00FD657F"/>
    <w:rsid w:val="00FD65F9"/>
    <w:rsid w:val="00FD666D"/>
    <w:rsid w:val="00FD667C"/>
    <w:rsid w:val="00FD676D"/>
    <w:rsid w:val="00FD67A0"/>
    <w:rsid w:val="00FD67A9"/>
    <w:rsid w:val="00FD6828"/>
    <w:rsid w:val="00FD6842"/>
    <w:rsid w:val="00FD68BD"/>
    <w:rsid w:val="00FD6926"/>
    <w:rsid w:val="00FD6A31"/>
    <w:rsid w:val="00FD6A65"/>
    <w:rsid w:val="00FD6A98"/>
    <w:rsid w:val="00FD6B2C"/>
    <w:rsid w:val="00FD6B40"/>
    <w:rsid w:val="00FD6BEE"/>
    <w:rsid w:val="00FD6C7B"/>
    <w:rsid w:val="00FD6CB2"/>
    <w:rsid w:val="00FD6CCA"/>
    <w:rsid w:val="00FD6D04"/>
    <w:rsid w:val="00FD6D1A"/>
    <w:rsid w:val="00FD6D50"/>
    <w:rsid w:val="00FD6DFA"/>
    <w:rsid w:val="00FD6E01"/>
    <w:rsid w:val="00FD6E73"/>
    <w:rsid w:val="00FD6EFB"/>
    <w:rsid w:val="00FD6F13"/>
    <w:rsid w:val="00FD6F1A"/>
    <w:rsid w:val="00FD6F1F"/>
    <w:rsid w:val="00FD6F2F"/>
    <w:rsid w:val="00FD6F47"/>
    <w:rsid w:val="00FD700E"/>
    <w:rsid w:val="00FD7023"/>
    <w:rsid w:val="00FD7036"/>
    <w:rsid w:val="00FD7049"/>
    <w:rsid w:val="00FD70D2"/>
    <w:rsid w:val="00FD70DC"/>
    <w:rsid w:val="00FD7103"/>
    <w:rsid w:val="00FD7108"/>
    <w:rsid w:val="00FD712C"/>
    <w:rsid w:val="00FD7138"/>
    <w:rsid w:val="00FD7239"/>
    <w:rsid w:val="00FD7244"/>
    <w:rsid w:val="00FD7298"/>
    <w:rsid w:val="00FD729E"/>
    <w:rsid w:val="00FD72BA"/>
    <w:rsid w:val="00FD73A4"/>
    <w:rsid w:val="00FD73BB"/>
    <w:rsid w:val="00FD743C"/>
    <w:rsid w:val="00FD744D"/>
    <w:rsid w:val="00FD7451"/>
    <w:rsid w:val="00FD7622"/>
    <w:rsid w:val="00FD769D"/>
    <w:rsid w:val="00FD76C7"/>
    <w:rsid w:val="00FD76C8"/>
    <w:rsid w:val="00FD76CE"/>
    <w:rsid w:val="00FD76D7"/>
    <w:rsid w:val="00FD7704"/>
    <w:rsid w:val="00FD7707"/>
    <w:rsid w:val="00FD770C"/>
    <w:rsid w:val="00FD7804"/>
    <w:rsid w:val="00FD7825"/>
    <w:rsid w:val="00FD7853"/>
    <w:rsid w:val="00FD7865"/>
    <w:rsid w:val="00FD7907"/>
    <w:rsid w:val="00FD7943"/>
    <w:rsid w:val="00FD7956"/>
    <w:rsid w:val="00FD7968"/>
    <w:rsid w:val="00FD7996"/>
    <w:rsid w:val="00FD7A4E"/>
    <w:rsid w:val="00FD7AAA"/>
    <w:rsid w:val="00FD7B18"/>
    <w:rsid w:val="00FD7B40"/>
    <w:rsid w:val="00FD7BC9"/>
    <w:rsid w:val="00FD7BE1"/>
    <w:rsid w:val="00FD7C4D"/>
    <w:rsid w:val="00FD7DD7"/>
    <w:rsid w:val="00FD7E20"/>
    <w:rsid w:val="00FD7EA5"/>
    <w:rsid w:val="00FD7ECC"/>
    <w:rsid w:val="00FD7EEF"/>
    <w:rsid w:val="00FD7F21"/>
    <w:rsid w:val="00FD7F57"/>
    <w:rsid w:val="00FD7F72"/>
    <w:rsid w:val="00FD7FF9"/>
    <w:rsid w:val="00FE00BD"/>
    <w:rsid w:val="00FE00C1"/>
    <w:rsid w:val="00FE00FE"/>
    <w:rsid w:val="00FE011F"/>
    <w:rsid w:val="00FE0129"/>
    <w:rsid w:val="00FE012F"/>
    <w:rsid w:val="00FE0160"/>
    <w:rsid w:val="00FE01DC"/>
    <w:rsid w:val="00FE0204"/>
    <w:rsid w:val="00FE0325"/>
    <w:rsid w:val="00FE03A1"/>
    <w:rsid w:val="00FE03EE"/>
    <w:rsid w:val="00FE0433"/>
    <w:rsid w:val="00FE04C8"/>
    <w:rsid w:val="00FE04F1"/>
    <w:rsid w:val="00FE04F2"/>
    <w:rsid w:val="00FE0564"/>
    <w:rsid w:val="00FE057A"/>
    <w:rsid w:val="00FE059F"/>
    <w:rsid w:val="00FE05C2"/>
    <w:rsid w:val="00FE062C"/>
    <w:rsid w:val="00FE06B7"/>
    <w:rsid w:val="00FE06C5"/>
    <w:rsid w:val="00FE07C2"/>
    <w:rsid w:val="00FE084A"/>
    <w:rsid w:val="00FE0876"/>
    <w:rsid w:val="00FE087A"/>
    <w:rsid w:val="00FE0892"/>
    <w:rsid w:val="00FE08D1"/>
    <w:rsid w:val="00FE0979"/>
    <w:rsid w:val="00FE0A48"/>
    <w:rsid w:val="00FE0A4A"/>
    <w:rsid w:val="00FE0A87"/>
    <w:rsid w:val="00FE0B03"/>
    <w:rsid w:val="00FE0B04"/>
    <w:rsid w:val="00FE0B33"/>
    <w:rsid w:val="00FE0B8A"/>
    <w:rsid w:val="00FE0BB7"/>
    <w:rsid w:val="00FE0C07"/>
    <w:rsid w:val="00FE0C19"/>
    <w:rsid w:val="00FE0C43"/>
    <w:rsid w:val="00FE0C91"/>
    <w:rsid w:val="00FE0D07"/>
    <w:rsid w:val="00FE0D1B"/>
    <w:rsid w:val="00FE0E18"/>
    <w:rsid w:val="00FE0E61"/>
    <w:rsid w:val="00FE0E85"/>
    <w:rsid w:val="00FE0F6B"/>
    <w:rsid w:val="00FE0FAA"/>
    <w:rsid w:val="00FE0FB8"/>
    <w:rsid w:val="00FE0FF0"/>
    <w:rsid w:val="00FE103F"/>
    <w:rsid w:val="00FE107D"/>
    <w:rsid w:val="00FE1080"/>
    <w:rsid w:val="00FE10C5"/>
    <w:rsid w:val="00FE10E5"/>
    <w:rsid w:val="00FE1163"/>
    <w:rsid w:val="00FE11BC"/>
    <w:rsid w:val="00FE11BF"/>
    <w:rsid w:val="00FE11D5"/>
    <w:rsid w:val="00FE11D8"/>
    <w:rsid w:val="00FE11E1"/>
    <w:rsid w:val="00FE12D7"/>
    <w:rsid w:val="00FE131F"/>
    <w:rsid w:val="00FE1338"/>
    <w:rsid w:val="00FE13E0"/>
    <w:rsid w:val="00FE13E2"/>
    <w:rsid w:val="00FE13E6"/>
    <w:rsid w:val="00FE1463"/>
    <w:rsid w:val="00FE1477"/>
    <w:rsid w:val="00FE152A"/>
    <w:rsid w:val="00FE1544"/>
    <w:rsid w:val="00FE1585"/>
    <w:rsid w:val="00FE1588"/>
    <w:rsid w:val="00FE15C7"/>
    <w:rsid w:val="00FE1671"/>
    <w:rsid w:val="00FE1701"/>
    <w:rsid w:val="00FE18E9"/>
    <w:rsid w:val="00FE1903"/>
    <w:rsid w:val="00FE1928"/>
    <w:rsid w:val="00FE1932"/>
    <w:rsid w:val="00FE19C5"/>
    <w:rsid w:val="00FE19CF"/>
    <w:rsid w:val="00FE1A38"/>
    <w:rsid w:val="00FE1A47"/>
    <w:rsid w:val="00FE1A64"/>
    <w:rsid w:val="00FE1A68"/>
    <w:rsid w:val="00FE1AA0"/>
    <w:rsid w:val="00FE1B7A"/>
    <w:rsid w:val="00FE1B9B"/>
    <w:rsid w:val="00FE1BA6"/>
    <w:rsid w:val="00FE1BBB"/>
    <w:rsid w:val="00FE1C4F"/>
    <w:rsid w:val="00FE1C71"/>
    <w:rsid w:val="00FE1C96"/>
    <w:rsid w:val="00FE1CE4"/>
    <w:rsid w:val="00FE1CEE"/>
    <w:rsid w:val="00FE1D98"/>
    <w:rsid w:val="00FE1DCF"/>
    <w:rsid w:val="00FE1E89"/>
    <w:rsid w:val="00FE1F40"/>
    <w:rsid w:val="00FE1F49"/>
    <w:rsid w:val="00FE1F8D"/>
    <w:rsid w:val="00FE1FA2"/>
    <w:rsid w:val="00FE1FCE"/>
    <w:rsid w:val="00FE1FCF"/>
    <w:rsid w:val="00FE1FDC"/>
    <w:rsid w:val="00FE2037"/>
    <w:rsid w:val="00FE203D"/>
    <w:rsid w:val="00FE2066"/>
    <w:rsid w:val="00FE2081"/>
    <w:rsid w:val="00FE20ED"/>
    <w:rsid w:val="00FE2101"/>
    <w:rsid w:val="00FE212E"/>
    <w:rsid w:val="00FE21A1"/>
    <w:rsid w:val="00FE21DA"/>
    <w:rsid w:val="00FE2212"/>
    <w:rsid w:val="00FE221D"/>
    <w:rsid w:val="00FE2255"/>
    <w:rsid w:val="00FE22CF"/>
    <w:rsid w:val="00FE22EB"/>
    <w:rsid w:val="00FE235E"/>
    <w:rsid w:val="00FE23BE"/>
    <w:rsid w:val="00FE23C1"/>
    <w:rsid w:val="00FE2436"/>
    <w:rsid w:val="00FE245C"/>
    <w:rsid w:val="00FE249B"/>
    <w:rsid w:val="00FE24C0"/>
    <w:rsid w:val="00FE24E3"/>
    <w:rsid w:val="00FE2523"/>
    <w:rsid w:val="00FE2524"/>
    <w:rsid w:val="00FE25CE"/>
    <w:rsid w:val="00FE25E5"/>
    <w:rsid w:val="00FE25F4"/>
    <w:rsid w:val="00FE260E"/>
    <w:rsid w:val="00FE265E"/>
    <w:rsid w:val="00FE266A"/>
    <w:rsid w:val="00FE2677"/>
    <w:rsid w:val="00FE2678"/>
    <w:rsid w:val="00FE279C"/>
    <w:rsid w:val="00FE27AB"/>
    <w:rsid w:val="00FE27DD"/>
    <w:rsid w:val="00FE27E7"/>
    <w:rsid w:val="00FE2812"/>
    <w:rsid w:val="00FE2870"/>
    <w:rsid w:val="00FE2889"/>
    <w:rsid w:val="00FE28A4"/>
    <w:rsid w:val="00FE28CA"/>
    <w:rsid w:val="00FE28CD"/>
    <w:rsid w:val="00FE29C6"/>
    <w:rsid w:val="00FE29CD"/>
    <w:rsid w:val="00FE29FC"/>
    <w:rsid w:val="00FE2A39"/>
    <w:rsid w:val="00FE2A4F"/>
    <w:rsid w:val="00FE2A7B"/>
    <w:rsid w:val="00FE2AD2"/>
    <w:rsid w:val="00FE2B02"/>
    <w:rsid w:val="00FE2B05"/>
    <w:rsid w:val="00FE2BBC"/>
    <w:rsid w:val="00FE2C09"/>
    <w:rsid w:val="00FE2C1B"/>
    <w:rsid w:val="00FE2C27"/>
    <w:rsid w:val="00FE2CA8"/>
    <w:rsid w:val="00FE2D32"/>
    <w:rsid w:val="00FE2E17"/>
    <w:rsid w:val="00FE2E24"/>
    <w:rsid w:val="00FE2EFE"/>
    <w:rsid w:val="00FE2F8B"/>
    <w:rsid w:val="00FE2F9F"/>
    <w:rsid w:val="00FE2FE9"/>
    <w:rsid w:val="00FE3170"/>
    <w:rsid w:val="00FE322B"/>
    <w:rsid w:val="00FE3281"/>
    <w:rsid w:val="00FE329B"/>
    <w:rsid w:val="00FE32BE"/>
    <w:rsid w:val="00FE3310"/>
    <w:rsid w:val="00FE3479"/>
    <w:rsid w:val="00FE34FF"/>
    <w:rsid w:val="00FE35D3"/>
    <w:rsid w:val="00FE3628"/>
    <w:rsid w:val="00FE3722"/>
    <w:rsid w:val="00FE3769"/>
    <w:rsid w:val="00FE3792"/>
    <w:rsid w:val="00FE37CD"/>
    <w:rsid w:val="00FE3809"/>
    <w:rsid w:val="00FE3832"/>
    <w:rsid w:val="00FE3875"/>
    <w:rsid w:val="00FE38AF"/>
    <w:rsid w:val="00FE38C5"/>
    <w:rsid w:val="00FE3913"/>
    <w:rsid w:val="00FE3958"/>
    <w:rsid w:val="00FE3A31"/>
    <w:rsid w:val="00FE3A47"/>
    <w:rsid w:val="00FE3A52"/>
    <w:rsid w:val="00FE3AA3"/>
    <w:rsid w:val="00FE3B24"/>
    <w:rsid w:val="00FE3BA1"/>
    <w:rsid w:val="00FE3BED"/>
    <w:rsid w:val="00FE3C58"/>
    <w:rsid w:val="00FE3CB2"/>
    <w:rsid w:val="00FE3CEF"/>
    <w:rsid w:val="00FE3D1F"/>
    <w:rsid w:val="00FE3ED2"/>
    <w:rsid w:val="00FE3EEE"/>
    <w:rsid w:val="00FE3F05"/>
    <w:rsid w:val="00FE3F79"/>
    <w:rsid w:val="00FE3FA2"/>
    <w:rsid w:val="00FE3FA5"/>
    <w:rsid w:val="00FE3FD9"/>
    <w:rsid w:val="00FE40C0"/>
    <w:rsid w:val="00FE40EC"/>
    <w:rsid w:val="00FE4158"/>
    <w:rsid w:val="00FE416F"/>
    <w:rsid w:val="00FE41D1"/>
    <w:rsid w:val="00FE41D5"/>
    <w:rsid w:val="00FE4235"/>
    <w:rsid w:val="00FE423C"/>
    <w:rsid w:val="00FE4278"/>
    <w:rsid w:val="00FE427D"/>
    <w:rsid w:val="00FE42A6"/>
    <w:rsid w:val="00FE42A9"/>
    <w:rsid w:val="00FE43CE"/>
    <w:rsid w:val="00FE443D"/>
    <w:rsid w:val="00FE447D"/>
    <w:rsid w:val="00FE4482"/>
    <w:rsid w:val="00FE4496"/>
    <w:rsid w:val="00FE44E7"/>
    <w:rsid w:val="00FE4513"/>
    <w:rsid w:val="00FE460B"/>
    <w:rsid w:val="00FE4619"/>
    <w:rsid w:val="00FE4622"/>
    <w:rsid w:val="00FE462F"/>
    <w:rsid w:val="00FE4662"/>
    <w:rsid w:val="00FE46D5"/>
    <w:rsid w:val="00FE46E5"/>
    <w:rsid w:val="00FE47AD"/>
    <w:rsid w:val="00FE4819"/>
    <w:rsid w:val="00FE48D4"/>
    <w:rsid w:val="00FE48DE"/>
    <w:rsid w:val="00FE48FD"/>
    <w:rsid w:val="00FE4903"/>
    <w:rsid w:val="00FE4922"/>
    <w:rsid w:val="00FE4942"/>
    <w:rsid w:val="00FE4987"/>
    <w:rsid w:val="00FE4A16"/>
    <w:rsid w:val="00FE4A1D"/>
    <w:rsid w:val="00FE4A3A"/>
    <w:rsid w:val="00FE4A5E"/>
    <w:rsid w:val="00FE4A87"/>
    <w:rsid w:val="00FE4ACC"/>
    <w:rsid w:val="00FE4ADC"/>
    <w:rsid w:val="00FE4B21"/>
    <w:rsid w:val="00FE4B44"/>
    <w:rsid w:val="00FE4B5D"/>
    <w:rsid w:val="00FE4BCE"/>
    <w:rsid w:val="00FE4C02"/>
    <w:rsid w:val="00FE4C04"/>
    <w:rsid w:val="00FE4C22"/>
    <w:rsid w:val="00FE4C89"/>
    <w:rsid w:val="00FE4D04"/>
    <w:rsid w:val="00FE4D65"/>
    <w:rsid w:val="00FE4D75"/>
    <w:rsid w:val="00FE4E0C"/>
    <w:rsid w:val="00FE4E2E"/>
    <w:rsid w:val="00FE4E54"/>
    <w:rsid w:val="00FE4EB3"/>
    <w:rsid w:val="00FE4EE1"/>
    <w:rsid w:val="00FE4F08"/>
    <w:rsid w:val="00FE4F1B"/>
    <w:rsid w:val="00FE4F2F"/>
    <w:rsid w:val="00FE4F98"/>
    <w:rsid w:val="00FE4FA4"/>
    <w:rsid w:val="00FE501D"/>
    <w:rsid w:val="00FE507D"/>
    <w:rsid w:val="00FE50AA"/>
    <w:rsid w:val="00FE50F0"/>
    <w:rsid w:val="00FE5128"/>
    <w:rsid w:val="00FE5196"/>
    <w:rsid w:val="00FE51B0"/>
    <w:rsid w:val="00FE527A"/>
    <w:rsid w:val="00FE528C"/>
    <w:rsid w:val="00FE52B0"/>
    <w:rsid w:val="00FE53E9"/>
    <w:rsid w:val="00FE54A1"/>
    <w:rsid w:val="00FE54CF"/>
    <w:rsid w:val="00FE54DA"/>
    <w:rsid w:val="00FE54FC"/>
    <w:rsid w:val="00FE5565"/>
    <w:rsid w:val="00FE5579"/>
    <w:rsid w:val="00FE55BD"/>
    <w:rsid w:val="00FE5621"/>
    <w:rsid w:val="00FE56AE"/>
    <w:rsid w:val="00FE56B6"/>
    <w:rsid w:val="00FE56C1"/>
    <w:rsid w:val="00FE5709"/>
    <w:rsid w:val="00FE5716"/>
    <w:rsid w:val="00FE571F"/>
    <w:rsid w:val="00FE575C"/>
    <w:rsid w:val="00FE576C"/>
    <w:rsid w:val="00FE57A1"/>
    <w:rsid w:val="00FE57BE"/>
    <w:rsid w:val="00FE5878"/>
    <w:rsid w:val="00FE58D1"/>
    <w:rsid w:val="00FE590E"/>
    <w:rsid w:val="00FE5985"/>
    <w:rsid w:val="00FE598E"/>
    <w:rsid w:val="00FE5A29"/>
    <w:rsid w:val="00FE5A4E"/>
    <w:rsid w:val="00FE5A5D"/>
    <w:rsid w:val="00FE5A84"/>
    <w:rsid w:val="00FE5B4F"/>
    <w:rsid w:val="00FE5B8F"/>
    <w:rsid w:val="00FE5BB0"/>
    <w:rsid w:val="00FE5BF8"/>
    <w:rsid w:val="00FE5C01"/>
    <w:rsid w:val="00FE5C55"/>
    <w:rsid w:val="00FE5C6A"/>
    <w:rsid w:val="00FE5C91"/>
    <w:rsid w:val="00FE5CB8"/>
    <w:rsid w:val="00FE5CF6"/>
    <w:rsid w:val="00FE5E34"/>
    <w:rsid w:val="00FE5ED5"/>
    <w:rsid w:val="00FE5EDD"/>
    <w:rsid w:val="00FE5EEB"/>
    <w:rsid w:val="00FE5F0B"/>
    <w:rsid w:val="00FE5F80"/>
    <w:rsid w:val="00FE5FA4"/>
    <w:rsid w:val="00FE5FA6"/>
    <w:rsid w:val="00FE5FEE"/>
    <w:rsid w:val="00FE5FEF"/>
    <w:rsid w:val="00FE60EC"/>
    <w:rsid w:val="00FE60F3"/>
    <w:rsid w:val="00FE6114"/>
    <w:rsid w:val="00FE6151"/>
    <w:rsid w:val="00FE6162"/>
    <w:rsid w:val="00FE6221"/>
    <w:rsid w:val="00FE6361"/>
    <w:rsid w:val="00FE6375"/>
    <w:rsid w:val="00FE638B"/>
    <w:rsid w:val="00FE639A"/>
    <w:rsid w:val="00FE63C0"/>
    <w:rsid w:val="00FE6444"/>
    <w:rsid w:val="00FE6455"/>
    <w:rsid w:val="00FE64BB"/>
    <w:rsid w:val="00FE6527"/>
    <w:rsid w:val="00FE653F"/>
    <w:rsid w:val="00FE6580"/>
    <w:rsid w:val="00FE65EC"/>
    <w:rsid w:val="00FE6662"/>
    <w:rsid w:val="00FE66D2"/>
    <w:rsid w:val="00FE6728"/>
    <w:rsid w:val="00FE675B"/>
    <w:rsid w:val="00FE67BA"/>
    <w:rsid w:val="00FE685F"/>
    <w:rsid w:val="00FE68B1"/>
    <w:rsid w:val="00FE68CF"/>
    <w:rsid w:val="00FE68E8"/>
    <w:rsid w:val="00FE68FE"/>
    <w:rsid w:val="00FE6920"/>
    <w:rsid w:val="00FE6995"/>
    <w:rsid w:val="00FE699A"/>
    <w:rsid w:val="00FE6A31"/>
    <w:rsid w:val="00FE6A3A"/>
    <w:rsid w:val="00FE6A83"/>
    <w:rsid w:val="00FE6ACB"/>
    <w:rsid w:val="00FE6B2F"/>
    <w:rsid w:val="00FE6BE7"/>
    <w:rsid w:val="00FE6C83"/>
    <w:rsid w:val="00FE6CA1"/>
    <w:rsid w:val="00FE6D09"/>
    <w:rsid w:val="00FE6D57"/>
    <w:rsid w:val="00FE6D86"/>
    <w:rsid w:val="00FE6DBD"/>
    <w:rsid w:val="00FE6E32"/>
    <w:rsid w:val="00FE6E5F"/>
    <w:rsid w:val="00FE6F1F"/>
    <w:rsid w:val="00FE6F2D"/>
    <w:rsid w:val="00FE6F3C"/>
    <w:rsid w:val="00FE701A"/>
    <w:rsid w:val="00FE702E"/>
    <w:rsid w:val="00FE706A"/>
    <w:rsid w:val="00FE7089"/>
    <w:rsid w:val="00FE70A7"/>
    <w:rsid w:val="00FE71BE"/>
    <w:rsid w:val="00FE71C2"/>
    <w:rsid w:val="00FE71CA"/>
    <w:rsid w:val="00FE71E4"/>
    <w:rsid w:val="00FE71F2"/>
    <w:rsid w:val="00FE7206"/>
    <w:rsid w:val="00FE733C"/>
    <w:rsid w:val="00FE7355"/>
    <w:rsid w:val="00FE739D"/>
    <w:rsid w:val="00FE741D"/>
    <w:rsid w:val="00FE741F"/>
    <w:rsid w:val="00FE748E"/>
    <w:rsid w:val="00FE74D1"/>
    <w:rsid w:val="00FE7542"/>
    <w:rsid w:val="00FE75D0"/>
    <w:rsid w:val="00FE75E9"/>
    <w:rsid w:val="00FE7604"/>
    <w:rsid w:val="00FE762A"/>
    <w:rsid w:val="00FE7663"/>
    <w:rsid w:val="00FE76C0"/>
    <w:rsid w:val="00FE76FD"/>
    <w:rsid w:val="00FE77AE"/>
    <w:rsid w:val="00FE77BB"/>
    <w:rsid w:val="00FE7823"/>
    <w:rsid w:val="00FE7845"/>
    <w:rsid w:val="00FE7869"/>
    <w:rsid w:val="00FE7882"/>
    <w:rsid w:val="00FE78A7"/>
    <w:rsid w:val="00FE78F8"/>
    <w:rsid w:val="00FE78FD"/>
    <w:rsid w:val="00FE7930"/>
    <w:rsid w:val="00FE7A37"/>
    <w:rsid w:val="00FE7A54"/>
    <w:rsid w:val="00FE7A83"/>
    <w:rsid w:val="00FE7A88"/>
    <w:rsid w:val="00FE7A9B"/>
    <w:rsid w:val="00FE7AD6"/>
    <w:rsid w:val="00FE7AE7"/>
    <w:rsid w:val="00FE7B02"/>
    <w:rsid w:val="00FE7B06"/>
    <w:rsid w:val="00FE7BD4"/>
    <w:rsid w:val="00FE7C09"/>
    <w:rsid w:val="00FE7C81"/>
    <w:rsid w:val="00FE7C9A"/>
    <w:rsid w:val="00FE7CAF"/>
    <w:rsid w:val="00FE7CB6"/>
    <w:rsid w:val="00FE7D2F"/>
    <w:rsid w:val="00FE7D32"/>
    <w:rsid w:val="00FE7D57"/>
    <w:rsid w:val="00FE7D7D"/>
    <w:rsid w:val="00FE7E54"/>
    <w:rsid w:val="00FE7E71"/>
    <w:rsid w:val="00FE7E91"/>
    <w:rsid w:val="00FE7ED7"/>
    <w:rsid w:val="00FE7F47"/>
    <w:rsid w:val="00FE7F7D"/>
    <w:rsid w:val="00FE7FBF"/>
    <w:rsid w:val="00FE7FEF"/>
    <w:rsid w:val="00FF0016"/>
    <w:rsid w:val="00FF0061"/>
    <w:rsid w:val="00FF0070"/>
    <w:rsid w:val="00FF0074"/>
    <w:rsid w:val="00FF00E5"/>
    <w:rsid w:val="00FF0143"/>
    <w:rsid w:val="00FF0239"/>
    <w:rsid w:val="00FF0304"/>
    <w:rsid w:val="00FF0310"/>
    <w:rsid w:val="00FF0312"/>
    <w:rsid w:val="00FF0368"/>
    <w:rsid w:val="00FF036C"/>
    <w:rsid w:val="00FF039F"/>
    <w:rsid w:val="00FF03D3"/>
    <w:rsid w:val="00FF0455"/>
    <w:rsid w:val="00FF0498"/>
    <w:rsid w:val="00FF04D7"/>
    <w:rsid w:val="00FF0558"/>
    <w:rsid w:val="00FF05B5"/>
    <w:rsid w:val="00FF061B"/>
    <w:rsid w:val="00FF0631"/>
    <w:rsid w:val="00FF064F"/>
    <w:rsid w:val="00FF0667"/>
    <w:rsid w:val="00FF0697"/>
    <w:rsid w:val="00FF06BD"/>
    <w:rsid w:val="00FF06C9"/>
    <w:rsid w:val="00FF06E7"/>
    <w:rsid w:val="00FF0715"/>
    <w:rsid w:val="00FF0724"/>
    <w:rsid w:val="00FF0764"/>
    <w:rsid w:val="00FF0829"/>
    <w:rsid w:val="00FF087D"/>
    <w:rsid w:val="00FF0969"/>
    <w:rsid w:val="00FF0978"/>
    <w:rsid w:val="00FF0A0C"/>
    <w:rsid w:val="00FF0A95"/>
    <w:rsid w:val="00FF0AC8"/>
    <w:rsid w:val="00FF0ACE"/>
    <w:rsid w:val="00FF0AE7"/>
    <w:rsid w:val="00FF0BED"/>
    <w:rsid w:val="00FF0C52"/>
    <w:rsid w:val="00FF0E25"/>
    <w:rsid w:val="00FF0E87"/>
    <w:rsid w:val="00FF0ECE"/>
    <w:rsid w:val="00FF0F18"/>
    <w:rsid w:val="00FF0F2E"/>
    <w:rsid w:val="00FF0F35"/>
    <w:rsid w:val="00FF0F36"/>
    <w:rsid w:val="00FF0F42"/>
    <w:rsid w:val="00FF0F47"/>
    <w:rsid w:val="00FF0F51"/>
    <w:rsid w:val="00FF0F92"/>
    <w:rsid w:val="00FF0FC7"/>
    <w:rsid w:val="00FF0FDA"/>
    <w:rsid w:val="00FF109A"/>
    <w:rsid w:val="00FF10BA"/>
    <w:rsid w:val="00FF10EE"/>
    <w:rsid w:val="00FF10F6"/>
    <w:rsid w:val="00FF1193"/>
    <w:rsid w:val="00FF1197"/>
    <w:rsid w:val="00FF11B2"/>
    <w:rsid w:val="00FF1214"/>
    <w:rsid w:val="00FF121E"/>
    <w:rsid w:val="00FF1228"/>
    <w:rsid w:val="00FF122B"/>
    <w:rsid w:val="00FF1233"/>
    <w:rsid w:val="00FF1249"/>
    <w:rsid w:val="00FF1299"/>
    <w:rsid w:val="00FF12D8"/>
    <w:rsid w:val="00FF1346"/>
    <w:rsid w:val="00FF136E"/>
    <w:rsid w:val="00FF1380"/>
    <w:rsid w:val="00FF143A"/>
    <w:rsid w:val="00FF1453"/>
    <w:rsid w:val="00FF1489"/>
    <w:rsid w:val="00FF14DF"/>
    <w:rsid w:val="00FF1512"/>
    <w:rsid w:val="00FF1562"/>
    <w:rsid w:val="00FF15E1"/>
    <w:rsid w:val="00FF15E2"/>
    <w:rsid w:val="00FF15FE"/>
    <w:rsid w:val="00FF164F"/>
    <w:rsid w:val="00FF165E"/>
    <w:rsid w:val="00FF16D4"/>
    <w:rsid w:val="00FF1725"/>
    <w:rsid w:val="00FF1764"/>
    <w:rsid w:val="00FF1772"/>
    <w:rsid w:val="00FF178E"/>
    <w:rsid w:val="00FF1799"/>
    <w:rsid w:val="00FF17A8"/>
    <w:rsid w:val="00FF17BA"/>
    <w:rsid w:val="00FF17BF"/>
    <w:rsid w:val="00FF17C8"/>
    <w:rsid w:val="00FF1832"/>
    <w:rsid w:val="00FF1850"/>
    <w:rsid w:val="00FF187D"/>
    <w:rsid w:val="00FF18EB"/>
    <w:rsid w:val="00FF1928"/>
    <w:rsid w:val="00FF192B"/>
    <w:rsid w:val="00FF193C"/>
    <w:rsid w:val="00FF1951"/>
    <w:rsid w:val="00FF1979"/>
    <w:rsid w:val="00FF19E1"/>
    <w:rsid w:val="00FF19E4"/>
    <w:rsid w:val="00FF1AAA"/>
    <w:rsid w:val="00FF1AAD"/>
    <w:rsid w:val="00FF1B14"/>
    <w:rsid w:val="00FF1B5A"/>
    <w:rsid w:val="00FF1B5B"/>
    <w:rsid w:val="00FF1B5C"/>
    <w:rsid w:val="00FF1B6E"/>
    <w:rsid w:val="00FF1BC2"/>
    <w:rsid w:val="00FF1C06"/>
    <w:rsid w:val="00FF1C69"/>
    <w:rsid w:val="00FF1D2E"/>
    <w:rsid w:val="00FF1D5B"/>
    <w:rsid w:val="00FF1D62"/>
    <w:rsid w:val="00FF1D88"/>
    <w:rsid w:val="00FF1ED6"/>
    <w:rsid w:val="00FF1EF1"/>
    <w:rsid w:val="00FF1F49"/>
    <w:rsid w:val="00FF1F54"/>
    <w:rsid w:val="00FF1F92"/>
    <w:rsid w:val="00FF2079"/>
    <w:rsid w:val="00FF208F"/>
    <w:rsid w:val="00FF20AB"/>
    <w:rsid w:val="00FF2120"/>
    <w:rsid w:val="00FF2147"/>
    <w:rsid w:val="00FF2206"/>
    <w:rsid w:val="00FF225E"/>
    <w:rsid w:val="00FF2266"/>
    <w:rsid w:val="00FF226F"/>
    <w:rsid w:val="00FF227E"/>
    <w:rsid w:val="00FF229B"/>
    <w:rsid w:val="00FF22A2"/>
    <w:rsid w:val="00FF231F"/>
    <w:rsid w:val="00FF2341"/>
    <w:rsid w:val="00FF234B"/>
    <w:rsid w:val="00FF2399"/>
    <w:rsid w:val="00FF23D2"/>
    <w:rsid w:val="00FF23E3"/>
    <w:rsid w:val="00FF2424"/>
    <w:rsid w:val="00FF242B"/>
    <w:rsid w:val="00FF24A2"/>
    <w:rsid w:val="00FF2547"/>
    <w:rsid w:val="00FF2590"/>
    <w:rsid w:val="00FF25CB"/>
    <w:rsid w:val="00FF2612"/>
    <w:rsid w:val="00FF26CC"/>
    <w:rsid w:val="00FF2762"/>
    <w:rsid w:val="00FF276D"/>
    <w:rsid w:val="00FF2794"/>
    <w:rsid w:val="00FF2846"/>
    <w:rsid w:val="00FF2888"/>
    <w:rsid w:val="00FF2979"/>
    <w:rsid w:val="00FF297D"/>
    <w:rsid w:val="00FF29B0"/>
    <w:rsid w:val="00FF2A0C"/>
    <w:rsid w:val="00FF2A15"/>
    <w:rsid w:val="00FF2AC8"/>
    <w:rsid w:val="00FF2B68"/>
    <w:rsid w:val="00FF2BE5"/>
    <w:rsid w:val="00FF2BE8"/>
    <w:rsid w:val="00FF2C27"/>
    <w:rsid w:val="00FF2C5B"/>
    <w:rsid w:val="00FF2CED"/>
    <w:rsid w:val="00FF2D48"/>
    <w:rsid w:val="00FF2D50"/>
    <w:rsid w:val="00FF2D73"/>
    <w:rsid w:val="00FF2DAA"/>
    <w:rsid w:val="00FF2DBD"/>
    <w:rsid w:val="00FF2E33"/>
    <w:rsid w:val="00FF2E46"/>
    <w:rsid w:val="00FF2E9D"/>
    <w:rsid w:val="00FF2EC3"/>
    <w:rsid w:val="00FF2EEB"/>
    <w:rsid w:val="00FF2EFB"/>
    <w:rsid w:val="00FF2F2D"/>
    <w:rsid w:val="00FF2F46"/>
    <w:rsid w:val="00FF2F4C"/>
    <w:rsid w:val="00FF2F61"/>
    <w:rsid w:val="00FF2F8C"/>
    <w:rsid w:val="00FF2F99"/>
    <w:rsid w:val="00FF3038"/>
    <w:rsid w:val="00FF30CE"/>
    <w:rsid w:val="00FF3117"/>
    <w:rsid w:val="00FF3193"/>
    <w:rsid w:val="00FF3199"/>
    <w:rsid w:val="00FF31EB"/>
    <w:rsid w:val="00FF322E"/>
    <w:rsid w:val="00FF324F"/>
    <w:rsid w:val="00FF32BA"/>
    <w:rsid w:val="00FF32F4"/>
    <w:rsid w:val="00FF32FC"/>
    <w:rsid w:val="00FF3354"/>
    <w:rsid w:val="00FF33A6"/>
    <w:rsid w:val="00FF33E2"/>
    <w:rsid w:val="00FF3427"/>
    <w:rsid w:val="00FF3488"/>
    <w:rsid w:val="00FF34D6"/>
    <w:rsid w:val="00FF34F8"/>
    <w:rsid w:val="00FF3503"/>
    <w:rsid w:val="00FF35A2"/>
    <w:rsid w:val="00FF3612"/>
    <w:rsid w:val="00FF36A5"/>
    <w:rsid w:val="00FF370C"/>
    <w:rsid w:val="00FF3739"/>
    <w:rsid w:val="00FF379B"/>
    <w:rsid w:val="00FF37A8"/>
    <w:rsid w:val="00FF3824"/>
    <w:rsid w:val="00FF382B"/>
    <w:rsid w:val="00FF3836"/>
    <w:rsid w:val="00FF388D"/>
    <w:rsid w:val="00FF389D"/>
    <w:rsid w:val="00FF38D6"/>
    <w:rsid w:val="00FF3923"/>
    <w:rsid w:val="00FF3936"/>
    <w:rsid w:val="00FF3949"/>
    <w:rsid w:val="00FF395A"/>
    <w:rsid w:val="00FF395E"/>
    <w:rsid w:val="00FF39E6"/>
    <w:rsid w:val="00FF3A53"/>
    <w:rsid w:val="00FF3AA2"/>
    <w:rsid w:val="00FF3B2C"/>
    <w:rsid w:val="00FF3BDD"/>
    <w:rsid w:val="00FF3C65"/>
    <w:rsid w:val="00FF3C84"/>
    <w:rsid w:val="00FF3C96"/>
    <w:rsid w:val="00FF3CA0"/>
    <w:rsid w:val="00FF3DFC"/>
    <w:rsid w:val="00FF3E5C"/>
    <w:rsid w:val="00FF3F13"/>
    <w:rsid w:val="00FF3F1D"/>
    <w:rsid w:val="00FF3F1E"/>
    <w:rsid w:val="00FF3F6A"/>
    <w:rsid w:val="00FF3FAA"/>
    <w:rsid w:val="00FF3FC4"/>
    <w:rsid w:val="00FF3FCC"/>
    <w:rsid w:val="00FF3FD7"/>
    <w:rsid w:val="00FF3FF2"/>
    <w:rsid w:val="00FF400A"/>
    <w:rsid w:val="00FF4037"/>
    <w:rsid w:val="00FF40E5"/>
    <w:rsid w:val="00FF410F"/>
    <w:rsid w:val="00FF4138"/>
    <w:rsid w:val="00FF41AB"/>
    <w:rsid w:val="00FF41FF"/>
    <w:rsid w:val="00FF42FD"/>
    <w:rsid w:val="00FF4313"/>
    <w:rsid w:val="00FF433E"/>
    <w:rsid w:val="00FF43E8"/>
    <w:rsid w:val="00FF446C"/>
    <w:rsid w:val="00FF4517"/>
    <w:rsid w:val="00FF45BC"/>
    <w:rsid w:val="00FF464F"/>
    <w:rsid w:val="00FF467D"/>
    <w:rsid w:val="00FF4696"/>
    <w:rsid w:val="00FF469A"/>
    <w:rsid w:val="00FF46CE"/>
    <w:rsid w:val="00FF46F8"/>
    <w:rsid w:val="00FF4717"/>
    <w:rsid w:val="00FF4730"/>
    <w:rsid w:val="00FF4768"/>
    <w:rsid w:val="00FF47AA"/>
    <w:rsid w:val="00FF47B5"/>
    <w:rsid w:val="00FF47E9"/>
    <w:rsid w:val="00FF481B"/>
    <w:rsid w:val="00FF4886"/>
    <w:rsid w:val="00FF488F"/>
    <w:rsid w:val="00FF48D7"/>
    <w:rsid w:val="00FF491B"/>
    <w:rsid w:val="00FF4925"/>
    <w:rsid w:val="00FF498A"/>
    <w:rsid w:val="00FF4993"/>
    <w:rsid w:val="00FF49C5"/>
    <w:rsid w:val="00FF49FC"/>
    <w:rsid w:val="00FF4B26"/>
    <w:rsid w:val="00FF4B38"/>
    <w:rsid w:val="00FF4B7A"/>
    <w:rsid w:val="00FF4B9C"/>
    <w:rsid w:val="00FF4BA6"/>
    <w:rsid w:val="00FF4C7A"/>
    <w:rsid w:val="00FF4C9E"/>
    <w:rsid w:val="00FF4CE6"/>
    <w:rsid w:val="00FF4D45"/>
    <w:rsid w:val="00FF4DA6"/>
    <w:rsid w:val="00FF4DAA"/>
    <w:rsid w:val="00FF4DE4"/>
    <w:rsid w:val="00FF4DEA"/>
    <w:rsid w:val="00FF4E05"/>
    <w:rsid w:val="00FF4E6B"/>
    <w:rsid w:val="00FF4E93"/>
    <w:rsid w:val="00FF4ED9"/>
    <w:rsid w:val="00FF4EF5"/>
    <w:rsid w:val="00FF4F0B"/>
    <w:rsid w:val="00FF4F4B"/>
    <w:rsid w:val="00FF50F9"/>
    <w:rsid w:val="00FF51A7"/>
    <w:rsid w:val="00FF51B9"/>
    <w:rsid w:val="00FF520A"/>
    <w:rsid w:val="00FF520C"/>
    <w:rsid w:val="00FF523D"/>
    <w:rsid w:val="00FF5248"/>
    <w:rsid w:val="00FF524B"/>
    <w:rsid w:val="00FF5268"/>
    <w:rsid w:val="00FF527A"/>
    <w:rsid w:val="00FF5291"/>
    <w:rsid w:val="00FF5292"/>
    <w:rsid w:val="00FF52CF"/>
    <w:rsid w:val="00FF52DA"/>
    <w:rsid w:val="00FF52F4"/>
    <w:rsid w:val="00FF52FF"/>
    <w:rsid w:val="00FF530E"/>
    <w:rsid w:val="00FF53C9"/>
    <w:rsid w:val="00FF53FF"/>
    <w:rsid w:val="00FF5473"/>
    <w:rsid w:val="00FF5495"/>
    <w:rsid w:val="00FF54BC"/>
    <w:rsid w:val="00FF54CF"/>
    <w:rsid w:val="00FF5516"/>
    <w:rsid w:val="00FF5544"/>
    <w:rsid w:val="00FF55DA"/>
    <w:rsid w:val="00FF562F"/>
    <w:rsid w:val="00FF5698"/>
    <w:rsid w:val="00FF569B"/>
    <w:rsid w:val="00FF56F6"/>
    <w:rsid w:val="00FF570A"/>
    <w:rsid w:val="00FF5835"/>
    <w:rsid w:val="00FF583F"/>
    <w:rsid w:val="00FF58D2"/>
    <w:rsid w:val="00FF58D5"/>
    <w:rsid w:val="00FF590D"/>
    <w:rsid w:val="00FF599A"/>
    <w:rsid w:val="00FF59C3"/>
    <w:rsid w:val="00FF59EE"/>
    <w:rsid w:val="00FF5A2F"/>
    <w:rsid w:val="00FF5A3D"/>
    <w:rsid w:val="00FF5AA6"/>
    <w:rsid w:val="00FF5B67"/>
    <w:rsid w:val="00FF5B72"/>
    <w:rsid w:val="00FF5B96"/>
    <w:rsid w:val="00FF5BD5"/>
    <w:rsid w:val="00FF5C2D"/>
    <w:rsid w:val="00FF5C7F"/>
    <w:rsid w:val="00FF5CE8"/>
    <w:rsid w:val="00FF5D5E"/>
    <w:rsid w:val="00FF5D8D"/>
    <w:rsid w:val="00FF5E41"/>
    <w:rsid w:val="00FF5E59"/>
    <w:rsid w:val="00FF5E66"/>
    <w:rsid w:val="00FF5EA8"/>
    <w:rsid w:val="00FF5F19"/>
    <w:rsid w:val="00FF5F3F"/>
    <w:rsid w:val="00FF5F65"/>
    <w:rsid w:val="00FF5F82"/>
    <w:rsid w:val="00FF5F8A"/>
    <w:rsid w:val="00FF5F9D"/>
    <w:rsid w:val="00FF5FAB"/>
    <w:rsid w:val="00FF5FD0"/>
    <w:rsid w:val="00FF607C"/>
    <w:rsid w:val="00FF60D3"/>
    <w:rsid w:val="00FF60DA"/>
    <w:rsid w:val="00FF6105"/>
    <w:rsid w:val="00FF611E"/>
    <w:rsid w:val="00FF621F"/>
    <w:rsid w:val="00FF62E6"/>
    <w:rsid w:val="00FF630F"/>
    <w:rsid w:val="00FF6319"/>
    <w:rsid w:val="00FF637B"/>
    <w:rsid w:val="00FF6404"/>
    <w:rsid w:val="00FF642F"/>
    <w:rsid w:val="00FF6503"/>
    <w:rsid w:val="00FF652F"/>
    <w:rsid w:val="00FF6542"/>
    <w:rsid w:val="00FF65D3"/>
    <w:rsid w:val="00FF65D6"/>
    <w:rsid w:val="00FF65FA"/>
    <w:rsid w:val="00FF662E"/>
    <w:rsid w:val="00FF663D"/>
    <w:rsid w:val="00FF66D5"/>
    <w:rsid w:val="00FF6771"/>
    <w:rsid w:val="00FF67BF"/>
    <w:rsid w:val="00FF67C2"/>
    <w:rsid w:val="00FF6863"/>
    <w:rsid w:val="00FF6969"/>
    <w:rsid w:val="00FF6970"/>
    <w:rsid w:val="00FF6AD5"/>
    <w:rsid w:val="00FF6AE3"/>
    <w:rsid w:val="00FF6BBB"/>
    <w:rsid w:val="00FF6BC8"/>
    <w:rsid w:val="00FF6C06"/>
    <w:rsid w:val="00FF6CDF"/>
    <w:rsid w:val="00FF6D46"/>
    <w:rsid w:val="00FF6D8A"/>
    <w:rsid w:val="00FF6DD3"/>
    <w:rsid w:val="00FF6E37"/>
    <w:rsid w:val="00FF6E91"/>
    <w:rsid w:val="00FF6E9D"/>
    <w:rsid w:val="00FF6F08"/>
    <w:rsid w:val="00FF6F3E"/>
    <w:rsid w:val="00FF7010"/>
    <w:rsid w:val="00FF7068"/>
    <w:rsid w:val="00FF709D"/>
    <w:rsid w:val="00FF70DA"/>
    <w:rsid w:val="00FF7123"/>
    <w:rsid w:val="00FF7124"/>
    <w:rsid w:val="00FF7154"/>
    <w:rsid w:val="00FF717A"/>
    <w:rsid w:val="00FF7182"/>
    <w:rsid w:val="00FF71EB"/>
    <w:rsid w:val="00FF723C"/>
    <w:rsid w:val="00FF7262"/>
    <w:rsid w:val="00FF72E0"/>
    <w:rsid w:val="00FF72E7"/>
    <w:rsid w:val="00FF737B"/>
    <w:rsid w:val="00FF737F"/>
    <w:rsid w:val="00FF73C7"/>
    <w:rsid w:val="00FF73D4"/>
    <w:rsid w:val="00FF7428"/>
    <w:rsid w:val="00FF746A"/>
    <w:rsid w:val="00FF74C2"/>
    <w:rsid w:val="00FF7538"/>
    <w:rsid w:val="00FF759E"/>
    <w:rsid w:val="00FF76A0"/>
    <w:rsid w:val="00FF76A6"/>
    <w:rsid w:val="00FF76CA"/>
    <w:rsid w:val="00FF76DE"/>
    <w:rsid w:val="00FF76E5"/>
    <w:rsid w:val="00FF76F6"/>
    <w:rsid w:val="00FF76FA"/>
    <w:rsid w:val="00FF771F"/>
    <w:rsid w:val="00FF7748"/>
    <w:rsid w:val="00FF7777"/>
    <w:rsid w:val="00FF779D"/>
    <w:rsid w:val="00FF77AD"/>
    <w:rsid w:val="00FF7842"/>
    <w:rsid w:val="00FF7850"/>
    <w:rsid w:val="00FF7867"/>
    <w:rsid w:val="00FF78A5"/>
    <w:rsid w:val="00FF7911"/>
    <w:rsid w:val="00FF7918"/>
    <w:rsid w:val="00FF7978"/>
    <w:rsid w:val="00FF7984"/>
    <w:rsid w:val="00FF79DF"/>
    <w:rsid w:val="00FF7A11"/>
    <w:rsid w:val="00FF7A16"/>
    <w:rsid w:val="00FF7A19"/>
    <w:rsid w:val="00FF7AE2"/>
    <w:rsid w:val="00FF7B2C"/>
    <w:rsid w:val="00FF7B96"/>
    <w:rsid w:val="00FF7C03"/>
    <w:rsid w:val="00FF7C2A"/>
    <w:rsid w:val="00FF7C94"/>
    <w:rsid w:val="00FF7C9C"/>
    <w:rsid w:val="00FF7CAE"/>
    <w:rsid w:val="00FF7CBC"/>
    <w:rsid w:val="00FF7CC5"/>
    <w:rsid w:val="00FF7CDA"/>
    <w:rsid w:val="00FF7CFD"/>
    <w:rsid w:val="00FF7DA6"/>
    <w:rsid w:val="00FF7E1C"/>
    <w:rsid w:val="00FF7E3C"/>
    <w:rsid w:val="00FF7E44"/>
    <w:rsid w:val="00FF7E74"/>
    <w:rsid w:val="00FF7EA2"/>
    <w:rsid w:val="00FF7F03"/>
    <w:rsid w:val="00FF7F60"/>
    <w:rsid w:val="00FF7FD0"/>
    <w:rsid w:val="010ECF04"/>
    <w:rsid w:val="0134BAFF"/>
    <w:rsid w:val="0137CD20"/>
    <w:rsid w:val="01391FC0"/>
    <w:rsid w:val="0144A4A3"/>
    <w:rsid w:val="015701ED"/>
    <w:rsid w:val="015D9AD6"/>
    <w:rsid w:val="016E3C9E"/>
    <w:rsid w:val="016F7626"/>
    <w:rsid w:val="017C85E5"/>
    <w:rsid w:val="0190AB37"/>
    <w:rsid w:val="01B0E825"/>
    <w:rsid w:val="01B6E210"/>
    <w:rsid w:val="01BFE2D7"/>
    <w:rsid w:val="01C0C6F2"/>
    <w:rsid w:val="01C108A7"/>
    <w:rsid w:val="01C97533"/>
    <w:rsid w:val="01CDC42F"/>
    <w:rsid w:val="01D34CC0"/>
    <w:rsid w:val="01E09D96"/>
    <w:rsid w:val="01EB7C71"/>
    <w:rsid w:val="01EF4D73"/>
    <w:rsid w:val="01F3366B"/>
    <w:rsid w:val="02052BCF"/>
    <w:rsid w:val="02088060"/>
    <w:rsid w:val="020FCF5F"/>
    <w:rsid w:val="021C740B"/>
    <w:rsid w:val="022AE44B"/>
    <w:rsid w:val="023AA7EE"/>
    <w:rsid w:val="02431C9D"/>
    <w:rsid w:val="0256CCD4"/>
    <w:rsid w:val="0268FE3F"/>
    <w:rsid w:val="02780DCC"/>
    <w:rsid w:val="027CDC99"/>
    <w:rsid w:val="0284FE10"/>
    <w:rsid w:val="029204CA"/>
    <w:rsid w:val="02965226"/>
    <w:rsid w:val="029DC1C6"/>
    <w:rsid w:val="02B4B7E1"/>
    <w:rsid w:val="02BB6224"/>
    <w:rsid w:val="02BE6A94"/>
    <w:rsid w:val="02BEDC37"/>
    <w:rsid w:val="02C0321F"/>
    <w:rsid w:val="02C0B977"/>
    <w:rsid w:val="02C26941"/>
    <w:rsid w:val="02C3252D"/>
    <w:rsid w:val="02D2DC8C"/>
    <w:rsid w:val="02DD26B1"/>
    <w:rsid w:val="02DFAB09"/>
    <w:rsid w:val="02EB993C"/>
    <w:rsid w:val="02F6C025"/>
    <w:rsid w:val="03073FE0"/>
    <w:rsid w:val="030CF111"/>
    <w:rsid w:val="03139194"/>
    <w:rsid w:val="031CC310"/>
    <w:rsid w:val="033560FC"/>
    <w:rsid w:val="035AFF00"/>
    <w:rsid w:val="035B8BF3"/>
    <w:rsid w:val="03643DA1"/>
    <w:rsid w:val="0378346C"/>
    <w:rsid w:val="039821BB"/>
    <w:rsid w:val="0398C31B"/>
    <w:rsid w:val="039F4C96"/>
    <w:rsid w:val="03B05BE5"/>
    <w:rsid w:val="03C04170"/>
    <w:rsid w:val="03C42754"/>
    <w:rsid w:val="03CA61C2"/>
    <w:rsid w:val="03D3916A"/>
    <w:rsid w:val="03D4F9DA"/>
    <w:rsid w:val="03D7A280"/>
    <w:rsid w:val="03DE1942"/>
    <w:rsid w:val="03E68075"/>
    <w:rsid w:val="040DB49B"/>
    <w:rsid w:val="0410029A"/>
    <w:rsid w:val="04191B4E"/>
    <w:rsid w:val="04198C22"/>
    <w:rsid w:val="041BC079"/>
    <w:rsid w:val="042ABE47"/>
    <w:rsid w:val="042B98AD"/>
    <w:rsid w:val="042F41DF"/>
    <w:rsid w:val="043ADD05"/>
    <w:rsid w:val="04411B44"/>
    <w:rsid w:val="0462C9E9"/>
    <w:rsid w:val="0468D358"/>
    <w:rsid w:val="04786B14"/>
    <w:rsid w:val="04822E94"/>
    <w:rsid w:val="0485E753"/>
    <w:rsid w:val="048BD05B"/>
    <w:rsid w:val="048F99F8"/>
    <w:rsid w:val="04C3FFD1"/>
    <w:rsid w:val="04EDB53B"/>
    <w:rsid w:val="04FEBCCE"/>
    <w:rsid w:val="0505F6A9"/>
    <w:rsid w:val="050F8784"/>
    <w:rsid w:val="05152519"/>
    <w:rsid w:val="051E5FD8"/>
    <w:rsid w:val="051ED971"/>
    <w:rsid w:val="05463019"/>
    <w:rsid w:val="0547DA7A"/>
    <w:rsid w:val="054A4276"/>
    <w:rsid w:val="05932BC2"/>
    <w:rsid w:val="05A1DD4E"/>
    <w:rsid w:val="05A75224"/>
    <w:rsid w:val="05A97B54"/>
    <w:rsid w:val="05AEBDFA"/>
    <w:rsid w:val="05C311CB"/>
    <w:rsid w:val="05C6559C"/>
    <w:rsid w:val="05D70031"/>
    <w:rsid w:val="05DD48DB"/>
    <w:rsid w:val="05E03C48"/>
    <w:rsid w:val="05F28090"/>
    <w:rsid w:val="05F4F98F"/>
    <w:rsid w:val="06170D24"/>
    <w:rsid w:val="06217581"/>
    <w:rsid w:val="0629854B"/>
    <w:rsid w:val="06396374"/>
    <w:rsid w:val="064D2B39"/>
    <w:rsid w:val="0675E44F"/>
    <w:rsid w:val="067E9C88"/>
    <w:rsid w:val="068C6E0C"/>
    <w:rsid w:val="06931595"/>
    <w:rsid w:val="06A3DF55"/>
    <w:rsid w:val="06E4E3C4"/>
    <w:rsid w:val="0733C180"/>
    <w:rsid w:val="0750BF43"/>
    <w:rsid w:val="07524910"/>
    <w:rsid w:val="076123A9"/>
    <w:rsid w:val="0762B3B4"/>
    <w:rsid w:val="07644544"/>
    <w:rsid w:val="077CC8A5"/>
    <w:rsid w:val="07A10D21"/>
    <w:rsid w:val="07A21E1F"/>
    <w:rsid w:val="07B6FEEF"/>
    <w:rsid w:val="07BC02ED"/>
    <w:rsid w:val="07CB34C4"/>
    <w:rsid w:val="07CDDFFE"/>
    <w:rsid w:val="07CE08B8"/>
    <w:rsid w:val="07D5FF5A"/>
    <w:rsid w:val="07E2ED6F"/>
    <w:rsid w:val="07FD10E2"/>
    <w:rsid w:val="0807A770"/>
    <w:rsid w:val="080E6EDA"/>
    <w:rsid w:val="08195AFE"/>
    <w:rsid w:val="0839D48C"/>
    <w:rsid w:val="083E4AA1"/>
    <w:rsid w:val="084CC783"/>
    <w:rsid w:val="085BA05D"/>
    <w:rsid w:val="0860FE01"/>
    <w:rsid w:val="08619B57"/>
    <w:rsid w:val="08624E86"/>
    <w:rsid w:val="0864C0AD"/>
    <w:rsid w:val="08662FCE"/>
    <w:rsid w:val="08A33D46"/>
    <w:rsid w:val="08A52D31"/>
    <w:rsid w:val="08C0D26D"/>
    <w:rsid w:val="08D8EC55"/>
    <w:rsid w:val="08F64BE2"/>
    <w:rsid w:val="08FA32C1"/>
    <w:rsid w:val="08FB4460"/>
    <w:rsid w:val="08FBB057"/>
    <w:rsid w:val="08FCF267"/>
    <w:rsid w:val="091186E1"/>
    <w:rsid w:val="09164C9C"/>
    <w:rsid w:val="091EC88A"/>
    <w:rsid w:val="0923958D"/>
    <w:rsid w:val="09265803"/>
    <w:rsid w:val="092E12DA"/>
    <w:rsid w:val="0957405D"/>
    <w:rsid w:val="0959C3BE"/>
    <w:rsid w:val="095A621C"/>
    <w:rsid w:val="095E908D"/>
    <w:rsid w:val="095EAC20"/>
    <w:rsid w:val="0970DCF8"/>
    <w:rsid w:val="0975C2A2"/>
    <w:rsid w:val="097D2D90"/>
    <w:rsid w:val="09971CC6"/>
    <w:rsid w:val="09A52BB6"/>
    <w:rsid w:val="09A653E5"/>
    <w:rsid w:val="09ADC5AD"/>
    <w:rsid w:val="09B71D58"/>
    <w:rsid w:val="09CBA59C"/>
    <w:rsid w:val="09E1125E"/>
    <w:rsid w:val="09FF2F4D"/>
    <w:rsid w:val="0A085D8C"/>
    <w:rsid w:val="0A2B92EB"/>
    <w:rsid w:val="0A43AC4C"/>
    <w:rsid w:val="0A52F4DA"/>
    <w:rsid w:val="0A5E029E"/>
    <w:rsid w:val="0A77E336"/>
    <w:rsid w:val="0A87BB00"/>
    <w:rsid w:val="0A9E8524"/>
    <w:rsid w:val="0AAE7262"/>
    <w:rsid w:val="0AB06668"/>
    <w:rsid w:val="0AB9E26F"/>
    <w:rsid w:val="0ABBB348"/>
    <w:rsid w:val="0AD08764"/>
    <w:rsid w:val="0AD28F63"/>
    <w:rsid w:val="0AD86437"/>
    <w:rsid w:val="0AE98DB8"/>
    <w:rsid w:val="0AF27D39"/>
    <w:rsid w:val="0AF955A7"/>
    <w:rsid w:val="0B18F37F"/>
    <w:rsid w:val="0B1A5584"/>
    <w:rsid w:val="0B1D4025"/>
    <w:rsid w:val="0B229D00"/>
    <w:rsid w:val="0B294BE6"/>
    <w:rsid w:val="0B32EE05"/>
    <w:rsid w:val="0B4C5ADA"/>
    <w:rsid w:val="0B561B5B"/>
    <w:rsid w:val="0B802DDD"/>
    <w:rsid w:val="0B83A9E1"/>
    <w:rsid w:val="0B89C0FD"/>
    <w:rsid w:val="0B8F97B4"/>
    <w:rsid w:val="0BAC5622"/>
    <w:rsid w:val="0BB930BF"/>
    <w:rsid w:val="0BBAA2FD"/>
    <w:rsid w:val="0BC2D32C"/>
    <w:rsid w:val="0BE4B839"/>
    <w:rsid w:val="0BEA9066"/>
    <w:rsid w:val="0BEB3B28"/>
    <w:rsid w:val="0C115359"/>
    <w:rsid w:val="0C12E4AB"/>
    <w:rsid w:val="0C142276"/>
    <w:rsid w:val="0C1A981E"/>
    <w:rsid w:val="0C271722"/>
    <w:rsid w:val="0C4EC900"/>
    <w:rsid w:val="0C614742"/>
    <w:rsid w:val="0C6306AB"/>
    <w:rsid w:val="0C786DD0"/>
    <w:rsid w:val="0CA9C933"/>
    <w:rsid w:val="0CB29F9E"/>
    <w:rsid w:val="0CB2C985"/>
    <w:rsid w:val="0CC4C655"/>
    <w:rsid w:val="0CCBA6CC"/>
    <w:rsid w:val="0CCBB6C1"/>
    <w:rsid w:val="0CCCB0F7"/>
    <w:rsid w:val="0CCD5BE0"/>
    <w:rsid w:val="0CED726C"/>
    <w:rsid w:val="0CF013CD"/>
    <w:rsid w:val="0CF62B64"/>
    <w:rsid w:val="0D081D2A"/>
    <w:rsid w:val="0D11023A"/>
    <w:rsid w:val="0D24AD11"/>
    <w:rsid w:val="0D3EA5C2"/>
    <w:rsid w:val="0D464579"/>
    <w:rsid w:val="0D594632"/>
    <w:rsid w:val="0D862314"/>
    <w:rsid w:val="0D8BBC0D"/>
    <w:rsid w:val="0D9092EF"/>
    <w:rsid w:val="0D9367EC"/>
    <w:rsid w:val="0D9CDBE6"/>
    <w:rsid w:val="0DC38074"/>
    <w:rsid w:val="0DD12E11"/>
    <w:rsid w:val="0DDD94A1"/>
    <w:rsid w:val="0E0D8E7C"/>
    <w:rsid w:val="0E0F613F"/>
    <w:rsid w:val="0E1DEB2C"/>
    <w:rsid w:val="0E3E7D49"/>
    <w:rsid w:val="0E40E485"/>
    <w:rsid w:val="0E41C226"/>
    <w:rsid w:val="0E574F5A"/>
    <w:rsid w:val="0E5AB3F1"/>
    <w:rsid w:val="0E6A3016"/>
    <w:rsid w:val="0E6A481A"/>
    <w:rsid w:val="0E86826A"/>
    <w:rsid w:val="0E8CAE42"/>
    <w:rsid w:val="0E910ECD"/>
    <w:rsid w:val="0EA730C0"/>
    <w:rsid w:val="0EA7735F"/>
    <w:rsid w:val="0EB1D2F0"/>
    <w:rsid w:val="0EFDE1B4"/>
    <w:rsid w:val="0F22A919"/>
    <w:rsid w:val="0F2A6563"/>
    <w:rsid w:val="0F2B390B"/>
    <w:rsid w:val="0F4FD7AA"/>
    <w:rsid w:val="0F563558"/>
    <w:rsid w:val="0F69A5D8"/>
    <w:rsid w:val="0F75A893"/>
    <w:rsid w:val="0F8D7DD3"/>
    <w:rsid w:val="0F903613"/>
    <w:rsid w:val="0F913232"/>
    <w:rsid w:val="0F96E159"/>
    <w:rsid w:val="0FA534B9"/>
    <w:rsid w:val="0FC5CE49"/>
    <w:rsid w:val="0FD88054"/>
    <w:rsid w:val="0FE1BCA7"/>
    <w:rsid w:val="0FE20060"/>
    <w:rsid w:val="0FF00A56"/>
    <w:rsid w:val="0FF34C92"/>
    <w:rsid w:val="0FFBA02F"/>
    <w:rsid w:val="0FFBE47E"/>
    <w:rsid w:val="102B344D"/>
    <w:rsid w:val="103033BC"/>
    <w:rsid w:val="10306F20"/>
    <w:rsid w:val="104190D7"/>
    <w:rsid w:val="104F0366"/>
    <w:rsid w:val="105E63E1"/>
    <w:rsid w:val="106C596E"/>
    <w:rsid w:val="108BD103"/>
    <w:rsid w:val="1090C119"/>
    <w:rsid w:val="109D5838"/>
    <w:rsid w:val="109F984D"/>
    <w:rsid w:val="10CB1F08"/>
    <w:rsid w:val="10E42D04"/>
    <w:rsid w:val="10F92EA1"/>
    <w:rsid w:val="110934DF"/>
    <w:rsid w:val="11186B38"/>
    <w:rsid w:val="111BF5B8"/>
    <w:rsid w:val="111C3BFA"/>
    <w:rsid w:val="11288160"/>
    <w:rsid w:val="11389312"/>
    <w:rsid w:val="113F6C5A"/>
    <w:rsid w:val="1140BDA5"/>
    <w:rsid w:val="1140DF74"/>
    <w:rsid w:val="1154554A"/>
    <w:rsid w:val="11637F41"/>
    <w:rsid w:val="11670338"/>
    <w:rsid w:val="1168BFCC"/>
    <w:rsid w:val="1197E834"/>
    <w:rsid w:val="11D2B361"/>
    <w:rsid w:val="11D39100"/>
    <w:rsid w:val="11E723AF"/>
    <w:rsid w:val="11F5724C"/>
    <w:rsid w:val="11FA6360"/>
    <w:rsid w:val="120406BC"/>
    <w:rsid w:val="121392E6"/>
    <w:rsid w:val="1213C4AD"/>
    <w:rsid w:val="12150947"/>
    <w:rsid w:val="121A8030"/>
    <w:rsid w:val="121BE403"/>
    <w:rsid w:val="121C408D"/>
    <w:rsid w:val="1222C6E0"/>
    <w:rsid w:val="12327392"/>
    <w:rsid w:val="1235BD87"/>
    <w:rsid w:val="12377185"/>
    <w:rsid w:val="123D14E5"/>
    <w:rsid w:val="12422C57"/>
    <w:rsid w:val="12506711"/>
    <w:rsid w:val="12542C75"/>
    <w:rsid w:val="127461E4"/>
    <w:rsid w:val="12882C71"/>
    <w:rsid w:val="128FD58B"/>
    <w:rsid w:val="129451AF"/>
    <w:rsid w:val="12986F5F"/>
    <w:rsid w:val="1298BA74"/>
    <w:rsid w:val="12A5A168"/>
    <w:rsid w:val="12B45411"/>
    <w:rsid w:val="12C32962"/>
    <w:rsid w:val="12CFED71"/>
    <w:rsid w:val="12D8B6ED"/>
    <w:rsid w:val="12E56DB1"/>
    <w:rsid w:val="12F76DB9"/>
    <w:rsid w:val="13095D49"/>
    <w:rsid w:val="131630A6"/>
    <w:rsid w:val="1322F284"/>
    <w:rsid w:val="13276B80"/>
    <w:rsid w:val="13409E16"/>
    <w:rsid w:val="136E0A8C"/>
    <w:rsid w:val="1376E0DE"/>
    <w:rsid w:val="139A059A"/>
    <w:rsid w:val="139D899B"/>
    <w:rsid w:val="139F0BDE"/>
    <w:rsid w:val="13BDEAF3"/>
    <w:rsid w:val="13C371C5"/>
    <w:rsid w:val="13E4985A"/>
    <w:rsid w:val="13E9A3E2"/>
    <w:rsid w:val="140301EF"/>
    <w:rsid w:val="140FFA8E"/>
    <w:rsid w:val="143B0974"/>
    <w:rsid w:val="144D871F"/>
    <w:rsid w:val="144EDD0A"/>
    <w:rsid w:val="1462DC65"/>
    <w:rsid w:val="1476D6CD"/>
    <w:rsid w:val="14785E67"/>
    <w:rsid w:val="14849DA0"/>
    <w:rsid w:val="14AAF4EC"/>
    <w:rsid w:val="14B0D0CB"/>
    <w:rsid w:val="14D3FC60"/>
    <w:rsid w:val="14E8DF4E"/>
    <w:rsid w:val="151831D5"/>
    <w:rsid w:val="15230920"/>
    <w:rsid w:val="15250FA0"/>
    <w:rsid w:val="15371D37"/>
    <w:rsid w:val="153D5544"/>
    <w:rsid w:val="1541B5FA"/>
    <w:rsid w:val="15508354"/>
    <w:rsid w:val="1552B25F"/>
    <w:rsid w:val="156679F1"/>
    <w:rsid w:val="156DDEE2"/>
    <w:rsid w:val="15710A85"/>
    <w:rsid w:val="15890466"/>
    <w:rsid w:val="15980FF9"/>
    <w:rsid w:val="159AD330"/>
    <w:rsid w:val="15A46091"/>
    <w:rsid w:val="15AD0477"/>
    <w:rsid w:val="15B4BDDA"/>
    <w:rsid w:val="15B53F9B"/>
    <w:rsid w:val="15C7E407"/>
    <w:rsid w:val="15CB1013"/>
    <w:rsid w:val="15E012B9"/>
    <w:rsid w:val="15F7BCE2"/>
    <w:rsid w:val="16158F5E"/>
    <w:rsid w:val="163E44DA"/>
    <w:rsid w:val="164524C4"/>
    <w:rsid w:val="16464485"/>
    <w:rsid w:val="1646A92C"/>
    <w:rsid w:val="1658FDAA"/>
    <w:rsid w:val="16678B43"/>
    <w:rsid w:val="168D386E"/>
    <w:rsid w:val="16BCB775"/>
    <w:rsid w:val="16C2E9CA"/>
    <w:rsid w:val="16D41DE0"/>
    <w:rsid w:val="16DC7E12"/>
    <w:rsid w:val="16E82F91"/>
    <w:rsid w:val="16E9FD2A"/>
    <w:rsid w:val="16FC7D1C"/>
    <w:rsid w:val="170A8171"/>
    <w:rsid w:val="170A9323"/>
    <w:rsid w:val="172369D4"/>
    <w:rsid w:val="172CCC58"/>
    <w:rsid w:val="17403257"/>
    <w:rsid w:val="174A181B"/>
    <w:rsid w:val="174D87DD"/>
    <w:rsid w:val="1757DA85"/>
    <w:rsid w:val="175AECE6"/>
    <w:rsid w:val="177B005A"/>
    <w:rsid w:val="179CFF5F"/>
    <w:rsid w:val="179F86C9"/>
    <w:rsid w:val="17B110A4"/>
    <w:rsid w:val="17CAD409"/>
    <w:rsid w:val="17CB3305"/>
    <w:rsid w:val="17DAE0DB"/>
    <w:rsid w:val="17EB5B52"/>
    <w:rsid w:val="17ED28E4"/>
    <w:rsid w:val="1802EEE2"/>
    <w:rsid w:val="180E4F39"/>
    <w:rsid w:val="181FD254"/>
    <w:rsid w:val="1820B900"/>
    <w:rsid w:val="183068C7"/>
    <w:rsid w:val="184CF5B1"/>
    <w:rsid w:val="1862EB0A"/>
    <w:rsid w:val="18636D39"/>
    <w:rsid w:val="18768CDD"/>
    <w:rsid w:val="1880354F"/>
    <w:rsid w:val="18881415"/>
    <w:rsid w:val="18888425"/>
    <w:rsid w:val="188A7764"/>
    <w:rsid w:val="18A1B701"/>
    <w:rsid w:val="18A6123D"/>
    <w:rsid w:val="18B6276A"/>
    <w:rsid w:val="18CE76F8"/>
    <w:rsid w:val="18DC1F45"/>
    <w:rsid w:val="18DCFED7"/>
    <w:rsid w:val="18E3FABD"/>
    <w:rsid w:val="18E42214"/>
    <w:rsid w:val="18F241E5"/>
    <w:rsid w:val="18F688E1"/>
    <w:rsid w:val="18F8EA71"/>
    <w:rsid w:val="19020EC5"/>
    <w:rsid w:val="190DE80B"/>
    <w:rsid w:val="191B16C9"/>
    <w:rsid w:val="1929FF05"/>
    <w:rsid w:val="192AEA08"/>
    <w:rsid w:val="192B675D"/>
    <w:rsid w:val="192CE284"/>
    <w:rsid w:val="19352DD8"/>
    <w:rsid w:val="1946CB6A"/>
    <w:rsid w:val="194C3798"/>
    <w:rsid w:val="19523703"/>
    <w:rsid w:val="196A935B"/>
    <w:rsid w:val="196B8A50"/>
    <w:rsid w:val="197223D2"/>
    <w:rsid w:val="1973034B"/>
    <w:rsid w:val="197F4AC9"/>
    <w:rsid w:val="198CC23E"/>
    <w:rsid w:val="19AAB105"/>
    <w:rsid w:val="19ADF4F1"/>
    <w:rsid w:val="19B5B0E9"/>
    <w:rsid w:val="19BC72B0"/>
    <w:rsid w:val="19BDB137"/>
    <w:rsid w:val="19BE86E0"/>
    <w:rsid w:val="19E1614F"/>
    <w:rsid w:val="19FE7C5A"/>
    <w:rsid w:val="1A02AF27"/>
    <w:rsid w:val="1A0C6667"/>
    <w:rsid w:val="1A202B4F"/>
    <w:rsid w:val="1A286FF3"/>
    <w:rsid w:val="1A2D0647"/>
    <w:rsid w:val="1A385AD4"/>
    <w:rsid w:val="1A436A8B"/>
    <w:rsid w:val="1A5A7BAA"/>
    <w:rsid w:val="1A8D4AD8"/>
    <w:rsid w:val="1A99CD48"/>
    <w:rsid w:val="1AAE4CE3"/>
    <w:rsid w:val="1AB285D5"/>
    <w:rsid w:val="1AB3CBFC"/>
    <w:rsid w:val="1AB91FB5"/>
    <w:rsid w:val="1ABE494C"/>
    <w:rsid w:val="1ABE69C7"/>
    <w:rsid w:val="1ACB253C"/>
    <w:rsid w:val="1ADDD450"/>
    <w:rsid w:val="1AE3A06C"/>
    <w:rsid w:val="1AE535C5"/>
    <w:rsid w:val="1AF48177"/>
    <w:rsid w:val="1B10C11C"/>
    <w:rsid w:val="1B123185"/>
    <w:rsid w:val="1B1854C9"/>
    <w:rsid w:val="1B1C128D"/>
    <w:rsid w:val="1B1D9BB6"/>
    <w:rsid w:val="1B20452E"/>
    <w:rsid w:val="1B205F4F"/>
    <w:rsid w:val="1B2CFD25"/>
    <w:rsid w:val="1B2EBD14"/>
    <w:rsid w:val="1B34CB0A"/>
    <w:rsid w:val="1B383AC1"/>
    <w:rsid w:val="1B3B17D9"/>
    <w:rsid w:val="1B3CD8F9"/>
    <w:rsid w:val="1B47B2A0"/>
    <w:rsid w:val="1B4F95DF"/>
    <w:rsid w:val="1B562AF0"/>
    <w:rsid w:val="1B6EF82C"/>
    <w:rsid w:val="1B80FDBF"/>
    <w:rsid w:val="1B855A98"/>
    <w:rsid w:val="1B8C9321"/>
    <w:rsid w:val="1B989E69"/>
    <w:rsid w:val="1BC6E877"/>
    <w:rsid w:val="1BE75812"/>
    <w:rsid w:val="1C0C94D3"/>
    <w:rsid w:val="1C0D6B42"/>
    <w:rsid w:val="1C1495E8"/>
    <w:rsid w:val="1C1B7BB2"/>
    <w:rsid w:val="1C32C6B5"/>
    <w:rsid w:val="1C3A497D"/>
    <w:rsid w:val="1C546B89"/>
    <w:rsid w:val="1C54BCD8"/>
    <w:rsid w:val="1C5A8B42"/>
    <w:rsid w:val="1C69B077"/>
    <w:rsid w:val="1C7BC371"/>
    <w:rsid w:val="1C7D3075"/>
    <w:rsid w:val="1C8326C5"/>
    <w:rsid w:val="1CB70728"/>
    <w:rsid w:val="1CD0DA01"/>
    <w:rsid w:val="1CF3AD76"/>
    <w:rsid w:val="1CF8D5EE"/>
    <w:rsid w:val="1D064A19"/>
    <w:rsid w:val="1D0B08B0"/>
    <w:rsid w:val="1D0E6FA5"/>
    <w:rsid w:val="1D0F5F20"/>
    <w:rsid w:val="1D0FFD0C"/>
    <w:rsid w:val="1D10754C"/>
    <w:rsid w:val="1D1F2113"/>
    <w:rsid w:val="1D20C0A0"/>
    <w:rsid w:val="1D2CA080"/>
    <w:rsid w:val="1D2FC114"/>
    <w:rsid w:val="1D4A42B3"/>
    <w:rsid w:val="1D68AE8D"/>
    <w:rsid w:val="1D7C4F3B"/>
    <w:rsid w:val="1D7F2D5F"/>
    <w:rsid w:val="1D802011"/>
    <w:rsid w:val="1DA8B91D"/>
    <w:rsid w:val="1DDB7468"/>
    <w:rsid w:val="1E061850"/>
    <w:rsid w:val="1E204E7E"/>
    <w:rsid w:val="1E2C0A42"/>
    <w:rsid w:val="1E364880"/>
    <w:rsid w:val="1E37FC1E"/>
    <w:rsid w:val="1E39DBF2"/>
    <w:rsid w:val="1E4539D5"/>
    <w:rsid w:val="1E58DE4E"/>
    <w:rsid w:val="1E665D3E"/>
    <w:rsid w:val="1E8E0010"/>
    <w:rsid w:val="1ED06626"/>
    <w:rsid w:val="1EDE6486"/>
    <w:rsid w:val="1EE1A58F"/>
    <w:rsid w:val="1EF79D46"/>
    <w:rsid w:val="1EF90784"/>
    <w:rsid w:val="1F1A943C"/>
    <w:rsid w:val="1F1CF121"/>
    <w:rsid w:val="1F22DC86"/>
    <w:rsid w:val="1F27972C"/>
    <w:rsid w:val="1F2CCCA6"/>
    <w:rsid w:val="1F326323"/>
    <w:rsid w:val="1F3FAB00"/>
    <w:rsid w:val="1F4C14FF"/>
    <w:rsid w:val="1F638CC7"/>
    <w:rsid w:val="1F9B0644"/>
    <w:rsid w:val="1FB61570"/>
    <w:rsid w:val="1FBA5C23"/>
    <w:rsid w:val="1FC51C35"/>
    <w:rsid w:val="1FCC6373"/>
    <w:rsid w:val="1FDB9C65"/>
    <w:rsid w:val="1FF57F17"/>
    <w:rsid w:val="200D0D43"/>
    <w:rsid w:val="20108C91"/>
    <w:rsid w:val="202E49E8"/>
    <w:rsid w:val="20300242"/>
    <w:rsid w:val="2075FEF8"/>
    <w:rsid w:val="20783026"/>
    <w:rsid w:val="207D41E6"/>
    <w:rsid w:val="208BF881"/>
    <w:rsid w:val="208C2072"/>
    <w:rsid w:val="209034E9"/>
    <w:rsid w:val="20B15ECB"/>
    <w:rsid w:val="20B7E750"/>
    <w:rsid w:val="20C1537E"/>
    <w:rsid w:val="20C254F5"/>
    <w:rsid w:val="20CC08FD"/>
    <w:rsid w:val="20DF95EB"/>
    <w:rsid w:val="20E71834"/>
    <w:rsid w:val="20EAABEC"/>
    <w:rsid w:val="20ECB06B"/>
    <w:rsid w:val="20FF10AA"/>
    <w:rsid w:val="2119DAA1"/>
    <w:rsid w:val="2126FF0B"/>
    <w:rsid w:val="212C9E48"/>
    <w:rsid w:val="212E0A88"/>
    <w:rsid w:val="213049AA"/>
    <w:rsid w:val="2141706E"/>
    <w:rsid w:val="214F52B4"/>
    <w:rsid w:val="2159465E"/>
    <w:rsid w:val="216AD9F8"/>
    <w:rsid w:val="216E7485"/>
    <w:rsid w:val="21808264"/>
    <w:rsid w:val="218FE77F"/>
    <w:rsid w:val="2196C777"/>
    <w:rsid w:val="219E8C60"/>
    <w:rsid w:val="21B440C1"/>
    <w:rsid w:val="21B7B535"/>
    <w:rsid w:val="21BB7276"/>
    <w:rsid w:val="21CD39FD"/>
    <w:rsid w:val="21D17011"/>
    <w:rsid w:val="21D44A66"/>
    <w:rsid w:val="21E31AAA"/>
    <w:rsid w:val="21EC9A8B"/>
    <w:rsid w:val="21F15AE9"/>
    <w:rsid w:val="21F3BE72"/>
    <w:rsid w:val="21FAA3C6"/>
    <w:rsid w:val="2203D609"/>
    <w:rsid w:val="220E07F6"/>
    <w:rsid w:val="22194155"/>
    <w:rsid w:val="2225D2D6"/>
    <w:rsid w:val="22264400"/>
    <w:rsid w:val="22308CDC"/>
    <w:rsid w:val="225F0013"/>
    <w:rsid w:val="226B47A5"/>
    <w:rsid w:val="2283F65B"/>
    <w:rsid w:val="228DEF2E"/>
    <w:rsid w:val="22901BBA"/>
    <w:rsid w:val="229648A9"/>
    <w:rsid w:val="22AE07C9"/>
    <w:rsid w:val="22B562D2"/>
    <w:rsid w:val="22BDB7BD"/>
    <w:rsid w:val="22C40A98"/>
    <w:rsid w:val="22E78B53"/>
    <w:rsid w:val="22F0734B"/>
    <w:rsid w:val="230064B2"/>
    <w:rsid w:val="230E1E59"/>
    <w:rsid w:val="23116568"/>
    <w:rsid w:val="23285DFA"/>
    <w:rsid w:val="232A5261"/>
    <w:rsid w:val="232DD090"/>
    <w:rsid w:val="233530DE"/>
    <w:rsid w:val="23518636"/>
    <w:rsid w:val="23607132"/>
    <w:rsid w:val="236107A8"/>
    <w:rsid w:val="2367DB25"/>
    <w:rsid w:val="2372B904"/>
    <w:rsid w:val="237769BB"/>
    <w:rsid w:val="239B7231"/>
    <w:rsid w:val="23A828AB"/>
    <w:rsid w:val="23A8E07C"/>
    <w:rsid w:val="23AFFEDC"/>
    <w:rsid w:val="23B01A01"/>
    <w:rsid w:val="23BEEB93"/>
    <w:rsid w:val="23BFF204"/>
    <w:rsid w:val="23D38209"/>
    <w:rsid w:val="23D6A8B1"/>
    <w:rsid w:val="23D82B06"/>
    <w:rsid w:val="23E815FB"/>
    <w:rsid w:val="23E86815"/>
    <w:rsid w:val="23E9459F"/>
    <w:rsid w:val="23FECF67"/>
    <w:rsid w:val="24045A51"/>
    <w:rsid w:val="2428500E"/>
    <w:rsid w:val="242F5AF0"/>
    <w:rsid w:val="243B6611"/>
    <w:rsid w:val="246858F8"/>
    <w:rsid w:val="2471414B"/>
    <w:rsid w:val="248A1578"/>
    <w:rsid w:val="248DF03E"/>
    <w:rsid w:val="24CACBC9"/>
    <w:rsid w:val="24D14FE2"/>
    <w:rsid w:val="250A5939"/>
    <w:rsid w:val="25519877"/>
    <w:rsid w:val="256599CB"/>
    <w:rsid w:val="256F0F7C"/>
    <w:rsid w:val="25758932"/>
    <w:rsid w:val="257C04F1"/>
    <w:rsid w:val="257FE260"/>
    <w:rsid w:val="258A4B70"/>
    <w:rsid w:val="259A4416"/>
    <w:rsid w:val="259BDC77"/>
    <w:rsid w:val="25B783D1"/>
    <w:rsid w:val="25BBA730"/>
    <w:rsid w:val="25BC89D4"/>
    <w:rsid w:val="25C7A9AD"/>
    <w:rsid w:val="25CC73AC"/>
    <w:rsid w:val="25D794DE"/>
    <w:rsid w:val="25DC875A"/>
    <w:rsid w:val="25E8927A"/>
    <w:rsid w:val="25FB0469"/>
    <w:rsid w:val="25FD6C61"/>
    <w:rsid w:val="26155AFC"/>
    <w:rsid w:val="261D65AD"/>
    <w:rsid w:val="261E731F"/>
    <w:rsid w:val="26265313"/>
    <w:rsid w:val="262A4812"/>
    <w:rsid w:val="262D94CE"/>
    <w:rsid w:val="263269C2"/>
    <w:rsid w:val="26717120"/>
    <w:rsid w:val="26738CDB"/>
    <w:rsid w:val="26AE20BD"/>
    <w:rsid w:val="26AF1201"/>
    <w:rsid w:val="26B7BE24"/>
    <w:rsid w:val="26BD6D9D"/>
    <w:rsid w:val="26C79835"/>
    <w:rsid w:val="26CF2D28"/>
    <w:rsid w:val="26D54D13"/>
    <w:rsid w:val="26D6B2AE"/>
    <w:rsid w:val="26D9F5E3"/>
    <w:rsid w:val="26DBD8D8"/>
    <w:rsid w:val="26E9A8E0"/>
    <w:rsid w:val="26EAF7D2"/>
    <w:rsid w:val="27005713"/>
    <w:rsid w:val="270A3429"/>
    <w:rsid w:val="2712F164"/>
    <w:rsid w:val="2723A1A2"/>
    <w:rsid w:val="2729167A"/>
    <w:rsid w:val="274455EF"/>
    <w:rsid w:val="275F6DC2"/>
    <w:rsid w:val="2763902D"/>
    <w:rsid w:val="27674ACF"/>
    <w:rsid w:val="277FB285"/>
    <w:rsid w:val="278AE7F7"/>
    <w:rsid w:val="27A4155D"/>
    <w:rsid w:val="27AFE848"/>
    <w:rsid w:val="27B05168"/>
    <w:rsid w:val="27B3322A"/>
    <w:rsid w:val="27BBFBD0"/>
    <w:rsid w:val="27C76BE1"/>
    <w:rsid w:val="27CA724D"/>
    <w:rsid w:val="27CFEDB7"/>
    <w:rsid w:val="27CFF0F4"/>
    <w:rsid w:val="27D00547"/>
    <w:rsid w:val="27D423D8"/>
    <w:rsid w:val="27DC2D73"/>
    <w:rsid w:val="27F97CD0"/>
    <w:rsid w:val="281084B6"/>
    <w:rsid w:val="281B7CA8"/>
    <w:rsid w:val="28249422"/>
    <w:rsid w:val="28281DFF"/>
    <w:rsid w:val="282A7661"/>
    <w:rsid w:val="282D92DE"/>
    <w:rsid w:val="282E4549"/>
    <w:rsid w:val="28405A43"/>
    <w:rsid w:val="28523870"/>
    <w:rsid w:val="286C1765"/>
    <w:rsid w:val="28B0D8F0"/>
    <w:rsid w:val="28BC5CE3"/>
    <w:rsid w:val="28E00155"/>
    <w:rsid w:val="290C9394"/>
    <w:rsid w:val="2916E547"/>
    <w:rsid w:val="291A4773"/>
    <w:rsid w:val="291B3AF8"/>
    <w:rsid w:val="291EED59"/>
    <w:rsid w:val="2943CB7F"/>
    <w:rsid w:val="2963E517"/>
    <w:rsid w:val="296FAB0E"/>
    <w:rsid w:val="299B36CD"/>
    <w:rsid w:val="29A2BC02"/>
    <w:rsid w:val="29A5977C"/>
    <w:rsid w:val="2A12B426"/>
    <w:rsid w:val="2A186059"/>
    <w:rsid w:val="2A1D6F0E"/>
    <w:rsid w:val="2A2D6D3B"/>
    <w:rsid w:val="2A427CA6"/>
    <w:rsid w:val="2A4D6A39"/>
    <w:rsid w:val="2A60A93D"/>
    <w:rsid w:val="2A73B2E5"/>
    <w:rsid w:val="2A8D7DD5"/>
    <w:rsid w:val="2A91B6C4"/>
    <w:rsid w:val="2AA227C8"/>
    <w:rsid w:val="2ABB8A78"/>
    <w:rsid w:val="2ABFB601"/>
    <w:rsid w:val="2AD635FE"/>
    <w:rsid w:val="2ADAA3CB"/>
    <w:rsid w:val="2ADE47E9"/>
    <w:rsid w:val="2AEC0F15"/>
    <w:rsid w:val="2AF39D5B"/>
    <w:rsid w:val="2AFA774B"/>
    <w:rsid w:val="2B1245C7"/>
    <w:rsid w:val="2B13D945"/>
    <w:rsid w:val="2B1EA259"/>
    <w:rsid w:val="2B323E45"/>
    <w:rsid w:val="2B35CDBF"/>
    <w:rsid w:val="2B53654C"/>
    <w:rsid w:val="2B61CA50"/>
    <w:rsid w:val="2B65AF11"/>
    <w:rsid w:val="2B751D61"/>
    <w:rsid w:val="2B77D309"/>
    <w:rsid w:val="2B7B9262"/>
    <w:rsid w:val="2B9E5E9B"/>
    <w:rsid w:val="2BD8E1F6"/>
    <w:rsid w:val="2BD9005B"/>
    <w:rsid w:val="2BF3CA94"/>
    <w:rsid w:val="2BF8D48A"/>
    <w:rsid w:val="2C044746"/>
    <w:rsid w:val="2C0752D6"/>
    <w:rsid w:val="2C0C6D28"/>
    <w:rsid w:val="2C18DCC1"/>
    <w:rsid w:val="2C2CF9EC"/>
    <w:rsid w:val="2C45EF78"/>
    <w:rsid w:val="2C4CB954"/>
    <w:rsid w:val="2C508CD4"/>
    <w:rsid w:val="2C5DB158"/>
    <w:rsid w:val="2C67514D"/>
    <w:rsid w:val="2C7728D0"/>
    <w:rsid w:val="2C7BCA2A"/>
    <w:rsid w:val="2C860BD5"/>
    <w:rsid w:val="2C9B36D9"/>
    <w:rsid w:val="2CA7B554"/>
    <w:rsid w:val="2CAD4362"/>
    <w:rsid w:val="2CC2E76C"/>
    <w:rsid w:val="2CC6D268"/>
    <w:rsid w:val="2CCDC450"/>
    <w:rsid w:val="2CDD880F"/>
    <w:rsid w:val="2CE08BB2"/>
    <w:rsid w:val="2D0742DF"/>
    <w:rsid w:val="2D0ACFF0"/>
    <w:rsid w:val="2D146EBC"/>
    <w:rsid w:val="2D199559"/>
    <w:rsid w:val="2D1CCC5E"/>
    <w:rsid w:val="2D1F0704"/>
    <w:rsid w:val="2D30CCF6"/>
    <w:rsid w:val="2D35D181"/>
    <w:rsid w:val="2D3EA3FC"/>
    <w:rsid w:val="2D4AB98F"/>
    <w:rsid w:val="2D5FFA65"/>
    <w:rsid w:val="2D6DCEE1"/>
    <w:rsid w:val="2D768949"/>
    <w:rsid w:val="2D7C0395"/>
    <w:rsid w:val="2D7C7FAE"/>
    <w:rsid w:val="2D7EDA4E"/>
    <w:rsid w:val="2D873DEA"/>
    <w:rsid w:val="2D88A041"/>
    <w:rsid w:val="2D8BD93E"/>
    <w:rsid w:val="2D913623"/>
    <w:rsid w:val="2DA1E2AA"/>
    <w:rsid w:val="2DA3E689"/>
    <w:rsid w:val="2DAF1D2D"/>
    <w:rsid w:val="2DAFD74F"/>
    <w:rsid w:val="2DB1640F"/>
    <w:rsid w:val="2DBB2BA9"/>
    <w:rsid w:val="2DBD2CC8"/>
    <w:rsid w:val="2DD2603E"/>
    <w:rsid w:val="2DDFF764"/>
    <w:rsid w:val="2DEAB65B"/>
    <w:rsid w:val="2DEE0D1A"/>
    <w:rsid w:val="2DF74B30"/>
    <w:rsid w:val="2E000FDC"/>
    <w:rsid w:val="2E09743A"/>
    <w:rsid w:val="2E1F4324"/>
    <w:rsid w:val="2E2EF18F"/>
    <w:rsid w:val="2E30322E"/>
    <w:rsid w:val="2E3068D9"/>
    <w:rsid w:val="2E3404B7"/>
    <w:rsid w:val="2E3A24E8"/>
    <w:rsid w:val="2E46CD38"/>
    <w:rsid w:val="2E4AA576"/>
    <w:rsid w:val="2E4BACD8"/>
    <w:rsid w:val="2E5052FA"/>
    <w:rsid w:val="2E61409E"/>
    <w:rsid w:val="2E62C330"/>
    <w:rsid w:val="2E63F220"/>
    <w:rsid w:val="2E862345"/>
    <w:rsid w:val="2EBC5811"/>
    <w:rsid w:val="2ED10A00"/>
    <w:rsid w:val="2EDF228F"/>
    <w:rsid w:val="2F1F1A28"/>
    <w:rsid w:val="2F3CE8C2"/>
    <w:rsid w:val="2F4D365B"/>
    <w:rsid w:val="2F4E2167"/>
    <w:rsid w:val="2F572271"/>
    <w:rsid w:val="2F5ADADC"/>
    <w:rsid w:val="2F630F8E"/>
    <w:rsid w:val="2F732321"/>
    <w:rsid w:val="2F78E4F9"/>
    <w:rsid w:val="2F7C5074"/>
    <w:rsid w:val="2F831D82"/>
    <w:rsid w:val="2F866D00"/>
    <w:rsid w:val="2F87C570"/>
    <w:rsid w:val="2F96AE56"/>
    <w:rsid w:val="2FBCC4CB"/>
    <w:rsid w:val="2FC71512"/>
    <w:rsid w:val="2FD244BC"/>
    <w:rsid w:val="2FE64007"/>
    <w:rsid w:val="2FEA26F4"/>
    <w:rsid w:val="2FF16B72"/>
    <w:rsid w:val="2FF83A9D"/>
    <w:rsid w:val="30187448"/>
    <w:rsid w:val="3049491D"/>
    <w:rsid w:val="304E0A1A"/>
    <w:rsid w:val="305E5D4E"/>
    <w:rsid w:val="30710536"/>
    <w:rsid w:val="30902CD0"/>
    <w:rsid w:val="30B69140"/>
    <w:rsid w:val="30C66907"/>
    <w:rsid w:val="30CE92E7"/>
    <w:rsid w:val="30D0E611"/>
    <w:rsid w:val="30D68436"/>
    <w:rsid w:val="30EA5AA5"/>
    <w:rsid w:val="30F85C40"/>
    <w:rsid w:val="31199EB2"/>
    <w:rsid w:val="311B7394"/>
    <w:rsid w:val="3121E4E4"/>
    <w:rsid w:val="31242762"/>
    <w:rsid w:val="312EC609"/>
    <w:rsid w:val="31563643"/>
    <w:rsid w:val="3164AF9C"/>
    <w:rsid w:val="3166C7C0"/>
    <w:rsid w:val="318191E3"/>
    <w:rsid w:val="31821068"/>
    <w:rsid w:val="3185145C"/>
    <w:rsid w:val="319206E0"/>
    <w:rsid w:val="31937386"/>
    <w:rsid w:val="31B68026"/>
    <w:rsid w:val="31C089D4"/>
    <w:rsid w:val="31C8FC98"/>
    <w:rsid w:val="31C9BA98"/>
    <w:rsid w:val="31CF61B2"/>
    <w:rsid w:val="31D01AA6"/>
    <w:rsid w:val="31D049B4"/>
    <w:rsid w:val="31D62561"/>
    <w:rsid w:val="31DAFA2B"/>
    <w:rsid w:val="31DF8C4D"/>
    <w:rsid w:val="31E1EA97"/>
    <w:rsid w:val="31EB9FE2"/>
    <w:rsid w:val="31F6BF34"/>
    <w:rsid w:val="322BB5AD"/>
    <w:rsid w:val="32368D58"/>
    <w:rsid w:val="3248564B"/>
    <w:rsid w:val="32544841"/>
    <w:rsid w:val="325C3392"/>
    <w:rsid w:val="3269406C"/>
    <w:rsid w:val="32788DF9"/>
    <w:rsid w:val="3279BA48"/>
    <w:rsid w:val="327ED2BB"/>
    <w:rsid w:val="327FAD30"/>
    <w:rsid w:val="328C240F"/>
    <w:rsid w:val="32964D74"/>
    <w:rsid w:val="329BBBFB"/>
    <w:rsid w:val="329E3EF4"/>
    <w:rsid w:val="32A38769"/>
    <w:rsid w:val="32A9757C"/>
    <w:rsid w:val="32B5C689"/>
    <w:rsid w:val="32C68DD0"/>
    <w:rsid w:val="32D47E9A"/>
    <w:rsid w:val="32DD2F42"/>
    <w:rsid w:val="32DD5FAC"/>
    <w:rsid w:val="32E2F40B"/>
    <w:rsid w:val="32EC0EA4"/>
    <w:rsid w:val="32F9BDA6"/>
    <w:rsid w:val="3301442A"/>
    <w:rsid w:val="3302EA4D"/>
    <w:rsid w:val="33163456"/>
    <w:rsid w:val="331EF037"/>
    <w:rsid w:val="332F221B"/>
    <w:rsid w:val="3333CCD6"/>
    <w:rsid w:val="334A5FC6"/>
    <w:rsid w:val="3351F582"/>
    <w:rsid w:val="335B13B7"/>
    <w:rsid w:val="3363BFB8"/>
    <w:rsid w:val="3370AE7B"/>
    <w:rsid w:val="33759B9C"/>
    <w:rsid w:val="3386B503"/>
    <w:rsid w:val="3386D609"/>
    <w:rsid w:val="338B3824"/>
    <w:rsid w:val="3392887B"/>
    <w:rsid w:val="33B5C31E"/>
    <w:rsid w:val="33B9C834"/>
    <w:rsid w:val="33BAF358"/>
    <w:rsid w:val="33CC8262"/>
    <w:rsid w:val="33DDB4CC"/>
    <w:rsid w:val="33EBE16F"/>
    <w:rsid w:val="33F10D50"/>
    <w:rsid w:val="3403EC8E"/>
    <w:rsid w:val="3411D82B"/>
    <w:rsid w:val="34258A50"/>
    <w:rsid w:val="3431F4D6"/>
    <w:rsid w:val="34385DFD"/>
    <w:rsid w:val="34519A51"/>
    <w:rsid w:val="3453C302"/>
    <w:rsid w:val="3456A56D"/>
    <w:rsid w:val="345A397E"/>
    <w:rsid w:val="34883F94"/>
    <w:rsid w:val="348FCCF8"/>
    <w:rsid w:val="34961EA8"/>
    <w:rsid w:val="34C8200E"/>
    <w:rsid w:val="34CAC134"/>
    <w:rsid w:val="34E50219"/>
    <w:rsid w:val="34F281BA"/>
    <w:rsid w:val="350117FC"/>
    <w:rsid w:val="35208D7E"/>
    <w:rsid w:val="353F986F"/>
    <w:rsid w:val="354A945A"/>
    <w:rsid w:val="35525F58"/>
    <w:rsid w:val="356DF7B2"/>
    <w:rsid w:val="356ED938"/>
    <w:rsid w:val="357BD88A"/>
    <w:rsid w:val="357DEE50"/>
    <w:rsid w:val="3584DA86"/>
    <w:rsid w:val="3584F02B"/>
    <w:rsid w:val="358BD63F"/>
    <w:rsid w:val="359861A4"/>
    <w:rsid w:val="35A1E5A0"/>
    <w:rsid w:val="35B8EDC9"/>
    <w:rsid w:val="35BF40A1"/>
    <w:rsid w:val="3601C358"/>
    <w:rsid w:val="360BD91F"/>
    <w:rsid w:val="3616D5CB"/>
    <w:rsid w:val="3617D7D3"/>
    <w:rsid w:val="36442E98"/>
    <w:rsid w:val="365E0A07"/>
    <w:rsid w:val="3671FB9F"/>
    <w:rsid w:val="3673B81D"/>
    <w:rsid w:val="3695A893"/>
    <w:rsid w:val="369D8A86"/>
    <w:rsid w:val="369EE8C7"/>
    <w:rsid w:val="36AD2139"/>
    <w:rsid w:val="36B0D24A"/>
    <w:rsid w:val="36B267A0"/>
    <w:rsid w:val="36B7DB13"/>
    <w:rsid w:val="36C5FD1A"/>
    <w:rsid w:val="36E9363C"/>
    <w:rsid w:val="36ED796A"/>
    <w:rsid w:val="370B26DA"/>
    <w:rsid w:val="371A30AA"/>
    <w:rsid w:val="371F817F"/>
    <w:rsid w:val="37203A59"/>
    <w:rsid w:val="3745BE29"/>
    <w:rsid w:val="374DBA37"/>
    <w:rsid w:val="37639A36"/>
    <w:rsid w:val="376455D3"/>
    <w:rsid w:val="377F6A1D"/>
    <w:rsid w:val="37D0BA9E"/>
    <w:rsid w:val="37D3F6A0"/>
    <w:rsid w:val="37DF3CEC"/>
    <w:rsid w:val="37E46507"/>
    <w:rsid w:val="3810FB84"/>
    <w:rsid w:val="3816F384"/>
    <w:rsid w:val="3817FC29"/>
    <w:rsid w:val="381C92BE"/>
    <w:rsid w:val="38398307"/>
    <w:rsid w:val="384312C7"/>
    <w:rsid w:val="38614BC1"/>
    <w:rsid w:val="38628FF3"/>
    <w:rsid w:val="386B9E0A"/>
    <w:rsid w:val="387B1533"/>
    <w:rsid w:val="387F8599"/>
    <w:rsid w:val="38834064"/>
    <w:rsid w:val="388494FB"/>
    <w:rsid w:val="388A70BA"/>
    <w:rsid w:val="389CAD1F"/>
    <w:rsid w:val="38ACBBB1"/>
    <w:rsid w:val="38C793AC"/>
    <w:rsid w:val="38DB9A99"/>
    <w:rsid w:val="38E030A5"/>
    <w:rsid w:val="38E5134A"/>
    <w:rsid w:val="38E982F5"/>
    <w:rsid w:val="38EAF5CC"/>
    <w:rsid w:val="38EDD64B"/>
    <w:rsid w:val="38F264BA"/>
    <w:rsid w:val="38F655C9"/>
    <w:rsid w:val="39078003"/>
    <w:rsid w:val="39078E25"/>
    <w:rsid w:val="390CB18E"/>
    <w:rsid w:val="391C50C6"/>
    <w:rsid w:val="391E13EE"/>
    <w:rsid w:val="39314B55"/>
    <w:rsid w:val="3955AFF5"/>
    <w:rsid w:val="395B177B"/>
    <w:rsid w:val="398E21F8"/>
    <w:rsid w:val="3995397D"/>
    <w:rsid w:val="399F25D8"/>
    <w:rsid w:val="399F3970"/>
    <w:rsid w:val="39B5AF8E"/>
    <w:rsid w:val="39ED7CC0"/>
    <w:rsid w:val="39F41508"/>
    <w:rsid w:val="39FA829D"/>
    <w:rsid w:val="39FC3464"/>
    <w:rsid w:val="39FC71E6"/>
    <w:rsid w:val="3A185713"/>
    <w:rsid w:val="3A1B5BBF"/>
    <w:rsid w:val="3A36204C"/>
    <w:rsid w:val="3A3F3DC6"/>
    <w:rsid w:val="3A4A9E4A"/>
    <w:rsid w:val="3A4AB8E3"/>
    <w:rsid w:val="3A4F32D5"/>
    <w:rsid w:val="3A4FAF4F"/>
    <w:rsid w:val="3A52ACF1"/>
    <w:rsid w:val="3A5E2F04"/>
    <w:rsid w:val="3A6B7B89"/>
    <w:rsid w:val="3A6F1C4D"/>
    <w:rsid w:val="3A75EA61"/>
    <w:rsid w:val="3A8A6D42"/>
    <w:rsid w:val="3A8CEF92"/>
    <w:rsid w:val="3A9A2C56"/>
    <w:rsid w:val="3A9C07C1"/>
    <w:rsid w:val="3ABBD952"/>
    <w:rsid w:val="3AC06B81"/>
    <w:rsid w:val="3AD79F38"/>
    <w:rsid w:val="3AE74678"/>
    <w:rsid w:val="3AF6751D"/>
    <w:rsid w:val="3AF95712"/>
    <w:rsid w:val="3B0D9F9E"/>
    <w:rsid w:val="3B1ABF32"/>
    <w:rsid w:val="3B1C0FDB"/>
    <w:rsid w:val="3B254CFB"/>
    <w:rsid w:val="3B4DF5B4"/>
    <w:rsid w:val="3B5A2C70"/>
    <w:rsid w:val="3B5D6045"/>
    <w:rsid w:val="3B628DF1"/>
    <w:rsid w:val="3B95A8DD"/>
    <w:rsid w:val="3B9C6F23"/>
    <w:rsid w:val="3BA797A4"/>
    <w:rsid w:val="3BAC4DAD"/>
    <w:rsid w:val="3BC2D25C"/>
    <w:rsid w:val="3BCEF9ED"/>
    <w:rsid w:val="3BDA697E"/>
    <w:rsid w:val="3BDD3936"/>
    <w:rsid w:val="3BE11796"/>
    <w:rsid w:val="3BE4ACC7"/>
    <w:rsid w:val="3BE6A010"/>
    <w:rsid w:val="3BE853AD"/>
    <w:rsid w:val="3BF9BA97"/>
    <w:rsid w:val="3BFDA15D"/>
    <w:rsid w:val="3C04A256"/>
    <w:rsid w:val="3C09E380"/>
    <w:rsid w:val="3C1F9264"/>
    <w:rsid w:val="3C2C8410"/>
    <w:rsid w:val="3C313FED"/>
    <w:rsid w:val="3C3F48FE"/>
    <w:rsid w:val="3C5C2D04"/>
    <w:rsid w:val="3C707078"/>
    <w:rsid w:val="3C712CD2"/>
    <w:rsid w:val="3C82A29B"/>
    <w:rsid w:val="3CB41806"/>
    <w:rsid w:val="3CB74113"/>
    <w:rsid w:val="3CC5CF48"/>
    <w:rsid w:val="3CCDB74C"/>
    <w:rsid w:val="3CF6E2E4"/>
    <w:rsid w:val="3CFA8B59"/>
    <w:rsid w:val="3D27EB99"/>
    <w:rsid w:val="3D3115CE"/>
    <w:rsid w:val="3D328B3B"/>
    <w:rsid w:val="3D46EBF1"/>
    <w:rsid w:val="3D4D03D4"/>
    <w:rsid w:val="3D4E8D2D"/>
    <w:rsid w:val="3D5050AB"/>
    <w:rsid w:val="3D5BBC47"/>
    <w:rsid w:val="3D70C7D0"/>
    <w:rsid w:val="3D7B4020"/>
    <w:rsid w:val="3D8BE60D"/>
    <w:rsid w:val="3D942514"/>
    <w:rsid w:val="3DA40D76"/>
    <w:rsid w:val="3DA78567"/>
    <w:rsid w:val="3DB86173"/>
    <w:rsid w:val="3DCB6864"/>
    <w:rsid w:val="3DCBD6AD"/>
    <w:rsid w:val="3DE85EFE"/>
    <w:rsid w:val="3DEB6471"/>
    <w:rsid w:val="3DFFFEC9"/>
    <w:rsid w:val="3E06527E"/>
    <w:rsid w:val="3E0F6320"/>
    <w:rsid w:val="3E2037A4"/>
    <w:rsid w:val="3E249FEB"/>
    <w:rsid w:val="3E2673DA"/>
    <w:rsid w:val="3E36DAE2"/>
    <w:rsid w:val="3E54CE08"/>
    <w:rsid w:val="3E5EF5DF"/>
    <w:rsid w:val="3E64478C"/>
    <w:rsid w:val="3E740FB5"/>
    <w:rsid w:val="3E778AD1"/>
    <w:rsid w:val="3E7B9A2D"/>
    <w:rsid w:val="3E7C47B7"/>
    <w:rsid w:val="3E82AD03"/>
    <w:rsid w:val="3E8CE3F1"/>
    <w:rsid w:val="3E984994"/>
    <w:rsid w:val="3EA64A1E"/>
    <w:rsid w:val="3EA6CB12"/>
    <w:rsid w:val="3EA940D9"/>
    <w:rsid w:val="3EB06068"/>
    <w:rsid w:val="3ECDD526"/>
    <w:rsid w:val="3ED3BB74"/>
    <w:rsid w:val="3ED8EB6D"/>
    <w:rsid w:val="3EDE8E2A"/>
    <w:rsid w:val="3EF554CD"/>
    <w:rsid w:val="3EF5BD4E"/>
    <w:rsid w:val="3F014184"/>
    <w:rsid w:val="3F0BEA8E"/>
    <w:rsid w:val="3F0DE827"/>
    <w:rsid w:val="3F186A64"/>
    <w:rsid w:val="3F265973"/>
    <w:rsid w:val="3F2DAEAE"/>
    <w:rsid w:val="3F2E1E5C"/>
    <w:rsid w:val="3F3195C8"/>
    <w:rsid w:val="3F396E19"/>
    <w:rsid w:val="3F5EE3B7"/>
    <w:rsid w:val="3F5FEC9F"/>
    <w:rsid w:val="3F854742"/>
    <w:rsid w:val="3F918452"/>
    <w:rsid w:val="3FB95BD4"/>
    <w:rsid w:val="3FC30AAA"/>
    <w:rsid w:val="3FCD5B34"/>
    <w:rsid w:val="3FCE5FA6"/>
    <w:rsid w:val="3FDAD520"/>
    <w:rsid w:val="3FE92803"/>
    <w:rsid w:val="3FEA7D7D"/>
    <w:rsid w:val="3FFDD5F9"/>
    <w:rsid w:val="400C3F80"/>
    <w:rsid w:val="40220487"/>
    <w:rsid w:val="4023F06E"/>
    <w:rsid w:val="406A5356"/>
    <w:rsid w:val="407CC51B"/>
    <w:rsid w:val="40973BD3"/>
    <w:rsid w:val="409C92F6"/>
    <w:rsid w:val="40AE9DC8"/>
    <w:rsid w:val="40CEF6F5"/>
    <w:rsid w:val="40ED4F1B"/>
    <w:rsid w:val="410FEC4E"/>
    <w:rsid w:val="4126CBA6"/>
    <w:rsid w:val="413177E7"/>
    <w:rsid w:val="413C7B00"/>
    <w:rsid w:val="41451F10"/>
    <w:rsid w:val="4156DCB5"/>
    <w:rsid w:val="4158C5CF"/>
    <w:rsid w:val="4189220C"/>
    <w:rsid w:val="418A0CA0"/>
    <w:rsid w:val="41A9C565"/>
    <w:rsid w:val="41D2828A"/>
    <w:rsid w:val="41ECFAEB"/>
    <w:rsid w:val="41EEF2E6"/>
    <w:rsid w:val="41EFBD2F"/>
    <w:rsid w:val="41EFDBAD"/>
    <w:rsid w:val="41FB0E51"/>
    <w:rsid w:val="41FFEB59"/>
    <w:rsid w:val="4200495A"/>
    <w:rsid w:val="4200E9F3"/>
    <w:rsid w:val="4211F40F"/>
    <w:rsid w:val="4213CBB9"/>
    <w:rsid w:val="423129AC"/>
    <w:rsid w:val="4233B962"/>
    <w:rsid w:val="4239614E"/>
    <w:rsid w:val="42398931"/>
    <w:rsid w:val="4256A3C3"/>
    <w:rsid w:val="4270EF7D"/>
    <w:rsid w:val="427130AC"/>
    <w:rsid w:val="42838B1A"/>
    <w:rsid w:val="42A196E2"/>
    <w:rsid w:val="42ACF4B6"/>
    <w:rsid w:val="42AE2D1F"/>
    <w:rsid w:val="42B2C093"/>
    <w:rsid w:val="42C238AC"/>
    <w:rsid w:val="42C5F70F"/>
    <w:rsid w:val="42D54618"/>
    <w:rsid w:val="42E9A8A3"/>
    <w:rsid w:val="42F0DE39"/>
    <w:rsid w:val="42F5C52F"/>
    <w:rsid w:val="4304036E"/>
    <w:rsid w:val="430A3243"/>
    <w:rsid w:val="430AF3DA"/>
    <w:rsid w:val="4325829B"/>
    <w:rsid w:val="4331D226"/>
    <w:rsid w:val="434BEEBA"/>
    <w:rsid w:val="4353778D"/>
    <w:rsid w:val="435C46C4"/>
    <w:rsid w:val="436305EB"/>
    <w:rsid w:val="4386A4E1"/>
    <w:rsid w:val="439B08BD"/>
    <w:rsid w:val="439E3735"/>
    <w:rsid w:val="43B2A335"/>
    <w:rsid w:val="43B5E560"/>
    <w:rsid w:val="43C73D59"/>
    <w:rsid w:val="43C7CC46"/>
    <w:rsid w:val="43C9AEB5"/>
    <w:rsid w:val="43EAC7BA"/>
    <w:rsid w:val="43F0E7EA"/>
    <w:rsid w:val="440BB2D6"/>
    <w:rsid w:val="440D2941"/>
    <w:rsid w:val="4412C116"/>
    <w:rsid w:val="441352BD"/>
    <w:rsid w:val="44329EDF"/>
    <w:rsid w:val="44352ABB"/>
    <w:rsid w:val="443A65BC"/>
    <w:rsid w:val="443B2FA4"/>
    <w:rsid w:val="44454854"/>
    <w:rsid w:val="446D11C7"/>
    <w:rsid w:val="4474EFD4"/>
    <w:rsid w:val="4478E14B"/>
    <w:rsid w:val="448D6128"/>
    <w:rsid w:val="448FD3D5"/>
    <w:rsid w:val="449239C2"/>
    <w:rsid w:val="4493EB35"/>
    <w:rsid w:val="4494BB9D"/>
    <w:rsid w:val="449F3B36"/>
    <w:rsid w:val="44A70DBD"/>
    <w:rsid w:val="44AA31A3"/>
    <w:rsid w:val="44AE77AF"/>
    <w:rsid w:val="44EC1F44"/>
    <w:rsid w:val="44EE2F35"/>
    <w:rsid w:val="44F7F9FC"/>
    <w:rsid w:val="450A9BB9"/>
    <w:rsid w:val="45158A99"/>
    <w:rsid w:val="45216F60"/>
    <w:rsid w:val="4521ACE9"/>
    <w:rsid w:val="45395804"/>
    <w:rsid w:val="4551AE0E"/>
    <w:rsid w:val="455C47FE"/>
    <w:rsid w:val="4561C351"/>
    <w:rsid w:val="4573709B"/>
    <w:rsid w:val="45786492"/>
    <w:rsid w:val="458F2484"/>
    <w:rsid w:val="4595FAEC"/>
    <w:rsid w:val="4597C970"/>
    <w:rsid w:val="45ACD486"/>
    <w:rsid w:val="45C865AA"/>
    <w:rsid w:val="45EDF52E"/>
    <w:rsid w:val="45F43B6D"/>
    <w:rsid w:val="4600A3E9"/>
    <w:rsid w:val="46116DF1"/>
    <w:rsid w:val="46127B7F"/>
    <w:rsid w:val="461A2DBA"/>
    <w:rsid w:val="461BC07D"/>
    <w:rsid w:val="462DEECC"/>
    <w:rsid w:val="463F95A7"/>
    <w:rsid w:val="4644712F"/>
    <w:rsid w:val="464B2983"/>
    <w:rsid w:val="464E4489"/>
    <w:rsid w:val="46742AA4"/>
    <w:rsid w:val="469EB017"/>
    <w:rsid w:val="46B0B323"/>
    <w:rsid w:val="46B5048A"/>
    <w:rsid w:val="46BF7BD4"/>
    <w:rsid w:val="46C17959"/>
    <w:rsid w:val="46CEC8F6"/>
    <w:rsid w:val="46D74F6E"/>
    <w:rsid w:val="46DA6434"/>
    <w:rsid w:val="46F9AB8C"/>
    <w:rsid w:val="46FD12EB"/>
    <w:rsid w:val="46FE5C0A"/>
    <w:rsid w:val="470BE940"/>
    <w:rsid w:val="4714D6BF"/>
    <w:rsid w:val="4719CB7D"/>
    <w:rsid w:val="472F5A87"/>
    <w:rsid w:val="47377404"/>
    <w:rsid w:val="476910B1"/>
    <w:rsid w:val="47697558"/>
    <w:rsid w:val="477C7498"/>
    <w:rsid w:val="4786CDF8"/>
    <w:rsid w:val="47A4E227"/>
    <w:rsid w:val="47A5E388"/>
    <w:rsid w:val="47A6D50F"/>
    <w:rsid w:val="47B32F38"/>
    <w:rsid w:val="47C2A605"/>
    <w:rsid w:val="47C65775"/>
    <w:rsid w:val="47CCBEA8"/>
    <w:rsid w:val="47E1AF65"/>
    <w:rsid w:val="47EAA3CF"/>
    <w:rsid w:val="47F35F5C"/>
    <w:rsid w:val="47FB0579"/>
    <w:rsid w:val="47FB8292"/>
    <w:rsid w:val="48024D50"/>
    <w:rsid w:val="480BF679"/>
    <w:rsid w:val="480FA139"/>
    <w:rsid w:val="4813AED0"/>
    <w:rsid w:val="481F81C5"/>
    <w:rsid w:val="4828AF0B"/>
    <w:rsid w:val="48302580"/>
    <w:rsid w:val="4836F4A3"/>
    <w:rsid w:val="484D9BE6"/>
    <w:rsid w:val="485ECE40"/>
    <w:rsid w:val="48775EBC"/>
    <w:rsid w:val="487C830A"/>
    <w:rsid w:val="488BFC35"/>
    <w:rsid w:val="48A1FBBC"/>
    <w:rsid w:val="48A26B00"/>
    <w:rsid w:val="48A4A8F2"/>
    <w:rsid w:val="48A629CD"/>
    <w:rsid w:val="48B465C6"/>
    <w:rsid w:val="48C200DF"/>
    <w:rsid w:val="48C443B5"/>
    <w:rsid w:val="48CFD4E2"/>
    <w:rsid w:val="48D21298"/>
    <w:rsid w:val="48DD85FA"/>
    <w:rsid w:val="49066B6E"/>
    <w:rsid w:val="4907D370"/>
    <w:rsid w:val="49088873"/>
    <w:rsid w:val="490AC10C"/>
    <w:rsid w:val="491CC34B"/>
    <w:rsid w:val="4928D83B"/>
    <w:rsid w:val="492DB30D"/>
    <w:rsid w:val="49345901"/>
    <w:rsid w:val="493FC95C"/>
    <w:rsid w:val="496D1DD4"/>
    <w:rsid w:val="496D2290"/>
    <w:rsid w:val="49888098"/>
    <w:rsid w:val="4994040A"/>
    <w:rsid w:val="49A2A553"/>
    <w:rsid w:val="49AC5392"/>
    <w:rsid w:val="49C105DB"/>
    <w:rsid w:val="49C5CC3B"/>
    <w:rsid w:val="49CDC23E"/>
    <w:rsid w:val="49D991E5"/>
    <w:rsid w:val="49DC6716"/>
    <w:rsid w:val="49EB8BF5"/>
    <w:rsid w:val="49EEB34C"/>
    <w:rsid w:val="49F202F7"/>
    <w:rsid w:val="4A0A7654"/>
    <w:rsid w:val="4A1DD27F"/>
    <w:rsid w:val="4A244299"/>
    <w:rsid w:val="4A2795EB"/>
    <w:rsid w:val="4A2E258A"/>
    <w:rsid w:val="4A3858C1"/>
    <w:rsid w:val="4A389D01"/>
    <w:rsid w:val="4A6590F4"/>
    <w:rsid w:val="4A715237"/>
    <w:rsid w:val="4A7910C6"/>
    <w:rsid w:val="4A83F144"/>
    <w:rsid w:val="4A976409"/>
    <w:rsid w:val="4AA40798"/>
    <w:rsid w:val="4AAF474B"/>
    <w:rsid w:val="4AC4A9D2"/>
    <w:rsid w:val="4AC5863A"/>
    <w:rsid w:val="4B0F433C"/>
    <w:rsid w:val="4B1A8EAE"/>
    <w:rsid w:val="4B2266A5"/>
    <w:rsid w:val="4B68B743"/>
    <w:rsid w:val="4B98E144"/>
    <w:rsid w:val="4BA477F7"/>
    <w:rsid w:val="4BBCC0B2"/>
    <w:rsid w:val="4BCAD1A3"/>
    <w:rsid w:val="4BD9381A"/>
    <w:rsid w:val="4BDB19CF"/>
    <w:rsid w:val="4BE742CE"/>
    <w:rsid w:val="4BF68DBD"/>
    <w:rsid w:val="4C0099EC"/>
    <w:rsid w:val="4C078374"/>
    <w:rsid w:val="4C154564"/>
    <w:rsid w:val="4C1B9B01"/>
    <w:rsid w:val="4C20AB6F"/>
    <w:rsid w:val="4C277F4D"/>
    <w:rsid w:val="4C40E03B"/>
    <w:rsid w:val="4C5B0A9D"/>
    <w:rsid w:val="4C6AE16D"/>
    <w:rsid w:val="4C6EB85D"/>
    <w:rsid w:val="4C7977E5"/>
    <w:rsid w:val="4C807CA4"/>
    <w:rsid w:val="4C9F5134"/>
    <w:rsid w:val="4CA39B39"/>
    <w:rsid w:val="4CACE2AE"/>
    <w:rsid w:val="4CAE2DEB"/>
    <w:rsid w:val="4CB15469"/>
    <w:rsid w:val="4CBA1CAC"/>
    <w:rsid w:val="4CCDFF8C"/>
    <w:rsid w:val="4CE76F51"/>
    <w:rsid w:val="4CF80BD6"/>
    <w:rsid w:val="4D140922"/>
    <w:rsid w:val="4D1A7C66"/>
    <w:rsid w:val="4D2D1C1D"/>
    <w:rsid w:val="4D4B4DB2"/>
    <w:rsid w:val="4D4F1957"/>
    <w:rsid w:val="4D524085"/>
    <w:rsid w:val="4D590011"/>
    <w:rsid w:val="4D891789"/>
    <w:rsid w:val="4D968274"/>
    <w:rsid w:val="4DAB7140"/>
    <w:rsid w:val="4DD57781"/>
    <w:rsid w:val="4DD66B1F"/>
    <w:rsid w:val="4DE43ACF"/>
    <w:rsid w:val="4E05E974"/>
    <w:rsid w:val="4E28B312"/>
    <w:rsid w:val="4E38DC6E"/>
    <w:rsid w:val="4E4D1FED"/>
    <w:rsid w:val="4E5213F7"/>
    <w:rsid w:val="4E683460"/>
    <w:rsid w:val="4E715C03"/>
    <w:rsid w:val="4E79D004"/>
    <w:rsid w:val="4E8159C3"/>
    <w:rsid w:val="4E848D07"/>
    <w:rsid w:val="4E909664"/>
    <w:rsid w:val="4E958A44"/>
    <w:rsid w:val="4E978B06"/>
    <w:rsid w:val="4E9A2894"/>
    <w:rsid w:val="4EA2E1C6"/>
    <w:rsid w:val="4EBC6BE1"/>
    <w:rsid w:val="4EBDCC76"/>
    <w:rsid w:val="4EC8034A"/>
    <w:rsid w:val="4ECAE52F"/>
    <w:rsid w:val="4ECBC641"/>
    <w:rsid w:val="4ED7FEEA"/>
    <w:rsid w:val="4EE81C13"/>
    <w:rsid w:val="4F16D9BB"/>
    <w:rsid w:val="4F255122"/>
    <w:rsid w:val="4F286F1E"/>
    <w:rsid w:val="4F3C9884"/>
    <w:rsid w:val="4F4484D2"/>
    <w:rsid w:val="4F4B9E96"/>
    <w:rsid w:val="4F536FE9"/>
    <w:rsid w:val="4F752573"/>
    <w:rsid w:val="4F8D4042"/>
    <w:rsid w:val="4FC2C7BC"/>
    <w:rsid w:val="4FC54AE4"/>
    <w:rsid w:val="4FC7F9D5"/>
    <w:rsid w:val="4FD42451"/>
    <w:rsid w:val="4FE72EC3"/>
    <w:rsid w:val="4FED6D58"/>
    <w:rsid w:val="4FFA8677"/>
    <w:rsid w:val="500A8F9A"/>
    <w:rsid w:val="500C68B7"/>
    <w:rsid w:val="5014743B"/>
    <w:rsid w:val="501EF205"/>
    <w:rsid w:val="50245383"/>
    <w:rsid w:val="502560AD"/>
    <w:rsid w:val="502B4CEF"/>
    <w:rsid w:val="5036A358"/>
    <w:rsid w:val="503BBEC0"/>
    <w:rsid w:val="506E5200"/>
    <w:rsid w:val="508EFB2E"/>
    <w:rsid w:val="5098A3F6"/>
    <w:rsid w:val="50A1869A"/>
    <w:rsid w:val="50A9A933"/>
    <w:rsid w:val="50ADBB31"/>
    <w:rsid w:val="50B85DF4"/>
    <w:rsid w:val="50E86CEE"/>
    <w:rsid w:val="50F4D25C"/>
    <w:rsid w:val="5109EF56"/>
    <w:rsid w:val="51167EBC"/>
    <w:rsid w:val="51200987"/>
    <w:rsid w:val="5127B3CE"/>
    <w:rsid w:val="5130B3F6"/>
    <w:rsid w:val="5153F370"/>
    <w:rsid w:val="5157C8FA"/>
    <w:rsid w:val="515B8A41"/>
    <w:rsid w:val="51657611"/>
    <w:rsid w:val="516F9F1F"/>
    <w:rsid w:val="51709D3D"/>
    <w:rsid w:val="518E6A66"/>
    <w:rsid w:val="5197FE73"/>
    <w:rsid w:val="519AD72F"/>
    <w:rsid w:val="51A3C0D4"/>
    <w:rsid w:val="51A9516A"/>
    <w:rsid w:val="51AC22D8"/>
    <w:rsid w:val="51B7D226"/>
    <w:rsid w:val="51EF63EF"/>
    <w:rsid w:val="51F0B12A"/>
    <w:rsid w:val="52030A1F"/>
    <w:rsid w:val="5207159B"/>
    <w:rsid w:val="520AD46B"/>
    <w:rsid w:val="52144D35"/>
    <w:rsid w:val="522041E3"/>
    <w:rsid w:val="52444E68"/>
    <w:rsid w:val="52456C56"/>
    <w:rsid w:val="5249E648"/>
    <w:rsid w:val="524C3F6C"/>
    <w:rsid w:val="527DA260"/>
    <w:rsid w:val="52B96D9E"/>
    <w:rsid w:val="52C7659C"/>
    <w:rsid w:val="52CB44A9"/>
    <w:rsid w:val="52E39D28"/>
    <w:rsid w:val="52E5BAB5"/>
    <w:rsid w:val="52EB1E98"/>
    <w:rsid w:val="52F72D9E"/>
    <w:rsid w:val="53006739"/>
    <w:rsid w:val="530472B8"/>
    <w:rsid w:val="5315A972"/>
    <w:rsid w:val="531A5133"/>
    <w:rsid w:val="531C3F30"/>
    <w:rsid w:val="53216854"/>
    <w:rsid w:val="53233957"/>
    <w:rsid w:val="533A562C"/>
    <w:rsid w:val="53586490"/>
    <w:rsid w:val="535A46EF"/>
    <w:rsid w:val="535B1281"/>
    <w:rsid w:val="536C19FE"/>
    <w:rsid w:val="536C5CEF"/>
    <w:rsid w:val="5380003E"/>
    <w:rsid w:val="538AAC15"/>
    <w:rsid w:val="53976A86"/>
    <w:rsid w:val="539D4715"/>
    <w:rsid w:val="53A10F31"/>
    <w:rsid w:val="53A76EFC"/>
    <w:rsid w:val="53BD2DF1"/>
    <w:rsid w:val="53C96425"/>
    <w:rsid w:val="53CE809D"/>
    <w:rsid w:val="53CEE72D"/>
    <w:rsid w:val="53DBE164"/>
    <w:rsid w:val="53EC6A0B"/>
    <w:rsid w:val="53FC1622"/>
    <w:rsid w:val="542FFB32"/>
    <w:rsid w:val="54459E1A"/>
    <w:rsid w:val="54501752"/>
    <w:rsid w:val="54618C22"/>
    <w:rsid w:val="54673BDE"/>
    <w:rsid w:val="5467B2AC"/>
    <w:rsid w:val="54693C3F"/>
    <w:rsid w:val="547F3FE3"/>
    <w:rsid w:val="548E9E83"/>
    <w:rsid w:val="549CE70A"/>
    <w:rsid w:val="54A47421"/>
    <w:rsid w:val="54B02516"/>
    <w:rsid w:val="54C19071"/>
    <w:rsid w:val="54CDDBBD"/>
    <w:rsid w:val="54D0B38D"/>
    <w:rsid w:val="54D9919F"/>
    <w:rsid w:val="54DA0EB6"/>
    <w:rsid w:val="54DCD2FC"/>
    <w:rsid w:val="54E1D625"/>
    <w:rsid w:val="54E8D438"/>
    <w:rsid w:val="54F19A60"/>
    <w:rsid w:val="54FE9EE3"/>
    <w:rsid w:val="55024857"/>
    <w:rsid w:val="5508D5F4"/>
    <w:rsid w:val="5526B5D9"/>
    <w:rsid w:val="552D7CE4"/>
    <w:rsid w:val="55437608"/>
    <w:rsid w:val="554BAE73"/>
    <w:rsid w:val="55689431"/>
    <w:rsid w:val="5568A433"/>
    <w:rsid w:val="557040B9"/>
    <w:rsid w:val="5576A585"/>
    <w:rsid w:val="55781EEB"/>
    <w:rsid w:val="5585FAC4"/>
    <w:rsid w:val="5586677F"/>
    <w:rsid w:val="55884F26"/>
    <w:rsid w:val="558C3C49"/>
    <w:rsid w:val="55912365"/>
    <w:rsid w:val="55B3D6E2"/>
    <w:rsid w:val="55CC51FB"/>
    <w:rsid w:val="55CD272A"/>
    <w:rsid w:val="55E4F26F"/>
    <w:rsid w:val="55E73980"/>
    <w:rsid w:val="55F9608D"/>
    <w:rsid w:val="55FE5A10"/>
    <w:rsid w:val="56103224"/>
    <w:rsid w:val="5618D1A8"/>
    <w:rsid w:val="56409F18"/>
    <w:rsid w:val="564E9634"/>
    <w:rsid w:val="56535EE8"/>
    <w:rsid w:val="5663CD1A"/>
    <w:rsid w:val="566B4A66"/>
    <w:rsid w:val="567357B4"/>
    <w:rsid w:val="5677B636"/>
    <w:rsid w:val="5681FD8E"/>
    <w:rsid w:val="5682232E"/>
    <w:rsid w:val="56900406"/>
    <w:rsid w:val="5693BDF0"/>
    <w:rsid w:val="56978089"/>
    <w:rsid w:val="56978670"/>
    <w:rsid w:val="569C8219"/>
    <w:rsid w:val="56A02F74"/>
    <w:rsid w:val="56A895F4"/>
    <w:rsid w:val="56C42AE0"/>
    <w:rsid w:val="56C44F6A"/>
    <w:rsid w:val="56D70C43"/>
    <w:rsid w:val="56E6B9FA"/>
    <w:rsid w:val="5703F1BE"/>
    <w:rsid w:val="57054FA5"/>
    <w:rsid w:val="573023EF"/>
    <w:rsid w:val="5734AA5B"/>
    <w:rsid w:val="57383005"/>
    <w:rsid w:val="574063A1"/>
    <w:rsid w:val="5741939A"/>
    <w:rsid w:val="578073D1"/>
    <w:rsid w:val="5780FAE3"/>
    <w:rsid w:val="578BAC3A"/>
    <w:rsid w:val="579285D8"/>
    <w:rsid w:val="57985E9A"/>
    <w:rsid w:val="57BEFE6C"/>
    <w:rsid w:val="57C2CB1A"/>
    <w:rsid w:val="57D5ADB3"/>
    <w:rsid w:val="57E0BDF8"/>
    <w:rsid w:val="57ED8BD2"/>
    <w:rsid w:val="57F128EC"/>
    <w:rsid w:val="580EC4C3"/>
    <w:rsid w:val="58457D72"/>
    <w:rsid w:val="585B926E"/>
    <w:rsid w:val="5862D297"/>
    <w:rsid w:val="587476B2"/>
    <w:rsid w:val="5883903F"/>
    <w:rsid w:val="5887A4F8"/>
    <w:rsid w:val="5892F903"/>
    <w:rsid w:val="58B89DA6"/>
    <w:rsid w:val="58BA1944"/>
    <w:rsid w:val="58E5A05C"/>
    <w:rsid w:val="58F381B7"/>
    <w:rsid w:val="590BAB6B"/>
    <w:rsid w:val="5911DA0D"/>
    <w:rsid w:val="591546FF"/>
    <w:rsid w:val="591B2079"/>
    <w:rsid w:val="5922D1F1"/>
    <w:rsid w:val="5937C818"/>
    <w:rsid w:val="594AC2E6"/>
    <w:rsid w:val="594F0BD9"/>
    <w:rsid w:val="595FA893"/>
    <w:rsid w:val="59709B69"/>
    <w:rsid w:val="598265D8"/>
    <w:rsid w:val="59A2CB42"/>
    <w:rsid w:val="59AC0F79"/>
    <w:rsid w:val="59AD81D7"/>
    <w:rsid w:val="59B56149"/>
    <w:rsid w:val="59B73393"/>
    <w:rsid w:val="59BEEEFD"/>
    <w:rsid w:val="59C2871C"/>
    <w:rsid w:val="5A0671C8"/>
    <w:rsid w:val="5A0CF878"/>
    <w:rsid w:val="5A13644B"/>
    <w:rsid w:val="5A17460D"/>
    <w:rsid w:val="5A2CA040"/>
    <w:rsid w:val="5A404984"/>
    <w:rsid w:val="5A50C966"/>
    <w:rsid w:val="5A570189"/>
    <w:rsid w:val="5A626605"/>
    <w:rsid w:val="5A6BABEB"/>
    <w:rsid w:val="5A6D9220"/>
    <w:rsid w:val="5A7D75C7"/>
    <w:rsid w:val="5A82998A"/>
    <w:rsid w:val="5A841CFD"/>
    <w:rsid w:val="5A9C9CF8"/>
    <w:rsid w:val="5AB63A65"/>
    <w:rsid w:val="5AC24CDD"/>
    <w:rsid w:val="5ADBC6F0"/>
    <w:rsid w:val="5ADE60A1"/>
    <w:rsid w:val="5AE4FBEA"/>
    <w:rsid w:val="5B152460"/>
    <w:rsid w:val="5B19EFCB"/>
    <w:rsid w:val="5B1F2925"/>
    <w:rsid w:val="5B321EB8"/>
    <w:rsid w:val="5B350A18"/>
    <w:rsid w:val="5B3B9228"/>
    <w:rsid w:val="5B3ED20E"/>
    <w:rsid w:val="5B76E1AA"/>
    <w:rsid w:val="5B809698"/>
    <w:rsid w:val="5B840A10"/>
    <w:rsid w:val="5B941898"/>
    <w:rsid w:val="5B9C5F8E"/>
    <w:rsid w:val="5B9E8570"/>
    <w:rsid w:val="5BA6AD3E"/>
    <w:rsid w:val="5BB2D013"/>
    <w:rsid w:val="5BB7463E"/>
    <w:rsid w:val="5BC62B4A"/>
    <w:rsid w:val="5BC6DA80"/>
    <w:rsid w:val="5BE17B76"/>
    <w:rsid w:val="5BE66ECF"/>
    <w:rsid w:val="5BEF25BC"/>
    <w:rsid w:val="5BF23A72"/>
    <w:rsid w:val="5BF5D9FB"/>
    <w:rsid w:val="5BF94AD5"/>
    <w:rsid w:val="5BFDD599"/>
    <w:rsid w:val="5C06D53B"/>
    <w:rsid w:val="5C0DAAEE"/>
    <w:rsid w:val="5C2B67E8"/>
    <w:rsid w:val="5C3B43EF"/>
    <w:rsid w:val="5C3BA2FD"/>
    <w:rsid w:val="5C43DA16"/>
    <w:rsid w:val="5C47CFE3"/>
    <w:rsid w:val="5C4E7C03"/>
    <w:rsid w:val="5C59B1A7"/>
    <w:rsid w:val="5C5D661F"/>
    <w:rsid w:val="5C77FFE3"/>
    <w:rsid w:val="5C78E585"/>
    <w:rsid w:val="5C802FE7"/>
    <w:rsid w:val="5C87059E"/>
    <w:rsid w:val="5CA6298C"/>
    <w:rsid w:val="5CB08D5D"/>
    <w:rsid w:val="5CB4DA1F"/>
    <w:rsid w:val="5CBD0793"/>
    <w:rsid w:val="5CC437C6"/>
    <w:rsid w:val="5CD8F1CF"/>
    <w:rsid w:val="5CE28A27"/>
    <w:rsid w:val="5CF0B616"/>
    <w:rsid w:val="5D022229"/>
    <w:rsid w:val="5D114320"/>
    <w:rsid w:val="5D329411"/>
    <w:rsid w:val="5D3AA32F"/>
    <w:rsid w:val="5D4E204C"/>
    <w:rsid w:val="5D6E36FA"/>
    <w:rsid w:val="5D731C6A"/>
    <w:rsid w:val="5D9391A0"/>
    <w:rsid w:val="5D9CD998"/>
    <w:rsid w:val="5D9CE049"/>
    <w:rsid w:val="5DAD0C23"/>
    <w:rsid w:val="5DBA3E0C"/>
    <w:rsid w:val="5DBCC893"/>
    <w:rsid w:val="5DBD89E8"/>
    <w:rsid w:val="5DC7398F"/>
    <w:rsid w:val="5DCC1F73"/>
    <w:rsid w:val="5DDAE088"/>
    <w:rsid w:val="5DDC8E67"/>
    <w:rsid w:val="5DFD4B5E"/>
    <w:rsid w:val="5E04F862"/>
    <w:rsid w:val="5E138670"/>
    <w:rsid w:val="5E478E09"/>
    <w:rsid w:val="5E5BE4C1"/>
    <w:rsid w:val="5E5FA4C4"/>
    <w:rsid w:val="5E7C9077"/>
    <w:rsid w:val="5E905A50"/>
    <w:rsid w:val="5E99EA62"/>
    <w:rsid w:val="5E9F2C4E"/>
    <w:rsid w:val="5EA26758"/>
    <w:rsid w:val="5EAD4A10"/>
    <w:rsid w:val="5EAFC767"/>
    <w:rsid w:val="5EB12992"/>
    <w:rsid w:val="5EBE522F"/>
    <w:rsid w:val="5EC34A5D"/>
    <w:rsid w:val="5EE29D99"/>
    <w:rsid w:val="5EF5F8CE"/>
    <w:rsid w:val="5EFB3A40"/>
    <w:rsid w:val="5EFE10BF"/>
    <w:rsid w:val="5F188FE0"/>
    <w:rsid w:val="5F20D588"/>
    <w:rsid w:val="5F2CBAB2"/>
    <w:rsid w:val="5F2CE345"/>
    <w:rsid w:val="5F303E7C"/>
    <w:rsid w:val="5F3303E0"/>
    <w:rsid w:val="5F51A258"/>
    <w:rsid w:val="5F57907E"/>
    <w:rsid w:val="5F6D724D"/>
    <w:rsid w:val="5F7083AC"/>
    <w:rsid w:val="5F98D26C"/>
    <w:rsid w:val="5FA377D9"/>
    <w:rsid w:val="5FAF75D5"/>
    <w:rsid w:val="5FB19E6D"/>
    <w:rsid w:val="5FB477D5"/>
    <w:rsid w:val="5FC0195B"/>
    <w:rsid w:val="5FCDF787"/>
    <w:rsid w:val="5FD4212A"/>
    <w:rsid w:val="5FE524B2"/>
    <w:rsid w:val="5FF8A48E"/>
    <w:rsid w:val="6018F99B"/>
    <w:rsid w:val="601BC4E5"/>
    <w:rsid w:val="6021F9F1"/>
    <w:rsid w:val="60245578"/>
    <w:rsid w:val="602DCA75"/>
    <w:rsid w:val="606285E9"/>
    <w:rsid w:val="607BC9F1"/>
    <w:rsid w:val="607F0DB8"/>
    <w:rsid w:val="608CD156"/>
    <w:rsid w:val="6094270F"/>
    <w:rsid w:val="609836EB"/>
    <w:rsid w:val="60AEEE1F"/>
    <w:rsid w:val="60E40971"/>
    <w:rsid w:val="60E41C5B"/>
    <w:rsid w:val="60EEF556"/>
    <w:rsid w:val="60F01C42"/>
    <w:rsid w:val="60F8AE4A"/>
    <w:rsid w:val="61064DCE"/>
    <w:rsid w:val="612E3522"/>
    <w:rsid w:val="61687C7E"/>
    <w:rsid w:val="61833889"/>
    <w:rsid w:val="61861043"/>
    <w:rsid w:val="6196A963"/>
    <w:rsid w:val="61987060"/>
    <w:rsid w:val="61A76A95"/>
    <w:rsid w:val="61AA2207"/>
    <w:rsid w:val="61C5EACE"/>
    <w:rsid w:val="61C99D1D"/>
    <w:rsid w:val="61ED1982"/>
    <w:rsid w:val="61FE9DAC"/>
    <w:rsid w:val="620CBD6E"/>
    <w:rsid w:val="62108B68"/>
    <w:rsid w:val="622082A5"/>
    <w:rsid w:val="62241F63"/>
    <w:rsid w:val="622F2DC6"/>
    <w:rsid w:val="624C0428"/>
    <w:rsid w:val="62597728"/>
    <w:rsid w:val="627D3F91"/>
    <w:rsid w:val="6280B9A3"/>
    <w:rsid w:val="6288D661"/>
    <w:rsid w:val="628D9A69"/>
    <w:rsid w:val="628F400F"/>
    <w:rsid w:val="62962500"/>
    <w:rsid w:val="62B8C7CD"/>
    <w:rsid w:val="62B9A260"/>
    <w:rsid w:val="62BB7D65"/>
    <w:rsid w:val="62BDBFFB"/>
    <w:rsid w:val="62C772EE"/>
    <w:rsid w:val="62C7CF2F"/>
    <w:rsid w:val="62D2D095"/>
    <w:rsid w:val="6323BA63"/>
    <w:rsid w:val="6323FDC1"/>
    <w:rsid w:val="63304970"/>
    <w:rsid w:val="63394B71"/>
    <w:rsid w:val="633D628C"/>
    <w:rsid w:val="6341EF3C"/>
    <w:rsid w:val="63AF1A76"/>
    <w:rsid w:val="63C309BC"/>
    <w:rsid w:val="63E87699"/>
    <w:rsid w:val="6403906C"/>
    <w:rsid w:val="640FA13F"/>
    <w:rsid w:val="6416F9C2"/>
    <w:rsid w:val="64177C5B"/>
    <w:rsid w:val="641BA2D5"/>
    <w:rsid w:val="642765F0"/>
    <w:rsid w:val="642F0F92"/>
    <w:rsid w:val="64346DF6"/>
    <w:rsid w:val="643C29A1"/>
    <w:rsid w:val="643D6828"/>
    <w:rsid w:val="645ABE6A"/>
    <w:rsid w:val="6470437E"/>
    <w:rsid w:val="6471328B"/>
    <w:rsid w:val="64735310"/>
    <w:rsid w:val="648923CC"/>
    <w:rsid w:val="64987F05"/>
    <w:rsid w:val="6498F2EC"/>
    <w:rsid w:val="64A888FD"/>
    <w:rsid w:val="64A89827"/>
    <w:rsid w:val="64AA696D"/>
    <w:rsid w:val="64BCFA13"/>
    <w:rsid w:val="64E02DE3"/>
    <w:rsid w:val="64E2B6C2"/>
    <w:rsid w:val="64EDB63B"/>
    <w:rsid w:val="64FEFD0C"/>
    <w:rsid w:val="6502E67B"/>
    <w:rsid w:val="6503025C"/>
    <w:rsid w:val="65071E46"/>
    <w:rsid w:val="65131D24"/>
    <w:rsid w:val="651B2EA8"/>
    <w:rsid w:val="6523D362"/>
    <w:rsid w:val="6528CD52"/>
    <w:rsid w:val="652987E6"/>
    <w:rsid w:val="653F297B"/>
    <w:rsid w:val="65495B1A"/>
    <w:rsid w:val="65526AF4"/>
    <w:rsid w:val="6561C9D1"/>
    <w:rsid w:val="656AB347"/>
    <w:rsid w:val="656EA7D7"/>
    <w:rsid w:val="659568C1"/>
    <w:rsid w:val="65A3480E"/>
    <w:rsid w:val="65A6C940"/>
    <w:rsid w:val="65A742D9"/>
    <w:rsid w:val="65ABD9B7"/>
    <w:rsid w:val="65C33855"/>
    <w:rsid w:val="65D83593"/>
    <w:rsid w:val="65DC3D1C"/>
    <w:rsid w:val="65DDA488"/>
    <w:rsid w:val="65DE678C"/>
    <w:rsid w:val="65DF6FA5"/>
    <w:rsid w:val="65E68F10"/>
    <w:rsid w:val="65F11EDF"/>
    <w:rsid w:val="662A6F55"/>
    <w:rsid w:val="6669830E"/>
    <w:rsid w:val="668F795A"/>
    <w:rsid w:val="66ACEACB"/>
    <w:rsid w:val="66B07344"/>
    <w:rsid w:val="66B16B89"/>
    <w:rsid w:val="66B67B6A"/>
    <w:rsid w:val="66C5D83F"/>
    <w:rsid w:val="66DA4A7A"/>
    <w:rsid w:val="66DCABFD"/>
    <w:rsid w:val="66EB8BFC"/>
    <w:rsid w:val="66FA9532"/>
    <w:rsid w:val="6719A649"/>
    <w:rsid w:val="6721AA49"/>
    <w:rsid w:val="672C81F0"/>
    <w:rsid w:val="67337FC3"/>
    <w:rsid w:val="67376876"/>
    <w:rsid w:val="6742AA2A"/>
    <w:rsid w:val="67522EEF"/>
    <w:rsid w:val="675C60A1"/>
    <w:rsid w:val="67660D49"/>
    <w:rsid w:val="678DFE02"/>
    <w:rsid w:val="679025C2"/>
    <w:rsid w:val="67A3C640"/>
    <w:rsid w:val="67A40E9A"/>
    <w:rsid w:val="67A78B7A"/>
    <w:rsid w:val="67ACBD9A"/>
    <w:rsid w:val="67CD3A4B"/>
    <w:rsid w:val="67D3B402"/>
    <w:rsid w:val="6813527C"/>
    <w:rsid w:val="6815492B"/>
    <w:rsid w:val="6815BCA2"/>
    <w:rsid w:val="6822BC29"/>
    <w:rsid w:val="682BF44A"/>
    <w:rsid w:val="683183D7"/>
    <w:rsid w:val="68331A9B"/>
    <w:rsid w:val="684CD7D8"/>
    <w:rsid w:val="684E8574"/>
    <w:rsid w:val="685B5C89"/>
    <w:rsid w:val="68619589"/>
    <w:rsid w:val="686D1169"/>
    <w:rsid w:val="6888E070"/>
    <w:rsid w:val="689D55FF"/>
    <w:rsid w:val="68ADC68D"/>
    <w:rsid w:val="68C2FD73"/>
    <w:rsid w:val="68D338D7"/>
    <w:rsid w:val="68DA2D92"/>
    <w:rsid w:val="68EFF71B"/>
    <w:rsid w:val="68F587C3"/>
    <w:rsid w:val="69011EF4"/>
    <w:rsid w:val="691BEFC1"/>
    <w:rsid w:val="691FEBF5"/>
    <w:rsid w:val="6924F8C1"/>
    <w:rsid w:val="692AFF89"/>
    <w:rsid w:val="692FFDC9"/>
    <w:rsid w:val="693C9832"/>
    <w:rsid w:val="694B2ED9"/>
    <w:rsid w:val="695FD747"/>
    <w:rsid w:val="6975B03D"/>
    <w:rsid w:val="697D080A"/>
    <w:rsid w:val="6982D7CE"/>
    <w:rsid w:val="6986C0F5"/>
    <w:rsid w:val="698E65CD"/>
    <w:rsid w:val="69A34FE8"/>
    <w:rsid w:val="69B5D288"/>
    <w:rsid w:val="69BF281C"/>
    <w:rsid w:val="69D2A585"/>
    <w:rsid w:val="69D7E0C8"/>
    <w:rsid w:val="69D9FBA1"/>
    <w:rsid w:val="69E7118C"/>
    <w:rsid w:val="69E9E18D"/>
    <w:rsid w:val="69F3CAF7"/>
    <w:rsid w:val="6A0E6942"/>
    <w:rsid w:val="6A138A19"/>
    <w:rsid w:val="6A184430"/>
    <w:rsid w:val="6A53B983"/>
    <w:rsid w:val="6A635207"/>
    <w:rsid w:val="6A833C91"/>
    <w:rsid w:val="6A9113DD"/>
    <w:rsid w:val="6A9370C2"/>
    <w:rsid w:val="6A945054"/>
    <w:rsid w:val="6A94C16B"/>
    <w:rsid w:val="6A9A8067"/>
    <w:rsid w:val="6AAC62E7"/>
    <w:rsid w:val="6AB74805"/>
    <w:rsid w:val="6ACDC5AE"/>
    <w:rsid w:val="6AE25406"/>
    <w:rsid w:val="6AEB99D6"/>
    <w:rsid w:val="6AED824D"/>
    <w:rsid w:val="6AEE9BAC"/>
    <w:rsid w:val="6AF69C20"/>
    <w:rsid w:val="6AF7B367"/>
    <w:rsid w:val="6B2C9797"/>
    <w:rsid w:val="6B355583"/>
    <w:rsid w:val="6B3A4577"/>
    <w:rsid w:val="6B3E503B"/>
    <w:rsid w:val="6B4803A0"/>
    <w:rsid w:val="6B62E084"/>
    <w:rsid w:val="6B6B1B34"/>
    <w:rsid w:val="6B7A18C4"/>
    <w:rsid w:val="6B8CCFCE"/>
    <w:rsid w:val="6B99B6E2"/>
    <w:rsid w:val="6B9AA91F"/>
    <w:rsid w:val="6BB69863"/>
    <w:rsid w:val="6BB9FF79"/>
    <w:rsid w:val="6BBFAA92"/>
    <w:rsid w:val="6BCBA49B"/>
    <w:rsid w:val="6BCEF9E1"/>
    <w:rsid w:val="6BD40F18"/>
    <w:rsid w:val="6BF9D02B"/>
    <w:rsid w:val="6C2C4C81"/>
    <w:rsid w:val="6C393856"/>
    <w:rsid w:val="6C3E2FA2"/>
    <w:rsid w:val="6C41B0DF"/>
    <w:rsid w:val="6C4321F4"/>
    <w:rsid w:val="6C49A0A8"/>
    <w:rsid w:val="6C4B326B"/>
    <w:rsid w:val="6C54B5CE"/>
    <w:rsid w:val="6C8A0DDB"/>
    <w:rsid w:val="6C99C1F0"/>
    <w:rsid w:val="6C9A1167"/>
    <w:rsid w:val="6C9C80C4"/>
    <w:rsid w:val="6CA8E2E8"/>
    <w:rsid w:val="6CAC5AD5"/>
    <w:rsid w:val="6CB0511F"/>
    <w:rsid w:val="6CD7A170"/>
    <w:rsid w:val="6CD860F4"/>
    <w:rsid w:val="6CE6912A"/>
    <w:rsid w:val="6CEB4B69"/>
    <w:rsid w:val="6CEEDF7E"/>
    <w:rsid w:val="6CF0DECC"/>
    <w:rsid w:val="6CF77C39"/>
    <w:rsid w:val="6D0FE68D"/>
    <w:rsid w:val="6D26D240"/>
    <w:rsid w:val="6D2C9981"/>
    <w:rsid w:val="6D368D1D"/>
    <w:rsid w:val="6D435AFB"/>
    <w:rsid w:val="6D51D3B4"/>
    <w:rsid w:val="6D5C1BB3"/>
    <w:rsid w:val="6D5CD931"/>
    <w:rsid w:val="6D6893E0"/>
    <w:rsid w:val="6D690C6D"/>
    <w:rsid w:val="6D76D8B0"/>
    <w:rsid w:val="6D82C76D"/>
    <w:rsid w:val="6D999203"/>
    <w:rsid w:val="6D9E3D31"/>
    <w:rsid w:val="6DABA7DA"/>
    <w:rsid w:val="6DCA38F1"/>
    <w:rsid w:val="6DCD5D56"/>
    <w:rsid w:val="6DDFE9B8"/>
    <w:rsid w:val="6DE323D1"/>
    <w:rsid w:val="6DF32847"/>
    <w:rsid w:val="6E094637"/>
    <w:rsid w:val="6E10B325"/>
    <w:rsid w:val="6E1DCB59"/>
    <w:rsid w:val="6E2B9862"/>
    <w:rsid w:val="6E49BDC4"/>
    <w:rsid w:val="6E56550A"/>
    <w:rsid w:val="6E6582BD"/>
    <w:rsid w:val="6E751154"/>
    <w:rsid w:val="6E82953E"/>
    <w:rsid w:val="6E8984C8"/>
    <w:rsid w:val="6E953825"/>
    <w:rsid w:val="6E9E6C93"/>
    <w:rsid w:val="6EA82025"/>
    <w:rsid w:val="6EAAD8D8"/>
    <w:rsid w:val="6EABAEC8"/>
    <w:rsid w:val="6EAC2BB8"/>
    <w:rsid w:val="6EB80C18"/>
    <w:rsid w:val="6ED2EE4F"/>
    <w:rsid w:val="6ED7CA03"/>
    <w:rsid w:val="6EEDF405"/>
    <w:rsid w:val="6EF88E81"/>
    <w:rsid w:val="6EF9BAC7"/>
    <w:rsid w:val="6EFAA368"/>
    <w:rsid w:val="6F00365C"/>
    <w:rsid w:val="6F06EF11"/>
    <w:rsid w:val="6F13991A"/>
    <w:rsid w:val="6F2239E7"/>
    <w:rsid w:val="6F2B1CB5"/>
    <w:rsid w:val="6F2DC670"/>
    <w:rsid w:val="6F410125"/>
    <w:rsid w:val="6F4B5020"/>
    <w:rsid w:val="6F5DA7D9"/>
    <w:rsid w:val="6F66529D"/>
    <w:rsid w:val="6F6B4B4D"/>
    <w:rsid w:val="6F741FBD"/>
    <w:rsid w:val="6F819960"/>
    <w:rsid w:val="6F84E3DF"/>
    <w:rsid w:val="6F861636"/>
    <w:rsid w:val="6F8630D7"/>
    <w:rsid w:val="6F880F7F"/>
    <w:rsid w:val="6F8941C4"/>
    <w:rsid w:val="6F9A55A4"/>
    <w:rsid w:val="6F9EED9D"/>
    <w:rsid w:val="6FAE01F8"/>
    <w:rsid w:val="6FC11D0C"/>
    <w:rsid w:val="6FCD84F4"/>
    <w:rsid w:val="6FE94E20"/>
    <w:rsid w:val="6FEC087B"/>
    <w:rsid w:val="700550A0"/>
    <w:rsid w:val="700F86CB"/>
    <w:rsid w:val="7012061C"/>
    <w:rsid w:val="701CFA29"/>
    <w:rsid w:val="702788AD"/>
    <w:rsid w:val="7035B552"/>
    <w:rsid w:val="704B2F6E"/>
    <w:rsid w:val="706757BB"/>
    <w:rsid w:val="706DE84B"/>
    <w:rsid w:val="70793B79"/>
    <w:rsid w:val="70862290"/>
    <w:rsid w:val="7091A98F"/>
    <w:rsid w:val="70ACAB6A"/>
    <w:rsid w:val="70CA83C6"/>
    <w:rsid w:val="70E28E5F"/>
    <w:rsid w:val="70EB3879"/>
    <w:rsid w:val="70F47D3B"/>
    <w:rsid w:val="711F23B0"/>
    <w:rsid w:val="712107D4"/>
    <w:rsid w:val="712DBD7F"/>
    <w:rsid w:val="712FCF01"/>
    <w:rsid w:val="713101D9"/>
    <w:rsid w:val="7137B247"/>
    <w:rsid w:val="71581ABE"/>
    <w:rsid w:val="7167C1FE"/>
    <w:rsid w:val="716C052C"/>
    <w:rsid w:val="718EE07C"/>
    <w:rsid w:val="71953970"/>
    <w:rsid w:val="719F196F"/>
    <w:rsid w:val="71A0E0E0"/>
    <w:rsid w:val="71AB3451"/>
    <w:rsid w:val="71BDA466"/>
    <w:rsid w:val="71C2F8F7"/>
    <w:rsid w:val="71C68B11"/>
    <w:rsid w:val="71C72729"/>
    <w:rsid w:val="71D7E4E9"/>
    <w:rsid w:val="71F261CE"/>
    <w:rsid w:val="71F4C10F"/>
    <w:rsid w:val="71F56D01"/>
    <w:rsid w:val="7206014F"/>
    <w:rsid w:val="7215C3B9"/>
    <w:rsid w:val="7233A8F0"/>
    <w:rsid w:val="7233E9C2"/>
    <w:rsid w:val="72423CA0"/>
    <w:rsid w:val="7246AEC9"/>
    <w:rsid w:val="7267057A"/>
    <w:rsid w:val="726E10DE"/>
    <w:rsid w:val="7270BB83"/>
    <w:rsid w:val="727B7396"/>
    <w:rsid w:val="7296FAC3"/>
    <w:rsid w:val="72B872C3"/>
    <w:rsid w:val="72BDF1EA"/>
    <w:rsid w:val="72BE4C12"/>
    <w:rsid w:val="72DCEBE6"/>
    <w:rsid w:val="72E45B86"/>
    <w:rsid w:val="7307A050"/>
    <w:rsid w:val="7315AE8A"/>
    <w:rsid w:val="7319A7DC"/>
    <w:rsid w:val="731AAFC7"/>
    <w:rsid w:val="73299F75"/>
    <w:rsid w:val="732A9A05"/>
    <w:rsid w:val="733FF3EB"/>
    <w:rsid w:val="735C3292"/>
    <w:rsid w:val="736C05B3"/>
    <w:rsid w:val="73741F79"/>
    <w:rsid w:val="737B4E41"/>
    <w:rsid w:val="737DAC77"/>
    <w:rsid w:val="737ED612"/>
    <w:rsid w:val="739F21ED"/>
    <w:rsid w:val="73A7D663"/>
    <w:rsid w:val="73B1ABC1"/>
    <w:rsid w:val="73CACE6C"/>
    <w:rsid w:val="73CE48F3"/>
    <w:rsid w:val="73D46D7F"/>
    <w:rsid w:val="73E30E39"/>
    <w:rsid w:val="73F995AA"/>
    <w:rsid w:val="740C69F4"/>
    <w:rsid w:val="741DD87E"/>
    <w:rsid w:val="743CFB05"/>
    <w:rsid w:val="7445335C"/>
    <w:rsid w:val="7451770E"/>
    <w:rsid w:val="745C8274"/>
    <w:rsid w:val="747FF1FC"/>
    <w:rsid w:val="748D66F9"/>
    <w:rsid w:val="7493635C"/>
    <w:rsid w:val="74AD2C0C"/>
    <w:rsid w:val="74AF5E8A"/>
    <w:rsid w:val="74B027D8"/>
    <w:rsid w:val="74E16EB0"/>
    <w:rsid w:val="74FD4DBA"/>
    <w:rsid w:val="74FD7161"/>
    <w:rsid w:val="74FEEFBE"/>
    <w:rsid w:val="75021973"/>
    <w:rsid w:val="750E1EA3"/>
    <w:rsid w:val="751EC6DF"/>
    <w:rsid w:val="752833FD"/>
    <w:rsid w:val="75654060"/>
    <w:rsid w:val="7580071B"/>
    <w:rsid w:val="75AF65B3"/>
    <w:rsid w:val="75BCE556"/>
    <w:rsid w:val="75BFEBEB"/>
    <w:rsid w:val="75C64958"/>
    <w:rsid w:val="75C73E0C"/>
    <w:rsid w:val="75E2162E"/>
    <w:rsid w:val="7601730C"/>
    <w:rsid w:val="760CF72F"/>
    <w:rsid w:val="763B259D"/>
    <w:rsid w:val="763F8913"/>
    <w:rsid w:val="76445F29"/>
    <w:rsid w:val="7647B825"/>
    <w:rsid w:val="7668131B"/>
    <w:rsid w:val="767018B5"/>
    <w:rsid w:val="7670F8E6"/>
    <w:rsid w:val="76767813"/>
    <w:rsid w:val="76884F61"/>
    <w:rsid w:val="768DD62E"/>
    <w:rsid w:val="769B7646"/>
    <w:rsid w:val="76A4822D"/>
    <w:rsid w:val="76B9D613"/>
    <w:rsid w:val="76B9F27C"/>
    <w:rsid w:val="76ED543C"/>
    <w:rsid w:val="76FB4F45"/>
    <w:rsid w:val="77114782"/>
    <w:rsid w:val="771FB37B"/>
    <w:rsid w:val="7733BDC7"/>
    <w:rsid w:val="7735DFD9"/>
    <w:rsid w:val="77363E05"/>
    <w:rsid w:val="7747A463"/>
    <w:rsid w:val="77485B4E"/>
    <w:rsid w:val="775058D9"/>
    <w:rsid w:val="77755D4D"/>
    <w:rsid w:val="7776B9D0"/>
    <w:rsid w:val="7786AF20"/>
    <w:rsid w:val="779DEF69"/>
    <w:rsid w:val="77A29EDF"/>
    <w:rsid w:val="77BD8E25"/>
    <w:rsid w:val="77C31806"/>
    <w:rsid w:val="77C768F8"/>
    <w:rsid w:val="77FCD0A0"/>
    <w:rsid w:val="7800ACD0"/>
    <w:rsid w:val="78164709"/>
    <w:rsid w:val="781B1E76"/>
    <w:rsid w:val="7866FAF6"/>
    <w:rsid w:val="786B5F57"/>
    <w:rsid w:val="787C821C"/>
    <w:rsid w:val="78805BE7"/>
    <w:rsid w:val="788922BD"/>
    <w:rsid w:val="788E630D"/>
    <w:rsid w:val="78A582A6"/>
    <w:rsid w:val="78AE22A6"/>
    <w:rsid w:val="78B77BB4"/>
    <w:rsid w:val="78C35275"/>
    <w:rsid w:val="78CE09ED"/>
    <w:rsid w:val="78D75714"/>
    <w:rsid w:val="78DBAE40"/>
    <w:rsid w:val="78E1B7AA"/>
    <w:rsid w:val="78EF3EB9"/>
    <w:rsid w:val="79084EA8"/>
    <w:rsid w:val="790C5468"/>
    <w:rsid w:val="7914B397"/>
    <w:rsid w:val="7934B0D3"/>
    <w:rsid w:val="7951FD85"/>
    <w:rsid w:val="7957E419"/>
    <w:rsid w:val="7958869A"/>
    <w:rsid w:val="795D4D9F"/>
    <w:rsid w:val="796AF7CC"/>
    <w:rsid w:val="79830FD8"/>
    <w:rsid w:val="798929F6"/>
    <w:rsid w:val="798A3290"/>
    <w:rsid w:val="798EC864"/>
    <w:rsid w:val="7998EFCE"/>
    <w:rsid w:val="799D2509"/>
    <w:rsid w:val="79A0CD39"/>
    <w:rsid w:val="79AB5B4D"/>
    <w:rsid w:val="79B3ED9B"/>
    <w:rsid w:val="79BCD849"/>
    <w:rsid w:val="79BDBD26"/>
    <w:rsid w:val="79C7192A"/>
    <w:rsid w:val="79C8B872"/>
    <w:rsid w:val="79EF3124"/>
    <w:rsid w:val="79F3D912"/>
    <w:rsid w:val="79F416BB"/>
    <w:rsid w:val="79F6805B"/>
    <w:rsid w:val="7A0703C6"/>
    <w:rsid w:val="7A1047CB"/>
    <w:rsid w:val="7A1DA9B4"/>
    <w:rsid w:val="7A1FEEC8"/>
    <w:rsid w:val="7A4497B1"/>
    <w:rsid w:val="7A48662E"/>
    <w:rsid w:val="7A49418A"/>
    <w:rsid w:val="7A60E4EC"/>
    <w:rsid w:val="7A6B501A"/>
    <w:rsid w:val="7A754DE1"/>
    <w:rsid w:val="7A8A9901"/>
    <w:rsid w:val="7A8E1701"/>
    <w:rsid w:val="7A919E37"/>
    <w:rsid w:val="7A951125"/>
    <w:rsid w:val="7AAC8273"/>
    <w:rsid w:val="7AD24B33"/>
    <w:rsid w:val="7AD310EA"/>
    <w:rsid w:val="7AD6C5D5"/>
    <w:rsid w:val="7AE3C5B8"/>
    <w:rsid w:val="7B09949C"/>
    <w:rsid w:val="7B1BF855"/>
    <w:rsid w:val="7B2EBD67"/>
    <w:rsid w:val="7B2FCEB8"/>
    <w:rsid w:val="7B33826A"/>
    <w:rsid w:val="7B3E80C7"/>
    <w:rsid w:val="7B4C5F00"/>
    <w:rsid w:val="7B52079C"/>
    <w:rsid w:val="7B54E112"/>
    <w:rsid w:val="7B60B261"/>
    <w:rsid w:val="7B7E40CA"/>
    <w:rsid w:val="7B8964D2"/>
    <w:rsid w:val="7B93B896"/>
    <w:rsid w:val="7B9CEBA8"/>
    <w:rsid w:val="7BA46B0C"/>
    <w:rsid w:val="7BA5239A"/>
    <w:rsid w:val="7BB12186"/>
    <w:rsid w:val="7BD6615B"/>
    <w:rsid w:val="7BDBC39F"/>
    <w:rsid w:val="7BFDA32D"/>
    <w:rsid w:val="7C1D68E5"/>
    <w:rsid w:val="7C3EEE71"/>
    <w:rsid w:val="7C40BFB4"/>
    <w:rsid w:val="7C51C5FB"/>
    <w:rsid w:val="7C54536C"/>
    <w:rsid w:val="7C5FD01E"/>
    <w:rsid w:val="7C61CC62"/>
    <w:rsid w:val="7C74BBD6"/>
    <w:rsid w:val="7CB462A2"/>
    <w:rsid w:val="7CB58AEC"/>
    <w:rsid w:val="7CB5F032"/>
    <w:rsid w:val="7CC28937"/>
    <w:rsid w:val="7CCE2A6F"/>
    <w:rsid w:val="7CD49084"/>
    <w:rsid w:val="7CF4794E"/>
    <w:rsid w:val="7CFF2523"/>
    <w:rsid w:val="7CFF5B3E"/>
    <w:rsid w:val="7D00CD23"/>
    <w:rsid w:val="7D075339"/>
    <w:rsid w:val="7D1037DC"/>
    <w:rsid w:val="7D105753"/>
    <w:rsid w:val="7D18A20A"/>
    <w:rsid w:val="7D2666B2"/>
    <w:rsid w:val="7D2AD291"/>
    <w:rsid w:val="7D2CCD7D"/>
    <w:rsid w:val="7D34102B"/>
    <w:rsid w:val="7D384001"/>
    <w:rsid w:val="7D4A53B9"/>
    <w:rsid w:val="7D4E13DA"/>
    <w:rsid w:val="7D614213"/>
    <w:rsid w:val="7D81C4FE"/>
    <w:rsid w:val="7D9889E4"/>
    <w:rsid w:val="7D9BEF01"/>
    <w:rsid w:val="7DA73AFD"/>
    <w:rsid w:val="7DAB5D6B"/>
    <w:rsid w:val="7DAD9BEA"/>
    <w:rsid w:val="7DAE7B2B"/>
    <w:rsid w:val="7DC6F0DE"/>
    <w:rsid w:val="7DCDC4D0"/>
    <w:rsid w:val="7DD39B2B"/>
    <w:rsid w:val="7DD600A6"/>
    <w:rsid w:val="7DEB1927"/>
    <w:rsid w:val="7E01FAD8"/>
    <w:rsid w:val="7E082BF0"/>
    <w:rsid w:val="7E1CBCA8"/>
    <w:rsid w:val="7E1FB1E7"/>
    <w:rsid w:val="7E2248B5"/>
    <w:rsid w:val="7E2D1942"/>
    <w:rsid w:val="7E631919"/>
    <w:rsid w:val="7E6572F2"/>
    <w:rsid w:val="7E6B9CB1"/>
    <w:rsid w:val="7E7045C5"/>
    <w:rsid w:val="7E7C0ACB"/>
    <w:rsid w:val="7E7C67AB"/>
    <w:rsid w:val="7E8A504A"/>
    <w:rsid w:val="7E8C73D7"/>
    <w:rsid w:val="7E8F95ED"/>
    <w:rsid w:val="7E923DD0"/>
    <w:rsid w:val="7E99F90B"/>
    <w:rsid w:val="7EA1F41C"/>
    <w:rsid w:val="7EA2CC16"/>
    <w:rsid w:val="7EA7C603"/>
    <w:rsid w:val="7EB61B5E"/>
    <w:rsid w:val="7ECE248D"/>
    <w:rsid w:val="7ED41152"/>
    <w:rsid w:val="7ED81F6F"/>
    <w:rsid w:val="7EDC97FD"/>
    <w:rsid w:val="7EF48EDB"/>
    <w:rsid w:val="7F0A8C59"/>
    <w:rsid w:val="7F205FCB"/>
    <w:rsid w:val="7F259495"/>
    <w:rsid w:val="7F38ECED"/>
    <w:rsid w:val="7F3C79BD"/>
    <w:rsid w:val="7F544E2E"/>
    <w:rsid w:val="7F574311"/>
    <w:rsid w:val="7F7E460E"/>
    <w:rsid w:val="7F801C78"/>
    <w:rsid w:val="7FB28925"/>
    <w:rsid w:val="7FB6AB7C"/>
    <w:rsid w:val="7FB85EF4"/>
    <w:rsid w:val="7FBE44CF"/>
    <w:rsid w:val="7FC7E5CD"/>
    <w:rsid w:val="7FC9D90C"/>
    <w:rsid w:val="7FCFFCAA"/>
    <w:rsid w:val="7FE1748B"/>
    <w:rsid w:val="7FED18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32B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8" w:unhideWhenUsed="1"/>
    <w:lsdException w:name="toc 2" w:semiHidden="1" w:uiPriority="98" w:unhideWhenUsed="1"/>
    <w:lsdException w:name="toc 3" w:semiHidden="1" w:uiPriority="49" w:unhideWhenUsed="1"/>
    <w:lsdException w:name="toc 4" w:semiHidden="1" w:uiPriority="49" w:unhideWhenUsed="1"/>
    <w:lsdException w:name="toc 5" w:semiHidden="1" w:uiPriority="49" w:unhideWhenUsed="1"/>
    <w:lsdException w:name="toc 6" w:semiHidden="1" w:uiPriority="96" w:unhideWhenUsed="1"/>
    <w:lsdException w:name="toc 7" w:semiHidden="1" w:uiPriority="96" w:unhideWhenUsed="1"/>
    <w:lsdException w:name="toc 8" w:semiHidden="1" w:uiPriority="96" w:unhideWhenUsed="1"/>
    <w:lsdException w:name="toc 9" w:semiHidden="1" w:uiPriority="98"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90E"/>
    <w:pPr>
      <w:keepLines/>
    </w:pPr>
    <w:rPr>
      <w:rFonts w:cs="Times New Roman"/>
    </w:rPr>
  </w:style>
  <w:style w:type="paragraph" w:styleId="Heading1">
    <w:name w:val="heading 1"/>
    <w:basedOn w:val="Normal"/>
    <w:next w:val="Normal"/>
    <w:link w:val="Heading1Char"/>
    <w:uiPriority w:val="9"/>
    <w:qFormat/>
    <w:rsid w:val="00C84660"/>
    <w:pPr>
      <w:keepNext/>
      <w:spacing w:before="360"/>
      <w:outlineLvl w:val="0"/>
    </w:pPr>
    <w:rPr>
      <w:rFonts w:asciiTheme="majorHAnsi" w:eastAsiaTheme="majorEastAsia" w:hAnsiTheme="majorHAnsi" w:cstheme="majorBidi"/>
      <w:b/>
      <w:caps/>
      <w:sz w:val="27"/>
      <w:szCs w:val="32"/>
    </w:rPr>
  </w:style>
  <w:style w:type="paragraph" w:styleId="Heading2">
    <w:name w:val="heading 2"/>
    <w:basedOn w:val="Heading1"/>
    <w:next w:val="Normal"/>
    <w:link w:val="Heading2Char"/>
    <w:uiPriority w:val="9"/>
    <w:unhideWhenUsed/>
    <w:qFormat/>
    <w:rsid w:val="00C84660"/>
    <w:pPr>
      <w:spacing w:before="240"/>
      <w:outlineLvl w:val="1"/>
    </w:pPr>
    <w:rPr>
      <w:caps w:val="0"/>
      <w:szCs w:val="26"/>
    </w:rPr>
  </w:style>
  <w:style w:type="paragraph" w:styleId="Heading3">
    <w:name w:val="heading 3"/>
    <w:basedOn w:val="Heading2"/>
    <w:next w:val="Normal"/>
    <w:link w:val="Heading3Char"/>
    <w:uiPriority w:val="9"/>
    <w:unhideWhenUsed/>
    <w:qFormat/>
    <w:rsid w:val="00ED0550"/>
    <w:pPr>
      <w:tabs>
        <w:tab w:val="right" w:pos="9639"/>
      </w:tabs>
      <w:spacing w:after="60"/>
      <w:outlineLvl w:val="2"/>
    </w:pPr>
    <w:rPr>
      <w:sz w:val="23"/>
      <w:szCs w:val="24"/>
    </w:rPr>
  </w:style>
  <w:style w:type="paragraph" w:styleId="Heading4">
    <w:name w:val="heading 4"/>
    <w:basedOn w:val="Heading3"/>
    <w:next w:val="Normal"/>
    <w:link w:val="Heading4Char"/>
    <w:uiPriority w:val="9"/>
    <w:unhideWhenUsed/>
    <w:qFormat/>
    <w:rsid w:val="00C84660"/>
    <w:pPr>
      <w:spacing w:before="180"/>
      <w:outlineLvl w:val="3"/>
    </w:pPr>
    <w:rPr>
      <w:b w:val="0"/>
      <w:i/>
      <w:iCs/>
      <w:sz w:val="22"/>
    </w:rPr>
  </w:style>
  <w:style w:type="paragraph" w:styleId="Heading5">
    <w:name w:val="heading 5"/>
    <w:basedOn w:val="Heading4"/>
    <w:next w:val="Normal"/>
    <w:link w:val="Heading5Char"/>
    <w:uiPriority w:val="9"/>
    <w:unhideWhenUsed/>
    <w:qFormat/>
    <w:rsid w:val="00C84660"/>
    <w:pPr>
      <w:outlineLvl w:val="4"/>
    </w:pPr>
    <w:rPr>
      <w:b/>
      <w:i w:val="0"/>
      <w:sz w:val="19"/>
    </w:rPr>
  </w:style>
  <w:style w:type="paragraph" w:styleId="Heading6">
    <w:name w:val="heading 6"/>
    <w:basedOn w:val="Normal"/>
    <w:next w:val="Normal"/>
    <w:link w:val="Heading6Char"/>
    <w:uiPriority w:val="9"/>
    <w:qFormat/>
    <w:rsid w:val="006C1A7D"/>
    <w:pPr>
      <w:keepNext/>
      <w:numPr>
        <w:ilvl w:val="5"/>
        <w:numId w:val="6"/>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qFormat/>
    <w:rsid w:val="009A0439"/>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84660"/>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4660"/>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660"/>
    <w:rPr>
      <w:rFonts w:asciiTheme="majorHAnsi" w:eastAsiaTheme="majorEastAsia" w:hAnsiTheme="majorHAnsi" w:cstheme="majorBidi"/>
      <w:b/>
      <w:caps/>
      <w:sz w:val="27"/>
      <w:szCs w:val="32"/>
    </w:rPr>
  </w:style>
  <w:style w:type="paragraph" w:customStyle="1" w:styleId="ChapterHeading">
    <w:name w:val="Chapter Heading"/>
    <w:basedOn w:val="Normal"/>
    <w:next w:val="Normal"/>
    <w:link w:val="ChapterHeadingChar"/>
    <w:uiPriority w:val="84"/>
    <w:qFormat/>
    <w:rsid w:val="00C84660"/>
    <w:pPr>
      <w:keepNext/>
      <w:pBdr>
        <w:bottom w:val="single" w:sz="12" w:space="1" w:color="auto"/>
      </w:pBdr>
      <w:spacing w:before="1440" w:after="360"/>
      <w:outlineLvl w:val="0"/>
    </w:pPr>
    <w:rPr>
      <w:rFonts w:asciiTheme="majorHAnsi" w:hAnsiTheme="majorHAnsi" w:cstheme="minorBidi"/>
      <w:b/>
      <w:caps/>
      <w:sz w:val="36"/>
    </w:rPr>
  </w:style>
  <w:style w:type="character" w:customStyle="1" w:styleId="Heading2Char">
    <w:name w:val="Heading 2 Char"/>
    <w:basedOn w:val="DefaultParagraphFont"/>
    <w:link w:val="Heading2"/>
    <w:uiPriority w:val="9"/>
    <w:rsid w:val="00C84660"/>
    <w:rPr>
      <w:rFonts w:asciiTheme="majorHAnsi" w:eastAsiaTheme="majorEastAsia" w:hAnsiTheme="majorHAnsi" w:cstheme="majorBidi"/>
      <w:b/>
      <w:sz w:val="27"/>
      <w:szCs w:val="26"/>
    </w:rPr>
  </w:style>
  <w:style w:type="character" w:customStyle="1" w:styleId="Heading3Char">
    <w:name w:val="Heading 3 Char"/>
    <w:basedOn w:val="DefaultParagraphFont"/>
    <w:link w:val="Heading3"/>
    <w:uiPriority w:val="9"/>
    <w:rsid w:val="00ED0550"/>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C84660"/>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C84660"/>
    <w:rPr>
      <w:rFonts w:asciiTheme="majorHAnsi" w:eastAsiaTheme="majorEastAsia" w:hAnsiTheme="majorHAnsi" w:cstheme="majorBidi"/>
      <w:b/>
      <w:iCs/>
      <w:sz w:val="19"/>
      <w:szCs w:val="24"/>
    </w:rPr>
  </w:style>
  <w:style w:type="character" w:styleId="Mention">
    <w:name w:val="Mention"/>
    <w:basedOn w:val="DefaultParagraphFont"/>
    <w:uiPriority w:val="99"/>
    <w:unhideWhenUsed/>
    <w:rsid w:val="001666D7"/>
    <w:rPr>
      <w:color w:val="2B579A"/>
      <w:shd w:val="clear" w:color="auto" w:fill="E1DFDD"/>
    </w:rPr>
  </w:style>
  <w:style w:type="paragraph" w:styleId="ListParagraph">
    <w:name w:val="List Paragraph"/>
    <w:basedOn w:val="Normal"/>
    <w:uiPriority w:val="34"/>
    <w:qFormat/>
    <w:rsid w:val="00C84660"/>
  </w:style>
  <w:style w:type="paragraph" w:styleId="ListNumber">
    <w:name w:val="List Number"/>
    <w:basedOn w:val="ListParagraph"/>
    <w:uiPriority w:val="19"/>
    <w:qFormat/>
    <w:rsid w:val="006C1A7D"/>
    <w:pPr>
      <w:numPr>
        <w:numId w:val="12"/>
      </w:numPr>
      <w:tabs>
        <w:tab w:val="num" w:pos="643"/>
      </w:tabs>
    </w:pPr>
  </w:style>
  <w:style w:type="paragraph" w:styleId="ListBullet">
    <w:name w:val="List Bullet"/>
    <w:basedOn w:val="ListParagraph"/>
    <w:uiPriority w:val="19"/>
    <w:qFormat/>
    <w:rsid w:val="009C3A8D"/>
    <w:pPr>
      <w:numPr>
        <w:numId w:val="9"/>
      </w:numPr>
      <w:spacing w:before="60" w:after="60"/>
    </w:pPr>
  </w:style>
  <w:style w:type="paragraph" w:styleId="ListBullet2">
    <w:name w:val="List Bullet 2"/>
    <w:basedOn w:val="ListBullet"/>
    <w:uiPriority w:val="19"/>
    <w:unhideWhenUsed/>
    <w:rsid w:val="006C1A7D"/>
    <w:pPr>
      <w:numPr>
        <w:numId w:val="0"/>
      </w:numPr>
      <w:tabs>
        <w:tab w:val="num" w:pos="643"/>
      </w:tabs>
      <w:ind w:left="643" w:hanging="360"/>
    </w:pPr>
  </w:style>
  <w:style w:type="paragraph" w:styleId="ListBullet3">
    <w:name w:val="List Bullet 3"/>
    <w:basedOn w:val="ListBullet2"/>
    <w:uiPriority w:val="19"/>
    <w:unhideWhenUsed/>
    <w:rsid w:val="006C1A7D"/>
    <w:pPr>
      <w:numPr>
        <w:numId w:val="215"/>
      </w:numPr>
    </w:pPr>
  </w:style>
  <w:style w:type="paragraph" w:styleId="ListContinue">
    <w:name w:val="List Continue"/>
    <w:basedOn w:val="ListParagraph"/>
    <w:uiPriority w:val="26"/>
    <w:qFormat/>
    <w:rsid w:val="006C1A7D"/>
    <w:pPr>
      <w:numPr>
        <w:numId w:val="7"/>
      </w:numPr>
    </w:pPr>
  </w:style>
  <w:style w:type="paragraph" w:styleId="ListNumber2">
    <w:name w:val="List Number 2"/>
    <w:basedOn w:val="ListNumber"/>
    <w:uiPriority w:val="19"/>
    <w:unhideWhenUsed/>
    <w:rsid w:val="006C1A7D"/>
    <w:pPr>
      <w:numPr>
        <w:ilvl w:val="1"/>
        <w:numId w:val="8"/>
      </w:numPr>
    </w:pPr>
  </w:style>
  <w:style w:type="paragraph" w:styleId="ListNumber3">
    <w:name w:val="List Number 3"/>
    <w:basedOn w:val="ListNumber2"/>
    <w:uiPriority w:val="19"/>
    <w:unhideWhenUsed/>
    <w:rsid w:val="006C1A7D"/>
    <w:pPr>
      <w:numPr>
        <w:ilvl w:val="2"/>
      </w:numPr>
    </w:pPr>
  </w:style>
  <w:style w:type="paragraph" w:styleId="ListContinue2">
    <w:name w:val="List Continue 2"/>
    <w:basedOn w:val="ListContinue"/>
    <w:uiPriority w:val="26"/>
    <w:unhideWhenUsed/>
    <w:rsid w:val="006C1A7D"/>
    <w:pPr>
      <w:numPr>
        <w:ilvl w:val="1"/>
      </w:numPr>
    </w:pPr>
  </w:style>
  <w:style w:type="paragraph" w:styleId="ListContinue3">
    <w:name w:val="List Continue 3"/>
    <w:basedOn w:val="ListContinue2"/>
    <w:uiPriority w:val="26"/>
    <w:unhideWhenUsed/>
    <w:rsid w:val="006C1A7D"/>
    <w:pPr>
      <w:numPr>
        <w:ilvl w:val="2"/>
      </w:numPr>
    </w:pPr>
  </w:style>
  <w:style w:type="paragraph" w:customStyle="1" w:styleId="TableHeading">
    <w:name w:val="Table Heading"/>
    <w:basedOn w:val="Normal"/>
    <w:next w:val="Normal"/>
    <w:link w:val="TableHeadingChar"/>
    <w:uiPriority w:val="29"/>
    <w:qFormat/>
    <w:rsid w:val="001E0CD5"/>
    <w:pPr>
      <w:keepNext/>
      <w:tabs>
        <w:tab w:val="left" w:pos="1021"/>
        <w:tab w:val="right" w:pos="9639"/>
      </w:tabs>
      <w:spacing w:after="60"/>
      <w:ind w:left="1021" w:hanging="1021"/>
      <w:contextualSpacing/>
    </w:pPr>
    <w:rPr>
      <w:rFonts w:ascii="Calibri" w:eastAsia="Garamond" w:hAnsi="Calibri"/>
      <w:b/>
      <w:iCs/>
      <w:sz w:val="20"/>
      <w:szCs w:val="18"/>
    </w:rPr>
  </w:style>
  <w:style w:type="paragraph" w:customStyle="1" w:styleId="Source">
    <w:name w:val="Source"/>
    <w:basedOn w:val="Note"/>
    <w:link w:val="SourceChar"/>
    <w:uiPriority w:val="30"/>
    <w:qFormat/>
    <w:rsid w:val="00C84660"/>
    <w:pPr>
      <w:spacing w:after="60"/>
    </w:pPr>
  </w:style>
  <w:style w:type="paragraph" w:styleId="Caption">
    <w:name w:val="caption"/>
    <w:basedOn w:val="Normal"/>
    <w:next w:val="Normal"/>
    <w:uiPriority w:val="35"/>
    <w:semiHidden/>
    <w:unhideWhenUsed/>
    <w:qFormat/>
    <w:rsid w:val="00C84660"/>
    <w:pPr>
      <w:spacing w:before="0" w:after="200"/>
    </w:pPr>
    <w:rPr>
      <w:i/>
      <w:iCs/>
      <w:color w:val="44546A" w:themeColor="text2"/>
      <w:sz w:val="18"/>
      <w:szCs w:val="18"/>
    </w:rPr>
  </w:style>
  <w:style w:type="paragraph" w:customStyle="1" w:styleId="Note">
    <w:name w:val="Note"/>
    <w:basedOn w:val="Normal"/>
    <w:link w:val="NoteChar"/>
    <w:uiPriority w:val="31"/>
    <w:qFormat/>
    <w:rsid w:val="00C84660"/>
    <w:pPr>
      <w:tabs>
        <w:tab w:val="left" w:pos="284"/>
      </w:tabs>
      <w:spacing w:before="60"/>
      <w:ind w:left="284" w:hanging="284"/>
      <w:contextualSpacing/>
    </w:pPr>
    <w:rPr>
      <w:rFonts w:asciiTheme="majorHAnsi" w:hAnsiTheme="majorHAnsi" w:cstheme="minorBidi"/>
      <w:i/>
      <w:sz w:val="14"/>
    </w:rPr>
  </w:style>
  <w:style w:type="paragraph" w:customStyle="1" w:styleId="Note2">
    <w:name w:val="Note 2"/>
    <w:basedOn w:val="Note"/>
    <w:uiPriority w:val="31"/>
    <w:qFormat/>
    <w:rsid w:val="009D1151"/>
    <w:pPr>
      <w:numPr>
        <w:numId w:val="10"/>
      </w:numPr>
      <w:spacing w:before="20"/>
      <w:ind w:left="454" w:hanging="170"/>
    </w:pPr>
  </w:style>
  <w:style w:type="paragraph" w:customStyle="1" w:styleId="NoteContinue">
    <w:name w:val="Note Continue"/>
    <w:basedOn w:val="Note"/>
    <w:uiPriority w:val="31"/>
    <w:qFormat/>
    <w:rsid w:val="00C84660"/>
    <w:pPr>
      <w:ind w:firstLine="0"/>
    </w:pPr>
  </w:style>
  <w:style w:type="paragraph" w:customStyle="1" w:styleId="ShadedBoxText">
    <w:name w:val="Shaded Box Text"/>
    <w:basedOn w:val="Normal"/>
    <w:uiPriority w:val="38"/>
    <w:qFormat/>
    <w:rsid w:val="00C84660"/>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Heading">
    <w:name w:val="Shaded Box Heading"/>
    <w:basedOn w:val="ShadedBoxText"/>
    <w:next w:val="ShadedBoxText"/>
    <w:uiPriority w:val="38"/>
    <w:qFormat/>
    <w:rsid w:val="00C84660"/>
    <w:pPr>
      <w:keepNext/>
    </w:pPr>
    <w:rPr>
      <w:rFonts w:asciiTheme="majorHAnsi" w:hAnsiTheme="majorHAnsi"/>
      <w:b/>
      <w:sz w:val="20"/>
    </w:rPr>
  </w:style>
  <w:style w:type="paragraph" w:customStyle="1" w:styleId="ShadedBoxBullet">
    <w:name w:val="Shaded Box Bullet"/>
    <w:basedOn w:val="ListBullet"/>
    <w:uiPriority w:val="39"/>
    <w:qFormat/>
    <w:rsid w:val="000E788A"/>
    <w:pPr>
      <w:numPr>
        <w:numId w:val="4"/>
      </w:numPr>
      <w:pBdr>
        <w:top w:val="single" w:sz="6" w:space="3" w:color="auto"/>
        <w:left w:val="single" w:sz="6" w:space="4" w:color="auto"/>
        <w:bottom w:val="single" w:sz="6" w:space="3" w:color="auto"/>
        <w:right w:val="single" w:sz="6" w:space="4" w:color="auto"/>
      </w:pBdr>
      <w:shd w:val="clear" w:color="auto" w:fill="F2F2F2" w:themeFill="background1" w:themeFillShade="F2"/>
    </w:pPr>
  </w:style>
  <w:style w:type="paragraph" w:customStyle="1" w:styleId="ShadedBoxBullet2">
    <w:name w:val="Shaded Box Bullet 2"/>
    <w:basedOn w:val="Normal"/>
    <w:next w:val="ShadedBoxText"/>
    <w:uiPriority w:val="39"/>
    <w:qFormat/>
    <w:rsid w:val="00C84660"/>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rPr>
      <w:rFonts w:cstheme="minorBidi"/>
    </w:rPr>
  </w:style>
  <w:style w:type="paragraph" w:styleId="Footer">
    <w:name w:val="footer"/>
    <w:basedOn w:val="Normal"/>
    <w:link w:val="FooterChar"/>
    <w:uiPriority w:val="99"/>
    <w:rsid w:val="00C84660"/>
    <w:pPr>
      <w:tabs>
        <w:tab w:val="center" w:pos="4513"/>
        <w:tab w:val="right" w:pos="9026"/>
      </w:tabs>
      <w:spacing w:before="0"/>
    </w:pPr>
  </w:style>
  <w:style w:type="character" w:customStyle="1" w:styleId="FooterChar">
    <w:name w:val="Footer Char"/>
    <w:basedOn w:val="DefaultParagraphFont"/>
    <w:link w:val="Footer"/>
    <w:uiPriority w:val="99"/>
    <w:rsid w:val="00C84660"/>
    <w:rPr>
      <w:rFonts w:cs="Times New Roman"/>
    </w:rPr>
  </w:style>
  <w:style w:type="paragraph" w:customStyle="1" w:styleId="FooterEvenPage">
    <w:name w:val="Footer [Even Page]"/>
    <w:basedOn w:val="Normal"/>
    <w:uiPriority w:val="99"/>
    <w:qFormat/>
    <w:rsid w:val="00BF1353"/>
    <w:pPr>
      <w:pBdr>
        <w:top w:val="single" w:sz="6" w:space="1" w:color="auto"/>
      </w:pBdr>
      <w:tabs>
        <w:tab w:val="center" w:pos="3119"/>
        <w:tab w:val="right" w:pos="9639"/>
      </w:tabs>
    </w:pPr>
    <w:rPr>
      <w:rFonts w:asciiTheme="majorHAnsi" w:hAnsiTheme="majorHAnsi" w:cstheme="minorBidi"/>
      <w:sz w:val="18"/>
    </w:rPr>
  </w:style>
  <w:style w:type="paragraph" w:customStyle="1" w:styleId="FooterOddPage">
    <w:name w:val="Footer [Odd Page]"/>
    <w:basedOn w:val="Normal"/>
    <w:uiPriority w:val="99"/>
    <w:qFormat/>
    <w:rsid w:val="001F5C9B"/>
    <w:pPr>
      <w:pBdr>
        <w:top w:val="single" w:sz="6" w:space="1" w:color="auto"/>
      </w:pBdr>
      <w:tabs>
        <w:tab w:val="center" w:pos="6350"/>
        <w:tab w:val="right" w:pos="9639"/>
      </w:tabs>
    </w:pPr>
    <w:rPr>
      <w:rFonts w:asciiTheme="majorHAnsi" w:hAnsiTheme="majorHAnsi" w:cstheme="minorBidi"/>
      <w:sz w:val="18"/>
    </w:rPr>
  </w:style>
  <w:style w:type="paragraph" w:styleId="Header">
    <w:name w:val="header"/>
    <w:basedOn w:val="Normal"/>
    <w:link w:val="HeaderChar"/>
    <w:uiPriority w:val="84"/>
    <w:unhideWhenUsed/>
    <w:rsid w:val="00C84660"/>
    <w:pPr>
      <w:tabs>
        <w:tab w:val="center" w:pos="4513"/>
        <w:tab w:val="right" w:pos="9026"/>
      </w:tabs>
      <w:spacing w:after="180"/>
    </w:pPr>
    <w:rPr>
      <w:rFonts w:asciiTheme="majorHAnsi" w:hAnsiTheme="majorHAnsi"/>
      <w:b/>
      <w:color w:val="53565A"/>
    </w:rPr>
  </w:style>
  <w:style w:type="character" w:customStyle="1" w:styleId="HeaderChar">
    <w:name w:val="Header Char"/>
    <w:basedOn w:val="DefaultParagraphFont"/>
    <w:link w:val="Header"/>
    <w:uiPriority w:val="84"/>
    <w:rsid w:val="00C84660"/>
    <w:rPr>
      <w:rFonts w:asciiTheme="majorHAnsi" w:hAnsiTheme="majorHAnsi" w:cs="Times New Roman"/>
      <w:b/>
      <w:color w:val="53565A"/>
    </w:rPr>
  </w:style>
  <w:style w:type="paragraph" w:styleId="TOC1">
    <w:name w:val="toc 1"/>
    <w:basedOn w:val="Normal"/>
    <w:next w:val="Normal"/>
    <w:uiPriority w:val="98"/>
    <w:unhideWhenUsed/>
    <w:rsid w:val="00C84660"/>
    <w:pPr>
      <w:keepNext/>
      <w:tabs>
        <w:tab w:val="right" w:leader="dot" w:pos="9639"/>
      </w:tabs>
    </w:pPr>
    <w:rPr>
      <w:rFonts w:asciiTheme="majorHAnsi" w:hAnsiTheme="majorHAnsi" w:cstheme="minorBidi"/>
      <w:b/>
    </w:rPr>
  </w:style>
  <w:style w:type="paragraph" w:styleId="TOC2">
    <w:name w:val="toc 2"/>
    <w:basedOn w:val="TOC1"/>
    <w:uiPriority w:val="98"/>
    <w:unhideWhenUsed/>
    <w:rsid w:val="00C84660"/>
    <w:pPr>
      <w:ind w:left="568" w:hanging="284"/>
    </w:pPr>
    <w:rPr>
      <w:b w:val="0"/>
    </w:rPr>
  </w:style>
  <w:style w:type="paragraph" w:styleId="TOC9">
    <w:name w:val="toc 9"/>
    <w:basedOn w:val="Normal"/>
    <w:next w:val="Normal"/>
    <w:uiPriority w:val="98"/>
    <w:unhideWhenUsed/>
    <w:rsid w:val="00C84660"/>
    <w:pPr>
      <w:tabs>
        <w:tab w:val="left" w:pos="567"/>
        <w:tab w:val="right" w:leader="dot" w:pos="3629"/>
      </w:tabs>
      <w:ind w:left="567" w:hanging="567"/>
    </w:pPr>
    <w:rPr>
      <w:rFonts w:cstheme="minorBidi"/>
      <w:sz w:val="20"/>
    </w:rPr>
  </w:style>
  <w:style w:type="table" w:customStyle="1" w:styleId="DTFTableNumeric">
    <w:name w:val="DTF Table [Numeric]"/>
    <w:basedOn w:val="TableNormal"/>
    <w:uiPriority w:val="99"/>
    <w:rsid w:val="005A6B99"/>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wordWrap/>
        <w:ind w:leftChars="0" w:left="0" w:firstLineChars="0" w:firstLine="0"/>
        <w:jc w:val="left"/>
      </w:pPr>
    </w:tblStylePr>
  </w:style>
  <w:style w:type="table" w:styleId="TableGrid">
    <w:name w:val="Table Grid"/>
    <w:basedOn w:val="TableNormal"/>
    <w:uiPriority w:val="59"/>
    <w:rsid w:val="006C1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141FEB"/>
    <w:pPr>
      <w:spacing w:before="60" w:after="60"/>
    </w:pPr>
    <w:rPr>
      <w:rFonts w:asciiTheme="majorHAnsi" w:hAnsiTheme="majorHAnsi"/>
      <w:sz w:val="19"/>
    </w:rPr>
    <w:tblPr>
      <w:tblStyleRowBandSize w:val="1"/>
      <w:tblBorders>
        <w:bottom w:val="single" w:sz="12" w:space="0" w:color="auto"/>
      </w:tblBorders>
    </w:tblPr>
    <w:tblStylePr w:type="firstRow">
      <w:pPr>
        <w:jc w:val="left"/>
      </w:pPr>
      <w:rPr>
        <w:i/>
      </w:rPr>
      <w:tblPr/>
      <w:tcPr>
        <w:shd w:val="clear" w:color="auto" w:fill="000000" w:themeFill="text1"/>
      </w:tcPr>
    </w:tblStylePr>
    <w:tblStylePr w:type="lastRow">
      <w:rPr>
        <w:b/>
      </w:rPr>
    </w:tblStylePr>
    <w:tblStylePr w:type="firstCol">
      <w:rPr>
        <w:b/>
      </w:rPr>
    </w:tblStylePr>
    <w:tblStylePr w:type="lastCol">
      <w:rPr>
        <w:b/>
      </w:rPr>
    </w:tblStylePr>
    <w:tblStylePr w:type="band1Horz">
      <w:tblPr/>
      <w:tcPr>
        <w:tcBorders>
          <w:top w:val="single" w:sz="6" w:space="0" w:color="auto"/>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B84D69"/>
    <w:tblPr/>
    <w:tblStylePr w:type="firstRow">
      <w:pPr>
        <w:jc w:val="left"/>
      </w:pPr>
      <w:rPr>
        <w:i/>
      </w:rPr>
      <w:tblPr/>
      <w:tcPr>
        <w:shd w:val="clear" w:color="auto" w:fill="000000" w:themeFill="text1"/>
      </w:tcPr>
    </w:tblStylePr>
    <w:tblStylePr w:type="lastRow">
      <w:rPr>
        <w:b/>
      </w:rPr>
    </w:tblStylePr>
    <w:tblStylePr w:type="firstCol">
      <w:rPr>
        <w:b/>
      </w:rPr>
    </w:tblStylePr>
    <w:tblStylePr w:type="lastCol">
      <w:rPr>
        <w:b/>
      </w:rPr>
    </w:tblStylePr>
    <w:tblStylePr w:type="band1Horz">
      <w:tblPr/>
      <w:tcPr>
        <w:tcBorders>
          <w:top w:val="single" w:sz="6" w:space="0" w:color="auto"/>
          <w:left w:val="nil"/>
          <w:bottom w:val="single" w:sz="6" w:space="0" w:color="auto"/>
          <w:right w:val="nil"/>
          <w:insideH w:val="nil"/>
          <w:insideV w:val="nil"/>
          <w:tl2br w:val="nil"/>
          <w:tr2bl w:val="nil"/>
        </w:tcBorders>
      </w:tcPr>
    </w:tblStylePr>
  </w:style>
  <w:style w:type="paragraph" w:customStyle="1" w:styleId="ListAlpha">
    <w:name w:val="List Alpha"/>
    <w:basedOn w:val="ListParagraph"/>
    <w:uiPriority w:val="20"/>
    <w:qFormat/>
    <w:rsid w:val="006C1A7D"/>
    <w:pPr>
      <w:numPr>
        <w:numId w:val="3"/>
      </w:numPr>
    </w:pPr>
    <w:rPr>
      <w:rFonts w:eastAsia="MS Mincho"/>
    </w:rPr>
  </w:style>
  <w:style w:type="paragraph" w:customStyle="1" w:styleId="ListAlpha2">
    <w:name w:val="List Alpha 2"/>
    <w:basedOn w:val="ListAlpha"/>
    <w:uiPriority w:val="20"/>
    <w:unhideWhenUsed/>
    <w:qFormat/>
    <w:rsid w:val="006C1A7D"/>
    <w:pPr>
      <w:numPr>
        <w:ilvl w:val="1"/>
      </w:numPr>
    </w:pPr>
  </w:style>
  <w:style w:type="paragraph" w:customStyle="1" w:styleId="ListAlpha3">
    <w:name w:val="List Alpha 3"/>
    <w:basedOn w:val="ListAlpha2"/>
    <w:uiPriority w:val="20"/>
    <w:unhideWhenUsed/>
    <w:qFormat/>
    <w:rsid w:val="006C1A7D"/>
    <w:pPr>
      <w:numPr>
        <w:ilvl w:val="2"/>
      </w:numPr>
    </w:pPr>
  </w:style>
  <w:style w:type="character" w:customStyle="1" w:styleId="Heading6Char">
    <w:name w:val="Heading 6 Char"/>
    <w:basedOn w:val="DefaultParagraphFont"/>
    <w:link w:val="Heading6"/>
    <w:uiPriority w:val="9"/>
    <w:rsid w:val="00C84660"/>
    <w:rPr>
      <w:rFonts w:asciiTheme="majorHAnsi" w:eastAsiaTheme="majorEastAsia" w:hAnsiTheme="majorHAnsi" w:cstheme="majorBidi"/>
      <w:i/>
      <w:iCs/>
      <w:color w:val="1F3763" w:themeColor="accent1" w:themeShade="7F"/>
    </w:rPr>
  </w:style>
  <w:style w:type="paragraph" w:styleId="TOC4">
    <w:name w:val="toc 4"/>
    <w:basedOn w:val="Normal"/>
    <w:next w:val="Normal"/>
    <w:autoRedefine/>
    <w:uiPriority w:val="49"/>
    <w:semiHidden/>
    <w:rsid w:val="00C84660"/>
    <w:pPr>
      <w:spacing w:after="100"/>
      <w:ind w:left="660"/>
    </w:pPr>
  </w:style>
  <w:style w:type="character" w:styleId="Hyperlink">
    <w:name w:val="Hyperlink"/>
    <w:uiPriority w:val="99"/>
    <w:rsid w:val="006C1A7D"/>
    <w:rPr>
      <w:color w:val="0000FF"/>
      <w:u w:val="single"/>
    </w:rPr>
  </w:style>
  <w:style w:type="table" w:styleId="LightList">
    <w:name w:val="Light List"/>
    <w:basedOn w:val="TableNormal"/>
    <w:uiPriority w:val="61"/>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6C1A7D"/>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6C1A7D"/>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6C1A7D"/>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6C1A7D"/>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6C1A7D"/>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6C1A7D"/>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6C1A7D"/>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29"/>
    <w:rsid w:val="001E0CD5"/>
    <w:rPr>
      <w:rFonts w:ascii="Calibri" w:eastAsia="Garamond" w:hAnsi="Calibri" w:cs="Times New Roman"/>
      <w:b/>
      <w:iCs/>
      <w:sz w:val="20"/>
      <w:szCs w:val="18"/>
    </w:rPr>
  </w:style>
  <w:style w:type="character" w:customStyle="1" w:styleId="NoteChar">
    <w:name w:val="Note Char"/>
    <w:basedOn w:val="DefaultParagraphFont"/>
    <w:link w:val="Note"/>
    <w:uiPriority w:val="31"/>
    <w:rsid w:val="00C84660"/>
    <w:rPr>
      <w:rFonts w:asciiTheme="majorHAnsi" w:hAnsiTheme="majorHAnsi"/>
      <w:i/>
      <w:sz w:val="14"/>
    </w:rPr>
  </w:style>
  <w:style w:type="numbering" w:customStyle="1" w:styleId="A">
    <w:name w:val="(A)"/>
    <w:uiPriority w:val="99"/>
    <w:rsid w:val="006C1A7D"/>
  </w:style>
  <w:style w:type="paragraph" w:customStyle="1" w:styleId="DecimalAligned">
    <w:name w:val="Decimal Aligned"/>
    <w:basedOn w:val="Normal"/>
    <w:uiPriority w:val="40"/>
    <w:semiHidden/>
    <w:rsid w:val="006C1A7D"/>
    <w:pPr>
      <w:tabs>
        <w:tab w:val="decimal" w:pos="360"/>
      </w:tabs>
      <w:spacing w:after="200" w:line="276" w:lineRule="auto"/>
    </w:pPr>
    <w:rPr>
      <w:rFonts w:eastAsia="MS Mincho"/>
      <w:lang w:val="en-US" w:eastAsia="ja-JP"/>
    </w:rPr>
  </w:style>
  <w:style w:type="paragraph" w:customStyle="1" w:styleId="HeadingContents">
    <w:name w:val="Heading [Contents]"/>
    <w:basedOn w:val="ChapterHeading"/>
    <w:next w:val="Normal"/>
    <w:uiPriority w:val="99"/>
    <w:semiHidden/>
    <w:rsid w:val="006C1A7D"/>
    <w:pPr>
      <w:keepLines w:val="0"/>
      <w:pBdr>
        <w:bottom w:val="single" w:sz="12" w:space="7" w:color="auto"/>
      </w:pBdr>
    </w:pPr>
    <w:rPr>
      <w:rFonts w:ascii="Calibri" w:eastAsia="Times New Roman" w:hAnsi="Calibri" w:cs="Times New Roman"/>
      <w:b w:val="0"/>
      <w:caps w:val="0"/>
      <w:sz w:val="38"/>
      <w:szCs w:val="28"/>
    </w:rPr>
  </w:style>
  <w:style w:type="paragraph" w:customStyle="1" w:styleId="ControlledEntitiesDepartment">
    <w:name w:val="Controlled Entities Department"/>
    <w:basedOn w:val="Normal"/>
    <w:next w:val="Normal"/>
    <w:uiPriority w:val="97"/>
    <w:qFormat/>
    <w:rsid w:val="006C1A7D"/>
    <w:pPr>
      <w:shd w:val="clear" w:color="auto" w:fill="D9D9D9" w:themeFill="background1" w:themeFillShade="D9"/>
      <w:spacing w:before="40" w:after="20"/>
      <w:ind w:left="170" w:hanging="170"/>
    </w:pPr>
    <w:rPr>
      <w:rFonts w:asciiTheme="majorHAnsi" w:hAnsiTheme="majorHAnsi"/>
      <w:b/>
      <w:bCs/>
      <w:sz w:val="18"/>
    </w:rPr>
  </w:style>
  <w:style w:type="character" w:customStyle="1" w:styleId="Heading7Char">
    <w:name w:val="Heading 7 Char"/>
    <w:basedOn w:val="DefaultParagraphFont"/>
    <w:link w:val="Heading7"/>
    <w:uiPriority w:val="9"/>
    <w:semiHidden/>
    <w:rsid w:val="00C8466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846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84660"/>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uiPriority w:val="99"/>
    <w:semiHidden/>
    <w:unhideWhenUsed/>
    <w:rsid w:val="006C1A7D"/>
    <w:pPr>
      <w:ind w:left="220" w:hanging="220"/>
    </w:pPr>
    <w:rPr>
      <w:rFonts w:eastAsia="MS Mincho"/>
    </w:rPr>
  </w:style>
  <w:style w:type="paragraph" w:styleId="Index2">
    <w:name w:val="index 2"/>
    <w:basedOn w:val="Normal"/>
    <w:next w:val="Normal"/>
    <w:autoRedefine/>
    <w:uiPriority w:val="99"/>
    <w:semiHidden/>
    <w:unhideWhenUsed/>
    <w:rsid w:val="006C1A7D"/>
    <w:pPr>
      <w:ind w:left="440" w:hanging="220"/>
    </w:pPr>
    <w:rPr>
      <w:rFonts w:eastAsia="MS Mincho"/>
    </w:rPr>
  </w:style>
  <w:style w:type="paragraph" w:styleId="Index3">
    <w:name w:val="index 3"/>
    <w:basedOn w:val="Normal"/>
    <w:next w:val="Normal"/>
    <w:autoRedefine/>
    <w:uiPriority w:val="99"/>
    <w:semiHidden/>
    <w:unhideWhenUsed/>
    <w:rsid w:val="006C1A7D"/>
    <w:pPr>
      <w:ind w:left="660" w:hanging="220"/>
    </w:pPr>
    <w:rPr>
      <w:rFonts w:eastAsia="MS Mincho"/>
    </w:rPr>
  </w:style>
  <w:style w:type="paragraph" w:styleId="Index4">
    <w:name w:val="index 4"/>
    <w:basedOn w:val="Normal"/>
    <w:next w:val="Normal"/>
    <w:autoRedefine/>
    <w:uiPriority w:val="99"/>
    <w:semiHidden/>
    <w:unhideWhenUsed/>
    <w:rsid w:val="006C1A7D"/>
    <w:pPr>
      <w:ind w:left="880" w:hanging="220"/>
    </w:pPr>
    <w:rPr>
      <w:rFonts w:eastAsia="MS Mincho"/>
    </w:rPr>
  </w:style>
  <w:style w:type="paragraph" w:styleId="Index5">
    <w:name w:val="index 5"/>
    <w:basedOn w:val="Normal"/>
    <w:next w:val="Normal"/>
    <w:autoRedefine/>
    <w:uiPriority w:val="99"/>
    <w:semiHidden/>
    <w:unhideWhenUsed/>
    <w:rsid w:val="006C1A7D"/>
    <w:pPr>
      <w:ind w:left="1100" w:hanging="220"/>
    </w:pPr>
    <w:rPr>
      <w:rFonts w:eastAsia="MS Mincho"/>
    </w:rPr>
  </w:style>
  <w:style w:type="paragraph" w:styleId="Index6">
    <w:name w:val="index 6"/>
    <w:basedOn w:val="Normal"/>
    <w:next w:val="Normal"/>
    <w:autoRedefine/>
    <w:uiPriority w:val="99"/>
    <w:semiHidden/>
    <w:unhideWhenUsed/>
    <w:rsid w:val="006C1A7D"/>
    <w:pPr>
      <w:ind w:left="1320" w:hanging="220"/>
    </w:pPr>
    <w:rPr>
      <w:rFonts w:eastAsia="MS Mincho"/>
    </w:rPr>
  </w:style>
  <w:style w:type="paragraph" w:styleId="Index7">
    <w:name w:val="index 7"/>
    <w:basedOn w:val="Normal"/>
    <w:next w:val="Normal"/>
    <w:autoRedefine/>
    <w:uiPriority w:val="99"/>
    <w:semiHidden/>
    <w:unhideWhenUsed/>
    <w:rsid w:val="006C1A7D"/>
    <w:pPr>
      <w:ind w:left="1540" w:hanging="220"/>
    </w:pPr>
    <w:rPr>
      <w:rFonts w:eastAsia="MS Mincho"/>
    </w:rPr>
  </w:style>
  <w:style w:type="paragraph" w:styleId="Index8">
    <w:name w:val="index 8"/>
    <w:basedOn w:val="Normal"/>
    <w:next w:val="Normal"/>
    <w:autoRedefine/>
    <w:uiPriority w:val="99"/>
    <w:semiHidden/>
    <w:unhideWhenUsed/>
    <w:rsid w:val="006C1A7D"/>
    <w:pPr>
      <w:ind w:left="1760" w:hanging="220"/>
    </w:pPr>
    <w:rPr>
      <w:rFonts w:eastAsia="MS Mincho"/>
    </w:rPr>
  </w:style>
  <w:style w:type="paragraph" w:styleId="Index9">
    <w:name w:val="index 9"/>
    <w:basedOn w:val="Normal"/>
    <w:next w:val="Normal"/>
    <w:autoRedefine/>
    <w:uiPriority w:val="99"/>
    <w:semiHidden/>
    <w:unhideWhenUsed/>
    <w:rsid w:val="006C1A7D"/>
    <w:pPr>
      <w:ind w:left="1980" w:hanging="220"/>
    </w:pPr>
    <w:rPr>
      <w:rFonts w:eastAsia="MS Mincho"/>
    </w:rPr>
  </w:style>
  <w:style w:type="paragraph" w:styleId="TOC3">
    <w:name w:val="toc 3"/>
    <w:basedOn w:val="Normal"/>
    <w:next w:val="Normal"/>
    <w:autoRedefine/>
    <w:uiPriority w:val="49"/>
    <w:semiHidden/>
    <w:rsid w:val="00C84660"/>
    <w:pPr>
      <w:spacing w:after="100"/>
      <w:ind w:left="440"/>
    </w:pPr>
  </w:style>
  <w:style w:type="paragraph" w:styleId="TOC5">
    <w:name w:val="toc 5"/>
    <w:basedOn w:val="Normal"/>
    <w:next w:val="Normal"/>
    <w:autoRedefine/>
    <w:uiPriority w:val="49"/>
    <w:semiHidden/>
    <w:rsid w:val="00C84660"/>
    <w:pPr>
      <w:spacing w:after="100"/>
      <w:ind w:left="880"/>
    </w:pPr>
  </w:style>
  <w:style w:type="paragraph" w:styleId="TOC6">
    <w:name w:val="toc 6"/>
    <w:basedOn w:val="Normal"/>
    <w:next w:val="Normal"/>
    <w:autoRedefine/>
    <w:uiPriority w:val="96"/>
    <w:semiHidden/>
    <w:rsid w:val="006C1A7D"/>
    <w:pPr>
      <w:spacing w:after="100"/>
      <w:ind w:left="1100"/>
    </w:pPr>
    <w:rPr>
      <w:rFonts w:eastAsia="MS Mincho"/>
    </w:rPr>
  </w:style>
  <w:style w:type="paragraph" w:styleId="TOC7">
    <w:name w:val="toc 7"/>
    <w:basedOn w:val="Normal"/>
    <w:next w:val="Normal"/>
    <w:autoRedefine/>
    <w:uiPriority w:val="96"/>
    <w:semiHidden/>
    <w:rsid w:val="00DA1A35"/>
    <w:pPr>
      <w:spacing w:after="100"/>
      <w:ind w:left="1320"/>
    </w:pPr>
    <w:rPr>
      <w:rFonts w:eastAsia="MS Mincho"/>
    </w:rPr>
  </w:style>
  <w:style w:type="paragraph" w:styleId="TOC8">
    <w:name w:val="toc 8"/>
    <w:basedOn w:val="Normal"/>
    <w:next w:val="Normal"/>
    <w:autoRedefine/>
    <w:uiPriority w:val="96"/>
    <w:semiHidden/>
    <w:rsid w:val="006C1A7D"/>
    <w:pPr>
      <w:spacing w:after="100"/>
      <w:ind w:left="1540"/>
    </w:pPr>
    <w:rPr>
      <w:rFonts w:eastAsia="MS Mincho"/>
    </w:rPr>
  </w:style>
  <w:style w:type="paragraph" w:styleId="FootnoteText">
    <w:name w:val="footnote text"/>
    <w:basedOn w:val="Normal"/>
    <w:link w:val="FootnoteTextChar"/>
    <w:uiPriority w:val="99"/>
    <w:semiHidden/>
    <w:qFormat/>
    <w:rsid w:val="006C1A7D"/>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6C1A7D"/>
    <w:rPr>
      <w:rFonts w:eastAsiaTheme="minorEastAsia"/>
      <w:sz w:val="20"/>
      <w:lang w:val="en-US" w:eastAsia="ja-JP"/>
    </w:rPr>
  </w:style>
  <w:style w:type="paragraph" w:styleId="CommentText">
    <w:name w:val="annotation text"/>
    <w:basedOn w:val="Normal"/>
    <w:link w:val="CommentTextChar"/>
    <w:uiPriority w:val="99"/>
    <w:unhideWhenUsed/>
    <w:rsid w:val="006C1A7D"/>
    <w:rPr>
      <w:sz w:val="20"/>
      <w:szCs w:val="20"/>
    </w:rPr>
  </w:style>
  <w:style w:type="character" w:customStyle="1" w:styleId="CommentTextChar">
    <w:name w:val="Comment Text Char"/>
    <w:basedOn w:val="DefaultParagraphFont"/>
    <w:link w:val="CommentText"/>
    <w:uiPriority w:val="99"/>
    <w:rsid w:val="006C1A7D"/>
    <w:rPr>
      <w:sz w:val="20"/>
      <w:szCs w:val="20"/>
    </w:rPr>
  </w:style>
  <w:style w:type="paragraph" w:styleId="IndexHeading">
    <w:name w:val="index heading"/>
    <w:basedOn w:val="Normal"/>
    <w:next w:val="Index1"/>
    <w:uiPriority w:val="99"/>
    <w:semiHidden/>
    <w:unhideWhenUsed/>
    <w:rsid w:val="006C1A7D"/>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6C1A7D"/>
    <w:rPr>
      <w:rFonts w:eastAsia="MS Mincho"/>
    </w:rPr>
  </w:style>
  <w:style w:type="paragraph" w:styleId="EnvelopeAddress">
    <w:name w:val="envelope address"/>
    <w:basedOn w:val="Normal"/>
    <w:uiPriority w:val="99"/>
    <w:semiHidden/>
    <w:unhideWhenUsed/>
    <w:rsid w:val="006C1A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C1A7D"/>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6C1A7D"/>
    <w:rPr>
      <w:vertAlign w:val="superscript"/>
    </w:rPr>
  </w:style>
  <w:style w:type="character" w:styleId="CommentReference">
    <w:name w:val="annotation reference"/>
    <w:basedOn w:val="DefaultParagraphFont"/>
    <w:uiPriority w:val="99"/>
    <w:semiHidden/>
    <w:unhideWhenUsed/>
    <w:rsid w:val="006C1A7D"/>
    <w:rPr>
      <w:sz w:val="16"/>
      <w:szCs w:val="16"/>
    </w:rPr>
  </w:style>
  <w:style w:type="character" w:styleId="LineNumber">
    <w:name w:val="line number"/>
    <w:basedOn w:val="DefaultParagraphFont"/>
    <w:uiPriority w:val="99"/>
    <w:semiHidden/>
    <w:unhideWhenUsed/>
    <w:rsid w:val="006C1A7D"/>
  </w:style>
  <w:style w:type="character" w:styleId="EndnoteReference">
    <w:name w:val="endnote reference"/>
    <w:basedOn w:val="DefaultParagraphFont"/>
    <w:uiPriority w:val="99"/>
    <w:semiHidden/>
    <w:unhideWhenUsed/>
    <w:rsid w:val="006C1A7D"/>
    <w:rPr>
      <w:vertAlign w:val="superscript"/>
    </w:rPr>
  </w:style>
  <w:style w:type="paragraph" w:styleId="EndnoteText">
    <w:name w:val="endnote text"/>
    <w:basedOn w:val="Normal"/>
    <w:link w:val="EndnoteTextChar"/>
    <w:uiPriority w:val="99"/>
    <w:semiHidden/>
    <w:unhideWhenUsed/>
    <w:rsid w:val="006C1A7D"/>
    <w:rPr>
      <w:rFonts w:eastAsia="MS Mincho"/>
      <w:sz w:val="20"/>
      <w:szCs w:val="20"/>
    </w:rPr>
  </w:style>
  <w:style w:type="character" w:customStyle="1" w:styleId="EndnoteTextChar">
    <w:name w:val="Endnote Text Char"/>
    <w:basedOn w:val="DefaultParagraphFont"/>
    <w:link w:val="EndnoteText"/>
    <w:uiPriority w:val="99"/>
    <w:semiHidden/>
    <w:rsid w:val="006C1A7D"/>
    <w:rPr>
      <w:rFonts w:eastAsia="MS Mincho"/>
      <w:sz w:val="20"/>
      <w:szCs w:val="20"/>
    </w:rPr>
  </w:style>
  <w:style w:type="paragraph" w:styleId="TableofAuthorities">
    <w:name w:val="table of authorities"/>
    <w:basedOn w:val="Normal"/>
    <w:next w:val="Normal"/>
    <w:uiPriority w:val="99"/>
    <w:semiHidden/>
    <w:unhideWhenUsed/>
    <w:rsid w:val="006C1A7D"/>
    <w:pPr>
      <w:ind w:left="220" w:hanging="220"/>
    </w:pPr>
    <w:rPr>
      <w:rFonts w:eastAsia="MS Mincho"/>
    </w:rPr>
  </w:style>
  <w:style w:type="paragraph" w:styleId="MacroText">
    <w:name w:val="macro"/>
    <w:link w:val="MacroTextChar"/>
    <w:uiPriority w:val="99"/>
    <w:semiHidden/>
    <w:unhideWhenUsed/>
    <w:rsid w:val="006C1A7D"/>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6C1A7D"/>
    <w:rPr>
      <w:rFonts w:ascii="Consolas" w:eastAsia="MS Mincho" w:hAnsi="Consolas" w:cs="Consolas"/>
      <w:sz w:val="20"/>
      <w:szCs w:val="20"/>
    </w:rPr>
  </w:style>
  <w:style w:type="paragraph" w:styleId="TOAHeading">
    <w:name w:val="toa heading"/>
    <w:basedOn w:val="Normal"/>
    <w:next w:val="Normal"/>
    <w:uiPriority w:val="99"/>
    <w:semiHidden/>
    <w:unhideWhenUsed/>
    <w:rsid w:val="006C1A7D"/>
    <w:rPr>
      <w:rFonts w:asciiTheme="majorHAnsi" w:eastAsiaTheme="majorEastAsia" w:hAnsiTheme="majorHAnsi" w:cstheme="majorBidi"/>
      <w:b/>
      <w:bCs/>
      <w:sz w:val="24"/>
      <w:szCs w:val="24"/>
    </w:rPr>
  </w:style>
  <w:style w:type="paragraph" w:styleId="List2">
    <w:name w:val="List 2"/>
    <w:basedOn w:val="Normal"/>
    <w:uiPriority w:val="29"/>
    <w:semiHidden/>
    <w:rsid w:val="006C1A7D"/>
    <w:pPr>
      <w:ind w:left="566" w:hanging="283"/>
      <w:contextualSpacing/>
    </w:pPr>
    <w:rPr>
      <w:rFonts w:eastAsia="MS Mincho"/>
    </w:rPr>
  </w:style>
  <w:style w:type="paragraph" w:styleId="List3">
    <w:name w:val="List 3"/>
    <w:basedOn w:val="Normal"/>
    <w:uiPriority w:val="29"/>
    <w:semiHidden/>
    <w:unhideWhenUsed/>
    <w:rsid w:val="006C1A7D"/>
    <w:pPr>
      <w:ind w:left="849" w:hanging="283"/>
      <w:contextualSpacing/>
    </w:pPr>
    <w:rPr>
      <w:rFonts w:eastAsia="MS Mincho"/>
    </w:rPr>
  </w:style>
  <w:style w:type="paragraph" w:styleId="List4">
    <w:name w:val="List 4"/>
    <w:basedOn w:val="Normal"/>
    <w:uiPriority w:val="29"/>
    <w:semiHidden/>
    <w:unhideWhenUsed/>
    <w:rsid w:val="006C1A7D"/>
    <w:pPr>
      <w:ind w:left="1132" w:hanging="283"/>
      <w:contextualSpacing/>
    </w:pPr>
    <w:rPr>
      <w:rFonts w:eastAsia="MS Mincho"/>
    </w:rPr>
  </w:style>
  <w:style w:type="paragraph" w:styleId="List5">
    <w:name w:val="List 5"/>
    <w:basedOn w:val="Normal"/>
    <w:uiPriority w:val="29"/>
    <w:semiHidden/>
    <w:unhideWhenUsed/>
    <w:rsid w:val="006C1A7D"/>
    <w:pPr>
      <w:ind w:left="1415" w:hanging="283"/>
      <w:contextualSpacing/>
    </w:pPr>
    <w:rPr>
      <w:rFonts w:eastAsia="MS Mincho"/>
    </w:rPr>
  </w:style>
  <w:style w:type="paragraph" w:styleId="ListBullet4">
    <w:name w:val="List Bullet 4"/>
    <w:basedOn w:val="Normal"/>
    <w:uiPriority w:val="19"/>
    <w:semiHidden/>
    <w:unhideWhenUsed/>
    <w:rsid w:val="006C1A7D"/>
    <w:pPr>
      <w:numPr>
        <w:numId w:val="2"/>
      </w:numPr>
      <w:tabs>
        <w:tab w:val="num" w:pos="360"/>
      </w:tabs>
      <w:contextualSpacing/>
    </w:pPr>
    <w:rPr>
      <w:rFonts w:eastAsia="MS Mincho"/>
    </w:rPr>
  </w:style>
  <w:style w:type="paragraph" w:styleId="ListBullet5">
    <w:name w:val="List Bullet 5"/>
    <w:basedOn w:val="Normal"/>
    <w:uiPriority w:val="19"/>
    <w:semiHidden/>
    <w:unhideWhenUsed/>
    <w:rsid w:val="006C1A7D"/>
    <w:pPr>
      <w:tabs>
        <w:tab w:val="num" w:pos="926"/>
        <w:tab w:val="num" w:pos="1209"/>
      </w:tabs>
      <w:ind w:left="720" w:hanging="360"/>
      <w:contextualSpacing/>
    </w:pPr>
    <w:rPr>
      <w:rFonts w:eastAsia="MS Mincho"/>
    </w:rPr>
  </w:style>
  <w:style w:type="paragraph" w:styleId="ListNumber4">
    <w:name w:val="List Number 4"/>
    <w:basedOn w:val="Normal"/>
    <w:uiPriority w:val="19"/>
    <w:semiHidden/>
    <w:unhideWhenUsed/>
    <w:rsid w:val="006C1A7D"/>
    <w:pPr>
      <w:ind w:left="1136" w:hanging="284"/>
      <w:contextualSpacing/>
    </w:pPr>
    <w:rPr>
      <w:rFonts w:eastAsia="MS Mincho"/>
    </w:rPr>
  </w:style>
  <w:style w:type="paragraph" w:styleId="ListNumber5">
    <w:name w:val="List Number 5"/>
    <w:basedOn w:val="Normal"/>
    <w:uiPriority w:val="19"/>
    <w:semiHidden/>
    <w:unhideWhenUsed/>
    <w:rsid w:val="006C1A7D"/>
    <w:pPr>
      <w:ind w:left="1420" w:hanging="284"/>
      <w:contextualSpacing/>
    </w:pPr>
    <w:rPr>
      <w:rFonts w:eastAsia="MS Mincho"/>
    </w:rPr>
  </w:style>
  <w:style w:type="paragraph" w:styleId="Closing">
    <w:name w:val="Closing"/>
    <w:basedOn w:val="Normal"/>
    <w:link w:val="ClosingChar"/>
    <w:uiPriority w:val="99"/>
    <w:semiHidden/>
    <w:unhideWhenUsed/>
    <w:rsid w:val="006C1A7D"/>
    <w:pPr>
      <w:ind w:left="4252"/>
    </w:pPr>
    <w:rPr>
      <w:rFonts w:eastAsia="MS Mincho"/>
    </w:rPr>
  </w:style>
  <w:style w:type="character" w:customStyle="1" w:styleId="ClosingChar">
    <w:name w:val="Closing Char"/>
    <w:basedOn w:val="DefaultParagraphFont"/>
    <w:link w:val="Closing"/>
    <w:uiPriority w:val="99"/>
    <w:semiHidden/>
    <w:rsid w:val="006C1A7D"/>
    <w:rPr>
      <w:rFonts w:eastAsia="MS Mincho"/>
    </w:rPr>
  </w:style>
  <w:style w:type="paragraph" w:styleId="Signature">
    <w:name w:val="Signature"/>
    <w:basedOn w:val="Normal"/>
    <w:link w:val="SignatureChar"/>
    <w:uiPriority w:val="99"/>
    <w:semiHidden/>
    <w:unhideWhenUsed/>
    <w:rsid w:val="006C1A7D"/>
    <w:pPr>
      <w:ind w:left="4252"/>
    </w:pPr>
    <w:rPr>
      <w:rFonts w:eastAsia="MS Mincho"/>
    </w:rPr>
  </w:style>
  <w:style w:type="character" w:customStyle="1" w:styleId="SignatureChar">
    <w:name w:val="Signature Char"/>
    <w:basedOn w:val="DefaultParagraphFont"/>
    <w:link w:val="Signature"/>
    <w:uiPriority w:val="99"/>
    <w:semiHidden/>
    <w:rsid w:val="006C1A7D"/>
    <w:rPr>
      <w:rFonts w:eastAsia="MS Mincho"/>
    </w:rPr>
  </w:style>
  <w:style w:type="paragraph" w:styleId="BodyText">
    <w:name w:val="Body Text"/>
    <w:basedOn w:val="Normal"/>
    <w:link w:val="BodyTextChar"/>
    <w:uiPriority w:val="4"/>
    <w:semiHidden/>
    <w:unhideWhenUsed/>
    <w:rsid w:val="006C1A7D"/>
    <w:rPr>
      <w:rFonts w:eastAsia="MS Mincho"/>
    </w:rPr>
  </w:style>
  <w:style w:type="character" w:customStyle="1" w:styleId="BodyTextChar">
    <w:name w:val="Body Text Char"/>
    <w:basedOn w:val="DefaultParagraphFont"/>
    <w:link w:val="BodyText"/>
    <w:uiPriority w:val="4"/>
    <w:semiHidden/>
    <w:rsid w:val="006C1A7D"/>
    <w:rPr>
      <w:rFonts w:eastAsia="MS Mincho"/>
    </w:rPr>
  </w:style>
  <w:style w:type="paragraph" w:styleId="BodyTextIndent">
    <w:name w:val="Body Text Indent"/>
    <w:basedOn w:val="Normal"/>
    <w:link w:val="BodyTextIndentChar"/>
    <w:uiPriority w:val="99"/>
    <w:semiHidden/>
    <w:unhideWhenUsed/>
    <w:rsid w:val="006C1A7D"/>
    <w:pPr>
      <w:ind w:left="283"/>
    </w:pPr>
    <w:rPr>
      <w:rFonts w:eastAsia="MS Mincho"/>
    </w:rPr>
  </w:style>
  <w:style w:type="character" w:customStyle="1" w:styleId="BodyTextIndentChar">
    <w:name w:val="Body Text Indent Char"/>
    <w:basedOn w:val="DefaultParagraphFont"/>
    <w:link w:val="BodyTextIndent"/>
    <w:uiPriority w:val="99"/>
    <w:semiHidden/>
    <w:rsid w:val="006C1A7D"/>
    <w:rPr>
      <w:rFonts w:eastAsia="MS Mincho"/>
    </w:rPr>
  </w:style>
  <w:style w:type="paragraph" w:styleId="ListContinue4">
    <w:name w:val="List Continue 4"/>
    <w:basedOn w:val="Normal"/>
    <w:uiPriority w:val="26"/>
    <w:semiHidden/>
    <w:unhideWhenUsed/>
    <w:rsid w:val="006C1A7D"/>
    <w:pPr>
      <w:ind w:left="1132"/>
      <w:contextualSpacing/>
    </w:pPr>
    <w:rPr>
      <w:rFonts w:eastAsia="MS Mincho"/>
    </w:rPr>
  </w:style>
  <w:style w:type="paragraph" w:styleId="ListContinue5">
    <w:name w:val="List Continue 5"/>
    <w:basedOn w:val="Normal"/>
    <w:uiPriority w:val="26"/>
    <w:semiHidden/>
    <w:unhideWhenUsed/>
    <w:rsid w:val="006C1A7D"/>
    <w:pPr>
      <w:ind w:left="1415"/>
      <w:contextualSpacing/>
    </w:pPr>
    <w:rPr>
      <w:rFonts w:eastAsia="MS Mincho"/>
    </w:rPr>
  </w:style>
  <w:style w:type="paragraph" w:styleId="Date">
    <w:name w:val="Date"/>
    <w:basedOn w:val="Normal"/>
    <w:next w:val="Normal"/>
    <w:link w:val="DateChar"/>
    <w:uiPriority w:val="99"/>
    <w:semiHidden/>
    <w:unhideWhenUsed/>
    <w:rsid w:val="006C1A7D"/>
    <w:rPr>
      <w:rFonts w:eastAsia="MS Mincho"/>
    </w:rPr>
  </w:style>
  <w:style w:type="character" w:customStyle="1" w:styleId="DateChar">
    <w:name w:val="Date Char"/>
    <w:basedOn w:val="DefaultParagraphFont"/>
    <w:link w:val="Date"/>
    <w:uiPriority w:val="99"/>
    <w:semiHidden/>
    <w:rsid w:val="006C1A7D"/>
    <w:rPr>
      <w:rFonts w:eastAsia="MS Mincho"/>
    </w:rPr>
  </w:style>
  <w:style w:type="paragraph" w:styleId="BodyTextFirstIndent">
    <w:name w:val="Body Text First Indent"/>
    <w:basedOn w:val="BodyText"/>
    <w:link w:val="BodyTextFirstIndentChar"/>
    <w:uiPriority w:val="99"/>
    <w:semiHidden/>
    <w:unhideWhenUsed/>
    <w:rsid w:val="006C1A7D"/>
    <w:pPr>
      <w:ind w:firstLine="360"/>
    </w:pPr>
  </w:style>
  <w:style w:type="character" w:customStyle="1" w:styleId="BodyTextFirstIndentChar">
    <w:name w:val="Body Text First Indent Char"/>
    <w:basedOn w:val="BodyTextChar"/>
    <w:link w:val="BodyTextFirstIndent"/>
    <w:uiPriority w:val="99"/>
    <w:semiHidden/>
    <w:rsid w:val="006C1A7D"/>
    <w:rPr>
      <w:rFonts w:eastAsia="MS Mincho"/>
    </w:rPr>
  </w:style>
  <w:style w:type="paragraph" w:styleId="BodyTextFirstIndent2">
    <w:name w:val="Body Text First Indent 2"/>
    <w:basedOn w:val="BodyTextIndent"/>
    <w:link w:val="BodyTextFirstIndent2Char"/>
    <w:uiPriority w:val="99"/>
    <w:semiHidden/>
    <w:unhideWhenUsed/>
    <w:rsid w:val="006C1A7D"/>
    <w:pPr>
      <w:ind w:left="360" w:firstLine="360"/>
    </w:pPr>
  </w:style>
  <w:style w:type="character" w:customStyle="1" w:styleId="BodyTextFirstIndent2Char">
    <w:name w:val="Body Text First Indent 2 Char"/>
    <w:basedOn w:val="BodyTextIndentChar"/>
    <w:link w:val="BodyTextFirstIndent2"/>
    <w:uiPriority w:val="99"/>
    <w:semiHidden/>
    <w:rsid w:val="006C1A7D"/>
    <w:rPr>
      <w:rFonts w:eastAsia="MS Mincho"/>
    </w:rPr>
  </w:style>
  <w:style w:type="paragraph" w:styleId="BodyText2">
    <w:name w:val="Body Text 2"/>
    <w:basedOn w:val="Normal"/>
    <w:link w:val="BodyText2Char"/>
    <w:uiPriority w:val="99"/>
    <w:semiHidden/>
    <w:unhideWhenUsed/>
    <w:rsid w:val="006C1A7D"/>
    <w:pPr>
      <w:spacing w:line="480" w:lineRule="auto"/>
    </w:pPr>
    <w:rPr>
      <w:rFonts w:eastAsia="MS Mincho"/>
    </w:rPr>
  </w:style>
  <w:style w:type="character" w:customStyle="1" w:styleId="BodyText2Char">
    <w:name w:val="Body Text 2 Char"/>
    <w:basedOn w:val="DefaultParagraphFont"/>
    <w:link w:val="BodyText2"/>
    <w:uiPriority w:val="99"/>
    <w:semiHidden/>
    <w:rsid w:val="006C1A7D"/>
    <w:rPr>
      <w:rFonts w:eastAsia="MS Mincho"/>
    </w:rPr>
  </w:style>
  <w:style w:type="paragraph" w:styleId="BodyText3">
    <w:name w:val="Body Text 3"/>
    <w:basedOn w:val="Normal"/>
    <w:link w:val="BodyText3Char"/>
    <w:uiPriority w:val="99"/>
    <w:semiHidden/>
    <w:unhideWhenUsed/>
    <w:rsid w:val="006C1A7D"/>
    <w:rPr>
      <w:rFonts w:eastAsia="MS Mincho"/>
      <w:sz w:val="16"/>
      <w:szCs w:val="16"/>
    </w:rPr>
  </w:style>
  <w:style w:type="character" w:customStyle="1" w:styleId="BodyText3Char">
    <w:name w:val="Body Text 3 Char"/>
    <w:basedOn w:val="DefaultParagraphFont"/>
    <w:link w:val="BodyText3"/>
    <w:uiPriority w:val="99"/>
    <w:semiHidden/>
    <w:rsid w:val="006C1A7D"/>
    <w:rPr>
      <w:rFonts w:eastAsia="MS Mincho"/>
      <w:sz w:val="16"/>
      <w:szCs w:val="16"/>
    </w:rPr>
  </w:style>
  <w:style w:type="paragraph" w:styleId="BodyTextIndent2">
    <w:name w:val="Body Text Indent 2"/>
    <w:basedOn w:val="Normal"/>
    <w:link w:val="BodyTextIndent2Char"/>
    <w:uiPriority w:val="99"/>
    <w:semiHidden/>
    <w:unhideWhenUsed/>
    <w:rsid w:val="006C1A7D"/>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6C1A7D"/>
    <w:rPr>
      <w:rFonts w:eastAsia="MS Mincho"/>
    </w:rPr>
  </w:style>
  <w:style w:type="paragraph" w:styleId="BodyTextIndent3">
    <w:name w:val="Body Text Indent 3"/>
    <w:basedOn w:val="Normal"/>
    <w:link w:val="BodyTextIndent3Char"/>
    <w:uiPriority w:val="99"/>
    <w:semiHidden/>
    <w:unhideWhenUsed/>
    <w:rsid w:val="006C1A7D"/>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6C1A7D"/>
    <w:rPr>
      <w:rFonts w:eastAsia="MS Mincho"/>
      <w:sz w:val="16"/>
      <w:szCs w:val="16"/>
    </w:rPr>
  </w:style>
  <w:style w:type="paragraph" w:styleId="BlockText">
    <w:name w:val="Block Text"/>
    <w:basedOn w:val="Normal"/>
    <w:uiPriority w:val="99"/>
    <w:semiHidden/>
    <w:unhideWhenUsed/>
    <w:rsid w:val="006C1A7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6C1A7D"/>
    <w:rPr>
      <w:color w:val="954F72" w:themeColor="followedHyperlink"/>
      <w:u w:val="single"/>
    </w:rPr>
  </w:style>
  <w:style w:type="paragraph" w:styleId="DocumentMap">
    <w:name w:val="Document Map"/>
    <w:basedOn w:val="Normal"/>
    <w:link w:val="DocumentMapChar"/>
    <w:uiPriority w:val="99"/>
    <w:semiHidden/>
    <w:unhideWhenUsed/>
    <w:rsid w:val="006C1A7D"/>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6C1A7D"/>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6C1A7D"/>
    <w:rPr>
      <w:rFonts w:eastAsia="MS Mincho"/>
    </w:rPr>
  </w:style>
  <w:style w:type="character" w:customStyle="1" w:styleId="E-mailSignatureChar">
    <w:name w:val="E-mail Signature Char"/>
    <w:basedOn w:val="DefaultParagraphFont"/>
    <w:link w:val="E-mailSignature"/>
    <w:uiPriority w:val="99"/>
    <w:semiHidden/>
    <w:rsid w:val="006C1A7D"/>
    <w:rPr>
      <w:rFonts w:eastAsia="MS Mincho"/>
    </w:rPr>
  </w:style>
  <w:style w:type="paragraph" w:styleId="CommentSubject">
    <w:name w:val="annotation subject"/>
    <w:basedOn w:val="Normal"/>
    <w:next w:val="Normal"/>
    <w:link w:val="CommentSubjectChar"/>
    <w:uiPriority w:val="99"/>
    <w:semiHidden/>
    <w:unhideWhenUsed/>
    <w:rsid w:val="006C1A7D"/>
    <w:rPr>
      <w:b/>
      <w:bCs/>
    </w:rPr>
  </w:style>
  <w:style w:type="character" w:customStyle="1" w:styleId="CommentSubjectChar">
    <w:name w:val="Comment Subject Char"/>
    <w:basedOn w:val="DefaultParagraphFont"/>
    <w:link w:val="CommentSubject"/>
    <w:uiPriority w:val="99"/>
    <w:semiHidden/>
    <w:rsid w:val="006C1A7D"/>
    <w:rPr>
      <w:b/>
      <w:bCs/>
    </w:rPr>
  </w:style>
  <w:style w:type="numbering" w:styleId="1ai">
    <w:name w:val="Outline List 1"/>
    <w:basedOn w:val="NoList"/>
    <w:uiPriority w:val="99"/>
    <w:semiHidden/>
    <w:unhideWhenUsed/>
    <w:rsid w:val="006C1A7D"/>
  </w:style>
  <w:style w:type="numbering" w:styleId="111111">
    <w:name w:val="Outline List 2"/>
    <w:basedOn w:val="NoList"/>
    <w:uiPriority w:val="99"/>
    <w:semiHidden/>
    <w:unhideWhenUsed/>
    <w:rsid w:val="006C1A7D"/>
    <w:pPr>
      <w:numPr>
        <w:numId w:val="5"/>
      </w:numPr>
    </w:pPr>
  </w:style>
  <w:style w:type="numbering" w:styleId="ArticleSection">
    <w:name w:val="Outline List 3"/>
    <w:basedOn w:val="NoList"/>
    <w:uiPriority w:val="99"/>
    <w:semiHidden/>
    <w:unhideWhenUsed/>
    <w:rsid w:val="006C1A7D"/>
    <w:pPr>
      <w:numPr>
        <w:numId w:val="11"/>
      </w:numPr>
    </w:pPr>
  </w:style>
  <w:style w:type="table" w:styleId="TableProfessional">
    <w:name w:val="Table Professional"/>
    <w:basedOn w:val="TableNormal"/>
    <w:uiPriority w:val="99"/>
    <w:semiHidden/>
    <w:unhideWhenUsed/>
    <w:rsid w:val="006C1A7D"/>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6C1A7D"/>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6C1A7D"/>
    <w:rPr>
      <w:rFonts w:ascii="Tahoma" w:eastAsia="MS Mincho" w:hAnsi="Tahoma" w:cs="Tahoma"/>
      <w:sz w:val="16"/>
      <w:szCs w:val="16"/>
    </w:rPr>
  </w:style>
  <w:style w:type="table" w:styleId="TableTheme">
    <w:name w:val="Table Theme"/>
    <w:basedOn w:val="TableNormal"/>
    <w:uiPriority w:val="99"/>
    <w:semiHidden/>
    <w:unhideWhenUsed/>
    <w:rsid w:val="006C1A7D"/>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1A7D"/>
    <w:rPr>
      <w:color w:val="808080"/>
    </w:rPr>
  </w:style>
  <w:style w:type="paragraph" w:styleId="Bibliography">
    <w:name w:val="Bibliography"/>
    <w:basedOn w:val="Normal"/>
    <w:next w:val="Normal"/>
    <w:uiPriority w:val="37"/>
    <w:semiHidden/>
    <w:unhideWhenUsed/>
    <w:rsid w:val="006C1A7D"/>
    <w:rPr>
      <w:rFonts w:eastAsia="MS Mincho"/>
    </w:rPr>
  </w:style>
  <w:style w:type="paragraph" w:styleId="TOCHeading">
    <w:name w:val="TOC Heading"/>
    <w:basedOn w:val="Heading1"/>
    <w:next w:val="Normal"/>
    <w:uiPriority w:val="89"/>
    <w:unhideWhenUsed/>
    <w:qFormat/>
    <w:rsid w:val="007942D1"/>
    <w:pPr>
      <w:pBdr>
        <w:bottom w:val="single" w:sz="12" w:space="1" w:color="auto"/>
      </w:pBdr>
      <w:spacing w:before="1440" w:after="240"/>
      <w:outlineLvl w:val="9"/>
    </w:pPr>
    <w:rPr>
      <w:bCs/>
      <w:sz w:val="36"/>
      <w:szCs w:val="28"/>
    </w:rPr>
  </w:style>
  <w:style w:type="character" w:customStyle="1" w:styleId="SourceChar">
    <w:name w:val="Source Char"/>
    <w:link w:val="Source"/>
    <w:uiPriority w:val="30"/>
    <w:locked/>
    <w:rsid w:val="00C84660"/>
    <w:rPr>
      <w:rFonts w:asciiTheme="majorHAnsi" w:hAnsiTheme="majorHAnsi"/>
      <w:i/>
      <w:sz w:val="14"/>
    </w:rPr>
  </w:style>
  <w:style w:type="paragraph" w:styleId="NormalWeb">
    <w:name w:val="Normal (Web)"/>
    <w:basedOn w:val="Normal"/>
    <w:uiPriority w:val="99"/>
    <w:unhideWhenUsed/>
    <w:rsid w:val="007664E1"/>
    <w:pPr>
      <w:keepLines w:val="0"/>
      <w:spacing w:before="100" w:beforeAutospacing="1" w:after="100" w:afterAutospacing="1"/>
    </w:pPr>
    <w:rPr>
      <w:rFonts w:ascii="Times New Roman" w:eastAsia="Times New Roman" w:hAnsi="Times New Roman"/>
      <w:sz w:val="24"/>
      <w:szCs w:val="24"/>
      <w:lang w:eastAsia="en-AU"/>
    </w:rPr>
  </w:style>
  <w:style w:type="paragraph" w:styleId="Revision">
    <w:name w:val="Revision"/>
    <w:hidden/>
    <w:uiPriority w:val="99"/>
    <w:semiHidden/>
    <w:rsid w:val="00FF2F46"/>
    <w:pPr>
      <w:spacing w:before="0"/>
    </w:pPr>
  </w:style>
  <w:style w:type="paragraph" w:customStyle="1" w:styleId="Acknowledgement">
    <w:name w:val="Acknowledgement"/>
    <w:basedOn w:val="TOCHeading"/>
    <w:qFormat/>
    <w:rsid w:val="005122F0"/>
    <w:pPr>
      <w:pBdr>
        <w:bottom w:val="none" w:sz="0" w:space="0" w:color="auto"/>
      </w:pBdr>
      <w:spacing w:before="0" w:line="216" w:lineRule="auto"/>
    </w:pPr>
    <w:rPr>
      <w:rFonts w:eastAsiaTheme="minorHAnsi" w:cstheme="minorBidi"/>
      <w:b w:val="0"/>
      <w:caps w:val="0"/>
      <w:szCs w:val="20"/>
    </w:rPr>
  </w:style>
  <w:style w:type="paragraph" w:customStyle="1" w:styleId="heading10">
    <w:name w:val="heading 10"/>
    <w:basedOn w:val="Heading1"/>
    <w:next w:val="Normal"/>
    <w:uiPriority w:val="5"/>
    <w:qFormat/>
    <w:rsid w:val="005C5393"/>
  </w:style>
  <w:style w:type="paragraph" w:customStyle="1" w:styleId="heading20">
    <w:name w:val="heading 20"/>
    <w:basedOn w:val="Heading2"/>
    <w:next w:val="Normal"/>
    <w:uiPriority w:val="5"/>
    <w:unhideWhenUsed/>
    <w:qFormat/>
    <w:rsid w:val="005C5393"/>
    <w:pPr>
      <w:tabs>
        <w:tab w:val="right" w:pos="9582"/>
      </w:tabs>
    </w:pPr>
  </w:style>
  <w:style w:type="paragraph" w:customStyle="1" w:styleId="heading30">
    <w:name w:val="heading 30"/>
    <w:basedOn w:val="Heading3"/>
    <w:next w:val="Normal"/>
    <w:uiPriority w:val="5"/>
    <w:unhideWhenUsed/>
    <w:qFormat/>
    <w:rsid w:val="005C5393"/>
  </w:style>
  <w:style w:type="character" w:styleId="UnresolvedMention">
    <w:name w:val="Unresolved Mention"/>
    <w:basedOn w:val="DefaultParagraphFont"/>
    <w:uiPriority w:val="99"/>
    <w:semiHidden/>
    <w:unhideWhenUsed/>
    <w:rsid w:val="00AB0701"/>
    <w:rPr>
      <w:color w:val="605E5C"/>
      <w:shd w:val="clear" w:color="auto" w:fill="E1DFDD"/>
    </w:rPr>
  </w:style>
  <w:style w:type="paragraph" w:customStyle="1" w:styleId="ShadedBoxNote">
    <w:name w:val="Shaded Box Note"/>
    <w:basedOn w:val="Normal"/>
    <w:uiPriority w:val="36"/>
    <w:qFormat/>
    <w:rsid w:val="004245DF"/>
    <w:pPr>
      <w:pBdr>
        <w:top w:val="single" w:sz="6" w:space="3" w:color="auto"/>
        <w:left w:val="single" w:sz="6" w:space="4" w:color="auto"/>
        <w:bottom w:val="single" w:sz="6" w:space="3" w:color="auto"/>
        <w:right w:val="single" w:sz="6" w:space="4" w:color="auto"/>
      </w:pBdr>
      <w:shd w:val="clear" w:color="auto" w:fill="F2F2F2" w:themeFill="background1" w:themeFillShade="F2"/>
      <w:ind w:left="288" w:hanging="288"/>
      <w:contextualSpacing/>
    </w:pPr>
    <w:rPr>
      <w:rFonts w:ascii="Calibri" w:hAnsi="Calibri" w:cstheme="minorBidi"/>
      <w:i/>
      <w:iCs/>
      <w:sz w:val="14"/>
    </w:rPr>
  </w:style>
  <w:style w:type="numbering" w:customStyle="1" w:styleId="1111111">
    <w:name w:val="1 / 1.1 / 1.1.11"/>
    <w:basedOn w:val="NoList"/>
    <w:next w:val="111111"/>
    <w:uiPriority w:val="99"/>
    <w:semiHidden/>
    <w:unhideWhenUsed/>
    <w:rsid w:val="00651724"/>
  </w:style>
  <w:style w:type="character" w:customStyle="1" w:styleId="ChapterHeadingChar">
    <w:name w:val="Chapter Heading Char"/>
    <w:basedOn w:val="DefaultParagraphFont"/>
    <w:link w:val="ChapterHeading"/>
    <w:uiPriority w:val="84"/>
    <w:rsid w:val="001F14A3"/>
    <w:rPr>
      <w:rFonts w:asciiTheme="majorHAnsi" w:hAnsiTheme="majorHAnsi"/>
      <w:b/>
      <w:caps/>
      <w:sz w:val="36"/>
    </w:rPr>
  </w:style>
  <w:style w:type="character" w:customStyle="1" w:styleId="eop">
    <w:name w:val="eop"/>
    <w:basedOn w:val="DefaultParagraphFont"/>
    <w:rsid w:val="00BF1353"/>
  </w:style>
  <w:style w:type="numbering" w:customStyle="1" w:styleId="ListNumberStyle">
    <w:name w:val="List Number Style"/>
    <w:uiPriority w:val="99"/>
    <w:rsid w:val="00BF1353"/>
    <w:pPr>
      <w:numPr>
        <w:numId w:val="13"/>
      </w:numPr>
    </w:pPr>
  </w:style>
  <w:style w:type="table" w:customStyle="1" w:styleId="DTFTableNumeric1">
    <w:name w:val="DTF Table [Numeric]1"/>
    <w:basedOn w:val="TableNormal"/>
    <w:uiPriority w:val="99"/>
    <w:rsid w:val="00BF1353"/>
    <w:pPr>
      <w:spacing w:before="20" w:after="20"/>
      <w:jc w:val="right"/>
    </w:pPr>
    <w:rPr>
      <w:rFonts w:asciiTheme="majorHAnsi" w:hAnsiTheme="majorHAnsi"/>
      <w:sz w:val="17"/>
    </w:rPr>
    <w:tblPr/>
    <w:tblStylePr w:type="firstRow">
      <w:rPr>
        <w:i/>
      </w:rPr>
    </w:tblStylePr>
    <w:tblStylePr w:type="lastRow">
      <w:rPr>
        <w:b/>
      </w:rPr>
    </w:tblStylePr>
    <w:tblStylePr w:type="firstCol">
      <w:pPr>
        <w:wordWrap/>
        <w:ind w:leftChars="0" w:left="170" w:firstLineChars="0" w:hanging="170"/>
        <w:jc w:val="left"/>
      </w:pPr>
    </w:tblStylePr>
  </w:style>
  <w:style w:type="table" w:customStyle="1" w:styleId="DTFTableNumeric2">
    <w:name w:val="DTF Table [Numeric]2"/>
    <w:basedOn w:val="TableNormal"/>
    <w:uiPriority w:val="99"/>
    <w:rsid w:val="00BF1353"/>
    <w:pPr>
      <w:spacing w:before="20" w:after="20"/>
      <w:jc w:val="right"/>
    </w:pPr>
    <w:rPr>
      <w:rFonts w:asciiTheme="majorHAnsi" w:hAnsiTheme="majorHAnsi"/>
      <w:sz w:val="17"/>
    </w:rPr>
    <w:tblPr/>
    <w:tblStylePr w:type="firstRow">
      <w:rPr>
        <w:i/>
      </w:rPr>
    </w:tblStylePr>
    <w:tblStylePr w:type="lastRow">
      <w:rPr>
        <w:b/>
      </w:rPr>
    </w:tblStylePr>
    <w:tblStylePr w:type="firstCol">
      <w:pPr>
        <w:wordWrap/>
        <w:ind w:leftChars="0" w:left="170" w:firstLineChars="0" w:hanging="170"/>
        <w:jc w:val="left"/>
      </w:pPr>
    </w:tblStylePr>
  </w:style>
  <w:style w:type="paragraph" w:customStyle="1" w:styleId="Acknowledgementtext">
    <w:name w:val="Acknowledgement text"/>
    <w:basedOn w:val="Normal"/>
    <w:qFormat/>
    <w:rsid w:val="004E4D8B"/>
    <w:pPr>
      <w:spacing w:after="120"/>
    </w:pPr>
    <w:rPr>
      <w:rFonts w:ascii="Calibri Light" w:hAnsi="Calibri Light" w:cstheme="minorBidi"/>
      <w:sz w:val="1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91919">
      <w:bodyDiv w:val="1"/>
      <w:marLeft w:val="0"/>
      <w:marRight w:val="0"/>
      <w:marTop w:val="0"/>
      <w:marBottom w:val="0"/>
      <w:divBdr>
        <w:top w:val="none" w:sz="0" w:space="0" w:color="auto"/>
        <w:left w:val="none" w:sz="0" w:space="0" w:color="auto"/>
        <w:bottom w:val="none" w:sz="0" w:space="0" w:color="auto"/>
        <w:right w:val="none" w:sz="0" w:space="0" w:color="auto"/>
      </w:divBdr>
    </w:div>
    <w:div w:id="90586583">
      <w:bodyDiv w:val="1"/>
      <w:marLeft w:val="0"/>
      <w:marRight w:val="0"/>
      <w:marTop w:val="0"/>
      <w:marBottom w:val="0"/>
      <w:divBdr>
        <w:top w:val="none" w:sz="0" w:space="0" w:color="auto"/>
        <w:left w:val="none" w:sz="0" w:space="0" w:color="auto"/>
        <w:bottom w:val="none" w:sz="0" w:space="0" w:color="auto"/>
        <w:right w:val="none" w:sz="0" w:space="0" w:color="auto"/>
      </w:divBdr>
      <w:divsChild>
        <w:div w:id="42795954">
          <w:marLeft w:val="0"/>
          <w:marRight w:val="0"/>
          <w:marTop w:val="0"/>
          <w:marBottom w:val="0"/>
          <w:divBdr>
            <w:top w:val="none" w:sz="0" w:space="0" w:color="auto"/>
            <w:left w:val="none" w:sz="0" w:space="0" w:color="auto"/>
            <w:bottom w:val="none" w:sz="0" w:space="0" w:color="auto"/>
            <w:right w:val="none" w:sz="0" w:space="0" w:color="auto"/>
          </w:divBdr>
        </w:div>
        <w:div w:id="133103661">
          <w:marLeft w:val="0"/>
          <w:marRight w:val="0"/>
          <w:marTop w:val="0"/>
          <w:marBottom w:val="0"/>
          <w:divBdr>
            <w:top w:val="none" w:sz="0" w:space="0" w:color="auto"/>
            <w:left w:val="none" w:sz="0" w:space="0" w:color="auto"/>
            <w:bottom w:val="none" w:sz="0" w:space="0" w:color="auto"/>
            <w:right w:val="none" w:sz="0" w:space="0" w:color="auto"/>
          </w:divBdr>
        </w:div>
        <w:div w:id="402408022">
          <w:marLeft w:val="0"/>
          <w:marRight w:val="0"/>
          <w:marTop w:val="0"/>
          <w:marBottom w:val="0"/>
          <w:divBdr>
            <w:top w:val="none" w:sz="0" w:space="0" w:color="auto"/>
            <w:left w:val="none" w:sz="0" w:space="0" w:color="auto"/>
            <w:bottom w:val="none" w:sz="0" w:space="0" w:color="auto"/>
            <w:right w:val="none" w:sz="0" w:space="0" w:color="auto"/>
          </w:divBdr>
        </w:div>
        <w:div w:id="897519561">
          <w:marLeft w:val="0"/>
          <w:marRight w:val="0"/>
          <w:marTop w:val="0"/>
          <w:marBottom w:val="0"/>
          <w:divBdr>
            <w:top w:val="none" w:sz="0" w:space="0" w:color="auto"/>
            <w:left w:val="none" w:sz="0" w:space="0" w:color="auto"/>
            <w:bottom w:val="none" w:sz="0" w:space="0" w:color="auto"/>
            <w:right w:val="none" w:sz="0" w:space="0" w:color="auto"/>
          </w:divBdr>
        </w:div>
        <w:div w:id="1053776780">
          <w:marLeft w:val="0"/>
          <w:marRight w:val="0"/>
          <w:marTop w:val="0"/>
          <w:marBottom w:val="0"/>
          <w:divBdr>
            <w:top w:val="none" w:sz="0" w:space="0" w:color="auto"/>
            <w:left w:val="none" w:sz="0" w:space="0" w:color="auto"/>
            <w:bottom w:val="none" w:sz="0" w:space="0" w:color="auto"/>
            <w:right w:val="none" w:sz="0" w:space="0" w:color="auto"/>
          </w:divBdr>
        </w:div>
        <w:div w:id="1096711464">
          <w:marLeft w:val="0"/>
          <w:marRight w:val="0"/>
          <w:marTop w:val="0"/>
          <w:marBottom w:val="0"/>
          <w:divBdr>
            <w:top w:val="none" w:sz="0" w:space="0" w:color="auto"/>
            <w:left w:val="none" w:sz="0" w:space="0" w:color="auto"/>
            <w:bottom w:val="none" w:sz="0" w:space="0" w:color="auto"/>
            <w:right w:val="none" w:sz="0" w:space="0" w:color="auto"/>
          </w:divBdr>
        </w:div>
        <w:div w:id="1215968593">
          <w:marLeft w:val="0"/>
          <w:marRight w:val="0"/>
          <w:marTop w:val="0"/>
          <w:marBottom w:val="0"/>
          <w:divBdr>
            <w:top w:val="none" w:sz="0" w:space="0" w:color="auto"/>
            <w:left w:val="none" w:sz="0" w:space="0" w:color="auto"/>
            <w:bottom w:val="none" w:sz="0" w:space="0" w:color="auto"/>
            <w:right w:val="none" w:sz="0" w:space="0" w:color="auto"/>
          </w:divBdr>
        </w:div>
        <w:div w:id="1837382954">
          <w:marLeft w:val="0"/>
          <w:marRight w:val="0"/>
          <w:marTop w:val="0"/>
          <w:marBottom w:val="0"/>
          <w:divBdr>
            <w:top w:val="none" w:sz="0" w:space="0" w:color="auto"/>
            <w:left w:val="none" w:sz="0" w:space="0" w:color="auto"/>
            <w:bottom w:val="none" w:sz="0" w:space="0" w:color="auto"/>
            <w:right w:val="none" w:sz="0" w:space="0" w:color="auto"/>
          </w:divBdr>
        </w:div>
      </w:divsChild>
    </w:div>
    <w:div w:id="125701418">
      <w:bodyDiv w:val="1"/>
      <w:marLeft w:val="0"/>
      <w:marRight w:val="0"/>
      <w:marTop w:val="0"/>
      <w:marBottom w:val="0"/>
      <w:divBdr>
        <w:top w:val="none" w:sz="0" w:space="0" w:color="auto"/>
        <w:left w:val="none" w:sz="0" w:space="0" w:color="auto"/>
        <w:bottom w:val="none" w:sz="0" w:space="0" w:color="auto"/>
        <w:right w:val="none" w:sz="0" w:space="0" w:color="auto"/>
      </w:divBdr>
      <w:divsChild>
        <w:div w:id="802844889">
          <w:marLeft w:val="0"/>
          <w:marRight w:val="0"/>
          <w:marTop w:val="0"/>
          <w:marBottom w:val="0"/>
          <w:divBdr>
            <w:top w:val="none" w:sz="0" w:space="0" w:color="auto"/>
            <w:left w:val="none" w:sz="0" w:space="0" w:color="auto"/>
            <w:bottom w:val="none" w:sz="0" w:space="0" w:color="auto"/>
            <w:right w:val="none" w:sz="0" w:space="0" w:color="auto"/>
          </w:divBdr>
        </w:div>
        <w:div w:id="1333097724">
          <w:marLeft w:val="0"/>
          <w:marRight w:val="0"/>
          <w:marTop w:val="0"/>
          <w:marBottom w:val="0"/>
          <w:divBdr>
            <w:top w:val="none" w:sz="0" w:space="0" w:color="auto"/>
            <w:left w:val="none" w:sz="0" w:space="0" w:color="auto"/>
            <w:bottom w:val="none" w:sz="0" w:space="0" w:color="auto"/>
            <w:right w:val="none" w:sz="0" w:space="0" w:color="auto"/>
          </w:divBdr>
        </w:div>
        <w:div w:id="1478185767">
          <w:marLeft w:val="0"/>
          <w:marRight w:val="0"/>
          <w:marTop w:val="0"/>
          <w:marBottom w:val="0"/>
          <w:divBdr>
            <w:top w:val="none" w:sz="0" w:space="0" w:color="auto"/>
            <w:left w:val="none" w:sz="0" w:space="0" w:color="auto"/>
            <w:bottom w:val="none" w:sz="0" w:space="0" w:color="auto"/>
            <w:right w:val="none" w:sz="0" w:space="0" w:color="auto"/>
          </w:divBdr>
        </w:div>
        <w:div w:id="1508328746">
          <w:marLeft w:val="0"/>
          <w:marRight w:val="0"/>
          <w:marTop w:val="0"/>
          <w:marBottom w:val="0"/>
          <w:divBdr>
            <w:top w:val="none" w:sz="0" w:space="0" w:color="auto"/>
            <w:left w:val="none" w:sz="0" w:space="0" w:color="auto"/>
            <w:bottom w:val="none" w:sz="0" w:space="0" w:color="auto"/>
            <w:right w:val="none" w:sz="0" w:space="0" w:color="auto"/>
          </w:divBdr>
        </w:div>
        <w:div w:id="1941256665">
          <w:marLeft w:val="0"/>
          <w:marRight w:val="0"/>
          <w:marTop w:val="0"/>
          <w:marBottom w:val="0"/>
          <w:divBdr>
            <w:top w:val="none" w:sz="0" w:space="0" w:color="auto"/>
            <w:left w:val="none" w:sz="0" w:space="0" w:color="auto"/>
            <w:bottom w:val="none" w:sz="0" w:space="0" w:color="auto"/>
            <w:right w:val="none" w:sz="0" w:space="0" w:color="auto"/>
          </w:divBdr>
        </w:div>
      </w:divsChild>
    </w:div>
    <w:div w:id="131096268">
      <w:bodyDiv w:val="1"/>
      <w:marLeft w:val="0"/>
      <w:marRight w:val="0"/>
      <w:marTop w:val="0"/>
      <w:marBottom w:val="0"/>
      <w:divBdr>
        <w:top w:val="none" w:sz="0" w:space="0" w:color="auto"/>
        <w:left w:val="none" w:sz="0" w:space="0" w:color="auto"/>
        <w:bottom w:val="none" w:sz="0" w:space="0" w:color="auto"/>
        <w:right w:val="none" w:sz="0" w:space="0" w:color="auto"/>
      </w:divBdr>
      <w:divsChild>
        <w:div w:id="572282405">
          <w:marLeft w:val="0"/>
          <w:marRight w:val="0"/>
          <w:marTop w:val="0"/>
          <w:marBottom w:val="0"/>
          <w:divBdr>
            <w:top w:val="none" w:sz="0" w:space="0" w:color="auto"/>
            <w:left w:val="none" w:sz="0" w:space="0" w:color="auto"/>
            <w:bottom w:val="none" w:sz="0" w:space="0" w:color="auto"/>
            <w:right w:val="none" w:sz="0" w:space="0" w:color="auto"/>
          </w:divBdr>
        </w:div>
        <w:div w:id="1090347356">
          <w:marLeft w:val="0"/>
          <w:marRight w:val="0"/>
          <w:marTop w:val="0"/>
          <w:marBottom w:val="0"/>
          <w:divBdr>
            <w:top w:val="none" w:sz="0" w:space="0" w:color="auto"/>
            <w:left w:val="none" w:sz="0" w:space="0" w:color="auto"/>
            <w:bottom w:val="none" w:sz="0" w:space="0" w:color="auto"/>
            <w:right w:val="none" w:sz="0" w:space="0" w:color="auto"/>
          </w:divBdr>
        </w:div>
        <w:div w:id="1630939246">
          <w:marLeft w:val="0"/>
          <w:marRight w:val="0"/>
          <w:marTop w:val="0"/>
          <w:marBottom w:val="0"/>
          <w:divBdr>
            <w:top w:val="none" w:sz="0" w:space="0" w:color="auto"/>
            <w:left w:val="none" w:sz="0" w:space="0" w:color="auto"/>
            <w:bottom w:val="none" w:sz="0" w:space="0" w:color="auto"/>
            <w:right w:val="none" w:sz="0" w:space="0" w:color="auto"/>
          </w:divBdr>
        </w:div>
      </w:divsChild>
    </w:div>
    <w:div w:id="148517094">
      <w:bodyDiv w:val="1"/>
      <w:marLeft w:val="0"/>
      <w:marRight w:val="0"/>
      <w:marTop w:val="0"/>
      <w:marBottom w:val="0"/>
      <w:divBdr>
        <w:top w:val="none" w:sz="0" w:space="0" w:color="auto"/>
        <w:left w:val="none" w:sz="0" w:space="0" w:color="auto"/>
        <w:bottom w:val="none" w:sz="0" w:space="0" w:color="auto"/>
        <w:right w:val="none" w:sz="0" w:space="0" w:color="auto"/>
      </w:divBdr>
    </w:div>
    <w:div w:id="152915874">
      <w:bodyDiv w:val="1"/>
      <w:marLeft w:val="0"/>
      <w:marRight w:val="0"/>
      <w:marTop w:val="0"/>
      <w:marBottom w:val="0"/>
      <w:divBdr>
        <w:top w:val="none" w:sz="0" w:space="0" w:color="auto"/>
        <w:left w:val="none" w:sz="0" w:space="0" w:color="auto"/>
        <w:bottom w:val="none" w:sz="0" w:space="0" w:color="auto"/>
        <w:right w:val="none" w:sz="0" w:space="0" w:color="auto"/>
      </w:divBdr>
      <w:divsChild>
        <w:div w:id="207301675">
          <w:marLeft w:val="0"/>
          <w:marRight w:val="0"/>
          <w:marTop w:val="0"/>
          <w:marBottom w:val="0"/>
          <w:divBdr>
            <w:top w:val="none" w:sz="0" w:space="0" w:color="auto"/>
            <w:left w:val="none" w:sz="0" w:space="0" w:color="auto"/>
            <w:bottom w:val="none" w:sz="0" w:space="0" w:color="auto"/>
            <w:right w:val="none" w:sz="0" w:space="0" w:color="auto"/>
          </w:divBdr>
        </w:div>
        <w:div w:id="235171776">
          <w:marLeft w:val="0"/>
          <w:marRight w:val="0"/>
          <w:marTop w:val="0"/>
          <w:marBottom w:val="0"/>
          <w:divBdr>
            <w:top w:val="none" w:sz="0" w:space="0" w:color="auto"/>
            <w:left w:val="none" w:sz="0" w:space="0" w:color="auto"/>
            <w:bottom w:val="none" w:sz="0" w:space="0" w:color="auto"/>
            <w:right w:val="none" w:sz="0" w:space="0" w:color="auto"/>
          </w:divBdr>
        </w:div>
        <w:div w:id="1122117892">
          <w:marLeft w:val="0"/>
          <w:marRight w:val="0"/>
          <w:marTop w:val="0"/>
          <w:marBottom w:val="0"/>
          <w:divBdr>
            <w:top w:val="none" w:sz="0" w:space="0" w:color="auto"/>
            <w:left w:val="none" w:sz="0" w:space="0" w:color="auto"/>
            <w:bottom w:val="none" w:sz="0" w:space="0" w:color="auto"/>
            <w:right w:val="none" w:sz="0" w:space="0" w:color="auto"/>
          </w:divBdr>
        </w:div>
        <w:div w:id="1722096440">
          <w:marLeft w:val="0"/>
          <w:marRight w:val="0"/>
          <w:marTop w:val="0"/>
          <w:marBottom w:val="0"/>
          <w:divBdr>
            <w:top w:val="none" w:sz="0" w:space="0" w:color="auto"/>
            <w:left w:val="none" w:sz="0" w:space="0" w:color="auto"/>
            <w:bottom w:val="none" w:sz="0" w:space="0" w:color="auto"/>
            <w:right w:val="none" w:sz="0" w:space="0" w:color="auto"/>
          </w:divBdr>
        </w:div>
      </w:divsChild>
    </w:div>
    <w:div w:id="201015194">
      <w:bodyDiv w:val="1"/>
      <w:marLeft w:val="0"/>
      <w:marRight w:val="0"/>
      <w:marTop w:val="0"/>
      <w:marBottom w:val="0"/>
      <w:divBdr>
        <w:top w:val="none" w:sz="0" w:space="0" w:color="auto"/>
        <w:left w:val="none" w:sz="0" w:space="0" w:color="auto"/>
        <w:bottom w:val="none" w:sz="0" w:space="0" w:color="auto"/>
        <w:right w:val="none" w:sz="0" w:space="0" w:color="auto"/>
      </w:divBdr>
    </w:div>
    <w:div w:id="281614735">
      <w:bodyDiv w:val="1"/>
      <w:marLeft w:val="0"/>
      <w:marRight w:val="0"/>
      <w:marTop w:val="0"/>
      <w:marBottom w:val="0"/>
      <w:divBdr>
        <w:top w:val="none" w:sz="0" w:space="0" w:color="auto"/>
        <w:left w:val="none" w:sz="0" w:space="0" w:color="auto"/>
        <w:bottom w:val="none" w:sz="0" w:space="0" w:color="auto"/>
        <w:right w:val="none" w:sz="0" w:space="0" w:color="auto"/>
      </w:divBdr>
    </w:div>
    <w:div w:id="303897595">
      <w:bodyDiv w:val="1"/>
      <w:marLeft w:val="0"/>
      <w:marRight w:val="0"/>
      <w:marTop w:val="0"/>
      <w:marBottom w:val="0"/>
      <w:divBdr>
        <w:top w:val="none" w:sz="0" w:space="0" w:color="auto"/>
        <w:left w:val="none" w:sz="0" w:space="0" w:color="auto"/>
        <w:bottom w:val="none" w:sz="0" w:space="0" w:color="auto"/>
        <w:right w:val="none" w:sz="0" w:space="0" w:color="auto"/>
      </w:divBdr>
      <w:divsChild>
        <w:div w:id="8872457">
          <w:marLeft w:val="0"/>
          <w:marRight w:val="0"/>
          <w:marTop w:val="0"/>
          <w:marBottom w:val="0"/>
          <w:divBdr>
            <w:top w:val="none" w:sz="0" w:space="0" w:color="auto"/>
            <w:left w:val="none" w:sz="0" w:space="0" w:color="auto"/>
            <w:bottom w:val="none" w:sz="0" w:space="0" w:color="auto"/>
            <w:right w:val="none" w:sz="0" w:space="0" w:color="auto"/>
          </w:divBdr>
        </w:div>
        <w:div w:id="134764942">
          <w:marLeft w:val="0"/>
          <w:marRight w:val="0"/>
          <w:marTop w:val="0"/>
          <w:marBottom w:val="0"/>
          <w:divBdr>
            <w:top w:val="none" w:sz="0" w:space="0" w:color="auto"/>
            <w:left w:val="none" w:sz="0" w:space="0" w:color="auto"/>
            <w:bottom w:val="none" w:sz="0" w:space="0" w:color="auto"/>
            <w:right w:val="none" w:sz="0" w:space="0" w:color="auto"/>
          </w:divBdr>
        </w:div>
        <w:div w:id="336034184">
          <w:marLeft w:val="0"/>
          <w:marRight w:val="0"/>
          <w:marTop w:val="0"/>
          <w:marBottom w:val="0"/>
          <w:divBdr>
            <w:top w:val="none" w:sz="0" w:space="0" w:color="auto"/>
            <w:left w:val="none" w:sz="0" w:space="0" w:color="auto"/>
            <w:bottom w:val="none" w:sz="0" w:space="0" w:color="auto"/>
            <w:right w:val="none" w:sz="0" w:space="0" w:color="auto"/>
          </w:divBdr>
        </w:div>
        <w:div w:id="419058137">
          <w:marLeft w:val="0"/>
          <w:marRight w:val="0"/>
          <w:marTop w:val="0"/>
          <w:marBottom w:val="0"/>
          <w:divBdr>
            <w:top w:val="none" w:sz="0" w:space="0" w:color="auto"/>
            <w:left w:val="none" w:sz="0" w:space="0" w:color="auto"/>
            <w:bottom w:val="none" w:sz="0" w:space="0" w:color="auto"/>
            <w:right w:val="none" w:sz="0" w:space="0" w:color="auto"/>
          </w:divBdr>
        </w:div>
        <w:div w:id="909075742">
          <w:marLeft w:val="0"/>
          <w:marRight w:val="0"/>
          <w:marTop w:val="0"/>
          <w:marBottom w:val="0"/>
          <w:divBdr>
            <w:top w:val="none" w:sz="0" w:space="0" w:color="auto"/>
            <w:left w:val="none" w:sz="0" w:space="0" w:color="auto"/>
            <w:bottom w:val="none" w:sz="0" w:space="0" w:color="auto"/>
            <w:right w:val="none" w:sz="0" w:space="0" w:color="auto"/>
          </w:divBdr>
        </w:div>
        <w:div w:id="1468009603">
          <w:marLeft w:val="0"/>
          <w:marRight w:val="0"/>
          <w:marTop w:val="0"/>
          <w:marBottom w:val="0"/>
          <w:divBdr>
            <w:top w:val="none" w:sz="0" w:space="0" w:color="auto"/>
            <w:left w:val="none" w:sz="0" w:space="0" w:color="auto"/>
            <w:bottom w:val="none" w:sz="0" w:space="0" w:color="auto"/>
            <w:right w:val="none" w:sz="0" w:space="0" w:color="auto"/>
          </w:divBdr>
        </w:div>
      </w:divsChild>
    </w:div>
    <w:div w:id="308899975">
      <w:bodyDiv w:val="1"/>
      <w:marLeft w:val="0"/>
      <w:marRight w:val="0"/>
      <w:marTop w:val="0"/>
      <w:marBottom w:val="0"/>
      <w:divBdr>
        <w:top w:val="none" w:sz="0" w:space="0" w:color="auto"/>
        <w:left w:val="none" w:sz="0" w:space="0" w:color="auto"/>
        <w:bottom w:val="none" w:sz="0" w:space="0" w:color="auto"/>
        <w:right w:val="none" w:sz="0" w:space="0" w:color="auto"/>
      </w:divBdr>
    </w:div>
    <w:div w:id="337733263">
      <w:bodyDiv w:val="1"/>
      <w:marLeft w:val="0"/>
      <w:marRight w:val="0"/>
      <w:marTop w:val="0"/>
      <w:marBottom w:val="0"/>
      <w:divBdr>
        <w:top w:val="none" w:sz="0" w:space="0" w:color="auto"/>
        <w:left w:val="none" w:sz="0" w:space="0" w:color="auto"/>
        <w:bottom w:val="none" w:sz="0" w:space="0" w:color="auto"/>
        <w:right w:val="none" w:sz="0" w:space="0" w:color="auto"/>
      </w:divBdr>
      <w:divsChild>
        <w:div w:id="427627153">
          <w:marLeft w:val="0"/>
          <w:marRight w:val="0"/>
          <w:marTop w:val="0"/>
          <w:marBottom w:val="0"/>
          <w:divBdr>
            <w:top w:val="none" w:sz="0" w:space="0" w:color="auto"/>
            <w:left w:val="none" w:sz="0" w:space="0" w:color="auto"/>
            <w:bottom w:val="none" w:sz="0" w:space="0" w:color="auto"/>
            <w:right w:val="none" w:sz="0" w:space="0" w:color="auto"/>
          </w:divBdr>
        </w:div>
        <w:div w:id="453717263">
          <w:marLeft w:val="0"/>
          <w:marRight w:val="0"/>
          <w:marTop w:val="0"/>
          <w:marBottom w:val="0"/>
          <w:divBdr>
            <w:top w:val="none" w:sz="0" w:space="0" w:color="auto"/>
            <w:left w:val="none" w:sz="0" w:space="0" w:color="auto"/>
            <w:bottom w:val="none" w:sz="0" w:space="0" w:color="auto"/>
            <w:right w:val="none" w:sz="0" w:space="0" w:color="auto"/>
          </w:divBdr>
        </w:div>
        <w:div w:id="505480585">
          <w:marLeft w:val="0"/>
          <w:marRight w:val="0"/>
          <w:marTop w:val="0"/>
          <w:marBottom w:val="0"/>
          <w:divBdr>
            <w:top w:val="none" w:sz="0" w:space="0" w:color="auto"/>
            <w:left w:val="none" w:sz="0" w:space="0" w:color="auto"/>
            <w:bottom w:val="none" w:sz="0" w:space="0" w:color="auto"/>
            <w:right w:val="none" w:sz="0" w:space="0" w:color="auto"/>
          </w:divBdr>
        </w:div>
        <w:div w:id="1289045224">
          <w:marLeft w:val="0"/>
          <w:marRight w:val="0"/>
          <w:marTop w:val="0"/>
          <w:marBottom w:val="0"/>
          <w:divBdr>
            <w:top w:val="none" w:sz="0" w:space="0" w:color="auto"/>
            <w:left w:val="none" w:sz="0" w:space="0" w:color="auto"/>
            <w:bottom w:val="none" w:sz="0" w:space="0" w:color="auto"/>
            <w:right w:val="none" w:sz="0" w:space="0" w:color="auto"/>
          </w:divBdr>
        </w:div>
        <w:div w:id="1750731897">
          <w:marLeft w:val="0"/>
          <w:marRight w:val="0"/>
          <w:marTop w:val="0"/>
          <w:marBottom w:val="0"/>
          <w:divBdr>
            <w:top w:val="none" w:sz="0" w:space="0" w:color="auto"/>
            <w:left w:val="none" w:sz="0" w:space="0" w:color="auto"/>
            <w:bottom w:val="none" w:sz="0" w:space="0" w:color="auto"/>
            <w:right w:val="none" w:sz="0" w:space="0" w:color="auto"/>
          </w:divBdr>
        </w:div>
      </w:divsChild>
    </w:div>
    <w:div w:id="345795581">
      <w:bodyDiv w:val="1"/>
      <w:marLeft w:val="0"/>
      <w:marRight w:val="0"/>
      <w:marTop w:val="0"/>
      <w:marBottom w:val="0"/>
      <w:divBdr>
        <w:top w:val="none" w:sz="0" w:space="0" w:color="auto"/>
        <w:left w:val="none" w:sz="0" w:space="0" w:color="auto"/>
        <w:bottom w:val="none" w:sz="0" w:space="0" w:color="auto"/>
        <w:right w:val="none" w:sz="0" w:space="0" w:color="auto"/>
      </w:divBdr>
      <w:divsChild>
        <w:div w:id="1084574183">
          <w:marLeft w:val="0"/>
          <w:marRight w:val="0"/>
          <w:marTop w:val="0"/>
          <w:marBottom w:val="0"/>
          <w:divBdr>
            <w:top w:val="none" w:sz="0" w:space="0" w:color="auto"/>
            <w:left w:val="none" w:sz="0" w:space="0" w:color="auto"/>
            <w:bottom w:val="none" w:sz="0" w:space="0" w:color="auto"/>
            <w:right w:val="none" w:sz="0" w:space="0" w:color="auto"/>
          </w:divBdr>
        </w:div>
        <w:div w:id="1396393611">
          <w:marLeft w:val="0"/>
          <w:marRight w:val="0"/>
          <w:marTop w:val="0"/>
          <w:marBottom w:val="0"/>
          <w:divBdr>
            <w:top w:val="none" w:sz="0" w:space="0" w:color="auto"/>
            <w:left w:val="none" w:sz="0" w:space="0" w:color="auto"/>
            <w:bottom w:val="none" w:sz="0" w:space="0" w:color="auto"/>
            <w:right w:val="none" w:sz="0" w:space="0" w:color="auto"/>
          </w:divBdr>
        </w:div>
        <w:div w:id="1725837156">
          <w:marLeft w:val="0"/>
          <w:marRight w:val="0"/>
          <w:marTop w:val="0"/>
          <w:marBottom w:val="0"/>
          <w:divBdr>
            <w:top w:val="none" w:sz="0" w:space="0" w:color="auto"/>
            <w:left w:val="none" w:sz="0" w:space="0" w:color="auto"/>
            <w:bottom w:val="none" w:sz="0" w:space="0" w:color="auto"/>
            <w:right w:val="none" w:sz="0" w:space="0" w:color="auto"/>
          </w:divBdr>
        </w:div>
      </w:divsChild>
    </w:div>
    <w:div w:id="414597133">
      <w:bodyDiv w:val="1"/>
      <w:marLeft w:val="0"/>
      <w:marRight w:val="0"/>
      <w:marTop w:val="0"/>
      <w:marBottom w:val="0"/>
      <w:divBdr>
        <w:top w:val="none" w:sz="0" w:space="0" w:color="auto"/>
        <w:left w:val="none" w:sz="0" w:space="0" w:color="auto"/>
        <w:bottom w:val="none" w:sz="0" w:space="0" w:color="auto"/>
        <w:right w:val="none" w:sz="0" w:space="0" w:color="auto"/>
      </w:divBdr>
    </w:div>
    <w:div w:id="442505251">
      <w:bodyDiv w:val="1"/>
      <w:marLeft w:val="0"/>
      <w:marRight w:val="0"/>
      <w:marTop w:val="0"/>
      <w:marBottom w:val="0"/>
      <w:divBdr>
        <w:top w:val="none" w:sz="0" w:space="0" w:color="auto"/>
        <w:left w:val="none" w:sz="0" w:space="0" w:color="auto"/>
        <w:bottom w:val="none" w:sz="0" w:space="0" w:color="auto"/>
        <w:right w:val="none" w:sz="0" w:space="0" w:color="auto"/>
      </w:divBdr>
      <w:divsChild>
        <w:div w:id="896432343">
          <w:marLeft w:val="0"/>
          <w:marRight w:val="0"/>
          <w:marTop w:val="0"/>
          <w:marBottom w:val="0"/>
          <w:divBdr>
            <w:top w:val="none" w:sz="0" w:space="0" w:color="auto"/>
            <w:left w:val="none" w:sz="0" w:space="0" w:color="auto"/>
            <w:bottom w:val="none" w:sz="0" w:space="0" w:color="auto"/>
            <w:right w:val="none" w:sz="0" w:space="0" w:color="auto"/>
          </w:divBdr>
        </w:div>
        <w:div w:id="1198742687">
          <w:marLeft w:val="0"/>
          <w:marRight w:val="0"/>
          <w:marTop w:val="0"/>
          <w:marBottom w:val="0"/>
          <w:divBdr>
            <w:top w:val="none" w:sz="0" w:space="0" w:color="auto"/>
            <w:left w:val="none" w:sz="0" w:space="0" w:color="auto"/>
            <w:bottom w:val="none" w:sz="0" w:space="0" w:color="auto"/>
            <w:right w:val="none" w:sz="0" w:space="0" w:color="auto"/>
          </w:divBdr>
        </w:div>
        <w:div w:id="1897203811">
          <w:marLeft w:val="0"/>
          <w:marRight w:val="0"/>
          <w:marTop w:val="0"/>
          <w:marBottom w:val="0"/>
          <w:divBdr>
            <w:top w:val="none" w:sz="0" w:space="0" w:color="auto"/>
            <w:left w:val="none" w:sz="0" w:space="0" w:color="auto"/>
            <w:bottom w:val="none" w:sz="0" w:space="0" w:color="auto"/>
            <w:right w:val="none" w:sz="0" w:space="0" w:color="auto"/>
          </w:divBdr>
        </w:div>
        <w:div w:id="2089381810">
          <w:marLeft w:val="0"/>
          <w:marRight w:val="0"/>
          <w:marTop w:val="0"/>
          <w:marBottom w:val="0"/>
          <w:divBdr>
            <w:top w:val="none" w:sz="0" w:space="0" w:color="auto"/>
            <w:left w:val="none" w:sz="0" w:space="0" w:color="auto"/>
            <w:bottom w:val="none" w:sz="0" w:space="0" w:color="auto"/>
            <w:right w:val="none" w:sz="0" w:space="0" w:color="auto"/>
          </w:divBdr>
        </w:div>
      </w:divsChild>
    </w:div>
    <w:div w:id="458260037">
      <w:bodyDiv w:val="1"/>
      <w:marLeft w:val="0"/>
      <w:marRight w:val="0"/>
      <w:marTop w:val="0"/>
      <w:marBottom w:val="0"/>
      <w:divBdr>
        <w:top w:val="none" w:sz="0" w:space="0" w:color="auto"/>
        <w:left w:val="none" w:sz="0" w:space="0" w:color="auto"/>
        <w:bottom w:val="none" w:sz="0" w:space="0" w:color="auto"/>
        <w:right w:val="none" w:sz="0" w:space="0" w:color="auto"/>
      </w:divBdr>
      <w:divsChild>
        <w:div w:id="213935674">
          <w:marLeft w:val="0"/>
          <w:marRight w:val="0"/>
          <w:marTop w:val="0"/>
          <w:marBottom w:val="0"/>
          <w:divBdr>
            <w:top w:val="none" w:sz="0" w:space="0" w:color="auto"/>
            <w:left w:val="none" w:sz="0" w:space="0" w:color="auto"/>
            <w:bottom w:val="none" w:sz="0" w:space="0" w:color="auto"/>
            <w:right w:val="none" w:sz="0" w:space="0" w:color="auto"/>
          </w:divBdr>
        </w:div>
        <w:div w:id="281427853">
          <w:marLeft w:val="0"/>
          <w:marRight w:val="0"/>
          <w:marTop w:val="0"/>
          <w:marBottom w:val="0"/>
          <w:divBdr>
            <w:top w:val="none" w:sz="0" w:space="0" w:color="auto"/>
            <w:left w:val="none" w:sz="0" w:space="0" w:color="auto"/>
            <w:bottom w:val="none" w:sz="0" w:space="0" w:color="auto"/>
            <w:right w:val="none" w:sz="0" w:space="0" w:color="auto"/>
          </w:divBdr>
        </w:div>
        <w:div w:id="1885094326">
          <w:marLeft w:val="0"/>
          <w:marRight w:val="0"/>
          <w:marTop w:val="0"/>
          <w:marBottom w:val="0"/>
          <w:divBdr>
            <w:top w:val="none" w:sz="0" w:space="0" w:color="auto"/>
            <w:left w:val="none" w:sz="0" w:space="0" w:color="auto"/>
            <w:bottom w:val="none" w:sz="0" w:space="0" w:color="auto"/>
            <w:right w:val="none" w:sz="0" w:space="0" w:color="auto"/>
          </w:divBdr>
        </w:div>
        <w:div w:id="1903590799">
          <w:marLeft w:val="0"/>
          <w:marRight w:val="0"/>
          <w:marTop w:val="0"/>
          <w:marBottom w:val="0"/>
          <w:divBdr>
            <w:top w:val="none" w:sz="0" w:space="0" w:color="auto"/>
            <w:left w:val="none" w:sz="0" w:space="0" w:color="auto"/>
            <w:bottom w:val="none" w:sz="0" w:space="0" w:color="auto"/>
            <w:right w:val="none" w:sz="0" w:space="0" w:color="auto"/>
          </w:divBdr>
        </w:div>
      </w:divsChild>
    </w:div>
    <w:div w:id="465316096">
      <w:bodyDiv w:val="1"/>
      <w:marLeft w:val="0"/>
      <w:marRight w:val="0"/>
      <w:marTop w:val="0"/>
      <w:marBottom w:val="0"/>
      <w:divBdr>
        <w:top w:val="none" w:sz="0" w:space="0" w:color="auto"/>
        <w:left w:val="none" w:sz="0" w:space="0" w:color="auto"/>
        <w:bottom w:val="none" w:sz="0" w:space="0" w:color="auto"/>
        <w:right w:val="none" w:sz="0" w:space="0" w:color="auto"/>
      </w:divBdr>
      <w:divsChild>
        <w:div w:id="576671301">
          <w:marLeft w:val="0"/>
          <w:marRight w:val="0"/>
          <w:marTop w:val="0"/>
          <w:marBottom w:val="0"/>
          <w:divBdr>
            <w:top w:val="none" w:sz="0" w:space="0" w:color="auto"/>
            <w:left w:val="none" w:sz="0" w:space="0" w:color="auto"/>
            <w:bottom w:val="none" w:sz="0" w:space="0" w:color="auto"/>
            <w:right w:val="none" w:sz="0" w:space="0" w:color="auto"/>
          </w:divBdr>
        </w:div>
        <w:div w:id="1130587477">
          <w:marLeft w:val="0"/>
          <w:marRight w:val="0"/>
          <w:marTop w:val="0"/>
          <w:marBottom w:val="0"/>
          <w:divBdr>
            <w:top w:val="none" w:sz="0" w:space="0" w:color="auto"/>
            <w:left w:val="none" w:sz="0" w:space="0" w:color="auto"/>
            <w:bottom w:val="none" w:sz="0" w:space="0" w:color="auto"/>
            <w:right w:val="none" w:sz="0" w:space="0" w:color="auto"/>
          </w:divBdr>
        </w:div>
        <w:div w:id="1154448490">
          <w:marLeft w:val="0"/>
          <w:marRight w:val="0"/>
          <w:marTop w:val="0"/>
          <w:marBottom w:val="0"/>
          <w:divBdr>
            <w:top w:val="none" w:sz="0" w:space="0" w:color="auto"/>
            <w:left w:val="none" w:sz="0" w:space="0" w:color="auto"/>
            <w:bottom w:val="none" w:sz="0" w:space="0" w:color="auto"/>
            <w:right w:val="none" w:sz="0" w:space="0" w:color="auto"/>
          </w:divBdr>
        </w:div>
        <w:div w:id="1703045302">
          <w:marLeft w:val="0"/>
          <w:marRight w:val="0"/>
          <w:marTop w:val="0"/>
          <w:marBottom w:val="0"/>
          <w:divBdr>
            <w:top w:val="none" w:sz="0" w:space="0" w:color="auto"/>
            <w:left w:val="none" w:sz="0" w:space="0" w:color="auto"/>
            <w:bottom w:val="none" w:sz="0" w:space="0" w:color="auto"/>
            <w:right w:val="none" w:sz="0" w:space="0" w:color="auto"/>
          </w:divBdr>
        </w:div>
      </w:divsChild>
    </w:div>
    <w:div w:id="477306797">
      <w:bodyDiv w:val="1"/>
      <w:marLeft w:val="0"/>
      <w:marRight w:val="0"/>
      <w:marTop w:val="0"/>
      <w:marBottom w:val="0"/>
      <w:divBdr>
        <w:top w:val="none" w:sz="0" w:space="0" w:color="auto"/>
        <w:left w:val="none" w:sz="0" w:space="0" w:color="auto"/>
        <w:bottom w:val="none" w:sz="0" w:space="0" w:color="auto"/>
        <w:right w:val="none" w:sz="0" w:space="0" w:color="auto"/>
      </w:divBdr>
    </w:div>
    <w:div w:id="494540231">
      <w:bodyDiv w:val="1"/>
      <w:marLeft w:val="0"/>
      <w:marRight w:val="0"/>
      <w:marTop w:val="0"/>
      <w:marBottom w:val="0"/>
      <w:divBdr>
        <w:top w:val="none" w:sz="0" w:space="0" w:color="auto"/>
        <w:left w:val="none" w:sz="0" w:space="0" w:color="auto"/>
        <w:bottom w:val="none" w:sz="0" w:space="0" w:color="auto"/>
        <w:right w:val="none" w:sz="0" w:space="0" w:color="auto"/>
      </w:divBdr>
      <w:divsChild>
        <w:div w:id="332530663">
          <w:marLeft w:val="0"/>
          <w:marRight w:val="0"/>
          <w:marTop w:val="0"/>
          <w:marBottom w:val="0"/>
          <w:divBdr>
            <w:top w:val="none" w:sz="0" w:space="0" w:color="auto"/>
            <w:left w:val="none" w:sz="0" w:space="0" w:color="auto"/>
            <w:bottom w:val="none" w:sz="0" w:space="0" w:color="auto"/>
            <w:right w:val="none" w:sz="0" w:space="0" w:color="auto"/>
          </w:divBdr>
        </w:div>
        <w:div w:id="588194282">
          <w:marLeft w:val="0"/>
          <w:marRight w:val="0"/>
          <w:marTop w:val="0"/>
          <w:marBottom w:val="0"/>
          <w:divBdr>
            <w:top w:val="none" w:sz="0" w:space="0" w:color="auto"/>
            <w:left w:val="none" w:sz="0" w:space="0" w:color="auto"/>
            <w:bottom w:val="none" w:sz="0" w:space="0" w:color="auto"/>
            <w:right w:val="none" w:sz="0" w:space="0" w:color="auto"/>
          </w:divBdr>
        </w:div>
        <w:div w:id="612399260">
          <w:marLeft w:val="0"/>
          <w:marRight w:val="0"/>
          <w:marTop w:val="0"/>
          <w:marBottom w:val="0"/>
          <w:divBdr>
            <w:top w:val="none" w:sz="0" w:space="0" w:color="auto"/>
            <w:left w:val="none" w:sz="0" w:space="0" w:color="auto"/>
            <w:bottom w:val="none" w:sz="0" w:space="0" w:color="auto"/>
            <w:right w:val="none" w:sz="0" w:space="0" w:color="auto"/>
          </w:divBdr>
        </w:div>
        <w:div w:id="644772452">
          <w:marLeft w:val="0"/>
          <w:marRight w:val="0"/>
          <w:marTop w:val="0"/>
          <w:marBottom w:val="0"/>
          <w:divBdr>
            <w:top w:val="none" w:sz="0" w:space="0" w:color="auto"/>
            <w:left w:val="none" w:sz="0" w:space="0" w:color="auto"/>
            <w:bottom w:val="none" w:sz="0" w:space="0" w:color="auto"/>
            <w:right w:val="none" w:sz="0" w:space="0" w:color="auto"/>
          </w:divBdr>
        </w:div>
        <w:div w:id="656692313">
          <w:marLeft w:val="0"/>
          <w:marRight w:val="0"/>
          <w:marTop w:val="0"/>
          <w:marBottom w:val="0"/>
          <w:divBdr>
            <w:top w:val="none" w:sz="0" w:space="0" w:color="auto"/>
            <w:left w:val="none" w:sz="0" w:space="0" w:color="auto"/>
            <w:bottom w:val="none" w:sz="0" w:space="0" w:color="auto"/>
            <w:right w:val="none" w:sz="0" w:space="0" w:color="auto"/>
          </w:divBdr>
        </w:div>
        <w:div w:id="945427395">
          <w:marLeft w:val="0"/>
          <w:marRight w:val="0"/>
          <w:marTop w:val="0"/>
          <w:marBottom w:val="0"/>
          <w:divBdr>
            <w:top w:val="none" w:sz="0" w:space="0" w:color="auto"/>
            <w:left w:val="none" w:sz="0" w:space="0" w:color="auto"/>
            <w:bottom w:val="none" w:sz="0" w:space="0" w:color="auto"/>
            <w:right w:val="none" w:sz="0" w:space="0" w:color="auto"/>
          </w:divBdr>
        </w:div>
        <w:div w:id="1587302999">
          <w:marLeft w:val="0"/>
          <w:marRight w:val="0"/>
          <w:marTop w:val="0"/>
          <w:marBottom w:val="0"/>
          <w:divBdr>
            <w:top w:val="none" w:sz="0" w:space="0" w:color="auto"/>
            <w:left w:val="none" w:sz="0" w:space="0" w:color="auto"/>
            <w:bottom w:val="none" w:sz="0" w:space="0" w:color="auto"/>
            <w:right w:val="none" w:sz="0" w:space="0" w:color="auto"/>
          </w:divBdr>
        </w:div>
        <w:div w:id="1671789509">
          <w:marLeft w:val="0"/>
          <w:marRight w:val="0"/>
          <w:marTop w:val="0"/>
          <w:marBottom w:val="0"/>
          <w:divBdr>
            <w:top w:val="none" w:sz="0" w:space="0" w:color="auto"/>
            <w:left w:val="none" w:sz="0" w:space="0" w:color="auto"/>
            <w:bottom w:val="none" w:sz="0" w:space="0" w:color="auto"/>
            <w:right w:val="none" w:sz="0" w:space="0" w:color="auto"/>
          </w:divBdr>
        </w:div>
        <w:div w:id="2140296904">
          <w:marLeft w:val="0"/>
          <w:marRight w:val="0"/>
          <w:marTop w:val="0"/>
          <w:marBottom w:val="0"/>
          <w:divBdr>
            <w:top w:val="none" w:sz="0" w:space="0" w:color="auto"/>
            <w:left w:val="none" w:sz="0" w:space="0" w:color="auto"/>
            <w:bottom w:val="none" w:sz="0" w:space="0" w:color="auto"/>
            <w:right w:val="none" w:sz="0" w:space="0" w:color="auto"/>
          </w:divBdr>
        </w:div>
      </w:divsChild>
    </w:div>
    <w:div w:id="503399646">
      <w:bodyDiv w:val="1"/>
      <w:marLeft w:val="0"/>
      <w:marRight w:val="0"/>
      <w:marTop w:val="0"/>
      <w:marBottom w:val="0"/>
      <w:divBdr>
        <w:top w:val="none" w:sz="0" w:space="0" w:color="auto"/>
        <w:left w:val="none" w:sz="0" w:space="0" w:color="auto"/>
        <w:bottom w:val="none" w:sz="0" w:space="0" w:color="auto"/>
        <w:right w:val="none" w:sz="0" w:space="0" w:color="auto"/>
      </w:divBdr>
    </w:div>
    <w:div w:id="506335672">
      <w:bodyDiv w:val="1"/>
      <w:marLeft w:val="0"/>
      <w:marRight w:val="0"/>
      <w:marTop w:val="0"/>
      <w:marBottom w:val="0"/>
      <w:divBdr>
        <w:top w:val="none" w:sz="0" w:space="0" w:color="auto"/>
        <w:left w:val="none" w:sz="0" w:space="0" w:color="auto"/>
        <w:bottom w:val="none" w:sz="0" w:space="0" w:color="auto"/>
        <w:right w:val="none" w:sz="0" w:space="0" w:color="auto"/>
      </w:divBdr>
      <w:divsChild>
        <w:div w:id="114831531">
          <w:marLeft w:val="0"/>
          <w:marRight w:val="0"/>
          <w:marTop w:val="0"/>
          <w:marBottom w:val="0"/>
          <w:divBdr>
            <w:top w:val="none" w:sz="0" w:space="0" w:color="auto"/>
            <w:left w:val="none" w:sz="0" w:space="0" w:color="auto"/>
            <w:bottom w:val="none" w:sz="0" w:space="0" w:color="auto"/>
            <w:right w:val="none" w:sz="0" w:space="0" w:color="auto"/>
          </w:divBdr>
        </w:div>
        <w:div w:id="443890324">
          <w:marLeft w:val="0"/>
          <w:marRight w:val="0"/>
          <w:marTop w:val="0"/>
          <w:marBottom w:val="0"/>
          <w:divBdr>
            <w:top w:val="none" w:sz="0" w:space="0" w:color="auto"/>
            <w:left w:val="none" w:sz="0" w:space="0" w:color="auto"/>
            <w:bottom w:val="none" w:sz="0" w:space="0" w:color="auto"/>
            <w:right w:val="none" w:sz="0" w:space="0" w:color="auto"/>
          </w:divBdr>
        </w:div>
        <w:div w:id="542983532">
          <w:marLeft w:val="0"/>
          <w:marRight w:val="0"/>
          <w:marTop w:val="0"/>
          <w:marBottom w:val="0"/>
          <w:divBdr>
            <w:top w:val="none" w:sz="0" w:space="0" w:color="auto"/>
            <w:left w:val="none" w:sz="0" w:space="0" w:color="auto"/>
            <w:bottom w:val="none" w:sz="0" w:space="0" w:color="auto"/>
            <w:right w:val="none" w:sz="0" w:space="0" w:color="auto"/>
          </w:divBdr>
        </w:div>
        <w:div w:id="576210218">
          <w:marLeft w:val="0"/>
          <w:marRight w:val="0"/>
          <w:marTop w:val="0"/>
          <w:marBottom w:val="0"/>
          <w:divBdr>
            <w:top w:val="none" w:sz="0" w:space="0" w:color="auto"/>
            <w:left w:val="none" w:sz="0" w:space="0" w:color="auto"/>
            <w:bottom w:val="none" w:sz="0" w:space="0" w:color="auto"/>
            <w:right w:val="none" w:sz="0" w:space="0" w:color="auto"/>
          </w:divBdr>
        </w:div>
        <w:div w:id="789936164">
          <w:marLeft w:val="0"/>
          <w:marRight w:val="0"/>
          <w:marTop w:val="0"/>
          <w:marBottom w:val="0"/>
          <w:divBdr>
            <w:top w:val="none" w:sz="0" w:space="0" w:color="auto"/>
            <w:left w:val="none" w:sz="0" w:space="0" w:color="auto"/>
            <w:bottom w:val="none" w:sz="0" w:space="0" w:color="auto"/>
            <w:right w:val="none" w:sz="0" w:space="0" w:color="auto"/>
          </w:divBdr>
        </w:div>
        <w:div w:id="1291083719">
          <w:marLeft w:val="0"/>
          <w:marRight w:val="0"/>
          <w:marTop w:val="0"/>
          <w:marBottom w:val="0"/>
          <w:divBdr>
            <w:top w:val="none" w:sz="0" w:space="0" w:color="auto"/>
            <w:left w:val="none" w:sz="0" w:space="0" w:color="auto"/>
            <w:bottom w:val="none" w:sz="0" w:space="0" w:color="auto"/>
            <w:right w:val="none" w:sz="0" w:space="0" w:color="auto"/>
          </w:divBdr>
        </w:div>
        <w:div w:id="1689603999">
          <w:marLeft w:val="0"/>
          <w:marRight w:val="0"/>
          <w:marTop w:val="0"/>
          <w:marBottom w:val="0"/>
          <w:divBdr>
            <w:top w:val="none" w:sz="0" w:space="0" w:color="auto"/>
            <w:left w:val="none" w:sz="0" w:space="0" w:color="auto"/>
            <w:bottom w:val="none" w:sz="0" w:space="0" w:color="auto"/>
            <w:right w:val="none" w:sz="0" w:space="0" w:color="auto"/>
          </w:divBdr>
        </w:div>
        <w:div w:id="1962491789">
          <w:marLeft w:val="0"/>
          <w:marRight w:val="0"/>
          <w:marTop w:val="0"/>
          <w:marBottom w:val="0"/>
          <w:divBdr>
            <w:top w:val="none" w:sz="0" w:space="0" w:color="auto"/>
            <w:left w:val="none" w:sz="0" w:space="0" w:color="auto"/>
            <w:bottom w:val="none" w:sz="0" w:space="0" w:color="auto"/>
            <w:right w:val="none" w:sz="0" w:space="0" w:color="auto"/>
          </w:divBdr>
        </w:div>
      </w:divsChild>
    </w:div>
    <w:div w:id="509098846">
      <w:bodyDiv w:val="1"/>
      <w:marLeft w:val="0"/>
      <w:marRight w:val="0"/>
      <w:marTop w:val="0"/>
      <w:marBottom w:val="0"/>
      <w:divBdr>
        <w:top w:val="none" w:sz="0" w:space="0" w:color="auto"/>
        <w:left w:val="none" w:sz="0" w:space="0" w:color="auto"/>
        <w:bottom w:val="none" w:sz="0" w:space="0" w:color="auto"/>
        <w:right w:val="none" w:sz="0" w:space="0" w:color="auto"/>
      </w:divBdr>
      <w:divsChild>
        <w:div w:id="337731453">
          <w:marLeft w:val="0"/>
          <w:marRight w:val="0"/>
          <w:marTop w:val="0"/>
          <w:marBottom w:val="0"/>
          <w:divBdr>
            <w:top w:val="none" w:sz="0" w:space="0" w:color="auto"/>
            <w:left w:val="none" w:sz="0" w:space="0" w:color="auto"/>
            <w:bottom w:val="none" w:sz="0" w:space="0" w:color="auto"/>
            <w:right w:val="none" w:sz="0" w:space="0" w:color="auto"/>
          </w:divBdr>
        </w:div>
        <w:div w:id="575824695">
          <w:marLeft w:val="0"/>
          <w:marRight w:val="0"/>
          <w:marTop w:val="0"/>
          <w:marBottom w:val="0"/>
          <w:divBdr>
            <w:top w:val="none" w:sz="0" w:space="0" w:color="auto"/>
            <w:left w:val="none" w:sz="0" w:space="0" w:color="auto"/>
            <w:bottom w:val="none" w:sz="0" w:space="0" w:color="auto"/>
            <w:right w:val="none" w:sz="0" w:space="0" w:color="auto"/>
          </w:divBdr>
        </w:div>
        <w:div w:id="695077452">
          <w:marLeft w:val="0"/>
          <w:marRight w:val="0"/>
          <w:marTop w:val="0"/>
          <w:marBottom w:val="0"/>
          <w:divBdr>
            <w:top w:val="none" w:sz="0" w:space="0" w:color="auto"/>
            <w:left w:val="none" w:sz="0" w:space="0" w:color="auto"/>
            <w:bottom w:val="none" w:sz="0" w:space="0" w:color="auto"/>
            <w:right w:val="none" w:sz="0" w:space="0" w:color="auto"/>
          </w:divBdr>
        </w:div>
        <w:div w:id="1296526666">
          <w:marLeft w:val="0"/>
          <w:marRight w:val="0"/>
          <w:marTop w:val="0"/>
          <w:marBottom w:val="0"/>
          <w:divBdr>
            <w:top w:val="none" w:sz="0" w:space="0" w:color="auto"/>
            <w:left w:val="none" w:sz="0" w:space="0" w:color="auto"/>
            <w:bottom w:val="none" w:sz="0" w:space="0" w:color="auto"/>
            <w:right w:val="none" w:sz="0" w:space="0" w:color="auto"/>
          </w:divBdr>
        </w:div>
        <w:div w:id="1426805049">
          <w:marLeft w:val="0"/>
          <w:marRight w:val="0"/>
          <w:marTop w:val="0"/>
          <w:marBottom w:val="0"/>
          <w:divBdr>
            <w:top w:val="none" w:sz="0" w:space="0" w:color="auto"/>
            <w:left w:val="none" w:sz="0" w:space="0" w:color="auto"/>
            <w:bottom w:val="none" w:sz="0" w:space="0" w:color="auto"/>
            <w:right w:val="none" w:sz="0" w:space="0" w:color="auto"/>
          </w:divBdr>
        </w:div>
        <w:div w:id="1429157398">
          <w:marLeft w:val="0"/>
          <w:marRight w:val="0"/>
          <w:marTop w:val="0"/>
          <w:marBottom w:val="0"/>
          <w:divBdr>
            <w:top w:val="none" w:sz="0" w:space="0" w:color="auto"/>
            <w:left w:val="none" w:sz="0" w:space="0" w:color="auto"/>
            <w:bottom w:val="none" w:sz="0" w:space="0" w:color="auto"/>
            <w:right w:val="none" w:sz="0" w:space="0" w:color="auto"/>
          </w:divBdr>
        </w:div>
        <w:div w:id="1440562673">
          <w:marLeft w:val="0"/>
          <w:marRight w:val="0"/>
          <w:marTop w:val="0"/>
          <w:marBottom w:val="0"/>
          <w:divBdr>
            <w:top w:val="none" w:sz="0" w:space="0" w:color="auto"/>
            <w:left w:val="none" w:sz="0" w:space="0" w:color="auto"/>
            <w:bottom w:val="none" w:sz="0" w:space="0" w:color="auto"/>
            <w:right w:val="none" w:sz="0" w:space="0" w:color="auto"/>
          </w:divBdr>
        </w:div>
        <w:div w:id="1951549959">
          <w:marLeft w:val="0"/>
          <w:marRight w:val="0"/>
          <w:marTop w:val="0"/>
          <w:marBottom w:val="0"/>
          <w:divBdr>
            <w:top w:val="none" w:sz="0" w:space="0" w:color="auto"/>
            <w:left w:val="none" w:sz="0" w:space="0" w:color="auto"/>
            <w:bottom w:val="none" w:sz="0" w:space="0" w:color="auto"/>
            <w:right w:val="none" w:sz="0" w:space="0" w:color="auto"/>
          </w:divBdr>
        </w:div>
      </w:divsChild>
    </w:div>
    <w:div w:id="542985881">
      <w:bodyDiv w:val="1"/>
      <w:marLeft w:val="0"/>
      <w:marRight w:val="0"/>
      <w:marTop w:val="0"/>
      <w:marBottom w:val="0"/>
      <w:divBdr>
        <w:top w:val="none" w:sz="0" w:space="0" w:color="auto"/>
        <w:left w:val="none" w:sz="0" w:space="0" w:color="auto"/>
        <w:bottom w:val="none" w:sz="0" w:space="0" w:color="auto"/>
        <w:right w:val="none" w:sz="0" w:space="0" w:color="auto"/>
      </w:divBdr>
      <w:divsChild>
        <w:div w:id="748844881">
          <w:marLeft w:val="0"/>
          <w:marRight w:val="0"/>
          <w:marTop w:val="0"/>
          <w:marBottom w:val="0"/>
          <w:divBdr>
            <w:top w:val="none" w:sz="0" w:space="0" w:color="auto"/>
            <w:left w:val="none" w:sz="0" w:space="0" w:color="auto"/>
            <w:bottom w:val="none" w:sz="0" w:space="0" w:color="auto"/>
            <w:right w:val="none" w:sz="0" w:space="0" w:color="auto"/>
          </w:divBdr>
        </w:div>
        <w:div w:id="973369214">
          <w:marLeft w:val="0"/>
          <w:marRight w:val="0"/>
          <w:marTop w:val="0"/>
          <w:marBottom w:val="0"/>
          <w:divBdr>
            <w:top w:val="none" w:sz="0" w:space="0" w:color="auto"/>
            <w:left w:val="none" w:sz="0" w:space="0" w:color="auto"/>
            <w:bottom w:val="none" w:sz="0" w:space="0" w:color="auto"/>
            <w:right w:val="none" w:sz="0" w:space="0" w:color="auto"/>
          </w:divBdr>
        </w:div>
        <w:div w:id="1469394051">
          <w:marLeft w:val="0"/>
          <w:marRight w:val="0"/>
          <w:marTop w:val="0"/>
          <w:marBottom w:val="0"/>
          <w:divBdr>
            <w:top w:val="none" w:sz="0" w:space="0" w:color="auto"/>
            <w:left w:val="none" w:sz="0" w:space="0" w:color="auto"/>
            <w:bottom w:val="none" w:sz="0" w:space="0" w:color="auto"/>
            <w:right w:val="none" w:sz="0" w:space="0" w:color="auto"/>
          </w:divBdr>
        </w:div>
        <w:div w:id="2127196213">
          <w:marLeft w:val="0"/>
          <w:marRight w:val="0"/>
          <w:marTop w:val="0"/>
          <w:marBottom w:val="0"/>
          <w:divBdr>
            <w:top w:val="none" w:sz="0" w:space="0" w:color="auto"/>
            <w:left w:val="none" w:sz="0" w:space="0" w:color="auto"/>
            <w:bottom w:val="none" w:sz="0" w:space="0" w:color="auto"/>
            <w:right w:val="none" w:sz="0" w:space="0" w:color="auto"/>
          </w:divBdr>
        </w:div>
      </w:divsChild>
    </w:div>
    <w:div w:id="545793749">
      <w:bodyDiv w:val="1"/>
      <w:marLeft w:val="0"/>
      <w:marRight w:val="0"/>
      <w:marTop w:val="0"/>
      <w:marBottom w:val="0"/>
      <w:divBdr>
        <w:top w:val="none" w:sz="0" w:space="0" w:color="auto"/>
        <w:left w:val="none" w:sz="0" w:space="0" w:color="auto"/>
        <w:bottom w:val="none" w:sz="0" w:space="0" w:color="auto"/>
        <w:right w:val="none" w:sz="0" w:space="0" w:color="auto"/>
      </w:divBdr>
    </w:div>
    <w:div w:id="580481694">
      <w:bodyDiv w:val="1"/>
      <w:marLeft w:val="0"/>
      <w:marRight w:val="0"/>
      <w:marTop w:val="0"/>
      <w:marBottom w:val="0"/>
      <w:divBdr>
        <w:top w:val="none" w:sz="0" w:space="0" w:color="auto"/>
        <w:left w:val="none" w:sz="0" w:space="0" w:color="auto"/>
        <w:bottom w:val="none" w:sz="0" w:space="0" w:color="auto"/>
        <w:right w:val="none" w:sz="0" w:space="0" w:color="auto"/>
      </w:divBdr>
      <w:divsChild>
        <w:div w:id="340856676">
          <w:marLeft w:val="0"/>
          <w:marRight w:val="0"/>
          <w:marTop w:val="0"/>
          <w:marBottom w:val="0"/>
          <w:divBdr>
            <w:top w:val="none" w:sz="0" w:space="0" w:color="auto"/>
            <w:left w:val="none" w:sz="0" w:space="0" w:color="auto"/>
            <w:bottom w:val="none" w:sz="0" w:space="0" w:color="auto"/>
            <w:right w:val="none" w:sz="0" w:space="0" w:color="auto"/>
          </w:divBdr>
        </w:div>
        <w:div w:id="787234442">
          <w:marLeft w:val="0"/>
          <w:marRight w:val="0"/>
          <w:marTop w:val="0"/>
          <w:marBottom w:val="0"/>
          <w:divBdr>
            <w:top w:val="none" w:sz="0" w:space="0" w:color="auto"/>
            <w:left w:val="none" w:sz="0" w:space="0" w:color="auto"/>
            <w:bottom w:val="none" w:sz="0" w:space="0" w:color="auto"/>
            <w:right w:val="none" w:sz="0" w:space="0" w:color="auto"/>
          </w:divBdr>
        </w:div>
        <w:div w:id="1463960245">
          <w:marLeft w:val="0"/>
          <w:marRight w:val="0"/>
          <w:marTop w:val="0"/>
          <w:marBottom w:val="0"/>
          <w:divBdr>
            <w:top w:val="none" w:sz="0" w:space="0" w:color="auto"/>
            <w:left w:val="none" w:sz="0" w:space="0" w:color="auto"/>
            <w:bottom w:val="none" w:sz="0" w:space="0" w:color="auto"/>
            <w:right w:val="none" w:sz="0" w:space="0" w:color="auto"/>
          </w:divBdr>
        </w:div>
        <w:div w:id="1988128229">
          <w:marLeft w:val="0"/>
          <w:marRight w:val="0"/>
          <w:marTop w:val="0"/>
          <w:marBottom w:val="0"/>
          <w:divBdr>
            <w:top w:val="none" w:sz="0" w:space="0" w:color="auto"/>
            <w:left w:val="none" w:sz="0" w:space="0" w:color="auto"/>
            <w:bottom w:val="none" w:sz="0" w:space="0" w:color="auto"/>
            <w:right w:val="none" w:sz="0" w:space="0" w:color="auto"/>
          </w:divBdr>
        </w:div>
      </w:divsChild>
    </w:div>
    <w:div w:id="630287446">
      <w:bodyDiv w:val="1"/>
      <w:marLeft w:val="0"/>
      <w:marRight w:val="0"/>
      <w:marTop w:val="0"/>
      <w:marBottom w:val="0"/>
      <w:divBdr>
        <w:top w:val="none" w:sz="0" w:space="0" w:color="auto"/>
        <w:left w:val="none" w:sz="0" w:space="0" w:color="auto"/>
        <w:bottom w:val="none" w:sz="0" w:space="0" w:color="auto"/>
        <w:right w:val="none" w:sz="0" w:space="0" w:color="auto"/>
      </w:divBdr>
    </w:div>
    <w:div w:id="655836253">
      <w:bodyDiv w:val="1"/>
      <w:marLeft w:val="0"/>
      <w:marRight w:val="0"/>
      <w:marTop w:val="0"/>
      <w:marBottom w:val="0"/>
      <w:divBdr>
        <w:top w:val="none" w:sz="0" w:space="0" w:color="auto"/>
        <w:left w:val="none" w:sz="0" w:space="0" w:color="auto"/>
        <w:bottom w:val="none" w:sz="0" w:space="0" w:color="auto"/>
        <w:right w:val="none" w:sz="0" w:space="0" w:color="auto"/>
      </w:divBdr>
      <w:divsChild>
        <w:div w:id="920063205">
          <w:marLeft w:val="0"/>
          <w:marRight w:val="0"/>
          <w:marTop w:val="0"/>
          <w:marBottom w:val="0"/>
          <w:divBdr>
            <w:top w:val="none" w:sz="0" w:space="0" w:color="auto"/>
            <w:left w:val="none" w:sz="0" w:space="0" w:color="auto"/>
            <w:bottom w:val="none" w:sz="0" w:space="0" w:color="auto"/>
            <w:right w:val="none" w:sz="0" w:space="0" w:color="auto"/>
          </w:divBdr>
        </w:div>
        <w:div w:id="1075976592">
          <w:marLeft w:val="0"/>
          <w:marRight w:val="0"/>
          <w:marTop w:val="0"/>
          <w:marBottom w:val="0"/>
          <w:divBdr>
            <w:top w:val="none" w:sz="0" w:space="0" w:color="auto"/>
            <w:left w:val="none" w:sz="0" w:space="0" w:color="auto"/>
            <w:bottom w:val="none" w:sz="0" w:space="0" w:color="auto"/>
            <w:right w:val="none" w:sz="0" w:space="0" w:color="auto"/>
          </w:divBdr>
        </w:div>
        <w:div w:id="1491212766">
          <w:marLeft w:val="0"/>
          <w:marRight w:val="0"/>
          <w:marTop w:val="0"/>
          <w:marBottom w:val="0"/>
          <w:divBdr>
            <w:top w:val="none" w:sz="0" w:space="0" w:color="auto"/>
            <w:left w:val="none" w:sz="0" w:space="0" w:color="auto"/>
            <w:bottom w:val="none" w:sz="0" w:space="0" w:color="auto"/>
            <w:right w:val="none" w:sz="0" w:space="0" w:color="auto"/>
          </w:divBdr>
        </w:div>
        <w:div w:id="1994408269">
          <w:marLeft w:val="0"/>
          <w:marRight w:val="0"/>
          <w:marTop w:val="0"/>
          <w:marBottom w:val="0"/>
          <w:divBdr>
            <w:top w:val="none" w:sz="0" w:space="0" w:color="auto"/>
            <w:left w:val="none" w:sz="0" w:space="0" w:color="auto"/>
            <w:bottom w:val="none" w:sz="0" w:space="0" w:color="auto"/>
            <w:right w:val="none" w:sz="0" w:space="0" w:color="auto"/>
          </w:divBdr>
        </w:div>
      </w:divsChild>
    </w:div>
    <w:div w:id="667363949">
      <w:bodyDiv w:val="1"/>
      <w:marLeft w:val="0"/>
      <w:marRight w:val="0"/>
      <w:marTop w:val="0"/>
      <w:marBottom w:val="0"/>
      <w:divBdr>
        <w:top w:val="none" w:sz="0" w:space="0" w:color="auto"/>
        <w:left w:val="none" w:sz="0" w:space="0" w:color="auto"/>
        <w:bottom w:val="none" w:sz="0" w:space="0" w:color="auto"/>
        <w:right w:val="none" w:sz="0" w:space="0" w:color="auto"/>
      </w:divBdr>
    </w:div>
    <w:div w:id="676233065">
      <w:bodyDiv w:val="1"/>
      <w:marLeft w:val="0"/>
      <w:marRight w:val="0"/>
      <w:marTop w:val="0"/>
      <w:marBottom w:val="0"/>
      <w:divBdr>
        <w:top w:val="none" w:sz="0" w:space="0" w:color="auto"/>
        <w:left w:val="none" w:sz="0" w:space="0" w:color="auto"/>
        <w:bottom w:val="none" w:sz="0" w:space="0" w:color="auto"/>
        <w:right w:val="none" w:sz="0" w:space="0" w:color="auto"/>
      </w:divBdr>
      <w:divsChild>
        <w:div w:id="966542116">
          <w:marLeft w:val="0"/>
          <w:marRight w:val="0"/>
          <w:marTop w:val="0"/>
          <w:marBottom w:val="0"/>
          <w:divBdr>
            <w:top w:val="none" w:sz="0" w:space="0" w:color="auto"/>
            <w:left w:val="none" w:sz="0" w:space="0" w:color="auto"/>
            <w:bottom w:val="none" w:sz="0" w:space="0" w:color="auto"/>
            <w:right w:val="none" w:sz="0" w:space="0" w:color="auto"/>
          </w:divBdr>
        </w:div>
        <w:div w:id="1006442677">
          <w:marLeft w:val="0"/>
          <w:marRight w:val="0"/>
          <w:marTop w:val="0"/>
          <w:marBottom w:val="0"/>
          <w:divBdr>
            <w:top w:val="none" w:sz="0" w:space="0" w:color="auto"/>
            <w:left w:val="none" w:sz="0" w:space="0" w:color="auto"/>
            <w:bottom w:val="none" w:sz="0" w:space="0" w:color="auto"/>
            <w:right w:val="none" w:sz="0" w:space="0" w:color="auto"/>
          </w:divBdr>
        </w:div>
        <w:div w:id="1393506866">
          <w:marLeft w:val="0"/>
          <w:marRight w:val="0"/>
          <w:marTop w:val="0"/>
          <w:marBottom w:val="0"/>
          <w:divBdr>
            <w:top w:val="none" w:sz="0" w:space="0" w:color="auto"/>
            <w:left w:val="none" w:sz="0" w:space="0" w:color="auto"/>
            <w:bottom w:val="none" w:sz="0" w:space="0" w:color="auto"/>
            <w:right w:val="none" w:sz="0" w:space="0" w:color="auto"/>
          </w:divBdr>
        </w:div>
        <w:div w:id="1471098554">
          <w:marLeft w:val="0"/>
          <w:marRight w:val="0"/>
          <w:marTop w:val="0"/>
          <w:marBottom w:val="0"/>
          <w:divBdr>
            <w:top w:val="none" w:sz="0" w:space="0" w:color="auto"/>
            <w:left w:val="none" w:sz="0" w:space="0" w:color="auto"/>
            <w:bottom w:val="none" w:sz="0" w:space="0" w:color="auto"/>
            <w:right w:val="none" w:sz="0" w:space="0" w:color="auto"/>
          </w:divBdr>
        </w:div>
      </w:divsChild>
    </w:div>
    <w:div w:id="723985595">
      <w:bodyDiv w:val="1"/>
      <w:marLeft w:val="0"/>
      <w:marRight w:val="0"/>
      <w:marTop w:val="0"/>
      <w:marBottom w:val="0"/>
      <w:divBdr>
        <w:top w:val="none" w:sz="0" w:space="0" w:color="auto"/>
        <w:left w:val="none" w:sz="0" w:space="0" w:color="auto"/>
        <w:bottom w:val="none" w:sz="0" w:space="0" w:color="auto"/>
        <w:right w:val="none" w:sz="0" w:space="0" w:color="auto"/>
      </w:divBdr>
      <w:divsChild>
        <w:div w:id="330064695">
          <w:marLeft w:val="0"/>
          <w:marRight w:val="0"/>
          <w:marTop w:val="0"/>
          <w:marBottom w:val="0"/>
          <w:divBdr>
            <w:top w:val="none" w:sz="0" w:space="0" w:color="auto"/>
            <w:left w:val="none" w:sz="0" w:space="0" w:color="auto"/>
            <w:bottom w:val="none" w:sz="0" w:space="0" w:color="auto"/>
            <w:right w:val="none" w:sz="0" w:space="0" w:color="auto"/>
          </w:divBdr>
        </w:div>
        <w:div w:id="352877504">
          <w:marLeft w:val="0"/>
          <w:marRight w:val="0"/>
          <w:marTop w:val="0"/>
          <w:marBottom w:val="0"/>
          <w:divBdr>
            <w:top w:val="none" w:sz="0" w:space="0" w:color="auto"/>
            <w:left w:val="none" w:sz="0" w:space="0" w:color="auto"/>
            <w:bottom w:val="none" w:sz="0" w:space="0" w:color="auto"/>
            <w:right w:val="none" w:sz="0" w:space="0" w:color="auto"/>
          </w:divBdr>
        </w:div>
        <w:div w:id="372733511">
          <w:marLeft w:val="0"/>
          <w:marRight w:val="0"/>
          <w:marTop w:val="0"/>
          <w:marBottom w:val="0"/>
          <w:divBdr>
            <w:top w:val="none" w:sz="0" w:space="0" w:color="auto"/>
            <w:left w:val="none" w:sz="0" w:space="0" w:color="auto"/>
            <w:bottom w:val="none" w:sz="0" w:space="0" w:color="auto"/>
            <w:right w:val="none" w:sz="0" w:space="0" w:color="auto"/>
          </w:divBdr>
        </w:div>
        <w:div w:id="513347594">
          <w:marLeft w:val="0"/>
          <w:marRight w:val="0"/>
          <w:marTop w:val="0"/>
          <w:marBottom w:val="0"/>
          <w:divBdr>
            <w:top w:val="none" w:sz="0" w:space="0" w:color="auto"/>
            <w:left w:val="none" w:sz="0" w:space="0" w:color="auto"/>
            <w:bottom w:val="none" w:sz="0" w:space="0" w:color="auto"/>
            <w:right w:val="none" w:sz="0" w:space="0" w:color="auto"/>
          </w:divBdr>
        </w:div>
        <w:div w:id="1539004369">
          <w:marLeft w:val="0"/>
          <w:marRight w:val="0"/>
          <w:marTop w:val="0"/>
          <w:marBottom w:val="0"/>
          <w:divBdr>
            <w:top w:val="none" w:sz="0" w:space="0" w:color="auto"/>
            <w:left w:val="none" w:sz="0" w:space="0" w:color="auto"/>
            <w:bottom w:val="none" w:sz="0" w:space="0" w:color="auto"/>
            <w:right w:val="none" w:sz="0" w:space="0" w:color="auto"/>
          </w:divBdr>
        </w:div>
        <w:div w:id="1772312643">
          <w:marLeft w:val="0"/>
          <w:marRight w:val="0"/>
          <w:marTop w:val="0"/>
          <w:marBottom w:val="0"/>
          <w:divBdr>
            <w:top w:val="none" w:sz="0" w:space="0" w:color="auto"/>
            <w:left w:val="none" w:sz="0" w:space="0" w:color="auto"/>
            <w:bottom w:val="none" w:sz="0" w:space="0" w:color="auto"/>
            <w:right w:val="none" w:sz="0" w:space="0" w:color="auto"/>
          </w:divBdr>
        </w:div>
      </w:divsChild>
    </w:div>
    <w:div w:id="725302874">
      <w:bodyDiv w:val="1"/>
      <w:marLeft w:val="0"/>
      <w:marRight w:val="0"/>
      <w:marTop w:val="0"/>
      <w:marBottom w:val="0"/>
      <w:divBdr>
        <w:top w:val="none" w:sz="0" w:space="0" w:color="auto"/>
        <w:left w:val="none" w:sz="0" w:space="0" w:color="auto"/>
        <w:bottom w:val="none" w:sz="0" w:space="0" w:color="auto"/>
        <w:right w:val="none" w:sz="0" w:space="0" w:color="auto"/>
      </w:divBdr>
    </w:div>
    <w:div w:id="745960247">
      <w:bodyDiv w:val="1"/>
      <w:marLeft w:val="0"/>
      <w:marRight w:val="0"/>
      <w:marTop w:val="0"/>
      <w:marBottom w:val="0"/>
      <w:divBdr>
        <w:top w:val="none" w:sz="0" w:space="0" w:color="auto"/>
        <w:left w:val="none" w:sz="0" w:space="0" w:color="auto"/>
        <w:bottom w:val="none" w:sz="0" w:space="0" w:color="auto"/>
        <w:right w:val="none" w:sz="0" w:space="0" w:color="auto"/>
      </w:divBdr>
      <w:divsChild>
        <w:div w:id="837425229">
          <w:marLeft w:val="0"/>
          <w:marRight w:val="0"/>
          <w:marTop w:val="0"/>
          <w:marBottom w:val="0"/>
          <w:divBdr>
            <w:top w:val="none" w:sz="0" w:space="0" w:color="auto"/>
            <w:left w:val="none" w:sz="0" w:space="0" w:color="auto"/>
            <w:bottom w:val="none" w:sz="0" w:space="0" w:color="auto"/>
            <w:right w:val="none" w:sz="0" w:space="0" w:color="auto"/>
          </w:divBdr>
        </w:div>
        <w:div w:id="1026715141">
          <w:marLeft w:val="0"/>
          <w:marRight w:val="0"/>
          <w:marTop w:val="0"/>
          <w:marBottom w:val="0"/>
          <w:divBdr>
            <w:top w:val="none" w:sz="0" w:space="0" w:color="auto"/>
            <w:left w:val="none" w:sz="0" w:space="0" w:color="auto"/>
            <w:bottom w:val="none" w:sz="0" w:space="0" w:color="auto"/>
            <w:right w:val="none" w:sz="0" w:space="0" w:color="auto"/>
          </w:divBdr>
        </w:div>
        <w:div w:id="1251504534">
          <w:marLeft w:val="0"/>
          <w:marRight w:val="0"/>
          <w:marTop w:val="0"/>
          <w:marBottom w:val="0"/>
          <w:divBdr>
            <w:top w:val="none" w:sz="0" w:space="0" w:color="auto"/>
            <w:left w:val="none" w:sz="0" w:space="0" w:color="auto"/>
            <w:bottom w:val="none" w:sz="0" w:space="0" w:color="auto"/>
            <w:right w:val="none" w:sz="0" w:space="0" w:color="auto"/>
          </w:divBdr>
        </w:div>
        <w:div w:id="1872495904">
          <w:marLeft w:val="0"/>
          <w:marRight w:val="0"/>
          <w:marTop w:val="0"/>
          <w:marBottom w:val="0"/>
          <w:divBdr>
            <w:top w:val="none" w:sz="0" w:space="0" w:color="auto"/>
            <w:left w:val="none" w:sz="0" w:space="0" w:color="auto"/>
            <w:bottom w:val="none" w:sz="0" w:space="0" w:color="auto"/>
            <w:right w:val="none" w:sz="0" w:space="0" w:color="auto"/>
          </w:divBdr>
        </w:div>
      </w:divsChild>
    </w:div>
    <w:div w:id="748816275">
      <w:bodyDiv w:val="1"/>
      <w:marLeft w:val="0"/>
      <w:marRight w:val="0"/>
      <w:marTop w:val="0"/>
      <w:marBottom w:val="0"/>
      <w:divBdr>
        <w:top w:val="none" w:sz="0" w:space="0" w:color="auto"/>
        <w:left w:val="none" w:sz="0" w:space="0" w:color="auto"/>
        <w:bottom w:val="none" w:sz="0" w:space="0" w:color="auto"/>
        <w:right w:val="none" w:sz="0" w:space="0" w:color="auto"/>
      </w:divBdr>
      <w:divsChild>
        <w:div w:id="410352087">
          <w:marLeft w:val="0"/>
          <w:marRight w:val="0"/>
          <w:marTop w:val="0"/>
          <w:marBottom w:val="0"/>
          <w:divBdr>
            <w:top w:val="none" w:sz="0" w:space="0" w:color="auto"/>
            <w:left w:val="none" w:sz="0" w:space="0" w:color="auto"/>
            <w:bottom w:val="none" w:sz="0" w:space="0" w:color="auto"/>
            <w:right w:val="none" w:sz="0" w:space="0" w:color="auto"/>
          </w:divBdr>
        </w:div>
        <w:div w:id="1543245159">
          <w:marLeft w:val="0"/>
          <w:marRight w:val="0"/>
          <w:marTop w:val="0"/>
          <w:marBottom w:val="0"/>
          <w:divBdr>
            <w:top w:val="none" w:sz="0" w:space="0" w:color="auto"/>
            <w:left w:val="none" w:sz="0" w:space="0" w:color="auto"/>
            <w:bottom w:val="none" w:sz="0" w:space="0" w:color="auto"/>
            <w:right w:val="none" w:sz="0" w:space="0" w:color="auto"/>
          </w:divBdr>
        </w:div>
        <w:div w:id="1801219330">
          <w:marLeft w:val="0"/>
          <w:marRight w:val="0"/>
          <w:marTop w:val="0"/>
          <w:marBottom w:val="0"/>
          <w:divBdr>
            <w:top w:val="none" w:sz="0" w:space="0" w:color="auto"/>
            <w:left w:val="none" w:sz="0" w:space="0" w:color="auto"/>
            <w:bottom w:val="none" w:sz="0" w:space="0" w:color="auto"/>
            <w:right w:val="none" w:sz="0" w:space="0" w:color="auto"/>
          </w:divBdr>
        </w:div>
      </w:divsChild>
    </w:div>
    <w:div w:id="803887734">
      <w:bodyDiv w:val="1"/>
      <w:marLeft w:val="0"/>
      <w:marRight w:val="0"/>
      <w:marTop w:val="0"/>
      <w:marBottom w:val="0"/>
      <w:divBdr>
        <w:top w:val="none" w:sz="0" w:space="0" w:color="auto"/>
        <w:left w:val="none" w:sz="0" w:space="0" w:color="auto"/>
        <w:bottom w:val="none" w:sz="0" w:space="0" w:color="auto"/>
        <w:right w:val="none" w:sz="0" w:space="0" w:color="auto"/>
      </w:divBdr>
      <w:divsChild>
        <w:div w:id="809254207">
          <w:marLeft w:val="0"/>
          <w:marRight w:val="0"/>
          <w:marTop w:val="0"/>
          <w:marBottom w:val="0"/>
          <w:divBdr>
            <w:top w:val="none" w:sz="0" w:space="0" w:color="auto"/>
            <w:left w:val="none" w:sz="0" w:space="0" w:color="auto"/>
            <w:bottom w:val="none" w:sz="0" w:space="0" w:color="auto"/>
            <w:right w:val="none" w:sz="0" w:space="0" w:color="auto"/>
          </w:divBdr>
        </w:div>
        <w:div w:id="815268969">
          <w:marLeft w:val="0"/>
          <w:marRight w:val="0"/>
          <w:marTop w:val="0"/>
          <w:marBottom w:val="0"/>
          <w:divBdr>
            <w:top w:val="none" w:sz="0" w:space="0" w:color="auto"/>
            <w:left w:val="none" w:sz="0" w:space="0" w:color="auto"/>
            <w:bottom w:val="none" w:sz="0" w:space="0" w:color="auto"/>
            <w:right w:val="none" w:sz="0" w:space="0" w:color="auto"/>
          </w:divBdr>
        </w:div>
        <w:div w:id="1265841968">
          <w:marLeft w:val="0"/>
          <w:marRight w:val="0"/>
          <w:marTop w:val="0"/>
          <w:marBottom w:val="0"/>
          <w:divBdr>
            <w:top w:val="none" w:sz="0" w:space="0" w:color="auto"/>
            <w:left w:val="none" w:sz="0" w:space="0" w:color="auto"/>
            <w:bottom w:val="none" w:sz="0" w:space="0" w:color="auto"/>
            <w:right w:val="none" w:sz="0" w:space="0" w:color="auto"/>
          </w:divBdr>
        </w:div>
        <w:div w:id="1472404035">
          <w:marLeft w:val="0"/>
          <w:marRight w:val="0"/>
          <w:marTop w:val="0"/>
          <w:marBottom w:val="0"/>
          <w:divBdr>
            <w:top w:val="none" w:sz="0" w:space="0" w:color="auto"/>
            <w:left w:val="none" w:sz="0" w:space="0" w:color="auto"/>
            <w:bottom w:val="none" w:sz="0" w:space="0" w:color="auto"/>
            <w:right w:val="none" w:sz="0" w:space="0" w:color="auto"/>
          </w:divBdr>
        </w:div>
      </w:divsChild>
    </w:div>
    <w:div w:id="827400119">
      <w:bodyDiv w:val="1"/>
      <w:marLeft w:val="0"/>
      <w:marRight w:val="0"/>
      <w:marTop w:val="0"/>
      <w:marBottom w:val="0"/>
      <w:divBdr>
        <w:top w:val="none" w:sz="0" w:space="0" w:color="auto"/>
        <w:left w:val="none" w:sz="0" w:space="0" w:color="auto"/>
        <w:bottom w:val="none" w:sz="0" w:space="0" w:color="auto"/>
        <w:right w:val="none" w:sz="0" w:space="0" w:color="auto"/>
      </w:divBdr>
      <w:divsChild>
        <w:div w:id="583614310">
          <w:marLeft w:val="0"/>
          <w:marRight w:val="0"/>
          <w:marTop w:val="0"/>
          <w:marBottom w:val="0"/>
          <w:divBdr>
            <w:top w:val="none" w:sz="0" w:space="0" w:color="auto"/>
            <w:left w:val="none" w:sz="0" w:space="0" w:color="auto"/>
            <w:bottom w:val="none" w:sz="0" w:space="0" w:color="auto"/>
            <w:right w:val="none" w:sz="0" w:space="0" w:color="auto"/>
          </w:divBdr>
        </w:div>
        <w:div w:id="1723140278">
          <w:marLeft w:val="0"/>
          <w:marRight w:val="0"/>
          <w:marTop w:val="0"/>
          <w:marBottom w:val="0"/>
          <w:divBdr>
            <w:top w:val="none" w:sz="0" w:space="0" w:color="auto"/>
            <w:left w:val="none" w:sz="0" w:space="0" w:color="auto"/>
            <w:bottom w:val="none" w:sz="0" w:space="0" w:color="auto"/>
            <w:right w:val="none" w:sz="0" w:space="0" w:color="auto"/>
          </w:divBdr>
        </w:div>
        <w:div w:id="2012754406">
          <w:marLeft w:val="0"/>
          <w:marRight w:val="0"/>
          <w:marTop w:val="0"/>
          <w:marBottom w:val="0"/>
          <w:divBdr>
            <w:top w:val="none" w:sz="0" w:space="0" w:color="auto"/>
            <w:left w:val="none" w:sz="0" w:space="0" w:color="auto"/>
            <w:bottom w:val="none" w:sz="0" w:space="0" w:color="auto"/>
            <w:right w:val="none" w:sz="0" w:space="0" w:color="auto"/>
          </w:divBdr>
        </w:div>
        <w:div w:id="2029332730">
          <w:marLeft w:val="0"/>
          <w:marRight w:val="0"/>
          <w:marTop w:val="0"/>
          <w:marBottom w:val="0"/>
          <w:divBdr>
            <w:top w:val="none" w:sz="0" w:space="0" w:color="auto"/>
            <w:left w:val="none" w:sz="0" w:space="0" w:color="auto"/>
            <w:bottom w:val="none" w:sz="0" w:space="0" w:color="auto"/>
            <w:right w:val="none" w:sz="0" w:space="0" w:color="auto"/>
          </w:divBdr>
        </w:div>
      </w:divsChild>
    </w:div>
    <w:div w:id="873152994">
      <w:bodyDiv w:val="1"/>
      <w:marLeft w:val="0"/>
      <w:marRight w:val="0"/>
      <w:marTop w:val="0"/>
      <w:marBottom w:val="0"/>
      <w:divBdr>
        <w:top w:val="none" w:sz="0" w:space="0" w:color="auto"/>
        <w:left w:val="none" w:sz="0" w:space="0" w:color="auto"/>
        <w:bottom w:val="none" w:sz="0" w:space="0" w:color="auto"/>
        <w:right w:val="none" w:sz="0" w:space="0" w:color="auto"/>
      </w:divBdr>
    </w:div>
    <w:div w:id="892083900">
      <w:bodyDiv w:val="1"/>
      <w:marLeft w:val="0"/>
      <w:marRight w:val="0"/>
      <w:marTop w:val="0"/>
      <w:marBottom w:val="0"/>
      <w:divBdr>
        <w:top w:val="none" w:sz="0" w:space="0" w:color="auto"/>
        <w:left w:val="none" w:sz="0" w:space="0" w:color="auto"/>
        <w:bottom w:val="none" w:sz="0" w:space="0" w:color="auto"/>
        <w:right w:val="none" w:sz="0" w:space="0" w:color="auto"/>
      </w:divBdr>
      <w:divsChild>
        <w:div w:id="263467575">
          <w:marLeft w:val="0"/>
          <w:marRight w:val="0"/>
          <w:marTop w:val="0"/>
          <w:marBottom w:val="0"/>
          <w:divBdr>
            <w:top w:val="none" w:sz="0" w:space="0" w:color="auto"/>
            <w:left w:val="none" w:sz="0" w:space="0" w:color="auto"/>
            <w:bottom w:val="none" w:sz="0" w:space="0" w:color="auto"/>
            <w:right w:val="none" w:sz="0" w:space="0" w:color="auto"/>
          </w:divBdr>
        </w:div>
        <w:div w:id="300774450">
          <w:marLeft w:val="0"/>
          <w:marRight w:val="0"/>
          <w:marTop w:val="0"/>
          <w:marBottom w:val="0"/>
          <w:divBdr>
            <w:top w:val="none" w:sz="0" w:space="0" w:color="auto"/>
            <w:left w:val="none" w:sz="0" w:space="0" w:color="auto"/>
            <w:bottom w:val="none" w:sz="0" w:space="0" w:color="auto"/>
            <w:right w:val="none" w:sz="0" w:space="0" w:color="auto"/>
          </w:divBdr>
        </w:div>
        <w:div w:id="1005092597">
          <w:marLeft w:val="0"/>
          <w:marRight w:val="0"/>
          <w:marTop w:val="0"/>
          <w:marBottom w:val="0"/>
          <w:divBdr>
            <w:top w:val="none" w:sz="0" w:space="0" w:color="auto"/>
            <w:left w:val="none" w:sz="0" w:space="0" w:color="auto"/>
            <w:bottom w:val="none" w:sz="0" w:space="0" w:color="auto"/>
            <w:right w:val="none" w:sz="0" w:space="0" w:color="auto"/>
          </w:divBdr>
        </w:div>
        <w:div w:id="1432968432">
          <w:marLeft w:val="0"/>
          <w:marRight w:val="0"/>
          <w:marTop w:val="0"/>
          <w:marBottom w:val="0"/>
          <w:divBdr>
            <w:top w:val="none" w:sz="0" w:space="0" w:color="auto"/>
            <w:left w:val="none" w:sz="0" w:space="0" w:color="auto"/>
            <w:bottom w:val="none" w:sz="0" w:space="0" w:color="auto"/>
            <w:right w:val="none" w:sz="0" w:space="0" w:color="auto"/>
          </w:divBdr>
        </w:div>
      </w:divsChild>
    </w:div>
    <w:div w:id="898440733">
      <w:bodyDiv w:val="1"/>
      <w:marLeft w:val="0"/>
      <w:marRight w:val="0"/>
      <w:marTop w:val="0"/>
      <w:marBottom w:val="0"/>
      <w:divBdr>
        <w:top w:val="none" w:sz="0" w:space="0" w:color="auto"/>
        <w:left w:val="none" w:sz="0" w:space="0" w:color="auto"/>
        <w:bottom w:val="none" w:sz="0" w:space="0" w:color="auto"/>
        <w:right w:val="none" w:sz="0" w:space="0" w:color="auto"/>
      </w:divBdr>
      <w:divsChild>
        <w:div w:id="176651853">
          <w:marLeft w:val="0"/>
          <w:marRight w:val="0"/>
          <w:marTop w:val="0"/>
          <w:marBottom w:val="0"/>
          <w:divBdr>
            <w:top w:val="none" w:sz="0" w:space="0" w:color="auto"/>
            <w:left w:val="none" w:sz="0" w:space="0" w:color="auto"/>
            <w:bottom w:val="none" w:sz="0" w:space="0" w:color="auto"/>
            <w:right w:val="none" w:sz="0" w:space="0" w:color="auto"/>
          </w:divBdr>
        </w:div>
        <w:div w:id="282884101">
          <w:marLeft w:val="0"/>
          <w:marRight w:val="0"/>
          <w:marTop w:val="0"/>
          <w:marBottom w:val="0"/>
          <w:divBdr>
            <w:top w:val="none" w:sz="0" w:space="0" w:color="auto"/>
            <w:left w:val="none" w:sz="0" w:space="0" w:color="auto"/>
            <w:bottom w:val="none" w:sz="0" w:space="0" w:color="auto"/>
            <w:right w:val="none" w:sz="0" w:space="0" w:color="auto"/>
          </w:divBdr>
        </w:div>
        <w:div w:id="772290025">
          <w:marLeft w:val="0"/>
          <w:marRight w:val="0"/>
          <w:marTop w:val="0"/>
          <w:marBottom w:val="0"/>
          <w:divBdr>
            <w:top w:val="none" w:sz="0" w:space="0" w:color="auto"/>
            <w:left w:val="none" w:sz="0" w:space="0" w:color="auto"/>
            <w:bottom w:val="none" w:sz="0" w:space="0" w:color="auto"/>
            <w:right w:val="none" w:sz="0" w:space="0" w:color="auto"/>
          </w:divBdr>
        </w:div>
        <w:div w:id="1155145372">
          <w:marLeft w:val="0"/>
          <w:marRight w:val="0"/>
          <w:marTop w:val="0"/>
          <w:marBottom w:val="0"/>
          <w:divBdr>
            <w:top w:val="none" w:sz="0" w:space="0" w:color="auto"/>
            <w:left w:val="none" w:sz="0" w:space="0" w:color="auto"/>
            <w:bottom w:val="none" w:sz="0" w:space="0" w:color="auto"/>
            <w:right w:val="none" w:sz="0" w:space="0" w:color="auto"/>
          </w:divBdr>
        </w:div>
        <w:div w:id="1635326461">
          <w:marLeft w:val="0"/>
          <w:marRight w:val="0"/>
          <w:marTop w:val="0"/>
          <w:marBottom w:val="0"/>
          <w:divBdr>
            <w:top w:val="none" w:sz="0" w:space="0" w:color="auto"/>
            <w:left w:val="none" w:sz="0" w:space="0" w:color="auto"/>
            <w:bottom w:val="none" w:sz="0" w:space="0" w:color="auto"/>
            <w:right w:val="none" w:sz="0" w:space="0" w:color="auto"/>
          </w:divBdr>
        </w:div>
        <w:div w:id="1739091040">
          <w:marLeft w:val="0"/>
          <w:marRight w:val="0"/>
          <w:marTop w:val="0"/>
          <w:marBottom w:val="0"/>
          <w:divBdr>
            <w:top w:val="none" w:sz="0" w:space="0" w:color="auto"/>
            <w:left w:val="none" w:sz="0" w:space="0" w:color="auto"/>
            <w:bottom w:val="none" w:sz="0" w:space="0" w:color="auto"/>
            <w:right w:val="none" w:sz="0" w:space="0" w:color="auto"/>
          </w:divBdr>
        </w:div>
        <w:div w:id="1771732417">
          <w:marLeft w:val="0"/>
          <w:marRight w:val="0"/>
          <w:marTop w:val="0"/>
          <w:marBottom w:val="0"/>
          <w:divBdr>
            <w:top w:val="none" w:sz="0" w:space="0" w:color="auto"/>
            <w:left w:val="none" w:sz="0" w:space="0" w:color="auto"/>
            <w:bottom w:val="none" w:sz="0" w:space="0" w:color="auto"/>
            <w:right w:val="none" w:sz="0" w:space="0" w:color="auto"/>
          </w:divBdr>
        </w:div>
        <w:div w:id="1997881141">
          <w:marLeft w:val="0"/>
          <w:marRight w:val="0"/>
          <w:marTop w:val="0"/>
          <w:marBottom w:val="0"/>
          <w:divBdr>
            <w:top w:val="none" w:sz="0" w:space="0" w:color="auto"/>
            <w:left w:val="none" w:sz="0" w:space="0" w:color="auto"/>
            <w:bottom w:val="none" w:sz="0" w:space="0" w:color="auto"/>
            <w:right w:val="none" w:sz="0" w:space="0" w:color="auto"/>
          </w:divBdr>
        </w:div>
        <w:div w:id="2015261158">
          <w:marLeft w:val="0"/>
          <w:marRight w:val="0"/>
          <w:marTop w:val="0"/>
          <w:marBottom w:val="0"/>
          <w:divBdr>
            <w:top w:val="none" w:sz="0" w:space="0" w:color="auto"/>
            <w:left w:val="none" w:sz="0" w:space="0" w:color="auto"/>
            <w:bottom w:val="none" w:sz="0" w:space="0" w:color="auto"/>
            <w:right w:val="none" w:sz="0" w:space="0" w:color="auto"/>
          </w:divBdr>
        </w:div>
      </w:divsChild>
    </w:div>
    <w:div w:id="908270554">
      <w:bodyDiv w:val="1"/>
      <w:marLeft w:val="0"/>
      <w:marRight w:val="0"/>
      <w:marTop w:val="0"/>
      <w:marBottom w:val="0"/>
      <w:divBdr>
        <w:top w:val="none" w:sz="0" w:space="0" w:color="auto"/>
        <w:left w:val="none" w:sz="0" w:space="0" w:color="auto"/>
        <w:bottom w:val="none" w:sz="0" w:space="0" w:color="auto"/>
        <w:right w:val="none" w:sz="0" w:space="0" w:color="auto"/>
      </w:divBdr>
      <w:divsChild>
        <w:div w:id="202866006">
          <w:marLeft w:val="0"/>
          <w:marRight w:val="0"/>
          <w:marTop w:val="0"/>
          <w:marBottom w:val="0"/>
          <w:divBdr>
            <w:top w:val="none" w:sz="0" w:space="0" w:color="auto"/>
            <w:left w:val="none" w:sz="0" w:space="0" w:color="auto"/>
            <w:bottom w:val="none" w:sz="0" w:space="0" w:color="auto"/>
            <w:right w:val="none" w:sz="0" w:space="0" w:color="auto"/>
          </w:divBdr>
        </w:div>
        <w:div w:id="646321219">
          <w:marLeft w:val="0"/>
          <w:marRight w:val="0"/>
          <w:marTop w:val="0"/>
          <w:marBottom w:val="0"/>
          <w:divBdr>
            <w:top w:val="none" w:sz="0" w:space="0" w:color="auto"/>
            <w:left w:val="none" w:sz="0" w:space="0" w:color="auto"/>
            <w:bottom w:val="none" w:sz="0" w:space="0" w:color="auto"/>
            <w:right w:val="none" w:sz="0" w:space="0" w:color="auto"/>
          </w:divBdr>
        </w:div>
        <w:div w:id="866678777">
          <w:marLeft w:val="0"/>
          <w:marRight w:val="0"/>
          <w:marTop w:val="0"/>
          <w:marBottom w:val="0"/>
          <w:divBdr>
            <w:top w:val="none" w:sz="0" w:space="0" w:color="auto"/>
            <w:left w:val="none" w:sz="0" w:space="0" w:color="auto"/>
            <w:bottom w:val="none" w:sz="0" w:space="0" w:color="auto"/>
            <w:right w:val="none" w:sz="0" w:space="0" w:color="auto"/>
          </w:divBdr>
        </w:div>
        <w:div w:id="985277996">
          <w:marLeft w:val="0"/>
          <w:marRight w:val="0"/>
          <w:marTop w:val="0"/>
          <w:marBottom w:val="0"/>
          <w:divBdr>
            <w:top w:val="none" w:sz="0" w:space="0" w:color="auto"/>
            <w:left w:val="none" w:sz="0" w:space="0" w:color="auto"/>
            <w:bottom w:val="none" w:sz="0" w:space="0" w:color="auto"/>
            <w:right w:val="none" w:sz="0" w:space="0" w:color="auto"/>
          </w:divBdr>
        </w:div>
        <w:div w:id="1233345640">
          <w:marLeft w:val="0"/>
          <w:marRight w:val="0"/>
          <w:marTop w:val="0"/>
          <w:marBottom w:val="0"/>
          <w:divBdr>
            <w:top w:val="none" w:sz="0" w:space="0" w:color="auto"/>
            <w:left w:val="none" w:sz="0" w:space="0" w:color="auto"/>
            <w:bottom w:val="none" w:sz="0" w:space="0" w:color="auto"/>
            <w:right w:val="none" w:sz="0" w:space="0" w:color="auto"/>
          </w:divBdr>
        </w:div>
        <w:div w:id="1859810281">
          <w:marLeft w:val="0"/>
          <w:marRight w:val="0"/>
          <w:marTop w:val="0"/>
          <w:marBottom w:val="0"/>
          <w:divBdr>
            <w:top w:val="none" w:sz="0" w:space="0" w:color="auto"/>
            <w:left w:val="none" w:sz="0" w:space="0" w:color="auto"/>
            <w:bottom w:val="none" w:sz="0" w:space="0" w:color="auto"/>
            <w:right w:val="none" w:sz="0" w:space="0" w:color="auto"/>
          </w:divBdr>
        </w:div>
        <w:div w:id="2019573459">
          <w:marLeft w:val="0"/>
          <w:marRight w:val="0"/>
          <w:marTop w:val="0"/>
          <w:marBottom w:val="0"/>
          <w:divBdr>
            <w:top w:val="none" w:sz="0" w:space="0" w:color="auto"/>
            <w:left w:val="none" w:sz="0" w:space="0" w:color="auto"/>
            <w:bottom w:val="none" w:sz="0" w:space="0" w:color="auto"/>
            <w:right w:val="none" w:sz="0" w:space="0" w:color="auto"/>
          </w:divBdr>
        </w:div>
        <w:div w:id="2088453132">
          <w:marLeft w:val="0"/>
          <w:marRight w:val="0"/>
          <w:marTop w:val="0"/>
          <w:marBottom w:val="0"/>
          <w:divBdr>
            <w:top w:val="none" w:sz="0" w:space="0" w:color="auto"/>
            <w:left w:val="none" w:sz="0" w:space="0" w:color="auto"/>
            <w:bottom w:val="none" w:sz="0" w:space="0" w:color="auto"/>
            <w:right w:val="none" w:sz="0" w:space="0" w:color="auto"/>
          </w:divBdr>
        </w:div>
      </w:divsChild>
    </w:div>
    <w:div w:id="914053526">
      <w:bodyDiv w:val="1"/>
      <w:marLeft w:val="0"/>
      <w:marRight w:val="0"/>
      <w:marTop w:val="0"/>
      <w:marBottom w:val="0"/>
      <w:divBdr>
        <w:top w:val="none" w:sz="0" w:space="0" w:color="auto"/>
        <w:left w:val="none" w:sz="0" w:space="0" w:color="auto"/>
        <w:bottom w:val="none" w:sz="0" w:space="0" w:color="auto"/>
        <w:right w:val="none" w:sz="0" w:space="0" w:color="auto"/>
      </w:divBdr>
    </w:div>
    <w:div w:id="945893946">
      <w:bodyDiv w:val="1"/>
      <w:marLeft w:val="0"/>
      <w:marRight w:val="0"/>
      <w:marTop w:val="0"/>
      <w:marBottom w:val="0"/>
      <w:divBdr>
        <w:top w:val="none" w:sz="0" w:space="0" w:color="auto"/>
        <w:left w:val="none" w:sz="0" w:space="0" w:color="auto"/>
        <w:bottom w:val="none" w:sz="0" w:space="0" w:color="auto"/>
        <w:right w:val="none" w:sz="0" w:space="0" w:color="auto"/>
      </w:divBdr>
      <w:divsChild>
        <w:div w:id="314913525">
          <w:marLeft w:val="0"/>
          <w:marRight w:val="0"/>
          <w:marTop w:val="0"/>
          <w:marBottom w:val="0"/>
          <w:divBdr>
            <w:top w:val="none" w:sz="0" w:space="0" w:color="auto"/>
            <w:left w:val="none" w:sz="0" w:space="0" w:color="auto"/>
            <w:bottom w:val="none" w:sz="0" w:space="0" w:color="auto"/>
            <w:right w:val="none" w:sz="0" w:space="0" w:color="auto"/>
          </w:divBdr>
        </w:div>
        <w:div w:id="661659149">
          <w:marLeft w:val="0"/>
          <w:marRight w:val="0"/>
          <w:marTop w:val="0"/>
          <w:marBottom w:val="0"/>
          <w:divBdr>
            <w:top w:val="none" w:sz="0" w:space="0" w:color="auto"/>
            <w:left w:val="none" w:sz="0" w:space="0" w:color="auto"/>
            <w:bottom w:val="none" w:sz="0" w:space="0" w:color="auto"/>
            <w:right w:val="none" w:sz="0" w:space="0" w:color="auto"/>
          </w:divBdr>
        </w:div>
        <w:div w:id="779836487">
          <w:marLeft w:val="0"/>
          <w:marRight w:val="0"/>
          <w:marTop w:val="0"/>
          <w:marBottom w:val="0"/>
          <w:divBdr>
            <w:top w:val="none" w:sz="0" w:space="0" w:color="auto"/>
            <w:left w:val="none" w:sz="0" w:space="0" w:color="auto"/>
            <w:bottom w:val="none" w:sz="0" w:space="0" w:color="auto"/>
            <w:right w:val="none" w:sz="0" w:space="0" w:color="auto"/>
          </w:divBdr>
        </w:div>
        <w:div w:id="1630937445">
          <w:marLeft w:val="0"/>
          <w:marRight w:val="0"/>
          <w:marTop w:val="0"/>
          <w:marBottom w:val="0"/>
          <w:divBdr>
            <w:top w:val="none" w:sz="0" w:space="0" w:color="auto"/>
            <w:left w:val="none" w:sz="0" w:space="0" w:color="auto"/>
            <w:bottom w:val="none" w:sz="0" w:space="0" w:color="auto"/>
            <w:right w:val="none" w:sz="0" w:space="0" w:color="auto"/>
          </w:divBdr>
        </w:div>
        <w:div w:id="1945796177">
          <w:marLeft w:val="0"/>
          <w:marRight w:val="0"/>
          <w:marTop w:val="0"/>
          <w:marBottom w:val="0"/>
          <w:divBdr>
            <w:top w:val="none" w:sz="0" w:space="0" w:color="auto"/>
            <w:left w:val="none" w:sz="0" w:space="0" w:color="auto"/>
            <w:bottom w:val="none" w:sz="0" w:space="0" w:color="auto"/>
            <w:right w:val="none" w:sz="0" w:space="0" w:color="auto"/>
          </w:divBdr>
        </w:div>
      </w:divsChild>
    </w:div>
    <w:div w:id="971600292">
      <w:bodyDiv w:val="1"/>
      <w:marLeft w:val="0"/>
      <w:marRight w:val="0"/>
      <w:marTop w:val="0"/>
      <w:marBottom w:val="0"/>
      <w:divBdr>
        <w:top w:val="none" w:sz="0" w:space="0" w:color="auto"/>
        <w:left w:val="none" w:sz="0" w:space="0" w:color="auto"/>
        <w:bottom w:val="none" w:sz="0" w:space="0" w:color="auto"/>
        <w:right w:val="none" w:sz="0" w:space="0" w:color="auto"/>
      </w:divBdr>
    </w:div>
    <w:div w:id="984311314">
      <w:bodyDiv w:val="1"/>
      <w:marLeft w:val="0"/>
      <w:marRight w:val="0"/>
      <w:marTop w:val="0"/>
      <w:marBottom w:val="0"/>
      <w:divBdr>
        <w:top w:val="none" w:sz="0" w:space="0" w:color="auto"/>
        <w:left w:val="none" w:sz="0" w:space="0" w:color="auto"/>
        <w:bottom w:val="none" w:sz="0" w:space="0" w:color="auto"/>
        <w:right w:val="none" w:sz="0" w:space="0" w:color="auto"/>
      </w:divBdr>
    </w:div>
    <w:div w:id="1084298214">
      <w:bodyDiv w:val="1"/>
      <w:marLeft w:val="0"/>
      <w:marRight w:val="0"/>
      <w:marTop w:val="0"/>
      <w:marBottom w:val="0"/>
      <w:divBdr>
        <w:top w:val="none" w:sz="0" w:space="0" w:color="auto"/>
        <w:left w:val="none" w:sz="0" w:space="0" w:color="auto"/>
        <w:bottom w:val="none" w:sz="0" w:space="0" w:color="auto"/>
        <w:right w:val="none" w:sz="0" w:space="0" w:color="auto"/>
      </w:divBdr>
      <w:divsChild>
        <w:div w:id="717239661">
          <w:marLeft w:val="0"/>
          <w:marRight w:val="0"/>
          <w:marTop w:val="0"/>
          <w:marBottom w:val="0"/>
          <w:divBdr>
            <w:top w:val="none" w:sz="0" w:space="0" w:color="auto"/>
            <w:left w:val="none" w:sz="0" w:space="0" w:color="auto"/>
            <w:bottom w:val="none" w:sz="0" w:space="0" w:color="auto"/>
            <w:right w:val="none" w:sz="0" w:space="0" w:color="auto"/>
          </w:divBdr>
        </w:div>
        <w:div w:id="1091587523">
          <w:marLeft w:val="0"/>
          <w:marRight w:val="0"/>
          <w:marTop w:val="0"/>
          <w:marBottom w:val="0"/>
          <w:divBdr>
            <w:top w:val="none" w:sz="0" w:space="0" w:color="auto"/>
            <w:left w:val="none" w:sz="0" w:space="0" w:color="auto"/>
            <w:bottom w:val="none" w:sz="0" w:space="0" w:color="auto"/>
            <w:right w:val="none" w:sz="0" w:space="0" w:color="auto"/>
          </w:divBdr>
        </w:div>
      </w:divsChild>
    </w:div>
    <w:div w:id="1153253674">
      <w:bodyDiv w:val="1"/>
      <w:marLeft w:val="0"/>
      <w:marRight w:val="0"/>
      <w:marTop w:val="0"/>
      <w:marBottom w:val="0"/>
      <w:divBdr>
        <w:top w:val="none" w:sz="0" w:space="0" w:color="auto"/>
        <w:left w:val="none" w:sz="0" w:space="0" w:color="auto"/>
        <w:bottom w:val="none" w:sz="0" w:space="0" w:color="auto"/>
        <w:right w:val="none" w:sz="0" w:space="0" w:color="auto"/>
      </w:divBdr>
      <w:divsChild>
        <w:div w:id="7799909">
          <w:marLeft w:val="0"/>
          <w:marRight w:val="0"/>
          <w:marTop w:val="0"/>
          <w:marBottom w:val="0"/>
          <w:divBdr>
            <w:top w:val="none" w:sz="0" w:space="0" w:color="auto"/>
            <w:left w:val="none" w:sz="0" w:space="0" w:color="auto"/>
            <w:bottom w:val="none" w:sz="0" w:space="0" w:color="auto"/>
            <w:right w:val="none" w:sz="0" w:space="0" w:color="auto"/>
          </w:divBdr>
        </w:div>
        <w:div w:id="188496895">
          <w:marLeft w:val="0"/>
          <w:marRight w:val="0"/>
          <w:marTop w:val="0"/>
          <w:marBottom w:val="0"/>
          <w:divBdr>
            <w:top w:val="none" w:sz="0" w:space="0" w:color="auto"/>
            <w:left w:val="none" w:sz="0" w:space="0" w:color="auto"/>
            <w:bottom w:val="none" w:sz="0" w:space="0" w:color="auto"/>
            <w:right w:val="none" w:sz="0" w:space="0" w:color="auto"/>
          </w:divBdr>
        </w:div>
        <w:div w:id="361251224">
          <w:marLeft w:val="0"/>
          <w:marRight w:val="0"/>
          <w:marTop w:val="0"/>
          <w:marBottom w:val="0"/>
          <w:divBdr>
            <w:top w:val="none" w:sz="0" w:space="0" w:color="auto"/>
            <w:left w:val="none" w:sz="0" w:space="0" w:color="auto"/>
            <w:bottom w:val="none" w:sz="0" w:space="0" w:color="auto"/>
            <w:right w:val="none" w:sz="0" w:space="0" w:color="auto"/>
          </w:divBdr>
        </w:div>
        <w:div w:id="389227258">
          <w:marLeft w:val="0"/>
          <w:marRight w:val="0"/>
          <w:marTop w:val="0"/>
          <w:marBottom w:val="0"/>
          <w:divBdr>
            <w:top w:val="none" w:sz="0" w:space="0" w:color="auto"/>
            <w:left w:val="none" w:sz="0" w:space="0" w:color="auto"/>
            <w:bottom w:val="none" w:sz="0" w:space="0" w:color="auto"/>
            <w:right w:val="none" w:sz="0" w:space="0" w:color="auto"/>
          </w:divBdr>
        </w:div>
        <w:div w:id="402684882">
          <w:marLeft w:val="0"/>
          <w:marRight w:val="0"/>
          <w:marTop w:val="0"/>
          <w:marBottom w:val="0"/>
          <w:divBdr>
            <w:top w:val="none" w:sz="0" w:space="0" w:color="auto"/>
            <w:left w:val="none" w:sz="0" w:space="0" w:color="auto"/>
            <w:bottom w:val="none" w:sz="0" w:space="0" w:color="auto"/>
            <w:right w:val="none" w:sz="0" w:space="0" w:color="auto"/>
          </w:divBdr>
        </w:div>
        <w:div w:id="496844975">
          <w:marLeft w:val="0"/>
          <w:marRight w:val="0"/>
          <w:marTop w:val="0"/>
          <w:marBottom w:val="0"/>
          <w:divBdr>
            <w:top w:val="none" w:sz="0" w:space="0" w:color="auto"/>
            <w:left w:val="none" w:sz="0" w:space="0" w:color="auto"/>
            <w:bottom w:val="none" w:sz="0" w:space="0" w:color="auto"/>
            <w:right w:val="none" w:sz="0" w:space="0" w:color="auto"/>
          </w:divBdr>
        </w:div>
        <w:div w:id="570653613">
          <w:marLeft w:val="0"/>
          <w:marRight w:val="0"/>
          <w:marTop w:val="0"/>
          <w:marBottom w:val="0"/>
          <w:divBdr>
            <w:top w:val="none" w:sz="0" w:space="0" w:color="auto"/>
            <w:left w:val="none" w:sz="0" w:space="0" w:color="auto"/>
            <w:bottom w:val="none" w:sz="0" w:space="0" w:color="auto"/>
            <w:right w:val="none" w:sz="0" w:space="0" w:color="auto"/>
          </w:divBdr>
        </w:div>
        <w:div w:id="609506586">
          <w:marLeft w:val="0"/>
          <w:marRight w:val="0"/>
          <w:marTop w:val="0"/>
          <w:marBottom w:val="0"/>
          <w:divBdr>
            <w:top w:val="none" w:sz="0" w:space="0" w:color="auto"/>
            <w:left w:val="none" w:sz="0" w:space="0" w:color="auto"/>
            <w:bottom w:val="none" w:sz="0" w:space="0" w:color="auto"/>
            <w:right w:val="none" w:sz="0" w:space="0" w:color="auto"/>
          </w:divBdr>
        </w:div>
        <w:div w:id="672682702">
          <w:marLeft w:val="0"/>
          <w:marRight w:val="0"/>
          <w:marTop w:val="0"/>
          <w:marBottom w:val="0"/>
          <w:divBdr>
            <w:top w:val="none" w:sz="0" w:space="0" w:color="auto"/>
            <w:left w:val="none" w:sz="0" w:space="0" w:color="auto"/>
            <w:bottom w:val="none" w:sz="0" w:space="0" w:color="auto"/>
            <w:right w:val="none" w:sz="0" w:space="0" w:color="auto"/>
          </w:divBdr>
        </w:div>
        <w:div w:id="697657966">
          <w:marLeft w:val="0"/>
          <w:marRight w:val="0"/>
          <w:marTop w:val="0"/>
          <w:marBottom w:val="0"/>
          <w:divBdr>
            <w:top w:val="none" w:sz="0" w:space="0" w:color="auto"/>
            <w:left w:val="none" w:sz="0" w:space="0" w:color="auto"/>
            <w:bottom w:val="none" w:sz="0" w:space="0" w:color="auto"/>
            <w:right w:val="none" w:sz="0" w:space="0" w:color="auto"/>
          </w:divBdr>
        </w:div>
        <w:div w:id="828864814">
          <w:marLeft w:val="0"/>
          <w:marRight w:val="0"/>
          <w:marTop w:val="0"/>
          <w:marBottom w:val="0"/>
          <w:divBdr>
            <w:top w:val="none" w:sz="0" w:space="0" w:color="auto"/>
            <w:left w:val="none" w:sz="0" w:space="0" w:color="auto"/>
            <w:bottom w:val="none" w:sz="0" w:space="0" w:color="auto"/>
            <w:right w:val="none" w:sz="0" w:space="0" w:color="auto"/>
          </w:divBdr>
        </w:div>
        <w:div w:id="914048564">
          <w:marLeft w:val="0"/>
          <w:marRight w:val="0"/>
          <w:marTop w:val="0"/>
          <w:marBottom w:val="0"/>
          <w:divBdr>
            <w:top w:val="none" w:sz="0" w:space="0" w:color="auto"/>
            <w:left w:val="none" w:sz="0" w:space="0" w:color="auto"/>
            <w:bottom w:val="none" w:sz="0" w:space="0" w:color="auto"/>
            <w:right w:val="none" w:sz="0" w:space="0" w:color="auto"/>
          </w:divBdr>
        </w:div>
        <w:div w:id="1028025172">
          <w:marLeft w:val="0"/>
          <w:marRight w:val="0"/>
          <w:marTop w:val="0"/>
          <w:marBottom w:val="0"/>
          <w:divBdr>
            <w:top w:val="none" w:sz="0" w:space="0" w:color="auto"/>
            <w:left w:val="none" w:sz="0" w:space="0" w:color="auto"/>
            <w:bottom w:val="none" w:sz="0" w:space="0" w:color="auto"/>
            <w:right w:val="none" w:sz="0" w:space="0" w:color="auto"/>
          </w:divBdr>
        </w:div>
        <w:div w:id="1161314590">
          <w:marLeft w:val="0"/>
          <w:marRight w:val="0"/>
          <w:marTop w:val="0"/>
          <w:marBottom w:val="0"/>
          <w:divBdr>
            <w:top w:val="none" w:sz="0" w:space="0" w:color="auto"/>
            <w:left w:val="none" w:sz="0" w:space="0" w:color="auto"/>
            <w:bottom w:val="none" w:sz="0" w:space="0" w:color="auto"/>
            <w:right w:val="none" w:sz="0" w:space="0" w:color="auto"/>
          </w:divBdr>
        </w:div>
        <w:div w:id="1339043806">
          <w:marLeft w:val="0"/>
          <w:marRight w:val="0"/>
          <w:marTop w:val="0"/>
          <w:marBottom w:val="0"/>
          <w:divBdr>
            <w:top w:val="none" w:sz="0" w:space="0" w:color="auto"/>
            <w:left w:val="none" w:sz="0" w:space="0" w:color="auto"/>
            <w:bottom w:val="none" w:sz="0" w:space="0" w:color="auto"/>
            <w:right w:val="none" w:sz="0" w:space="0" w:color="auto"/>
          </w:divBdr>
        </w:div>
        <w:div w:id="1534730857">
          <w:marLeft w:val="0"/>
          <w:marRight w:val="0"/>
          <w:marTop w:val="0"/>
          <w:marBottom w:val="0"/>
          <w:divBdr>
            <w:top w:val="none" w:sz="0" w:space="0" w:color="auto"/>
            <w:left w:val="none" w:sz="0" w:space="0" w:color="auto"/>
            <w:bottom w:val="none" w:sz="0" w:space="0" w:color="auto"/>
            <w:right w:val="none" w:sz="0" w:space="0" w:color="auto"/>
          </w:divBdr>
        </w:div>
        <w:div w:id="1618025811">
          <w:marLeft w:val="0"/>
          <w:marRight w:val="0"/>
          <w:marTop w:val="0"/>
          <w:marBottom w:val="0"/>
          <w:divBdr>
            <w:top w:val="none" w:sz="0" w:space="0" w:color="auto"/>
            <w:left w:val="none" w:sz="0" w:space="0" w:color="auto"/>
            <w:bottom w:val="none" w:sz="0" w:space="0" w:color="auto"/>
            <w:right w:val="none" w:sz="0" w:space="0" w:color="auto"/>
          </w:divBdr>
        </w:div>
        <w:div w:id="1654408294">
          <w:marLeft w:val="0"/>
          <w:marRight w:val="0"/>
          <w:marTop w:val="0"/>
          <w:marBottom w:val="0"/>
          <w:divBdr>
            <w:top w:val="none" w:sz="0" w:space="0" w:color="auto"/>
            <w:left w:val="none" w:sz="0" w:space="0" w:color="auto"/>
            <w:bottom w:val="none" w:sz="0" w:space="0" w:color="auto"/>
            <w:right w:val="none" w:sz="0" w:space="0" w:color="auto"/>
          </w:divBdr>
        </w:div>
        <w:div w:id="1721321207">
          <w:marLeft w:val="0"/>
          <w:marRight w:val="0"/>
          <w:marTop w:val="0"/>
          <w:marBottom w:val="0"/>
          <w:divBdr>
            <w:top w:val="none" w:sz="0" w:space="0" w:color="auto"/>
            <w:left w:val="none" w:sz="0" w:space="0" w:color="auto"/>
            <w:bottom w:val="none" w:sz="0" w:space="0" w:color="auto"/>
            <w:right w:val="none" w:sz="0" w:space="0" w:color="auto"/>
          </w:divBdr>
        </w:div>
        <w:div w:id="1833329453">
          <w:marLeft w:val="0"/>
          <w:marRight w:val="0"/>
          <w:marTop w:val="0"/>
          <w:marBottom w:val="0"/>
          <w:divBdr>
            <w:top w:val="none" w:sz="0" w:space="0" w:color="auto"/>
            <w:left w:val="none" w:sz="0" w:space="0" w:color="auto"/>
            <w:bottom w:val="none" w:sz="0" w:space="0" w:color="auto"/>
            <w:right w:val="none" w:sz="0" w:space="0" w:color="auto"/>
          </w:divBdr>
        </w:div>
        <w:div w:id="1925020356">
          <w:marLeft w:val="0"/>
          <w:marRight w:val="0"/>
          <w:marTop w:val="0"/>
          <w:marBottom w:val="0"/>
          <w:divBdr>
            <w:top w:val="none" w:sz="0" w:space="0" w:color="auto"/>
            <w:left w:val="none" w:sz="0" w:space="0" w:color="auto"/>
            <w:bottom w:val="none" w:sz="0" w:space="0" w:color="auto"/>
            <w:right w:val="none" w:sz="0" w:space="0" w:color="auto"/>
          </w:divBdr>
        </w:div>
        <w:div w:id="2126075611">
          <w:marLeft w:val="0"/>
          <w:marRight w:val="0"/>
          <w:marTop w:val="0"/>
          <w:marBottom w:val="0"/>
          <w:divBdr>
            <w:top w:val="none" w:sz="0" w:space="0" w:color="auto"/>
            <w:left w:val="none" w:sz="0" w:space="0" w:color="auto"/>
            <w:bottom w:val="none" w:sz="0" w:space="0" w:color="auto"/>
            <w:right w:val="none" w:sz="0" w:space="0" w:color="auto"/>
          </w:divBdr>
        </w:div>
      </w:divsChild>
    </w:div>
    <w:div w:id="1209149478">
      <w:bodyDiv w:val="1"/>
      <w:marLeft w:val="0"/>
      <w:marRight w:val="0"/>
      <w:marTop w:val="0"/>
      <w:marBottom w:val="0"/>
      <w:divBdr>
        <w:top w:val="none" w:sz="0" w:space="0" w:color="auto"/>
        <w:left w:val="none" w:sz="0" w:space="0" w:color="auto"/>
        <w:bottom w:val="none" w:sz="0" w:space="0" w:color="auto"/>
        <w:right w:val="none" w:sz="0" w:space="0" w:color="auto"/>
      </w:divBdr>
    </w:div>
    <w:div w:id="1326937188">
      <w:bodyDiv w:val="1"/>
      <w:marLeft w:val="0"/>
      <w:marRight w:val="0"/>
      <w:marTop w:val="0"/>
      <w:marBottom w:val="0"/>
      <w:divBdr>
        <w:top w:val="none" w:sz="0" w:space="0" w:color="auto"/>
        <w:left w:val="none" w:sz="0" w:space="0" w:color="auto"/>
        <w:bottom w:val="none" w:sz="0" w:space="0" w:color="auto"/>
        <w:right w:val="none" w:sz="0" w:space="0" w:color="auto"/>
      </w:divBdr>
      <w:divsChild>
        <w:div w:id="57169563">
          <w:marLeft w:val="0"/>
          <w:marRight w:val="0"/>
          <w:marTop w:val="0"/>
          <w:marBottom w:val="0"/>
          <w:divBdr>
            <w:top w:val="none" w:sz="0" w:space="0" w:color="auto"/>
            <w:left w:val="none" w:sz="0" w:space="0" w:color="auto"/>
            <w:bottom w:val="none" w:sz="0" w:space="0" w:color="auto"/>
            <w:right w:val="none" w:sz="0" w:space="0" w:color="auto"/>
          </w:divBdr>
        </w:div>
        <w:div w:id="156962595">
          <w:marLeft w:val="0"/>
          <w:marRight w:val="0"/>
          <w:marTop w:val="0"/>
          <w:marBottom w:val="0"/>
          <w:divBdr>
            <w:top w:val="none" w:sz="0" w:space="0" w:color="auto"/>
            <w:left w:val="none" w:sz="0" w:space="0" w:color="auto"/>
            <w:bottom w:val="none" w:sz="0" w:space="0" w:color="auto"/>
            <w:right w:val="none" w:sz="0" w:space="0" w:color="auto"/>
          </w:divBdr>
        </w:div>
        <w:div w:id="1004355277">
          <w:marLeft w:val="0"/>
          <w:marRight w:val="0"/>
          <w:marTop w:val="0"/>
          <w:marBottom w:val="0"/>
          <w:divBdr>
            <w:top w:val="none" w:sz="0" w:space="0" w:color="auto"/>
            <w:left w:val="none" w:sz="0" w:space="0" w:color="auto"/>
            <w:bottom w:val="none" w:sz="0" w:space="0" w:color="auto"/>
            <w:right w:val="none" w:sz="0" w:space="0" w:color="auto"/>
          </w:divBdr>
        </w:div>
        <w:div w:id="1037704463">
          <w:marLeft w:val="0"/>
          <w:marRight w:val="0"/>
          <w:marTop w:val="0"/>
          <w:marBottom w:val="0"/>
          <w:divBdr>
            <w:top w:val="none" w:sz="0" w:space="0" w:color="auto"/>
            <w:left w:val="none" w:sz="0" w:space="0" w:color="auto"/>
            <w:bottom w:val="none" w:sz="0" w:space="0" w:color="auto"/>
            <w:right w:val="none" w:sz="0" w:space="0" w:color="auto"/>
          </w:divBdr>
        </w:div>
        <w:div w:id="1203908036">
          <w:marLeft w:val="0"/>
          <w:marRight w:val="0"/>
          <w:marTop w:val="0"/>
          <w:marBottom w:val="0"/>
          <w:divBdr>
            <w:top w:val="none" w:sz="0" w:space="0" w:color="auto"/>
            <w:left w:val="none" w:sz="0" w:space="0" w:color="auto"/>
            <w:bottom w:val="none" w:sz="0" w:space="0" w:color="auto"/>
            <w:right w:val="none" w:sz="0" w:space="0" w:color="auto"/>
          </w:divBdr>
        </w:div>
        <w:div w:id="1216548473">
          <w:marLeft w:val="0"/>
          <w:marRight w:val="0"/>
          <w:marTop w:val="0"/>
          <w:marBottom w:val="0"/>
          <w:divBdr>
            <w:top w:val="none" w:sz="0" w:space="0" w:color="auto"/>
            <w:left w:val="none" w:sz="0" w:space="0" w:color="auto"/>
            <w:bottom w:val="none" w:sz="0" w:space="0" w:color="auto"/>
            <w:right w:val="none" w:sz="0" w:space="0" w:color="auto"/>
          </w:divBdr>
        </w:div>
        <w:div w:id="1307511730">
          <w:marLeft w:val="0"/>
          <w:marRight w:val="0"/>
          <w:marTop w:val="0"/>
          <w:marBottom w:val="0"/>
          <w:divBdr>
            <w:top w:val="none" w:sz="0" w:space="0" w:color="auto"/>
            <w:left w:val="none" w:sz="0" w:space="0" w:color="auto"/>
            <w:bottom w:val="none" w:sz="0" w:space="0" w:color="auto"/>
            <w:right w:val="none" w:sz="0" w:space="0" w:color="auto"/>
          </w:divBdr>
        </w:div>
        <w:div w:id="1609433618">
          <w:marLeft w:val="0"/>
          <w:marRight w:val="0"/>
          <w:marTop w:val="0"/>
          <w:marBottom w:val="0"/>
          <w:divBdr>
            <w:top w:val="none" w:sz="0" w:space="0" w:color="auto"/>
            <w:left w:val="none" w:sz="0" w:space="0" w:color="auto"/>
            <w:bottom w:val="none" w:sz="0" w:space="0" w:color="auto"/>
            <w:right w:val="none" w:sz="0" w:space="0" w:color="auto"/>
          </w:divBdr>
        </w:div>
      </w:divsChild>
    </w:div>
    <w:div w:id="1374619611">
      <w:bodyDiv w:val="1"/>
      <w:marLeft w:val="0"/>
      <w:marRight w:val="0"/>
      <w:marTop w:val="0"/>
      <w:marBottom w:val="0"/>
      <w:divBdr>
        <w:top w:val="none" w:sz="0" w:space="0" w:color="auto"/>
        <w:left w:val="none" w:sz="0" w:space="0" w:color="auto"/>
        <w:bottom w:val="none" w:sz="0" w:space="0" w:color="auto"/>
        <w:right w:val="none" w:sz="0" w:space="0" w:color="auto"/>
      </w:divBdr>
      <w:divsChild>
        <w:div w:id="172112008">
          <w:marLeft w:val="0"/>
          <w:marRight w:val="0"/>
          <w:marTop w:val="0"/>
          <w:marBottom w:val="0"/>
          <w:divBdr>
            <w:top w:val="none" w:sz="0" w:space="0" w:color="auto"/>
            <w:left w:val="none" w:sz="0" w:space="0" w:color="auto"/>
            <w:bottom w:val="none" w:sz="0" w:space="0" w:color="auto"/>
            <w:right w:val="none" w:sz="0" w:space="0" w:color="auto"/>
          </w:divBdr>
        </w:div>
        <w:div w:id="1353074829">
          <w:marLeft w:val="0"/>
          <w:marRight w:val="0"/>
          <w:marTop w:val="0"/>
          <w:marBottom w:val="0"/>
          <w:divBdr>
            <w:top w:val="none" w:sz="0" w:space="0" w:color="auto"/>
            <w:left w:val="none" w:sz="0" w:space="0" w:color="auto"/>
            <w:bottom w:val="none" w:sz="0" w:space="0" w:color="auto"/>
            <w:right w:val="none" w:sz="0" w:space="0" w:color="auto"/>
          </w:divBdr>
        </w:div>
        <w:div w:id="1653365499">
          <w:marLeft w:val="0"/>
          <w:marRight w:val="0"/>
          <w:marTop w:val="0"/>
          <w:marBottom w:val="0"/>
          <w:divBdr>
            <w:top w:val="none" w:sz="0" w:space="0" w:color="auto"/>
            <w:left w:val="none" w:sz="0" w:space="0" w:color="auto"/>
            <w:bottom w:val="none" w:sz="0" w:space="0" w:color="auto"/>
            <w:right w:val="none" w:sz="0" w:space="0" w:color="auto"/>
          </w:divBdr>
        </w:div>
        <w:div w:id="2145850151">
          <w:marLeft w:val="0"/>
          <w:marRight w:val="0"/>
          <w:marTop w:val="0"/>
          <w:marBottom w:val="0"/>
          <w:divBdr>
            <w:top w:val="none" w:sz="0" w:space="0" w:color="auto"/>
            <w:left w:val="none" w:sz="0" w:space="0" w:color="auto"/>
            <w:bottom w:val="none" w:sz="0" w:space="0" w:color="auto"/>
            <w:right w:val="none" w:sz="0" w:space="0" w:color="auto"/>
          </w:divBdr>
        </w:div>
      </w:divsChild>
    </w:div>
    <w:div w:id="1387492062">
      <w:bodyDiv w:val="1"/>
      <w:marLeft w:val="0"/>
      <w:marRight w:val="0"/>
      <w:marTop w:val="0"/>
      <w:marBottom w:val="0"/>
      <w:divBdr>
        <w:top w:val="none" w:sz="0" w:space="0" w:color="auto"/>
        <w:left w:val="none" w:sz="0" w:space="0" w:color="auto"/>
        <w:bottom w:val="none" w:sz="0" w:space="0" w:color="auto"/>
        <w:right w:val="none" w:sz="0" w:space="0" w:color="auto"/>
      </w:divBdr>
      <w:divsChild>
        <w:div w:id="532311091">
          <w:marLeft w:val="0"/>
          <w:marRight w:val="0"/>
          <w:marTop w:val="0"/>
          <w:marBottom w:val="0"/>
          <w:divBdr>
            <w:top w:val="none" w:sz="0" w:space="0" w:color="auto"/>
            <w:left w:val="none" w:sz="0" w:space="0" w:color="auto"/>
            <w:bottom w:val="none" w:sz="0" w:space="0" w:color="auto"/>
            <w:right w:val="none" w:sz="0" w:space="0" w:color="auto"/>
          </w:divBdr>
        </w:div>
        <w:div w:id="557938647">
          <w:marLeft w:val="0"/>
          <w:marRight w:val="0"/>
          <w:marTop w:val="0"/>
          <w:marBottom w:val="0"/>
          <w:divBdr>
            <w:top w:val="none" w:sz="0" w:space="0" w:color="auto"/>
            <w:left w:val="none" w:sz="0" w:space="0" w:color="auto"/>
            <w:bottom w:val="none" w:sz="0" w:space="0" w:color="auto"/>
            <w:right w:val="none" w:sz="0" w:space="0" w:color="auto"/>
          </w:divBdr>
        </w:div>
        <w:div w:id="1221139143">
          <w:marLeft w:val="0"/>
          <w:marRight w:val="0"/>
          <w:marTop w:val="0"/>
          <w:marBottom w:val="0"/>
          <w:divBdr>
            <w:top w:val="none" w:sz="0" w:space="0" w:color="auto"/>
            <w:left w:val="none" w:sz="0" w:space="0" w:color="auto"/>
            <w:bottom w:val="none" w:sz="0" w:space="0" w:color="auto"/>
            <w:right w:val="none" w:sz="0" w:space="0" w:color="auto"/>
          </w:divBdr>
        </w:div>
        <w:div w:id="2030524003">
          <w:marLeft w:val="0"/>
          <w:marRight w:val="0"/>
          <w:marTop w:val="0"/>
          <w:marBottom w:val="0"/>
          <w:divBdr>
            <w:top w:val="none" w:sz="0" w:space="0" w:color="auto"/>
            <w:left w:val="none" w:sz="0" w:space="0" w:color="auto"/>
            <w:bottom w:val="none" w:sz="0" w:space="0" w:color="auto"/>
            <w:right w:val="none" w:sz="0" w:space="0" w:color="auto"/>
          </w:divBdr>
        </w:div>
      </w:divsChild>
    </w:div>
    <w:div w:id="1422484799">
      <w:bodyDiv w:val="1"/>
      <w:marLeft w:val="0"/>
      <w:marRight w:val="0"/>
      <w:marTop w:val="0"/>
      <w:marBottom w:val="0"/>
      <w:divBdr>
        <w:top w:val="none" w:sz="0" w:space="0" w:color="auto"/>
        <w:left w:val="none" w:sz="0" w:space="0" w:color="auto"/>
        <w:bottom w:val="none" w:sz="0" w:space="0" w:color="auto"/>
        <w:right w:val="none" w:sz="0" w:space="0" w:color="auto"/>
      </w:divBdr>
      <w:divsChild>
        <w:div w:id="273287752">
          <w:marLeft w:val="0"/>
          <w:marRight w:val="0"/>
          <w:marTop w:val="0"/>
          <w:marBottom w:val="0"/>
          <w:divBdr>
            <w:top w:val="none" w:sz="0" w:space="0" w:color="auto"/>
            <w:left w:val="none" w:sz="0" w:space="0" w:color="auto"/>
            <w:bottom w:val="none" w:sz="0" w:space="0" w:color="auto"/>
            <w:right w:val="none" w:sz="0" w:space="0" w:color="auto"/>
          </w:divBdr>
        </w:div>
        <w:div w:id="755326300">
          <w:marLeft w:val="0"/>
          <w:marRight w:val="0"/>
          <w:marTop w:val="0"/>
          <w:marBottom w:val="0"/>
          <w:divBdr>
            <w:top w:val="none" w:sz="0" w:space="0" w:color="auto"/>
            <w:left w:val="none" w:sz="0" w:space="0" w:color="auto"/>
            <w:bottom w:val="none" w:sz="0" w:space="0" w:color="auto"/>
            <w:right w:val="none" w:sz="0" w:space="0" w:color="auto"/>
          </w:divBdr>
        </w:div>
        <w:div w:id="1207568273">
          <w:marLeft w:val="0"/>
          <w:marRight w:val="0"/>
          <w:marTop w:val="0"/>
          <w:marBottom w:val="0"/>
          <w:divBdr>
            <w:top w:val="none" w:sz="0" w:space="0" w:color="auto"/>
            <w:left w:val="none" w:sz="0" w:space="0" w:color="auto"/>
            <w:bottom w:val="none" w:sz="0" w:space="0" w:color="auto"/>
            <w:right w:val="none" w:sz="0" w:space="0" w:color="auto"/>
          </w:divBdr>
        </w:div>
        <w:div w:id="2085494866">
          <w:marLeft w:val="0"/>
          <w:marRight w:val="0"/>
          <w:marTop w:val="0"/>
          <w:marBottom w:val="0"/>
          <w:divBdr>
            <w:top w:val="none" w:sz="0" w:space="0" w:color="auto"/>
            <w:left w:val="none" w:sz="0" w:space="0" w:color="auto"/>
            <w:bottom w:val="none" w:sz="0" w:space="0" w:color="auto"/>
            <w:right w:val="none" w:sz="0" w:space="0" w:color="auto"/>
          </w:divBdr>
        </w:div>
      </w:divsChild>
    </w:div>
    <w:div w:id="1433549193">
      <w:bodyDiv w:val="1"/>
      <w:marLeft w:val="0"/>
      <w:marRight w:val="0"/>
      <w:marTop w:val="0"/>
      <w:marBottom w:val="0"/>
      <w:divBdr>
        <w:top w:val="none" w:sz="0" w:space="0" w:color="auto"/>
        <w:left w:val="none" w:sz="0" w:space="0" w:color="auto"/>
        <w:bottom w:val="none" w:sz="0" w:space="0" w:color="auto"/>
        <w:right w:val="none" w:sz="0" w:space="0" w:color="auto"/>
      </w:divBdr>
    </w:div>
    <w:div w:id="1455829001">
      <w:bodyDiv w:val="1"/>
      <w:marLeft w:val="0"/>
      <w:marRight w:val="0"/>
      <w:marTop w:val="0"/>
      <w:marBottom w:val="0"/>
      <w:divBdr>
        <w:top w:val="none" w:sz="0" w:space="0" w:color="auto"/>
        <w:left w:val="none" w:sz="0" w:space="0" w:color="auto"/>
        <w:bottom w:val="none" w:sz="0" w:space="0" w:color="auto"/>
        <w:right w:val="none" w:sz="0" w:space="0" w:color="auto"/>
      </w:divBdr>
      <w:divsChild>
        <w:div w:id="18089299">
          <w:marLeft w:val="0"/>
          <w:marRight w:val="0"/>
          <w:marTop w:val="0"/>
          <w:marBottom w:val="0"/>
          <w:divBdr>
            <w:top w:val="none" w:sz="0" w:space="0" w:color="auto"/>
            <w:left w:val="none" w:sz="0" w:space="0" w:color="auto"/>
            <w:bottom w:val="none" w:sz="0" w:space="0" w:color="auto"/>
            <w:right w:val="none" w:sz="0" w:space="0" w:color="auto"/>
          </w:divBdr>
        </w:div>
        <w:div w:id="302346884">
          <w:marLeft w:val="0"/>
          <w:marRight w:val="0"/>
          <w:marTop w:val="0"/>
          <w:marBottom w:val="0"/>
          <w:divBdr>
            <w:top w:val="none" w:sz="0" w:space="0" w:color="auto"/>
            <w:left w:val="none" w:sz="0" w:space="0" w:color="auto"/>
            <w:bottom w:val="none" w:sz="0" w:space="0" w:color="auto"/>
            <w:right w:val="none" w:sz="0" w:space="0" w:color="auto"/>
          </w:divBdr>
        </w:div>
        <w:div w:id="1053847242">
          <w:marLeft w:val="0"/>
          <w:marRight w:val="0"/>
          <w:marTop w:val="0"/>
          <w:marBottom w:val="0"/>
          <w:divBdr>
            <w:top w:val="none" w:sz="0" w:space="0" w:color="auto"/>
            <w:left w:val="none" w:sz="0" w:space="0" w:color="auto"/>
            <w:bottom w:val="none" w:sz="0" w:space="0" w:color="auto"/>
            <w:right w:val="none" w:sz="0" w:space="0" w:color="auto"/>
          </w:divBdr>
        </w:div>
        <w:div w:id="1301493420">
          <w:marLeft w:val="0"/>
          <w:marRight w:val="0"/>
          <w:marTop w:val="0"/>
          <w:marBottom w:val="0"/>
          <w:divBdr>
            <w:top w:val="none" w:sz="0" w:space="0" w:color="auto"/>
            <w:left w:val="none" w:sz="0" w:space="0" w:color="auto"/>
            <w:bottom w:val="none" w:sz="0" w:space="0" w:color="auto"/>
            <w:right w:val="none" w:sz="0" w:space="0" w:color="auto"/>
          </w:divBdr>
        </w:div>
        <w:div w:id="1385761917">
          <w:marLeft w:val="0"/>
          <w:marRight w:val="0"/>
          <w:marTop w:val="0"/>
          <w:marBottom w:val="0"/>
          <w:divBdr>
            <w:top w:val="none" w:sz="0" w:space="0" w:color="auto"/>
            <w:left w:val="none" w:sz="0" w:space="0" w:color="auto"/>
            <w:bottom w:val="none" w:sz="0" w:space="0" w:color="auto"/>
            <w:right w:val="none" w:sz="0" w:space="0" w:color="auto"/>
          </w:divBdr>
        </w:div>
        <w:div w:id="1990286783">
          <w:marLeft w:val="0"/>
          <w:marRight w:val="0"/>
          <w:marTop w:val="0"/>
          <w:marBottom w:val="0"/>
          <w:divBdr>
            <w:top w:val="none" w:sz="0" w:space="0" w:color="auto"/>
            <w:left w:val="none" w:sz="0" w:space="0" w:color="auto"/>
            <w:bottom w:val="none" w:sz="0" w:space="0" w:color="auto"/>
            <w:right w:val="none" w:sz="0" w:space="0" w:color="auto"/>
          </w:divBdr>
        </w:div>
      </w:divsChild>
    </w:div>
    <w:div w:id="1475023693">
      <w:bodyDiv w:val="1"/>
      <w:marLeft w:val="0"/>
      <w:marRight w:val="0"/>
      <w:marTop w:val="0"/>
      <w:marBottom w:val="0"/>
      <w:divBdr>
        <w:top w:val="none" w:sz="0" w:space="0" w:color="auto"/>
        <w:left w:val="none" w:sz="0" w:space="0" w:color="auto"/>
        <w:bottom w:val="none" w:sz="0" w:space="0" w:color="auto"/>
        <w:right w:val="none" w:sz="0" w:space="0" w:color="auto"/>
      </w:divBdr>
    </w:div>
    <w:div w:id="1517117646">
      <w:bodyDiv w:val="1"/>
      <w:marLeft w:val="0"/>
      <w:marRight w:val="0"/>
      <w:marTop w:val="0"/>
      <w:marBottom w:val="0"/>
      <w:divBdr>
        <w:top w:val="none" w:sz="0" w:space="0" w:color="auto"/>
        <w:left w:val="none" w:sz="0" w:space="0" w:color="auto"/>
        <w:bottom w:val="none" w:sz="0" w:space="0" w:color="auto"/>
        <w:right w:val="none" w:sz="0" w:space="0" w:color="auto"/>
      </w:divBdr>
    </w:div>
    <w:div w:id="1542593233">
      <w:bodyDiv w:val="1"/>
      <w:marLeft w:val="0"/>
      <w:marRight w:val="0"/>
      <w:marTop w:val="0"/>
      <w:marBottom w:val="0"/>
      <w:divBdr>
        <w:top w:val="none" w:sz="0" w:space="0" w:color="auto"/>
        <w:left w:val="none" w:sz="0" w:space="0" w:color="auto"/>
        <w:bottom w:val="none" w:sz="0" w:space="0" w:color="auto"/>
        <w:right w:val="none" w:sz="0" w:space="0" w:color="auto"/>
      </w:divBdr>
    </w:div>
    <w:div w:id="1551258368">
      <w:bodyDiv w:val="1"/>
      <w:marLeft w:val="0"/>
      <w:marRight w:val="0"/>
      <w:marTop w:val="0"/>
      <w:marBottom w:val="0"/>
      <w:divBdr>
        <w:top w:val="none" w:sz="0" w:space="0" w:color="auto"/>
        <w:left w:val="none" w:sz="0" w:space="0" w:color="auto"/>
        <w:bottom w:val="none" w:sz="0" w:space="0" w:color="auto"/>
        <w:right w:val="none" w:sz="0" w:space="0" w:color="auto"/>
      </w:divBdr>
      <w:divsChild>
        <w:div w:id="14119128">
          <w:marLeft w:val="0"/>
          <w:marRight w:val="0"/>
          <w:marTop w:val="0"/>
          <w:marBottom w:val="0"/>
          <w:divBdr>
            <w:top w:val="none" w:sz="0" w:space="0" w:color="auto"/>
            <w:left w:val="none" w:sz="0" w:space="0" w:color="auto"/>
            <w:bottom w:val="none" w:sz="0" w:space="0" w:color="auto"/>
            <w:right w:val="none" w:sz="0" w:space="0" w:color="auto"/>
          </w:divBdr>
        </w:div>
        <w:div w:id="15741270">
          <w:marLeft w:val="0"/>
          <w:marRight w:val="0"/>
          <w:marTop w:val="0"/>
          <w:marBottom w:val="0"/>
          <w:divBdr>
            <w:top w:val="none" w:sz="0" w:space="0" w:color="auto"/>
            <w:left w:val="none" w:sz="0" w:space="0" w:color="auto"/>
            <w:bottom w:val="none" w:sz="0" w:space="0" w:color="auto"/>
            <w:right w:val="none" w:sz="0" w:space="0" w:color="auto"/>
          </w:divBdr>
        </w:div>
        <w:div w:id="72360891">
          <w:marLeft w:val="0"/>
          <w:marRight w:val="0"/>
          <w:marTop w:val="0"/>
          <w:marBottom w:val="0"/>
          <w:divBdr>
            <w:top w:val="none" w:sz="0" w:space="0" w:color="auto"/>
            <w:left w:val="none" w:sz="0" w:space="0" w:color="auto"/>
            <w:bottom w:val="none" w:sz="0" w:space="0" w:color="auto"/>
            <w:right w:val="none" w:sz="0" w:space="0" w:color="auto"/>
          </w:divBdr>
        </w:div>
        <w:div w:id="159153417">
          <w:marLeft w:val="0"/>
          <w:marRight w:val="0"/>
          <w:marTop w:val="0"/>
          <w:marBottom w:val="0"/>
          <w:divBdr>
            <w:top w:val="none" w:sz="0" w:space="0" w:color="auto"/>
            <w:left w:val="none" w:sz="0" w:space="0" w:color="auto"/>
            <w:bottom w:val="none" w:sz="0" w:space="0" w:color="auto"/>
            <w:right w:val="none" w:sz="0" w:space="0" w:color="auto"/>
          </w:divBdr>
        </w:div>
        <w:div w:id="445201891">
          <w:marLeft w:val="0"/>
          <w:marRight w:val="0"/>
          <w:marTop w:val="0"/>
          <w:marBottom w:val="0"/>
          <w:divBdr>
            <w:top w:val="none" w:sz="0" w:space="0" w:color="auto"/>
            <w:left w:val="none" w:sz="0" w:space="0" w:color="auto"/>
            <w:bottom w:val="none" w:sz="0" w:space="0" w:color="auto"/>
            <w:right w:val="none" w:sz="0" w:space="0" w:color="auto"/>
          </w:divBdr>
        </w:div>
        <w:div w:id="563494839">
          <w:marLeft w:val="0"/>
          <w:marRight w:val="0"/>
          <w:marTop w:val="0"/>
          <w:marBottom w:val="0"/>
          <w:divBdr>
            <w:top w:val="none" w:sz="0" w:space="0" w:color="auto"/>
            <w:left w:val="none" w:sz="0" w:space="0" w:color="auto"/>
            <w:bottom w:val="none" w:sz="0" w:space="0" w:color="auto"/>
            <w:right w:val="none" w:sz="0" w:space="0" w:color="auto"/>
          </w:divBdr>
        </w:div>
        <w:div w:id="633365949">
          <w:marLeft w:val="0"/>
          <w:marRight w:val="0"/>
          <w:marTop w:val="0"/>
          <w:marBottom w:val="0"/>
          <w:divBdr>
            <w:top w:val="none" w:sz="0" w:space="0" w:color="auto"/>
            <w:left w:val="none" w:sz="0" w:space="0" w:color="auto"/>
            <w:bottom w:val="none" w:sz="0" w:space="0" w:color="auto"/>
            <w:right w:val="none" w:sz="0" w:space="0" w:color="auto"/>
          </w:divBdr>
        </w:div>
        <w:div w:id="643968062">
          <w:marLeft w:val="0"/>
          <w:marRight w:val="0"/>
          <w:marTop w:val="0"/>
          <w:marBottom w:val="0"/>
          <w:divBdr>
            <w:top w:val="none" w:sz="0" w:space="0" w:color="auto"/>
            <w:left w:val="none" w:sz="0" w:space="0" w:color="auto"/>
            <w:bottom w:val="none" w:sz="0" w:space="0" w:color="auto"/>
            <w:right w:val="none" w:sz="0" w:space="0" w:color="auto"/>
          </w:divBdr>
        </w:div>
        <w:div w:id="700980697">
          <w:marLeft w:val="0"/>
          <w:marRight w:val="0"/>
          <w:marTop w:val="0"/>
          <w:marBottom w:val="0"/>
          <w:divBdr>
            <w:top w:val="none" w:sz="0" w:space="0" w:color="auto"/>
            <w:left w:val="none" w:sz="0" w:space="0" w:color="auto"/>
            <w:bottom w:val="none" w:sz="0" w:space="0" w:color="auto"/>
            <w:right w:val="none" w:sz="0" w:space="0" w:color="auto"/>
          </w:divBdr>
        </w:div>
        <w:div w:id="882325332">
          <w:marLeft w:val="0"/>
          <w:marRight w:val="0"/>
          <w:marTop w:val="0"/>
          <w:marBottom w:val="0"/>
          <w:divBdr>
            <w:top w:val="none" w:sz="0" w:space="0" w:color="auto"/>
            <w:left w:val="none" w:sz="0" w:space="0" w:color="auto"/>
            <w:bottom w:val="none" w:sz="0" w:space="0" w:color="auto"/>
            <w:right w:val="none" w:sz="0" w:space="0" w:color="auto"/>
          </w:divBdr>
        </w:div>
        <w:div w:id="1056272809">
          <w:marLeft w:val="0"/>
          <w:marRight w:val="0"/>
          <w:marTop w:val="0"/>
          <w:marBottom w:val="0"/>
          <w:divBdr>
            <w:top w:val="none" w:sz="0" w:space="0" w:color="auto"/>
            <w:left w:val="none" w:sz="0" w:space="0" w:color="auto"/>
            <w:bottom w:val="none" w:sz="0" w:space="0" w:color="auto"/>
            <w:right w:val="none" w:sz="0" w:space="0" w:color="auto"/>
          </w:divBdr>
        </w:div>
        <w:div w:id="1060322651">
          <w:marLeft w:val="0"/>
          <w:marRight w:val="0"/>
          <w:marTop w:val="0"/>
          <w:marBottom w:val="0"/>
          <w:divBdr>
            <w:top w:val="none" w:sz="0" w:space="0" w:color="auto"/>
            <w:left w:val="none" w:sz="0" w:space="0" w:color="auto"/>
            <w:bottom w:val="none" w:sz="0" w:space="0" w:color="auto"/>
            <w:right w:val="none" w:sz="0" w:space="0" w:color="auto"/>
          </w:divBdr>
        </w:div>
        <w:div w:id="1184906248">
          <w:marLeft w:val="0"/>
          <w:marRight w:val="0"/>
          <w:marTop w:val="0"/>
          <w:marBottom w:val="0"/>
          <w:divBdr>
            <w:top w:val="none" w:sz="0" w:space="0" w:color="auto"/>
            <w:left w:val="none" w:sz="0" w:space="0" w:color="auto"/>
            <w:bottom w:val="none" w:sz="0" w:space="0" w:color="auto"/>
            <w:right w:val="none" w:sz="0" w:space="0" w:color="auto"/>
          </w:divBdr>
        </w:div>
        <w:div w:id="1221283692">
          <w:marLeft w:val="0"/>
          <w:marRight w:val="0"/>
          <w:marTop w:val="0"/>
          <w:marBottom w:val="0"/>
          <w:divBdr>
            <w:top w:val="none" w:sz="0" w:space="0" w:color="auto"/>
            <w:left w:val="none" w:sz="0" w:space="0" w:color="auto"/>
            <w:bottom w:val="none" w:sz="0" w:space="0" w:color="auto"/>
            <w:right w:val="none" w:sz="0" w:space="0" w:color="auto"/>
          </w:divBdr>
        </w:div>
        <w:div w:id="1229461139">
          <w:marLeft w:val="0"/>
          <w:marRight w:val="0"/>
          <w:marTop w:val="0"/>
          <w:marBottom w:val="0"/>
          <w:divBdr>
            <w:top w:val="none" w:sz="0" w:space="0" w:color="auto"/>
            <w:left w:val="none" w:sz="0" w:space="0" w:color="auto"/>
            <w:bottom w:val="none" w:sz="0" w:space="0" w:color="auto"/>
            <w:right w:val="none" w:sz="0" w:space="0" w:color="auto"/>
          </w:divBdr>
        </w:div>
        <w:div w:id="1303071751">
          <w:marLeft w:val="0"/>
          <w:marRight w:val="0"/>
          <w:marTop w:val="0"/>
          <w:marBottom w:val="0"/>
          <w:divBdr>
            <w:top w:val="none" w:sz="0" w:space="0" w:color="auto"/>
            <w:left w:val="none" w:sz="0" w:space="0" w:color="auto"/>
            <w:bottom w:val="none" w:sz="0" w:space="0" w:color="auto"/>
            <w:right w:val="none" w:sz="0" w:space="0" w:color="auto"/>
          </w:divBdr>
        </w:div>
        <w:div w:id="1344012293">
          <w:marLeft w:val="0"/>
          <w:marRight w:val="0"/>
          <w:marTop w:val="0"/>
          <w:marBottom w:val="0"/>
          <w:divBdr>
            <w:top w:val="none" w:sz="0" w:space="0" w:color="auto"/>
            <w:left w:val="none" w:sz="0" w:space="0" w:color="auto"/>
            <w:bottom w:val="none" w:sz="0" w:space="0" w:color="auto"/>
            <w:right w:val="none" w:sz="0" w:space="0" w:color="auto"/>
          </w:divBdr>
        </w:div>
        <w:div w:id="1364093786">
          <w:marLeft w:val="0"/>
          <w:marRight w:val="0"/>
          <w:marTop w:val="0"/>
          <w:marBottom w:val="0"/>
          <w:divBdr>
            <w:top w:val="none" w:sz="0" w:space="0" w:color="auto"/>
            <w:left w:val="none" w:sz="0" w:space="0" w:color="auto"/>
            <w:bottom w:val="none" w:sz="0" w:space="0" w:color="auto"/>
            <w:right w:val="none" w:sz="0" w:space="0" w:color="auto"/>
          </w:divBdr>
        </w:div>
        <w:div w:id="1684473405">
          <w:marLeft w:val="0"/>
          <w:marRight w:val="0"/>
          <w:marTop w:val="0"/>
          <w:marBottom w:val="0"/>
          <w:divBdr>
            <w:top w:val="none" w:sz="0" w:space="0" w:color="auto"/>
            <w:left w:val="none" w:sz="0" w:space="0" w:color="auto"/>
            <w:bottom w:val="none" w:sz="0" w:space="0" w:color="auto"/>
            <w:right w:val="none" w:sz="0" w:space="0" w:color="auto"/>
          </w:divBdr>
        </w:div>
        <w:div w:id="1745032650">
          <w:marLeft w:val="0"/>
          <w:marRight w:val="0"/>
          <w:marTop w:val="0"/>
          <w:marBottom w:val="0"/>
          <w:divBdr>
            <w:top w:val="none" w:sz="0" w:space="0" w:color="auto"/>
            <w:left w:val="none" w:sz="0" w:space="0" w:color="auto"/>
            <w:bottom w:val="none" w:sz="0" w:space="0" w:color="auto"/>
            <w:right w:val="none" w:sz="0" w:space="0" w:color="auto"/>
          </w:divBdr>
        </w:div>
        <w:div w:id="1963464457">
          <w:marLeft w:val="0"/>
          <w:marRight w:val="0"/>
          <w:marTop w:val="0"/>
          <w:marBottom w:val="0"/>
          <w:divBdr>
            <w:top w:val="none" w:sz="0" w:space="0" w:color="auto"/>
            <w:left w:val="none" w:sz="0" w:space="0" w:color="auto"/>
            <w:bottom w:val="none" w:sz="0" w:space="0" w:color="auto"/>
            <w:right w:val="none" w:sz="0" w:space="0" w:color="auto"/>
          </w:divBdr>
        </w:div>
        <w:div w:id="2022003748">
          <w:marLeft w:val="0"/>
          <w:marRight w:val="0"/>
          <w:marTop w:val="0"/>
          <w:marBottom w:val="0"/>
          <w:divBdr>
            <w:top w:val="none" w:sz="0" w:space="0" w:color="auto"/>
            <w:left w:val="none" w:sz="0" w:space="0" w:color="auto"/>
            <w:bottom w:val="none" w:sz="0" w:space="0" w:color="auto"/>
            <w:right w:val="none" w:sz="0" w:space="0" w:color="auto"/>
          </w:divBdr>
        </w:div>
      </w:divsChild>
    </w:div>
    <w:div w:id="1554005322">
      <w:bodyDiv w:val="1"/>
      <w:marLeft w:val="0"/>
      <w:marRight w:val="0"/>
      <w:marTop w:val="0"/>
      <w:marBottom w:val="0"/>
      <w:divBdr>
        <w:top w:val="none" w:sz="0" w:space="0" w:color="auto"/>
        <w:left w:val="none" w:sz="0" w:space="0" w:color="auto"/>
        <w:bottom w:val="none" w:sz="0" w:space="0" w:color="auto"/>
        <w:right w:val="none" w:sz="0" w:space="0" w:color="auto"/>
      </w:divBdr>
      <w:divsChild>
        <w:div w:id="621807402">
          <w:marLeft w:val="0"/>
          <w:marRight w:val="0"/>
          <w:marTop w:val="0"/>
          <w:marBottom w:val="0"/>
          <w:divBdr>
            <w:top w:val="none" w:sz="0" w:space="0" w:color="auto"/>
            <w:left w:val="none" w:sz="0" w:space="0" w:color="auto"/>
            <w:bottom w:val="none" w:sz="0" w:space="0" w:color="auto"/>
            <w:right w:val="none" w:sz="0" w:space="0" w:color="auto"/>
          </w:divBdr>
        </w:div>
        <w:div w:id="945891642">
          <w:marLeft w:val="0"/>
          <w:marRight w:val="0"/>
          <w:marTop w:val="0"/>
          <w:marBottom w:val="0"/>
          <w:divBdr>
            <w:top w:val="none" w:sz="0" w:space="0" w:color="auto"/>
            <w:left w:val="none" w:sz="0" w:space="0" w:color="auto"/>
            <w:bottom w:val="none" w:sz="0" w:space="0" w:color="auto"/>
            <w:right w:val="none" w:sz="0" w:space="0" w:color="auto"/>
          </w:divBdr>
        </w:div>
        <w:div w:id="1195312130">
          <w:marLeft w:val="0"/>
          <w:marRight w:val="0"/>
          <w:marTop w:val="0"/>
          <w:marBottom w:val="0"/>
          <w:divBdr>
            <w:top w:val="none" w:sz="0" w:space="0" w:color="auto"/>
            <w:left w:val="none" w:sz="0" w:space="0" w:color="auto"/>
            <w:bottom w:val="none" w:sz="0" w:space="0" w:color="auto"/>
            <w:right w:val="none" w:sz="0" w:space="0" w:color="auto"/>
          </w:divBdr>
        </w:div>
        <w:div w:id="1403066745">
          <w:marLeft w:val="0"/>
          <w:marRight w:val="0"/>
          <w:marTop w:val="0"/>
          <w:marBottom w:val="0"/>
          <w:divBdr>
            <w:top w:val="none" w:sz="0" w:space="0" w:color="auto"/>
            <w:left w:val="none" w:sz="0" w:space="0" w:color="auto"/>
            <w:bottom w:val="none" w:sz="0" w:space="0" w:color="auto"/>
            <w:right w:val="none" w:sz="0" w:space="0" w:color="auto"/>
          </w:divBdr>
        </w:div>
        <w:div w:id="1693145337">
          <w:marLeft w:val="0"/>
          <w:marRight w:val="0"/>
          <w:marTop w:val="0"/>
          <w:marBottom w:val="0"/>
          <w:divBdr>
            <w:top w:val="none" w:sz="0" w:space="0" w:color="auto"/>
            <w:left w:val="none" w:sz="0" w:space="0" w:color="auto"/>
            <w:bottom w:val="none" w:sz="0" w:space="0" w:color="auto"/>
            <w:right w:val="none" w:sz="0" w:space="0" w:color="auto"/>
          </w:divBdr>
        </w:div>
      </w:divsChild>
    </w:div>
    <w:div w:id="1578661410">
      <w:bodyDiv w:val="1"/>
      <w:marLeft w:val="0"/>
      <w:marRight w:val="0"/>
      <w:marTop w:val="0"/>
      <w:marBottom w:val="0"/>
      <w:divBdr>
        <w:top w:val="none" w:sz="0" w:space="0" w:color="auto"/>
        <w:left w:val="none" w:sz="0" w:space="0" w:color="auto"/>
        <w:bottom w:val="none" w:sz="0" w:space="0" w:color="auto"/>
        <w:right w:val="none" w:sz="0" w:space="0" w:color="auto"/>
      </w:divBdr>
    </w:div>
    <w:div w:id="1580023520">
      <w:bodyDiv w:val="1"/>
      <w:marLeft w:val="0"/>
      <w:marRight w:val="0"/>
      <w:marTop w:val="0"/>
      <w:marBottom w:val="0"/>
      <w:divBdr>
        <w:top w:val="none" w:sz="0" w:space="0" w:color="auto"/>
        <w:left w:val="none" w:sz="0" w:space="0" w:color="auto"/>
        <w:bottom w:val="none" w:sz="0" w:space="0" w:color="auto"/>
        <w:right w:val="none" w:sz="0" w:space="0" w:color="auto"/>
      </w:divBdr>
      <w:divsChild>
        <w:div w:id="460852009">
          <w:marLeft w:val="0"/>
          <w:marRight w:val="0"/>
          <w:marTop w:val="0"/>
          <w:marBottom w:val="0"/>
          <w:divBdr>
            <w:top w:val="none" w:sz="0" w:space="0" w:color="auto"/>
            <w:left w:val="none" w:sz="0" w:space="0" w:color="auto"/>
            <w:bottom w:val="none" w:sz="0" w:space="0" w:color="auto"/>
            <w:right w:val="none" w:sz="0" w:space="0" w:color="auto"/>
          </w:divBdr>
        </w:div>
        <w:div w:id="476726450">
          <w:marLeft w:val="0"/>
          <w:marRight w:val="0"/>
          <w:marTop w:val="0"/>
          <w:marBottom w:val="0"/>
          <w:divBdr>
            <w:top w:val="none" w:sz="0" w:space="0" w:color="auto"/>
            <w:left w:val="none" w:sz="0" w:space="0" w:color="auto"/>
            <w:bottom w:val="none" w:sz="0" w:space="0" w:color="auto"/>
            <w:right w:val="none" w:sz="0" w:space="0" w:color="auto"/>
          </w:divBdr>
        </w:div>
        <w:div w:id="501705181">
          <w:marLeft w:val="0"/>
          <w:marRight w:val="0"/>
          <w:marTop w:val="0"/>
          <w:marBottom w:val="0"/>
          <w:divBdr>
            <w:top w:val="none" w:sz="0" w:space="0" w:color="auto"/>
            <w:left w:val="none" w:sz="0" w:space="0" w:color="auto"/>
            <w:bottom w:val="none" w:sz="0" w:space="0" w:color="auto"/>
            <w:right w:val="none" w:sz="0" w:space="0" w:color="auto"/>
          </w:divBdr>
        </w:div>
        <w:div w:id="1956862459">
          <w:marLeft w:val="0"/>
          <w:marRight w:val="0"/>
          <w:marTop w:val="0"/>
          <w:marBottom w:val="0"/>
          <w:divBdr>
            <w:top w:val="none" w:sz="0" w:space="0" w:color="auto"/>
            <w:left w:val="none" w:sz="0" w:space="0" w:color="auto"/>
            <w:bottom w:val="none" w:sz="0" w:space="0" w:color="auto"/>
            <w:right w:val="none" w:sz="0" w:space="0" w:color="auto"/>
          </w:divBdr>
        </w:div>
      </w:divsChild>
    </w:div>
    <w:div w:id="1591696626">
      <w:bodyDiv w:val="1"/>
      <w:marLeft w:val="0"/>
      <w:marRight w:val="0"/>
      <w:marTop w:val="0"/>
      <w:marBottom w:val="0"/>
      <w:divBdr>
        <w:top w:val="none" w:sz="0" w:space="0" w:color="auto"/>
        <w:left w:val="none" w:sz="0" w:space="0" w:color="auto"/>
        <w:bottom w:val="none" w:sz="0" w:space="0" w:color="auto"/>
        <w:right w:val="none" w:sz="0" w:space="0" w:color="auto"/>
      </w:divBdr>
      <w:divsChild>
        <w:div w:id="131481660">
          <w:marLeft w:val="0"/>
          <w:marRight w:val="0"/>
          <w:marTop w:val="0"/>
          <w:marBottom w:val="0"/>
          <w:divBdr>
            <w:top w:val="none" w:sz="0" w:space="0" w:color="auto"/>
            <w:left w:val="none" w:sz="0" w:space="0" w:color="auto"/>
            <w:bottom w:val="none" w:sz="0" w:space="0" w:color="auto"/>
            <w:right w:val="none" w:sz="0" w:space="0" w:color="auto"/>
          </w:divBdr>
        </w:div>
        <w:div w:id="311905808">
          <w:marLeft w:val="0"/>
          <w:marRight w:val="0"/>
          <w:marTop w:val="0"/>
          <w:marBottom w:val="0"/>
          <w:divBdr>
            <w:top w:val="none" w:sz="0" w:space="0" w:color="auto"/>
            <w:left w:val="none" w:sz="0" w:space="0" w:color="auto"/>
            <w:bottom w:val="none" w:sz="0" w:space="0" w:color="auto"/>
            <w:right w:val="none" w:sz="0" w:space="0" w:color="auto"/>
          </w:divBdr>
        </w:div>
        <w:div w:id="412826118">
          <w:marLeft w:val="0"/>
          <w:marRight w:val="0"/>
          <w:marTop w:val="0"/>
          <w:marBottom w:val="0"/>
          <w:divBdr>
            <w:top w:val="none" w:sz="0" w:space="0" w:color="auto"/>
            <w:left w:val="none" w:sz="0" w:space="0" w:color="auto"/>
            <w:bottom w:val="none" w:sz="0" w:space="0" w:color="auto"/>
            <w:right w:val="none" w:sz="0" w:space="0" w:color="auto"/>
          </w:divBdr>
        </w:div>
        <w:div w:id="485510053">
          <w:marLeft w:val="0"/>
          <w:marRight w:val="0"/>
          <w:marTop w:val="0"/>
          <w:marBottom w:val="0"/>
          <w:divBdr>
            <w:top w:val="none" w:sz="0" w:space="0" w:color="auto"/>
            <w:left w:val="none" w:sz="0" w:space="0" w:color="auto"/>
            <w:bottom w:val="none" w:sz="0" w:space="0" w:color="auto"/>
            <w:right w:val="none" w:sz="0" w:space="0" w:color="auto"/>
          </w:divBdr>
        </w:div>
        <w:div w:id="1441102202">
          <w:marLeft w:val="0"/>
          <w:marRight w:val="0"/>
          <w:marTop w:val="0"/>
          <w:marBottom w:val="0"/>
          <w:divBdr>
            <w:top w:val="none" w:sz="0" w:space="0" w:color="auto"/>
            <w:left w:val="none" w:sz="0" w:space="0" w:color="auto"/>
            <w:bottom w:val="none" w:sz="0" w:space="0" w:color="auto"/>
            <w:right w:val="none" w:sz="0" w:space="0" w:color="auto"/>
          </w:divBdr>
        </w:div>
        <w:div w:id="1626618761">
          <w:marLeft w:val="0"/>
          <w:marRight w:val="0"/>
          <w:marTop w:val="0"/>
          <w:marBottom w:val="0"/>
          <w:divBdr>
            <w:top w:val="none" w:sz="0" w:space="0" w:color="auto"/>
            <w:left w:val="none" w:sz="0" w:space="0" w:color="auto"/>
            <w:bottom w:val="none" w:sz="0" w:space="0" w:color="auto"/>
            <w:right w:val="none" w:sz="0" w:space="0" w:color="auto"/>
          </w:divBdr>
        </w:div>
      </w:divsChild>
    </w:div>
    <w:div w:id="1596984995">
      <w:bodyDiv w:val="1"/>
      <w:marLeft w:val="0"/>
      <w:marRight w:val="0"/>
      <w:marTop w:val="0"/>
      <w:marBottom w:val="0"/>
      <w:divBdr>
        <w:top w:val="none" w:sz="0" w:space="0" w:color="auto"/>
        <w:left w:val="none" w:sz="0" w:space="0" w:color="auto"/>
        <w:bottom w:val="none" w:sz="0" w:space="0" w:color="auto"/>
        <w:right w:val="none" w:sz="0" w:space="0" w:color="auto"/>
      </w:divBdr>
    </w:div>
    <w:div w:id="1669943957">
      <w:bodyDiv w:val="1"/>
      <w:marLeft w:val="0"/>
      <w:marRight w:val="0"/>
      <w:marTop w:val="0"/>
      <w:marBottom w:val="0"/>
      <w:divBdr>
        <w:top w:val="none" w:sz="0" w:space="0" w:color="auto"/>
        <w:left w:val="none" w:sz="0" w:space="0" w:color="auto"/>
        <w:bottom w:val="none" w:sz="0" w:space="0" w:color="auto"/>
        <w:right w:val="none" w:sz="0" w:space="0" w:color="auto"/>
      </w:divBdr>
      <w:divsChild>
        <w:div w:id="370887627">
          <w:marLeft w:val="0"/>
          <w:marRight w:val="0"/>
          <w:marTop w:val="0"/>
          <w:marBottom w:val="0"/>
          <w:divBdr>
            <w:top w:val="none" w:sz="0" w:space="0" w:color="auto"/>
            <w:left w:val="none" w:sz="0" w:space="0" w:color="auto"/>
            <w:bottom w:val="none" w:sz="0" w:space="0" w:color="auto"/>
            <w:right w:val="none" w:sz="0" w:space="0" w:color="auto"/>
          </w:divBdr>
        </w:div>
        <w:div w:id="960692971">
          <w:marLeft w:val="0"/>
          <w:marRight w:val="0"/>
          <w:marTop w:val="0"/>
          <w:marBottom w:val="0"/>
          <w:divBdr>
            <w:top w:val="none" w:sz="0" w:space="0" w:color="auto"/>
            <w:left w:val="none" w:sz="0" w:space="0" w:color="auto"/>
            <w:bottom w:val="none" w:sz="0" w:space="0" w:color="auto"/>
            <w:right w:val="none" w:sz="0" w:space="0" w:color="auto"/>
          </w:divBdr>
        </w:div>
        <w:div w:id="1051925126">
          <w:marLeft w:val="0"/>
          <w:marRight w:val="0"/>
          <w:marTop w:val="0"/>
          <w:marBottom w:val="0"/>
          <w:divBdr>
            <w:top w:val="none" w:sz="0" w:space="0" w:color="auto"/>
            <w:left w:val="none" w:sz="0" w:space="0" w:color="auto"/>
            <w:bottom w:val="none" w:sz="0" w:space="0" w:color="auto"/>
            <w:right w:val="none" w:sz="0" w:space="0" w:color="auto"/>
          </w:divBdr>
        </w:div>
        <w:div w:id="1494297735">
          <w:marLeft w:val="0"/>
          <w:marRight w:val="0"/>
          <w:marTop w:val="0"/>
          <w:marBottom w:val="0"/>
          <w:divBdr>
            <w:top w:val="none" w:sz="0" w:space="0" w:color="auto"/>
            <w:left w:val="none" w:sz="0" w:space="0" w:color="auto"/>
            <w:bottom w:val="none" w:sz="0" w:space="0" w:color="auto"/>
            <w:right w:val="none" w:sz="0" w:space="0" w:color="auto"/>
          </w:divBdr>
        </w:div>
        <w:div w:id="1590387668">
          <w:marLeft w:val="0"/>
          <w:marRight w:val="0"/>
          <w:marTop w:val="0"/>
          <w:marBottom w:val="0"/>
          <w:divBdr>
            <w:top w:val="none" w:sz="0" w:space="0" w:color="auto"/>
            <w:left w:val="none" w:sz="0" w:space="0" w:color="auto"/>
            <w:bottom w:val="none" w:sz="0" w:space="0" w:color="auto"/>
            <w:right w:val="none" w:sz="0" w:space="0" w:color="auto"/>
          </w:divBdr>
        </w:div>
        <w:div w:id="1720281535">
          <w:marLeft w:val="0"/>
          <w:marRight w:val="0"/>
          <w:marTop w:val="0"/>
          <w:marBottom w:val="0"/>
          <w:divBdr>
            <w:top w:val="none" w:sz="0" w:space="0" w:color="auto"/>
            <w:left w:val="none" w:sz="0" w:space="0" w:color="auto"/>
            <w:bottom w:val="none" w:sz="0" w:space="0" w:color="auto"/>
            <w:right w:val="none" w:sz="0" w:space="0" w:color="auto"/>
          </w:divBdr>
        </w:div>
        <w:div w:id="2012369524">
          <w:marLeft w:val="0"/>
          <w:marRight w:val="0"/>
          <w:marTop w:val="0"/>
          <w:marBottom w:val="0"/>
          <w:divBdr>
            <w:top w:val="none" w:sz="0" w:space="0" w:color="auto"/>
            <w:left w:val="none" w:sz="0" w:space="0" w:color="auto"/>
            <w:bottom w:val="none" w:sz="0" w:space="0" w:color="auto"/>
            <w:right w:val="none" w:sz="0" w:space="0" w:color="auto"/>
          </w:divBdr>
        </w:div>
        <w:div w:id="2039508138">
          <w:marLeft w:val="0"/>
          <w:marRight w:val="0"/>
          <w:marTop w:val="0"/>
          <w:marBottom w:val="0"/>
          <w:divBdr>
            <w:top w:val="none" w:sz="0" w:space="0" w:color="auto"/>
            <w:left w:val="none" w:sz="0" w:space="0" w:color="auto"/>
            <w:bottom w:val="none" w:sz="0" w:space="0" w:color="auto"/>
            <w:right w:val="none" w:sz="0" w:space="0" w:color="auto"/>
          </w:divBdr>
        </w:div>
        <w:div w:id="2070304807">
          <w:marLeft w:val="0"/>
          <w:marRight w:val="0"/>
          <w:marTop w:val="0"/>
          <w:marBottom w:val="0"/>
          <w:divBdr>
            <w:top w:val="none" w:sz="0" w:space="0" w:color="auto"/>
            <w:left w:val="none" w:sz="0" w:space="0" w:color="auto"/>
            <w:bottom w:val="none" w:sz="0" w:space="0" w:color="auto"/>
            <w:right w:val="none" w:sz="0" w:space="0" w:color="auto"/>
          </w:divBdr>
        </w:div>
      </w:divsChild>
    </w:div>
    <w:div w:id="1829634898">
      <w:bodyDiv w:val="1"/>
      <w:marLeft w:val="0"/>
      <w:marRight w:val="0"/>
      <w:marTop w:val="0"/>
      <w:marBottom w:val="0"/>
      <w:divBdr>
        <w:top w:val="none" w:sz="0" w:space="0" w:color="auto"/>
        <w:left w:val="none" w:sz="0" w:space="0" w:color="auto"/>
        <w:bottom w:val="none" w:sz="0" w:space="0" w:color="auto"/>
        <w:right w:val="none" w:sz="0" w:space="0" w:color="auto"/>
      </w:divBdr>
      <w:divsChild>
        <w:div w:id="807630125">
          <w:marLeft w:val="0"/>
          <w:marRight w:val="0"/>
          <w:marTop w:val="0"/>
          <w:marBottom w:val="0"/>
          <w:divBdr>
            <w:top w:val="none" w:sz="0" w:space="0" w:color="auto"/>
            <w:left w:val="none" w:sz="0" w:space="0" w:color="auto"/>
            <w:bottom w:val="none" w:sz="0" w:space="0" w:color="auto"/>
            <w:right w:val="none" w:sz="0" w:space="0" w:color="auto"/>
          </w:divBdr>
        </w:div>
        <w:div w:id="1052072535">
          <w:marLeft w:val="0"/>
          <w:marRight w:val="0"/>
          <w:marTop w:val="0"/>
          <w:marBottom w:val="0"/>
          <w:divBdr>
            <w:top w:val="none" w:sz="0" w:space="0" w:color="auto"/>
            <w:left w:val="none" w:sz="0" w:space="0" w:color="auto"/>
            <w:bottom w:val="none" w:sz="0" w:space="0" w:color="auto"/>
            <w:right w:val="none" w:sz="0" w:space="0" w:color="auto"/>
          </w:divBdr>
        </w:div>
        <w:div w:id="1346249578">
          <w:marLeft w:val="0"/>
          <w:marRight w:val="0"/>
          <w:marTop w:val="0"/>
          <w:marBottom w:val="0"/>
          <w:divBdr>
            <w:top w:val="none" w:sz="0" w:space="0" w:color="auto"/>
            <w:left w:val="none" w:sz="0" w:space="0" w:color="auto"/>
            <w:bottom w:val="none" w:sz="0" w:space="0" w:color="auto"/>
            <w:right w:val="none" w:sz="0" w:space="0" w:color="auto"/>
          </w:divBdr>
        </w:div>
        <w:div w:id="2064599784">
          <w:marLeft w:val="0"/>
          <w:marRight w:val="0"/>
          <w:marTop w:val="0"/>
          <w:marBottom w:val="0"/>
          <w:divBdr>
            <w:top w:val="none" w:sz="0" w:space="0" w:color="auto"/>
            <w:left w:val="none" w:sz="0" w:space="0" w:color="auto"/>
            <w:bottom w:val="none" w:sz="0" w:space="0" w:color="auto"/>
            <w:right w:val="none" w:sz="0" w:space="0" w:color="auto"/>
          </w:divBdr>
        </w:div>
      </w:divsChild>
    </w:div>
    <w:div w:id="1873809569">
      <w:bodyDiv w:val="1"/>
      <w:marLeft w:val="0"/>
      <w:marRight w:val="0"/>
      <w:marTop w:val="0"/>
      <w:marBottom w:val="0"/>
      <w:divBdr>
        <w:top w:val="none" w:sz="0" w:space="0" w:color="auto"/>
        <w:left w:val="none" w:sz="0" w:space="0" w:color="auto"/>
        <w:bottom w:val="none" w:sz="0" w:space="0" w:color="auto"/>
        <w:right w:val="none" w:sz="0" w:space="0" w:color="auto"/>
      </w:divBdr>
    </w:div>
    <w:div w:id="1899122845">
      <w:bodyDiv w:val="1"/>
      <w:marLeft w:val="0"/>
      <w:marRight w:val="0"/>
      <w:marTop w:val="0"/>
      <w:marBottom w:val="0"/>
      <w:divBdr>
        <w:top w:val="none" w:sz="0" w:space="0" w:color="auto"/>
        <w:left w:val="none" w:sz="0" w:space="0" w:color="auto"/>
        <w:bottom w:val="none" w:sz="0" w:space="0" w:color="auto"/>
        <w:right w:val="none" w:sz="0" w:space="0" w:color="auto"/>
      </w:divBdr>
      <w:divsChild>
        <w:div w:id="89354221">
          <w:marLeft w:val="0"/>
          <w:marRight w:val="0"/>
          <w:marTop w:val="0"/>
          <w:marBottom w:val="0"/>
          <w:divBdr>
            <w:top w:val="none" w:sz="0" w:space="0" w:color="auto"/>
            <w:left w:val="none" w:sz="0" w:space="0" w:color="auto"/>
            <w:bottom w:val="none" w:sz="0" w:space="0" w:color="auto"/>
            <w:right w:val="none" w:sz="0" w:space="0" w:color="auto"/>
          </w:divBdr>
        </w:div>
        <w:div w:id="105276416">
          <w:marLeft w:val="0"/>
          <w:marRight w:val="0"/>
          <w:marTop w:val="0"/>
          <w:marBottom w:val="0"/>
          <w:divBdr>
            <w:top w:val="none" w:sz="0" w:space="0" w:color="auto"/>
            <w:left w:val="none" w:sz="0" w:space="0" w:color="auto"/>
            <w:bottom w:val="none" w:sz="0" w:space="0" w:color="auto"/>
            <w:right w:val="none" w:sz="0" w:space="0" w:color="auto"/>
          </w:divBdr>
        </w:div>
        <w:div w:id="842938048">
          <w:marLeft w:val="0"/>
          <w:marRight w:val="0"/>
          <w:marTop w:val="0"/>
          <w:marBottom w:val="0"/>
          <w:divBdr>
            <w:top w:val="none" w:sz="0" w:space="0" w:color="auto"/>
            <w:left w:val="none" w:sz="0" w:space="0" w:color="auto"/>
            <w:bottom w:val="none" w:sz="0" w:space="0" w:color="auto"/>
            <w:right w:val="none" w:sz="0" w:space="0" w:color="auto"/>
          </w:divBdr>
        </w:div>
        <w:div w:id="873926692">
          <w:marLeft w:val="0"/>
          <w:marRight w:val="0"/>
          <w:marTop w:val="0"/>
          <w:marBottom w:val="0"/>
          <w:divBdr>
            <w:top w:val="none" w:sz="0" w:space="0" w:color="auto"/>
            <w:left w:val="none" w:sz="0" w:space="0" w:color="auto"/>
            <w:bottom w:val="none" w:sz="0" w:space="0" w:color="auto"/>
            <w:right w:val="none" w:sz="0" w:space="0" w:color="auto"/>
          </w:divBdr>
        </w:div>
        <w:div w:id="1404376183">
          <w:marLeft w:val="0"/>
          <w:marRight w:val="0"/>
          <w:marTop w:val="0"/>
          <w:marBottom w:val="0"/>
          <w:divBdr>
            <w:top w:val="none" w:sz="0" w:space="0" w:color="auto"/>
            <w:left w:val="none" w:sz="0" w:space="0" w:color="auto"/>
            <w:bottom w:val="none" w:sz="0" w:space="0" w:color="auto"/>
            <w:right w:val="none" w:sz="0" w:space="0" w:color="auto"/>
          </w:divBdr>
        </w:div>
      </w:divsChild>
    </w:div>
    <w:div w:id="1941597372">
      <w:bodyDiv w:val="1"/>
      <w:marLeft w:val="0"/>
      <w:marRight w:val="0"/>
      <w:marTop w:val="0"/>
      <w:marBottom w:val="0"/>
      <w:divBdr>
        <w:top w:val="none" w:sz="0" w:space="0" w:color="auto"/>
        <w:left w:val="none" w:sz="0" w:space="0" w:color="auto"/>
        <w:bottom w:val="none" w:sz="0" w:space="0" w:color="auto"/>
        <w:right w:val="none" w:sz="0" w:space="0" w:color="auto"/>
      </w:divBdr>
      <w:divsChild>
        <w:div w:id="404649195">
          <w:marLeft w:val="0"/>
          <w:marRight w:val="0"/>
          <w:marTop w:val="0"/>
          <w:marBottom w:val="0"/>
          <w:divBdr>
            <w:top w:val="none" w:sz="0" w:space="0" w:color="auto"/>
            <w:left w:val="none" w:sz="0" w:space="0" w:color="auto"/>
            <w:bottom w:val="none" w:sz="0" w:space="0" w:color="auto"/>
            <w:right w:val="none" w:sz="0" w:space="0" w:color="auto"/>
          </w:divBdr>
        </w:div>
        <w:div w:id="506291392">
          <w:marLeft w:val="0"/>
          <w:marRight w:val="0"/>
          <w:marTop w:val="0"/>
          <w:marBottom w:val="0"/>
          <w:divBdr>
            <w:top w:val="none" w:sz="0" w:space="0" w:color="auto"/>
            <w:left w:val="none" w:sz="0" w:space="0" w:color="auto"/>
            <w:bottom w:val="none" w:sz="0" w:space="0" w:color="auto"/>
            <w:right w:val="none" w:sz="0" w:space="0" w:color="auto"/>
          </w:divBdr>
        </w:div>
        <w:div w:id="666788368">
          <w:marLeft w:val="0"/>
          <w:marRight w:val="0"/>
          <w:marTop w:val="0"/>
          <w:marBottom w:val="0"/>
          <w:divBdr>
            <w:top w:val="none" w:sz="0" w:space="0" w:color="auto"/>
            <w:left w:val="none" w:sz="0" w:space="0" w:color="auto"/>
            <w:bottom w:val="none" w:sz="0" w:space="0" w:color="auto"/>
            <w:right w:val="none" w:sz="0" w:space="0" w:color="auto"/>
          </w:divBdr>
        </w:div>
        <w:div w:id="990913582">
          <w:marLeft w:val="0"/>
          <w:marRight w:val="0"/>
          <w:marTop w:val="0"/>
          <w:marBottom w:val="0"/>
          <w:divBdr>
            <w:top w:val="none" w:sz="0" w:space="0" w:color="auto"/>
            <w:left w:val="none" w:sz="0" w:space="0" w:color="auto"/>
            <w:bottom w:val="none" w:sz="0" w:space="0" w:color="auto"/>
            <w:right w:val="none" w:sz="0" w:space="0" w:color="auto"/>
          </w:divBdr>
        </w:div>
      </w:divsChild>
    </w:div>
    <w:div w:id="1976258326">
      <w:bodyDiv w:val="1"/>
      <w:marLeft w:val="0"/>
      <w:marRight w:val="0"/>
      <w:marTop w:val="0"/>
      <w:marBottom w:val="0"/>
      <w:divBdr>
        <w:top w:val="none" w:sz="0" w:space="0" w:color="auto"/>
        <w:left w:val="none" w:sz="0" w:space="0" w:color="auto"/>
        <w:bottom w:val="none" w:sz="0" w:space="0" w:color="auto"/>
        <w:right w:val="none" w:sz="0" w:space="0" w:color="auto"/>
      </w:divBdr>
    </w:div>
    <w:div w:id="1987391759">
      <w:bodyDiv w:val="1"/>
      <w:marLeft w:val="0"/>
      <w:marRight w:val="0"/>
      <w:marTop w:val="0"/>
      <w:marBottom w:val="0"/>
      <w:divBdr>
        <w:top w:val="none" w:sz="0" w:space="0" w:color="auto"/>
        <w:left w:val="none" w:sz="0" w:space="0" w:color="auto"/>
        <w:bottom w:val="none" w:sz="0" w:space="0" w:color="auto"/>
        <w:right w:val="none" w:sz="0" w:space="0" w:color="auto"/>
      </w:divBdr>
    </w:div>
    <w:div w:id="2031560750">
      <w:bodyDiv w:val="1"/>
      <w:marLeft w:val="0"/>
      <w:marRight w:val="0"/>
      <w:marTop w:val="0"/>
      <w:marBottom w:val="0"/>
      <w:divBdr>
        <w:top w:val="none" w:sz="0" w:space="0" w:color="auto"/>
        <w:left w:val="none" w:sz="0" w:space="0" w:color="auto"/>
        <w:bottom w:val="none" w:sz="0" w:space="0" w:color="auto"/>
        <w:right w:val="none" w:sz="0" w:space="0" w:color="auto"/>
      </w:divBdr>
      <w:divsChild>
        <w:div w:id="417335958">
          <w:marLeft w:val="0"/>
          <w:marRight w:val="0"/>
          <w:marTop w:val="0"/>
          <w:marBottom w:val="0"/>
          <w:divBdr>
            <w:top w:val="none" w:sz="0" w:space="0" w:color="auto"/>
            <w:left w:val="none" w:sz="0" w:space="0" w:color="auto"/>
            <w:bottom w:val="none" w:sz="0" w:space="0" w:color="auto"/>
            <w:right w:val="none" w:sz="0" w:space="0" w:color="auto"/>
          </w:divBdr>
        </w:div>
        <w:div w:id="640962333">
          <w:marLeft w:val="0"/>
          <w:marRight w:val="0"/>
          <w:marTop w:val="0"/>
          <w:marBottom w:val="0"/>
          <w:divBdr>
            <w:top w:val="none" w:sz="0" w:space="0" w:color="auto"/>
            <w:left w:val="none" w:sz="0" w:space="0" w:color="auto"/>
            <w:bottom w:val="none" w:sz="0" w:space="0" w:color="auto"/>
            <w:right w:val="none" w:sz="0" w:space="0" w:color="auto"/>
          </w:divBdr>
        </w:div>
        <w:div w:id="933126065">
          <w:marLeft w:val="0"/>
          <w:marRight w:val="0"/>
          <w:marTop w:val="0"/>
          <w:marBottom w:val="0"/>
          <w:divBdr>
            <w:top w:val="none" w:sz="0" w:space="0" w:color="auto"/>
            <w:left w:val="none" w:sz="0" w:space="0" w:color="auto"/>
            <w:bottom w:val="none" w:sz="0" w:space="0" w:color="auto"/>
            <w:right w:val="none" w:sz="0" w:space="0" w:color="auto"/>
          </w:divBdr>
        </w:div>
        <w:div w:id="981076792">
          <w:marLeft w:val="0"/>
          <w:marRight w:val="0"/>
          <w:marTop w:val="0"/>
          <w:marBottom w:val="0"/>
          <w:divBdr>
            <w:top w:val="none" w:sz="0" w:space="0" w:color="auto"/>
            <w:left w:val="none" w:sz="0" w:space="0" w:color="auto"/>
            <w:bottom w:val="none" w:sz="0" w:space="0" w:color="auto"/>
            <w:right w:val="none" w:sz="0" w:space="0" w:color="auto"/>
          </w:divBdr>
        </w:div>
      </w:divsChild>
    </w:div>
    <w:div w:id="2034728002">
      <w:bodyDiv w:val="1"/>
      <w:marLeft w:val="0"/>
      <w:marRight w:val="0"/>
      <w:marTop w:val="0"/>
      <w:marBottom w:val="0"/>
      <w:divBdr>
        <w:top w:val="none" w:sz="0" w:space="0" w:color="auto"/>
        <w:left w:val="none" w:sz="0" w:space="0" w:color="auto"/>
        <w:bottom w:val="none" w:sz="0" w:space="0" w:color="auto"/>
        <w:right w:val="none" w:sz="0" w:space="0" w:color="auto"/>
      </w:divBdr>
    </w:div>
    <w:div w:id="2077432643">
      <w:bodyDiv w:val="1"/>
      <w:marLeft w:val="0"/>
      <w:marRight w:val="0"/>
      <w:marTop w:val="0"/>
      <w:marBottom w:val="0"/>
      <w:divBdr>
        <w:top w:val="none" w:sz="0" w:space="0" w:color="auto"/>
        <w:left w:val="none" w:sz="0" w:space="0" w:color="auto"/>
        <w:bottom w:val="none" w:sz="0" w:space="0" w:color="auto"/>
        <w:right w:val="none" w:sz="0" w:space="0" w:color="auto"/>
      </w:divBdr>
      <w:divsChild>
        <w:div w:id="100877503">
          <w:marLeft w:val="0"/>
          <w:marRight w:val="0"/>
          <w:marTop w:val="0"/>
          <w:marBottom w:val="0"/>
          <w:divBdr>
            <w:top w:val="none" w:sz="0" w:space="0" w:color="auto"/>
            <w:left w:val="none" w:sz="0" w:space="0" w:color="auto"/>
            <w:bottom w:val="none" w:sz="0" w:space="0" w:color="auto"/>
            <w:right w:val="none" w:sz="0" w:space="0" w:color="auto"/>
          </w:divBdr>
        </w:div>
        <w:div w:id="298000039">
          <w:marLeft w:val="0"/>
          <w:marRight w:val="0"/>
          <w:marTop w:val="0"/>
          <w:marBottom w:val="0"/>
          <w:divBdr>
            <w:top w:val="none" w:sz="0" w:space="0" w:color="auto"/>
            <w:left w:val="none" w:sz="0" w:space="0" w:color="auto"/>
            <w:bottom w:val="none" w:sz="0" w:space="0" w:color="auto"/>
            <w:right w:val="none" w:sz="0" w:space="0" w:color="auto"/>
          </w:divBdr>
        </w:div>
        <w:div w:id="652181191">
          <w:marLeft w:val="0"/>
          <w:marRight w:val="0"/>
          <w:marTop w:val="0"/>
          <w:marBottom w:val="0"/>
          <w:divBdr>
            <w:top w:val="none" w:sz="0" w:space="0" w:color="auto"/>
            <w:left w:val="none" w:sz="0" w:space="0" w:color="auto"/>
            <w:bottom w:val="none" w:sz="0" w:space="0" w:color="auto"/>
            <w:right w:val="none" w:sz="0" w:space="0" w:color="auto"/>
          </w:divBdr>
        </w:div>
        <w:div w:id="984507636">
          <w:marLeft w:val="0"/>
          <w:marRight w:val="0"/>
          <w:marTop w:val="0"/>
          <w:marBottom w:val="0"/>
          <w:divBdr>
            <w:top w:val="none" w:sz="0" w:space="0" w:color="auto"/>
            <w:left w:val="none" w:sz="0" w:space="0" w:color="auto"/>
            <w:bottom w:val="none" w:sz="0" w:space="0" w:color="auto"/>
            <w:right w:val="none" w:sz="0" w:space="0" w:color="auto"/>
          </w:divBdr>
        </w:div>
        <w:div w:id="1097752071">
          <w:marLeft w:val="0"/>
          <w:marRight w:val="0"/>
          <w:marTop w:val="0"/>
          <w:marBottom w:val="0"/>
          <w:divBdr>
            <w:top w:val="none" w:sz="0" w:space="0" w:color="auto"/>
            <w:left w:val="none" w:sz="0" w:space="0" w:color="auto"/>
            <w:bottom w:val="none" w:sz="0" w:space="0" w:color="auto"/>
            <w:right w:val="none" w:sz="0" w:space="0" w:color="auto"/>
          </w:divBdr>
        </w:div>
        <w:div w:id="1162619332">
          <w:marLeft w:val="0"/>
          <w:marRight w:val="0"/>
          <w:marTop w:val="0"/>
          <w:marBottom w:val="0"/>
          <w:divBdr>
            <w:top w:val="none" w:sz="0" w:space="0" w:color="auto"/>
            <w:left w:val="none" w:sz="0" w:space="0" w:color="auto"/>
            <w:bottom w:val="none" w:sz="0" w:space="0" w:color="auto"/>
            <w:right w:val="none" w:sz="0" w:space="0" w:color="auto"/>
          </w:divBdr>
        </w:div>
        <w:div w:id="1211922837">
          <w:marLeft w:val="0"/>
          <w:marRight w:val="0"/>
          <w:marTop w:val="0"/>
          <w:marBottom w:val="0"/>
          <w:divBdr>
            <w:top w:val="none" w:sz="0" w:space="0" w:color="auto"/>
            <w:left w:val="none" w:sz="0" w:space="0" w:color="auto"/>
            <w:bottom w:val="none" w:sz="0" w:space="0" w:color="auto"/>
            <w:right w:val="none" w:sz="0" w:space="0" w:color="auto"/>
          </w:divBdr>
        </w:div>
        <w:div w:id="1326125417">
          <w:marLeft w:val="0"/>
          <w:marRight w:val="0"/>
          <w:marTop w:val="0"/>
          <w:marBottom w:val="0"/>
          <w:divBdr>
            <w:top w:val="none" w:sz="0" w:space="0" w:color="auto"/>
            <w:left w:val="none" w:sz="0" w:space="0" w:color="auto"/>
            <w:bottom w:val="none" w:sz="0" w:space="0" w:color="auto"/>
            <w:right w:val="none" w:sz="0" w:space="0" w:color="auto"/>
          </w:divBdr>
        </w:div>
        <w:div w:id="2080326922">
          <w:marLeft w:val="0"/>
          <w:marRight w:val="0"/>
          <w:marTop w:val="0"/>
          <w:marBottom w:val="0"/>
          <w:divBdr>
            <w:top w:val="none" w:sz="0" w:space="0" w:color="auto"/>
            <w:left w:val="none" w:sz="0" w:space="0" w:color="auto"/>
            <w:bottom w:val="none" w:sz="0" w:space="0" w:color="auto"/>
            <w:right w:val="none" w:sz="0" w:space="0" w:color="auto"/>
          </w:divBdr>
        </w:div>
      </w:divsChild>
    </w:div>
    <w:div w:id="2102947384">
      <w:bodyDiv w:val="1"/>
      <w:marLeft w:val="0"/>
      <w:marRight w:val="0"/>
      <w:marTop w:val="0"/>
      <w:marBottom w:val="0"/>
      <w:divBdr>
        <w:top w:val="none" w:sz="0" w:space="0" w:color="auto"/>
        <w:left w:val="none" w:sz="0" w:space="0" w:color="auto"/>
        <w:bottom w:val="none" w:sz="0" w:space="0" w:color="auto"/>
        <w:right w:val="none" w:sz="0" w:space="0" w:color="auto"/>
      </w:divBdr>
      <w:divsChild>
        <w:div w:id="86318700">
          <w:marLeft w:val="0"/>
          <w:marRight w:val="0"/>
          <w:marTop w:val="0"/>
          <w:marBottom w:val="0"/>
          <w:divBdr>
            <w:top w:val="none" w:sz="0" w:space="0" w:color="auto"/>
            <w:left w:val="none" w:sz="0" w:space="0" w:color="auto"/>
            <w:bottom w:val="none" w:sz="0" w:space="0" w:color="auto"/>
            <w:right w:val="none" w:sz="0" w:space="0" w:color="auto"/>
          </w:divBdr>
        </w:div>
        <w:div w:id="131138963">
          <w:marLeft w:val="0"/>
          <w:marRight w:val="0"/>
          <w:marTop w:val="0"/>
          <w:marBottom w:val="0"/>
          <w:divBdr>
            <w:top w:val="none" w:sz="0" w:space="0" w:color="auto"/>
            <w:left w:val="none" w:sz="0" w:space="0" w:color="auto"/>
            <w:bottom w:val="none" w:sz="0" w:space="0" w:color="auto"/>
            <w:right w:val="none" w:sz="0" w:space="0" w:color="auto"/>
          </w:divBdr>
        </w:div>
        <w:div w:id="338627336">
          <w:marLeft w:val="0"/>
          <w:marRight w:val="0"/>
          <w:marTop w:val="0"/>
          <w:marBottom w:val="0"/>
          <w:divBdr>
            <w:top w:val="none" w:sz="0" w:space="0" w:color="auto"/>
            <w:left w:val="none" w:sz="0" w:space="0" w:color="auto"/>
            <w:bottom w:val="none" w:sz="0" w:space="0" w:color="auto"/>
            <w:right w:val="none" w:sz="0" w:space="0" w:color="auto"/>
          </w:divBdr>
        </w:div>
        <w:div w:id="394402821">
          <w:marLeft w:val="0"/>
          <w:marRight w:val="0"/>
          <w:marTop w:val="0"/>
          <w:marBottom w:val="0"/>
          <w:divBdr>
            <w:top w:val="none" w:sz="0" w:space="0" w:color="auto"/>
            <w:left w:val="none" w:sz="0" w:space="0" w:color="auto"/>
            <w:bottom w:val="none" w:sz="0" w:space="0" w:color="auto"/>
            <w:right w:val="none" w:sz="0" w:space="0" w:color="auto"/>
          </w:divBdr>
        </w:div>
        <w:div w:id="818304686">
          <w:marLeft w:val="0"/>
          <w:marRight w:val="0"/>
          <w:marTop w:val="0"/>
          <w:marBottom w:val="0"/>
          <w:divBdr>
            <w:top w:val="none" w:sz="0" w:space="0" w:color="auto"/>
            <w:left w:val="none" w:sz="0" w:space="0" w:color="auto"/>
            <w:bottom w:val="none" w:sz="0" w:space="0" w:color="auto"/>
            <w:right w:val="none" w:sz="0" w:space="0" w:color="auto"/>
          </w:divBdr>
        </w:div>
        <w:div w:id="1173763396">
          <w:marLeft w:val="0"/>
          <w:marRight w:val="0"/>
          <w:marTop w:val="0"/>
          <w:marBottom w:val="0"/>
          <w:divBdr>
            <w:top w:val="none" w:sz="0" w:space="0" w:color="auto"/>
            <w:left w:val="none" w:sz="0" w:space="0" w:color="auto"/>
            <w:bottom w:val="none" w:sz="0" w:space="0" w:color="auto"/>
            <w:right w:val="none" w:sz="0" w:space="0" w:color="auto"/>
          </w:divBdr>
        </w:div>
        <w:div w:id="1231647855">
          <w:marLeft w:val="0"/>
          <w:marRight w:val="0"/>
          <w:marTop w:val="0"/>
          <w:marBottom w:val="0"/>
          <w:divBdr>
            <w:top w:val="none" w:sz="0" w:space="0" w:color="auto"/>
            <w:left w:val="none" w:sz="0" w:space="0" w:color="auto"/>
            <w:bottom w:val="none" w:sz="0" w:space="0" w:color="auto"/>
            <w:right w:val="none" w:sz="0" w:space="0" w:color="auto"/>
          </w:divBdr>
        </w:div>
        <w:div w:id="1587954996">
          <w:marLeft w:val="0"/>
          <w:marRight w:val="0"/>
          <w:marTop w:val="0"/>
          <w:marBottom w:val="0"/>
          <w:divBdr>
            <w:top w:val="none" w:sz="0" w:space="0" w:color="auto"/>
            <w:left w:val="none" w:sz="0" w:space="0" w:color="auto"/>
            <w:bottom w:val="none" w:sz="0" w:space="0" w:color="auto"/>
            <w:right w:val="none" w:sz="0" w:space="0" w:color="auto"/>
          </w:divBdr>
        </w:div>
        <w:div w:id="2054235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footer" Target="footer24.xml"/><Relationship Id="rId21" Type="http://schemas.openxmlformats.org/officeDocument/2006/relationships/footer" Target="footer6.xml"/><Relationship Id="rId34" Type="http://schemas.openxmlformats.org/officeDocument/2006/relationships/footer" Target="footer19.xml"/><Relationship Id="rId42" Type="http://schemas.openxmlformats.org/officeDocument/2006/relationships/footer" Target="footer27.xml"/><Relationship Id="rId47" Type="http://schemas.openxmlformats.org/officeDocument/2006/relationships/footer" Target="footer3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14.xml"/><Relationship Id="rId11" Type="http://schemas.openxmlformats.org/officeDocument/2006/relationships/endnotes" Target="endnotes.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3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footer" Target="footer33.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6.xml"/><Relationship Id="rId44"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footer" Target="footer28.xml"/><Relationship Id="rId48" Type="http://schemas.openxmlformats.org/officeDocument/2006/relationships/image" Target="media/image5.jpe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footer" Target="footer31.xml"/><Relationship Id="rId20" Type="http://schemas.openxmlformats.org/officeDocument/2006/relationships/footer" Target="footer5.xml"/><Relationship Id="rId4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F18C1-8F54-451F-B413-31109496C355}">
  <ds:schemaRefs>
    <ds:schemaRef ds:uri="http://schemas.openxmlformats.org/officeDocument/2006/bibliography"/>
  </ds:schemaRefs>
</ds:datastoreItem>
</file>

<file path=customXml/itemProps2.xml><?xml version="1.0" encoding="utf-8"?>
<ds:datastoreItem xmlns:ds="http://schemas.openxmlformats.org/officeDocument/2006/customXml" ds:itemID="{A903671C-B6E0-4F11-9FA4-E6590BDFC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EAB624-A4C7-4321-9F0E-1F9066AE9D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F1EB3E-6081-479C-9846-F42F994A73B1}">
  <ds:schemaRefs>
    <ds:schemaRef ds:uri="http://www.w3.org/2001/XMLSchema"/>
  </ds:schemaRefs>
</ds:datastoreItem>
</file>

<file path=customXml/itemProps5.xml><?xml version="1.0" encoding="utf-8"?>
<ds:datastoreItem xmlns:ds="http://schemas.openxmlformats.org/officeDocument/2006/customXml" ds:itemID="{17340250-E23F-4C5F-981D-162ADC8874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88923</Words>
  <Characters>513187</Characters>
  <Application>Microsoft Office Word</Application>
  <DocSecurity>0</DocSecurity>
  <Lines>19429</Lines>
  <Paragraphs>14917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588400</CharactersWithSpaces>
  <SharedDoc>false</SharedDoc>
  <HLinks>
    <vt:vector size="282" baseType="variant">
      <vt:variant>
        <vt:i4>1966131</vt:i4>
      </vt:variant>
      <vt:variant>
        <vt:i4>152</vt:i4>
      </vt:variant>
      <vt:variant>
        <vt:i4>0</vt:i4>
      </vt:variant>
      <vt:variant>
        <vt:i4>5</vt:i4>
      </vt:variant>
      <vt:variant>
        <vt:lpwstr/>
      </vt:variant>
      <vt:variant>
        <vt:lpwstr>_Toc228288119</vt:lpwstr>
      </vt:variant>
      <vt:variant>
        <vt:i4>1966131</vt:i4>
      </vt:variant>
      <vt:variant>
        <vt:i4>146</vt:i4>
      </vt:variant>
      <vt:variant>
        <vt:i4>0</vt:i4>
      </vt:variant>
      <vt:variant>
        <vt:i4>5</vt:i4>
      </vt:variant>
      <vt:variant>
        <vt:lpwstr/>
      </vt:variant>
      <vt:variant>
        <vt:lpwstr>_Toc228288118</vt:lpwstr>
      </vt:variant>
      <vt:variant>
        <vt:i4>1966131</vt:i4>
      </vt:variant>
      <vt:variant>
        <vt:i4>140</vt:i4>
      </vt:variant>
      <vt:variant>
        <vt:i4>0</vt:i4>
      </vt:variant>
      <vt:variant>
        <vt:i4>5</vt:i4>
      </vt:variant>
      <vt:variant>
        <vt:lpwstr/>
      </vt:variant>
      <vt:variant>
        <vt:lpwstr>_Toc228288117</vt:lpwstr>
      </vt:variant>
      <vt:variant>
        <vt:i4>1966131</vt:i4>
      </vt:variant>
      <vt:variant>
        <vt:i4>134</vt:i4>
      </vt:variant>
      <vt:variant>
        <vt:i4>0</vt:i4>
      </vt:variant>
      <vt:variant>
        <vt:i4>5</vt:i4>
      </vt:variant>
      <vt:variant>
        <vt:lpwstr/>
      </vt:variant>
      <vt:variant>
        <vt:lpwstr>_Toc228288116</vt:lpwstr>
      </vt:variant>
      <vt:variant>
        <vt:i4>1966131</vt:i4>
      </vt:variant>
      <vt:variant>
        <vt:i4>128</vt:i4>
      </vt:variant>
      <vt:variant>
        <vt:i4>0</vt:i4>
      </vt:variant>
      <vt:variant>
        <vt:i4>5</vt:i4>
      </vt:variant>
      <vt:variant>
        <vt:lpwstr/>
      </vt:variant>
      <vt:variant>
        <vt:lpwstr>_Toc228288115</vt:lpwstr>
      </vt:variant>
      <vt:variant>
        <vt:i4>1966131</vt:i4>
      </vt:variant>
      <vt:variant>
        <vt:i4>122</vt:i4>
      </vt:variant>
      <vt:variant>
        <vt:i4>0</vt:i4>
      </vt:variant>
      <vt:variant>
        <vt:i4>5</vt:i4>
      </vt:variant>
      <vt:variant>
        <vt:lpwstr/>
      </vt:variant>
      <vt:variant>
        <vt:lpwstr>_Toc228288114</vt:lpwstr>
      </vt:variant>
      <vt:variant>
        <vt:i4>1966131</vt:i4>
      </vt:variant>
      <vt:variant>
        <vt:i4>116</vt:i4>
      </vt:variant>
      <vt:variant>
        <vt:i4>0</vt:i4>
      </vt:variant>
      <vt:variant>
        <vt:i4>5</vt:i4>
      </vt:variant>
      <vt:variant>
        <vt:lpwstr/>
      </vt:variant>
      <vt:variant>
        <vt:lpwstr>_Toc228288113</vt:lpwstr>
      </vt:variant>
      <vt:variant>
        <vt:i4>1966131</vt:i4>
      </vt:variant>
      <vt:variant>
        <vt:i4>110</vt:i4>
      </vt:variant>
      <vt:variant>
        <vt:i4>0</vt:i4>
      </vt:variant>
      <vt:variant>
        <vt:i4>5</vt:i4>
      </vt:variant>
      <vt:variant>
        <vt:lpwstr/>
      </vt:variant>
      <vt:variant>
        <vt:lpwstr>_Toc228288112</vt:lpwstr>
      </vt:variant>
      <vt:variant>
        <vt:i4>1966131</vt:i4>
      </vt:variant>
      <vt:variant>
        <vt:i4>104</vt:i4>
      </vt:variant>
      <vt:variant>
        <vt:i4>0</vt:i4>
      </vt:variant>
      <vt:variant>
        <vt:i4>5</vt:i4>
      </vt:variant>
      <vt:variant>
        <vt:lpwstr/>
      </vt:variant>
      <vt:variant>
        <vt:lpwstr>_Toc228288111</vt:lpwstr>
      </vt:variant>
      <vt:variant>
        <vt:i4>1966131</vt:i4>
      </vt:variant>
      <vt:variant>
        <vt:i4>98</vt:i4>
      </vt:variant>
      <vt:variant>
        <vt:i4>0</vt:i4>
      </vt:variant>
      <vt:variant>
        <vt:i4>5</vt:i4>
      </vt:variant>
      <vt:variant>
        <vt:lpwstr/>
      </vt:variant>
      <vt:variant>
        <vt:lpwstr>_Toc228288110</vt:lpwstr>
      </vt:variant>
      <vt:variant>
        <vt:i4>2031667</vt:i4>
      </vt:variant>
      <vt:variant>
        <vt:i4>92</vt:i4>
      </vt:variant>
      <vt:variant>
        <vt:i4>0</vt:i4>
      </vt:variant>
      <vt:variant>
        <vt:i4>5</vt:i4>
      </vt:variant>
      <vt:variant>
        <vt:lpwstr/>
      </vt:variant>
      <vt:variant>
        <vt:lpwstr>_Toc228288109</vt:lpwstr>
      </vt:variant>
      <vt:variant>
        <vt:i4>2031667</vt:i4>
      </vt:variant>
      <vt:variant>
        <vt:i4>86</vt:i4>
      </vt:variant>
      <vt:variant>
        <vt:i4>0</vt:i4>
      </vt:variant>
      <vt:variant>
        <vt:i4>5</vt:i4>
      </vt:variant>
      <vt:variant>
        <vt:lpwstr/>
      </vt:variant>
      <vt:variant>
        <vt:lpwstr>_Toc228288108</vt:lpwstr>
      </vt:variant>
      <vt:variant>
        <vt:i4>2031667</vt:i4>
      </vt:variant>
      <vt:variant>
        <vt:i4>80</vt:i4>
      </vt:variant>
      <vt:variant>
        <vt:i4>0</vt:i4>
      </vt:variant>
      <vt:variant>
        <vt:i4>5</vt:i4>
      </vt:variant>
      <vt:variant>
        <vt:lpwstr/>
      </vt:variant>
      <vt:variant>
        <vt:lpwstr>_Toc228288107</vt:lpwstr>
      </vt:variant>
      <vt:variant>
        <vt:i4>2031667</vt:i4>
      </vt:variant>
      <vt:variant>
        <vt:i4>74</vt:i4>
      </vt:variant>
      <vt:variant>
        <vt:i4>0</vt:i4>
      </vt:variant>
      <vt:variant>
        <vt:i4>5</vt:i4>
      </vt:variant>
      <vt:variant>
        <vt:lpwstr/>
      </vt:variant>
      <vt:variant>
        <vt:lpwstr>_Toc228288106</vt:lpwstr>
      </vt:variant>
      <vt:variant>
        <vt:i4>2031667</vt:i4>
      </vt:variant>
      <vt:variant>
        <vt:i4>68</vt:i4>
      </vt:variant>
      <vt:variant>
        <vt:i4>0</vt:i4>
      </vt:variant>
      <vt:variant>
        <vt:i4>5</vt:i4>
      </vt:variant>
      <vt:variant>
        <vt:lpwstr/>
      </vt:variant>
      <vt:variant>
        <vt:lpwstr>_Toc228288105</vt:lpwstr>
      </vt:variant>
      <vt:variant>
        <vt:i4>2031667</vt:i4>
      </vt:variant>
      <vt:variant>
        <vt:i4>62</vt:i4>
      </vt:variant>
      <vt:variant>
        <vt:i4>0</vt:i4>
      </vt:variant>
      <vt:variant>
        <vt:i4>5</vt:i4>
      </vt:variant>
      <vt:variant>
        <vt:lpwstr/>
      </vt:variant>
      <vt:variant>
        <vt:lpwstr>_Toc228288104</vt:lpwstr>
      </vt:variant>
      <vt:variant>
        <vt:i4>2031667</vt:i4>
      </vt:variant>
      <vt:variant>
        <vt:i4>56</vt:i4>
      </vt:variant>
      <vt:variant>
        <vt:i4>0</vt:i4>
      </vt:variant>
      <vt:variant>
        <vt:i4>5</vt:i4>
      </vt:variant>
      <vt:variant>
        <vt:lpwstr/>
      </vt:variant>
      <vt:variant>
        <vt:lpwstr>_Toc228288103</vt:lpwstr>
      </vt:variant>
      <vt:variant>
        <vt:i4>2031667</vt:i4>
      </vt:variant>
      <vt:variant>
        <vt:i4>50</vt:i4>
      </vt:variant>
      <vt:variant>
        <vt:i4>0</vt:i4>
      </vt:variant>
      <vt:variant>
        <vt:i4>5</vt:i4>
      </vt:variant>
      <vt:variant>
        <vt:lpwstr/>
      </vt:variant>
      <vt:variant>
        <vt:lpwstr>_Toc228288102</vt:lpwstr>
      </vt:variant>
      <vt:variant>
        <vt:i4>2031667</vt:i4>
      </vt:variant>
      <vt:variant>
        <vt:i4>44</vt:i4>
      </vt:variant>
      <vt:variant>
        <vt:i4>0</vt:i4>
      </vt:variant>
      <vt:variant>
        <vt:i4>5</vt:i4>
      </vt:variant>
      <vt:variant>
        <vt:lpwstr/>
      </vt:variant>
      <vt:variant>
        <vt:lpwstr>_Toc228288101</vt:lpwstr>
      </vt:variant>
      <vt:variant>
        <vt:i4>2031667</vt:i4>
      </vt:variant>
      <vt:variant>
        <vt:i4>38</vt:i4>
      </vt:variant>
      <vt:variant>
        <vt:i4>0</vt:i4>
      </vt:variant>
      <vt:variant>
        <vt:i4>5</vt:i4>
      </vt:variant>
      <vt:variant>
        <vt:lpwstr/>
      </vt:variant>
      <vt:variant>
        <vt:lpwstr>_Toc228288100</vt:lpwstr>
      </vt:variant>
      <vt:variant>
        <vt:i4>1441842</vt:i4>
      </vt:variant>
      <vt:variant>
        <vt:i4>32</vt:i4>
      </vt:variant>
      <vt:variant>
        <vt:i4>0</vt:i4>
      </vt:variant>
      <vt:variant>
        <vt:i4>5</vt:i4>
      </vt:variant>
      <vt:variant>
        <vt:lpwstr/>
      </vt:variant>
      <vt:variant>
        <vt:lpwstr>_Toc228288099</vt:lpwstr>
      </vt:variant>
      <vt:variant>
        <vt:i4>1441842</vt:i4>
      </vt:variant>
      <vt:variant>
        <vt:i4>26</vt:i4>
      </vt:variant>
      <vt:variant>
        <vt:i4>0</vt:i4>
      </vt:variant>
      <vt:variant>
        <vt:i4>5</vt:i4>
      </vt:variant>
      <vt:variant>
        <vt:lpwstr/>
      </vt:variant>
      <vt:variant>
        <vt:lpwstr>_Toc228288098</vt:lpwstr>
      </vt:variant>
      <vt:variant>
        <vt:i4>1441842</vt:i4>
      </vt:variant>
      <vt:variant>
        <vt:i4>20</vt:i4>
      </vt:variant>
      <vt:variant>
        <vt:i4>0</vt:i4>
      </vt:variant>
      <vt:variant>
        <vt:i4>5</vt:i4>
      </vt:variant>
      <vt:variant>
        <vt:lpwstr/>
      </vt:variant>
      <vt:variant>
        <vt:lpwstr>_Toc228288097</vt:lpwstr>
      </vt:variant>
      <vt:variant>
        <vt:i4>1441842</vt:i4>
      </vt:variant>
      <vt:variant>
        <vt:i4>14</vt:i4>
      </vt:variant>
      <vt:variant>
        <vt:i4>0</vt:i4>
      </vt:variant>
      <vt:variant>
        <vt:i4>5</vt:i4>
      </vt:variant>
      <vt:variant>
        <vt:lpwstr/>
      </vt:variant>
      <vt:variant>
        <vt:lpwstr>_Toc228288096</vt:lpwstr>
      </vt:variant>
      <vt:variant>
        <vt:i4>1441842</vt:i4>
      </vt:variant>
      <vt:variant>
        <vt:i4>8</vt:i4>
      </vt:variant>
      <vt:variant>
        <vt:i4>0</vt:i4>
      </vt:variant>
      <vt:variant>
        <vt:i4>5</vt:i4>
      </vt:variant>
      <vt:variant>
        <vt:lpwstr/>
      </vt:variant>
      <vt:variant>
        <vt:lpwstr>_Toc228288095</vt:lpwstr>
      </vt:variant>
      <vt:variant>
        <vt:i4>1441842</vt:i4>
      </vt:variant>
      <vt:variant>
        <vt:i4>2</vt:i4>
      </vt:variant>
      <vt:variant>
        <vt:i4>0</vt:i4>
      </vt:variant>
      <vt:variant>
        <vt:i4>5</vt:i4>
      </vt:variant>
      <vt:variant>
        <vt:lpwstr/>
      </vt:variant>
      <vt:variant>
        <vt:lpwstr>_Toc228288094</vt:lpwstr>
      </vt:variant>
      <vt:variant>
        <vt:i4>5767213</vt:i4>
      </vt:variant>
      <vt:variant>
        <vt:i4>60</vt:i4>
      </vt:variant>
      <vt:variant>
        <vt:i4>0</vt:i4>
      </vt:variant>
      <vt:variant>
        <vt:i4>5</vt:i4>
      </vt:variant>
      <vt:variant>
        <vt:lpwstr>mailto:lucy.murphy@dtf.vic.gov.au</vt:lpwstr>
      </vt:variant>
      <vt:variant>
        <vt:lpwstr/>
      </vt:variant>
      <vt:variant>
        <vt:i4>5767213</vt:i4>
      </vt:variant>
      <vt:variant>
        <vt:i4>57</vt:i4>
      </vt:variant>
      <vt:variant>
        <vt:i4>0</vt:i4>
      </vt:variant>
      <vt:variant>
        <vt:i4>5</vt:i4>
      </vt:variant>
      <vt:variant>
        <vt:lpwstr>mailto:lucy.murphy@dtf.vic.gov.au</vt:lpwstr>
      </vt:variant>
      <vt:variant>
        <vt:lpwstr/>
      </vt:variant>
      <vt:variant>
        <vt:i4>3080269</vt:i4>
      </vt:variant>
      <vt:variant>
        <vt:i4>54</vt:i4>
      </vt:variant>
      <vt:variant>
        <vt:i4>0</vt:i4>
      </vt:variant>
      <vt:variant>
        <vt:i4>5</vt:i4>
      </vt:variant>
      <vt:variant>
        <vt:lpwstr>mailto:claudia.subocz@minstaff.vic.gov.au</vt:lpwstr>
      </vt:variant>
      <vt:variant>
        <vt:lpwstr/>
      </vt:variant>
      <vt:variant>
        <vt:i4>5701745</vt:i4>
      </vt:variant>
      <vt:variant>
        <vt:i4>51</vt:i4>
      </vt:variant>
      <vt:variant>
        <vt:i4>0</vt:i4>
      </vt:variant>
      <vt:variant>
        <vt:i4>5</vt:i4>
      </vt:variant>
      <vt:variant>
        <vt:lpwstr>mailto:darcy.x.thornton@minstaff.vic.gov.au</vt:lpwstr>
      </vt:variant>
      <vt:variant>
        <vt:lpwstr/>
      </vt:variant>
      <vt:variant>
        <vt:i4>5767213</vt:i4>
      </vt:variant>
      <vt:variant>
        <vt:i4>48</vt:i4>
      </vt:variant>
      <vt:variant>
        <vt:i4>0</vt:i4>
      </vt:variant>
      <vt:variant>
        <vt:i4>5</vt:i4>
      </vt:variant>
      <vt:variant>
        <vt:lpwstr>mailto:lucy.murphy@dtf.vic.gov.au</vt:lpwstr>
      </vt:variant>
      <vt:variant>
        <vt:lpwstr/>
      </vt:variant>
      <vt:variant>
        <vt:i4>1179765</vt:i4>
      </vt:variant>
      <vt:variant>
        <vt:i4>45</vt:i4>
      </vt:variant>
      <vt:variant>
        <vt:i4>0</vt:i4>
      </vt:variant>
      <vt:variant>
        <vt:i4>5</vt:i4>
      </vt:variant>
      <vt:variant>
        <vt:lpwstr>mailto:john.hondros@minstaff.vic.gov.au</vt:lpwstr>
      </vt:variant>
      <vt:variant>
        <vt:lpwstr/>
      </vt:variant>
      <vt:variant>
        <vt:i4>6488064</vt:i4>
      </vt:variant>
      <vt:variant>
        <vt:i4>42</vt:i4>
      </vt:variant>
      <vt:variant>
        <vt:i4>0</vt:i4>
      </vt:variant>
      <vt:variant>
        <vt:i4>5</vt:i4>
      </vt:variant>
      <vt:variant>
        <vt:lpwstr>mailto:leigh.anlezark@dtf.vic.gov.au</vt:lpwstr>
      </vt:variant>
      <vt:variant>
        <vt:lpwstr/>
      </vt:variant>
      <vt:variant>
        <vt:i4>7340119</vt:i4>
      </vt:variant>
      <vt:variant>
        <vt:i4>39</vt:i4>
      </vt:variant>
      <vt:variant>
        <vt:i4>0</vt:i4>
      </vt:variant>
      <vt:variant>
        <vt:i4>5</vt:i4>
      </vt:variant>
      <vt:variant>
        <vt:lpwstr>mailto:liam.drummond-clark@minstaff.vic.gov.au</vt:lpwstr>
      </vt:variant>
      <vt:variant>
        <vt:lpwstr/>
      </vt:variant>
      <vt:variant>
        <vt:i4>5767213</vt:i4>
      </vt:variant>
      <vt:variant>
        <vt:i4>36</vt:i4>
      </vt:variant>
      <vt:variant>
        <vt:i4>0</vt:i4>
      </vt:variant>
      <vt:variant>
        <vt:i4>5</vt:i4>
      </vt:variant>
      <vt:variant>
        <vt:lpwstr>mailto:lucy.murphy@dtf.vic.gov.au</vt:lpwstr>
      </vt:variant>
      <vt:variant>
        <vt:lpwstr/>
      </vt:variant>
      <vt:variant>
        <vt:i4>6881281</vt:i4>
      </vt:variant>
      <vt:variant>
        <vt:i4>33</vt:i4>
      </vt:variant>
      <vt:variant>
        <vt:i4>0</vt:i4>
      </vt:variant>
      <vt:variant>
        <vt:i4>5</vt:i4>
      </vt:variant>
      <vt:variant>
        <vt:lpwstr>mailto:samantha.towler@minstaff.vic.gov.au</vt:lpwstr>
      </vt:variant>
      <vt:variant>
        <vt:lpwstr/>
      </vt:variant>
      <vt:variant>
        <vt:i4>6946937</vt:i4>
      </vt:variant>
      <vt:variant>
        <vt:i4>30</vt:i4>
      </vt:variant>
      <vt:variant>
        <vt:i4>0</vt:i4>
      </vt:variant>
      <vt:variant>
        <vt:i4>5</vt:i4>
      </vt:variant>
      <vt:variant>
        <vt:lpwstr>https://www.tac.vic.gov.au/about-the-tac/media-room/news-and-events/2025/road-policing-boost-to-deliver-more-drug-test</vt:lpwstr>
      </vt:variant>
      <vt:variant>
        <vt:lpwstr/>
      </vt:variant>
      <vt:variant>
        <vt:i4>5767213</vt:i4>
      </vt:variant>
      <vt:variant>
        <vt:i4>27</vt:i4>
      </vt:variant>
      <vt:variant>
        <vt:i4>0</vt:i4>
      </vt:variant>
      <vt:variant>
        <vt:i4>5</vt:i4>
      </vt:variant>
      <vt:variant>
        <vt:lpwstr>mailto:lucy.murphy@dtf.vic.gov.au</vt:lpwstr>
      </vt:variant>
      <vt:variant>
        <vt:lpwstr/>
      </vt:variant>
      <vt:variant>
        <vt:i4>5701745</vt:i4>
      </vt:variant>
      <vt:variant>
        <vt:i4>24</vt:i4>
      </vt:variant>
      <vt:variant>
        <vt:i4>0</vt:i4>
      </vt:variant>
      <vt:variant>
        <vt:i4>5</vt:i4>
      </vt:variant>
      <vt:variant>
        <vt:lpwstr>mailto:darcy.x.thornton@minstaff.vic.gov.au</vt:lpwstr>
      </vt:variant>
      <vt:variant>
        <vt:lpwstr/>
      </vt:variant>
      <vt:variant>
        <vt:i4>5701745</vt:i4>
      </vt:variant>
      <vt:variant>
        <vt:i4>21</vt:i4>
      </vt:variant>
      <vt:variant>
        <vt:i4>0</vt:i4>
      </vt:variant>
      <vt:variant>
        <vt:i4>5</vt:i4>
      </vt:variant>
      <vt:variant>
        <vt:lpwstr>mailto:darcy.x.thornton@minstaff.vic.gov.au</vt:lpwstr>
      </vt:variant>
      <vt:variant>
        <vt:lpwstr/>
      </vt:variant>
      <vt:variant>
        <vt:i4>5767213</vt:i4>
      </vt:variant>
      <vt:variant>
        <vt:i4>18</vt:i4>
      </vt:variant>
      <vt:variant>
        <vt:i4>0</vt:i4>
      </vt:variant>
      <vt:variant>
        <vt:i4>5</vt:i4>
      </vt:variant>
      <vt:variant>
        <vt:lpwstr>mailto:lucy.murphy@dtf.vic.gov.au</vt:lpwstr>
      </vt:variant>
      <vt:variant>
        <vt:lpwstr/>
      </vt:variant>
      <vt:variant>
        <vt:i4>3080269</vt:i4>
      </vt:variant>
      <vt:variant>
        <vt:i4>15</vt:i4>
      </vt:variant>
      <vt:variant>
        <vt:i4>0</vt:i4>
      </vt:variant>
      <vt:variant>
        <vt:i4>5</vt:i4>
      </vt:variant>
      <vt:variant>
        <vt:lpwstr>mailto:claudia.subocz@minstaff.vic.gov.au</vt:lpwstr>
      </vt:variant>
      <vt:variant>
        <vt:lpwstr/>
      </vt:variant>
      <vt:variant>
        <vt:i4>1179765</vt:i4>
      </vt:variant>
      <vt:variant>
        <vt:i4>12</vt:i4>
      </vt:variant>
      <vt:variant>
        <vt:i4>0</vt:i4>
      </vt:variant>
      <vt:variant>
        <vt:i4>5</vt:i4>
      </vt:variant>
      <vt:variant>
        <vt:lpwstr>mailto:john.hondros@minstaff.vic.gov.au</vt:lpwstr>
      </vt:variant>
      <vt:variant>
        <vt:lpwstr/>
      </vt:variant>
      <vt:variant>
        <vt:i4>3080269</vt:i4>
      </vt:variant>
      <vt:variant>
        <vt:i4>9</vt:i4>
      </vt:variant>
      <vt:variant>
        <vt:i4>0</vt:i4>
      </vt:variant>
      <vt:variant>
        <vt:i4>5</vt:i4>
      </vt:variant>
      <vt:variant>
        <vt:lpwstr>mailto:claudia.subocz@minstaff.vic.gov.au</vt:lpwstr>
      </vt:variant>
      <vt:variant>
        <vt:lpwstr/>
      </vt:variant>
      <vt:variant>
        <vt:i4>1179765</vt:i4>
      </vt:variant>
      <vt:variant>
        <vt:i4>6</vt:i4>
      </vt:variant>
      <vt:variant>
        <vt:i4>0</vt:i4>
      </vt:variant>
      <vt:variant>
        <vt:i4>5</vt:i4>
      </vt:variant>
      <vt:variant>
        <vt:lpwstr>mailto:john.hondros@minstaff.vic.gov.au</vt:lpwstr>
      </vt:variant>
      <vt:variant>
        <vt:lpwstr/>
      </vt:variant>
      <vt:variant>
        <vt:i4>5767213</vt:i4>
      </vt:variant>
      <vt:variant>
        <vt:i4>3</vt:i4>
      </vt:variant>
      <vt:variant>
        <vt:i4>0</vt:i4>
      </vt:variant>
      <vt:variant>
        <vt:i4>5</vt:i4>
      </vt:variant>
      <vt:variant>
        <vt:lpwstr>mailto:lucy.murphy@dtf.vic.gov.au</vt:lpwstr>
      </vt:variant>
      <vt:variant>
        <vt:lpwstr/>
      </vt:variant>
      <vt:variant>
        <vt:i4>6356995</vt:i4>
      </vt:variant>
      <vt:variant>
        <vt:i4>0</vt:i4>
      </vt:variant>
      <vt:variant>
        <vt:i4>0</vt:i4>
      </vt:variant>
      <vt:variant>
        <vt:i4>5</vt:i4>
      </vt:variant>
      <vt:variant>
        <vt:lpwstr>mailto:scarlett.padden@minstaff.vic.gov.au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Department Performance Statement</dc:title>
  <dc:subject>2026-27 Department Performance Statement</dc:subject>
  <dc:creator/>
  <cp:keywords>Budget; Victoria; Department Performance Statement</cp:keywords>
  <dc:description/>
  <cp:lastModifiedBy/>
  <cp:revision>1</cp:revision>
  <dcterms:created xsi:type="dcterms:W3CDTF">2026-05-01T05:35:00Z</dcterms:created>
  <dcterms:modified xsi:type="dcterms:W3CDTF">2026-05-03T08:25:00Z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2026-05-01T05:36:45Z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4f63a901-7eef-4461-89e6-019c35d8d5a8</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